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6.xml" ContentType="application/vnd.openxmlformats-officedocument.wordprocessingml.footer+xml"/>
  <Override PartName="/word/header67.xml" ContentType="application/vnd.openxmlformats-officedocument.wordprocessingml.header+xml"/>
  <Override PartName="/word/footer7.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8.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9.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footer10.xml" ContentType="application/vnd.openxmlformats-officedocument.wordprocessingml.footer+xml"/>
  <Override PartName="/word/header89.xml" ContentType="application/vnd.openxmlformats-officedocument.wordprocessingml.header+xml"/>
  <Override PartName="/word/footer11.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footer12.xml" ContentType="application/vnd.openxmlformats-officedocument.wordprocessingml.foot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footer13.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14.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04.xml" ContentType="application/vnd.openxmlformats-officedocument.wordprocessingml.header+xml"/>
  <Override PartName="/word/footer17.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07.xml" ContentType="application/vnd.openxmlformats-officedocument.wordprocessingml.header+xml"/>
  <Override PartName="/word/footer20.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10.xml" ContentType="application/vnd.openxmlformats-officedocument.wordprocessingml.header+xml"/>
  <Override PartName="/word/footer23.xml" ContentType="application/vnd.openxmlformats-officedocument.wordprocessingml.footer+xml"/>
  <Override PartName="/word/header111.xml" ContentType="application/vnd.openxmlformats-officedocument.wordprocessingml.header+xml"/>
  <Override PartName="/word/footer24.xml" ContentType="application/vnd.openxmlformats-officedocument.wordprocessingml.footer+xml"/>
  <Override PartName="/word/header112.xml" ContentType="application/vnd.openxmlformats-officedocument.wordprocessingml.header+xml"/>
  <Override PartName="/word/footer25.xml" ContentType="application/vnd.openxmlformats-officedocument.wordprocessingml.footer+xml"/>
  <Override PartName="/word/header113.xml" ContentType="application/vnd.openxmlformats-officedocument.wordprocessingml.header+xml"/>
  <Override PartName="/word/footer26.xml" ContentType="application/vnd.openxmlformats-officedocument.wordprocessingml.footer+xml"/>
  <Override PartName="/word/header114.xml" ContentType="application/vnd.openxmlformats-officedocument.wordprocessingml.header+xml"/>
  <Override PartName="/word/footer27.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28.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footer29.xml" ContentType="application/vnd.openxmlformats-officedocument.wordprocessingml.footer+xml"/>
  <Override PartName="/word/header119.xml" ContentType="application/vnd.openxmlformats-officedocument.wordprocessingml.header+xml"/>
  <Override PartName="/word/header120.xml" ContentType="application/vnd.openxmlformats-officedocument.wordprocessingml.header+xml"/>
  <Override PartName="/word/footer30.xml" ContentType="application/vnd.openxmlformats-officedocument.wordprocessingml.footer+xml"/>
  <Override PartName="/word/header121.xml" ContentType="application/vnd.openxmlformats-officedocument.wordprocessingml.header+xml"/>
  <Override PartName="/word/footer31.xml" ContentType="application/vnd.openxmlformats-officedocument.wordprocessingml.footer+xml"/>
  <Override PartName="/word/header122.xml" ContentType="application/vnd.openxmlformats-officedocument.wordprocessingml.header+xml"/>
  <Override PartName="/word/header123.xml" ContentType="application/vnd.openxmlformats-officedocument.wordprocessingml.header+xml"/>
  <Override PartName="/word/footer32.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33.xml" ContentType="application/vnd.openxmlformats-officedocument.wordprocessingml.footer+xml"/>
  <Override PartName="/word/header126.xml" ContentType="application/vnd.openxmlformats-officedocument.wordprocessingml.header+xml"/>
  <Override PartName="/word/footer34.xml" ContentType="application/vnd.openxmlformats-officedocument.wordprocessingml.footer+xml"/>
  <Override PartName="/word/header127.xml" ContentType="application/vnd.openxmlformats-officedocument.wordprocessingml.header+xml"/>
  <Override PartName="/word/footer35.xml" ContentType="application/vnd.openxmlformats-officedocument.wordprocessingml.foot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footer36.xml" ContentType="application/vnd.openxmlformats-officedocument.wordprocessingml.footer+xml"/>
  <Override PartName="/word/header134.xml" ContentType="application/vnd.openxmlformats-officedocument.wordprocessingml.header+xml"/>
  <Override PartName="/word/header135.xml" ContentType="application/vnd.openxmlformats-officedocument.wordprocessingml.header+xml"/>
  <Override PartName="/word/footer37.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footer38.xml" ContentType="application/vnd.openxmlformats-officedocument.wordprocessingml.footer+xml"/>
  <Override PartName="/word/header143.xml" ContentType="application/vnd.openxmlformats-officedocument.wordprocessingml.header+xml"/>
  <Override PartName="/word/footer39.xml" ContentType="application/vnd.openxmlformats-officedocument.wordprocessingml.footer+xml"/>
  <Override PartName="/word/header144.xml" ContentType="application/vnd.openxmlformats-officedocument.wordprocessingml.header+xml"/>
  <Override PartName="/word/footer40.xml" ContentType="application/vnd.openxmlformats-officedocument.wordprocessingml.footer+xml"/>
  <Override PartName="/word/header145.xml" ContentType="application/vnd.openxmlformats-officedocument.wordprocessingml.header+xml"/>
  <Override PartName="/word/footer41.xml" ContentType="application/vnd.openxmlformats-officedocument.wordprocessingml.foot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footer42.xml" ContentType="application/vnd.openxmlformats-officedocument.wordprocessingml.footer+xml"/>
  <Override PartName="/word/header154.xml" ContentType="application/vnd.openxmlformats-officedocument.wordprocessingml.header+xml"/>
  <Override PartName="/word/footer43.xml" ContentType="application/vnd.openxmlformats-officedocument.wordprocessingml.foot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1E33E" w14:textId="77777777" w:rsidR="00271FA2" w:rsidRPr="00F06DE2" w:rsidRDefault="00271FA2" w:rsidP="00CF2369">
      <w:pPr>
        <w:pStyle w:val="Chiffre"/>
        <w:tabs>
          <w:tab w:val="left" w:pos="2835"/>
        </w:tabs>
        <w:spacing w:after="0" w:line="360" w:lineRule="auto"/>
        <w:ind w:left="0" w:firstLine="0"/>
        <w:jc w:val="center"/>
        <w:rPr>
          <w:rFonts w:ascii="Times New Roman" w:hAnsi="Times New Roman" w:cs="Times New Roman"/>
          <w:sz w:val="24"/>
          <w:szCs w:val="24"/>
        </w:rPr>
      </w:pPr>
      <w:bookmarkStart w:id="0" w:name="_GoBack"/>
      <w:bookmarkEnd w:id="0"/>
    </w:p>
    <w:p w14:paraId="1A2C2284" w14:textId="77777777" w:rsidR="00CF2369" w:rsidRPr="00F06DE2" w:rsidRDefault="00CF2369" w:rsidP="00CF2369">
      <w:pPr>
        <w:pStyle w:val="Header"/>
        <w:spacing w:after="0" w:line="240" w:lineRule="auto"/>
        <w:jc w:val="center"/>
        <w:rPr>
          <w:rFonts w:ascii="Times New Roman" w:hAnsi="Times New Roman" w:cs="Times New Roman"/>
          <w:sz w:val="24"/>
          <w:szCs w:val="24"/>
        </w:rPr>
      </w:pPr>
      <w:r w:rsidRPr="00F06DE2">
        <w:rPr>
          <w:rFonts w:ascii="Times New Roman" w:hAnsi="Times New Roman" w:cs="Times New Roman"/>
          <w:sz w:val="24"/>
          <w:szCs w:val="24"/>
          <w:lang w:val="ru-RU"/>
        </w:rPr>
        <w:t>Европейски комитет за стандарти в корабоплаването по вътрешните водни пътища (</w:t>
      </w:r>
      <w:r w:rsidRPr="00F06DE2">
        <w:rPr>
          <w:rFonts w:ascii="Times New Roman" w:hAnsi="Times New Roman" w:cs="Times New Roman"/>
          <w:sz w:val="24"/>
          <w:szCs w:val="24"/>
          <w:lang w:val="en-US"/>
        </w:rPr>
        <w:t>CESNI</w:t>
      </w:r>
      <w:r w:rsidRPr="00F06DE2">
        <w:rPr>
          <w:rFonts w:ascii="Times New Roman" w:hAnsi="Times New Roman" w:cs="Times New Roman"/>
          <w:sz w:val="24"/>
          <w:szCs w:val="24"/>
        </w:rPr>
        <w:t>)</w:t>
      </w:r>
    </w:p>
    <w:p w14:paraId="4B978ACE" w14:textId="77777777" w:rsidR="00271FA2" w:rsidRPr="00F06DE2" w:rsidRDefault="00271FA2" w:rsidP="00CF2369">
      <w:pPr>
        <w:pStyle w:val="BodyText3"/>
        <w:spacing w:after="0" w:line="360" w:lineRule="auto"/>
        <w:jc w:val="center"/>
        <w:rPr>
          <w:rFonts w:ascii="Times New Roman" w:hAnsi="Times New Roman" w:cs="Times New Roman"/>
          <w:sz w:val="24"/>
          <w:szCs w:val="24"/>
        </w:rPr>
      </w:pPr>
    </w:p>
    <w:p w14:paraId="0FB4CD0B" w14:textId="7A8B72AF" w:rsidR="00271FA2" w:rsidRPr="00F06DE2" w:rsidRDefault="00271FA2" w:rsidP="00CF2369">
      <w:pPr>
        <w:pStyle w:val="BodyText3"/>
        <w:spacing w:after="0" w:line="360" w:lineRule="auto"/>
        <w:jc w:val="center"/>
        <w:rPr>
          <w:rFonts w:ascii="Times New Roman" w:hAnsi="Times New Roman" w:cs="Times New Roman"/>
          <w:sz w:val="24"/>
          <w:szCs w:val="24"/>
        </w:rPr>
      </w:pPr>
    </w:p>
    <w:p w14:paraId="52BB8C8C" w14:textId="1644A567" w:rsidR="00471CF9" w:rsidRPr="00F06DE2" w:rsidRDefault="00471CF9" w:rsidP="00CF2369">
      <w:pPr>
        <w:pStyle w:val="BodyText3"/>
        <w:spacing w:after="0" w:line="360" w:lineRule="auto"/>
        <w:jc w:val="center"/>
        <w:rPr>
          <w:rFonts w:ascii="Times New Roman" w:hAnsi="Times New Roman" w:cs="Times New Roman"/>
          <w:sz w:val="24"/>
          <w:szCs w:val="24"/>
        </w:rPr>
      </w:pPr>
    </w:p>
    <w:p w14:paraId="628A244D" w14:textId="0F234578" w:rsidR="00471CF9" w:rsidRPr="00F06DE2" w:rsidRDefault="00471CF9" w:rsidP="00CF2369">
      <w:pPr>
        <w:pStyle w:val="BodyText3"/>
        <w:spacing w:after="0" w:line="360" w:lineRule="auto"/>
        <w:jc w:val="center"/>
        <w:rPr>
          <w:rFonts w:ascii="Times New Roman" w:hAnsi="Times New Roman" w:cs="Times New Roman"/>
          <w:sz w:val="24"/>
          <w:szCs w:val="24"/>
        </w:rPr>
      </w:pPr>
    </w:p>
    <w:p w14:paraId="572CCF34" w14:textId="77777777" w:rsidR="003E23F1" w:rsidRPr="00F06DE2" w:rsidRDefault="003E23F1" w:rsidP="00CF2369">
      <w:pPr>
        <w:pStyle w:val="BodyText3"/>
        <w:spacing w:after="0" w:line="360" w:lineRule="auto"/>
        <w:jc w:val="center"/>
        <w:rPr>
          <w:rFonts w:ascii="Times New Roman" w:hAnsi="Times New Roman" w:cs="Times New Roman"/>
          <w:sz w:val="24"/>
          <w:szCs w:val="24"/>
        </w:rPr>
      </w:pPr>
    </w:p>
    <w:p w14:paraId="44815FB4" w14:textId="77777777" w:rsidR="0041410D" w:rsidRPr="00F06DE2" w:rsidRDefault="0041410D" w:rsidP="00CF2369">
      <w:pPr>
        <w:pStyle w:val="BodyText3"/>
        <w:spacing w:after="0" w:line="360" w:lineRule="auto"/>
        <w:jc w:val="center"/>
        <w:rPr>
          <w:rFonts w:ascii="Times New Roman" w:hAnsi="Times New Roman" w:cs="Times New Roman"/>
          <w:sz w:val="24"/>
          <w:szCs w:val="24"/>
          <w:lang w:val="ru-RU"/>
        </w:rPr>
      </w:pPr>
    </w:p>
    <w:p w14:paraId="0E76740B" w14:textId="77777777" w:rsidR="0041410D" w:rsidRPr="00F06DE2" w:rsidRDefault="0041410D" w:rsidP="00CF2369">
      <w:pPr>
        <w:pStyle w:val="BodyText3"/>
        <w:spacing w:after="0" w:line="360" w:lineRule="auto"/>
        <w:jc w:val="center"/>
        <w:rPr>
          <w:rFonts w:ascii="Times New Roman" w:hAnsi="Times New Roman" w:cs="Times New Roman"/>
          <w:sz w:val="24"/>
          <w:szCs w:val="24"/>
          <w:lang w:val="ru-RU"/>
        </w:rPr>
      </w:pPr>
    </w:p>
    <w:p w14:paraId="300ECA0A" w14:textId="77777777" w:rsidR="00E43965" w:rsidRPr="00F06DE2" w:rsidRDefault="00D35E51" w:rsidP="00CF2369">
      <w:pPr>
        <w:pStyle w:val="BodyText3"/>
        <w:spacing w:after="0" w:line="360" w:lineRule="auto"/>
        <w:jc w:val="center"/>
        <w:rPr>
          <w:rFonts w:ascii="Times New Roman" w:hAnsi="Times New Roman" w:cs="Times New Roman"/>
          <w:b/>
          <w:sz w:val="48"/>
          <w:szCs w:val="48"/>
          <w:lang w:val="ru-RU"/>
        </w:rPr>
      </w:pPr>
      <w:r w:rsidRPr="00F06DE2">
        <w:rPr>
          <w:rFonts w:ascii="Times New Roman" w:hAnsi="Times New Roman" w:cs="Times New Roman"/>
          <w:b/>
          <w:sz w:val="48"/>
          <w:szCs w:val="48"/>
          <w:lang w:val="ru-RU"/>
        </w:rPr>
        <w:t>Европейски стандарт</w:t>
      </w:r>
    </w:p>
    <w:p w14:paraId="29D86001" w14:textId="02838FB8" w:rsidR="007D457C" w:rsidRPr="00F06DE2" w:rsidRDefault="00D35E51" w:rsidP="00CF2369">
      <w:pPr>
        <w:pStyle w:val="BodyText3"/>
        <w:spacing w:after="0" w:line="360" w:lineRule="auto"/>
        <w:jc w:val="center"/>
        <w:rPr>
          <w:rFonts w:ascii="Times New Roman" w:hAnsi="Times New Roman" w:cs="Times New Roman"/>
          <w:b/>
          <w:sz w:val="48"/>
          <w:szCs w:val="48"/>
          <w:lang w:val="ru-RU"/>
        </w:rPr>
      </w:pPr>
      <w:r w:rsidRPr="00F06DE2">
        <w:rPr>
          <w:rFonts w:ascii="Times New Roman" w:hAnsi="Times New Roman" w:cs="Times New Roman"/>
          <w:b/>
          <w:sz w:val="48"/>
          <w:szCs w:val="48"/>
          <w:lang w:val="ru-RU"/>
        </w:rPr>
        <w:t>за определяне</w:t>
      </w:r>
      <w:r w:rsidR="00AC2105" w:rsidRPr="00F06DE2">
        <w:rPr>
          <w:rFonts w:ascii="Times New Roman" w:hAnsi="Times New Roman" w:cs="Times New Roman"/>
          <w:b/>
          <w:sz w:val="48"/>
          <w:szCs w:val="48"/>
          <w:lang w:val="ru-RU"/>
        </w:rPr>
        <w:t xml:space="preserve"> </w:t>
      </w:r>
      <w:r w:rsidRPr="00F06DE2">
        <w:rPr>
          <w:rFonts w:ascii="Times New Roman" w:hAnsi="Times New Roman" w:cs="Times New Roman"/>
          <w:b/>
          <w:sz w:val="48"/>
          <w:szCs w:val="48"/>
          <w:lang w:val="ru-RU"/>
        </w:rPr>
        <w:t>на</w:t>
      </w:r>
      <w:r w:rsidR="007D457C" w:rsidRPr="00F06DE2">
        <w:rPr>
          <w:rFonts w:ascii="Times New Roman" w:hAnsi="Times New Roman" w:cs="Times New Roman"/>
          <w:b/>
          <w:sz w:val="48"/>
          <w:szCs w:val="48"/>
          <w:lang w:val="ru-RU"/>
        </w:rPr>
        <w:t xml:space="preserve"> </w:t>
      </w:r>
      <w:r w:rsidRPr="00F06DE2">
        <w:rPr>
          <w:rFonts w:ascii="Times New Roman" w:hAnsi="Times New Roman" w:cs="Times New Roman"/>
          <w:b/>
          <w:sz w:val="48"/>
          <w:szCs w:val="48"/>
          <w:lang w:val="ru-RU"/>
        </w:rPr>
        <w:t>технически изисквания</w:t>
      </w:r>
    </w:p>
    <w:p w14:paraId="463CB8BB" w14:textId="77777777" w:rsidR="007D457C" w:rsidRPr="00F06DE2" w:rsidRDefault="00D35E51" w:rsidP="00CF2369">
      <w:pPr>
        <w:pStyle w:val="BodyText3"/>
        <w:spacing w:after="0" w:line="360" w:lineRule="auto"/>
        <w:jc w:val="center"/>
        <w:rPr>
          <w:rFonts w:ascii="Times New Roman" w:hAnsi="Times New Roman" w:cs="Times New Roman"/>
          <w:b/>
          <w:sz w:val="48"/>
          <w:szCs w:val="48"/>
          <w:lang w:val="ru-RU"/>
        </w:rPr>
      </w:pPr>
      <w:r w:rsidRPr="00F06DE2">
        <w:rPr>
          <w:rFonts w:ascii="Times New Roman" w:hAnsi="Times New Roman" w:cs="Times New Roman"/>
          <w:b/>
          <w:sz w:val="48"/>
          <w:szCs w:val="48"/>
          <w:lang w:val="ru-RU"/>
        </w:rPr>
        <w:t>за</w:t>
      </w:r>
      <w:r w:rsidR="007D457C" w:rsidRPr="00F06DE2">
        <w:rPr>
          <w:rFonts w:ascii="Times New Roman" w:hAnsi="Times New Roman" w:cs="Times New Roman"/>
          <w:b/>
          <w:sz w:val="48"/>
          <w:szCs w:val="48"/>
          <w:lang w:val="ru-RU"/>
        </w:rPr>
        <w:t xml:space="preserve"> </w:t>
      </w:r>
      <w:r w:rsidRPr="00F06DE2">
        <w:rPr>
          <w:rFonts w:ascii="Times New Roman" w:hAnsi="Times New Roman" w:cs="Times New Roman"/>
          <w:b/>
          <w:sz w:val="48"/>
          <w:szCs w:val="48"/>
          <w:lang w:val="ru-RU"/>
        </w:rPr>
        <w:t>плавателните съдове</w:t>
      </w:r>
    </w:p>
    <w:p w14:paraId="262AC80F" w14:textId="422E3DF6" w:rsidR="00271FA2" w:rsidRPr="00F06DE2" w:rsidRDefault="00D35E51" w:rsidP="00CF2369">
      <w:pPr>
        <w:pStyle w:val="BodyText3"/>
        <w:spacing w:after="0" w:line="360" w:lineRule="auto"/>
        <w:jc w:val="center"/>
        <w:rPr>
          <w:rFonts w:ascii="Times New Roman" w:hAnsi="Times New Roman" w:cs="Times New Roman"/>
          <w:b/>
          <w:bCs/>
          <w:iCs/>
          <w:sz w:val="48"/>
          <w:szCs w:val="48"/>
          <w:lang w:val="ru-RU"/>
        </w:rPr>
      </w:pPr>
      <w:r w:rsidRPr="00F06DE2">
        <w:rPr>
          <w:rFonts w:ascii="Times New Roman" w:hAnsi="Times New Roman" w:cs="Times New Roman"/>
          <w:b/>
          <w:sz w:val="48"/>
          <w:szCs w:val="48"/>
          <w:lang w:val="ru-RU"/>
        </w:rPr>
        <w:t>от</w:t>
      </w:r>
      <w:r w:rsidR="007D457C" w:rsidRPr="00F06DE2">
        <w:rPr>
          <w:rFonts w:ascii="Times New Roman" w:hAnsi="Times New Roman" w:cs="Times New Roman"/>
          <w:b/>
          <w:sz w:val="48"/>
          <w:szCs w:val="48"/>
          <w:lang w:val="ru-RU"/>
        </w:rPr>
        <w:t xml:space="preserve"> </w:t>
      </w:r>
      <w:r w:rsidRPr="00F06DE2">
        <w:rPr>
          <w:rFonts w:ascii="Times New Roman" w:hAnsi="Times New Roman" w:cs="Times New Roman"/>
          <w:b/>
          <w:sz w:val="48"/>
          <w:szCs w:val="48"/>
          <w:lang w:val="ru-RU"/>
        </w:rPr>
        <w:t>вътрешно корабоплаване</w:t>
      </w:r>
    </w:p>
    <w:p w14:paraId="5249AF9B" w14:textId="77777777" w:rsidR="00271FA2" w:rsidRPr="00F06DE2" w:rsidRDefault="00D35E51" w:rsidP="00CF2369">
      <w:pPr>
        <w:spacing w:after="0" w:line="360" w:lineRule="auto"/>
        <w:jc w:val="center"/>
        <w:rPr>
          <w:rFonts w:ascii="Times New Roman" w:hAnsi="Times New Roman" w:cs="Times New Roman"/>
          <w:b/>
          <w:sz w:val="48"/>
          <w:szCs w:val="48"/>
          <w:lang w:val="ru-RU"/>
        </w:rPr>
      </w:pPr>
      <w:r w:rsidRPr="00F06DE2">
        <w:rPr>
          <w:rFonts w:ascii="Times New Roman" w:hAnsi="Times New Roman" w:cs="Times New Roman"/>
          <w:b/>
          <w:sz w:val="48"/>
          <w:szCs w:val="48"/>
          <w:lang w:val="ru-RU"/>
        </w:rPr>
        <w:t>(</w:t>
      </w:r>
      <w:r w:rsidRPr="00F06DE2">
        <w:rPr>
          <w:rFonts w:ascii="Times New Roman" w:hAnsi="Times New Roman" w:cs="Times New Roman"/>
          <w:b/>
          <w:sz w:val="48"/>
          <w:szCs w:val="48"/>
        </w:rPr>
        <w:t>ES</w:t>
      </w:r>
      <w:r w:rsidRPr="00F06DE2">
        <w:rPr>
          <w:rFonts w:ascii="Times New Roman" w:hAnsi="Times New Roman" w:cs="Times New Roman"/>
          <w:b/>
          <w:sz w:val="48"/>
          <w:szCs w:val="48"/>
          <w:lang w:val="ru-RU"/>
        </w:rPr>
        <w:t>-</w:t>
      </w:r>
      <w:r w:rsidRPr="00F06DE2">
        <w:rPr>
          <w:rFonts w:ascii="Times New Roman" w:hAnsi="Times New Roman" w:cs="Times New Roman"/>
          <w:b/>
          <w:sz w:val="48"/>
          <w:szCs w:val="48"/>
        </w:rPr>
        <w:t>TRIN</w:t>
      </w:r>
      <w:r w:rsidRPr="00F06DE2">
        <w:rPr>
          <w:rFonts w:ascii="Times New Roman" w:hAnsi="Times New Roman" w:cs="Times New Roman"/>
          <w:b/>
          <w:sz w:val="48"/>
          <w:szCs w:val="48"/>
          <w:lang w:val="ru-RU"/>
        </w:rPr>
        <w:t>)</w:t>
      </w:r>
    </w:p>
    <w:p w14:paraId="6FE2A413" w14:textId="77777777" w:rsidR="00811B95" w:rsidRPr="00F06DE2" w:rsidRDefault="00811B95" w:rsidP="00CF2369">
      <w:pPr>
        <w:spacing w:after="0" w:line="360" w:lineRule="auto"/>
        <w:jc w:val="center"/>
        <w:rPr>
          <w:rFonts w:ascii="Times New Roman" w:hAnsi="Times New Roman" w:cs="Times New Roman"/>
          <w:sz w:val="24"/>
          <w:szCs w:val="24"/>
          <w:lang w:val="ru-RU"/>
        </w:rPr>
      </w:pPr>
    </w:p>
    <w:p w14:paraId="64BD53C7" w14:textId="77777777" w:rsidR="00811B95" w:rsidRPr="00F06DE2" w:rsidRDefault="00811B95" w:rsidP="00CF2369">
      <w:pPr>
        <w:spacing w:after="0" w:line="360" w:lineRule="auto"/>
        <w:jc w:val="center"/>
        <w:rPr>
          <w:rFonts w:ascii="Times New Roman" w:hAnsi="Times New Roman" w:cs="Times New Roman"/>
          <w:sz w:val="24"/>
          <w:szCs w:val="24"/>
          <w:lang w:val="ru-RU"/>
        </w:rPr>
      </w:pPr>
    </w:p>
    <w:p w14:paraId="4E43E244" w14:textId="1A3D80A4" w:rsidR="00811B95" w:rsidRPr="00F06DE2" w:rsidRDefault="00811B95" w:rsidP="00CF2369">
      <w:pPr>
        <w:spacing w:after="0" w:line="360" w:lineRule="auto"/>
        <w:jc w:val="center"/>
        <w:rPr>
          <w:rFonts w:ascii="Times New Roman" w:hAnsi="Times New Roman" w:cs="Times New Roman"/>
          <w:sz w:val="24"/>
          <w:szCs w:val="24"/>
          <w:lang w:val="ru-RU"/>
        </w:rPr>
      </w:pPr>
    </w:p>
    <w:p w14:paraId="447CE2ED" w14:textId="77777777" w:rsidR="003E23F1" w:rsidRPr="00F06DE2" w:rsidRDefault="003E23F1" w:rsidP="00CF2369">
      <w:pPr>
        <w:spacing w:after="0" w:line="360" w:lineRule="auto"/>
        <w:jc w:val="center"/>
        <w:rPr>
          <w:rFonts w:ascii="Times New Roman" w:hAnsi="Times New Roman" w:cs="Times New Roman"/>
          <w:sz w:val="24"/>
          <w:szCs w:val="24"/>
          <w:lang w:val="ru-RU"/>
        </w:rPr>
      </w:pPr>
    </w:p>
    <w:p w14:paraId="0AFBD94A" w14:textId="77777777" w:rsidR="00836B2C" w:rsidRPr="00F06DE2" w:rsidRDefault="00836B2C" w:rsidP="00CF2369">
      <w:pPr>
        <w:pStyle w:val="Annexetitreglobale"/>
        <w:spacing w:after="0" w:line="360" w:lineRule="auto"/>
        <w:rPr>
          <w:rFonts w:ascii="Times New Roman" w:hAnsi="Times New Roman" w:cs="Times New Roman"/>
          <w:b w:val="0"/>
          <w:sz w:val="24"/>
          <w:szCs w:val="24"/>
          <w:u w:val="none"/>
          <w:lang w:val="ru-RU"/>
        </w:rPr>
      </w:pPr>
    </w:p>
    <w:p w14:paraId="0DA5F83A" w14:textId="77777777" w:rsidR="0032675C" w:rsidRPr="00F06DE2" w:rsidRDefault="0032675C" w:rsidP="00CF2369">
      <w:pPr>
        <w:spacing w:after="0" w:line="360" w:lineRule="auto"/>
        <w:jc w:val="center"/>
        <w:rPr>
          <w:rFonts w:ascii="Times New Roman" w:hAnsi="Times New Roman" w:cs="Times New Roman"/>
          <w:strike/>
          <w:sz w:val="24"/>
          <w:szCs w:val="24"/>
          <w:lang w:val="ru-RU"/>
        </w:rPr>
      </w:pPr>
    </w:p>
    <w:p w14:paraId="37700E8A" w14:textId="77777777" w:rsidR="00264836" w:rsidRPr="00F06DE2" w:rsidRDefault="00264836" w:rsidP="00CF2369">
      <w:pPr>
        <w:spacing w:after="0" w:line="360" w:lineRule="auto"/>
        <w:jc w:val="center"/>
        <w:rPr>
          <w:rFonts w:ascii="Times New Roman" w:hAnsi="Times New Roman" w:cs="Times New Roman"/>
          <w:sz w:val="24"/>
          <w:szCs w:val="24"/>
          <w:lang w:val="ru-RU"/>
        </w:rPr>
      </w:pPr>
    </w:p>
    <w:p w14:paraId="673C9758" w14:textId="06142E83" w:rsidR="006332C6" w:rsidRPr="008B45B8" w:rsidRDefault="008B45B8" w:rsidP="008B45B8">
      <w:pPr>
        <w:spacing w:after="0" w:line="240" w:lineRule="auto"/>
        <w:jc w:val="both"/>
        <w:rPr>
          <w:rFonts w:ascii="Times New Roman" w:hAnsi="Times New Roman" w:cs="Times New Roman"/>
          <w:i/>
          <w:color w:val="000000"/>
          <w:sz w:val="20"/>
          <w:szCs w:val="20"/>
          <w:lang w:val="ru-RU"/>
        </w:rPr>
      </w:pPr>
      <w:r w:rsidRPr="00102630">
        <w:rPr>
          <w:rFonts w:ascii="Times New Roman" w:hAnsi="Times New Roman" w:cs="Times New Roman"/>
          <w:b/>
          <w:bCs/>
          <w:i/>
          <w:color w:val="000000"/>
          <w:sz w:val="20"/>
          <w:szCs w:val="20"/>
          <w:lang w:val="ru-RU"/>
        </w:rPr>
        <w:t>Забележка:</w:t>
      </w:r>
      <w:r w:rsidRPr="00102630">
        <w:rPr>
          <w:rFonts w:ascii="Times New Roman" w:hAnsi="Times New Roman" w:cs="Times New Roman"/>
          <w:bCs/>
          <w:i/>
          <w:color w:val="000000"/>
          <w:sz w:val="20"/>
          <w:szCs w:val="20"/>
          <w:lang w:val="ru-RU"/>
        </w:rPr>
        <w:t xml:space="preserve"> Европейският стандарт за определяне на технически изисквания за плавателните съдове от вътрешно корабоплаване (</w:t>
      </w:r>
      <w:r w:rsidRPr="00102630">
        <w:rPr>
          <w:rFonts w:ascii="Times New Roman" w:hAnsi="Times New Roman" w:cs="Times New Roman"/>
          <w:bCs/>
          <w:i/>
          <w:color w:val="000000"/>
          <w:sz w:val="20"/>
          <w:szCs w:val="20"/>
          <w:lang w:val="en-US"/>
        </w:rPr>
        <w:t>ES-TRIN</w:t>
      </w:r>
      <w:r w:rsidRPr="00102630">
        <w:rPr>
          <w:rFonts w:ascii="Times New Roman" w:hAnsi="Times New Roman" w:cs="Times New Roman"/>
          <w:bCs/>
          <w:i/>
          <w:color w:val="000000"/>
          <w:sz w:val="20"/>
          <w:szCs w:val="20"/>
        </w:rPr>
        <w:t>)</w:t>
      </w:r>
      <w:r w:rsidR="006332C6" w:rsidRPr="00102630">
        <w:rPr>
          <w:rFonts w:ascii="Times New Roman" w:hAnsi="Times New Roman" w:cs="Times New Roman"/>
          <w:bCs/>
          <w:i/>
          <w:color w:val="000000"/>
          <w:sz w:val="20"/>
          <w:szCs w:val="20"/>
          <w:lang w:val="ru-RU"/>
        </w:rPr>
        <w:t xml:space="preserve"> </w:t>
      </w:r>
      <w:r w:rsidRPr="00102630">
        <w:rPr>
          <w:rFonts w:ascii="Times New Roman" w:hAnsi="Times New Roman" w:cs="Times New Roman"/>
          <w:bCs/>
          <w:i/>
          <w:color w:val="000000"/>
          <w:sz w:val="20"/>
          <w:szCs w:val="20"/>
        </w:rPr>
        <w:t>е съставен на работни</w:t>
      </w:r>
      <w:r w:rsidR="00102630" w:rsidRPr="00102630">
        <w:rPr>
          <w:rFonts w:ascii="Times New Roman" w:hAnsi="Times New Roman" w:cs="Times New Roman"/>
          <w:bCs/>
          <w:i/>
          <w:color w:val="000000"/>
          <w:sz w:val="20"/>
          <w:szCs w:val="20"/>
        </w:rPr>
        <w:t>те</w:t>
      </w:r>
      <w:r w:rsidRPr="00102630">
        <w:rPr>
          <w:rFonts w:ascii="Times New Roman" w:hAnsi="Times New Roman" w:cs="Times New Roman"/>
          <w:bCs/>
          <w:i/>
          <w:color w:val="000000"/>
          <w:sz w:val="20"/>
          <w:szCs w:val="20"/>
        </w:rPr>
        <w:t xml:space="preserve"> езици </w:t>
      </w:r>
      <w:r w:rsidR="006332C6" w:rsidRPr="00102630">
        <w:rPr>
          <w:rFonts w:ascii="Times New Roman" w:hAnsi="Times New Roman" w:cs="Times New Roman"/>
          <w:bCs/>
          <w:i/>
          <w:color w:val="000000"/>
          <w:sz w:val="20"/>
          <w:szCs w:val="20"/>
          <w:lang w:val="ru-RU"/>
        </w:rPr>
        <w:t>на Европейския комитет за стандарти в областта на корабоплаване</w:t>
      </w:r>
      <w:r w:rsidR="007B5779">
        <w:rPr>
          <w:rFonts w:ascii="Times New Roman" w:hAnsi="Times New Roman" w:cs="Times New Roman"/>
          <w:bCs/>
          <w:i/>
          <w:color w:val="000000"/>
          <w:sz w:val="20"/>
          <w:szCs w:val="20"/>
          <w:lang w:val="ru-RU"/>
        </w:rPr>
        <w:t>то по вътрешните водни пътища</w:t>
      </w:r>
      <w:r w:rsidR="006332C6" w:rsidRPr="00102630">
        <w:rPr>
          <w:rFonts w:ascii="Times New Roman" w:hAnsi="Times New Roman" w:cs="Times New Roman"/>
          <w:bCs/>
          <w:i/>
          <w:color w:val="000000"/>
          <w:sz w:val="20"/>
          <w:szCs w:val="20"/>
          <w:lang w:val="ru-RU"/>
        </w:rPr>
        <w:t xml:space="preserve"> (</w:t>
      </w:r>
      <w:r w:rsidR="006332C6" w:rsidRPr="00102630">
        <w:rPr>
          <w:rFonts w:ascii="Times New Roman" w:hAnsi="Times New Roman" w:cs="Times New Roman"/>
          <w:bCs/>
          <w:i/>
          <w:color w:val="000000"/>
          <w:sz w:val="20"/>
          <w:szCs w:val="20"/>
        </w:rPr>
        <w:t>CESNI</w:t>
      </w:r>
      <w:r w:rsidR="006332C6" w:rsidRPr="00102630">
        <w:rPr>
          <w:rFonts w:ascii="Times New Roman" w:hAnsi="Times New Roman" w:cs="Times New Roman"/>
          <w:bCs/>
          <w:i/>
          <w:color w:val="000000"/>
          <w:sz w:val="20"/>
          <w:szCs w:val="20"/>
          <w:lang w:val="ru-RU"/>
        </w:rPr>
        <w:t xml:space="preserve">) </w:t>
      </w:r>
      <w:r w:rsidR="00102630" w:rsidRPr="00102630">
        <w:rPr>
          <w:rFonts w:ascii="Times New Roman" w:hAnsi="Times New Roman" w:cs="Times New Roman"/>
          <w:bCs/>
          <w:i/>
          <w:color w:val="000000"/>
          <w:sz w:val="20"/>
          <w:szCs w:val="20"/>
          <w:lang w:val="ru-RU"/>
        </w:rPr>
        <w:t>– английски, френски, нидерландски и немски</w:t>
      </w:r>
      <w:r w:rsidR="006332C6" w:rsidRPr="00102630">
        <w:rPr>
          <w:rFonts w:ascii="Times New Roman" w:hAnsi="Times New Roman" w:cs="Times New Roman"/>
          <w:bCs/>
          <w:i/>
          <w:color w:val="000000"/>
          <w:sz w:val="20"/>
          <w:szCs w:val="20"/>
          <w:lang w:val="ru-RU"/>
        </w:rPr>
        <w:t>.</w:t>
      </w:r>
    </w:p>
    <w:p w14:paraId="73FDF462" w14:textId="77777777" w:rsidR="00271FA2" w:rsidRPr="00F06DE2" w:rsidRDefault="00271FA2" w:rsidP="00CF2369">
      <w:pPr>
        <w:spacing w:after="0" w:line="360" w:lineRule="auto"/>
        <w:jc w:val="center"/>
        <w:rPr>
          <w:rFonts w:ascii="Times New Roman" w:hAnsi="Times New Roman" w:cs="Times New Roman"/>
          <w:sz w:val="24"/>
          <w:szCs w:val="24"/>
          <w:lang w:val="ru-RU"/>
        </w:rPr>
      </w:pPr>
    </w:p>
    <w:p w14:paraId="709544E4" w14:textId="77777777" w:rsidR="00271FA2" w:rsidRPr="00102630" w:rsidRDefault="00271FA2">
      <w:pPr>
        <w:spacing w:line="240" w:lineRule="atLeast"/>
        <w:jc w:val="center"/>
        <w:rPr>
          <w:rFonts w:ascii="Times New Roman" w:hAnsi="Times New Roman" w:cs="Times New Roman"/>
          <w:b/>
          <w:sz w:val="24"/>
          <w:szCs w:val="24"/>
          <w:lang w:val="en-US"/>
        </w:rPr>
        <w:sectPr w:rsidR="00271FA2" w:rsidRPr="00102630" w:rsidSect="00F06DE2">
          <w:headerReference w:type="default" r:id="rId9"/>
          <w:footerReference w:type="default" r:id="rId10"/>
          <w:headerReference w:type="first" r:id="rId11"/>
          <w:footerReference w:type="first" r:id="rId12"/>
          <w:footnotePr>
            <w:numRestart w:val="eachPage"/>
          </w:footnotePr>
          <w:pgSz w:w="11906" w:h="16838" w:code="9"/>
          <w:pgMar w:top="1134" w:right="1134" w:bottom="1134" w:left="1134" w:header="709" w:footer="709" w:gutter="0"/>
          <w:pgNumType w:fmt="lowerRoman" w:start="1"/>
          <w:cols w:space="709"/>
          <w:titlePg/>
          <w:docGrid w:linePitch="326"/>
        </w:sectPr>
      </w:pPr>
    </w:p>
    <w:p w14:paraId="2980D13F" w14:textId="77777777" w:rsidR="00271FA2" w:rsidRPr="00F06DE2" w:rsidRDefault="00271FA2">
      <w:pPr>
        <w:pStyle w:val="TOCHeading1"/>
        <w:spacing w:after="0" w:line="240" w:lineRule="atLeast"/>
        <w:rPr>
          <w:rFonts w:ascii="Times New Roman" w:hAnsi="Times New Roman" w:cs="Times New Roman"/>
          <w:sz w:val="24"/>
          <w:szCs w:val="24"/>
          <w:lang w:val="ru-RU"/>
        </w:rPr>
      </w:pPr>
    </w:p>
    <w:p w14:paraId="4DE81F73" w14:textId="77777777" w:rsidR="00271FA2" w:rsidRPr="00F06DE2" w:rsidRDefault="00D35E51">
      <w:pPr>
        <w:pStyle w:val="TOCHeading1"/>
        <w:spacing w:after="0" w:line="240" w:lineRule="atLeast"/>
        <w:rPr>
          <w:rFonts w:ascii="Times New Roman" w:hAnsi="Times New Roman" w:cs="Times New Roman"/>
          <w:sz w:val="24"/>
          <w:szCs w:val="24"/>
        </w:rPr>
      </w:pPr>
      <w:r w:rsidRPr="00F06DE2">
        <w:rPr>
          <w:rFonts w:ascii="Times New Roman" w:hAnsi="Times New Roman" w:cs="Times New Roman"/>
          <w:sz w:val="24"/>
          <w:szCs w:val="24"/>
        </w:rPr>
        <w:t>СЪДЪРЖАНИЕ</w:t>
      </w:r>
    </w:p>
    <w:p w14:paraId="5D0B5624" w14:textId="1447A469" w:rsidR="00271FA2" w:rsidRPr="00F06DE2" w:rsidRDefault="00D35E51" w:rsidP="00BA76A0">
      <w:pPr>
        <w:pStyle w:val="TOC1"/>
        <w:spacing w:before="180" w:after="0"/>
        <w:ind w:left="0" w:right="0" w:firstLine="0"/>
        <w:rPr>
          <w:rFonts w:ascii="Times New Roman" w:eastAsiaTheme="minorEastAsia" w:hAnsi="Times New Roman"/>
          <w:b w:val="0"/>
          <w:bCs w:val="0"/>
          <w:i/>
          <w:iCs/>
          <w:caps w:val="0"/>
          <w:sz w:val="24"/>
          <w:szCs w:val="24"/>
          <w:lang w:eastAsia="en-GB" w:bidi="ar-SA"/>
        </w:rPr>
      </w:pPr>
      <w:r w:rsidRPr="00F06DE2">
        <w:rPr>
          <w:rFonts w:ascii="Times New Roman" w:hAnsi="Times New Roman"/>
          <w:sz w:val="24"/>
          <w:szCs w:val="24"/>
        </w:rPr>
        <w:fldChar w:fldCharType="begin"/>
      </w:r>
      <w:r w:rsidRPr="00F06DE2">
        <w:rPr>
          <w:rFonts w:ascii="Times New Roman" w:hAnsi="Times New Roman"/>
          <w:sz w:val="24"/>
          <w:szCs w:val="24"/>
        </w:rPr>
        <w:instrText xml:space="preserve"> TOC \h \z \t "ES-Titre1;1;ES-Titre2;2;ES-Titre3;3;ES-Titre3a;3;Es-Titre_annexes;1;ES-Titre3_pr_chap32;3;Chiffre_gras;1;ES-Titre2_ESI;2" </w:instrText>
      </w:r>
      <w:r w:rsidRPr="00F06DE2">
        <w:rPr>
          <w:rFonts w:ascii="Times New Roman" w:hAnsi="Times New Roman"/>
          <w:sz w:val="24"/>
          <w:szCs w:val="24"/>
        </w:rPr>
        <w:fldChar w:fldCharType="separate"/>
      </w:r>
      <w:hyperlink w:anchor="_Toc535827443" w:history="1">
        <w:r w:rsidRPr="00F06DE2">
          <w:rPr>
            <w:rStyle w:val="Hyperlink"/>
            <w:rFonts w:ascii="Times New Roman" w:hAnsi="Times New Roman"/>
            <w:i/>
            <w:iCs/>
            <w:color w:val="auto"/>
            <w:sz w:val="24"/>
            <w:szCs w:val="24"/>
            <w:u w:val="none"/>
          </w:rPr>
          <w:t>ЧАСТ I ОБЩИ ПОЛОЖЕНИЯ</w:t>
        </w:r>
        <w:r w:rsidR="007150F0" w:rsidRPr="00F06DE2">
          <w:rPr>
            <w:rStyle w:val="Hyperlink"/>
            <w:rFonts w:ascii="Times New Roman" w:hAnsi="Times New Roman"/>
            <w:i/>
            <w:iCs/>
            <w:color w:val="auto"/>
            <w:sz w:val="24"/>
            <w:szCs w:val="24"/>
            <w:u w:val="none"/>
          </w:rPr>
          <w:t xml:space="preserve">                                                                                                              </w:t>
        </w:r>
        <w:r w:rsidRPr="00F06DE2">
          <w:rPr>
            <w:rFonts w:ascii="Times New Roman" w:hAnsi="Times New Roman"/>
            <w:b w:val="0"/>
            <w:bCs w:val="0"/>
            <w:i/>
            <w:iCs/>
            <w:sz w:val="24"/>
            <w:szCs w:val="24"/>
          </w:rPr>
          <w:fldChar w:fldCharType="begin"/>
        </w:r>
        <w:r w:rsidRPr="00F06DE2">
          <w:rPr>
            <w:rFonts w:ascii="Times New Roman" w:hAnsi="Times New Roman"/>
            <w:b w:val="0"/>
            <w:bCs w:val="0"/>
            <w:i/>
            <w:iCs/>
            <w:sz w:val="24"/>
            <w:szCs w:val="24"/>
          </w:rPr>
          <w:instrText xml:space="preserve"> PAGEREF _Toc535827443 \h </w:instrText>
        </w:r>
        <w:r w:rsidRPr="00F06DE2">
          <w:rPr>
            <w:rFonts w:ascii="Times New Roman" w:hAnsi="Times New Roman"/>
            <w:b w:val="0"/>
            <w:bCs w:val="0"/>
            <w:i/>
            <w:iCs/>
            <w:sz w:val="24"/>
            <w:szCs w:val="24"/>
          </w:rPr>
        </w:r>
        <w:r w:rsidRPr="00F06DE2">
          <w:rPr>
            <w:rFonts w:ascii="Times New Roman" w:hAnsi="Times New Roman"/>
            <w:b w:val="0"/>
            <w:bCs w:val="0"/>
            <w:i/>
            <w:iCs/>
            <w:sz w:val="24"/>
            <w:szCs w:val="24"/>
          </w:rPr>
          <w:fldChar w:fldCharType="separate"/>
        </w:r>
        <w:r w:rsidR="00871F5D" w:rsidRPr="00F06DE2">
          <w:rPr>
            <w:rFonts w:ascii="Times New Roman" w:hAnsi="Times New Roman"/>
            <w:b w:val="0"/>
            <w:bCs w:val="0"/>
            <w:i/>
            <w:iCs/>
            <w:noProof/>
            <w:sz w:val="24"/>
            <w:szCs w:val="24"/>
          </w:rPr>
          <w:t>1</w:t>
        </w:r>
        <w:r w:rsidRPr="00F06DE2">
          <w:rPr>
            <w:rFonts w:ascii="Times New Roman" w:hAnsi="Times New Roman"/>
            <w:b w:val="0"/>
            <w:bCs w:val="0"/>
            <w:i/>
            <w:iCs/>
            <w:sz w:val="24"/>
            <w:szCs w:val="24"/>
          </w:rPr>
          <w:fldChar w:fldCharType="end"/>
        </w:r>
      </w:hyperlink>
    </w:p>
    <w:p w14:paraId="16F49B57" w14:textId="5C6A3FD4" w:rsidR="00271FA2" w:rsidRPr="00F06DE2" w:rsidRDefault="002C62EC" w:rsidP="001C484D">
      <w:pPr>
        <w:pStyle w:val="TOC2"/>
        <w:tabs>
          <w:tab w:val="right" w:leader="dot" w:pos="9060"/>
        </w:tabs>
        <w:spacing w:before="0"/>
        <w:ind w:left="0" w:right="0" w:firstLine="0"/>
        <w:rPr>
          <w:rFonts w:ascii="Times New Roman" w:eastAsiaTheme="minorEastAsia" w:hAnsi="Times New Roman"/>
          <w:i/>
          <w:iCs/>
          <w:smallCaps w:val="0"/>
          <w:sz w:val="24"/>
          <w:szCs w:val="24"/>
          <w:lang w:eastAsia="en-GB" w:bidi="ar-SA"/>
        </w:rPr>
      </w:pPr>
      <w:hyperlink w:anchor="_Toc535827444" w:history="1">
        <w:r w:rsidR="00D35E51" w:rsidRPr="00F06DE2">
          <w:rPr>
            <w:rStyle w:val="Hyperlink"/>
            <w:rFonts w:ascii="Times New Roman" w:hAnsi="Times New Roman"/>
            <w:b w:val="0"/>
            <w:bCs w:val="0"/>
            <w:i/>
            <w:iCs/>
            <w:color w:val="auto"/>
            <w:sz w:val="24"/>
            <w:szCs w:val="24"/>
            <w:u w:val="none"/>
          </w:rPr>
          <w:t>Глава 1 Общи положения</w:t>
        </w:r>
        <w:r w:rsidR="006546E5">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fldChar w:fldCharType="begin"/>
        </w:r>
        <w:r w:rsidR="00D35E51" w:rsidRPr="00F06DE2">
          <w:rPr>
            <w:rFonts w:ascii="Times New Roman" w:hAnsi="Times New Roman"/>
            <w:i/>
            <w:iCs/>
            <w:sz w:val="24"/>
            <w:szCs w:val="24"/>
          </w:rPr>
          <w:instrText xml:space="preserve"> PAGEREF _Toc535827444 \h </w:instrText>
        </w:r>
        <w:r w:rsidR="00D35E51" w:rsidRPr="00F06DE2">
          <w:rPr>
            <w:rFonts w:ascii="Times New Roman" w:hAnsi="Times New Roman"/>
            <w:i/>
            <w:iCs/>
            <w:sz w:val="24"/>
            <w:szCs w:val="24"/>
          </w:rPr>
        </w:r>
        <w:r w:rsidR="00D35E51" w:rsidRPr="00F06DE2">
          <w:rPr>
            <w:rFonts w:ascii="Times New Roman" w:hAnsi="Times New Roman"/>
            <w:i/>
            <w:iCs/>
            <w:sz w:val="24"/>
            <w:szCs w:val="24"/>
          </w:rPr>
          <w:fldChar w:fldCharType="separate"/>
        </w:r>
        <w:r w:rsidR="00871F5D" w:rsidRPr="00F06DE2">
          <w:rPr>
            <w:rFonts w:ascii="Times New Roman" w:hAnsi="Times New Roman"/>
            <w:i/>
            <w:iCs/>
            <w:noProof/>
            <w:sz w:val="24"/>
            <w:szCs w:val="24"/>
          </w:rPr>
          <w:t>1</w:t>
        </w:r>
        <w:r w:rsidR="00D35E51" w:rsidRPr="00F06DE2">
          <w:rPr>
            <w:rFonts w:ascii="Times New Roman" w:hAnsi="Times New Roman"/>
            <w:i/>
            <w:iCs/>
            <w:sz w:val="24"/>
            <w:szCs w:val="24"/>
          </w:rPr>
          <w:fldChar w:fldCharType="end"/>
        </w:r>
      </w:hyperlink>
    </w:p>
    <w:p w14:paraId="40F82089" w14:textId="1AAE8145"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45" w:history="1">
        <w:r w:rsidR="00D35E51" w:rsidRPr="00F06DE2">
          <w:rPr>
            <w:rStyle w:val="Hyperlink"/>
            <w:rFonts w:ascii="Times New Roman" w:hAnsi="Times New Roman"/>
            <w:b w:val="0"/>
            <w:bCs w:val="0"/>
            <w:color w:val="auto"/>
            <w:sz w:val="24"/>
            <w:szCs w:val="24"/>
            <w:u w:val="none"/>
          </w:rPr>
          <w:t>Член 1.01 Oпределения</w:t>
        </w:r>
        <w:r w:rsidR="006546E5">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fldChar w:fldCharType="begin"/>
        </w:r>
        <w:r w:rsidR="00D35E51" w:rsidRPr="00F06DE2">
          <w:rPr>
            <w:rFonts w:ascii="Times New Roman" w:hAnsi="Times New Roman"/>
            <w:sz w:val="24"/>
            <w:szCs w:val="24"/>
          </w:rPr>
          <w:instrText xml:space="preserve"> PAGEREF _Toc535827445 \h </w:instrText>
        </w:r>
        <w:r w:rsidR="00D35E51" w:rsidRPr="00F06DE2">
          <w:rPr>
            <w:rFonts w:ascii="Times New Roman" w:hAnsi="Times New Roman"/>
            <w:sz w:val="24"/>
            <w:szCs w:val="24"/>
          </w:rPr>
        </w:r>
        <w:r w:rsidR="00D35E51" w:rsidRPr="00F06DE2">
          <w:rPr>
            <w:rFonts w:ascii="Times New Roman" w:hAnsi="Times New Roman"/>
            <w:sz w:val="24"/>
            <w:szCs w:val="24"/>
          </w:rPr>
          <w:fldChar w:fldCharType="separate"/>
        </w:r>
        <w:r w:rsidR="00871F5D" w:rsidRPr="00F06DE2">
          <w:rPr>
            <w:rFonts w:ascii="Times New Roman" w:hAnsi="Times New Roman"/>
            <w:noProof/>
            <w:sz w:val="24"/>
            <w:szCs w:val="24"/>
          </w:rPr>
          <w:t>1</w:t>
        </w:r>
        <w:r w:rsidR="00D35E51" w:rsidRPr="00F06DE2">
          <w:rPr>
            <w:rFonts w:ascii="Times New Roman" w:hAnsi="Times New Roman"/>
            <w:sz w:val="24"/>
            <w:szCs w:val="24"/>
          </w:rPr>
          <w:fldChar w:fldCharType="end"/>
        </w:r>
      </w:hyperlink>
    </w:p>
    <w:p w14:paraId="0A051000" w14:textId="64621AFF"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46" w:history="1">
        <w:r w:rsidR="00D35E51" w:rsidRPr="00F06DE2">
          <w:rPr>
            <w:rStyle w:val="Hyperlink"/>
            <w:rFonts w:ascii="Times New Roman" w:hAnsi="Times New Roman"/>
            <w:b w:val="0"/>
            <w:bCs w:val="0"/>
            <w:color w:val="auto"/>
            <w:sz w:val="24"/>
            <w:szCs w:val="24"/>
            <w:u w:val="none"/>
          </w:rPr>
          <w:t>Член 1.02 Инструкции за прилагането на настоящия стандарт</w:t>
        </w:r>
        <w:r w:rsidR="006546E5">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w:t>
        </w:r>
      </w:hyperlink>
    </w:p>
    <w:p w14:paraId="7F437682" w14:textId="362489E8" w:rsidR="00271FA2" w:rsidRPr="00F06DE2" w:rsidRDefault="002C62EC" w:rsidP="001C484D">
      <w:pPr>
        <w:pStyle w:val="TOC2"/>
        <w:tabs>
          <w:tab w:val="right" w:leader="dot" w:pos="9060"/>
        </w:tabs>
        <w:spacing w:before="0"/>
        <w:ind w:left="0" w:right="0" w:firstLine="0"/>
        <w:rPr>
          <w:rFonts w:ascii="Times New Roman" w:eastAsiaTheme="minorEastAsia" w:hAnsi="Times New Roman"/>
          <w:i/>
          <w:iCs/>
          <w:smallCaps w:val="0"/>
          <w:sz w:val="24"/>
          <w:szCs w:val="24"/>
          <w:lang w:eastAsia="en-GB" w:bidi="ar-SA"/>
        </w:rPr>
      </w:pPr>
      <w:hyperlink w:anchor="_Toc535827447" w:history="1">
        <w:r w:rsidR="00D35E51" w:rsidRPr="00F06DE2">
          <w:rPr>
            <w:rStyle w:val="Hyperlink"/>
            <w:rFonts w:ascii="Times New Roman" w:hAnsi="Times New Roman"/>
            <w:b w:val="0"/>
            <w:bCs w:val="0"/>
            <w:i/>
            <w:iCs/>
            <w:color w:val="auto"/>
            <w:sz w:val="24"/>
            <w:szCs w:val="24"/>
            <w:u w:val="none"/>
          </w:rPr>
          <w:t>Глава 2 Процедура</w:t>
        </w:r>
        <w:r w:rsidR="006546E5">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11</w:t>
        </w:r>
      </w:hyperlink>
    </w:p>
    <w:p w14:paraId="5A26675D" w14:textId="744288C7" w:rsidR="00271FA2" w:rsidRPr="00F06DE2" w:rsidRDefault="002C62EC" w:rsidP="00BA76A0">
      <w:pPr>
        <w:pStyle w:val="TOC1"/>
        <w:spacing w:before="180" w:after="0"/>
        <w:ind w:left="0" w:right="0" w:firstLine="0"/>
        <w:rPr>
          <w:rFonts w:ascii="Times New Roman" w:eastAsiaTheme="minorEastAsia" w:hAnsi="Times New Roman"/>
          <w:b w:val="0"/>
          <w:bCs w:val="0"/>
          <w:i/>
          <w:iCs/>
          <w:caps w:val="0"/>
          <w:sz w:val="24"/>
          <w:szCs w:val="24"/>
          <w:lang w:eastAsia="en-GB" w:bidi="ar-SA"/>
        </w:rPr>
      </w:pPr>
      <w:hyperlink w:anchor="_Toc535827448" w:history="1">
        <w:r w:rsidR="00D35E51" w:rsidRPr="00F06DE2">
          <w:rPr>
            <w:rStyle w:val="Hyperlink"/>
            <w:rFonts w:ascii="Times New Roman" w:hAnsi="Times New Roman"/>
            <w:i/>
            <w:iCs/>
            <w:color w:val="auto"/>
            <w:sz w:val="24"/>
            <w:szCs w:val="24"/>
            <w:u w:val="none"/>
          </w:rPr>
          <w:t>ЧАСТ II РАЗПОРЕДБИ ОТНОСНО КОРАБНАТА КОНСТРУКЦИЯ,</w:t>
        </w:r>
        <w:r w:rsidR="00E2137E" w:rsidRPr="00F06DE2">
          <w:rPr>
            <w:rStyle w:val="Hyperlink"/>
            <w:rFonts w:ascii="Times New Roman" w:hAnsi="Times New Roman"/>
            <w:i/>
            <w:iCs/>
            <w:color w:val="auto"/>
            <w:sz w:val="24"/>
            <w:szCs w:val="24"/>
            <w:u w:val="none"/>
          </w:rPr>
          <w:tab/>
        </w:r>
        <w:r w:rsidR="00E2137E" w:rsidRPr="00F06DE2">
          <w:rPr>
            <w:rStyle w:val="Hyperlink"/>
            <w:rFonts w:ascii="Times New Roman" w:hAnsi="Times New Roman"/>
            <w:i/>
            <w:iCs/>
            <w:color w:val="auto"/>
            <w:sz w:val="24"/>
            <w:szCs w:val="24"/>
            <w:u w:val="none"/>
          </w:rPr>
          <w:tab/>
        </w:r>
        <w:r w:rsidR="00D35E51" w:rsidRPr="00F06DE2">
          <w:rPr>
            <w:rStyle w:val="Hyperlink"/>
            <w:rFonts w:ascii="Times New Roman" w:hAnsi="Times New Roman"/>
            <w:i/>
            <w:iCs/>
            <w:color w:val="auto"/>
            <w:sz w:val="24"/>
            <w:szCs w:val="24"/>
            <w:u w:val="none"/>
          </w:rPr>
          <w:t>СЪОРЪЖЕНИЯТА И ОБОРУДВАНЕТО</w:t>
        </w:r>
        <w:r w:rsidR="00E2137E" w:rsidRPr="00F06DE2">
          <w:rPr>
            <w:rStyle w:val="Hyperlink"/>
            <w:rFonts w:ascii="Times New Roman" w:hAnsi="Times New Roman"/>
            <w:i/>
            <w:iCs/>
            <w:color w:val="auto"/>
            <w:sz w:val="24"/>
            <w:szCs w:val="24"/>
            <w:u w:val="none"/>
          </w:rPr>
          <w:t xml:space="preserve">                                                                                                             </w:t>
        </w:r>
        <w:r w:rsidR="00D35E51" w:rsidRPr="00F06DE2">
          <w:rPr>
            <w:rFonts w:ascii="Times New Roman" w:hAnsi="Times New Roman"/>
            <w:b w:val="0"/>
            <w:bCs w:val="0"/>
            <w:i/>
            <w:iCs/>
            <w:sz w:val="24"/>
            <w:szCs w:val="24"/>
          </w:rPr>
          <w:t>12</w:t>
        </w:r>
      </w:hyperlink>
    </w:p>
    <w:p w14:paraId="0E584AA8" w14:textId="3D6787CD" w:rsidR="00271FA2" w:rsidRPr="00F06DE2" w:rsidRDefault="002C62EC" w:rsidP="001C484D">
      <w:pPr>
        <w:pStyle w:val="TOC2"/>
        <w:tabs>
          <w:tab w:val="right" w:leader="dot" w:pos="9060"/>
        </w:tabs>
        <w:spacing w:before="0"/>
        <w:ind w:left="0" w:right="0" w:firstLine="0"/>
        <w:rPr>
          <w:rFonts w:ascii="Times New Roman" w:eastAsiaTheme="minorEastAsia" w:hAnsi="Times New Roman"/>
          <w:i/>
          <w:iCs/>
          <w:smallCaps w:val="0"/>
          <w:sz w:val="24"/>
          <w:szCs w:val="24"/>
          <w:lang w:eastAsia="en-GB" w:bidi="ar-SA"/>
        </w:rPr>
      </w:pPr>
      <w:hyperlink w:anchor="_Toc535827449" w:history="1">
        <w:r w:rsidR="00D35E51" w:rsidRPr="00F06DE2">
          <w:rPr>
            <w:rStyle w:val="Hyperlink"/>
            <w:rFonts w:ascii="Times New Roman" w:hAnsi="Times New Roman"/>
            <w:b w:val="0"/>
            <w:bCs w:val="0"/>
            <w:i/>
            <w:iCs/>
            <w:color w:val="auto"/>
            <w:sz w:val="24"/>
            <w:szCs w:val="24"/>
            <w:u w:val="none"/>
          </w:rPr>
          <w:t>Глава 3 Изисквания към корабната конструкция</w:t>
        </w:r>
        <w:r w:rsidR="006546E5">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12</w:t>
        </w:r>
      </w:hyperlink>
    </w:p>
    <w:p w14:paraId="6C34C9C6" w14:textId="6FAC5277"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50" w:history="1">
        <w:r w:rsidR="00D35E51" w:rsidRPr="00F06DE2">
          <w:rPr>
            <w:rStyle w:val="Hyperlink"/>
            <w:rFonts w:ascii="Times New Roman" w:hAnsi="Times New Roman"/>
            <w:b w:val="0"/>
            <w:bCs w:val="0"/>
            <w:color w:val="auto"/>
            <w:sz w:val="24"/>
            <w:szCs w:val="24"/>
            <w:u w:val="none"/>
          </w:rPr>
          <w:t>Член 3.01 Основни правила</w:t>
        </w:r>
        <w:r w:rsidR="00B514B7">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12</w:t>
        </w:r>
      </w:hyperlink>
    </w:p>
    <w:p w14:paraId="402D9A5B" w14:textId="1E5210A9"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51" w:history="1">
        <w:r w:rsidR="00D35E51" w:rsidRPr="00F06DE2">
          <w:rPr>
            <w:rStyle w:val="Hyperlink"/>
            <w:rFonts w:ascii="Times New Roman" w:hAnsi="Times New Roman"/>
            <w:b w:val="0"/>
            <w:bCs w:val="0"/>
            <w:color w:val="auto"/>
            <w:sz w:val="24"/>
            <w:szCs w:val="24"/>
            <w:u w:val="none"/>
          </w:rPr>
          <w:t>Член 3.02 Якост и устойчивост</w:t>
        </w:r>
        <w:r w:rsidR="00B514B7">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12</w:t>
        </w:r>
      </w:hyperlink>
    </w:p>
    <w:p w14:paraId="30875E6A" w14:textId="754B6AB3"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52" w:history="1">
        <w:r w:rsidR="00D35E51" w:rsidRPr="00F06DE2">
          <w:rPr>
            <w:rStyle w:val="Hyperlink"/>
            <w:rFonts w:ascii="Times New Roman" w:hAnsi="Times New Roman"/>
            <w:b w:val="0"/>
            <w:bCs w:val="0"/>
            <w:color w:val="auto"/>
            <w:sz w:val="24"/>
            <w:szCs w:val="24"/>
            <w:u w:val="none"/>
          </w:rPr>
          <w:t>Член 3.03 Корпус</w:t>
        </w:r>
        <w:r w:rsidR="00B514B7">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fldChar w:fldCharType="begin"/>
        </w:r>
        <w:r w:rsidR="00D35E51" w:rsidRPr="00F06DE2">
          <w:rPr>
            <w:rFonts w:ascii="Times New Roman" w:hAnsi="Times New Roman"/>
            <w:sz w:val="24"/>
            <w:szCs w:val="24"/>
          </w:rPr>
          <w:instrText xml:space="preserve"> PAGEREF _Toc535827452 \h </w:instrText>
        </w:r>
        <w:r w:rsidR="00D35E51" w:rsidRPr="00F06DE2">
          <w:rPr>
            <w:rFonts w:ascii="Times New Roman" w:hAnsi="Times New Roman"/>
            <w:sz w:val="24"/>
            <w:szCs w:val="24"/>
          </w:rPr>
        </w:r>
        <w:r w:rsidR="00D35E51" w:rsidRPr="00F06DE2">
          <w:rPr>
            <w:rFonts w:ascii="Times New Roman" w:hAnsi="Times New Roman"/>
            <w:sz w:val="24"/>
            <w:szCs w:val="24"/>
          </w:rPr>
          <w:fldChar w:fldCharType="separate"/>
        </w:r>
        <w:r w:rsidR="00871F5D" w:rsidRPr="00F06DE2">
          <w:rPr>
            <w:rFonts w:ascii="Times New Roman" w:hAnsi="Times New Roman"/>
            <w:noProof/>
            <w:sz w:val="24"/>
            <w:szCs w:val="24"/>
          </w:rPr>
          <w:t>13</w:t>
        </w:r>
        <w:r w:rsidR="00D35E51" w:rsidRPr="00F06DE2">
          <w:rPr>
            <w:rFonts w:ascii="Times New Roman" w:hAnsi="Times New Roman"/>
            <w:sz w:val="24"/>
            <w:szCs w:val="24"/>
          </w:rPr>
          <w:fldChar w:fldCharType="end"/>
        </w:r>
      </w:hyperlink>
    </w:p>
    <w:p w14:paraId="543DDBAD" w14:textId="3E1DE12F"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53" w:history="1">
        <w:r w:rsidR="00D35E51" w:rsidRPr="00F06DE2">
          <w:rPr>
            <w:rStyle w:val="Hyperlink"/>
            <w:rFonts w:ascii="Times New Roman" w:hAnsi="Times New Roman"/>
            <w:b w:val="0"/>
            <w:bCs w:val="0"/>
            <w:color w:val="auto"/>
            <w:sz w:val="24"/>
            <w:szCs w:val="24"/>
            <w:u w:val="none"/>
          </w:rPr>
          <w:t>Член 3.04 Машинни и котелни отделения, бункери</w:t>
        </w:r>
        <w:r w:rsidR="00B514B7">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14</w:t>
        </w:r>
      </w:hyperlink>
    </w:p>
    <w:p w14:paraId="672F60FB" w14:textId="4ACAC9BA" w:rsidR="00215674" w:rsidRPr="00F06DE2" w:rsidRDefault="002C62EC" w:rsidP="001C484D">
      <w:pPr>
        <w:pStyle w:val="TOC2"/>
        <w:tabs>
          <w:tab w:val="right" w:leader="dot" w:pos="9060"/>
        </w:tabs>
        <w:spacing w:before="0"/>
        <w:ind w:left="0" w:right="0" w:firstLine="0"/>
        <w:rPr>
          <w:rFonts w:ascii="Times New Roman" w:eastAsiaTheme="minorEastAsia" w:hAnsi="Times New Roman"/>
          <w:i/>
          <w:iCs/>
          <w:smallCaps w:val="0"/>
          <w:sz w:val="24"/>
          <w:szCs w:val="24"/>
          <w:lang w:eastAsia="en-GB" w:bidi="ar-SA"/>
        </w:rPr>
      </w:pPr>
      <w:hyperlink w:anchor="_Toc535827462" w:history="1">
        <w:r w:rsidR="00215674" w:rsidRPr="00F06DE2">
          <w:rPr>
            <w:rStyle w:val="Hyperlink"/>
            <w:rFonts w:ascii="Times New Roman" w:hAnsi="Times New Roman"/>
            <w:b w:val="0"/>
            <w:bCs w:val="0"/>
            <w:i/>
            <w:iCs/>
            <w:color w:val="auto"/>
            <w:sz w:val="24"/>
            <w:szCs w:val="24"/>
            <w:u w:val="none"/>
          </w:rPr>
          <w:t xml:space="preserve">Глава 4 Безопасно разстояние, надводен борд и скали на газене                                                           </w:t>
        </w:r>
        <w:r w:rsidR="00215674" w:rsidRPr="00F06DE2">
          <w:rPr>
            <w:rFonts w:ascii="Times New Roman" w:hAnsi="Times New Roman"/>
            <w:i/>
            <w:iCs/>
            <w:sz w:val="24"/>
            <w:szCs w:val="24"/>
          </w:rPr>
          <w:t>16</w:t>
        </w:r>
      </w:hyperlink>
    </w:p>
    <w:p w14:paraId="7173297B" w14:textId="2CB7AD54" w:rsidR="00271FA2" w:rsidRPr="00F06DE2" w:rsidRDefault="00D35E51" w:rsidP="001C484D">
      <w:pPr>
        <w:spacing w:after="0" w:line="240" w:lineRule="auto"/>
        <w:jc w:val="both"/>
        <w:rPr>
          <w:rFonts w:ascii="Times New Roman" w:hAnsi="Times New Roman" w:cs="Times New Roman"/>
          <w:i/>
          <w:iCs/>
          <w:sz w:val="24"/>
          <w:szCs w:val="24"/>
          <w:lang w:val="ru-RU"/>
        </w:rPr>
      </w:pPr>
      <w:r w:rsidRPr="00F06DE2">
        <w:rPr>
          <w:rFonts w:ascii="Times New Roman" w:hAnsi="Times New Roman" w:cs="Times New Roman"/>
          <w:i/>
          <w:iCs/>
          <w:sz w:val="24"/>
          <w:szCs w:val="24"/>
          <w:lang w:val="ru-RU"/>
        </w:rPr>
        <w:t>Член 4.01 Безопасно разстояние</w:t>
      </w:r>
      <w:r w:rsidR="00B514B7">
        <w:rPr>
          <w:rFonts w:ascii="Times New Roman" w:hAnsi="Times New Roman" w:cs="Times New Roman"/>
          <w:i/>
          <w:iCs/>
          <w:sz w:val="24"/>
          <w:szCs w:val="24"/>
          <w:lang w:val="ru-RU"/>
        </w:rPr>
        <w:t xml:space="preserve">                                                                                                             </w:t>
      </w:r>
      <w:r w:rsidRPr="00F06DE2">
        <w:rPr>
          <w:rFonts w:ascii="Times New Roman" w:hAnsi="Times New Roman" w:cs="Times New Roman"/>
          <w:i/>
          <w:iCs/>
          <w:sz w:val="24"/>
          <w:szCs w:val="24"/>
          <w:lang w:val="ru-RU"/>
        </w:rPr>
        <w:t>16</w:t>
      </w:r>
    </w:p>
    <w:p w14:paraId="6A0B4D4A" w14:textId="69FAFBF0" w:rsidR="00271FA2" w:rsidRPr="00F06DE2" w:rsidRDefault="00D35E51" w:rsidP="001C484D">
      <w:pPr>
        <w:spacing w:after="0" w:line="240" w:lineRule="auto"/>
        <w:jc w:val="both"/>
        <w:rPr>
          <w:rFonts w:ascii="Times New Roman" w:hAnsi="Times New Roman" w:cs="Times New Roman"/>
          <w:i/>
          <w:iCs/>
          <w:sz w:val="24"/>
          <w:szCs w:val="24"/>
          <w:lang w:val="ru-RU"/>
        </w:rPr>
      </w:pPr>
      <w:r w:rsidRPr="00F06DE2">
        <w:rPr>
          <w:rFonts w:ascii="Times New Roman" w:hAnsi="Times New Roman" w:cs="Times New Roman"/>
          <w:i/>
          <w:iCs/>
          <w:sz w:val="24"/>
          <w:szCs w:val="24"/>
          <w:lang w:val="ru-RU"/>
        </w:rPr>
        <w:t>Член 4.02 Надводен борд</w:t>
      </w:r>
      <w:r w:rsidR="00B514B7">
        <w:rPr>
          <w:rFonts w:ascii="Times New Roman" w:hAnsi="Times New Roman" w:cs="Times New Roman"/>
          <w:i/>
          <w:iCs/>
          <w:sz w:val="24"/>
          <w:szCs w:val="24"/>
          <w:lang w:val="ru-RU"/>
        </w:rPr>
        <w:t xml:space="preserve">                                                                                                                         </w:t>
      </w:r>
      <w:r w:rsidRPr="00F06DE2">
        <w:rPr>
          <w:rFonts w:ascii="Times New Roman" w:hAnsi="Times New Roman" w:cs="Times New Roman"/>
          <w:i/>
          <w:iCs/>
          <w:sz w:val="24"/>
          <w:szCs w:val="24"/>
          <w:lang w:val="ru-RU"/>
        </w:rPr>
        <w:t>16</w:t>
      </w:r>
    </w:p>
    <w:p w14:paraId="4EA10897" w14:textId="02350AAD" w:rsidR="00271FA2" w:rsidRPr="00F06DE2" w:rsidRDefault="00D35E51" w:rsidP="001C484D">
      <w:pPr>
        <w:spacing w:after="0" w:line="240" w:lineRule="auto"/>
        <w:jc w:val="both"/>
        <w:rPr>
          <w:rFonts w:ascii="Times New Roman" w:hAnsi="Times New Roman" w:cs="Times New Roman"/>
          <w:i/>
          <w:iCs/>
          <w:sz w:val="24"/>
          <w:szCs w:val="24"/>
          <w:lang w:val="ru-RU"/>
        </w:rPr>
      </w:pPr>
      <w:r w:rsidRPr="00F06DE2">
        <w:rPr>
          <w:rFonts w:ascii="Times New Roman" w:hAnsi="Times New Roman" w:cs="Times New Roman"/>
          <w:i/>
          <w:iCs/>
          <w:sz w:val="24"/>
          <w:szCs w:val="24"/>
          <w:lang w:val="ru-RU"/>
        </w:rPr>
        <w:t>Член 4.03 Товарни марки</w:t>
      </w:r>
      <w:r w:rsidR="00B514B7">
        <w:rPr>
          <w:rFonts w:ascii="Times New Roman" w:hAnsi="Times New Roman" w:cs="Times New Roman"/>
          <w:i/>
          <w:iCs/>
          <w:sz w:val="24"/>
          <w:szCs w:val="24"/>
          <w:lang w:val="ru-RU"/>
        </w:rPr>
        <w:t xml:space="preserve">                                                                                                                     </w:t>
      </w:r>
      <w:r w:rsidRPr="00F06DE2">
        <w:rPr>
          <w:rFonts w:ascii="Times New Roman" w:hAnsi="Times New Roman" w:cs="Times New Roman"/>
          <w:i/>
          <w:iCs/>
          <w:sz w:val="24"/>
          <w:szCs w:val="24"/>
          <w:lang w:val="ru-RU"/>
        </w:rPr>
        <w:t>18</w:t>
      </w:r>
    </w:p>
    <w:p w14:paraId="12D37A9A" w14:textId="7FA098C8" w:rsidR="00271FA2" w:rsidRPr="00F06DE2" w:rsidRDefault="00D35E51" w:rsidP="001C484D">
      <w:pPr>
        <w:spacing w:after="0" w:line="240" w:lineRule="auto"/>
        <w:jc w:val="both"/>
        <w:rPr>
          <w:rFonts w:ascii="Times New Roman" w:hAnsi="Times New Roman" w:cs="Times New Roman"/>
          <w:i/>
          <w:iCs/>
          <w:sz w:val="24"/>
          <w:szCs w:val="24"/>
          <w:lang w:val="ru-RU"/>
        </w:rPr>
      </w:pPr>
      <w:r w:rsidRPr="00F06DE2">
        <w:rPr>
          <w:rFonts w:ascii="Times New Roman" w:hAnsi="Times New Roman" w:cs="Times New Roman"/>
          <w:i/>
          <w:iCs/>
          <w:sz w:val="24"/>
          <w:szCs w:val="24"/>
          <w:lang w:val="ru-RU"/>
        </w:rPr>
        <w:t>Член 4.04 Скали на газене</w:t>
      </w:r>
      <w:r w:rsidR="00B514B7">
        <w:rPr>
          <w:rFonts w:ascii="Times New Roman" w:hAnsi="Times New Roman" w:cs="Times New Roman"/>
          <w:i/>
          <w:iCs/>
          <w:sz w:val="24"/>
          <w:szCs w:val="24"/>
          <w:lang w:val="ru-RU"/>
        </w:rPr>
        <w:t xml:space="preserve">                                                                                                                        </w:t>
      </w:r>
      <w:r w:rsidRPr="00F06DE2">
        <w:rPr>
          <w:rFonts w:ascii="Times New Roman" w:hAnsi="Times New Roman" w:cs="Times New Roman"/>
          <w:i/>
          <w:iCs/>
          <w:sz w:val="24"/>
          <w:szCs w:val="24"/>
          <w:lang w:val="ru-RU"/>
        </w:rPr>
        <w:t>20</w:t>
      </w:r>
    </w:p>
    <w:p w14:paraId="56130F14" w14:textId="69B9F1E1" w:rsidR="00271FA2" w:rsidRPr="00F06DE2" w:rsidRDefault="00D35E51" w:rsidP="001C484D">
      <w:pPr>
        <w:spacing w:after="0" w:line="240" w:lineRule="auto"/>
        <w:jc w:val="both"/>
        <w:rPr>
          <w:rFonts w:ascii="Times New Roman" w:hAnsi="Times New Roman" w:cs="Times New Roman"/>
          <w:i/>
          <w:iCs/>
          <w:sz w:val="24"/>
          <w:szCs w:val="24"/>
          <w:lang w:val="ru-RU"/>
        </w:rPr>
      </w:pPr>
      <w:r w:rsidRPr="00F06DE2">
        <w:rPr>
          <w:rFonts w:ascii="Times New Roman" w:hAnsi="Times New Roman" w:cs="Times New Roman"/>
          <w:i/>
          <w:iCs/>
          <w:sz w:val="24"/>
          <w:szCs w:val="24"/>
          <w:lang w:val="ru-RU"/>
        </w:rPr>
        <w:t>Член 4.05 Специфични изисквания, приложими за плавателни съдове, плаващи по</w:t>
      </w:r>
      <w:r w:rsidR="005C389B" w:rsidRPr="00F06DE2">
        <w:rPr>
          <w:rFonts w:ascii="Times New Roman" w:hAnsi="Times New Roman" w:cs="Times New Roman"/>
          <w:i/>
          <w:iCs/>
          <w:sz w:val="24"/>
          <w:szCs w:val="24"/>
          <w:lang w:val="ru-RU"/>
        </w:rPr>
        <w:tab/>
        <w:t xml:space="preserve"> </w:t>
      </w:r>
      <w:r w:rsidRPr="00F06DE2">
        <w:rPr>
          <w:rFonts w:ascii="Times New Roman" w:hAnsi="Times New Roman" w:cs="Times New Roman"/>
          <w:i/>
          <w:iCs/>
          <w:sz w:val="24"/>
          <w:szCs w:val="24"/>
          <w:lang w:val="ru-RU"/>
        </w:rPr>
        <w:t>водни пътища от зона 4</w:t>
      </w:r>
      <w:r w:rsidR="005C389B" w:rsidRPr="00F06DE2">
        <w:rPr>
          <w:rFonts w:ascii="Times New Roman" w:hAnsi="Times New Roman" w:cs="Times New Roman"/>
          <w:i/>
          <w:iCs/>
          <w:sz w:val="24"/>
          <w:szCs w:val="24"/>
          <w:lang w:val="ru-RU"/>
        </w:rPr>
        <w:t xml:space="preserve">                                                                                                                     </w:t>
      </w:r>
      <w:r w:rsidRPr="00F06DE2">
        <w:rPr>
          <w:rFonts w:ascii="Times New Roman" w:hAnsi="Times New Roman" w:cs="Times New Roman"/>
          <w:i/>
          <w:iCs/>
          <w:sz w:val="24"/>
          <w:szCs w:val="24"/>
          <w:lang w:val="ru-RU"/>
        </w:rPr>
        <w:t>2</w:t>
      </w:r>
      <w:r w:rsidR="005B2909" w:rsidRPr="00F06DE2">
        <w:rPr>
          <w:rFonts w:ascii="Times New Roman" w:hAnsi="Times New Roman" w:cs="Times New Roman"/>
          <w:i/>
          <w:iCs/>
          <w:sz w:val="24"/>
          <w:szCs w:val="24"/>
          <w:lang w:val="ru-RU"/>
        </w:rPr>
        <w:t>0</w:t>
      </w:r>
    </w:p>
    <w:p w14:paraId="343667C1" w14:textId="07A9EAEE"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462" w:history="1">
        <w:r w:rsidR="00D35E51" w:rsidRPr="00F06DE2">
          <w:rPr>
            <w:rStyle w:val="Hyperlink"/>
            <w:rFonts w:ascii="Times New Roman" w:hAnsi="Times New Roman"/>
            <w:b w:val="0"/>
            <w:bCs w:val="0"/>
            <w:i/>
            <w:iCs/>
            <w:color w:val="auto"/>
            <w:sz w:val="24"/>
            <w:szCs w:val="24"/>
            <w:u w:val="none"/>
          </w:rPr>
          <w:t>Глава 5 Маневреност</w:t>
        </w:r>
        <w:r w:rsidR="00FF0925">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22</w:t>
        </w:r>
      </w:hyperlink>
    </w:p>
    <w:p w14:paraId="263729C3" w14:textId="033C6DA2"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63" w:history="1">
        <w:r w:rsidR="00D35E51" w:rsidRPr="00F06DE2">
          <w:rPr>
            <w:rStyle w:val="Hyperlink"/>
            <w:rFonts w:ascii="Times New Roman" w:hAnsi="Times New Roman"/>
            <w:b w:val="0"/>
            <w:bCs w:val="0"/>
            <w:color w:val="auto"/>
            <w:sz w:val="24"/>
            <w:szCs w:val="24"/>
            <w:u w:val="none"/>
          </w:rPr>
          <w:t>Член 5.01 Общи положения</w:t>
        </w:r>
        <w:r w:rsidR="00351030">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22</w:t>
        </w:r>
      </w:hyperlink>
    </w:p>
    <w:p w14:paraId="2D49DEBB" w14:textId="6CF6A18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64" w:history="1">
        <w:r w:rsidR="00D35E51" w:rsidRPr="00F06DE2">
          <w:rPr>
            <w:rStyle w:val="Hyperlink"/>
            <w:rFonts w:ascii="Times New Roman" w:hAnsi="Times New Roman"/>
            <w:b w:val="0"/>
            <w:bCs w:val="0"/>
            <w:color w:val="auto"/>
            <w:sz w:val="24"/>
            <w:szCs w:val="24"/>
            <w:u w:val="none"/>
          </w:rPr>
          <w:t>Член 5.02 Ходови изпитвания</w:t>
        </w:r>
        <w:r w:rsidR="00351030">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22</w:t>
        </w:r>
      </w:hyperlink>
    </w:p>
    <w:p w14:paraId="05F26AF4" w14:textId="4801B7E5"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65" w:history="1">
        <w:r w:rsidR="00D35E51" w:rsidRPr="00F06DE2">
          <w:rPr>
            <w:rStyle w:val="Hyperlink"/>
            <w:rFonts w:ascii="Times New Roman" w:hAnsi="Times New Roman"/>
            <w:b w:val="0"/>
            <w:bCs w:val="0"/>
            <w:color w:val="auto"/>
            <w:sz w:val="24"/>
            <w:szCs w:val="24"/>
            <w:u w:val="none"/>
          </w:rPr>
          <w:t>Член 5.03 Изпитвателен полигон</w:t>
        </w:r>
        <w:r w:rsidR="00351030">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22</w:t>
        </w:r>
      </w:hyperlink>
    </w:p>
    <w:p w14:paraId="3FFDBCE7" w14:textId="43EB2D8C"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66" w:history="1">
        <w:r w:rsidR="00D35E51" w:rsidRPr="00F06DE2">
          <w:rPr>
            <w:rStyle w:val="Hyperlink"/>
            <w:rFonts w:ascii="Times New Roman" w:hAnsi="Times New Roman"/>
            <w:b w:val="0"/>
            <w:bCs w:val="0"/>
            <w:color w:val="auto"/>
            <w:sz w:val="24"/>
            <w:szCs w:val="24"/>
            <w:u w:val="none"/>
          </w:rPr>
          <w:t>Член 5.04 Степен на натоварване на плавателни съдове и състави от плавателни</w:t>
        </w:r>
        <w:r w:rsidR="00E95F6B" w:rsidRPr="00F06DE2">
          <w:rPr>
            <w:rStyle w:val="Hyperlink"/>
            <w:rFonts w:ascii="Times New Roman" w:hAnsi="Times New Roman"/>
            <w:b w:val="0"/>
            <w:bCs w:val="0"/>
            <w:color w:val="auto"/>
            <w:sz w:val="24"/>
            <w:szCs w:val="24"/>
            <w:u w:val="none"/>
          </w:rPr>
          <w:tab/>
          <w:t xml:space="preserve"> </w:t>
        </w:r>
        <w:r w:rsidR="00D35E51" w:rsidRPr="00F06DE2">
          <w:rPr>
            <w:rStyle w:val="Hyperlink"/>
            <w:rFonts w:ascii="Times New Roman" w:hAnsi="Times New Roman"/>
            <w:b w:val="0"/>
            <w:bCs w:val="0"/>
            <w:color w:val="auto"/>
            <w:sz w:val="24"/>
            <w:szCs w:val="24"/>
            <w:u w:val="none"/>
          </w:rPr>
          <w:t>съдове при ходовите изпитвания</w:t>
        </w:r>
        <w:r w:rsidR="00E95F6B"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22</w:t>
        </w:r>
      </w:hyperlink>
    </w:p>
    <w:p w14:paraId="0444AE7B" w14:textId="3AA06D3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67" w:history="1">
        <w:r w:rsidR="00D35E51" w:rsidRPr="00F06DE2">
          <w:rPr>
            <w:rStyle w:val="Hyperlink"/>
            <w:rFonts w:ascii="Times New Roman" w:hAnsi="Times New Roman"/>
            <w:b w:val="0"/>
            <w:bCs w:val="0"/>
            <w:color w:val="auto"/>
            <w:sz w:val="24"/>
            <w:szCs w:val="24"/>
            <w:u w:val="none"/>
          </w:rPr>
          <w:t>Член 5.05 Използване на бордови съоръжения при ходовите изпитвания</w:t>
        </w:r>
        <w:r w:rsidR="00351030">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22</w:t>
        </w:r>
      </w:hyperlink>
    </w:p>
    <w:p w14:paraId="59E65FE0" w14:textId="0043D727"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68" w:history="1">
        <w:r w:rsidR="00D35E51" w:rsidRPr="00F06DE2">
          <w:rPr>
            <w:rStyle w:val="Hyperlink"/>
            <w:rFonts w:ascii="Times New Roman" w:hAnsi="Times New Roman"/>
            <w:b w:val="0"/>
            <w:bCs w:val="0"/>
            <w:color w:val="auto"/>
            <w:sz w:val="24"/>
            <w:szCs w:val="24"/>
            <w:u w:val="none"/>
          </w:rPr>
          <w:t>Член 5.06 Предписана скорост (напред)</w:t>
        </w:r>
        <w:r w:rsidR="00351030">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w:t>
        </w:r>
        <w:r w:rsidR="00C21E28" w:rsidRPr="00F06DE2">
          <w:rPr>
            <w:rFonts w:ascii="Times New Roman" w:hAnsi="Times New Roman"/>
            <w:sz w:val="24"/>
            <w:szCs w:val="24"/>
            <w:lang w:val="en-US"/>
          </w:rPr>
          <w:t>3</w:t>
        </w:r>
      </w:hyperlink>
    </w:p>
    <w:p w14:paraId="75F9013E" w14:textId="63B9CE2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69" w:history="1">
        <w:r w:rsidR="00D35E51" w:rsidRPr="00F06DE2">
          <w:rPr>
            <w:rStyle w:val="Hyperlink"/>
            <w:rFonts w:ascii="Times New Roman" w:hAnsi="Times New Roman"/>
            <w:b w:val="0"/>
            <w:bCs w:val="0"/>
            <w:color w:val="auto"/>
            <w:sz w:val="24"/>
            <w:szCs w:val="24"/>
            <w:u w:val="none"/>
          </w:rPr>
          <w:t>Член 5.07 Способност за спиране</w:t>
        </w:r>
        <w:r w:rsidR="00351030">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23</w:t>
        </w:r>
      </w:hyperlink>
    </w:p>
    <w:p w14:paraId="6CB1A4CD" w14:textId="08477BC2"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70" w:history="1">
        <w:r w:rsidR="00D35E51" w:rsidRPr="00F06DE2">
          <w:rPr>
            <w:rStyle w:val="Hyperlink"/>
            <w:rFonts w:ascii="Times New Roman" w:hAnsi="Times New Roman"/>
            <w:b w:val="0"/>
            <w:bCs w:val="0"/>
            <w:color w:val="auto"/>
            <w:sz w:val="24"/>
            <w:szCs w:val="24"/>
            <w:u w:val="none"/>
          </w:rPr>
          <w:t>Член 5.08 Способност за движение на заден ход</w:t>
        </w:r>
        <w:r w:rsidR="00351030">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23</w:t>
        </w:r>
      </w:hyperlink>
    </w:p>
    <w:p w14:paraId="760C4148" w14:textId="3543009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71" w:history="1">
        <w:r w:rsidR="00D35E51" w:rsidRPr="00F06DE2">
          <w:rPr>
            <w:rStyle w:val="Hyperlink"/>
            <w:rFonts w:ascii="Times New Roman" w:hAnsi="Times New Roman"/>
            <w:b w:val="0"/>
            <w:bCs w:val="0"/>
            <w:color w:val="auto"/>
            <w:sz w:val="24"/>
            <w:szCs w:val="24"/>
            <w:u w:val="none"/>
          </w:rPr>
          <w:t>Член 5.09 Способност за отклоняване</w:t>
        </w:r>
        <w:r w:rsidR="00351030">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23</w:t>
        </w:r>
      </w:hyperlink>
    </w:p>
    <w:p w14:paraId="4F316E40" w14:textId="60158B34"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72" w:history="1">
        <w:r w:rsidR="00D35E51" w:rsidRPr="00F06DE2">
          <w:rPr>
            <w:rStyle w:val="Hyperlink"/>
            <w:rFonts w:ascii="Times New Roman" w:hAnsi="Times New Roman"/>
            <w:b w:val="0"/>
            <w:bCs w:val="0"/>
            <w:color w:val="auto"/>
            <w:sz w:val="24"/>
            <w:szCs w:val="24"/>
            <w:u w:val="none"/>
          </w:rPr>
          <w:t xml:space="preserve">Член 5.10 Способност за </w:t>
        </w:r>
        <w:r w:rsidR="0078218A" w:rsidRPr="00F06DE2">
          <w:rPr>
            <w:rStyle w:val="Hyperlink"/>
            <w:rFonts w:ascii="Times New Roman" w:hAnsi="Times New Roman"/>
            <w:b w:val="0"/>
            <w:bCs w:val="0"/>
            <w:color w:val="auto"/>
            <w:sz w:val="24"/>
            <w:szCs w:val="24"/>
            <w:u w:val="none"/>
          </w:rPr>
          <w:t>завиване</w:t>
        </w:r>
        <w:r w:rsidR="00351030">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23</w:t>
        </w:r>
      </w:hyperlink>
    </w:p>
    <w:p w14:paraId="365F7A46" w14:textId="1F322A5E"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473" w:history="1">
        <w:r w:rsidR="00D35E51" w:rsidRPr="00F06DE2">
          <w:rPr>
            <w:rStyle w:val="Hyperlink"/>
            <w:rFonts w:ascii="Times New Roman" w:hAnsi="Times New Roman"/>
            <w:b w:val="0"/>
            <w:bCs w:val="0"/>
            <w:i/>
            <w:iCs/>
            <w:color w:val="auto"/>
            <w:sz w:val="24"/>
            <w:szCs w:val="24"/>
            <w:u w:val="none"/>
          </w:rPr>
          <w:t>Глава 6 Рулева система</w:t>
        </w:r>
        <w:r w:rsidR="00EC1474">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24</w:t>
        </w:r>
      </w:hyperlink>
    </w:p>
    <w:p w14:paraId="07E28DEC" w14:textId="4D11D42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74" w:history="1">
        <w:r w:rsidR="00D35E51" w:rsidRPr="00F06DE2">
          <w:rPr>
            <w:rStyle w:val="Hyperlink"/>
            <w:rFonts w:ascii="Times New Roman" w:hAnsi="Times New Roman"/>
            <w:b w:val="0"/>
            <w:bCs w:val="0"/>
            <w:color w:val="auto"/>
            <w:sz w:val="24"/>
            <w:szCs w:val="24"/>
            <w:u w:val="none"/>
          </w:rPr>
          <w:t>Член  6.01 Общи изисквания</w:t>
        </w:r>
        <w:r w:rsidR="00EC147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24</w:t>
        </w:r>
      </w:hyperlink>
    </w:p>
    <w:p w14:paraId="196B5CF2" w14:textId="221D493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75" w:history="1">
        <w:r w:rsidR="00D35E51" w:rsidRPr="00F06DE2">
          <w:rPr>
            <w:rStyle w:val="Hyperlink"/>
            <w:rFonts w:ascii="Times New Roman" w:hAnsi="Times New Roman"/>
            <w:b w:val="0"/>
            <w:bCs w:val="0"/>
            <w:color w:val="auto"/>
            <w:sz w:val="24"/>
            <w:szCs w:val="24"/>
            <w:u w:val="none"/>
          </w:rPr>
          <w:t>Член 6.02 Задвижващо звено на рулевия апарат</w:t>
        </w:r>
        <w:r w:rsidR="00EC147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24</w:t>
        </w:r>
      </w:hyperlink>
    </w:p>
    <w:p w14:paraId="46D96AF5" w14:textId="69E7F4C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76" w:history="1">
        <w:r w:rsidR="00D35E51" w:rsidRPr="00F06DE2">
          <w:rPr>
            <w:rStyle w:val="Hyperlink"/>
            <w:rFonts w:ascii="Times New Roman" w:hAnsi="Times New Roman"/>
            <w:b w:val="0"/>
            <w:bCs w:val="0"/>
            <w:color w:val="auto"/>
            <w:sz w:val="24"/>
            <w:szCs w:val="24"/>
            <w:u w:val="none"/>
          </w:rPr>
          <w:t>Член 6.03 Хидравлично задвижващо звено на рулевия апарат</w:t>
        </w:r>
        <w:r w:rsidR="00EC147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25</w:t>
        </w:r>
      </w:hyperlink>
    </w:p>
    <w:p w14:paraId="1DE917F1" w14:textId="230EB713"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77" w:history="1">
        <w:r w:rsidR="00D35E51" w:rsidRPr="00F06DE2">
          <w:rPr>
            <w:rStyle w:val="Hyperlink"/>
            <w:rFonts w:ascii="Times New Roman" w:hAnsi="Times New Roman"/>
            <w:b w:val="0"/>
            <w:bCs w:val="0"/>
            <w:color w:val="auto"/>
            <w:sz w:val="24"/>
            <w:szCs w:val="24"/>
            <w:u w:val="none"/>
          </w:rPr>
          <w:t>Член 6.04 Източник на енергия</w:t>
        </w:r>
        <w:r w:rsidR="00EC147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25</w:t>
        </w:r>
      </w:hyperlink>
    </w:p>
    <w:p w14:paraId="12483159" w14:textId="307BE000"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78" w:history="1">
        <w:r w:rsidR="00D35E51" w:rsidRPr="00F06DE2">
          <w:rPr>
            <w:rStyle w:val="Hyperlink"/>
            <w:rFonts w:ascii="Times New Roman" w:hAnsi="Times New Roman"/>
            <w:b w:val="0"/>
            <w:bCs w:val="0"/>
            <w:color w:val="auto"/>
            <w:sz w:val="24"/>
            <w:szCs w:val="24"/>
            <w:u w:val="none"/>
          </w:rPr>
          <w:t>Член 6.05 Ръчно задвижване</w:t>
        </w:r>
        <w:r w:rsidR="00EC147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25</w:t>
        </w:r>
      </w:hyperlink>
    </w:p>
    <w:p w14:paraId="7699F108" w14:textId="0EE863D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79" w:history="1">
        <w:r w:rsidR="00D35E51" w:rsidRPr="00F06DE2">
          <w:rPr>
            <w:rStyle w:val="Hyperlink"/>
            <w:rFonts w:ascii="Times New Roman" w:hAnsi="Times New Roman"/>
            <w:b w:val="0"/>
            <w:bCs w:val="0"/>
            <w:color w:val="auto"/>
            <w:sz w:val="24"/>
            <w:szCs w:val="24"/>
            <w:u w:val="none"/>
          </w:rPr>
          <w:t>Член 6.06 Системи с винто-рулеви колони, водометни, крилчати движители и</w:t>
        </w:r>
        <w:r w:rsidR="0072070A" w:rsidRPr="00F06DE2">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носови</w:t>
        </w:r>
        <w:r w:rsidR="0072070A"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 xml:space="preserve"> подрулващи устройства</w:t>
        </w:r>
        <w:r w:rsidR="0072070A"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26</w:t>
        </w:r>
      </w:hyperlink>
    </w:p>
    <w:p w14:paraId="0AC0A79C" w14:textId="7D96B46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80" w:history="1">
        <w:r w:rsidR="00D35E51" w:rsidRPr="00F06DE2">
          <w:rPr>
            <w:rStyle w:val="Hyperlink"/>
            <w:rFonts w:ascii="Times New Roman" w:hAnsi="Times New Roman"/>
            <w:b w:val="0"/>
            <w:bCs w:val="0"/>
            <w:color w:val="auto"/>
            <w:sz w:val="24"/>
            <w:szCs w:val="24"/>
            <w:u w:val="none"/>
          </w:rPr>
          <w:t>Член 6.07 Индикатори и устройства за следене</w:t>
        </w:r>
        <w:r w:rsidR="00EC147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26</w:t>
        </w:r>
      </w:hyperlink>
    </w:p>
    <w:p w14:paraId="1BEACE23" w14:textId="7BED6518"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81" w:history="1">
        <w:r w:rsidR="00D35E51" w:rsidRPr="00F06DE2">
          <w:rPr>
            <w:rStyle w:val="Hyperlink"/>
            <w:rFonts w:ascii="Times New Roman" w:hAnsi="Times New Roman"/>
            <w:b w:val="0"/>
            <w:bCs w:val="0"/>
            <w:color w:val="auto"/>
            <w:sz w:val="24"/>
            <w:szCs w:val="24"/>
            <w:u w:val="none"/>
          </w:rPr>
          <w:t>Член 6.08 Регулатори на ъгловата скорост</w:t>
        </w:r>
        <w:r w:rsidR="00F870D8" w:rsidRPr="00F06DE2">
          <w:rPr>
            <w:rStyle w:val="Hyperlink"/>
            <w:rFonts w:ascii="Times New Roman" w:hAnsi="Times New Roman"/>
            <w:b w:val="0"/>
            <w:bCs w:val="0"/>
            <w:color w:val="auto"/>
            <w:sz w:val="24"/>
            <w:szCs w:val="24"/>
            <w:u w:val="none"/>
            <w:lang w:val="en-US"/>
          </w:rPr>
          <w:t xml:space="preserve"> </w:t>
        </w:r>
        <w:r w:rsidR="0078218A" w:rsidRPr="00F06DE2">
          <w:rPr>
            <w:rStyle w:val="Hyperlink"/>
            <w:rFonts w:ascii="Times New Roman" w:hAnsi="Times New Roman"/>
            <w:b w:val="0"/>
            <w:bCs w:val="0"/>
            <w:color w:val="auto"/>
            <w:sz w:val="24"/>
            <w:szCs w:val="24"/>
            <w:u w:val="none"/>
          </w:rPr>
          <w:t>на завиване</w:t>
        </w:r>
        <w:r w:rsidR="00EC147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26</w:t>
        </w:r>
      </w:hyperlink>
    </w:p>
    <w:p w14:paraId="19F2CC9D" w14:textId="4FB1B774"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82" w:history="1">
        <w:r w:rsidR="00D35E51" w:rsidRPr="00F06DE2">
          <w:rPr>
            <w:rStyle w:val="Hyperlink"/>
            <w:rFonts w:ascii="Times New Roman" w:hAnsi="Times New Roman"/>
            <w:b w:val="0"/>
            <w:bCs w:val="0"/>
            <w:color w:val="auto"/>
            <w:sz w:val="24"/>
            <w:szCs w:val="24"/>
            <w:u w:val="none"/>
          </w:rPr>
          <w:t>Член 6.09 Изпитване</w:t>
        </w:r>
        <w:r w:rsidR="00EC147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27</w:t>
        </w:r>
      </w:hyperlink>
    </w:p>
    <w:p w14:paraId="12A069D8" w14:textId="42262643"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483" w:history="1">
        <w:r w:rsidR="00D35E51" w:rsidRPr="00F06DE2">
          <w:rPr>
            <w:rStyle w:val="Hyperlink"/>
            <w:rFonts w:ascii="Times New Roman" w:hAnsi="Times New Roman"/>
            <w:b w:val="0"/>
            <w:bCs w:val="0"/>
            <w:i/>
            <w:iCs/>
            <w:color w:val="auto"/>
            <w:sz w:val="24"/>
            <w:szCs w:val="24"/>
            <w:u w:val="none"/>
          </w:rPr>
          <w:t>Глава 7 Рулева рубка</w:t>
        </w:r>
        <w:r w:rsidR="00EC1474">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29</w:t>
        </w:r>
      </w:hyperlink>
    </w:p>
    <w:p w14:paraId="2F094FE6" w14:textId="5BB653C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84" w:history="1">
        <w:r w:rsidR="00D35E51" w:rsidRPr="00F06DE2">
          <w:rPr>
            <w:rStyle w:val="Hyperlink"/>
            <w:rFonts w:ascii="Times New Roman" w:hAnsi="Times New Roman"/>
            <w:b w:val="0"/>
            <w:bCs w:val="0"/>
            <w:color w:val="auto"/>
            <w:sz w:val="24"/>
            <w:szCs w:val="24"/>
            <w:u w:val="none"/>
          </w:rPr>
          <w:t>Член 7.01 Общи положения</w:t>
        </w:r>
        <w:r w:rsidR="0096496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29</w:t>
        </w:r>
      </w:hyperlink>
    </w:p>
    <w:p w14:paraId="134AE886" w14:textId="051F5AFC"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85" w:history="1">
        <w:r w:rsidR="00D35E51" w:rsidRPr="00F06DE2">
          <w:rPr>
            <w:rStyle w:val="Hyperlink"/>
            <w:rFonts w:ascii="Times New Roman" w:hAnsi="Times New Roman"/>
            <w:b w:val="0"/>
            <w:bCs w:val="0"/>
            <w:color w:val="auto"/>
            <w:sz w:val="24"/>
            <w:szCs w:val="24"/>
            <w:u w:val="none"/>
          </w:rPr>
          <w:t>Член 7.02 Безпрепятствена видимост</w:t>
        </w:r>
        <w:r w:rsidR="0096496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29</w:t>
        </w:r>
      </w:hyperlink>
    </w:p>
    <w:p w14:paraId="3BC71879" w14:textId="786D39E5"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86" w:history="1">
        <w:r w:rsidR="00D35E51" w:rsidRPr="00F06DE2">
          <w:rPr>
            <w:rStyle w:val="Hyperlink"/>
            <w:rFonts w:ascii="Times New Roman" w:hAnsi="Times New Roman"/>
            <w:b w:val="0"/>
            <w:bCs w:val="0"/>
            <w:color w:val="auto"/>
            <w:sz w:val="24"/>
            <w:szCs w:val="24"/>
            <w:u w:val="none"/>
          </w:rPr>
          <w:t>Член 7.03 Общи изисквания към оборудването за управление, индикация и следене</w:t>
        </w:r>
        <w:r w:rsidR="0096496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30</w:t>
        </w:r>
      </w:hyperlink>
    </w:p>
    <w:p w14:paraId="6002B1D9" w14:textId="2417C617" w:rsidR="00271FA2" w:rsidRPr="00F06DE2" w:rsidRDefault="002C62EC" w:rsidP="001C484D">
      <w:pPr>
        <w:pStyle w:val="TOC3"/>
        <w:ind w:left="0" w:right="0" w:firstLine="0"/>
        <w:rPr>
          <w:rFonts w:ascii="Times New Roman" w:hAnsi="Times New Roman"/>
          <w:sz w:val="24"/>
          <w:szCs w:val="24"/>
        </w:rPr>
      </w:pPr>
      <w:hyperlink w:anchor="_Toc535827487" w:history="1">
        <w:r w:rsidR="00D35E51" w:rsidRPr="00F06DE2">
          <w:rPr>
            <w:rStyle w:val="Hyperlink"/>
            <w:rFonts w:ascii="Times New Roman" w:hAnsi="Times New Roman"/>
            <w:b w:val="0"/>
            <w:bCs w:val="0"/>
            <w:color w:val="auto"/>
            <w:sz w:val="24"/>
            <w:szCs w:val="24"/>
            <w:u w:val="none"/>
          </w:rPr>
          <w:t>Член 7.04 Специфични изисквания към оборудването за управление, индикация и</w:t>
        </w:r>
        <w:r w:rsidR="00CD662F" w:rsidRPr="00F06DE2">
          <w:rPr>
            <w:rStyle w:val="Hyperlink"/>
            <w:rFonts w:ascii="Times New Roman" w:hAnsi="Times New Roman"/>
            <w:b w:val="0"/>
            <w:bCs w:val="0"/>
            <w:color w:val="auto"/>
            <w:sz w:val="24"/>
            <w:szCs w:val="24"/>
            <w:u w:val="none"/>
          </w:rPr>
          <w:tab/>
        </w:r>
        <w:r w:rsidR="00D1061F" w:rsidRPr="00F06DE2">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следене</w:t>
        </w:r>
        <w:r w:rsidR="00D1061F"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на главните двигатели и рулевата система</w:t>
        </w:r>
        <w:r w:rsidR="00D1061F"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30</w:t>
        </w:r>
      </w:hyperlink>
    </w:p>
    <w:p w14:paraId="626DAE24" w14:textId="47D1F372" w:rsidR="00271FA2" w:rsidRPr="00F06DE2" w:rsidRDefault="00D35E51" w:rsidP="001C484D">
      <w:pPr>
        <w:pStyle w:val="TOC3"/>
        <w:ind w:left="0" w:right="0" w:firstLine="0"/>
        <w:rPr>
          <w:rFonts w:ascii="Times New Roman" w:hAnsi="Times New Roman"/>
          <w:sz w:val="24"/>
          <w:szCs w:val="24"/>
        </w:rPr>
      </w:pPr>
      <w:r w:rsidRPr="00F06DE2">
        <w:rPr>
          <w:rFonts w:ascii="Times New Roman" w:hAnsi="Times New Roman"/>
          <w:sz w:val="24"/>
          <w:szCs w:val="24"/>
        </w:rPr>
        <w:t>Член 7.05 Навигационни светлини, светлинни и звукови сигнали</w:t>
      </w:r>
      <w:r w:rsidR="002E4F24">
        <w:rPr>
          <w:rFonts w:ascii="Times New Roman" w:hAnsi="Times New Roman"/>
          <w:sz w:val="24"/>
          <w:szCs w:val="24"/>
        </w:rPr>
        <w:t xml:space="preserve">                                                           </w:t>
      </w:r>
      <w:r w:rsidRPr="00F06DE2">
        <w:rPr>
          <w:rFonts w:ascii="Times New Roman" w:hAnsi="Times New Roman"/>
          <w:sz w:val="24"/>
          <w:szCs w:val="24"/>
        </w:rPr>
        <w:t>32</w:t>
      </w:r>
    </w:p>
    <w:p w14:paraId="24BE92E4" w14:textId="19C2F55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88" w:history="1">
        <w:r w:rsidR="00D35E51" w:rsidRPr="00F06DE2">
          <w:rPr>
            <w:rStyle w:val="Hyperlink"/>
            <w:rFonts w:ascii="Times New Roman" w:hAnsi="Times New Roman"/>
            <w:b w:val="0"/>
            <w:bCs w:val="0"/>
            <w:color w:val="auto"/>
            <w:sz w:val="24"/>
            <w:szCs w:val="24"/>
            <w:u w:val="none"/>
          </w:rPr>
          <w:t>Член 7.06 Навигационни и информационни устройства</w:t>
        </w:r>
        <w:r w:rsidR="002E4F2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32</w:t>
        </w:r>
      </w:hyperlink>
    </w:p>
    <w:p w14:paraId="3E15F950" w14:textId="0D657E83"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89" w:history="1">
        <w:r w:rsidR="00D35E51" w:rsidRPr="00F06DE2">
          <w:rPr>
            <w:rStyle w:val="Hyperlink"/>
            <w:rFonts w:ascii="Times New Roman" w:hAnsi="Times New Roman"/>
            <w:b w:val="0"/>
            <w:bCs w:val="0"/>
            <w:color w:val="auto"/>
            <w:sz w:val="24"/>
            <w:szCs w:val="24"/>
            <w:u w:val="none"/>
          </w:rPr>
          <w:t>Член 7.07 Радиотелефонни системи за плавателни съдове с рулеви рубки,</w:t>
        </w:r>
        <w:r w:rsidR="00623B3C" w:rsidRPr="00F06DE2">
          <w:rPr>
            <w:rStyle w:val="Hyperlink"/>
            <w:rFonts w:ascii="Times New Roman" w:hAnsi="Times New Roman"/>
            <w:b w:val="0"/>
            <w:bCs w:val="0"/>
            <w:color w:val="auto"/>
            <w:sz w:val="24"/>
            <w:szCs w:val="24"/>
            <w:u w:val="none"/>
          </w:rPr>
          <w:tab/>
        </w:r>
        <w:r w:rsidR="00623B3C"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проектирани за управление с радиолокационни средства от едно лице</w:t>
        </w:r>
        <w:r w:rsidR="00623B3C"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w:t>
        </w:r>
      </w:hyperlink>
      <w:r w:rsidR="00D35E51" w:rsidRPr="00F06DE2">
        <w:rPr>
          <w:rFonts w:ascii="Times New Roman" w:hAnsi="Times New Roman"/>
          <w:sz w:val="24"/>
          <w:szCs w:val="24"/>
        </w:rPr>
        <w:t>3</w:t>
      </w:r>
    </w:p>
    <w:p w14:paraId="6C0A4CA6" w14:textId="5C93086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90" w:history="1">
        <w:r w:rsidR="00D35E51" w:rsidRPr="00F06DE2">
          <w:rPr>
            <w:rStyle w:val="Hyperlink"/>
            <w:rFonts w:ascii="Times New Roman" w:hAnsi="Times New Roman"/>
            <w:b w:val="0"/>
            <w:bCs w:val="0"/>
            <w:color w:val="auto"/>
            <w:sz w:val="24"/>
            <w:szCs w:val="24"/>
            <w:u w:val="none"/>
          </w:rPr>
          <w:t>Член 7.08 Съоръжения за вътрешнокорабна комуникация на борда</w:t>
        </w:r>
        <w:r w:rsidR="002E4F2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33</w:t>
        </w:r>
      </w:hyperlink>
    </w:p>
    <w:p w14:paraId="622B6D4B" w14:textId="3CCB44DF"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91" w:history="1">
        <w:r w:rsidR="00D35E51" w:rsidRPr="00F06DE2">
          <w:rPr>
            <w:rStyle w:val="Hyperlink"/>
            <w:rFonts w:ascii="Times New Roman" w:hAnsi="Times New Roman"/>
            <w:b w:val="0"/>
            <w:bCs w:val="0"/>
            <w:color w:val="auto"/>
            <w:sz w:val="24"/>
            <w:szCs w:val="24"/>
            <w:u w:val="none"/>
          </w:rPr>
          <w:t>Член 7.09 Алармена система</w:t>
        </w:r>
        <w:r w:rsidR="002E4F2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34</w:t>
        </w:r>
      </w:hyperlink>
    </w:p>
    <w:p w14:paraId="370CD327" w14:textId="631FA683"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92" w:history="1">
        <w:r w:rsidR="00D35E51" w:rsidRPr="00F06DE2">
          <w:rPr>
            <w:rStyle w:val="Hyperlink"/>
            <w:rFonts w:ascii="Times New Roman" w:hAnsi="Times New Roman"/>
            <w:b w:val="0"/>
            <w:bCs w:val="0"/>
            <w:color w:val="auto"/>
            <w:sz w:val="24"/>
            <w:szCs w:val="24"/>
            <w:u w:val="none"/>
          </w:rPr>
          <w:t>Член 7.10 Отопление и вентилация</w:t>
        </w:r>
        <w:r w:rsidR="002E4F2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34</w:t>
        </w:r>
      </w:hyperlink>
    </w:p>
    <w:p w14:paraId="020D5125" w14:textId="0CE990A3"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93" w:history="1">
        <w:r w:rsidR="00D35E51" w:rsidRPr="00F06DE2">
          <w:rPr>
            <w:rStyle w:val="Hyperlink"/>
            <w:rFonts w:ascii="Times New Roman" w:hAnsi="Times New Roman"/>
            <w:b w:val="0"/>
            <w:bCs w:val="0"/>
            <w:color w:val="auto"/>
            <w:sz w:val="24"/>
            <w:szCs w:val="24"/>
            <w:u w:val="none"/>
          </w:rPr>
          <w:t>Член 7.11 Оборудване за работа с кърмови котви</w:t>
        </w:r>
        <w:r w:rsidR="002E4F2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34</w:t>
        </w:r>
      </w:hyperlink>
    </w:p>
    <w:p w14:paraId="53EEA0FA" w14:textId="7D32C6A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94" w:history="1">
        <w:r w:rsidR="00D35E51" w:rsidRPr="00F06DE2">
          <w:rPr>
            <w:rStyle w:val="Hyperlink"/>
            <w:rFonts w:ascii="Times New Roman" w:hAnsi="Times New Roman"/>
            <w:b w:val="0"/>
            <w:bCs w:val="0"/>
            <w:color w:val="auto"/>
            <w:sz w:val="24"/>
            <w:szCs w:val="24"/>
            <w:u w:val="none"/>
          </w:rPr>
          <w:t xml:space="preserve">Член 7.12 </w:t>
        </w:r>
        <w:r w:rsidR="00D35E51" w:rsidRPr="00F06DE2">
          <w:rPr>
            <w:rStyle w:val="Hyperlink"/>
            <w:rFonts w:ascii="Times New Roman" w:hAnsi="Times New Roman"/>
            <w:b w:val="0"/>
            <w:bCs w:val="0"/>
            <w:snapToGrid w:val="0"/>
            <w:color w:val="auto"/>
            <w:sz w:val="24"/>
            <w:szCs w:val="24"/>
            <w:u w:val="none"/>
          </w:rPr>
          <w:t>Издигащи се рулеви рубки</w:t>
        </w:r>
        <w:r w:rsidR="002E4F24">
          <w:rPr>
            <w:rStyle w:val="Hyperlink"/>
            <w:rFonts w:ascii="Times New Roman" w:hAnsi="Times New Roman"/>
            <w:b w:val="0"/>
            <w:bCs w:val="0"/>
            <w:snapToGrid w:val="0"/>
            <w:color w:val="auto"/>
            <w:sz w:val="24"/>
            <w:szCs w:val="24"/>
            <w:u w:val="none"/>
          </w:rPr>
          <w:t xml:space="preserve">                                                                                                                        </w:t>
        </w:r>
        <w:r w:rsidR="00D35E51" w:rsidRPr="00F06DE2">
          <w:rPr>
            <w:rFonts w:ascii="Times New Roman" w:hAnsi="Times New Roman"/>
            <w:sz w:val="24"/>
            <w:szCs w:val="24"/>
          </w:rPr>
          <w:t>34</w:t>
        </w:r>
      </w:hyperlink>
    </w:p>
    <w:p w14:paraId="04A27AEE" w14:textId="62975012" w:rsidR="00271FA2" w:rsidRPr="00F06DE2" w:rsidRDefault="002C62EC" w:rsidP="001C484D">
      <w:pPr>
        <w:pStyle w:val="TOC3"/>
        <w:ind w:left="0" w:right="0" w:firstLine="0"/>
        <w:rPr>
          <w:rFonts w:ascii="Times New Roman" w:hAnsi="Times New Roman"/>
          <w:sz w:val="24"/>
          <w:szCs w:val="24"/>
        </w:rPr>
      </w:pPr>
      <w:hyperlink w:anchor="_Toc535827495" w:history="1">
        <w:r w:rsidR="00D35E51" w:rsidRPr="00F06DE2">
          <w:rPr>
            <w:rStyle w:val="Hyperlink"/>
            <w:rFonts w:ascii="Times New Roman" w:hAnsi="Times New Roman"/>
            <w:b w:val="0"/>
            <w:bCs w:val="0"/>
            <w:color w:val="auto"/>
            <w:sz w:val="24"/>
            <w:szCs w:val="24"/>
            <w:u w:val="none"/>
          </w:rPr>
          <w:t>Член</w:t>
        </w:r>
        <w:r w:rsidR="00D40937" w:rsidRPr="00F06DE2">
          <w:rPr>
            <w:rStyle w:val="Hyperlink"/>
            <w:rFonts w:ascii="Times New Roman" w:hAnsi="Times New Roman"/>
            <w:b w:val="0"/>
            <w:bCs w:val="0"/>
            <w:color w:val="auto"/>
            <w:sz w:val="24"/>
            <w:szCs w:val="24"/>
            <w:u w:val="none"/>
            <w:lang w:val="en-US"/>
          </w:rPr>
          <w:t xml:space="preserve"> </w:t>
        </w:r>
        <w:r w:rsidR="00D35E51" w:rsidRPr="00F06DE2">
          <w:rPr>
            <w:rStyle w:val="Hyperlink"/>
            <w:rFonts w:ascii="Times New Roman" w:hAnsi="Times New Roman"/>
            <w:b w:val="0"/>
            <w:bCs w:val="0"/>
            <w:color w:val="auto"/>
            <w:sz w:val="24"/>
            <w:szCs w:val="24"/>
            <w:u w:val="none"/>
          </w:rPr>
          <w:t>7.13 Вписване в Корабното удостоверение за вътрешно корабоплаване за</w:t>
        </w:r>
        <w:r w:rsidR="004F4ADB" w:rsidRPr="00F06DE2">
          <w:rPr>
            <w:rStyle w:val="Hyperlink"/>
            <w:rFonts w:ascii="Times New Roman" w:hAnsi="Times New Roman"/>
            <w:b w:val="0"/>
            <w:bCs w:val="0"/>
            <w:color w:val="auto"/>
            <w:sz w:val="24"/>
            <w:szCs w:val="24"/>
            <w:u w:val="none"/>
          </w:rPr>
          <w:tab/>
        </w:r>
        <w:r w:rsidR="004F4ADB"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плавателни съдове с рулеви рубки, проектирани за</w:t>
        </w:r>
        <w:r w:rsidR="00AE342F" w:rsidRPr="00F06DE2">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управление с</w:t>
        </w:r>
        <w:r w:rsidR="00AE342F" w:rsidRPr="00F06DE2">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радиолокационни средства</w:t>
        </w:r>
        <w:r w:rsidR="004F4ADB" w:rsidRPr="00F06DE2">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 xml:space="preserve">от едно лице </w:t>
        </w:r>
        <w:r w:rsidR="004F4ADB" w:rsidRPr="00F06DE2">
          <w:rPr>
            <w:rStyle w:val="Hyperlink"/>
            <w:rFonts w:ascii="Times New Roman" w:hAnsi="Times New Roman"/>
            <w:b w:val="0"/>
            <w:bCs w:val="0"/>
            <w:color w:val="auto"/>
            <w:sz w:val="24"/>
            <w:szCs w:val="24"/>
            <w:u w:val="none"/>
          </w:rPr>
          <w:t xml:space="preserve">       </w:t>
        </w:r>
        <w:r w:rsidR="00AE342F" w:rsidRPr="00F06DE2">
          <w:rPr>
            <w:rStyle w:val="Hyperlink"/>
            <w:rFonts w:ascii="Times New Roman" w:hAnsi="Times New Roman"/>
            <w:b w:val="0"/>
            <w:bCs w:val="0"/>
            <w:color w:val="auto"/>
            <w:sz w:val="24"/>
            <w:szCs w:val="24"/>
            <w:u w:val="none"/>
          </w:rPr>
          <w:t xml:space="preserve">                                                                                                                         </w:t>
        </w:r>
        <w:r w:rsidR="004F4ADB"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35</w:t>
        </w:r>
      </w:hyperlink>
    </w:p>
    <w:p w14:paraId="6852BA59" w14:textId="5CB0CFC3" w:rsidR="00271FA2" w:rsidRPr="00F06DE2" w:rsidRDefault="00D35E51" w:rsidP="001C484D">
      <w:pPr>
        <w:spacing w:after="0" w:line="240" w:lineRule="auto"/>
        <w:jc w:val="both"/>
        <w:rPr>
          <w:rFonts w:ascii="Times New Roman" w:hAnsi="Times New Roman" w:cs="Times New Roman"/>
          <w:i/>
          <w:iCs/>
          <w:sz w:val="24"/>
          <w:szCs w:val="24"/>
          <w:lang w:val="ru-RU" w:eastAsia="bg-BG" w:bidi="bg-BG"/>
        </w:rPr>
      </w:pPr>
      <w:r w:rsidRPr="00F06DE2">
        <w:rPr>
          <w:rFonts w:ascii="Times New Roman" w:hAnsi="Times New Roman" w:cs="Times New Roman"/>
          <w:i/>
          <w:iCs/>
          <w:sz w:val="24"/>
          <w:szCs w:val="24"/>
          <w:lang w:val="ru-RU" w:eastAsia="bg-BG" w:bidi="bg-BG"/>
        </w:rPr>
        <w:t>Член 7.14 Прибиращи се рулеви рубки</w:t>
      </w:r>
      <w:r w:rsidR="002E4F24">
        <w:rPr>
          <w:rFonts w:ascii="Times New Roman" w:hAnsi="Times New Roman" w:cs="Times New Roman"/>
          <w:i/>
          <w:iCs/>
          <w:sz w:val="24"/>
          <w:szCs w:val="24"/>
          <w:lang w:val="ru-RU" w:eastAsia="bg-BG" w:bidi="bg-BG"/>
        </w:rPr>
        <w:t xml:space="preserve">                                                                                                             </w:t>
      </w:r>
      <w:r w:rsidRPr="00F06DE2">
        <w:rPr>
          <w:rFonts w:ascii="Times New Roman" w:hAnsi="Times New Roman" w:cs="Times New Roman"/>
          <w:i/>
          <w:iCs/>
          <w:sz w:val="24"/>
          <w:szCs w:val="24"/>
          <w:lang w:val="ru-RU" w:eastAsia="bg-BG" w:bidi="bg-BG"/>
        </w:rPr>
        <w:t>36</w:t>
      </w:r>
    </w:p>
    <w:p w14:paraId="48C3E9E2" w14:textId="79ACAB46"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496" w:history="1">
        <w:r w:rsidR="00D35E51" w:rsidRPr="00F06DE2">
          <w:rPr>
            <w:rStyle w:val="Hyperlink"/>
            <w:rFonts w:ascii="Times New Roman" w:hAnsi="Times New Roman"/>
            <w:b w:val="0"/>
            <w:bCs w:val="0"/>
            <w:i/>
            <w:iCs/>
            <w:color w:val="auto"/>
            <w:sz w:val="24"/>
            <w:szCs w:val="24"/>
            <w:u w:val="none"/>
          </w:rPr>
          <w:t>Глава 8 Конструкция на двигателя</w:t>
        </w:r>
        <w:r w:rsidR="002E4F24">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37</w:t>
        </w:r>
      </w:hyperlink>
    </w:p>
    <w:p w14:paraId="1EF05F1E" w14:textId="081538B4"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97" w:history="1">
        <w:r w:rsidR="00D35E51" w:rsidRPr="00F06DE2">
          <w:rPr>
            <w:rStyle w:val="Hyperlink"/>
            <w:rFonts w:ascii="Times New Roman" w:hAnsi="Times New Roman"/>
            <w:b w:val="0"/>
            <w:bCs w:val="0"/>
            <w:color w:val="auto"/>
            <w:sz w:val="24"/>
            <w:szCs w:val="24"/>
            <w:u w:val="none"/>
          </w:rPr>
          <w:t>Член 8.01 Общи положения</w:t>
        </w:r>
        <w:r w:rsidR="002E4F2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37</w:t>
        </w:r>
      </w:hyperlink>
    </w:p>
    <w:p w14:paraId="067DB77A" w14:textId="28C9F72F"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98" w:history="1">
        <w:r w:rsidR="00D35E51" w:rsidRPr="00F06DE2">
          <w:rPr>
            <w:rStyle w:val="Hyperlink"/>
            <w:rFonts w:ascii="Times New Roman" w:hAnsi="Times New Roman"/>
            <w:b w:val="0"/>
            <w:bCs w:val="0"/>
            <w:color w:val="auto"/>
            <w:sz w:val="24"/>
            <w:szCs w:val="24"/>
            <w:u w:val="none"/>
          </w:rPr>
          <w:t>Член 8.02 Оборудване за безопасност</w:t>
        </w:r>
        <w:r w:rsidR="002E4F2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37</w:t>
        </w:r>
      </w:hyperlink>
    </w:p>
    <w:p w14:paraId="1FF471EE" w14:textId="21D3369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499" w:history="1">
        <w:r w:rsidR="00D35E51" w:rsidRPr="00F06DE2">
          <w:rPr>
            <w:rStyle w:val="Hyperlink"/>
            <w:rFonts w:ascii="Times New Roman" w:hAnsi="Times New Roman"/>
            <w:b w:val="0"/>
            <w:bCs w:val="0"/>
            <w:color w:val="auto"/>
            <w:sz w:val="24"/>
            <w:szCs w:val="24"/>
            <w:u w:val="none"/>
          </w:rPr>
          <w:t>Член 8.03 Задвижващи системи</w:t>
        </w:r>
        <w:r w:rsidR="00D767D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38</w:t>
        </w:r>
      </w:hyperlink>
    </w:p>
    <w:p w14:paraId="7FC36A2F" w14:textId="0ECF8C9B"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00" w:history="1">
        <w:r w:rsidR="00D35E51" w:rsidRPr="00F06DE2">
          <w:rPr>
            <w:rStyle w:val="Hyperlink"/>
            <w:rFonts w:ascii="Times New Roman" w:hAnsi="Times New Roman"/>
            <w:b w:val="0"/>
            <w:bCs w:val="0"/>
            <w:color w:val="auto"/>
            <w:sz w:val="24"/>
            <w:szCs w:val="24"/>
            <w:u w:val="none"/>
          </w:rPr>
          <w:t>Член 8.04 Изпускателна система на двигателя</w:t>
        </w:r>
        <w:r w:rsidR="00D767D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38</w:t>
        </w:r>
      </w:hyperlink>
    </w:p>
    <w:p w14:paraId="06CD8C28" w14:textId="213A0E00"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01" w:history="1">
        <w:r w:rsidR="00D35E51" w:rsidRPr="00F06DE2">
          <w:rPr>
            <w:rStyle w:val="Hyperlink"/>
            <w:rFonts w:ascii="Times New Roman" w:hAnsi="Times New Roman"/>
            <w:b w:val="0"/>
            <w:bCs w:val="0"/>
            <w:color w:val="auto"/>
            <w:sz w:val="24"/>
            <w:szCs w:val="24"/>
            <w:u w:val="none"/>
          </w:rPr>
          <w:t>Член 8.05 Резервоари за гориво, тръби и принадлежности</w:t>
        </w:r>
        <w:r w:rsidR="00D767D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39</w:t>
        </w:r>
      </w:hyperlink>
    </w:p>
    <w:p w14:paraId="16869068" w14:textId="19F4A722"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02" w:history="1">
        <w:r w:rsidR="00D35E51" w:rsidRPr="00F06DE2">
          <w:rPr>
            <w:rStyle w:val="Hyperlink"/>
            <w:rFonts w:ascii="Times New Roman" w:hAnsi="Times New Roman"/>
            <w:b w:val="0"/>
            <w:bCs w:val="0"/>
            <w:color w:val="auto"/>
            <w:sz w:val="24"/>
            <w:szCs w:val="24"/>
            <w:u w:val="none"/>
          </w:rPr>
          <w:t>Член 8.06 Съхраняване на смазочно масло, тръби и принадлежности</w:t>
        </w:r>
        <w:r w:rsidR="00D767D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40</w:t>
        </w:r>
      </w:hyperlink>
    </w:p>
    <w:p w14:paraId="435EB043" w14:textId="6AF520A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03" w:history="1">
        <w:r w:rsidR="00D35E51" w:rsidRPr="00F06DE2">
          <w:rPr>
            <w:rStyle w:val="Hyperlink"/>
            <w:rFonts w:ascii="Times New Roman" w:hAnsi="Times New Roman"/>
            <w:b w:val="0"/>
            <w:bCs w:val="0"/>
            <w:color w:val="auto"/>
            <w:sz w:val="24"/>
            <w:szCs w:val="24"/>
            <w:u w:val="none"/>
          </w:rPr>
          <w:t>Член 8.07 Съхранение на масла, използвани в силови трансмисии, системи за управление и задействане и системи за отопление, тръбопроводи и принадлежности</w:t>
        </w:r>
        <w:r w:rsidR="00DB0813"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41</w:t>
        </w:r>
      </w:hyperlink>
    </w:p>
    <w:p w14:paraId="229CC2F3" w14:textId="65144834"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04" w:history="1">
        <w:r w:rsidR="00D35E51" w:rsidRPr="00F06DE2">
          <w:rPr>
            <w:rStyle w:val="Hyperlink"/>
            <w:rFonts w:ascii="Times New Roman" w:hAnsi="Times New Roman"/>
            <w:b w:val="0"/>
            <w:bCs w:val="0"/>
            <w:color w:val="auto"/>
            <w:sz w:val="24"/>
            <w:szCs w:val="24"/>
            <w:u w:val="none"/>
          </w:rPr>
          <w:t>Член 8.08 Системи за изпомпване и осушаване на трюма</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42</w:t>
        </w:r>
      </w:hyperlink>
    </w:p>
    <w:p w14:paraId="72EF9820" w14:textId="6FDB3AA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05" w:history="1">
        <w:r w:rsidR="00D35E51" w:rsidRPr="00F06DE2">
          <w:rPr>
            <w:rStyle w:val="Hyperlink"/>
            <w:rFonts w:ascii="Times New Roman" w:hAnsi="Times New Roman"/>
            <w:b w:val="0"/>
            <w:bCs w:val="0"/>
            <w:color w:val="auto"/>
            <w:sz w:val="24"/>
            <w:szCs w:val="24"/>
            <w:u w:val="none"/>
          </w:rPr>
          <w:t>Член 8.09 Съхранение на замърсена с нефтопродукти вода и отработени масла</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43</w:t>
        </w:r>
      </w:hyperlink>
    </w:p>
    <w:p w14:paraId="6CABF823" w14:textId="09070322"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06" w:history="1">
        <w:r w:rsidR="00D35E51" w:rsidRPr="00F06DE2">
          <w:rPr>
            <w:rStyle w:val="Hyperlink"/>
            <w:rFonts w:ascii="Times New Roman" w:hAnsi="Times New Roman"/>
            <w:b w:val="0"/>
            <w:bCs w:val="0"/>
            <w:color w:val="auto"/>
            <w:sz w:val="24"/>
            <w:szCs w:val="24"/>
            <w:u w:val="none"/>
          </w:rPr>
          <w:t>Член 8.10 Шум от плавателни съдове</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44</w:t>
        </w:r>
      </w:hyperlink>
    </w:p>
    <w:p w14:paraId="1C5B41F1" w14:textId="794A372A"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507" w:history="1">
        <w:r w:rsidR="00D35E51" w:rsidRPr="00F06DE2">
          <w:rPr>
            <w:rStyle w:val="Hyperlink"/>
            <w:rFonts w:ascii="Times New Roman" w:hAnsi="Times New Roman"/>
            <w:b w:val="0"/>
            <w:bCs w:val="0"/>
            <w:i/>
            <w:iCs/>
            <w:color w:val="auto"/>
            <w:sz w:val="24"/>
            <w:szCs w:val="24"/>
            <w:u w:val="none"/>
          </w:rPr>
          <w:t>Глава 9 Е</w:t>
        </w:r>
        <w:r w:rsidR="00D35E51" w:rsidRPr="00F06DE2">
          <w:rPr>
            <w:rStyle w:val="Hyperlink"/>
            <w:rFonts w:ascii="Times New Roman" w:hAnsi="Times New Roman"/>
            <w:bCs w:val="0"/>
            <w:i/>
            <w:iCs/>
            <w:color w:val="auto"/>
            <w:sz w:val="24"/>
            <w:szCs w:val="24"/>
            <w:u w:val="none"/>
          </w:rPr>
          <w:t xml:space="preserve">мисии </w:t>
        </w:r>
        <w:r w:rsidR="00D35E51" w:rsidRPr="00F06DE2">
          <w:rPr>
            <w:rStyle w:val="Hyperlink"/>
            <w:rFonts w:ascii="Times New Roman" w:hAnsi="Times New Roman"/>
            <w:b w:val="0"/>
            <w:bCs w:val="0"/>
            <w:i/>
            <w:iCs/>
            <w:color w:val="auto"/>
            <w:sz w:val="24"/>
            <w:szCs w:val="24"/>
            <w:u w:val="none"/>
          </w:rPr>
          <w:t>на</w:t>
        </w:r>
        <w:r w:rsidR="00D35E51" w:rsidRPr="00F06DE2">
          <w:rPr>
            <w:rStyle w:val="Hyperlink"/>
            <w:rFonts w:ascii="Times New Roman" w:hAnsi="Times New Roman"/>
            <w:bCs w:val="0"/>
            <w:i/>
            <w:iCs/>
            <w:color w:val="auto"/>
            <w:sz w:val="24"/>
            <w:szCs w:val="24"/>
            <w:u w:val="none"/>
          </w:rPr>
          <w:t xml:space="preserve"> газообразни и прахообразни замърсители от двигатели с</w:t>
        </w:r>
        <w:r w:rsidR="005C7792" w:rsidRPr="00F06DE2">
          <w:rPr>
            <w:rStyle w:val="Hyperlink"/>
            <w:rFonts w:ascii="Times New Roman" w:hAnsi="Times New Roman"/>
            <w:bCs w:val="0"/>
            <w:i/>
            <w:iCs/>
            <w:color w:val="auto"/>
            <w:sz w:val="24"/>
            <w:szCs w:val="24"/>
            <w:u w:val="none"/>
          </w:rPr>
          <w:tab/>
        </w:r>
        <w:r w:rsidR="005C7792" w:rsidRPr="00F06DE2">
          <w:rPr>
            <w:rStyle w:val="Hyperlink"/>
            <w:rFonts w:ascii="Times New Roman" w:hAnsi="Times New Roman"/>
            <w:bCs w:val="0"/>
            <w:i/>
            <w:iCs/>
            <w:color w:val="auto"/>
            <w:sz w:val="24"/>
            <w:szCs w:val="24"/>
            <w:u w:val="none"/>
          </w:rPr>
          <w:tab/>
        </w:r>
        <w:r w:rsidR="00D35E51" w:rsidRPr="00F06DE2">
          <w:rPr>
            <w:rStyle w:val="Hyperlink"/>
            <w:rFonts w:ascii="Times New Roman" w:hAnsi="Times New Roman"/>
            <w:bCs w:val="0"/>
            <w:i/>
            <w:iCs/>
            <w:color w:val="auto"/>
            <w:sz w:val="24"/>
            <w:szCs w:val="24"/>
            <w:u w:val="none"/>
          </w:rPr>
          <w:t xml:space="preserve"> вътрешно горене</w:t>
        </w:r>
        <w:r w:rsidR="005C7792" w:rsidRPr="00F06DE2">
          <w:rPr>
            <w:rStyle w:val="Hyperlink"/>
            <w:rFonts w:ascii="Times New Roman" w:hAnsi="Times New Roman"/>
            <w:bCs w:val="0"/>
            <w:i/>
            <w:iCs/>
            <w:color w:val="auto"/>
            <w:sz w:val="24"/>
            <w:szCs w:val="24"/>
            <w:u w:val="none"/>
          </w:rPr>
          <w:t xml:space="preserve">                                                                                                                                                                  </w:t>
        </w:r>
        <w:r w:rsidR="00D35E51" w:rsidRPr="00F06DE2">
          <w:rPr>
            <w:rFonts w:ascii="Times New Roman" w:hAnsi="Times New Roman"/>
            <w:i/>
            <w:iCs/>
            <w:sz w:val="24"/>
            <w:szCs w:val="24"/>
          </w:rPr>
          <w:t>45</w:t>
        </w:r>
      </w:hyperlink>
    </w:p>
    <w:p w14:paraId="73FD6B54" w14:textId="6D0FED17"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08" w:history="1">
        <w:r w:rsidR="00D35E51" w:rsidRPr="00F06DE2">
          <w:rPr>
            <w:rStyle w:val="Hyperlink"/>
            <w:rFonts w:ascii="Times New Roman" w:hAnsi="Times New Roman"/>
            <w:b w:val="0"/>
            <w:bCs w:val="0"/>
            <w:color w:val="auto"/>
            <w:sz w:val="24"/>
            <w:szCs w:val="24"/>
            <w:u w:val="none"/>
          </w:rPr>
          <w:t>Член 9.00 Определения</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45</w:t>
        </w:r>
      </w:hyperlink>
    </w:p>
    <w:p w14:paraId="5C0B58DF" w14:textId="159ED46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09" w:history="1">
        <w:r w:rsidR="00D35E51" w:rsidRPr="00F06DE2">
          <w:rPr>
            <w:rStyle w:val="Hyperlink"/>
            <w:rFonts w:ascii="Times New Roman" w:hAnsi="Times New Roman"/>
            <w:b w:val="0"/>
            <w:bCs w:val="0"/>
            <w:color w:val="auto"/>
            <w:sz w:val="24"/>
            <w:szCs w:val="24"/>
            <w:u w:val="none"/>
          </w:rPr>
          <w:t>Член 9.01 Общи разпоредби</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45</w:t>
        </w:r>
      </w:hyperlink>
    </w:p>
    <w:p w14:paraId="3A5D3775" w14:textId="41C2C1A8"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10" w:history="1">
        <w:r w:rsidR="00D35E51" w:rsidRPr="00F06DE2">
          <w:rPr>
            <w:rStyle w:val="Hyperlink"/>
            <w:rFonts w:ascii="Times New Roman" w:hAnsi="Times New Roman"/>
            <w:b w:val="0"/>
            <w:bCs w:val="0"/>
            <w:color w:val="auto"/>
            <w:sz w:val="24"/>
            <w:szCs w:val="24"/>
            <w:u w:val="none"/>
          </w:rPr>
          <w:t>Член 9.02 Вписване в</w:t>
        </w:r>
        <w:r w:rsidR="00D35E51" w:rsidRPr="00F06DE2">
          <w:rPr>
            <w:rFonts w:ascii="Times New Roman" w:hAnsi="Times New Roman"/>
            <w:sz w:val="24"/>
            <w:szCs w:val="24"/>
          </w:rPr>
          <w:t xml:space="preserve"> </w:t>
        </w:r>
        <w:r w:rsidR="00D35E51" w:rsidRPr="00F06DE2">
          <w:rPr>
            <w:rStyle w:val="Hyperlink"/>
            <w:rFonts w:ascii="Times New Roman" w:hAnsi="Times New Roman"/>
            <w:b w:val="0"/>
            <w:bCs w:val="0"/>
            <w:color w:val="auto"/>
            <w:sz w:val="24"/>
            <w:szCs w:val="24"/>
            <w:u w:val="none"/>
          </w:rPr>
          <w:t>Корабното удостоверение за вътрешно корабоплаване</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46</w:t>
        </w:r>
      </w:hyperlink>
    </w:p>
    <w:p w14:paraId="2525522E" w14:textId="78EB0635"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11" w:history="1">
        <w:r w:rsidR="00D35E51" w:rsidRPr="00F06DE2">
          <w:rPr>
            <w:rStyle w:val="Hyperlink"/>
            <w:rFonts w:ascii="Times New Roman" w:hAnsi="Times New Roman"/>
            <w:b w:val="0"/>
            <w:bCs w:val="0"/>
            <w:color w:val="auto"/>
            <w:sz w:val="24"/>
            <w:szCs w:val="24"/>
            <w:u w:val="none"/>
          </w:rPr>
          <w:t>Член 9.03 Разпоредби за монтирането на двигатели с вътрешно горене</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46</w:t>
        </w:r>
      </w:hyperlink>
    </w:p>
    <w:p w14:paraId="23CE7DEA" w14:textId="792E176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12" w:history="1">
        <w:r w:rsidR="00D35E51" w:rsidRPr="00F06DE2">
          <w:rPr>
            <w:rStyle w:val="Hyperlink"/>
            <w:rFonts w:ascii="Times New Roman" w:hAnsi="Times New Roman"/>
            <w:b w:val="0"/>
            <w:bCs w:val="0"/>
            <w:color w:val="auto"/>
            <w:sz w:val="24"/>
            <w:szCs w:val="24"/>
            <w:u w:val="none"/>
          </w:rPr>
          <w:t>Член 9.04 Инструкции на производителя на двигателя</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46</w:t>
        </w:r>
      </w:hyperlink>
    </w:p>
    <w:p w14:paraId="43C12D42" w14:textId="237187AC"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13" w:history="1">
        <w:r w:rsidR="00D35E51" w:rsidRPr="00F06DE2">
          <w:rPr>
            <w:rStyle w:val="Hyperlink"/>
            <w:rFonts w:ascii="Times New Roman" w:hAnsi="Times New Roman"/>
            <w:b w:val="0"/>
            <w:bCs w:val="0"/>
            <w:color w:val="auto"/>
            <w:sz w:val="24"/>
            <w:szCs w:val="24"/>
            <w:u w:val="none"/>
          </w:rPr>
          <w:t>Член 9.05 Изпитвания на двигатели с вътрешно горене</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w:t>
        </w:r>
        <w:r w:rsidR="00C21E28" w:rsidRPr="00F06DE2">
          <w:rPr>
            <w:rFonts w:ascii="Times New Roman" w:hAnsi="Times New Roman"/>
            <w:sz w:val="24"/>
            <w:szCs w:val="24"/>
            <w:lang w:val="en-US"/>
          </w:rPr>
          <w:t>7</w:t>
        </w:r>
      </w:hyperlink>
    </w:p>
    <w:p w14:paraId="64F2201B" w14:textId="0DE98C48"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14" w:history="1">
        <w:r w:rsidR="00D35E51" w:rsidRPr="00F06DE2">
          <w:rPr>
            <w:rStyle w:val="Hyperlink"/>
            <w:rFonts w:ascii="Times New Roman" w:hAnsi="Times New Roman"/>
            <w:b w:val="0"/>
            <w:bCs w:val="0"/>
            <w:color w:val="auto"/>
            <w:sz w:val="24"/>
            <w:szCs w:val="24"/>
            <w:u w:val="none"/>
          </w:rPr>
          <w:t>Член 9.06 Изпитвания на монтажа</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47</w:t>
        </w:r>
      </w:hyperlink>
    </w:p>
    <w:p w14:paraId="37C69190" w14:textId="3C6F2818"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15" w:history="1">
        <w:r w:rsidR="00D35E51" w:rsidRPr="00F06DE2">
          <w:rPr>
            <w:rStyle w:val="Hyperlink"/>
            <w:rFonts w:ascii="Times New Roman" w:hAnsi="Times New Roman"/>
            <w:b w:val="0"/>
            <w:bCs w:val="0"/>
            <w:color w:val="auto"/>
            <w:sz w:val="24"/>
            <w:szCs w:val="24"/>
            <w:u w:val="none"/>
          </w:rPr>
          <w:t>Член 9.07 Междинни изпитвания</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47</w:t>
        </w:r>
      </w:hyperlink>
    </w:p>
    <w:p w14:paraId="57CB0E6A" w14:textId="39D3B448"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16" w:history="1">
        <w:r w:rsidR="00D35E51" w:rsidRPr="00F06DE2">
          <w:rPr>
            <w:rStyle w:val="Hyperlink"/>
            <w:rFonts w:ascii="Times New Roman" w:hAnsi="Times New Roman"/>
            <w:b w:val="0"/>
            <w:bCs w:val="0"/>
            <w:color w:val="auto"/>
            <w:sz w:val="24"/>
            <w:szCs w:val="24"/>
            <w:u w:val="none"/>
          </w:rPr>
          <w:t>Член 9.08 Специални изпитвания</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48</w:t>
        </w:r>
      </w:hyperlink>
    </w:p>
    <w:p w14:paraId="23F4CED4" w14:textId="7F17F319" w:rsidR="00271FA2" w:rsidRPr="00F06DE2" w:rsidRDefault="002C62EC" w:rsidP="001C484D">
      <w:pPr>
        <w:pStyle w:val="TOC3"/>
        <w:ind w:left="0" w:right="0" w:firstLine="0"/>
        <w:rPr>
          <w:rFonts w:ascii="Times New Roman" w:hAnsi="Times New Roman"/>
          <w:sz w:val="24"/>
          <w:szCs w:val="24"/>
        </w:rPr>
      </w:pPr>
      <w:hyperlink w:anchor="_Toc535827517" w:history="1">
        <w:r w:rsidR="00D35E51" w:rsidRPr="00F06DE2">
          <w:rPr>
            <w:rStyle w:val="Hyperlink"/>
            <w:rFonts w:ascii="Times New Roman" w:hAnsi="Times New Roman"/>
            <w:b w:val="0"/>
            <w:bCs w:val="0"/>
            <w:color w:val="auto"/>
            <w:sz w:val="24"/>
            <w:szCs w:val="24"/>
            <w:u w:val="none"/>
          </w:rPr>
          <w:t>Член 9.09 Специфични изисквания относно системи за последваща обработка на</w:t>
        </w:r>
        <w:r w:rsidR="00D30A6C"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 xml:space="preserve"> отработ</w:t>
        </w:r>
        <w:r w:rsidR="00023352" w:rsidRPr="00F06DE2">
          <w:rPr>
            <w:rStyle w:val="Hyperlink"/>
            <w:rFonts w:ascii="Times New Roman" w:hAnsi="Times New Roman"/>
            <w:b w:val="0"/>
            <w:bCs w:val="0"/>
            <w:color w:val="auto"/>
            <w:sz w:val="24"/>
            <w:szCs w:val="24"/>
            <w:u w:val="none"/>
          </w:rPr>
          <w:t>ен</w:t>
        </w:r>
        <w:r w:rsidR="00D35E51" w:rsidRPr="00F06DE2">
          <w:rPr>
            <w:rStyle w:val="Hyperlink"/>
            <w:rFonts w:ascii="Times New Roman" w:hAnsi="Times New Roman"/>
            <w:b w:val="0"/>
            <w:bCs w:val="0"/>
            <w:color w:val="auto"/>
            <w:sz w:val="24"/>
            <w:szCs w:val="24"/>
            <w:u w:val="none"/>
          </w:rPr>
          <w:t>ите газове</w:t>
        </w:r>
        <w:r w:rsidR="00D30A6C"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48</w:t>
        </w:r>
      </w:hyperlink>
    </w:p>
    <w:p w14:paraId="01AF5816" w14:textId="2C1FEF8E" w:rsidR="00271FA2" w:rsidRPr="00F06DE2" w:rsidRDefault="00D35E51" w:rsidP="001C484D">
      <w:pPr>
        <w:spacing w:after="0" w:line="240" w:lineRule="auto"/>
        <w:jc w:val="both"/>
        <w:rPr>
          <w:rFonts w:ascii="Times New Roman" w:hAnsi="Times New Roman" w:cs="Times New Roman"/>
          <w:i/>
          <w:iCs/>
          <w:sz w:val="24"/>
          <w:szCs w:val="24"/>
          <w:lang w:val="ru-RU" w:eastAsia="bg-BG" w:bidi="bg-BG"/>
        </w:rPr>
      </w:pPr>
      <w:r w:rsidRPr="00F06DE2">
        <w:rPr>
          <w:rFonts w:ascii="Times New Roman" w:hAnsi="Times New Roman" w:cs="Times New Roman"/>
          <w:i/>
          <w:iCs/>
          <w:sz w:val="24"/>
          <w:szCs w:val="24"/>
          <w:lang w:val="ru-RU" w:eastAsia="bg-BG" w:bidi="bg-BG"/>
        </w:rPr>
        <w:t>Член 9.10 Ремонт на двигатели в експлоатация</w:t>
      </w:r>
      <w:r w:rsidR="00023B0F">
        <w:rPr>
          <w:rFonts w:ascii="Times New Roman" w:hAnsi="Times New Roman" w:cs="Times New Roman"/>
          <w:i/>
          <w:iCs/>
          <w:sz w:val="24"/>
          <w:szCs w:val="24"/>
          <w:lang w:val="ru-RU" w:eastAsia="bg-BG" w:bidi="bg-BG"/>
        </w:rPr>
        <w:t xml:space="preserve">                                                                                      </w:t>
      </w:r>
      <w:r w:rsidRPr="00F06DE2">
        <w:rPr>
          <w:rFonts w:ascii="Times New Roman" w:hAnsi="Times New Roman" w:cs="Times New Roman"/>
          <w:i/>
          <w:iCs/>
          <w:sz w:val="24"/>
          <w:szCs w:val="24"/>
          <w:lang w:val="ru-RU" w:eastAsia="bg-BG" w:bidi="bg-BG"/>
        </w:rPr>
        <w:t>49</w:t>
      </w:r>
    </w:p>
    <w:p w14:paraId="3ED2F8E4" w14:textId="0E8D66B1"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518" w:history="1">
        <w:r w:rsidR="00D35E51" w:rsidRPr="00F06DE2">
          <w:rPr>
            <w:rStyle w:val="Hyperlink"/>
            <w:rFonts w:ascii="Times New Roman" w:hAnsi="Times New Roman"/>
            <w:b w:val="0"/>
            <w:bCs w:val="0"/>
            <w:i/>
            <w:iCs/>
            <w:color w:val="auto"/>
            <w:sz w:val="24"/>
            <w:szCs w:val="24"/>
            <w:u w:val="none"/>
          </w:rPr>
          <w:t>Глава 10 Електрическо оборудване и електрически инсталации</w:t>
        </w:r>
        <w:r w:rsidR="00023B0F">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51</w:t>
        </w:r>
      </w:hyperlink>
    </w:p>
    <w:p w14:paraId="3EA325D0" w14:textId="34D4BEB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19" w:history="1">
        <w:r w:rsidR="00D35E51" w:rsidRPr="00F06DE2">
          <w:rPr>
            <w:rStyle w:val="Hyperlink"/>
            <w:rFonts w:ascii="Times New Roman" w:hAnsi="Times New Roman"/>
            <w:b w:val="0"/>
            <w:bCs w:val="0"/>
            <w:color w:val="auto"/>
            <w:sz w:val="24"/>
            <w:szCs w:val="24"/>
            <w:u w:val="none"/>
          </w:rPr>
          <w:t>Член 10.01 Общи положения</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51</w:t>
        </w:r>
      </w:hyperlink>
    </w:p>
    <w:p w14:paraId="13EE6505" w14:textId="6935E1BF"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0" w:history="1">
        <w:r w:rsidR="00D35E51" w:rsidRPr="00F06DE2">
          <w:rPr>
            <w:rStyle w:val="Hyperlink"/>
            <w:rFonts w:ascii="Times New Roman" w:hAnsi="Times New Roman"/>
            <w:b w:val="0"/>
            <w:bCs w:val="0"/>
            <w:color w:val="auto"/>
            <w:sz w:val="24"/>
            <w:szCs w:val="24"/>
            <w:u w:val="none"/>
          </w:rPr>
          <w:t>Член 10.02 Електроснабдителни системи</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51</w:t>
        </w:r>
      </w:hyperlink>
    </w:p>
    <w:p w14:paraId="3BA63D18" w14:textId="2B4BB515"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1" w:history="1">
        <w:r w:rsidR="00D35E51" w:rsidRPr="00F06DE2">
          <w:rPr>
            <w:rStyle w:val="Hyperlink"/>
            <w:rFonts w:ascii="Times New Roman" w:hAnsi="Times New Roman"/>
            <w:b w:val="0"/>
            <w:bCs w:val="0"/>
            <w:color w:val="auto"/>
            <w:sz w:val="24"/>
            <w:szCs w:val="24"/>
            <w:u w:val="none"/>
          </w:rPr>
          <w:t>Член 10.03 Защита срещу достъп до опасни части, срещу чужди твърди тела и</w:t>
        </w:r>
        <w:r w:rsidR="006F1A55" w:rsidRPr="00F06DE2">
          <w:rPr>
            <w:rStyle w:val="Hyperlink"/>
            <w:rFonts w:ascii="Times New Roman" w:hAnsi="Times New Roman"/>
            <w:b w:val="0"/>
            <w:bCs w:val="0"/>
            <w:color w:val="auto"/>
            <w:sz w:val="24"/>
            <w:szCs w:val="24"/>
            <w:u w:val="none"/>
          </w:rPr>
          <w:tab/>
        </w:r>
        <w:r w:rsidR="006F1A55"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проникване</w:t>
        </w:r>
        <w:r w:rsidR="006F1A55" w:rsidRPr="00F06DE2">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 xml:space="preserve">на вода </w:t>
        </w:r>
        <w:r w:rsidR="006F1A55"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 xml:space="preserve"> 52</w:t>
        </w:r>
      </w:hyperlink>
    </w:p>
    <w:p w14:paraId="7382981C" w14:textId="674FA9A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2" w:history="1">
        <w:r w:rsidR="00D35E51" w:rsidRPr="00F06DE2">
          <w:rPr>
            <w:rStyle w:val="Hyperlink"/>
            <w:rFonts w:ascii="Times New Roman" w:hAnsi="Times New Roman"/>
            <w:b w:val="0"/>
            <w:bCs w:val="0"/>
            <w:color w:val="auto"/>
            <w:sz w:val="24"/>
            <w:szCs w:val="24"/>
            <w:u w:val="none"/>
          </w:rPr>
          <w:t>Член 10.04 Защита от експлозия</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5</w:t>
        </w:r>
        <w:r w:rsidR="00C21E28" w:rsidRPr="00F06DE2">
          <w:rPr>
            <w:rFonts w:ascii="Times New Roman" w:hAnsi="Times New Roman"/>
            <w:sz w:val="24"/>
            <w:szCs w:val="24"/>
            <w:lang w:val="en-US"/>
          </w:rPr>
          <w:t>4</w:t>
        </w:r>
      </w:hyperlink>
    </w:p>
    <w:p w14:paraId="74125491" w14:textId="1701111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3" w:history="1">
        <w:r w:rsidR="00D35E51" w:rsidRPr="00F06DE2">
          <w:rPr>
            <w:rStyle w:val="Hyperlink"/>
            <w:rFonts w:ascii="Times New Roman" w:hAnsi="Times New Roman"/>
            <w:b w:val="0"/>
            <w:bCs w:val="0"/>
            <w:color w:val="auto"/>
            <w:sz w:val="24"/>
            <w:szCs w:val="24"/>
            <w:u w:val="none"/>
          </w:rPr>
          <w:t>Член 10.05 Заземяване</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5</w:t>
        </w:r>
        <w:r w:rsidR="00C21E28" w:rsidRPr="00F06DE2">
          <w:rPr>
            <w:rFonts w:ascii="Times New Roman" w:hAnsi="Times New Roman"/>
            <w:sz w:val="24"/>
            <w:szCs w:val="24"/>
            <w:lang w:val="en-US"/>
          </w:rPr>
          <w:t>5</w:t>
        </w:r>
      </w:hyperlink>
    </w:p>
    <w:p w14:paraId="7E433C2D" w14:textId="0377D697"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4" w:history="1">
        <w:r w:rsidR="00D35E51" w:rsidRPr="00F06DE2">
          <w:rPr>
            <w:rStyle w:val="Hyperlink"/>
            <w:rFonts w:ascii="Times New Roman" w:hAnsi="Times New Roman"/>
            <w:b w:val="0"/>
            <w:bCs w:val="0"/>
            <w:color w:val="auto"/>
            <w:sz w:val="24"/>
            <w:szCs w:val="24"/>
            <w:u w:val="none"/>
          </w:rPr>
          <w:t>Член 10.06 Максимално допустимо напрежение</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55</w:t>
        </w:r>
      </w:hyperlink>
    </w:p>
    <w:p w14:paraId="74689423" w14:textId="1028E7D0"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5" w:history="1">
        <w:r w:rsidR="00D35E51" w:rsidRPr="00F06DE2">
          <w:rPr>
            <w:rStyle w:val="Hyperlink"/>
            <w:rFonts w:ascii="Times New Roman" w:hAnsi="Times New Roman"/>
            <w:b w:val="0"/>
            <w:bCs w:val="0"/>
            <w:color w:val="auto"/>
            <w:sz w:val="24"/>
            <w:szCs w:val="24"/>
            <w:u w:val="none"/>
          </w:rPr>
          <w:t>Член 10.07 Разпределителни системи</w:t>
        </w:r>
        <w:r w:rsidR="00023B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5</w:t>
        </w:r>
        <w:r w:rsidR="00C21E28" w:rsidRPr="00F06DE2">
          <w:rPr>
            <w:rFonts w:ascii="Times New Roman" w:hAnsi="Times New Roman"/>
            <w:sz w:val="24"/>
            <w:szCs w:val="24"/>
            <w:lang w:val="en-US"/>
          </w:rPr>
          <w:t>7</w:t>
        </w:r>
      </w:hyperlink>
    </w:p>
    <w:p w14:paraId="6B08046A" w14:textId="08712ACB"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6" w:history="1">
        <w:r w:rsidR="00D35E51" w:rsidRPr="00F06DE2">
          <w:rPr>
            <w:rStyle w:val="Hyperlink"/>
            <w:rFonts w:ascii="Times New Roman" w:hAnsi="Times New Roman"/>
            <w:b w:val="0"/>
            <w:bCs w:val="0"/>
            <w:color w:val="auto"/>
            <w:sz w:val="24"/>
            <w:szCs w:val="24"/>
            <w:u w:val="none"/>
          </w:rPr>
          <w:t>Член 10.08 Връзка с брега или други външни мрежи</w:t>
        </w:r>
        <w:r w:rsidR="00E3340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57</w:t>
        </w:r>
      </w:hyperlink>
    </w:p>
    <w:p w14:paraId="2D9E4088" w14:textId="61D1296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7" w:history="1">
        <w:r w:rsidR="00D35E51" w:rsidRPr="00F06DE2">
          <w:rPr>
            <w:rStyle w:val="Hyperlink"/>
            <w:rFonts w:ascii="Times New Roman" w:hAnsi="Times New Roman"/>
            <w:b w:val="0"/>
            <w:bCs w:val="0"/>
            <w:color w:val="auto"/>
            <w:sz w:val="24"/>
            <w:szCs w:val="24"/>
            <w:u w:val="none"/>
          </w:rPr>
          <w:t>Член 10.09 Електрозахранване за друго плавателно средство</w:t>
        </w:r>
        <w:r w:rsidR="00E3340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58</w:t>
        </w:r>
      </w:hyperlink>
    </w:p>
    <w:p w14:paraId="2B1E7C25" w14:textId="09BC905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8" w:history="1">
        <w:r w:rsidR="00D35E51" w:rsidRPr="00F06DE2">
          <w:rPr>
            <w:rStyle w:val="Hyperlink"/>
            <w:rFonts w:ascii="Times New Roman" w:hAnsi="Times New Roman"/>
            <w:b w:val="0"/>
            <w:bCs w:val="0"/>
            <w:color w:val="auto"/>
            <w:sz w:val="24"/>
            <w:szCs w:val="24"/>
            <w:u w:val="none"/>
          </w:rPr>
          <w:t>Член 10.10 Генератори, двигатели и трансформатори</w:t>
        </w:r>
        <w:r w:rsidR="00E3340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fldChar w:fldCharType="begin"/>
        </w:r>
        <w:r w:rsidR="00D35E51" w:rsidRPr="00F06DE2">
          <w:rPr>
            <w:rFonts w:ascii="Times New Roman" w:hAnsi="Times New Roman"/>
            <w:sz w:val="24"/>
            <w:szCs w:val="24"/>
          </w:rPr>
          <w:instrText xml:space="preserve"> PAGEREF _Toc535827528 \h </w:instrText>
        </w:r>
        <w:r w:rsidR="00D35E51" w:rsidRPr="00F06DE2">
          <w:rPr>
            <w:rFonts w:ascii="Times New Roman" w:hAnsi="Times New Roman"/>
            <w:sz w:val="24"/>
            <w:szCs w:val="24"/>
          </w:rPr>
        </w:r>
        <w:r w:rsidR="00D35E51" w:rsidRPr="00F06DE2">
          <w:rPr>
            <w:rFonts w:ascii="Times New Roman" w:hAnsi="Times New Roman"/>
            <w:sz w:val="24"/>
            <w:szCs w:val="24"/>
          </w:rPr>
          <w:fldChar w:fldCharType="separate"/>
        </w:r>
        <w:r w:rsidR="00871F5D" w:rsidRPr="00F06DE2">
          <w:rPr>
            <w:rFonts w:ascii="Times New Roman" w:hAnsi="Times New Roman"/>
            <w:noProof/>
            <w:sz w:val="24"/>
            <w:szCs w:val="24"/>
          </w:rPr>
          <w:t>59</w:t>
        </w:r>
        <w:r w:rsidR="00D35E51" w:rsidRPr="00F06DE2">
          <w:rPr>
            <w:rFonts w:ascii="Times New Roman" w:hAnsi="Times New Roman"/>
            <w:sz w:val="24"/>
            <w:szCs w:val="24"/>
          </w:rPr>
          <w:fldChar w:fldCharType="end"/>
        </w:r>
      </w:hyperlink>
    </w:p>
    <w:p w14:paraId="4B8D7002" w14:textId="6D310AC7"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29" w:history="1">
        <w:r w:rsidR="00D35E51" w:rsidRPr="00F06DE2">
          <w:rPr>
            <w:rStyle w:val="Hyperlink"/>
            <w:rFonts w:ascii="Times New Roman" w:hAnsi="Times New Roman"/>
            <w:b w:val="0"/>
            <w:bCs w:val="0"/>
            <w:color w:val="auto"/>
            <w:sz w:val="24"/>
            <w:szCs w:val="24"/>
            <w:u w:val="none"/>
          </w:rPr>
          <w:t>Член 10.11 Батерии, акумулатори и техните зарядни устройства</w:t>
        </w:r>
        <w:r w:rsidR="00E3340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58</w:t>
        </w:r>
      </w:hyperlink>
    </w:p>
    <w:p w14:paraId="0C0ECB08" w14:textId="3A6C818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0" w:history="1">
        <w:r w:rsidR="00D35E51" w:rsidRPr="00F06DE2">
          <w:rPr>
            <w:rStyle w:val="Hyperlink"/>
            <w:rFonts w:ascii="Times New Roman" w:hAnsi="Times New Roman"/>
            <w:b w:val="0"/>
            <w:bCs w:val="0"/>
            <w:color w:val="auto"/>
            <w:sz w:val="24"/>
            <w:szCs w:val="24"/>
            <w:u w:val="none"/>
          </w:rPr>
          <w:t>Член 10.12 Комутационна и пусковорегулираща апаратура</w:t>
        </w:r>
        <w:r w:rsidR="00E3340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61</w:t>
        </w:r>
      </w:hyperlink>
    </w:p>
    <w:p w14:paraId="2E8F9E44" w14:textId="77205E4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1" w:history="1">
        <w:r w:rsidR="00D35E51" w:rsidRPr="00F06DE2">
          <w:rPr>
            <w:rStyle w:val="Hyperlink"/>
            <w:rFonts w:ascii="Times New Roman" w:hAnsi="Times New Roman"/>
            <w:b w:val="0"/>
            <w:bCs w:val="0"/>
            <w:color w:val="auto"/>
            <w:sz w:val="24"/>
            <w:szCs w:val="24"/>
            <w:u w:val="none"/>
          </w:rPr>
          <w:t>Член 10.13 Аварийни прекъсвачи</w:t>
        </w:r>
        <w:r w:rsidR="00E3340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63</w:t>
        </w:r>
      </w:hyperlink>
    </w:p>
    <w:p w14:paraId="56B75E8F" w14:textId="17467884"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2" w:history="1">
        <w:r w:rsidR="00D35E51" w:rsidRPr="00F06DE2">
          <w:rPr>
            <w:rStyle w:val="Hyperlink"/>
            <w:rFonts w:ascii="Times New Roman" w:hAnsi="Times New Roman"/>
            <w:b w:val="0"/>
            <w:bCs w:val="0"/>
            <w:color w:val="auto"/>
            <w:sz w:val="24"/>
            <w:szCs w:val="24"/>
            <w:u w:val="none"/>
          </w:rPr>
          <w:t>Член 10.14 Арматура за инсталации</w:t>
        </w:r>
        <w:r w:rsidR="00E3340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63</w:t>
        </w:r>
      </w:hyperlink>
    </w:p>
    <w:p w14:paraId="53B37535" w14:textId="38D1ABC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3" w:history="1">
        <w:r w:rsidR="00D35E51" w:rsidRPr="00F06DE2">
          <w:rPr>
            <w:rStyle w:val="Hyperlink"/>
            <w:rFonts w:ascii="Times New Roman" w:hAnsi="Times New Roman"/>
            <w:b w:val="0"/>
            <w:bCs w:val="0"/>
            <w:color w:val="auto"/>
            <w:sz w:val="24"/>
            <w:szCs w:val="24"/>
            <w:u w:val="none"/>
          </w:rPr>
          <w:t>Член 10.15 Кабели, изолирани кабели и кабелни системи</w:t>
        </w:r>
        <w:r w:rsidR="00E3340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63</w:t>
        </w:r>
      </w:hyperlink>
    </w:p>
    <w:p w14:paraId="26A44341" w14:textId="53D12252"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4" w:history="1">
        <w:r w:rsidR="00D35E51" w:rsidRPr="00F06DE2">
          <w:rPr>
            <w:rStyle w:val="Hyperlink"/>
            <w:rFonts w:ascii="Times New Roman" w:hAnsi="Times New Roman"/>
            <w:b w:val="0"/>
            <w:bCs w:val="0"/>
            <w:color w:val="auto"/>
            <w:sz w:val="24"/>
            <w:szCs w:val="24"/>
            <w:u w:val="none"/>
          </w:rPr>
          <w:t>Член 10.16 Осветителни инсталации</w:t>
        </w:r>
        <w:r w:rsidR="00F87CBA">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65</w:t>
        </w:r>
      </w:hyperlink>
    </w:p>
    <w:p w14:paraId="06B4D5A8" w14:textId="42A970F2"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5" w:history="1">
        <w:r w:rsidR="00D35E51" w:rsidRPr="00F06DE2">
          <w:rPr>
            <w:rStyle w:val="Hyperlink"/>
            <w:rFonts w:ascii="Times New Roman" w:hAnsi="Times New Roman"/>
            <w:b w:val="0"/>
            <w:bCs w:val="0"/>
            <w:color w:val="auto"/>
            <w:sz w:val="24"/>
            <w:szCs w:val="24"/>
            <w:u w:val="none"/>
          </w:rPr>
          <w:t>Член 10.17 Навигационни светлини</w:t>
        </w:r>
        <w:r w:rsidR="00F87CBA">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65</w:t>
        </w:r>
      </w:hyperlink>
    </w:p>
    <w:p w14:paraId="6275349E" w14:textId="422B37C3"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6" w:history="1">
        <w:r w:rsidR="00D35E51" w:rsidRPr="00F06DE2">
          <w:rPr>
            <w:rStyle w:val="Hyperlink"/>
            <w:rFonts w:ascii="Times New Roman" w:hAnsi="Times New Roman"/>
            <w:b w:val="0"/>
            <w:bCs w:val="0"/>
            <w:color w:val="auto"/>
            <w:sz w:val="24"/>
            <w:szCs w:val="24"/>
            <w:u w:val="none"/>
          </w:rPr>
          <w:t>Член 10.18 Силова електроника</w:t>
        </w:r>
        <w:r w:rsidR="00F87CBA">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65</w:t>
        </w:r>
      </w:hyperlink>
    </w:p>
    <w:p w14:paraId="45708024" w14:textId="4EF24B70"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7" w:history="1">
        <w:r w:rsidR="00D35E51" w:rsidRPr="00F06DE2">
          <w:rPr>
            <w:rStyle w:val="Hyperlink"/>
            <w:rFonts w:ascii="Times New Roman" w:hAnsi="Times New Roman"/>
            <w:b w:val="0"/>
            <w:bCs w:val="0"/>
            <w:color w:val="auto"/>
            <w:sz w:val="24"/>
            <w:szCs w:val="24"/>
            <w:u w:val="none"/>
          </w:rPr>
          <w:t>Член 10.19 Алармени системи и системи за безопасност за механични инсталации</w:t>
        </w:r>
        <w:r w:rsidR="00F87CBA">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66</w:t>
        </w:r>
      </w:hyperlink>
    </w:p>
    <w:p w14:paraId="07F0D0C1" w14:textId="7EE1A0E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8" w:history="1">
        <w:r w:rsidR="00D35E51" w:rsidRPr="00F06DE2">
          <w:rPr>
            <w:rStyle w:val="Hyperlink"/>
            <w:rFonts w:ascii="Times New Roman" w:hAnsi="Times New Roman"/>
            <w:b w:val="0"/>
            <w:bCs w:val="0"/>
            <w:color w:val="auto"/>
            <w:sz w:val="24"/>
            <w:szCs w:val="24"/>
            <w:u w:val="none"/>
          </w:rPr>
          <w:t>Член 10.20 Условия на изпитване на електронни съоръжения</w:t>
        </w:r>
        <w:r w:rsidR="00F87CBA">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67</w:t>
        </w:r>
      </w:hyperlink>
    </w:p>
    <w:p w14:paraId="3C853044" w14:textId="463FDA20"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39" w:history="1">
        <w:r w:rsidR="00D35E51" w:rsidRPr="00F06DE2">
          <w:rPr>
            <w:rStyle w:val="Hyperlink"/>
            <w:rFonts w:ascii="Times New Roman" w:hAnsi="Times New Roman"/>
            <w:b w:val="0"/>
            <w:bCs w:val="0"/>
            <w:color w:val="auto"/>
            <w:sz w:val="24"/>
            <w:szCs w:val="24"/>
            <w:u w:val="none"/>
          </w:rPr>
          <w:t>Член 10.21 Електромагнитна съвместимост</w:t>
        </w:r>
        <w:r w:rsidR="00F87CBA">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68</w:t>
        </w:r>
      </w:hyperlink>
    </w:p>
    <w:p w14:paraId="5C99645D" w14:textId="0F8A18CE" w:rsidR="00271FA2" w:rsidRPr="00F06DE2" w:rsidRDefault="002C62EC" w:rsidP="00BA76A0">
      <w:pPr>
        <w:pStyle w:val="TOC2"/>
        <w:tabs>
          <w:tab w:val="right" w:leader="dot" w:pos="9060"/>
        </w:tabs>
        <w:spacing w:before="120"/>
        <w:ind w:left="0" w:right="0" w:firstLine="0"/>
        <w:rPr>
          <w:rFonts w:ascii="Times New Roman" w:hAnsi="Times New Roman"/>
          <w:i/>
          <w:iCs/>
          <w:sz w:val="24"/>
          <w:szCs w:val="24"/>
        </w:rPr>
      </w:pPr>
      <w:hyperlink w:anchor="_Toc535827540" w:history="1">
        <w:r w:rsidR="00D35E51" w:rsidRPr="00F06DE2">
          <w:rPr>
            <w:rStyle w:val="Hyperlink"/>
            <w:rFonts w:ascii="Times New Roman" w:hAnsi="Times New Roman"/>
            <w:b w:val="0"/>
            <w:bCs w:val="0"/>
            <w:i/>
            <w:iCs/>
            <w:color w:val="auto"/>
            <w:sz w:val="24"/>
            <w:szCs w:val="24"/>
            <w:u w:val="none"/>
          </w:rPr>
          <w:t>Глава 11 Специални разпоредби</w:t>
        </w:r>
        <w:r w:rsidR="006F1A55" w:rsidRPr="00F06DE2">
          <w:rPr>
            <w:rStyle w:val="Hyperlink"/>
            <w:rFonts w:ascii="Times New Roman" w:hAnsi="Times New Roman"/>
            <w:b w:val="0"/>
            <w:bCs w:val="0"/>
            <w:i/>
            <w:iCs/>
            <w:color w:val="auto"/>
            <w:sz w:val="24"/>
            <w:szCs w:val="24"/>
            <w:u w:val="none"/>
          </w:rPr>
          <w:t>,</w:t>
        </w:r>
        <w:r w:rsidR="00D35E51" w:rsidRPr="00F06DE2">
          <w:rPr>
            <w:rStyle w:val="Hyperlink"/>
            <w:rFonts w:ascii="Times New Roman" w:hAnsi="Times New Roman"/>
            <w:b w:val="0"/>
            <w:bCs w:val="0"/>
            <w:i/>
            <w:iCs/>
            <w:color w:val="auto"/>
            <w:sz w:val="24"/>
            <w:szCs w:val="24"/>
            <w:u w:val="none"/>
          </w:rPr>
          <w:t xml:space="preserve"> приложими към електрически задвижващи</w:t>
        </w:r>
        <w:r w:rsidR="006F1A55" w:rsidRPr="00F06DE2">
          <w:rPr>
            <w:rStyle w:val="Hyperlink"/>
            <w:rFonts w:ascii="Times New Roman" w:hAnsi="Times New Roman"/>
            <w:b w:val="0"/>
            <w:bCs w:val="0"/>
            <w:i/>
            <w:iCs/>
            <w:color w:val="auto"/>
            <w:sz w:val="24"/>
            <w:szCs w:val="24"/>
            <w:u w:val="none"/>
          </w:rPr>
          <w:tab/>
        </w:r>
        <w:r w:rsidR="006F1A55" w:rsidRPr="00F06DE2">
          <w:rPr>
            <w:rStyle w:val="Hyperlink"/>
            <w:rFonts w:ascii="Times New Roman" w:hAnsi="Times New Roman"/>
            <w:b w:val="0"/>
            <w:bCs w:val="0"/>
            <w:i/>
            <w:iCs/>
            <w:color w:val="auto"/>
            <w:sz w:val="24"/>
            <w:szCs w:val="24"/>
            <w:u w:val="none"/>
          </w:rPr>
          <w:tab/>
        </w:r>
        <w:r w:rsidR="00D35E51" w:rsidRPr="00F06DE2">
          <w:rPr>
            <w:rStyle w:val="Hyperlink"/>
            <w:rFonts w:ascii="Times New Roman" w:hAnsi="Times New Roman"/>
            <w:b w:val="0"/>
            <w:bCs w:val="0"/>
            <w:i/>
            <w:iCs/>
            <w:color w:val="auto"/>
            <w:sz w:val="24"/>
            <w:szCs w:val="24"/>
            <w:u w:val="none"/>
          </w:rPr>
          <w:t xml:space="preserve"> системи</w:t>
        </w:r>
        <w:r w:rsidR="006F1A55" w:rsidRPr="00F06DE2">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69</w:t>
        </w:r>
      </w:hyperlink>
    </w:p>
    <w:p w14:paraId="03AC1E74" w14:textId="64D5C133" w:rsidR="00271FA2" w:rsidRPr="00F06DE2" w:rsidRDefault="00D35E51" w:rsidP="001C484D">
      <w:pPr>
        <w:autoSpaceDE w:val="0"/>
        <w:autoSpaceDN w:val="0"/>
        <w:adjustRightInd w:val="0"/>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11.00 Определения</w:t>
      </w:r>
      <w:r w:rsidR="00F87CBA">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69</w:t>
      </w:r>
    </w:p>
    <w:p w14:paraId="7D18F35F" w14:textId="171D5AD7" w:rsidR="00271FA2" w:rsidRPr="00F06DE2" w:rsidRDefault="00D35E51" w:rsidP="001C484D">
      <w:pPr>
        <w:autoSpaceDE w:val="0"/>
        <w:autoSpaceDN w:val="0"/>
        <w:adjustRightInd w:val="0"/>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11.01 Общи разпоредби за електрическо задвижване на плавателния съд</w:t>
      </w:r>
      <w:r w:rsidR="00F87CBA">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69</w:t>
      </w:r>
    </w:p>
    <w:p w14:paraId="413D7C4C" w14:textId="321D5BE3" w:rsidR="00271FA2" w:rsidRPr="00F06DE2" w:rsidRDefault="00D35E51" w:rsidP="001C484D">
      <w:pPr>
        <w:autoSpaceDE w:val="0"/>
        <w:autoSpaceDN w:val="0"/>
        <w:adjustRightInd w:val="0"/>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11.02 Генератори, трансформатори и разпределителни табла за електрическо</w:t>
      </w:r>
      <w:r w:rsidR="003F5EEA" w:rsidRPr="00F06DE2">
        <w:rPr>
          <w:rFonts w:ascii="Times New Roman" w:hAnsi="Times New Roman" w:cs="Times New Roman"/>
          <w:i/>
          <w:iCs/>
          <w:sz w:val="24"/>
          <w:szCs w:val="24"/>
          <w:lang w:val="ru-RU" w:eastAsia="bg-BG"/>
        </w:rPr>
        <w:tab/>
        <w:t xml:space="preserve"> </w:t>
      </w:r>
      <w:r w:rsidRPr="00F06DE2">
        <w:rPr>
          <w:rFonts w:ascii="Times New Roman" w:hAnsi="Times New Roman" w:cs="Times New Roman"/>
          <w:i/>
          <w:iCs/>
          <w:sz w:val="24"/>
          <w:szCs w:val="24"/>
          <w:lang w:val="ru-RU" w:eastAsia="bg-BG"/>
        </w:rPr>
        <w:t>задвижване на плавателни съдове</w:t>
      </w:r>
      <w:r w:rsidR="003F5EEA" w:rsidRPr="00F06DE2">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70</w:t>
      </w:r>
    </w:p>
    <w:p w14:paraId="6ED641F4" w14:textId="228BB106" w:rsidR="00271FA2" w:rsidRPr="00F06DE2" w:rsidRDefault="00D35E51" w:rsidP="001C484D">
      <w:pPr>
        <w:autoSpaceDE w:val="0"/>
        <w:autoSpaceDN w:val="0"/>
        <w:adjustRightInd w:val="0"/>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11.03 Електрически двигатели за електрическо задвижване на плавателни съдове</w:t>
      </w:r>
      <w:r w:rsidR="00F87CBA">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71</w:t>
      </w:r>
    </w:p>
    <w:p w14:paraId="2CAD1F62" w14:textId="765EA073" w:rsidR="00271FA2" w:rsidRPr="00F06DE2" w:rsidRDefault="00D35E51" w:rsidP="001C484D">
      <w:pPr>
        <w:autoSpaceDE w:val="0"/>
        <w:autoSpaceDN w:val="0"/>
        <w:adjustRightInd w:val="0"/>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11.04 Силова електроника за електрическо задвижване на плавателни съдове</w:t>
      </w:r>
      <w:r w:rsidR="003B71A3">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71</w:t>
      </w:r>
    </w:p>
    <w:p w14:paraId="0899C241" w14:textId="29682D15" w:rsidR="00271FA2" w:rsidRPr="00F06DE2" w:rsidRDefault="00D35E51" w:rsidP="001C484D">
      <w:pPr>
        <w:autoSpaceDE w:val="0"/>
        <w:autoSpaceDN w:val="0"/>
        <w:adjustRightInd w:val="0"/>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11.05 Оборудване за мониторинг</w:t>
      </w:r>
      <w:r w:rsidR="003B71A3">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71</w:t>
      </w:r>
    </w:p>
    <w:p w14:paraId="0DBDEE50" w14:textId="570776A5" w:rsidR="00271FA2" w:rsidRPr="00F06DE2" w:rsidRDefault="00D35E51" w:rsidP="001C484D">
      <w:pPr>
        <w:autoSpaceDE w:val="0"/>
        <w:autoSpaceDN w:val="0"/>
        <w:adjustRightInd w:val="0"/>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11.06 Контрол, регулиране и автоматично ограничаване на мощността</w:t>
      </w:r>
      <w:r w:rsidR="003B71A3">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72</w:t>
      </w:r>
    </w:p>
    <w:p w14:paraId="4A6C3D77" w14:textId="3CA2635F" w:rsidR="00271FA2" w:rsidRPr="00F06DE2" w:rsidRDefault="00D35E51" w:rsidP="001C484D">
      <w:pPr>
        <w:autoSpaceDE w:val="0"/>
        <w:autoSpaceDN w:val="0"/>
        <w:adjustRightInd w:val="0"/>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11.07 Защита на електрическото задвижване на плавателен съ</w:t>
      </w:r>
      <w:r w:rsidR="00F71961" w:rsidRPr="00F06DE2">
        <w:rPr>
          <w:rFonts w:ascii="Times New Roman" w:hAnsi="Times New Roman" w:cs="Times New Roman"/>
          <w:i/>
          <w:iCs/>
          <w:sz w:val="24"/>
          <w:szCs w:val="24"/>
          <w:lang w:val="ru-RU" w:eastAsia="bg-BG"/>
        </w:rPr>
        <w:t>д</w:t>
      </w:r>
      <w:r w:rsidR="003B71A3">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72</w:t>
      </w:r>
    </w:p>
    <w:p w14:paraId="357EE63B" w14:textId="5FF3C9B7" w:rsidR="00271FA2" w:rsidRPr="00F06DE2" w:rsidRDefault="00D35E51" w:rsidP="001C484D">
      <w:pPr>
        <w:autoSpaceDE w:val="0"/>
        <w:autoSpaceDN w:val="0"/>
        <w:adjustRightInd w:val="0"/>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11.08 Изпитване на електрическото задвижване на плавателен съд</w:t>
      </w:r>
      <w:r w:rsidR="003B71A3">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73</w:t>
      </w:r>
    </w:p>
    <w:p w14:paraId="755BAA57" w14:textId="3F8710F3"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541" w:history="1">
        <w:r w:rsidR="00D35E51" w:rsidRPr="00F06DE2">
          <w:rPr>
            <w:rStyle w:val="Hyperlink"/>
            <w:rFonts w:ascii="Times New Roman" w:hAnsi="Times New Roman"/>
            <w:b w:val="0"/>
            <w:bCs w:val="0"/>
            <w:i/>
            <w:iCs/>
            <w:color w:val="auto"/>
            <w:sz w:val="24"/>
            <w:szCs w:val="24"/>
            <w:u w:val="none"/>
          </w:rPr>
          <w:t>Глава 12 Електронно оборудване и системи</w:t>
        </w:r>
        <w:r w:rsidR="003B71A3">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 xml:space="preserve"> 75</w:t>
        </w:r>
      </w:hyperlink>
    </w:p>
    <w:p w14:paraId="58A2BA46" w14:textId="5113554A"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542" w:history="1">
        <w:r w:rsidR="00D35E51" w:rsidRPr="00F06DE2">
          <w:rPr>
            <w:rStyle w:val="Hyperlink"/>
            <w:rFonts w:ascii="Times New Roman" w:hAnsi="Times New Roman"/>
            <w:b w:val="0"/>
            <w:bCs w:val="0"/>
            <w:i/>
            <w:iCs/>
            <w:color w:val="auto"/>
            <w:sz w:val="24"/>
            <w:szCs w:val="24"/>
            <w:u w:val="none"/>
          </w:rPr>
          <w:t>Глава 13 Оборудване</w:t>
        </w:r>
        <w:r w:rsidR="003B71A3">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76</w:t>
        </w:r>
      </w:hyperlink>
    </w:p>
    <w:p w14:paraId="75D0F435" w14:textId="5A5DCCE3"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43" w:history="1">
        <w:r w:rsidR="00D35E51" w:rsidRPr="00F06DE2">
          <w:rPr>
            <w:rStyle w:val="Hyperlink"/>
            <w:rFonts w:ascii="Times New Roman" w:hAnsi="Times New Roman"/>
            <w:b w:val="0"/>
            <w:bCs w:val="0"/>
            <w:color w:val="auto"/>
            <w:sz w:val="24"/>
            <w:szCs w:val="24"/>
            <w:u w:val="none"/>
          </w:rPr>
          <w:t>Член 13.01 Котвено оборудване</w:t>
        </w:r>
        <w:r w:rsidR="003B71A3">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76</w:t>
        </w:r>
      </w:hyperlink>
    </w:p>
    <w:p w14:paraId="6C357ADB" w14:textId="56855D5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44" w:history="1">
        <w:r w:rsidR="00D35E51" w:rsidRPr="00F06DE2">
          <w:rPr>
            <w:rStyle w:val="Hyperlink"/>
            <w:rFonts w:ascii="Times New Roman" w:hAnsi="Times New Roman"/>
            <w:b w:val="0"/>
            <w:bCs w:val="0"/>
            <w:color w:val="auto"/>
            <w:sz w:val="24"/>
            <w:szCs w:val="24"/>
            <w:u w:val="none"/>
          </w:rPr>
          <w:t>Член 13.02 Друго оборудване</w:t>
        </w:r>
        <w:r w:rsidR="003B71A3">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78</w:t>
        </w:r>
      </w:hyperlink>
    </w:p>
    <w:p w14:paraId="5AB70916" w14:textId="79C2CF6C"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45" w:history="1">
        <w:r w:rsidR="00D35E51" w:rsidRPr="00F06DE2">
          <w:rPr>
            <w:rStyle w:val="Hyperlink"/>
            <w:rFonts w:ascii="Times New Roman" w:hAnsi="Times New Roman"/>
            <w:b w:val="0"/>
            <w:bCs w:val="0"/>
            <w:color w:val="auto"/>
            <w:sz w:val="24"/>
            <w:szCs w:val="24"/>
            <w:u w:val="none"/>
          </w:rPr>
          <w:t>Член 13.03 Преносими пожарогасители</w:t>
        </w:r>
        <w:r w:rsidR="00A3361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fldChar w:fldCharType="begin"/>
        </w:r>
        <w:r w:rsidR="00D35E51" w:rsidRPr="00F06DE2">
          <w:rPr>
            <w:rFonts w:ascii="Times New Roman" w:hAnsi="Times New Roman"/>
            <w:sz w:val="24"/>
            <w:szCs w:val="24"/>
          </w:rPr>
          <w:instrText xml:space="preserve"> PAGEREF _Toc535827545 \h </w:instrText>
        </w:r>
        <w:r w:rsidR="00D35E51" w:rsidRPr="00F06DE2">
          <w:rPr>
            <w:rFonts w:ascii="Times New Roman" w:hAnsi="Times New Roman"/>
            <w:sz w:val="24"/>
            <w:szCs w:val="24"/>
          </w:rPr>
        </w:r>
        <w:r w:rsidR="00D35E51" w:rsidRPr="00F06DE2">
          <w:rPr>
            <w:rFonts w:ascii="Times New Roman" w:hAnsi="Times New Roman"/>
            <w:sz w:val="24"/>
            <w:szCs w:val="24"/>
          </w:rPr>
          <w:fldChar w:fldCharType="separate"/>
        </w:r>
        <w:r w:rsidR="00871F5D" w:rsidRPr="00F06DE2">
          <w:rPr>
            <w:rFonts w:ascii="Times New Roman" w:hAnsi="Times New Roman"/>
            <w:noProof/>
            <w:sz w:val="24"/>
            <w:szCs w:val="24"/>
          </w:rPr>
          <w:t>80</w:t>
        </w:r>
        <w:r w:rsidR="00D35E51" w:rsidRPr="00F06DE2">
          <w:rPr>
            <w:rFonts w:ascii="Times New Roman" w:hAnsi="Times New Roman"/>
            <w:sz w:val="24"/>
            <w:szCs w:val="24"/>
          </w:rPr>
          <w:fldChar w:fldCharType="end"/>
        </w:r>
      </w:hyperlink>
    </w:p>
    <w:p w14:paraId="3AE46FA1" w14:textId="39B1C184"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46" w:history="1">
        <w:r w:rsidR="00D35E51" w:rsidRPr="00F06DE2">
          <w:rPr>
            <w:rStyle w:val="Hyperlink"/>
            <w:rFonts w:ascii="Times New Roman" w:hAnsi="Times New Roman"/>
            <w:b w:val="0"/>
            <w:bCs w:val="0"/>
            <w:color w:val="auto"/>
            <w:sz w:val="24"/>
            <w:szCs w:val="24"/>
            <w:u w:val="none"/>
          </w:rPr>
          <w:t>Член 13.04 Постоянно монтирани противопожарни системи за защита на жилищни</w:t>
        </w:r>
        <w:r w:rsidR="002C2496"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 xml:space="preserve"> помещения, рулеви рубки и помещения за пътници</w:t>
        </w:r>
        <w:r w:rsidR="002C2496"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 xml:space="preserve"> 81</w:t>
        </w:r>
      </w:hyperlink>
    </w:p>
    <w:p w14:paraId="689B36C6" w14:textId="5245AF80"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47" w:history="1">
        <w:r w:rsidR="00D35E51" w:rsidRPr="00F06DE2">
          <w:rPr>
            <w:rStyle w:val="Hyperlink"/>
            <w:rFonts w:ascii="Times New Roman" w:hAnsi="Times New Roman"/>
            <w:b w:val="0"/>
            <w:bCs w:val="0"/>
            <w:color w:val="auto"/>
            <w:sz w:val="24"/>
            <w:szCs w:val="24"/>
            <w:u w:val="none"/>
          </w:rPr>
          <w:t>Член 13.05 Постоянно монтирани противопожарни системи за защита на</w:t>
        </w:r>
        <w:r w:rsidR="00C424B6"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 xml:space="preserve"> машинните,</w:t>
        </w:r>
        <w:r w:rsidR="003F5EEA"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 xml:space="preserve">котелните и помпените отделения </w:t>
        </w:r>
        <w:r w:rsidR="00C424B6"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82</w:t>
        </w:r>
      </w:hyperlink>
    </w:p>
    <w:p w14:paraId="2591281E" w14:textId="41C4B598"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48" w:history="1">
        <w:r w:rsidR="00D35E51" w:rsidRPr="00F06DE2">
          <w:rPr>
            <w:rStyle w:val="Hyperlink"/>
            <w:rFonts w:ascii="Times New Roman" w:hAnsi="Times New Roman"/>
            <w:b w:val="0"/>
            <w:bCs w:val="0"/>
            <w:color w:val="auto"/>
            <w:sz w:val="24"/>
            <w:szCs w:val="24"/>
            <w:u w:val="none"/>
          </w:rPr>
          <w:t>Член 13.06 Постоянно монтирани противопожар</w:t>
        </w:r>
        <w:r w:rsidR="00F71961" w:rsidRPr="00F06DE2">
          <w:rPr>
            <w:rStyle w:val="Hyperlink"/>
            <w:rFonts w:ascii="Times New Roman" w:hAnsi="Times New Roman"/>
            <w:b w:val="0"/>
            <w:bCs w:val="0"/>
            <w:color w:val="auto"/>
            <w:sz w:val="24"/>
            <w:szCs w:val="24"/>
            <w:u w:val="none"/>
          </w:rPr>
          <w:t>ни системи за защита на предмет</w:t>
        </w:r>
        <w:r w:rsidR="00C00F2F"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90</w:t>
        </w:r>
      </w:hyperlink>
    </w:p>
    <w:p w14:paraId="4CBCC6BD" w14:textId="419C600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49" w:history="1">
        <w:r w:rsidR="00D35E51" w:rsidRPr="00F06DE2">
          <w:rPr>
            <w:rStyle w:val="Hyperlink"/>
            <w:rFonts w:ascii="Times New Roman" w:hAnsi="Times New Roman"/>
            <w:b w:val="0"/>
            <w:bCs w:val="0"/>
            <w:color w:val="auto"/>
            <w:sz w:val="24"/>
            <w:szCs w:val="24"/>
            <w:u w:val="none"/>
          </w:rPr>
          <w:t>Член 13.07 Корабни лодки</w:t>
        </w:r>
        <w:r w:rsidR="00A3361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91</w:t>
        </w:r>
      </w:hyperlink>
    </w:p>
    <w:p w14:paraId="01211136" w14:textId="27102A2F"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50" w:history="1">
        <w:r w:rsidR="00D35E51" w:rsidRPr="00F06DE2">
          <w:rPr>
            <w:rStyle w:val="Hyperlink"/>
            <w:rFonts w:ascii="Times New Roman" w:hAnsi="Times New Roman"/>
            <w:b w:val="0"/>
            <w:bCs w:val="0"/>
            <w:color w:val="auto"/>
            <w:sz w:val="24"/>
            <w:szCs w:val="24"/>
            <w:u w:val="none"/>
          </w:rPr>
          <w:t>Член 13.08 Спасителни кръгове и спасителни жилетки</w:t>
        </w:r>
        <w:r w:rsidR="00A3361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92</w:t>
        </w:r>
      </w:hyperlink>
    </w:p>
    <w:p w14:paraId="6C9E0235" w14:textId="51CD2088"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551" w:history="1">
        <w:r w:rsidR="00D35E51" w:rsidRPr="00F06DE2">
          <w:rPr>
            <w:rStyle w:val="Hyperlink"/>
            <w:rFonts w:ascii="Times New Roman" w:hAnsi="Times New Roman"/>
            <w:b w:val="0"/>
            <w:bCs w:val="0"/>
            <w:i/>
            <w:iCs/>
            <w:color w:val="auto"/>
            <w:sz w:val="24"/>
            <w:szCs w:val="24"/>
            <w:u w:val="none"/>
          </w:rPr>
          <w:t>Глава 14 Безопасност на работното място</w:t>
        </w:r>
        <w:r w:rsidR="00A3361D">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93</w:t>
        </w:r>
      </w:hyperlink>
    </w:p>
    <w:p w14:paraId="04C790F0" w14:textId="3F43F335"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52" w:history="1">
        <w:r w:rsidR="00D35E51" w:rsidRPr="00F06DE2">
          <w:rPr>
            <w:rStyle w:val="Hyperlink"/>
            <w:rFonts w:ascii="Times New Roman" w:hAnsi="Times New Roman"/>
            <w:b w:val="0"/>
            <w:bCs w:val="0"/>
            <w:color w:val="auto"/>
            <w:sz w:val="24"/>
            <w:szCs w:val="24"/>
            <w:u w:val="none"/>
          </w:rPr>
          <w:t>Член 14.01 Общи положения</w:t>
        </w:r>
        <w:r w:rsidR="00A3361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93</w:t>
        </w:r>
      </w:hyperlink>
    </w:p>
    <w:p w14:paraId="770FF291" w14:textId="2CD62055"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53" w:history="1">
        <w:r w:rsidR="00D35E51" w:rsidRPr="00F06DE2">
          <w:rPr>
            <w:rStyle w:val="Hyperlink"/>
            <w:rFonts w:ascii="Times New Roman" w:hAnsi="Times New Roman"/>
            <w:b w:val="0"/>
            <w:bCs w:val="0"/>
            <w:color w:val="auto"/>
            <w:sz w:val="24"/>
            <w:szCs w:val="24"/>
            <w:u w:val="none"/>
          </w:rPr>
          <w:t>Член 14.02 Защита срещу падане</w:t>
        </w:r>
        <w:r w:rsidR="00080889" w:rsidRPr="00F06DE2">
          <w:rPr>
            <w:rStyle w:val="Hyperlink"/>
            <w:rFonts w:ascii="Times New Roman" w:hAnsi="Times New Roman"/>
            <w:b w:val="0"/>
            <w:bCs w:val="0"/>
            <w:color w:val="auto"/>
            <w:sz w:val="24"/>
            <w:szCs w:val="24"/>
            <w:u w:val="none"/>
          </w:rPr>
          <w:t xml:space="preserve">          </w:t>
        </w:r>
        <w:r w:rsidR="00A3361D">
          <w:rPr>
            <w:rStyle w:val="Hyperlink"/>
            <w:rFonts w:ascii="Times New Roman" w:hAnsi="Times New Roman"/>
            <w:b w:val="0"/>
            <w:bCs w:val="0"/>
            <w:color w:val="auto"/>
            <w:sz w:val="24"/>
            <w:szCs w:val="24"/>
            <w:u w:val="none"/>
          </w:rPr>
          <w:t xml:space="preserve">              </w:t>
        </w:r>
        <w:r w:rsidR="00080889"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93</w:t>
        </w:r>
      </w:hyperlink>
    </w:p>
    <w:p w14:paraId="39D9AB66" w14:textId="656F10F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54" w:history="1">
        <w:r w:rsidR="00D35E51" w:rsidRPr="00F06DE2">
          <w:rPr>
            <w:rStyle w:val="Hyperlink"/>
            <w:rFonts w:ascii="Times New Roman" w:hAnsi="Times New Roman"/>
            <w:b w:val="0"/>
            <w:bCs w:val="0"/>
            <w:color w:val="auto"/>
            <w:sz w:val="24"/>
            <w:szCs w:val="24"/>
            <w:u w:val="none"/>
          </w:rPr>
          <w:t>Член 14.03 Размери на работното място</w:t>
        </w:r>
        <w:r w:rsidR="00A3361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94</w:t>
        </w:r>
      </w:hyperlink>
    </w:p>
    <w:p w14:paraId="6E91324E" w14:textId="56C0946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55" w:history="1">
        <w:r w:rsidR="00D35E51" w:rsidRPr="00F06DE2">
          <w:rPr>
            <w:rStyle w:val="Hyperlink"/>
            <w:rFonts w:ascii="Times New Roman" w:hAnsi="Times New Roman"/>
            <w:b w:val="0"/>
            <w:bCs w:val="0"/>
            <w:color w:val="auto"/>
            <w:sz w:val="24"/>
            <w:szCs w:val="24"/>
            <w:u w:val="none"/>
          </w:rPr>
          <w:t>Член 14.04 Палубни проходи</w:t>
        </w:r>
        <w:r w:rsidR="00A3361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94</w:t>
        </w:r>
      </w:hyperlink>
    </w:p>
    <w:p w14:paraId="5343DAC3" w14:textId="4BBE9E4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56" w:history="1">
        <w:r w:rsidR="00D35E51" w:rsidRPr="00F06DE2">
          <w:rPr>
            <w:rStyle w:val="Hyperlink"/>
            <w:rFonts w:ascii="Times New Roman" w:hAnsi="Times New Roman"/>
            <w:b w:val="0"/>
            <w:bCs w:val="0"/>
            <w:color w:val="auto"/>
            <w:sz w:val="24"/>
            <w:szCs w:val="24"/>
            <w:u w:val="none"/>
          </w:rPr>
          <w:t>Член 14.05 Достъп до работните места</w:t>
        </w:r>
        <w:r w:rsidR="00343DB9">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94</w:t>
        </w:r>
      </w:hyperlink>
    </w:p>
    <w:p w14:paraId="6D2C5190" w14:textId="52901AAC"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57" w:history="1">
        <w:r w:rsidR="00D35E51" w:rsidRPr="00F06DE2">
          <w:rPr>
            <w:rStyle w:val="Hyperlink"/>
            <w:rFonts w:ascii="Times New Roman" w:hAnsi="Times New Roman"/>
            <w:b w:val="0"/>
            <w:bCs w:val="0"/>
            <w:color w:val="auto"/>
            <w:sz w:val="24"/>
            <w:szCs w:val="24"/>
            <w:u w:val="none"/>
          </w:rPr>
          <w:t>Член 14.06 Изходи и аварийни изходи</w:t>
        </w:r>
        <w:r w:rsidR="00343DB9">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95</w:t>
        </w:r>
      </w:hyperlink>
    </w:p>
    <w:p w14:paraId="584202A3" w14:textId="54EDAD1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58" w:history="1">
        <w:r w:rsidR="00D35E51" w:rsidRPr="00F06DE2">
          <w:rPr>
            <w:rStyle w:val="Hyperlink"/>
            <w:rFonts w:ascii="Times New Roman" w:hAnsi="Times New Roman"/>
            <w:b w:val="0"/>
            <w:bCs w:val="0"/>
            <w:color w:val="auto"/>
            <w:sz w:val="24"/>
            <w:szCs w:val="24"/>
            <w:u w:val="none"/>
          </w:rPr>
          <w:t>Член 14.07 Подвижни стълби, стъпала и подобни приспособления</w:t>
        </w:r>
        <w:r w:rsidR="00343DB9">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95</w:t>
        </w:r>
      </w:hyperlink>
    </w:p>
    <w:p w14:paraId="776C14D5" w14:textId="3CAB3F0B"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59" w:history="1">
        <w:r w:rsidR="00D35E51" w:rsidRPr="00F06DE2">
          <w:rPr>
            <w:rStyle w:val="Hyperlink"/>
            <w:rFonts w:ascii="Times New Roman" w:hAnsi="Times New Roman"/>
            <w:b w:val="0"/>
            <w:bCs w:val="0"/>
            <w:color w:val="auto"/>
            <w:sz w:val="24"/>
            <w:szCs w:val="24"/>
            <w:u w:val="none"/>
          </w:rPr>
          <w:t>Член 14.08 Вътрешни помещения</w:t>
        </w:r>
        <w:r w:rsidR="00343DB9">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95</w:t>
        </w:r>
      </w:hyperlink>
    </w:p>
    <w:p w14:paraId="0868259F" w14:textId="23AAA6C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60" w:history="1">
        <w:r w:rsidR="00D35E51" w:rsidRPr="00F06DE2">
          <w:rPr>
            <w:rStyle w:val="Hyperlink"/>
            <w:rFonts w:ascii="Times New Roman" w:hAnsi="Times New Roman"/>
            <w:b w:val="0"/>
            <w:bCs w:val="0"/>
            <w:color w:val="auto"/>
            <w:sz w:val="24"/>
            <w:szCs w:val="24"/>
            <w:u w:val="none"/>
          </w:rPr>
          <w:t>Член 14.09 Защита против шум и вибрации</w:t>
        </w:r>
        <w:r w:rsidR="00343DB9">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96</w:t>
        </w:r>
      </w:hyperlink>
    </w:p>
    <w:p w14:paraId="1E77EA27" w14:textId="457A18E5"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61" w:history="1">
        <w:r w:rsidR="00D35E51" w:rsidRPr="00F06DE2">
          <w:rPr>
            <w:rStyle w:val="Hyperlink"/>
            <w:rFonts w:ascii="Times New Roman" w:hAnsi="Times New Roman"/>
            <w:b w:val="0"/>
            <w:bCs w:val="0"/>
            <w:color w:val="auto"/>
            <w:sz w:val="24"/>
            <w:szCs w:val="24"/>
            <w:u w:val="none"/>
          </w:rPr>
          <w:t>Член 14.10 Капаци на люковете</w:t>
        </w:r>
        <w:r w:rsidR="00343DB9">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96</w:t>
        </w:r>
      </w:hyperlink>
    </w:p>
    <w:p w14:paraId="795EA624" w14:textId="33B0DB9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62" w:history="1">
        <w:r w:rsidR="00D35E51" w:rsidRPr="00F06DE2">
          <w:rPr>
            <w:rStyle w:val="Hyperlink"/>
            <w:rFonts w:ascii="Times New Roman" w:hAnsi="Times New Roman"/>
            <w:b w:val="0"/>
            <w:bCs w:val="0"/>
            <w:color w:val="auto"/>
            <w:sz w:val="24"/>
            <w:szCs w:val="24"/>
            <w:u w:val="none"/>
          </w:rPr>
          <w:t>Член 14.11 Лебедки</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96</w:t>
        </w:r>
      </w:hyperlink>
    </w:p>
    <w:p w14:paraId="3F18BA53" w14:textId="4187AA5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63" w:history="1">
        <w:r w:rsidR="00D35E51" w:rsidRPr="00F06DE2">
          <w:rPr>
            <w:rStyle w:val="Hyperlink"/>
            <w:rFonts w:ascii="Times New Roman" w:hAnsi="Times New Roman"/>
            <w:b w:val="0"/>
            <w:bCs w:val="0"/>
            <w:color w:val="auto"/>
            <w:sz w:val="24"/>
            <w:szCs w:val="24"/>
            <w:u w:val="none"/>
          </w:rPr>
          <w:t>Член 14.12 Кранове</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97</w:t>
        </w:r>
      </w:hyperlink>
    </w:p>
    <w:p w14:paraId="32B0D6BF" w14:textId="37477CC2"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64" w:history="1">
        <w:r w:rsidR="00D35E51" w:rsidRPr="00F06DE2">
          <w:rPr>
            <w:rStyle w:val="Hyperlink"/>
            <w:rFonts w:ascii="Times New Roman" w:hAnsi="Times New Roman"/>
            <w:b w:val="0"/>
            <w:bCs w:val="0"/>
            <w:color w:val="auto"/>
            <w:sz w:val="24"/>
            <w:szCs w:val="24"/>
            <w:u w:val="none"/>
          </w:rPr>
          <w:t>Член 14.13 Съхранение на запалими течности</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98</w:t>
        </w:r>
      </w:hyperlink>
    </w:p>
    <w:p w14:paraId="452B3A00" w14:textId="64332B28"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565" w:history="1">
        <w:r w:rsidR="00D35E51" w:rsidRPr="00F06DE2">
          <w:rPr>
            <w:rStyle w:val="Hyperlink"/>
            <w:rFonts w:ascii="Times New Roman" w:hAnsi="Times New Roman"/>
            <w:b w:val="0"/>
            <w:bCs w:val="0"/>
            <w:i/>
            <w:iCs/>
            <w:color w:val="auto"/>
            <w:sz w:val="24"/>
            <w:szCs w:val="24"/>
            <w:u w:val="none"/>
          </w:rPr>
          <w:t>Глава 15 Жилищни помещения</w:t>
        </w:r>
        <w:r w:rsidR="00552C0F">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99</w:t>
        </w:r>
      </w:hyperlink>
    </w:p>
    <w:p w14:paraId="265CD8F6" w14:textId="471A1039"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66" w:history="1">
        <w:r w:rsidR="00D35E51" w:rsidRPr="00F06DE2">
          <w:rPr>
            <w:rStyle w:val="Hyperlink"/>
            <w:rFonts w:ascii="Times New Roman" w:hAnsi="Times New Roman"/>
            <w:b w:val="0"/>
            <w:bCs w:val="0"/>
            <w:color w:val="auto"/>
            <w:sz w:val="24"/>
            <w:szCs w:val="24"/>
            <w:u w:val="none"/>
          </w:rPr>
          <w:t>Член 15.01 Общи положения</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99</w:t>
        </w:r>
      </w:hyperlink>
    </w:p>
    <w:p w14:paraId="52FC095E" w14:textId="65338607"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67" w:history="1">
        <w:r w:rsidR="00D35E51" w:rsidRPr="00F06DE2">
          <w:rPr>
            <w:rStyle w:val="Hyperlink"/>
            <w:rFonts w:ascii="Times New Roman" w:hAnsi="Times New Roman"/>
            <w:b w:val="0"/>
            <w:bCs w:val="0"/>
            <w:color w:val="auto"/>
            <w:sz w:val="24"/>
            <w:szCs w:val="24"/>
            <w:u w:val="none"/>
          </w:rPr>
          <w:t>Член 15.02 Специални изисквания към проектирането на жилищни помещения</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99</w:t>
        </w:r>
      </w:hyperlink>
    </w:p>
    <w:p w14:paraId="2A00373D" w14:textId="796653FF"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68" w:history="1">
        <w:r w:rsidR="00D35E51" w:rsidRPr="00F06DE2">
          <w:rPr>
            <w:rStyle w:val="Hyperlink"/>
            <w:rFonts w:ascii="Times New Roman" w:hAnsi="Times New Roman"/>
            <w:b w:val="0"/>
            <w:bCs w:val="0"/>
            <w:color w:val="auto"/>
            <w:sz w:val="24"/>
            <w:szCs w:val="24"/>
            <w:u w:val="none"/>
          </w:rPr>
          <w:t>Член 15.03 Санитарни съоръжения</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100</w:t>
        </w:r>
      </w:hyperlink>
    </w:p>
    <w:p w14:paraId="6553DBB3" w14:textId="3373E692" w:rsidR="00271FA2" w:rsidRPr="00F06DE2" w:rsidRDefault="002C62EC" w:rsidP="001C484D">
      <w:pPr>
        <w:pStyle w:val="TOC3"/>
        <w:tabs>
          <w:tab w:val="right" w:pos="9640"/>
        </w:tabs>
        <w:ind w:left="0" w:right="0" w:firstLine="0"/>
        <w:rPr>
          <w:rFonts w:ascii="Times New Roman" w:eastAsiaTheme="minorEastAsia" w:hAnsi="Times New Roman"/>
          <w:sz w:val="24"/>
          <w:szCs w:val="24"/>
          <w:lang w:eastAsia="en-GB" w:bidi="ar-SA"/>
        </w:rPr>
      </w:pPr>
      <w:hyperlink w:anchor="_Toc535827569" w:history="1">
        <w:r w:rsidR="00D35E51" w:rsidRPr="00F06DE2">
          <w:rPr>
            <w:rStyle w:val="Hyperlink"/>
            <w:rFonts w:ascii="Times New Roman" w:hAnsi="Times New Roman"/>
            <w:b w:val="0"/>
            <w:bCs w:val="0"/>
            <w:color w:val="auto"/>
            <w:sz w:val="24"/>
            <w:szCs w:val="24"/>
            <w:u w:val="none"/>
          </w:rPr>
          <w:t>Член 15.04 Камбузи</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101</w:t>
        </w:r>
      </w:hyperlink>
    </w:p>
    <w:p w14:paraId="5D20593D" w14:textId="2FAE6BFB"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70" w:history="1">
        <w:r w:rsidR="00D35E51" w:rsidRPr="00F06DE2">
          <w:rPr>
            <w:rStyle w:val="Hyperlink"/>
            <w:rFonts w:ascii="Times New Roman" w:hAnsi="Times New Roman"/>
            <w:b w:val="0"/>
            <w:bCs w:val="0"/>
            <w:color w:val="auto"/>
            <w:sz w:val="24"/>
            <w:szCs w:val="24"/>
            <w:u w:val="none"/>
          </w:rPr>
          <w:t>Член 15.05 Инсталации за питейна вода</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101</w:t>
        </w:r>
      </w:hyperlink>
    </w:p>
    <w:p w14:paraId="3D0C52A0" w14:textId="00FBA6E7"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71" w:history="1">
        <w:r w:rsidR="00D35E51" w:rsidRPr="00F06DE2">
          <w:rPr>
            <w:rStyle w:val="Hyperlink"/>
            <w:rFonts w:ascii="Times New Roman" w:hAnsi="Times New Roman"/>
            <w:b w:val="0"/>
            <w:bCs w:val="0"/>
            <w:color w:val="auto"/>
            <w:sz w:val="24"/>
            <w:szCs w:val="24"/>
            <w:u w:val="none"/>
          </w:rPr>
          <w:t>Член 15.06 Отопление и вентилация</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102</w:t>
        </w:r>
      </w:hyperlink>
    </w:p>
    <w:p w14:paraId="1CCA9952" w14:textId="4AFB2C10"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72" w:history="1">
        <w:r w:rsidR="00D35E51" w:rsidRPr="00F06DE2">
          <w:rPr>
            <w:rStyle w:val="Hyperlink"/>
            <w:rFonts w:ascii="Times New Roman" w:hAnsi="Times New Roman"/>
            <w:b w:val="0"/>
            <w:bCs w:val="0"/>
            <w:color w:val="auto"/>
            <w:sz w:val="24"/>
            <w:szCs w:val="24"/>
            <w:u w:val="none"/>
          </w:rPr>
          <w:t>Член 15.07 Други съоръжения в жилищните помещения</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102</w:t>
        </w:r>
      </w:hyperlink>
    </w:p>
    <w:p w14:paraId="2368A66C" w14:textId="5897D9E9"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573" w:history="1">
        <w:r w:rsidR="00D35E51" w:rsidRPr="00F06DE2">
          <w:rPr>
            <w:rStyle w:val="Hyperlink"/>
            <w:rFonts w:ascii="Times New Roman" w:hAnsi="Times New Roman"/>
            <w:b w:val="0"/>
            <w:bCs w:val="0"/>
            <w:i/>
            <w:iCs/>
            <w:color w:val="auto"/>
            <w:sz w:val="24"/>
            <w:szCs w:val="24"/>
            <w:u w:val="none"/>
          </w:rPr>
          <w:t xml:space="preserve">Глава 16 </w:t>
        </w:r>
        <w:r w:rsidR="00EE7B3C" w:rsidRPr="00F06DE2">
          <w:rPr>
            <w:rStyle w:val="Hyperlink"/>
            <w:rFonts w:ascii="Times New Roman" w:hAnsi="Times New Roman"/>
            <w:b w:val="0"/>
            <w:bCs w:val="0"/>
            <w:i/>
            <w:iCs/>
            <w:color w:val="auto"/>
            <w:sz w:val="24"/>
            <w:szCs w:val="24"/>
            <w:u w:val="none"/>
          </w:rPr>
          <w:t xml:space="preserve">Работещо с гориво оборудване </w:t>
        </w:r>
        <w:r w:rsidR="00D35E51" w:rsidRPr="00F06DE2">
          <w:rPr>
            <w:rStyle w:val="Hyperlink"/>
            <w:rFonts w:ascii="Times New Roman" w:hAnsi="Times New Roman"/>
            <w:b w:val="0"/>
            <w:bCs w:val="0"/>
            <w:i/>
            <w:iCs/>
            <w:color w:val="auto"/>
            <w:sz w:val="24"/>
            <w:szCs w:val="24"/>
            <w:u w:val="none"/>
          </w:rPr>
          <w:t>за отопление, приготвяне на храна и</w:t>
        </w:r>
        <w:r w:rsidR="002D577B" w:rsidRPr="00F06DE2">
          <w:rPr>
            <w:rStyle w:val="Hyperlink"/>
            <w:rFonts w:ascii="Times New Roman" w:hAnsi="Times New Roman"/>
            <w:b w:val="0"/>
            <w:bCs w:val="0"/>
            <w:i/>
            <w:iCs/>
            <w:color w:val="auto"/>
            <w:sz w:val="24"/>
            <w:szCs w:val="24"/>
            <w:u w:val="none"/>
          </w:rPr>
          <w:tab/>
        </w:r>
        <w:r w:rsidR="002D577B" w:rsidRPr="00F06DE2">
          <w:rPr>
            <w:rStyle w:val="Hyperlink"/>
            <w:rFonts w:ascii="Times New Roman" w:hAnsi="Times New Roman"/>
            <w:b w:val="0"/>
            <w:bCs w:val="0"/>
            <w:i/>
            <w:iCs/>
            <w:color w:val="auto"/>
            <w:sz w:val="24"/>
            <w:szCs w:val="24"/>
            <w:u w:val="none"/>
          </w:rPr>
          <w:tab/>
        </w:r>
        <w:r w:rsidR="00D35E51" w:rsidRPr="00F06DE2">
          <w:rPr>
            <w:rStyle w:val="Hyperlink"/>
            <w:rFonts w:ascii="Times New Roman" w:hAnsi="Times New Roman"/>
            <w:b w:val="0"/>
            <w:bCs w:val="0"/>
            <w:i/>
            <w:iCs/>
            <w:color w:val="auto"/>
            <w:sz w:val="24"/>
            <w:szCs w:val="24"/>
            <w:u w:val="none"/>
          </w:rPr>
          <w:t xml:space="preserve"> охлаждане</w:t>
        </w:r>
        <w:r w:rsidR="002D577B" w:rsidRPr="00F06DE2">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103</w:t>
        </w:r>
      </w:hyperlink>
    </w:p>
    <w:p w14:paraId="00C54997" w14:textId="4568FE3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74" w:history="1">
        <w:r w:rsidR="00D35E51" w:rsidRPr="00F06DE2">
          <w:rPr>
            <w:rStyle w:val="Hyperlink"/>
            <w:rFonts w:ascii="Times New Roman" w:hAnsi="Times New Roman"/>
            <w:b w:val="0"/>
            <w:bCs w:val="0"/>
            <w:color w:val="auto"/>
            <w:sz w:val="24"/>
            <w:szCs w:val="24"/>
            <w:u w:val="none"/>
          </w:rPr>
          <w:t>Член 16.01 Общи положения</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103</w:t>
        </w:r>
      </w:hyperlink>
    </w:p>
    <w:p w14:paraId="2BA4DCDB" w14:textId="517FD4F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75" w:history="1">
        <w:r w:rsidR="00D35E51" w:rsidRPr="00F06DE2">
          <w:rPr>
            <w:rStyle w:val="Hyperlink"/>
            <w:rFonts w:ascii="Times New Roman" w:hAnsi="Times New Roman"/>
            <w:b w:val="0"/>
            <w:bCs w:val="0"/>
            <w:color w:val="auto"/>
            <w:sz w:val="24"/>
            <w:szCs w:val="24"/>
            <w:u w:val="none"/>
          </w:rPr>
          <w:t>Член 16.02 Използване на течни горива и оборудване, работещо с мазут</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103</w:t>
        </w:r>
      </w:hyperlink>
    </w:p>
    <w:p w14:paraId="6EB97D79" w14:textId="1AE0665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76" w:history="1">
        <w:r w:rsidR="00D35E51" w:rsidRPr="00F06DE2">
          <w:rPr>
            <w:rStyle w:val="Hyperlink"/>
            <w:rFonts w:ascii="Times New Roman" w:hAnsi="Times New Roman"/>
            <w:b w:val="0"/>
            <w:bCs w:val="0"/>
            <w:color w:val="auto"/>
            <w:sz w:val="24"/>
            <w:szCs w:val="24"/>
            <w:u w:val="none"/>
          </w:rPr>
          <w:t>Член16.03 Печки с изпарителни мазутни горелки и отоплителни устройства с</w:t>
        </w:r>
        <w:r w:rsidR="00816D1D"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 xml:space="preserve"> разпрашаващи нафтови горелки</w:t>
        </w:r>
        <w:r w:rsidR="00816D1D"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103</w:t>
        </w:r>
      </w:hyperlink>
    </w:p>
    <w:p w14:paraId="5D0F6DF9" w14:textId="139B06C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77" w:history="1">
        <w:r w:rsidR="00D35E51" w:rsidRPr="00F06DE2">
          <w:rPr>
            <w:rStyle w:val="Hyperlink"/>
            <w:rFonts w:ascii="Times New Roman" w:hAnsi="Times New Roman"/>
            <w:b w:val="0"/>
            <w:bCs w:val="0"/>
            <w:color w:val="auto"/>
            <w:sz w:val="24"/>
            <w:szCs w:val="24"/>
            <w:u w:val="none"/>
          </w:rPr>
          <w:t>Член 16.04 Печки с изпарителни мазутни горелки</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104</w:t>
        </w:r>
      </w:hyperlink>
    </w:p>
    <w:p w14:paraId="33FAD7FA" w14:textId="757E5D9F" w:rsidR="00271FA2" w:rsidRPr="00F06DE2" w:rsidRDefault="00D35E51" w:rsidP="001C484D">
      <w:pPr>
        <w:pStyle w:val="ES-Titre3"/>
        <w:spacing w:after="0" w:line="240" w:lineRule="auto"/>
        <w:jc w:val="both"/>
        <w:rPr>
          <w:rFonts w:ascii="Times New Roman" w:hAnsi="Times New Roman" w:cs="Times New Roman"/>
          <w:b w:val="0"/>
          <w:i/>
          <w:iCs/>
          <w:sz w:val="24"/>
          <w:szCs w:val="24"/>
          <w:lang w:val="ru-RU"/>
        </w:rPr>
      </w:pPr>
      <w:r w:rsidRPr="00F06DE2">
        <w:rPr>
          <w:rFonts w:ascii="Times New Roman" w:hAnsi="Times New Roman" w:cs="Times New Roman"/>
          <w:b w:val="0"/>
          <w:i/>
          <w:iCs/>
          <w:sz w:val="24"/>
          <w:szCs w:val="24"/>
          <w:lang w:val="ru-RU"/>
        </w:rPr>
        <w:t>Член 16.05 Отоплителни устройства с разпр</w:t>
      </w:r>
      <w:r w:rsidR="006F4506" w:rsidRPr="00F06DE2">
        <w:rPr>
          <w:rFonts w:ascii="Times New Roman" w:hAnsi="Times New Roman" w:cs="Times New Roman"/>
          <w:b w:val="0"/>
          <w:i/>
          <w:iCs/>
          <w:sz w:val="24"/>
          <w:szCs w:val="24"/>
          <w:lang w:val="ru-RU"/>
        </w:rPr>
        <w:t>ашаващи нафтови горелки</w:t>
      </w:r>
      <w:r w:rsidR="00552C0F">
        <w:rPr>
          <w:rFonts w:ascii="Times New Roman" w:hAnsi="Times New Roman" w:cs="Times New Roman"/>
          <w:b w:val="0"/>
          <w:i/>
          <w:iCs/>
          <w:sz w:val="24"/>
          <w:szCs w:val="24"/>
          <w:lang w:val="ru-RU"/>
        </w:rPr>
        <w:t xml:space="preserve">                                   </w:t>
      </w:r>
      <w:r w:rsidRPr="00F06DE2">
        <w:rPr>
          <w:rFonts w:ascii="Times New Roman" w:hAnsi="Times New Roman" w:cs="Times New Roman"/>
          <w:b w:val="0"/>
          <w:i/>
          <w:iCs/>
          <w:sz w:val="24"/>
          <w:szCs w:val="24"/>
          <w:lang w:val="ru-RU"/>
        </w:rPr>
        <w:t>104</w:t>
      </w:r>
    </w:p>
    <w:p w14:paraId="393C6897" w14:textId="5B0415A7"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79" w:history="1">
        <w:r w:rsidR="00D35E51" w:rsidRPr="00F06DE2">
          <w:rPr>
            <w:rStyle w:val="Hyperlink"/>
            <w:rFonts w:ascii="Times New Roman" w:hAnsi="Times New Roman"/>
            <w:b w:val="0"/>
            <w:bCs w:val="0"/>
            <w:color w:val="auto"/>
            <w:sz w:val="24"/>
            <w:szCs w:val="24"/>
            <w:u w:val="none"/>
          </w:rPr>
          <w:t>Член 16.06 Вентилаторни отоплителни устройства</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 xml:space="preserve"> 105</w:t>
        </w:r>
      </w:hyperlink>
    </w:p>
    <w:p w14:paraId="5D85295E" w14:textId="3B6DCEAF"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80" w:history="1">
        <w:r w:rsidR="00D35E51" w:rsidRPr="00F06DE2">
          <w:rPr>
            <w:rStyle w:val="Hyperlink"/>
            <w:rFonts w:ascii="Times New Roman" w:hAnsi="Times New Roman"/>
            <w:b w:val="0"/>
            <w:bCs w:val="0"/>
            <w:color w:val="auto"/>
            <w:sz w:val="24"/>
            <w:szCs w:val="24"/>
            <w:u w:val="none"/>
          </w:rPr>
          <w:t>Член 16.07 Отопление с твърдо гориво</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105</w:t>
        </w:r>
      </w:hyperlink>
    </w:p>
    <w:p w14:paraId="5890E40C" w14:textId="3136BBA3" w:rsidR="00271FA2" w:rsidRPr="00F06DE2" w:rsidRDefault="002C62EC" w:rsidP="00BA76A0">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581" w:history="1">
        <w:r w:rsidR="00D35E51" w:rsidRPr="00F06DE2">
          <w:rPr>
            <w:rStyle w:val="Hyperlink"/>
            <w:rFonts w:ascii="Times New Roman" w:hAnsi="Times New Roman"/>
            <w:b w:val="0"/>
            <w:bCs w:val="0"/>
            <w:i/>
            <w:iCs/>
            <w:color w:val="auto"/>
            <w:sz w:val="24"/>
            <w:szCs w:val="24"/>
            <w:u w:val="none"/>
          </w:rPr>
          <w:t>Глава 17 Б</w:t>
        </w:r>
        <w:r w:rsidR="00D35E51" w:rsidRPr="00F06DE2">
          <w:rPr>
            <w:rStyle w:val="Hyperlink"/>
            <w:rFonts w:ascii="Times New Roman" w:hAnsi="Times New Roman"/>
            <w:bCs w:val="0"/>
            <w:i/>
            <w:iCs/>
            <w:color w:val="auto"/>
            <w:sz w:val="24"/>
            <w:szCs w:val="24"/>
            <w:u w:val="none"/>
          </w:rPr>
          <w:t>итови уредби, работещи с втечнен газ</w:t>
        </w:r>
        <w:r w:rsidR="00552C0F">
          <w:rPr>
            <w:rStyle w:val="Hyperlink"/>
            <w:rFonts w:ascii="Times New Roman" w:hAnsi="Times New Roman"/>
            <w:bCs w:val="0"/>
            <w:i/>
            <w:iCs/>
            <w:color w:val="auto"/>
            <w:sz w:val="24"/>
            <w:szCs w:val="24"/>
            <w:u w:val="none"/>
          </w:rPr>
          <w:t xml:space="preserve">                                                                                                                </w:t>
        </w:r>
        <w:r w:rsidR="00D35E51" w:rsidRPr="00F06DE2">
          <w:rPr>
            <w:rFonts w:ascii="Times New Roman" w:hAnsi="Times New Roman"/>
            <w:i/>
            <w:iCs/>
            <w:sz w:val="24"/>
            <w:szCs w:val="24"/>
          </w:rPr>
          <w:t>106</w:t>
        </w:r>
      </w:hyperlink>
    </w:p>
    <w:p w14:paraId="49898596" w14:textId="115986B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82" w:history="1">
        <w:r w:rsidR="00D35E51" w:rsidRPr="00F06DE2">
          <w:rPr>
            <w:rStyle w:val="Hyperlink"/>
            <w:rFonts w:ascii="Times New Roman" w:hAnsi="Times New Roman"/>
            <w:b w:val="0"/>
            <w:bCs w:val="0"/>
            <w:color w:val="auto"/>
            <w:sz w:val="24"/>
            <w:szCs w:val="24"/>
            <w:u w:val="none"/>
          </w:rPr>
          <w:t>Член 17.01 Общи положения</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106</w:t>
        </w:r>
      </w:hyperlink>
    </w:p>
    <w:p w14:paraId="3BD6B48B" w14:textId="7DA53D1D"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83" w:history="1">
        <w:r w:rsidR="00D35E51" w:rsidRPr="00F06DE2">
          <w:rPr>
            <w:rStyle w:val="Hyperlink"/>
            <w:rFonts w:ascii="Times New Roman" w:hAnsi="Times New Roman"/>
            <w:b w:val="0"/>
            <w:bCs w:val="0"/>
            <w:color w:val="auto"/>
            <w:sz w:val="24"/>
            <w:szCs w:val="24"/>
            <w:u w:val="none"/>
          </w:rPr>
          <w:t>Член 17.02 Инсталации</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106</w:t>
        </w:r>
      </w:hyperlink>
    </w:p>
    <w:p w14:paraId="36D9054C" w14:textId="2C3D768C"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84" w:history="1">
        <w:r w:rsidR="00D35E51" w:rsidRPr="00F06DE2">
          <w:rPr>
            <w:rStyle w:val="Hyperlink"/>
            <w:rFonts w:ascii="Times New Roman" w:hAnsi="Times New Roman"/>
            <w:b w:val="0"/>
            <w:bCs w:val="0"/>
            <w:color w:val="auto"/>
            <w:sz w:val="24"/>
            <w:szCs w:val="24"/>
            <w:u w:val="none"/>
          </w:rPr>
          <w:t>Член 17.03 Бутилки</w:t>
        </w:r>
        <w:r w:rsidR="00552C0F">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106</w:t>
        </w:r>
      </w:hyperlink>
    </w:p>
    <w:p w14:paraId="3EAD156B" w14:textId="393EB34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85" w:history="1">
        <w:r w:rsidR="00D35E51" w:rsidRPr="00F06DE2">
          <w:rPr>
            <w:rStyle w:val="Hyperlink"/>
            <w:rFonts w:ascii="Times New Roman" w:hAnsi="Times New Roman"/>
            <w:b w:val="0"/>
            <w:bCs w:val="0"/>
            <w:color w:val="auto"/>
            <w:sz w:val="24"/>
            <w:szCs w:val="24"/>
            <w:u w:val="none"/>
          </w:rPr>
          <w:t>Член 17.04 Местоположение и разположение на захранващите секции</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106</w:t>
        </w:r>
      </w:hyperlink>
    </w:p>
    <w:p w14:paraId="111B776D" w14:textId="4775218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86" w:history="1">
        <w:r w:rsidR="00D35E51" w:rsidRPr="00F06DE2">
          <w:rPr>
            <w:rStyle w:val="Hyperlink"/>
            <w:rFonts w:ascii="Times New Roman" w:hAnsi="Times New Roman"/>
            <w:b w:val="0"/>
            <w:bCs w:val="0"/>
            <w:color w:val="auto"/>
            <w:sz w:val="24"/>
            <w:szCs w:val="24"/>
            <w:u w:val="none"/>
          </w:rPr>
          <w:t>Член 17.05 Резервни и празни бутилки</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107</w:t>
        </w:r>
      </w:hyperlink>
    </w:p>
    <w:p w14:paraId="65C143FF" w14:textId="3A9A8ED2"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87" w:history="1">
        <w:r w:rsidR="00D35E51" w:rsidRPr="00F06DE2">
          <w:rPr>
            <w:rStyle w:val="Hyperlink"/>
            <w:rFonts w:ascii="Times New Roman" w:hAnsi="Times New Roman"/>
            <w:b w:val="0"/>
            <w:bCs w:val="0"/>
            <w:color w:val="auto"/>
            <w:sz w:val="24"/>
            <w:szCs w:val="24"/>
            <w:u w:val="none"/>
          </w:rPr>
          <w:t>Член 17.06 Регулатори на налягането</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107</w:t>
        </w:r>
      </w:hyperlink>
    </w:p>
    <w:p w14:paraId="425A7EB4" w14:textId="2024F90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88" w:history="1">
        <w:r w:rsidR="00D35E51" w:rsidRPr="00F06DE2">
          <w:rPr>
            <w:rStyle w:val="Hyperlink"/>
            <w:rFonts w:ascii="Times New Roman" w:hAnsi="Times New Roman"/>
            <w:b w:val="0"/>
            <w:bCs w:val="0"/>
            <w:color w:val="auto"/>
            <w:sz w:val="24"/>
            <w:szCs w:val="24"/>
            <w:u w:val="none"/>
          </w:rPr>
          <w:t>Член 17.07 Налягане</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107</w:t>
        </w:r>
      </w:hyperlink>
    </w:p>
    <w:p w14:paraId="24BB9CE7" w14:textId="5DA4A971"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89" w:history="1">
        <w:r w:rsidR="00D35E51" w:rsidRPr="00F06DE2">
          <w:rPr>
            <w:rStyle w:val="Hyperlink"/>
            <w:rFonts w:ascii="Times New Roman" w:hAnsi="Times New Roman"/>
            <w:b w:val="0"/>
            <w:bCs w:val="0"/>
            <w:color w:val="auto"/>
            <w:sz w:val="24"/>
            <w:szCs w:val="24"/>
            <w:u w:val="none"/>
          </w:rPr>
          <w:t>Член 17.08 Тръбопроводи и гъвкави тръби</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108</w:t>
        </w:r>
      </w:hyperlink>
    </w:p>
    <w:p w14:paraId="4C7F17C5" w14:textId="111FBA1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90" w:history="1">
        <w:r w:rsidR="00D35E51" w:rsidRPr="00F06DE2">
          <w:rPr>
            <w:rStyle w:val="Hyperlink"/>
            <w:rFonts w:ascii="Times New Roman" w:hAnsi="Times New Roman"/>
            <w:b w:val="0"/>
            <w:bCs w:val="0"/>
            <w:color w:val="auto"/>
            <w:sz w:val="24"/>
            <w:szCs w:val="24"/>
            <w:u w:val="none"/>
          </w:rPr>
          <w:t>Член 17.09 Разпределителна система</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108</w:t>
        </w:r>
      </w:hyperlink>
    </w:p>
    <w:p w14:paraId="42BFAFD7" w14:textId="753FAC09"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91" w:history="1">
        <w:r w:rsidR="00D35E51" w:rsidRPr="00F06DE2">
          <w:rPr>
            <w:rStyle w:val="Hyperlink"/>
            <w:rFonts w:ascii="Times New Roman" w:hAnsi="Times New Roman"/>
            <w:b w:val="0"/>
            <w:bCs w:val="0"/>
            <w:color w:val="auto"/>
            <w:sz w:val="24"/>
            <w:szCs w:val="24"/>
            <w:u w:val="none"/>
          </w:rPr>
          <w:t>Член 17.10 Консумиращи газ уреди и тяхното монтиране</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108</w:t>
        </w:r>
      </w:hyperlink>
    </w:p>
    <w:p w14:paraId="4EC9ABB0" w14:textId="4DE6FCD0"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92" w:history="1">
        <w:r w:rsidR="00D35E51" w:rsidRPr="00F06DE2">
          <w:rPr>
            <w:rStyle w:val="Hyperlink"/>
            <w:rFonts w:ascii="Times New Roman" w:hAnsi="Times New Roman"/>
            <w:b w:val="0"/>
            <w:bCs w:val="0"/>
            <w:color w:val="auto"/>
            <w:sz w:val="24"/>
            <w:szCs w:val="24"/>
            <w:u w:val="none"/>
          </w:rPr>
          <w:t>Член 17.11 Вентилация и отвеждане на отработените газове</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109</w:t>
        </w:r>
      </w:hyperlink>
    </w:p>
    <w:p w14:paraId="29CC5DF3" w14:textId="386B37A9"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93" w:history="1">
        <w:r w:rsidR="00D35E51" w:rsidRPr="00F06DE2">
          <w:rPr>
            <w:rStyle w:val="Hyperlink"/>
            <w:rFonts w:ascii="Times New Roman" w:hAnsi="Times New Roman"/>
            <w:b w:val="0"/>
            <w:bCs w:val="0"/>
            <w:color w:val="auto"/>
            <w:sz w:val="24"/>
            <w:szCs w:val="24"/>
            <w:u w:val="none"/>
          </w:rPr>
          <w:t>Член 17.12 Инструкции за експлоатация</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109</w:t>
        </w:r>
      </w:hyperlink>
    </w:p>
    <w:p w14:paraId="203CF30B" w14:textId="1F0F5B9C"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94" w:history="1">
        <w:r w:rsidR="00D35E51" w:rsidRPr="00F06DE2">
          <w:rPr>
            <w:rStyle w:val="Hyperlink"/>
            <w:rFonts w:ascii="Times New Roman" w:hAnsi="Times New Roman"/>
            <w:b w:val="0"/>
            <w:bCs w:val="0"/>
            <w:color w:val="auto"/>
            <w:sz w:val="24"/>
            <w:szCs w:val="24"/>
            <w:u w:val="none"/>
          </w:rPr>
          <w:t>Член 17.13 Приемно изпитване</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109</w:t>
        </w:r>
      </w:hyperlink>
    </w:p>
    <w:p w14:paraId="5D44B693" w14:textId="72D5DE48"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95" w:history="1">
        <w:r w:rsidR="00D35E51" w:rsidRPr="00F06DE2">
          <w:rPr>
            <w:rStyle w:val="Hyperlink"/>
            <w:rFonts w:ascii="Times New Roman" w:hAnsi="Times New Roman"/>
            <w:b w:val="0"/>
            <w:bCs w:val="0"/>
            <w:color w:val="auto"/>
            <w:sz w:val="24"/>
            <w:szCs w:val="24"/>
            <w:u w:val="none"/>
          </w:rPr>
          <w:t>Член 17.14 Условия на изпитване</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110</w:t>
        </w:r>
      </w:hyperlink>
    </w:p>
    <w:p w14:paraId="301D0D7B" w14:textId="7BA99108"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96" w:history="1">
        <w:r w:rsidR="00D35E51" w:rsidRPr="00F06DE2">
          <w:rPr>
            <w:rStyle w:val="Hyperlink"/>
            <w:rFonts w:ascii="Times New Roman" w:hAnsi="Times New Roman"/>
            <w:b w:val="0"/>
            <w:bCs w:val="0"/>
            <w:color w:val="auto"/>
            <w:sz w:val="24"/>
            <w:szCs w:val="24"/>
            <w:u w:val="none"/>
          </w:rPr>
          <w:t>Член 17.15 Атестация</w:t>
        </w:r>
        <w:r w:rsidR="0020066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111</w:t>
        </w:r>
      </w:hyperlink>
    </w:p>
    <w:p w14:paraId="659AE69F" w14:textId="79C28B31" w:rsidR="00271FA2" w:rsidRPr="00F06DE2" w:rsidRDefault="002C62EC" w:rsidP="001C484D">
      <w:pPr>
        <w:pStyle w:val="TOC2"/>
        <w:tabs>
          <w:tab w:val="right" w:leader="dot" w:pos="9060"/>
        </w:tabs>
        <w:spacing w:before="120"/>
        <w:ind w:left="0" w:right="0" w:firstLine="0"/>
        <w:rPr>
          <w:rFonts w:ascii="Times New Roman" w:eastAsiaTheme="minorEastAsia" w:hAnsi="Times New Roman"/>
          <w:i/>
          <w:iCs/>
          <w:smallCaps w:val="0"/>
          <w:sz w:val="24"/>
          <w:szCs w:val="24"/>
          <w:lang w:eastAsia="en-GB" w:bidi="ar-SA"/>
        </w:rPr>
      </w:pPr>
      <w:hyperlink w:anchor="_Toc535827597" w:history="1">
        <w:r w:rsidR="00D35E51" w:rsidRPr="00F06DE2">
          <w:rPr>
            <w:rStyle w:val="Hyperlink"/>
            <w:rFonts w:ascii="Times New Roman" w:hAnsi="Times New Roman"/>
            <w:b w:val="0"/>
            <w:bCs w:val="0"/>
            <w:i/>
            <w:iCs/>
            <w:color w:val="auto"/>
            <w:sz w:val="24"/>
            <w:szCs w:val="24"/>
            <w:u w:val="none"/>
          </w:rPr>
          <w:t>Глава 18 Б</w:t>
        </w:r>
        <w:r w:rsidR="00D35E51" w:rsidRPr="00F06DE2">
          <w:rPr>
            <w:rStyle w:val="Hyperlink"/>
            <w:rFonts w:ascii="Times New Roman" w:hAnsi="Times New Roman"/>
            <w:bCs w:val="0"/>
            <w:i/>
            <w:iCs/>
            <w:color w:val="auto"/>
            <w:sz w:val="24"/>
            <w:szCs w:val="24"/>
            <w:u w:val="none"/>
          </w:rPr>
          <w:t>ордови станции за пречистване на отпадъчни води</w:t>
        </w:r>
        <w:r w:rsidR="00EA6C7D">
          <w:rPr>
            <w:rStyle w:val="Hyperlink"/>
            <w:rFonts w:ascii="Times New Roman" w:hAnsi="Times New Roman"/>
            <w:bCs w:val="0"/>
            <w:i/>
            <w:iCs/>
            <w:color w:val="auto"/>
            <w:sz w:val="24"/>
            <w:szCs w:val="24"/>
            <w:u w:val="none"/>
          </w:rPr>
          <w:t xml:space="preserve">                                                                             </w:t>
        </w:r>
        <w:r w:rsidR="00D35E51" w:rsidRPr="00F06DE2">
          <w:rPr>
            <w:rFonts w:ascii="Times New Roman" w:hAnsi="Times New Roman"/>
            <w:i/>
            <w:iCs/>
            <w:sz w:val="24"/>
            <w:szCs w:val="24"/>
          </w:rPr>
          <w:t>112</w:t>
        </w:r>
      </w:hyperlink>
    </w:p>
    <w:p w14:paraId="028E51C9" w14:textId="66662D1B"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98" w:history="1">
        <w:r w:rsidR="00D35E51" w:rsidRPr="00F06DE2">
          <w:rPr>
            <w:rStyle w:val="Hyperlink"/>
            <w:rFonts w:ascii="Times New Roman" w:hAnsi="Times New Roman"/>
            <w:b w:val="0"/>
            <w:bCs w:val="0"/>
            <w:color w:val="auto"/>
            <w:sz w:val="24"/>
            <w:szCs w:val="24"/>
            <w:u w:val="none"/>
          </w:rPr>
          <w:t>Член 18.00 Определения</w:t>
        </w:r>
        <w:r w:rsidR="00EA6C7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112</w:t>
        </w:r>
      </w:hyperlink>
    </w:p>
    <w:p w14:paraId="28E42E57" w14:textId="5C76C3E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599" w:history="1">
        <w:r w:rsidR="00D35E51" w:rsidRPr="00F06DE2">
          <w:rPr>
            <w:rStyle w:val="Hyperlink"/>
            <w:rFonts w:ascii="Times New Roman" w:hAnsi="Times New Roman"/>
            <w:b w:val="0"/>
            <w:bCs w:val="0"/>
            <w:color w:val="auto"/>
            <w:sz w:val="24"/>
            <w:szCs w:val="24"/>
            <w:u w:val="none"/>
          </w:rPr>
          <w:t>Член 18.01 Общи разпоредби</w:t>
        </w:r>
        <w:r w:rsidR="00EA6C7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113</w:t>
        </w:r>
      </w:hyperlink>
    </w:p>
    <w:p w14:paraId="54D27A6D" w14:textId="757A9424"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600" w:history="1">
        <w:r w:rsidR="00D35E51" w:rsidRPr="00F06DE2">
          <w:rPr>
            <w:rStyle w:val="Hyperlink"/>
            <w:rFonts w:ascii="Times New Roman" w:hAnsi="Times New Roman"/>
            <w:b w:val="0"/>
            <w:bCs w:val="0"/>
            <w:color w:val="auto"/>
            <w:sz w:val="24"/>
            <w:szCs w:val="24"/>
            <w:u w:val="none"/>
          </w:rPr>
          <w:t>Член 18.02 Заявление за одобрение на типа</w:t>
        </w:r>
        <w:r w:rsidR="00EA6C7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114</w:t>
        </w:r>
      </w:hyperlink>
    </w:p>
    <w:p w14:paraId="29AF88A2" w14:textId="503BAF7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601" w:history="1">
        <w:r w:rsidR="00D35E51" w:rsidRPr="00F06DE2">
          <w:rPr>
            <w:rStyle w:val="Hyperlink"/>
            <w:rFonts w:ascii="Times New Roman" w:hAnsi="Times New Roman"/>
            <w:b w:val="0"/>
            <w:bCs w:val="0"/>
            <w:color w:val="auto"/>
            <w:sz w:val="24"/>
            <w:szCs w:val="24"/>
            <w:u w:val="none"/>
          </w:rPr>
          <w:t>Член 18.03 Процедура за одобряване на типа</w:t>
        </w:r>
        <w:r w:rsidR="00EA6C7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115</w:t>
        </w:r>
      </w:hyperlink>
    </w:p>
    <w:p w14:paraId="4E196AF2" w14:textId="1C98CAC6"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602" w:history="1">
        <w:r w:rsidR="00D35E51" w:rsidRPr="00F06DE2">
          <w:rPr>
            <w:rStyle w:val="Hyperlink"/>
            <w:rFonts w:ascii="Times New Roman" w:hAnsi="Times New Roman"/>
            <w:b w:val="0"/>
            <w:bCs w:val="0"/>
            <w:color w:val="auto"/>
            <w:sz w:val="24"/>
            <w:szCs w:val="24"/>
            <w:u w:val="none"/>
          </w:rPr>
          <w:t>Член 18.04 Изменение на одобренията на типа</w:t>
        </w:r>
        <w:r w:rsidR="00EA6C7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115</w:t>
        </w:r>
      </w:hyperlink>
    </w:p>
    <w:p w14:paraId="40289351" w14:textId="3E0C1DE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603" w:history="1">
        <w:r w:rsidR="00D35E51" w:rsidRPr="00F06DE2">
          <w:rPr>
            <w:rStyle w:val="Hyperlink"/>
            <w:rFonts w:ascii="Times New Roman" w:hAnsi="Times New Roman"/>
            <w:b w:val="0"/>
            <w:bCs w:val="0"/>
            <w:color w:val="auto"/>
            <w:sz w:val="24"/>
            <w:szCs w:val="24"/>
            <w:u w:val="none"/>
          </w:rPr>
          <w:t>Член 18.05 Съответствие на одобрението на типа</w:t>
        </w:r>
        <w:r w:rsidR="00EA6C7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117</w:t>
        </w:r>
      </w:hyperlink>
    </w:p>
    <w:p w14:paraId="6FA85640" w14:textId="641A9F0E"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604" w:history="1">
        <w:r w:rsidR="00D35E51" w:rsidRPr="00F06DE2">
          <w:rPr>
            <w:rStyle w:val="Hyperlink"/>
            <w:rFonts w:ascii="Times New Roman" w:hAnsi="Times New Roman"/>
            <w:b w:val="0"/>
            <w:bCs w:val="0"/>
            <w:color w:val="auto"/>
            <w:sz w:val="24"/>
            <w:szCs w:val="24"/>
            <w:u w:val="none"/>
          </w:rPr>
          <w:t>Член 18.06 Проверка на серийните номера</w:t>
        </w:r>
        <w:r w:rsidR="00EA6C7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117</w:t>
        </w:r>
      </w:hyperlink>
    </w:p>
    <w:p w14:paraId="2801CE90" w14:textId="162507AA"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605" w:history="1">
        <w:r w:rsidR="00D35E51" w:rsidRPr="00F06DE2">
          <w:rPr>
            <w:rStyle w:val="Hyperlink"/>
            <w:rFonts w:ascii="Times New Roman" w:hAnsi="Times New Roman"/>
            <w:b w:val="0"/>
            <w:bCs w:val="0"/>
            <w:color w:val="auto"/>
            <w:sz w:val="24"/>
            <w:szCs w:val="24"/>
            <w:u w:val="none"/>
          </w:rPr>
          <w:t>Член 18.07 Съответствие на производството</w:t>
        </w:r>
        <w:r w:rsidR="00EA6C7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118</w:t>
        </w:r>
      </w:hyperlink>
    </w:p>
    <w:p w14:paraId="685E20C9" w14:textId="27B97E29"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606" w:history="1">
        <w:r w:rsidR="00D35E51" w:rsidRPr="00F06DE2">
          <w:rPr>
            <w:rStyle w:val="Hyperlink"/>
            <w:rFonts w:ascii="Times New Roman" w:hAnsi="Times New Roman"/>
            <w:b w:val="0"/>
            <w:bCs w:val="0"/>
            <w:color w:val="auto"/>
            <w:sz w:val="24"/>
            <w:szCs w:val="24"/>
            <w:u w:val="none"/>
          </w:rPr>
          <w:t>Член 18.08 Несъответствие с одобрения тип бордова станция за пречистване на</w:t>
        </w:r>
        <w:r w:rsidR="0089218D" w:rsidRPr="00F06DE2">
          <w:rPr>
            <w:rStyle w:val="Hyperlink"/>
            <w:rFonts w:ascii="Times New Roman" w:hAnsi="Times New Roman"/>
            <w:b w:val="0"/>
            <w:bCs w:val="0"/>
            <w:color w:val="auto"/>
            <w:sz w:val="24"/>
            <w:szCs w:val="24"/>
            <w:u w:val="none"/>
          </w:rPr>
          <w:tab/>
        </w:r>
        <w:r w:rsidR="00D35E51" w:rsidRPr="00F06DE2">
          <w:rPr>
            <w:rStyle w:val="Hyperlink"/>
            <w:rFonts w:ascii="Times New Roman" w:hAnsi="Times New Roman"/>
            <w:b w:val="0"/>
            <w:bCs w:val="0"/>
            <w:color w:val="auto"/>
            <w:sz w:val="24"/>
            <w:szCs w:val="24"/>
            <w:u w:val="none"/>
          </w:rPr>
          <w:t xml:space="preserve"> отпадъчни води</w:t>
        </w:r>
        <w:r w:rsidR="0089218D" w:rsidRPr="00F06DE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 xml:space="preserve"> 118</w:t>
        </w:r>
      </w:hyperlink>
    </w:p>
    <w:p w14:paraId="7E1C9AE1" w14:textId="64B20CB9" w:rsidR="00271FA2" w:rsidRPr="00F06DE2" w:rsidRDefault="002C62EC" w:rsidP="001C484D">
      <w:pPr>
        <w:pStyle w:val="TOC3"/>
        <w:ind w:left="0" w:right="0" w:firstLine="0"/>
        <w:rPr>
          <w:rFonts w:ascii="Times New Roman" w:eastAsiaTheme="minorEastAsia" w:hAnsi="Times New Roman"/>
          <w:sz w:val="24"/>
          <w:szCs w:val="24"/>
          <w:lang w:eastAsia="en-GB" w:bidi="ar-SA"/>
        </w:rPr>
      </w:pPr>
      <w:hyperlink w:anchor="_Toc535827607" w:history="1">
        <w:r w:rsidR="00D35E51" w:rsidRPr="00F06DE2">
          <w:rPr>
            <w:rStyle w:val="Hyperlink"/>
            <w:rFonts w:ascii="Times New Roman" w:hAnsi="Times New Roman"/>
            <w:b w:val="0"/>
            <w:bCs w:val="0"/>
            <w:color w:val="auto"/>
            <w:sz w:val="24"/>
            <w:szCs w:val="24"/>
            <w:u w:val="none"/>
          </w:rPr>
          <w:t xml:space="preserve">Член 18.09 </w:t>
        </w:r>
        <w:r w:rsidR="00445C8C" w:rsidRPr="00F06DE2">
          <w:rPr>
            <w:rFonts w:ascii="Times New Roman" w:hAnsi="Times New Roman"/>
            <w:sz w:val="24"/>
            <w:szCs w:val="24"/>
          </w:rPr>
          <w:t xml:space="preserve">Тест за инсталиране и </w:t>
        </w:r>
        <w:r w:rsidR="00172092" w:rsidRPr="00F06DE2">
          <w:rPr>
            <w:rFonts w:ascii="Times New Roman" w:hAnsi="Times New Roman"/>
            <w:sz w:val="24"/>
            <w:szCs w:val="24"/>
          </w:rPr>
          <w:t>ефективност</w:t>
        </w:r>
        <w:r w:rsidR="00EA6C7D">
          <w:rPr>
            <w:rFonts w:ascii="Times New Roman" w:hAnsi="Times New Roman"/>
            <w:sz w:val="24"/>
            <w:szCs w:val="24"/>
          </w:rPr>
          <w:t xml:space="preserve">                                                                                    </w:t>
        </w:r>
        <w:r w:rsidR="00D35E51" w:rsidRPr="00F06DE2">
          <w:rPr>
            <w:rFonts w:ascii="Times New Roman" w:hAnsi="Times New Roman"/>
            <w:sz w:val="24"/>
            <w:szCs w:val="24"/>
          </w:rPr>
          <w:t>119</w:t>
        </w:r>
      </w:hyperlink>
    </w:p>
    <w:p w14:paraId="2A6E9E1B" w14:textId="45256231" w:rsidR="00271FA2" w:rsidRPr="00F06DE2" w:rsidRDefault="002C62EC" w:rsidP="001C484D">
      <w:pPr>
        <w:pStyle w:val="TOC3"/>
        <w:ind w:left="0" w:right="0" w:firstLine="0"/>
        <w:rPr>
          <w:rStyle w:val="Hyperlink"/>
          <w:rFonts w:ascii="Times New Roman" w:hAnsi="Times New Roman"/>
          <w:b w:val="0"/>
          <w:color w:val="auto"/>
          <w:sz w:val="24"/>
          <w:szCs w:val="24"/>
          <w:u w:val="none"/>
        </w:rPr>
      </w:pPr>
      <w:hyperlink w:anchor="_Toc535827608" w:history="1">
        <w:r w:rsidR="00D35E51" w:rsidRPr="00F06DE2">
          <w:rPr>
            <w:rStyle w:val="Hyperlink"/>
            <w:rFonts w:ascii="Times New Roman" w:hAnsi="Times New Roman"/>
            <w:b w:val="0"/>
            <w:bCs w:val="0"/>
            <w:color w:val="auto"/>
            <w:sz w:val="24"/>
            <w:szCs w:val="24"/>
            <w:u w:val="none"/>
          </w:rPr>
          <w:t xml:space="preserve">Член 18.10 </w:t>
        </w:r>
        <w:r w:rsidR="00052DB4" w:rsidRPr="00F06DE2">
          <w:rPr>
            <w:rStyle w:val="Hyperlink"/>
            <w:rFonts w:ascii="Times New Roman" w:hAnsi="Times New Roman"/>
            <w:b w:val="0"/>
            <w:color w:val="auto"/>
            <w:sz w:val="24"/>
            <w:szCs w:val="24"/>
            <w:u w:val="none"/>
          </w:rPr>
          <w:t>Измерване на произволна проба / Специален тест</w:t>
        </w:r>
        <w:r w:rsidR="007D6886">
          <w:rPr>
            <w:rStyle w:val="Hyperlink"/>
            <w:rFonts w:ascii="Times New Roman" w:hAnsi="Times New Roman"/>
            <w:b w:val="0"/>
            <w:color w:val="auto"/>
            <w:sz w:val="24"/>
            <w:szCs w:val="24"/>
            <w:u w:val="none"/>
          </w:rPr>
          <w:t xml:space="preserve">                                                               </w:t>
        </w:r>
        <w:r w:rsidR="00D35E51" w:rsidRPr="00F06DE2">
          <w:rPr>
            <w:rStyle w:val="Hyperlink"/>
            <w:rFonts w:ascii="Times New Roman" w:hAnsi="Times New Roman"/>
            <w:b w:val="0"/>
            <w:color w:val="auto"/>
            <w:sz w:val="24"/>
            <w:szCs w:val="24"/>
            <w:u w:val="none"/>
          </w:rPr>
          <w:t>120</w:t>
        </w:r>
      </w:hyperlink>
    </w:p>
    <w:p w14:paraId="4A8B6D3E" w14:textId="07146EDD" w:rsidR="00BA7E48" w:rsidRPr="00F06DE2" w:rsidRDefault="00BA7E48" w:rsidP="001C484D">
      <w:pPr>
        <w:pStyle w:val="TOC3"/>
        <w:ind w:left="0" w:right="0" w:firstLine="0"/>
        <w:rPr>
          <w:rFonts w:ascii="Times New Roman" w:hAnsi="Times New Roman"/>
          <w:bCs/>
          <w:sz w:val="24"/>
          <w:szCs w:val="24"/>
        </w:rPr>
      </w:pPr>
      <w:r w:rsidRPr="00F06DE2">
        <w:rPr>
          <w:rStyle w:val="Hyperlink"/>
          <w:rFonts w:ascii="Times New Roman" w:hAnsi="Times New Roman"/>
          <w:b w:val="0"/>
          <w:color w:val="auto"/>
          <w:sz w:val="24"/>
          <w:szCs w:val="24"/>
          <w:u w:val="none"/>
        </w:rPr>
        <w:t xml:space="preserve">Член 18.11 Ръководство и инструкции за </w:t>
      </w:r>
      <w:r w:rsidR="00E013DB" w:rsidRPr="00F06DE2">
        <w:rPr>
          <w:rStyle w:val="Hyperlink"/>
          <w:rFonts w:ascii="Times New Roman" w:hAnsi="Times New Roman"/>
          <w:b w:val="0"/>
          <w:color w:val="auto"/>
          <w:sz w:val="24"/>
          <w:szCs w:val="24"/>
          <w:u w:val="none"/>
        </w:rPr>
        <w:t xml:space="preserve"> експлоатация</w:t>
      </w:r>
      <w:r w:rsidRPr="00F06DE2">
        <w:rPr>
          <w:rStyle w:val="Hyperlink"/>
          <w:rFonts w:ascii="Times New Roman" w:hAnsi="Times New Roman"/>
          <w:b w:val="0"/>
          <w:color w:val="auto"/>
          <w:sz w:val="24"/>
          <w:szCs w:val="24"/>
          <w:u w:val="none"/>
        </w:rPr>
        <w:t>“</w:t>
      </w:r>
      <w:r w:rsidR="007D6886">
        <w:rPr>
          <w:rStyle w:val="Hyperlink"/>
          <w:rFonts w:ascii="Times New Roman" w:hAnsi="Times New Roman"/>
          <w:b w:val="0"/>
          <w:color w:val="auto"/>
          <w:sz w:val="24"/>
          <w:szCs w:val="24"/>
          <w:u w:val="none"/>
          <w:lang w:val="ru-RU"/>
        </w:rPr>
        <w:t xml:space="preserve">                                                             </w:t>
      </w:r>
      <w:r w:rsidR="00954323" w:rsidRPr="00F06DE2">
        <w:rPr>
          <w:rStyle w:val="Hyperlink"/>
          <w:rFonts w:ascii="Times New Roman" w:hAnsi="Times New Roman"/>
          <w:b w:val="0"/>
          <w:color w:val="auto"/>
          <w:sz w:val="24"/>
          <w:szCs w:val="24"/>
          <w:u w:val="none"/>
          <w:lang w:val="ru-RU"/>
        </w:rPr>
        <w:t>121</w:t>
      </w:r>
    </w:p>
    <w:p w14:paraId="61EABF29" w14:textId="7C4C4A12" w:rsidR="00271FA2" w:rsidRPr="00F06DE2" w:rsidRDefault="002C62EC">
      <w:pPr>
        <w:pStyle w:val="TOC1"/>
        <w:ind w:left="0" w:right="-2" w:firstLine="0"/>
        <w:rPr>
          <w:rFonts w:ascii="Times New Roman" w:eastAsiaTheme="minorEastAsia" w:hAnsi="Times New Roman"/>
          <w:b w:val="0"/>
          <w:bCs w:val="0"/>
          <w:i/>
          <w:iCs/>
          <w:caps w:val="0"/>
          <w:sz w:val="24"/>
          <w:szCs w:val="24"/>
          <w:lang w:eastAsia="en-GB" w:bidi="ar-SA"/>
        </w:rPr>
      </w:pPr>
      <w:hyperlink w:anchor="_Toc535827609" w:history="1">
        <w:r w:rsidR="00D35E51" w:rsidRPr="00F06DE2">
          <w:rPr>
            <w:rStyle w:val="Hyperlink"/>
            <w:rFonts w:ascii="Times New Roman" w:hAnsi="Times New Roman"/>
            <w:i/>
            <w:iCs/>
            <w:color w:val="auto"/>
            <w:sz w:val="24"/>
            <w:szCs w:val="24"/>
            <w:u w:val="none"/>
          </w:rPr>
          <w:t>ЧАСТ III СПЕЦИАЛНИ РАЗПОРЕДБИ</w:t>
        </w:r>
        <w:r w:rsidR="007D6886">
          <w:rPr>
            <w:rStyle w:val="Hyperlink"/>
            <w:rFonts w:ascii="Times New Roman" w:hAnsi="Times New Roman"/>
            <w:i/>
            <w:iCs/>
            <w:color w:val="auto"/>
            <w:sz w:val="24"/>
            <w:szCs w:val="24"/>
            <w:u w:val="none"/>
          </w:rPr>
          <w:t xml:space="preserve">                                                                                                      </w:t>
        </w:r>
        <w:r w:rsidR="00D35E51" w:rsidRPr="00F06DE2">
          <w:rPr>
            <w:rFonts w:ascii="Times New Roman" w:hAnsi="Times New Roman"/>
            <w:b w:val="0"/>
            <w:bCs w:val="0"/>
            <w:i/>
            <w:iCs/>
            <w:sz w:val="24"/>
            <w:szCs w:val="24"/>
          </w:rPr>
          <w:t>121</w:t>
        </w:r>
      </w:hyperlink>
    </w:p>
    <w:p w14:paraId="05B4675B" w14:textId="321C055E"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10" w:history="1">
        <w:r w:rsidR="00D35E51" w:rsidRPr="00F06DE2">
          <w:rPr>
            <w:rStyle w:val="Hyperlink"/>
            <w:rFonts w:ascii="Times New Roman" w:hAnsi="Times New Roman"/>
            <w:b w:val="0"/>
            <w:bCs w:val="0"/>
            <w:i/>
            <w:iCs/>
            <w:color w:val="auto"/>
            <w:sz w:val="24"/>
            <w:szCs w:val="24"/>
            <w:u w:val="none"/>
          </w:rPr>
          <w:t>Глава 19 Специални разпоредби, приложими за пътническите плавателни съдове</w:t>
        </w:r>
        <w:r w:rsidR="007D6886">
          <w:rPr>
            <w:rFonts w:ascii="Times New Roman" w:hAnsi="Times New Roman"/>
            <w:i/>
            <w:iCs/>
            <w:sz w:val="24"/>
            <w:szCs w:val="24"/>
          </w:rPr>
          <w:t xml:space="preserve">                   </w:t>
        </w:r>
        <w:r w:rsidR="00D35E51" w:rsidRPr="00F06DE2">
          <w:rPr>
            <w:rFonts w:ascii="Times New Roman" w:hAnsi="Times New Roman"/>
            <w:i/>
            <w:iCs/>
            <w:sz w:val="24"/>
            <w:szCs w:val="24"/>
          </w:rPr>
          <w:t>121</w:t>
        </w:r>
      </w:hyperlink>
    </w:p>
    <w:p w14:paraId="74EDD144" w14:textId="351B279C" w:rsidR="00271FA2" w:rsidRPr="00F06DE2" w:rsidRDefault="002C62EC">
      <w:pPr>
        <w:pStyle w:val="TOC3"/>
        <w:ind w:right="-2"/>
        <w:rPr>
          <w:rFonts w:ascii="Times New Roman" w:eastAsiaTheme="minorEastAsia" w:hAnsi="Times New Roman"/>
          <w:sz w:val="24"/>
          <w:szCs w:val="24"/>
          <w:lang w:eastAsia="en-GB" w:bidi="ar-SA"/>
        </w:rPr>
      </w:pPr>
      <w:hyperlink w:anchor="_Toc535827611" w:history="1">
        <w:r w:rsidR="00D35E51" w:rsidRPr="00F06DE2">
          <w:rPr>
            <w:rStyle w:val="Hyperlink"/>
            <w:rFonts w:ascii="Times New Roman" w:hAnsi="Times New Roman"/>
            <w:b w:val="0"/>
            <w:bCs w:val="0"/>
            <w:color w:val="auto"/>
            <w:sz w:val="24"/>
            <w:szCs w:val="24"/>
            <w:u w:val="none"/>
          </w:rPr>
          <w:t>Член 19.01 Общи разпоредби</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121</w:t>
        </w:r>
      </w:hyperlink>
    </w:p>
    <w:p w14:paraId="62821B48" w14:textId="2EE5658E" w:rsidR="00271FA2" w:rsidRPr="00F06DE2" w:rsidRDefault="002C62EC">
      <w:pPr>
        <w:pStyle w:val="TOC3"/>
        <w:ind w:right="-2"/>
        <w:rPr>
          <w:rFonts w:ascii="Times New Roman" w:eastAsiaTheme="minorEastAsia" w:hAnsi="Times New Roman"/>
          <w:sz w:val="24"/>
          <w:szCs w:val="24"/>
          <w:lang w:eastAsia="en-GB" w:bidi="ar-SA"/>
        </w:rPr>
      </w:pPr>
      <w:hyperlink w:anchor="_Toc535827612" w:history="1">
        <w:r w:rsidR="00D35E51" w:rsidRPr="00F06DE2">
          <w:rPr>
            <w:rStyle w:val="Hyperlink"/>
            <w:rFonts w:ascii="Times New Roman" w:hAnsi="Times New Roman"/>
            <w:b w:val="0"/>
            <w:bCs w:val="0"/>
            <w:color w:val="auto"/>
            <w:sz w:val="24"/>
            <w:szCs w:val="24"/>
            <w:u w:val="none"/>
          </w:rPr>
          <w:t>Член 19.02 Корпус</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122</w:t>
        </w:r>
      </w:hyperlink>
    </w:p>
    <w:p w14:paraId="345D837B" w14:textId="10726D22" w:rsidR="00271FA2" w:rsidRPr="00F06DE2" w:rsidRDefault="002C62EC">
      <w:pPr>
        <w:pStyle w:val="TOC3"/>
        <w:ind w:right="-2"/>
        <w:rPr>
          <w:rFonts w:ascii="Times New Roman" w:eastAsiaTheme="minorEastAsia" w:hAnsi="Times New Roman"/>
          <w:sz w:val="24"/>
          <w:szCs w:val="24"/>
          <w:lang w:eastAsia="en-GB" w:bidi="ar-SA"/>
        </w:rPr>
      </w:pPr>
      <w:hyperlink w:anchor="_Toc535827613" w:history="1">
        <w:r w:rsidR="00D35E51" w:rsidRPr="00F06DE2">
          <w:rPr>
            <w:rStyle w:val="Hyperlink"/>
            <w:rFonts w:ascii="Times New Roman" w:hAnsi="Times New Roman"/>
            <w:b w:val="0"/>
            <w:bCs w:val="0"/>
            <w:color w:val="auto"/>
            <w:sz w:val="24"/>
            <w:szCs w:val="24"/>
            <w:u w:val="none"/>
          </w:rPr>
          <w:t>Член 19.03 Устойчивост</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124</w:t>
        </w:r>
      </w:hyperlink>
    </w:p>
    <w:p w14:paraId="0289D5DC" w14:textId="4F408638" w:rsidR="00271FA2" w:rsidRPr="00F06DE2" w:rsidRDefault="002C62EC">
      <w:pPr>
        <w:pStyle w:val="TOC3"/>
        <w:ind w:right="-2"/>
        <w:rPr>
          <w:rFonts w:ascii="Times New Roman" w:eastAsiaTheme="minorEastAsia" w:hAnsi="Times New Roman"/>
          <w:sz w:val="24"/>
          <w:szCs w:val="24"/>
          <w:lang w:eastAsia="en-GB" w:bidi="ar-SA"/>
        </w:rPr>
      </w:pPr>
      <w:hyperlink w:anchor="_Toc535827614" w:history="1">
        <w:r w:rsidR="00D35E51" w:rsidRPr="00F06DE2">
          <w:rPr>
            <w:rStyle w:val="Hyperlink"/>
            <w:rFonts w:ascii="Times New Roman" w:hAnsi="Times New Roman"/>
            <w:b w:val="0"/>
            <w:bCs w:val="0"/>
            <w:color w:val="auto"/>
            <w:sz w:val="24"/>
            <w:szCs w:val="24"/>
            <w:u w:val="none"/>
          </w:rPr>
          <w:t>Член 19.04 Безопасно разстояние и надводен борд</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131</w:t>
        </w:r>
      </w:hyperlink>
    </w:p>
    <w:p w14:paraId="7CDE1A08" w14:textId="6DD62CEB" w:rsidR="00271FA2" w:rsidRPr="00F06DE2" w:rsidRDefault="002C62EC">
      <w:pPr>
        <w:pStyle w:val="TOC3"/>
        <w:ind w:right="-2"/>
        <w:rPr>
          <w:rFonts w:ascii="Times New Roman" w:eastAsiaTheme="minorEastAsia" w:hAnsi="Times New Roman"/>
          <w:sz w:val="24"/>
          <w:szCs w:val="24"/>
          <w:lang w:eastAsia="en-GB" w:bidi="ar-SA"/>
        </w:rPr>
      </w:pPr>
      <w:hyperlink w:anchor="_Toc535827615" w:history="1">
        <w:r w:rsidR="00D35E51" w:rsidRPr="00F06DE2">
          <w:rPr>
            <w:rStyle w:val="Hyperlink"/>
            <w:rFonts w:ascii="Times New Roman" w:hAnsi="Times New Roman"/>
            <w:b w:val="0"/>
            <w:bCs w:val="0"/>
            <w:color w:val="auto"/>
            <w:sz w:val="24"/>
            <w:szCs w:val="24"/>
            <w:u w:val="none"/>
          </w:rPr>
          <w:t>Член 19.05 Максимално допустим брой пътници</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131</w:t>
        </w:r>
      </w:hyperlink>
    </w:p>
    <w:p w14:paraId="6F999F30" w14:textId="77E30B70" w:rsidR="00271FA2" w:rsidRPr="00F06DE2" w:rsidRDefault="002C62EC">
      <w:pPr>
        <w:pStyle w:val="TOC3"/>
        <w:ind w:right="-2"/>
        <w:rPr>
          <w:rFonts w:ascii="Times New Roman" w:eastAsiaTheme="minorEastAsia" w:hAnsi="Times New Roman"/>
          <w:sz w:val="24"/>
          <w:szCs w:val="24"/>
          <w:lang w:eastAsia="en-GB" w:bidi="ar-SA"/>
        </w:rPr>
      </w:pPr>
      <w:hyperlink w:anchor="_Toc535827616" w:history="1">
        <w:r w:rsidR="00D35E51" w:rsidRPr="00F06DE2">
          <w:rPr>
            <w:rStyle w:val="Hyperlink"/>
            <w:rFonts w:ascii="Times New Roman" w:hAnsi="Times New Roman"/>
            <w:b w:val="0"/>
            <w:bCs w:val="0"/>
            <w:color w:val="auto"/>
            <w:sz w:val="24"/>
            <w:szCs w:val="24"/>
            <w:u w:val="none"/>
          </w:rPr>
          <w:t>Член 19.06 Помещения и пространства за пътници</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131</w:t>
        </w:r>
      </w:hyperlink>
    </w:p>
    <w:p w14:paraId="737CF623" w14:textId="529B0F9C" w:rsidR="00271FA2" w:rsidRPr="00F06DE2" w:rsidRDefault="002C62EC">
      <w:pPr>
        <w:pStyle w:val="TOC3"/>
        <w:ind w:right="-2"/>
        <w:rPr>
          <w:rFonts w:ascii="Times New Roman" w:eastAsiaTheme="minorEastAsia" w:hAnsi="Times New Roman"/>
          <w:sz w:val="24"/>
          <w:szCs w:val="24"/>
          <w:lang w:eastAsia="en-GB" w:bidi="ar-SA"/>
        </w:rPr>
      </w:pPr>
      <w:hyperlink w:anchor="_Toc535827617" w:history="1">
        <w:r w:rsidR="00D35E51" w:rsidRPr="00F06DE2">
          <w:rPr>
            <w:rStyle w:val="Hyperlink"/>
            <w:rFonts w:ascii="Times New Roman" w:hAnsi="Times New Roman"/>
            <w:b w:val="0"/>
            <w:bCs w:val="0"/>
            <w:color w:val="auto"/>
            <w:sz w:val="24"/>
            <w:szCs w:val="24"/>
            <w:u w:val="none"/>
          </w:rPr>
          <w:t>Член 19.07 Задвижваща система</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137</w:t>
        </w:r>
      </w:hyperlink>
    </w:p>
    <w:p w14:paraId="1BFB86BE" w14:textId="61D9482E" w:rsidR="00271FA2" w:rsidRPr="00F06DE2" w:rsidRDefault="002C62EC">
      <w:pPr>
        <w:pStyle w:val="TOC3"/>
        <w:ind w:right="-2"/>
        <w:rPr>
          <w:rFonts w:ascii="Times New Roman" w:eastAsiaTheme="minorEastAsia" w:hAnsi="Times New Roman"/>
          <w:sz w:val="24"/>
          <w:szCs w:val="24"/>
          <w:lang w:eastAsia="en-GB" w:bidi="ar-SA"/>
        </w:rPr>
      </w:pPr>
      <w:hyperlink w:anchor="_Toc535827618" w:history="1">
        <w:r w:rsidR="00D35E51" w:rsidRPr="00F06DE2">
          <w:rPr>
            <w:rStyle w:val="Hyperlink"/>
            <w:rFonts w:ascii="Times New Roman" w:hAnsi="Times New Roman"/>
            <w:b w:val="0"/>
            <w:bCs w:val="0"/>
            <w:color w:val="auto"/>
            <w:sz w:val="24"/>
            <w:szCs w:val="24"/>
            <w:u w:val="none"/>
          </w:rPr>
          <w:t>Член 19.08 Устройства и оборудване за безопасност</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137</w:t>
        </w:r>
      </w:hyperlink>
    </w:p>
    <w:p w14:paraId="1B6CDB67" w14:textId="555D5FBB" w:rsidR="00271FA2" w:rsidRPr="00F06DE2" w:rsidRDefault="002C62EC">
      <w:pPr>
        <w:pStyle w:val="TOC3"/>
        <w:ind w:right="-2"/>
        <w:rPr>
          <w:rFonts w:ascii="Times New Roman" w:eastAsiaTheme="minorEastAsia" w:hAnsi="Times New Roman"/>
          <w:sz w:val="24"/>
          <w:szCs w:val="24"/>
          <w:lang w:eastAsia="en-GB" w:bidi="ar-SA"/>
        </w:rPr>
      </w:pPr>
      <w:hyperlink w:anchor="_Toc535827619" w:history="1">
        <w:r w:rsidR="00D35E51" w:rsidRPr="00F06DE2">
          <w:rPr>
            <w:rStyle w:val="Hyperlink"/>
            <w:rFonts w:ascii="Times New Roman" w:hAnsi="Times New Roman"/>
            <w:b w:val="0"/>
            <w:bCs w:val="0"/>
            <w:color w:val="auto"/>
            <w:sz w:val="24"/>
            <w:szCs w:val="24"/>
            <w:u w:val="none"/>
          </w:rPr>
          <w:t>Член 19.09 Спасително оборудване</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138</w:t>
        </w:r>
      </w:hyperlink>
    </w:p>
    <w:p w14:paraId="3A29B09F" w14:textId="60AFB62D" w:rsidR="00271FA2" w:rsidRPr="00F06DE2" w:rsidRDefault="002C62EC">
      <w:pPr>
        <w:pStyle w:val="TOC3"/>
        <w:ind w:right="-2"/>
        <w:rPr>
          <w:rFonts w:ascii="Times New Roman" w:eastAsiaTheme="minorEastAsia" w:hAnsi="Times New Roman"/>
          <w:sz w:val="24"/>
          <w:szCs w:val="24"/>
          <w:lang w:eastAsia="en-GB" w:bidi="ar-SA"/>
        </w:rPr>
      </w:pPr>
      <w:hyperlink w:anchor="_Toc535827620" w:history="1">
        <w:r w:rsidR="00D35E51" w:rsidRPr="00F06DE2">
          <w:rPr>
            <w:rStyle w:val="Hyperlink"/>
            <w:rFonts w:ascii="Times New Roman" w:hAnsi="Times New Roman"/>
            <w:b w:val="0"/>
            <w:bCs w:val="0"/>
            <w:color w:val="auto"/>
            <w:sz w:val="24"/>
            <w:szCs w:val="24"/>
            <w:u w:val="none"/>
          </w:rPr>
          <w:t>Член 19.10 Електрическо оборудване</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140</w:t>
        </w:r>
      </w:hyperlink>
    </w:p>
    <w:p w14:paraId="6C69920F" w14:textId="4BBC2B91" w:rsidR="00271FA2" w:rsidRPr="00F06DE2" w:rsidRDefault="002C62EC">
      <w:pPr>
        <w:pStyle w:val="TOC3"/>
        <w:ind w:right="-2"/>
        <w:rPr>
          <w:rFonts w:ascii="Times New Roman" w:eastAsiaTheme="minorEastAsia" w:hAnsi="Times New Roman"/>
          <w:sz w:val="24"/>
          <w:szCs w:val="24"/>
          <w:lang w:eastAsia="en-GB" w:bidi="ar-SA"/>
        </w:rPr>
      </w:pPr>
      <w:hyperlink w:anchor="_Toc535827621" w:history="1">
        <w:r w:rsidR="00D35E51" w:rsidRPr="00F06DE2">
          <w:rPr>
            <w:rStyle w:val="Hyperlink"/>
            <w:rFonts w:ascii="Times New Roman" w:hAnsi="Times New Roman"/>
            <w:b w:val="0"/>
            <w:bCs w:val="0"/>
            <w:color w:val="auto"/>
            <w:sz w:val="24"/>
            <w:szCs w:val="24"/>
            <w:u w:val="none"/>
          </w:rPr>
          <w:t>Член 19.11 Противопожарна защита</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142</w:t>
        </w:r>
      </w:hyperlink>
    </w:p>
    <w:p w14:paraId="29154289" w14:textId="131BFE7C" w:rsidR="00271FA2" w:rsidRPr="00F06DE2" w:rsidRDefault="002C62EC">
      <w:pPr>
        <w:pStyle w:val="TOC3"/>
        <w:ind w:right="-2"/>
        <w:rPr>
          <w:rFonts w:ascii="Times New Roman" w:eastAsiaTheme="minorEastAsia" w:hAnsi="Times New Roman"/>
          <w:sz w:val="24"/>
          <w:szCs w:val="24"/>
          <w:lang w:eastAsia="en-GB" w:bidi="ar-SA"/>
        </w:rPr>
      </w:pPr>
      <w:hyperlink w:anchor="_Toc535827622" w:history="1">
        <w:r w:rsidR="00D35E51" w:rsidRPr="00F06DE2">
          <w:rPr>
            <w:rStyle w:val="Hyperlink"/>
            <w:rFonts w:ascii="Times New Roman" w:hAnsi="Times New Roman"/>
            <w:b w:val="0"/>
            <w:bCs w:val="0"/>
            <w:color w:val="auto"/>
            <w:sz w:val="24"/>
            <w:szCs w:val="24"/>
            <w:u w:val="none"/>
          </w:rPr>
          <w:t>Член 19.12 Гасене на пожари</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14</w:t>
        </w:r>
        <w:r w:rsidR="00285EBB" w:rsidRPr="00F06DE2">
          <w:rPr>
            <w:rFonts w:ascii="Times New Roman" w:hAnsi="Times New Roman"/>
            <w:sz w:val="24"/>
            <w:szCs w:val="24"/>
          </w:rPr>
          <w:t>8</w:t>
        </w:r>
      </w:hyperlink>
    </w:p>
    <w:p w14:paraId="2FA649A1" w14:textId="4B4C12B5" w:rsidR="00271FA2" w:rsidRPr="00F06DE2" w:rsidRDefault="002C62EC">
      <w:pPr>
        <w:pStyle w:val="TOC3"/>
        <w:ind w:right="-2"/>
        <w:rPr>
          <w:rFonts w:ascii="Times New Roman" w:eastAsiaTheme="minorEastAsia" w:hAnsi="Times New Roman"/>
          <w:sz w:val="24"/>
          <w:szCs w:val="24"/>
          <w:lang w:eastAsia="en-GB" w:bidi="ar-SA"/>
        </w:rPr>
      </w:pPr>
      <w:hyperlink w:anchor="_Toc535827623" w:history="1">
        <w:r w:rsidR="00D35E51" w:rsidRPr="00F06DE2">
          <w:rPr>
            <w:rStyle w:val="Hyperlink"/>
            <w:rFonts w:ascii="Times New Roman" w:hAnsi="Times New Roman"/>
            <w:b w:val="0"/>
            <w:bCs w:val="0"/>
            <w:color w:val="auto"/>
            <w:sz w:val="24"/>
            <w:szCs w:val="24"/>
            <w:u w:val="none"/>
          </w:rPr>
          <w:t>Член 19.13 Организация на безопасността</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150</w:t>
        </w:r>
      </w:hyperlink>
    </w:p>
    <w:p w14:paraId="19636062" w14:textId="4E84B9A3" w:rsidR="00271FA2" w:rsidRPr="00F06DE2" w:rsidRDefault="002C62EC">
      <w:pPr>
        <w:pStyle w:val="TOC3"/>
        <w:ind w:right="-2"/>
        <w:rPr>
          <w:rFonts w:ascii="Times New Roman" w:eastAsiaTheme="minorEastAsia" w:hAnsi="Times New Roman"/>
          <w:sz w:val="24"/>
          <w:szCs w:val="24"/>
          <w:lang w:eastAsia="en-GB" w:bidi="ar-SA"/>
        </w:rPr>
      </w:pPr>
      <w:hyperlink w:anchor="_Toc535827624" w:history="1">
        <w:r w:rsidR="00D35E51" w:rsidRPr="00F06DE2">
          <w:rPr>
            <w:rStyle w:val="Hyperlink"/>
            <w:rFonts w:ascii="Times New Roman" w:hAnsi="Times New Roman"/>
            <w:b w:val="0"/>
            <w:bCs w:val="0"/>
            <w:color w:val="auto"/>
            <w:sz w:val="24"/>
            <w:szCs w:val="24"/>
            <w:u w:val="none"/>
          </w:rPr>
          <w:t>Член 19.14 Съоръжения за събиране и изхвърляне на отпадъчни води</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152</w:t>
        </w:r>
      </w:hyperlink>
    </w:p>
    <w:p w14:paraId="1475609A" w14:textId="4ACDC6E1" w:rsidR="00271FA2" w:rsidRPr="00F06DE2" w:rsidRDefault="002C62EC">
      <w:pPr>
        <w:pStyle w:val="TOC3"/>
        <w:ind w:right="-2"/>
        <w:rPr>
          <w:rFonts w:ascii="Times New Roman" w:eastAsiaTheme="minorEastAsia" w:hAnsi="Times New Roman"/>
          <w:sz w:val="24"/>
          <w:szCs w:val="24"/>
          <w:lang w:eastAsia="en-GB" w:bidi="ar-SA"/>
        </w:rPr>
      </w:pPr>
      <w:hyperlink w:anchor="_Toc535827625" w:history="1">
        <w:r w:rsidR="00D35E51" w:rsidRPr="00F06DE2">
          <w:rPr>
            <w:rStyle w:val="Hyperlink"/>
            <w:rFonts w:ascii="Times New Roman" w:hAnsi="Times New Roman"/>
            <w:b w:val="0"/>
            <w:bCs w:val="0"/>
            <w:color w:val="auto"/>
            <w:sz w:val="24"/>
            <w:szCs w:val="24"/>
            <w:u w:val="none"/>
          </w:rPr>
          <w:t>Член 19.15 Изключения за определени пътнически плавателни съдове</w:t>
        </w:r>
        <w:r w:rsidR="007D688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w:t>
        </w:r>
        <w:r w:rsidR="00285EBB" w:rsidRPr="00F06DE2">
          <w:rPr>
            <w:rFonts w:ascii="Times New Roman" w:hAnsi="Times New Roman"/>
            <w:sz w:val="24"/>
            <w:szCs w:val="24"/>
          </w:rPr>
          <w:t>2</w:t>
        </w:r>
      </w:hyperlink>
    </w:p>
    <w:p w14:paraId="7607B4FB" w14:textId="136A2CDE"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26" w:history="1">
        <w:r w:rsidR="00D35E51" w:rsidRPr="00F06DE2">
          <w:rPr>
            <w:rStyle w:val="Hyperlink"/>
            <w:rFonts w:ascii="Times New Roman" w:hAnsi="Times New Roman"/>
            <w:b w:val="0"/>
            <w:bCs w:val="0"/>
            <w:i/>
            <w:iCs/>
            <w:color w:val="auto"/>
            <w:sz w:val="24"/>
            <w:szCs w:val="24"/>
            <w:u w:val="none"/>
          </w:rPr>
          <w:t>Глава 20 Специални разпоредби, приложими за пътническите ветроходни плавателни съдове, които не плават по река Рейн (зона R)</w:t>
        </w:r>
        <w:r w:rsidR="001C5A84">
          <w:rPr>
            <w:rFonts w:ascii="Times New Roman" w:hAnsi="Times New Roman"/>
            <w:i/>
            <w:iCs/>
            <w:sz w:val="24"/>
            <w:szCs w:val="24"/>
          </w:rPr>
          <w:t xml:space="preserve">                                                                                                       </w:t>
        </w:r>
        <w:r w:rsidR="00D35E51" w:rsidRPr="00F06DE2">
          <w:rPr>
            <w:rFonts w:ascii="Times New Roman" w:hAnsi="Times New Roman"/>
            <w:i/>
            <w:iCs/>
            <w:sz w:val="24"/>
            <w:szCs w:val="24"/>
          </w:rPr>
          <w:t xml:space="preserve"> 15</w:t>
        </w:r>
        <w:r w:rsidR="00285EBB" w:rsidRPr="00F06DE2">
          <w:rPr>
            <w:rFonts w:ascii="Times New Roman" w:hAnsi="Times New Roman"/>
            <w:i/>
            <w:iCs/>
            <w:sz w:val="24"/>
            <w:szCs w:val="24"/>
          </w:rPr>
          <w:t>5</w:t>
        </w:r>
      </w:hyperlink>
    </w:p>
    <w:p w14:paraId="20B6F480" w14:textId="44E89315" w:rsidR="00271FA2" w:rsidRPr="00F06DE2" w:rsidRDefault="002C62EC">
      <w:pPr>
        <w:pStyle w:val="TOC3"/>
        <w:ind w:right="-2"/>
        <w:rPr>
          <w:rFonts w:ascii="Times New Roman" w:eastAsiaTheme="minorEastAsia" w:hAnsi="Times New Roman"/>
          <w:sz w:val="24"/>
          <w:szCs w:val="24"/>
          <w:lang w:eastAsia="en-GB" w:bidi="ar-SA"/>
        </w:rPr>
      </w:pPr>
      <w:hyperlink w:anchor="_Toc535827627" w:history="1">
        <w:r w:rsidR="00D35E51" w:rsidRPr="00F06DE2">
          <w:rPr>
            <w:rStyle w:val="Hyperlink"/>
            <w:rFonts w:ascii="Times New Roman" w:hAnsi="Times New Roman"/>
            <w:b w:val="0"/>
            <w:bCs w:val="0"/>
            <w:color w:val="auto"/>
            <w:sz w:val="24"/>
            <w:szCs w:val="24"/>
            <w:u w:val="none"/>
          </w:rPr>
          <w:t>Член 20.01 Прилагане на части II и III</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w:t>
        </w:r>
        <w:r w:rsidR="00285EBB" w:rsidRPr="00F06DE2">
          <w:rPr>
            <w:rFonts w:ascii="Times New Roman" w:hAnsi="Times New Roman"/>
            <w:sz w:val="24"/>
            <w:szCs w:val="24"/>
          </w:rPr>
          <w:t>5</w:t>
        </w:r>
      </w:hyperlink>
    </w:p>
    <w:p w14:paraId="25CE9AF5" w14:textId="6DFE94A8" w:rsidR="00271FA2" w:rsidRPr="00F06DE2" w:rsidRDefault="002C62EC">
      <w:pPr>
        <w:pStyle w:val="TOC3"/>
        <w:ind w:right="-2"/>
        <w:rPr>
          <w:rFonts w:ascii="Times New Roman" w:eastAsiaTheme="minorEastAsia" w:hAnsi="Times New Roman"/>
          <w:sz w:val="24"/>
          <w:szCs w:val="24"/>
          <w:lang w:eastAsia="en-GB" w:bidi="ar-SA"/>
        </w:rPr>
      </w:pPr>
      <w:hyperlink w:anchor="_Toc535827628" w:history="1">
        <w:r w:rsidR="00D35E51" w:rsidRPr="00F06DE2">
          <w:rPr>
            <w:rStyle w:val="Hyperlink"/>
            <w:rFonts w:ascii="Times New Roman" w:hAnsi="Times New Roman"/>
            <w:b w:val="0"/>
            <w:bCs w:val="0"/>
            <w:color w:val="auto"/>
            <w:sz w:val="24"/>
            <w:szCs w:val="24"/>
            <w:u w:val="none"/>
          </w:rPr>
          <w:t>Член 20.02 Изключения за някои пътнически ветроходни плавателни съдове</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w:t>
        </w:r>
        <w:r w:rsidR="00285EBB" w:rsidRPr="00F06DE2">
          <w:rPr>
            <w:rFonts w:ascii="Times New Roman" w:hAnsi="Times New Roman"/>
            <w:sz w:val="24"/>
            <w:szCs w:val="24"/>
          </w:rPr>
          <w:t>5</w:t>
        </w:r>
      </w:hyperlink>
    </w:p>
    <w:p w14:paraId="021B7549" w14:textId="5B5E83DB" w:rsidR="00271FA2" w:rsidRPr="00F06DE2" w:rsidRDefault="002C62EC">
      <w:pPr>
        <w:pStyle w:val="TOC3"/>
        <w:ind w:right="-2"/>
        <w:rPr>
          <w:rFonts w:ascii="Times New Roman" w:eastAsiaTheme="minorEastAsia" w:hAnsi="Times New Roman"/>
          <w:sz w:val="24"/>
          <w:szCs w:val="24"/>
          <w:lang w:eastAsia="en-GB" w:bidi="ar-SA"/>
        </w:rPr>
      </w:pPr>
      <w:hyperlink w:anchor="_Toc535827629" w:history="1">
        <w:r w:rsidR="00D35E51" w:rsidRPr="00F06DE2">
          <w:rPr>
            <w:rStyle w:val="Hyperlink"/>
            <w:rFonts w:ascii="Times New Roman" w:hAnsi="Times New Roman"/>
            <w:b w:val="0"/>
            <w:bCs w:val="0"/>
            <w:color w:val="auto"/>
            <w:sz w:val="24"/>
            <w:szCs w:val="24"/>
            <w:u w:val="none"/>
          </w:rPr>
          <w:t>Член 20.03 Изисквания за устойчивостта на ветроходни плавателни съдове</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w:t>
        </w:r>
        <w:r w:rsidR="00285EBB" w:rsidRPr="00F06DE2">
          <w:rPr>
            <w:rFonts w:ascii="Times New Roman" w:hAnsi="Times New Roman"/>
            <w:sz w:val="24"/>
            <w:szCs w:val="24"/>
          </w:rPr>
          <w:t>5</w:t>
        </w:r>
      </w:hyperlink>
    </w:p>
    <w:p w14:paraId="726F218C" w14:textId="07C0FE07" w:rsidR="00271FA2" w:rsidRPr="00F06DE2" w:rsidRDefault="002C62EC">
      <w:pPr>
        <w:pStyle w:val="TOC3"/>
        <w:ind w:right="-2"/>
        <w:rPr>
          <w:rFonts w:ascii="Times New Roman" w:eastAsiaTheme="minorEastAsia" w:hAnsi="Times New Roman"/>
          <w:sz w:val="24"/>
          <w:szCs w:val="24"/>
          <w:lang w:eastAsia="en-GB" w:bidi="ar-SA"/>
        </w:rPr>
      </w:pPr>
      <w:hyperlink w:anchor="_Toc535827630" w:history="1">
        <w:r w:rsidR="00D35E51" w:rsidRPr="00F06DE2">
          <w:rPr>
            <w:rStyle w:val="Hyperlink"/>
            <w:rFonts w:ascii="Times New Roman" w:hAnsi="Times New Roman"/>
            <w:b w:val="0"/>
            <w:bCs w:val="0"/>
            <w:color w:val="auto"/>
            <w:sz w:val="24"/>
            <w:szCs w:val="24"/>
            <w:u w:val="none"/>
          </w:rPr>
          <w:t>Член 20.04 Изисквания относно корабната конструкция и механика</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w:t>
        </w:r>
        <w:r w:rsidR="00AE4FF4" w:rsidRPr="00F06DE2">
          <w:rPr>
            <w:rFonts w:ascii="Times New Roman" w:hAnsi="Times New Roman"/>
            <w:sz w:val="24"/>
            <w:szCs w:val="24"/>
            <w:lang w:val="en-US"/>
          </w:rPr>
          <w:t>6</w:t>
        </w:r>
      </w:hyperlink>
    </w:p>
    <w:p w14:paraId="2C66E243" w14:textId="0B01BD5E" w:rsidR="00271FA2" w:rsidRPr="00F06DE2" w:rsidRDefault="002C62EC">
      <w:pPr>
        <w:pStyle w:val="TOC3"/>
        <w:ind w:right="-2"/>
        <w:rPr>
          <w:rFonts w:ascii="Times New Roman" w:eastAsiaTheme="minorEastAsia" w:hAnsi="Times New Roman"/>
          <w:sz w:val="24"/>
          <w:szCs w:val="24"/>
          <w:lang w:eastAsia="en-GB" w:bidi="ar-SA"/>
        </w:rPr>
      </w:pPr>
      <w:hyperlink w:anchor="_Toc535827631" w:history="1">
        <w:r w:rsidR="00D35E51" w:rsidRPr="00F06DE2">
          <w:rPr>
            <w:rStyle w:val="Hyperlink"/>
            <w:rFonts w:ascii="Times New Roman" w:hAnsi="Times New Roman"/>
            <w:b w:val="0"/>
            <w:bCs w:val="0"/>
            <w:color w:val="auto"/>
            <w:sz w:val="24"/>
            <w:szCs w:val="24"/>
            <w:u w:val="none"/>
          </w:rPr>
          <w:t>Член 20.05 Такелаж в общия случай</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 xml:space="preserve"> 15</w:t>
        </w:r>
        <w:r w:rsidR="00AE4FF4" w:rsidRPr="00F06DE2">
          <w:rPr>
            <w:rFonts w:ascii="Times New Roman" w:hAnsi="Times New Roman"/>
            <w:sz w:val="24"/>
            <w:szCs w:val="24"/>
            <w:lang w:val="en-US"/>
          </w:rPr>
          <w:t>6</w:t>
        </w:r>
      </w:hyperlink>
    </w:p>
    <w:p w14:paraId="0202EC33" w14:textId="5C79E2DB" w:rsidR="00271FA2" w:rsidRPr="00F06DE2" w:rsidRDefault="002C62EC">
      <w:pPr>
        <w:pStyle w:val="TOC3"/>
        <w:ind w:right="-2"/>
        <w:rPr>
          <w:rFonts w:ascii="Times New Roman" w:eastAsiaTheme="minorEastAsia" w:hAnsi="Times New Roman"/>
          <w:sz w:val="24"/>
          <w:szCs w:val="24"/>
          <w:lang w:eastAsia="en-GB" w:bidi="ar-SA"/>
        </w:rPr>
      </w:pPr>
      <w:hyperlink w:anchor="_Toc535827632" w:history="1">
        <w:r w:rsidR="00D35E51" w:rsidRPr="00F06DE2">
          <w:rPr>
            <w:rStyle w:val="Hyperlink"/>
            <w:rFonts w:ascii="Times New Roman" w:hAnsi="Times New Roman"/>
            <w:b w:val="0"/>
            <w:bCs w:val="0"/>
            <w:color w:val="auto"/>
            <w:sz w:val="24"/>
            <w:szCs w:val="24"/>
            <w:u w:val="none"/>
          </w:rPr>
          <w:t>Член 20.06 Мачти и рангоут в общия случай</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w:t>
        </w:r>
        <w:r w:rsidR="00AE4FF4" w:rsidRPr="00F06DE2">
          <w:rPr>
            <w:rFonts w:ascii="Times New Roman" w:hAnsi="Times New Roman"/>
            <w:sz w:val="24"/>
            <w:szCs w:val="24"/>
            <w:lang w:val="en-US"/>
          </w:rPr>
          <w:t>6</w:t>
        </w:r>
      </w:hyperlink>
    </w:p>
    <w:p w14:paraId="452C1B6C" w14:textId="7C72D43E" w:rsidR="00271FA2" w:rsidRPr="00F06DE2" w:rsidRDefault="002C62EC">
      <w:pPr>
        <w:pStyle w:val="TOC3"/>
        <w:ind w:right="-2"/>
        <w:rPr>
          <w:rFonts w:ascii="Times New Roman" w:eastAsiaTheme="minorEastAsia" w:hAnsi="Times New Roman"/>
          <w:sz w:val="24"/>
          <w:szCs w:val="24"/>
          <w:lang w:eastAsia="en-GB" w:bidi="ar-SA"/>
        </w:rPr>
      </w:pPr>
      <w:hyperlink w:anchor="_Toc535827633" w:history="1">
        <w:r w:rsidR="00D35E51" w:rsidRPr="00F06DE2">
          <w:rPr>
            <w:rStyle w:val="Hyperlink"/>
            <w:rFonts w:ascii="Times New Roman" w:hAnsi="Times New Roman"/>
            <w:b w:val="0"/>
            <w:bCs w:val="0"/>
            <w:color w:val="auto"/>
            <w:sz w:val="24"/>
            <w:szCs w:val="24"/>
            <w:u w:val="none"/>
          </w:rPr>
          <w:t>Член 20.07 Специални разпоредби за мачтите</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w:t>
        </w:r>
        <w:r w:rsidR="00AE4FF4" w:rsidRPr="00F06DE2">
          <w:rPr>
            <w:rFonts w:ascii="Times New Roman" w:hAnsi="Times New Roman"/>
            <w:sz w:val="24"/>
            <w:szCs w:val="24"/>
            <w:lang w:val="en-US"/>
          </w:rPr>
          <w:t>7</w:t>
        </w:r>
      </w:hyperlink>
    </w:p>
    <w:p w14:paraId="4824CF3C" w14:textId="695D2DBA" w:rsidR="00271FA2" w:rsidRPr="00F06DE2" w:rsidRDefault="002C62EC">
      <w:pPr>
        <w:pStyle w:val="TOC3"/>
        <w:ind w:right="-2"/>
        <w:rPr>
          <w:rFonts w:ascii="Times New Roman" w:eastAsiaTheme="minorEastAsia" w:hAnsi="Times New Roman"/>
          <w:sz w:val="24"/>
          <w:szCs w:val="24"/>
          <w:lang w:eastAsia="en-GB" w:bidi="ar-SA"/>
        </w:rPr>
      </w:pPr>
      <w:hyperlink w:anchor="_Toc535827634" w:history="1">
        <w:r w:rsidR="00D35E51" w:rsidRPr="00F06DE2">
          <w:rPr>
            <w:rStyle w:val="Hyperlink"/>
            <w:rFonts w:ascii="Times New Roman" w:hAnsi="Times New Roman"/>
            <w:b w:val="0"/>
            <w:bCs w:val="0"/>
            <w:color w:val="auto"/>
            <w:sz w:val="24"/>
            <w:szCs w:val="24"/>
            <w:u w:val="none"/>
          </w:rPr>
          <w:t>Член 20.08 Специални разпоредби за стенгите</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158</w:t>
        </w:r>
      </w:hyperlink>
    </w:p>
    <w:p w14:paraId="472F08D6" w14:textId="1F0496A8" w:rsidR="00271FA2" w:rsidRPr="00F06DE2" w:rsidRDefault="002C62EC">
      <w:pPr>
        <w:pStyle w:val="TOC3"/>
        <w:ind w:right="-2"/>
        <w:rPr>
          <w:rFonts w:ascii="Times New Roman" w:eastAsiaTheme="minorEastAsia" w:hAnsi="Times New Roman"/>
          <w:sz w:val="24"/>
          <w:szCs w:val="24"/>
          <w:lang w:eastAsia="en-GB" w:bidi="ar-SA"/>
        </w:rPr>
      </w:pPr>
      <w:hyperlink w:anchor="_Toc535827635" w:history="1">
        <w:r w:rsidR="00D35E51" w:rsidRPr="00F06DE2">
          <w:rPr>
            <w:rStyle w:val="Hyperlink"/>
            <w:rFonts w:ascii="Times New Roman" w:hAnsi="Times New Roman"/>
            <w:b w:val="0"/>
            <w:bCs w:val="0"/>
            <w:color w:val="auto"/>
            <w:sz w:val="24"/>
            <w:szCs w:val="24"/>
            <w:u w:val="none"/>
          </w:rPr>
          <w:t>Член 20.09 Специални разпоредби за бушпритите</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159</w:t>
        </w:r>
      </w:hyperlink>
    </w:p>
    <w:p w14:paraId="7272E3FD" w14:textId="5ECB6656" w:rsidR="00271FA2" w:rsidRPr="00F06DE2" w:rsidRDefault="002C62EC">
      <w:pPr>
        <w:pStyle w:val="TOC3"/>
        <w:ind w:right="-2"/>
        <w:rPr>
          <w:rFonts w:ascii="Times New Roman" w:eastAsiaTheme="minorEastAsia" w:hAnsi="Times New Roman"/>
          <w:sz w:val="24"/>
          <w:szCs w:val="24"/>
          <w:lang w:eastAsia="en-GB" w:bidi="ar-SA"/>
        </w:rPr>
      </w:pPr>
      <w:hyperlink w:anchor="_Toc535827636" w:history="1">
        <w:r w:rsidR="00D35E51" w:rsidRPr="00F06DE2">
          <w:rPr>
            <w:rStyle w:val="Hyperlink"/>
            <w:rFonts w:ascii="Times New Roman" w:hAnsi="Times New Roman"/>
            <w:b w:val="0"/>
            <w:bCs w:val="0"/>
            <w:color w:val="auto"/>
            <w:sz w:val="24"/>
            <w:szCs w:val="24"/>
            <w:u w:val="none"/>
          </w:rPr>
          <w:t>Член 20.10 Специални разпоредби относно утлегарите</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w:t>
        </w:r>
        <w:r w:rsidR="00AE4FF4" w:rsidRPr="00F06DE2">
          <w:rPr>
            <w:rFonts w:ascii="Times New Roman" w:hAnsi="Times New Roman"/>
            <w:sz w:val="24"/>
            <w:szCs w:val="24"/>
            <w:lang w:val="en-US"/>
          </w:rPr>
          <w:t>59</w:t>
        </w:r>
      </w:hyperlink>
    </w:p>
    <w:p w14:paraId="3CA1507B" w14:textId="4A63011D" w:rsidR="00271FA2" w:rsidRPr="00F06DE2" w:rsidRDefault="002C62EC">
      <w:pPr>
        <w:pStyle w:val="TOC3"/>
        <w:ind w:right="-2"/>
        <w:rPr>
          <w:rFonts w:ascii="Times New Roman" w:eastAsiaTheme="minorEastAsia" w:hAnsi="Times New Roman"/>
          <w:sz w:val="24"/>
          <w:szCs w:val="24"/>
          <w:lang w:eastAsia="en-GB" w:bidi="ar-SA"/>
        </w:rPr>
      </w:pPr>
      <w:hyperlink w:anchor="_Toc535827637" w:history="1">
        <w:r w:rsidR="00D35E51" w:rsidRPr="00F06DE2">
          <w:rPr>
            <w:rStyle w:val="Hyperlink"/>
            <w:rFonts w:ascii="Times New Roman" w:hAnsi="Times New Roman"/>
            <w:b w:val="0"/>
            <w:bCs w:val="0"/>
            <w:color w:val="auto"/>
            <w:sz w:val="24"/>
            <w:szCs w:val="24"/>
            <w:u w:val="none"/>
          </w:rPr>
          <w:t>Член 20.11 Специални разпоредби относно грот-гиковете</w:t>
        </w:r>
        <w:r w:rsidR="001C5A84">
          <w:rPr>
            <w:rStyle w:val="Hyperlink"/>
            <w:rFonts w:ascii="Times New Roman" w:hAnsi="Times New Roman"/>
            <w:b w:val="0"/>
            <w:bCs w:val="0"/>
            <w:color w:val="auto"/>
            <w:sz w:val="24"/>
            <w:szCs w:val="24"/>
            <w:u w:val="none"/>
          </w:rPr>
          <w:t xml:space="preserve">                                                                          </w:t>
        </w:r>
        <w:r w:rsidR="00305952" w:rsidRPr="00F06DE2">
          <w:rPr>
            <w:rFonts w:ascii="Times New Roman" w:hAnsi="Times New Roman"/>
            <w:sz w:val="24"/>
            <w:szCs w:val="24"/>
            <w:lang w:val="en-US"/>
          </w:rPr>
          <w:t>160</w:t>
        </w:r>
      </w:hyperlink>
    </w:p>
    <w:p w14:paraId="139943FF" w14:textId="3F5B63B9" w:rsidR="00271FA2" w:rsidRPr="00F06DE2" w:rsidRDefault="002C62EC">
      <w:pPr>
        <w:pStyle w:val="TOC3"/>
        <w:ind w:right="-2"/>
        <w:rPr>
          <w:rFonts w:ascii="Times New Roman" w:eastAsiaTheme="minorEastAsia" w:hAnsi="Times New Roman"/>
          <w:sz w:val="24"/>
          <w:szCs w:val="24"/>
          <w:lang w:eastAsia="en-GB" w:bidi="ar-SA"/>
        </w:rPr>
      </w:pPr>
      <w:hyperlink w:anchor="_Toc535827638" w:history="1">
        <w:r w:rsidR="00D35E51" w:rsidRPr="00F06DE2">
          <w:rPr>
            <w:rStyle w:val="Hyperlink"/>
            <w:rFonts w:ascii="Times New Roman" w:hAnsi="Times New Roman"/>
            <w:b w:val="0"/>
            <w:bCs w:val="0"/>
            <w:color w:val="auto"/>
            <w:sz w:val="24"/>
            <w:szCs w:val="24"/>
            <w:u w:val="none"/>
          </w:rPr>
          <w:t>Член 20.12 Специални разпоредби за гафелите</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AE4FF4" w:rsidRPr="00F06DE2">
          <w:rPr>
            <w:rFonts w:ascii="Times New Roman" w:hAnsi="Times New Roman"/>
            <w:sz w:val="24"/>
            <w:szCs w:val="24"/>
            <w:lang w:val="en-US"/>
          </w:rPr>
          <w:t>0</w:t>
        </w:r>
      </w:hyperlink>
    </w:p>
    <w:p w14:paraId="79D241C9" w14:textId="13CBD0A5" w:rsidR="00271FA2" w:rsidRPr="00F06DE2" w:rsidRDefault="002C62EC">
      <w:pPr>
        <w:pStyle w:val="TOC3"/>
        <w:ind w:right="-2"/>
        <w:rPr>
          <w:rFonts w:ascii="Times New Roman" w:eastAsiaTheme="minorEastAsia" w:hAnsi="Times New Roman"/>
          <w:sz w:val="24"/>
          <w:szCs w:val="24"/>
          <w:lang w:eastAsia="en-GB" w:bidi="ar-SA"/>
        </w:rPr>
      </w:pPr>
      <w:hyperlink w:anchor="_Toc535827639" w:history="1">
        <w:r w:rsidR="00D35E51" w:rsidRPr="00F06DE2">
          <w:rPr>
            <w:rStyle w:val="Hyperlink"/>
            <w:rFonts w:ascii="Times New Roman" w:hAnsi="Times New Roman"/>
            <w:b w:val="0"/>
            <w:bCs w:val="0"/>
            <w:color w:val="auto"/>
            <w:sz w:val="24"/>
            <w:szCs w:val="24"/>
            <w:u w:val="none"/>
          </w:rPr>
          <w:t>Член 20.13 Общи разпоредби относно неподвижния и подвижния такелаж</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AE4FF4" w:rsidRPr="00F06DE2">
          <w:rPr>
            <w:rFonts w:ascii="Times New Roman" w:hAnsi="Times New Roman"/>
            <w:sz w:val="24"/>
            <w:szCs w:val="24"/>
            <w:lang w:val="en-US"/>
          </w:rPr>
          <w:t>0</w:t>
        </w:r>
      </w:hyperlink>
    </w:p>
    <w:p w14:paraId="1232A60C" w14:textId="3AA795F7" w:rsidR="00271FA2" w:rsidRPr="00F06DE2" w:rsidRDefault="002C62EC">
      <w:pPr>
        <w:pStyle w:val="TOC3"/>
        <w:ind w:right="-2"/>
        <w:rPr>
          <w:rFonts w:ascii="Times New Roman" w:eastAsiaTheme="minorEastAsia" w:hAnsi="Times New Roman"/>
          <w:sz w:val="24"/>
          <w:szCs w:val="24"/>
          <w:lang w:eastAsia="en-GB" w:bidi="ar-SA"/>
        </w:rPr>
      </w:pPr>
      <w:hyperlink w:anchor="_Toc535827640" w:history="1">
        <w:r w:rsidR="00D35E51" w:rsidRPr="00F06DE2">
          <w:rPr>
            <w:rStyle w:val="Hyperlink"/>
            <w:rFonts w:ascii="Times New Roman" w:hAnsi="Times New Roman"/>
            <w:b w:val="0"/>
            <w:bCs w:val="0"/>
            <w:color w:val="auto"/>
            <w:sz w:val="24"/>
            <w:szCs w:val="24"/>
            <w:u w:val="none"/>
          </w:rPr>
          <w:t>Член 20.14 Специални разпоредби относно неподвижния такелаж</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305952" w:rsidRPr="00F06DE2">
          <w:rPr>
            <w:rFonts w:ascii="Times New Roman" w:hAnsi="Times New Roman"/>
            <w:sz w:val="24"/>
            <w:szCs w:val="24"/>
            <w:lang w:val="en-US"/>
          </w:rPr>
          <w:t>1</w:t>
        </w:r>
      </w:hyperlink>
    </w:p>
    <w:p w14:paraId="3C18CEBC" w14:textId="52F6ABFB" w:rsidR="00271FA2" w:rsidRPr="00F06DE2" w:rsidRDefault="002C62EC">
      <w:pPr>
        <w:pStyle w:val="TOC3"/>
        <w:ind w:right="-2"/>
        <w:rPr>
          <w:rFonts w:ascii="Times New Roman" w:eastAsiaTheme="minorEastAsia" w:hAnsi="Times New Roman"/>
          <w:sz w:val="24"/>
          <w:szCs w:val="24"/>
          <w:lang w:eastAsia="en-GB" w:bidi="ar-SA"/>
        </w:rPr>
      </w:pPr>
      <w:hyperlink w:anchor="_Toc535827641" w:history="1">
        <w:r w:rsidR="00D35E51" w:rsidRPr="00F06DE2">
          <w:rPr>
            <w:rStyle w:val="Hyperlink"/>
            <w:rFonts w:ascii="Times New Roman" w:hAnsi="Times New Roman"/>
            <w:b w:val="0"/>
            <w:bCs w:val="0"/>
            <w:color w:val="auto"/>
            <w:sz w:val="24"/>
            <w:szCs w:val="24"/>
            <w:u w:val="none"/>
          </w:rPr>
          <w:t>Член 20.15 Специални разпоредби относно подвижния такелаж</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AE4FF4" w:rsidRPr="00F06DE2">
          <w:rPr>
            <w:rFonts w:ascii="Times New Roman" w:hAnsi="Times New Roman"/>
            <w:sz w:val="24"/>
            <w:szCs w:val="24"/>
            <w:lang w:val="en-US"/>
          </w:rPr>
          <w:t>2</w:t>
        </w:r>
      </w:hyperlink>
    </w:p>
    <w:p w14:paraId="1EBFDADD" w14:textId="4EEF963D" w:rsidR="00271FA2" w:rsidRPr="00F06DE2" w:rsidRDefault="002C62EC">
      <w:pPr>
        <w:pStyle w:val="TOC3"/>
        <w:ind w:right="-2"/>
        <w:rPr>
          <w:rFonts w:ascii="Times New Roman" w:eastAsiaTheme="minorEastAsia" w:hAnsi="Times New Roman"/>
          <w:sz w:val="24"/>
          <w:szCs w:val="24"/>
          <w:lang w:eastAsia="en-GB" w:bidi="ar-SA"/>
        </w:rPr>
      </w:pPr>
      <w:hyperlink w:anchor="_Toc535827642" w:history="1">
        <w:r w:rsidR="00D35E51" w:rsidRPr="00F06DE2">
          <w:rPr>
            <w:rStyle w:val="Hyperlink"/>
            <w:rFonts w:ascii="Times New Roman" w:hAnsi="Times New Roman"/>
            <w:b w:val="0"/>
            <w:bCs w:val="0"/>
            <w:color w:val="auto"/>
            <w:sz w:val="24"/>
            <w:szCs w:val="24"/>
            <w:u w:val="none"/>
          </w:rPr>
          <w:t>Член 20.16 Арматура и части на такелажа</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AE4FF4" w:rsidRPr="00F06DE2">
          <w:rPr>
            <w:rFonts w:ascii="Times New Roman" w:hAnsi="Times New Roman"/>
            <w:sz w:val="24"/>
            <w:szCs w:val="24"/>
            <w:lang w:val="en-US"/>
          </w:rPr>
          <w:t>4</w:t>
        </w:r>
      </w:hyperlink>
    </w:p>
    <w:p w14:paraId="413C1E96" w14:textId="7D61E91B" w:rsidR="00271FA2" w:rsidRPr="00F06DE2" w:rsidRDefault="002C62EC">
      <w:pPr>
        <w:pStyle w:val="TOC3"/>
        <w:ind w:right="-2"/>
        <w:rPr>
          <w:rFonts w:ascii="Times New Roman" w:eastAsiaTheme="minorEastAsia" w:hAnsi="Times New Roman"/>
          <w:sz w:val="24"/>
          <w:szCs w:val="24"/>
          <w:lang w:eastAsia="en-GB" w:bidi="ar-SA"/>
        </w:rPr>
      </w:pPr>
      <w:hyperlink w:anchor="_Toc535827643" w:history="1">
        <w:r w:rsidR="00D35E51" w:rsidRPr="00F06DE2">
          <w:rPr>
            <w:rStyle w:val="Hyperlink"/>
            <w:rFonts w:ascii="Times New Roman" w:hAnsi="Times New Roman"/>
            <w:b w:val="0"/>
            <w:bCs w:val="0"/>
            <w:color w:val="auto"/>
            <w:sz w:val="24"/>
            <w:szCs w:val="24"/>
            <w:u w:val="none"/>
          </w:rPr>
          <w:t>Член 20.17 Платна</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AE4FF4" w:rsidRPr="00F06DE2">
          <w:rPr>
            <w:rFonts w:ascii="Times New Roman" w:hAnsi="Times New Roman"/>
            <w:sz w:val="24"/>
            <w:szCs w:val="24"/>
            <w:lang w:val="en-US"/>
          </w:rPr>
          <w:t>4</w:t>
        </w:r>
      </w:hyperlink>
    </w:p>
    <w:p w14:paraId="3A6E3337" w14:textId="096477D8" w:rsidR="00271FA2" w:rsidRPr="00F06DE2" w:rsidRDefault="002C62EC">
      <w:pPr>
        <w:pStyle w:val="TOC3"/>
        <w:ind w:right="-2"/>
        <w:rPr>
          <w:rFonts w:ascii="Times New Roman" w:eastAsiaTheme="minorEastAsia" w:hAnsi="Times New Roman"/>
          <w:sz w:val="24"/>
          <w:szCs w:val="24"/>
          <w:lang w:eastAsia="en-GB" w:bidi="ar-SA"/>
        </w:rPr>
      </w:pPr>
      <w:hyperlink w:anchor="_Toc535827644" w:history="1">
        <w:r w:rsidR="00D35E51" w:rsidRPr="00F06DE2">
          <w:rPr>
            <w:rStyle w:val="Hyperlink"/>
            <w:rFonts w:ascii="Times New Roman" w:hAnsi="Times New Roman"/>
            <w:b w:val="0"/>
            <w:bCs w:val="0"/>
            <w:color w:val="auto"/>
            <w:sz w:val="24"/>
            <w:szCs w:val="24"/>
            <w:u w:val="none"/>
          </w:rPr>
          <w:t>Член 20.18 Оборудване</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AE4FF4" w:rsidRPr="00F06DE2">
          <w:rPr>
            <w:rFonts w:ascii="Times New Roman" w:hAnsi="Times New Roman"/>
            <w:sz w:val="24"/>
            <w:szCs w:val="24"/>
            <w:lang w:val="en-US"/>
          </w:rPr>
          <w:t>4</w:t>
        </w:r>
      </w:hyperlink>
    </w:p>
    <w:p w14:paraId="30AF8CD7" w14:textId="00094F22" w:rsidR="00271FA2" w:rsidRPr="00F06DE2" w:rsidRDefault="002C62EC">
      <w:pPr>
        <w:pStyle w:val="TOC3"/>
        <w:ind w:right="-2"/>
        <w:rPr>
          <w:rFonts w:ascii="Times New Roman" w:eastAsiaTheme="minorEastAsia" w:hAnsi="Times New Roman"/>
          <w:sz w:val="24"/>
          <w:szCs w:val="24"/>
          <w:lang w:eastAsia="en-GB" w:bidi="ar-SA"/>
        </w:rPr>
      </w:pPr>
      <w:hyperlink w:anchor="_Toc535827645" w:history="1">
        <w:r w:rsidR="00D35E51" w:rsidRPr="00F06DE2">
          <w:rPr>
            <w:rStyle w:val="Hyperlink"/>
            <w:rFonts w:ascii="Times New Roman" w:hAnsi="Times New Roman"/>
            <w:b w:val="0"/>
            <w:bCs w:val="0"/>
            <w:color w:val="auto"/>
            <w:sz w:val="24"/>
            <w:szCs w:val="24"/>
            <w:u w:val="none"/>
          </w:rPr>
          <w:t>Член 20.19 Изпитване</w:t>
        </w:r>
        <w:r w:rsidR="001C5A8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AE4FF4" w:rsidRPr="00F06DE2">
          <w:rPr>
            <w:rFonts w:ascii="Times New Roman" w:hAnsi="Times New Roman"/>
            <w:sz w:val="24"/>
            <w:szCs w:val="24"/>
            <w:lang w:val="en-US"/>
          </w:rPr>
          <w:t>4</w:t>
        </w:r>
      </w:hyperlink>
    </w:p>
    <w:p w14:paraId="59BACEFF" w14:textId="2493DB9E"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46" w:history="1">
        <w:r w:rsidR="00D35E51" w:rsidRPr="00F06DE2">
          <w:rPr>
            <w:rStyle w:val="Hyperlink"/>
            <w:rFonts w:ascii="Times New Roman" w:hAnsi="Times New Roman"/>
            <w:b w:val="0"/>
            <w:bCs w:val="0"/>
            <w:i/>
            <w:iCs/>
            <w:color w:val="auto"/>
            <w:sz w:val="24"/>
            <w:szCs w:val="24"/>
            <w:u w:val="none"/>
          </w:rPr>
          <w:t>Глава 21 Специални разпоредби, приложими за плавателни средства, предназначени да бъдат част от тласкан или влачен състав от плавателни средства или бордово свързана група</w:t>
        </w:r>
        <w:r w:rsidR="00EB1C4C">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16</w:t>
        </w:r>
        <w:r w:rsidR="00305952" w:rsidRPr="00F06DE2">
          <w:rPr>
            <w:rFonts w:ascii="Times New Roman" w:hAnsi="Times New Roman"/>
            <w:i/>
            <w:iCs/>
            <w:sz w:val="24"/>
            <w:szCs w:val="24"/>
            <w:lang w:val="en-US"/>
          </w:rPr>
          <w:t>6</w:t>
        </w:r>
      </w:hyperlink>
    </w:p>
    <w:p w14:paraId="6EA403FF" w14:textId="24B5C72D" w:rsidR="00271FA2" w:rsidRPr="00F06DE2" w:rsidRDefault="002C62EC">
      <w:pPr>
        <w:pStyle w:val="TOC3"/>
        <w:ind w:right="-2"/>
        <w:rPr>
          <w:rFonts w:ascii="Times New Roman" w:eastAsiaTheme="minorEastAsia" w:hAnsi="Times New Roman"/>
          <w:sz w:val="24"/>
          <w:szCs w:val="24"/>
          <w:lang w:eastAsia="en-GB" w:bidi="ar-SA"/>
        </w:rPr>
      </w:pPr>
      <w:hyperlink w:anchor="_Toc535827647" w:history="1">
        <w:r w:rsidR="00D35E51" w:rsidRPr="00F06DE2">
          <w:rPr>
            <w:rStyle w:val="Hyperlink"/>
            <w:rFonts w:ascii="Times New Roman" w:hAnsi="Times New Roman"/>
            <w:b w:val="0"/>
            <w:bCs w:val="0"/>
            <w:color w:val="auto"/>
            <w:sz w:val="24"/>
            <w:szCs w:val="24"/>
            <w:u w:val="none"/>
          </w:rPr>
          <w:t>Член 21.01 Плавателни средства, пригодни да тласкат</w:t>
        </w:r>
        <w:r w:rsidR="00EB1C4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305952" w:rsidRPr="00F06DE2">
          <w:rPr>
            <w:rFonts w:ascii="Times New Roman" w:hAnsi="Times New Roman"/>
            <w:sz w:val="24"/>
            <w:szCs w:val="24"/>
            <w:lang w:val="en-US"/>
          </w:rPr>
          <w:t>6</w:t>
        </w:r>
      </w:hyperlink>
    </w:p>
    <w:p w14:paraId="253A350A" w14:textId="10E559C7" w:rsidR="00271FA2" w:rsidRPr="00F06DE2" w:rsidRDefault="002C62EC">
      <w:pPr>
        <w:pStyle w:val="TOC3"/>
        <w:ind w:right="-2"/>
        <w:rPr>
          <w:rFonts w:ascii="Times New Roman" w:eastAsiaTheme="minorEastAsia" w:hAnsi="Times New Roman"/>
          <w:sz w:val="24"/>
          <w:szCs w:val="24"/>
          <w:lang w:eastAsia="en-GB" w:bidi="ar-SA"/>
        </w:rPr>
      </w:pPr>
      <w:hyperlink w:anchor="_Toc535827648" w:history="1">
        <w:r w:rsidR="00D35E51" w:rsidRPr="00F06DE2">
          <w:rPr>
            <w:rStyle w:val="Hyperlink"/>
            <w:rFonts w:ascii="Times New Roman" w:hAnsi="Times New Roman"/>
            <w:b w:val="0"/>
            <w:bCs w:val="0"/>
            <w:color w:val="auto"/>
            <w:sz w:val="24"/>
            <w:szCs w:val="24"/>
            <w:u w:val="none"/>
          </w:rPr>
          <w:t>Член 21.02 Плавателни средства, пригодни да бъдат тласкани</w:t>
        </w:r>
        <w:r w:rsidR="00EB1C4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305952" w:rsidRPr="00F06DE2">
          <w:rPr>
            <w:rFonts w:ascii="Times New Roman" w:hAnsi="Times New Roman"/>
            <w:sz w:val="24"/>
            <w:szCs w:val="24"/>
            <w:lang w:val="en-US"/>
          </w:rPr>
          <w:t>6</w:t>
        </w:r>
      </w:hyperlink>
    </w:p>
    <w:p w14:paraId="45118D96" w14:textId="4983EDD2" w:rsidR="00271FA2" w:rsidRPr="00F06DE2" w:rsidRDefault="002C62EC">
      <w:pPr>
        <w:pStyle w:val="TOC3"/>
        <w:ind w:right="-2"/>
        <w:rPr>
          <w:rFonts w:ascii="Times New Roman" w:eastAsiaTheme="minorEastAsia" w:hAnsi="Times New Roman"/>
          <w:sz w:val="24"/>
          <w:szCs w:val="24"/>
          <w:lang w:eastAsia="en-GB" w:bidi="ar-SA"/>
        </w:rPr>
      </w:pPr>
      <w:hyperlink w:anchor="_Toc535827649" w:history="1">
        <w:r w:rsidR="00D35E51" w:rsidRPr="00F06DE2">
          <w:rPr>
            <w:rStyle w:val="Hyperlink"/>
            <w:rFonts w:ascii="Times New Roman" w:hAnsi="Times New Roman"/>
            <w:b w:val="0"/>
            <w:bCs w:val="0"/>
            <w:color w:val="auto"/>
            <w:sz w:val="24"/>
            <w:szCs w:val="24"/>
            <w:u w:val="none"/>
          </w:rPr>
          <w:t>Член 21.03 Плавателни средства, пригодни да задвижват бордово свързани групи</w:t>
        </w:r>
        <w:r w:rsidR="00EB1C4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305952" w:rsidRPr="00F06DE2">
          <w:rPr>
            <w:rFonts w:ascii="Times New Roman" w:hAnsi="Times New Roman"/>
            <w:sz w:val="24"/>
            <w:szCs w:val="24"/>
            <w:lang w:val="en-US"/>
          </w:rPr>
          <w:t>7</w:t>
        </w:r>
      </w:hyperlink>
    </w:p>
    <w:p w14:paraId="4D717BDF" w14:textId="0121D470"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650" w:history="1">
        <w:r w:rsidR="00D35E51" w:rsidRPr="00F06DE2">
          <w:rPr>
            <w:rStyle w:val="Hyperlink"/>
            <w:rFonts w:ascii="Times New Roman" w:hAnsi="Times New Roman"/>
            <w:b w:val="0"/>
            <w:bCs w:val="0"/>
            <w:color w:val="auto"/>
            <w:sz w:val="24"/>
            <w:szCs w:val="24"/>
            <w:u w:val="none"/>
          </w:rPr>
          <w:t>Член 21.04 Плавателни средства, пригодени да бъдат задвижвани като част от състави от плавателни средства</w:t>
        </w:r>
        <w:r w:rsidR="00EB1C4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305952" w:rsidRPr="00F06DE2">
          <w:rPr>
            <w:rFonts w:ascii="Times New Roman" w:hAnsi="Times New Roman"/>
            <w:sz w:val="24"/>
            <w:szCs w:val="24"/>
            <w:lang w:val="en-US"/>
          </w:rPr>
          <w:t>7</w:t>
        </w:r>
      </w:hyperlink>
    </w:p>
    <w:p w14:paraId="15AA05B0" w14:textId="7179A1BA" w:rsidR="00271FA2" w:rsidRPr="00F06DE2" w:rsidRDefault="002C62EC">
      <w:pPr>
        <w:pStyle w:val="TOC3"/>
        <w:ind w:right="-2"/>
        <w:rPr>
          <w:rFonts w:ascii="Times New Roman" w:eastAsiaTheme="minorEastAsia" w:hAnsi="Times New Roman"/>
          <w:sz w:val="24"/>
          <w:szCs w:val="24"/>
          <w:lang w:eastAsia="en-GB" w:bidi="ar-SA"/>
        </w:rPr>
      </w:pPr>
      <w:hyperlink w:anchor="_Toc535827651" w:history="1">
        <w:r w:rsidR="00D35E51" w:rsidRPr="00F06DE2">
          <w:rPr>
            <w:rStyle w:val="Hyperlink"/>
            <w:rFonts w:ascii="Times New Roman" w:hAnsi="Times New Roman"/>
            <w:b w:val="0"/>
            <w:bCs w:val="0"/>
            <w:color w:val="auto"/>
            <w:sz w:val="24"/>
            <w:szCs w:val="24"/>
            <w:u w:val="none"/>
          </w:rPr>
          <w:t>Член 21.05 Плавателни средства, пригодни да бъдат теглени</w:t>
        </w:r>
        <w:r w:rsidR="00EB1C4C">
          <w:rPr>
            <w:rFonts w:ascii="Times New Roman" w:hAnsi="Times New Roman"/>
            <w:sz w:val="24"/>
            <w:szCs w:val="24"/>
          </w:rPr>
          <w:t xml:space="preserve">                                                            </w:t>
        </w:r>
        <w:r w:rsidR="00D35E51" w:rsidRPr="00F06DE2">
          <w:rPr>
            <w:rFonts w:ascii="Times New Roman" w:hAnsi="Times New Roman"/>
            <w:sz w:val="24"/>
            <w:szCs w:val="24"/>
          </w:rPr>
          <w:t>16</w:t>
        </w:r>
        <w:r w:rsidR="00305952" w:rsidRPr="00F06DE2">
          <w:rPr>
            <w:rFonts w:ascii="Times New Roman" w:hAnsi="Times New Roman"/>
            <w:sz w:val="24"/>
            <w:szCs w:val="24"/>
            <w:lang w:val="en-US"/>
          </w:rPr>
          <w:t>7</w:t>
        </w:r>
      </w:hyperlink>
    </w:p>
    <w:p w14:paraId="36A8E517" w14:textId="6D0A8522" w:rsidR="00271FA2" w:rsidRPr="00F06DE2" w:rsidRDefault="002C62EC">
      <w:pPr>
        <w:pStyle w:val="TOC3"/>
        <w:ind w:right="-2"/>
        <w:rPr>
          <w:rFonts w:ascii="Times New Roman" w:eastAsiaTheme="minorEastAsia" w:hAnsi="Times New Roman"/>
          <w:sz w:val="24"/>
          <w:szCs w:val="24"/>
          <w:lang w:eastAsia="en-GB" w:bidi="ar-SA"/>
        </w:rPr>
      </w:pPr>
      <w:hyperlink w:anchor="_Toc535827652" w:history="1">
        <w:r w:rsidR="00D35E51" w:rsidRPr="00F06DE2">
          <w:rPr>
            <w:rStyle w:val="Hyperlink"/>
            <w:rFonts w:ascii="Times New Roman" w:hAnsi="Times New Roman"/>
            <w:b w:val="0"/>
            <w:bCs w:val="0"/>
            <w:color w:val="auto"/>
            <w:sz w:val="24"/>
            <w:szCs w:val="24"/>
            <w:u w:val="none"/>
          </w:rPr>
          <w:t>Член 21.06 Ходови изпитвания на състави от плавателни средства</w:t>
        </w:r>
        <w:r w:rsidR="00EA04D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305952" w:rsidRPr="00F06DE2">
          <w:rPr>
            <w:rFonts w:ascii="Times New Roman" w:hAnsi="Times New Roman"/>
            <w:sz w:val="24"/>
            <w:szCs w:val="24"/>
            <w:lang w:val="en-US"/>
          </w:rPr>
          <w:t>7</w:t>
        </w:r>
      </w:hyperlink>
    </w:p>
    <w:p w14:paraId="08696705" w14:textId="3A81F7E3"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653" w:history="1">
        <w:r w:rsidR="00D35E51" w:rsidRPr="00F06DE2">
          <w:rPr>
            <w:rStyle w:val="Hyperlink"/>
            <w:rFonts w:ascii="Times New Roman" w:hAnsi="Times New Roman"/>
            <w:b w:val="0"/>
            <w:bCs w:val="0"/>
            <w:color w:val="auto"/>
            <w:sz w:val="24"/>
            <w:szCs w:val="24"/>
            <w:u w:val="none"/>
          </w:rPr>
          <w:t>Член 21.07 Вписвания в</w:t>
        </w:r>
        <w:r w:rsidR="00D35E51" w:rsidRPr="00F06DE2">
          <w:rPr>
            <w:rFonts w:ascii="Times New Roman" w:hAnsi="Times New Roman"/>
            <w:sz w:val="24"/>
            <w:szCs w:val="24"/>
          </w:rPr>
          <w:t xml:space="preserve"> </w:t>
        </w:r>
        <w:r w:rsidR="00D35E51" w:rsidRPr="00F06DE2">
          <w:rPr>
            <w:rStyle w:val="Hyperlink"/>
            <w:rFonts w:ascii="Times New Roman" w:hAnsi="Times New Roman"/>
            <w:b w:val="0"/>
            <w:bCs w:val="0"/>
            <w:color w:val="auto"/>
            <w:sz w:val="24"/>
            <w:szCs w:val="24"/>
            <w:u w:val="none"/>
          </w:rPr>
          <w:t>Корабното удостоверение за вътрешно корабоплаване</w:t>
        </w:r>
        <w:r w:rsidR="00EA04D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16</w:t>
        </w:r>
        <w:r w:rsidR="00305952" w:rsidRPr="00F06DE2">
          <w:rPr>
            <w:rFonts w:ascii="Times New Roman" w:hAnsi="Times New Roman"/>
            <w:sz w:val="24"/>
            <w:szCs w:val="24"/>
            <w:lang w:val="en-US"/>
          </w:rPr>
          <w:t>8</w:t>
        </w:r>
      </w:hyperlink>
    </w:p>
    <w:p w14:paraId="4EA1DF1E" w14:textId="19AD5736"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54" w:history="1">
        <w:r w:rsidR="00D35E51" w:rsidRPr="00F06DE2">
          <w:rPr>
            <w:rStyle w:val="Hyperlink"/>
            <w:rFonts w:ascii="Times New Roman" w:hAnsi="Times New Roman"/>
            <w:b w:val="0"/>
            <w:bCs w:val="0"/>
            <w:i/>
            <w:iCs/>
            <w:color w:val="auto"/>
            <w:sz w:val="24"/>
            <w:szCs w:val="24"/>
            <w:u w:val="none"/>
          </w:rPr>
          <w:t>Глава 22 Специални разпоредби, приложими за плаващи съоръжения</w:t>
        </w:r>
        <w:r w:rsidR="00EA04D8">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w:t>
        </w:r>
        <w:r w:rsidR="00305952" w:rsidRPr="00F06DE2">
          <w:rPr>
            <w:rFonts w:ascii="Times New Roman" w:hAnsi="Times New Roman"/>
            <w:i/>
            <w:iCs/>
            <w:sz w:val="24"/>
            <w:szCs w:val="24"/>
            <w:lang w:val="en-US"/>
          </w:rPr>
          <w:t>69</w:t>
        </w:r>
      </w:hyperlink>
    </w:p>
    <w:p w14:paraId="32F9537F" w14:textId="175027A3" w:rsidR="00271FA2" w:rsidRPr="00F06DE2" w:rsidRDefault="002C62EC">
      <w:pPr>
        <w:pStyle w:val="TOC3"/>
        <w:ind w:right="-2"/>
        <w:rPr>
          <w:rFonts w:ascii="Times New Roman" w:eastAsiaTheme="minorEastAsia" w:hAnsi="Times New Roman"/>
          <w:sz w:val="24"/>
          <w:szCs w:val="24"/>
          <w:lang w:eastAsia="en-GB" w:bidi="ar-SA"/>
        </w:rPr>
      </w:pPr>
      <w:hyperlink w:anchor="_Toc535827655" w:history="1">
        <w:r w:rsidR="00D35E51" w:rsidRPr="00F06DE2">
          <w:rPr>
            <w:rStyle w:val="Hyperlink"/>
            <w:rFonts w:ascii="Times New Roman" w:hAnsi="Times New Roman"/>
            <w:b w:val="0"/>
            <w:bCs w:val="0"/>
            <w:color w:val="auto"/>
            <w:sz w:val="24"/>
            <w:szCs w:val="24"/>
            <w:u w:val="none"/>
          </w:rPr>
          <w:t>Член 22.01 Общи положения</w:t>
        </w:r>
        <w:r w:rsidR="00EA04D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w:t>
        </w:r>
        <w:r w:rsidR="00305952" w:rsidRPr="00F06DE2">
          <w:rPr>
            <w:rFonts w:ascii="Times New Roman" w:hAnsi="Times New Roman"/>
            <w:sz w:val="24"/>
            <w:szCs w:val="24"/>
            <w:lang w:val="en-US"/>
          </w:rPr>
          <w:t>69</w:t>
        </w:r>
      </w:hyperlink>
    </w:p>
    <w:p w14:paraId="2205018F" w14:textId="790D5E7F" w:rsidR="00271FA2" w:rsidRPr="00F06DE2" w:rsidRDefault="002C62EC">
      <w:pPr>
        <w:pStyle w:val="TOC3"/>
        <w:ind w:right="-2"/>
        <w:rPr>
          <w:rFonts w:ascii="Times New Roman" w:eastAsiaTheme="minorEastAsia" w:hAnsi="Times New Roman"/>
          <w:sz w:val="24"/>
          <w:szCs w:val="24"/>
          <w:lang w:eastAsia="en-GB" w:bidi="ar-SA"/>
        </w:rPr>
      </w:pPr>
      <w:hyperlink w:anchor="_Toc535827656" w:history="1">
        <w:r w:rsidR="00D35E51" w:rsidRPr="00F06DE2">
          <w:rPr>
            <w:rStyle w:val="Hyperlink"/>
            <w:rFonts w:ascii="Times New Roman" w:hAnsi="Times New Roman"/>
            <w:b w:val="0"/>
            <w:bCs w:val="0"/>
            <w:color w:val="auto"/>
            <w:sz w:val="24"/>
            <w:szCs w:val="24"/>
            <w:u w:val="none"/>
          </w:rPr>
          <w:t>Член 22.02 Изключения</w:t>
        </w:r>
        <w:r w:rsidR="00EA04D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w:t>
        </w:r>
        <w:r w:rsidR="00305952" w:rsidRPr="00F06DE2">
          <w:rPr>
            <w:rFonts w:ascii="Times New Roman" w:hAnsi="Times New Roman"/>
            <w:sz w:val="24"/>
            <w:szCs w:val="24"/>
            <w:lang w:val="en-US"/>
          </w:rPr>
          <w:t>69</w:t>
        </w:r>
      </w:hyperlink>
    </w:p>
    <w:p w14:paraId="35199D4C" w14:textId="3F3F7A7A" w:rsidR="00271FA2" w:rsidRPr="00F06DE2" w:rsidRDefault="002C62EC">
      <w:pPr>
        <w:pStyle w:val="TOC3"/>
        <w:ind w:right="-2"/>
        <w:rPr>
          <w:rFonts w:ascii="Times New Roman" w:eastAsiaTheme="minorEastAsia" w:hAnsi="Times New Roman"/>
          <w:sz w:val="24"/>
          <w:szCs w:val="24"/>
          <w:lang w:eastAsia="en-GB" w:bidi="ar-SA"/>
        </w:rPr>
      </w:pPr>
      <w:hyperlink w:anchor="_Toc535827657" w:history="1">
        <w:r w:rsidR="00D35E51" w:rsidRPr="00F06DE2">
          <w:rPr>
            <w:rStyle w:val="Hyperlink"/>
            <w:rFonts w:ascii="Times New Roman" w:hAnsi="Times New Roman"/>
            <w:b w:val="0"/>
            <w:bCs w:val="0"/>
            <w:color w:val="auto"/>
            <w:sz w:val="24"/>
            <w:szCs w:val="24"/>
            <w:u w:val="none"/>
          </w:rPr>
          <w:t>Член 22.03 Допълнителни изисквания</w:t>
        </w:r>
        <w:r w:rsidR="00EA04D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w:t>
        </w:r>
        <w:r w:rsidR="00305952" w:rsidRPr="00F06DE2">
          <w:rPr>
            <w:rFonts w:ascii="Times New Roman" w:hAnsi="Times New Roman"/>
            <w:sz w:val="24"/>
            <w:szCs w:val="24"/>
            <w:lang w:val="en-US"/>
          </w:rPr>
          <w:t>69</w:t>
        </w:r>
      </w:hyperlink>
    </w:p>
    <w:p w14:paraId="32B437FD" w14:textId="223CE4B6" w:rsidR="00271FA2" w:rsidRPr="00F06DE2" w:rsidRDefault="002C62EC">
      <w:pPr>
        <w:pStyle w:val="TOC3"/>
        <w:ind w:right="-2"/>
        <w:rPr>
          <w:rFonts w:ascii="Times New Roman" w:eastAsiaTheme="minorEastAsia" w:hAnsi="Times New Roman"/>
          <w:sz w:val="24"/>
          <w:szCs w:val="24"/>
          <w:lang w:eastAsia="en-GB" w:bidi="ar-SA"/>
        </w:rPr>
      </w:pPr>
      <w:hyperlink w:anchor="_Toc535827658" w:history="1">
        <w:r w:rsidR="00D35E51" w:rsidRPr="00F06DE2">
          <w:rPr>
            <w:rStyle w:val="Hyperlink"/>
            <w:rFonts w:ascii="Times New Roman" w:hAnsi="Times New Roman"/>
            <w:b w:val="0"/>
            <w:bCs w:val="0"/>
            <w:color w:val="auto"/>
            <w:sz w:val="24"/>
            <w:szCs w:val="24"/>
            <w:u w:val="none"/>
          </w:rPr>
          <w:t>Член 22.04 Остатъчно безопасно разстояние</w:t>
        </w:r>
        <w:r w:rsidR="00EA04D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0</w:t>
        </w:r>
      </w:hyperlink>
    </w:p>
    <w:p w14:paraId="46D4B469" w14:textId="5E8D862B" w:rsidR="00271FA2" w:rsidRPr="00F06DE2" w:rsidRDefault="002C62EC">
      <w:pPr>
        <w:pStyle w:val="TOC3"/>
        <w:ind w:right="-2"/>
        <w:rPr>
          <w:rFonts w:ascii="Times New Roman" w:eastAsiaTheme="minorEastAsia" w:hAnsi="Times New Roman"/>
          <w:sz w:val="24"/>
          <w:szCs w:val="24"/>
          <w:lang w:eastAsia="en-GB" w:bidi="ar-SA"/>
        </w:rPr>
      </w:pPr>
      <w:hyperlink w:anchor="_Toc535827659" w:history="1">
        <w:r w:rsidR="00D35E51" w:rsidRPr="00F06DE2">
          <w:rPr>
            <w:rStyle w:val="Hyperlink"/>
            <w:rFonts w:ascii="Times New Roman" w:hAnsi="Times New Roman"/>
            <w:b w:val="0"/>
            <w:bCs w:val="0"/>
            <w:color w:val="auto"/>
            <w:sz w:val="24"/>
            <w:szCs w:val="24"/>
            <w:u w:val="none"/>
          </w:rPr>
          <w:t>Член 22.05 Остатъчен надводен борд</w:t>
        </w:r>
        <w:r w:rsidR="00EA04D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0</w:t>
        </w:r>
      </w:hyperlink>
    </w:p>
    <w:p w14:paraId="6919EF44" w14:textId="7BF8D921" w:rsidR="00271FA2" w:rsidRPr="00F06DE2" w:rsidRDefault="002C62EC">
      <w:pPr>
        <w:pStyle w:val="TOC3"/>
        <w:ind w:right="-2"/>
        <w:rPr>
          <w:rFonts w:ascii="Times New Roman" w:eastAsiaTheme="minorEastAsia" w:hAnsi="Times New Roman"/>
          <w:sz w:val="24"/>
          <w:szCs w:val="24"/>
          <w:lang w:eastAsia="en-GB" w:bidi="ar-SA"/>
        </w:rPr>
      </w:pPr>
      <w:hyperlink w:anchor="_Toc535827660" w:history="1">
        <w:r w:rsidR="00D35E51" w:rsidRPr="00F06DE2">
          <w:rPr>
            <w:rStyle w:val="Hyperlink"/>
            <w:rFonts w:ascii="Times New Roman" w:hAnsi="Times New Roman"/>
            <w:b w:val="0"/>
            <w:bCs w:val="0"/>
            <w:color w:val="auto"/>
            <w:sz w:val="24"/>
            <w:szCs w:val="24"/>
            <w:u w:val="none"/>
          </w:rPr>
          <w:t>Член 22.06 Изпитване за накреняване</w:t>
        </w:r>
        <w:r w:rsidR="001E5F8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1</w:t>
        </w:r>
      </w:hyperlink>
    </w:p>
    <w:p w14:paraId="22FCFCB7" w14:textId="10FFA156" w:rsidR="00271FA2" w:rsidRPr="00F06DE2" w:rsidRDefault="002C62EC">
      <w:pPr>
        <w:pStyle w:val="TOC3"/>
        <w:ind w:right="-2"/>
        <w:rPr>
          <w:rFonts w:ascii="Times New Roman" w:eastAsiaTheme="minorEastAsia" w:hAnsi="Times New Roman"/>
          <w:sz w:val="24"/>
          <w:szCs w:val="24"/>
          <w:lang w:eastAsia="en-GB" w:bidi="ar-SA"/>
        </w:rPr>
      </w:pPr>
      <w:hyperlink w:anchor="_Toc535827661" w:history="1">
        <w:r w:rsidR="00D35E51" w:rsidRPr="00F06DE2">
          <w:rPr>
            <w:rStyle w:val="Hyperlink"/>
            <w:rFonts w:ascii="Times New Roman" w:hAnsi="Times New Roman"/>
            <w:b w:val="0"/>
            <w:bCs w:val="0"/>
            <w:color w:val="auto"/>
            <w:sz w:val="24"/>
            <w:szCs w:val="24"/>
            <w:u w:val="none"/>
          </w:rPr>
          <w:t>Член 22.07 Потвърждаване на устойчивостта</w:t>
        </w:r>
        <w:r w:rsidR="001E5F8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1</w:t>
        </w:r>
      </w:hyperlink>
    </w:p>
    <w:p w14:paraId="5E77B95E" w14:textId="5F7679E2" w:rsidR="00271FA2" w:rsidRPr="00F06DE2" w:rsidRDefault="002C62EC" w:rsidP="00D40937">
      <w:pPr>
        <w:pStyle w:val="TOC3"/>
        <w:ind w:left="0" w:right="-2" w:firstLine="0"/>
        <w:rPr>
          <w:rFonts w:ascii="Times New Roman" w:eastAsiaTheme="minorEastAsia" w:hAnsi="Times New Roman"/>
          <w:sz w:val="24"/>
          <w:szCs w:val="24"/>
          <w:lang w:eastAsia="en-GB" w:bidi="ar-SA"/>
        </w:rPr>
      </w:pPr>
      <w:hyperlink w:anchor="_Toc535827662" w:history="1">
        <w:r w:rsidR="00D35E51" w:rsidRPr="00F06DE2">
          <w:rPr>
            <w:rStyle w:val="Hyperlink"/>
            <w:rFonts w:ascii="Times New Roman" w:hAnsi="Times New Roman"/>
            <w:b w:val="0"/>
            <w:bCs w:val="0"/>
            <w:color w:val="auto"/>
            <w:sz w:val="24"/>
            <w:szCs w:val="24"/>
            <w:u w:val="none"/>
          </w:rPr>
          <w:t>Член 22.08 Потвърждаване на устойчивостта при намален остатъчен надводен борд</w:t>
        </w:r>
        <w:r w:rsidR="001E5F8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3</w:t>
        </w:r>
      </w:hyperlink>
    </w:p>
    <w:p w14:paraId="320F3087" w14:textId="1EA75477" w:rsidR="00271FA2" w:rsidRPr="00F06DE2" w:rsidRDefault="002C62EC">
      <w:pPr>
        <w:pStyle w:val="TOC3"/>
        <w:ind w:right="-2"/>
        <w:rPr>
          <w:rFonts w:ascii="Times New Roman" w:eastAsiaTheme="minorEastAsia" w:hAnsi="Times New Roman"/>
          <w:sz w:val="24"/>
          <w:szCs w:val="24"/>
          <w:lang w:eastAsia="en-GB" w:bidi="ar-SA"/>
        </w:rPr>
      </w:pPr>
      <w:hyperlink w:anchor="_Toc535827663" w:history="1">
        <w:r w:rsidR="00D35E51" w:rsidRPr="00F06DE2">
          <w:rPr>
            <w:rStyle w:val="Hyperlink"/>
            <w:rFonts w:ascii="Times New Roman" w:hAnsi="Times New Roman"/>
            <w:b w:val="0"/>
            <w:bCs w:val="0"/>
            <w:color w:val="auto"/>
            <w:sz w:val="24"/>
            <w:szCs w:val="24"/>
            <w:u w:val="none"/>
          </w:rPr>
          <w:t>Член 22.09 Марки и скали на газене</w:t>
        </w:r>
        <w:r w:rsidR="001E5F8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4</w:t>
        </w:r>
      </w:hyperlink>
    </w:p>
    <w:p w14:paraId="0BC57BAB" w14:textId="444D07FE" w:rsidR="00271FA2" w:rsidRPr="00F06DE2" w:rsidRDefault="002C62EC">
      <w:pPr>
        <w:pStyle w:val="TOC3"/>
        <w:ind w:right="-2"/>
        <w:rPr>
          <w:rFonts w:ascii="Times New Roman" w:eastAsiaTheme="minorEastAsia" w:hAnsi="Times New Roman"/>
          <w:sz w:val="24"/>
          <w:szCs w:val="24"/>
          <w:lang w:eastAsia="en-GB" w:bidi="ar-SA"/>
        </w:rPr>
      </w:pPr>
      <w:hyperlink w:anchor="_Toc535827664" w:history="1">
        <w:r w:rsidR="00D35E51" w:rsidRPr="00F06DE2">
          <w:rPr>
            <w:rStyle w:val="Hyperlink"/>
            <w:rFonts w:ascii="Times New Roman" w:hAnsi="Times New Roman"/>
            <w:b w:val="0"/>
            <w:bCs w:val="0"/>
            <w:color w:val="auto"/>
            <w:sz w:val="24"/>
            <w:szCs w:val="24"/>
            <w:u w:val="none"/>
          </w:rPr>
          <w:t>Член 22.10 Плаващи съоръжения без потвърждение за устойчивост</w:t>
        </w:r>
        <w:r w:rsidR="001E5F8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4</w:t>
        </w:r>
      </w:hyperlink>
    </w:p>
    <w:p w14:paraId="322613AF" w14:textId="45AF0BA7"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65" w:history="1">
        <w:r w:rsidR="00D35E51" w:rsidRPr="00F06DE2">
          <w:rPr>
            <w:rStyle w:val="Hyperlink"/>
            <w:rFonts w:ascii="Times New Roman" w:hAnsi="Times New Roman"/>
            <w:b w:val="0"/>
            <w:bCs w:val="0"/>
            <w:i/>
            <w:iCs/>
            <w:color w:val="auto"/>
            <w:sz w:val="24"/>
            <w:szCs w:val="24"/>
            <w:u w:val="none"/>
          </w:rPr>
          <w:t>Глава 23 Специални разпоредби, приложими за плавателни работни средства</w:t>
        </w:r>
        <w:r w:rsidR="001E5F8C">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17</w:t>
        </w:r>
        <w:r w:rsidR="00305952" w:rsidRPr="00F06DE2">
          <w:rPr>
            <w:rFonts w:ascii="Times New Roman" w:hAnsi="Times New Roman"/>
            <w:i/>
            <w:iCs/>
            <w:sz w:val="24"/>
            <w:szCs w:val="24"/>
            <w:lang w:val="en-US"/>
          </w:rPr>
          <w:t>5</w:t>
        </w:r>
      </w:hyperlink>
    </w:p>
    <w:p w14:paraId="79CDDBC4" w14:textId="3C699EA4" w:rsidR="00271FA2" w:rsidRPr="00F06DE2" w:rsidRDefault="002C62EC">
      <w:pPr>
        <w:pStyle w:val="TOC3"/>
        <w:ind w:right="-2"/>
        <w:rPr>
          <w:rFonts w:ascii="Times New Roman" w:eastAsiaTheme="minorEastAsia" w:hAnsi="Times New Roman"/>
          <w:sz w:val="24"/>
          <w:szCs w:val="24"/>
          <w:lang w:eastAsia="en-GB" w:bidi="ar-SA"/>
        </w:rPr>
      </w:pPr>
      <w:hyperlink w:anchor="_Toc535827666" w:history="1">
        <w:r w:rsidR="00D35E51" w:rsidRPr="00F06DE2">
          <w:rPr>
            <w:rStyle w:val="Hyperlink"/>
            <w:rFonts w:ascii="Times New Roman" w:hAnsi="Times New Roman"/>
            <w:b w:val="0"/>
            <w:bCs w:val="0"/>
            <w:color w:val="auto"/>
            <w:sz w:val="24"/>
            <w:szCs w:val="24"/>
            <w:u w:val="none"/>
          </w:rPr>
          <w:t>Член 23.01 Условия за експлоатация</w:t>
        </w:r>
        <w:r w:rsidR="001E5F8C">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5</w:t>
        </w:r>
      </w:hyperlink>
    </w:p>
    <w:p w14:paraId="6974DB12" w14:textId="248C7224" w:rsidR="00271FA2" w:rsidRPr="00F06DE2" w:rsidRDefault="002C62EC">
      <w:pPr>
        <w:pStyle w:val="TOC3"/>
        <w:ind w:right="-2"/>
        <w:rPr>
          <w:rFonts w:ascii="Times New Roman" w:eastAsiaTheme="minorEastAsia" w:hAnsi="Times New Roman"/>
          <w:sz w:val="24"/>
          <w:szCs w:val="24"/>
          <w:lang w:eastAsia="en-GB" w:bidi="ar-SA"/>
        </w:rPr>
      </w:pPr>
      <w:hyperlink w:anchor="_Toc535827667" w:history="1">
        <w:r w:rsidR="00D35E51" w:rsidRPr="00F06DE2">
          <w:rPr>
            <w:rStyle w:val="Hyperlink"/>
            <w:rFonts w:ascii="Times New Roman" w:hAnsi="Times New Roman"/>
            <w:b w:val="0"/>
            <w:bCs w:val="0"/>
            <w:color w:val="auto"/>
            <w:sz w:val="24"/>
            <w:szCs w:val="24"/>
            <w:u w:val="none"/>
          </w:rPr>
          <w:t>Член 23.02 Прилагане на част II</w:t>
        </w:r>
        <w:r w:rsidR="00CF175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5</w:t>
        </w:r>
      </w:hyperlink>
    </w:p>
    <w:p w14:paraId="43053EE5" w14:textId="3F2E92D8" w:rsidR="00271FA2" w:rsidRPr="00F06DE2" w:rsidRDefault="002C62EC">
      <w:pPr>
        <w:pStyle w:val="TOC3"/>
        <w:ind w:right="-2"/>
        <w:rPr>
          <w:rFonts w:ascii="Times New Roman" w:eastAsiaTheme="minorEastAsia" w:hAnsi="Times New Roman"/>
          <w:sz w:val="24"/>
          <w:szCs w:val="24"/>
          <w:lang w:eastAsia="en-GB" w:bidi="ar-SA"/>
        </w:rPr>
      </w:pPr>
      <w:hyperlink w:anchor="_Toc535827668" w:history="1">
        <w:r w:rsidR="00D35E51" w:rsidRPr="00F06DE2">
          <w:rPr>
            <w:rStyle w:val="Hyperlink"/>
            <w:rFonts w:ascii="Times New Roman" w:hAnsi="Times New Roman"/>
            <w:b w:val="0"/>
            <w:bCs w:val="0"/>
            <w:color w:val="auto"/>
            <w:sz w:val="24"/>
            <w:szCs w:val="24"/>
            <w:u w:val="none"/>
          </w:rPr>
          <w:t>Член 23.03 Изключения</w:t>
        </w:r>
        <w:r w:rsidR="00CF175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5</w:t>
        </w:r>
      </w:hyperlink>
    </w:p>
    <w:p w14:paraId="3B4AAC9C" w14:textId="1E1C2C42" w:rsidR="00271FA2" w:rsidRPr="00F06DE2" w:rsidRDefault="002C62EC">
      <w:pPr>
        <w:pStyle w:val="TOC3"/>
        <w:ind w:right="-2"/>
        <w:rPr>
          <w:rFonts w:ascii="Times New Roman" w:eastAsiaTheme="minorEastAsia" w:hAnsi="Times New Roman"/>
          <w:sz w:val="24"/>
          <w:szCs w:val="24"/>
          <w:lang w:eastAsia="en-GB" w:bidi="ar-SA"/>
        </w:rPr>
      </w:pPr>
      <w:hyperlink w:anchor="_Toc535827669" w:history="1">
        <w:r w:rsidR="00D35E51" w:rsidRPr="00F06DE2">
          <w:rPr>
            <w:rStyle w:val="Hyperlink"/>
            <w:rFonts w:ascii="Times New Roman" w:hAnsi="Times New Roman"/>
            <w:b w:val="0"/>
            <w:bCs w:val="0"/>
            <w:color w:val="auto"/>
            <w:sz w:val="24"/>
            <w:szCs w:val="24"/>
            <w:u w:val="none"/>
          </w:rPr>
          <w:t>Член 23.04 Безопасно разстояние и надводен борд</w:t>
        </w:r>
        <w:r w:rsidR="00CF175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5</w:t>
        </w:r>
      </w:hyperlink>
    </w:p>
    <w:p w14:paraId="3ACCB935" w14:textId="14E9B1B1" w:rsidR="00271FA2" w:rsidRPr="00F06DE2" w:rsidRDefault="002C62EC">
      <w:pPr>
        <w:pStyle w:val="TOC3"/>
        <w:ind w:right="-2"/>
        <w:rPr>
          <w:rFonts w:ascii="Times New Roman" w:eastAsiaTheme="minorEastAsia" w:hAnsi="Times New Roman"/>
          <w:sz w:val="24"/>
          <w:szCs w:val="24"/>
          <w:lang w:eastAsia="en-GB" w:bidi="ar-SA"/>
        </w:rPr>
      </w:pPr>
      <w:hyperlink w:anchor="_Toc535827670" w:history="1">
        <w:r w:rsidR="00D35E51" w:rsidRPr="00F06DE2">
          <w:rPr>
            <w:rStyle w:val="Hyperlink"/>
            <w:rFonts w:ascii="Times New Roman" w:hAnsi="Times New Roman"/>
            <w:b w:val="0"/>
            <w:bCs w:val="0"/>
            <w:color w:val="auto"/>
            <w:sz w:val="24"/>
            <w:szCs w:val="24"/>
            <w:u w:val="none"/>
          </w:rPr>
          <w:t>Член 23.05 Корабни лодки</w:t>
        </w:r>
        <w:r w:rsidR="00CF175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6</w:t>
        </w:r>
      </w:hyperlink>
    </w:p>
    <w:p w14:paraId="5AEA0C9B" w14:textId="25ECEA62"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71" w:history="1">
        <w:r w:rsidR="00D35E51" w:rsidRPr="00F06DE2">
          <w:rPr>
            <w:rStyle w:val="Hyperlink"/>
            <w:rFonts w:ascii="Times New Roman" w:hAnsi="Times New Roman"/>
            <w:b w:val="0"/>
            <w:bCs w:val="0"/>
            <w:i/>
            <w:iCs/>
            <w:color w:val="auto"/>
            <w:sz w:val="24"/>
            <w:szCs w:val="24"/>
            <w:u w:val="none"/>
          </w:rPr>
          <w:t>Глава 24 Специални разпоредби, приложими за традиционни плавателни средства</w:t>
        </w:r>
        <w:r w:rsidR="00CF1758">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17</w:t>
        </w:r>
        <w:r w:rsidR="00305952" w:rsidRPr="00F06DE2">
          <w:rPr>
            <w:rFonts w:ascii="Times New Roman" w:hAnsi="Times New Roman"/>
            <w:i/>
            <w:iCs/>
            <w:sz w:val="24"/>
            <w:szCs w:val="24"/>
            <w:lang w:val="en-US"/>
          </w:rPr>
          <w:t>7</w:t>
        </w:r>
      </w:hyperlink>
    </w:p>
    <w:p w14:paraId="5FF274CB" w14:textId="4DD31B66" w:rsidR="00271FA2" w:rsidRPr="00F06DE2" w:rsidRDefault="002C62EC">
      <w:pPr>
        <w:pStyle w:val="TOC3"/>
        <w:ind w:right="-2"/>
        <w:rPr>
          <w:rFonts w:ascii="Times New Roman" w:eastAsiaTheme="minorEastAsia" w:hAnsi="Times New Roman"/>
          <w:sz w:val="24"/>
          <w:szCs w:val="24"/>
          <w:lang w:eastAsia="en-GB" w:bidi="ar-SA"/>
        </w:rPr>
      </w:pPr>
      <w:hyperlink w:anchor="_Toc535827672" w:history="1">
        <w:r w:rsidR="00D35E51" w:rsidRPr="00F06DE2">
          <w:rPr>
            <w:rStyle w:val="Hyperlink"/>
            <w:rFonts w:ascii="Times New Roman" w:hAnsi="Times New Roman"/>
            <w:b w:val="0"/>
            <w:bCs w:val="0"/>
            <w:color w:val="auto"/>
            <w:sz w:val="24"/>
            <w:szCs w:val="24"/>
            <w:u w:val="none"/>
          </w:rPr>
          <w:t>Член 24.01 Прилагане на части II и III</w:t>
        </w:r>
        <w:r w:rsidR="00CF1758">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17</w:t>
        </w:r>
        <w:r w:rsidR="00305952" w:rsidRPr="00F06DE2">
          <w:rPr>
            <w:rFonts w:ascii="Times New Roman" w:hAnsi="Times New Roman"/>
            <w:sz w:val="24"/>
            <w:szCs w:val="24"/>
            <w:lang w:val="en-US"/>
          </w:rPr>
          <w:t>7</w:t>
        </w:r>
      </w:hyperlink>
    </w:p>
    <w:p w14:paraId="73776B75" w14:textId="655D6984"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673" w:history="1">
        <w:r w:rsidR="00D35E51" w:rsidRPr="00F06DE2">
          <w:rPr>
            <w:rStyle w:val="Hyperlink"/>
            <w:rFonts w:ascii="Times New Roman" w:hAnsi="Times New Roman"/>
            <w:b w:val="0"/>
            <w:bCs w:val="0"/>
            <w:color w:val="auto"/>
            <w:sz w:val="24"/>
            <w:szCs w:val="24"/>
            <w:u w:val="none"/>
          </w:rPr>
          <w:t>Член 24.02 Признаване и вписване в Корабното удостоверение за вътрешно</w:t>
        </w:r>
        <w:r w:rsidR="00D35E51" w:rsidRPr="00F06DE2">
          <w:rPr>
            <w:rFonts w:ascii="Times New Roman" w:hAnsi="Times New Roman"/>
            <w:sz w:val="24"/>
            <w:szCs w:val="24"/>
          </w:rPr>
          <w:tab/>
        </w:r>
        <w:r w:rsidR="006E72F1">
          <w:rPr>
            <w:rFonts w:ascii="Times New Roman" w:hAnsi="Times New Roman"/>
            <w:sz w:val="24"/>
            <w:szCs w:val="24"/>
          </w:rPr>
          <w:br/>
        </w:r>
        <w:r w:rsidR="00CF1758" w:rsidRPr="00CF1758">
          <w:rPr>
            <w:rFonts w:ascii="Times New Roman" w:hAnsi="Times New Roman"/>
            <w:sz w:val="24"/>
            <w:szCs w:val="24"/>
          </w:rPr>
          <w:t>корабоплаване</w:t>
        </w:r>
        <w:r w:rsidR="006E72F1">
          <w:rPr>
            <w:rFonts w:ascii="Times New Roman" w:hAnsi="Times New Roman"/>
            <w:sz w:val="24"/>
            <w:szCs w:val="24"/>
          </w:rPr>
          <w:t xml:space="preserve">                                                                                                                                           </w:t>
        </w:r>
        <w:r w:rsidR="00CF1758" w:rsidRPr="00CF1758">
          <w:rPr>
            <w:rFonts w:ascii="Times New Roman" w:hAnsi="Times New Roman"/>
            <w:sz w:val="24"/>
            <w:szCs w:val="24"/>
          </w:rPr>
          <w:t xml:space="preserve"> </w:t>
        </w:r>
        <w:r w:rsidR="00D35E51" w:rsidRPr="00F06DE2">
          <w:rPr>
            <w:rFonts w:ascii="Times New Roman" w:hAnsi="Times New Roman"/>
            <w:sz w:val="24"/>
            <w:szCs w:val="24"/>
          </w:rPr>
          <w:t>17</w:t>
        </w:r>
        <w:r w:rsidR="00C21E28" w:rsidRPr="00F06DE2">
          <w:rPr>
            <w:rFonts w:ascii="Times New Roman" w:hAnsi="Times New Roman"/>
            <w:sz w:val="24"/>
            <w:szCs w:val="24"/>
            <w:lang w:val="en-US"/>
          </w:rPr>
          <w:t>7</w:t>
        </w:r>
      </w:hyperlink>
    </w:p>
    <w:p w14:paraId="47624DEE" w14:textId="33187C4A" w:rsidR="00271FA2" w:rsidRPr="00F06DE2" w:rsidRDefault="002C62EC">
      <w:pPr>
        <w:pStyle w:val="TOC3"/>
        <w:ind w:right="-2"/>
        <w:rPr>
          <w:rFonts w:ascii="Times New Roman" w:eastAsiaTheme="minorEastAsia" w:hAnsi="Times New Roman"/>
          <w:sz w:val="24"/>
          <w:szCs w:val="24"/>
          <w:lang w:eastAsia="en-GB" w:bidi="ar-SA"/>
        </w:rPr>
      </w:pPr>
      <w:hyperlink w:anchor="_Toc535827674" w:history="1">
        <w:r w:rsidR="00D35E51" w:rsidRPr="00F06DE2">
          <w:rPr>
            <w:rStyle w:val="Hyperlink"/>
            <w:rFonts w:ascii="Times New Roman" w:hAnsi="Times New Roman"/>
            <w:b w:val="0"/>
            <w:bCs w:val="0"/>
            <w:color w:val="auto"/>
            <w:sz w:val="24"/>
            <w:szCs w:val="24"/>
            <w:u w:val="none"/>
          </w:rPr>
          <w:t>Член 24.03 Други разпоредби и изисквания</w:t>
        </w:r>
        <w:r w:rsidR="006E72F1">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w:t>
        </w:r>
        <w:r w:rsidR="00305952" w:rsidRPr="00F06DE2">
          <w:rPr>
            <w:rFonts w:ascii="Times New Roman" w:hAnsi="Times New Roman"/>
            <w:sz w:val="24"/>
            <w:szCs w:val="24"/>
            <w:lang w:val="en-US"/>
          </w:rPr>
          <w:t>79</w:t>
        </w:r>
      </w:hyperlink>
    </w:p>
    <w:p w14:paraId="215488FE" w14:textId="3A73B70D"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75" w:history="1">
        <w:r w:rsidR="00D35E51" w:rsidRPr="00F06DE2">
          <w:rPr>
            <w:rStyle w:val="Hyperlink"/>
            <w:rFonts w:ascii="Times New Roman" w:hAnsi="Times New Roman"/>
            <w:b w:val="0"/>
            <w:bCs w:val="0"/>
            <w:i/>
            <w:iCs/>
            <w:color w:val="auto"/>
            <w:sz w:val="24"/>
            <w:szCs w:val="24"/>
            <w:u w:val="none"/>
          </w:rPr>
          <w:t>Глава 25 Специални разпоредби, приложими към морски плавателни съдове</w:t>
        </w:r>
        <w:r w:rsidR="003D2182">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18</w:t>
        </w:r>
        <w:r w:rsidR="00305952" w:rsidRPr="00F06DE2">
          <w:rPr>
            <w:rFonts w:ascii="Times New Roman" w:hAnsi="Times New Roman"/>
            <w:i/>
            <w:iCs/>
            <w:sz w:val="24"/>
            <w:szCs w:val="24"/>
            <w:lang w:val="en-US"/>
          </w:rPr>
          <w:t>0</w:t>
        </w:r>
      </w:hyperlink>
    </w:p>
    <w:p w14:paraId="43183078" w14:textId="7E332BCF" w:rsidR="00271FA2" w:rsidRPr="00F06DE2" w:rsidRDefault="002C62EC">
      <w:pPr>
        <w:pStyle w:val="TOC3"/>
        <w:ind w:right="-2"/>
        <w:rPr>
          <w:rFonts w:ascii="Times New Roman" w:eastAsiaTheme="minorEastAsia" w:hAnsi="Times New Roman"/>
          <w:sz w:val="24"/>
          <w:szCs w:val="24"/>
          <w:lang w:eastAsia="en-GB" w:bidi="ar-SA"/>
        </w:rPr>
      </w:pPr>
      <w:hyperlink w:anchor="_Toc535827676" w:history="1">
        <w:r w:rsidR="00D35E51" w:rsidRPr="00F06DE2">
          <w:rPr>
            <w:rStyle w:val="Hyperlink"/>
            <w:rFonts w:ascii="Times New Roman" w:hAnsi="Times New Roman"/>
            <w:b w:val="0"/>
            <w:bCs w:val="0"/>
            <w:color w:val="auto"/>
            <w:sz w:val="24"/>
            <w:szCs w:val="24"/>
            <w:u w:val="none"/>
          </w:rPr>
          <w:t>Член 25.01 Разпоредби за река Рейн (зона R)</w:t>
        </w:r>
        <w:r w:rsidR="003D218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18</w:t>
        </w:r>
        <w:r w:rsidR="00305952" w:rsidRPr="00F06DE2">
          <w:rPr>
            <w:rFonts w:ascii="Times New Roman" w:hAnsi="Times New Roman"/>
            <w:sz w:val="24"/>
            <w:szCs w:val="24"/>
            <w:lang w:val="en-US"/>
          </w:rPr>
          <w:t>0</w:t>
        </w:r>
      </w:hyperlink>
    </w:p>
    <w:p w14:paraId="12084E47" w14:textId="72FDA998"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77" w:history="1">
        <w:r w:rsidR="00D35E51" w:rsidRPr="00F06DE2">
          <w:rPr>
            <w:rStyle w:val="Hyperlink"/>
            <w:rFonts w:ascii="Times New Roman" w:hAnsi="Times New Roman"/>
            <w:b w:val="0"/>
            <w:bCs w:val="0"/>
            <w:i/>
            <w:iCs/>
            <w:color w:val="auto"/>
            <w:sz w:val="24"/>
            <w:szCs w:val="24"/>
            <w:u w:val="none"/>
          </w:rPr>
          <w:t>Глава 26 Специални разпоредби, приложими към плавателни средства за отдих</w:t>
        </w:r>
        <w:r w:rsidR="003D2182">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18</w:t>
        </w:r>
        <w:r w:rsidR="00305952" w:rsidRPr="00F06DE2">
          <w:rPr>
            <w:rFonts w:ascii="Times New Roman" w:hAnsi="Times New Roman"/>
            <w:i/>
            <w:iCs/>
            <w:sz w:val="24"/>
            <w:szCs w:val="24"/>
            <w:lang w:val="en-US"/>
          </w:rPr>
          <w:t>2</w:t>
        </w:r>
      </w:hyperlink>
    </w:p>
    <w:p w14:paraId="63AFB5BC" w14:textId="6D66D377" w:rsidR="00271FA2" w:rsidRPr="00F06DE2" w:rsidRDefault="002C62EC">
      <w:pPr>
        <w:pStyle w:val="TOC3"/>
        <w:ind w:right="-2"/>
        <w:rPr>
          <w:rFonts w:ascii="Times New Roman" w:eastAsiaTheme="minorEastAsia" w:hAnsi="Times New Roman"/>
          <w:sz w:val="24"/>
          <w:szCs w:val="24"/>
          <w:lang w:eastAsia="en-GB" w:bidi="ar-SA"/>
        </w:rPr>
      </w:pPr>
      <w:hyperlink w:anchor="_Toc535827678" w:history="1">
        <w:r w:rsidR="00D35E51" w:rsidRPr="00F06DE2">
          <w:rPr>
            <w:rStyle w:val="Hyperlink"/>
            <w:rFonts w:ascii="Times New Roman" w:hAnsi="Times New Roman"/>
            <w:b w:val="0"/>
            <w:bCs w:val="0"/>
            <w:color w:val="auto"/>
            <w:sz w:val="24"/>
            <w:szCs w:val="24"/>
            <w:u w:val="none"/>
          </w:rPr>
          <w:t>Член 26.01 Прилагане на част II</w:t>
        </w:r>
        <w:r w:rsidR="003D218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18</w:t>
        </w:r>
        <w:r w:rsidR="00305952" w:rsidRPr="00F06DE2">
          <w:rPr>
            <w:rFonts w:ascii="Times New Roman" w:hAnsi="Times New Roman"/>
            <w:sz w:val="24"/>
            <w:szCs w:val="24"/>
            <w:lang w:val="en-US"/>
          </w:rPr>
          <w:t>2</w:t>
        </w:r>
      </w:hyperlink>
    </w:p>
    <w:p w14:paraId="66DBD31F" w14:textId="5E224CF0"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79" w:history="1">
        <w:r w:rsidR="00D35E51" w:rsidRPr="00F06DE2">
          <w:rPr>
            <w:rStyle w:val="Hyperlink"/>
            <w:rFonts w:ascii="Times New Roman" w:hAnsi="Times New Roman"/>
            <w:b w:val="0"/>
            <w:bCs w:val="0"/>
            <w:i/>
            <w:iCs/>
            <w:color w:val="auto"/>
            <w:sz w:val="24"/>
            <w:szCs w:val="24"/>
            <w:u w:val="none"/>
          </w:rPr>
          <w:t>Глава 27 Специални разпоредби, приложими за плавателни съдове, превозващи</w:t>
        </w:r>
        <w:r w:rsidR="003D2182">
          <w:rPr>
            <w:rStyle w:val="Hyperlink"/>
            <w:rFonts w:ascii="Times New Roman" w:hAnsi="Times New Roman"/>
            <w:b w:val="0"/>
            <w:bCs w:val="0"/>
            <w:i/>
            <w:iCs/>
            <w:color w:val="auto"/>
            <w:sz w:val="24"/>
            <w:szCs w:val="24"/>
            <w:u w:val="none"/>
          </w:rPr>
          <w:br/>
        </w:r>
        <w:r w:rsidR="00D35E51" w:rsidRPr="00F06DE2">
          <w:rPr>
            <w:rStyle w:val="Hyperlink"/>
            <w:rFonts w:ascii="Times New Roman" w:hAnsi="Times New Roman"/>
            <w:b w:val="0"/>
            <w:bCs w:val="0"/>
            <w:i/>
            <w:iCs/>
            <w:color w:val="auto"/>
            <w:sz w:val="24"/>
            <w:szCs w:val="24"/>
            <w:u w:val="none"/>
          </w:rPr>
          <w:t>контейнери</w:t>
        </w:r>
        <w:r w:rsidR="003D2182">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18</w:t>
        </w:r>
        <w:r w:rsidR="00305952" w:rsidRPr="00F06DE2">
          <w:rPr>
            <w:rFonts w:ascii="Times New Roman" w:hAnsi="Times New Roman"/>
            <w:i/>
            <w:iCs/>
            <w:sz w:val="24"/>
            <w:szCs w:val="24"/>
            <w:lang w:val="en-US"/>
          </w:rPr>
          <w:t>4</w:t>
        </w:r>
      </w:hyperlink>
    </w:p>
    <w:p w14:paraId="1A3F46B2" w14:textId="2E460443" w:rsidR="00271FA2" w:rsidRPr="00F06DE2" w:rsidRDefault="002C62EC">
      <w:pPr>
        <w:pStyle w:val="TOC3"/>
        <w:ind w:right="-2"/>
        <w:rPr>
          <w:rFonts w:ascii="Times New Roman" w:eastAsiaTheme="minorEastAsia" w:hAnsi="Times New Roman"/>
          <w:sz w:val="24"/>
          <w:szCs w:val="24"/>
          <w:lang w:eastAsia="en-GB" w:bidi="ar-SA"/>
        </w:rPr>
      </w:pPr>
      <w:hyperlink w:anchor="_Toc535827680" w:history="1">
        <w:r w:rsidR="00D35E51" w:rsidRPr="00F06DE2">
          <w:rPr>
            <w:rStyle w:val="Hyperlink"/>
            <w:rFonts w:ascii="Times New Roman" w:hAnsi="Times New Roman"/>
            <w:b w:val="0"/>
            <w:bCs w:val="0"/>
            <w:color w:val="auto"/>
            <w:sz w:val="24"/>
            <w:szCs w:val="24"/>
            <w:u w:val="none"/>
          </w:rPr>
          <w:t>Член 27.01 Общи положения</w:t>
        </w:r>
        <w:r w:rsidR="003D218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18</w:t>
        </w:r>
        <w:r w:rsidR="00305952" w:rsidRPr="00F06DE2">
          <w:rPr>
            <w:rFonts w:ascii="Times New Roman" w:hAnsi="Times New Roman"/>
            <w:sz w:val="24"/>
            <w:szCs w:val="24"/>
            <w:lang w:val="en-US"/>
          </w:rPr>
          <w:t>4</w:t>
        </w:r>
      </w:hyperlink>
    </w:p>
    <w:p w14:paraId="619697BA" w14:textId="0904796F" w:rsidR="00271FA2" w:rsidRPr="00F06DE2" w:rsidRDefault="002C62EC" w:rsidP="002F5B9C">
      <w:pPr>
        <w:pStyle w:val="TOC3"/>
        <w:ind w:left="0" w:right="-2" w:firstLine="0"/>
        <w:rPr>
          <w:rStyle w:val="Hyperlink"/>
          <w:rFonts w:ascii="Times New Roman" w:hAnsi="Times New Roman"/>
          <w:color w:val="auto"/>
          <w:sz w:val="24"/>
          <w:szCs w:val="24"/>
          <w:u w:val="none"/>
        </w:rPr>
      </w:pPr>
      <w:hyperlink w:anchor="_Toc535827681" w:history="1">
        <w:r w:rsidR="00D35E51" w:rsidRPr="00F06DE2">
          <w:rPr>
            <w:rStyle w:val="Hyperlink"/>
            <w:rFonts w:ascii="Times New Roman" w:hAnsi="Times New Roman"/>
            <w:b w:val="0"/>
            <w:bCs w:val="0"/>
            <w:color w:val="auto"/>
            <w:sz w:val="24"/>
            <w:szCs w:val="24"/>
            <w:u w:val="none"/>
          </w:rPr>
          <w:t>Член 27.02 Ограничителни условия и метод на изчисляване на потвърждението</w:t>
        </w:r>
        <w:r w:rsidR="003D2182">
          <w:rPr>
            <w:rStyle w:val="Hyperlink"/>
            <w:rFonts w:ascii="Times New Roman" w:hAnsi="Times New Roman"/>
            <w:b w:val="0"/>
            <w:bCs w:val="0"/>
            <w:color w:val="auto"/>
            <w:sz w:val="24"/>
            <w:szCs w:val="24"/>
            <w:u w:val="none"/>
          </w:rPr>
          <w:br/>
        </w:r>
        <w:r w:rsidR="00D35E51" w:rsidRPr="00F06DE2">
          <w:rPr>
            <w:rStyle w:val="Hyperlink"/>
            <w:rFonts w:ascii="Times New Roman" w:hAnsi="Times New Roman"/>
            <w:b w:val="0"/>
            <w:bCs w:val="0"/>
            <w:color w:val="auto"/>
            <w:sz w:val="24"/>
            <w:szCs w:val="24"/>
            <w:u w:val="none"/>
          </w:rPr>
          <w:t>за устойчивост за транспорта на незакрепени контейнери</w:t>
        </w:r>
        <w:r w:rsidR="003D2182">
          <w:rPr>
            <w:rStyle w:val="Hyperlink"/>
            <w:rFonts w:ascii="Times New Roman" w:hAnsi="Times New Roman"/>
            <w:b w:val="0"/>
            <w:bCs w:val="0"/>
            <w:color w:val="auto"/>
            <w:sz w:val="24"/>
            <w:szCs w:val="24"/>
            <w:u w:val="none"/>
          </w:rPr>
          <w:t xml:space="preserve">                                                            </w:t>
        </w:r>
        <w:r w:rsidR="002F5B9C" w:rsidRPr="00F06DE2">
          <w:rPr>
            <w:rStyle w:val="Hyperlink"/>
            <w:rFonts w:ascii="Times New Roman" w:hAnsi="Times New Roman"/>
            <w:color w:val="auto"/>
            <w:sz w:val="24"/>
            <w:szCs w:val="24"/>
            <w:u w:val="none"/>
            <w:lang w:val="en-US"/>
          </w:rPr>
          <w:t>1</w:t>
        </w:r>
        <w:r w:rsidR="00D35E51" w:rsidRPr="00F06DE2">
          <w:rPr>
            <w:rStyle w:val="Hyperlink"/>
            <w:rFonts w:ascii="Times New Roman" w:hAnsi="Times New Roman"/>
            <w:color w:val="auto"/>
            <w:sz w:val="24"/>
            <w:szCs w:val="24"/>
            <w:u w:val="none"/>
          </w:rPr>
          <w:t>8</w:t>
        </w:r>
        <w:r w:rsidR="00305952" w:rsidRPr="00F06DE2">
          <w:rPr>
            <w:rStyle w:val="Hyperlink"/>
            <w:rFonts w:ascii="Times New Roman" w:hAnsi="Times New Roman"/>
            <w:color w:val="auto"/>
            <w:sz w:val="24"/>
            <w:szCs w:val="24"/>
            <w:u w:val="none"/>
          </w:rPr>
          <w:t>4</w:t>
        </w:r>
      </w:hyperlink>
    </w:p>
    <w:p w14:paraId="6947924F" w14:textId="4C9EF782"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682" w:history="1">
        <w:r w:rsidR="00D35E51" w:rsidRPr="00F06DE2">
          <w:rPr>
            <w:rStyle w:val="Hyperlink"/>
            <w:rFonts w:ascii="Times New Roman" w:hAnsi="Times New Roman"/>
            <w:b w:val="0"/>
            <w:bCs w:val="0"/>
            <w:color w:val="auto"/>
            <w:sz w:val="24"/>
            <w:szCs w:val="24"/>
            <w:u w:val="none"/>
          </w:rPr>
          <w:t>Член 27.03 Ограничителни условия и метод на изчисляване на потвърждението</w:t>
        </w:r>
        <w:r w:rsidR="003D2182">
          <w:rPr>
            <w:rStyle w:val="Hyperlink"/>
            <w:rFonts w:ascii="Times New Roman" w:hAnsi="Times New Roman"/>
            <w:b w:val="0"/>
            <w:bCs w:val="0"/>
            <w:color w:val="auto"/>
            <w:sz w:val="24"/>
            <w:szCs w:val="24"/>
            <w:u w:val="none"/>
          </w:rPr>
          <w:br/>
        </w:r>
        <w:r w:rsidR="00D35E51" w:rsidRPr="00F06DE2">
          <w:rPr>
            <w:rStyle w:val="Hyperlink"/>
            <w:rFonts w:ascii="Times New Roman" w:hAnsi="Times New Roman"/>
            <w:b w:val="0"/>
            <w:bCs w:val="0"/>
            <w:color w:val="auto"/>
            <w:sz w:val="24"/>
            <w:szCs w:val="24"/>
            <w:u w:val="none"/>
          </w:rPr>
          <w:t>за устойчивост за транспорта на закрепени контейнери</w:t>
        </w:r>
        <w:r w:rsidR="003D218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18</w:t>
        </w:r>
        <w:r w:rsidR="00305952" w:rsidRPr="00F06DE2">
          <w:rPr>
            <w:rFonts w:ascii="Times New Roman" w:hAnsi="Times New Roman"/>
            <w:sz w:val="24"/>
            <w:szCs w:val="24"/>
            <w:lang w:val="en-US"/>
          </w:rPr>
          <w:t>6</w:t>
        </w:r>
      </w:hyperlink>
    </w:p>
    <w:p w14:paraId="79C4D56F" w14:textId="112127A5" w:rsidR="00271FA2" w:rsidRPr="00F06DE2" w:rsidRDefault="002C62EC">
      <w:pPr>
        <w:pStyle w:val="TOC3"/>
        <w:ind w:right="-2"/>
        <w:rPr>
          <w:rFonts w:ascii="Times New Roman" w:eastAsiaTheme="minorEastAsia" w:hAnsi="Times New Roman"/>
          <w:sz w:val="24"/>
          <w:szCs w:val="24"/>
          <w:lang w:eastAsia="en-GB" w:bidi="ar-SA"/>
        </w:rPr>
      </w:pPr>
      <w:hyperlink w:anchor="_Toc535827683" w:history="1">
        <w:r w:rsidR="00D35E51" w:rsidRPr="00F06DE2">
          <w:rPr>
            <w:rStyle w:val="Hyperlink"/>
            <w:rFonts w:ascii="Times New Roman" w:hAnsi="Times New Roman"/>
            <w:b w:val="0"/>
            <w:bCs w:val="0"/>
            <w:color w:val="auto"/>
            <w:sz w:val="24"/>
            <w:szCs w:val="24"/>
            <w:u w:val="none"/>
          </w:rPr>
          <w:t>Член 27.04 Процедура за оценка на устойчивостта на борда</w:t>
        </w:r>
        <w:r w:rsidR="003D218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18</w:t>
        </w:r>
        <w:r w:rsidR="00305952" w:rsidRPr="00F06DE2">
          <w:rPr>
            <w:rFonts w:ascii="Times New Roman" w:hAnsi="Times New Roman"/>
            <w:sz w:val="24"/>
            <w:szCs w:val="24"/>
            <w:lang w:val="en-US"/>
          </w:rPr>
          <w:t>8</w:t>
        </w:r>
      </w:hyperlink>
    </w:p>
    <w:p w14:paraId="0F3D0361" w14:textId="65B3DC40"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84" w:history="1">
        <w:r w:rsidR="00D35E51" w:rsidRPr="00F06DE2">
          <w:rPr>
            <w:rStyle w:val="Hyperlink"/>
            <w:rFonts w:ascii="Times New Roman" w:hAnsi="Times New Roman"/>
            <w:b w:val="0"/>
            <w:bCs w:val="0"/>
            <w:i/>
            <w:iCs/>
            <w:color w:val="auto"/>
            <w:sz w:val="24"/>
            <w:szCs w:val="24"/>
            <w:u w:val="none"/>
          </w:rPr>
          <w:t>Глава 28 Специални разпоредби по отношение на плавателни средства с</w:t>
        </w:r>
        <w:r w:rsidR="003D2182">
          <w:rPr>
            <w:rStyle w:val="Hyperlink"/>
            <w:rFonts w:ascii="Times New Roman" w:hAnsi="Times New Roman"/>
            <w:b w:val="0"/>
            <w:bCs w:val="0"/>
            <w:i/>
            <w:iCs/>
            <w:color w:val="auto"/>
            <w:sz w:val="24"/>
            <w:szCs w:val="24"/>
            <w:u w:val="none"/>
          </w:rPr>
          <w:br/>
        </w:r>
        <w:r w:rsidR="00D35E51" w:rsidRPr="00F06DE2">
          <w:rPr>
            <w:rStyle w:val="Hyperlink"/>
            <w:rFonts w:ascii="Times New Roman" w:hAnsi="Times New Roman"/>
            <w:b w:val="0"/>
            <w:bCs w:val="0"/>
            <w:i/>
            <w:iCs/>
            <w:color w:val="auto"/>
            <w:sz w:val="24"/>
            <w:szCs w:val="24"/>
            <w:u w:val="none"/>
          </w:rPr>
          <w:t xml:space="preserve">дължина над 110 </w:t>
        </w:r>
        <w:r w:rsidR="00D35E51" w:rsidRPr="00F06DE2">
          <w:rPr>
            <w:rStyle w:val="Hyperlink"/>
            <w:rFonts w:ascii="Times New Roman" w:hAnsi="Times New Roman"/>
            <w:b w:val="0"/>
            <w:bCs w:val="0"/>
            <w:i/>
            <w:iCs/>
            <w:color w:val="auto"/>
            <w:sz w:val="24"/>
            <w:szCs w:val="24"/>
            <w:u w:val="none"/>
            <w:lang w:val="en-US"/>
          </w:rPr>
          <w:t>m</w:t>
        </w:r>
        <w:r w:rsidR="003D2182">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w:t>
        </w:r>
        <w:r w:rsidR="00305952" w:rsidRPr="00F06DE2">
          <w:rPr>
            <w:rFonts w:ascii="Times New Roman" w:hAnsi="Times New Roman"/>
            <w:i/>
            <w:iCs/>
            <w:sz w:val="24"/>
            <w:szCs w:val="24"/>
            <w:lang w:val="en-US"/>
          </w:rPr>
          <w:t>89</w:t>
        </w:r>
      </w:hyperlink>
    </w:p>
    <w:p w14:paraId="32B7640D" w14:textId="11A92A1D"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685" w:history="1">
        <w:r w:rsidR="00D35E51" w:rsidRPr="00F06DE2">
          <w:rPr>
            <w:rStyle w:val="Hyperlink"/>
            <w:rFonts w:ascii="Times New Roman" w:hAnsi="Times New Roman"/>
            <w:b w:val="0"/>
            <w:bCs w:val="0"/>
            <w:color w:val="auto"/>
            <w:sz w:val="24"/>
            <w:szCs w:val="24"/>
            <w:u w:val="none"/>
          </w:rPr>
          <w:t>Член 28.01 Прилагане на част II</w:t>
        </w:r>
        <w:r w:rsidR="003D218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w:t>
        </w:r>
        <w:r w:rsidR="00305952" w:rsidRPr="00F06DE2">
          <w:rPr>
            <w:rFonts w:ascii="Times New Roman" w:hAnsi="Times New Roman"/>
            <w:sz w:val="24"/>
            <w:szCs w:val="24"/>
            <w:lang w:val="en-US"/>
          </w:rPr>
          <w:t>89</w:t>
        </w:r>
      </w:hyperlink>
    </w:p>
    <w:p w14:paraId="408608F6" w14:textId="0FC39BCD" w:rsidR="00271FA2" w:rsidRPr="00F06DE2" w:rsidRDefault="002C62EC">
      <w:pPr>
        <w:pStyle w:val="TOC3"/>
        <w:ind w:right="-2"/>
        <w:rPr>
          <w:rFonts w:ascii="Times New Roman" w:eastAsiaTheme="minorEastAsia" w:hAnsi="Times New Roman"/>
          <w:sz w:val="24"/>
          <w:szCs w:val="24"/>
          <w:lang w:eastAsia="en-GB" w:bidi="ar-SA"/>
        </w:rPr>
      </w:pPr>
      <w:hyperlink w:anchor="_Toc535827686" w:history="1">
        <w:r w:rsidR="00D35E51" w:rsidRPr="00F06DE2">
          <w:rPr>
            <w:rStyle w:val="Hyperlink"/>
            <w:rFonts w:ascii="Times New Roman" w:hAnsi="Times New Roman"/>
            <w:b w:val="0"/>
            <w:bCs w:val="0"/>
            <w:color w:val="auto"/>
            <w:sz w:val="24"/>
            <w:szCs w:val="24"/>
            <w:u w:val="none"/>
          </w:rPr>
          <w:t>Член 28.02 Якост</w:t>
        </w:r>
        <w:r w:rsidR="003D218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w:t>
        </w:r>
        <w:r w:rsidR="00305952" w:rsidRPr="00F06DE2">
          <w:rPr>
            <w:rFonts w:ascii="Times New Roman" w:hAnsi="Times New Roman"/>
            <w:sz w:val="24"/>
            <w:szCs w:val="24"/>
            <w:lang w:val="en-US"/>
          </w:rPr>
          <w:t>89</w:t>
        </w:r>
      </w:hyperlink>
    </w:p>
    <w:p w14:paraId="71128EB8" w14:textId="59FC9809" w:rsidR="00271FA2" w:rsidRPr="00F06DE2" w:rsidRDefault="002C62EC">
      <w:pPr>
        <w:pStyle w:val="TOC3"/>
        <w:ind w:right="-2"/>
        <w:rPr>
          <w:rFonts w:ascii="Times New Roman" w:eastAsiaTheme="minorEastAsia" w:hAnsi="Times New Roman"/>
          <w:sz w:val="24"/>
          <w:szCs w:val="24"/>
          <w:lang w:eastAsia="en-GB" w:bidi="ar-SA"/>
        </w:rPr>
      </w:pPr>
      <w:hyperlink w:anchor="_Toc535827687" w:history="1">
        <w:r w:rsidR="00D35E51" w:rsidRPr="00F06DE2">
          <w:rPr>
            <w:rStyle w:val="Hyperlink"/>
            <w:rFonts w:ascii="Times New Roman" w:hAnsi="Times New Roman"/>
            <w:b w:val="0"/>
            <w:bCs w:val="0"/>
            <w:color w:val="auto"/>
            <w:sz w:val="24"/>
            <w:szCs w:val="24"/>
            <w:u w:val="none"/>
          </w:rPr>
          <w:t>Член 28.03 Плавателност и устойчивост</w:t>
        </w:r>
        <w:r w:rsidR="003D218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w:t>
        </w:r>
        <w:r w:rsidR="00305952" w:rsidRPr="00F06DE2">
          <w:rPr>
            <w:rFonts w:ascii="Times New Roman" w:hAnsi="Times New Roman"/>
            <w:sz w:val="24"/>
            <w:szCs w:val="24"/>
            <w:lang w:val="en-US"/>
          </w:rPr>
          <w:t>89</w:t>
        </w:r>
      </w:hyperlink>
    </w:p>
    <w:p w14:paraId="6FFA2260" w14:textId="18734A88" w:rsidR="00271FA2" w:rsidRPr="00F06DE2" w:rsidRDefault="002C62EC">
      <w:pPr>
        <w:pStyle w:val="TOC3"/>
        <w:ind w:right="-2"/>
        <w:rPr>
          <w:rFonts w:ascii="Times New Roman" w:eastAsiaTheme="minorEastAsia" w:hAnsi="Times New Roman"/>
          <w:sz w:val="24"/>
          <w:szCs w:val="24"/>
          <w:lang w:eastAsia="en-GB" w:bidi="ar-SA"/>
        </w:rPr>
      </w:pPr>
      <w:hyperlink w:anchor="_Toc535827688" w:history="1">
        <w:r w:rsidR="00D35E51" w:rsidRPr="00F06DE2">
          <w:rPr>
            <w:rStyle w:val="Hyperlink"/>
            <w:rFonts w:ascii="Times New Roman" w:hAnsi="Times New Roman"/>
            <w:b w:val="0"/>
            <w:bCs w:val="0"/>
            <w:color w:val="auto"/>
            <w:sz w:val="24"/>
            <w:szCs w:val="24"/>
            <w:u w:val="none"/>
          </w:rPr>
          <w:t>Член 28.04 Допълнителни изисквания</w:t>
        </w:r>
        <w:r w:rsidR="003D2182">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2</w:t>
        </w:r>
      </w:hyperlink>
    </w:p>
    <w:p w14:paraId="6A05AEB0" w14:textId="51B55879"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689" w:history="1">
        <w:r w:rsidR="00D35E51" w:rsidRPr="00F06DE2">
          <w:rPr>
            <w:rStyle w:val="Hyperlink"/>
            <w:rFonts w:ascii="Times New Roman" w:hAnsi="Times New Roman"/>
            <w:b w:val="0"/>
            <w:bCs w:val="0"/>
            <w:i/>
            <w:iCs/>
            <w:color w:val="auto"/>
            <w:sz w:val="24"/>
            <w:szCs w:val="24"/>
            <w:u w:val="none"/>
          </w:rPr>
          <w:t>Глава 29 Специални разпоредби, приложими към високоскоростни</w:t>
        </w:r>
        <w:r w:rsidR="00F2608D">
          <w:rPr>
            <w:rStyle w:val="Hyperlink"/>
            <w:rFonts w:ascii="Times New Roman" w:hAnsi="Times New Roman"/>
            <w:b w:val="0"/>
            <w:bCs w:val="0"/>
            <w:i/>
            <w:iCs/>
            <w:color w:val="auto"/>
            <w:sz w:val="24"/>
            <w:szCs w:val="24"/>
            <w:u w:val="none"/>
          </w:rPr>
          <w:br/>
        </w:r>
        <w:r w:rsidR="00D35E51" w:rsidRPr="00F06DE2">
          <w:rPr>
            <w:rStyle w:val="Hyperlink"/>
            <w:rFonts w:ascii="Times New Roman" w:hAnsi="Times New Roman"/>
            <w:b w:val="0"/>
            <w:bCs w:val="0"/>
            <w:i/>
            <w:iCs/>
            <w:color w:val="auto"/>
            <w:sz w:val="24"/>
            <w:szCs w:val="24"/>
            <w:u w:val="none"/>
          </w:rPr>
          <w:t>плавателни съдове</w:t>
        </w:r>
        <w:r w:rsidR="00F2608D">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19</w:t>
        </w:r>
        <w:r w:rsidR="00305952" w:rsidRPr="00F06DE2">
          <w:rPr>
            <w:rFonts w:ascii="Times New Roman" w:hAnsi="Times New Roman"/>
            <w:i/>
            <w:iCs/>
            <w:sz w:val="24"/>
            <w:szCs w:val="24"/>
            <w:lang w:val="en-US"/>
          </w:rPr>
          <w:t>4</w:t>
        </w:r>
      </w:hyperlink>
    </w:p>
    <w:p w14:paraId="770B92D7" w14:textId="3E5F3DEC" w:rsidR="00271FA2" w:rsidRPr="00F06DE2" w:rsidRDefault="002C62EC">
      <w:pPr>
        <w:pStyle w:val="TOC3"/>
        <w:ind w:right="-2"/>
        <w:rPr>
          <w:rFonts w:ascii="Times New Roman" w:eastAsiaTheme="minorEastAsia" w:hAnsi="Times New Roman"/>
          <w:sz w:val="24"/>
          <w:szCs w:val="24"/>
          <w:lang w:eastAsia="en-GB" w:bidi="ar-SA"/>
        </w:rPr>
      </w:pPr>
      <w:hyperlink w:anchor="_Toc535827690" w:history="1">
        <w:r w:rsidR="00D35E51" w:rsidRPr="00F06DE2">
          <w:rPr>
            <w:rStyle w:val="Hyperlink"/>
            <w:rFonts w:ascii="Times New Roman" w:hAnsi="Times New Roman"/>
            <w:b w:val="0"/>
            <w:bCs w:val="0"/>
            <w:color w:val="auto"/>
            <w:sz w:val="24"/>
            <w:szCs w:val="24"/>
            <w:u w:val="none"/>
          </w:rPr>
          <w:t>Член 29.01 Общи положения</w:t>
        </w:r>
        <w:r w:rsidR="00F2608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4</w:t>
        </w:r>
      </w:hyperlink>
    </w:p>
    <w:p w14:paraId="120D3A72" w14:textId="6EFA0093" w:rsidR="00271FA2" w:rsidRPr="00F06DE2" w:rsidRDefault="002C62EC">
      <w:pPr>
        <w:pStyle w:val="TOC3"/>
        <w:ind w:right="-2"/>
        <w:rPr>
          <w:rFonts w:ascii="Times New Roman" w:eastAsiaTheme="minorEastAsia" w:hAnsi="Times New Roman"/>
          <w:sz w:val="24"/>
          <w:szCs w:val="24"/>
          <w:lang w:eastAsia="en-GB" w:bidi="ar-SA"/>
        </w:rPr>
      </w:pPr>
      <w:hyperlink w:anchor="_Toc535827691" w:history="1">
        <w:r w:rsidR="00D35E51" w:rsidRPr="00F06DE2">
          <w:rPr>
            <w:rStyle w:val="Hyperlink"/>
            <w:rFonts w:ascii="Times New Roman" w:hAnsi="Times New Roman"/>
            <w:b w:val="0"/>
            <w:bCs w:val="0"/>
            <w:color w:val="auto"/>
            <w:sz w:val="24"/>
            <w:szCs w:val="24"/>
            <w:u w:val="none"/>
          </w:rPr>
          <w:t>Член 29.02 Прилагане на части II и III</w:t>
        </w:r>
        <w:r w:rsidR="00F2608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4</w:t>
        </w:r>
      </w:hyperlink>
    </w:p>
    <w:p w14:paraId="2087D01A" w14:textId="59B3CAC9" w:rsidR="00271FA2" w:rsidRPr="00F06DE2" w:rsidRDefault="002C62EC">
      <w:pPr>
        <w:pStyle w:val="TOC3"/>
        <w:ind w:right="-2"/>
        <w:rPr>
          <w:rFonts w:ascii="Times New Roman" w:eastAsiaTheme="minorEastAsia" w:hAnsi="Times New Roman"/>
          <w:sz w:val="24"/>
          <w:szCs w:val="24"/>
          <w:lang w:eastAsia="en-GB" w:bidi="ar-SA"/>
        </w:rPr>
      </w:pPr>
      <w:hyperlink w:anchor="_Toc535827692" w:history="1">
        <w:r w:rsidR="00D35E51" w:rsidRPr="00F06DE2">
          <w:rPr>
            <w:rStyle w:val="Hyperlink"/>
            <w:rFonts w:ascii="Times New Roman" w:hAnsi="Times New Roman"/>
            <w:b w:val="0"/>
            <w:bCs w:val="0"/>
            <w:color w:val="auto"/>
            <w:sz w:val="24"/>
            <w:szCs w:val="24"/>
            <w:u w:val="none"/>
          </w:rPr>
          <w:t>Член 29.03 Седалки и предпазни колани</w:t>
        </w:r>
        <w:r w:rsidR="00F2608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5</w:t>
        </w:r>
      </w:hyperlink>
    </w:p>
    <w:p w14:paraId="15474120" w14:textId="3BB1926A" w:rsidR="00271FA2" w:rsidRPr="00F06DE2" w:rsidRDefault="002C62EC">
      <w:pPr>
        <w:pStyle w:val="TOC3"/>
        <w:ind w:right="-2"/>
        <w:rPr>
          <w:rFonts w:ascii="Times New Roman" w:eastAsiaTheme="minorEastAsia" w:hAnsi="Times New Roman"/>
          <w:sz w:val="24"/>
          <w:szCs w:val="24"/>
          <w:lang w:eastAsia="en-GB" w:bidi="ar-SA"/>
        </w:rPr>
      </w:pPr>
      <w:hyperlink w:anchor="_Toc535827693" w:history="1">
        <w:r w:rsidR="00D35E51" w:rsidRPr="00F06DE2">
          <w:rPr>
            <w:rStyle w:val="Hyperlink"/>
            <w:rFonts w:ascii="Times New Roman" w:hAnsi="Times New Roman"/>
            <w:b w:val="0"/>
            <w:bCs w:val="0"/>
            <w:color w:val="auto"/>
            <w:sz w:val="24"/>
            <w:szCs w:val="24"/>
            <w:u w:val="none"/>
          </w:rPr>
          <w:t>Член 29.04 Надводен борд</w:t>
        </w:r>
        <w:r w:rsidR="00F2608D">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5</w:t>
        </w:r>
      </w:hyperlink>
    </w:p>
    <w:p w14:paraId="699A2DA2" w14:textId="62BE5BE6" w:rsidR="00271FA2" w:rsidRPr="00F06DE2" w:rsidRDefault="002C62EC">
      <w:pPr>
        <w:pStyle w:val="TOC3"/>
        <w:ind w:right="-2"/>
        <w:rPr>
          <w:rFonts w:ascii="Times New Roman" w:eastAsiaTheme="minorEastAsia" w:hAnsi="Times New Roman"/>
          <w:sz w:val="24"/>
          <w:szCs w:val="24"/>
          <w:lang w:eastAsia="en-GB" w:bidi="ar-SA"/>
        </w:rPr>
      </w:pPr>
      <w:hyperlink w:anchor="_Toc535827694" w:history="1">
        <w:r w:rsidR="00D35E51" w:rsidRPr="00F06DE2">
          <w:rPr>
            <w:rStyle w:val="Hyperlink"/>
            <w:rFonts w:ascii="Times New Roman" w:hAnsi="Times New Roman"/>
            <w:b w:val="0"/>
            <w:bCs w:val="0"/>
            <w:color w:val="auto"/>
            <w:sz w:val="24"/>
            <w:szCs w:val="24"/>
            <w:u w:val="none"/>
          </w:rPr>
          <w:t>Член 29.05 Плавателност, устойчивост и делене на отсеци</w:t>
        </w:r>
        <w:r w:rsidR="00CA357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5</w:t>
        </w:r>
      </w:hyperlink>
    </w:p>
    <w:p w14:paraId="5AD584DB" w14:textId="70FF2CA0" w:rsidR="00271FA2" w:rsidRPr="00F06DE2" w:rsidRDefault="002C62EC">
      <w:pPr>
        <w:pStyle w:val="TOC3"/>
        <w:ind w:right="-2"/>
        <w:rPr>
          <w:rFonts w:ascii="Times New Roman" w:eastAsiaTheme="minorEastAsia" w:hAnsi="Times New Roman"/>
          <w:sz w:val="24"/>
          <w:szCs w:val="24"/>
          <w:lang w:eastAsia="en-GB" w:bidi="ar-SA"/>
        </w:rPr>
      </w:pPr>
      <w:hyperlink w:anchor="_Toc535827695" w:history="1">
        <w:r w:rsidR="00D35E51" w:rsidRPr="00F06DE2">
          <w:rPr>
            <w:rStyle w:val="Hyperlink"/>
            <w:rFonts w:ascii="Times New Roman" w:hAnsi="Times New Roman"/>
            <w:b w:val="0"/>
            <w:bCs w:val="0"/>
            <w:color w:val="auto"/>
            <w:sz w:val="24"/>
            <w:szCs w:val="24"/>
            <w:u w:val="none"/>
          </w:rPr>
          <w:t>Член 29.06 Рулева рубка</w:t>
        </w:r>
        <w:r w:rsidR="00CA357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5</w:t>
        </w:r>
      </w:hyperlink>
    </w:p>
    <w:p w14:paraId="4C5699B4" w14:textId="64124AEB" w:rsidR="00271FA2" w:rsidRPr="00F06DE2" w:rsidRDefault="002C62EC">
      <w:pPr>
        <w:pStyle w:val="TOC3"/>
        <w:ind w:right="-2"/>
        <w:rPr>
          <w:rFonts w:ascii="Times New Roman" w:eastAsiaTheme="minorEastAsia" w:hAnsi="Times New Roman"/>
          <w:sz w:val="24"/>
          <w:szCs w:val="24"/>
          <w:lang w:eastAsia="en-GB" w:bidi="ar-SA"/>
        </w:rPr>
      </w:pPr>
      <w:hyperlink w:anchor="_Toc535827696" w:history="1">
        <w:r w:rsidR="00D35E51" w:rsidRPr="00F06DE2">
          <w:rPr>
            <w:rStyle w:val="Hyperlink"/>
            <w:rFonts w:ascii="Times New Roman" w:hAnsi="Times New Roman"/>
            <w:b w:val="0"/>
            <w:bCs w:val="0"/>
            <w:color w:val="auto"/>
            <w:sz w:val="24"/>
            <w:szCs w:val="24"/>
            <w:u w:val="none"/>
          </w:rPr>
          <w:t>Член 29.07 Допълнително оборудване</w:t>
        </w:r>
        <w:r w:rsidR="00CA357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6</w:t>
        </w:r>
      </w:hyperlink>
    </w:p>
    <w:p w14:paraId="3153678E" w14:textId="6745CDD4" w:rsidR="00271FA2" w:rsidRPr="00F06DE2" w:rsidRDefault="002C62EC">
      <w:pPr>
        <w:pStyle w:val="TOC3"/>
        <w:ind w:right="-2"/>
        <w:rPr>
          <w:rFonts w:ascii="Times New Roman" w:eastAsiaTheme="minorEastAsia" w:hAnsi="Times New Roman"/>
          <w:sz w:val="24"/>
          <w:szCs w:val="24"/>
          <w:lang w:eastAsia="en-GB" w:bidi="ar-SA"/>
        </w:rPr>
      </w:pPr>
      <w:hyperlink w:anchor="_Toc535827697" w:history="1">
        <w:r w:rsidR="00D35E51" w:rsidRPr="00F06DE2">
          <w:rPr>
            <w:rStyle w:val="Hyperlink"/>
            <w:rFonts w:ascii="Times New Roman" w:hAnsi="Times New Roman"/>
            <w:b w:val="0"/>
            <w:bCs w:val="0"/>
            <w:color w:val="auto"/>
            <w:sz w:val="24"/>
            <w:szCs w:val="24"/>
            <w:u w:val="none"/>
          </w:rPr>
          <w:t>Член 29.08 Затворени зони</w:t>
        </w:r>
        <w:r w:rsidR="00CA357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6</w:t>
        </w:r>
      </w:hyperlink>
    </w:p>
    <w:p w14:paraId="67B89244" w14:textId="30701F82" w:rsidR="00271FA2" w:rsidRPr="00F06DE2" w:rsidRDefault="002C62EC">
      <w:pPr>
        <w:pStyle w:val="TOC3"/>
        <w:ind w:right="-2"/>
        <w:rPr>
          <w:rFonts w:ascii="Times New Roman" w:eastAsiaTheme="minorEastAsia" w:hAnsi="Times New Roman"/>
          <w:sz w:val="24"/>
          <w:szCs w:val="24"/>
          <w:lang w:eastAsia="en-GB" w:bidi="ar-SA"/>
        </w:rPr>
      </w:pPr>
      <w:hyperlink w:anchor="_Toc535827698" w:history="1">
        <w:r w:rsidR="00D35E51" w:rsidRPr="00F06DE2">
          <w:rPr>
            <w:rStyle w:val="Hyperlink"/>
            <w:rFonts w:ascii="Times New Roman" w:hAnsi="Times New Roman"/>
            <w:b w:val="0"/>
            <w:bCs w:val="0"/>
            <w:color w:val="auto"/>
            <w:sz w:val="24"/>
            <w:szCs w:val="24"/>
            <w:u w:val="none"/>
          </w:rPr>
          <w:t>Член 29.09 Изходи и маршрути за евакуация</w:t>
        </w:r>
        <w:r w:rsidR="00CA357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7</w:t>
        </w:r>
      </w:hyperlink>
    </w:p>
    <w:p w14:paraId="2ED0392F" w14:textId="31B69D17" w:rsidR="00271FA2" w:rsidRPr="00F06DE2" w:rsidRDefault="002C62EC">
      <w:pPr>
        <w:pStyle w:val="TOC3"/>
        <w:ind w:right="-2"/>
        <w:rPr>
          <w:rFonts w:ascii="Times New Roman" w:eastAsiaTheme="minorEastAsia" w:hAnsi="Times New Roman"/>
          <w:sz w:val="24"/>
          <w:szCs w:val="24"/>
          <w:lang w:eastAsia="en-GB" w:bidi="ar-SA"/>
        </w:rPr>
      </w:pPr>
      <w:hyperlink w:anchor="_Toc535827699" w:history="1">
        <w:r w:rsidR="00D35E51" w:rsidRPr="00F06DE2">
          <w:rPr>
            <w:rStyle w:val="Hyperlink"/>
            <w:rFonts w:ascii="Times New Roman" w:hAnsi="Times New Roman"/>
            <w:b w:val="0"/>
            <w:bCs w:val="0"/>
            <w:color w:val="auto"/>
            <w:sz w:val="24"/>
            <w:szCs w:val="24"/>
            <w:u w:val="none"/>
          </w:rPr>
          <w:t>Член 29.10 Противопожарна защита и гасене на пожари</w:t>
        </w:r>
        <w:r w:rsidR="00CA3576">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305952" w:rsidRPr="00F06DE2">
          <w:rPr>
            <w:rFonts w:ascii="Times New Roman" w:hAnsi="Times New Roman"/>
            <w:sz w:val="24"/>
            <w:szCs w:val="24"/>
            <w:lang w:val="en-US"/>
          </w:rPr>
          <w:t>7</w:t>
        </w:r>
      </w:hyperlink>
    </w:p>
    <w:p w14:paraId="052E8AEE" w14:textId="5897F093" w:rsidR="00271FA2" w:rsidRPr="00F06DE2" w:rsidRDefault="002C62EC">
      <w:pPr>
        <w:pStyle w:val="TOC2"/>
        <w:tabs>
          <w:tab w:val="right" w:leader="dot" w:pos="9060"/>
        </w:tabs>
        <w:ind w:left="0" w:right="-2" w:firstLine="0"/>
        <w:rPr>
          <w:rFonts w:ascii="Times New Roman" w:hAnsi="Times New Roman"/>
          <w:i/>
          <w:iCs/>
          <w:sz w:val="24"/>
          <w:szCs w:val="24"/>
        </w:rPr>
      </w:pPr>
      <w:hyperlink w:anchor="_Toc535827700" w:history="1">
        <w:r w:rsidR="00D35E51" w:rsidRPr="00F06DE2">
          <w:rPr>
            <w:rStyle w:val="Hyperlink"/>
            <w:rFonts w:ascii="Times New Roman" w:hAnsi="Times New Roman"/>
            <w:b w:val="0"/>
            <w:bCs w:val="0"/>
            <w:i/>
            <w:iCs/>
            <w:color w:val="auto"/>
            <w:sz w:val="24"/>
            <w:szCs w:val="24"/>
            <w:u w:val="none"/>
          </w:rPr>
          <w:t>Глава 30 Специални разпоредби, приложими за плавателни средства, оборудвани със системи за задвижване или спомагателни системи, работещи с горива с температура на възпламеняване, по-ниска или равна на 55°C</w:t>
        </w:r>
        <w:r w:rsidR="00CA3576">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 xml:space="preserve"> 19</w:t>
        </w:r>
        <w:r w:rsidR="006149FB" w:rsidRPr="00F06DE2">
          <w:rPr>
            <w:rFonts w:ascii="Times New Roman" w:hAnsi="Times New Roman"/>
            <w:i/>
            <w:iCs/>
            <w:sz w:val="24"/>
            <w:szCs w:val="24"/>
            <w:lang w:val="en-US"/>
          </w:rPr>
          <w:t>8</w:t>
        </w:r>
      </w:hyperlink>
    </w:p>
    <w:p w14:paraId="6594918B" w14:textId="452BD99A" w:rsidR="00271FA2" w:rsidRPr="00F06DE2" w:rsidRDefault="00D35E51">
      <w:pPr>
        <w:rPr>
          <w:rFonts w:ascii="Times New Roman" w:hAnsi="Times New Roman" w:cs="Times New Roman"/>
          <w:i/>
          <w:iCs/>
          <w:sz w:val="24"/>
          <w:szCs w:val="24"/>
          <w:lang w:val="ru-RU" w:eastAsia="bg-BG" w:bidi="bg-BG"/>
        </w:rPr>
      </w:pPr>
      <w:r w:rsidRPr="00F06DE2">
        <w:rPr>
          <w:rFonts w:ascii="Times New Roman" w:hAnsi="Times New Roman" w:cs="Times New Roman"/>
          <w:i/>
          <w:iCs/>
          <w:sz w:val="24"/>
          <w:szCs w:val="24"/>
          <w:lang w:val="ru-RU" w:eastAsia="bg-BG" w:bidi="bg-BG"/>
        </w:rPr>
        <w:t>Член 30.00 Определение</w:t>
      </w:r>
      <w:r w:rsidR="002E407B">
        <w:rPr>
          <w:rFonts w:ascii="Times New Roman" w:hAnsi="Times New Roman" w:cs="Times New Roman"/>
          <w:i/>
          <w:iCs/>
          <w:sz w:val="24"/>
          <w:szCs w:val="24"/>
          <w:lang w:val="ru-RU" w:eastAsia="bg-BG" w:bidi="bg-BG"/>
        </w:rPr>
        <w:t xml:space="preserve">                                                                                                                 </w:t>
      </w:r>
      <w:r w:rsidRPr="00F06DE2">
        <w:rPr>
          <w:rFonts w:ascii="Times New Roman" w:hAnsi="Times New Roman" w:cs="Times New Roman"/>
          <w:i/>
          <w:iCs/>
          <w:sz w:val="24"/>
          <w:szCs w:val="24"/>
          <w:lang w:val="ru-RU" w:eastAsia="bg-BG" w:bidi="bg-BG"/>
        </w:rPr>
        <w:t>19</w:t>
      </w:r>
      <w:r w:rsidR="006149FB" w:rsidRPr="00F06DE2">
        <w:rPr>
          <w:rFonts w:ascii="Times New Roman" w:hAnsi="Times New Roman" w:cs="Times New Roman"/>
          <w:i/>
          <w:iCs/>
          <w:sz w:val="24"/>
          <w:szCs w:val="24"/>
          <w:lang w:val="ru-RU" w:eastAsia="bg-BG" w:bidi="bg-BG"/>
        </w:rPr>
        <w:t>8</w:t>
      </w:r>
    </w:p>
    <w:p w14:paraId="0FA06D79" w14:textId="62F9DFD4" w:rsidR="00271FA2" w:rsidRPr="00F06DE2" w:rsidRDefault="002C62EC">
      <w:pPr>
        <w:pStyle w:val="TOC3"/>
        <w:ind w:right="-2"/>
        <w:rPr>
          <w:rFonts w:ascii="Times New Roman" w:eastAsiaTheme="minorEastAsia" w:hAnsi="Times New Roman"/>
          <w:sz w:val="24"/>
          <w:szCs w:val="24"/>
          <w:lang w:eastAsia="en-GB" w:bidi="ar-SA"/>
        </w:rPr>
      </w:pPr>
      <w:hyperlink w:anchor="_Toc535827701" w:history="1">
        <w:r w:rsidR="00D35E51" w:rsidRPr="00F06DE2">
          <w:rPr>
            <w:rStyle w:val="Hyperlink"/>
            <w:rFonts w:ascii="Times New Roman" w:hAnsi="Times New Roman"/>
            <w:b w:val="0"/>
            <w:bCs w:val="0"/>
            <w:color w:val="auto"/>
            <w:sz w:val="24"/>
            <w:szCs w:val="24"/>
            <w:u w:val="none"/>
          </w:rPr>
          <w:t>Член 30.01 Приложно поле</w:t>
        </w:r>
        <w:r w:rsidR="002E407B">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 xml:space="preserve"> 19</w:t>
        </w:r>
        <w:r w:rsidR="006149FB" w:rsidRPr="00F06DE2">
          <w:rPr>
            <w:rFonts w:ascii="Times New Roman" w:hAnsi="Times New Roman"/>
            <w:sz w:val="24"/>
            <w:szCs w:val="24"/>
            <w:lang w:val="ru-RU"/>
          </w:rPr>
          <w:t>8</w:t>
        </w:r>
      </w:hyperlink>
    </w:p>
    <w:p w14:paraId="1894649F" w14:textId="70AC7EA3" w:rsidR="00271FA2" w:rsidRPr="00F06DE2" w:rsidRDefault="002C62EC">
      <w:pPr>
        <w:pStyle w:val="TOC3"/>
        <w:ind w:right="-2"/>
        <w:rPr>
          <w:rFonts w:ascii="Times New Roman" w:eastAsiaTheme="minorEastAsia" w:hAnsi="Times New Roman"/>
          <w:sz w:val="24"/>
          <w:szCs w:val="24"/>
          <w:lang w:eastAsia="en-GB" w:bidi="ar-SA"/>
        </w:rPr>
      </w:pPr>
      <w:hyperlink w:anchor="_Toc535827702" w:history="1">
        <w:r w:rsidR="00D35E51" w:rsidRPr="00F06DE2">
          <w:rPr>
            <w:rStyle w:val="Hyperlink"/>
            <w:rFonts w:ascii="Times New Roman" w:hAnsi="Times New Roman"/>
            <w:b w:val="0"/>
            <w:bCs w:val="0"/>
            <w:color w:val="auto"/>
            <w:sz w:val="24"/>
            <w:szCs w:val="24"/>
            <w:u w:val="none"/>
          </w:rPr>
          <w:t>Член 30.02 Общи положения</w:t>
        </w:r>
        <w:r w:rsidR="002B38F5">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6149FB" w:rsidRPr="00F06DE2">
          <w:rPr>
            <w:rFonts w:ascii="Times New Roman" w:hAnsi="Times New Roman"/>
            <w:sz w:val="24"/>
            <w:szCs w:val="24"/>
            <w:lang w:val="ru-RU"/>
          </w:rPr>
          <w:t>8</w:t>
        </w:r>
      </w:hyperlink>
    </w:p>
    <w:p w14:paraId="0FE4DAF1" w14:textId="567E1708" w:rsidR="00271FA2" w:rsidRPr="00F06DE2" w:rsidRDefault="002C62EC">
      <w:pPr>
        <w:pStyle w:val="TOC3"/>
        <w:ind w:right="-2"/>
        <w:rPr>
          <w:rFonts w:ascii="Times New Roman" w:eastAsiaTheme="minorEastAsia" w:hAnsi="Times New Roman"/>
          <w:sz w:val="24"/>
          <w:szCs w:val="24"/>
          <w:lang w:eastAsia="en-GB" w:bidi="ar-SA"/>
        </w:rPr>
      </w:pPr>
      <w:hyperlink w:anchor="_Toc535827703" w:history="1">
        <w:r w:rsidR="00D35E51" w:rsidRPr="00F06DE2">
          <w:rPr>
            <w:rStyle w:val="Hyperlink"/>
            <w:rFonts w:ascii="Times New Roman" w:hAnsi="Times New Roman"/>
            <w:b w:val="0"/>
            <w:bCs w:val="0"/>
            <w:color w:val="auto"/>
            <w:sz w:val="24"/>
            <w:szCs w:val="24"/>
            <w:u w:val="none"/>
          </w:rPr>
          <w:t>Член 30.03 Задачи на контролния орган и техническата служба, документация</w:t>
        </w:r>
        <w:r w:rsidR="002B38F5">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19</w:t>
        </w:r>
        <w:r w:rsidR="006149FB" w:rsidRPr="00F06DE2">
          <w:rPr>
            <w:rFonts w:ascii="Times New Roman" w:hAnsi="Times New Roman"/>
            <w:sz w:val="24"/>
            <w:szCs w:val="24"/>
            <w:lang w:val="ru-RU"/>
          </w:rPr>
          <w:t>8</w:t>
        </w:r>
      </w:hyperlink>
    </w:p>
    <w:p w14:paraId="59B00559" w14:textId="2E76F704" w:rsidR="00271FA2" w:rsidRPr="00F06DE2" w:rsidRDefault="002C62EC">
      <w:pPr>
        <w:pStyle w:val="TOC3"/>
        <w:ind w:right="-2"/>
        <w:rPr>
          <w:rFonts w:ascii="Times New Roman" w:eastAsiaTheme="minorEastAsia" w:hAnsi="Times New Roman"/>
          <w:sz w:val="24"/>
          <w:szCs w:val="24"/>
          <w:lang w:eastAsia="en-GB" w:bidi="ar-SA"/>
        </w:rPr>
      </w:pPr>
      <w:hyperlink w:anchor="_Toc535827704" w:history="1">
        <w:r w:rsidR="00D35E51" w:rsidRPr="00F06DE2">
          <w:rPr>
            <w:rStyle w:val="Hyperlink"/>
            <w:rFonts w:ascii="Times New Roman" w:hAnsi="Times New Roman"/>
            <w:b w:val="0"/>
            <w:bCs w:val="0"/>
            <w:color w:val="auto"/>
            <w:sz w:val="24"/>
            <w:szCs w:val="24"/>
            <w:u w:val="none"/>
          </w:rPr>
          <w:t>Член 30.04 Оценка на риска</w:t>
        </w:r>
        <w:r w:rsidR="002B38F5">
          <w:rPr>
            <w:rStyle w:val="Hyperlink"/>
            <w:rFonts w:ascii="Times New Roman" w:hAnsi="Times New Roman"/>
            <w:b w:val="0"/>
            <w:bCs w:val="0"/>
            <w:color w:val="auto"/>
            <w:sz w:val="24"/>
            <w:szCs w:val="24"/>
            <w:u w:val="none"/>
          </w:rPr>
          <w:t xml:space="preserve">                                                                                                                    </w:t>
        </w:r>
        <w:r w:rsidR="006149FB" w:rsidRPr="00F06DE2">
          <w:rPr>
            <w:rFonts w:ascii="Times New Roman" w:hAnsi="Times New Roman"/>
            <w:sz w:val="24"/>
            <w:szCs w:val="24"/>
            <w:lang w:val="ru-RU"/>
          </w:rPr>
          <w:t>199</w:t>
        </w:r>
      </w:hyperlink>
    </w:p>
    <w:p w14:paraId="50CA1134" w14:textId="05A7B23E" w:rsidR="00271FA2" w:rsidRPr="00F06DE2" w:rsidRDefault="002C62EC">
      <w:pPr>
        <w:pStyle w:val="TOC3"/>
        <w:ind w:right="-2"/>
        <w:rPr>
          <w:rFonts w:ascii="Times New Roman" w:eastAsiaTheme="minorEastAsia" w:hAnsi="Times New Roman"/>
          <w:sz w:val="24"/>
          <w:szCs w:val="24"/>
          <w:lang w:eastAsia="en-GB" w:bidi="ar-SA"/>
        </w:rPr>
      </w:pPr>
      <w:hyperlink w:anchor="_Toc535827705" w:history="1">
        <w:r w:rsidR="00D35E51" w:rsidRPr="00F06DE2">
          <w:rPr>
            <w:rStyle w:val="Hyperlink"/>
            <w:rFonts w:ascii="Times New Roman" w:hAnsi="Times New Roman"/>
            <w:b w:val="0"/>
            <w:bCs w:val="0"/>
            <w:color w:val="auto"/>
            <w:sz w:val="24"/>
            <w:szCs w:val="24"/>
            <w:u w:val="none"/>
          </w:rPr>
          <w:t>Член 30.05 Организация на безопасността</w:t>
        </w:r>
        <w:r w:rsidR="002B38F5">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20</w:t>
        </w:r>
        <w:r w:rsidR="006149FB" w:rsidRPr="00F06DE2">
          <w:rPr>
            <w:rFonts w:ascii="Times New Roman" w:hAnsi="Times New Roman"/>
            <w:sz w:val="24"/>
            <w:szCs w:val="24"/>
            <w:lang w:val="ru-RU"/>
          </w:rPr>
          <w:t>1</w:t>
        </w:r>
      </w:hyperlink>
    </w:p>
    <w:p w14:paraId="7302EAFA" w14:textId="4320762E" w:rsidR="00271FA2" w:rsidRPr="00F06DE2" w:rsidRDefault="002C62EC">
      <w:pPr>
        <w:pStyle w:val="TOC3"/>
        <w:ind w:right="-2"/>
        <w:rPr>
          <w:rFonts w:ascii="Times New Roman" w:eastAsiaTheme="minorEastAsia" w:hAnsi="Times New Roman"/>
          <w:sz w:val="24"/>
          <w:szCs w:val="24"/>
          <w:lang w:eastAsia="en-GB" w:bidi="ar-SA"/>
        </w:rPr>
      </w:pPr>
      <w:hyperlink w:anchor="_Toc535827706" w:history="1">
        <w:r w:rsidR="00D35E51" w:rsidRPr="00F06DE2">
          <w:rPr>
            <w:rStyle w:val="Hyperlink"/>
            <w:rFonts w:ascii="Times New Roman" w:hAnsi="Times New Roman"/>
            <w:b w:val="0"/>
            <w:bCs w:val="0"/>
            <w:color w:val="auto"/>
            <w:sz w:val="24"/>
            <w:szCs w:val="24"/>
            <w:u w:val="none"/>
          </w:rPr>
          <w:t>Член 30.06 Маркиране</w:t>
        </w:r>
        <w:r w:rsidR="002B38F5">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20</w:t>
        </w:r>
        <w:r w:rsidR="006149FB" w:rsidRPr="00F06DE2">
          <w:rPr>
            <w:rFonts w:ascii="Times New Roman" w:hAnsi="Times New Roman"/>
            <w:sz w:val="24"/>
            <w:szCs w:val="24"/>
            <w:lang w:val="ru-RU"/>
          </w:rPr>
          <w:t>2</w:t>
        </w:r>
      </w:hyperlink>
    </w:p>
    <w:p w14:paraId="51FD7906" w14:textId="577F9600" w:rsidR="00271FA2" w:rsidRPr="00F06DE2" w:rsidRDefault="002C62EC">
      <w:pPr>
        <w:pStyle w:val="TOC3"/>
        <w:ind w:right="-2"/>
        <w:rPr>
          <w:rFonts w:ascii="Times New Roman" w:hAnsi="Times New Roman"/>
          <w:sz w:val="24"/>
          <w:szCs w:val="24"/>
        </w:rPr>
      </w:pPr>
      <w:hyperlink w:anchor="_Toc535827707" w:history="1">
        <w:r w:rsidR="00D35E51" w:rsidRPr="00F06DE2">
          <w:rPr>
            <w:rStyle w:val="Hyperlink"/>
            <w:rFonts w:ascii="Times New Roman" w:hAnsi="Times New Roman"/>
            <w:b w:val="0"/>
            <w:bCs w:val="0"/>
            <w:color w:val="auto"/>
            <w:sz w:val="24"/>
            <w:szCs w:val="24"/>
            <w:u w:val="none"/>
          </w:rPr>
          <w:t>Член 30.07 Независимо задвижване</w:t>
        </w:r>
        <w:r w:rsidR="002B38F5">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20</w:t>
        </w:r>
        <w:r w:rsidR="006149FB" w:rsidRPr="00F06DE2">
          <w:rPr>
            <w:rFonts w:ascii="Times New Roman" w:hAnsi="Times New Roman"/>
            <w:sz w:val="24"/>
            <w:szCs w:val="24"/>
            <w:lang w:val="ru-RU"/>
          </w:rPr>
          <w:t>3</w:t>
        </w:r>
      </w:hyperlink>
    </w:p>
    <w:p w14:paraId="0418ACEE" w14:textId="296DFCF2" w:rsidR="00271FA2" w:rsidRPr="00F06DE2" w:rsidRDefault="00D35E51" w:rsidP="009C77D6">
      <w:pPr>
        <w:ind w:right="-142"/>
        <w:rPr>
          <w:rFonts w:ascii="Times New Roman" w:hAnsi="Times New Roman" w:cs="Times New Roman"/>
          <w:i/>
          <w:iCs/>
          <w:sz w:val="24"/>
          <w:szCs w:val="24"/>
          <w:lang w:val="ru-RU" w:eastAsia="bg-BG" w:bidi="bg-BG"/>
        </w:rPr>
      </w:pPr>
      <w:r w:rsidRPr="00F06DE2">
        <w:rPr>
          <w:rFonts w:ascii="Times New Roman" w:hAnsi="Times New Roman" w:cs="Times New Roman"/>
          <w:i/>
          <w:iCs/>
          <w:sz w:val="24"/>
          <w:szCs w:val="24"/>
          <w:lang w:val="ru-RU" w:eastAsia="bg-BG" w:bidi="bg-BG"/>
        </w:rPr>
        <w:t>Член 30.08 Пожарна безопасност</w:t>
      </w:r>
      <w:r w:rsidR="002B38F5">
        <w:rPr>
          <w:rFonts w:ascii="Times New Roman" w:hAnsi="Times New Roman" w:cs="Times New Roman"/>
          <w:i/>
          <w:iCs/>
          <w:sz w:val="24"/>
          <w:szCs w:val="24"/>
          <w:lang w:val="ru-RU" w:eastAsia="bg-BG" w:bidi="bg-BG"/>
        </w:rPr>
        <w:t xml:space="preserve">                                                                                                </w:t>
      </w:r>
      <w:r w:rsidRPr="00F06DE2">
        <w:rPr>
          <w:rFonts w:ascii="Times New Roman" w:hAnsi="Times New Roman" w:cs="Times New Roman"/>
          <w:i/>
          <w:iCs/>
          <w:sz w:val="24"/>
          <w:szCs w:val="24"/>
          <w:lang w:val="ru-RU" w:eastAsia="bg-BG" w:bidi="bg-BG"/>
        </w:rPr>
        <w:t>20</w:t>
      </w:r>
      <w:r w:rsidR="006149FB" w:rsidRPr="00F06DE2">
        <w:rPr>
          <w:rFonts w:ascii="Times New Roman" w:hAnsi="Times New Roman" w:cs="Times New Roman"/>
          <w:i/>
          <w:iCs/>
          <w:sz w:val="24"/>
          <w:szCs w:val="24"/>
          <w:lang w:val="ru-RU" w:eastAsia="bg-BG" w:bidi="bg-BG"/>
        </w:rPr>
        <w:t>3</w:t>
      </w:r>
    </w:p>
    <w:p w14:paraId="41AEE075" w14:textId="5E3E7150" w:rsidR="00271FA2" w:rsidRPr="00F06DE2" w:rsidRDefault="00D35E51">
      <w:pPr>
        <w:rPr>
          <w:rFonts w:ascii="Times New Roman" w:hAnsi="Times New Roman" w:cs="Times New Roman"/>
          <w:i/>
          <w:iCs/>
          <w:sz w:val="24"/>
          <w:szCs w:val="24"/>
          <w:lang w:val="ru-RU" w:eastAsia="bg-BG" w:bidi="bg-BG"/>
        </w:rPr>
      </w:pPr>
      <w:r w:rsidRPr="00F06DE2">
        <w:rPr>
          <w:rFonts w:ascii="Times New Roman" w:hAnsi="Times New Roman" w:cs="Times New Roman"/>
          <w:i/>
          <w:iCs/>
          <w:sz w:val="24"/>
          <w:szCs w:val="24"/>
          <w:lang w:val="ru-RU" w:eastAsia="bg-BG" w:bidi="bg-BG"/>
        </w:rPr>
        <w:t>Член 30.09 Електрически инсталации</w:t>
      </w:r>
      <w:r w:rsidR="002B38F5">
        <w:rPr>
          <w:rFonts w:ascii="Times New Roman" w:hAnsi="Times New Roman" w:cs="Times New Roman"/>
          <w:i/>
          <w:iCs/>
          <w:sz w:val="24"/>
          <w:szCs w:val="24"/>
          <w:lang w:val="ru-RU" w:eastAsia="bg-BG" w:bidi="bg-BG"/>
        </w:rPr>
        <w:t xml:space="preserve">                         </w:t>
      </w:r>
      <w:r w:rsidR="00832A3A">
        <w:rPr>
          <w:rFonts w:ascii="Times New Roman" w:hAnsi="Times New Roman" w:cs="Times New Roman"/>
          <w:i/>
          <w:iCs/>
          <w:sz w:val="24"/>
          <w:szCs w:val="24"/>
          <w:lang w:val="ru-RU" w:eastAsia="bg-BG" w:bidi="bg-BG"/>
        </w:rPr>
        <w:t xml:space="preserve"> </w:t>
      </w:r>
      <w:r w:rsidR="002B38F5">
        <w:rPr>
          <w:rFonts w:ascii="Times New Roman" w:hAnsi="Times New Roman" w:cs="Times New Roman"/>
          <w:i/>
          <w:iCs/>
          <w:sz w:val="24"/>
          <w:szCs w:val="24"/>
          <w:lang w:val="ru-RU" w:eastAsia="bg-BG" w:bidi="bg-BG"/>
        </w:rPr>
        <w:t xml:space="preserve">                                               </w:t>
      </w:r>
      <w:r w:rsidR="00832A3A">
        <w:rPr>
          <w:rFonts w:ascii="Times New Roman" w:hAnsi="Times New Roman" w:cs="Times New Roman"/>
          <w:i/>
          <w:iCs/>
          <w:sz w:val="24"/>
          <w:szCs w:val="24"/>
          <w:lang w:val="ru-RU" w:eastAsia="bg-BG" w:bidi="bg-BG"/>
        </w:rPr>
        <w:t xml:space="preserve"> </w:t>
      </w:r>
      <w:r w:rsidR="002B38F5">
        <w:rPr>
          <w:rFonts w:ascii="Times New Roman" w:hAnsi="Times New Roman" w:cs="Times New Roman"/>
          <w:i/>
          <w:iCs/>
          <w:sz w:val="24"/>
          <w:szCs w:val="24"/>
          <w:lang w:val="ru-RU" w:eastAsia="bg-BG" w:bidi="bg-BG"/>
        </w:rPr>
        <w:t xml:space="preserve">               </w:t>
      </w:r>
      <w:r w:rsidRPr="00F06DE2">
        <w:rPr>
          <w:rFonts w:ascii="Times New Roman" w:hAnsi="Times New Roman" w:cs="Times New Roman"/>
          <w:i/>
          <w:iCs/>
          <w:sz w:val="24"/>
          <w:szCs w:val="24"/>
          <w:lang w:val="ru-RU" w:eastAsia="bg-BG" w:bidi="bg-BG"/>
        </w:rPr>
        <w:t>20</w:t>
      </w:r>
      <w:r w:rsidR="006149FB" w:rsidRPr="00F06DE2">
        <w:rPr>
          <w:rFonts w:ascii="Times New Roman" w:hAnsi="Times New Roman" w:cs="Times New Roman"/>
          <w:i/>
          <w:iCs/>
          <w:sz w:val="24"/>
          <w:szCs w:val="24"/>
          <w:lang w:val="ru-RU" w:eastAsia="bg-BG" w:bidi="bg-BG"/>
        </w:rPr>
        <w:t>3</w:t>
      </w:r>
    </w:p>
    <w:p w14:paraId="6CE5B29B" w14:textId="688DFBD4" w:rsidR="00271FA2" w:rsidRPr="00F06DE2" w:rsidRDefault="00D35E51">
      <w:pPr>
        <w:rPr>
          <w:rFonts w:ascii="Times New Roman" w:hAnsi="Times New Roman" w:cs="Times New Roman"/>
          <w:i/>
          <w:iCs/>
          <w:sz w:val="24"/>
          <w:szCs w:val="24"/>
          <w:lang w:val="ru-RU" w:eastAsia="bg-BG" w:bidi="bg-BG"/>
        </w:rPr>
      </w:pPr>
      <w:r w:rsidRPr="00F06DE2">
        <w:rPr>
          <w:rFonts w:ascii="Times New Roman" w:hAnsi="Times New Roman" w:cs="Times New Roman"/>
          <w:i/>
          <w:iCs/>
          <w:sz w:val="24"/>
          <w:szCs w:val="24"/>
          <w:lang w:val="ru-RU" w:eastAsia="bg-BG" w:bidi="bg-BG"/>
        </w:rPr>
        <w:t>Член 30.10 Системи за контрол, наблюдение и безопасност</w:t>
      </w:r>
      <w:r w:rsidR="00832A3A">
        <w:rPr>
          <w:rFonts w:ascii="Times New Roman" w:hAnsi="Times New Roman" w:cs="Times New Roman"/>
          <w:i/>
          <w:iCs/>
          <w:sz w:val="24"/>
          <w:szCs w:val="24"/>
          <w:lang w:val="ru-RU" w:eastAsia="bg-BG" w:bidi="bg-BG"/>
        </w:rPr>
        <w:t xml:space="preserve">                                                   </w:t>
      </w:r>
      <w:r w:rsidRPr="00F06DE2">
        <w:rPr>
          <w:rFonts w:ascii="Times New Roman" w:hAnsi="Times New Roman" w:cs="Times New Roman"/>
          <w:i/>
          <w:iCs/>
          <w:sz w:val="24"/>
          <w:szCs w:val="24"/>
          <w:lang w:val="ru-RU" w:eastAsia="bg-BG" w:bidi="bg-BG"/>
        </w:rPr>
        <w:t>20</w:t>
      </w:r>
      <w:r w:rsidR="006149FB" w:rsidRPr="00F06DE2">
        <w:rPr>
          <w:rFonts w:ascii="Times New Roman" w:hAnsi="Times New Roman" w:cs="Times New Roman"/>
          <w:i/>
          <w:iCs/>
          <w:sz w:val="24"/>
          <w:szCs w:val="24"/>
          <w:lang w:val="ru-RU" w:eastAsia="bg-BG" w:bidi="bg-BG"/>
        </w:rPr>
        <w:t>3</w:t>
      </w:r>
    </w:p>
    <w:p w14:paraId="4301D6CD" w14:textId="32B99746" w:rsidR="00271FA2" w:rsidRPr="00F06DE2" w:rsidRDefault="00D35E51">
      <w:pPr>
        <w:rPr>
          <w:rFonts w:ascii="Times New Roman" w:hAnsi="Times New Roman" w:cs="Times New Roman"/>
          <w:i/>
          <w:iCs/>
          <w:sz w:val="24"/>
          <w:szCs w:val="24"/>
          <w:lang w:eastAsia="bg-BG" w:bidi="bg-BG"/>
        </w:rPr>
      </w:pPr>
      <w:r w:rsidRPr="00F06DE2">
        <w:rPr>
          <w:rFonts w:ascii="Times New Roman" w:hAnsi="Times New Roman" w:cs="Times New Roman"/>
          <w:i/>
          <w:iCs/>
          <w:sz w:val="24"/>
          <w:szCs w:val="24"/>
          <w:lang w:val="ru-RU" w:eastAsia="bg-BG" w:bidi="bg-BG"/>
        </w:rPr>
        <w:t>Член 30.11 Тестване</w:t>
      </w:r>
      <w:r w:rsidR="00832A3A">
        <w:rPr>
          <w:rFonts w:ascii="Times New Roman" w:hAnsi="Times New Roman" w:cs="Times New Roman"/>
          <w:i/>
          <w:iCs/>
          <w:sz w:val="24"/>
          <w:szCs w:val="24"/>
          <w:lang w:val="ru-RU" w:eastAsia="bg-BG" w:bidi="bg-BG"/>
        </w:rPr>
        <w:t xml:space="preserve">                                                                                                                       </w:t>
      </w:r>
      <w:r w:rsidRPr="00F06DE2">
        <w:rPr>
          <w:rFonts w:ascii="Times New Roman" w:hAnsi="Times New Roman" w:cs="Times New Roman"/>
          <w:i/>
          <w:iCs/>
          <w:sz w:val="24"/>
          <w:szCs w:val="24"/>
          <w:lang w:eastAsia="bg-BG" w:bidi="bg-BG"/>
        </w:rPr>
        <w:t>20</w:t>
      </w:r>
      <w:r w:rsidR="006149FB" w:rsidRPr="00F06DE2">
        <w:rPr>
          <w:rFonts w:ascii="Times New Roman" w:hAnsi="Times New Roman" w:cs="Times New Roman"/>
          <w:i/>
          <w:iCs/>
          <w:sz w:val="24"/>
          <w:szCs w:val="24"/>
          <w:lang w:eastAsia="bg-BG" w:bidi="bg-BG"/>
        </w:rPr>
        <w:t>4</w:t>
      </w:r>
    </w:p>
    <w:p w14:paraId="389A3EEE" w14:textId="7B8A9AE8"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708" w:history="1">
        <w:r w:rsidR="00D35E51" w:rsidRPr="00F06DE2">
          <w:rPr>
            <w:rStyle w:val="Hyperlink"/>
            <w:rFonts w:ascii="Times New Roman" w:hAnsi="Times New Roman"/>
            <w:b w:val="0"/>
            <w:bCs w:val="0"/>
            <w:i/>
            <w:iCs/>
            <w:color w:val="auto"/>
            <w:sz w:val="24"/>
            <w:szCs w:val="24"/>
            <w:u w:val="none"/>
          </w:rPr>
          <w:t>Глава 31 Специални разпоредби, приложими за плавателни съдове, които</w:t>
        </w:r>
        <w:r w:rsidR="00832A3A">
          <w:rPr>
            <w:rStyle w:val="Hyperlink"/>
            <w:rFonts w:ascii="Times New Roman" w:hAnsi="Times New Roman"/>
            <w:b w:val="0"/>
            <w:bCs w:val="0"/>
            <w:i/>
            <w:iCs/>
            <w:color w:val="auto"/>
            <w:sz w:val="24"/>
            <w:szCs w:val="24"/>
            <w:u w:val="none"/>
          </w:rPr>
          <w:br/>
        </w:r>
        <w:r w:rsidR="00D35E51" w:rsidRPr="00F06DE2">
          <w:rPr>
            <w:rStyle w:val="Hyperlink"/>
            <w:rFonts w:ascii="Times New Roman" w:hAnsi="Times New Roman"/>
            <w:b w:val="0"/>
            <w:bCs w:val="0"/>
            <w:i/>
            <w:iCs/>
            <w:color w:val="auto"/>
            <w:sz w:val="24"/>
            <w:szCs w:val="24"/>
            <w:u w:val="none"/>
          </w:rPr>
          <w:t>плават с минимален екипаж</w:t>
        </w:r>
        <w:r w:rsidR="00832A3A">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20</w:t>
        </w:r>
        <w:r w:rsidR="006149FB" w:rsidRPr="00F06DE2">
          <w:rPr>
            <w:rFonts w:ascii="Times New Roman" w:hAnsi="Times New Roman"/>
            <w:i/>
            <w:iCs/>
            <w:sz w:val="24"/>
            <w:szCs w:val="24"/>
            <w:lang w:val="en-US"/>
          </w:rPr>
          <w:t>5</w:t>
        </w:r>
      </w:hyperlink>
    </w:p>
    <w:p w14:paraId="106CFCBE" w14:textId="677C09D6" w:rsidR="00271FA2" w:rsidRPr="00F06DE2" w:rsidRDefault="002C62EC">
      <w:pPr>
        <w:pStyle w:val="TOC3"/>
        <w:ind w:right="-2"/>
        <w:rPr>
          <w:rFonts w:ascii="Times New Roman" w:eastAsiaTheme="minorEastAsia" w:hAnsi="Times New Roman"/>
          <w:sz w:val="24"/>
          <w:szCs w:val="24"/>
          <w:lang w:eastAsia="en-GB" w:bidi="ar-SA"/>
        </w:rPr>
      </w:pPr>
      <w:hyperlink w:anchor="_Toc535827709" w:history="1">
        <w:r w:rsidR="00D35E51" w:rsidRPr="00F06DE2">
          <w:rPr>
            <w:rStyle w:val="Hyperlink"/>
            <w:rFonts w:ascii="Times New Roman" w:hAnsi="Times New Roman"/>
            <w:b w:val="0"/>
            <w:bCs w:val="0"/>
            <w:color w:val="auto"/>
            <w:sz w:val="24"/>
            <w:szCs w:val="24"/>
            <w:u w:val="none"/>
          </w:rPr>
          <w:t>Член 31.01 Оборудване на плавателния съд</w:t>
        </w:r>
        <w:r w:rsidR="00832A3A">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20</w:t>
        </w:r>
        <w:r w:rsidR="006149FB" w:rsidRPr="00F06DE2">
          <w:rPr>
            <w:rFonts w:ascii="Times New Roman" w:hAnsi="Times New Roman"/>
            <w:sz w:val="24"/>
            <w:szCs w:val="24"/>
            <w:lang w:val="en-US"/>
          </w:rPr>
          <w:t>5</w:t>
        </w:r>
      </w:hyperlink>
    </w:p>
    <w:p w14:paraId="4028B50E" w14:textId="32A0304C" w:rsidR="00271FA2" w:rsidRPr="00F06DE2" w:rsidRDefault="002C62EC">
      <w:pPr>
        <w:pStyle w:val="TOC3"/>
        <w:ind w:right="-2"/>
        <w:rPr>
          <w:rFonts w:ascii="Times New Roman" w:eastAsiaTheme="minorEastAsia" w:hAnsi="Times New Roman"/>
          <w:sz w:val="24"/>
          <w:szCs w:val="24"/>
          <w:lang w:eastAsia="en-GB" w:bidi="ar-SA"/>
        </w:rPr>
      </w:pPr>
      <w:hyperlink w:anchor="_Toc535827711" w:history="1">
        <w:r w:rsidR="00D35E51" w:rsidRPr="00F06DE2">
          <w:rPr>
            <w:rStyle w:val="Hyperlink"/>
            <w:rFonts w:ascii="Times New Roman" w:hAnsi="Times New Roman"/>
            <w:b w:val="0"/>
            <w:bCs w:val="0"/>
            <w:color w:val="auto"/>
            <w:sz w:val="24"/>
            <w:szCs w:val="24"/>
            <w:u w:val="none"/>
          </w:rPr>
          <w:t>Член 31.02 Стандарт S1</w:t>
        </w:r>
        <w:r w:rsidR="00832A3A">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20</w:t>
        </w:r>
        <w:r w:rsidR="006149FB" w:rsidRPr="00F06DE2">
          <w:rPr>
            <w:rFonts w:ascii="Times New Roman" w:hAnsi="Times New Roman"/>
            <w:sz w:val="24"/>
            <w:szCs w:val="24"/>
            <w:lang w:val="en-US"/>
          </w:rPr>
          <w:t>5</w:t>
        </w:r>
      </w:hyperlink>
    </w:p>
    <w:p w14:paraId="74B69E1E" w14:textId="0A7E25D1" w:rsidR="00271FA2" w:rsidRPr="00F06DE2" w:rsidRDefault="002C62EC">
      <w:pPr>
        <w:pStyle w:val="TOC3"/>
        <w:ind w:right="-2"/>
        <w:rPr>
          <w:rFonts w:ascii="Times New Roman" w:eastAsiaTheme="minorEastAsia" w:hAnsi="Times New Roman"/>
          <w:sz w:val="24"/>
          <w:szCs w:val="24"/>
          <w:lang w:eastAsia="en-GB" w:bidi="ar-SA"/>
        </w:rPr>
      </w:pPr>
      <w:hyperlink w:anchor="_Toc535827711" w:history="1">
        <w:r w:rsidR="00D35E51" w:rsidRPr="00F06DE2">
          <w:rPr>
            <w:rStyle w:val="Hyperlink"/>
            <w:rFonts w:ascii="Times New Roman" w:hAnsi="Times New Roman"/>
            <w:b w:val="0"/>
            <w:bCs w:val="0"/>
            <w:color w:val="auto"/>
            <w:sz w:val="24"/>
            <w:szCs w:val="24"/>
            <w:u w:val="none"/>
          </w:rPr>
          <w:t>Член 31.03 Стандарт S2</w:t>
        </w:r>
        <w:r w:rsidR="00832A3A">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20</w:t>
        </w:r>
        <w:r w:rsidR="006149FB" w:rsidRPr="00F06DE2">
          <w:rPr>
            <w:rFonts w:ascii="Times New Roman" w:hAnsi="Times New Roman"/>
            <w:sz w:val="24"/>
            <w:szCs w:val="24"/>
            <w:lang w:val="en-US"/>
          </w:rPr>
          <w:t>6</w:t>
        </w:r>
      </w:hyperlink>
    </w:p>
    <w:p w14:paraId="1CDCE268" w14:textId="7E2E0853" w:rsidR="00271FA2" w:rsidRPr="00F06DE2" w:rsidRDefault="002C62EC">
      <w:pPr>
        <w:pStyle w:val="TOC1"/>
        <w:ind w:left="0" w:right="-2" w:firstLine="0"/>
        <w:rPr>
          <w:rFonts w:ascii="Times New Roman" w:eastAsiaTheme="minorEastAsia" w:hAnsi="Times New Roman"/>
          <w:b w:val="0"/>
          <w:bCs w:val="0"/>
          <w:i/>
          <w:iCs/>
          <w:caps w:val="0"/>
          <w:sz w:val="24"/>
          <w:szCs w:val="24"/>
          <w:lang w:eastAsia="en-GB" w:bidi="ar-SA"/>
        </w:rPr>
      </w:pPr>
      <w:hyperlink w:anchor="_Toc535827712" w:history="1">
        <w:r w:rsidR="00D35E51" w:rsidRPr="00F06DE2">
          <w:rPr>
            <w:rStyle w:val="Hyperlink"/>
            <w:rFonts w:ascii="Times New Roman" w:hAnsi="Times New Roman"/>
            <w:i/>
            <w:iCs/>
            <w:color w:val="auto"/>
            <w:sz w:val="24"/>
            <w:szCs w:val="24"/>
            <w:u w:val="none"/>
          </w:rPr>
          <w:t>ЧАСТ IV ПРЕХОДНИ РАЗПОРЕДБИ</w:t>
        </w:r>
        <w:r w:rsidR="00832A3A">
          <w:rPr>
            <w:rStyle w:val="Hyperlink"/>
            <w:rFonts w:ascii="Times New Roman" w:hAnsi="Times New Roman"/>
            <w:i/>
            <w:iCs/>
            <w:color w:val="auto"/>
            <w:sz w:val="24"/>
            <w:szCs w:val="24"/>
            <w:u w:val="none"/>
          </w:rPr>
          <w:t xml:space="preserve">                                                                                        </w:t>
        </w:r>
        <w:r w:rsidR="00D35E51" w:rsidRPr="00F06DE2">
          <w:rPr>
            <w:rFonts w:ascii="Times New Roman" w:hAnsi="Times New Roman"/>
            <w:b w:val="0"/>
            <w:bCs w:val="0"/>
            <w:i/>
            <w:iCs/>
            <w:sz w:val="24"/>
            <w:szCs w:val="24"/>
          </w:rPr>
          <w:t>20</w:t>
        </w:r>
        <w:r w:rsidR="006149FB" w:rsidRPr="00F06DE2">
          <w:rPr>
            <w:rFonts w:ascii="Times New Roman" w:hAnsi="Times New Roman"/>
            <w:b w:val="0"/>
            <w:bCs w:val="0"/>
            <w:i/>
            <w:iCs/>
            <w:sz w:val="24"/>
            <w:szCs w:val="24"/>
            <w:lang w:val="en-US"/>
          </w:rPr>
          <w:t>7</w:t>
        </w:r>
      </w:hyperlink>
    </w:p>
    <w:p w14:paraId="60E66CD9" w14:textId="4F9694CA"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713" w:history="1">
        <w:r w:rsidR="00D35E51" w:rsidRPr="00F06DE2">
          <w:rPr>
            <w:rStyle w:val="Hyperlink"/>
            <w:rFonts w:ascii="Times New Roman" w:hAnsi="Times New Roman"/>
            <w:b w:val="0"/>
            <w:bCs w:val="0"/>
            <w:i/>
            <w:iCs/>
            <w:color w:val="auto"/>
            <w:sz w:val="24"/>
            <w:szCs w:val="24"/>
            <w:u w:val="none"/>
          </w:rPr>
          <w:t>Глава 32 Преходни разпоредби за плавателни средства плаващи по река Рейн (зона R)</w:t>
        </w:r>
        <w:r w:rsidR="00956490">
          <w:rPr>
            <w:rStyle w:val="Hyperlink"/>
            <w:rFonts w:ascii="Times New Roman" w:hAnsi="Times New Roman"/>
            <w:b w:val="0"/>
            <w:bCs w:val="0"/>
            <w:i/>
            <w:iCs/>
            <w:color w:val="auto"/>
            <w:sz w:val="24"/>
            <w:szCs w:val="24"/>
            <w:u w:val="none"/>
          </w:rPr>
          <w:t xml:space="preserve">         </w:t>
        </w:r>
        <w:r w:rsidR="00D35E51" w:rsidRPr="00F06DE2">
          <w:rPr>
            <w:rFonts w:ascii="Times New Roman" w:hAnsi="Times New Roman"/>
            <w:i/>
            <w:iCs/>
            <w:sz w:val="24"/>
            <w:szCs w:val="24"/>
          </w:rPr>
          <w:t>20</w:t>
        </w:r>
        <w:r w:rsidR="006149FB" w:rsidRPr="00F06DE2">
          <w:rPr>
            <w:rFonts w:ascii="Times New Roman" w:hAnsi="Times New Roman"/>
            <w:i/>
            <w:iCs/>
            <w:sz w:val="24"/>
            <w:szCs w:val="24"/>
            <w:lang w:val="en-US"/>
          </w:rPr>
          <w:t>7</w:t>
        </w:r>
      </w:hyperlink>
    </w:p>
    <w:p w14:paraId="02EA9C19" w14:textId="4F4AC048" w:rsidR="00271FA2" w:rsidRPr="00F06DE2" w:rsidRDefault="002C62EC">
      <w:pPr>
        <w:pStyle w:val="TOC3"/>
        <w:ind w:left="0" w:right="-2" w:firstLine="0"/>
        <w:rPr>
          <w:rFonts w:ascii="Times New Roman" w:eastAsiaTheme="minorEastAsia" w:hAnsi="Times New Roman"/>
          <w:sz w:val="24"/>
          <w:szCs w:val="24"/>
          <w:lang w:val="ru-RU" w:eastAsia="en-GB" w:bidi="ar-SA"/>
        </w:rPr>
      </w:pPr>
      <w:hyperlink w:anchor="_Toc535827714" w:history="1">
        <w:r w:rsidR="00D35E51" w:rsidRPr="00F06DE2">
          <w:rPr>
            <w:rStyle w:val="Hyperlink"/>
            <w:rFonts w:ascii="Times New Roman" w:hAnsi="Times New Roman"/>
            <w:b w:val="0"/>
            <w:bCs w:val="0"/>
            <w:color w:val="auto"/>
            <w:sz w:val="24"/>
            <w:szCs w:val="24"/>
            <w:u w:val="none"/>
          </w:rPr>
          <w:t xml:space="preserve">Член 32.01 </w:t>
        </w:r>
      </w:hyperlink>
      <w:r w:rsidR="00D35E51" w:rsidRPr="00F06DE2">
        <w:rPr>
          <w:rStyle w:val="Hyperlink"/>
          <w:rFonts w:ascii="Times New Roman" w:hAnsi="Times New Roman"/>
          <w:b w:val="0"/>
          <w:bCs w:val="0"/>
          <w:color w:val="auto"/>
          <w:sz w:val="24"/>
          <w:szCs w:val="24"/>
          <w:u w:val="none"/>
        </w:rPr>
        <w:t>Приложимост на преходни разпоредби към плавателни средства, които</w:t>
      </w:r>
      <w:r w:rsidR="00573EF6">
        <w:rPr>
          <w:rStyle w:val="Hyperlink"/>
          <w:rFonts w:ascii="Times New Roman" w:hAnsi="Times New Roman"/>
          <w:b w:val="0"/>
          <w:bCs w:val="0"/>
          <w:color w:val="auto"/>
          <w:sz w:val="24"/>
          <w:szCs w:val="24"/>
          <w:u w:val="none"/>
        </w:rPr>
        <w:br/>
      </w:r>
      <w:r w:rsidR="00D35E51" w:rsidRPr="00F06DE2">
        <w:rPr>
          <w:rStyle w:val="Hyperlink"/>
          <w:rFonts w:ascii="Times New Roman" w:hAnsi="Times New Roman"/>
          <w:b w:val="0"/>
          <w:bCs w:val="0"/>
          <w:color w:val="auto"/>
          <w:sz w:val="24"/>
          <w:szCs w:val="24"/>
          <w:u w:val="none"/>
        </w:rPr>
        <w:t>вече са в експлоатация</w:t>
      </w:r>
      <w:r w:rsidR="00573EF6">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20</w:t>
      </w:r>
      <w:r w:rsidR="006149FB" w:rsidRPr="00F06DE2">
        <w:rPr>
          <w:rStyle w:val="Hyperlink"/>
          <w:rFonts w:ascii="Times New Roman" w:hAnsi="Times New Roman"/>
          <w:b w:val="0"/>
          <w:bCs w:val="0"/>
          <w:color w:val="auto"/>
          <w:sz w:val="24"/>
          <w:szCs w:val="24"/>
          <w:u w:val="none"/>
          <w:lang w:val="ru-RU"/>
        </w:rPr>
        <w:t>7</w:t>
      </w:r>
    </w:p>
    <w:p w14:paraId="7D7327B2" w14:textId="7A16BC55" w:rsidR="00271FA2" w:rsidRPr="00F06DE2" w:rsidRDefault="002C62EC" w:rsidP="00FB5C68">
      <w:pPr>
        <w:pStyle w:val="TOC3"/>
        <w:tabs>
          <w:tab w:val="clear" w:pos="9072"/>
        </w:tabs>
        <w:ind w:left="0" w:right="-2" w:firstLine="0"/>
        <w:rPr>
          <w:rFonts w:ascii="Times New Roman" w:eastAsiaTheme="minorEastAsia" w:hAnsi="Times New Roman"/>
          <w:sz w:val="24"/>
          <w:szCs w:val="24"/>
          <w:lang w:val="ru-RU" w:eastAsia="en-GB" w:bidi="ar-SA"/>
        </w:rPr>
      </w:pPr>
      <w:hyperlink w:anchor="_Toc535827716" w:history="1">
        <w:r w:rsidR="00D35E51" w:rsidRPr="00F06DE2">
          <w:rPr>
            <w:rStyle w:val="Hyperlink"/>
            <w:rFonts w:ascii="Times New Roman" w:hAnsi="Times New Roman"/>
            <w:b w:val="0"/>
            <w:bCs w:val="0"/>
            <w:color w:val="auto"/>
            <w:sz w:val="24"/>
            <w:szCs w:val="24"/>
            <w:u w:val="none"/>
          </w:rPr>
          <w:t xml:space="preserve">Член 32.02 </w:t>
        </w:r>
      </w:hyperlink>
      <w:r w:rsidR="00D35E51" w:rsidRPr="00F06DE2">
        <w:rPr>
          <w:rStyle w:val="Hyperlink"/>
          <w:rFonts w:ascii="Times New Roman" w:hAnsi="Times New Roman"/>
          <w:b w:val="0"/>
          <w:bCs w:val="0"/>
          <w:color w:val="auto"/>
          <w:sz w:val="24"/>
          <w:szCs w:val="24"/>
          <w:u w:val="none"/>
        </w:rPr>
        <w:t>Преходни разпоредби за плавателни средства, които</w:t>
      </w:r>
      <w:r w:rsidR="00573EF6">
        <w:rPr>
          <w:rStyle w:val="Hyperlink"/>
          <w:rFonts w:ascii="Times New Roman" w:hAnsi="Times New Roman"/>
          <w:b w:val="0"/>
          <w:bCs w:val="0"/>
          <w:color w:val="auto"/>
          <w:sz w:val="24"/>
          <w:szCs w:val="24"/>
          <w:u w:val="none"/>
        </w:rPr>
        <w:br/>
      </w:r>
      <w:r w:rsidR="00D35E51" w:rsidRPr="00F06DE2">
        <w:rPr>
          <w:rStyle w:val="Hyperlink"/>
          <w:rFonts w:ascii="Times New Roman" w:hAnsi="Times New Roman"/>
          <w:b w:val="0"/>
          <w:bCs w:val="0"/>
          <w:color w:val="auto"/>
          <w:sz w:val="24"/>
          <w:szCs w:val="24"/>
          <w:u w:val="none"/>
        </w:rPr>
        <w:t>вече са в експлоатация</w:t>
      </w:r>
      <w:r w:rsidR="00B136BC">
        <w:rPr>
          <w:rStyle w:val="Hyperlink"/>
          <w:rFonts w:ascii="Times New Roman" w:hAnsi="Times New Roman"/>
          <w:b w:val="0"/>
          <w:bCs w:val="0"/>
          <w:color w:val="auto"/>
          <w:sz w:val="24"/>
          <w:szCs w:val="24"/>
          <w:u w:val="none"/>
        </w:rPr>
        <w:t xml:space="preserve">                                                                                                                      </w:t>
      </w:r>
      <w:r w:rsidR="0093618E" w:rsidRPr="00F06DE2">
        <w:rPr>
          <w:rStyle w:val="Hyperlink"/>
          <w:rFonts w:ascii="Times New Roman" w:hAnsi="Times New Roman"/>
          <w:b w:val="0"/>
          <w:bCs w:val="0"/>
          <w:color w:val="auto"/>
          <w:sz w:val="24"/>
          <w:szCs w:val="24"/>
          <w:u w:val="none"/>
        </w:rPr>
        <w:t>20</w:t>
      </w:r>
      <w:r w:rsidR="0093618E" w:rsidRPr="00F06DE2">
        <w:rPr>
          <w:rStyle w:val="Hyperlink"/>
          <w:rFonts w:ascii="Times New Roman" w:hAnsi="Times New Roman"/>
          <w:b w:val="0"/>
          <w:bCs w:val="0"/>
          <w:color w:val="auto"/>
          <w:sz w:val="24"/>
          <w:szCs w:val="24"/>
          <w:u w:val="none"/>
          <w:lang w:val="ru-RU"/>
        </w:rPr>
        <w:t>7</w:t>
      </w:r>
    </w:p>
    <w:p w14:paraId="45C6D5D8" w14:textId="21F91C1F" w:rsidR="00271FA2" w:rsidRPr="00F06DE2" w:rsidRDefault="002C62EC">
      <w:pPr>
        <w:pStyle w:val="TOC3"/>
        <w:ind w:left="0" w:right="-2" w:firstLine="0"/>
        <w:rPr>
          <w:rFonts w:ascii="Times New Roman" w:eastAsiaTheme="minorEastAsia" w:hAnsi="Times New Roman"/>
          <w:sz w:val="24"/>
          <w:szCs w:val="24"/>
          <w:lang w:val="ru-RU" w:eastAsia="en-GB" w:bidi="ar-SA"/>
        </w:rPr>
      </w:pPr>
      <w:hyperlink w:anchor="_Toc535827718" w:history="1">
        <w:r w:rsidR="00D35E51" w:rsidRPr="00F06DE2">
          <w:rPr>
            <w:rStyle w:val="Hyperlink"/>
            <w:rFonts w:ascii="Times New Roman" w:hAnsi="Times New Roman"/>
            <w:b w:val="0"/>
            <w:bCs w:val="0"/>
            <w:color w:val="auto"/>
            <w:sz w:val="24"/>
            <w:szCs w:val="24"/>
          </w:rPr>
          <w:t xml:space="preserve">Член 32.03 </w:t>
        </w:r>
      </w:hyperlink>
      <w:r w:rsidR="00D35E51" w:rsidRPr="00F06DE2">
        <w:rPr>
          <w:rStyle w:val="Hyperlink"/>
          <w:rFonts w:ascii="Times New Roman" w:hAnsi="Times New Roman"/>
          <w:b w:val="0"/>
          <w:bCs w:val="0"/>
          <w:color w:val="auto"/>
          <w:sz w:val="24"/>
          <w:szCs w:val="24"/>
          <w:u w:val="none"/>
        </w:rPr>
        <w:t>Допълнителни преходни разпоредби за плавателни средства, които са заложени</w:t>
      </w:r>
      <w:r w:rsidR="00B136BC">
        <w:rPr>
          <w:rStyle w:val="Hyperlink"/>
          <w:rFonts w:ascii="Times New Roman" w:hAnsi="Times New Roman"/>
          <w:b w:val="0"/>
          <w:bCs w:val="0"/>
          <w:color w:val="auto"/>
          <w:sz w:val="24"/>
          <w:szCs w:val="24"/>
          <w:u w:val="none"/>
        </w:rPr>
        <w:br/>
      </w:r>
      <w:r w:rsidR="00D35E51" w:rsidRPr="00F06DE2">
        <w:rPr>
          <w:rStyle w:val="Hyperlink"/>
          <w:rFonts w:ascii="Times New Roman" w:hAnsi="Times New Roman"/>
          <w:b w:val="0"/>
          <w:bCs w:val="0"/>
          <w:color w:val="auto"/>
          <w:sz w:val="24"/>
          <w:szCs w:val="24"/>
          <w:u w:val="none"/>
        </w:rPr>
        <w:t>за строеж на или преди 1 април 1976 г.</w:t>
      </w:r>
      <w:r w:rsidR="00B136BC">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24</w:t>
      </w:r>
      <w:r w:rsidR="006149FB" w:rsidRPr="00F06DE2">
        <w:rPr>
          <w:rStyle w:val="Hyperlink"/>
          <w:rFonts w:ascii="Times New Roman" w:hAnsi="Times New Roman"/>
          <w:b w:val="0"/>
          <w:bCs w:val="0"/>
          <w:color w:val="auto"/>
          <w:sz w:val="24"/>
          <w:szCs w:val="24"/>
          <w:u w:val="none"/>
          <w:lang w:val="ru-RU"/>
        </w:rPr>
        <w:t>2</w:t>
      </w:r>
    </w:p>
    <w:p w14:paraId="7806ABE3" w14:textId="7E503240" w:rsidR="00271FA2" w:rsidRPr="00F06DE2" w:rsidRDefault="002C62EC">
      <w:pPr>
        <w:pStyle w:val="TOC3"/>
        <w:ind w:right="-2"/>
        <w:rPr>
          <w:rFonts w:ascii="Times New Roman" w:eastAsiaTheme="minorEastAsia" w:hAnsi="Times New Roman"/>
          <w:sz w:val="24"/>
          <w:szCs w:val="24"/>
          <w:lang w:eastAsia="en-GB" w:bidi="ar-SA"/>
        </w:rPr>
      </w:pPr>
      <w:hyperlink w:anchor="_Toc535827720" w:history="1">
        <w:r w:rsidR="00D35E51" w:rsidRPr="00F06DE2">
          <w:rPr>
            <w:rStyle w:val="Hyperlink"/>
            <w:rFonts w:ascii="Times New Roman" w:hAnsi="Times New Roman"/>
            <w:b w:val="0"/>
            <w:bCs w:val="0"/>
            <w:color w:val="auto"/>
            <w:sz w:val="24"/>
            <w:szCs w:val="24"/>
          </w:rPr>
          <w:t>Член 32.04</w:t>
        </w:r>
        <w:r w:rsidR="00D35E51" w:rsidRPr="00F06DE2">
          <w:rPr>
            <w:rFonts w:ascii="Times New Roman" w:hAnsi="Times New Roman"/>
            <w:sz w:val="24"/>
            <w:szCs w:val="24"/>
          </w:rPr>
          <w:t xml:space="preserve"> </w:t>
        </w:r>
        <w:r w:rsidR="00D35E51" w:rsidRPr="00F06DE2">
          <w:rPr>
            <w:rStyle w:val="Hyperlink"/>
            <w:rFonts w:ascii="Times New Roman" w:hAnsi="Times New Roman"/>
            <w:b w:val="0"/>
            <w:bCs w:val="0"/>
            <w:color w:val="auto"/>
            <w:sz w:val="24"/>
            <w:szCs w:val="24"/>
          </w:rPr>
          <w:t>Други преходни разпоредби</w:t>
        </w:r>
        <w:r w:rsidR="00B136BC">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24</w:t>
        </w:r>
        <w:r w:rsidR="006149FB" w:rsidRPr="00F06DE2">
          <w:rPr>
            <w:rFonts w:ascii="Times New Roman" w:hAnsi="Times New Roman"/>
            <w:sz w:val="24"/>
            <w:szCs w:val="24"/>
            <w:lang w:val="en-US"/>
          </w:rPr>
          <w:t>7</w:t>
        </w:r>
      </w:hyperlink>
    </w:p>
    <w:p w14:paraId="32FD1D4D" w14:textId="69206C2E" w:rsidR="00271FA2" w:rsidRPr="00F06DE2" w:rsidRDefault="002C62EC">
      <w:pPr>
        <w:pStyle w:val="TOC3"/>
        <w:ind w:left="0" w:right="-2" w:firstLine="0"/>
        <w:rPr>
          <w:rFonts w:ascii="Times New Roman" w:hAnsi="Times New Roman"/>
          <w:sz w:val="24"/>
          <w:szCs w:val="24"/>
          <w:lang w:val="ru-RU"/>
        </w:rPr>
      </w:pPr>
      <w:hyperlink w:anchor="_Toc535827722" w:history="1">
        <w:r w:rsidR="00D35E51" w:rsidRPr="00F06DE2">
          <w:rPr>
            <w:rStyle w:val="Hyperlink"/>
            <w:rFonts w:ascii="Times New Roman" w:hAnsi="Times New Roman"/>
            <w:b w:val="0"/>
            <w:bCs w:val="0"/>
            <w:color w:val="auto"/>
            <w:sz w:val="24"/>
            <w:szCs w:val="24"/>
            <w:u w:val="none"/>
          </w:rPr>
          <w:t xml:space="preserve">Член 32.05 </w:t>
        </w:r>
      </w:hyperlink>
      <w:r w:rsidR="00D35E51" w:rsidRPr="00F06DE2">
        <w:rPr>
          <w:rStyle w:val="Hyperlink"/>
          <w:rFonts w:ascii="Times New Roman" w:hAnsi="Times New Roman"/>
          <w:b w:val="0"/>
          <w:bCs w:val="0"/>
          <w:color w:val="auto"/>
          <w:sz w:val="24"/>
          <w:szCs w:val="24"/>
          <w:u w:val="none"/>
        </w:rPr>
        <w:t>Преходни разпоредби за плавателни средства, които не попадат в обхвата</w:t>
      </w:r>
      <w:r w:rsidR="00DB6929">
        <w:rPr>
          <w:rStyle w:val="Hyperlink"/>
          <w:rFonts w:ascii="Times New Roman" w:hAnsi="Times New Roman"/>
          <w:b w:val="0"/>
          <w:bCs w:val="0"/>
          <w:color w:val="auto"/>
          <w:sz w:val="24"/>
          <w:szCs w:val="24"/>
          <w:u w:val="none"/>
        </w:rPr>
        <w:br/>
      </w:r>
      <w:r w:rsidR="00D35E51" w:rsidRPr="00F06DE2">
        <w:rPr>
          <w:rStyle w:val="Hyperlink"/>
          <w:rFonts w:ascii="Times New Roman" w:hAnsi="Times New Roman"/>
          <w:b w:val="0"/>
          <w:bCs w:val="0"/>
          <w:color w:val="auto"/>
          <w:sz w:val="24"/>
          <w:szCs w:val="24"/>
          <w:u w:val="none"/>
        </w:rPr>
        <w:t>на член 32.01</w:t>
      </w:r>
      <w:r w:rsidR="00DB6929">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24</w:t>
      </w:r>
      <w:r w:rsidR="006149FB" w:rsidRPr="00F06DE2">
        <w:rPr>
          <w:rFonts w:ascii="Times New Roman" w:hAnsi="Times New Roman"/>
          <w:sz w:val="24"/>
          <w:szCs w:val="24"/>
          <w:lang w:val="ru-RU"/>
        </w:rPr>
        <w:t>8</w:t>
      </w:r>
    </w:p>
    <w:p w14:paraId="3359D3F0" w14:textId="6C677375" w:rsidR="00271FA2" w:rsidRPr="00F06DE2" w:rsidRDefault="00D35E51" w:rsidP="00DB6929">
      <w:pPr>
        <w:pStyle w:val="TOC3"/>
        <w:ind w:left="0" w:right="0" w:firstLine="0"/>
        <w:rPr>
          <w:rFonts w:ascii="Times New Roman" w:hAnsi="Times New Roman"/>
          <w:sz w:val="24"/>
          <w:szCs w:val="24"/>
        </w:rPr>
      </w:pPr>
      <w:r w:rsidRPr="00F06DE2">
        <w:rPr>
          <w:rFonts w:ascii="Times New Roman" w:hAnsi="Times New Roman"/>
          <w:sz w:val="24"/>
          <w:szCs w:val="24"/>
        </w:rPr>
        <w:t>Член 32.06 Корабни лодки, които са били на борда</w:t>
      </w:r>
      <w:r w:rsidR="00FB5C68" w:rsidRPr="00F06DE2">
        <w:rPr>
          <w:rFonts w:ascii="Times New Roman" w:hAnsi="Times New Roman"/>
          <w:sz w:val="24"/>
          <w:szCs w:val="24"/>
        </w:rPr>
        <w:t xml:space="preserve"> на плавателното средство</w:t>
      </w:r>
      <w:r w:rsidR="00DB6929">
        <w:rPr>
          <w:rFonts w:ascii="Times New Roman" w:hAnsi="Times New Roman"/>
          <w:sz w:val="24"/>
          <w:szCs w:val="24"/>
        </w:rPr>
        <w:br/>
      </w:r>
      <w:r w:rsidR="00FB5C68" w:rsidRPr="00F06DE2">
        <w:rPr>
          <w:rFonts w:ascii="Times New Roman" w:hAnsi="Times New Roman"/>
          <w:sz w:val="24"/>
          <w:szCs w:val="24"/>
        </w:rPr>
        <w:t>преди</w:t>
      </w:r>
      <w:r w:rsidR="00DB6929">
        <w:rPr>
          <w:rFonts w:ascii="Times New Roman" w:hAnsi="Times New Roman"/>
          <w:sz w:val="24"/>
          <w:szCs w:val="24"/>
        </w:rPr>
        <w:t xml:space="preserve"> </w:t>
      </w:r>
      <w:r w:rsidR="00FB5C68" w:rsidRPr="00F06DE2">
        <w:rPr>
          <w:rFonts w:ascii="Times New Roman" w:hAnsi="Times New Roman"/>
          <w:sz w:val="24"/>
          <w:szCs w:val="24"/>
          <w:lang w:val="ru-RU"/>
        </w:rPr>
        <w:t>0</w:t>
      </w:r>
      <w:r w:rsidRPr="00F06DE2">
        <w:rPr>
          <w:rFonts w:ascii="Times New Roman" w:hAnsi="Times New Roman"/>
          <w:sz w:val="24"/>
          <w:szCs w:val="24"/>
        </w:rPr>
        <w:t>1.10.2003 г.</w:t>
      </w:r>
      <w:r w:rsidR="00DB6929">
        <w:rPr>
          <w:rFonts w:ascii="Times New Roman" w:hAnsi="Times New Roman"/>
          <w:sz w:val="24"/>
          <w:szCs w:val="24"/>
        </w:rPr>
        <w:t xml:space="preserve">                                                                                                                                </w:t>
      </w:r>
      <w:r w:rsidRPr="00F06DE2">
        <w:rPr>
          <w:rFonts w:ascii="Times New Roman" w:hAnsi="Times New Roman"/>
          <w:sz w:val="24"/>
          <w:szCs w:val="24"/>
        </w:rPr>
        <w:t>280</w:t>
      </w:r>
    </w:p>
    <w:p w14:paraId="1824642C" w14:textId="6A7FF9B1"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724" w:history="1">
        <w:r w:rsidR="00D35E51" w:rsidRPr="00F06DE2">
          <w:rPr>
            <w:rStyle w:val="Hyperlink"/>
            <w:rFonts w:ascii="Times New Roman" w:hAnsi="Times New Roman"/>
            <w:b w:val="0"/>
            <w:bCs w:val="0"/>
            <w:i/>
            <w:iCs/>
            <w:color w:val="auto"/>
            <w:sz w:val="24"/>
            <w:szCs w:val="24"/>
          </w:rPr>
          <w:t>Глава 33 Преходни разпоредби по отношение на плавателни средства, плаващи</w:t>
        </w:r>
        <w:r w:rsidR="00DB6929">
          <w:rPr>
            <w:rStyle w:val="Hyperlink"/>
            <w:rFonts w:ascii="Times New Roman" w:hAnsi="Times New Roman"/>
            <w:b w:val="0"/>
            <w:bCs w:val="0"/>
            <w:i/>
            <w:iCs/>
            <w:color w:val="auto"/>
            <w:sz w:val="24"/>
            <w:szCs w:val="24"/>
          </w:rPr>
          <w:br/>
        </w:r>
        <w:r w:rsidR="00D35E51" w:rsidRPr="00F06DE2">
          <w:rPr>
            <w:rStyle w:val="Hyperlink"/>
            <w:rFonts w:ascii="Times New Roman" w:hAnsi="Times New Roman"/>
            <w:b w:val="0"/>
            <w:bCs w:val="0"/>
            <w:i/>
            <w:iCs/>
            <w:color w:val="auto"/>
            <w:sz w:val="24"/>
            <w:szCs w:val="24"/>
          </w:rPr>
          <w:t>изключително по водните пътища извън река Рейн (зона R)</w:t>
        </w:r>
        <w:r w:rsidR="00DB6929">
          <w:rPr>
            <w:rStyle w:val="Hyperlink"/>
            <w:rFonts w:ascii="Times New Roman" w:hAnsi="Times New Roman"/>
            <w:b w:val="0"/>
            <w:bCs w:val="0"/>
            <w:i/>
            <w:iCs/>
            <w:color w:val="auto"/>
            <w:sz w:val="24"/>
            <w:szCs w:val="24"/>
          </w:rPr>
          <w:t xml:space="preserve">                                                                    </w:t>
        </w:r>
        <w:r w:rsidR="00D35E51" w:rsidRPr="00F06DE2">
          <w:rPr>
            <w:rFonts w:ascii="Times New Roman" w:hAnsi="Times New Roman"/>
            <w:i/>
            <w:iCs/>
            <w:sz w:val="24"/>
            <w:szCs w:val="24"/>
          </w:rPr>
          <w:t xml:space="preserve"> 282</w:t>
        </w:r>
      </w:hyperlink>
    </w:p>
    <w:p w14:paraId="4723B87C" w14:textId="2C7EC49B"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25" w:history="1">
        <w:r w:rsidR="00D35E51" w:rsidRPr="00F06DE2">
          <w:rPr>
            <w:rStyle w:val="Hyperlink"/>
            <w:rFonts w:ascii="Times New Roman" w:hAnsi="Times New Roman"/>
            <w:b w:val="0"/>
            <w:bCs w:val="0"/>
            <w:color w:val="auto"/>
            <w:sz w:val="24"/>
            <w:szCs w:val="24"/>
          </w:rPr>
          <w:t>Член 33.01</w:t>
        </w:r>
        <w:r w:rsidR="00D35E51" w:rsidRPr="00F06DE2">
          <w:rPr>
            <w:rFonts w:ascii="Times New Roman" w:hAnsi="Times New Roman"/>
            <w:sz w:val="24"/>
            <w:szCs w:val="24"/>
          </w:rPr>
          <w:t xml:space="preserve"> </w:t>
        </w:r>
        <w:r w:rsidR="00D35E51" w:rsidRPr="00F06DE2">
          <w:rPr>
            <w:rStyle w:val="Hyperlink"/>
            <w:rFonts w:ascii="Times New Roman" w:hAnsi="Times New Roman"/>
            <w:b w:val="0"/>
            <w:bCs w:val="0"/>
            <w:color w:val="auto"/>
            <w:sz w:val="24"/>
            <w:szCs w:val="24"/>
          </w:rPr>
          <w:t>Приложимост на преходните разпоредби към плавателни средства, които</w:t>
        </w:r>
        <w:r w:rsidR="00DB6929">
          <w:rPr>
            <w:rStyle w:val="Hyperlink"/>
            <w:rFonts w:ascii="Times New Roman" w:hAnsi="Times New Roman"/>
            <w:b w:val="0"/>
            <w:bCs w:val="0"/>
            <w:color w:val="auto"/>
            <w:sz w:val="24"/>
            <w:szCs w:val="24"/>
          </w:rPr>
          <w:br/>
        </w:r>
        <w:r w:rsidR="00D35E51" w:rsidRPr="00F06DE2">
          <w:rPr>
            <w:rStyle w:val="Hyperlink"/>
            <w:rFonts w:ascii="Times New Roman" w:hAnsi="Times New Roman"/>
            <w:b w:val="0"/>
            <w:bCs w:val="0"/>
            <w:color w:val="auto"/>
            <w:sz w:val="24"/>
            <w:szCs w:val="24"/>
          </w:rPr>
          <w:t>вече са в експлоатация</w:t>
        </w:r>
        <w:r w:rsidR="00DB6929">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282</w:t>
        </w:r>
      </w:hyperlink>
    </w:p>
    <w:p w14:paraId="40695858" w14:textId="739943B6"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27" w:history="1">
        <w:r w:rsidR="00D35E51" w:rsidRPr="00F06DE2">
          <w:rPr>
            <w:rStyle w:val="Hyperlink"/>
            <w:rFonts w:ascii="Times New Roman" w:hAnsi="Times New Roman"/>
            <w:b w:val="0"/>
            <w:bCs w:val="0"/>
            <w:color w:val="auto"/>
            <w:sz w:val="24"/>
            <w:szCs w:val="24"/>
            <w:u w:val="none"/>
          </w:rPr>
          <w:t xml:space="preserve">Член 33.02 </w:t>
        </w:r>
      </w:hyperlink>
      <w:r w:rsidR="00D35E51" w:rsidRPr="00F06DE2">
        <w:rPr>
          <w:rStyle w:val="Hyperlink"/>
          <w:rFonts w:ascii="Times New Roman" w:hAnsi="Times New Roman"/>
          <w:b w:val="0"/>
          <w:bCs w:val="0"/>
          <w:color w:val="auto"/>
          <w:sz w:val="24"/>
          <w:szCs w:val="24"/>
          <w:u w:val="none"/>
        </w:rPr>
        <w:t>Преходни разпоредби за плавателни средства, които вече</w:t>
      </w:r>
      <w:r w:rsidR="00F24334">
        <w:rPr>
          <w:rStyle w:val="Hyperlink"/>
          <w:rFonts w:ascii="Times New Roman" w:hAnsi="Times New Roman"/>
          <w:b w:val="0"/>
          <w:bCs w:val="0"/>
          <w:color w:val="auto"/>
          <w:sz w:val="24"/>
          <w:szCs w:val="24"/>
          <w:u w:val="none"/>
        </w:rPr>
        <w:br/>
      </w:r>
      <w:r w:rsidR="00D35E51" w:rsidRPr="00F06DE2">
        <w:rPr>
          <w:rStyle w:val="Hyperlink"/>
          <w:rFonts w:ascii="Times New Roman" w:hAnsi="Times New Roman"/>
          <w:b w:val="0"/>
          <w:bCs w:val="0"/>
          <w:color w:val="auto"/>
          <w:sz w:val="24"/>
          <w:szCs w:val="24"/>
          <w:u w:val="none"/>
        </w:rPr>
        <w:t>са в експлоатация</w:t>
      </w:r>
      <w:r w:rsidR="00F24334">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282</w:t>
      </w:r>
    </w:p>
    <w:p w14:paraId="246F0601" w14:textId="053B58C8"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29" w:history="1">
        <w:r w:rsidR="00D35E51" w:rsidRPr="00F06DE2">
          <w:rPr>
            <w:rStyle w:val="Hyperlink"/>
            <w:rFonts w:ascii="Times New Roman" w:hAnsi="Times New Roman"/>
            <w:b w:val="0"/>
            <w:bCs w:val="0"/>
            <w:color w:val="auto"/>
            <w:sz w:val="24"/>
            <w:szCs w:val="24"/>
          </w:rPr>
          <w:t>Член 33.03</w:t>
        </w:r>
        <w:r w:rsidR="00D35E51" w:rsidRPr="00F06DE2">
          <w:rPr>
            <w:rFonts w:ascii="Times New Roman" w:hAnsi="Times New Roman"/>
            <w:sz w:val="24"/>
            <w:szCs w:val="24"/>
          </w:rPr>
          <w:t xml:space="preserve"> </w:t>
        </w:r>
        <w:r w:rsidR="00D35E51" w:rsidRPr="00F06DE2">
          <w:rPr>
            <w:rStyle w:val="Hyperlink"/>
            <w:rFonts w:ascii="Times New Roman" w:hAnsi="Times New Roman"/>
            <w:b w:val="0"/>
            <w:bCs w:val="0"/>
            <w:color w:val="auto"/>
            <w:sz w:val="24"/>
            <w:szCs w:val="24"/>
          </w:rPr>
          <w:t>Допълнителни преходни разпоредби относно плавателните средства, които</w:t>
        </w:r>
        <w:r w:rsidR="000B0F50">
          <w:rPr>
            <w:rStyle w:val="Hyperlink"/>
            <w:rFonts w:ascii="Times New Roman" w:hAnsi="Times New Roman"/>
            <w:b w:val="0"/>
            <w:bCs w:val="0"/>
            <w:color w:val="auto"/>
            <w:sz w:val="24"/>
            <w:szCs w:val="24"/>
          </w:rPr>
          <w:br/>
        </w:r>
        <w:r w:rsidR="00D35E51" w:rsidRPr="00F06DE2">
          <w:rPr>
            <w:rStyle w:val="Hyperlink"/>
            <w:rFonts w:ascii="Times New Roman" w:hAnsi="Times New Roman"/>
            <w:b w:val="0"/>
            <w:bCs w:val="0"/>
            <w:color w:val="auto"/>
            <w:sz w:val="24"/>
            <w:szCs w:val="24"/>
          </w:rPr>
          <w:t>са заложени за строеж преди 1 януари 1985 г.</w:t>
        </w:r>
        <w:r w:rsidR="002234CC">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308</w:t>
        </w:r>
      </w:hyperlink>
    </w:p>
    <w:p w14:paraId="52462CA1" w14:textId="167DFBB8" w:rsidR="00271FA2" w:rsidRPr="00F06DE2" w:rsidRDefault="00D35E51" w:rsidP="0082381B">
      <w:pPr>
        <w:spacing w:after="0" w:line="240" w:lineRule="auto"/>
        <w:jc w:val="both"/>
        <w:rPr>
          <w:rFonts w:ascii="Times New Roman" w:hAnsi="Times New Roman" w:cs="Times New Roman"/>
          <w:i/>
          <w:iCs/>
          <w:sz w:val="24"/>
          <w:szCs w:val="24"/>
          <w:lang w:val="ru-RU" w:eastAsia="bg-BG"/>
        </w:rPr>
      </w:pPr>
      <w:r w:rsidRPr="00F06DE2">
        <w:rPr>
          <w:rFonts w:ascii="Times New Roman" w:hAnsi="Times New Roman" w:cs="Times New Roman"/>
          <w:i/>
          <w:iCs/>
          <w:sz w:val="24"/>
          <w:szCs w:val="24"/>
          <w:lang w:val="ru-RU" w:eastAsia="bg-BG"/>
        </w:rPr>
        <w:t>Член 33.04 Корабни лодки, които са били на борда на плавателното средство</w:t>
      </w:r>
      <w:r w:rsidR="002234CC">
        <w:rPr>
          <w:rFonts w:ascii="Times New Roman" w:hAnsi="Times New Roman" w:cs="Times New Roman"/>
          <w:i/>
          <w:iCs/>
          <w:sz w:val="24"/>
          <w:szCs w:val="24"/>
          <w:lang w:val="ru-RU" w:eastAsia="bg-BG"/>
        </w:rPr>
        <w:br/>
      </w:r>
      <w:r w:rsidRPr="00F06DE2">
        <w:rPr>
          <w:rFonts w:ascii="Times New Roman" w:hAnsi="Times New Roman" w:cs="Times New Roman"/>
          <w:i/>
          <w:iCs/>
          <w:sz w:val="24"/>
          <w:szCs w:val="24"/>
          <w:lang w:val="ru-RU" w:eastAsia="bg-BG"/>
        </w:rPr>
        <w:t xml:space="preserve">преди </w:t>
      </w:r>
      <w:r w:rsidR="002F5B9C" w:rsidRPr="00F06DE2">
        <w:rPr>
          <w:rFonts w:ascii="Times New Roman" w:hAnsi="Times New Roman" w:cs="Times New Roman"/>
          <w:i/>
          <w:iCs/>
          <w:sz w:val="24"/>
          <w:szCs w:val="24"/>
          <w:lang w:val="ru-RU" w:eastAsia="bg-BG"/>
        </w:rPr>
        <w:t>0</w:t>
      </w:r>
      <w:r w:rsidRPr="00F06DE2">
        <w:rPr>
          <w:rFonts w:ascii="Times New Roman" w:hAnsi="Times New Roman" w:cs="Times New Roman"/>
          <w:i/>
          <w:iCs/>
          <w:sz w:val="24"/>
          <w:szCs w:val="24"/>
          <w:lang w:val="ru-RU" w:eastAsia="bg-BG"/>
        </w:rPr>
        <w:t>1.</w:t>
      </w:r>
      <w:r w:rsidR="002F5B9C" w:rsidRPr="00F06DE2">
        <w:rPr>
          <w:rFonts w:ascii="Times New Roman" w:hAnsi="Times New Roman" w:cs="Times New Roman"/>
          <w:i/>
          <w:iCs/>
          <w:sz w:val="24"/>
          <w:szCs w:val="24"/>
          <w:lang w:val="ru-RU" w:eastAsia="bg-BG"/>
        </w:rPr>
        <w:t>0</w:t>
      </w:r>
      <w:r w:rsidRPr="00F06DE2">
        <w:rPr>
          <w:rFonts w:ascii="Times New Roman" w:hAnsi="Times New Roman" w:cs="Times New Roman"/>
          <w:i/>
          <w:iCs/>
          <w:sz w:val="24"/>
          <w:szCs w:val="24"/>
          <w:lang w:val="ru-RU" w:eastAsia="bg-BG"/>
        </w:rPr>
        <w:t>1.2009</w:t>
      </w:r>
      <w:r w:rsidR="00FB5C68" w:rsidRPr="00F06DE2">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г.</w:t>
      </w:r>
      <w:r w:rsidR="002234CC">
        <w:rPr>
          <w:rFonts w:ascii="Times New Roman" w:hAnsi="Times New Roman" w:cs="Times New Roman"/>
          <w:i/>
          <w:iCs/>
          <w:sz w:val="24"/>
          <w:szCs w:val="24"/>
          <w:lang w:val="ru-RU" w:eastAsia="bg-BG"/>
        </w:rPr>
        <w:t xml:space="preserve">                                                                                                                              </w:t>
      </w:r>
      <w:r w:rsidRPr="00F06DE2">
        <w:rPr>
          <w:rFonts w:ascii="Times New Roman" w:hAnsi="Times New Roman" w:cs="Times New Roman"/>
          <w:i/>
          <w:iCs/>
          <w:sz w:val="24"/>
          <w:szCs w:val="24"/>
          <w:lang w:val="ru-RU" w:eastAsia="bg-BG"/>
        </w:rPr>
        <w:t>312</w:t>
      </w:r>
    </w:p>
    <w:p w14:paraId="692AF547" w14:textId="75324B68" w:rsidR="00271FA2" w:rsidRPr="00F06DE2" w:rsidRDefault="00D35E51" w:rsidP="007D1CD2">
      <w:pPr>
        <w:spacing w:after="0" w:line="240" w:lineRule="auto"/>
        <w:rPr>
          <w:rFonts w:ascii="Times New Roman" w:hAnsi="Times New Roman" w:cs="Times New Roman"/>
          <w:i/>
          <w:iCs/>
          <w:sz w:val="24"/>
          <w:szCs w:val="24"/>
          <w:lang w:eastAsia="bg-BG" w:bidi="bg-BG"/>
        </w:rPr>
      </w:pPr>
      <w:r w:rsidRPr="00F06DE2">
        <w:rPr>
          <w:rFonts w:ascii="Times New Roman" w:hAnsi="Times New Roman" w:cs="Times New Roman"/>
          <w:i/>
          <w:iCs/>
          <w:sz w:val="24"/>
          <w:szCs w:val="24"/>
          <w:lang w:eastAsia="bg-BG"/>
        </w:rPr>
        <w:t>Член 33.05 Други преходни разпоредби</w:t>
      </w:r>
      <w:r w:rsidR="0082381B">
        <w:rPr>
          <w:rFonts w:ascii="Times New Roman" w:hAnsi="Times New Roman" w:cs="Times New Roman"/>
          <w:i/>
          <w:iCs/>
          <w:sz w:val="24"/>
          <w:szCs w:val="24"/>
          <w:lang w:eastAsia="bg-BG"/>
        </w:rPr>
        <w:t xml:space="preserve">                                       </w:t>
      </w:r>
      <w:r w:rsidR="00742C71">
        <w:rPr>
          <w:rFonts w:ascii="Times New Roman" w:hAnsi="Times New Roman" w:cs="Times New Roman"/>
          <w:i/>
          <w:iCs/>
          <w:sz w:val="24"/>
          <w:szCs w:val="24"/>
          <w:lang w:eastAsia="bg-BG"/>
        </w:rPr>
        <w:t xml:space="preserve"> </w:t>
      </w:r>
      <w:r w:rsidR="0082381B">
        <w:rPr>
          <w:rFonts w:ascii="Times New Roman" w:hAnsi="Times New Roman" w:cs="Times New Roman"/>
          <w:i/>
          <w:iCs/>
          <w:sz w:val="24"/>
          <w:szCs w:val="24"/>
          <w:lang w:eastAsia="bg-BG"/>
        </w:rPr>
        <w:t xml:space="preserve">                                                </w:t>
      </w:r>
      <w:r w:rsidRPr="00F06DE2">
        <w:rPr>
          <w:rFonts w:ascii="Times New Roman" w:hAnsi="Times New Roman" w:cs="Times New Roman"/>
          <w:i/>
          <w:iCs/>
          <w:sz w:val="24"/>
          <w:szCs w:val="24"/>
          <w:lang w:eastAsia="bg-BG"/>
        </w:rPr>
        <w:t>31</w:t>
      </w:r>
      <w:r w:rsidR="006149FB" w:rsidRPr="00F06DE2">
        <w:rPr>
          <w:rFonts w:ascii="Times New Roman" w:hAnsi="Times New Roman" w:cs="Times New Roman"/>
          <w:i/>
          <w:iCs/>
          <w:sz w:val="24"/>
          <w:szCs w:val="24"/>
          <w:lang w:eastAsia="bg-BG"/>
        </w:rPr>
        <w:t>2</w:t>
      </w:r>
    </w:p>
    <w:p w14:paraId="30108800" w14:textId="70FCE33B" w:rsidR="00271FA2" w:rsidRPr="00F06DE2" w:rsidRDefault="002C62EC" w:rsidP="007D1CD2">
      <w:pPr>
        <w:pStyle w:val="TOC1"/>
        <w:spacing w:before="120" w:after="0"/>
        <w:ind w:left="0" w:right="0" w:firstLine="0"/>
        <w:rPr>
          <w:rFonts w:ascii="Times New Roman" w:eastAsiaTheme="minorEastAsia" w:hAnsi="Times New Roman"/>
          <w:b w:val="0"/>
          <w:bCs w:val="0"/>
          <w:i/>
          <w:iCs/>
          <w:caps w:val="0"/>
          <w:sz w:val="24"/>
          <w:szCs w:val="24"/>
          <w:lang w:eastAsia="en-GB" w:bidi="ar-SA"/>
        </w:rPr>
      </w:pPr>
      <w:hyperlink w:anchor="_Toc535827731" w:history="1">
        <w:r w:rsidR="00D35E51" w:rsidRPr="00F06DE2">
          <w:rPr>
            <w:rStyle w:val="Hyperlink"/>
            <w:rFonts w:ascii="Times New Roman" w:hAnsi="Times New Roman"/>
            <w:i/>
            <w:iCs/>
            <w:color w:val="auto"/>
            <w:sz w:val="24"/>
            <w:szCs w:val="24"/>
          </w:rPr>
          <w:t>Приложения към Европейския стандарт</w:t>
        </w:r>
        <w:r w:rsidR="00742C71">
          <w:rPr>
            <w:rStyle w:val="Hyperlink"/>
            <w:rFonts w:ascii="Times New Roman" w:hAnsi="Times New Roman"/>
            <w:i/>
            <w:iCs/>
            <w:color w:val="auto"/>
            <w:sz w:val="24"/>
            <w:szCs w:val="24"/>
          </w:rPr>
          <w:t xml:space="preserve">                                                               </w:t>
        </w:r>
        <w:r w:rsidR="00D35E51" w:rsidRPr="00F06DE2">
          <w:rPr>
            <w:rFonts w:ascii="Times New Roman" w:hAnsi="Times New Roman"/>
            <w:b w:val="0"/>
            <w:bCs w:val="0"/>
            <w:i/>
            <w:iCs/>
            <w:sz w:val="24"/>
            <w:szCs w:val="24"/>
          </w:rPr>
          <w:t>31</w:t>
        </w:r>
        <w:r w:rsidR="006149FB" w:rsidRPr="00F06DE2">
          <w:rPr>
            <w:rFonts w:ascii="Times New Roman" w:hAnsi="Times New Roman"/>
            <w:b w:val="0"/>
            <w:bCs w:val="0"/>
            <w:i/>
            <w:iCs/>
            <w:sz w:val="24"/>
            <w:szCs w:val="24"/>
            <w:lang w:val="en-US"/>
          </w:rPr>
          <w:t>3</w:t>
        </w:r>
      </w:hyperlink>
    </w:p>
    <w:p w14:paraId="053E2E5D" w14:textId="4D2FBDA3" w:rsidR="00271FA2" w:rsidRPr="00F06DE2" w:rsidRDefault="002C62EC" w:rsidP="007D1CD2">
      <w:pPr>
        <w:pStyle w:val="TOC1"/>
        <w:spacing w:before="0" w:after="0"/>
        <w:ind w:left="0" w:right="0" w:firstLine="0"/>
        <w:rPr>
          <w:rFonts w:ascii="Times New Roman" w:eastAsiaTheme="minorEastAsia" w:hAnsi="Times New Roman"/>
          <w:b w:val="0"/>
          <w:bCs w:val="0"/>
          <w:i/>
          <w:iCs/>
          <w:caps w:val="0"/>
          <w:sz w:val="24"/>
          <w:szCs w:val="24"/>
          <w:lang w:eastAsia="en-GB" w:bidi="ar-SA"/>
        </w:rPr>
      </w:pPr>
      <w:hyperlink w:anchor="_Toc535827732" w:history="1">
        <w:r w:rsidR="00D35E51" w:rsidRPr="00F06DE2">
          <w:rPr>
            <w:rStyle w:val="Hyperlink"/>
            <w:rFonts w:ascii="Times New Roman" w:hAnsi="Times New Roman"/>
            <w:i/>
            <w:iCs/>
            <w:color w:val="auto"/>
            <w:sz w:val="24"/>
            <w:szCs w:val="24"/>
          </w:rPr>
          <w:t>ЧАСТ I ИДЕНТИФИКАЦИЯ на плавателния съд И РЕГИСТЪР</w:t>
        </w:r>
        <w:r w:rsidR="00742C71">
          <w:rPr>
            <w:rStyle w:val="Hyperlink"/>
            <w:rFonts w:ascii="Times New Roman" w:hAnsi="Times New Roman"/>
            <w:i/>
            <w:iCs/>
            <w:color w:val="auto"/>
            <w:sz w:val="24"/>
            <w:szCs w:val="24"/>
          </w:rPr>
          <w:t xml:space="preserve">                            </w:t>
        </w:r>
        <w:r w:rsidR="00D35E51" w:rsidRPr="00F06DE2">
          <w:rPr>
            <w:rFonts w:ascii="Times New Roman" w:hAnsi="Times New Roman"/>
            <w:b w:val="0"/>
            <w:bCs w:val="0"/>
            <w:i/>
            <w:iCs/>
            <w:sz w:val="24"/>
            <w:szCs w:val="24"/>
          </w:rPr>
          <w:t>31</w:t>
        </w:r>
        <w:r w:rsidR="00C21E28" w:rsidRPr="00F06DE2">
          <w:rPr>
            <w:rFonts w:ascii="Times New Roman" w:hAnsi="Times New Roman"/>
            <w:b w:val="0"/>
            <w:bCs w:val="0"/>
            <w:i/>
            <w:iCs/>
            <w:sz w:val="24"/>
            <w:szCs w:val="24"/>
            <w:lang w:val="en-US"/>
          </w:rPr>
          <w:t>4</w:t>
        </w:r>
      </w:hyperlink>
    </w:p>
    <w:p w14:paraId="3D854867" w14:textId="3F9E9FED" w:rsidR="00271FA2" w:rsidRPr="00F06DE2" w:rsidRDefault="002C62EC" w:rsidP="00742C71">
      <w:pPr>
        <w:pStyle w:val="TOC2"/>
        <w:tabs>
          <w:tab w:val="right" w:leader="dot" w:pos="9060"/>
        </w:tabs>
        <w:spacing w:before="0"/>
        <w:ind w:left="0" w:right="0" w:firstLine="0"/>
        <w:rPr>
          <w:rFonts w:ascii="Times New Roman" w:eastAsiaTheme="minorEastAsia" w:hAnsi="Times New Roman"/>
          <w:i/>
          <w:iCs/>
          <w:smallCaps w:val="0"/>
          <w:sz w:val="24"/>
          <w:szCs w:val="24"/>
          <w:lang w:val="en-US" w:eastAsia="en-GB" w:bidi="ar-SA"/>
        </w:rPr>
      </w:pPr>
      <w:hyperlink w:anchor="_Toc535827733" w:history="1">
        <w:r w:rsidR="00D35E51" w:rsidRPr="00F06DE2">
          <w:rPr>
            <w:rStyle w:val="Hyperlink"/>
            <w:rFonts w:ascii="Times New Roman" w:hAnsi="Times New Roman"/>
            <w:b w:val="0"/>
            <w:bCs w:val="0"/>
            <w:i/>
            <w:iCs/>
            <w:color w:val="auto"/>
            <w:sz w:val="24"/>
            <w:szCs w:val="24"/>
          </w:rPr>
          <w:t>Приложение 1 Образец на уникалния Европейски идентификационен номер на</w:t>
        </w:r>
        <w:r w:rsidR="00742C71">
          <w:rPr>
            <w:rStyle w:val="Hyperlink"/>
            <w:rFonts w:ascii="Times New Roman" w:hAnsi="Times New Roman"/>
            <w:b w:val="0"/>
            <w:bCs w:val="0"/>
            <w:i/>
            <w:iCs/>
            <w:color w:val="auto"/>
            <w:sz w:val="24"/>
            <w:szCs w:val="24"/>
          </w:rPr>
          <w:br/>
        </w:r>
        <w:r w:rsidR="00D35E51" w:rsidRPr="00F06DE2">
          <w:rPr>
            <w:rStyle w:val="Hyperlink"/>
            <w:rFonts w:ascii="Times New Roman" w:hAnsi="Times New Roman"/>
            <w:b w:val="0"/>
            <w:bCs w:val="0"/>
            <w:i/>
            <w:iCs/>
            <w:color w:val="auto"/>
            <w:sz w:val="24"/>
            <w:szCs w:val="24"/>
          </w:rPr>
          <w:t xml:space="preserve"> кораба (УЕИН)</w:t>
        </w:r>
        <w:r w:rsidR="00742C71">
          <w:rPr>
            <w:rStyle w:val="Hyperlink"/>
            <w:rFonts w:ascii="Times New Roman" w:hAnsi="Times New Roman"/>
            <w:b w:val="0"/>
            <w:bCs w:val="0"/>
            <w:i/>
            <w:iCs/>
            <w:color w:val="auto"/>
            <w:sz w:val="24"/>
            <w:szCs w:val="24"/>
          </w:rPr>
          <w:t xml:space="preserve">                                                                                                                                                                     </w:t>
        </w:r>
        <w:r w:rsidR="00D35E51" w:rsidRPr="00F06DE2">
          <w:rPr>
            <w:rStyle w:val="Hyperlink"/>
            <w:rFonts w:ascii="Times New Roman" w:hAnsi="Times New Roman"/>
            <w:b w:val="0"/>
            <w:bCs w:val="0"/>
            <w:i/>
            <w:iCs/>
            <w:color w:val="auto"/>
            <w:sz w:val="24"/>
            <w:szCs w:val="24"/>
          </w:rPr>
          <w:t xml:space="preserve"> 31</w:t>
        </w:r>
      </w:hyperlink>
      <w:r w:rsidR="00C21E28" w:rsidRPr="00F06DE2">
        <w:rPr>
          <w:rStyle w:val="Hyperlink"/>
          <w:rFonts w:ascii="Times New Roman" w:hAnsi="Times New Roman"/>
          <w:b w:val="0"/>
          <w:bCs w:val="0"/>
          <w:i/>
          <w:iCs/>
          <w:color w:val="auto"/>
          <w:sz w:val="24"/>
          <w:szCs w:val="24"/>
          <w:u w:val="none"/>
          <w:lang w:val="en-US"/>
        </w:rPr>
        <w:t>4</w:t>
      </w:r>
    </w:p>
    <w:p w14:paraId="3D376E1C" w14:textId="3699F9F2" w:rsidR="00271FA2" w:rsidRPr="00F06DE2" w:rsidRDefault="002C62EC" w:rsidP="007D1CD2">
      <w:pPr>
        <w:pStyle w:val="TOC2"/>
        <w:tabs>
          <w:tab w:val="right" w:leader="dot" w:pos="9060"/>
        </w:tabs>
        <w:spacing w:before="120"/>
        <w:ind w:left="0" w:right="-2" w:firstLine="0"/>
        <w:rPr>
          <w:rFonts w:ascii="Times New Roman" w:eastAsiaTheme="minorEastAsia" w:hAnsi="Times New Roman"/>
          <w:i/>
          <w:iCs/>
          <w:smallCaps w:val="0"/>
          <w:sz w:val="24"/>
          <w:szCs w:val="24"/>
          <w:lang w:eastAsia="en-GB" w:bidi="ar-SA"/>
        </w:rPr>
      </w:pPr>
      <w:hyperlink w:anchor="_Toc535827734" w:history="1">
        <w:r w:rsidR="00D35E51" w:rsidRPr="00F06DE2">
          <w:rPr>
            <w:rStyle w:val="Hyperlink"/>
            <w:rFonts w:ascii="Times New Roman" w:hAnsi="Times New Roman"/>
            <w:b w:val="0"/>
            <w:bCs w:val="0"/>
            <w:i/>
            <w:iCs/>
            <w:color w:val="auto"/>
            <w:sz w:val="24"/>
            <w:szCs w:val="24"/>
          </w:rPr>
          <w:t>Приложение 2 Данни за идентифицирането на плавателния съд</w:t>
        </w:r>
        <w:r w:rsidR="00742C71">
          <w:rPr>
            <w:rStyle w:val="Hyperlink"/>
            <w:rFonts w:ascii="Times New Roman" w:hAnsi="Times New Roman"/>
            <w:b w:val="0"/>
            <w:bCs w:val="0"/>
            <w:i/>
            <w:iCs/>
            <w:color w:val="auto"/>
            <w:sz w:val="24"/>
            <w:szCs w:val="24"/>
          </w:rPr>
          <w:t xml:space="preserve">                                                       </w:t>
        </w:r>
        <w:r w:rsidR="00D35E51" w:rsidRPr="00F06DE2">
          <w:rPr>
            <w:rFonts w:ascii="Times New Roman" w:hAnsi="Times New Roman"/>
            <w:i/>
            <w:iCs/>
            <w:sz w:val="24"/>
            <w:szCs w:val="24"/>
          </w:rPr>
          <w:t>31</w:t>
        </w:r>
        <w:r w:rsidR="006149FB" w:rsidRPr="00F06DE2">
          <w:rPr>
            <w:rFonts w:ascii="Times New Roman" w:hAnsi="Times New Roman"/>
            <w:i/>
            <w:iCs/>
            <w:sz w:val="24"/>
            <w:szCs w:val="24"/>
            <w:lang w:val="en-US"/>
          </w:rPr>
          <w:t>6</w:t>
        </w:r>
      </w:hyperlink>
    </w:p>
    <w:p w14:paraId="12880815" w14:textId="39F0C93F"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735" w:history="1">
        <w:r w:rsidR="00D35E51" w:rsidRPr="00F06DE2">
          <w:rPr>
            <w:rStyle w:val="Hyperlink"/>
            <w:rFonts w:ascii="Times New Roman" w:hAnsi="Times New Roman"/>
            <w:b w:val="0"/>
            <w:bCs w:val="0"/>
            <w:i/>
            <w:iCs/>
            <w:color w:val="auto"/>
            <w:sz w:val="24"/>
            <w:szCs w:val="24"/>
          </w:rPr>
          <w:t>Приложение 3 ОБРАЗЦИ НА КОРАБНИ УДОСТОВЕРЕНИЯ ЗА ВЪТРЕШНО</w:t>
        </w:r>
        <w:r w:rsidR="009434F8">
          <w:rPr>
            <w:rStyle w:val="Hyperlink"/>
            <w:rFonts w:ascii="Times New Roman" w:hAnsi="Times New Roman"/>
            <w:b w:val="0"/>
            <w:bCs w:val="0"/>
            <w:i/>
            <w:iCs/>
            <w:color w:val="auto"/>
            <w:sz w:val="24"/>
            <w:szCs w:val="24"/>
          </w:rPr>
          <w:t xml:space="preserve"> </w:t>
        </w:r>
        <w:r w:rsidR="00D35E51" w:rsidRPr="00F06DE2">
          <w:rPr>
            <w:rStyle w:val="Hyperlink"/>
            <w:rFonts w:ascii="Times New Roman" w:hAnsi="Times New Roman"/>
            <w:b w:val="0"/>
            <w:bCs w:val="0"/>
            <w:i/>
            <w:iCs/>
            <w:color w:val="auto"/>
            <w:sz w:val="24"/>
            <w:szCs w:val="24"/>
          </w:rPr>
          <w:t>КОРАБОПЛАВАНЕ И ОБРАЗЕЦ НА РЕГИСТЪРА НА КОРАБНИТЕ</w:t>
        </w:r>
        <w:r w:rsidR="001D6014">
          <w:rPr>
            <w:rStyle w:val="Hyperlink"/>
            <w:rFonts w:ascii="Times New Roman" w:hAnsi="Times New Roman"/>
            <w:b w:val="0"/>
            <w:bCs w:val="0"/>
            <w:i/>
            <w:iCs/>
            <w:color w:val="auto"/>
            <w:sz w:val="24"/>
            <w:szCs w:val="24"/>
          </w:rPr>
          <w:t xml:space="preserve"> </w:t>
        </w:r>
        <w:r w:rsidR="00D35E51" w:rsidRPr="00F06DE2">
          <w:rPr>
            <w:rStyle w:val="Hyperlink"/>
            <w:rFonts w:ascii="Times New Roman" w:hAnsi="Times New Roman"/>
            <w:b w:val="0"/>
            <w:bCs w:val="0"/>
            <w:i/>
            <w:iCs/>
            <w:color w:val="auto"/>
            <w:sz w:val="24"/>
            <w:szCs w:val="24"/>
          </w:rPr>
          <w:t>УДОСТОВЕРЕНИЯ</w:t>
        </w:r>
        <w:r w:rsidR="001D6014">
          <w:rPr>
            <w:rStyle w:val="Hyperlink"/>
            <w:rFonts w:ascii="Times New Roman" w:hAnsi="Times New Roman"/>
            <w:b w:val="0"/>
            <w:bCs w:val="0"/>
            <w:i/>
            <w:iCs/>
            <w:color w:val="auto"/>
            <w:sz w:val="24"/>
            <w:szCs w:val="24"/>
          </w:rPr>
          <w:br/>
        </w:r>
        <w:r w:rsidR="00D35E51" w:rsidRPr="00F06DE2">
          <w:rPr>
            <w:rStyle w:val="Hyperlink"/>
            <w:rFonts w:ascii="Times New Roman" w:hAnsi="Times New Roman"/>
            <w:b w:val="0"/>
            <w:bCs w:val="0"/>
            <w:i/>
            <w:iCs/>
            <w:color w:val="auto"/>
            <w:sz w:val="24"/>
            <w:szCs w:val="24"/>
          </w:rPr>
          <w:t xml:space="preserve">ЗА ВЪТРЕШНО КОРАБОПЛАВАНЕ  </w:t>
        </w:r>
        <w:r w:rsidR="001D6014">
          <w:rPr>
            <w:rStyle w:val="Hyperlink"/>
            <w:rFonts w:ascii="Times New Roman" w:hAnsi="Times New Roman"/>
            <w:b w:val="0"/>
            <w:bCs w:val="0"/>
            <w:i/>
            <w:iCs/>
            <w:color w:val="auto"/>
            <w:sz w:val="24"/>
            <w:szCs w:val="24"/>
          </w:rPr>
          <w:t xml:space="preserve">                                                                                                                             </w:t>
        </w:r>
        <w:r w:rsidR="00D35E51" w:rsidRPr="00F06DE2">
          <w:rPr>
            <w:rStyle w:val="Hyperlink"/>
            <w:rFonts w:ascii="Times New Roman" w:hAnsi="Times New Roman"/>
            <w:b w:val="0"/>
            <w:bCs w:val="0"/>
            <w:i/>
            <w:iCs/>
            <w:color w:val="auto"/>
            <w:sz w:val="24"/>
            <w:szCs w:val="24"/>
          </w:rPr>
          <w:t>31</w:t>
        </w:r>
        <w:r w:rsidR="006149FB" w:rsidRPr="00F06DE2">
          <w:rPr>
            <w:rStyle w:val="Hyperlink"/>
            <w:rFonts w:ascii="Times New Roman" w:hAnsi="Times New Roman"/>
            <w:b w:val="0"/>
            <w:bCs w:val="0"/>
            <w:i/>
            <w:iCs/>
            <w:color w:val="auto"/>
            <w:sz w:val="24"/>
            <w:szCs w:val="24"/>
            <w:lang w:val="en-US"/>
          </w:rPr>
          <w:t>8</w:t>
        </w:r>
      </w:hyperlink>
    </w:p>
    <w:p w14:paraId="07AAD44A" w14:textId="7A48E8E5" w:rsidR="00271FA2" w:rsidRPr="00F06DE2" w:rsidRDefault="002C62EC">
      <w:pPr>
        <w:pStyle w:val="TOC3"/>
        <w:ind w:right="-2"/>
        <w:rPr>
          <w:rFonts w:ascii="Times New Roman" w:eastAsiaTheme="minorEastAsia" w:hAnsi="Times New Roman"/>
          <w:sz w:val="24"/>
          <w:szCs w:val="24"/>
          <w:lang w:eastAsia="en-GB" w:bidi="ar-SA"/>
        </w:rPr>
      </w:pPr>
      <w:hyperlink w:anchor="_Toc535827736" w:history="1">
        <w:r w:rsidR="00D35E51" w:rsidRPr="00F06DE2">
          <w:rPr>
            <w:rStyle w:val="Hyperlink"/>
            <w:rFonts w:ascii="Times New Roman" w:hAnsi="Times New Roman"/>
            <w:b w:val="0"/>
            <w:bCs w:val="0"/>
            <w:color w:val="auto"/>
            <w:sz w:val="24"/>
            <w:szCs w:val="24"/>
          </w:rPr>
          <w:t>Раздел I</w:t>
        </w:r>
        <w:r w:rsidR="00D35E51" w:rsidRPr="00F06DE2">
          <w:rPr>
            <w:rFonts w:ascii="Times New Roman" w:hAnsi="Times New Roman"/>
            <w:sz w:val="24"/>
            <w:szCs w:val="24"/>
          </w:rPr>
          <w:t xml:space="preserve"> Образец на Корабно удостоверение за вътрешно корабоплаване</w:t>
        </w:r>
        <w:r w:rsidR="001D6014">
          <w:rPr>
            <w:rFonts w:ascii="Times New Roman" w:hAnsi="Times New Roman"/>
            <w:sz w:val="24"/>
            <w:szCs w:val="24"/>
          </w:rPr>
          <w:t xml:space="preserve">                                     </w:t>
        </w:r>
        <w:r w:rsidR="00D35E51" w:rsidRPr="00F06DE2">
          <w:rPr>
            <w:rFonts w:ascii="Times New Roman" w:hAnsi="Times New Roman"/>
            <w:sz w:val="24"/>
            <w:szCs w:val="24"/>
          </w:rPr>
          <w:t>31</w:t>
        </w:r>
        <w:r w:rsidR="006149FB" w:rsidRPr="00F06DE2">
          <w:rPr>
            <w:rFonts w:ascii="Times New Roman" w:hAnsi="Times New Roman"/>
            <w:sz w:val="24"/>
            <w:szCs w:val="24"/>
            <w:lang w:val="en-US"/>
          </w:rPr>
          <w:t>8</w:t>
        </w:r>
      </w:hyperlink>
    </w:p>
    <w:p w14:paraId="3F9ED960" w14:textId="00C2D224" w:rsidR="00271FA2" w:rsidRPr="00F06DE2" w:rsidRDefault="002C62EC">
      <w:pPr>
        <w:pStyle w:val="TOC3"/>
        <w:ind w:right="-2"/>
        <w:rPr>
          <w:rFonts w:ascii="Times New Roman" w:eastAsiaTheme="minorEastAsia" w:hAnsi="Times New Roman"/>
          <w:sz w:val="24"/>
          <w:szCs w:val="24"/>
          <w:lang w:eastAsia="en-GB" w:bidi="ar-SA"/>
        </w:rPr>
      </w:pPr>
      <w:hyperlink w:anchor="_Toc535827738" w:history="1">
        <w:r w:rsidR="00D35E51" w:rsidRPr="00F06DE2">
          <w:rPr>
            <w:rStyle w:val="Hyperlink"/>
            <w:rFonts w:ascii="Times New Roman" w:hAnsi="Times New Roman"/>
            <w:b w:val="0"/>
            <w:bCs w:val="0"/>
            <w:color w:val="auto"/>
            <w:sz w:val="24"/>
            <w:szCs w:val="24"/>
          </w:rPr>
          <w:t>Раздел II Образец на временно Корабно удостоверение за вътрешно корабоплаване</w:t>
        </w:r>
        <w:r w:rsidR="001D6014">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3</w:t>
        </w:r>
        <w:r w:rsidR="006149FB" w:rsidRPr="00F06DE2">
          <w:rPr>
            <w:rFonts w:ascii="Times New Roman" w:hAnsi="Times New Roman"/>
            <w:sz w:val="24"/>
            <w:szCs w:val="24"/>
            <w:lang w:val="en-US"/>
          </w:rPr>
          <w:t>38</w:t>
        </w:r>
      </w:hyperlink>
    </w:p>
    <w:p w14:paraId="4C05FE15" w14:textId="48BE96CC" w:rsidR="00271FA2" w:rsidRPr="00F06DE2" w:rsidRDefault="002C62EC">
      <w:pPr>
        <w:pStyle w:val="TOC3"/>
        <w:ind w:left="0" w:right="-2" w:firstLine="0"/>
        <w:rPr>
          <w:rFonts w:ascii="Times New Roman" w:eastAsiaTheme="minorEastAsia" w:hAnsi="Times New Roman"/>
          <w:sz w:val="24"/>
          <w:szCs w:val="24"/>
          <w:lang w:val="ru-RU" w:eastAsia="en-GB" w:bidi="ar-SA"/>
        </w:rPr>
      </w:pPr>
      <w:hyperlink w:anchor="_Toc535827740" w:history="1">
        <w:r w:rsidR="00D35E51" w:rsidRPr="00F06DE2">
          <w:rPr>
            <w:rStyle w:val="Hyperlink"/>
            <w:rFonts w:ascii="Times New Roman" w:hAnsi="Times New Roman"/>
            <w:b w:val="0"/>
            <w:bCs w:val="0"/>
            <w:color w:val="auto"/>
            <w:sz w:val="24"/>
            <w:szCs w:val="24"/>
            <w:u w:val="none"/>
          </w:rPr>
          <w:t xml:space="preserve">Раздел III </w:t>
        </w:r>
      </w:hyperlink>
      <w:r w:rsidR="00D35E51" w:rsidRPr="00F06DE2">
        <w:rPr>
          <w:rStyle w:val="Hyperlink"/>
          <w:rFonts w:ascii="Times New Roman" w:hAnsi="Times New Roman"/>
          <w:b w:val="0"/>
          <w:bCs w:val="0"/>
          <w:color w:val="auto"/>
          <w:sz w:val="24"/>
          <w:szCs w:val="24"/>
          <w:u w:val="none"/>
        </w:rPr>
        <w:t>Образец на допълнително Корабно удостоверение за вътрешно корабоплаване</w:t>
      </w:r>
      <w:r w:rsidR="001D6014">
        <w:rPr>
          <w:rStyle w:val="Hyperlink"/>
          <w:rFonts w:ascii="Times New Roman" w:hAnsi="Times New Roman"/>
          <w:b w:val="0"/>
          <w:bCs w:val="0"/>
          <w:color w:val="auto"/>
          <w:sz w:val="24"/>
          <w:szCs w:val="24"/>
          <w:u w:val="none"/>
        </w:rPr>
        <w:br/>
      </w:r>
      <w:r w:rsidR="00D35E51" w:rsidRPr="00F06DE2">
        <w:rPr>
          <w:rStyle w:val="Hyperlink"/>
          <w:rFonts w:ascii="Times New Roman" w:hAnsi="Times New Roman"/>
          <w:b w:val="0"/>
          <w:bCs w:val="0"/>
          <w:color w:val="auto"/>
          <w:sz w:val="24"/>
          <w:szCs w:val="24"/>
          <w:u w:val="none"/>
        </w:rPr>
        <w:t>на Съюза</w:t>
      </w:r>
      <w:r w:rsidR="001D6014">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34</w:t>
      </w:r>
      <w:r w:rsidR="006149FB" w:rsidRPr="00F06DE2">
        <w:rPr>
          <w:rStyle w:val="Hyperlink"/>
          <w:rFonts w:ascii="Times New Roman" w:hAnsi="Times New Roman"/>
          <w:b w:val="0"/>
          <w:bCs w:val="0"/>
          <w:color w:val="auto"/>
          <w:sz w:val="24"/>
          <w:szCs w:val="24"/>
          <w:u w:val="none"/>
          <w:lang w:val="ru-RU"/>
        </w:rPr>
        <w:t>1</w:t>
      </w:r>
    </w:p>
    <w:p w14:paraId="1CF14D0A" w14:textId="61B7B510" w:rsidR="00271FA2" w:rsidRPr="00F06DE2" w:rsidRDefault="002C62EC">
      <w:pPr>
        <w:pStyle w:val="TOC3"/>
        <w:ind w:right="-2"/>
        <w:rPr>
          <w:rFonts w:ascii="Times New Roman" w:eastAsiaTheme="minorEastAsia" w:hAnsi="Times New Roman"/>
          <w:sz w:val="24"/>
          <w:szCs w:val="24"/>
          <w:lang w:eastAsia="en-GB" w:bidi="ar-SA"/>
        </w:rPr>
      </w:pPr>
      <w:hyperlink w:anchor="_Toc535827742" w:history="1">
        <w:r w:rsidR="00D35E51" w:rsidRPr="00F06DE2">
          <w:rPr>
            <w:rStyle w:val="Hyperlink"/>
            <w:rFonts w:ascii="Times New Roman" w:hAnsi="Times New Roman"/>
            <w:b w:val="0"/>
            <w:bCs w:val="0"/>
            <w:color w:val="auto"/>
            <w:sz w:val="24"/>
            <w:szCs w:val="24"/>
          </w:rPr>
          <w:t>Раздел IV</w:t>
        </w:r>
        <w:r w:rsidR="00D35E51" w:rsidRPr="00F06DE2">
          <w:rPr>
            <w:rStyle w:val="Hyperlink"/>
            <w:rFonts w:ascii="Times New Roman" w:hAnsi="Times New Roman"/>
            <w:b w:val="0"/>
            <w:bCs w:val="0"/>
            <w:color w:val="auto"/>
            <w:sz w:val="24"/>
            <w:szCs w:val="24"/>
            <w:u w:val="none"/>
          </w:rPr>
          <w:t xml:space="preserve"> Образец на Сертификат за морски плавателни съдове, плаващи по Рейн</w:t>
        </w:r>
        <w:r w:rsidR="001D6014">
          <w:rPr>
            <w:rStyle w:val="Hyperlink"/>
            <w:rFonts w:ascii="Times New Roman" w:hAnsi="Times New Roman"/>
            <w:b w:val="0"/>
            <w:bCs w:val="0"/>
            <w:color w:val="auto"/>
            <w:sz w:val="24"/>
            <w:szCs w:val="24"/>
            <w:u w:val="none"/>
          </w:rPr>
          <w:t xml:space="preserve">                    </w:t>
        </w:r>
        <w:r w:rsidR="00D35E51" w:rsidRPr="00F06DE2">
          <w:rPr>
            <w:rFonts w:ascii="Times New Roman" w:hAnsi="Times New Roman"/>
            <w:sz w:val="24"/>
            <w:szCs w:val="24"/>
          </w:rPr>
          <w:t>34</w:t>
        </w:r>
        <w:r w:rsidR="006149FB" w:rsidRPr="00F06DE2">
          <w:rPr>
            <w:rFonts w:ascii="Times New Roman" w:hAnsi="Times New Roman"/>
            <w:sz w:val="24"/>
            <w:szCs w:val="24"/>
            <w:lang w:val="en-US"/>
          </w:rPr>
          <w:t>3</w:t>
        </w:r>
      </w:hyperlink>
    </w:p>
    <w:p w14:paraId="70253133" w14:textId="40973B73"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44" w:history="1">
        <w:r w:rsidR="00D35E51" w:rsidRPr="00F06DE2">
          <w:rPr>
            <w:rStyle w:val="Hyperlink"/>
            <w:rFonts w:ascii="Times New Roman" w:hAnsi="Times New Roman"/>
            <w:b w:val="0"/>
            <w:bCs w:val="0"/>
            <w:color w:val="auto"/>
            <w:sz w:val="24"/>
            <w:szCs w:val="24"/>
          </w:rPr>
          <w:t>Раздел V</w:t>
        </w:r>
        <w:r w:rsidR="00D35E51" w:rsidRPr="00F06DE2">
          <w:rPr>
            <w:rFonts w:ascii="Times New Roman" w:hAnsi="Times New Roman"/>
            <w:sz w:val="24"/>
            <w:szCs w:val="24"/>
          </w:rPr>
          <w:t xml:space="preserve"> Образец на Приложение „Традиционно плавателно средство“ към</w:t>
        </w:r>
        <w:r w:rsidR="00520E80">
          <w:rPr>
            <w:rFonts w:ascii="Times New Roman" w:hAnsi="Times New Roman"/>
            <w:sz w:val="24"/>
            <w:szCs w:val="24"/>
          </w:rPr>
          <w:br/>
        </w:r>
        <w:r w:rsidR="00D35E51" w:rsidRPr="00F06DE2">
          <w:rPr>
            <w:rFonts w:ascii="Times New Roman" w:hAnsi="Times New Roman"/>
            <w:sz w:val="24"/>
            <w:szCs w:val="24"/>
          </w:rPr>
          <w:t>Корабното удостоверение за вътрешно корабоплаване съгласно Глава 24</w:t>
        </w:r>
        <w:r w:rsidR="00520E80">
          <w:rPr>
            <w:rFonts w:ascii="Times New Roman" w:hAnsi="Times New Roman"/>
            <w:sz w:val="24"/>
            <w:szCs w:val="24"/>
          </w:rPr>
          <w:t xml:space="preserve">                                 </w:t>
        </w:r>
        <w:r w:rsidR="00D35E51" w:rsidRPr="00F06DE2">
          <w:rPr>
            <w:rFonts w:ascii="Times New Roman" w:hAnsi="Times New Roman"/>
            <w:sz w:val="24"/>
            <w:szCs w:val="24"/>
          </w:rPr>
          <w:t xml:space="preserve"> 34</w:t>
        </w:r>
        <w:r w:rsidR="006149FB" w:rsidRPr="00F06DE2">
          <w:rPr>
            <w:rFonts w:ascii="Times New Roman" w:hAnsi="Times New Roman"/>
            <w:sz w:val="24"/>
            <w:szCs w:val="24"/>
            <w:lang w:val="en-US"/>
          </w:rPr>
          <w:t>5</w:t>
        </w:r>
      </w:hyperlink>
    </w:p>
    <w:p w14:paraId="5DDD770C" w14:textId="6043B405" w:rsidR="00271FA2" w:rsidRPr="00F06DE2" w:rsidRDefault="002C62EC" w:rsidP="000B2E40">
      <w:pPr>
        <w:pStyle w:val="TOC3"/>
        <w:tabs>
          <w:tab w:val="clear" w:pos="9072"/>
        </w:tabs>
        <w:ind w:left="0" w:right="-2" w:firstLine="0"/>
        <w:rPr>
          <w:rFonts w:ascii="Times New Roman" w:eastAsiaTheme="minorEastAsia" w:hAnsi="Times New Roman"/>
          <w:sz w:val="24"/>
          <w:szCs w:val="24"/>
          <w:lang w:val="ru-RU" w:eastAsia="en-GB" w:bidi="ar-SA"/>
        </w:rPr>
      </w:pPr>
      <w:hyperlink w:anchor="_Toc535827746" w:history="1">
        <w:r w:rsidR="00D35E51" w:rsidRPr="00F06DE2">
          <w:rPr>
            <w:rStyle w:val="Hyperlink"/>
            <w:rFonts w:ascii="Times New Roman" w:hAnsi="Times New Roman"/>
            <w:b w:val="0"/>
            <w:bCs w:val="0"/>
            <w:color w:val="auto"/>
            <w:sz w:val="24"/>
            <w:szCs w:val="24"/>
          </w:rPr>
          <w:t xml:space="preserve">Раздел VI </w:t>
        </w:r>
      </w:hyperlink>
      <w:r w:rsidR="00D35E51" w:rsidRPr="00F06DE2">
        <w:rPr>
          <w:rStyle w:val="Hyperlink"/>
          <w:rFonts w:ascii="Times New Roman" w:hAnsi="Times New Roman"/>
          <w:b w:val="0"/>
          <w:bCs w:val="0"/>
          <w:color w:val="auto"/>
          <w:sz w:val="24"/>
          <w:szCs w:val="24"/>
          <w:u w:val="none"/>
        </w:rPr>
        <w:t>Образец на регистър на Корабни удостоверения за вътрешно плаване</w:t>
      </w:r>
      <w:r w:rsidR="00520E80">
        <w:rPr>
          <w:rStyle w:val="Hyperlink"/>
          <w:rFonts w:ascii="Times New Roman" w:hAnsi="Times New Roman"/>
          <w:b w:val="0"/>
          <w:bCs w:val="0"/>
          <w:color w:val="auto"/>
          <w:sz w:val="24"/>
          <w:szCs w:val="24"/>
          <w:u w:val="none"/>
        </w:rPr>
        <w:br/>
      </w:r>
      <w:r w:rsidR="00D35E51" w:rsidRPr="00F06DE2">
        <w:rPr>
          <w:rStyle w:val="Hyperlink"/>
          <w:rFonts w:ascii="Times New Roman" w:hAnsi="Times New Roman"/>
          <w:b w:val="0"/>
          <w:bCs w:val="0"/>
          <w:color w:val="auto"/>
          <w:sz w:val="24"/>
          <w:szCs w:val="24"/>
          <w:u w:val="none"/>
        </w:rPr>
        <w:t>на плавателни съдове</w:t>
      </w:r>
      <w:r w:rsidR="00520E80">
        <w:rPr>
          <w:rStyle w:val="Hyperlink"/>
          <w:rFonts w:ascii="Times New Roman" w:hAnsi="Times New Roman"/>
          <w:b w:val="0"/>
          <w:bCs w:val="0"/>
          <w:color w:val="auto"/>
          <w:sz w:val="24"/>
          <w:szCs w:val="24"/>
          <w:u w:val="none"/>
        </w:rPr>
        <w:t xml:space="preserve">                                                                                                                           </w:t>
      </w:r>
      <w:r w:rsidR="00D35E51" w:rsidRPr="00F06DE2">
        <w:rPr>
          <w:rStyle w:val="Hyperlink"/>
          <w:rFonts w:ascii="Times New Roman" w:hAnsi="Times New Roman"/>
          <w:b w:val="0"/>
          <w:bCs w:val="0"/>
          <w:color w:val="auto"/>
          <w:sz w:val="24"/>
          <w:szCs w:val="24"/>
          <w:u w:val="none"/>
        </w:rPr>
        <w:t>3</w:t>
      </w:r>
      <w:r w:rsidR="006149FB" w:rsidRPr="00F06DE2">
        <w:rPr>
          <w:rStyle w:val="Hyperlink"/>
          <w:rFonts w:ascii="Times New Roman" w:hAnsi="Times New Roman"/>
          <w:b w:val="0"/>
          <w:bCs w:val="0"/>
          <w:color w:val="auto"/>
          <w:sz w:val="24"/>
          <w:szCs w:val="24"/>
          <w:u w:val="none"/>
          <w:lang w:val="ru-RU"/>
        </w:rPr>
        <w:t>49</w:t>
      </w:r>
    </w:p>
    <w:p w14:paraId="142CFB93" w14:textId="6CEB331F" w:rsidR="00271FA2" w:rsidRPr="002C7FD3" w:rsidRDefault="002C62EC" w:rsidP="00520E80">
      <w:pPr>
        <w:pStyle w:val="TOC1"/>
        <w:spacing w:before="120" w:after="0"/>
        <w:ind w:left="0" w:right="0" w:firstLine="0"/>
        <w:rPr>
          <w:rFonts w:ascii="Times New Roman" w:eastAsiaTheme="minorEastAsia" w:hAnsi="Times New Roman"/>
          <w:b w:val="0"/>
          <w:bCs w:val="0"/>
          <w:i/>
          <w:iCs/>
          <w:caps w:val="0"/>
          <w:sz w:val="24"/>
          <w:szCs w:val="24"/>
          <w:lang w:eastAsia="en-GB" w:bidi="ar-SA"/>
        </w:rPr>
      </w:pPr>
      <w:hyperlink w:anchor="_Toc535827748" w:history="1">
        <w:r w:rsidR="00D35E51" w:rsidRPr="00F06DE2">
          <w:rPr>
            <w:rStyle w:val="Hyperlink"/>
            <w:rFonts w:ascii="Times New Roman" w:hAnsi="Times New Roman"/>
            <w:i/>
            <w:iCs/>
            <w:color w:val="auto"/>
            <w:sz w:val="24"/>
            <w:szCs w:val="24"/>
          </w:rPr>
          <w:t>ЧАСТ II ДОПЪЛНИТЕЛНИ ИЗИСКВАНИЯ ЗА СПЕЦИФИЧНО ОБОРУДВАНЕ,</w:t>
        </w:r>
        <w:r w:rsidR="002C7FD3">
          <w:rPr>
            <w:rStyle w:val="Hyperlink"/>
            <w:rFonts w:ascii="Times New Roman" w:hAnsi="Times New Roman"/>
            <w:i/>
            <w:iCs/>
            <w:color w:val="auto"/>
            <w:sz w:val="24"/>
            <w:szCs w:val="24"/>
          </w:rPr>
          <w:br/>
        </w:r>
        <w:r w:rsidR="00D35E51" w:rsidRPr="00F06DE2">
          <w:rPr>
            <w:rStyle w:val="Hyperlink"/>
            <w:rFonts w:ascii="Times New Roman" w:hAnsi="Times New Roman"/>
            <w:i/>
            <w:iCs/>
            <w:color w:val="auto"/>
            <w:sz w:val="24"/>
            <w:szCs w:val="24"/>
          </w:rPr>
          <w:t>ИЗПОЛЗВАНО НА БОРДА</w:t>
        </w:r>
        <w:r w:rsidR="002C7FD3">
          <w:rPr>
            <w:rFonts w:ascii="Times New Roman" w:hAnsi="Times New Roman"/>
            <w:b w:val="0"/>
            <w:bCs w:val="0"/>
            <w:i/>
            <w:iCs/>
            <w:sz w:val="24"/>
            <w:szCs w:val="24"/>
          </w:rPr>
          <w:t xml:space="preserve">                                                                                                              </w:t>
        </w:r>
        <w:r w:rsidR="00D35E51" w:rsidRPr="00F06DE2">
          <w:rPr>
            <w:rFonts w:ascii="Times New Roman" w:hAnsi="Times New Roman"/>
            <w:b w:val="0"/>
            <w:bCs w:val="0"/>
            <w:i/>
            <w:iCs/>
            <w:sz w:val="24"/>
            <w:szCs w:val="24"/>
          </w:rPr>
          <w:t>35</w:t>
        </w:r>
        <w:r w:rsidR="00573752" w:rsidRPr="00F06DE2">
          <w:rPr>
            <w:rFonts w:ascii="Times New Roman" w:hAnsi="Times New Roman"/>
            <w:b w:val="0"/>
            <w:bCs w:val="0"/>
            <w:i/>
            <w:iCs/>
            <w:sz w:val="24"/>
            <w:szCs w:val="24"/>
            <w:lang w:val="en-US"/>
          </w:rPr>
          <w:t>4</w:t>
        </w:r>
      </w:hyperlink>
    </w:p>
    <w:p w14:paraId="1CBC05AE" w14:textId="4080BAA4" w:rsidR="00271FA2" w:rsidRPr="00F06DE2" w:rsidRDefault="002C62EC" w:rsidP="00520E8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49" w:history="1">
        <w:r w:rsidR="00D35E51" w:rsidRPr="00F06DE2">
          <w:rPr>
            <w:rStyle w:val="Hyperlink"/>
            <w:rFonts w:ascii="Times New Roman" w:hAnsi="Times New Roman"/>
            <w:b w:val="0"/>
            <w:bCs w:val="0"/>
            <w:i/>
            <w:iCs/>
            <w:color w:val="auto"/>
            <w:sz w:val="24"/>
            <w:szCs w:val="24"/>
          </w:rPr>
          <w:t>Приложение 4 Знаци за безопасност</w:t>
        </w:r>
        <w:r w:rsidR="00D35E51" w:rsidRPr="00F06DE2">
          <w:rPr>
            <w:rFonts w:ascii="Times New Roman" w:hAnsi="Times New Roman"/>
            <w:i/>
            <w:iCs/>
            <w:sz w:val="24"/>
            <w:szCs w:val="24"/>
          </w:rPr>
          <w:t xml:space="preserve"> </w:t>
        </w:r>
        <w:r w:rsidR="002C7FD3">
          <w:rPr>
            <w:rFonts w:ascii="Times New Roman" w:hAnsi="Times New Roman"/>
            <w:i/>
            <w:iCs/>
            <w:sz w:val="24"/>
            <w:szCs w:val="24"/>
          </w:rPr>
          <w:t xml:space="preserve">                                                                                                                         </w:t>
        </w:r>
        <w:r w:rsidR="00D35E51" w:rsidRPr="00F06DE2">
          <w:rPr>
            <w:rFonts w:ascii="Times New Roman" w:hAnsi="Times New Roman"/>
            <w:i/>
            <w:iCs/>
            <w:sz w:val="24"/>
            <w:szCs w:val="24"/>
          </w:rPr>
          <w:t>35</w:t>
        </w:r>
        <w:r w:rsidR="00573752" w:rsidRPr="00F06DE2">
          <w:rPr>
            <w:rFonts w:ascii="Times New Roman" w:hAnsi="Times New Roman"/>
            <w:i/>
            <w:iCs/>
            <w:sz w:val="24"/>
            <w:szCs w:val="24"/>
            <w:lang w:val="en-US"/>
          </w:rPr>
          <w:t>4</w:t>
        </w:r>
      </w:hyperlink>
    </w:p>
    <w:p w14:paraId="74329E6D" w14:textId="7BEE0A87" w:rsidR="00271FA2" w:rsidRPr="00F06DE2" w:rsidRDefault="002C62EC" w:rsidP="00F20859">
      <w:pPr>
        <w:pStyle w:val="TOC2"/>
        <w:tabs>
          <w:tab w:val="right" w:leader="dot" w:pos="9060"/>
        </w:tabs>
        <w:spacing w:before="120"/>
        <w:ind w:left="0" w:right="-2" w:firstLine="0"/>
        <w:rPr>
          <w:rFonts w:ascii="Times New Roman" w:eastAsiaTheme="minorEastAsia" w:hAnsi="Times New Roman"/>
          <w:i/>
          <w:iCs/>
          <w:smallCaps w:val="0"/>
          <w:sz w:val="24"/>
          <w:szCs w:val="24"/>
          <w:lang w:eastAsia="en-GB" w:bidi="ar-SA"/>
        </w:rPr>
      </w:pPr>
      <w:hyperlink w:anchor="_Toc535827750" w:history="1">
        <w:r w:rsidR="00D35E51" w:rsidRPr="00F06DE2">
          <w:rPr>
            <w:rStyle w:val="Hyperlink"/>
            <w:rFonts w:ascii="Times New Roman" w:hAnsi="Times New Roman"/>
            <w:b w:val="0"/>
            <w:bCs w:val="0"/>
            <w:i/>
            <w:iCs/>
            <w:color w:val="auto"/>
            <w:sz w:val="24"/>
            <w:szCs w:val="24"/>
          </w:rPr>
          <w:t>Приложение 5 Навигационни и информационни устройства</w:t>
        </w:r>
        <w:r w:rsidR="002C7FD3">
          <w:rPr>
            <w:rStyle w:val="Hyperlink"/>
            <w:rFonts w:ascii="Times New Roman" w:hAnsi="Times New Roman"/>
            <w:b w:val="0"/>
            <w:bCs w:val="0"/>
            <w:i/>
            <w:iCs/>
            <w:color w:val="auto"/>
            <w:sz w:val="24"/>
            <w:szCs w:val="24"/>
          </w:rPr>
          <w:t xml:space="preserve">                                                                           </w:t>
        </w:r>
        <w:r w:rsidR="00D35E51" w:rsidRPr="00F06DE2">
          <w:rPr>
            <w:rFonts w:ascii="Times New Roman" w:hAnsi="Times New Roman"/>
            <w:i/>
            <w:iCs/>
            <w:sz w:val="24"/>
            <w:szCs w:val="24"/>
          </w:rPr>
          <w:t>3</w:t>
        </w:r>
        <w:r w:rsidR="00573752" w:rsidRPr="00F06DE2">
          <w:rPr>
            <w:rFonts w:ascii="Times New Roman" w:hAnsi="Times New Roman"/>
            <w:i/>
            <w:iCs/>
            <w:sz w:val="24"/>
            <w:szCs w:val="24"/>
            <w:lang w:val="en-US"/>
          </w:rPr>
          <w:t>58</w:t>
        </w:r>
      </w:hyperlink>
    </w:p>
    <w:p w14:paraId="54F4C0F8" w14:textId="6F184F32"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51" w:history="1">
        <w:r w:rsidR="00D35E51" w:rsidRPr="00F06DE2">
          <w:rPr>
            <w:rStyle w:val="Hyperlink"/>
            <w:rFonts w:ascii="Times New Roman" w:hAnsi="Times New Roman"/>
            <w:b w:val="0"/>
            <w:bCs w:val="0"/>
            <w:color w:val="auto"/>
            <w:sz w:val="24"/>
            <w:szCs w:val="24"/>
          </w:rPr>
          <w:t>Раздел I</w:t>
        </w:r>
        <w:r w:rsidR="00D35E51" w:rsidRPr="00F06DE2">
          <w:rPr>
            <w:rFonts w:ascii="Times New Roman" w:hAnsi="Times New Roman"/>
            <w:sz w:val="24"/>
            <w:szCs w:val="24"/>
          </w:rPr>
          <w:t xml:space="preserve"> </w:t>
        </w:r>
        <w:r w:rsidR="00D35E51" w:rsidRPr="00F06DE2">
          <w:rPr>
            <w:rStyle w:val="Hyperlink"/>
            <w:rFonts w:ascii="Times New Roman" w:hAnsi="Times New Roman"/>
            <w:b w:val="0"/>
            <w:bCs w:val="0"/>
            <w:color w:val="auto"/>
            <w:sz w:val="24"/>
            <w:szCs w:val="24"/>
          </w:rPr>
          <w:t>Минимални изисквания и условия на изпитване на навигационното радиолокационно оборудване, използвано за вътрешно корабоплаване</w:t>
        </w:r>
        <w:r w:rsidR="0000606D">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36</w:t>
        </w:r>
        <w:r w:rsidR="00573752" w:rsidRPr="00F06DE2">
          <w:rPr>
            <w:rFonts w:ascii="Times New Roman" w:hAnsi="Times New Roman"/>
            <w:sz w:val="24"/>
            <w:szCs w:val="24"/>
            <w:lang w:val="en-US"/>
          </w:rPr>
          <w:t>0</w:t>
        </w:r>
      </w:hyperlink>
    </w:p>
    <w:p w14:paraId="4C9BD038" w14:textId="17E38955"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53" w:history="1">
        <w:r w:rsidR="00D35E51" w:rsidRPr="00F06DE2">
          <w:rPr>
            <w:rStyle w:val="Hyperlink"/>
            <w:rFonts w:ascii="Times New Roman" w:hAnsi="Times New Roman"/>
            <w:b w:val="0"/>
            <w:bCs w:val="0"/>
            <w:color w:val="auto"/>
            <w:sz w:val="24"/>
            <w:szCs w:val="24"/>
          </w:rPr>
          <w:t>Раздел II</w:t>
        </w:r>
        <w:r w:rsidR="00D35E51" w:rsidRPr="00F06DE2">
          <w:rPr>
            <w:rFonts w:ascii="Times New Roman" w:hAnsi="Times New Roman"/>
            <w:sz w:val="24"/>
            <w:szCs w:val="24"/>
          </w:rPr>
          <w:t xml:space="preserve"> </w:t>
        </w:r>
        <w:r w:rsidR="00D35E51" w:rsidRPr="00F06DE2">
          <w:rPr>
            <w:rStyle w:val="Hyperlink"/>
            <w:rFonts w:ascii="Times New Roman" w:hAnsi="Times New Roman"/>
            <w:b w:val="0"/>
            <w:bCs w:val="0"/>
            <w:color w:val="auto"/>
            <w:sz w:val="24"/>
            <w:szCs w:val="24"/>
          </w:rPr>
          <w:t>Минимални изисквания и условия на изпитване на индикаторите на ъгловата скорост</w:t>
        </w:r>
        <w:r w:rsidR="0078218A" w:rsidRPr="00F06DE2">
          <w:rPr>
            <w:rStyle w:val="Hyperlink"/>
            <w:rFonts w:ascii="Times New Roman" w:hAnsi="Times New Roman"/>
            <w:b w:val="0"/>
            <w:bCs w:val="0"/>
            <w:color w:val="auto"/>
            <w:sz w:val="24"/>
            <w:szCs w:val="24"/>
          </w:rPr>
          <w:t>на завиване</w:t>
        </w:r>
        <w:r w:rsidR="00D35E51" w:rsidRPr="00F06DE2">
          <w:rPr>
            <w:rStyle w:val="Hyperlink"/>
            <w:rFonts w:ascii="Times New Roman" w:hAnsi="Times New Roman"/>
            <w:b w:val="0"/>
            <w:bCs w:val="0"/>
            <w:color w:val="auto"/>
            <w:sz w:val="24"/>
            <w:szCs w:val="24"/>
          </w:rPr>
          <w:t>, използвани за вътрешно корабоплаване</w:t>
        </w:r>
        <w:r w:rsidR="0000606D">
          <w:rPr>
            <w:rStyle w:val="Hyperlink"/>
            <w:rFonts w:ascii="Times New Roman" w:hAnsi="Times New Roman"/>
            <w:b w:val="0"/>
            <w:bCs w:val="0"/>
            <w:color w:val="auto"/>
            <w:sz w:val="24"/>
            <w:szCs w:val="24"/>
          </w:rPr>
          <w:t xml:space="preserve">                                                                    </w:t>
        </w:r>
        <w:r w:rsidR="00D35E51" w:rsidRPr="00F06DE2">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36</w:t>
        </w:r>
        <w:r w:rsidR="00573752" w:rsidRPr="00F06DE2">
          <w:rPr>
            <w:rFonts w:ascii="Times New Roman" w:hAnsi="Times New Roman"/>
            <w:sz w:val="24"/>
            <w:szCs w:val="24"/>
            <w:lang w:val="en-US"/>
          </w:rPr>
          <w:t>6</w:t>
        </w:r>
      </w:hyperlink>
    </w:p>
    <w:p w14:paraId="108FE44A" w14:textId="2F958C4A"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55" w:history="1">
        <w:r w:rsidR="00D35E51" w:rsidRPr="00F06DE2">
          <w:rPr>
            <w:rStyle w:val="Hyperlink"/>
            <w:rFonts w:ascii="Times New Roman" w:hAnsi="Times New Roman"/>
            <w:b w:val="0"/>
            <w:bCs w:val="0"/>
            <w:color w:val="auto"/>
            <w:sz w:val="24"/>
            <w:szCs w:val="24"/>
          </w:rPr>
          <w:t>Раздел III</w:t>
        </w:r>
      </w:hyperlink>
      <w:r w:rsidR="00D35E51" w:rsidRPr="00F06DE2">
        <w:rPr>
          <w:rFonts w:ascii="Times New Roman" w:hAnsi="Times New Roman"/>
          <w:sz w:val="24"/>
          <w:szCs w:val="24"/>
        </w:rPr>
        <w:t xml:space="preserve"> </w:t>
      </w:r>
      <w:hyperlink w:anchor="_Toc535827756" w:history="1">
        <w:r w:rsidR="00D35E51" w:rsidRPr="00F06DE2">
          <w:rPr>
            <w:rStyle w:val="Hyperlink"/>
            <w:rFonts w:ascii="Times New Roman" w:hAnsi="Times New Roman"/>
            <w:b w:val="0"/>
            <w:bCs w:val="0"/>
            <w:color w:val="auto"/>
            <w:sz w:val="24"/>
            <w:szCs w:val="24"/>
          </w:rPr>
          <w:t>Изисквания по отношение на монтажа и изпитванията на показателите на навигационното радиолокационно оборудване и индикаторите на ъгловата скорост</w:t>
        </w:r>
        <w:r w:rsidR="0078218A" w:rsidRPr="00F06DE2">
          <w:rPr>
            <w:rStyle w:val="Hyperlink"/>
            <w:rFonts w:ascii="Times New Roman" w:hAnsi="Times New Roman"/>
            <w:b w:val="0"/>
            <w:bCs w:val="0"/>
            <w:color w:val="auto"/>
            <w:sz w:val="24"/>
            <w:szCs w:val="24"/>
          </w:rPr>
          <w:t>на завиване</w:t>
        </w:r>
        <w:r w:rsidR="00D35E51" w:rsidRPr="00F06DE2">
          <w:rPr>
            <w:rStyle w:val="Hyperlink"/>
            <w:rFonts w:ascii="Times New Roman" w:hAnsi="Times New Roman"/>
            <w:b w:val="0"/>
            <w:bCs w:val="0"/>
            <w:color w:val="auto"/>
            <w:sz w:val="24"/>
            <w:szCs w:val="24"/>
          </w:rPr>
          <w:t>, използвани за вътрешно корабоплаване</w:t>
        </w:r>
        <w:r w:rsidR="0000606D">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 xml:space="preserve"> 3</w:t>
        </w:r>
        <w:r w:rsidR="00573752" w:rsidRPr="00F06DE2">
          <w:rPr>
            <w:rFonts w:ascii="Times New Roman" w:hAnsi="Times New Roman"/>
            <w:sz w:val="24"/>
            <w:szCs w:val="24"/>
            <w:lang w:val="en-US"/>
          </w:rPr>
          <w:t>78</w:t>
        </w:r>
      </w:hyperlink>
    </w:p>
    <w:p w14:paraId="7B35AC97" w14:textId="754CE4ED"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57" w:history="1">
        <w:r w:rsidR="00D35E51" w:rsidRPr="00F06DE2">
          <w:rPr>
            <w:rStyle w:val="Hyperlink"/>
            <w:rFonts w:ascii="Times New Roman" w:hAnsi="Times New Roman"/>
            <w:b w:val="0"/>
            <w:bCs w:val="0"/>
            <w:color w:val="auto"/>
            <w:sz w:val="24"/>
            <w:szCs w:val="24"/>
          </w:rPr>
          <w:t>Раздел IV</w:t>
        </w:r>
      </w:hyperlink>
      <w:r w:rsidR="00D35E51" w:rsidRPr="00F06DE2">
        <w:rPr>
          <w:rFonts w:ascii="Times New Roman" w:hAnsi="Times New Roman"/>
          <w:sz w:val="24"/>
          <w:szCs w:val="24"/>
        </w:rPr>
        <w:t xml:space="preserve"> </w:t>
      </w:r>
      <w:hyperlink w:anchor="_Toc535827758" w:history="1">
        <w:r w:rsidR="00D35E51" w:rsidRPr="00F06DE2">
          <w:rPr>
            <w:rStyle w:val="Hyperlink"/>
            <w:rFonts w:ascii="Times New Roman" w:hAnsi="Times New Roman"/>
            <w:b w:val="0"/>
            <w:bCs w:val="0"/>
            <w:color w:val="auto"/>
            <w:sz w:val="24"/>
            <w:szCs w:val="24"/>
          </w:rPr>
          <w:t>Минимални изисквания, изисквания по отношение на монтажа и изпитванията на показателите на оборудване за AIS за вътрешно корабоплаване</w:t>
        </w:r>
        <w:r w:rsidR="0000606D">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38</w:t>
        </w:r>
        <w:r w:rsidR="00573752" w:rsidRPr="00F06DE2">
          <w:rPr>
            <w:rFonts w:ascii="Times New Roman" w:hAnsi="Times New Roman"/>
            <w:sz w:val="24"/>
            <w:szCs w:val="24"/>
            <w:lang w:val="en-US"/>
          </w:rPr>
          <w:t>2</w:t>
        </w:r>
      </w:hyperlink>
    </w:p>
    <w:p w14:paraId="552B2885" w14:textId="25BBF97C" w:rsidR="00271FA2" w:rsidRPr="00F06DE2" w:rsidRDefault="002C62EC">
      <w:pPr>
        <w:pStyle w:val="TOC3"/>
        <w:ind w:left="0" w:right="-2" w:firstLine="0"/>
        <w:rPr>
          <w:rFonts w:ascii="Times New Roman" w:hAnsi="Times New Roman"/>
          <w:sz w:val="24"/>
          <w:szCs w:val="24"/>
          <w:u w:val="single"/>
        </w:rPr>
      </w:pPr>
      <w:hyperlink w:anchor="_Toc535827759" w:history="1">
        <w:r w:rsidR="00D35E51" w:rsidRPr="00F06DE2">
          <w:rPr>
            <w:rStyle w:val="Hyperlink"/>
            <w:rFonts w:ascii="Times New Roman" w:hAnsi="Times New Roman"/>
            <w:b w:val="0"/>
            <w:bCs w:val="0"/>
            <w:color w:val="auto"/>
            <w:sz w:val="24"/>
            <w:szCs w:val="24"/>
          </w:rPr>
          <w:t>Раздел V</w:t>
        </w:r>
      </w:hyperlink>
      <w:r w:rsidR="00D35E51" w:rsidRPr="00F06DE2">
        <w:rPr>
          <w:rFonts w:ascii="Times New Roman" w:eastAsiaTheme="minorEastAsia" w:hAnsi="Times New Roman"/>
          <w:sz w:val="24"/>
          <w:szCs w:val="24"/>
          <w:lang w:eastAsia="en-GB" w:bidi="ar-SA"/>
        </w:rPr>
        <w:t xml:space="preserve"> </w:t>
      </w:r>
      <w:hyperlink w:anchor="_Toc535827760" w:history="1">
        <w:r w:rsidR="00D35E51" w:rsidRPr="00F06DE2">
          <w:rPr>
            <w:rStyle w:val="Hyperlink"/>
            <w:rFonts w:ascii="Times New Roman" w:hAnsi="Times New Roman"/>
            <w:b w:val="0"/>
            <w:bCs w:val="0"/>
            <w:color w:val="auto"/>
            <w:sz w:val="24"/>
            <w:szCs w:val="24"/>
          </w:rPr>
          <w:t>Минимални изисквания, изисквания по отношение на монтажа и изпитванията на показателите на тахографи за вътрешно корабоплаване</w:t>
        </w:r>
        <w:r w:rsidR="0000606D">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38</w:t>
        </w:r>
        <w:r w:rsidR="00573752" w:rsidRPr="00F06DE2">
          <w:rPr>
            <w:rFonts w:ascii="Times New Roman" w:hAnsi="Times New Roman"/>
            <w:sz w:val="24"/>
            <w:szCs w:val="24"/>
            <w:lang w:val="en-US"/>
          </w:rPr>
          <w:t>4</w:t>
        </w:r>
      </w:hyperlink>
    </w:p>
    <w:p w14:paraId="73BE6655" w14:textId="3BC10905" w:rsidR="00271FA2" w:rsidRPr="00F06DE2" w:rsidRDefault="002C62EC">
      <w:pPr>
        <w:pStyle w:val="TOC3"/>
        <w:ind w:left="0" w:right="-2" w:firstLine="0"/>
        <w:rPr>
          <w:rFonts w:ascii="Times New Roman" w:hAnsi="Times New Roman"/>
          <w:sz w:val="24"/>
          <w:szCs w:val="24"/>
          <w:u w:val="single"/>
        </w:rPr>
      </w:pPr>
      <w:hyperlink w:anchor="_Toc535827761" w:history="1">
        <w:r w:rsidR="00D35E51" w:rsidRPr="00F06DE2">
          <w:rPr>
            <w:rStyle w:val="Hyperlink"/>
            <w:rFonts w:ascii="Times New Roman" w:hAnsi="Times New Roman"/>
            <w:b w:val="0"/>
            <w:bCs w:val="0"/>
            <w:color w:val="auto"/>
            <w:sz w:val="24"/>
            <w:szCs w:val="24"/>
          </w:rPr>
          <w:t>Раздел VI</w:t>
        </w:r>
      </w:hyperlink>
      <w:r w:rsidR="00D35E51" w:rsidRPr="00F06DE2">
        <w:rPr>
          <w:rFonts w:ascii="Times New Roman" w:eastAsiaTheme="minorEastAsia" w:hAnsi="Times New Roman"/>
          <w:sz w:val="24"/>
          <w:szCs w:val="24"/>
          <w:lang w:eastAsia="en-GB" w:bidi="ar-SA"/>
        </w:rPr>
        <w:t xml:space="preserve"> </w:t>
      </w:r>
      <w:hyperlink w:anchor="_Toc535827762" w:history="1">
        <w:r w:rsidR="00D35E51" w:rsidRPr="00F06DE2">
          <w:rPr>
            <w:rStyle w:val="Hyperlink"/>
            <w:rFonts w:ascii="Times New Roman" w:hAnsi="Times New Roman"/>
            <w:b w:val="0"/>
            <w:bCs w:val="0"/>
            <w:color w:val="auto"/>
            <w:sz w:val="24"/>
            <w:szCs w:val="24"/>
          </w:rPr>
          <w:t>Удостоверение за монтажа и показателите за навигационно радиолокационно оборудване, индикатори на ъгловата скорост</w:t>
        </w:r>
        <w:r w:rsidR="0078218A" w:rsidRPr="00F06DE2">
          <w:rPr>
            <w:rStyle w:val="Hyperlink"/>
            <w:rFonts w:ascii="Times New Roman" w:hAnsi="Times New Roman"/>
            <w:b w:val="0"/>
            <w:bCs w:val="0"/>
            <w:color w:val="auto"/>
            <w:sz w:val="24"/>
            <w:szCs w:val="24"/>
          </w:rPr>
          <w:t>на завиване</w:t>
        </w:r>
        <w:r w:rsidR="00D35E51" w:rsidRPr="00F06DE2">
          <w:rPr>
            <w:rStyle w:val="Hyperlink"/>
            <w:rFonts w:ascii="Times New Roman" w:hAnsi="Times New Roman"/>
            <w:b w:val="0"/>
            <w:bCs w:val="0"/>
            <w:color w:val="auto"/>
            <w:sz w:val="24"/>
            <w:szCs w:val="24"/>
          </w:rPr>
          <w:t>, оборудване за AIS за вътрешно корабоплаване</w:t>
        </w:r>
        <w:r w:rsidR="0000606D">
          <w:rPr>
            <w:rStyle w:val="Hyperlink"/>
            <w:rFonts w:ascii="Times New Roman" w:hAnsi="Times New Roman"/>
            <w:b w:val="0"/>
            <w:bCs w:val="0"/>
            <w:color w:val="auto"/>
            <w:sz w:val="24"/>
            <w:szCs w:val="24"/>
          </w:rPr>
          <w:t xml:space="preserve">                                                                                                                                        </w:t>
        </w:r>
        <w:r w:rsidR="00D35E51" w:rsidRPr="00F06DE2">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3</w:t>
        </w:r>
        <w:r w:rsidR="00573752" w:rsidRPr="00F06DE2">
          <w:rPr>
            <w:rFonts w:ascii="Times New Roman" w:hAnsi="Times New Roman"/>
            <w:sz w:val="24"/>
            <w:szCs w:val="24"/>
            <w:lang w:val="en-US"/>
          </w:rPr>
          <w:t>87</w:t>
        </w:r>
      </w:hyperlink>
    </w:p>
    <w:p w14:paraId="6A68B9EC" w14:textId="4B59D5E9" w:rsidR="00271FA2" w:rsidRPr="00F06DE2" w:rsidRDefault="002C62EC" w:rsidP="00F20859">
      <w:pPr>
        <w:pStyle w:val="TOC2"/>
        <w:tabs>
          <w:tab w:val="right" w:leader="dot" w:pos="9060"/>
        </w:tabs>
        <w:spacing w:before="120"/>
        <w:ind w:left="0" w:right="-2" w:firstLine="0"/>
        <w:rPr>
          <w:rFonts w:ascii="Times New Roman" w:eastAsiaTheme="minorEastAsia" w:hAnsi="Times New Roman"/>
          <w:i/>
          <w:iCs/>
          <w:smallCaps w:val="0"/>
          <w:sz w:val="24"/>
          <w:szCs w:val="24"/>
          <w:lang w:eastAsia="en-GB" w:bidi="ar-SA"/>
        </w:rPr>
      </w:pPr>
      <w:hyperlink w:anchor="_Toc535827763" w:history="1">
        <w:r w:rsidR="00D35E51" w:rsidRPr="00F06DE2">
          <w:rPr>
            <w:rStyle w:val="Hyperlink"/>
            <w:rFonts w:ascii="Times New Roman" w:hAnsi="Times New Roman"/>
            <w:b w:val="0"/>
            <w:bCs w:val="0"/>
            <w:i/>
            <w:iCs/>
            <w:color w:val="auto"/>
            <w:sz w:val="24"/>
            <w:szCs w:val="24"/>
          </w:rPr>
          <w:t>Приложение 6 Протокол за параметрите на двигателя</w:t>
        </w:r>
        <w:r w:rsidR="00F20859">
          <w:rPr>
            <w:rStyle w:val="Hyperlink"/>
            <w:rFonts w:ascii="Times New Roman" w:hAnsi="Times New Roman"/>
            <w:b w:val="0"/>
            <w:bCs w:val="0"/>
            <w:i/>
            <w:iCs/>
            <w:color w:val="auto"/>
            <w:sz w:val="24"/>
            <w:szCs w:val="24"/>
          </w:rPr>
          <w:t xml:space="preserve">                                                                                      </w:t>
        </w:r>
        <w:r w:rsidR="00D35E51" w:rsidRPr="00F06DE2">
          <w:rPr>
            <w:rFonts w:ascii="Times New Roman" w:hAnsi="Times New Roman"/>
            <w:i/>
            <w:iCs/>
            <w:sz w:val="24"/>
            <w:szCs w:val="24"/>
          </w:rPr>
          <w:t>3</w:t>
        </w:r>
        <w:r w:rsidR="00573752" w:rsidRPr="00F06DE2">
          <w:rPr>
            <w:rFonts w:ascii="Times New Roman" w:hAnsi="Times New Roman"/>
            <w:i/>
            <w:iCs/>
            <w:sz w:val="24"/>
            <w:szCs w:val="24"/>
            <w:lang w:val="en-US"/>
          </w:rPr>
          <w:t>89</w:t>
        </w:r>
      </w:hyperlink>
    </w:p>
    <w:p w14:paraId="4EB17411" w14:textId="29217A4B" w:rsidR="00271FA2" w:rsidRPr="00F06DE2" w:rsidRDefault="002C62EC" w:rsidP="00F20859">
      <w:pPr>
        <w:pStyle w:val="TOC2"/>
        <w:tabs>
          <w:tab w:val="right" w:leader="dot" w:pos="9060"/>
        </w:tabs>
        <w:spacing w:before="120"/>
        <w:ind w:left="0" w:right="-2" w:firstLine="0"/>
        <w:rPr>
          <w:rFonts w:ascii="Times New Roman" w:eastAsiaTheme="minorEastAsia" w:hAnsi="Times New Roman"/>
          <w:i/>
          <w:iCs/>
          <w:smallCaps w:val="0"/>
          <w:sz w:val="24"/>
          <w:szCs w:val="24"/>
          <w:lang w:eastAsia="en-GB" w:bidi="ar-SA"/>
        </w:rPr>
      </w:pPr>
      <w:hyperlink w:anchor="_Toc535827764" w:history="1">
        <w:r w:rsidR="00D35E51" w:rsidRPr="00F06DE2">
          <w:rPr>
            <w:rStyle w:val="Hyperlink"/>
            <w:rFonts w:ascii="Times New Roman" w:hAnsi="Times New Roman"/>
            <w:b w:val="0"/>
            <w:bCs w:val="0"/>
            <w:i/>
            <w:iCs/>
            <w:color w:val="auto"/>
            <w:sz w:val="24"/>
            <w:szCs w:val="24"/>
          </w:rPr>
          <w:t>Приложение 7 Бордови станции за пречистване на отпадъчни води</w:t>
        </w:r>
        <w:r w:rsidR="003B2519">
          <w:rPr>
            <w:rStyle w:val="Hyperlink"/>
            <w:rFonts w:ascii="Times New Roman" w:hAnsi="Times New Roman"/>
            <w:b w:val="0"/>
            <w:bCs w:val="0"/>
            <w:i/>
            <w:iCs/>
            <w:color w:val="auto"/>
            <w:sz w:val="24"/>
            <w:szCs w:val="24"/>
          </w:rPr>
          <w:t xml:space="preserve">                                                    </w:t>
        </w:r>
        <w:r w:rsidR="00D35E51" w:rsidRPr="00F06DE2">
          <w:rPr>
            <w:rFonts w:ascii="Times New Roman" w:hAnsi="Times New Roman"/>
            <w:i/>
            <w:iCs/>
            <w:sz w:val="24"/>
            <w:szCs w:val="24"/>
          </w:rPr>
          <w:t>39</w:t>
        </w:r>
        <w:r w:rsidR="00573752" w:rsidRPr="00F06DE2">
          <w:rPr>
            <w:rFonts w:ascii="Times New Roman" w:hAnsi="Times New Roman"/>
            <w:i/>
            <w:iCs/>
            <w:sz w:val="24"/>
            <w:szCs w:val="24"/>
            <w:lang w:val="en-US"/>
          </w:rPr>
          <w:t>5</w:t>
        </w:r>
      </w:hyperlink>
    </w:p>
    <w:p w14:paraId="08BE8825" w14:textId="0B060BAA" w:rsidR="00271FA2" w:rsidRPr="00F06DE2" w:rsidRDefault="002C62EC">
      <w:pPr>
        <w:pStyle w:val="TOC3"/>
        <w:ind w:right="-2"/>
        <w:rPr>
          <w:rFonts w:ascii="Times New Roman" w:eastAsiaTheme="minorEastAsia" w:hAnsi="Times New Roman"/>
          <w:sz w:val="24"/>
          <w:szCs w:val="24"/>
          <w:lang w:eastAsia="en-GB" w:bidi="ar-SA"/>
        </w:rPr>
      </w:pPr>
      <w:hyperlink w:anchor="_Toc535827765" w:history="1">
        <w:r w:rsidR="00D35E51" w:rsidRPr="00F06DE2">
          <w:rPr>
            <w:rStyle w:val="Hyperlink"/>
            <w:rFonts w:ascii="Times New Roman" w:hAnsi="Times New Roman"/>
            <w:b w:val="0"/>
            <w:bCs w:val="0"/>
            <w:color w:val="auto"/>
            <w:sz w:val="24"/>
            <w:szCs w:val="24"/>
          </w:rPr>
          <w:t>Раздел I</w:t>
        </w:r>
        <w:r w:rsidR="00D35E51" w:rsidRPr="00F06DE2">
          <w:rPr>
            <w:rFonts w:ascii="Times New Roman" w:hAnsi="Times New Roman"/>
            <w:sz w:val="24"/>
            <w:szCs w:val="24"/>
          </w:rPr>
          <w:t xml:space="preserve"> </w:t>
        </w:r>
      </w:hyperlink>
      <w:hyperlink w:anchor="_Toc535827766" w:history="1">
        <w:r w:rsidR="00D35E51" w:rsidRPr="00F06DE2">
          <w:rPr>
            <w:rStyle w:val="Hyperlink"/>
            <w:rFonts w:ascii="Times New Roman" w:hAnsi="Times New Roman"/>
            <w:b w:val="0"/>
            <w:bCs w:val="0"/>
            <w:color w:val="auto"/>
            <w:sz w:val="24"/>
            <w:szCs w:val="24"/>
          </w:rPr>
          <w:t>Допълнителни разпоредби</w:t>
        </w:r>
        <w:r w:rsidR="003B2519">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39</w:t>
        </w:r>
        <w:r w:rsidR="00573752" w:rsidRPr="00F06DE2">
          <w:rPr>
            <w:rFonts w:ascii="Times New Roman" w:hAnsi="Times New Roman"/>
            <w:sz w:val="24"/>
            <w:szCs w:val="24"/>
            <w:lang w:val="en-US"/>
          </w:rPr>
          <w:t>6</w:t>
        </w:r>
      </w:hyperlink>
    </w:p>
    <w:p w14:paraId="1079B05D" w14:textId="4E7443B0" w:rsidR="00271FA2" w:rsidRPr="00F06DE2" w:rsidRDefault="002C62EC">
      <w:pPr>
        <w:pStyle w:val="TOC3"/>
        <w:ind w:left="0" w:right="-2" w:firstLine="0"/>
        <w:rPr>
          <w:rFonts w:ascii="Times New Roman" w:hAnsi="Times New Roman"/>
          <w:sz w:val="24"/>
          <w:szCs w:val="24"/>
          <w:u w:val="single"/>
        </w:rPr>
      </w:pPr>
      <w:hyperlink w:anchor="_Toc535827767" w:history="1">
        <w:r w:rsidR="00D35E51" w:rsidRPr="00F06DE2">
          <w:rPr>
            <w:rStyle w:val="Hyperlink"/>
            <w:rFonts w:ascii="Times New Roman" w:hAnsi="Times New Roman"/>
            <w:b w:val="0"/>
            <w:bCs w:val="0"/>
            <w:color w:val="auto"/>
            <w:sz w:val="24"/>
            <w:szCs w:val="24"/>
          </w:rPr>
          <w:t>Раздел II</w:t>
        </w:r>
        <w:r w:rsidR="00D35E51" w:rsidRPr="00F06DE2">
          <w:rPr>
            <w:rFonts w:ascii="Times New Roman" w:hAnsi="Times New Roman"/>
            <w:sz w:val="24"/>
            <w:szCs w:val="24"/>
          </w:rPr>
          <w:t xml:space="preserve"> </w:t>
        </w:r>
      </w:hyperlink>
      <w:hyperlink w:anchor="_Toc535827768" w:history="1">
        <w:r w:rsidR="00D35E51" w:rsidRPr="00F06DE2">
          <w:rPr>
            <w:rStyle w:val="Hyperlink"/>
            <w:rFonts w:ascii="Times New Roman" w:hAnsi="Times New Roman"/>
            <w:b w:val="0"/>
            <w:bCs w:val="0"/>
            <w:color w:val="auto"/>
            <w:sz w:val="24"/>
            <w:szCs w:val="24"/>
          </w:rPr>
          <w:t>Информационен документ №...</w:t>
        </w:r>
        <w:r w:rsidR="00D35E51" w:rsidRPr="00F06DE2">
          <w:rPr>
            <w:rStyle w:val="Hyperlink"/>
            <w:rFonts w:ascii="Times New Roman" w:hAnsi="Times New Roman"/>
            <w:b w:val="0"/>
            <w:bCs w:val="0"/>
            <w:color w:val="auto"/>
            <w:sz w:val="24"/>
            <w:szCs w:val="24"/>
            <w:vertAlign w:val="superscript"/>
          </w:rPr>
          <w:t xml:space="preserve"> </w:t>
        </w:r>
        <w:r w:rsidR="00D35E51" w:rsidRPr="00F06DE2">
          <w:rPr>
            <w:rStyle w:val="Hyperlink"/>
            <w:rFonts w:ascii="Times New Roman" w:hAnsi="Times New Roman"/>
            <w:b w:val="0"/>
            <w:bCs w:val="0"/>
            <w:color w:val="auto"/>
            <w:sz w:val="24"/>
            <w:szCs w:val="24"/>
          </w:rPr>
          <w:t>във връзка с одобрението на типа на бордовите станции за пречистване на отпадъчни води, предназначени за инсталиране на плавателните съдове по вътрешните водни пътища</w:t>
        </w:r>
        <w:r w:rsidR="003B2519">
          <w:rPr>
            <w:rStyle w:val="Hyperlink"/>
            <w:rFonts w:ascii="Times New Roman" w:hAnsi="Times New Roman"/>
            <w:b w:val="0"/>
            <w:bCs w:val="0"/>
            <w:color w:val="auto"/>
            <w:sz w:val="24"/>
            <w:szCs w:val="24"/>
          </w:rPr>
          <w:t xml:space="preserve">                                                                                              </w:t>
        </w:r>
        <w:r w:rsidR="00573752" w:rsidRPr="00F06DE2">
          <w:rPr>
            <w:rFonts w:ascii="Times New Roman" w:hAnsi="Times New Roman"/>
            <w:sz w:val="24"/>
            <w:szCs w:val="24"/>
            <w:lang w:val="en-US"/>
          </w:rPr>
          <w:t>399</w:t>
        </w:r>
      </w:hyperlink>
    </w:p>
    <w:p w14:paraId="276F86C0" w14:textId="01368F2D"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69" w:history="1">
        <w:r w:rsidR="00D35E51" w:rsidRPr="00F06DE2">
          <w:rPr>
            <w:rStyle w:val="Hyperlink"/>
            <w:rFonts w:ascii="Times New Roman" w:hAnsi="Times New Roman"/>
            <w:b w:val="0"/>
            <w:bCs w:val="0"/>
            <w:color w:val="auto"/>
            <w:sz w:val="24"/>
            <w:szCs w:val="24"/>
          </w:rPr>
          <w:t>Раздел II</w:t>
        </w:r>
        <w:r w:rsidR="00D35E51" w:rsidRPr="00F06DE2">
          <w:rPr>
            <w:rFonts w:ascii="Times New Roman" w:hAnsi="Times New Roman"/>
            <w:sz w:val="24"/>
            <w:szCs w:val="24"/>
          </w:rPr>
          <w:t xml:space="preserve"> </w:t>
        </w:r>
      </w:hyperlink>
      <w:hyperlink w:anchor="_Toc535827770" w:history="1">
        <w:r w:rsidR="00D35E51" w:rsidRPr="00F06DE2">
          <w:rPr>
            <w:rStyle w:val="Hyperlink"/>
            <w:rFonts w:ascii="Times New Roman" w:hAnsi="Times New Roman"/>
            <w:b w:val="0"/>
            <w:bCs w:val="0"/>
            <w:color w:val="auto"/>
            <w:sz w:val="24"/>
            <w:szCs w:val="24"/>
          </w:rPr>
          <w:t>Удостоверение за одобрение на типа</w:t>
        </w:r>
        <w:r w:rsidR="003B2519">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40</w:t>
        </w:r>
        <w:r w:rsidR="00573752" w:rsidRPr="00F06DE2">
          <w:rPr>
            <w:rFonts w:ascii="Times New Roman" w:hAnsi="Times New Roman"/>
            <w:sz w:val="24"/>
            <w:szCs w:val="24"/>
            <w:lang w:val="en-US"/>
          </w:rPr>
          <w:t>3</w:t>
        </w:r>
      </w:hyperlink>
    </w:p>
    <w:p w14:paraId="7C91389B" w14:textId="403526C8"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71" w:history="1">
        <w:r w:rsidR="00D35E51" w:rsidRPr="00F06DE2">
          <w:rPr>
            <w:rStyle w:val="Hyperlink"/>
            <w:rFonts w:ascii="Times New Roman" w:hAnsi="Times New Roman"/>
            <w:b w:val="0"/>
            <w:bCs w:val="0"/>
            <w:color w:val="auto"/>
            <w:sz w:val="24"/>
            <w:szCs w:val="24"/>
          </w:rPr>
          <w:t xml:space="preserve">Раздел IV </w:t>
        </w:r>
      </w:hyperlink>
      <w:hyperlink w:anchor="_Toc535827772" w:history="1">
        <w:r w:rsidR="00D35E51" w:rsidRPr="00F06DE2">
          <w:rPr>
            <w:rStyle w:val="Hyperlink"/>
            <w:rFonts w:ascii="Times New Roman" w:hAnsi="Times New Roman"/>
            <w:b w:val="0"/>
            <w:bCs w:val="0"/>
            <w:color w:val="auto"/>
            <w:sz w:val="24"/>
            <w:szCs w:val="24"/>
          </w:rPr>
          <w:t>Система за номериране на одобренията на типа</w:t>
        </w:r>
        <w:r w:rsidR="003B2519">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41</w:t>
        </w:r>
        <w:r w:rsidR="00573752" w:rsidRPr="00F06DE2">
          <w:rPr>
            <w:rFonts w:ascii="Times New Roman" w:hAnsi="Times New Roman"/>
            <w:sz w:val="24"/>
            <w:szCs w:val="24"/>
            <w:lang w:val="en-US"/>
          </w:rPr>
          <w:t>1</w:t>
        </w:r>
      </w:hyperlink>
    </w:p>
    <w:p w14:paraId="6A358FBC" w14:textId="201C8E19"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73" w:history="1">
        <w:r w:rsidR="00D35E51" w:rsidRPr="00F06DE2">
          <w:rPr>
            <w:rStyle w:val="Hyperlink"/>
            <w:rFonts w:ascii="Times New Roman" w:hAnsi="Times New Roman"/>
            <w:b w:val="0"/>
            <w:bCs w:val="0"/>
            <w:color w:val="auto"/>
            <w:sz w:val="24"/>
            <w:szCs w:val="24"/>
          </w:rPr>
          <w:t>Раздел V</w:t>
        </w:r>
        <w:r w:rsidR="00D35E51" w:rsidRPr="00F06DE2">
          <w:rPr>
            <w:rFonts w:ascii="Times New Roman" w:hAnsi="Times New Roman"/>
            <w:sz w:val="24"/>
            <w:szCs w:val="24"/>
          </w:rPr>
          <w:t xml:space="preserve"> </w:t>
        </w:r>
      </w:hyperlink>
      <w:hyperlink w:anchor="_Toc535827774" w:history="1">
        <w:r w:rsidR="00D35E51" w:rsidRPr="00F06DE2">
          <w:rPr>
            <w:rStyle w:val="Hyperlink"/>
            <w:rFonts w:ascii="Times New Roman" w:hAnsi="Times New Roman"/>
            <w:b w:val="0"/>
            <w:bCs w:val="0"/>
            <w:color w:val="auto"/>
            <w:sz w:val="24"/>
            <w:szCs w:val="24"/>
          </w:rPr>
          <w:t>Обобщение на одобренията на типа за типовете бордови станции за пречистване на отпадъчни води</w:t>
        </w:r>
        <w:r w:rsidR="00EE660E">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41</w:t>
        </w:r>
        <w:r w:rsidR="00573752" w:rsidRPr="00F06DE2">
          <w:rPr>
            <w:rFonts w:ascii="Times New Roman" w:hAnsi="Times New Roman"/>
            <w:sz w:val="24"/>
            <w:szCs w:val="24"/>
            <w:lang w:val="en-US"/>
          </w:rPr>
          <w:t>3</w:t>
        </w:r>
      </w:hyperlink>
    </w:p>
    <w:p w14:paraId="23D82233" w14:textId="03A65A70"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75" w:history="1">
        <w:r w:rsidR="00D35E51" w:rsidRPr="00F06DE2">
          <w:rPr>
            <w:rStyle w:val="Hyperlink"/>
            <w:rFonts w:ascii="Times New Roman" w:hAnsi="Times New Roman"/>
            <w:b w:val="0"/>
            <w:bCs w:val="0"/>
            <w:color w:val="auto"/>
            <w:sz w:val="24"/>
            <w:szCs w:val="24"/>
          </w:rPr>
          <w:t>Раздел VI</w:t>
        </w:r>
        <w:r w:rsidR="00D35E51" w:rsidRPr="00F06DE2">
          <w:rPr>
            <w:rFonts w:ascii="Times New Roman" w:hAnsi="Times New Roman"/>
            <w:sz w:val="24"/>
            <w:szCs w:val="24"/>
          </w:rPr>
          <w:t xml:space="preserve"> </w:t>
        </w:r>
      </w:hyperlink>
      <w:hyperlink w:anchor="_Toc535827776" w:history="1">
        <w:r w:rsidR="00D35E51" w:rsidRPr="00F06DE2">
          <w:rPr>
            <w:rStyle w:val="Hyperlink"/>
            <w:rFonts w:ascii="Times New Roman" w:hAnsi="Times New Roman"/>
            <w:b w:val="0"/>
            <w:bCs w:val="0"/>
            <w:color w:val="auto"/>
            <w:sz w:val="24"/>
            <w:szCs w:val="24"/>
          </w:rPr>
          <w:t>Обобщение на произведените бордови станции за пречистване на</w:t>
        </w:r>
        <w:r w:rsidR="00EE660E">
          <w:rPr>
            <w:rStyle w:val="Hyperlink"/>
            <w:rFonts w:ascii="Times New Roman" w:hAnsi="Times New Roman"/>
            <w:b w:val="0"/>
            <w:bCs w:val="0"/>
            <w:color w:val="auto"/>
            <w:sz w:val="24"/>
            <w:szCs w:val="24"/>
          </w:rPr>
          <w:br/>
        </w:r>
        <w:r w:rsidR="00D35E51" w:rsidRPr="00F06DE2">
          <w:rPr>
            <w:rStyle w:val="Hyperlink"/>
            <w:rFonts w:ascii="Times New Roman" w:hAnsi="Times New Roman"/>
            <w:b w:val="0"/>
            <w:bCs w:val="0"/>
            <w:color w:val="auto"/>
            <w:sz w:val="24"/>
            <w:szCs w:val="24"/>
          </w:rPr>
          <w:t>отпадъчни води</w:t>
        </w:r>
        <w:r w:rsidR="00EE660E">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41</w:t>
        </w:r>
        <w:r w:rsidR="00573752" w:rsidRPr="00F06DE2">
          <w:rPr>
            <w:rFonts w:ascii="Times New Roman" w:hAnsi="Times New Roman"/>
            <w:sz w:val="24"/>
            <w:szCs w:val="24"/>
            <w:lang w:val="en-US"/>
          </w:rPr>
          <w:t>4</w:t>
        </w:r>
      </w:hyperlink>
    </w:p>
    <w:p w14:paraId="35A4BE84" w14:textId="064EAAE5" w:rsidR="00271FA2" w:rsidRPr="00F06DE2" w:rsidRDefault="002C62EC">
      <w:pPr>
        <w:pStyle w:val="TOC3"/>
        <w:ind w:left="0" w:right="-2" w:firstLine="0"/>
        <w:rPr>
          <w:rFonts w:ascii="Times New Roman" w:eastAsiaTheme="minorEastAsia" w:hAnsi="Times New Roman"/>
          <w:sz w:val="24"/>
          <w:szCs w:val="24"/>
          <w:lang w:eastAsia="en-GB" w:bidi="ar-SA"/>
        </w:rPr>
      </w:pPr>
      <w:hyperlink w:anchor="_Toc535827777" w:history="1">
        <w:r w:rsidR="00D35E51" w:rsidRPr="00F06DE2">
          <w:rPr>
            <w:rStyle w:val="Hyperlink"/>
            <w:rFonts w:ascii="Times New Roman" w:hAnsi="Times New Roman"/>
            <w:b w:val="0"/>
            <w:bCs w:val="0"/>
            <w:color w:val="auto"/>
            <w:sz w:val="24"/>
            <w:szCs w:val="24"/>
          </w:rPr>
          <w:t>Раздел VII</w:t>
        </w:r>
      </w:hyperlink>
      <w:r w:rsidR="00D35E51" w:rsidRPr="00F06DE2">
        <w:rPr>
          <w:rFonts w:ascii="Times New Roman" w:eastAsiaTheme="minorEastAsia" w:hAnsi="Times New Roman"/>
          <w:sz w:val="24"/>
          <w:szCs w:val="24"/>
          <w:lang w:eastAsia="en-GB" w:bidi="ar-SA"/>
        </w:rPr>
        <w:t xml:space="preserve"> </w:t>
      </w:r>
      <w:hyperlink w:anchor="_Toc535827778" w:history="1">
        <w:r w:rsidR="00D35E51" w:rsidRPr="00F06DE2">
          <w:rPr>
            <w:rStyle w:val="Hyperlink"/>
            <w:rFonts w:ascii="Times New Roman" w:hAnsi="Times New Roman"/>
            <w:b w:val="0"/>
            <w:bCs w:val="0"/>
            <w:color w:val="auto"/>
            <w:sz w:val="24"/>
            <w:szCs w:val="24"/>
          </w:rPr>
          <w:t>Спецификация за бордови станции за пречистване на отпадъчни води с одобрение на типа</w:t>
        </w:r>
        <w:r w:rsidR="00EE660E">
          <w:rPr>
            <w:rStyle w:val="Hyperlink"/>
            <w:rFonts w:ascii="Times New Roman" w:hAnsi="Times New Roman"/>
            <w:b w:val="0"/>
            <w:bCs w:val="0"/>
            <w:color w:val="auto"/>
            <w:sz w:val="24"/>
            <w:szCs w:val="24"/>
          </w:rPr>
          <w:t xml:space="preserve">                                                                                                                                                       </w:t>
        </w:r>
        <w:r w:rsidR="00D35E51" w:rsidRPr="00F06DE2">
          <w:rPr>
            <w:rFonts w:ascii="Times New Roman" w:hAnsi="Times New Roman"/>
            <w:sz w:val="24"/>
            <w:szCs w:val="24"/>
          </w:rPr>
          <w:t xml:space="preserve"> 4</w:t>
        </w:r>
        <w:r w:rsidR="00573752" w:rsidRPr="00F06DE2">
          <w:rPr>
            <w:rFonts w:ascii="Times New Roman" w:hAnsi="Times New Roman"/>
            <w:sz w:val="24"/>
            <w:szCs w:val="24"/>
            <w:lang w:val="ru-RU"/>
          </w:rPr>
          <w:t>15</w:t>
        </w:r>
      </w:hyperlink>
    </w:p>
    <w:p w14:paraId="0C2DAC71" w14:textId="04D1BE63" w:rsidR="00271FA2" w:rsidRPr="00F06DE2" w:rsidRDefault="002C62EC" w:rsidP="00305EE3">
      <w:pPr>
        <w:pStyle w:val="TOC3"/>
        <w:ind w:left="0" w:right="-2" w:firstLine="0"/>
        <w:rPr>
          <w:rFonts w:ascii="Times New Roman" w:hAnsi="Times New Roman"/>
          <w:sz w:val="24"/>
          <w:szCs w:val="24"/>
          <w:lang w:val="ru-RU"/>
        </w:rPr>
      </w:pPr>
      <w:hyperlink w:anchor="_Toc535827779" w:history="1">
        <w:r w:rsidR="00D35E51" w:rsidRPr="00F06DE2">
          <w:rPr>
            <w:rFonts w:ascii="Times New Roman" w:hAnsi="Times New Roman"/>
            <w:sz w:val="24"/>
            <w:szCs w:val="24"/>
          </w:rPr>
          <w:t xml:space="preserve">Раздел VIII </w:t>
        </w:r>
      </w:hyperlink>
      <w:r w:rsidR="00BA7763" w:rsidRPr="00F06DE2">
        <w:rPr>
          <w:rFonts w:ascii="Times New Roman" w:hAnsi="Times New Roman"/>
          <w:sz w:val="24"/>
          <w:szCs w:val="24"/>
        </w:rPr>
        <w:t xml:space="preserve"> Протокол  от изпитване на бордови пречиствателни станции за</w:t>
      </w:r>
      <w:r w:rsidR="00EE660E">
        <w:rPr>
          <w:rFonts w:ascii="Times New Roman" w:hAnsi="Times New Roman"/>
          <w:sz w:val="24"/>
          <w:szCs w:val="24"/>
        </w:rPr>
        <w:br/>
      </w:r>
      <w:r w:rsidR="00BA7763" w:rsidRPr="00F06DE2">
        <w:rPr>
          <w:rFonts w:ascii="Times New Roman" w:hAnsi="Times New Roman"/>
          <w:sz w:val="24"/>
          <w:szCs w:val="24"/>
        </w:rPr>
        <w:t>отпадъчни води</w:t>
      </w:r>
      <w:r w:rsidR="00EE660E">
        <w:rPr>
          <w:rFonts w:ascii="Times New Roman" w:hAnsi="Times New Roman"/>
          <w:sz w:val="24"/>
          <w:szCs w:val="24"/>
          <w:lang w:val="ru-RU"/>
        </w:rPr>
        <w:t xml:space="preserve">                                                                                                                               </w:t>
      </w:r>
      <w:r w:rsidR="00305EE3" w:rsidRPr="00F06DE2">
        <w:rPr>
          <w:rFonts w:ascii="Times New Roman" w:hAnsi="Times New Roman"/>
          <w:sz w:val="24"/>
          <w:szCs w:val="24"/>
          <w:lang w:val="ru-RU"/>
        </w:rPr>
        <w:t xml:space="preserve"> 416</w:t>
      </w:r>
    </w:p>
    <w:p w14:paraId="4F3D2066" w14:textId="5995129C" w:rsidR="00271FA2" w:rsidRPr="00F06DE2" w:rsidRDefault="00D35E51">
      <w:pPr>
        <w:pStyle w:val="TOC3"/>
        <w:ind w:left="0" w:right="-2" w:firstLine="0"/>
        <w:rPr>
          <w:rFonts w:ascii="Times New Roman" w:eastAsiaTheme="minorEastAsia" w:hAnsi="Times New Roman"/>
          <w:sz w:val="24"/>
          <w:szCs w:val="24"/>
          <w:lang w:eastAsia="en-GB" w:bidi="ar-SA"/>
        </w:rPr>
      </w:pPr>
      <w:r w:rsidRPr="00F06DE2">
        <w:rPr>
          <w:rFonts w:ascii="Times New Roman" w:hAnsi="Times New Roman"/>
          <w:sz w:val="24"/>
          <w:szCs w:val="24"/>
        </w:rPr>
        <w:t xml:space="preserve">Раздел IX </w:t>
      </w:r>
      <w:hyperlink w:anchor="_Toc535827782" w:history="1">
        <w:r w:rsidRPr="00F06DE2">
          <w:rPr>
            <w:rStyle w:val="Hyperlink"/>
            <w:rFonts w:ascii="Times New Roman" w:hAnsi="Times New Roman"/>
            <w:b w:val="0"/>
            <w:bCs w:val="0"/>
            <w:color w:val="auto"/>
            <w:sz w:val="24"/>
            <w:szCs w:val="24"/>
          </w:rPr>
          <w:t>Процедура на изпитване</w:t>
        </w:r>
        <w:r w:rsidR="00EE660E">
          <w:rPr>
            <w:rStyle w:val="Hyperlink"/>
            <w:rFonts w:ascii="Times New Roman" w:hAnsi="Times New Roman"/>
            <w:b w:val="0"/>
            <w:bCs w:val="0"/>
            <w:color w:val="auto"/>
            <w:sz w:val="24"/>
            <w:szCs w:val="24"/>
          </w:rPr>
          <w:t xml:space="preserve">                                                                                                     </w:t>
        </w:r>
        <w:r w:rsidRPr="00F06DE2">
          <w:rPr>
            <w:rFonts w:ascii="Times New Roman" w:hAnsi="Times New Roman"/>
            <w:sz w:val="24"/>
            <w:szCs w:val="24"/>
          </w:rPr>
          <w:t>42</w:t>
        </w:r>
        <w:r w:rsidR="00C21E28" w:rsidRPr="00F06DE2">
          <w:rPr>
            <w:rFonts w:ascii="Times New Roman" w:hAnsi="Times New Roman"/>
            <w:sz w:val="24"/>
            <w:szCs w:val="24"/>
            <w:lang w:val="ru-RU"/>
          </w:rPr>
          <w:t>3</w:t>
        </w:r>
      </w:hyperlink>
    </w:p>
    <w:p w14:paraId="7710CF7B" w14:textId="5FF42322" w:rsidR="00271FA2" w:rsidRPr="00F06DE2" w:rsidRDefault="002C62EC" w:rsidP="00EE660E">
      <w:pPr>
        <w:pStyle w:val="TOC2"/>
        <w:spacing w:before="120"/>
        <w:ind w:left="0" w:right="-2" w:firstLine="0"/>
        <w:rPr>
          <w:rFonts w:ascii="Times New Roman" w:eastAsiaTheme="minorEastAsia" w:hAnsi="Times New Roman"/>
          <w:i/>
          <w:iCs/>
          <w:smallCaps w:val="0"/>
          <w:sz w:val="24"/>
          <w:szCs w:val="24"/>
          <w:lang w:eastAsia="en-GB" w:bidi="ar-SA"/>
        </w:rPr>
      </w:pPr>
      <w:hyperlink w:anchor="_Toc535827783" w:history="1">
        <w:r w:rsidR="00D35E51" w:rsidRPr="00F06DE2">
          <w:rPr>
            <w:rStyle w:val="Hyperlink"/>
            <w:rFonts w:ascii="Times New Roman" w:hAnsi="Times New Roman"/>
            <w:b w:val="0"/>
            <w:bCs w:val="0"/>
            <w:i/>
            <w:iCs/>
            <w:color w:val="auto"/>
            <w:sz w:val="24"/>
            <w:szCs w:val="24"/>
          </w:rPr>
          <w:t>Приложение 8 Допълнителни разпоредби, приложими за експлоатацията на плавателни средства</w:t>
        </w:r>
        <w:r w:rsidR="00BF256A">
          <w:rPr>
            <w:rStyle w:val="Hyperlink"/>
            <w:rFonts w:ascii="Times New Roman" w:hAnsi="Times New Roman"/>
            <w:b w:val="0"/>
            <w:bCs w:val="0"/>
            <w:i/>
            <w:iCs/>
            <w:color w:val="auto"/>
            <w:sz w:val="24"/>
            <w:szCs w:val="24"/>
          </w:rPr>
          <w:t>,</w:t>
        </w:r>
        <w:r w:rsidR="00D35E51" w:rsidRPr="00F06DE2">
          <w:rPr>
            <w:rStyle w:val="Hyperlink"/>
            <w:rFonts w:ascii="Times New Roman" w:hAnsi="Times New Roman"/>
            <w:b w:val="0"/>
            <w:bCs w:val="0"/>
            <w:i/>
            <w:iCs/>
            <w:color w:val="auto"/>
            <w:sz w:val="24"/>
            <w:szCs w:val="24"/>
          </w:rPr>
          <w:t xml:space="preserve"> оборудвани със задвижване или спомагателни системи, работещи с горива с температура на възпламеняване</w:t>
        </w:r>
        <w:r w:rsidR="00BF256A">
          <w:rPr>
            <w:rStyle w:val="Hyperlink"/>
            <w:rFonts w:ascii="Times New Roman" w:hAnsi="Times New Roman"/>
            <w:b w:val="0"/>
            <w:bCs w:val="0"/>
            <w:i/>
            <w:iCs/>
            <w:color w:val="auto"/>
            <w:sz w:val="24"/>
            <w:szCs w:val="24"/>
          </w:rPr>
          <w:t>,</w:t>
        </w:r>
        <w:r w:rsidR="00D35E51" w:rsidRPr="00F06DE2">
          <w:rPr>
            <w:rStyle w:val="Hyperlink"/>
            <w:rFonts w:ascii="Times New Roman" w:hAnsi="Times New Roman"/>
            <w:b w:val="0"/>
            <w:bCs w:val="0"/>
            <w:i/>
            <w:iCs/>
            <w:color w:val="auto"/>
            <w:sz w:val="24"/>
            <w:szCs w:val="24"/>
          </w:rPr>
          <w:t xml:space="preserve"> по-ниска или равна на 55°C</w:t>
        </w:r>
        <w:r w:rsidR="00BF256A">
          <w:rPr>
            <w:rStyle w:val="Hyperlink"/>
            <w:rFonts w:ascii="Times New Roman" w:hAnsi="Times New Roman"/>
            <w:b w:val="0"/>
            <w:bCs w:val="0"/>
            <w:i/>
            <w:iCs/>
            <w:color w:val="auto"/>
            <w:sz w:val="24"/>
            <w:szCs w:val="24"/>
          </w:rPr>
          <w:t xml:space="preserve">                                                              </w:t>
        </w:r>
        <w:r w:rsidR="00D35E51" w:rsidRPr="00F06DE2">
          <w:rPr>
            <w:rFonts w:ascii="Times New Roman" w:hAnsi="Times New Roman"/>
            <w:i/>
            <w:iCs/>
            <w:sz w:val="24"/>
            <w:szCs w:val="24"/>
          </w:rPr>
          <w:t>4</w:t>
        </w:r>
        <w:r w:rsidR="00BD5B86" w:rsidRPr="00F06DE2">
          <w:rPr>
            <w:rFonts w:ascii="Times New Roman" w:hAnsi="Times New Roman"/>
            <w:i/>
            <w:iCs/>
            <w:sz w:val="24"/>
            <w:szCs w:val="24"/>
            <w:lang w:val="en-US"/>
          </w:rPr>
          <w:t>35</w:t>
        </w:r>
      </w:hyperlink>
    </w:p>
    <w:p w14:paraId="5AF48723" w14:textId="39CA7BF9" w:rsidR="00271FA2" w:rsidRPr="00F06DE2" w:rsidRDefault="00D35E51">
      <w:pPr>
        <w:pStyle w:val="TOC3"/>
        <w:ind w:right="-2"/>
        <w:rPr>
          <w:rFonts w:ascii="Times New Roman" w:hAnsi="Times New Roman"/>
          <w:sz w:val="24"/>
          <w:szCs w:val="24"/>
        </w:rPr>
      </w:pPr>
      <w:r w:rsidRPr="00F06DE2">
        <w:rPr>
          <w:rFonts w:ascii="Times New Roman" w:hAnsi="Times New Roman"/>
          <w:sz w:val="24"/>
          <w:szCs w:val="24"/>
        </w:rPr>
        <w:t xml:space="preserve">Раздел I </w:t>
      </w:r>
      <w:hyperlink w:anchor="_Toc535827785" w:history="1">
        <w:r w:rsidRPr="00F06DE2">
          <w:rPr>
            <w:rStyle w:val="Hyperlink"/>
            <w:rFonts w:ascii="Times New Roman" w:hAnsi="Times New Roman"/>
            <w:b w:val="0"/>
            <w:bCs w:val="0"/>
            <w:color w:val="auto"/>
            <w:sz w:val="24"/>
            <w:szCs w:val="24"/>
          </w:rPr>
          <w:t>Дефиниции</w:t>
        </w:r>
        <w:r w:rsidR="00BF256A">
          <w:rPr>
            <w:rStyle w:val="Hyperlink"/>
            <w:rFonts w:ascii="Times New Roman" w:hAnsi="Times New Roman"/>
            <w:b w:val="0"/>
            <w:bCs w:val="0"/>
            <w:color w:val="auto"/>
            <w:sz w:val="24"/>
            <w:szCs w:val="24"/>
          </w:rPr>
          <w:t xml:space="preserve">                                                                                                                          </w:t>
        </w:r>
        <w:r w:rsidRPr="00F06DE2">
          <w:rPr>
            <w:rFonts w:ascii="Times New Roman" w:hAnsi="Times New Roman"/>
            <w:sz w:val="24"/>
            <w:szCs w:val="24"/>
          </w:rPr>
          <w:t>4</w:t>
        </w:r>
        <w:r w:rsidR="00BD5B86" w:rsidRPr="00F06DE2">
          <w:rPr>
            <w:rFonts w:ascii="Times New Roman" w:hAnsi="Times New Roman"/>
            <w:sz w:val="24"/>
            <w:szCs w:val="24"/>
            <w:lang w:val="ru-RU"/>
          </w:rPr>
          <w:t>35</w:t>
        </w:r>
      </w:hyperlink>
    </w:p>
    <w:p w14:paraId="71F12174" w14:textId="72FEF6FE" w:rsidR="00271FA2" w:rsidRPr="00F06DE2" w:rsidRDefault="00D35E51" w:rsidP="00CD0CE0">
      <w:pPr>
        <w:spacing w:after="0" w:line="240" w:lineRule="auto"/>
        <w:rPr>
          <w:rFonts w:ascii="Times New Roman" w:hAnsi="Times New Roman" w:cs="Times New Roman"/>
          <w:i/>
          <w:iCs/>
          <w:sz w:val="24"/>
          <w:szCs w:val="24"/>
          <w:lang w:val="ru-RU" w:eastAsia="bg-BG" w:bidi="bg-BG"/>
        </w:rPr>
      </w:pPr>
      <w:r w:rsidRPr="00F06DE2">
        <w:rPr>
          <w:rFonts w:ascii="Times New Roman" w:hAnsi="Times New Roman" w:cs="Times New Roman"/>
          <w:i/>
          <w:iCs/>
          <w:sz w:val="24"/>
          <w:szCs w:val="24"/>
          <w:lang w:val="ru-RU" w:eastAsia="bg-BG" w:bidi="bg-BG"/>
        </w:rPr>
        <w:t xml:space="preserve">Раздел </w:t>
      </w:r>
      <w:r w:rsidRPr="00F06DE2">
        <w:rPr>
          <w:rFonts w:ascii="Times New Roman" w:hAnsi="Times New Roman" w:cs="Times New Roman"/>
          <w:i/>
          <w:iCs/>
          <w:sz w:val="24"/>
          <w:szCs w:val="24"/>
          <w:lang w:eastAsia="bg-BG" w:bidi="bg-BG"/>
        </w:rPr>
        <w:t>II</w:t>
      </w:r>
      <w:r w:rsidRPr="00F06DE2">
        <w:rPr>
          <w:rFonts w:ascii="Times New Roman" w:hAnsi="Times New Roman" w:cs="Times New Roman"/>
          <w:i/>
          <w:iCs/>
          <w:sz w:val="24"/>
          <w:szCs w:val="24"/>
          <w:lang w:val="ru-RU" w:eastAsia="bg-BG" w:bidi="bg-BG"/>
        </w:rPr>
        <w:t xml:space="preserve"> Съхранение на гориво</w:t>
      </w:r>
      <w:r w:rsidR="00BF256A">
        <w:rPr>
          <w:rFonts w:ascii="Times New Roman" w:hAnsi="Times New Roman" w:cs="Times New Roman"/>
          <w:i/>
          <w:iCs/>
          <w:sz w:val="24"/>
          <w:szCs w:val="24"/>
          <w:lang w:val="ru-RU" w:eastAsia="bg-BG" w:bidi="bg-BG"/>
        </w:rPr>
        <w:t xml:space="preserve">                                                                                                     </w:t>
      </w:r>
      <w:r w:rsidR="00BD5B86" w:rsidRPr="00F06DE2">
        <w:rPr>
          <w:rFonts w:ascii="Times New Roman" w:hAnsi="Times New Roman" w:cs="Times New Roman"/>
          <w:i/>
          <w:iCs/>
          <w:sz w:val="24"/>
          <w:szCs w:val="24"/>
          <w:lang w:val="ru-RU" w:eastAsia="bg-BG" w:bidi="bg-BG"/>
        </w:rPr>
        <w:t>437</w:t>
      </w:r>
    </w:p>
    <w:p w14:paraId="4A9D53E1" w14:textId="3511439F" w:rsidR="00271FA2" w:rsidRPr="00F06DE2" w:rsidRDefault="00D35E51">
      <w:pPr>
        <w:rPr>
          <w:rFonts w:ascii="Times New Roman" w:hAnsi="Times New Roman" w:cs="Times New Roman"/>
          <w:i/>
          <w:iCs/>
          <w:sz w:val="24"/>
          <w:szCs w:val="24"/>
          <w:lang w:val="ru-RU" w:eastAsia="bg-BG" w:bidi="bg-BG"/>
        </w:rPr>
      </w:pPr>
      <w:r w:rsidRPr="00F06DE2">
        <w:rPr>
          <w:rFonts w:ascii="Times New Roman" w:hAnsi="Times New Roman" w:cs="Times New Roman"/>
          <w:i/>
          <w:iCs/>
          <w:sz w:val="24"/>
          <w:szCs w:val="24"/>
          <w:lang w:val="ru-RU" w:eastAsia="bg-BG" w:bidi="bg-BG"/>
        </w:rPr>
        <w:t xml:space="preserve">Раздел </w:t>
      </w:r>
      <w:r w:rsidRPr="00F06DE2">
        <w:rPr>
          <w:rFonts w:ascii="Times New Roman" w:hAnsi="Times New Roman" w:cs="Times New Roman"/>
          <w:i/>
          <w:iCs/>
          <w:sz w:val="24"/>
          <w:szCs w:val="24"/>
          <w:lang w:eastAsia="bg-BG" w:bidi="bg-BG"/>
        </w:rPr>
        <w:t>III</w:t>
      </w:r>
      <w:r w:rsidRPr="00F06DE2">
        <w:rPr>
          <w:rFonts w:ascii="Times New Roman" w:hAnsi="Times New Roman" w:cs="Times New Roman"/>
          <w:i/>
          <w:iCs/>
          <w:sz w:val="24"/>
          <w:szCs w:val="24"/>
          <w:lang w:val="ru-RU" w:eastAsia="bg-BG" w:bidi="bg-BG"/>
        </w:rPr>
        <w:t xml:space="preserve"> Преобразуватели на енергия</w:t>
      </w:r>
      <w:r w:rsidR="00BF256A">
        <w:rPr>
          <w:rFonts w:ascii="Times New Roman" w:hAnsi="Times New Roman" w:cs="Times New Roman"/>
          <w:i/>
          <w:iCs/>
          <w:sz w:val="24"/>
          <w:szCs w:val="24"/>
          <w:lang w:val="ru-RU" w:eastAsia="bg-BG" w:bidi="bg-BG"/>
        </w:rPr>
        <w:t xml:space="preserve">                                                                                       </w:t>
      </w:r>
      <w:r w:rsidRPr="00F06DE2">
        <w:rPr>
          <w:rFonts w:ascii="Times New Roman" w:hAnsi="Times New Roman" w:cs="Times New Roman"/>
          <w:i/>
          <w:iCs/>
          <w:sz w:val="24"/>
          <w:szCs w:val="24"/>
          <w:lang w:val="ru-RU" w:eastAsia="bg-BG" w:bidi="bg-BG"/>
        </w:rPr>
        <w:t>4</w:t>
      </w:r>
      <w:r w:rsidR="00BD5B86" w:rsidRPr="00F06DE2">
        <w:rPr>
          <w:rFonts w:ascii="Times New Roman" w:hAnsi="Times New Roman" w:cs="Times New Roman"/>
          <w:i/>
          <w:iCs/>
          <w:sz w:val="24"/>
          <w:szCs w:val="24"/>
          <w:lang w:val="ru-RU" w:eastAsia="bg-BG" w:bidi="bg-BG"/>
        </w:rPr>
        <w:t>48</w:t>
      </w:r>
    </w:p>
    <w:p w14:paraId="10A7B895" w14:textId="6F3D49D5" w:rsidR="00271FA2" w:rsidRPr="00F06DE2" w:rsidRDefault="002C62EC" w:rsidP="00CD0CE0">
      <w:pPr>
        <w:pStyle w:val="TOC1"/>
        <w:spacing w:before="120" w:after="0"/>
        <w:ind w:left="0" w:right="0" w:firstLine="0"/>
        <w:rPr>
          <w:rFonts w:ascii="Times New Roman" w:eastAsiaTheme="minorEastAsia" w:hAnsi="Times New Roman"/>
          <w:bCs w:val="0"/>
          <w:i/>
          <w:iCs/>
          <w:caps w:val="0"/>
          <w:sz w:val="24"/>
          <w:szCs w:val="24"/>
          <w:lang w:eastAsia="en-GB" w:bidi="ar-SA"/>
        </w:rPr>
      </w:pPr>
      <w:hyperlink w:anchor="_Toc535827786" w:history="1">
        <w:r w:rsidR="00D35E51" w:rsidRPr="00F06DE2">
          <w:rPr>
            <w:rStyle w:val="Hyperlink"/>
            <w:rFonts w:ascii="Times New Roman" w:hAnsi="Times New Roman"/>
            <w:i/>
            <w:iCs/>
            <w:color w:val="auto"/>
            <w:sz w:val="24"/>
            <w:szCs w:val="24"/>
          </w:rPr>
          <w:t>Инструкции за прилагането на техническия стандарт</w:t>
        </w:r>
        <w:r w:rsidR="00346720">
          <w:rPr>
            <w:rStyle w:val="Hyperlink"/>
            <w:rFonts w:ascii="Times New Roman" w:hAnsi="Times New Roman"/>
            <w:i/>
            <w:iCs/>
            <w:color w:val="auto"/>
            <w:sz w:val="24"/>
            <w:szCs w:val="24"/>
          </w:rPr>
          <w:t xml:space="preserve">                            </w:t>
        </w:r>
        <w:r w:rsidR="00D35E51" w:rsidRPr="00F06DE2">
          <w:rPr>
            <w:rFonts w:ascii="Times New Roman" w:hAnsi="Times New Roman"/>
            <w:b w:val="0"/>
            <w:bCs w:val="0"/>
            <w:i/>
            <w:iCs/>
            <w:sz w:val="24"/>
            <w:szCs w:val="24"/>
          </w:rPr>
          <w:t>4</w:t>
        </w:r>
        <w:r w:rsidR="00BD5B86" w:rsidRPr="00F06DE2">
          <w:rPr>
            <w:rFonts w:ascii="Times New Roman" w:hAnsi="Times New Roman"/>
            <w:b w:val="0"/>
            <w:bCs w:val="0"/>
            <w:i/>
            <w:iCs/>
            <w:sz w:val="24"/>
            <w:szCs w:val="24"/>
            <w:lang w:val="en-US"/>
          </w:rPr>
          <w:t>57</w:t>
        </w:r>
      </w:hyperlink>
    </w:p>
    <w:p w14:paraId="0D60D771" w14:textId="4B9EDC19" w:rsidR="00271FA2" w:rsidRPr="00F06DE2" w:rsidRDefault="002C62EC" w:rsidP="00CD0CE0">
      <w:pPr>
        <w:pStyle w:val="TOC1"/>
        <w:spacing w:before="0" w:after="0"/>
        <w:ind w:left="0" w:right="-2" w:firstLine="0"/>
        <w:rPr>
          <w:rFonts w:ascii="Times New Roman" w:eastAsiaTheme="minorEastAsia" w:hAnsi="Times New Roman"/>
          <w:b w:val="0"/>
          <w:bCs w:val="0"/>
          <w:i/>
          <w:iCs/>
          <w:caps w:val="0"/>
          <w:sz w:val="24"/>
          <w:szCs w:val="24"/>
          <w:lang w:eastAsia="en-GB" w:bidi="ar-SA"/>
        </w:rPr>
      </w:pPr>
      <w:hyperlink w:anchor="_Toc535827787" w:history="1">
        <w:r w:rsidR="00D35E51" w:rsidRPr="00F06DE2">
          <w:rPr>
            <w:rStyle w:val="Hyperlink"/>
            <w:rFonts w:ascii="Times New Roman" w:hAnsi="Times New Roman"/>
            <w:i/>
            <w:iCs/>
            <w:color w:val="auto"/>
            <w:sz w:val="24"/>
            <w:szCs w:val="24"/>
          </w:rPr>
          <w:t>ЧАСТ I ОБЩИ ПОЛОЖЕНИЯ</w:t>
        </w:r>
        <w:r w:rsidR="00346720">
          <w:rPr>
            <w:rStyle w:val="Hyperlink"/>
            <w:rFonts w:ascii="Times New Roman" w:hAnsi="Times New Roman"/>
            <w:i/>
            <w:iCs/>
            <w:color w:val="auto"/>
            <w:sz w:val="24"/>
            <w:szCs w:val="24"/>
          </w:rPr>
          <w:t xml:space="preserve">                                                                                                         </w:t>
        </w:r>
        <w:r w:rsidR="00D35E51" w:rsidRPr="00F06DE2">
          <w:rPr>
            <w:rFonts w:ascii="Times New Roman" w:hAnsi="Times New Roman"/>
            <w:b w:val="0"/>
            <w:bCs w:val="0"/>
            <w:i/>
            <w:iCs/>
            <w:sz w:val="24"/>
            <w:szCs w:val="24"/>
          </w:rPr>
          <w:t>4</w:t>
        </w:r>
        <w:r w:rsidR="00BD5B86" w:rsidRPr="00F06DE2">
          <w:rPr>
            <w:rFonts w:ascii="Times New Roman" w:hAnsi="Times New Roman"/>
            <w:b w:val="0"/>
            <w:bCs w:val="0"/>
            <w:i/>
            <w:iCs/>
            <w:sz w:val="24"/>
            <w:szCs w:val="24"/>
            <w:lang w:val="en-US"/>
          </w:rPr>
          <w:t>58</w:t>
        </w:r>
      </w:hyperlink>
    </w:p>
    <w:p w14:paraId="5735BD13" w14:textId="34CB4DF0" w:rsidR="00271FA2" w:rsidRPr="00F06DE2" w:rsidRDefault="002C62EC" w:rsidP="00CD0CE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88" w:history="1">
        <w:r w:rsidR="00D35E51" w:rsidRPr="00F06DE2">
          <w:rPr>
            <w:rStyle w:val="Hyperlink"/>
            <w:rFonts w:ascii="Times New Roman" w:hAnsi="Times New Roman"/>
            <w:b w:val="0"/>
            <w:bCs w:val="0"/>
            <w:i/>
            <w:iCs/>
            <w:color w:val="auto"/>
            <w:sz w:val="24"/>
            <w:szCs w:val="24"/>
          </w:rPr>
          <w:t>ESI-I-1 Попълване на Корабното удостоверение за вътрешно корабоплаване</w:t>
        </w:r>
        <w:r w:rsidR="00346720">
          <w:rPr>
            <w:rStyle w:val="Hyperlink"/>
            <w:rFonts w:ascii="Times New Roman" w:hAnsi="Times New Roman"/>
            <w:b w:val="0"/>
            <w:bCs w:val="0"/>
            <w:i/>
            <w:iCs/>
            <w:color w:val="auto"/>
            <w:sz w:val="24"/>
            <w:szCs w:val="24"/>
          </w:rPr>
          <w:t xml:space="preserve">                       </w:t>
        </w:r>
        <w:r w:rsidR="00D35E51" w:rsidRPr="00F06DE2">
          <w:rPr>
            <w:rFonts w:ascii="Times New Roman" w:hAnsi="Times New Roman"/>
            <w:i/>
            <w:iCs/>
            <w:sz w:val="24"/>
            <w:szCs w:val="24"/>
          </w:rPr>
          <w:t xml:space="preserve"> 4</w:t>
        </w:r>
        <w:r w:rsidR="00BD5B86" w:rsidRPr="00F06DE2">
          <w:rPr>
            <w:rFonts w:ascii="Times New Roman" w:hAnsi="Times New Roman"/>
            <w:i/>
            <w:iCs/>
            <w:sz w:val="24"/>
            <w:szCs w:val="24"/>
            <w:lang w:val="en-US"/>
          </w:rPr>
          <w:t>58</w:t>
        </w:r>
      </w:hyperlink>
    </w:p>
    <w:p w14:paraId="43A3767E" w14:textId="3A2E35DF" w:rsidR="00271FA2" w:rsidRPr="00F06DE2" w:rsidRDefault="002C62EC" w:rsidP="00CD0CE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89" w:history="1">
        <w:r w:rsidR="00D35E51" w:rsidRPr="00F06DE2">
          <w:rPr>
            <w:rStyle w:val="Hyperlink"/>
            <w:rFonts w:ascii="Times New Roman" w:hAnsi="Times New Roman"/>
            <w:b w:val="0"/>
            <w:bCs w:val="0"/>
            <w:i/>
            <w:iCs/>
            <w:color w:val="auto"/>
            <w:sz w:val="24"/>
            <w:szCs w:val="24"/>
          </w:rPr>
          <w:t>ESI-I-2 Експерти и компетентни лица</w:t>
        </w:r>
        <w:r w:rsidR="00346720">
          <w:rPr>
            <w:rStyle w:val="Hyperlink"/>
            <w:rFonts w:ascii="Times New Roman" w:hAnsi="Times New Roman"/>
            <w:b w:val="0"/>
            <w:bCs w:val="0"/>
            <w:i/>
            <w:iCs/>
            <w:color w:val="auto"/>
            <w:sz w:val="24"/>
            <w:szCs w:val="24"/>
          </w:rPr>
          <w:t xml:space="preserve">                                                                                                                    </w:t>
        </w:r>
        <w:r w:rsidR="00D35E51" w:rsidRPr="00F06DE2">
          <w:rPr>
            <w:rFonts w:ascii="Times New Roman" w:hAnsi="Times New Roman"/>
            <w:i/>
            <w:iCs/>
            <w:sz w:val="24"/>
            <w:szCs w:val="24"/>
          </w:rPr>
          <w:t>4</w:t>
        </w:r>
        <w:r w:rsidR="00BD5B86" w:rsidRPr="00F06DE2">
          <w:rPr>
            <w:rFonts w:ascii="Times New Roman" w:hAnsi="Times New Roman"/>
            <w:i/>
            <w:iCs/>
            <w:sz w:val="24"/>
            <w:szCs w:val="24"/>
            <w:lang w:val="en-US"/>
          </w:rPr>
          <w:t>64</w:t>
        </w:r>
      </w:hyperlink>
    </w:p>
    <w:p w14:paraId="71058B86" w14:textId="353B30B7" w:rsidR="00271FA2" w:rsidRPr="00F06DE2" w:rsidRDefault="002C62EC" w:rsidP="00CD0CE0">
      <w:pPr>
        <w:pStyle w:val="TOC1"/>
        <w:spacing w:before="120" w:after="0"/>
        <w:ind w:left="0" w:right="-2" w:firstLine="0"/>
        <w:rPr>
          <w:rFonts w:ascii="Times New Roman" w:eastAsiaTheme="minorEastAsia" w:hAnsi="Times New Roman"/>
          <w:b w:val="0"/>
          <w:bCs w:val="0"/>
          <w:i/>
          <w:iCs/>
          <w:caps w:val="0"/>
          <w:sz w:val="24"/>
          <w:szCs w:val="24"/>
          <w:lang w:eastAsia="en-GB" w:bidi="ar-SA"/>
        </w:rPr>
      </w:pPr>
      <w:hyperlink w:anchor="_Toc535827790" w:history="1">
        <w:r w:rsidR="00D35E51" w:rsidRPr="00F06DE2">
          <w:rPr>
            <w:rStyle w:val="Hyperlink"/>
            <w:rFonts w:ascii="Times New Roman" w:hAnsi="Times New Roman"/>
            <w:i/>
            <w:iCs/>
            <w:color w:val="auto"/>
            <w:sz w:val="24"/>
            <w:szCs w:val="24"/>
          </w:rPr>
          <w:t>ЧАСТ II РАЗПОРЕДБИ ОТНОСНО КОРАБНАТА КОНСТРУКЦИЯ, СЪОРЪЖЕНИЯТА И ОБОРУДВАНЕТО</w:t>
        </w:r>
        <w:r w:rsidR="00346720">
          <w:rPr>
            <w:rStyle w:val="Hyperlink"/>
            <w:rFonts w:ascii="Times New Roman" w:hAnsi="Times New Roman"/>
            <w:i/>
            <w:iCs/>
            <w:color w:val="auto"/>
            <w:sz w:val="24"/>
            <w:szCs w:val="24"/>
          </w:rPr>
          <w:t xml:space="preserve">                                                                                                                             </w:t>
        </w:r>
        <w:r w:rsidR="00D35E51" w:rsidRPr="00F06DE2">
          <w:rPr>
            <w:rFonts w:ascii="Times New Roman" w:hAnsi="Times New Roman"/>
            <w:b w:val="0"/>
            <w:bCs w:val="0"/>
            <w:i/>
            <w:iCs/>
            <w:sz w:val="24"/>
            <w:szCs w:val="24"/>
          </w:rPr>
          <w:t>4</w:t>
        </w:r>
        <w:r w:rsidR="00BD5B86" w:rsidRPr="00F06DE2">
          <w:rPr>
            <w:rFonts w:ascii="Times New Roman" w:hAnsi="Times New Roman"/>
            <w:b w:val="0"/>
            <w:bCs w:val="0"/>
            <w:i/>
            <w:iCs/>
            <w:sz w:val="24"/>
            <w:szCs w:val="24"/>
            <w:lang w:val="en-US"/>
          </w:rPr>
          <w:t>67</w:t>
        </w:r>
      </w:hyperlink>
    </w:p>
    <w:p w14:paraId="7CC68604" w14:textId="3F3E2E06" w:rsidR="00271FA2" w:rsidRPr="00F06DE2" w:rsidRDefault="002C62EC" w:rsidP="00CD0CE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91" w:history="1">
        <w:r w:rsidR="00D35E51" w:rsidRPr="00F06DE2">
          <w:rPr>
            <w:rStyle w:val="Hyperlink"/>
            <w:rFonts w:ascii="Times New Roman" w:hAnsi="Times New Roman"/>
            <w:b w:val="0"/>
            <w:bCs w:val="0"/>
            <w:i/>
            <w:iCs/>
            <w:sz w:val="24"/>
            <w:szCs w:val="24"/>
          </w:rPr>
          <w:t>ESI-II-1 Минимална дебелина на корпуса на баржите</w:t>
        </w:r>
        <w:r w:rsidR="00346720">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4</w:t>
        </w:r>
        <w:r w:rsidR="00BD5B86" w:rsidRPr="00F06DE2">
          <w:rPr>
            <w:rFonts w:ascii="Times New Roman" w:hAnsi="Times New Roman"/>
            <w:i/>
            <w:iCs/>
            <w:sz w:val="24"/>
            <w:szCs w:val="24"/>
            <w:lang w:val="en-US"/>
          </w:rPr>
          <w:t>67</w:t>
        </w:r>
      </w:hyperlink>
    </w:p>
    <w:p w14:paraId="67104ED9" w14:textId="5BB90AF6" w:rsidR="00271FA2" w:rsidRPr="00F06DE2" w:rsidRDefault="002C62EC" w:rsidP="00CD0CE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92" w:history="1">
        <w:r w:rsidR="00D35E51" w:rsidRPr="00F06DE2">
          <w:rPr>
            <w:rStyle w:val="Hyperlink"/>
            <w:rFonts w:ascii="Times New Roman" w:hAnsi="Times New Roman"/>
            <w:b w:val="0"/>
            <w:bCs w:val="0"/>
            <w:i/>
            <w:iCs/>
            <w:sz w:val="24"/>
            <w:szCs w:val="24"/>
          </w:rPr>
          <w:t>ESI-II-2 Монтиране на листове от допълнителна корабна обшивка на корпуса</w:t>
        </w:r>
        <w:r w:rsidR="00346720">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4</w:t>
        </w:r>
        <w:r w:rsidR="00BD5B86" w:rsidRPr="00F06DE2">
          <w:rPr>
            <w:rFonts w:ascii="Times New Roman" w:hAnsi="Times New Roman"/>
            <w:i/>
            <w:iCs/>
            <w:sz w:val="24"/>
            <w:szCs w:val="24"/>
            <w:lang w:val="en-US"/>
          </w:rPr>
          <w:t>68</w:t>
        </w:r>
      </w:hyperlink>
    </w:p>
    <w:p w14:paraId="77ADBD5C" w14:textId="0B467FFB" w:rsidR="00271FA2" w:rsidRPr="00F06DE2" w:rsidRDefault="002C62EC" w:rsidP="00CD0CE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93" w:history="1">
        <w:r w:rsidR="00D35E51" w:rsidRPr="00F06DE2">
          <w:rPr>
            <w:rStyle w:val="Hyperlink"/>
            <w:rFonts w:ascii="Times New Roman" w:hAnsi="Times New Roman"/>
            <w:b w:val="0"/>
            <w:bCs w:val="0"/>
            <w:i/>
            <w:iCs/>
            <w:sz w:val="24"/>
            <w:szCs w:val="24"/>
          </w:rPr>
          <w:t>ESI-II-3 Минимална предписана скорост на движение напред, способност за спиране</w:t>
        </w:r>
        <w:r w:rsidR="005551B9">
          <w:rPr>
            <w:rStyle w:val="Hyperlink"/>
            <w:rFonts w:ascii="Times New Roman" w:hAnsi="Times New Roman"/>
            <w:b w:val="0"/>
            <w:bCs w:val="0"/>
            <w:i/>
            <w:iCs/>
            <w:sz w:val="24"/>
            <w:szCs w:val="24"/>
          </w:rPr>
          <w:br/>
        </w:r>
        <w:r w:rsidR="00D35E51" w:rsidRPr="00F06DE2">
          <w:rPr>
            <w:rStyle w:val="Hyperlink"/>
            <w:rFonts w:ascii="Times New Roman" w:hAnsi="Times New Roman"/>
            <w:b w:val="0"/>
            <w:bCs w:val="0"/>
            <w:i/>
            <w:iCs/>
            <w:sz w:val="24"/>
            <w:szCs w:val="24"/>
          </w:rPr>
          <w:t>и способност за движение на заден ход</w:t>
        </w:r>
        <w:r w:rsidR="005551B9">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 xml:space="preserve"> 47</w:t>
        </w:r>
        <w:r w:rsidR="00BD5B86" w:rsidRPr="00F06DE2">
          <w:rPr>
            <w:rFonts w:ascii="Times New Roman" w:hAnsi="Times New Roman"/>
            <w:i/>
            <w:iCs/>
            <w:sz w:val="24"/>
            <w:szCs w:val="24"/>
            <w:lang w:val="en-US"/>
          </w:rPr>
          <w:t>1</w:t>
        </w:r>
      </w:hyperlink>
    </w:p>
    <w:p w14:paraId="5F466D27" w14:textId="1BDCF266" w:rsidR="00271FA2" w:rsidRPr="00F06DE2" w:rsidRDefault="002C62EC" w:rsidP="00CD0CE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94" w:history="1">
        <w:r w:rsidR="00D35E51" w:rsidRPr="00F06DE2">
          <w:rPr>
            <w:rStyle w:val="Hyperlink"/>
            <w:rFonts w:ascii="Times New Roman" w:hAnsi="Times New Roman"/>
            <w:b w:val="0"/>
            <w:bCs w:val="0"/>
            <w:i/>
            <w:iCs/>
            <w:sz w:val="24"/>
            <w:szCs w:val="24"/>
          </w:rPr>
          <w:t xml:space="preserve">ESI-II-4 Способност за отклоняване и </w:t>
        </w:r>
        <w:r w:rsidR="00A92AA3" w:rsidRPr="00F06DE2">
          <w:rPr>
            <w:rStyle w:val="Hyperlink"/>
            <w:rFonts w:ascii="Times New Roman" w:hAnsi="Times New Roman"/>
            <w:b w:val="0"/>
            <w:bCs w:val="0"/>
            <w:i/>
            <w:iCs/>
            <w:sz w:val="24"/>
            <w:szCs w:val="24"/>
          </w:rPr>
          <w:t xml:space="preserve"> </w:t>
        </w:r>
        <w:r w:rsidR="00B42C37" w:rsidRPr="00F06DE2">
          <w:rPr>
            <w:rStyle w:val="Hyperlink"/>
            <w:rFonts w:ascii="Times New Roman" w:hAnsi="Times New Roman"/>
            <w:b w:val="0"/>
            <w:bCs w:val="0"/>
            <w:i/>
            <w:iCs/>
            <w:sz w:val="24"/>
            <w:szCs w:val="24"/>
          </w:rPr>
          <w:t xml:space="preserve"> за</w:t>
        </w:r>
        <w:r w:rsidR="0078218A" w:rsidRPr="00F06DE2">
          <w:rPr>
            <w:rStyle w:val="Hyperlink"/>
            <w:rFonts w:ascii="Times New Roman" w:hAnsi="Times New Roman"/>
            <w:b w:val="0"/>
            <w:bCs w:val="0"/>
            <w:i/>
            <w:iCs/>
            <w:sz w:val="24"/>
            <w:szCs w:val="24"/>
          </w:rPr>
          <w:t xml:space="preserve"> зави</w:t>
        </w:r>
        <w:r w:rsidR="008646BD" w:rsidRPr="00F06DE2">
          <w:rPr>
            <w:rStyle w:val="Hyperlink"/>
            <w:rFonts w:ascii="Times New Roman" w:hAnsi="Times New Roman"/>
            <w:b w:val="0"/>
            <w:bCs w:val="0"/>
            <w:i/>
            <w:iCs/>
            <w:sz w:val="24"/>
            <w:szCs w:val="24"/>
          </w:rPr>
          <w:t>н</w:t>
        </w:r>
        <w:r w:rsidR="0078218A" w:rsidRPr="00F06DE2">
          <w:rPr>
            <w:rStyle w:val="Hyperlink"/>
            <w:rFonts w:ascii="Times New Roman" w:hAnsi="Times New Roman"/>
            <w:b w:val="0"/>
            <w:bCs w:val="0"/>
            <w:i/>
            <w:iCs/>
            <w:sz w:val="24"/>
            <w:szCs w:val="24"/>
          </w:rPr>
          <w:t>ване</w:t>
        </w:r>
        <w:r w:rsidR="005551B9">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49</w:t>
        </w:r>
        <w:r w:rsidR="00BD5B86" w:rsidRPr="00F06DE2">
          <w:rPr>
            <w:rFonts w:ascii="Times New Roman" w:hAnsi="Times New Roman"/>
            <w:i/>
            <w:iCs/>
            <w:sz w:val="24"/>
            <w:szCs w:val="24"/>
            <w:lang w:val="en-US"/>
          </w:rPr>
          <w:t>3</w:t>
        </w:r>
      </w:hyperlink>
    </w:p>
    <w:p w14:paraId="2BD65F64" w14:textId="29438C3B" w:rsidR="00271FA2" w:rsidRPr="00F06DE2" w:rsidRDefault="002C62EC" w:rsidP="00CD0CE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95" w:history="1">
        <w:r w:rsidR="00D35E51" w:rsidRPr="00F06DE2">
          <w:rPr>
            <w:rStyle w:val="Hyperlink"/>
            <w:rFonts w:ascii="Times New Roman" w:hAnsi="Times New Roman"/>
            <w:b w:val="0"/>
            <w:bCs w:val="0"/>
            <w:i/>
            <w:iCs/>
            <w:sz w:val="24"/>
            <w:szCs w:val="24"/>
          </w:rPr>
          <w:t>ESI-II-5 Измервания на шума</w:t>
        </w:r>
        <w:r w:rsidR="005551B9">
          <w:rPr>
            <w:rStyle w:val="Hyperlink"/>
            <w:rFonts w:ascii="Times New Roman" w:hAnsi="Times New Roman"/>
            <w:b w:val="0"/>
            <w:bCs w:val="0"/>
            <w:i/>
            <w:iCs/>
            <w:sz w:val="24"/>
            <w:szCs w:val="24"/>
          </w:rPr>
          <w:t xml:space="preserve">                                                                                                                                                </w:t>
        </w:r>
        <w:r w:rsidR="00BD5B86" w:rsidRPr="00F06DE2">
          <w:rPr>
            <w:rFonts w:ascii="Times New Roman" w:hAnsi="Times New Roman"/>
            <w:i/>
            <w:iCs/>
            <w:sz w:val="24"/>
            <w:szCs w:val="24"/>
            <w:lang w:val="en-US"/>
          </w:rPr>
          <w:t>499</w:t>
        </w:r>
      </w:hyperlink>
    </w:p>
    <w:p w14:paraId="5A163A38" w14:textId="20BEA142" w:rsidR="00271FA2" w:rsidRPr="00F06DE2" w:rsidRDefault="002C62EC" w:rsidP="00CD0CE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96" w:history="1">
        <w:r w:rsidR="00D35E51" w:rsidRPr="00F06DE2">
          <w:rPr>
            <w:rStyle w:val="Hyperlink"/>
            <w:rFonts w:ascii="Times New Roman" w:hAnsi="Times New Roman"/>
            <w:b w:val="0"/>
            <w:bCs w:val="0"/>
            <w:i/>
            <w:iCs/>
            <w:sz w:val="24"/>
            <w:szCs w:val="24"/>
          </w:rPr>
          <w:t>ESI-II-6 Подходящи спомагателни средства за наблюдаване на мъртвата зона</w:t>
        </w:r>
        <w:r w:rsidR="005551B9">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51</w:t>
        </w:r>
        <w:r w:rsidR="00BD5B86" w:rsidRPr="00F06DE2">
          <w:rPr>
            <w:rFonts w:ascii="Times New Roman" w:hAnsi="Times New Roman"/>
            <w:i/>
            <w:iCs/>
            <w:sz w:val="24"/>
            <w:szCs w:val="24"/>
            <w:lang w:val="en-US"/>
          </w:rPr>
          <w:t>0</w:t>
        </w:r>
      </w:hyperlink>
    </w:p>
    <w:p w14:paraId="21C46DB5" w14:textId="5ED35179" w:rsidR="00271FA2" w:rsidRPr="00F06DE2" w:rsidRDefault="002C62EC" w:rsidP="00CD0CE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97" w:history="1">
        <w:r w:rsidR="00D35E51" w:rsidRPr="00F06DE2">
          <w:rPr>
            <w:rStyle w:val="Hyperlink"/>
            <w:rFonts w:ascii="Times New Roman" w:hAnsi="Times New Roman"/>
            <w:b w:val="0"/>
            <w:bCs w:val="0"/>
            <w:i/>
            <w:iCs/>
            <w:sz w:val="24"/>
            <w:szCs w:val="24"/>
          </w:rPr>
          <w:t>ESI-II-7 Съоръжения за събиране на използвани масла</w:t>
        </w:r>
        <w:r w:rsidR="005551B9">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16</w:t>
        </w:r>
      </w:hyperlink>
    </w:p>
    <w:p w14:paraId="07B179CC" w14:textId="064F2156" w:rsidR="00271FA2" w:rsidRPr="00F06DE2" w:rsidRDefault="002C62EC" w:rsidP="00E8788F">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98" w:history="1">
        <w:r w:rsidR="00D35E51" w:rsidRPr="00F06DE2">
          <w:rPr>
            <w:rStyle w:val="Hyperlink"/>
            <w:rFonts w:ascii="Times New Roman" w:hAnsi="Times New Roman"/>
            <w:b w:val="0"/>
            <w:bCs w:val="0"/>
            <w:i/>
            <w:iCs/>
            <w:sz w:val="24"/>
            <w:szCs w:val="24"/>
          </w:rPr>
          <w:t>ESI-II-8 (оставено непопълнено)</w:t>
        </w:r>
        <w:r w:rsidR="004454E5">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17</w:t>
        </w:r>
      </w:hyperlink>
    </w:p>
    <w:p w14:paraId="3E9A2DB3" w14:textId="148C5A29" w:rsidR="00271FA2" w:rsidRPr="00F06DE2" w:rsidRDefault="002C62EC" w:rsidP="00E8788F">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799" w:history="1">
        <w:r w:rsidR="00D35E51" w:rsidRPr="00F06DE2">
          <w:rPr>
            <w:rStyle w:val="Hyperlink"/>
            <w:rFonts w:ascii="Times New Roman" w:hAnsi="Times New Roman"/>
            <w:b w:val="0"/>
            <w:bCs w:val="0"/>
            <w:i/>
            <w:iCs/>
            <w:sz w:val="24"/>
            <w:szCs w:val="24"/>
          </w:rPr>
          <w:t>ESI-II-9 одобрение и процедура за изпитване на специални котви с намалена маса</w:t>
        </w:r>
        <w:r w:rsidR="004454E5">
          <w:rPr>
            <w:rStyle w:val="Hyperlink"/>
            <w:rFonts w:ascii="Times New Roman" w:hAnsi="Times New Roman"/>
            <w:b w:val="0"/>
            <w:bCs w:val="0"/>
            <w:i/>
            <w:iCs/>
            <w:sz w:val="24"/>
            <w:szCs w:val="24"/>
          </w:rPr>
          <w:t xml:space="preserve">   </w:t>
        </w:r>
        <w:r w:rsidR="004454E5">
          <w:rPr>
            <w:rFonts w:ascii="Times New Roman" w:hAnsi="Times New Roman"/>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18</w:t>
        </w:r>
      </w:hyperlink>
    </w:p>
    <w:p w14:paraId="3BD7F469" w14:textId="24E741D5" w:rsidR="00271FA2" w:rsidRPr="00F06DE2" w:rsidRDefault="002C62EC" w:rsidP="00E8788F">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00" w:history="1">
        <w:r w:rsidR="00D35E51" w:rsidRPr="00F06DE2">
          <w:rPr>
            <w:rStyle w:val="Hyperlink"/>
            <w:rFonts w:ascii="Times New Roman" w:hAnsi="Times New Roman"/>
            <w:b w:val="0"/>
            <w:bCs w:val="0"/>
            <w:i/>
            <w:iCs/>
            <w:sz w:val="24"/>
            <w:szCs w:val="24"/>
          </w:rPr>
          <w:t>ESI-II-10 Автоматични спринклерни системи за вода под налягане</w:t>
        </w:r>
        <w:r w:rsidR="004454E5">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52</w:t>
        </w:r>
        <w:r w:rsidR="00BD5B86" w:rsidRPr="00F06DE2">
          <w:rPr>
            <w:rFonts w:ascii="Times New Roman" w:hAnsi="Times New Roman"/>
            <w:i/>
            <w:iCs/>
            <w:sz w:val="24"/>
            <w:szCs w:val="24"/>
            <w:lang w:val="en-US"/>
          </w:rPr>
          <w:t>2</w:t>
        </w:r>
      </w:hyperlink>
    </w:p>
    <w:p w14:paraId="66C82573" w14:textId="4DC4EDF6" w:rsidR="00271FA2" w:rsidRPr="00F06DE2" w:rsidRDefault="002C62EC" w:rsidP="00E8788F">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01" w:history="1">
        <w:r w:rsidR="00D35E51" w:rsidRPr="00F06DE2">
          <w:rPr>
            <w:rStyle w:val="Hyperlink"/>
            <w:rFonts w:ascii="Times New Roman" w:hAnsi="Times New Roman"/>
            <w:b w:val="0"/>
            <w:bCs w:val="0"/>
            <w:i/>
            <w:iCs/>
            <w:sz w:val="24"/>
            <w:szCs w:val="24"/>
          </w:rPr>
          <w:t>ESI-II-11 Управляемост на плавателния съд на собствен ход</w:t>
        </w:r>
        <w:r w:rsidR="004454E5">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24</w:t>
        </w:r>
      </w:hyperlink>
    </w:p>
    <w:p w14:paraId="2751ADA8" w14:textId="2571D592" w:rsidR="00271FA2" w:rsidRPr="00F06DE2" w:rsidRDefault="002C62EC" w:rsidP="00E8788F">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02" w:history="1">
        <w:r w:rsidR="00D35E51" w:rsidRPr="00F06DE2">
          <w:rPr>
            <w:rStyle w:val="Hyperlink"/>
            <w:rFonts w:ascii="Times New Roman" w:hAnsi="Times New Roman"/>
            <w:b w:val="0"/>
            <w:bCs w:val="0"/>
            <w:i/>
            <w:iCs/>
            <w:sz w:val="24"/>
            <w:szCs w:val="24"/>
          </w:rPr>
          <w:t>ESI-II-12 Подходяща пожароизвестителна система</w:t>
        </w:r>
        <w:r w:rsidR="004454E5">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25</w:t>
        </w:r>
      </w:hyperlink>
    </w:p>
    <w:p w14:paraId="037FC9B2" w14:textId="1DA1DA05" w:rsidR="00271FA2" w:rsidRPr="00F06DE2" w:rsidRDefault="002C62EC" w:rsidP="00E8788F">
      <w:pPr>
        <w:pStyle w:val="TOC2"/>
        <w:tabs>
          <w:tab w:val="right" w:leader="dot" w:pos="9060"/>
        </w:tabs>
        <w:spacing w:before="0"/>
        <w:ind w:left="0" w:right="-2" w:firstLine="0"/>
        <w:rPr>
          <w:rFonts w:ascii="Times New Roman" w:hAnsi="Times New Roman"/>
          <w:i/>
          <w:iCs/>
          <w:sz w:val="24"/>
          <w:szCs w:val="24"/>
          <w:lang w:val="ru-RU"/>
        </w:rPr>
      </w:pPr>
      <w:hyperlink w:anchor="_Toc535827803" w:history="1">
        <w:r w:rsidR="00D35E51" w:rsidRPr="00F06DE2">
          <w:rPr>
            <w:rStyle w:val="Hyperlink"/>
            <w:rFonts w:ascii="Times New Roman" w:hAnsi="Times New Roman"/>
            <w:b w:val="0"/>
            <w:bCs w:val="0"/>
            <w:i/>
            <w:iCs/>
            <w:sz w:val="24"/>
            <w:szCs w:val="24"/>
          </w:rPr>
          <w:t>ESI-II-13 образец на ограничен общ план на електрическа инсталация за плавателни</w:t>
        </w:r>
        <w:r w:rsidR="00D92E34">
          <w:rPr>
            <w:rStyle w:val="Hyperlink"/>
            <w:rFonts w:ascii="Times New Roman" w:hAnsi="Times New Roman"/>
            <w:b w:val="0"/>
            <w:bCs w:val="0"/>
            <w:i/>
            <w:iCs/>
            <w:sz w:val="24"/>
            <w:szCs w:val="24"/>
          </w:rPr>
          <w:br/>
        </w:r>
        <w:r w:rsidR="00D35E51" w:rsidRPr="00F06DE2">
          <w:rPr>
            <w:rStyle w:val="Hyperlink"/>
            <w:rFonts w:ascii="Times New Roman" w:hAnsi="Times New Roman"/>
            <w:b w:val="0"/>
            <w:bCs w:val="0"/>
            <w:i/>
            <w:iCs/>
            <w:sz w:val="24"/>
            <w:szCs w:val="24"/>
          </w:rPr>
          <w:t>средства, които са заложени на или преди 1 април 1976 г.</w:t>
        </w:r>
      </w:hyperlink>
      <w:r w:rsidR="00D92E34">
        <w:rPr>
          <w:rFonts w:ascii="Times New Roman" w:hAnsi="Times New Roman"/>
          <w:i/>
          <w:iCs/>
          <w:sz w:val="24"/>
          <w:szCs w:val="24"/>
        </w:rPr>
        <w:t xml:space="preserve">                                                                        </w:t>
      </w:r>
      <w:r w:rsidR="00D35E51" w:rsidRPr="00F06DE2">
        <w:rPr>
          <w:rFonts w:ascii="Times New Roman" w:hAnsi="Times New Roman"/>
          <w:i/>
          <w:iCs/>
          <w:sz w:val="24"/>
          <w:szCs w:val="24"/>
        </w:rPr>
        <w:t>53</w:t>
      </w:r>
      <w:r w:rsidR="00BD5B86" w:rsidRPr="00F06DE2">
        <w:rPr>
          <w:rFonts w:ascii="Times New Roman" w:hAnsi="Times New Roman"/>
          <w:i/>
          <w:iCs/>
          <w:sz w:val="24"/>
          <w:szCs w:val="24"/>
          <w:lang w:val="ru-RU"/>
        </w:rPr>
        <w:t>0</w:t>
      </w:r>
    </w:p>
    <w:p w14:paraId="56C25807" w14:textId="453DA691" w:rsidR="00D92E34" w:rsidRPr="00F06DE2" w:rsidRDefault="002C62EC" w:rsidP="00D92E34">
      <w:pPr>
        <w:pStyle w:val="TOC2"/>
        <w:tabs>
          <w:tab w:val="right" w:leader="dot" w:pos="9060"/>
        </w:tabs>
        <w:spacing w:before="0"/>
        <w:ind w:left="0" w:right="-2" w:firstLine="0"/>
        <w:rPr>
          <w:rFonts w:ascii="Times New Roman" w:hAnsi="Times New Roman"/>
          <w:i/>
          <w:iCs/>
          <w:sz w:val="24"/>
          <w:szCs w:val="24"/>
          <w:lang w:val="ru-RU"/>
        </w:rPr>
      </w:pPr>
      <w:hyperlink w:anchor="_Toc535827803" w:history="1">
        <w:r w:rsidR="00D92E34" w:rsidRPr="00F06DE2">
          <w:rPr>
            <w:rStyle w:val="Hyperlink"/>
            <w:rFonts w:ascii="Times New Roman" w:hAnsi="Times New Roman"/>
            <w:b w:val="0"/>
            <w:bCs w:val="0"/>
            <w:i/>
            <w:iCs/>
            <w:sz w:val="24"/>
            <w:szCs w:val="24"/>
          </w:rPr>
          <w:t>ESI-II-1</w:t>
        </w:r>
        <w:r w:rsidR="00D92E34">
          <w:rPr>
            <w:rStyle w:val="Hyperlink"/>
            <w:rFonts w:ascii="Times New Roman" w:hAnsi="Times New Roman"/>
            <w:b w:val="0"/>
            <w:bCs w:val="0"/>
            <w:i/>
            <w:iCs/>
            <w:sz w:val="24"/>
            <w:szCs w:val="24"/>
          </w:rPr>
          <w:t>4</w:t>
        </w:r>
        <w:r w:rsidR="00D92E34" w:rsidRPr="00F06DE2">
          <w:rPr>
            <w:rStyle w:val="Hyperlink"/>
            <w:rFonts w:ascii="Times New Roman" w:hAnsi="Times New Roman"/>
            <w:b w:val="0"/>
            <w:bCs w:val="0"/>
            <w:i/>
            <w:iCs/>
            <w:sz w:val="24"/>
            <w:szCs w:val="24"/>
          </w:rPr>
          <w:t xml:space="preserve"> </w:t>
        </w:r>
        <w:r w:rsidR="00844DA0">
          <w:rPr>
            <w:rStyle w:val="Hyperlink"/>
            <w:rFonts w:ascii="Times New Roman" w:hAnsi="Times New Roman"/>
            <w:b w:val="0"/>
            <w:bCs w:val="0"/>
            <w:i/>
            <w:iCs/>
            <w:sz w:val="24"/>
            <w:szCs w:val="24"/>
          </w:rPr>
          <w:t>Цветово</w:t>
        </w:r>
      </w:hyperlink>
      <w:r w:rsidR="00844DA0">
        <w:rPr>
          <w:rFonts w:ascii="Times New Roman" w:hAnsi="Times New Roman"/>
          <w:i/>
          <w:iCs/>
          <w:sz w:val="24"/>
          <w:szCs w:val="24"/>
        </w:rPr>
        <w:t xml:space="preserve"> означение на гърловините за прием    </w:t>
      </w:r>
      <w:r w:rsidR="00D92E34">
        <w:rPr>
          <w:rFonts w:ascii="Times New Roman" w:hAnsi="Times New Roman"/>
          <w:i/>
          <w:iCs/>
          <w:sz w:val="24"/>
          <w:szCs w:val="24"/>
        </w:rPr>
        <w:t xml:space="preserve">                                                                        </w:t>
      </w:r>
      <w:r w:rsidR="00D92E34" w:rsidRPr="00F06DE2">
        <w:rPr>
          <w:rFonts w:ascii="Times New Roman" w:hAnsi="Times New Roman"/>
          <w:i/>
          <w:iCs/>
          <w:sz w:val="24"/>
          <w:szCs w:val="24"/>
        </w:rPr>
        <w:t>53</w:t>
      </w:r>
      <w:r w:rsidR="00D92E34" w:rsidRPr="00F06DE2">
        <w:rPr>
          <w:rFonts w:ascii="Times New Roman" w:hAnsi="Times New Roman"/>
          <w:i/>
          <w:iCs/>
          <w:sz w:val="24"/>
          <w:szCs w:val="24"/>
          <w:lang w:val="ru-RU"/>
        </w:rPr>
        <w:t>0</w:t>
      </w:r>
    </w:p>
    <w:p w14:paraId="5E798653" w14:textId="280A13C8" w:rsidR="00271FA2" w:rsidRPr="00F06DE2" w:rsidRDefault="002C62EC" w:rsidP="00844DA0">
      <w:pPr>
        <w:pStyle w:val="TOC1"/>
        <w:spacing w:before="120" w:after="0"/>
        <w:ind w:left="0" w:right="-2" w:firstLine="0"/>
        <w:rPr>
          <w:rFonts w:ascii="Times New Roman" w:eastAsiaTheme="minorEastAsia" w:hAnsi="Times New Roman"/>
          <w:b w:val="0"/>
          <w:bCs w:val="0"/>
          <w:i/>
          <w:iCs/>
          <w:caps w:val="0"/>
          <w:sz w:val="24"/>
          <w:szCs w:val="24"/>
          <w:lang w:eastAsia="en-GB" w:bidi="ar-SA"/>
        </w:rPr>
      </w:pPr>
      <w:hyperlink w:anchor="_Toc535827804" w:history="1">
        <w:r w:rsidR="00D35E51" w:rsidRPr="00F06DE2">
          <w:rPr>
            <w:rStyle w:val="Hyperlink"/>
            <w:rFonts w:ascii="Times New Roman" w:hAnsi="Times New Roman"/>
            <w:i/>
            <w:iCs/>
            <w:sz w:val="24"/>
            <w:szCs w:val="24"/>
          </w:rPr>
          <w:t>ЧАСТ III СПЕЦИАЛНИ РАЗПОРЕДБИ</w:t>
        </w:r>
        <w:r w:rsidR="006677A8">
          <w:rPr>
            <w:rStyle w:val="Hyperlink"/>
            <w:rFonts w:ascii="Times New Roman" w:hAnsi="Times New Roman"/>
            <w:i/>
            <w:iCs/>
            <w:sz w:val="24"/>
            <w:szCs w:val="24"/>
          </w:rPr>
          <w:t xml:space="preserve">                                                                                    </w:t>
        </w:r>
        <w:r w:rsidR="00D35E51" w:rsidRPr="00F06DE2">
          <w:rPr>
            <w:rFonts w:ascii="Times New Roman" w:hAnsi="Times New Roman"/>
            <w:b w:val="0"/>
            <w:bCs w:val="0"/>
            <w:i/>
            <w:iCs/>
            <w:sz w:val="24"/>
            <w:szCs w:val="24"/>
          </w:rPr>
          <w:t>53</w:t>
        </w:r>
        <w:r w:rsidR="00BD5B86" w:rsidRPr="00F06DE2">
          <w:rPr>
            <w:rFonts w:ascii="Times New Roman" w:hAnsi="Times New Roman"/>
            <w:b w:val="0"/>
            <w:bCs w:val="0"/>
            <w:i/>
            <w:iCs/>
            <w:sz w:val="24"/>
            <w:szCs w:val="24"/>
            <w:lang w:val="en-US"/>
          </w:rPr>
          <w:t>2</w:t>
        </w:r>
      </w:hyperlink>
    </w:p>
    <w:p w14:paraId="772316EF" w14:textId="5F5A4ADF" w:rsidR="00271FA2" w:rsidRPr="00F06DE2" w:rsidRDefault="002C62EC" w:rsidP="00844DA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05" w:history="1">
        <w:r w:rsidR="00D35E51" w:rsidRPr="00F06DE2">
          <w:rPr>
            <w:rStyle w:val="Hyperlink"/>
            <w:rFonts w:ascii="Times New Roman" w:hAnsi="Times New Roman"/>
            <w:b w:val="0"/>
            <w:bCs w:val="0"/>
            <w:i/>
            <w:iCs/>
            <w:sz w:val="24"/>
            <w:szCs w:val="24"/>
          </w:rPr>
          <w:t>ESI-III-1 Прилагане на изискванията на глава 19</w:t>
        </w:r>
        <w:r w:rsidR="006677A8">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53</w:t>
        </w:r>
        <w:r w:rsidR="00BD5B86" w:rsidRPr="00F06DE2">
          <w:rPr>
            <w:rFonts w:ascii="Times New Roman" w:hAnsi="Times New Roman"/>
            <w:i/>
            <w:iCs/>
            <w:sz w:val="24"/>
            <w:szCs w:val="24"/>
            <w:lang w:val="en-US"/>
          </w:rPr>
          <w:t>2</w:t>
        </w:r>
      </w:hyperlink>
    </w:p>
    <w:p w14:paraId="1833C789" w14:textId="0AFD0184" w:rsidR="00271FA2" w:rsidRPr="00F06DE2" w:rsidRDefault="002C62EC" w:rsidP="00844DA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06" w:history="1">
        <w:r w:rsidR="00D35E51" w:rsidRPr="00F06DE2">
          <w:rPr>
            <w:rStyle w:val="Hyperlink"/>
            <w:rFonts w:ascii="Times New Roman" w:hAnsi="Times New Roman"/>
            <w:b w:val="0"/>
            <w:bCs w:val="0"/>
            <w:i/>
            <w:iCs/>
            <w:sz w:val="24"/>
            <w:szCs w:val="24"/>
          </w:rPr>
          <w:t>ESI-III-2 Специфични нужди на лица с намалена подвижност по отношение на</w:t>
        </w:r>
        <w:r w:rsidR="006677A8">
          <w:rPr>
            <w:rStyle w:val="Hyperlink"/>
            <w:rFonts w:ascii="Times New Roman" w:hAnsi="Times New Roman"/>
            <w:b w:val="0"/>
            <w:bCs w:val="0"/>
            <w:i/>
            <w:iCs/>
            <w:sz w:val="24"/>
            <w:szCs w:val="24"/>
          </w:rPr>
          <w:br/>
        </w:r>
        <w:r w:rsidR="00D35E51" w:rsidRPr="00F06DE2">
          <w:rPr>
            <w:rStyle w:val="Hyperlink"/>
            <w:rFonts w:ascii="Times New Roman" w:hAnsi="Times New Roman"/>
            <w:b w:val="0"/>
            <w:bCs w:val="0"/>
            <w:i/>
            <w:iCs/>
            <w:sz w:val="24"/>
            <w:szCs w:val="24"/>
          </w:rPr>
          <w:t>безопасността</w:t>
        </w:r>
        <w:r w:rsidR="006677A8">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34</w:t>
        </w:r>
      </w:hyperlink>
    </w:p>
    <w:p w14:paraId="157A9E3A" w14:textId="6F91FC85" w:rsidR="00271FA2" w:rsidRPr="00F06DE2" w:rsidRDefault="002C62EC" w:rsidP="00844DA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07" w:history="1">
        <w:r w:rsidR="00D35E51" w:rsidRPr="00F06DE2">
          <w:rPr>
            <w:rStyle w:val="Hyperlink"/>
            <w:rFonts w:ascii="Times New Roman" w:hAnsi="Times New Roman"/>
            <w:b w:val="0"/>
            <w:bCs w:val="0"/>
            <w:i/>
            <w:iCs/>
            <w:sz w:val="24"/>
            <w:szCs w:val="24"/>
          </w:rPr>
          <w:t>ESI-III-3 Здравина на водонепроницаеми прозорци</w:t>
        </w:r>
        <w:r w:rsidR="006677A8">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38</w:t>
        </w:r>
      </w:hyperlink>
    </w:p>
    <w:p w14:paraId="1C14C72D" w14:textId="3E18F1DC" w:rsidR="00271FA2" w:rsidRPr="00F06DE2" w:rsidRDefault="002C62EC" w:rsidP="00844DA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08" w:history="1">
        <w:r w:rsidR="00D35E51" w:rsidRPr="00F06DE2">
          <w:rPr>
            <w:rStyle w:val="Hyperlink"/>
            <w:rFonts w:ascii="Times New Roman" w:hAnsi="Times New Roman"/>
            <w:b w:val="0"/>
            <w:bCs w:val="0"/>
            <w:i/>
            <w:iCs/>
            <w:sz w:val="24"/>
            <w:szCs w:val="24"/>
          </w:rPr>
          <w:t>ESI-III-4 Система от указатели за безопасност</w:t>
        </w:r>
        <w:r w:rsidR="006677A8">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39</w:t>
        </w:r>
      </w:hyperlink>
    </w:p>
    <w:p w14:paraId="6429D459" w14:textId="41A7D867" w:rsidR="00271FA2" w:rsidRPr="00F06DE2" w:rsidRDefault="002C62EC" w:rsidP="00844DA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09" w:history="1">
        <w:r w:rsidR="00D35E51" w:rsidRPr="00F06DE2">
          <w:rPr>
            <w:rStyle w:val="Hyperlink"/>
            <w:rFonts w:ascii="Times New Roman" w:hAnsi="Times New Roman"/>
            <w:b w:val="0"/>
            <w:bCs w:val="0"/>
            <w:i/>
            <w:iCs/>
            <w:sz w:val="24"/>
            <w:szCs w:val="24"/>
          </w:rPr>
          <w:t>ESI-III-5 Подходящо оборудване за сигнализиране за наличието на газ</w:t>
        </w:r>
        <w:r w:rsidR="006677A8">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43</w:t>
        </w:r>
      </w:hyperlink>
    </w:p>
    <w:p w14:paraId="33C453B8" w14:textId="0B3DF23E" w:rsidR="00271FA2" w:rsidRPr="00F06DE2" w:rsidRDefault="002C62EC" w:rsidP="00844DA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10" w:history="1">
        <w:r w:rsidR="00D35E51" w:rsidRPr="00F06DE2">
          <w:rPr>
            <w:rStyle w:val="Hyperlink"/>
            <w:rFonts w:ascii="Times New Roman" w:hAnsi="Times New Roman"/>
            <w:b w:val="0"/>
            <w:bCs w:val="0"/>
            <w:i/>
            <w:iCs/>
            <w:sz w:val="24"/>
            <w:szCs w:val="24"/>
          </w:rPr>
          <w:t>ESI-III-6 Свързващи системи и устройства за плавателни средства, годни да задвижват</w:t>
        </w:r>
        <w:r w:rsidR="006677A8">
          <w:rPr>
            <w:rStyle w:val="Hyperlink"/>
            <w:rFonts w:ascii="Times New Roman" w:hAnsi="Times New Roman"/>
            <w:b w:val="0"/>
            <w:bCs w:val="0"/>
            <w:i/>
            <w:iCs/>
            <w:sz w:val="24"/>
            <w:szCs w:val="24"/>
          </w:rPr>
          <w:br/>
        </w:r>
        <w:r w:rsidR="00D35E51" w:rsidRPr="00F06DE2">
          <w:rPr>
            <w:rStyle w:val="Hyperlink"/>
            <w:rFonts w:ascii="Times New Roman" w:hAnsi="Times New Roman"/>
            <w:b w:val="0"/>
            <w:bCs w:val="0"/>
            <w:i/>
            <w:iCs/>
            <w:sz w:val="24"/>
            <w:szCs w:val="24"/>
          </w:rPr>
          <w:t>или да бъдат задвижвани в твърдо свързана съвкупност</w:t>
        </w:r>
        <w:r w:rsidR="006677A8">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 xml:space="preserve"> 5</w:t>
        </w:r>
        <w:r w:rsidR="00BD5B86" w:rsidRPr="00F06DE2">
          <w:rPr>
            <w:rFonts w:ascii="Times New Roman" w:hAnsi="Times New Roman"/>
            <w:i/>
            <w:iCs/>
            <w:sz w:val="24"/>
            <w:szCs w:val="24"/>
            <w:lang w:val="en-US"/>
          </w:rPr>
          <w:t>47</w:t>
        </w:r>
      </w:hyperlink>
    </w:p>
    <w:p w14:paraId="0DCC7737" w14:textId="5438EC17" w:rsidR="00271FA2" w:rsidRPr="00F06DE2" w:rsidRDefault="002C62EC" w:rsidP="00844DA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11" w:history="1">
        <w:r w:rsidR="00D35E51" w:rsidRPr="00F06DE2">
          <w:rPr>
            <w:rStyle w:val="Hyperlink"/>
            <w:rFonts w:ascii="Times New Roman" w:hAnsi="Times New Roman"/>
            <w:b w:val="0"/>
            <w:bCs w:val="0"/>
            <w:i/>
            <w:iCs/>
            <w:sz w:val="24"/>
            <w:szCs w:val="24"/>
          </w:rPr>
          <w:t>ESI-III-7 Горивни резервоари на плаващи съоръжения</w:t>
        </w:r>
        <w:r w:rsidR="006677A8">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55</w:t>
        </w:r>
        <w:r w:rsidR="00BD5B86" w:rsidRPr="00F06DE2">
          <w:rPr>
            <w:rFonts w:ascii="Times New Roman" w:hAnsi="Times New Roman"/>
            <w:i/>
            <w:iCs/>
            <w:sz w:val="24"/>
            <w:szCs w:val="24"/>
            <w:lang w:val="en-US"/>
          </w:rPr>
          <w:t>0</w:t>
        </w:r>
      </w:hyperlink>
    </w:p>
    <w:p w14:paraId="78062363" w14:textId="1A48A8E5" w:rsidR="00271FA2" w:rsidRPr="00F06DE2" w:rsidRDefault="002C62EC" w:rsidP="00844DA0">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12" w:history="1">
        <w:r w:rsidR="00D35E51" w:rsidRPr="00F06DE2">
          <w:rPr>
            <w:rStyle w:val="Hyperlink"/>
            <w:rFonts w:ascii="Times New Roman" w:hAnsi="Times New Roman"/>
            <w:b w:val="0"/>
            <w:bCs w:val="0"/>
            <w:i/>
            <w:iCs/>
            <w:sz w:val="24"/>
            <w:szCs w:val="24"/>
          </w:rPr>
          <w:t>ESI-III-8 Плавателни средства за отдих</w:t>
        </w:r>
        <w:r w:rsidR="006677A8">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 xml:space="preserve"> 55</w:t>
        </w:r>
        <w:r w:rsidR="00BD5B86" w:rsidRPr="00F06DE2">
          <w:rPr>
            <w:rFonts w:ascii="Times New Roman" w:hAnsi="Times New Roman"/>
            <w:i/>
            <w:iCs/>
            <w:sz w:val="24"/>
            <w:szCs w:val="24"/>
            <w:lang w:val="en-US"/>
          </w:rPr>
          <w:t>1</w:t>
        </w:r>
      </w:hyperlink>
    </w:p>
    <w:p w14:paraId="1E8885D4" w14:textId="769044DC" w:rsidR="00271FA2" w:rsidRPr="00F06DE2" w:rsidRDefault="002C62EC">
      <w:pPr>
        <w:pStyle w:val="TOC2"/>
        <w:tabs>
          <w:tab w:val="right" w:leader="dot" w:pos="9060"/>
        </w:tabs>
        <w:ind w:left="0" w:right="-2" w:firstLine="0"/>
        <w:rPr>
          <w:rFonts w:ascii="Times New Roman" w:eastAsiaTheme="minorEastAsia" w:hAnsi="Times New Roman"/>
          <w:i/>
          <w:iCs/>
          <w:smallCaps w:val="0"/>
          <w:sz w:val="24"/>
          <w:szCs w:val="24"/>
          <w:lang w:eastAsia="en-GB" w:bidi="ar-SA"/>
        </w:rPr>
      </w:pPr>
      <w:hyperlink w:anchor="_Toc535827813" w:history="1">
        <w:r w:rsidR="00D35E51" w:rsidRPr="00F06DE2">
          <w:rPr>
            <w:rStyle w:val="Hyperlink"/>
            <w:rFonts w:ascii="Times New Roman" w:hAnsi="Times New Roman"/>
            <w:b w:val="0"/>
            <w:bCs w:val="0"/>
            <w:i/>
            <w:iCs/>
            <w:sz w:val="24"/>
            <w:szCs w:val="24"/>
          </w:rPr>
          <w:t>ESI-III-9 Доказателство за плавателност, диферент и устойчивост на разделените</w:t>
        </w:r>
        <w:r w:rsidR="005D30B0">
          <w:rPr>
            <w:rStyle w:val="Hyperlink"/>
            <w:rFonts w:ascii="Times New Roman" w:hAnsi="Times New Roman"/>
            <w:b w:val="0"/>
            <w:bCs w:val="0"/>
            <w:i/>
            <w:iCs/>
            <w:sz w:val="24"/>
            <w:szCs w:val="24"/>
          </w:rPr>
          <w:br/>
        </w:r>
        <w:r w:rsidR="00D35E51" w:rsidRPr="00F06DE2">
          <w:rPr>
            <w:rStyle w:val="Hyperlink"/>
            <w:rFonts w:ascii="Times New Roman" w:hAnsi="Times New Roman"/>
            <w:b w:val="0"/>
            <w:bCs w:val="0"/>
            <w:i/>
            <w:iCs/>
            <w:sz w:val="24"/>
            <w:szCs w:val="24"/>
          </w:rPr>
          <w:t>части на плавателен съд</w:t>
        </w:r>
        <w:r w:rsidR="005D30B0">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 xml:space="preserve"> 55</w:t>
        </w:r>
        <w:r w:rsidR="00BD5B86" w:rsidRPr="00F06DE2">
          <w:rPr>
            <w:rFonts w:ascii="Times New Roman" w:hAnsi="Times New Roman"/>
            <w:i/>
            <w:iCs/>
            <w:sz w:val="24"/>
            <w:szCs w:val="24"/>
            <w:lang w:val="en-US"/>
          </w:rPr>
          <w:t>2</w:t>
        </w:r>
      </w:hyperlink>
    </w:p>
    <w:p w14:paraId="7682C90A" w14:textId="1B772FBB" w:rsidR="00271FA2" w:rsidRPr="00F06DE2" w:rsidRDefault="002C62EC" w:rsidP="00D274CA">
      <w:pPr>
        <w:pStyle w:val="TOC2"/>
        <w:tabs>
          <w:tab w:val="right" w:leader="dot" w:pos="9060"/>
        </w:tabs>
        <w:spacing w:before="0"/>
        <w:ind w:left="0" w:right="-2" w:firstLine="0"/>
        <w:rPr>
          <w:rFonts w:ascii="Times New Roman" w:eastAsiaTheme="minorEastAsia" w:hAnsi="Times New Roman"/>
          <w:i/>
          <w:iCs/>
          <w:smallCaps w:val="0"/>
          <w:sz w:val="24"/>
          <w:szCs w:val="24"/>
          <w:lang w:eastAsia="en-GB" w:bidi="ar-SA"/>
        </w:rPr>
      </w:pPr>
      <w:hyperlink w:anchor="_Toc535827814" w:history="1">
        <w:r w:rsidR="00D35E51" w:rsidRPr="00F06DE2">
          <w:rPr>
            <w:rStyle w:val="Hyperlink"/>
            <w:rFonts w:ascii="Times New Roman" w:hAnsi="Times New Roman"/>
            <w:b w:val="0"/>
            <w:bCs w:val="0"/>
            <w:i/>
            <w:iCs/>
            <w:sz w:val="24"/>
            <w:szCs w:val="24"/>
          </w:rPr>
          <w:t>ESI-III-10 Оборудване за плавателни съдове, които ще бъдат експлоатирани</w:t>
        </w:r>
        <w:r w:rsidR="005D30B0">
          <w:rPr>
            <w:rStyle w:val="Hyperlink"/>
            <w:rFonts w:ascii="Times New Roman" w:hAnsi="Times New Roman"/>
            <w:b w:val="0"/>
            <w:bCs w:val="0"/>
            <w:i/>
            <w:iCs/>
            <w:sz w:val="24"/>
            <w:szCs w:val="24"/>
          </w:rPr>
          <w:br/>
        </w:r>
        <w:r w:rsidR="00D35E51" w:rsidRPr="00F06DE2">
          <w:rPr>
            <w:rStyle w:val="Hyperlink"/>
            <w:rFonts w:ascii="Times New Roman" w:hAnsi="Times New Roman"/>
            <w:b w:val="0"/>
            <w:bCs w:val="0"/>
            <w:i/>
            <w:iCs/>
            <w:sz w:val="24"/>
            <w:szCs w:val="24"/>
          </w:rPr>
          <w:t>съгласно стандарти S1 или S2</w:t>
        </w:r>
        <w:r w:rsidR="005D30B0">
          <w:rPr>
            <w:rStyle w:val="Hyperlink"/>
            <w:rFonts w:ascii="Times New Roman" w:hAnsi="Times New Roman"/>
            <w:b w:val="0"/>
            <w:bCs w:val="0"/>
            <w:i/>
            <w:iCs/>
            <w:sz w:val="24"/>
            <w:szCs w:val="24"/>
          </w:rPr>
          <w:t xml:space="preserve">                                                                                                                                             </w:t>
        </w:r>
        <w:r w:rsidR="00D35E51" w:rsidRPr="00F06DE2">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53</w:t>
        </w:r>
      </w:hyperlink>
    </w:p>
    <w:p w14:paraId="12677939" w14:textId="753F9994" w:rsidR="00271FA2" w:rsidRPr="00F06DE2" w:rsidRDefault="002C62EC" w:rsidP="00D274CA">
      <w:pPr>
        <w:pStyle w:val="TOC2"/>
        <w:tabs>
          <w:tab w:val="right" w:leader="dot" w:pos="9060"/>
        </w:tabs>
        <w:spacing w:before="0"/>
        <w:ind w:left="0" w:right="-2" w:firstLine="0"/>
        <w:rPr>
          <w:rFonts w:ascii="Times New Roman" w:hAnsi="Times New Roman"/>
          <w:i/>
          <w:iCs/>
          <w:sz w:val="24"/>
          <w:szCs w:val="24"/>
          <w:lang w:val="en-US"/>
        </w:rPr>
      </w:pPr>
      <w:hyperlink w:anchor="_Toc535827814" w:history="1">
        <w:r w:rsidR="00D35E51" w:rsidRPr="00F06DE2">
          <w:rPr>
            <w:rStyle w:val="Hyperlink"/>
            <w:rFonts w:ascii="Times New Roman" w:hAnsi="Times New Roman"/>
            <w:b w:val="0"/>
            <w:bCs w:val="0"/>
            <w:i/>
            <w:iCs/>
            <w:sz w:val="24"/>
            <w:szCs w:val="24"/>
          </w:rPr>
          <w:t>ESI-III-11 материали</w:t>
        </w:r>
        <w:r w:rsidR="005D30B0">
          <w:rPr>
            <w:rStyle w:val="Hyperlink"/>
            <w:rFonts w:ascii="Times New Roman" w:hAnsi="Times New Roman"/>
            <w:b w:val="0"/>
            <w:bCs w:val="0"/>
            <w:i/>
            <w:iCs/>
            <w:sz w:val="24"/>
            <w:szCs w:val="24"/>
          </w:rPr>
          <w:t>,</w:t>
        </w:r>
        <w:r w:rsidR="00D35E51" w:rsidRPr="00F06DE2">
          <w:rPr>
            <w:rStyle w:val="Hyperlink"/>
            <w:rFonts w:ascii="Times New Roman" w:hAnsi="Times New Roman"/>
            <w:b w:val="0"/>
            <w:bCs w:val="0"/>
            <w:i/>
            <w:iCs/>
            <w:sz w:val="24"/>
            <w:szCs w:val="24"/>
          </w:rPr>
          <w:t xml:space="preserve"> съответстващи на еквивалентни правила</w:t>
        </w:r>
        <w:r w:rsidR="005D30B0">
          <w:rPr>
            <w:rStyle w:val="Hyperlink"/>
            <w:rFonts w:ascii="Times New Roman" w:hAnsi="Times New Roman"/>
            <w:b w:val="0"/>
            <w:bCs w:val="0"/>
            <w:i/>
            <w:iCs/>
            <w:sz w:val="24"/>
            <w:szCs w:val="24"/>
          </w:rPr>
          <w:t>,</w:t>
        </w:r>
        <w:r w:rsidR="00D35E51" w:rsidRPr="00F06DE2">
          <w:rPr>
            <w:rStyle w:val="Hyperlink"/>
            <w:rFonts w:ascii="Times New Roman" w:hAnsi="Times New Roman"/>
            <w:b w:val="0"/>
            <w:bCs w:val="0"/>
            <w:i/>
            <w:iCs/>
            <w:sz w:val="24"/>
            <w:szCs w:val="24"/>
          </w:rPr>
          <w:t xml:space="preserve"> вместо </w:t>
        </w:r>
        <w:r w:rsidR="005D30B0">
          <w:rPr>
            <w:rStyle w:val="Hyperlink"/>
            <w:rFonts w:ascii="Times New Roman" w:hAnsi="Times New Roman"/>
            <w:b w:val="0"/>
            <w:bCs w:val="0"/>
            <w:i/>
            <w:iCs/>
            <w:sz w:val="24"/>
            <w:szCs w:val="24"/>
          </w:rPr>
          <w:t xml:space="preserve">на </w:t>
        </w:r>
        <w:r w:rsidR="00D35E51" w:rsidRPr="00F06DE2">
          <w:rPr>
            <w:rStyle w:val="Hyperlink"/>
            <w:rFonts w:ascii="Times New Roman" w:hAnsi="Times New Roman"/>
            <w:b w:val="0"/>
            <w:bCs w:val="0"/>
            <w:i/>
            <w:iCs/>
            <w:sz w:val="24"/>
            <w:szCs w:val="24"/>
          </w:rPr>
          <w:t>Кодекса</w:t>
        </w:r>
        <w:r w:rsidR="005D30B0">
          <w:rPr>
            <w:rStyle w:val="Hyperlink"/>
            <w:rFonts w:ascii="Times New Roman" w:hAnsi="Times New Roman"/>
            <w:b w:val="0"/>
            <w:bCs w:val="0"/>
            <w:i/>
            <w:iCs/>
            <w:sz w:val="24"/>
            <w:szCs w:val="24"/>
          </w:rPr>
          <w:br/>
        </w:r>
        <w:r w:rsidR="00D35E51" w:rsidRPr="00F06DE2">
          <w:rPr>
            <w:rStyle w:val="Hyperlink"/>
            <w:rFonts w:ascii="Times New Roman" w:hAnsi="Times New Roman"/>
            <w:b w:val="0"/>
            <w:bCs w:val="0"/>
            <w:i/>
            <w:iCs/>
            <w:sz w:val="24"/>
            <w:szCs w:val="24"/>
          </w:rPr>
          <w:t>на процедурите за противопожарни изпитвания</w:t>
        </w:r>
        <w:r w:rsidR="00581D4C">
          <w:rPr>
            <w:rStyle w:val="Hyperlink"/>
            <w:rFonts w:ascii="Times New Roman" w:hAnsi="Times New Roman"/>
            <w:b w:val="0"/>
            <w:bCs w:val="0"/>
            <w:i/>
            <w:iCs/>
            <w:sz w:val="24"/>
            <w:szCs w:val="24"/>
          </w:rPr>
          <w:t xml:space="preserve">                                                                                             </w:t>
        </w:r>
        <w:r w:rsidR="00D35E51" w:rsidRPr="00F06DE2">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w:t>
        </w:r>
        <w:r w:rsidR="00BD5B86" w:rsidRPr="00F06DE2">
          <w:rPr>
            <w:rFonts w:ascii="Times New Roman" w:hAnsi="Times New Roman"/>
            <w:i/>
            <w:iCs/>
            <w:sz w:val="24"/>
            <w:szCs w:val="24"/>
            <w:lang w:val="en-US"/>
          </w:rPr>
          <w:t>56</w:t>
        </w:r>
      </w:hyperlink>
    </w:p>
    <w:p w14:paraId="5749AFE9" w14:textId="76737F8A" w:rsidR="00581D4C" w:rsidRPr="00F06DE2" w:rsidRDefault="002C62EC" w:rsidP="00581D4C">
      <w:pPr>
        <w:pStyle w:val="TOC2"/>
        <w:tabs>
          <w:tab w:val="right" w:leader="dot" w:pos="9060"/>
        </w:tabs>
        <w:spacing w:before="0"/>
        <w:ind w:left="0" w:right="-2" w:firstLine="0"/>
        <w:rPr>
          <w:rFonts w:ascii="Times New Roman" w:hAnsi="Times New Roman"/>
          <w:i/>
          <w:iCs/>
          <w:sz w:val="24"/>
          <w:szCs w:val="24"/>
          <w:lang w:val="en-US"/>
        </w:rPr>
      </w:pPr>
      <w:hyperlink w:anchor="_Toc535827814" w:history="1">
        <w:r w:rsidR="00581D4C" w:rsidRPr="00F06DE2">
          <w:rPr>
            <w:rStyle w:val="Hyperlink"/>
            <w:rFonts w:ascii="Times New Roman" w:hAnsi="Times New Roman"/>
            <w:b w:val="0"/>
            <w:bCs w:val="0"/>
            <w:i/>
            <w:iCs/>
            <w:sz w:val="24"/>
            <w:szCs w:val="24"/>
          </w:rPr>
          <w:t>ESI-III-1</w:t>
        </w:r>
        <w:r w:rsidR="00581D4C">
          <w:rPr>
            <w:rStyle w:val="Hyperlink"/>
            <w:rFonts w:ascii="Times New Roman" w:hAnsi="Times New Roman"/>
            <w:b w:val="0"/>
            <w:bCs w:val="0"/>
            <w:i/>
            <w:iCs/>
            <w:sz w:val="24"/>
            <w:szCs w:val="24"/>
          </w:rPr>
          <w:t>2</w:t>
        </w:r>
        <w:r w:rsidR="00581D4C" w:rsidRPr="00F06DE2">
          <w:rPr>
            <w:rStyle w:val="Hyperlink"/>
            <w:rFonts w:ascii="Times New Roman" w:hAnsi="Times New Roman"/>
            <w:b w:val="0"/>
            <w:bCs w:val="0"/>
            <w:i/>
            <w:iCs/>
            <w:sz w:val="24"/>
            <w:szCs w:val="24"/>
          </w:rPr>
          <w:t xml:space="preserve"> </w:t>
        </w:r>
        <w:r w:rsidR="00581D4C">
          <w:rPr>
            <w:rStyle w:val="Hyperlink"/>
            <w:rFonts w:ascii="Times New Roman" w:hAnsi="Times New Roman"/>
            <w:b w:val="0"/>
            <w:bCs w:val="0"/>
            <w:i/>
            <w:iCs/>
            <w:sz w:val="24"/>
            <w:szCs w:val="24"/>
          </w:rPr>
          <w:t xml:space="preserve">Разположение на горивните танкове за метанол                                                                                     </w:t>
        </w:r>
        <w:r w:rsidR="00581D4C" w:rsidRPr="00F06DE2">
          <w:rPr>
            <w:rStyle w:val="Hyperlink"/>
            <w:rFonts w:ascii="Times New Roman" w:hAnsi="Times New Roman"/>
            <w:b w:val="0"/>
            <w:bCs w:val="0"/>
            <w:i/>
            <w:iCs/>
            <w:sz w:val="24"/>
            <w:szCs w:val="24"/>
          </w:rPr>
          <w:t xml:space="preserve"> </w:t>
        </w:r>
        <w:r w:rsidR="00581D4C" w:rsidRPr="00F06DE2">
          <w:rPr>
            <w:rFonts w:ascii="Times New Roman" w:hAnsi="Times New Roman"/>
            <w:i/>
            <w:iCs/>
            <w:sz w:val="24"/>
            <w:szCs w:val="24"/>
          </w:rPr>
          <w:t>5</w:t>
        </w:r>
        <w:r w:rsidR="00581D4C" w:rsidRPr="00F06DE2">
          <w:rPr>
            <w:rFonts w:ascii="Times New Roman" w:hAnsi="Times New Roman"/>
            <w:i/>
            <w:iCs/>
            <w:sz w:val="24"/>
            <w:szCs w:val="24"/>
            <w:lang w:val="en-US"/>
          </w:rPr>
          <w:t>56</w:t>
        </w:r>
      </w:hyperlink>
    </w:p>
    <w:p w14:paraId="3B35B9D8" w14:textId="78B34EFE" w:rsidR="00271FA2" w:rsidRPr="00F06DE2" w:rsidRDefault="002C62EC" w:rsidP="00D274CA">
      <w:pPr>
        <w:pStyle w:val="TOC1"/>
        <w:spacing w:before="120" w:after="0"/>
        <w:ind w:left="0" w:right="-2" w:firstLine="0"/>
        <w:rPr>
          <w:rFonts w:ascii="Times New Roman" w:eastAsiaTheme="minorEastAsia" w:hAnsi="Times New Roman"/>
          <w:b w:val="0"/>
          <w:bCs w:val="0"/>
          <w:i/>
          <w:iCs/>
          <w:caps w:val="0"/>
          <w:sz w:val="24"/>
          <w:szCs w:val="24"/>
          <w:lang w:eastAsia="en-GB" w:bidi="ar-SA"/>
        </w:rPr>
      </w:pPr>
      <w:hyperlink w:anchor="_Toc535827815" w:history="1">
        <w:r w:rsidR="00D35E51" w:rsidRPr="00F06DE2">
          <w:rPr>
            <w:rStyle w:val="Hyperlink"/>
            <w:rFonts w:ascii="Times New Roman" w:hAnsi="Times New Roman"/>
            <w:i/>
            <w:iCs/>
            <w:sz w:val="24"/>
            <w:szCs w:val="24"/>
          </w:rPr>
          <w:t>ЧАСТ IV ПРЕХОДНИ РАЗПОРЕДБИ</w:t>
        </w:r>
        <w:r w:rsidR="00581D4C">
          <w:rPr>
            <w:rStyle w:val="Hyperlink"/>
            <w:rFonts w:ascii="Times New Roman" w:hAnsi="Times New Roman"/>
            <w:i/>
            <w:iCs/>
            <w:sz w:val="24"/>
            <w:szCs w:val="24"/>
          </w:rPr>
          <w:t xml:space="preserve">                                                                                           </w:t>
        </w:r>
        <w:r w:rsidR="00D35E51" w:rsidRPr="00F06DE2">
          <w:rPr>
            <w:rFonts w:ascii="Times New Roman" w:hAnsi="Times New Roman"/>
            <w:b w:val="0"/>
            <w:bCs w:val="0"/>
            <w:i/>
            <w:iCs/>
            <w:sz w:val="24"/>
            <w:szCs w:val="24"/>
          </w:rPr>
          <w:t>56</w:t>
        </w:r>
        <w:r w:rsidR="00BD5B86" w:rsidRPr="00F06DE2">
          <w:rPr>
            <w:rFonts w:ascii="Times New Roman" w:hAnsi="Times New Roman"/>
            <w:b w:val="0"/>
            <w:bCs w:val="0"/>
            <w:i/>
            <w:iCs/>
            <w:sz w:val="24"/>
            <w:szCs w:val="24"/>
            <w:lang w:val="en-US"/>
          </w:rPr>
          <w:t>0</w:t>
        </w:r>
      </w:hyperlink>
    </w:p>
    <w:p w14:paraId="1727745B" w14:textId="65D7E5C1" w:rsidR="00271FA2" w:rsidRPr="00F06DE2" w:rsidRDefault="002C62EC" w:rsidP="00D274CA">
      <w:pPr>
        <w:pStyle w:val="TOC2"/>
        <w:tabs>
          <w:tab w:val="right" w:leader="dot" w:pos="9060"/>
        </w:tabs>
        <w:spacing w:before="0"/>
        <w:ind w:left="0" w:right="-2" w:firstLine="0"/>
        <w:rPr>
          <w:rFonts w:ascii="Times New Roman" w:eastAsiaTheme="minorEastAsia" w:hAnsi="Times New Roman"/>
          <w:smallCaps w:val="0"/>
          <w:sz w:val="24"/>
          <w:szCs w:val="24"/>
          <w:lang w:eastAsia="en-GB" w:bidi="ar-SA"/>
        </w:rPr>
      </w:pPr>
      <w:hyperlink w:anchor="_Toc535827816" w:history="1">
        <w:r w:rsidR="00D35E51" w:rsidRPr="00F06DE2">
          <w:rPr>
            <w:rStyle w:val="Hyperlink"/>
            <w:rFonts w:ascii="Times New Roman" w:hAnsi="Times New Roman"/>
            <w:b w:val="0"/>
            <w:bCs w:val="0"/>
            <w:i/>
            <w:iCs/>
            <w:sz w:val="24"/>
            <w:szCs w:val="24"/>
          </w:rPr>
          <w:t>ESI-IV-1 Прилагане на преходни разпоредби</w:t>
        </w:r>
        <w:r w:rsidR="00581D4C">
          <w:rPr>
            <w:rStyle w:val="Hyperlink"/>
            <w:rFonts w:ascii="Times New Roman" w:hAnsi="Times New Roman"/>
            <w:b w:val="0"/>
            <w:bCs w:val="0"/>
            <w:i/>
            <w:iCs/>
            <w:sz w:val="24"/>
            <w:szCs w:val="24"/>
          </w:rPr>
          <w:t xml:space="preserve">                                                                                                             </w:t>
        </w:r>
        <w:r w:rsidR="00D35E51" w:rsidRPr="00F06DE2">
          <w:rPr>
            <w:rFonts w:ascii="Times New Roman" w:hAnsi="Times New Roman"/>
            <w:i/>
            <w:iCs/>
            <w:sz w:val="24"/>
            <w:szCs w:val="24"/>
          </w:rPr>
          <w:t>56</w:t>
        </w:r>
        <w:r w:rsidR="00BD5B86" w:rsidRPr="00F06DE2">
          <w:rPr>
            <w:rFonts w:ascii="Times New Roman" w:hAnsi="Times New Roman"/>
            <w:i/>
            <w:iCs/>
            <w:sz w:val="24"/>
            <w:szCs w:val="24"/>
            <w:lang w:val="en-US"/>
          </w:rPr>
          <w:t>0</w:t>
        </w:r>
      </w:hyperlink>
    </w:p>
    <w:p w14:paraId="5FA77536" w14:textId="77777777" w:rsidR="00271FA2" w:rsidRPr="00F06DE2" w:rsidRDefault="00D35E51">
      <w:pPr>
        <w:pStyle w:val="TOC2"/>
        <w:tabs>
          <w:tab w:val="right" w:leader="dot" w:pos="9060"/>
        </w:tabs>
        <w:spacing w:line="240" w:lineRule="atLeast"/>
        <w:ind w:right="709"/>
        <w:rPr>
          <w:rFonts w:ascii="Times New Roman" w:eastAsiaTheme="minorEastAsia" w:hAnsi="Times New Roman"/>
          <w:smallCaps w:val="0"/>
          <w:sz w:val="24"/>
          <w:szCs w:val="24"/>
        </w:rPr>
      </w:pPr>
      <w:r w:rsidRPr="00F06DE2">
        <w:rPr>
          <w:rFonts w:ascii="Times New Roman" w:hAnsi="Times New Roman"/>
          <w:sz w:val="24"/>
          <w:szCs w:val="24"/>
        </w:rPr>
        <w:fldChar w:fldCharType="end"/>
      </w:r>
    </w:p>
    <w:p w14:paraId="364894A0" w14:textId="73D5186B" w:rsidR="00271FA2" w:rsidRPr="00F06DE2" w:rsidRDefault="00271FA2">
      <w:pPr>
        <w:spacing w:line="240" w:lineRule="atLeast"/>
        <w:rPr>
          <w:rFonts w:ascii="Times New Roman" w:hAnsi="Times New Roman" w:cs="Times New Roman"/>
          <w:sz w:val="24"/>
          <w:szCs w:val="24"/>
        </w:rPr>
        <w:sectPr w:rsidR="00271FA2" w:rsidRPr="00F06DE2" w:rsidSect="00F06DE2">
          <w:headerReference w:type="default" r:id="rId13"/>
          <w:footerReference w:type="default" r:id="rId14"/>
          <w:headerReference w:type="first" r:id="rId15"/>
          <w:footerReference w:type="first" r:id="rId16"/>
          <w:footnotePr>
            <w:numRestart w:val="eachPage"/>
          </w:footnotePr>
          <w:pgSz w:w="11906" w:h="16838" w:code="9"/>
          <w:pgMar w:top="1134" w:right="1134" w:bottom="1134" w:left="1134" w:header="709" w:footer="709" w:gutter="0"/>
          <w:pgNumType w:fmt="lowerRoman"/>
          <w:cols w:space="709"/>
          <w:titlePg/>
          <w:docGrid w:linePitch="326"/>
        </w:sectPr>
      </w:pPr>
    </w:p>
    <w:p w14:paraId="6E5B78BF" w14:textId="77777777" w:rsidR="00FC473A" w:rsidRPr="00F06DE2" w:rsidRDefault="00FC473A" w:rsidP="00FC473A">
      <w:pPr>
        <w:pStyle w:val="ES-Titre1"/>
        <w:spacing w:after="240"/>
        <w:rPr>
          <w:rFonts w:ascii="Times New Roman" w:hAnsi="Times New Roman" w:cs="Times New Roman"/>
          <w:sz w:val="24"/>
          <w:szCs w:val="24"/>
          <w:lang w:val="ru-RU"/>
        </w:rPr>
      </w:pPr>
      <w:bookmarkStart w:id="1" w:name="_Toc384624875"/>
      <w:bookmarkStart w:id="2" w:name="_Toc535827443"/>
      <w:bookmarkStart w:id="3" w:name="_Toc491854002"/>
    </w:p>
    <w:p w14:paraId="197A8935" w14:textId="090D884E" w:rsidR="00271FA2" w:rsidRPr="00F06DE2" w:rsidRDefault="00D35E51" w:rsidP="00FC473A">
      <w:pPr>
        <w:pStyle w:val="ES-Titre1"/>
        <w:spacing w:after="240"/>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ЧАСТ </w:t>
      </w:r>
      <w:r w:rsidRPr="00F06DE2">
        <w:rPr>
          <w:rFonts w:ascii="Times New Roman" w:hAnsi="Times New Roman" w:cs="Times New Roman"/>
          <w:sz w:val="24"/>
          <w:szCs w:val="24"/>
        </w:rPr>
        <w:t>I</w:t>
      </w:r>
      <w:r w:rsidRPr="00F06DE2">
        <w:rPr>
          <w:rFonts w:ascii="Times New Roman" w:hAnsi="Times New Roman" w:cs="Times New Roman"/>
          <w:sz w:val="24"/>
          <w:szCs w:val="24"/>
          <w:lang w:val="ru-RU"/>
        </w:rPr>
        <w:br/>
      </w:r>
      <w:bookmarkEnd w:id="1"/>
      <w:r w:rsidRPr="00F06DE2">
        <w:rPr>
          <w:rFonts w:ascii="Times New Roman" w:hAnsi="Times New Roman" w:cs="Times New Roman"/>
          <w:sz w:val="24"/>
          <w:szCs w:val="24"/>
          <w:lang w:val="ru-RU"/>
        </w:rPr>
        <w:t>ОБЩИ ПОЛОЖЕНИЯ</w:t>
      </w:r>
      <w:bookmarkStart w:id="4" w:name="_Toc384624876"/>
      <w:bookmarkEnd w:id="2"/>
      <w:bookmarkEnd w:id="3"/>
      <w:r w:rsidR="00FC473A" w:rsidRPr="00F06DE2">
        <w:rPr>
          <w:rFonts w:ascii="Times New Roman" w:hAnsi="Times New Roman" w:cs="Times New Roman"/>
          <w:sz w:val="24"/>
          <w:szCs w:val="24"/>
          <w:lang w:val="ru-RU"/>
        </w:rPr>
        <w:t xml:space="preserve"> </w:t>
      </w:r>
    </w:p>
    <w:p w14:paraId="0CEE69E2" w14:textId="7E0E73AC" w:rsidR="00271FA2" w:rsidRPr="00F06DE2" w:rsidRDefault="00D35E51" w:rsidP="00FC473A">
      <w:pPr>
        <w:pStyle w:val="ES-Titre2"/>
        <w:pageBreakBefore w:val="0"/>
        <w:spacing w:after="240"/>
        <w:rPr>
          <w:rFonts w:ascii="Times New Roman" w:hAnsi="Times New Roman" w:cs="Times New Roman"/>
          <w:sz w:val="24"/>
          <w:szCs w:val="24"/>
          <w:lang w:val="ru-RU"/>
        </w:rPr>
      </w:pPr>
      <w:bookmarkStart w:id="5" w:name="_Toc535827444"/>
      <w:bookmarkStart w:id="6" w:name="_Toc491854003"/>
      <w:r w:rsidRPr="00F06DE2">
        <w:rPr>
          <w:rFonts w:ascii="Times New Roman" w:hAnsi="Times New Roman" w:cs="Times New Roman"/>
          <w:sz w:val="24"/>
          <w:szCs w:val="24"/>
          <w:lang w:val="ru-RU"/>
        </w:rPr>
        <w:t>Глава 1</w:t>
      </w:r>
      <w:r w:rsidRPr="00F06DE2">
        <w:rPr>
          <w:rFonts w:ascii="Times New Roman" w:hAnsi="Times New Roman" w:cs="Times New Roman"/>
          <w:sz w:val="24"/>
          <w:szCs w:val="24"/>
          <w:lang w:val="ru-RU"/>
        </w:rPr>
        <w:br/>
      </w:r>
      <w:bookmarkEnd w:id="4"/>
      <w:r w:rsidRPr="00F06DE2">
        <w:rPr>
          <w:rFonts w:ascii="Times New Roman" w:hAnsi="Times New Roman" w:cs="Times New Roman"/>
          <w:sz w:val="24"/>
          <w:szCs w:val="24"/>
          <w:lang w:val="ru-RU"/>
        </w:rPr>
        <w:t>Общи положения</w:t>
      </w:r>
      <w:bookmarkStart w:id="7" w:name="_Toc535827445"/>
      <w:bookmarkStart w:id="8" w:name="_Toc491854004"/>
      <w:bookmarkStart w:id="9" w:name="_Toc384624877"/>
      <w:bookmarkEnd w:id="5"/>
      <w:bookmarkEnd w:id="6"/>
    </w:p>
    <w:p w14:paraId="3160BC59" w14:textId="041157EE" w:rsidR="00271FA2" w:rsidRPr="00F06DE2" w:rsidRDefault="00D35E51" w:rsidP="00FC473A">
      <w:pPr>
        <w:pStyle w:val="ES-Titre3"/>
        <w:spacing w:line="240" w:lineRule="auto"/>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1.01</w:t>
      </w:r>
      <w:r w:rsidRPr="00F06DE2">
        <w:rPr>
          <w:rFonts w:ascii="Times New Roman" w:hAnsi="Times New Roman" w:cs="Times New Roman"/>
          <w:sz w:val="24"/>
          <w:szCs w:val="24"/>
          <w:lang w:val="ru-RU"/>
        </w:rPr>
        <w:br/>
      </w:r>
      <w:bookmarkEnd w:id="7"/>
      <w:bookmarkEnd w:id="8"/>
      <w:bookmarkEnd w:id="9"/>
      <w:r w:rsidRPr="00F06DE2">
        <w:rPr>
          <w:rFonts w:ascii="Times New Roman" w:hAnsi="Times New Roman" w:cs="Times New Roman"/>
          <w:i/>
          <w:sz w:val="24"/>
          <w:szCs w:val="24"/>
          <w:lang w:val="ru-RU"/>
        </w:rPr>
        <w:t>Определения</w:t>
      </w:r>
    </w:p>
    <w:p w14:paraId="6726737A" w14:textId="77777777" w:rsidR="00271FA2" w:rsidRPr="00F06DE2" w:rsidRDefault="00D35E51" w:rsidP="000B2E40">
      <w:pPr>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За целите на настоящия стандарт се прилагат следните определения:</w:t>
      </w:r>
    </w:p>
    <w:p w14:paraId="492904A8" w14:textId="77777777" w:rsidR="00271FA2" w:rsidRPr="00F06DE2" w:rsidRDefault="00D35E51" w:rsidP="000B2E40">
      <w:pPr>
        <w:pStyle w:val="ESchgras"/>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Видове плавателни средства</w:t>
      </w:r>
    </w:p>
    <w:p w14:paraId="45A48C1B" w14:textId="1FDC7D64" w:rsidR="001408E7"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w:t>
      </w:r>
      <w:r w:rsidRPr="00F06DE2">
        <w:rPr>
          <w:rFonts w:ascii="Times New Roman" w:hAnsi="Times New Roman" w:cs="Times New Roman"/>
          <w:sz w:val="24"/>
          <w:szCs w:val="24"/>
          <w:lang w:val="ru-RU"/>
        </w:rPr>
        <w:tab/>
        <w:t>„</w:t>
      </w:r>
      <w:r w:rsidR="00421173" w:rsidRPr="00F06DE2" w:rsidDel="00421173">
        <w:rPr>
          <w:rFonts w:ascii="Times New Roman" w:hAnsi="Times New Roman" w:cs="Times New Roman"/>
          <w:color w:val="000000"/>
          <w:sz w:val="24"/>
          <w:szCs w:val="24"/>
          <w:lang w:val="ru-RU"/>
        </w:rPr>
        <w:t xml:space="preserve"> </w:t>
      </w:r>
      <w:r w:rsidR="00421173" w:rsidRPr="00F06DE2">
        <w:rPr>
          <w:rFonts w:ascii="Times New Roman" w:hAnsi="Times New Roman" w:cs="Times New Roman"/>
          <w:color w:val="000000"/>
          <w:sz w:val="24"/>
          <w:szCs w:val="24"/>
          <w:lang w:val="ru-RU"/>
        </w:rPr>
        <w:t>П</w:t>
      </w:r>
      <w:r w:rsidRPr="00F06DE2">
        <w:rPr>
          <w:rFonts w:ascii="Times New Roman" w:hAnsi="Times New Roman" w:cs="Times New Roman"/>
          <w:color w:val="000000"/>
          <w:sz w:val="24"/>
          <w:szCs w:val="24"/>
          <w:lang w:val="ru-RU"/>
        </w:rPr>
        <w:t>лавателно средство</w:t>
      </w:r>
      <w:r w:rsidRPr="00F06DE2">
        <w:rPr>
          <w:rFonts w:ascii="Times New Roman" w:hAnsi="Times New Roman" w:cs="Times New Roman"/>
          <w:sz w:val="24"/>
          <w:szCs w:val="24"/>
          <w:lang w:val="ru-RU"/>
        </w:rPr>
        <w:t>“ е кораб (плавателен съд) или плаващо съоръжение;</w:t>
      </w:r>
    </w:p>
    <w:p w14:paraId="549FB0F0"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w:t>
      </w:r>
      <w:r w:rsidRPr="00F06DE2">
        <w:rPr>
          <w:rFonts w:ascii="Times New Roman" w:hAnsi="Times New Roman" w:cs="Times New Roman"/>
          <w:sz w:val="24"/>
          <w:szCs w:val="24"/>
          <w:lang w:val="ru-RU"/>
        </w:rPr>
        <w:tab/>
        <w:t>„</w:t>
      </w:r>
      <w:r w:rsidRPr="00F06DE2">
        <w:rPr>
          <w:rFonts w:ascii="Times New Roman" w:hAnsi="Times New Roman" w:cs="Times New Roman"/>
          <w:color w:val="000000"/>
          <w:sz w:val="24"/>
          <w:szCs w:val="24"/>
          <w:lang w:val="ru-RU"/>
        </w:rPr>
        <w:t>Кораб</w:t>
      </w:r>
      <w:r w:rsidRPr="00F06DE2">
        <w:rPr>
          <w:rFonts w:ascii="Times New Roman" w:hAnsi="Times New Roman" w:cs="Times New Roman"/>
          <w:sz w:val="24"/>
          <w:szCs w:val="24"/>
          <w:lang w:val="ru-RU"/>
        </w:rPr>
        <w:t xml:space="preserve"> (плавателен съд)“ е кораб (плавателен съд), плаващ по вътрешните водни пътища или морски кораб;</w:t>
      </w:r>
    </w:p>
    <w:p w14:paraId="0D53CBD2" w14:textId="783901CE"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1.3</w:t>
      </w:r>
      <w:r w:rsidRPr="00F06DE2">
        <w:rPr>
          <w:rFonts w:ascii="Times New Roman" w:hAnsi="Times New Roman" w:cs="Times New Roman"/>
          <w:sz w:val="24"/>
          <w:szCs w:val="24"/>
          <w:lang w:val="ru-RU"/>
        </w:rPr>
        <w:tab/>
        <w:t>„</w:t>
      </w:r>
      <w:r w:rsidR="00CB1454" w:rsidRPr="00F06DE2">
        <w:rPr>
          <w:rFonts w:ascii="Times New Roman" w:hAnsi="Times New Roman" w:cs="Times New Roman"/>
          <w:sz w:val="24"/>
          <w:szCs w:val="24"/>
          <w:lang w:val="ru-RU"/>
        </w:rPr>
        <w:t>К</w:t>
      </w:r>
      <w:r w:rsidR="00434F1D" w:rsidRPr="00F06DE2">
        <w:rPr>
          <w:rFonts w:ascii="Times New Roman" w:hAnsi="Times New Roman" w:cs="Times New Roman"/>
          <w:sz w:val="24"/>
          <w:szCs w:val="24"/>
          <w:lang w:val="ru-RU"/>
        </w:rPr>
        <w:t>ораб</w:t>
      </w:r>
      <w:r w:rsidRPr="00F06DE2">
        <w:rPr>
          <w:rFonts w:ascii="Times New Roman" w:hAnsi="Times New Roman" w:cs="Times New Roman"/>
          <w:color w:val="000000"/>
          <w:sz w:val="24"/>
          <w:szCs w:val="24"/>
          <w:lang w:val="ru-RU"/>
        </w:rPr>
        <w:t xml:space="preserve">, плаващ </w:t>
      </w:r>
      <w:r w:rsidRPr="00F06DE2">
        <w:rPr>
          <w:rFonts w:ascii="Times New Roman" w:hAnsi="Times New Roman" w:cs="Times New Roman"/>
          <w:sz w:val="24"/>
          <w:szCs w:val="24"/>
          <w:lang w:val="ru-RU"/>
        </w:rPr>
        <w:t>по вътрешните водни пътища“ е плавателен съд, предназначен единствено или главно за вътрешно корабоплаване;</w:t>
      </w:r>
    </w:p>
    <w:p w14:paraId="62BEE897" w14:textId="6A1C3508"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1.4</w:t>
      </w:r>
      <w:r w:rsidRPr="00F06DE2">
        <w:rPr>
          <w:rFonts w:ascii="Times New Roman" w:hAnsi="Times New Roman" w:cs="Times New Roman"/>
          <w:sz w:val="24"/>
          <w:szCs w:val="24"/>
          <w:lang w:val="ru-RU"/>
        </w:rPr>
        <w:tab/>
        <w:t>„Морски кораб“ е плавателен съд</w:t>
      </w:r>
      <w:r w:rsidR="001614E7"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одобрен и предназначен предимно за морско или крайбрежно корабоплаване;</w:t>
      </w:r>
    </w:p>
    <w:p w14:paraId="50EDD6A0" w14:textId="5DFB4674"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1.5</w:t>
      </w:r>
      <w:r w:rsidRPr="00F06DE2">
        <w:rPr>
          <w:rFonts w:ascii="Times New Roman" w:hAnsi="Times New Roman" w:cs="Times New Roman"/>
          <w:sz w:val="24"/>
          <w:szCs w:val="24"/>
          <w:lang w:val="ru-RU"/>
        </w:rPr>
        <w:tab/>
        <w:t>„Моторен танкер“ е</w:t>
      </w:r>
      <w:r w:rsidR="00480D61" w:rsidRPr="00F06DE2">
        <w:rPr>
          <w:rFonts w:ascii="Times New Roman" w:hAnsi="Times New Roman" w:cs="Times New Roman"/>
          <w:sz w:val="24"/>
          <w:szCs w:val="24"/>
          <w:lang w:val="ru-RU"/>
        </w:rPr>
        <w:t xml:space="preserve"> кораб</w:t>
      </w:r>
      <w:r w:rsidRPr="00F06DE2">
        <w:rPr>
          <w:rFonts w:ascii="Times New Roman" w:hAnsi="Times New Roman" w:cs="Times New Roman"/>
          <w:sz w:val="24"/>
          <w:szCs w:val="24"/>
          <w:lang w:val="ru-RU"/>
        </w:rPr>
        <w:t xml:space="preserve"> предназначен за превоз на товари в стационарни танкове и построен да плава независимо със собствена механична уредба;</w:t>
      </w:r>
    </w:p>
    <w:p w14:paraId="4F4F95EF" w14:textId="18645F41"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1.6</w:t>
      </w:r>
      <w:r w:rsidRPr="00F06DE2">
        <w:rPr>
          <w:rFonts w:ascii="Times New Roman" w:hAnsi="Times New Roman" w:cs="Times New Roman"/>
          <w:sz w:val="24"/>
          <w:szCs w:val="24"/>
          <w:lang w:val="ru-RU"/>
        </w:rPr>
        <w:tab/>
        <w:t>„Моторен товарен</w:t>
      </w:r>
      <w:r w:rsidR="00C765E1" w:rsidRPr="00F06DE2">
        <w:rPr>
          <w:rFonts w:ascii="Times New Roman" w:hAnsi="Times New Roman" w:cs="Times New Roman"/>
          <w:sz w:val="24"/>
          <w:szCs w:val="24"/>
          <w:lang w:val="ru-RU"/>
        </w:rPr>
        <w:t xml:space="preserve"> кораб</w:t>
      </w:r>
      <w:r w:rsidRPr="00F06DE2">
        <w:rPr>
          <w:rFonts w:ascii="Times New Roman" w:hAnsi="Times New Roman" w:cs="Times New Roman"/>
          <w:sz w:val="24"/>
          <w:szCs w:val="24"/>
          <w:lang w:val="ru-RU"/>
        </w:rPr>
        <w:t>“ е плавателен съд, различен от моторен танкер, предназначен за превоз на товари и построен да плава със собствена механична уредба;</w:t>
      </w:r>
    </w:p>
    <w:p w14:paraId="3B37DB8C" w14:textId="5F1C9361"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1.7</w:t>
      </w:r>
      <w:r w:rsidRPr="00F06DE2">
        <w:rPr>
          <w:rFonts w:ascii="Times New Roman" w:hAnsi="Times New Roman" w:cs="Times New Roman"/>
          <w:sz w:val="24"/>
          <w:szCs w:val="24"/>
          <w:lang w:val="ru-RU"/>
        </w:rPr>
        <w:tab/>
        <w:t xml:space="preserve">„Канална баржа“ е плавателен съд за вътрешно корабоплаване с дължина не по-голяма от 38,5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и широчина не по-голяма от 5,05</w:t>
      </w:r>
      <w:r w:rsidR="00A672E9" w:rsidRPr="00F06DE2">
        <w:rPr>
          <w:rFonts w:ascii="Times New Roman" w:hAnsi="Times New Roman" w:cs="Times New Roman"/>
          <w:sz w:val="24"/>
          <w:szCs w:val="24"/>
          <w:lang w:val="ru-RU"/>
        </w:rPr>
        <w:t>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w:t>
      </w:r>
    </w:p>
    <w:p w14:paraId="68EE6F03" w14:textId="4202DF8B"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1.8</w:t>
      </w:r>
      <w:r w:rsidRPr="00F06DE2">
        <w:rPr>
          <w:rFonts w:ascii="Times New Roman" w:hAnsi="Times New Roman" w:cs="Times New Roman"/>
          <w:sz w:val="24"/>
          <w:szCs w:val="24"/>
          <w:lang w:val="ru-RU"/>
        </w:rPr>
        <w:tab/>
        <w:t>„Влекач“ е</w:t>
      </w:r>
      <w:r w:rsidR="000D4C20" w:rsidRPr="00F06DE2">
        <w:rPr>
          <w:rFonts w:ascii="Times New Roman" w:hAnsi="Times New Roman" w:cs="Times New Roman"/>
          <w:sz w:val="24"/>
          <w:szCs w:val="24"/>
          <w:lang w:val="ru-RU"/>
        </w:rPr>
        <w:t xml:space="preserve"> кораб</w:t>
      </w:r>
      <w:r w:rsidRPr="00F06DE2">
        <w:rPr>
          <w:rFonts w:ascii="Times New Roman" w:hAnsi="Times New Roman" w:cs="Times New Roman"/>
          <w:sz w:val="24"/>
          <w:szCs w:val="24"/>
          <w:lang w:val="ru-RU"/>
        </w:rPr>
        <w:t>, построен специално за провеждане на операции по влачене;</w:t>
      </w:r>
    </w:p>
    <w:p w14:paraId="1E25A82C" w14:textId="297E2599"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1.9</w:t>
      </w:r>
      <w:r w:rsidRPr="00F06DE2">
        <w:rPr>
          <w:rFonts w:ascii="Times New Roman" w:hAnsi="Times New Roman" w:cs="Times New Roman"/>
          <w:sz w:val="24"/>
          <w:szCs w:val="24"/>
          <w:lang w:val="ru-RU"/>
        </w:rPr>
        <w:tab/>
        <w:t>„Тласкач“ е</w:t>
      </w:r>
      <w:r w:rsidR="00DB1F50" w:rsidRPr="00F06DE2">
        <w:rPr>
          <w:rFonts w:ascii="Times New Roman" w:hAnsi="Times New Roman" w:cs="Times New Roman"/>
          <w:sz w:val="24"/>
          <w:szCs w:val="24"/>
          <w:lang w:val="ru-RU"/>
        </w:rPr>
        <w:t xml:space="preserve"> кораб</w:t>
      </w:r>
      <w:r w:rsidRPr="00F06DE2">
        <w:rPr>
          <w:rFonts w:ascii="Times New Roman" w:hAnsi="Times New Roman" w:cs="Times New Roman"/>
          <w:sz w:val="24"/>
          <w:szCs w:val="24"/>
          <w:lang w:val="ru-RU"/>
        </w:rPr>
        <w:t>, построен специално за придвижване на тласкан състав;</w:t>
      </w:r>
    </w:p>
    <w:p w14:paraId="25B170E9"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1.10</w:t>
      </w:r>
      <w:r w:rsidRPr="00F06DE2">
        <w:rPr>
          <w:rFonts w:ascii="Times New Roman" w:hAnsi="Times New Roman" w:cs="Times New Roman"/>
          <w:sz w:val="24"/>
          <w:szCs w:val="24"/>
          <w:lang w:val="ru-RU"/>
        </w:rPr>
        <w:tab/>
        <w:t>„Баржа“ е несамоходна товарна баржа или несамоходна танк-баржа;</w:t>
      </w:r>
    </w:p>
    <w:p w14:paraId="234554B7"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1.11</w:t>
      </w:r>
      <w:r w:rsidRPr="00F06DE2">
        <w:rPr>
          <w:rFonts w:ascii="Times New Roman" w:hAnsi="Times New Roman" w:cs="Times New Roman"/>
          <w:sz w:val="24"/>
          <w:szCs w:val="24"/>
          <w:lang w:val="ru-RU"/>
        </w:rPr>
        <w:tab/>
        <w:t>„Танк-баржа“ е плавателен съд, предназначен за превоз на товари в стационарни танкове и построен да бъде влачен, нямащ собствена механична уредба за придвижване или имащ такава само за ограничени маневри;</w:t>
      </w:r>
    </w:p>
    <w:p w14:paraId="35CFC18E"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1.12</w:t>
      </w:r>
      <w:r w:rsidRPr="00F06DE2">
        <w:rPr>
          <w:rFonts w:ascii="Times New Roman" w:hAnsi="Times New Roman" w:cs="Times New Roman"/>
          <w:sz w:val="24"/>
          <w:szCs w:val="24"/>
          <w:lang w:val="ru-RU"/>
        </w:rPr>
        <w:tab/>
        <w:t>„Несамоходна товарна баржа“ е плавателен съд, различен от танк-баржа, предназначен за превоз на товари и построен да бъде влачен, нямащ собствена механична уредба за придвижване или имащ такава само за ограничени маневри;</w:t>
      </w:r>
    </w:p>
    <w:p w14:paraId="7E412C97" w14:textId="29CD1DB6"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1.13</w:t>
      </w:r>
      <w:r w:rsidRPr="00F06DE2">
        <w:rPr>
          <w:rFonts w:ascii="Times New Roman" w:hAnsi="Times New Roman" w:cs="Times New Roman"/>
          <w:sz w:val="24"/>
          <w:szCs w:val="24"/>
          <w:lang w:val="ru-RU"/>
        </w:rPr>
        <w:tab/>
        <w:t>„Лихтер“</w:t>
      </w:r>
      <w:r w:rsidR="007B31C0" w:rsidRPr="00F06DE2">
        <w:rPr>
          <w:rFonts w:ascii="Times New Roman" w:hAnsi="Times New Roman" w:cs="Times New Roman"/>
          <w:sz w:val="24"/>
          <w:szCs w:val="24"/>
          <w:lang w:val="ru-RU"/>
        </w:rPr>
        <w:t xml:space="preserve"> (тласкаема баржа</w:t>
      </w:r>
      <w:r w:rsidR="00DB3C6A"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е</w:t>
      </w:r>
      <w:r w:rsidR="00545DC0" w:rsidRPr="00F06DE2">
        <w:rPr>
          <w:rFonts w:ascii="Times New Roman" w:hAnsi="Times New Roman" w:cs="Times New Roman"/>
          <w:sz w:val="24"/>
          <w:szCs w:val="24"/>
          <w:lang w:val="ru-RU"/>
        </w:rPr>
        <w:t xml:space="preserve"> </w:t>
      </w:r>
      <w:r w:rsidRPr="00F06DE2">
        <w:rPr>
          <w:rFonts w:ascii="Times New Roman" w:hAnsi="Times New Roman" w:cs="Times New Roman"/>
          <w:sz w:val="24"/>
          <w:szCs w:val="24"/>
          <w:lang w:val="ru-RU"/>
        </w:rPr>
        <w:t>танк-лихтер</w:t>
      </w:r>
      <w:r w:rsidR="007B31C0" w:rsidRPr="00F06DE2">
        <w:rPr>
          <w:rFonts w:ascii="Times New Roman" w:hAnsi="Times New Roman" w:cs="Times New Roman"/>
          <w:sz w:val="24"/>
          <w:szCs w:val="24"/>
          <w:lang w:val="ru-RU"/>
        </w:rPr>
        <w:t xml:space="preserve"> (тласкаема та</w:t>
      </w:r>
      <w:r w:rsidR="00400302" w:rsidRPr="00F06DE2">
        <w:rPr>
          <w:rFonts w:ascii="Times New Roman" w:hAnsi="Times New Roman" w:cs="Times New Roman"/>
          <w:sz w:val="24"/>
          <w:szCs w:val="24"/>
          <w:lang w:val="ru-RU"/>
        </w:rPr>
        <w:t>н</w:t>
      </w:r>
      <w:r w:rsidR="007B31C0" w:rsidRPr="00F06DE2">
        <w:rPr>
          <w:rFonts w:ascii="Times New Roman" w:hAnsi="Times New Roman" w:cs="Times New Roman"/>
          <w:sz w:val="24"/>
          <w:szCs w:val="24"/>
          <w:lang w:val="ru-RU"/>
        </w:rPr>
        <w:t>к-баржа)</w:t>
      </w:r>
      <w:r w:rsidRPr="00F06DE2">
        <w:rPr>
          <w:rFonts w:ascii="Times New Roman" w:hAnsi="Times New Roman" w:cs="Times New Roman"/>
          <w:sz w:val="24"/>
          <w:szCs w:val="24"/>
          <w:lang w:val="ru-RU"/>
        </w:rPr>
        <w:t>, товарен лихтер</w:t>
      </w:r>
      <w:r w:rsidR="007B31C0" w:rsidRPr="00F06DE2">
        <w:rPr>
          <w:rFonts w:ascii="Times New Roman" w:hAnsi="Times New Roman" w:cs="Times New Roman"/>
          <w:sz w:val="24"/>
          <w:szCs w:val="24"/>
          <w:lang w:val="ru-RU"/>
        </w:rPr>
        <w:t xml:space="preserve"> (товарна тласкаема баржа)</w:t>
      </w:r>
      <w:r w:rsidRPr="00F06DE2">
        <w:rPr>
          <w:rFonts w:ascii="Times New Roman" w:hAnsi="Times New Roman" w:cs="Times New Roman"/>
          <w:sz w:val="24"/>
          <w:szCs w:val="24"/>
          <w:lang w:val="ru-RU"/>
        </w:rPr>
        <w:t xml:space="preserve"> или лихтер за морски превоз;</w:t>
      </w:r>
    </w:p>
    <w:p w14:paraId="25588C0D" w14:textId="4B79EC9F"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1.14</w:t>
      </w:r>
      <w:r w:rsidRPr="00F06DE2">
        <w:rPr>
          <w:rFonts w:ascii="Times New Roman" w:hAnsi="Times New Roman" w:cs="Times New Roman"/>
          <w:sz w:val="24"/>
          <w:szCs w:val="24"/>
          <w:lang w:val="ru-RU"/>
        </w:rPr>
        <w:tab/>
        <w:t xml:space="preserve">„Танк-лихтер“ </w:t>
      </w:r>
      <w:r w:rsidR="00400302" w:rsidRPr="00F06DE2">
        <w:rPr>
          <w:rFonts w:ascii="Times New Roman" w:hAnsi="Times New Roman" w:cs="Times New Roman"/>
          <w:sz w:val="24"/>
          <w:szCs w:val="24"/>
          <w:lang w:val="ru-RU"/>
        </w:rPr>
        <w:t>(тласкаема</w:t>
      </w:r>
      <w:r w:rsidR="007C4C35" w:rsidRPr="00F06DE2">
        <w:rPr>
          <w:rFonts w:ascii="Times New Roman" w:hAnsi="Times New Roman" w:cs="Times New Roman"/>
          <w:sz w:val="24"/>
          <w:szCs w:val="24"/>
          <w:lang w:val="ru-RU"/>
        </w:rPr>
        <w:t xml:space="preserve"> </w:t>
      </w:r>
      <w:r w:rsidR="00400302" w:rsidRPr="00F06DE2">
        <w:rPr>
          <w:rFonts w:ascii="Times New Roman" w:hAnsi="Times New Roman" w:cs="Times New Roman"/>
          <w:sz w:val="24"/>
          <w:szCs w:val="24"/>
          <w:lang w:val="ru-RU"/>
        </w:rPr>
        <w:t xml:space="preserve">танк-баржа) </w:t>
      </w:r>
      <w:r w:rsidRPr="00F06DE2">
        <w:rPr>
          <w:rFonts w:ascii="Times New Roman" w:hAnsi="Times New Roman" w:cs="Times New Roman"/>
          <w:sz w:val="24"/>
          <w:szCs w:val="24"/>
          <w:lang w:val="ru-RU"/>
        </w:rPr>
        <w:t>е плавателен съд, предназначен за превоз на товари в стационарни танкове, построен или специално модифициран да бъде тласкан, нямащ собствена механична уредба или имащ такава само за ограничени маневри, когато не е част от тласкан състав;</w:t>
      </w:r>
    </w:p>
    <w:p w14:paraId="5101977A" w14:textId="35426948"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1.15</w:t>
      </w:r>
      <w:r w:rsidRPr="00F06DE2">
        <w:rPr>
          <w:rFonts w:ascii="Times New Roman" w:hAnsi="Times New Roman" w:cs="Times New Roman"/>
          <w:sz w:val="24"/>
          <w:szCs w:val="24"/>
          <w:lang w:val="ru-RU"/>
        </w:rPr>
        <w:tab/>
        <w:t>„Товарен лихтер“</w:t>
      </w:r>
      <w:r w:rsidR="00734E36" w:rsidRPr="00F06DE2">
        <w:rPr>
          <w:rFonts w:ascii="Times New Roman" w:hAnsi="Times New Roman" w:cs="Times New Roman"/>
          <w:sz w:val="24"/>
          <w:szCs w:val="24"/>
          <w:lang w:val="ru-RU"/>
        </w:rPr>
        <w:t xml:space="preserve"> </w:t>
      </w:r>
      <w:r w:rsidR="00400302" w:rsidRPr="00F06DE2">
        <w:rPr>
          <w:rFonts w:ascii="Times New Roman" w:hAnsi="Times New Roman" w:cs="Times New Roman"/>
          <w:sz w:val="24"/>
          <w:szCs w:val="24"/>
          <w:lang w:val="ru-RU"/>
        </w:rPr>
        <w:t>(товарна тласкаема баржа)</w:t>
      </w:r>
      <w:r w:rsidRPr="00F06DE2">
        <w:rPr>
          <w:rFonts w:ascii="Times New Roman" w:hAnsi="Times New Roman" w:cs="Times New Roman"/>
          <w:sz w:val="24"/>
          <w:szCs w:val="24"/>
          <w:lang w:val="ru-RU"/>
        </w:rPr>
        <w:t xml:space="preserve"> е плавателен съд, различен от </w:t>
      </w:r>
      <w:r w:rsidR="004470CB" w:rsidRPr="00F06DE2">
        <w:rPr>
          <w:rFonts w:ascii="Times New Roman" w:hAnsi="Times New Roman" w:cs="Times New Roman"/>
          <w:sz w:val="24"/>
          <w:szCs w:val="24"/>
          <w:lang w:val="ru-RU"/>
        </w:rPr>
        <w:t xml:space="preserve">тласкаем </w:t>
      </w:r>
      <w:r w:rsidRPr="00F06DE2">
        <w:rPr>
          <w:rFonts w:ascii="Times New Roman" w:hAnsi="Times New Roman" w:cs="Times New Roman"/>
          <w:sz w:val="24"/>
          <w:szCs w:val="24"/>
          <w:lang w:val="ru-RU"/>
        </w:rPr>
        <w:t>танк-лихтер,</w:t>
      </w:r>
      <w:r w:rsidR="004470CB" w:rsidRPr="00F06DE2">
        <w:rPr>
          <w:rFonts w:ascii="Times New Roman" w:hAnsi="Times New Roman" w:cs="Times New Roman"/>
          <w:sz w:val="24"/>
          <w:szCs w:val="24"/>
          <w:lang w:val="ru-RU"/>
        </w:rPr>
        <w:t xml:space="preserve"> </w:t>
      </w:r>
      <w:r w:rsidRPr="00F06DE2">
        <w:rPr>
          <w:rFonts w:ascii="Times New Roman" w:hAnsi="Times New Roman" w:cs="Times New Roman"/>
          <w:sz w:val="24"/>
          <w:szCs w:val="24"/>
          <w:lang w:val="ru-RU"/>
        </w:rPr>
        <w:t xml:space="preserve">построен или специално модифициран да бъде тласкан, нямащ собствена </w:t>
      </w:r>
      <w:r w:rsidRPr="00F06DE2">
        <w:rPr>
          <w:rFonts w:ascii="Times New Roman" w:hAnsi="Times New Roman" w:cs="Times New Roman"/>
          <w:sz w:val="24"/>
          <w:szCs w:val="24"/>
          <w:lang w:val="ru-RU"/>
        </w:rPr>
        <w:lastRenderedPageBreak/>
        <w:t>механична уредба или имащ такава само за ограничени маневри, когато не е част от тласкан състав;</w:t>
      </w:r>
    </w:p>
    <w:p w14:paraId="451D0B78"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1.16</w:t>
      </w:r>
      <w:r w:rsidRPr="00F06DE2">
        <w:rPr>
          <w:rFonts w:ascii="Times New Roman" w:hAnsi="Times New Roman" w:cs="Times New Roman"/>
          <w:sz w:val="24"/>
          <w:szCs w:val="24"/>
          <w:lang w:val="ru-RU"/>
        </w:rPr>
        <w:tab/>
        <w:t>„Лихтер за морски превоз“ е лихтер, построен да бъде превозван на борда на морски кораб и за вътрешно корабоплаване;</w:t>
      </w:r>
    </w:p>
    <w:p w14:paraId="064DE6DE" w14:textId="61BCAB5B"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1.17</w:t>
      </w:r>
      <w:r w:rsidRPr="00F06DE2">
        <w:rPr>
          <w:rFonts w:ascii="Times New Roman" w:hAnsi="Times New Roman" w:cs="Times New Roman"/>
          <w:sz w:val="24"/>
          <w:szCs w:val="24"/>
          <w:lang w:val="ru-RU"/>
        </w:rPr>
        <w:tab/>
        <w:t>„Пътнически</w:t>
      </w:r>
      <w:r w:rsidR="007C4C35" w:rsidRPr="00F06DE2">
        <w:rPr>
          <w:rFonts w:ascii="Times New Roman" w:hAnsi="Times New Roman" w:cs="Times New Roman"/>
          <w:sz w:val="24"/>
          <w:szCs w:val="24"/>
          <w:lang w:val="ru-RU"/>
        </w:rPr>
        <w:t xml:space="preserve"> </w:t>
      </w:r>
      <w:r w:rsidR="009965DE" w:rsidRPr="00F06DE2">
        <w:rPr>
          <w:rFonts w:ascii="Times New Roman" w:hAnsi="Times New Roman" w:cs="Times New Roman"/>
          <w:sz w:val="24"/>
          <w:szCs w:val="24"/>
          <w:lang w:val="ru-RU"/>
        </w:rPr>
        <w:t>кораб</w:t>
      </w:r>
      <w:r w:rsidRPr="00F06DE2">
        <w:rPr>
          <w:rFonts w:ascii="Times New Roman" w:hAnsi="Times New Roman" w:cs="Times New Roman"/>
          <w:sz w:val="24"/>
          <w:szCs w:val="24"/>
          <w:lang w:val="ru-RU"/>
        </w:rPr>
        <w:t xml:space="preserve">“ е </w:t>
      </w:r>
      <w:r w:rsidR="00745193" w:rsidRPr="00F06DE2">
        <w:rPr>
          <w:rFonts w:ascii="Times New Roman" w:hAnsi="Times New Roman" w:cs="Times New Roman"/>
          <w:sz w:val="24"/>
          <w:szCs w:val="24"/>
          <w:lang w:val="ru-RU"/>
        </w:rPr>
        <w:t>кораб</w:t>
      </w:r>
      <w:r w:rsidRPr="00F06DE2">
        <w:rPr>
          <w:rFonts w:ascii="Times New Roman" w:hAnsi="Times New Roman" w:cs="Times New Roman"/>
          <w:sz w:val="24"/>
          <w:szCs w:val="24"/>
          <w:lang w:val="ru-RU"/>
        </w:rPr>
        <w:t xml:space="preserve"> за дневно пътуване или с кабини, построен и екипиран да превозва повече от 12 пътника;</w:t>
      </w:r>
    </w:p>
    <w:p w14:paraId="759E982E" w14:textId="01246B21"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1.18</w:t>
      </w:r>
      <w:r w:rsidRPr="00F06DE2">
        <w:rPr>
          <w:rFonts w:ascii="Times New Roman" w:hAnsi="Times New Roman" w:cs="Times New Roman"/>
          <w:sz w:val="24"/>
          <w:szCs w:val="24"/>
          <w:lang w:val="ru-RU"/>
        </w:rPr>
        <w:tab/>
        <w:t>„</w:t>
      </w:r>
      <w:r w:rsidR="009965DE" w:rsidRPr="00F06DE2">
        <w:rPr>
          <w:rFonts w:ascii="Times New Roman" w:hAnsi="Times New Roman" w:cs="Times New Roman"/>
          <w:sz w:val="24"/>
          <w:szCs w:val="24"/>
          <w:lang w:val="ru-RU"/>
        </w:rPr>
        <w:t xml:space="preserve">Пътнически </w:t>
      </w:r>
      <w:r w:rsidR="004132C3" w:rsidRPr="00F06DE2">
        <w:rPr>
          <w:rFonts w:ascii="Times New Roman" w:hAnsi="Times New Roman" w:cs="Times New Roman"/>
          <w:sz w:val="24"/>
          <w:szCs w:val="24"/>
          <w:lang w:val="ru-RU"/>
        </w:rPr>
        <w:t>ветроходен кораб</w:t>
      </w:r>
      <w:r w:rsidRPr="00F06DE2">
        <w:rPr>
          <w:rFonts w:ascii="Times New Roman" w:hAnsi="Times New Roman" w:cs="Times New Roman"/>
          <w:sz w:val="24"/>
          <w:szCs w:val="24"/>
          <w:lang w:val="ru-RU"/>
        </w:rPr>
        <w:t>“ е пътническо плавателно средство, построено и екипирано да може да бъде задвижвано и с платна;</w:t>
      </w:r>
    </w:p>
    <w:p w14:paraId="60410C21" w14:textId="22A27714"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1.19</w:t>
      </w:r>
      <w:r w:rsidRPr="00F06DE2">
        <w:rPr>
          <w:rFonts w:ascii="Times New Roman" w:hAnsi="Times New Roman" w:cs="Times New Roman"/>
          <w:sz w:val="24"/>
          <w:szCs w:val="24"/>
          <w:lang w:val="ru-RU"/>
        </w:rPr>
        <w:tab/>
        <w:t>„</w:t>
      </w:r>
      <w:r w:rsidR="00BE2F23" w:rsidRPr="00F06DE2">
        <w:rPr>
          <w:rFonts w:ascii="Times New Roman" w:hAnsi="Times New Roman" w:cs="Times New Roman"/>
          <w:sz w:val="24"/>
          <w:szCs w:val="24"/>
          <w:lang w:val="ru-RU"/>
        </w:rPr>
        <w:t>Пътнически к</w:t>
      </w:r>
      <w:r w:rsidR="00745193" w:rsidRPr="00F06DE2">
        <w:rPr>
          <w:rFonts w:ascii="Times New Roman" w:hAnsi="Times New Roman" w:cs="Times New Roman"/>
          <w:sz w:val="24"/>
          <w:szCs w:val="24"/>
          <w:lang w:val="ru-RU"/>
        </w:rPr>
        <w:t>ораб</w:t>
      </w:r>
      <w:r w:rsidRPr="00F06DE2">
        <w:rPr>
          <w:rFonts w:ascii="Times New Roman" w:hAnsi="Times New Roman" w:cs="Times New Roman"/>
          <w:sz w:val="24"/>
          <w:szCs w:val="24"/>
          <w:lang w:val="ru-RU"/>
        </w:rPr>
        <w:t xml:space="preserve"> за дневно пътуване“ е пътнически </w:t>
      </w:r>
      <w:r w:rsidR="00BE2F23" w:rsidRPr="00F06DE2">
        <w:rPr>
          <w:rFonts w:ascii="Times New Roman" w:hAnsi="Times New Roman" w:cs="Times New Roman"/>
          <w:sz w:val="24"/>
          <w:szCs w:val="24"/>
          <w:lang w:val="ru-RU"/>
        </w:rPr>
        <w:t xml:space="preserve">кораб </w:t>
      </w:r>
      <w:r w:rsidRPr="00F06DE2">
        <w:rPr>
          <w:rFonts w:ascii="Times New Roman" w:hAnsi="Times New Roman" w:cs="Times New Roman"/>
          <w:sz w:val="24"/>
          <w:szCs w:val="24"/>
          <w:lang w:val="ru-RU"/>
        </w:rPr>
        <w:t xml:space="preserve">без кабини за нощуване на пътниците; </w:t>
      </w:r>
    </w:p>
    <w:p w14:paraId="3A7B2BB9" w14:textId="4DBF07F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1.20</w:t>
      </w:r>
      <w:r w:rsidRPr="00F06DE2">
        <w:rPr>
          <w:rFonts w:ascii="Times New Roman" w:hAnsi="Times New Roman" w:cs="Times New Roman"/>
          <w:sz w:val="24"/>
          <w:szCs w:val="24"/>
          <w:lang w:val="ru-RU"/>
        </w:rPr>
        <w:tab/>
        <w:t>„</w:t>
      </w:r>
      <w:r w:rsidR="009B13CE" w:rsidRPr="00F06DE2">
        <w:rPr>
          <w:rFonts w:ascii="Times New Roman" w:hAnsi="Times New Roman" w:cs="Times New Roman"/>
          <w:sz w:val="24"/>
          <w:szCs w:val="24"/>
          <w:lang w:val="ru-RU"/>
        </w:rPr>
        <w:t xml:space="preserve">Пътнически кораб </w:t>
      </w:r>
      <w:r w:rsidRPr="00F06DE2">
        <w:rPr>
          <w:rFonts w:ascii="Times New Roman" w:hAnsi="Times New Roman" w:cs="Times New Roman"/>
          <w:sz w:val="24"/>
          <w:szCs w:val="24"/>
          <w:lang w:val="ru-RU"/>
        </w:rPr>
        <w:t>с кабини“ е пътнически плавателен съд с кабини за нощуване на пътниците;</w:t>
      </w:r>
    </w:p>
    <w:p w14:paraId="22493AF7" w14:textId="52C66C1B"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1.21</w:t>
      </w:r>
      <w:r w:rsidRPr="00F06DE2">
        <w:rPr>
          <w:rFonts w:ascii="Times New Roman" w:hAnsi="Times New Roman" w:cs="Times New Roman"/>
          <w:sz w:val="24"/>
          <w:szCs w:val="24"/>
          <w:lang w:val="ru-RU"/>
        </w:rPr>
        <w:tab/>
        <w:t xml:space="preserve">„Високоскоростен </w:t>
      </w:r>
      <w:r w:rsidR="009B13CE" w:rsidRPr="00F06DE2">
        <w:rPr>
          <w:rFonts w:ascii="Times New Roman" w:hAnsi="Times New Roman" w:cs="Times New Roman"/>
          <w:sz w:val="24"/>
          <w:szCs w:val="24"/>
          <w:lang w:val="ru-RU"/>
        </w:rPr>
        <w:t>кораб</w:t>
      </w:r>
      <w:r w:rsidRPr="00F06DE2">
        <w:rPr>
          <w:rFonts w:ascii="Times New Roman" w:hAnsi="Times New Roman" w:cs="Times New Roman"/>
          <w:sz w:val="24"/>
          <w:szCs w:val="24"/>
          <w:lang w:val="ru-RU"/>
        </w:rPr>
        <w:t>“ е плавателно средство способно да развива скорост над 40</w:t>
      </w:r>
      <w:r w:rsidR="00811357" w:rsidRPr="00F06DE2">
        <w:rPr>
          <w:rFonts w:ascii="Times New Roman" w:hAnsi="Times New Roman" w:cs="Times New Roman"/>
          <w:sz w:val="24"/>
          <w:szCs w:val="24"/>
          <w:lang w:val="ru-RU"/>
        </w:rPr>
        <w:t> </w:t>
      </w:r>
      <w:r w:rsidRPr="00F06DE2">
        <w:rPr>
          <w:rFonts w:ascii="Times New Roman" w:hAnsi="Times New Roman" w:cs="Times New Roman"/>
          <w:sz w:val="24"/>
          <w:szCs w:val="24"/>
        </w:rPr>
        <w:t>km</w:t>
      </w:r>
      <w:r w:rsidRPr="00F06DE2">
        <w:rPr>
          <w:rFonts w:ascii="Times New Roman" w:hAnsi="Times New Roman" w:cs="Times New Roman"/>
          <w:sz w:val="24"/>
          <w:szCs w:val="24"/>
          <w:lang w:val="ru-RU"/>
        </w:rPr>
        <w:t>/</w:t>
      </w:r>
      <w:r w:rsidRPr="00F06DE2">
        <w:rPr>
          <w:rFonts w:ascii="Times New Roman" w:hAnsi="Times New Roman" w:cs="Times New Roman"/>
          <w:sz w:val="24"/>
          <w:szCs w:val="24"/>
        </w:rPr>
        <w:t>h</w:t>
      </w:r>
      <w:r w:rsidRPr="00F06DE2">
        <w:rPr>
          <w:rFonts w:ascii="Times New Roman" w:hAnsi="Times New Roman" w:cs="Times New Roman"/>
          <w:sz w:val="24"/>
          <w:szCs w:val="24"/>
          <w:lang w:val="ru-RU"/>
        </w:rPr>
        <w:t xml:space="preserve"> спрямо водата;</w:t>
      </w:r>
    </w:p>
    <w:p w14:paraId="6E67D8A4"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1.22</w:t>
      </w:r>
      <w:r w:rsidRPr="00F06DE2">
        <w:rPr>
          <w:rFonts w:ascii="Times New Roman" w:hAnsi="Times New Roman" w:cs="Times New Roman"/>
          <w:sz w:val="24"/>
          <w:szCs w:val="24"/>
          <w:lang w:val="ru-RU"/>
        </w:rPr>
        <w:tab/>
        <w:t>„Плаващо съоръжение“ е плаваща инсталация, носеща механично оборудване, например кранове, драги, екскаватори или елеватори;</w:t>
      </w:r>
    </w:p>
    <w:p w14:paraId="20EEED49" w14:textId="77777777" w:rsidR="00271FA2" w:rsidRPr="00F06DE2" w:rsidRDefault="00D35E51" w:rsidP="000B2E40">
      <w:pPr>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1.23</w:t>
      </w:r>
      <w:r w:rsidRPr="00F06DE2">
        <w:rPr>
          <w:rFonts w:ascii="Times New Roman" w:hAnsi="Times New Roman" w:cs="Times New Roman"/>
          <w:sz w:val="24"/>
          <w:szCs w:val="24"/>
          <w:lang w:val="ru-RU"/>
        </w:rPr>
        <w:tab/>
        <w:t xml:space="preserve">„Плаващо работно средство“ е плавателен съд, построен и екипиран за ползване на работни участъци, като баржа за мелиоративни дейности, саморазтоварващи се или понтонни баржи, понтони или плавателни съдове за струпване на камъни; </w:t>
      </w:r>
    </w:p>
    <w:p w14:paraId="0911DDF8"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1.24</w:t>
      </w:r>
      <w:r w:rsidRPr="00F06DE2">
        <w:rPr>
          <w:rFonts w:ascii="Times New Roman" w:hAnsi="Times New Roman" w:cs="Times New Roman"/>
          <w:sz w:val="24"/>
          <w:szCs w:val="24"/>
          <w:lang w:val="ru-RU"/>
        </w:rPr>
        <w:tab/>
        <w:t>„Плавателно средство за отдих“ е плавателен съд, който не е пътнически плавателен съд и е предназначен за спорт или развлечение;</w:t>
      </w:r>
    </w:p>
    <w:p w14:paraId="0D7D1B69"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1.25</w:t>
      </w:r>
      <w:r w:rsidRPr="00F06DE2">
        <w:rPr>
          <w:rFonts w:ascii="Times New Roman" w:hAnsi="Times New Roman" w:cs="Times New Roman"/>
          <w:sz w:val="24"/>
          <w:szCs w:val="24"/>
          <w:lang w:val="ru-RU"/>
        </w:rPr>
        <w:tab/>
        <w:t>„Корабна лодка“ е лодка предназначена за превоз, спасяване на хора и имущество и за цели свързани с експлоатацията;</w:t>
      </w:r>
    </w:p>
    <w:p w14:paraId="139133FC"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1.26</w:t>
      </w:r>
      <w:r w:rsidRPr="00F06DE2">
        <w:rPr>
          <w:rFonts w:ascii="Times New Roman" w:hAnsi="Times New Roman" w:cs="Times New Roman"/>
          <w:sz w:val="24"/>
          <w:szCs w:val="24"/>
          <w:lang w:val="ru-RU"/>
        </w:rPr>
        <w:tab/>
        <w:t>„Плаващо устройство“ е плаваща конструкция, която обикновено не е предназначена за местене, като плаващ басейн, док, пристан или лодкостоянка;</w:t>
      </w:r>
    </w:p>
    <w:p w14:paraId="4483FDCC"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1.27</w:t>
      </w:r>
      <w:r w:rsidRPr="00F06DE2">
        <w:rPr>
          <w:rFonts w:ascii="Times New Roman" w:hAnsi="Times New Roman" w:cs="Times New Roman"/>
          <w:sz w:val="24"/>
          <w:szCs w:val="24"/>
          <w:lang w:val="ru-RU"/>
        </w:rPr>
        <w:tab/>
        <w:t>„Плаващ обект“ е сал или друга конструкция, обект или съкупност от обекти способна да плава, която не е плавателен съд или плаващо съоръжение или плаващо устройство;</w:t>
      </w:r>
    </w:p>
    <w:p w14:paraId="16AC5E3E" w14:textId="5F60908D"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1.28</w:t>
      </w:r>
      <w:r w:rsidRPr="00F06DE2">
        <w:rPr>
          <w:rFonts w:ascii="Times New Roman" w:hAnsi="Times New Roman" w:cs="Times New Roman"/>
          <w:sz w:val="24"/>
          <w:szCs w:val="24"/>
          <w:lang w:val="ru-RU"/>
        </w:rPr>
        <w:tab/>
        <w:t xml:space="preserve">„Традиционно плавателно средство“ е плавателно средство, което поради възрастта, техническото му състояние или постройка, неговата рядкост, значението му за запазване </w:t>
      </w:r>
      <w:r w:rsidRPr="00A73CE7">
        <w:rPr>
          <w:rFonts w:ascii="Times New Roman" w:hAnsi="Times New Roman" w:cs="Times New Roman"/>
          <w:sz w:val="24"/>
          <w:szCs w:val="24"/>
          <w:lang w:val="ru-RU"/>
        </w:rPr>
        <w:t>на традиционни принципи или способи на вътрешно корабоплаване или значението му за продължителен срок от историческа гледна точка, заслужава да бъде съхранен</w:t>
      </w:r>
      <w:r w:rsidR="00811357" w:rsidRPr="00A73CE7">
        <w:rPr>
          <w:rFonts w:ascii="Times New Roman" w:hAnsi="Times New Roman" w:cs="Times New Roman"/>
          <w:sz w:val="24"/>
          <w:szCs w:val="24"/>
          <w:lang w:val="ru-RU"/>
        </w:rPr>
        <w:t>о</w:t>
      </w:r>
      <w:r w:rsidRPr="00A73CE7">
        <w:rPr>
          <w:rFonts w:ascii="Times New Roman" w:hAnsi="Times New Roman" w:cs="Times New Roman"/>
          <w:sz w:val="24"/>
          <w:szCs w:val="24"/>
          <w:lang w:val="ru-RU"/>
        </w:rPr>
        <w:t xml:space="preserve"> и да се използва с демонстрационна цел в частност, или е реплика на такъв;</w:t>
      </w:r>
    </w:p>
    <w:p w14:paraId="6DA82FE9" w14:textId="7F44FA0C"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1.29</w:t>
      </w:r>
      <w:r w:rsidRPr="00F06DE2">
        <w:rPr>
          <w:rFonts w:ascii="Times New Roman" w:hAnsi="Times New Roman" w:cs="Times New Roman"/>
          <w:sz w:val="24"/>
          <w:szCs w:val="24"/>
          <w:lang w:val="ru-RU"/>
        </w:rPr>
        <w:tab/>
        <w:t>„Реплика на традиционно плавателно средство“ е плавателно средство, което в голяма степен е изградено от оригинални материали с помощта на подходящ метод на строителство, съгласно планове или шаблони за традиционно плавателно средство.</w:t>
      </w:r>
    </w:p>
    <w:p w14:paraId="6842F11B"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b/>
          <w:sz w:val="24"/>
          <w:szCs w:val="24"/>
          <w:lang w:val="ru-RU"/>
        </w:rPr>
        <w:t>2.</w:t>
      </w:r>
      <w:r w:rsidRPr="00F06DE2">
        <w:rPr>
          <w:rFonts w:ascii="Times New Roman" w:hAnsi="Times New Roman" w:cs="Times New Roman"/>
          <w:sz w:val="24"/>
          <w:szCs w:val="24"/>
          <w:lang w:val="ru-RU"/>
        </w:rPr>
        <w:tab/>
      </w:r>
      <w:r w:rsidRPr="00F06DE2">
        <w:rPr>
          <w:rFonts w:ascii="Times New Roman" w:hAnsi="Times New Roman" w:cs="Times New Roman"/>
          <w:b/>
          <w:sz w:val="24"/>
          <w:szCs w:val="24"/>
          <w:lang w:val="ru-RU"/>
        </w:rPr>
        <w:t>Съвкупности от плавателни средства</w:t>
      </w:r>
    </w:p>
    <w:p w14:paraId="6B289590"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2.1</w:t>
      </w:r>
      <w:r w:rsidRPr="00F06DE2">
        <w:rPr>
          <w:rFonts w:ascii="Times New Roman" w:hAnsi="Times New Roman" w:cs="Times New Roman"/>
          <w:sz w:val="24"/>
          <w:szCs w:val="24"/>
          <w:lang w:val="ru-RU"/>
        </w:rPr>
        <w:tab/>
        <w:t>„Състав“ е твърдо свързан или влачен състав от плавателни средства;</w:t>
      </w:r>
    </w:p>
    <w:p w14:paraId="0EFE9FB7"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2.2</w:t>
      </w:r>
      <w:r w:rsidRPr="00F06DE2">
        <w:rPr>
          <w:rFonts w:ascii="Times New Roman" w:hAnsi="Times New Roman" w:cs="Times New Roman"/>
          <w:sz w:val="24"/>
          <w:szCs w:val="24"/>
          <w:lang w:val="ru-RU"/>
        </w:rPr>
        <w:tab/>
        <w:t>„Формирование“е начинът, по който е образуван съставът от плавателни средства;</w:t>
      </w:r>
    </w:p>
    <w:p w14:paraId="5941E042"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2.3</w:t>
      </w:r>
      <w:r w:rsidRPr="00F06DE2">
        <w:rPr>
          <w:rFonts w:ascii="Times New Roman" w:hAnsi="Times New Roman" w:cs="Times New Roman"/>
          <w:sz w:val="24"/>
          <w:szCs w:val="24"/>
          <w:lang w:val="ru-RU"/>
        </w:rPr>
        <w:tab/>
        <w:t>„Твърдо свързан състав“</w:t>
      </w:r>
      <w:r w:rsidR="00DE2787" w:rsidRPr="00F06DE2">
        <w:rPr>
          <w:rFonts w:ascii="Times New Roman" w:hAnsi="Times New Roman" w:cs="Times New Roman"/>
          <w:sz w:val="24"/>
          <w:szCs w:val="24"/>
          <w:lang w:val="ru-RU"/>
        </w:rPr>
        <w:t xml:space="preserve"> </w:t>
      </w:r>
      <w:r w:rsidRPr="00F06DE2">
        <w:rPr>
          <w:rFonts w:ascii="Times New Roman" w:hAnsi="Times New Roman" w:cs="Times New Roman"/>
          <w:sz w:val="24"/>
          <w:szCs w:val="24"/>
          <w:lang w:val="ru-RU"/>
        </w:rPr>
        <w:t>е тласкан състав или бордово свързана група;</w:t>
      </w:r>
    </w:p>
    <w:p w14:paraId="4F452755"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2.4</w:t>
      </w:r>
      <w:r w:rsidRPr="00F06DE2">
        <w:rPr>
          <w:rFonts w:ascii="Times New Roman" w:hAnsi="Times New Roman" w:cs="Times New Roman"/>
          <w:sz w:val="24"/>
          <w:szCs w:val="24"/>
          <w:lang w:val="ru-RU"/>
        </w:rPr>
        <w:tab/>
        <w:t xml:space="preserve">„Тласкан състав“ е съвкупност от твърдо свързани плавателни средства, най-малко едно от които е разположено пред плавателното средство, обезпечаващо придвижването на </w:t>
      </w:r>
      <w:r w:rsidRPr="00F06DE2">
        <w:rPr>
          <w:rFonts w:ascii="Times New Roman" w:hAnsi="Times New Roman" w:cs="Times New Roman"/>
          <w:sz w:val="24"/>
          <w:szCs w:val="24"/>
          <w:lang w:val="ru-RU"/>
        </w:rPr>
        <w:lastRenderedPageBreak/>
        <w:t>състава, наричано „тласкач“; състав, състоящ се от тласкач и тласкани плавателни средства, при съединяването на които се допуска подвижност във връзката, също се разглежда като твърдо свързан състав;</w:t>
      </w:r>
    </w:p>
    <w:p w14:paraId="2B02BC2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2.5</w:t>
      </w:r>
      <w:r w:rsidRPr="00F06DE2">
        <w:rPr>
          <w:rFonts w:ascii="Times New Roman" w:hAnsi="Times New Roman" w:cs="Times New Roman"/>
          <w:sz w:val="24"/>
          <w:szCs w:val="24"/>
          <w:lang w:val="ru-RU"/>
        </w:rPr>
        <w:tab/>
        <w:t>„Бордово свързана група“ е съвкупност от плавателни средства, твърдо свързани борд към борд, нито едно от които не е разположено пред плавателното средство, задвижващо съвкупността;</w:t>
      </w:r>
    </w:p>
    <w:p w14:paraId="22F9CB16"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2.6</w:t>
      </w:r>
      <w:r w:rsidRPr="00F06DE2">
        <w:rPr>
          <w:rFonts w:ascii="Times New Roman" w:hAnsi="Times New Roman" w:cs="Times New Roman"/>
          <w:sz w:val="24"/>
          <w:szCs w:val="24"/>
          <w:lang w:val="ru-RU"/>
        </w:rPr>
        <w:tab/>
        <w:t>„Влачен състав“ е съвкупност от едно или повече плавателни средства, плаващи устройства или плаващи обекти, влачени от едно или повече самоходни плавателни средства, явяващи се част от състава.</w:t>
      </w:r>
    </w:p>
    <w:p w14:paraId="63F0E26E" w14:textId="77777777" w:rsidR="00271FA2" w:rsidRPr="00F06DE2" w:rsidRDefault="00D35E51" w:rsidP="000B2E40">
      <w:pPr>
        <w:pStyle w:val="ESch"/>
        <w:jc w:val="both"/>
        <w:rPr>
          <w:rFonts w:ascii="Times New Roman" w:hAnsi="Times New Roman" w:cs="Times New Roman"/>
          <w:b/>
          <w:sz w:val="24"/>
          <w:szCs w:val="24"/>
          <w:lang w:val="ru-RU"/>
        </w:rPr>
      </w:pPr>
      <w:r w:rsidRPr="00F06DE2">
        <w:rPr>
          <w:rFonts w:ascii="Times New Roman" w:hAnsi="Times New Roman" w:cs="Times New Roman"/>
          <w:b/>
          <w:sz w:val="24"/>
          <w:szCs w:val="24"/>
          <w:lang w:val="ru-RU"/>
        </w:rPr>
        <w:t>3.</w:t>
      </w:r>
      <w:r w:rsidRPr="00F06DE2">
        <w:rPr>
          <w:rFonts w:ascii="Times New Roman" w:hAnsi="Times New Roman" w:cs="Times New Roman"/>
          <w:sz w:val="24"/>
          <w:szCs w:val="24"/>
          <w:lang w:val="ru-RU"/>
        </w:rPr>
        <w:tab/>
      </w:r>
      <w:r w:rsidRPr="00F06DE2">
        <w:rPr>
          <w:rFonts w:ascii="Times New Roman" w:hAnsi="Times New Roman" w:cs="Times New Roman"/>
          <w:b/>
          <w:sz w:val="24"/>
          <w:szCs w:val="24"/>
          <w:lang w:val="ru-RU"/>
        </w:rPr>
        <w:t>Особени зони на борда</w:t>
      </w:r>
    </w:p>
    <w:p w14:paraId="2B2B9531"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w:t>
      </w:r>
      <w:r w:rsidRPr="00F06DE2">
        <w:rPr>
          <w:rFonts w:ascii="Times New Roman" w:hAnsi="Times New Roman" w:cs="Times New Roman"/>
          <w:sz w:val="24"/>
          <w:szCs w:val="24"/>
          <w:lang w:val="ru-RU"/>
        </w:rPr>
        <w:tab/>
        <w:t>„Главно машинно отделение“ е помещение, в което са монтирани двигателите за задвижването;</w:t>
      </w:r>
    </w:p>
    <w:p w14:paraId="42073C9C"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3.2</w:t>
      </w:r>
      <w:r w:rsidRPr="00F06DE2">
        <w:rPr>
          <w:rFonts w:ascii="Times New Roman" w:hAnsi="Times New Roman" w:cs="Times New Roman"/>
          <w:sz w:val="24"/>
          <w:szCs w:val="24"/>
          <w:lang w:val="ru-RU"/>
        </w:rPr>
        <w:tab/>
        <w:t>„Машинно отделение“ е помещение, в което са монтирани двигатели с вътрешно горене;</w:t>
      </w:r>
    </w:p>
    <w:p w14:paraId="2AAD1546"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3.3</w:t>
      </w:r>
      <w:r w:rsidRPr="00F06DE2">
        <w:rPr>
          <w:rFonts w:ascii="Times New Roman" w:hAnsi="Times New Roman" w:cs="Times New Roman"/>
          <w:sz w:val="24"/>
          <w:szCs w:val="24"/>
          <w:lang w:val="ru-RU"/>
        </w:rPr>
        <w:tab/>
        <w:t>„Котелно отделение“ е помещение с работещи с гориво установки, предназначени за производство на пара или подгряване на течен топлоносител;</w:t>
      </w:r>
    </w:p>
    <w:p w14:paraId="4D15E7C9" w14:textId="4B498979"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3.4</w:t>
      </w:r>
      <w:r w:rsidRPr="00F06DE2">
        <w:rPr>
          <w:rFonts w:ascii="Times New Roman" w:hAnsi="Times New Roman" w:cs="Times New Roman"/>
          <w:sz w:val="24"/>
          <w:szCs w:val="24"/>
          <w:lang w:val="ru-RU"/>
        </w:rPr>
        <w:tab/>
        <w:t xml:space="preserve">„Електрическо сервизно помещение“ </w:t>
      </w:r>
      <w:r w:rsidR="001678F1" w:rsidRPr="00F06DE2">
        <w:rPr>
          <w:rFonts w:ascii="Times New Roman" w:hAnsi="Times New Roman" w:cs="Times New Roman"/>
          <w:sz w:val="24"/>
          <w:szCs w:val="24"/>
          <w:lang w:val="ru-RU"/>
        </w:rPr>
        <w:t>е</w:t>
      </w:r>
      <w:r w:rsidRPr="00F06DE2">
        <w:rPr>
          <w:rFonts w:ascii="Times New Roman" w:hAnsi="Times New Roman" w:cs="Times New Roman"/>
          <w:sz w:val="24"/>
          <w:szCs w:val="24"/>
          <w:lang w:val="ru-RU"/>
        </w:rPr>
        <w:t xml:space="preserve"> помещение, в което са разположени компоненти от електрическа задвижваща система като контролни табла или електрически двигатели и което не е машинно отделение;</w:t>
      </w:r>
    </w:p>
    <w:p w14:paraId="5C69DD30"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3.5</w:t>
      </w:r>
      <w:r w:rsidRPr="00F06DE2">
        <w:rPr>
          <w:rFonts w:ascii="Times New Roman" w:hAnsi="Times New Roman" w:cs="Times New Roman"/>
          <w:sz w:val="24"/>
          <w:szCs w:val="24"/>
          <w:lang w:val="ru-RU"/>
        </w:rPr>
        <w:tab/>
        <w:t>„Закрита надстройка“е водонепроницаема, твърда, непрекъсната конструкция с твърди стени, съединени с палубата по стабилен и водонепроницаем начин;</w:t>
      </w:r>
    </w:p>
    <w:p w14:paraId="64576C1A"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3.6</w:t>
      </w:r>
      <w:r w:rsidRPr="00F06DE2">
        <w:rPr>
          <w:rFonts w:ascii="Times New Roman" w:hAnsi="Times New Roman" w:cs="Times New Roman"/>
          <w:sz w:val="24"/>
          <w:szCs w:val="24"/>
          <w:lang w:val="ru-RU"/>
        </w:rPr>
        <w:tab/>
        <w:t>„Рулева рубка“ е помещението, в което са инсталирани всички прибори за управление и наблюдение, необходими за маневриране на плавателния съд;</w:t>
      </w:r>
    </w:p>
    <w:p w14:paraId="08DB1058" w14:textId="5BACC8D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3.7</w:t>
      </w:r>
      <w:r w:rsidRPr="00F06DE2">
        <w:rPr>
          <w:rFonts w:ascii="Times New Roman" w:hAnsi="Times New Roman" w:cs="Times New Roman"/>
          <w:sz w:val="24"/>
          <w:szCs w:val="24"/>
          <w:lang w:val="ru-RU"/>
        </w:rPr>
        <w:tab/>
        <w:t>„Жилищно помещение“ е пространство, предназначено за използване от лицата, които обикновено живеят на борда; такива помещения са камбузи, тоалетни и хигиенни помещения, перални, проходи, но не и рулевата рубка;</w:t>
      </w:r>
    </w:p>
    <w:p w14:paraId="570EACDA"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3.8</w:t>
      </w:r>
      <w:r w:rsidRPr="00F06DE2">
        <w:rPr>
          <w:rFonts w:ascii="Times New Roman" w:hAnsi="Times New Roman" w:cs="Times New Roman"/>
          <w:sz w:val="24"/>
          <w:szCs w:val="24"/>
          <w:lang w:val="ru-RU"/>
        </w:rPr>
        <w:tab/>
        <w:t>„Помещения за пътници“ са помещения на борда, предвидени за пътниците, и затворени места като салони, офиси, магазини, фризьорски салони, сушилни, перални, сауни, тоалетни, хигиенни помещения, свързващи коридори и стълбища, които не са оградени със стени;</w:t>
      </w:r>
    </w:p>
    <w:p w14:paraId="6909F977"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3.9</w:t>
      </w:r>
      <w:r w:rsidRPr="00F06DE2">
        <w:rPr>
          <w:rFonts w:ascii="Times New Roman" w:hAnsi="Times New Roman" w:cs="Times New Roman"/>
          <w:sz w:val="24"/>
          <w:szCs w:val="24"/>
          <w:lang w:val="ru-RU"/>
        </w:rPr>
        <w:tab/>
        <w:t>„Център за управление“ е рулева рубка, място, което съдържа авариен електрически захранващ агрегат или части от него или място с център, с постоянно присъствие на обслужващия персонал или членове на екипажа, например за оборудване на система за противопожарна сигнализация, дистанционно управление на врати или противопожарни клапани;</w:t>
      </w:r>
    </w:p>
    <w:p w14:paraId="3EB43501"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3.10</w:t>
      </w:r>
      <w:r w:rsidRPr="00F06DE2">
        <w:rPr>
          <w:rFonts w:ascii="Times New Roman" w:hAnsi="Times New Roman" w:cs="Times New Roman"/>
          <w:sz w:val="24"/>
          <w:szCs w:val="24"/>
          <w:lang w:val="ru-RU"/>
        </w:rPr>
        <w:tab/>
        <w:t>„Стълбищна шахта“ е клетката на вътрешно стълбище или на асансьор;</w:t>
      </w:r>
    </w:p>
    <w:p w14:paraId="22623AFC"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3.11</w:t>
      </w:r>
      <w:r w:rsidRPr="00F06DE2">
        <w:rPr>
          <w:rFonts w:ascii="Times New Roman" w:hAnsi="Times New Roman" w:cs="Times New Roman"/>
          <w:sz w:val="24"/>
          <w:szCs w:val="24"/>
          <w:lang w:val="ru-RU"/>
        </w:rPr>
        <w:tab/>
        <w:t>„Салон“ е жилищно помещение или помещение за пътници. На борда на пътническите плавателни съдове камбузът не се разглежда като салон;</w:t>
      </w:r>
    </w:p>
    <w:p w14:paraId="2D7DA44C"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3.12</w:t>
      </w:r>
      <w:r w:rsidRPr="00F06DE2">
        <w:rPr>
          <w:rFonts w:ascii="Times New Roman" w:hAnsi="Times New Roman" w:cs="Times New Roman"/>
          <w:sz w:val="24"/>
          <w:szCs w:val="24"/>
          <w:lang w:val="ru-RU"/>
        </w:rPr>
        <w:tab/>
        <w:t>„Камбуз“ е помещение с печка или друг подобен уред за готвене;</w:t>
      </w:r>
    </w:p>
    <w:p w14:paraId="4814CDC7"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3.13</w:t>
      </w:r>
      <w:r w:rsidRPr="00F06DE2">
        <w:rPr>
          <w:rFonts w:ascii="Times New Roman" w:hAnsi="Times New Roman" w:cs="Times New Roman"/>
          <w:sz w:val="24"/>
          <w:szCs w:val="24"/>
          <w:lang w:val="ru-RU"/>
        </w:rPr>
        <w:tab/>
        <w:t>„Складово помещение“ е помещение за съхранение на запалими течности или помещение с площ над 4</w:t>
      </w:r>
      <w:r w:rsidRPr="00F06DE2">
        <w:rPr>
          <w:rFonts w:ascii="Times New Roman" w:hAnsi="Times New Roman" w:cs="Times New Roman"/>
          <w:sz w:val="24"/>
          <w:szCs w:val="24"/>
        </w:rPr>
        <w:t> m</w:t>
      </w:r>
      <w:r w:rsidRPr="00F06DE2">
        <w:rPr>
          <w:rFonts w:ascii="Times New Roman" w:hAnsi="Times New Roman" w:cs="Times New Roman"/>
          <w:sz w:val="24"/>
          <w:szCs w:val="24"/>
          <w:vertAlign w:val="superscript"/>
          <w:lang w:val="ru-RU"/>
        </w:rPr>
        <w:t>2</w:t>
      </w:r>
      <w:r w:rsidRPr="00F06DE2">
        <w:rPr>
          <w:rFonts w:ascii="Times New Roman" w:hAnsi="Times New Roman" w:cs="Times New Roman"/>
          <w:sz w:val="24"/>
          <w:szCs w:val="24"/>
          <w:lang w:val="ru-RU"/>
        </w:rPr>
        <w:t xml:space="preserve"> за съхранение на провизии;</w:t>
      </w:r>
    </w:p>
    <w:p w14:paraId="612720C9"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3.14</w:t>
      </w:r>
      <w:r w:rsidRPr="00F06DE2">
        <w:rPr>
          <w:rFonts w:ascii="Times New Roman" w:hAnsi="Times New Roman" w:cs="Times New Roman"/>
          <w:sz w:val="24"/>
          <w:szCs w:val="24"/>
          <w:lang w:val="ru-RU"/>
        </w:rPr>
        <w:tab/>
        <w:t xml:space="preserve">„Трюм“ е част от плавателния съд, ограничена от носови и кърмови прегради, открита или закрита посредством капаци на люкове, предназначена за превоз на стоки, които са </w:t>
      </w:r>
      <w:r w:rsidRPr="00F06DE2">
        <w:rPr>
          <w:rFonts w:ascii="Times New Roman" w:hAnsi="Times New Roman" w:cs="Times New Roman"/>
          <w:sz w:val="24"/>
          <w:szCs w:val="24"/>
          <w:lang w:val="ru-RU"/>
        </w:rPr>
        <w:lastRenderedPageBreak/>
        <w:t>опаковани или насипни, или за поместване на резервоари, непредставляващи част от корпуса;</w:t>
      </w:r>
    </w:p>
    <w:p w14:paraId="3521A286"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3.15</w:t>
      </w:r>
      <w:r w:rsidRPr="00F06DE2">
        <w:rPr>
          <w:rFonts w:ascii="Times New Roman" w:hAnsi="Times New Roman" w:cs="Times New Roman"/>
          <w:sz w:val="24"/>
          <w:szCs w:val="24"/>
          <w:lang w:val="ru-RU"/>
        </w:rPr>
        <w:tab/>
        <w:t>„Неподвижно закрепен резервоар“ е резервоар, съединен с плавателния съд, стените на който са образувани от самия корпус или са отделени от корпуса;</w:t>
      </w:r>
    </w:p>
    <w:p w14:paraId="6664D0E9"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3.16</w:t>
      </w:r>
      <w:r w:rsidRPr="00F06DE2">
        <w:rPr>
          <w:rFonts w:ascii="Times New Roman" w:hAnsi="Times New Roman" w:cs="Times New Roman"/>
          <w:sz w:val="24"/>
          <w:szCs w:val="24"/>
          <w:lang w:val="ru-RU"/>
        </w:rPr>
        <w:tab/>
        <w:t>„Работно място“е мястото, където членовете на екипажа изпълняват своите задължения, включително траповете, крановете и корабните лодки;</w:t>
      </w:r>
    </w:p>
    <w:p w14:paraId="44AF5981"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3.17</w:t>
      </w:r>
      <w:r w:rsidRPr="00F06DE2">
        <w:rPr>
          <w:rFonts w:ascii="Times New Roman" w:hAnsi="Times New Roman" w:cs="Times New Roman"/>
          <w:sz w:val="24"/>
          <w:szCs w:val="24"/>
          <w:lang w:val="ru-RU"/>
        </w:rPr>
        <w:tab/>
        <w:t>„Проход“е място, предназначено за нормално придвижване на лица и товари;</w:t>
      </w:r>
    </w:p>
    <w:p w14:paraId="1609820F" w14:textId="4BF61FF0"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3.18</w:t>
      </w:r>
      <w:r w:rsidRPr="00F06DE2">
        <w:rPr>
          <w:rFonts w:ascii="Times New Roman" w:hAnsi="Times New Roman" w:cs="Times New Roman"/>
          <w:sz w:val="24"/>
          <w:szCs w:val="24"/>
          <w:lang w:val="ru-RU"/>
        </w:rPr>
        <w:tab/>
        <w:t>„Безопасна зона“е зоната, ограничена отвън от вертикална повърхност, преминаваща на разстояние 1/5</w:t>
      </w:r>
      <w:r w:rsidR="001678F1" w:rsidRPr="00F06DE2">
        <w:rPr>
          <w:rFonts w:ascii="Times New Roman" w:hAnsi="Times New Roman" w:cs="Times New Roman"/>
          <w:sz w:val="24"/>
          <w:szCs w:val="24"/>
          <w:lang w:val="ru-RU"/>
        </w:rPr>
        <w:t> </w:t>
      </w:r>
      <m:oMath>
        <m:r>
          <w:rPr>
            <w:rFonts w:ascii="Cambria Math" w:hAnsi="Cambria Math" w:cs="Times New Roman"/>
            <w:sz w:val="24"/>
            <w:szCs w:val="24"/>
          </w:rPr>
          <m:t>B</m:t>
        </m:r>
        <m:r>
          <w:rPr>
            <w:rFonts w:ascii="Cambria Math" w:eastAsia="Calibri" w:hAnsi="Cambria Math" w:cs="Times New Roman"/>
            <w:snapToGrid w:val="0"/>
            <w:color w:val="000000"/>
            <w:position w:val="-6"/>
            <w:sz w:val="24"/>
            <w:szCs w:val="24"/>
          </w:rPr>
          <m:t>WL</m:t>
        </m:r>
      </m:oMath>
      <w:r w:rsidRPr="00F06DE2">
        <w:rPr>
          <w:rFonts w:ascii="Times New Roman" w:hAnsi="Times New Roman" w:cs="Times New Roman"/>
          <w:sz w:val="24"/>
          <w:szCs w:val="24"/>
          <w:lang w:val="ru-RU"/>
        </w:rPr>
        <w:t xml:space="preserve"> успоредно на контура на корпуса в равнината на максималното газене;</w:t>
      </w:r>
    </w:p>
    <w:p w14:paraId="05CF24E9"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3.19</w:t>
      </w:r>
      <w:r w:rsidRPr="00F06DE2">
        <w:rPr>
          <w:rFonts w:ascii="Times New Roman" w:hAnsi="Times New Roman" w:cs="Times New Roman"/>
          <w:sz w:val="24"/>
          <w:szCs w:val="24"/>
          <w:lang w:val="ru-RU"/>
        </w:rPr>
        <w:tab/>
        <w:t>„Сборни пунктове“ са части на плавателния съд, които са специално защитени и в които хората се събират в случай на опасност;</w:t>
      </w:r>
    </w:p>
    <w:p w14:paraId="76C7BF9B" w14:textId="737830C4"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3.20</w:t>
      </w:r>
      <w:r w:rsidRPr="00F06DE2">
        <w:rPr>
          <w:rFonts w:ascii="Times New Roman" w:hAnsi="Times New Roman" w:cs="Times New Roman"/>
          <w:sz w:val="24"/>
          <w:szCs w:val="24"/>
          <w:lang w:val="ru-RU"/>
        </w:rPr>
        <w:tab/>
        <w:t>„Пунктове за евакуация“</w:t>
      </w:r>
      <w:r w:rsidR="00156F70" w:rsidRPr="00F06DE2">
        <w:rPr>
          <w:rFonts w:ascii="Times New Roman" w:hAnsi="Times New Roman" w:cs="Times New Roman"/>
          <w:sz w:val="24"/>
          <w:szCs w:val="24"/>
          <w:lang w:val="ru-RU"/>
        </w:rPr>
        <w:t xml:space="preserve"> са</w:t>
      </w:r>
      <w:r w:rsidRPr="00F06DE2">
        <w:rPr>
          <w:rFonts w:ascii="Times New Roman" w:hAnsi="Times New Roman" w:cs="Times New Roman"/>
          <w:sz w:val="24"/>
          <w:szCs w:val="24"/>
          <w:lang w:val="ru-RU"/>
        </w:rPr>
        <w:t xml:space="preserve"> места на плавателния съд, откъдето може да се осъществява евакуация на пътниците;</w:t>
      </w:r>
    </w:p>
    <w:p w14:paraId="680E89A7" w14:textId="290070CB" w:rsidR="00271FA2" w:rsidRPr="00F06DE2" w:rsidRDefault="00D35E51" w:rsidP="000B2E40">
      <w:pPr>
        <w:pStyle w:val="ESch"/>
        <w:spacing w:line="220" w:lineRule="atLeast"/>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3.21</w:t>
      </w:r>
      <w:r w:rsidRPr="00F06DE2">
        <w:rPr>
          <w:rFonts w:ascii="Times New Roman" w:hAnsi="Times New Roman" w:cs="Times New Roman"/>
          <w:sz w:val="24"/>
          <w:szCs w:val="24"/>
          <w:lang w:val="ru-RU"/>
        </w:rPr>
        <w:tab/>
        <w:t>„Експлозивна атмосфера“</w:t>
      </w:r>
      <w:r w:rsidR="00156F70" w:rsidRPr="00F06DE2">
        <w:rPr>
          <w:rFonts w:ascii="Times New Roman" w:hAnsi="Times New Roman" w:cs="Times New Roman"/>
          <w:sz w:val="24"/>
          <w:szCs w:val="24"/>
          <w:lang w:val="ru-RU"/>
        </w:rPr>
        <w:t xml:space="preserve"> е</w:t>
      </w:r>
      <w:r w:rsidRPr="00F06DE2">
        <w:rPr>
          <w:rFonts w:ascii="Times New Roman" w:hAnsi="Times New Roman" w:cs="Times New Roman"/>
          <w:sz w:val="24"/>
          <w:szCs w:val="24"/>
          <w:lang w:val="ru-RU"/>
        </w:rPr>
        <w:t xml:space="preserve"> смес с въздуха, при атмосферни условия, на запалими вещества под формата на газ, изпарения, прах, влакна или летящи частици, която, след като веднъж бъде запалена, позволява самостоятелно разпространение на пламъка;</w:t>
      </w:r>
    </w:p>
    <w:p w14:paraId="10C3BEB0"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3.22</w:t>
      </w:r>
      <w:r w:rsidRPr="00F06DE2">
        <w:rPr>
          <w:rFonts w:ascii="Times New Roman" w:hAnsi="Times New Roman" w:cs="Times New Roman"/>
          <w:sz w:val="24"/>
          <w:szCs w:val="24"/>
          <w:lang w:val="ru-RU"/>
        </w:rPr>
        <w:tab/>
        <w:t>„Опасна зона“ е зона, в която е налице или може да се очаква да е налице атмосфера, съдържаща експлозивни газове в количества, изискващи специални предпазни мерки относно конструкцията, инсталирането и използването на оборудването;</w:t>
      </w:r>
    </w:p>
    <w:p w14:paraId="40771272" w14:textId="77777777" w:rsidR="00271FA2" w:rsidRPr="00B85CD5" w:rsidRDefault="00D35E51" w:rsidP="000B2E40">
      <w:pPr>
        <w:adjustRightInd w:val="0"/>
        <w:ind w:left="567" w:hanging="567"/>
        <w:jc w:val="both"/>
        <w:rPr>
          <w:rFonts w:ascii="Times New Roman" w:hAnsi="Times New Roman" w:cs="Times New Roman"/>
          <w:sz w:val="24"/>
          <w:szCs w:val="24"/>
          <w:lang w:val="ru-RU"/>
        </w:rPr>
      </w:pPr>
      <w:r w:rsidRPr="00B85CD5">
        <w:rPr>
          <w:rFonts w:ascii="Times New Roman" w:hAnsi="Times New Roman" w:cs="Times New Roman"/>
          <w:sz w:val="24"/>
          <w:szCs w:val="24"/>
          <w:lang w:val="ru-RU"/>
        </w:rPr>
        <w:t>3.23</w:t>
      </w:r>
      <w:r w:rsidRPr="00B85CD5">
        <w:rPr>
          <w:rFonts w:ascii="Times New Roman" w:hAnsi="Times New Roman" w:cs="Times New Roman"/>
          <w:sz w:val="24"/>
          <w:szCs w:val="24"/>
          <w:lang w:val="ru-RU"/>
        </w:rPr>
        <w:tab/>
        <w:t>„Зони“ е класификация на опасните зони въз основа на честотата на възникване и времетраенето до разсейване на експлозивна атмосфера;</w:t>
      </w:r>
    </w:p>
    <w:p w14:paraId="330B7535" w14:textId="77777777" w:rsidR="00271FA2" w:rsidRPr="00F06DE2" w:rsidRDefault="00D35E51" w:rsidP="000B2E40">
      <w:pPr>
        <w:pStyle w:val="ESchpar"/>
        <w:jc w:val="both"/>
        <w:rPr>
          <w:rFonts w:ascii="Times New Roman" w:hAnsi="Times New Roman" w:cs="Times New Roman"/>
          <w:sz w:val="24"/>
          <w:szCs w:val="24"/>
          <w:lang w:val="ru-RU"/>
        </w:rPr>
      </w:pPr>
      <w:r w:rsidRPr="00B85CD5">
        <w:rPr>
          <w:rFonts w:ascii="Times New Roman" w:hAnsi="Times New Roman" w:cs="Times New Roman"/>
          <w:sz w:val="24"/>
          <w:szCs w:val="24"/>
          <w:lang w:val="ru-RU"/>
        </w:rPr>
        <w:t>„Зона 0“: зони, в които експлозивна атмосфера съществува</w:t>
      </w:r>
      <w:r w:rsidRPr="00F06DE2">
        <w:rPr>
          <w:rFonts w:ascii="Times New Roman" w:hAnsi="Times New Roman" w:cs="Times New Roman"/>
          <w:sz w:val="24"/>
          <w:szCs w:val="24"/>
          <w:lang w:val="ru-RU"/>
        </w:rPr>
        <w:t xml:space="preserve"> непрекъснато, или за дълги периоди, или често;</w:t>
      </w:r>
    </w:p>
    <w:p w14:paraId="599C4B44" w14:textId="77777777" w:rsidR="00271FA2" w:rsidRPr="00F06DE2" w:rsidRDefault="00D35E51" w:rsidP="000B2E40">
      <w:pPr>
        <w:pStyle w:val="ESchpar"/>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„Зона 1“: зони, в които при нормални условия на работа понякога е вероятно да възникне експлозивна атмосфера;</w:t>
      </w:r>
    </w:p>
    <w:p w14:paraId="5C0067D0" w14:textId="77777777" w:rsidR="00271FA2" w:rsidRPr="00F06DE2" w:rsidRDefault="00D35E51" w:rsidP="000B2E40">
      <w:pPr>
        <w:pStyle w:val="ESchpar"/>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„Зона 2“: зони, в които при нормални условия на работа не е вероятно да възникне експлозивна атмосфера, но дори и да възникне, ще се задържи само за кратък период. Тези зони включват зоните непосредствено граничещи със зона 1, които не са отделени една от друга по газонепроницаем начин;</w:t>
      </w:r>
    </w:p>
    <w:p w14:paraId="169B76EC" w14:textId="77777777" w:rsidR="00271FA2" w:rsidRPr="00F06DE2" w:rsidRDefault="00D35E51" w:rsidP="000B2E40">
      <w:pPr>
        <w:pStyle w:val="ESch"/>
        <w:jc w:val="both"/>
        <w:rPr>
          <w:rFonts w:ascii="Times New Roman" w:hAnsi="Times New Roman" w:cs="Times New Roman"/>
          <w:strike/>
          <w:sz w:val="24"/>
          <w:szCs w:val="24"/>
          <w:lang w:val="ru-RU"/>
        </w:rPr>
      </w:pPr>
      <w:r w:rsidRPr="00F06DE2">
        <w:rPr>
          <w:rFonts w:ascii="Times New Roman" w:hAnsi="Times New Roman" w:cs="Times New Roman"/>
          <w:sz w:val="24"/>
          <w:szCs w:val="24"/>
          <w:lang w:val="ru-RU"/>
        </w:rPr>
        <w:t>3.24</w:t>
      </w:r>
      <w:r w:rsidRPr="00F06DE2">
        <w:rPr>
          <w:rFonts w:ascii="Times New Roman" w:hAnsi="Times New Roman" w:cs="Times New Roman"/>
          <w:sz w:val="24"/>
          <w:szCs w:val="24"/>
          <w:lang w:val="ru-RU"/>
        </w:rPr>
        <w:tab/>
        <w:t>„Сертифициран обезопасен вид електрическо оборудване“ е</w:t>
      </w:r>
      <w:r w:rsidRPr="00F06DE2">
        <w:rPr>
          <w:rStyle w:val="FootnoteReference"/>
          <w:rFonts w:ascii="Times New Roman" w:hAnsi="Times New Roman" w:cs="Times New Roman"/>
          <w:sz w:val="24"/>
          <w:szCs w:val="24"/>
          <w:lang w:val="ru-RU"/>
        </w:rPr>
        <w:t xml:space="preserve"> </w:t>
      </w:r>
      <w:r w:rsidRPr="00F06DE2">
        <w:rPr>
          <w:rFonts w:ascii="Times New Roman" w:hAnsi="Times New Roman" w:cs="Times New Roman"/>
          <w:sz w:val="24"/>
          <w:szCs w:val="24"/>
          <w:lang w:val="ru-RU"/>
        </w:rPr>
        <w:t>електрическо оборудване, което е било изпитано и одобрено от компетентния орган по отношение на безопасността на експлоатация в експлозивна атмосфера.</w:t>
      </w:r>
    </w:p>
    <w:p w14:paraId="652E05D6"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b/>
          <w:sz w:val="24"/>
          <w:szCs w:val="24"/>
          <w:lang w:val="ru-RU"/>
        </w:rPr>
        <w:t>4.</w:t>
      </w:r>
      <w:r w:rsidRPr="00F06DE2">
        <w:rPr>
          <w:rFonts w:ascii="Times New Roman" w:hAnsi="Times New Roman" w:cs="Times New Roman"/>
          <w:sz w:val="24"/>
          <w:szCs w:val="24"/>
          <w:lang w:val="ru-RU"/>
        </w:rPr>
        <w:tab/>
      </w:r>
      <w:r w:rsidRPr="00F06DE2">
        <w:rPr>
          <w:rFonts w:ascii="Times New Roman" w:hAnsi="Times New Roman" w:cs="Times New Roman"/>
          <w:b/>
          <w:sz w:val="24"/>
          <w:szCs w:val="24"/>
          <w:lang w:val="ru-RU"/>
        </w:rPr>
        <w:t>Морски инженерни термини</w:t>
      </w:r>
    </w:p>
    <w:p w14:paraId="31A2D53C"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w:t>
      </w:r>
      <w:r w:rsidRPr="00F06DE2">
        <w:rPr>
          <w:rFonts w:ascii="Times New Roman" w:hAnsi="Times New Roman" w:cs="Times New Roman"/>
          <w:sz w:val="24"/>
          <w:szCs w:val="24"/>
          <w:lang w:val="ru-RU"/>
        </w:rPr>
        <w:tab/>
        <w:t>„Равнина на максималното газене“ е водна равнина, съответстваща на максималното газене, при което плавателното средство се допуска да плава;</w:t>
      </w:r>
    </w:p>
    <w:p w14:paraId="4EDB2741"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4.2</w:t>
      </w:r>
      <w:r w:rsidRPr="00F06DE2">
        <w:rPr>
          <w:rFonts w:ascii="Times New Roman" w:hAnsi="Times New Roman" w:cs="Times New Roman"/>
          <w:sz w:val="24"/>
          <w:szCs w:val="24"/>
          <w:lang w:val="ru-RU"/>
        </w:rPr>
        <w:tab/>
        <w:t>„Безопасно разстояние“ е разстоянието между равнината на максималното газене и успоредната равнина, преминаваща през най-ниската точка, над която плавателното средство не се счита за водонепроницаемо;</w:t>
      </w:r>
    </w:p>
    <w:p w14:paraId="487DB4E4"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4.3</w:t>
      </w:r>
      <w:r w:rsidRPr="00F06DE2">
        <w:rPr>
          <w:rFonts w:ascii="Times New Roman" w:hAnsi="Times New Roman" w:cs="Times New Roman"/>
          <w:sz w:val="24"/>
          <w:szCs w:val="24"/>
          <w:lang w:val="ru-RU"/>
        </w:rPr>
        <w:tab/>
        <w:t>„Остатъчно безопасно разстояние“ е вертикалното оставащо разстояние, в случай че плавателният съд се накрени на една страна, между равнището на водата и най-ниската точка на потопената страна, под което плавателният съд не се счита за водонепроницаем;</w:t>
      </w:r>
    </w:p>
    <w:p w14:paraId="70C31141" w14:textId="1030A662" w:rsidR="00960FC1"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4.4</w:t>
      </w:r>
      <w:r w:rsidRPr="00F06DE2">
        <w:rPr>
          <w:rFonts w:ascii="Times New Roman" w:hAnsi="Times New Roman" w:cs="Times New Roman"/>
          <w:sz w:val="24"/>
          <w:szCs w:val="24"/>
          <w:lang w:val="ru-RU"/>
        </w:rPr>
        <w:tab/>
        <w:t>„Надводен борд“ или „</w:t>
      </w:r>
      <m:oMath>
        <m:r>
          <w:rPr>
            <w:rFonts w:ascii="Cambria Math" w:hAnsi="Cambria Math" w:cs="Times New Roman"/>
            <w:sz w:val="24"/>
            <w:szCs w:val="24"/>
          </w:rPr>
          <m:t>F</m:t>
        </m:r>
      </m:oMath>
      <w:r w:rsidRPr="00F06DE2">
        <w:rPr>
          <w:rFonts w:ascii="Times New Roman" w:hAnsi="Times New Roman" w:cs="Times New Roman"/>
          <w:sz w:val="24"/>
          <w:szCs w:val="24"/>
          <w:lang w:val="ru-RU"/>
        </w:rPr>
        <w:t xml:space="preserve">“ е разстоянието между равнината на максималното газене и успоредната равнина, преминаваща през най-ниската точка </w:t>
      </w:r>
      <w:r w:rsidR="00960FC1" w:rsidRPr="00F06DE2">
        <w:rPr>
          <w:rFonts w:ascii="Times New Roman" w:hAnsi="Times New Roman" w:cs="Times New Roman"/>
          <w:sz w:val="24"/>
          <w:szCs w:val="24"/>
          <w:lang w:val="ru-RU"/>
        </w:rPr>
        <w:t xml:space="preserve">на палубата при борда </w:t>
      </w:r>
      <w:r w:rsidRPr="00F06DE2">
        <w:rPr>
          <w:rFonts w:ascii="Times New Roman" w:hAnsi="Times New Roman" w:cs="Times New Roman"/>
          <w:sz w:val="24"/>
          <w:szCs w:val="24"/>
          <w:lang w:val="ru-RU"/>
        </w:rPr>
        <w:t xml:space="preserve"> или при </w:t>
      </w:r>
      <w:r w:rsidR="0012628F" w:rsidRPr="00F06DE2">
        <w:rPr>
          <w:rFonts w:ascii="Times New Roman" w:hAnsi="Times New Roman" w:cs="Times New Roman"/>
          <w:sz w:val="24"/>
          <w:szCs w:val="24"/>
          <w:lang w:val="ru-RU"/>
        </w:rPr>
        <w:t xml:space="preserve"> </w:t>
      </w:r>
      <w:r w:rsidR="00960FC1" w:rsidRPr="00F06DE2">
        <w:rPr>
          <w:rFonts w:ascii="Times New Roman" w:hAnsi="Times New Roman" w:cs="Times New Roman"/>
          <w:sz w:val="24"/>
          <w:szCs w:val="24"/>
          <w:lang w:val="ru-RU"/>
        </w:rPr>
        <w:t xml:space="preserve">отсъствие на палуба </w:t>
      </w:r>
      <w:r w:rsidRPr="00F06DE2">
        <w:rPr>
          <w:rFonts w:ascii="Times New Roman" w:hAnsi="Times New Roman" w:cs="Times New Roman"/>
          <w:sz w:val="24"/>
          <w:szCs w:val="24"/>
          <w:lang w:val="ru-RU"/>
        </w:rPr>
        <w:t xml:space="preserve">, през най-ниската точка от горния ръб на </w:t>
      </w:r>
      <w:r w:rsidR="005416B7" w:rsidRPr="00F06DE2">
        <w:rPr>
          <w:rFonts w:ascii="Times New Roman" w:hAnsi="Times New Roman" w:cs="Times New Roman"/>
          <w:sz w:val="24"/>
          <w:szCs w:val="24"/>
          <w:lang w:val="ru-RU"/>
        </w:rPr>
        <w:t xml:space="preserve">бордовата обшивка  </w:t>
      </w:r>
      <w:r w:rsidRPr="00F06DE2">
        <w:rPr>
          <w:rFonts w:ascii="Times New Roman" w:hAnsi="Times New Roman" w:cs="Times New Roman"/>
          <w:sz w:val="24"/>
          <w:szCs w:val="24"/>
          <w:lang w:val="ru-RU"/>
        </w:rPr>
        <w:t>на кораба;</w:t>
      </w:r>
    </w:p>
    <w:p w14:paraId="79E4FFB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4.5</w:t>
      </w:r>
      <w:r w:rsidRPr="00F06DE2">
        <w:rPr>
          <w:rFonts w:ascii="Times New Roman" w:hAnsi="Times New Roman" w:cs="Times New Roman"/>
          <w:sz w:val="24"/>
          <w:szCs w:val="24"/>
          <w:lang w:val="ru-RU"/>
        </w:rPr>
        <w:tab/>
        <w:t>„Остатъчен надводен борд“ е вертикалното оставащо разстояние, в случай че плавателният съд се накрени на една страна, между равнището на водата и горната повърхност на палубата в най-ниската точка на потопената страна или, при липса на палуба, в най-ниската точка на горния край на стоящата страна на кораба;</w:t>
      </w:r>
    </w:p>
    <w:p w14:paraId="6133F32A"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4.6</w:t>
      </w:r>
      <w:r w:rsidRPr="00F06DE2">
        <w:rPr>
          <w:rFonts w:ascii="Times New Roman" w:hAnsi="Times New Roman" w:cs="Times New Roman"/>
          <w:sz w:val="24"/>
          <w:szCs w:val="24"/>
          <w:lang w:val="ru-RU"/>
        </w:rPr>
        <w:tab/>
        <w:t xml:space="preserve">„Пределна линия“ е въображаема линия върху бордовата обшивка, минаваща на не по-малко от 10 </w:t>
      </w:r>
      <w:r w:rsidRPr="00F06DE2">
        <w:rPr>
          <w:rFonts w:ascii="Times New Roman" w:hAnsi="Times New Roman" w:cs="Times New Roman"/>
          <w:sz w:val="24"/>
          <w:szCs w:val="24"/>
        </w:rPr>
        <w:t>cm</w:t>
      </w:r>
      <w:r w:rsidRPr="00F06DE2">
        <w:rPr>
          <w:rFonts w:ascii="Times New Roman" w:hAnsi="Times New Roman" w:cs="Times New Roman"/>
          <w:sz w:val="24"/>
          <w:szCs w:val="24"/>
          <w:lang w:val="ru-RU"/>
        </w:rPr>
        <w:t xml:space="preserve"> под палубата на преградите и не по-малко от 10 </w:t>
      </w:r>
      <w:r w:rsidRPr="00F06DE2">
        <w:rPr>
          <w:rFonts w:ascii="Times New Roman" w:hAnsi="Times New Roman" w:cs="Times New Roman"/>
          <w:sz w:val="24"/>
          <w:szCs w:val="24"/>
        </w:rPr>
        <w:t>cm</w:t>
      </w:r>
      <w:r w:rsidRPr="00F06DE2">
        <w:rPr>
          <w:rFonts w:ascii="Times New Roman" w:hAnsi="Times New Roman" w:cs="Times New Roman"/>
          <w:sz w:val="24"/>
          <w:szCs w:val="24"/>
          <w:lang w:val="ru-RU"/>
        </w:rPr>
        <w:t xml:space="preserve"> под най-ниската точка на страничната обшивка, която не е водонепроницаема. При липса на палуба на преградите се използва линия, минаваща на не по-малко от 10 </w:t>
      </w:r>
      <w:r w:rsidRPr="00F06DE2">
        <w:rPr>
          <w:rFonts w:ascii="Times New Roman" w:hAnsi="Times New Roman" w:cs="Times New Roman"/>
          <w:sz w:val="24"/>
          <w:szCs w:val="24"/>
        </w:rPr>
        <w:t>cm</w:t>
      </w:r>
      <w:r w:rsidRPr="00F06DE2">
        <w:rPr>
          <w:rFonts w:ascii="Times New Roman" w:hAnsi="Times New Roman" w:cs="Times New Roman"/>
          <w:sz w:val="24"/>
          <w:szCs w:val="24"/>
          <w:lang w:val="ru-RU"/>
        </w:rPr>
        <w:t xml:space="preserve"> под най-ниската линия, до която външната обшивка е водонепроницаема;</w:t>
      </w:r>
    </w:p>
    <w:p w14:paraId="210475B1" w14:textId="395EA36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4.7</w:t>
      </w:r>
      <w:r w:rsidRPr="00F06DE2">
        <w:rPr>
          <w:rFonts w:ascii="Times New Roman" w:hAnsi="Times New Roman" w:cs="Times New Roman"/>
          <w:sz w:val="24"/>
          <w:szCs w:val="24"/>
          <w:lang w:val="ru-RU"/>
        </w:rPr>
        <w:tab/>
      </w:r>
      <w:r w:rsidR="0064049B" w:rsidRPr="00F06DE2">
        <w:rPr>
          <w:rFonts w:ascii="Times New Roman" w:hAnsi="Times New Roman" w:cs="Times New Roman"/>
          <w:sz w:val="24"/>
          <w:szCs w:val="24"/>
          <w:lang w:val="ru-RU"/>
        </w:rPr>
        <w:t>„Водоизместване“ или „</w:t>
      </w:r>
      <w:r w:rsidR="0064049B" w:rsidRPr="00F06DE2">
        <w:rPr>
          <w:rFonts w:ascii="Cambria Math" w:hAnsi="Cambria Math" w:cs="Cambria Math"/>
          <w:sz w:val="24"/>
          <w:szCs w:val="24"/>
          <w:lang w:val="ru-RU"/>
        </w:rPr>
        <w:t>∀</w:t>
      </w:r>
      <w:r w:rsidR="0064049B" w:rsidRPr="00F06DE2">
        <w:rPr>
          <w:rFonts w:ascii="Times New Roman" w:hAnsi="Times New Roman" w:cs="Times New Roman"/>
          <w:sz w:val="24"/>
          <w:szCs w:val="24"/>
          <w:lang w:val="ru-RU"/>
        </w:rPr>
        <w:t xml:space="preserve">“: потопеният обем на </w:t>
      </w:r>
      <w:r w:rsidR="00C344C9" w:rsidRPr="00F06DE2">
        <w:rPr>
          <w:rFonts w:ascii="Times New Roman" w:hAnsi="Times New Roman" w:cs="Times New Roman"/>
          <w:sz w:val="24"/>
          <w:szCs w:val="24"/>
          <w:lang w:val="ru-RU"/>
        </w:rPr>
        <w:t xml:space="preserve">плавателния </w:t>
      </w:r>
      <w:r w:rsidR="0064049B" w:rsidRPr="00F06DE2">
        <w:rPr>
          <w:rFonts w:ascii="Times New Roman" w:hAnsi="Times New Roman" w:cs="Times New Roman"/>
          <w:sz w:val="24"/>
          <w:szCs w:val="24"/>
          <w:lang w:val="ru-RU"/>
        </w:rPr>
        <w:t xml:space="preserve">съд, в </w:t>
      </w:r>
      <w:r w:rsidR="0064049B" w:rsidRPr="00F06DE2">
        <w:rPr>
          <w:rFonts w:ascii="Times New Roman" w:hAnsi="Times New Roman" w:cs="Times New Roman"/>
          <w:sz w:val="24"/>
          <w:szCs w:val="24"/>
        </w:rPr>
        <w:t>m</w:t>
      </w:r>
      <w:r w:rsidR="0064049B" w:rsidRPr="00F06DE2">
        <w:rPr>
          <w:rFonts w:ascii="Times New Roman" w:hAnsi="Times New Roman" w:cs="Times New Roman"/>
          <w:sz w:val="24"/>
          <w:szCs w:val="24"/>
          <w:lang w:val="ru-RU"/>
        </w:rPr>
        <w:t xml:space="preserve">³, във вода с плътност 1000 </w:t>
      </w:r>
      <w:r w:rsidR="0064049B" w:rsidRPr="00F06DE2">
        <w:rPr>
          <w:rFonts w:ascii="Times New Roman" w:hAnsi="Times New Roman" w:cs="Times New Roman"/>
          <w:sz w:val="24"/>
          <w:szCs w:val="24"/>
        </w:rPr>
        <w:t>kg</w:t>
      </w:r>
      <w:r w:rsidR="0064049B" w:rsidRPr="00F06DE2">
        <w:rPr>
          <w:rFonts w:ascii="Times New Roman" w:hAnsi="Times New Roman" w:cs="Times New Roman"/>
          <w:sz w:val="24"/>
          <w:szCs w:val="24"/>
          <w:lang w:val="ru-RU"/>
        </w:rPr>
        <w:t>/</w:t>
      </w:r>
      <w:r w:rsidR="0064049B" w:rsidRPr="00F06DE2">
        <w:rPr>
          <w:rFonts w:ascii="Times New Roman" w:hAnsi="Times New Roman" w:cs="Times New Roman"/>
          <w:sz w:val="24"/>
          <w:szCs w:val="24"/>
        </w:rPr>
        <w:t>m</w:t>
      </w:r>
      <w:r w:rsidR="0064049B" w:rsidRPr="00F06DE2">
        <w:rPr>
          <w:rFonts w:ascii="Times New Roman" w:hAnsi="Times New Roman" w:cs="Times New Roman"/>
          <w:sz w:val="24"/>
          <w:szCs w:val="24"/>
          <w:lang w:val="ru-RU"/>
        </w:rPr>
        <w:t>³;“.</w:t>
      </w:r>
    </w:p>
    <w:p w14:paraId="4323BC33"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4.8</w:t>
      </w:r>
      <w:r w:rsidRPr="00F06DE2">
        <w:rPr>
          <w:rFonts w:ascii="Times New Roman" w:hAnsi="Times New Roman" w:cs="Times New Roman"/>
          <w:sz w:val="24"/>
          <w:szCs w:val="24"/>
          <w:lang w:val="ru-RU"/>
        </w:rPr>
        <w:tab/>
        <w:t>„Теглово водоизместване“ или „</w:t>
      </w:r>
      <m:oMath>
        <m:r>
          <w:rPr>
            <w:rFonts w:ascii="Cambria Math" w:hAnsi="Cambria Math" w:cs="Times New Roman"/>
            <w:sz w:val="24"/>
            <w:szCs w:val="24"/>
            <w:lang w:val="ru-RU"/>
          </w:rPr>
          <m:t>∆</m:t>
        </m:r>
      </m:oMath>
      <w:r w:rsidRPr="00F06DE2">
        <w:rPr>
          <w:rFonts w:ascii="Times New Roman" w:hAnsi="Times New Roman" w:cs="Times New Roman"/>
          <w:sz w:val="24"/>
          <w:szCs w:val="24"/>
          <w:lang w:val="ru-RU"/>
        </w:rPr>
        <w:t>“ е общото тегло на плавателния съд, включително товара, в тонове;</w:t>
      </w:r>
    </w:p>
    <w:p w14:paraId="4CF7D382"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4.9</w:t>
      </w:r>
      <w:r w:rsidRPr="00F06DE2">
        <w:rPr>
          <w:rFonts w:ascii="Times New Roman" w:hAnsi="Times New Roman" w:cs="Times New Roman"/>
          <w:sz w:val="24"/>
          <w:szCs w:val="24"/>
          <w:lang w:val="ru-RU"/>
        </w:rPr>
        <w:tab/>
        <w:t>„Коефициент на обща пълнота“ или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B</m:t>
            </m:r>
          </m:sub>
        </m:sSub>
      </m:oMath>
      <w:r w:rsidRPr="00F06DE2">
        <w:rPr>
          <w:rFonts w:ascii="Times New Roman" w:hAnsi="Times New Roman" w:cs="Times New Roman"/>
          <w:sz w:val="24"/>
          <w:szCs w:val="24"/>
          <w:lang w:val="ru-RU"/>
        </w:rPr>
        <w:t xml:space="preserve">“ е съотношението между обемното водоизместване и произведението от дължината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WL</m:t>
            </m:r>
          </m:sub>
        </m:sSub>
      </m:oMath>
      <w:r w:rsidRPr="00F06DE2">
        <w:rPr>
          <w:rFonts w:ascii="Times New Roman" w:hAnsi="Times New Roman" w:cs="Times New Roman"/>
          <w:sz w:val="24"/>
          <w:szCs w:val="24"/>
          <w:lang w:val="ru-RU"/>
        </w:rPr>
        <w:t xml:space="preserve">, ширината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WL</m:t>
            </m:r>
          </m:sub>
        </m:sSub>
      </m:oMath>
      <w:r w:rsidRPr="00F06DE2">
        <w:rPr>
          <w:rFonts w:ascii="Times New Roman" w:hAnsi="Times New Roman" w:cs="Times New Roman"/>
          <w:sz w:val="24"/>
          <w:szCs w:val="24"/>
          <w:lang w:val="ru-RU"/>
        </w:rPr>
        <w:t xml:space="preserve"> и газенето </w:t>
      </w:r>
      <m:oMath>
        <m:r>
          <w:rPr>
            <w:rFonts w:ascii="Cambria Math" w:hAnsi="Cambria Math" w:cs="Times New Roman"/>
            <w:sz w:val="24"/>
            <w:szCs w:val="24"/>
          </w:rPr>
          <m:t>T</m:t>
        </m:r>
      </m:oMath>
      <w:r w:rsidRPr="00F06DE2">
        <w:rPr>
          <w:rFonts w:ascii="Times New Roman" w:hAnsi="Times New Roman" w:cs="Times New Roman"/>
          <w:sz w:val="24"/>
          <w:szCs w:val="24"/>
          <w:lang w:val="ru-RU"/>
        </w:rPr>
        <w:t>;</w:t>
      </w:r>
    </w:p>
    <w:p w14:paraId="5A79FA0B"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4.10</w:t>
      </w:r>
      <w:r w:rsidRPr="00F06DE2">
        <w:rPr>
          <w:rFonts w:ascii="Times New Roman" w:hAnsi="Times New Roman" w:cs="Times New Roman"/>
          <w:sz w:val="24"/>
          <w:szCs w:val="24"/>
          <w:lang w:val="ru-RU"/>
        </w:rPr>
        <w:tab/>
        <w:t>„Надводна диаметрална равнина“ или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V</m:t>
            </m:r>
          </m:sub>
        </m:sSub>
      </m:oMath>
      <w:r w:rsidRPr="00F06DE2">
        <w:rPr>
          <w:rFonts w:ascii="Times New Roman" w:hAnsi="Times New Roman" w:cs="Times New Roman"/>
          <w:sz w:val="24"/>
          <w:szCs w:val="24"/>
          <w:lang w:val="ru-RU"/>
        </w:rPr>
        <w:t xml:space="preserve">“ е диаметралната равнина на плавателния съд над водолинията в </w:t>
      </w:r>
      <w:r w:rsidRPr="00F06DE2">
        <w:rPr>
          <w:rFonts w:ascii="Times New Roman" w:hAnsi="Times New Roman" w:cs="Times New Roman"/>
          <w:sz w:val="24"/>
          <w:szCs w:val="24"/>
        </w:rPr>
        <w:t>m</w:t>
      </w:r>
      <w:r w:rsidRPr="00F06DE2">
        <w:rPr>
          <w:rFonts w:ascii="Times New Roman" w:hAnsi="Times New Roman" w:cs="Times New Roman"/>
          <w:sz w:val="24"/>
          <w:szCs w:val="24"/>
          <w:vertAlign w:val="superscript"/>
          <w:lang w:val="ru-RU"/>
        </w:rPr>
        <w:t>2</w:t>
      </w:r>
      <w:r w:rsidRPr="00F06DE2">
        <w:rPr>
          <w:rFonts w:ascii="Times New Roman" w:hAnsi="Times New Roman" w:cs="Times New Roman"/>
          <w:sz w:val="24"/>
          <w:szCs w:val="24"/>
          <w:lang w:val="ru-RU"/>
        </w:rPr>
        <w:t>;</w:t>
      </w:r>
    </w:p>
    <w:p w14:paraId="147A4D58"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4.11</w:t>
      </w:r>
      <w:r w:rsidRPr="00F06DE2">
        <w:rPr>
          <w:rFonts w:ascii="Times New Roman" w:hAnsi="Times New Roman" w:cs="Times New Roman"/>
          <w:sz w:val="24"/>
          <w:szCs w:val="24"/>
          <w:lang w:val="ru-RU"/>
        </w:rPr>
        <w:tab/>
        <w:t>„Палуба на преградите“ е палубата, до която достигат изискваните водонепроницаеми прегради и от която се измерва надводният борд;</w:t>
      </w:r>
    </w:p>
    <w:p w14:paraId="32F5D82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4.12</w:t>
      </w:r>
      <w:r w:rsidRPr="00F06DE2">
        <w:rPr>
          <w:rFonts w:ascii="Times New Roman" w:hAnsi="Times New Roman" w:cs="Times New Roman"/>
          <w:sz w:val="24"/>
          <w:szCs w:val="24"/>
          <w:lang w:val="ru-RU"/>
        </w:rPr>
        <w:tab/>
        <w:t>„Преграда“ е стена с определена височина, обикновено вертикална, разделяща плавателния съд и свързана с долната част на същия, обшивката или други прегради;</w:t>
      </w:r>
    </w:p>
    <w:p w14:paraId="1C72FA76"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4.13</w:t>
      </w:r>
      <w:r w:rsidRPr="00F06DE2">
        <w:rPr>
          <w:rFonts w:ascii="Times New Roman" w:hAnsi="Times New Roman" w:cs="Times New Roman"/>
          <w:sz w:val="24"/>
          <w:szCs w:val="24"/>
          <w:lang w:val="ru-RU"/>
        </w:rPr>
        <w:tab/>
        <w:t>„Напречна преграда“ е преграда, простираща се от единия до другия борд на плавателния съд;</w:t>
      </w:r>
    </w:p>
    <w:p w14:paraId="01FF389E"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4.14</w:t>
      </w:r>
      <w:r w:rsidRPr="00F06DE2">
        <w:rPr>
          <w:rFonts w:ascii="Times New Roman" w:hAnsi="Times New Roman" w:cs="Times New Roman"/>
          <w:sz w:val="24"/>
          <w:szCs w:val="24"/>
          <w:lang w:val="ru-RU"/>
        </w:rPr>
        <w:tab/>
        <w:t>„Стена“ е разделителна повърхност, в повечето случаи вертикална;</w:t>
      </w:r>
    </w:p>
    <w:p w14:paraId="372BBE45"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4.15</w:t>
      </w:r>
      <w:r w:rsidRPr="00F06DE2">
        <w:rPr>
          <w:rFonts w:ascii="Times New Roman" w:hAnsi="Times New Roman" w:cs="Times New Roman"/>
          <w:sz w:val="24"/>
          <w:szCs w:val="24"/>
          <w:lang w:val="ru-RU"/>
        </w:rPr>
        <w:tab/>
        <w:t>„Разделителна стена“ е стена, която не е водонепроницаема;</w:t>
      </w:r>
    </w:p>
    <w:p w14:paraId="242F31B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4.16</w:t>
      </w:r>
      <w:r w:rsidRPr="00F06DE2">
        <w:rPr>
          <w:rFonts w:ascii="Times New Roman" w:hAnsi="Times New Roman" w:cs="Times New Roman"/>
          <w:sz w:val="24"/>
          <w:szCs w:val="24"/>
          <w:lang w:val="ru-RU"/>
        </w:rPr>
        <w:tab/>
        <w:t>„Дължина“ или „</w:t>
      </w:r>
      <m:oMath>
        <m:r>
          <w:rPr>
            <w:rFonts w:ascii="Cambria Math" w:hAnsi="Cambria Math" w:cs="Times New Roman"/>
            <w:sz w:val="24"/>
            <w:szCs w:val="24"/>
          </w:rPr>
          <m:t>L</m:t>
        </m:r>
      </m:oMath>
      <w:r w:rsidRPr="00F06DE2">
        <w:rPr>
          <w:rFonts w:ascii="Times New Roman" w:hAnsi="Times New Roman" w:cs="Times New Roman"/>
          <w:sz w:val="24"/>
          <w:szCs w:val="24"/>
          <w:lang w:val="ru-RU"/>
        </w:rPr>
        <w:t>“ е максималната дължина на корпуса в метри, като се изключат руля и бушприт</w:t>
      </w:r>
      <w:r w:rsidRPr="00F06DE2">
        <w:rPr>
          <w:rFonts w:ascii="Times New Roman" w:hAnsi="Times New Roman" w:cs="Times New Roman"/>
          <w:sz w:val="24"/>
          <w:szCs w:val="24"/>
        </w:rPr>
        <w:t>a</w:t>
      </w:r>
      <w:r w:rsidRPr="00F06DE2">
        <w:rPr>
          <w:rFonts w:ascii="Times New Roman" w:hAnsi="Times New Roman" w:cs="Times New Roman"/>
          <w:sz w:val="24"/>
          <w:szCs w:val="24"/>
          <w:lang w:val="ru-RU"/>
        </w:rPr>
        <w:t>;</w:t>
      </w:r>
    </w:p>
    <w:p w14:paraId="4193F3E1"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4.17</w:t>
      </w:r>
      <w:r w:rsidRPr="00F06DE2">
        <w:rPr>
          <w:rFonts w:ascii="Times New Roman" w:hAnsi="Times New Roman" w:cs="Times New Roman"/>
          <w:sz w:val="24"/>
          <w:szCs w:val="24"/>
          <w:lang w:val="ru-RU"/>
        </w:rPr>
        <w:tab/>
        <w:t>„Обща дължина“или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OA</m:t>
            </m:r>
          </m:sub>
        </m:sSub>
      </m:oMath>
      <w:r w:rsidRPr="00F06DE2">
        <w:rPr>
          <w:rFonts w:ascii="Times New Roman" w:hAnsi="Times New Roman" w:cs="Times New Roman"/>
          <w:sz w:val="24"/>
          <w:szCs w:val="24"/>
          <w:lang w:val="ru-RU"/>
        </w:rPr>
        <w:t>“ е максималната дължина на плавателното средство в метри, включително цялото закрепено оборудване като части от рулевата система или захранващия агрегат, механични или други подобни приспособления;</w:t>
      </w:r>
    </w:p>
    <w:p w14:paraId="63FFDEDF"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4.18</w:t>
      </w:r>
      <w:r w:rsidRPr="00F06DE2">
        <w:rPr>
          <w:rFonts w:ascii="Times New Roman" w:hAnsi="Times New Roman" w:cs="Times New Roman"/>
          <w:sz w:val="24"/>
          <w:szCs w:val="24"/>
          <w:lang w:val="ru-RU"/>
        </w:rPr>
        <w:tab/>
        <w:t>„Дължина на водолинията“ или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WL</m:t>
            </m:r>
          </m:sub>
        </m:sSub>
      </m:oMath>
      <w:r w:rsidRPr="00F06DE2">
        <w:rPr>
          <w:rFonts w:ascii="Times New Roman" w:hAnsi="Times New Roman" w:cs="Times New Roman"/>
          <w:sz w:val="24"/>
          <w:szCs w:val="24"/>
          <w:lang w:val="ru-RU"/>
        </w:rPr>
        <w:t>“ е дължината на корпуса в метри, измерена при максималното газене;</w:t>
      </w:r>
    </w:p>
    <w:p w14:paraId="6A15EC92"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4.19</w:t>
      </w:r>
      <w:r w:rsidRPr="00F06DE2">
        <w:rPr>
          <w:rFonts w:ascii="Times New Roman" w:hAnsi="Times New Roman" w:cs="Times New Roman"/>
          <w:sz w:val="24"/>
          <w:szCs w:val="24"/>
          <w:lang w:val="ru-RU"/>
        </w:rPr>
        <w:tab/>
        <w:t>„Ширина“ или „</w:t>
      </w:r>
      <m:oMath>
        <m:r>
          <w:rPr>
            <w:rFonts w:ascii="Cambria Math" w:hAnsi="Cambria Math" w:cs="Times New Roman"/>
            <w:sz w:val="24"/>
            <w:szCs w:val="24"/>
          </w:rPr>
          <m:t>B</m:t>
        </m:r>
      </m:oMath>
      <w:r w:rsidRPr="00F06DE2">
        <w:rPr>
          <w:rFonts w:ascii="Times New Roman" w:hAnsi="Times New Roman" w:cs="Times New Roman"/>
          <w:sz w:val="24"/>
          <w:szCs w:val="24"/>
          <w:lang w:val="ru-RU"/>
        </w:rPr>
        <w:t>“ е максималната ширина на корпуса в метри, измерена по външния край на обшивката на корпуса (като се изключат гребни колела, протектори и др. подобни);</w:t>
      </w:r>
    </w:p>
    <w:p w14:paraId="66219BE4"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4.20</w:t>
      </w:r>
      <w:r w:rsidRPr="00F06DE2">
        <w:rPr>
          <w:rFonts w:ascii="Times New Roman" w:hAnsi="Times New Roman" w:cs="Times New Roman"/>
          <w:sz w:val="24"/>
          <w:szCs w:val="24"/>
          <w:lang w:val="ru-RU"/>
        </w:rPr>
        <w:tab/>
        <w:t>„Обща ширина“ или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OA</m:t>
            </m:r>
          </m:sub>
        </m:sSub>
      </m:oMath>
      <w:r w:rsidRPr="00F06DE2">
        <w:rPr>
          <w:rFonts w:ascii="Times New Roman" w:hAnsi="Times New Roman" w:cs="Times New Roman"/>
          <w:sz w:val="24"/>
          <w:szCs w:val="24"/>
          <w:lang w:val="ru-RU"/>
        </w:rPr>
        <w:t>“ е максималната ширина на плавателното средство в метри, включително гребни колела, протектори, механични устройства или подобни;</w:t>
      </w:r>
    </w:p>
    <w:p w14:paraId="32666786"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4.21</w:t>
      </w:r>
      <w:r w:rsidRPr="00F06DE2">
        <w:rPr>
          <w:rFonts w:ascii="Times New Roman" w:hAnsi="Times New Roman" w:cs="Times New Roman"/>
          <w:sz w:val="24"/>
          <w:szCs w:val="24"/>
          <w:lang w:val="ru-RU"/>
        </w:rPr>
        <w:tab/>
        <w:t>„Ширина на водолинията“ или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WL</m:t>
            </m:r>
          </m:sub>
        </m:sSub>
      </m:oMath>
      <w:r w:rsidRPr="00F06DE2">
        <w:rPr>
          <w:rFonts w:ascii="Times New Roman" w:hAnsi="Times New Roman" w:cs="Times New Roman"/>
          <w:sz w:val="24"/>
          <w:szCs w:val="24"/>
          <w:lang w:val="ru-RU"/>
        </w:rPr>
        <w:t>“ е ширина на корпуса в метри, измерена от външния край на обшивката на корпуса в линията на максималното газене;</w:t>
      </w:r>
    </w:p>
    <w:p w14:paraId="1D9E5686"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4.22</w:t>
      </w:r>
      <w:r w:rsidRPr="00F06DE2">
        <w:rPr>
          <w:rFonts w:ascii="Times New Roman" w:hAnsi="Times New Roman" w:cs="Times New Roman"/>
          <w:sz w:val="24"/>
          <w:szCs w:val="24"/>
          <w:lang w:val="ru-RU"/>
        </w:rPr>
        <w:tab/>
        <w:t>„Височина“ или „</w:t>
      </w:r>
      <m:oMath>
        <m:r>
          <w:rPr>
            <w:rFonts w:ascii="Cambria Math" w:hAnsi="Cambria Math" w:cs="Times New Roman"/>
            <w:sz w:val="24"/>
            <w:szCs w:val="24"/>
          </w:rPr>
          <m:t>H</m:t>
        </m:r>
      </m:oMath>
      <w:r w:rsidRPr="00F06DE2">
        <w:rPr>
          <w:rFonts w:ascii="Times New Roman" w:hAnsi="Times New Roman" w:cs="Times New Roman"/>
          <w:sz w:val="24"/>
          <w:szCs w:val="24"/>
          <w:lang w:val="ru-RU"/>
        </w:rPr>
        <w:t>“ е най-късото вертикално разстояние в метри между най-ниската точка на корпуса или кила и най-ниската точка на палубата отстрани на плавателния съд;</w:t>
      </w:r>
    </w:p>
    <w:p w14:paraId="5E6A1A29"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4.23</w:t>
      </w:r>
      <w:r w:rsidRPr="00F06DE2">
        <w:rPr>
          <w:rFonts w:ascii="Times New Roman" w:hAnsi="Times New Roman" w:cs="Times New Roman"/>
          <w:sz w:val="24"/>
          <w:szCs w:val="24"/>
          <w:lang w:val="ru-RU"/>
        </w:rPr>
        <w:tab/>
        <w:t>„Газене“ или „</w:t>
      </w:r>
      <m:oMath>
        <m:r>
          <w:rPr>
            <w:rFonts w:ascii="Cambria Math" w:hAnsi="Cambria Math" w:cs="Times New Roman"/>
            <w:sz w:val="24"/>
            <w:szCs w:val="24"/>
          </w:rPr>
          <m:t>T</m:t>
        </m:r>
      </m:oMath>
      <w:r w:rsidRPr="00F06DE2">
        <w:rPr>
          <w:rFonts w:ascii="Times New Roman" w:hAnsi="Times New Roman" w:cs="Times New Roman"/>
          <w:sz w:val="24"/>
          <w:szCs w:val="24"/>
          <w:lang w:val="ru-RU"/>
        </w:rPr>
        <w:t>“ е вертикалното разстояние в метри между най-ниската точка на корпуса, като не се взимат предвид кила или други прикрепени приспособления и линията на максимално газене;</w:t>
      </w:r>
    </w:p>
    <w:p w14:paraId="277A7BA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4.24</w:t>
      </w:r>
      <w:r w:rsidRPr="00F06DE2">
        <w:rPr>
          <w:rFonts w:ascii="Times New Roman" w:hAnsi="Times New Roman" w:cs="Times New Roman"/>
          <w:sz w:val="24"/>
          <w:szCs w:val="24"/>
          <w:lang w:val="ru-RU"/>
        </w:rPr>
        <w:tab/>
        <w:t>„Общо газене или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OA</m:t>
            </m:r>
          </m:sub>
        </m:sSub>
      </m:oMath>
      <w:r w:rsidRPr="00F06DE2">
        <w:rPr>
          <w:rFonts w:ascii="Times New Roman" w:hAnsi="Times New Roman" w:cs="Times New Roman"/>
          <w:sz w:val="24"/>
          <w:szCs w:val="24"/>
          <w:lang w:val="ru-RU"/>
        </w:rPr>
        <w:t>“ е вертикалното разстояние в метри между най-ниската точка на корпуса, включително килът или други прикрепени приспособления и линията на максимално газене;</w:t>
      </w:r>
    </w:p>
    <w:p w14:paraId="20E75B17" w14:textId="77777777" w:rsidR="00271FA2" w:rsidRPr="00F06DE2" w:rsidRDefault="00D35E51" w:rsidP="000B2E40">
      <w:pPr>
        <w:pStyle w:val="ESch"/>
        <w:ind w:left="570" w:hanging="57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4.25</w:t>
      </w:r>
      <w:r w:rsidRPr="00F06DE2">
        <w:rPr>
          <w:rFonts w:ascii="Times New Roman" w:hAnsi="Times New Roman" w:cs="Times New Roman"/>
          <w:sz w:val="24"/>
          <w:szCs w:val="24"/>
          <w:lang w:val="ru-RU"/>
        </w:rPr>
        <w:tab/>
        <w:t>„Носови перпендикуляр“: вертикалната линия в предната точка на пресичане на корпуса с линията на максимално газене;</w:t>
      </w:r>
    </w:p>
    <w:p w14:paraId="669E4085" w14:textId="77777777" w:rsidR="00271FA2" w:rsidRPr="00F06DE2" w:rsidRDefault="00D35E51" w:rsidP="000B2E40">
      <w:pPr>
        <w:pStyle w:val="ESch"/>
        <w:ind w:left="570" w:hanging="57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4.26</w:t>
      </w:r>
      <w:r w:rsidRPr="00F06DE2">
        <w:rPr>
          <w:rFonts w:ascii="Times New Roman" w:hAnsi="Times New Roman" w:cs="Times New Roman"/>
          <w:sz w:val="24"/>
          <w:szCs w:val="24"/>
          <w:lang w:val="ru-RU"/>
        </w:rPr>
        <w:tab/>
        <w:t>„Габаритна ширина на палубния проход“ е разстоянието между вертикалната линия, преминаваща през най-изпъкналата част от люковия комингс върху бордовата част на палубата и вертикалната линия, преминаваща през вътрешния ръб на ограждението (фалшборд, парапет на ниво на ходилата) от външната страна на бордовата част на палубата.</w:t>
      </w:r>
    </w:p>
    <w:p w14:paraId="601E0CE0" w14:textId="0B5684F6" w:rsidR="002259FA" w:rsidRPr="00F06DE2" w:rsidRDefault="002259FA" w:rsidP="000B2E40">
      <w:pPr>
        <w:tabs>
          <w:tab w:val="left" w:pos="567"/>
        </w:tabs>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4.27 </w:t>
      </w:r>
      <w:r w:rsidR="000B2E40" w:rsidRPr="00F06DE2">
        <w:rPr>
          <w:rFonts w:ascii="Times New Roman" w:hAnsi="Times New Roman" w:cs="Times New Roman"/>
          <w:sz w:val="24"/>
          <w:szCs w:val="24"/>
          <w:lang w:val="ru-RU"/>
        </w:rPr>
        <w:tab/>
      </w:r>
      <w:r w:rsidRPr="00F06DE2">
        <w:rPr>
          <w:rFonts w:ascii="Times New Roman" w:hAnsi="Times New Roman" w:cs="Times New Roman"/>
          <w:sz w:val="24"/>
          <w:szCs w:val="24"/>
          <w:lang w:val="ru-RU"/>
        </w:rPr>
        <w:t>(оставено</w:t>
      </w:r>
      <w:r w:rsidR="000937B9" w:rsidRPr="00F06DE2">
        <w:rPr>
          <w:rFonts w:ascii="Times New Roman" w:hAnsi="Times New Roman" w:cs="Times New Roman"/>
          <w:sz w:val="24"/>
          <w:szCs w:val="24"/>
          <w:lang w:val="ru-RU"/>
        </w:rPr>
        <w:t xml:space="preserve"> непопълнено</w:t>
      </w:r>
      <w:r w:rsidRPr="00F06DE2">
        <w:rPr>
          <w:rFonts w:ascii="Times New Roman" w:hAnsi="Times New Roman" w:cs="Times New Roman"/>
          <w:sz w:val="24"/>
          <w:szCs w:val="24"/>
          <w:lang w:val="ru-RU"/>
        </w:rPr>
        <w:t>);</w:t>
      </w:r>
    </w:p>
    <w:p w14:paraId="7BE0D00D" w14:textId="6042B69A" w:rsidR="002259FA" w:rsidRPr="00F06DE2" w:rsidRDefault="002259FA" w:rsidP="000B2E40">
      <w:pPr>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4.28 </w:t>
      </w:r>
      <w:r w:rsidR="000B2E40" w:rsidRPr="00F06DE2">
        <w:rPr>
          <w:rFonts w:ascii="Times New Roman" w:hAnsi="Times New Roman" w:cs="Times New Roman"/>
          <w:sz w:val="24"/>
          <w:szCs w:val="24"/>
          <w:lang w:val="ru-RU"/>
        </w:rPr>
        <w:tab/>
      </w:r>
      <w:r w:rsidRPr="00F06DE2">
        <w:rPr>
          <w:rFonts w:ascii="Times New Roman" w:hAnsi="Times New Roman" w:cs="Times New Roman"/>
          <w:sz w:val="24"/>
          <w:szCs w:val="24"/>
          <w:lang w:val="ru-RU"/>
        </w:rPr>
        <w:t>„водолиния на кораба празен“: водолинията, съответстваща на водоизмест</w:t>
      </w:r>
      <w:r w:rsidR="00942F56" w:rsidRPr="00F06DE2">
        <w:rPr>
          <w:rFonts w:ascii="Times New Roman" w:hAnsi="Times New Roman" w:cs="Times New Roman"/>
          <w:sz w:val="24"/>
          <w:szCs w:val="24"/>
          <w:lang w:val="ru-RU"/>
        </w:rPr>
        <w:t xml:space="preserve">ването </w:t>
      </w:r>
      <w:r w:rsidRPr="00F06DE2">
        <w:rPr>
          <w:rFonts w:ascii="Times New Roman" w:hAnsi="Times New Roman" w:cs="Times New Roman"/>
          <w:sz w:val="24"/>
          <w:szCs w:val="24"/>
          <w:lang w:val="ru-RU"/>
        </w:rPr>
        <w:t xml:space="preserve"> на кораба празен;</w:t>
      </w:r>
    </w:p>
    <w:p w14:paraId="7A9A8B63" w14:textId="47C534D9" w:rsidR="002259FA" w:rsidRPr="00F06DE2" w:rsidRDefault="002259FA" w:rsidP="000B2E40">
      <w:pPr>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4.29 </w:t>
      </w:r>
      <w:r w:rsidR="000B2E40" w:rsidRPr="00F06DE2">
        <w:rPr>
          <w:rFonts w:ascii="Times New Roman" w:hAnsi="Times New Roman" w:cs="Times New Roman"/>
          <w:sz w:val="24"/>
          <w:szCs w:val="24"/>
          <w:lang w:val="ru-RU"/>
        </w:rPr>
        <w:tab/>
      </w:r>
      <w:r w:rsidRPr="00F06DE2">
        <w:rPr>
          <w:rFonts w:ascii="Times New Roman" w:hAnsi="Times New Roman" w:cs="Times New Roman"/>
          <w:sz w:val="24"/>
          <w:szCs w:val="24"/>
          <w:lang w:val="ru-RU"/>
        </w:rPr>
        <w:t>„</w:t>
      </w:r>
      <w:r w:rsidR="00942F56" w:rsidRPr="00F06DE2">
        <w:rPr>
          <w:rFonts w:ascii="Times New Roman" w:hAnsi="Times New Roman" w:cs="Times New Roman"/>
          <w:sz w:val="24"/>
          <w:szCs w:val="24"/>
          <w:lang w:val="ru-RU"/>
        </w:rPr>
        <w:t>фикс пункт/</w:t>
      </w:r>
      <w:r w:rsidRPr="00F06DE2">
        <w:rPr>
          <w:rFonts w:ascii="Times New Roman" w:hAnsi="Times New Roman" w:cs="Times New Roman"/>
          <w:sz w:val="24"/>
          <w:szCs w:val="24"/>
          <w:lang w:val="ru-RU"/>
        </w:rPr>
        <w:t xml:space="preserve">фиксирана височина“: вертикалното разстояние в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между водолинията на кораба</w:t>
      </w:r>
      <w:r w:rsidR="00F71092" w:rsidRPr="00F06DE2">
        <w:rPr>
          <w:rFonts w:ascii="Times New Roman" w:hAnsi="Times New Roman" w:cs="Times New Roman"/>
          <w:sz w:val="24"/>
          <w:szCs w:val="24"/>
          <w:lang w:val="ru-RU"/>
        </w:rPr>
        <w:t xml:space="preserve"> на</w:t>
      </w:r>
      <w:r w:rsidRPr="00F06DE2">
        <w:rPr>
          <w:rFonts w:ascii="Times New Roman" w:hAnsi="Times New Roman" w:cs="Times New Roman"/>
          <w:sz w:val="24"/>
          <w:szCs w:val="24"/>
          <w:lang w:val="ru-RU"/>
        </w:rPr>
        <w:t xml:space="preserve"> празен на плавателния съд и най-високата точка на плавателния съд, след като всички мобилни инсталации (повдигаща се рулева рубка, радарни инсталации, сгъваеми мачти и т.н.) са били приведени в най-ниските си позиции;“.</w:t>
      </w:r>
    </w:p>
    <w:p w14:paraId="15E26129" w14:textId="77777777" w:rsidR="002259FA" w:rsidRPr="00F06DE2" w:rsidRDefault="002259FA" w:rsidP="000B2E40">
      <w:pPr>
        <w:pStyle w:val="ESch"/>
        <w:jc w:val="both"/>
        <w:rPr>
          <w:rFonts w:ascii="Times New Roman" w:hAnsi="Times New Roman" w:cs="Times New Roman"/>
          <w:sz w:val="24"/>
          <w:szCs w:val="24"/>
          <w:lang w:val="ru-RU"/>
        </w:rPr>
      </w:pPr>
    </w:p>
    <w:p w14:paraId="28B60FA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b/>
          <w:sz w:val="24"/>
          <w:szCs w:val="24"/>
          <w:lang w:val="ru-RU"/>
        </w:rPr>
        <w:t>5.</w:t>
      </w:r>
      <w:r w:rsidRPr="00F06DE2">
        <w:rPr>
          <w:rFonts w:ascii="Times New Roman" w:hAnsi="Times New Roman" w:cs="Times New Roman"/>
          <w:sz w:val="24"/>
          <w:szCs w:val="24"/>
          <w:lang w:val="ru-RU"/>
        </w:rPr>
        <w:tab/>
      </w:r>
      <w:r w:rsidRPr="00F06DE2">
        <w:rPr>
          <w:rFonts w:ascii="Times New Roman" w:hAnsi="Times New Roman" w:cs="Times New Roman"/>
          <w:b/>
          <w:sz w:val="24"/>
          <w:szCs w:val="24"/>
          <w:lang w:val="ru-RU"/>
        </w:rPr>
        <w:t>Рулева система</w:t>
      </w:r>
    </w:p>
    <w:p w14:paraId="6B843903" w14:textId="7421266E"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5.1</w:t>
      </w:r>
      <w:r w:rsidRPr="00F06DE2">
        <w:rPr>
          <w:rFonts w:ascii="Times New Roman" w:hAnsi="Times New Roman" w:cs="Times New Roman"/>
          <w:sz w:val="24"/>
          <w:szCs w:val="24"/>
          <w:lang w:val="ru-RU"/>
        </w:rPr>
        <w:tab/>
        <w:t>„Рулева система“</w:t>
      </w:r>
      <w:r w:rsidR="00462D58"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цялото оборудване, необходимо за управление на плавателния съд, за осигуряване на маневреността, посочена в Глава 5;</w:t>
      </w:r>
    </w:p>
    <w:p w14:paraId="4A8C07C6" w14:textId="6990B4E1"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5.2</w:t>
      </w:r>
      <w:r w:rsidRPr="00F06DE2">
        <w:rPr>
          <w:rFonts w:ascii="Times New Roman" w:hAnsi="Times New Roman" w:cs="Times New Roman"/>
          <w:sz w:val="24"/>
          <w:szCs w:val="24"/>
          <w:lang w:val="ru-RU"/>
        </w:rPr>
        <w:tab/>
        <w:t>„Рул“</w:t>
      </w:r>
      <w:r w:rsidR="00462D58"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рул или рулове с балери, включително секторните румпели и компонентите, свързващи се с рулевия апарат;</w:t>
      </w:r>
    </w:p>
    <w:p w14:paraId="79130F1E" w14:textId="582ACFF8"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5.3</w:t>
      </w:r>
      <w:r w:rsidRPr="00F06DE2">
        <w:rPr>
          <w:rFonts w:ascii="Times New Roman" w:hAnsi="Times New Roman" w:cs="Times New Roman"/>
          <w:sz w:val="24"/>
          <w:szCs w:val="24"/>
          <w:lang w:val="ru-RU"/>
        </w:rPr>
        <w:tab/>
        <w:t>„Рулеви апарат“</w:t>
      </w:r>
      <w:r w:rsidR="00462D58"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част от рулевата система, която осигурява движението на руля;</w:t>
      </w:r>
    </w:p>
    <w:p w14:paraId="6B37EA15" w14:textId="620E5C0D"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5.4</w:t>
      </w:r>
      <w:r w:rsidRPr="00F06DE2">
        <w:rPr>
          <w:rFonts w:ascii="Times New Roman" w:hAnsi="Times New Roman" w:cs="Times New Roman"/>
          <w:sz w:val="24"/>
          <w:szCs w:val="24"/>
          <w:lang w:val="ru-RU"/>
        </w:rPr>
        <w:tab/>
        <w:t>„Задвижващо звено“</w:t>
      </w:r>
      <w:r w:rsidR="00462D58"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задвижване на рулевия апарат, разположено между източника на енергия и рулевия апарат;</w:t>
      </w:r>
    </w:p>
    <w:p w14:paraId="5B1C0EF4"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5.5</w:t>
      </w:r>
      <w:r w:rsidRPr="00F06DE2">
        <w:rPr>
          <w:rFonts w:ascii="Times New Roman" w:hAnsi="Times New Roman" w:cs="Times New Roman"/>
          <w:sz w:val="24"/>
          <w:szCs w:val="24"/>
          <w:lang w:val="ru-RU"/>
        </w:rPr>
        <w:tab/>
        <w:t>(оставено непопълнено);</w:t>
      </w:r>
    </w:p>
    <w:p w14:paraId="5E76930F" w14:textId="6DF00B6A"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5.6</w:t>
      </w:r>
      <w:r w:rsidRPr="00F06DE2">
        <w:rPr>
          <w:rFonts w:ascii="Times New Roman" w:hAnsi="Times New Roman" w:cs="Times New Roman"/>
          <w:sz w:val="24"/>
          <w:szCs w:val="24"/>
          <w:lang w:val="ru-RU"/>
        </w:rPr>
        <w:tab/>
        <w:t>„Уредба за управление на руля“</w:t>
      </w:r>
      <w:r w:rsidR="00462D58"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съставните части и електрическите вериги за работа на силово задвижвана уредба за управление на руля;</w:t>
      </w:r>
    </w:p>
    <w:p w14:paraId="05F4A049" w14:textId="553701D0"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5.7</w:t>
      </w:r>
      <w:r w:rsidRPr="00F06DE2">
        <w:rPr>
          <w:rFonts w:ascii="Times New Roman" w:hAnsi="Times New Roman" w:cs="Times New Roman"/>
          <w:sz w:val="24"/>
          <w:szCs w:val="24"/>
          <w:lang w:val="ru-RU"/>
        </w:rPr>
        <w:tab/>
        <w:t>„Задвижващо звено на рулевия апарат“</w:t>
      </w:r>
      <w:r w:rsidR="00462D58"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уредът за управление на рулевия апарат, неговото задвижващо звено и източник на енергия;</w:t>
      </w:r>
    </w:p>
    <w:p w14:paraId="14B5D156" w14:textId="19744F83"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5.8</w:t>
      </w:r>
      <w:r w:rsidRPr="00F06DE2">
        <w:rPr>
          <w:rFonts w:ascii="Times New Roman" w:hAnsi="Times New Roman" w:cs="Times New Roman"/>
          <w:sz w:val="24"/>
          <w:szCs w:val="24"/>
          <w:lang w:val="ru-RU"/>
        </w:rPr>
        <w:tab/>
        <w:t>„Ръчно задвижване“</w:t>
      </w:r>
      <w:r w:rsidR="00854B13" w:rsidRPr="00F06DE2">
        <w:rPr>
          <w:rFonts w:ascii="Times New Roman" w:hAnsi="Times New Roman" w:cs="Times New Roman"/>
          <w:sz w:val="24"/>
          <w:szCs w:val="24"/>
          <w:lang w:val="ru-RU"/>
        </w:rPr>
        <w:t xml:space="preserve"> е</w:t>
      </w:r>
      <w:r w:rsidRPr="00F06DE2">
        <w:rPr>
          <w:rFonts w:ascii="Times New Roman" w:hAnsi="Times New Roman" w:cs="Times New Roman"/>
          <w:sz w:val="24"/>
          <w:szCs w:val="24"/>
          <w:lang w:val="ru-RU"/>
        </w:rPr>
        <w:t xml:space="preserve"> система, посредством която ръчното управление на щурвала задвижва руля чрез механична трансмисия, без какъвто и да е допълнителен източник на енергия;</w:t>
      </w:r>
    </w:p>
    <w:p w14:paraId="1E2C884A"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5.9</w:t>
      </w:r>
      <w:r w:rsidRPr="00F06DE2">
        <w:rPr>
          <w:rFonts w:ascii="Times New Roman" w:hAnsi="Times New Roman" w:cs="Times New Roman"/>
          <w:sz w:val="24"/>
          <w:szCs w:val="24"/>
          <w:lang w:val="ru-RU"/>
        </w:rPr>
        <w:tab/>
        <w:t>„Ръчно управляемо хидравлично задвижване“ е ръчно управление, което задейства хидравлична предавка;</w:t>
      </w:r>
    </w:p>
    <w:p w14:paraId="2D7553A1" w14:textId="6B1C251A"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5.10</w:t>
      </w:r>
      <w:r w:rsidRPr="00F06DE2">
        <w:rPr>
          <w:rFonts w:ascii="Times New Roman" w:hAnsi="Times New Roman" w:cs="Times New Roman"/>
          <w:sz w:val="24"/>
          <w:szCs w:val="24"/>
          <w:lang w:val="ru-RU"/>
        </w:rPr>
        <w:tab/>
        <w:t>„Регулатор на ъгловата скорост</w:t>
      </w:r>
      <w:r w:rsidR="001F77A2" w:rsidRPr="00F06DE2">
        <w:rPr>
          <w:rFonts w:ascii="Times New Roman" w:hAnsi="Times New Roman" w:cs="Times New Roman"/>
          <w:sz w:val="24"/>
          <w:szCs w:val="24"/>
          <w:lang w:val="ru-RU"/>
        </w:rPr>
        <w:t xml:space="preserve"> </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xml:space="preserve">“ е оборудване, което автоматично достига и поддържа дадена ъглова скорост </w:t>
      </w:r>
      <w:r w:rsidR="006B0EC7" w:rsidRPr="00F06DE2">
        <w:rPr>
          <w:rFonts w:ascii="Times New Roman" w:hAnsi="Times New Roman" w:cs="Times New Roman"/>
          <w:sz w:val="24"/>
          <w:szCs w:val="24"/>
          <w:lang w:val="ru-RU"/>
        </w:rPr>
        <w:t xml:space="preserve"> </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xml:space="preserve"> на плавателния съд в съответствие с предварително избрани стойности;</w:t>
      </w:r>
    </w:p>
    <w:p w14:paraId="040FF5F2" w14:textId="77777777" w:rsidR="00854B13"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5.11</w:t>
      </w:r>
      <w:r w:rsidRPr="00F06DE2">
        <w:rPr>
          <w:rFonts w:ascii="Times New Roman" w:hAnsi="Times New Roman" w:cs="Times New Roman"/>
          <w:sz w:val="24"/>
          <w:szCs w:val="24"/>
          <w:lang w:val="ru-RU"/>
        </w:rPr>
        <w:tab/>
      </w:r>
      <w:r w:rsidR="003C2BBC" w:rsidRPr="00F06DE2">
        <w:rPr>
          <w:rFonts w:ascii="Times New Roman" w:hAnsi="Times New Roman" w:cs="Times New Roman"/>
          <w:sz w:val="24"/>
          <w:szCs w:val="24"/>
          <w:lang w:val="ru-RU"/>
        </w:rPr>
        <w:t xml:space="preserve"> „място за управление, проектирано за навигация от едно лице с помощта на радиолокатор“</w:t>
      </w:r>
      <w:r w:rsidR="00854B13" w:rsidRPr="00F06DE2">
        <w:rPr>
          <w:rFonts w:ascii="Times New Roman" w:hAnsi="Times New Roman" w:cs="Times New Roman"/>
          <w:sz w:val="24"/>
          <w:szCs w:val="24"/>
          <w:lang w:val="ru-RU"/>
        </w:rPr>
        <w:t xml:space="preserve"> е</w:t>
      </w:r>
      <w:r w:rsidR="003C2BBC" w:rsidRPr="00F06DE2">
        <w:rPr>
          <w:rFonts w:ascii="Times New Roman" w:hAnsi="Times New Roman" w:cs="Times New Roman"/>
          <w:sz w:val="24"/>
          <w:szCs w:val="24"/>
          <w:lang w:val="ru-RU"/>
        </w:rPr>
        <w:t xml:space="preserve"> място за управление организирано по такъв начин, че по време на навигация с помощта на радиолокатор плавателният съд може да бъде </w:t>
      </w:r>
      <w:r w:rsidR="00E875D7" w:rsidRPr="00F06DE2">
        <w:rPr>
          <w:rFonts w:ascii="Times New Roman" w:hAnsi="Times New Roman" w:cs="Times New Roman"/>
          <w:sz w:val="24"/>
          <w:szCs w:val="24"/>
          <w:lang w:val="ru-RU"/>
        </w:rPr>
        <w:t xml:space="preserve"> управляем</w:t>
      </w:r>
      <w:r w:rsidR="003C2BBC" w:rsidRPr="00F06DE2">
        <w:rPr>
          <w:rFonts w:ascii="Times New Roman" w:hAnsi="Times New Roman" w:cs="Times New Roman"/>
          <w:sz w:val="24"/>
          <w:szCs w:val="24"/>
          <w:lang w:val="ru-RU"/>
        </w:rPr>
        <w:t xml:space="preserve"> от едно лице</w:t>
      </w:r>
      <w:r w:rsidR="00854B13" w:rsidRPr="00F06DE2">
        <w:rPr>
          <w:rFonts w:ascii="Times New Roman" w:hAnsi="Times New Roman" w:cs="Times New Roman"/>
          <w:sz w:val="24"/>
          <w:szCs w:val="24"/>
          <w:lang w:val="ru-RU"/>
        </w:rPr>
        <w:t>;</w:t>
      </w:r>
    </w:p>
    <w:p w14:paraId="7CBAF7A3" w14:textId="437360C0"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5.12</w:t>
      </w:r>
      <w:r w:rsidRPr="00F06DE2">
        <w:rPr>
          <w:rFonts w:ascii="Times New Roman" w:hAnsi="Times New Roman" w:cs="Times New Roman"/>
          <w:sz w:val="24"/>
          <w:szCs w:val="24"/>
          <w:lang w:val="ru-RU"/>
        </w:rPr>
        <w:tab/>
        <w:t>„Прибираща се рулева рубка“</w:t>
      </w:r>
      <w:r w:rsidR="00854B13" w:rsidRPr="00F06DE2">
        <w:rPr>
          <w:rFonts w:ascii="Times New Roman" w:hAnsi="Times New Roman" w:cs="Times New Roman"/>
          <w:sz w:val="24"/>
          <w:szCs w:val="24"/>
          <w:lang w:val="ru-RU"/>
        </w:rPr>
        <w:t xml:space="preserve"> е</w:t>
      </w:r>
      <w:r w:rsidRPr="00F06DE2">
        <w:rPr>
          <w:rFonts w:ascii="Times New Roman" w:hAnsi="Times New Roman" w:cs="Times New Roman"/>
          <w:sz w:val="24"/>
          <w:szCs w:val="24"/>
          <w:lang w:val="ru-RU"/>
        </w:rPr>
        <w:t xml:space="preserve"> рулева рубка, чиято височина се регулира единствено чрез спускане на горната подвижна част, докато пода на рулевата рубка остава на място, или по друг свързан начин;</w:t>
      </w:r>
    </w:p>
    <w:p w14:paraId="2BBB2EA3" w14:textId="24987166"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5.13</w:t>
      </w:r>
      <w:r w:rsidRPr="00F06DE2">
        <w:rPr>
          <w:rFonts w:ascii="Times New Roman" w:hAnsi="Times New Roman" w:cs="Times New Roman"/>
          <w:sz w:val="24"/>
          <w:szCs w:val="24"/>
          <w:lang w:val="ru-RU"/>
        </w:rPr>
        <w:tab/>
        <w:t>„Повдигаща се рулева рубка“</w:t>
      </w:r>
      <w:r w:rsidR="00854B13" w:rsidRPr="00F06DE2">
        <w:rPr>
          <w:rFonts w:ascii="Times New Roman" w:hAnsi="Times New Roman" w:cs="Times New Roman"/>
          <w:sz w:val="24"/>
          <w:szCs w:val="24"/>
          <w:lang w:val="ru-RU"/>
        </w:rPr>
        <w:t xml:space="preserve"> е</w:t>
      </w:r>
      <w:r w:rsidRPr="00F06DE2">
        <w:rPr>
          <w:rFonts w:ascii="Times New Roman" w:hAnsi="Times New Roman" w:cs="Times New Roman"/>
          <w:sz w:val="24"/>
          <w:szCs w:val="24"/>
          <w:lang w:val="ru-RU"/>
        </w:rPr>
        <w:t xml:space="preserve"> рулева рубка, чиято височина се регулира от движението на цялата рулева рубка. Този тип рулева рубка може допълнително да има прибираща се горна част.</w:t>
      </w:r>
    </w:p>
    <w:p w14:paraId="46F8F7F5" w14:textId="77777777" w:rsidR="00271FA2" w:rsidRPr="00F06DE2" w:rsidRDefault="00D35E51" w:rsidP="000B2E40">
      <w:pPr>
        <w:pStyle w:val="ESch"/>
        <w:jc w:val="both"/>
        <w:rPr>
          <w:rFonts w:ascii="Times New Roman" w:hAnsi="Times New Roman" w:cs="Times New Roman"/>
          <w:b/>
          <w:sz w:val="24"/>
          <w:szCs w:val="24"/>
          <w:lang w:val="ru-RU"/>
        </w:rPr>
      </w:pPr>
      <w:r w:rsidRPr="00F06DE2">
        <w:rPr>
          <w:rFonts w:ascii="Times New Roman" w:hAnsi="Times New Roman" w:cs="Times New Roman"/>
          <w:b/>
          <w:sz w:val="24"/>
          <w:szCs w:val="24"/>
          <w:lang w:val="ru-RU"/>
        </w:rPr>
        <w:t>6.</w:t>
      </w:r>
      <w:r w:rsidRPr="00F06DE2">
        <w:rPr>
          <w:rFonts w:ascii="Times New Roman" w:hAnsi="Times New Roman" w:cs="Times New Roman"/>
          <w:sz w:val="24"/>
          <w:szCs w:val="24"/>
          <w:lang w:val="ru-RU"/>
        </w:rPr>
        <w:tab/>
      </w:r>
      <w:r w:rsidRPr="00F06DE2">
        <w:rPr>
          <w:rFonts w:ascii="Times New Roman" w:hAnsi="Times New Roman" w:cs="Times New Roman"/>
          <w:b/>
          <w:sz w:val="24"/>
          <w:szCs w:val="24"/>
          <w:lang w:val="ru-RU"/>
        </w:rPr>
        <w:t>Свойства на конструктивните елементи и материали</w:t>
      </w:r>
    </w:p>
    <w:p w14:paraId="584D5C8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6.1</w:t>
      </w:r>
      <w:r w:rsidRPr="00F06DE2">
        <w:rPr>
          <w:rFonts w:ascii="Times New Roman" w:hAnsi="Times New Roman" w:cs="Times New Roman"/>
          <w:sz w:val="24"/>
          <w:szCs w:val="24"/>
          <w:lang w:val="ru-RU"/>
        </w:rPr>
        <w:tab/>
        <w:t>„Водонепроницаем“: конструктивен елемент или устройство, монтирани, така че да не допускат проникване на вода;</w:t>
      </w:r>
    </w:p>
    <w:p w14:paraId="2AE4724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6.2</w:t>
      </w:r>
      <w:r w:rsidRPr="00F06DE2">
        <w:rPr>
          <w:rFonts w:ascii="Times New Roman" w:hAnsi="Times New Roman" w:cs="Times New Roman"/>
          <w:sz w:val="24"/>
          <w:szCs w:val="24"/>
          <w:lang w:val="ru-RU"/>
        </w:rPr>
        <w:tab/>
        <w:t>„Защитен от пръски и атмосферни въздействия“: конструктивен елемент или устройство, монтирани, така че при нормални условия да пропускат само незначително количество вода;</w:t>
      </w:r>
    </w:p>
    <w:p w14:paraId="1901CF17"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6.2</w:t>
      </w:r>
      <w:r w:rsidRPr="00F06DE2">
        <w:rPr>
          <w:rFonts w:ascii="Times New Roman" w:hAnsi="Times New Roman" w:cs="Times New Roman"/>
          <w:sz w:val="24"/>
          <w:szCs w:val="24"/>
        </w:rPr>
        <w:t>a</w:t>
      </w:r>
      <w:r w:rsidRPr="00F06DE2">
        <w:rPr>
          <w:rFonts w:ascii="Times New Roman" w:hAnsi="Times New Roman" w:cs="Times New Roman"/>
          <w:sz w:val="24"/>
          <w:szCs w:val="24"/>
          <w:lang w:val="ru-RU"/>
        </w:rPr>
        <w:tab/>
        <w:t>„Незащитен отвор“ (или „отворен“ тип отвор): Отвори, които не могат да бъдат затворени с поне устойчиви на атмосферни влияния средства за затваряне трябва да се считат за незащитени отвори и, следователно, като точки за наводняване. Включва и вентилационни отвори, които трябва да останат отворени за подаване на въздух към машинното отделение или помещението за аварийния генератор за експлоатация на плавателния съд;</w:t>
      </w:r>
    </w:p>
    <w:p w14:paraId="75725408"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6.3</w:t>
      </w:r>
      <w:r w:rsidRPr="00F06DE2">
        <w:rPr>
          <w:rFonts w:ascii="Times New Roman" w:hAnsi="Times New Roman" w:cs="Times New Roman"/>
          <w:sz w:val="24"/>
          <w:szCs w:val="24"/>
          <w:lang w:val="ru-RU"/>
        </w:rPr>
        <w:tab/>
        <w:t>„Газонепроницаем“: конструктивен елемент или устройство, монтирани, така че да предотвратяват проникването на газ или пара;</w:t>
      </w:r>
    </w:p>
    <w:p w14:paraId="3E0EBD54" w14:textId="6E88EF1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6.4</w:t>
      </w:r>
      <w:r w:rsidRPr="00F06DE2">
        <w:rPr>
          <w:rFonts w:ascii="Times New Roman" w:hAnsi="Times New Roman" w:cs="Times New Roman"/>
          <w:sz w:val="24"/>
          <w:szCs w:val="24"/>
          <w:lang w:val="ru-RU"/>
        </w:rPr>
        <w:tab/>
        <w:t>„Негорим“</w:t>
      </w:r>
      <w:r w:rsidR="00CB0CEC"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вещество, което нито гори, нито отделя запалими пари в такива количества, че те да са способни да се възпламенят спонтанно при достигане на температура около 750</w:t>
      </w:r>
      <w:r w:rsidRPr="00F06DE2">
        <w:rPr>
          <w:rFonts w:ascii="Times New Roman" w:hAnsi="Times New Roman" w:cs="Times New Roman"/>
          <w:sz w:val="24"/>
          <w:szCs w:val="24"/>
        </w:rPr>
        <w:t> </w:t>
      </w:r>
      <w:r w:rsidRPr="00F06DE2">
        <w:rPr>
          <w:rFonts w:ascii="Times New Roman" w:hAnsi="Times New Roman" w:cs="Times New Roman"/>
          <w:sz w:val="24"/>
          <w:szCs w:val="24"/>
          <w:lang w:val="ru-RU"/>
        </w:rPr>
        <w:t>С;</w:t>
      </w:r>
    </w:p>
    <w:p w14:paraId="56821442" w14:textId="1A6D254F"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6.5</w:t>
      </w:r>
      <w:r w:rsidRPr="00F06DE2">
        <w:rPr>
          <w:rFonts w:ascii="Times New Roman" w:hAnsi="Times New Roman" w:cs="Times New Roman"/>
          <w:sz w:val="24"/>
          <w:szCs w:val="24"/>
          <w:lang w:val="ru-RU"/>
        </w:rPr>
        <w:tab/>
        <w:t>„Забавящ горенето“</w:t>
      </w:r>
      <w:r w:rsidR="00CB0CEC"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материал, който не се запалва лесно или чиято повърхност най-малкото ограничава разпространяването на пламъци съгласно процедурата на изпитване, посочена в член 19.11, точка 1, буква “в”;</w:t>
      </w:r>
    </w:p>
    <w:p w14:paraId="57501286" w14:textId="3942CD12"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6.6</w:t>
      </w:r>
      <w:r w:rsidRPr="00F06DE2">
        <w:rPr>
          <w:rFonts w:ascii="Times New Roman" w:hAnsi="Times New Roman" w:cs="Times New Roman"/>
          <w:sz w:val="24"/>
          <w:szCs w:val="24"/>
          <w:lang w:val="ru-RU"/>
        </w:rPr>
        <w:tab/>
        <w:t>„Самогасящ“</w:t>
      </w:r>
      <w:r w:rsidR="00CB0CEC"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характеристика на горящо вещество, която обуславя неговото изгасване в рамките на кратък период от време, след като източникът на запалване бъде отстранен, т.е. то престава да гори;</w:t>
      </w:r>
    </w:p>
    <w:p w14:paraId="35E383C2" w14:textId="7A3D3B92"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6.7</w:t>
      </w:r>
      <w:r w:rsidRPr="00F06DE2">
        <w:rPr>
          <w:rFonts w:ascii="Times New Roman" w:hAnsi="Times New Roman" w:cs="Times New Roman"/>
          <w:sz w:val="24"/>
          <w:szCs w:val="24"/>
          <w:lang w:val="ru-RU"/>
        </w:rPr>
        <w:tab/>
        <w:t>„Огнеустойчивост“</w:t>
      </w:r>
      <w:r w:rsidR="00CB0CEC"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свойството на конструктивните елементи или устройства, както е удостоверено от процедурата на изпитване, посочена в член 19.11, точка 1, буква “г”;</w:t>
      </w:r>
    </w:p>
    <w:p w14:paraId="74428496"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6.8</w:t>
      </w:r>
      <w:r w:rsidRPr="00F06DE2">
        <w:rPr>
          <w:rFonts w:ascii="Times New Roman" w:hAnsi="Times New Roman" w:cs="Times New Roman"/>
          <w:sz w:val="24"/>
          <w:szCs w:val="24"/>
          <w:lang w:val="ru-RU"/>
        </w:rPr>
        <w:tab/>
        <w:t xml:space="preserve">„Кодекс на процедурите за противопожарни изпитвания“: Международният кодекс за прилагане на процедури за пожарни изпитания (Кодекс </w:t>
      </w:r>
      <w:r w:rsidRPr="00F06DE2">
        <w:rPr>
          <w:rFonts w:ascii="Times New Roman" w:hAnsi="Times New Roman" w:cs="Times New Roman"/>
          <w:sz w:val="24"/>
          <w:szCs w:val="24"/>
        </w:rPr>
        <w:t>FTP</w:t>
      </w:r>
      <w:r w:rsidRPr="00F06DE2">
        <w:rPr>
          <w:rFonts w:ascii="Times New Roman" w:hAnsi="Times New Roman" w:cs="Times New Roman"/>
          <w:sz w:val="24"/>
          <w:szCs w:val="24"/>
          <w:lang w:val="ru-RU"/>
        </w:rPr>
        <w:t xml:space="preserve">), приет с Резолюция </w:t>
      </w:r>
      <w:r w:rsidRPr="00F06DE2">
        <w:rPr>
          <w:rFonts w:ascii="Times New Roman" w:hAnsi="Times New Roman" w:cs="Times New Roman"/>
          <w:sz w:val="24"/>
          <w:szCs w:val="24"/>
        </w:rPr>
        <w:lastRenderedPageBreak/>
        <w:t>MSC</w:t>
      </w:r>
      <w:r w:rsidRPr="00F06DE2">
        <w:rPr>
          <w:rFonts w:ascii="Times New Roman" w:hAnsi="Times New Roman" w:cs="Times New Roman"/>
          <w:sz w:val="24"/>
          <w:szCs w:val="24"/>
          <w:lang w:val="ru-RU"/>
        </w:rPr>
        <w:t>.307 (88)</w:t>
      </w:r>
      <w:r w:rsidRPr="00F06DE2">
        <w:rPr>
          <w:rFonts w:ascii="Times New Roman" w:hAnsi="Times New Roman" w:cs="Times New Roman"/>
          <w:sz w:val="24"/>
          <w:szCs w:val="24"/>
          <w:vertAlign w:val="superscript"/>
        </w:rPr>
        <w:footnoteReference w:id="1"/>
      </w:r>
      <w:r w:rsidRPr="00F06DE2">
        <w:rPr>
          <w:rFonts w:ascii="Times New Roman" w:hAnsi="Times New Roman" w:cs="Times New Roman"/>
          <w:sz w:val="24"/>
          <w:szCs w:val="24"/>
          <w:lang w:val="ru-RU"/>
        </w:rPr>
        <w:t xml:space="preserve"> от Комитета по морска безопасност на Международната морска организация (ИМО).</w:t>
      </w:r>
    </w:p>
    <w:p w14:paraId="36E569E6" w14:textId="2CDD1D58" w:rsidR="008F5D94" w:rsidRPr="00F06DE2" w:rsidRDefault="008F5D94"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„6.9 </w:t>
      </w:r>
      <w:r w:rsidR="000B2E40" w:rsidRPr="00F06DE2">
        <w:rPr>
          <w:rFonts w:ascii="Times New Roman" w:hAnsi="Times New Roman" w:cs="Times New Roman"/>
          <w:sz w:val="24"/>
          <w:szCs w:val="24"/>
          <w:lang w:val="ru-RU"/>
        </w:rPr>
        <w:tab/>
      </w:r>
      <w:r w:rsidRPr="00F06DE2">
        <w:rPr>
          <w:rFonts w:ascii="Times New Roman" w:hAnsi="Times New Roman" w:cs="Times New Roman"/>
          <w:sz w:val="24"/>
          <w:szCs w:val="24"/>
          <w:lang w:val="ru-RU"/>
        </w:rPr>
        <w:t xml:space="preserve">„ограничаване на огъня“: свойството на структурните компоненти или устройства, сертифицирано от процедурата за изпитване, посочена в член 19.11, </w:t>
      </w:r>
      <w:r w:rsidR="0097711D" w:rsidRPr="00F06DE2">
        <w:rPr>
          <w:rFonts w:ascii="Times New Roman" w:hAnsi="Times New Roman" w:cs="Times New Roman"/>
          <w:sz w:val="24"/>
          <w:szCs w:val="24"/>
          <w:lang w:val="ru-RU"/>
        </w:rPr>
        <w:t>т.</w:t>
      </w:r>
      <w:r w:rsidR="00DA33A2" w:rsidRPr="00F06DE2">
        <w:rPr>
          <w:rFonts w:ascii="Times New Roman" w:hAnsi="Times New Roman" w:cs="Times New Roman"/>
          <w:sz w:val="24"/>
          <w:szCs w:val="24"/>
          <w:lang w:val="ru-RU"/>
        </w:rPr>
        <w:t xml:space="preserve"> точка</w:t>
      </w:r>
      <w:r w:rsidRPr="00F06DE2">
        <w:rPr>
          <w:rFonts w:ascii="Times New Roman" w:hAnsi="Times New Roman" w:cs="Times New Roman"/>
          <w:sz w:val="24"/>
          <w:szCs w:val="24"/>
          <w:lang w:val="ru-RU"/>
        </w:rPr>
        <w:t xml:space="preserve"> 1, буква </w:t>
      </w:r>
      <w:r w:rsidR="00506027"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д“.</w:t>
      </w:r>
    </w:p>
    <w:p w14:paraId="51E84780"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b/>
          <w:sz w:val="24"/>
          <w:szCs w:val="24"/>
          <w:lang w:val="ru-RU"/>
        </w:rPr>
        <w:t>7.</w:t>
      </w:r>
      <w:r w:rsidRPr="00F06DE2">
        <w:rPr>
          <w:rFonts w:ascii="Times New Roman" w:hAnsi="Times New Roman" w:cs="Times New Roman"/>
          <w:sz w:val="24"/>
          <w:szCs w:val="24"/>
          <w:lang w:val="ru-RU"/>
        </w:rPr>
        <w:tab/>
      </w:r>
      <w:r w:rsidRPr="00F06DE2">
        <w:rPr>
          <w:rFonts w:ascii="Times New Roman" w:hAnsi="Times New Roman" w:cs="Times New Roman"/>
          <w:b/>
          <w:sz w:val="24"/>
          <w:szCs w:val="24"/>
          <w:lang w:val="ru-RU"/>
        </w:rPr>
        <w:t>Сигнални светлини, навигационно и информационно оборудване</w:t>
      </w:r>
    </w:p>
    <w:p w14:paraId="570BD1F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7.1</w:t>
      </w:r>
      <w:r w:rsidRPr="00F06DE2">
        <w:rPr>
          <w:rFonts w:ascii="Times New Roman" w:hAnsi="Times New Roman" w:cs="Times New Roman"/>
          <w:sz w:val="24"/>
          <w:szCs w:val="24"/>
          <w:lang w:val="ru-RU"/>
        </w:rPr>
        <w:tab/>
        <w:t>„Сигнални светлини“: светлина от навигационни светлини за обозначаване на плавателни съдове;</w:t>
      </w:r>
    </w:p>
    <w:p w14:paraId="7B83C49A"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7.2</w:t>
      </w:r>
      <w:r w:rsidRPr="00F06DE2">
        <w:rPr>
          <w:rFonts w:ascii="Times New Roman" w:hAnsi="Times New Roman" w:cs="Times New Roman"/>
          <w:sz w:val="24"/>
          <w:szCs w:val="24"/>
          <w:lang w:val="ru-RU"/>
        </w:rPr>
        <w:tab/>
        <w:t>„Светлинни сигнали“: светлина, използвана в допълнение на оптични или звукови сигнали;</w:t>
      </w:r>
      <w:r w:rsidR="008F5D94" w:rsidRPr="00F06DE2">
        <w:rPr>
          <w:rFonts w:ascii="Times New Roman" w:hAnsi="Times New Roman" w:cs="Times New Roman"/>
          <w:sz w:val="24"/>
          <w:szCs w:val="24"/>
          <w:lang w:val="ru-RU"/>
        </w:rPr>
        <w:t xml:space="preserve"> </w:t>
      </w:r>
    </w:p>
    <w:p w14:paraId="091A4527" w14:textId="4A7D9F36"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7.3</w:t>
      </w:r>
      <w:r w:rsidRPr="00F06DE2">
        <w:rPr>
          <w:rFonts w:ascii="Times New Roman" w:hAnsi="Times New Roman" w:cs="Times New Roman"/>
          <w:sz w:val="24"/>
          <w:szCs w:val="24"/>
          <w:lang w:val="ru-RU"/>
        </w:rPr>
        <w:tab/>
        <w:t>„Навигационно радиолокационно оборудване“</w:t>
      </w:r>
      <w:r w:rsidR="00B15A6F"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електронно навигационно помощно средство за откриване и показване на заобикалящите обекти и трафика;</w:t>
      </w:r>
    </w:p>
    <w:p w14:paraId="4FDBB0B9" w14:textId="77777777" w:rsidR="00271FA2" w:rsidRPr="00F06DE2" w:rsidRDefault="00D35E51" w:rsidP="00D40937">
      <w:pPr>
        <w:pStyle w:val="ESch"/>
        <w:tabs>
          <w:tab w:val="left" w:pos="567"/>
        </w:tabs>
        <w:ind w:left="0" w:firstLine="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7.4</w:t>
      </w:r>
      <w:r w:rsidRPr="00F06DE2">
        <w:rPr>
          <w:rFonts w:ascii="Times New Roman" w:hAnsi="Times New Roman" w:cs="Times New Roman"/>
          <w:sz w:val="24"/>
          <w:szCs w:val="24"/>
          <w:lang w:val="ru-RU"/>
        </w:rPr>
        <w:tab/>
        <w:t>(остава празно);</w:t>
      </w:r>
    </w:p>
    <w:p w14:paraId="3A1794F4" w14:textId="0911E97B"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7.5</w:t>
      </w:r>
      <w:r w:rsidRPr="00F06DE2">
        <w:rPr>
          <w:rFonts w:ascii="Times New Roman" w:hAnsi="Times New Roman" w:cs="Times New Roman"/>
          <w:sz w:val="24"/>
          <w:szCs w:val="24"/>
          <w:lang w:val="ru-RU"/>
        </w:rPr>
        <w:tab/>
        <w:t>„</w:t>
      </w:r>
      <w:r w:rsidRPr="00F06DE2">
        <w:rPr>
          <w:rFonts w:ascii="Times New Roman" w:hAnsi="Times New Roman" w:cs="Times New Roman"/>
          <w:sz w:val="24"/>
          <w:szCs w:val="24"/>
        </w:rPr>
        <w:t>ECDIS</w:t>
      </w:r>
      <w:r w:rsidRPr="00F06DE2">
        <w:rPr>
          <w:rFonts w:ascii="Times New Roman" w:hAnsi="Times New Roman" w:cs="Times New Roman"/>
          <w:sz w:val="24"/>
          <w:szCs w:val="24"/>
          <w:lang w:val="ru-RU"/>
        </w:rPr>
        <w:t xml:space="preserve"> оборудване за вътрешно корабоплаване“</w:t>
      </w:r>
      <w:r w:rsidR="00B15A6F"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оборудване, монтирано на борда на плавателен съд и използвано в рамките на значението на </w:t>
      </w:r>
      <w:r w:rsidR="00D67BAD" w:rsidRPr="00F06DE2">
        <w:rPr>
          <w:rFonts w:ascii="Times New Roman" w:hAnsi="Times New Roman" w:cs="Times New Roman"/>
          <w:sz w:val="24"/>
          <w:szCs w:val="24"/>
          <w:lang w:val="ru-RU"/>
        </w:rPr>
        <w:t xml:space="preserve">приложимото издание на </w:t>
      </w:r>
      <w:r w:rsidR="00D67BAD" w:rsidRPr="00F06DE2">
        <w:rPr>
          <w:rFonts w:ascii="Times New Roman" w:hAnsi="Times New Roman" w:cs="Times New Roman"/>
          <w:sz w:val="24"/>
          <w:szCs w:val="24"/>
        </w:rPr>
        <w:t>ES</w:t>
      </w:r>
      <w:r w:rsidR="00D67BAD" w:rsidRPr="00F06DE2">
        <w:rPr>
          <w:rFonts w:ascii="Times New Roman" w:hAnsi="Times New Roman" w:cs="Times New Roman"/>
          <w:sz w:val="24"/>
          <w:szCs w:val="24"/>
          <w:lang w:val="ru-RU"/>
        </w:rPr>
        <w:t>-</w:t>
      </w:r>
      <w:r w:rsidR="00D67BAD" w:rsidRPr="00F06DE2">
        <w:rPr>
          <w:rFonts w:ascii="Times New Roman" w:hAnsi="Times New Roman" w:cs="Times New Roman"/>
          <w:sz w:val="24"/>
          <w:szCs w:val="24"/>
        </w:rPr>
        <w:t>RIS</w:t>
      </w:r>
      <w:r w:rsidR="00B15A6F" w:rsidRPr="00F06DE2">
        <w:rPr>
          <w:rFonts w:ascii="Times New Roman" w:hAnsi="Times New Roman" w:cs="Times New Roman"/>
          <w:sz w:val="24"/>
          <w:szCs w:val="24"/>
        </w:rPr>
        <w:t>,</w:t>
      </w:r>
      <w:r w:rsidR="00D67BAD" w:rsidRPr="00F06DE2">
        <w:rPr>
          <w:rFonts w:ascii="Times New Roman" w:hAnsi="Times New Roman" w:cs="Times New Roman"/>
          <w:sz w:val="24"/>
          <w:szCs w:val="24"/>
          <w:lang w:val="ru-RU"/>
        </w:rPr>
        <w:t xml:space="preserve"> част </w:t>
      </w:r>
      <w:r w:rsidR="00D67BAD" w:rsidRPr="00F06DE2">
        <w:rPr>
          <w:rFonts w:ascii="Times New Roman" w:hAnsi="Times New Roman" w:cs="Times New Roman"/>
          <w:sz w:val="24"/>
          <w:szCs w:val="24"/>
        </w:rPr>
        <w:t>I</w:t>
      </w:r>
      <w:r w:rsidRPr="00F06DE2">
        <w:rPr>
          <w:rFonts w:ascii="Times New Roman" w:hAnsi="Times New Roman" w:cs="Times New Roman"/>
          <w:sz w:val="24"/>
          <w:szCs w:val="24"/>
          <w:lang w:val="ru-RU"/>
        </w:rPr>
        <w:t>. Може да се управлява в два различни режима: информационен режим и навигационен режим;</w:t>
      </w:r>
    </w:p>
    <w:p w14:paraId="35BA3620" w14:textId="1E85F017" w:rsidR="00271FA2" w:rsidRPr="00F06DE2" w:rsidRDefault="00D35E51" w:rsidP="000B2E40">
      <w:pPr>
        <w:ind w:left="570" w:hanging="57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7.6</w:t>
      </w:r>
      <w:r w:rsidRPr="00F06DE2">
        <w:rPr>
          <w:rFonts w:ascii="Times New Roman" w:hAnsi="Times New Roman" w:cs="Times New Roman"/>
          <w:sz w:val="24"/>
          <w:szCs w:val="24"/>
          <w:lang w:val="ru-RU"/>
        </w:rPr>
        <w:tab/>
        <w:t>„Информационен режим“</w:t>
      </w:r>
      <w:r w:rsidR="00B15A6F"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използване на </w:t>
      </w:r>
      <w:r w:rsidRPr="00F06DE2">
        <w:rPr>
          <w:rFonts w:ascii="Times New Roman" w:hAnsi="Times New Roman" w:cs="Times New Roman"/>
          <w:sz w:val="24"/>
          <w:szCs w:val="24"/>
        </w:rPr>
        <w:t>ECDIS</w:t>
      </w:r>
      <w:r w:rsidRPr="00F06DE2">
        <w:rPr>
          <w:rFonts w:ascii="Times New Roman" w:hAnsi="Times New Roman" w:cs="Times New Roman"/>
          <w:sz w:val="24"/>
          <w:szCs w:val="24"/>
          <w:lang w:val="ru-RU"/>
        </w:rPr>
        <w:t xml:space="preserve"> оборудване за вътрешно корабоплаване само за информационни цели, </w:t>
      </w:r>
      <w:r w:rsidR="008F5D94" w:rsidRPr="00F06DE2">
        <w:rPr>
          <w:rFonts w:ascii="Times New Roman" w:hAnsi="Times New Roman" w:cs="Times New Roman"/>
          <w:sz w:val="24"/>
          <w:szCs w:val="24"/>
          <w:lang w:val="ru-RU"/>
        </w:rPr>
        <w:t>без радарно наслагване;</w:t>
      </w:r>
      <w:r w:rsidRPr="00F06DE2">
        <w:rPr>
          <w:rFonts w:ascii="Times New Roman" w:hAnsi="Times New Roman" w:cs="Times New Roman"/>
          <w:sz w:val="24"/>
          <w:szCs w:val="24"/>
          <w:lang w:val="ru-RU"/>
        </w:rPr>
        <w:t>;</w:t>
      </w:r>
    </w:p>
    <w:p w14:paraId="43BB292A" w14:textId="56A7F78B"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7.7</w:t>
      </w:r>
      <w:r w:rsidRPr="00F06DE2">
        <w:rPr>
          <w:rFonts w:ascii="Times New Roman" w:hAnsi="Times New Roman" w:cs="Times New Roman"/>
          <w:sz w:val="24"/>
          <w:szCs w:val="24"/>
          <w:lang w:val="ru-RU"/>
        </w:rPr>
        <w:tab/>
        <w:t>„Навигационен режим“</w:t>
      </w:r>
      <w:r w:rsidR="00B15A6F"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използване на </w:t>
      </w:r>
      <w:r w:rsidRPr="00F06DE2">
        <w:rPr>
          <w:rFonts w:ascii="Times New Roman" w:hAnsi="Times New Roman" w:cs="Times New Roman"/>
          <w:sz w:val="24"/>
          <w:szCs w:val="24"/>
        </w:rPr>
        <w:t>ECDIS</w:t>
      </w:r>
      <w:r w:rsidRPr="00F06DE2">
        <w:rPr>
          <w:rFonts w:ascii="Times New Roman" w:hAnsi="Times New Roman" w:cs="Times New Roman"/>
          <w:sz w:val="24"/>
          <w:szCs w:val="24"/>
          <w:lang w:val="ru-RU"/>
        </w:rPr>
        <w:t xml:space="preserve"> оборудване за вътрешно корабоплаване</w:t>
      </w:r>
      <w:r w:rsidR="004549F0" w:rsidRPr="00F06DE2">
        <w:rPr>
          <w:rFonts w:ascii="Times New Roman" w:hAnsi="Times New Roman" w:cs="Times New Roman"/>
          <w:sz w:val="24"/>
          <w:szCs w:val="24"/>
          <w:lang w:val="ru-RU"/>
        </w:rPr>
        <w:t xml:space="preserve"> с</w:t>
      </w:r>
      <w:r w:rsidRPr="00F06DE2">
        <w:rPr>
          <w:rFonts w:ascii="Times New Roman" w:hAnsi="Times New Roman" w:cs="Times New Roman"/>
          <w:sz w:val="24"/>
          <w:szCs w:val="24"/>
          <w:lang w:val="ru-RU"/>
        </w:rPr>
        <w:t xml:space="preserve"> </w:t>
      </w:r>
      <w:r w:rsidR="004549F0" w:rsidRPr="00F06DE2">
        <w:rPr>
          <w:rFonts w:ascii="Times New Roman" w:hAnsi="Times New Roman" w:cs="Times New Roman"/>
          <w:sz w:val="24"/>
          <w:szCs w:val="24"/>
          <w:lang w:val="ru-RU"/>
        </w:rPr>
        <w:t xml:space="preserve">радарно </w:t>
      </w:r>
      <w:r w:rsidR="00906C81" w:rsidRPr="00F06DE2">
        <w:rPr>
          <w:rFonts w:ascii="Times New Roman" w:hAnsi="Times New Roman" w:cs="Times New Roman"/>
          <w:sz w:val="24"/>
          <w:szCs w:val="24"/>
          <w:lang w:val="ru-RU"/>
        </w:rPr>
        <w:t xml:space="preserve"> наслагв</w:t>
      </w:r>
      <w:r w:rsidR="003B5017" w:rsidRPr="00F06DE2">
        <w:rPr>
          <w:rFonts w:ascii="Times New Roman" w:hAnsi="Times New Roman" w:cs="Times New Roman"/>
          <w:sz w:val="24"/>
          <w:szCs w:val="24"/>
          <w:lang w:val="ru-RU"/>
        </w:rPr>
        <w:t xml:space="preserve">ане </w:t>
      </w:r>
      <w:r w:rsidRPr="00F06DE2">
        <w:rPr>
          <w:rFonts w:ascii="Times New Roman" w:hAnsi="Times New Roman" w:cs="Times New Roman"/>
          <w:sz w:val="24"/>
          <w:szCs w:val="24"/>
          <w:lang w:val="ru-RU"/>
        </w:rPr>
        <w:t>за навигация на плавателно средство ;</w:t>
      </w:r>
    </w:p>
    <w:p w14:paraId="7E270B4B" w14:textId="3D213F49" w:rsidR="00271FA2" w:rsidRPr="00F06DE2" w:rsidRDefault="00D35E51" w:rsidP="000B2E40">
      <w:pPr>
        <w:pStyle w:val="ESch"/>
        <w:numPr>
          <w:ilvl w:val="1"/>
          <w:numId w:val="8"/>
        </w:numPr>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„Оборудване за </w:t>
      </w:r>
      <w:r w:rsidRPr="00F06DE2">
        <w:rPr>
          <w:rFonts w:ascii="Times New Roman" w:hAnsi="Times New Roman" w:cs="Times New Roman"/>
          <w:sz w:val="24"/>
          <w:szCs w:val="24"/>
        </w:rPr>
        <w:t>AIS</w:t>
      </w:r>
      <w:r w:rsidRPr="00F06DE2">
        <w:rPr>
          <w:rFonts w:ascii="Times New Roman" w:hAnsi="Times New Roman" w:cs="Times New Roman"/>
          <w:sz w:val="24"/>
          <w:szCs w:val="24"/>
          <w:lang w:val="ru-RU"/>
        </w:rPr>
        <w:t xml:space="preserve"> за вътрешно корабоплаване“</w:t>
      </w:r>
      <w:r w:rsidR="00B15A6F" w:rsidRPr="00F06DE2">
        <w:rPr>
          <w:rFonts w:ascii="Times New Roman" w:hAnsi="Times New Roman" w:cs="Times New Roman"/>
          <w:sz w:val="24"/>
          <w:szCs w:val="24"/>
          <w:lang w:val="ru-RU"/>
        </w:rPr>
        <w:t>:</w:t>
      </w:r>
      <w:r w:rsidRPr="00F06DE2">
        <w:rPr>
          <w:rFonts w:ascii="Times New Roman" w:hAnsi="Times New Roman" w:cs="Times New Roman"/>
          <w:sz w:val="24"/>
          <w:szCs w:val="24"/>
          <w:lang w:val="ru-RU"/>
        </w:rPr>
        <w:t xml:space="preserve"> </w:t>
      </w:r>
      <w:r w:rsidR="006C722F" w:rsidRPr="00F06DE2">
        <w:rPr>
          <w:rFonts w:ascii="Times New Roman" w:hAnsi="Times New Roman" w:cs="Times New Roman"/>
          <w:sz w:val="24"/>
          <w:szCs w:val="24"/>
          <w:lang w:val="ru-RU"/>
        </w:rPr>
        <w:t xml:space="preserve">оборудване, монтирано на борда на плавателен съд и използвано по смисъла на текущото издание на стандарта </w:t>
      </w:r>
      <w:r w:rsidR="006C722F" w:rsidRPr="00F06DE2">
        <w:rPr>
          <w:rFonts w:ascii="Times New Roman" w:hAnsi="Times New Roman" w:cs="Times New Roman"/>
          <w:sz w:val="24"/>
          <w:szCs w:val="24"/>
        </w:rPr>
        <w:t>ES</w:t>
      </w:r>
      <w:r w:rsidR="006C722F" w:rsidRPr="00F06DE2">
        <w:rPr>
          <w:rFonts w:ascii="Times New Roman" w:hAnsi="Times New Roman" w:cs="Times New Roman"/>
          <w:sz w:val="24"/>
          <w:szCs w:val="24"/>
          <w:lang w:val="ru-RU"/>
        </w:rPr>
        <w:t>-</w:t>
      </w:r>
      <w:r w:rsidR="006C722F" w:rsidRPr="00F06DE2">
        <w:rPr>
          <w:rFonts w:ascii="Times New Roman" w:hAnsi="Times New Roman" w:cs="Times New Roman"/>
          <w:sz w:val="24"/>
          <w:szCs w:val="24"/>
        </w:rPr>
        <w:t>RIS</w:t>
      </w:r>
      <w:r w:rsidR="006C722F" w:rsidRPr="00F06DE2">
        <w:rPr>
          <w:rFonts w:ascii="Times New Roman" w:hAnsi="Times New Roman" w:cs="Times New Roman"/>
          <w:sz w:val="24"/>
          <w:szCs w:val="24"/>
          <w:lang w:val="ru-RU"/>
        </w:rPr>
        <w:t xml:space="preserve">, част </w:t>
      </w:r>
      <w:r w:rsidR="006C722F" w:rsidRPr="00F06DE2">
        <w:rPr>
          <w:rFonts w:ascii="Times New Roman" w:hAnsi="Times New Roman" w:cs="Times New Roman"/>
          <w:sz w:val="24"/>
          <w:szCs w:val="24"/>
        </w:rPr>
        <w:t>II</w:t>
      </w:r>
    </w:p>
    <w:p w14:paraId="3AE930AF" w14:textId="2A2FD61B" w:rsidR="00271FA2" w:rsidRPr="00F06DE2" w:rsidRDefault="00160620" w:rsidP="000B2E40">
      <w:pPr>
        <w:pStyle w:val="ESch"/>
        <w:numPr>
          <w:ilvl w:val="1"/>
          <w:numId w:val="8"/>
        </w:numPr>
        <w:ind w:left="567" w:hanging="567"/>
        <w:jc w:val="both"/>
        <w:rPr>
          <w:rFonts w:ascii="Times New Roman" w:hAnsi="Times New Roman" w:cs="Times New Roman"/>
          <w:strike/>
          <w:sz w:val="24"/>
          <w:szCs w:val="24"/>
          <w:lang w:val="ru-RU"/>
        </w:rPr>
      </w:pPr>
      <w:r w:rsidRPr="00F06DE2">
        <w:rPr>
          <w:rFonts w:ascii="Times New Roman" w:hAnsi="Times New Roman" w:cs="Times New Roman"/>
          <w:sz w:val="24"/>
          <w:szCs w:val="24"/>
          <w:lang w:val="ru-RU"/>
        </w:rPr>
        <w:t>„</w:t>
      </w:r>
      <w:r w:rsidRPr="00F06DE2">
        <w:rPr>
          <w:rFonts w:ascii="Times New Roman" w:hAnsi="Times New Roman" w:cs="Times New Roman"/>
          <w:sz w:val="24"/>
          <w:szCs w:val="24"/>
        </w:rPr>
        <w:t>ES</w:t>
      </w:r>
      <w:r w:rsidRPr="00F06DE2">
        <w:rPr>
          <w:rFonts w:ascii="Times New Roman" w:hAnsi="Times New Roman" w:cs="Times New Roman"/>
          <w:sz w:val="24"/>
          <w:szCs w:val="24"/>
          <w:lang w:val="ru-RU"/>
        </w:rPr>
        <w:t>-</w:t>
      </w:r>
      <w:r w:rsidRPr="00F06DE2">
        <w:rPr>
          <w:rFonts w:ascii="Times New Roman" w:hAnsi="Times New Roman" w:cs="Times New Roman"/>
          <w:sz w:val="24"/>
          <w:szCs w:val="24"/>
        </w:rPr>
        <w:t>RIS</w:t>
      </w:r>
      <w:r w:rsidRPr="00F06DE2">
        <w:rPr>
          <w:rFonts w:ascii="Times New Roman" w:hAnsi="Times New Roman" w:cs="Times New Roman"/>
          <w:sz w:val="24"/>
          <w:szCs w:val="24"/>
          <w:lang w:val="ru-RU"/>
        </w:rPr>
        <w:t>“: Европейският стандарт за речни информационни услуги (</w:t>
      </w:r>
      <w:r w:rsidRPr="00F06DE2">
        <w:rPr>
          <w:rFonts w:ascii="Times New Roman" w:hAnsi="Times New Roman" w:cs="Times New Roman"/>
          <w:sz w:val="24"/>
          <w:szCs w:val="24"/>
        </w:rPr>
        <w:t>ES</w:t>
      </w:r>
      <w:r w:rsidRPr="00F06DE2">
        <w:rPr>
          <w:rFonts w:ascii="Times New Roman" w:hAnsi="Times New Roman" w:cs="Times New Roman"/>
          <w:sz w:val="24"/>
          <w:szCs w:val="24"/>
          <w:lang w:val="ru-RU"/>
        </w:rPr>
        <w:t>-</w:t>
      </w:r>
      <w:r w:rsidRPr="00F06DE2">
        <w:rPr>
          <w:rFonts w:ascii="Times New Roman" w:hAnsi="Times New Roman" w:cs="Times New Roman"/>
          <w:sz w:val="24"/>
          <w:szCs w:val="24"/>
        </w:rPr>
        <w:t>RIS</w:t>
      </w:r>
      <w:r w:rsidRPr="00F06DE2">
        <w:rPr>
          <w:rFonts w:ascii="Times New Roman" w:hAnsi="Times New Roman" w:cs="Times New Roman"/>
          <w:sz w:val="24"/>
          <w:szCs w:val="24"/>
          <w:lang w:val="ru-RU"/>
        </w:rPr>
        <w:t xml:space="preserve"> 2025/1)</w:t>
      </w:r>
      <w:r w:rsidR="00221628" w:rsidRPr="00F06DE2">
        <w:rPr>
          <w:rFonts w:ascii="Times New Roman" w:hAnsi="Times New Roman" w:cs="Times New Roman"/>
          <w:sz w:val="24"/>
          <w:szCs w:val="24"/>
          <w:vertAlign w:val="superscript"/>
          <w:lang w:val="ru-RU"/>
        </w:rPr>
        <w:t>2</w:t>
      </w:r>
    </w:p>
    <w:p w14:paraId="15E57910" w14:textId="77777777" w:rsidR="00271FA2" w:rsidRPr="00F06DE2" w:rsidRDefault="00D35E51" w:rsidP="000B2E40">
      <w:pPr>
        <w:pStyle w:val="ESch"/>
        <w:jc w:val="both"/>
        <w:rPr>
          <w:rFonts w:ascii="Times New Roman" w:hAnsi="Times New Roman" w:cs="Times New Roman"/>
          <w:b/>
          <w:color w:val="000000"/>
          <w:sz w:val="24"/>
          <w:szCs w:val="24"/>
          <w:lang w:val="ru-RU"/>
        </w:rPr>
      </w:pPr>
      <w:r w:rsidRPr="00F06DE2">
        <w:rPr>
          <w:rFonts w:ascii="Times New Roman" w:hAnsi="Times New Roman" w:cs="Times New Roman"/>
          <w:b/>
          <w:color w:val="000000"/>
          <w:sz w:val="24"/>
          <w:szCs w:val="24"/>
          <w:lang w:val="ru-RU"/>
        </w:rPr>
        <w:t>8.</w:t>
      </w:r>
      <w:r w:rsidRPr="00F06DE2">
        <w:rPr>
          <w:rFonts w:ascii="Times New Roman" w:hAnsi="Times New Roman" w:cs="Times New Roman"/>
          <w:sz w:val="24"/>
          <w:szCs w:val="24"/>
          <w:lang w:val="ru-RU"/>
        </w:rPr>
        <w:tab/>
      </w:r>
      <w:r w:rsidRPr="00F06DE2">
        <w:rPr>
          <w:rFonts w:ascii="Times New Roman" w:hAnsi="Times New Roman" w:cs="Times New Roman"/>
          <w:b/>
          <w:color w:val="000000"/>
          <w:sz w:val="24"/>
          <w:szCs w:val="24"/>
          <w:lang w:val="ru-RU"/>
        </w:rPr>
        <w:t>Двигатели</w:t>
      </w:r>
    </w:p>
    <w:p w14:paraId="1F621449" w14:textId="77777777" w:rsidR="00271FA2" w:rsidRPr="00F06DE2" w:rsidRDefault="00D35E51" w:rsidP="000B2E40">
      <w:pPr>
        <w:pStyle w:val="ESch"/>
        <w:ind w:firstLine="0"/>
        <w:jc w:val="both"/>
        <w:rPr>
          <w:rFonts w:ascii="Times New Roman" w:hAnsi="Times New Roman" w:cs="Times New Roman"/>
          <w:color w:val="000000"/>
          <w:sz w:val="24"/>
          <w:szCs w:val="24"/>
          <w:lang w:val="ru-RU"/>
        </w:rPr>
      </w:pPr>
      <w:r w:rsidRPr="00F06DE2">
        <w:rPr>
          <w:rFonts w:ascii="Times New Roman" w:hAnsi="Times New Roman" w:cs="Times New Roman"/>
          <w:color w:val="000000"/>
          <w:sz w:val="24"/>
          <w:szCs w:val="24"/>
          <w:lang w:val="ru-RU"/>
        </w:rPr>
        <w:t>(оставено непопълнено).</w:t>
      </w:r>
    </w:p>
    <w:p w14:paraId="10B0F436" w14:textId="77777777" w:rsidR="00271FA2" w:rsidRPr="00F06DE2" w:rsidRDefault="00D35E51" w:rsidP="000B2E40">
      <w:pPr>
        <w:pStyle w:val="ESch"/>
        <w:jc w:val="both"/>
        <w:rPr>
          <w:rFonts w:ascii="Times New Roman" w:hAnsi="Times New Roman" w:cs="Times New Roman"/>
          <w:b/>
          <w:sz w:val="24"/>
          <w:szCs w:val="24"/>
          <w:lang w:val="ru-RU"/>
        </w:rPr>
      </w:pPr>
      <w:r w:rsidRPr="00F06DE2">
        <w:rPr>
          <w:rFonts w:ascii="Times New Roman" w:hAnsi="Times New Roman" w:cs="Times New Roman"/>
          <w:b/>
          <w:sz w:val="24"/>
          <w:szCs w:val="24"/>
          <w:lang w:val="ru-RU"/>
        </w:rPr>
        <w:t>9.</w:t>
      </w:r>
      <w:r w:rsidRPr="00F06DE2">
        <w:rPr>
          <w:rFonts w:ascii="Times New Roman" w:hAnsi="Times New Roman" w:cs="Times New Roman"/>
          <w:sz w:val="24"/>
          <w:szCs w:val="24"/>
          <w:lang w:val="ru-RU"/>
        </w:rPr>
        <w:tab/>
      </w:r>
      <w:r w:rsidRPr="00F06DE2">
        <w:rPr>
          <w:rFonts w:ascii="Times New Roman" w:hAnsi="Times New Roman" w:cs="Times New Roman"/>
          <w:b/>
          <w:sz w:val="24"/>
          <w:szCs w:val="24"/>
          <w:lang w:val="ru-RU"/>
        </w:rPr>
        <w:t>Бордови станции за пречистване на отпадъчни води</w:t>
      </w:r>
    </w:p>
    <w:p w14:paraId="6F957E3A" w14:textId="77777777" w:rsidR="00271FA2" w:rsidRPr="00F06DE2" w:rsidRDefault="00D35E51" w:rsidP="000B2E40">
      <w:pPr>
        <w:pStyle w:val="ESch"/>
        <w:ind w:firstLine="0"/>
        <w:jc w:val="both"/>
        <w:rPr>
          <w:rFonts w:ascii="Times New Roman" w:hAnsi="Times New Roman" w:cs="Times New Roman"/>
          <w:color w:val="000000"/>
          <w:sz w:val="24"/>
          <w:szCs w:val="24"/>
          <w:lang w:val="ru-RU"/>
        </w:rPr>
      </w:pPr>
      <w:r w:rsidRPr="00F06DE2">
        <w:rPr>
          <w:rFonts w:ascii="Times New Roman" w:hAnsi="Times New Roman" w:cs="Times New Roman"/>
          <w:color w:val="000000"/>
          <w:sz w:val="24"/>
          <w:szCs w:val="24"/>
          <w:lang w:val="ru-RU"/>
        </w:rPr>
        <w:t>(оставено непопълнено).</w:t>
      </w:r>
    </w:p>
    <w:p w14:paraId="55186344"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b/>
          <w:sz w:val="24"/>
          <w:szCs w:val="24"/>
          <w:lang w:val="ru-RU"/>
        </w:rPr>
        <w:t>10.</w:t>
      </w:r>
      <w:r w:rsidRPr="00F06DE2">
        <w:rPr>
          <w:rFonts w:ascii="Times New Roman" w:hAnsi="Times New Roman" w:cs="Times New Roman"/>
          <w:sz w:val="24"/>
          <w:szCs w:val="24"/>
          <w:lang w:val="ru-RU"/>
        </w:rPr>
        <w:tab/>
      </w:r>
      <w:r w:rsidRPr="00F06DE2">
        <w:rPr>
          <w:rFonts w:ascii="Times New Roman" w:hAnsi="Times New Roman" w:cs="Times New Roman"/>
          <w:b/>
          <w:sz w:val="24"/>
          <w:szCs w:val="24"/>
          <w:lang w:val="ru-RU"/>
        </w:rPr>
        <w:t>Класификационни организации, експерти и компетентни лица</w:t>
      </w:r>
    </w:p>
    <w:p w14:paraId="23A50CA2"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10.1.</w:t>
      </w:r>
      <w:r w:rsidRPr="00F06DE2">
        <w:rPr>
          <w:rFonts w:ascii="Times New Roman" w:hAnsi="Times New Roman" w:cs="Times New Roman"/>
          <w:sz w:val="24"/>
          <w:szCs w:val="24"/>
          <w:lang w:val="ru-RU"/>
        </w:rPr>
        <w:tab/>
        <w:t>„Призната класификационна организация“: класификационна организация, която е призната в съответствие с процедурите на ЦККР или Европейския съюз (ЕС);</w:t>
      </w:r>
    </w:p>
    <w:p w14:paraId="0DE27008"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10.2</w:t>
      </w:r>
      <w:r w:rsidRPr="00F06DE2">
        <w:rPr>
          <w:rFonts w:ascii="Times New Roman" w:hAnsi="Times New Roman" w:cs="Times New Roman"/>
          <w:sz w:val="24"/>
          <w:szCs w:val="24"/>
          <w:lang w:val="ru-RU"/>
        </w:rPr>
        <w:tab/>
        <w:t>„Най-висок клас“: най-висок клас се присвоява на даден плавателен съд, когато:</w:t>
      </w:r>
    </w:p>
    <w:p w14:paraId="42F099D4" w14:textId="77777777" w:rsidR="00271FA2" w:rsidRPr="00F06DE2" w:rsidRDefault="00D35E51" w:rsidP="00D40937">
      <w:pPr>
        <w:pStyle w:val="ESlet"/>
        <w:ind w:leftChars="236" w:left="519" w:firstLine="1"/>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корпусът, включително рулевият апарат и апаратът за маневриране, както и котвите и котвените вериги, отговарят на правилата, установени от призната класификационна организация, и са изградени и изпитани под нейн надзор;</w:t>
      </w:r>
    </w:p>
    <w:p w14:paraId="234A3954" w14:textId="77777777" w:rsidR="00271FA2" w:rsidRPr="00F06DE2" w:rsidRDefault="00D35E51" w:rsidP="00D40937">
      <w:pPr>
        <w:pStyle w:val="ESlet"/>
        <w:ind w:leftChars="236" w:left="519" w:firstLine="1"/>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 задвижващият механизъм и спомагателните двигатели, механичното и електрическото оборудване, изисквани за корабни услуги, са били произведени и изпитани в съответствие с правилата на класификационната организация и инсталирани под нейн надзор; устройството като цяло е преминало успешно изпитвания след инсталацията.</w:t>
      </w:r>
    </w:p>
    <w:p w14:paraId="718600C9"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10.3</w:t>
      </w:r>
      <w:r w:rsidRPr="00F06DE2">
        <w:rPr>
          <w:rFonts w:ascii="Times New Roman" w:hAnsi="Times New Roman" w:cs="Times New Roman"/>
          <w:sz w:val="24"/>
          <w:szCs w:val="24"/>
          <w:lang w:val="ru-RU"/>
        </w:rPr>
        <w:tab/>
        <w:t xml:space="preserve">„Експерт“: лице, признато от компетентния орган или от упълномощена институция, със специализирани познания в съответната област въз основа на професионалната си подготовка и опит, напълно запознато със съответните правила и регламенти и общоприетите технически правила (напр. стандартите </w:t>
      </w:r>
      <w:r w:rsidRPr="00F06DE2">
        <w:rPr>
          <w:rFonts w:ascii="Times New Roman" w:hAnsi="Times New Roman" w:cs="Times New Roman"/>
          <w:sz w:val="24"/>
          <w:szCs w:val="24"/>
        </w:rPr>
        <w:t>EN</w:t>
      </w:r>
      <w:r w:rsidRPr="00F06DE2">
        <w:rPr>
          <w:rFonts w:ascii="Times New Roman" w:hAnsi="Times New Roman" w:cs="Times New Roman"/>
          <w:sz w:val="24"/>
          <w:szCs w:val="24"/>
          <w:lang w:val="ru-RU"/>
        </w:rPr>
        <w:t>, съответното законодателство, техническите правила) и способно да провери съответните системи и оборудване и да даде експертна оценка за тях;</w:t>
      </w:r>
    </w:p>
    <w:p w14:paraId="3CD924D8"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10.4</w:t>
      </w:r>
      <w:r w:rsidRPr="00F06DE2">
        <w:rPr>
          <w:rFonts w:ascii="Times New Roman" w:hAnsi="Times New Roman" w:cs="Times New Roman"/>
          <w:sz w:val="24"/>
          <w:szCs w:val="24"/>
          <w:lang w:val="ru-RU"/>
        </w:rPr>
        <w:tab/>
        <w:t xml:space="preserve">„Компетентно лице“: лице, което е придобило достатъчни познания в съответната област въз основа на професионалната си подготовка и опит и е достатъчно запознато със съответните правила и регламенти и общоприетите технически правила (напр. стандартите </w:t>
      </w:r>
      <w:r w:rsidRPr="00F06DE2">
        <w:rPr>
          <w:rFonts w:ascii="Times New Roman" w:hAnsi="Times New Roman" w:cs="Times New Roman"/>
          <w:sz w:val="24"/>
          <w:szCs w:val="24"/>
        </w:rPr>
        <w:t>EN</w:t>
      </w:r>
      <w:r w:rsidRPr="00F06DE2">
        <w:rPr>
          <w:rFonts w:ascii="Times New Roman" w:hAnsi="Times New Roman" w:cs="Times New Roman"/>
          <w:sz w:val="24"/>
          <w:szCs w:val="24"/>
          <w:lang w:val="ru-RU"/>
        </w:rPr>
        <w:t>, съответното законодателство, техническите правила), за да може да направи оценка на оперативната безопасност на съответните системи и оборудване.</w:t>
      </w:r>
    </w:p>
    <w:p w14:paraId="716735D4" w14:textId="77777777" w:rsidR="00271FA2" w:rsidRPr="00F06DE2" w:rsidRDefault="00D35E51" w:rsidP="000B2E40">
      <w:pPr>
        <w:pStyle w:val="ESch"/>
        <w:jc w:val="both"/>
        <w:rPr>
          <w:rFonts w:ascii="Times New Roman" w:hAnsi="Times New Roman" w:cs="Times New Roman"/>
          <w:b/>
          <w:bCs/>
          <w:iCs/>
          <w:sz w:val="24"/>
          <w:szCs w:val="24"/>
          <w:lang w:val="ru-RU"/>
        </w:rPr>
      </w:pPr>
      <w:r w:rsidRPr="00F06DE2">
        <w:rPr>
          <w:rFonts w:ascii="Times New Roman" w:hAnsi="Times New Roman" w:cs="Times New Roman"/>
          <w:b/>
          <w:sz w:val="24"/>
          <w:szCs w:val="24"/>
          <w:lang w:val="ru-RU"/>
        </w:rPr>
        <w:t>11.</w:t>
      </w:r>
      <w:r w:rsidRPr="00F06DE2">
        <w:rPr>
          <w:rFonts w:ascii="Times New Roman" w:hAnsi="Times New Roman" w:cs="Times New Roman"/>
          <w:sz w:val="24"/>
          <w:szCs w:val="24"/>
          <w:lang w:val="ru-RU"/>
        </w:rPr>
        <w:tab/>
      </w:r>
      <w:r w:rsidRPr="00F06DE2">
        <w:rPr>
          <w:rFonts w:ascii="Times New Roman" w:hAnsi="Times New Roman" w:cs="Times New Roman"/>
          <w:b/>
          <w:sz w:val="24"/>
          <w:szCs w:val="24"/>
          <w:lang w:val="ru-RU"/>
        </w:rPr>
        <w:t>Електрическо оборудване, инсталации и електрически системи за задвижване</w:t>
      </w:r>
    </w:p>
    <w:p w14:paraId="1F88EB2C"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11.1</w:t>
      </w:r>
      <w:r w:rsidRPr="00F06DE2">
        <w:rPr>
          <w:rFonts w:ascii="Times New Roman" w:hAnsi="Times New Roman" w:cs="Times New Roman"/>
          <w:sz w:val="24"/>
          <w:szCs w:val="24"/>
          <w:lang w:val="ru-RU"/>
        </w:rPr>
        <w:tab/>
        <w:t>„Източник на енергия“: енергиен носител или преобразувател на енергия, използван за производство на полезна енергия. За системите за задвижване на руля — подаването на електрическо захранване към рулевото задвижващо звено и рулевия апарат (обичайно произведено от бордовата мрежа или батерия, алтернативно акумулатор или двигател с вътрешно горене);</w:t>
      </w:r>
    </w:p>
    <w:p w14:paraId="62B2B2DA"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11.2</w:t>
      </w:r>
      <w:r w:rsidRPr="00F06DE2">
        <w:rPr>
          <w:rFonts w:ascii="Times New Roman" w:hAnsi="Times New Roman" w:cs="Times New Roman"/>
          <w:sz w:val="24"/>
          <w:szCs w:val="24"/>
          <w:lang w:val="ru-RU"/>
        </w:rPr>
        <w:tab/>
        <w:t>„Източник на електроенергия“ енергиен източник, от който се получава електрическа енергия (обикновено двигател с вътрешно горене с енергиен преобразувател, например генератор или батерия, или алтернативно акумулатор);</w:t>
      </w:r>
    </w:p>
    <w:p w14:paraId="7C84340D"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11.3</w:t>
      </w:r>
      <w:r w:rsidRPr="00F06DE2">
        <w:rPr>
          <w:rFonts w:ascii="Times New Roman" w:hAnsi="Times New Roman" w:cs="Times New Roman"/>
          <w:sz w:val="24"/>
          <w:szCs w:val="24"/>
          <w:lang w:val="ru-RU"/>
        </w:rPr>
        <w:tab/>
        <w:t>„Акумулатор“ е устройството с възможност за зареждане, за съхранение на електрическа енергия на електрохимичен принцип;</w:t>
      </w:r>
    </w:p>
    <w:p w14:paraId="76CDD546"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11.4</w:t>
      </w:r>
      <w:r w:rsidRPr="00F06DE2">
        <w:rPr>
          <w:rFonts w:ascii="Times New Roman" w:hAnsi="Times New Roman" w:cs="Times New Roman"/>
          <w:sz w:val="24"/>
          <w:szCs w:val="24"/>
          <w:lang w:val="ru-RU"/>
        </w:rPr>
        <w:tab/>
        <w:t>„Батерия“ е устройството без възможност за зареждане, за съхранение на електрическа енергия на електрохимичен принцип;</w:t>
      </w:r>
    </w:p>
    <w:p w14:paraId="517BD6B0" w14:textId="77777777" w:rsidR="00271FA2" w:rsidRPr="00F06DE2" w:rsidRDefault="00D35E51" w:rsidP="000B2E40">
      <w:pPr>
        <w:pStyle w:val="ESch"/>
        <w:jc w:val="both"/>
        <w:rPr>
          <w:rFonts w:ascii="Times New Roman" w:eastAsia="Calibri" w:hAnsi="Times New Roman" w:cs="Times New Roman"/>
          <w:sz w:val="24"/>
          <w:szCs w:val="24"/>
          <w:lang w:val="ru-RU"/>
        </w:rPr>
      </w:pPr>
      <w:r w:rsidRPr="00F06DE2">
        <w:rPr>
          <w:rFonts w:ascii="Times New Roman" w:hAnsi="Times New Roman" w:cs="Times New Roman"/>
          <w:sz w:val="24"/>
          <w:szCs w:val="24"/>
          <w:lang w:val="ru-RU"/>
        </w:rPr>
        <w:t>11.5</w:t>
      </w:r>
      <w:r w:rsidRPr="00F06DE2">
        <w:rPr>
          <w:rFonts w:ascii="Times New Roman" w:hAnsi="Times New Roman" w:cs="Times New Roman"/>
          <w:sz w:val="24"/>
          <w:szCs w:val="24"/>
          <w:lang w:val="ru-RU"/>
        </w:rPr>
        <w:tab/>
        <w:t>„Силова електроника“ инсталация, уред, модул или устройство за преобразуване на електрическа енергия с превключващи електронни устройства или система, която се състои от такива елементи.</w:t>
      </w:r>
    </w:p>
    <w:p w14:paraId="16E80C4F" w14:textId="77777777" w:rsidR="00271FA2" w:rsidRPr="00F06DE2" w:rsidRDefault="00D35E51" w:rsidP="000B2E40">
      <w:pPr>
        <w:pStyle w:val="ESch"/>
        <w:jc w:val="both"/>
        <w:rPr>
          <w:rFonts w:ascii="Times New Roman" w:hAnsi="Times New Roman" w:cs="Times New Roman"/>
          <w:b/>
          <w:color w:val="000000"/>
          <w:sz w:val="24"/>
          <w:szCs w:val="24"/>
          <w:lang w:val="ru-RU"/>
        </w:rPr>
      </w:pPr>
      <w:r w:rsidRPr="00F06DE2">
        <w:rPr>
          <w:rFonts w:ascii="Times New Roman" w:hAnsi="Times New Roman" w:cs="Times New Roman"/>
          <w:b/>
          <w:color w:val="000000"/>
          <w:sz w:val="24"/>
          <w:szCs w:val="24"/>
          <w:lang w:val="ru-RU"/>
        </w:rPr>
        <w:t>12.</w:t>
      </w:r>
      <w:r w:rsidRPr="00F06DE2">
        <w:rPr>
          <w:rFonts w:ascii="Times New Roman" w:hAnsi="Times New Roman" w:cs="Times New Roman"/>
          <w:sz w:val="24"/>
          <w:szCs w:val="24"/>
          <w:lang w:val="ru-RU"/>
        </w:rPr>
        <w:tab/>
      </w:r>
      <w:r w:rsidRPr="00F06DE2">
        <w:rPr>
          <w:rFonts w:ascii="Times New Roman" w:hAnsi="Times New Roman" w:cs="Times New Roman"/>
          <w:b/>
          <w:color w:val="000000"/>
          <w:sz w:val="24"/>
          <w:szCs w:val="24"/>
          <w:lang w:val="ru-RU"/>
        </w:rPr>
        <w:t>Други термини</w:t>
      </w:r>
    </w:p>
    <w:p w14:paraId="5F2CFB87"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12.1</w:t>
      </w:r>
      <w:r w:rsidRPr="00F06DE2">
        <w:rPr>
          <w:rFonts w:ascii="Times New Roman" w:hAnsi="Times New Roman" w:cs="Times New Roman"/>
          <w:sz w:val="24"/>
          <w:szCs w:val="24"/>
          <w:lang w:val="ru-RU"/>
        </w:rPr>
        <w:tab/>
        <w:t>„Обслужващ персонал“: всички служители на борда на пътнически плавателен съд, които не са членове на екипажа;</w:t>
      </w:r>
    </w:p>
    <w:p w14:paraId="5BBA5929"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12.2</w:t>
      </w:r>
      <w:r w:rsidRPr="00F06DE2">
        <w:rPr>
          <w:rFonts w:ascii="Times New Roman" w:hAnsi="Times New Roman" w:cs="Times New Roman"/>
          <w:sz w:val="24"/>
          <w:szCs w:val="24"/>
          <w:lang w:val="ru-RU"/>
        </w:rPr>
        <w:tab/>
        <w:t>„Лица с намалена подвижност“: лица с определени проблеми при ползването на обществен транспорт, като възрастни хора, хора с недъзи или със сетивни увреждания, в инвалидни колички, бременни жени и лица, които придружават малки деца;</w:t>
      </w:r>
    </w:p>
    <w:p w14:paraId="16FB620C"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12.3</w:t>
      </w:r>
      <w:r w:rsidRPr="00F06DE2">
        <w:rPr>
          <w:rFonts w:ascii="Times New Roman" w:hAnsi="Times New Roman" w:cs="Times New Roman"/>
          <w:sz w:val="24"/>
          <w:szCs w:val="24"/>
          <w:lang w:val="ru-RU"/>
        </w:rPr>
        <w:tab/>
        <w:t>„</w:t>
      </w:r>
      <w:r w:rsidRPr="00F06DE2">
        <w:rPr>
          <w:rFonts w:ascii="Times New Roman" w:hAnsi="Times New Roman" w:cs="Times New Roman"/>
          <w:sz w:val="24"/>
          <w:szCs w:val="24"/>
        </w:rPr>
        <w:t>ADN</w:t>
      </w:r>
      <w:r w:rsidRPr="00F06DE2">
        <w:rPr>
          <w:rFonts w:ascii="Times New Roman" w:hAnsi="Times New Roman" w:cs="Times New Roman"/>
          <w:sz w:val="24"/>
          <w:szCs w:val="24"/>
          <w:lang w:val="ru-RU"/>
        </w:rPr>
        <w:t>“ (Европейско споразумение за международен превоз на опасни товари по вътрешните водни пътища). Правилата, приложени към Европейското споразумение за международен превоз на опасни товари по вътрешните водни пътища (</w:t>
      </w:r>
      <w:r w:rsidRPr="00F06DE2">
        <w:rPr>
          <w:rFonts w:ascii="Times New Roman" w:hAnsi="Times New Roman" w:cs="Times New Roman"/>
          <w:sz w:val="24"/>
          <w:szCs w:val="24"/>
        </w:rPr>
        <w:t>ADN</w:t>
      </w:r>
      <w:r w:rsidRPr="00F06DE2">
        <w:rPr>
          <w:rFonts w:ascii="Times New Roman" w:hAnsi="Times New Roman" w:cs="Times New Roman"/>
          <w:sz w:val="24"/>
          <w:szCs w:val="24"/>
          <w:lang w:val="ru-RU"/>
        </w:rPr>
        <w:t>) в тяхната настояща версия;</w:t>
      </w:r>
    </w:p>
    <w:p w14:paraId="44ED2C44" w14:textId="77777777" w:rsidR="00271FA2" w:rsidRPr="00F06DE2" w:rsidRDefault="00D35E51" w:rsidP="000B2E40">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12.4</w:t>
      </w:r>
      <w:r w:rsidRPr="00F06DE2">
        <w:rPr>
          <w:rFonts w:ascii="Times New Roman" w:hAnsi="Times New Roman" w:cs="Times New Roman"/>
          <w:sz w:val="24"/>
          <w:szCs w:val="24"/>
          <w:lang w:val="ru-RU"/>
        </w:rPr>
        <w:tab/>
        <w:t>„Удостоверение на плавателния съд за вътрешно корабоплаване“: удостоверение за вътрешно корабоплаване на Съюза или удостоверение съгласно Рейнските правила за инспекция на корабите, издадено от компетентния орган и потвърждаващо съответствието с техническите изисквания.</w:t>
      </w:r>
    </w:p>
    <w:p w14:paraId="0584C5A3" w14:textId="77777777" w:rsidR="000B2E40" w:rsidRPr="00F06DE2" w:rsidRDefault="000B2E40" w:rsidP="000B2E40">
      <w:pPr>
        <w:pStyle w:val="ES-Titre3"/>
        <w:rPr>
          <w:rFonts w:ascii="Times New Roman" w:hAnsi="Times New Roman" w:cs="Times New Roman"/>
          <w:sz w:val="24"/>
          <w:szCs w:val="24"/>
          <w:lang w:val="ru-RU"/>
        </w:rPr>
      </w:pPr>
      <w:bookmarkStart w:id="10" w:name="_Toc535827446"/>
      <w:bookmarkStart w:id="11" w:name="_Toc491854005"/>
    </w:p>
    <w:p w14:paraId="59C81899" w14:textId="65DA5F3E" w:rsidR="00271FA2" w:rsidRPr="00F06DE2" w:rsidRDefault="00D35E51" w:rsidP="000B2E40">
      <w:pPr>
        <w:pStyle w:val="ES-Titre3"/>
        <w:rPr>
          <w:rFonts w:ascii="Times New Roman" w:hAnsi="Times New Roman" w:cs="Times New Roman"/>
          <w:sz w:val="24"/>
          <w:szCs w:val="24"/>
          <w:lang w:val="ru-RU"/>
        </w:rPr>
      </w:pPr>
      <w:r w:rsidRPr="00F06DE2">
        <w:rPr>
          <w:rFonts w:ascii="Times New Roman" w:hAnsi="Times New Roman" w:cs="Times New Roman"/>
          <w:sz w:val="24"/>
          <w:szCs w:val="24"/>
          <w:lang w:val="ru-RU"/>
        </w:rPr>
        <w:t>Член 1.02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Инструкции за прилагането на настоящия стандарт</w:t>
      </w:r>
      <w:bookmarkEnd w:id="10"/>
      <w:bookmarkEnd w:id="11"/>
    </w:p>
    <w:p w14:paraId="700DDA50" w14:textId="77777777" w:rsidR="0031621D" w:rsidRPr="00F06DE2" w:rsidRDefault="00D35E51" w:rsidP="000B2E40">
      <w:pPr>
        <w:jc w:val="both"/>
        <w:rPr>
          <w:rFonts w:ascii="Times New Roman" w:hAnsi="Times New Roman" w:cs="Times New Roman"/>
          <w:sz w:val="24"/>
          <w:szCs w:val="24"/>
          <w:lang w:val="ru-RU"/>
        </w:rPr>
        <w:sectPr w:rsidR="0031621D" w:rsidRPr="00F06DE2" w:rsidSect="00F06DE2">
          <w:headerReference w:type="default" r:id="rId17"/>
          <w:headerReference w:type="first" r:id="rId18"/>
          <w:footerReference w:type="first" r:id="rId19"/>
          <w:footnotePr>
            <w:numRestart w:val="eachPage"/>
          </w:footnotePr>
          <w:pgSz w:w="11906" w:h="16838" w:code="9"/>
          <w:pgMar w:top="1134" w:right="1134" w:bottom="1134" w:left="1134" w:header="709" w:footer="709" w:gutter="0"/>
          <w:pgNumType w:start="1"/>
          <w:cols w:space="709"/>
          <w:titlePg/>
          <w:docGrid w:linePitch="272"/>
        </w:sectPr>
      </w:pPr>
      <w:r w:rsidRPr="00F06DE2">
        <w:rPr>
          <w:rFonts w:ascii="Times New Roman" w:hAnsi="Times New Roman" w:cs="Times New Roman"/>
          <w:sz w:val="24"/>
          <w:szCs w:val="24"/>
          <w:lang w:val="ru-RU"/>
        </w:rPr>
        <w:t xml:space="preserve">Указанията, приложени към настоящия стандарт, имат за цел да улеснят и стандартизират прилагането му. </w:t>
      </w:r>
    </w:p>
    <w:p w14:paraId="5F9A7554" w14:textId="16931DCF" w:rsidR="00271FA2" w:rsidRPr="00F06DE2" w:rsidRDefault="00D35E51">
      <w:pPr>
        <w:pStyle w:val="ES-Titre2"/>
        <w:rPr>
          <w:rFonts w:ascii="Times New Roman" w:hAnsi="Times New Roman" w:cs="Times New Roman"/>
          <w:sz w:val="24"/>
          <w:szCs w:val="24"/>
          <w:lang w:val="ru-RU"/>
        </w:rPr>
      </w:pPr>
      <w:bookmarkStart w:id="12" w:name="_Toc491854006"/>
      <w:bookmarkStart w:id="13" w:name="_Toc535827447"/>
      <w:r w:rsidRPr="00F06DE2">
        <w:rPr>
          <w:rFonts w:ascii="Times New Roman" w:hAnsi="Times New Roman" w:cs="Times New Roman"/>
          <w:sz w:val="24"/>
          <w:szCs w:val="24"/>
          <w:lang w:val="ru-RU"/>
        </w:rPr>
        <w:lastRenderedPageBreak/>
        <w:t>Глава 2</w:t>
      </w:r>
      <w:r w:rsidRPr="00F06DE2">
        <w:rPr>
          <w:rFonts w:ascii="Times New Roman" w:hAnsi="Times New Roman" w:cs="Times New Roman"/>
          <w:sz w:val="24"/>
          <w:szCs w:val="24"/>
          <w:lang w:val="ru-RU"/>
        </w:rPr>
        <w:br/>
        <w:t>Процедура</w:t>
      </w:r>
      <w:bookmarkEnd w:id="12"/>
      <w:bookmarkEnd w:id="13"/>
    </w:p>
    <w:p w14:paraId="439412D9" w14:textId="77777777" w:rsidR="00271FA2" w:rsidRPr="00F06DE2" w:rsidRDefault="00D35E51">
      <w:pPr>
        <w:spacing w:line="240" w:lineRule="atLeast"/>
        <w:jc w:val="center"/>
        <w:rPr>
          <w:rFonts w:ascii="Times New Roman" w:hAnsi="Times New Roman" w:cs="Times New Roman"/>
          <w:sz w:val="24"/>
          <w:szCs w:val="24"/>
          <w:lang w:val="ru-RU"/>
        </w:rPr>
      </w:pPr>
      <w:r w:rsidRPr="00F06DE2">
        <w:rPr>
          <w:rFonts w:ascii="Times New Roman" w:hAnsi="Times New Roman" w:cs="Times New Roman"/>
          <w:sz w:val="24"/>
          <w:szCs w:val="24"/>
          <w:lang w:val="ru-RU"/>
        </w:rPr>
        <w:t>(оставено непопълнено)</w:t>
      </w:r>
    </w:p>
    <w:p w14:paraId="22A3E7ED" w14:textId="77777777" w:rsidR="00271FA2" w:rsidRPr="00F06DE2" w:rsidRDefault="00271FA2">
      <w:pPr>
        <w:spacing w:line="240" w:lineRule="atLeast"/>
        <w:jc w:val="center"/>
        <w:rPr>
          <w:rFonts w:ascii="Times New Roman" w:hAnsi="Times New Roman" w:cs="Times New Roman"/>
          <w:sz w:val="24"/>
          <w:szCs w:val="24"/>
          <w:lang w:val="ru-RU"/>
        </w:rPr>
      </w:pPr>
    </w:p>
    <w:p w14:paraId="422B08B5" w14:textId="77777777" w:rsidR="0031621D" w:rsidRPr="00F06DE2" w:rsidRDefault="0031621D">
      <w:pPr>
        <w:spacing w:line="240" w:lineRule="atLeast"/>
        <w:jc w:val="center"/>
        <w:rPr>
          <w:rFonts w:ascii="Times New Roman" w:hAnsi="Times New Roman" w:cs="Times New Roman"/>
          <w:sz w:val="24"/>
          <w:szCs w:val="24"/>
          <w:lang w:val="ru-RU"/>
        </w:rPr>
        <w:sectPr w:rsidR="0031621D" w:rsidRPr="00F06DE2" w:rsidSect="00F06DE2">
          <w:headerReference w:type="first" r:id="rId20"/>
          <w:footnotePr>
            <w:numRestart w:val="eachPage"/>
          </w:footnotePr>
          <w:pgSz w:w="11906" w:h="16838" w:code="9"/>
          <w:pgMar w:top="1134" w:right="1134" w:bottom="1134" w:left="1134" w:header="709" w:footer="709" w:gutter="0"/>
          <w:cols w:space="709"/>
          <w:titlePg/>
          <w:docGrid w:linePitch="272"/>
        </w:sectPr>
      </w:pPr>
    </w:p>
    <w:p w14:paraId="34D7D5C7" w14:textId="77777777" w:rsidR="00271FA2" w:rsidRPr="00F06DE2" w:rsidRDefault="00271FA2">
      <w:pPr>
        <w:spacing w:line="240" w:lineRule="atLeast"/>
        <w:jc w:val="center"/>
        <w:rPr>
          <w:rFonts w:ascii="Times New Roman" w:hAnsi="Times New Roman" w:cs="Times New Roman"/>
          <w:sz w:val="24"/>
          <w:szCs w:val="24"/>
          <w:lang w:val="ru-RU"/>
        </w:rPr>
      </w:pPr>
    </w:p>
    <w:p w14:paraId="45F004EF" w14:textId="77777777" w:rsidR="00271FA2" w:rsidRPr="00F06DE2" w:rsidRDefault="00D35E51">
      <w:pPr>
        <w:pStyle w:val="ES-Titre1"/>
        <w:rPr>
          <w:rFonts w:ascii="Times New Roman" w:hAnsi="Times New Roman" w:cs="Times New Roman"/>
          <w:sz w:val="24"/>
          <w:szCs w:val="24"/>
          <w:lang w:val="ru-RU"/>
        </w:rPr>
      </w:pPr>
      <w:bookmarkStart w:id="14" w:name="_Toc491854007"/>
      <w:bookmarkStart w:id="15" w:name="_Toc535827448"/>
      <w:r w:rsidRPr="00F06DE2">
        <w:rPr>
          <w:rFonts w:ascii="Times New Roman" w:hAnsi="Times New Roman" w:cs="Times New Roman"/>
          <w:sz w:val="24"/>
          <w:szCs w:val="24"/>
          <w:lang w:val="ru-RU"/>
        </w:rPr>
        <w:t xml:space="preserve">ЧАСТ </w:t>
      </w:r>
      <w:r w:rsidRPr="00F06DE2">
        <w:rPr>
          <w:rFonts w:ascii="Times New Roman" w:hAnsi="Times New Roman" w:cs="Times New Roman"/>
          <w:sz w:val="24"/>
          <w:szCs w:val="24"/>
        </w:rPr>
        <w:t>II</w:t>
      </w:r>
      <w:r w:rsidRPr="00F06DE2">
        <w:rPr>
          <w:rFonts w:ascii="Times New Roman" w:hAnsi="Times New Roman" w:cs="Times New Roman"/>
          <w:sz w:val="24"/>
          <w:szCs w:val="24"/>
          <w:lang w:val="ru-RU"/>
        </w:rPr>
        <w:br/>
        <w:t>РАЗПОРЕДБИ ОТНОСНО КОРАБНАТА КОНСТРУКЦИЯ, СЪОРЪЖЕНИЯТА И ОБОРУДВАНЕТО</w:t>
      </w:r>
      <w:bookmarkEnd w:id="14"/>
      <w:bookmarkEnd w:id="15"/>
    </w:p>
    <w:p w14:paraId="23FA0D6F" w14:textId="77777777" w:rsidR="00271FA2" w:rsidRPr="00F06DE2" w:rsidRDefault="00D35E51">
      <w:pPr>
        <w:pStyle w:val="ES-Titre2"/>
        <w:pageBreakBefore w:val="0"/>
        <w:rPr>
          <w:rFonts w:ascii="Times New Roman" w:hAnsi="Times New Roman" w:cs="Times New Roman"/>
          <w:sz w:val="24"/>
          <w:szCs w:val="24"/>
          <w:lang w:val="ru-RU"/>
        </w:rPr>
      </w:pPr>
      <w:bookmarkStart w:id="16" w:name="_Toc491854008"/>
      <w:bookmarkStart w:id="17" w:name="_Toc535827449"/>
      <w:r w:rsidRPr="00F06DE2">
        <w:rPr>
          <w:rFonts w:ascii="Times New Roman" w:hAnsi="Times New Roman" w:cs="Times New Roman"/>
          <w:sz w:val="24"/>
          <w:szCs w:val="24"/>
          <w:lang w:val="ru-RU"/>
        </w:rPr>
        <w:t>Глава 3</w:t>
      </w:r>
      <w:r w:rsidRPr="00F06DE2">
        <w:rPr>
          <w:rFonts w:ascii="Times New Roman" w:hAnsi="Times New Roman" w:cs="Times New Roman"/>
          <w:sz w:val="24"/>
          <w:szCs w:val="24"/>
          <w:lang w:val="ru-RU"/>
        </w:rPr>
        <w:br/>
        <w:t>Изисквания към Корабната конструкция</w:t>
      </w:r>
      <w:bookmarkEnd w:id="16"/>
      <w:bookmarkEnd w:id="17"/>
    </w:p>
    <w:p w14:paraId="77D566A3" w14:textId="77777777" w:rsidR="000B2E40" w:rsidRPr="00F06DE2" w:rsidRDefault="000B2E40">
      <w:pPr>
        <w:pStyle w:val="ES-Titre3"/>
        <w:rPr>
          <w:rFonts w:ascii="Times New Roman" w:hAnsi="Times New Roman" w:cs="Times New Roman"/>
          <w:sz w:val="24"/>
          <w:szCs w:val="24"/>
          <w:lang w:val="ru-RU"/>
        </w:rPr>
      </w:pPr>
      <w:bookmarkStart w:id="18" w:name="_Toc491854009"/>
      <w:bookmarkStart w:id="19" w:name="_Toc535827450"/>
    </w:p>
    <w:p w14:paraId="4AE20F2D" w14:textId="32C2D796" w:rsidR="00271FA2" w:rsidRPr="00F06DE2" w:rsidRDefault="00D35E51">
      <w:pPr>
        <w:pStyle w:val="ES-Titre3"/>
        <w:rPr>
          <w:rFonts w:ascii="Times New Roman" w:hAnsi="Times New Roman" w:cs="Times New Roman"/>
          <w:sz w:val="24"/>
          <w:szCs w:val="24"/>
          <w:lang w:val="ru-RU"/>
        </w:rPr>
      </w:pPr>
      <w:r w:rsidRPr="00F06DE2">
        <w:rPr>
          <w:rFonts w:ascii="Times New Roman" w:hAnsi="Times New Roman" w:cs="Times New Roman"/>
          <w:sz w:val="24"/>
          <w:szCs w:val="24"/>
          <w:lang w:val="ru-RU"/>
        </w:rPr>
        <w:t>Член 3.01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Основни правила</w:t>
      </w:r>
      <w:bookmarkEnd w:id="18"/>
      <w:bookmarkEnd w:id="19"/>
    </w:p>
    <w:p w14:paraId="5D6CFF7F" w14:textId="77777777" w:rsidR="00271FA2" w:rsidRPr="00F06DE2" w:rsidRDefault="00D35E51">
      <w:pPr>
        <w:rPr>
          <w:rFonts w:ascii="Times New Roman" w:hAnsi="Times New Roman" w:cs="Times New Roman"/>
          <w:sz w:val="24"/>
          <w:szCs w:val="24"/>
          <w:lang w:val="ru-RU"/>
        </w:rPr>
      </w:pPr>
      <w:r w:rsidRPr="00F06DE2">
        <w:rPr>
          <w:rFonts w:ascii="Times New Roman" w:hAnsi="Times New Roman" w:cs="Times New Roman"/>
          <w:sz w:val="24"/>
          <w:szCs w:val="24"/>
          <w:lang w:val="ru-RU"/>
        </w:rPr>
        <w:t>Плавателните съдове се строят в съответствие с добрата корабостроителна практика.</w:t>
      </w:r>
    </w:p>
    <w:p w14:paraId="2DAEED12" w14:textId="77777777" w:rsidR="000B2E40" w:rsidRPr="00F06DE2" w:rsidRDefault="000B2E40">
      <w:pPr>
        <w:pStyle w:val="ES-Titre3"/>
        <w:rPr>
          <w:rFonts w:ascii="Times New Roman" w:hAnsi="Times New Roman" w:cs="Times New Roman"/>
          <w:sz w:val="24"/>
          <w:szCs w:val="24"/>
          <w:lang w:val="ru-RU"/>
        </w:rPr>
      </w:pPr>
      <w:bookmarkStart w:id="20" w:name="_Toc535827451"/>
      <w:bookmarkStart w:id="21" w:name="_Toc491854010"/>
    </w:p>
    <w:p w14:paraId="39929649" w14:textId="22F50AE0" w:rsidR="00271FA2" w:rsidRPr="00F06DE2" w:rsidRDefault="00D35E51">
      <w:pPr>
        <w:pStyle w:val="ES-Titre3"/>
        <w:rPr>
          <w:rFonts w:ascii="Times New Roman" w:hAnsi="Times New Roman" w:cs="Times New Roman"/>
          <w:sz w:val="24"/>
          <w:szCs w:val="24"/>
          <w:lang w:val="ru-RU"/>
        </w:rPr>
      </w:pPr>
      <w:r w:rsidRPr="00F06DE2">
        <w:rPr>
          <w:rFonts w:ascii="Times New Roman" w:hAnsi="Times New Roman" w:cs="Times New Roman"/>
          <w:sz w:val="24"/>
          <w:szCs w:val="24"/>
          <w:lang w:val="ru-RU"/>
        </w:rPr>
        <w:t>Член 3.02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Якост и устойчивост</w:t>
      </w:r>
      <w:bookmarkEnd w:id="20"/>
      <w:bookmarkEnd w:id="21"/>
    </w:p>
    <w:p w14:paraId="479C3E9E"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Корпусът трябва да бъде достатъчно здрав, за да издържи на натоварването, на което обикновено е подложен.</w:t>
      </w:r>
    </w:p>
    <w:p w14:paraId="501B13E8" w14:textId="36C92489"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rPr>
        <w:t>a</w:t>
      </w:r>
      <w:r w:rsidRPr="00F06DE2">
        <w:rPr>
          <w:rFonts w:ascii="Times New Roman" w:hAnsi="Times New Roman" w:cs="Times New Roman"/>
          <w:sz w:val="24"/>
          <w:szCs w:val="24"/>
          <w:lang w:val="ru-RU"/>
        </w:rPr>
        <w:t xml:space="preserve">) В случай на новопостроени плавателни съдове или такива със значителни преустройства, които влияят на якостта на корпуса, достатъчната якост следва да се </w:t>
      </w:r>
      <w:r w:rsidR="009F0299" w:rsidRPr="00F06DE2">
        <w:rPr>
          <w:rFonts w:ascii="Times New Roman" w:hAnsi="Times New Roman" w:cs="Times New Roman"/>
          <w:sz w:val="24"/>
          <w:szCs w:val="24"/>
          <w:lang w:val="ru-RU"/>
        </w:rPr>
        <w:t xml:space="preserve">докаже </w:t>
      </w:r>
      <w:r w:rsidRPr="00F06DE2">
        <w:rPr>
          <w:rFonts w:ascii="Times New Roman" w:hAnsi="Times New Roman" w:cs="Times New Roman"/>
          <w:sz w:val="24"/>
          <w:szCs w:val="24"/>
          <w:lang w:val="ru-RU"/>
        </w:rPr>
        <w:t xml:space="preserve">с представяне </w:t>
      </w:r>
      <w:r w:rsidR="00F50356" w:rsidRPr="00F06DE2">
        <w:rPr>
          <w:rFonts w:ascii="Times New Roman" w:hAnsi="Times New Roman" w:cs="Times New Roman"/>
          <w:sz w:val="24"/>
          <w:szCs w:val="24"/>
          <w:lang w:val="ru-RU"/>
        </w:rPr>
        <w:t xml:space="preserve">на </w:t>
      </w:r>
      <w:r w:rsidRPr="00F06DE2">
        <w:rPr>
          <w:rFonts w:ascii="Times New Roman" w:hAnsi="Times New Roman" w:cs="Times New Roman"/>
          <w:sz w:val="24"/>
          <w:szCs w:val="24"/>
          <w:lang w:val="ru-RU"/>
        </w:rPr>
        <w:t>проектни изчисления. Тези доказателства не се изискват, когато е представено свидетелство за клас или атестация от призната класификационна организация;</w:t>
      </w:r>
    </w:p>
    <w:p w14:paraId="39D78353"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б) В случай на периодична проверка, минималната дебелина на листите от обшивката на дъното, скула и бордовете на плавателни съдове от стомана следва да бъде не по-малка от по-голямата от стойностите, получени по следните формули:</w:t>
      </w:r>
    </w:p>
    <w:p w14:paraId="1BD5CB0A" w14:textId="77777777" w:rsidR="00271FA2" w:rsidRPr="00F06DE2" w:rsidRDefault="00D35E51">
      <w:pPr>
        <w:numPr>
          <w:ilvl w:val="0"/>
          <w:numId w:val="9"/>
        </w:numPr>
        <w:spacing w:line="240" w:lineRule="atLeast"/>
        <w:ind w:left="141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за плавателни съдове с дължина над 40</w:t>
      </w:r>
      <w:r w:rsidRPr="00F06DE2">
        <w:rPr>
          <w:rFonts w:ascii="Times New Roman" w:hAnsi="Times New Roman" w:cs="Times New Roman"/>
          <w:sz w:val="24"/>
          <w:szCs w:val="24"/>
        </w:rPr>
        <w:t> m</w:t>
      </w:r>
      <w:r w:rsidRPr="00F06DE2">
        <w:rPr>
          <w:rFonts w:ascii="Times New Roman" w:hAnsi="Times New Roman" w:cs="Times New Roman"/>
          <w:sz w:val="24"/>
          <w:szCs w:val="24"/>
          <w:lang w:val="ru-RU"/>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min</m:t>
            </m:r>
          </m:sub>
        </m:sSub>
        <m:r>
          <w:rPr>
            <w:rFonts w:ascii="Cambria Math" w:hAnsi="Cambria Math" w:cs="Times New Roman"/>
            <w:sz w:val="24"/>
            <w:szCs w:val="24"/>
            <w:lang w:val="ru-RU"/>
          </w:rPr>
          <m:t>=</m:t>
        </m:r>
        <m:r>
          <w:rPr>
            <w:rFonts w:ascii="Cambria Math" w:hAnsi="Cambria Math" w:cs="Times New Roman"/>
            <w:sz w:val="24"/>
            <w:szCs w:val="24"/>
          </w:rPr>
          <m:t>f</m:t>
        </m:r>
        <m:r>
          <w:rPr>
            <w:rFonts w:ascii="Cambria Math" w:hAnsi="Cambria Math" w:cs="Times New Roman"/>
            <w:sz w:val="24"/>
            <w:szCs w:val="24"/>
            <w:lang w:val="ru-RU"/>
          </w:rPr>
          <m:t xml:space="preserve"> ∙</m:t>
        </m:r>
        <m:r>
          <w:rPr>
            <w:rFonts w:ascii="Cambria Math" w:hAnsi="Cambria Math" w:cs="Times New Roman"/>
            <w:sz w:val="24"/>
            <w:szCs w:val="24"/>
          </w:rPr>
          <m:t>b</m:t>
        </m:r>
        <m:r>
          <w:rPr>
            <w:rFonts w:ascii="Cambria Math" w:hAnsi="Cambria Math" w:cs="Times New Roman"/>
            <w:sz w:val="24"/>
            <w:szCs w:val="24"/>
            <w:lang w:val="ru-RU"/>
          </w:rPr>
          <m:t xml:space="preserve"> ∙</m:t>
        </m:r>
        <m:r>
          <w:rPr>
            <w:rFonts w:ascii="Cambria Math" w:hAnsi="Cambria Math" w:cs="Times New Roman"/>
            <w:sz w:val="24"/>
            <w:szCs w:val="24"/>
          </w:rPr>
          <m:t>c</m:t>
        </m:r>
        <m:r>
          <w:rPr>
            <w:rFonts w:ascii="Cambria Math" w:hAnsi="Cambria Math" w:cs="Times New Roman"/>
            <w:sz w:val="24"/>
            <w:szCs w:val="24"/>
            <w:lang w:val="ru-RU"/>
          </w:rPr>
          <m:t xml:space="preserve"> </m:t>
        </m:r>
        <m:d>
          <m:dPr>
            <m:ctrlPr>
              <w:rPr>
                <w:rFonts w:ascii="Cambria Math" w:hAnsi="Cambria Math" w:cs="Times New Roman"/>
                <w:i/>
                <w:sz w:val="24"/>
                <w:szCs w:val="24"/>
              </w:rPr>
            </m:ctrlPr>
          </m:dPr>
          <m:e>
            <m:r>
              <w:rPr>
                <w:rFonts w:ascii="Cambria Math" w:hAnsi="Cambria Math" w:cs="Times New Roman"/>
                <w:sz w:val="24"/>
                <w:szCs w:val="24"/>
                <w:lang w:val="ru-RU"/>
              </w:rPr>
              <m:t xml:space="preserve">2,3+0,04 </m:t>
            </m:r>
            <m:r>
              <w:rPr>
                <w:rFonts w:ascii="Cambria Math" w:hAnsi="Cambria Math" w:cs="Times New Roman"/>
                <w:sz w:val="24"/>
                <w:szCs w:val="24"/>
              </w:rPr>
              <m:t>L</m:t>
            </m:r>
          </m:e>
        </m:d>
        <m:d>
          <m:dPr>
            <m:begChr m:val="["/>
            <m:endChr m:val="]"/>
            <m:ctrlPr>
              <w:rPr>
                <w:rFonts w:ascii="Cambria Math" w:hAnsi="Cambria Math" w:cs="Times New Roman"/>
                <w:i/>
                <w:sz w:val="24"/>
                <w:szCs w:val="24"/>
              </w:rPr>
            </m:ctrlPr>
          </m:dPr>
          <m:e>
            <m:r>
              <w:rPr>
                <w:rFonts w:ascii="Cambria Math" w:hAnsi="Cambria Math" w:cs="Times New Roman"/>
                <w:sz w:val="24"/>
                <w:szCs w:val="24"/>
              </w:rPr>
              <m:t>mm</m:t>
            </m:r>
          </m:e>
        </m:d>
        <m:r>
          <w:rPr>
            <w:rFonts w:ascii="Cambria Math" w:hAnsi="Cambria Math" w:cs="Times New Roman"/>
            <w:sz w:val="24"/>
            <w:szCs w:val="24"/>
            <w:lang w:val="ru-RU"/>
          </w:rPr>
          <m:t>;</m:t>
        </m:r>
      </m:oMath>
    </w:p>
    <w:p w14:paraId="73DB07D6" w14:textId="77777777" w:rsidR="00271FA2" w:rsidRPr="00F06DE2" w:rsidRDefault="00D35E51">
      <w:pPr>
        <w:spacing w:line="240" w:lineRule="atLeast"/>
        <w:ind w:left="1418"/>
        <w:jc w:val="both"/>
        <w:rPr>
          <w:rFonts w:ascii="Times New Roman" w:eastAsia="Calibri" w:hAnsi="Times New Roman" w:cs="Times New Roman"/>
          <w:sz w:val="24"/>
          <w:szCs w:val="24"/>
          <w:lang w:val="ru-RU"/>
        </w:rPr>
      </w:pPr>
      <w:r w:rsidRPr="00F06DE2">
        <w:rPr>
          <w:rFonts w:ascii="Times New Roman" w:hAnsi="Times New Roman" w:cs="Times New Roman"/>
          <w:sz w:val="24"/>
          <w:szCs w:val="24"/>
          <w:lang w:val="ru-RU"/>
        </w:rPr>
        <w:t>за плавателни съдове с дължина не повече от 40</w:t>
      </w:r>
      <w:r w:rsidRPr="00F06DE2">
        <w:rPr>
          <w:rFonts w:ascii="Times New Roman" w:hAnsi="Times New Roman" w:cs="Times New Roman"/>
          <w:sz w:val="24"/>
          <w:szCs w:val="24"/>
        </w:rPr>
        <w:t> m</w:t>
      </w:r>
      <w:r w:rsidRPr="00F06DE2">
        <w:rPr>
          <w:rFonts w:ascii="Times New Roman" w:hAnsi="Times New Roman" w:cs="Times New Roman"/>
          <w:sz w:val="24"/>
          <w:szCs w:val="24"/>
          <w:lang w:val="ru-RU"/>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min</m:t>
            </m:r>
          </m:sub>
        </m:sSub>
        <m:r>
          <w:rPr>
            <w:rFonts w:ascii="Cambria Math" w:hAnsi="Cambria Math" w:cs="Times New Roman"/>
            <w:sz w:val="24"/>
            <w:szCs w:val="24"/>
            <w:lang w:val="ru-RU"/>
          </w:rPr>
          <m:t>=</m:t>
        </m:r>
        <m:r>
          <w:rPr>
            <w:rFonts w:ascii="Cambria Math" w:hAnsi="Cambria Math" w:cs="Times New Roman"/>
            <w:sz w:val="24"/>
            <w:szCs w:val="24"/>
          </w:rPr>
          <m:t>f</m:t>
        </m:r>
        <m:r>
          <w:rPr>
            <w:rFonts w:ascii="Cambria Math" w:hAnsi="Cambria Math" w:cs="Times New Roman"/>
            <w:sz w:val="24"/>
            <w:szCs w:val="24"/>
            <w:lang w:val="ru-RU"/>
          </w:rPr>
          <m:t xml:space="preserve"> ∙</m:t>
        </m:r>
        <m:r>
          <w:rPr>
            <w:rFonts w:ascii="Cambria Math" w:hAnsi="Cambria Math" w:cs="Times New Roman"/>
            <w:sz w:val="24"/>
            <w:szCs w:val="24"/>
          </w:rPr>
          <m:t>b</m:t>
        </m:r>
        <m:r>
          <w:rPr>
            <w:rFonts w:ascii="Cambria Math" w:hAnsi="Cambria Math" w:cs="Times New Roman"/>
            <w:sz w:val="24"/>
            <w:szCs w:val="24"/>
            <w:lang w:val="ru-RU"/>
          </w:rPr>
          <m:t xml:space="preserve"> ∙</m:t>
        </m:r>
        <m:r>
          <w:rPr>
            <w:rFonts w:ascii="Cambria Math" w:hAnsi="Cambria Math" w:cs="Times New Roman"/>
            <w:sz w:val="24"/>
            <w:szCs w:val="24"/>
          </w:rPr>
          <m:t>c</m:t>
        </m:r>
        <m:r>
          <w:rPr>
            <w:rFonts w:ascii="Cambria Math" w:hAnsi="Cambria Math" w:cs="Times New Roman"/>
            <w:sz w:val="24"/>
            <w:szCs w:val="24"/>
            <w:lang w:val="ru-RU"/>
          </w:rPr>
          <m:t xml:space="preserve"> </m:t>
        </m:r>
        <m:d>
          <m:dPr>
            <m:ctrlPr>
              <w:rPr>
                <w:rFonts w:ascii="Cambria Math" w:hAnsi="Cambria Math" w:cs="Times New Roman"/>
                <w:i/>
                <w:sz w:val="24"/>
                <w:szCs w:val="24"/>
              </w:rPr>
            </m:ctrlPr>
          </m:dPr>
          <m:e>
            <m:r>
              <w:rPr>
                <w:rFonts w:ascii="Cambria Math" w:hAnsi="Cambria Math" w:cs="Times New Roman"/>
                <w:sz w:val="24"/>
                <w:szCs w:val="24"/>
                <w:lang w:val="ru-RU"/>
              </w:rPr>
              <m:t xml:space="preserve">1,5+0,06 </m:t>
            </m:r>
            <m:r>
              <w:rPr>
                <w:rFonts w:ascii="Cambria Math" w:hAnsi="Cambria Math" w:cs="Times New Roman"/>
                <w:sz w:val="24"/>
                <w:szCs w:val="24"/>
              </w:rPr>
              <m:t>L</m:t>
            </m:r>
          </m:e>
        </m:d>
        <m:d>
          <m:dPr>
            <m:begChr m:val="["/>
            <m:endChr m:val="]"/>
            <m:ctrlPr>
              <w:rPr>
                <w:rFonts w:ascii="Cambria Math" w:hAnsi="Cambria Math" w:cs="Times New Roman"/>
                <w:i/>
                <w:sz w:val="24"/>
                <w:szCs w:val="24"/>
              </w:rPr>
            </m:ctrlPr>
          </m:dPr>
          <m:e>
            <m:r>
              <w:rPr>
                <w:rFonts w:ascii="Cambria Math" w:hAnsi="Cambria Math" w:cs="Times New Roman"/>
                <w:sz w:val="24"/>
                <w:szCs w:val="24"/>
              </w:rPr>
              <m:t>mm</m:t>
            </m:r>
          </m:e>
        </m:d>
        <m:r>
          <w:rPr>
            <w:rFonts w:ascii="Cambria Math" w:hAnsi="Cambria Math" w:cs="Times New Roman"/>
            <w:sz w:val="24"/>
            <w:szCs w:val="24"/>
            <w:lang w:val="ru-RU"/>
          </w:rPr>
          <m:t xml:space="preserve">, </m:t>
        </m:r>
      </m:oMath>
      <w:r w:rsidRPr="00F06DE2">
        <w:rPr>
          <w:rFonts w:ascii="Times New Roman" w:hAnsi="Times New Roman" w:cs="Times New Roman"/>
          <w:sz w:val="24"/>
          <w:szCs w:val="24"/>
          <w:lang w:val="ru-RU"/>
        </w:rPr>
        <w:t>но не по-малко от 3,00</w:t>
      </w:r>
      <w:r w:rsidRPr="00F06DE2">
        <w:rPr>
          <w:rFonts w:ascii="Times New Roman" w:hAnsi="Times New Roman" w:cs="Times New Roman"/>
          <w:sz w:val="24"/>
          <w:szCs w:val="24"/>
        </w:rPr>
        <w:t> mm</w:t>
      </w:r>
      <w:r w:rsidRPr="00F06DE2">
        <w:rPr>
          <w:rFonts w:ascii="Times New Roman" w:hAnsi="Times New Roman" w:cs="Times New Roman"/>
          <w:sz w:val="24"/>
          <w:szCs w:val="24"/>
          <w:lang w:val="ru-RU"/>
        </w:rPr>
        <w:t>.</w:t>
      </w:r>
    </w:p>
    <w:p w14:paraId="34C88857" w14:textId="77777777" w:rsidR="00271FA2" w:rsidRPr="00F06DE2" w:rsidRDefault="00D35E51">
      <w:pPr>
        <w:numPr>
          <w:ilvl w:val="0"/>
          <w:numId w:val="9"/>
        </w:numPr>
        <w:spacing w:line="240" w:lineRule="atLeast"/>
        <w:ind w:left="1417"/>
        <w:jc w:val="both"/>
        <w:rPr>
          <w:rFonts w:ascii="Times New Roman" w:eastAsia="Calibri" w:hAnsi="Times New Roman" w:cs="Times New Roman"/>
          <w:sz w:val="24"/>
          <w:szCs w:val="24"/>
        </w:rPr>
      </w:pPr>
      <m:oMath>
        <m:r>
          <w:rPr>
            <w:rFonts w:ascii="Cambria Math" w:eastAsia="Calibri" w:hAnsi="Cambria Math" w:cs="Times New Roman"/>
            <w:sz w:val="24"/>
            <w:szCs w:val="24"/>
          </w:rPr>
          <m:t>t</m:t>
        </m:r>
        <m:r>
          <w:rPr>
            <w:rFonts w:ascii="Cambria Math" w:eastAsia="Calibri" w:hAnsi="Cambria Math" w:cs="Times New Roman"/>
            <w:snapToGrid w:val="0"/>
            <w:color w:val="000000"/>
            <w:position w:val="-6"/>
            <w:sz w:val="24"/>
            <w:szCs w:val="24"/>
          </w:rPr>
          <m:t>min</m:t>
        </m:r>
        <m:r>
          <w:rPr>
            <w:rFonts w:ascii="Cambria Math" w:eastAsia="Calibri" w:hAnsi="Cambria Math" w:cs="Times New Roman"/>
            <w:sz w:val="24"/>
            <w:szCs w:val="24"/>
          </w:rPr>
          <m:t xml:space="preserve"> = 0,005 ∙ a </m:t>
        </m:r>
        <m:r>
          <m:rPr>
            <m:sty m:val="p"/>
          </m:rPr>
          <w:rPr>
            <w:rFonts w:ascii="Cambria Math" w:eastAsia="Calibri" w:hAnsi="Cambria Math" w:cs="Times New Roman"/>
            <w:noProof/>
            <w:sz w:val="24"/>
            <w:szCs w:val="24"/>
            <w:lang w:eastAsia="bg-BG"/>
          </w:rPr>
          <w:drawing>
            <wp:inline distT="0" distB="0" distL="0" distR="0" wp14:anchorId="614F537D" wp14:editId="3B42D401">
              <wp:extent cx="273050" cy="273050"/>
              <wp:effectExtent l="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73050" cy="273050"/>
                      </a:xfrm>
                      <a:prstGeom prst="rect">
                        <a:avLst/>
                      </a:prstGeom>
                      <a:noFill/>
                      <a:ln>
                        <a:noFill/>
                      </a:ln>
                    </pic:spPr>
                  </pic:pic>
                </a:graphicData>
              </a:graphic>
            </wp:inline>
          </w:drawing>
        </m:r>
        <m:r>
          <w:rPr>
            <w:rFonts w:ascii="Cambria Math" w:eastAsia="Calibri" w:hAnsi="Cambria Math" w:cs="Times New Roman"/>
            <w:sz w:val="24"/>
            <w:szCs w:val="24"/>
          </w:rPr>
          <m:t xml:space="preserve"> [mm].</m:t>
        </m:r>
      </m:oMath>
    </w:p>
    <w:p w14:paraId="0C234527" w14:textId="77777777" w:rsidR="00271FA2" w:rsidRPr="00F06DE2" w:rsidRDefault="00D35E51">
      <w:pPr>
        <w:spacing w:line="240" w:lineRule="atLeast"/>
        <w:ind w:left="141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където:</w:t>
      </w:r>
    </w:p>
    <w:p w14:paraId="4020B0F3" w14:textId="77777777" w:rsidR="00271FA2" w:rsidRPr="00F06DE2" w:rsidRDefault="00D35E51">
      <w:pPr>
        <w:tabs>
          <w:tab w:val="left" w:pos="1418"/>
          <w:tab w:val="left" w:pos="1843"/>
        </w:tabs>
        <w:spacing w:line="240" w:lineRule="atLeast"/>
        <w:ind w:left="1843" w:hanging="850"/>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a</m:t>
        </m:r>
      </m:oMath>
      <w:r w:rsidRPr="00F06DE2">
        <w:rPr>
          <w:rFonts w:ascii="Times New Roman" w:hAnsi="Times New Roman" w:cs="Times New Roman"/>
          <w:sz w:val="24"/>
          <w:szCs w:val="24"/>
          <w:lang w:val="ru-RU"/>
        </w:rPr>
        <w:tab/>
        <w:t>=</w:t>
      </w:r>
      <w:r w:rsidRPr="00F06DE2">
        <w:rPr>
          <w:rFonts w:ascii="Times New Roman" w:hAnsi="Times New Roman" w:cs="Times New Roman"/>
          <w:sz w:val="24"/>
          <w:szCs w:val="24"/>
          <w:lang w:val="ru-RU"/>
        </w:rPr>
        <w:tab/>
        <w:t>разстоянието между дънните ребра на плавателния съд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41313491" w14:textId="77777777" w:rsidR="00271FA2" w:rsidRPr="00F06DE2" w:rsidRDefault="00D35E51">
      <w:pPr>
        <w:tabs>
          <w:tab w:val="left" w:pos="1418"/>
          <w:tab w:val="left" w:pos="1843"/>
        </w:tabs>
        <w:spacing w:line="240" w:lineRule="atLeast"/>
        <w:ind w:left="1843" w:hanging="850"/>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f</m:t>
        </m:r>
      </m:oMath>
      <w:r w:rsidRPr="00F06DE2">
        <w:rPr>
          <w:rFonts w:ascii="Times New Roman" w:hAnsi="Times New Roman" w:cs="Times New Roman"/>
          <w:sz w:val="24"/>
          <w:szCs w:val="24"/>
          <w:lang w:val="ru-RU"/>
        </w:rPr>
        <w:tab/>
        <w:t>=</w:t>
      </w:r>
      <w:r w:rsidRPr="00F06DE2">
        <w:rPr>
          <w:rFonts w:ascii="Times New Roman" w:hAnsi="Times New Roman" w:cs="Times New Roman"/>
          <w:sz w:val="24"/>
          <w:szCs w:val="24"/>
          <w:lang w:val="ru-RU"/>
        </w:rPr>
        <w:tab/>
        <w:t>коефициент, зависещ от разстоянието между дънните ребра на корпуса</w:t>
      </w:r>
    </w:p>
    <w:p w14:paraId="17BA73CC" w14:textId="77777777" w:rsidR="00271FA2" w:rsidRPr="00F06DE2" w:rsidRDefault="00D35E51">
      <w:pPr>
        <w:tabs>
          <w:tab w:val="left" w:pos="2268"/>
        </w:tabs>
        <w:spacing w:line="240" w:lineRule="atLeast"/>
        <w:ind w:left="2694" w:hanging="851"/>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f</m:t>
        </m:r>
        <m:r>
          <w:rPr>
            <w:rFonts w:ascii="Cambria Math" w:eastAsia="Calibri" w:hAnsi="Cambria Math" w:cs="Times New Roman"/>
            <w:sz w:val="24"/>
            <w:szCs w:val="24"/>
            <w:lang w:val="ru-RU"/>
          </w:rPr>
          <m:t xml:space="preserve"> = 1</m:t>
        </m:r>
      </m:oMath>
      <w:r w:rsidRPr="00F06DE2">
        <w:rPr>
          <w:rFonts w:ascii="Times New Roman" w:hAnsi="Times New Roman" w:cs="Times New Roman"/>
          <w:sz w:val="24"/>
          <w:szCs w:val="24"/>
          <w:lang w:val="ru-RU"/>
        </w:rPr>
        <w:t xml:space="preserve"> за </w:t>
      </w:r>
      <m:oMath>
        <m:r>
          <w:rPr>
            <w:rFonts w:ascii="Cambria Math" w:eastAsia="Calibri" w:hAnsi="Cambria Math" w:cs="Times New Roman"/>
            <w:sz w:val="24"/>
            <w:szCs w:val="24"/>
          </w:rPr>
          <m:t>a</m:t>
        </m:r>
        <m:r>
          <w:rPr>
            <w:rFonts w:ascii="Cambria Math" w:eastAsia="Calibri" w:hAnsi="Cambria Math" w:cs="Times New Roman"/>
            <w:sz w:val="24"/>
            <w:szCs w:val="24"/>
            <w:lang w:val="ru-RU"/>
          </w:rPr>
          <m:t xml:space="preserve"> ≤500 </m:t>
        </m:r>
        <m:r>
          <w:rPr>
            <w:rFonts w:ascii="Cambria Math" w:eastAsia="Calibri" w:hAnsi="Cambria Math" w:cs="Times New Roman"/>
            <w:sz w:val="24"/>
            <w:szCs w:val="24"/>
          </w:rPr>
          <m:t>mm</m:t>
        </m:r>
        <m:r>
          <w:rPr>
            <w:rFonts w:ascii="Cambria Math" w:eastAsia="Calibri" w:hAnsi="Cambria Math" w:cs="Times New Roman"/>
            <w:sz w:val="24"/>
            <w:szCs w:val="24"/>
            <w:lang w:val="ru-RU"/>
          </w:rPr>
          <m:t>,</m:t>
        </m:r>
      </m:oMath>
      <w:r w:rsidRPr="00F06DE2">
        <w:rPr>
          <w:rFonts w:ascii="Times New Roman" w:hAnsi="Times New Roman" w:cs="Times New Roman"/>
          <w:sz w:val="24"/>
          <w:szCs w:val="24"/>
          <w:lang w:val="ru-RU"/>
        </w:rPr>
        <w:t xml:space="preserve"> </w:t>
      </w:r>
    </w:p>
    <w:p w14:paraId="66F919C5" w14:textId="77777777" w:rsidR="00271FA2" w:rsidRPr="00F06DE2" w:rsidRDefault="00D35E51">
      <w:pPr>
        <w:tabs>
          <w:tab w:val="left" w:pos="2268"/>
        </w:tabs>
        <w:spacing w:line="240" w:lineRule="atLeast"/>
        <w:ind w:left="2694" w:hanging="851"/>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f</m:t>
        </m:r>
        <m:r>
          <w:rPr>
            <w:rFonts w:ascii="Cambria Math" w:eastAsia="Calibri" w:hAnsi="Cambria Math" w:cs="Times New Roman"/>
            <w:sz w:val="24"/>
            <w:szCs w:val="24"/>
            <w:lang w:val="ru-RU"/>
          </w:rPr>
          <m:t>= 1 + 0,0013 (</m:t>
        </m:r>
        <m:r>
          <w:rPr>
            <w:rFonts w:ascii="Cambria Math" w:eastAsia="Calibri" w:hAnsi="Cambria Math" w:cs="Times New Roman"/>
            <w:sz w:val="24"/>
            <w:szCs w:val="24"/>
          </w:rPr>
          <m:t>a</m:t>
        </m:r>
        <m:r>
          <w:rPr>
            <w:rFonts w:ascii="Cambria Math" w:eastAsia="Calibri" w:hAnsi="Cambria Math" w:cs="Times New Roman"/>
            <w:sz w:val="24"/>
            <w:szCs w:val="24"/>
            <w:lang w:val="ru-RU"/>
          </w:rPr>
          <m:t xml:space="preserve"> - 500)</m:t>
        </m:r>
      </m:oMath>
      <w:r w:rsidRPr="00F06DE2">
        <w:rPr>
          <w:rFonts w:ascii="Times New Roman" w:hAnsi="Times New Roman" w:cs="Times New Roman"/>
          <w:sz w:val="24"/>
          <w:szCs w:val="24"/>
          <w:lang w:val="ru-RU"/>
        </w:rPr>
        <w:t xml:space="preserve"> за </w:t>
      </w:r>
      <m:oMath>
        <m:r>
          <w:rPr>
            <w:rFonts w:ascii="Cambria Math" w:eastAsia="Calibri" w:hAnsi="Cambria Math" w:cs="Times New Roman"/>
            <w:sz w:val="24"/>
            <w:szCs w:val="24"/>
          </w:rPr>
          <m:t>a</m:t>
        </m:r>
        <m:r>
          <w:rPr>
            <w:rFonts w:ascii="Cambria Math" w:eastAsia="Calibri" w:hAnsi="Cambria Math" w:cs="Times New Roman"/>
            <w:sz w:val="24"/>
            <w:szCs w:val="24"/>
            <w:lang w:val="ru-RU"/>
          </w:rPr>
          <m:t xml:space="preserve"> &gt; 500 </m:t>
        </m:r>
        <m:r>
          <w:rPr>
            <w:rFonts w:ascii="Cambria Math" w:eastAsia="Calibri" w:hAnsi="Cambria Math" w:cs="Times New Roman"/>
            <w:sz w:val="24"/>
            <w:szCs w:val="24"/>
          </w:rPr>
          <m:t>mm</m:t>
        </m:r>
        <m:r>
          <w:rPr>
            <w:rFonts w:ascii="Cambria Math" w:eastAsia="Calibri" w:hAnsi="Cambria Math" w:cs="Times New Roman"/>
            <w:sz w:val="24"/>
            <w:szCs w:val="24"/>
            <w:lang w:val="ru-RU"/>
          </w:rPr>
          <m:t>;</m:t>
        </m:r>
      </m:oMath>
    </w:p>
    <w:p w14:paraId="7D5E9166" w14:textId="77777777" w:rsidR="00271FA2" w:rsidRPr="00F06DE2" w:rsidRDefault="00D35E51">
      <w:pPr>
        <w:tabs>
          <w:tab w:val="left" w:pos="1418"/>
          <w:tab w:val="left" w:pos="1843"/>
        </w:tabs>
        <w:spacing w:line="240" w:lineRule="atLeast"/>
        <w:ind w:left="1843" w:hanging="850"/>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b</m:t>
        </m:r>
      </m:oMath>
      <w:r w:rsidRPr="00F06DE2">
        <w:rPr>
          <w:rFonts w:ascii="Times New Roman" w:hAnsi="Times New Roman" w:cs="Times New Roman"/>
          <w:sz w:val="24"/>
          <w:szCs w:val="24"/>
          <w:lang w:val="ru-RU"/>
        </w:rPr>
        <w:tab/>
        <w:t>=</w:t>
      </w:r>
      <w:r w:rsidRPr="00F06DE2">
        <w:rPr>
          <w:rFonts w:ascii="Times New Roman" w:hAnsi="Times New Roman" w:cs="Times New Roman"/>
          <w:sz w:val="24"/>
          <w:szCs w:val="24"/>
          <w:lang w:val="ru-RU"/>
        </w:rPr>
        <w:tab/>
        <w:t>коефициент за обшивката на дъно, бордове или скул</w:t>
      </w:r>
    </w:p>
    <w:p w14:paraId="2FFCF968" w14:textId="77777777" w:rsidR="00271FA2" w:rsidRPr="00F06DE2" w:rsidRDefault="00D35E51">
      <w:pPr>
        <w:tabs>
          <w:tab w:val="left" w:pos="2268"/>
        </w:tabs>
        <w:spacing w:line="240" w:lineRule="atLeast"/>
        <w:ind w:left="2694" w:hanging="851"/>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b</m:t>
        </m:r>
        <m:r>
          <w:rPr>
            <w:rFonts w:ascii="Cambria Math" w:eastAsia="Calibri" w:hAnsi="Cambria Math" w:cs="Times New Roman"/>
            <w:sz w:val="24"/>
            <w:szCs w:val="24"/>
            <w:lang w:val="ru-RU"/>
          </w:rPr>
          <m:t xml:space="preserve"> = 1,0</m:t>
        </m:r>
      </m:oMath>
      <w:r w:rsidRPr="00F06DE2">
        <w:rPr>
          <w:rFonts w:ascii="Times New Roman" w:hAnsi="Times New Roman" w:cs="Times New Roman"/>
          <w:sz w:val="24"/>
          <w:szCs w:val="24"/>
          <w:lang w:val="ru-RU"/>
        </w:rPr>
        <w:t xml:space="preserve"> за дънна и бордова обшивка; </w:t>
      </w:r>
    </w:p>
    <w:p w14:paraId="16F8CE4B" w14:textId="77777777" w:rsidR="00271FA2" w:rsidRPr="00F06DE2" w:rsidRDefault="00D35E51">
      <w:pPr>
        <w:tabs>
          <w:tab w:val="left" w:pos="2268"/>
        </w:tabs>
        <w:spacing w:line="240" w:lineRule="atLeast"/>
        <w:ind w:left="2694" w:hanging="851"/>
        <w:jc w:val="both"/>
        <w:rPr>
          <w:rFonts w:ascii="Times New Roman" w:hAnsi="Times New Roman" w:cs="Times New Roman"/>
          <w:sz w:val="24"/>
          <w:szCs w:val="24"/>
          <w:lang w:val="ru-RU"/>
        </w:rPr>
      </w:pPr>
      <m:oMath>
        <m:r>
          <w:rPr>
            <w:rFonts w:ascii="Cambria Math" w:eastAsia="Calibri" w:hAnsi="Cambria Math" w:cs="Times New Roman"/>
            <w:sz w:val="24"/>
            <w:szCs w:val="24"/>
          </w:rPr>
          <m:t>b</m:t>
        </m:r>
        <m:r>
          <w:rPr>
            <w:rFonts w:ascii="Cambria Math" w:eastAsia="Calibri" w:hAnsi="Cambria Math" w:cs="Times New Roman"/>
            <w:sz w:val="24"/>
            <w:szCs w:val="24"/>
            <w:lang w:val="ru-RU"/>
          </w:rPr>
          <m:t xml:space="preserve"> = 1,25</m:t>
        </m:r>
      </m:oMath>
      <w:r w:rsidRPr="00F06DE2">
        <w:rPr>
          <w:rFonts w:ascii="Times New Roman" w:hAnsi="Times New Roman" w:cs="Times New Roman"/>
          <w:sz w:val="24"/>
          <w:szCs w:val="24"/>
          <w:lang w:val="ru-RU"/>
        </w:rPr>
        <w:t xml:space="preserve"> за скулови листове.</w:t>
      </w:r>
    </w:p>
    <w:p w14:paraId="620EDFF9" w14:textId="77777777" w:rsidR="00271FA2" w:rsidRPr="00F06DE2" w:rsidRDefault="00D35E51">
      <w:pPr>
        <w:tabs>
          <w:tab w:val="left" w:pos="1418"/>
          <w:tab w:val="left" w:pos="1843"/>
        </w:tabs>
        <w:spacing w:line="240" w:lineRule="atLeast"/>
        <w:ind w:left="1843" w:hanging="850"/>
        <w:jc w:val="both"/>
        <w:rPr>
          <w:rFonts w:ascii="Times New Roman" w:eastAsia="Calibri" w:hAnsi="Times New Roman" w:cs="Times New Roman"/>
          <w:sz w:val="24"/>
          <w:szCs w:val="24"/>
          <w:lang w:val="ru-RU"/>
        </w:rPr>
      </w:pPr>
      <m:oMath>
        <m:r>
          <w:rPr>
            <w:rFonts w:ascii="Cambria Math" w:hAnsi="Cambria Math" w:cs="Times New Roman"/>
            <w:sz w:val="24"/>
            <w:szCs w:val="24"/>
          </w:rPr>
          <m:t>f</m:t>
        </m:r>
        <m:r>
          <w:rPr>
            <w:rFonts w:ascii="Cambria Math" w:hAnsi="Cambria Math" w:cs="Times New Roman"/>
            <w:sz w:val="24"/>
            <w:szCs w:val="24"/>
            <w:lang w:val="ru-RU"/>
          </w:rPr>
          <m:t xml:space="preserve"> = 1</m:t>
        </m:r>
      </m:oMath>
      <w:r w:rsidRPr="00F06DE2">
        <w:rPr>
          <w:rFonts w:ascii="Times New Roman" w:hAnsi="Times New Roman" w:cs="Times New Roman"/>
          <w:sz w:val="24"/>
          <w:szCs w:val="24"/>
          <w:lang w:val="ru-RU"/>
        </w:rPr>
        <w:tab/>
        <w:t xml:space="preserve">може да се приеме за разстоянието между дънните ребра на плавателния съд, когато се пресмята минималната дебелина на бордовата обшивка. Обаче </w:t>
      </w:r>
      <w:r w:rsidRPr="00F06DE2">
        <w:rPr>
          <w:rFonts w:ascii="Times New Roman" w:hAnsi="Times New Roman" w:cs="Times New Roman"/>
          <w:sz w:val="24"/>
          <w:szCs w:val="24"/>
          <w:lang w:val="ru-RU"/>
        </w:rPr>
        <w:lastRenderedPageBreak/>
        <w:t>минималната дебелина на скуловия пояс не може да бъде по-малка от дебелината на обшивката на дъното или борда.</w:t>
      </w:r>
    </w:p>
    <w:p w14:paraId="6FB32D4B" w14:textId="77777777" w:rsidR="00271FA2" w:rsidRPr="00F06DE2" w:rsidRDefault="00D35E51">
      <w:pPr>
        <w:tabs>
          <w:tab w:val="left" w:pos="1418"/>
          <w:tab w:val="left" w:pos="1843"/>
        </w:tabs>
        <w:spacing w:line="240" w:lineRule="atLeast"/>
        <w:ind w:left="1843" w:hanging="850"/>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c</m:t>
        </m:r>
      </m:oMath>
      <w:r w:rsidRPr="00F06DE2">
        <w:rPr>
          <w:rFonts w:ascii="Times New Roman" w:hAnsi="Times New Roman" w:cs="Times New Roman"/>
          <w:sz w:val="24"/>
          <w:szCs w:val="24"/>
          <w:lang w:val="ru-RU"/>
        </w:rPr>
        <w:tab/>
        <w:t>=</w:t>
      </w:r>
      <w:r w:rsidRPr="00F06DE2">
        <w:rPr>
          <w:rFonts w:ascii="Times New Roman" w:hAnsi="Times New Roman" w:cs="Times New Roman"/>
          <w:sz w:val="24"/>
          <w:szCs w:val="24"/>
          <w:lang w:val="ru-RU"/>
        </w:rPr>
        <w:tab/>
        <w:t>коефициент, зависещ от типа на конструкцията:</w:t>
      </w:r>
    </w:p>
    <w:p w14:paraId="47DD8E48" w14:textId="77777777" w:rsidR="00271FA2" w:rsidRPr="00F06DE2" w:rsidRDefault="00D35E51">
      <w:pPr>
        <w:tabs>
          <w:tab w:val="left" w:pos="2835"/>
        </w:tabs>
        <w:spacing w:line="240" w:lineRule="atLeast"/>
        <w:ind w:left="2835" w:hanging="992"/>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c</m:t>
        </m:r>
        <m:r>
          <w:rPr>
            <w:rFonts w:ascii="Cambria Math" w:eastAsia="Calibri" w:hAnsi="Cambria Math" w:cs="Times New Roman"/>
            <w:sz w:val="24"/>
            <w:szCs w:val="24"/>
            <w:lang w:val="ru-RU"/>
          </w:rPr>
          <m:t xml:space="preserve"> = 0,95</m:t>
        </m:r>
      </m:oMath>
      <w:r w:rsidRPr="00F06DE2">
        <w:rPr>
          <w:rFonts w:ascii="Times New Roman" w:hAnsi="Times New Roman" w:cs="Times New Roman"/>
          <w:sz w:val="24"/>
          <w:szCs w:val="24"/>
          <w:lang w:val="ru-RU"/>
        </w:rPr>
        <w:tab/>
        <w:t>за плавателни съдове с двойно дъно и двойни отсеци с граница на трюма, когато преградата между кухия отсек и трюма е на една линия по вертикалата с комингса;</w:t>
      </w:r>
    </w:p>
    <w:p w14:paraId="19A839B3" w14:textId="77777777" w:rsidR="00271FA2" w:rsidRPr="00F06DE2" w:rsidRDefault="00D35E51">
      <w:pPr>
        <w:tabs>
          <w:tab w:val="left" w:pos="2835"/>
        </w:tabs>
        <w:spacing w:line="240" w:lineRule="atLeast"/>
        <w:ind w:left="2835" w:hanging="992"/>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c</m:t>
        </m:r>
        <m:r>
          <w:rPr>
            <w:rFonts w:ascii="Cambria Math" w:eastAsia="Calibri" w:hAnsi="Cambria Math" w:cs="Times New Roman"/>
            <w:sz w:val="24"/>
            <w:szCs w:val="24"/>
            <w:lang w:val="ru-RU"/>
          </w:rPr>
          <m:t xml:space="preserve"> = 1,0</m:t>
        </m:r>
      </m:oMath>
      <w:r w:rsidRPr="00F06DE2">
        <w:rPr>
          <w:rFonts w:ascii="Times New Roman" w:hAnsi="Times New Roman" w:cs="Times New Roman"/>
          <w:sz w:val="24"/>
          <w:szCs w:val="24"/>
          <w:lang w:val="ru-RU"/>
        </w:rPr>
        <w:tab/>
        <w:t>за всички други типове конструкции.</w:t>
      </w:r>
    </w:p>
    <w:p w14:paraId="65BA3DD3" w14:textId="49B018E8" w:rsidR="00271FA2" w:rsidRPr="00F06DE2" w:rsidRDefault="00D35E51">
      <w:pPr>
        <w:tabs>
          <w:tab w:val="left" w:pos="8080"/>
        </w:tabs>
        <w:ind w:left="440" w:right="-2"/>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в) В плавателните съдове с надлъжни </w:t>
      </w:r>
      <w:r w:rsidR="00D36443" w:rsidRPr="00F06DE2">
        <w:rPr>
          <w:rFonts w:ascii="Times New Roman" w:hAnsi="Times New Roman" w:cs="Times New Roman"/>
          <w:sz w:val="24"/>
          <w:szCs w:val="24"/>
          <w:lang w:val="ru-RU"/>
        </w:rPr>
        <w:t xml:space="preserve"> ребра</w:t>
      </w:r>
      <w:r w:rsidRPr="00F06DE2">
        <w:rPr>
          <w:rFonts w:ascii="Times New Roman" w:hAnsi="Times New Roman" w:cs="Times New Roman"/>
          <w:sz w:val="24"/>
          <w:szCs w:val="24"/>
          <w:lang w:val="ru-RU"/>
        </w:rPr>
        <w:t xml:space="preserve">, имащи двойно дъно и двойни </w:t>
      </w:r>
      <w:r w:rsidR="00D36443" w:rsidRPr="00F06DE2">
        <w:rPr>
          <w:rFonts w:ascii="Times New Roman" w:hAnsi="Times New Roman" w:cs="Times New Roman"/>
          <w:sz w:val="24"/>
          <w:szCs w:val="24"/>
          <w:lang w:val="ru-RU"/>
        </w:rPr>
        <w:t>бордове</w:t>
      </w:r>
      <w:r w:rsidRPr="00F06DE2">
        <w:rPr>
          <w:rFonts w:ascii="Times New Roman" w:hAnsi="Times New Roman" w:cs="Times New Roman"/>
          <w:sz w:val="24"/>
          <w:szCs w:val="24"/>
          <w:lang w:val="ru-RU"/>
        </w:rPr>
        <w:t>, минималната стойност, изчислена за дебелината на обшивката съгласно формулите в буква “б”, може да бъде намалена до изчислена стойност, удостоверена от призната класификационна организация като достатъчна якост на корпуса (надлъжна, напречна и местна якост). Обшивката се подменя, ако дебелината на листите на обшивката на дъното, скула и бордовете се окаже под допустимите стойности, определени по този начин.</w:t>
      </w:r>
    </w:p>
    <w:p w14:paraId="34E2B187" w14:textId="44B12973" w:rsidR="00271FA2" w:rsidRPr="00F06DE2" w:rsidRDefault="00D35E51">
      <w:pPr>
        <w:pStyle w:val="ESlet"/>
        <w:spacing w:before="0"/>
        <w:ind w:leftChars="200" w:left="44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Минималните стойности, изчислени в съответствие с метода, са пределни стойности, като се взема предвид нормално и еднакво ниво на изхабяване и при условие, че се използва корабостроителна стомана и вътрешните конструктивни </w:t>
      </w:r>
      <w:r w:rsidR="00083AEE" w:rsidRPr="00F06DE2">
        <w:rPr>
          <w:rFonts w:ascii="Times New Roman" w:hAnsi="Times New Roman" w:cs="Times New Roman"/>
          <w:sz w:val="24"/>
          <w:szCs w:val="24"/>
          <w:lang w:val="ru-RU"/>
        </w:rPr>
        <w:t>елементи</w:t>
      </w:r>
      <w:r w:rsidRPr="00F06DE2">
        <w:rPr>
          <w:rFonts w:ascii="Times New Roman" w:hAnsi="Times New Roman" w:cs="Times New Roman"/>
          <w:sz w:val="24"/>
          <w:szCs w:val="24"/>
          <w:lang w:val="ru-RU"/>
        </w:rPr>
        <w:t xml:space="preserve">, като например </w:t>
      </w:r>
      <w:r w:rsidR="00083AEE" w:rsidRPr="00F06DE2">
        <w:rPr>
          <w:rFonts w:ascii="Times New Roman" w:hAnsi="Times New Roman" w:cs="Times New Roman"/>
          <w:sz w:val="24"/>
          <w:szCs w:val="24"/>
          <w:lang w:val="ru-RU"/>
        </w:rPr>
        <w:t>бордови</w:t>
      </w:r>
      <w:r w:rsidRPr="00F06DE2">
        <w:rPr>
          <w:rFonts w:ascii="Times New Roman" w:hAnsi="Times New Roman" w:cs="Times New Roman"/>
          <w:sz w:val="24"/>
          <w:szCs w:val="24"/>
          <w:lang w:val="ru-RU"/>
        </w:rPr>
        <w:t xml:space="preserve">, </w:t>
      </w:r>
      <w:r w:rsidR="00083AEE" w:rsidRPr="00F06DE2">
        <w:rPr>
          <w:rFonts w:ascii="Times New Roman" w:hAnsi="Times New Roman" w:cs="Times New Roman"/>
          <w:sz w:val="24"/>
          <w:szCs w:val="24"/>
          <w:lang w:val="ru-RU"/>
        </w:rPr>
        <w:t>дънни  ребра</w:t>
      </w:r>
      <w:r w:rsidRPr="00F06DE2">
        <w:rPr>
          <w:rFonts w:ascii="Times New Roman" w:hAnsi="Times New Roman" w:cs="Times New Roman"/>
          <w:sz w:val="24"/>
          <w:szCs w:val="24"/>
          <w:lang w:val="ru-RU"/>
        </w:rPr>
        <w:t>, основните надлъжни и напречни конструктивни елементи са в добро състояние и че корпусът не показва признаци за никакво претоварване на надлъжната якост.</w:t>
      </w:r>
    </w:p>
    <w:p w14:paraId="77C154C4" w14:textId="77777777" w:rsidR="00271FA2" w:rsidRPr="00F06DE2" w:rsidRDefault="00D35E51">
      <w:pPr>
        <w:pStyle w:val="ESlet"/>
        <w:spacing w:before="0"/>
        <w:ind w:leftChars="200" w:left="44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Ако тези стойности не могат да бъдат постигани, въпросните листове се ремонтират или заменят. Все пак се допускат по-малки дебелини (с разлика не повече от 10 % от изчислените стойности) за отделни места за малки области.</w:t>
      </w:r>
    </w:p>
    <w:p w14:paraId="4EDDE368" w14:textId="77777777" w:rsidR="00271FA2" w:rsidRPr="00F06DE2" w:rsidRDefault="00D35E51">
      <w:pPr>
        <w:pStyle w:val="ESch"/>
        <w:ind w:left="447" w:hanging="44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Когато се използва материал, различен от стомана, за построяването на корпуса, чрез изчисления се доказва, че якостта на корпуса (надлъжна, напречна и местна) е най-малко равна на якостта, която би била постигната при използване на стомана при допускане на минимална дебелина в съответствие с точка 1. Ако са представени свидетелство за клас или декларация, издадени от призната класификационна организация, доказването с изчисления може да бъде пропуснато.</w:t>
      </w:r>
    </w:p>
    <w:p w14:paraId="3169DE87" w14:textId="77777777" w:rsidR="00271FA2" w:rsidRPr="00F06DE2" w:rsidRDefault="00D35E51">
      <w:pPr>
        <w:pStyle w:val="ESch"/>
        <w:ind w:left="447" w:hanging="44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Устойчивостта на плавателните съдове трябва да съответства на предвидената им употреба.</w:t>
      </w:r>
    </w:p>
    <w:p w14:paraId="458AC167" w14:textId="77777777" w:rsidR="00271FA2" w:rsidRPr="00F06DE2" w:rsidRDefault="00D35E51">
      <w:pPr>
        <w:pStyle w:val="ES-Titre3"/>
        <w:spacing w:line="240" w:lineRule="atLeast"/>
        <w:rPr>
          <w:rFonts w:ascii="Times New Roman" w:hAnsi="Times New Roman" w:cs="Times New Roman"/>
          <w:sz w:val="24"/>
          <w:szCs w:val="24"/>
          <w:lang w:val="ru-RU"/>
        </w:rPr>
      </w:pPr>
      <w:bookmarkStart w:id="22" w:name="_Toc535827452"/>
      <w:bookmarkStart w:id="23" w:name="_Toc491854011"/>
      <w:r w:rsidRPr="00F06DE2">
        <w:rPr>
          <w:rFonts w:ascii="Times New Roman" w:hAnsi="Times New Roman" w:cs="Times New Roman"/>
          <w:sz w:val="24"/>
          <w:szCs w:val="24"/>
          <w:lang w:val="ru-RU"/>
        </w:rPr>
        <w:t>Член 3.03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Корпус</w:t>
      </w:r>
      <w:bookmarkEnd w:id="22"/>
      <w:bookmarkEnd w:id="23"/>
    </w:p>
    <w:p w14:paraId="772A5685" w14:textId="77777777" w:rsidR="00271FA2" w:rsidRPr="00F06DE2" w:rsidRDefault="00D35E51">
      <w:pPr>
        <w:pStyle w:val="ESch"/>
        <w:ind w:left="447" w:hanging="44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Прегради, издигащи се до палубата, а ако няма палуба — до планшира, трябва да бъдат монтирани в следните точки:</w:t>
      </w:r>
    </w:p>
    <w:p w14:paraId="2E461ECF" w14:textId="77777777" w:rsidR="00271FA2" w:rsidRPr="00F06DE2" w:rsidRDefault="00D35E51">
      <w:pPr>
        <w:pStyle w:val="ESlet"/>
        <w:spacing w:before="0"/>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rPr>
        <w:t>a</w:t>
      </w:r>
      <w:r w:rsidRPr="00F06DE2">
        <w:rPr>
          <w:rFonts w:ascii="Times New Roman" w:hAnsi="Times New Roman" w:cs="Times New Roman"/>
          <w:sz w:val="24"/>
          <w:szCs w:val="24"/>
          <w:lang w:val="ru-RU"/>
        </w:rPr>
        <w:t xml:space="preserve">) Първата носова непроницаема преграда се разполага на подходящо разстояние от носа на плавателния съд, така че да се осигури плавателността на натоварен плавателен </w:t>
      </w:r>
      <w:r w:rsidR="006D3B7D" w:rsidRPr="00F06DE2">
        <w:rPr>
          <w:rFonts w:ascii="Times New Roman" w:hAnsi="Times New Roman" w:cs="Times New Roman"/>
          <w:sz w:val="24"/>
          <w:szCs w:val="24"/>
          <w:lang w:val="ru-RU"/>
        </w:rPr>
        <w:t>съд при остатъчно безопасно разстояние</w:t>
      </w:r>
      <w:r w:rsidRPr="00F06DE2">
        <w:rPr>
          <w:rFonts w:ascii="Times New Roman" w:hAnsi="Times New Roman" w:cs="Times New Roman"/>
          <w:sz w:val="24"/>
          <w:szCs w:val="24"/>
          <w:lang w:val="ru-RU"/>
        </w:rPr>
        <w:t xml:space="preserve"> от 100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при навлизане на вода във водонепроницаемия отсек пред първата носова непроницаема преграда.</w:t>
      </w:r>
    </w:p>
    <w:p w14:paraId="5318B3A7" w14:textId="77777777" w:rsidR="00271FA2" w:rsidRPr="00F06DE2" w:rsidRDefault="00D35E51">
      <w:pPr>
        <w:pStyle w:val="ESletpar"/>
        <w:spacing w:before="0"/>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В общия случай изискването, посочено в първа алинея, се счита за изпълнено, когато първата носова непроницаема преграда е поставена на разстояние между </w:t>
      </w:r>
      <m:oMath>
        <m:r>
          <w:rPr>
            <w:rFonts w:ascii="Cambria Math" w:hAnsi="Cambria Math" w:cs="Times New Roman"/>
            <w:sz w:val="24"/>
            <w:szCs w:val="24"/>
            <w:lang w:val="ru-RU"/>
          </w:rPr>
          <m:t xml:space="preserve">0,04 </m:t>
        </m:r>
        <m:r>
          <w:rPr>
            <w:rFonts w:ascii="Cambria Math" w:hAnsi="Cambria Math" w:cs="Times New Roman"/>
            <w:sz w:val="24"/>
            <w:szCs w:val="24"/>
          </w:rPr>
          <m:t>L</m:t>
        </m:r>
      </m:oMath>
      <w:r w:rsidRPr="00F06DE2">
        <w:rPr>
          <w:rFonts w:ascii="Times New Roman" w:hAnsi="Times New Roman" w:cs="Times New Roman"/>
          <w:sz w:val="24"/>
          <w:szCs w:val="24"/>
          <w:lang w:val="ru-RU"/>
        </w:rPr>
        <w:t xml:space="preserve"> и </w:t>
      </w:r>
      <m:oMath>
        <m:r>
          <w:rPr>
            <w:rFonts w:ascii="Cambria Math" w:hAnsi="Cambria Math" w:cs="Times New Roman"/>
            <w:sz w:val="24"/>
            <w:szCs w:val="24"/>
            <w:lang w:val="ru-RU"/>
          </w:rPr>
          <m:t xml:space="preserve">0,04 </m:t>
        </m:r>
        <m:r>
          <w:rPr>
            <w:rFonts w:ascii="Cambria Math" w:hAnsi="Cambria Math" w:cs="Times New Roman"/>
            <w:sz w:val="24"/>
            <w:szCs w:val="24"/>
          </w:rPr>
          <m:t>L</m:t>
        </m:r>
        <m:r>
          <w:rPr>
            <w:rFonts w:ascii="Cambria Math" w:hAnsi="Cambria Math" w:cs="Times New Roman"/>
            <w:sz w:val="24"/>
            <w:szCs w:val="24"/>
            <w:lang w:val="ru-RU"/>
          </w:rPr>
          <m:t xml:space="preserve"> + 2 </m:t>
        </m:r>
        <m:r>
          <w:rPr>
            <w:rFonts w:ascii="Cambria Math" w:hAnsi="Cambria Math" w:cs="Times New Roman"/>
            <w:sz w:val="24"/>
            <w:szCs w:val="24"/>
          </w:rPr>
          <m:t>m</m:t>
        </m:r>
      </m:oMath>
      <w:r w:rsidRPr="00F06DE2">
        <w:rPr>
          <w:rFonts w:ascii="Times New Roman" w:hAnsi="Times New Roman" w:cs="Times New Roman"/>
          <w:sz w:val="24"/>
          <w:szCs w:val="24"/>
          <w:lang w:val="ru-RU"/>
        </w:rPr>
        <w:t>, измерено от носовия перпендикуляр в равнината на максималното газене.</w:t>
      </w:r>
    </w:p>
    <w:p w14:paraId="75B1004E" w14:textId="77777777" w:rsidR="00271FA2" w:rsidRPr="00F06DE2" w:rsidRDefault="00D35E51">
      <w:pPr>
        <w:pStyle w:val="ESletpar"/>
        <w:spacing w:before="0"/>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Ако това разстояние надвишава </w:t>
      </w:r>
      <m:oMath>
        <m:r>
          <w:rPr>
            <w:rFonts w:ascii="Cambria Math" w:hAnsi="Cambria Math" w:cs="Times New Roman"/>
            <w:sz w:val="24"/>
            <w:szCs w:val="24"/>
            <w:lang w:val="ru-RU"/>
          </w:rPr>
          <m:t xml:space="preserve">0,04 </m:t>
        </m:r>
        <m:r>
          <w:rPr>
            <w:rFonts w:ascii="Cambria Math" w:hAnsi="Cambria Math" w:cs="Times New Roman"/>
            <w:sz w:val="24"/>
            <w:szCs w:val="24"/>
          </w:rPr>
          <m:t>L</m:t>
        </m:r>
        <m:r>
          <w:rPr>
            <w:rFonts w:ascii="Cambria Math" w:hAnsi="Cambria Math" w:cs="Times New Roman"/>
            <w:sz w:val="24"/>
            <w:szCs w:val="24"/>
            <w:lang w:val="ru-RU"/>
          </w:rPr>
          <m:t xml:space="preserve"> + 2 </m:t>
        </m:r>
        <m:r>
          <w:rPr>
            <w:rFonts w:ascii="Cambria Math" w:hAnsi="Cambria Math" w:cs="Times New Roman"/>
            <w:sz w:val="24"/>
            <w:szCs w:val="24"/>
          </w:rPr>
          <m:t>m</m:t>
        </m:r>
      </m:oMath>
      <w:r w:rsidRPr="00F06DE2">
        <w:rPr>
          <w:rFonts w:ascii="Times New Roman" w:hAnsi="Times New Roman" w:cs="Times New Roman"/>
          <w:sz w:val="24"/>
          <w:szCs w:val="24"/>
          <w:lang w:val="ru-RU"/>
        </w:rPr>
        <w:t>, изискването, посочено в първа алинея, следва да се докаже с изчисления.</w:t>
      </w:r>
    </w:p>
    <w:p w14:paraId="2265AD18" w14:textId="77777777" w:rsidR="00271FA2" w:rsidRPr="00F06DE2" w:rsidRDefault="00D35E51">
      <w:pPr>
        <w:pStyle w:val="ESletpar"/>
        <w:spacing w:before="0"/>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 xml:space="preserve">Разстоянието може да бъде намалено до </w:t>
      </w:r>
      <m:oMath>
        <m:r>
          <w:rPr>
            <w:rFonts w:ascii="Cambria Math" w:hAnsi="Cambria Math" w:cs="Times New Roman"/>
            <w:sz w:val="24"/>
            <w:szCs w:val="24"/>
            <w:lang w:val="ru-RU"/>
          </w:rPr>
          <m:t xml:space="preserve">0,03 </m:t>
        </m:r>
        <m:r>
          <w:rPr>
            <w:rFonts w:ascii="Cambria Math" w:hAnsi="Cambria Math" w:cs="Times New Roman"/>
            <w:sz w:val="24"/>
            <w:szCs w:val="24"/>
          </w:rPr>
          <m:t>L</m:t>
        </m:r>
      </m:oMath>
      <w:r w:rsidRPr="00F06DE2">
        <w:rPr>
          <w:rFonts w:ascii="Times New Roman" w:hAnsi="Times New Roman" w:cs="Times New Roman"/>
          <w:sz w:val="24"/>
          <w:szCs w:val="24"/>
          <w:lang w:val="ru-RU"/>
        </w:rPr>
        <w:t>. В такъв случай спазването на изискването, посочено в първа алинея, се доказва с изчисления, като се допуска, че отсекът пред първата носова непроницаема преграда и прилежащите отсеци са пълни с вода;</w:t>
      </w:r>
    </w:p>
    <w:p w14:paraId="31AE35D4" w14:textId="77777777" w:rsidR="00271FA2" w:rsidRPr="00F06DE2" w:rsidRDefault="00D35E51">
      <w:pPr>
        <w:pStyle w:val="ESlet"/>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б) Ахтерпиковата преграда се разполага на подходящо разстояние от кърмата, когато дължината на плавателния съд </w:t>
      </w:r>
      <m:oMath>
        <m:r>
          <w:rPr>
            <w:rFonts w:ascii="Cambria Math" w:hAnsi="Cambria Math" w:cs="Times New Roman"/>
            <w:sz w:val="24"/>
            <w:szCs w:val="24"/>
          </w:rPr>
          <m:t>L</m:t>
        </m:r>
      </m:oMath>
      <w:r w:rsidRPr="00F06DE2">
        <w:rPr>
          <w:rFonts w:ascii="Times New Roman" w:hAnsi="Times New Roman" w:cs="Times New Roman"/>
          <w:sz w:val="24"/>
          <w:szCs w:val="24"/>
          <w:lang w:val="ru-RU"/>
        </w:rPr>
        <w:t xml:space="preserve"> надвишава 25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по такъв начин, че да се осигури плавателността на натоварен плавателен </w:t>
      </w:r>
      <w:r w:rsidR="006D3B7D" w:rsidRPr="00F06DE2">
        <w:rPr>
          <w:rFonts w:ascii="Times New Roman" w:hAnsi="Times New Roman" w:cs="Times New Roman"/>
          <w:sz w:val="24"/>
          <w:szCs w:val="24"/>
          <w:lang w:val="ru-RU"/>
        </w:rPr>
        <w:t>съд при остатъчно безопасно разстояние</w:t>
      </w:r>
      <w:r w:rsidRPr="00F06DE2">
        <w:rPr>
          <w:rFonts w:ascii="Times New Roman" w:hAnsi="Times New Roman" w:cs="Times New Roman"/>
          <w:sz w:val="24"/>
          <w:szCs w:val="24"/>
          <w:lang w:val="ru-RU"/>
        </w:rPr>
        <w:t xml:space="preserve"> от 100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при влизане на вода във водонепроницаемия отсек над равнището на ахтерпиковата преграда.</w:t>
      </w:r>
    </w:p>
    <w:p w14:paraId="0353E421" w14:textId="77777777" w:rsidR="00271FA2" w:rsidRPr="00F06DE2" w:rsidRDefault="00D35E51">
      <w:pPr>
        <w:pStyle w:val="ESletpar"/>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В общия случай изискването, посочено в първа алинея, се счита за изпълнено, ако ахтерпиковата преграда е поставена на разстояние между 1,4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и </w:t>
      </w:r>
      <m:oMath>
        <m:r>
          <w:rPr>
            <w:rFonts w:ascii="Cambria Math" w:hAnsi="Cambria Math" w:cs="Times New Roman"/>
            <w:sz w:val="24"/>
            <w:szCs w:val="24"/>
            <w:lang w:val="ru-RU"/>
          </w:rPr>
          <m:t xml:space="preserve">0,04 </m:t>
        </m:r>
        <m:r>
          <w:rPr>
            <w:rFonts w:ascii="Cambria Math" w:hAnsi="Cambria Math" w:cs="Times New Roman"/>
            <w:sz w:val="24"/>
            <w:szCs w:val="24"/>
          </w:rPr>
          <m:t>L</m:t>
        </m:r>
        <m:r>
          <w:rPr>
            <w:rFonts w:ascii="Cambria Math" w:hAnsi="Cambria Math" w:cs="Times New Roman"/>
            <w:sz w:val="24"/>
            <w:szCs w:val="24"/>
            <w:lang w:val="ru-RU"/>
          </w:rPr>
          <m:t xml:space="preserve"> + 2 </m:t>
        </m:r>
        <m:r>
          <w:rPr>
            <w:rFonts w:ascii="Cambria Math" w:hAnsi="Cambria Math" w:cs="Times New Roman"/>
            <w:sz w:val="24"/>
            <w:szCs w:val="24"/>
          </w:rPr>
          <m:t>m</m:t>
        </m:r>
      </m:oMath>
      <w:r w:rsidRPr="00F06DE2">
        <w:rPr>
          <w:rFonts w:ascii="Times New Roman" w:hAnsi="Times New Roman" w:cs="Times New Roman"/>
          <w:sz w:val="24"/>
          <w:szCs w:val="24"/>
          <w:lang w:val="ru-RU"/>
        </w:rPr>
        <w:t xml:space="preserve"> измерени от задната точка на пресичане на корпуса с линията на максималното газене.</w:t>
      </w:r>
    </w:p>
    <w:p w14:paraId="44637EDC" w14:textId="77777777" w:rsidR="00271FA2" w:rsidRPr="00F06DE2" w:rsidRDefault="00D35E51">
      <w:pPr>
        <w:pStyle w:val="ESletpar"/>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Ако това разстояние е по-голямо от </w:t>
      </w:r>
      <m:oMath>
        <m:r>
          <w:rPr>
            <w:rFonts w:ascii="Cambria Math" w:hAnsi="Cambria Math" w:cs="Times New Roman"/>
            <w:sz w:val="24"/>
            <w:szCs w:val="24"/>
            <w:lang w:val="ru-RU"/>
          </w:rPr>
          <m:t xml:space="preserve">0,04 </m:t>
        </m:r>
        <m:r>
          <w:rPr>
            <w:rFonts w:ascii="Cambria Math" w:hAnsi="Cambria Math" w:cs="Times New Roman"/>
            <w:sz w:val="24"/>
            <w:szCs w:val="24"/>
          </w:rPr>
          <m:t>L</m:t>
        </m:r>
        <m:r>
          <w:rPr>
            <w:rFonts w:ascii="Cambria Math" w:hAnsi="Cambria Math" w:cs="Times New Roman"/>
            <w:sz w:val="24"/>
            <w:szCs w:val="24"/>
            <w:lang w:val="ru-RU"/>
          </w:rPr>
          <m:t xml:space="preserve"> + 2 </m:t>
        </m:r>
        <m:r>
          <w:rPr>
            <w:rFonts w:ascii="Cambria Math" w:hAnsi="Cambria Math" w:cs="Times New Roman"/>
            <w:sz w:val="24"/>
            <w:szCs w:val="24"/>
          </w:rPr>
          <m:t>m</m:t>
        </m:r>
      </m:oMath>
      <w:r w:rsidRPr="00F06DE2">
        <w:rPr>
          <w:rFonts w:ascii="Times New Roman" w:hAnsi="Times New Roman" w:cs="Times New Roman"/>
          <w:sz w:val="24"/>
          <w:szCs w:val="24"/>
          <w:lang w:val="ru-RU"/>
        </w:rPr>
        <w:t>, изискването, посочено в първата алинея, се доказва чрез изчисления.</w:t>
      </w:r>
    </w:p>
    <w:p w14:paraId="38069298" w14:textId="77777777" w:rsidR="00271FA2" w:rsidRPr="00F06DE2" w:rsidRDefault="00D35E51">
      <w:pPr>
        <w:pStyle w:val="ESletpar"/>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Това разстояние може да се намали до 1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В такъв случай спазването на изискването, посочено в първа алинея, се доказва с изчисление, като се допуска, че отсекът зад ахтерпиковата преграда и непосредствено прилежащите отсеци са пълни с вода.</w:t>
      </w:r>
    </w:p>
    <w:p w14:paraId="6F32A570" w14:textId="77777777" w:rsidR="00271FA2" w:rsidRPr="00F06DE2" w:rsidRDefault="00D35E51">
      <w:pPr>
        <w:pStyle w:val="ESch"/>
        <w:ind w:left="447" w:hanging="44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 xml:space="preserve">Никакви помещения или инсталации, необходими за безопасността на плавателния съд и неговата експлоатация, не могат да се намират пред равнината на първата носова непроницаема преграда или зад ахтерпиковата преграда. </w:t>
      </w:r>
    </w:p>
    <w:p w14:paraId="050199D3" w14:textId="77777777" w:rsidR="00271FA2" w:rsidRPr="00F06DE2" w:rsidRDefault="00D35E51">
      <w:pPr>
        <w:pStyle w:val="ESchpar"/>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Това изискване не се прилага за котвеното устройство.</w:t>
      </w:r>
    </w:p>
    <w:p w14:paraId="2976E8EE" w14:textId="77777777" w:rsidR="00271FA2" w:rsidRPr="00F06DE2" w:rsidRDefault="00D35E51">
      <w:pPr>
        <w:pStyle w:val="ESchpar"/>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Освен това, това изискване не се прилага за</w:t>
      </w:r>
    </w:p>
    <w:p w14:paraId="51D2AB8E" w14:textId="77777777" w:rsidR="00271FA2" w:rsidRPr="00F06DE2" w:rsidRDefault="00D35E51">
      <w:pPr>
        <w:pStyle w:val="ESchpar"/>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а) рулеви апарат;</w:t>
      </w:r>
    </w:p>
    <w:p w14:paraId="1A0C502A" w14:textId="77777777" w:rsidR="00271FA2" w:rsidRPr="00F06DE2" w:rsidRDefault="00D35E51">
      <w:pPr>
        <w:pStyle w:val="ESchpar"/>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б) рулеви, водоструйни и циклоидно-витлови установки; или</w:t>
      </w:r>
    </w:p>
    <w:p w14:paraId="656C0C1C" w14:textId="77777777" w:rsidR="00271FA2" w:rsidRPr="00F06DE2" w:rsidRDefault="00D35E51">
      <w:pPr>
        <w:pStyle w:val="ESchpar"/>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в) задвижващи инсталации, сравними с буква “б” разположени отзад на преградата на кърмовия отсек. Това включва и електрически задвижвания на тези инсталации.</w:t>
      </w:r>
    </w:p>
    <w:p w14:paraId="7D19787E" w14:textId="77777777" w:rsidR="00271FA2" w:rsidRPr="00F06DE2" w:rsidRDefault="00D35E51">
      <w:pPr>
        <w:pStyle w:val="ESch"/>
        <w:ind w:left="447" w:hanging="44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Жилищните помещения, машинните и котелните отделения и всички работни пространства, които са част от тях, трябва да бъдат разделени от трюмовете с водонепроницаеми напречни прегради, стигащи до палубата.</w:t>
      </w:r>
    </w:p>
    <w:p w14:paraId="5530704F" w14:textId="77777777" w:rsidR="00271FA2" w:rsidRPr="00F06DE2" w:rsidRDefault="00D35E51">
      <w:pPr>
        <w:pStyle w:val="ESch"/>
        <w:ind w:left="447" w:hanging="44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w:t>
      </w:r>
      <w:r w:rsidRPr="00F06DE2">
        <w:rPr>
          <w:rFonts w:ascii="Times New Roman" w:hAnsi="Times New Roman" w:cs="Times New Roman"/>
          <w:sz w:val="24"/>
          <w:szCs w:val="24"/>
          <w:lang w:val="ru-RU"/>
        </w:rPr>
        <w:tab/>
        <w:t>Жилищните помещения трябва да бъдат отделни от машинните и котелните отделения и трюмовете чрез газонепроницаеми прегради и да бъдат достъпни директно откъм палубата. Там, където няма такъв достъп, трябва да има авариен изход, водещ директно към палубата.</w:t>
      </w:r>
    </w:p>
    <w:p w14:paraId="3E516E53" w14:textId="77777777" w:rsidR="00271FA2" w:rsidRPr="00F06DE2" w:rsidRDefault="00D35E51">
      <w:pPr>
        <w:pStyle w:val="ESch"/>
        <w:ind w:left="447" w:hanging="44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w:t>
      </w:r>
      <w:r w:rsidRPr="00F06DE2">
        <w:rPr>
          <w:rFonts w:ascii="Times New Roman" w:hAnsi="Times New Roman" w:cs="Times New Roman"/>
          <w:sz w:val="24"/>
          <w:szCs w:val="24"/>
          <w:lang w:val="ru-RU"/>
        </w:rPr>
        <w:tab/>
        <w:t>Преградите, посочени в точки 1 и 3, и отделителните прегради на областите, посочени в точка 4, не трябва да имат отвори.</w:t>
      </w:r>
    </w:p>
    <w:p w14:paraId="55024802" w14:textId="5B8FFDD6" w:rsidR="00271FA2" w:rsidRPr="00F06DE2" w:rsidRDefault="00D35E51">
      <w:pPr>
        <w:pStyle w:val="ESchpar"/>
        <w:ind w:left="447" w:hanging="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Все пак, врати в ахтерпиковата преграда и проходи, по-специално за валове и тръбопроводи са разрешени, при условие че са проектирани, така че да не увреждат ефикасността на преградата и на отделянето на зоните. Врати в кърмовата преграда са разрешени само ако може да се определя чрез дистанционно следене от рулевата рубка дали те са отворени или затворени и </w:t>
      </w:r>
      <w:r w:rsidR="003A7F6D" w:rsidRPr="00F06DE2">
        <w:rPr>
          <w:rFonts w:ascii="Times New Roman" w:hAnsi="Times New Roman" w:cs="Times New Roman"/>
          <w:sz w:val="24"/>
          <w:szCs w:val="24"/>
          <w:lang w:val="ru-RU"/>
        </w:rPr>
        <w:t>да има</w:t>
      </w:r>
      <w:r w:rsidRPr="00F06DE2">
        <w:rPr>
          <w:rFonts w:ascii="Times New Roman" w:hAnsi="Times New Roman" w:cs="Times New Roman"/>
          <w:sz w:val="24"/>
          <w:szCs w:val="24"/>
          <w:lang w:val="ru-RU"/>
        </w:rPr>
        <w:t xml:space="preserve"> следното указание и от двете страни:</w:t>
      </w:r>
    </w:p>
    <w:p w14:paraId="5391571B" w14:textId="77777777" w:rsidR="00271FA2" w:rsidRPr="00F06DE2" w:rsidRDefault="00D35E51">
      <w:pPr>
        <w:spacing w:line="240" w:lineRule="atLeast"/>
        <w:jc w:val="center"/>
        <w:rPr>
          <w:rFonts w:ascii="Times New Roman" w:hAnsi="Times New Roman" w:cs="Times New Roman"/>
          <w:sz w:val="24"/>
          <w:szCs w:val="24"/>
          <w:lang w:val="ru-RU"/>
        </w:rPr>
      </w:pPr>
      <w:r w:rsidRPr="00F06DE2">
        <w:rPr>
          <w:rFonts w:ascii="Times New Roman" w:hAnsi="Times New Roman" w:cs="Times New Roman"/>
          <w:sz w:val="24"/>
          <w:szCs w:val="24"/>
          <w:lang w:val="ru-RU"/>
        </w:rPr>
        <w:t>„Вратата да се затваря веднага след ползване“.</w:t>
      </w:r>
    </w:p>
    <w:p w14:paraId="09C7939C"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w:t>
      </w:r>
      <w:r w:rsidRPr="00F06DE2">
        <w:rPr>
          <w:rFonts w:ascii="Times New Roman" w:hAnsi="Times New Roman" w:cs="Times New Roman"/>
          <w:sz w:val="24"/>
          <w:szCs w:val="24"/>
          <w:lang w:val="ru-RU"/>
        </w:rPr>
        <w:tab/>
        <w:t>Водоприемните и водоотвеждащите устройства и свързаните с тях водопроводи трябва да са такива, че да не е възможно непреднамерено попадане на вода в плавателния съд.</w:t>
      </w:r>
    </w:p>
    <w:p w14:paraId="48767142" w14:textId="6B0502E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7.</w:t>
      </w:r>
      <w:r w:rsidRPr="00F06DE2">
        <w:rPr>
          <w:rFonts w:ascii="Times New Roman" w:hAnsi="Times New Roman" w:cs="Times New Roman"/>
          <w:sz w:val="24"/>
          <w:szCs w:val="24"/>
          <w:lang w:val="ru-RU"/>
        </w:rPr>
        <w:tab/>
      </w:r>
      <w:r w:rsidR="00686A5A" w:rsidRPr="00F06DE2">
        <w:rPr>
          <w:rFonts w:ascii="Times New Roman" w:hAnsi="Times New Roman" w:cs="Times New Roman"/>
          <w:sz w:val="24"/>
          <w:szCs w:val="24"/>
          <w:lang w:val="ru-RU"/>
        </w:rPr>
        <w:t>Носов</w:t>
      </w:r>
      <w:r w:rsidR="00CD55EC" w:rsidRPr="00F06DE2">
        <w:rPr>
          <w:rFonts w:ascii="Times New Roman" w:hAnsi="Times New Roman" w:cs="Times New Roman"/>
          <w:sz w:val="24"/>
          <w:szCs w:val="24"/>
          <w:lang w:val="ru-RU"/>
        </w:rPr>
        <w:t>а</w:t>
      </w:r>
      <w:r w:rsidR="00B01C42" w:rsidRPr="00F06DE2">
        <w:rPr>
          <w:rFonts w:ascii="Times New Roman" w:hAnsi="Times New Roman" w:cs="Times New Roman"/>
          <w:sz w:val="24"/>
          <w:szCs w:val="24"/>
          <w:lang w:val="ru-RU"/>
        </w:rPr>
        <w:t xml:space="preserve"> </w:t>
      </w:r>
      <w:r w:rsidR="00CD55EC" w:rsidRPr="00F06DE2">
        <w:rPr>
          <w:rFonts w:ascii="Times New Roman" w:hAnsi="Times New Roman" w:cs="Times New Roman"/>
          <w:sz w:val="24"/>
          <w:szCs w:val="24"/>
          <w:lang w:val="ru-RU"/>
        </w:rPr>
        <w:t>ата</w:t>
      </w:r>
      <w:r w:rsidR="00686A5A" w:rsidRPr="00F06DE2">
        <w:rPr>
          <w:rFonts w:ascii="Times New Roman" w:hAnsi="Times New Roman" w:cs="Times New Roman"/>
          <w:sz w:val="24"/>
          <w:szCs w:val="24"/>
          <w:lang w:val="ru-RU"/>
        </w:rPr>
        <w:t xml:space="preserve">   </w:t>
      </w:r>
      <w:r w:rsidR="00CD55EC" w:rsidRPr="00F06DE2">
        <w:rPr>
          <w:rFonts w:ascii="Times New Roman" w:hAnsi="Times New Roman" w:cs="Times New Roman"/>
          <w:sz w:val="24"/>
          <w:szCs w:val="24"/>
          <w:lang w:val="ru-RU"/>
        </w:rPr>
        <w:t xml:space="preserve"> секция</w:t>
      </w:r>
      <w:r w:rsidR="00686A5A" w:rsidRPr="00F06DE2">
        <w:rPr>
          <w:rFonts w:ascii="Times New Roman" w:hAnsi="Times New Roman" w:cs="Times New Roman"/>
          <w:sz w:val="24"/>
          <w:szCs w:val="24"/>
          <w:lang w:val="ru-RU"/>
        </w:rPr>
        <w:t xml:space="preserve"> </w:t>
      </w:r>
      <w:r w:rsidRPr="00F06DE2">
        <w:rPr>
          <w:rFonts w:ascii="Times New Roman" w:hAnsi="Times New Roman" w:cs="Times New Roman"/>
          <w:sz w:val="24"/>
          <w:szCs w:val="24"/>
          <w:lang w:val="ru-RU"/>
        </w:rPr>
        <w:t xml:space="preserve">на плавателните съдове трябва да </w:t>
      </w:r>
      <w:r w:rsidR="00E130E4" w:rsidRPr="00F06DE2">
        <w:rPr>
          <w:rFonts w:ascii="Times New Roman" w:hAnsi="Times New Roman" w:cs="Times New Roman"/>
          <w:sz w:val="24"/>
          <w:szCs w:val="24"/>
          <w:lang w:val="ru-RU"/>
        </w:rPr>
        <w:t xml:space="preserve">е </w:t>
      </w:r>
      <w:r w:rsidRPr="00F06DE2">
        <w:rPr>
          <w:rFonts w:ascii="Times New Roman" w:hAnsi="Times New Roman" w:cs="Times New Roman"/>
          <w:sz w:val="24"/>
          <w:szCs w:val="24"/>
          <w:lang w:val="ru-RU"/>
        </w:rPr>
        <w:t>построен</w:t>
      </w:r>
      <w:r w:rsidR="00E130E4" w:rsidRPr="00F06DE2">
        <w:rPr>
          <w:rFonts w:ascii="Times New Roman" w:hAnsi="Times New Roman" w:cs="Times New Roman"/>
          <w:sz w:val="24"/>
          <w:szCs w:val="24"/>
          <w:lang w:val="ru-RU"/>
        </w:rPr>
        <w:t>а</w:t>
      </w:r>
      <w:r w:rsidRPr="00F06DE2">
        <w:rPr>
          <w:rFonts w:ascii="Times New Roman" w:hAnsi="Times New Roman" w:cs="Times New Roman"/>
          <w:sz w:val="24"/>
          <w:szCs w:val="24"/>
          <w:lang w:val="ru-RU"/>
        </w:rPr>
        <w:t xml:space="preserve">, че котвите да не стърчат навън нито изцяло, нито частично извън </w:t>
      </w:r>
      <w:r w:rsidR="00E130E4" w:rsidRPr="00F06DE2">
        <w:rPr>
          <w:rFonts w:ascii="Times New Roman" w:hAnsi="Times New Roman" w:cs="Times New Roman"/>
          <w:sz w:val="24"/>
          <w:szCs w:val="24"/>
          <w:lang w:val="ru-RU"/>
        </w:rPr>
        <w:t xml:space="preserve"> </w:t>
      </w:r>
      <w:r w:rsidR="00686A5A" w:rsidRPr="00F06DE2">
        <w:rPr>
          <w:rFonts w:ascii="Times New Roman" w:hAnsi="Times New Roman" w:cs="Times New Roman"/>
          <w:sz w:val="24"/>
          <w:szCs w:val="24"/>
          <w:lang w:val="ru-RU"/>
        </w:rPr>
        <w:t xml:space="preserve">бордовата  </w:t>
      </w:r>
      <w:r w:rsidRPr="00F06DE2">
        <w:rPr>
          <w:rFonts w:ascii="Times New Roman" w:hAnsi="Times New Roman" w:cs="Times New Roman"/>
          <w:sz w:val="24"/>
          <w:szCs w:val="24"/>
          <w:lang w:val="ru-RU"/>
        </w:rPr>
        <w:t>обшивка.</w:t>
      </w:r>
    </w:p>
    <w:p w14:paraId="2CBA1F2D" w14:textId="77777777" w:rsidR="000B2E40" w:rsidRPr="00F06DE2" w:rsidRDefault="000B2E40">
      <w:pPr>
        <w:pStyle w:val="ES-Titre3"/>
        <w:spacing w:line="240" w:lineRule="atLeast"/>
        <w:rPr>
          <w:rFonts w:ascii="Times New Roman" w:hAnsi="Times New Roman" w:cs="Times New Roman"/>
          <w:sz w:val="24"/>
          <w:szCs w:val="24"/>
          <w:lang w:val="ru-RU"/>
        </w:rPr>
      </w:pPr>
      <w:bookmarkStart w:id="24" w:name="_Toc535827453"/>
      <w:bookmarkStart w:id="25" w:name="_Toc491854012"/>
    </w:p>
    <w:p w14:paraId="02E3C38D" w14:textId="283C4F4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3.04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Машинни и котелни отделения, бункери</w:t>
      </w:r>
      <w:bookmarkEnd w:id="24"/>
      <w:bookmarkEnd w:id="25"/>
    </w:p>
    <w:p w14:paraId="76D1B224" w14:textId="3A4D4ED4"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 xml:space="preserve">Машинните и котелните отделения се организират по такъв начин, че оборудването </w:t>
      </w:r>
      <w:r w:rsidR="00EF40A9" w:rsidRPr="00F06DE2">
        <w:rPr>
          <w:rFonts w:ascii="Times New Roman" w:hAnsi="Times New Roman" w:cs="Times New Roman"/>
          <w:sz w:val="24"/>
          <w:szCs w:val="24"/>
          <w:lang w:val="ru-RU"/>
        </w:rPr>
        <w:t xml:space="preserve">в тях </w:t>
      </w:r>
      <w:r w:rsidRPr="00F06DE2">
        <w:rPr>
          <w:rFonts w:ascii="Times New Roman" w:hAnsi="Times New Roman" w:cs="Times New Roman"/>
          <w:sz w:val="24"/>
          <w:szCs w:val="24"/>
          <w:lang w:val="ru-RU"/>
        </w:rPr>
        <w:t>да може да се използва, обслужва и поддържа лесно и безопасно.</w:t>
      </w:r>
    </w:p>
    <w:p w14:paraId="65ABF894" w14:textId="42D5FF0C"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r>
      <w:r w:rsidR="00EF40A9" w:rsidRPr="00F06DE2">
        <w:rPr>
          <w:rFonts w:ascii="Times New Roman" w:hAnsi="Times New Roman" w:cs="Times New Roman"/>
          <w:sz w:val="24"/>
          <w:szCs w:val="24"/>
          <w:lang w:val="ru-RU"/>
        </w:rPr>
        <w:t xml:space="preserve">Танковете </w:t>
      </w:r>
      <w:r w:rsidRPr="00F06DE2">
        <w:rPr>
          <w:rFonts w:ascii="Times New Roman" w:hAnsi="Times New Roman" w:cs="Times New Roman"/>
          <w:sz w:val="24"/>
          <w:szCs w:val="24"/>
          <w:lang w:val="ru-RU"/>
        </w:rPr>
        <w:t>за течно гориво или смазочен материал, помещения за пътници и жилищните помещения не могат да имат общи стени, които да са под статичното налягане на течността, когато са в нормална експлоатация.</w:t>
      </w:r>
    </w:p>
    <w:p w14:paraId="116C2D18"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Стените, таваните и вратите на машинните и котелните отделения и бункерите се изработват от стомана или друг еквивалентен негорим материал.</w:t>
      </w:r>
    </w:p>
    <w:p w14:paraId="7E0AB7B3" w14:textId="77777777" w:rsidR="00271FA2" w:rsidRPr="00F06DE2" w:rsidRDefault="00D35E51">
      <w:pPr>
        <w:pStyle w:val="ESchpar"/>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Изолационният материал, използван в машинните отделения, трябва да бъде защитен срещу проникване на гориво и горивни пари.</w:t>
      </w:r>
    </w:p>
    <w:p w14:paraId="7C3640E4" w14:textId="77777777" w:rsidR="00271FA2" w:rsidRPr="00F06DE2" w:rsidRDefault="00D35E51">
      <w:pPr>
        <w:pStyle w:val="ESchpar"/>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Всички отвори в стените, таваните и вратите на машинните отделения, котелните отделения и бункерите са такива, че да могат да се затварят от външната страна на помещението. Заключващите устройства трябва да са изработени от стомана или друг еквивалентен негорим материал.</w:t>
      </w:r>
    </w:p>
    <w:p w14:paraId="48645633" w14:textId="26A635A5"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w:t>
      </w:r>
      <w:r w:rsidRPr="00F06DE2">
        <w:rPr>
          <w:rFonts w:ascii="Times New Roman" w:hAnsi="Times New Roman" w:cs="Times New Roman"/>
          <w:sz w:val="24"/>
          <w:szCs w:val="24"/>
          <w:lang w:val="ru-RU"/>
        </w:rPr>
        <w:tab/>
        <w:t xml:space="preserve">Машинните и котелните отделения и другите пространства, от които могат бъдат изпуснати запалими или </w:t>
      </w:r>
      <w:r w:rsidR="00001AB0" w:rsidRPr="00F06DE2">
        <w:rPr>
          <w:rFonts w:ascii="Times New Roman" w:hAnsi="Times New Roman" w:cs="Times New Roman"/>
          <w:sz w:val="24"/>
          <w:szCs w:val="24"/>
          <w:lang w:val="ru-RU"/>
        </w:rPr>
        <w:t xml:space="preserve">токсични </w:t>
      </w:r>
      <w:r w:rsidRPr="00F06DE2">
        <w:rPr>
          <w:rFonts w:ascii="Times New Roman" w:hAnsi="Times New Roman" w:cs="Times New Roman"/>
          <w:sz w:val="24"/>
          <w:szCs w:val="24"/>
          <w:lang w:val="ru-RU"/>
        </w:rPr>
        <w:t>газове, трябва да бъдат с подходяща вентилация.</w:t>
      </w:r>
    </w:p>
    <w:p w14:paraId="4C4BC79B" w14:textId="5B6E0306"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w:t>
      </w:r>
      <w:r w:rsidRPr="00F06DE2">
        <w:rPr>
          <w:rFonts w:ascii="Times New Roman" w:hAnsi="Times New Roman" w:cs="Times New Roman"/>
          <w:sz w:val="24"/>
          <w:szCs w:val="24"/>
          <w:lang w:val="ru-RU"/>
        </w:rPr>
        <w:tab/>
      </w:r>
      <w:r w:rsidR="006D5265" w:rsidRPr="00F06DE2">
        <w:rPr>
          <w:rFonts w:ascii="Times New Roman" w:hAnsi="Times New Roman" w:cs="Times New Roman"/>
          <w:sz w:val="24"/>
          <w:szCs w:val="24"/>
          <w:lang w:val="ru-RU"/>
        </w:rPr>
        <w:t>Т</w:t>
      </w:r>
      <w:r w:rsidRPr="00F06DE2">
        <w:rPr>
          <w:rFonts w:ascii="Times New Roman" w:hAnsi="Times New Roman" w:cs="Times New Roman"/>
          <w:sz w:val="24"/>
          <w:szCs w:val="24"/>
          <w:lang w:val="ru-RU"/>
        </w:rPr>
        <w:t>рапове и стълби, осигуряващи достъп до машинните и котелните отделения и бункерите, трябва да са здраво закрепени и да са направени от стомана или друг еквивалентен удароустойчив и негорим материал.</w:t>
      </w:r>
    </w:p>
    <w:p w14:paraId="1235606D"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w:t>
      </w:r>
      <w:r w:rsidRPr="00F06DE2">
        <w:rPr>
          <w:rFonts w:ascii="Times New Roman" w:hAnsi="Times New Roman" w:cs="Times New Roman"/>
          <w:sz w:val="24"/>
          <w:szCs w:val="24"/>
          <w:lang w:val="ru-RU"/>
        </w:rPr>
        <w:tab/>
        <w:t>Машинните и котелните отделения трябва да имат два изхода, един от които може да бъде авариен изход.</w:t>
      </w:r>
    </w:p>
    <w:p w14:paraId="24C0E448" w14:textId="77777777" w:rsidR="00271FA2" w:rsidRPr="00F06DE2" w:rsidRDefault="00D35E51">
      <w:pPr>
        <w:pStyle w:val="ESchpar"/>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Може да не е необходим втори изход, в случай че:</w:t>
      </w:r>
    </w:p>
    <w:p w14:paraId="170257DB"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rPr>
        <w:t>a</w:t>
      </w:r>
      <w:r w:rsidRPr="00F06DE2">
        <w:rPr>
          <w:rFonts w:ascii="Times New Roman" w:hAnsi="Times New Roman" w:cs="Times New Roman"/>
          <w:sz w:val="24"/>
          <w:szCs w:val="24"/>
          <w:lang w:val="ru-RU"/>
        </w:rPr>
        <w:t xml:space="preserve">) общата подова площ (средната дължина × средната ширина на равнището на подовата настилка) на машинното или котелното отделение не надхвърля 35 </w:t>
      </w:r>
      <w:r w:rsidRPr="00F06DE2">
        <w:rPr>
          <w:rFonts w:ascii="Times New Roman" w:hAnsi="Times New Roman" w:cs="Times New Roman"/>
          <w:sz w:val="24"/>
          <w:szCs w:val="24"/>
        </w:rPr>
        <w:t>m</w:t>
      </w:r>
      <w:r w:rsidRPr="00F06DE2">
        <w:rPr>
          <w:rFonts w:ascii="Times New Roman" w:hAnsi="Times New Roman" w:cs="Times New Roman"/>
          <w:sz w:val="24"/>
          <w:szCs w:val="24"/>
          <w:vertAlign w:val="superscript"/>
          <w:lang w:val="ru-RU"/>
        </w:rPr>
        <w:t>2</w:t>
      </w:r>
      <w:r w:rsidRPr="00F06DE2">
        <w:rPr>
          <w:rFonts w:ascii="Times New Roman" w:hAnsi="Times New Roman" w:cs="Times New Roman"/>
          <w:sz w:val="24"/>
          <w:szCs w:val="24"/>
          <w:lang w:val="ru-RU"/>
        </w:rPr>
        <w:t>; и</w:t>
      </w:r>
    </w:p>
    <w:p w14:paraId="4FF11ACA"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б) разстоянието между всяка точка, където се осъществяват дейностите по обслужване или поддръжка и изхода или основата на вътрешния трап близо до изхода, осигуряващ достъп навън, не е повече от 5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и</w:t>
      </w:r>
    </w:p>
    <w:p w14:paraId="6F9D93FE"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в) пожарогасителят е разположен в точката за обслужване, която е най-далеч от вратата на изхода и освен това, посредством дерогация от член 13.03, точка 1, буква “д”, където инсталираната мощност на двигателите не надхвърля 100 </w:t>
      </w:r>
      <w:r w:rsidRPr="00F06DE2">
        <w:rPr>
          <w:rFonts w:ascii="Times New Roman" w:hAnsi="Times New Roman" w:cs="Times New Roman"/>
          <w:sz w:val="24"/>
          <w:szCs w:val="24"/>
        </w:rPr>
        <w:t>kW</w:t>
      </w:r>
      <w:r w:rsidRPr="00F06DE2">
        <w:rPr>
          <w:rFonts w:ascii="Times New Roman" w:hAnsi="Times New Roman" w:cs="Times New Roman"/>
          <w:sz w:val="24"/>
          <w:szCs w:val="24"/>
          <w:lang w:val="ru-RU"/>
        </w:rPr>
        <w:t>.</w:t>
      </w:r>
    </w:p>
    <w:p w14:paraId="0B436499" w14:textId="77777777" w:rsidR="00271FA2" w:rsidRPr="00F06DE2" w:rsidRDefault="00D35E51">
      <w:pPr>
        <w:spacing w:line="240" w:lineRule="atLeast"/>
        <w:ind w:left="480" w:hangingChars="200" w:hanging="48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w:t>
      </w:r>
      <w:r w:rsidRPr="00F06DE2">
        <w:rPr>
          <w:rFonts w:ascii="Times New Roman" w:hAnsi="Times New Roman" w:cs="Times New Roman"/>
          <w:sz w:val="24"/>
          <w:szCs w:val="24"/>
          <w:lang w:val="ru-RU"/>
        </w:rPr>
        <w:tab/>
        <w:t xml:space="preserve">Допустимото ниво на звуковото налягане в машинните отделения не трябва да надвишава 110 </w:t>
      </w:r>
      <w:r w:rsidRPr="00F06DE2">
        <w:rPr>
          <w:rFonts w:ascii="Times New Roman" w:hAnsi="Times New Roman" w:cs="Times New Roman"/>
          <w:sz w:val="24"/>
          <w:szCs w:val="24"/>
        </w:rPr>
        <w:t>dB</w:t>
      </w:r>
      <w:r w:rsidRPr="00F06DE2">
        <w:rPr>
          <w:rFonts w:ascii="Times New Roman" w:hAnsi="Times New Roman" w:cs="Times New Roman"/>
          <w:sz w:val="24"/>
          <w:szCs w:val="24"/>
          <w:lang w:val="ru-RU"/>
        </w:rPr>
        <w:t>(</w:t>
      </w:r>
      <w:r w:rsidRPr="00F06DE2">
        <w:rPr>
          <w:rFonts w:ascii="Times New Roman" w:hAnsi="Times New Roman" w:cs="Times New Roman"/>
          <w:sz w:val="24"/>
          <w:szCs w:val="24"/>
        </w:rPr>
        <w:t>A</w:t>
      </w:r>
      <w:r w:rsidRPr="00F06DE2">
        <w:rPr>
          <w:rFonts w:ascii="Times New Roman" w:hAnsi="Times New Roman" w:cs="Times New Roman"/>
          <w:sz w:val="24"/>
          <w:szCs w:val="24"/>
          <w:lang w:val="ru-RU"/>
        </w:rPr>
        <w:t>). Точките на измерване се избират като функция на необходимата дейност за поддръжка при обичайна експлоатация на агрегата, монтиран вътре.</w:t>
      </w:r>
    </w:p>
    <w:p w14:paraId="3376F5A9" w14:textId="77777777" w:rsidR="00271FA2" w:rsidRPr="00F06DE2" w:rsidRDefault="00271FA2">
      <w:pPr>
        <w:spacing w:line="240" w:lineRule="atLeast"/>
        <w:rPr>
          <w:rFonts w:ascii="Times New Roman" w:eastAsia="Calibri" w:hAnsi="Times New Roman" w:cs="Times New Roman"/>
          <w:sz w:val="24"/>
          <w:szCs w:val="24"/>
          <w:lang w:val="ru-RU"/>
        </w:rPr>
      </w:pPr>
    </w:p>
    <w:p w14:paraId="75BB1115" w14:textId="77777777" w:rsidR="00271FA2" w:rsidRPr="00F06DE2" w:rsidRDefault="00271FA2">
      <w:pPr>
        <w:spacing w:line="240" w:lineRule="atLeast"/>
        <w:rPr>
          <w:rFonts w:ascii="Times New Roman" w:eastAsia="Calibri" w:hAnsi="Times New Roman" w:cs="Times New Roman"/>
          <w:sz w:val="24"/>
          <w:szCs w:val="24"/>
          <w:lang w:val="ru-RU"/>
        </w:rPr>
        <w:sectPr w:rsidR="00271FA2" w:rsidRPr="00F06DE2" w:rsidSect="00F06DE2">
          <w:headerReference w:type="default" r:id="rId22"/>
          <w:headerReference w:type="first" r:id="rId23"/>
          <w:footnotePr>
            <w:numRestart w:val="eachPage"/>
          </w:footnotePr>
          <w:pgSz w:w="11906" w:h="16838" w:code="9"/>
          <w:pgMar w:top="1134" w:right="1134" w:bottom="1134" w:left="1134" w:header="709" w:footer="709" w:gutter="0"/>
          <w:cols w:space="709"/>
          <w:titlePg/>
          <w:docGrid w:linePitch="272"/>
        </w:sectPr>
      </w:pPr>
    </w:p>
    <w:p w14:paraId="248B57C7" w14:textId="77777777" w:rsidR="00271FA2" w:rsidRPr="00F06DE2" w:rsidRDefault="00D35E51">
      <w:pPr>
        <w:jc w:val="center"/>
        <w:rPr>
          <w:rFonts w:ascii="Times New Roman" w:hAnsi="Times New Roman" w:cs="Times New Roman"/>
          <w:b/>
          <w:sz w:val="24"/>
          <w:szCs w:val="24"/>
          <w:lang w:val="ru-RU"/>
        </w:rPr>
      </w:pPr>
      <w:r w:rsidRPr="00F06DE2">
        <w:rPr>
          <w:rFonts w:ascii="Times New Roman" w:hAnsi="Times New Roman" w:cs="Times New Roman"/>
          <w:b/>
          <w:sz w:val="24"/>
          <w:szCs w:val="24"/>
          <w:lang w:val="ru-RU"/>
        </w:rPr>
        <w:lastRenderedPageBreak/>
        <w:t xml:space="preserve">ГЛАВА 4 </w:t>
      </w:r>
    </w:p>
    <w:p w14:paraId="10B33E98" w14:textId="77777777" w:rsidR="00271FA2" w:rsidRPr="00F06DE2" w:rsidRDefault="00D35E51">
      <w:pPr>
        <w:jc w:val="center"/>
        <w:rPr>
          <w:rFonts w:ascii="Times New Roman" w:hAnsi="Times New Roman" w:cs="Times New Roman"/>
          <w:b/>
          <w:bCs/>
          <w:sz w:val="24"/>
          <w:szCs w:val="24"/>
          <w:lang w:val="ru-RU"/>
        </w:rPr>
      </w:pPr>
      <w:r w:rsidRPr="00F06DE2">
        <w:rPr>
          <w:rFonts w:ascii="Times New Roman" w:hAnsi="Times New Roman" w:cs="Times New Roman"/>
          <w:b/>
          <w:bCs/>
          <w:sz w:val="24"/>
          <w:szCs w:val="24"/>
          <w:lang w:val="ru-RU"/>
        </w:rPr>
        <w:t>БЕЗОПАСНО РАЗСТОЯНИЕ, НАДВОДЕН БОРД И СКАЛИ НА ГАЗЕНЕТО</w:t>
      </w:r>
    </w:p>
    <w:p w14:paraId="4E718AA7" w14:textId="77777777" w:rsidR="000B2E40" w:rsidRPr="00F06DE2" w:rsidRDefault="000B2E40">
      <w:pPr>
        <w:jc w:val="center"/>
        <w:rPr>
          <w:rFonts w:ascii="Times New Roman" w:hAnsi="Times New Roman" w:cs="Times New Roman"/>
          <w:b/>
          <w:bCs/>
          <w:sz w:val="24"/>
          <w:szCs w:val="24"/>
          <w:lang w:val="ru-RU"/>
        </w:rPr>
      </w:pPr>
    </w:p>
    <w:p w14:paraId="477503C4" w14:textId="3CEF969B" w:rsidR="00271FA2" w:rsidRPr="00F06DE2" w:rsidRDefault="00D35E51">
      <w:pPr>
        <w:jc w:val="center"/>
        <w:rPr>
          <w:rFonts w:ascii="Times New Roman" w:hAnsi="Times New Roman" w:cs="Times New Roman"/>
          <w:b/>
          <w:bCs/>
          <w:sz w:val="24"/>
          <w:szCs w:val="24"/>
          <w:lang w:val="ru-RU"/>
        </w:rPr>
      </w:pPr>
      <w:r w:rsidRPr="00F06DE2">
        <w:rPr>
          <w:rFonts w:ascii="Times New Roman" w:hAnsi="Times New Roman" w:cs="Times New Roman"/>
          <w:b/>
          <w:bCs/>
          <w:sz w:val="24"/>
          <w:szCs w:val="24"/>
          <w:lang w:val="ru-RU"/>
        </w:rPr>
        <w:t>Член 4.01</w:t>
      </w:r>
    </w:p>
    <w:p w14:paraId="6F1E5908" w14:textId="77777777" w:rsidR="00271FA2" w:rsidRPr="00F06DE2" w:rsidRDefault="00D35E51">
      <w:pPr>
        <w:jc w:val="center"/>
        <w:rPr>
          <w:rFonts w:ascii="Times New Roman" w:hAnsi="Times New Roman" w:cs="Times New Roman"/>
          <w:b/>
          <w:bCs/>
          <w:i/>
          <w:sz w:val="24"/>
          <w:szCs w:val="24"/>
          <w:lang w:val="ru-RU"/>
        </w:rPr>
      </w:pPr>
      <w:r w:rsidRPr="00F06DE2">
        <w:rPr>
          <w:rFonts w:ascii="Times New Roman" w:hAnsi="Times New Roman" w:cs="Times New Roman"/>
          <w:b/>
          <w:bCs/>
          <w:i/>
          <w:sz w:val="24"/>
          <w:szCs w:val="24"/>
          <w:lang w:val="ru-RU"/>
        </w:rPr>
        <w:t>Безопасно разстояние</w:t>
      </w:r>
    </w:p>
    <w:p w14:paraId="7A4A7825"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 xml:space="preserve">Безопасното разстояние трябва да бъде най-малко 300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15F0278B"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 xml:space="preserve">Безопасното разстояние в случай на плавателни съдове, чиито отвори не могат да бъдат затворени с устойчиви на пръски и атмосферни влияния закрития, и за плавателни съдове, плаващи с непокрити трюмове, се увеличава по такъв начин, че всеки от тези отвори да бъде най-малко 500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от равнината на максималното газене.</w:t>
      </w:r>
    </w:p>
    <w:p w14:paraId="3929BBF7" w14:textId="77777777" w:rsidR="00271FA2" w:rsidRPr="00F06DE2" w:rsidRDefault="00D35E51">
      <w:pPr>
        <w:spacing w:line="240" w:lineRule="atLeast"/>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Въпреки това, от съображения за безопасност, контролният орган може да определи по-голяма стойност за безопасното разстояние.</w:t>
      </w:r>
    </w:p>
    <w:p w14:paraId="491964AC" w14:textId="77777777" w:rsidR="000B2E40" w:rsidRPr="00F06DE2" w:rsidRDefault="000B2E40">
      <w:pPr>
        <w:pStyle w:val="ES-Titre3"/>
        <w:spacing w:line="240" w:lineRule="atLeast"/>
        <w:rPr>
          <w:rFonts w:ascii="Times New Roman" w:hAnsi="Times New Roman" w:cs="Times New Roman"/>
          <w:sz w:val="24"/>
          <w:szCs w:val="24"/>
          <w:lang w:val="ru-RU"/>
        </w:rPr>
      </w:pPr>
      <w:bookmarkStart w:id="26" w:name="_Toc535827456"/>
      <w:bookmarkStart w:id="27" w:name="_Toc491854015"/>
    </w:p>
    <w:p w14:paraId="111CBC9D" w14:textId="3C23EBC9"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4.02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Надводен борд</w:t>
      </w:r>
      <w:bookmarkEnd w:id="26"/>
      <w:bookmarkEnd w:id="27"/>
    </w:p>
    <w:p w14:paraId="167C8A43" w14:textId="2676F6A4" w:rsidR="00271FA2" w:rsidRPr="00F06DE2" w:rsidRDefault="00D35E51">
      <w:pPr>
        <w:spacing w:line="240" w:lineRule="atLeast"/>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 xml:space="preserve">Надводният борд на плавателни съдове с непрекъсната палуба, без </w:t>
      </w:r>
      <w:r w:rsidR="0005732F" w:rsidRPr="00F06DE2">
        <w:rPr>
          <w:rFonts w:ascii="Times New Roman" w:hAnsi="Times New Roman" w:cs="Times New Roman"/>
          <w:sz w:val="24"/>
          <w:szCs w:val="24"/>
          <w:lang w:val="ru-RU"/>
        </w:rPr>
        <w:t xml:space="preserve">седловатост </w:t>
      </w:r>
      <w:r w:rsidRPr="00F06DE2">
        <w:rPr>
          <w:rFonts w:ascii="Times New Roman" w:hAnsi="Times New Roman" w:cs="Times New Roman"/>
          <w:sz w:val="24"/>
          <w:szCs w:val="24"/>
          <w:lang w:val="ru-RU"/>
        </w:rPr>
        <w:t xml:space="preserve">и надстройки, трябва да бъде 150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42D0DACC" w14:textId="3CE0B5EA" w:rsidR="00271FA2" w:rsidRPr="00F06DE2" w:rsidRDefault="00D35E51">
      <w:pPr>
        <w:spacing w:line="240" w:lineRule="atLeast"/>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 xml:space="preserve">Надводният борд на плавателни съдове </w:t>
      </w:r>
      <w:r w:rsidR="007E53BC" w:rsidRPr="00F06DE2">
        <w:rPr>
          <w:rFonts w:ascii="Times New Roman" w:hAnsi="Times New Roman" w:cs="Times New Roman"/>
          <w:sz w:val="24"/>
          <w:szCs w:val="24"/>
          <w:lang w:val="ru-RU"/>
        </w:rPr>
        <w:t xml:space="preserve"> </w:t>
      </w:r>
      <w:r w:rsidR="0005732F" w:rsidRPr="00F06DE2">
        <w:rPr>
          <w:rFonts w:ascii="Times New Roman" w:hAnsi="Times New Roman" w:cs="Times New Roman"/>
          <w:sz w:val="24"/>
          <w:szCs w:val="24"/>
          <w:lang w:val="ru-RU"/>
        </w:rPr>
        <w:t>със седловатост</w:t>
      </w:r>
      <w:r w:rsidRPr="00F06DE2">
        <w:rPr>
          <w:rFonts w:ascii="Times New Roman" w:hAnsi="Times New Roman" w:cs="Times New Roman"/>
          <w:sz w:val="24"/>
          <w:szCs w:val="24"/>
          <w:lang w:val="ru-RU"/>
        </w:rPr>
        <w:t xml:space="preserve"> и надстройки се изчислява по следната формула:</w:t>
      </w:r>
    </w:p>
    <w:p w14:paraId="61668F43" w14:textId="77777777" w:rsidR="00271FA2" w:rsidRPr="00F06DE2" w:rsidRDefault="00D35E51">
      <w:pPr>
        <w:spacing w:line="240" w:lineRule="atLeast"/>
        <w:jc w:val="center"/>
        <w:rPr>
          <w:rFonts w:ascii="Times New Roman" w:eastAsia="Calibri" w:hAnsi="Times New Roman" w:cs="Times New Roman"/>
          <w:sz w:val="24"/>
          <w:szCs w:val="24"/>
        </w:rPr>
      </w:pPr>
      <m:oMathPara>
        <m:oMath>
          <m:r>
            <w:rPr>
              <w:rFonts w:ascii="Cambria Math" w:eastAsia="Calibri" w:hAnsi="Cambria Math" w:cs="Times New Roman"/>
              <w:sz w:val="24"/>
              <w:szCs w:val="24"/>
            </w:rPr>
            <m:t xml:space="preserve">F=150 </m:t>
          </m:r>
          <m:d>
            <m:dPr>
              <m:ctrlPr>
                <w:rPr>
                  <w:rFonts w:ascii="Cambria Math" w:eastAsia="Calibri" w:hAnsi="Cambria Math" w:cs="Times New Roman"/>
                  <w:i/>
                  <w:sz w:val="24"/>
                  <w:szCs w:val="24"/>
                </w:rPr>
              </m:ctrlPr>
            </m:dPr>
            <m:e>
              <m:r>
                <w:rPr>
                  <w:rFonts w:ascii="Cambria Math" w:eastAsia="Calibri" w:hAnsi="Cambria Math" w:cs="Times New Roman"/>
                  <w:sz w:val="24"/>
                  <w:szCs w:val="24"/>
                </w:rPr>
                <m:t>1- α</m:t>
              </m:r>
            </m:e>
          </m:d>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v</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v</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a</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a</m:t>
                  </m:r>
                </m:sub>
              </m:sSub>
            </m:num>
            <m:den>
              <m:r>
                <w:rPr>
                  <w:rFonts w:ascii="Cambria Math" w:eastAsia="Calibri" w:hAnsi="Cambria Math" w:cs="Times New Roman"/>
                  <w:sz w:val="24"/>
                  <w:szCs w:val="24"/>
                </w:rPr>
                <m:t>15</m:t>
              </m:r>
            </m:den>
          </m:f>
          <m:r>
            <m:rPr>
              <m:sty m:val="p"/>
            </m:rPr>
            <w:rPr>
              <w:rFonts w:ascii="Cambria Math" w:eastAsia="Calibri" w:hAnsi="Cambria Math" w:cs="Times New Roman"/>
              <w:sz w:val="24"/>
              <w:szCs w:val="24"/>
            </w:rPr>
            <m:t xml:space="preserve"> [mm]</m:t>
          </m:r>
          <m:r>
            <m:rPr>
              <m:sty m:val="p"/>
            </m:rPr>
            <w:rPr>
              <w:rFonts w:ascii="Cambria Math" w:eastAsia="Calibri" w:hAnsi="Cambria Math" w:cs="Times New Roman"/>
              <w:sz w:val="24"/>
              <w:szCs w:val="24"/>
            </w:rPr>
            <w:br/>
          </m:r>
        </m:oMath>
      </m:oMathPara>
    </w:p>
    <w:p w14:paraId="3692DE4C" w14:textId="77777777" w:rsidR="00271FA2" w:rsidRPr="00F06DE2" w:rsidRDefault="00D35E51">
      <w:pPr>
        <w:spacing w:line="240" w:lineRule="atLeast"/>
        <w:ind w:right="63" w:firstLine="566"/>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където:</w:t>
      </w:r>
    </w:p>
    <w:p w14:paraId="3B66E519" w14:textId="13AF9EAA" w:rsidR="00271FA2" w:rsidRPr="00F06DE2" w:rsidRDefault="00D35E51">
      <w:pPr>
        <w:spacing w:line="240" w:lineRule="atLeast"/>
        <w:ind w:right="63" w:firstLine="566"/>
        <w:jc w:val="both"/>
        <w:rPr>
          <w:rFonts w:ascii="Times New Roman" w:hAnsi="Times New Roman" w:cs="Times New Roman"/>
          <w:sz w:val="24"/>
          <w:szCs w:val="24"/>
          <w:lang w:val="ru-RU"/>
        </w:rPr>
      </w:pPr>
      <w:r w:rsidRPr="00F06DE2">
        <w:rPr>
          <w:rFonts w:ascii="Cambria Math" w:hAnsi="Cambria Math" w:cs="Cambria Math"/>
          <w:sz w:val="24"/>
          <w:szCs w:val="24"/>
        </w:rPr>
        <w:t>𝛼</w:t>
      </w:r>
      <w:r w:rsidRPr="00F06DE2">
        <w:rPr>
          <w:rFonts w:ascii="Times New Roman" w:hAnsi="Times New Roman" w:cs="Times New Roman"/>
          <w:sz w:val="24"/>
          <w:szCs w:val="24"/>
          <w:lang w:val="ru-RU"/>
        </w:rPr>
        <w:t xml:space="preserve"> е </w:t>
      </w:r>
      <w:r w:rsidR="0096126F" w:rsidRPr="00F06DE2">
        <w:rPr>
          <w:rFonts w:ascii="Times New Roman" w:hAnsi="Times New Roman" w:cs="Times New Roman"/>
          <w:sz w:val="24"/>
          <w:szCs w:val="24"/>
          <w:lang w:val="ru-RU"/>
        </w:rPr>
        <w:t xml:space="preserve"> коригиращ </w:t>
      </w:r>
      <w:r w:rsidRPr="00F06DE2">
        <w:rPr>
          <w:rFonts w:ascii="Times New Roman" w:hAnsi="Times New Roman" w:cs="Times New Roman"/>
          <w:sz w:val="24"/>
          <w:szCs w:val="24"/>
          <w:lang w:val="ru-RU"/>
        </w:rPr>
        <w:t>коефициент, който отчита всички включени надстройки;</w:t>
      </w:r>
    </w:p>
    <w:p w14:paraId="756FC19A" w14:textId="53668C44" w:rsidR="00271FA2" w:rsidRPr="00F06DE2" w:rsidRDefault="00D35E51">
      <w:pPr>
        <w:spacing w:line="240" w:lineRule="atLeast"/>
        <w:ind w:left="567" w:right="63" w:hanging="1"/>
        <w:jc w:val="both"/>
        <w:rPr>
          <w:rFonts w:ascii="Times New Roman" w:hAnsi="Times New Roman" w:cs="Times New Roman"/>
          <w:sz w:val="24"/>
          <w:szCs w:val="24"/>
          <w:lang w:val="ru-RU"/>
        </w:rPr>
      </w:pPr>
      <w:r w:rsidRPr="00F06DE2">
        <w:rPr>
          <w:rFonts w:ascii="Cambria Math" w:hAnsi="Cambria Math" w:cs="Cambria Math"/>
          <w:sz w:val="24"/>
          <w:szCs w:val="24"/>
        </w:rPr>
        <w:t>𝛽</w:t>
      </w:r>
      <w:r w:rsidRPr="00F06DE2">
        <w:rPr>
          <w:rFonts w:ascii="Cambria Math" w:hAnsi="Cambria Math" w:cs="Cambria Math"/>
          <w:sz w:val="24"/>
          <w:szCs w:val="24"/>
          <w:vertAlign w:val="subscript"/>
        </w:rPr>
        <w:t>𝑣</w:t>
      </w:r>
      <w:r w:rsidRPr="00F06DE2">
        <w:rPr>
          <w:rFonts w:ascii="Times New Roman" w:hAnsi="Times New Roman" w:cs="Times New Roman"/>
          <w:sz w:val="24"/>
          <w:szCs w:val="24"/>
          <w:lang w:val="ru-RU"/>
        </w:rPr>
        <w:t xml:space="preserve"> е коефициент за коригиране на ефекта от </w:t>
      </w:r>
      <w:r w:rsidR="00F9477D" w:rsidRPr="00F06DE2">
        <w:rPr>
          <w:rFonts w:ascii="Times New Roman" w:hAnsi="Times New Roman" w:cs="Times New Roman"/>
          <w:sz w:val="24"/>
          <w:szCs w:val="24"/>
          <w:lang w:val="ru-RU"/>
        </w:rPr>
        <w:t>наклона на носовата седловатост</w:t>
      </w:r>
      <w:r w:rsidRPr="00F06DE2">
        <w:rPr>
          <w:rFonts w:ascii="Times New Roman" w:hAnsi="Times New Roman" w:cs="Times New Roman"/>
          <w:sz w:val="24"/>
          <w:szCs w:val="24"/>
          <w:lang w:val="ru-RU"/>
        </w:rPr>
        <w:t xml:space="preserve"> в резултат на наличието на надстройки в предната четвърт на дължината </w:t>
      </w:r>
      <w:r w:rsidRPr="00F06DE2">
        <w:rPr>
          <w:rFonts w:ascii="Cambria Math" w:hAnsi="Cambria Math" w:cs="Cambria Math"/>
          <w:sz w:val="24"/>
          <w:szCs w:val="24"/>
        </w:rPr>
        <w:t>𝐿</w:t>
      </w:r>
      <w:r w:rsidRPr="00F06DE2">
        <w:rPr>
          <w:rFonts w:ascii="Times New Roman" w:hAnsi="Times New Roman" w:cs="Times New Roman"/>
          <w:sz w:val="24"/>
          <w:szCs w:val="24"/>
          <w:lang w:val="ru-RU"/>
        </w:rPr>
        <w:t xml:space="preserve"> на плавателния съд;</w:t>
      </w:r>
    </w:p>
    <w:p w14:paraId="5B6322C3" w14:textId="201FE280" w:rsidR="00271FA2" w:rsidRPr="00F06DE2" w:rsidRDefault="00D35E51">
      <w:pPr>
        <w:spacing w:line="240" w:lineRule="atLeast"/>
        <w:ind w:left="567" w:right="63" w:hanging="1"/>
        <w:jc w:val="both"/>
        <w:rPr>
          <w:rFonts w:ascii="Times New Roman" w:hAnsi="Times New Roman" w:cs="Times New Roman"/>
          <w:sz w:val="24"/>
          <w:szCs w:val="24"/>
          <w:lang w:val="ru-RU"/>
        </w:rPr>
      </w:pPr>
      <w:r w:rsidRPr="00F06DE2">
        <w:rPr>
          <w:rFonts w:ascii="Cambria Math" w:hAnsi="Cambria Math" w:cs="Cambria Math"/>
          <w:sz w:val="24"/>
          <w:szCs w:val="24"/>
        </w:rPr>
        <w:t>𝛽</w:t>
      </w:r>
      <w:r w:rsidRPr="00F06DE2">
        <w:rPr>
          <w:rFonts w:ascii="Cambria Math" w:hAnsi="Cambria Math" w:cs="Cambria Math"/>
          <w:sz w:val="24"/>
          <w:szCs w:val="24"/>
          <w:vertAlign w:val="subscript"/>
        </w:rPr>
        <w:t>𝑎</w:t>
      </w:r>
      <w:r w:rsidRPr="00F06DE2">
        <w:rPr>
          <w:rFonts w:ascii="Times New Roman" w:hAnsi="Times New Roman" w:cs="Times New Roman"/>
          <w:sz w:val="24"/>
          <w:szCs w:val="24"/>
          <w:lang w:val="ru-RU"/>
        </w:rPr>
        <w:t xml:space="preserve"> е коефициент, коригиращ ефекта от наклона на </w:t>
      </w:r>
      <w:r w:rsidR="00991673" w:rsidRPr="00F06DE2">
        <w:rPr>
          <w:rFonts w:ascii="Times New Roman" w:hAnsi="Times New Roman" w:cs="Times New Roman"/>
          <w:sz w:val="24"/>
          <w:szCs w:val="24"/>
          <w:lang w:val="ru-RU"/>
        </w:rPr>
        <w:t xml:space="preserve"> кърмовата седловатост</w:t>
      </w:r>
      <w:r w:rsidRPr="00F06DE2">
        <w:rPr>
          <w:rFonts w:ascii="Times New Roman" w:hAnsi="Times New Roman" w:cs="Times New Roman"/>
          <w:sz w:val="24"/>
          <w:szCs w:val="24"/>
          <w:lang w:val="ru-RU"/>
        </w:rPr>
        <w:t xml:space="preserve"> в резултат на наличието на надстройки в задната четвърт на дължината </w:t>
      </w:r>
      <w:r w:rsidRPr="00F06DE2">
        <w:rPr>
          <w:rFonts w:ascii="Cambria Math" w:hAnsi="Cambria Math" w:cs="Cambria Math"/>
          <w:sz w:val="24"/>
          <w:szCs w:val="24"/>
        </w:rPr>
        <w:t>𝐿</w:t>
      </w:r>
      <w:r w:rsidRPr="00F06DE2">
        <w:rPr>
          <w:rFonts w:ascii="Times New Roman" w:hAnsi="Times New Roman" w:cs="Times New Roman"/>
          <w:sz w:val="24"/>
          <w:szCs w:val="24"/>
          <w:lang w:val="ru-RU"/>
        </w:rPr>
        <w:t xml:space="preserve"> на плавателния съд; </w:t>
      </w:r>
    </w:p>
    <w:p w14:paraId="05396963" w14:textId="11EFD8EB" w:rsidR="00271FA2" w:rsidRPr="00F06DE2" w:rsidRDefault="00D35E51">
      <w:pPr>
        <w:spacing w:line="240" w:lineRule="atLeast"/>
        <w:ind w:right="63" w:firstLine="566"/>
        <w:jc w:val="both"/>
        <w:rPr>
          <w:rFonts w:ascii="Times New Roman" w:hAnsi="Times New Roman" w:cs="Times New Roman"/>
          <w:sz w:val="24"/>
          <w:szCs w:val="24"/>
          <w:lang w:val="ru-RU"/>
        </w:rPr>
      </w:pPr>
      <w:r w:rsidRPr="00F06DE2">
        <w:rPr>
          <w:rFonts w:ascii="Cambria Math" w:hAnsi="Cambria Math" w:cs="Cambria Math"/>
          <w:sz w:val="24"/>
          <w:szCs w:val="24"/>
        </w:rPr>
        <w:t>𝑆</w:t>
      </w:r>
      <w:r w:rsidRPr="00F06DE2">
        <w:rPr>
          <w:rFonts w:ascii="Cambria Math" w:hAnsi="Cambria Math" w:cs="Cambria Math"/>
          <w:sz w:val="24"/>
          <w:szCs w:val="24"/>
          <w:vertAlign w:val="subscript"/>
        </w:rPr>
        <w:t>𝑒𝑣</w:t>
      </w:r>
      <w:r w:rsidRPr="00F06DE2">
        <w:rPr>
          <w:rFonts w:ascii="Times New Roman" w:hAnsi="Times New Roman" w:cs="Times New Roman"/>
          <w:sz w:val="24"/>
          <w:szCs w:val="24"/>
          <w:lang w:val="ru-RU"/>
        </w:rPr>
        <w:t xml:space="preserve"> е </w:t>
      </w:r>
      <w:r w:rsidR="00991673" w:rsidRPr="00F06DE2">
        <w:rPr>
          <w:rFonts w:ascii="Times New Roman" w:hAnsi="Times New Roman" w:cs="Times New Roman"/>
          <w:sz w:val="24"/>
          <w:szCs w:val="24"/>
          <w:lang w:val="ru-RU"/>
        </w:rPr>
        <w:t xml:space="preserve">ефективната </w:t>
      </w:r>
      <w:r w:rsidR="007E53BC" w:rsidRPr="00F06DE2">
        <w:rPr>
          <w:rFonts w:ascii="Times New Roman" w:hAnsi="Times New Roman" w:cs="Times New Roman"/>
          <w:sz w:val="24"/>
          <w:szCs w:val="24"/>
          <w:lang w:val="ru-RU"/>
        </w:rPr>
        <w:t xml:space="preserve"> </w:t>
      </w:r>
      <w:r w:rsidR="00991673" w:rsidRPr="00F06DE2">
        <w:rPr>
          <w:rFonts w:ascii="Times New Roman" w:hAnsi="Times New Roman" w:cs="Times New Roman"/>
          <w:sz w:val="24"/>
          <w:szCs w:val="24"/>
          <w:lang w:val="ru-RU"/>
        </w:rPr>
        <w:t>носова седловатост</w:t>
      </w:r>
      <w:r w:rsidRPr="00F06DE2">
        <w:rPr>
          <w:rFonts w:ascii="Times New Roman" w:hAnsi="Times New Roman" w:cs="Times New Roman"/>
          <w:sz w:val="24"/>
          <w:szCs w:val="24"/>
          <w:lang w:val="ru-RU"/>
        </w:rPr>
        <w:t xml:space="preserve"> в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068CA694" w14:textId="69141C41" w:rsidR="00271FA2" w:rsidRPr="00F06DE2" w:rsidRDefault="00D35E51">
      <w:pPr>
        <w:spacing w:line="240" w:lineRule="atLeast"/>
        <w:ind w:right="63" w:firstLine="566"/>
        <w:jc w:val="both"/>
        <w:rPr>
          <w:rFonts w:ascii="Times New Roman" w:hAnsi="Times New Roman" w:cs="Times New Roman"/>
          <w:sz w:val="24"/>
          <w:szCs w:val="24"/>
          <w:lang w:val="ru-RU"/>
        </w:rPr>
      </w:pPr>
      <w:r w:rsidRPr="00F06DE2">
        <w:rPr>
          <w:rFonts w:ascii="Cambria Math" w:hAnsi="Cambria Math" w:cs="Cambria Math"/>
          <w:sz w:val="24"/>
          <w:szCs w:val="24"/>
        </w:rPr>
        <w:t>𝑆</w:t>
      </w:r>
      <w:r w:rsidRPr="00F06DE2">
        <w:rPr>
          <w:rFonts w:ascii="Cambria Math" w:hAnsi="Cambria Math" w:cs="Cambria Math"/>
          <w:sz w:val="24"/>
          <w:szCs w:val="24"/>
          <w:vertAlign w:val="subscript"/>
        </w:rPr>
        <w:t>𝑒𝑎</w:t>
      </w:r>
      <w:r w:rsidRPr="00F06DE2">
        <w:rPr>
          <w:rFonts w:ascii="Times New Roman" w:hAnsi="Times New Roman" w:cs="Times New Roman"/>
          <w:sz w:val="24"/>
          <w:szCs w:val="24"/>
          <w:lang w:val="ru-RU"/>
        </w:rPr>
        <w:t xml:space="preserve"> е </w:t>
      </w:r>
      <w:r w:rsidR="00991673" w:rsidRPr="00F06DE2">
        <w:rPr>
          <w:rFonts w:ascii="Times New Roman" w:hAnsi="Times New Roman" w:cs="Times New Roman"/>
          <w:sz w:val="24"/>
          <w:szCs w:val="24"/>
          <w:lang w:val="ru-RU"/>
        </w:rPr>
        <w:t xml:space="preserve">ефективнната </w:t>
      </w:r>
      <w:r w:rsidR="007E53BC" w:rsidRPr="00F06DE2">
        <w:rPr>
          <w:rFonts w:ascii="Times New Roman" w:hAnsi="Times New Roman" w:cs="Times New Roman"/>
          <w:sz w:val="24"/>
          <w:szCs w:val="24"/>
          <w:lang w:val="ru-RU"/>
        </w:rPr>
        <w:t xml:space="preserve"> </w:t>
      </w:r>
      <w:r w:rsidR="00991673" w:rsidRPr="00F06DE2">
        <w:rPr>
          <w:rFonts w:ascii="Times New Roman" w:hAnsi="Times New Roman" w:cs="Times New Roman"/>
          <w:sz w:val="24"/>
          <w:szCs w:val="24"/>
          <w:lang w:val="ru-RU"/>
        </w:rPr>
        <w:t xml:space="preserve">кърмова седловаост </w:t>
      </w:r>
      <w:r w:rsidRPr="00F06DE2">
        <w:rPr>
          <w:rFonts w:ascii="Times New Roman" w:hAnsi="Times New Roman" w:cs="Times New Roman"/>
          <w:sz w:val="24"/>
          <w:szCs w:val="24"/>
          <w:lang w:val="ru-RU"/>
        </w:rPr>
        <w:t xml:space="preserve"> в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5CDF244D" w14:textId="77777777" w:rsidR="00271FA2" w:rsidRPr="00F06DE2" w:rsidRDefault="00D35E51">
      <w:pPr>
        <w:spacing w:line="240" w:lineRule="atLeast"/>
        <w:ind w:left="566" w:right="60" w:hanging="566"/>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 xml:space="preserve">Коефициентът </w:t>
      </w:r>
      <w:r w:rsidRPr="00F06DE2">
        <w:rPr>
          <w:rFonts w:ascii="Cambria Math" w:hAnsi="Cambria Math" w:cs="Cambria Math"/>
          <w:sz w:val="24"/>
          <w:szCs w:val="24"/>
        </w:rPr>
        <w:t>𝛼</w:t>
      </w:r>
      <w:r w:rsidRPr="00F06DE2">
        <w:rPr>
          <w:rFonts w:ascii="Times New Roman" w:hAnsi="Times New Roman" w:cs="Times New Roman"/>
          <w:sz w:val="24"/>
          <w:szCs w:val="24"/>
          <w:lang w:val="ru-RU"/>
        </w:rPr>
        <w:t xml:space="preserve"> се изчислява по следната формула:</w:t>
      </w:r>
    </w:p>
    <w:p w14:paraId="77808213" w14:textId="77777777" w:rsidR="00271FA2" w:rsidRPr="00F06DE2" w:rsidRDefault="00D35E51">
      <w:pPr>
        <w:spacing w:line="240" w:lineRule="atLeast"/>
        <w:rPr>
          <w:rFonts w:ascii="Times New Roman" w:eastAsia="Calibri" w:hAnsi="Times New Roman" w:cs="Times New Roman"/>
          <w:sz w:val="24"/>
          <w:szCs w:val="24"/>
        </w:rPr>
      </w:pPr>
      <m:oMathPara>
        <m:oMath>
          <m:r>
            <w:rPr>
              <w:rFonts w:ascii="Cambria Math" w:eastAsia="Calibri" w:hAnsi="Cambria Math" w:cs="Times New Roman"/>
              <w:sz w:val="24"/>
              <w:szCs w:val="24"/>
            </w:rPr>
            <m:t>α</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nary>
                <m:naryPr>
                  <m:chr m:val="∑"/>
                  <m:limLoc m:val="undOvr"/>
                  <m:subHide m:val="1"/>
                  <m:supHide m:val="1"/>
                  <m:ctrlPr>
                    <w:rPr>
                      <w:rFonts w:ascii="Cambria Math" w:eastAsia="Calibri" w:hAnsi="Cambria Math" w:cs="Times New Roman"/>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le</m:t>
                      </m:r>
                    </m:e>
                    <m:sub>
                      <m:r>
                        <w:rPr>
                          <w:rFonts w:ascii="Cambria Math" w:eastAsia="Calibri" w:hAnsi="Cambria Math" w:cs="Times New Roman"/>
                          <w:sz w:val="24"/>
                          <w:szCs w:val="24"/>
                        </w:rPr>
                        <m:t>a</m:t>
                      </m:r>
                    </m:sub>
                  </m:sSub>
                </m:e>
              </m:nary>
              <m:r>
                <m:rPr>
                  <m:sty m:val="p"/>
                </m:rPr>
                <w:rPr>
                  <w:rFonts w:ascii="Cambria Math" w:eastAsia="Calibri" w:hAnsi="Cambria Math" w:cs="Times New Roman"/>
                  <w:sz w:val="24"/>
                  <w:szCs w:val="24"/>
                </w:rPr>
                <m:t xml:space="preserve">+ </m:t>
              </m:r>
              <m:nary>
                <m:naryPr>
                  <m:chr m:val="∑"/>
                  <m:limLoc m:val="undOvr"/>
                  <m:subHide m:val="1"/>
                  <m:supHide m:val="1"/>
                  <m:ctrlPr>
                    <w:rPr>
                      <w:rFonts w:ascii="Cambria Math" w:eastAsia="Calibri" w:hAnsi="Cambria Math" w:cs="Times New Roman"/>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le</m:t>
                      </m:r>
                    </m:e>
                    <m:sub>
                      <m:r>
                        <w:rPr>
                          <w:rFonts w:ascii="Cambria Math" w:eastAsia="Calibri" w:hAnsi="Cambria Math" w:cs="Times New Roman"/>
                          <w:sz w:val="24"/>
                          <w:szCs w:val="24"/>
                        </w:rPr>
                        <m:t>m</m:t>
                      </m:r>
                    </m:sub>
                  </m:sSub>
                </m:e>
              </m:nary>
              <m:r>
                <w:rPr>
                  <w:rFonts w:ascii="Cambria Math" w:eastAsia="Calibri" w:hAnsi="Cambria Math" w:cs="Times New Roman"/>
                  <w:sz w:val="24"/>
                  <w:szCs w:val="24"/>
                </w:rPr>
                <m:t xml:space="preserve">+ </m:t>
              </m:r>
              <m:nary>
                <m:naryPr>
                  <m:chr m:val="∑"/>
                  <m:limLoc m:val="undOvr"/>
                  <m:subHide m:val="1"/>
                  <m:supHide m:val="1"/>
                  <m:ctrlPr>
                    <w:rPr>
                      <w:rFonts w:ascii="Cambria Math" w:eastAsia="Calibri" w:hAnsi="Cambria Math" w:cs="Times New Roman"/>
                      <w:sz w:val="24"/>
                      <w:szCs w:val="24"/>
                    </w:rPr>
                  </m:ctrlPr>
                </m:naryPr>
                <m:sub/>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le</m:t>
                      </m:r>
                    </m:e>
                    <m:sub>
                      <m:r>
                        <w:rPr>
                          <w:rFonts w:ascii="Cambria Math" w:eastAsia="Calibri" w:hAnsi="Cambria Math" w:cs="Times New Roman"/>
                          <w:sz w:val="24"/>
                          <w:szCs w:val="24"/>
                        </w:rPr>
                        <m:t>v</m:t>
                      </m:r>
                    </m:sub>
                  </m:sSub>
                </m:e>
              </m:nary>
            </m:num>
            <m:den>
              <m:r>
                <m:rPr>
                  <m:sty m:val="p"/>
                </m:rPr>
                <w:rPr>
                  <w:rFonts w:ascii="Cambria Math" w:eastAsia="Calibri" w:hAnsi="Cambria Math" w:cs="Times New Roman"/>
                  <w:sz w:val="24"/>
                  <w:szCs w:val="24"/>
                </w:rPr>
                <m:t>L</m:t>
              </m:r>
            </m:den>
          </m:f>
        </m:oMath>
      </m:oMathPara>
    </w:p>
    <w:p w14:paraId="180B0685" w14:textId="77777777" w:rsidR="00271FA2" w:rsidRPr="00F06DE2" w:rsidRDefault="00D35E51">
      <w:pPr>
        <w:spacing w:line="240" w:lineRule="atLeast"/>
        <w:ind w:left="561" w:right="6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където:</w:t>
      </w:r>
    </w:p>
    <w:p w14:paraId="7A05DA47" w14:textId="77777777" w:rsidR="00271FA2" w:rsidRPr="00F06DE2" w:rsidRDefault="00D35E51">
      <w:pPr>
        <w:spacing w:line="240" w:lineRule="atLeast"/>
        <w:ind w:left="561" w:right="60"/>
        <w:jc w:val="both"/>
        <w:rPr>
          <w:rFonts w:ascii="Times New Roman" w:hAnsi="Times New Roman" w:cs="Times New Roman"/>
          <w:sz w:val="24"/>
          <w:szCs w:val="24"/>
          <w:lang w:val="ru-RU"/>
        </w:rPr>
      </w:pPr>
      <w:r w:rsidRPr="00F06DE2">
        <w:rPr>
          <w:rFonts w:ascii="Cambria Math" w:hAnsi="Cambria Math" w:cs="Cambria Math"/>
          <w:sz w:val="24"/>
          <w:szCs w:val="24"/>
        </w:rPr>
        <w:t>𝑙𝑒</w:t>
      </w:r>
      <w:r w:rsidRPr="00F06DE2">
        <w:rPr>
          <w:rFonts w:ascii="Cambria Math" w:hAnsi="Cambria Math" w:cs="Cambria Math"/>
          <w:sz w:val="24"/>
          <w:szCs w:val="24"/>
          <w:vertAlign w:val="subscript"/>
        </w:rPr>
        <w:t>𝑚</w:t>
      </w:r>
      <w:r w:rsidRPr="00F06DE2">
        <w:rPr>
          <w:rFonts w:ascii="Times New Roman" w:hAnsi="Times New Roman" w:cs="Times New Roman"/>
          <w:sz w:val="24"/>
          <w:szCs w:val="24"/>
          <w:lang w:val="ru-RU"/>
        </w:rPr>
        <w:t xml:space="preserve"> е ефективната дължина, в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на надстройка, разположена в средната част, съответстваща на половината от дължината </w:t>
      </w:r>
      <w:r w:rsidRPr="00F06DE2">
        <w:rPr>
          <w:rFonts w:ascii="Cambria Math" w:hAnsi="Cambria Math" w:cs="Cambria Math"/>
          <w:sz w:val="24"/>
          <w:szCs w:val="24"/>
        </w:rPr>
        <w:t>𝐿</w:t>
      </w:r>
      <w:r w:rsidRPr="00F06DE2">
        <w:rPr>
          <w:rFonts w:ascii="Times New Roman" w:hAnsi="Times New Roman" w:cs="Times New Roman"/>
          <w:sz w:val="24"/>
          <w:szCs w:val="24"/>
          <w:lang w:val="ru-RU"/>
        </w:rPr>
        <w:t xml:space="preserve"> на плавателния съд;</w:t>
      </w:r>
    </w:p>
    <w:p w14:paraId="4D93DE50" w14:textId="77777777" w:rsidR="00271FA2" w:rsidRPr="00F06DE2" w:rsidRDefault="00D35E51">
      <w:pPr>
        <w:spacing w:line="240" w:lineRule="atLeast"/>
        <w:ind w:left="561" w:right="60"/>
        <w:jc w:val="both"/>
        <w:rPr>
          <w:rFonts w:ascii="Times New Roman" w:hAnsi="Times New Roman" w:cs="Times New Roman"/>
          <w:sz w:val="24"/>
          <w:szCs w:val="24"/>
          <w:lang w:val="ru-RU"/>
        </w:rPr>
      </w:pPr>
      <w:r w:rsidRPr="00F06DE2">
        <w:rPr>
          <w:rFonts w:ascii="Cambria Math" w:hAnsi="Cambria Math" w:cs="Cambria Math"/>
          <w:sz w:val="24"/>
          <w:szCs w:val="24"/>
        </w:rPr>
        <w:t>𝑙𝑒</w:t>
      </w:r>
      <w:r w:rsidRPr="00F06DE2">
        <w:rPr>
          <w:rFonts w:ascii="Cambria Math" w:hAnsi="Cambria Math" w:cs="Cambria Math"/>
          <w:sz w:val="24"/>
          <w:szCs w:val="24"/>
          <w:vertAlign w:val="subscript"/>
        </w:rPr>
        <w:t>𝑣</w:t>
      </w:r>
      <w:r w:rsidRPr="00F06DE2">
        <w:rPr>
          <w:rFonts w:ascii="Times New Roman" w:hAnsi="Times New Roman" w:cs="Times New Roman"/>
          <w:sz w:val="24"/>
          <w:szCs w:val="24"/>
          <w:lang w:val="ru-RU"/>
        </w:rPr>
        <w:t xml:space="preserve"> е ефективната дължина, в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на надстройка в предната четвърт на дължината на плавателния съд </w:t>
      </w:r>
      <w:r w:rsidRPr="00F06DE2">
        <w:rPr>
          <w:rFonts w:ascii="Cambria Math" w:hAnsi="Cambria Math" w:cs="Cambria Math"/>
          <w:sz w:val="24"/>
          <w:szCs w:val="24"/>
        </w:rPr>
        <w:t>𝐿</w:t>
      </w:r>
      <w:r w:rsidRPr="00F06DE2">
        <w:rPr>
          <w:rFonts w:ascii="Times New Roman" w:hAnsi="Times New Roman" w:cs="Times New Roman"/>
          <w:sz w:val="24"/>
          <w:szCs w:val="24"/>
          <w:lang w:val="ru-RU"/>
        </w:rPr>
        <w:t>;</w:t>
      </w:r>
    </w:p>
    <w:p w14:paraId="3CC47B1B" w14:textId="77777777" w:rsidR="00271FA2" w:rsidRPr="00F06DE2" w:rsidRDefault="00D35E51">
      <w:pPr>
        <w:spacing w:line="240" w:lineRule="atLeast"/>
        <w:ind w:left="561" w:right="60"/>
        <w:jc w:val="both"/>
        <w:rPr>
          <w:rFonts w:ascii="Times New Roman" w:hAnsi="Times New Roman" w:cs="Times New Roman"/>
          <w:sz w:val="24"/>
          <w:szCs w:val="24"/>
          <w:lang w:val="ru-RU"/>
        </w:rPr>
      </w:pPr>
      <w:r w:rsidRPr="00F06DE2">
        <w:rPr>
          <w:rFonts w:ascii="Cambria Math" w:hAnsi="Cambria Math" w:cs="Cambria Math"/>
          <w:sz w:val="24"/>
          <w:szCs w:val="24"/>
        </w:rPr>
        <w:lastRenderedPageBreak/>
        <w:t>𝑙𝑒</w:t>
      </w:r>
      <w:r w:rsidRPr="00F06DE2">
        <w:rPr>
          <w:rFonts w:ascii="Cambria Math" w:hAnsi="Cambria Math" w:cs="Cambria Math"/>
          <w:sz w:val="24"/>
          <w:szCs w:val="24"/>
          <w:vertAlign w:val="subscript"/>
        </w:rPr>
        <w:t>𝑎</w:t>
      </w:r>
      <w:r w:rsidRPr="00F06DE2">
        <w:rPr>
          <w:rFonts w:ascii="Times New Roman" w:hAnsi="Times New Roman" w:cs="Times New Roman"/>
          <w:sz w:val="24"/>
          <w:szCs w:val="24"/>
          <w:lang w:val="ru-RU"/>
        </w:rPr>
        <w:t xml:space="preserve"> е ефективната дължина в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на надстройка в задната четвърт на дължината на плавателния съд </w:t>
      </w:r>
      <w:r w:rsidRPr="00F06DE2">
        <w:rPr>
          <w:rFonts w:ascii="Cambria Math" w:hAnsi="Cambria Math" w:cs="Cambria Math"/>
          <w:sz w:val="24"/>
          <w:szCs w:val="24"/>
        </w:rPr>
        <w:t>𝐿</w:t>
      </w:r>
      <w:r w:rsidRPr="00F06DE2">
        <w:rPr>
          <w:rFonts w:ascii="Times New Roman" w:hAnsi="Times New Roman" w:cs="Times New Roman"/>
          <w:sz w:val="24"/>
          <w:szCs w:val="24"/>
          <w:lang w:val="ru-RU"/>
        </w:rPr>
        <w:t>.</w:t>
      </w:r>
    </w:p>
    <w:p w14:paraId="58B37EB1" w14:textId="77777777" w:rsidR="00271FA2" w:rsidRPr="00F06DE2" w:rsidRDefault="00D35E51">
      <w:pPr>
        <w:spacing w:line="240" w:lineRule="atLeast"/>
        <w:ind w:left="561" w:right="6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Ефективната дължина на надстройката се изчислява по следните формули:</w:t>
      </w:r>
    </w:p>
    <w:p w14:paraId="79103BDE" w14:textId="77777777" w:rsidR="00271FA2" w:rsidRPr="00F06DE2" w:rsidRDefault="002C62EC">
      <w:pPr>
        <w:tabs>
          <w:tab w:val="left" w:pos="1485"/>
        </w:tabs>
        <w:spacing w:line="240" w:lineRule="atLeast"/>
        <w:ind w:left="567"/>
        <w:rPr>
          <w:rFonts w:ascii="Times New Roman" w:eastAsia="Calibri" w:hAnsi="Times New Roman" w:cs="Times New Roman"/>
          <w:sz w:val="24"/>
          <w:szCs w:val="24"/>
          <w:lang w:val="ru-RU"/>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le</m:t>
              </m:r>
            </m:e>
            <m:sub>
              <m:r>
                <w:rPr>
                  <w:rFonts w:ascii="Cambria Math" w:eastAsia="Calibri" w:hAnsi="Cambria Math" w:cs="Times New Roman"/>
                  <w:sz w:val="24"/>
                  <w:szCs w:val="24"/>
                </w:rPr>
                <m:t>m</m:t>
              </m:r>
            </m:sub>
          </m:sSub>
          <m:r>
            <w:rPr>
              <w:rFonts w:ascii="Cambria Math" w:eastAsia="Calibri" w:hAnsi="Cambria Math" w:cs="Times New Roman"/>
              <w:sz w:val="24"/>
              <w:szCs w:val="24"/>
              <w:lang w:val="ru-RU"/>
            </w:rPr>
            <m:t>=</m:t>
          </m:r>
          <m:r>
            <w:rPr>
              <w:rFonts w:ascii="Cambria Math" w:eastAsia="Calibri" w:hAnsi="Cambria Math" w:cs="Times New Roman"/>
              <w:sz w:val="24"/>
              <w:szCs w:val="24"/>
            </w:rPr>
            <m:t>l</m:t>
          </m:r>
          <m:r>
            <w:rPr>
              <w:rFonts w:ascii="Cambria Math" w:eastAsia="Calibri" w:hAnsi="Cambria Math" w:cs="Times New Roman"/>
              <w:sz w:val="24"/>
              <w:szCs w:val="24"/>
              <w:lang w:val="ru-RU"/>
            </w:rPr>
            <m:t xml:space="preserve"> </m:t>
          </m:r>
          <m:d>
            <m:dPr>
              <m:ctrlPr>
                <w:rPr>
                  <w:rFonts w:ascii="Cambria Math" w:eastAsia="Calibri" w:hAnsi="Cambria Math" w:cs="Times New Roman"/>
                  <w:i/>
                  <w:sz w:val="24"/>
                  <w:szCs w:val="24"/>
                </w:rPr>
              </m:ctrlPr>
            </m:dPr>
            <m:e>
              <m:r>
                <w:rPr>
                  <w:rFonts w:ascii="Cambria Math" w:eastAsia="Calibri" w:hAnsi="Cambria Math" w:cs="Times New Roman"/>
                  <w:sz w:val="24"/>
                  <w:szCs w:val="24"/>
                  <w:lang w:val="ru-RU"/>
                </w:rPr>
                <m:t xml:space="preserve">2,5 ∙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b</m:t>
                  </m:r>
                </m:num>
                <m:den>
                  <m:r>
                    <w:rPr>
                      <w:rFonts w:ascii="Cambria Math" w:eastAsia="Calibri" w:hAnsi="Cambria Math" w:cs="Times New Roman"/>
                      <w:sz w:val="24"/>
                      <w:szCs w:val="24"/>
                    </w:rPr>
                    <m:t>B</m:t>
                  </m:r>
                </m:den>
              </m:f>
              <m:r>
                <w:rPr>
                  <w:rFonts w:ascii="Cambria Math" w:eastAsia="Calibri" w:hAnsi="Cambria Math" w:cs="Times New Roman"/>
                  <w:sz w:val="24"/>
                  <w:szCs w:val="24"/>
                  <w:lang w:val="ru-RU"/>
                </w:rPr>
                <m:t>-1,5</m:t>
              </m:r>
            </m:e>
          </m:d>
          <m:r>
            <w:rPr>
              <w:rFonts w:ascii="Cambria Math" w:eastAsia="Calibri" w:hAnsi="Cambria Math" w:cs="Times New Roman"/>
              <w:sz w:val="24"/>
              <w:szCs w:val="24"/>
              <w:lang w:val="ru-RU"/>
            </w:rPr>
            <m:t xml:space="preserve"> ∙ </m:t>
          </m:r>
          <m:f>
            <m:fPr>
              <m:ctrlPr>
                <w:rPr>
                  <w:rFonts w:ascii="Cambria Math" w:eastAsia="Calibri" w:hAnsi="Cambria Math" w:cs="Times New Roman"/>
                  <w:i/>
                  <w:sz w:val="24"/>
                  <w:szCs w:val="24"/>
                </w:rPr>
              </m:ctrlPr>
            </m:fPr>
            <m:num>
              <m:r>
                <w:rPr>
                  <w:rFonts w:ascii="Cambria Math" w:eastAsia="Calibri" w:hAnsi="Cambria Math" w:cs="Times New Roman"/>
                  <w:sz w:val="24"/>
                  <w:szCs w:val="24"/>
                  <w:lang w:val="ru-RU"/>
                </w:rPr>
                <m:t>h</m:t>
              </m:r>
            </m:num>
            <m:den>
              <m:r>
                <w:rPr>
                  <w:rFonts w:ascii="Cambria Math" w:eastAsia="Calibri" w:hAnsi="Cambria Math" w:cs="Times New Roman"/>
                  <w:sz w:val="24"/>
                  <w:szCs w:val="24"/>
                  <w:lang w:val="ru-RU"/>
                </w:rPr>
                <m:t>0,36</m:t>
              </m:r>
            </m:den>
          </m:f>
          <m:r>
            <m:rPr>
              <m:sty m:val="p"/>
            </m:rPr>
            <w:rPr>
              <w:rFonts w:ascii="Cambria Math" w:eastAsia="Calibri" w:hAnsi="Cambria Math" w:cs="Times New Roman"/>
              <w:sz w:val="24"/>
              <w:szCs w:val="24"/>
              <w:lang w:val="ru-RU"/>
            </w:rPr>
            <m:t xml:space="preserve">  [</m:t>
          </m:r>
          <m:r>
            <m:rPr>
              <m:sty m:val="p"/>
            </m:rPr>
            <w:rPr>
              <w:rFonts w:ascii="Cambria Math" w:eastAsia="Calibri" w:hAnsi="Cambria Math" w:cs="Times New Roman"/>
              <w:sz w:val="24"/>
              <w:szCs w:val="24"/>
            </w:rPr>
            <m:t>m</m:t>
          </m:r>
          <m:r>
            <m:rPr>
              <m:sty m:val="p"/>
            </m:rPr>
            <w:rPr>
              <w:rFonts w:ascii="Cambria Math" w:eastAsia="Calibri" w:hAnsi="Cambria Math" w:cs="Times New Roman"/>
              <w:sz w:val="24"/>
              <w:szCs w:val="24"/>
              <w:lang w:val="ru-RU"/>
            </w:rPr>
            <m:t>]</m:t>
          </m:r>
          <m:r>
            <m:rPr>
              <m:sty m:val="p"/>
            </m:rPr>
            <w:rPr>
              <w:rFonts w:ascii="Cambria Math" w:eastAsia="Calibri" w:hAnsi="Cambria Math" w:cs="Times New Roman"/>
              <w:sz w:val="24"/>
              <w:szCs w:val="24"/>
              <w:lang w:val="ru-RU"/>
            </w:rPr>
            <w:br/>
          </m:r>
        </m:oMath>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le</m:t>
              </m:r>
            </m:e>
            <m:sub>
              <m:r>
                <w:rPr>
                  <w:rFonts w:ascii="Cambria Math" w:eastAsia="Calibri" w:hAnsi="Cambria Math" w:cs="Times New Roman"/>
                  <w:sz w:val="24"/>
                  <w:szCs w:val="24"/>
                </w:rPr>
                <m:t>v</m:t>
              </m:r>
            </m:sub>
          </m:sSub>
          <m:r>
            <w:rPr>
              <w:rFonts w:ascii="Cambria Math" w:eastAsia="Calibri" w:hAnsi="Cambria Math" w:cs="Times New Roman"/>
              <w:sz w:val="24"/>
              <w:szCs w:val="24"/>
              <w:lang w:val="ru-RU"/>
            </w:rPr>
            <m:t xml:space="preserve">, </m:t>
          </m:r>
          <m:r>
            <w:rPr>
              <w:rFonts w:ascii="Cambria Math" w:eastAsia="Calibri" w:hAnsi="Cambria Math" w:cs="Times New Roman"/>
              <w:sz w:val="24"/>
              <w:szCs w:val="24"/>
            </w:rPr>
            <m:t>resp</m:t>
          </m:r>
          <m:r>
            <w:rPr>
              <w:rFonts w:ascii="Cambria Math" w:eastAsia="Calibri" w:hAnsi="Cambria Math" w:cs="Times New Roman"/>
              <w:sz w:val="24"/>
              <w:szCs w:val="24"/>
              <w:lang w:val="ru-RU"/>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le</m:t>
              </m:r>
            </m:e>
            <m:sub>
              <m:r>
                <w:rPr>
                  <w:rFonts w:ascii="Cambria Math" w:eastAsia="Calibri" w:hAnsi="Cambria Math" w:cs="Times New Roman"/>
                  <w:sz w:val="24"/>
                  <w:szCs w:val="24"/>
                </w:rPr>
                <m:t>a</m:t>
              </m:r>
            </m:sub>
          </m:sSub>
          <m:r>
            <w:rPr>
              <w:rFonts w:ascii="Cambria Math" w:eastAsia="Calibri" w:hAnsi="Cambria Math" w:cs="Times New Roman"/>
              <w:sz w:val="24"/>
              <w:szCs w:val="24"/>
              <w:lang w:val="ru-RU"/>
            </w:rPr>
            <m:t>=</m:t>
          </m:r>
          <m:r>
            <w:rPr>
              <w:rFonts w:ascii="Cambria Math" w:eastAsia="Calibri" w:hAnsi="Cambria Math" w:cs="Times New Roman"/>
              <w:sz w:val="24"/>
              <w:szCs w:val="24"/>
            </w:rPr>
            <m:t>l</m:t>
          </m:r>
          <m:r>
            <w:rPr>
              <w:rFonts w:ascii="Cambria Math" w:eastAsia="Calibri" w:hAnsi="Cambria Math" w:cs="Times New Roman"/>
              <w:sz w:val="24"/>
              <w:szCs w:val="24"/>
              <w:lang w:val="ru-RU"/>
            </w:rPr>
            <m:t xml:space="preserve"> ∙</m:t>
          </m:r>
          <m:d>
            <m:dPr>
              <m:ctrlPr>
                <w:rPr>
                  <w:rFonts w:ascii="Cambria Math" w:eastAsia="Calibri" w:hAnsi="Cambria Math" w:cs="Times New Roman"/>
                  <w:i/>
                  <w:sz w:val="24"/>
                  <w:szCs w:val="24"/>
                </w:rPr>
              </m:ctrlPr>
            </m:dPr>
            <m:e>
              <m:r>
                <w:rPr>
                  <w:rFonts w:ascii="Cambria Math" w:eastAsia="Calibri" w:hAnsi="Cambria Math" w:cs="Times New Roman"/>
                  <w:sz w:val="24"/>
                  <w:szCs w:val="24"/>
                  <w:lang w:val="ru-RU"/>
                </w:rPr>
                <m:t xml:space="preserve">2,5 ∙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b</m:t>
                  </m:r>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lang w:val="ru-RU"/>
                        </w:rPr>
                        <m:t>1</m:t>
                      </m:r>
                    </m:sub>
                  </m:sSub>
                </m:den>
              </m:f>
              <m:r>
                <w:rPr>
                  <w:rFonts w:ascii="Cambria Math" w:eastAsia="Calibri" w:hAnsi="Cambria Math" w:cs="Times New Roman"/>
                  <w:sz w:val="24"/>
                  <w:szCs w:val="24"/>
                  <w:lang w:val="ru-RU"/>
                </w:rPr>
                <m:t>-1,5</m:t>
              </m:r>
            </m:e>
          </m:d>
          <m:r>
            <w:rPr>
              <w:rFonts w:ascii="Cambria Math" w:eastAsia="Calibri" w:hAnsi="Cambria Math" w:cs="Times New Roman"/>
              <w:sz w:val="24"/>
              <w:szCs w:val="24"/>
              <w:lang w:val="ru-RU"/>
            </w:rPr>
            <m:t xml:space="preserve"> ∙ </m:t>
          </m:r>
          <m:f>
            <m:fPr>
              <m:ctrlPr>
                <w:rPr>
                  <w:rFonts w:ascii="Cambria Math" w:eastAsia="Calibri" w:hAnsi="Cambria Math" w:cs="Times New Roman"/>
                  <w:i/>
                  <w:sz w:val="24"/>
                  <w:szCs w:val="24"/>
                </w:rPr>
              </m:ctrlPr>
            </m:fPr>
            <m:num>
              <m:r>
                <w:rPr>
                  <w:rFonts w:ascii="Cambria Math" w:eastAsia="Calibri" w:hAnsi="Cambria Math" w:cs="Times New Roman"/>
                  <w:sz w:val="24"/>
                  <w:szCs w:val="24"/>
                  <w:lang w:val="ru-RU"/>
                </w:rPr>
                <m:t>h</m:t>
              </m:r>
            </m:num>
            <m:den>
              <m:r>
                <w:rPr>
                  <w:rFonts w:ascii="Cambria Math" w:eastAsia="Calibri" w:hAnsi="Cambria Math" w:cs="Times New Roman"/>
                  <w:sz w:val="24"/>
                  <w:szCs w:val="24"/>
                  <w:lang w:val="ru-RU"/>
                </w:rPr>
                <m:t>0,36</m:t>
              </m:r>
            </m:den>
          </m:f>
          <m:r>
            <m:rPr>
              <m:sty m:val="p"/>
            </m:rPr>
            <w:rPr>
              <w:rFonts w:ascii="Cambria Math" w:eastAsia="Calibri" w:hAnsi="Cambria Math" w:cs="Times New Roman"/>
              <w:sz w:val="24"/>
              <w:szCs w:val="24"/>
              <w:lang w:val="ru-RU"/>
            </w:rPr>
            <m:t xml:space="preserve">  </m:t>
          </m:r>
          <m:d>
            <m:dPr>
              <m:begChr m:val="["/>
              <m:endChr m:val="]"/>
              <m:ctrlPr>
                <w:rPr>
                  <w:rFonts w:ascii="Cambria Math" w:eastAsia="Calibri" w:hAnsi="Cambria Math" w:cs="Times New Roman"/>
                  <w:sz w:val="24"/>
                  <w:szCs w:val="24"/>
                </w:rPr>
              </m:ctrlPr>
            </m:dPr>
            <m:e>
              <m:r>
                <m:rPr>
                  <m:sty m:val="p"/>
                </m:rPr>
                <w:rPr>
                  <w:rFonts w:ascii="Cambria Math" w:eastAsia="Calibri" w:hAnsi="Cambria Math" w:cs="Times New Roman"/>
                  <w:sz w:val="24"/>
                  <w:szCs w:val="24"/>
                </w:rPr>
                <m:t>m</m:t>
              </m:r>
            </m:e>
          </m:d>
          <m:r>
            <m:rPr>
              <m:sty m:val="p"/>
            </m:rPr>
            <w:rPr>
              <w:rFonts w:ascii="Cambria Math" w:eastAsia="Calibri" w:hAnsi="Cambria Math" w:cs="Times New Roman"/>
              <w:sz w:val="24"/>
              <w:szCs w:val="24"/>
              <w:lang w:val="ru-RU"/>
            </w:rPr>
            <m:t>.</m:t>
          </m:r>
          <m:r>
            <m:rPr>
              <m:sty m:val="p"/>
            </m:rPr>
            <w:rPr>
              <w:rFonts w:ascii="Cambria Math" w:eastAsia="Calibri" w:hAnsi="Cambria Math" w:cs="Times New Roman"/>
              <w:sz w:val="24"/>
              <w:szCs w:val="24"/>
              <w:lang w:val="ru-RU"/>
            </w:rPr>
            <w:br/>
          </m:r>
        </m:oMath>
      </m:oMathPara>
      <w:r w:rsidR="00D35E51" w:rsidRPr="00F06DE2">
        <w:rPr>
          <w:rFonts w:ascii="Times New Roman" w:hAnsi="Times New Roman" w:cs="Times New Roman"/>
          <w:sz w:val="24"/>
          <w:szCs w:val="24"/>
          <w:lang w:val="ru-RU"/>
        </w:rPr>
        <w:t>където:</w:t>
      </w:r>
    </w:p>
    <w:p w14:paraId="7ED59F3E" w14:textId="77777777" w:rsidR="00271FA2" w:rsidRPr="00F06DE2" w:rsidRDefault="00D35E51">
      <w:pPr>
        <w:tabs>
          <w:tab w:val="center" w:pos="790"/>
          <w:tab w:val="center" w:pos="1249"/>
        </w:tabs>
        <w:spacing w:line="240" w:lineRule="atLeast"/>
        <w:ind w:left="567"/>
        <w:jc w:val="both"/>
        <w:rPr>
          <w:rFonts w:ascii="Times New Roman" w:hAnsi="Times New Roman" w:cs="Times New Roman"/>
          <w:sz w:val="24"/>
          <w:szCs w:val="24"/>
          <w:lang w:val="ru-RU"/>
        </w:rPr>
      </w:pPr>
      <w:r w:rsidRPr="00F06DE2">
        <w:rPr>
          <w:rFonts w:ascii="Cambria Math" w:hAnsi="Cambria Math" w:cs="Cambria Math"/>
          <w:sz w:val="24"/>
          <w:szCs w:val="24"/>
        </w:rPr>
        <w:t>𝑙</w:t>
      </w:r>
      <w:r w:rsidRPr="00F06DE2">
        <w:rPr>
          <w:rFonts w:ascii="Times New Roman" w:hAnsi="Times New Roman" w:cs="Times New Roman"/>
          <w:sz w:val="24"/>
          <w:szCs w:val="24"/>
          <w:lang w:val="ru-RU"/>
        </w:rPr>
        <w:t xml:space="preserve"> е ефективната дължина, в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на съответната надстройка;</w:t>
      </w:r>
    </w:p>
    <w:p w14:paraId="644B076E" w14:textId="438CD30A" w:rsidR="00271FA2" w:rsidRPr="00F06DE2" w:rsidRDefault="00D35E51">
      <w:pPr>
        <w:tabs>
          <w:tab w:val="center" w:pos="790"/>
          <w:tab w:val="center" w:pos="1249"/>
        </w:tabs>
        <w:spacing w:line="240" w:lineRule="atLeast"/>
        <w:ind w:left="567"/>
        <w:jc w:val="both"/>
        <w:rPr>
          <w:rFonts w:ascii="Times New Roman" w:hAnsi="Times New Roman" w:cs="Times New Roman"/>
          <w:sz w:val="24"/>
          <w:szCs w:val="24"/>
          <w:lang w:val="ru-RU"/>
        </w:rPr>
      </w:pPr>
      <w:r w:rsidRPr="00F06DE2">
        <w:rPr>
          <w:rFonts w:ascii="Cambria Math" w:hAnsi="Cambria Math" w:cs="Cambria Math"/>
          <w:sz w:val="24"/>
          <w:szCs w:val="24"/>
        </w:rPr>
        <w:t>𝑏</w:t>
      </w:r>
      <w:r w:rsidRPr="00F06DE2">
        <w:rPr>
          <w:rFonts w:ascii="Times New Roman" w:hAnsi="Times New Roman" w:cs="Times New Roman"/>
          <w:sz w:val="24"/>
          <w:szCs w:val="24"/>
          <w:lang w:val="ru-RU"/>
        </w:rPr>
        <w:t xml:space="preserve"> е ширината, в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на </w:t>
      </w:r>
      <w:r w:rsidR="00F5390C" w:rsidRPr="00F06DE2">
        <w:rPr>
          <w:rFonts w:ascii="Times New Roman" w:hAnsi="Times New Roman" w:cs="Times New Roman"/>
          <w:sz w:val="24"/>
          <w:szCs w:val="24"/>
          <w:lang w:val="ru-RU"/>
        </w:rPr>
        <w:t xml:space="preserve"> </w:t>
      </w:r>
      <w:r w:rsidR="004E6CF7" w:rsidRPr="00F06DE2">
        <w:rPr>
          <w:rFonts w:ascii="Times New Roman" w:hAnsi="Times New Roman" w:cs="Times New Roman"/>
          <w:sz w:val="24"/>
          <w:szCs w:val="24"/>
          <w:lang w:val="ru-RU"/>
        </w:rPr>
        <w:t xml:space="preserve">съответната  </w:t>
      </w:r>
      <w:r w:rsidRPr="00F06DE2">
        <w:rPr>
          <w:rFonts w:ascii="Times New Roman" w:hAnsi="Times New Roman" w:cs="Times New Roman"/>
          <w:sz w:val="24"/>
          <w:szCs w:val="24"/>
          <w:lang w:val="ru-RU"/>
        </w:rPr>
        <w:t>надстройка;</w:t>
      </w:r>
    </w:p>
    <w:p w14:paraId="2D68F52F" w14:textId="0C88EFEB" w:rsidR="00271FA2" w:rsidRPr="00F06DE2" w:rsidRDefault="00D35E51">
      <w:pPr>
        <w:tabs>
          <w:tab w:val="center" w:pos="790"/>
          <w:tab w:val="center" w:pos="1249"/>
        </w:tabs>
        <w:spacing w:line="240" w:lineRule="atLeast"/>
        <w:ind w:left="567"/>
        <w:jc w:val="both"/>
        <w:rPr>
          <w:rFonts w:ascii="Times New Roman" w:hAnsi="Times New Roman" w:cs="Times New Roman"/>
          <w:sz w:val="24"/>
          <w:szCs w:val="24"/>
          <w:lang w:val="ru-RU"/>
        </w:rPr>
      </w:pPr>
      <w:r w:rsidRPr="00F06DE2">
        <w:rPr>
          <w:rFonts w:ascii="Cambria Math" w:hAnsi="Cambria Math" w:cs="Cambria Math"/>
          <w:sz w:val="24"/>
          <w:szCs w:val="24"/>
        </w:rPr>
        <w:t>𝐵</w:t>
      </w:r>
      <w:r w:rsidRPr="00F06DE2">
        <w:rPr>
          <w:rFonts w:ascii="Times New Roman" w:hAnsi="Times New Roman" w:cs="Times New Roman"/>
          <w:sz w:val="24"/>
          <w:szCs w:val="24"/>
          <w:vertAlign w:val="subscript"/>
          <w:lang w:val="ru-RU"/>
        </w:rPr>
        <w:t>1</w:t>
      </w:r>
      <w:r w:rsidRPr="00F06DE2">
        <w:rPr>
          <w:rFonts w:ascii="Times New Roman" w:hAnsi="Times New Roman" w:cs="Times New Roman"/>
          <w:sz w:val="24"/>
          <w:szCs w:val="24"/>
          <w:lang w:val="ru-RU"/>
        </w:rPr>
        <w:t xml:space="preserve"> е ширината на плавателния съд, в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измерена от външната страна на вертикалните </w:t>
      </w:r>
      <w:r w:rsidR="00F5390C" w:rsidRPr="00F06DE2">
        <w:rPr>
          <w:rFonts w:ascii="Times New Roman" w:hAnsi="Times New Roman" w:cs="Times New Roman"/>
          <w:sz w:val="24"/>
          <w:szCs w:val="24"/>
          <w:lang w:val="ru-RU"/>
        </w:rPr>
        <w:t xml:space="preserve"> </w:t>
      </w:r>
      <w:r w:rsidR="007208FF" w:rsidRPr="00F06DE2">
        <w:rPr>
          <w:rFonts w:ascii="Times New Roman" w:hAnsi="Times New Roman" w:cs="Times New Roman"/>
          <w:sz w:val="24"/>
          <w:szCs w:val="24"/>
          <w:lang w:val="ru-RU"/>
        </w:rPr>
        <w:t>бордови стени</w:t>
      </w:r>
      <w:r w:rsidRPr="00F06DE2">
        <w:rPr>
          <w:rFonts w:ascii="Times New Roman" w:hAnsi="Times New Roman" w:cs="Times New Roman"/>
          <w:sz w:val="24"/>
          <w:szCs w:val="24"/>
          <w:lang w:val="ru-RU"/>
        </w:rPr>
        <w:t xml:space="preserve"> на нивото на палубата по средата на съответната надстройка;</w:t>
      </w:r>
    </w:p>
    <w:p w14:paraId="2E92C6F8" w14:textId="7C68B035" w:rsidR="00271FA2" w:rsidRPr="00F06DE2" w:rsidRDefault="00D35E51">
      <w:pPr>
        <w:tabs>
          <w:tab w:val="center" w:pos="790"/>
          <w:tab w:val="center" w:pos="1249"/>
        </w:tabs>
        <w:spacing w:line="240" w:lineRule="atLeast"/>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ℎ е височината в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на съответната надстройка. Въпреки това, в случай на </w:t>
      </w:r>
      <w:r w:rsidR="00802C15" w:rsidRPr="00F06DE2">
        <w:rPr>
          <w:rFonts w:ascii="Times New Roman" w:hAnsi="Times New Roman" w:cs="Times New Roman"/>
          <w:sz w:val="24"/>
          <w:szCs w:val="24"/>
          <w:lang w:val="ru-RU"/>
        </w:rPr>
        <w:t xml:space="preserve">капаци </w:t>
      </w:r>
      <w:r w:rsidRPr="00F06DE2">
        <w:rPr>
          <w:rFonts w:ascii="Times New Roman" w:hAnsi="Times New Roman" w:cs="Times New Roman"/>
          <w:sz w:val="24"/>
          <w:szCs w:val="24"/>
          <w:lang w:val="ru-RU"/>
        </w:rPr>
        <w:t xml:space="preserve">, ℎ се получава чрез намаляване на височината на комингсите с половината от безопасното разстояние съгласно член 4.01. В никакъв случай няма да се приема стойност, превишаваща 0,36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за ℎ.</w:t>
      </w:r>
    </w:p>
    <w:p w14:paraId="4FE7E917" w14:textId="573CD70A" w:rsidR="00271FA2" w:rsidRPr="00F06DE2" w:rsidRDefault="00D35E51">
      <w:pPr>
        <w:spacing w:line="240" w:lineRule="atLeast"/>
        <w:ind w:left="567"/>
        <w:jc w:val="both"/>
        <w:rPr>
          <w:rFonts w:ascii="Times New Roman" w:eastAsia="Calibri" w:hAnsi="Times New Roman" w:cs="Times New Roman"/>
          <w:sz w:val="24"/>
          <w:szCs w:val="24"/>
          <w:lang w:val="ru-RU"/>
        </w:rPr>
      </w:pPr>
      <w:r w:rsidRPr="00F06DE2">
        <w:rPr>
          <w:rFonts w:ascii="Times New Roman" w:hAnsi="Times New Roman" w:cs="Times New Roman"/>
          <w:sz w:val="24"/>
          <w:szCs w:val="24"/>
          <w:lang w:val="ru-RU"/>
        </w:rPr>
        <w:t xml:space="preserve">Ако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b</m:t>
            </m:r>
          </m:num>
          <m:den>
            <m:r>
              <w:rPr>
                <w:rFonts w:ascii="Cambria Math" w:eastAsia="Calibri" w:hAnsi="Cambria Math" w:cs="Times New Roman"/>
                <w:sz w:val="24"/>
                <w:szCs w:val="24"/>
              </w:rPr>
              <m:t>B</m:t>
            </m:r>
          </m:den>
        </m:f>
      </m:oMath>
      <w:r w:rsidRPr="00F06DE2">
        <w:rPr>
          <w:rFonts w:ascii="Times New Roman" w:hAnsi="Times New Roman" w:cs="Times New Roman"/>
          <w:sz w:val="24"/>
          <w:szCs w:val="24"/>
          <w:lang w:val="ru-RU"/>
        </w:rPr>
        <w:t xml:space="preserve"> или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b</m:t>
            </m:r>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lang w:val="ru-RU"/>
                  </w:rPr>
                  <m:t>1</m:t>
                </m:r>
              </m:sub>
            </m:sSub>
          </m:den>
        </m:f>
        <m:r>
          <w:rPr>
            <w:rFonts w:ascii="Cambria Math" w:eastAsia="Calibri" w:hAnsi="Cambria Math" w:cs="Times New Roman"/>
            <w:sz w:val="24"/>
            <w:szCs w:val="24"/>
            <w:lang w:val="ru-RU"/>
          </w:rPr>
          <m:t xml:space="preserve"> </m:t>
        </m:r>
      </m:oMath>
      <w:r w:rsidRPr="00F06DE2">
        <w:rPr>
          <w:rFonts w:ascii="Times New Roman" w:hAnsi="Times New Roman" w:cs="Times New Roman"/>
          <w:sz w:val="24"/>
          <w:szCs w:val="24"/>
          <w:lang w:val="ru-RU"/>
        </w:rPr>
        <w:t xml:space="preserve">е по-малко от 0,6, </w:t>
      </w:r>
      <w:r w:rsidR="00802C15" w:rsidRPr="00F06DE2">
        <w:rPr>
          <w:rFonts w:ascii="Times New Roman" w:hAnsi="Times New Roman" w:cs="Times New Roman"/>
          <w:sz w:val="24"/>
          <w:szCs w:val="24"/>
          <w:lang w:val="ru-RU"/>
        </w:rPr>
        <w:t xml:space="preserve">ефективната  </w:t>
      </w:r>
      <w:r w:rsidRPr="00F06DE2">
        <w:rPr>
          <w:rFonts w:ascii="Times New Roman" w:hAnsi="Times New Roman" w:cs="Times New Roman"/>
          <w:sz w:val="24"/>
          <w:szCs w:val="24"/>
          <w:lang w:val="ru-RU"/>
        </w:rPr>
        <w:t xml:space="preserve">дължина </w:t>
      </w:r>
      <m:oMath>
        <m:r>
          <w:rPr>
            <w:rFonts w:ascii="Cambria Math" w:eastAsia="Calibri" w:hAnsi="Cambria Math" w:cs="Times New Roman"/>
            <w:sz w:val="24"/>
            <w:szCs w:val="24"/>
          </w:rPr>
          <m:t>le</m:t>
        </m:r>
      </m:oMath>
      <w:r w:rsidRPr="00F06DE2">
        <w:rPr>
          <w:rFonts w:ascii="Times New Roman" w:hAnsi="Times New Roman" w:cs="Times New Roman"/>
          <w:sz w:val="24"/>
          <w:szCs w:val="24"/>
          <w:lang w:val="ru-RU"/>
        </w:rPr>
        <w:t xml:space="preserve"> на надстройката е нула.</w:t>
      </w:r>
    </w:p>
    <w:p w14:paraId="0EE5FEC3" w14:textId="77777777" w:rsidR="00271FA2" w:rsidRPr="00F06DE2" w:rsidRDefault="00D35E51">
      <w:pPr>
        <w:pStyle w:val="ESch"/>
        <w:jc w:val="both"/>
        <w:rPr>
          <w:rFonts w:ascii="Times New Roman" w:eastAsia="Calibri" w:hAnsi="Times New Roman" w:cs="Times New Roman"/>
          <w:sz w:val="24"/>
          <w:szCs w:val="24"/>
          <w:lang w:val="ru-RU"/>
        </w:rPr>
      </w:pPr>
      <w:r w:rsidRPr="00F06DE2">
        <w:rPr>
          <w:rFonts w:ascii="Times New Roman" w:hAnsi="Times New Roman" w:cs="Times New Roman"/>
          <w:sz w:val="24"/>
          <w:szCs w:val="24"/>
          <w:lang w:val="ru-RU"/>
        </w:rPr>
        <w:t>4.</w:t>
      </w:r>
      <w:r w:rsidRPr="00F06DE2">
        <w:rPr>
          <w:rFonts w:ascii="Times New Roman" w:hAnsi="Times New Roman" w:cs="Times New Roman"/>
          <w:sz w:val="24"/>
          <w:szCs w:val="24"/>
          <w:lang w:val="ru-RU"/>
        </w:rPr>
        <w:tab/>
        <w:t xml:space="preserve">Коефициентите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v</m:t>
            </m:r>
          </m:sub>
        </m:sSub>
      </m:oMath>
      <w:r w:rsidRPr="00F06DE2">
        <w:rPr>
          <w:rFonts w:ascii="Times New Roman" w:hAnsi="Times New Roman" w:cs="Times New Roman"/>
          <w:sz w:val="24"/>
          <w:szCs w:val="24"/>
          <w:lang w:val="ru-RU"/>
        </w:rPr>
        <w:t xml:space="preserve">и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a</m:t>
            </m:r>
          </m:sub>
        </m:sSub>
      </m:oMath>
      <w:r w:rsidRPr="00F06DE2">
        <w:rPr>
          <w:rFonts w:ascii="Times New Roman" w:hAnsi="Times New Roman" w:cs="Times New Roman"/>
          <w:sz w:val="24"/>
          <w:szCs w:val="24"/>
          <w:lang w:val="ru-RU"/>
        </w:rPr>
        <w:t xml:space="preserve"> се изчисляват, като се използват следните формули:</w:t>
      </w:r>
    </w:p>
    <w:p w14:paraId="286B256E" w14:textId="77777777" w:rsidR="00271FA2" w:rsidRPr="00F06DE2" w:rsidRDefault="002C62EC">
      <w:pPr>
        <w:pStyle w:val="ESch"/>
        <w:ind w:left="0" w:firstLine="0"/>
        <w:jc w:val="center"/>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 xml:space="preserve">v </m:t>
              </m:r>
            </m:sub>
          </m:sSub>
          <m:r>
            <w:rPr>
              <w:rFonts w:ascii="Cambria Math" w:eastAsia="Calibri" w:hAnsi="Cambria Math" w:cs="Times New Roman"/>
              <w:sz w:val="24"/>
              <w:szCs w:val="24"/>
            </w:rPr>
            <m:t xml:space="preserve">=1-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 xml:space="preserve">3 ∙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le</m:t>
                  </m:r>
                </m:e>
                <m:sub>
                  <m:r>
                    <w:rPr>
                      <w:rFonts w:ascii="Cambria Math" w:eastAsia="Calibri" w:hAnsi="Cambria Math" w:cs="Times New Roman"/>
                      <w:sz w:val="24"/>
                      <w:szCs w:val="24"/>
                    </w:rPr>
                    <m:t>v</m:t>
                  </m:r>
                </m:sub>
              </m:sSub>
            </m:num>
            <m:den>
              <m:r>
                <w:rPr>
                  <w:rFonts w:ascii="Cambria Math" w:eastAsia="Calibri" w:hAnsi="Cambria Math" w:cs="Times New Roman"/>
                  <w:sz w:val="24"/>
                  <w:szCs w:val="24"/>
                </w:rPr>
                <m:t>L</m:t>
              </m:r>
            </m:den>
          </m:f>
        </m:oMath>
      </m:oMathPara>
    </w:p>
    <w:p w14:paraId="3187B558" w14:textId="77777777" w:rsidR="00271FA2" w:rsidRPr="00F06DE2" w:rsidRDefault="002C62EC">
      <w:pPr>
        <w:pStyle w:val="ESch"/>
        <w:ind w:left="0" w:firstLine="0"/>
        <w:jc w:val="center"/>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 xml:space="preserve">a </m:t>
              </m:r>
            </m:sub>
          </m:sSub>
          <m:r>
            <w:rPr>
              <w:rFonts w:ascii="Cambria Math" w:eastAsia="Calibri" w:hAnsi="Cambria Math" w:cs="Times New Roman"/>
              <w:sz w:val="24"/>
              <w:szCs w:val="24"/>
            </w:rPr>
            <m:t xml:space="preserve">=1-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 xml:space="preserve">3 ∙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le</m:t>
                  </m:r>
                </m:e>
                <m:sub>
                  <m:r>
                    <w:rPr>
                      <w:rFonts w:ascii="Cambria Math" w:eastAsia="Calibri" w:hAnsi="Cambria Math" w:cs="Times New Roman"/>
                      <w:sz w:val="24"/>
                      <w:szCs w:val="24"/>
                    </w:rPr>
                    <m:t>a</m:t>
                  </m:r>
                </m:sub>
              </m:sSub>
            </m:num>
            <m:den>
              <m:r>
                <w:rPr>
                  <w:rFonts w:ascii="Cambria Math" w:eastAsia="Calibri" w:hAnsi="Cambria Math" w:cs="Times New Roman"/>
                  <w:sz w:val="24"/>
                  <w:szCs w:val="24"/>
                </w:rPr>
                <m:t>L</m:t>
              </m:r>
            </m:den>
          </m:f>
        </m:oMath>
      </m:oMathPara>
    </w:p>
    <w:p w14:paraId="3E44B647" w14:textId="662473EF"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w:t>
      </w:r>
      <w:r w:rsidRPr="00F06DE2">
        <w:rPr>
          <w:rFonts w:ascii="Times New Roman" w:hAnsi="Times New Roman" w:cs="Times New Roman"/>
          <w:sz w:val="24"/>
          <w:szCs w:val="24"/>
          <w:lang w:val="ru-RU"/>
        </w:rPr>
        <w:tab/>
      </w:r>
      <w:r w:rsidR="00802C15" w:rsidRPr="00F06DE2">
        <w:rPr>
          <w:rFonts w:ascii="Times New Roman" w:hAnsi="Times New Roman" w:cs="Times New Roman"/>
          <w:sz w:val="24"/>
          <w:szCs w:val="24"/>
          <w:lang w:val="ru-RU"/>
        </w:rPr>
        <w:t xml:space="preserve">Ефективната  </w:t>
      </w:r>
      <w:r w:rsidR="00014F9F" w:rsidRPr="00F06DE2">
        <w:rPr>
          <w:rFonts w:ascii="Times New Roman" w:hAnsi="Times New Roman" w:cs="Times New Roman"/>
          <w:sz w:val="24"/>
          <w:szCs w:val="24"/>
          <w:lang w:val="ru-RU"/>
        </w:rPr>
        <w:t xml:space="preserve"> </w:t>
      </w:r>
      <w:r w:rsidR="00802C15" w:rsidRPr="00F06DE2">
        <w:rPr>
          <w:rFonts w:ascii="Times New Roman" w:hAnsi="Times New Roman" w:cs="Times New Roman"/>
          <w:sz w:val="24"/>
          <w:szCs w:val="24"/>
          <w:lang w:val="ru-RU"/>
        </w:rPr>
        <w:t xml:space="preserve">седловатост </w:t>
      </w:r>
      <w:r w:rsidRPr="00F06DE2">
        <w:rPr>
          <w:rFonts w:ascii="Times New Roman" w:hAnsi="Times New Roman" w:cs="Times New Roman"/>
          <w:sz w:val="24"/>
          <w:szCs w:val="24"/>
          <w:lang w:val="ru-RU"/>
        </w:rPr>
        <w:t xml:space="preserve">на кърмата/носа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v</m:t>
            </m:r>
          </m:sub>
        </m:sSub>
      </m:oMath>
      <w:r w:rsidRPr="00F06DE2">
        <w:rPr>
          <w:rFonts w:ascii="Times New Roman" w:hAnsi="Times New Roman" w:cs="Times New Roman"/>
          <w:sz w:val="24"/>
          <w:szCs w:val="24"/>
          <w:lang w:val="ru-RU"/>
        </w:rPr>
        <w:t>/</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a</m:t>
            </m:r>
          </m:sub>
        </m:sSub>
      </m:oMath>
      <w:r w:rsidRPr="00F06DE2">
        <w:rPr>
          <w:rFonts w:ascii="Times New Roman" w:hAnsi="Times New Roman" w:cs="Times New Roman"/>
          <w:sz w:val="24"/>
          <w:szCs w:val="24"/>
          <w:lang w:val="ru-RU"/>
        </w:rPr>
        <w:t xml:space="preserve"> се изчислява по следните формули: </w:t>
      </w:r>
    </w:p>
    <w:p w14:paraId="6D119C4E" w14:textId="77777777" w:rsidR="00271FA2" w:rsidRPr="00F06DE2" w:rsidRDefault="002C62EC">
      <w:pPr>
        <w:pStyle w:val="ESch"/>
        <w:ind w:left="0" w:firstLine="0"/>
        <w:jc w:val="center"/>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v</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v</m:t>
              </m:r>
            </m:sub>
          </m:sSub>
          <m:r>
            <w:rPr>
              <w:rFonts w:ascii="Cambria Math" w:eastAsia="Calibri" w:hAnsi="Cambria Math" w:cs="Times New Roman"/>
              <w:sz w:val="24"/>
              <w:szCs w:val="24"/>
            </w:rPr>
            <m:t>∙p</m:t>
          </m:r>
        </m:oMath>
      </m:oMathPara>
    </w:p>
    <w:p w14:paraId="57A6465C" w14:textId="77777777" w:rsidR="00271FA2" w:rsidRPr="00F06DE2" w:rsidRDefault="002C62EC">
      <w:pPr>
        <w:pStyle w:val="ESch"/>
        <w:ind w:left="0" w:firstLine="0"/>
        <w:jc w:val="center"/>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a</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a</m:t>
              </m:r>
            </m:sub>
          </m:sSub>
          <m:r>
            <w:rPr>
              <w:rFonts w:ascii="Cambria Math" w:eastAsia="Calibri" w:hAnsi="Cambria Math" w:cs="Times New Roman"/>
              <w:sz w:val="24"/>
              <w:szCs w:val="24"/>
            </w:rPr>
            <m:t>∙p</m:t>
          </m:r>
        </m:oMath>
      </m:oMathPara>
    </w:p>
    <w:p w14:paraId="20E6122A" w14:textId="77777777" w:rsidR="00271FA2" w:rsidRPr="00F06DE2" w:rsidRDefault="00D35E51">
      <w:pPr>
        <w:tabs>
          <w:tab w:val="center" w:pos="622"/>
          <w:tab w:val="center" w:pos="3345"/>
        </w:tabs>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където:</w:t>
      </w:r>
    </w:p>
    <w:p w14:paraId="35538776" w14:textId="1F807EB4" w:rsidR="00271FA2" w:rsidRPr="00F06DE2" w:rsidRDefault="00D35E51">
      <w:pPr>
        <w:tabs>
          <w:tab w:val="center" w:pos="622"/>
          <w:tab w:val="center" w:pos="3345"/>
        </w:tabs>
        <w:spacing w:line="240" w:lineRule="atLeast"/>
        <w:rPr>
          <w:rFonts w:ascii="Times New Roman" w:hAnsi="Times New Roman" w:cs="Times New Roman"/>
          <w:sz w:val="24"/>
          <w:szCs w:val="24"/>
          <w:lang w:val="ru-RU"/>
        </w:rPr>
      </w:pPr>
      <w:r w:rsidRPr="00F06DE2">
        <w:rPr>
          <w:rFonts w:ascii="Cambria Math" w:hAnsi="Cambria Math" w:cs="Cambria Math"/>
          <w:sz w:val="24"/>
          <w:szCs w:val="24"/>
        </w:rPr>
        <w:t>𝑆</w:t>
      </w:r>
      <w:r w:rsidRPr="00F06DE2">
        <w:rPr>
          <w:rFonts w:ascii="Cambria Math" w:hAnsi="Cambria Math" w:cs="Cambria Math"/>
          <w:sz w:val="24"/>
          <w:szCs w:val="24"/>
          <w:vertAlign w:val="subscript"/>
        </w:rPr>
        <w:t>𝑣</w:t>
      </w:r>
      <w:r w:rsidRPr="00F06DE2">
        <w:rPr>
          <w:rFonts w:ascii="Times New Roman" w:hAnsi="Times New Roman" w:cs="Times New Roman"/>
          <w:sz w:val="24"/>
          <w:szCs w:val="24"/>
          <w:lang w:val="ru-RU"/>
        </w:rPr>
        <w:t xml:space="preserve"> е действителният </w:t>
      </w:r>
      <w:r w:rsidR="009557AC" w:rsidRPr="00F06DE2">
        <w:rPr>
          <w:rFonts w:ascii="Times New Roman" w:hAnsi="Times New Roman" w:cs="Times New Roman"/>
          <w:sz w:val="24"/>
          <w:szCs w:val="24"/>
          <w:lang w:val="ru-RU"/>
        </w:rPr>
        <w:t>носова седловатост</w:t>
      </w:r>
      <w:r w:rsidRPr="00F06DE2">
        <w:rPr>
          <w:rFonts w:ascii="Times New Roman" w:hAnsi="Times New Roman" w:cs="Times New Roman"/>
          <w:sz w:val="24"/>
          <w:szCs w:val="24"/>
          <w:lang w:val="ru-RU"/>
        </w:rPr>
        <w:t xml:space="preserve">, в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обаче </w:t>
      </w:r>
      <w:r w:rsidRPr="00F06DE2">
        <w:rPr>
          <w:rFonts w:ascii="Cambria Math" w:hAnsi="Cambria Math" w:cs="Cambria Math"/>
          <w:sz w:val="24"/>
          <w:szCs w:val="24"/>
        </w:rPr>
        <w:t>𝑆𝑣</w:t>
      </w:r>
      <w:r w:rsidRPr="00F06DE2">
        <w:rPr>
          <w:rFonts w:ascii="Times New Roman" w:hAnsi="Times New Roman" w:cs="Times New Roman"/>
          <w:sz w:val="24"/>
          <w:szCs w:val="24"/>
          <w:lang w:val="ru-RU"/>
        </w:rPr>
        <w:t xml:space="preserve"> не се приема за повече от 1000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6080882A" w14:textId="3178C734" w:rsidR="00271FA2" w:rsidRPr="00F06DE2" w:rsidRDefault="00D35E51">
      <w:pPr>
        <w:tabs>
          <w:tab w:val="center" w:pos="622"/>
          <w:tab w:val="center" w:pos="3345"/>
        </w:tabs>
        <w:spacing w:line="240" w:lineRule="atLeast"/>
        <w:rPr>
          <w:rFonts w:ascii="Times New Roman" w:hAnsi="Times New Roman" w:cs="Times New Roman"/>
          <w:sz w:val="24"/>
          <w:szCs w:val="24"/>
          <w:lang w:val="ru-RU"/>
        </w:rPr>
      </w:pPr>
      <w:r w:rsidRPr="00F06DE2">
        <w:rPr>
          <w:rFonts w:ascii="Cambria Math" w:hAnsi="Cambria Math" w:cs="Cambria Math"/>
          <w:sz w:val="24"/>
          <w:szCs w:val="24"/>
        </w:rPr>
        <w:t>𝑆</w:t>
      </w:r>
      <w:r w:rsidRPr="00F06DE2">
        <w:rPr>
          <w:rFonts w:ascii="Cambria Math" w:hAnsi="Cambria Math" w:cs="Cambria Math"/>
          <w:sz w:val="24"/>
          <w:szCs w:val="24"/>
          <w:vertAlign w:val="subscript"/>
        </w:rPr>
        <w:t>𝑎</w:t>
      </w:r>
      <w:r w:rsidRPr="00F06DE2">
        <w:rPr>
          <w:rFonts w:ascii="Times New Roman" w:hAnsi="Times New Roman" w:cs="Times New Roman"/>
          <w:sz w:val="24"/>
          <w:szCs w:val="24"/>
          <w:lang w:val="ru-RU"/>
        </w:rPr>
        <w:t xml:space="preserve"> е </w:t>
      </w:r>
      <w:r w:rsidR="009557AC" w:rsidRPr="00F06DE2">
        <w:rPr>
          <w:rFonts w:ascii="Times New Roman" w:hAnsi="Times New Roman" w:cs="Times New Roman"/>
          <w:sz w:val="24"/>
          <w:szCs w:val="24"/>
          <w:lang w:val="ru-RU"/>
        </w:rPr>
        <w:t xml:space="preserve">действителната кърмова седловатост </w:t>
      </w:r>
      <w:r w:rsidRPr="00F06DE2">
        <w:rPr>
          <w:rFonts w:ascii="Times New Roman" w:hAnsi="Times New Roman" w:cs="Times New Roman"/>
          <w:sz w:val="24"/>
          <w:szCs w:val="24"/>
          <w:lang w:val="ru-RU"/>
        </w:rPr>
        <w:t xml:space="preserve">, в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обаче </w:t>
      </w:r>
      <w:r w:rsidRPr="00F06DE2">
        <w:rPr>
          <w:rFonts w:ascii="Cambria Math" w:hAnsi="Cambria Math" w:cs="Cambria Math"/>
          <w:sz w:val="24"/>
          <w:szCs w:val="24"/>
        </w:rPr>
        <w:t>𝑆𝑎</w:t>
      </w:r>
      <w:r w:rsidRPr="00F06DE2">
        <w:rPr>
          <w:rFonts w:ascii="Times New Roman" w:hAnsi="Times New Roman" w:cs="Times New Roman"/>
          <w:sz w:val="24"/>
          <w:szCs w:val="24"/>
          <w:lang w:val="ru-RU"/>
        </w:rPr>
        <w:t xml:space="preserve"> не може да се приеме за повече от 500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3DF4AC58" w14:textId="77777777" w:rsidR="00271FA2" w:rsidRPr="00F06DE2" w:rsidRDefault="00D35E51">
      <w:pPr>
        <w:tabs>
          <w:tab w:val="center" w:pos="622"/>
          <w:tab w:val="center" w:pos="3345"/>
        </w:tabs>
        <w:spacing w:line="240" w:lineRule="atLeast"/>
        <w:rPr>
          <w:rFonts w:ascii="Times New Roman" w:hAnsi="Times New Roman" w:cs="Times New Roman"/>
          <w:sz w:val="24"/>
          <w:szCs w:val="24"/>
          <w:lang w:val="ru-RU"/>
        </w:rPr>
      </w:pPr>
      <w:r w:rsidRPr="00F06DE2">
        <w:rPr>
          <w:rFonts w:ascii="Cambria Math" w:hAnsi="Cambria Math" w:cs="Cambria Math"/>
          <w:sz w:val="24"/>
          <w:szCs w:val="24"/>
        </w:rPr>
        <w:t>𝑝</w:t>
      </w:r>
      <w:r w:rsidRPr="00F06DE2">
        <w:rPr>
          <w:rFonts w:ascii="Times New Roman" w:hAnsi="Times New Roman" w:cs="Times New Roman"/>
          <w:sz w:val="24"/>
          <w:szCs w:val="24"/>
          <w:lang w:val="ru-RU"/>
        </w:rPr>
        <w:t xml:space="preserve"> е коефициент, изчислен по следната формула:</w:t>
      </w:r>
    </w:p>
    <w:p w14:paraId="6E8473D3" w14:textId="77777777" w:rsidR="00271FA2" w:rsidRPr="00F06DE2" w:rsidRDefault="00D35E51">
      <w:pPr>
        <w:pStyle w:val="ESch"/>
        <w:ind w:left="0" w:firstLine="0"/>
        <w:jc w:val="center"/>
        <w:rPr>
          <w:rFonts w:ascii="Times New Roman" w:eastAsia="Calibri" w:hAnsi="Times New Roman" w:cs="Times New Roman"/>
          <w:sz w:val="24"/>
          <w:szCs w:val="24"/>
        </w:rPr>
      </w:pPr>
      <m:oMathPara>
        <m:oMath>
          <m:r>
            <w:rPr>
              <w:rFonts w:ascii="Cambria Math" w:eastAsia="Calibri" w:hAnsi="Cambria Math" w:cs="Times New Roman"/>
              <w:sz w:val="24"/>
              <w:szCs w:val="24"/>
            </w:rPr>
            <m:t xml:space="preserve">p =4∙ </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x</m:t>
              </m:r>
            </m:num>
            <m:den>
              <m:r>
                <w:rPr>
                  <w:rFonts w:ascii="Cambria Math" w:eastAsia="Calibri" w:hAnsi="Cambria Math" w:cs="Times New Roman"/>
                  <w:sz w:val="24"/>
                  <w:szCs w:val="24"/>
                </w:rPr>
                <m:t>L</m:t>
              </m:r>
            </m:den>
          </m:f>
        </m:oMath>
      </m:oMathPara>
    </w:p>
    <w:p w14:paraId="6A5C46E8" w14:textId="77777777" w:rsidR="00271FA2" w:rsidRPr="00F06DE2" w:rsidRDefault="00D35E51">
      <w:pPr>
        <w:spacing w:line="240" w:lineRule="atLeast"/>
        <w:jc w:val="both"/>
        <w:rPr>
          <w:rFonts w:ascii="Times New Roman" w:eastAsia="Calibri" w:hAnsi="Times New Roman" w:cs="Times New Roman"/>
          <w:sz w:val="24"/>
          <w:szCs w:val="24"/>
          <w:lang w:val="ru-RU"/>
        </w:rPr>
      </w:pPr>
      <m:oMath>
        <m:r>
          <w:rPr>
            <w:rFonts w:ascii="Cambria Math" w:eastAsia="Calibri" w:hAnsi="Cambria Math" w:cs="Times New Roman"/>
            <w:sz w:val="24"/>
            <w:szCs w:val="24"/>
          </w:rPr>
          <m:t>x</m:t>
        </m:r>
      </m:oMath>
      <w:r w:rsidRPr="00F06DE2">
        <w:rPr>
          <w:rFonts w:ascii="Times New Roman" w:hAnsi="Times New Roman" w:cs="Times New Roman"/>
          <w:sz w:val="24"/>
          <w:szCs w:val="24"/>
          <w:lang w:val="ru-RU"/>
        </w:rPr>
        <w:t xml:space="preserve"> е абсцисата, измерена от най-външната точка, в която наклонът е 0,25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v</m:t>
            </m:r>
          </m:sub>
        </m:sSub>
      </m:oMath>
      <w:r w:rsidRPr="00F06DE2">
        <w:rPr>
          <w:rFonts w:ascii="Times New Roman" w:hAnsi="Times New Roman" w:cs="Times New Roman"/>
          <w:sz w:val="24"/>
          <w:szCs w:val="24"/>
          <w:lang w:val="ru-RU"/>
        </w:rPr>
        <w:t xml:space="preserve"> или 0,25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a</m:t>
            </m:r>
          </m:sub>
        </m:sSub>
      </m:oMath>
      <w:r w:rsidRPr="00F06DE2">
        <w:rPr>
          <w:rFonts w:ascii="Times New Roman" w:hAnsi="Times New Roman" w:cs="Times New Roman"/>
          <w:sz w:val="24"/>
          <w:szCs w:val="24"/>
          <w:lang w:val="ru-RU"/>
        </w:rPr>
        <w:t xml:space="preserve"> (виж фигура 1).</w:t>
      </w:r>
    </w:p>
    <w:p w14:paraId="6D651FB8" w14:textId="77777777" w:rsidR="00271FA2" w:rsidRPr="00F06DE2" w:rsidRDefault="00D35E51">
      <w:pPr>
        <w:spacing w:line="240" w:lineRule="atLeast"/>
        <w:jc w:val="center"/>
        <w:rPr>
          <w:rFonts w:ascii="Times New Roman" w:hAnsi="Times New Roman" w:cs="Times New Roman"/>
          <w:sz w:val="24"/>
          <w:szCs w:val="24"/>
        </w:rPr>
      </w:pPr>
      <w:r w:rsidRPr="00F06DE2">
        <w:rPr>
          <w:rFonts w:ascii="Times New Roman" w:hAnsi="Times New Roman" w:cs="Times New Roman"/>
          <w:noProof/>
          <w:sz w:val="24"/>
          <w:szCs w:val="24"/>
          <w:lang w:eastAsia="bg-BG"/>
        </w:rPr>
        <w:lastRenderedPageBreak/>
        <w:drawing>
          <wp:inline distT="0" distB="0" distL="0" distR="0" wp14:anchorId="0DCBEBEE" wp14:editId="6326BA76">
            <wp:extent cx="3709035" cy="1597025"/>
            <wp:effectExtent l="0" t="0" r="5715" b="317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709416" cy="1597152"/>
                    </a:xfrm>
                    <a:prstGeom prst="rect">
                      <a:avLst/>
                    </a:prstGeom>
                  </pic:spPr>
                </pic:pic>
              </a:graphicData>
            </a:graphic>
          </wp:inline>
        </w:drawing>
      </w:r>
    </w:p>
    <w:p w14:paraId="5B7EC111" w14:textId="77777777" w:rsidR="00271FA2" w:rsidRPr="00F06DE2" w:rsidRDefault="00D35E51">
      <w:pPr>
        <w:spacing w:line="240" w:lineRule="atLeast"/>
        <w:ind w:left="567"/>
        <w:rPr>
          <w:rFonts w:ascii="Times New Roman" w:hAnsi="Times New Roman" w:cs="Times New Roman"/>
          <w:sz w:val="24"/>
          <w:szCs w:val="24"/>
          <w:lang w:val="ru-RU"/>
        </w:rPr>
      </w:pPr>
      <w:r w:rsidRPr="00F06DE2">
        <w:rPr>
          <w:rFonts w:ascii="Times New Roman" w:hAnsi="Times New Roman" w:cs="Times New Roman"/>
          <w:sz w:val="24"/>
          <w:szCs w:val="24"/>
        </w:rPr>
        <w:tab/>
      </w:r>
      <w:r w:rsidRPr="00F06DE2">
        <w:rPr>
          <w:rFonts w:ascii="Times New Roman" w:hAnsi="Times New Roman" w:cs="Times New Roman"/>
          <w:sz w:val="24"/>
          <w:szCs w:val="24"/>
        </w:rPr>
        <w:tab/>
      </w:r>
      <w:r w:rsidRPr="00F06DE2">
        <w:rPr>
          <w:rFonts w:ascii="Times New Roman" w:hAnsi="Times New Roman" w:cs="Times New Roman"/>
          <w:sz w:val="24"/>
          <w:szCs w:val="24"/>
        </w:rPr>
        <w:tab/>
      </w:r>
      <w:r w:rsidRPr="00F06DE2">
        <w:rPr>
          <w:rFonts w:ascii="Times New Roman" w:hAnsi="Times New Roman" w:cs="Times New Roman"/>
          <w:sz w:val="24"/>
          <w:szCs w:val="24"/>
        </w:rPr>
        <w:tab/>
      </w:r>
      <w:r w:rsidRPr="00F06DE2">
        <w:rPr>
          <w:rFonts w:ascii="Times New Roman" w:hAnsi="Times New Roman" w:cs="Times New Roman"/>
          <w:sz w:val="24"/>
          <w:szCs w:val="24"/>
        </w:rPr>
        <w:tab/>
      </w:r>
      <w:r w:rsidRPr="00F06DE2">
        <w:rPr>
          <w:rFonts w:ascii="Times New Roman" w:hAnsi="Times New Roman" w:cs="Times New Roman"/>
          <w:sz w:val="24"/>
          <w:szCs w:val="24"/>
          <w:lang w:val="ru-RU"/>
        </w:rPr>
        <w:t>Фигура 1</w:t>
      </w:r>
    </w:p>
    <w:p w14:paraId="28C18052" w14:textId="77777777" w:rsidR="00271FA2" w:rsidRPr="00F06DE2" w:rsidRDefault="00D35E51">
      <w:pPr>
        <w:spacing w:line="240" w:lineRule="atLeast"/>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Коефициентът </w:t>
      </w:r>
      <m:oMath>
        <m:r>
          <w:rPr>
            <w:rFonts w:ascii="Cambria Math" w:eastAsia="Calibri" w:hAnsi="Cambria Math" w:cs="Times New Roman"/>
            <w:sz w:val="24"/>
            <w:szCs w:val="24"/>
          </w:rPr>
          <m:t>p</m:t>
        </m:r>
      </m:oMath>
      <w:r w:rsidRPr="00F06DE2">
        <w:rPr>
          <w:rFonts w:ascii="Times New Roman" w:hAnsi="Times New Roman" w:cs="Times New Roman"/>
          <w:sz w:val="24"/>
          <w:szCs w:val="24"/>
          <w:lang w:val="ru-RU"/>
        </w:rPr>
        <w:t xml:space="preserve"> обаче не може да се приема за по-голям от 1.</w:t>
      </w:r>
    </w:p>
    <w:p w14:paraId="226486C8" w14:textId="77777777" w:rsidR="00271FA2" w:rsidRPr="00F06DE2" w:rsidRDefault="00D35E51">
      <w:pPr>
        <w:spacing w:line="240" w:lineRule="atLeast"/>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w:t>
      </w:r>
      <w:r w:rsidRPr="00F06DE2">
        <w:rPr>
          <w:rFonts w:ascii="Times New Roman" w:hAnsi="Times New Roman" w:cs="Times New Roman"/>
          <w:sz w:val="24"/>
          <w:szCs w:val="24"/>
          <w:lang w:val="ru-RU"/>
        </w:rPr>
        <w:tab/>
        <w:t xml:space="preserve">Ако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a</m:t>
            </m:r>
          </m:sub>
        </m:sSub>
        <m:r>
          <w:rPr>
            <w:rFonts w:ascii="Cambria Math" w:eastAsia="Calibri" w:hAnsi="Cambria Math" w:cs="Times New Roman"/>
            <w:sz w:val="24"/>
            <w:szCs w:val="24"/>
            <w:lang w:val="ru-RU"/>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a</m:t>
            </m:r>
          </m:sub>
        </m:sSub>
      </m:oMath>
      <w:r w:rsidRPr="00F06DE2">
        <w:rPr>
          <w:rFonts w:ascii="Times New Roman" w:hAnsi="Times New Roman" w:cs="Times New Roman"/>
          <w:sz w:val="24"/>
          <w:szCs w:val="24"/>
          <w:lang w:val="ru-RU"/>
        </w:rPr>
        <w:t xml:space="preserve"> е по-голямо от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v</m:t>
            </m:r>
          </m:sub>
        </m:sSub>
        <m:r>
          <w:rPr>
            <w:rFonts w:ascii="Cambria Math" w:eastAsia="Calibri" w:hAnsi="Cambria Math" w:cs="Times New Roman"/>
            <w:sz w:val="24"/>
            <w:szCs w:val="24"/>
            <w:lang w:val="ru-RU"/>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v</m:t>
            </m:r>
          </m:sub>
        </m:sSub>
      </m:oMath>
      <w:r w:rsidRPr="00F06DE2">
        <w:rPr>
          <w:rFonts w:ascii="Times New Roman" w:hAnsi="Times New Roman" w:cs="Times New Roman"/>
          <w:sz w:val="24"/>
          <w:szCs w:val="24"/>
          <w:lang w:val="ru-RU"/>
        </w:rPr>
        <w:t xml:space="preserve">, за стойност на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v</m:t>
            </m:r>
          </m:sub>
        </m:sSub>
        <m:r>
          <w:rPr>
            <w:rFonts w:ascii="Cambria Math" w:eastAsia="Calibri" w:hAnsi="Cambria Math" w:cs="Times New Roman"/>
            <w:sz w:val="24"/>
            <w:szCs w:val="24"/>
            <w:lang w:val="ru-RU"/>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v</m:t>
            </m:r>
          </m:sub>
        </m:sSub>
      </m:oMath>
      <w:r w:rsidRPr="00F06DE2">
        <w:rPr>
          <w:rFonts w:ascii="Times New Roman" w:hAnsi="Times New Roman" w:cs="Times New Roman"/>
          <w:sz w:val="24"/>
          <w:szCs w:val="24"/>
          <w:lang w:val="ru-RU"/>
        </w:rPr>
        <w:t xml:space="preserve"> се приема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a</m:t>
            </m:r>
          </m:sub>
        </m:sSub>
        <m:r>
          <w:rPr>
            <w:rFonts w:ascii="Cambria Math" w:eastAsia="Calibri" w:hAnsi="Cambria Math" w:cs="Times New Roman"/>
            <w:sz w:val="24"/>
            <w:szCs w:val="24"/>
            <w:lang w:val="ru-RU"/>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Se</m:t>
            </m:r>
          </m:e>
          <m:sub>
            <m:r>
              <w:rPr>
                <w:rFonts w:ascii="Cambria Math" w:eastAsia="Calibri" w:hAnsi="Cambria Math" w:cs="Times New Roman"/>
                <w:sz w:val="24"/>
                <w:szCs w:val="24"/>
              </w:rPr>
              <m:t>a</m:t>
            </m:r>
          </m:sub>
        </m:sSub>
      </m:oMath>
      <w:r w:rsidRPr="00F06DE2">
        <w:rPr>
          <w:rFonts w:ascii="Times New Roman" w:hAnsi="Times New Roman" w:cs="Times New Roman"/>
          <w:sz w:val="24"/>
          <w:szCs w:val="24"/>
          <w:lang w:val="ru-RU"/>
        </w:rPr>
        <w:t>.</w:t>
      </w:r>
    </w:p>
    <w:p w14:paraId="05937AF4" w14:textId="77777777" w:rsidR="00271FA2" w:rsidRPr="00F06DE2" w:rsidRDefault="00D35E51">
      <w:pPr>
        <w:spacing w:line="240" w:lineRule="atLeast"/>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w:t>
      </w:r>
      <w:r w:rsidRPr="00F06DE2">
        <w:rPr>
          <w:rFonts w:ascii="Times New Roman" w:hAnsi="Times New Roman" w:cs="Times New Roman"/>
          <w:sz w:val="24"/>
          <w:szCs w:val="24"/>
          <w:lang w:val="ru-RU"/>
        </w:rPr>
        <w:tab/>
        <w:t xml:space="preserve">С оглед на намаленията, посочени в точки 2-6, надводният борд трябва да бъде не по-малък от 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05E0A362" w14:textId="77777777" w:rsidR="00271FA2" w:rsidRPr="00F06DE2" w:rsidRDefault="00D35E51">
      <w:pPr>
        <w:spacing w:line="240" w:lineRule="atLeast"/>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8.</w:t>
      </w:r>
      <w:r w:rsidRPr="00F06DE2">
        <w:rPr>
          <w:rFonts w:ascii="Times New Roman" w:hAnsi="Times New Roman" w:cs="Times New Roman"/>
          <w:sz w:val="24"/>
          <w:szCs w:val="24"/>
          <w:lang w:val="ru-RU"/>
        </w:rPr>
        <w:tab/>
        <w:t>Въпреки това, от съображения за безопасност, контролният орган може да определи по-голяма стойност за надводния борд.</w:t>
      </w:r>
    </w:p>
    <w:p w14:paraId="15E897AF" w14:textId="017EE2D9" w:rsidR="00271FA2" w:rsidRPr="00F06DE2" w:rsidRDefault="00D35E51">
      <w:pPr>
        <w:spacing w:line="240" w:lineRule="atLeast"/>
        <w:ind w:left="567" w:hanging="567"/>
        <w:jc w:val="both"/>
        <w:rPr>
          <w:rFonts w:ascii="Times New Roman" w:eastAsia="Calibri" w:hAnsi="Times New Roman" w:cs="Times New Roman"/>
          <w:sz w:val="24"/>
          <w:szCs w:val="24"/>
          <w:lang w:val="ru-RU"/>
        </w:rPr>
      </w:pPr>
      <w:r w:rsidRPr="00F06DE2">
        <w:rPr>
          <w:rFonts w:ascii="Times New Roman" w:hAnsi="Times New Roman" w:cs="Times New Roman"/>
          <w:sz w:val="24"/>
          <w:szCs w:val="24"/>
          <w:lang w:val="ru-RU"/>
        </w:rPr>
        <w:t>9.</w:t>
      </w:r>
      <w:r w:rsidRPr="00F06DE2">
        <w:rPr>
          <w:rFonts w:ascii="Times New Roman" w:hAnsi="Times New Roman" w:cs="Times New Roman"/>
          <w:sz w:val="24"/>
          <w:szCs w:val="24"/>
          <w:lang w:val="ru-RU"/>
        </w:rPr>
        <w:tab/>
        <w:t xml:space="preserve">За плавателни съдове, предназначени да работят в зони 1 и 2, </w:t>
      </w:r>
      <w:r w:rsidR="00BD3C46" w:rsidRPr="00F06DE2">
        <w:rPr>
          <w:rFonts w:ascii="Times New Roman" w:hAnsi="Times New Roman" w:cs="Times New Roman"/>
          <w:sz w:val="24"/>
          <w:szCs w:val="24"/>
          <w:lang w:val="ru-RU"/>
        </w:rPr>
        <w:t xml:space="preserve">контролния </w:t>
      </w:r>
      <w:r w:rsidRPr="00F06DE2">
        <w:rPr>
          <w:rFonts w:ascii="Times New Roman" w:hAnsi="Times New Roman" w:cs="Times New Roman"/>
          <w:sz w:val="24"/>
          <w:szCs w:val="24"/>
          <w:lang w:val="ru-RU"/>
        </w:rPr>
        <w:t>орган може да вземе предвид солеността при изчисляване на надводния борд.</w:t>
      </w:r>
    </w:p>
    <w:p w14:paraId="084DA9C3" w14:textId="77777777" w:rsidR="000B2E40" w:rsidRPr="00F06DE2" w:rsidRDefault="000B2E40">
      <w:pPr>
        <w:spacing w:line="240" w:lineRule="atLeast"/>
        <w:jc w:val="center"/>
        <w:rPr>
          <w:rFonts w:ascii="Times New Roman" w:hAnsi="Times New Roman" w:cs="Times New Roman"/>
          <w:b/>
          <w:bCs/>
          <w:sz w:val="24"/>
          <w:szCs w:val="24"/>
          <w:lang w:val="ru-RU"/>
        </w:rPr>
      </w:pPr>
    </w:p>
    <w:p w14:paraId="170FC714" w14:textId="426A6FBE" w:rsidR="00271FA2" w:rsidRPr="00F06DE2" w:rsidRDefault="00D35E51">
      <w:pPr>
        <w:spacing w:line="240" w:lineRule="atLeast"/>
        <w:jc w:val="center"/>
        <w:rPr>
          <w:rFonts w:ascii="Times New Roman" w:hAnsi="Times New Roman" w:cs="Times New Roman"/>
          <w:b/>
          <w:bCs/>
          <w:sz w:val="24"/>
          <w:szCs w:val="24"/>
        </w:rPr>
      </w:pPr>
      <w:r w:rsidRPr="00F06DE2">
        <w:rPr>
          <w:rFonts w:ascii="Times New Roman" w:hAnsi="Times New Roman" w:cs="Times New Roman"/>
          <w:b/>
          <w:bCs/>
          <w:sz w:val="24"/>
          <w:szCs w:val="24"/>
        </w:rPr>
        <w:t>Член 4.03</w:t>
      </w:r>
    </w:p>
    <w:p w14:paraId="53550E13" w14:textId="3A19D6AE" w:rsidR="00271FA2" w:rsidRPr="00F06DE2" w:rsidRDefault="00D35E51">
      <w:pPr>
        <w:spacing w:line="240" w:lineRule="atLeast"/>
        <w:jc w:val="center"/>
        <w:rPr>
          <w:rFonts w:ascii="Times New Roman" w:hAnsi="Times New Roman" w:cs="Times New Roman"/>
          <w:b/>
          <w:bCs/>
          <w:i/>
          <w:sz w:val="24"/>
          <w:szCs w:val="24"/>
        </w:rPr>
      </w:pPr>
      <w:r w:rsidRPr="00F06DE2">
        <w:rPr>
          <w:rFonts w:ascii="Times New Roman" w:hAnsi="Times New Roman" w:cs="Times New Roman"/>
          <w:b/>
          <w:bCs/>
          <w:i/>
          <w:sz w:val="24"/>
          <w:szCs w:val="24"/>
        </w:rPr>
        <w:t>Товарни марки</w:t>
      </w:r>
    </w:p>
    <w:p w14:paraId="0C4D9446" w14:textId="77777777" w:rsidR="000B2E40" w:rsidRPr="00F06DE2" w:rsidRDefault="000B2E40">
      <w:pPr>
        <w:spacing w:line="240" w:lineRule="atLeast"/>
        <w:jc w:val="center"/>
        <w:rPr>
          <w:rFonts w:ascii="Times New Roman" w:hAnsi="Times New Roman" w:cs="Times New Roman"/>
          <w:b/>
          <w:bCs/>
          <w:i/>
          <w:sz w:val="24"/>
          <w:szCs w:val="24"/>
        </w:rPr>
      </w:pPr>
    </w:p>
    <w:p w14:paraId="0109D782" w14:textId="77777777" w:rsidR="00271FA2" w:rsidRPr="00F06DE2" w:rsidRDefault="00D35E51">
      <w:pPr>
        <w:pStyle w:val="ListParagraph"/>
        <w:numPr>
          <w:ilvl w:val="0"/>
          <w:numId w:val="10"/>
        </w:numPr>
        <w:spacing w:line="240" w:lineRule="atLeast"/>
        <w:ind w:left="567" w:right="60" w:hanging="567"/>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Зона </w:t>
      </w:r>
      <w:r w:rsidRPr="00F06DE2">
        <w:rPr>
          <w:rFonts w:ascii="Times New Roman" w:hAnsi="Times New Roman" w:cs="Times New Roman"/>
          <w:sz w:val="24"/>
          <w:szCs w:val="24"/>
        </w:rPr>
        <w:t>R</w:t>
      </w:r>
      <w:r w:rsidRPr="00F06DE2">
        <w:rPr>
          <w:rFonts w:ascii="Times New Roman" w:hAnsi="Times New Roman" w:cs="Times New Roman"/>
          <w:sz w:val="24"/>
          <w:szCs w:val="24"/>
          <w:lang w:val="ru-RU"/>
        </w:rPr>
        <w:t xml:space="preserve"> е еквивалентна на зона 3.</w:t>
      </w:r>
    </w:p>
    <w:p w14:paraId="719D3937" w14:textId="7BD140D9" w:rsidR="00271FA2" w:rsidRPr="00F06DE2" w:rsidRDefault="00D35E51">
      <w:pPr>
        <w:pStyle w:val="ListParagraph"/>
        <w:numPr>
          <w:ilvl w:val="0"/>
          <w:numId w:val="10"/>
        </w:numPr>
        <w:spacing w:line="240" w:lineRule="atLeast"/>
        <w:ind w:left="567" w:right="60"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Равнината на максималното газене за всяка разрешена зона се определя по такъв начин, че всички </w:t>
      </w:r>
      <w:r w:rsidR="007B4286" w:rsidRPr="00F06DE2">
        <w:rPr>
          <w:rFonts w:ascii="Times New Roman" w:hAnsi="Times New Roman" w:cs="Times New Roman"/>
          <w:sz w:val="24"/>
          <w:szCs w:val="24"/>
          <w:lang w:val="ru-RU"/>
        </w:rPr>
        <w:t xml:space="preserve">изисквания </w:t>
      </w:r>
      <w:r w:rsidRPr="00F06DE2">
        <w:rPr>
          <w:rFonts w:ascii="Times New Roman" w:hAnsi="Times New Roman" w:cs="Times New Roman"/>
          <w:sz w:val="24"/>
          <w:szCs w:val="24"/>
          <w:lang w:val="ru-RU"/>
        </w:rPr>
        <w:t>относно надводния борд, безопасното разстояние и максималното проектно газене на плавателния съд да са спазени.</w:t>
      </w:r>
    </w:p>
    <w:p w14:paraId="37A8EC84" w14:textId="25B1B082" w:rsidR="00271FA2" w:rsidRPr="00F06DE2" w:rsidRDefault="00D35E51">
      <w:pPr>
        <w:pStyle w:val="ListParagraph"/>
        <w:numPr>
          <w:ilvl w:val="0"/>
          <w:numId w:val="10"/>
        </w:numPr>
        <w:spacing w:line="240" w:lineRule="atLeast"/>
        <w:ind w:left="567" w:right="60"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Равнината на максимално газене се обозначава чрез </w:t>
      </w:r>
      <w:r w:rsidR="007B4286" w:rsidRPr="00F06DE2">
        <w:rPr>
          <w:rFonts w:ascii="Times New Roman" w:hAnsi="Times New Roman" w:cs="Times New Roman"/>
          <w:sz w:val="24"/>
          <w:szCs w:val="24"/>
          <w:lang w:val="ru-RU"/>
        </w:rPr>
        <w:t>ясн</w:t>
      </w:r>
      <w:r w:rsidR="00C759EC" w:rsidRPr="00F06DE2">
        <w:rPr>
          <w:rFonts w:ascii="Times New Roman" w:hAnsi="Times New Roman" w:cs="Times New Roman"/>
          <w:sz w:val="24"/>
          <w:szCs w:val="24"/>
          <w:lang w:val="ru-RU"/>
        </w:rPr>
        <w:t>о</w:t>
      </w:r>
      <w:r w:rsidR="007B4286" w:rsidRPr="00F06DE2">
        <w:rPr>
          <w:rFonts w:ascii="Times New Roman" w:hAnsi="Times New Roman" w:cs="Times New Roman"/>
          <w:sz w:val="24"/>
          <w:szCs w:val="24"/>
          <w:lang w:val="ru-RU"/>
        </w:rPr>
        <w:t xml:space="preserve">  </w:t>
      </w:r>
      <w:r w:rsidRPr="00F06DE2">
        <w:rPr>
          <w:rFonts w:ascii="Times New Roman" w:hAnsi="Times New Roman" w:cs="Times New Roman"/>
          <w:sz w:val="24"/>
          <w:szCs w:val="24"/>
          <w:lang w:val="ru-RU"/>
        </w:rPr>
        <w:t>видими, незаличими товарни марки.</w:t>
      </w:r>
    </w:p>
    <w:p w14:paraId="66865ACB" w14:textId="77777777" w:rsidR="00271FA2" w:rsidRPr="00F06DE2" w:rsidRDefault="00D35E51">
      <w:pPr>
        <w:pStyle w:val="ListParagraph"/>
        <w:numPr>
          <w:ilvl w:val="0"/>
          <w:numId w:val="10"/>
        </w:numPr>
        <w:spacing w:line="240" w:lineRule="atLeast"/>
        <w:ind w:left="567" w:right="60"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Товарните марки трябва да бъдат проектирани, както следва:</w:t>
      </w:r>
    </w:p>
    <w:p w14:paraId="4B560B97" w14:textId="77777777" w:rsidR="00271FA2" w:rsidRPr="00F06DE2" w:rsidRDefault="00D35E51">
      <w:pPr>
        <w:spacing w:line="240" w:lineRule="atLeast"/>
        <w:ind w:left="567" w:right="6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а) Товарните марки са в посока към кърмата с дължина 300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и 30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височина, разполага се хоризонтално и долната й линия указва максимално разрешеното газене. Ако товарната марка е за зона 3, се прави с височина 40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3F0784A2" w14:textId="77777777" w:rsidR="00271FA2" w:rsidRPr="00F06DE2" w:rsidRDefault="00D35E51">
      <w:pPr>
        <w:spacing w:line="240" w:lineRule="atLeast"/>
        <w:ind w:firstLine="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б) Допълнителните товарни марки се ориентират към носа и отговарят на следното:</w:t>
      </w:r>
    </w:p>
    <w:p w14:paraId="1E782075" w14:textId="77777777" w:rsidR="00271FA2" w:rsidRPr="00F06DE2" w:rsidRDefault="00D35E51">
      <w:pPr>
        <w:spacing w:line="240" w:lineRule="atLeast"/>
        <w:ind w:firstLine="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аа) товарните марки за зона 3 са с размери 300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дължина и 40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височина;</w:t>
      </w:r>
    </w:p>
    <w:p w14:paraId="0181E7AC" w14:textId="77777777" w:rsidR="00271FA2" w:rsidRPr="00F06DE2" w:rsidRDefault="00D35E51">
      <w:pPr>
        <w:spacing w:line="240" w:lineRule="atLeast"/>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бб) товарните марки за зони 1 и 2 са с размери 150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на 30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Основата е хоризонтална и се счита за максимално допустимото газене.</w:t>
      </w:r>
    </w:p>
    <w:p w14:paraId="6FA169AE" w14:textId="77777777" w:rsidR="00271FA2" w:rsidRPr="00F06DE2" w:rsidRDefault="00D35E51">
      <w:pPr>
        <w:spacing w:line="240" w:lineRule="atLeast"/>
        <w:ind w:left="567"/>
        <w:jc w:val="both"/>
        <w:rPr>
          <w:rFonts w:ascii="Times New Roman" w:hAnsi="Times New Roman" w:cs="Times New Roman"/>
          <w:sz w:val="24"/>
          <w:szCs w:val="24"/>
          <w:lang w:val="ru-RU"/>
        </w:rPr>
      </w:pPr>
      <w:r w:rsidRPr="00F06DE2">
        <w:rPr>
          <w:rFonts w:ascii="Times New Roman" w:hAnsi="Times New Roman" w:cs="Times New Roman"/>
          <w:sz w:val="24"/>
          <w:szCs w:val="24"/>
        </w:rPr>
        <w:t>c</w:t>
      </w:r>
      <w:r w:rsidRPr="00F06DE2">
        <w:rPr>
          <w:rFonts w:ascii="Times New Roman" w:hAnsi="Times New Roman" w:cs="Times New Roman"/>
          <w:sz w:val="24"/>
          <w:szCs w:val="24"/>
          <w:lang w:val="ru-RU"/>
        </w:rPr>
        <w:t>) Ако товарната марка за зони 3 и 4, която следва да бъде добавена отговаря на най-горните товарни марки, последната може да бъде заменена.</w:t>
      </w:r>
    </w:p>
    <w:p w14:paraId="1E601AE5" w14:textId="77777777" w:rsidR="00271FA2" w:rsidRPr="00F06DE2" w:rsidRDefault="00D35E51">
      <w:pPr>
        <w:spacing w:line="240" w:lineRule="atLeast"/>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w:t>
      </w:r>
      <w:r w:rsidRPr="00F06DE2">
        <w:rPr>
          <w:rFonts w:ascii="Times New Roman" w:hAnsi="Times New Roman" w:cs="Times New Roman"/>
          <w:sz w:val="24"/>
          <w:szCs w:val="24"/>
          <w:lang w:val="ru-RU"/>
        </w:rPr>
        <w:tab/>
        <w:t xml:space="preserve">Номерът за зоната е с размери 60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височина и 40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дебелина и се слага веднага след товарната марка от страна на носа. За зона 4 номерът може да се пропусне.</w:t>
      </w:r>
    </w:p>
    <w:p w14:paraId="67F48ABF" w14:textId="4D80AD74" w:rsidR="00271FA2" w:rsidRPr="00F06DE2" w:rsidRDefault="00B93BBB">
      <w:pPr>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 xml:space="preserve">6.        </w:t>
      </w:r>
      <w:r w:rsidR="00D35E51" w:rsidRPr="00F06DE2">
        <w:rPr>
          <w:rFonts w:ascii="Times New Roman" w:hAnsi="Times New Roman" w:cs="Times New Roman"/>
          <w:sz w:val="24"/>
          <w:szCs w:val="24"/>
          <w:lang w:val="ru-RU"/>
        </w:rPr>
        <w:t>Товарните марки спрямо точки 4 и 5 и тяхната ориентация са посочени във фигура 2.</w:t>
      </w:r>
    </w:p>
    <w:p w14:paraId="5B1782C0" w14:textId="77777777" w:rsidR="008458F5" w:rsidRPr="00F06DE2" w:rsidRDefault="008458F5">
      <w:pPr>
        <w:spacing w:line="240" w:lineRule="atLeast"/>
        <w:rPr>
          <w:rFonts w:ascii="Times New Roman" w:hAnsi="Times New Roman" w:cs="Times New Roman"/>
          <w:sz w:val="24"/>
          <w:szCs w:val="24"/>
          <w:lang w:val="ru-RU"/>
        </w:rPr>
      </w:pPr>
    </w:p>
    <w:p w14:paraId="2B7BAD23" w14:textId="77777777" w:rsidR="00271FA2" w:rsidRPr="00F06DE2" w:rsidRDefault="00D35E51">
      <w:pPr>
        <w:spacing w:line="240" w:lineRule="atLeast"/>
        <w:rPr>
          <w:rFonts w:ascii="Times New Roman" w:hAnsi="Times New Roman" w:cs="Times New Roman"/>
          <w:sz w:val="24"/>
          <w:szCs w:val="24"/>
          <w:lang w:val="ru-RU"/>
        </w:rPr>
      </w:pPr>
      <w:r w:rsidRPr="00F06DE2">
        <w:rPr>
          <w:rFonts w:ascii="Times New Roman" w:hAnsi="Times New Roman" w:cs="Times New Roman"/>
          <w:noProof/>
          <w:sz w:val="24"/>
          <w:szCs w:val="24"/>
          <w:lang w:eastAsia="bg-BG"/>
        </w:rPr>
        <w:drawing>
          <wp:anchor distT="0" distB="0" distL="114300" distR="114300" simplePos="0" relativeHeight="251711488" behindDoc="0" locked="0" layoutInCell="1" allowOverlap="1" wp14:anchorId="5FCC3920" wp14:editId="38B86EEC">
            <wp:simplePos x="0" y="0"/>
            <wp:positionH relativeFrom="column">
              <wp:posOffset>919480</wp:posOffset>
            </wp:positionH>
            <wp:positionV relativeFrom="paragraph">
              <wp:posOffset>-24765</wp:posOffset>
            </wp:positionV>
            <wp:extent cx="3865245" cy="2877820"/>
            <wp:effectExtent l="0" t="0" r="1905" b="17780"/>
            <wp:wrapNone/>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5"/>
                    <a:stretch>
                      <a:fillRect/>
                    </a:stretch>
                  </pic:blipFill>
                  <pic:spPr>
                    <a:xfrm>
                      <a:off x="0" y="0"/>
                      <a:ext cx="3865245" cy="2877820"/>
                    </a:xfrm>
                    <a:prstGeom prst="rect">
                      <a:avLst/>
                    </a:prstGeom>
                  </pic:spPr>
                </pic:pic>
              </a:graphicData>
            </a:graphic>
          </wp:anchor>
        </w:drawing>
      </w:r>
    </w:p>
    <w:p w14:paraId="42ADD2D5" w14:textId="77777777" w:rsidR="00271FA2" w:rsidRPr="00F06DE2" w:rsidRDefault="00271FA2">
      <w:pPr>
        <w:spacing w:line="240" w:lineRule="atLeast"/>
        <w:rPr>
          <w:rFonts w:ascii="Times New Roman" w:hAnsi="Times New Roman" w:cs="Times New Roman"/>
          <w:sz w:val="24"/>
          <w:szCs w:val="24"/>
          <w:lang w:val="ru-RU"/>
        </w:rPr>
      </w:pPr>
    </w:p>
    <w:p w14:paraId="217E1B49" w14:textId="77777777" w:rsidR="00271FA2" w:rsidRPr="00F06DE2" w:rsidRDefault="00271FA2">
      <w:pPr>
        <w:spacing w:line="240" w:lineRule="atLeast"/>
        <w:rPr>
          <w:rFonts w:ascii="Times New Roman" w:hAnsi="Times New Roman" w:cs="Times New Roman"/>
          <w:sz w:val="24"/>
          <w:szCs w:val="24"/>
          <w:lang w:val="ru-RU"/>
        </w:rPr>
      </w:pPr>
    </w:p>
    <w:p w14:paraId="7DE97431" w14:textId="77777777" w:rsidR="00271FA2" w:rsidRPr="00F06DE2" w:rsidRDefault="00271FA2">
      <w:pPr>
        <w:spacing w:line="240" w:lineRule="atLeast"/>
        <w:rPr>
          <w:rFonts w:ascii="Times New Roman" w:hAnsi="Times New Roman" w:cs="Times New Roman"/>
          <w:sz w:val="24"/>
          <w:szCs w:val="24"/>
          <w:lang w:val="ru-RU"/>
        </w:rPr>
      </w:pPr>
    </w:p>
    <w:p w14:paraId="001B703E" w14:textId="77777777" w:rsidR="00271FA2" w:rsidRPr="00F06DE2" w:rsidRDefault="00271FA2">
      <w:pPr>
        <w:spacing w:line="240" w:lineRule="atLeast"/>
        <w:rPr>
          <w:rFonts w:ascii="Times New Roman" w:hAnsi="Times New Roman" w:cs="Times New Roman"/>
          <w:sz w:val="24"/>
          <w:szCs w:val="24"/>
          <w:lang w:val="ru-RU"/>
        </w:rPr>
      </w:pPr>
    </w:p>
    <w:p w14:paraId="37ADB87D" w14:textId="77777777" w:rsidR="00271FA2" w:rsidRPr="00F06DE2" w:rsidRDefault="00271FA2">
      <w:pPr>
        <w:spacing w:line="240" w:lineRule="atLeast"/>
        <w:rPr>
          <w:rFonts w:ascii="Times New Roman" w:hAnsi="Times New Roman" w:cs="Times New Roman"/>
          <w:sz w:val="24"/>
          <w:szCs w:val="24"/>
          <w:lang w:val="ru-RU"/>
        </w:rPr>
      </w:pPr>
    </w:p>
    <w:p w14:paraId="1E8B7592" w14:textId="77777777" w:rsidR="00271FA2" w:rsidRPr="00F06DE2" w:rsidRDefault="00271FA2">
      <w:pPr>
        <w:spacing w:line="240" w:lineRule="atLeast"/>
        <w:rPr>
          <w:rFonts w:ascii="Times New Roman" w:hAnsi="Times New Roman" w:cs="Times New Roman"/>
          <w:sz w:val="24"/>
          <w:szCs w:val="24"/>
          <w:lang w:val="ru-RU"/>
        </w:rPr>
      </w:pPr>
    </w:p>
    <w:p w14:paraId="672A21F3" w14:textId="77777777" w:rsidR="00271FA2" w:rsidRPr="00F06DE2" w:rsidRDefault="00271FA2">
      <w:pPr>
        <w:spacing w:line="240" w:lineRule="atLeast"/>
        <w:rPr>
          <w:rFonts w:ascii="Times New Roman" w:hAnsi="Times New Roman" w:cs="Times New Roman"/>
          <w:sz w:val="24"/>
          <w:szCs w:val="24"/>
          <w:lang w:val="ru-RU"/>
        </w:rPr>
      </w:pPr>
    </w:p>
    <w:p w14:paraId="56656528" w14:textId="77777777" w:rsidR="00271FA2" w:rsidRPr="00F06DE2" w:rsidRDefault="00271FA2">
      <w:pPr>
        <w:spacing w:line="240" w:lineRule="atLeast"/>
        <w:rPr>
          <w:rFonts w:ascii="Times New Roman" w:hAnsi="Times New Roman" w:cs="Times New Roman"/>
          <w:sz w:val="24"/>
          <w:szCs w:val="24"/>
          <w:lang w:val="ru-RU"/>
        </w:rPr>
      </w:pPr>
    </w:p>
    <w:p w14:paraId="0AE68F5E" w14:textId="77777777" w:rsidR="00271FA2" w:rsidRPr="00F06DE2" w:rsidRDefault="00271FA2">
      <w:pPr>
        <w:spacing w:line="240" w:lineRule="atLeast"/>
        <w:rPr>
          <w:rFonts w:ascii="Times New Roman" w:hAnsi="Times New Roman" w:cs="Times New Roman"/>
          <w:sz w:val="24"/>
          <w:szCs w:val="24"/>
          <w:lang w:val="ru-RU"/>
        </w:rPr>
      </w:pPr>
    </w:p>
    <w:p w14:paraId="4A16C8D6" w14:textId="77777777" w:rsidR="00271FA2" w:rsidRPr="00F06DE2" w:rsidRDefault="00271FA2">
      <w:pPr>
        <w:spacing w:line="240" w:lineRule="atLeast"/>
        <w:rPr>
          <w:rFonts w:ascii="Times New Roman" w:hAnsi="Times New Roman" w:cs="Times New Roman"/>
          <w:b/>
          <w:bCs/>
          <w:sz w:val="24"/>
          <w:szCs w:val="24"/>
          <w:lang w:val="ru-RU"/>
        </w:rPr>
      </w:pPr>
    </w:p>
    <w:p w14:paraId="6723A2B7" w14:textId="77777777" w:rsidR="00271FA2" w:rsidRPr="00F06DE2" w:rsidRDefault="00D35E51">
      <w:pPr>
        <w:spacing w:line="240" w:lineRule="atLeast"/>
        <w:jc w:val="center"/>
        <w:rPr>
          <w:rFonts w:ascii="Times New Roman" w:hAnsi="Times New Roman" w:cs="Times New Roman"/>
          <w:sz w:val="24"/>
          <w:szCs w:val="24"/>
          <w:lang w:val="ru-RU"/>
        </w:rPr>
      </w:pPr>
      <w:r w:rsidRPr="00F06DE2">
        <w:rPr>
          <w:rFonts w:ascii="Times New Roman" w:hAnsi="Times New Roman" w:cs="Times New Roman"/>
          <w:b/>
          <w:bCs/>
          <w:sz w:val="24"/>
          <w:szCs w:val="24"/>
          <w:lang w:val="ru-RU"/>
        </w:rPr>
        <w:t>Фигура 2</w:t>
      </w:r>
    </w:p>
    <w:p w14:paraId="11A93209" w14:textId="77777777" w:rsidR="000B2E40" w:rsidRPr="00F06DE2" w:rsidRDefault="000B2E40">
      <w:pPr>
        <w:spacing w:line="240" w:lineRule="atLeast"/>
        <w:ind w:left="720" w:right="60" w:hangingChars="300" w:hanging="720"/>
        <w:jc w:val="both"/>
        <w:rPr>
          <w:rFonts w:ascii="Times New Roman" w:hAnsi="Times New Roman" w:cs="Times New Roman"/>
          <w:sz w:val="24"/>
          <w:szCs w:val="24"/>
          <w:lang w:val="ru-RU"/>
        </w:rPr>
      </w:pPr>
    </w:p>
    <w:p w14:paraId="7472F922" w14:textId="77777777" w:rsidR="000B2E40" w:rsidRPr="00F06DE2" w:rsidRDefault="000B2E40">
      <w:pPr>
        <w:spacing w:line="240" w:lineRule="atLeast"/>
        <w:ind w:left="720" w:right="60" w:hangingChars="300" w:hanging="720"/>
        <w:jc w:val="both"/>
        <w:rPr>
          <w:rFonts w:ascii="Times New Roman" w:hAnsi="Times New Roman" w:cs="Times New Roman"/>
          <w:sz w:val="24"/>
          <w:szCs w:val="24"/>
          <w:lang w:val="ru-RU"/>
        </w:rPr>
      </w:pPr>
    </w:p>
    <w:p w14:paraId="5F722804" w14:textId="77777777" w:rsidR="000B2E40" w:rsidRPr="00F06DE2" w:rsidRDefault="000B2E40">
      <w:pPr>
        <w:spacing w:line="240" w:lineRule="atLeast"/>
        <w:ind w:left="720" w:right="60" w:hangingChars="300" w:hanging="720"/>
        <w:jc w:val="both"/>
        <w:rPr>
          <w:rFonts w:ascii="Times New Roman" w:hAnsi="Times New Roman" w:cs="Times New Roman"/>
          <w:sz w:val="24"/>
          <w:szCs w:val="24"/>
          <w:lang w:val="ru-RU"/>
        </w:rPr>
      </w:pPr>
    </w:p>
    <w:p w14:paraId="579AFD21" w14:textId="77777777" w:rsidR="000B2E40" w:rsidRPr="00F06DE2" w:rsidRDefault="000B2E40">
      <w:pPr>
        <w:spacing w:line="240" w:lineRule="atLeast"/>
        <w:ind w:left="720" w:right="60" w:hangingChars="300" w:hanging="720"/>
        <w:jc w:val="both"/>
        <w:rPr>
          <w:rFonts w:ascii="Times New Roman" w:hAnsi="Times New Roman" w:cs="Times New Roman"/>
          <w:sz w:val="24"/>
          <w:szCs w:val="24"/>
          <w:lang w:val="ru-RU"/>
        </w:rPr>
      </w:pPr>
    </w:p>
    <w:p w14:paraId="0770496C" w14:textId="77777777" w:rsidR="000B2E40" w:rsidRPr="00F06DE2" w:rsidRDefault="000B2E40">
      <w:pPr>
        <w:spacing w:line="240" w:lineRule="atLeast"/>
        <w:ind w:left="720" w:right="60" w:hangingChars="300" w:hanging="720"/>
        <w:jc w:val="both"/>
        <w:rPr>
          <w:rFonts w:ascii="Times New Roman" w:hAnsi="Times New Roman" w:cs="Times New Roman"/>
          <w:sz w:val="24"/>
          <w:szCs w:val="24"/>
          <w:lang w:val="ru-RU"/>
        </w:rPr>
      </w:pPr>
    </w:p>
    <w:p w14:paraId="74DDEBAE" w14:textId="77777777" w:rsidR="000B2E40" w:rsidRPr="00F06DE2" w:rsidRDefault="000B2E40">
      <w:pPr>
        <w:spacing w:line="240" w:lineRule="atLeast"/>
        <w:ind w:left="720" w:right="60" w:hangingChars="300" w:hanging="720"/>
        <w:jc w:val="both"/>
        <w:rPr>
          <w:rFonts w:ascii="Times New Roman" w:hAnsi="Times New Roman" w:cs="Times New Roman"/>
          <w:sz w:val="24"/>
          <w:szCs w:val="24"/>
          <w:lang w:val="ru-RU"/>
        </w:rPr>
      </w:pPr>
    </w:p>
    <w:p w14:paraId="5D2632AD" w14:textId="6A986EC2" w:rsidR="00271FA2" w:rsidRPr="00F06DE2" w:rsidRDefault="00D35E51">
      <w:pPr>
        <w:spacing w:line="240" w:lineRule="atLeast"/>
        <w:ind w:left="720" w:right="60" w:hangingChars="300" w:hanging="72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w:t>
      </w:r>
      <w:r w:rsidRPr="00F06DE2">
        <w:rPr>
          <w:rFonts w:ascii="Times New Roman" w:hAnsi="Times New Roman" w:cs="Times New Roman"/>
          <w:color w:val="FF0000"/>
          <w:sz w:val="24"/>
          <w:szCs w:val="24"/>
          <w:lang w:val="ru-RU"/>
        </w:rPr>
        <w:tab/>
      </w:r>
      <w:r w:rsidRPr="00F06DE2">
        <w:rPr>
          <w:rFonts w:ascii="Times New Roman" w:hAnsi="Times New Roman" w:cs="Times New Roman"/>
          <w:sz w:val="24"/>
          <w:szCs w:val="24"/>
          <w:lang w:val="ru-RU"/>
        </w:rPr>
        <w:t xml:space="preserve">Плавателните съдове трябва да имат най-малко три двойки товарни марки, от които едната да е на 1/2 от дължината </w:t>
      </w:r>
      <w:r w:rsidRPr="00F06DE2">
        <w:rPr>
          <w:rFonts w:ascii="Cambria Math" w:hAnsi="Cambria Math" w:cs="Cambria Math"/>
          <w:sz w:val="24"/>
          <w:szCs w:val="24"/>
        </w:rPr>
        <w:t>𝐿</w:t>
      </w:r>
      <w:r w:rsidRPr="00F06DE2">
        <w:rPr>
          <w:rFonts w:ascii="Times New Roman" w:hAnsi="Times New Roman" w:cs="Times New Roman"/>
          <w:sz w:val="24"/>
          <w:szCs w:val="24"/>
          <w:lang w:val="ru-RU"/>
        </w:rPr>
        <w:t xml:space="preserve">, а другите две да са разположени съответно на разстояние от носа и кърмата, равно на 1/6 от дължината </w:t>
      </w:r>
      <w:r w:rsidRPr="00F06DE2">
        <w:rPr>
          <w:rFonts w:ascii="Cambria Math" w:hAnsi="Cambria Math" w:cs="Cambria Math"/>
          <w:sz w:val="24"/>
          <w:szCs w:val="24"/>
        </w:rPr>
        <w:t>𝐿</w:t>
      </w:r>
      <w:r w:rsidRPr="00F06DE2">
        <w:rPr>
          <w:rFonts w:ascii="Times New Roman" w:hAnsi="Times New Roman" w:cs="Times New Roman"/>
          <w:sz w:val="24"/>
          <w:szCs w:val="24"/>
          <w:lang w:val="ru-RU"/>
        </w:rPr>
        <w:t>.</w:t>
      </w:r>
    </w:p>
    <w:p w14:paraId="1D72FBC7" w14:textId="77777777" w:rsidR="00271FA2" w:rsidRPr="00F06DE2" w:rsidRDefault="00D35E51">
      <w:pPr>
        <w:spacing w:line="240" w:lineRule="atLeast"/>
        <w:ind w:left="720" w:right="60" w:hangingChars="300" w:hanging="72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8.</w:t>
      </w:r>
      <w:r w:rsidRPr="00F06DE2">
        <w:rPr>
          <w:rFonts w:ascii="Times New Roman" w:hAnsi="Times New Roman" w:cs="Times New Roman"/>
          <w:sz w:val="24"/>
          <w:szCs w:val="24"/>
          <w:lang w:val="ru-RU"/>
        </w:rPr>
        <w:tab/>
        <w:t>Маркировките или индикациите, които престават да са валидни след по-нататъшна проверка, се изтриват или маркират като вече невалидни под надзора на контролния орган. Нечетливите товарни марки могат да се заменят само под надзора на контролен орган.</w:t>
      </w:r>
    </w:p>
    <w:p w14:paraId="5F31CE78" w14:textId="77777777" w:rsidR="00271FA2" w:rsidRPr="00F06DE2" w:rsidRDefault="00D35E51">
      <w:pPr>
        <w:spacing w:line="240" w:lineRule="atLeast"/>
        <w:ind w:left="720" w:right="60" w:hangingChars="300" w:hanging="72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9.</w:t>
      </w:r>
      <w:r w:rsidRPr="00F06DE2">
        <w:rPr>
          <w:rFonts w:ascii="Times New Roman" w:hAnsi="Times New Roman" w:cs="Times New Roman"/>
          <w:sz w:val="24"/>
          <w:szCs w:val="24"/>
          <w:lang w:val="ru-RU"/>
        </w:rPr>
        <w:tab/>
        <w:t>Когато плавателен съд е бил измерен в изпълнение на Конвенцията от 1966 г. за измерване на плавателни съдове за вътрешно корабоплаване и измерената марка е на същата височина като най-горните товарни марки предписани в точка 4, тази марка се счита за товарна марка за тази зона; това трябва да бъде посочено в Корабното удостоверение за вътрешно корабоплаване.</w:t>
      </w:r>
    </w:p>
    <w:p w14:paraId="14CAAEE2" w14:textId="77777777" w:rsidR="00271FA2" w:rsidRPr="00F06DE2" w:rsidRDefault="00D35E51">
      <w:pPr>
        <w:spacing w:line="240" w:lineRule="atLeast"/>
        <w:ind w:right="6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10.</w:t>
      </w:r>
      <w:r w:rsidRPr="00F06DE2">
        <w:rPr>
          <w:rFonts w:ascii="Times New Roman" w:hAnsi="Times New Roman" w:cs="Times New Roman"/>
          <w:sz w:val="24"/>
          <w:szCs w:val="24"/>
          <w:lang w:val="ru-RU"/>
        </w:rPr>
        <w:tab/>
        <w:t>Чрез дерогация от точка 7</w:t>
      </w:r>
    </w:p>
    <w:p w14:paraId="3EA3CD0C" w14:textId="77777777" w:rsidR="00271FA2" w:rsidRPr="00F06DE2" w:rsidRDefault="00D35E51">
      <w:pPr>
        <w:spacing w:line="240" w:lineRule="atLeast"/>
        <w:ind w:leftChars="300" w:left="66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а) когато плавателният съд е с дължина по-малка от 40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w:t>
      </w:r>
      <w:r w:rsidRPr="00F06DE2">
        <w:rPr>
          <w:rFonts w:ascii="Cambria Math" w:hAnsi="Cambria Math" w:cs="Cambria Math"/>
          <w:sz w:val="24"/>
          <w:szCs w:val="24"/>
        </w:rPr>
        <w:t>𝐿</w:t>
      </w:r>
      <w:r w:rsidRPr="00F06DE2">
        <w:rPr>
          <w:rFonts w:ascii="Times New Roman" w:hAnsi="Times New Roman" w:cs="Times New Roman"/>
          <w:sz w:val="24"/>
          <w:szCs w:val="24"/>
          <w:lang w:val="ru-RU"/>
        </w:rPr>
        <w:t xml:space="preserve"> ще е достатъчно да се поставят две двойки товарни марки на разстояние съответно от носа и кърмата, което е равно на приблизително една четвърт от дължината </w:t>
      </w:r>
      <w:r w:rsidRPr="00F06DE2">
        <w:rPr>
          <w:rFonts w:ascii="Cambria Math" w:hAnsi="Cambria Math" w:cs="Cambria Math"/>
          <w:sz w:val="24"/>
          <w:szCs w:val="24"/>
        </w:rPr>
        <w:t>𝐿</w:t>
      </w:r>
      <w:r w:rsidRPr="00F06DE2">
        <w:rPr>
          <w:rFonts w:ascii="Times New Roman" w:hAnsi="Times New Roman" w:cs="Times New Roman"/>
          <w:sz w:val="24"/>
          <w:szCs w:val="24"/>
          <w:lang w:val="ru-RU"/>
        </w:rPr>
        <w:t>;</w:t>
      </w:r>
    </w:p>
    <w:p w14:paraId="2CFE2100" w14:textId="77777777" w:rsidR="00271FA2" w:rsidRPr="00F06DE2" w:rsidRDefault="00D35E51">
      <w:pPr>
        <w:spacing w:line="240" w:lineRule="atLeast"/>
        <w:ind w:leftChars="300" w:left="66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б) когато плавателните съдове не са предназначени за превоз на товари, ще са достатъчни двойка товарни марки, разположени приблизително по средата на плавателния съд.</w:t>
      </w:r>
    </w:p>
    <w:p w14:paraId="2C44B619" w14:textId="77777777" w:rsidR="00271FA2" w:rsidRPr="00F06DE2" w:rsidRDefault="00D35E51">
      <w:pPr>
        <w:spacing w:line="240" w:lineRule="atLeast"/>
        <w:ind w:left="720" w:hangingChars="300" w:hanging="72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11.</w:t>
      </w:r>
      <w:r w:rsidRPr="00F06DE2">
        <w:rPr>
          <w:rFonts w:ascii="Times New Roman" w:hAnsi="Times New Roman" w:cs="Times New Roman"/>
          <w:sz w:val="24"/>
          <w:szCs w:val="24"/>
          <w:lang w:val="ru-RU"/>
        </w:rPr>
        <w:tab/>
        <w:t>Ако равнината на максимално газене на плавателен съд за една или повече зони е определена, като се приеме, че трюмовете могат да бъдат затворени по такъв начин, че да ги направят устойчиви на пръскане и атмосферни влияния, и ако разстоянието между равнината на максимално газене и горният ръб на комингсите е по-малък от допустимото безопасно разстояние за въпросната зона, то тогава се определя максималното газене за плаване с непокрити трюмове.</w:t>
      </w:r>
    </w:p>
    <w:p w14:paraId="630AA04A" w14:textId="77777777" w:rsidR="00271FA2" w:rsidRPr="00F06DE2" w:rsidRDefault="00D35E51">
      <w:pPr>
        <w:spacing w:line="240" w:lineRule="atLeast"/>
        <w:ind w:left="66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Следното изявление се вписва в Корабното удостоверение за вътрешно корабоплаване:</w:t>
      </w:r>
    </w:p>
    <w:p w14:paraId="29B43477" w14:textId="77777777" w:rsidR="00271FA2" w:rsidRPr="00F06DE2" w:rsidRDefault="00D35E51">
      <w:pPr>
        <w:spacing w:line="240" w:lineRule="atLeast"/>
        <w:ind w:left="66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„Когато люковете на трюма са напълно или частично непокрити, плавателният съд може да бъде натоварен само до ...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под товарната марка за зона….“</w:t>
      </w:r>
    </w:p>
    <w:p w14:paraId="014D7D32" w14:textId="77777777" w:rsidR="00271FA2" w:rsidRPr="00F06DE2" w:rsidRDefault="00D35E51">
      <w:pPr>
        <w:spacing w:line="240" w:lineRule="atLeast"/>
        <w:ind w:left="720" w:hangingChars="300" w:hanging="72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12.</w:t>
      </w:r>
      <w:r w:rsidRPr="00F06DE2">
        <w:rPr>
          <w:rFonts w:ascii="Times New Roman" w:hAnsi="Times New Roman" w:cs="Times New Roman"/>
          <w:sz w:val="24"/>
          <w:szCs w:val="24"/>
          <w:lang w:val="ru-RU"/>
        </w:rPr>
        <w:tab/>
        <w:t xml:space="preserve">В случай на плавателни съдове с отворени трюмове, в допълнение към разпоредбите на точка 7 товарните марки за съответните зони трябва да бъдат допълнени от правоъгълник с дължина 75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и височина 30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сочещ на кърмата, чиято основа е хоризонтална и съвпадащ с нивото на максимално допустимото газене за плаване във въпросната зона с открити трюмове.</w:t>
      </w:r>
    </w:p>
    <w:p w14:paraId="14C890FA" w14:textId="5EF438B1" w:rsidR="00271FA2" w:rsidRPr="00F06DE2" w:rsidRDefault="00D35E51">
      <w:pPr>
        <w:spacing w:line="240" w:lineRule="atLeast"/>
        <w:ind w:left="720" w:hangingChars="300" w:hanging="72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13.</w:t>
      </w:r>
      <w:r w:rsidRPr="00F06DE2">
        <w:rPr>
          <w:rFonts w:ascii="Times New Roman" w:hAnsi="Times New Roman" w:cs="Times New Roman"/>
          <w:sz w:val="24"/>
          <w:szCs w:val="24"/>
          <w:lang w:val="ru-RU"/>
        </w:rPr>
        <w:tab/>
        <w:t>Товарните марки съгласно точка 12 и тяхната ориентация трябва да са в съответствие с фигура 3.</w:t>
      </w:r>
    </w:p>
    <w:p w14:paraId="5A2FD523" w14:textId="77777777" w:rsidR="00C63481" w:rsidRPr="00F06DE2" w:rsidRDefault="00C63481">
      <w:pPr>
        <w:spacing w:line="240" w:lineRule="atLeast"/>
        <w:ind w:left="720" w:hangingChars="300" w:hanging="720"/>
        <w:jc w:val="both"/>
        <w:rPr>
          <w:rFonts w:ascii="Times New Roman" w:hAnsi="Times New Roman" w:cs="Times New Roman"/>
          <w:sz w:val="24"/>
          <w:szCs w:val="24"/>
          <w:lang w:val="ru-RU"/>
        </w:rPr>
      </w:pPr>
    </w:p>
    <w:p w14:paraId="6D6E87EF" w14:textId="77777777" w:rsidR="00271FA2" w:rsidRPr="00F06DE2" w:rsidRDefault="00D35E51">
      <w:pPr>
        <w:pStyle w:val="ListParagraph"/>
        <w:spacing w:line="240" w:lineRule="atLeast"/>
        <w:ind w:left="1080" w:right="60"/>
        <w:rPr>
          <w:rFonts w:ascii="Times New Roman" w:hAnsi="Times New Roman" w:cs="Times New Roman"/>
          <w:sz w:val="24"/>
          <w:szCs w:val="24"/>
        </w:rPr>
      </w:pPr>
      <w:r w:rsidRPr="00F06DE2">
        <w:rPr>
          <w:rFonts w:ascii="Times New Roman" w:hAnsi="Times New Roman" w:cs="Times New Roman"/>
          <w:noProof/>
          <w:sz w:val="24"/>
          <w:szCs w:val="24"/>
          <w:lang w:eastAsia="bg-BG"/>
        </w:rPr>
        <w:drawing>
          <wp:inline distT="0" distB="0" distL="0" distR="0" wp14:anchorId="16841599" wp14:editId="643D5B75">
            <wp:extent cx="3944620" cy="2724785"/>
            <wp:effectExtent l="0" t="0" r="0" b="0"/>
            <wp:docPr id="3058" name="Picture 3058"/>
            <wp:cNvGraphicFramePr/>
            <a:graphic xmlns:a="http://schemas.openxmlformats.org/drawingml/2006/main">
              <a:graphicData uri="http://schemas.openxmlformats.org/drawingml/2006/picture">
                <pic:pic xmlns:pic="http://schemas.openxmlformats.org/drawingml/2006/picture">
                  <pic:nvPicPr>
                    <pic:cNvPr id="3058" name="Picture 3058"/>
                    <pic:cNvPicPr/>
                  </pic:nvPicPr>
                  <pic:blipFill>
                    <a:blip r:embed="rId26"/>
                    <a:stretch>
                      <a:fillRect/>
                    </a:stretch>
                  </pic:blipFill>
                  <pic:spPr>
                    <a:xfrm>
                      <a:off x="0" y="0"/>
                      <a:ext cx="3945001" cy="2724785"/>
                    </a:xfrm>
                    <a:prstGeom prst="rect">
                      <a:avLst/>
                    </a:prstGeom>
                  </pic:spPr>
                </pic:pic>
              </a:graphicData>
            </a:graphic>
          </wp:inline>
        </w:drawing>
      </w:r>
    </w:p>
    <w:p w14:paraId="4461BB3F" w14:textId="77777777" w:rsidR="00271FA2" w:rsidRPr="00F06DE2" w:rsidRDefault="00D35E51">
      <w:pPr>
        <w:pStyle w:val="ListParagraph"/>
        <w:spacing w:line="240" w:lineRule="atLeast"/>
        <w:ind w:left="1080" w:right="60"/>
        <w:jc w:val="center"/>
        <w:rPr>
          <w:rFonts w:ascii="Times New Roman" w:hAnsi="Times New Roman" w:cs="Times New Roman"/>
          <w:sz w:val="24"/>
          <w:szCs w:val="24"/>
          <w:lang w:val="ru-RU"/>
        </w:rPr>
      </w:pPr>
      <w:r w:rsidRPr="00F06DE2">
        <w:rPr>
          <w:rFonts w:ascii="Times New Roman" w:hAnsi="Times New Roman" w:cs="Times New Roman"/>
          <w:sz w:val="24"/>
          <w:szCs w:val="24"/>
          <w:lang w:val="ru-RU"/>
        </w:rPr>
        <w:t>Фигура 3</w:t>
      </w:r>
    </w:p>
    <w:p w14:paraId="65965AAD" w14:textId="77777777" w:rsidR="00C63481" w:rsidRPr="00F06DE2" w:rsidRDefault="00C63481">
      <w:pPr>
        <w:pStyle w:val="ES-Titre3"/>
        <w:spacing w:line="240" w:lineRule="atLeast"/>
        <w:rPr>
          <w:rFonts w:ascii="Times New Roman" w:hAnsi="Times New Roman" w:cs="Times New Roman"/>
          <w:sz w:val="24"/>
          <w:szCs w:val="24"/>
          <w:lang w:val="ru-RU"/>
        </w:rPr>
      </w:pPr>
      <w:bookmarkStart w:id="28" w:name="_Toc491854017"/>
      <w:bookmarkStart w:id="29" w:name="_Toc535827458"/>
    </w:p>
    <w:p w14:paraId="745932D4" w14:textId="2A85AEF9"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4.04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Скали за газене</w:t>
      </w:r>
      <w:bookmarkEnd w:id="28"/>
      <w:bookmarkEnd w:id="29"/>
    </w:p>
    <w:p w14:paraId="1CFFF225" w14:textId="2CCD2AFE" w:rsidR="00271FA2" w:rsidRPr="00F06DE2" w:rsidRDefault="00D35E51">
      <w:pPr>
        <w:spacing w:line="240" w:lineRule="atLeast"/>
        <w:ind w:left="720" w:right="60" w:hangingChars="300" w:hanging="72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 xml:space="preserve">Плавателните съдове, чието газене може да надвишава 1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трябва да имат скала за газене </w:t>
      </w:r>
      <w:r w:rsidR="008F2B8C" w:rsidRPr="00F06DE2">
        <w:rPr>
          <w:rFonts w:ascii="Times New Roman" w:hAnsi="Times New Roman" w:cs="Times New Roman"/>
          <w:sz w:val="24"/>
          <w:szCs w:val="24"/>
          <w:lang w:val="ru-RU"/>
        </w:rPr>
        <w:t xml:space="preserve"> на всеки борд</w:t>
      </w:r>
      <w:r w:rsidRPr="00F06DE2">
        <w:rPr>
          <w:rFonts w:ascii="Times New Roman" w:hAnsi="Times New Roman" w:cs="Times New Roman"/>
          <w:sz w:val="24"/>
          <w:szCs w:val="24"/>
          <w:lang w:val="ru-RU"/>
        </w:rPr>
        <w:t xml:space="preserve"> към кърмата; те могат да имат допълнителни скали на газене.</w:t>
      </w:r>
    </w:p>
    <w:p w14:paraId="21F92420" w14:textId="516AD65E" w:rsidR="00271FA2" w:rsidRPr="00F06DE2" w:rsidRDefault="00D35E51">
      <w:pPr>
        <w:spacing w:line="240" w:lineRule="atLeast"/>
        <w:ind w:left="720" w:right="60" w:hangingChars="300" w:hanging="72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 xml:space="preserve">Нулевите точки на всяка скала на газене се вземат вертикално спрямо нея в равнината, минаваща успоредно на равнината на максималното газене, минаваща през най-ниската точка на корпуса или на кила, </w:t>
      </w:r>
      <w:r w:rsidR="00903339" w:rsidRPr="00F06DE2">
        <w:rPr>
          <w:rFonts w:ascii="Times New Roman" w:hAnsi="Times New Roman" w:cs="Times New Roman"/>
          <w:sz w:val="24"/>
          <w:szCs w:val="24"/>
          <w:lang w:val="ru-RU"/>
        </w:rPr>
        <w:t xml:space="preserve"> ако има такъв</w:t>
      </w:r>
      <w:r w:rsidRPr="00F06DE2">
        <w:rPr>
          <w:rFonts w:ascii="Times New Roman" w:hAnsi="Times New Roman" w:cs="Times New Roman"/>
          <w:sz w:val="24"/>
          <w:szCs w:val="24"/>
          <w:lang w:val="ru-RU"/>
        </w:rPr>
        <w:t xml:space="preserve">. Вертикалното разстояние над нулевата точка се градуира в дециметри. Това градуиране се разполага на всяка скала </w:t>
      </w:r>
      <w:r w:rsidRPr="00F06DE2">
        <w:rPr>
          <w:rFonts w:ascii="Times New Roman" w:hAnsi="Times New Roman" w:cs="Times New Roman"/>
          <w:sz w:val="24"/>
          <w:szCs w:val="24"/>
          <w:lang w:val="ru-RU"/>
        </w:rPr>
        <w:lastRenderedPageBreak/>
        <w:t xml:space="preserve">от </w:t>
      </w:r>
      <w:r w:rsidR="00903339" w:rsidRPr="00F06DE2">
        <w:rPr>
          <w:rFonts w:ascii="Times New Roman" w:hAnsi="Times New Roman" w:cs="Times New Roman"/>
          <w:sz w:val="24"/>
          <w:szCs w:val="24"/>
          <w:lang w:val="ru-RU"/>
        </w:rPr>
        <w:t>водолинията на кораба празен</w:t>
      </w:r>
      <w:r w:rsidRPr="00F06DE2">
        <w:rPr>
          <w:rFonts w:ascii="Times New Roman" w:hAnsi="Times New Roman" w:cs="Times New Roman"/>
          <w:sz w:val="24"/>
          <w:szCs w:val="24"/>
          <w:lang w:val="ru-RU"/>
        </w:rPr>
        <w:t xml:space="preserve"> до 100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xml:space="preserve"> над максималното газене посредством </w:t>
      </w:r>
      <w:r w:rsidR="00903339" w:rsidRPr="00F06DE2">
        <w:rPr>
          <w:rFonts w:ascii="Times New Roman" w:hAnsi="Times New Roman" w:cs="Times New Roman"/>
          <w:sz w:val="24"/>
          <w:szCs w:val="24"/>
          <w:lang w:val="ru-RU"/>
        </w:rPr>
        <w:t xml:space="preserve">релефни  </w:t>
      </w:r>
      <w:r w:rsidRPr="00F06DE2">
        <w:rPr>
          <w:rFonts w:ascii="Times New Roman" w:hAnsi="Times New Roman" w:cs="Times New Roman"/>
          <w:sz w:val="24"/>
          <w:szCs w:val="24"/>
          <w:lang w:val="ru-RU"/>
        </w:rPr>
        <w:t>или издълбани знаци и се боядисва под формата на добре видима лента в два редуващи се цвята. Това градуиране се идентифицира с цифри на разстояние от всеки пет дециметра, отбелязани до скалата, както и в горната част на скалата.</w:t>
      </w:r>
    </w:p>
    <w:p w14:paraId="6DEB9951" w14:textId="719C6127" w:rsidR="00271FA2" w:rsidRPr="00F06DE2" w:rsidRDefault="00D35E51">
      <w:pPr>
        <w:spacing w:line="240" w:lineRule="atLeast"/>
        <w:ind w:left="720" w:right="60" w:hangingChars="300" w:hanging="72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Двете скали за измерване на кърмата</w:t>
      </w:r>
      <w:r w:rsidR="00DC1ABC" w:rsidRPr="00F06DE2">
        <w:rPr>
          <w:rFonts w:ascii="Times New Roman" w:hAnsi="Times New Roman" w:cs="Times New Roman"/>
          <w:sz w:val="24"/>
          <w:szCs w:val="24"/>
          <w:lang w:val="ru-RU"/>
        </w:rPr>
        <w:t xml:space="preserve"> поставени</w:t>
      </w:r>
      <w:r w:rsidR="001176BD" w:rsidRPr="00F06DE2">
        <w:rPr>
          <w:rFonts w:ascii="Times New Roman" w:hAnsi="Times New Roman" w:cs="Times New Roman"/>
          <w:sz w:val="24"/>
          <w:szCs w:val="24"/>
          <w:lang w:val="ru-RU"/>
        </w:rPr>
        <w:t xml:space="preserve"> </w:t>
      </w:r>
      <w:r w:rsidRPr="00F06DE2">
        <w:rPr>
          <w:rFonts w:ascii="Times New Roman" w:hAnsi="Times New Roman" w:cs="Times New Roman"/>
          <w:sz w:val="24"/>
          <w:szCs w:val="24"/>
          <w:lang w:val="ru-RU"/>
        </w:rPr>
        <w:t>съгласно Конвенцията от 1966 г. за измерване на плавателни съдове за вътрешно корабоплаване, могат да заменят скалите за газене, при условие че включват градуировка, която отговаря на изискванията, плюс, когато е подходящо, цифри, показващи газенето.</w:t>
      </w:r>
    </w:p>
    <w:p w14:paraId="0FFC6F3A" w14:textId="77777777" w:rsidR="00C63481" w:rsidRPr="00F06DE2" w:rsidRDefault="00C63481">
      <w:pPr>
        <w:spacing w:line="240" w:lineRule="atLeast"/>
        <w:jc w:val="center"/>
        <w:rPr>
          <w:rFonts w:ascii="Times New Roman" w:hAnsi="Times New Roman" w:cs="Times New Roman"/>
          <w:b/>
          <w:sz w:val="24"/>
          <w:szCs w:val="24"/>
          <w:lang w:val="ru-RU"/>
        </w:rPr>
      </w:pPr>
      <w:bookmarkStart w:id="30" w:name="_Toc535827459"/>
      <w:bookmarkStart w:id="31" w:name="_Toc491854018"/>
    </w:p>
    <w:p w14:paraId="68E83ACA" w14:textId="77777777" w:rsidR="00C63481" w:rsidRPr="00F06DE2" w:rsidRDefault="00D35E51">
      <w:pPr>
        <w:spacing w:line="240" w:lineRule="atLeast"/>
        <w:jc w:val="center"/>
        <w:rPr>
          <w:rFonts w:ascii="Times New Roman" w:hAnsi="Times New Roman" w:cs="Times New Roman"/>
          <w:b/>
          <w:i/>
          <w:sz w:val="24"/>
          <w:szCs w:val="24"/>
          <w:lang w:val="ru-RU"/>
        </w:rPr>
      </w:pPr>
      <w:r w:rsidRPr="00F06DE2">
        <w:rPr>
          <w:rFonts w:ascii="Times New Roman" w:hAnsi="Times New Roman" w:cs="Times New Roman"/>
          <w:b/>
          <w:sz w:val="24"/>
          <w:szCs w:val="24"/>
          <w:lang w:val="ru-RU"/>
        </w:rPr>
        <w:t>Член 4.05</w:t>
      </w:r>
      <w:r w:rsidRPr="00F06DE2">
        <w:rPr>
          <w:rFonts w:ascii="Times New Roman" w:hAnsi="Times New Roman" w:cs="Times New Roman"/>
          <w:b/>
          <w:sz w:val="24"/>
          <w:szCs w:val="24"/>
          <w:lang w:val="ru-RU"/>
        </w:rPr>
        <w:br/>
      </w:r>
      <w:bookmarkEnd w:id="30"/>
      <w:bookmarkEnd w:id="31"/>
      <w:r w:rsidRPr="00F06DE2">
        <w:rPr>
          <w:rFonts w:ascii="Times New Roman" w:hAnsi="Times New Roman" w:cs="Times New Roman"/>
          <w:b/>
          <w:i/>
          <w:sz w:val="24"/>
          <w:szCs w:val="24"/>
          <w:lang w:val="ru-RU"/>
        </w:rPr>
        <w:t xml:space="preserve">Специфични изисквания, приложими за плавателни съдове, плаващи по водни </w:t>
      </w:r>
    </w:p>
    <w:p w14:paraId="0265B363" w14:textId="5EE49ED5" w:rsidR="00271FA2" w:rsidRPr="00F06DE2" w:rsidRDefault="00D35E51">
      <w:pPr>
        <w:spacing w:line="240" w:lineRule="atLeast"/>
        <w:jc w:val="center"/>
        <w:rPr>
          <w:rFonts w:ascii="Times New Roman" w:hAnsi="Times New Roman" w:cs="Times New Roman"/>
          <w:b/>
          <w:i/>
          <w:sz w:val="24"/>
          <w:szCs w:val="24"/>
          <w:lang w:val="ru-RU"/>
        </w:rPr>
      </w:pPr>
      <w:r w:rsidRPr="00F06DE2">
        <w:rPr>
          <w:rFonts w:ascii="Times New Roman" w:hAnsi="Times New Roman" w:cs="Times New Roman"/>
          <w:b/>
          <w:i/>
          <w:sz w:val="24"/>
          <w:szCs w:val="24"/>
          <w:lang w:val="ru-RU"/>
        </w:rPr>
        <w:t>пътища на зона 4</w:t>
      </w:r>
    </w:p>
    <w:p w14:paraId="03AE3EA1" w14:textId="77777777" w:rsidR="00C63481" w:rsidRPr="00F06DE2" w:rsidRDefault="00C63481">
      <w:pPr>
        <w:spacing w:line="240" w:lineRule="atLeast"/>
        <w:jc w:val="center"/>
        <w:rPr>
          <w:rFonts w:ascii="Times New Roman" w:hAnsi="Times New Roman" w:cs="Times New Roman"/>
          <w:b/>
          <w:sz w:val="24"/>
          <w:szCs w:val="24"/>
          <w:lang w:val="ru-RU"/>
        </w:rPr>
      </w:pPr>
    </w:p>
    <w:p w14:paraId="129F934A" w14:textId="77777777" w:rsidR="00271FA2" w:rsidRPr="00F06DE2" w:rsidRDefault="00D35E51">
      <w:pPr>
        <w:numPr>
          <w:ilvl w:val="0"/>
          <w:numId w:val="11"/>
        </w:numPr>
        <w:spacing w:line="240" w:lineRule="atLeast"/>
        <w:ind w:right="60" w:hanging="566"/>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Чрез дерогация от член 4.01 безопасното разстояние на вратите и отворите, различни от люкове за трюм, за плавателни съдове, плаващи по водни пътища на зона 4, се намалява, както следва:</w:t>
      </w:r>
    </w:p>
    <w:p w14:paraId="0EE24BD0" w14:textId="77777777" w:rsidR="00271FA2" w:rsidRPr="00F06DE2" w:rsidRDefault="00D35E51">
      <w:pPr>
        <w:spacing w:line="240" w:lineRule="atLeast"/>
        <w:ind w:left="567" w:hanging="1"/>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а) за отвори, които могат да бъдат затворени, устойчиви на пръски и атмосферни влияния, до 150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1A833173" w14:textId="77777777" w:rsidR="00271FA2" w:rsidRPr="00F06DE2" w:rsidRDefault="00D35E51">
      <w:pPr>
        <w:spacing w:line="240" w:lineRule="atLeast"/>
        <w:ind w:left="567" w:hanging="1"/>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б) за отвори, които не могат да бъдат затворени, устойчиви на пръски и атмосферни влияния, до 200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w:t>
      </w:r>
    </w:p>
    <w:p w14:paraId="360CB5CF" w14:textId="4BA59403" w:rsidR="00271FA2" w:rsidRPr="00F06DE2" w:rsidRDefault="00D35E51">
      <w:pPr>
        <w:spacing w:line="240" w:lineRule="atLeast"/>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 xml:space="preserve">Чрез дерогация от член 4.02, надводният борд на плавателните съдове, плаващи по водни пътища на зона 4 не може да бъде по-малко от 0 </w:t>
      </w:r>
      <w:r w:rsidRPr="00F06DE2">
        <w:rPr>
          <w:rFonts w:ascii="Times New Roman" w:hAnsi="Times New Roman" w:cs="Times New Roman"/>
          <w:sz w:val="24"/>
          <w:szCs w:val="24"/>
        </w:rPr>
        <w:t>mm</w:t>
      </w:r>
      <w:r w:rsidRPr="00F06DE2">
        <w:rPr>
          <w:rFonts w:ascii="Times New Roman" w:hAnsi="Times New Roman" w:cs="Times New Roman"/>
          <w:sz w:val="24"/>
          <w:szCs w:val="24"/>
          <w:lang w:val="ru-RU"/>
        </w:rPr>
        <w:t>, ако се спазва безопасното разстояние съгласно точка 1.</w:t>
      </w:r>
    </w:p>
    <w:p w14:paraId="733FCF5E" w14:textId="77777777" w:rsidR="00D00F4D" w:rsidRPr="00F06DE2" w:rsidRDefault="00D00F4D">
      <w:pPr>
        <w:spacing w:line="240" w:lineRule="atLeast"/>
        <w:ind w:left="567" w:hanging="567"/>
        <w:jc w:val="both"/>
        <w:rPr>
          <w:rFonts w:ascii="Times New Roman" w:hAnsi="Times New Roman" w:cs="Times New Roman"/>
          <w:sz w:val="24"/>
          <w:szCs w:val="24"/>
          <w:lang w:val="ru-RU"/>
        </w:rPr>
        <w:sectPr w:rsidR="00D00F4D" w:rsidRPr="00F06DE2" w:rsidSect="00F06DE2">
          <w:headerReference w:type="default" r:id="rId27"/>
          <w:headerReference w:type="first" r:id="rId28"/>
          <w:footnotePr>
            <w:numRestart w:val="eachPage"/>
          </w:footnotePr>
          <w:pgSz w:w="11906" w:h="16838" w:code="9"/>
          <w:pgMar w:top="1134" w:right="1134" w:bottom="1134" w:left="1134" w:header="709" w:footer="709" w:gutter="0"/>
          <w:cols w:space="709"/>
          <w:titlePg/>
          <w:docGrid w:linePitch="272"/>
        </w:sectPr>
      </w:pPr>
    </w:p>
    <w:p w14:paraId="20A7A669" w14:textId="77777777" w:rsidR="00271FA2" w:rsidRPr="00F06DE2" w:rsidRDefault="00D35E51">
      <w:pPr>
        <w:pStyle w:val="ES-Titre2"/>
        <w:rPr>
          <w:rFonts w:ascii="Times New Roman" w:hAnsi="Times New Roman" w:cs="Times New Roman"/>
          <w:sz w:val="24"/>
          <w:szCs w:val="24"/>
          <w:lang w:val="ru-RU"/>
        </w:rPr>
      </w:pPr>
      <w:bookmarkStart w:id="32" w:name="_Toc491854021"/>
      <w:bookmarkStart w:id="33" w:name="_Toc535827462"/>
      <w:r w:rsidRPr="00F06DE2">
        <w:rPr>
          <w:rFonts w:ascii="Times New Roman" w:hAnsi="Times New Roman" w:cs="Times New Roman"/>
          <w:sz w:val="24"/>
          <w:szCs w:val="24"/>
          <w:lang w:val="ru-RU"/>
        </w:rPr>
        <w:lastRenderedPageBreak/>
        <w:t>Глава 5</w:t>
      </w:r>
      <w:r w:rsidRPr="00F06DE2">
        <w:rPr>
          <w:rFonts w:ascii="Times New Roman" w:hAnsi="Times New Roman" w:cs="Times New Roman"/>
          <w:sz w:val="24"/>
          <w:szCs w:val="24"/>
          <w:lang w:val="ru-RU"/>
        </w:rPr>
        <w:br/>
        <w:t>Маневреност</w:t>
      </w:r>
      <w:bookmarkEnd w:id="32"/>
      <w:bookmarkEnd w:id="33"/>
    </w:p>
    <w:p w14:paraId="5DECADEA" w14:textId="77777777" w:rsidR="000B2E40" w:rsidRPr="00F06DE2" w:rsidRDefault="000B2E40">
      <w:pPr>
        <w:pStyle w:val="ES-Titre3"/>
        <w:spacing w:line="240" w:lineRule="atLeast"/>
        <w:rPr>
          <w:rFonts w:ascii="Times New Roman" w:hAnsi="Times New Roman" w:cs="Times New Roman"/>
          <w:sz w:val="24"/>
          <w:szCs w:val="24"/>
          <w:lang w:val="ru-RU"/>
        </w:rPr>
      </w:pPr>
      <w:bookmarkStart w:id="34" w:name="_Toc535827463"/>
      <w:bookmarkStart w:id="35" w:name="_Toc491854022"/>
    </w:p>
    <w:p w14:paraId="5AA7C650" w14:textId="77A05BBF"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5.01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34"/>
      <w:bookmarkEnd w:id="35"/>
    </w:p>
    <w:p w14:paraId="716FBF6E"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Плавателните съдове и съставите от плавателни съдове трябва да притежават съответна мореходност и маневреност.</w:t>
      </w:r>
    </w:p>
    <w:p w14:paraId="670FCD07"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Плавателните съдове без собствено задвижване, предназначени да бъдат влачени, трябва да отговарят на конкретните изисквания, определени от контролния орган.</w:t>
      </w:r>
    </w:p>
    <w:p w14:paraId="64397F4D"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Плавателните съдове със собствено задвижване и съставите от плавателни съдове трябва да отговарят на изискванията, посочени в членове 5.02—5.10.</w:t>
      </w:r>
    </w:p>
    <w:p w14:paraId="4008CE37" w14:textId="77777777" w:rsidR="000B2E40" w:rsidRPr="00F06DE2" w:rsidRDefault="000B2E40">
      <w:pPr>
        <w:pStyle w:val="ES-Titre3"/>
        <w:spacing w:line="240" w:lineRule="atLeast"/>
        <w:rPr>
          <w:rFonts w:ascii="Times New Roman" w:hAnsi="Times New Roman" w:cs="Times New Roman"/>
          <w:sz w:val="24"/>
          <w:szCs w:val="24"/>
          <w:lang w:val="ru-RU"/>
        </w:rPr>
      </w:pPr>
      <w:bookmarkStart w:id="36" w:name="_Toc535827464"/>
      <w:bookmarkStart w:id="37" w:name="_Toc491854023"/>
    </w:p>
    <w:p w14:paraId="0CD58D2F" w14:textId="2A956322"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5.02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Ходови изпитвания</w:t>
      </w:r>
      <w:bookmarkEnd w:id="36"/>
      <w:r w:rsidRPr="00F06DE2">
        <w:rPr>
          <w:rFonts w:ascii="Times New Roman" w:hAnsi="Times New Roman" w:cs="Times New Roman"/>
          <w:i/>
          <w:sz w:val="24"/>
          <w:szCs w:val="24"/>
          <w:lang w:val="ru-RU"/>
        </w:rPr>
        <w:t xml:space="preserve"> </w:t>
      </w:r>
      <w:bookmarkEnd w:id="37"/>
    </w:p>
    <w:p w14:paraId="7796003D"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Мореходността и маневреността се проверяват чрез ходови изпитвания. По-специално трябва да се проверява спазването на изискванията на членове 5.06—5.10.</w:t>
      </w:r>
    </w:p>
    <w:p w14:paraId="50941EE4"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Контролният орган има право да отмени всички или част от изпитванията, когато съответствието с изискванията за мореходност и маневреност е доказано по друг начин.</w:t>
      </w:r>
    </w:p>
    <w:p w14:paraId="5D71FF0C" w14:textId="77777777" w:rsidR="00271FA2" w:rsidRPr="00F06DE2" w:rsidRDefault="00D35E51">
      <w:pPr>
        <w:pStyle w:val="ES-Titre3"/>
        <w:spacing w:line="240" w:lineRule="atLeast"/>
        <w:rPr>
          <w:rFonts w:ascii="Times New Roman" w:hAnsi="Times New Roman" w:cs="Times New Roman"/>
          <w:sz w:val="24"/>
          <w:szCs w:val="24"/>
          <w:lang w:val="ru-RU"/>
        </w:rPr>
      </w:pPr>
      <w:bookmarkStart w:id="38" w:name="_Toc535827465"/>
      <w:bookmarkStart w:id="39" w:name="_Toc491854024"/>
      <w:r w:rsidRPr="00F06DE2">
        <w:rPr>
          <w:rFonts w:ascii="Times New Roman" w:hAnsi="Times New Roman" w:cs="Times New Roman"/>
          <w:sz w:val="24"/>
          <w:szCs w:val="24"/>
          <w:lang w:val="ru-RU"/>
        </w:rPr>
        <w:t>Член 5.03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Изпитвателен полигон</w:t>
      </w:r>
      <w:bookmarkEnd w:id="38"/>
      <w:bookmarkEnd w:id="39"/>
    </w:p>
    <w:p w14:paraId="7952509D" w14:textId="00630120"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Ходовите изпитвания, посочени в член</w:t>
      </w:r>
      <w:r w:rsidRPr="00F06DE2">
        <w:rPr>
          <w:rFonts w:ascii="Times New Roman" w:hAnsi="Times New Roman" w:cs="Times New Roman"/>
          <w:sz w:val="24"/>
          <w:szCs w:val="24"/>
        </w:rPr>
        <w:t> </w:t>
      </w:r>
      <w:r w:rsidRPr="00F06DE2">
        <w:rPr>
          <w:rFonts w:ascii="Times New Roman" w:hAnsi="Times New Roman" w:cs="Times New Roman"/>
          <w:sz w:val="24"/>
          <w:szCs w:val="24"/>
          <w:lang w:val="ru-RU"/>
        </w:rPr>
        <w:t>5.02, се провеждат на полигони</w:t>
      </w:r>
      <w:r w:rsidR="006C6AA4" w:rsidRPr="00F06DE2">
        <w:rPr>
          <w:rFonts w:ascii="Times New Roman" w:hAnsi="Times New Roman" w:cs="Times New Roman"/>
          <w:sz w:val="24"/>
          <w:szCs w:val="24"/>
          <w:lang w:val="ru-RU"/>
        </w:rPr>
        <w:t xml:space="preserve">, </w:t>
      </w:r>
      <w:r w:rsidR="00030E23" w:rsidRPr="00F06DE2">
        <w:rPr>
          <w:rFonts w:ascii="Times New Roman" w:hAnsi="Times New Roman" w:cs="Times New Roman"/>
          <w:sz w:val="24"/>
          <w:szCs w:val="24"/>
          <w:lang w:val="ru-RU"/>
        </w:rPr>
        <w:t xml:space="preserve">част от </w:t>
      </w:r>
      <w:r w:rsidRPr="00F06DE2">
        <w:rPr>
          <w:rFonts w:ascii="Times New Roman" w:hAnsi="Times New Roman" w:cs="Times New Roman"/>
          <w:sz w:val="24"/>
          <w:szCs w:val="24"/>
          <w:lang w:val="ru-RU"/>
        </w:rPr>
        <w:t xml:space="preserve"> </w:t>
      </w:r>
      <w:r w:rsidR="00030E23" w:rsidRPr="00F06DE2">
        <w:rPr>
          <w:rFonts w:ascii="Times New Roman" w:hAnsi="Times New Roman" w:cs="Times New Roman"/>
          <w:sz w:val="24"/>
          <w:szCs w:val="24"/>
          <w:lang w:val="ru-RU"/>
        </w:rPr>
        <w:t>вътрешните водни пътища</w:t>
      </w:r>
      <w:r w:rsidRPr="00F06DE2">
        <w:rPr>
          <w:rFonts w:ascii="Times New Roman" w:hAnsi="Times New Roman" w:cs="Times New Roman"/>
          <w:sz w:val="24"/>
          <w:szCs w:val="24"/>
          <w:lang w:val="ru-RU"/>
        </w:rPr>
        <w:t>, които са определени от компетентните органи.</w:t>
      </w:r>
    </w:p>
    <w:p w14:paraId="65EB8E65"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 xml:space="preserve">Тези изпитвателни полигони се разполагат по протежение на течаща или тиха вода, по възможност в прав участък, с дължина поне 2 </w:t>
      </w:r>
      <w:r w:rsidRPr="00F06DE2">
        <w:rPr>
          <w:rFonts w:ascii="Times New Roman" w:hAnsi="Times New Roman" w:cs="Times New Roman"/>
          <w:sz w:val="24"/>
          <w:szCs w:val="24"/>
        </w:rPr>
        <w:t>km</w:t>
      </w:r>
      <w:r w:rsidRPr="00F06DE2">
        <w:rPr>
          <w:rFonts w:ascii="Times New Roman" w:hAnsi="Times New Roman" w:cs="Times New Roman"/>
          <w:sz w:val="24"/>
          <w:szCs w:val="24"/>
          <w:lang w:val="ru-RU"/>
        </w:rPr>
        <w:t xml:space="preserve"> и достатъчна широчина, и се обозначават с добре различими знаци за определяне на положението на плавателния съд.</w:t>
      </w:r>
    </w:p>
    <w:p w14:paraId="18C2A02C"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Трябва да бъде възможно контролният орган да определя хидроложките данни като дълбочина на водата, широчина на фарватера и средна скорост на течението в навигационния участък като функция на различни водни нива.</w:t>
      </w:r>
    </w:p>
    <w:p w14:paraId="02E16C65" w14:textId="77777777" w:rsidR="000B2E40" w:rsidRPr="00F06DE2" w:rsidRDefault="000B2E40">
      <w:pPr>
        <w:pStyle w:val="ES-Titre3"/>
        <w:spacing w:line="240" w:lineRule="atLeast"/>
        <w:rPr>
          <w:rFonts w:ascii="Times New Roman" w:hAnsi="Times New Roman" w:cs="Times New Roman"/>
          <w:sz w:val="24"/>
          <w:szCs w:val="24"/>
          <w:lang w:val="ru-RU"/>
        </w:rPr>
      </w:pPr>
      <w:bookmarkStart w:id="40" w:name="_Toc535827466"/>
      <w:bookmarkStart w:id="41" w:name="_Toc491854025"/>
    </w:p>
    <w:p w14:paraId="7D87658A" w14:textId="76DFCDA7"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5.04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Степен на натоварване на плавателни съдове и състави от плавателни съдове при ходовите изпитвания</w:t>
      </w:r>
      <w:bookmarkEnd w:id="40"/>
      <w:bookmarkEnd w:id="41"/>
    </w:p>
    <w:p w14:paraId="4E4F49C1" w14:textId="77777777" w:rsidR="00271FA2" w:rsidRPr="00F06DE2" w:rsidRDefault="00D35E51">
      <w:pPr>
        <w:pStyle w:val="ESgauche"/>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По време на ходовите изпитвания плавателните съдове и съставите от плавателни съдове, предвидени да превозват стоки, се натоварват до не по-малко от 70 % от пълната им товароподемност, като натоварването се разпределя, така че да гарантира движението на плавателния съд на равен кил, доколкото е възможно. Ако изпитванията се провеждат с по-малък товар, разрешението за плаване по течението се ограничава до това количество товар.</w:t>
      </w:r>
    </w:p>
    <w:p w14:paraId="47DA3642" w14:textId="77777777" w:rsidR="000B2E40" w:rsidRPr="00F06DE2" w:rsidRDefault="000B2E40">
      <w:pPr>
        <w:pStyle w:val="ES-Titre3"/>
        <w:spacing w:line="240" w:lineRule="atLeast"/>
        <w:rPr>
          <w:rFonts w:ascii="Times New Roman" w:hAnsi="Times New Roman" w:cs="Times New Roman"/>
          <w:sz w:val="24"/>
          <w:szCs w:val="24"/>
          <w:lang w:val="ru-RU"/>
        </w:rPr>
      </w:pPr>
      <w:bookmarkStart w:id="42" w:name="_Toc535827467"/>
      <w:bookmarkStart w:id="43" w:name="_Toc491854026"/>
    </w:p>
    <w:p w14:paraId="52CD5D3C" w14:textId="2F360E95"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5.05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Използване на бордови съоръжения при ходовите изпитвания</w:t>
      </w:r>
      <w:bookmarkEnd w:id="42"/>
      <w:bookmarkEnd w:id="43"/>
    </w:p>
    <w:p w14:paraId="2B7EA4C2" w14:textId="1090F271"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1.</w:t>
      </w:r>
      <w:r w:rsidRPr="00F06DE2">
        <w:rPr>
          <w:rFonts w:ascii="Times New Roman" w:hAnsi="Times New Roman" w:cs="Times New Roman"/>
          <w:sz w:val="24"/>
          <w:szCs w:val="24"/>
          <w:lang w:val="ru-RU"/>
        </w:rPr>
        <w:tab/>
        <w:t xml:space="preserve">По време на ходовото изпитване може да се използва цялото оборудване, посочено в точки 34 и 52 от Корабното удостоверение за вътрешно корабоплаване, което може да се задейства от </w:t>
      </w:r>
      <w:r w:rsidR="00C04987" w:rsidRPr="00F06DE2">
        <w:rPr>
          <w:rFonts w:ascii="Times New Roman" w:hAnsi="Times New Roman" w:cs="Times New Roman"/>
          <w:sz w:val="24"/>
          <w:szCs w:val="24"/>
          <w:lang w:val="ru-RU"/>
        </w:rPr>
        <w:t xml:space="preserve"> мяс</w:t>
      </w:r>
      <w:r w:rsidR="00854780" w:rsidRPr="00F06DE2">
        <w:rPr>
          <w:rFonts w:ascii="Times New Roman" w:hAnsi="Times New Roman" w:cs="Times New Roman"/>
          <w:sz w:val="24"/>
          <w:szCs w:val="24"/>
          <w:lang w:val="ru-RU"/>
        </w:rPr>
        <w:t>т</w:t>
      </w:r>
      <w:r w:rsidR="00C04987" w:rsidRPr="00F06DE2">
        <w:rPr>
          <w:rFonts w:ascii="Times New Roman" w:hAnsi="Times New Roman" w:cs="Times New Roman"/>
          <w:sz w:val="24"/>
          <w:szCs w:val="24"/>
          <w:lang w:val="ru-RU"/>
        </w:rPr>
        <w:t>о за управление</w:t>
      </w:r>
      <w:r w:rsidRPr="00F06DE2">
        <w:rPr>
          <w:rFonts w:ascii="Times New Roman" w:hAnsi="Times New Roman" w:cs="Times New Roman"/>
          <w:sz w:val="24"/>
          <w:szCs w:val="24"/>
          <w:lang w:val="ru-RU"/>
        </w:rPr>
        <w:t>, с изключение на котвите.</w:t>
      </w:r>
      <w:r w:rsidR="00EC4F21" w:rsidRPr="00F06DE2">
        <w:rPr>
          <w:rFonts w:ascii="Times New Roman" w:hAnsi="Times New Roman" w:cs="Times New Roman"/>
          <w:sz w:val="24"/>
          <w:szCs w:val="24"/>
          <w:lang w:val="ru-RU"/>
        </w:rPr>
        <w:t xml:space="preserve"> </w:t>
      </w:r>
    </w:p>
    <w:p w14:paraId="348377C6" w14:textId="23B1A63B"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 xml:space="preserve">Все пак, при изпитването, включващо </w:t>
      </w:r>
      <w:r w:rsidR="00C737E0" w:rsidRPr="00F06DE2">
        <w:rPr>
          <w:rFonts w:ascii="Times New Roman" w:hAnsi="Times New Roman" w:cs="Times New Roman"/>
          <w:sz w:val="24"/>
          <w:szCs w:val="24"/>
        </w:rPr>
        <w:t>маневра за завиване</w:t>
      </w:r>
      <w:r w:rsidR="00C737E0" w:rsidRPr="00F06DE2">
        <w:rPr>
          <w:rFonts w:ascii="Times New Roman" w:hAnsi="Times New Roman" w:cs="Times New Roman"/>
          <w:sz w:val="24"/>
          <w:szCs w:val="24"/>
          <w:lang w:val="ru-RU"/>
        </w:rPr>
        <w:t xml:space="preserve"> </w:t>
      </w:r>
      <w:r w:rsidRPr="00F06DE2">
        <w:rPr>
          <w:rFonts w:ascii="Times New Roman" w:hAnsi="Times New Roman" w:cs="Times New Roman"/>
          <w:sz w:val="24"/>
          <w:szCs w:val="24"/>
          <w:lang w:val="ru-RU"/>
        </w:rPr>
        <w:t>срещу течението, посочено в член 5.10, могат да се използват кърмови котви.</w:t>
      </w:r>
    </w:p>
    <w:p w14:paraId="00B9FD00" w14:textId="77777777" w:rsidR="000B2E40" w:rsidRPr="00F06DE2" w:rsidRDefault="000B2E40">
      <w:pPr>
        <w:pStyle w:val="ES-Titre3"/>
        <w:spacing w:line="240" w:lineRule="atLeast"/>
        <w:rPr>
          <w:rFonts w:ascii="Times New Roman" w:hAnsi="Times New Roman" w:cs="Times New Roman"/>
          <w:sz w:val="24"/>
          <w:szCs w:val="24"/>
          <w:lang w:val="ru-RU"/>
        </w:rPr>
      </w:pPr>
      <w:bookmarkStart w:id="44" w:name="_Toc535827468"/>
      <w:bookmarkStart w:id="45" w:name="_Toc491854027"/>
    </w:p>
    <w:p w14:paraId="3296C3D8" w14:textId="60964AA1"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5.06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Предписана скорост (напред)</w:t>
      </w:r>
      <w:bookmarkEnd w:id="44"/>
      <w:bookmarkEnd w:id="45"/>
    </w:p>
    <w:p w14:paraId="5CE3F1EF"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 xml:space="preserve">Плавателните съдове и съставите от плавателни съдове трябва да достигнат скорост спрямо водата от най-малко 13 </w:t>
      </w:r>
      <w:r w:rsidRPr="00F06DE2">
        <w:rPr>
          <w:rFonts w:ascii="Times New Roman" w:hAnsi="Times New Roman" w:cs="Times New Roman"/>
          <w:sz w:val="24"/>
          <w:szCs w:val="24"/>
        </w:rPr>
        <w:t>km</w:t>
      </w:r>
      <w:r w:rsidRPr="00F06DE2">
        <w:rPr>
          <w:rFonts w:ascii="Times New Roman" w:hAnsi="Times New Roman" w:cs="Times New Roman"/>
          <w:sz w:val="24"/>
          <w:szCs w:val="24"/>
          <w:lang w:val="ru-RU"/>
        </w:rPr>
        <w:t>/</w:t>
      </w:r>
      <w:r w:rsidRPr="00F06DE2">
        <w:rPr>
          <w:rFonts w:ascii="Times New Roman" w:hAnsi="Times New Roman" w:cs="Times New Roman"/>
          <w:sz w:val="24"/>
          <w:szCs w:val="24"/>
        </w:rPr>
        <w:t>h</w:t>
      </w:r>
      <w:r w:rsidRPr="00F06DE2">
        <w:rPr>
          <w:rFonts w:ascii="Times New Roman" w:hAnsi="Times New Roman" w:cs="Times New Roman"/>
          <w:sz w:val="24"/>
          <w:szCs w:val="24"/>
          <w:lang w:val="ru-RU"/>
        </w:rPr>
        <w:t>. Това изискване не е задължително, когато тласкачите работят самостоятелно.</w:t>
      </w:r>
    </w:p>
    <w:p w14:paraId="2FC54E11"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Контролният орган може да разреши изключения за плавателните съдове и съставите от плавателни съдове, които плават само в устия и пристанища.</w:t>
      </w:r>
    </w:p>
    <w:p w14:paraId="3F50BFC3"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Контролният орган проверява способността на ненатоварения плавателен съд да развива скорост, по-голяма от 40</w:t>
      </w:r>
      <w:r w:rsidRPr="00F06DE2">
        <w:rPr>
          <w:rFonts w:ascii="Times New Roman" w:hAnsi="Times New Roman" w:cs="Times New Roman"/>
          <w:sz w:val="24"/>
          <w:szCs w:val="24"/>
        </w:rPr>
        <w:t> km</w:t>
      </w:r>
      <w:r w:rsidRPr="00F06DE2">
        <w:rPr>
          <w:rFonts w:ascii="Times New Roman" w:hAnsi="Times New Roman" w:cs="Times New Roman"/>
          <w:sz w:val="24"/>
          <w:szCs w:val="24"/>
          <w:lang w:val="ru-RU"/>
        </w:rPr>
        <w:t>/</w:t>
      </w:r>
      <w:r w:rsidRPr="00F06DE2">
        <w:rPr>
          <w:rFonts w:ascii="Times New Roman" w:hAnsi="Times New Roman" w:cs="Times New Roman"/>
          <w:sz w:val="24"/>
          <w:szCs w:val="24"/>
        </w:rPr>
        <w:t>h</w:t>
      </w:r>
      <w:r w:rsidRPr="00F06DE2">
        <w:rPr>
          <w:rFonts w:ascii="Times New Roman" w:hAnsi="Times New Roman" w:cs="Times New Roman"/>
          <w:sz w:val="24"/>
          <w:szCs w:val="24"/>
          <w:lang w:val="ru-RU"/>
        </w:rPr>
        <w:t xml:space="preserve"> спрямо водата. Ако това може да бъде потвърдено, в точка 52 от Корабното удостоверение за вътрешно корабоплаване се записва:</w:t>
      </w:r>
    </w:p>
    <w:p w14:paraId="17D970A9" w14:textId="77777777" w:rsidR="00271FA2" w:rsidRPr="00F06DE2" w:rsidRDefault="00D35E51" w:rsidP="00D839C9">
      <w:pPr>
        <w:spacing w:line="240" w:lineRule="atLeast"/>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„Плавателният съд е способен да развива скорост, по-голяма от 40 </w:t>
      </w:r>
      <w:r w:rsidRPr="00F06DE2">
        <w:rPr>
          <w:rFonts w:ascii="Times New Roman" w:hAnsi="Times New Roman" w:cs="Times New Roman"/>
          <w:sz w:val="24"/>
          <w:szCs w:val="24"/>
        </w:rPr>
        <w:t>km</w:t>
      </w:r>
      <w:r w:rsidRPr="00F06DE2">
        <w:rPr>
          <w:rFonts w:ascii="Times New Roman" w:hAnsi="Times New Roman" w:cs="Times New Roman"/>
          <w:sz w:val="24"/>
          <w:szCs w:val="24"/>
          <w:lang w:val="ru-RU"/>
        </w:rPr>
        <w:t>/</w:t>
      </w:r>
      <w:r w:rsidRPr="00F06DE2">
        <w:rPr>
          <w:rFonts w:ascii="Times New Roman" w:hAnsi="Times New Roman" w:cs="Times New Roman"/>
          <w:sz w:val="24"/>
          <w:szCs w:val="24"/>
        </w:rPr>
        <w:t>h</w:t>
      </w:r>
      <w:r w:rsidRPr="00F06DE2">
        <w:rPr>
          <w:rFonts w:ascii="Times New Roman" w:hAnsi="Times New Roman" w:cs="Times New Roman"/>
          <w:sz w:val="24"/>
          <w:szCs w:val="24"/>
          <w:lang w:val="ru-RU"/>
        </w:rPr>
        <w:t xml:space="preserve"> спрямо водата.“</w:t>
      </w:r>
    </w:p>
    <w:p w14:paraId="0BC3CE8D" w14:textId="77777777" w:rsidR="00271FA2" w:rsidRPr="00F06DE2" w:rsidRDefault="00D35E51">
      <w:pPr>
        <w:pStyle w:val="ES-Titre3"/>
        <w:spacing w:line="240" w:lineRule="atLeast"/>
        <w:rPr>
          <w:rFonts w:ascii="Times New Roman" w:hAnsi="Times New Roman" w:cs="Times New Roman"/>
          <w:sz w:val="24"/>
          <w:szCs w:val="24"/>
          <w:lang w:val="ru-RU"/>
        </w:rPr>
      </w:pPr>
      <w:bookmarkStart w:id="46" w:name="_Toc491854028"/>
      <w:bookmarkStart w:id="47" w:name="_Toc535827469"/>
      <w:r w:rsidRPr="00F06DE2">
        <w:rPr>
          <w:rFonts w:ascii="Times New Roman" w:hAnsi="Times New Roman" w:cs="Times New Roman"/>
          <w:sz w:val="24"/>
          <w:szCs w:val="24"/>
          <w:lang w:val="ru-RU"/>
        </w:rPr>
        <w:t>Член 5.07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Способност за спиране</w:t>
      </w:r>
      <w:bookmarkEnd w:id="46"/>
      <w:bookmarkEnd w:id="47"/>
    </w:p>
    <w:p w14:paraId="71D7B1D0"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Плавателните съдове и съставите от плавателни съдове трябва да могат да спират своевременно в посока по течението, като остават достатъчно маневрени.</w:t>
      </w:r>
    </w:p>
    <w:p w14:paraId="7ACD7A69" w14:textId="77777777" w:rsidR="00271FA2" w:rsidRPr="00F06DE2" w:rsidRDefault="00D35E51">
      <w:pPr>
        <w:spacing w:line="240" w:lineRule="atLeast"/>
        <w:ind w:left="567" w:hanging="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 xml:space="preserve">При плавателни съдове и състави с дължина </w:t>
      </w:r>
      <w:r w:rsidRPr="00F06DE2">
        <w:rPr>
          <w:rFonts w:ascii="Cambria Math" w:hAnsi="Cambria Math" w:cs="Cambria Math"/>
          <w:sz w:val="24"/>
          <w:szCs w:val="24"/>
        </w:rPr>
        <w:t>𝐿</w:t>
      </w:r>
      <w:r w:rsidRPr="00F06DE2">
        <w:rPr>
          <w:rFonts w:ascii="Times New Roman" w:hAnsi="Times New Roman" w:cs="Times New Roman"/>
          <w:sz w:val="24"/>
          <w:szCs w:val="24"/>
          <w:lang w:val="ru-RU"/>
        </w:rPr>
        <w:t xml:space="preserve"> не повече от 86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и широчина </w:t>
      </w:r>
      <w:r w:rsidRPr="00F06DE2">
        <w:rPr>
          <w:rFonts w:ascii="Cambria Math" w:hAnsi="Cambria Math" w:cs="Cambria Math"/>
          <w:sz w:val="24"/>
          <w:szCs w:val="24"/>
        </w:rPr>
        <w:t>𝐵</w:t>
      </w:r>
      <w:r w:rsidRPr="00F06DE2">
        <w:rPr>
          <w:rFonts w:ascii="Times New Roman" w:hAnsi="Times New Roman" w:cs="Times New Roman"/>
          <w:sz w:val="24"/>
          <w:szCs w:val="24"/>
          <w:lang w:val="ru-RU"/>
        </w:rPr>
        <w:t xml:space="preserve"> не повече от 22,90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способността за спиране, спомената по-горе, може да бъде заменена с възможност за завиване.</w:t>
      </w:r>
    </w:p>
    <w:p w14:paraId="37DE061B" w14:textId="7E8104B1"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 xml:space="preserve">Способността за спиране се доказва чрез маневри за спиране, изпълнени на изпитвателен полигон, както е посочено в член 5.03, а способността </w:t>
      </w:r>
      <w:r w:rsidR="00B91FE3" w:rsidRPr="00F06DE2">
        <w:rPr>
          <w:rFonts w:ascii="Times New Roman" w:hAnsi="Times New Roman" w:cs="Times New Roman"/>
          <w:sz w:val="24"/>
          <w:szCs w:val="24"/>
        </w:rPr>
        <w:t xml:space="preserve">за завиване </w:t>
      </w:r>
      <w:r w:rsidRPr="00F06DE2">
        <w:rPr>
          <w:rFonts w:ascii="Times New Roman" w:hAnsi="Times New Roman" w:cs="Times New Roman"/>
          <w:sz w:val="24"/>
          <w:szCs w:val="24"/>
          <w:lang w:val="ru-RU"/>
        </w:rPr>
        <w:t xml:space="preserve">— чрез </w:t>
      </w:r>
      <w:r w:rsidR="00B91FE3" w:rsidRPr="00F06DE2">
        <w:rPr>
          <w:rFonts w:ascii="Times New Roman" w:hAnsi="Times New Roman" w:cs="Times New Roman"/>
          <w:sz w:val="24"/>
          <w:szCs w:val="24"/>
        </w:rPr>
        <w:t xml:space="preserve"> маневри </w:t>
      </w:r>
      <w:r w:rsidR="00EC1E3B" w:rsidRPr="00F06DE2">
        <w:rPr>
          <w:rFonts w:ascii="Times New Roman" w:hAnsi="Times New Roman" w:cs="Times New Roman"/>
          <w:sz w:val="24"/>
          <w:szCs w:val="24"/>
        </w:rPr>
        <w:t xml:space="preserve">за завиване </w:t>
      </w:r>
      <w:r w:rsidRPr="00F06DE2">
        <w:rPr>
          <w:rFonts w:ascii="Times New Roman" w:hAnsi="Times New Roman" w:cs="Times New Roman"/>
          <w:sz w:val="24"/>
          <w:szCs w:val="24"/>
          <w:lang w:val="ru-RU"/>
        </w:rPr>
        <w:t>съгласно член 5.10.</w:t>
      </w:r>
    </w:p>
    <w:p w14:paraId="337DC0D1" w14:textId="77777777" w:rsidR="00D839C9" w:rsidRPr="00F06DE2" w:rsidRDefault="00D839C9">
      <w:pPr>
        <w:pStyle w:val="ES-Titre3"/>
        <w:spacing w:line="240" w:lineRule="atLeast"/>
        <w:rPr>
          <w:rFonts w:ascii="Times New Roman" w:hAnsi="Times New Roman" w:cs="Times New Roman"/>
          <w:sz w:val="24"/>
          <w:szCs w:val="24"/>
          <w:lang w:val="ru-RU"/>
        </w:rPr>
      </w:pPr>
      <w:bookmarkStart w:id="48" w:name="_Toc535827470"/>
      <w:bookmarkStart w:id="49" w:name="_Toc491854029"/>
    </w:p>
    <w:p w14:paraId="5B9D0C4E" w14:textId="2ECAC1E9"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5.08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Способност за движение на заден ход</w:t>
      </w:r>
      <w:bookmarkEnd w:id="48"/>
      <w:bookmarkEnd w:id="49"/>
    </w:p>
    <w:p w14:paraId="32EDE5A7" w14:textId="77777777" w:rsidR="00271FA2" w:rsidRPr="00F06DE2" w:rsidRDefault="00D35E51">
      <w:pPr>
        <w:pStyle w:val="ESgauche"/>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Когато маневрата за спиране, изисквана съгласно член 5.07, се изпълнява в тихи води, след нея се прави ходово изпитване при движение на заден ход.</w:t>
      </w:r>
    </w:p>
    <w:p w14:paraId="3E260D86" w14:textId="77777777" w:rsidR="00D839C9" w:rsidRPr="00F06DE2" w:rsidRDefault="00D839C9">
      <w:pPr>
        <w:pStyle w:val="ES-Titre3"/>
        <w:spacing w:line="240" w:lineRule="atLeast"/>
        <w:rPr>
          <w:rFonts w:ascii="Times New Roman" w:hAnsi="Times New Roman" w:cs="Times New Roman"/>
          <w:sz w:val="24"/>
          <w:szCs w:val="24"/>
          <w:lang w:val="ru-RU"/>
        </w:rPr>
      </w:pPr>
      <w:bookmarkStart w:id="50" w:name="_Toc491854030"/>
      <w:bookmarkStart w:id="51" w:name="_Toc535827471"/>
    </w:p>
    <w:p w14:paraId="6B8FFEEC" w14:textId="3AF4030E"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5.09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Способност за отклоняване</w:t>
      </w:r>
      <w:bookmarkEnd w:id="50"/>
      <w:bookmarkEnd w:id="51"/>
    </w:p>
    <w:p w14:paraId="0E3399F9" w14:textId="77777777" w:rsidR="00271FA2" w:rsidRPr="00F06DE2" w:rsidRDefault="00D35E51">
      <w:pPr>
        <w:pStyle w:val="ESgauche"/>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Плавателните съдове и съставите от плавателни съдове трябва да могат своевременно да предприемат действия за отклоняване. Способността за отклоняване се доказва чрез маневри за отклоняване, извършени на изпитвателен полигон, както е посочено в член</w:t>
      </w:r>
      <w:r w:rsidRPr="00F06DE2">
        <w:rPr>
          <w:rFonts w:ascii="Times New Roman" w:hAnsi="Times New Roman" w:cs="Times New Roman"/>
          <w:sz w:val="24"/>
          <w:szCs w:val="24"/>
        </w:rPr>
        <w:t> </w:t>
      </w:r>
      <w:r w:rsidRPr="00F06DE2">
        <w:rPr>
          <w:rFonts w:ascii="Times New Roman" w:hAnsi="Times New Roman" w:cs="Times New Roman"/>
          <w:sz w:val="24"/>
          <w:szCs w:val="24"/>
          <w:lang w:val="ru-RU"/>
        </w:rPr>
        <w:t>5.03.</w:t>
      </w:r>
    </w:p>
    <w:p w14:paraId="13B2D9EE" w14:textId="77777777" w:rsidR="00D839C9" w:rsidRPr="00F06DE2" w:rsidRDefault="00D839C9">
      <w:pPr>
        <w:pStyle w:val="ES-Titre3"/>
        <w:spacing w:line="240" w:lineRule="atLeast"/>
        <w:rPr>
          <w:rFonts w:ascii="Times New Roman" w:hAnsi="Times New Roman" w:cs="Times New Roman"/>
          <w:sz w:val="24"/>
          <w:szCs w:val="24"/>
          <w:lang w:val="ru-RU"/>
        </w:rPr>
      </w:pPr>
      <w:bookmarkStart w:id="52" w:name="_Toc491854031"/>
      <w:bookmarkStart w:id="53" w:name="_Toc535827472"/>
    </w:p>
    <w:p w14:paraId="6CA6B135" w14:textId="41988854"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5.10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Способност за </w:t>
      </w:r>
      <w:r w:rsidR="0055105F" w:rsidRPr="00F06DE2">
        <w:rPr>
          <w:rFonts w:ascii="Times New Roman" w:hAnsi="Times New Roman" w:cs="Times New Roman"/>
          <w:i/>
          <w:sz w:val="24"/>
          <w:szCs w:val="24"/>
        </w:rPr>
        <w:t xml:space="preserve">завиване </w:t>
      </w:r>
      <w:bookmarkEnd w:id="52"/>
      <w:bookmarkEnd w:id="53"/>
    </w:p>
    <w:p w14:paraId="51E93098" w14:textId="74E69579" w:rsidR="00271FA2" w:rsidRPr="00F06DE2" w:rsidRDefault="00D35E51">
      <w:pPr>
        <w:spacing w:line="240" w:lineRule="atLeast"/>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 xml:space="preserve">Плавателните съдове и съставите от плавателни съдове с дължина </w:t>
      </w:r>
      <m:oMath>
        <m:r>
          <w:rPr>
            <w:rFonts w:ascii="Cambria Math" w:hAnsi="Cambria Math" w:cs="Times New Roman"/>
            <w:sz w:val="24"/>
            <w:szCs w:val="24"/>
          </w:rPr>
          <m:t>L</m:t>
        </m:r>
      </m:oMath>
      <w:r w:rsidRPr="00F06DE2">
        <w:rPr>
          <w:rFonts w:ascii="Times New Roman" w:hAnsi="Times New Roman" w:cs="Times New Roman"/>
          <w:sz w:val="24"/>
          <w:szCs w:val="24"/>
          <w:lang w:val="ru-RU"/>
        </w:rPr>
        <w:t xml:space="preserve"> не по-голяма от 86</w:t>
      </w:r>
      <w:r w:rsidRPr="00F06DE2">
        <w:rPr>
          <w:rFonts w:ascii="Times New Roman" w:hAnsi="Times New Roman" w:cs="Times New Roman"/>
          <w:sz w:val="24"/>
          <w:szCs w:val="24"/>
        </w:rPr>
        <w:t> m</w:t>
      </w:r>
      <w:r w:rsidRPr="00F06DE2">
        <w:rPr>
          <w:rFonts w:ascii="Times New Roman" w:hAnsi="Times New Roman" w:cs="Times New Roman"/>
          <w:sz w:val="24"/>
          <w:szCs w:val="24"/>
          <w:lang w:val="ru-RU"/>
        </w:rPr>
        <w:t xml:space="preserve"> или с ширина </w:t>
      </w:r>
      <m:oMath>
        <m:r>
          <w:rPr>
            <w:rFonts w:ascii="Cambria Math" w:hAnsi="Cambria Math" w:cs="Times New Roman"/>
            <w:sz w:val="24"/>
            <w:szCs w:val="24"/>
          </w:rPr>
          <m:t>B</m:t>
        </m:r>
      </m:oMath>
      <w:r w:rsidRPr="00F06DE2">
        <w:rPr>
          <w:rFonts w:ascii="Times New Roman" w:hAnsi="Times New Roman" w:cs="Times New Roman"/>
          <w:sz w:val="24"/>
          <w:szCs w:val="24"/>
          <w:lang w:val="ru-RU"/>
        </w:rPr>
        <w:t xml:space="preserve"> не по-голяма от 22,90 </w:t>
      </w:r>
      <w:r w:rsidRPr="00F06DE2">
        <w:rPr>
          <w:rFonts w:ascii="Times New Roman" w:hAnsi="Times New Roman" w:cs="Times New Roman"/>
          <w:sz w:val="24"/>
          <w:szCs w:val="24"/>
        </w:rPr>
        <w:t>m</w:t>
      </w:r>
      <w:r w:rsidRPr="00F06DE2">
        <w:rPr>
          <w:rFonts w:ascii="Times New Roman" w:hAnsi="Times New Roman" w:cs="Times New Roman"/>
          <w:sz w:val="24"/>
          <w:szCs w:val="24"/>
          <w:lang w:val="ru-RU"/>
        </w:rPr>
        <w:t xml:space="preserve"> трябва да могат да </w:t>
      </w:r>
      <w:r w:rsidR="00A044EA" w:rsidRPr="00F06DE2">
        <w:rPr>
          <w:rFonts w:ascii="Times New Roman" w:hAnsi="Times New Roman" w:cs="Times New Roman"/>
          <w:sz w:val="24"/>
          <w:szCs w:val="24"/>
        </w:rPr>
        <w:t xml:space="preserve"> завият</w:t>
      </w:r>
      <w:r w:rsidRPr="00F06DE2">
        <w:rPr>
          <w:rFonts w:ascii="Times New Roman" w:hAnsi="Times New Roman" w:cs="Times New Roman"/>
          <w:sz w:val="24"/>
          <w:szCs w:val="24"/>
          <w:lang w:val="ru-RU"/>
        </w:rPr>
        <w:t xml:space="preserve"> своевременно. Способността за </w:t>
      </w:r>
      <w:r w:rsidR="00A044EA" w:rsidRPr="00F06DE2">
        <w:rPr>
          <w:rFonts w:ascii="Times New Roman" w:hAnsi="Times New Roman" w:cs="Times New Roman"/>
          <w:sz w:val="24"/>
          <w:szCs w:val="24"/>
        </w:rPr>
        <w:t xml:space="preserve">завиване </w:t>
      </w:r>
      <w:r w:rsidRPr="00F06DE2">
        <w:rPr>
          <w:rFonts w:ascii="Times New Roman" w:hAnsi="Times New Roman" w:cs="Times New Roman"/>
          <w:sz w:val="24"/>
          <w:szCs w:val="24"/>
          <w:lang w:val="ru-RU"/>
        </w:rPr>
        <w:t xml:space="preserve">може да бъде заместена от способността за спиране, упомената в член 5.07. Способността за </w:t>
      </w:r>
      <w:r w:rsidR="00A044EA" w:rsidRPr="00F06DE2">
        <w:rPr>
          <w:rFonts w:ascii="Times New Roman" w:hAnsi="Times New Roman" w:cs="Times New Roman"/>
          <w:sz w:val="24"/>
          <w:szCs w:val="24"/>
        </w:rPr>
        <w:t xml:space="preserve"> завиване</w:t>
      </w:r>
      <w:r w:rsidR="006C3E32" w:rsidRPr="00F06DE2">
        <w:rPr>
          <w:rFonts w:ascii="Times New Roman" w:hAnsi="Times New Roman" w:cs="Times New Roman"/>
          <w:sz w:val="24"/>
          <w:szCs w:val="24"/>
        </w:rPr>
        <w:t xml:space="preserve"> </w:t>
      </w:r>
      <w:r w:rsidRPr="00F06DE2">
        <w:rPr>
          <w:rFonts w:ascii="Times New Roman" w:hAnsi="Times New Roman" w:cs="Times New Roman"/>
          <w:sz w:val="24"/>
          <w:szCs w:val="24"/>
          <w:lang w:val="ru-RU"/>
        </w:rPr>
        <w:t>се доказва с маневри</w:t>
      </w:r>
      <w:r w:rsidR="00A044EA" w:rsidRPr="00F06DE2">
        <w:rPr>
          <w:rFonts w:ascii="Times New Roman" w:hAnsi="Times New Roman" w:cs="Times New Roman"/>
          <w:sz w:val="24"/>
          <w:szCs w:val="24"/>
        </w:rPr>
        <w:t xml:space="preserve">  за </w:t>
      </w:r>
      <w:r w:rsidR="0078218A" w:rsidRPr="00F06DE2">
        <w:rPr>
          <w:rFonts w:ascii="Times New Roman" w:hAnsi="Times New Roman" w:cs="Times New Roman"/>
          <w:sz w:val="24"/>
          <w:szCs w:val="24"/>
          <w:lang w:val="ru-RU"/>
        </w:rPr>
        <w:t>завиване</w:t>
      </w:r>
      <w:r w:rsidRPr="00F06DE2">
        <w:rPr>
          <w:rFonts w:ascii="Times New Roman" w:hAnsi="Times New Roman" w:cs="Times New Roman"/>
          <w:sz w:val="24"/>
          <w:szCs w:val="24"/>
          <w:lang w:val="ru-RU"/>
        </w:rPr>
        <w:t xml:space="preserve"> срещу течението.</w:t>
      </w:r>
    </w:p>
    <w:p w14:paraId="3C9CE012" w14:textId="6CCEA142" w:rsidR="00436D0B" w:rsidRPr="00F06DE2" w:rsidRDefault="00436D0B">
      <w:pPr>
        <w:spacing w:line="240" w:lineRule="atLeast"/>
        <w:jc w:val="both"/>
        <w:rPr>
          <w:rFonts w:ascii="Times New Roman" w:hAnsi="Times New Roman" w:cs="Times New Roman"/>
          <w:sz w:val="24"/>
          <w:szCs w:val="24"/>
          <w:lang w:val="ru-RU"/>
        </w:rPr>
      </w:pPr>
    </w:p>
    <w:p w14:paraId="0A8131B6" w14:textId="6756DC56" w:rsidR="00271FA2" w:rsidRPr="00F06DE2" w:rsidRDefault="00271FA2">
      <w:pPr>
        <w:spacing w:line="240" w:lineRule="atLeast"/>
        <w:rPr>
          <w:rFonts w:ascii="Times New Roman" w:hAnsi="Times New Roman" w:cs="Times New Roman"/>
          <w:sz w:val="24"/>
          <w:szCs w:val="24"/>
          <w:lang w:val="ru-RU"/>
        </w:rPr>
        <w:sectPr w:rsidR="00271FA2" w:rsidRPr="00F06DE2" w:rsidSect="00F06DE2">
          <w:headerReference w:type="default" r:id="rId29"/>
          <w:headerReference w:type="first" r:id="rId30"/>
          <w:footnotePr>
            <w:numRestart w:val="eachPage"/>
          </w:footnotePr>
          <w:pgSz w:w="11906" w:h="16838" w:code="9"/>
          <w:pgMar w:top="1134" w:right="1134" w:bottom="1134" w:left="1134" w:header="709" w:footer="709" w:gutter="0"/>
          <w:cols w:space="709"/>
          <w:titlePg/>
          <w:docGrid w:linePitch="272"/>
        </w:sectPr>
      </w:pPr>
    </w:p>
    <w:p w14:paraId="195CBA4F" w14:textId="711CEC14" w:rsidR="00271FA2" w:rsidRPr="00F06DE2" w:rsidRDefault="00D35E51" w:rsidP="00D40937">
      <w:pPr>
        <w:pStyle w:val="ES-Titre2"/>
        <w:spacing w:after="240"/>
        <w:rPr>
          <w:rFonts w:ascii="Times New Roman" w:hAnsi="Times New Roman" w:cs="Times New Roman"/>
          <w:sz w:val="24"/>
          <w:szCs w:val="24"/>
          <w:lang w:val="ru-RU"/>
        </w:rPr>
      </w:pPr>
      <w:bookmarkStart w:id="54" w:name="_Toc491854032"/>
      <w:bookmarkStart w:id="55" w:name="_Toc535827473"/>
      <w:r w:rsidRPr="00F06DE2">
        <w:rPr>
          <w:rFonts w:ascii="Times New Roman" w:hAnsi="Times New Roman" w:cs="Times New Roman"/>
          <w:sz w:val="24"/>
          <w:szCs w:val="24"/>
          <w:lang w:val="ru-RU"/>
        </w:rPr>
        <w:lastRenderedPageBreak/>
        <w:t>Глава 6</w:t>
      </w:r>
      <w:r w:rsidRPr="00F06DE2">
        <w:rPr>
          <w:rFonts w:ascii="Times New Roman" w:hAnsi="Times New Roman" w:cs="Times New Roman"/>
          <w:sz w:val="24"/>
          <w:szCs w:val="24"/>
          <w:lang w:val="ru-RU"/>
        </w:rPr>
        <w:br/>
        <w:t>Рулева система</w:t>
      </w:r>
      <w:bookmarkEnd w:id="54"/>
      <w:bookmarkEnd w:id="55"/>
    </w:p>
    <w:p w14:paraId="15641C1A" w14:textId="2F3CA714" w:rsidR="00271FA2" w:rsidRPr="00F06DE2" w:rsidRDefault="00D35E51" w:rsidP="00D839C9">
      <w:pPr>
        <w:pStyle w:val="ES-Titre3"/>
        <w:tabs>
          <w:tab w:val="left" w:pos="567"/>
        </w:tabs>
        <w:spacing w:line="240" w:lineRule="atLeast"/>
        <w:rPr>
          <w:rFonts w:ascii="Times New Roman" w:hAnsi="Times New Roman" w:cs="Times New Roman"/>
          <w:sz w:val="24"/>
          <w:szCs w:val="24"/>
          <w:lang w:val="ru-RU"/>
        </w:rPr>
      </w:pPr>
      <w:bookmarkStart w:id="56" w:name="_Toc535827474"/>
      <w:bookmarkStart w:id="57" w:name="_Toc491854033"/>
      <w:r w:rsidRPr="00F06DE2">
        <w:rPr>
          <w:rFonts w:ascii="Times New Roman" w:hAnsi="Times New Roman" w:cs="Times New Roman"/>
          <w:sz w:val="24"/>
          <w:szCs w:val="24"/>
          <w:lang w:val="ru-RU"/>
        </w:rPr>
        <w:t>Член 6.01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изисквания</w:t>
      </w:r>
      <w:bookmarkEnd w:id="56"/>
      <w:bookmarkEnd w:id="57"/>
    </w:p>
    <w:p w14:paraId="3C96DC26"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Плавателните съдове трябва да бъдат оборудвани с надеждна рулева система за осигуряване като минимум на маневреността, изисквана съгласно Глава 5.</w:t>
      </w:r>
    </w:p>
    <w:p w14:paraId="02887B52"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Рулевите системи с усилвател трябва да бъдат проектирани по такъв начин, че кормилото да не може да променя положението си без команда.</w:t>
      </w:r>
    </w:p>
    <w:p w14:paraId="48EFA047"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Рулевата система като цяло трябва да е проектирана за постоянен крен до 15° и температура на околната среда от — 20 °С до +</w:t>
      </w:r>
      <w:r w:rsidRPr="00F06DE2">
        <w:rPr>
          <w:rFonts w:ascii="Times New Roman" w:hAnsi="Times New Roman" w:cs="Times New Roman"/>
          <w:sz w:val="24"/>
          <w:szCs w:val="24"/>
        </w:rPr>
        <w:t> </w:t>
      </w:r>
      <w:r w:rsidRPr="00F06DE2">
        <w:rPr>
          <w:rFonts w:ascii="Times New Roman" w:hAnsi="Times New Roman" w:cs="Times New Roman"/>
          <w:sz w:val="24"/>
          <w:szCs w:val="24"/>
          <w:lang w:val="ru-RU"/>
        </w:rPr>
        <w:t>50 °С.</w:t>
      </w:r>
    </w:p>
    <w:p w14:paraId="2BE49312"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w:t>
      </w:r>
      <w:r w:rsidRPr="00F06DE2">
        <w:rPr>
          <w:rFonts w:ascii="Times New Roman" w:hAnsi="Times New Roman" w:cs="Times New Roman"/>
          <w:sz w:val="24"/>
          <w:szCs w:val="24"/>
          <w:lang w:val="ru-RU"/>
        </w:rPr>
        <w:tab/>
        <w:t>Съставните части на рулевата система трябва да са достатъчно здрави, за да могат винаги да издържат на натоварванията, на които могат да бъдат подложени при нормална експлоатация. Никакви външни сили, приложени към руля, не трябва да нарушават работоспособността на рулевия апарат и неговото задвижващо звено.</w:t>
      </w:r>
    </w:p>
    <w:p w14:paraId="7AEAEAC2"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w:t>
      </w:r>
      <w:r w:rsidRPr="00F06DE2">
        <w:rPr>
          <w:rFonts w:ascii="Times New Roman" w:hAnsi="Times New Roman" w:cs="Times New Roman"/>
          <w:sz w:val="24"/>
          <w:szCs w:val="24"/>
          <w:lang w:val="ru-RU"/>
        </w:rPr>
        <w:tab/>
        <w:t>Рулевата система включва задвижващо звено с усилвател, ако това се изисква с оглед на силата, необходима за задействане на руля.</w:t>
      </w:r>
    </w:p>
    <w:p w14:paraId="213D10C9"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6.</w:t>
      </w:r>
      <w:r w:rsidRPr="00F06DE2">
        <w:rPr>
          <w:rFonts w:ascii="Times New Roman" w:hAnsi="Times New Roman" w:cs="Times New Roman"/>
          <w:sz w:val="24"/>
          <w:szCs w:val="24"/>
          <w:lang w:val="ru-RU"/>
        </w:rPr>
        <w:tab/>
        <w:t>Рулевият апарат със задвижващо звено с усилвател се предпазва от претоварвания посредством система, която ограничава въртящия момент, създаван от задвижващото звено.</w:t>
      </w:r>
    </w:p>
    <w:p w14:paraId="3EB9AFAF"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7.</w:t>
      </w:r>
      <w:r w:rsidRPr="00F06DE2">
        <w:rPr>
          <w:rFonts w:ascii="Times New Roman" w:hAnsi="Times New Roman" w:cs="Times New Roman"/>
          <w:sz w:val="24"/>
          <w:szCs w:val="24"/>
          <w:lang w:val="ru-RU"/>
        </w:rPr>
        <w:tab/>
        <w:t>Отворите на руля са проектирани, така че да предотвратяват изпускането на замърсяващи водата масла.</w:t>
      </w:r>
    </w:p>
    <w:p w14:paraId="74959D0B" w14:textId="77777777" w:rsidR="00271FA2" w:rsidRPr="00F06DE2" w:rsidRDefault="00D35E51">
      <w:pPr>
        <w:pStyle w:val="ES-Titre3"/>
        <w:spacing w:line="240" w:lineRule="atLeast"/>
        <w:rPr>
          <w:rFonts w:ascii="Times New Roman" w:hAnsi="Times New Roman" w:cs="Times New Roman"/>
          <w:sz w:val="24"/>
          <w:szCs w:val="24"/>
          <w:lang w:val="ru-RU"/>
        </w:rPr>
      </w:pPr>
      <w:bookmarkStart w:id="58" w:name="_Toc491854034"/>
      <w:bookmarkStart w:id="59" w:name="_Toc535827475"/>
      <w:r w:rsidRPr="00F06DE2">
        <w:rPr>
          <w:rFonts w:ascii="Times New Roman" w:hAnsi="Times New Roman" w:cs="Times New Roman"/>
          <w:sz w:val="24"/>
          <w:szCs w:val="24"/>
          <w:lang w:val="ru-RU"/>
        </w:rPr>
        <w:t>Член 6.02</w:t>
      </w:r>
      <w:r w:rsidRPr="00F06DE2">
        <w:rPr>
          <w:rFonts w:ascii="Times New Roman" w:hAnsi="Times New Roman" w:cs="Times New Roman"/>
          <w:i/>
          <w:sz w:val="24"/>
          <w:szCs w:val="24"/>
          <w:lang w:val="ru-RU"/>
        </w:rPr>
        <w:br/>
        <w:t>Задвижващо звено на рулевия апарат</w:t>
      </w:r>
      <w:bookmarkEnd w:id="58"/>
      <w:bookmarkEnd w:id="59"/>
    </w:p>
    <w:p w14:paraId="2AB6B259"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Ако рулевият апарат е със задвижващо звено с усилвател, трябва да има второ независимо задвижващо звено или допълнително ръчно задвижване. В случай на повреда или авария на задвижващото звено на системата за рулево управление, второто независимо задвижващо звено или ръчното задвижване трябва да бъде пуснато в действие в рамките на 5 секунди.</w:t>
      </w:r>
    </w:p>
    <w:p w14:paraId="3DE4C3D8"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Ако второто задвижващо звено или ръчното задвижване не заработят автоматично, трябва да има възможност това да се направи незабавно с едно единствено действие на рулевия, което да е едновременно просто и бързо.</w:t>
      </w:r>
    </w:p>
    <w:p w14:paraId="0C3A0233"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Второто задвижващо звено или ръчното задвижване също осигуряват маневреността, изисквана съгласно Глава 5.</w:t>
      </w:r>
    </w:p>
    <w:p w14:paraId="6DBF9CCD" w14:textId="77777777" w:rsidR="00D839C9" w:rsidRPr="00F06DE2" w:rsidRDefault="00D839C9" w:rsidP="00D839C9">
      <w:pPr>
        <w:spacing w:line="240" w:lineRule="atLeast"/>
        <w:rPr>
          <w:rFonts w:ascii="Times New Roman" w:hAnsi="Times New Roman" w:cs="Times New Roman"/>
          <w:sz w:val="24"/>
          <w:szCs w:val="24"/>
          <w:lang w:val="ru-RU"/>
        </w:rPr>
      </w:pPr>
      <w:bookmarkStart w:id="60" w:name="_Toc535827476"/>
      <w:bookmarkStart w:id="61" w:name="_Toc491854035"/>
    </w:p>
    <w:p w14:paraId="61868209" w14:textId="221707EA" w:rsidR="00271FA2" w:rsidRPr="00F06DE2" w:rsidRDefault="00D35E51" w:rsidP="00D839C9">
      <w:pPr>
        <w:spacing w:line="240" w:lineRule="atLeast"/>
        <w:jc w:val="center"/>
        <w:rPr>
          <w:rFonts w:ascii="Times New Roman" w:hAnsi="Times New Roman" w:cs="Times New Roman"/>
          <w:b/>
          <w:i/>
          <w:sz w:val="24"/>
          <w:szCs w:val="24"/>
          <w:lang w:val="ru-RU"/>
        </w:rPr>
      </w:pPr>
      <w:r w:rsidRPr="00F06DE2">
        <w:rPr>
          <w:rFonts w:ascii="Times New Roman" w:hAnsi="Times New Roman" w:cs="Times New Roman"/>
          <w:b/>
          <w:sz w:val="24"/>
          <w:szCs w:val="24"/>
          <w:lang w:val="ru-RU"/>
        </w:rPr>
        <w:t>Член 6.03</w:t>
      </w:r>
      <w:r w:rsidRPr="00F06DE2">
        <w:rPr>
          <w:rFonts w:ascii="Times New Roman" w:hAnsi="Times New Roman" w:cs="Times New Roman"/>
          <w:b/>
          <w:sz w:val="24"/>
          <w:szCs w:val="24"/>
          <w:lang w:val="ru-RU"/>
        </w:rPr>
        <w:br/>
      </w:r>
      <w:r w:rsidRPr="00F06DE2">
        <w:rPr>
          <w:rFonts w:ascii="Times New Roman" w:hAnsi="Times New Roman" w:cs="Times New Roman"/>
          <w:b/>
          <w:i/>
          <w:sz w:val="24"/>
          <w:szCs w:val="24"/>
          <w:lang w:val="ru-RU"/>
        </w:rPr>
        <w:t xml:space="preserve">Хидравлично задвижващо звено на рулевия </w:t>
      </w:r>
      <w:r w:rsidR="00D839C9" w:rsidRPr="00F06DE2">
        <w:rPr>
          <w:rFonts w:ascii="Times New Roman" w:hAnsi="Times New Roman" w:cs="Times New Roman"/>
          <w:b/>
          <w:i/>
          <w:sz w:val="24"/>
          <w:szCs w:val="24"/>
          <w:lang w:val="ru-RU"/>
        </w:rPr>
        <w:t>аппарат</w:t>
      </w:r>
      <w:bookmarkEnd w:id="60"/>
      <w:bookmarkEnd w:id="61"/>
    </w:p>
    <w:p w14:paraId="17965617" w14:textId="77777777" w:rsidR="00D839C9" w:rsidRPr="00F06DE2" w:rsidRDefault="00D839C9" w:rsidP="00D839C9">
      <w:pPr>
        <w:spacing w:line="240" w:lineRule="atLeast"/>
        <w:rPr>
          <w:rFonts w:ascii="Times New Roman" w:hAnsi="Times New Roman" w:cs="Times New Roman"/>
          <w:b/>
          <w:sz w:val="24"/>
          <w:szCs w:val="24"/>
          <w:lang w:val="ru-RU"/>
        </w:rPr>
      </w:pPr>
    </w:p>
    <w:p w14:paraId="00376CAA"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Към хидравличното задвижващо звено на рулевия апарат не могат да бъдат свързвани други консуматори на мощност.</w:t>
      </w:r>
    </w:p>
    <w:p w14:paraId="69505D9E"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Хидравличните резервоари трябва да бъдат снабдени с предупредителна система, която следи за спадане на нивото на маслото под минималното ниво, необходимо за безопасна работа.</w:t>
      </w:r>
    </w:p>
    <w:p w14:paraId="4B246884"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3.</w:t>
      </w:r>
      <w:r w:rsidRPr="00F06DE2">
        <w:rPr>
          <w:rFonts w:ascii="Times New Roman" w:hAnsi="Times New Roman" w:cs="Times New Roman"/>
          <w:sz w:val="24"/>
          <w:szCs w:val="24"/>
          <w:lang w:val="ru-RU"/>
        </w:rPr>
        <w:tab/>
        <w:t>Размерите, планът и подредбата на тръбопроводите следва доколкото е възможно да изключват механични повреди или повреди от пожар.</w:t>
      </w:r>
    </w:p>
    <w:p w14:paraId="4ECA6A51"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w:t>
      </w:r>
      <w:r w:rsidRPr="00F06DE2">
        <w:rPr>
          <w:rFonts w:ascii="Times New Roman" w:hAnsi="Times New Roman" w:cs="Times New Roman"/>
          <w:sz w:val="24"/>
          <w:szCs w:val="24"/>
          <w:lang w:val="ru-RU"/>
        </w:rPr>
        <w:tab/>
        <w:t>Хидравличните маркучи:</w:t>
      </w:r>
    </w:p>
    <w:p w14:paraId="465D8183"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rPr>
        <w:t>a</w:t>
      </w:r>
      <w:r w:rsidRPr="00F06DE2">
        <w:rPr>
          <w:rFonts w:ascii="Times New Roman" w:hAnsi="Times New Roman" w:cs="Times New Roman"/>
          <w:sz w:val="24"/>
          <w:szCs w:val="24"/>
          <w:lang w:val="ru-RU"/>
        </w:rPr>
        <w:t>) трябва да се разрешават, само ако поглъщането на вибрациите или свободата на движение на компонентите прави използването им неизбежно;</w:t>
      </w:r>
    </w:p>
    <w:p w14:paraId="0C3E6180"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б) трябва да бъдат предназначени поне за максималното работно налягане;</w:t>
      </w:r>
    </w:p>
    <w:p w14:paraId="502F15FC"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в) трябва да се подменят най-малко на всеки осем години.</w:t>
      </w:r>
    </w:p>
    <w:p w14:paraId="396B3E03"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w:t>
      </w:r>
      <w:r w:rsidRPr="00F06DE2">
        <w:rPr>
          <w:rFonts w:ascii="Times New Roman" w:hAnsi="Times New Roman" w:cs="Times New Roman"/>
          <w:sz w:val="24"/>
          <w:szCs w:val="24"/>
          <w:lang w:val="ru-RU"/>
        </w:rPr>
        <w:tab/>
        <w:t>Хидравличните цилиндри, хидравличните помпи и хидравличните двигатели, както и електродвигателите се проверяват най-малко на всеки осем години от специализирана фирма и, ако е необходимо, се ремонтират.</w:t>
      </w:r>
    </w:p>
    <w:p w14:paraId="7D97F149" w14:textId="77777777" w:rsidR="00D839C9" w:rsidRPr="00F06DE2" w:rsidRDefault="00D839C9">
      <w:pPr>
        <w:pStyle w:val="ES-Titre3"/>
        <w:spacing w:line="240" w:lineRule="atLeast"/>
        <w:rPr>
          <w:rFonts w:ascii="Times New Roman" w:hAnsi="Times New Roman" w:cs="Times New Roman"/>
          <w:sz w:val="24"/>
          <w:szCs w:val="24"/>
          <w:lang w:val="ru-RU"/>
        </w:rPr>
      </w:pPr>
      <w:bookmarkStart w:id="62" w:name="_Toc535827477"/>
      <w:bookmarkStart w:id="63" w:name="_Toc491854036"/>
    </w:p>
    <w:p w14:paraId="6236CE48" w14:textId="21776CDC"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6.04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Източник на енергия</w:t>
      </w:r>
      <w:bookmarkEnd w:id="62"/>
      <w:bookmarkEnd w:id="63"/>
    </w:p>
    <w:p w14:paraId="6B948E26"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Рулевите системи, оборудвани с две задвижващи звена с усилвател, трябва да имат най-малко два източника на електрическа енергия.</w:t>
      </w:r>
    </w:p>
    <w:p w14:paraId="3D1E3A85"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Когато резервният източник на енергия на рулевия апарат с усилвател не е достъпен непрекъснато по време на движение на плавателния съд, той се заменя с буферно устройство с достатъчен капацитет за привеждане в действие на системата.</w:t>
      </w:r>
    </w:p>
    <w:p w14:paraId="4BB7DDC0"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Когато става въпрос за източници на електроенергия, не се допуска включване на други потребители към източника, захранващ рулевата система.</w:t>
      </w:r>
    </w:p>
    <w:p w14:paraId="69E30CC0" w14:textId="77777777" w:rsidR="00D839C9" w:rsidRPr="00F06DE2" w:rsidRDefault="00D839C9">
      <w:pPr>
        <w:pStyle w:val="ES-Titre3"/>
        <w:spacing w:line="240" w:lineRule="atLeast"/>
        <w:rPr>
          <w:rFonts w:ascii="Times New Roman" w:hAnsi="Times New Roman" w:cs="Times New Roman"/>
          <w:sz w:val="24"/>
          <w:szCs w:val="24"/>
          <w:lang w:val="ru-RU"/>
        </w:rPr>
      </w:pPr>
      <w:bookmarkStart w:id="64" w:name="_Toc491854037"/>
      <w:bookmarkStart w:id="65" w:name="_Toc535827478"/>
    </w:p>
    <w:p w14:paraId="67C2FBFE" w14:textId="70D9AD87"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6.05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Ръчно задвижване</w:t>
      </w:r>
      <w:bookmarkEnd w:id="64"/>
      <w:bookmarkEnd w:id="65"/>
    </w:p>
    <w:p w14:paraId="3E4A3908"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Колелото на ръчното задвижване не трябва да се задвижва от задвижващо звено с усилвател.</w:t>
      </w:r>
    </w:p>
    <w:p w14:paraId="407AC81D"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Независимо от положението на руля при автоматично включване на ръчното задвижване не трябва да се допуска обратен удар на колелото.</w:t>
      </w:r>
    </w:p>
    <w:p w14:paraId="2E62DFB4" w14:textId="77777777" w:rsidR="00D839C9" w:rsidRPr="00F06DE2" w:rsidRDefault="00D839C9">
      <w:pPr>
        <w:pStyle w:val="ES-Titre3"/>
        <w:spacing w:line="240" w:lineRule="atLeast"/>
        <w:rPr>
          <w:rFonts w:ascii="Times New Roman" w:hAnsi="Times New Roman" w:cs="Times New Roman"/>
          <w:sz w:val="24"/>
          <w:szCs w:val="24"/>
          <w:lang w:val="ru-RU"/>
        </w:rPr>
      </w:pPr>
      <w:bookmarkStart w:id="66" w:name="_Toc491854038"/>
      <w:bookmarkStart w:id="67" w:name="_Toc535827479"/>
    </w:p>
    <w:p w14:paraId="7D22D78B" w14:textId="535992D5"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6.06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Системи с винто-рулеви колони, водометни и крилчати движители и носови подрулващи устройства</w:t>
      </w:r>
      <w:bookmarkEnd w:id="66"/>
      <w:bookmarkEnd w:id="67"/>
    </w:p>
    <w:p w14:paraId="5B47D712" w14:textId="154A6FCA" w:rsidR="00BC3451" w:rsidRPr="00F06DE2" w:rsidRDefault="00D35E51" w:rsidP="00D839C9">
      <w:pPr>
        <w:pStyle w:val="ESchpar"/>
        <w:ind w:hanging="567"/>
        <w:jc w:val="both"/>
        <w:rPr>
          <w:rFonts w:ascii="Times New Roman" w:hAnsi="Times New Roman" w:cs="Times New Roman"/>
          <w:color w:val="00B050"/>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r>
      <w:r w:rsidR="00BC3451" w:rsidRPr="00F06DE2">
        <w:rPr>
          <w:rFonts w:ascii="Times New Roman" w:hAnsi="Times New Roman" w:cs="Times New Roman"/>
          <w:sz w:val="24"/>
          <w:szCs w:val="24"/>
          <w:lang w:val="ru-RU"/>
        </w:rPr>
        <w:t xml:space="preserve">Когато управлението на вектора  на тягата на инсталациите с винтово-кормилни, водометни, циклоидни, винтови или носови подрулващи устройства се задейства дистанционно чрез електрически, хидравлични или пневматични средства, трябва да има две независими кормилни управления, всеки независим от другия между мястото за управление и инсталацията на витлото или задвижващото устройство, които, </w:t>
      </w:r>
      <w:r w:rsidR="00BC3451" w:rsidRPr="00F06DE2">
        <w:rPr>
          <w:rFonts w:ascii="Times New Roman" w:hAnsi="Times New Roman" w:cs="Times New Roman"/>
          <w:sz w:val="24"/>
          <w:szCs w:val="24"/>
        </w:rPr>
        <w:t>mutatis</w:t>
      </w:r>
      <w:r w:rsidR="00BC3451" w:rsidRPr="00F06DE2">
        <w:rPr>
          <w:rFonts w:ascii="Times New Roman" w:hAnsi="Times New Roman" w:cs="Times New Roman"/>
          <w:sz w:val="24"/>
          <w:szCs w:val="24"/>
          <w:lang w:val="ru-RU"/>
        </w:rPr>
        <w:t xml:space="preserve"> </w:t>
      </w:r>
      <w:r w:rsidR="00BC3451" w:rsidRPr="00F06DE2">
        <w:rPr>
          <w:rFonts w:ascii="Times New Roman" w:hAnsi="Times New Roman" w:cs="Times New Roman"/>
          <w:sz w:val="24"/>
          <w:szCs w:val="24"/>
        </w:rPr>
        <w:t>mutandis</w:t>
      </w:r>
      <w:r w:rsidR="00BC3451" w:rsidRPr="00F06DE2">
        <w:rPr>
          <w:rFonts w:ascii="Times New Roman" w:hAnsi="Times New Roman" w:cs="Times New Roman"/>
          <w:sz w:val="24"/>
          <w:szCs w:val="24"/>
          <w:lang w:val="ru-RU"/>
        </w:rPr>
        <w:t>, отговарят на изискванията на членове 6.01 до 6.05.</w:t>
      </w:r>
    </w:p>
    <w:p w14:paraId="289AC99A" w14:textId="11AA5FC3" w:rsidR="00A2203D" w:rsidRPr="00F06DE2" w:rsidRDefault="00C90B31" w:rsidP="00D839C9">
      <w:pPr>
        <w:autoSpaceDE w:val="0"/>
        <w:autoSpaceDN w:val="0"/>
        <w:adjustRightInd w:val="0"/>
        <w:ind w:left="567"/>
        <w:rPr>
          <w:rFonts w:ascii="Times New Roman" w:hAnsi="Times New Roman" w:cs="Times New Roman"/>
          <w:strike/>
          <w:sz w:val="24"/>
          <w:szCs w:val="24"/>
          <w:lang w:val="ru-RU"/>
        </w:rPr>
      </w:pPr>
      <w:r w:rsidRPr="00F06DE2">
        <w:rPr>
          <w:rFonts w:ascii="Times New Roman" w:hAnsi="Times New Roman" w:cs="Times New Roman"/>
          <w:sz w:val="24"/>
          <w:szCs w:val="24"/>
          <w:lang w:val="ru-RU" w:eastAsia="bg-BG"/>
        </w:rPr>
        <w:t>Тези системи не са предмет на настоящата точка, ако не са необходими за постигане на</w:t>
      </w:r>
      <w:r w:rsidR="00D839C9" w:rsidRPr="00F06DE2">
        <w:rPr>
          <w:rFonts w:ascii="Times New Roman" w:hAnsi="Times New Roman" w:cs="Times New Roman"/>
          <w:sz w:val="24"/>
          <w:szCs w:val="24"/>
          <w:lang w:val="ru-RU" w:eastAsia="bg-BG"/>
        </w:rPr>
        <w:t xml:space="preserve"> </w:t>
      </w:r>
      <w:r w:rsidRPr="00F06DE2">
        <w:rPr>
          <w:rFonts w:ascii="Times New Roman" w:hAnsi="Times New Roman" w:cs="Times New Roman"/>
          <w:sz w:val="24"/>
          <w:szCs w:val="24"/>
          <w:lang w:val="ru-RU" w:eastAsia="bg-BG"/>
        </w:rPr>
        <w:t>маневреността, изисквана от Глава 5, или, ако са необходими само при изпитванията за</w:t>
      </w:r>
      <w:r w:rsidR="00D839C9" w:rsidRPr="00F06DE2">
        <w:rPr>
          <w:rFonts w:ascii="Times New Roman" w:hAnsi="Times New Roman" w:cs="Times New Roman"/>
          <w:sz w:val="24"/>
          <w:szCs w:val="24"/>
          <w:lang w:val="ru-RU" w:eastAsia="bg-BG"/>
        </w:rPr>
        <w:t xml:space="preserve"> </w:t>
      </w:r>
      <w:r w:rsidRPr="00F06DE2">
        <w:rPr>
          <w:rFonts w:ascii="Times New Roman" w:hAnsi="Times New Roman" w:cs="Times New Roman"/>
          <w:sz w:val="24"/>
          <w:szCs w:val="24"/>
          <w:lang w:val="ru-RU" w:eastAsia="bg-BG"/>
        </w:rPr>
        <w:t>спиране.</w:t>
      </w:r>
    </w:p>
    <w:p w14:paraId="5534E84B" w14:textId="77777777" w:rsidR="00A2203D" w:rsidRPr="00F06DE2" w:rsidRDefault="00A2203D" w:rsidP="00D839C9">
      <w:pPr>
        <w:pStyle w:val="ESchpar"/>
        <w:ind w:hanging="567"/>
        <w:jc w:val="both"/>
        <w:rPr>
          <w:rFonts w:ascii="Times New Roman" w:hAnsi="Times New Roman" w:cs="Times New Roman"/>
          <w:strike/>
          <w:sz w:val="24"/>
          <w:szCs w:val="24"/>
          <w:lang w:val="ru-RU"/>
        </w:rPr>
      </w:pPr>
    </w:p>
    <w:p w14:paraId="69C06CCB"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2.</w:t>
      </w:r>
      <w:r w:rsidRPr="00F06DE2">
        <w:rPr>
          <w:rFonts w:ascii="Times New Roman" w:hAnsi="Times New Roman" w:cs="Times New Roman"/>
          <w:sz w:val="24"/>
          <w:szCs w:val="24"/>
          <w:lang w:val="ru-RU"/>
        </w:rPr>
        <w:tab/>
        <w:t>При наличие на две или повече независими винто-рулеви колони, водометни или крилчати движители не е необходима резервна система за управление, в случай че плавателният съд запазва маневреността си, изисквана от Глава 5, при повреда на едно от тези устройства.</w:t>
      </w:r>
    </w:p>
    <w:p w14:paraId="161AA900" w14:textId="77777777" w:rsidR="00271FA2" w:rsidRPr="00F06DE2" w:rsidRDefault="00D35E51">
      <w:pPr>
        <w:pStyle w:val="ES-Titre3"/>
        <w:spacing w:line="240" w:lineRule="atLeast"/>
        <w:rPr>
          <w:rFonts w:ascii="Times New Roman" w:hAnsi="Times New Roman" w:cs="Times New Roman"/>
          <w:sz w:val="24"/>
          <w:szCs w:val="24"/>
          <w:lang w:val="ru-RU"/>
        </w:rPr>
      </w:pPr>
      <w:bookmarkStart w:id="68" w:name="_Toc491854039"/>
      <w:bookmarkStart w:id="69" w:name="_Toc535827480"/>
      <w:r w:rsidRPr="00F06DE2">
        <w:rPr>
          <w:rFonts w:ascii="Times New Roman" w:hAnsi="Times New Roman" w:cs="Times New Roman"/>
          <w:sz w:val="24"/>
          <w:szCs w:val="24"/>
          <w:lang w:val="ru-RU"/>
        </w:rPr>
        <w:t>Член 6.07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Индикатори и устройства за следене</w:t>
      </w:r>
      <w:bookmarkEnd w:id="68"/>
      <w:bookmarkEnd w:id="69"/>
    </w:p>
    <w:p w14:paraId="17D22524" w14:textId="6DE2BFC8"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ab/>
        <w:t>Положението на руля трябва да бъде ясно показано на поста за управление. В случай, че индикаторът на положението на руля е електрически, той трябва да има собствено захранване.</w:t>
      </w:r>
    </w:p>
    <w:p w14:paraId="69E81DAB" w14:textId="1D188C0D" w:rsidR="00271FA2" w:rsidRPr="00F06DE2" w:rsidRDefault="00D35E51" w:rsidP="00C01BD8">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ab/>
      </w:r>
      <w:r w:rsidR="0078218A" w:rsidRPr="00F06DE2">
        <w:rPr>
          <w:rFonts w:ascii="Times New Roman" w:hAnsi="Times New Roman" w:cs="Times New Roman"/>
          <w:sz w:val="24"/>
          <w:szCs w:val="24"/>
          <w:lang w:val="ru-RU"/>
        </w:rPr>
        <w:t>на завиване</w:t>
      </w:r>
    </w:p>
    <w:p w14:paraId="08C72488" w14:textId="51C19AED" w:rsidR="00271FA2" w:rsidRPr="00F06DE2" w:rsidRDefault="00D35E51">
      <w:pPr>
        <w:pStyle w:val="ES-Titre3"/>
        <w:spacing w:line="240" w:lineRule="atLeast"/>
        <w:rPr>
          <w:rFonts w:ascii="Times New Roman" w:hAnsi="Times New Roman" w:cs="Times New Roman"/>
          <w:i/>
          <w:sz w:val="24"/>
          <w:szCs w:val="24"/>
          <w:lang w:val="ru-RU"/>
        </w:rPr>
      </w:pPr>
      <w:bookmarkStart w:id="70" w:name="_Toc535827481"/>
      <w:bookmarkStart w:id="71" w:name="_Toc491854040"/>
      <w:r w:rsidRPr="00F06DE2">
        <w:rPr>
          <w:rFonts w:ascii="Times New Roman" w:hAnsi="Times New Roman" w:cs="Times New Roman"/>
          <w:sz w:val="24"/>
          <w:szCs w:val="24"/>
          <w:lang w:val="ru-RU"/>
        </w:rPr>
        <w:t>Член 6.08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Регулатори на ъгловата скорост</w:t>
      </w:r>
      <w:bookmarkEnd w:id="70"/>
      <w:bookmarkEnd w:id="71"/>
      <w:r w:rsidR="00EA1DD1" w:rsidRPr="00F06DE2">
        <w:rPr>
          <w:rFonts w:ascii="Times New Roman" w:hAnsi="Times New Roman" w:cs="Times New Roman"/>
          <w:i/>
          <w:sz w:val="24"/>
          <w:szCs w:val="24"/>
          <w:lang w:val="ru-RU"/>
        </w:rPr>
        <w:t xml:space="preserve"> </w:t>
      </w:r>
      <w:r w:rsidR="0078218A" w:rsidRPr="00F06DE2">
        <w:rPr>
          <w:rFonts w:ascii="Times New Roman" w:hAnsi="Times New Roman" w:cs="Times New Roman"/>
          <w:i/>
          <w:sz w:val="24"/>
          <w:szCs w:val="24"/>
          <w:lang w:val="ru-RU"/>
        </w:rPr>
        <w:t>на завиване</w:t>
      </w:r>
    </w:p>
    <w:p w14:paraId="5AD12F1A" w14:textId="63D21CD9"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Регулаторите на ъгловата скорост</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xml:space="preserve"> и техните съставни части отговарят на изискванията, определени в член 10.20.</w:t>
      </w:r>
    </w:p>
    <w:p w14:paraId="2608CD0B" w14:textId="0EA99F81"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Правилното функциониране на регулатора на ъгловата скорост</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xml:space="preserve"> се показва на поста за управление чрез зелена индикаторна светлина.</w:t>
      </w:r>
    </w:p>
    <w:p w14:paraId="3AAED53F" w14:textId="77777777" w:rsidR="00271FA2" w:rsidRPr="00F06DE2" w:rsidRDefault="00D35E51">
      <w:pPr>
        <w:pStyle w:val="ESchpar"/>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Следи се за липса или недопустими колебания в подаваното напрежение и за недопустими спадове в скоростта на въртене на жироскопа.</w:t>
      </w:r>
    </w:p>
    <w:p w14:paraId="603798D8" w14:textId="171E678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Когато освен регулатора на ъгловата скорост</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xml:space="preserve"> има и други системи за управление, трябва да бъде възможно на поста за управление да се направи ясно разграничение коя от системите е била активирана. Трябва да има възможност за незабавно преминаване от една система към друга. Регулаторът на ъгловата скорост</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xml:space="preserve"> не трябва да влияе на рулевите системи.</w:t>
      </w:r>
    </w:p>
    <w:p w14:paraId="4FEF70D5" w14:textId="04766955"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w:t>
      </w:r>
      <w:r w:rsidRPr="00F06DE2">
        <w:rPr>
          <w:rFonts w:ascii="Times New Roman" w:hAnsi="Times New Roman" w:cs="Times New Roman"/>
          <w:sz w:val="24"/>
          <w:szCs w:val="24"/>
          <w:lang w:val="ru-RU"/>
        </w:rPr>
        <w:tab/>
        <w:t>Електрозахранването на регулатора на ъгловата скорост</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xml:space="preserve"> трябва да </w:t>
      </w:r>
      <w:r w:rsidRPr="00F06DE2">
        <w:rPr>
          <w:rFonts w:ascii="Times New Roman" w:hAnsi="Times New Roman" w:cs="Times New Roman"/>
          <w:sz w:val="24"/>
          <w:szCs w:val="24"/>
        </w:rPr>
        <w:t>e</w:t>
      </w:r>
      <w:r w:rsidRPr="00F06DE2">
        <w:rPr>
          <w:rFonts w:ascii="Times New Roman" w:hAnsi="Times New Roman" w:cs="Times New Roman"/>
          <w:sz w:val="24"/>
          <w:szCs w:val="24"/>
          <w:lang w:val="ru-RU"/>
        </w:rPr>
        <w:t xml:space="preserve"> независимо от други консуматори на мощност.</w:t>
      </w:r>
    </w:p>
    <w:p w14:paraId="2FC87778" w14:textId="7E1C4E3A"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5.</w:t>
      </w:r>
      <w:r w:rsidRPr="00F06DE2">
        <w:rPr>
          <w:rFonts w:ascii="Times New Roman" w:hAnsi="Times New Roman" w:cs="Times New Roman"/>
          <w:sz w:val="24"/>
          <w:szCs w:val="24"/>
          <w:lang w:val="ru-RU"/>
        </w:rPr>
        <w:tab/>
        <w:t>Жироскопите, датчиците и индикаторите на ъгловата скорост</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използвани в регулаторите на ъгловата скорост</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xml:space="preserve">, трябва да отговарят на минималните изисквания от минималните спецификации и условията на изпитване по отношение на мониторите за указване на промяната на курса за вътрешните водни пътища, както е посочено в раздел </w:t>
      </w:r>
      <w:r w:rsidRPr="00F06DE2">
        <w:rPr>
          <w:rFonts w:ascii="Times New Roman" w:hAnsi="Times New Roman" w:cs="Times New Roman"/>
          <w:sz w:val="24"/>
          <w:szCs w:val="24"/>
        </w:rPr>
        <w:t>II</w:t>
      </w:r>
      <w:r w:rsidRPr="00F06DE2">
        <w:rPr>
          <w:rFonts w:ascii="Times New Roman" w:hAnsi="Times New Roman" w:cs="Times New Roman"/>
          <w:sz w:val="24"/>
          <w:szCs w:val="24"/>
          <w:lang w:val="ru-RU"/>
        </w:rPr>
        <w:t xml:space="preserve"> от Приложение 5.</w:t>
      </w:r>
    </w:p>
    <w:p w14:paraId="7A295DA3" w14:textId="77777777" w:rsidR="003B59EB" w:rsidRPr="00F06DE2" w:rsidRDefault="003B59EB">
      <w:pPr>
        <w:pStyle w:val="ES-Titre3"/>
        <w:spacing w:line="240" w:lineRule="atLeast"/>
        <w:rPr>
          <w:rFonts w:ascii="Times New Roman" w:hAnsi="Times New Roman" w:cs="Times New Roman"/>
          <w:sz w:val="24"/>
          <w:szCs w:val="24"/>
          <w:lang w:val="ru-RU"/>
        </w:rPr>
      </w:pPr>
      <w:bookmarkStart w:id="72" w:name="_Toc535827482"/>
      <w:bookmarkStart w:id="73" w:name="_Toc491854041"/>
    </w:p>
    <w:p w14:paraId="389BF323" w14:textId="4DD186B3"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6.09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Изпитване</w:t>
      </w:r>
      <w:bookmarkEnd w:id="72"/>
      <w:bookmarkEnd w:id="73"/>
    </w:p>
    <w:p w14:paraId="51CB5690"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1.</w:t>
      </w:r>
      <w:r w:rsidRPr="00F06DE2">
        <w:rPr>
          <w:rFonts w:ascii="Times New Roman" w:hAnsi="Times New Roman" w:cs="Times New Roman"/>
          <w:sz w:val="24"/>
          <w:szCs w:val="24"/>
          <w:lang w:val="ru-RU"/>
        </w:rPr>
        <w:tab/>
        <w:t>Правилното монтиране на рулевата система се проверява от контролен орган. За тази цел контролният орган може да изисква следните документи:</w:t>
      </w:r>
    </w:p>
    <w:p w14:paraId="00C4ABC8"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rPr>
        <w:t>a</w:t>
      </w:r>
      <w:r w:rsidRPr="00F06DE2">
        <w:rPr>
          <w:rFonts w:ascii="Times New Roman" w:hAnsi="Times New Roman" w:cs="Times New Roman"/>
          <w:sz w:val="24"/>
          <w:szCs w:val="24"/>
          <w:lang w:val="ru-RU"/>
        </w:rPr>
        <w:t>) описание на рулевата система;</w:t>
      </w:r>
    </w:p>
    <w:p w14:paraId="13FEC67D"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б) чертежи и информация за задвижващите звена на рулевия апарат и уредбата за управление на руля;</w:t>
      </w:r>
    </w:p>
    <w:p w14:paraId="3011710B"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в) информация относно рулевия апарат;</w:t>
      </w:r>
    </w:p>
    <w:p w14:paraId="282A8ADA"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г) електрическа схема на свързване;</w:t>
      </w:r>
    </w:p>
    <w:p w14:paraId="031D92D8" w14:textId="1EF1FDFC"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д) описание на регулатора на ъгловата скорост</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w:t>
      </w:r>
    </w:p>
    <w:p w14:paraId="209728CC"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lastRenderedPageBreak/>
        <w:t>е) инструкции за експлоатация и поддръжка на рулевата система.</w:t>
      </w:r>
    </w:p>
    <w:p w14:paraId="6204DE68" w14:textId="44A96A3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2.</w:t>
      </w:r>
      <w:r w:rsidRPr="00F06DE2">
        <w:rPr>
          <w:rFonts w:ascii="Times New Roman" w:hAnsi="Times New Roman" w:cs="Times New Roman"/>
          <w:sz w:val="24"/>
          <w:szCs w:val="24"/>
          <w:lang w:val="ru-RU"/>
        </w:rPr>
        <w:tab/>
        <w:t>Функционирането на цялата рулева система се проверява чрез ходово изпитване. Ако е монтиран регулатор на ъгловата скорост</w:t>
      </w:r>
      <w:r w:rsidR="0078218A" w:rsidRPr="00F06DE2">
        <w:rPr>
          <w:rFonts w:ascii="Times New Roman" w:hAnsi="Times New Roman" w:cs="Times New Roman"/>
          <w:sz w:val="24"/>
          <w:szCs w:val="24"/>
          <w:lang w:val="ru-RU"/>
        </w:rPr>
        <w:t>на завиване</w:t>
      </w:r>
      <w:r w:rsidRPr="00F06DE2">
        <w:rPr>
          <w:rFonts w:ascii="Times New Roman" w:hAnsi="Times New Roman" w:cs="Times New Roman"/>
          <w:sz w:val="24"/>
          <w:szCs w:val="24"/>
          <w:lang w:val="ru-RU"/>
        </w:rPr>
        <w:t>, се проверява дали могат да бъдат осигурени надеждно поддържане на предварително определен курс и безопасно преодоляване на завои.</w:t>
      </w:r>
    </w:p>
    <w:p w14:paraId="6FD52F21"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3.</w:t>
      </w:r>
      <w:r w:rsidRPr="00F06DE2">
        <w:rPr>
          <w:rFonts w:ascii="Times New Roman" w:hAnsi="Times New Roman" w:cs="Times New Roman"/>
          <w:sz w:val="24"/>
          <w:szCs w:val="24"/>
          <w:lang w:val="ru-RU"/>
        </w:rPr>
        <w:tab/>
        <w:t>Силово задвижваните рулеви системи трябва да бъдат проверявани от компетентно лице:</w:t>
      </w:r>
    </w:p>
    <w:p w14:paraId="607E0A5C"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rPr>
        <w:t>a</w:t>
      </w:r>
      <w:r w:rsidRPr="00F06DE2">
        <w:rPr>
          <w:rFonts w:ascii="Times New Roman" w:hAnsi="Times New Roman" w:cs="Times New Roman"/>
          <w:sz w:val="24"/>
          <w:szCs w:val="24"/>
          <w:lang w:val="ru-RU"/>
        </w:rPr>
        <w:t>) преди пускането им в експлоатация;</w:t>
      </w:r>
    </w:p>
    <w:p w14:paraId="5E60518C"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б) след повреда;</w:t>
      </w:r>
    </w:p>
    <w:p w14:paraId="302557CE"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в) след всяка промяна или ремонт;</w:t>
      </w:r>
    </w:p>
    <w:p w14:paraId="23A63B8D"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г)</w:t>
      </w:r>
      <w:r w:rsidRPr="00F06DE2">
        <w:rPr>
          <w:rFonts w:ascii="Times New Roman" w:hAnsi="Times New Roman" w:cs="Times New Roman"/>
          <w:sz w:val="24"/>
          <w:szCs w:val="24"/>
          <w:lang w:val="ru-RU"/>
        </w:rPr>
        <w:tab/>
        <w:t>редовно, поне веднъж на три години.</w:t>
      </w:r>
    </w:p>
    <w:p w14:paraId="3B474F2A" w14:textId="77777777" w:rsidR="00271FA2" w:rsidRPr="00F06DE2" w:rsidRDefault="00D35E51">
      <w:pPr>
        <w:pStyle w:val="ESch"/>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4.</w:t>
      </w:r>
      <w:r w:rsidRPr="00F06DE2">
        <w:rPr>
          <w:rFonts w:ascii="Times New Roman" w:hAnsi="Times New Roman" w:cs="Times New Roman"/>
          <w:sz w:val="24"/>
          <w:szCs w:val="24"/>
          <w:lang w:val="ru-RU"/>
        </w:rPr>
        <w:tab/>
        <w:t>Проверката трябва да обхване поне:</w:t>
      </w:r>
    </w:p>
    <w:p w14:paraId="39B4C7EA" w14:textId="77777777" w:rsidR="00271FA2" w:rsidRPr="00F06DE2" w:rsidRDefault="00D35E51">
      <w:pPr>
        <w:pStyle w:val="ESch"/>
        <w:ind w:left="851" w:hanging="284"/>
        <w:jc w:val="both"/>
        <w:rPr>
          <w:rFonts w:ascii="Times New Roman" w:hAnsi="Times New Roman" w:cs="Times New Roman"/>
          <w:sz w:val="24"/>
          <w:szCs w:val="24"/>
          <w:lang w:val="ru-RU"/>
        </w:rPr>
      </w:pPr>
      <w:r w:rsidRPr="00F06DE2">
        <w:rPr>
          <w:rFonts w:ascii="Times New Roman" w:hAnsi="Times New Roman" w:cs="Times New Roman"/>
          <w:sz w:val="24"/>
          <w:szCs w:val="24"/>
        </w:rPr>
        <w:t>a</w:t>
      </w:r>
      <w:r w:rsidRPr="00F06DE2">
        <w:rPr>
          <w:rFonts w:ascii="Times New Roman" w:hAnsi="Times New Roman" w:cs="Times New Roman"/>
          <w:sz w:val="24"/>
          <w:szCs w:val="24"/>
          <w:lang w:val="ru-RU"/>
        </w:rPr>
        <w:t xml:space="preserve">) проверка на съответствието с утвърдените чертежи и при периодични проверки, дали са внасяни изменения в системата за рулево управление; </w:t>
      </w:r>
    </w:p>
    <w:p w14:paraId="676624B0" w14:textId="77777777" w:rsidR="00271FA2" w:rsidRPr="00F06DE2" w:rsidRDefault="00D35E51">
      <w:pPr>
        <w:pStyle w:val="ESch"/>
        <w:ind w:left="851" w:hanging="284"/>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б) функционално изпитване на системата за рулево управление за всички експлоатационни възможности;</w:t>
      </w:r>
    </w:p>
    <w:p w14:paraId="549A551E" w14:textId="77777777" w:rsidR="00271FA2" w:rsidRPr="00F06DE2" w:rsidRDefault="00D35E51">
      <w:pPr>
        <w:pStyle w:val="ESlet"/>
        <w:spacing w:before="0"/>
        <w:ind w:left="897" w:hanging="33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в) визуална проверка и проверка за херметичност на хидравличните елементи, по-специално вентили, тръбопроводи, хидравлични маркучи, хидравлични цилиндри, хидравлични помпи и хидравлични филтри;</w:t>
      </w:r>
    </w:p>
    <w:p w14:paraId="3FC0504B" w14:textId="77777777" w:rsidR="00271FA2" w:rsidRPr="00F06DE2" w:rsidRDefault="00D35E51">
      <w:pPr>
        <w:pStyle w:val="ESlet"/>
        <w:spacing w:before="0"/>
        <w:ind w:left="897" w:hanging="330"/>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г) визуална проверка на електрическите елементи, по-специално релета, електродвигатели и предпазни средства;</w:t>
      </w:r>
    </w:p>
    <w:p w14:paraId="4FD51267" w14:textId="77777777" w:rsidR="00271FA2" w:rsidRPr="00F06DE2" w:rsidRDefault="00D35E51">
      <w:pPr>
        <w:pStyle w:val="ESlet"/>
        <w:spacing w:before="0"/>
        <w:ind w:left="567"/>
        <w:jc w:val="both"/>
        <w:rPr>
          <w:rFonts w:ascii="Times New Roman" w:hAnsi="Times New Roman" w:cs="Times New Roman"/>
          <w:sz w:val="24"/>
          <w:szCs w:val="24"/>
          <w:lang w:val="ru-RU"/>
        </w:rPr>
      </w:pPr>
      <w:r w:rsidRPr="00F06DE2">
        <w:rPr>
          <w:rFonts w:ascii="Times New Roman" w:hAnsi="Times New Roman" w:cs="Times New Roman"/>
          <w:sz w:val="24"/>
          <w:szCs w:val="24"/>
          <w:lang w:val="ru-RU"/>
        </w:rPr>
        <w:t>д) проверка на оптичните и звукови контролни прибори</w:t>
      </w:r>
    </w:p>
    <w:p w14:paraId="1324DD7F" w14:textId="77777777" w:rsidR="00634697" w:rsidRPr="00F06DE2" w:rsidRDefault="00D35E51">
      <w:pPr>
        <w:pStyle w:val="ESch"/>
        <w:jc w:val="both"/>
        <w:rPr>
          <w:rFonts w:ascii="Times New Roman" w:hAnsi="Times New Roman" w:cs="Times New Roman"/>
          <w:sz w:val="24"/>
          <w:szCs w:val="24"/>
          <w:lang w:val="ru-RU"/>
        </w:rPr>
        <w:sectPr w:rsidR="00634697" w:rsidRPr="00F06DE2" w:rsidSect="00F06DE2">
          <w:headerReference w:type="default" r:id="rId31"/>
          <w:headerReference w:type="first" r:id="rId32"/>
          <w:footnotePr>
            <w:numRestart w:val="eachPage"/>
          </w:footnotePr>
          <w:pgSz w:w="11906" w:h="16838" w:code="9"/>
          <w:pgMar w:top="1134" w:right="1134" w:bottom="1134" w:left="1134" w:header="709" w:footer="709" w:gutter="0"/>
          <w:cols w:space="709"/>
          <w:titlePg/>
          <w:docGrid w:linePitch="272"/>
        </w:sectPr>
      </w:pPr>
      <w:r w:rsidRPr="00F06DE2">
        <w:rPr>
          <w:rFonts w:ascii="Times New Roman" w:hAnsi="Times New Roman" w:cs="Times New Roman"/>
          <w:sz w:val="24"/>
          <w:szCs w:val="24"/>
          <w:lang w:val="ru-RU"/>
        </w:rPr>
        <w:t>5.</w:t>
      </w:r>
      <w:r w:rsidRPr="00F06DE2">
        <w:rPr>
          <w:rFonts w:ascii="Times New Roman" w:hAnsi="Times New Roman" w:cs="Times New Roman"/>
          <w:sz w:val="24"/>
          <w:szCs w:val="24"/>
          <w:lang w:val="ru-RU"/>
        </w:rPr>
        <w:tab/>
        <w:t>Издава се удостоверение за проверката, подписано от компетентното лице и посочващо датата ѝ.</w:t>
      </w:r>
    </w:p>
    <w:p w14:paraId="1CBBB712" w14:textId="77777777" w:rsidR="00271FA2" w:rsidRPr="00F06DE2" w:rsidRDefault="00D35E51">
      <w:pPr>
        <w:pStyle w:val="ES-Titre2"/>
        <w:rPr>
          <w:rFonts w:ascii="Times New Roman" w:hAnsi="Times New Roman" w:cs="Times New Roman"/>
          <w:lang w:val="ru-RU"/>
        </w:rPr>
      </w:pPr>
      <w:bookmarkStart w:id="74" w:name="_Toc491854042"/>
      <w:bookmarkStart w:id="75" w:name="_Toc535827483"/>
      <w:r w:rsidRPr="00F06DE2">
        <w:rPr>
          <w:rFonts w:ascii="Times New Roman" w:hAnsi="Times New Roman" w:cs="Times New Roman"/>
          <w:lang w:val="ru-RU"/>
        </w:rPr>
        <w:lastRenderedPageBreak/>
        <w:t>Глава 7</w:t>
      </w:r>
      <w:r w:rsidRPr="00F06DE2">
        <w:rPr>
          <w:rFonts w:ascii="Times New Roman" w:hAnsi="Times New Roman" w:cs="Times New Roman"/>
          <w:lang w:val="ru-RU"/>
        </w:rPr>
        <w:br/>
        <w:t>Рулева рубка</w:t>
      </w:r>
      <w:bookmarkEnd w:id="74"/>
      <w:bookmarkEnd w:id="75"/>
    </w:p>
    <w:p w14:paraId="686ADFD0" w14:textId="77777777" w:rsidR="00271FA2" w:rsidRPr="00F06DE2" w:rsidRDefault="00D35E51">
      <w:pPr>
        <w:pStyle w:val="ES-Titre3"/>
        <w:spacing w:line="240" w:lineRule="atLeast"/>
        <w:rPr>
          <w:rFonts w:ascii="Times New Roman" w:hAnsi="Times New Roman" w:cs="Times New Roman"/>
          <w:sz w:val="24"/>
          <w:szCs w:val="24"/>
          <w:lang w:val="ru-RU"/>
        </w:rPr>
      </w:pPr>
      <w:bookmarkStart w:id="76" w:name="_Toc535827484"/>
      <w:bookmarkStart w:id="77" w:name="_Toc491854043"/>
      <w:r w:rsidRPr="00F06DE2">
        <w:rPr>
          <w:rFonts w:ascii="Times New Roman" w:hAnsi="Times New Roman" w:cs="Times New Roman"/>
          <w:sz w:val="24"/>
          <w:szCs w:val="24"/>
          <w:lang w:val="ru-RU"/>
        </w:rPr>
        <w:t>Член 7.01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76"/>
      <w:bookmarkEnd w:id="77"/>
    </w:p>
    <w:p w14:paraId="67192A3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Рулевите рубки се разполагат по такъв начин, че рулевият да може във всеки момент да изпълнява задълженията си, докато плавателният съд е в движение.</w:t>
      </w:r>
    </w:p>
    <w:p w14:paraId="4B748EC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При нормални условия на експлоатация звуковото налягане, създавано от плавателния съд и измервано на равнището на главата на рулевия на поста за управление, трябва да не превишава 70</w:t>
      </w:r>
      <w:r w:rsidRPr="00F06DE2">
        <w:rPr>
          <w:rFonts w:ascii="Times New Roman" w:hAnsi="Times New Roman" w:cs="Times New Roman"/>
        </w:rPr>
        <w:t> 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w:t>
      </w:r>
    </w:p>
    <w:p w14:paraId="5195BD6F" w14:textId="0C865DFE" w:rsidR="00271FA2" w:rsidRPr="00F06DE2" w:rsidRDefault="00D35E51">
      <w:pPr>
        <w:pStyle w:val="ESch"/>
        <w:jc w:val="both"/>
        <w:rPr>
          <w:rFonts w:ascii="Times New Roman" w:hAnsi="Times New Roman" w:cs="Times New Roman"/>
          <w:strike/>
          <w:lang w:val="ru-RU"/>
        </w:rPr>
      </w:pPr>
      <w:r w:rsidRPr="00F06DE2">
        <w:rPr>
          <w:rFonts w:ascii="Times New Roman" w:hAnsi="Times New Roman" w:cs="Times New Roman"/>
          <w:lang w:val="ru-RU"/>
        </w:rPr>
        <w:t>3.</w:t>
      </w:r>
      <w:r w:rsidRPr="00F06DE2">
        <w:rPr>
          <w:rFonts w:ascii="Times New Roman" w:hAnsi="Times New Roman" w:cs="Times New Roman"/>
          <w:lang w:val="ru-RU"/>
        </w:rPr>
        <w:tab/>
      </w:r>
      <w:r w:rsidR="00EC4F21" w:rsidRPr="00F06DE2">
        <w:rPr>
          <w:rFonts w:ascii="Times New Roman" w:hAnsi="Times New Roman" w:cs="Times New Roman"/>
          <w:lang w:val="ru-RU"/>
        </w:rPr>
        <w:t>Когато мястото за управление е проектирано за навигация от едно лице</w:t>
      </w:r>
      <w:r w:rsidR="00A034FA" w:rsidRPr="00F06DE2">
        <w:rPr>
          <w:rFonts w:ascii="Times New Roman" w:hAnsi="Times New Roman" w:cs="Times New Roman"/>
          <w:lang w:val="ru-RU"/>
        </w:rPr>
        <w:t xml:space="preserve"> с помощта на радиолокатор</w:t>
      </w:r>
      <w:r w:rsidR="00EC4F21" w:rsidRPr="00F06DE2">
        <w:rPr>
          <w:rFonts w:ascii="Times New Roman" w:hAnsi="Times New Roman" w:cs="Times New Roman"/>
          <w:lang w:val="ru-RU"/>
        </w:rPr>
        <w:t xml:space="preserve">, рулевият трябва да може да изпълнява задачата си, докато е седнал и всички инструменти за </w:t>
      </w:r>
      <w:r w:rsidR="000F084E" w:rsidRPr="00F06DE2">
        <w:rPr>
          <w:rFonts w:ascii="Times New Roman" w:hAnsi="Times New Roman" w:cs="Times New Roman"/>
          <w:lang w:val="ru-RU"/>
        </w:rPr>
        <w:t xml:space="preserve">контрол </w:t>
      </w:r>
      <w:r w:rsidR="00EC4F21" w:rsidRPr="00F06DE2">
        <w:rPr>
          <w:rFonts w:ascii="Times New Roman" w:hAnsi="Times New Roman" w:cs="Times New Roman"/>
          <w:lang w:val="ru-RU"/>
        </w:rPr>
        <w:t xml:space="preserve"> или наблюдение и всички </w:t>
      </w:r>
      <w:r w:rsidR="000F084E" w:rsidRPr="00F06DE2">
        <w:rPr>
          <w:rFonts w:ascii="Times New Roman" w:hAnsi="Times New Roman" w:cs="Times New Roman"/>
          <w:lang w:val="ru-RU"/>
        </w:rPr>
        <w:t>устройства</w:t>
      </w:r>
      <w:r w:rsidR="00EC4F21" w:rsidRPr="00F06DE2">
        <w:rPr>
          <w:rFonts w:ascii="Times New Roman" w:hAnsi="Times New Roman" w:cs="Times New Roman"/>
          <w:lang w:val="ru-RU"/>
        </w:rPr>
        <w:t xml:space="preserve">, необходими за управлението на плавателния съд, трябва да бъдат разположени по такъв начин, че рулевият да може да ги използва удобно, докато плавателният съд е </w:t>
      </w:r>
      <w:r w:rsidR="00823267" w:rsidRPr="00F06DE2">
        <w:rPr>
          <w:rFonts w:ascii="Times New Roman" w:hAnsi="Times New Roman" w:cs="Times New Roman"/>
          <w:lang w:val="ru-RU"/>
        </w:rPr>
        <w:t xml:space="preserve"> </w:t>
      </w:r>
      <w:r w:rsidR="000F084E" w:rsidRPr="00F06DE2">
        <w:rPr>
          <w:rFonts w:ascii="Times New Roman" w:hAnsi="Times New Roman" w:cs="Times New Roman"/>
          <w:lang w:val="ru-RU"/>
        </w:rPr>
        <w:t>в двжижение</w:t>
      </w:r>
      <w:r w:rsidR="00EC4F21" w:rsidRPr="00F06DE2">
        <w:rPr>
          <w:rFonts w:ascii="Times New Roman" w:hAnsi="Times New Roman" w:cs="Times New Roman"/>
          <w:lang w:val="ru-RU"/>
        </w:rPr>
        <w:t>, без да напуска позицията си или да изпуска радарния екран от поглед.</w:t>
      </w:r>
    </w:p>
    <w:p w14:paraId="2F9A1637" w14:textId="77777777" w:rsidR="003B59EB" w:rsidRPr="00F06DE2" w:rsidRDefault="003B59EB">
      <w:pPr>
        <w:pStyle w:val="ES-Titre3"/>
        <w:spacing w:line="240" w:lineRule="atLeast"/>
        <w:rPr>
          <w:rFonts w:ascii="Times New Roman" w:hAnsi="Times New Roman" w:cs="Times New Roman"/>
          <w:sz w:val="24"/>
          <w:szCs w:val="24"/>
          <w:lang w:val="ru-RU"/>
        </w:rPr>
      </w:pPr>
      <w:bookmarkStart w:id="78" w:name="_Toc491854044"/>
      <w:bookmarkStart w:id="79" w:name="_Toc535827485"/>
    </w:p>
    <w:p w14:paraId="7891290E" w14:textId="4D2F6DF4"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7.02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Безпрепятствена видимост</w:t>
      </w:r>
      <w:bookmarkEnd w:id="78"/>
      <w:bookmarkEnd w:id="79"/>
    </w:p>
    <w:p w14:paraId="73E1073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Трябва да има съответна безпрепятствена видимост във всички посоки от поста за управление.</w:t>
      </w:r>
    </w:p>
    <w:p w14:paraId="1ADE3F5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Мъртвата зона за рулевия пред плавателния съд в състояние без товар и с половината от припасите, но без баласт, не трябва да превишава 250</w:t>
      </w:r>
      <w:r w:rsidRPr="00F06DE2">
        <w:rPr>
          <w:rFonts w:ascii="Times New Roman" w:hAnsi="Times New Roman" w:cs="Times New Roman"/>
        </w:rPr>
        <w:t> m</w:t>
      </w:r>
      <w:r w:rsidRPr="00F06DE2">
        <w:rPr>
          <w:rFonts w:ascii="Times New Roman" w:hAnsi="Times New Roman" w:cs="Times New Roman"/>
          <w:lang w:val="ru-RU"/>
        </w:rPr>
        <w:t>.</w:t>
      </w:r>
    </w:p>
    <w:p w14:paraId="5B2FCFC7"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За допълнително намаляване на мъртвата зона трябва да се използват само подходящи помощни средства.</w:t>
      </w:r>
    </w:p>
    <w:p w14:paraId="5442FED3"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Помощните средства за намаляване на мъртвата зона могат да не бъдат взети под внимание при проверката.</w:t>
      </w:r>
    </w:p>
    <w:p w14:paraId="2936D65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Полето на безпрепятствена видимост за рулевия при неговото обичайно положение трябва да бъде поне на 240°от хоризонта. Полето на безпрепятствено виждане трябва да бъде поне 140° в полукръг пред плавателния съд.</w:t>
      </w:r>
    </w:p>
    <w:p w14:paraId="37C8D052"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Никакви рамки на прозорци, постове или надстройки не могат да бъдат разположени по обичайната ос на наблюдение на рулевия.</w:t>
      </w:r>
    </w:p>
    <w:p w14:paraId="2DECAD09"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Дори в случай, когато е осигурено поле на безпрепятствена видимост от поне 240° от хоризонта, контролният орган има право да изиска други мерки и в частност монтиране на подходящи помощни средства, ако не е осигурена достатъчна безпрепятствена видимост назад. </w:t>
      </w:r>
    </w:p>
    <w:p w14:paraId="6BB7048A"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Долният край на страничните прозорци трябва да бъде разположен колкото е възможно по-ниско, а горният край на страничните и задните прозорци трябва да бъде разположен колкото може по-високо.</w:t>
      </w:r>
    </w:p>
    <w:p w14:paraId="67360CE7"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При определяне дали изискванията на настоящия член относно видимостта от рулевата рубка са изпълнени, се приема, че рулевият има височината на нивото на очите от 1,65 </w:t>
      </w:r>
      <w:r w:rsidRPr="00F06DE2">
        <w:rPr>
          <w:rFonts w:ascii="Times New Roman" w:hAnsi="Times New Roman" w:cs="Times New Roman"/>
        </w:rPr>
        <w:t>m</w:t>
      </w:r>
      <w:r w:rsidRPr="00F06DE2">
        <w:rPr>
          <w:rFonts w:ascii="Times New Roman" w:hAnsi="Times New Roman" w:cs="Times New Roman"/>
          <w:lang w:val="ru-RU"/>
        </w:rPr>
        <w:t xml:space="preserve"> над пода в рулевата рубка на поста за управление.</w:t>
      </w:r>
    </w:p>
    <w:p w14:paraId="1F99F3F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Горният край на гледащите напред прозорци на рулевата рубка трябва да бъде достатъчно висок, за да позволи безпрепятствен поглед напред на лице, намиращо се на поста за управление.</w:t>
      </w:r>
    </w:p>
    <w:p w14:paraId="70319389"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Това изискване се счита за изпълнено, когато лице на поста за управление с височина на нивото на очите 1,80 </w:t>
      </w:r>
      <w:r w:rsidRPr="00F06DE2">
        <w:rPr>
          <w:rFonts w:ascii="Times New Roman" w:hAnsi="Times New Roman" w:cs="Times New Roman"/>
        </w:rPr>
        <w:t>m</w:t>
      </w:r>
      <w:r w:rsidRPr="00F06DE2">
        <w:rPr>
          <w:rFonts w:ascii="Times New Roman" w:hAnsi="Times New Roman" w:cs="Times New Roman"/>
          <w:lang w:val="ru-RU"/>
        </w:rPr>
        <w:t xml:space="preserve"> има безпрепятствен поглед напред при ъгъл поне 10 градуса над хоризонталата на равнището на височината на очите.</w:t>
      </w:r>
    </w:p>
    <w:p w14:paraId="38F5E72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5.</w:t>
      </w:r>
      <w:r w:rsidRPr="00F06DE2">
        <w:rPr>
          <w:rFonts w:ascii="Times New Roman" w:hAnsi="Times New Roman" w:cs="Times New Roman"/>
          <w:lang w:val="ru-RU"/>
        </w:rPr>
        <w:tab/>
        <w:t>При всякакви атмосферни условия трябва да има подходящи средства за осигуряване на ясна видимост на предните стъкла.</w:t>
      </w:r>
    </w:p>
    <w:p w14:paraId="4CB2A5A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Остъкляването в рулевите рубки трябва да е от безопасно стъкло и да е с пропускане на светлината не по-малко от 75</w:t>
      </w:r>
      <w:r w:rsidRPr="00F06DE2">
        <w:rPr>
          <w:rFonts w:ascii="Times New Roman" w:hAnsi="Times New Roman" w:cs="Times New Roman"/>
        </w:rPr>
        <w:t> </w:t>
      </w:r>
      <w:r w:rsidRPr="00F06DE2">
        <w:rPr>
          <w:rFonts w:ascii="Times New Roman" w:hAnsi="Times New Roman" w:cs="Times New Roman"/>
          <w:lang w:val="ru-RU"/>
        </w:rPr>
        <w:t>%.</w:t>
      </w:r>
    </w:p>
    <w:p w14:paraId="7C89DE9E"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За избягване на отражения, предните стъкла на рулевата рубка трябва да са незаслепяващи или монтирани, така че ефективно да не позволяват отражения. </w:t>
      </w:r>
    </w:p>
    <w:p w14:paraId="502E4344"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Изискването на второто изречение се счита за изпълнено, когато прозорците с</w:t>
      </w:r>
      <w:r w:rsidRPr="00F06DE2">
        <w:rPr>
          <w:rFonts w:ascii="Times New Roman" w:hAnsi="Times New Roman" w:cs="Times New Roman"/>
        </w:rPr>
        <w:t>a</w:t>
      </w:r>
      <w:r w:rsidRPr="00F06DE2">
        <w:rPr>
          <w:rFonts w:ascii="Times New Roman" w:hAnsi="Times New Roman" w:cs="Times New Roman"/>
          <w:lang w:val="ru-RU"/>
        </w:rPr>
        <w:t xml:space="preserve"> под наклон спрямо вертикалната равнина на ъгъл не по-малък от 10° и не по-голям от 25°.</w:t>
      </w:r>
    </w:p>
    <w:p w14:paraId="582B259C" w14:textId="77777777" w:rsidR="003B59EB" w:rsidRPr="00F06DE2" w:rsidRDefault="003B59EB">
      <w:pPr>
        <w:pStyle w:val="ES-Titre3"/>
        <w:spacing w:line="240" w:lineRule="atLeast"/>
        <w:rPr>
          <w:rFonts w:ascii="Times New Roman" w:hAnsi="Times New Roman" w:cs="Times New Roman"/>
          <w:sz w:val="24"/>
          <w:szCs w:val="24"/>
          <w:lang w:val="ru-RU"/>
        </w:rPr>
      </w:pPr>
      <w:bookmarkStart w:id="80" w:name="_Toc491854045"/>
      <w:bookmarkStart w:id="81" w:name="_Toc535827486"/>
    </w:p>
    <w:p w14:paraId="19D768E3" w14:textId="09ECB011"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7.03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изисквания към оборудването за управление, индикация и следене</w:t>
      </w:r>
      <w:bookmarkEnd w:id="80"/>
      <w:bookmarkEnd w:id="81"/>
    </w:p>
    <w:p w14:paraId="77DF967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Оборудването за управление, необходимо за експлоатацията на плавателния съд, трябва да се привежда лесно в работно положение. Това положение трябва да е недвусмислено ясно.</w:t>
      </w:r>
    </w:p>
    <w:p w14:paraId="579D4B4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Инструментите за следене трябва да бъдат лесни за разчитане. Трябва да има възможност тяхното осветяване да бъде намалявано до край. Източниците на светлина трябва да не са натрапчиви, нито да затрудняват разчитането на инструментите за следене.</w:t>
      </w:r>
    </w:p>
    <w:p w14:paraId="485E6F4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Трябва да има система за изпробване на предупредителните и индикаторните светлини.</w:t>
      </w:r>
    </w:p>
    <w:p w14:paraId="69DF303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Трябва да бъде възможно ясно да се установява дали дадена система работи. Ако нейната работа се сигнализира с индикаторна светлина, светлината е зелена.</w:t>
      </w:r>
    </w:p>
    <w:p w14:paraId="32495D6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Всяка неизправност или повреда на системите, които се следят, се обозначава с червени алармени светлини.</w:t>
      </w:r>
    </w:p>
    <w:p w14:paraId="43915E29" w14:textId="77777777" w:rsidR="001E5A4B"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Звуково предупреждение трябва да се задейства с червената предупредителна светлина. Звуковите предупреждения могат да се дават с единичен, общ сигнал. Нивото на звуковото налягане на този сигнал трябва да е по-високо от максималното ниво на звуковото налягане на околния шум в поста за управление с поне 3 </w:t>
      </w:r>
      <w:r w:rsidRPr="00F06DE2">
        <w:rPr>
          <w:rFonts w:ascii="Times New Roman" w:hAnsi="Times New Roman" w:cs="Times New Roman"/>
        </w:rPr>
        <w:t>dB</w:t>
      </w:r>
      <w:r w:rsidRPr="00F06DE2">
        <w:rPr>
          <w:rFonts w:ascii="Times New Roman" w:hAnsi="Times New Roman" w:cs="Times New Roman"/>
          <w:lang w:val="ru-RU"/>
        </w:rPr>
        <w:t xml:space="preserve"> (</w:t>
      </w:r>
      <w:r w:rsidRPr="00F06DE2">
        <w:rPr>
          <w:rFonts w:ascii="Times New Roman" w:hAnsi="Times New Roman" w:cs="Times New Roman"/>
        </w:rPr>
        <w:t>A</w:t>
      </w:r>
      <w:r w:rsidRPr="00F06DE2">
        <w:rPr>
          <w:rFonts w:ascii="Times New Roman" w:hAnsi="Times New Roman" w:cs="Times New Roman"/>
          <w:lang w:val="ru-RU"/>
        </w:rPr>
        <w:t>).</w:t>
      </w:r>
      <w:r w:rsidR="00BE617A" w:rsidRPr="00F06DE2">
        <w:rPr>
          <w:rFonts w:ascii="Times New Roman" w:hAnsi="Times New Roman" w:cs="Times New Roman"/>
          <w:lang w:val="ru-RU"/>
        </w:rPr>
        <w:t xml:space="preserve"> </w:t>
      </w:r>
    </w:p>
    <w:p w14:paraId="3AD61CA4" w14:textId="77777777" w:rsidR="001E5A4B"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Звуковото предупреждение трябва да може да бъде изключвано, след като неизправността или повредата е потвърдена. Това изключване не трябва да пречи аларменият сигнал да бъде задействан от друга неизправност. Червените алармени светлини се изключват, само когато неизправността бъде отстранена.</w:t>
      </w:r>
      <w:r w:rsidR="00BE617A" w:rsidRPr="00F06DE2">
        <w:rPr>
          <w:rFonts w:ascii="Times New Roman" w:hAnsi="Times New Roman" w:cs="Times New Roman"/>
          <w:lang w:val="ru-RU"/>
        </w:rPr>
        <w:t xml:space="preserve"> </w:t>
      </w:r>
    </w:p>
    <w:p w14:paraId="43159FF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Устройствата за индикация и следене трябва да бъдат превключвани автоматично към друг захранващ източник, ако техният източник на енергия откаже.</w:t>
      </w:r>
    </w:p>
    <w:p w14:paraId="7EB9C3B1" w14:textId="77777777" w:rsidR="003B59EB" w:rsidRPr="00F06DE2" w:rsidRDefault="003B59EB">
      <w:pPr>
        <w:pStyle w:val="ES-Titre3"/>
        <w:spacing w:line="240" w:lineRule="atLeast"/>
        <w:rPr>
          <w:rFonts w:ascii="Times New Roman" w:hAnsi="Times New Roman" w:cs="Times New Roman"/>
          <w:sz w:val="24"/>
          <w:szCs w:val="24"/>
          <w:lang w:val="ru-RU"/>
        </w:rPr>
      </w:pPr>
      <w:bookmarkStart w:id="82" w:name="_Toc535827487"/>
      <w:bookmarkStart w:id="83" w:name="_Toc491854046"/>
    </w:p>
    <w:p w14:paraId="2FA5844B" w14:textId="376026B5"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7.04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Специфични изисквания към оборудването за </w:t>
      </w:r>
      <w:r w:rsidR="00BE617A" w:rsidRPr="00F06DE2">
        <w:rPr>
          <w:rFonts w:ascii="Times New Roman" w:hAnsi="Times New Roman" w:cs="Times New Roman"/>
          <w:sz w:val="24"/>
          <w:szCs w:val="24"/>
          <w:lang w:val="ru-RU"/>
        </w:rPr>
        <w:t>контрол, индикация и наблюдение</w:t>
      </w:r>
      <w:r w:rsidR="0005238F" w:rsidRPr="00F06DE2">
        <w:rPr>
          <w:rFonts w:ascii="Times New Roman" w:hAnsi="Times New Roman" w:cs="Times New Roman"/>
          <w:sz w:val="24"/>
          <w:szCs w:val="24"/>
          <w:lang w:val="ru-RU"/>
        </w:rPr>
        <w:t xml:space="preserve"> </w:t>
      </w:r>
      <w:r w:rsidRPr="00F06DE2">
        <w:rPr>
          <w:rFonts w:ascii="Times New Roman" w:hAnsi="Times New Roman" w:cs="Times New Roman"/>
          <w:i/>
          <w:sz w:val="24"/>
          <w:szCs w:val="24"/>
          <w:lang w:val="ru-RU"/>
        </w:rPr>
        <w:t xml:space="preserve"> на главни двигатели и </w:t>
      </w:r>
      <w:r w:rsidR="00411B5D" w:rsidRPr="00F06DE2">
        <w:rPr>
          <w:rFonts w:ascii="Times New Roman" w:hAnsi="Times New Roman" w:cs="Times New Roman"/>
          <w:i/>
          <w:sz w:val="24"/>
          <w:szCs w:val="24"/>
          <w:lang w:val="ru-RU"/>
        </w:rPr>
        <w:t xml:space="preserve">рулеви </w:t>
      </w:r>
      <w:bookmarkEnd w:id="82"/>
      <w:bookmarkEnd w:id="83"/>
      <w:r w:rsidR="0005238F" w:rsidRPr="00F06DE2">
        <w:rPr>
          <w:rFonts w:ascii="Times New Roman" w:hAnsi="Times New Roman" w:cs="Times New Roman"/>
          <w:i/>
          <w:sz w:val="24"/>
          <w:szCs w:val="24"/>
          <w:lang w:val="ru-RU"/>
        </w:rPr>
        <w:t xml:space="preserve"> </w:t>
      </w:r>
      <w:r w:rsidR="00411B5D" w:rsidRPr="00F06DE2">
        <w:rPr>
          <w:rFonts w:ascii="Times New Roman" w:hAnsi="Times New Roman" w:cs="Times New Roman"/>
          <w:i/>
          <w:sz w:val="24"/>
          <w:szCs w:val="24"/>
          <w:lang w:val="ru-RU"/>
        </w:rPr>
        <w:t>системи</w:t>
      </w:r>
    </w:p>
    <w:p w14:paraId="7BD0FD5F" w14:textId="5D3168C7" w:rsidR="009141C0" w:rsidRPr="00F06DE2" w:rsidRDefault="00D35E51" w:rsidP="00B93BBB">
      <w:pPr>
        <w:ind w:left="720" w:hanging="720"/>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r>
      <w:r w:rsidR="00BE617A" w:rsidRPr="00F06DE2">
        <w:rPr>
          <w:rFonts w:ascii="Times New Roman" w:hAnsi="Times New Roman" w:cs="Times New Roman"/>
          <w:lang w:val="ru-RU"/>
        </w:rPr>
        <w:t xml:space="preserve">Трябва да е възможно да се управляват и наблюдават главните двигатели и </w:t>
      </w:r>
      <w:r w:rsidR="00E20FF4" w:rsidRPr="00F06DE2">
        <w:rPr>
          <w:rFonts w:ascii="Times New Roman" w:hAnsi="Times New Roman" w:cs="Times New Roman"/>
          <w:lang w:val="ru-RU"/>
        </w:rPr>
        <w:t xml:space="preserve"> рулевите</w:t>
      </w:r>
      <w:r w:rsidR="00BE617A" w:rsidRPr="00F06DE2">
        <w:rPr>
          <w:rFonts w:ascii="Times New Roman" w:hAnsi="Times New Roman" w:cs="Times New Roman"/>
          <w:lang w:val="ru-RU"/>
        </w:rPr>
        <w:t xml:space="preserve"> системи от мястото за управление. Главните двигателисъс съединител, който може да се задейства от </w:t>
      </w:r>
      <w:r w:rsidR="00E20FF4" w:rsidRPr="00F06DE2">
        <w:rPr>
          <w:rFonts w:ascii="Times New Roman" w:hAnsi="Times New Roman" w:cs="Times New Roman"/>
          <w:lang w:val="ru-RU"/>
        </w:rPr>
        <w:t xml:space="preserve">мястото </w:t>
      </w:r>
      <w:r w:rsidR="006A58ED" w:rsidRPr="00F06DE2">
        <w:rPr>
          <w:rFonts w:ascii="Times New Roman" w:hAnsi="Times New Roman" w:cs="Times New Roman"/>
          <w:lang w:val="ru-RU"/>
        </w:rPr>
        <w:t>з</w:t>
      </w:r>
      <w:r w:rsidR="00E20FF4" w:rsidRPr="00F06DE2">
        <w:rPr>
          <w:rFonts w:ascii="Times New Roman" w:hAnsi="Times New Roman" w:cs="Times New Roman"/>
          <w:lang w:val="ru-RU"/>
        </w:rPr>
        <w:t xml:space="preserve">а </w:t>
      </w:r>
      <w:r w:rsidR="00BE617A" w:rsidRPr="00F06DE2">
        <w:rPr>
          <w:rFonts w:ascii="Times New Roman" w:hAnsi="Times New Roman" w:cs="Times New Roman"/>
          <w:lang w:val="ru-RU"/>
        </w:rPr>
        <w:t xml:space="preserve"> управление или задвижващи </w:t>
      </w:r>
      <w:r w:rsidR="00E20FF4" w:rsidRPr="00F06DE2">
        <w:rPr>
          <w:rFonts w:ascii="Times New Roman" w:hAnsi="Times New Roman" w:cs="Times New Roman"/>
          <w:lang w:val="ru-RU"/>
        </w:rPr>
        <w:t>винт</w:t>
      </w:r>
      <w:r w:rsidR="00BE617A" w:rsidRPr="00F06DE2">
        <w:rPr>
          <w:rFonts w:ascii="Times New Roman" w:hAnsi="Times New Roman" w:cs="Times New Roman"/>
          <w:lang w:val="ru-RU"/>
        </w:rPr>
        <w:t xml:space="preserve"> с </w:t>
      </w:r>
      <w:r w:rsidR="00E20FF4" w:rsidRPr="00F06DE2">
        <w:rPr>
          <w:rFonts w:ascii="Times New Roman" w:hAnsi="Times New Roman" w:cs="Times New Roman"/>
          <w:lang w:val="ru-RU"/>
        </w:rPr>
        <w:t xml:space="preserve"> регулируема</w:t>
      </w:r>
      <w:r w:rsidR="00BE617A" w:rsidRPr="00F06DE2">
        <w:rPr>
          <w:rFonts w:ascii="Times New Roman" w:hAnsi="Times New Roman" w:cs="Times New Roman"/>
          <w:lang w:val="ru-RU"/>
        </w:rPr>
        <w:t xml:space="preserve"> стъпка, </w:t>
      </w:r>
      <w:r w:rsidR="004A6B35" w:rsidRPr="00F06DE2">
        <w:rPr>
          <w:rFonts w:ascii="Times New Roman" w:hAnsi="Times New Roman" w:cs="Times New Roman"/>
          <w:lang w:val="ru-RU"/>
        </w:rPr>
        <w:t xml:space="preserve"> контролиран</w:t>
      </w:r>
      <w:r w:rsidR="00BE617A" w:rsidRPr="00F06DE2">
        <w:rPr>
          <w:rFonts w:ascii="Times New Roman" w:hAnsi="Times New Roman" w:cs="Times New Roman"/>
          <w:lang w:val="ru-RU"/>
        </w:rPr>
        <w:t xml:space="preserve"> от </w:t>
      </w:r>
      <w:r w:rsidR="00E20FF4" w:rsidRPr="00F06DE2">
        <w:rPr>
          <w:rFonts w:ascii="Times New Roman" w:hAnsi="Times New Roman" w:cs="Times New Roman"/>
          <w:lang w:val="ru-RU"/>
        </w:rPr>
        <w:t>място</w:t>
      </w:r>
      <w:r w:rsidR="00BE617A" w:rsidRPr="00F06DE2">
        <w:rPr>
          <w:rFonts w:ascii="Times New Roman" w:hAnsi="Times New Roman" w:cs="Times New Roman"/>
          <w:lang w:val="ru-RU"/>
        </w:rPr>
        <w:t xml:space="preserve"> </w:t>
      </w:r>
      <w:r w:rsidR="006A58ED" w:rsidRPr="00F06DE2">
        <w:rPr>
          <w:rFonts w:ascii="Times New Roman" w:hAnsi="Times New Roman" w:cs="Times New Roman"/>
          <w:lang w:val="ru-RU"/>
        </w:rPr>
        <w:t>за</w:t>
      </w:r>
      <w:r w:rsidR="00BE617A" w:rsidRPr="00F06DE2">
        <w:rPr>
          <w:rFonts w:ascii="Times New Roman" w:hAnsi="Times New Roman" w:cs="Times New Roman"/>
          <w:lang w:val="ru-RU"/>
        </w:rPr>
        <w:t xml:space="preserve"> управление, трябва да могат да се пускат и </w:t>
      </w:r>
      <w:r w:rsidR="003963C0" w:rsidRPr="00F06DE2">
        <w:rPr>
          <w:rFonts w:ascii="Times New Roman" w:hAnsi="Times New Roman" w:cs="Times New Roman"/>
          <w:lang w:val="ru-RU"/>
        </w:rPr>
        <w:t>спират само</w:t>
      </w:r>
      <w:r w:rsidR="00BE617A" w:rsidRPr="00F06DE2">
        <w:rPr>
          <w:rFonts w:ascii="Times New Roman" w:hAnsi="Times New Roman" w:cs="Times New Roman"/>
          <w:lang w:val="ru-RU"/>
        </w:rPr>
        <w:t xml:space="preserve"> от машинното отделение.</w:t>
      </w:r>
    </w:p>
    <w:p w14:paraId="1B951455" w14:textId="4B8D855D" w:rsidR="00271FA2" w:rsidRPr="00F06DE2" w:rsidRDefault="00D35E51" w:rsidP="00B93BBB">
      <w:pPr>
        <w:ind w:left="720" w:hanging="720"/>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r>
      <w:r w:rsidR="00DE66BF" w:rsidRPr="00F06DE2">
        <w:rPr>
          <w:rFonts w:ascii="Times New Roman" w:hAnsi="Times New Roman" w:cs="Times New Roman"/>
          <w:lang w:val="ru-RU"/>
        </w:rPr>
        <w:t xml:space="preserve">Управлението за всеки главен двигател е под формата на единичен лост, който </w:t>
      </w:r>
      <w:r w:rsidR="00DA7819" w:rsidRPr="00F06DE2">
        <w:rPr>
          <w:rFonts w:ascii="Times New Roman" w:hAnsi="Times New Roman" w:cs="Times New Roman"/>
          <w:lang w:val="ru-RU"/>
        </w:rPr>
        <w:t xml:space="preserve">  </w:t>
      </w:r>
      <w:r w:rsidR="00F92DF9" w:rsidRPr="00F06DE2">
        <w:rPr>
          <w:rFonts w:ascii="Times New Roman" w:hAnsi="Times New Roman" w:cs="Times New Roman"/>
          <w:lang w:val="ru-RU"/>
        </w:rPr>
        <w:t>описва</w:t>
      </w:r>
      <w:r w:rsidR="00DE66BF" w:rsidRPr="00F06DE2">
        <w:rPr>
          <w:rFonts w:ascii="Times New Roman" w:hAnsi="Times New Roman" w:cs="Times New Roman"/>
          <w:lang w:val="ru-RU"/>
        </w:rPr>
        <w:t xml:space="preserve"> дъга във вертикална равнина, която е приблизително успоредна на надлъжната ос на плавателния съд. Движението на този лост към носа на кораба ще доведе до движение напред, докато движението на лоста към кърмата ще доведе до движение на кораба назад. Включването на съединителя и обръщането на посоката на движение трябва да се извърши около неутралното положение на този лост. Лостът трябва да се фиксира в неутрално положение.</w:t>
      </w:r>
    </w:p>
    <w:p w14:paraId="4139CD3B" w14:textId="77777777" w:rsidR="00CD4A21" w:rsidRPr="00F06DE2" w:rsidRDefault="00CD4A21" w:rsidP="00B93BBB">
      <w:pPr>
        <w:ind w:left="720" w:hanging="720"/>
        <w:jc w:val="both"/>
        <w:rPr>
          <w:rFonts w:ascii="Times New Roman" w:hAnsi="Times New Roman" w:cs="Times New Roman"/>
          <w:lang w:val="ru-RU"/>
        </w:rPr>
      </w:pPr>
    </w:p>
    <w:p w14:paraId="61832DCB" w14:textId="7942F86B" w:rsidR="00271FA2" w:rsidRPr="00F06DE2" w:rsidRDefault="00D35E51" w:rsidP="00B93BBB">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r>
      <w:r w:rsidR="00BA100E" w:rsidRPr="00F06DE2">
        <w:rPr>
          <w:rFonts w:ascii="Times New Roman" w:hAnsi="Times New Roman" w:cs="Times New Roman"/>
          <w:strike/>
          <w:lang w:val="ru-RU"/>
        </w:rPr>
        <w:t xml:space="preserve"> </w:t>
      </w:r>
      <w:r w:rsidR="00BA100E" w:rsidRPr="00F06DE2">
        <w:rPr>
          <w:rFonts w:ascii="Times New Roman" w:hAnsi="Times New Roman" w:cs="Times New Roman"/>
          <w:lang w:val="ru-RU"/>
        </w:rPr>
        <w:t xml:space="preserve">(оставено </w:t>
      </w:r>
      <w:r w:rsidR="00DB02CE" w:rsidRPr="00F06DE2">
        <w:rPr>
          <w:rFonts w:ascii="Times New Roman" w:hAnsi="Times New Roman" w:cs="Times New Roman"/>
          <w:lang w:val="ru-RU"/>
        </w:rPr>
        <w:t xml:space="preserve"> непопълнено</w:t>
      </w:r>
      <w:r w:rsidR="00BA100E" w:rsidRPr="00F06DE2">
        <w:rPr>
          <w:rFonts w:ascii="Times New Roman" w:hAnsi="Times New Roman" w:cs="Times New Roman"/>
          <w:lang w:val="ru-RU"/>
        </w:rPr>
        <w:t>)</w:t>
      </w:r>
    </w:p>
    <w:p w14:paraId="0080AB07" w14:textId="29E4B431" w:rsidR="00271FA2" w:rsidRPr="00F06DE2" w:rsidRDefault="00D35E51" w:rsidP="00B93BBB">
      <w:pPr>
        <w:pStyle w:val="ESch"/>
        <w:jc w:val="both"/>
        <w:rPr>
          <w:rFonts w:ascii="Times New Roman" w:hAnsi="Times New Roman" w:cs="Times New Roman"/>
          <w:strike/>
          <w:lang w:val="ru-RU"/>
        </w:rPr>
      </w:pPr>
      <w:r w:rsidRPr="00F06DE2">
        <w:rPr>
          <w:rFonts w:ascii="Times New Roman" w:hAnsi="Times New Roman" w:cs="Times New Roman"/>
          <w:lang w:val="ru-RU"/>
        </w:rPr>
        <w:t>4.</w:t>
      </w:r>
      <w:r w:rsidRPr="00F06DE2">
        <w:rPr>
          <w:rFonts w:ascii="Times New Roman" w:hAnsi="Times New Roman" w:cs="Times New Roman"/>
          <w:lang w:val="ru-RU"/>
        </w:rPr>
        <w:tab/>
      </w:r>
      <w:r w:rsidR="00BA100E" w:rsidRPr="00F06DE2">
        <w:rPr>
          <w:rFonts w:ascii="Times New Roman" w:hAnsi="Times New Roman" w:cs="Times New Roman"/>
          <w:lang w:val="ru-RU"/>
        </w:rPr>
        <w:t>Устройствата за показване, наблюдение и аларма, изисквани от (10) и (11), трябва да бъдат разположени на мястото за управление.</w:t>
      </w:r>
    </w:p>
    <w:p w14:paraId="632DDCB2" w14:textId="59DA7705" w:rsidR="00271FA2" w:rsidRPr="00F06DE2" w:rsidRDefault="00D35E51" w:rsidP="00B93BBB">
      <w:pPr>
        <w:ind w:left="720" w:hanging="720"/>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r>
      <w:r w:rsidR="00BA100E" w:rsidRPr="00F06DE2">
        <w:rPr>
          <w:rFonts w:ascii="Times New Roman" w:hAnsi="Times New Roman" w:cs="Times New Roman"/>
          <w:lang w:val="ru-RU"/>
        </w:rPr>
        <w:t xml:space="preserve">Корабите с </w:t>
      </w:r>
      <w:r w:rsidR="00986EE3" w:rsidRPr="00F06DE2">
        <w:rPr>
          <w:rFonts w:ascii="Times New Roman" w:hAnsi="Times New Roman" w:cs="Times New Roman"/>
          <w:lang w:val="ru-RU"/>
        </w:rPr>
        <w:t xml:space="preserve"> с място за управление, което е проектиранао за работа на едно лице с помощта на радиолокатор</w:t>
      </w:r>
      <w:r w:rsidR="00BA100E" w:rsidRPr="00F06DE2">
        <w:rPr>
          <w:rFonts w:ascii="Times New Roman" w:hAnsi="Times New Roman" w:cs="Times New Roman"/>
          <w:lang w:val="ru-RU"/>
        </w:rPr>
        <w:t xml:space="preserve">, се управляват с помощта на лост. Трябва да е възможно този лост да се движи лесно </w:t>
      </w:r>
      <w:r w:rsidR="00986EE3" w:rsidRPr="00F06DE2">
        <w:rPr>
          <w:rFonts w:ascii="Times New Roman" w:hAnsi="Times New Roman" w:cs="Times New Roman"/>
          <w:lang w:val="ru-RU"/>
        </w:rPr>
        <w:t>с</w:t>
      </w:r>
      <w:r w:rsidR="00BA100E" w:rsidRPr="00F06DE2">
        <w:rPr>
          <w:rFonts w:ascii="Times New Roman" w:hAnsi="Times New Roman" w:cs="Times New Roman"/>
          <w:lang w:val="ru-RU"/>
        </w:rPr>
        <w:t xml:space="preserve"> ръка. Положението на лоста спрямо надлъжната ос на плавателния съд трябва да съответства точно на положението на </w:t>
      </w:r>
      <w:r w:rsidR="00313167" w:rsidRPr="00F06DE2">
        <w:rPr>
          <w:rFonts w:ascii="Times New Roman" w:hAnsi="Times New Roman" w:cs="Times New Roman"/>
          <w:lang w:val="ru-RU"/>
        </w:rPr>
        <w:t xml:space="preserve">перата на </w:t>
      </w:r>
      <w:r w:rsidR="00BA100E" w:rsidRPr="00F06DE2">
        <w:rPr>
          <w:rFonts w:ascii="Times New Roman" w:hAnsi="Times New Roman" w:cs="Times New Roman"/>
          <w:lang w:val="ru-RU"/>
        </w:rPr>
        <w:t>руля. Трябва да е възможно да се освободи задържането на лоста във всяка дадена позиция, без това на перата на руля да се променя. Неутралното положение на лоста трябва да бъде ясно забележимо.</w:t>
      </w:r>
    </w:p>
    <w:p w14:paraId="0340797D" w14:textId="300CC253" w:rsidR="00271FA2" w:rsidRPr="00F06DE2" w:rsidRDefault="00B93BBB" w:rsidP="00B93BBB">
      <w:pPr>
        <w:ind w:left="720" w:hanging="720"/>
        <w:jc w:val="both"/>
        <w:rPr>
          <w:rFonts w:ascii="Times New Roman" w:hAnsi="Times New Roman" w:cs="Times New Roman"/>
          <w:strike/>
          <w:lang w:val="ru-RU"/>
        </w:rPr>
      </w:pPr>
      <w:r w:rsidRPr="00F06DE2">
        <w:rPr>
          <w:rFonts w:ascii="Times New Roman" w:hAnsi="Times New Roman" w:cs="Times New Roman"/>
          <w:lang w:val="ru-RU"/>
        </w:rPr>
        <w:t>6.</w:t>
      </w:r>
      <w:r w:rsidRPr="00F06DE2">
        <w:rPr>
          <w:rFonts w:ascii="Times New Roman" w:hAnsi="Times New Roman" w:cs="Times New Roman"/>
          <w:lang w:val="ru-RU"/>
        </w:rPr>
        <w:tab/>
      </w:r>
      <w:r w:rsidR="00C23E58" w:rsidRPr="00F06DE2">
        <w:rPr>
          <w:rFonts w:ascii="Times New Roman" w:hAnsi="Times New Roman" w:cs="Times New Roman"/>
          <w:lang w:val="ru-RU"/>
        </w:rPr>
        <w:t xml:space="preserve">Когато плавателният съд е оборудван с носови рул или специален рул, особено за движение на заден ход, те се задействат в рулеви позиции място за управление, което е проектиранао за работа на едно лице с помощта на радиолокатор, чрез специални лостове, които, </w:t>
      </w:r>
      <w:r w:rsidR="00C23E58" w:rsidRPr="00F06DE2">
        <w:rPr>
          <w:rFonts w:ascii="Times New Roman" w:hAnsi="Times New Roman" w:cs="Times New Roman"/>
        </w:rPr>
        <w:t>mutatis</w:t>
      </w:r>
      <w:r w:rsidR="00C23E58" w:rsidRPr="00F06DE2">
        <w:rPr>
          <w:rFonts w:ascii="Times New Roman" w:hAnsi="Times New Roman" w:cs="Times New Roman"/>
          <w:lang w:val="ru-RU"/>
        </w:rPr>
        <w:t xml:space="preserve"> </w:t>
      </w:r>
      <w:r w:rsidR="00C23E58" w:rsidRPr="00F06DE2">
        <w:rPr>
          <w:rFonts w:ascii="Times New Roman" w:hAnsi="Times New Roman" w:cs="Times New Roman"/>
        </w:rPr>
        <w:t>mutandis</w:t>
      </w:r>
      <w:r w:rsidR="00C23E58" w:rsidRPr="00F06DE2">
        <w:rPr>
          <w:rFonts w:ascii="Times New Roman" w:hAnsi="Times New Roman" w:cs="Times New Roman"/>
          <w:lang w:val="ru-RU"/>
        </w:rPr>
        <w:t>, отговарят н</w:t>
      </w:r>
      <w:r w:rsidR="003F7C53" w:rsidRPr="00F06DE2">
        <w:rPr>
          <w:rFonts w:ascii="Times New Roman" w:hAnsi="Times New Roman" w:cs="Times New Roman"/>
          <w:lang w:val="ru-RU"/>
        </w:rPr>
        <w:t>а изискванията, посочени в (5).</w:t>
      </w:r>
      <w:r w:rsidR="00D35E51" w:rsidRPr="00F06DE2">
        <w:rPr>
          <w:rFonts w:ascii="Times New Roman" w:hAnsi="Times New Roman" w:cs="Times New Roman"/>
          <w:strike/>
          <w:lang w:val="ru-RU"/>
        </w:rPr>
        <w:t>.</w:t>
      </w:r>
      <w:r w:rsidR="005C1A9F" w:rsidRPr="00F06DE2">
        <w:rPr>
          <w:rFonts w:ascii="Times New Roman" w:hAnsi="Times New Roman" w:cs="Times New Roman"/>
          <w:strike/>
          <w:lang w:val="ru-RU"/>
        </w:rPr>
        <w:t xml:space="preserve">  </w:t>
      </w:r>
      <w:r w:rsidR="005C1A9F" w:rsidRPr="00F06DE2">
        <w:rPr>
          <w:rFonts w:ascii="Times New Roman" w:hAnsi="Times New Roman" w:cs="Times New Roman"/>
          <w:lang w:val="ru-RU"/>
        </w:rPr>
        <w:t xml:space="preserve">Това изискване се прилага и когато в съставите се използва </w:t>
      </w:r>
      <w:r w:rsidR="00C23E58" w:rsidRPr="00F06DE2">
        <w:rPr>
          <w:rFonts w:ascii="Times New Roman" w:hAnsi="Times New Roman" w:cs="Times New Roman"/>
          <w:lang w:val="ru-RU"/>
        </w:rPr>
        <w:t>рулева</w:t>
      </w:r>
      <w:r w:rsidR="005C1A9F" w:rsidRPr="00F06DE2">
        <w:rPr>
          <w:rFonts w:ascii="Times New Roman" w:hAnsi="Times New Roman" w:cs="Times New Roman"/>
          <w:lang w:val="ru-RU"/>
        </w:rPr>
        <w:t xml:space="preserve"> система, монтирана на плавателни съдове, различни от тези, които задвижват конвоя.</w:t>
      </w:r>
      <w:r w:rsidR="00D35E51" w:rsidRPr="00F06DE2">
        <w:rPr>
          <w:rFonts w:ascii="Times New Roman" w:hAnsi="Times New Roman" w:cs="Times New Roman"/>
          <w:lang w:val="ru-RU"/>
        </w:rPr>
        <w:t>7.</w:t>
      </w:r>
      <w:r w:rsidR="00D35E51" w:rsidRPr="00F06DE2">
        <w:rPr>
          <w:rFonts w:ascii="Times New Roman" w:hAnsi="Times New Roman" w:cs="Times New Roman"/>
          <w:lang w:val="ru-RU"/>
        </w:rPr>
        <w:tab/>
      </w:r>
    </w:p>
    <w:p w14:paraId="0C04A29C" w14:textId="25CC2D86" w:rsidR="005C1A9F" w:rsidRPr="00F06DE2" w:rsidRDefault="005C1A9F" w:rsidP="00B93BBB">
      <w:pPr>
        <w:ind w:left="720"/>
        <w:jc w:val="both"/>
        <w:rPr>
          <w:rFonts w:ascii="Times New Roman" w:hAnsi="Times New Roman" w:cs="Times New Roman"/>
          <w:lang w:val="ru-RU"/>
        </w:rPr>
      </w:pPr>
      <w:r w:rsidRPr="00F06DE2">
        <w:rPr>
          <w:rFonts w:ascii="Times New Roman" w:hAnsi="Times New Roman" w:cs="Times New Roman"/>
          <w:lang w:val="ru-RU"/>
        </w:rPr>
        <w:t xml:space="preserve">Когато се използват регулатори на </w:t>
      </w:r>
      <w:r w:rsidR="000E5D3F" w:rsidRPr="00F06DE2">
        <w:rPr>
          <w:rFonts w:ascii="Times New Roman" w:hAnsi="Times New Roman" w:cs="Times New Roman"/>
          <w:lang w:val="ru-RU"/>
        </w:rPr>
        <w:t>ъгловата скорост</w:t>
      </w:r>
      <w:r w:rsidRPr="00F06DE2">
        <w:rPr>
          <w:rFonts w:ascii="Times New Roman" w:hAnsi="Times New Roman" w:cs="Times New Roman"/>
          <w:lang w:val="ru-RU"/>
        </w:rPr>
        <w:t xml:space="preserve">, трябва да е възможно управлението на скоростта на завиване да бъде освободено във всяко </w:t>
      </w:r>
      <w:r w:rsidR="000E5D3F" w:rsidRPr="00F06DE2">
        <w:rPr>
          <w:rFonts w:ascii="Times New Roman" w:hAnsi="Times New Roman" w:cs="Times New Roman"/>
          <w:lang w:val="ru-RU"/>
        </w:rPr>
        <w:t>едно</w:t>
      </w:r>
      <w:r w:rsidRPr="00F06DE2">
        <w:rPr>
          <w:rFonts w:ascii="Times New Roman" w:hAnsi="Times New Roman" w:cs="Times New Roman"/>
          <w:lang w:val="ru-RU"/>
        </w:rPr>
        <w:t xml:space="preserve"> положение, без да се променя избраната скорост.</w:t>
      </w:r>
    </w:p>
    <w:p w14:paraId="28DEFE42" w14:textId="0BEA37FF" w:rsidR="005C1A9F" w:rsidRPr="00F06DE2" w:rsidRDefault="000E5D3F" w:rsidP="00B93BBB">
      <w:pPr>
        <w:ind w:left="720"/>
        <w:jc w:val="both"/>
        <w:rPr>
          <w:rFonts w:ascii="Times New Roman" w:hAnsi="Times New Roman" w:cs="Times New Roman"/>
          <w:lang w:val="ru-RU"/>
        </w:rPr>
      </w:pPr>
      <w:r w:rsidRPr="00F06DE2">
        <w:rPr>
          <w:rFonts w:ascii="Times New Roman" w:hAnsi="Times New Roman" w:cs="Times New Roman"/>
          <w:lang w:val="ru-RU"/>
        </w:rPr>
        <w:t>Уредът</w:t>
      </w:r>
      <w:r w:rsidR="005C1A9F" w:rsidRPr="00F06DE2">
        <w:rPr>
          <w:rFonts w:ascii="Times New Roman" w:hAnsi="Times New Roman" w:cs="Times New Roman"/>
          <w:lang w:val="ru-RU"/>
        </w:rPr>
        <w:t xml:space="preserve"> за управление трябва да </w:t>
      </w:r>
      <w:r w:rsidRPr="00F06DE2">
        <w:rPr>
          <w:rFonts w:ascii="Times New Roman" w:hAnsi="Times New Roman" w:cs="Times New Roman"/>
          <w:lang w:val="ru-RU"/>
        </w:rPr>
        <w:t>описва</w:t>
      </w:r>
      <w:r w:rsidR="005C1A9F" w:rsidRPr="00F06DE2">
        <w:rPr>
          <w:rFonts w:ascii="Times New Roman" w:hAnsi="Times New Roman" w:cs="Times New Roman"/>
          <w:lang w:val="ru-RU"/>
        </w:rPr>
        <w:t xml:space="preserve"> достатъчно широка дъга, за да </w:t>
      </w:r>
      <w:r w:rsidRPr="00F06DE2">
        <w:rPr>
          <w:rFonts w:ascii="Times New Roman" w:hAnsi="Times New Roman" w:cs="Times New Roman"/>
          <w:lang w:val="ru-RU"/>
        </w:rPr>
        <w:t xml:space="preserve">се </w:t>
      </w:r>
      <w:r w:rsidR="005C1A9F" w:rsidRPr="00F06DE2">
        <w:rPr>
          <w:rFonts w:ascii="Times New Roman" w:hAnsi="Times New Roman" w:cs="Times New Roman"/>
          <w:lang w:val="ru-RU"/>
        </w:rPr>
        <w:t xml:space="preserve">гарантира подходящо точно позициониране. </w:t>
      </w:r>
      <w:r w:rsidR="00A739AD" w:rsidRPr="00F06DE2">
        <w:rPr>
          <w:rFonts w:ascii="Times New Roman" w:hAnsi="Times New Roman" w:cs="Times New Roman"/>
          <w:lang w:val="ru-RU"/>
        </w:rPr>
        <w:t xml:space="preserve">Неутралното положение трябва да бъде ясно разграничено от другите положения. </w:t>
      </w:r>
      <w:r w:rsidR="005C1A9F" w:rsidRPr="00F06DE2">
        <w:rPr>
          <w:rFonts w:ascii="Times New Roman" w:hAnsi="Times New Roman" w:cs="Times New Roman"/>
          <w:lang w:val="ru-RU"/>
        </w:rPr>
        <w:t>Трябва да има възможност за увеличаване или намаляване на нивото на осветеност.</w:t>
      </w:r>
    </w:p>
    <w:p w14:paraId="0DCCFDAD" w14:textId="77777777" w:rsidR="005C1A9F" w:rsidRPr="00F06DE2" w:rsidRDefault="005C1A9F" w:rsidP="00B93BBB">
      <w:pPr>
        <w:pStyle w:val="ESchpar"/>
        <w:jc w:val="both"/>
        <w:rPr>
          <w:rFonts w:ascii="Times New Roman" w:hAnsi="Times New Roman" w:cs="Times New Roman"/>
          <w:strike/>
          <w:lang w:val="ru-RU"/>
        </w:rPr>
      </w:pPr>
    </w:p>
    <w:p w14:paraId="28FAE60F" w14:textId="51D01E75" w:rsidR="00851615" w:rsidRPr="00F06DE2" w:rsidRDefault="00D35E51" w:rsidP="00A35C45">
      <w:pPr>
        <w:pStyle w:val="ESch"/>
        <w:jc w:val="both"/>
        <w:rPr>
          <w:rFonts w:ascii="Times New Roman" w:hAnsi="Times New Roman" w:cs="Times New Roman"/>
          <w:strike/>
          <w:lang w:val="ru-RU"/>
        </w:rPr>
      </w:pPr>
      <w:r w:rsidRPr="00F06DE2">
        <w:rPr>
          <w:rFonts w:ascii="Times New Roman" w:hAnsi="Times New Roman" w:cs="Times New Roman"/>
          <w:lang w:val="ru-RU"/>
        </w:rPr>
        <w:t>8.</w:t>
      </w:r>
      <w:r w:rsidRPr="00F06DE2">
        <w:rPr>
          <w:rFonts w:ascii="Times New Roman" w:hAnsi="Times New Roman" w:cs="Times New Roman"/>
          <w:lang w:val="ru-RU"/>
        </w:rPr>
        <w:tab/>
      </w:r>
      <w:r w:rsidR="00851615" w:rsidRPr="00F06DE2">
        <w:rPr>
          <w:rFonts w:ascii="Times New Roman" w:hAnsi="Times New Roman" w:cs="Times New Roman"/>
          <w:lang w:val="ru-RU"/>
        </w:rPr>
        <w:t xml:space="preserve">Оборудването за дистанционно управление на цялата </w:t>
      </w:r>
      <w:r w:rsidR="00FF7A4C" w:rsidRPr="00F06DE2">
        <w:rPr>
          <w:rFonts w:ascii="Times New Roman" w:hAnsi="Times New Roman" w:cs="Times New Roman"/>
          <w:lang w:val="ru-RU"/>
        </w:rPr>
        <w:t>рулева</w:t>
      </w:r>
      <w:r w:rsidR="00851615" w:rsidRPr="00F06DE2">
        <w:rPr>
          <w:rFonts w:ascii="Times New Roman" w:hAnsi="Times New Roman" w:cs="Times New Roman"/>
          <w:lang w:val="ru-RU"/>
        </w:rPr>
        <w:t xml:space="preserve"> система се монтира стабилно и се разполага по такъв начин, че избраният курс да е ясно видим. Ако оборудването за дистанционно управление може да бъде изключено, то трябва да бъде оборудвано с </w:t>
      </w:r>
      <w:r w:rsidR="00DE6211" w:rsidRPr="00F06DE2">
        <w:rPr>
          <w:rFonts w:ascii="Times New Roman" w:hAnsi="Times New Roman" w:cs="Times New Roman"/>
          <w:lang w:val="ru-RU"/>
        </w:rPr>
        <w:t>индикатор</w:t>
      </w:r>
      <w:r w:rsidR="00851615" w:rsidRPr="00F06DE2">
        <w:rPr>
          <w:rFonts w:ascii="Times New Roman" w:hAnsi="Times New Roman" w:cs="Times New Roman"/>
          <w:lang w:val="ru-RU"/>
        </w:rPr>
        <w:t xml:space="preserve">, показващ съответните работни условия „в експлоатация“ или „извън експлоатация“. Разположението и </w:t>
      </w:r>
      <w:r w:rsidR="008A15B5" w:rsidRPr="00F06DE2">
        <w:rPr>
          <w:rFonts w:ascii="Times New Roman" w:hAnsi="Times New Roman" w:cs="Times New Roman"/>
          <w:lang w:val="ru-RU"/>
        </w:rPr>
        <w:t>използването</w:t>
      </w:r>
      <w:r w:rsidR="00851615" w:rsidRPr="00F06DE2">
        <w:rPr>
          <w:rFonts w:ascii="Times New Roman" w:hAnsi="Times New Roman" w:cs="Times New Roman"/>
          <w:lang w:val="ru-RU"/>
        </w:rPr>
        <w:t xml:space="preserve"> на </w:t>
      </w:r>
      <w:r w:rsidR="00DE6211" w:rsidRPr="00F06DE2">
        <w:rPr>
          <w:rFonts w:ascii="Times New Roman" w:hAnsi="Times New Roman" w:cs="Times New Roman"/>
          <w:lang w:val="ru-RU"/>
        </w:rPr>
        <w:t xml:space="preserve"> уредите</w:t>
      </w:r>
      <w:r w:rsidR="00851615" w:rsidRPr="00F06DE2">
        <w:rPr>
          <w:rFonts w:ascii="Times New Roman" w:hAnsi="Times New Roman" w:cs="Times New Roman"/>
          <w:lang w:val="ru-RU"/>
        </w:rPr>
        <w:t xml:space="preserve"> за управление трябва да са функционални.</w:t>
      </w:r>
    </w:p>
    <w:p w14:paraId="3C588712" w14:textId="1895AD73" w:rsidR="00851615" w:rsidRPr="00F06DE2" w:rsidRDefault="00851615" w:rsidP="00D40937">
      <w:pPr>
        <w:ind w:left="567"/>
        <w:jc w:val="both"/>
        <w:rPr>
          <w:rFonts w:ascii="Times New Roman" w:hAnsi="Times New Roman" w:cs="Times New Roman"/>
          <w:lang w:val="ru-RU"/>
        </w:rPr>
      </w:pPr>
      <w:r w:rsidRPr="00F06DE2">
        <w:rPr>
          <w:rFonts w:ascii="Times New Roman" w:hAnsi="Times New Roman" w:cs="Times New Roman"/>
          <w:lang w:val="ru-RU"/>
        </w:rPr>
        <w:t xml:space="preserve">За системи, които са спомагателни спрямо </w:t>
      </w:r>
      <w:r w:rsidR="00801BA7" w:rsidRPr="00F06DE2">
        <w:rPr>
          <w:rFonts w:ascii="Times New Roman" w:hAnsi="Times New Roman" w:cs="Times New Roman"/>
          <w:lang w:val="ru-RU"/>
        </w:rPr>
        <w:t xml:space="preserve"> </w:t>
      </w:r>
      <w:r w:rsidR="008A15B5" w:rsidRPr="00F06DE2">
        <w:rPr>
          <w:rFonts w:ascii="Times New Roman" w:hAnsi="Times New Roman" w:cs="Times New Roman"/>
          <w:lang w:val="ru-RU"/>
        </w:rPr>
        <w:t>рулевата</w:t>
      </w:r>
      <w:r w:rsidRPr="00F06DE2">
        <w:rPr>
          <w:rFonts w:ascii="Times New Roman" w:hAnsi="Times New Roman" w:cs="Times New Roman"/>
          <w:lang w:val="ru-RU"/>
        </w:rPr>
        <w:t xml:space="preserve"> система, като активни носови подрулващи устройства, оборудването за дистанционно управление, което не е постоянно монтирано, е </w:t>
      </w:r>
      <w:r w:rsidR="00704ACD" w:rsidRPr="00F06DE2">
        <w:rPr>
          <w:rFonts w:ascii="Times New Roman" w:hAnsi="Times New Roman" w:cs="Times New Roman"/>
          <w:lang w:val="ru-RU"/>
        </w:rPr>
        <w:t>допустимо</w:t>
      </w:r>
      <w:r w:rsidRPr="00F06DE2">
        <w:rPr>
          <w:rFonts w:ascii="Times New Roman" w:hAnsi="Times New Roman" w:cs="Times New Roman"/>
          <w:lang w:val="ru-RU"/>
        </w:rPr>
        <w:t xml:space="preserve"> при условие че такава спомагателна инсталация може да бъде активирана  по всяко време в рулевата рубка.</w:t>
      </w:r>
    </w:p>
    <w:p w14:paraId="2B428B2B" w14:textId="77777777" w:rsidR="00851615" w:rsidRPr="00F06DE2" w:rsidRDefault="00851615" w:rsidP="00A35C45">
      <w:pPr>
        <w:pStyle w:val="ESchpar"/>
        <w:jc w:val="both"/>
        <w:rPr>
          <w:rFonts w:ascii="Times New Roman" w:hAnsi="Times New Roman" w:cs="Times New Roman"/>
          <w:strike/>
          <w:lang w:val="ru-RU"/>
        </w:rPr>
      </w:pPr>
    </w:p>
    <w:p w14:paraId="38D0CABE" w14:textId="5F63EB38" w:rsidR="00851615" w:rsidRPr="00F06DE2" w:rsidRDefault="00D35E51" w:rsidP="00D40937">
      <w:pPr>
        <w:pStyle w:val="ESch"/>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r>
      <w:r w:rsidR="00C67147" w:rsidRPr="00F06DE2">
        <w:rPr>
          <w:rFonts w:ascii="Times New Roman" w:hAnsi="Times New Roman" w:cs="Times New Roman"/>
          <w:lang w:val="ru-RU"/>
        </w:rPr>
        <w:t xml:space="preserve">При </w:t>
      </w:r>
      <w:r w:rsidR="00851615" w:rsidRPr="00F06DE2">
        <w:rPr>
          <w:rFonts w:ascii="Times New Roman" w:hAnsi="Times New Roman" w:cs="Times New Roman"/>
          <w:lang w:val="ru-RU"/>
        </w:rPr>
        <w:t xml:space="preserve"> </w:t>
      </w:r>
      <w:r w:rsidR="00C67147" w:rsidRPr="00F06DE2">
        <w:rPr>
          <w:rFonts w:ascii="Times New Roman" w:hAnsi="Times New Roman" w:cs="Times New Roman"/>
          <w:lang w:val="ru-RU"/>
        </w:rPr>
        <w:t>винто-рулеви колони, водометни и крилчати движители и носови подрулващи устройства</w:t>
      </w:r>
      <w:r w:rsidR="00C67147" w:rsidRPr="00F06DE2">
        <w:rPr>
          <w:rFonts w:ascii="Times New Roman" w:hAnsi="Times New Roman" w:cs="Times New Roman"/>
          <w:strike/>
          <w:lang w:val="ru-RU"/>
        </w:rPr>
        <w:t xml:space="preserve"> </w:t>
      </w:r>
      <w:r w:rsidR="00C67147" w:rsidRPr="00F06DE2">
        <w:rPr>
          <w:rFonts w:ascii="Times New Roman" w:hAnsi="Times New Roman" w:cs="Times New Roman"/>
          <w:lang w:val="ru-RU"/>
        </w:rPr>
        <w:t xml:space="preserve">, </w:t>
      </w:r>
      <w:r w:rsidR="00851615" w:rsidRPr="00F06DE2">
        <w:rPr>
          <w:rFonts w:ascii="Times New Roman" w:hAnsi="Times New Roman" w:cs="Times New Roman"/>
          <w:lang w:val="ru-RU"/>
        </w:rPr>
        <w:t>еквивалентни устройства се приемат като устройства за управление, индикация и наблюдение.</w:t>
      </w:r>
    </w:p>
    <w:p w14:paraId="3CFEBC0E" w14:textId="085BBF9F" w:rsidR="00851615" w:rsidRPr="00F06DE2" w:rsidRDefault="00851615" w:rsidP="00D40937">
      <w:pPr>
        <w:ind w:left="567"/>
        <w:jc w:val="both"/>
        <w:rPr>
          <w:rFonts w:ascii="Times New Roman" w:hAnsi="Times New Roman" w:cs="Times New Roman"/>
          <w:lang w:val="ru-RU"/>
        </w:rPr>
      </w:pPr>
      <w:r w:rsidRPr="00F06DE2">
        <w:rPr>
          <w:rFonts w:ascii="Times New Roman" w:hAnsi="Times New Roman" w:cs="Times New Roman"/>
          <w:lang w:val="ru-RU"/>
        </w:rPr>
        <w:t xml:space="preserve">Изискванията, посочени в (1) до (8), се прилагат, </w:t>
      </w:r>
      <w:r w:rsidRPr="00F06DE2">
        <w:rPr>
          <w:rFonts w:ascii="Times New Roman" w:hAnsi="Times New Roman" w:cs="Times New Roman"/>
        </w:rPr>
        <w:t>mutatis</w:t>
      </w:r>
      <w:r w:rsidRPr="00F06DE2">
        <w:rPr>
          <w:rFonts w:ascii="Times New Roman" w:hAnsi="Times New Roman" w:cs="Times New Roman"/>
          <w:lang w:val="ru-RU"/>
        </w:rPr>
        <w:t xml:space="preserve"> </w:t>
      </w:r>
      <w:r w:rsidRPr="00F06DE2">
        <w:rPr>
          <w:rFonts w:ascii="Times New Roman" w:hAnsi="Times New Roman" w:cs="Times New Roman"/>
        </w:rPr>
        <w:t>mutandis</w:t>
      </w:r>
      <w:r w:rsidRPr="00F06DE2">
        <w:rPr>
          <w:rFonts w:ascii="Times New Roman" w:hAnsi="Times New Roman" w:cs="Times New Roman"/>
          <w:lang w:val="ru-RU"/>
        </w:rPr>
        <w:t xml:space="preserve">, с оглед на специфичните характеристики и устройства, избрани за гореспоменатите активни </w:t>
      </w:r>
      <w:r w:rsidR="008D1CCB" w:rsidRPr="00F06DE2">
        <w:rPr>
          <w:rFonts w:ascii="Times New Roman" w:hAnsi="Times New Roman" w:cs="Times New Roman"/>
          <w:lang w:val="ru-RU"/>
        </w:rPr>
        <w:t xml:space="preserve"> </w:t>
      </w:r>
      <w:r w:rsidR="005A3FB9" w:rsidRPr="00F06DE2">
        <w:rPr>
          <w:rFonts w:ascii="Times New Roman" w:hAnsi="Times New Roman" w:cs="Times New Roman"/>
          <w:lang w:val="ru-RU"/>
        </w:rPr>
        <w:t>рулеви</w:t>
      </w:r>
      <w:r w:rsidRPr="00F06DE2">
        <w:rPr>
          <w:rFonts w:ascii="Times New Roman" w:hAnsi="Times New Roman" w:cs="Times New Roman"/>
          <w:lang w:val="ru-RU"/>
        </w:rPr>
        <w:t xml:space="preserve"> и задвижващи </w:t>
      </w:r>
      <w:r w:rsidR="005A3FB9" w:rsidRPr="00F06DE2">
        <w:rPr>
          <w:rFonts w:ascii="Times New Roman" w:hAnsi="Times New Roman" w:cs="Times New Roman"/>
          <w:lang w:val="ru-RU"/>
        </w:rPr>
        <w:t>системи</w:t>
      </w:r>
      <w:r w:rsidRPr="00F06DE2">
        <w:rPr>
          <w:rFonts w:ascii="Times New Roman" w:hAnsi="Times New Roman" w:cs="Times New Roman"/>
          <w:lang w:val="ru-RU"/>
        </w:rPr>
        <w:t xml:space="preserve">. По аналогия с (2), всяка </w:t>
      </w:r>
      <w:r w:rsidR="008D1CCB" w:rsidRPr="00F06DE2">
        <w:rPr>
          <w:rFonts w:ascii="Times New Roman" w:hAnsi="Times New Roman" w:cs="Times New Roman"/>
          <w:lang w:val="ru-RU"/>
        </w:rPr>
        <w:t xml:space="preserve"> </w:t>
      </w:r>
      <w:r w:rsidR="005A3FB9" w:rsidRPr="00F06DE2">
        <w:rPr>
          <w:rFonts w:ascii="Times New Roman" w:hAnsi="Times New Roman" w:cs="Times New Roman"/>
          <w:lang w:val="ru-RU"/>
        </w:rPr>
        <w:t>система</w:t>
      </w:r>
      <w:r w:rsidRPr="00F06DE2">
        <w:rPr>
          <w:rFonts w:ascii="Times New Roman" w:hAnsi="Times New Roman" w:cs="Times New Roman"/>
          <w:lang w:val="ru-RU"/>
        </w:rPr>
        <w:t xml:space="preserve"> се управлява от лост, който се движи под формата на дъга във вертикална равнина, която е приблизително успоредна на посоката на </w:t>
      </w:r>
      <w:r w:rsidR="002F4AC1" w:rsidRPr="00F06DE2">
        <w:rPr>
          <w:rFonts w:ascii="Times New Roman" w:hAnsi="Times New Roman" w:cs="Times New Roman"/>
          <w:lang w:val="ru-RU"/>
        </w:rPr>
        <w:t>упора /</w:t>
      </w:r>
      <w:r w:rsidRPr="00F06DE2">
        <w:rPr>
          <w:rFonts w:ascii="Times New Roman" w:hAnsi="Times New Roman" w:cs="Times New Roman"/>
          <w:lang w:val="ru-RU"/>
        </w:rPr>
        <w:t>тяга</w:t>
      </w:r>
      <w:r w:rsidR="002F4AC1" w:rsidRPr="00F06DE2">
        <w:rPr>
          <w:rFonts w:ascii="Times New Roman" w:hAnsi="Times New Roman" w:cs="Times New Roman"/>
          <w:lang w:val="ru-RU"/>
        </w:rPr>
        <w:t>/</w:t>
      </w:r>
      <w:r w:rsidRPr="00F06DE2">
        <w:rPr>
          <w:rFonts w:ascii="Times New Roman" w:hAnsi="Times New Roman" w:cs="Times New Roman"/>
          <w:lang w:val="ru-RU"/>
        </w:rPr>
        <w:t xml:space="preserve"> на </w:t>
      </w:r>
      <w:r w:rsidR="005A3FB9" w:rsidRPr="00F06DE2">
        <w:rPr>
          <w:rFonts w:ascii="Times New Roman" w:hAnsi="Times New Roman" w:cs="Times New Roman"/>
          <w:lang w:val="ru-RU"/>
        </w:rPr>
        <w:t>системата</w:t>
      </w:r>
      <w:r w:rsidRPr="00F06DE2">
        <w:rPr>
          <w:rFonts w:ascii="Times New Roman" w:hAnsi="Times New Roman" w:cs="Times New Roman"/>
          <w:lang w:val="ru-RU"/>
        </w:rPr>
        <w:t xml:space="preserve">. От позицията на лоста трябва да е ясна посоката на </w:t>
      </w:r>
      <w:r w:rsidR="002F4AC1" w:rsidRPr="00F06DE2">
        <w:rPr>
          <w:rFonts w:ascii="Times New Roman" w:hAnsi="Times New Roman" w:cs="Times New Roman"/>
          <w:lang w:val="ru-RU"/>
        </w:rPr>
        <w:t>упора</w:t>
      </w:r>
      <w:r w:rsidRPr="00F06DE2">
        <w:rPr>
          <w:rFonts w:ascii="Times New Roman" w:hAnsi="Times New Roman" w:cs="Times New Roman"/>
          <w:lang w:val="ru-RU"/>
        </w:rPr>
        <w:t>, действащ върху съда</w:t>
      </w:r>
      <w:r w:rsidR="005A3FB9" w:rsidRPr="00F06DE2">
        <w:rPr>
          <w:rFonts w:ascii="Times New Roman" w:hAnsi="Times New Roman" w:cs="Times New Roman"/>
          <w:lang w:val="ru-RU"/>
        </w:rPr>
        <w:t>.</w:t>
      </w:r>
    </w:p>
    <w:p w14:paraId="1381478B" w14:textId="43213BA0" w:rsidR="00851615" w:rsidRPr="00F06DE2" w:rsidRDefault="00851615" w:rsidP="009A7E0C">
      <w:pPr>
        <w:ind w:left="567"/>
        <w:jc w:val="both"/>
        <w:rPr>
          <w:rFonts w:ascii="Times New Roman" w:hAnsi="Times New Roman" w:cs="Times New Roman"/>
          <w:lang w:val="ru-RU"/>
        </w:rPr>
      </w:pPr>
      <w:r w:rsidRPr="00F06DE2">
        <w:rPr>
          <w:rFonts w:ascii="Times New Roman" w:hAnsi="Times New Roman" w:cs="Times New Roman"/>
          <w:lang w:val="ru-RU"/>
        </w:rPr>
        <w:t xml:space="preserve">Ако </w:t>
      </w:r>
      <w:r w:rsidR="00235BFF" w:rsidRPr="00F06DE2">
        <w:rPr>
          <w:rFonts w:ascii="Times New Roman" w:hAnsi="Times New Roman" w:cs="Times New Roman"/>
          <w:lang w:val="ru-RU"/>
        </w:rPr>
        <w:t>винто- рулевата колона</w:t>
      </w:r>
      <w:r w:rsidRPr="00F06DE2">
        <w:rPr>
          <w:rFonts w:ascii="Times New Roman" w:hAnsi="Times New Roman" w:cs="Times New Roman"/>
          <w:lang w:val="ru-RU"/>
        </w:rPr>
        <w:t xml:space="preserve"> или системите </w:t>
      </w:r>
      <w:r w:rsidR="00235BFF" w:rsidRPr="00F06DE2">
        <w:rPr>
          <w:rFonts w:ascii="Times New Roman" w:hAnsi="Times New Roman" w:cs="Times New Roman"/>
          <w:lang w:val="ru-RU"/>
        </w:rPr>
        <w:t xml:space="preserve">за крилчати движители </w:t>
      </w:r>
      <w:r w:rsidRPr="00F06DE2">
        <w:rPr>
          <w:rFonts w:ascii="Times New Roman" w:hAnsi="Times New Roman" w:cs="Times New Roman"/>
          <w:lang w:val="ru-RU"/>
        </w:rPr>
        <w:t xml:space="preserve"> не се управляват с помощта на лостове, контролният орган може да разреши дерогации от (2). Тези дерогации се вписват в точка 52 от кораб</w:t>
      </w:r>
      <w:r w:rsidR="00106115" w:rsidRPr="00F06DE2">
        <w:rPr>
          <w:rFonts w:ascii="Times New Roman" w:hAnsi="Times New Roman" w:cs="Times New Roman"/>
          <w:lang w:val="ru-RU"/>
        </w:rPr>
        <w:t xml:space="preserve">ното удостоверение </w:t>
      </w:r>
      <w:r w:rsidRPr="00F06DE2">
        <w:rPr>
          <w:rFonts w:ascii="Times New Roman" w:hAnsi="Times New Roman" w:cs="Times New Roman"/>
          <w:lang w:val="ru-RU"/>
        </w:rPr>
        <w:t xml:space="preserve"> за вътрешно </w:t>
      </w:r>
      <w:r w:rsidR="00106115" w:rsidRPr="00F06DE2">
        <w:rPr>
          <w:rFonts w:ascii="Times New Roman" w:hAnsi="Times New Roman" w:cs="Times New Roman"/>
          <w:lang w:val="ru-RU"/>
        </w:rPr>
        <w:t>корабо</w:t>
      </w:r>
      <w:r w:rsidRPr="00F06DE2">
        <w:rPr>
          <w:rFonts w:ascii="Times New Roman" w:hAnsi="Times New Roman" w:cs="Times New Roman"/>
          <w:lang w:val="ru-RU"/>
        </w:rPr>
        <w:t>плаване.</w:t>
      </w:r>
    </w:p>
    <w:p w14:paraId="61A26CE5" w14:textId="6CF92FB4" w:rsidR="005F2ADE" w:rsidRPr="00F06DE2" w:rsidRDefault="005F2ADE" w:rsidP="009A7E0C">
      <w:pPr>
        <w:ind w:left="567" w:hanging="720"/>
        <w:jc w:val="both"/>
        <w:rPr>
          <w:rFonts w:ascii="Times New Roman"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 xml:space="preserve"> Най-малко следните параметри се наблюдават на </w:t>
      </w:r>
      <w:r w:rsidR="006401F1" w:rsidRPr="00F06DE2">
        <w:rPr>
          <w:rFonts w:ascii="Times New Roman" w:hAnsi="Times New Roman" w:cs="Times New Roman"/>
          <w:lang w:val="ru-RU"/>
        </w:rPr>
        <w:t>мястото за управление</w:t>
      </w:r>
      <w:r w:rsidRPr="00F06DE2">
        <w:rPr>
          <w:rFonts w:ascii="Times New Roman" w:hAnsi="Times New Roman" w:cs="Times New Roman"/>
          <w:lang w:val="ru-RU"/>
        </w:rPr>
        <w:t xml:space="preserve"> чрез подходящи устройства, когато е приложимо за съответната система за задвижване:</w:t>
      </w:r>
    </w:p>
    <w:p w14:paraId="2F387F62"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lastRenderedPageBreak/>
        <w:t>а) характерната работна температура на задвижващите двигатели (например температура на охлаждащата течност на двигатели с вътрешно горене или електрически двигатели с външно охлаждане, температура на намотките или лагерите на електрическите двигатели);</w:t>
      </w:r>
    </w:p>
    <w:p w14:paraId="257BA58D"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б) налягането на смазочното масло за двигателите и трансмисиите;</w:t>
      </w:r>
    </w:p>
    <w:p w14:paraId="138AC8A0"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в) налягането на маслото и въздуха на реверсивните модули на задвижващите двигатели, реверсивните трансмисии или витлата;</w:t>
      </w:r>
    </w:p>
    <w:p w14:paraId="4E3F50A8"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г) скоростта на въртене на задвижващите двигатели;</w:t>
      </w:r>
    </w:p>
    <w:p w14:paraId="6E060F26"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д) скоростта на въртене на двигателите;</w:t>
      </w:r>
    </w:p>
    <w:p w14:paraId="79802800" w14:textId="2EA810A4"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 xml:space="preserve">е) посоката на </w:t>
      </w:r>
      <w:r w:rsidR="006401F1" w:rsidRPr="00F06DE2">
        <w:rPr>
          <w:rFonts w:ascii="Times New Roman" w:hAnsi="Times New Roman" w:cs="Times New Roman"/>
          <w:lang w:val="ru-RU"/>
        </w:rPr>
        <w:t>упора /</w:t>
      </w:r>
      <w:r w:rsidRPr="00F06DE2">
        <w:rPr>
          <w:rFonts w:ascii="Times New Roman" w:hAnsi="Times New Roman" w:cs="Times New Roman"/>
          <w:lang w:val="ru-RU"/>
        </w:rPr>
        <w:t>тягата</w:t>
      </w:r>
      <w:r w:rsidR="006401F1" w:rsidRPr="00F06DE2">
        <w:rPr>
          <w:rFonts w:ascii="Times New Roman" w:hAnsi="Times New Roman" w:cs="Times New Roman"/>
          <w:lang w:val="ru-RU"/>
        </w:rPr>
        <w:t>/</w:t>
      </w:r>
      <w:r w:rsidRPr="00F06DE2">
        <w:rPr>
          <w:rFonts w:ascii="Times New Roman" w:hAnsi="Times New Roman" w:cs="Times New Roman"/>
          <w:lang w:val="ru-RU"/>
        </w:rPr>
        <w:t xml:space="preserve">, придадена на кораба от </w:t>
      </w:r>
      <w:r w:rsidR="006401F1" w:rsidRPr="00F06DE2">
        <w:rPr>
          <w:rFonts w:ascii="Times New Roman" w:hAnsi="Times New Roman" w:cs="Times New Roman"/>
          <w:lang w:val="ru-RU"/>
        </w:rPr>
        <w:t>движителите</w:t>
      </w:r>
      <w:r w:rsidRPr="00F06DE2">
        <w:rPr>
          <w:rFonts w:ascii="Times New Roman" w:hAnsi="Times New Roman" w:cs="Times New Roman"/>
          <w:lang w:val="ru-RU"/>
        </w:rPr>
        <w:t>;</w:t>
      </w:r>
    </w:p>
    <w:p w14:paraId="448B8A4D"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ж) нивото на наличното гориво в резервоарите за гориво (ниво на пълнене) или енергията в комплектите акумулатори (състояние на зареждане), захранващи задвижващите двигатели.</w:t>
      </w:r>
    </w:p>
    <w:p w14:paraId="38458104" w14:textId="2957DE30" w:rsidR="005F2ADE" w:rsidRPr="00F06DE2" w:rsidRDefault="005F2ADE" w:rsidP="009A7E0C">
      <w:pPr>
        <w:ind w:left="567" w:hanging="720"/>
        <w:jc w:val="both"/>
        <w:rPr>
          <w:rFonts w:ascii="Times New Roman"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 xml:space="preserve"> Акустична и оптична аларма съгласно член 7.03,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5 до </w:t>
      </w:r>
      <w:r w:rsidR="00506027" w:rsidRPr="00F06DE2">
        <w:rPr>
          <w:rFonts w:ascii="Times New Roman" w:hAnsi="Times New Roman" w:cs="Times New Roman"/>
          <w:lang w:val="ru-RU"/>
        </w:rPr>
        <w:t>т.</w:t>
      </w:r>
      <w:r w:rsidRPr="00F06DE2">
        <w:rPr>
          <w:rFonts w:ascii="Times New Roman" w:hAnsi="Times New Roman" w:cs="Times New Roman"/>
          <w:lang w:val="ru-RU"/>
        </w:rPr>
        <w:t>7 трябва да се задействат на мястото за управление, след като бъде достигнато критично ниво или е открита повреда. Трябва да се задейства аларма поне за следните параметри или функции, когато е приложимо за съответната система за задвижване:</w:t>
      </w:r>
    </w:p>
    <w:p w14:paraId="5D735682"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а) характерната работна температура или повреда на охладителната система на задвижващите двигатели и спомагателните инсталации, които са от съществено значение за работата на задвижващите двигатели (напр</w:t>
      </w:r>
      <w:r w:rsidR="00BC2B2F" w:rsidRPr="00F06DE2">
        <w:rPr>
          <w:rFonts w:ascii="Times New Roman" w:hAnsi="Times New Roman" w:cs="Times New Roman"/>
          <w:lang w:val="ru-RU"/>
        </w:rPr>
        <w:t>имер</w:t>
      </w:r>
      <w:r w:rsidRPr="00F06DE2">
        <w:rPr>
          <w:rFonts w:ascii="Times New Roman" w:hAnsi="Times New Roman" w:cs="Times New Roman"/>
          <w:lang w:val="ru-RU"/>
        </w:rPr>
        <w:t>. силова електроника),</w:t>
      </w:r>
    </w:p>
    <w:p w14:paraId="2CCAB42F"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б) налягането на смазочното масло за двигателите и трансмисиите;</w:t>
      </w:r>
    </w:p>
    <w:p w14:paraId="776F4BAF"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в) налягането на маслото и въздуха на реверсивните възли на задвижващите двигатели, реверсивните трансмисии и витлата;</w:t>
      </w:r>
    </w:p>
    <w:p w14:paraId="03B765E6"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г) скоростта на въртене на задвижващите двигатели;</w:t>
      </w:r>
    </w:p>
    <w:p w14:paraId="2DCCDCA2"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д) нивото на наличното гориво в резервоарите за гориво (ниво на пълнене) или енергията в комплектите акумулатори (състояние на заряд), захранващи задвижващите двигатели;</w:t>
      </w:r>
    </w:p>
    <w:p w14:paraId="2738EF8C" w14:textId="5CD1886C"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 xml:space="preserve">е) ниво на маслото в хидравличните </w:t>
      </w:r>
      <w:r w:rsidR="009A2044" w:rsidRPr="00F06DE2">
        <w:rPr>
          <w:rFonts w:ascii="Times New Roman" w:hAnsi="Times New Roman" w:cs="Times New Roman"/>
          <w:lang w:val="ru-RU"/>
        </w:rPr>
        <w:t xml:space="preserve"> цистерни</w:t>
      </w:r>
      <w:r w:rsidRPr="00F06DE2">
        <w:rPr>
          <w:rFonts w:ascii="Times New Roman" w:hAnsi="Times New Roman" w:cs="Times New Roman"/>
          <w:lang w:val="ru-RU"/>
        </w:rPr>
        <w:t xml:space="preserve">, попадащо под най-ниското ниво на съдържание в съответствие с член 6.03,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2 и намаляване на работното налягане на хидравличната система;</w:t>
      </w:r>
    </w:p>
    <w:p w14:paraId="4E4A8648" w14:textId="6D6B6E30"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 xml:space="preserve">ж) повреда в електрическото захранване на </w:t>
      </w:r>
      <w:r w:rsidR="00BC2B2F" w:rsidRPr="00F06DE2">
        <w:rPr>
          <w:rFonts w:ascii="Times New Roman" w:hAnsi="Times New Roman" w:cs="Times New Roman"/>
          <w:lang w:val="ru-RU"/>
        </w:rPr>
        <w:t>рулевата система</w:t>
      </w:r>
      <w:r w:rsidRPr="00F06DE2">
        <w:rPr>
          <w:rFonts w:ascii="Times New Roman" w:hAnsi="Times New Roman" w:cs="Times New Roman"/>
          <w:lang w:val="ru-RU"/>
        </w:rPr>
        <w:t>;</w:t>
      </w:r>
    </w:p>
    <w:p w14:paraId="1C0E4962"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з) повреда на електрическото захранване на електрическата задвижваща система;</w:t>
      </w:r>
    </w:p>
    <w:p w14:paraId="6B21E42E" w14:textId="4D6F0C9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 xml:space="preserve">и) неизправност на регулатора на </w:t>
      </w:r>
      <w:r w:rsidR="00705BE0" w:rsidRPr="00F06DE2">
        <w:rPr>
          <w:rFonts w:ascii="Times New Roman" w:hAnsi="Times New Roman" w:cs="Times New Roman"/>
          <w:lang w:val="ru-RU"/>
        </w:rPr>
        <w:t>ъгловата скорост</w:t>
      </w:r>
      <w:r w:rsidRPr="00F06DE2">
        <w:rPr>
          <w:rFonts w:ascii="Times New Roman" w:hAnsi="Times New Roman" w:cs="Times New Roman"/>
          <w:lang w:val="ru-RU"/>
        </w:rPr>
        <w:t>;</w:t>
      </w:r>
    </w:p>
    <w:p w14:paraId="0E3B9FAA"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й) повреда на необходимите буферни устройства;</w:t>
      </w:r>
    </w:p>
    <w:p w14:paraId="2069066A" w14:textId="426CDC63"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rPr>
        <w:t>k</w:t>
      </w:r>
      <w:r w:rsidRPr="00F06DE2">
        <w:rPr>
          <w:rFonts w:ascii="Times New Roman" w:hAnsi="Times New Roman" w:cs="Times New Roman"/>
          <w:lang w:val="ru-RU"/>
        </w:rPr>
        <w:t xml:space="preserve">) предстоящо </w:t>
      </w:r>
      <w:r w:rsidR="001C251D" w:rsidRPr="00F06DE2">
        <w:rPr>
          <w:rFonts w:ascii="Times New Roman" w:hAnsi="Times New Roman" w:cs="Times New Roman"/>
          <w:lang w:val="ru-RU"/>
        </w:rPr>
        <w:t xml:space="preserve">активиране </w:t>
      </w:r>
      <w:r w:rsidRPr="00F06DE2">
        <w:rPr>
          <w:rFonts w:ascii="Times New Roman" w:hAnsi="Times New Roman" w:cs="Times New Roman"/>
          <w:lang w:val="ru-RU"/>
        </w:rPr>
        <w:t xml:space="preserve"> на защита срещу претоварване в съответствие с член 11.04</w:t>
      </w:r>
      <w:r w:rsidR="00870794" w:rsidRPr="00F06DE2">
        <w:rPr>
          <w:rFonts w:ascii="Times New Roman" w:hAnsi="Times New Roman" w:cs="Times New Roman"/>
          <w:lang w:val="ru-RU"/>
        </w:rPr>
        <w:t>, т.</w:t>
      </w:r>
      <w:r w:rsidRPr="00F06DE2">
        <w:rPr>
          <w:rFonts w:ascii="Times New Roman" w:hAnsi="Times New Roman" w:cs="Times New Roman"/>
          <w:lang w:val="ru-RU"/>
        </w:rPr>
        <w:t>2;</w:t>
      </w:r>
    </w:p>
    <w:p w14:paraId="7827D92F"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л) задействане на защитни устройства в съответствие с член 11.07; и</w:t>
      </w:r>
    </w:p>
    <w:p w14:paraId="2BC3E79F" w14:textId="77777777"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м) ограничение на мощността в съответствие с член 11.06.</w:t>
      </w:r>
    </w:p>
    <w:p w14:paraId="159988DE" w14:textId="38E84D38" w:rsidR="005F2ADE" w:rsidRPr="00F06DE2" w:rsidRDefault="005F2ADE" w:rsidP="009A7E0C">
      <w:pPr>
        <w:ind w:left="567"/>
        <w:jc w:val="both"/>
        <w:rPr>
          <w:rFonts w:ascii="Times New Roman" w:hAnsi="Times New Roman" w:cs="Times New Roman"/>
          <w:lang w:val="ru-RU"/>
        </w:rPr>
      </w:pPr>
      <w:r w:rsidRPr="00F06DE2">
        <w:rPr>
          <w:rFonts w:ascii="Times New Roman" w:hAnsi="Times New Roman" w:cs="Times New Roman"/>
          <w:lang w:val="ru-RU"/>
        </w:rPr>
        <w:t xml:space="preserve">Критичното ниво за букви </w:t>
      </w:r>
      <w:r w:rsidR="00870794" w:rsidRPr="00F06DE2">
        <w:rPr>
          <w:rFonts w:ascii="Times New Roman" w:hAnsi="Times New Roman" w:cs="Times New Roman"/>
          <w:lang w:val="ru-RU"/>
        </w:rPr>
        <w:t>“</w:t>
      </w:r>
      <w:r w:rsidRPr="00F06DE2">
        <w:rPr>
          <w:rFonts w:ascii="Times New Roman" w:hAnsi="Times New Roman" w:cs="Times New Roman"/>
          <w:lang w:val="ru-RU"/>
        </w:rPr>
        <w:t>а</w:t>
      </w:r>
      <w:r w:rsidR="00870794" w:rsidRPr="00F06DE2">
        <w:rPr>
          <w:rFonts w:ascii="Times New Roman" w:hAnsi="Times New Roman" w:cs="Times New Roman"/>
          <w:lang w:val="ru-RU"/>
        </w:rPr>
        <w:t>“</w:t>
      </w:r>
      <w:r w:rsidRPr="00F06DE2">
        <w:rPr>
          <w:rFonts w:ascii="Times New Roman" w:hAnsi="Times New Roman" w:cs="Times New Roman"/>
          <w:lang w:val="ru-RU"/>
        </w:rPr>
        <w:t xml:space="preserve"> и </w:t>
      </w:r>
      <w:r w:rsidR="00870794" w:rsidRPr="00F06DE2">
        <w:rPr>
          <w:rFonts w:ascii="Times New Roman" w:hAnsi="Times New Roman" w:cs="Times New Roman"/>
          <w:lang w:val="ru-RU"/>
        </w:rPr>
        <w:t>“</w:t>
      </w:r>
      <w:r w:rsidRPr="00F06DE2">
        <w:rPr>
          <w:rFonts w:ascii="Times New Roman" w:hAnsi="Times New Roman" w:cs="Times New Roman"/>
          <w:lang w:val="ru-RU"/>
        </w:rPr>
        <w:t>д</w:t>
      </w:r>
      <w:r w:rsidR="00870794" w:rsidRPr="00F06DE2">
        <w:rPr>
          <w:rFonts w:ascii="Times New Roman" w:hAnsi="Times New Roman" w:cs="Times New Roman"/>
          <w:lang w:val="ru-RU"/>
        </w:rPr>
        <w:t xml:space="preserve">“ </w:t>
      </w:r>
      <w:r w:rsidRPr="00F06DE2">
        <w:rPr>
          <w:rFonts w:ascii="Times New Roman" w:hAnsi="Times New Roman" w:cs="Times New Roman"/>
          <w:lang w:val="ru-RU"/>
        </w:rPr>
        <w:t>трябва да съответства на способността на кораба да извършва управление със собствен ход за най-малко 30 минути.“</w:t>
      </w:r>
    </w:p>
    <w:p w14:paraId="183A32C0" w14:textId="77777777" w:rsidR="00851615" w:rsidRPr="00F06DE2" w:rsidRDefault="00851615">
      <w:pPr>
        <w:pStyle w:val="ESchpar"/>
        <w:jc w:val="both"/>
        <w:rPr>
          <w:rFonts w:ascii="Times New Roman" w:hAnsi="Times New Roman" w:cs="Times New Roman"/>
          <w:strike/>
          <w:lang w:val="ru-RU"/>
        </w:rPr>
      </w:pPr>
    </w:p>
    <w:p w14:paraId="0BB9BC08" w14:textId="77777777" w:rsidR="00271FA2" w:rsidRPr="00F06DE2" w:rsidRDefault="00D35E51">
      <w:pPr>
        <w:spacing w:line="240" w:lineRule="atLeast"/>
        <w:jc w:val="center"/>
        <w:rPr>
          <w:rFonts w:ascii="Times New Roman" w:hAnsi="Times New Roman" w:cs="Times New Roman"/>
          <w:bCs/>
          <w:i/>
          <w:lang w:val="ru-RU"/>
        </w:rPr>
      </w:pPr>
      <w:r w:rsidRPr="00F06DE2">
        <w:rPr>
          <w:rFonts w:ascii="Times New Roman" w:hAnsi="Times New Roman" w:cs="Times New Roman"/>
          <w:b/>
          <w:lang w:val="ru-RU"/>
        </w:rPr>
        <w:t>Член 7.05</w:t>
      </w:r>
      <w:r w:rsidRPr="00F06DE2">
        <w:rPr>
          <w:rFonts w:ascii="Times New Roman" w:hAnsi="Times New Roman" w:cs="Times New Roman"/>
          <w:lang w:val="ru-RU"/>
        </w:rPr>
        <w:br/>
      </w:r>
      <w:r w:rsidRPr="00F06DE2">
        <w:rPr>
          <w:rFonts w:ascii="Times New Roman" w:hAnsi="Times New Roman" w:cs="Times New Roman"/>
          <w:b/>
          <w:i/>
          <w:lang w:val="ru-RU"/>
        </w:rPr>
        <w:t>Навигационни светлини, светлинни и звукови сигнали</w:t>
      </w:r>
    </w:p>
    <w:p w14:paraId="6F6F2EE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1.</w:t>
      </w:r>
      <w:r w:rsidRPr="00F06DE2">
        <w:rPr>
          <w:rFonts w:ascii="Times New Roman" w:hAnsi="Times New Roman" w:cs="Times New Roman"/>
          <w:lang w:val="ru-RU"/>
        </w:rPr>
        <w:tab/>
        <w:t>Навигационните светлини, техните осветители и принадлежности носят маркировка за одобрение, предписана от Директива 2014/90/ЕС</w:t>
      </w:r>
      <w:r w:rsidRPr="00F06DE2">
        <w:rPr>
          <w:rFonts w:ascii="Times New Roman" w:hAnsi="Times New Roman" w:cs="Times New Roman"/>
          <w:vertAlign w:val="superscript"/>
        </w:rPr>
        <w:footnoteReference w:id="2"/>
      </w:r>
      <w:r w:rsidRPr="00F06DE2">
        <w:rPr>
          <w:rFonts w:ascii="Times New Roman" w:hAnsi="Times New Roman" w:cs="Times New Roman"/>
          <w:lang w:val="ru-RU"/>
        </w:rPr>
        <w:t xml:space="preserve">, с измененията. </w:t>
      </w:r>
    </w:p>
    <w:p w14:paraId="1768713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Текущите индикаторни светлини или други еквивалентни устройства, като например сигнални светлини за следене на навигационните светлини, се монтират в рулевата рубка, освен ако следенето може да се осъществява пряко от рулевата рубка.</w:t>
      </w:r>
    </w:p>
    <w:p w14:paraId="1CCC6EDA" w14:textId="7BD70DDD" w:rsidR="00271FA2" w:rsidRPr="00F06DE2" w:rsidRDefault="00D35E51" w:rsidP="00A35C45">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В </w:t>
      </w:r>
      <w:r w:rsidR="001C0E14" w:rsidRPr="00F06DE2">
        <w:rPr>
          <w:rFonts w:ascii="Times New Roman" w:hAnsi="Times New Roman" w:cs="Times New Roman"/>
          <w:lang w:val="ru-RU"/>
        </w:rPr>
        <w:t xml:space="preserve"> </w:t>
      </w:r>
      <w:r w:rsidR="00EB2217" w:rsidRPr="00F06DE2">
        <w:rPr>
          <w:rFonts w:ascii="Times New Roman" w:hAnsi="Times New Roman" w:cs="Times New Roman"/>
          <w:lang w:val="ru-RU"/>
        </w:rPr>
        <w:t>мястото за управление, проектирано за управление от едно лице с помощта на радиолокатор</w:t>
      </w:r>
      <w:r w:rsidRPr="00F06DE2">
        <w:rPr>
          <w:rFonts w:ascii="Times New Roman" w:hAnsi="Times New Roman" w:cs="Times New Roman"/>
          <w:lang w:val="ru-RU"/>
        </w:rPr>
        <w:t xml:space="preserve">, на пулта за управление се монтират </w:t>
      </w:r>
      <w:r w:rsidR="00EB2217" w:rsidRPr="00F06DE2">
        <w:rPr>
          <w:rFonts w:ascii="Times New Roman" w:hAnsi="Times New Roman" w:cs="Times New Roman"/>
          <w:lang w:val="ru-RU"/>
        </w:rPr>
        <w:t xml:space="preserve">индикаторни </w:t>
      </w:r>
      <w:r w:rsidRPr="00F06DE2">
        <w:rPr>
          <w:rFonts w:ascii="Times New Roman" w:hAnsi="Times New Roman" w:cs="Times New Roman"/>
          <w:lang w:val="ru-RU"/>
        </w:rPr>
        <w:t xml:space="preserve">светлини с цел следене на навигационните светлини и светлинните сигнали. </w:t>
      </w:r>
      <w:r w:rsidR="004F585C" w:rsidRPr="00F06DE2">
        <w:rPr>
          <w:rFonts w:ascii="Times New Roman" w:hAnsi="Times New Roman" w:cs="Times New Roman"/>
          <w:lang w:val="ru-RU"/>
        </w:rPr>
        <w:t>В п</w:t>
      </w:r>
      <w:r w:rsidR="0077626B" w:rsidRPr="00F06DE2">
        <w:rPr>
          <w:rFonts w:ascii="Times New Roman" w:hAnsi="Times New Roman" w:cs="Times New Roman"/>
          <w:lang w:val="ru-RU"/>
        </w:rPr>
        <w:t xml:space="preserve">ревключвателите </w:t>
      </w:r>
      <w:r w:rsidRPr="00F06DE2">
        <w:rPr>
          <w:rFonts w:ascii="Times New Roman" w:hAnsi="Times New Roman" w:cs="Times New Roman"/>
          <w:lang w:val="ru-RU"/>
        </w:rPr>
        <w:t xml:space="preserve"> на навигационните светлини трябва да са </w:t>
      </w:r>
      <w:r w:rsidR="004F585C" w:rsidRPr="00F06DE2">
        <w:rPr>
          <w:rFonts w:ascii="Times New Roman" w:hAnsi="Times New Roman" w:cs="Times New Roman"/>
          <w:lang w:val="ru-RU"/>
        </w:rPr>
        <w:t xml:space="preserve">включени индикаторните </w:t>
      </w:r>
      <w:r w:rsidRPr="00F06DE2">
        <w:rPr>
          <w:rFonts w:ascii="Times New Roman" w:hAnsi="Times New Roman" w:cs="Times New Roman"/>
          <w:lang w:val="ru-RU"/>
        </w:rPr>
        <w:t>светлини или да са в съседство с тях и принадлежността им към тях</w:t>
      </w:r>
      <w:r w:rsidR="004F585C" w:rsidRPr="00F06DE2">
        <w:rPr>
          <w:rFonts w:ascii="Times New Roman" w:hAnsi="Times New Roman" w:cs="Times New Roman"/>
          <w:lang w:val="ru-RU"/>
        </w:rPr>
        <w:t xml:space="preserve"> /превключвателите/</w:t>
      </w:r>
      <w:r w:rsidRPr="00F06DE2">
        <w:rPr>
          <w:rFonts w:ascii="Times New Roman" w:hAnsi="Times New Roman" w:cs="Times New Roman"/>
          <w:lang w:val="ru-RU"/>
        </w:rPr>
        <w:t xml:space="preserve"> трябва да е означена ясно.</w:t>
      </w:r>
    </w:p>
    <w:p w14:paraId="69C55E2F" w14:textId="043BE1AF" w:rsidR="00271FA2" w:rsidRPr="00F06DE2" w:rsidRDefault="00D35E51" w:rsidP="00A35C45">
      <w:pPr>
        <w:pStyle w:val="ESchpar"/>
        <w:jc w:val="both"/>
        <w:rPr>
          <w:rFonts w:ascii="Times New Roman" w:hAnsi="Times New Roman" w:cs="Times New Roman"/>
          <w:lang w:val="ru-RU"/>
        </w:rPr>
      </w:pPr>
      <w:r w:rsidRPr="00F06DE2">
        <w:rPr>
          <w:rFonts w:ascii="Times New Roman" w:hAnsi="Times New Roman" w:cs="Times New Roman"/>
          <w:lang w:val="ru-RU"/>
        </w:rPr>
        <w:t xml:space="preserve">Разположението и цветът на </w:t>
      </w:r>
      <w:r w:rsidR="009915F3" w:rsidRPr="00F06DE2">
        <w:rPr>
          <w:rFonts w:ascii="Times New Roman" w:hAnsi="Times New Roman" w:cs="Times New Roman"/>
          <w:lang w:val="ru-RU"/>
        </w:rPr>
        <w:t xml:space="preserve">индикаторните </w:t>
      </w:r>
      <w:r w:rsidRPr="00F06DE2">
        <w:rPr>
          <w:rFonts w:ascii="Times New Roman" w:hAnsi="Times New Roman" w:cs="Times New Roman"/>
          <w:lang w:val="ru-RU"/>
        </w:rPr>
        <w:t>светлини за навигационните светлини и светлинните сигнали трябва да съответстват на действителното положение и цвят на тези светлини и сигнали.</w:t>
      </w:r>
    </w:p>
    <w:p w14:paraId="34CA7AFC" w14:textId="6BECA25F" w:rsidR="005F2ADE" w:rsidRPr="00F06DE2" w:rsidRDefault="005F2ADE" w:rsidP="00A35C45">
      <w:pPr>
        <w:ind w:left="567"/>
        <w:jc w:val="both"/>
        <w:rPr>
          <w:rFonts w:ascii="Times New Roman" w:hAnsi="Times New Roman" w:cs="Times New Roman"/>
          <w:strike/>
          <w:lang w:val="ru-RU"/>
        </w:rPr>
      </w:pPr>
      <w:r w:rsidRPr="00F06DE2">
        <w:rPr>
          <w:rFonts w:ascii="Times New Roman" w:hAnsi="Times New Roman" w:cs="Times New Roman"/>
          <w:lang w:val="ru-RU"/>
        </w:rPr>
        <w:t xml:space="preserve">Неизправността на навигационна светлина или светлинен сигнал трябва да доведе до изгасване на съответната </w:t>
      </w:r>
      <w:r w:rsidR="009D0E73" w:rsidRPr="00F06DE2">
        <w:rPr>
          <w:rFonts w:ascii="Times New Roman" w:hAnsi="Times New Roman" w:cs="Times New Roman"/>
          <w:lang w:val="ru-RU"/>
        </w:rPr>
        <w:t>индикаторна</w:t>
      </w:r>
      <w:r w:rsidRPr="00F06DE2">
        <w:rPr>
          <w:rFonts w:ascii="Times New Roman" w:hAnsi="Times New Roman" w:cs="Times New Roman"/>
          <w:lang w:val="ru-RU"/>
        </w:rPr>
        <w:t xml:space="preserve"> светлина или подаване на сигнал по друг начин.</w:t>
      </w:r>
    </w:p>
    <w:p w14:paraId="718B60A8" w14:textId="49410B82" w:rsidR="005F2ADE" w:rsidRPr="00F06DE2" w:rsidRDefault="00582922" w:rsidP="009A7E0C">
      <w:pPr>
        <w:pStyle w:val="ESch"/>
        <w:spacing w:after="240"/>
        <w:jc w:val="both"/>
        <w:rPr>
          <w:rFonts w:ascii="Times New Roman" w:hAnsi="Times New Roman" w:cs="Times New Roman"/>
          <w:strike/>
          <w:lang w:val="ru-RU"/>
        </w:rPr>
      </w:pPr>
      <w:r w:rsidRPr="00F06DE2">
        <w:rPr>
          <w:rFonts w:ascii="Times New Roman" w:hAnsi="Times New Roman" w:cs="Times New Roman"/>
          <w:lang w:val="ru-RU"/>
        </w:rPr>
        <w:t>4.</w:t>
      </w:r>
      <w:r w:rsidRPr="00F06DE2">
        <w:rPr>
          <w:rFonts w:ascii="Times New Roman" w:hAnsi="Times New Roman" w:cs="Times New Roman"/>
          <w:lang w:val="ru-RU"/>
        </w:rPr>
        <w:tab/>
      </w:r>
      <w:r w:rsidR="005F2ADE" w:rsidRPr="00F06DE2">
        <w:rPr>
          <w:rFonts w:ascii="Times New Roman" w:hAnsi="Times New Roman" w:cs="Times New Roman"/>
          <w:lang w:val="ru-RU"/>
        </w:rPr>
        <w:t xml:space="preserve">В </w:t>
      </w:r>
      <w:r w:rsidR="00E5086D" w:rsidRPr="00F06DE2">
        <w:rPr>
          <w:rFonts w:ascii="Times New Roman" w:hAnsi="Times New Roman" w:cs="Times New Roman"/>
          <w:lang w:val="ru-RU"/>
        </w:rPr>
        <w:t>мястото за управление, проектирано за управление от едно лице с помощта на радиолокаторч</w:t>
      </w:r>
      <w:r w:rsidR="005F2ADE" w:rsidRPr="00F06DE2">
        <w:rPr>
          <w:rFonts w:ascii="Times New Roman" w:hAnsi="Times New Roman" w:cs="Times New Roman"/>
          <w:lang w:val="ru-RU"/>
        </w:rPr>
        <w:t xml:space="preserve"> трябва да е възможно да се активират звуковите сигнали чрез превключвател</w:t>
      </w:r>
      <w:r w:rsidR="00E5086D" w:rsidRPr="00F06DE2">
        <w:rPr>
          <w:rFonts w:ascii="Times New Roman" w:hAnsi="Times New Roman" w:cs="Times New Roman"/>
          <w:lang w:val="ru-RU"/>
        </w:rPr>
        <w:t>, задействан с крак</w:t>
      </w:r>
      <w:r w:rsidR="005F2ADE" w:rsidRPr="00F06DE2">
        <w:rPr>
          <w:rFonts w:ascii="Times New Roman" w:hAnsi="Times New Roman" w:cs="Times New Roman"/>
          <w:lang w:val="ru-RU"/>
        </w:rPr>
        <w:t xml:space="preserve">. Това изискване не се прилага за сигнала „не </w:t>
      </w:r>
      <w:r w:rsidR="00E5086D" w:rsidRPr="00F06DE2">
        <w:rPr>
          <w:rFonts w:ascii="Times New Roman" w:hAnsi="Times New Roman" w:cs="Times New Roman"/>
          <w:lang w:val="ru-RU"/>
        </w:rPr>
        <w:t xml:space="preserve">се </w:t>
      </w:r>
      <w:r w:rsidR="005F2ADE" w:rsidRPr="00F06DE2">
        <w:rPr>
          <w:rFonts w:ascii="Times New Roman" w:hAnsi="Times New Roman" w:cs="Times New Roman"/>
          <w:lang w:val="ru-RU"/>
        </w:rPr>
        <w:t>приближавай“ в съответствие с приложимите разпоредби на навигационните власти на държавите-членки.“</w:t>
      </w:r>
    </w:p>
    <w:p w14:paraId="0B07FCC1" w14:textId="77777777" w:rsidR="00271FA2" w:rsidRPr="00F06DE2" w:rsidRDefault="00D35E51">
      <w:pPr>
        <w:pStyle w:val="ES-Titre3"/>
        <w:spacing w:line="240" w:lineRule="atLeast"/>
        <w:rPr>
          <w:rFonts w:ascii="Times New Roman" w:hAnsi="Times New Roman" w:cs="Times New Roman"/>
          <w:sz w:val="24"/>
          <w:szCs w:val="24"/>
          <w:lang w:val="ru-RU"/>
        </w:rPr>
      </w:pPr>
      <w:bookmarkStart w:id="84" w:name="_Toc491854047"/>
      <w:bookmarkStart w:id="85" w:name="_Toc535827488"/>
      <w:r w:rsidRPr="00F06DE2">
        <w:rPr>
          <w:rFonts w:ascii="Times New Roman" w:hAnsi="Times New Roman" w:cs="Times New Roman"/>
          <w:sz w:val="24"/>
          <w:szCs w:val="24"/>
          <w:lang w:val="ru-RU"/>
        </w:rPr>
        <w:t>Член 7.06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Навигационни и информационни устройства</w:t>
      </w:r>
      <w:bookmarkEnd w:id="84"/>
      <w:bookmarkEnd w:id="85"/>
    </w:p>
    <w:p w14:paraId="4C7824FF" w14:textId="5F634348"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Навигационното радиолокационно оборудване и индикаторите на ъгловата скорост</w:t>
      </w:r>
      <w:r w:rsidR="00796434" w:rsidRPr="00F06DE2">
        <w:rPr>
          <w:rFonts w:ascii="Times New Roman" w:hAnsi="Times New Roman" w:cs="Times New Roman"/>
          <w:lang w:val="ru-RU"/>
        </w:rPr>
        <w:t xml:space="preserve"> </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xml:space="preserve"> трябва да отговарят на изискванията, посочени в Приложение</w:t>
      </w:r>
      <w:r w:rsidRPr="00F06DE2">
        <w:rPr>
          <w:rFonts w:ascii="Times New Roman" w:hAnsi="Times New Roman" w:cs="Times New Roman"/>
        </w:rPr>
        <w:t> </w:t>
      </w:r>
      <w:r w:rsidRPr="00F06DE2">
        <w:rPr>
          <w:rFonts w:ascii="Times New Roman" w:hAnsi="Times New Roman" w:cs="Times New Roman"/>
          <w:lang w:val="ru-RU"/>
        </w:rPr>
        <w:t xml:space="preserve">5. Спазването на изискванията трябва да се определя от одобрението на типа, издадено от компетентния орган. </w:t>
      </w:r>
    </w:p>
    <w:p w14:paraId="38301CE9" w14:textId="3ACD4926"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r>
      <w:r w:rsidR="00EF5225" w:rsidRPr="00F06DE2">
        <w:rPr>
          <w:rFonts w:ascii="Times New Roman" w:hAnsi="Times New Roman" w:cs="Times New Roman"/>
          <w:lang w:val="ru-RU"/>
        </w:rPr>
        <w:t xml:space="preserve"> </w:t>
      </w:r>
      <w:r w:rsidR="000E4B06" w:rsidRPr="00F06DE2">
        <w:rPr>
          <w:rFonts w:ascii="Times New Roman" w:hAnsi="Times New Roman" w:cs="Times New Roman"/>
          <w:lang w:val="ru-RU"/>
        </w:rPr>
        <w:t xml:space="preserve">Оборудването </w:t>
      </w:r>
      <w:r w:rsidR="000E4B06" w:rsidRPr="00F06DE2">
        <w:rPr>
          <w:rFonts w:ascii="Times New Roman" w:hAnsi="Times New Roman" w:cs="Times New Roman"/>
        </w:rPr>
        <w:t>ECDIS</w:t>
      </w:r>
      <w:r w:rsidR="000E4B06" w:rsidRPr="00F06DE2">
        <w:rPr>
          <w:rFonts w:ascii="Times New Roman" w:hAnsi="Times New Roman" w:cs="Times New Roman"/>
          <w:lang w:val="ru-RU"/>
        </w:rPr>
        <w:t xml:space="preserve"> за вътрешн</w:t>
      </w:r>
      <w:r w:rsidR="00BF0D45" w:rsidRPr="00F06DE2">
        <w:rPr>
          <w:rFonts w:ascii="Times New Roman" w:hAnsi="Times New Roman" w:cs="Times New Roman"/>
          <w:lang w:val="ru-RU"/>
        </w:rPr>
        <w:t>о</w:t>
      </w:r>
      <w:r w:rsidR="000E4B06" w:rsidRPr="00F06DE2">
        <w:rPr>
          <w:rFonts w:ascii="Times New Roman" w:hAnsi="Times New Roman" w:cs="Times New Roman"/>
          <w:lang w:val="ru-RU"/>
        </w:rPr>
        <w:t xml:space="preserve"> </w:t>
      </w:r>
      <w:r w:rsidR="00BF0D45" w:rsidRPr="00F06DE2">
        <w:rPr>
          <w:rFonts w:ascii="Times New Roman" w:hAnsi="Times New Roman" w:cs="Times New Roman"/>
          <w:lang w:val="ru-RU"/>
        </w:rPr>
        <w:t xml:space="preserve"> корабоплаване</w:t>
      </w:r>
      <w:r w:rsidR="000E4B06" w:rsidRPr="00F06DE2">
        <w:rPr>
          <w:rFonts w:ascii="Times New Roman" w:hAnsi="Times New Roman" w:cs="Times New Roman"/>
          <w:lang w:val="ru-RU"/>
        </w:rPr>
        <w:t xml:space="preserve">, което може да работи в режим на навигация, се счита за инсталация на </w:t>
      </w:r>
      <w:r w:rsidR="00152B21" w:rsidRPr="00F06DE2">
        <w:rPr>
          <w:rFonts w:ascii="Times New Roman" w:hAnsi="Times New Roman" w:cs="Times New Roman"/>
          <w:lang w:val="ru-RU"/>
        </w:rPr>
        <w:t xml:space="preserve"> </w:t>
      </w:r>
      <w:r w:rsidR="00B10898" w:rsidRPr="00F06DE2">
        <w:rPr>
          <w:rFonts w:ascii="Times New Roman" w:hAnsi="Times New Roman" w:cs="Times New Roman"/>
          <w:lang w:val="ru-RU"/>
        </w:rPr>
        <w:t>радиолокатор</w:t>
      </w:r>
      <w:r w:rsidR="005029CF" w:rsidRPr="00F06DE2">
        <w:rPr>
          <w:rFonts w:ascii="Times New Roman" w:hAnsi="Times New Roman" w:cs="Times New Roman"/>
          <w:lang w:val="ru-RU"/>
        </w:rPr>
        <w:t xml:space="preserve"> </w:t>
      </w:r>
      <w:r w:rsidR="000E4B06" w:rsidRPr="00F06DE2">
        <w:rPr>
          <w:rFonts w:ascii="Times New Roman" w:hAnsi="Times New Roman" w:cs="Times New Roman"/>
          <w:lang w:val="ru-RU"/>
        </w:rPr>
        <w:t xml:space="preserve">. Той трябва да отговаря на изискванията на </w:t>
      </w:r>
      <w:r w:rsidR="000E4B06" w:rsidRPr="00F06DE2">
        <w:rPr>
          <w:rFonts w:ascii="Times New Roman" w:hAnsi="Times New Roman" w:cs="Times New Roman"/>
        </w:rPr>
        <w:t>ES</w:t>
      </w:r>
      <w:r w:rsidR="000E4B06" w:rsidRPr="00F06DE2">
        <w:rPr>
          <w:rFonts w:ascii="Times New Roman" w:hAnsi="Times New Roman" w:cs="Times New Roman"/>
          <w:lang w:val="ru-RU"/>
        </w:rPr>
        <w:t>-</w:t>
      </w:r>
      <w:r w:rsidR="000E4B06" w:rsidRPr="00F06DE2">
        <w:rPr>
          <w:rFonts w:ascii="Times New Roman" w:hAnsi="Times New Roman" w:cs="Times New Roman"/>
        </w:rPr>
        <w:t>RIS</w:t>
      </w:r>
      <w:r w:rsidR="000E4B06" w:rsidRPr="00F06DE2">
        <w:rPr>
          <w:rFonts w:ascii="Times New Roman" w:hAnsi="Times New Roman" w:cs="Times New Roman"/>
          <w:lang w:val="ru-RU"/>
        </w:rPr>
        <w:t xml:space="preserve">, части </w:t>
      </w:r>
      <w:r w:rsidR="000E4B06" w:rsidRPr="00F06DE2">
        <w:rPr>
          <w:rFonts w:ascii="Times New Roman" w:hAnsi="Times New Roman" w:cs="Times New Roman"/>
        </w:rPr>
        <w:t>I</w:t>
      </w:r>
      <w:r w:rsidR="000E4B06" w:rsidRPr="00F06DE2">
        <w:rPr>
          <w:rFonts w:ascii="Times New Roman" w:hAnsi="Times New Roman" w:cs="Times New Roman"/>
          <w:lang w:val="ru-RU"/>
        </w:rPr>
        <w:t xml:space="preserve"> и </w:t>
      </w:r>
      <w:r w:rsidR="000E4B06" w:rsidRPr="00F06DE2">
        <w:rPr>
          <w:rFonts w:ascii="Times New Roman" w:hAnsi="Times New Roman" w:cs="Times New Roman"/>
        </w:rPr>
        <w:t>V</w:t>
      </w:r>
      <w:r w:rsidR="000E4B06" w:rsidRPr="00F06DE2">
        <w:rPr>
          <w:rFonts w:ascii="Times New Roman" w:hAnsi="Times New Roman" w:cs="Times New Roman"/>
          <w:lang w:val="ru-RU"/>
        </w:rPr>
        <w:t>. Трябва да се спазват изискванията на Приложение 5.</w:t>
      </w:r>
    </w:p>
    <w:p w14:paraId="28D1DB0E" w14:textId="533E2F2C"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r>
      <w:r w:rsidR="000E4B06" w:rsidRPr="00F06DE2">
        <w:rPr>
          <w:rFonts w:ascii="Times New Roman" w:hAnsi="Times New Roman" w:cs="Times New Roman"/>
          <w:lang w:val="ru-RU"/>
        </w:rPr>
        <w:t xml:space="preserve">Оборудването за </w:t>
      </w:r>
      <w:r w:rsidR="000E4B06" w:rsidRPr="00F06DE2">
        <w:rPr>
          <w:rFonts w:ascii="Times New Roman" w:hAnsi="Times New Roman" w:cs="Times New Roman"/>
        </w:rPr>
        <w:t>AIS</w:t>
      </w:r>
      <w:r w:rsidR="000E4B06" w:rsidRPr="00F06DE2">
        <w:rPr>
          <w:rFonts w:ascii="Times New Roman" w:hAnsi="Times New Roman" w:cs="Times New Roman"/>
          <w:lang w:val="ru-RU"/>
        </w:rPr>
        <w:t xml:space="preserve"> за вътрешно корабоплаване трябва да отговаря на изискванията на </w:t>
      </w:r>
      <w:r w:rsidR="000E4B06" w:rsidRPr="00F06DE2">
        <w:rPr>
          <w:rFonts w:ascii="Times New Roman" w:hAnsi="Times New Roman" w:cs="Times New Roman"/>
        </w:rPr>
        <w:t>ES</w:t>
      </w:r>
      <w:r w:rsidR="000E4B06" w:rsidRPr="00F06DE2">
        <w:rPr>
          <w:rFonts w:ascii="Times New Roman" w:hAnsi="Times New Roman" w:cs="Times New Roman"/>
          <w:lang w:val="ru-RU"/>
        </w:rPr>
        <w:t>-</w:t>
      </w:r>
      <w:r w:rsidR="000E4B06" w:rsidRPr="00F06DE2">
        <w:rPr>
          <w:rFonts w:ascii="Times New Roman" w:hAnsi="Times New Roman" w:cs="Times New Roman"/>
        </w:rPr>
        <w:t>RIS</w:t>
      </w:r>
      <w:r w:rsidR="000E4B06" w:rsidRPr="00F06DE2">
        <w:rPr>
          <w:rFonts w:ascii="Times New Roman" w:hAnsi="Times New Roman" w:cs="Times New Roman"/>
          <w:lang w:val="ru-RU"/>
        </w:rPr>
        <w:t xml:space="preserve">, части </w:t>
      </w:r>
      <w:r w:rsidR="000E4B06" w:rsidRPr="00F06DE2">
        <w:rPr>
          <w:rFonts w:ascii="Times New Roman" w:hAnsi="Times New Roman" w:cs="Times New Roman"/>
        </w:rPr>
        <w:t>II</w:t>
      </w:r>
      <w:r w:rsidR="000E4B06" w:rsidRPr="00F06DE2">
        <w:rPr>
          <w:rFonts w:ascii="Times New Roman" w:hAnsi="Times New Roman" w:cs="Times New Roman"/>
          <w:lang w:val="ru-RU"/>
        </w:rPr>
        <w:t xml:space="preserve"> и </w:t>
      </w:r>
      <w:r w:rsidR="000E4B06" w:rsidRPr="00F06DE2">
        <w:rPr>
          <w:rFonts w:ascii="Times New Roman" w:hAnsi="Times New Roman" w:cs="Times New Roman"/>
        </w:rPr>
        <w:t>VI</w:t>
      </w:r>
      <w:r w:rsidR="000E4B06" w:rsidRPr="00F06DE2">
        <w:rPr>
          <w:rFonts w:ascii="Times New Roman" w:hAnsi="Times New Roman" w:cs="Times New Roman"/>
          <w:lang w:val="ru-RU"/>
        </w:rPr>
        <w:t xml:space="preserve">. </w:t>
      </w:r>
      <w:r w:rsidR="00014937" w:rsidRPr="00F06DE2">
        <w:rPr>
          <w:rFonts w:ascii="Times New Roman" w:hAnsi="Times New Roman" w:cs="Times New Roman"/>
          <w:lang w:val="ru-RU"/>
        </w:rPr>
        <w:t xml:space="preserve"> </w:t>
      </w:r>
      <w:r w:rsidR="000E4B06" w:rsidRPr="00F06DE2">
        <w:rPr>
          <w:rFonts w:ascii="Times New Roman" w:hAnsi="Times New Roman" w:cs="Times New Roman"/>
          <w:lang w:val="ru-RU"/>
        </w:rPr>
        <w:t>Трябва да се спазват изискванията на Приложение 5.</w:t>
      </w:r>
    </w:p>
    <w:p w14:paraId="15CD7BB5" w14:textId="5862504A"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Индикаторът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се разполага пред рулевия и в неговото полезрение.</w:t>
      </w:r>
    </w:p>
    <w:p w14:paraId="070F9D82" w14:textId="4EAF1361"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В </w:t>
      </w:r>
      <w:r w:rsidR="001C0E14" w:rsidRPr="00F06DE2">
        <w:rPr>
          <w:rFonts w:ascii="Times New Roman" w:hAnsi="Times New Roman" w:cs="Times New Roman"/>
          <w:lang w:val="ru-RU"/>
        </w:rPr>
        <w:t xml:space="preserve">мястото за управление, проектирано за управление от едно лице с помощта на радиолокатор </w:t>
      </w:r>
      <w:r w:rsidRPr="00F06DE2">
        <w:rPr>
          <w:rFonts w:ascii="Times New Roman" w:hAnsi="Times New Roman" w:cs="Times New Roman"/>
          <w:lang w:val="ru-RU"/>
        </w:rPr>
        <w:t>:</w:t>
      </w:r>
    </w:p>
    <w:p w14:paraId="7D1A3407"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екранът на радиолокатора не трябва да е изместен значително извън оста на полезрението на рулевия при нормалното му положение;</w:t>
      </w:r>
    </w:p>
    <w:p w14:paraId="714AEC66"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радиолокационното изображение трябва да продължава да се вижда идеално без маска или екран, каквито и да са условията на осветлението извън рулевата рубка;</w:t>
      </w:r>
    </w:p>
    <w:p w14:paraId="625BE8A2" w14:textId="3A48B1E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индикаторът на ъгловата скорост</w:t>
      </w:r>
      <w:r w:rsidR="0078218A" w:rsidRPr="00F06DE2">
        <w:rPr>
          <w:rFonts w:ascii="Times New Roman" w:hAnsi="Times New Roman" w:cs="Times New Roman"/>
          <w:lang w:val="ru-RU"/>
        </w:rPr>
        <w:t>на завиване</w:t>
      </w:r>
      <w:r w:rsidR="0048255E" w:rsidRPr="00F06DE2">
        <w:rPr>
          <w:rFonts w:ascii="Times New Roman" w:hAnsi="Times New Roman" w:cs="Times New Roman"/>
          <w:lang w:val="ru-RU"/>
        </w:rPr>
        <w:t xml:space="preserve">завиване </w:t>
      </w:r>
      <w:r w:rsidRPr="00F06DE2">
        <w:rPr>
          <w:rFonts w:ascii="Times New Roman" w:hAnsi="Times New Roman" w:cs="Times New Roman"/>
          <w:lang w:val="ru-RU"/>
        </w:rPr>
        <w:t>трябва да е монтиран точно над радиолокационното изображение или под него или да е вграден в него.</w:t>
      </w:r>
    </w:p>
    <w:p w14:paraId="534E4C37" w14:textId="09B7751C" w:rsidR="00872CF0" w:rsidRPr="00F06DE2" w:rsidRDefault="00D35E51" w:rsidP="00872CF0">
      <w:pPr>
        <w:jc w:val="center"/>
        <w:rPr>
          <w:rFonts w:ascii="Times New Roman" w:hAnsi="Times New Roman" w:cs="Times New Roman"/>
          <w:b/>
          <w:i/>
          <w:lang w:val="ru-RU"/>
        </w:rPr>
      </w:pPr>
      <w:bookmarkStart w:id="86" w:name="_Toc535827489"/>
      <w:bookmarkStart w:id="87" w:name="_Toc491854048"/>
      <w:r w:rsidRPr="00F06DE2">
        <w:rPr>
          <w:rFonts w:ascii="Times New Roman" w:hAnsi="Times New Roman" w:cs="Times New Roman"/>
          <w:b/>
          <w:lang w:val="ru-RU"/>
        </w:rPr>
        <w:t>Член 7.07</w:t>
      </w:r>
      <w:r w:rsidRPr="00F06DE2">
        <w:rPr>
          <w:rFonts w:ascii="Times New Roman" w:hAnsi="Times New Roman" w:cs="Times New Roman"/>
          <w:lang w:val="ru-RU"/>
        </w:rPr>
        <w:br/>
      </w:r>
      <w:bookmarkEnd w:id="86"/>
      <w:bookmarkEnd w:id="87"/>
      <w:r w:rsidR="00872CF0" w:rsidRPr="00F06DE2">
        <w:rPr>
          <w:rFonts w:ascii="Times New Roman" w:hAnsi="Times New Roman" w:cs="Times New Roman"/>
          <w:b/>
          <w:i/>
          <w:lang w:val="ru-RU"/>
        </w:rPr>
        <w:t xml:space="preserve">Радиотелефонни системи за плавателни съдове с </w:t>
      </w:r>
      <w:r w:rsidR="00226BA5" w:rsidRPr="00F06DE2">
        <w:rPr>
          <w:rFonts w:ascii="Times New Roman" w:hAnsi="Times New Roman" w:cs="Times New Roman"/>
          <w:b/>
          <w:i/>
          <w:lang w:val="ru-RU"/>
        </w:rPr>
        <w:t>мястото за управление, проектирано за управление от едно лице с помощта на радиолокатор</w:t>
      </w:r>
      <w:r w:rsidR="007436B0" w:rsidRPr="00F06DE2">
        <w:rPr>
          <w:rFonts w:ascii="Times New Roman" w:hAnsi="Times New Roman" w:cs="Times New Roman"/>
          <w:b/>
          <w:i/>
          <w:lang w:val="ru-RU"/>
        </w:rPr>
        <w:t xml:space="preserve"> </w:t>
      </w:r>
    </w:p>
    <w:p w14:paraId="7DCEB397" w14:textId="77777777" w:rsidR="00271FA2" w:rsidRPr="00F06DE2" w:rsidRDefault="00271FA2">
      <w:pPr>
        <w:pStyle w:val="ES-Titre3"/>
        <w:spacing w:line="240" w:lineRule="atLeast"/>
        <w:rPr>
          <w:rFonts w:ascii="Times New Roman" w:hAnsi="Times New Roman" w:cs="Times New Roman"/>
          <w:strike/>
          <w:sz w:val="24"/>
          <w:szCs w:val="24"/>
          <w:lang w:val="ru-RU"/>
        </w:rPr>
      </w:pPr>
    </w:p>
    <w:p w14:paraId="7DCCB158" w14:textId="4E56EFA0"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1.</w:t>
      </w:r>
      <w:r w:rsidRPr="00F06DE2">
        <w:rPr>
          <w:rFonts w:ascii="Times New Roman" w:hAnsi="Times New Roman" w:cs="Times New Roman"/>
          <w:lang w:val="ru-RU"/>
        </w:rPr>
        <w:tab/>
        <w:t xml:space="preserve">Когато </w:t>
      </w:r>
      <w:r w:rsidR="007539D4" w:rsidRPr="00F06DE2">
        <w:rPr>
          <w:rFonts w:ascii="Times New Roman" w:hAnsi="Times New Roman" w:cs="Times New Roman"/>
          <w:lang w:val="ru-RU"/>
        </w:rPr>
        <w:t xml:space="preserve">мястото за управление, проектирано за управление от едно лице с помощта на радиолокатор </w:t>
      </w:r>
      <w:r w:rsidRPr="00F06DE2">
        <w:rPr>
          <w:rFonts w:ascii="Times New Roman" w:hAnsi="Times New Roman" w:cs="Times New Roman"/>
          <w:lang w:val="ru-RU"/>
        </w:rPr>
        <w:t>, приемането на информация от мрежите на плавателния съд и мрежата за навигационна информация трябва да се осъществява чрез високоговорител, а изпращането на информация — чрез фиксиран микрофон. Режимите на изпращане/приемане се избират с натискане на бутон.</w:t>
      </w:r>
    </w:p>
    <w:p w14:paraId="30BC8929"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Не трябва да е възможно да се използват микрофоните на тези мрежи за публични съобщителни мрежи.</w:t>
      </w:r>
    </w:p>
    <w:p w14:paraId="44E297CB" w14:textId="77777777" w:rsidR="00872CF0" w:rsidRPr="00F06DE2" w:rsidRDefault="00872CF0">
      <w:pPr>
        <w:pStyle w:val="ESchpar"/>
        <w:jc w:val="both"/>
        <w:rPr>
          <w:rFonts w:ascii="Times New Roman" w:hAnsi="Times New Roman" w:cs="Times New Roman"/>
          <w:strike/>
          <w:lang w:val="ru-RU"/>
        </w:rPr>
      </w:pPr>
    </w:p>
    <w:p w14:paraId="43E61EF0" w14:textId="36021E91" w:rsidR="00271FA2" w:rsidRPr="00F06DE2" w:rsidRDefault="00D35E51">
      <w:pPr>
        <w:pStyle w:val="ESch"/>
        <w:jc w:val="both"/>
        <w:rPr>
          <w:rFonts w:ascii="Times New Roman" w:hAnsi="Times New Roman" w:cs="Times New Roman"/>
          <w:strike/>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Когато </w:t>
      </w:r>
      <w:r w:rsidR="00F76477" w:rsidRPr="00F06DE2">
        <w:rPr>
          <w:rFonts w:ascii="Times New Roman" w:hAnsi="Times New Roman" w:cs="Times New Roman"/>
          <w:lang w:val="ru-RU"/>
        </w:rPr>
        <w:t>мястото за управление, проектирано за управление от едно лице с помощта на радиолокатор</w:t>
      </w:r>
      <w:r w:rsidR="006B704C" w:rsidRPr="00F06DE2">
        <w:rPr>
          <w:rFonts w:ascii="Times New Roman" w:hAnsi="Times New Roman" w:cs="Times New Roman"/>
          <w:lang w:val="ru-RU"/>
        </w:rPr>
        <w:t xml:space="preserve"> </w:t>
      </w:r>
      <w:r w:rsidRPr="00F06DE2">
        <w:rPr>
          <w:rFonts w:ascii="Times New Roman" w:hAnsi="Times New Roman" w:cs="Times New Roman"/>
          <w:lang w:val="ru-RU"/>
        </w:rPr>
        <w:t xml:space="preserve">, </w:t>
      </w:r>
      <w:r w:rsidR="006B704C" w:rsidRPr="00F06DE2">
        <w:rPr>
          <w:rFonts w:ascii="Times New Roman" w:hAnsi="Times New Roman" w:cs="Times New Roman"/>
          <w:lang w:val="ru-RU"/>
        </w:rPr>
        <w:t xml:space="preserve">е оборудвано </w:t>
      </w:r>
      <w:r w:rsidRPr="00F06DE2">
        <w:rPr>
          <w:rFonts w:ascii="Times New Roman" w:hAnsi="Times New Roman" w:cs="Times New Roman"/>
          <w:lang w:val="ru-RU"/>
        </w:rPr>
        <w:t>с радиотелефонна система за публична съобщителна мрежа, приемането трябва да е възможно от мястото на рулевия.</w:t>
      </w:r>
      <w:r w:rsidR="00872CF0" w:rsidRPr="00F06DE2">
        <w:rPr>
          <w:rFonts w:ascii="Times New Roman" w:hAnsi="Times New Roman" w:cs="Times New Roman"/>
          <w:lang w:val="ru-RU"/>
        </w:rPr>
        <w:t xml:space="preserve"> </w:t>
      </w:r>
    </w:p>
    <w:p w14:paraId="6E3DAF02" w14:textId="77777777" w:rsidR="00872CF0" w:rsidRPr="00F06DE2" w:rsidRDefault="00872CF0">
      <w:pPr>
        <w:pStyle w:val="ESch"/>
        <w:jc w:val="both"/>
        <w:rPr>
          <w:rFonts w:ascii="Times New Roman" w:hAnsi="Times New Roman" w:cs="Times New Roman"/>
          <w:lang w:val="ru-RU"/>
        </w:rPr>
      </w:pPr>
    </w:p>
    <w:p w14:paraId="4F6FC70D" w14:textId="77777777" w:rsidR="00271FA2" w:rsidRPr="00F06DE2" w:rsidRDefault="00D35E51">
      <w:pPr>
        <w:pStyle w:val="ES-Titre3"/>
        <w:spacing w:line="240" w:lineRule="atLeast"/>
        <w:rPr>
          <w:rFonts w:ascii="Times New Roman" w:hAnsi="Times New Roman" w:cs="Times New Roman"/>
          <w:sz w:val="24"/>
          <w:szCs w:val="24"/>
          <w:lang w:val="ru-RU"/>
        </w:rPr>
      </w:pPr>
      <w:bookmarkStart w:id="88" w:name="_Toc535827490"/>
      <w:bookmarkStart w:id="89" w:name="_Toc491854049"/>
      <w:r w:rsidRPr="00F06DE2">
        <w:rPr>
          <w:rFonts w:ascii="Times New Roman" w:hAnsi="Times New Roman" w:cs="Times New Roman"/>
          <w:sz w:val="24"/>
          <w:szCs w:val="24"/>
          <w:lang w:val="ru-RU"/>
        </w:rPr>
        <w:t>Член 7.08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Съоръжения за вътрешнокорабна комуникация на борда</w:t>
      </w:r>
      <w:bookmarkEnd w:id="88"/>
      <w:bookmarkEnd w:id="89"/>
    </w:p>
    <w:p w14:paraId="0E342A26" w14:textId="0A5B66E3" w:rsidR="00271FA2" w:rsidRPr="00F06DE2" w:rsidRDefault="00872CF0">
      <w:pPr>
        <w:pStyle w:val="ESgauche"/>
        <w:jc w:val="both"/>
        <w:rPr>
          <w:rFonts w:ascii="Times New Roman" w:hAnsi="Times New Roman" w:cs="Times New Roman"/>
          <w:strike/>
          <w:lang w:val="ru-RU"/>
        </w:rPr>
      </w:pPr>
      <w:r w:rsidRPr="00F06DE2">
        <w:rPr>
          <w:rFonts w:ascii="Times New Roman" w:hAnsi="Times New Roman" w:cs="Times New Roman"/>
          <w:lang w:val="ru-RU"/>
        </w:rPr>
        <w:t xml:space="preserve">Трябва да има вътрешни комуникационни съоръжения на борда на плавателни съдове с </w:t>
      </w:r>
      <w:r w:rsidR="005D54E7" w:rsidRPr="00F06DE2">
        <w:rPr>
          <w:rFonts w:ascii="Times New Roman" w:hAnsi="Times New Roman" w:cs="Times New Roman"/>
          <w:lang w:val="ru-RU"/>
        </w:rPr>
        <w:t>мястото за управление, проектирано за управление от едно лице с помощта на радиолокатор</w:t>
      </w:r>
      <w:r w:rsidR="00E80AD4" w:rsidRPr="00F06DE2">
        <w:rPr>
          <w:rFonts w:ascii="Times New Roman" w:hAnsi="Times New Roman" w:cs="Times New Roman"/>
          <w:lang w:val="ru-RU"/>
        </w:rPr>
        <w:t xml:space="preserve"> </w:t>
      </w:r>
      <w:r w:rsidRPr="00F06DE2">
        <w:rPr>
          <w:rFonts w:ascii="Times New Roman" w:hAnsi="Times New Roman" w:cs="Times New Roman"/>
          <w:lang w:val="ru-RU"/>
        </w:rPr>
        <w:t>.</w:t>
      </w:r>
    </w:p>
    <w:p w14:paraId="0241A0EA"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Трябва да е възможно да се установят комуникационни връзки от поста за управление:</w:t>
      </w:r>
    </w:p>
    <w:p w14:paraId="2AC6F1D3" w14:textId="77777777" w:rsidR="00271FA2" w:rsidRPr="00F06DE2" w:rsidRDefault="00D35E51">
      <w:pPr>
        <w:pStyle w:val="ESletgauche"/>
        <w:spacing w:before="0"/>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 носа на плавателния съд или състава от плавателни съдове;</w:t>
      </w:r>
    </w:p>
    <w:p w14:paraId="50C6E491" w14:textId="77777777" w:rsidR="009A7E0C" w:rsidRPr="00F06DE2" w:rsidRDefault="00D35E51">
      <w:pPr>
        <w:pStyle w:val="ESletgauche"/>
        <w:spacing w:before="0"/>
        <w:ind w:left="227" w:hanging="227"/>
        <w:jc w:val="both"/>
        <w:rPr>
          <w:rFonts w:ascii="Times New Roman" w:hAnsi="Times New Roman" w:cs="Times New Roman"/>
          <w:lang w:val="ru-RU"/>
        </w:rPr>
      </w:pPr>
      <w:r w:rsidRPr="00F06DE2">
        <w:rPr>
          <w:rFonts w:ascii="Times New Roman" w:hAnsi="Times New Roman" w:cs="Times New Roman"/>
          <w:lang w:val="ru-RU"/>
        </w:rPr>
        <w:t>б) с кърмата на плавателния съд или състава от плавателн</w:t>
      </w:r>
      <w:r w:rsidR="009A7E0C" w:rsidRPr="00F06DE2">
        <w:rPr>
          <w:rFonts w:ascii="Times New Roman" w:hAnsi="Times New Roman" w:cs="Times New Roman"/>
          <w:lang w:val="ru-RU"/>
        </w:rPr>
        <w:t>и съдове, ако пряка връзка не е</w:t>
      </w:r>
    </w:p>
    <w:p w14:paraId="2D37E3B4" w14:textId="5ABAF146" w:rsidR="00271FA2" w:rsidRPr="00F06DE2" w:rsidRDefault="00D35E51">
      <w:pPr>
        <w:pStyle w:val="ESletgauche"/>
        <w:spacing w:before="0"/>
        <w:ind w:left="227" w:hanging="227"/>
        <w:jc w:val="both"/>
        <w:rPr>
          <w:rFonts w:ascii="Times New Roman" w:hAnsi="Times New Roman" w:cs="Times New Roman"/>
          <w:lang w:val="ru-RU"/>
        </w:rPr>
      </w:pPr>
      <w:r w:rsidRPr="00F06DE2">
        <w:rPr>
          <w:rFonts w:ascii="Times New Roman" w:hAnsi="Times New Roman" w:cs="Times New Roman"/>
          <w:lang w:val="ru-RU"/>
        </w:rPr>
        <w:t>възможна от поста за управление;</w:t>
      </w:r>
    </w:p>
    <w:p w14:paraId="542735C6" w14:textId="77777777" w:rsidR="00271FA2" w:rsidRPr="00F06DE2" w:rsidRDefault="00D35E51">
      <w:pPr>
        <w:pStyle w:val="ESletgauche"/>
        <w:spacing w:before="0"/>
        <w:jc w:val="both"/>
        <w:rPr>
          <w:rFonts w:ascii="Times New Roman" w:hAnsi="Times New Roman" w:cs="Times New Roman"/>
          <w:lang w:val="ru-RU"/>
        </w:rPr>
      </w:pPr>
      <w:r w:rsidRPr="00F06DE2">
        <w:rPr>
          <w:rFonts w:ascii="Times New Roman" w:hAnsi="Times New Roman" w:cs="Times New Roman"/>
          <w:lang w:val="ru-RU"/>
        </w:rPr>
        <w:t>в) с жилищните помещения на екипажа;</w:t>
      </w:r>
    </w:p>
    <w:p w14:paraId="7F46CE68" w14:textId="77777777" w:rsidR="00271FA2" w:rsidRPr="00F06DE2" w:rsidRDefault="00D35E51">
      <w:pPr>
        <w:pStyle w:val="ESletgauche"/>
        <w:spacing w:before="0"/>
        <w:jc w:val="both"/>
        <w:rPr>
          <w:rFonts w:ascii="Times New Roman" w:hAnsi="Times New Roman" w:cs="Times New Roman"/>
          <w:lang w:val="ru-RU"/>
        </w:rPr>
      </w:pPr>
      <w:r w:rsidRPr="00F06DE2">
        <w:rPr>
          <w:rFonts w:ascii="Times New Roman" w:hAnsi="Times New Roman" w:cs="Times New Roman"/>
          <w:lang w:val="ru-RU"/>
        </w:rPr>
        <w:t>г) с каютата на капитана.</w:t>
      </w:r>
    </w:p>
    <w:p w14:paraId="5A69780C"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Приемането на всички места на тези вътрешни комуникационни връзки става чрез високоговорител, а предаването — чрез фиксиран микрофон. Връзката с носа и кърмата на плавателния съд или състава от плавателни съдове може да бъде от радиотелефонен тип.</w:t>
      </w:r>
      <w:bookmarkStart w:id="90" w:name="_Toc535827491"/>
      <w:bookmarkStart w:id="91" w:name="_Toc491854050"/>
    </w:p>
    <w:p w14:paraId="31567B5C" w14:textId="77777777" w:rsidR="003B59EB" w:rsidRPr="00F06DE2" w:rsidRDefault="003B59EB">
      <w:pPr>
        <w:pStyle w:val="ES-Titre3"/>
        <w:spacing w:line="240" w:lineRule="atLeast"/>
        <w:rPr>
          <w:rFonts w:ascii="Times New Roman" w:hAnsi="Times New Roman" w:cs="Times New Roman"/>
          <w:sz w:val="24"/>
          <w:szCs w:val="24"/>
          <w:lang w:val="ru-RU"/>
        </w:rPr>
      </w:pPr>
    </w:p>
    <w:p w14:paraId="1B2F3F66" w14:textId="7C826480"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7.09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Алармена система</w:t>
      </w:r>
      <w:bookmarkEnd w:id="90"/>
      <w:bookmarkEnd w:id="91"/>
    </w:p>
    <w:p w14:paraId="7E9FFA2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Трябва да има самостоятелна алармена система, която позволява да бъдат достигнати жилищните помещения, машинните отделения и, където е приложимо, отделните помпени отделения, да бъдат достигнати.</w:t>
      </w:r>
    </w:p>
    <w:p w14:paraId="5A4BA82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 обсега на рулевия трябва да има прекъсвач за включване и изключване на алармения сигнал; прекъсвачи, които автоматично се връщат в положение изключено, след като бъдат освободени, не се допускат.</w:t>
      </w:r>
    </w:p>
    <w:p w14:paraId="237F4DE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Нивото на силата на звука на алармения сигнал е не по-малко от 75</w:t>
      </w:r>
      <w:r w:rsidRPr="00F06DE2">
        <w:rPr>
          <w:rFonts w:ascii="Times New Roman" w:hAnsi="Times New Roman" w:cs="Times New Roman"/>
        </w:rPr>
        <w:t> dB</w:t>
      </w:r>
      <w:r w:rsidRPr="00F06DE2">
        <w:rPr>
          <w:rFonts w:ascii="Times New Roman" w:hAnsi="Times New Roman" w:cs="Times New Roman"/>
          <w:lang w:val="ru-RU"/>
        </w:rPr>
        <w:t xml:space="preserve"> (</w:t>
      </w:r>
      <w:r w:rsidRPr="00F06DE2">
        <w:rPr>
          <w:rFonts w:ascii="Times New Roman" w:hAnsi="Times New Roman" w:cs="Times New Roman"/>
        </w:rPr>
        <w:t>A</w:t>
      </w:r>
      <w:r w:rsidRPr="00F06DE2">
        <w:rPr>
          <w:rFonts w:ascii="Times New Roman" w:hAnsi="Times New Roman" w:cs="Times New Roman"/>
          <w:lang w:val="ru-RU"/>
        </w:rPr>
        <w:t>) в жилищните помещения.</w:t>
      </w:r>
    </w:p>
    <w:p w14:paraId="65DCF11B"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В машинните отделения и помпените отделения аларменият сигнал трябва да е под формата на мигаща светлина, видима от всички страни и ясно забележима от всяка точка.</w:t>
      </w:r>
    </w:p>
    <w:p w14:paraId="681A969C" w14:textId="77777777" w:rsidR="00271FA2" w:rsidRPr="00F06DE2" w:rsidRDefault="00D35E51">
      <w:pPr>
        <w:pStyle w:val="ES-Titre3"/>
        <w:spacing w:line="240" w:lineRule="atLeast"/>
        <w:rPr>
          <w:rFonts w:ascii="Times New Roman" w:hAnsi="Times New Roman" w:cs="Times New Roman"/>
          <w:sz w:val="24"/>
          <w:szCs w:val="24"/>
          <w:lang w:val="ru-RU"/>
        </w:rPr>
      </w:pPr>
      <w:bookmarkStart w:id="92" w:name="_Toc491854051"/>
      <w:bookmarkStart w:id="93" w:name="_Toc535827492"/>
      <w:r w:rsidRPr="00F06DE2">
        <w:rPr>
          <w:rFonts w:ascii="Times New Roman" w:hAnsi="Times New Roman" w:cs="Times New Roman"/>
          <w:sz w:val="24"/>
          <w:szCs w:val="24"/>
          <w:lang w:val="ru-RU"/>
        </w:rPr>
        <w:t>Член 7.10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Отопление и вентилация</w:t>
      </w:r>
      <w:bookmarkEnd w:id="92"/>
      <w:bookmarkEnd w:id="93"/>
    </w:p>
    <w:p w14:paraId="5F10DDE6"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Рулевите рубки са оборудвани с ефикасни отоплителни и вентилационни системи, които могат да бъдат регулирани.</w:t>
      </w:r>
    </w:p>
    <w:p w14:paraId="251DAABB" w14:textId="6F86CD81" w:rsidR="00271FA2" w:rsidRPr="00F06DE2" w:rsidRDefault="00D35E51" w:rsidP="00C13C7C">
      <w:pPr>
        <w:ind w:left="720" w:hanging="720"/>
        <w:jc w:val="center"/>
        <w:rPr>
          <w:rFonts w:ascii="Times New Roman" w:hAnsi="Times New Roman" w:cs="Times New Roman"/>
          <w:b/>
          <w:i/>
          <w:lang w:val="ru-RU"/>
        </w:rPr>
      </w:pPr>
      <w:bookmarkStart w:id="94" w:name="_Toc535827493"/>
      <w:bookmarkStart w:id="95" w:name="_Toc491854052"/>
      <w:r w:rsidRPr="00F06DE2">
        <w:rPr>
          <w:rFonts w:ascii="Times New Roman" w:hAnsi="Times New Roman" w:cs="Times New Roman"/>
          <w:b/>
          <w:lang w:val="ru-RU"/>
        </w:rPr>
        <w:lastRenderedPageBreak/>
        <w:t>Член 7.11</w:t>
      </w:r>
      <w:r w:rsidRPr="00F06DE2">
        <w:rPr>
          <w:rFonts w:ascii="Times New Roman" w:hAnsi="Times New Roman" w:cs="Times New Roman"/>
          <w:b/>
          <w:lang w:val="ru-RU"/>
        </w:rPr>
        <w:br/>
      </w:r>
      <w:r w:rsidRPr="00F06DE2">
        <w:rPr>
          <w:rFonts w:ascii="Times New Roman" w:hAnsi="Times New Roman" w:cs="Times New Roman"/>
          <w:b/>
          <w:i/>
          <w:lang w:val="ru-RU"/>
        </w:rPr>
        <w:t>Оборудване за работа с кърмови котви</w:t>
      </w:r>
      <w:bookmarkEnd w:id="94"/>
      <w:bookmarkEnd w:id="95"/>
      <w:r w:rsidR="00C13C7C" w:rsidRPr="00F06DE2">
        <w:rPr>
          <w:rFonts w:ascii="Times New Roman" w:hAnsi="Times New Roman" w:cs="Times New Roman"/>
          <w:b/>
          <w:lang w:val="ru-RU"/>
        </w:rPr>
        <w:t xml:space="preserve"> </w:t>
      </w:r>
    </w:p>
    <w:p w14:paraId="7E2B8A2B" w14:textId="0D34E5A9" w:rsidR="00271FA2" w:rsidRPr="00F06DE2" w:rsidRDefault="00D35E51" w:rsidP="00A35C45">
      <w:pPr>
        <w:pStyle w:val="ESgauche"/>
        <w:ind w:left="720"/>
        <w:jc w:val="both"/>
        <w:rPr>
          <w:rFonts w:ascii="Times New Roman" w:hAnsi="Times New Roman" w:cs="Times New Roman"/>
          <w:strike/>
          <w:lang w:val="ru-RU"/>
        </w:rPr>
      </w:pPr>
      <w:r w:rsidRPr="00F06DE2">
        <w:rPr>
          <w:rFonts w:ascii="Times New Roman" w:hAnsi="Times New Roman" w:cs="Times New Roman"/>
          <w:lang w:val="ru-RU"/>
        </w:rPr>
        <w:t xml:space="preserve">На борда на плавателни съдове и състави с </w:t>
      </w:r>
      <w:r w:rsidR="00743B1A" w:rsidRPr="00F06DE2">
        <w:rPr>
          <w:rFonts w:ascii="Times New Roman" w:hAnsi="Times New Roman" w:cs="Times New Roman"/>
          <w:lang w:val="ru-RU"/>
        </w:rPr>
        <w:t>място за управление, проектирано за управление от едно лице с помощта на радиолокатор</w:t>
      </w:r>
      <w:r w:rsidR="007436B0" w:rsidRPr="00F06DE2">
        <w:rPr>
          <w:rFonts w:ascii="Times New Roman" w:hAnsi="Times New Roman" w:cs="Times New Roman"/>
          <w:lang w:val="ru-RU"/>
        </w:rPr>
        <w:t xml:space="preserve"> </w:t>
      </w:r>
      <w:r w:rsidRPr="00F06DE2">
        <w:rPr>
          <w:rFonts w:ascii="Times New Roman" w:hAnsi="Times New Roman" w:cs="Times New Roman"/>
          <w:lang w:val="ru-RU"/>
        </w:rPr>
        <w:t xml:space="preserve">с дължина над 86 </w:t>
      </w:r>
      <w:r w:rsidRPr="00F06DE2">
        <w:rPr>
          <w:rFonts w:ascii="Times New Roman" w:hAnsi="Times New Roman" w:cs="Times New Roman"/>
        </w:rPr>
        <w:t>m</w:t>
      </w:r>
      <w:r w:rsidRPr="00F06DE2">
        <w:rPr>
          <w:rFonts w:ascii="Times New Roman" w:hAnsi="Times New Roman" w:cs="Times New Roman"/>
          <w:lang w:val="ru-RU"/>
        </w:rPr>
        <w:t xml:space="preserve"> или ширина над 22,90 </w:t>
      </w:r>
      <w:r w:rsidRPr="00F06DE2">
        <w:rPr>
          <w:rFonts w:ascii="Times New Roman" w:hAnsi="Times New Roman" w:cs="Times New Roman"/>
        </w:rPr>
        <w:t>m</w:t>
      </w:r>
      <w:r w:rsidRPr="00F06DE2">
        <w:rPr>
          <w:rFonts w:ascii="Times New Roman" w:hAnsi="Times New Roman" w:cs="Times New Roman"/>
          <w:lang w:val="ru-RU"/>
        </w:rPr>
        <w:t xml:space="preserve"> трябва да е възможно рулевият да спуска кърмовите котви от </w:t>
      </w:r>
      <w:r w:rsidR="001A61D3" w:rsidRPr="00F06DE2">
        <w:rPr>
          <w:rFonts w:ascii="Times New Roman" w:hAnsi="Times New Roman" w:cs="Times New Roman"/>
          <w:lang w:val="ru-RU"/>
        </w:rPr>
        <w:t xml:space="preserve"> </w:t>
      </w:r>
      <w:r w:rsidR="00743B1A" w:rsidRPr="00F06DE2">
        <w:rPr>
          <w:rFonts w:ascii="Times New Roman" w:hAnsi="Times New Roman" w:cs="Times New Roman"/>
          <w:lang w:val="ru-RU"/>
        </w:rPr>
        <w:t>позицията си</w:t>
      </w:r>
      <w:r w:rsidRPr="00F06DE2">
        <w:rPr>
          <w:rFonts w:ascii="Times New Roman" w:hAnsi="Times New Roman" w:cs="Times New Roman"/>
          <w:lang w:val="ru-RU"/>
        </w:rPr>
        <w:t>.</w:t>
      </w:r>
      <w:r w:rsidR="00C13C7C" w:rsidRPr="00F06DE2">
        <w:rPr>
          <w:rFonts w:ascii="Times New Roman" w:hAnsi="Times New Roman" w:cs="Times New Roman"/>
          <w:lang w:val="ru-RU"/>
        </w:rPr>
        <w:t xml:space="preserve"> </w:t>
      </w:r>
    </w:p>
    <w:p w14:paraId="3A55239A" w14:textId="77777777" w:rsidR="00A35C45" w:rsidRPr="00F06DE2" w:rsidRDefault="00D35E51" w:rsidP="00A35C45">
      <w:pPr>
        <w:jc w:val="center"/>
        <w:rPr>
          <w:rFonts w:ascii="Times New Roman" w:hAnsi="Times New Roman" w:cs="Times New Roman"/>
          <w:b/>
          <w:lang w:val="ru-RU"/>
        </w:rPr>
      </w:pPr>
      <w:bookmarkStart w:id="96" w:name="_Toc491854053"/>
      <w:bookmarkStart w:id="97" w:name="_Toc535827494"/>
      <w:r w:rsidRPr="00F06DE2">
        <w:rPr>
          <w:rFonts w:ascii="Times New Roman" w:hAnsi="Times New Roman" w:cs="Times New Roman"/>
          <w:b/>
          <w:lang w:val="ru-RU"/>
        </w:rPr>
        <w:t>Член 7.12</w:t>
      </w:r>
    </w:p>
    <w:p w14:paraId="67608356" w14:textId="415B419C" w:rsidR="00F535F3" w:rsidRPr="00F06DE2" w:rsidRDefault="00F535F3" w:rsidP="00A35C45">
      <w:pPr>
        <w:jc w:val="center"/>
        <w:rPr>
          <w:rFonts w:ascii="Times New Roman" w:hAnsi="Times New Roman" w:cs="Times New Roman"/>
          <w:i/>
          <w:lang w:val="ru-RU"/>
        </w:rPr>
      </w:pPr>
      <w:r w:rsidRPr="00F06DE2">
        <w:rPr>
          <w:rFonts w:ascii="Times New Roman" w:hAnsi="Times New Roman" w:cs="Times New Roman"/>
          <w:b/>
          <w:i/>
          <w:lang w:val="ru-RU"/>
        </w:rPr>
        <w:t>Повдигащи се рулеви рубки</w:t>
      </w:r>
    </w:p>
    <w:bookmarkEnd w:id="96"/>
    <w:bookmarkEnd w:id="97"/>
    <w:p w14:paraId="7C9B73D9" w14:textId="64F0E6DF" w:rsidR="00271FA2" w:rsidRPr="00F06DE2" w:rsidRDefault="00271FA2" w:rsidP="00A35C45">
      <w:pPr>
        <w:pStyle w:val="ES-Titre3"/>
        <w:spacing w:line="240" w:lineRule="atLeast"/>
        <w:jc w:val="both"/>
        <w:rPr>
          <w:rFonts w:ascii="Times New Roman" w:hAnsi="Times New Roman" w:cs="Times New Roman"/>
          <w:i/>
          <w:snapToGrid w:val="0"/>
          <w:sz w:val="24"/>
          <w:szCs w:val="24"/>
          <w:lang w:val="ru-RU"/>
        </w:rPr>
      </w:pPr>
    </w:p>
    <w:p w14:paraId="718549D2" w14:textId="51299259" w:rsidR="00F535F3" w:rsidRPr="00F06DE2" w:rsidRDefault="00933807" w:rsidP="009A7E0C">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1. </w:t>
      </w:r>
      <w:r w:rsidR="00A35C45" w:rsidRPr="00F06DE2">
        <w:rPr>
          <w:rFonts w:ascii="Times New Roman" w:hAnsi="Times New Roman" w:cs="Times New Roman"/>
          <w:lang w:val="ru-RU"/>
        </w:rPr>
        <w:tab/>
      </w:r>
      <w:r w:rsidRPr="00F06DE2">
        <w:rPr>
          <w:rFonts w:ascii="Times New Roman" w:hAnsi="Times New Roman" w:cs="Times New Roman"/>
          <w:lang w:val="ru-RU"/>
        </w:rPr>
        <w:t xml:space="preserve">Механично задвижваната рулева рубка с подемен механизъм и нейното оборудване трябва да са проектирани по такъв начин, че безопасността на лицата на борда да не е застрашена. </w:t>
      </w:r>
      <w:r w:rsidR="00F535F3" w:rsidRPr="00F06DE2">
        <w:rPr>
          <w:rFonts w:ascii="Times New Roman" w:hAnsi="Times New Roman" w:cs="Times New Roman"/>
          <w:lang w:val="ru-RU"/>
        </w:rPr>
        <w:t xml:space="preserve">2. </w:t>
      </w:r>
      <w:r w:rsidR="00F535F3" w:rsidRPr="00F06DE2">
        <w:rPr>
          <w:rFonts w:ascii="Times New Roman" w:hAnsi="Times New Roman" w:cs="Times New Roman"/>
          <w:lang w:val="ru-RU"/>
        </w:rPr>
        <w:tab/>
        <w:t>Повдигащата се рулева рубка не трябва да застрашава устойчивостта на кораба.</w:t>
      </w:r>
    </w:p>
    <w:p w14:paraId="216DF6FA" w14:textId="2E7DC329" w:rsidR="00F535F3" w:rsidRPr="00F06DE2" w:rsidRDefault="00F535F3" w:rsidP="009A7E0C">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3. </w:t>
      </w:r>
      <w:r w:rsidRPr="00F06DE2">
        <w:rPr>
          <w:rFonts w:ascii="Times New Roman" w:hAnsi="Times New Roman" w:cs="Times New Roman"/>
          <w:lang w:val="ru-RU"/>
        </w:rPr>
        <w:tab/>
      </w:r>
      <w:r w:rsidR="00721ABC" w:rsidRPr="00F06DE2">
        <w:rPr>
          <w:rFonts w:ascii="Times New Roman" w:hAnsi="Times New Roman" w:cs="Times New Roman"/>
          <w:lang w:val="ru-RU"/>
        </w:rPr>
        <w:t>Здравината</w:t>
      </w:r>
      <w:r w:rsidRPr="00F06DE2">
        <w:rPr>
          <w:rFonts w:ascii="Times New Roman" w:hAnsi="Times New Roman" w:cs="Times New Roman"/>
          <w:lang w:val="ru-RU"/>
        </w:rPr>
        <w:t xml:space="preserve"> на повдигащата се рулева рубка, на механизма за повдигане и свързаните с тях части на кораба трябва да бъде </w:t>
      </w:r>
      <w:r w:rsidR="004C6232" w:rsidRPr="00F06DE2">
        <w:rPr>
          <w:rFonts w:ascii="Times New Roman" w:hAnsi="Times New Roman" w:cs="Times New Roman"/>
          <w:lang w:val="ru-RU"/>
        </w:rPr>
        <w:t xml:space="preserve"> </w:t>
      </w:r>
      <w:r w:rsidRPr="00F06DE2">
        <w:rPr>
          <w:rFonts w:ascii="Times New Roman" w:hAnsi="Times New Roman" w:cs="Times New Roman"/>
          <w:lang w:val="ru-RU"/>
        </w:rPr>
        <w:t xml:space="preserve"> оразмерена в съответствие с добрата корабостроителна практика.</w:t>
      </w:r>
    </w:p>
    <w:p w14:paraId="12A887B3" w14:textId="4066F72A" w:rsidR="00F535F3" w:rsidRPr="00F06DE2" w:rsidRDefault="00F535F3" w:rsidP="009A7E0C">
      <w:pPr>
        <w:ind w:left="567" w:hanging="567"/>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r>
      <w:r w:rsidR="003A2920" w:rsidRPr="00F06DE2">
        <w:rPr>
          <w:rFonts w:ascii="Times New Roman" w:hAnsi="Times New Roman" w:cs="Times New Roman"/>
          <w:lang w:val="ru-RU"/>
        </w:rPr>
        <w:t>Действията</w:t>
      </w:r>
      <w:r w:rsidRPr="00F06DE2">
        <w:rPr>
          <w:rFonts w:ascii="Times New Roman" w:hAnsi="Times New Roman" w:cs="Times New Roman"/>
          <w:lang w:val="ru-RU"/>
        </w:rPr>
        <w:t>, извършвани от рулевата рубка, не трябва да бъдат възпрепятствани по време на повдигане и спускане. Трябва да има възможност за влизане и излизане от рулевата рубка, независимо от нейното положение. Отвор</w:t>
      </w:r>
      <w:r w:rsidR="00412D46" w:rsidRPr="00F06DE2">
        <w:rPr>
          <w:rFonts w:ascii="Times New Roman" w:hAnsi="Times New Roman" w:cs="Times New Roman"/>
          <w:lang w:val="ru-RU"/>
        </w:rPr>
        <w:t>ът</w:t>
      </w:r>
      <w:r w:rsidRPr="00F06DE2">
        <w:rPr>
          <w:rFonts w:ascii="Times New Roman" w:hAnsi="Times New Roman" w:cs="Times New Roman"/>
          <w:lang w:val="ru-RU"/>
        </w:rPr>
        <w:t xml:space="preserve"> на покрива може да се използва като авариен изход, при условие че отговаря на размерите в член 14.06</w:t>
      </w:r>
      <w:r w:rsidR="00870794" w:rsidRPr="00F06DE2">
        <w:rPr>
          <w:rFonts w:ascii="Times New Roman" w:hAnsi="Times New Roman" w:cs="Times New Roman"/>
          <w:lang w:val="ru-RU"/>
        </w:rPr>
        <w:t>, т.</w:t>
      </w:r>
      <w:r w:rsidRPr="00F06DE2">
        <w:rPr>
          <w:rFonts w:ascii="Times New Roman" w:hAnsi="Times New Roman" w:cs="Times New Roman"/>
          <w:lang w:val="ru-RU"/>
        </w:rPr>
        <w:t>2.</w:t>
      </w:r>
    </w:p>
    <w:p w14:paraId="666A9E50" w14:textId="77777777" w:rsidR="00F535F3" w:rsidRPr="00F06DE2" w:rsidRDefault="00F535F3" w:rsidP="009A7E0C">
      <w:pPr>
        <w:ind w:left="567" w:hanging="567"/>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 Трябва да е възможно повдигащият механизъм да се управлява от вътрешността на рулевата рубка. Следните индикации трябва да бъдат разположени на мястото за управление:</w:t>
      </w:r>
    </w:p>
    <w:p w14:paraId="23485D6C" w14:textId="77777777" w:rsidR="00F535F3" w:rsidRPr="00F06DE2" w:rsidRDefault="00F535F3" w:rsidP="009A7E0C">
      <w:pPr>
        <w:ind w:left="567"/>
        <w:rPr>
          <w:rFonts w:ascii="Times New Roman" w:hAnsi="Times New Roman" w:cs="Times New Roman"/>
          <w:lang w:val="ru-RU"/>
        </w:rPr>
      </w:pPr>
      <w:r w:rsidRPr="00F06DE2">
        <w:rPr>
          <w:rFonts w:ascii="Times New Roman" w:hAnsi="Times New Roman" w:cs="Times New Roman"/>
          <w:lang w:val="ru-RU"/>
        </w:rPr>
        <w:t>а) налично напрежение,</w:t>
      </w:r>
    </w:p>
    <w:p w14:paraId="2A34C377" w14:textId="77777777" w:rsidR="00F535F3" w:rsidRPr="00F06DE2" w:rsidRDefault="00F535F3" w:rsidP="009A7E0C">
      <w:pPr>
        <w:ind w:left="567"/>
        <w:rPr>
          <w:rFonts w:ascii="Times New Roman" w:hAnsi="Times New Roman" w:cs="Times New Roman"/>
          <w:lang w:val="ru-RU"/>
        </w:rPr>
      </w:pPr>
      <w:r w:rsidRPr="00F06DE2">
        <w:rPr>
          <w:rFonts w:ascii="Times New Roman" w:hAnsi="Times New Roman" w:cs="Times New Roman"/>
        </w:rPr>
        <w:t>b</w:t>
      </w:r>
      <w:r w:rsidRPr="00F06DE2">
        <w:rPr>
          <w:rFonts w:ascii="Times New Roman" w:hAnsi="Times New Roman" w:cs="Times New Roman"/>
          <w:lang w:val="ru-RU"/>
        </w:rPr>
        <w:t>) рулева рубка в най-ниско положение,</w:t>
      </w:r>
    </w:p>
    <w:p w14:paraId="453B6DCB" w14:textId="77777777" w:rsidR="00F535F3" w:rsidRPr="00F06DE2" w:rsidRDefault="00F535F3" w:rsidP="009A7E0C">
      <w:pPr>
        <w:ind w:left="567"/>
        <w:rPr>
          <w:rFonts w:ascii="Times New Roman" w:hAnsi="Times New Roman" w:cs="Times New Roman"/>
          <w:lang w:val="ru-RU"/>
        </w:rPr>
      </w:pPr>
      <w:r w:rsidRPr="00F06DE2">
        <w:rPr>
          <w:rFonts w:ascii="Times New Roman" w:hAnsi="Times New Roman" w:cs="Times New Roman"/>
          <w:lang w:val="ru-RU"/>
        </w:rPr>
        <w:t>в) рулевата рубка в най-високо положение,</w:t>
      </w:r>
    </w:p>
    <w:p w14:paraId="13EFDC1E" w14:textId="240B1F2B" w:rsidR="00F535F3" w:rsidRPr="00F06DE2" w:rsidRDefault="00F535F3" w:rsidP="009A7E0C">
      <w:pPr>
        <w:ind w:left="567"/>
        <w:rPr>
          <w:rFonts w:ascii="Times New Roman" w:hAnsi="Times New Roman" w:cs="Times New Roman"/>
          <w:lang w:val="ru-RU"/>
        </w:rPr>
      </w:pPr>
      <w:r w:rsidRPr="00F06DE2">
        <w:rPr>
          <w:rFonts w:ascii="Times New Roman" w:hAnsi="Times New Roman" w:cs="Times New Roman"/>
          <w:lang w:val="ru-RU"/>
        </w:rPr>
        <w:t>г) рулевата рубка е заключена във фиксирана позиция (ако е приложимо).</w:t>
      </w:r>
    </w:p>
    <w:p w14:paraId="5C3EFFF0" w14:textId="4D8A4061" w:rsidR="00F41B19" w:rsidRPr="00F06DE2" w:rsidRDefault="00F41B19" w:rsidP="009A7E0C">
      <w:pPr>
        <w:pStyle w:val="ESch"/>
        <w:jc w:val="both"/>
        <w:rPr>
          <w:rFonts w:ascii="Times New Roman" w:hAnsi="Times New Roman" w:cs="Times New Roman"/>
          <w:lang w:val="ru-RU"/>
        </w:rPr>
      </w:pPr>
      <w:r w:rsidRPr="00F06DE2">
        <w:rPr>
          <w:rFonts w:ascii="Times New Roman" w:hAnsi="Times New Roman" w:cs="Times New Roman"/>
          <w:lang w:val="ru-RU"/>
        </w:rPr>
        <w:t xml:space="preserve">6. </w:t>
      </w:r>
      <w:r w:rsidR="00A35C45" w:rsidRPr="00F06DE2">
        <w:rPr>
          <w:rFonts w:ascii="Times New Roman" w:hAnsi="Times New Roman" w:cs="Times New Roman"/>
          <w:lang w:val="ru-RU"/>
        </w:rPr>
        <w:tab/>
      </w:r>
      <w:r w:rsidRPr="00F06DE2">
        <w:rPr>
          <w:rFonts w:ascii="Times New Roman" w:hAnsi="Times New Roman" w:cs="Times New Roman"/>
          <w:lang w:val="ru-RU"/>
        </w:rPr>
        <w:t>Повдигащият механизъм трябва да позволява рулевата рубка да спира във всички позиции. Ако съществува възможност за заключване на рулевата рубка в определена позиция, механизмът за повдигане автоматично се деактивира при заключване. Освобождаване на заключването трябва да е възможно при всички работни условия.</w:t>
      </w:r>
    </w:p>
    <w:p w14:paraId="5D556841" w14:textId="4924ED95" w:rsidR="00F535F3" w:rsidRPr="00F06DE2" w:rsidRDefault="00F41B19" w:rsidP="009A7E0C">
      <w:pPr>
        <w:ind w:left="567" w:hanging="567"/>
        <w:jc w:val="both"/>
        <w:rPr>
          <w:rFonts w:ascii="Times New Roman" w:hAnsi="Times New Roman" w:cs="Times New Roman"/>
          <w:lang w:val="ru-RU"/>
        </w:rPr>
      </w:pPr>
      <w:r w:rsidRPr="00F06DE2">
        <w:rPr>
          <w:rFonts w:ascii="Times New Roman" w:hAnsi="Times New Roman" w:cs="Times New Roman"/>
          <w:lang w:val="ru-RU"/>
        </w:rPr>
        <w:t>7</w:t>
      </w:r>
      <w:r w:rsidR="00F535F3" w:rsidRPr="00F06DE2">
        <w:rPr>
          <w:rFonts w:ascii="Times New Roman" w:hAnsi="Times New Roman" w:cs="Times New Roman"/>
          <w:lang w:val="ru-RU"/>
        </w:rPr>
        <w:t>.</w:t>
      </w:r>
      <w:r w:rsidR="00F535F3" w:rsidRPr="00F06DE2">
        <w:rPr>
          <w:rFonts w:ascii="Times New Roman" w:hAnsi="Times New Roman" w:cs="Times New Roman"/>
          <w:lang w:val="ru-RU"/>
        </w:rPr>
        <w:tab/>
        <w:t xml:space="preserve"> Механизмът за повдигане трябва да бъде проектиран така, че да не е възможно превишаване на крайните положения.</w:t>
      </w:r>
    </w:p>
    <w:p w14:paraId="181093D4" w14:textId="3AF6D34F" w:rsidR="002136C8" w:rsidRPr="00F06DE2" w:rsidRDefault="002136C8" w:rsidP="009A7E0C">
      <w:pPr>
        <w:ind w:left="567" w:hanging="567"/>
        <w:jc w:val="both"/>
        <w:rPr>
          <w:rFonts w:ascii="Times New Roman" w:hAnsi="Times New Roman" w:cs="Times New Roman"/>
          <w:lang w:val="ru-RU"/>
        </w:rPr>
      </w:pPr>
      <w:r w:rsidRPr="00F06DE2">
        <w:rPr>
          <w:rFonts w:ascii="Times New Roman" w:hAnsi="Times New Roman" w:cs="Times New Roman"/>
          <w:lang w:val="ru-RU"/>
        </w:rPr>
        <w:t>8</w:t>
      </w:r>
      <w:r w:rsidR="00F535F3" w:rsidRPr="00F06DE2">
        <w:rPr>
          <w:rFonts w:ascii="Times New Roman" w:hAnsi="Times New Roman" w:cs="Times New Roman"/>
          <w:lang w:val="ru-RU"/>
        </w:rPr>
        <w:t>.</w:t>
      </w:r>
      <w:r w:rsidR="00F535F3" w:rsidRPr="00F06DE2">
        <w:rPr>
          <w:rFonts w:ascii="Times New Roman" w:hAnsi="Times New Roman" w:cs="Times New Roman"/>
          <w:lang w:val="ru-RU"/>
        </w:rPr>
        <w:tab/>
        <w:t xml:space="preserve">Трябва да </w:t>
      </w:r>
      <w:r w:rsidRPr="00F06DE2">
        <w:rPr>
          <w:rFonts w:ascii="Times New Roman" w:hAnsi="Times New Roman" w:cs="Times New Roman"/>
          <w:lang w:val="ru-RU"/>
        </w:rPr>
        <w:t xml:space="preserve"> се осигурят </w:t>
      </w:r>
      <w:r w:rsidR="00F535F3" w:rsidRPr="00F06DE2">
        <w:rPr>
          <w:rFonts w:ascii="Times New Roman" w:hAnsi="Times New Roman" w:cs="Times New Roman"/>
          <w:lang w:val="ru-RU"/>
        </w:rPr>
        <w:t>мерки за избягване на неконтролирано спускане на рулевата рубка. Трябва да бъдат инсталирани подходящи защитни елементи, за да се предотврати рискът от нараняване, който може да възникне при спускане. Достъпите до повдигащото устройство трябва да бъдат маркирани със символа, показан в приложение 4, фигура 1, и оборудвани с предупредително устройство, което задейства оптичен и звуков предупредителен сигнал в рулевата рубка. Всички операции по спускане трябва автоматично да задействат оптичен и ясн</w:t>
      </w:r>
      <w:r w:rsidR="00626E81" w:rsidRPr="00F06DE2">
        <w:rPr>
          <w:rFonts w:ascii="Times New Roman" w:hAnsi="Times New Roman" w:cs="Times New Roman"/>
          <w:lang w:val="ru-RU"/>
        </w:rPr>
        <w:t>ен</w:t>
      </w:r>
      <w:r w:rsidR="00F535F3" w:rsidRPr="00F06DE2">
        <w:rPr>
          <w:rFonts w:ascii="Times New Roman" w:hAnsi="Times New Roman" w:cs="Times New Roman"/>
          <w:lang w:val="ru-RU"/>
        </w:rPr>
        <w:t xml:space="preserve"> звуков предупредителен сигнал.</w:t>
      </w:r>
    </w:p>
    <w:p w14:paraId="3CBB9DFC" w14:textId="2A15567E" w:rsidR="00F535F3" w:rsidRPr="00F06DE2" w:rsidRDefault="00550162" w:rsidP="009A7E0C">
      <w:pPr>
        <w:ind w:left="567" w:hanging="567"/>
        <w:jc w:val="both"/>
        <w:rPr>
          <w:rFonts w:ascii="Times New Roman" w:hAnsi="Times New Roman" w:cs="Times New Roman"/>
          <w:lang w:val="ru-RU"/>
        </w:rPr>
      </w:pPr>
      <w:r w:rsidRPr="00F06DE2">
        <w:rPr>
          <w:rFonts w:ascii="Times New Roman" w:hAnsi="Times New Roman" w:cs="Times New Roman"/>
          <w:lang w:val="ru-RU"/>
        </w:rPr>
        <w:t>9</w:t>
      </w:r>
      <w:r w:rsidR="00F535F3" w:rsidRPr="00F06DE2">
        <w:rPr>
          <w:rFonts w:ascii="Times New Roman" w:hAnsi="Times New Roman" w:cs="Times New Roman"/>
          <w:lang w:val="ru-RU"/>
        </w:rPr>
        <w:t>.</w:t>
      </w:r>
      <w:r w:rsidR="00F535F3" w:rsidRPr="00F06DE2">
        <w:rPr>
          <w:rFonts w:ascii="Times New Roman" w:hAnsi="Times New Roman" w:cs="Times New Roman"/>
          <w:lang w:val="ru-RU"/>
        </w:rPr>
        <w:tab/>
        <w:t xml:space="preserve"> Повдигащите се рулеви рубки трябва да бъдат оборудвани със система за аварийно спускане, която е независима от нормалния повдигащ механизъм и може да се използва дори в случай на прекъсване на електрозахранването. Тази аварийна система трябва да се управлява от вътрешността на рулевата рубка. При използване на аварийната система скоростта на спускане не трябва да бъде по-малка от скоростта на спускане при нормални условия.</w:t>
      </w:r>
    </w:p>
    <w:p w14:paraId="04A88DF7" w14:textId="77777777" w:rsidR="00F535F3" w:rsidRPr="00F06DE2" w:rsidRDefault="00F535F3" w:rsidP="009A7E0C">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10. </w:t>
      </w:r>
      <w:r w:rsidRPr="00F06DE2">
        <w:rPr>
          <w:rFonts w:ascii="Times New Roman" w:hAnsi="Times New Roman" w:cs="Times New Roman"/>
          <w:lang w:val="ru-RU"/>
        </w:rPr>
        <w:tab/>
        <w:t>(оставено празно)</w:t>
      </w:r>
    </w:p>
    <w:p w14:paraId="515ADFCC" w14:textId="77777777" w:rsidR="00F535F3" w:rsidRPr="00F06DE2" w:rsidRDefault="00F535F3" w:rsidP="009A7E0C">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11. </w:t>
      </w:r>
      <w:r w:rsidRPr="00F06DE2">
        <w:rPr>
          <w:rFonts w:ascii="Times New Roman" w:hAnsi="Times New Roman" w:cs="Times New Roman"/>
          <w:lang w:val="ru-RU"/>
        </w:rPr>
        <w:tab/>
        <w:t>Хидравличните маркучи са:</w:t>
      </w:r>
    </w:p>
    <w:p w14:paraId="26486F40" w14:textId="0FA3DC9E" w:rsidR="00F535F3" w:rsidRPr="00F06DE2" w:rsidRDefault="00F535F3" w:rsidP="009A7E0C">
      <w:pPr>
        <w:ind w:left="567"/>
        <w:jc w:val="both"/>
        <w:rPr>
          <w:rFonts w:ascii="Times New Roman" w:hAnsi="Times New Roman" w:cs="Times New Roman"/>
          <w:lang w:val="ru-RU"/>
        </w:rPr>
      </w:pPr>
      <w:r w:rsidRPr="00F06DE2">
        <w:rPr>
          <w:rFonts w:ascii="Times New Roman" w:hAnsi="Times New Roman" w:cs="Times New Roman"/>
          <w:lang w:val="ru-RU"/>
        </w:rPr>
        <w:lastRenderedPageBreak/>
        <w:t>а) допустим</w:t>
      </w:r>
      <w:r w:rsidR="00BE770E" w:rsidRPr="00F06DE2">
        <w:rPr>
          <w:rFonts w:ascii="Times New Roman" w:hAnsi="Times New Roman" w:cs="Times New Roman"/>
          <w:lang w:val="ru-RU"/>
        </w:rPr>
        <w:t>и</w:t>
      </w:r>
      <w:r w:rsidRPr="00F06DE2">
        <w:rPr>
          <w:rFonts w:ascii="Times New Roman" w:hAnsi="Times New Roman" w:cs="Times New Roman"/>
          <w:lang w:val="ru-RU"/>
        </w:rPr>
        <w:t xml:space="preserve"> само ако поглъщането на вибрации или свободата на движение на компонентите прави употребата им неизбежна;</w:t>
      </w:r>
    </w:p>
    <w:p w14:paraId="43E0B16F" w14:textId="77777777" w:rsidR="00F535F3" w:rsidRPr="00F06DE2" w:rsidRDefault="00F535F3" w:rsidP="009A7E0C">
      <w:pPr>
        <w:ind w:left="567"/>
        <w:jc w:val="both"/>
        <w:rPr>
          <w:rFonts w:ascii="Times New Roman" w:hAnsi="Times New Roman" w:cs="Times New Roman"/>
          <w:lang w:val="ru-RU"/>
        </w:rPr>
      </w:pPr>
      <w:r w:rsidRPr="00F06DE2">
        <w:rPr>
          <w:rFonts w:ascii="Times New Roman" w:hAnsi="Times New Roman" w:cs="Times New Roman"/>
        </w:rPr>
        <w:t>b</w:t>
      </w:r>
      <w:r w:rsidRPr="00F06DE2">
        <w:rPr>
          <w:rFonts w:ascii="Times New Roman" w:hAnsi="Times New Roman" w:cs="Times New Roman"/>
          <w:lang w:val="ru-RU"/>
        </w:rPr>
        <w:t>) да са проектирани поне за максималното работно налягане;</w:t>
      </w:r>
    </w:p>
    <w:p w14:paraId="1E03B83B" w14:textId="77777777" w:rsidR="00F535F3" w:rsidRPr="00F06DE2" w:rsidRDefault="00F535F3" w:rsidP="009A7E0C">
      <w:pPr>
        <w:ind w:left="567"/>
        <w:jc w:val="both"/>
        <w:rPr>
          <w:rFonts w:ascii="Times New Roman" w:hAnsi="Times New Roman" w:cs="Times New Roman"/>
          <w:lang w:val="ru-RU"/>
        </w:rPr>
      </w:pPr>
      <w:r w:rsidRPr="00F06DE2">
        <w:rPr>
          <w:rFonts w:ascii="Times New Roman" w:hAnsi="Times New Roman" w:cs="Times New Roman"/>
          <w:lang w:val="ru-RU"/>
        </w:rPr>
        <w:t>в) да се подновява най-късно на всеки осем години.</w:t>
      </w:r>
    </w:p>
    <w:p w14:paraId="0FBF7F29" w14:textId="77777777" w:rsidR="00F535F3" w:rsidRPr="00F06DE2" w:rsidRDefault="00F535F3" w:rsidP="009A7E0C">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12. </w:t>
      </w:r>
      <w:r w:rsidRPr="00F06DE2">
        <w:rPr>
          <w:rFonts w:ascii="Times New Roman" w:hAnsi="Times New Roman" w:cs="Times New Roman"/>
          <w:lang w:val="ru-RU"/>
        </w:rPr>
        <w:tab/>
        <w:t>Повдигащите рулеви рубки и техните устройства се проверяват редовно, но поне веднъж на дванадесет месеца, от компетентно лице. Безопасността на инсталацията трябва да се установи чрез визуална проверка и проверка за задоволителна работа.</w:t>
      </w:r>
    </w:p>
    <w:p w14:paraId="407E0590" w14:textId="77777777" w:rsidR="00F535F3" w:rsidRPr="00F06DE2" w:rsidRDefault="00F535F3">
      <w:pPr>
        <w:pStyle w:val="ESchpar"/>
        <w:ind w:left="0"/>
        <w:jc w:val="both"/>
        <w:rPr>
          <w:rFonts w:ascii="Times New Roman" w:hAnsi="Times New Roman" w:cs="Times New Roman"/>
          <w:strike/>
          <w:lang w:val="ru-RU"/>
        </w:rPr>
      </w:pPr>
    </w:p>
    <w:p w14:paraId="3DA82B99" w14:textId="1C535FC2" w:rsidR="00271FA2" w:rsidRPr="00F06DE2" w:rsidRDefault="00D35E51" w:rsidP="00A35C45">
      <w:pPr>
        <w:pStyle w:val="ES-Titre3"/>
        <w:spacing w:line="240" w:lineRule="atLeast"/>
        <w:ind w:left="720"/>
        <w:rPr>
          <w:rFonts w:ascii="Times New Roman" w:hAnsi="Times New Roman" w:cs="Times New Roman"/>
          <w:b w:val="0"/>
          <w:i/>
          <w:sz w:val="24"/>
          <w:szCs w:val="24"/>
          <w:lang w:val="ru-RU"/>
        </w:rPr>
      </w:pPr>
      <w:bookmarkStart w:id="98" w:name="_Toc491854054"/>
      <w:bookmarkStart w:id="99" w:name="_Toc535827495"/>
      <w:r w:rsidRPr="00F06DE2">
        <w:rPr>
          <w:rFonts w:ascii="Times New Roman" w:hAnsi="Times New Roman" w:cs="Times New Roman"/>
          <w:sz w:val="24"/>
          <w:szCs w:val="24"/>
          <w:lang w:val="ru-RU"/>
        </w:rPr>
        <w:t>Член 7.13</w:t>
      </w:r>
      <w:r w:rsidRPr="00F06DE2">
        <w:rPr>
          <w:rFonts w:ascii="Times New Roman" w:hAnsi="Times New Roman" w:cs="Times New Roman"/>
          <w:sz w:val="24"/>
          <w:szCs w:val="24"/>
          <w:lang w:val="ru-RU"/>
        </w:rPr>
        <w:br/>
      </w:r>
      <w:r w:rsidRPr="00F06DE2">
        <w:rPr>
          <w:rStyle w:val="Hyperlink"/>
          <w:rFonts w:ascii="Times New Roman" w:hAnsi="Times New Roman" w:cs="Times New Roman"/>
          <w:b/>
          <w:i/>
          <w:color w:val="auto"/>
          <w:sz w:val="24"/>
          <w:szCs w:val="24"/>
          <w:u w:val="none"/>
          <w:lang w:val="ru-RU"/>
        </w:rPr>
        <w:t xml:space="preserve">Вписване в Корабното удостоверение за вътрешно корабоплаване за плавателни съдове с </w:t>
      </w:r>
      <w:r w:rsidR="00E80AD4" w:rsidRPr="00F06DE2">
        <w:rPr>
          <w:rFonts w:ascii="Times New Roman" w:hAnsi="Times New Roman" w:cs="Times New Roman"/>
          <w:i/>
          <w:sz w:val="24"/>
          <w:szCs w:val="24"/>
          <w:lang w:val="ru-RU"/>
        </w:rPr>
        <w:t>мястото за управление, проектирано за управление от едно лице с помощта на радиолокатор</w:t>
      </w:r>
      <w:bookmarkEnd w:id="98"/>
      <w:bookmarkEnd w:id="99"/>
    </w:p>
    <w:p w14:paraId="68DCF808" w14:textId="0909C4EF" w:rsidR="00AA5564" w:rsidRPr="00F06DE2" w:rsidRDefault="00AA5564" w:rsidP="003B59EB">
      <w:pPr>
        <w:ind w:left="567"/>
        <w:jc w:val="both"/>
        <w:rPr>
          <w:rFonts w:ascii="Times New Roman" w:hAnsi="Times New Roman" w:cs="Times New Roman"/>
          <w:strike/>
          <w:lang w:val="ru-RU"/>
        </w:rPr>
      </w:pPr>
      <w:r w:rsidRPr="00F06DE2">
        <w:rPr>
          <w:rFonts w:ascii="Times New Roman" w:hAnsi="Times New Roman" w:cs="Times New Roman"/>
          <w:lang w:val="ru-RU"/>
        </w:rPr>
        <w:t xml:space="preserve">Когато плавателен съд отговаря на специалните разпоредби </w:t>
      </w:r>
      <w:r w:rsidR="003416CA" w:rsidRPr="00F06DE2">
        <w:rPr>
          <w:rFonts w:ascii="Times New Roman" w:hAnsi="Times New Roman" w:cs="Times New Roman"/>
          <w:lang w:val="ru-RU"/>
        </w:rPr>
        <w:t>мястото за управление, проектирано за управление от едно лице с помощта на радиолокатор</w:t>
      </w:r>
      <w:r w:rsidRPr="00F06DE2">
        <w:rPr>
          <w:rFonts w:ascii="Times New Roman" w:hAnsi="Times New Roman" w:cs="Times New Roman"/>
          <w:lang w:val="ru-RU"/>
        </w:rPr>
        <w:t xml:space="preserve">, както е посочено в членове 7.01,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3, 7.04,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5 и </w:t>
      </w:r>
      <w:r w:rsidR="00870794" w:rsidRPr="00F06DE2">
        <w:rPr>
          <w:rFonts w:ascii="Times New Roman" w:hAnsi="Times New Roman" w:cs="Times New Roman"/>
          <w:lang w:val="ru-RU"/>
        </w:rPr>
        <w:t xml:space="preserve">т. </w:t>
      </w:r>
      <w:r w:rsidRPr="00F06DE2">
        <w:rPr>
          <w:rFonts w:ascii="Times New Roman" w:hAnsi="Times New Roman" w:cs="Times New Roman"/>
          <w:lang w:val="ru-RU"/>
        </w:rPr>
        <w:t xml:space="preserve">6, 7.05,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3 и </w:t>
      </w:r>
      <w:r w:rsidR="00870794" w:rsidRPr="00F06DE2">
        <w:rPr>
          <w:rFonts w:ascii="Times New Roman" w:hAnsi="Times New Roman" w:cs="Times New Roman"/>
          <w:lang w:val="ru-RU"/>
        </w:rPr>
        <w:t>т.</w:t>
      </w:r>
      <w:r w:rsidRPr="00F06DE2">
        <w:rPr>
          <w:rFonts w:ascii="Times New Roman" w:hAnsi="Times New Roman" w:cs="Times New Roman"/>
          <w:lang w:val="ru-RU"/>
        </w:rPr>
        <w:t xml:space="preserve">4, 7.06,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2, 7.07, 7.08 и 7.11, в кораб</w:t>
      </w:r>
      <w:r w:rsidR="00106115" w:rsidRPr="00F06DE2">
        <w:rPr>
          <w:rFonts w:ascii="Times New Roman" w:hAnsi="Times New Roman" w:cs="Times New Roman"/>
          <w:lang w:val="ru-RU"/>
        </w:rPr>
        <w:t>ното удостоверение</w:t>
      </w:r>
      <w:r w:rsidRPr="00F06DE2">
        <w:rPr>
          <w:rFonts w:ascii="Times New Roman" w:hAnsi="Times New Roman" w:cs="Times New Roman"/>
          <w:lang w:val="ru-RU"/>
        </w:rPr>
        <w:t xml:space="preserve"> за вътрешно корабоплаване се прави следното вписване:</w:t>
      </w:r>
    </w:p>
    <w:p w14:paraId="00242A72" w14:textId="65AB6E54" w:rsidR="00271FA2" w:rsidRPr="00F06DE2" w:rsidRDefault="00D35E51" w:rsidP="003B59EB">
      <w:pPr>
        <w:pStyle w:val="ESgauche"/>
        <w:ind w:left="567"/>
        <w:jc w:val="both"/>
        <w:rPr>
          <w:rFonts w:ascii="Times New Roman" w:hAnsi="Times New Roman" w:cs="Times New Roman"/>
          <w:lang w:val="ru-RU"/>
        </w:rPr>
      </w:pPr>
      <w:r w:rsidRPr="00F06DE2">
        <w:rPr>
          <w:rFonts w:ascii="Times New Roman" w:hAnsi="Times New Roman" w:cs="Times New Roman"/>
          <w:lang w:val="ru-RU"/>
        </w:rPr>
        <w:t>„</w:t>
      </w:r>
      <w:r w:rsidR="00AA5564" w:rsidRPr="00F06DE2">
        <w:rPr>
          <w:rFonts w:ascii="Times New Roman" w:hAnsi="Times New Roman" w:cs="Times New Roman"/>
          <w:lang w:val="ru-RU"/>
        </w:rPr>
        <w:t>Плав</w:t>
      </w:r>
      <w:r w:rsidR="007F0F64" w:rsidRPr="00F06DE2">
        <w:rPr>
          <w:rFonts w:ascii="Times New Roman" w:hAnsi="Times New Roman" w:cs="Times New Roman"/>
          <w:lang w:val="ru-RU"/>
        </w:rPr>
        <w:t>а</w:t>
      </w:r>
      <w:r w:rsidR="009F4AF2" w:rsidRPr="00F06DE2">
        <w:rPr>
          <w:rFonts w:ascii="Times New Roman" w:hAnsi="Times New Roman" w:cs="Times New Roman"/>
          <w:lang w:val="ru-RU"/>
        </w:rPr>
        <w:t>т</w:t>
      </w:r>
      <w:r w:rsidR="00AA5564" w:rsidRPr="00F06DE2">
        <w:rPr>
          <w:rFonts w:ascii="Times New Roman" w:hAnsi="Times New Roman" w:cs="Times New Roman"/>
          <w:lang w:val="ru-RU"/>
        </w:rPr>
        <w:t xml:space="preserve">лният съд </w:t>
      </w:r>
      <w:r w:rsidR="009F4AF2" w:rsidRPr="00F06DE2">
        <w:rPr>
          <w:rFonts w:ascii="Times New Roman" w:hAnsi="Times New Roman" w:cs="Times New Roman"/>
          <w:lang w:val="ru-RU"/>
        </w:rPr>
        <w:t xml:space="preserve"> е</w:t>
      </w:r>
      <w:r w:rsidR="003416CA" w:rsidRPr="00F06DE2">
        <w:rPr>
          <w:rFonts w:ascii="Times New Roman" w:hAnsi="Times New Roman" w:cs="Times New Roman"/>
          <w:lang w:val="ru-RU"/>
        </w:rPr>
        <w:t xml:space="preserve"> проектиранза управление от едно лице с помощта на радиолокатор</w:t>
      </w:r>
      <w:r w:rsidRPr="00F06DE2">
        <w:rPr>
          <w:rFonts w:ascii="Times New Roman" w:hAnsi="Times New Roman" w:cs="Times New Roman"/>
          <w:lang w:val="ru-RU"/>
        </w:rPr>
        <w:t xml:space="preserve">“. </w:t>
      </w:r>
    </w:p>
    <w:p w14:paraId="067CFB3C" w14:textId="77777777" w:rsidR="00271FA2" w:rsidRPr="00F06DE2" w:rsidRDefault="00D35E51">
      <w:pPr>
        <w:pStyle w:val="ESgauche"/>
        <w:jc w:val="center"/>
        <w:rPr>
          <w:rFonts w:ascii="Times New Roman" w:hAnsi="Times New Roman" w:cs="Times New Roman"/>
          <w:b/>
          <w:lang w:val="ru-RU"/>
        </w:rPr>
      </w:pPr>
      <w:r w:rsidRPr="00F06DE2">
        <w:rPr>
          <w:rFonts w:ascii="Times New Roman" w:hAnsi="Times New Roman" w:cs="Times New Roman"/>
          <w:b/>
          <w:lang w:val="ru-RU"/>
        </w:rPr>
        <w:t>Член 7.14</w:t>
      </w:r>
    </w:p>
    <w:p w14:paraId="03BED989" w14:textId="77777777" w:rsidR="00271FA2" w:rsidRPr="00F06DE2" w:rsidRDefault="00D35E51">
      <w:pPr>
        <w:pStyle w:val="ESgauche"/>
        <w:jc w:val="center"/>
        <w:rPr>
          <w:rFonts w:ascii="Times New Roman" w:hAnsi="Times New Roman" w:cs="Times New Roman"/>
          <w:b/>
          <w:i/>
          <w:lang w:val="ru-RU"/>
        </w:rPr>
      </w:pPr>
      <w:r w:rsidRPr="00F06DE2">
        <w:rPr>
          <w:rFonts w:ascii="Times New Roman" w:hAnsi="Times New Roman" w:cs="Times New Roman"/>
          <w:b/>
          <w:i/>
          <w:lang w:val="ru-RU"/>
        </w:rPr>
        <w:t>Прибиращи се рулеви рубки</w:t>
      </w:r>
    </w:p>
    <w:p w14:paraId="4BAC091D" w14:textId="77777777" w:rsidR="00271FA2" w:rsidRPr="00F06DE2" w:rsidRDefault="00D35E51">
      <w:pPr>
        <w:pStyle w:val="ESgauche"/>
        <w:ind w:left="426" w:hanging="426"/>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Този член не се прилага за:</w:t>
      </w:r>
    </w:p>
    <w:p w14:paraId="21E674DF" w14:textId="77777777" w:rsidR="00271FA2" w:rsidRPr="00F06DE2" w:rsidRDefault="00D35E51">
      <w:pPr>
        <w:pStyle w:val="ESgauche"/>
        <w:ind w:left="426"/>
        <w:jc w:val="both"/>
        <w:rPr>
          <w:rFonts w:ascii="Times New Roman" w:hAnsi="Times New Roman" w:cs="Times New Roman"/>
          <w:lang w:val="ru-RU"/>
        </w:rPr>
      </w:pPr>
      <w:r w:rsidRPr="00F06DE2">
        <w:rPr>
          <w:rFonts w:ascii="Times New Roman" w:hAnsi="Times New Roman" w:cs="Times New Roman"/>
          <w:lang w:val="ru-RU"/>
        </w:rPr>
        <w:t xml:space="preserve">а) демонтируеми рулеви рубки; и </w:t>
      </w:r>
    </w:p>
    <w:p w14:paraId="211E51DA" w14:textId="77777777" w:rsidR="00271FA2" w:rsidRPr="00F06DE2" w:rsidRDefault="00D35E51">
      <w:pPr>
        <w:pStyle w:val="ESgauche"/>
        <w:ind w:left="426"/>
        <w:jc w:val="both"/>
        <w:rPr>
          <w:rFonts w:ascii="Times New Roman" w:hAnsi="Times New Roman" w:cs="Times New Roman"/>
          <w:lang w:val="ru-RU"/>
        </w:rPr>
      </w:pPr>
      <w:r w:rsidRPr="00F06DE2">
        <w:rPr>
          <w:rFonts w:ascii="Times New Roman" w:hAnsi="Times New Roman" w:cs="Times New Roman"/>
          <w:lang w:val="ru-RU"/>
        </w:rPr>
        <w:t>б) рулеви рубки, които не използват механизъм (напр. вериги, ролки, кабели, и т.н.), независимо дали се движат от човешка, електрическа, хидравлична или пневматична сила.</w:t>
      </w:r>
    </w:p>
    <w:p w14:paraId="2336CC93" w14:textId="77777777" w:rsidR="00271FA2" w:rsidRPr="00F06DE2" w:rsidRDefault="00D35E51">
      <w:pPr>
        <w:pStyle w:val="ESgauche"/>
        <w:ind w:left="426" w:hanging="426"/>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Прибиращата се рулева рубка и нейните уреди са проектирани по такъв начин, че безопасността на хората на борда не е застрашена.</w:t>
      </w:r>
    </w:p>
    <w:p w14:paraId="0852D59C" w14:textId="77777777" w:rsidR="00271FA2" w:rsidRPr="00F06DE2" w:rsidRDefault="00D35E51">
      <w:pPr>
        <w:pStyle w:val="ESgauche"/>
        <w:ind w:left="426" w:hanging="426"/>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Операциите, извършвани от рулевата рубка, не трябва да бъдат възпрепятствани по време на повдигане и понижаване. Трябва да има възможност за безопасно влизане и излизане от рулевата рубка, каквато и да е позицията. Аварийният изход може да бъде отвор в покрива, при условие че отговаря на изискванията за размерите посочени в член 14.06, точка 2.</w:t>
      </w:r>
    </w:p>
    <w:p w14:paraId="6CD9699B" w14:textId="77777777" w:rsidR="00271FA2" w:rsidRPr="00F06DE2" w:rsidRDefault="00D35E51">
      <w:pPr>
        <w:pStyle w:val="ESgauche"/>
        <w:ind w:left="426" w:hanging="426"/>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Повдигащият механизъм трябва да позволява на рулевата рубка да спира във всички позиции. Ако възможността съществува за заключване на рулевата рубка в определено положение, повдигащият механизъм трябва да се деактивира автоматично при заключване. Освобождаването на ключалките трябва да е възможно при всякакви работни условия.</w:t>
      </w:r>
    </w:p>
    <w:p w14:paraId="6BB55864" w14:textId="77777777" w:rsidR="00271FA2" w:rsidRPr="00F06DE2" w:rsidRDefault="00D35E51">
      <w:pPr>
        <w:pStyle w:val="ESgauche"/>
        <w:ind w:left="426" w:hanging="426"/>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Механизмът за повдигане трябва да бъде проектиран по такъв начин, че да не е възможно да превишава крайните позиции.</w:t>
      </w:r>
    </w:p>
    <w:p w14:paraId="270CE28D" w14:textId="77777777" w:rsidR="000C4912" w:rsidRPr="00F06DE2" w:rsidRDefault="00D35E51">
      <w:pPr>
        <w:pStyle w:val="ESgauche"/>
        <w:ind w:left="426" w:hanging="426"/>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Осигуряват се мерки за избягване на неконтролирано спускане на прибиращото се устройство на рулева рубка. Трябва да се инсталират подходящи защитни елементи, за да се предотврати рискът от нараняване, което може да е резултат от понижаване. Когато счете за необходимо, контролният орган може да изиска задействането на оптичен или звуков предупредителен сигнал по време на операции по спускане.</w:t>
      </w:r>
      <w:r w:rsidR="00317638" w:rsidRPr="00F06DE2">
        <w:rPr>
          <w:rFonts w:ascii="Times New Roman" w:hAnsi="Times New Roman" w:cs="Times New Roman"/>
          <w:lang w:val="ru-RU"/>
        </w:rPr>
        <w:t xml:space="preserve"> </w:t>
      </w:r>
    </w:p>
    <w:p w14:paraId="345BF631" w14:textId="77777777" w:rsidR="00271FA2" w:rsidRPr="00F06DE2" w:rsidRDefault="00D35E51">
      <w:pPr>
        <w:pStyle w:val="ESgauche"/>
        <w:ind w:left="426" w:hanging="426"/>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Хидравличните маркучи са:</w:t>
      </w:r>
    </w:p>
    <w:p w14:paraId="47008DC4" w14:textId="77777777" w:rsidR="00271FA2" w:rsidRPr="00F06DE2" w:rsidRDefault="00D35E51">
      <w:pPr>
        <w:pStyle w:val="ESgauche"/>
        <w:ind w:left="426"/>
        <w:jc w:val="both"/>
        <w:rPr>
          <w:rFonts w:ascii="Times New Roman" w:hAnsi="Times New Roman" w:cs="Times New Roman"/>
          <w:lang w:val="ru-RU"/>
        </w:rPr>
      </w:pPr>
      <w:r w:rsidRPr="00F06DE2">
        <w:rPr>
          <w:rFonts w:ascii="Times New Roman" w:hAnsi="Times New Roman" w:cs="Times New Roman"/>
          <w:lang w:val="ru-RU"/>
        </w:rPr>
        <w:t>а) допустими само ако поглъщането на вибрациите или свободата на движение на компонентите прави използването им неизбежно;</w:t>
      </w:r>
    </w:p>
    <w:p w14:paraId="7B4B7B7B" w14:textId="77777777" w:rsidR="00271FA2" w:rsidRPr="00F06DE2" w:rsidRDefault="00D35E51">
      <w:pPr>
        <w:pStyle w:val="ESgauche"/>
        <w:ind w:firstLine="426"/>
        <w:jc w:val="both"/>
        <w:rPr>
          <w:rFonts w:ascii="Times New Roman" w:hAnsi="Times New Roman" w:cs="Times New Roman"/>
          <w:lang w:val="ru-RU"/>
        </w:rPr>
      </w:pPr>
      <w:r w:rsidRPr="00F06DE2">
        <w:rPr>
          <w:rFonts w:ascii="Times New Roman" w:hAnsi="Times New Roman" w:cs="Times New Roman"/>
          <w:lang w:val="ru-RU"/>
        </w:rPr>
        <w:lastRenderedPageBreak/>
        <w:t>б) да са проектирани поне за максималното работно налягане;</w:t>
      </w:r>
    </w:p>
    <w:p w14:paraId="19CD1160" w14:textId="77777777" w:rsidR="00271FA2" w:rsidRPr="00F06DE2" w:rsidRDefault="00D35E51">
      <w:pPr>
        <w:pStyle w:val="ESgauche"/>
        <w:ind w:firstLine="426"/>
        <w:jc w:val="both"/>
        <w:rPr>
          <w:rFonts w:ascii="Times New Roman" w:hAnsi="Times New Roman" w:cs="Times New Roman"/>
          <w:lang w:val="ru-RU"/>
        </w:rPr>
      </w:pPr>
      <w:r w:rsidRPr="00F06DE2">
        <w:rPr>
          <w:rFonts w:ascii="Times New Roman" w:hAnsi="Times New Roman" w:cs="Times New Roman"/>
          <w:lang w:val="ru-RU"/>
        </w:rPr>
        <w:t>в) да се подменят най-късно на всеки осем години.</w:t>
      </w:r>
    </w:p>
    <w:p w14:paraId="5D37FCB3" w14:textId="77777777" w:rsidR="004E59E1" w:rsidRPr="00F06DE2" w:rsidRDefault="00D35E51">
      <w:pPr>
        <w:pStyle w:val="ESgauche"/>
        <w:ind w:left="426" w:hanging="426"/>
        <w:jc w:val="both"/>
        <w:rPr>
          <w:rFonts w:ascii="Times New Roman" w:hAnsi="Times New Roman" w:cs="Times New Roman"/>
          <w:lang w:val="ru-RU"/>
        </w:rPr>
        <w:sectPr w:rsidR="004E59E1" w:rsidRPr="00F06DE2" w:rsidSect="00F06DE2">
          <w:headerReference w:type="default" r:id="rId33"/>
          <w:headerReference w:type="first" r:id="rId34"/>
          <w:footnotePr>
            <w:numRestart w:val="eachPage"/>
          </w:footnotePr>
          <w:pgSz w:w="11906" w:h="16838" w:code="9"/>
          <w:pgMar w:top="1134" w:right="1134" w:bottom="1134" w:left="1134" w:header="709" w:footer="709" w:gutter="0"/>
          <w:cols w:space="709"/>
          <w:titlePg/>
          <w:docGrid w:linePitch="272"/>
        </w:sectPr>
      </w:pPr>
      <w:r w:rsidRPr="00F06DE2">
        <w:rPr>
          <w:rFonts w:ascii="Times New Roman" w:hAnsi="Times New Roman" w:cs="Times New Roman"/>
          <w:lang w:val="ru-RU"/>
        </w:rPr>
        <w:t>8.</w:t>
      </w:r>
      <w:r w:rsidRPr="00F06DE2">
        <w:rPr>
          <w:rFonts w:ascii="Times New Roman" w:hAnsi="Times New Roman" w:cs="Times New Roman"/>
          <w:lang w:val="ru-RU"/>
        </w:rPr>
        <w:tab/>
        <w:t>Прибиращите се рулеви рубки и техните уреди се проверяват редовно, но поне веднъж на дванадесет месеца от компетентно лице. Безопасността на инсталацията трябва да бъде установена чрез визуална проверка и проверка за задоволителна работа.</w:t>
      </w:r>
    </w:p>
    <w:p w14:paraId="525F875D" w14:textId="77777777" w:rsidR="00271FA2" w:rsidRPr="00F06DE2" w:rsidRDefault="00D35E51">
      <w:pPr>
        <w:pStyle w:val="ES-Titre2"/>
        <w:rPr>
          <w:rFonts w:ascii="Times New Roman" w:hAnsi="Times New Roman" w:cs="Times New Roman"/>
          <w:lang w:val="ru-RU"/>
        </w:rPr>
      </w:pPr>
      <w:bookmarkStart w:id="100" w:name="_Toc535827496"/>
      <w:bookmarkStart w:id="101" w:name="_Toc491854055"/>
      <w:r w:rsidRPr="00F06DE2">
        <w:rPr>
          <w:rFonts w:ascii="Times New Roman" w:hAnsi="Times New Roman" w:cs="Times New Roman"/>
          <w:lang w:val="ru-RU"/>
        </w:rPr>
        <w:lastRenderedPageBreak/>
        <w:t>Глава 8</w:t>
      </w:r>
      <w:r w:rsidRPr="00F06DE2">
        <w:rPr>
          <w:rFonts w:ascii="Times New Roman" w:hAnsi="Times New Roman" w:cs="Times New Roman"/>
          <w:lang w:val="ru-RU"/>
        </w:rPr>
        <w:br/>
        <w:t>Конструкция на двигателя</w:t>
      </w:r>
      <w:bookmarkEnd w:id="100"/>
      <w:bookmarkEnd w:id="101"/>
    </w:p>
    <w:p w14:paraId="226E4800" w14:textId="77777777" w:rsidR="00FF2483" w:rsidRPr="00F06DE2" w:rsidRDefault="00FF2483">
      <w:pPr>
        <w:pStyle w:val="ES-Titre3"/>
        <w:spacing w:line="240" w:lineRule="atLeast"/>
        <w:rPr>
          <w:rFonts w:ascii="Times New Roman" w:hAnsi="Times New Roman" w:cs="Times New Roman"/>
          <w:sz w:val="24"/>
          <w:szCs w:val="24"/>
          <w:lang w:val="ru-RU"/>
        </w:rPr>
      </w:pPr>
      <w:bookmarkStart w:id="102" w:name="_Toc535827497"/>
      <w:bookmarkStart w:id="103" w:name="_Toc491854056"/>
    </w:p>
    <w:p w14:paraId="35D8D753" w14:textId="157E1EBF"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8.01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102"/>
      <w:bookmarkEnd w:id="103"/>
    </w:p>
    <w:p w14:paraId="5AC94B2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Двигателите и тяхното спомагателно оборудване трябва да са проектирани, построени и монтирани в съответствие с най-добрата практика.</w:t>
      </w:r>
    </w:p>
    <w:p w14:paraId="7754828F" w14:textId="33201C31"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r>
      <w:r w:rsidR="00477356" w:rsidRPr="00F06DE2">
        <w:rPr>
          <w:rFonts w:ascii="Times New Roman" w:hAnsi="Times New Roman" w:cs="Times New Roman"/>
          <w:lang w:val="ru-RU"/>
        </w:rPr>
        <w:t>С</w:t>
      </w:r>
      <w:r w:rsidRPr="00F06DE2">
        <w:rPr>
          <w:rFonts w:ascii="Times New Roman" w:hAnsi="Times New Roman" w:cs="Times New Roman"/>
          <w:lang w:val="ru-RU"/>
        </w:rPr>
        <w:t>ъдове под налягане, предназначени за експлоатация на борда на плавателния съд, се проверяват от експерт с цел да се удостовери, че са безопасни за експлоатация:</w:t>
      </w:r>
    </w:p>
    <w:p w14:paraId="0021AA07"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преди първоначално пускане в експлоатация;</w:t>
      </w:r>
    </w:p>
    <w:p w14:paraId="26848E9C" w14:textId="77777777" w:rsidR="000C491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преди повторно пускане в експлоатация след всяко изменение или ремонт; и</w:t>
      </w:r>
      <w:r w:rsidR="00317638" w:rsidRPr="00F06DE2">
        <w:rPr>
          <w:rFonts w:ascii="Times New Roman" w:hAnsi="Times New Roman" w:cs="Times New Roman"/>
          <w:lang w:val="ru-RU"/>
        </w:rPr>
        <w:t xml:space="preserve"> </w:t>
      </w:r>
    </w:p>
    <w:p w14:paraId="465FB5C3"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редовно, най-малко на всеки пет години.</w:t>
      </w:r>
    </w:p>
    <w:p w14:paraId="60CCDFD1" w14:textId="71E65CBD"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Проверката включва вътрешна и външна проверка. </w:t>
      </w:r>
      <w:r w:rsidR="00477356" w:rsidRPr="00F06DE2">
        <w:rPr>
          <w:rFonts w:ascii="Times New Roman" w:hAnsi="Times New Roman" w:cs="Times New Roman"/>
          <w:lang w:val="ru-RU"/>
        </w:rPr>
        <w:t>С</w:t>
      </w:r>
      <w:r w:rsidRPr="00F06DE2">
        <w:rPr>
          <w:rFonts w:ascii="Times New Roman" w:hAnsi="Times New Roman" w:cs="Times New Roman"/>
          <w:lang w:val="ru-RU"/>
        </w:rPr>
        <w:t>ъдове за сгъстен въздух, чиято вътрешност не може да бъде надлежно проверена или чието състояние не може да бъде ясно установено по време на вътрешния контрол, подлежат на допълнително безразрушително изпитване или на изпитване на хидравличното налягане.</w:t>
      </w:r>
    </w:p>
    <w:p w14:paraId="2EB336EF"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Издава се удостоверение за проверката, подписано от експерта и посочващо датата на проверката.</w:t>
      </w:r>
    </w:p>
    <w:p w14:paraId="2C4F38C8" w14:textId="2D80AFCE"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Други съоръжения, които изискват редовна проверка, в частност парните котли, другите съдове под налягане и техните принадлежности, както и асансьорите, трябва да съответстват на разпоредбите, валидни в една от държавите членки.</w:t>
      </w:r>
    </w:p>
    <w:p w14:paraId="76420ED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Могат да бъдат монтирани само двигатели с вътрешно горене, работещи с гориво с пламна температура над 55 °С.</w:t>
      </w:r>
    </w:p>
    <w:p w14:paraId="5F406B87" w14:textId="67AA935C" w:rsidR="00271FA2" w:rsidRPr="00F06DE2" w:rsidRDefault="00D35E51">
      <w:pPr>
        <w:pStyle w:val="ES-Titre3"/>
        <w:spacing w:line="240" w:lineRule="atLeast"/>
        <w:ind w:left="567" w:hanging="567"/>
        <w:jc w:val="both"/>
        <w:rPr>
          <w:rFonts w:ascii="Times New Roman" w:hAnsi="Times New Roman" w:cs="Times New Roman"/>
          <w:b w:val="0"/>
          <w:strike/>
          <w:sz w:val="24"/>
          <w:szCs w:val="24"/>
          <w:lang w:val="ru-RU"/>
        </w:rPr>
      </w:pPr>
      <w:bookmarkStart w:id="104" w:name="_Toc491854057"/>
      <w:bookmarkStart w:id="105" w:name="_Toc535827498"/>
      <w:r w:rsidRPr="00F06DE2">
        <w:rPr>
          <w:rFonts w:ascii="Times New Roman" w:hAnsi="Times New Roman" w:cs="Times New Roman"/>
          <w:b w:val="0"/>
          <w:sz w:val="24"/>
          <w:szCs w:val="24"/>
          <w:lang w:val="ru-RU"/>
        </w:rPr>
        <w:t>4.</w:t>
      </w:r>
      <w:r w:rsidRPr="00F06DE2">
        <w:rPr>
          <w:rFonts w:ascii="Times New Roman" w:hAnsi="Times New Roman" w:cs="Times New Roman"/>
          <w:b w:val="0"/>
          <w:sz w:val="24"/>
          <w:szCs w:val="24"/>
          <w:lang w:val="ru-RU"/>
        </w:rPr>
        <w:tab/>
        <w:t>Чрез дерогация от точка 3, плавателното средство може да бъде оборудвано със задвижващи или спомагателни системи, работещи с горива с точка на възпламеняване, равна на или по-ниска от 55 °</w:t>
      </w:r>
      <w:r w:rsidRPr="00F06DE2">
        <w:rPr>
          <w:rFonts w:ascii="Times New Roman" w:hAnsi="Times New Roman" w:cs="Times New Roman"/>
          <w:b w:val="0"/>
          <w:sz w:val="24"/>
          <w:szCs w:val="24"/>
        </w:rPr>
        <w:t>C</w:t>
      </w:r>
    </w:p>
    <w:p w14:paraId="456A0C02" w14:textId="77777777" w:rsidR="00CB3859" w:rsidRPr="00F06DE2" w:rsidRDefault="00CB3859" w:rsidP="00CB3859">
      <w:pPr>
        <w:ind w:firstLine="720"/>
        <w:rPr>
          <w:rFonts w:ascii="Times New Roman" w:hAnsi="Times New Roman" w:cs="Times New Roman"/>
          <w:lang w:val="ru-RU"/>
        </w:rPr>
      </w:pPr>
      <w:r w:rsidRPr="00F06DE2">
        <w:rPr>
          <w:rFonts w:ascii="Times New Roman" w:hAnsi="Times New Roman" w:cs="Times New Roman"/>
          <w:lang w:val="ru-RU"/>
        </w:rPr>
        <w:t>а) втечнен природен газ (</w:t>
      </w:r>
      <w:r w:rsidRPr="00F06DE2">
        <w:rPr>
          <w:rFonts w:ascii="Times New Roman" w:hAnsi="Times New Roman" w:cs="Times New Roman"/>
        </w:rPr>
        <w:t>LNG</w:t>
      </w:r>
      <w:r w:rsidRPr="00F06DE2">
        <w:rPr>
          <w:rFonts w:ascii="Times New Roman" w:hAnsi="Times New Roman" w:cs="Times New Roman"/>
          <w:lang w:val="ru-RU"/>
        </w:rPr>
        <w:t>),</w:t>
      </w:r>
    </w:p>
    <w:p w14:paraId="105B8D22" w14:textId="77777777" w:rsidR="00CB3859" w:rsidRPr="00F06DE2" w:rsidRDefault="00CB3859" w:rsidP="00CB3859">
      <w:pPr>
        <w:ind w:firstLine="720"/>
        <w:rPr>
          <w:rFonts w:ascii="Times New Roman" w:hAnsi="Times New Roman" w:cs="Times New Roman"/>
          <w:lang w:val="ru-RU"/>
        </w:rPr>
      </w:pPr>
      <w:r w:rsidRPr="00F06DE2">
        <w:rPr>
          <w:rFonts w:ascii="Times New Roman" w:hAnsi="Times New Roman" w:cs="Times New Roman"/>
          <w:lang w:val="ru-RU"/>
        </w:rPr>
        <w:t>б) метанол и</w:t>
      </w:r>
    </w:p>
    <w:p w14:paraId="2342141D" w14:textId="77777777" w:rsidR="00CB3859" w:rsidRPr="00F06DE2" w:rsidRDefault="00CB3859" w:rsidP="00CB3859">
      <w:pPr>
        <w:ind w:firstLine="720"/>
        <w:rPr>
          <w:rFonts w:ascii="Times New Roman" w:hAnsi="Times New Roman" w:cs="Times New Roman"/>
          <w:lang w:val="ru-RU"/>
        </w:rPr>
      </w:pPr>
      <w:r w:rsidRPr="00F06DE2">
        <w:rPr>
          <w:rFonts w:ascii="Times New Roman" w:hAnsi="Times New Roman" w:cs="Times New Roman"/>
          <w:lang w:val="ru-RU"/>
        </w:rPr>
        <w:t>в) газообразен водород.</w:t>
      </w:r>
    </w:p>
    <w:p w14:paraId="390A704E" w14:textId="77777777" w:rsidR="00CB3859" w:rsidRPr="00F06DE2" w:rsidRDefault="00CB3859" w:rsidP="00CB3859">
      <w:pPr>
        <w:ind w:left="720"/>
        <w:rPr>
          <w:rFonts w:ascii="Times New Roman" w:hAnsi="Times New Roman" w:cs="Times New Roman"/>
          <w:lang w:val="ru-RU"/>
        </w:rPr>
      </w:pPr>
      <w:r w:rsidRPr="00F06DE2">
        <w:rPr>
          <w:rFonts w:ascii="Times New Roman" w:hAnsi="Times New Roman" w:cs="Times New Roman"/>
          <w:lang w:val="ru-RU"/>
        </w:rPr>
        <w:t>За задвижващи или спомагателни системи, работещи с тези горива, се прилагат изискванията на Глава 30 и Приложение 8 на този стандарт.“</w:t>
      </w:r>
    </w:p>
    <w:p w14:paraId="0848A246" w14:textId="77777777" w:rsidR="003B59EB" w:rsidRPr="00F06DE2" w:rsidRDefault="003B59EB">
      <w:pPr>
        <w:pStyle w:val="ES-Titre3"/>
        <w:spacing w:line="240" w:lineRule="atLeast"/>
        <w:rPr>
          <w:rFonts w:ascii="Times New Roman" w:hAnsi="Times New Roman" w:cs="Times New Roman"/>
          <w:sz w:val="24"/>
          <w:szCs w:val="24"/>
          <w:lang w:val="ru-RU"/>
        </w:rPr>
      </w:pPr>
    </w:p>
    <w:p w14:paraId="25C8DD1B" w14:textId="06D72F92"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8.02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Оборудване за безопасност</w:t>
      </w:r>
      <w:bookmarkEnd w:id="104"/>
      <w:bookmarkEnd w:id="105"/>
    </w:p>
    <w:p w14:paraId="25D72B0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Двигателите се монтират и оборудват, така че да бъдат достъпни за работа и поддържане и да не застрашават обслужващия персонал, отговарящ за тези дейности. Те трябва да могат да бъдат обезопасени срещу случайно пускане.</w:t>
      </w:r>
    </w:p>
    <w:p w14:paraId="4A9B6E2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Главните двигатели, спомагателното оборудване, парните котли, плавателните съдове под налягане и техните принадлежности трябва да бъдат оборудвани с обезопасяващи устройства.</w:t>
      </w:r>
    </w:p>
    <w:p w14:paraId="47DEE075" w14:textId="536C1171"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В случай на извънредна ситуация трябва да е възможно да се изключат двигателите, задвижващи нагнетателните и смукателните вентилатори от място извън помещението, където те са монтирани, и от място извън машинното отделение.</w:t>
      </w:r>
    </w:p>
    <w:p w14:paraId="4C55CB1C" w14:textId="73E5F1EA" w:rsidR="000C491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4.</w:t>
      </w:r>
      <w:r w:rsidRPr="00F06DE2">
        <w:rPr>
          <w:rFonts w:ascii="Times New Roman" w:hAnsi="Times New Roman" w:cs="Times New Roman"/>
          <w:lang w:val="ru-RU"/>
        </w:rPr>
        <w:tab/>
        <w:t xml:space="preserve">При необходимост съединителите на тръби, които пренасят мазут, смазочни масла и масла, използвани в силови трансмисии, в системи за управление и задействане и в системи за отопление, се екранират или предпазват по друг подходящ начин, за да се избегне пръскането или изтичането на масло върху горещи повърхности, в </w:t>
      </w:r>
      <w:r w:rsidR="0000408E" w:rsidRPr="00F06DE2">
        <w:rPr>
          <w:rFonts w:ascii="Times New Roman" w:hAnsi="Times New Roman" w:cs="Times New Roman"/>
          <w:lang w:val="ru-RU"/>
        </w:rPr>
        <w:t xml:space="preserve"> смукателите </w:t>
      </w:r>
      <w:r w:rsidRPr="00F06DE2">
        <w:rPr>
          <w:rFonts w:ascii="Times New Roman" w:hAnsi="Times New Roman" w:cs="Times New Roman"/>
          <w:lang w:val="ru-RU"/>
        </w:rPr>
        <w:t>на двигателя или други източници на запалване. Броят на съединенията по тези тръбопроводни системи се свежда до минимум.</w:t>
      </w:r>
      <w:r w:rsidR="00C27C51" w:rsidRPr="00F06DE2">
        <w:rPr>
          <w:rFonts w:ascii="Times New Roman" w:hAnsi="Times New Roman" w:cs="Times New Roman"/>
          <w:lang w:val="ru-RU"/>
        </w:rPr>
        <w:t xml:space="preserve"> </w:t>
      </w:r>
    </w:p>
    <w:p w14:paraId="125DCC8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Външни тръби за пренасяне на гориво под високо налягане за дизелови двигатели между помпите за гориво под високо налягане и горивните дюзи се обезопасяват посредством тръбопроводи с кожух, способни да задържат горивото в случай на повреда на тръба под високо налягане. Тръбопроводната система с кожух включва устройства за събиране на течове и трябва да е предвидена алармена сигнализация, която се задейства при повреда в горивната тръба, като алармена сигнализация не се изисква при двигатели с не повече от два цилиндъра. Тръбопроводни системи с кожух не са необходими при двигатели на открити палуби, задвижващи брашпили и шпилове.</w:t>
      </w:r>
    </w:p>
    <w:p w14:paraId="337B812D" w14:textId="577EA45A"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Изолацията на частите на двигателите трябва да съответства на изискванията на член 3.04, точка 3,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2.</w:t>
      </w:r>
    </w:p>
    <w:p w14:paraId="24176F0B" w14:textId="77777777" w:rsidR="00271FA2" w:rsidRPr="00F06DE2" w:rsidRDefault="00D35E51">
      <w:pPr>
        <w:pStyle w:val="ES-Titre3"/>
        <w:spacing w:line="240" w:lineRule="atLeast"/>
        <w:rPr>
          <w:rFonts w:ascii="Times New Roman" w:hAnsi="Times New Roman" w:cs="Times New Roman"/>
          <w:sz w:val="24"/>
          <w:szCs w:val="24"/>
          <w:lang w:val="ru-RU"/>
        </w:rPr>
      </w:pPr>
      <w:bookmarkStart w:id="106" w:name="_Toc535827499"/>
      <w:bookmarkStart w:id="107" w:name="_Toc491854058"/>
      <w:r w:rsidRPr="00F06DE2">
        <w:rPr>
          <w:rFonts w:ascii="Times New Roman" w:hAnsi="Times New Roman" w:cs="Times New Roman"/>
          <w:sz w:val="24"/>
          <w:szCs w:val="24"/>
          <w:lang w:val="ru-RU"/>
        </w:rPr>
        <w:t>Член 8.03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Задвижващи системи</w:t>
      </w:r>
      <w:bookmarkEnd w:id="106"/>
      <w:bookmarkEnd w:id="107"/>
    </w:p>
    <w:p w14:paraId="320BCEB7" w14:textId="627A9D2C" w:rsidR="00271FA2" w:rsidRPr="00F06DE2" w:rsidRDefault="00D35E51" w:rsidP="009A7E0C">
      <w:pPr>
        <w:ind w:left="567" w:hanging="567"/>
        <w:jc w:val="both"/>
        <w:rPr>
          <w:rFonts w:ascii="Times New Roman" w:hAnsi="Times New Roman" w:cs="Times New Roman"/>
          <w:strike/>
          <w:lang w:val="ru-RU"/>
        </w:rPr>
      </w:pPr>
      <w:r w:rsidRPr="00F06DE2">
        <w:rPr>
          <w:rFonts w:ascii="Times New Roman" w:hAnsi="Times New Roman" w:cs="Times New Roman"/>
          <w:lang w:val="ru-RU"/>
        </w:rPr>
        <w:t>1.</w:t>
      </w:r>
      <w:r w:rsidRPr="00F06DE2">
        <w:rPr>
          <w:rFonts w:ascii="Times New Roman" w:hAnsi="Times New Roman" w:cs="Times New Roman"/>
          <w:lang w:val="ru-RU"/>
        </w:rPr>
        <w:tab/>
      </w:r>
      <w:r w:rsidR="00C27C51" w:rsidRPr="00F06DE2">
        <w:rPr>
          <w:rFonts w:ascii="Times New Roman" w:hAnsi="Times New Roman" w:cs="Times New Roman"/>
          <w:lang w:val="ru-RU"/>
        </w:rPr>
        <w:t>Трябва да е възможно задвижването на кораба да се пуска, спира или обръща надеждно и бързо.</w:t>
      </w:r>
    </w:p>
    <w:p w14:paraId="5BD54DDF" w14:textId="6CDE4CBB" w:rsidR="00C27C51" w:rsidRPr="00F06DE2" w:rsidRDefault="00220A2C" w:rsidP="009A7E0C">
      <w:pPr>
        <w:pStyle w:val="ESch"/>
        <w:jc w:val="both"/>
        <w:rPr>
          <w:rFonts w:ascii="Times New Roman" w:hAnsi="Times New Roman" w:cs="Times New Roman"/>
          <w:strike/>
          <w:lang w:val="ru-RU"/>
        </w:rPr>
      </w:pPr>
      <w:r w:rsidRPr="00F06DE2">
        <w:rPr>
          <w:rFonts w:ascii="Times New Roman" w:hAnsi="Times New Roman" w:cs="Times New Roman"/>
          <w:lang w:val="ru-RU"/>
        </w:rPr>
        <w:t>2.</w:t>
      </w:r>
      <w:r w:rsidR="00C27C51" w:rsidRPr="00F06DE2">
        <w:rPr>
          <w:rFonts w:ascii="Times New Roman" w:hAnsi="Times New Roman" w:cs="Times New Roman"/>
          <w:lang w:val="ru-RU"/>
        </w:rPr>
        <w:t xml:space="preserve">  </w:t>
      </w:r>
      <w:r w:rsidR="00C27C51" w:rsidRPr="00F06DE2">
        <w:rPr>
          <w:rFonts w:ascii="Times New Roman" w:hAnsi="Times New Roman" w:cs="Times New Roman"/>
          <w:lang w:val="ru-RU"/>
        </w:rPr>
        <w:tab/>
        <w:t>Когато корабите имат само един задвижващ двигател, този двигател не трябва да се изключва автоматично, освен за защита срещу превишаване на скоростта.</w:t>
      </w:r>
    </w:p>
    <w:p w14:paraId="21193CCE" w14:textId="0B378C87" w:rsidR="00C27C51" w:rsidRPr="00F06DE2" w:rsidRDefault="00220A2C" w:rsidP="009A7E0C">
      <w:pPr>
        <w:ind w:left="567" w:hanging="567"/>
        <w:jc w:val="both"/>
        <w:rPr>
          <w:rFonts w:ascii="Times New Roman" w:hAnsi="Times New Roman" w:cs="Times New Roman"/>
          <w:lang w:val="ru-RU"/>
        </w:rPr>
      </w:pPr>
      <w:r w:rsidRPr="00F06DE2">
        <w:rPr>
          <w:rFonts w:ascii="Times New Roman" w:hAnsi="Times New Roman" w:cs="Times New Roman"/>
          <w:lang w:val="ru-RU"/>
        </w:rPr>
        <w:t>3.</w:t>
      </w:r>
      <w:r w:rsidR="00C27C51" w:rsidRPr="00F06DE2">
        <w:rPr>
          <w:rFonts w:ascii="Times New Roman" w:hAnsi="Times New Roman" w:cs="Times New Roman"/>
          <w:lang w:val="ru-RU"/>
        </w:rPr>
        <w:tab/>
        <w:t xml:space="preserve"> Когато корабите имат само един задвижващ двигател, този двигател може да бъде оборудван с автоматично устройство за намаляване на </w:t>
      </w:r>
      <w:r w:rsidR="00C73E3A" w:rsidRPr="00F06DE2">
        <w:rPr>
          <w:rFonts w:ascii="Times New Roman" w:hAnsi="Times New Roman" w:cs="Times New Roman"/>
          <w:lang w:val="ru-RU"/>
        </w:rPr>
        <w:t xml:space="preserve">оборите </w:t>
      </w:r>
      <w:r w:rsidR="00C27C51" w:rsidRPr="00F06DE2">
        <w:rPr>
          <w:rFonts w:ascii="Times New Roman" w:hAnsi="Times New Roman" w:cs="Times New Roman"/>
          <w:lang w:val="ru-RU"/>
        </w:rPr>
        <w:t xml:space="preserve">на двигателя само ако автоматичното намаляване на </w:t>
      </w:r>
      <w:r w:rsidR="00C73E3A" w:rsidRPr="00F06DE2">
        <w:rPr>
          <w:rFonts w:ascii="Times New Roman" w:hAnsi="Times New Roman" w:cs="Times New Roman"/>
          <w:lang w:val="ru-RU"/>
        </w:rPr>
        <w:t>оборотите</w:t>
      </w:r>
      <w:r w:rsidR="00C27C51" w:rsidRPr="00F06DE2">
        <w:rPr>
          <w:rFonts w:ascii="Times New Roman" w:hAnsi="Times New Roman" w:cs="Times New Roman"/>
          <w:lang w:val="ru-RU"/>
        </w:rPr>
        <w:t xml:space="preserve"> на двигателя е индикирано оптически и акустично в рулевата рубка и устройството за намаляване на </w:t>
      </w:r>
      <w:r w:rsidR="00C73E3A" w:rsidRPr="00F06DE2">
        <w:rPr>
          <w:rFonts w:ascii="Times New Roman" w:hAnsi="Times New Roman" w:cs="Times New Roman"/>
          <w:lang w:val="ru-RU"/>
        </w:rPr>
        <w:t xml:space="preserve"> оборотите</w:t>
      </w:r>
      <w:r w:rsidR="00C27C51" w:rsidRPr="00F06DE2">
        <w:rPr>
          <w:rFonts w:ascii="Times New Roman" w:hAnsi="Times New Roman" w:cs="Times New Roman"/>
          <w:lang w:val="ru-RU"/>
        </w:rPr>
        <w:t xml:space="preserve"> на двигателя може да бъде изключено от мястото на рулевия.</w:t>
      </w:r>
    </w:p>
    <w:p w14:paraId="603E67AD" w14:textId="6D16CFC3" w:rsidR="00C27C51" w:rsidRPr="00F06DE2" w:rsidRDefault="00220A2C" w:rsidP="009A7E0C">
      <w:pPr>
        <w:pStyle w:val="ESch"/>
        <w:jc w:val="both"/>
        <w:rPr>
          <w:rFonts w:ascii="Times New Roman" w:hAnsi="Times New Roman" w:cs="Times New Roman"/>
          <w:strike/>
          <w:lang w:val="ru-RU"/>
        </w:rPr>
      </w:pPr>
      <w:r w:rsidRPr="00F06DE2">
        <w:rPr>
          <w:rFonts w:ascii="Times New Roman" w:hAnsi="Times New Roman" w:cs="Times New Roman"/>
          <w:lang w:val="ru-RU"/>
        </w:rPr>
        <w:t>4.</w:t>
      </w:r>
      <w:r w:rsidR="00C27C51" w:rsidRPr="00F06DE2">
        <w:rPr>
          <w:rFonts w:ascii="Times New Roman" w:hAnsi="Times New Roman" w:cs="Times New Roman"/>
          <w:lang w:val="ru-RU"/>
        </w:rPr>
        <w:tab/>
        <w:t xml:space="preserve"> Втулките на вала трябва да бъдат проектирани по такъв начин, че да предотвратяват разпространението на замърсяващи водата смазочни материали.</w:t>
      </w:r>
    </w:p>
    <w:p w14:paraId="3E2B747F" w14:textId="77777777" w:rsidR="00FF2483" w:rsidRPr="00F06DE2" w:rsidRDefault="00FF2483">
      <w:pPr>
        <w:pStyle w:val="ES-Titre3"/>
        <w:spacing w:line="240" w:lineRule="atLeast"/>
        <w:rPr>
          <w:rFonts w:ascii="Times New Roman" w:hAnsi="Times New Roman" w:cs="Times New Roman"/>
          <w:sz w:val="24"/>
          <w:szCs w:val="24"/>
          <w:lang w:val="ru-RU"/>
        </w:rPr>
      </w:pPr>
      <w:bookmarkStart w:id="108" w:name="_Toc535827500"/>
      <w:bookmarkStart w:id="109" w:name="_Toc491854059"/>
    </w:p>
    <w:p w14:paraId="551C4491" w14:textId="5B03DC68"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8.04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Изпускателна система на двигателя</w:t>
      </w:r>
      <w:bookmarkEnd w:id="108"/>
      <w:bookmarkEnd w:id="109"/>
    </w:p>
    <w:p w14:paraId="387F5E05" w14:textId="1F2D58F0" w:rsidR="00271FA2" w:rsidRPr="00F06DE2" w:rsidRDefault="00D35E51">
      <w:pPr>
        <w:pStyle w:val="ESc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r>
      <w:r w:rsidR="00427878" w:rsidRPr="00F06DE2">
        <w:rPr>
          <w:rFonts w:ascii="Times New Roman" w:hAnsi="Times New Roman" w:cs="Times New Roman"/>
          <w:lang w:val="ru-RU"/>
        </w:rPr>
        <w:t xml:space="preserve">Отработените </w:t>
      </w:r>
      <w:r w:rsidRPr="00F06DE2">
        <w:rPr>
          <w:rFonts w:ascii="Times New Roman" w:hAnsi="Times New Roman" w:cs="Times New Roman"/>
          <w:lang w:val="ru-RU"/>
        </w:rPr>
        <w:t>газове трябва да се отвеждат напълно извън плавателния съд.</w:t>
      </w:r>
    </w:p>
    <w:p w14:paraId="0946BC83" w14:textId="54540664"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Предприемат се всички подходящи мерки, за да се предотврати навлизането на отработени газове в различните отделения. В рамките на тези мерки, изходящите тръби, които преминават през жилищно помещение или рулевата рубка, трябва да са покрити със защитна газонепроницаема обвивка. Хлабината между изходящата тръба и тази обвивка трябва да е отворена към </w:t>
      </w:r>
      <w:r w:rsidR="00427878" w:rsidRPr="00F06DE2">
        <w:rPr>
          <w:rFonts w:ascii="Times New Roman" w:hAnsi="Times New Roman" w:cs="Times New Roman"/>
          <w:lang w:val="ru-RU"/>
        </w:rPr>
        <w:t xml:space="preserve">външния </w:t>
      </w:r>
      <w:r w:rsidRPr="00F06DE2">
        <w:rPr>
          <w:rFonts w:ascii="Times New Roman" w:hAnsi="Times New Roman" w:cs="Times New Roman"/>
          <w:lang w:val="ru-RU"/>
        </w:rPr>
        <w:t>въздух</w:t>
      </w:r>
      <w:r w:rsidR="00427878" w:rsidRPr="00F06DE2">
        <w:rPr>
          <w:rFonts w:ascii="Times New Roman" w:hAnsi="Times New Roman" w:cs="Times New Roman"/>
          <w:lang w:val="ru-RU"/>
        </w:rPr>
        <w:t xml:space="preserve">, </w:t>
      </w:r>
    </w:p>
    <w:p w14:paraId="79BAA72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Изпускателните тръби трябва да се монтират и обезопасяват по такъв начин, че да не могат да причинят пожар.</w:t>
      </w:r>
    </w:p>
    <w:p w14:paraId="08AAB060" w14:textId="2437337F" w:rsidR="00271FA2" w:rsidRPr="00F06DE2" w:rsidRDefault="00D35E51">
      <w:pPr>
        <w:pStyle w:val="ESch"/>
        <w:ind w:left="565" w:hangingChars="257" w:hanging="565"/>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Изпускателните тръби трябва да се изолират или охлаждат в машинните отделения по подходящ начин. Извън машинните отделения защитата от физически контакт може да се приеме за достатъчна мярка.</w:t>
      </w:r>
    </w:p>
    <w:p w14:paraId="4BDEF782" w14:textId="77777777" w:rsidR="00FF2483" w:rsidRPr="00F06DE2" w:rsidRDefault="00FF2483">
      <w:pPr>
        <w:pStyle w:val="ES-Titre3"/>
        <w:spacing w:line="240" w:lineRule="atLeast"/>
        <w:rPr>
          <w:rFonts w:ascii="Times New Roman" w:hAnsi="Times New Roman" w:cs="Times New Roman"/>
          <w:sz w:val="24"/>
          <w:szCs w:val="24"/>
          <w:lang w:val="ru-RU"/>
        </w:rPr>
      </w:pPr>
      <w:bookmarkStart w:id="110" w:name="_Toc535827501"/>
      <w:bookmarkStart w:id="111" w:name="_Toc491854060"/>
    </w:p>
    <w:p w14:paraId="173D1171" w14:textId="6B62E458"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8.05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Резервоари за гориво, тръби и принадлежности</w:t>
      </w:r>
      <w:bookmarkEnd w:id="110"/>
      <w:bookmarkEnd w:id="111"/>
    </w:p>
    <w:p w14:paraId="1CD2E93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1.</w:t>
      </w:r>
      <w:r w:rsidRPr="00F06DE2">
        <w:rPr>
          <w:rFonts w:ascii="Times New Roman" w:hAnsi="Times New Roman" w:cs="Times New Roman"/>
          <w:lang w:val="ru-RU"/>
        </w:rPr>
        <w:tab/>
        <w:t>Течните горива се съхраняват в стоманени резервоари, които са неразделна част от корпуса или са здраво прикрепени към корпуса. Ако се изисква от конструкцията на плавателния съд, може да се използва равностоен по отношение на огнеустойчивостта материал. Тези изисквания не важат за резервоари с вместимост не повече от 12 литра, които са фабрично вградени в спомагателно оборудване. Резервоарите за гориво нямат общи повърхности с резервоарите за питейна вода.</w:t>
      </w:r>
    </w:p>
    <w:p w14:paraId="624A335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Резервоарите за гориво и техните тръбопроводи и други принадлежности трябва да са оформени и разположени по такъв начин, че нито гориво, нито газове от него да могат случайно да попаднат във вътрешността на плавателния съд. Клапаните на резервоара, предназначени за вземане на проби от горивото или източване на вода, се затварят автоматично.</w:t>
      </w:r>
    </w:p>
    <w:p w14:paraId="53A1095E" w14:textId="24B9A3B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Резервоарите за гориво не могат да се разполагат пред първата носова </w:t>
      </w:r>
      <w:r w:rsidR="00876C81" w:rsidRPr="00F06DE2">
        <w:rPr>
          <w:rFonts w:ascii="Times New Roman" w:hAnsi="Times New Roman" w:cs="Times New Roman"/>
          <w:lang w:val="ru-RU"/>
        </w:rPr>
        <w:t>водо</w:t>
      </w:r>
      <w:r w:rsidRPr="00F06DE2">
        <w:rPr>
          <w:rFonts w:ascii="Times New Roman" w:hAnsi="Times New Roman" w:cs="Times New Roman"/>
          <w:lang w:val="ru-RU"/>
        </w:rPr>
        <w:t>непроницаема преграда</w:t>
      </w:r>
      <w:r w:rsidR="00B545DC" w:rsidRPr="00F06DE2">
        <w:rPr>
          <w:rFonts w:ascii="Times New Roman" w:hAnsi="Times New Roman" w:cs="Times New Roman"/>
          <w:lang w:val="ru-RU"/>
        </w:rPr>
        <w:t xml:space="preserve"> /таранната/</w:t>
      </w:r>
      <w:r w:rsidRPr="00F06DE2">
        <w:rPr>
          <w:rFonts w:ascii="Times New Roman" w:hAnsi="Times New Roman" w:cs="Times New Roman"/>
          <w:lang w:val="ru-RU"/>
        </w:rPr>
        <w:t xml:space="preserve"> или зад ахтерпиковата преграда.</w:t>
      </w:r>
    </w:p>
    <w:p w14:paraId="63F136C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Резервоарите за гориво и техните принадлежности не могат да се разполагат точно над двигателите или изпускателните тръби.</w:t>
      </w:r>
    </w:p>
    <w:p w14:paraId="32B2DDE5" w14:textId="325E6A0C" w:rsidR="00D97CEC" w:rsidRPr="00F06DE2" w:rsidRDefault="00D35E51" w:rsidP="00871F5D">
      <w:pPr>
        <w:pStyle w:val="ESch"/>
        <w:jc w:val="both"/>
        <w:rPr>
          <w:rFonts w:ascii="Times New Roman" w:hAnsi="Times New Roman" w:cs="Times New Roman"/>
          <w:strike/>
          <w:lang w:val="ru-RU"/>
        </w:rPr>
      </w:pPr>
      <w:r w:rsidRPr="00F06DE2">
        <w:rPr>
          <w:rFonts w:ascii="Times New Roman" w:hAnsi="Times New Roman" w:cs="Times New Roman"/>
          <w:lang w:val="ru-RU"/>
        </w:rPr>
        <w:t>5.</w:t>
      </w:r>
      <w:r w:rsidRPr="00F06DE2">
        <w:rPr>
          <w:rFonts w:ascii="Times New Roman" w:hAnsi="Times New Roman" w:cs="Times New Roman"/>
          <w:lang w:val="ru-RU"/>
        </w:rPr>
        <w:tab/>
      </w:r>
      <w:r w:rsidR="00D97CEC" w:rsidRPr="00F06DE2">
        <w:rPr>
          <w:rFonts w:ascii="Times New Roman" w:hAnsi="Times New Roman" w:cs="Times New Roman"/>
          <w:lang w:val="ru-RU"/>
        </w:rPr>
        <w:t xml:space="preserve">Отворите за пълнене на резервоарите за гориво трябва да бъдат ясно маркирани, а гърловините за пълнене трябва да бъдат </w:t>
      </w:r>
      <w:r w:rsidR="00BA4C7F" w:rsidRPr="00F06DE2">
        <w:rPr>
          <w:rFonts w:ascii="Times New Roman" w:hAnsi="Times New Roman" w:cs="Times New Roman"/>
          <w:lang w:val="ru-RU"/>
        </w:rPr>
        <w:t xml:space="preserve"> </w:t>
      </w:r>
      <w:r w:rsidR="00CF10FA" w:rsidRPr="00F06DE2">
        <w:rPr>
          <w:rFonts w:ascii="Times New Roman" w:hAnsi="Times New Roman" w:cs="Times New Roman"/>
          <w:lang w:val="ru-RU"/>
        </w:rPr>
        <w:t>обозначени</w:t>
      </w:r>
      <w:r w:rsidR="00D97CEC" w:rsidRPr="00F06DE2">
        <w:rPr>
          <w:rFonts w:ascii="Times New Roman" w:hAnsi="Times New Roman" w:cs="Times New Roman"/>
          <w:lang w:val="ru-RU"/>
        </w:rPr>
        <w:t xml:space="preserve"> с подходящ цвят. Това изискване се счита за изпълнено, ако са изпълнени изискванията на международния стандарт </w:t>
      </w:r>
      <w:r w:rsidR="00D97CEC" w:rsidRPr="00F06DE2">
        <w:rPr>
          <w:rFonts w:ascii="Times New Roman" w:hAnsi="Times New Roman" w:cs="Times New Roman"/>
        </w:rPr>
        <w:t>ISO</w:t>
      </w:r>
      <w:r w:rsidR="00D97CEC" w:rsidRPr="00F06DE2">
        <w:rPr>
          <w:rFonts w:ascii="Times New Roman" w:hAnsi="Times New Roman" w:cs="Times New Roman"/>
          <w:lang w:val="ru-RU"/>
        </w:rPr>
        <w:t xml:space="preserve"> 14726: 2008.</w:t>
      </w:r>
    </w:p>
    <w:p w14:paraId="12F7716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Отворът на пълнещата тръба на резервоарите за течни горива </w:t>
      </w:r>
      <w:r w:rsidRPr="00F06DE2">
        <w:rPr>
          <w:rFonts w:ascii="Times New Roman" w:hAnsi="Times New Roman" w:cs="Times New Roman"/>
        </w:rPr>
        <w:t>e</w:t>
      </w:r>
      <w:r w:rsidRPr="00F06DE2">
        <w:rPr>
          <w:rFonts w:ascii="Times New Roman" w:hAnsi="Times New Roman" w:cs="Times New Roman"/>
          <w:lang w:val="ru-RU"/>
        </w:rPr>
        <w:t xml:space="preserve"> на палубата, с изключение на резервоари за дневен разход. Пълнещата тръба трябва да е снабдена със съединител в съответствие с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12827:1999.</w:t>
      </w:r>
    </w:p>
    <w:p w14:paraId="39C68D1B" w14:textId="70E42FEA"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Тези резервоари трябва да са оборудвани с отдушник, завършващ на открито над палубата и да са монтирани по такъв начин, че да не е възможно проникването на вода. Напречното сечение на </w:t>
      </w:r>
      <w:r w:rsidR="00CD0DB8" w:rsidRPr="00F06DE2">
        <w:rPr>
          <w:rFonts w:ascii="Times New Roman" w:hAnsi="Times New Roman" w:cs="Times New Roman"/>
          <w:lang w:val="ru-RU"/>
        </w:rPr>
        <w:t xml:space="preserve">вентилационната </w:t>
      </w:r>
      <w:r w:rsidRPr="00F06DE2">
        <w:rPr>
          <w:rFonts w:ascii="Times New Roman" w:hAnsi="Times New Roman" w:cs="Times New Roman"/>
          <w:lang w:val="ru-RU"/>
        </w:rPr>
        <w:t>тръба е поне 1,25 пъти по-голямо от напречното сечение на пълнещата тръба.</w:t>
      </w:r>
    </w:p>
    <w:p w14:paraId="112014FC"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Ако резервоарите са свързани, напречното сечение на свързващата тръба е поне 1,25 пъти по-голямо от напречното сечение на пълнещата тръба.</w:t>
      </w:r>
    </w:p>
    <w:p w14:paraId="4DE685C1" w14:textId="6018ADD2" w:rsidR="00D97CEC" w:rsidRPr="00F06DE2" w:rsidRDefault="00D35E51" w:rsidP="00A35C45">
      <w:pPr>
        <w:pStyle w:val="ESch"/>
        <w:jc w:val="both"/>
        <w:rPr>
          <w:rFonts w:ascii="Times New Roman" w:hAnsi="Times New Roman" w:cs="Times New Roman"/>
          <w:strike/>
          <w:lang w:val="ru-RU"/>
        </w:rPr>
      </w:pPr>
      <w:r w:rsidRPr="00F06DE2">
        <w:rPr>
          <w:rFonts w:ascii="Times New Roman" w:hAnsi="Times New Roman" w:cs="Times New Roman"/>
          <w:lang w:val="ru-RU"/>
        </w:rPr>
        <w:t>7.</w:t>
      </w:r>
      <w:r w:rsidRPr="00F06DE2">
        <w:rPr>
          <w:rFonts w:ascii="Times New Roman" w:hAnsi="Times New Roman" w:cs="Times New Roman"/>
          <w:lang w:val="ru-RU"/>
        </w:rPr>
        <w:tab/>
      </w:r>
      <w:r w:rsidR="00D97CEC" w:rsidRPr="00F06DE2">
        <w:rPr>
          <w:rFonts w:ascii="Times New Roman" w:hAnsi="Times New Roman" w:cs="Times New Roman"/>
          <w:lang w:val="ru-RU"/>
        </w:rPr>
        <w:t>Директно при изходите на резервоара тръбопроводът за разпределение на течни горива трябва да бъде снабден с бързо затварящ се клапан, който може да се управлява от палубата, дори когато въпросните помещения са затворени.</w:t>
      </w:r>
    </w:p>
    <w:p w14:paraId="1FA61289" w14:textId="77777777" w:rsidR="00D97CEC" w:rsidRPr="00F06DE2" w:rsidRDefault="00D97CEC" w:rsidP="00A35C45">
      <w:pPr>
        <w:ind w:left="567"/>
        <w:rPr>
          <w:rFonts w:ascii="Times New Roman" w:hAnsi="Times New Roman" w:cs="Times New Roman"/>
          <w:lang w:val="ru-RU"/>
        </w:rPr>
      </w:pPr>
      <w:r w:rsidRPr="00F06DE2">
        <w:rPr>
          <w:rFonts w:ascii="Times New Roman" w:hAnsi="Times New Roman" w:cs="Times New Roman"/>
          <w:lang w:val="ru-RU"/>
        </w:rPr>
        <w:t>Ако устройството за управление е закрито, подходът или капакът не трябва да се заключват.</w:t>
      </w:r>
    </w:p>
    <w:p w14:paraId="4121C7F1" w14:textId="77777777" w:rsidR="00D97CEC" w:rsidRPr="00F06DE2" w:rsidRDefault="00D97CEC" w:rsidP="00A35C45">
      <w:pPr>
        <w:ind w:left="567"/>
        <w:rPr>
          <w:rFonts w:ascii="Times New Roman" w:hAnsi="Times New Roman" w:cs="Times New Roman"/>
          <w:lang w:val="ru-RU"/>
        </w:rPr>
      </w:pPr>
      <w:r w:rsidRPr="00F06DE2">
        <w:rPr>
          <w:rFonts w:ascii="Times New Roman" w:hAnsi="Times New Roman" w:cs="Times New Roman"/>
          <w:lang w:val="ru-RU"/>
        </w:rPr>
        <w:t xml:space="preserve">Работното устройство се маркира в червено. Ако устройството е скрито, то трябва да бъде маркирано със символ за „бързо затварящ се клапан на резервоара“ в съответствие с фигура 9 от приложение 4 с дължина на страната най-малко 10 </w:t>
      </w:r>
      <w:r w:rsidRPr="00F06DE2">
        <w:rPr>
          <w:rFonts w:ascii="Times New Roman" w:hAnsi="Times New Roman" w:cs="Times New Roman"/>
        </w:rPr>
        <w:t>cm</w:t>
      </w:r>
      <w:r w:rsidRPr="00F06DE2">
        <w:rPr>
          <w:rFonts w:ascii="Times New Roman" w:hAnsi="Times New Roman" w:cs="Times New Roman"/>
          <w:lang w:val="ru-RU"/>
        </w:rPr>
        <w:t>.</w:t>
      </w:r>
    </w:p>
    <w:p w14:paraId="48004EE7" w14:textId="1806DD5A" w:rsidR="00D97CEC" w:rsidRPr="00F06DE2" w:rsidRDefault="00D97CEC" w:rsidP="00A35C45">
      <w:pPr>
        <w:pStyle w:val="ESchpar"/>
        <w:jc w:val="both"/>
        <w:rPr>
          <w:rFonts w:ascii="Times New Roman" w:hAnsi="Times New Roman" w:cs="Times New Roman"/>
          <w:strike/>
          <w:lang w:val="ru-RU"/>
        </w:rPr>
      </w:pPr>
      <w:r w:rsidRPr="00F06DE2">
        <w:rPr>
          <w:rFonts w:ascii="Times New Roman" w:hAnsi="Times New Roman" w:cs="Times New Roman"/>
          <w:lang w:val="ru-RU"/>
        </w:rPr>
        <w:t>Първата алинея не се прилага за резервоари за гориво, монтирани директно на двигателя.</w:t>
      </w:r>
    </w:p>
    <w:p w14:paraId="4EDFD26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Тръбите за гориво, техните съединения, уплътнения и фитинги се правят от материали, годни да издържат на механичните, химичните и топлинните натоварвания, на които е вероятно да бъдат подложени. Тръбите за гориво не трябва да се излагат на неблагоприятното влияние на топлина и трябва да има възможност да бъдат проверявани по цялата им дължина.</w:t>
      </w:r>
    </w:p>
    <w:p w14:paraId="7B979520" w14:textId="4DF75112"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 xml:space="preserve">Резервоарите за гориво трябва да са оборудвани с подходящо устройство за измерване на вместимостта. Устройствата за измерване на вместимостта трябва да могат да се отчитат до равнището на максимално напълване. </w:t>
      </w:r>
      <w:r w:rsidR="00935734" w:rsidRPr="00F06DE2">
        <w:rPr>
          <w:rFonts w:ascii="Times New Roman" w:hAnsi="Times New Roman" w:cs="Times New Roman"/>
          <w:lang w:val="ru-RU"/>
        </w:rPr>
        <w:t xml:space="preserve">Нивомерните </w:t>
      </w:r>
      <w:r w:rsidRPr="00F06DE2">
        <w:rPr>
          <w:rFonts w:ascii="Times New Roman" w:hAnsi="Times New Roman" w:cs="Times New Roman"/>
          <w:lang w:val="ru-RU"/>
        </w:rPr>
        <w:t xml:space="preserve">стъкла трябва да са ефикасно защитени срещу повреда от удар, снабдени с автоматично затварящо устройство в основата си, а горните им краища да са свързани с резервоарите над равнището им на максимално напълване. Материалът, използван за </w:t>
      </w:r>
      <w:r w:rsidR="00935734" w:rsidRPr="00F06DE2">
        <w:rPr>
          <w:rFonts w:ascii="Times New Roman" w:hAnsi="Times New Roman" w:cs="Times New Roman"/>
          <w:lang w:val="ru-RU"/>
        </w:rPr>
        <w:t xml:space="preserve">нивомерните </w:t>
      </w:r>
      <w:r w:rsidRPr="00F06DE2">
        <w:rPr>
          <w:rFonts w:ascii="Times New Roman" w:hAnsi="Times New Roman" w:cs="Times New Roman"/>
          <w:lang w:val="ru-RU"/>
        </w:rPr>
        <w:t xml:space="preserve">стъкла, не трябва да се деформира при нормални температури на средата. Измервателните тръби не трябва да завършват в жилищните пространства. Измервателните тръби, които завършват в машинно или котелно отделение, трябва да са оборудвани с подходящи </w:t>
      </w:r>
      <w:r w:rsidR="00935734" w:rsidRPr="00F06DE2">
        <w:rPr>
          <w:rFonts w:ascii="Times New Roman" w:hAnsi="Times New Roman" w:cs="Times New Roman"/>
          <w:lang w:val="ru-RU"/>
        </w:rPr>
        <w:t>само</w:t>
      </w:r>
      <w:r w:rsidRPr="00F06DE2">
        <w:rPr>
          <w:rFonts w:ascii="Times New Roman" w:hAnsi="Times New Roman" w:cs="Times New Roman"/>
          <w:lang w:val="ru-RU"/>
        </w:rPr>
        <w:t>затварящи устройства.</w:t>
      </w:r>
    </w:p>
    <w:p w14:paraId="0140F96B" w14:textId="23EE07EB" w:rsidR="00271FA2" w:rsidRPr="00F06DE2" w:rsidRDefault="00D35E51" w:rsidP="00DB4905">
      <w:pPr>
        <w:pStyle w:val="ESch"/>
        <w:tabs>
          <w:tab w:val="left" w:pos="567"/>
        </w:tabs>
        <w:jc w:val="both"/>
        <w:rPr>
          <w:rFonts w:ascii="Times New Roman" w:hAnsi="Times New Roman" w:cs="Times New Roman"/>
          <w:lang w:val="ru-RU"/>
        </w:rPr>
      </w:pPr>
      <w:r w:rsidRPr="00F06DE2">
        <w:rPr>
          <w:rFonts w:ascii="Times New Roman" w:hAnsi="Times New Roman" w:cs="Times New Roman"/>
          <w:lang w:val="ru-RU"/>
        </w:rPr>
        <w:lastRenderedPageBreak/>
        <w:t>10.</w:t>
      </w:r>
      <w:r w:rsidRPr="00F06DE2">
        <w:rPr>
          <w:rFonts w:ascii="Times New Roman" w:hAnsi="Times New Roman" w:cs="Times New Roman"/>
          <w:lang w:val="ru-RU"/>
        </w:rPr>
        <w:tab/>
      </w:r>
      <w:r w:rsidR="00DB4905" w:rsidRPr="00F06DE2">
        <w:rPr>
          <w:rFonts w:ascii="Times New Roman" w:hAnsi="Times New Roman" w:cs="Times New Roman"/>
        </w:rPr>
        <w:t>a</w:t>
      </w:r>
      <w:r w:rsidR="00DB4905" w:rsidRPr="00F06DE2">
        <w:rPr>
          <w:rFonts w:ascii="Times New Roman" w:hAnsi="Times New Roman" w:cs="Times New Roman"/>
          <w:lang w:val="ru-RU"/>
        </w:rPr>
        <w:t xml:space="preserve">) </w:t>
      </w:r>
      <w:r w:rsidRPr="00F06DE2">
        <w:rPr>
          <w:rFonts w:ascii="Times New Roman" w:hAnsi="Times New Roman" w:cs="Times New Roman"/>
          <w:lang w:val="ru-RU"/>
        </w:rPr>
        <w:t>Горивните резервоари се обезопасяват срещу разлив на гориво при зареждане посредством подходящи технически устройства, които се записват в точка 52 от Корабното удостоверение за вътрешно корабоплаване;</w:t>
      </w:r>
    </w:p>
    <w:p w14:paraId="34AD3D09" w14:textId="7DB276D1" w:rsidR="00271FA2" w:rsidRPr="00F06DE2" w:rsidRDefault="00DB4905" w:rsidP="00DB4905">
      <w:pPr>
        <w:pStyle w:val="ESch"/>
        <w:tabs>
          <w:tab w:val="left" w:pos="567"/>
        </w:tabs>
        <w:ind w:hanging="141"/>
        <w:jc w:val="both"/>
        <w:rPr>
          <w:rFonts w:ascii="Times New Roman" w:hAnsi="Times New Roman" w:cs="Times New Roman"/>
          <w:lang w:val="ru-RU"/>
        </w:rPr>
      </w:pPr>
      <w:r w:rsidRPr="00F06DE2">
        <w:rPr>
          <w:rFonts w:ascii="Times New Roman" w:hAnsi="Times New Roman" w:cs="Times New Roman"/>
          <w:lang w:val="ru-RU"/>
        </w:rPr>
        <w:tab/>
        <w:t xml:space="preserve">б) </w:t>
      </w:r>
      <w:r w:rsidR="00D35E51" w:rsidRPr="00F06DE2">
        <w:rPr>
          <w:rFonts w:ascii="Times New Roman" w:hAnsi="Times New Roman" w:cs="Times New Roman"/>
          <w:lang w:val="ru-RU"/>
        </w:rPr>
        <w:t>Ако горивото се зарежда от станции за зареждане, които имат собствени технически устройства против разлив на гориво по време на зареждане, изискванията към оборудването, посочени в буква “а” и точка 11, не се прилагат.</w:t>
      </w:r>
    </w:p>
    <w:p w14:paraId="750B60D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Ако резервоарите за гориво са снабдени с автоматично спирателно устройство, датчиците спират зареждането с гориво, когато резервоарът е 97</w:t>
      </w:r>
      <w:r w:rsidRPr="00F06DE2">
        <w:rPr>
          <w:rFonts w:ascii="Times New Roman" w:hAnsi="Times New Roman" w:cs="Times New Roman"/>
        </w:rPr>
        <w:t> </w:t>
      </w:r>
      <w:r w:rsidRPr="00F06DE2">
        <w:rPr>
          <w:rFonts w:ascii="Times New Roman" w:hAnsi="Times New Roman" w:cs="Times New Roman"/>
          <w:lang w:val="ru-RU"/>
        </w:rPr>
        <w:t>% пълен; това оборудване трябва да съответства на изискванията за „безотказност“.</w:t>
      </w:r>
    </w:p>
    <w:p w14:paraId="508E9332" w14:textId="2D1A20E3" w:rsidR="00271FA2" w:rsidRPr="00F06DE2" w:rsidRDefault="002C67F4">
      <w:pPr>
        <w:pStyle w:val="ESch"/>
        <w:ind w:firstLine="0"/>
        <w:jc w:val="both"/>
        <w:rPr>
          <w:rFonts w:ascii="Times New Roman" w:hAnsi="Times New Roman" w:cs="Times New Roman"/>
          <w:strike/>
          <w:lang w:val="ru-RU"/>
        </w:rPr>
      </w:pPr>
      <w:r w:rsidRPr="00F06DE2">
        <w:rPr>
          <w:rFonts w:ascii="Times New Roman" w:hAnsi="Times New Roman" w:cs="Times New Roman"/>
          <w:lang w:val="ru-RU"/>
        </w:rPr>
        <w:t xml:space="preserve">Ако сензорът активира електрически контакт, който може да прекъсне веригата, осигурена от бункерната станция чрез двоичен сигнал, трябва да бъде възможно да се предаде сигналът към бункерната станция посредством водонепропусклив щепсел за свързване, отговарящ на изискванията на международния стандарт </w:t>
      </w:r>
      <w:r w:rsidRPr="00F06DE2">
        <w:rPr>
          <w:rFonts w:ascii="Times New Roman" w:hAnsi="Times New Roman" w:cs="Times New Roman"/>
        </w:rPr>
        <w:t>IEC</w:t>
      </w:r>
      <w:r w:rsidRPr="00F06DE2">
        <w:rPr>
          <w:rFonts w:ascii="Times New Roman" w:hAnsi="Times New Roman" w:cs="Times New Roman"/>
          <w:lang w:val="ru-RU"/>
        </w:rPr>
        <w:t xml:space="preserve"> 60309-1: 2021 за 40 до 50 </w:t>
      </w:r>
      <w:r w:rsidRPr="00F06DE2">
        <w:rPr>
          <w:rFonts w:ascii="Times New Roman" w:hAnsi="Times New Roman" w:cs="Times New Roman"/>
        </w:rPr>
        <w:t>V</w:t>
      </w:r>
      <w:r w:rsidRPr="00F06DE2">
        <w:rPr>
          <w:rFonts w:ascii="Times New Roman" w:hAnsi="Times New Roman" w:cs="Times New Roman"/>
          <w:lang w:val="ru-RU"/>
        </w:rPr>
        <w:t xml:space="preserve"> </w:t>
      </w:r>
      <w:r w:rsidRPr="00F06DE2">
        <w:rPr>
          <w:rFonts w:ascii="Times New Roman" w:hAnsi="Times New Roman" w:cs="Times New Roman"/>
        </w:rPr>
        <w:t>DC</w:t>
      </w:r>
      <w:r w:rsidRPr="00F06DE2">
        <w:rPr>
          <w:rFonts w:ascii="Times New Roman" w:hAnsi="Times New Roman" w:cs="Times New Roman"/>
          <w:lang w:val="ru-RU"/>
        </w:rPr>
        <w:t>, цвят на корпуса бял, позиция на заземителния контакт десет часа.</w:t>
      </w:r>
    </w:p>
    <w:p w14:paraId="297472F2" w14:textId="6586C6BC" w:rsidR="00271FA2" w:rsidRPr="00F06DE2" w:rsidRDefault="00D35E51" w:rsidP="00DB4905">
      <w:pPr>
        <w:pStyle w:val="ESch"/>
        <w:jc w:val="both"/>
        <w:rPr>
          <w:rFonts w:ascii="Times New Roman" w:hAnsi="Times New Roman" w:cs="Times New Roman"/>
          <w:lang w:val="ru-RU"/>
        </w:rPr>
      </w:pPr>
      <w:r w:rsidRPr="00F06DE2">
        <w:rPr>
          <w:rFonts w:ascii="Times New Roman" w:hAnsi="Times New Roman" w:cs="Times New Roman"/>
          <w:lang w:val="ru-RU"/>
        </w:rPr>
        <w:t>12.</w:t>
      </w:r>
      <w:r w:rsidRPr="00F06DE2">
        <w:rPr>
          <w:rFonts w:ascii="Times New Roman" w:hAnsi="Times New Roman" w:cs="Times New Roman"/>
          <w:lang w:val="ru-RU"/>
        </w:rPr>
        <w:tab/>
        <w:t xml:space="preserve">Резервоарите за гориво трябва да са снабдени с отвори, които </w:t>
      </w:r>
      <w:r w:rsidR="00706AA7" w:rsidRPr="00F06DE2">
        <w:rPr>
          <w:rFonts w:ascii="Times New Roman" w:hAnsi="Times New Roman" w:cs="Times New Roman"/>
          <w:lang w:val="ru-RU"/>
        </w:rPr>
        <w:t>се затварят херметично</w:t>
      </w:r>
      <w:r w:rsidRPr="00F06DE2">
        <w:rPr>
          <w:rFonts w:ascii="Times New Roman" w:hAnsi="Times New Roman" w:cs="Times New Roman"/>
          <w:lang w:val="ru-RU"/>
        </w:rPr>
        <w:t>, позволяващи почистване и проверка.</w:t>
      </w:r>
      <w:r w:rsidRPr="00F06DE2">
        <w:rPr>
          <w:rFonts w:ascii="Times New Roman" w:hAnsi="Times New Roman" w:cs="Times New Roman"/>
          <w:lang w:val="ru-RU"/>
        </w:rPr>
        <w:tab/>
      </w:r>
    </w:p>
    <w:p w14:paraId="3D741579" w14:textId="77777777" w:rsidR="00FF2483" w:rsidRPr="00F06DE2" w:rsidRDefault="00FF2483">
      <w:pPr>
        <w:pStyle w:val="ES-Titre3"/>
        <w:spacing w:line="240" w:lineRule="atLeast"/>
        <w:rPr>
          <w:rFonts w:ascii="Times New Roman" w:hAnsi="Times New Roman" w:cs="Times New Roman"/>
          <w:sz w:val="24"/>
          <w:szCs w:val="24"/>
          <w:lang w:val="ru-RU"/>
        </w:rPr>
      </w:pPr>
      <w:bookmarkStart w:id="112" w:name="_Toc491854061"/>
      <w:bookmarkStart w:id="113" w:name="_Toc535827502"/>
    </w:p>
    <w:p w14:paraId="736A7BC3" w14:textId="197BCCFF"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8.06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Съхраняване на смазочно масло, тръби и принадлежности</w:t>
      </w:r>
      <w:bookmarkEnd w:id="112"/>
      <w:bookmarkEnd w:id="113"/>
    </w:p>
    <w:p w14:paraId="571ADD7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Смазочното масло се съхранява в стоманени резервоари, които са неразделна част от корпуса или са здраво прикрепени към корпуса. Ако се изисква от конструкцията на плавателния съд, може да се използва равностоен по отношение на огнеустойчивостта материал. Тези изисквания не важат за резервоари с вместимост не повече от 25 литра. Резервоарите за смазочно масло нямат общи повърхности с резервоарите за питейна вода.</w:t>
      </w:r>
    </w:p>
    <w:p w14:paraId="3CAF720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Резервоарите за смазочни масла, техните тръбопроводи и други принадлежности се оформят и разполагат по такъв начин, че нито смазочно масло, нито изпаренията от него да могат случайно да попаднат във вътрешността на плавателния съд.</w:t>
      </w:r>
    </w:p>
    <w:p w14:paraId="31B749AB" w14:textId="64A8BA18"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Резервоарите за смазочно масло не могат да се намират пред първата носова непроницаема преграда</w:t>
      </w:r>
      <w:r w:rsidR="00E16584" w:rsidRPr="00F06DE2">
        <w:rPr>
          <w:rFonts w:ascii="Times New Roman" w:hAnsi="Times New Roman" w:cs="Times New Roman"/>
          <w:lang w:val="ru-RU"/>
        </w:rPr>
        <w:t xml:space="preserve"> /таранната/</w:t>
      </w:r>
      <w:r w:rsidRPr="00F06DE2">
        <w:rPr>
          <w:rFonts w:ascii="Times New Roman" w:hAnsi="Times New Roman" w:cs="Times New Roman"/>
          <w:lang w:val="ru-RU"/>
        </w:rPr>
        <w:t>.</w:t>
      </w:r>
    </w:p>
    <w:p w14:paraId="5F92030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Резервоарите за смазочно масло и техните принадлежности не могат да се разполагат точно над двигателите или изпускателните тръби.</w:t>
      </w:r>
    </w:p>
    <w:p w14:paraId="7F8A2E0D" w14:textId="77777777" w:rsidR="002C67F4" w:rsidRPr="00F06DE2" w:rsidRDefault="002C67F4">
      <w:pPr>
        <w:pStyle w:val="ESch"/>
        <w:jc w:val="both"/>
        <w:rPr>
          <w:rFonts w:ascii="Times New Roman" w:hAnsi="Times New Roman" w:cs="Times New Roman"/>
          <w:lang w:val="ru-RU"/>
        </w:rPr>
      </w:pPr>
      <w:r w:rsidRPr="00F06DE2">
        <w:rPr>
          <w:rFonts w:ascii="Times New Roman" w:hAnsi="Times New Roman" w:cs="Times New Roman"/>
          <w:lang w:val="ru-RU"/>
        </w:rPr>
        <w:t xml:space="preserve">5. </w:t>
      </w:r>
      <w:r w:rsidRPr="00F06DE2">
        <w:rPr>
          <w:rFonts w:ascii="Times New Roman" w:hAnsi="Times New Roman" w:cs="Times New Roman"/>
          <w:lang w:val="ru-RU"/>
        </w:rPr>
        <w:tab/>
        <w:t xml:space="preserve">Гърловината за пълнене трябва да бъде снабдена със съединителен елемент в съответствие с европейския стандарт </w:t>
      </w:r>
      <w:r w:rsidRPr="00F06DE2">
        <w:rPr>
          <w:rFonts w:ascii="Times New Roman" w:hAnsi="Times New Roman" w:cs="Times New Roman"/>
        </w:rPr>
        <w:t>EN</w:t>
      </w:r>
      <w:r w:rsidRPr="00F06DE2">
        <w:rPr>
          <w:rFonts w:ascii="Times New Roman" w:hAnsi="Times New Roman" w:cs="Times New Roman"/>
          <w:lang w:val="ru-RU"/>
        </w:rPr>
        <w:t xml:space="preserve"> 14420-7: 2022. Мъжката страна на съединителния елемент трябва да бъде поставена върху съда и да има диаметър </w:t>
      </w:r>
      <w:r w:rsidRPr="00F06DE2">
        <w:rPr>
          <w:rFonts w:ascii="Times New Roman" w:hAnsi="Times New Roman" w:cs="Times New Roman"/>
        </w:rPr>
        <w:t>DN</w:t>
      </w:r>
      <w:r w:rsidRPr="00F06DE2">
        <w:rPr>
          <w:rFonts w:ascii="Times New Roman" w:hAnsi="Times New Roman" w:cs="Times New Roman"/>
          <w:lang w:val="ru-RU"/>
        </w:rPr>
        <w:t xml:space="preserve"> 40. За затваряне трябва да има глух съединител в съответствие със стандарта.</w:t>
      </w:r>
    </w:p>
    <w:p w14:paraId="7315B01E" w14:textId="7E831236" w:rsidR="00271FA2" w:rsidRPr="00F06DE2" w:rsidRDefault="002C67F4">
      <w:pPr>
        <w:pStyle w:val="ESch"/>
        <w:jc w:val="both"/>
        <w:rPr>
          <w:rFonts w:ascii="Times New Roman" w:hAnsi="Times New Roman" w:cs="Times New Roman"/>
          <w:lang w:val="ru-RU"/>
        </w:rPr>
      </w:pPr>
      <w:r w:rsidRPr="00F06DE2">
        <w:rPr>
          <w:rFonts w:ascii="Times New Roman" w:hAnsi="Times New Roman" w:cs="Times New Roman"/>
          <w:lang w:val="ru-RU"/>
        </w:rPr>
        <w:t>6</w:t>
      </w:r>
      <w:r w:rsidR="00D35E51" w:rsidRPr="00F06DE2">
        <w:rPr>
          <w:rFonts w:ascii="Times New Roman" w:hAnsi="Times New Roman" w:cs="Times New Roman"/>
          <w:lang w:val="ru-RU"/>
        </w:rPr>
        <w:t>.</w:t>
      </w:r>
      <w:r w:rsidR="00D35E51" w:rsidRPr="00F06DE2">
        <w:rPr>
          <w:rFonts w:ascii="Times New Roman" w:hAnsi="Times New Roman" w:cs="Times New Roman"/>
          <w:lang w:val="ru-RU"/>
        </w:rPr>
        <w:tab/>
      </w:r>
      <w:r w:rsidRPr="00F06DE2">
        <w:rPr>
          <w:rFonts w:ascii="Times New Roman" w:hAnsi="Times New Roman" w:cs="Times New Roman"/>
          <w:lang w:val="ru-RU"/>
        </w:rPr>
        <w:t xml:space="preserve">Отворите за пълнене на резервоарите за смазочно масло трябва да бъдат отчетливо маркирани, а гърловините за пълнене трябва да бъдат етикетирани с подходящ цвят. Това изискване се счита за изпълнено, ако са изпълнени изискванията на международния стандарт </w:t>
      </w:r>
      <w:r w:rsidRPr="00F06DE2">
        <w:rPr>
          <w:rFonts w:ascii="Times New Roman" w:hAnsi="Times New Roman" w:cs="Times New Roman"/>
        </w:rPr>
        <w:t>ISO</w:t>
      </w:r>
      <w:r w:rsidRPr="00F06DE2">
        <w:rPr>
          <w:rFonts w:ascii="Times New Roman" w:hAnsi="Times New Roman" w:cs="Times New Roman"/>
          <w:lang w:val="ru-RU"/>
        </w:rPr>
        <w:t xml:space="preserve"> 14726: 2008</w:t>
      </w:r>
    </w:p>
    <w:p w14:paraId="2212516E" w14:textId="055EA27F" w:rsidR="00271FA2" w:rsidRPr="00F06DE2" w:rsidRDefault="002C67F4">
      <w:pPr>
        <w:pStyle w:val="ESch"/>
        <w:jc w:val="both"/>
        <w:rPr>
          <w:rFonts w:ascii="Times New Roman" w:hAnsi="Times New Roman" w:cs="Times New Roman"/>
          <w:lang w:val="ru-RU"/>
        </w:rPr>
      </w:pPr>
      <w:r w:rsidRPr="00F06DE2">
        <w:rPr>
          <w:rFonts w:ascii="Times New Roman" w:hAnsi="Times New Roman" w:cs="Times New Roman"/>
          <w:lang w:val="ru-RU"/>
        </w:rPr>
        <w:t>7</w:t>
      </w:r>
      <w:r w:rsidR="00D35E51" w:rsidRPr="00F06DE2">
        <w:rPr>
          <w:rFonts w:ascii="Times New Roman" w:hAnsi="Times New Roman" w:cs="Times New Roman"/>
          <w:lang w:val="ru-RU"/>
        </w:rPr>
        <w:t>.</w:t>
      </w:r>
      <w:r w:rsidR="00D35E51" w:rsidRPr="00F06DE2">
        <w:rPr>
          <w:rFonts w:ascii="Times New Roman" w:hAnsi="Times New Roman" w:cs="Times New Roman"/>
          <w:lang w:val="ru-RU"/>
        </w:rPr>
        <w:tab/>
        <w:t>Тръбите за смазочно масло, техните съединения, уплътнения и фитинги се правят от материали, годни да издържат на механичните, химичните и топлинните натоварвания, на които е вероятно да бъдат подложени. Тръбите не трябва да се излагат на неблагоприятното влияние на топлина и трябва да бъде възможно да бъдат проверявани по цялата им дължина.</w:t>
      </w:r>
    </w:p>
    <w:p w14:paraId="33CABD68" w14:textId="35374687" w:rsidR="00271FA2" w:rsidRPr="00F06DE2" w:rsidRDefault="002C67F4">
      <w:pPr>
        <w:pStyle w:val="ESch"/>
        <w:jc w:val="both"/>
        <w:rPr>
          <w:rFonts w:ascii="Times New Roman" w:hAnsi="Times New Roman" w:cs="Times New Roman"/>
          <w:lang w:val="ru-RU"/>
        </w:rPr>
      </w:pPr>
      <w:r w:rsidRPr="00F06DE2">
        <w:rPr>
          <w:rFonts w:ascii="Times New Roman" w:hAnsi="Times New Roman" w:cs="Times New Roman"/>
          <w:lang w:val="ru-RU"/>
        </w:rPr>
        <w:t>8</w:t>
      </w:r>
      <w:r w:rsidR="00D35E51" w:rsidRPr="00F06DE2">
        <w:rPr>
          <w:rFonts w:ascii="Times New Roman" w:hAnsi="Times New Roman" w:cs="Times New Roman"/>
          <w:lang w:val="ru-RU"/>
        </w:rPr>
        <w:t>.</w:t>
      </w:r>
      <w:r w:rsidR="00D35E51" w:rsidRPr="00F06DE2">
        <w:rPr>
          <w:rFonts w:ascii="Times New Roman" w:hAnsi="Times New Roman" w:cs="Times New Roman"/>
          <w:lang w:val="ru-RU"/>
        </w:rPr>
        <w:tab/>
        <w:t xml:space="preserve">Резервоарите за смазочно масло трябва да са оборудвани с подходящо устройство за измерване на вместимостта. Устройствата за измерване на вместимостта трябва да могат да се отчитат до равнището на максимално напълване. </w:t>
      </w:r>
      <w:r w:rsidR="006D694C" w:rsidRPr="00F06DE2">
        <w:rPr>
          <w:rFonts w:ascii="Times New Roman" w:hAnsi="Times New Roman" w:cs="Times New Roman"/>
          <w:lang w:val="ru-RU"/>
        </w:rPr>
        <w:t xml:space="preserve">Нивомерните </w:t>
      </w:r>
      <w:r w:rsidR="00D35E51" w:rsidRPr="00F06DE2">
        <w:rPr>
          <w:rFonts w:ascii="Times New Roman" w:hAnsi="Times New Roman" w:cs="Times New Roman"/>
          <w:lang w:val="ru-RU"/>
        </w:rPr>
        <w:t xml:space="preserve">стъкла трябва да са ефикасно защитени срещу повреда от удар, снабдени с автоматично затварящо устройство в основата си, а горните им краища да са свързани с резервоарите над равнището им на максимално напълване. Материалът, използван за </w:t>
      </w:r>
      <w:r w:rsidR="006D694C" w:rsidRPr="00F06DE2">
        <w:rPr>
          <w:rFonts w:ascii="Times New Roman" w:hAnsi="Times New Roman" w:cs="Times New Roman"/>
          <w:lang w:val="ru-RU"/>
        </w:rPr>
        <w:t xml:space="preserve">нивомерните </w:t>
      </w:r>
      <w:r w:rsidR="00D35E51" w:rsidRPr="00F06DE2">
        <w:rPr>
          <w:rFonts w:ascii="Times New Roman" w:hAnsi="Times New Roman" w:cs="Times New Roman"/>
          <w:lang w:val="ru-RU"/>
        </w:rPr>
        <w:t xml:space="preserve">стъкла, не трябва да се деформира при нормални </w:t>
      </w:r>
      <w:r w:rsidR="00D35E51" w:rsidRPr="00F06DE2">
        <w:rPr>
          <w:rFonts w:ascii="Times New Roman" w:hAnsi="Times New Roman" w:cs="Times New Roman"/>
          <w:lang w:val="ru-RU"/>
        </w:rPr>
        <w:lastRenderedPageBreak/>
        <w:t xml:space="preserve">температури на средата. Измервателните тръби не трябва да завършват в жилищните пространства. Измервателните тръби, които завършват в машинно или котелно отделение, трябва да са оборудвани с подходящи </w:t>
      </w:r>
      <w:r w:rsidR="006D694C" w:rsidRPr="00F06DE2">
        <w:rPr>
          <w:rFonts w:ascii="Times New Roman" w:hAnsi="Times New Roman" w:cs="Times New Roman"/>
          <w:lang w:val="ru-RU"/>
        </w:rPr>
        <w:t>само</w:t>
      </w:r>
      <w:r w:rsidR="00D35E51" w:rsidRPr="00F06DE2">
        <w:rPr>
          <w:rFonts w:ascii="Times New Roman" w:hAnsi="Times New Roman" w:cs="Times New Roman"/>
          <w:lang w:val="ru-RU"/>
        </w:rPr>
        <w:t>затварящи</w:t>
      </w:r>
      <w:r w:rsidR="006D694C" w:rsidRPr="00F06DE2">
        <w:rPr>
          <w:rFonts w:ascii="Times New Roman" w:hAnsi="Times New Roman" w:cs="Times New Roman"/>
          <w:lang w:val="ru-RU"/>
        </w:rPr>
        <w:t xml:space="preserve"> се</w:t>
      </w:r>
      <w:r w:rsidR="00D35E51" w:rsidRPr="00F06DE2">
        <w:rPr>
          <w:rFonts w:ascii="Times New Roman" w:hAnsi="Times New Roman" w:cs="Times New Roman"/>
          <w:lang w:val="ru-RU"/>
        </w:rPr>
        <w:t xml:space="preserve"> устройства.</w:t>
      </w:r>
    </w:p>
    <w:p w14:paraId="0316A312" w14:textId="77777777" w:rsidR="00FF2483" w:rsidRPr="00F06DE2" w:rsidRDefault="00FF2483">
      <w:pPr>
        <w:pStyle w:val="ES-Titre3"/>
        <w:spacing w:line="240" w:lineRule="atLeast"/>
        <w:rPr>
          <w:rFonts w:ascii="Times New Roman" w:hAnsi="Times New Roman" w:cs="Times New Roman"/>
          <w:sz w:val="24"/>
          <w:szCs w:val="24"/>
          <w:lang w:val="ru-RU"/>
        </w:rPr>
      </w:pPr>
      <w:bookmarkStart w:id="114" w:name="_Toc535827503"/>
      <w:bookmarkStart w:id="115" w:name="_Toc491854062"/>
    </w:p>
    <w:p w14:paraId="03D10D76" w14:textId="3526673A" w:rsidR="00271FA2" w:rsidRPr="00F06DE2" w:rsidRDefault="00D35E51" w:rsidP="00FF2483">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8.07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Съхранение на масла, използвани в силови трансмисии, системи за управление и задействане и системи за отопление, тръбопроводи и принадлежности</w:t>
      </w:r>
      <w:bookmarkEnd w:id="114"/>
      <w:bookmarkEnd w:id="115"/>
    </w:p>
    <w:p w14:paraId="05FE10B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Масла, използвани в силови трансмисии, системи за управление и задействане и системи за отопление, се съхраняват в стоманени резервоари, които са неразделна част от корпуса или са здраво прикрепени към корпуса. Ако се изисква от конструкцията на плавателния съд, може да се използва равностоен по отношение на огнеустойчивостта материал. Тези изисквания не важат за резервоари с вместимост не повече от 25 литра. Резервоарите за масло, посочени в първото изречение, не трябва да имат общи повърхности с резервоарите за питейна вода.</w:t>
      </w:r>
    </w:p>
    <w:p w14:paraId="7ED3A30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Резервоарите за масло съобразно точка 1 и техните тръбопроводи и други принадлежности трябва да са оформени и разположени по такъв начин, че нито такова масло, нито изпарения от него да могат случайно да попаднат във вътрешността на плавателния съд.</w:t>
      </w:r>
    </w:p>
    <w:p w14:paraId="1821407F" w14:textId="20407CF1"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Резервоарите за масло, посочени в точка 1, не могат да се намират пред първата носова </w:t>
      </w:r>
      <w:r w:rsidR="00B41DD1" w:rsidRPr="00F06DE2">
        <w:rPr>
          <w:rFonts w:ascii="Times New Roman" w:hAnsi="Times New Roman" w:cs="Times New Roman"/>
          <w:lang w:val="ru-RU"/>
        </w:rPr>
        <w:t>водо</w:t>
      </w:r>
      <w:r w:rsidRPr="00F06DE2">
        <w:rPr>
          <w:rFonts w:ascii="Times New Roman" w:hAnsi="Times New Roman" w:cs="Times New Roman"/>
          <w:lang w:val="ru-RU"/>
        </w:rPr>
        <w:t>непроницаема преграда</w:t>
      </w:r>
      <w:r w:rsidR="00373591" w:rsidRPr="00F06DE2">
        <w:rPr>
          <w:rFonts w:ascii="Times New Roman" w:hAnsi="Times New Roman" w:cs="Times New Roman"/>
          <w:lang w:val="ru-RU"/>
        </w:rPr>
        <w:t xml:space="preserve"> /таранната/</w:t>
      </w:r>
      <w:r w:rsidRPr="00F06DE2">
        <w:rPr>
          <w:rFonts w:ascii="Times New Roman" w:hAnsi="Times New Roman" w:cs="Times New Roman"/>
          <w:lang w:val="ru-RU"/>
        </w:rPr>
        <w:t>.</w:t>
      </w:r>
    </w:p>
    <w:p w14:paraId="4EB4079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Резервоарите за масло, посочени в точка 1, и техните принадлежности не могат да се разполагат точно над двигателите или изпускателните тръби.</w:t>
      </w:r>
    </w:p>
    <w:p w14:paraId="6B947303" w14:textId="2F225694" w:rsidR="00271FA2" w:rsidRPr="00F06DE2" w:rsidRDefault="00D35E51">
      <w:pPr>
        <w:pStyle w:val="ESch"/>
        <w:jc w:val="both"/>
        <w:rPr>
          <w:rFonts w:ascii="Times New Roman" w:hAnsi="Times New Roman" w:cs="Times New Roman"/>
          <w:strike/>
          <w:lang w:val="ru-RU"/>
        </w:rPr>
      </w:pPr>
      <w:r w:rsidRPr="00F06DE2">
        <w:rPr>
          <w:rFonts w:ascii="Times New Roman" w:hAnsi="Times New Roman" w:cs="Times New Roman"/>
          <w:lang w:val="ru-RU"/>
        </w:rPr>
        <w:t>5.</w:t>
      </w:r>
      <w:r w:rsidRPr="00F06DE2">
        <w:rPr>
          <w:rFonts w:ascii="Times New Roman" w:hAnsi="Times New Roman" w:cs="Times New Roman"/>
          <w:lang w:val="ru-RU"/>
        </w:rPr>
        <w:tab/>
      </w:r>
      <w:r w:rsidR="00A33D35" w:rsidRPr="00F06DE2">
        <w:rPr>
          <w:rFonts w:ascii="Times New Roman" w:hAnsi="Times New Roman" w:cs="Times New Roman"/>
          <w:lang w:val="ru-RU"/>
        </w:rPr>
        <w:t xml:space="preserve">Отворите за пълнене на </w:t>
      </w:r>
      <w:r w:rsidR="00697CE5" w:rsidRPr="00F06DE2">
        <w:rPr>
          <w:rFonts w:ascii="Times New Roman" w:hAnsi="Times New Roman" w:cs="Times New Roman"/>
          <w:lang w:val="ru-RU"/>
        </w:rPr>
        <w:t xml:space="preserve"> цистерни</w:t>
      </w:r>
      <w:r w:rsidR="00A33D35" w:rsidRPr="00F06DE2">
        <w:rPr>
          <w:rFonts w:ascii="Times New Roman" w:hAnsi="Times New Roman" w:cs="Times New Roman"/>
          <w:lang w:val="ru-RU"/>
        </w:rPr>
        <w:t xml:space="preserve"> за масло съгласно (1) трябва да бъдат отчетливо маркирани, а гърловините за пълнене трябва да бъдат подходящо </w:t>
      </w:r>
      <w:r w:rsidR="00522A66" w:rsidRPr="00F06DE2">
        <w:rPr>
          <w:rFonts w:ascii="Times New Roman" w:hAnsi="Times New Roman" w:cs="Times New Roman"/>
          <w:lang w:val="ru-RU"/>
        </w:rPr>
        <w:t xml:space="preserve"> маркирани</w:t>
      </w:r>
      <w:r w:rsidR="00A33D35" w:rsidRPr="00F06DE2">
        <w:rPr>
          <w:rFonts w:ascii="Times New Roman" w:hAnsi="Times New Roman" w:cs="Times New Roman"/>
          <w:lang w:val="ru-RU"/>
        </w:rPr>
        <w:t xml:space="preserve"> в цвят. Това изискване се счита за изпълнено, ако са спазени изискванията на международния стандарт </w:t>
      </w:r>
      <w:r w:rsidR="00A33D35" w:rsidRPr="00F06DE2">
        <w:rPr>
          <w:rFonts w:ascii="Times New Roman" w:hAnsi="Times New Roman" w:cs="Times New Roman"/>
        </w:rPr>
        <w:t>ISO</w:t>
      </w:r>
      <w:r w:rsidR="00A33D35" w:rsidRPr="00F06DE2">
        <w:rPr>
          <w:rFonts w:ascii="Times New Roman" w:hAnsi="Times New Roman" w:cs="Times New Roman"/>
          <w:lang w:val="ru-RU"/>
        </w:rPr>
        <w:t xml:space="preserve"> 14726: 2008.</w:t>
      </w:r>
    </w:p>
    <w:p w14:paraId="390D32A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Тръбите за масло по точка 1, техните съединения, уплътнения и фитинги се правят от материали, годни да издържат на механичните, химичните и топлинните натоварвания, на които е вероятно да бъдат подложени. Тръбите не трябва да се излагат на неблагоприятното влияние на топлина и трябва да бъде възможно да бъдат проверявани по цялата им дължина.</w:t>
      </w:r>
    </w:p>
    <w:p w14:paraId="4A5CEE2F" w14:textId="325DCDAD"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 xml:space="preserve">Резервоарите за масло, посочени в точка 1, трябва да са оборудвани с подходящо устройство за измерване на вместимостта. Устройствата за измерване на вместимостта трябва да могат да се отчитат до равнището на максимално напълване. </w:t>
      </w:r>
      <w:r w:rsidR="00D70B8E" w:rsidRPr="00F06DE2">
        <w:rPr>
          <w:rFonts w:ascii="Times New Roman" w:hAnsi="Times New Roman" w:cs="Times New Roman"/>
          <w:lang w:val="ru-RU"/>
        </w:rPr>
        <w:t xml:space="preserve">нивомерните </w:t>
      </w:r>
      <w:r w:rsidRPr="00F06DE2">
        <w:rPr>
          <w:rFonts w:ascii="Times New Roman" w:hAnsi="Times New Roman" w:cs="Times New Roman"/>
          <w:lang w:val="ru-RU"/>
        </w:rPr>
        <w:t xml:space="preserve">стъкла трябва да са ефикасно защитени срещу повреда от удар, снабдени с автоматично затварящо устройство в основата си, а горните им краища да са свързани с резервоарите над равнището им на максимално напълване. Материалът, използван за </w:t>
      </w:r>
      <w:r w:rsidR="00D70B8E" w:rsidRPr="00F06DE2">
        <w:rPr>
          <w:rFonts w:ascii="Times New Roman" w:hAnsi="Times New Roman" w:cs="Times New Roman"/>
          <w:lang w:val="ru-RU"/>
        </w:rPr>
        <w:t xml:space="preserve"> нивомерните </w:t>
      </w:r>
      <w:r w:rsidRPr="00F06DE2">
        <w:rPr>
          <w:rFonts w:ascii="Times New Roman" w:hAnsi="Times New Roman" w:cs="Times New Roman"/>
          <w:lang w:val="ru-RU"/>
        </w:rPr>
        <w:t xml:space="preserve">стъкла, не трябва да се деформира при нормални температури на средата. Измервателните тръби не трябва да завършват в жилищните пространства. Измервателните тръби, които завършват в машинно или котелно отделение, трябва да са оборудвани с подходящи </w:t>
      </w:r>
      <w:r w:rsidR="00D70B8E" w:rsidRPr="00F06DE2">
        <w:rPr>
          <w:rFonts w:ascii="Times New Roman" w:hAnsi="Times New Roman" w:cs="Times New Roman"/>
          <w:lang w:val="ru-RU"/>
        </w:rPr>
        <w:t>само</w:t>
      </w:r>
      <w:r w:rsidRPr="00F06DE2">
        <w:rPr>
          <w:rFonts w:ascii="Times New Roman" w:hAnsi="Times New Roman" w:cs="Times New Roman"/>
          <w:lang w:val="ru-RU"/>
        </w:rPr>
        <w:t>затварящи</w:t>
      </w:r>
      <w:r w:rsidR="00D70B8E" w:rsidRPr="00F06DE2">
        <w:rPr>
          <w:rFonts w:ascii="Times New Roman" w:hAnsi="Times New Roman" w:cs="Times New Roman"/>
          <w:lang w:val="ru-RU"/>
        </w:rPr>
        <w:t xml:space="preserve"> се</w:t>
      </w:r>
      <w:r w:rsidRPr="00F06DE2">
        <w:rPr>
          <w:rFonts w:ascii="Times New Roman" w:hAnsi="Times New Roman" w:cs="Times New Roman"/>
          <w:lang w:val="ru-RU"/>
        </w:rPr>
        <w:t xml:space="preserve"> устройства.</w:t>
      </w:r>
    </w:p>
    <w:p w14:paraId="470A6F26" w14:textId="77777777" w:rsidR="00FF2483" w:rsidRPr="00F06DE2" w:rsidRDefault="00FF2483">
      <w:pPr>
        <w:pStyle w:val="ES-Titre3"/>
        <w:spacing w:line="240" w:lineRule="atLeast"/>
        <w:rPr>
          <w:rFonts w:ascii="Times New Roman" w:hAnsi="Times New Roman" w:cs="Times New Roman"/>
          <w:sz w:val="24"/>
          <w:szCs w:val="24"/>
          <w:lang w:val="ru-RU"/>
        </w:rPr>
      </w:pPr>
      <w:bookmarkStart w:id="116" w:name="_Toc535827504"/>
      <w:bookmarkStart w:id="117" w:name="_Toc491854063"/>
    </w:p>
    <w:p w14:paraId="6A2A5FC8" w14:textId="3210BC09"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8.08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Системи за изпомпване и осушаване на трюма</w:t>
      </w:r>
      <w:bookmarkEnd w:id="116"/>
      <w:bookmarkEnd w:id="117"/>
    </w:p>
    <w:p w14:paraId="76A96C4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Трябва да бъде възможно изпомпването на всеки водонепроницаем отсек поотделно. Това изискване обаче не се отнася за водонепроницаемите отсеци, които обикновено са запечатани херметично при експлоатация.</w:t>
      </w:r>
    </w:p>
    <w:p w14:paraId="5CAB937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Плавателни съдове, които изискват екипаж, трябва да са оборудвани с две отделни осушителни помпи, които не са монтирани на едно и също място. Поне една от тях трябва да се задвижва с мотор. Все пак, при плавателни съдове с мощност до 225 </w:t>
      </w:r>
      <w:r w:rsidRPr="00F06DE2">
        <w:rPr>
          <w:rFonts w:ascii="Times New Roman" w:hAnsi="Times New Roman" w:cs="Times New Roman"/>
        </w:rPr>
        <w:t>kW</w:t>
      </w:r>
      <w:r w:rsidRPr="00F06DE2">
        <w:rPr>
          <w:rFonts w:ascii="Times New Roman" w:hAnsi="Times New Roman" w:cs="Times New Roman"/>
          <w:lang w:val="ru-RU"/>
        </w:rPr>
        <w:t xml:space="preserve"> или пълна товароподемност под 350 </w:t>
      </w:r>
      <w:r w:rsidRPr="00F06DE2">
        <w:rPr>
          <w:rFonts w:ascii="Times New Roman" w:hAnsi="Times New Roman" w:cs="Times New Roman"/>
        </w:rPr>
        <w:t>t</w:t>
      </w:r>
      <w:r w:rsidRPr="00F06DE2">
        <w:rPr>
          <w:rFonts w:ascii="Times New Roman" w:hAnsi="Times New Roman" w:cs="Times New Roman"/>
          <w:lang w:val="ru-RU"/>
        </w:rPr>
        <w:t xml:space="preserve"> или когато плавателни съдове, които не са предназначени за превоз на стоки, имат водоизместване по-малко от 250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една помпа е достатъчна, независимо дали е с ръчно задвижване или с двигател.</w:t>
      </w:r>
    </w:p>
    <w:p w14:paraId="3D462F80" w14:textId="53A8387E"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lastRenderedPageBreak/>
        <w:t>Всяка от помпите трябва да може да се използва</w:t>
      </w:r>
      <w:r w:rsidR="00DD450E" w:rsidRPr="00F06DE2">
        <w:rPr>
          <w:rFonts w:ascii="Times New Roman" w:hAnsi="Times New Roman" w:cs="Times New Roman"/>
          <w:lang w:val="ru-RU"/>
        </w:rPr>
        <w:t xml:space="preserve"> за</w:t>
      </w:r>
      <w:r w:rsidRPr="00F06DE2">
        <w:rPr>
          <w:rFonts w:ascii="Times New Roman" w:hAnsi="Times New Roman" w:cs="Times New Roman"/>
          <w:lang w:val="ru-RU"/>
        </w:rPr>
        <w:t xml:space="preserve"> всеки водонепроницаем отсек.</w:t>
      </w:r>
    </w:p>
    <w:p w14:paraId="48991C7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Минималният капацитет на изпомпване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lang w:val="ru-RU"/>
              </w:rPr>
              <m:t>1</m:t>
            </m:r>
          </m:sub>
        </m:sSub>
      </m:oMath>
      <w:r w:rsidRPr="00F06DE2">
        <w:rPr>
          <w:rFonts w:ascii="Times New Roman" w:hAnsi="Times New Roman" w:cs="Times New Roman"/>
          <w:lang w:val="ru-RU"/>
        </w:rPr>
        <w:t xml:space="preserve"> на първата осушителна помпа се пресмята по следната формула:</w:t>
      </w:r>
    </w:p>
    <w:p w14:paraId="34E5C857" w14:textId="77777777" w:rsidR="00271FA2" w:rsidRPr="00F06DE2" w:rsidRDefault="002C62EC">
      <w:pPr>
        <w:pStyle w:val="ESch"/>
        <w:ind w:left="0" w:firstLine="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1</m:t>
              </m:r>
            </m:sub>
          </m:sSub>
          <m:r>
            <w:rPr>
              <w:rFonts w:ascii="Cambria Math" w:hAnsi="Cambria Math" w:cs="Times New Roman"/>
            </w:rPr>
            <m:t xml:space="preserve">=0,1 ∙ </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1</m:t>
                  </m:r>
                </m:sub>
              </m:sSub>
            </m:e>
            <m:sup>
              <m:r>
                <w:rPr>
                  <w:rFonts w:ascii="Cambria Math" w:hAnsi="Cambria Math" w:cs="Times New Roman"/>
                </w:rPr>
                <m:t>2</m:t>
              </m:r>
            </m:sup>
          </m:sSup>
          <m:r>
            <w:rPr>
              <w:rFonts w:ascii="Cambria Math" w:hAnsi="Cambria Math" w:cs="Times New Roman"/>
            </w:rPr>
            <m:t xml:space="preserve"> [l/min]</m:t>
          </m:r>
        </m:oMath>
      </m:oMathPara>
    </w:p>
    <w:p w14:paraId="6E43738A" w14:textId="77777777" w:rsidR="00271FA2" w:rsidRPr="00F06DE2" w:rsidRDefault="002C62EC">
      <w:pPr>
        <w:pStyle w:val="ESchpar"/>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1</m:t>
            </m:r>
          </m:sub>
        </m:sSub>
      </m:oMath>
      <w:r w:rsidR="00D35E51" w:rsidRPr="00F06DE2">
        <w:rPr>
          <w:rFonts w:ascii="Times New Roman" w:hAnsi="Times New Roman" w:cs="Times New Roman"/>
          <w:lang w:val="ru-RU"/>
        </w:rPr>
        <w:t xml:space="preserve"> се пресмята по формулата:</w:t>
      </w:r>
    </w:p>
    <w:p w14:paraId="2CB46F58" w14:textId="77777777" w:rsidR="00271FA2" w:rsidRPr="00F06DE2" w:rsidRDefault="002C62EC">
      <w:pPr>
        <w:pStyle w:val="ESch"/>
        <w:ind w:left="0" w:firstLine="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1</m:t>
              </m:r>
            </m:sub>
          </m:sSub>
          <m:r>
            <w:rPr>
              <w:rFonts w:ascii="Cambria Math" w:hAnsi="Cambria Math" w:cs="Times New Roman"/>
            </w:rPr>
            <m:t xml:space="preserve">=1,5 ∙ </m:t>
          </m:r>
          <m:rad>
            <m:radPr>
              <m:degHide m:val="1"/>
              <m:ctrlPr>
                <w:rPr>
                  <w:rFonts w:ascii="Cambria Math" w:hAnsi="Cambria Math" w:cs="Times New Roman"/>
                  <w:i/>
                </w:rPr>
              </m:ctrlPr>
            </m:radPr>
            <m:deg/>
            <m:e>
              <m:r>
                <w:rPr>
                  <w:rFonts w:ascii="Cambria Math" w:hAnsi="Cambria Math" w:cs="Times New Roman"/>
                </w:rPr>
                <m:t xml:space="preserve">L </m:t>
              </m:r>
              <m:d>
                <m:dPr>
                  <m:ctrlPr>
                    <w:rPr>
                      <w:rFonts w:ascii="Cambria Math" w:hAnsi="Cambria Math" w:cs="Times New Roman"/>
                      <w:i/>
                    </w:rPr>
                  </m:ctrlPr>
                </m:dPr>
                <m:e>
                  <m:r>
                    <w:rPr>
                      <w:rFonts w:ascii="Cambria Math" w:hAnsi="Cambria Math" w:cs="Times New Roman"/>
                    </w:rPr>
                    <m:t>B+H</m:t>
                  </m:r>
                </m:e>
              </m:d>
            </m:e>
          </m:rad>
          <m:r>
            <w:rPr>
              <w:rFonts w:ascii="Cambria Math" w:hAnsi="Cambria Math" w:cs="Times New Roman"/>
            </w:rPr>
            <m:t>+25  [mm]</m:t>
          </m:r>
        </m:oMath>
      </m:oMathPara>
    </w:p>
    <w:p w14:paraId="21204056"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Минималният капацитет на изпомпване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lang w:val="ru-RU"/>
              </w:rPr>
              <m:t>2</m:t>
            </m:r>
          </m:sub>
        </m:sSub>
      </m:oMath>
      <w:r w:rsidRPr="00F06DE2">
        <w:rPr>
          <w:rFonts w:ascii="Times New Roman" w:hAnsi="Times New Roman" w:cs="Times New Roman"/>
          <w:lang w:val="ru-RU"/>
        </w:rPr>
        <w:t xml:space="preserve"> на втората осушителна помпа се пресмята по следната формула:</w:t>
      </w:r>
    </w:p>
    <w:p w14:paraId="6D50F403" w14:textId="77777777" w:rsidR="00271FA2" w:rsidRPr="00F06DE2" w:rsidRDefault="002C62EC">
      <w:pPr>
        <w:pStyle w:val="ESchpa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r>
            <w:rPr>
              <w:rFonts w:ascii="Cambria Math" w:hAnsi="Cambria Math" w:cs="Times New Roman"/>
            </w:rPr>
            <m:t xml:space="preserve">=0,1 ∙ </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2</m:t>
                  </m:r>
                </m:sub>
              </m:sSub>
            </m:e>
            <m:sup>
              <m:r>
                <w:rPr>
                  <w:rFonts w:ascii="Cambria Math" w:hAnsi="Cambria Math" w:cs="Times New Roman"/>
                </w:rPr>
                <m:t>2</m:t>
              </m:r>
            </m:sup>
          </m:sSup>
          <m:r>
            <w:rPr>
              <w:rFonts w:ascii="Cambria Math" w:hAnsi="Cambria Math" w:cs="Times New Roman"/>
            </w:rPr>
            <m:t xml:space="preserve"> [l/min]</m:t>
          </m:r>
        </m:oMath>
      </m:oMathPara>
    </w:p>
    <w:p w14:paraId="55AE0FF3" w14:textId="77777777" w:rsidR="00271FA2" w:rsidRPr="00F06DE2" w:rsidRDefault="002C62EC">
      <w:pPr>
        <w:pStyle w:val="ESchpar"/>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2</m:t>
            </m:r>
          </m:sub>
        </m:sSub>
      </m:oMath>
      <w:r w:rsidR="00D35E51" w:rsidRPr="00F06DE2">
        <w:rPr>
          <w:rFonts w:ascii="Times New Roman" w:hAnsi="Times New Roman" w:cs="Times New Roman"/>
          <w:lang w:val="ru-RU"/>
        </w:rPr>
        <w:t xml:space="preserve"> се пресмята по формулата:</w:t>
      </w:r>
    </w:p>
    <w:p w14:paraId="11A6B6AC" w14:textId="77777777" w:rsidR="00271FA2" w:rsidRPr="00F06DE2" w:rsidRDefault="002C62EC">
      <w:pPr>
        <w:pStyle w:val="ESch"/>
        <w:ind w:left="0" w:firstLine="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2</m:t>
              </m:r>
            </m:sub>
          </m:sSub>
          <m:r>
            <w:rPr>
              <w:rFonts w:ascii="Cambria Math" w:hAnsi="Cambria Math" w:cs="Times New Roman"/>
            </w:rPr>
            <m:t xml:space="preserve">=2 ∙ </m:t>
          </m:r>
          <m:rad>
            <m:radPr>
              <m:degHide m:val="1"/>
              <m:ctrlPr>
                <w:rPr>
                  <w:rFonts w:ascii="Cambria Math" w:hAnsi="Cambria Math" w:cs="Times New Roman"/>
                  <w:i/>
                </w:rPr>
              </m:ctrlPr>
            </m:radPr>
            <m:deg/>
            <m:e>
              <m:r>
                <w:rPr>
                  <w:rFonts w:ascii="Cambria Math" w:hAnsi="Cambria Math" w:cs="Times New Roman"/>
                </w:rPr>
                <m:t xml:space="preserve">l </m:t>
              </m:r>
              <m:d>
                <m:dPr>
                  <m:ctrlPr>
                    <w:rPr>
                      <w:rFonts w:ascii="Cambria Math" w:hAnsi="Cambria Math" w:cs="Times New Roman"/>
                      <w:i/>
                    </w:rPr>
                  </m:ctrlPr>
                </m:dPr>
                <m:e>
                  <m:r>
                    <w:rPr>
                      <w:rFonts w:ascii="Cambria Math" w:hAnsi="Cambria Math" w:cs="Times New Roman"/>
                    </w:rPr>
                    <m:t>B+H</m:t>
                  </m:r>
                </m:e>
              </m:d>
            </m:e>
          </m:rad>
          <m:r>
            <w:rPr>
              <w:rFonts w:ascii="Cambria Math" w:hAnsi="Cambria Math" w:cs="Times New Roman"/>
            </w:rPr>
            <m:t>+25  [mm]</m:t>
          </m:r>
        </m:oMath>
      </m:oMathPara>
    </w:p>
    <w:p w14:paraId="43BA8C59"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lang w:val="ru-RU"/>
        </w:rPr>
        <w:t xml:space="preserve">Все пак, стойността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2</m:t>
            </m:r>
          </m:sub>
        </m:sSub>
      </m:oMath>
      <w:r w:rsidRPr="00F06DE2">
        <w:rPr>
          <w:rFonts w:ascii="Times New Roman" w:hAnsi="Times New Roman" w:cs="Times New Roman"/>
          <w:lang w:val="ru-RU"/>
        </w:rPr>
        <w:t xml:space="preserve"> не трябва да надвишава стойността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1</m:t>
            </m:r>
          </m:sub>
        </m:sSub>
      </m:oMath>
      <w:r w:rsidRPr="00F06DE2">
        <w:rPr>
          <w:rFonts w:ascii="Times New Roman" w:hAnsi="Times New Roman" w:cs="Times New Roman"/>
          <w:lang w:val="ru-RU"/>
        </w:rPr>
        <w:t>.</w:t>
      </w:r>
    </w:p>
    <w:p w14:paraId="66A6FE15"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За пресмятането на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lang w:val="ru-RU"/>
              </w:rPr>
              <m:t>2</m:t>
            </m:r>
          </m:sub>
        </m:sSub>
      </m:oMath>
      <w:r w:rsidRPr="00F06DE2">
        <w:rPr>
          <w:rFonts w:ascii="Times New Roman" w:hAnsi="Times New Roman" w:cs="Times New Roman"/>
          <w:lang w:val="ru-RU"/>
        </w:rPr>
        <w:t xml:space="preserve"> </w:t>
      </w:r>
      <m:oMath>
        <m:r>
          <w:rPr>
            <w:rFonts w:ascii="Cambria Math" w:hAnsi="Cambria Math" w:cs="Times New Roman"/>
          </w:rPr>
          <m:t>l</m:t>
        </m:r>
      </m:oMath>
      <w:r w:rsidRPr="00F06DE2">
        <w:rPr>
          <w:rFonts w:ascii="Times New Roman" w:hAnsi="Times New Roman" w:cs="Times New Roman"/>
          <w:lang w:val="ru-RU"/>
        </w:rPr>
        <w:t xml:space="preserve"> представлява дължината на най-дългия водонепроницаем отсек.</w:t>
      </w:r>
    </w:p>
    <w:p w14:paraId="2F6E5DF9"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тези формули: </w:t>
      </w:r>
    </w:p>
    <w:p w14:paraId="3817D3FA" w14:textId="77777777" w:rsidR="00271FA2" w:rsidRPr="00F06DE2" w:rsidRDefault="00D35E51">
      <w:pPr>
        <w:pStyle w:val="ESlet"/>
        <w:spacing w:before="0"/>
        <w:jc w:val="both"/>
        <w:rPr>
          <w:rFonts w:ascii="Times New Roman" w:hAnsi="Times New Roman" w:cs="Times New Roman"/>
          <w:lang w:val="ru-RU"/>
        </w:rPr>
      </w:pPr>
      <m:oMath>
        <m:r>
          <w:rPr>
            <w:rFonts w:ascii="Cambria Math" w:hAnsi="Cambria Math" w:cs="Times New Roman"/>
          </w:rPr>
          <m:t>l</m:t>
        </m:r>
      </m:oMath>
      <w:r w:rsidRPr="00F06DE2">
        <w:rPr>
          <w:rFonts w:ascii="Times New Roman" w:hAnsi="Times New Roman" w:cs="Times New Roman"/>
          <w:lang w:val="ru-RU"/>
        </w:rPr>
        <w:tab/>
        <w:t>е дължината на въпросния водонепроницаем отсек в [</w:t>
      </w:r>
      <w:r w:rsidRPr="00F06DE2">
        <w:rPr>
          <w:rFonts w:ascii="Times New Roman" w:hAnsi="Times New Roman" w:cs="Times New Roman"/>
        </w:rPr>
        <w:t>m</w:t>
      </w:r>
      <w:r w:rsidRPr="00F06DE2">
        <w:rPr>
          <w:rFonts w:ascii="Times New Roman" w:hAnsi="Times New Roman" w:cs="Times New Roman"/>
          <w:lang w:val="ru-RU"/>
        </w:rPr>
        <w:t>];</w:t>
      </w:r>
    </w:p>
    <w:p w14:paraId="052BF258" w14:textId="77777777" w:rsidR="00271FA2" w:rsidRPr="00F06DE2" w:rsidRDefault="002C62EC">
      <w:pPr>
        <w:pStyle w:val="ESlet"/>
        <w:spacing w:before="0"/>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1</m:t>
            </m:r>
          </m:sub>
        </m:sSub>
      </m:oMath>
      <w:r w:rsidR="00D35E51" w:rsidRPr="00F06DE2">
        <w:rPr>
          <w:rFonts w:ascii="Times New Roman" w:hAnsi="Times New Roman" w:cs="Times New Roman"/>
          <w:lang w:val="ru-RU"/>
        </w:rPr>
        <w:tab/>
        <w:t>е изчисленият вътрешен диаметър на главната тръба в [</w:t>
      </w:r>
      <w:r w:rsidR="00D35E51" w:rsidRPr="00F06DE2">
        <w:rPr>
          <w:rFonts w:ascii="Times New Roman" w:hAnsi="Times New Roman" w:cs="Times New Roman"/>
        </w:rPr>
        <w:t>mm</w:t>
      </w:r>
      <w:r w:rsidR="00D35E51" w:rsidRPr="00F06DE2">
        <w:rPr>
          <w:rFonts w:ascii="Times New Roman" w:hAnsi="Times New Roman" w:cs="Times New Roman"/>
          <w:lang w:val="ru-RU"/>
        </w:rPr>
        <w:t>];</w:t>
      </w:r>
    </w:p>
    <w:p w14:paraId="01FCC941" w14:textId="77777777" w:rsidR="00271FA2" w:rsidRPr="00F06DE2" w:rsidRDefault="002C62EC">
      <w:pPr>
        <w:pStyle w:val="ESlet"/>
        <w:spacing w:before="0"/>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2</m:t>
            </m:r>
          </m:sub>
        </m:sSub>
      </m:oMath>
      <w:r w:rsidR="00D35E51" w:rsidRPr="00F06DE2">
        <w:rPr>
          <w:rFonts w:ascii="Times New Roman" w:hAnsi="Times New Roman" w:cs="Times New Roman"/>
          <w:lang w:val="ru-RU"/>
        </w:rPr>
        <w:tab/>
        <w:t>е изчисленият вътрешен диаметър на отводната тръба в [</w:t>
      </w:r>
      <w:r w:rsidR="00D35E51" w:rsidRPr="00F06DE2">
        <w:rPr>
          <w:rFonts w:ascii="Times New Roman" w:hAnsi="Times New Roman" w:cs="Times New Roman"/>
        </w:rPr>
        <w:t>mm</w:t>
      </w:r>
      <w:r w:rsidR="00D35E51" w:rsidRPr="00F06DE2">
        <w:rPr>
          <w:rFonts w:ascii="Times New Roman" w:hAnsi="Times New Roman" w:cs="Times New Roman"/>
          <w:lang w:val="ru-RU"/>
        </w:rPr>
        <w:t>].</w:t>
      </w:r>
    </w:p>
    <w:p w14:paraId="59C16754" w14:textId="55DBC88F"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Когато осушителните помпи са свързани със система за осушаване, осушителните тръби трябва да са с вътрешен диаметър най-малко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1</m:t>
            </m:r>
          </m:sub>
        </m:sSub>
      </m:oMath>
      <w:r w:rsidRPr="00F06DE2">
        <w:rPr>
          <w:rFonts w:ascii="Times New Roman" w:hAnsi="Times New Roman" w:cs="Times New Roman"/>
          <w:lang w:val="ru-RU"/>
        </w:rPr>
        <w:t xml:space="preserve">, в </w:t>
      </w:r>
      <w:r w:rsidRPr="00F06DE2">
        <w:rPr>
          <w:rFonts w:ascii="Times New Roman" w:hAnsi="Times New Roman" w:cs="Times New Roman"/>
        </w:rPr>
        <w:t>mm</w:t>
      </w:r>
      <w:r w:rsidRPr="00F06DE2">
        <w:rPr>
          <w:rFonts w:ascii="Times New Roman" w:hAnsi="Times New Roman" w:cs="Times New Roman"/>
          <w:lang w:val="ru-RU"/>
        </w:rPr>
        <w:t xml:space="preserve">, а </w:t>
      </w:r>
      <w:r w:rsidR="00B47F01" w:rsidRPr="00F06DE2">
        <w:rPr>
          <w:rFonts w:ascii="Times New Roman" w:hAnsi="Times New Roman" w:cs="Times New Roman"/>
          <w:lang w:val="ru-RU"/>
        </w:rPr>
        <w:t xml:space="preserve"> разклоненията им </w:t>
      </w:r>
      <w:r w:rsidRPr="00F06DE2">
        <w:rPr>
          <w:rFonts w:ascii="Times New Roman" w:hAnsi="Times New Roman" w:cs="Times New Roman"/>
          <w:lang w:val="ru-RU"/>
        </w:rPr>
        <w:t xml:space="preserve">с вътрешен диаметър най-малко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2</m:t>
            </m:r>
          </m:sub>
        </m:sSub>
      </m:oMath>
      <w:r w:rsidRPr="00F06DE2">
        <w:rPr>
          <w:rFonts w:ascii="Times New Roman" w:hAnsi="Times New Roman" w:cs="Times New Roman"/>
          <w:lang w:val="ru-RU"/>
        </w:rPr>
        <w:t xml:space="preserve">, в </w:t>
      </w:r>
      <w:r w:rsidRPr="00F06DE2">
        <w:rPr>
          <w:rFonts w:ascii="Times New Roman" w:hAnsi="Times New Roman" w:cs="Times New Roman"/>
        </w:rPr>
        <w:t>mm</w:t>
      </w:r>
      <w:r w:rsidRPr="00F06DE2">
        <w:rPr>
          <w:rFonts w:ascii="Times New Roman" w:hAnsi="Times New Roman" w:cs="Times New Roman"/>
          <w:lang w:val="ru-RU"/>
        </w:rPr>
        <w:t>.</w:t>
      </w:r>
    </w:p>
    <w:p w14:paraId="6BA5DB81"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Когато дължината на плавателните съдове </w:t>
      </w:r>
      <m:oMath>
        <m:r>
          <w:rPr>
            <w:rFonts w:ascii="Cambria Math" w:hAnsi="Cambria Math" w:cs="Times New Roman"/>
          </w:rPr>
          <m:t>L</m:t>
        </m:r>
      </m:oMath>
      <w:r w:rsidRPr="00F06DE2">
        <w:rPr>
          <w:rFonts w:ascii="Times New Roman" w:hAnsi="Times New Roman" w:cs="Times New Roman"/>
          <w:lang w:val="ru-RU"/>
        </w:rPr>
        <w:t xml:space="preserve"> е по-малко от 25 </w:t>
      </w:r>
      <w:r w:rsidRPr="00F06DE2">
        <w:rPr>
          <w:rFonts w:ascii="Times New Roman" w:hAnsi="Times New Roman" w:cs="Times New Roman"/>
        </w:rPr>
        <w:t>m</w:t>
      </w:r>
      <w:r w:rsidRPr="00F06DE2">
        <w:rPr>
          <w:rFonts w:ascii="Times New Roman" w:hAnsi="Times New Roman" w:cs="Times New Roman"/>
          <w:lang w:val="ru-RU"/>
        </w:rPr>
        <w:t xml:space="preserve">, стойностите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1</m:t>
            </m:r>
          </m:sub>
        </m:sSub>
      </m:oMath>
      <w:r w:rsidRPr="00F06DE2">
        <w:rPr>
          <w:rFonts w:ascii="Times New Roman" w:hAnsi="Times New Roman" w:cs="Times New Roman"/>
          <w:lang w:val="ru-RU"/>
        </w:rPr>
        <w:t xml:space="preserve"> и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2</m:t>
            </m:r>
          </m:sub>
        </m:sSub>
      </m:oMath>
      <w:r w:rsidRPr="00F06DE2">
        <w:rPr>
          <w:rFonts w:ascii="Times New Roman" w:hAnsi="Times New Roman" w:cs="Times New Roman"/>
          <w:lang w:val="ru-RU"/>
        </w:rPr>
        <w:t xml:space="preserve"> могат да бъдат намалени до 35 </w:t>
      </w:r>
      <w:r w:rsidRPr="00F06DE2">
        <w:rPr>
          <w:rFonts w:ascii="Times New Roman" w:hAnsi="Times New Roman" w:cs="Times New Roman"/>
        </w:rPr>
        <w:t>mm</w:t>
      </w:r>
      <w:r w:rsidRPr="00F06DE2">
        <w:rPr>
          <w:rFonts w:ascii="Times New Roman" w:hAnsi="Times New Roman" w:cs="Times New Roman"/>
          <w:lang w:val="ru-RU"/>
        </w:rPr>
        <w:t>.</w:t>
      </w:r>
    </w:p>
    <w:p w14:paraId="54E2DA7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Разрешени са единствено самозасмукващи осушителни помпи.</w:t>
      </w:r>
    </w:p>
    <w:p w14:paraId="1DE4427B" w14:textId="3CF481E2"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Трябва да има </w:t>
      </w:r>
      <w:r w:rsidR="00900272" w:rsidRPr="00F06DE2">
        <w:rPr>
          <w:rFonts w:ascii="Times New Roman" w:hAnsi="Times New Roman" w:cs="Times New Roman"/>
          <w:lang w:val="ru-RU"/>
        </w:rPr>
        <w:t xml:space="preserve"> възможност за осушаване </w:t>
      </w:r>
      <w:r w:rsidRPr="00F06DE2">
        <w:rPr>
          <w:rFonts w:ascii="Times New Roman" w:hAnsi="Times New Roman" w:cs="Times New Roman"/>
          <w:lang w:val="ru-RU"/>
        </w:rPr>
        <w:t xml:space="preserve">от </w:t>
      </w:r>
      <w:r w:rsidR="00900272" w:rsidRPr="00F06DE2">
        <w:rPr>
          <w:rFonts w:ascii="Times New Roman" w:hAnsi="Times New Roman" w:cs="Times New Roman"/>
          <w:lang w:val="ru-RU"/>
        </w:rPr>
        <w:t xml:space="preserve">десен </w:t>
      </w:r>
      <w:r w:rsidRPr="00F06DE2">
        <w:rPr>
          <w:rFonts w:ascii="Times New Roman" w:hAnsi="Times New Roman" w:cs="Times New Roman"/>
          <w:lang w:val="ru-RU"/>
        </w:rPr>
        <w:t xml:space="preserve">и </w:t>
      </w:r>
      <w:r w:rsidR="00900272" w:rsidRPr="00F06DE2">
        <w:rPr>
          <w:rFonts w:ascii="Times New Roman" w:hAnsi="Times New Roman" w:cs="Times New Roman"/>
          <w:lang w:val="ru-RU"/>
        </w:rPr>
        <w:t>ляб борд</w:t>
      </w:r>
      <w:r w:rsidRPr="00F06DE2">
        <w:rPr>
          <w:rFonts w:ascii="Times New Roman" w:hAnsi="Times New Roman" w:cs="Times New Roman"/>
          <w:lang w:val="ru-RU"/>
        </w:rPr>
        <w:t xml:space="preserve"> на всички отсеци с плоско дъно, които са по-широки от 5 </w:t>
      </w:r>
      <w:r w:rsidRPr="00F06DE2">
        <w:rPr>
          <w:rFonts w:ascii="Times New Roman" w:hAnsi="Times New Roman" w:cs="Times New Roman"/>
        </w:rPr>
        <w:t>m</w:t>
      </w:r>
      <w:r w:rsidRPr="00F06DE2">
        <w:rPr>
          <w:rFonts w:ascii="Times New Roman" w:hAnsi="Times New Roman" w:cs="Times New Roman"/>
          <w:lang w:val="ru-RU"/>
        </w:rPr>
        <w:t>.</w:t>
      </w:r>
    </w:p>
    <w:p w14:paraId="58D7191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Трябва да е възможно отводняване на ахтерпика през главното машинно отделение чрез лесно достъпно, автоматично затварящо приспособление.</w:t>
      </w:r>
    </w:p>
    <w:p w14:paraId="4EEA47DE" w14:textId="089DD252"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 xml:space="preserve">Отклонителните тръби от отделни отсеци трябва да са свързани с главната осушителна тръба посредством заключващи се </w:t>
      </w:r>
      <w:r w:rsidR="00900272" w:rsidRPr="00F06DE2">
        <w:rPr>
          <w:rFonts w:ascii="Times New Roman" w:hAnsi="Times New Roman" w:cs="Times New Roman"/>
          <w:lang w:val="ru-RU"/>
        </w:rPr>
        <w:t xml:space="preserve">невъзвратни </w:t>
      </w:r>
      <w:r w:rsidRPr="00F06DE2">
        <w:rPr>
          <w:rFonts w:ascii="Times New Roman" w:hAnsi="Times New Roman" w:cs="Times New Roman"/>
          <w:lang w:val="ru-RU"/>
        </w:rPr>
        <w:t>клапани.</w:t>
      </w:r>
    </w:p>
    <w:p w14:paraId="0CD3F88D"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Отсеци или други пространства, оборудвани за приемане на баласт, се свързват с осушителна система само чрез обикновено затварящо устройство. Това изискване не се прилага за трюмовете, които могат да приемат баласт. Такива трюмове се запълват с баластна вода чрез баластни тръбопроводи, които са монтирани постоянно и отделно от осушителни тръби или чрез отводни тръби, които могат да се свържат с главната осушителна тръба чрез гъвкави тръби или гъвкави преходници. Клапаните за приемане на вода, намиращи се в дъното на трюма, не могат да се използват за тази цел.</w:t>
      </w:r>
    </w:p>
    <w:p w14:paraId="3AF2F817" w14:textId="64D9E528"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r>
      <w:r w:rsidR="002E3830" w:rsidRPr="00F06DE2">
        <w:rPr>
          <w:rFonts w:ascii="Times New Roman" w:hAnsi="Times New Roman" w:cs="Times New Roman"/>
          <w:lang w:val="ru-RU"/>
        </w:rPr>
        <w:t>Т</w:t>
      </w:r>
      <w:r w:rsidRPr="00F06DE2">
        <w:rPr>
          <w:rFonts w:ascii="Times New Roman" w:hAnsi="Times New Roman" w:cs="Times New Roman"/>
          <w:lang w:val="ru-RU"/>
        </w:rPr>
        <w:t xml:space="preserve">рюмовете се оборудват с </w:t>
      </w:r>
      <w:r w:rsidR="00362DE4" w:rsidRPr="00F06DE2">
        <w:rPr>
          <w:rFonts w:ascii="Times New Roman" w:hAnsi="Times New Roman" w:cs="Times New Roman"/>
          <w:lang w:val="ru-RU"/>
        </w:rPr>
        <w:t xml:space="preserve">нивомерни </w:t>
      </w:r>
      <w:r w:rsidRPr="00F06DE2">
        <w:rPr>
          <w:rFonts w:ascii="Times New Roman" w:hAnsi="Times New Roman" w:cs="Times New Roman"/>
          <w:lang w:val="ru-RU"/>
        </w:rPr>
        <w:t>измервателни устройства.</w:t>
      </w:r>
    </w:p>
    <w:p w14:paraId="16244D0B" w14:textId="29FBA8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 xml:space="preserve">Когато осушителна система включва постоянно монтирани тръбопроводи, осушителните тръби на дъното на трюма, предназначени за изпомпване на нефтосъдържащи води, са оборудвани с </w:t>
      </w:r>
      <w:r w:rsidR="00362DE4" w:rsidRPr="00F06DE2">
        <w:rPr>
          <w:rFonts w:ascii="Times New Roman" w:hAnsi="Times New Roman" w:cs="Times New Roman"/>
          <w:lang w:val="ru-RU"/>
        </w:rPr>
        <w:t>затварящи устройства</w:t>
      </w:r>
      <w:r w:rsidRPr="00F06DE2">
        <w:rPr>
          <w:rFonts w:ascii="Times New Roman" w:hAnsi="Times New Roman" w:cs="Times New Roman"/>
          <w:lang w:val="ru-RU"/>
        </w:rPr>
        <w:t xml:space="preserve">, които са пломбирани на място от контролния орган. Броят и </w:t>
      </w:r>
      <w:r w:rsidRPr="00F06DE2">
        <w:rPr>
          <w:rFonts w:ascii="Times New Roman" w:hAnsi="Times New Roman" w:cs="Times New Roman"/>
          <w:lang w:val="ru-RU"/>
        </w:rPr>
        <w:lastRenderedPageBreak/>
        <w:t xml:space="preserve">разположението на тези </w:t>
      </w:r>
      <w:r w:rsidR="00362DE4" w:rsidRPr="00F06DE2">
        <w:rPr>
          <w:rFonts w:ascii="Times New Roman" w:hAnsi="Times New Roman" w:cs="Times New Roman"/>
          <w:lang w:val="ru-RU"/>
        </w:rPr>
        <w:t xml:space="preserve">затварящи устройства </w:t>
      </w:r>
      <w:r w:rsidRPr="00F06DE2">
        <w:rPr>
          <w:rFonts w:ascii="Times New Roman" w:hAnsi="Times New Roman" w:cs="Times New Roman"/>
          <w:lang w:val="ru-RU"/>
        </w:rPr>
        <w:t>се посочват Корабното удостоверение за вътрешно корабоплаване.</w:t>
      </w:r>
    </w:p>
    <w:p w14:paraId="09AC6BCD" w14:textId="4ABF93CD"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 xml:space="preserve">Заключването на </w:t>
      </w:r>
      <w:r w:rsidR="002617A0" w:rsidRPr="00F06DE2">
        <w:rPr>
          <w:rFonts w:ascii="Times New Roman" w:hAnsi="Times New Roman" w:cs="Times New Roman"/>
          <w:lang w:val="ru-RU"/>
        </w:rPr>
        <w:t xml:space="preserve">затварящите устройства </w:t>
      </w:r>
      <w:r w:rsidRPr="00F06DE2">
        <w:rPr>
          <w:rFonts w:ascii="Times New Roman" w:hAnsi="Times New Roman" w:cs="Times New Roman"/>
          <w:lang w:val="ru-RU"/>
        </w:rPr>
        <w:t xml:space="preserve">се разглежда като еквивалентно на пломбиране съгласно точка 10. Ключът или ключовете за заключване на </w:t>
      </w:r>
      <w:r w:rsidR="002617A0" w:rsidRPr="00F06DE2">
        <w:rPr>
          <w:rFonts w:ascii="Times New Roman" w:hAnsi="Times New Roman" w:cs="Times New Roman"/>
          <w:lang w:val="ru-RU"/>
        </w:rPr>
        <w:t xml:space="preserve">затварящите устройства </w:t>
      </w:r>
      <w:r w:rsidRPr="00F06DE2">
        <w:rPr>
          <w:rFonts w:ascii="Times New Roman" w:hAnsi="Times New Roman" w:cs="Times New Roman"/>
          <w:lang w:val="ru-RU"/>
        </w:rPr>
        <w:t xml:space="preserve">се означават и се съхраняват на </w:t>
      </w:r>
      <w:r w:rsidR="005303C8" w:rsidRPr="00F06DE2">
        <w:rPr>
          <w:rFonts w:ascii="Times New Roman" w:hAnsi="Times New Roman" w:cs="Times New Roman"/>
          <w:lang w:val="ru-RU"/>
        </w:rPr>
        <w:t xml:space="preserve">обозначено </w:t>
      </w:r>
      <w:r w:rsidRPr="00F06DE2">
        <w:rPr>
          <w:rFonts w:ascii="Times New Roman" w:hAnsi="Times New Roman" w:cs="Times New Roman"/>
          <w:lang w:val="ru-RU"/>
        </w:rPr>
        <w:t>и лесно достъпно място в машинното отделение.</w:t>
      </w:r>
    </w:p>
    <w:p w14:paraId="36B051EB" w14:textId="77777777" w:rsidR="00271FA2" w:rsidRPr="00F06DE2" w:rsidRDefault="00D35E51">
      <w:pPr>
        <w:pStyle w:val="ES-Titre3"/>
        <w:spacing w:line="240" w:lineRule="atLeast"/>
        <w:rPr>
          <w:rFonts w:ascii="Times New Roman" w:hAnsi="Times New Roman" w:cs="Times New Roman"/>
          <w:sz w:val="24"/>
          <w:szCs w:val="24"/>
          <w:lang w:val="ru-RU"/>
        </w:rPr>
      </w:pPr>
      <w:bookmarkStart w:id="118" w:name="_Toc535827505"/>
      <w:bookmarkStart w:id="119" w:name="_Toc491854064"/>
      <w:r w:rsidRPr="00F06DE2">
        <w:rPr>
          <w:rFonts w:ascii="Times New Roman" w:hAnsi="Times New Roman" w:cs="Times New Roman"/>
          <w:sz w:val="24"/>
          <w:szCs w:val="24"/>
          <w:lang w:val="ru-RU"/>
        </w:rPr>
        <w:t>Член 8.09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Съхранение на замърсена с нефтопродукти вода и отработени масла</w:t>
      </w:r>
      <w:bookmarkEnd w:id="118"/>
      <w:bookmarkEnd w:id="119"/>
    </w:p>
    <w:p w14:paraId="254371E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Трябва да е възможно да се съхранява на борда водата, замърсена с нефтопродукти и натрупана при експлоатацията. Трюмът на машинното отделение се разглежда като място за съхранение за тази цел.</w:t>
      </w:r>
    </w:p>
    <w:p w14:paraId="2776448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 съхранение на отработени масла в машинното отделение трябва да има един или няколко определени съда, чиято вместимост е не по-малка от 1,5 пъти количеството на отработени масла от картерите на всички монтирани двигатели с вътрешно горене и трансмисии, заедно с хидравличните течности от резервоарите с хидравлична течност.</w:t>
      </w:r>
    </w:p>
    <w:p w14:paraId="7F2EAD33"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Съединенията, използвани за опразване на съдовете, посочени по-горе, трябва да съответстват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1305:2018. </w:t>
      </w:r>
    </w:p>
    <w:p w14:paraId="3CB78167" w14:textId="77777777" w:rsidR="00271FA2" w:rsidRPr="00F06DE2" w:rsidRDefault="00D35E51">
      <w:pPr>
        <w:pStyle w:val="ESch"/>
        <w:ind w:left="565" w:hangingChars="257" w:hanging="565"/>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При плавателни съдове използвани само за кратки курсове, контролният орган може да разрешава изключения от изискванията на точка 2.</w:t>
      </w:r>
    </w:p>
    <w:p w14:paraId="372F2FB6" w14:textId="77777777" w:rsidR="00FF2483" w:rsidRPr="00F06DE2" w:rsidRDefault="00FF2483">
      <w:pPr>
        <w:pStyle w:val="ES-Titre3"/>
        <w:spacing w:line="240" w:lineRule="atLeast"/>
        <w:rPr>
          <w:rFonts w:ascii="Times New Roman" w:hAnsi="Times New Roman" w:cs="Times New Roman"/>
          <w:sz w:val="24"/>
          <w:szCs w:val="24"/>
          <w:lang w:val="ru-RU"/>
        </w:rPr>
      </w:pPr>
      <w:bookmarkStart w:id="120" w:name="_Toc535827506"/>
      <w:bookmarkStart w:id="121" w:name="_Toc491854065"/>
    </w:p>
    <w:p w14:paraId="66EC1A44" w14:textId="30D6B01E"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8.10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Шум от плавателни съдове</w:t>
      </w:r>
      <w:bookmarkEnd w:id="120"/>
      <w:bookmarkEnd w:id="121"/>
    </w:p>
    <w:p w14:paraId="0AB8985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Шумът, произвеждан от плавателния съд в движение, и по-специално шумовете от всмукване на въздух и изпускането на отработени газове на двигателя, трябва да бъдат заглушавани с използване на подходящи средства.</w:t>
      </w:r>
    </w:p>
    <w:p w14:paraId="66B9223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Нивото на звуково налягане на шума, създаван от плавателния съд в движение, не трябва да надвишава 70</w:t>
      </w:r>
      <w:r w:rsidRPr="00F06DE2">
        <w:rPr>
          <w:rFonts w:ascii="Times New Roman" w:hAnsi="Times New Roman" w:cs="Times New Roman"/>
        </w:rPr>
        <w:t> 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измерен на 25</w:t>
      </w:r>
      <w:r w:rsidRPr="00F06DE2">
        <w:rPr>
          <w:rFonts w:ascii="Times New Roman" w:hAnsi="Times New Roman" w:cs="Times New Roman"/>
        </w:rPr>
        <w:t> m</w:t>
      </w:r>
      <w:r w:rsidRPr="00F06DE2">
        <w:rPr>
          <w:rFonts w:ascii="Times New Roman" w:hAnsi="Times New Roman" w:cs="Times New Roman"/>
          <w:lang w:val="ru-RU"/>
        </w:rPr>
        <w:t xml:space="preserve"> встрани от борда.</w:t>
      </w:r>
    </w:p>
    <w:p w14:paraId="6ECF6503" w14:textId="77777777" w:rsidR="009B0C16" w:rsidRPr="00F06DE2" w:rsidRDefault="00D35E51">
      <w:pPr>
        <w:pStyle w:val="ESch"/>
        <w:jc w:val="both"/>
        <w:rPr>
          <w:rFonts w:ascii="Times New Roman" w:hAnsi="Times New Roman" w:cs="Times New Roman"/>
          <w:lang w:val="ru-RU"/>
        </w:rPr>
        <w:sectPr w:rsidR="009B0C16" w:rsidRPr="00F06DE2" w:rsidSect="00F06DE2">
          <w:headerReference w:type="default" r:id="rId35"/>
          <w:headerReference w:type="first" r:id="rId36"/>
          <w:footnotePr>
            <w:numRestart w:val="eachPage"/>
          </w:footnotePr>
          <w:pgSz w:w="11906" w:h="16838" w:code="9"/>
          <w:pgMar w:top="1134" w:right="1134" w:bottom="1134" w:left="1134" w:header="709" w:footer="709" w:gutter="0"/>
          <w:cols w:space="709"/>
          <w:titlePg/>
          <w:docGrid w:linePitch="272"/>
        </w:sectPr>
      </w:pPr>
      <w:r w:rsidRPr="00F06DE2">
        <w:rPr>
          <w:rFonts w:ascii="Times New Roman" w:hAnsi="Times New Roman" w:cs="Times New Roman"/>
          <w:lang w:val="ru-RU"/>
        </w:rPr>
        <w:t>3.</w:t>
      </w:r>
      <w:r w:rsidRPr="00F06DE2">
        <w:rPr>
          <w:rFonts w:ascii="Times New Roman" w:hAnsi="Times New Roman" w:cs="Times New Roman"/>
          <w:lang w:val="ru-RU"/>
        </w:rPr>
        <w:tab/>
        <w:t xml:space="preserve">Освен дейностите по претоварване, нивото на звуково налягане на шума, създаван от плавателен съд на място, не трябва да надвишава 60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измерен на 25 </w:t>
      </w:r>
      <w:r w:rsidRPr="00F06DE2">
        <w:rPr>
          <w:rFonts w:ascii="Times New Roman" w:hAnsi="Times New Roman" w:cs="Times New Roman"/>
        </w:rPr>
        <w:t>m</w:t>
      </w:r>
      <w:r w:rsidRPr="00F06DE2">
        <w:rPr>
          <w:rFonts w:ascii="Times New Roman" w:hAnsi="Times New Roman" w:cs="Times New Roman"/>
          <w:lang w:val="ru-RU"/>
        </w:rPr>
        <w:t xml:space="preserve"> встрани от борда.</w:t>
      </w:r>
    </w:p>
    <w:p w14:paraId="1F3D7D8B" w14:textId="77777777" w:rsidR="00271FA2" w:rsidRPr="00F06DE2" w:rsidRDefault="00D35E51">
      <w:pPr>
        <w:pStyle w:val="ES-Titre2"/>
        <w:rPr>
          <w:rFonts w:ascii="Times New Roman" w:hAnsi="Times New Roman" w:cs="Times New Roman"/>
          <w:lang w:val="ru-RU"/>
        </w:rPr>
      </w:pPr>
      <w:bookmarkStart w:id="122" w:name="_Toc491854066"/>
      <w:bookmarkStart w:id="123" w:name="_Toc535827507"/>
      <w:r w:rsidRPr="00F06DE2">
        <w:rPr>
          <w:rFonts w:ascii="Times New Roman" w:hAnsi="Times New Roman" w:cs="Times New Roman"/>
          <w:lang w:val="ru-RU"/>
        </w:rPr>
        <w:lastRenderedPageBreak/>
        <w:t>Глава 9</w:t>
      </w:r>
      <w:r w:rsidRPr="00F06DE2">
        <w:rPr>
          <w:rFonts w:ascii="Times New Roman" w:hAnsi="Times New Roman" w:cs="Times New Roman"/>
          <w:lang w:val="ru-RU"/>
        </w:rPr>
        <w:br/>
        <w:t>Емисии на газообразни и прахообразни замърсители от двигатели с вътрешно горене</w:t>
      </w:r>
      <w:bookmarkEnd w:id="122"/>
      <w:bookmarkEnd w:id="123"/>
      <w:r w:rsidRPr="00F06DE2">
        <w:rPr>
          <w:rFonts w:ascii="Times New Roman" w:hAnsi="Times New Roman" w:cs="Times New Roman"/>
          <w:lang w:val="ru-RU"/>
        </w:rPr>
        <w:t xml:space="preserve"> </w:t>
      </w:r>
    </w:p>
    <w:p w14:paraId="4FC173CB" w14:textId="77777777" w:rsidR="00434B85" w:rsidRPr="00F06DE2" w:rsidRDefault="00434B85">
      <w:pPr>
        <w:pStyle w:val="ES-Titre3"/>
        <w:spacing w:line="240" w:lineRule="atLeast"/>
        <w:rPr>
          <w:rFonts w:ascii="Times New Roman" w:hAnsi="Times New Roman" w:cs="Times New Roman"/>
          <w:sz w:val="24"/>
          <w:szCs w:val="24"/>
          <w:lang w:val="ru-RU"/>
        </w:rPr>
      </w:pPr>
      <w:bookmarkStart w:id="124" w:name="_Toc535827508"/>
      <w:bookmarkStart w:id="125" w:name="_Toc491854067"/>
    </w:p>
    <w:p w14:paraId="15060714" w14:textId="1C9D0B26"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9.00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Определения</w:t>
      </w:r>
      <w:bookmarkEnd w:id="124"/>
      <w:bookmarkEnd w:id="125"/>
    </w:p>
    <w:p w14:paraId="234A4BFB" w14:textId="77777777" w:rsidR="00271FA2" w:rsidRPr="00F06DE2" w:rsidRDefault="00D35E51" w:rsidP="00F324C9">
      <w:pPr>
        <w:pStyle w:val="ESgauche"/>
        <w:ind w:firstLine="567"/>
        <w:jc w:val="both"/>
        <w:rPr>
          <w:rFonts w:ascii="Times New Roman" w:hAnsi="Times New Roman" w:cs="Times New Roman"/>
          <w:lang w:val="ru-RU"/>
        </w:rPr>
      </w:pPr>
      <w:r w:rsidRPr="00F06DE2">
        <w:rPr>
          <w:rFonts w:ascii="Times New Roman" w:hAnsi="Times New Roman" w:cs="Times New Roman"/>
          <w:lang w:val="ru-RU"/>
        </w:rPr>
        <w:t>За целите на настоящата глава се прилагат следните определения:</w:t>
      </w:r>
    </w:p>
    <w:p w14:paraId="74519B1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„двигател с вътрешно горене“: преобразувател на енергия, различен от газова турбина, проектиран да преобразува химичната енергия (входяща) в механична енергия (изходяща) чрез процес на вътрешно горене; той включва, ако такива са монтирани, система за контрол на емисиите и комуникационен интерфейс (апаратна част и съобщения) между блока(овете) за електронно управление на системата на двигателя и всеки друг контролен блок;</w:t>
      </w:r>
    </w:p>
    <w:p w14:paraId="79B8E44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„одобряване на типа“: процедурата, чрез която компетентният орган удостоверява, че даден тип двигател или фамилия двигатели отговаря на съответните административни разпоредби и технически изисквания по отношение на равнищата на емисиите от газообразни замърсители и частици, изпускани от двигателя (двигателите);</w:t>
      </w:r>
    </w:p>
    <w:p w14:paraId="451A66E9" w14:textId="06D56536"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„фамилия двигатели“: група от двигатели, обособена от производител на двигатели, които поради своята конструкция притежават сходни характеристики относно емисиите на отработ</w:t>
      </w:r>
      <w:r w:rsidR="00C14E6A" w:rsidRPr="00F06DE2">
        <w:rPr>
          <w:rFonts w:ascii="Times New Roman" w:hAnsi="Times New Roman" w:cs="Times New Roman"/>
          <w:lang w:val="ru-RU"/>
        </w:rPr>
        <w:t>ен</w:t>
      </w:r>
      <w:r w:rsidRPr="00F06DE2">
        <w:rPr>
          <w:rFonts w:ascii="Times New Roman" w:hAnsi="Times New Roman" w:cs="Times New Roman"/>
          <w:lang w:val="ru-RU"/>
        </w:rPr>
        <w:t>и газове и отговарят на приложимите изисквания за пределните стойности на емисиите;</w:t>
      </w:r>
    </w:p>
    <w:p w14:paraId="20EAE0D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„еталонна мощност“: полезната мощност, която</w:t>
      </w:r>
      <w:bookmarkStart w:id="126" w:name="_DV_C386"/>
      <w:r w:rsidRPr="00F06DE2">
        <w:rPr>
          <w:rFonts w:ascii="Times New Roman" w:hAnsi="Times New Roman" w:cs="Times New Roman"/>
          <w:lang w:val="ru-RU"/>
        </w:rPr>
        <w:t xml:space="preserve"> се</w:t>
      </w:r>
      <w:bookmarkStart w:id="127" w:name="_DV_M298"/>
      <w:bookmarkEnd w:id="126"/>
      <w:bookmarkEnd w:id="127"/>
      <w:r w:rsidRPr="00F06DE2">
        <w:rPr>
          <w:rFonts w:ascii="Times New Roman" w:hAnsi="Times New Roman" w:cs="Times New Roman"/>
          <w:lang w:val="ru-RU"/>
        </w:rPr>
        <w:t xml:space="preserve"> използва за определяне на приложимите пределни стойности на емисиите за двигателя; </w:t>
      </w:r>
    </w:p>
    <w:p w14:paraId="36ECC73E" w14:textId="407B8D5C" w:rsidR="00271FA2" w:rsidRPr="00F06DE2" w:rsidRDefault="00D35E51" w:rsidP="009A7E0C">
      <w:pPr>
        <w:pStyle w:val="ESch"/>
        <w:spacing w:after="240"/>
        <w:jc w:val="both"/>
        <w:rPr>
          <w:rFonts w:ascii="Times New Roman" w:hAnsi="Times New Roman" w:cs="Times New Roman"/>
          <w:strike/>
          <w:lang w:val="ru-RU"/>
        </w:rPr>
      </w:pPr>
      <w:r w:rsidRPr="00F06DE2">
        <w:rPr>
          <w:rFonts w:ascii="Times New Roman" w:hAnsi="Times New Roman" w:cs="Times New Roman"/>
          <w:lang w:val="ru-RU"/>
        </w:rPr>
        <w:t>5.</w:t>
      </w:r>
      <w:r w:rsidRPr="00F06DE2">
        <w:rPr>
          <w:rFonts w:ascii="Times New Roman" w:hAnsi="Times New Roman" w:cs="Times New Roman"/>
          <w:lang w:val="ru-RU"/>
        </w:rPr>
        <w:tab/>
      </w:r>
      <w:r w:rsidR="003822C1" w:rsidRPr="00F06DE2">
        <w:rPr>
          <w:rFonts w:ascii="Times New Roman" w:hAnsi="Times New Roman" w:cs="Times New Roman"/>
          <w:lang w:val="ru-RU"/>
        </w:rPr>
        <w:t>„производител на двигатели“: всяко физическо или юридическо лице, което е отговорно пред органа по одобряването за всички аспекти на процеса на типово одобрение или разрешение на двигателя и за осигуряване на съответствието на производството на двигателя, и което също така е отговорно за проблемите на надзора на пазара на произведените двигатели, независимо дали участва пряко или не във всички етапи на проектирането и конструкцията на двигателя, който е предмет на процеса на типово одобрение.</w:t>
      </w:r>
      <w:r w:rsidRPr="00F06DE2">
        <w:rPr>
          <w:rFonts w:ascii="Times New Roman" w:hAnsi="Times New Roman" w:cs="Times New Roman"/>
          <w:lang w:val="ru-RU"/>
        </w:rPr>
        <w:tab/>
      </w:r>
    </w:p>
    <w:p w14:paraId="34A45F07" w14:textId="2C3EC98D" w:rsidR="00271FA2" w:rsidRPr="00F06DE2" w:rsidRDefault="00D35E51">
      <w:pPr>
        <w:pStyle w:val="ES-Titre3"/>
        <w:spacing w:line="240" w:lineRule="atLeast"/>
        <w:rPr>
          <w:rFonts w:ascii="Times New Roman" w:hAnsi="Times New Roman" w:cs="Times New Roman"/>
          <w:i/>
          <w:sz w:val="24"/>
          <w:szCs w:val="24"/>
          <w:lang w:val="ru-RU"/>
        </w:rPr>
      </w:pPr>
      <w:bookmarkStart w:id="128" w:name="_Toc491854068"/>
      <w:bookmarkStart w:id="129" w:name="_Toc535827509"/>
      <w:bookmarkStart w:id="130" w:name="_Toc453317268"/>
      <w:r w:rsidRPr="00F06DE2">
        <w:rPr>
          <w:rFonts w:ascii="Times New Roman" w:hAnsi="Times New Roman" w:cs="Times New Roman"/>
          <w:sz w:val="24"/>
          <w:szCs w:val="24"/>
          <w:lang w:val="ru-RU"/>
        </w:rPr>
        <w:t>Член 9.01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разпоредби</w:t>
      </w:r>
      <w:bookmarkEnd w:id="128"/>
      <w:bookmarkEnd w:id="129"/>
      <w:bookmarkEnd w:id="130"/>
    </w:p>
    <w:p w14:paraId="20DE70A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Разпоредбите на настоящата глава се прилагат за всички двигатели с вътрешно горене с еталонна мощност, по-голяма или равна на 19</w:t>
      </w:r>
      <w:r w:rsidRPr="00F06DE2">
        <w:rPr>
          <w:rFonts w:ascii="Times New Roman" w:hAnsi="Times New Roman" w:cs="Times New Roman"/>
        </w:rPr>
        <w:t> kW</w:t>
      </w:r>
      <w:r w:rsidRPr="00F06DE2">
        <w:rPr>
          <w:rFonts w:ascii="Times New Roman" w:hAnsi="Times New Roman" w:cs="Times New Roman"/>
          <w:lang w:val="ru-RU"/>
        </w:rPr>
        <w:t xml:space="preserve">, монтирани на борда на плавателното средство. </w:t>
      </w:r>
    </w:p>
    <w:p w14:paraId="109479B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Двигателите с вътрешно горене отговарят на изискванията на Регламент (ЕС) 2016/1628</w:t>
      </w:r>
      <w:r w:rsidRPr="00F06DE2">
        <w:rPr>
          <w:rStyle w:val="FootnoteReference"/>
          <w:rFonts w:ascii="Times New Roman" w:hAnsi="Times New Roman" w:cs="Times New Roman"/>
        </w:rPr>
        <w:footnoteReference w:id="3"/>
      </w:r>
      <w:r w:rsidRPr="00F06DE2">
        <w:rPr>
          <w:rFonts w:ascii="Times New Roman" w:hAnsi="Times New Roman" w:cs="Times New Roman"/>
          <w:lang w:val="ru-RU"/>
        </w:rPr>
        <w:t xml:space="preserve">. Само двигатели с вътрешно горене от категориите: </w:t>
      </w:r>
    </w:p>
    <w:p w14:paraId="2B0EC437" w14:textId="77777777" w:rsidR="00271FA2" w:rsidRPr="00F06DE2" w:rsidRDefault="00D35E51" w:rsidP="009A7E0C">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w:t>
      </w:r>
      <w:r w:rsidRPr="00F06DE2">
        <w:rPr>
          <w:rFonts w:ascii="Times New Roman" w:hAnsi="Times New Roman" w:cs="Times New Roman"/>
        </w:rPr>
        <w:t>IWP</w:t>
      </w:r>
      <w:r w:rsidRPr="00F06DE2">
        <w:rPr>
          <w:rFonts w:ascii="Times New Roman" w:hAnsi="Times New Roman" w:cs="Times New Roman"/>
          <w:lang w:val="ru-RU"/>
        </w:rPr>
        <w:t xml:space="preserve">; </w:t>
      </w:r>
    </w:p>
    <w:p w14:paraId="708A3E2E" w14:textId="77777777" w:rsidR="00271FA2" w:rsidRPr="00F06DE2" w:rsidRDefault="00D35E51" w:rsidP="009A7E0C">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w:t>
      </w:r>
      <w:r w:rsidRPr="00F06DE2">
        <w:rPr>
          <w:rFonts w:ascii="Times New Roman" w:hAnsi="Times New Roman" w:cs="Times New Roman"/>
        </w:rPr>
        <w:t>IWA</w:t>
      </w:r>
      <w:r w:rsidRPr="00F06DE2">
        <w:rPr>
          <w:rFonts w:ascii="Times New Roman" w:hAnsi="Times New Roman" w:cs="Times New Roman"/>
          <w:lang w:val="ru-RU"/>
        </w:rPr>
        <w:t xml:space="preserve">; </w:t>
      </w:r>
    </w:p>
    <w:p w14:paraId="02806081" w14:textId="77777777" w:rsidR="00271FA2" w:rsidRPr="00F06DE2" w:rsidRDefault="00D35E51" w:rsidP="009A7E0C">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w:t>
      </w:r>
      <w:r w:rsidRPr="00F06DE2">
        <w:rPr>
          <w:rFonts w:ascii="Times New Roman" w:hAnsi="Times New Roman" w:cs="Times New Roman"/>
        </w:rPr>
        <w:t>NRE</w:t>
      </w:r>
      <w:r w:rsidRPr="00F06DE2">
        <w:rPr>
          <w:rFonts w:ascii="Times New Roman" w:hAnsi="Times New Roman" w:cs="Times New Roman"/>
          <w:lang w:val="ru-RU"/>
        </w:rPr>
        <w:t xml:space="preserve"> с еталонна мощност под 560 </w:t>
      </w:r>
      <w:r w:rsidRPr="00F06DE2">
        <w:rPr>
          <w:rFonts w:ascii="Times New Roman" w:hAnsi="Times New Roman" w:cs="Times New Roman"/>
        </w:rPr>
        <w:t>kW</w:t>
      </w:r>
      <w:r w:rsidRPr="00F06DE2">
        <w:rPr>
          <w:rFonts w:ascii="Times New Roman" w:hAnsi="Times New Roman" w:cs="Times New Roman"/>
          <w:lang w:val="ru-RU"/>
        </w:rPr>
        <w:t xml:space="preserve">; или </w:t>
      </w:r>
    </w:p>
    <w:p w14:paraId="5FBBE457" w14:textId="77777777" w:rsidR="00CF10FA" w:rsidRPr="00F06DE2" w:rsidRDefault="00D35E51" w:rsidP="009A7E0C">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г) двигатели, признати за еквивалентни съгласно Регламент (ЕС) 2016/1628 </w:t>
      </w:r>
    </w:p>
    <w:p w14:paraId="2BE000EB" w14:textId="77777777" w:rsidR="009A7E0C" w:rsidRPr="00F06DE2" w:rsidRDefault="00D35E51" w:rsidP="009A7E0C">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трябва да бъдат монтирани. Това съответствие се установява по</w:t>
      </w:r>
      <w:r w:rsidR="009A7E0C" w:rsidRPr="00F06DE2">
        <w:rPr>
          <w:rFonts w:ascii="Times New Roman" w:hAnsi="Times New Roman" w:cs="Times New Roman"/>
          <w:lang w:val="ru-RU"/>
        </w:rPr>
        <w:t>средством</w:t>
      </w:r>
    </w:p>
    <w:p w14:paraId="1202D6A9" w14:textId="42C8C951" w:rsidR="00271FA2" w:rsidRPr="00F06DE2" w:rsidRDefault="00D35E51" w:rsidP="009A7E0C">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удостоверение</w:t>
      </w:r>
      <w:r w:rsidR="00CF10FA" w:rsidRPr="00F06DE2">
        <w:rPr>
          <w:rFonts w:ascii="Times New Roman" w:hAnsi="Times New Roman" w:cs="Times New Roman"/>
          <w:lang w:val="ru-RU"/>
        </w:rPr>
        <w:t xml:space="preserve"> </w:t>
      </w:r>
      <w:r w:rsidRPr="00F06DE2">
        <w:rPr>
          <w:rFonts w:ascii="Times New Roman" w:hAnsi="Times New Roman" w:cs="Times New Roman"/>
          <w:lang w:val="ru-RU"/>
        </w:rPr>
        <w:t>за одобрение на типа.</w:t>
      </w:r>
    </w:p>
    <w:p w14:paraId="11F1C1CE" w14:textId="10C593DA"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3.</w:t>
      </w:r>
      <w:r w:rsidRPr="00F06DE2">
        <w:rPr>
          <w:rFonts w:ascii="Times New Roman" w:hAnsi="Times New Roman" w:cs="Times New Roman"/>
          <w:lang w:val="ru-RU"/>
        </w:rPr>
        <w:tab/>
      </w:r>
      <w:r w:rsidR="00CD0EC4" w:rsidRPr="00F06DE2">
        <w:rPr>
          <w:rFonts w:ascii="Times New Roman" w:hAnsi="Times New Roman" w:cs="Times New Roman"/>
          <w:lang w:val="ru-RU"/>
        </w:rPr>
        <w:t xml:space="preserve">Контролният орган може да изиска представяне на сертификата за типово одобрение и инструкциите на производителя на двигателя съгласно член 9.04 при всеки монтаж, междинен или специален тест. </w:t>
      </w:r>
    </w:p>
    <w:p w14:paraId="02A4ACF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r>
      <w:r w:rsidRPr="00F06DE2">
        <w:rPr>
          <w:rFonts w:ascii="Times New Roman" w:hAnsi="Times New Roman" w:cs="Times New Roman"/>
        </w:rPr>
        <w:t>M</w:t>
      </w:r>
      <w:r w:rsidRPr="00F06DE2">
        <w:rPr>
          <w:rFonts w:ascii="Times New Roman" w:hAnsi="Times New Roman" w:cs="Times New Roman"/>
          <w:lang w:val="ru-RU"/>
        </w:rPr>
        <w:t>онтирането на резервни двигатели, както са определени в Регламент (ЕС) 2016/1628, е забранено. Ремонтът на съществуващ двигател обаче е разрешен при тези обстоятелства посочени в член 9.10.</w:t>
      </w:r>
    </w:p>
    <w:p w14:paraId="028D45B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За целите на изпълнението на задачите съгласно настоящата глава, контролният орган може да наеме техническа служба. За целите на настоящия стандарт се признават само техническите служби, нотифицирани съгласно Регламент (ЕС) 2016/1628.</w:t>
      </w:r>
    </w:p>
    <w:p w14:paraId="00B97015" w14:textId="6037B3BC" w:rsidR="00CD0EC4" w:rsidRPr="00F06DE2" w:rsidRDefault="00CD0EC4">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Чрез дерогация от член 9.01,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2, последно изречение и </w:t>
      </w:r>
      <w:r w:rsidR="0097711D" w:rsidRPr="00F06DE2">
        <w:rPr>
          <w:rFonts w:ascii="Times New Roman" w:hAnsi="Times New Roman" w:cs="Times New Roman"/>
          <w:lang w:val="ru-RU"/>
        </w:rPr>
        <w:t>т.</w:t>
      </w:r>
      <w:r w:rsidR="0067274C" w:rsidRPr="00F06DE2">
        <w:rPr>
          <w:rFonts w:ascii="Times New Roman" w:hAnsi="Times New Roman" w:cs="Times New Roman"/>
          <w:lang w:val="ru-RU"/>
        </w:rPr>
        <w:t xml:space="preserve"> </w:t>
      </w:r>
      <w:r w:rsidRPr="00F06DE2">
        <w:rPr>
          <w:rFonts w:ascii="Times New Roman" w:hAnsi="Times New Roman" w:cs="Times New Roman"/>
          <w:lang w:val="ru-RU"/>
        </w:rPr>
        <w:t xml:space="preserve">3, </w:t>
      </w:r>
      <w:r w:rsidR="0067274C" w:rsidRPr="00F06DE2">
        <w:rPr>
          <w:rFonts w:ascii="Times New Roman" w:hAnsi="Times New Roman" w:cs="Times New Roman"/>
          <w:lang w:val="ru-RU"/>
        </w:rPr>
        <w:t>чл.</w:t>
      </w:r>
      <w:r w:rsidRPr="00F06DE2">
        <w:rPr>
          <w:rFonts w:ascii="Times New Roman" w:hAnsi="Times New Roman" w:cs="Times New Roman"/>
          <w:lang w:val="ru-RU"/>
        </w:rPr>
        <w:t xml:space="preserve">9.02, </w:t>
      </w:r>
      <w:r w:rsidR="0067274C" w:rsidRPr="00F06DE2">
        <w:rPr>
          <w:rFonts w:ascii="Times New Roman" w:hAnsi="Times New Roman" w:cs="Times New Roman"/>
          <w:lang w:val="ru-RU"/>
        </w:rPr>
        <w:t>чл.</w:t>
      </w:r>
      <w:r w:rsidRPr="00F06DE2">
        <w:rPr>
          <w:rFonts w:ascii="Times New Roman" w:hAnsi="Times New Roman" w:cs="Times New Roman"/>
          <w:lang w:val="ru-RU"/>
        </w:rPr>
        <w:t xml:space="preserve">9.03, </w:t>
      </w:r>
      <w:r w:rsidR="0067274C" w:rsidRPr="00F06DE2">
        <w:rPr>
          <w:rFonts w:ascii="Times New Roman" w:hAnsi="Times New Roman" w:cs="Times New Roman"/>
          <w:lang w:val="ru-RU"/>
        </w:rPr>
        <w:t>чл.</w:t>
      </w:r>
      <w:r w:rsidRPr="00F06DE2">
        <w:rPr>
          <w:rFonts w:ascii="Times New Roman" w:hAnsi="Times New Roman" w:cs="Times New Roman"/>
          <w:lang w:val="ru-RU"/>
        </w:rPr>
        <w:t xml:space="preserve">9.06,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2, се разрешават </w:t>
      </w:r>
      <w:r w:rsidR="00BA4C7F" w:rsidRPr="00F06DE2">
        <w:rPr>
          <w:rFonts w:ascii="Times New Roman" w:hAnsi="Times New Roman" w:cs="Times New Roman"/>
          <w:lang w:val="ru-RU"/>
        </w:rPr>
        <w:t xml:space="preserve">да се монтират </w:t>
      </w:r>
      <w:r w:rsidRPr="00F06DE2">
        <w:rPr>
          <w:rFonts w:ascii="Times New Roman" w:hAnsi="Times New Roman" w:cs="Times New Roman"/>
          <w:lang w:val="ru-RU"/>
        </w:rPr>
        <w:t xml:space="preserve">двигатели с вътрешно горене, които се ползват от освобождаване от полево изпитване, предоставено в съответствие с член 34,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4 от Регламент (ЕС) 2016/1628. </w:t>
      </w:r>
      <w:r w:rsidR="00E92F5D" w:rsidRPr="00F06DE2">
        <w:rPr>
          <w:rFonts w:ascii="Times New Roman" w:hAnsi="Times New Roman" w:cs="Times New Roman"/>
          <w:lang w:val="ru-RU"/>
        </w:rPr>
        <w:t xml:space="preserve"> Корабното удостоверение </w:t>
      </w:r>
      <w:r w:rsidRPr="00F06DE2">
        <w:rPr>
          <w:rFonts w:ascii="Times New Roman" w:hAnsi="Times New Roman" w:cs="Times New Roman"/>
          <w:lang w:val="ru-RU"/>
        </w:rPr>
        <w:t xml:space="preserve"> за вътрешно корабоплаване не </w:t>
      </w:r>
      <w:r w:rsidR="000A3ABD" w:rsidRPr="00F06DE2">
        <w:rPr>
          <w:rFonts w:ascii="Times New Roman" w:hAnsi="Times New Roman" w:cs="Times New Roman"/>
          <w:lang w:val="ru-RU"/>
        </w:rPr>
        <w:t xml:space="preserve">трябва </w:t>
      </w:r>
      <w:r w:rsidRPr="00F06DE2">
        <w:rPr>
          <w:rFonts w:ascii="Times New Roman" w:hAnsi="Times New Roman" w:cs="Times New Roman"/>
          <w:lang w:val="ru-RU"/>
        </w:rPr>
        <w:t>е валид</w:t>
      </w:r>
      <w:r w:rsidR="00E92F5D" w:rsidRPr="00F06DE2">
        <w:rPr>
          <w:rFonts w:ascii="Times New Roman" w:hAnsi="Times New Roman" w:cs="Times New Roman"/>
          <w:lang w:val="ru-RU"/>
        </w:rPr>
        <w:t>но</w:t>
      </w:r>
      <w:r w:rsidRPr="00F06DE2">
        <w:rPr>
          <w:rFonts w:ascii="Times New Roman" w:hAnsi="Times New Roman" w:cs="Times New Roman"/>
          <w:lang w:val="ru-RU"/>
        </w:rPr>
        <w:t xml:space="preserve"> по-дълго от продължителността на </w:t>
      </w:r>
      <w:r w:rsidR="00E92F5D" w:rsidRPr="00F06DE2">
        <w:rPr>
          <w:rFonts w:ascii="Times New Roman" w:hAnsi="Times New Roman" w:cs="Times New Roman"/>
          <w:lang w:val="ru-RU"/>
        </w:rPr>
        <w:t xml:space="preserve"> полевото</w:t>
      </w:r>
      <w:r w:rsidRPr="00F06DE2">
        <w:rPr>
          <w:rFonts w:ascii="Times New Roman" w:hAnsi="Times New Roman" w:cs="Times New Roman"/>
          <w:lang w:val="ru-RU"/>
        </w:rPr>
        <w:t xml:space="preserve"> </w:t>
      </w:r>
      <w:r w:rsidR="00157AC5" w:rsidRPr="00F06DE2">
        <w:rPr>
          <w:rFonts w:ascii="Times New Roman" w:hAnsi="Times New Roman" w:cs="Times New Roman"/>
          <w:lang w:val="ru-RU"/>
        </w:rPr>
        <w:t xml:space="preserve"> изпитване</w:t>
      </w:r>
      <w:r w:rsidRPr="00F06DE2">
        <w:rPr>
          <w:rFonts w:ascii="Times New Roman" w:hAnsi="Times New Roman" w:cs="Times New Roman"/>
          <w:lang w:val="ru-RU"/>
        </w:rPr>
        <w:t>.</w:t>
      </w:r>
    </w:p>
    <w:p w14:paraId="4743CF7B" w14:textId="77777777" w:rsidR="00F324C9" w:rsidRPr="00F06DE2" w:rsidRDefault="00F324C9">
      <w:pPr>
        <w:pStyle w:val="ES-Titre3"/>
        <w:spacing w:line="240" w:lineRule="atLeast"/>
        <w:rPr>
          <w:rFonts w:ascii="Times New Roman" w:hAnsi="Times New Roman" w:cs="Times New Roman"/>
          <w:sz w:val="24"/>
          <w:szCs w:val="24"/>
          <w:lang w:val="ru-RU"/>
        </w:rPr>
      </w:pPr>
      <w:bookmarkStart w:id="131" w:name="_Toc535827510"/>
      <w:bookmarkStart w:id="132" w:name="_Toc491854069"/>
    </w:p>
    <w:p w14:paraId="650D88E0" w14:textId="7F7504BD"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9.02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Вписване в Корабното удостоверение за вътрешно корабоплаване</w:t>
      </w:r>
      <w:bookmarkEnd w:id="131"/>
      <w:bookmarkEnd w:id="132"/>
    </w:p>
    <w:p w14:paraId="5348D4E0" w14:textId="53F72663" w:rsidR="00271FA2" w:rsidRPr="00F06DE2" w:rsidRDefault="00BD1AE8">
      <w:pPr>
        <w:pStyle w:val="ESgauche"/>
        <w:jc w:val="both"/>
        <w:rPr>
          <w:rFonts w:ascii="Times New Roman" w:hAnsi="Times New Roman" w:cs="Times New Roman"/>
          <w:lang w:val="ru-RU"/>
        </w:rPr>
      </w:pPr>
      <w:r w:rsidRPr="00F06DE2">
        <w:rPr>
          <w:rFonts w:ascii="Times New Roman" w:hAnsi="Times New Roman" w:cs="Times New Roman"/>
          <w:lang w:val="ru-RU"/>
        </w:rPr>
        <w:t xml:space="preserve">Следните данни трябва да бъдат въведени в точка 52 от </w:t>
      </w:r>
      <w:r w:rsidR="00E362D5" w:rsidRPr="00F06DE2">
        <w:rPr>
          <w:rFonts w:ascii="Times New Roman" w:hAnsi="Times New Roman" w:cs="Times New Roman"/>
          <w:lang w:val="ru-RU"/>
        </w:rPr>
        <w:t xml:space="preserve"> </w:t>
      </w:r>
      <w:r w:rsidR="00B1557C" w:rsidRPr="00F06DE2">
        <w:rPr>
          <w:rFonts w:ascii="Times New Roman" w:hAnsi="Times New Roman" w:cs="Times New Roman"/>
          <w:lang w:val="ru-RU"/>
        </w:rPr>
        <w:t>корабно удостоверение</w:t>
      </w:r>
      <w:r w:rsidRPr="00F06DE2">
        <w:rPr>
          <w:rFonts w:ascii="Times New Roman" w:hAnsi="Times New Roman" w:cs="Times New Roman"/>
          <w:lang w:val="ru-RU"/>
        </w:rPr>
        <w:t xml:space="preserve"> за вътрешно </w:t>
      </w:r>
      <w:r w:rsidR="00E362D5" w:rsidRPr="00F06DE2">
        <w:rPr>
          <w:rFonts w:ascii="Times New Roman" w:hAnsi="Times New Roman" w:cs="Times New Roman"/>
          <w:lang w:val="ru-RU"/>
        </w:rPr>
        <w:t>корабо</w:t>
      </w:r>
      <w:r w:rsidRPr="00F06DE2">
        <w:rPr>
          <w:rFonts w:ascii="Times New Roman" w:hAnsi="Times New Roman" w:cs="Times New Roman"/>
          <w:lang w:val="ru-RU"/>
        </w:rPr>
        <w:t>плаване за всички двигатели с вътрешно горене, монтирани на борда на плавателното средство:</w:t>
      </w:r>
    </w:p>
    <w:p w14:paraId="2C1B894A" w14:textId="77777777" w:rsidR="00BD1AE8" w:rsidRPr="00F06DE2" w:rsidRDefault="00BD1AE8" w:rsidP="009A7E0C">
      <w:pPr>
        <w:ind w:firstLine="567"/>
        <w:rPr>
          <w:rFonts w:ascii="Times New Roman" w:hAnsi="Times New Roman" w:cs="Times New Roman"/>
          <w:lang w:val="ru-RU"/>
        </w:rPr>
      </w:pPr>
      <w:r w:rsidRPr="00F06DE2">
        <w:rPr>
          <w:rFonts w:ascii="Times New Roman" w:hAnsi="Times New Roman" w:cs="Times New Roman"/>
          <w:lang w:val="ru-RU"/>
        </w:rPr>
        <w:t>а) производител,</w:t>
      </w:r>
    </w:p>
    <w:p w14:paraId="376EB5A6" w14:textId="77777777" w:rsidR="00BD1AE8" w:rsidRPr="00F06DE2" w:rsidRDefault="00BD1AE8" w:rsidP="009A7E0C">
      <w:pPr>
        <w:ind w:firstLine="567"/>
        <w:rPr>
          <w:rFonts w:ascii="Times New Roman" w:hAnsi="Times New Roman" w:cs="Times New Roman"/>
          <w:lang w:val="ru-RU"/>
        </w:rPr>
      </w:pPr>
      <w:r w:rsidRPr="00F06DE2">
        <w:rPr>
          <w:rFonts w:ascii="Times New Roman" w:hAnsi="Times New Roman" w:cs="Times New Roman"/>
          <w:lang w:val="ru-RU"/>
        </w:rPr>
        <w:t>б) тип двигател (означение на производителя),</w:t>
      </w:r>
    </w:p>
    <w:p w14:paraId="2D3B6C02" w14:textId="77777777" w:rsidR="00BD1AE8" w:rsidRPr="00F06DE2" w:rsidRDefault="00BD1AE8" w:rsidP="009A7E0C">
      <w:pPr>
        <w:ind w:firstLine="567"/>
        <w:rPr>
          <w:rFonts w:ascii="Times New Roman" w:hAnsi="Times New Roman" w:cs="Times New Roman"/>
          <w:lang w:val="ru-RU"/>
        </w:rPr>
      </w:pPr>
      <w:r w:rsidRPr="00F06DE2">
        <w:rPr>
          <w:rFonts w:ascii="Times New Roman" w:hAnsi="Times New Roman" w:cs="Times New Roman"/>
          <w:lang w:val="ru-RU"/>
        </w:rPr>
        <w:t>в) идентификационен номер,</w:t>
      </w:r>
    </w:p>
    <w:p w14:paraId="5BAB663C" w14:textId="77777777" w:rsidR="00BD1AE8" w:rsidRPr="00F06DE2" w:rsidRDefault="00BD1AE8" w:rsidP="009A7E0C">
      <w:pPr>
        <w:ind w:firstLine="567"/>
        <w:rPr>
          <w:rFonts w:ascii="Times New Roman" w:hAnsi="Times New Roman" w:cs="Times New Roman"/>
          <w:lang w:val="ru-RU"/>
        </w:rPr>
      </w:pPr>
      <w:r w:rsidRPr="00F06DE2">
        <w:rPr>
          <w:rFonts w:ascii="Times New Roman" w:hAnsi="Times New Roman" w:cs="Times New Roman"/>
          <w:lang w:val="ru-RU"/>
        </w:rPr>
        <w:t>г) мощност и обороти на двигателя,</w:t>
      </w:r>
    </w:p>
    <w:p w14:paraId="597E0002" w14:textId="77777777" w:rsidR="00BD1AE8" w:rsidRPr="00F06DE2" w:rsidRDefault="00BD1AE8" w:rsidP="009A7E0C">
      <w:pPr>
        <w:ind w:firstLine="567"/>
        <w:rPr>
          <w:rFonts w:ascii="Times New Roman" w:hAnsi="Times New Roman" w:cs="Times New Roman"/>
          <w:lang w:val="ru-RU"/>
        </w:rPr>
      </w:pPr>
      <w:r w:rsidRPr="00F06DE2">
        <w:rPr>
          <w:rFonts w:ascii="Times New Roman" w:hAnsi="Times New Roman" w:cs="Times New Roman"/>
          <w:lang w:val="ru-RU"/>
        </w:rPr>
        <w:t>д) Ако е приложимо, номер на типовото одобрение,</w:t>
      </w:r>
    </w:p>
    <w:p w14:paraId="51D3425D" w14:textId="77777777" w:rsidR="00BD1AE8" w:rsidRPr="00F06DE2" w:rsidRDefault="00BD1AE8" w:rsidP="009A7E0C">
      <w:pPr>
        <w:ind w:firstLine="567"/>
        <w:rPr>
          <w:rFonts w:ascii="Times New Roman" w:hAnsi="Times New Roman" w:cs="Times New Roman"/>
          <w:lang w:val="ru-RU"/>
        </w:rPr>
      </w:pPr>
      <w:r w:rsidRPr="00F06DE2">
        <w:rPr>
          <w:rFonts w:ascii="Times New Roman" w:hAnsi="Times New Roman" w:cs="Times New Roman"/>
          <w:lang w:val="ru-RU"/>
        </w:rPr>
        <w:t>е) Използване, за което е предназначен двигателят,</w:t>
      </w:r>
    </w:p>
    <w:p w14:paraId="30A5CA5E" w14:textId="77777777" w:rsidR="00BD1AE8" w:rsidRPr="00F06DE2" w:rsidRDefault="00BD1AE8" w:rsidP="009A7E0C">
      <w:pPr>
        <w:ind w:firstLine="567"/>
        <w:rPr>
          <w:rFonts w:ascii="Times New Roman" w:hAnsi="Times New Roman" w:cs="Times New Roman"/>
          <w:lang w:val="ru-RU"/>
        </w:rPr>
      </w:pPr>
      <w:r w:rsidRPr="00F06DE2">
        <w:rPr>
          <w:rFonts w:ascii="Times New Roman" w:hAnsi="Times New Roman" w:cs="Times New Roman"/>
          <w:lang w:val="ru-RU"/>
        </w:rPr>
        <w:t>ж) Място на инсталиране на борда,</w:t>
      </w:r>
    </w:p>
    <w:p w14:paraId="63515728" w14:textId="77777777" w:rsidR="00BD1AE8" w:rsidRPr="00F06DE2" w:rsidRDefault="00BD1AE8" w:rsidP="009A7E0C">
      <w:pPr>
        <w:pStyle w:val="ESgauche"/>
        <w:ind w:firstLine="567"/>
        <w:jc w:val="both"/>
        <w:rPr>
          <w:rFonts w:ascii="Times New Roman" w:hAnsi="Times New Roman" w:cs="Times New Roman"/>
          <w:strike/>
          <w:lang w:val="ru-RU"/>
        </w:rPr>
      </w:pPr>
      <w:r w:rsidRPr="00F06DE2">
        <w:rPr>
          <w:rFonts w:ascii="Times New Roman" w:hAnsi="Times New Roman" w:cs="Times New Roman"/>
          <w:lang w:val="ru-RU"/>
        </w:rPr>
        <w:t>з) Дата на инсталиране.</w:t>
      </w:r>
    </w:p>
    <w:p w14:paraId="5D564A06" w14:textId="77777777" w:rsidR="00F324C9" w:rsidRPr="00F06DE2" w:rsidRDefault="00F324C9">
      <w:pPr>
        <w:pStyle w:val="ES-Titre3"/>
        <w:spacing w:line="240" w:lineRule="atLeast"/>
        <w:rPr>
          <w:rFonts w:ascii="Times New Roman" w:hAnsi="Times New Roman" w:cs="Times New Roman"/>
          <w:sz w:val="24"/>
          <w:szCs w:val="24"/>
          <w:lang w:val="ru-RU"/>
        </w:rPr>
      </w:pPr>
      <w:bookmarkStart w:id="133" w:name="_Toc491854070"/>
      <w:bookmarkStart w:id="134" w:name="_Toc535827511"/>
    </w:p>
    <w:p w14:paraId="42897FA9" w14:textId="6FC7C17A"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9.03</w:t>
      </w:r>
      <w:r w:rsidRPr="00F06DE2">
        <w:rPr>
          <w:rFonts w:ascii="Times New Roman" w:hAnsi="Times New Roman" w:cs="Times New Roman"/>
          <w:i/>
          <w:sz w:val="24"/>
          <w:szCs w:val="24"/>
          <w:lang w:val="ru-RU"/>
        </w:rPr>
        <w:br/>
        <w:t>Разпоредби за монтирането на двигатели с вътрешно горене</w:t>
      </w:r>
      <w:bookmarkEnd w:id="133"/>
      <w:bookmarkEnd w:id="134"/>
    </w:p>
    <w:p w14:paraId="2FF33FFA"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Монтажът на двигателите в плавателните средства трябва да съответства на ограниченията, определени в приложното поле на одобрението на типа.</w:t>
      </w:r>
    </w:p>
    <w:p w14:paraId="429BC151" w14:textId="77777777" w:rsidR="00F324C9" w:rsidRPr="00F06DE2" w:rsidRDefault="00F324C9">
      <w:pPr>
        <w:pStyle w:val="ES-Titre3"/>
        <w:spacing w:line="240" w:lineRule="atLeast"/>
        <w:rPr>
          <w:rFonts w:ascii="Times New Roman" w:hAnsi="Times New Roman" w:cs="Times New Roman"/>
          <w:sz w:val="24"/>
          <w:szCs w:val="24"/>
          <w:lang w:val="ru-RU"/>
        </w:rPr>
      </w:pPr>
      <w:bookmarkStart w:id="135" w:name="_Toc535827512"/>
      <w:bookmarkStart w:id="136" w:name="_Toc491854071"/>
    </w:p>
    <w:p w14:paraId="21EA1B89" w14:textId="24D96245"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9.04</w:t>
      </w:r>
      <w:r w:rsidRPr="00F06DE2">
        <w:rPr>
          <w:rFonts w:ascii="Times New Roman" w:hAnsi="Times New Roman" w:cs="Times New Roman"/>
          <w:i/>
          <w:sz w:val="24"/>
          <w:szCs w:val="24"/>
          <w:lang w:val="ru-RU"/>
        </w:rPr>
        <w:br/>
        <w:t>Инструкции на производителя на двигателя</w:t>
      </w:r>
      <w:bookmarkEnd w:id="135"/>
      <w:bookmarkEnd w:id="136"/>
    </w:p>
    <w:p w14:paraId="2D2F15B6" w14:textId="3C8F6E99"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В инструкциите, които производителят на двигателя трябва да изготви, се посочват съответните компоненти на отработ</w:t>
      </w:r>
      <w:r w:rsidR="00C14E6A" w:rsidRPr="00F06DE2">
        <w:rPr>
          <w:rFonts w:ascii="Times New Roman" w:hAnsi="Times New Roman" w:cs="Times New Roman"/>
          <w:lang w:val="ru-RU"/>
        </w:rPr>
        <w:t>ен</w:t>
      </w:r>
      <w:r w:rsidRPr="00F06DE2">
        <w:rPr>
          <w:rFonts w:ascii="Times New Roman" w:hAnsi="Times New Roman" w:cs="Times New Roman"/>
          <w:lang w:val="ru-RU"/>
        </w:rPr>
        <w:t>ите газове, както и реглажите и параметрите, чрез които може да бъде постигнато непрекъснато съответствие с пределните нива на емисиите на отработ</w:t>
      </w:r>
      <w:r w:rsidR="00C14E6A" w:rsidRPr="00F06DE2">
        <w:rPr>
          <w:rFonts w:ascii="Times New Roman" w:hAnsi="Times New Roman" w:cs="Times New Roman"/>
          <w:lang w:val="ru-RU"/>
        </w:rPr>
        <w:t>ен</w:t>
      </w:r>
      <w:r w:rsidRPr="00F06DE2">
        <w:rPr>
          <w:rFonts w:ascii="Times New Roman" w:hAnsi="Times New Roman" w:cs="Times New Roman"/>
          <w:lang w:val="ru-RU"/>
        </w:rPr>
        <w:t xml:space="preserve">и газове. </w:t>
      </w:r>
    </w:p>
    <w:p w14:paraId="0260B0C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Инструкциите трябва да съдържат най-малко следните данни:</w:t>
      </w:r>
    </w:p>
    <w:p w14:paraId="526A649C"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тип на двигателя и когато е уместно, фамилията двигатели с посочване на еталонна мощност и честотата на въртене;</w:t>
      </w:r>
    </w:p>
    <w:p w14:paraId="56A295DB" w14:textId="793DC844"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lastRenderedPageBreak/>
        <w:t>б) списък на съставните елементи и параметрите на двигателя от значение за отделянето на отработ</w:t>
      </w:r>
      <w:r w:rsidR="00492A38" w:rsidRPr="00F06DE2">
        <w:rPr>
          <w:rFonts w:ascii="Times New Roman" w:hAnsi="Times New Roman" w:cs="Times New Roman"/>
          <w:lang w:val="ru-RU"/>
        </w:rPr>
        <w:t>ен</w:t>
      </w:r>
      <w:r w:rsidRPr="00F06DE2">
        <w:rPr>
          <w:rFonts w:ascii="Times New Roman" w:hAnsi="Times New Roman" w:cs="Times New Roman"/>
          <w:lang w:val="ru-RU"/>
        </w:rPr>
        <w:t>и газове;</w:t>
      </w:r>
    </w:p>
    <w:p w14:paraId="365BD397" w14:textId="4AEAA0A0"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в) точни характеристики за идентифициране на позволените съставни елементи, които са от значение за отделянето на </w:t>
      </w:r>
      <w:r w:rsidR="00AF493F" w:rsidRPr="00F06DE2">
        <w:rPr>
          <w:rFonts w:ascii="Times New Roman" w:hAnsi="Times New Roman" w:cs="Times New Roman"/>
          <w:lang w:val="ru-RU"/>
        </w:rPr>
        <w:t xml:space="preserve">отработени </w:t>
      </w:r>
      <w:r w:rsidRPr="00F06DE2">
        <w:rPr>
          <w:rFonts w:ascii="Times New Roman" w:hAnsi="Times New Roman" w:cs="Times New Roman"/>
          <w:lang w:val="ru-RU"/>
        </w:rPr>
        <w:t xml:space="preserve">газове (например </w:t>
      </w:r>
      <w:r w:rsidR="00F1551B" w:rsidRPr="00F06DE2">
        <w:rPr>
          <w:rFonts w:ascii="Times New Roman" w:hAnsi="Times New Roman" w:cs="Times New Roman"/>
          <w:lang w:val="ru-RU"/>
        </w:rPr>
        <w:t xml:space="preserve">каталожен </w:t>
      </w:r>
      <w:r w:rsidRPr="00F06DE2">
        <w:rPr>
          <w:rFonts w:ascii="Times New Roman" w:hAnsi="Times New Roman" w:cs="Times New Roman"/>
          <w:lang w:val="ru-RU"/>
        </w:rPr>
        <w:t>номер върху елементи</w:t>
      </w:r>
      <w:r w:rsidR="00593EB2" w:rsidRPr="00F06DE2">
        <w:rPr>
          <w:rFonts w:ascii="Times New Roman" w:hAnsi="Times New Roman" w:cs="Times New Roman"/>
          <w:lang w:val="ru-RU"/>
        </w:rPr>
        <w:t>те</w:t>
      </w:r>
      <w:r w:rsidRPr="00F06DE2">
        <w:rPr>
          <w:rFonts w:ascii="Times New Roman" w:hAnsi="Times New Roman" w:cs="Times New Roman"/>
          <w:lang w:val="ru-RU"/>
        </w:rPr>
        <w:t>);</w:t>
      </w:r>
    </w:p>
    <w:p w14:paraId="7BD12A4F" w14:textId="0FD3F344"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г) параметрите на двигателя, имащи отношение към отделянето на отработ</w:t>
      </w:r>
      <w:r w:rsidR="00DB72BE" w:rsidRPr="00F06DE2">
        <w:rPr>
          <w:rFonts w:ascii="Times New Roman" w:hAnsi="Times New Roman" w:cs="Times New Roman"/>
          <w:lang w:val="ru-RU"/>
        </w:rPr>
        <w:t>ен</w:t>
      </w:r>
      <w:r w:rsidRPr="00F06DE2">
        <w:rPr>
          <w:rFonts w:ascii="Times New Roman" w:hAnsi="Times New Roman" w:cs="Times New Roman"/>
          <w:lang w:val="ru-RU"/>
        </w:rPr>
        <w:t>и газове, като например регулировъчните диапазони за момента на впръскване, допустимата температура на водата за охлаждане, максималното обратно налягане на отработ</w:t>
      </w:r>
      <w:r w:rsidR="00492A38" w:rsidRPr="00F06DE2">
        <w:rPr>
          <w:rFonts w:ascii="Times New Roman" w:hAnsi="Times New Roman" w:cs="Times New Roman"/>
          <w:lang w:val="ru-RU"/>
        </w:rPr>
        <w:t>ен</w:t>
      </w:r>
      <w:r w:rsidRPr="00F06DE2">
        <w:rPr>
          <w:rFonts w:ascii="Times New Roman" w:hAnsi="Times New Roman" w:cs="Times New Roman"/>
          <w:lang w:val="ru-RU"/>
        </w:rPr>
        <w:t>ите газове.</w:t>
      </w:r>
    </w:p>
    <w:p w14:paraId="22510C77" w14:textId="080934C2" w:rsidR="00271FA2" w:rsidRPr="00F06DE2" w:rsidRDefault="00D35E51">
      <w:pPr>
        <w:pStyle w:val="ES-Titre3"/>
        <w:spacing w:line="240" w:lineRule="atLeast"/>
        <w:rPr>
          <w:rFonts w:ascii="Times New Roman" w:hAnsi="Times New Roman" w:cs="Times New Roman"/>
          <w:i/>
          <w:sz w:val="24"/>
          <w:szCs w:val="24"/>
          <w:lang w:val="ru-RU"/>
        </w:rPr>
      </w:pPr>
      <w:bookmarkStart w:id="137" w:name="_Toc491854072"/>
      <w:bookmarkStart w:id="138" w:name="_Toc535827513"/>
      <w:r w:rsidRPr="00F06DE2">
        <w:rPr>
          <w:rFonts w:ascii="Times New Roman" w:hAnsi="Times New Roman" w:cs="Times New Roman"/>
          <w:sz w:val="24"/>
          <w:szCs w:val="24"/>
          <w:lang w:val="ru-RU"/>
        </w:rPr>
        <w:t>Член 9.05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Изпитвания на двигатели с вътрешно горене</w:t>
      </w:r>
      <w:bookmarkEnd w:id="137"/>
      <w:bookmarkEnd w:id="138"/>
    </w:p>
    <w:p w14:paraId="1A57FD23" w14:textId="2620E5E1"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r>
      <w:r w:rsidR="0098615A" w:rsidRPr="00F06DE2">
        <w:rPr>
          <w:rFonts w:ascii="Times New Roman" w:hAnsi="Times New Roman" w:cs="Times New Roman"/>
          <w:lang w:val="ru-RU"/>
        </w:rPr>
        <w:t xml:space="preserve">По време на теста за монтаж и в случай на междинни тестове и специални тестове, контролният орган </w:t>
      </w:r>
      <w:r w:rsidR="00481F8B" w:rsidRPr="00F06DE2">
        <w:rPr>
          <w:rFonts w:ascii="Times New Roman" w:hAnsi="Times New Roman" w:cs="Times New Roman"/>
          <w:lang w:val="ru-RU"/>
        </w:rPr>
        <w:t xml:space="preserve"> проверява</w:t>
      </w:r>
      <w:r w:rsidR="0098615A" w:rsidRPr="00F06DE2">
        <w:rPr>
          <w:rFonts w:ascii="Times New Roman" w:hAnsi="Times New Roman" w:cs="Times New Roman"/>
          <w:lang w:val="ru-RU"/>
        </w:rPr>
        <w:t xml:space="preserve"> текущото състояние на двигателя по отношение на компонентите, настройките и параметрите, посочени в инструкциите на производителя на двигателя.</w:t>
      </w:r>
    </w:p>
    <w:p w14:paraId="3C96DB44" w14:textId="7664B15C"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r>
      <w:r w:rsidR="0098615A" w:rsidRPr="00F06DE2">
        <w:rPr>
          <w:rFonts w:ascii="Times New Roman" w:hAnsi="Times New Roman" w:cs="Times New Roman"/>
          <w:lang w:val="ru-RU"/>
        </w:rPr>
        <w:t xml:space="preserve">Контролният орган документира изпитванията, проведени съгласно </w:t>
      </w:r>
      <w:r w:rsidR="00161D1A" w:rsidRPr="00F06DE2">
        <w:rPr>
          <w:rFonts w:ascii="Times New Roman" w:hAnsi="Times New Roman" w:cs="Times New Roman"/>
          <w:lang w:val="ru-RU"/>
        </w:rPr>
        <w:t>т.</w:t>
      </w:r>
      <w:r w:rsidR="00161D1A" w:rsidRPr="00F06DE2" w:rsidDel="00161D1A">
        <w:rPr>
          <w:rFonts w:ascii="Times New Roman" w:hAnsi="Times New Roman" w:cs="Times New Roman"/>
          <w:lang w:val="ru-RU"/>
        </w:rPr>
        <w:t xml:space="preserve"> </w:t>
      </w:r>
      <w:r w:rsidR="0098615A" w:rsidRPr="00F06DE2">
        <w:rPr>
          <w:rFonts w:ascii="Times New Roman" w:hAnsi="Times New Roman" w:cs="Times New Roman"/>
          <w:lang w:val="ru-RU"/>
        </w:rPr>
        <w:t>1.</w:t>
      </w:r>
    </w:p>
    <w:p w14:paraId="02669859" w14:textId="47CF1AAD"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Ако монтажът, междинните и специалните изпитвания покажат, че по отношение на своите параметри, съставни елементи и настройки, двигателите с вътрешно горене, монтирани на борда, отговарят на спецификациите, посочени в документите, обхванати от член 9.01, точка 3, може да се приеме, че емисиите на отработ</w:t>
      </w:r>
      <w:r w:rsidR="005E3567" w:rsidRPr="00F06DE2">
        <w:rPr>
          <w:rFonts w:ascii="Times New Roman" w:hAnsi="Times New Roman" w:cs="Times New Roman"/>
          <w:lang w:val="ru-RU"/>
        </w:rPr>
        <w:t>ен</w:t>
      </w:r>
      <w:r w:rsidRPr="00F06DE2">
        <w:rPr>
          <w:rFonts w:ascii="Times New Roman" w:hAnsi="Times New Roman" w:cs="Times New Roman"/>
          <w:lang w:val="ru-RU"/>
        </w:rPr>
        <w:t>и газове и частици от двигателите с вътрешно горене са съобразени с пределно допустимите стойности.</w:t>
      </w:r>
    </w:p>
    <w:p w14:paraId="34EF3D3D" w14:textId="77777777" w:rsidR="00271FA2" w:rsidRPr="00F06DE2" w:rsidRDefault="00D35E51">
      <w:pPr>
        <w:pStyle w:val="ESchpar"/>
        <w:jc w:val="both"/>
        <w:rPr>
          <w:rFonts w:ascii="Times New Roman" w:hAnsi="Times New Roman" w:cs="Times New Roman"/>
          <w:snapToGrid w:val="0"/>
          <w:color w:val="000000"/>
          <w:lang w:val="ru-RU"/>
        </w:rPr>
      </w:pPr>
      <w:r w:rsidRPr="00F06DE2">
        <w:rPr>
          <w:rFonts w:ascii="Times New Roman" w:hAnsi="Times New Roman" w:cs="Times New Roman"/>
          <w:lang w:val="ru-RU"/>
        </w:rPr>
        <w:t xml:space="preserve">Ако контролният орган установи, че двигател с вътрешно горене не отговаря на изискванията, посочени в документите, обхванати от член 9.01, точка 3, той изисква </w:t>
      </w:r>
      <w:r w:rsidRPr="00F06DE2">
        <w:rPr>
          <w:rFonts w:ascii="Times New Roman" w:hAnsi="Times New Roman" w:cs="Times New Roman"/>
          <w:snapToGrid w:val="0"/>
          <w:color w:val="000000"/>
          <w:lang w:val="ru-RU"/>
        </w:rPr>
        <w:t>да се предприемат стъпки за възстановяване на съответствието на двигателя с вътрешно горене.</w:t>
      </w:r>
    </w:p>
    <w:p w14:paraId="590D1BC3" w14:textId="0858D9EA"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В случай на двигатели с </w:t>
      </w:r>
      <w:r w:rsidRPr="00F06DE2">
        <w:rPr>
          <w:rFonts w:ascii="Times New Roman" w:hAnsi="Times New Roman" w:cs="Times New Roman"/>
          <w:snapToGrid w:val="0"/>
          <w:color w:val="000000"/>
          <w:lang w:val="ru-RU"/>
        </w:rPr>
        <w:t>вътрешно горене</w:t>
      </w:r>
      <w:r w:rsidRPr="00F06DE2">
        <w:rPr>
          <w:rFonts w:ascii="Times New Roman" w:hAnsi="Times New Roman" w:cs="Times New Roman"/>
          <w:lang w:val="ru-RU"/>
        </w:rPr>
        <w:t xml:space="preserve"> със системи за обработка на отработ</w:t>
      </w:r>
      <w:r w:rsidR="005E3567" w:rsidRPr="00F06DE2">
        <w:rPr>
          <w:rFonts w:ascii="Times New Roman" w:hAnsi="Times New Roman" w:cs="Times New Roman"/>
          <w:lang w:val="ru-RU"/>
        </w:rPr>
        <w:t>ен</w:t>
      </w:r>
      <w:r w:rsidRPr="00F06DE2">
        <w:rPr>
          <w:rFonts w:ascii="Times New Roman" w:hAnsi="Times New Roman" w:cs="Times New Roman"/>
          <w:lang w:val="ru-RU"/>
        </w:rPr>
        <w:t xml:space="preserve">ите газове се извършват проверки за установяване дали тези системи работят правилно в контекста на монтажа, междинното или специалното изпитване. </w:t>
      </w:r>
    </w:p>
    <w:p w14:paraId="0595512D" w14:textId="77777777" w:rsidR="00F324C9" w:rsidRPr="00F06DE2" w:rsidRDefault="00F324C9">
      <w:pPr>
        <w:pStyle w:val="ES-Titre3"/>
        <w:spacing w:line="240" w:lineRule="atLeast"/>
        <w:rPr>
          <w:rFonts w:ascii="Times New Roman" w:hAnsi="Times New Roman" w:cs="Times New Roman"/>
          <w:sz w:val="24"/>
          <w:szCs w:val="24"/>
          <w:lang w:val="ru-RU"/>
        </w:rPr>
      </w:pPr>
      <w:bookmarkStart w:id="139" w:name="_Toc491854073"/>
      <w:bookmarkStart w:id="140" w:name="_Toc535827514"/>
    </w:p>
    <w:p w14:paraId="66EEE712" w14:textId="0FE5FFDC"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9.06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Изпитвания на монтажа</w:t>
      </w:r>
      <w:bookmarkEnd w:id="139"/>
      <w:bookmarkEnd w:id="140"/>
    </w:p>
    <w:p w14:paraId="7623989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След монтирането на двигател с </w:t>
      </w:r>
      <w:r w:rsidRPr="00F06DE2">
        <w:rPr>
          <w:rFonts w:ascii="Times New Roman" w:hAnsi="Times New Roman" w:cs="Times New Roman"/>
          <w:snapToGrid w:val="0"/>
          <w:color w:val="000000"/>
          <w:lang w:val="ru-RU"/>
        </w:rPr>
        <w:t xml:space="preserve">вътрешно горене </w:t>
      </w:r>
      <w:r w:rsidRPr="00F06DE2">
        <w:rPr>
          <w:rFonts w:ascii="Times New Roman" w:hAnsi="Times New Roman" w:cs="Times New Roman"/>
          <w:lang w:val="ru-RU"/>
        </w:rPr>
        <w:t xml:space="preserve">на борда, но преди да започне използването му се провежда изпитване на монтажа. Това изпитване, което е част от първоначалната проверка на плавателното средство или от специална проверка по повод на монтирането на съответния двигател с </w:t>
      </w:r>
      <w:r w:rsidRPr="00F06DE2">
        <w:rPr>
          <w:rFonts w:ascii="Times New Roman" w:hAnsi="Times New Roman" w:cs="Times New Roman"/>
          <w:snapToGrid w:val="0"/>
          <w:color w:val="000000"/>
          <w:lang w:val="ru-RU"/>
        </w:rPr>
        <w:t>вътрешно горене</w:t>
      </w:r>
      <w:r w:rsidRPr="00F06DE2">
        <w:rPr>
          <w:rFonts w:ascii="Times New Roman" w:hAnsi="Times New Roman" w:cs="Times New Roman"/>
          <w:lang w:val="ru-RU"/>
        </w:rPr>
        <w:t>, довежда или до регистрация на двигателя в Корабното удостоверение за вътрешно корабоплаване, което следва да бъде издадено за първи път, или до изменение на съществуващото Корабно удостоверение за вътрешно корабоплаване.</w:t>
      </w:r>
    </w:p>
    <w:p w14:paraId="4EA0FC9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По време на изпитването на монтажа проверката на контролния орган трябва да гарантира, че даден двигател, монтиран на борда, все още отговаря на техническите изисквания относно нивото на емисиите на газообразни замърсители и прахови частици, дори след като е претърпял изменения или адаптации след издаването на одобрението на типа. </w:t>
      </w:r>
    </w:p>
    <w:p w14:paraId="110822A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Контролният орган може да не извърши изпитване на монтажа съгласно точка 1, ако двигател с </w:t>
      </w:r>
      <w:r w:rsidRPr="00F06DE2">
        <w:rPr>
          <w:rFonts w:ascii="Times New Roman" w:hAnsi="Times New Roman" w:cs="Times New Roman"/>
          <w:snapToGrid w:val="0"/>
          <w:lang w:val="ru-RU"/>
        </w:rPr>
        <w:t xml:space="preserve">вътрешно горене </w:t>
      </w:r>
      <w:r w:rsidRPr="00F06DE2">
        <w:rPr>
          <w:rFonts w:ascii="Times New Roman" w:hAnsi="Times New Roman" w:cs="Times New Roman"/>
          <w:lang w:val="ru-RU"/>
        </w:rPr>
        <w:t xml:space="preserve">с еталонна мощност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m:t>
            </m:r>
          </m:sub>
        </m:sSub>
      </m:oMath>
      <w:r w:rsidRPr="00F06DE2">
        <w:rPr>
          <w:rFonts w:ascii="Times New Roman" w:hAnsi="Times New Roman" w:cs="Times New Roman"/>
          <w:lang w:val="ru-RU"/>
        </w:rPr>
        <w:t xml:space="preserve"> по-малка от 130 </w:t>
      </w:r>
      <w:r w:rsidRPr="00F06DE2">
        <w:rPr>
          <w:rFonts w:ascii="Times New Roman" w:hAnsi="Times New Roman" w:cs="Times New Roman"/>
        </w:rPr>
        <w:t>kW</w:t>
      </w:r>
      <w:r w:rsidRPr="00F06DE2">
        <w:rPr>
          <w:rFonts w:ascii="Times New Roman" w:hAnsi="Times New Roman" w:cs="Times New Roman"/>
          <w:lang w:val="ru-RU"/>
        </w:rPr>
        <w:t xml:space="preserve"> е заменен с двигател с вътрешно горене, попадащ в обхвата на същото одобрение на типа съгласно член 9.01, точка 2. Като предпоставка за това се съобщава на контролния орган за замяната на двигателя и му се предоставя копие на документа за одобрение на типа и данни за идентификационния номер на монтирания на ново двигател. Контролният орган извършва съответните изменения в точка 52 от Корабното удостоверение за вътрешно корабоплаване.</w:t>
      </w:r>
    </w:p>
    <w:p w14:paraId="00270232" w14:textId="6D5656DF" w:rsidR="00271FA2" w:rsidRPr="00F06DE2" w:rsidRDefault="00D35E51">
      <w:pPr>
        <w:pStyle w:val="ES-Titre3"/>
        <w:spacing w:line="240" w:lineRule="atLeast"/>
        <w:rPr>
          <w:rFonts w:ascii="Times New Roman" w:hAnsi="Times New Roman" w:cs="Times New Roman"/>
          <w:i/>
          <w:sz w:val="24"/>
          <w:szCs w:val="24"/>
          <w:lang w:val="ru-RU"/>
        </w:rPr>
      </w:pPr>
      <w:bookmarkStart w:id="141" w:name="_Toc535827515"/>
      <w:bookmarkStart w:id="142" w:name="_Toc491854074"/>
      <w:r w:rsidRPr="00F06DE2">
        <w:rPr>
          <w:rFonts w:ascii="Times New Roman" w:hAnsi="Times New Roman" w:cs="Times New Roman"/>
          <w:sz w:val="24"/>
          <w:szCs w:val="24"/>
          <w:lang w:val="ru-RU"/>
        </w:rPr>
        <w:t>Член 9.07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Междинни изпитвания</w:t>
      </w:r>
      <w:bookmarkEnd w:id="141"/>
      <w:bookmarkEnd w:id="142"/>
    </w:p>
    <w:p w14:paraId="738BE63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1.</w:t>
      </w:r>
      <w:r w:rsidRPr="00F06DE2">
        <w:rPr>
          <w:rFonts w:ascii="Times New Roman" w:hAnsi="Times New Roman" w:cs="Times New Roman"/>
          <w:lang w:val="ru-RU"/>
        </w:rPr>
        <w:tab/>
        <w:t xml:space="preserve">В случай на междинни изпитвания проверката на контролния орган трябва да гарантира, че монтиран на борда двигател все още отговаря на техническите изисквания относно нивото на емисиите на газообразни замърсители и прахови частици, дори след като е претърпял изменения или адаптации след изпитването на монтажа. </w:t>
      </w:r>
    </w:p>
    <w:p w14:paraId="590CCD9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Междинните изпитвания на двигател с вътрешно горене се извършват в контекста на периодична проверка на плавателното средство.</w:t>
      </w:r>
    </w:p>
    <w:p w14:paraId="49C9860E" w14:textId="77777777" w:rsidR="00F324C9" w:rsidRPr="00F06DE2" w:rsidRDefault="00F324C9">
      <w:pPr>
        <w:pStyle w:val="ES-Titre3"/>
        <w:spacing w:line="240" w:lineRule="atLeast"/>
        <w:rPr>
          <w:rFonts w:ascii="Times New Roman" w:hAnsi="Times New Roman" w:cs="Times New Roman"/>
          <w:sz w:val="24"/>
          <w:szCs w:val="24"/>
          <w:lang w:val="ru-RU"/>
        </w:rPr>
      </w:pPr>
      <w:bookmarkStart w:id="143" w:name="_Toc491854075"/>
      <w:bookmarkStart w:id="144" w:name="_Toc535827516"/>
    </w:p>
    <w:p w14:paraId="5B36EAE6" w14:textId="41468783"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9.08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изпитвания</w:t>
      </w:r>
      <w:bookmarkEnd w:id="143"/>
      <w:bookmarkEnd w:id="144"/>
    </w:p>
    <w:p w14:paraId="64DE4E5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В случай на специални изпитвания, проверката на контролния орган трябва да гарантира, че монтиран на борда двигател все още отговаря на техническите изисквания относно нивото на емисиите на газообразни замърсители и прахови частици след всяка значителна промяна. </w:t>
      </w:r>
    </w:p>
    <w:p w14:paraId="3F71840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След всяка значителна промяна по двигателя, която може потенциално да повлияе на емисиите на газообразни и прахови замърсители от двигателя с вътрешно горене, трябва винаги да се провежда специално изпитване.</w:t>
      </w:r>
    </w:p>
    <w:p w14:paraId="69C9E1C9" w14:textId="77777777" w:rsidR="00F324C9" w:rsidRPr="00F06DE2" w:rsidRDefault="00F324C9">
      <w:pPr>
        <w:pStyle w:val="ES-Titre3"/>
        <w:spacing w:line="240" w:lineRule="atLeast"/>
        <w:rPr>
          <w:rFonts w:ascii="Times New Roman" w:hAnsi="Times New Roman" w:cs="Times New Roman"/>
          <w:sz w:val="24"/>
          <w:szCs w:val="24"/>
          <w:lang w:val="ru-RU"/>
        </w:rPr>
      </w:pPr>
      <w:bookmarkStart w:id="145" w:name="_Toc491854076"/>
      <w:bookmarkStart w:id="146" w:name="_Toc535827517"/>
    </w:p>
    <w:p w14:paraId="290A23A1" w14:textId="77777777" w:rsidR="00434B85" w:rsidRPr="00F06DE2" w:rsidRDefault="00D35E51" w:rsidP="00434B85">
      <w:pPr>
        <w:pStyle w:val="ES-Titre3"/>
        <w:spacing w:after="0"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9.09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Специфични изисквания относно системи за последваща обработка</w:t>
      </w:r>
    </w:p>
    <w:p w14:paraId="00E2E181" w14:textId="63E813C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 xml:space="preserve"> на отработ</w:t>
      </w:r>
      <w:r w:rsidR="00023352" w:rsidRPr="00F06DE2">
        <w:rPr>
          <w:rFonts w:ascii="Times New Roman" w:hAnsi="Times New Roman" w:cs="Times New Roman"/>
          <w:i/>
          <w:sz w:val="24"/>
          <w:szCs w:val="24"/>
          <w:lang w:val="ru-RU"/>
        </w:rPr>
        <w:t>ен</w:t>
      </w:r>
      <w:r w:rsidRPr="00F06DE2">
        <w:rPr>
          <w:rFonts w:ascii="Times New Roman" w:hAnsi="Times New Roman" w:cs="Times New Roman"/>
          <w:i/>
          <w:sz w:val="24"/>
          <w:szCs w:val="24"/>
          <w:lang w:val="ru-RU"/>
        </w:rPr>
        <w:t>ите газове</w:t>
      </w:r>
      <w:bookmarkEnd w:id="145"/>
      <w:bookmarkEnd w:id="146"/>
    </w:p>
    <w:p w14:paraId="1AF1C6FD" w14:textId="73383DD3"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Системите за последваща обработка на отработ</w:t>
      </w:r>
      <w:r w:rsidR="008C0AD7" w:rsidRPr="00F06DE2">
        <w:rPr>
          <w:rFonts w:ascii="Times New Roman" w:hAnsi="Times New Roman" w:cs="Times New Roman"/>
          <w:lang w:val="ru-RU"/>
        </w:rPr>
        <w:t>ен</w:t>
      </w:r>
      <w:r w:rsidRPr="00F06DE2">
        <w:rPr>
          <w:rFonts w:ascii="Times New Roman" w:hAnsi="Times New Roman" w:cs="Times New Roman"/>
          <w:lang w:val="ru-RU"/>
        </w:rPr>
        <w:t xml:space="preserve">ите газове не трябва да нарушават безопасната експлоатация на плавателното средство, включително на задвижващата система и електрозахранването, нито да блокират изпускателната уредба. </w:t>
      </w:r>
    </w:p>
    <w:p w14:paraId="486BA96F" w14:textId="1967AE42"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Когато система за последваща обработка на отработ</w:t>
      </w:r>
      <w:r w:rsidR="008C0AD7" w:rsidRPr="00F06DE2">
        <w:rPr>
          <w:rFonts w:ascii="Times New Roman" w:hAnsi="Times New Roman" w:cs="Times New Roman"/>
          <w:lang w:val="ru-RU"/>
        </w:rPr>
        <w:t>ен</w:t>
      </w:r>
      <w:r w:rsidRPr="00F06DE2">
        <w:rPr>
          <w:rFonts w:ascii="Times New Roman" w:hAnsi="Times New Roman" w:cs="Times New Roman"/>
          <w:lang w:val="ru-RU"/>
        </w:rPr>
        <w:t>ите газове на двигателите с вътрешно горене, които осигуряват главното задвижване на плавателното средство, е оборудвана с устройство, позволяващо нейното заобикаляне, то трябва да отговаря на следните условия:</w:t>
      </w:r>
    </w:p>
    <w:p w14:paraId="654FDE47" w14:textId="2975B1BF" w:rsidR="00271FA2" w:rsidRPr="00F06DE2" w:rsidRDefault="00D35E51" w:rsidP="008A4AA3">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В случай на отказ на системата за последваща обработка на отработ</w:t>
      </w:r>
      <w:r w:rsidR="008C0AD7" w:rsidRPr="00F06DE2">
        <w:rPr>
          <w:rFonts w:ascii="Times New Roman" w:hAnsi="Times New Roman" w:cs="Times New Roman"/>
          <w:lang w:val="ru-RU"/>
        </w:rPr>
        <w:t>ен</w:t>
      </w:r>
      <w:r w:rsidRPr="00F06DE2">
        <w:rPr>
          <w:rFonts w:ascii="Times New Roman" w:hAnsi="Times New Roman" w:cs="Times New Roman"/>
          <w:lang w:val="ru-RU"/>
        </w:rPr>
        <w:t>ите газове, активирането на устройството за заобикалянето ѝ трябва да позволява на плавателното средство да остане управляемо на собствен ход;</w:t>
      </w:r>
    </w:p>
    <w:p w14:paraId="440F2EF2" w14:textId="77777777" w:rsidR="00271FA2" w:rsidRPr="00F06DE2" w:rsidRDefault="00D35E51" w:rsidP="008A4AA3">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В случай на задействане на устройството за заобикаляне на системата за последваща обработка системата за управление на това устройство подава звуков и светлинен алармен сигнал в рулевата рубка;</w:t>
      </w:r>
    </w:p>
    <w:p w14:paraId="1588DC00" w14:textId="77777777" w:rsidR="00271FA2" w:rsidRPr="00F06DE2" w:rsidRDefault="00D35E51" w:rsidP="008A4AA3">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Системата за управление на устройството за заобикаляне на системата за последваща обработка записва в постоянна компютърна памет всички инциденти във връзка с работата на двигателя с използването на това устройство. Информацията трябва да бъде лесно достъпна за компетентните органи.</w:t>
      </w:r>
    </w:p>
    <w:p w14:paraId="3E6C968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Когато в съответствие с член 25, точка 3, буква “е” от Регламент (ЕС) 2016/1628 е инсталирана диагностична система за контрол, изискваните алармени системи трябва да задействат звуков и оптичен алармен сигнал в рулевата рубка в случай на неизправности.</w:t>
      </w:r>
    </w:p>
    <w:p w14:paraId="66D8CC61" w14:textId="2FA70A4F"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Ако система за последваща обработка на отработ</w:t>
      </w:r>
      <w:r w:rsidR="008C0AD7" w:rsidRPr="00F06DE2">
        <w:rPr>
          <w:rFonts w:ascii="Times New Roman" w:hAnsi="Times New Roman" w:cs="Times New Roman"/>
          <w:lang w:val="ru-RU"/>
        </w:rPr>
        <w:t>ен</w:t>
      </w:r>
      <w:r w:rsidRPr="00F06DE2">
        <w:rPr>
          <w:rFonts w:ascii="Times New Roman" w:hAnsi="Times New Roman" w:cs="Times New Roman"/>
          <w:lang w:val="ru-RU"/>
        </w:rPr>
        <w:t xml:space="preserve">и газове разчита на използването на реагент за намаляване на емисиите, изискваните алармени системи трябва да сигнализират на екипажа за нуждата от напълване на резервоара за реагент преди той да се изпразни или за необходимостта от подмяна на реагента, ако той не отговаря на спецификациите за концентрация. </w:t>
      </w:r>
    </w:p>
    <w:p w14:paraId="26259CAD"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Когато диагностичната система за контрол, инсталирана в съответствие с член 25, точка 3, буква “е” от Регламент (ЕС) 2016/1628, може да активира намаление на мощността на двигателя с вътрешно горене, трябва да са изпълнени следните изисквания:</w:t>
      </w:r>
    </w:p>
    <w:p w14:paraId="0BF860DB" w14:textId="3D90EF10" w:rsidR="00271FA2" w:rsidRPr="00F06DE2" w:rsidRDefault="00D35E51" w:rsidP="008A4AA3">
      <w:pPr>
        <w:spacing w:line="240" w:lineRule="atLeast"/>
        <w:ind w:left="567"/>
        <w:jc w:val="both"/>
        <w:rPr>
          <w:rFonts w:ascii="Times New Roman" w:hAnsi="Times New Roman" w:cs="Times New Roman"/>
          <w:lang w:val="ru-RU"/>
        </w:rPr>
      </w:pPr>
      <w:r w:rsidRPr="00F06DE2">
        <w:rPr>
          <w:rFonts w:ascii="Times New Roman" w:hAnsi="Times New Roman" w:cs="Times New Roman"/>
        </w:rPr>
        <w:lastRenderedPageBreak/>
        <w:t>a</w:t>
      </w:r>
      <w:r w:rsidRPr="00F06DE2">
        <w:rPr>
          <w:rFonts w:ascii="Times New Roman" w:hAnsi="Times New Roman" w:cs="Times New Roman"/>
          <w:lang w:val="ru-RU"/>
        </w:rPr>
        <w:t xml:space="preserve">) </w:t>
      </w:r>
      <w:r w:rsidR="009427D1" w:rsidRPr="00F06DE2">
        <w:rPr>
          <w:rFonts w:ascii="Times New Roman" w:hAnsi="Times New Roman" w:cs="Times New Roman"/>
          <w:lang w:val="ru-RU"/>
        </w:rPr>
        <w:t>з</w:t>
      </w:r>
      <w:r w:rsidRPr="00F06DE2">
        <w:rPr>
          <w:rFonts w:ascii="Times New Roman" w:hAnsi="Times New Roman" w:cs="Times New Roman"/>
          <w:lang w:val="ru-RU"/>
        </w:rPr>
        <w:t>адействането на намалението на мощността трябва да позволява на плавателното средство да остане управляемо на собствен ход;</w:t>
      </w:r>
    </w:p>
    <w:p w14:paraId="52A87A63" w14:textId="5BFA9A52" w:rsidR="00271FA2" w:rsidRPr="00F06DE2" w:rsidRDefault="00D35E51" w:rsidP="008A4AA3">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б) </w:t>
      </w:r>
      <w:r w:rsidR="009427D1" w:rsidRPr="00F06DE2">
        <w:rPr>
          <w:rFonts w:ascii="Times New Roman" w:hAnsi="Times New Roman" w:cs="Times New Roman"/>
          <w:lang w:val="ru-RU"/>
        </w:rPr>
        <w:t>в</w:t>
      </w:r>
      <w:r w:rsidRPr="00F06DE2">
        <w:rPr>
          <w:rFonts w:ascii="Times New Roman" w:hAnsi="Times New Roman" w:cs="Times New Roman"/>
          <w:lang w:val="ru-RU"/>
        </w:rPr>
        <w:t xml:space="preserve"> случай на задействане на намаление на мощността, системата за контрол трябва да подава звуков и светлинен алармен сигнал в рулевата рубка;</w:t>
      </w:r>
    </w:p>
    <w:p w14:paraId="246C171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Изискването по точка 1 се счита за изпълнено, когато плавателният съд е оборудван с: </w:t>
      </w:r>
    </w:p>
    <w:p w14:paraId="61BE68C7" w14:textId="1E57B3E8" w:rsidR="00271FA2" w:rsidRPr="00F06DE2" w:rsidRDefault="00D35E51" w:rsidP="008A4AA3">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втора независима система за задвижване (дори ако тази втора система също включва система за </w:t>
      </w:r>
      <w:r w:rsidR="00D2492E" w:rsidRPr="00F06DE2">
        <w:rPr>
          <w:rFonts w:ascii="Times New Roman" w:hAnsi="Times New Roman" w:cs="Times New Roman"/>
          <w:lang w:val="ru-RU"/>
        </w:rPr>
        <w:t>пос</w:t>
      </w:r>
      <w:r w:rsidRPr="00F06DE2">
        <w:rPr>
          <w:rFonts w:ascii="Times New Roman" w:hAnsi="Times New Roman" w:cs="Times New Roman"/>
          <w:lang w:val="ru-RU"/>
        </w:rPr>
        <w:t>л</w:t>
      </w:r>
      <w:r w:rsidR="00D2492E" w:rsidRPr="00F06DE2">
        <w:rPr>
          <w:rFonts w:ascii="Times New Roman" w:hAnsi="Times New Roman" w:cs="Times New Roman"/>
          <w:lang w:val="ru-RU"/>
        </w:rPr>
        <w:t xml:space="preserve">ваща </w:t>
      </w:r>
      <w:r w:rsidRPr="00F06DE2">
        <w:rPr>
          <w:rFonts w:ascii="Times New Roman" w:hAnsi="Times New Roman" w:cs="Times New Roman"/>
          <w:lang w:val="ru-RU"/>
        </w:rPr>
        <w:t>обработка на отработ</w:t>
      </w:r>
      <w:r w:rsidR="00D2492E" w:rsidRPr="00F06DE2">
        <w:rPr>
          <w:rFonts w:ascii="Times New Roman" w:hAnsi="Times New Roman" w:cs="Times New Roman"/>
          <w:lang w:val="ru-RU"/>
        </w:rPr>
        <w:t>ен</w:t>
      </w:r>
      <w:r w:rsidRPr="00F06DE2">
        <w:rPr>
          <w:rFonts w:ascii="Times New Roman" w:hAnsi="Times New Roman" w:cs="Times New Roman"/>
          <w:lang w:val="ru-RU"/>
        </w:rPr>
        <w:t>ите газове), която позволява на плавателното средство да остане управляемо на собствен ход; или</w:t>
      </w:r>
    </w:p>
    <w:p w14:paraId="60C68690" w14:textId="77777777" w:rsidR="00271FA2" w:rsidRPr="00F06DE2" w:rsidRDefault="00D35E51" w:rsidP="008A4AA3">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система за последваща обработка с устройство за нейното заобикаляне съгласно точка 2; или</w:t>
      </w:r>
    </w:p>
    <w:p w14:paraId="3B252E36" w14:textId="73F5C07C" w:rsidR="007B7E45" w:rsidRPr="00F06DE2" w:rsidRDefault="00D35E51" w:rsidP="007B49D5">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w:t>
      </w:r>
      <w:r w:rsidR="007B49D5" w:rsidRPr="00F06DE2">
        <w:rPr>
          <w:rFonts w:ascii="Times New Roman" w:hAnsi="Times New Roman" w:cs="Times New Roman"/>
          <w:lang w:val="ru-RU"/>
        </w:rPr>
        <w:t xml:space="preserve">когато плавателният съд е само с едномоторна пропулсивна система – </w:t>
      </w:r>
      <w:r w:rsidRPr="00F06DE2">
        <w:rPr>
          <w:rFonts w:ascii="Times New Roman" w:hAnsi="Times New Roman" w:cs="Times New Roman"/>
          <w:lang w:val="ru-RU"/>
        </w:rPr>
        <w:t>алармена система</w:t>
      </w:r>
      <w:r w:rsidR="00D2492E" w:rsidRPr="00F06DE2">
        <w:rPr>
          <w:rFonts w:ascii="Times New Roman" w:hAnsi="Times New Roman" w:cs="Times New Roman"/>
          <w:lang w:val="ru-RU"/>
        </w:rPr>
        <w:t>,</w:t>
      </w:r>
      <w:r w:rsidRPr="00F06DE2">
        <w:rPr>
          <w:rFonts w:ascii="Times New Roman" w:hAnsi="Times New Roman" w:cs="Times New Roman"/>
          <w:lang w:val="ru-RU"/>
        </w:rPr>
        <w:t xml:space="preserve"> позволяваща предупреждение за неизправност на системата за последваща обработка, комбинирана с възможност за отмяна на автоматичното изключване на двигателя, за да продължи </w:t>
      </w:r>
      <w:r w:rsidR="007B49D5" w:rsidRPr="00F06DE2">
        <w:rPr>
          <w:rFonts w:ascii="Times New Roman" w:hAnsi="Times New Roman" w:cs="Times New Roman"/>
          <w:lang w:val="ru-RU"/>
        </w:rPr>
        <w:t>работа</w:t>
      </w:r>
      <w:r w:rsidRPr="00F06DE2">
        <w:rPr>
          <w:rFonts w:ascii="Times New Roman" w:hAnsi="Times New Roman" w:cs="Times New Roman"/>
          <w:lang w:val="ru-RU"/>
        </w:rPr>
        <w:t xml:space="preserve"> най-малко 30 минути, </w:t>
      </w:r>
      <w:r w:rsidR="007B49D5" w:rsidRPr="00F06DE2">
        <w:rPr>
          <w:rFonts w:ascii="Times New Roman" w:hAnsi="Times New Roman" w:cs="Times New Roman"/>
        </w:rPr>
        <w:t>така че</w:t>
      </w:r>
      <w:r w:rsidRPr="00F06DE2">
        <w:rPr>
          <w:rFonts w:ascii="Times New Roman" w:hAnsi="Times New Roman" w:cs="Times New Roman"/>
          <w:lang w:val="ru-RU"/>
        </w:rPr>
        <w:t xml:space="preserve"> да достигне безопасн</w:t>
      </w:r>
      <w:r w:rsidR="00FE40FE" w:rsidRPr="00F06DE2">
        <w:rPr>
          <w:rFonts w:ascii="Times New Roman" w:hAnsi="Times New Roman" w:cs="Times New Roman"/>
          <w:lang w:val="ru-RU"/>
        </w:rPr>
        <w:t>а</w:t>
      </w:r>
      <w:r w:rsidRPr="00F06DE2">
        <w:rPr>
          <w:rFonts w:ascii="Times New Roman" w:hAnsi="Times New Roman" w:cs="Times New Roman"/>
          <w:lang w:val="ru-RU"/>
        </w:rPr>
        <w:t xml:space="preserve"> котвена стоянка.</w:t>
      </w:r>
    </w:p>
    <w:p w14:paraId="1C6A96AD" w14:textId="35E64C7C" w:rsidR="007B7E45" w:rsidRPr="00F06DE2" w:rsidRDefault="007B7E45" w:rsidP="007B7E45">
      <w:pPr>
        <w:ind w:left="567" w:hanging="567"/>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Системите за последваща обработка на отработени газове, които все още не са включени в обхвата на типовото одобрение на двигателя, трябва да бъдат въведени със следните данни в точка 52 от </w:t>
      </w:r>
      <w:r w:rsidR="004F5D4F" w:rsidRPr="00F06DE2">
        <w:rPr>
          <w:rFonts w:ascii="Times New Roman" w:hAnsi="Times New Roman" w:cs="Times New Roman"/>
          <w:lang w:val="ru-RU"/>
        </w:rPr>
        <w:t xml:space="preserve">Корабното удостоверение  за вътрешно корабоплаване </w:t>
      </w:r>
      <w:r w:rsidRPr="00F06DE2">
        <w:rPr>
          <w:rFonts w:ascii="Times New Roman" w:hAnsi="Times New Roman" w:cs="Times New Roman"/>
          <w:lang w:val="ru-RU"/>
        </w:rPr>
        <w:t>за въпросния двигател:</w:t>
      </w:r>
    </w:p>
    <w:p w14:paraId="40232225" w14:textId="77777777" w:rsidR="007B7E45" w:rsidRPr="00F06DE2" w:rsidRDefault="007B7E45" w:rsidP="008A4AA3">
      <w:pPr>
        <w:ind w:firstLine="567"/>
        <w:rPr>
          <w:rFonts w:ascii="Times New Roman" w:hAnsi="Times New Roman" w:cs="Times New Roman"/>
          <w:lang w:val="ru-RU"/>
        </w:rPr>
      </w:pPr>
      <w:r w:rsidRPr="00F06DE2">
        <w:rPr>
          <w:rFonts w:ascii="Times New Roman" w:hAnsi="Times New Roman" w:cs="Times New Roman"/>
          <w:lang w:val="ru-RU"/>
        </w:rPr>
        <w:t>а) производител,</w:t>
      </w:r>
    </w:p>
    <w:p w14:paraId="1EE1C13B" w14:textId="77777777" w:rsidR="007B7E45" w:rsidRPr="00F06DE2" w:rsidRDefault="007B7E45" w:rsidP="008A4AA3">
      <w:pPr>
        <w:ind w:firstLine="567"/>
        <w:rPr>
          <w:rFonts w:ascii="Times New Roman" w:hAnsi="Times New Roman" w:cs="Times New Roman"/>
          <w:lang w:val="ru-RU"/>
        </w:rPr>
      </w:pPr>
      <w:r w:rsidRPr="00F06DE2">
        <w:rPr>
          <w:rFonts w:ascii="Times New Roman" w:hAnsi="Times New Roman" w:cs="Times New Roman"/>
          <w:lang w:val="ru-RU"/>
        </w:rPr>
        <w:t>б) обозначение на типа,</w:t>
      </w:r>
    </w:p>
    <w:p w14:paraId="55BEBB77" w14:textId="33B5BAA6" w:rsidR="007B7E45" w:rsidRPr="00F06DE2" w:rsidRDefault="007B7E45" w:rsidP="008A4AA3">
      <w:pPr>
        <w:pStyle w:val="ESlet"/>
        <w:spacing w:before="0"/>
        <w:ind w:left="0" w:firstLine="567"/>
        <w:jc w:val="both"/>
        <w:rPr>
          <w:rFonts w:ascii="Times New Roman" w:hAnsi="Times New Roman" w:cs="Times New Roman"/>
          <w:lang w:val="ru-RU"/>
        </w:rPr>
      </w:pPr>
      <w:r w:rsidRPr="00F06DE2">
        <w:rPr>
          <w:rFonts w:ascii="Times New Roman" w:hAnsi="Times New Roman" w:cs="Times New Roman"/>
        </w:rPr>
        <w:t>c</w:t>
      </w:r>
      <w:r w:rsidRPr="00F06DE2">
        <w:rPr>
          <w:rFonts w:ascii="Times New Roman" w:hAnsi="Times New Roman" w:cs="Times New Roman"/>
          <w:lang w:val="ru-RU"/>
        </w:rPr>
        <w:t xml:space="preserve">) </w:t>
      </w:r>
      <w:r w:rsidR="00D2492E" w:rsidRPr="00F06DE2">
        <w:rPr>
          <w:rFonts w:ascii="Times New Roman" w:hAnsi="Times New Roman" w:cs="Times New Roman"/>
          <w:lang w:val="ru-RU"/>
        </w:rPr>
        <w:t>т</w:t>
      </w:r>
      <w:r w:rsidRPr="00F06DE2">
        <w:rPr>
          <w:rFonts w:ascii="Times New Roman" w:hAnsi="Times New Roman" w:cs="Times New Roman"/>
          <w:lang w:val="ru-RU"/>
        </w:rPr>
        <w:t>ип на системата.</w:t>
      </w:r>
    </w:p>
    <w:p w14:paraId="112AA591" w14:textId="7441002B" w:rsidR="00271FA2" w:rsidRPr="00F06DE2" w:rsidRDefault="00D35E51">
      <w:pPr>
        <w:spacing w:line="240" w:lineRule="atLeast"/>
        <w:jc w:val="center"/>
        <w:rPr>
          <w:rFonts w:ascii="Times New Roman" w:hAnsi="Times New Roman" w:cs="Times New Roman"/>
          <w:b/>
          <w:lang w:val="ru-RU"/>
        </w:rPr>
      </w:pPr>
      <w:r w:rsidRPr="00F06DE2">
        <w:rPr>
          <w:rFonts w:ascii="Times New Roman" w:hAnsi="Times New Roman" w:cs="Times New Roman"/>
          <w:b/>
          <w:lang w:val="ru-RU"/>
        </w:rPr>
        <w:t>Член 9.10</w:t>
      </w:r>
    </w:p>
    <w:p w14:paraId="2C1E5D48" w14:textId="16BC6AA3" w:rsidR="00271FA2" w:rsidRPr="00F06DE2" w:rsidRDefault="00D35E51">
      <w:pPr>
        <w:spacing w:line="240" w:lineRule="atLeast"/>
        <w:jc w:val="center"/>
        <w:rPr>
          <w:rFonts w:ascii="Times New Roman" w:hAnsi="Times New Roman" w:cs="Times New Roman"/>
          <w:b/>
          <w:i/>
          <w:lang w:val="ru-RU"/>
        </w:rPr>
      </w:pPr>
      <w:r w:rsidRPr="00F06DE2">
        <w:rPr>
          <w:rFonts w:ascii="Times New Roman" w:hAnsi="Times New Roman" w:cs="Times New Roman"/>
          <w:b/>
          <w:i/>
          <w:lang w:val="ru-RU"/>
        </w:rPr>
        <w:t>Ремонт на двигатели в експлоатация</w:t>
      </w:r>
    </w:p>
    <w:p w14:paraId="5553A34A" w14:textId="77777777" w:rsidR="00F324C9" w:rsidRPr="00F06DE2" w:rsidRDefault="00F324C9">
      <w:pPr>
        <w:spacing w:line="240" w:lineRule="atLeast"/>
        <w:jc w:val="center"/>
        <w:rPr>
          <w:rFonts w:ascii="Times New Roman" w:hAnsi="Times New Roman" w:cs="Times New Roman"/>
          <w:b/>
          <w:i/>
          <w:lang w:val="ru-RU"/>
        </w:rPr>
      </w:pPr>
    </w:p>
    <w:p w14:paraId="5813A650" w14:textId="28043880" w:rsidR="003A17AA" w:rsidRPr="00F06DE2" w:rsidRDefault="00D35E51" w:rsidP="008A4AA3">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r>
      <w:r w:rsidR="003A17AA" w:rsidRPr="00F06DE2">
        <w:rPr>
          <w:rFonts w:ascii="Times New Roman" w:hAnsi="Times New Roman" w:cs="Times New Roman"/>
          <w:lang w:val="ru-RU"/>
        </w:rPr>
        <w:t>Ремонт</w:t>
      </w:r>
      <w:r w:rsidR="0023598C" w:rsidRPr="00F06DE2">
        <w:rPr>
          <w:rFonts w:ascii="Times New Roman" w:hAnsi="Times New Roman" w:cs="Times New Roman"/>
          <w:lang w:val="ru-RU"/>
        </w:rPr>
        <w:t>ите</w:t>
      </w:r>
      <w:r w:rsidR="003A17AA" w:rsidRPr="00F06DE2">
        <w:rPr>
          <w:rFonts w:ascii="Times New Roman" w:hAnsi="Times New Roman" w:cs="Times New Roman"/>
          <w:lang w:val="ru-RU"/>
        </w:rPr>
        <w:t xml:space="preserve"> на двигателя </w:t>
      </w:r>
      <w:r w:rsidR="008247D5" w:rsidRPr="00F06DE2">
        <w:rPr>
          <w:rFonts w:ascii="Times New Roman" w:hAnsi="Times New Roman" w:cs="Times New Roman"/>
          <w:lang w:val="ru-RU"/>
        </w:rPr>
        <w:t xml:space="preserve"> са</w:t>
      </w:r>
      <w:r w:rsidR="003A17AA" w:rsidRPr="00F06DE2">
        <w:rPr>
          <w:rFonts w:ascii="Times New Roman" w:hAnsi="Times New Roman" w:cs="Times New Roman"/>
          <w:lang w:val="ru-RU"/>
        </w:rPr>
        <w:t xml:space="preserve"> разрешен</w:t>
      </w:r>
      <w:r w:rsidR="008247D5" w:rsidRPr="00F06DE2">
        <w:rPr>
          <w:rFonts w:ascii="Times New Roman" w:hAnsi="Times New Roman" w:cs="Times New Roman"/>
          <w:lang w:val="ru-RU"/>
        </w:rPr>
        <w:t>и</w:t>
      </w:r>
      <w:r w:rsidR="003A17AA" w:rsidRPr="00F06DE2">
        <w:rPr>
          <w:rFonts w:ascii="Times New Roman" w:hAnsi="Times New Roman" w:cs="Times New Roman"/>
          <w:lang w:val="ru-RU"/>
        </w:rPr>
        <w:t xml:space="preserve"> при условие, че:</w:t>
      </w:r>
    </w:p>
    <w:p w14:paraId="04E02774" w14:textId="3E21437B" w:rsidR="003A17AA" w:rsidRPr="00F06DE2" w:rsidRDefault="003A17AA" w:rsidP="008A4AA3">
      <w:pPr>
        <w:ind w:left="567"/>
        <w:jc w:val="both"/>
        <w:rPr>
          <w:rFonts w:ascii="Times New Roman" w:hAnsi="Times New Roman" w:cs="Times New Roman"/>
          <w:lang w:val="ru-RU"/>
        </w:rPr>
      </w:pPr>
      <w:r w:rsidRPr="00F06DE2">
        <w:rPr>
          <w:rFonts w:ascii="Times New Roman" w:hAnsi="Times New Roman" w:cs="Times New Roman"/>
          <w:lang w:val="ru-RU"/>
        </w:rPr>
        <w:t xml:space="preserve">а) са в съответствие с типовото одобрение </w:t>
      </w:r>
      <w:r w:rsidR="0023598C" w:rsidRPr="00F06DE2">
        <w:rPr>
          <w:rFonts w:ascii="Times New Roman" w:hAnsi="Times New Roman" w:cs="Times New Roman"/>
          <w:strike/>
          <w:lang w:val="ru-RU"/>
        </w:rPr>
        <w:t xml:space="preserve"> и </w:t>
      </w:r>
      <w:r w:rsidR="008247D5" w:rsidRPr="00F06DE2">
        <w:rPr>
          <w:rFonts w:ascii="Times New Roman" w:hAnsi="Times New Roman" w:cs="Times New Roman"/>
          <w:lang w:val="ru-RU"/>
        </w:rPr>
        <w:t xml:space="preserve"> и </w:t>
      </w:r>
      <w:r w:rsidRPr="00F06DE2">
        <w:rPr>
          <w:rFonts w:ascii="Times New Roman" w:hAnsi="Times New Roman" w:cs="Times New Roman"/>
          <w:lang w:val="ru-RU"/>
        </w:rPr>
        <w:t>инструкциите на производителя на двигателя;</w:t>
      </w:r>
    </w:p>
    <w:p w14:paraId="26563F32" w14:textId="1D268AEB" w:rsidR="003A17AA" w:rsidRPr="00F06DE2" w:rsidRDefault="003A17AA" w:rsidP="008A4AA3">
      <w:pPr>
        <w:ind w:left="567"/>
        <w:jc w:val="both"/>
        <w:rPr>
          <w:rFonts w:ascii="Times New Roman" w:hAnsi="Times New Roman" w:cs="Times New Roman"/>
          <w:lang w:val="ru-RU"/>
        </w:rPr>
      </w:pPr>
      <w:r w:rsidRPr="00F06DE2">
        <w:rPr>
          <w:rFonts w:ascii="Times New Roman" w:hAnsi="Times New Roman" w:cs="Times New Roman"/>
          <w:lang w:val="ru-RU"/>
        </w:rPr>
        <w:t>б) идентичността на ремонтиран</w:t>
      </w:r>
      <w:r w:rsidR="00794C5E" w:rsidRPr="00F06DE2">
        <w:rPr>
          <w:rFonts w:ascii="Times New Roman" w:hAnsi="Times New Roman" w:cs="Times New Roman"/>
          <w:lang w:val="ru-RU"/>
        </w:rPr>
        <w:t>ия</w:t>
      </w:r>
      <w:r w:rsidRPr="00F06DE2">
        <w:rPr>
          <w:rFonts w:ascii="Times New Roman" w:hAnsi="Times New Roman" w:cs="Times New Roman"/>
          <w:lang w:val="ru-RU"/>
        </w:rPr>
        <w:t xml:space="preserve"> двигател може да бъде проследена, така че оригиналният двигател, който е бил пуснат на пазара и монтиран на плавателния съд, може да бъде идентифициран.</w:t>
      </w:r>
    </w:p>
    <w:p w14:paraId="55C32187" w14:textId="578911DB" w:rsidR="003A17AA" w:rsidRPr="00F06DE2" w:rsidRDefault="003A17AA" w:rsidP="008A4AA3">
      <w:pPr>
        <w:spacing w:line="240" w:lineRule="atLeast"/>
        <w:ind w:leftChars="236" w:left="519" w:firstLine="1"/>
        <w:jc w:val="both"/>
        <w:rPr>
          <w:rFonts w:ascii="Times New Roman" w:hAnsi="Times New Roman" w:cs="Times New Roman"/>
          <w:strike/>
          <w:lang w:val="ru-RU"/>
        </w:rPr>
      </w:pPr>
      <w:r w:rsidRPr="00F06DE2">
        <w:rPr>
          <w:rFonts w:ascii="Times New Roman" w:hAnsi="Times New Roman" w:cs="Times New Roman"/>
          <w:lang w:val="ru-RU"/>
        </w:rPr>
        <w:t xml:space="preserve">Ако ремонтът доведе до подмяна на целия двигател, се прилагат изискванията на член 9.01, </w:t>
      </w:r>
      <w:r w:rsidR="00133A60" w:rsidRPr="00F06DE2">
        <w:rPr>
          <w:rFonts w:ascii="Times New Roman" w:hAnsi="Times New Roman" w:cs="Times New Roman"/>
          <w:lang w:val="ru-RU"/>
        </w:rPr>
        <w:t>т.</w:t>
      </w:r>
      <w:r w:rsidRPr="00F06DE2">
        <w:rPr>
          <w:rFonts w:ascii="Times New Roman" w:hAnsi="Times New Roman" w:cs="Times New Roman"/>
          <w:lang w:val="ru-RU"/>
        </w:rPr>
        <w:t>2. По-специално, ако двигателя</w:t>
      </w:r>
      <w:r w:rsidR="00805930" w:rsidRPr="00F06DE2">
        <w:rPr>
          <w:rFonts w:ascii="Times New Roman" w:hAnsi="Times New Roman" w:cs="Times New Roman"/>
          <w:lang w:val="ru-RU"/>
        </w:rPr>
        <w:t>т</w:t>
      </w:r>
      <w:r w:rsidRPr="00F06DE2">
        <w:rPr>
          <w:rFonts w:ascii="Times New Roman" w:hAnsi="Times New Roman" w:cs="Times New Roman"/>
          <w:lang w:val="ru-RU"/>
        </w:rPr>
        <w:t xml:space="preserve"> </w:t>
      </w:r>
      <w:r w:rsidR="00C5600D" w:rsidRPr="00F06DE2">
        <w:rPr>
          <w:rFonts w:ascii="Times New Roman" w:hAnsi="Times New Roman" w:cs="Times New Roman"/>
          <w:lang w:val="ru-RU"/>
        </w:rPr>
        <w:t xml:space="preserve"> има </w:t>
      </w:r>
      <w:r w:rsidRPr="00F06DE2">
        <w:rPr>
          <w:rFonts w:ascii="Times New Roman" w:hAnsi="Times New Roman" w:cs="Times New Roman"/>
          <w:lang w:val="ru-RU"/>
        </w:rPr>
        <w:t xml:space="preserve"> различен идентификационен номер, тогава той се счита за новомонтиран двигател.</w:t>
      </w:r>
    </w:p>
    <w:p w14:paraId="39EA1302" w14:textId="37175978" w:rsidR="00271FA2" w:rsidRPr="00F06DE2" w:rsidRDefault="00D35E51" w:rsidP="008A4AA3">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При извършване на </w:t>
      </w:r>
      <w:r w:rsidR="005E0136" w:rsidRPr="00F06DE2">
        <w:rPr>
          <w:rFonts w:ascii="Times New Roman" w:hAnsi="Times New Roman" w:cs="Times New Roman"/>
          <w:lang w:val="ru-RU"/>
        </w:rPr>
        <w:t xml:space="preserve">техническо обслужване  </w:t>
      </w:r>
      <w:r w:rsidRPr="00F06DE2">
        <w:rPr>
          <w:rFonts w:ascii="Times New Roman" w:hAnsi="Times New Roman" w:cs="Times New Roman"/>
          <w:lang w:val="ru-RU"/>
        </w:rPr>
        <w:t xml:space="preserve">или ремонт на двигател с вътрешно горене с подмяна на </w:t>
      </w:r>
      <w:r w:rsidR="005E0136" w:rsidRPr="00F06DE2">
        <w:rPr>
          <w:rFonts w:ascii="Times New Roman" w:hAnsi="Times New Roman" w:cs="Times New Roman"/>
          <w:lang w:val="ru-RU"/>
        </w:rPr>
        <w:t xml:space="preserve"> елементи</w:t>
      </w:r>
      <w:r w:rsidRPr="00F06DE2">
        <w:rPr>
          <w:rFonts w:ascii="Times New Roman" w:hAnsi="Times New Roman" w:cs="Times New Roman"/>
          <w:lang w:val="ru-RU"/>
        </w:rPr>
        <w:t xml:space="preserve">, лицето или фирмата, извършили </w:t>
      </w:r>
      <w:r w:rsidR="005E0136" w:rsidRPr="00F06DE2">
        <w:rPr>
          <w:rFonts w:ascii="Times New Roman" w:hAnsi="Times New Roman" w:cs="Times New Roman"/>
          <w:lang w:val="ru-RU"/>
        </w:rPr>
        <w:t xml:space="preserve">такова техническо обслужване </w:t>
      </w:r>
      <w:r w:rsidRPr="00F06DE2">
        <w:rPr>
          <w:rFonts w:ascii="Times New Roman" w:hAnsi="Times New Roman" w:cs="Times New Roman"/>
          <w:lang w:val="ru-RU"/>
        </w:rPr>
        <w:t>или ремонт трябва да предоставят доклад, който включва:</w:t>
      </w:r>
    </w:p>
    <w:p w14:paraId="63E7FAD5" w14:textId="77777777" w:rsidR="00271FA2" w:rsidRPr="00F06DE2" w:rsidRDefault="00D35E51" w:rsidP="008A4AA3">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а) дата на поддръжка или ремонт;</w:t>
      </w:r>
    </w:p>
    <w:p w14:paraId="558EA5AE" w14:textId="6E6E90B1" w:rsidR="00271FA2" w:rsidRPr="00F06DE2" w:rsidRDefault="00D35E51" w:rsidP="008A4AA3">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б) описание на </w:t>
      </w:r>
      <w:r w:rsidR="00256D67" w:rsidRPr="00F06DE2">
        <w:rPr>
          <w:rFonts w:ascii="Times New Roman" w:hAnsi="Times New Roman" w:cs="Times New Roman"/>
          <w:lang w:val="ru-RU"/>
        </w:rPr>
        <w:t xml:space="preserve">извършеното техническо обслужване  </w:t>
      </w:r>
      <w:r w:rsidRPr="00F06DE2">
        <w:rPr>
          <w:rFonts w:ascii="Times New Roman" w:hAnsi="Times New Roman" w:cs="Times New Roman"/>
          <w:lang w:val="ru-RU"/>
        </w:rPr>
        <w:t xml:space="preserve"> или ремонт, включително състоянието на двигателя преди този ремонт и причина за ремонта;</w:t>
      </w:r>
    </w:p>
    <w:p w14:paraId="5C76D80E" w14:textId="191AA03C" w:rsidR="00271FA2" w:rsidRPr="00F06DE2" w:rsidRDefault="00D35E51" w:rsidP="008A4AA3">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в) списък на </w:t>
      </w:r>
      <w:r w:rsidR="00256D67" w:rsidRPr="00F06DE2">
        <w:rPr>
          <w:rFonts w:ascii="Times New Roman" w:hAnsi="Times New Roman" w:cs="Times New Roman"/>
          <w:lang w:val="ru-RU"/>
        </w:rPr>
        <w:t>елементите</w:t>
      </w:r>
      <w:r w:rsidRPr="00F06DE2">
        <w:rPr>
          <w:rFonts w:ascii="Times New Roman" w:hAnsi="Times New Roman" w:cs="Times New Roman"/>
          <w:lang w:val="ru-RU"/>
        </w:rPr>
        <w:t xml:space="preserve">, които са били заменени или използвани на двигателя, със спецификациите от тези монтирани </w:t>
      </w:r>
      <w:r w:rsidR="00256D67" w:rsidRPr="00F06DE2">
        <w:rPr>
          <w:rFonts w:ascii="Times New Roman" w:hAnsi="Times New Roman" w:cs="Times New Roman"/>
          <w:lang w:val="ru-RU"/>
        </w:rPr>
        <w:t xml:space="preserve"> елементи</w:t>
      </w:r>
      <w:r w:rsidRPr="00F06DE2">
        <w:rPr>
          <w:rFonts w:ascii="Times New Roman" w:hAnsi="Times New Roman" w:cs="Times New Roman"/>
          <w:lang w:val="ru-RU"/>
        </w:rPr>
        <w:t>, които показват, че двигателят все още отговаря на типовото одобрение;</w:t>
      </w:r>
    </w:p>
    <w:p w14:paraId="564B74BD" w14:textId="2C37C3D3" w:rsidR="00271FA2" w:rsidRPr="00F06DE2" w:rsidRDefault="00D35E51" w:rsidP="008A4AA3">
      <w:pPr>
        <w:ind w:left="567"/>
        <w:jc w:val="both"/>
        <w:rPr>
          <w:rFonts w:ascii="Times New Roman" w:hAnsi="Times New Roman" w:cs="Times New Roman"/>
          <w:strike/>
          <w:lang w:val="ru-RU"/>
        </w:rPr>
      </w:pPr>
      <w:r w:rsidRPr="00F06DE2">
        <w:rPr>
          <w:rFonts w:ascii="Times New Roman" w:hAnsi="Times New Roman" w:cs="Times New Roman"/>
          <w:lang w:val="ru-RU"/>
        </w:rPr>
        <w:t>г) потвърждение</w:t>
      </w:r>
      <w:r w:rsidR="003052C8" w:rsidRPr="00F06DE2">
        <w:rPr>
          <w:rFonts w:ascii="Times New Roman" w:hAnsi="Times New Roman" w:cs="Times New Roman"/>
          <w:strike/>
          <w:lang w:val="ru-RU"/>
        </w:rPr>
        <w:t>,</w:t>
      </w:r>
      <w:r w:rsidR="003052C8" w:rsidRPr="00F06DE2">
        <w:rPr>
          <w:rFonts w:ascii="Times New Roman" w:hAnsi="Times New Roman" w:cs="Times New Roman"/>
          <w:lang w:val="ru-RU"/>
        </w:rPr>
        <w:t xml:space="preserve"> че след ремонт или </w:t>
      </w:r>
      <w:r w:rsidR="00256D67" w:rsidRPr="00F06DE2">
        <w:rPr>
          <w:rFonts w:ascii="Times New Roman" w:hAnsi="Times New Roman" w:cs="Times New Roman"/>
          <w:lang w:val="ru-RU"/>
        </w:rPr>
        <w:t xml:space="preserve">техническо обслужване  </w:t>
      </w:r>
      <w:r w:rsidR="003052C8" w:rsidRPr="00F06DE2">
        <w:rPr>
          <w:rFonts w:ascii="Times New Roman" w:hAnsi="Times New Roman" w:cs="Times New Roman"/>
          <w:lang w:val="ru-RU"/>
        </w:rPr>
        <w:t>, определените компоненти, калибриране и настройки на параметрите на двигателя отговарят на инструкциите на производителя на двигателя съгласно член 9.04.</w:t>
      </w:r>
    </w:p>
    <w:p w14:paraId="27CA66D4" w14:textId="77777777" w:rsidR="00271FA2" w:rsidRPr="00F06DE2" w:rsidRDefault="00D35E51" w:rsidP="008A4AA3">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lastRenderedPageBreak/>
        <w:t>д) когато е подходящо, информацията се нанася на идентификационната табела на двигателя преди ремонт и след ремонт;</w:t>
      </w:r>
    </w:p>
    <w:p w14:paraId="72BDD2F7" w14:textId="77777777" w:rsidR="00041B05" w:rsidRPr="00F06DE2" w:rsidRDefault="00D35E51" w:rsidP="008A4AA3">
      <w:pPr>
        <w:spacing w:line="240" w:lineRule="atLeast"/>
        <w:ind w:left="567"/>
        <w:jc w:val="both"/>
        <w:rPr>
          <w:rFonts w:ascii="Times New Roman" w:hAnsi="Times New Roman" w:cs="Times New Roman"/>
          <w:lang w:val="ru-RU"/>
        </w:rPr>
        <w:sectPr w:rsidR="00041B05" w:rsidRPr="00F06DE2" w:rsidSect="00F06DE2">
          <w:headerReference w:type="default" r:id="rId37"/>
          <w:headerReference w:type="first" r:id="rId38"/>
          <w:footnotePr>
            <w:numRestart w:val="eachPage"/>
          </w:footnotePr>
          <w:pgSz w:w="11906" w:h="16838" w:code="9"/>
          <w:pgMar w:top="1134" w:right="1134" w:bottom="1134" w:left="1134" w:header="709" w:footer="709" w:gutter="0"/>
          <w:cols w:space="709"/>
          <w:titlePg/>
          <w:docGrid w:linePitch="272"/>
        </w:sectPr>
      </w:pPr>
      <w:r w:rsidRPr="00F06DE2">
        <w:rPr>
          <w:rFonts w:ascii="Times New Roman" w:hAnsi="Times New Roman" w:cs="Times New Roman"/>
          <w:lang w:val="ru-RU"/>
        </w:rPr>
        <w:t>е) когато е подходящо, подкрепящи снимки.</w:t>
      </w:r>
    </w:p>
    <w:p w14:paraId="5E9384CA" w14:textId="77777777" w:rsidR="00271FA2" w:rsidRPr="00F06DE2" w:rsidRDefault="00D35E51">
      <w:pPr>
        <w:pStyle w:val="ES-Titre2"/>
        <w:rPr>
          <w:rFonts w:ascii="Times New Roman" w:hAnsi="Times New Roman" w:cs="Times New Roman"/>
          <w:lang w:val="ru-RU"/>
        </w:rPr>
      </w:pPr>
      <w:bookmarkStart w:id="147" w:name="_Toc491854077"/>
      <w:bookmarkStart w:id="148" w:name="_Toc535827518"/>
      <w:r w:rsidRPr="00F06DE2">
        <w:rPr>
          <w:rFonts w:ascii="Times New Roman" w:hAnsi="Times New Roman" w:cs="Times New Roman"/>
          <w:lang w:val="ru-RU"/>
        </w:rPr>
        <w:lastRenderedPageBreak/>
        <w:t>Глава 10</w:t>
      </w:r>
      <w:r w:rsidRPr="00F06DE2">
        <w:rPr>
          <w:rFonts w:ascii="Times New Roman" w:hAnsi="Times New Roman" w:cs="Times New Roman"/>
          <w:lang w:val="ru-RU"/>
        </w:rPr>
        <w:br/>
        <w:t>Електрическо оборудване и електрически инсталации</w:t>
      </w:r>
      <w:bookmarkEnd w:id="147"/>
      <w:bookmarkEnd w:id="148"/>
    </w:p>
    <w:p w14:paraId="5C5A2A86"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149" w:name="_Toc535827519"/>
      <w:bookmarkStart w:id="150" w:name="_Toc491854078"/>
      <w:r w:rsidRPr="00F06DE2">
        <w:rPr>
          <w:rFonts w:ascii="Times New Roman" w:hAnsi="Times New Roman" w:cs="Times New Roman"/>
          <w:sz w:val="24"/>
          <w:szCs w:val="24"/>
          <w:lang w:val="ru-RU"/>
        </w:rPr>
        <w:t>Член 10.01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149"/>
      <w:bookmarkEnd w:id="150"/>
    </w:p>
    <w:p w14:paraId="0A1E3B2A"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Когато няма специални изисквания за определени части от електрическата инсталация или електрическото оборудване, равнището на безопасност се смята за задоволително, ако тези части са монтирани в съответствие с одобрен европейски стандарт или според изискванията на призната класификационна организация.</w:t>
      </w:r>
    </w:p>
    <w:p w14:paraId="44D05DA0"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Съответните документи трябва да бъдат представени на контролния орган.</w:t>
      </w:r>
    </w:p>
    <w:p w14:paraId="08A492C7" w14:textId="72604A18"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r>
    </w:p>
    <w:p w14:paraId="03EAB816" w14:textId="77777777" w:rsidR="007D373A" w:rsidRPr="00F06DE2" w:rsidRDefault="007D373A" w:rsidP="00434B85">
      <w:pPr>
        <w:ind w:left="567"/>
        <w:rPr>
          <w:rFonts w:ascii="Times New Roman" w:hAnsi="Times New Roman" w:cs="Times New Roman"/>
          <w:lang w:val="ru-RU"/>
        </w:rPr>
      </w:pPr>
      <w:r w:rsidRPr="00F06DE2">
        <w:rPr>
          <w:rFonts w:ascii="Times New Roman" w:hAnsi="Times New Roman" w:cs="Times New Roman"/>
          <w:lang w:val="ru-RU"/>
        </w:rPr>
        <w:t>Следните документи, носещи печата на контролния орган, трябва да бъдат налични на борда:</w:t>
      </w:r>
    </w:p>
    <w:p w14:paraId="5EA4D4FE" w14:textId="77777777" w:rsidR="007D373A" w:rsidRPr="00F06DE2" w:rsidRDefault="007D373A" w:rsidP="00434B85">
      <w:pPr>
        <w:ind w:left="567"/>
        <w:rPr>
          <w:rFonts w:ascii="Times New Roman" w:hAnsi="Times New Roman" w:cs="Times New Roman"/>
          <w:lang w:val="ru-RU"/>
        </w:rPr>
      </w:pPr>
      <w:r w:rsidRPr="00F06DE2">
        <w:rPr>
          <w:rFonts w:ascii="Times New Roman" w:hAnsi="Times New Roman" w:cs="Times New Roman"/>
          <w:lang w:val="ru-RU"/>
        </w:rPr>
        <w:t>а) общи планове за цялата електрическа инсталация;</w:t>
      </w:r>
    </w:p>
    <w:p w14:paraId="748C0C88" w14:textId="77777777" w:rsidR="007D373A" w:rsidRPr="00F06DE2" w:rsidRDefault="007D373A" w:rsidP="00434B85">
      <w:pPr>
        <w:ind w:left="567"/>
        <w:rPr>
          <w:rFonts w:ascii="Times New Roman" w:hAnsi="Times New Roman" w:cs="Times New Roman"/>
          <w:lang w:val="ru-RU"/>
        </w:rPr>
      </w:pPr>
      <w:r w:rsidRPr="00F06DE2">
        <w:rPr>
          <w:rFonts w:ascii="Times New Roman" w:hAnsi="Times New Roman" w:cs="Times New Roman"/>
          <w:lang w:val="ru-RU"/>
        </w:rPr>
        <w:t>б) планове на главните табла, аварийните табла, разпределителните табла, показващи най-важните технически данни като ампераж на номиналния ток на предпазители и комутационни устройства;</w:t>
      </w:r>
    </w:p>
    <w:p w14:paraId="3BC9ABB4" w14:textId="77777777" w:rsidR="007D373A" w:rsidRPr="00F06DE2" w:rsidRDefault="007D373A" w:rsidP="00434B85">
      <w:pPr>
        <w:ind w:left="567"/>
        <w:rPr>
          <w:rFonts w:ascii="Times New Roman" w:hAnsi="Times New Roman" w:cs="Times New Roman"/>
          <w:lang w:val="ru-RU"/>
        </w:rPr>
      </w:pPr>
      <w:r w:rsidRPr="00F06DE2">
        <w:rPr>
          <w:rFonts w:ascii="Times New Roman" w:hAnsi="Times New Roman" w:cs="Times New Roman"/>
          <w:lang w:val="ru-RU"/>
        </w:rPr>
        <w:t>в) указания за изискванията за захранване за електрическо сервизно оборудване;</w:t>
      </w:r>
    </w:p>
    <w:p w14:paraId="42CCDA41" w14:textId="77777777" w:rsidR="007D373A" w:rsidRPr="00F06DE2" w:rsidRDefault="007D373A" w:rsidP="00434B85">
      <w:pPr>
        <w:ind w:left="567"/>
        <w:rPr>
          <w:rFonts w:ascii="Times New Roman" w:hAnsi="Times New Roman" w:cs="Times New Roman"/>
          <w:lang w:val="ru-RU"/>
        </w:rPr>
      </w:pPr>
      <w:r w:rsidRPr="00F06DE2">
        <w:rPr>
          <w:rFonts w:ascii="Times New Roman" w:hAnsi="Times New Roman" w:cs="Times New Roman"/>
          <w:lang w:val="ru-RU"/>
        </w:rPr>
        <w:t>г) типове кабели с обозначение на напречните сечения на проводниците;</w:t>
      </w:r>
    </w:p>
    <w:p w14:paraId="47DDBC7D" w14:textId="44F05012" w:rsidR="007D373A" w:rsidRPr="00F06DE2" w:rsidRDefault="007D373A" w:rsidP="00434B85">
      <w:pPr>
        <w:ind w:left="567"/>
        <w:rPr>
          <w:rFonts w:ascii="Times New Roman" w:hAnsi="Times New Roman" w:cs="Times New Roman"/>
          <w:lang w:val="ru-RU"/>
        </w:rPr>
      </w:pPr>
      <w:r w:rsidRPr="00F06DE2">
        <w:rPr>
          <w:rFonts w:ascii="Times New Roman" w:hAnsi="Times New Roman" w:cs="Times New Roman"/>
          <w:lang w:val="ru-RU"/>
        </w:rPr>
        <w:t>д) за електрически системи за задвижване, диаграма на процесите и инструментите (</w:t>
      </w:r>
      <w:r w:rsidRPr="00F06DE2">
        <w:rPr>
          <w:rFonts w:ascii="Times New Roman" w:hAnsi="Times New Roman" w:cs="Times New Roman"/>
        </w:rPr>
        <w:t>PID</w:t>
      </w:r>
      <w:r w:rsidRPr="00F06DE2">
        <w:rPr>
          <w:rFonts w:ascii="Times New Roman" w:hAnsi="Times New Roman" w:cs="Times New Roman"/>
          <w:lang w:val="ru-RU"/>
        </w:rPr>
        <w:t>) на тези системи, планове на разпределително табло, планове за разположение на помещенията за електрическо обслужване, включително местоположението на основните компоненти, както и документация за електрически задвижващи двигатели и други основни компоненти;</w:t>
      </w:r>
    </w:p>
    <w:p w14:paraId="2094EF30" w14:textId="77777777" w:rsidR="007D373A" w:rsidRPr="00F06DE2" w:rsidRDefault="007D373A" w:rsidP="00434B85">
      <w:pPr>
        <w:ind w:left="567"/>
        <w:rPr>
          <w:rFonts w:ascii="Times New Roman" w:hAnsi="Times New Roman" w:cs="Times New Roman"/>
          <w:lang w:val="ru-RU"/>
        </w:rPr>
      </w:pPr>
      <w:r w:rsidRPr="00F06DE2">
        <w:rPr>
          <w:rFonts w:ascii="Times New Roman" w:hAnsi="Times New Roman" w:cs="Times New Roman"/>
          <w:lang w:val="ru-RU"/>
        </w:rPr>
        <w:t>е) схеми на електронно управление, регулиране, сигнализация и системи за безопасност;</w:t>
      </w:r>
    </w:p>
    <w:p w14:paraId="0CA8CDDF" w14:textId="77777777" w:rsidR="007D373A" w:rsidRPr="00F06DE2" w:rsidRDefault="007D373A" w:rsidP="00434B85">
      <w:pPr>
        <w:ind w:left="567"/>
        <w:rPr>
          <w:rFonts w:ascii="Times New Roman" w:hAnsi="Times New Roman" w:cs="Times New Roman"/>
          <w:lang w:val="ru-RU"/>
        </w:rPr>
      </w:pPr>
      <w:r w:rsidRPr="00F06DE2">
        <w:rPr>
          <w:rFonts w:ascii="Times New Roman" w:hAnsi="Times New Roman" w:cs="Times New Roman"/>
          <w:lang w:val="ru-RU"/>
        </w:rPr>
        <w:t>ж) планове на управляващите вериги.</w:t>
      </w:r>
    </w:p>
    <w:p w14:paraId="42EE97CA" w14:textId="77A4854C" w:rsidR="007D373A" w:rsidRPr="00F06DE2" w:rsidRDefault="007D373A" w:rsidP="00434B85">
      <w:pPr>
        <w:pStyle w:val="ESchpar"/>
        <w:jc w:val="both"/>
        <w:rPr>
          <w:rFonts w:ascii="Times New Roman" w:eastAsia="Calibri" w:hAnsi="Times New Roman" w:cs="Times New Roman"/>
          <w:strike/>
          <w:lang w:val="ru-RU"/>
        </w:rPr>
      </w:pPr>
      <w:r w:rsidRPr="00F06DE2">
        <w:rPr>
          <w:rFonts w:ascii="Times New Roman" w:hAnsi="Times New Roman" w:cs="Times New Roman"/>
          <w:lang w:val="ru-RU"/>
        </w:rPr>
        <w:t>За без</w:t>
      </w:r>
      <w:r w:rsidR="00D84DBC" w:rsidRPr="00F06DE2">
        <w:rPr>
          <w:rFonts w:ascii="Times New Roman" w:hAnsi="Times New Roman" w:cs="Times New Roman"/>
          <w:lang w:val="ru-RU"/>
        </w:rPr>
        <w:t>екипажните</w:t>
      </w:r>
      <w:r w:rsidRPr="00F06DE2">
        <w:rPr>
          <w:rFonts w:ascii="Times New Roman" w:hAnsi="Times New Roman" w:cs="Times New Roman"/>
          <w:lang w:val="ru-RU"/>
        </w:rPr>
        <w:t xml:space="preserve"> плавателни съдове не се изисква тези документи да бъдат на борда, но трябва да бъдат винаги на разположение </w:t>
      </w:r>
      <w:r w:rsidR="00E7770D" w:rsidRPr="00F06DE2">
        <w:rPr>
          <w:rFonts w:ascii="Times New Roman" w:hAnsi="Times New Roman" w:cs="Times New Roman"/>
          <w:lang w:val="ru-RU"/>
        </w:rPr>
        <w:t xml:space="preserve"> при </w:t>
      </w:r>
      <w:r w:rsidRPr="00F06DE2">
        <w:rPr>
          <w:rFonts w:ascii="Times New Roman" w:hAnsi="Times New Roman" w:cs="Times New Roman"/>
          <w:lang w:val="ru-RU"/>
        </w:rPr>
        <w:t xml:space="preserve"> собственика</w:t>
      </w:r>
    </w:p>
    <w:p w14:paraId="5641E790"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Оборудването и инсталациите трябва да бъдат проектирани за постоянен крен на плавателното средство до 15°, както и вътрешна температура от 0°</w:t>
      </w:r>
      <w:r w:rsidRPr="00F06DE2">
        <w:rPr>
          <w:rFonts w:ascii="Times New Roman" w:hAnsi="Times New Roman" w:cs="Times New Roman"/>
        </w:rPr>
        <w:t>C</w:t>
      </w:r>
      <w:r w:rsidRPr="00F06DE2">
        <w:rPr>
          <w:rFonts w:ascii="Times New Roman" w:hAnsi="Times New Roman" w:cs="Times New Roman"/>
          <w:lang w:val="ru-RU"/>
        </w:rPr>
        <w:t xml:space="preserve"> до + 40°</w:t>
      </w:r>
      <w:r w:rsidRPr="00F06DE2">
        <w:rPr>
          <w:rFonts w:ascii="Times New Roman" w:hAnsi="Times New Roman" w:cs="Times New Roman"/>
        </w:rPr>
        <w:t>C</w:t>
      </w:r>
      <w:r w:rsidRPr="00F06DE2">
        <w:rPr>
          <w:rFonts w:ascii="Times New Roman" w:hAnsi="Times New Roman" w:cs="Times New Roman"/>
          <w:lang w:val="ru-RU"/>
        </w:rPr>
        <w:t xml:space="preserve"> и температура на палубата от - 20°С до + 40°С. Те трябва да бъдат изцяло функционални до тези граници.</w:t>
      </w:r>
    </w:p>
    <w:p w14:paraId="395D6E95" w14:textId="77777777" w:rsidR="00271FA2" w:rsidRPr="00F06DE2" w:rsidRDefault="00D35E51">
      <w:pPr>
        <w:pStyle w:val="ESc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Електрическото оборудване и съоръженията трябва да бъдат лесно достъпни и лесни за поддръжка.</w:t>
      </w:r>
    </w:p>
    <w:p w14:paraId="506819DA" w14:textId="7C4D6A16"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Електрическото оборудване и електрическите инсталации трябва да бъдат проектирани и монтирани, така че вибрациите, които възникват при нормална експлоатация на борда, да не причиняват неизправности или повреда.</w:t>
      </w:r>
    </w:p>
    <w:p w14:paraId="40EBDA2F" w14:textId="77777777" w:rsidR="00393635" w:rsidRPr="00F06DE2" w:rsidRDefault="00393635">
      <w:pPr>
        <w:pStyle w:val="ESch"/>
        <w:jc w:val="both"/>
        <w:rPr>
          <w:rFonts w:ascii="Times New Roman" w:eastAsia="Calibri" w:hAnsi="Times New Roman" w:cs="Times New Roman"/>
          <w:lang w:val="ru-RU"/>
        </w:rPr>
      </w:pPr>
    </w:p>
    <w:p w14:paraId="44B4A43A" w14:textId="77777777" w:rsidR="00271FA2" w:rsidRPr="00F06DE2" w:rsidRDefault="00D35E51">
      <w:pPr>
        <w:pStyle w:val="ES-Titre3"/>
        <w:spacing w:line="240" w:lineRule="atLeast"/>
        <w:rPr>
          <w:rFonts w:ascii="Times New Roman" w:hAnsi="Times New Roman" w:cs="Times New Roman"/>
          <w:sz w:val="24"/>
          <w:szCs w:val="24"/>
          <w:lang w:val="ru-RU"/>
        </w:rPr>
      </w:pPr>
      <w:bookmarkStart w:id="151" w:name="_Toc491854079"/>
      <w:bookmarkStart w:id="152" w:name="_Toc535827520"/>
      <w:r w:rsidRPr="00F06DE2">
        <w:rPr>
          <w:rFonts w:ascii="Times New Roman" w:hAnsi="Times New Roman" w:cs="Times New Roman"/>
          <w:sz w:val="24"/>
          <w:szCs w:val="24"/>
          <w:lang w:val="ru-RU"/>
        </w:rPr>
        <w:t>Член 10.02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Електроснабдителни системи</w:t>
      </w:r>
      <w:bookmarkEnd w:id="151"/>
      <w:bookmarkEnd w:id="152"/>
    </w:p>
    <w:p w14:paraId="610D0B5A"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Когато плавателното средство е оборудвано с електрическа система, тази инсталация трябва да има поне два източника на енергия, така че при повреда на единия източник на енергия другият да може да захранва потребителското оборудване, необходимо за безопасната експлоатация в продължение на най-малко 30 минути.</w:t>
      </w:r>
    </w:p>
    <w:p w14:paraId="4C796412"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Подходящото оразмеряване на електрическото захранване се доказва посредством изчисляване на потреблението. Съответен коефициент на използване може да бъде взет предвид.</w:t>
      </w:r>
    </w:p>
    <w:p w14:paraId="6800E15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3.</w:t>
      </w:r>
      <w:r w:rsidRPr="00F06DE2">
        <w:rPr>
          <w:rFonts w:ascii="Times New Roman" w:hAnsi="Times New Roman" w:cs="Times New Roman"/>
          <w:lang w:val="ru-RU"/>
        </w:rPr>
        <w:tab/>
        <w:t>Независимо от точка 1 по горе, член 6.04 се прилага за източници на енергия за рулеви системи.</w:t>
      </w:r>
    </w:p>
    <w:p w14:paraId="04D2193C" w14:textId="346D71FF" w:rsidR="00D95494" w:rsidRPr="00F06DE2" w:rsidRDefault="00D95494">
      <w:pPr>
        <w:pStyle w:val="ESch"/>
        <w:jc w:val="both"/>
        <w:rPr>
          <w:rFonts w:ascii="Times New Roman" w:hAnsi="Times New Roman" w:cs="Times New Roman"/>
          <w:lang w:val="ru-RU"/>
        </w:rPr>
      </w:pPr>
      <w:r w:rsidRPr="00F06DE2">
        <w:rPr>
          <w:rFonts w:ascii="Times New Roman" w:hAnsi="Times New Roman" w:cs="Times New Roman"/>
          <w:lang w:val="ru-RU"/>
        </w:rPr>
        <w:t xml:space="preserve">4. </w:t>
      </w:r>
      <w:r w:rsidRPr="00F06DE2">
        <w:rPr>
          <w:rFonts w:ascii="Times New Roman" w:hAnsi="Times New Roman" w:cs="Times New Roman"/>
          <w:lang w:val="ru-RU"/>
        </w:rPr>
        <w:tab/>
        <w:t xml:space="preserve">Изискванията на </w:t>
      </w:r>
      <w:r w:rsidR="00327844" w:rsidRPr="00F06DE2">
        <w:rPr>
          <w:rFonts w:ascii="Times New Roman" w:hAnsi="Times New Roman" w:cs="Times New Roman"/>
          <w:lang w:val="ru-RU"/>
        </w:rPr>
        <w:t>т.</w:t>
      </w:r>
      <w:r w:rsidRPr="00F06DE2">
        <w:rPr>
          <w:rFonts w:ascii="Times New Roman" w:hAnsi="Times New Roman" w:cs="Times New Roman"/>
          <w:lang w:val="ru-RU"/>
        </w:rPr>
        <w:t>1 по-горе не се прилагат за източниците на енергия на електрически системи за задвижване, които са предмет на глава 11.</w:t>
      </w:r>
    </w:p>
    <w:p w14:paraId="5AF44A78" w14:textId="77777777" w:rsidR="008F5DFF" w:rsidRPr="00F06DE2" w:rsidRDefault="008F5DFF" w:rsidP="00CC6361">
      <w:pPr>
        <w:pStyle w:val="ES-Titre3"/>
        <w:spacing w:line="240" w:lineRule="atLeast"/>
        <w:ind w:left="567"/>
        <w:rPr>
          <w:rFonts w:ascii="Times New Roman" w:hAnsi="Times New Roman" w:cs="Times New Roman"/>
          <w:sz w:val="24"/>
          <w:szCs w:val="24"/>
          <w:lang w:val="ru-RU"/>
        </w:rPr>
      </w:pPr>
      <w:bookmarkStart w:id="153" w:name="_Toc535827521"/>
      <w:bookmarkStart w:id="154" w:name="_Toc491854080"/>
    </w:p>
    <w:p w14:paraId="0B1EB69E" w14:textId="6DE73BF6" w:rsidR="00271FA2" w:rsidRPr="00F06DE2" w:rsidRDefault="00D35E51" w:rsidP="00CC6361">
      <w:pPr>
        <w:pStyle w:val="ES-Titre3"/>
        <w:spacing w:line="240" w:lineRule="atLeast"/>
        <w:ind w:left="567"/>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10.03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Защита срещу достъп до опасни части, срещу чужди твърди тела и проникване на вода</w:t>
      </w:r>
      <w:bookmarkEnd w:id="153"/>
      <w:bookmarkEnd w:id="154"/>
    </w:p>
    <w:p w14:paraId="34507822" w14:textId="77777777" w:rsidR="00271FA2" w:rsidRPr="00F06DE2" w:rsidRDefault="00D35E51" w:rsidP="00CC6361">
      <w:pPr>
        <w:pStyle w:val="ESgauche"/>
        <w:ind w:left="567"/>
        <w:jc w:val="both"/>
        <w:rPr>
          <w:rFonts w:ascii="Times New Roman" w:eastAsia="Calibri" w:hAnsi="Times New Roman" w:cs="Times New Roman"/>
          <w:lang w:val="ru-RU"/>
        </w:rPr>
      </w:pPr>
      <w:r w:rsidRPr="00F06DE2">
        <w:rPr>
          <w:rFonts w:ascii="Times New Roman" w:hAnsi="Times New Roman" w:cs="Times New Roman"/>
          <w:lang w:val="ru-RU"/>
        </w:rPr>
        <w:t>Видовете минимална защита за части на трайна електрическа инсталация са изложени в следната таблица:</w:t>
      </w:r>
    </w:p>
    <w:tbl>
      <w:tblPr>
        <w:tblW w:w="9765" w:type="dxa"/>
        <w:tblInd w:w="8" w:type="dxa"/>
        <w:tblLayout w:type="fixed"/>
        <w:tblCellMar>
          <w:left w:w="0" w:type="dxa"/>
          <w:right w:w="0" w:type="dxa"/>
        </w:tblCellMar>
        <w:tblLook w:val="04A0" w:firstRow="1" w:lastRow="0" w:firstColumn="1" w:lastColumn="0" w:noHBand="0" w:noVBand="1"/>
      </w:tblPr>
      <w:tblGrid>
        <w:gridCol w:w="1544"/>
        <w:gridCol w:w="1134"/>
        <w:gridCol w:w="992"/>
        <w:gridCol w:w="1559"/>
        <w:gridCol w:w="1701"/>
        <w:gridCol w:w="1134"/>
        <w:gridCol w:w="1701"/>
      </w:tblGrid>
      <w:tr w:rsidR="00271FA2" w:rsidRPr="00F06DE2" w14:paraId="28AA83BA" w14:textId="77777777" w:rsidTr="008F5DFF">
        <w:trPr>
          <w:cantSplit/>
          <w:trHeight w:val="312"/>
        </w:trPr>
        <w:tc>
          <w:tcPr>
            <w:tcW w:w="1544" w:type="dxa"/>
            <w:tcBorders>
              <w:top w:val="single" w:sz="6" w:space="0" w:color="auto"/>
              <w:left w:val="single" w:sz="6" w:space="0" w:color="auto"/>
              <w:right w:val="single" w:sz="6" w:space="0" w:color="auto"/>
            </w:tcBorders>
          </w:tcPr>
          <w:p w14:paraId="0E1D74B1" w14:textId="77777777" w:rsidR="00271FA2" w:rsidRPr="00F06DE2" w:rsidRDefault="00271FA2">
            <w:pPr>
              <w:keepNext/>
              <w:keepLines/>
              <w:spacing w:line="240" w:lineRule="atLeast"/>
              <w:jc w:val="center"/>
              <w:rPr>
                <w:rFonts w:ascii="Times New Roman" w:eastAsia="Calibri" w:hAnsi="Times New Roman" w:cs="Times New Roman"/>
                <w:sz w:val="20"/>
                <w:szCs w:val="20"/>
                <w:lang w:val="ru-RU"/>
              </w:rPr>
            </w:pPr>
          </w:p>
        </w:tc>
        <w:tc>
          <w:tcPr>
            <w:tcW w:w="8221" w:type="dxa"/>
            <w:gridSpan w:val="6"/>
            <w:tcBorders>
              <w:top w:val="single" w:sz="6" w:space="0" w:color="auto"/>
              <w:left w:val="nil"/>
              <w:bottom w:val="single" w:sz="6" w:space="0" w:color="auto"/>
              <w:right w:val="single" w:sz="6" w:space="0" w:color="auto"/>
            </w:tcBorders>
          </w:tcPr>
          <w:p w14:paraId="1B125097" w14:textId="77777777" w:rsidR="00271FA2" w:rsidRPr="00F06DE2" w:rsidRDefault="00D35E51">
            <w:pPr>
              <w:keepNext/>
              <w:keepLines/>
              <w:spacing w:line="240" w:lineRule="atLeast"/>
              <w:jc w:val="center"/>
              <w:rPr>
                <w:rFonts w:ascii="Times New Roman" w:eastAsia="Calibri" w:hAnsi="Times New Roman" w:cs="Times New Roman"/>
                <w:sz w:val="20"/>
                <w:szCs w:val="20"/>
                <w:lang w:val="ru-RU"/>
              </w:rPr>
            </w:pPr>
            <w:r w:rsidRPr="00F06DE2">
              <w:rPr>
                <w:rFonts w:ascii="Times New Roman" w:hAnsi="Times New Roman" w:cs="Times New Roman"/>
                <w:sz w:val="20"/>
                <w:szCs w:val="20"/>
                <w:lang w:val="ru-RU"/>
              </w:rPr>
              <w:t xml:space="preserve">Вид минимална защита в съответствие сЕевропейски стандарт </w:t>
            </w:r>
            <w:r w:rsidRPr="00F06DE2">
              <w:rPr>
                <w:rFonts w:ascii="Times New Roman" w:hAnsi="Times New Roman" w:cs="Times New Roman"/>
                <w:sz w:val="20"/>
                <w:szCs w:val="20"/>
              </w:rPr>
              <w:t>EN</w:t>
            </w:r>
            <w:r w:rsidRPr="00F06DE2">
              <w:rPr>
                <w:rFonts w:ascii="Times New Roman" w:hAnsi="Times New Roman" w:cs="Times New Roman"/>
                <w:sz w:val="20"/>
                <w:szCs w:val="20"/>
                <w:lang w:val="ru-RU"/>
              </w:rPr>
              <w:t xml:space="preserve"> 60529:2014</w:t>
            </w:r>
          </w:p>
        </w:tc>
      </w:tr>
      <w:tr w:rsidR="00271FA2" w:rsidRPr="00F06DE2" w14:paraId="5274B32C" w14:textId="77777777" w:rsidTr="008F5DFF">
        <w:trPr>
          <w:cantSplit/>
          <w:trHeight w:val="579"/>
        </w:trPr>
        <w:tc>
          <w:tcPr>
            <w:tcW w:w="1544" w:type="dxa"/>
            <w:tcBorders>
              <w:left w:val="single" w:sz="6" w:space="0" w:color="auto"/>
              <w:bottom w:val="single" w:sz="12" w:space="0" w:color="auto"/>
              <w:right w:val="single" w:sz="6" w:space="0" w:color="auto"/>
            </w:tcBorders>
          </w:tcPr>
          <w:p w14:paraId="308C4C5D"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Местоположение</w:t>
            </w:r>
          </w:p>
        </w:tc>
        <w:tc>
          <w:tcPr>
            <w:tcW w:w="1134" w:type="dxa"/>
            <w:tcBorders>
              <w:top w:val="single" w:sz="6" w:space="0" w:color="auto"/>
              <w:left w:val="nil"/>
              <w:bottom w:val="single" w:sz="12" w:space="0" w:color="auto"/>
              <w:right w:val="single" w:sz="6" w:space="0" w:color="auto"/>
            </w:tcBorders>
          </w:tcPr>
          <w:p w14:paraId="115A64CE"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Генератори</w:t>
            </w:r>
          </w:p>
        </w:tc>
        <w:tc>
          <w:tcPr>
            <w:tcW w:w="992" w:type="dxa"/>
            <w:tcBorders>
              <w:top w:val="single" w:sz="6" w:space="0" w:color="auto"/>
              <w:left w:val="single" w:sz="6" w:space="0" w:color="auto"/>
              <w:bottom w:val="single" w:sz="12" w:space="0" w:color="auto"/>
              <w:right w:val="single" w:sz="6" w:space="0" w:color="auto"/>
            </w:tcBorders>
          </w:tcPr>
          <w:p w14:paraId="53D9DE38"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Двигатели</w:t>
            </w:r>
          </w:p>
        </w:tc>
        <w:tc>
          <w:tcPr>
            <w:tcW w:w="1559" w:type="dxa"/>
            <w:tcBorders>
              <w:top w:val="single" w:sz="6" w:space="0" w:color="auto"/>
              <w:left w:val="single" w:sz="6" w:space="0" w:color="auto"/>
              <w:bottom w:val="single" w:sz="12" w:space="0" w:color="auto"/>
              <w:right w:val="single" w:sz="6" w:space="0" w:color="auto"/>
            </w:tcBorders>
          </w:tcPr>
          <w:p w14:paraId="682EEAB3"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Трансформатори</w:t>
            </w:r>
          </w:p>
        </w:tc>
        <w:tc>
          <w:tcPr>
            <w:tcW w:w="1701" w:type="dxa"/>
            <w:tcBorders>
              <w:top w:val="single" w:sz="6" w:space="0" w:color="auto"/>
              <w:left w:val="single" w:sz="6" w:space="0" w:color="auto"/>
              <w:bottom w:val="single" w:sz="12" w:space="0" w:color="auto"/>
              <w:right w:val="single" w:sz="6" w:space="0" w:color="auto"/>
            </w:tcBorders>
          </w:tcPr>
          <w:p w14:paraId="6AEEC57E"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Разпределителни табла</w:t>
            </w:r>
            <w:r w:rsidRPr="00F06DE2">
              <w:rPr>
                <w:rFonts w:ascii="Times New Roman" w:hAnsi="Times New Roman" w:cs="Times New Roman"/>
                <w:sz w:val="20"/>
                <w:szCs w:val="20"/>
              </w:rPr>
              <w:br/>
              <w:t>Разпределение</w:t>
            </w:r>
            <w:r w:rsidRPr="00F06DE2">
              <w:rPr>
                <w:rFonts w:ascii="Times New Roman" w:hAnsi="Times New Roman" w:cs="Times New Roman"/>
                <w:sz w:val="20"/>
                <w:szCs w:val="20"/>
              </w:rPr>
              <w:br/>
              <w:t>Превключватели</w:t>
            </w:r>
          </w:p>
        </w:tc>
        <w:tc>
          <w:tcPr>
            <w:tcW w:w="1134" w:type="dxa"/>
            <w:tcBorders>
              <w:top w:val="single" w:sz="6" w:space="0" w:color="auto"/>
              <w:left w:val="single" w:sz="6" w:space="0" w:color="auto"/>
              <w:bottom w:val="single" w:sz="12" w:space="0" w:color="auto"/>
              <w:right w:val="single" w:sz="6" w:space="0" w:color="auto"/>
            </w:tcBorders>
          </w:tcPr>
          <w:p w14:paraId="05BF46A8" w14:textId="77777777" w:rsidR="008F5DFF" w:rsidRPr="00F06DE2" w:rsidRDefault="00D35E51">
            <w:pPr>
              <w:keepNext/>
              <w:keepLines/>
              <w:spacing w:line="240" w:lineRule="atLeast"/>
              <w:jc w:val="center"/>
              <w:rPr>
                <w:rFonts w:ascii="Times New Roman" w:hAnsi="Times New Roman" w:cs="Times New Roman"/>
                <w:sz w:val="20"/>
                <w:szCs w:val="20"/>
              </w:rPr>
            </w:pPr>
            <w:r w:rsidRPr="00F06DE2">
              <w:rPr>
                <w:rFonts w:ascii="Times New Roman" w:hAnsi="Times New Roman" w:cs="Times New Roman"/>
                <w:sz w:val="20"/>
                <w:szCs w:val="20"/>
              </w:rPr>
              <w:t>Арматура за инсталации</w:t>
            </w:r>
          </w:p>
          <w:p w14:paraId="651B6543" w14:textId="6172A20A"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vertAlign w:val="superscript"/>
              </w:rPr>
              <w:t>(4)</w:t>
            </w:r>
          </w:p>
        </w:tc>
        <w:tc>
          <w:tcPr>
            <w:tcW w:w="1701" w:type="dxa"/>
            <w:tcBorders>
              <w:top w:val="single" w:sz="6" w:space="0" w:color="auto"/>
              <w:left w:val="single" w:sz="6" w:space="0" w:color="auto"/>
              <w:bottom w:val="single" w:sz="12" w:space="0" w:color="auto"/>
              <w:right w:val="single" w:sz="6" w:space="0" w:color="auto"/>
            </w:tcBorders>
          </w:tcPr>
          <w:p w14:paraId="6708AA28" w14:textId="77777777" w:rsidR="00271FA2" w:rsidRPr="00F06DE2" w:rsidRDefault="00D35E51">
            <w:pPr>
              <w:keepNext/>
              <w:keepLines/>
              <w:spacing w:line="240" w:lineRule="atLeast"/>
              <w:jc w:val="center"/>
              <w:rPr>
                <w:rFonts w:ascii="Times New Roman" w:hAnsi="Times New Roman" w:cs="Times New Roman"/>
                <w:sz w:val="20"/>
                <w:szCs w:val="20"/>
                <w:lang w:val="ru-RU"/>
              </w:rPr>
            </w:pPr>
            <w:r w:rsidRPr="00F06DE2">
              <w:rPr>
                <w:rFonts w:ascii="Times New Roman" w:hAnsi="Times New Roman" w:cs="Times New Roman"/>
                <w:sz w:val="20"/>
                <w:szCs w:val="20"/>
                <w:lang w:val="ru-RU"/>
              </w:rPr>
              <w:t xml:space="preserve">Осветителни уреди/пожарни датчици </w:t>
            </w:r>
            <w:r w:rsidRPr="00F06DE2">
              <w:rPr>
                <w:rFonts w:ascii="Times New Roman" w:eastAsia="Calibri" w:hAnsi="Times New Roman" w:cs="Times New Roman"/>
                <w:sz w:val="20"/>
                <w:szCs w:val="20"/>
                <w:lang w:val="ru-RU"/>
              </w:rPr>
              <w:t>и ръчни пожароизвестители</w:t>
            </w:r>
          </w:p>
        </w:tc>
      </w:tr>
      <w:tr w:rsidR="00271FA2" w:rsidRPr="00F06DE2" w14:paraId="5E628166" w14:textId="77777777" w:rsidTr="008F5DFF">
        <w:trPr>
          <w:cantSplit/>
          <w:trHeight w:val="717"/>
        </w:trPr>
        <w:tc>
          <w:tcPr>
            <w:tcW w:w="1544" w:type="dxa"/>
            <w:tcBorders>
              <w:top w:val="single" w:sz="12" w:space="0" w:color="auto"/>
              <w:left w:val="single" w:sz="6" w:space="0" w:color="auto"/>
              <w:bottom w:val="single" w:sz="6" w:space="0" w:color="auto"/>
              <w:right w:val="single" w:sz="6" w:space="0" w:color="auto"/>
            </w:tcBorders>
          </w:tcPr>
          <w:p w14:paraId="620A7560" w14:textId="77777777" w:rsidR="00271FA2" w:rsidRPr="00F06DE2" w:rsidRDefault="00D35E51">
            <w:pPr>
              <w:keepNext/>
              <w:keepLines/>
              <w:tabs>
                <w:tab w:val="left" w:pos="180"/>
                <w:tab w:val="left" w:leader="dot" w:pos="2694"/>
              </w:tabs>
              <w:spacing w:line="240" w:lineRule="atLeast"/>
              <w:ind w:left="57" w:right="141"/>
              <w:jc w:val="both"/>
              <w:rPr>
                <w:rFonts w:ascii="Times New Roman" w:eastAsia="Calibri" w:hAnsi="Times New Roman" w:cs="Times New Roman"/>
                <w:sz w:val="20"/>
                <w:szCs w:val="20"/>
                <w:lang w:val="ru-RU"/>
              </w:rPr>
            </w:pPr>
            <w:r w:rsidRPr="00F06DE2">
              <w:rPr>
                <w:rFonts w:ascii="Times New Roman" w:hAnsi="Times New Roman" w:cs="Times New Roman"/>
                <w:sz w:val="20"/>
                <w:szCs w:val="20"/>
                <w:lang w:val="ru-RU"/>
              </w:rPr>
              <w:t xml:space="preserve">Сервизни помещения, машинни отделения и помещения на рулевия апарат </w:t>
            </w:r>
          </w:p>
        </w:tc>
        <w:tc>
          <w:tcPr>
            <w:tcW w:w="1134" w:type="dxa"/>
            <w:tcBorders>
              <w:top w:val="single" w:sz="12" w:space="0" w:color="auto"/>
              <w:left w:val="nil"/>
              <w:bottom w:val="single" w:sz="6" w:space="0" w:color="auto"/>
              <w:right w:val="single" w:sz="6" w:space="0" w:color="auto"/>
            </w:tcBorders>
            <w:vAlign w:val="bottom"/>
          </w:tcPr>
          <w:p w14:paraId="4645CE46"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p>
        </w:tc>
        <w:tc>
          <w:tcPr>
            <w:tcW w:w="992" w:type="dxa"/>
            <w:tcBorders>
              <w:top w:val="single" w:sz="12" w:space="0" w:color="auto"/>
              <w:left w:val="single" w:sz="6" w:space="0" w:color="auto"/>
              <w:bottom w:val="single" w:sz="6" w:space="0" w:color="auto"/>
              <w:right w:val="single" w:sz="6" w:space="0" w:color="auto"/>
            </w:tcBorders>
            <w:vAlign w:val="bottom"/>
          </w:tcPr>
          <w:p w14:paraId="7F072A91"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p>
        </w:tc>
        <w:tc>
          <w:tcPr>
            <w:tcW w:w="1559" w:type="dxa"/>
            <w:tcBorders>
              <w:top w:val="single" w:sz="12" w:space="0" w:color="auto"/>
              <w:left w:val="single" w:sz="6" w:space="0" w:color="auto"/>
              <w:bottom w:val="single" w:sz="6" w:space="0" w:color="auto"/>
              <w:right w:val="single" w:sz="6" w:space="0" w:color="auto"/>
            </w:tcBorders>
            <w:vAlign w:val="bottom"/>
          </w:tcPr>
          <w:p w14:paraId="50F90665"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r w:rsidRPr="00F06DE2">
              <w:rPr>
                <w:rFonts w:ascii="Times New Roman" w:hAnsi="Times New Roman" w:cs="Times New Roman"/>
                <w:sz w:val="20"/>
                <w:szCs w:val="20"/>
                <w:vertAlign w:val="superscript"/>
              </w:rPr>
              <w:t>(2)</w:t>
            </w:r>
          </w:p>
        </w:tc>
        <w:tc>
          <w:tcPr>
            <w:tcW w:w="1701" w:type="dxa"/>
            <w:tcBorders>
              <w:top w:val="single" w:sz="12" w:space="0" w:color="auto"/>
              <w:left w:val="single" w:sz="6" w:space="0" w:color="auto"/>
              <w:bottom w:val="single" w:sz="6" w:space="0" w:color="auto"/>
              <w:right w:val="single" w:sz="6" w:space="0" w:color="auto"/>
            </w:tcBorders>
            <w:vAlign w:val="bottom"/>
          </w:tcPr>
          <w:p w14:paraId="7C772522"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r w:rsidRPr="00F06DE2">
              <w:rPr>
                <w:rFonts w:ascii="Times New Roman" w:hAnsi="Times New Roman" w:cs="Times New Roman"/>
                <w:sz w:val="20"/>
                <w:szCs w:val="20"/>
                <w:vertAlign w:val="superscript"/>
              </w:rPr>
              <w:t>(1) (2)</w:t>
            </w:r>
          </w:p>
        </w:tc>
        <w:tc>
          <w:tcPr>
            <w:tcW w:w="1134" w:type="dxa"/>
            <w:tcBorders>
              <w:top w:val="single" w:sz="12" w:space="0" w:color="auto"/>
              <w:left w:val="single" w:sz="6" w:space="0" w:color="auto"/>
              <w:bottom w:val="single" w:sz="6" w:space="0" w:color="auto"/>
              <w:right w:val="single" w:sz="6" w:space="0" w:color="auto"/>
            </w:tcBorders>
            <w:vAlign w:val="bottom"/>
          </w:tcPr>
          <w:p w14:paraId="01D87E65"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44</w:t>
            </w:r>
          </w:p>
        </w:tc>
        <w:tc>
          <w:tcPr>
            <w:tcW w:w="1701" w:type="dxa"/>
            <w:tcBorders>
              <w:top w:val="single" w:sz="12" w:space="0" w:color="auto"/>
              <w:left w:val="single" w:sz="6" w:space="0" w:color="auto"/>
              <w:bottom w:val="single" w:sz="6" w:space="0" w:color="auto"/>
              <w:right w:val="single" w:sz="6" w:space="0" w:color="auto"/>
            </w:tcBorders>
            <w:vAlign w:val="bottom"/>
          </w:tcPr>
          <w:p w14:paraId="697591AD"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p>
        </w:tc>
      </w:tr>
      <w:tr w:rsidR="00271FA2" w:rsidRPr="00F06DE2" w14:paraId="51F6AA82" w14:textId="77777777" w:rsidTr="008F5DFF">
        <w:trPr>
          <w:cantSplit/>
          <w:trHeight w:val="253"/>
        </w:trPr>
        <w:tc>
          <w:tcPr>
            <w:tcW w:w="1544" w:type="dxa"/>
            <w:tcBorders>
              <w:top w:val="single" w:sz="6" w:space="0" w:color="auto"/>
              <w:left w:val="single" w:sz="6" w:space="0" w:color="auto"/>
              <w:bottom w:val="single" w:sz="6" w:space="0" w:color="auto"/>
              <w:right w:val="single" w:sz="6" w:space="0" w:color="auto"/>
            </w:tcBorders>
          </w:tcPr>
          <w:p w14:paraId="040B17F3" w14:textId="77777777" w:rsidR="00271FA2" w:rsidRPr="00F06DE2" w:rsidRDefault="00D35E51">
            <w:pPr>
              <w:keepNext/>
              <w:keepLines/>
              <w:tabs>
                <w:tab w:val="left" w:pos="180"/>
                <w:tab w:val="left" w:leader="dot" w:pos="2694"/>
              </w:tabs>
              <w:spacing w:line="240" w:lineRule="atLeast"/>
              <w:ind w:left="57" w:right="141"/>
              <w:jc w:val="both"/>
              <w:rPr>
                <w:rFonts w:ascii="Times New Roman" w:eastAsia="Calibri" w:hAnsi="Times New Roman" w:cs="Times New Roman"/>
                <w:sz w:val="20"/>
                <w:szCs w:val="20"/>
              </w:rPr>
            </w:pPr>
            <w:r w:rsidRPr="00F06DE2">
              <w:rPr>
                <w:rFonts w:ascii="Times New Roman" w:hAnsi="Times New Roman" w:cs="Times New Roman"/>
                <w:sz w:val="20"/>
                <w:szCs w:val="20"/>
              </w:rPr>
              <w:t xml:space="preserve">Трюмове </w:t>
            </w:r>
            <w:r w:rsidRPr="00F06DE2">
              <w:rPr>
                <w:rFonts w:ascii="Times New Roman" w:hAnsi="Times New Roman" w:cs="Times New Roman"/>
                <w:sz w:val="20"/>
                <w:szCs w:val="20"/>
              </w:rPr>
              <w:tab/>
            </w:r>
          </w:p>
        </w:tc>
        <w:tc>
          <w:tcPr>
            <w:tcW w:w="1134" w:type="dxa"/>
            <w:tcBorders>
              <w:top w:val="single" w:sz="6" w:space="0" w:color="auto"/>
              <w:left w:val="nil"/>
              <w:bottom w:val="single" w:sz="6" w:space="0" w:color="auto"/>
              <w:right w:val="single" w:sz="6" w:space="0" w:color="auto"/>
            </w:tcBorders>
            <w:vAlign w:val="bottom"/>
          </w:tcPr>
          <w:p w14:paraId="38A27C5A" w14:textId="77777777" w:rsidR="00271FA2" w:rsidRPr="00F06DE2" w:rsidRDefault="00271FA2">
            <w:pPr>
              <w:keepNext/>
              <w:keepLines/>
              <w:spacing w:line="240" w:lineRule="atLeast"/>
              <w:jc w:val="center"/>
              <w:rPr>
                <w:rFonts w:ascii="Times New Roman" w:eastAsia="Calibri"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vAlign w:val="bottom"/>
          </w:tcPr>
          <w:p w14:paraId="4C894F94"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c>
          <w:tcPr>
            <w:tcW w:w="1559" w:type="dxa"/>
            <w:tcBorders>
              <w:top w:val="single" w:sz="6" w:space="0" w:color="auto"/>
              <w:left w:val="single" w:sz="6" w:space="0" w:color="auto"/>
              <w:bottom w:val="single" w:sz="6" w:space="0" w:color="auto"/>
              <w:right w:val="single" w:sz="6" w:space="0" w:color="auto"/>
            </w:tcBorders>
            <w:vAlign w:val="bottom"/>
          </w:tcPr>
          <w:p w14:paraId="4ABEB429"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c>
          <w:tcPr>
            <w:tcW w:w="1701" w:type="dxa"/>
            <w:tcBorders>
              <w:top w:val="single" w:sz="6" w:space="0" w:color="auto"/>
              <w:left w:val="single" w:sz="6" w:space="0" w:color="auto"/>
              <w:bottom w:val="single" w:sz="6" w:space="0" w:color="auto"/>
              <w:right w:val="single" w:sz="6" w:space="0" w:color="auto"/>
            </w:tcBorders>
            <w:vAlign w:val="bottom"/>
          </w:tcPr>
          <w:p w14:paraId="1112691B" w14:textId="77777777" w:rsidR="00271FA2" w:rsidRPr="00F06DE2" w:rsidRDefault="00271FA2">
            <w:pPr>
              <w:keepNext/>
              <w:keepLines/>
              <w:spacing w:line="240" w:lineRule="atLeast"/>
              <w:jc w:val="center"/>
              <w:rPr>
                <w:rFonts w:ascii="Times New Roman" w:eastAsia="Calibri" w:hAnsi="Times New Roman" w:cs="Times New Roman"/>
                <w:sz w:val="20"/>
                <w:szCs w:val="20"/>
              </w:rPr>
            </w:pPr>
          </w:p>
        </w:tc>
        <w:tc>
          <w:tcPr>
            <w:tcW w:w="1134" w:type="dxa"/>
            <w:tcBorders>
              <w:top w:val="single" w:sz="6" w:space="0" w:color="auto"/>
              <w:left w:val="single" w:sz="6" w:space="0" w:color="auto"/>
              <w:bottom w:val="single" w:sz="6" w:space="0" w:color="auto"/>
              <w:right w:val="single" w:sz="6" w:space="0" w:color="auto"/>
            </w:tcBorders>
            <w:vAlign w:val="bottom"/>
          </w:tcPr>
          <w:p w14:paraId="0A56ECFB"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c>
          <w:tcPr>
            <w:tcW w:w="1701" w:type="dxa"/>
            <w:tcBorders>
              <w:top w:val="single" w:sz="6" w:space="0" w:color="auto"/>
              <w:left w:val="single" w:sz="6" w:space="0" w:color="auto"/>
              <w:bottom w:val="single" w:sz="6" w:space="0" w:color="auto"/>
              <w:right w:val="single" w:sz="6" w:space="0" w:color="auto"/>
            </w:tcBorders>
            <w:vAlign w:val="bottom"/>
          </w:tcPr>
          <w:p w14:paraId="43CE0731"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r>
      <w:tr w:rsidR="00271FA2" w:rsidRPr="00F06DE2" w14:paraId="5AFACF66" w14:textId="77777777" w:rsidTr="008F5DFF">
        <w:trPr>
          <w:cantSplit/>
          <w:trHeight w:val="530"/>
        </w:trPr>
        <w:tc>
          <w:tcPr>
            <w:tcW w:w="1544" w:type="dxa"/>
            <w:tcBorders>
              <w:top w:val="single" w:sz="6" w:space="0" w:color="auto"/>
              <w:left w:val="single" w:sz="6" w:space="0" w:color="auto"/>
              <w:bottom w:val="single" w:sz="6" w:space="0" w:color="auto"/>
              <w:right w:val="single" w:sz="6" w:space="0" w:color="auto"/>
            </w:tcBorders>
          </w:tcPr>
          <w:p w14:paraId="7EF8108B" w14:textId="75F6BE97" w:rsidR="00271FA2" w:rsidRPr="00F06DE2" w:rsidRDefault="00D35E51">
            <w:pPr>
              <w:keepNext/>
              <w:keepLines/>
              <w:tabs>
                <w:tab w:val="left" w:pos="180"/>
                <w:tab w:val="left" w:leader="dot" w:pos="2694"/>
              </w:tabs>
              <w:spacing w:line="240" w:lineRule="atLeast"/>
              <w:ind w:left="57" w:right="141"/>
              <w:jc w:val="both"/>
              <w:rPr>
                <w:rFonts w:ascii="Times New Roman" w:eastAsia="Calibri" w:hAnsi="Times New Roman" w:cs="Times New Roman"/>
                <w:sz w:val="20"/>
                <w:szCs w:val="20"/>
                <w:lang w:val="ru-RU"/>
              </w:rPr>
            </w:pPr>
            <w:r w:rsidRPr="00F06DE2">
              <w:rPr>
                <w:rFonts w:ascii="Times New Roman" w:hAnsi="Times New Roman" w:cs="Times New Roman"/>
                <w:sz w:val="20"/>
                <w:szCs w:val="20"/>
                <w:lang w:val="ru-RU"/>
              </w:rPr>
              <w:t xml:space="preserve">Помещения за акумулатори и шкафове за бои </w:t>
            </w:r>
          </w:p>
        </w:tc>
        <w:tc>
          <w:tcPr>
            <w:tcW w:w="1134" w:type="dxa"/>
            <w:tcBorders>
              <w:top w:val="single" w:sz="6" w:space="0" w:color="auto"/>
              <w:left w:val="nil"/>
              <w:bottom w:val="single" w:sz="6" w:space="0" w:color="auto"/>
              <w:right w:val="single" w:sz="6" w:space="0" w:color="auto"/>
            </w:tcBorders>
            <w:vAlign w:val="bottom"/>
          </w:tcPr>
          <w:p w14:paraId="0D9FA41A" w14:textId="77777777" w:rsidR="00271FA2" w:rsidRPr="00F06DE2" w:rsidRDefault="00271FA2">
            <w:pPr>
              <w:keepNext/>
              <w:keepLines/>
              <w:spacing w:line="240" w:lineRule="atLeast"/>
              <w:jc w:val="center"/>
              <w:rPr>
                <w:rFonts w:ascii="Times New Roman" w:eastAsia="Calibri" w:hAnsi="Times New Roman" w:cs="Times New Roman"/>
                <w:sz w:val="20"/>
                <w:szCs w:val="20"/>
                <w:lang w:val="ru-RU"/>
              </w:rPr>
            </w:pPr>
          </w:p>
        </w:tc>
        <w:tc>
          <w:tcPr>
            <w:tcW w:w="992" w:type="dxa"/>
            <w:tcBorders>
              <w:top w:val="single" w:sz="6" w:space="0" w:color="auto"/>
              <w:left w:val="single" w:sz="6" w:space="0" w:color="auto"/>
              <w:bottom w:val="single" w:sz="6" w:space="0" w:color="auto"/>
              <w:right w:val="single" w:sz="6" w:space="0" w:color="auto"/>
            </w:tcBorders>
            <w:vAlign w:val="bottom"/>
          </w:tcPr>
          <w:p w14:paraId="406739CF" w14:textId="77777777" w:rsidR="00271FA2" w:rsidRPr="00F06DE2" w:rsidRDefault="00271FA2">
            <w:pPr>
              <w:keepNext/>
              <w:keepLines/>
              <w:spacing w:line="240" w:lineRule="atLeast"/>
              <w:jc w:val="center"/>
              <w:rPr>
                <w:rFonts w:ascii="Times New Roman" w:eastAsia="Calibri" w:hAnsi="Times New Roman" w:cs="Times New Roman"/>
                <w:sz w:val="20"/>
                <w:szCs w:val="20"/>
                <w:lang w:val="ru-RU"/>
              </w:rPr>
            </w:pPr>
          </w:p>
        </w:tc>
        <w:tc>
          <w:tcPr>
            <w:tcW w:w="1559" w:type="dxa"/>
            <w:tcBorders>
              <w:top w:val="single" w:sz="6" w:space="0" w:color="auto"/>
              <w:left w:val="single" w:sz="6" w:space="0" w:color="auto"/>
              <w:bottom w:val="single" w:sz="6" w:space="0" w:color="auto"/>
              <w:right w:val="single" w:sz="6" w:space="0" w:color="auto"/>
            </w:tcBorders>
            <w:vAlign w:val="bottom"/>
          </w:tcPr>
          <w:p w14:paraId="53219529" w14:textId="77777777" w:rsidR="00271FA2" w:rsidRPr="00F06DE2" w:rsidRDefault="00271FA2">
            <w:pPr>
              <w:keepNext/>
              <w:keepLines/>
              <w:spacing w:line="240" w:lineRule="atLeast"/>
              <w:jc w:val="center"/>
              <w:rPr>
                <w:rFonts w:ascii="Times New Roman" w:eastAsia="Calibri" w:hAnsi="Times New Roman" w:cs="Times New Roman"/>
                <w:sz w:val="20"/>
                <w:szCs w:val="20"/>
                <w:lang w:val="ru-RU"/>
              </w:rPr>
            </w:pPr>
          </w:p>
        </w:tc>
        <w:tc>
          <w:tcPr>
            <w:tcW w:w="1701" w:type="dxa"/>
            <w:tcBorders>
              <w:top w:val="single" w:sz="6" w:space="0" w:color="auto"/>
              <w:left w:val="single" w:sz="6" w:space="0" w:color="auto"/>
              <w:bottom w:val="single" w:sz="6" w:space="0" w:color="auto"/>
              <w:right w:val="single" w:sz="6" w:space="0" w:color="auto"/>
            </w:tcBorders>
            <w:vAlign w:val="bottom"/>
          </w:tcPr>
          <w:p w14:paraId="4A64335D" w14:textId="77777777" w:rsidR="00271FA2" w:rsidRPr="00F06DE2" w:rsidRDefault="00271FA2">
            <w:pPr>
              <w:keepNext/>
              <w:keepLines/>
              <w:spacing w:line="240" w:lineRule="atLeast"/>
              <w:jc w:val="center"/>
              <w:rPr>
                <w:rFonts w:ascii="Times New Roman" w:eastAsia="Calibri" w:hAnsi="Times New Roman" w:cs="Times New Roman"/>
                <w:sz w:val="20"/>
                <w:szCs w:val="20"/>
                <w:lang w:val="ru-RU"/>
              </w:rPr>
            </w:pPr>
          </w:p>
        </w:tc>
        <w:tc>
          <w:tcPr>
            <w:tcW w:w="1134" w:type="dxa"/>
            <w:tcBorders>
              <w:top w:val="single" w:sz="6" w:space="0" w:color="auto"/>
              <w:left w:val="single" w:sz="6" w:space="0" w:color="auto"/>
              <w:bottom w:val="single" w:sz="6" w:space="0" w:color="auto"/>
              <w:right w:val="single" w:sz="6" w:space="0" w:color="auto"/>
            </w:tcBorders>
            <w:vAlign w:val="bottom"/>
          </w:tcPr>
          <w:p w14:paraId="01135F17" w14:textId="77777777" w:rsidR="00271FA2" w:rsidRPr="00F06DE2" w:rsidRDefault="00271FA2">
            <w:pPr>
              <w:keepNext/>
              <w:keepLines/>
              <w:spacing w:line="240" w:lineRule="atLeast"/>
              <w:jc w:val="center"/>
              <w:rPr>
                <w:rFonts w:ascii="Times New Roman" w:eastAsia="Calibri" w:hAnsi="Times New Roman" w:cs="Times New Roman"/>
                <w:sz w:val="20"/>
                <w:szCs w:val="20"/>
                <w:lang w:val="ru-RU"/>
              </w:rPr>
            </w:pPr>
          </w:p>
        </w:tc>
        <w:tc>
          <w:tcPr>
            <w:tcW w:w="1701" w:type="dxa"/>
            <w:tcBorders>
              <w:top w:val="single" w:sz="6" w:space="0" w:color="auto"/>
              <w:left w:val="single" w:sz="6" w:space="0" w:color="auto"/>
              <w:bottom w:val="single" w:sz="6" w:space="0" w:color="auto"/>
              <w:right w:val="single" w:sz="6" w:space="0" w:color="auto"/>
            </w:tcBorders>
            <w:vAlign w:val="bottom"/>
          </w:tcPr>
          <w:p w14:paraId="5F33A2D6"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44 и (Ex)</w:t>
            </w:r>
            <w:r w:rsidRPr="00F06DE2">
              <w:rPr>
                <w:rFonts w:ascii="Times New Roman" w:hAnsi="Times New Roman" w:cs="Times New Roman"/>
                <w:sz w:val="20"/>
                <w:szCs w:val="20"/>
                <w:vertAlign w:val="superscript"/>
              </w:rPr>
              <w:t>(3)</w:t>
            </w:r>
          </w:p>
        </w:tc>
      </w:tr>
      <w:tr w:rsidR="00271FA2" w:rsidRPr="00F06DE2" w14:paraId="4F780029" w14:textId="77777777" w:rsidTr="008F5DFF">
        <w:trPr>
          <w:cantSplit/>
          <w:trHeight w:val="520"/>
        </w:trPr>
        <w:tc>
          <w:tcPr>
            <w:tcW w:w="1544" w:type="dxa"/>
            <w:tcBorders>
              <w:top w:val="single" w:sz="6" w:space="0" w:color="auto"/>
              <w:left w:val="single" w:sz="6" w:space="0" w:color="auto"/>
              <w:bottom w:val="single" w:sz="6" w:space="0" w:color="auto"/>
              <w:right w:val="single" w:sz="6" w:space="0" w:color="auto"/>
            </w:tcBorders>
          </w:tcPr>
          <w:p w14:paraId="62F35152" w14:textId="5AA5236F" w:rsidR="00271FA2" w:rsidRPr="00F06DE2" w:rsidRDefault="00D35E51">
            <w:pPr>
              <w:keepNext/>
              <w:keepLines/>
              <w:tabs>
                <w:tab w:val="left" w:pos="180"/>
                <w:tab w:val="left" w:leader="dot" w:pos="2694"/>
              </w:tabs>
              <w:spacing w:line="240" w:lineRule="atLeast"/>
              <w:ind w:left="57" w:right="141"/>
              <w:jc w:val="both"/>
              <w:rPr>
                <w:rFonts w:ascii="Times New Roman" w:eastAsia="Calibri" w:hAnsi="Times New Roman" w:cs="Times New Roman"/>
                <w:sz w:val="20"/>
                <w:szCs w:val="20"/>
                <w:lang w:val="ru-RU"/>
              </w:rPr>
            </w:pPr>
            <w:r w:rsidRPr="00F06DE2">
              <w:rPr>
                <w:rFonts w:ascii="Times New Roman" w:hAnsi="Times New Roman" w:cs="Times New Roman"/>
                <w:sz w:val="20"/>
                <w:szCs w:val="20"/>
                <w:lang w:val="ru-RU"/>
              </w:rPr>
              <w:t xml:space="preserve">Открити палуби и открити постове за управление </w:t>
            </w:r>
          </w:p>
        </w:tc>
        <w:tc>
          <w:tcPr>
            <w:tcW w:w="1134" w:type="dxa"/>
            <w:tcBorders>
              <w:top w:val="single" w:sz="6" w:space="0" w:color="auto"/>
              <w:left w:val="nil"/>
              <w:bottom w:val="single" w:sz="6" w:space="0" w:color="auto"/>
              <w:right w:val="single" w:sz="6" w:space="0" w:color="auto"/>
            </w:tcBorders>
            <w:vAlign w:val="bottom"/>
          </w:tcPr>
          <w:p w14:paraId="2B83ABC1"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c>
          <w:tcPr>
            <w:tcW w:w="992" w:type="dxa"/>
            <w:tcBorders>
              <w:top w:val="single" w:sz="6" w:space="0" w:color="auto"/>
              <w:left w:val="single" w:sz="6" w:space="0" w:color="auto"/>
              <w:bottom w:val="single" w:sz="6" w:space="0" w:color="auto"/>
              <w:right w:val="single" w:sz="6" w:space="0" w:color="auto"/>
            </w:tcBorders>
            <w:vAlign w:val="bottom"/>
          </w:tcPr>
          <w:p w14:paraId="7560D357"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c>
          <w:tcPr>
            <w:tcW w:w="1559" w:type="dxa"/>
            <w:tcBorders>
              <w:top w:val="single" w:sz="6" w:space="0" w:color="auto"/>
              <w:left w:val="single" w:sz="6" w:space="0" w:color="auto"/>
              <w:bottom w:val="single" w:sz="6" w:space="0" w:color="auto"/>
              <w:right w:val="single" w:sz="6" w:space="0" w:color="auto"/>
            </w:tcBorders>
            <w:vAlign w:val="bottom"/>
          </w:tcPr>
          <w:p w14:paraId="1E98B4B5" w14:textId="77777777" w:rsidR="00271FA2" w:rsidRPr="00F06DE2" w:rsidRDefault="00271FA2">
            <w:pPr>
              <w:keepNext/>
              <w:keepLines/>
              <w:spacing w:line="240" w:lineRule="atLeast"/>
              <w:jc w:val="center"/>
              <w:rPr>
                <w:rFonts w:ascii="Times New Roman" w:eastAsia="Calibri" w:hAnsi="Times New Roman" w:cs="Times New Roman"/>
                <w:sz w:val="20"/>
                <w:szCs w:val="20"/>
              </w:rPr>
            </w:pPr>
          </w:p>
        </w:tc>
        <w:tc>
          <w:tcPr>
            <w:tcW w:w="1701" w:type="dxa"/>
            <w:tcBorders>
              <w:top w:val="single" w:sz="6" w:space="0" w:color="auto"/>
              <w:left w:val="single" w:sz="6" w:space="0" w:color="auto"/>
              <w:bottom w:val="single" w:sz="6" w:space="0" w:color="auto"/>
              <w:right w:val="single" w:sz="6" w:space="0" w:color="auto"/>
            </w:tcBorders>
            <w:vAlign w:val="bottom"/>
          </w:tcPr>
          <w:p w14:paraId="63594038"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c>
          <w:tcPr>
            <w:tcW w:w="1134" w:type="dxa"/>
            <w:tcBorders>
              <w:top w:val="single" w:sz="6" w:space="0" w:color="auto"/>
              <w:left w:val="single" w:sz="6" w:space="0" w:color="auto"/>
              <w:bottom w:val="single" w:sz="6" w:space="0" w:color="auto"/>
              <w:right w:val="single" w:sz="6" w:space="0" w:color="auto"/>
            </w:tcBorders>
            <w:vAlign w:val="bottom"/>
          </w:tcPr>
          <w:p w14:paraId="72019495"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c>
          <w:tcPr>
            <w:tcW w:w="1701" w:type="dxa"/>
            <w:tcBorders>
              <w:top w:val="single" w:sz="6" w:space="0" w:color="auto"/>
              <w:left w:val="single" w:sz="6" w:space="0" w:color="auto"/>
              <w:bottom w:val="single" w:sz="6" w:space="0" w:color="auto"/>
              <w:right w:val="single" w:sz="6" w:space="0" w:color="auto"/>
            </w:tcBorders>
            <w:vAlign w:val="bottom"/>
          </w:tcPr>
          <w:p w14:paraId="41AE1C14"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r>
      <w:tr w:rsidR="00271FA2" w:rsidRPr="00F06DE2" w14:paraId="704483BF" w14:textId="77777777" w:rsidTr="008F5DFF">
        <w:trPr>
          <w:cantSplit/>
          <w:trHeight w:val="312"/>
        </w:trPr>
        <w:tc>
          <w:tcPr>
            <w:tcW w:w="1544" w:type="dxa"/>
            <w:tcBorders>
              <w:top w:val="single" w:sz="6" w:space="0" w:color="auto"/>
              <w:left w:val="single" w:sz="6" w:space="0" w:color="auto"/>
              <w:bottom w:val="single" w:sz="6" w:space="0" w:color="auto"/>
              <w:right w:val="single" w:sz="6" w:space="0" w:color="auto"/>
            </w:tcBorders>
          </w:tcPr>
          <w:p w14:paraId="49AAF704" w14:textId="2978D2D2" w:rsidR="00271FA2" w:rsidRPr="00F06DE2" w:rsidRDefault="00D35E51">
            <w:pPr>
              <w:keepNext/>
              <w:keepLines/>
              <w:tabs>
                <w:tab w:val="left" w:pos="180"/>
                <w:tab w:val="left" w:leader="dot" w:pos="2694"/>
              </w:tabs>
              <w:spacing w:line="240" w:lineRule="atLeast"/>
              <w:ind w:left="57" w:right="141"/>
              <w:jc w:val="both"/>
              <w:rPr>
                <w:rFonts w:ascii="Times New Roman" w:eastAsia="Calibri" w:hAnsi="Times New Roman" w:cs="Times New Roman"/>
                <w:sz w:val="20"/>
                <w:szCs w:val="20"/>
              </w:rPr>
            </w:pPr>
            <w:r w:rsidRPr="00F06DE2">
              <w:rPr>
                <w:rFonts w:ascii="Times New Roman" w:hAnsi="Times New Roman" w:cs="Times New Roman"/>
                <w:sz w:val="20"/>
                <w:szCs w:val="20"/>
              </w:rPr>
              <w:t xml:space="preserve">Затворена рулева рубка </w:t>
            </w:r>
          </w:p>
        </w:tc>
        <w:tc>
          <w:tcPr>
            <w:tcW w:w="1134" w:type="dxa"/>
            <w:tcBorders>
              <w:top w:val="single" w:sz="6" w:space="0" w:color="auto"/>
              <w:left w:val="nil"/>
              <w:bottom w:val="single" w:sz="6" w:space="0" w:color="auto"/>
              <w:right w:val="single" w:sz="6" w:space="0" w:color="auto"/>
            </w:tcBorders>
            <w:vAlign w:val="bottom"/>
          </w:tcPr>
          <w:p w14:paraId="3ED3314A"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c>
          <w:tcPr>
            <w:tcW w:w="992" w:type="dxa"/>
            <w:tcBorders>
              <w:top w:val="single" w:sz="6" w:space="0" w:color="auto"/>
              <w:left w:val="single" w:sz="6" w:space="0" w:color="auto"/>
              <w:bottom w:val="single" w:sz="6" w:space="0" w:color="auto"/>
              <w:right w:val="single" w:sz="6" w:space="0" w:color="auto"/>
            </w:tcBorders>
            <w:vAlign w:val="bottom"/>
          </w:tcPr>
          <w:p w14:paraId="4716BFBF"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p>
        </w:tc>
        <w:tc>
          <w:tcPr>
            <w:tcW w:w="1559" w:type="dxa"/>
            <w:tcBorders>
              <w:top w:val="single" w:sz="6" w:space="0" w:color="auto"/>
              <w:left w:val="single" w:sz="6" w:space="0" w:color="auto"/>
              <w:bottom w:val="single" w:sz="6" w:space="0" w:color="auto"/>
              <w:right w:val="single" w:sz="6" w:space="0" w:color="auto"/>
            </w:tcBorders>
            <w:vAlign w:val="bottom"/>
          </w:tcPr>
          <w:p w14:paraId="4EC6D063"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p>
        </w:tc>
        <w:tc>
          <w:tcPr>
            <w:tcW w:w="1701" w:type="dxa"/>
            <w:tcBorders>
              <w:top w:val="single" w:sz="6" w:space="0" w:color="auto"/>
              <w:left w:val="single" w:sz="6" w:space="0" w:color="auto"/>
              <w:bottom w:val="single" w:sz="6" w:space="0" w:color="auto"/>
              <w:right w:val="single" w:sz="6" w:space="0" w:color="auto"/>
            </w:tcBorders>
            <w:vAlign w:val="bottom"/>
          </w:tcPr>
          <w:p w14:paraId="3C35432D"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p>
        </w:tc>
        <w:tc>
          <w:tcPr>
            <w:tcW w:w="1134" w:type="dxa"/>
            <w:tcBorders>
              <w:top w:val="single" w:sz="6" w:space="0" w:color="auto"/>
              <w:left w:val="single" w:sz="6" w:space="0" w:color="auto"/>
              <w:bottom w:val="single" w:sz="6" w:space="0" w:color="auto"/>
              <w:right w:val="single" w:sz="6" w:space="0" w:color="auto"/>
            </w:tcBorders>
            <w:vAlign w:val="bottom"/>
          </w:tcPr>
          <w:p w14:paraId="625EEDB0"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p>
        </w:tc>
        <w:tc>
          <w:tcPr>
            <w:tcW w:w="1701" w:type="dxa"/>
            <w:tcBorders>
              <w:top w:val="single" w:sz="6" w:space="0" w:color="auto"/>
              <w:left w:val="single" w:sz="6" w:space="0" w:color="auto"/>
              <w:bottom w:val="single" w:sz="6" w:space="0" w:color="auto"/>
              <w:right w:val="single" w:sz="6" w:space="0" w:color="auto"/>
            </w:tcBorders>
            <w:vAlign w:val="bottom"/>
          </w:tcPr>
          <w:p w14:paraId="6ED158B1"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p>
        </w:tc>
      </w:tr>
      <w:tr w:rsidR="00271FA2" w:rsidRPr="00F06DE2" w14:paraId="5D3F6E7A" w14:textId="77777777" w:rsidTr="008F5DFF">
        <w:trPr>
          <w:cantSplit/>
          <w:trHeight w:val="737"/>
        </w:trPr>
        <w:tc>
          <w:tcPr>
            <w:tcW w:w="1544" w:type="dxa"/>
            <w:tcBorders>
              <w:top w:val="single" w:sz="6" w:space="0" w:color="auto"/>
              <w:left w:val="single" w:sz="6" w:space="0" w:color="auto"/>
              <w:bottom w:val="single" w:sz="6" w:space="0" w:color="auto"/>
              <w:right w:val="single" w:sz="6" w:space="0" w:color="auto"/>
            </w:tcBorders>
          </w:tcPr>
          <w:p w14:paraId="0F7F238F" w14:textId="6614996A" w:rsidR="00271FA2" w:rsidRPr="00F06DE2" w:rsidRDefault="00D35E51">
            <w:pPr>
              <w:keepNext/>
              <w:keepLines/>
              <w:tabs>
                <w:tab w:val="left" w:pos="180"/>
                <w:tab w:val="left" w:leader="dot" w:pos="2694"/>
              </w:tabs>
              <w:spacing w:line="240" w:lineRule="atLeast"/>
              <w:ind w:left="57" w:right="141"/>
              <w:jc w:val="both"/>
              <w:rPr>
                <w:rFonts w:ascii="Times New Roman" w:eastAsia="Calibri" w:hAnsi="Times New Roman" w:cs="Times New Roman"/>
                <w:sz w:val="20"/>
                <w:szCs w:val="20"/>
                <w:lang w:val="ru-RU"/>
              </w:rPr>
            </w:pPr>
            <w:r w:rsidRPr="00F06DE2">
              <w:rPr>
                <w:rFonts w:ascii="Times New Roman" w:hAnsi="Times New Roman" w:cs="Times New Roman"/>
                <w:sz w:val="20"/>
                <w:szCs w:val="20"/>
                <w:lang w:val="ru-RU"/>
              </w:rPr>
              <w:t xml:space="preserve">Жилищни помещения с изключение на санитарни и мокри помещения </w:t>
            </w:r>
          </w:p>
        </w:tc>
        <w:tc>
          <w:tcPr>
            <w:tcW w:w="1134" w:type="dxa"/>
            <w:tcBorders>
              <w:top w:val="single" w:sz="6" w:space="0" w:color="auto"/>
              <w:left w:val="nil"/>
              <w:bottom w:val="single" w:sz="6" w:space="0" w:color="auto"/>
              <w:right w:val="single" w:sz="6" w:space="0" w:color="auto"/>
            </w:tcBorders>
            <w:vAlign w:val="bottom"/>
          </w:tcPr>
          <w:p w14:paraId="1B83F174" w14:textId="77777777" w:rsidR="00271FA2" w:rsidRPr="00F06DE2" w:rsidRDefault="00271FA2">
            <w:pPr>
              <w:keepNext/>
              <w:keepLines/>
              <w:spacing w:line="240" w:lineRule="atLeast"/>
              <w:jc w:val="center"/>
              <w:rPr>
                <w:rFonts w:ascii="Times New Roman" w:eastAsia="Calibri" w:hAnsi="Times New Roman" w:cs="Times New Roman"/>
                <w:sz w:val="20"/>
                <w:szCs w:val="20"/>
                <w:lang w:val="ru-RU"/>
              </w:rPr>
            </w:pPr>
          </w:p>
        </w:tc>
        <w:tc>
          <w:tcPr>
            <w:tcW w:w="992" w:type="dxa"/>
            <w:tcBorders>
              <w:top w:val="single" w:sz="6" w:space="0" w:color="auto"/>
              <w:left w:val="single" w:sz="6" w:space="0" w:color="auto"/>
              <w:bottom w:val="single" w:sz="6" w:space="0" w:color="auto"/>
              <w:right w:val="single" w:sz="6" w:space="0" w:color="auto"/>
            </w:tcBorders>
            <w:vAlign w:val="bottom"/>
          </w:tcPr>
          <w:p w14:paraId="2FD2B413" w14:textId="77777777" w:rsidR="00271FA2" w:rsidRPr="00F06DE2" w:rsidRDefault="00271FA2">
            <w:pPr>
              <w:keepNext/>
              <w:keepLines/>
              <w:spacing w:line="240" w:lineRule="atLeast"/>
              <w:jc w:val="center"/>
              <w:rPr>
                <w:rFonts w:ascii="Times New Roman" w:eastAsia="Calibri" w:hAnsi="Times New Roman" w:cs="Times New Roman"/>
                <w:sz w:val="20"/>
                <w:szCs w:val="20"/>
                <w:lang w:val="ru-RU"/>
              </w:rPr>
            </w:pPr>
          </w:p>
        </w:tc>
        <w:tc>
          <w:tcPr>
            <w:tcW w:w="1559" w:type="dxa"/>
            <w:tcBorders>
              <w:top w:val="single" w:sz="6" w:space="0" w:color="auto"/>
              <w:left w:val="single" w:sz="6" w:space="0" w:color="auto"/>
              <w:bottom w:val="single" w:sz="6" w:space="0" w:color="auto"/>
              <w:right w:val="single" w:sz="6" w:space="0" w:color="auto"/>
            </w:tcBorders>
            <w:vAlign w:val="bottom"/>
          </w:tcPr>
          <w:p w14:paraId="41531AF0" w14:textId="77777777" w:rsidR="00271FA2" w:rsidRPr="00F06DE2" w:rsidRDefault="00271FA2">
            <w:pPr>
              <w:keepNext/>
              <w:keepLines/>
              <w:spacing w:line="240" w:lineRule="atLeast"/>
              <w:jc w:val="center"/>
              <w:rPr>
                <w:rFonts w:ascii="Times New Roman" w:eastAsia="Calibri" w:hAnsi="Times New Roman" w:cs="Times New Roman"/>
                <w:sz w:val="20"/>
                <w:szCs w:val="20"/>
                <w:lang w:val="ru-RU"/>
              </w:rPr>
            </w:pPr>
          </w:p>
        </w:tc>
        <w:tc>
          <w:tcPr>
            <w:tcW w:w="1701" w:type="dxa"/>
            <w:tcBorders>
              <w:top w:val="single" w:sz="6" w:space="0" w:color="auto"/>
              <w:left w:val="single" w:sz="6" w:space="0" w:color="auto"/>
              <w:bottom w:val="single" w:sz="6" w:space="0" w:color="auto"/>
              <w:right w:val="single" w:sz="6" w:space="0" w:color="auto"/>
            </w:tcBorders>
            <w:vAlign w:val="bottom"/>
          </w:tcPr>
          <w:p w14:paraId="2C3D4174"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22</w:t>
            </w:r>
          </w:p>
        </w:tc>
        <w:tc>
          <w:tcPr>
            <w:tcW w:w="1134" w:type="dxa"/>
            <w:tcBorders>
              <w:top w:val="single" w:sz="6" w:space="0" w:color="auto"/>
              <w:left w:val="single" w:sz="6" w:space="0" w:color="auto"/>
              <w:bottom w:val="single" w:sz="6" w:space="0" w:color="auto"/>
              <w:right w:val="single" w:sz="6" w:space="0" w:color="auto"/>
            </w:tcBorders>
            <w:vAlign w:val="bottom"/>
          </w:tcPr>
          <w:p w14:paraId="4504D7EE"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20</w:t>
            </w:r>
          </w:p>
        </w:tc>
        <w:tc>
          <w:tcPr>
            <w:tcW w:w="1701" w:type="dxa"/>
            <w:tcBorders>
              <w:top w:val="single" w:sz="6" w:space="0" w:color="auto"/>
              <w:left w:val="single" w:sz="6" w:space="0" w:color="auto"/>
              <w:bottom w:val="single" w:sz="6" w:space="0" w:color="auto"/>
              <w:right w:val="single" w:sz="6" w:space="0" w:color="auto"/>
            </w:tcBorders>
            <w:vAlign w:val="bottom"/>
          </w:tcPr>
          <w:p w14:paraId="65DCA8AA"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20</w:t>
            </w:r>
          </w:p>
        </w:tc>
      </w:tr>
      <w:tr w:rsidR="00271FA2" w:rsidRPr="00F06DE2" w14:paraId="62CFACB3" w14:textId="77777777" w:rsidTr="008F5DFF">
        <w:trPr>
          <w:cantSplit/>
          <w:trHeight w:val="312"/>
        </w:trPr>
        <w:tc>
          <w:tcPr>
            <w:tcW w:w="1544" w:type="dxa"/>
            <w:tcBorders>
              <w:top w:val="single" w:sz="6" w:space="0" w:color="auto"/>
              <w:left w:val="single" w:sz="6" w:space="0" w:color="auto"/>
              <w:bottom w:val="single" w:sz="6" w:space="0" w:color="auto"/>
              <w:right w:val="single" w:sz="6" w:space="0" w:color="auto"/>
            </w:tcBorders>
          </w:tcPr>
          <w:p w14:paraId="657E2DA9" w14:textId="19505E27" w:rsidR="00271FA2" w:rsidRPr="00F06DE2" w:rsidRDefault="00D35E51">
            <w:pPr>
              <w:keepNext/>
              <w:keepLines/>
              <w:tabs>
                <w:tab w:val="left" w:pos="180"/>
                <w:tab w:val="left" w:leader="dot" w:pos="2694"/>
              </w:tabs>
              <w:spacing w:line="240" w:lineRule="atLeast"/>
              <w:ind w:left="57" w:right="141"/>
              <w:jc w:val="both"/>
              <w:rPr>
                <w:rFonts w:ascii="Times New Roman" w:eastAsia="Calibri" w:hAnsi="Times New Roman" w:cs="Times New Roman"/>
                <w:sz w:val="20"/>
                <w:szCs w:val="20"/>
              </w:rPr>
            </w:pPr>
            <w:r w:rsidRPr="00F06DE2">
              <w:rPr>
                <w:rFonts w:ascii="Times New Roman" w:hAnsi="Times New Roman" w:cs="Times New Roman"/>
                <w:sz w:val="20"/>
                <w:szCs w:val="20"/>
              </w:rPr>
              <w:t xml:space="preserve">Санитарни и мокри помещения </w:t>
            </w:r>
          </w:p>
        </w:tc>
        <w:tc>
          <w:tcPr>
            <w:tcW w:w="1134" w:type="dxa"/>
            <w:tcBorders>
              <w:top w:val="single" w:sz="6" w:space="0" w:color="auto"/>
              <w:left w:val="nil"/>
              <w:bottom w:val="single" w:sz="6" w:space="0" w:color="auto"/>
              <w:right w:val="single" w:sz="6" w:space="0" w:color="auto"/>
            </w:tcBorders>
            <w:vAlign w:val="bottom"/>
          </w:tcPr>
          <w:p w14:paraId="34AAA973" w14:textId="77777777" w:rsidR="00271FA2" w:rsidRPr="00F06DE2" w:rsidRDefault="00271FA2">
            <w:pPr>
              <w:keepNext/>
              <w:keepLines/>
              <w:spacing w:line="240" w:lineRule="atLeast"/>
              <w:jc w:val="center"/>
              <w:rPr>
                <w:rFonts w:ascii="Times New Roman" w:eastAsia="Calibri"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vAlign w:val="bottom"/>
          </w:tcPr>
          <w:p w14:paraId="123380B0"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44</w:t>
            </w:r>
          </w:p>
        </w:tc>
        <w:tc>
          <w:tcPr>
            <w:tcW w:w="1559" w:type="dxa"/>
            <w:tcBorders>
              <w:top w:val="single" w:sz="6" w:space="0" w:color="auto"/>
              <w:left w:val="single" w:sz="6" w:space="0" w:color="auto"/>
              <w:bottom w:val="single" w:sz="6" w:space="0" w:color="auto"/>
              <w:right w:val="single" w:sz="6" w:space="0" w:color="auto"/>
            </w:tcBorders>
            <w:vAlign w:val="bottom"/>
          </w:tcPr>
          <w:p w14:paraId="5CDCA698"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44</w:t>
            </w:r>
          </w:p>
        </w:tc>
        <w:tc>
          <w:tcPr>
            <w:tcW w:w="1701" w:type="dxa"/>
            <w:tcBorders>
              <w:top w:val="single" w:sz="6" w:space="0" w:color="auto"/>
              <w:left w:val="single" w:sz="6" w:space="0" w:color="auto"/>
              <w:bottom w:val="single" w:sz="6" w:space="0" w:color="auto"/>
              <w:right w:val="single" w:sz="6" w:space="0" w:color="auto"/>
            </w:tcBorders>
            <w:vAlign w:val="bottom"/>
          </w:tcPr>
          <w:p w14:paraId="17EFFA13"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44</w:t>
            </w:r>
          </w:p>
        </w:tc>
        <w:tc>
          <w:tcPr>
            <w:tcW w:w="1134" w:type="dxa"/>
            <w:tcBorders>
              <w:top w:val="single" w:sz="6" w:space="0" w:color="auto"/>
              <w:left w:val="single" w:sz="6" w:space="0" w:color="auto"/>
              <w:bottom w:val="single" w:sz="6" w:space="0" w:color="auto"/>
              <w:right w:val="single" w:sz="6" w:space="0" w:color="auto"/>
            </w:tcBorders>
            <w:vAlign w:val="bottom"/>
          </w:tcPr>
          <w:p w14:paraId="6C59711C"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55</w:t>
            </w:r>
          </w:p>
        </w:tc>
        <w:tc>
          <w:tcPr>
            <w:tcW w:w="1701" w:type="dxa"/>
            <w:tcBorders>
              <w:top w:val="single" w:sz="6" w:space="0" w:color="auto"/>
              <w:left w:val="single" w:sz="6" w:space="0" w:color="auto"/>
              <w:bottom w:val="single" w:sz="6" w:space="0" w:color="auto"/>
              <w:right w:val="single" w:sz="6" w:space="0" w:color="auto"/>
            </w:tcBorders>
            <w:vAlign w:val="bottom"/>
          </w:tcPr>
          <w:p w14:paraId="3E552094" w14:textId="77777777" w:rsidR="00271FA2" w:rsidRPr="00F06DE2" w:rsidRDefault="00D35E51">
            <w:pPr>
              <w:keepNext/>
              <w:keepLines/>
              <w:spacing w:line="240" w:lineRule="atLeast"/>
              <w:jc w:val="center"/>
              <w:rPr>
                <w:rFonts w:ascii="Times New Roman" w:eastAsia="Calibri" w:hAnsi="Times New Roman" w:cs="Times New Roman"/>
                <w:sz w:val="20"/>
                <w:szCs w:val="20"/>
              </w:rPr>
            </w:pPr>
            <w:r w:rsidRPr="00F06DE2">
              <w:rPr>
                <w:rFonts w:ascii="Times New Roman" w:hAnsi="Times New Roman" w:cs="Times New Roman"/>
                <w:sz w:val="20"/>
                <w:szCs w:val="20"/>
              </w:rPr>
              <w:t>IP 44</w:t>
            </w:r>
          </w:p>
        </w:tc>
      </w:tr>
      <w:tr w:rsidR="00271FA2" w:rsidRPr="00F06DE2" w14:paraId="2A5283B0" w14:textId="77777777" w:rsidTr="008F5DFF">
        <w:trPr>
          <w:cantSplit/>
          <w:trHeight w:val="2525"/>
        </w:trPr>
        <w:tc>
          <w:tcPr>
            <w:tcW w:w="9765" w:type="dxa"/>
            <w:gridSpan w:val="7"/>
            <w:tcBorders>
              <w:top w:val="single" w:sz="6" w:space="0" w:color="auto"/>
              <w:left w:val="single" w:sz="6" w:space="0" w:color="auto"/>
              <w:bottom w:val="single" w:sz="6" w:space="0" w:color="auto"/>
              <w:right w:val="single" w:sz="6" w:space="0" w:color="auto"/>
            </w:tcBorders>
          </w:tcPr>
          <w:p w14:paraId="54212E2F" w14:textId="77777777" w:rsidR="00271FA2" w:rsidRPr="00F06DE2" w:rsidRDefault="00D35E51">
            <w:pPr>
              <w:widowControl w:val="0"/>
              <w:tabs>
                <w:tab w:val="left" w:pos="142"/>
              </w:tabs>
              <w:overflowPunct w:val="0"/>
              <w:adjustRightInd w:val="0"/>
              <w:spacing w:line="240" w:lineRule="atLeast"/>
              <w:ind w:left="57"/>
              <w:jc w:val="both"/>
              <w:textAlignment w:val="baseline"/>
              <w:rPr>
                <w:rFonts w:ascii="Times New Roman" w:eastAsia="Calibri" w:hAnsi="Times New Roman" w:cs="Times New Roman"/>
                <w:sz w:val="20"/>
                <w:szCs w:val="20"/>
                <w:lang w:val="ru-RU"/>
              </w:rPr>
            </w:pPr>
            <w:r w:rsidRPr="00F06DE2">
              <w:rPr>
                <w:rFonts w:ascii="Times New Roman" w:hAnsi="Times New Roman" w:cs="Times New Roman"/>
                <w:sz w:val="20"/>
                <w:szCs w:val="20"/>
                <w:lang w:val="ru-RU"/>
              </w:rPr>
              <w:t>Забележки:</w:t>
            </w:r>
          </w:p>
          <w:p w14:paraId="17F5B524" w14:textId="77777777" w:rsidR="00271FA2" w:rsidRPr="00F06DE2" w:rsidRDefault="00D35E51">
            <w:pPr>
              <w:widowControl w:val="0"/>
              <w:overflowPunct w:val="0"/>
              <w:adjustRightInd w:val="0"/>
              <w:spacing w:line="240" w:lineRule="atLeast"/>
              <w:ind w:left="426" w:hanging="369"/>
              <w:jc w:val="both"/>
              <w:textAlignment w:val="baseline"/>
              <w:rPr>
                <w:rFonts w:ascii="Times New Roman" w:eastAsia="Calibri" w:hAnsi="Times New Roman" w:cs="Times New Roman"/>
                <w:sz w:val="20"/>
                <w:szCs w:val="20"/>
                <w:lang w:val="ru-RU"/>
              </w:rPr>
            </w:pPr>
            <w:r w:rsidRPr="00F06DE2">
              <w:rPr>
                <w:rFonts w:ascii="Times New Roman" w:hAnsi="Times New Roman" w:cs="Times New Roman"/>
                <w:sz w:val="20"/>
                <w:szCs w:val="20"/>
                <w:vertAlign w:val="superscript"/>
                <w:lang w:val="ru-RU"/>
              </w:rPr>
              <w:t>(1)</w:t>
            </w:r>
            <w:r w:rsidRPr="00F06DE2">
              <w:rPr>
                <w:rFonts w:ascii="Times New Roman" w:hAnsi="Times New Roman" w:cs="Times New Roman"/>
                <w:sz w:val="20"/>
                <w:szCs w:val="20"/>
                <w:lang w:val="ru-RU"/>
              </w:rPr>
              <w:tab/>
              <w:t xml:space="preserve">Когато оборудването отделя големи количества топлина: </w:t>
            </w:r>
            <w:r w:rsidRPr="00F06DE2">
              <w:rPr>
                <w:rFonts w:ascii="Times New Roman" w:hAnsi="Times New Roman" w:cs="Times New Roman"/>
                <w:sz w:val="20"/>
                <w:szCs w:val="20"/>
              </w:rPr>
              <w:t>IP</w:t>
            </w:r>
            <w:r w:rsidRPr="00F06DE2">
              <w:rPr>
                <w:rFonts w:ascii="Times New Roman" w:hAnsi="Times New Roman" w:cs="Times New Roman"/>
                <w:sz w:val="20"/>
                <w:szCs w:val="20"/>
                <w:lang w:val="ru-RU"/>
              </w:rPr>
              <w:t xml:space="preserve"> 12.</w:t>
            </w:r>
          </w:p>
          <w:p w14:paraId="4832E76A" w14:textId="77777777" w:rsidR="00271FA2" w:rsidRPr="00F06DE2" w:rsidRDefault="00D35E51">
            <w:pPr>
              <w:widowControl w:val="0"/>
              <w:overflowPunct w:val="0"/>
              <w:adjustRightInd w:val="0"/>
              <w:spacing w:line="240" w:lineRule="atLeast"/>
              <w:ind w:left="426" w:hanging="369"/>
              <w:jc w:val="both"/>
              <w:textAlignment w:val="baseline"/>
              <w:rPr>
                <w:rFonts w:ascii="Times New Roman" w:eastAsia="Calibri" w:hAnsi="Times New Roman" w:cs="Times New Roman"/>
                <w:sz w:val="20"/>
                <w:szCs w:val="20"/>
                <w:lang w:val="ru-RU"/>
              </w:rPr>
            </w:pPr>
            <w:r w:rsidRPr="00F06DE2">
              <w:rPr>
                <w:rFonts w:ascii="Times New Roman" w:hAnsi="Times New Roman" w:cs="Times New Roman"/>
                <w:sz w:val="20"/>
                <w:szCs w:val="20"/>
                <w:vertAlign w:val="superscript"/>
                <w:lang w:val="ru-RU"/>
              </w:rPr>
              <w:t>(2)</w:t>
            </w:r>
            <w:r w:rsidRPr="00F06DE2">
              <w:rPr>
                <w:rFonts w:ascii="Times New Roman" w:hAnsi="Times New Roman" w:cs="Times New Roman"/>
                <w:sz w:val="20"/>
                <w:szCs w:val="20"/>
                <w:lang w:val="ru-RU"/>
              </w:rPr>
              <w:tab/>
              <w:t>Когато видът защита не е осигурен от самото оборудване, местоположението на оборудването трябва да отговаря на условията, посочени в таблицата.</w:t>
            </w:r>
          </w:p>
          <w:p w14:paraId="63E4B655" w14:textId="77777777" w:rsidR="00271FA2" w:rsidRPr="00F06DE2" w:rsidRDefault="00D35E51">
            <w:pPr>
              <w:widowControl w:val="0"/>
              <w:tabs>
                <w:tab w:val="left" w:pos="567"/>
              </w:tabs>
              <w:overflowPunct w:val="0"/>
              <w:adjustRightInd w:val="0"/>
              <w:spacing w:line="240" w:lineRule="atLeast"/>
              <w:ind w:left="426" w:hanging="369"/>
              <w:jc w:val="both"/>
              <w:textAlignment w:val="baseline"/>
              <w:rPr>
                <w:rFonts w:ascii="Times New Roman" w:eastAsia="Calibri" w:hAnsi="Times New Roman" w:cs="Times New Roman"/>
                <w:sz w:val="20"/>
                <w:szCs w:val="20"/>
                <w:lang w:val="ru-RU"/>
              </w:rPr>
            </w:pPr>
            <w:r w:rsidRPr="00F06DE2">
              <w:rPr>
                <w:rFonts w:ascii="Times New Roman" w:hAnsi="Times New Roman" w:cs="Times New Roman"/>
                <w:sz w:val="20"/>
                <w:szCs w:val="20"/>
                <w:vertAlign w:val="superscript"/>
                <w:lang w:val="ru-RU"/>
              </w:rPr>
              <w:t>(3)</w:t>
            </w:r>
            <w:r w:rsidRPr="00F06DE2">
              <w:rPr>
                <w:rFonts w:ascii="Times New Roman" w:hAnsi="Times New Roman" w:cs="Times New Roman"/>
                <w:sz w:val="20"/>
                <w:szCs w:val="20"/>
                <w:lang w:val="ru-RU"/>
              </w:rPr>
              <w:tab/>
              <w:t>Сертифициран обезопасен вид електрическо оборудване, например инсталации:</w:t>
            </w:r>
          </w:p>
          <w:p w14:paraId="5833B923" w14:textId="77777777" w:rsidR="00271FA2" w:rsidRPr="00F06DE2" w:rsidRDefault="00D35E51">
            <w:pPr>
              <w:widowControl w:val="0"/>
              <w:overflowPunct w:val="0"/>
              <w:adjustRightInd w:val="0"/>
              <w:spacing w:line="240" w:lineRule="atLeast"/>
              <w:ind w:left="709" w:hanging="283"/>
              <w:jc w:val="both"/>
              <w:textAlignment w:val="baseline"/>
              <w:rPr>
                <w:rFonts w:ascii="Times New Roman" w:eastAsia="Calibri" w:hAnsi="Times New Roman" w:cs="Times New Roman"/>
                <w:sz w:val="20"/>
                <w:szCs w:val="20"/>
                <w:lang w:val="ru-RU"/>
              </w:rPr>
            </w:pPr>
            <w:r w:rsidRPr="00F06DE2">
              <w:rPr>
                <w:rFonts w:ascii="Times New Roman" w:hAnsi="Times New Roman" w:cs="Times New Roman"/>
                <w:sz w:val="20"/>
                <w:szCs w:val="20"/>
              </w:rPr>
              <w:t>a</w:t>
            </w:r>
            <w:r w:rsidRPr="00F06DE2">
              <w:rPr>
                <w:rFonts w:ascii="Times New Roman" w:hAnsi="Times New Roman" w:cs="Times New Roman"/>
                <w:sz w:val="20"/>
                <w:szCs w:val="20"/>
                <w:lang w:val="ru-RU"/>
              </w:rPr>
              <w:t xml:space="preserve">) разрешено съгласно Европейските стандарти серия </w:t>
            </w:r>
            <w:r w:rsidRPr="00F06DE2">
              <w:rPr>
                <w:rFonts w:ascii="Times New Roman" w:hAnsi="Times New Roman" w:cs="Times New Roman"/>
                <w:sz w:val="20"/>
                <w:szCs w:val="20"/>
              </w:rPr>
              <w:t>EN</w:t>
            </w:r>
            <w:r w:rsidRPr="00F06DE2">
              <w:rPr>
                <w:rFonts w:ascii="Times New Roman" w:hAnsi="Times New Roman" w:cs="Times New Roman"/>
                <w:sz w:val="20"/>
                <w:szCs w:val="20"/>
                <w:lang w:val="ru-RU"/>
              </w:rPr>
              <w:t xml:space="preserve"> 60079 във версията им в сила на 6 юли 2017</w:t>
            </w:r>
            <w:r w:rsidRPr="00F06DE2">
              <w:rPr>
                <w:rFonts w:ascii="Times New Roman" w:hAnsi="Times New Roman" w:cs="Times New Roman"/>
                <w:sz w:val="20"/>
                <w:szCs w:val="20"/>
              </w:rPr>
              <w:t> </w:t>
            </w:r>
            <w:r w:rsidRPr="00F06DE2">
              <w:rPr>
                <w:rFonts w:ascii="Times New Roman" w:hAnsi="Times New Roman" w:cs="Times New Roman"/>
                <w:sz w:val="20"/>
                <w:szCs w:val="20"/>
                <w:lang w:val="ru-RU"/>
              </w:rPr>
              <w:t>г.,</w:t>
            </w:r>
          </w:p>
          <w:p w14:paraId="535260E2" w14:textId="77777777" w:rsidR="00271FA2" w:rsidRPr="00F06DE2" w:rsidRDefault="00D35E51">
            <w:pPr>
              <w:spacing w:line="240" w:lineRule="atLeast"/>
              <w:ind w:left="709" w:hanging="283"/>
              <w:jc w:val="both"/>
              <w:rPr>
                <w:rFonts w:ascii="Times New Roman" w:hAnsi="Times New Roman" w:cs="Times New Roman"/>
                <w:sz w:val="20"/>
                <w:szCs w:val="20"/>
                <w:lang w:val="ru-RU"/>
              </w:rPr>
            </w:pPr>
            <w:r w:rsidRPr="00F06DE2">
              <w:rPr>
                <w:rFonts w:ascii="Times New Roman" w:hAnsi="Times New Roman" w:cs="Times New Roman"/>
                <w:sz w:val="20"/>
                <w:szCs w:val="20"/>
                <w:lang w:val="ru-RU"/>
              </w:rPr>
              <w:t>б) по-нисък минимален вид защита, в зависимост от проекта, например някои видове пожарни датчици.</w:t>
            </w:r>
          </w:p>
          <w:p w14:paraId="1A5BB0E5" w14:textId="77777777" w:rsidR="00271FA2" w:rsidRPr="00F06DE2" w:rsidRDefault="00D35E51">
            <w:pPr>
              <w:widowControl w:val="0"/>
              <w:overflowPunct w:val="0"/>
              <w:adjustRightInd w:val="0"/>
              <w:spacing w:line="240" w:lineRule="atLeast"/>
              <w:ind w:left="57"/>
              <w:jc w:val="both"/>
              <w:textAlignment w:val="baseline"/>
              <w:rPr>
                <w:rFonts w:ascii="Times New Roman" w:hAnsi="Times New Roman" w:cs="Times New Roman"/>
                <w:sz w:val="20"/>
                <w:szCs w:val="20"/>
                <w:vertAlign w:val="superscript"/>
                <w:lang w:val="ru-RU"/>
              </w:rPr>
            </w:pPr>
            <w:r w:rsidRPr="00F06DE2">
              <w:rPr>
                <w:rFonts w:ascii="Times New Roman" w:hAnsi="Times New Roman" w:cs="Times New Roman"/>
                <w:sz w:val="20"/>
                <w:szCs w:val="20"/>
                <w:lang w:val="ru-RU"/>
              </w:rPr>
              <w:t>Ако устройствата за осветяване, пожарни датчици или ръчни пожароизвестители се използват в шкафове за акумулатор и бои, двете условия трябва да бъдат спазени.</w:t>
            </w:r>
          </w:p>
          <w:p w14:paraId="4A9DFF28" w14:textId="77777777" w:rsidR="00271FA2" w:rsidRPr="00F06DE2" w:rsidRDefault="00D35E51">
            <w:pPr>
              <w:widowControl w:val="0"/>
              <w:tabs>
                <w:tab w:val="left" w:pos="426"/>
              </w:tabs>
              <w:overflowPunct w:val="0"/>
              <w:adjustRightInd w:val="0"/>
              <w:spacing w:line="240" w:lineRule="atLeast"/>
              <w:ind w:left="426" w:hanging="369"/>
              <w:jc w:val="both"/>
              <w:textAlignment w:val="baseline"/>
              <w:rPr>
                <w:rFonts w:ascii="Times New Roman" w:eastAsia="Calibri" w:hAnsi="Times New Roman" w:cs="Times New Roman"/>
                <w:sz w:val="20"/>
                <w:szCs w:val="20"/>
                <w:lang w:val="ru-RU"/>
              </w:rPr>
            </w:pPr>
            <w:r w:rsidRPr="00F06DE2">
              <w:rPr>
                <w:rFonts w:ascii="Times New Roman" w:hAnsi="Times New Roman" w:cs="Times New Roman"/>
                <w:sz w:val="20"/>
                <w:szCs w:val="20"/>
                <w:vertAlign w:val="superscript"/>
                <w:lang w:val="ru-RU"/>
              </w:rPr>
              <w:t>(4)</w:t>
            </w:r>
            <w:r w:rsidRPr="00F06DE2">
              <w:rPr>
                <w:rFonts w:ascii="Times New Roman" w:hAnsi="Times New Roman" w:cs="Times New Roman"/>
                <w:sz w:val="20"/>
                <w:szCs w:val="20"/>
                <w:lang w:val="ru-RU"/>
              </w:rPr>
              <w:tab/>
              <w:t xml:space="preserve">За арматура за инсталации за ток от 125 </w:t>
            </w:r>
            <w:r w:rsidRPr="00F06DE2">
              <w:rPr>
                <w:rFonts w:ascii="Times New Roman" w:hAnsi="Times New Roman" w:cs="Times New Roman"/>
                <w:sz w:val="20"/>
                <w:szCs w:val="20"/>
              </w:rPr>
              <w:t>A</w:t>
            </w:r>
            <w:r w:rsidRPr="00F06DE2">
              <w:rPr>
                <w:rFonts w:ascii="Times New Roman" w:hAnsi="Times New Roman" w:cs="Times New Roman"/>
                <w:sz w:val="20"/>
                <w:szCs w:val="20"/>
                <w:lang w:val="ru-RU"/>
              </w:rPr>
              <w:t xml:space="preserve"> и по-голям: </w:t>
            </w:r>
            <w:r w:rsidRPr="00F06DE2">
              <w:rPr>
                <w:rFonts w:ascii="Times New Roman" w:hAnsi="Times New Roman" w:cs="Times New Roman"/>
                <w:sz w:val="20"/>
                <w:szCs w:val="20"/>
              </w:rPr>
              <w:t>IP</w:t>
            </w:r>
            <w:r w:rsidRPr="00F06DE2">
              <w:rPr>
                <w:rFonts w:ascii="Times New Roman" w:hAnsi="Times New Roman" w:cs="Times New Roman"/>
                <w:sz w:val="20"/>
                <w:szCs w:val="20"/>
                <w:lang w:val="ru-RU"/>
              </w:rPr>
              <w:t xml:space="preserve"> 66 (</w:t>
            </w:r>
            <w:r w:rsidRPr="00F06DE2">
              <w:rPr>
                <w:rFonts w:ascii="Times New Roman" w:hAnsi="Times New Roman" w:cs="Times New Roman"/>
                <w:sz w:val="20"/>
                <w:szCs w:val="20"/>
              </w:rPr>
              <w:t>EN</w:t>
            </w:r>
            <w:r w:rsidRPr="00F06DE2">
              <w:rPr>
                <w:rFonts w:ascii="Times New Roman" w:hAnsi="Times New Roman" w:cs="Times New Roman"/>
                <w:sz w:val="20"/>
                <w:szCs w:val="20"/>
                <w:lang w:val="ru-RU"/>
              </w:rPr>
              <w:t xml:space="preserve"> 60529:2014).</w:t>
            </w:r>
          </w:p>
        </w:tc>
      </w:tr>
    </w:tbl>
    <w:p w14:paraId="3A92CED4" w14:textId="755BCFAC" w:rsidR="00271FA2" w:rsidRPr="00F06DE2" w:rsidRDefault="00271FA2">
      <w:pPr>
        <w:pStyle w:val="ES-Titre3"/>
        <w:spacing w:line="240" w:lineRule="atLeast"/>
        <w:rPr>
          <w:rFonts w:ascii="Times New Roman" w:hAnsi="Times New Roman" w:cs="Times New Roman"/>
          <w:sz w:val="24"/>
          <w:szCs w:val="24"/>
          <w:lang w:val="ru-RU"/>
        </w:rPr>
      </w:pPr>
      <w:bookmarkStart w:id="155" w:name="_Toc491854081"/>
      <w:bookmarkStart w:id="156" w:name="_Toc535827522"/>
    </w:p>
    <w:p w14:paraId="5E3AE827" w14:textId="77777777" w:rsidR="00434B85" w:rsidRPr="00F06DE2" w:rsidRDefault="00434B85">
      <w:pPr>
        <w:pStyle w:val="ES-Titre3"/>
        <w:spacing w:line="240" w:lineRule="atLeast"/>
        <w:rPr>
          <w:rFonts w:ascii="Times New Roman" w:hAnsi="Times New Roman" w:cs="Times New Roman"/>
          <w:sz w:val="24"/>
          <w:szCs w:val="24"/>
          <w:lang w:val="ru-RU"/>
        </w:rPr>
      </w:pPr>
    </w:p>
    <w:p w14:paraId="2D157754" w14:textId="77777777"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Защита от експлозия</w:t>
      </w:r>
      <w:bookmarkEnd w:id="155"/>
      <w:bookmarkEnd w:id="156"/>
    </w:p>
    <w:p w14:paraId="2B8FA2F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lastRenderedPageBreak/>
        <w:t>1.</w:t>
      </w:r>
      <w:r w:rsidRPr="00F06DE2">
        <w:rPr>
          <w:rFonts w:ascii="Times New Roman" w:hAnsi="Times New Roman" w:cs="Times New Roman"/>
          <w:lang w:val="ru-RU"/>
        </w:rPr>
        <w:tab/>
        <w:t xml:space="preserve">Само взривообезопасено електрическо оборудване (удостоверена безопасност) може да се монтира в помещенията или зоните, където е вероятно да се натрупва експлозивна атмосфера. Това оборудване трябва да бъде изпитано и одобрено по отношение на неговата оперативна безопасност в експлозивна атмосфера от изпитваща институция, призната въз основа на национални разпоредби на една от държавите членки. </w:t>
      </w:r>
    </w:p>
    <w:p w14:paraId="406BA237"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Монтажът в тези помещения или зони на превключващи устройства за осветителни тела и други електрически съоръжения трябва да се избягва доколкото е възможно. При установяването на взривобезопасността трябва да се вземат предвид характеристиките на атмосферата, която е вероятно да възникне (група на взривен потенциал, температурен клас) и на изискванията на съответната зона.</w:t>
      </w:r>
    </w:p>
    <w:p w14:paraId="7C3AF291" w14:textId="77777777" w:rsidR="00271FA2" w:rsidRPr="00F06DE2" w:rsidRDefault="00D35E51">
      <w:pPr>
        <w:pStyle w:val="ESchpar"/>
        <w:jc w:val="both"/>
        <w:rPr>
          <w:rFonts w:ascii="Times New Roman" w:eastAsia="Calibri" w:hAnsi="Times New Roman" w:cs="Times New Roman"/>
          <w:strike/>
          <w:lang w:val="ru-RU"/>
        </w:rPr>
      </w:pPr>
      <w:r w:rsidRPr="00F06DE2">
        <w:rPr>
          <w:rFonts w:ascii="Times New Roman" w:hAnsi="Times New Roman" w:cs="Times New Roman"/>
          <w:lang w:val="ru-RU"/>
        </w:rPr>
        <w:t xml:space="preserve">Информацията и ограниченията в удостоверенията за одобрение на оборудването трябва да бъдат спазвани. </w:t>
      </w:r>
    </w:p>
    <w:p w14:paraId="7C7895AA"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Класифицирането и оценяването на области с риск от експлозия трябва да се извършват и документират в съответствие с Международни стандарти </w:t>
      </w:r>
      <w:r w:rsidRPr="00F06DE2">
        <w:rPr>
          <w:rFonts w:ascii="Times New Roman" w:hAnsi="Times New Roman" w:cs="Times New Roman"/>
        </w:rPr>
        <w:t>EN</w:t>
      </w:r>
      <w:r w:rsidRPr="00F06DE2">
        <w:rPr>
          <w:rFonts w:ascii="Times New Roman" w:hAnsi="Times New Roman" w:cs="Times New Roman"/>
          <w:lang w:val="ru-RU"/>
        </w:rPr>
        <w:t xml:space="preserve"> 60079-10-1:2020 и </w:t>
      </w:r>
      <w:r w:rsidRPr="00F06DE2">
        <w:rPr>
          <w:rFonts w:ascii="Times New Roman" w:hAnsi="Times New Roman" w:cs="Times New Roman"/>
        </w:rPr>
        <w:t>EN</w:t>
      </w:r>
      <w:r w:rsidRPr="00F06DE2">
        <w:rPr>
          <w:rFonts w:ascii="Times New Roman" w:hAnsi="Times New Roman" w:cs="Times New Roman"/>
          <w:lang w:val="ru-RU"/>
        </w:rPr>
        <w:t xml:space="preserve"> 60079-10-2:2015.</w:t>
      </w:r>
    </w:p>
    <w:p w14:paraId="391297AA" w14:textId="77777777" w:rsidR="00271FA2" w:rsidRPr="00F06DE2" w:rsidRDefault="00D35E51" w:rsidP="00434B85">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Приложими правила за опасни зони:</w:t>
      </w:r>
    </w:p>
    <w:p w14:paraId="195126CF" w14:textId="77777777" w:rsidR="00271FA2" w:rsidRPr="00F06DE2" w:rsidRDefault="00D35E51" w:rsidP="00434B8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В зона 0 са разрешени само конструктивно безопасни вериги (клас на защита </w:t>
      </w:r>
      <w:r w:rsidRPr="00F06DE2">
        <w:rPr>
          <w:rFonts w:ascii="Times New Roman" w:hAnsi="Times New Roman" w:cs="Times New Roman"/>
        </w:rPr>
        <w:t>Ex</w:t>
      </w:r>
      <w:r w:rsidRPr="00F06DE2">
        <w:rPr>
          <w:rFonts w:ascii="Times New Roman" w:hAnsi="Times New Roman" w:cs="Times New Roman"/>
          <w:lang w:val="ru-RU"/>
        </w:rPr>
        <w:t xml:space="preserve"> </w:t>
      </w:r>
      <w:r w:rsidRPr="00F06DE2">
        <w:rPr>
          <w:rFonts w:ascii="Times New Roman" w:hAnsi="Times New Roman" w:cs="Times New Roman"/>
        </w:rPr>
        <w:t>ia</w:t>
      </w:r>
      <w:r w:rsidRPr="00F06DE2">
        <w:rPr>
          <w:rFonts w:ascii="Times New Roman" w:hAnsi="Times New Roman" w:cs="Times New Roman"/>
          <w:lang w:val="ru-RU"/>
        </w:rPr>
        <w:t xml:space="preserve">) в съответствие с Международен стандарт </w:t>
      </w:r>
      <w:r w:rsidRPr="00F06DE2">
        <w:rPr>
          <w:rFonts w:ascii="Times New Roman" w:hAnsi="Times New Roman" w:cs="Times New Roman"/>
        </w:rPr>
        <w:t>IEC</w:t>
      </w:r>
      <w:r w:rsidRPr="00F06DE2">
        <w:rPr>
          <w:rFonts w:ascii="Times New Roman" w:hAnsi="Times New Roman" w:cs="Times New Roman"/>
          <w:lang w:val="ru-RU"/>
        </w:rPr>
        <w:t xml:space="preserve"> 60079-11:2012;</w:t>
      </w:r>
    </w:p>
    <w:p w14:paraId="594A82B4" w14:textId="77777777" w:rsidR="00271FA2" w:rsidRPr="00F06DE2" w:rsidRDefault="00D35E51" w:rsidP="00434B85">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В зона 1 е разрешено само защитено от експлозии електрическо оборудване (удостоверена безопасност);</w:t>
      </w:r>
    </w:p>
    <w:p w14:paraId="1A851360" w14:textId="77777777" w:rsidR="00271FA2" w:rsidRPr="00F06DE2" w:rsidRDefault="00D35E51" w:rsidP="00434B8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в) В зона 2 е необходимо да бъдат предприети мерки за защита на електрическите съоръжения, които са подходящи за вида и предназначението на работното оборудване. </w:t>
      </w:r>
    </w:p>
    <w:p w14:paraId="7E45177F" w14:textId="77777777" w:rsidR="00271FA2" w:rsidRPr="00F06DE2" w:rsidRDefault="00D35E51" w:rsidP="00434B85">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Одобрението в тези области е ограничено до:</w:t>
      </w:r>
    </w:p>
    <w:p w14:paraId="3BA36A3C" w14:textId="77777777" w:rsidR="00271FA2" w:rsidRPr="00F06DE2" w:rsidRDefault="00D35E51" w:rsidP="00434B85">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защитено от експлозии електрическо оборудване (удостоверена безопасност); или</w:t>
      </w:r>
    </w:p>
    <w:p w14:paraId="072F4675" w14:textId="77777777" w:rsidR="00271FA2" w:rsidRPr="00F06DE2" w:rsidRDefault="00D35E51" w:rsidP="00434B85">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бб) работно оборудване, което при нормална експлоатация не произвежда искри и чиито повърхности могат да влязат в контакт с външен въздух, и което не достига до недопустими температури; или </w:t>
      </w:r>
    </w:p>
    <w:p w14:paraId="3BAEB4FF" w14:textId="77777777" w:rsidR="00271FA2" w:rsidRPr="00F06DE2" w:rsidRDefault="00D35E51" w:rsidP="00434B85">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вв) работно оборудване, което е защитено чрез херметизиране или което е капсулирано по устойчив на пари начин (минимален клас защита </w:t>
      </w:r>
      <w:r w:rsidRPr="00F06DE2">
        <w:rPr>
          <w:rFonts w:ascii="Times New Roman" w:hAnsi="Times New Roman" w:cs="Times New Roman"/>
        </w:rPr>
        <w:t>IP</w:t>
      </w:r>
      <w:r w:rsidRPr="00F06DE2">
        <w:rPr>
          <w:rFonts w:ascii="Times New Roman" w:hAnsi="Times New Roman" w:cs="Times New Roman"/>
          <w:lang w:val="ru-RU"/>
        </w:rPr>
        <w:t xml:space="preserve"> 55) и чиито повърхности не достигат недопустими температури.</w:t>
      </w:r>
    </w:p>
    <w:p w14:paraId="386260D8" w14:textId="77777777" w:rsidR="00271FA2" w:rsidRPr="00F06DE2" w:rsidRDefault="00D35E51" w:rsidP="00434B85">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За защита от експлозии на прах, се прилагат изискванията в съответствие с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60079-10-2:2015.</w:t>
      </w:r>
    </w:p>
    <w:p w14:paraId="312A1FE0" w14:textId="65BB0CFD" w:rsidR="00D75311" w:rsidRPr="00F06DE2" w:rsidRDefault="00D75311" w:rsidP="00434B85">
      <w:pPr>
        <w:pStyle w:val="ESch"/>
        <w:jc w:val="both"/>
        <w:rPr>
          <w:rFonts w:ascii="Times New Roman" w:hAnsi="Times New Roman" w:cs="Times New Roman"/>
          <w:lang w:val="ru-RU"/>
        </w:rPr>
      </w:pPr>
      <w:r w:rsidRPr="00F06DE2">
        <w:rPr>
          <w:rFonts w:ascii="Times New Roman" w:hAnsi="Times New Roman" w:cs="Times New Roman"/>
          <w:lang w:val="ru-RU"/>
        </w:rPr>
        <w:t xml:space="preserve">4. </w:t>
      </w:r>
      <w:r w:rsidRPr="00F06DE2">
        <w:rPr>
          <w:rFonts w:ascii="Times New Roman" w:hAnsi="Times New Roman" w:cs="Times New Roman"/>
          <w:lang w:val="ru-RU"/>
        </w:rPr>
        <w:tab/>
        <w:t xml:space="preserve">Опасните зони </w:t>
      </w:r>
      <w:r w:rsidR="001F1717" w:rsidRPr="00F06DE2">
        <w:rPr>
          <w:rFonts w:ascii="Times New Roman" w:hAnsi="Times New Roman" w:cs="Times New Roman"/>
          <w:lang w:val="ru-RU"/>
        </w:rPr>
        <w:t xml:space="preserve">да имат </w:t>
      </w:r>
      <w:r w:rsidRPr="00F06DE2">
        <w:rPr>
          <w:rFonts w:ascii="Times New Roman" w:hAnsi="Times New Roman" w:cs="Times New Roman"/>
          <w:lang w:val="ru-RU"/>
        </w:rPr>
        <w:t xml:space="preserve"> отвън символ за „Предупреждение за зони, където може да възникне експлозивна атмосфера“ в съответствие с фигура 13 от приложение 4, с дължина на страната най-малко 10 </w:t>
      </w:r>
      <w:r w:rsidRPr="00F06DE2">
        <w:rPr>
          <w:rFonts w:ascii="Times New Roman" w:hAnsi="Times New Roman" w:cs="Times New Roman"/>
        </w:rPr>
        <w:t>cm</w:t>
      </w:r>
      <w:r w:rsidRPr="00F06DE2">
        <w:rPr>
          <w:rFonts w:ascii="Times New Roman" w:hAnsi="Times New Roman" w:cs="Times New Roman"/>
          <w:lang w:val="ru-RU"/>
        </w:rPr>
        <w:t>.</w:t>
      </w:r>
    </w:p>
    <w:p w14:paraId="1BC4A920" w14:textId="77777777" w:rsidR="00434B85" w:rsidRPr="00F06DE2" w:rsidRDefault="00434B85" w:rsidP="00434B85">
      <w:pPr>
        <w:pStyle w:val="ES-Titre3"/>
        <w:spacing w:after="0" w:line="240" w:lineRule="atLeast"/>
        <w:rPr>
          <w:rFonts w:ascii="Times New Roman" w:hAnsi="Times New Roman" w:cs="Times New Roman"/>
          <w:sz w:val="24"/>
          <w:szCs w:val="24"/>
          <w:lang w:val="ru-RU"/>
        </w:rPr>
      </w:pPr>
      <w:bookmarkStart w:id="157" w:name="_Toc535827523"/>
      <w:bookmarkStart w:id="158" w:name="_Toc491854082"/>
    </w:p>
    <w:p w14:paraId="3815B34F" w14:textId="5F2E80D7" w:rsidR="00271FA2" w:rsidRPr="00F06DE2" w:rsidRDefault="00D35E51" w:rsidP="00434B85">
      <w:pPr>
        <w:pStyle w:val="ES-Titre3"/>
        <w:spacing w:after="0"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10.05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Заземяване</w:t>
      </w:r>
      <w:bookmarkEnd w:id="157"/>
      <w:bookmarkEnd w:id="158"/>
    </w:p>
    <w:p w14:paraId="1611ACD9" w14:textId="77777777" w:rsidR="00434B85" w:rsidRPr="00F06DE2" w:rsidRDefault="00434B85" w:rsidP="00434B85">
      <w:pPr>
        <w:pStyle w:val="ES-Titre3"/>
        <w:spacing w:after="0" w:line="240" w:lineRule="atLeast"/>
        <w:rPr>
          <w:rFonts w:ascii="Times New Roman" w:hAnsi="Times New Roman" w:cs="Times New Roman"/>
          <w:sz w:val="24"/>
          <w:szCs w:val="24"/>
          <w:lang w:val="ru-RU"/>
        </w:rPr>
      </w:pPr>
    </w:p>
    <w:p w14:paraId="338CBCDC" w14:textId="77777777" w:rsidR="00271FA2" w:rsidRPr="00F06DE2" w:rsidRDefault="00D35E51" w:rsidP="00434B85">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Заземяване се изисква за електрически инсталации с напрежение над 50 </w:t>
      </w:r>
      <w:r w:rsidRPr="00F06DE2">
        <w:rPr>
          <w:rFonts w:ascii="Times New Roman" w:hAnsi="Times New Roman" w:cs="Times New Roman"/>
        </w:rPr>
        <w:t>V</w:t>
      </w:r>
      <w:r w:rsidRPr="00F06DE2">
        <w:rPr>
          <w:rFonts w:ascii="Times New Roman" w:hAnsi="Times New Roman" w:cs="Times New Roman"/>
          <w:lang w:val="ru-RU"/>
        </w:rPr>
        <w:t>.</w:t>
      </w:r>
    </w:p>
    <w:p w14:paraId="393611A0" w14:textId="77777777" w:rsidR="00271FA2" w:rsidRPr="00F06DE2" w:rsidRDefault="00D35E51" w:rsidP="00434B85">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Изложени метални части, които при нормални работни условия не са под напрежение, като фундаменти и кожуси на електрическата система на електрически инсталации и немобилни електрически съоръжения, се заземяват отделно, ако не са инсталирани по такъв начин, че да са в пряк контакт с корпуса на плавателното средство .</w:t>
      </w:r>
    </w:p>
    <w:p w14:paraId="6A4EE876"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Обвивките на подвижните електрически съоръжения трябва да бъдат заземени чрез допълнителен проводник, по който обикновено не тече ток и който е интегриран в захранващия </w:t>
      </w:r>
      <w:r w:rsidRPr="00F06DE2">
        <w:rPr>
          <w:rFonts w:ascii="Times New Roman" w:hAnsi="Times New Roman" w:cs="Times New Roman"/>
          <w:lang w:val="ru-RU"/>
        </w:rPr>
        <w:lastRenderedPageBreak/>
        <w:t>кабел. Това изискване не се прилага, когато се използва трансформатор за изолация или когато оборудването има защитна изолация (двойна изолация).</w:t>
      </w:r>
    </w:p>
    <w:p w14:paraId="7038DFB0"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Напречното сечение на проводниците за заземяване трябва да е най-малко равно на стойностите, получени от следната таблица:</w:t>
      </w:r>
    </w:p>
    <w:tbl>
      <w:tblPr>
        <w:tblW w:w="0" w:type="auto"/>
        <w:jc w:val="center"/>
        <w:tblLayout w:type="fixed"/>
        <w:tblCellMar>
          <w:left w:w="70" w:type="dxa"/>
          <w:right w:w="70" w:type="dxa"/>
        </w:tblCellMar>
        <w:tblLook w:val="04A0" w:firstRow="1" w:lastRow="0" w:firstColumn="1" w:lastColumn="0" w:noHBand="0" w:noVBand="1"/>
      </w:tblPr>
      <w:tblGrid>
        <w:gridCol w:w="2214"/>
        <w:gridCol w:w="2833"/>
        <w:gridCol w:w="3309"/>
      </w:tblGrid>
      <w:tr w:rsidR="00271FA2" w:rsidRPr="00F06DE2" w14:paraId="7F2A1F6D" w14:textId="77777777" w:rsidTr="00434B85">
        <w:trPr>
          <w:cantSplit/>
          <w:jc w:val="center"/>
        </w:trPr>
        <w:tc>
          <w:tcPr>
            <w:tcW w:w="2214" w:type="dxa"/>
            <w:vMerge w:val="restart"/>
            <w:tcBorders>
              <w:top w:val="single" w:sz="6" w:space="0" w:color="auto"/>
              <w:left w:val="single" w:sz="6" w:space="0" w:color="auto"/>
              <w:right w:val="single" w:sz="6" w:space="0" w:color="auto"/>
            </w:tcBorders>
            <w:vAlign w:val="center"/>
          </w:tcPr>
          <w:p w14:paraId="50EA678F" w14:textId="77777777" w:rsidR="00271FA2" w:rsidRPr="00F06DE2" w:rsidRDefault="00D35E51">
            <w:pPr>
              <w:tabs>
                <w:tab w:val="left" w:pos="1632"/>
                <w:tab w:val="left" w:pos="3456"/>
              </w:tabs>
              <w:spacing w:line="240" w:lineRule="atLeast"/>
              <w:jc w:val="center"/>
              <w:rPr>
                <w:rFonts w:ascii="Times New Roman" w:hAnsi="Times New Roman" w:cs="Times New Roman"/>
                <w:lang w:val="ru-RU"/>
              </w:rPr>
            </w:pPr>
            <w:r w:rsidRPr="00F06DE2">
              <w:rPr>
                <w:rFonts w:ascii="Times New Roman" w:hAnsi="Times New Roman" w:cs="Times New Roman"/>
                <w:lang w:val="ru-RU"/>
              </w:rPr>
              <w:t>Напречно сечение на външни проводници (</w:t>
            </w:r>
            <w:r w:rsidRPr="00F06DE2">
              <w:rPr>
                <w:rFonts w:ascii="Times New Roman" w:hAnsi="Times New Roman" w:cs="Times New Roman"/>
              </w:rPr>
              <w:t>S</w:t>
            </w:r>
            <w:r w:rsidRPr="00F06DE2">
              <w:rPr>
                <w:rFonts w:ascii="Times New Roman" w:hAnsi="Times New Roman" w:cs="Times New Roman"/>
                <w:lang w:val="ru-RU"/>
              </w:rPr>
              <w:t>)</w:t>
            </w:r>
            <w:r w:rsidRPr="00F06DE2">
              <w:rPr>
                <w:rFonts w:ascii="Times New Roman" w:hAnsi="Times New Roman" w:cs="Times New Roman"/>
                <w:lang w:val="ru-RU"/>
              </w:rPr>
              <w:br/>
              <w:t>[</w:t>
            </w:r>
            <w:r w:rsidRPr="00F06DE2">
              <w:rPr>
                <w:rFonts w:ascii="Times New Roman" w:hAnsi="Times New Roman" w:cs="Times New Roman"/>
              </w:rPr>
              <w:t>mm</w:t>
            </w:r>
            <w:r w:rsidRPr="00F06DE2">
              <w:rPr>
                <w:rFonts w:ascii="Times New Roman" w:hAnsi="Times New Roman" w:cs="Times New Roman"/>
                <w:vertAlign w:val="superscript"/>
                <w:lang w:val="ru-RU"/>
              </w:rPr>
              <w:t>2</w:t>
            </w:r>
            <w:r w:rsidRPr="00F06DE2">
              <w:rPr>
                <w:rFonts w:ascii="Times New Roman" w:hAnsi="Times New Roman" w:cs="Times New Roman"/>
                <w:lang w:val="ru-RU"/>
              </w:rPr>
              <w:t>]</w:t>
            </w:r>
          </w:p>
        </w:tc>
        <w:tc>
          <w:tcPr>
            <w:tcW w:w="6142" w:type="dxa"/>
            <w:gridSpan w:val="2"/>
            <w:tcBorders>
              <w:top w:val="single" w:sz="6" w:space="0" w:color="auto"/>
              <w:right w:val="single" w:sz="6" w:space="0" w:color="auto"/>
            </w:tcBorders>
            <w:vAlign w:val="center"/>
          </w:tcPr>
          <w:p w14:paraId="4B93C645" w14:textId="77777777" w:rsidR="00271FA2" w:rsidRPr="00F06DE2" w:rsidRDefault="00D35E51">
            <w:pPr>
              <w:tabs>
                <w:tab w:val="left" w:pos="1632"/>
                <w:tab w:val="left" w:pos="3456"/>
              </w:tabs>
              <w:spacing w:line="240" w:lineRule="atLeast"/>
              <w:ind w:left="17" w:hanging="17"/>
              <w:jc w:val="center"/>
              <w:rPr>
                <w:rFonts w:ascii="Times New Roman" w:hAnsi="Times New Roman" w:cs="Times New Roman"/>
                <w:lang w:val="ru-RU"/>
              </w:rPr>
            </w:pPr>
            <w:r w:rsidRPr="00F06DE2">
              <w:rPr>
                <w:rFonts w:ascii="Times New Roman" w:hAnsi="Times New Roman" w:cs="Times New Roman"/>
                <w:lang w:val="ru-RU"/>
              </w:rPr>
              <w:t>Минимално сечение на заземяващи проводници</w:t>
            </w:r>
          </w:p>
        </w:tc>
      </w:tr>
      <w:tr w:rsidR="00271FA2" w:rsidRPr="00F06DE2" w14:paraId="11D32F95" w14:textId="77777777" w:rsidTr="00434B85">
        <w:trPr>
          <w:cantSplit/>
          <w:jc w:val="center"/>
        </w:trPr>
        <w:tc>
          <w:tcPr>
            <w:tcW w:w="2214" w:type="dxa"/>
            <w:vMerge/>
            <w:tcBorders>
              <w:left w:val="single" w:sz="6" w:space="0" w:color="auto"/>
              <w:bottom w:val="single" w:sz="12" w:space="0" w:color="auto"/>
              <w:right w:val="single" w:sz="6" w:space="0" w:color="auto"/>
            </w:tcBorders>
            <w:vAlign w:val="center"/>
          </w:tcPr>
          <w:p w14:paraId="0E049B0D" w14:textId="77777777" w:rsidR="00271FA2" w:rsidRPr="00F06DE2" w:rsidRDefault="00271FA2">
            <w:pPr>
              <w:tabs>
                <w:tab w:val="left" w:pos="1632"/>
                <w:tab w:val="left" w:pos="3456"/>
              </w:tabs>
              <w:spacing w:line="240" w:lineRule="atLeast"/>
              <w:jc w:val="center"/>
              <w:rPr>
                <w:rFonts w:ascii="Times New Roman" w:hAnsi="Times New Roman" w:cs="Times New Roman"/>
                <w:lang w:val="ru-RU"/>
              </w:rPr>
            </w:pPr>
          </w:p>
        </w:tc>
        <w:tc>
          <w:tcPr>
            <w:tcW w:w="2833" w:type="dxa"/>
            <w:tcBorders>
              <w:bottom w:val="single" w:sz="12" w:space="0" w:color="auto"/>
              <w:right w:val="single" w:sz="6" w:space="0" w:color="auto"/>
            </w:tcBorders>
            <w:vAlign w:val="center"/>
          </w:tcPr>
          <w:p w14:paraId="61BCFE57"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в изолирани кабели</w:t>
            </w:r>
            <w:r w:rsidRPr="00F06DE2">
              <w:rPr>
                <w:rFonts w:ascii="Times New Roman" w:hAnsi="Times New Roman" w:cs="Times New Roman"/>
              </w:rPr>
              <w:br/>
              <w:t>[mm</w:t>
            </w:r>
            <w:r w:rsidRPr="00F06DE2">
              <w:rPr>
                <w:rFonts w:ascii="Times New Roman" w:hAnsi="Times New Roman" w:cs="Times New Roman"/>
                <w:vertAlign w:val="superscript"/>
              </w:rPr>
              <w:t>2</w:t>
            </w:r>
            <w:r w:rsidRPr="00F06DE2">
              <w:rPr>
                <w:rFonts w:ascii="Times New Roman" w:hAnsi="Times New Roman" w:cs="Times New Roman"/>
              </w:rPr>
              <w:t>]</w:t>
            </w:r>
          </w:p>
        </w:tc>
        <w:tc>
          <w:tcPr>
            <w:tcW w:w="3309" w:type="dxa"/>
            <w:tcBorders>
              <w:left w:val="single" w:sz="6" w:space="0" w:color="auto"/>
              <w:bottom w:val="single" w:sz="12" w:space="0" w:color="auto"/>
              <w:right w:val="single" w:sz="6" w:space="0" w:color="auto"/>
            </w:tcBorders>
            <w:vAlign w:val="center"/>
          </w:tcPr>
          <w:p w14:paraId="2A76276C"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 xml:space="preserve">монтирани отделно </w:t>
            </w:r>
            <w:r w:rsidRPr="00F06DE2">
              <w:rPr>
                <w:rFonts w:ascii="Times New Roman" w:hAnsi="Times New Roman" w:cs="Times New Roman"/>
              </w:rPr>
              <w:br/>
              <w:t>[mm</w:t>
            </w:r>
            <w:r w:rsidRPr="00F06DE2">
              <w:rPr>
                <w:rFonts w:ascii="Times New Roman" w:hAnsi="Times New Roman" w:cs="Times New Roman"/>
                <w:vertAlign w:val="superscript"/>
              </w:rPr>
              <w:t>2</w:t>
            </w:r>
            <w:r w:rsidRPr="00F06DE2">
              <w:rPr>
                <w:rFonts w:ascii="Times New Roman" w:hAnsi="Times New Roman" w:cs="Times New Roman"/>
              </w:rPr>
              <w:t>]</w:t>
            </w:r>
          </w:p>
        </w:tc>
      </w:tr>
      <w:tr w:rsidR="00271FA2" w:rsidRPr="00F06DE2" w14:paraId="6DE5DCF0" w14:textId="77777777" w:rsidTr="00434B85">
        <w:trPr>
          <w:cantSplit/>
          <w:jc w:val="center"/>
        </w:trPr>
        <w:tc>
          <w:tcPr>
            <w:tcW w:w="2214" w:type="dxa"/>
            <w:tcBorders>
              <w:top w:val="single" w:sz="12" w:space="0" w:color="auto"/>
              <w:left w:val="single" w:sz="6" w:space="0" w:color="auto"/>
              <w:bottom w:val="single" w:sz="6" w:space="0" w:color="auto"/>
            </w:tcBorders>
            <w:vAlign w:val="center"/>
          </w:tcPr>
          <w:p w14:paraId="6DD51655"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0,5 ≤ S ≤ 4</w:t>
            </w:r>
          </w:p>
        </w:tc>
        <w:tc>
          <w:tcPr>
            <w:tcW w:w="2833" w:type="dxa"/>
            <w:tcBorders>
              <w:top w:val="single" w:sz="12" w:space="0" w:color="auto"/>
              <w:left w:val="single" w:sz="6" w:space="0" w:color="auto"/>
              <w:bottom w:val="single" w:sz="6" w:space="0" w:color="auto"/>
              <w:right w:val="single" w:sz="6" w:space="0" w:color="auto"/>
            </w:tcBorders>
            <w:vAlign w:val="center"/>
          </w:tcPr>
          <w:p w14:paraId="22C6A55B" w14:textId="77777777" w:rsidR="00271FA2" w:rsidRPr="00F06DE2" w:rsidRDefault="00D35E51">
            <w:pPr>
              <w:tabs>
                <w:tab w:val="left" w:pos="1632"/>
                <w:tab w:val="left" w:pos="3456"/>
              </w:tabs>
              <w:spacing w:line="240" w:lineRule="atLeast"/>
              <w:jc w:val="center"/>
              <w:rPr>
                <w:rFonts w:ascii="Times New Roman" w:hAnsi="Times New Roman" w:cs="Times New Roman"/>
                <w:lang w:val="ru-RU"/>
              </w:rPr>
            </w:pPr>
            <w:r w:rsidRPr="00F06DE2">
              <w:rPr>
                <w:rFonts w:ascii="Times New Roman" w:hAnsi="Times New Roman" w:cs="Times New Roman"/>
                <w:lang w:val="ru-RU"/>
              </w:rPr>
              <w:t>същото напречно сечение като за външния проводник</w:t>
            </w:r>
          </w:p>
        </w:tc>
        <w:tc>
          <w:tcPr>
            <w:tcW w:w="3309" w:type="dxa"/>
            <w:tcBorders>
              <w:top w:val="single" w:sz="12" w:space="0" w:color="auto"/>
              <w:left w:val="single" w:sz="6" w:space="0" w:color="auto"/>
              <w:bottom w:val="single" w:sz="6" w:space="0" w:color="auto"/>
              <w:right w:val="single" w:sz="6" w:space="0" w:color="auto"/>
            </w:tcBorders>
            <w:vAlign w:val="center"/>
          </w:tcPr>
          <w:p w14:paraId="39C24BE2"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4</w:t>
            </w:r>
          </w:p>
        </w:tc>
      </w:tr>
      <w:tr w:rsidR="00271FA2" w:rsidRPr="00F06DE2" w14:paraId="00CC7FD2" w14:textId="77777777" w:rsidTr="00434B85">
        <w:trPr>
          <w:cantSplit/>
          <w:jc w:val="center"/>
        </w:trPr>
        <w:tc>
          <w:tcPr>
            <w:tcW w:w="2214" w:type="dxa"/>
            <w:tcBorders>
              <w:top w:val="single" w:sz="6" w:space="0" w:color="auto"/>
              <w:left w:val="single" w:sz="6" w:space="0" w:color="auto"/>
              <w:bottom w:val="single" w:sz="6" w:space="0" w:color="auto"/>
            </w:tcBorders>
            <w:vAlign w:val="center"/>
          </w:tcPr>
          <w:p w14:paraId="2659DA1A"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4 &lt; S ≤ 16</w:t>
            </w:r>
          </w:p>
        </w:tc>
        <w:tc>
          <w:tcPr>
            <w:tcW w:w="6142" w:type="dxa"/>
            <w:gridSpan w:val="2"/>
            <w:tcBorders>
              <w:top w:val="single" w:sz="6" w:space="0" w:color="auto"/>
              <w:left w:val="single" w:sz="6" w:space="0" w:color="auto"/>
              <w:bottom w:val="single" w:sz="6" w:space="0" w:color="auto"/>
              <w:right w:val="single" w:sz="6" w:space="0" w:color="auto"/>
            </w:tcBorders>
            <w:vAlign w:val="center"/>
          </w:tcPr>
          <w:p w14:paraId="6010D51C" w14:textId="77777777" w:rsidR="00271FA2" w:rsidRPr="00F06DE2" w:rsidRDefault="00D35E51">
            <w:pPr>
              <w:tabs>
                <w:tab w:val="left" w:pos="1632"/>
                <w:tab w:val="left" w:pos="3456"/>
              </w:tabs>
              <w:spacing w:line="240" w:lineRule="atLeast"/>
              <w:jc w:val="center"/>
              <w:rPr>
                <w:rFonts w:ascii="Times New Roman" w:hAnsi="Times New Roman" w:cs="Times New Roman"/>
                <w:lang w:val="ru-RU"/>
              </w:rPr>
            </w:pPr>
            <w:r w:rsidRPr="00F06DE2">
              <w:rPr>
                <w:rFonts w:ascii="Times New Roman" w:hAnsi="Times New Roman" w:cs="Times New Roman"/>
                <w:lang w:val="ru-RU"/>
              </w:rPr>
              <w:t>същото напречно сечение като за външния проводник</w:t>
            </w:r>
          </w:p>
        </w:tc>
      </w:tr>
      <w:tr w:rsidR="00271FA2" w:rsidRPr="00F06DE2" w14:paraId="48A16304" w14:textId="77777777" w:rsidTr="00434B85">
        <w:trPr>
          <w:cantSplit/>
          <w:jc w:val="center"/>
        </w:trPr>
        <w:tc>
          <w:tcPr>
            <w:tcW w:w="2214" w:type="dxa"/>
            <w:tcBorders>
              <w:top w:val="single" w:sz="6" w:space="0" w:color="auto"/>
              <w:left w:val="single" w:sz="6" w:space="0" w:color="auto"/>
              <w:bottom w:val="single" w:sz="6" w:space="0" w:color="auto"/>
            </w:tcBorders>
            <w:vAlign w:val="center"/>
          </w:tcPr>
          <w:p w14:paraId="40505D4D"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16 &lt; S ≤ 35</w:t>
            </w:r>
          </w:p>
        </w:tc>
        <w:tc>
          <w:tcPr>
            <w:tcW w:w="6142" w:type="dxa"/>
            <w:gridSpan w:val="2"/>
            <w:tcBorders>
              <w:top w:val="single" w:sz="6" w:space="0" w:color="auto"/>
              <w:left w:val="single" w:sz="6" w:space="0" w:color="auto"/>
              <w:bottom w:val="single" w:sz="6" w:space="0" w:color="auto"/>
              <w:right w:val="single" w:sz="6" w:space="0" w:color="auto"/>
            </w:tcBorders>
            <w:vAlign w:val="center"/>
          </w:tcPr>
          <w:p w14:paraId="66182DC9"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16</w:t>
            </w:r>
          </w:p>
        </w:tc>
      </w:tr>
      <w:tr w:rsidR="00271FA2" w:rsidRPr="00F06DE2" w14:paraId="04DF737C" w14:textId="77777777" w:rsidTr="00434B85">
        <w:trPr>
          <w:cantSplit/>
          <w:jc w:val="center"/>
        </w:trPr>
        <w:tc>
          <w:tcPr>
            <w:tcW w:w="2214" w:type="dxa"/>
            <w:tcBorders>
              <w:top w:val="single" w:sz="6" w:space="0" w:color="auto"/>
              <w:left w:val="single" w:sz="6" w:space="0" w:color="auto"/>
              <w:bottom w:val="single" w:sz="6" w:space="0" w:color="auto"/>
            </w:tcBorders>
            <w:vAlign w:val="center"/>
          </w:tcPr>
          <w:p w14:paraId="726078FA"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35 &lt; S ≤ 120</w:t>
            </w:r>
          </w:p>
        </w:tc>
        <w:tc>
          <w:tcPr>
            <w:tcW w:w="6142" w:type="dxa"/>
            <w:gridSpan w:val="2"/>
            <w:tcBorders>
              <w:top w:val="single" w:sz="6" w:space="0" w:color="auto"/>
              <w:left w:val="single" w:sz="6" w:space="0" w:color="auto"/>
              <w:bottom w:val="single" w:sz="6" w:space="0" w:color="auto"/>
              <w:right w:val="single" w:sz="6" w:space="0" w:color="auto"/>
            </w:tcBorders>
            <w:vAlign w:val="center"/>
          </w:tcPr>
          <w:p w14:paraId="7A0DF791" w14:textId="77777777" w:rsidR="00271FA2" w:rsidRPr="00F06DE2" w:rsidRDefault="00D35E51">
            <w:pPr>
              <w:tabs>
                <w:tab w:val="left" w:pos="1632"/>
                <w:tab w:val="left" w:pos="3456"/>
              </w:tabs>
              <w:spacing w:line="240" w:lineRule="atLeast"/>
              <w:jc w:val="center"/>
              <w:rPr>
                <w:rFonts w:ascii="Times New Roman" w:hAnsi="Times New Roman" w:cs="Times New Roman"/>
                <w:lang w:val="ru-RU"/>
              </w:rPr>
            </w:pPr>
            <w:r w:rsidRPr="00F06DE2">
              <w:rPr>
                <w:rFonts w:ascii="Times New Roman" w:hAnsi="Times New Roman" w:cs="Times New Roman"/>
                <w:lang w:val="ru-RU"/>
              </w:rPr>
              <w:t>половината от напречно сечение на външния проводник</w:t>
            </w:r>
          </w:p>
        </w:tc>
      </w:tr>
      <w:tr w:rsidR="00271FA2" w:rsidRPr="00F06DE2" w14:paraId="3BD1B466" w14:textId="77777777" w:rsidTr="00434B85">
        <w:trPr>
          <w:cantSplit/>
          <w:jc w:val="center"/>
        </w:trPr>
        <w:tc>
          <w:tcPr>
            <w:tcW w:w="2214" w:type="dxa"/>
            <w:tcBorders>
              <w:top w:val="single" w:sz="6" w:space="0" w:color="auto"/>
              <w:left w:val="single" w:sz="6" w:space="0" w:color="auto"/>
              <w:bottom w:val="single" w:sz="6" w:space="0" w:color="auto"/>
            </w:tcBorders>
            <w:vAlign w:val="center"/>
          </w:tcPr>
          <w:p w14:paraId="0B5E0EA1"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S &gt; 120</w:t>
            </w:r>
          </w:p>
        </w:tc>
        <w:tc>
          <w:tcPr>
            <w:tcW w:w="6142" w:type="dxa"/>
            <w:gridSpan w:val="2"/>
            <w:tcBorders>
              <w:top w:val="single" w:sz="6" w:space="0" w:color="auto"/>
              <w:left w:val="single" w:sz="6" w:space="0" w:color="auto"/>
              <w:bottom w:val="single" w:sz="6" w:space="0" w:color="auto"/>
              <w:right w:val="single" w:sz="6" w:space="0" w:color="auto"/>
            </w:tcBorders>
            <w:vAlign w:val="center"/>
          </w:tcPr>
          <w:p w14:paraId="3263DAE8" w14:textId="77777777" w:rsidR="00271FA2" w:rsidRPr="00F06DE2" w:rsidRDefault="00D35E51">
            <w:pPr>
              <w:tabs>
                <w:tab w:val="left" w:pos="1632"/>
                <w:tab w:val="left" w:pos="3456"/>
              </w:tabs>
              <w:spacing w:line="240" w:lineRule="atLeast"/>
              <w:jc w:val="center"/>
              <w:rPr>
                <w:rFonts w:ascii="Times New Roman" w:hAnsi="Times New Roman" w:cs="Times New Roman"/>
              </w:rPr>
            </w:pPr>
            <w:r w:rsidRPr="00F06DE2">
              <w:rPr>
                <w:rFonts w:ascii="Times New Roman" w:hAnsi="Times New Roman" w:cs="Times New Roman"/>
              </w:rPr>
              <w:t>70</w:t>
            </w:r>
          </w:p>
        </w:tc>
      </w:tr>
    </w:tbl>
    <w:p w14:paraId="770276C8" w14:textId="77777777" w:rsidR="00271FA2" w:rsidRPr="00F06DE2" w:rsidRDefault="00271FA2">
      <w:pPr>
        <w:spacing w:line="240" w:lineRule="atLeast"/>
        <w:rPr>
          <w:rFonts w:ascii="Times New Roman" w:hAnsi="Times New Roman" w:cs="Times New Roman"/>
        </w:rPr>
      </w:pPr>
    </w:p>
    <w:p w14:paraId="3493CCAB" w14:textId="77777777" w:rsidR="00271FA2" w:rsidRPr="00F06DE2" w:rsidRDefault="00D35E51" w:rsidP="00434B85">
      <w:pPr>
        <w:pStyle w:val="ES-Titre3"/>
        <w:spacing w:line="240" w:lineRule="atLeast"/>
        <w:rPr>
          <w:rFonts w:ascii="Times New Roman" w:hAnsi="Times New Roman" w:cs="Times New Roman"/>
          <w:sz w:val="24"/>
          <w:szCs w:val="24"/>
        </w:rPr>
      </w:pPr>
      <w:bookmarkStart w:id="159" w:name="_Toc491854083"/>
      <w:bookmarkStart w:id="160" w:name="_Toc535827524"/>
      <w:r w:rsidRPr="00F06DE2">
        <w:rPr>
          <w:rFonts w:ascii="Times New Roman" w:hAnsi="Times New Roman" w:cs="Times New Roman"/>
          <w:sz w:val="24"/>
          <w:szCs w:val="24"/>
        </w:rPr>
        <w:t>Член 10.06</w:t>
      </w:r>
      <w:r w:rsidRPr="00F06DE2">
        <w:rPr>
          <w:rFonts w:ascii="Times New Roman" w:hAnsi="Times New Roman" w:cs="Times New Roman"/>
          <w:sz w:val="24"/>
          <w:szCs w:val="24"/>
        </w:rPr>
        <w:br/>
      </w:r>
      <w:r w:rsidRPr="00F06DE2">
        <w:rPr>
          <w:rFonts w:ascii="Times New Roman" w:hAnsi="Times New Roman" w:cs="Times New Roman"/>
          <w:i/>
          <w:sz w:val="24"/>
          <w:szCs w:val="24"/>
        </w:rPr>
        <w:t>Максимално допустимо напрежение</w:t>
      </w:r>
      <w:bookmarkEnd w:id="159"/>
      <w:bookmarkEnd w:id="160"/>
    </w:p>
    <w:p w14:paraId="251F9942" w14:textId="77777777" w:rsidR="00271FA2" w:rsidRPr="00F06DE2" w:rsidRDefault="00D35E51">
      <w:pPr>
        <w:pStyle w:val="ESch"/>
        <w:numPr>
          <w:ilvl w:val="0"/>
          <w:numId w:val="12"/>
        </w:numPr>
        <w:jc w:val="both"/>
        <w:rPr>
          <w:rFonts w:ascii="Times New Roman" w:hAnsi="Times New Roman" w:cs="Times New Roman"/>
          <w:lang w:val="ru-RU"/>
        </w:rPr>
      </w:pPr>
      <w:r w:rsidRPr="00F06DE2">
        <w:rPr>
          <w:rFonts w:ascii="Times New Roman" w:hAnsi="Times New Roman" w:cs="Times New Roman"/>
          <w:lang w:val="ru-RU"/>
        </w:rPr>
        <w:t>Следните напрежения не трябва да се превишават:</w:t>
      </w:r>
    </w:p>
    <w:tbl>
      <w:tblPr>
        <w:tblW w:w="8716" w:type="dxa"/>
        <w:tblInd w:w="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60"/>
        <w:gridCol w:w="1680"/>
        <w:gridCol w:w="1375"/>
        <w:gridCol w:w="1701"/>
      </w:tblGrid>
      <w:tr w:rsidR="00271FA2" w:rsidRPr="00F06DE2" w14:paraId="6FD32253" w14:textId="77777777" w:rsidTr="00434B85">
        <w:trPr>
          <w:cantSplit/>
          <w:tblHeader/>
        </w:trPr>
        <w:tc>
          <w:tcPr>
            <w:tcW w:w="3960" w:type="dxa"/>
            <w:vMerge w:val="restart"/>
            <w:vAlign w:val="center"/>
          </w:tcPr>
          <w:p w14:paraId="48474A59"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 xml:space="preserve">Вид оборудване или инсталация </w:t>
            </w:r>
          </w:p>
        </w:tc>
        <w:tc>
          <w:tcPr>
            <w:tcW w:w="4756" w:type="dxa"/>
            <w:gridSpan w:val="3"/>
          </w:tcPr>
          <w:p w14:paraId="71FC1C35"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Максимално допустимо напрежение</w:t>
            </w:r>
          </w:p>
        </w:tc>
      </w:tr>
      <w:tr w:rsidR="00271FA2" w:rsidRPr="00F06DE2" w14:paraId="0D397372" w14:textId="77777777" w:rsidTr="00434B85">
        <w:trPr>
          <w:cantSplit/>
          <w:tblHeader/>
        </w:trPr>
        <w:tc>
          <w:tcPr>
            <w:tcW w:w="3960" w:type="dxa"/>
            <w:vMerge/>
            <w:tcBorders>
              <w:bottom w:val="single" w:sz="12" w:space="0" w:color="auto"/>
            </w:tcBorders>
          </w:tcPr>
          <w:p w14:paraId="11D8BAC6" w14:textId="77777777" w:rsidR="00271FA2" w:rsidRPr="00F06DE2" w:rsidRDefault="00271FA2">
            <w:pPr>
              <w:spacing w:line="240" w:lineRule="atLeast"/>
              <w:rPr>
                <w:rFonts w:ascii="Times New Roman" w:eastAsia="Calibri" w:hAnsi="Times New Roman" w:cs="Times New Roman"/>
              </w:rPr>
            </w:pPr>
          </w:p>
        </w:tc>
        <w:tc>
          <w:tcPr>
            <w:tcW w:w="1680" w:type="dxa"/>
            <w:tcBorders>
              <w:bottom w:val="single" w:sz="12" w:space="0" w:color="auto"/>
            </w:tcBorders>
            <w:vAlign w:val="center"/>
          </w:tcPr>
          <w:p w14:paraId="4281F1B5" w14:textId="77777777" w:rsidR="00271FA2" w:rsidRPr="00F06DE2" w:rsidRDefault="00D35E51" w:rsidP="008F5DFF">
            <w:pPr>
              <w:spacing w:line="240" w:lineRule="atLeast"/>
              <w:ind w:left="-171" w:right="-59"/>
              <w:jc w:val="center"/>
              <w:rPr>
                <w:rFonts w:ascii="Times New Roman" w:eastAsia="Calibri" w:hAnsi="Times New Roman" w:cs="Times New Roman"/>
              </w:rPr>
            </w:pPr>
            <w:r w:rsidRPr="00F06DE2">
              <w:rPr>
                <w:rFonts w:ascii="Times New Roman" w:hAnsi="Times New Roman" w:cs="Times New Roman"/>
              </w:rPr>
              <w:t>Постоянен ток</w:t>
            </w:r>
          </w:p>
        </w:tc>
        <w:tc>
          <w:tcPr>
            <w:tcW w:w="1375" w:type="dxa"/>
            <w:tcBorders>
              <w:bottom w:val="single" w:sz="12" w:space="0" w:color="auto"/>
            </w:tcBorders>
            <w:vAlign w:val="center"/>
          </w:tcPr>
          <w:p w14:paraId="0E2273F0" w14:textId="77777777" w:rsidR="00271FA2" w:rsidRPr="00F06DE2" w:rsidRDefault="00D35E51" w:rsidP="008F5DFF">
            <w:pPr>
              <w:spacing w:line="240" w:lineRule="atLeast"/>
              <w:ind w:left="-150" w:firstLine="8"/>
              <w:jc w:val="center"/>
              <w:rPr>
                <w:rFonts w:ascii="Times New Roman" w:eastAsia="Calibri" w:hAnsi="Times New Roman" w:cs="Times New Roman"/>
              </w:rPr>
            </w:pPr>
            <w:r w:rsidRPr="00F06DE2">
              <w:rPr>
                <w:rFonts w:ascii="Times New Roman" w:hAnsi="Times New Roman" w:cs="Times New Roman"/>
              </w:rPr>
              <w:t>Еднофазен променлив ток</w:t>
            </w:r>
          </w:p>
        </w:tc>
        <w:tc>
          <w:tcPr>
            <w:tcW w:w="1701" w:type="dxa"/>
            <w:tcBorders>
              <w:bottom w:val="single" w:sz="12" w:space="0" w:color="auto"/>
            </w:tcBorders>
            <w:vAlign w:val="center"/>
          </w:tcPr>
          <w:p w14:paraId="5AC68717" w14:textId="77777777" w:rsidR="00271FA2" w:rsidRPr="00F06DE2" w:rsidRDefault="00D35E51" w:rsidP="008F5DFF">
            <w:pPr>
              <w:spacing w:line="240" w:lineRule="atLeast"/>
              <w:ind w:left="-113"/>
              <w:jc w:val="center"/>
              <w:rPr>
                <w:rFonts w:ascii="Times New Roman" w:eastAsia="Calibri" w:hAnsi="Times New Roman" w:cs="Times New Roman"/>
              </w:rPr>
            </w:pPr>
            <w:r w:rsidRPr="00F06DE2">
              <w:rPr>
                <w:rFonts w:ascii="Times New Roman" w:hAnsi="Times New Roman" w:cs="Times New Roman"/>
              </w:rPr>
              <w:t>Трифазен променлив ток</w:t>
            </w:r>
          </w:p>
        </w:tc>
      </w:tr>
      <w:tr w:rsidR="00271FA2" w:rsidRPr="00F06DE2" w14:paraId="289EA1C0" w14:textId="77777777" w:rsidTr="00434B85">
        <w:tc>
          <w:tcPr>
            <w:tcW w:w="3960" w:type="dxa"/>
            <w:tcBorders>
              <w:top w:val="single" w:sz="12" w:space="0" w:color="auto"/>
            </w:tcBorders>
            <w:vAlign w:val="bottom"/>
          </w:tcPr>
          <w:p w14:paraId="700E9A14" w14:textId="77777777" w:rsidR="00271FA2" w:rsidRPr="00F06DE2" w:rsidRDefault="00D35E51">
            <w:pPr>
              <w:numPr>
                <w:ilvl w:val="0"/>
                <w:numId w:val="13"/>
              </w:numPr>
              <w:tabs>
                <w:tab w:val="left" w:leader="dot" w:pos="3621"/>
              </w:tabs>
              <w:spacing w:line="240" w:lineRule="atLeast"/>
              <w:ind w:left="360" w:hanging="357"/>
              <w:jc w:val="both"/>
              <w:rPr>
                <w:rFonts w:ascii="Times New Roman" w:eastAsia="Calibri" w:hAnsi="Times New Roman" w:cs="Times New Roman"/>
                <w:lang w:val="ru-RU"/>
              </w:rPr>
            </w:pPr>
            <w:r w:rsidRPr="00F06DE2">
              <w:rPr>
                <w:rFonts w:ascii="Times New Roman" w:hAnsi="Times New Roman" w:cs="Times New Roman"/>
                <w:lang w:val="ru-RU"/>
              </w:rPr>
              <w:t xml:space="preserve">Захранващи и отоплителни инсталации, включително съединителните муфи за общо ползване </w:t>
            </w:r>
            <w:r w:rsidRPr="00F06DE2">
              <w:rPr>
                <w:rFonts w:ascii="Times New Roman" w:hAnsi="Times New Roman" w:cs="Times New Roman"/>
                <w:lang w:val="ru-RU"/>
              </w:rPr>
              <w:tab/>
            </w:r>
          </w:p>
        </w:tc>
        <w:tc>
          <w:tcPr>
            <w:tcW w:w="1680" w:type="dxa"/>
            <w:tcBorders>
              <w:top w:val="single" w:sz="12" w:space="0" w:color="auto"/>
            </w:tcBorders>
            <w:vAlign w:val="bottom"/>
          </w:tcPr>
          <w:p w14:paraId="7B39DDE9"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p>
        </w:tc>
        <w:tc>
          <w:tcPr>
            <w:tcW w:w="1375" w:type="dxa"/>
            <w:tcBorders>
              <w:top w:val="single" w:sz="12" w:space="0" w:color="auto"/>
            </w:tcBorders>
            <w:vAlign w:val="bottom"/>
          </w:tcPr>
          <w:p w14:paraId="76031C2B"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p>
        </w:tc>
        <w:tc>
          <w:tcPr>
            <w:tcW w:w="1701" w:type="dxa"/>
            <w:tcBorders>
              <w:top w:val="single" w:sz="12" w:space="0" w:color="auto"/>
            </w:tcBorders>
            <w:vAlign w:val="bottom"/>
          </w:tcPr>
          <w:p w14:paraId="705C8671"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690 V</w:t>
            </w:r>
          </w:p>
        </w:tc>
      </w:tr>
      <w:tr w:rsidR="00271FA2" w:rsidRPr="00F06DE2" w14:paraId="5575CBEF" w14:textId="77777777" w:rsidTr="00434B85">
        <w:tc>
          <w:tcPr>
            <w:tcW w:w="3960" w:type="dxa"/>
            <w:vAlign w:val="bottom"/>
          </w:tcPr>
          <w:p w14:paraId="68B01099" w14:textId="77777777" w:rsidR="00271FA2" w:rsidRPr="00F06DE2" w:rsidRDefault="00D35E51">
            <w:pPr>
              <w:tabs>
                <w:tab w:val="left" w:leader="dot" w:pos="3621"/>
              </w:tabs>
              <w:spacing w:line="240" w:lineRule="atLeast"/>
              <w:ind w:left="360" w:hanging="357"/>
              <w:jc w:val="both"/>
              <w:rPr>
                <w:rFonts w:ascii="Times New Roman" w:eastAsia="Calibri" w:hAnsi="Times New Roman" w:cs="Times New Roman"/>
                <w:lang w:val="ru-RU"/>
              </w:rPr>
            </w:pPr>
            <w:r w:rsidRPr="00F06DE2">
              <w:rPr>
                <w:rFonts w:ascii="Times New Roman" w:hAnsi="Times New Roman" w:cs="Times New Roman"/>
                <w:lang w:val="ru-RU"/>
              </w:rPr>
              <w:t xml:space="preserve">б) Инсталации за осветление, предаване на заповеди и информация, включително гнезда за общо ползване </w:t>
            </w:r>
            <w:r w:rsidRPr="00F06DE2">
              <w:rPr>
                <w:rFonts w:ascii="Times New Roman" w:hAnsi="Times New Roman" w:cs="Times New Roman"/>
                <w:lang w:val="ru-RU"/>
              </w:rPr>
              <w:tab/>
            </w:r>
          </w:p>
        </w:tc>
        <w:tc>
          <w:tcPr>
            <w:tcW w:w="1680" w:type="dxa"/>
            <w:vAlign w:val="bottom"/>
          </w:tcPr>
          <w:p w14:paraId="4579B338"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p>
        </w:tc>
        <w:tc>
          <w:tcPr>
            <w:tcW w:w="1375" w:type="dxa"/>
            <w:vAlign w:val="bottom"/>
          </w:tcPr>
          <w:p w14:paraId="68DD4BED"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p>
        </w:tc>
        <w:tc>
          <w:tcPr>
            <w:tcW w:w="1701" w:type="dxa"/>
            <w:vAlign w:val="bottom"/>
          </w:tcPr>
          <w:p w14:paraId="0CB6A21C"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w:t>
            </w:r>
          </w:p>
        </w:tc>
      </w:tr>
      <w:tr w:rsidR="00271FA2" w:rsidRPr="00F06DE2" w14:paraId="3E732657" w14:textId="77777777" w:rsidTr="00434B85">
        <w:tc>
          <w:tcPr>
            <w:tcW w:w="3960" w:type="dxa"/>
            <w:vAlign w:val="bottom"/>
          </w:tcPr>
          <w:p w14:paraId="231D7FC5" w14:textId="77777777" w:rsidR="00271FA2" w:rsidRPr="00F06DE2" w:rsidRDefault="00D35E51">
            <w:pPr>
              <w:tabs>
                <w:tab w:val="left" w:leader="dot" w:pos="3621"/>
              </w:tabs>
              <w:spacing w:line="240" w:lineRule="atLeast"/>
              <w:ind w:left="360" w:hanging="357"/>
              <w:jc w:val="both"/>
              <w:rPr>
                <w:rFonts w:ascii="Times New Roman" w:eastAsia="Calibri" w:hAnsi="Times New Roman" w:cs="Times New Roman"/>
                <w:lang w:val="ru-RU"/>
              </w:rPr>
            </w:pPr>
            <w:r w:rsidRPr="00F06DE2">
              <w:rPr>
                <w:rFonts w:ascii="Times New Roman" w:hAnsi="Times New Roman" w:cs="Times New Roman"/>
                <w:lang w:val="ru-RU"/>
              </w:rPr>
              <w:t>в) Съединителни муфи за електрозахранване на подвижните електрически съоръжения, използвани на открити палуби или в ограничени или влажни, изградени от метал помещения, различни от котли и резервоари</w:t>
            </w:r>
          </w:p>
        </w:tc>
        <w:tc>
          <w:tcPr>
            <w:tcW w:w="1680" w:type="dxa"/>
            <w:vAlign w:val="bottom"/>
          </w:tcPr>
          <w:p w14:paraId="3DBB6A47" w14:textId="77777777" w:rsidR="00271FA2" w:rsidRPr="00F06DE2" w:rsidRDefault="00271FA2">
            <w:pPr>
              <w:spacing w:line="240" w:lineRule="atLeast"/>
              <w:jc w:val="both"/>
              <w:rPr>
                <w:rFonts w:ascii="Times New Roman" w:eastAsia="Calibri" w:hAnsi="Times New Roman" w:cs="Times New Roman"/>
                <w:lang w:val="ru-RU"/>
              </w:rPr>
            </w:pPr>
          </w:p>
        </w:tc>
        <w:tc>
          <w:tcPr>
            <w:tcW w:w="1375" w:type="dxa"/>
            <w:vAlign w:val="bottom"/>
          </w:tcPr>
          <w:p w14:paraId="59E90B18" w14:textId="77777777" w:rsidR="00271FA2" w:rsidRPr="00F06DE2" w:rsidRDefault="00271FA2">
            <w:pPr>
              <w:spacing w:line="240" w:lineRule="atLeast"/>
              <w:jc w:val="both"/>
              <w:rPr>
                <w:rFonts w:ascii="Times New Roman" w:eastAsia="Calibri" w:hAnsi="Times New Roman" w:cs="Times New Roman"/>
                <w:lang w:val="ru-RU"/>
              </w:rPr>
            </w:pPr>
          </w:p>
        </w:tc>
        <w:tc>
          <w:tcPr>
            <w:tcW w:w="1701" w:type="dxa"/>
            <w:vAlign w:val="bottom"/>
          </w:tcPr>
          <w:p w14:paraId="5C5B87BC" w14:textId="77777777" w:rsidR="00271FA2" w:rsidRPr="00F06DE2" w:rsidRDefault="00271FA2">
            <w:pPr>
              <w:spacing w:line="240" w:lineRule="atLeast"/>
              <w:jc w:val="both"/>
              <w:rPr>
                <w:rFonts w:ascii="Times New Roman" w:eastAsia="Calibri" w:hAnsi="Times New Roman" w:cs="Times New Roman"/>
                <w:lang w:val="ru-RU"/>
              </w:rPr>
            </w:pPr>
          </w:p>
        </w:tc>
      </w:tr>
      <w:tr w:rsidR="00271FA2" w:rsidRPr="00F06DE2" w14:paraId="404E7CEE" w14:textId="77777777" w:rsidTr="00434B85">
        <w:tc>
          <w:tcPr>
            <w:tcW w:w="3960" w:type="dxa"/>
            <w:vAlign w:val="bottom"/>
          </w:tcPr>
          <w:p w14:paraId="6292B8C9" w14:textId="77777777" w:rsidR="00271FA2" w:rsidRPr="00F06DE2" w:rsidRDefault="00D35E51">
            <w:pPr>
              <w:tabs>
                <w:tab w:val="left" w:leader="dot" w:pos="3621"/>
              </w:tabs>
              <w:spacing w:line="240" w:lineRule="atLeast"/>
              <w:ind w:left="720" w:hanging="357"/>
              <w:jc w:val="both"/>
              <w:rPr>
                <w:rFonts w:ascii="Times New Roman" w:eastAsia="Calibri" w:hAnsi="Times New Roman" w:cs="Times New Roman"/>
              </w:rPr>
            </w:pPr>
            <w:r w:rsidRPr="00F06DE2">
              <w:rPr>
                <w:rFonts w:ascii="Times New Roman" w:hAnsi="Times New Roman" w:cs="Times New Roman"/>
              </w:rPr>
              <w:t>1.</w:t>
            </w:r>
            <w:r w:rsidRPr="00F06DE2">
              <w:rPr>
                <w:rFonts w:ascii="Times New Roman" w:hAnsi="Times New Roman" w:cs="Times New Roman"/>
              </w:rPr>
              <w:tab/>
              <w:t xml:space="preserve">Общи положения </w:t>
            </w:r>
            <w:r w:rsidRPr="00F06DE2">
              <w:rPr>
                <w:rFonts w:ascii="Times New Roman" w:hAnsi="Times New Roman" w:cs="Times New Roman"/>
              </w:rPr>
              <w:tab/>
            </w:r>
          </w:p>
        </w:tc>
        <w:tc>
          <w:tcPr>
            <w:tcW w:w="1680" w:type="dxa"/>
            <w:vAlign w:val="bottom"/>
          </w:tcPr>
          <w:p w14:paraId="31C7E76A"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50 V</w:t>
            </w:r>
            <w:r w:rsidRPr="00F06DE2">
              <w:rPr>
                <w:rFonts w:ascii="Times New Roman" w:hAnsi="Times New Roman" w:cs="Times New Roman"/>
                <w:vertAlign w:val="superscript"/>
              </w:rPr>
              <w:t>(1)</w:t>
            </w:r>
          </w:p>
        </w:tc>
        <w:tc>
          <w:tcPr>
            <w:tcW w:w="1375" w:type="dxa"/>
            <w:vAlign w:val="bottom"/>
          </w:tcPr>
          <w:p w14:paraId="5D0592AA" w14:textId="77777777" w:rsidR="00271FA2" w:rsidRPr="00F06DE2" w:rsidRDefault="00D35E51">
            <w:pPr>
              <w:spacing w:line="240" w:lineRule="atLeast"/>
              <w:jc w:val="center"/>
              <w:rPr>
                <w:rFonts w:ascii="Times New Roman" w:eastAsia="Calibri" w:hAnsi="Times New Roman" w:cs="Times New Roman"/>
                <w:vertAlign w:val="superscript"/>
              </w:rPr>
            </w:pPr>
            <w:r w:rsidRPr="00F06DE2">
              <w:rPr>
                <w:rFonts w:ascii="Times New Roman" w:hAnsi="Times New Roman" w:cs="Times New Roman"/>
              </w:rPr>
              <w:t>50 V</w:t>
            </w:r>
            <w:r w:rsidRPr="00F06DE2">
              <w:rPr>
                <w:rFonts w:ascii="Times New Roman" w:hAnsi="Times New Roman" w:cs="Times New Roman"/>
                <w:vertAlign w:val="superscript"/>
              </w:rPr>
              <w:t>(1)</w:t>
            </w:r>
          </w:p>
        </w:tc>
        <w:tc>
          <w:tcPr>
            <w:tcW w:w="1701" w:type="dxa"/>
            <w:vAlign w:val="bottom"/>
          </w:tcPr>
          <w:p w14:paraId="39D876B3"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w:t>
            </w:r>
          </w:p>
        </w:tc>
      </w:tr>
      <w:tr w:rsidR="00271FA2" w:rsidRPr="00F06DE2" w14:paraId="3AA4F001" w14:textId="77777777" w:rsidTr="00434B85">
        <w:tc>
          <w:tcPr>
            <w:tcW w:w="3960" w:type="dxa"/>
            <w:vAlign w:val="bottom"/>
          </w:tcPr>
          <w:p w14:paraId="1E1B9061" w14:textId="77777777" w:rsidR="00271FA2" w:rsidRPr="00F06DE2" w:rsidRDefault="00D35E51">
            <w:pPr>
              <w:tabs>
                <w:tab w:val="left" w:leader="dot" w:pos="3621"/>
              </w:tabs>
              <w:spacing w:line="240" w:lineRule="atLeast"/>
              <w:ind w:left="720" w:hanging="357"/>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В случай, че се използва трансформатор за изолация, обслужващ едно използвано оборудване </w:t>
            </w:r>
            <w:r w:rsidRPr="00F06DE2">
              <w:rPr>
                <w:rFonts w:ascii="Times New Roman" w:hAnsi="Times New Roman" w:cs="Times New Roman"/>
                <w:lang w:val="ru-RU"/>
              </w:rPr>
              <w:tab/>
            </w:r>
          </w:p>
        </w:tc>
        <w:tc>
          <w:tcPr>
            <w:tcW w:w="1680" w:type="dxa"/>
            <w:vAlign w:val="bottom"/>
          </w:tcPr>
          <w:p w14:paraId="227E8B84"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w:t>
            </w:r>
          </w:p>
        </w:tc>
        <w:tc>
          <w:tcPr>
            <w:tcW w:w="1375" w:type="dxa"/>
            <w:vAlign w:val="bottom"/>
          </w:tcPr>
          <w:p w14:paraId="6BBB1C38"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r w:rsidRPr="00F06DE2">
              <w:rPr>
                <w:rFonts w:ascii="Times New Roman" w:hAnsi="Times New Roman" w:cs="Times New Roman"/>
                <w:vertAlign w:val="superscript"/>
              </w:rPr>
              <w:t>2)</w:t>
            </w:r>
          </w:p>
        </w:tc>
        <w:tc>
          <w:tcPr>
            <w:tcW w:w="1701" w:type="dxa"/>
            <w:vAlign w:val="bottom"/>
          </w:tcPr>
          <w:p w14:paraId="04368550"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w:t>
            </w:r>
          </w:p>
        </w:tc>
      </w:tr>
      <w:tr w:rsidR="00271FA2" w:rsidRPr="00F06DE2" w14:paraId="3D9291A8" w14:textId="77777777" w:rsidTr="00434B85">
        <w:tc>
          <w:tcPr>
            <w:tcW w:w="3960" w:type="dxa"/>
            <w:vAlign w:val="bottom"/>
          </w:tcPr>
          <w:p w14:paraId="64983B11" w14:textId="77777777" w:rsidR="00271FA2" w:rsidRPr="00F06DE2" w:rsidRDefault="00D35E51">
            <w:pPr>
              <w:tabs>
                <w:tab w:val="left" w:leader="dot" w:pos="3621"/>
              </w:tabs>
              <w:spacing w:line="240" w:lineRule="atLeast"/>
              <w:ind w:left="720" w:hanging="357"/>
              <w:jc w:val="both"/>
              <w:rPr>
                <w:rFonts w:ascii="Times New Roman" w:eastAsia="Calibri" w:hAnsi="Times New Roman" w:cs="Times New Roman"/>
                <w:lang w:val="ru-RU"/>
              </w:rPr>
            </w:pPr>
            <w:r w:rsidRPr="00F06DE2">
              <w:rPr>
                <w:rFonts w:ascii="Times New Roman" w:hAnsi="Times New Roman" w:cs="Times New Roman"/>
                <w:lang w:val="ru-RU"/>
              </w:rPr>
              <w:lastRenderedPageBreak/>
              <w:t>3.</w:t>
            </w:r>
            <w:r w:rsidRPr="00F06DE2">
              <w:rPr>
                <w:rFonts w:ascii="Times New Roman" w:hAnsi="Times New Roman" w:cs="Times New Roman"/>
                <w:lang w:val="ru-RU"/>
              </w:rPr>
              <w:tab/>
              <w:t xml:space="preserve">В случай, че се използва оборудване, снабдено със защитна изолация (двойна изолация) </w:t>
            </w:r>
            <w:r w:rsidRPr="00F06DE2">
              <w:rPr>
                <w:rFonts w:ascii="Times New Roman" w:hAnsi="Times New Roman" w:cs="Times New Roman"/>
                <w:lang w:val="ru-RU"/>
              </w:rPr>
              <w:tab/>
            </w:r>
          </w:p>
        </w:tc>
        <w:tc>
          <w:tcPr>
            <w:tcW w:w="1680" w:type="dxa"/>
            <w:vAlign w:val="bottom"/>
          </w:tcPr>
          <w:p w14:paraId="3F1ED9D0"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p>
        </w:tc>
        <w:tc>
          <w:tcPr>
            <w:tcW w:w="1375" w:type="dxa"/>
            <w:vAlign w:val="bottom"/>
          </w:tcPr>
          <w:p w14:paraId="1D96C3DA"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p>
        </w:tc>
        <w:tc>
          <w:tcPr>
            <w:tcW w:w="1701" w:type="dxa"/>
            <w:vAlign w:val="bottom"/>
          </w:tcPr>
          <w:p w14:paraId="3BE43A04"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w:t>
            </w:r>
          </w:p>
        </w:tc>
      </w:tr>
      <w:tr w:rsidR="00271FA2" w:rsidRPr="00F06DE2" w14:paraId="45C78F01" w14:textId="77777777" w:rsidTr="00434B85">
        <w:tc>
          <w:tcPr>
            <w:tcW w:w="3960" w:type="dxa"/>
            <w:vAlign w:val="bottom"/>
          </w:tcPr>
          <w:p w14:paraId="3AEAAA94" w14:textId="77777777" w:rsidR="00271FA2" w:rsidRPr="00F06DE2" w:rsidRDefault="00D35E51">
            <w:pPr>
              <w:tabs>
                <w:tab w:val="left" w:leader="dot" w:pos="3621"/>
              </w:tabs>
              <w:spacing w:line="240" w:lineRule="atLeast"/>
              <w:ind w:left="720" w:hanging="357"/>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 случай, че се използва използване на прекъсвач на остатъчен ток ≤</w:t>
            </w:r>
            <w:r w:rsidRPr="00F06DE2">
              <w:rPr>
                <w:rFonts w:ascii="Times New Roman" w:hAnsi="Times New Roman" w:cs="Times New Roman"/>
              </w:rPr>
              <w:t> </w:t>
            </w:r>
            <w:r w:rsidRPr="00F06DE2">
              <w:rPr>
                <w:rFonts w:ascii="Times New Roman" w:hAnsi="Times New Roman" w:cs="Times New Roman"/>
                <w:lang w:val="ru-RU"/>
              </w:rPr>
              <w:t xml:space="preserve">30 </w:t>
            </w:r>
            <w:r w:rsidRPr="00F06DE2">
              <w:rPr>
                <w:rFonts w:ascii="Times New Roman" w:hAnsi="Times New Roman" w:cs="Times New Roman"/>
              </w:rPr>
              <w:t>mA</w:t>
            </w:r>
            <w:r w:rsidRPr="00F06DE2">
              <w:rPr>
                <w:rFonts w:ascii="Times New Roman" w:hAnsi="Times New Roman" w:cs="Times New Roman"/>
                <w:lang w:val="ru-RU"/>
              </w:rPr>
              <w:t xml:space="preserve"> …..</w:t>
            </w:r>
          </w:p>
        </w:tc>
        <w:tc>
          <w:tcPr>
            <w:tcW w:w="1680" w:type="dxa"/>
            <w:vAlign w:val="bottom"/>
          </w:tcPr>
          <w:p w14:paraId="579ED3B8"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w:t>
            </w:r>
          </w:p>
        </w:tc>
        <w:tc>
          <w:tcPr>
            <w:tcW w:w="1375" w:type="dxa"/>
            <w:vAlign w:val="bottom"/>
          </w:tcPr>
          <w:p w14:paraId="032D1F87"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p>
        </w:tc>
        <w:tc>
          <w:tcPr>
            <w:tcW w:w="1701" w:type="dxa"/>
            <w:vAlign w:val="bottom"/>
          </w:tcPr>
          <w:p w14:paraId="751F1DCF"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690 V</w:t>
            </w:r>
          </w:p>
        </w:tc>
      </w:tr>
      <w:tr w:rsidR="00271FA2" w:rsidRPr="00F06DE2" w14:paraId="2AC4CBE5" w14:textId="77777777" w:rsidTr="00434B85">
        <w:trPr>
          <w:cantSplit/>
        </w:trPr>
        <w:tc>
          <w:tcPr>
            <w:tcW w:w="3960" w:type="dxa"/>
            <w:vAlign w:val="bottom"/>
          </w:tcPr>
          <w:p w14:paraId="13C5ED10" w14:textId="77777777" w:rsidR="00271FA2" w:rsidRPr="00F06DE2" w:rsidRDefault="00D35E51">
            <w:pPr>
              <w:tabs>
                <w:tab w:val="left" w:leader="dot" w:pos="3621"/>
              </w:tabs>
              <w:spacing w:line="240" w:lineRule="atLeast"/>
              <w:ind w:left="360" w:hanging="357"/>
              <w:jc w:val="both"/>
              <w:rPr>
                <w:rFonts w:ascii="Times New Roman" w:eastAsia="Calibri" w:hAnsi="Times New Roman" w:cs="Times New Roman"/>
                <w:lang w:val="ru-RU"/>
              </w:rPr>
            </w:pPr>
            <w:r w:rsidRPr="00F06DE2">
              <w:rPr>
                <w:rFonts w:ascii="Times New Roman" w:hAnsi="Times New Roman" w:cs="Times New Roman"/>
                <w:lang w:val="ru-RU"/>
              </w:rPr>
              <w:t xml:space="preserve">г) Мобилно електрическо оборудване (например електрически устройства за контейнери, двигатели, вентилатори и помпи), които обичайно не се коригират по време на работа, чиито открити тоководещи части са заземени с помощта на защитен проводник, интегриран в свързващия кабел, и които са свързани с корпуса, не само от този защитен проводник, а от тяхното местоположение или от друг проводник </w:t>
            </w:r>
            <w:r w:rsidRPr="00F06DE2">
              <w:rPr>
                <w:rFonts w:ascii="Times New Roman" w:hAnsi="Times New Roman" w:cs="Times New Roman"/>
                <w:lang w:val="ru-RU"/>
              </w:rPr>
              <w:tab/>
            </w:r>
          </w:p>
        </w:tc>
        <w:tc>
          <w:tcPr>
            <w:tcW w:w="1680" w:type="dxa"/>
            <w:vAlign w:val="bottom"/>
          </w:tcPr>
          <w:p w14:paraId="2B242E2B"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p>
        </w:tc>
        <w:tc>
          <w:tcPr>
            <w:tcW w:w="1375" w:type="dxa"/>
            <w:vAlign w:val="bottom"/>
          </w:tcPr>
          <w:p w14:paraId="260BF9AB"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250 V</w:t>
            </w:r>
          </w:p>
        </w:tc>
        <w:tc>
          <w:tcPr>
            <w:tcW w:w="1701" w:type="dxa"/>
            <w:vAlign w:val="bottom"/>
          </w:tcPr>
          <w:p w14:paraId="3475EAFD"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690 V</w:t>
            </w:r>
          </w:p>
        </w:tc>
      </w:tr>
      <w:tr w:rsidR="00271FA2" w:rsidRPr="00F06DE2" w14:paraId="50017628" w14:textId="77777777" w:rsidTr="00434B85">
        <w:tc>
          <w:tcPr>
            <w:tcW w:w="3960" w:type="dxa"/>
            <w:vAlign w:val="bottom"/>
          </w:tcPr>
          <w:p w14:paraId="5ACEDDD1" w14:textId="77777777" w:rsidR="00271FA2" w:rsidRPr="00F06DE2" w:rsidRDefault="00D35E51">
            <w:pPr>
              <w:tabs>
                <w:tab w:val="left" w:leader="dot" w:pos="3621"/>
              </w:tabs>
              <w:spacing w:line="240" w:lineRule="atLeast"/>
              <w:ind w:left="360" w:hanging="357"/>
              <w:jc w:val="both"/>
              <w:rPr>
                <w:rFonts w:ascii="Times New Roman" w:eastAsia="Calibri" w:hAnsi="Times New Roman" w:cs="Times New Roman"/>
                <w:lang w:val="ru-RU"/>
              </w:rPr>
            </w:pPr>
            <w:r w:rsidRPr="00F06DE2">
              <w:rPr>
                <w:rFonts w:ascii="Times New Roman" w:hAnsi="Times New Roman" w:cs="Times New Roman"/>
                <w:lang w:val="ru-RU"/>
              </w:rPr>
              <w:t xml:space="preserve">д) Съединителни муфи за електрозахранване на мобилно електрическо оборудване, използвано в котли и резервоари </w:t>
            </w:r>
            <w:r w:rsidRPr="00F06DE2">
              <w:rPr>
                <w:rFonts w:ascii="Times New Roman" w:hAnsi="Times New Roman" w:cs="Times New Roman"/>
                <w:lang w:val="ru-RU"/>
              </w:rPr>
              <w:tab/>
            </w:r>
          </w:p>
        </w:tc>
        <w:tc>
          <w:tcPr>
            <w:tcW w:w="1680" w:type="dxa"/>
            <w:vAlign w:val="bottom"/>
          </w:tcPr>
          <w:p w14:paraId="4D207BA8" w14:textId="77777777" w:rsidR="00271FA2" w:rsidRPr="00F06DE2" w:rsidRDefault="00D35E51">
            <w:pPr>
              <w:spacing w:line="240" w:lineRule="atLeast"/>
              <w:jc w:val="center"/>
              <w:rPr>
                <w:rFonts w:ascii="Times New Roman" w:eastAsia="Calibri" w:hAnsi="Times New Roman" w:cs="Times New Roman"/>
                <w:vertAlign w:val="superscript"/>
              </w:rPr>
            </w:pPr>
            <w:r w:rsidRPr="00F06DE2">
              <w:rPr>
                <w:rFonts w:ascii="Times New Roman" w:hAnsi="Times New Roman" w:cs="Times New Roman"/>
              </w:rPr>
              <w:t>50 V</w:t>
            </w:r>
            <w:r w:rsidRPr="00F06DE2">
              <w:rPr>
                <w:rFonts w:ascii="Times New Roman" w:hAnsi="Times New Roman" w:cs="Times New Roman"/>
                <w:vertAlign w:val="superscript"/>
              </w:rPr>
              <w:t>1)</w:t>
            </w:r>
          </w:p>
        </w:tc>
        <w:tc>
          <w:tcPr>
            <w:tcW w:w="1375" w:type="dxa"/>
            <w:vAlign w:val="bottom"/>
          </w:tcPr>
          <w:p w14:paraId="7234C8F9" w14:textId="77777777" w:rsidR="00271FA2" w:rsidRPr="00F06DE2" w:rsidRDefault="00D35E51">
            <w:pPr>
              <w:spacing w:line="240" w:lineRule="atLeast"/>
              <w:jc w:val="center"/>
              <w:rPr>
                <w:rFonts w:ascii="Times New Roman" w:eastAsia="Calibri" w:hAnsi="Times New Roman" w:cs="Times New Roman"/>
                <w:vertAlign w:val="superscript"/>
              </w:rPr>
            </w:pPr>
            <w:r w:rsidRPr="00F06DE2">
              <w:rPr>
                <w:rFonts w:ascii="Times New Roman" w:hAnsi="Times New Roman" w:cs="Times New Roman"/>
              </w:rPr>
              <w:t>50 V</w:t>
            </w:r>
            <w:r w:rsidRPr="00F06DE2">
              <w:rPr>
                <w:rFonts w:ascii="Times New Roman" w:hAnsi="Times New Roman" w:cs="Times New Roman"/>
                <w:vertAlign w:val="superscript"/>
              </w:rPr>
              <w:t>(1)</w:t>
            </w:r>
          </w:p>
        </w:tc>
        <w:tc>
          <w:tcPr>
            <w:tcW w:w="1701" w:type="dxa"/>
            <w:vAlign w:val="bottom"/>
          </w:tcPr>
          <w:p w14:paraId="6E0EFCB4" w14:textId="77777777" w:rsidR="00271FA2" w:rsidRPr="00F06DE2" w:rsidRDefault="00D35E51">
            <w:pPr>
              <w:spacing w:line="240" w:lineRule="atLeast"/>
              <w:jc w:val="center"/>
              <w:rPr>
                <w:rFonts w:ascii="Times New Roman" w:eastAsia="Calibri" w:hAnsi="Times New Roman" w:cs="Times New Roman"/>
              </w:rPr>
            </w:pPr>
            <w:r w:rsidRPr="00F06DE2">
              <w:rPr>
                <w:rFonts w:ascii="Times New Roman" w:hAnsi="Times New Roman" w:cs="Times New Roman"/>
              </w:rPr>
              <w:t>-</w:t>
            </w:r>
          </w:p>
        </w:tc>
      </w:tr>
      <w:tr w:rsidR="00271FA2" w:rsidRPr="00F06DE2" w14:paraId="7B3189FA" w14:textId="77777777" w:rsidTr="00434B85">
        <w:tc>
          <w:tcPr>
            <w:tcW w:w="8716" w:type="dxa"/>
            <w:gridSpan w:val="4"/>
          </w:tcPr>
          <w:p w14:paraId="631EC49B" w14:textId="77777777" w:rsidR="00271FA2" w:rsidRPr="00F06DE2" w:rsidRDefault="00D35E51">
            <w:pPr>
              <w:spacing w:line="240" w:lineRule="atLeast"/>
              <w:jc w:val="both"/>
              <w:rPr>
                <w:rFonts w:ascii="Times New Roman" w:eastAsia="Calibri" w:hAnsi="Times New Roman" w:cs="Times New Roman"/>
                <w:sz w:val="20"/>
                <w:szCs w:val="20"/>
                <w:lang w:val="ru-RU"/>
              </w:rPr>
            </w:pPr>
            <w:r w:rsidRPr="00F06DE2">
              <w:rPr>
                <w:rFonts w:ascii="Times New Roman" w:hAnsi="Times New Roman" w:cs="Times New Roman"/>
                <w:sz w:val="20"/>
                <w:szCs w:val="20"/>
                <w:lang w:val="ru-RU"/>
              </w:rPr>
              <w:t>Забележки:</w:t>
            </w:r>
          </w:p>
          <w:p w14:paraId="2E69539D" w14:textId="77777777" w:rsidR="00271FA2" w:rsidRPr="00F06DE2" w:rsidRDefault="00D35E51">
            <w:pPr>
              <w:spacing w:line="240" w:lineRule="atLeast"/>
              <w:ind w:left="240" w:hanging="240"/>
              <w:jc w:val="both"/>
              <w:rPr>
                <w:rFonts w:ascii="Times New Roman" w:eastAsia="Calibri" w:hAnsi="Times New Roman" w:cs="Times New Roman"/>
                <w:sz w:val="20"/>
                <w:szCs w:val="20"/>
                <w:lang w:val="ru-RU"/>
              </w:rPr>
            </w:pPr>
            <w:r w:rsidRPr="00F06DE2">
              <w:rPr>
                <w:rFonts w:ascii="Times New Roman" w:hAnsi="Times New Roman" w:cs="Times New Roman"/>
                <w:sz w:val="20"/>
                <w:szCs w:val="20"/>
                <w:vertAlign w:val="superscript"/>
                <w:lang w:val="ru-RU"/>
              </w:rPr>
              <w:t>(1)</w:t>
            </w:r>
            <w:r w:rsidRPr="00F06DE2">
              <w:rPr>
                <w:rFonts w:ascii="Times New Roman" w:hAnsi="Times New Roman" w:cs="Times New Roman"/>
                <w:sz w:val="20"/>
                <w:szCs w:val="20"/>
                <w:lang w:val="ru-RU"/>
              </w:rPr>
              <w:tab/>
              <w:t>Когато това напрежение идва от мрежи с по-високо напрежение, трябва да се използва галванична изолация (трансформатор за изолация).</w:t>
            </w:r>
          </w:p>
          <w:p w14:paraId="19B977B1" w14:textId="77777777" w:rsidR="00271FA2" w:rsidRPr="00F06DE2" w:rsidRDefault="00D35E51">
            <w:pPr>
              <w:spacing w:line="240" w:lineRule="atLeast"/>
              <w:ind w:left="240" w:hanging="240"/>
              <w:jc w:val="both"/>
              <w:rPr>
                <w:rFonts w:ascii="Times New Roman" w:eastAsia="Calibri" w:hAnsi="Times New Roman" w:cs="Times New Roman"/>
                <w:sz w:val="20"/>
                <w:szCs w:val="20"/>
                <w:lang w:val="ru-RU"/>
              </w:rPr>
            </w:pPr>
            <w:r w:rsidRPr="00F06DE2">
              <w:rPr>
                <w:rFonts w:ascii="Times New Roman" w:hAnsi="Times New Roman" w:cs="Times New Roman"/>
                <w:sz w:val="20"/>
                <w:szCs w:val="20"/>
                <w:vertAlign w:val="superscript"/>
                <w:lang w:val="ru-RU"/>
              </w:rPr>
              <w:t>(2)</w:t>
            </w:r>
            <w:r w:rsidRPr="00F06DE2">
              <w:rPr>
                <w:rFonts w:ascii="Times New Roman" w:hAnsi="Times New Roman" w:cs="Times New Roman"/>
                <w:sz w:val="20"/>
                <w:szCs w:val="20"/>
                <w:lang w:val="ru-RU"/>
              </w:rPr>
              <w:tab/>
              <w:t>Вторичната електрическа верига трябва да бъде изолирана от шасито за всички полярности.</w:t>
            </w:r>
          </w:p>
        </w:tc>
      </w:tr>
    </w:tbl>
    <w:p w14:paraId="3687435E"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Ако необходимите защитни мерки са спазени, по-високо напрежение е допустимо:</w:t>
      </w:r>
    </w:p>
    <w:p w14:paraId="7E303740"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за захранващи инсталации, чиято мощност налага това;</w:t>
      </w:r>
    </w:p>
    <w:p w14:paraId="1AC484BE"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б) за специални инсталации на борда, като радиоинсталации и запалителни устройства.</w:t>
      </w:r>
    </w:p>
    <w:p w14:paraId="0025357C" w14:textId="1CDC600C"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Контролният орган може да разреши други изключения в обосновани случаи, ако изискваните защитни мерки са спазени.</w:t>
      </w:r>
    </w:p>
    <w:p w14:paraId="4D5D68C0" w14:textId="77777777" w:rsidR="00434B85" w:rsidRPr="00F06DE2" w:rsidRDefault="00434B85">
      <w:pPr>
        <w:pStyle w:val="ESch"/>
        <w:jc w:val="both"/>
        <w:rPr>
          <w:rFonts w:ascii="Times New Roman" w:eastAsia="Calibri" w:hAnsi="Times New Roman" w:cs="Times New Roman"/>
          <w:lang w:val="ru-RU"/>
        </w:rPr>
      </w:pPr>
    </w:p>
    <w:p w14:paraId="2E817BF6" w14:textId="797399D2" w:rsidR="00271FA2" w:rsidRPr="00F06DE2" w:rsidRDefault="00D35E51" w:rsidP="00434B85">
      <w:pPr>
        <w:pStyle w:val="ES-Titre3"/>
        <w:spacing w:after="0" w:line="240" w:lineRule="atLeast"/>
        <w:rPr>
          <w:rFonts w:ascii="Times New Roman" w:hAnsi="Times New Roman" w:cs="Times New Roman"/>
          <w:i/>
          <w:sz w:val="24"/>
          <w:szCs w:val="24"/>
          <w:lang w:val="ru-RU"/>
        </w:rPr>
      </w:pPr>
      <w:bookmarkStart w:id="161" w:name="_Toc535827525"/>
      <w:bookmarkStart w:id="162" w:name="_Toc491854084"/>
      <w:r w:rsidRPr="00F06DE2">
        <w:rPr>
          <w:rFonts w:ascii="Times New Roman" w:hAnsi="Times New Roman" w:cs="Times New Roman"/>
          <w:sz w:val="24"/>
          <w:szCs w:val="24"/>
          <w:lang w:val="ru-RU"/>
        </w:rPr>
        <w:t>Член 10.07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Разпределителни системи</w:t>
      </w:r>
      <w:bookmarkEnd w:id="161"/>
      <w:bookmarkEnd w:id="162"/>
    </w:p>
    <w:p w14:paraId="62E10B9E" w14:textId="77777777" w:rsidR="00434B85" w:rsidRPr="00F06DE2" w:rsidRDefault="00434B85" w:rsidP="00434B85">
      <w:pPr>
        <w:pStyle w:val="ES-Titre3"/>
        <w:spacing w:after="0" w:line="240" w:lineRule="atLeast"/>
        <w:rPr>
          <w:rFonts w:ascii="Times New Roman" w:hAnsi="Times New Roman" w:cs="Times New Roman"/>
          <w:sz w:val="24"/>
          <w:szCs w:val="24"/>
          <w:lang w:val="ru-RU"/>
        </w:rPr>
      </w:pPr>
    </w:p>
    <w:p w14:paraId="387D62C3" w14:textId="77777777" w:rsidR="00271FA2" w:rsidRPr="00F06DE2" w:rsidRDefault="00D35E51" w:rsidP="00434B85">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Следните разпределителни системи са допустими за прав ток и еднофазен променлив ток:</w:t>
      </w:r>
    </w:p>
    <w:p w14:paraId="3D42A543" w14:textId="77777777" w:rsidR="00271FA2" w:rsidRPr="00F06DE2" w:rsidRDefault="00D35E51" w:rsidP="00434B8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2-проводникови системи, от които една е заземена (</w:t>
      </w:r>
      <w:r w:rsidRPr="00F06DE2">
        <w:rPr>
          <w:rFonts w:ascii="Times New Roman" w:hAnsi="Times New Roman" w:cs="Times New Roman"/>
        </w:rPr>
        <w:t>L</w:t>
      </w:r>
      <w:r w:rsidRPr="00F06DE2">
        <w:rPr>
          <w:rFonts w:ascii="Times New Roman" w:hAnsi="Times New Roman" w:cs="Times New Roman"/>
          <w:lang w:val="ru-RU"/>
        </w:rPr>
        <w:t>1/</w:t>
      </w:r>
      <w:r w:rsidRPr="00F06DE2">
        <w:rPr>
          <w:rFonts w:ascii="Times New Roman" w:hAnsi="Times New Roman" w:cs="Times New Roman"/>
        </w:rPr>
        <w:t>N</w:t>
      </w:r>
      <w:r w:rsidRPr="00F06DE2">
        <w:rPr>
          <w:rFonts w:ascii="Times New Roman" w:hAnsi="Times New Roman" w:cs="Times New Roman"/>
          <w:lang w:val="ru-RU"/>
        </w:rPr>
        <w:t>/</w:t>
      </w:r>
      <w:r w:rsidRPr="00F06DE2">
        <w:rPr>
          <w:rFonts w:ascii="Times New Roman" w:hAnsi="Times New Roman" w:cs="Times New Roman"/>
        </w:rPr>
        <w:t>PE</w:t>
      </w:r>
      <w:r w:rsidRPr="00F06DE2">
        <w:rPr>
          <w:rFonts w:ascii="Times New Roman" w:hAnsi="Times New Roman" w:cs="Times New Roman"/>
          <w:lang w:val="ru-RU"/>
        </w:rPr>
        <w:t>);</w:t>
      </w:r>
    </w:p>
    <w:p w14:paraId="40CACDB0" w14:textId="77777777" w:rsidR="00271FA2" w:rsidRPr="00F06DE2" w:rsidRDefault="00D35E51" w:rsidP="00434B8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еднопроводникови системи, използващи корпуса като обратен проводник, само за местни инсталации (например стартерни устройства за двигатели с вътрешно горене) (</w:t>
      </w:r>
      <w:r w:rsidRPr="00F06DE2">
        <w:rPr>
          <w:rFonts w:ascii="Times New Roman" w:hAnsi="Times New Roman" w:cs="Times New Roman"/>
        </w:rPr>
        <w:t>L</w:t>
      </w:r>
      <w:r w:rsidRPr="00F06DE2">
        <w:rPr>
          <w:rFonts w:ascii="Times New Roman" w:hAnsi="Times New Roman" w:cs="Times New Roman"/>
          <w:lang w:val="ru-RU"/>
        </w:rPr>
        <w:t>1/</w:t>
      </w:r>
      <w:r w:rsidRPr="00F06DE2">
        <w:rPr>
          <w:rFonts w:ascii="Times New Roman" w:hAnsi="Times New Roman" w:cs="Times New Roman"/>
        </w:rPr>
        <w:t>PEN</w:t>
      </w:r>
      <w:r w:rsidRPr="00F06DE2">
        <w:rPr>
          <w:rFonts w:ascii="Times New Roman" w:hAnsi="Times New Roman" w:cs="Times New Roman"/>
          <w:lang w:val="ru-RU"/>
        </w:rPr>
        <w:t>);</w:t>
      </w:r>
    </w:p>
    <w:p w14:paraId="3F41A451" w14:textId="77777777" w:rsidR="00271FA2" w:rsidRPr="00F06DE2" w:rsidRDefault="00D35E51" w:rsidP="00434B8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2-проводникови системи, изолирани от корпуса (</w:t>
      </w:r>
      <w:r w:rsidRPr="00F06DE2">
        <w:rPr>
          <w:rFonts w:ascii="Times New Roman" w:hAnsi="Times New Roman" w:cs="Times New Roman"/>
        </w:rPr>
        <w:t>L</w:t>
      </w:r>
      <w:r w:rsidRPr="00F06DE2">
        <w:rPr>
          <w:rFonts w:ascii="Times New Roman" w:hAnsi="Times New Roman" w:cs="Times New Roman"/>
          <w:lang w:val="ru-RU"/>
        </w:rPr>
        <w:t>1/</w:t>
      </w:r>
      <w:r w:rsidRPr="00F06DE2">
        <w:rPr>
          <w:rFonts w:ascii="Times New Roman" w:hAnsi="Times New Roman" w:cs="Times New Roman"/>
        </w:rPr>
        <w:t>L</w:t>
      </w:r>
      <w:r w:rsidRPr="00F06DE2">
        <w:rPr>
          <w:rFonts w:ascii="Times New Roman" w:hAnsi="Times New Roman" w:cs="Times New Roman"/>
          <w:lang w:val="ru-RU"/>
        </w:rPr>
        <w:t>2/</w:t>
      </w:r>
      <w:r w:rsidRPr="00F06DE2">
        <w:rPr>
          <w:rFonts w:ascii="Times New Roman" w:hAnsi="Times New Roman" w:cs="Times New Roman"/>
        </w:rPr>
        <w:t>PE</w:t>
      </w:r>
      <w:r w:rsidRPr="00F06DE2">
        <w:rPr>
          <w:rFonts w:ascii="Times New Roman" w:hAnsi="Times New Roman" w:cs="Times New Roman"/>
          <w:lang w:val="ru-RU"/>
        </w:rPr>
        <w:t>).</w:t>
      </w:r>
    </w:p>
    <w:p w14:paraId="544986EC" w14:textId="77777777" w:rsidR="00271FA2" w:rsidRPr="00F06DE2" w:rsidRDefault="00D35E51" w:rsidP="00434B85">
      <w:pPr>
        <w:pStyle w:val="ESch"/>
        <w:jc w:val="both"/>
        <w:rPr>
          <w:rFonts w:ascii="Times New Roman" w:eastAsia="Calibri" w:hAnsi="Times New Roman" w:cs="Times New Roman"/>
          <w:lang w:val="ru-RU"/>
        </w:rPr>
      </w:pPr>
      <w:r w:rsidRPr="00F06DE2">
        <w:rPr>
          <w:rFonts w:ascii="Times New Roman" w:hAnsi="Times New Roman" w:cs="Times New Roman"/>
          <w:lang w:val="ru-RU"/>
        </w:rPr>
        <w:lastRenderedPageBreak/>
        <w:t>2.</w:t>
      </w:r>
      <w:r w:rsidRPr="00F06DE2">
        <w:rPr>
          <w:rFonts w:ascii="Times New Roman" w:hAnsi="Times New Roman" w:cs="Times New Roman"/>
          <w:lang w:val="ru-RU"/>
        </w:rPr>
        <w:tab/>
        <w:t>Следните разпределителни системи са допустими за трифазен променлив ток:</w:t>
      </w:r>
    </w:p>
    <w:p w14:paraId="23CA0139" w14:textId="77777777" w:rsidR="00271FA2" w:rsidRPr="00F06DE2" w:rsidRDefault="00D35E51" w:rsidP="00434B8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4-проводникови системи със заземяване на неутралната точка, неизползващи корпуса като обратен проводник (</w:t>
      </w:r>
      <w:r w:rsidRPr="00F06DE2">
        <w:rPr>
          <w:rFonts w:ascii="Times New Roman" w:hAnsi="Times New Roman" w:cs="Times New Roman"/>
        </w:rPr>
        <w:t>L</w:t>
      </w:r>
      <w:r w:rsidRPr="00F06DE2">
        <w:rPr>
          <w:rFonts w:ascii="Times New Roman" w:hAnsi="Times New Roman" w:cs="Times New Roman"/>
          <w:lang w:val="ru-RU"/>
        </w:rPr>
        <w:t>1/</w:t>
      </w:r>
      <w:r w:rsidRPr="00F06DE2">
        <w:rPr>
          <w:rFonts w:ascii="Times New Roman" w:hAnsi="Times New Roman" w:cs="Times New Roman"/>
        </w:rPr>
        <w:t>L</w:t>
      </w:r>
      <w:r w:rsidRPr="00F06DE2">
        <w:rPr>
          <w:rFonts w:ascii="Times New Roman" w:hAnsi="Times New Roman" w:cs="Times New Roman"/>
          <w:lang w:val="ru-RU"/>
        </w:rPr>
        <w:t>2/</w:t>
      </w:r>
      <w:r w:rsidRPr="00F06DE2">
        <w:rPr>
          <w:rFonts w:ascii="Times New Roman" w:hAnsi="Times New Roman" w:cs="Times New Roman"/>
        </w:rPr>
        <w:t>L</w:t>
      </w:r>
      <w:r w:rsidRPr="00F06DE2">
        <w:rPr>
          <w:rFonts w:ascii="Times New Roman" w:hAnsi="Times New Roman" w:cs="Times New Roman"/>
          <w:lang w:val="ru-RU"/>
        </w:rPr>
        <w:t>3/</w:t>
      </w:r>
      <w:r w:rsidRPr="00F06DE2">
        <w:rPr>
          <w:rFonts w:ascii="Times New Roman" w:hAnsi="Times New Roman" w:cs="Times New Roman"/>
        </w:rPr>
        <w:t>N</w:t>
      </w:r>
      <w:r w:rsidRPr="00F06DE2">
        <w:rPr>
          <w:rFonts w:ascii="Times New Roman" w:hAnsi="Times New Roman" w:cs="Times New Roman"/>
          <w:lang w:val="ru-RU"/>
        </w:rPr>
        <w:t>/</w:t>
      </w:r>
      <w:r w:rsidRPr="00F06DE2">
        <w:rPr>
          <w:rFonts w:ascii="Times New Roman" w:hAnsi="Times New Roman" w:cs="Times New Roman"/>
        </w:rPr>
        <w:t>PE</w:t>
      </w:r>
      <w:r w:rsidRPr="00F06DE2">
        <w:rPr>
          <w:rFonts w:ascii="Times New Roman" w:hAnsi="Times New Roman" w:cs="Times New Roman"/>
          <w:lang w:val="ru-RU"/>
        </w:rPr>
        <w:t>) = мрежа (</w:t>
      </w:r>
      <w:r w:rsidRPr="00F06DE2">
        <w:rPr>
          <w:rFonts w:ascii="Times New Roman" w:hAnsi="Times New Roman" w:cs="Times New Roman"/>
        </w:rPr>
        <w:t>TN</w:t>
      </w:r>
      <w:r w:rsidRPr="00F06DE2">
        <w:rPr>
          <w:rFonts w:ascii="Times New Roman" w:hAnsi="Times New Roman" w:cs="Times New Roman"/>
          <w:lang w:val="ru-RU"/>
        </w:rPr>
        <w:t>-</w:t>
      </w:r>
      <w:r w:rsidRPr="00F06DE2">
        <w:rPr>
          <w:rFonts w:ascii="Times New Roman" w:hAnsi="Times New Roman" w:cs="Times New Roman"/>
        </w:rPr>
        <w:t>S</w:t>
      </w:r>
      <w:r w:rsidRPr="00F06DE2">
        <w:rPr>
          <w:rFonts w:ascii="Times New Roman" w:hAnsi="Times New Roman" w:cs="Times New Roman"/>
          <w:lang w:val="ru-RU"/>
        </w:rPr>
        <w:t>) или мрежа (ТТ);</w:t>
      </w:r>
    </w:p>
    <w:p w14:paraId="179DBA5B" w14:textId="77777777" w:rsidR="00271FA2" w:rsidRPr="00F06DE2" w:rsidRDefault="00D35E51" w:rsidP="00434B8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3-проводникова система, изолирана от корпуса (</w:t>
      </w:r>
      <w:r w:rsidRPr="00F06DE2">
        <w:rPr>
          <w:rFonts w:ascii="Times New Roman" w:hAnsi="Times New Roman" w:cs="Times New Roman"/>
        </w:rPr>
        <w:t>L</w:t>
      </w:r>
      <w:r w:rsidRPr="00F06DE2">
        <w:rPr>
          <w:rFonts w:ascii="Times New Roman" w:hAnsi="Times New Roman" w:cs="Times New Roman"/>
          <w:lang w:val="ru-RU"/>
        </w:rPr>
        <w:t>1/</w:t>
      </w:r>
      <w:r w:rsidRPr="00F06DE2">
        <w:rPr>
          <w:rFonts w:ascii="Times New Roman" w:hAnsi="Times New Roman" w:cs="Times New Roman"/>
        </w:rPr>
        <w:t>L</w:t>
      </w:r>
      <w:r w:rsidRPr="00F06DE2">
        <w:rPr>
          <w:rFonts w:ascii="Times New Roman" w:hAnsi="Times New Roman" w:cs="Times New Roman"/>
          <w:lang w:val="ru-RU"/>
        </w:rPr>
        <w:t>2/</w:t>
      </w:r>
      <w:r w:rsidRPr="00F06DE2">
        <w:rPr>
          <w:rFonts w:ascii="Times New Roman" w:hAnsi="Times New Roman" w:cs="Times New Roman"/>
        </w:rPr>
        <w:t>L</w:t>
      </w:r>
      <w:r w:rsidRPr="00F06DE2">
        <w:rPr>
          <w:rFonts w:ascii="Times New Roman" w:hAnsi="Times New Roman" w:cs="Times New Roman"/>
          <w:lang w:val="ru-RU"/>
        </w:rPr>
        <w:t>3/</w:t>
      </w:r>
      <w:r w:rsidRPr="00F06DE2">
        <w:rPr>
          <w:rFonts w:ascii="Times New Roman" w:hAnsi="Times New Roman" w:cs="Times New Roman"/>
        </w:rPr>
        <w:t>PE</w:t>
      </w:r>
      <w:r w:rsidRPr="00F06DE2">
        <w:rPr>
          <w:rFonts w:ascii="Times New Roman" w:hAnsi="Times New Roman" w:cs="Times New Roman"/>
          <w:lang w:val="ru-RU"/>
        </w:rPr>
        <w:t>) = мрежа (</w:t>
      </w:r>
      <w:r w:rsidRPr="00F06DE2">
        <w:rPr>
          <w:rFonts w:ascii="Times New Roman" w:hAnsi="Times New Roman" w:cs="Times New Roman"/>
        </w:rPr>
        <w:t>IT</w:t>
      </w:r>
      <w:r w:rsidRPr="00F06DE2">
        <w:rPr>
          <w:rFonts w:ascii="Times New Roman" w:hAnsi="Times New Roman" w:cs="Times New Roman"/>
          <w:lang w:val="ru-RU"/>
        </w:rPr>
        <w:t>);</w:t>
      </w:r>
    </w:p>
    <w:p w14:paraId="1902F5F3" w14:textId="77777777" w:rsidR="00271FA2" w:rsidRPr="00F06DE2" w:rsidRDefault="00D35E51" w:rsidP="00434B8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3-проводникова система със заземяване на неутралната точка, използваща корпуса като обратен проводник, освен при крайни контури (</w:t>
      </w:r>
      <w:r w:rsidRPr="00F06DE2">
        <w:rPr>
          <w:rFonts w:ascii="Times New Roman" w:hAnsi="Times New Roman" w:cs="Times New Roman"/>
        </w:rPr>
        <w:t>L</w:t>
      </w:r>
      <w:r w:rsidRPr="00F06DE2">
        <w:rPr>
          <w:rFonts w:ascii="Times New Roman" w:hAnsi="Times New Roman" w:cs="Times New Roman"/>
          <w:lang w:val="ru-RU"/>
        </w:rPr>
        <w:t>1/</w:t>
      </w:r>
      <w:r w:rsidRPr="00F06DE2">
        <w:rPr>
          <w:rFonts w:ascii="Times New Roman" w:hAnsi="Times New Roman" w:cs="Times New Roman"/>
        </w:rPr>
        <w:t>L</w:t>
      </w:r>
      <w:r w:rsidRPr="00F06DE2">
        <w:rPr>
          <w:rFonts w:ascii="Times New Roman" w:hAnsi="Times New Roman" w:cs="Times New Roman"/>
          <w:lang w:val="ru-RU"/>
        </w:rPr>
        <w:t>2/</w:t>
      </w:r>
      <w:r w:rsidRPr="00F06DE2">
        <w:rPr>
          <w:rFonts w:ascii="Times New Roman" w:hAnsi="Times New Roman" w:cs="Times New Roman"/>
        </w:rPr>
        <w:t>L</w:t>
      </w:r>
      <w:r w:rsidRPr="00F06DE2">
        <w:rPr>
          <w:rFonts w:ascii="Times New Roman" w:hAnsi="Times New Roman" w:cs="Times New Roman"/>
          <w:lang w:val="ru-RU"/>
        </w:rPr>
        <w:t>3/</w:t>
      </w:r>
      <w:r w:rsidRPr="00F06DE2">
        <w:rPr>
          <w:rFonts w:ascii="Times New Roman" w:hAnsi="Times New Roman" w:cs="Times New Roman"/>
        </w:rPr>
        <w:t>PEN</w:t>
      </w:r>
      <w:r w:rsidRPr="00F06DE2">
        <w:rPr>
          <w:rFonts w:ascii="Times New Roman" w:hAnsi="Times New Roman" w:cs="Times New Roman"/>
          <w:lang w:val="ru-RU"/>
        </w:rPr>
        <w:t>).</w:t>
      </w:r>
    </w:p>
    <w:p w14:paraId="21A22A4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Контролният орган има право да допусне използването на други разпределителни системи.</w:t>
      </w:r>
    </w:p>
    <w:p w14:paraId="653D4FDE"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163" w:name="_Toc535827526"/>
      <w:bookmarkStart w:id="164" w:name="_Toc491854085"/>
      <w:r w:rsidRPr="00F06DE2">
        <w:rPr>
          <w:rFonts w:ascii="Times New Roman" w:hAnsi="Times New Roman" w:cs="Times New Roman"/>
          <w:sz w:val="24"/>
          <w:szCs w:val="24"/>
          <w:lang w:val="ru-RU"/>
        </w:rPr>
        <w:t>Член 10.08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Връзка с брега или други външни мрежи</w:t>
      </w:r>
      <w:bookmarkEnd w:id="163"/>
      <w:bookmarkEnd w:id="164"/>
    </w:p>
    <w:p w14:paraId="7C2DE291" w14:textId="77777777" w:rsidR="00271FA2" w:rsidRPr="00F06DE2" w:rsidRDefault="00D35E51" w:rsidP="00434B85">
      <w:pPr>
        <w:numPr>
          <w:ilvl w:val="0"/>
          <w:numId w:val="14"/>
        </w:numPr>
        <w:spacing w:line="240" w:lineRule="atLeast"/>
        <w:ind w:left="519" w:right="60" w:hangingChars="236" w:hanging="519"/>
        <w:jc w:val="both"/>
        <w:rPr>
          <w:rFonts w:ascii="Times New Roman" w:hAnsi="Times New Roman" w:cs="Times New Roman"/>
          <w:lang w:val="ru-RU"/>
        </w:rPr>
      </w:pPr>
      <w:r w:rsidRPr="00F06DE2">
        <w:rPr>
          <w:rFonts w:ascii="Times New Roman" w:hAnsi="Times New Roman" w:cs="Times New Roman"/>
          <w:lang w:val="ru-RU"/>
        </w:rPr>
        <w:t>Захранващото устройство, което представлява цялото бордово оборудване за пренос на електрическа енергия към плавателното средство, трябва да бъде проектирано, както следва:</w:t>
      </w:r>
    </w:p>
    <w:p w14:paraId="0759DC99" w14:textId="77777777" w:rsidR="00271FA2" w:rsidRPr="00F06DE2" w:rsidRDefault="00D35E51" w:rsidP="00434B85">
      <w:pPr>
        <w:spacing w:line="240" w:lineRule="atLeast"/>
        <w:ind w:left="566" w:right="60"/>
        <w:jc w:val="both"/>
        <w:rPr>
          <w:rFonts w:ascii="Times New Roman" w:hAnsi="Times New Roman" w:cs="Times New Roman"/>
          <w:lang w:val="ru-RU"/>
        </w:rPr>
      </w:pPr>
      <w:r w:rsidRPr="00F06DE2">
        <w:rPr>
          <w:rFonts w:ascii="Times New Roman" w:hAnsi="Times New Roman" w:cs="Times New Roman"/>
          <w:lang w:val="ru-RU"/>
        </w:rPr>
        <w:t>а) Прехвърляне от крайбрежните електрозахранващи системи:</w:t>
      </w:r>
    </w:p>
    <w:p w14:paraId="1D70A03E" w14:textId="77777777" w:rsidR="00271FA2" w:rsidRPr="00F06DE2" w:rsidRDefault="00D35E51" w:rsidP="00434B85">
      <w:pPr>
        <w:spacing w:line="240" w:lineRule="atLeast"/>
        <w:ind w:left="566" w:right="60"/>
        <w:jc w:val="both"/>
        <w:rPr>
          <w:rFonts w:ascii="Times New Roman"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xml:space="preserve">) За токове до 125 </w:t>
      </w:r>
      <w:r w:rsidRPr="00F06DE2">
        <w:rPr>
          <w:rFonts w:ascii="Times New Roman" w:hAnsi="Times New Roman" w:cs="Times New Roman"/>
        </w:rPr>
        <w:t>A</w:t>
      </w:r>
      <w:r w:rsidRPr="00F06DE2">
        <w:rPr>
          <w:rFonts w:ascii="Times New Roman" w:hAnsi="Times New Roman" w:cs="Times New Roman"/>
          <w:lang w:val="ru-RU"/>
        </w:rPr>
        <w:t xml:space="preserve"> трябва да се спазват изискванията на Европейските стандарти </w:t>
      </w:r>
      <w:r w:rsidRPr="00F06DE2">
        <w:rPr>
          <w:rFonts w:ascii="Times New Roman" w:hAnsi="Times New Roman" w:cs="Times New Roman"/>
        </w:rPr>
        <w:t>EN</w:t>
      </w:r>
      <w:r w:rsidRPr="00F06DE2">
        <w:rPr>
          <w:rFonts w:ascii="Times New Roman" w:hAnsi="Times New Roman" w:cs="Times New Roman"/>
          <w:lang w:val="ru-RU"/>
        </w:rPr>
        <w:t xml:space="preserve"> 158691:2019 и </w:t>
      </w:r>
      <w:r w:rsidRPr="00F06DE2">
        <w:rPr>
          <w:rFonts w:ascii="Times New Roman" w:hAnsi="Times New Roman" w:cs="Times New Roman"/>
        </w:rPr>
        <w:t>EN</w:t>
      </w:r>
      <w:r w:rsidRPr="00F06DE2">
        <w:rPr>
          <w:rFonts w:ascii="Times New Roman" w:hAnsi="Times New Roman" w:cs="Times New Roman"/>
          <w:lang w:val="ru-RU"/>
        </w:rPr>
        <w:t xml:space="preserve"> 15869-3:2019;</w:t>
      </w:r>
    </w:p>
    <w:p w14:paraId="04C02904" w14:textId="77777777" w:rsidR="00271FA2" w:rsidRPr="00F06DE2" w:rsidRDefault="00D35E51" w:rsidP="00434B85">
      <w:pPr>
        <w:spacing w:line="240" w:lineRule="atLeast"/>
        <w:ind w:left="566" w:right="60"/>
        <w:jc w:val="both"/>
        <w:rPr>
          <w:rFonts w:ascii="Times New Roman" w:hAnsi="Times New Roman" w:cs="Times New Roman"/>
          <w:lang w:val="ru-RU"/>
        </w:rPr>
      </w:pPr>
      <w:r w:rsidRPr="00F06DE2">
        <w:rPr>
          <w:rFonts w:ascii="Times New Roman" w:hAnsi="Times New Roman" w:cs="Times New Roman"/>
          <w:lang w:val="ru-RU"/>
        </w:rPr>
        <w:t xml:space="preserve">бб) За токове по-големи от 250 </w:t>
      </w:r>
      <w:r w:rsidRPr="00F06DE2">
        <w:rPr>
          <w:rFonts w:ascii="Times New Roman" w:hAnsi="Times New Roman" w:cs="Times New Roman"/>
        </w:rPr>
        <w:t>A</w:t>
      </w:r>
      <w:r w:rsidRPr="00F06DE2">
        <w:rPr>
          <w:rFonts w:ascii="Times New Roman" w:hAnsi="Times New Roman" w:cs="Times New Roman"/>
          <w:lang w:val="ru-RU"/>
        </w:rPr>
        <w:t xml:space="preserve"> трябва да се спазват изискванията на Европейските стандарти </w:t>
      </w:r>
      <w:r w:rsidRPr="00F06DE2">
        <w:rPr>
          <w:rFonts w:ascii="Times New Roman" w:hAnsi="Times New Roman" w:cs="Times New Roman"/>
        </w:rPr>
        <w:t>EN</w:t>
      </w:r>
      <w:r w:rsidRPr="00F06DE2">
        <w:rPr>
          <w:rFonts w:ascii="Times New Roman" w:hAnsi="Times New Roman" w:cs="Times New Roman"/>
          <w:lang w:val="ru-RU"/>
        </w:rPr>
        <w:t xml:space="preserve"> 16840:2017.</w:t>
      </w:r>
    </w:p>
    <w:p w14:paraId="5AF244A9" w14:textId="77777777" w:rsidR="00271FA2" w:rsidRPr="00F06DE2" w:rsidRDefault="00D35E51" w:rsidP="00434B85">
      <w:pPr>
        <w:spacing w:line="240" w:lineRule="atLeast"/>
        <w:ind w:left="566" w:right="60"/>
        <w:jc w:val="both"/>
        <w:rPr>
          <w:rFonts w:ascii="Times New Roman" w:hAnsi="Times New Roman" w:cs="Times New Roman"/>
          <w:lang w:val="ru-RU"/>
        </w:rPr>
      </w:pPr>
      <w:r w:rsidRPr="00F06DE2">
        <w:rPr>
          <w:rFonts w:ascii="Times New Roman" w:hAnsi="Times New Roman" w:cs="Times New Roman"/>
          <w:lang w:val="ru-RU"/>
        </w:rPr>
        <w:t xml:space="preserve">б) Във всички останали случаи се прилагат изискванията на точки 2-9. Посочените </w:t>
      </w:r>
      <w:r w:rsidRPr="00F06DE2">
        <w:rPr>
          <w:rFonts w:ascii="Times New Roman" w:hAnsi="Times New Roman" w:cs="Times New Roman"/>
          <w:lang w:val="ru-RU"/>
        </w:rPr>
        <w:tab/>
        <w:t xml:space="preserve">изисквания се считат за спазени, ако стандартите, посочени в буква “а”, се спазват за </w:t>
      </w:r>
      <w:r w:rsidRPr="00F06DE2">
        <w:rPr>
          <w:rFonts w:ascii="Times New Roman" w:hAnsi="Times New Roman" w:cs="Times New Roman"/>
          <w:lang w:val="ru-RU"/>
        </w:rPr>
        <w:tab/>
        <w:t>въпросната употреба.</w:t>
      </w:r>
    </w:p>
    <w:p w14:paraId="1B40E8CE" w14:textId="77777777" w:rsidR="00271FA2" w:rsidRPr="00F06DE2" w:rsidRDefault="00D35E51" w:rsidP="00434B85">
      <w:pPr>
        <w:pStyle w:val="ESch"/>
        <w:ind w:left="519" w:hangingChars="236" w:hanging="519"/>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Входящите захранващи линии от брегови мрежи или други външни мрежи към бордовата електрическа уредба трябва да имат постоянна връзка на борда под формата на фиксирани терминали или фиксирани съединителни муфи. Кабели от оптични връзки не подлежат на натоварване на опън.</w:t>
      </w:r>
    </w:p>
    <w:p w14:paraId="242FDF69" w14:textId="77777777" w:rsidR="00271FA2" w:rsidRPr="00F06DE2" w:rsidRDefault="00D35E51" w:rsidP="00434B85">
      <w:pPr>
        <w:pStyle w:val="ESch"/>
        <w:ind w:left="519" w:hangingChars="236" w:hanging="519"/>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Когато напрежението на връзката превиши 50 </w:t>
      </w:r>
      <w:r w:rsidRPr="00F06DE2">
        <w:rPr>
          <w:rFonts w:ascii="Times New Roman" w:hAnsi="Times New Roman" w:cs="Times New Roman"/>
        </w:rPr>
        <w:t>V</w:t>
      </w:r>
      <w:r w:rsidRPr="00F06DE2">
        <w:rPr>
          <w:rFonts w:ascii="Times New Roman" w:hAnsi="Times New Roman" w:cs="Times New Roman"/>
          <w:lang w:val="ru-RU"/>
        </w:rPr>
        <w:t>, корпусът трябва да бъде заземен. Връзката за заземяване трябва да бъде маркирана по специален начин.</w:t>
      </w:r>
    </w:p>
    <w:p w14:paraId="5B9A77F0" w14:textId="77777777" w:rsidR="00271FA2" w:rsidRPr="00F06DE2" w:rsidRDefault="00D35E51" w:rsidP="00434B85">
      <w:pPr>
        <w:pStyle w:val="ESch"/>
        <w:ind w:left="519" w:hangingChars="236" w:hanging="519"/>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Защитните устройства на връзките</w:t>
      </w:r>
      <w:r w:rsidRPr="00F06DE2">
        <w:rPr>
          <w:rStyle w:val="Heading4Char"/>
          <w:rFonts w:ascii="Times New Roman" w:hAnsi="Times New Roman" w:cs="Times New Roman"/>
          <w:sz w:val="24"/>
          <w:szCs w:val="24"/>
          <w:lang w:val="ru-RU"/>
        </w:rPr>
        <w:t xml:space="preserve"> </w:t>
      </w:r>
      <w:r w:rsidRPr="00F06DE2">
        <w:rPr>
          <w:rFonts w:ascii="Times New Roman" w:hAnsi="Times New Roman" w:cs="Times New Roman"/>
          <w:lang w:val="ru-RU"/>
        </w:rPr>
        <w:t>трябва да могат да се заключват по такъв начин, че да не допускат едновременна работа на генераторите на бордовата мрежа и брегова мрежа или друга външна мрежа. Кратък период на едновременна работа се разрешава при преминаване от една система към друга без прекъсване на напрежението.</w:t>
      </w:r>
    </w:p>
    <w:p w14:paraId="4FF82640" w14:textId="77777777" w:rsidR="00271FA2" w:rsidRPr="00F06DE2" w:rsidRDefault="00D35E51" w:rsidP="00434B85">
      <w:pPr>
        <w:pStyle w:val="ESch"/>
        <w:ind w:left="519" w:hangingChars="236" w:hanging="519"/>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Връзката трябва да бъде защитена срещу къси съединения и претоварване.</w:t>
      </w:r>
    </w:p>
    <w:p w14:paraId="7DE04CF3" w14:textId="77777777" w:rsidR="00271FA2" w:rsidRPr="00F06DE2" w:rsidRDefault="00D35E51" w:rsidP="00434B85">
      <w:pPr>
        <w:pStyle w:val="ESch"/>
        <w:ind w:left="519" w:hangingChars="236" w:hanging="519"/>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Основното електрическо разпределително табло има индикатор, който показва дали връзката е под напрежение.</w:t>
      </w:r>
    </w:p>
    <w:p w14:paraId="20F4EF1B" w14:textId="77777777" w:rsidR="00271FA2" w:rsidRPr="00F06DE2" w:rsidRDefault="00D35E51" w:rsidP="00434B85">
      <w:pPr>
        <w:pStyle w:val="ESch"/>
        <w:ind w:left="519" w:hangingChars="236" w:hanging="519"/>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Трябва да бъдат инсталирани индикаторни устройства, за да може да се сравнява полярността при постоянен ток и последователността на фазите при променлив ток между връзката и бордовата мрежа.</w:t>
      </w:r>
    </w:p>
    <w:p w14:paraId="6F8596C7" w14:textId="77777777" w:rsidR="00271FA2" w:rsidRPr="00F06DE2" w:rsidRDefault="00D35E51" w:rsidP="00434B85">
      <w:pPr>
        <w:pStyle w:val="ESch"/>
        <w:ind w:left="519" w:hangingChars="236" w:hanging="519"/>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Табло върху връзката трябва да посочва:</w:t>
      </w:r>
    </w:p>
    <w:p w14:paraId="72F6446E" w14:textId="77777777" w:rsidR="00271FA2" w:rsidRPr="00F06DE2" w:rsidRDefault="00D35E51" w:rsidP="00434B85">
      <w:pPr>
        <w:pStyle w:val="ESlet"/>
        <w:spacing w:before="0"/>
        <w:ind w:left="566"/>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мерките, необходими за осъществяване на връзката;</w:t>
      </w:r>
    </w:p>
    <w:p w14:paraId="6CAC1EC7" w14:textId="77777777" w:rsidR="00271FA2" w:rsidRPr="00F06DE2" w:rsidRDefault="00D35E51" w:rsidP="00434B85">
      <w:pPr>
        <w:pStyle w:val="ESlet"/>
        <w:spacing w:before="0"/>
        <w:ind w:left="566"/>
        <w:jc w:val="both"/>
        <w:rPr>
          <w:rFonts w:ascii="Times New Roman" w:eastAsia="Calibri" w:hAnsi="Times New Roman" w:cs="Times New Roman"/>
          <w:lang w:val="ru-RU"/>
        </w:rPr>
      </w:pPr>
      <w:r w:rsidRPr="00F06DE2">
        <w:rPr>
          <w:rFonts w:ascii="Times New Roman" w:hAnsi="Times New Roman" w:cs="Times New Roman"/>
          <w:lang w:val="ru-RU"/>
        </w:rPr>
        <w:t>б) вида на тока и номиналното напрежение, а при променлив ток — честотата.</w:t>
      </w:r>
    </w:p>
    <w:p w14:paraId="2225AB03" w14:textId="77777777" w:rsidR="00271FA2" w:rsidRPr="00F06DE2" w:rsidRDefault="00D35E51" w:rsidP="00434B85">
      <w:pPr>
        <w:pStyle w:val="ESch"/>
        <w:ind w:left="519" w:hangingChars="236" w:hanging="519"/>
        <w:jc w:val="both"/>
        <w:rPr>
          <w:rStyle w:val="Heading4Char"/>
          <w:rFonts w:ascii="Times New Roman" w:hAnsi="Times New Roman" w:cs="Times New Roman"/>
          <w:sz w:val="24"/>
          <w:szCs w:val="24"/>
          <w:lang w:val="ru-RU"/>
        </w:rPr>
      </w:pPr>
      <w:r w:rsidRPr="00F06DE2">
        <w:rPr>
          <w:rFonts w:ascii="Times New Roman" w:hAnsi="Times New Roman" w:cs="Times New Roman"/>
          <w:lang w:val="ru-RU"/>
        </w:rPr>
        <w:t>9.</w:t>
      </w:r>
      <w:r w:rsidRPr="00F06DE2">
        <w:rPr>
          <w:rFonts w:ascii="Times New Roman" w:hAnsi="Times New Roman" w:cs="Times New Roman"/>
          <w:lang w:val="ru-RU"/>
        </w:rPr>
        <w:tab/>
        <w:t xml:space="preserve">Ако се използват гнезда, разчетени за сила на тока над 16 </w:t>
      </w:r>
      <w:r w:rsidRPr="00F06DE2">
        <w:rPr>
          <w:rFonts w:ascii="Times New Roman" w:hAnsi="Times New Roman" w:cs="Times New Roman"/>
        </w:rPr>
        <w:t>A</w:t>
      </w:r>
      <w:r w:rsidRPr="00F06DE2">
        <w:rPr>
          <w:rFonts w:ascii="Times New Roman" w:hAnsi="Times New Roman" w:cs="Times New Roman"/>
          <w:lang w:val="ru-RU"/>
        </w:rPr>
        <w:t>, трябва да се предприемат стъпки за гарантиране, че включването и изключването могат да стават само, когато линията не е под напрежение.</w:t>
      </w:r>
      <w:r w:rsidRPr="00F06DE2">
        <w:rPr>
          <w:rStyle w:val="Heading4Char"/>
          <w:rFonts w:ascii="Times New Roman" w:hAnsi="Times New Roman" w:cs="Times New Roman"/>
          <w:sz w:val="24"/>
          <w:szCs w:val="24"/>
          <w:lang w:val="ru-RU"/>
        </w:rPr>
        <w:t xml:space="preserve"> </w:t>
      </w:r>
    </w:p>
    <w:p w14:paraId="1A1E492A" w14:textId="77777777" w:rsidR="00271FA2" w:rsidRPr="00F06DE2" w:rsidRDefault="00D35E51">
      <w:pPr>
        <w:pStyle w:val="ES-Titre3"/>
        <w:spacing w:line="240" w:lineRule="atLeast"/>
        <w:rPr>
          <w:rFonts w:ascii="Times New Roman" w:hAnsi="Times New Roman" w:cs="Times New Roman"/>
          <w:sz w:val="24"/>
          <w:szCs w:val="24"/>
          <w:lang w:val="ru-RU"/>
        </w:rPr>
      </w:pPr>
      <w:bookmarkStart w:id="165" w:name="_Toc535827527"/>
      <w:bookmarkStart w:id="166" w:name="_Toc491854086"/>
      <w:r w:rsidRPr="00F06DE2">
        <w:rPr>
          <w:rFonts w:ascii="Times New Roman" w:hAnsi="Times New Roman" w:cs="Times New Roman"/>
          <w:sz w:val="24"/>
          <w:szCs w:val="24"/>
          <w:lang w:val="ru-RU"/>
        </w:rPr>
        <w:t>Член 10.09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Електрозахранване за друго плавателно средство</w:t>
      </w:r>
      <w:bookmarkEnd w:id="165"/>
      <w:r w:rsidRPr="00F06DE2">
        <w:rPr>
          <w:rFonts w:ascii="Times New Roman" w:hAnsi="Times New Roman" w:cs="Times New Roman"/>
          <w:i/>
          <w:sz w:val="24"/>
          <w:szCs w:val="24"/>
          <w:lang w:val="ru-RU"/>
        </w:rPr>
        <w:t xml:space="preserve"> </w:t>
      </w:r>
      <w:bookmarkEnd w:id="166"/>
    </w:p>
    <w:p w14:paraId="16E99725" w14:textId="77777777" w:rsidR="00271FA2" w:rsidRPr="00F06DE2" w:rsidRDefault="00D35E51">
      <w:pPr>
        <w:pStyle w:val="ESch"/>
        <w:jc w:val="both"/>
        <w:rPr>
          <w:rFonts w:ascii="Times New Roman" w:eastAsia="Calibri" w:hAnsi="Times New Roman" w:cs="Times New Roman"/>
          <w:strike/>
          <w:lang w:val="ru-RU"/>
        </w:rPr>
      </w:pPr>
      <w:r w:rsidRPr="00F06DE2">
        <w:rPr>
          <w:rFonts w:ascii="Times New Roman" w:hAnsi="Times New Roman" w:cs="Times New Roman"/>
          <w:lang w:val="ru-RU"/>
        </w:rPr>
        <w:lastRenderedPageBreak/>
        <w:t>1.</w:t>
      </w:r>
      <w:r w:rsidRPr="00F06DE2">
        <w:rPr>
          <w:rFonts w:ascii="Times New Roman" w:hAnsi="Times New Roman" w:cs="Times New Roman"/>
          <w:lang w:val="ru-RU"/>
        </w:rPr>
        <w:tab/>
        <w:t xml:space="preserve">Когато електроенергия се подава към друго плавателно средство, трябва да съществува отделна връзка. </w:t>
      </w:r>
    </w:p>
    <w:p w14:paraId="1A58137A"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Член 10.08, точка 2 и точки 4 - 9 се прилагат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w:t>
      </w:r>
    </w:p>
    <w:p w14:paraId="06661A15" w14:textId="77777777" w:rsidR="00434B85" w:rsidRPr="00F06DE2" w:rsidRDefault="00434B85">
      <w:pPr>
        <w:pStyle w:val="ES-Titre3"/>
        <w:spacing w:line="240" w:lineRule="atLeast"/>
        <w:rPr>
          <w:rFonts w:ascii="Times New Roman" w:hAnsi="Times New Roman" w:cs="Times New Roman"/>
          <w:sz w:val="24"/>
          <w:szCs w:val="24"/>
          <w:lang w:val="ru-RU"/>
        </w:rPr>
      </w:pPr>
      <w:bookmarkStart w:id="167" w:name="_Toc535827528"/>
      <w:bookmarkStart w:id="168" w:name="_Toc491854087"/>
    </w:p>
    <w:p w14:paraId="3FEFE92A" w14:textId="56BF5D2B"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Генератори, двигатели и трансформатори</w:t>
      </w:r>
      <w:bookmarkEnd w:id="167"/>
      <w:bookmarkEnd w:id="168"/>
    </w:p>
    <w:p w14:paraId="71D0D2C9"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Генератори, задвижвани от главния двигател, от вала на гребен винт или от спомагателни устройства, предназначени за друга функция, следва да бъдат проектирани като функция от диапазона на честотите на въртене, които могат да възникнат по време на експлоатация.</w:t>
      </w:r>
    </w:p>
    <w:p w14:paraId="733363C0"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Трансформаторите трябва да бъдат монтирани на проветриви места или в добре проветрени помещения.</w:t>
      </w:r>
    </w:p>
    <w:p w14:paraId="1586AAF9"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Първичните и вторични намотки на трансформатори се изпълняват по електрически изолиран начин. Автотрансформаторите са изключени от настоящия документ.</w:t>
      </w:r>
    </w:p>
    <w:p w14:paraId="6A59CD6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Трябва да са налице съответни изводи от номиналното напрежение за установяване на вторичното напрежение на трансформаторите. Автотрансформаторите са изключени от настоящия документ.</w:t>
      </w:r>
    </w:p>
    <w:p w14:paraId="122AA691"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Двигатели, генератори и трансформатори се предоставят от производителя с табела, която освен наименованието на дружеството, серийния номер на машината и номиналната мощност трябва да съдържа основните данни за мощността.</w:t>
      </w:r>
    </w:p>
    <w:p w14:paraId="74EE5BFB" w14:textId="77777777" w:rsidR="00B95947" w:rsidRPr="00F06DE2" w:rsidRDefault="00B95947">
      <w:pPr>
        <w:pStyle w:val="ES-Titre3"/>
        <w:spacing w:line="240" w:lineRule="atLeast"/>
        <w:rPr>
          <w:rFonts w:ascii="Times New Roman" w:hAnsi="Times New Roman" w:cs="Times New Roman"/>
          <w:sz w:val="24"/>
          <w:szCs w:val="24"/>
          <w:lang w:val="ru-RU"/>
        </w:rPr>
      </w:pPr>
      <w:bookmarkStart w:id="169" w:name="_Toc491854088"/>
      <w:bookmarkStart w:id="170" w:name="_Toc535827529"/>
    </w:p>
    <w:p w14:paraId="0944C599" w14:textId="32C97085"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10.11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Батерии, акумулатори и техните зарядни устройства</w:t>
      </w:r>
      <w:bookmarkEnd w:id="169"/>
      <w:bookmarkEnd w:id="170"/>
    </w:p>
    <w:p w14:paraId="2E5D258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Акумулаторите са достъпни и поставени, така че да не се изместват от движението на плавателното средство. Те не се поставят на места, където са изложени на прекомерна топлина, силен студ, пръски, пара или изпарения.</w:t>
      </w:r>
    </w:p>
    <w:p w14:paraId="467630B8"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Акумулаторите не трябва да бъдат поставяни в рулевата рубка, жилищните помещения и трюмовете, а в случай на пътнически плавателни съдове, в каюти, помещения за пътници и камбузи. Първото изречение не се прилага за акумулатори:</w:t>
      </w:r>
    </w:p>
    <w:p w14:paraId="3F37D9E9"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в мобилните устройства; или</w:t>
      </w:r>
    </w:p>
    <w:p w14:paraId="5CAF9C08"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б) с мощност за зареждане, по-малка от 0,2</w:t>
      </w:r>
      <w:r w:rsidRPr="00F06DE2">
        <w:rPr>
          <w:rFonts w:ascii="Times New Roman" w:hAnsi="Times New Roman" w:cs="Times New Roman"/>
        </w:rPr>
        <w:t> kW</w:t>
      </w:r>
      <w:r w:rsidRPr="00F06DE2">
        <w:rPr>
          <w:rFonts w:ascii="Times New Roman" w:hAnsi="Times New Roman" w:cs="Times New Roman"/>
          <w:lang w:val="ru-RU"/>
        </w:rPr>
        <w:t>.</w:t>
      </w:r>
    </w:p>
    <w:p w14:paraId="5801B752"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Акумулатори, изискващи мощност за зареждане над 2,0 </w:t>
      </w:r>
      <w:r w:rsidRPr="00F06DE2">
        <w:rPr>
          <w:rFonts w:ascii="Times New Roman" w:hAnsi="Times New Roman" w:cs="Times New Roman"/>
        </w:rPr>
        <w:t>kW</w:t>
      </w:r>
      <w:r w:rsidRPr="00F06DE2">
        <w:rPr>
          <w:rFonts w:ascii="Times New Roman" w:hAnsi="Times New Roman" w:cs="Times New Roman"/>
          <w:lang w:val="ru-RU"/>
        </w:rPr>
        <w:t>, се монтират в специално предвидено за тях помещение. Ако са разположени на палубата, те могат също така да бъдат поставени в шкаф. Ако е възможно акумулаторите да отделят газ, това помещение или този шкаф трябва да имат механична вентилация към откритата палуба (подаван и отвеждан въздух).</w:t>
      </w:r>
    </w:p>
    <w:p w14:paraId="54E2AB8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Мощността за зареждане се изчислява въз основа на максималния заряден ток и номиналното напрежение на акумулатора, като отчита характерните криви на зареждане на зарядното устройство.</w:t>
      </w:r>
    </w:p>
    <w:p w14:paraId="16DAC1EB"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Акумулаторите, изискващи мощност за зареждане над 2,0 </w:t>
      </w:r>
      <w:r w:rsidRPr="00F06DE2">
        <w:rPr>
          <w:rFonts w:ascii="Times New Roman" w:hAnsi="Times New Roman" w:cs="Times New Roman"/>
        </w:rPr>
        <w:t>kW</w:t>
      </w:r>
      <w:r w:rsidRPr="00F06DE2">
        <w:rPr>
          <w:rFonts w:ascii="Times New Roman" w:hAnsi="Times New Roman" w:cs="Times New Roman"/>
          <w:lang w:val="ru-RU"/>
        </w:rPr>
        <w:t>, могат също да бъдат инсталирани под палубите в шкаф или кутия. Те могат също така да бъдат монтирани без кутия в машинно отделение, електрическо сервизно помещение или на всяко друго добре проветриво място, при условие че са обезопасени срещу падащи предмети и капеща вода.</w:t>
      </w:r>
    </w:p>
    <w:p w14:paraId="614E1B7A"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Вътрешните повърхности на всички помещения, шкафове или сандъци, както и рафтове или други компоненти, предвидени за акумулатори, трябва да бъдат защитени срещу агресивното действие на електролита.</w:t>
      </w:r>
    </w:p>
    <w:p w14:paraId="0C80FFA0"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lastRenderedPageBreak/>
        <w:t>7.</w:t>
      </w:r>
      <w:r w:rsidRPr="00F06DE2">
        <w:rPr>
          <w:rFonts w:ascii="Times New Roman" w:hAnsi="Times New Roman" w:cs="Times New Roman"/>
          <w:lang w:val="ru-RU"/>
        </w:rPr>
        <w:tab/>
        <w:t xml:space="preserve">Трябва да бъде осигурена ефективна вентилация, когато акумулаторите са монтирани в затворено помещение, шкаф или сандък. Механична вентилация трябва да бъде осигурена за мощност на зареждане над </w:t>
      </w:r>
    </w:p>
    <w:p w14:paraId="4BDB4A9B" w14:textId="77777777" w:rsidR="00271FA2" w:rsidRPr="00F06DE2" w:rsidRDefault="00D35E51">
      <w:pPr>
        <w:pStyle w:val="ESlet"/>
        <w:spacing w:before="0"/>
        <w:ind w:left="851" w:hanging="283"/>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2,0 </w:t>
      </w:r>
      <w:r w:rsidRPr="00F06DE2">
        <w:rPr>
          <w:rFonts w:ascii="Times New Roman" w:hAnsi="Times New Roman" w:cs="Times New Roman"/>
        </w:rPr>
        <w:t>kW</w:t>
      </w:r>
      <w:r w:rsidRPr="00F06DE2">
        <w:rPr>
          <w:rFonts w:ascii="Times New Roman" w:hAnsi="Times New Roman" w:cs="Times New Roman"/>
          <w:lang w:val="ru-RU"/>
        </w:rPr>
        <w:t xml:space="preserve"> за никел-кадмиеви акумулатори;</w:t>
      </w:r>
    </w:p>
    <w:p w14:paraId="36C9FFF7" w14:textId="77777777" w:rsidR="00271FA2" w:rsidRPr="00F06DE2" w:rsidRDefault="00D35E51">
      <w:pPr>
        <w:pStyle w:val="ESlet"/>
        <w:spacing w:before="0"/>
        <w:ind w:left="851" w:hanging="283"/>
        <w:jc w:val="both"/>
        <w:rPr>
          <w:rFonts w:ascii="Times New Roman" w:eastAsia="Calibri" w:hAnsi="Times New Roman" w:cs="Times New Roman"/>
          <w:lang w:val="ru-RU"/>
        </w:rPr>
      </w:pPr>
      <w:r w:rsidRPr="00F06DE2">
        <w:rPr>
          <w:rFonts w:ascii="Times New Roman" w:hAnsi="Times New Roman" w:cs="Times New Roman"/>
          <w:lang w:val="ru-RU"/>
        </w:rPr>
        <w:t xml:space="preserve">б) 3,0 </w:t>
      </w:r>
      <w:r w:rsidRPr="00F06DE2">
        <w:rPr>
          <w:rFonts w:ascii="Times New Roman" w:hAnsi="Times New Roman" w:cs="Times New Roman"/>
        </w:rPr>
        <w:t>kW</w:t>
      </w:r>
      <w:r w:rsidRPr="00F06DE2">
        <w:rPr>
          <w:rFonts w:ascii="Times New Roman" w:hAnsi="Times New Roman" w:cs="Times New Roman"/>
          <w:lang w:val="ru-RU"/>
        </w:rPr>
        <w:t xml:space="preserve"> за оловни акумулатори.</w:t>
      </w:r>
    </w:p>
    <w:p w14:paraId="7E6D7088"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 xml:space="preserve">Въздухът трябва да влиза откъм пода и да се изпуска през тавана, така че да се осигури пълното изхвърляне на газовете. </w:t>
      </w:r>
    </w:p>
    <w:p w14:paraId="47830E63" w14:textId="77777777" w:rsidR="00271FA2" w:rsidRPr="00F06DE2" w:rsidRDefault="00D35E51" w:rsidP="00B95947">
      <w:pPr>
        <w:pStyle w:val="ESchpar"/>
        <w:jc w:val="both"/>
        <w:rPr>
          <w:rFonts w:ascii="Times New Roman" w:eastAsia="Calibri" w:hAnsi="Times New Roman" w:cs="Times New Roman"/>
          <w:lang w:val="ru-RU"/>
        </w:rPr>
      </w:pPr>
      <w:r w:rsidRPr="00F06DE2">
        <w:rPr>
          <w:rFonts w:ascii="Times New Roman" w:hAnsi="Times New Roman" w:cs="Times New Roman"/>
          <w:lang w:val="ru-RU"/>
        </w:rPr>
        <w:t>Вентилационните тръби не трябва да съдържат устройства, които възпрепятстват въздушния поток като спирачни вентили.</w:t>
      </w:r>
    </w:p>
    <w:p w14:paraId="09CBC4E9" w14:textId="77777777" w:rsidR="00271FA2" w:rsidRPr="00F06DE2" w:rsidRDefault="00D35E51" w:rsidP="00B95947">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Необходимият дебит на въздуха (</w:t>
      </w:r>
      <m:oMath>
        <m:r>
          <w:rPr>
            <w:rFonts w:ascii="Cambria Math" w:hAnsi="Cambria Math" w:cs="Times New Roman"/>
          </w:rPr>
          <m:t>Q</m:t>
        </m:r>
      </m:oMath>
      <w:r w:rsidRPr="00F06DE2">
        <w:rPr>
          <w:rFonts w:ascii="Times New Roman" w:hAnsi="Times New Roman" w:cs="Times New Roman"/>
          <w:lang w:val="ru-RU"/>
        </w:rPr>
        <w:t>) се изчислява по следната формула:</w:t>
      </w:r>
    </w:p>
    <w:p w14:paraId="694DC30F" w14:textId="77777777" w:rsidR="00271FA2" w:rsidRPr="00F06DE2" w:rsidRDefault="00D35E51" w:rsidP="00B95947">
      <w:pPr>
        <w:pStyle w:val="ESch"/>
        <w:ind w:firstLine="0"/>
        <w:jc w:val="both"/>
        <w:rPr>
          <w:rFonts w:ascii="Times New Roman" w:hAnsi="Times New Roman" w:cs="Times New Roman"/>
          <w:lang w:val="ru-RU"/>
        </w:rPr>
      </w:pPr>
      <m:oMath>
        <m:r>
          <w:rPr>
            <w:rFonts w:ascii="Cambria Math" w:hAnsi="Cambria Math" w:cs="Times New Roman"/>
          </w:rPr>
          <m:t>Q</m:t>
        </m:r>
        <m:r>
          <w:rPr>
            <w:rFonts w:ascii="Cambria Math" w:hAnsi="Cambria Math" w:cs="Times New Roman"/>
            <w:lang w:val="ru-RU"/>
          </w:rPr>
          <m:t>=</m:t>
        </m:r>
        <m:r>
          <w:rPr>
            <w:rFonts w:ascii="Cambria Math" w:hAnsi="Cambria Math" w:cs="Times New Roman"/>
          </w:rPr>
          <m:t>f</m:t>
        </m:r>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gas</m:t>
            </m:r>
          </m:sub>
        </m:sSub>
        <m:r>
          <w:rPr>
            <w:rFonts w:ascii="Cambria Math" w:hAnsi="Cambria Math" w:cs="Times New Roman"/>
            <w:lang w:val="ru-RU"/>
          </w:rPr>
          <m:t xml:space="preserve"> ∙</m:t>
        </m:r>
        <m:r>
          <w:rPr>
            <w:rFonts w:ascii="Cambria Math" w:hAnsi="Cambria Math" w:cs="Times New Roman"/>
          </w:rPr>
          <m:t>n</m:t>
        </m:r>
        <m:r>
          <w:rPr>
            <w:rFonts w:ascii="Cambria Math" w:hAnsi="Cambria Math" w:cs="Times New Roman"/>
            <w:lang w:val="ru-RU"/>
          </w:rPr>
          <m:t xml:space="preserve">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lang w:val="ru-RU"/>
                  </w:rPr>
                  <m:t>3</m:t>
                </m:r>
              </m:sup>
            </m:sSup>
            <m:r>
              <w:rPr>
                <w:rFonts w:ascii="Cambria Math" w:hAnsi="Cambria Math" w:cs="Times New Roman"/>
                <w:lang w:val="ru-RU"/>
              </w:rPr>
              <m:t>/h</m:t>
            </m:r>
          </m:e>
        </m:d>
      </m:oMath>
      <w:r w:rsidRPr="00F06DE2">
        <w:rPr>
          <w:rFonts w:ascii="Times New Roman" w:hAnsi="Times New Roman" w:cs="Times New Roman"/>
          <w:lang w:val="ru-RU"/>
        </w:rPr>
        <w:t>.</w:t>
      </w:r>
    </w:p>
    <w:p w14:paraId="6740FAED" w14:textId="77777777" w:rsidR="00271FA2" w:rsidRPr="00F06DE2" w:rsidRDefault="00D35E51" w:rsidP="00B95947">
      <w:pPr>
        <w:pStyle w:val="ESchpar"/>
        <w:jc w:val="both"/>
        <w:rPr>
          <w:rFonts w:ascii="Times New Roman" w:eastAsia="Calibri" w:hAnsi="Times New Roman" w:cs="Times New Roman"/>
          <w:lang w:val="ru-RU"/>
        </w:rPr>
      </w:pPr>
      <w:r w:rsidRPr="00F06DE2">
        <w:rPr>
          <w:rFonts w:ascii="Times New Roman" w:hAnsi="Times New Roman" w:cs="Times New Roman"/>
          <w:lang w:val="ru-RU"/>
        </w:rPr>
        <w:t>където</w:t>
      </w:r>
    </w:p>
    <w:p w14:paraId="42E74631" w14:textId="77777777" w:rsidR="00271FA2" w:rsidRPr="00F06DE2" w:rsidRDefault="00D35E51" w:rsidP="00B95947">
      <w:pPr>
        <w:pStyle w:val="ESlet"/>
        <w:tabs>
          <w:tab w:val="left" w:pos="1701"/>
        </w:tabs>
        <w:spacing w:before="0"/>
        <w:ind w:left="567" w:firstLine="709"/>
        <w:jc w:val="both"/>
        <w:rPr>
          <w:rFonts w:ascii="Times New Roman" w:eastAsia="Calibri" w:hAnsi="Times New Roman" w:cs="Times New Roman"/>
          <w:lang w:val="ru-RU"/>
        </w:rPr>
      </w:pPr>
      <m:oMath>
        <m:r>
          <w:rPr>
            <w:rFonts w:ascii="Cambria Math" w:eastAsia="Calibri" w:hAnsi="Cambria Math" w:cs="Times New Roman"/>
          </w:rPr>
          <m:t>f</m:t>
        </m:r>
      </m:oMath>
      <w:r w:rsidRPr="00F06DE2">
        <w:rPr>
          <w:rFonts w:ascii="Times New Roman" w:hAnsi="Times New Roman" w:cs="Times New Roman"/>
          <w:lang w:val="ru-RU"/>
        </w:rPr>
        <w:t xml:space="preserve"> =</w:t>
      </w:r>
      <w:r w:rsidRPr="00F06DE2">
        <w:rPr>
          <w:rFonts w:ascii="Times New Roman" w:hAnsi="Times New Roman" w:cs="Times New Roman"/>
          <w:lang w:val="ru-RU"/>
        </w:rPr>
        <w:tab/>
        <w:t>0,11 за акумулатори с течни електролити;</w:t>
      </w:r>
    </w:p>
    <w:p w14:paraId="3D7C9573" w14:textId="77777777" w:rsidR="00271FA2" w:rsidRPr="00F06DE2" w:rsidRDefault="00D35E51" w:rsidP="00B95947">
      <w:pPr>
        <w:pStyle w:val="ESlet"/>
        <w:tabs>
          <w:tab w:val="left" w:pos="1701"/>
        </w:tabs>
        <w:spacing w:before="0"/>
        <w:ind w:left="567" w:firstLine="709"/>
        <w:jc w:val="both"/>
        <w:rPr>
          <w:rFonts w:ascii="Times New Roman" w:eastAsia="Calibri" w:hAnsi="Times New Roman" w:cs="Times New Roman"/>
          <w:lang w:val="ru-RU"/>
        </w:rPr>
      </w:pPr>
      <m:oMath>
        <m:r>
          <w:rPr>
            <w:rFonts w:ascii="Cambria Math" w:eastAsia="Calibri" w:hAnsi="Cambria Math" w:cs="Times New Roman"/>
          </w:rPr>
          <m:t>f</m:t>
        </m:r>
      </m:oMath>
      <w:r w:rsidRPr="00F06DE2">
        <w:rPr>
          <w:rFonts w:ascii="Times New Roman" w:hAnsi="Times New Roman" w:cs="Times New Roman"/>
          <w:lang w:val="ru-RU"/>
        </w:rPr>
        <w:t xml:space="preserve"> =</w:t>
      </w:r>
      <w:r w:rsidRPr="00F06DE2">
        <w:rPr>
          <w:rFonts w:ascii="Times New Roman" w:hAnsi="Times New Roman" w:cs="Times New Roman"/>
          <w:lang w:val="ru-RU"/>
        </w:rPr>
        <w:tab/>
        <w:t>0,03 за акумулатори със затворени клетки (електролит блокиран в гел, нетъкани влакнести материали);</w:t>
      </w:r>
    </w:p>
    <w:p w14:paraId="6F7E39D6" w14:textId="77777777" w:rsidR="00271FA2" w:rsidRPr="00F06DE2" w:rsidRDefault="002C62EC" w:rsidP="00B95947">
      <w:pPr>
        <w:pStyle w:val="ESlet"/>
        <w:tabs>
          <w:tab w:val="left" w:pos="1701"/>
        </w:tabs>
        <w:spacing w:before="0"/>
        <w:ind w:left="567" w:firstLine="709"/>
        <w:jc w:val="both"/>
        <w:rPr>
          <w:rFonts w:ascii="Times New Roman" w:eastAsia="Calibri" w:hAnsi="Times New Roman" w:cs="Times New Roman"/>
          <w:lang w:val="ru-RU"/>
        </w:rPr>
      </w:p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gas</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¼ от максималния ток на зарядното устройство в А;</w:t>
      </w:r>
    </w:p>
    <w:p w14:paraId="587DB782" w14:textId="77777777" w:rsidR="00271FA2" w:rsidRPr="00F06DE2" w:rsidRDefault="00D35E51" w:rsidP="00B95947">
      <w:pPr>
        <w:pStyle w:val="ESlet"/>
        <w:tabs>
          <w:tab w:val="left" w:pos="1701"/>
        </w:tabs>
        <w:spacing w:before="0"/>
        <w:ind w:left="567" w:firstLine="709"/>
        <w:jc w:val="both"/>
        <w:rPr>
          <w:rFonts w:ascii="Times New Roman" w:eastAsia="Calibri" w:hAnsi="Times New Roman" w:cs="Times New Roman"/>
          <w:lang w:val="ru-RU"/>
        </w:rPr>
      </w:pPr>
      <m:oMath>
        <m:r>
          <w:rPr>
            <w:rFonts w:ascii="Cambria Math" w:eastAsia="Calibri" w:hAnsi="Cambria Math" w:cs="Times New Roman"/>
          </w:rPr>
          <m:t>n</m:t>
        </m:r>
      </m:oMath>
      <w:r w:rsidRPr="00F06DE2">
        <w:rPr>
          <w:rFonts w:ascii="Times New Roman" w:hAnsi="Times New Roman" w:cs="Times New Roman"/>
          <w:lang w:val="ru-RU"/>
        </w:rPr>
        <w:t xml:space="preserve"> =</w:t>
      </w:r>
      <w:r w:rsidRPr="00F06DE2">
        <w:rPr>
          <w:rFonts w:ascii="Times New Roman" w:hAnsi="Times New Roman" w:cs="Times New Roman"/>
          <w:lang w:val="ru-RU"/>
        </w:rPr>
        <w:tab/>
        <w:t>брой клетки в серийна верига.</w:t>
      </w:r>
    </w:p>
    <w:p w14:paraId="69F5DE4D" w14:textId="77777777" w:rsidR="00271FA2" w:rsidRPr="00F06DE2" w:rsidRDefault="00D35E51" w:rsidP="00B95947">
      <w:pPr>
        <w:pStyle w:val="ESchpar"/>
        <w:jc w:val="both"/>
        <w:rPr>
          <w:rFonts w:ascii="Times New Roman" w:eastAsia="Calibri" w:hAnsi="Times New Roman" w:cs="Times New Roman"/>
          <w:lang w:val="ru-RU"/>
        </w:rPr>
      </w:pPr>
      <w:r w:rsidRPr="00F06DE2">
        <w:rPr>
          <w:rFonts w:ascii="Times New Roman" w:hAnsi="Times New Roman" w:cs="Times New Roman"/>
          <w:lang w:val="ru-RU"/>
        </w:rPr>
        <w:t>При буферните акумулатори на бордовата мрежа, други методи на изчисление, които отчитат характерната крива на зареждане на зарядните устройства, могат да бъдат приети от контролния орган, при условие че тези методи се основават на разпоредбите на признати класификационни организации или на съответните стандарти.</w:t>
      </w:r>
    </w:p>
    <w:p w14:paraId="185E1547" w14:textId="77777777" w:rsidR="00271FA2" w:rsidRPr="00F06DE2" w:rsidRDefault="00D35E51" w:rsidP="00B95947">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При естествено проветряване напречното сечение на въздуховодите трябва да е достатъчно за необходимия дебит на въздуха въз основа на скорост на въздушния поток от 0,5</w:t>
      </w:r>
      <w:r w:rsidRPr="00F06DE2">
        <w:rPr>
          <w:rFonts w:ascii="Times New Roman" w:hAnsi="Times New Roman" w:cs="Times New Roman"/>
        </w:rPr>
        <w:t> m</w:t>
      </w:r>
      <w:r w:rsidRPr="00F06DE2">
        <w:rPr>
          <w:rFonts w:ascii="Times New Roman" w:hAnsi="Times New Roman" w:cs="Times New Roman"/>
          <w:lang w:val="ru-RU"/>
        </w:rPr>
        <w:t>/</w:t>
      </w:r>
      <w:r w:rsidRPr="00F06DE2">
        <w:rPr>
          <w:rFonts w:ascii="Times New Roman" w:hAnsi="Times New Roman" w:cs="Times New Roman"/>
        </w:rPr>
        <w:t>s</w:t>
      </w:r>
      <w:r w:rsidRPr="00F06DE2">
        <w:rPr>
          <w:rFonts w:ascii="Times New Roman" w:hAnsi="Times New Roman" w:cs="Times New Roman"/>
          <w:lang w:val="ru-RU"/>
        </w:rPr>
        <w:t>. Напречното сечение обаче трябва да има минимална стойност:</w:t>
      </w:r>
    </w:p>
    <w:p w14:paraId="6C630E72"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80 </w:t>
      </w:r>
      <w:r w:rsidRPr="00F06DE2">
        <w:rPr>
          <w:rFonts w:ascii="Times New Roman" w:hAnsi="Times New Roman" w:cs="Times New Roman"/>
        </w:rPr>
        <w:t>cm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за оловни акумулатори;</w:t>
      </w:r>
    </w:p>
    <w:p w14:paraId="2F2E1A76" w14:textId="210B866E" w:rsidR="00271FA2" w:rsidRPr="00F06DE2" w:rsidRDefault="00B95947" w:rsidP="00B95947">
      <w:pPr>
        <w:pStyle w:val="ESlet"/>
        <w:tabs>
          <w:tab w:val="left" w:pos="567"/>
        </w:tabs>
        <w:spacing w:before="0"/>
        <w:ind w:left="567" w:hanging="426"/>
        <w:rPr>
          <w:rFonts w:ascii="Times New Roman" w:eastAsia="Calibri" w:hAnsi="Times New Roman" w:cs="Times New Roman"/>
          <w:lang w:val="ru-RU"/>
        </w:rPr>
      </w:pPr>
      <w:r w:rsidRPr="00F06DE2">
        <w:rPr>
          <w:rFonts w:ascii="Times New Roman" w:hAnsi="Times New Roman" w:cs="Times New Roman"/>
          <w:lang w:val="ru-RU"/>
        </w:rPr>
        <w:tab/>
      </w:r>
      <w:r w:rsidR="00D35E51" w:rsidRPr="00F06DE2">
        <w:rPr>
          <w:rFonts w:ascii="Times New Roman" w:hAnsi="Times New Roman" w:cs="Times New Roman"/>
          <w:lang w:val="ru-RU"/>
        </w:rPr>
        <w:t xml:space="preserve">б) 120 </w:t>
      </w:r>
      <w:r w:rsidR="00D35E51" w:rsidRPr="00F06DE2">
        <w:rPr>
          <w:rFonts w:ascii="Times New Roman" w:hAnsi="Times New Roman" w:cs="Times New Roman"/>
        </w:rPr>
        <w:t>cm</w:t>
      </w:r>
      <w:r w:rsidR="00D35E51" w:rsidRPr="00F06DE2">
        <w:rPr>
          <w:rFonts w:ascii="Times New Roman" w:hAnsi="Times New Roman" w:cs="Times New Roman"/>
          <w:vertAlign w:val="superscript"/>
          <w:lang w:val="ru-RU"/>
        </w:rPr>
        <w:t>2</w:t>
      </w:r>
      <w:r w:rsidR="00D35E51" w:rsidRPr="00F06DE2">
        <w:rPr>
          <w:rFonts w:ascii="Times New Roman" w:hAnsi="Times New Roman" w:cs="Times New Roman"/>
          <w:lang w:val="ru-RU"/>
        </w:rPr>
        <w:t xml:space="preserve"> за никел-кадмиеви акумулатори.</w:t>
      </w:r>
    </w:p>
    <w:p w14:paraId="16B9DBD7" w14:textId="77777777" w:rsidR="00271FA2" w:rsidRPr="00F06DE2" w:rsidRDefault="00D35E51" w:rsidP="00B95947">
      <w:pPr>
        <w:pStyle w:val="ESch"/>
        <w:jc w:val="both"/>
        <w:rPr>
          <w:rFonts w:ascii="Times New Roman" w:eastAsia="Calibri"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При механично проветряване, трябва да бъде осигурен вентилатор, за предпочитане с изпускащо устройство; неговият мотор трябва да е извън газовия поток и въздушния поток. Вентилаторите трябва да бъдат с конструкция, която да изключва произвеждането на искри поради допир между лопатката и обшивката на вентилатора и да не допускат електростатични заряди.</w:t>
      </w:r>
    </w:p>
    <w:p w14:paraId="733378B5" w14:textId="77777777" w:rsidR="00271FA2" w:rsidRPr="00F06DE2" w:rsidRDefault="00D35E51" w:rsidP="00B95947">
      <w:pPr>
        <w:spacing w:line="240" w:lineRule="atLeast"/>
        <w:ind w:left="567" w:hanging="567"/>
        <w:jc w:val="both"/>
        <w:rPr>
          <w:rFonts w:ascii="Times New Roman" w:eastAsia="Calibri"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 xml:space="preserve">На вратите или на капаците на помещенията, шкафовете или кутиите с акумулатори се поставя символ за „Забранено паленето на огън и пушенето“ съгласно фигура 2 от Приложение 4, с диаметър от най-малко 10 </w:t>
      </w:r>
      <w:r w:rsidRPr="00F06DE2">
        <w:rPr>
          <w:rFonts w:ascii="Times New Roman" w:hAnsi="Times New Roman" w:cs="Times New Roman"/>
        </w:rPr>
        <w:t>cm</w:t>
      </w:r>
      <w:r w:rsidRPr="00F06DE2">
        <w:rPr>
          <w:rFonts w:ascii="Times New Roman" w:hAnsi="Times New Roman" w:cs="Times New Roman"/>
          <w:lang w:val="ru-RU"/>
        </w:rPr>
        <w:t>.</w:t>
      </w:r>
    </w:p>
    <w:p w14:paraId="18AA9B09" w14:textId="77777777" w:rsidR="00271FA2" w:rsidRPr="00F06DE2" w:rsidRDefault="00D35E51" w:rsidP="00B95947">
      <w:pPr>
        <w:pStyle w:val="ESch"/>
        <w:jc w:val="both"/>
        <w:rPr>
          <w:rFonts w:ascii="Times New Roman" w:eastAsia="Calibri" w:hAnsi="Times New Roman" w:cs="Times New Roman"/>
          <w:lang w:val="ru-RU"/>
        </w:rPr>
      </w:pPr>
      <w:r w:rsidRPr="00F06DE2">
        <w:rPr>
          <w:rFonts w:ascii="Times New Roman" w:hAnsi="Times New Roman" w:cs="Times New Roman"/>
          <w:lang w:val="ru-RU"/>
        </w:rPr>
        <w:t>12.</w:t>
      </w:r>
      <w:r w:rsidRPr="00F06DE2">
        <w:rPr>
          <w:rFonts w:ascii="Times New Roman" w:hAnsi="Times New Roman" w:cs="Times New Roman"/>
          <w:lang w:val="ru-RU"/>
        </w:rPr>
        <w:tab/>
        <w:t>Зарядните устройства трябва по принцип да бъдат проектирани, така че разредените акумулатори да могат да бъдат заредени в рамките на максимум 15 часа на 80 % от техния номинален капацитет, без да се превишава токът на максималната допустима скорост на зареждане.</w:t>
      </w:r>
    </w:p>
    <w:p w14:paraId="640A75AB" w14:textId="77777777" w:rsidR="00271FA2" w:rsidRPr="00F06DE2" w:rsidRDefault="00D35E51" w:rsidP="00B95947">
      <w:pPr>
        <w:pStyle w:val="ESch"/>
        <w:jc w:val="both"/>
        <w:rPr>
          <w:rFonts w:ascii="Times New Roman" w:eastAsia="Calibri" w:hAnsi="Times New Roman" w:cs="Times New Roman"/>
          <w:lang w:val="ru-RU"/>
        </w:rPr>
      </w:pPr>
      <w:r w:rsidRPr="00F06DE2">
        <w:rPr>
          <w:rFonts w:ascii="Times New Roman" w:hAnsi="Times New Roman" w:cs="Times New Roman"/>
          <w:lang w:val="ru-RU"/>
        </w:rPr>
        <w:t>13.</w:t>
      </w:r>
      <w:r w:rsidRPr="00F06DE2">
        <w:rPr>
          <w:rFonts w:ascii="Times New Roman" w:hAnsi="Times New Roman" w:cs="Times New Roman"/>
          <w:lang w:val="ru-RU"/>
        </w:rPr>
        <w:tab/>
        <w:t>Трябва да се използват само автоматични зарядни устройства, които съответстват на характеристиките на зареждане на вида акумулатор.</w:t>
      </w:r>
    </w:p>
    <w:p w14:paraId="00511351" w14:textId="4D45575A" w:rsidR="00271FA2" w:rsidRPr="00F06DE2" w:rsidRDefault="00D35E51" w:rsidP="00B95947">
      <w:pPr>
        <w:spacing w:line="240" w:lineRule="atLeast"/>
        <w:ind w:left="495" w:hangingChars="225" w:hanging="495"/>
        <w:jc w:val="both"/>
        <w:rPr>
          <w:rFonts w:ascii="Times New Roman" w:hAnsi="Times New Roman" w:cs="Times New Roman"/>
          <w:lang w:val="ru-RU"/>
        </w:rPr>
      </w:pPr>
      <w:r w:rsidRPr="00F06DE2">
        <w:rPr>
          <w:rFonts w:ascii="Times New Roman" w:hAnsi="Times New Roman" w:cs="Times New Roman"/>
          <w:lang w:val="ru-RU"/>
        </w:rPr>
        <w:t>14.</w:t>
      </w:r>
      <w:r w:rsidRPr="00F06DE2">
        <w:rPr>
          <w:rFonts w:ascii="Times New Roman" w:hAnsi="Times New Roman" w:cs="Times New Roman"/>
          <w:lang w:val="ru-RU"/>
        </w:rPr>
        <w:tab/>
        <w:t>Когато едновременно със зареждането се захранва потребителско оборудване, при избора на зарядно устройство трябва да бъдат взети под внимание изискванията за мощност на потребителското оборудване. Трябва да бъде поддържано напрежение на зареждане с максимална стойност до 120</w:t>
      </w:r>
      <w:r w:rsidRPr="00F06DE2">
        <w:rPr>
          <w:rFonts w:ascii="Times New Roman" w:hAnsi="Times New Roman" w:cs="Times New Roman"/>
        </w:rPr>
        <w:t> </w:t>
      </w:r>
      <w:r w:rsidRPr="00F06DE2">
        <w:rPr>
          <w:rFonts w:ascii="Times New Roman" w:hAnsi="Times New Roman" w:cs="Times New Roman"/>
          <w:lang w:val="ru-RU"/>
        </w:rPr>
        <w:t>% от номиналното напрежение, независимо от настоящите изисквания към мощността. Цифрата се увеличава до 125 % за тяговите акумулатори.</w:t>
      </w:r>
    </w:p>
    <w:p w14:paraId="415EB702" w14:textId="0A368167" w:rsidR="00271FA2" w:rsidRPr="00F06DE2" w:rsidRDefault="00D35E51" w:rsidP="00B95947">
      <w:pPr>
        <w:spacing w:line="240" w:lineRule="atLeast"/>
        <w:ind w:leftChars="1" w:left="519" w:hangingChars="235" w:hanging="517"/>
        <w:jc w:val="both"/>
        <w:rPr>
          <w:rFonts w:ascii="Times New Roman" w:hAnsi="Times New Roman" w:cs="Times New Roman"/>
          <w:strike/>
          <w:lang w:val="ru-RU"/>
        </w:rPr>
      </w:pPr>
      <w:r w:rsidRPr="00F06DE2">
        <w:rPr>
          <w:rFonts w:ascii="Times New Roman" w:hAnsi="Times New Roman" w:cs="Times New Roman"/>
          <w:lang w:val="ru-RU"/>
        </w:rPr>
        <w:lastRenderedPageBreak/>
        <w:t>15.</w:t>
      </w:r>
      <w:r w:rsidRPr="00F06DE2">
        <w:rPr>
          <w:rFonts w:ascii="Times New Roman" w:hAnsi="Times New Roman" w:cs="Times New Roman"/>
          <w:lang w:val="ru-RU"/>
        </w:rPr>
        <w:tab/>
      </w:r>
      <w:r w:rsidR="009D39F6" w:rsidRPr="00F06DE2">
        <w:rPr>
          <w:rFonts w:ascii="Times New Roman" w:hAnsi="Times New Roman" w:cs="Times New Roman"/>
          <w:lang w:val="ru-RU"/>
        </w:rPr>
        <w:t xml:space="preserve">Изискванията на европейски стандарт </w:t>
      </w:r>
      <w:r w:rsidR="009D39F6" w:rsidRPr="00F06DE2">
        <w:rPr>
          <w:rFonts w:ascii="Times New Roman" w:hAnsi="Times New Roman" w:cs="Times New Roman"/>
        </w:rPr>
        <w:t>EN</w:t>
      </w:r>
      <w:r w:rsidR="009D39F6" w:rsidRPr="00F06DE2">
        <w:rPr>
          <w:rFonts w:ascii="Times New Roman" w:hAnsi="Times New Roman" w:cs="Times New Roman"/>
          <w:lang w:val="ru-RU"/>
        </w:rPr>
        <w:t xml:space="preserve"> 62619 : 2022 и </w:t>
      </w:r>
      <w:r w:rsidR="009D39F6" w:rsidRPr="00F06DE2">
        <w:rPr>
          <w:rFonts w:ascii="Times New Roman" w:hAnsi="Times New Roman" w:cs="Times New Roman"/>
        </w:rPr>
        <w:t>EN</w:t>
      </w:r>
      <w:r w:rsidR="009D39F6" w:rsidRPr="00F06DE2">
        <w:rPr>
          <w:rFonts w:ascii="Times New Roman" w:hAnsi="Times New Roman" w:cs="Times New Roman"/>
          <w:lang w:val="ru-RU"/>
        </w:rPr>
        <w:t xml:space="preserve"> 62620:2023 се прилагат за </w:t>
      </w:r>
      <w:r w:rsidR="00B95947" w:rsidRPr="00F06DE2">
        <w:rPr>
          <w:rFonts w:ascii="Times New Roman" w:hAnsi="Times New Roman" w:cs="Times New Roman"/>
          <w:lang w:val="ru-RU"/>
        </w:rPr>
        <w:t xml:space="preserve"> </w:t>
      </w:r>
      <w:r w:rsidR="009D39F6" w:rsidRPr="00F06DE2">
        <w:rPr>
          <w:rFonts w:ascii="Times New Roman" w:hAnsi="Times New Roman" w:cs="Times New Roman"/>
          <w:lang w:val="ru-RU"/>
        </w:rPr>
        <w:t>литиево-йонни акумулатори.</w:t>
      </w:r>
    </w:p>
    <w:p w14:paraId="699FA47D" w14:textId="77777777" w:rsidR="00271FA2" w:rsidRPr="00F06DE2" w:rsidRDefault="00D35E51" w:rsidP="00B95947">
      <w:pPr>
        <w:pStyle w:val="ESch"/>
        <w:jc w:val="both"/>
        <w:rPr>
          <w:rFonts w:ascii="Times New Roman" w:eastAsia="Calibri" w:hAnsi="Times New Roman" w:cs="Times New Roman"/>
          <w:lang w:val="ru-RU"/>
        </w:rPr>
      </w:pPr>
      <w:r w:rsidRPr="00F06DE2">
        <w:rPr>
          <w:rFonts w:ascii="Times New Roman" w:hAnsi="Times New Roman" w:cs="Times New Roman"/>
          <w:lang w:val="ru-RU"/>
        </w:rPr>
        <w:t>16.</w:t>
      </w:r>
      <w:r w:rsidRPr="00F06DE2">
        <w:rPr>
          <w:rFonts w:ascii="Times New Roman" w:hAnsi="Times New Roman" w:cs="Times New Roman"/>
          <w:lang w:val="ru-RU"/>
        </w:rPr>
        <w:tab/>
        <w:t>Трябва да се използват системи за управление на акумулатори с цел следене на акумулаторите, ако това е възможно. Литиево-йонните акумулатори трябва да бъдат оборудвани с такива системи.</w:t>
      </w:r>
    </w:p>
    <w:p w14:paraId="2C7632B1" w14:textId="77777777" w:rsidR="00271FA2" w:rsidRPr="00F06DE2" w:rsidRDefault="00D35E51" w:rsidP="00B95947">
      <w:pPr>
        <w:pStyle w:val="ESchpar"/>
        <w:rPr>
          <w:rFonts w:ascii="Times New Roman" w:eastAsia="Calibri" w:hAnsi="Times New Roman" w:cs="Times New Roman"/>
          <w:lang w:val="ru-RU"/>
        </w:rPr>
      </w:pPr>
      <w:r w:rsidRPr="00F06DE2">
        <w:rPr>
          <w:rFonts w:ascii="Times New Roman" w:hAnsi="Times New Roman" w:cs="Times New Roman"/>
          <w:lang w:val="ru-RU"/>
        </w:rPr>
        <w:t>Тези системи включват като минимум следните функционални възможности:</w:t>
      </w:r>
    </w:p>
    <w:p w14:paraId="4D837DA0" w14:textId="77777777" w:rsidR="00271FA2" w:rsidRPr="00F06DE2" w:rsidRDefault="00D35E51" w:rsidP="00B95947">
      <w:pPr>
        <w:pStyle w:val="ESlet"/>
        <w:numPr>
          <w:ilvl w:val="0"/>
          <w:numId w:val="15"/>
        </w:numP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защита на клетки (късо съединение, външна, вътрешна, ток на претоварване, дълбоко изпускане и др.);</w:t>
      </w:r>
    </w:p>
    <w:p w14:paraId="48774E59"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контрол на зареждането, при условие че това не става с помощта на зарядното устройство;</w:t>
      </w:r>
    </w:p>
    <w:p w14:paraId="24058367"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управление на товара;</w:t>
      </w:r>
    </w:p>
    <w:p w14:paraId="028EBC72"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определяне на нивото на зареждане;</w:t>
      </w:r>
    </w:p>
    <w:p w14:paraId="38E01378"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балансиране на клетките;</w:t>
      </w:r>
    </w:p>
    <w:p w14:paraId="0757A2F7"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 контрол на температурата;</w:t>
      </w:r>
    </w:p>
    <w:p w14:paraId="481382F8"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зависимост от използването, ако е възможно, те трябва да включват още следните функционални възможности:</w:t>
      </w:r>
    </w:p>
    <w:p w14:paraId="2F944880"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ж) определяне на остаряването, остатъчния капацитет, вътрешно съпротивление и т.н.;</w:t>
      </w:r>
    </w:p>
    <w:p w14:paraId="66AE1942"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з) комуникация (напр. с инвертори и контролни прибори);</w:t>
      </w:r>
    </w:p>
    <w:p w14:paraId="400BF31C"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и) проверка на автентичността и идентификация;</w:t>
      </w:r>
    </w:p>
    <w:p w14:paraId="257A55DC"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й) история.</w:t>
      </w:r>
    </w:p>
    <w:p w14:paraId="613CA6D8" w14:textId="77777777" w:rsidR="00271FA2" w:rsidRPr="00F06DE2" w:rsidRDefault="00D35E51" w:rsidP="00B95947">
      <w:pPr>
        <w:spacing w:line="240" w:lineRule="atLeast"/>
        <w:ind w:leftChars="-42" w:left="425" w:right="60" w:hangingChars="235" w:hanging="517"/>
        <w:jc w:val="both"/>
        <w:rPr>
          <w:rFonts w:ascii="Times New Roman" w:hAnsi="Times New Roman" w:cs="Times New Roman"/>
          <w:lang w:val="ru-RU"/>
        </w:rPr>
      </w:pPr>
      <w:r w:rsidRPr="00F06DE2">
        <w:rPr>
          <w:rFonts w:ascii="Times New Roman" w:hAnsi="Times New Roman" w:cs="Times New Roman"/>
          <w:lang w:val="ru-RU"/>
        </w:rPr>
        <w:t>17.</w:t>
      </w:r>
      <w:r w:rsidRPr="00F06DE2">
        <w:rPr>
          <w:rFonts w:ascii="Times New Roman" w:hAnsi="Times New Roman" w:cs="Times New Roman"/>
          <w:lang w:val="ru-RU"/>
        </w:rPr>
        <w:tab/>
        <w:t>Помещенията, в които се съхраняват литиево-йонни акумулатори, трябва да отговарят на следните изисквания:</w:t>
      </w:r>
    </w:p>
    <w:p w14:paraId="6ED9A912" w14:textId="77777777" w:rsidR="00271FA2" w:rsidRPr="00F06DE2" w:rsidRDefault="00D35E51" w:rsidP="00B95947">
      <w:pPr>
        <w:numPr>
          <w:ilvl w:val="255"/>
          <w:numId w:val="0"/>
        </w:numPr>
        <w:spacing w:line="240" w:lineRule="atLeast"/>
        <w:ind w:left="567" w:right="60" w:hanging="104"/>
        <w:jc w:val="both"/>
        <w:rPr>
          <w:rFonts w:ascii="Times New Roman" w:hAnsi="Times New Roman" w:cs="Times New Roman"/>
          <w:lang w:val="ru-RU"/>
        </w:rPr>
      </w:pPr>
      <w:bookmarkStart w:id="171" w:name="_Toc491854089"/>
      <w:bookmarkStart w:id="172" w:name="_Toc535827530"/>
      <w:r w:rsidRPr="00F06DE2">
        <w:rPr>
          <w:rFonts w:ascii="Times New Roman" w:hAnsi="Times New Roman" w:cs="Times New Roman"/>
          <w:lang w:val="ru-RU"/>
        </w:rPr>
        <w:t>а) Тези помещения трябва да бъдат защитени срещу пожар на един или няколко литиево-йонни акумулатора въз основа на концепция за противопожарна защита, разработена от експерт:</w:t>
      </w:r>
    </w:p>
    <w:p w14:paraId="2F381A5D" w14:textId="77777777" w:rsidR="00271FA2" w:rsidRPr="00F06DE2" w:rsidRDefault="00D35E51" w:rsidP="00B95947">
      <w:pPr>
        <w:spacing w:line="240" w:lineRule="atLeast"/>
        <w:ind w:left="567" w:right="60"/>
        <w:jc w:val="both"/>
        <w:rPr>
          <w:rFonts w:ascii="Times New Roman" w:hAnsi="Times New Roman" w:cs="Times New Roman"/>
          <w:lang w:val="ru-RU"/>
        </w:rPr>
      </w:pPr>
      <w:r w:rsidRPr="00F06DE2">
        <w:rPr>
          <w:rFonts w:ascii="Times New Roman" w:hAnsi="Times New Roman" w:cs="Times New Roman"/>
          <w:lang w:val="ru-RU"/>
        </w:rPr>
        <w:t xml:space="preserve">аа) като се има предвид другото оборудване, разположено в същото помещение; </w:t>
      </w:r>
    </w:p>
    <w:p w14:paraId="16584152" w14:textId="77777777" w:rsidR="00271FA2" w:rsidRPr="00F06DE2" w:rsidRDefault="00D35E51" w:rsidP="00B95947">
      <w:pPr>
        <w:spacing w:line="240" w:lineRule="atLeast"/>
        <w:ind w:left="567" w:right="60"/>
        <w:jc w:val="both"/>
        <w:rPr>
          <w:rFonts w:ascii="Times New Roman" w:hAnsi="Times New Roman" w:cs="Times New Roman"/>
          <w:lang w:val="ru-RU"/>
        </w:rPr>
      </w:pPr>
      <w:r w:rsidRPr="00F06DE2">
        <w:rPr>
          <w:rFonts w:ascii="Times New Roman" w:hAnsi="Times New Roman" w:cs="Times New Roman"/>
          <w:lang w:val="ru-RU"/>
        </w:rPr>
        <w:t>бб) като се вземат предвид инструкциите на производителя на литиево-йонните акумулатори;</w:t>
      </w:r>
    </w:p>
    <w:p w14:paraId="52CEB0F8" w14:textId="77777777" w:rsidR="00271FA2" w:rsidRPr="00F06DE2" w:rsidRDefault="00D35E51" w:rsidP="00B95947">
      <w:pPr>
        <w:spacing w:line="240" w:lineRule="atLeast"/>
        <w:ind w:left="567"/>
        <w:rPr>
          <w:rFonts w:ascii="Times New Roman" w:hAnsi="Times New Roman" w:cs="Times New Roman"/>
          <w:lang w:val="ru-RU"/>
        </w:rPr>
      </w:pPr>
      <w:r w:rsidRPr="00F06DE2">
        <w:rPr>
          <w:rFonts w:ascii="Times New Roman" w:hAnsi="Times New Roman" w:cs="Times New Roman"/>
          <w:lang w:val="ru-RU"/>
        </w:rPr>
        <w:t xml:space="preserve">вв) включително разпоредби за алармени системи.  </w:t>
      </w:r>
    </w:p>
    <w:p w14:paraId="5E67ED30" w14:textId="77777777" w:rsidR="00271FA2" w:rsidRPr="00F06DE2" w:rsidRDefault="00D35E51" w:rsidP="00B95947">
      <w:pPr>
        <w:spacing w:line="240" w:lineRule="atLeast"/>
        <w:ind w:left="567" w:right="60"/>
        <w:jc w:val="both"/>
        <w:rPr>
          <w:rFonts w:ascii="Times New Roman" w:hAnsi="Times New Roman" w:cs="Times New Roman"/>
          <w:lang w:val="ru-RU"/>
        </w:rPr>
      </w:pPr>
      <w:r w:rsidRPr="00F06DE2">
        <w:rPr>
          <w:rFonts w:ascii="Times New Roman" w:hAnsi="Times New Roman" w:cs="Times New Roman"/>
          <w:lang w:val="ru-RU"/>
        </w:rPr>
        <w:t>Концепцията за противопожарна защита може да отпадне, ако литиево-йонните акумулатори са съхранени в огнеупорен корпус, който е оборудван;</w:t>
      </w:r>
    </w:p>
    <w:p w14:paraId="54033522" w14:textId="77777777" w:rsidR="00271FA2" w:rsidRPr="00F06DE2" w:rsidRDefault="00D35E51" w:rsidP="00B95947">
      <w:pPr>
        <w:spacing w:line="240" w:lineRule="atLeast"/>
        <w:ind w:left="567" w:right="60"/>
        <w:jc w:val="both"/>
        <w:rPr>
          <w:rFonts w:ascii="Times New Roman" w:hAnsi="Times New Roman" w:cs="Times New Roman"/>
          <w:lang w:val="ru-RU"/>
        </w:rPr>
      </w:pPr>
      <w:r w:rsidRPr="00F06DE2">
        <w:rPr>
          <w:rFonts w:ascii="Times New Roman" w:hAnsi="Times New Roman" w:cs="Times New Roman"/>
          <w:lang w:val="ru-RU"/>
        </w:rPr>
        <w:t xml:space="preserve">гг) с най-малко едно устройство за наблюдение (пожарен и термичен сензор); и </w:t>
      </w:r>
    </w:p>
    <w:p w14:paraId="1A1A4C5E" w14:textId="77777777" w:rsidR="00271FA2" w:rsidRPr="00F06DE2" w:rsidRDefault="00D35E51" w:rsidP="00B95947">
      <w:pPr>
        <w:spacing w:line="240" w:lineRule="atLeast"/>
        <w:ind w:left="567" w:right="60"/>
        <w:jc w:val="both"/>
        <w:rPr>
          <w:rFonts w:ascii="Times New Roman" w:hAnsi="Times New Roman" w:cs="Times New Roman"/>
          <w:lang w:val="ru-RU"/>
        </w:rPr>
      </w:pPr>
      <w:r w:rsidRPr="00F06DE2">
        <w:rPr>
          <w:rFonts w:ascii="Times New Roman" w:hAnsi="Times New Roman" w:cs="Times New Roman"/>
          <w:lang w:val="ru-RU"/>
        </w:rPr>
        <w:t>дд) чрез дерогация от член 13.06, с една подходяща неподвижна пожарогасителна инсталация за защита на обекта в съответствие с член 13.06.</w:t>
      </w:r>
    </w:p>
    <w:p w14:paraId="7DF08504" w14:textId="77777777" w:rsidR="00271FA2" w:rsidRPr="00F06DE2" w:rsidRDefault="00D35E51" w:rsidP="00B95947">
      <w:pPr>
        <w:spacing w:line="240" w:lineRule="atLeast"/>
        <w:ind w:left="567" w:right="60"/>
        <w:jc w:val="both"/>
        <w:rPr>
          <w:rFonts w:ascii="Times New Roman" w:hAnsi="Times New Roman" w:cs="Times New Roman"/>
          <w:lang w:val="ru-RU"/>
        </w:rPr>
      </w:pPr>
      <w:r w:rsidRPr="00F06DE2">
        <w:rPr>
          <w:rFonts w:ascii="Times New Roman" w:hAnsi="Times New Roman" w:cs="Times New Roman"/>
          <w:lang w:val="ru-RU"/>
        </w:rPr>
        <w:t xml:space="preserve">б) В случая, посочен в буква “а” първо изречение, тези помещения трябва да бъдат екранирани с прегради </w:t>
      </w:r>
      <w:r w:rsidRPr="00F06DE2">
        <w:rPr>
          <w:rFonts w:ascii="Times New Roman" w:hAnsi="Times New Roman" w:cs="Times New Roman"/>
        </w:rPr>
        <w:t>A</w:t>
      </w:r>
      <w:r w:rsidRPr="00F06DE2">
        <w:rPr>
          <w:rFonts w:ascii="Times New Roman" w:hAnsi="Times New Roman" w:cs="Times New Roman"/>
          <w:lang w:val="ru-RU"/>
        </w:rPr>
        <w:t>60;</w:t>
      </w:r>
    </w:p>
    <w:p w14:paraId="0F2BE69D" w14:textId="77777777" w:rsidR="00271FA2" w:rsidRPr="00F06DE2" w:rsidRDefault="00D35E51" w:rsidP="00B95947">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в) Тези помещения или литиево-йонните акумулатори, поставени в огнеупорен корпус, трябва да бъдат механично вентилирани до откритата палуба. Изпускателният отвор на вентилацията се разполага по такъв начин, че да не се застрашава безопасността на хората на борда. Тези изисквания не се прилагат, ако кумулативният капацитет на литиево-йонните акумулатори в помещението е под 20 </w:t>
      </w:r>
      <w:r w:rsidRPr="00F06DE2">
        <w:rPr>
          <w:rFonts w:ascii="Times New Roman" w:hAnsi="Times New Roman" w:cs="Times New Roman"/>
        </w:rPr>
        <w:t>kWh</w:t>
      </w:r>
      <w:r w:rsidRPr="00F06DE2">
        <w:rPr>
          <w:rFonts w:ascii="Times New Roman" w:hAnsi="Times New Roman" w:cs="Times New Roman"/>
          <w:lang w:val="ru-RU"/>
        </w:rPr>
        <w:t>.</w:t>
      </w:r>
    </w:p>
    <w:p w14:paraId="223AC7C4" w14:textId="6598E72D" w:rsidR="009D39F6" w:rsidRPr="00F06DE2" w:rsidRDefault="009D39F6" w:rsidP="00B95947">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 xml:space="preserve">18. </w:t>
      </w:r>
      <w:r w:rsidRPr="00F06DE2">
        <w:rPr>
          <w:rFonts w:ascii="Times New Roman" w:hAnsi="Times New Roman" w:cs="Times New Roman"/>
          <w:lang w:val="ru-RU"/>
        </w:rPr>
        <w:tab/>
        <w:t xml:space="preserve">Името на производителя, серийният номер, типът и датата на монтаж на литиево-йонните акумулатори се вписват в точка 52 от </w:t>
      </w:r>
      <w:r w:rsidR="005D18BA" w:rsidRPr="00F06DE2">
        <w:rPr>
          <w:rFonts w:ascii="Times New Roman" w:hAnsi="Times New Roman" w:cs="Times New Roman"/>
          <w:lang w:val="ru-RU"/>
        </w:rPr>
        <w:t>Корабното удостоверение  за вътрешно корабоплаване</w:t>
      </w:r>
      <w:r w:rsidR="00E0095E" w:rsidRPr="00F06DE2">
        <w:rPr>
          <w:rFonts w:ascii="Times New Roman" w:hAnsi="Times New Roman" w:cs="Times New Roman"/>
          <w:lang w:val="ru-RU"/>
        </w:rPr>
        <w:t xml:space="preserve"> </w:t>
      </w:r>
      <w:r w:rsidRPr="00F06DE2">
        <w:rPr>
          <w:rFonts w:ascii="Times New Roman" w:hAnsi="Times New Roman" w:cs="Times New Roman"/>
          <w:lang w:val="ru-RU"/>
        </w:rPr>
        <w:t>.</w:t>
      </w:r>
    </w:p>
    <w:p w14:paraId="440E5C8E" w14:textId="51FA5ED8" w:rsidR="00271FA2" w:rsidRPr="00F06DE2" w:rsidRDefault="009D39F6" w:rsidP="00B95947">
      <w:pPr>
        <w:ind w:left="567" w:hanging="567"/>
        <w:rPr>
          <w:rFonts w:ascii="Times New Roman" w:hAnsi="Times New Roman" w:cs="Times New Roman"/>
          <w:lang w:val="ru-RU"/>
        </w:rPr>
      </w:pPr>
      <w:r w:rsidRPr="00F06DE2">
        <w:rPr>
          <w:rFonts w:ascii="Times New Roman" w:hAnsi="Times New Roman" w:cs="Times New Roman"/>
          <w:lang w:val="ru-RU"/>
        </w:rPr>
        <w:lastRenderedPageBreak/>
        <w:t>19</w:t>
      </w:r>
      <w:r w:rsidR="00D35E51" w:rsidRPr="00F06DE2">
        <w:rPr>
          <w:rFonts w:ascii="Times New Roman" w:hAnsi="Times New Roman" w:cs="Times New Roman"/>
          <w:lang w:val="ru-RU"/>
        </w:rPr>
        <w:t>.</w:t>
      </w:r>
      <w:r w:rsidR="00D35E51" w:rsidRPr="00F06DE2">
        <w:rPr>
          <w:rFonts w:ascii="Times New Roman" w:hAnsi="Times New Roman" w:cs="Times New Roman"/>
          <w:lang w:val="ru-RU"/>
        </w:rPr>
        <w:tab/>
      </w:r>
      <w:r w:rsidR="00724CF4" w:rsidRPr="00F06DE2">
        <w:rPr>
          <w:rFonts w:ascii="Times New Roman" w:hAnsi="Times New Roman" w:cs="Times New Roman"/>
          <w:lang w:val="ru-RU"/>
        </w:rPr>
        <w:t xml:space="preserve">Изискванията на </w:t>
      </w:r>
      <w:r w:rsidR="005D18BA" w:rsidRPr="00F06DE2">
        <w:rPr>
          <w:rFonts w:ascii="Times New Roman" w:hAnsi="Times New Roman" w:cs="Times New Roman"/>
          <w:lang w:val="ru-RU"/>
        </w:rPr>
        <w:t>т.</w:t>
      </w:r>
      <w:r w:rsidR="00724CF4" w:rsidRPr="00F06DE2">
        <w:rPr>
          <w:rFonts w:ascii="Times New Roman" w:hAnsi="Times New Roman" w:cs="Times New Roman"/>
          <w:lang w:val="ru-RU"/>
        </w:rPr>
        <w:t xml:space="preserve">15, </w:t>
      </w:r>
      <w:r w:rsidR="00870794" w:rsidRPr="00F06DE2">
        <w:rPr>
          <w:rFonts w:ascii="Times New Roman" w:hAnsi="Times New Roman" w:cs="Times New Roman"/>
          <w:lang w:val="ru-RU"/>
        </w:rPr>
        <w:t>т.</w:t>
      </w:r>
      <w:r w:rsidR="00724CF4" w:rsidRPr="00F06DE2">
        <w:rPr>
          <w:rFonts w:ascii="Times New Roman" w:hAnsi="Times New Roman" w:cs="Times New Roman"/>
          <w:lang w:val="ru-RU"/>
        </w:rPr>
        <w:t>16</w:t>
      </w:r>
      <w:r w:rsidR="001F1717" w:rsidRPr="00F06DE2">
        <w:rPr>
          <w:rFonts w:ascii="Times New Roman" w:hAnsi="Times New Roman" w:cs="Times New Roman"/>
          <w:lang w:val="ru-RU"/>
        </w:rPr>
        <w:t>,</w:t>
      </w:r>
      <w:r w:rsidR="00724CF4" w:rsidRPr="00F06DE2">
        <w:rPr>
          <w:rFonts w:ascii="Times New Roman" w:hAnsi="Times New Roman" w:cs="Times New Roman"/>
          <w:lang w:val="ru-RU"/>
        </w:rPr>
        <w:t xml:space="preserve"> </w:t>
      </w:r>
      <w:r w:rsidR="00870794" w:rsidRPr="00F06DE2">
        <w:rPr>
          <w:rFonts w:ascii="Times New Roman" w:hAnsi="Times New Roman" w:cs="Times New Roman"/>
          <w:lang w:val="ru-RU"/>
        </w:rPr>
        <w:t>т.</w:t>
      </w:r>
      <w:r w:rsidR="00724CF4" w:rsidRPr="00F06DE2">
        <w:rPr>
          <w:rFonts w:ascii="Times New Roman" w:hAnsi="Times New Roman" w:cs="Times New Roman"/>
          <w:lang w:val="ru-RU"/>
        </w:rPr>
        <w:t xml:space="preserve">17 и </w:t>
      </w:r>
      <w:r w:rsidR="006D3CD8" w:rsidRPr="00F06DE2">
        <w:rPr>
          <w:rFonts w:ascii="Times New Roman" w:hAnsi="Times New Roman" w:cs="Times New Roman"/>
          <w:lang w:val="ru-RU"/>
        </w:rPr>
        <w:t>т.</w:t>
      </w:r>
      <w:r w:rsidR="00724CF4" w:rsidRPr="00F06DE2">
        <w:rPr>
          <w:rFonts w:ascii="Times New Roman" w:hAnsi="Times New Roman" w:cs="Times New Roman"/>
          <w:lang w:val="ru-RU"/>
        </w:rPr>
        <w:t xml:space="preserve">18 не се прилагат за акумулатори в мобилно оборудване или с мощност на зареждане по-малка от 0,2 </w:t>
      </w:r>
      <w:r w:rsidR="00724CF4" w:rsidRPr="00F06DE2">
        <w:rPr>
          <w:rFonts w:ascii="Times New Roman" w:hAnsi="Times New Roman" w:cs="Times New Roman"/>
        </w:rPr>
        <w:t>kW</w:t>
      </w:r>
      <w:r w:rsidR="00724CF4" w:rsidRPr="00F06DE2">
        <w:rPr>
          <w:rFonts w:ascii="Times New Roman" w:hAnsi="Times New Roman" w:cs="Times New Roman"/>
          <w:lang w:val="ru-RU"/>
        </w:rPr>
        <w:t>.</w:t>
      </w:r>
    </w:p>
    <w:p w14:paraId="76018FD2" w14:textId="40AFBF8C" w:rsidR="00271FA2" w:rsidRPr="00F06DE2" w:rsidRDefault="009D39F6" w:rsidP="00B95947">
      <w:pPr>
        <w:spacing w:line="240" w:lineRule="atLeast"/>
        <w:ind w:left="567" w:right="60" w:hanging="567"/>
        <w:jc w:val="both"/>
        <w:rPr>
          <w:rFonts w:ascii="Times New Roman" w:hAnsi="Times New Roman" w:cs="Times New Roman"/>
          <w:i/>
          <w:strike/>
          <w:lang w:val="ru-RU"/>
        </w:rPr>
      </w:pPr>
      <w:r w:rsidRPr="00F06DE2">
        <w:rPr>
          <w:rFonts w:ascii="Times New Roman" w:hAnsi="Times New Roman" w:cs="Times New Roman"/>
          <w:lang w:val="ru-RU"/>
        </w:rPr>
        <w:t>20</w:t>
      </w:r>
      <w:r w:rsidR="00D35E51" w:rsidRPr="00F06DE2">
        <w:rPr>
          <w:rFonts w:ascii="Times New Roman" w:hAnsi="Times New Roman" w:cs="Times New Roman"/>
          <w:lang w:val="ru-RU"/>
        </w:rPr>
        <w:t>.</w:t>
      </w:r>
      <w:r w:rsidR="00D35E51" w:rsidRPr="00F06DE2">
        <w:rPr>
          <w:rFonts w:ascii="Times New Roman" w:hAnsi="Times New Roman" w:cs="Times New Roman"/>
          <w:lang w:val="ru-RU"/>
        </w:rPr>
        <w:tab/>
      </w:r>
      <w:r w:rsidR="00724CF4" w:rsidRPr="00F06DE2">
        <w:rPr>
          <w:rFonts w:ascii="Times New Roman" w:hAnsi="Times New Roman" w:cs="Times New Roman"/>
          <w:lang w:val="ru-RU"/>
        </w:rPr>
        <w:t xml:space="preserve">За батерии, </w:t>
      </w:r>
      <w:r w:rsidR="005D18BA" w:rsidRPr="00F06DE2">
        <w:rPr>
          <w:rFonts w:ascii="Times New Roman" w:hAnsi="Times New Roman" w:cs="Times New Roman"/>
          <w:lang w:val="ru-RU"/>
        </w:rPr>
        <w:t>т.</w:t>
      </w:r>
      <w:r w:rsidR="00724CF4" w:rsidRPr="00F06DE2">
        <w:rPr>
          <w:rFonts w:ascii="Times New Roman" w:hAnsi="Times New Roman" w:cs="Times New Roman"/>
          <w:lang w:val="ru-RU"/>
        </w:rPr>
        <w:t xml:space="preserve">1 до </w:t>
      </w:r>
      <w:r w:rsidR="005D18BA" w:rsidRPr="00F06DE2">
        <w:rPr>
          <w:rFonts w:ascii="Times New Roman" w:hAnsi="Times New Roman" w:cs="Times New Roman"/>
          <w:lang w:val="ru-RU"/>
        </w:rPr>
        <w:t>т.</w:t>
      </w:r>
      <w:r w:rsidR="00724CF4" w:rsidRPr="00F06DE2">
        <w:rPr>
          <w:rFonts w:ascii="Times New Roman" w:hAnsi="Times New Roman" w:cs="Times New Roman"/>
          <w:lang w:val="ru-RU"/>
        </w:rPr>
        <w:t xml:space="preserve">12 и </w:t>
      </w:r>
      <w:r w:rsidR="005D18BA" w:rsidRPr="00F06DE2">
        <w:rPr>
          <w:rFonts w:ascii="Times New Roman" w:hAnsi="Times New Roman" w:cs="Times New Roman"/>
          <w:lang w:val="ru-RU"/>
        </w:rPr>
        <w:t>т.</w:t>
      </w:r>
      <w:r w:rsidR="00724CF4" w:rsidRPr="00F06DE2">
        <w:rPr>
          <w:rFonts w:ascii="Times New Roman" w:hAnsi="Times New Roman" w:cs="Times New Roman"/>
          <w:lang w:val="ru-RU"/>
        </w:rPr>
        <w:t xml:space="preserve">16 се прилагат </w:t>
      </w:r>
      <w:r w:rsidR="00724CF4" w:rsidRPr="00F06DE2">
        <w:rPr>
          <w:rFonts w:ascii="Times New Roman" w:hAnsi="Times New Roman" w:cs="Times New Roman"/>
        </w:rPr>
        <w:t>mutatis</w:t>
      </w:r>
      <w:r w:rsidR="00724CF4" w:rsidRPr="00F06DE2">
        <w:rPr>
          <w:rFonts w:ascii="Times New Roman" w:hAnsi="Times New Roman" w:cs="Times New Roman"/>
          <w:lang w:val="ru-RU"/>
        </w:rPr>
        <w:t xml:space="preserve"> </w:t>
      </w:r>
      <w:r w:rsidR="00724CF4" w:rsidRPr="00F06DE2">
        <w:rPr>
          <w:rFonts w:ascii="Times New Roman" w:hAnsi="Times New Roman" w:cs="Times New Roman"/>
        </w:rPr>
        <w:t>mutandis</w:t>
      </w:r>
      <w:r w:rsidR="00724CF4" w:rsidRPr="00F06DE2">
        <w:rPr>
          <w:rFonts w:ascii="Times New Roman" w:hAnsi="Times New Roman" w:cs="Times New Roman"/>
          <w:lang w:val="ru-RU"/>
        </w:rPr>
        <w:t>.</w:t>
      </w:r>
    </w:p>
    <w:p w14:paraId="3DFA88DA" w14:textId="77777777" w:rsidR="00B95947" w:rsidRPr="00F06DE2" w:rsidRDefault="00B95947">
      <w:pPr>
        <w:pStyle w:val="ES-Titre3"/>
        <w:spacing w:line="240" w:lineRule="atLeast"/>
        <w:rPr>
          <w:rFonts w:ascii="Times New Roman" w:hAnsi="Times New Roman" w:cs="Times New Roman"/>
          <w:sz w:val="24"/>
          <w:szCs w:val="24"/>
          <w:lang w:val="ru-RU"/>
        </w:rPr>
      </w:pPr>
    </w:p>
    <w:p w14:paraId="34F75C22" w14:textId="4E9B7C40"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10.12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Комутационна и пусковорегулираща апаратура</w:t>
      </w:r>
      <w:bookmarkEnd w:id="171"/>
      <w:bookmarkEnd w:id="172"/>
    </w:p>
    <w:p w14:paraId="10964D1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Разпределителни табла</w:t>
      </w:r>
    </w:p>
    <w:p w14:paraId="7118ECF5"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Оборудването, ключовете, предпазителите и инструментите на таблата трябва да бъдат подредени на видно място и достъпни за поддръжка и ремонт.</w:t>
      </w:r>
    </w:p>
    <w:p w14:paraId="64475F46" w14:textId="77777777" w:rsidR="00271FA2" w:rsidRPr="00F06DE2" w:rsidRDefault="00D35E51" w:rsidP="00B95947">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Терминалите за напрежение до 50 </w:t>
      </w:r>
      <w:r w:rsidRPr="00F06DE2">
        <w:rPr>
          <w:rFonts w:ascii="Times New Roman" w:hAnsi="Times New Roman" w:cs="Times New Roman"/>
        </w:rPr>
        <w:t>V</w:t>
      </w:r>
      <w:r w:rsidRPr="00F06DE2">
        <w:rPr>
          <w:rFonts w:ascii="Times New Roman" w:hAnsi="Times New Roman" w:cs="Times New Roman"/>
          <w:lang w:val="ru-RU"/>
        </w:rPr>
        <w:t xml:space="preserve"> и за напрежения над 50 </w:t>
      </w:r>
      <w:r w:rsidRPr="00F06DE2">
        <w:rPr>
          <w:rFonts w:ascii="Times New Roman" w:hAnsi="Times New Roman" w:cs="Times New Roman"/>
        </w:rPr>
        <w:t>V</w:t>
      </w:r>
      <w:r w:rsidRPr="00F06DE2">
        <w:rPr>
          <w:rFonts w:ascii="Times New Roman" w:hAnsi="Times New Roman" w:cs="Times New Roman"/>
          <w:lang w:val="ru-RU"/>
        </w:rPr>
        <w:t xml:space="preserve"> трябва да са разделени и съответно означени;</w:t>
      </w:r>
    </w:p>
    <w:p w14:paraId="211EEC67"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Табели с маркировка, указващи веригата, трябва да бъдат прикрепени към разпределителните табла за всички прекъсвачи и уреди.</w:t>
      </w:r>
    </w:p>
    <w:p w14:paraId="3A5FFB71" w14:textId="77777777" w:rsidR="00271FA2" w:rsidRPr="00F06DE2" w:rsidRDefault="00D35E51" w:rsidP="00B95947">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Номиналният ток и веригата трябва да бъдат посочени за предпазителите.</w:t>
      </w:r>
    </w:p>
    <w:p w14:paraId="0F3DF798"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в) Когато оборудване с работно напрежение над 50 </w:t>
      </w:r>
      <w:r w:rsidRPr="00F06DE2">
        <w:rPr>
          <w:rFonts w:ascii="Times New Roman" w:hAnsi="Times New Roman" w:cs="Times New Roman"/>
        </w:rPr>
        <w:t>V</w:t>
      </w:r>
      <w:r w:rsidRPr="00F06DE2">
        <w:rPr>
          <w:rFonts w:ascii="Times New Roman" w:hAnsi="Times New Roman" w:cs="Times New Roman"/>
          <w:lang w:val="ru-RU"/>
        </w:rPr>
        <w:t xml:space="preserve"> се монтира зад врати, тоководещите елементи на това оборудване трябва да са обезопасени против случаен допир, когато вратите са отворени;</w:t>
      </w:r>
    </w:p>
    <w:p w14:paraId="57503804"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Материалите, от които са направени разпределителните табла, трябва да са с достатъчна механична якост и трайност, да са забавящи горенето, самогасящи се и да не са хигроскопични;</w:t>
      </w:r>
    </w:p>
    <w:p w14:paraId="3B81DB54"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д) При ниско напрежение: предпазители с висок капацитет за предпазване от разрушаване са монтирани в разпределителни табла, </w:t>
      </w:r>
      <w:r w:rsidRPr="00F06DE2">
        <w:rPr>
          <w:rFonts w:ascii="Times New Roman" w:hAnsi="Times New Roman" w:cs="Times New Roman"/>
        </w:rPr>
        <w:t>a</w:t>
      </w:r>
      <w:r w:rsidRPr="00F06DE2">
        <w:rPr>
          <w:rFonts w:ascii="Times New Roman" w:hAnsi="Times New Roman" w:cs="Times New Roman"/>
          <w:lang w:val="ru-RU"/>
        </w:rPr>
        <w:t xml:space="preserve"> принадлежности и оборудване за физическа защита са на разположение за монтаж и изваждане на подобни патрони.</w:t>
      </w:r>
    </w:p>
    <w:p w14:paraId="7FC7F23D" w14:textId="635DA2E9" w:rsidR="00271FA2" w:rsidRPr="00F06DE2" w:rsidRDefault="00D35E51" w:rsidP="00B95947">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00B95947" w:rsidRPr="00F06DE2">
        <w:rPr>
          <w:rFonts w:ascii="Times New Roman" w:hAnsi="Times New Roman" w:cs="Times New Roman"/>
          <w:lang w:val="ru-RU"/>
        </w:rPr>
        <w:t xml:space="preserve"> </w:t>
      </w:r>
      <w:r w:rsidR="00B95947" w:rsidRPr="00F06DE2">
        <w:rPr>
          <w:rFonts w:ascii="Times New Roman" w:hAnsi="Times New Roman" w:cs="Times New Roman"/>
          <w:lang w:val="ru-RU"/>
        </w:rPr>
        <w:tab/>
      </w:r>
      <w:r w:rsidRPr="00F06DE2">
        <w:rPr>
          <w:rFonts w:ascii="Times New Roman" w:hAnsi="Times New Roman" w:cs="Times New Roman"/>
          <w:lang w:val="ru-RU"/>
        </w:rPr>
        <w:t>Прекъсвачи, предпазители</w:t>
      </w:r>
    </w:p>
    <w:p w14:paraId="34A50E5D"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Веригите на генератора и потребителско оборудване трябва да са защитени срещу къси съединения и ток на претоварване по всички незаземени проводници. За тази цел могат да бъдат използвани превключващи устройства, задействани при късо съединение и претоварване, или предпазители (с патрони). </w:t>
      </w:r>
    </w:p>
    <w:p w14:paraId="3B24D788" w14:textId="77777777" w:rsidR="00271FA2" w:rsidRPr="00F06DE2" w:rsidRDefault="00D35E51" w:rsidP="00B95947">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Веригите, захранващи рулевата система съгласно член 6.04, и техните управляващи вериги трябва да са защитени само срещу късо съединение. Когато прекъсвачът е топлинен, той се неутрализира или се настройва за не по-малко от двойния размер на номиналния ток;</w:t>
      </w:r>
    </w:p>
    <w:p w14:paraId="0F6D5CC4"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Изводите за потребителско оборудване от главното разпределително табло включват прекъсвач за натоварване или прекъсвач за номинален ток над 16 А;</w:t>
      </w:r>
    </w:p>
    <w:p w14:paraId="718C954E"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Потребителското оборудване, необходимо за задвижване на плавателния съд, за рулеви системи съгласно Глава 6, за индикатори за положението на руля, за системи за навигация или безопасност, както и потребителско оборудване с номинален ток над 16 А трябва да се захранват от отделни вериги;</w:t>
      </w:r>
    </w:p>
    <w:p w14:paraId="3948C3D4"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Веригите на потребителското оборудване, необходими за задвижване и маневриране на плавателния съд, се захранват направо от главното разпределително табло;</w:t>
      </w:r>
    </w:p>
    <w:p w14:paraId="378D6479"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Превключващите устройства се избират на база на номиналния ток, топлинната или динамичната издръжливост и изключвателната способност. Прекъсвачите едновременно изключват всички проводници под напрежение. Мястото на прекъсване трябва да бъде лесно за идентифициране;</w:t>
      </w:r>
    </w:p>
    <w:p w14:paraId="4654423C"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 Патроните трябва да бъдат закрити и стопяеми и следва да бъдат изработени от порцелан или еквивалентен материал. Трябва да е възможна замяната им без никаква опасност от контакт.</w:t>
      </w:r>
    </w:p>
    <w:p w14:paraId="297DCE31" w14:textId="77777777" w:rsidR="00271FA2" w:rsidRPr="00F06DE2" w:rsidRDefault="00D35E51" w:rsidP="00B95947">
      <w:pPr>
        <w:pStyle w:val="ESch"/>
        <w:jc w:val="both"/>
        <w:rPr>
          <w:rFonts w:ascii="Times New Roman" w:eastAsia="Calibri" w:hAnsi="Times New Roman" w:cs="Times New Roman"/>
          <w:lang w:val="ru-RU"/>
        </w:rPr>
      </w:pPr>
      <w:r w:rsidRPr="00F06DE2">
        <w:rPr>
          <w:rFonts w:ascii="Times New Roman" w:hAnsi="Times New Roman" w:cs="Times New Roman"/>
          <w:lang w:val="ru-RU"/>
        </w:rPr>
        <w:lastRenderedPageBreak/>
        <w:t>3.</w:t>
      </w:r>
      <w:r w:rsidRPr="00F06DE2">
        <w:rPr>
          <w:rFonts w:ascii="Times New Roman" w:hAnsi="Times New Roman" w:cs="Times New Roman"/>
          <w:lang w:val="ru-RU"/>
        </w:rPr>
        <w:tab/>
        <w:t>Измерващи и следящи устройства</w:t>
      </w:r>
    </w:p>
    <w:p w14:paraId="5A5BF1D6" w14:textId="77777777" w:rsidR="00271FA2" w:rsidRPr="00F06DE2" w:rsidRDefault="00D35E51" w:rsidP="00B9594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Веригите на генератора, акумулатора и разпределението трябва да бъдат оборудвани с уреди за измерване и следене, необходими за безопасна експлоатация на инсталацията;</w:t>
      </w:r>
    </w:p>
    <w:p w14:paraId="145975E3"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 Незаземени мрежи, където напрежението е над 50 </w:t>
      </w:r>
      <w:r w:rsidRPr="00F06DE2">
        <w:rPr>
          <w:rFonts w:ascii="Times New Roman" w:hAnsi="Times New Roman" w:cs="Times New Roman"/>
        </w:rPr>
        <w:t>V</w:t>
      </w:r>
      <w:r w:rsidRPr="00F06DE2">
        <w:rPr>
          <w:rFonts w:ascii="Times New Roman" w:hAnsi="Times New Roman" w:cs="Times New Roman"/>
          <w:lang w:val="ru-RU"/>
        </w:rPr>
        <w:t xml:space="preserve"> трябва да включват устройство за следене на изолацията, снабдено със светлинна и звукова сигнализация. В помощните инсталации, като управляващите вериги, устройството за следене на изолацията може да бъде пропуснато.</w:t>
      </w:r>
    </w:p>
    <w:p w14:paraId="470C4275" w14:textId="77777777" w:rsidR="00271FA2" w:rsidRPr="00F06DE2" w:rsidRDefault="00D35E51" w:rsidP="00B95947">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Поставяне на разпределителни табла:</w:t>
      </w:r>
    </w:p>
    <w:p w14:paraId="3C5E56CC"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Разпределителните табла се разполагат в достъпни и добре проветриви помещения, за да бъдат обезопасени срещу вода и механична повреда.</w:t>
      </w:r>
    </w:p>
    <w:p w14:paraId="0A34B737" w14:textId="77777777" w:rsidR="00271FA2" w:rsidRPr="00F06DE2" w:rsidRDefault="00D35E51" w:rsidP="00B95947">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Тръбите и въздуховодите се разполагат, така че при течове комутационната апаратура и пусковорегулиращата апаратура да не могат да бъдат повредени. Ако тръбите трябва задължително да бъдат монтирани близо до разпределителни табла, те не трябва да имат разглобяеми връзки в близост;</w:t>
      </w:r>
    </w:p>
    <w:p w14:paraId="23656A10" w14:textId="77777777" w:rsidR="00271FA2" w:rsidRPr="00F06DE2" w:rsidRDefault="00D35E51" w:rsidP="00B95947">
      <w:pPr>
        <w:pStyle w:val="ESlet"/>
        <w:tabs>
          <w:tab w:val="left" w:pos="567"/>
        </w:tabs>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Шкафовете и нишите в стените, където са монтирани незащитени прекъсвачи, следва да са от забавящ горенето материал или защитени с метална или друга незапалима обвивка;</w:t>
      </w:r>
    </w:p>
    <w:p w14:paraId="04A29A51" w14:textId="77777777" w:rsidR="00271FA2" w:rsidRPr="00F06DE2" w:rsidRDefault="00D35E51" w:rsidP="00B95947">
      <w:pPr>
        <w:pStyle w:val="ESlet"/>
        <w:tabs>
          <w:tab w:val="left" w:pos="567"/>
        </w:tabs>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Когато напрежението е над 50 </w:t>
      </w:r>
      <w:r w:rsidRPr="00F06DE2">
        <w:rPr>
          <w:rFonts w:ascii="Times New Roman" w:hAnsi="Times New Roman" w:cs="Times New Roman"/>
        </w:rPr>
        <w:t>V</w:t>
      </w:r>
      <w:r w:rsidRPr="00F06DE2">
        <w:rPr>
          <w:rFonts w:ascii="Times New Roman" w:hAnsi="Times New Roman" w:cs="Times New Roman"/>
          <w:lang w:val="ru-RU"/>
        </w:rPr>
        <w:t>, пред главното разпределително табло, където седи операторът, се поставят скари или изолиращи подложки.</w:t>
      </w:r>
    </w:p>
    <w:p w14:paraId="1FC63AD8" w14:textId="77777777" w:rsidR="00B95947" w:rsidRPr="00F06DE2" w:rsidRDefault="00B95947">
      <w:pPr>
        <w:pStyle w:val="ES-Titre3"/>
        <w:spacing w:line="240" w:lineRule="atLeast"/>
        <w:rPr>
          <w:rFonts w:ascii="Times New Roman" w:hAnsi="Times New Roman" w:cs="Times New Roman"/>
          <w:sz w:val="24"/>
          <w:szCs w:val="24"/>
          <w:lang w:val="ru-RU"/>
        </w:rPr>
      </w:pPr>
      <w:bookmarkStart w:id="173" w:name="_Toc535827531"/>
      <w:bookmarkStart w:id="174" w:name="_Toc491854090"/>
    </w:p>
    <w:p w14:paraId="6D06D93C" w14:textId="31518774"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10.13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Аварийни прекъсвачи</w:t>
      </w:r>
      <w:bookmarkEnd w:id="173"/>
      <w:bookmarkEnd w:id="174"/>
    </w:p>
    <w:p w14:paraId="3AC8BB66" w14:textId="77777777" w:rsidR="00271FA2" w:rsidRPr="00F06DE2" w:rsidRDefault="00D35E51" w:rsidP="00B95947">
      <w:pPr>
        <w:pStyle w:val="ESgauche"/>
        <w:tabs>
          <w:tab w:val="left" w:pos="567"/>
        </w:tabs>
        <w:jc w:val="both"/>
        <w:rPr>
          <w:rFonts w:ascii="Times New Roman" w:eastAsia="Calibri" w:hAnsi="Times New Roman" w:cs="Times New Roman"/>
          <w:lang w:val="ru-RU"/>
        </w:rPr>
      </w:pPr>
      <w:r w:rsidRPr="00F06DE2">
        <w:rPr>
          <w:rFonts w:ascii="Times New Roman" w:hAnsi="Times New Roman" w:cs="Times New Roman"/>
          <w:lang w:val="ru-RU"/>
        </w:rPr>
        <w:t>За маслени горелки, маслени помпи и помпи за гориво, сепаратори на масло и гориво и вентилатори на машинното отделение, аварийните прекъсвачи се монтират на централно място извън помещенията на оборудването.</w:t>
      </w:r>
    </w:p>
    <w:p w14:paraId="2CEC7687" w14:textId="77777777" w:rsidR="00B95947" w:rsidRPr="00F06DE2" w:rsidRDefault="00B95947">
      <w:pPr>
        <w:pStyle w:val="ES-Titre3"/>
        <w:spacing w:line="240" w:lineRule="atLeast"/>
        <w:rPr>
          <w:rFonts w:ascii="Times New Roman" w:hAnsi="Times New Roman" w:cs="Times New Roman"/>
          <w:sz w:val="24"/>
          <w:szCs w:val="24"/>
          <w:lang w:val="ru-RU"/>
        </w:rPr>
      </w:pPr>
      <w:bookmarkStart w:id="175" w:name="_Toc535827532"/>
      <w:bookmarkStart w:id="176" w:name="_Toc491854091"/>
    </w:p>
    <w:p w14:paraId="41CA0169" w14:textId="058A7D10"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10.14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Арматура за инсталации</w:t>
      </w:r>
      <w:bookmarkEnd w:id="175"/>
      <w:bookmarkEnd w:id="176"/>
    </w:p>
    <w:p w14:paraId="7DA4EC5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Кабелните кутии се оразмеряват в зависимост от свързваните кабели и трябва да съответстват на използваните видове кабели.</w:t>
      </w:r>
    </w:p>
    <w:p w14:paraId="3B0AAAB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Трябва да е невъзможно да бъдат объркани съединителните муфи за разпределителните вериги с различни напрежения или честоти.</w:t>
      </w:r>
    </w:p>
    <w:p w14:paraId="2344908B" w14:textId="65251256"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r>
      <w:r w:rsidR="000F7551" w:rsidRPr="00F06DE2">
        <w:rPr>
          <w:rFonts w:ascii="Times New Roman" w:hAnsi="Times New Roman" w:cs="Times New Roman"/>
          <w:lang w:val="ru-RU"/>
        </w:rPr>
        <w:t xml:space="preserve">Превключвателите трябва едновременно да превключват всички незаземени проводници във веригата. Въпреки това, еднополюсни превключватели в рамките на незаземени вериги се разрешават във вериги за осветление на жилища, с изключение на перални, , </w:t>
      </w:r>
      <w:r w:rsidR="00995676" w:rsidRPr="00F06DE2">
        <w:rPr>
          <w:rFonts w:ascii="Times New Roman" w:hAnsi="Times New Roman" w:cs="Times New Roman"/>
          <w:lang w:val="ru-RU"/>
        </w:rPr>
        <w:t xml:space="preserve">умивални </w:t>
      </w:r>
      <w:r w:rsidR="000F7551" w:rsidRPr="00F06DE2">
        <w:rPr>
          <w:rFonts w:ascii="Times New Roman" w:hAnsi="Times New Roman" w:cs="Times New Roman"/>
          <w:lang w:val="ru-RU"/>
        </w:rPr>
        <w:t>и други мокри помещения.</w:t>
      </w:r>
    </w:p>
    <w:p w14:paraId="1869D85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Когато токът превишава 16 А, трябва да има възможност да се блокират съединителните муфи с помощта на ключ по такъв начин, че съединителите да могат да се съединяват и разединяват само при изключено захранване.</w:t>
      </w:r>
    </w:p>
    <w:p w14:paraId="7DBC9A8A" w14:textId="77777777" w:rsidR="00B95947" w:rsidRPr="00F06DE2" w:rsidRDefault="00B95947">
      <w:pPr>
        <w:pStyle w:val="ES-Titre3"/>
        <w:spacing w:line="240" w:lineRule="atLeast"/>
        <w:rPr>
          <w:rFonts w:ascii="Times New Roman" w:hAnsi="Times New Roman" w:cs="Times New Roman"/>
          <w:sz w:val="24"/>
          <w:szCs w:val="24"/>
          <w:lang w:val="ru-RU"/>
        </w:rPr>
      </w:pPr>
      <w:bookmarkStart w:id="177" w:name="_Toc535827533"/>
      <w:bookmarkStart w:id="178" w:name="_Toc491854092"/>
    </w:p>
    <w:p w14:paraId="2F9D9C7C" w14:textId="723BDDE5"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10.15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Кабели, изолирани кабели и кабелни системи</w:t>
      </w:r>
      <w:bookmarkEnd w:id="177"/>
      <w:bookmarkEnd w:id="178"/>
    </w:p>
    <w:p w14:paraId="4C8905D5"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Кабелите трябва да бъдат забавящи горенето, самогасящи, водо- и маслоустойчиви.</w:t>
      </w:r>
    </w:p>
    <w:p w14:paraId="3FB18C7A"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В жилищните помещения контролният орган може да разреши използването на други видове кабели, при условие, че те са ефективно защитени, забавящи горенето или самогасящи се.</w:t>
      </w:r>
    </w:p>
    <w:p w14:paraId="196704D5"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lastRenderedPageBreak/>
        <w:t xml:space="preserve">За да се констатира, че електрическите кабели са забавящи горенето, </w:t>
      </w:r>
    </w:p>
    <w:p w14:paraId="2031110F" w14:textId="77777777" w:rsidR="00271FA2" w:rsidRPr="00F06DE2" w:rsidRDefault="00D35E51">
      <w:pPr>
        <w:pStyle w:val="ESlet"/>
        <w:numPr>
          <w:ilvl w:val="255"/>
          <w:numId w:val="0"/>
        </w:numPr>
        <w:spacing w:before="0"/>
        <w:ind w:leftChars="258" w:left="709" w:hangingChars="64" w:hanging="141"/>
        <w:jc w:val="both"/>
        <w:rPr>
          <w:rFonts w:ascii="Times New Roman" w:hAnsi="Times New Roman" w:cs="Times New Roman"/>
          <w:lang w:val="ru-RU"/>
        </w:rPr>
      </w:pPr>
      <w:r w:rsidRPr="00F06DE2">
        <w:rPr>
          <w:rFonts w:ascii="Times New Roman" w:hAnsi="Times New Roman" w:cs="Times New Roman"/>
          <w:lang w:val="ru-RU"/>
        </w:rPr>
        <w:t xml:space="preserve">а) разпоредбите на </w:t>
      </w:r>
      <w:r w:rsidRPr="00F06DE2">
        <w:rPr>
          <w:rFonts w:ascii="Times New Roman" w:hAnsi="Times New Roman" w:cs="Times New Roman"/>
        </w:rPr>
        <w:t>E</w:t>
      </w:r>
      <w:r w:rsidRPr="00F06DE2">
        <w:rPr>
          <w:rFonts w:ascii="Times New Roman" w:hAnsi="Times New Roman" w:cs="Times New Roman"/>
          <w:lang w:val="ru-RU"/>
        </w:rPr>
        <w:t xml:space="preserve">вропейските стандарти серии </w:t>
      </w:r>
      <w:r w:rsidRPr="00F06DE2">
        <w:rPr>
          <w:rFonts w:ascii="Times New Roman" w:hAnsi="Times New Roman" w:cs="Times New Roman"/>
        </w:rPr>
        <w:t>EN</w:t>
      </w:r>
      <w:r w:rsidRPr="00F06DE2">
        <w:rPr>
          <w:rFonts w:ascii="Times New Roman" w:hAnsi="Times New Roman" w:cs="Times New Roman"/>
          <w:lang w:val="ru-RU"/>
        </w:rPr>
        <w:t xml:space="preserve"> 60332:2020;</w:t>
      </w:r>
    </w:p>
    <w:p w14:paraId="15683056"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б) равностойни регламенти на една от държавите членки. </w:t>
      </w:r>
    </w:p>
    <w:p w14:paraId="59131C72"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трябва да бъдат спазени.</w:t>
      </w:r>
    </w:p>
    <w:p w14:paraId="4D372D03"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Проводниците на кабели, използвани за силови и осветителни вериги, трябва да са с напречно сечение минимум 1,5 </w:t>
      </w:r>
      <w:r w:rsidRPr="00F06DE2">
        <w:rPr>
          <w:rFonts w:ascii="Times New Roman" w:hAnsi="Times New Roman" w:cs="Times New Roman"/>
        </w:rPr>
        <w:t>mm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на проводник.</w:t>
      </w:r>
    </w:p>
    <w:p w14:paraId="58C69FA2"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Металната армировка, оплетка или броня на кабелите при нормални работни условия не трябва да се използва като проводник или за заземяване.</w:t>
      </w:r>
    </w:p>
    <w:p w14:paraId="56E6F7FF"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Металната оплетка и броня на кабелите в силови и осветителни инсталации се заземява поне в единия край.</w:t>
      </w:r>
    </w:p>
    <w:p w14:paraId="75C4CBE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Напречното сечение на кабелите трябва да съответства на крайната допустима максимална температура на кабелите (максимално допустим ток) и допустимия спад в напрежението. Такъв спад между главното разпределително табло и най-малко благоприятната точка на инсталацията не трябва да е повече от 5 % от номиналното напрежение за осветлението и повече от 7 % за силовите или отоплителните инсталации.</w:t>
      </w:r>
    </w:p>
    <w:p w14:paraId="19D01838"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Кабелите трябва да са защитени срещу механични повреди.</w:t>
      </w:r>
    </w:p>
    <w:p w14:paraId="5F3DDD01"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 xml:space="preserve">Кабелните връзки трябва да са защитени срещу механичен товар и натоварване на опън. </w:t>
      </w:r>
    </w:p>
    <w:p w14:paraId="63546633"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Когато кабелите преминават през прегради или палуби, механичната якост, водонепропускливостта и необходимите противопожарни свойства (например негорими, забавящи горенето, огнеустойчиви свойства) на въпросните прегради или палуби не трябва да се засягат от пробивите на тези кабели.</w:t>
      </w:r>
    </w:p>
    <w:p w14:paraId="37E18F8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Краищата и връзките на всички проводници трябва да бъдат проектирани по такъв начин, че първоначалните електрични, механични, противопожарни свойства (например негорими, забавящи горенето, огнеустойчиви свойства) на кабела да бъдат запазени. Това изискване се счита за изпълнено, ако краищата и връзките отговарят на:</w:t>
      </w:r>
    </w:p>
    <w:p w14:paraId="634B7E63" w14:textId="63CFA757" w:rsidR="00271FA2" w:rsidRPr="00F06DE2" w:rsidRDefault="00D35E51" w:rsidP="008A4AA3">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w:t>
      </w:r>
      <w:r w:rsidRPr="00F06DE2">
        <w:rPr>
          <w:rFonts w:ascii="Times New Roman" w:hAnsi="Times New Roman" w:cs="Times New Roman"/>
        </w:rPr>
        <w:t>M</w:t>
      </w:r>
      <w:r w:rsidRPr="00F06DE2">
        <w:rPr>
          <w:rFonts w:ascii="Times New Roman" w:hAnsi="Times New Roman" w:cs="Times New Roman"/>
          <w:lang w:val="ru-RU"/>
        </w:rPr>
        <w:t xml:space="preserve">еждународен стандарт </w:t>
      </w:r>
      <w:r w:rsidRPr="00F06DE2">
        <w:rPr>
          <w:rFonts w:ascii="Times New Roman" w:hAnsi="Times New Roman" w:cs="Times New Roman"/>
        </w:rPr>
        <w:t>IEC </w:t>
      </w:r>
      <w:r w:rsidRPr="00F06DE2">
        <w:rPr>
          <w:rFonts w:ascii="Times New Roman" w:hAnsi="Times New Roman" w:cs="Times New Roman"/>
          <w:lang w:val="ru-RU"/>
        </w:rPr>
        <w:t xml:space="preserve">60092-352:2005 номер 3.28 във връзка </w:t>
      </w:r>
      <w:r w:rsidR="00B95947" w:rsidRPr="00F06DE2">
        <w:rPr>
          <w:rFonts w:ascii="Times New Roman" w:hAnsi="Times New Roman" w:cs="Times New Roman"/>
          <w:lang w:val="ru-RU"/>
        </w:rPr>
        <w:t>с Приложение Г</w:t>
      </w:r>
      <w:r w:rsidR="008A4AA3" w:rsidRPr="00F06DE2">
        <w:rPr>
          <w:rFonts w:ascii="Times New Roman" w:hAnsi="Times New Roman" w:cs="Times New Roman"/>
          <w:lang w:val="ru-RU"/>
        </w:rPr>
        <w:t xml:space="preserve"> </w:t>
      </w:r>
      <w:r w:rsidRPr="00F06DE2">
        <w:rPr>
          <w:rFonts w:ascii="Times New Roman" w:hAnsi="Times New Roman" w:cs="Times New Roman"/>
          <w:lang w:val="ru-RU"/>
        </w:rPr>
        <w:t xml:space="preserve">към стандарта; или </w:t>
      </w:r>
    </w:p>
    <w:p w14:paraId="623C8816" w14:textId="77777777" w:rsidR="00271FA2" w:rsidRPr="00F06DE2" w:rsidRDefault="00D35E51" w:rsidP="00B95947">
      <w:pPr>
        <w:pStyle w:val="ESlet"/>
        <w:spacing w:before="0"/>
        <w:ind w:left="993" w:hanging="426"/>
        <w:jc w:val="both"/>
        <w:rPr>
          <w:rFonts w:ascii="Times New Roman" w:eastAsia="Calibri" w:hAnsi="Times New Roman" w:cs="Times New Roman"/>
          <w:lang w:val="ru-RU"/>
        </w:rPr>
      </w:pPr>
      <w:r w:rsidRPr="00F06DE2">
        <w:rPr>
          <w:rFonts w:ascii="Times New Roman" w:hAnsi="Times New Roman" w:cs="Times New Roman"/>
          <w:lang w:val="ru-RU"/>
        </w:rPr>
        <w:t>б) еквивалентен регламент или стандарт, признат от една от държавите членки.</w:t>
      </w:r>
    </w:p>
    <w:p w14:paraId="473D91F4" w14:textId="77777777" w:rsidR="00271FA2" w:rsidRPr="00F06DE2" w:rsidRDefault="00D35E51" w:rsidP="00B95947">
      <w:pPr>
        <w:pStyle w:val="ESlet"/>
        <w:spacing w:before="0"/>
        <w:ind w:left="993" w:hanging="426"/>
        <w:jc w:val="both"/>
        <w:rPr>
          <w:rFonts w:ascii="Times New Roman" w:eastAsia="Calibri" w:hAnsi="Times New Roman" w:cs="Times New Roman"/>
          <w:lang w:val="ru-RU"/>
        </w:rPr>
      </w:pPr>
      <w:r w:rsidRPr="00F06DE2">
        <w:rPr>
          <w:rFonts w:ascii="Times New Roman" w:hAnsi="Times New Roman" w:cs="Times New Roman"/>
          <w:lang w:val="ru-RU"/>
        </w:rPr>
        <w:t>Броят на кабелните връзки трябва да бъде сведен до минимум.</w:t>
      </w:r>
    </w:p>
    <w:p w14:paraId="20150EF1" w14:textId="77777777" w:rsidR="00271FA2" w:rsidRPr="00F06DE2" w:rsidRDefault="00D35E51" w:rsidP="00B95947">
      <w:pPr>
        <w:pStyle w:val="ESch"/>
        <w:ind w:firstLine="0"/>
        <w:jc w:val="both"/>
        <w:rPr>
          <w:rFonts w:ascii="Times New Roman" w:eastAsia="Calibri" w:hAnsi="Times New Roman" w:cs="Times New Roman"/>
          <w:lang w:val="ru-RU"/>
        </w:rPr>
      </w:pPr>
      <w:r w:rsidRPr="00F06DE2">
        <w:rPr>
          <w:rFonts w:ascii="Times New Roman" w:hAnsi="Times New Roman" w:cs="Times New Roman"/>
          <w:lang w:val="ru-RU"/>
        </w:rPr>
        <w:t xml:space="preserve">За поправката или замяната на кабели, изречение 1 се счита за изпълнено, ако кабелните връзки отговарят на </w:t>
      </w:r>
      <w:r w:rsidRPr="00F06DE2">
        <w:rPr>
          <w:rFonts w:ascii="Times New Roman" w:hAnsi="Times New Roman" w:cs="Times New Roman"/>
        </w:rPr>
        <w:t>M</w:t>
      </w:r>
      <w:r w:rsidRPr="00F06DE2">
        <w:rPr>
          <w:rFonts w:ascii="Times New Roman" w:hAnsi="Times New Roman" w:cs="Times New Roman"/>
          <w:lang w:val="ru-RU"/>
        </w:rPr>
        <w:t xml:space="preserve">еждународен стандарт </w:t>
      </w:r>
      <w:r w:rsidRPr="00F06DE2">
        <w:rPr>
          <w:rFonts w:ascii="Times New Roman" w:hAnsi="Times New Roman" w:cs="Times New Roman"/>
        </w:rPr>
        <w:t>IEC</w:t>
      </w:r>
      <w:r w:rsidRPr="00F06DE2">
        <w:rPr>
          <w:rFonts w:ascii="Times New Roman" w:hAnsi="Times New Roman" w:cs="Times New Roman"/>
          <w:lang w:val="ru-RU"/>
        </w:rPr>
        <w:t xml:space="preserve"> 60092-352:</w:t>
      </w:r>
      <w:r w:rsidRPr="00F06DE2">
        <w:rPr>
          <w:rFonts w:ascii="Times New Roman" w:hAnsi="Times New Roman" w:cs="Times New Roman"/>
        </w:rPr>
        <w:t> </w:t>
      </w:r>
      <w:r w:rsidRPr="00F06DE2">
        <w:rPr>
          <w:rFonts w:ascii="Times New Roman" w:hAnsi="Times New Roman" w:cs="Times New Roman"/>
          <w:lang w:val="ru-RU"/>
        </w:rPr>
        <w:t>2005 номер 3.28 във връзка с Приложение Г към стандарта или правила, признати от държава членка като равностойни.</w:t>
      </w:r>
    </w:p>
    <w:p w14:paraId="62EAEA19"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Кабелите, свързани с издигащи се рулеви рубки, трябва да са достатъчно гъвкави и да са оборудвани с изолация с достатъчна гъвкавост при температури до — 20 °С, както и да са устойчиви на водна пара и други изпарения, ултравиолетови лъчи и озон.</w:t>
      </w:r>
    </w:p>
    <w:p w14:paraId="6923A3E9"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 xml:space="preserve">При изработването на отворите за преминаването на кабелния сноп противопожарните свойства на преградата не трябва да бъдат накърнявани. Това следва да се счита за изпълнено, ако кабелите отговарят на разпоредбите на </w:t>
      </w:r>
      <w:r w:rsidRPr="00F06DE2">
        <w:rPr>
          <w:rFonts w:ascii="Times New Roman" w:hAnsi="Times New Roman" w:cs="Times New Roman"/>
        </w:rPr>
        <w:t>E</w:t>
      </w:r>
      <w:r w:rsidRPr="00F06DE2">
        <w:rPr>
          <w:rFonts w:ascii="Times New Roman" w:hAnsi="Times New Roman" w:cs="Times New Roman"/>
          <w:lang w:val="ru-RU"/>
        </w:rPr>
        <w:t xml:space="preserve">вропейския стандарт </w:t>
      </w:r>
      <w:r w:rsidRPr="00F06DE2">
        <w:rPr>
          <w:rFonts w:ascii="Times New Roman" w:hAnsi="Times New Roman" w:cs="Times New Roman"/>
        </w:rPr>
        <w:t>EN</w:t>
      </w:r>
      <w:r w:rsidRPr="00F06DE2">
        <w:rPr>
          <w:rFonts w:ascii="Times New Roman" w:hAnsi="Times New Roman" w:cs="Times New Roman"/>
          <w:lang w:val="ru-RU"/>
        </w:rPr>
        <w:t xml:space="preserve"> 60332:2020., или на някое от правилата, признати като равностойни от държава членка. Ако случаят не е такъв, противопожарно оборудване трябва да бъде осигурено в отворите за дълги кабелни снопове (над 6 </w:t>
      </w:r>
      <w:r w:rsidRPr="00F06DE2">
        <w:rPr>
          <w:rFonts w:ascii="Times New Roman" w:hAnsi="Times New Roman" w:cs="Times New Roman"/>
        </w:rPr>
        <w:t>m</w:t>
      </w:r>
      <w:r w:rsidRPr="00F06DE2">
        <w:rPr>
          <w:rFonts w:ascii="Times New Roman" w:hAnsi="Times New Roman" w:cs="Times New Roman"/>
          <w:lang w:val="ru-RU"/>
        </w:rPr>
        <w:t xml:space="preserve"> вертикално и 14 </w:t>
      </w:r>
      <w:r w:rsidRPr="00F06DE2">
        <w:rPr>
          <w:rFonts w:ascii="Times New Roman" w:hAnsi="Times New Roman" w:cs="Times New Roman"/>
        </w:rPr>
        <w:t>m</w:t>
      </w:r>
      <w:r w:rsidRPr="00F06DE2">
        <w:rPr>
          <w:rFonts w:ascii="Times New Roman" w:hAnsi="Times New Roman" w:cs="Times New Roman"/>
          <w:lang w:val="ru-RU"/>
        </w:rPr>
        <w:t xml:space="preserve"> хоризонтално), ако кабелите не са напълно затворени от кабелни проводи.</w:t>
      </w:r>
    </w:p>
    <w:p w14:paraId="175411E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12.</w:t>
      </w:r>
      <w:r w:rsidRPr="00F06DE2">
        <w:rPr>
          <w:rFonts w:ascii="Times New Roman" w:hAnsi="Times New Roman" w:cs="Times New Roman"/>
          <w:lang w:val="ru-RU"/>
        </w:rPr>
        <w:tab/>
        <w:t>Кабелите от авариен източник на електроенергия до потребителско оборудване трябва да бъдат положени, доколкото е възможно, в безопасната зона.</w:t>
      </w:r>
    </w:p>
    <w:p w14:paraId="0F3F0F0E"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13.</w:t>
      </w:r>
      <w:r w:rsidRPr="00F06DE2">
        <w:rPr>
          <w:rFonts w:ascii="Times New Roman" w:hAnsi="Times New Roman" w:cs="Times New Roman"/>
          <w:lang w:val="ru-RU"/>
        </w:rPr>
        <w:tab/>
        <w:t xml:space="preserve">Преминаването на кабели в зони с високи температури на околната среда следва да се избягва. Ако това не е възможно: </w:t>
      </w:r>
    </w:p>
    <w:p w14:paraId="01313A8C" w14:textId="77777777" w:rsidR="00271FA2" w:rsidRPr="00F06DE2" w:rsidRDefault="00D35E51" w:rsidP="00B95947">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lastRenderedPageBreak/>
        <w:t>a</w:t>
      </w:r>
      <w:r w:rsidRPr="00F06DE2">
        <w:rPr>
          <w:rFonts w:ascii="Times New Roman" w:hAnsi="Times New Roman" w:cs="Times New Roman"/>
          <w:lang w:val="ru-RU"/>
        </w:rPr>
        <w:t xml:space="preserve">) температурата на околната среда трябва да бъде взета предвид при определяне на максимално допустимия ток; или </w:t>
      </w:r>
    </w:p>
    <w:p w14:paraId="589FB1A6"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б) кабелът трябва да бъде защитен от повреди от топлина и огън.</w:t>
      </w:r>
    </w:p>
    <w:p w14:paraId="016F0E4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14.</w:t>
      </w:r>
      <w:r w:rsidRPr="00F06DE2">
        <w:rPr>
          <w:rFonts w:ascii="Times New Roman" w:hAnsi="Times New Roman" w:cs="Times New Roman"/>
          <w:lang w:val="ru-RU"/>
        </w:rPr>
        <w:tab/>
        <w:t>Основните и аварийните захранващи кабели не трябва да преминават през едно и също помещение. Контролният орган може да отмени това изискване, ако:</w:t>
      </w:r>
    </w:p>
    <w:p w14:paraId="1C83074B" w14:textId="77777777" w:rsidR="00271FA2" w:rsidRPr="00F06DE2" w:rsidRDefault="00D35E51" w:rsidP="00B95947">
      <w:pPr>
        <w:pStyle w:val="ESlet"/>
        <w:spacing w:before="0"/>
        <w:ind w:left="567" w:firstLine="1"/>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основните и аварийните захранващи кабели са положени максимално раздалечени едни от други; или</w:t>
      </w:r>
    </w:p>
    <w:p w14:paraId="69BB91C0" w14:textId="77777777" w:rsidR="00271FA2" w:rsidRPr="00F06DE2" w:rsidRDefault="00D35E51" w:rsidP="00B95947">
      <w:pPr>
        <w:pStyle w:val="ESlet"/>
        <w:spacing w:before="0"/>
        <w:ind w:left="567" w:firstLine="1"/>
        <w:jc w:val="both"/>
        <w:rPr>
          <w:rFonts w:ascii="Times New Roman" w:eastAsia="Calibri" w:hAnsi="Times New Roman" w:cs="Times New Roman"/>
          <w:lang w:val="ru-RU"/>
        </w:rPr>
      </w:pPr>
      <w:r w:rsidRPr="00F06DE2">
        <w:rPr>
          <w:rFonts w:ascii="Times New Roman" w:hAnsi="Times New Roman" w:cs="Times New Roman"/>
          <w:lang w:val="ru-RU"/>
        </w:rPr>
        <w:t xml:space="preserve">б) кабелите за аварийно електрозахранване са огнеустойчиви. Това изискване се счита за изпълнено, ако те отговарят на изискванията на </w:t>
      </w:r>
      <w:r w:rsidRPr="00F06DE2">
        <w:rPr>
          <w:rFonts w:ascii="Times New Roman" w:hAnsi="Times New Roman" w:cs="Times New Roman"/>
        </w:rPr>
        <w:t>M</w:t>
      </w:r>
      <w:r w:rsidRPr="00F06DE2">
        <w:rPr>
          <w:rFonts w:ascii="Times New Roman" w:hAnsi="Times New Roman" w:cs="Times New Roman"/>
          <w:lang w:val="ru-RU"/>
        </w:rPr>
        <w:t xml:space="preserve">еждународни стандарти серии </w:t>
      </w:r>
      <w:r w:rsidRPr="00F06DE2">
        <w:rPr>
          <w:rFonts w:ascii="Times New Roman" w:hAnsi="Times New Roman" w:cs="Times New Roman"/>
        </w:rPr>
        <w:t>IEC</w:t>
      </w:r>
      <w:r w:rsidRPr="00F06DE2">
        <w:rPr>
          <w:rFonts w:ascii="Times New Roman" w:hAnsi="Times New Roman" w:cs="Times New Roman"/>
          <w:lang w:val="ru-RU"/>
        </w:rPr>
        <w:t xml:space="preserve"> 60331 във версията им в сила от 6 юли 2017 г.  </w:t>
      </w:r>
    </w:p>
    <w:p w14:paraId="427E3003" w14:textId="77777777" w:rsidR="00B95947" w:rsidRPr="00F06DE2" w:rsidRDefault="00B95947">
      <w:pPr>
        <w:pStyle w:val="ES-Titre3"/>
        <w:spacing w:line="240" w:lineRule="atLeast"/>
        <w:rPr>
          <w:rFonts w:ascii="Times New Roman" w:hAnsi="Times New Roman" w:cs="Times New Roman"/>
          <w:sz w:val="24"/>
          <w:szCs w:val="24"/>
          <w:lang w:val="ru-RU"/>
        </w:rPr>
      </w:pPr>
      <w:bookmarkStart w:id="179" w:name="_Toc535827534"/>
      <w:bookmarkStart w:id="180" w:name="_Toc491854093"/>
    </w:p>
    <w:p w14:paraId="5BD35F5B" w14:textId="59558FE5"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10.16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Осветителни инсталации</w:t>
      </w:r>
      <w:bookmarkEnd w:id="179"/>
      <w:bookmarkEnd w:id="180"/>
    </w:p>
    <w:p w14:paraId="56FE1E18"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Осветителните уреди се монтират, така че отделяната от тях топлина да не може да запали намиращите се в близост запалими предмети или части.</w:t>
      </w:r>
    </w:p>
    <w:p w14:paraId="6DD5581B"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Осветителните уреди на откритите палуби се монтират, така че да не затрудняват разпознаването на сигналните светлини.</w:t>
      </w:r>
    </w:p>
    <w:p w14:paraId="2CA1F866"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Когато два или повече осветителни уреда са монтирани в машинно или котелно отделение, те трябва да бъдат разпределени между поне две вериги. Това изискване се прилага и за помещения, в които са монтирани охладително оборудване, хидравлично оборудване или електрически двигатели.</w:t>
      </w:r>
    </w:p>
    <w:p w14:paraId="2D394529" w14:textId="77777777" w:rsidR="00FB3D71" w:rsidRPr="00F06DE2" w:rsidRDefault="00FB3D71">
      <w:pPr>
        <w:pStyle w:val="ES-Titre3"/>
        <w:spacing w:line="240" w:lineRule="atLeast"/>
        <w:rPr>
          <w:rFonts w:ascii="Times New Roman" w:hAnsi="Times New Roman" w:cs="Times New Roman"/>
          <w:sz w:val="24"/>
          <w:szCs w:val="24"/>
          <w:lang w:val="ru-RU"/>
        </w:rPr>
      </w:pPr>
      <w:bookmarkStart w:id="181" w:name="_Toc535827535"/>
      <w:bookmarkStart w:id="182" w:name="_Toc491854094"/>
    </w:p>
    <w:p w14:paraId="5CC32CCE" w14:textId="51E3DA44"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10.17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Навигационни светлини</w:t>
      </w:r>
      <w:bookmarkEnd w:id="181"/>
      <w:bookmarkEnd w:id="182"/>
    </w:p>
    <w:p w14:paraId="469ACD2D"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Разпределителните табла за навигационните светлини се монтират в рулевата рубка. Те се захранват от отделен кабел от главното разпределително табло или от две независими вторични разпределителни мрежи.</w:t>
      </w:r>
    </w:p>
    <w:p w14:paraId="3BBE183B"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Навигационните светлини се захранват, обезопасяват и контролират поотделно от разпределителното табло за навигационни светлини.</w:t>
      </w:r>
    </w:p>
    <w:p w14:paraId="06B463F5"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Повреда на устройството съгласно член 7.05, точка 2 не трябва да влошава работата на навигационните светлини, които то контролира.</w:t>
      </w:r>
    </w:p>
    <w:p w14:paraId="516B5D48"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 xml:space="preserve">4. </w:t>
      </w:r>
      <w:r w:rsidRPr="00F06DE2">
        <w:rPr>
          <w:rFonts w:ascii="Times New Roman" w:hAnsi="Times New Roman" w:cs="Times New Roman"/>
          <w:lang w:val="ru-RU"/>
        </w:rPr>
        <w:tab/>
        <w:t>Няколко сигнални светлини, образуващи функционална група и монтирани заедно на едно място, могат да бъдат захранвани, контролирани и следени съвместно. Устройството за следене трябва да е в състояние да установява повреда във всяка от тези светлини. Не трябва да бъде възможно двата светлинни източника да се използват едновременно като двойна светлина (две светлини, монтирани една над друга в една кутия).</w:t>
      </w:r>
    </w:p>
    <w:p w14:paraId="1EE6849A" w14:textId="77777777" w:rsidR="00271FA2" w:rsidRPr="00F06DE2" w:rsidRDefault="00D35E51">
      <w:pPr>
        <w:pStyle w:val="ES-Titre3"/>
        <w:spacing w:line="240" w:lineRule="atLeast"/>
        <w:rPr>
          <w:rFonts w:ascii="Times New Roman" w:hAnsi="Times New Roman" w:cs="Times New Roman"/>
          <w:sz w:val="24"/>
          <w:szCs w:val="24"/>
          <w:lang w:val="ru-RU"/>
        </w:rPr>
      </w:pPr>
      <w:bookmarkStart w:id="183" w:name="_Toc491854095"/>
      <w:bookmarkStart w:id="184" w:name="_Toc535827536"/>
      <w:r w:rsidRPr="00F06DE2">
        <w:rPr>
          <w:rFonts w:ascii="Times New Roman" w:hAnsi="Times New Roman" w:cs="Times New Roman"/>
          <w:sz w:val="24"/>
          <w:szCs w:val="24"/>
          <w:lang w:val="ru-RU"/>
        </w:rPr>
        <w:t>Член 10.18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Силова електроника</w:t>
      </w:r>
      <w:bookmarkEnd w:id="183"/>
      <w:bookmarkEnd w:id="184"/>
    </w:p>
    <w:p w14:paraId="0C79BB93"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Отделно устройство за изключване от електрическата мрежа трябва да бъде предоставено за всяка силова електронна система. Комбинацията бушон – превключвател следва да може да се използва за потребителско оборудване до номинален ток от 315 </w:t>
      </w:r>
      <w:r w:rsidRPr="00F06DE2">
        <w:rPr>
          <w:rFonts w:ascii="Times New Roman" w:hAnsi="Times New Roman" w:cs="Times New Roman"/>
        </w:rPr>
        <w:t>A</w:t>
      </w:r>
      <w:r w:rsidRPr="00F06DE2">
        <w:rPr>
          <w:rFonts w:ascii="Times New Roman" w:hAnsi="Times New Roman" w:cs="Times New Roman"/>
          <w:lang w:val="ru-RU"/>
        </w:rPr>
        <w:t>. Във всички други случаи от страна на мрежата трябва да е осигурен прекъсвач на веригата.</w:t>
      </w:r>
    </w:p>
    <w:p w14:paraId="351DAFA6"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Силовата електроника следва да бъде лесно достъпна за ремонт и измервания. Трябва да са осигурени подходящи устройства за проверка на функциите и откриване на неизправности.</w:t>
      </w:r>
    </w:p>
    <w:p w14:paraId="4EE8447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lastRenderedPageBreak/>
        <w:t>3.</w:t>
      </w:r>
      <w:r w:rsidRPr="00F06DE2">
        <w:rPr>
          <w:rFonts w:ascii="Times New Roman" w:hAnsi="Times New Roman" w:cs="Times New Roman"/>
          <w:lang w:val="ru-RU"/>
        </w:rPr>
        <w:tab/>
        <w:t>Електрониката за управление и сигнализация трябва да бъде галванично разделена от енергийните мрежи.</w:t>
      </w:r>
    </w:p>
    <w:p w14:paraId="3F96E51E"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Преобразуващи системи трябва да осигуряват безопасното функциониране, дори с най-големите допустими колебания в напрежението и честотата. При недопустимо високи колебания на честотата и/или напрежението на захранването, системата трябва да се изключва сама или да остава в безопасно експлоатационно състояние.</w:t>
      </w:r>
    </w:p>
    <w:p w14:paraId="1AE0749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Електрическите заряди в модулите следва да бъдат намалени до напрежение под 50 </w:t>
      </w:r>
      <w:r w:rsidRPr="00F06DE2">
        <w:rPr>
          <w:rFonts w:ascii="Times New Roman" w:hAnsi="Times New Roman" w:cs="Times New Roman"/>
        </w:rPr>
        <w:t>V</w:t>
      </w:r>
      <w:r w:rsidRPr="00F06DE2">
        <w:rPr>
          <w:rFonts w:ascii="Times New Roman" w:hAnsi="Times New Roman" w:cs="Times New Roman"/>
          <w:lang w:val="ru-RU"/>
        </w:rPr>
        <w:t xml:space="preserve"> за по-малко от 5 секунди след изключване от мрежата. Ако е необходимо повече време за разреждане, върху изделието трябва да бъде поставен предупредителен знак. </w:t>
      </w:r>
    </w:p>
    <w:p w14:paraId="2FE64DCE"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Отказът на сигналите за външен контрол не трябва да води до опасно състояние.</w:t>
      </w:r>
    </w:p>
    <w:p w14:paraId="3143961A"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Силовата електроника трябва да е проектирана и монтирана по такъв начин, че отказ на контролното напрежение да не води до опасности или повреда на системата или устройството, където силовата електроника е инсталирана, или на цялата система.</w:t>
      </w:r>
    </w:p>
    <w:p w14:paraId="08E23B1D"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В инсталация, необходима за задвижването и маневреността, както и за безопасността на екипажа, плавателното средство или товара, трябва да бъдат за компоненти за следене на отделни захранващи електронни модули и подсистеми за улесняване на откриването на грешки при поява на неизправност и предотвратяване на наличието на неразкрити грешки.</w:t>
      </w:r>
    </w:p>
    <w:p w14:paraId="6A028EF1"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Следенето на силовата електроника трябва надеждно да открива грешки и да не позволява те да остават неразкрити.</w:t>
      </w:r>
    </w:p>
    <w:p w14:paraId="7F32915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С изключение на компоненти, само устройства на силова електроника, преминали проверка на типа, могат да бъдат използвани. Ако силовата електроника има защитни устройства и устройства за следене, прегледът трябва да включва също доказателство за праговете за реагиране и координирано взаимодействие на цялото защитно оборудване и оборудване за следене. Протоколът за проверка на типа трябва да се включи в документацията на системата.</w:t>
      </w:r>
    </w:p>
    <w:p w14:paraId="47FFD84C" w14:textId="77777777" w:rsidR="00FB3D71" w:rsidRPr="00F06DE2" w:rsidRDefault="00FB3D71">
      <w:pPr>
        <w:pStyle w:val="ES-Titre3"/>
        <w:spacing w:line="240" w:lineRule="atLeast"/>
        <w:rPr>
          <w:rFonts w:ascii="Times New Roman" w:hAnsi="Times New Roman" w:cs="Times New Roman"/>
          <w:sz w:val="24"/>
          <w:szCs w:val="24"/>
          <w:lang w:val="ru-RU"/>
        </w:rPr>
      </w:pPr>
      <w:bookmarkStart w:id="185" w:name="_Toc535827537"/>
      <w:bookmarkStart w:id="186" w:name="_Toc491854096"/>
    </w:p>
    <w:p w14:paraId="51FF6025" w14:textId="54331D82"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10.19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Алармени системи и системи за безопасност за механични инсталации</w:t>
      </w:r>
      <w:bookmarkEnd w:id="185"/>
      <w:bookmarkEnd w:id="186"/>
    </w:p>
    <w:p w14:paraId="4D1850AB" w14:textId="77777777" w:rsidR="00271FA2" w:rsidRPr="00F06DE2" w:rsidRDefault="00D35E51" w:rsidP="00CC6361">
      <w:pPr>
        <w:pStyle w:val="ESgauche"/>
        <w:ind w:left="567"/>
        <w:jc w:val="both"/>
        <w:rPr>
          <w:rFonts w:ascii="Times New Roman" w:eastAsia="Calibri" w:hAnsi="Times New Roman" w:cs="Times New Roman"/>
          <w:lang w:val="ru-RU"/>
        </w:rPr>
      </w:pPr>
      <w:r w:rsidRPr="00F06DE2">
        <w:rPr>
          <w:rFonts w:ascii="Times New Roman" w:hAnsi="Times New Roman" w:cs="Times New Roman"/>
          <w:lang w:val="ru-RU"/>
        </w:rPr>
        <w:t>Алармените системи и системите за безопасност, използвани за следене и защита на механичното оборудване, трябва да отговарят на следните изисквания:</w:t>
      </w:r>
    </w:p>
    <w:p w14:paraId="38DB992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Алармени системи:</w:t>
      </w:r>
    </w:p>
    <w:p w14:paraId="5B8FF9C9"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Алармените системи трябва да бъдат конструирани, така че евентуална повреда в алармената система да не може да доведе до повреда на оборудването или инсталацията, които се наблюдават.</w:t>
      </w:r>
    </w:p>
    <w:p w14:paraId="3D6E74D4"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Двоичните предаващи устройства се проектират на принципа на тока на покой или принципа на проследяване на работното напрежение.</w:t>
      </w:r>
    </w:p>
    <w:p w14:paraId="5184B691"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Оптичните предупредителни сигнали трябва да останат видими, докато неизправността не бъде отстранена; алармената сигнализация с потвърждение трябва да е различима от алармена сигнализация без потвърждение. Всяка алармена сигнализация трябва да включва също звуков сигнал. Трябва да има възможност за изключване на звуковата алармена сигнализация. Изключването на един алармен сигнал не трябва да пречи на друг сигнал да се задейства по друга причина.</w:t>
      </w:r>
    </w:p>
    <w:p w14:paraId="6B5CB270"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Изключения са разрешени от контролния орган при алармени системи, които включват по-малко от пет точки на измерване.</w:t>
      </w:r>
    </w:p>
    <w:p w14:paraId="5E3663C1"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Системи за безопасност:</w:t>
      </w:r>
    </w:p>
    <w:p w14:paraId="679DC0B2"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lastRenderedPageBreak/>
        <w:t>Системите за безопасност се проектират, така че да спрат или забавят работата на засегнатото съоръжение или да подадат сигнал до станция с постоянен персонал да направи това преди да се е стигнало до критична ситуация.</w:t>
      </w:r>
    </w:p>
    <w:p w14:paraId="29F667D9"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Двоичните предаващи устройства се проектират съгласно принципа на работния ток.</w:t>
      </w:r>
    </w:p>
    <w:p w14:paraId="6CFABAFC"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Ако системите за безопасност не са проектирани да бъдат самоследящи се, тяхното функциониране трябва да може да бъде проверявано.</w:t>
      </w:r>
    </w:p>
    <w:p w14:paraId="69E43680" w14:textId="77777777" w:rsidR="00271FA2" w:rsidRPr="00F06DE2" w:rsidRDefault="00D35E51" w:rsidP="00110480">
      <w:pPr>
        <w:pStyle w:val="ESchpar"/>
        <w:spacing w:after="240"/>
        <w:jc w:val="both"/>
        <w:rPr>
          <w:rFonts w:ascii="Times New Roman" w:eastAsia="Calibri" w:hAnsi="Times New Roman" w:cs="Times New Roman"/>
          <w:lang w:val="ru-RU"/>
        </w:rPr>
      </w:pPr>
      <w:r w:rsidRPr="00F06DE2">
        <w:rPr>
          <w:rFonts w:ascii="Times New Roman" w:hAnsi="Times New Roman" w:cs="Times New Roman"/>
          <w:lang w:val="ru-RU"/>
        </w:rPr>
        <w:t>Системите за безопасност трябва да са независими от други системи.</w:t>
      </w:r>
    </w:p>
    <w:p w14:paraId="730BCE7F" w14:textId="13BBCDCD" w:rsidR="00271FA2" w:rsidRPr="00F06DE2" w:rsidRDefault="00D35E51">
      <w:pPr>
        <w:pStyle w:val="ES-Titre3"/>
        <w:spacing w:line="240" w:lineRule="atLeast"/>
        <w:rPr>
          <w:rFonts w:ascii="Times New Roman" w:hAnsi="Times New Roman" w:cs="Times New Roman"/>
          <w:sz w:val="24"/>
          <w:szCs w:val="24"/>
          <w:lang w:val="ru-RU"/>
        </w:rPr>
      </w:pPr>
      <w:bookmarkStart w:id="187" w:name="_Toc491854097"/>
      <w:bookmarkStart w:id="188" w:name="_Toc535827538"/>
      <w:r w:rsidRPr="00F06DE2">
        <w:rPr>
          <w:rFonts w:ascii="Times New Roman" w:hAnsi="Times New Roman" w:cs="Times New Roman"/>
          <w:sz w:val="24"/>
          <w:szCs w:val="24"/>
          <w:lang w:val="ru-RU"/>
        </w:rPr>
        <w:t>Член 10.20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Условия на изпитване на електронни съоръжения</w:t>
      </w:r>
      <w:bookmarkEnd w:id="187"/>
      <w:bookmarkEnd w:id="188"/>
    </w:p>
    <w:p w14:paraId="26FDE3F6" w14:textId="77777777" w:rsidR="00271FA2" w:rsidRPr="00F06DE2" w:rsidRDefault="00D35E51">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Общи положения</w:t>
      </w:r>
    </w:p>
    <w:p w14:paraId="751F17BA" w14:textId="77777777" w:rsidR="00271FA2" w:rsidRPr="00F06DE2" w:rsidRDefault="00D35E5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Условията за изпитване, описани в точка 2, се прилагат само за електронно оборудване, необходимо за рулевата система и задвижващия механизъм на плавателните средства, включително спомагателните им устройства.</w:t>
      </w:r>
    </w:p>
    <w:p w14:paraId="44DE1FB9" w14:textId="77777777" w:rsidR="00271FA2" w:rsidRPr="00F06DE2" w:rsidRDefault="00D35E51">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Условия на изпитване</w:t>
      </w:r>
    </w:p>
    <w:p w14:paraId="1873DE71" w14:textId="77777777" w:rsidR="00271FA2" w:rsidRPr="00F06DE2" w:rsidRDefault="00D35E51" w:rsidP="00FB3D71">
      <w:pPr>
        <w:spacing w:line="240" w:lineRule="atLeast"/>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Натоварванията, произтичащи от следните изпитвания, не трябва да причиняват повреда или неизправност на електронното оборудване. Изпитванията съгласно съответните международни стандарти, като например </w:t>
      </w:r>
      <w:r w:rsidRPr="00F06DE2">
        <w:rPr>
          <w:rFonts w:ascii="Times New Roman" w:hAnsi="Times New Roman" w:cs="Times New Roman"/>
        </w:rPr>
        <w:t>IEC</w:t>
      </w:r>
      <w:r w:rsidRPr="00F06DE2">
        <w:rPr>
          <w:rFonts w:ascii="Times New Roman" w:hAnsi="Times New Roman" w:cs="Times New Roman"/>
          <w:lang w:val="ru-RU"/>
        </w:rPr>
        <w:t xml:space="preserve"> 60092—504:</w:t>
      </w:r>
      <w:r w:rsidRPr="00F06DE2">
        <w:rPr>
          <w:rFonts w:ascii="Times New Roman" w:hAnsi="Times New Roman" w:cs="Times New Roman"/>
        </w:rPr>
        <w:t> </w:t>
      </w:r>
      <w:r w:rsidRPr="00F06DE2">
        <w:rPr>
          <w:rFonts w:ascii="Times New Roman" w:hAnsi="Times New Roman" w:cs="Times New Roman"/>
          <w:lang w:val="ru-RU"/>
        </w:rPr>
        <w:t>2016, освен изпитването на студоустойчивост, се извършват с включено оборудване. Тези изпитвания включват проверка на правилната работа;</w:t>
      </w:r>
    </w:p>
    <w:p w14:paraId="30294D8C" w14:textId="77777777" w:rsidR="00271FA2" w:rsidRPr="00F06DE2" w:rsidRDefault="00D35E51" w:rsidP="00FB3D7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б) Промени в напрежението и честотата</w:t>
      </w:r>
    </w:p>
    <w:tbl>
      <w:tblPr>
        <w:tblW w:w="9064" w:type="dxa"/>
        <w:jc w:val="center"/>
        <w:tblLayout w:type="fixed"/>
        <w:tblCellMar>
          <w:left w:w="70" w:type="dxa"/>
          <w:right w:w="70" w:type="dxa"/>
        </w:tblCellMar>
        <w:tblLook w:val="04A0" w:firstRow="1" w:lastRow="0" w:firstColumn="1" w:lastColumn="0" w:noHBand="0" w:noVBand="1"/>
      </w:tblPr>
      <w:tblGrid>
        <w:gridCol w:w="1709"/>
        <w:gridCol w:w="1701"/>
        <w:gridCol w:w="2155"/>
        <w:gridCol w:w="3499"/>
      </w:tblGrid>
      <w:tr w:rsidR="00271FA2" w:rsidRPr="00F06DE2" w14:paraId="46AF33A3" w14:textId="77777777" w:rsidTr="00542313">
        <w:trPr>
          <w:cantSplit/>
          <w:jc w:val="center"/>
        </w:trPr>
        <w:tc>
          <w:tcPr>
            <w:tcW w:w="1709" w:type="dxa"/>
            <w:tcBorders>
              <w:top w:val="single" w:sz="6" w:space="0" w:color="auto"/>
              <w:left w:val="single" w:sz="6" w:space="0" w:color="auto"/>
            </w:tcBorders>
            <w:vAlign w:val="center"/>
          </w:tcPr>
          <w:p w14:paraId="3B90CC0D" w14:textId="77777777" w:rsidR="00271FA2" w:rsidRPr="00F06DE2" w:rsidRDefault="00271FA2">
            <w:pPr>
              <w:spacing w:line="240" w:lineRule="atLeast"/>
              <w:jc w:val="center"/>
              <w:rPr>
                <w:rFonts w:ascii="Times New Roman" w:hAnsi="Times New Roman" w:cs="Times New Roman"/>
                <w:lang w:val="ru-RU"/>
              </w:rPr>
            </w:pPr>
          </w:p>
        </w:tc>
        <w:tc>
          <w:tcPr>
            <w:tcW w:w="1701" w:type="dxa"/>
            <w:tcBorders>
              <w:top w:val="single" w:sz="6" w:space="0" w:color="auto"/>
              <w:left w:val="single" w:sz="6" w:space="0" w:color="auto"/>
              <w:right w:val="single" w:sz="6" w:space="0" w:color="auto"/>
            </w:tcBorders>
            <w:vAlign w:val="center"/>
          </w:tcPr>
          <w:p w14:paraId="3CF0E08B"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Параметри</w:t>
            </w:r>
          </w:p>
        </w:tc>
        <w:tc>
          <w:tcPr>
            <w:tcW w:w="5654" w:type="dxa"/>
            <w:gridSpan w:val="2"/>
            <w:tcBorders>
              <w:top w:val="single" w:sz="6" w:space="0" w:color="auto"/>
              <w:right w:val="single" w:sz="6" w:space="0" w:color="auto"/>
            </w:tcBorders>
            <w:vAlign w:val="center"/>
          </w:tcPr>
          <w:p w14:paraId="7FE31BD2"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Промени</w:t>
            </w:r>
          </w:p>
        </w:tc>
      </w:tr>
      <w:tr w:rsidR="00271FA2" w:rsidRPr="00F06DE2" w14:paraId="372C192F" w14:textId="77777777" w:rsidTr="00542313">
        <w:trPr>
          <w:cantSplit/>
          <w:jc w:val="center"/>
        </w:trPr>
        <w:tc>
          <w:tcPr>
            <w:tcW w:w="1709" w:type="dxa"/>
            <w:tcBorders>
              <w:left w:val="single" w:sz="6" w:space="0" w:color="auto"/>
              <w:bottom w:val="single" w:sz="12" w:space="0" w:color="auto"/>
              <w:right w:val="single" w:sz="6" w:space="0" w:color="auto"/>
            </w:tcBorders>
            <w:vAlign w:val="center"/>
          </w:tcPr>
          <w:p w14:paraId="4A5CC0DE" w14:textId="77777777" w:rsidR="00271FA2" w:rsidRPr="00F06DE2" w:rsidRDefault="00271FA2">
            <w:pPr>
              <w:spacing w:line="240" w:lineRule="atLeast"/>
              <w:jc w:val="center"/>
              <w:rPr>
                <w:rFonts w:ascii="Times New Roman" w:hAnsi="Times New Roman" w:cs="Times New Roman"/>
              </w:rPr>
            </w:pPr>
          </w:p>
        </w:tc>
        <w:tc>
          <w:tcPr>
            <w:tcW w:w="1701" w:type="dxa"/>
            <w:tcBorders>
              <w:left w:val="single" w:sz="6" w:space="0" w:color="auto"/>
              <w:bottom w:val="single" w:sz="12" w:space="0" w:color="auto"/>
              <w:right w:val="single" w:sz="6" w:space="0" w:color="auto"/>
            </w:tcBorders>
            <w:vAlign w:val="center"/>
          </w:tcPr>
          <w:p w14:paraId="635FD784" w14:textId="77777777" w:rsidR="00271FA2" w:rsidRPr="00F06DE2" w:rsidRDefault="00271FA2">
            <w:pPr>
              <w:spacing w:line="240" w:lineRule="atLeast"/>
              <w:jc w:val="center"/>
              <w:rPr>
                <w:rFonts w:ascii="Times New Roman" w:hAnsi="Times New Roman" w:cs="Times New Roman"/>
              </w:rPr>
            </w:pPr>
          </w:p>
        </w:tc>
        <w:tc>
          <w:tcPr>
            <w:tcW w:w="2155" w:type="dxa"/>
            <w:tcBorders>
              <w:left w:val="single" w:sz="6" w:space="0" w:color="auto"/>
              <w:bottom w:val="single" w:sz="12" w:space="0" w:color="auto"/>
              <w:right w:val="single" w:sz="6" w:space="0" w:color="auto"/>
            </w:tcBorders>
            <w:vAlign w:val="center"/>
          </w:tcPr>
          <w:p w14:paraId="6EDBDF1B"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продължителни</w:t>
            </w:r>
          </w:p>
        </w:tc>
        <w:tc>
          <w:tcPr>
            <w:tcW w:w="3499" w:type="dxa"/>
            <w:tcBorders>
              <w:left w:val="single" w:sz="6" w:space="0" w:color="auto"/>
              <w:bottom w:val="single" w:sz="12" w:space="0" w:color="auto"/>
              <w:right w:val="single" w:sz="6" w:space="0" w:color="auto"/>
            </w:tcBorders>
            <w:vAlign w:val="center"/>
          </w:tcPr>
          <w:p w14:paraId="040B0E31"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краткотрайни</w:t>
            </w:r>
          </w:p>
        </w:tc>
      </w:tr>
      <w:tr w:rsidR="00271FA2" w:rsidRPr="00F06DE2" w14:paraId="73C4ADD6" w14:textId="77777777" w:rsidTr="00542313">
        <w:trPr>
          <w:cantSplit/>
          <w:trHeight w:val="763"/>
          <w:jc w:val="center"/>
        </w:trPr>
        <w:tc>
          <w:tcPr>
            <w:tcW w:w="1709" w:type="dxa"/>
            <w:tcBorders>
              <w:top w:val="single" w:sz="12" w:space="0" w:color="auto"/>
              <w:left w:val="single" w:sz="6" w:space="0" w:color="auto"/>
              <w:bottom w:val="single" w:sz="6" w:space="0" w:color="auto"/>
              <w:right w:val="single" w:sz="6" w:space="0" w:color="auto"/>
            </w:tcBorders>
            <w:vAlign w:val="center"/>
          </w:tcPr>
          <w:p w14:paraId="31CF006F"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Обща</w:t>
            </w:r>
          </w:p>
        </w:tc>
        <w:tc>
          <w:tcPr>
            <w:tcW w:w="1701" w:type="dxa"/>
            <w:tcBorders>
              <w:top w:val="single" w:sz="12" w:space="0" w:color="auto"/>
              <w:left w:val="single" w:sz="6" w:space="0" w:color="auto"/>
              <w:bottom w:val="single" w:sz="6" w:space="0" w:color="auto"/>
              <w:right w:val="single" w:sz="6" w:space="0" w:color="auto"/>
            </w:tcBorders>
            <w:vAlign w:val="center"/>
          </w:tcPr>
          <w:p w14:paraId="6D506C6D"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Честота</w:t>
            </w:r>
            <w:r w:rsidRPr="00F06DE2">
              <w:rPr>
                <w:rFonts w:ascii="Times New Roman" w:hAnsi="Times New Roman" w:cs="Times New Roman"/>
              </w:rPr>
              <w:br/>
              <w:t>напрежение</w:t>
            </w:r>
          </w:p>
        </w:tc>
        <w:tc>
          <w:tcPr>
            <w:tcW w:w="2155" w:type="dxa"/>
            <w:tcBorders>
              <w:top w:val="single" w:sz="12" w:space="0" w:color="auto"/>
              <w:left w:val="single" w:sz="6" w:space="0" w:color="auto"/>
              <w:bottom w:val="single" w:sz="6" w:space="0" w:color="auto"/>
              <w:right w:val="single" w:sz="6" w:space="0" w:color="auto"/>
            </w:tcBorders>
            <w:vAlign w:val="center"/>
          </w:tcPr>
          <w:p w14:paraId="415C8417"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sym w:font="Symbol" w:char="F0B1"/>
            </w:r>
            <w:r w:rsidRPr="00F06DE2">
              <w:rPr>
                <w:rFonts w:ascii="Times New Roman" w:hAnsi="Times New Roman" w:cs="Times New Roman"/>
              </w:rPr>
              <w:t xml:space="preserve"> 5 %</w:t>
            </w:r>
            <w:r w:rsidRPr="00F06DE2">
              <w:rPr>
                <w:rFonts w:ascii="Times New Roman" w:hAnsi="Times New Roman" w:cs="Times New Roman"/>
              </w:rPr>
              <w:br/>
            </w:r>
            <w:r w:rsidRPr="00F06DE2">
              <w:rPr>
                <w:rFonts w:ascii="Times New Roman" w:hAnsi="Times New Roman" w:cs="Times New Roman"/>
              </w:rPr>
              <w:sym w:font="Symbol" w:char="F0B1"/>
            </w:r>
            <w:r w:rsidRPr="00F06DE2">
              <w:rPr>
                <w:rFonts w:ascii="Times New Roman" w:hAnsi="Times New Roman" w:cs="Times New Roman"/>
              </w:rPr>
              <w:t xml:space="preserve"> 10 %</w:t>
            </w:r>
          </w:p>
        </w:tc>
        <w:tc>
          <w:tcPr>
            <w:tcW w:w="3499" w:type="dxa"/>
            <w:tcBorders>
              <w:top w:val="single" w:sz="12" w:space="0" w:color="auto"/>
              <w:left w:val="single" w:sz="6" w:space="0" w:color="auto"/>
              <w:bottom w:val="single" w:sz="6" w:space="0" w:color="auto"/>
              <w:right w:val="single" w:sz="6" w:space="0" w:color="auto"/>
            </w:tcBorders>
            <w:vAlign w:val="center"/>
          </w:tcPr>
          <w:p w14:paraId="15442ED0"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sym w:font="Symbol" w:char="F0B1"/>
            </w:r>
            <w:r w:rsidRPr="00F06DE2">
              <w:rPr>
                <w:rFonts w:ascii="Times New Roman" w:hAnsi="Times New Roman" w:cs="Times New Roman"/>
              </w:rPr>
              <w:t xml:space="preserve"> 10 % 5 s</w:t>
            </w:r>
            <w:r w:rsidRPr="00F06DE2">
              <w:rPr>
                <w:rFonts w:ascii="Times New Roman" w:hAnsi="Times New Roman" w:cs="Times New Roman"/>
              </w:rPr>
              <w:br/>
            </w:r>
            <w:r w:rsidRPr="00F06DE2">
              <w:rPr>
                <w:rFonts w:ascii="Times New Roman" w:hAnsi="Times New Roman" w:cs="Times New Roman"/>
              </w:rPr>
              <w:sym w:font="Symbol" w:char="F0B1"/>
            </w:r>
            <w:r w:rsidRPr="00F06DE2">
              <w:rPr>
                <w:rFonts w:ascii="Times New Roman" w:hAnsi="Times New Roman" w:cs="Times New Roman"/>
              </w:rPr>
              <w:t xml:space="preserve"> 20 % 1,5 s</w:t>
            </w:r>
          </w:p>
        </w:tc>
      </w:tr>
      <w:tr w:rsidR="00271FA2" w:rsidRPr="00F06DE2" w14:paraId="5E1E197F" w14:textId="77777777" w:rsidTr="00542313">
        <w:trPr>
          <w:cantSplit/>
          <w:trHeight w:val="689"/>
          <w:jc w:val="center"/>
        </w:trPr>
        <w:tc>
          <w:tcPr>
            <w:tcW w:w="1709" w:type="dxa"/>
            <w:tcBorders>
              <w:top w:val="single" w:sz="6" w:space="0" w:color="auto"/>
              <w:left w:val="single" w:sz="6" w:space="0" w:color="auto"/>
              <w:bottom w:val="single" w:sz="6" w:space="0" w:color="auto"/>
              <w:right w:val="single" w:sz="6" w:space="0" w:color="auto"/>
            </w:tcBorders>
            <w:vAlign w:val="center"/>
          </w:tcPr>
          <w:p w14:paraId="5B4DE77F"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Работа на батерията</w:t>
            </w:r>
          </w:p>
        </w:tc>
        <w:tc>
          <w:tcPr>
            <w:tcW w:w="1701" w:type="dxa"/>
            <w:tcBorders>
              <w:top w:val="single" w:sz="6" w:space="0" w:color="auto"/>
              <w:left w:val="single" w:sz="6" w:space="0" w:color="auto"/>
              <w:bottom w:val="single" w:sz="6" w:space="0" w:color="auto"/>
              <w:right w:val="single" w:sz="6" w:space="0" w:color="auto"/>
            </w:tcBorders>
            <w:vAlign w:val="center"/>
          </w:tcPr>
          <w:p w14:paraId="56B6DD9C"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напрежение</w:t>
            </w:r>
          </w:p>
        </w:tc>
        <w:tc>
          <w:tcPr>
            <w:tcW w:w="2155" w:type="dxa"/>
            <w:tcBorders>
              <w:top w:val="single" w:sz="6" w:space="0" w:color="auto"/>
              <w:left w:val="single" w:sz="6" w:space="0" w:color="auto"/>
              <w:bottom w:val="single" w:sz="6" w:space="0" w:color="auto"/>
              <w:right w:val="single" w:sz="6" w:space="0" w:color="auto"/>
            </w:tcBorders>
            <w:vAlign w:val="center"/>
          </w:tcPr>
          <w:p w14:paraId="406087C8"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+ 30 %/- 25 %</w:t>
            </w:r>
          </w:p>
        </w:tc>
        <w:tc>
          <w:tcPr>
            <w:tcW w:w="3499" w:type="dxa"/>
            <w:tcBorders>
              <w:top w:val="single" w:sz="6" w:space="0" w:color="auto"/>
              <w:left w:val="single" w:sz="6" w:space="0" w:color="auto"/>
              <w:bottom w:val="single" w:sz="6" w:space="0" w:color="auto"/>
              <w:right w:val="single" w:sz="6" w:space="0" w:color="auto"/>
            </w:tcBorders>
            <w:vAlign w:val="center"/>
          </w:tcPr>
          <w:p w14:paraId="5245E2E4"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w:t>
            </w:r>
          </w:p>
        </w:tc>
      </w:tr>
    </w:tbl>
    <w:p w14:paraId="43C500B7" w14:textId="77777777" w:rsidR="00271FA2" w:rsidRPr="00F06DE2" w:rsidRDefault="00D35E51" w:rsidP="00FB3D71">
      <w:pPr>
        <w:spacing w:line="240" w:lineRule="atLeast"/>
        <w:ind w:left="567"/>
        <w:rPr>
          <w:rFonts w:ascii="Times New Roman" w:hAnsi="Times New Roman" w:cs="Times New Roman"/>
        </w:rPr>
      </w:pPr>
      <w:r w:rsidRPr="00F06DE2">
        <w:rPr>
          <w:rFonts w:ascii="Times New Roman" w:hAnsi="Times New Roman" w:cs="Times New Roman"/>
        </w:rPr>
        <w:t>в) Изпитване на топлоустойчивост</w:t>
      </w:r>
    </w:p>
    <w:p w14:paraId="77B955AD" w14:textId="77777777" w:rsidR="00271FA2" w:rsidRPr="00F06DE2" w:rsidRDefault="00D35E51" w:rsidP="00FB3D7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Екземплярът се загрява до температура от 55 °С в рамките на половин час. След като температурата бъде достигната, тя се поддържа 16 часа. След това се провежда работно изпитване;</w:t>
      </w:r>
    </w:p>
    <w:p w14:paraId="1C18CEF4" w14:textId="77777777" w:rsidR="00271FA2" w:rsidRPr="00F06DE2" w:rsidRDefault="00D35E51" w:rsidP="00FB3D7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Изпитване на студоустойчивост</w:t>
      </w:r>
    </w:p>
    <w:p w14:paraId="7EC818EA" w14:textId="77777777" w:rsidR="00271FA2" w:rsidRPr="00F06DE2" w:rsidRDefault="00D35E51" w:rsidP="00FB3D7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Екземплярът се изключва и охлажда до -25 °С и се държи при тази температура два часа. След това температурата се повишава до 0 °С и се провежда работно изпитване;</w:t>
      </w:r>
    </w:p>
    <w:p w14:paraId="5D70C4A3" w14:textId="77777777" w:rsidR="00271FA2" w:rsidRPr="00F06DE2" w:rsidRDefault="00D35E51" w:rsidP="00FB3D7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Изпитване на вибрации</w:t>
      </w:r>
    </w:p>
    <w:p w14:paraId="4A349654" w14:textId="77777777" w:rsidR="00271FA2" w:rsidRPr="00F06DE2" w:rsidRDefault="00D35E51" w:rsidP="00FB3D7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Изпитването на вибрации се извършва по трите оси при резонансната честота на оборудването или на компонентите за период от 90 минути във всеки отделен случай. Ако не се появи ясен резонанс, изпитването на вибрации се извършва при 30</w:t>
      </w:r>
      <w:r w:rsidRPr="00F06DE2">
        <w:rPr>
          <w:rFonts w:ascii="Times New Roman" w:hAnsi="Times New Roman" w:cs="Times New Roman"/>
        </w:rPr>
        <w:t> Hz</w:t>
      </w:r>
      <w:r w:rsidRPr="00F06DE2">
        <w:rPr>
          <w:rFonts w:ascii="Times New Roman" w:hAnsi="Times New Roman" w:cs="Times New Roman"/>
          <w:lang w:val="ru-RU"/>
        </w:rPr>
        <w:t>.</w:t>
      </w:r>
    </w:p>
    <w:p w14:paraId="5E77EAAE" w14:textId="77777777" w:rsidR="00271FA2" w:rsidRPr="00F06DE2" w:rsidRDefault="00D35E51" w:rsidP="00FB3D7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Изпитването на вибрации се извършва при синусоидални колебания в следните граници:</w:t>
      </w:r>
    </w:p>
    <w:p w14:paraId="39731111" w14:textId="77777777" w:rsidR="00271FA2" w:rsidRPr="00F06DE2" w:rsidRDefault="00D35E51" w:rsidP="00FB3D7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Общи положения:</w:t>
      </w:r>
    </w:p>
    <w:p w14:paraId="0E629CAF" w14:textId="77777777" w:rsidR="00271FA2" w:rsidRPr="00F06DE2" w:rsidRDefault="00D35E51" w:rsidP="00FB3D71">
      <w:pPr>
        <w:spacing w:line="240" w:lineRule="atLeast"/>
        <w:ind w:left="567"/>
        <w:jc w:val="both"/>
        <w:rPr>
          <w:rFonts w:ascii="Times New Roman" w:hAnsi="Times New Roman" w:cs="Times New Roman"/>
          <w:lang w:val="ru-RU"/>
        </w:rPr>
      </w:pPr>
      <m:oMath>
        <m:r>
          <w:rPr>
            <w:rFonts w:ascii="Cambria Math" w:hAnsi="Cambria Math" w:cs="Times New Roman"/>
          </w:rPr>
          <m:t>f</m:t>
        </m:r>
      </m:oMath>
      <w:r w:rsidRPr="00F06DE2">
        <w:rPr>
          <w:rFonts w:ascii="Times New Roman" w:hAnsi="Times New Roman" w:cs="Times New Roman"/>
          <w:lang w:val="ru-RU"/>
        </w:rPr>
        <w:t xml:space="preserve"> = 2,0 до 13,2 </w:t>
      </w:r>
      <w:r w:rsidRPr="00F06DE2">
        <w:rPr>
          <w:rFonts w:ascii="Times New Roman" w:hAnsi="Times New Roman" w:cs="Times New Roman"/>
        </w:rPr>
        <w:t>Hz</w:t>
      </w:r>
      <w:r w:rsidRPr="00F06DE2">
        <w:rPr>
          <w:rFonts w:ascii="Times New Roman" w:hAnsi="Times New Roman" w:cs="Times New Roman"/>
          <w:lang w:val="ru-RU"/>
        </w:rPr>
        <w:t xml:space="preserve">; </w:t>
      </w:r>
      <m:oMath>
        <m:r>
          <w:rPr>
            <w:rFonts w:ascii="Cambria Math" w:hAnsi="Cambria Math" w:cs="Times New Roman"/>
          </w:rPr>
          <m:t>a</m:t>
        </m:r>
      </m:oMath>
      <w:r w:rsidRPr="00F06DE2">
        <w:rPr>
          <w:rFonts w:ascii="Times New Roman" w:hAnsi="Times New Roman" w:cs="Times New Roman"/>
          <w:lang w:val="ru-RU"/>
        </w:rPr>
        <w:t xml:space="preserve"> = ± 1 </w:t>
      </w:r>
      <w:r w:rsidRPr="00F06DE2">
        <w:rPr>
          <w:rFonts w:ascii="Times New Roman" w:hAnsi="Times New Roman" w:cs="Times New Roman"/>
        </w:rPr>
        <w:t>mm</w:t>
      </w:r>
    </w:p>
    <w:p w14:paraId="7821A170" w14:textId="77777777" w:rsidR="00271FA2" w:rsidRPr="00F06DE2" w:rsidRDefault="00D35E51" w:rsidP="00FB3D7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(амплитудата </w:t>
      </w:r>
      <m:oMath>
        <m:r>
          <w:rPr>
            <w:rFonts w:ascii="Cambria Math" w:hAnsi="Cambria Math" w:cs="Times New Roman"/>
          </w:rPr>
          <m:t>a</m:t>
        </m:r>
      </m:oMath>
      <w:r w:rsidRPr="00F06DE2">
        <w:rPr>
          <w:rFonts w:ascii="Times New Roman" w:hAnsi="Times New Roman" w:cs="Times New Roman"/>
          <w:lang w:val="ru-RU"/>
        </w:rPr>
        <w:t xml:space="preserve"> = 1/2 широчина на вибрацията)</w:t>
      </w:r>
    </w:p>
    <w:p w14:paraId="3D3B4AE9" w14:textId="77777777" w:rsidR="00271FA2" w:rsidRPr="00F06DE2" w:rsidRDefault="00D35E51" w:rsidP="00FB3D71">
      <w:pPr>
        <w:spacing w:line="240" w:lineRule="atLeast"/>
        <w:ind w:left="567"/>
        <w:jc w:val="both"/>
        <w:rPr>
          <w:rFonts w:ascii="Times New Roman" w:hAnsi="Times New Roman" w:cs="Times New Roman"/>
          <w:lang w:val="ru-RU"/>
        </w:rPr>
      </w:pPr>
      <m:oMath>
        <m:r>
          <w:rPr>
            <w:rFonts w:ascii="Cambria Math" w:hAnsi="Cambria Math" w:cs="Times New Roman"/>
          </w:rPr>
          <w:lastRenderedPageBreak/>
          <m:t>f</m:t>
        </m:r>
      </m:oMath>
      <w:r w:rsidRPr="00F06DE2">
        <w:rPr>
          <w:rFonts w:ascii="Times New Roman" w:hAnsi="Times New Roman" w:cs="Times New Roman"/>
          <w:lang w:val="ru-RU"/>
        </w:rPr>
        <w:t xml:space="preserve"> = 13,2 </w:t>
      </w:r>
      <w:r w:rsidRPr="00F06DE2">
        <w:rPr>
          <w:rFonts w:ascii="Times New Roman" w:hAnsi="Times New Roman" w:cs="Times New Roman"/>
        </w:rPr>
        <w:t>Hz</w:t>
      </w:r>
      <w:r w:rsidRPr="00F06DE2">
        <w:rPr>
          <w:rFonts w:ascii="Times New Roman" w:hAnsi="Times New Roman" w:cs="Times New Roman"/>
          <w:lang w:val="ru-RU"/>
        </w:rPr>
        <w:t xml:space="preserve"> до 100 </w:t>
      </w:r>
      <w:r w:rsidRPr="00F06DE2">
        <w:rPr>
          <w:rFonts w:ascii="Times New Roman" w:hAnsi="Times New Roman" w:cs="Times New Roman"/>
        </w:rPr>
        <w:t>Hz</w:t>
      </w:r>
      <w:r w:rsidRPr="00F06DE2">
        <w:rPr>
          <w:rFonts w:ascii="Times New Roman" w:hAnsi="Times New Roman" w:cs="Times New Roman"/>
          <w:lang w:val="ru-RU"/>
        </w:rPr>
        <w:t xml:space="preserve">: ускорение ± 0,7 </w:t>
      </w:r>
      <w:r w:rsidRPr="00F06DE2">
        <w:rPr>
          <w:rFonts w:ascii="Times New Roman" w:hAnsi="Times New Roman" w:cs="Times New Roman"/>
        </w:rPr>
        <w:t>g</w:t>
      </w:r>
      <w:r w:rsidRPr="00F06DE2">
        <w:rPr>
          <w:rFonts w:ascii="Times New Roman" w:hAnsi="Times New Roman" w:cs="Times New Roman"/>
          <w:lang w:val="ru-RU"/>
        </w:rPr>
        <w:t>.</w:t>
      </w:r>
    </w:p>
    <w:p w14:paraId="26B5A4FD" w14:textId="77777777" w:rsidR="00271FA2" w:rsidRPr="00F06DE2" w:rsidRDefault="00D35E51" w:rsidP="00FB3D7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Работното оборудване, предназначено за монтиране на двигатели с вътрешно горене или рулевия апарат се изпитва, както следва:</w:t>
      </w:r>
    </w:p>
    <w:p w14:paraId="2187374F" w14:textId="77777777" w:rsidR="00271FA2" w:rsidRPr="00F06DE2" w:rsidRDefault="00D35E51" w:rsidP="00FB3D71">
      <w:pPr>
        <w:spacing w:line="240" w:lineRule="atLeast"/>
        <w:ind w:left="567"/>
        <w:jc w:val="both"/>
        <w:rPr>
          <w:rFonts w:ascii="Times New Roman" w:hAnsi="Times New Roman" w:cs="Times New Roman"/>
          <w:lang w:val="ru-RU"/>
        </w:rPr>
      </w:pPr>
      <m:oMath>
        <m:r>
          <w:rPr>
            <w:rFonts w:ascii="Cambria Math" w:hAnsi="Cambria Math" w:cs="Times New Roman"/>
          </w:rPr>
          <m:t>f</m:t>
        </m:r>
      </m:oMath>
      <w:r w:rsidRPr="00F06DE2">
        <w:rPr>
          <w:rFonts w:ascii="Times New Roman" w:hAnsi="Times New Roman" w:cs="Times New Roman"/>
          <w:lang w:val="ru-RU"/>
        </w:rPr>
        <w:t xml:space="preserve"> = 2,0 до 25 </w:t>
      </w:r>
      <w:r w:rsidRPr="00F06DE2">
        <w:rPr>
          <w:rFonts w:ascii="Times New Roman" w:hAnsi="Times New Roman" w:cs="Times New Roman"/>
        </w:rPr>
        <w:t>Hz</w:t>
      </w:r>
      <w:r w:rsidRPr="00F06DE2">
        <w:rPr>
          <w:rFonts w:ascii="Times New Roman" w:hAnsi="Times New Roman" w:cs="Times New Roman"/>
          <w:lang w:val="ru-RU"/>
        </w:rPr>
        <w:t xml:space="preserve">; </w:t>
      </w:r>
      <m:oMath>
        <m:r>
          <w:rPr>
            <w:rFonts w:ascii="Cambria Math" w:hAnsi="Cambria Math" w:cs="Times New Roman"/>
          </w:rPr>
          <m:t>a</m:t>
        </m:r>
      </m:oMath>
      <w:r w:rsidRPr="00F06DE2">
        <w:rPr>
          <w:rFonts w:ascii="Times New Roman" w:hAnsi="Times New Roman" w:cs="Times New Roman"/>
          <w:lang w:val="ru-RU"/>
        </w:rPr>
        <w:t xml:space="preserve"> = ± 1,6 </w:t>
      </w:r>
      <w:r w:rsidRPr="00F06DE2">
        <w:rPr>
          <w:rFonts w:ascii="Times New Roman" w:hAnsi="Times New Roman" w:cs="Times New Roman"/>
        </w:rPr>
        <w:t>mm</w:t>
      </w:r>
    </w:p>
    <w:p w14:paraId="5B618A6B" w14:textId="77777777" w:rsidR="00271FA2" w:rsidRPr="00F06DE2" w:rsidRDefault="00D35E51" w:rsidP="00FB3D7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(амплитудата </w:t>
      </w:r>
      <m:oMath>
        <m:r>
          <w:rPr>
            <w:rFonts w:ascii="Cambria Math" w:hAnsi="Cambria Math" w:cs="Times New Roman"/>
          </w:rPr>
          <m:t>a</m:t>
        </m:r>
      </m:oMath>
      <w:r w:rsidRPr="00F06DE2">
        <w:rPr>
          <w:rFonts w:ascii="Times New Roman" w:hAnsi="Times New Roman" w:cs="Times New Roman"/>
          <w:lang w:val="ru-RU"/>
        </w:rPr>
        <w:t xml:space="preserve"> = 1/2 широчина на вибрацията)</w:t>
      </w:r>
    </w:p>
    <w:p w14:paraId="480817F7" w14:textId="77777777" w:rsidR="00271FA2" w:rsidRPr="00F06DE2" w:rsidRDefault="00D35E51" w:rsidP="00FB3D71">
      <w:pPr>
        <w:spacing w:line="240" w:lineRule="atLeast"/>
        <w:ind w:left="567"/>
        <w:jc w:val="both"/>
        <w:rPr>
          <w:rFonts w:ascii="Times New Roman" w:hAnsi="Times New Roman" w:cs="Times New Roman"/>
          <w:lang w:val="ru-RU"/>
        </w:rPr>
      </w:pPr>
      <m:oMath>
        <m:r>
          <w:rPr>
            <w:rFonts w:ascii="Cambria Math" w:hAnsi="Cambria Math" w:cs="Times New Roman"/>
          </w:rPr>
          <m:t>f</m:t>
        </m:r>
      </m:oMath>
      <w:r w:rsidRPr="00F06DE2">
        <w:rPr>
          <w:rFonts w:ascii="Times New Roman" w:hAnsi="Times New Roman" w:cs="Times New Roman"/>
          <w:lang w:val="ru-RU"/>
        </w:rPr>
        <w:t xml:space="preserve"> = 25 </w:t>
      </w:r>
      <w:r w:rsidRPr="00F06DE2">
        <w:rPr>
          <w:rFonts w:ascii="Times New Roman" w:hAnsi="Times New Roman" w:cs="Times New Roman"/>
        </w:rPr>
        <w:t>Hz</w:t>
      </w:r>
      <w:r w:rsidRPr="00F06DE2">
        <w:rPr>
          <w:rFonts w:ascii="Times New Roman" w:hAnsi="Times New Roman" w:cs="Times New Roman"/>
          <w:lang w:val="ru-RU"/>
        </w:rPr>
        <w:t xml:space="preserve"> до 100 </w:t>
      </w:r>
      <w:r w:rsidRPr="00F06DE2">
        <w:rPr>
          <w:rFonts w:ascii="Times New Roman" w:hAnsi="Times New Roman" w:cs="Times New Roman"/>
        </w:rPr>
        <w:t>Hz</w:t>
      </w:r>
      <w:r w:rsidRPr="00F06DE2">
        <w:rPr>
          <w:rFonts w:ascii="Times New Roman" w:hAnsi="Times New Roman" w:cs="Times New Roman"/>
          <w:lang w:val="ru-RU"/>
        </w:rPr>
        <w:t xml:space="preserve">; ускорение ± 4 </w:t>
      </w:r>
      <w:r w:rsidRPr="00F06DE2">
        <w:rPr>
          <w:rFonts w:ascii="Times New Roman" w:hAnsi="Times New Roman" w:cs="Times New Roman"/>
        </w:rPr>
        <w:t>g</w:t>
      </w:r>
      <w:r w:rsidRPr="00F06DE2">
        <w:rPr>
          <w:rFonts w:ascii="Times New Roman" w:hAnsi="Times New Roman" w:cs="Times New Roman"/>
          <w:lang w:val="ru-RU"/>
        </w:rPr>
        <w:t>.</w:t>
      </w:r>
    </w:p>
    <w:p w14:paraId="798C4A8D" w14:textId="77777777" w:rsidR="00271FA2" w:rsidRPr="00F06DE2" w:rsidRDefault="00D35E51" w:rsidP="00FB3D7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Датчиците, предназначени за монтиране в изпускателните тръби на двигатели с вътрешно горене, могат да бъдат изложени на значително по-големи натоварвания. Това следва да се вземе под внимание по време на изпитванията.</w:t>
      </w:r>
    </w:p>
    <w:p w14:paraId="1614EBAD" w14:textId="77777777" w:rsidR="00271FA2" w:rsidRPr="00F06DE2" w:rsidRDefault="00D35E51" w:rsidP="00FB3D71">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Изпитването за електромагнитна съвместимост се провежда въз основа на Европейски стандарти </w:t>
      </w:r>
      <w:r w:rsidRPr="00F06DE2">
        <w:rPr>
          <w:rFonts w:ascii="Times New Roman" w:hAnsi="Times New Roman" w:cs="Times New Roman"/>
        </w:rPr>
        <w:t>EN</w:t>
      </w:r>
      <w:r w:rsidRPr="00F06DE2">
        <w:rPr>
          <w:rFonts w:ascii="Times New Roman" w:hAnsi="Times New Roman" w:cs="Times New Roman"/>
          <w:lang w:val="ru-RU"/>
        </w:rPr>
        <w:t xml:space="preserve"> 61000-4-2:2009, </w:t>
      </w:r>
      <w:r w:rsidRPr="00F06DE2">
        <w:rPr>
          <w:rFonts w:ascii="Times New Roman" w:hAnsi="Times New Roman" w:cs="Times New Roman"/>
        </w:rPr>
        <w:t>EN</w:t>
      </w:r>
      <w:r w:rsidRPr="00F06DE2">
        <w:rPr>
          <w:rFonts w:ascii="Times New Roman" w:hAnsi="Times New Roman" w:cs="Times New Roman"/>
          <w:lang w:val="ru-RU"/>
        </w:rPr>
        <w:t xml:space="preserve"> 61000-4-3:2020, </w:t>
      </w:r>
      <w:r w:rsidRPr="00F06DE2">
        <w:rPr>
          <w:rFonts w:ascii="Times New Roman" w:hAnsi="Times New Roman" w:cs="Times New Roman"/>
        </w:rPr>
        <w:t>EN</w:t>
      </w:r>
      <w:r w:rsidRPr="00F06DE2">
        <w:rPr>
          <w:rFonts w:ascii="Times New Roman" w:hAnsi="Times New Roman" w:cs="Times New Roman"/>
          <w:lang w:val="ru-RU"/>
        </w:rPr>
        <w:t xml:space="preserve"> 61000-4-4:2012, при номер на степен на изпитване 3.</w:t>
      </w:r>
    </w:p>
    <w:p w14:paraId="3BA2076B" w14:textId="3F6B7828" w:rsidR="00271FA2" w:rsidRPr="00F06DE2" w:rsidRDefault="00D35E51" w:rsidP="00FB3D71">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Доказателство, че електронното оборудване е подходящо за тези условия на изпитване, се предоставя от неговия производител. Удостоверение от призната класификационна организация също се смята</w:t>
      </w:r>
      <w:bookmarkStart w:id="189" w:name="_Toc436115054"/>
      <w:r w:rsidRPr="00F06DE2">
        <w:rPr>
          <w:rFonts w:ascii="Times New Roman" w:hAnsi="Times New Roman" w:cs="Times New Roman"/>
          <w:lang w:val="ru-RU"/>
        </w:rPr>
        <w:t xml:space="preserve"> за доказателство.</w:t>
      </w:r>
    </w:p>
    <w:p w14:paraId="18ED606A" w14:textId="77777777" w:rsidR="00D80E10" w:rsidRPr="00F06DE2" w:rsidRDefault="00D80E10" w:rsidP="00FB3D71">
      <w:pPr>
        <w:spacing w:line="240" w:lineRule="atLeast"/>
        <w:ind w:left="567" w:hanging="567"/>
        <w:jc w:val="both"/>
        <w:rPr>
          <w:rFonts w:ascii="Times New Roman" w:hAnsi="Times New Roman" w:cs="Times New Roman"/>
          <w:lang w:val="ru-RU"/>
        </w:rPr>
      </w:pPr>
    </w:p>
    <w:p w14:paraId="520356DB" w14:textId="0B2B11A9" w:rsidR="00271FA2" w:rsidRPr="00F06DE2" w:rsidRDefault="00D35E51">
      <w:pPr>
        <w:pStyle w:val="ES-Titre3"/>
        <w:spacing w:line="240" w:lineRule="atLeast"/>
        <w:rPr>
          <w:rFonts w:ascii="Times New Roman" w:hAnsi="Times New Roman" w:cs="Times New Roman"/>
          <w:i/>
          <w:sz w:val="24"/>
          <w:szCs w:val="24"/>
          <w:lang w:val="ru-RU"/>
        </w:rPr>
      </w:pPr>
      <w:bookmarkStart w:id="190" w:name="_Toc491854098"/>
      <w:bookmarkStart w:id="191" w:name="_Toc535827539"/>
      <w:r w:rsidRPr="00F06DE2">
        <w:rPr>
          <w:rFonts w:ascii="Times New Roman" w:hAnsi="Times New Roman" w:cs="Times New Roman"/>
          <w:sz w:val="24"/>
          <w:szCs w:val="24"/>
          <w:lang w:val="ru-RU"/>
        </w:rPr>
        <w:t>Член 10.21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Електромагнитна съвместимост</w:t>
      </w:r>
      <w:bookmarkEnd w:id="189"/>
      <w:bookmarkEnd w:id="190"/>
      <w:bookmarkEnd w:id="191"/>
    </w:p>
    <w:p w14:paraId="6527F83B" w14:textId="77777777" w:rsidR="00271FA2" w:rsidRPr="00F06DE2" w:rsidRDefault="00D35E51">
      <w:pPr>
        <w:pStyle w:val="ESgauche"/>
        <w:jc w:val="both"/>
        <w:rPr>
          <w:rFonts w:ascii="Times New Roman" w:hAnsi="Times New Roman" w:cs="Times New Roman"/>
        </w:rPr>
      </w:pPr>
      <w:r w:rsidRPr="00F06DE2">
        <w:rPr>
          <w:rFonts w:ascii="Times New Roman" w:hAnsi="Times New Roman" w:cs="Times New Roman"/>
          <w:lang w:val="ru-RU"/>
        </w:rPr>
        <w:t xml:space="preserve">Функционирането на електрическите и електронните съоръжения не трябва да се влияе от електромагнитни смущения. </w:t>
      </w:r>
      <w:r w:rsidRPr="00F06DE2">
        <w:rPr>
          <w:rFonts w:ascii="Times New Roman" w:hAnsi="Times New Roman" w:cs="Times New Roman"/>
        </w:rPr>
        <w:t>Общите мерки, които са с еднаква важност, обхващат:</w:t>
      </w:r>
    </w:p>
    <w:p w14:paraId="496AE61F" w14:textId="77777777" w:rsidR="00271FA2" w:rsidRPr="00F06DE2" w:rsidRDefault="00D35E51">
      <w:pPr>
        <w:pStyle w:val="ESletgauche"/>
        <w:numPr>
          <w:ilvl w:val="0"/>
          <w:numId w:val="16"/>
        </w:numPr>
        <w:spacing w:before="0"/>
        <w:ind w:left="0" w:firstLine="0"/>
        <w:jc w:val="both"/>
        <w:rPr>
          <w:rFonts w:ascii="Times New Roman" w:hAnsi="Times New Roman" w:cs="Times New Roman"/>
          <w:lang w:val="ru-RU"/>
        </w:rPr>
      </w:pPr>
      <w:r w:rsidRPr="00F06DE2">
        <w:rPr>
          <w:rFonts w:ascii="Times New Roman" w:hAnsi="Times New Roman" w:cs="Times New Roman"/>
          <w:lang w:val="ru-RU"/>
        </w:rPr>
        <w:t>прекъсване на пътищата за разпространяване на смущенията между източника и засегнатото оборудване;</w:t>
      </w:r>
    </w:p>
    <w:p w14:paraId="7A8B05D6" w14:textId="77777777" w:rsidR="00D80E10" w:rsidRPr="00F06DE2" w:rsidRDefault="00D35E51">
      <w:pPr>
        <w:pStyle w:val="ESletgauche"/>
        <w:spacing w:before="0"/>
        <w:jc w:val="both"/>
        <w:rPr>
          <w:rFonts w:ascii="Times New Roman" w:hAnsi="Times New Roman" w:cs="Times New Roman"/>
          <w:lang w:val="ru-RU"/>
        </w:rPr>
      </w:pPr>
      <w:r w:rsidRPr="00F06DE2">
        <w:rPr>
          <w:rFonts w:ascii="Times New Roman" w:hAnsi="Times New Roman" w:cs="Times New Roman"/>
          <w:lang w:val="ru-RU"/>
        </w:rPr>
        <w:t>б) намаляване на причините за смущения при източника им;</w:t>
      </w:r>
      <w:r w:rsidR="00D80E10" w:rsidRPr="00F06DE2">
        <w:rPr>
          <w:rFonts w:ascii="Times New Roman" w:hAnsi="Times New Roman" w:cs="Times New Roman"/>
          <w:lang w:val="ru-RU"/>
        </w:rPr>
        <w:t xml:space="preserve"> </w:t>
      </w:r>
    </w:p>
    <w:p w14:paraId="326482BE" w14:textId="650B38B3" w:rsidR="00271FA2" w:rsidRPr="00F06DE2" w:rsidRDefault="00D35E51">
      <w:pPr>
        <w:pStyle w:val="ESletgauche"/>
        <w:spacing w:before="0"/>
        <w:jc w:val="both"/>
        <w:rPr>
          <w:rFonts w:ascii="Times New Roman" w:hAnsi="Times New Roman" w:cs="Times New Roman"/>
          <w:lang w:val="ru-RU"/>
        </w:rPr>
      </w:pPr>
      <w:r w:rsidRPr="00F06DE2">
        <w:rPr>
          <w:rFonts w:ascii="Times New Roman" w:hAnsi="Times New Roman" w:cs="Times New Roman"/>
          <w:lang w:val="ru-RU"/>
        </w:rPr>
        <w:t>в) намаляване на чувствителността на съответните устройства към смущения.</w:t>
      </w:r>
    </w:p>
    <w:p w14:paraId="17806594" w14:textId="77777777" w:rsidR="00B14A71" w:rsidRPr="00F06DE2" w:rsidRDefault="00B14A71" w:rsidP="00542313">
      <w:pPr>
        <w:spacing w:line="240" w:lineRule="atLeast"/>
        <w:jc w:val="center"/>
        <w:rPr>
          <w:rFonts w:ascii="Times New Roman" w:hAnsi="Times New Roman" w:cs="Times New Roman"/>
          <w:lang w:val="ru-RU"/>
        </w:rPr>
        <w:sectPr w:rsidR="00B14A71" w:rsidRPr="00F06DE2" w:rsidSect="00F06DE2">
          <w:headerReference w:type="default" r:id="rId39"/>
          <w:headerReference w:type="first" r:id="rId40"/>
          <w:footnotePr>
            <w:numRestart w:val="eachPage"/>
          </w:footnotePr>
          <w:pgSz w:w="11906" w:h="16838" w:code="9"/>
          <w:pgMar w:top="1134" w:right="1134" w:bottom="1134" w:left="1134" w:header="709" w:footer="709" w:gutter="0"/>
          <w:cols w:space="709"/>
          <w:titlePg/>
          <w:docGrid w:linePitch="272"/>
        </w:sectPr>
      </w:pPr>
    </w:p>
    <w:p w14:paraId="0E5C8B8D" w14:textId="56F6FF15" w:rsidR="00271FA2" w:rsidRPr="00F06DE2" w:rsidRDefault="00D35E51" w:rsidP="00542313">
      <w:pPr>
        <w:spacing w:line="240" w:lineRule="atLeast"/>
        <w:jc w:val="center"/>
        <w:rPr>
          <w:rFonts w:ascii="Times New Roman" w:hAnsi="Times New Roman" w:cs="Times New Roman"/>
          <w:lang w:val="ru-RU"/>
        </w:rPr>
      </w:pPr>
      <w:bookmarkStart w:id="192" w:name="_Toc491854099"/>
      <w:bookmarkStart w:id="193" w:name="_Toc535827540"/>
      <w:r w:rsidRPr="00F06DE2">
        <w:rPr>
          <w:rFonts w:ascii="Times New Roman" w:hAnsi="Times New Roman" w:cs="Times New Roman"/>
          <w:b/>
          <w:lang w:val="ru-RU"/>
        </w:rPr>
        <w:lastRenderedPageBreak/>
        <w:t>Глава 11</w:t>
      </w:r>
      <w:r w:rsidRPr="00F06DE2">
        <w:rPr>
          <w:rFonts w:ascii="Times New Roman" w:hAnsi="Times New Roman" w:cs="Times New Roman"/>
          <w:lang w:val="ru-RU"/>
        </w:rPr>
        <w:br/>
      </w:r>
      <w:bookmarkEnd w:id="192"/>
      <w:bookmarkEnd w:id="193"/>
      <w:r w:rsidR="00CE03AA" w:rsidRPr="00F06DE2">
        <w:rPr>
          <w:rFonts w:ascii="Times New Roman" w:hAnsi="Times New Roman" w:cs="Times New Roman"/>
          <w:b/>
          <w:lang w:val="ru-RU"/>
        </w:rPr>
        <w:t xml:space="preserve">СПЕЦИАЛНИ РАЗПОРЕДБИ, ПРИЛОЖИМИ КЪМ ЕЛЕКТРИЧЕСКИТЕ СИСТЕМИ ЗА </w:t>
      </w:r>
      <w:r w:rsidR="001E7695" w:rsidRPr="00F06DE2">
        <w:rPr>
          <w:rFonts w:ascii="Times New Roman" w:hAnsi="Times New Roman" w:cs="Times New Roman"/>
          <w:b/>
          <w:lang w:val="ru-RU"/>
        </w:rPr>
        <w:t>ЗАДВИЖВАНЕ</w:t>
      </w:r>
    </w:p>
    <w:p w14:paraId="28A1D89C" w14:textId="77777777" w:rsidR="00542313" w:rsidRPr="00F06DE2" w:rsidRDefault="00542313">
      <w:pPr>
        <w:tabs>
          <w:tab w:val="left" w:pos="1276"/>
        </w:tabs>
        <w:autoSpaceDE w:val="0"/>
        <w:autoSpaceDN w:val="0"/>
        <w:adjustRightInd w:val="0"/>
        <w:spacing w:line="240" w:lineRule="atLeast"/>
        <w:jc w:val="center"/>
        <w:rPr>
          <w:rFonts w:ascii="Times New Roman" w:hAnsi="Times New Roman" w:cs="Times New Roman"/>
          <w:b/>
          <w:iCs/>
          <w:lang w:val="ru-RU" w:eastAsia="bg-BG"/>
        </w:rPr>
      </w:pPr>
    </w:p>
    <w:p w14:paraId="0F62598C" w14:textId="0CD6D479" w:rsidR="00271FA2" w:rsidRPr="00F06DE2" w:rsidRDefault="00D35E51" w:rsidP="00542313">
      <w:pPr>
        <w:tabs>
          <w:tab w:val="left" w:pos="567"/>
          <w:tab w:val="left" w:pos="1276"/>
        </w:tabs>
        <w:autoSpaceDE w:val="0"/>
        <w:autoSpaceDN w:val="0"/>
        <w:adjustRightInd w:val="0"/>
        <w:spacing w:line="240" w:lineRule="atLeast"/>
        <w:jc w:val="center"/>
        <w:rPr>
          <w:rFonts w:ascii="Times New Roman" w:hAnsi="Times New Roman" w:cs="Times New Roman"/>
          <w:b/>
          <w:i/>
          <w:iCs/>
          <w:lang w:val="ru-RU" w:eastAsia="bg-BG"/>
        </w:rPr>
      </w:pPr>
      <w:r w:rsidRPr="00F06DE2">
        <w:rPr>
          <w:rFonts w:ascii="Times New Roman" w:hAnsi="Times New Roman" w:cs="Times New Roman"/>
          <w:b/>
          <w:iCs/>
          <w:lang w:val="ru-RU" w:eastAsia="bg-BG"/>
        </w:rPr>
        <w:t>Член 11.00</w:t>
      </w:r>
      <w:r w:rsidRPr="00F06DE2">
        <w:rPr>
          <w:rFonts w:ascii="Times New Roman" w:hAnsi="Times New Roman" w:cs="Times New Roman"/>
          <w:b/>
          <w:lang w:val="ru-RU"/>
        </w:rPr>
        <w:br/>
      </w:r>
      <w:r w:rsidRPr="00F06DE2">
        <w:rPr>
          <w:rFonts w:ascii="Times New Roman" w:hAnsi="Times New Roman" w:cs="Times New Roman"/>
          <w:b/>
          <w:i/>
          <w:iCs/>
          <w:lang w:val="ru-RU" w:eastAsia="bg-BG"/>
        </w:rPr>
        <w:t>Определения</w:t>
      </w:r>
    </w:p>
    <w:p w14:paraId="4B12019D" w14:textId="65C4D2E5" w:rsidR="00271FA2" w:rsidRPr="00F06DE2" w:rsidRDefault="00542313" w:rsidP="00542313">
      <w:pPr>
        <w:tabs>
          <w:tab w:val="left" w:pos="567"/>
        </w:tabs>
        <w:autoSpaceDE w:val="0"/>
        <w:autoSpaceDN w:val="0"/>
        <w:adjustRightInd w:val="0"/>
        <w:spacing w:line="240" w:lineRule="atLeast"/>
        <w:jc w:val="both"/>
        <w:rPr>
          <w:rFonts w:ascii="Times New Roman" w:hAnsi="Times New Roman" w:cs="Times New Roman"/>
          <w:iCs/>
          <w:lang w:val="ru-RU" w:eastAsia="bg-BG"/>
        </w:rPr>
      </w:pPr>
      <w:r w:rsidRPr="00F06DE2">
        <w:rPr>
          <w:rFonts w:ascii="Times New Roman" w:hAnsi="Times New Roman" w:cs="Times New Roman"/>
          <w:iCs/>
          <w:lang w:val="ru-RU" w:eastAsia="bg-BG"/>
        </w:rPr>
        <w:tab/>
      </w:r>
      <w:r w:rsidR="00D35E51" w:rsidRPr="00F06DE2">
        <w:rPr>
          <w:rFonts w:ascii="Times New Roman" w:hAnsi="Times New Roman" w:cs="Times New Roman"/>
          <w:iCs/>
          <w:lang w:val="ru-RU" w:eastAsia="bg-BG"/>
        </w:rPr>
        <w:t>За целите на настоящата глава се прилагат следните определения:</w:t>
      </w:r>
    </w:p>
    <w:p w14:paraId="564625E9" w14:textId="0BEB2531" w:rsidR="00271FA2" w:rsidRPr="00F06DE2" w:rsidRDefault="00CE03AA" w:rsidP="00542313">
      <w:pPr>
        <w:tabs>
          <w:tab w:val="left" w:pos="0"/>
          <w:tab w:val="left" w:pos="567"/>
        </w:tabs>
        <w:autoSpaceDE w:val="0"/>
        <w:autoSpaceDN w:val="0"/>
        <w:adjustRightInd w:val="0"/>
        <w:spacing w:line="240" w:lineRule="atLeast"/>
        <w:ind w:left="567" w:hanging="567"/>
        <w:jc w:val="both"/>
        <w:rPr>
          <w:rFonts w:ascii="Times New Roman" w:hAnsi="Times New Roman" w:cs="Times New Roman"/>
          <w:iCs/>
          <w:strike/>
          <w:lang w:val="ru-RU" w:eastAsia="bg-BG"/>
        </w:rPr>
      </w:pPr>
      <w:r w:rsidRPr="00F06DE2">
        <w:rPr>
          <w:rFonts w:ascii="Times New Roman" w:hAnsi="Times New Roman" w:cs="Times New Roman"/>
          <w:iCs/>
          <w:lang w:val="ru-RU" w:eastAsia="bg-BG"/>
        </w:rPr>
        <w:t>1</w:t>
      </w:r>
      <w:r w:rsidR="00D35E51" w:rsidRPr="00F06DE2">
        <w:rPr>
          <w:rFonts w:ascii="Times New Roman" w:hAnsi="Times New Roman" w:cs="Times New Roman"/>
          <w:iCs/>
          <w:lang w:val="ru-RU" w:eastAsia="bg-BG"/>
        </w:rPr>
        <w:t>.</w:t>
      </w:r>
      <w:r w:rsidR="00D35E51" w:rsidRPr="00F06DE2">
        <w:rPr>
          <w:rFonts w:ascii="Times New Roman" w:hAnsi="Times New Roman" w:cs="Times New Roman"/>
          <w:iCs/>
          <w:lang w:val="ru-RU" w:eastAsia="bg-BG"/>
        </w:rPr>
        <w:tab/>
      </w:r>
      <w:r w:rsidRPr="00F06DE2">
        <w:rPr>
          <w:rFonts w:ascii="Times New Roman" w:hAnsi="Times New Roman" w:cs="Times New Roman"/>
          <w:lang w:val="ru-RU"/>
        </w:rPr>
        <w:t>„електрическа система за задвижване“</w:t>
      </w:r>
      <w:r w:rsidR="001E7695" w:rsidRPr="00F06DE2">
        <w:rPr>
          <w:rFonts w:ascii="Times New Roman" w:hAnsi="Times New Roman" w:cs="Times New Roman"/>
          <w:lang w:val="ru-RU"/>
        </w:rPr>
        <w:t xml:space="preserve"> </w:t>
      </w:r>
      <w:r w:rsidR="001E7695" w:rsidRPr="00F06DE2">
        <w:rPr>
          <w:rFonts w:ascii="Times New Roman" w:hAnsi="Times New Roman" w:cs="Times New Roman"/>
        </w:rPr>
        <w:t>e</w:t>
      </w:r>
      <w:r w:rsidRPr="00F06DE2">
        <w:rPr>
          <w:rFonts w:ascii="Times New Roman" w:hAnsi="Times New Roman" w:cs="Times New Roman"/>
          <w:lang w:val="ru-RU"/>
        </w:rPr>
        <w:t xml:space="preserve"> система за задвижване, при която пропулсорът се задвижва от електрически двигател(и), независим(и) от действителния източник на електрическа енергия (бордова електрозахранваща мрежа, отделно електрозахранване и т.н.)</w:t>
      </w:r>
    </w:p>
    <w:p w14:paraId="30C030C6" w14:textId="5990907F" w:rsidR="00271FA2" w:rsidRPr="00F06DE2" w:rsidRDefault="00CE03AA" w:rsidP="00542313">
      <w:pPr>
        <w:tabs>
          <w:tab w:val="left" w:pos="0"/>
          <w:tab w:val="left" w:pos="567"/>
        </w:tabs>
        <w:autoSpaceDE w:val="0"/>
        <w:autoSpaceDN w:val="0"/>
        <w:adjustRightInd w:val="0"/>
        <w:spacing w:line="240" w:lineRule="atLeast"/>
        <w:ind w:left="567" w:hanging="567"/>
        <w:jc w:val="both"/>
        <w:rPr>
          <w:rFonts w:ascii="Times New Roman" w:hAnsi="Times New Roman" w:cs="Times New Roman"/>
          <w:iCs/>
          <w:lang w:val="ru-RU" w:eastAsia="bg-BG"/>
        </w:rPr>
      </w:pPr>
      <w:r w:rsidRPr="00F06DE2">
        <w:rPr>
          <w:rFonts w:ascii="Times New Roman" w:hAnsi="Times New Roman" w:cs="Times New Roman"/>
          <w:iCs/>
          <w:lang w:val="ru-RU" w:eastAsia="bg-BG"/>
        </w:rPr>
        <w:t>2</w:t>
      </w:r>
      <w:r w:rsidR="00D35E51" w:rsidRPr="00F06DE2">
        <w:rPr>
          <w:rFonts w:ascii="Times New Roman" w:hAnsi="Times New Roman" w:cs="Times New Roman"/>
          <w:iCs/>
          <w:lang w:val="ru-RU" w:eastAsia="bg-BG"/>
        </w:rPr>
        <w:t>.</w:t>
      </w:r>
      <w:r w:rsidR="00D35E51" w:rsidRPr="00F06DE2">
        <w:rPr>
          <w:rFonts w:ascii="Times New Roman" w:hAnsi="Times New Roman" w:cs="Times New Roman"/>
          <w:iCs/>
          <w:lang w:val="ru-RU" w:eastAsia="bg-BG"/>
        </w:rPr>
        <w:tab/>
        <w:t xml:space="preserve">„електрически задвижващ двигател": </w:t>
      </w:r>
      <w:r w:rsidRPr="00F06DE2">
        <w:rPr>
          <w:rFonts w:ascii="Times New Roman" w:hAnsi="Times New Roman" w:cs="Times New Roman"/>
          <w:lang w:val="ru-RU"/>
        </w:rPr>
        <w:t>електрически двигател, задвижващ пропулсор</w:t>
      </w:r>
      <w:r w:rsidR="00933A8A" w:rsidRPr="00F06DE2">
        <w:rPr>
          <w:rFonts w:ascii="Times New Roman" w:hAnsi="Times New Roman" w:cs="Times New Roman"/>
          <w:lang w:val="ru-RU"/>
        </w:rPr>
        <w:t xml:space="preserve"> </w:t>
      </w:r>
    </w:p>
    <w:p w14:paraId="55B0D89D" w14:textId="77777777" w:rsidR="00542313" w:rsidRPr="00F06DE2" w:rsidRDefault="00542313" w:rsidP="00542313">
      <w:pPr>
        <w:tabs>
          <w:tab w:val="left" w:pos="567"/>
        </w:tabs>
        <w:jc w:val="center"/>
        <w:rPr>
          <w:rFonts w:ascii="Times New Roman" w:hAnsi="Times New Roman" w:cs="Times New Roman"/>
          <w:b/>
          <w:iCs/>
          <w:lang w:val="ru-RU" w:eastAsia="bg-BG"/>
        </w:rPr>
      </w:pPr>
    </w:p>
    <w:p w14:paraId="052599C9" w14:textId="6A2C0A5B" w:rsidR="00952220" w:rsidRPr="00F06DE2" w:rsidRDefault="00D35E51" w:rsidP="00542313">
      <w:pPr>
        <w:tabs>
          <w:tab w:val="left" w:pos="567"/>
        </w:tabs>
        <w:jc w:val="center"/>
        <w:rPr>
          <w:rFonts w:ascii="Times New Roman" w:hAnsi="Times New Roman" w:cs="Times New Roman"/>
          <w:b/>
          <w:i/>
          <w:lang w:val="ru-RU"/>
        </w:rPr>
      </w:pPr>
      <w:r w:rsidRPr="00F06DE2">
        <w:rPr>
          <w:rFonts w:ascii="Times New Roman" w:hAnsi="Times New Roman" w:cs="Times New Roman"/>
          <w:b/>
          <w:iCs/>
          <w:lang w:val="ru-RU" w:eastAsia="bg-BG"/>
        </w:rPr>
        <w:t>Член 11.01</w:t>
      </w:r>
      <w:r w:rsidRPr="00F06DE2">
        <w:rPr>
          <w:rFonts w:ascii="Times New Roman" w:hAnsi="Times New Roman" w:cs="Times New Roman"/>
          <w:b/>
          <w:lang w:val="ru-RU"/>
        </w:rPr>
        <w:br/>
      </w:r>
      <w:r w:rsidR="00CE03AA" w:rsidRPr="00F06DE2">
        <w:rPr>
          <w:rFonts w:ascii="Times New Roman" w:hAnsi="Times New Roman" w:cs="Times New Roman"/>
          <w:b/>
          <w:i/>
          <w:lang w:val="ru-RU"/>
        </w:rPr>
        <w:t>Общи разпоредби за електрически</w:t>
      </w:r>
      <w:r w:rsidR="007707BA" w:rsidRPr="00F06DE2">
        <w:rPr>
          <w:rFonts w:ascii="Times New Roman" w:hAnsi="Times New Roman" w:cs="Times New Roman"/>
          <w:b/>
          <w:i/>
          <w:lang w:val="ru-RU"/>
        </w:rPr>
        <w:t xml:space="preserve"> задвижващи </w:t>
      </w:r>
      <w:r w:rsidR="00CE03AA" w:rsidRPr="00F06DE2">
        <w:rPr>
          <w:rFonts w:ascii="Times New Roman" w:hAnsi="Times New Roman" w:cs="Times New Roman"/>
          <w:b/>
          <w:i/>
          <w:lang w:val="ru-RU"/>
        </w:rPr>
        <w:t xml:space="preserve"> системи</w:t>
      </w:r>
    </w:p>
    <w:p w14:paraId="369625B8" w14:textId="77777777" w:rsidR="00542313" w:rsidRPr="00F06DE2" w:rsidRDefault="00542313" w:rsidP="00542313">
      <w:pPr>
        <w:tabs>
          <w:tab w:val="left" w:pos="567"/>
        </w:tabs>
        <w:jc w:val="center"/>
        <w:rPr>
          <w:rFonts w:ascii="Times New Roman" w:hAnsi="Times New Roman" w:cs="Times New Roman"/>
          <w:b/>
          <w:lang w:val="ru-RU"/>
        </w:rPr>
      </w:pPr>
    </w:p>
    <w:p w14:paraId="25A4F152" w14:textId="77777777" w:rsidR="00CE03AA" w:rsidRPr="00F06DE2" w:rsidRDefault="00CE03AA" w:rsidP="00542313">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1. </w:t>
      </w:r>
      <w:r w:rsidRPr="00F06DE2">
        <w:rPr>
          <w:rFonts w:ascii="Times New Roman" w:hAnsi="Times New Roman" w:cs="Times New Roman"/>
          <w:lang w:val="ru-RU"/>
        </w:rPr>
        <w:tab/>
        <w:t>В допълнение към приложимите изисквания на глава 8, настоящата глава се прилага за електрически системи за задвижване.</w:t>
      </w:r>
    </w:p>
    <w:p w14:paraId="43CA8E3C" w14:textId="0D585E08" w:rsidR="00CE03AA" w:rsidRPr="00F06DE2" w:rsidRDefault="00CE03AA" w:rsidP="00542313">
      <w:pPr>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 Електрическата задвижваща система се състои най-малко от</w:t>
      </w:r>
      <w:r w:rsidR="0003658F" w:rsidRPr="00F06DE2">
        <w:rPr>
          <w:rFonts w:ascii="Times New Roman" w:hAnsi="Times New Roman" w:cs="Times New Roman"/>
          <w:lang w:val="ru-RU"/>
        </w:rPr>
        <w:t>:</w:t>
      </w:r>
    </w:p>
    <w:p w14:paraId="4CBF7D85" w14:textId="77777777"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а) подходящ брой източници на електрическа енергия</w:t>
      </w:r>
    </w:p>
    <w:p w14:paraId="693F3C78" w14:textId="770DAAC0"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xml:space="preserve">) един източник на електрическа мощност за електрическа задвижваща система с един главен </w:t>
      </w:r>
      <w:r w:rsidR="0041471C" w:rsidRPr="00F06DE2">
        <w:rPr>
          <w:rFonts w:ascii="Times New Roman" w:hAnsi="Times New Roman" w:cs="Times New Roman"/>
          <w:lang w:val="ru-RU"/>
        </w:rPr>
        <w:t xml:space="preserve"> движител</w:t>
      </w:r>
      <w:r w:rsidRPr="00F06DE2">
        <w:rPr>
          <w:rFonts w:ascii="Times New Roman" w:hAnsi="Times New Roman" w:cs="Times New Roman"/>
          <w:lang w:val="ru-RU"/>
        </w:rPr>
        <w:t>;</w:t>
      </w:r>
    </w:p>
    <w:p w14:paraId="39FFA9AD" w14:textId="625C6EC6"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 xml:space="preserve">бб) два източника на електрическа енергия за електрическа задвижваща система с повече от един основен </w:t>
      </w:r>
      <w:r w:rsidR="0041471C" w:rsidRPr="00F06DE2">
        <w:rPr>
          <w:rFonts w:ascii="Times New Roman" w:hAnsi="Times New Roman" w:cs="Times New Roman"/>
          <w:lang w:val="ru-RU"/>
        </w:rPr>
        <w:t xml:space="preserve"> движител</w:t>
      </w:r>
      <w:r w:rsidRPr="00F06DE2">
        <w:rPr>
          <w:rFonts w:ascii="Times New Roman" w:hAnsi="Times New Roman" w:cs="Times New Roman"/>
          <w:lang w:val="ru-RU"/>
        </w:rPr>
        <w:t>,</w:t>
      </w:r>
    </w:p>
    <w:p w14:paraId="201D22C6" w14:textId="77777777"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б) съответната разпределителна апаратура съгласно член 10.12,</w:t>
      </w:r>
    </w:p>
    <w:p w14:paraId="18CBC000" w14:textId="77777777"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в) електрически задвижващ двигател,</w:t>
      </w:r>
    </w:p>
    <w:p w14:paraId="5B919112" w14:textId="0F1298D8"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 xml:space="preserve">г) съответното оборудване за контрол, наблюдение и </w:t>
      </w:r>
      <w:r w:rsidR="006C1FDF" w:rsidRPr="00F06DE2">
        <w:rPr>
          <w:rFonts w:ascii="Times New Roman" w:hAnsi="Times New Roman" w:cs="Times New Roman"/>
          <w:lang w:val="ru-RU"/>
        </w:rPr>
        <w:t>сигнализация</w:t>
      </w:r>
      <w:r w:rsidRPr="00F06DE2">
        <w:rPr>
          <w:rFonts w:ascii="Times New Roman" w:hAnsi="Times New Roman" w:cs="Times New Roman"/>
          <w:lang w:val="ru-RU"/>
        </w:rPr>
        <w:t xml:space="preserve"> съгласно членове 7.03 и 7.04 и</w:t>
      </w:r>
    </w:p>
    <w:p w14:paraId="7A774DE8" w14:textId="77777777"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д) в зависимост от конструкцията на електрическата задвижваща система, съответната силова електроника.</w:t>
      </w:r>
    </w:p>
    <w:p w14:paraId="4DF4AC79" w14:textId="77777777" w:rsidR="00CE03AA" w:rsidRPr="00F06DE2" w:rsidRDefault="00CE03AA" w:rsidP="00542313">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3. </w:t>
      </w:r>
      <w:r w:rsidRPr="00F06DE2">
        <w:rPr>
          <w:rFonts w:ascii="Times New Roman" w:hAnsi="Times New Roman" w:cs="Times New Roman"/>
          <w:lang w:val="ru-RU"/>
        </w:rPr>
        <w:tab/>
        <w:t>Неизправност на системата за електрическо задвижване не трябва да възпрепятства работата на плавателния съд по такъв начин, че аварийните системи, предвидени в съответствие с този стандарт, по-специално рулевото управление със собствено захранване или аварийното електрическо захранване, да бъдат засегнати.</w:t>
      </w:r>
    </w:p>
    <w:p w14:paraId="3E898D13" w14:textId="41E046C9" w:rsidR="00CE03AA" w:rsidRPr="00F06DE2" w:rsidRDefault="00CE03AA" w:rsidP="00542313">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4. </w:t>
      </w:r>
      <w:r w:rsidRPr="00F06DE2">
        <w:rPr>
          <w:rFonts w:ascii="Times New Roman" w:hAnsi="Times New Roman" w:cs="Times New Roman"/>
          <w:lang w:val="ru-RU"/>
        </w:rPr>
        <w:tab/>
      </w:r>
      <w:r w:rsidR="00542313" w:rsidRPr="00F06DE2">
        <w:rPr>
          <w:rFonts w:ascii="Times New Roman" w:hAnsi="Times New Roman" w:cs="Times New Roman"/>
          <w:lang w:val="ru-RU"/>
        </w:rPr>
        <w:tab/>
      </w:r>
      <w:r w:rsidRPr="00F06DE2">
        <w:rPr>
          <w:rFonts w:ascii="Times New Roman" w:hAnsi="Times New Roman" w:cs="Times New Roman"/>
          <w:lang w:val="ru-RU"/>
        </w:rPr>
        <w:t>Две електрически системи за задвижване могат да се считат за независими само ако</w:t>
      </w:r>
    </w:p>
    <w:p w14:paraId="3DF5FA0E" w14:textId="77777777"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а) захранващите вериги на електрическите задвижващи двигатели са напълно отделени една от друга, или</w:t>
      </w:r>
    </w:p>
    <w:p w14:paraId="2086B0FF" w14:textId="77777777"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 xml:space="preserve">б) проучване на безопасността </w:t>
      </w:r>
      <w:r w:rsidRPr="00F06DE2">
        <w:rPr>
          <w:rFonts w:ascii="Times New Roman" w:hAnsi="Times New Roman" w:cs="Times New Roman"/>
        </w:rPr>
        <w:t>FMEA</w:t>
      </w:r>
      <w:r w:rsidRPr="00F06DE2">
        <w:rPr>
          <w:rFonts w:ascii="Times New Roman" w:hAnsi="Times New Roman" w:cs="Times New Roman"/>
          <w:lang w:val="ru-RU"/>
        </w:rPr>
        <w:t>-</w:t>
      </w:r>
      <w:r w:rsidRPr="00F06DE2">
        <w:rPr>
          <w:rFonts w:ascii="Times New Roman" w:hAnsi="Times New Roman" w:cs="Times New Roman"/>
        </w:rPr>
        <w:t>S</w:t>
      </w:r>
      <w:r w:rsidRPr="00F06DE2">
        <w:rPr>
          <w:rFonts w:ascii="Times New Roman" w:hAnsi="Times New Roman" w:cs="Times New Roman"/>
          <w:lang w:val="ru-RU"/>
        </w:rPr>
        <w:t xml:space="preserve"> показва, че нито една повреда на една електрическа задвижваща система не нарушава работата на другата, или</w:t>
      </w:r>
    </w:p>
    <w:p w14:paraId="6A40EC2B" w14:textId="246BA921"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в) те могат да бъдат отделени едн</w:t>
      </w:r>
      <w:r w:rsidR="006C1FDF" w:rsidRPr="00F06DE2">
        <w:rPr>
          <w:rFonts w:ascii="Times New Roman" w:hAnsi="Times New Roman" w:cs="Times New Roman"/>
          <w:lang w:val="ru-RU"/>
        </w:rPr>
        <w:t>а</w:t>
      </w:r>
      <w:r w:rsidRPr="00F06DE2">
        <w:rPr>
          <w:rFonts w:ascii="Times New Roman" w:hAnsi="Times New Roman" w:cs="Times New Roman"/>
          <w:lang w:val="ru-RU"/>
        </w:rPr>
        <w:t xml:space="preserve"> от друг</w:t>
      </w:r>
      <w:r w:rsidR="006C1FDF" w:rsidRPr="00F06DE2">
        <w:rPr>
          <w:rFonts w:ascii="Times New Roman" w:hAnsi="Times New Roman" w:cs="Times New Roman"/>
          <w:lang w:val="ru-RU"/>
        </w:rPr>
        <w:t>а</w:t>
      </w:r>
      <w:r w:rsidRPr="00F06DE2">
        <w:rPr>
          <w:rFonts w:ascii="Times New Roman" w:hAnsi="Times New Roman" w:cs="Times New Roman"/>
          <w:lang w:val="ru-RU"/>
        </w:rPr>
        <w:t xml:space="preserve"> чрез разделително устройство, което се активира автоматично в случай на неизправност или повреда на една от електрическите системи за задвижване и което освен това може да се активира ръчно. Разделителното устройство осигурява</w:t>
      </w:r>
    </w:p>
    <w:p w14:paraId="57B11D0A" w14:textId="51441D1F"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lastRenderedPageBreak/>
        <w:t xml:space="preserve">аа) </w:t>
      </w:r>
      <w:r w:rsidR="003435AF" w:rsidRPr="00F06DE2">
        <w:rPr>
          <w:rFonts w:ascii="Times New Roman" w:hAnsi="Times New Roman" w:cs="Times New Roman"/>
          <w:lang w:val="ru-RU"/>
        </w:rPr>
        <w:t xml:space="preserve"> определяне </w:t>
      </w:r>
      <w:r w:rsidRPr="00F06DE2">
        <w:rPr>
          <w:rFonts w:ascii="Times New Roman" w:hAnsi="Times New Roman" w:cs="Times New Roman"/>
          <w:lang w:val="ru-RU"/>
        </w:rPr>
        <w:t xml:space="preserve"> на късо съединение надолу и нагоре по веригата,</w:t>
      </w:r>
    </w:p>
    <w:p w14:paraId="40B3E64B" w14:textId="44409E15"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 xml:space="preserve">бб) </w:t>
      </w:r>
      <w:r w:rsidR="00266549" w:rsidRPr="00F06DE2">
        <w:rPr>
          <w:rFonts w:ascii="Times New Roman" w:hAnsi="Times New Roman" w:cs="Times New Roman"/>
          <w:lang w:val="ru-RU"/>
        </w:rPr>
        <w:t xml:space="preserve"> </w:t>
      </w:r>
      <w:r w:rsidR="00ED3ECD" w:rsidRPr="00F06DE2">
        <w:rPr>
          <w:rFonts w:ascii="Times New Roman" w:hAnsi="Times New Roman" w:cs="Times New Roman"/>
          <w:lang w:val="ru-RU"/>
        </w:rPr>
        <w:t xml:space="preserve">възможност за изключване при </w:t>
      </w:r>
      <w:r w:rsidRPr="00F06DE2">
        <w:rPr>
          <w:rFonts w:ascii="Times New Roman" w:hAnsi="Times New Roman" w:cs="Times New Roman"/>
          <w:lang w:val="ru-RU"/>
        </w:rPr>
        <w:t xml:space="preserve"> максимален ток на късо съединение, и</w:t>
      </w:r>
    </w:p>
    <w:p w14:paraId="5096A708" w14:textId="7DFD6A69" w:rsidR="00CE03AA" w:rsidRPr="00F06DE2" w:rsidRDefault="00CE03AA" w:rsidP="00542313">
      <w:pPr>
        <w:ind w:left="567"/>
        <w:jc w:val="both"/>
        <w:rPr>
          <w:rFonts w:ascii="Times New Roman" w:hAnsi="Times New Roman" w:cs="Times New Roman"/>
          <w:lang w:val="ru-RU"/>
        </w:rPr>
      </w:pPr>
      <w:r w:rsidRPr="00F06DE2">
        <w:rPr>
          <w:rFonts w:ascii="Times New Roman" w:hAnsi="Times New Roman" w:cs="Times New Roman"/>
          <w:lang w:val="ru-RU"/>
        </w:rPr>
        <w:t>вв) разделение</w:t>
      </w:r>
      <w:r w:rsidR="006666BE" w:rsidRPr="00F06DE2">
        <w:rPr>
          <w:rFonts w:ascii="Times New Roman" w:hAnsi="Times New Roman" w:cs="Times New Roman"/>
          <w:lang w:val="ru-RU"/>
        </w:rPr>
        <w:t xml:space="preserve"> чрез изолзция</w:t>
      </w:r>
      <w:r w:rsidRPr="00F06DE2">
        <w:rPr>
          <w:rFonts w:ascii="Times New Roman" w:hAnsi="Times New Roman" w:cs="Times New Roman"/>
          <w:lang w:val="ru-RU"/>
        </w:rPr>
        <w:t xml:space="preserve"> между двете електрически системи за задвижване, позволяващо безопасен достъп до изключена подсекция.</w:t>
      </w:r>
    </w:p>
    <w:p w14:paraId="3E92CB4D" w14:textId="582555E3" w:rsidR="00CE03AA" w:rsidRPr="00F06DE2" w:rsidRDefault="00CE03AA" w:rsidP="00542313">
      <w:pPr>
        <w:ind w:left="567" w:hanging="567"/>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Всеки електрически двигател трябва да бъде снабден с ръчно управлявано и специално устройство за аварийно изключване извън </w:t>
      </w:r>
      <w:r w:rsidR="003435AF" w:rsidRPr="00F06DE2">
        <w:rPr>
          <w:rFonts w:ascii="Times New Roman" w:hAnsi="Times New Roman" w:cs="Times New Roman"/>
          <w:lang w:val="ru-RU"/>
        </w:rPr>
        <w:t>място за управление</w:t>
      </w:r>
      <w:r w:rsidRPr="00F06DE2">
        <w:rPr>
          <w:rFonts w:ascii="Times New Roman" w:hAnsi="Times New Roman" w:cs="Times New Roman"/>
          <w:lang w:val="ru-RU"/>
        </w:rPr>
        <w:t>. Това изискване се счита за изпълнено, ако електрическите двигатели могат да бъдат изключени от съответните им разпределителни табла. Устройствата за аварийно изключване трябва да бъдат защитени срещу неволно задействане.</w:t>
      </w:r>
    </w:p>
    <w:p w14:paraId="208E2A4F" w14:textId="50621CE0" w:rsidR="00CE03AA" w:rsidRPr="00F06DE2" w:rsidRDefault="00CE03AA" w:rsidP="00542313">
      <w:pPr>
        <w:tabs>
          <w:tab w:val="left" w:pos="567"/>
        </w:tabs>
        <w:ind w:left="567" w:hanging="720"/>
        <w:jc w:val="both"/>
        <w:rPr>
          <w:rFonts w:ascii="Times New Roman" w:hAnsi="Times New Roman" w:cs="Times New Roman"/>
          <w:lang w:val="ru-RU"/>
        </w:rPr>
      </w:pPr>
      <w:r w:rsidRPr="00F06DE2">
        <w:rPr>
          <w:rFonts w:ascii="Times New Roman" w:hAnsi="Times New Roman" w:cs="Times New Roman"/>
          <w:lang w:val="ru-RU"/>
        </w:rPr>
        <w:t xml:space="preserve">6. </w:t>
      </w:r>
      <w:r w:rsidRPr="00F06DE2">
        <w:rPr>
          <w:rFonts w:ascii="Times New Roman" w:hAnsi="Times New Roman" w:cs="Times New Roman"/>
          <w:lang w:val="ru-RU"/>
        </w:rPr>
        <w:tab/>
        <w:t>Източниците на електрическа енергия трябва да бъдат проектирани по такъв начин, че, като се вземе предвид концепцията на електрическата система за задвижване, да могат да поемат обратната мощност, възникваща по време на маневри на заден ход.</w:t>
      </w:r>
    </w:p>
    <w:p w14:paraId="08F9CA4E" w14:textId="77777777" w:rsidR="00CE03AA" w:rsidRPr="00F06DE2" w:rsidRDefault="00CE03AA" w:rsidP="00542313">
      <w:pPr>
        <w:tabs>
          <w:tab w:val="left" w:pos="567"/>
        </w:tabs>
        <w:autoSpaceDE w:val="0"/>
        <w:autoSpaceDN w:val="0"/>
        <w:adjustRightInd w:val="0"/>
        <w:spacing w:line="240" w:lineRule="atLeast"/>
        <w:ind w:left="567" w:hanging="567"/>
        <w:jc w:val="both"/>
        <w:rPr>
          <w:rFonts w:ascii="Times New Roman" w:hAnsi="Times New Roman" w:cs="Times New Roman"/>
          <w:iCs/>
          <w:strike/>
          <w:lang w:val="ru-RU" w:eastAsia="bg-BG"/>
        </w:rPr>
      </w:pPr>
    </w:p>
    <w:p w14:paraId="5452C2BA" w14:textId="77777777" w:rsidR="00952220" w:rsidRPr="00F06DE2" w:rsidRDefault="00D35E51" w:rsidP="00542313">
      <w:pPr>
        <w:tabs>
          <w:tab w:val="left" w:pos="567"/>
        </w:tabs>
        <w:ind w:left="720" w:hanging="720"/>
        <w:jc w:val="center"/>
        <w:rPr>
          <w:rFonts w:ascii="Times New Roman" w:hAnsi="Times New Roman" w:cs="Times New Roman"/>
          <w:b/>
          <w:iCs/>
          <w:lang w:val="ru-RU" w:eastAsia="bg-BG"/>
        </w:rPr>
      </w:pPr>
      <w:r w:rsidRPr="00F06DE2">
        <w:rPr>
          <w:rFonts w:ascii="Times New Roman" w:hAnsi="Times New Roman" w:cs="Times New Roman"/>
          <w:b/>
          <w:iCs/>
          <w:lang w:val="ru-RU" w:eastAsia="bg-BG"/>
        </w:rPr>
        <w:t>Член 11.02</w:t>
      </w:r>
    </w:p>
    <w:p w14:paraId="3F65BDF1" w14:textId="5EFAA466" w:rsidR="0074616F" w:rsidRPr="00F06DE2" w:rsidRDefault="0074616F" w:rsidP="00542313">
      <w:pPr>
        <w:tabs>
          <w:tab w:val="left" w:pos="567"/>
        </w:tabs>
        <w:ind w:left="567" w:hanging="567"/>
        <w:jc w:val="center"/>
        <w:rPr>
          <w:rFonts w:ascii="Times New Roman" w:hAnsi="Times New Roman" w:cs="Times New Roman"/>
          <w:b/>
          <w:i/>
          <w:lang w:val="ru-RU"/>
        </w:rPr>
      </w:pPr>
      <w:r w:rsidRPr="00F06DE2">
        <w:rPr>
          <w:rFonts w:ascii="Times New Roman" w:hAnsi="Times New Roman" w:cs="Times New Roman"/>
          <w:b/>
          <w:i/>
          <w:lang w:val="ru-RU"/>
        </w:rPr>
        <w:t>Генератори, трансформатори и разпределителни устройства за системи за</w:t>
      </w:r>
      <w:r w:rsidR="00803F99" w:rsidRPr="00F06DE2">
        <w:rPr>
          <w:rFonts w:ascii="Times New Roman" w:hAnsi="Times New Roman" w:cs="Times New Roman"/>
          <w:b/>
          <w:i/>
          <w:lang w:val="ru-RU"/>
        </w:rPr>
        <w:t xml:space="preserve"> електрическо </w:t>
      </w:r>
      <w:r w:rsidRPr="00F06DE2">
        <w:rPr>
          <w:rFonts w:ascii="Times New Roman" w:hAnsi="Times New Roman" w:cs="Times New Roman"/>
          <w:b/>
          <w:i/>
          <w:lang w:val="ru-RU"/>
        </w:rPr>
        <w:t xml:space="preserve"> задвижване </w:t>
      </w:r>
    </w:p>
    <w:p w14:paraId="40287E01" w14:textId="0400C7DA" w:rsidR="0074616F" w:rsidRPr="00F06DE2" w:rsidRDefault="0074616F" w:rsidP="00542313">
      <w:pPr>
        <w:tabs>
          <w:tab w:val="left" w:pos="567"/>
        </w:tabs>
        <w:ind w:left="567" w:hanging="567"/>
        <w:rPr>
          <w:rFonts w:ascii="Times New Roman" w:hAnsi="Times New Roman" w:cs="Times New Roman"/>
          <w:lang w:val="ru-RU"/>
        </w:rPr>
      </w:pPr>
      <w:r w:rsidRPr="00F06DE2">
        <w:rPr>
          <w:rFonts w:ascii="Times New Roman" w:hAnsi="Times New Roman" w:cs="Times New Roman"/>
          <w:lang w:val="ru-RU"/>
        </w:rPr>
        <w:t xml:space="preserve">1. </w:t>
      </w:r>
      <w:r w:rsidR="00952220" w:rsidRPr="00F06DE2">
        <w:rPr>
          <w:rFonts w:ascii="Times New Roman" w:hAnsi="Times New Roman" w:cs="Times New Roman"/>
          <w:lang w:val="ru-RU"/>
        </w:rPr>
        <w:tab/>
      </w:r>
      <w:r w:rsidRPr="00F06DE2">
        <w:rPr>
          <w:rFonts w:ascii="Times New Roman" w:hAnsi="Times New Roman" w:cs="Times New Roman"/>
          <w:lang w:val="ru-RU"/>
        </w:rPr>
        <w:t>Генераторите, трансформаторите и разпределителната апаратура трябва да са проектирани за</w:t>
      </w:r>
    </w:p>
    <w:p w14:paraId="6C76C4C7" w14:textId="7909C1FE" w:rsidR="0074616F" w:rsidRPr="00F06DE2" w:rsidRDefault="00542313" w:rsidP="00542313">
      <w:pPr>
        <w:tabs>
          <w:tab w:val="left" w:pos="567"/>
        </w:tabs>
        <w:ind w:left="567" w:hanging="567"/>
        <w:rPr>
          <w:rFonts w:ascii="Times New Roman" w:hAnsi="Times New Roman" w:cs="Times New Roman"/>
          <w:lang w:val="ru-RU"/>
        </w:rPr>
      </w:pPr>
      <w:r w:rsidRPr="00F06DE2">
        <w:rPr>
          <w:rFonts w:ascii="Times New Roman" w:hAnsi="Times New Roman" w:cs="Times New Roman"/>
          <w:lang w:val="ru-RU"/>
        </w:rPr>
        <w:tab/>
      </w:r>
      <w:r w:rsidR="0074616F" w:rsidRPr="00F06DE2">
        <w:rPr>
          <w:rFonts w:ascii="Times New Roman" w:hAnsi="Times New Roman" w:cs="Times New Roman"/>
          <w:lang w:val="ru-RU"/>
        </w:rPr>
        <w:t>а) временни претоварвания и</w:t>
      </w:r>
    </w:p>
    <w:p w14:paraId="64FCB3DA" w14:textId="1F8CC4DF" w:rsidR="0074616F" w:rsidRPr="00F06DE2" w:rsidRDefault="00542313" w:rsidP="00542313">
      <w:pPr>
        <w:tabs>
          <w:tab w:val="left" w:pos="567"/>
        </w:tabs>
        <w:ind w:left="567" w:hanging="567"/>
        <w:rPr>
          <w:rFonts w:ascii="Times New Roman" w:hAnsi="Times New Roman" w:cs="Times New Roman"/>
          <w:lang w:val="ru-RU"/>
        </w:rPr>
      </w:pPr>
      <w:r w:rsidRPr="00F06DE2">
        <w:rPr>
          <w:rFonts w:ascii="Times New Roman" w:hAnsi="Times New Roman" w:cs="Times New Roman"/>
          <w:lang w:val="ru-RU"/>
        </w:rPr>
        <w:tab/>
      </w:r>
      <w:r w:rsidR="0074616F" w:rsidRPr="00F06DE2">
        <w:rPr>
          <w:rFonts w:ascii="Times New Roman" w:hAnsi="Times New Roman" w:cs="Times New Roman"/>
          <w:lang w:val="ru-RU"/>
        </w:rPr>
        <w:t>б) ефектите от маневрите</w:t>
      </w:r>
      <w:r w:rsidRPr="00F06DE2">
        <w:rPr>
          <w:rFonts w:ascii="Times New Roman" w:hAnsi="Times New Roman" w:cs="Times New Roman"/>
          <w:lang w:val="ru-RU"/>
        </w:rPr>
        <w:t xml:space="preserve"> </w:t>
      </w:r>
      <w:r w:rsidR="00D73ECD" w:rsidRPr="00F06DE2">
        <w:rPr>
          <w:rFonts w:ascii="Times New Roman" w:hAnsi="Times New Roman" w:cs="Times New Roman"/>
          <w:lang w:val="ru-RU"/>
        </w:rPr>
        <w:t>съгласно</w:t>
      </w:r>
      <w:r w:rsidR="0074616F" w:rsidRPr="00F06DE2">
        <w:rPr>
          <w:rFonts w:ascii="Times New Roman" w:hAnsi="Times New Roman" w:cs="Times New Roman"/>
          <w:lang w:val="ru-RU"/>
        </w:rPr>
        <w:t xml:space="preserve"> тяхното приложение и условия на работа.</w:t>
      </w:r>
    </w:p>
    <w:p w14:paraId="3C3CFD20" w14:textId="2CEF858D" w:rsidR="00271FA2" w:rsidRPr="00F06DE2" w:rsidRDefault="0074616F" w:rsidP="00542313">
      <w:pPr>
        <w:tabs>
          <w:tab w:val="left" w:pos="0"/>
          <w:tab w:val="left" w:pos="567"/>
          <w:tab w:val="left" w:pos="1276"/>
        </w:tabs>
        <w:autoSpaceDE w:val="0"/>
        <w:autoSpaceDN w:val="0"/>
        <w:adjustRightInd w:val="0"/>
        <w:spacing w:line="240" w:lineRule="atLeast"/>
        <w:ind w:left="567" w:hanging="567"/>
        <w:jc w:val="both"/>
        <w:rPr>
          <w:rFonts w:ascii="Times New Roman" w:hAnsi="Times New Roman" w:cs="Times New Roman"/>
          <w:lang w:val="ru-RU"/>
        </w:rPr>
      </w:pPr>
      <w:r w:rsidRPr="00F06DE2">
        <w:rPr>
          <w:rFonts w:ascii="Times New Roman" w:hAnsi="Times New Roman" w:cs="Times New Roman"/>
          <w:iCs/>
          <w:lang w:val="ru-RU" w:eastAsia="bg-BG"/>
        </w:rPr>
        <w:t>2</w:t>
      </w:r>
      <w:r w:rsidR="00952220" w:rsidRPr="00F06DE2">
        <w:rPr>
          <w:rFonts w:ascii="Times New Roman" w:hAnsi="Times New Roman" w:cs="Times New Roman"/>
          <w:iCs/>
          <w:lang w:val="ru-RU" w:eastAsia="bg-BG"/>
        </w:rPr>
        <w:t>.</w:t>
      </w:r>
      <w:r w:rsidRPr="00F06DE2">
        <w:rPr>
          <w:rFonts w:ascii="Times New Roman" w:hAnsi="Times New Roman" w:cs="Times New Roman"/>
          <w:iCs/>
          <w:lang w:val="ru-RU" w:eastAsia="bg-BG"/>
        </w:rPr>
        <w:t xml:space="preserve">    </w:t>
      </w:r>
      <w:r w:rsidR="00952220" w:rsidRPr="00F06DE2">
        <w:rPr>
          <w:rFonts w:ascii="Times New Roman" w:hAnsi="Times New Roman" w:cs="Times New Roman"/>
          <w:iCs/>
          <w:lang w:val="ru-RU" w:eastAsia="bg-BG"/>
        </w:rPr>
        <w:tab/>
      </w:r>
      <w:r w:rsidRPr="00F06DE2">
        <w:rPr>
          <w:rFonts w:ascii="Times New Roman" w:hAnsi="Times New Roman" w:cs="Times New Roman"/>
          <w:lang w:val="ru-RU"/>
        </w:rPr>
        <w:t xml:space="preserve">Горивните регулатори на двигателите с вътрешно горене </w:t>
      </w:r>
      <w:r w:rsidR="00165C5A" w:rsidRPr="00F06DE2">
        <w:rPr>
          <w:rFonts w:ascii="Times New Roman" w:hAnsi="Times New Roman" w:cs="Times New Roman"/>
          <w:lang w:val="ru-RU"/>
        </w:rPr>
        <w:t xml:space="preserve">на </w:t>
      </w:r>
      <w:r w:rsidRPr="00F06DE2">
        <w:rPr>
          <w:rFonts w:ascii="Times New Roman" w:hAnsi="Times New Roman" w:cs="Times New Roman"/>
          <w:lang w:val="ru-RU"/>
        </w:rPr>
        <w:t xml:space="preserve"> генератори</w:t>
      </w:r>
      <w:r w:rsidR="00165C5A" w:rsidRPr="00F06DE2">
        <w:rPr>
          <w:rFonts w:ascii="Times New Roman" w:hAnsi="Times New Roman" w:cs="Times New Roman"/>
          <w:lang w:val="ru-RU"/>
        </w:rPr>
        <w:t xml:space="preserve">те </w:t>
      </w:r>
      <w:r w:rsidRPr="00F06DE2">
        <w:rPr>
          <w:rFonts w:ascii="Times New Roman" w:hAnsi="Times New Roman" w:cs="Times New Roman"/>
          <w:lang w:val="ru-RU"/>
        </w:rPr>
        <w:t xml:space="preserve"> на </w:t>
      </w:r>
      <w:r w:rsidR="00165C5A" w:rsidRPr="00F06DE2">
        <w:rPr>
          <w:rFonts w:ascii="Times New Roman" w:hAnsi="Times New Roman" w:cs="Times New Roman"/>
          <w:lang w:val="ru-RU"/>
        </w:rPr>
        <w:t xml:space="preserve">електрическата пропулсивна </w:t>
      </w:r>
      <w:r w:rsidRPr="00F06DE2">
        <w:rPr>
          <w:rFonts w:ascii="Times New Roman" w:hAnsi="Times New Roman" w:cs="Times New Roman"/>
          <w:lang w:val="ru-RU"/>
        </w:rPr>
        <w:t xml:space="preserve">систем трябва да осигуряват безопасна работа в целия скоростен диапазон и за всички условия на плаване и маневриране при единична и паралелна работа. Тази  разпоредба се прилага </w:t>
      </w:r>
      <w:r w:rsidRPr="00F06DE2">
        <w:rPr>
          <w:rFonts w:ascii="Times New Roman" w:hAnsi="Times New Roman" w:cs="Times New Roman"/>
        </w:rPr>
        <w:t>mutatis</w:t>
      </w:r>
      <w:r w:rsidRPr="00F06DE2">
        <w:rPr>
          <w:rFonts w:ascii="Times New Roman" w:hAnsi="Times New Roman" w:cs="Times New Roman"/>
          <w:lang w:val="ru-RU"/>
        </w:rPr>
        <w:t xml:space="preserve"> </w:t>
      </w:r>
      <w:r w:rsidRPr="00F06DE2">
        <w:rPr>
          <w:rFonts w:ascii="Times New Roman" w:hAnsi="Times New Roman" w:cs="Times New Roman"/>
        </w:rPr>
        <w:t>mutandis</w:t>
      </w:r>
      <w:r w:rsidRPr="00F06DE2">
        <w:rPr>
          <w:rFonts w:ascii="Times New Roman" w:hAnsi="Times New Roman" w:cs="Times New Roman"/>
          <w:lang w:val="ru-RU"/>
        </w:rPr>
        <w:t xml:space="preserve"> за горивните регулатори на горивните клетки.</w:t>
      </w:r>
    </w:p>
    <w:p w14:paraId="588A1850" w14:textId="201723B6" w:rsidR="0074616F" w:rsidRPr="00F06DE2" w:rsidRDefault="00952220" w:rsidP="00542313">
      <w:pPr>
        <w:tabs>
          <w:tab w:val="left" w:pos="567"/>
        </w:tabs>
        <w:ind w:left="567" w:hanging="567"/>
        <w:rPr>
          <w:rFonts w:ascii="Times New Roman" w:hAnsi="Times New Roman" w:cs="Times New Roman"/>
          <w:lang w:val="ru-RU" w:eastAsia="bg-BG"/>
        </w:rPr>
      </w:pPr>
      <w:r w:rsidRPr="00F06DE2">
        <w:rPr>
          <w:rFonts w:ascii="Times New Roman" w:hAnsi="Times New Roman" w:cs="Times New Roman"/>
          <w:iCs/>
          <w:lang w:val="ru-RU" w:eastAsia="bg-BG"/>
        </w:rPr>
        <w:t xml:space="preserve">3. </w:t>
      </w:r>
      <w:r w:rsidRPr="00F06DE2">
        <w:rPr>
          <w:rFonts w:ascii="Times New Roman" w:hAnsi="Times New Roman" w:cs="Times New Roman"/>
          <w:iCs/>
          <w:lang w:val="ru-RU" w:eastAsia="bg-BG"/>
        </w:rPr>
        <w:tab/>
      </w:r>
      <w:r w:rsidR="0074616F" w:rsidRPr="00F06DE2">
        <w:rPr>
          <w:rFonts w:ascii="Times New Roman" w:hAnsi="Times New Roman" w:cs="Times New Roman"/>
          <w:lang w:val="ru-RU" w:eastAsia="bg-BG"/>
        </w:rPr>
        <w:t>Когато генераторите са елементи на интегрирано захранване, електрическата задвижваща система не трябва да се прекъсва при включване или изключване на отделни генератори.</w:t>
      </w:r>
    </w:p>
    <w:p w14:paraId="44D399D7" w14:textId="77777777" w:rsidR="0074616F" w:rsidRPr="00F06DE2" w:rsidRDefault="0074616F" w:rsidP="00542313">
      <w:pPr>
        <w:tabs>
          <w:tab w:val="left" w:pos="0"/>
          <w:tab w:val="left" w:pos="567"/>
        </w:tabs>
        <w:autoSpaceDE w:val="0"/>
        <w:autoSpaceDN w:val="0"/>
        <w:adjustRightInd w:val="0"/>
        <w:spacing w:line="240" w:lineRule="atLeast"/>
        <w:jc w:val="both"/>
        <w:rPr>
          <w:rFonts w:ascii="Times New Roman" w:hAnsi="Times New Roman" w:cs="Times New Roman"/>
          <w:iCs/>
          <w:lang w:val="ru-RU" w:eastAsia="bg-BG"/>
        </w:rPr>
      </w:pPr>
    </w:p>
    <w:p w14:paraId="04C1B2B6" w14:textId="4C66DFF7" w:rsidR="00271FA2" w:rsidRPr="00F06DE2" w:rsidRDefault="00D35E51" w:rsidP="00542313">
      <w:pPr>
        <w:autoSpaceDE w:val="0"/>
        <w:autoSpaceDN w:val="0"/>
        <w:adjustRightInd w:val="0"/>
        <w:spacing w:line="240" w:lineRule="atLeast"/>
        <w:jc w:val="center"/>
        <w:rPr>
          <w:rFonts w:ascii="Times New Roman" w:hAnsi="Times New Roman" w:cs="Times New Roman"/>
          <w:b/>
          <w:i/>
          <w:iCs/>
          <w:lang w:val="ru-RU" w:eastAsia="bg-BG"/>
        </w:rPr>
      </w:pPr>
      <w:r w:rsidRPr="00F06DE2">
        <w:rPr>
          <w:rFonts w:ascii="Times New Roman" w:hAnsi="Times New Roman" w:cs="Times New Roman"/>
          <w:b/>
          <w:iCs/>
          <w:lang w:val="ru-RU" w:eastAsia="bg-BG"/>
        </w:rPr>
        <w:t>Член 11.03</w:t>
      </w:r>
      <w:r w:rsidRPr="00F06DE2">
        <w:rPr>
          <w:rFonts w:ascii="Times New Roman" w:hAnsi="Times New Roman" w:cs="Times New Roman"/>
          <w:b/>
          <w:lang w:val="ru-RU"/>
        </w:rPr>
        <w:br/>
      </w:r>
      <w:r w:rsidR="0066556B" w:rsidRPr="00F06DE2">
        <w:rPr>
          <w:rFonts w:ascii="Times New Roman" w:hAnsi="Times New Roman" w:cs="Times New Roman"/>
          <w:b/>
          <w:i/>
          <w:lang w:val="ru-RU"/>
        </w:rPr>
        <w:t>Електрически задвижващи двигатели за електрически системи за задвижване</w:t>
      </w:r>
    </w:p>
    <w:p w14:paraId="73DE3BB7" w14:textId="21AAF6AD" w:rsidR="0066556B" w:rsidRPr="00F06DE2" w:rsidRDefault="00D35E51" w:rsidP="00542313">
      <w:pPr>
        <w:ind w:left="567" w:hanging="567"/>
        <w:rPr>
          <w:rFonts w:ascii="Times New Roman" w:hAnsi="Times New Roman" w:cs="Times New Roman"/>
          <w:lang w:val="ru-RU"/>
        </w:rPr>
      </w:pPr>
      <w:r w:rsidRPr="00F06DE2">
        <w:rPr>
          <w:rFonts w:ascii="Times New Roman" w:hAnsi="Times New Roman" w:cs="Times New Roman"/>
          <w:iCs/>
          <w:lang w:val="ru-RU" w:eastAsia="bg-BG"/>
        </w:rPr>
        <w:t>1.</w:t>
      </w:r>
      <w:r w:rsidRPr="00F06DE2">
        <w:rPr>
          <w:rFonts w:ascii="Times New Roman" w:hAnsi="Times New Roman" w:cs="Times New Roman"/>
          <w:iCs/>
          <w:lang w:val="ru-RU" w:eastAsia="bg-BG"/>
        </w:rPr>
        <w:tab/>
      </w:r>
      <w:r w:rsidR="0066556B" w:rsidRPr="00F06DE2">
        <w:rPr>
          <w:rFonts w:ascii="Times New Roman" w:hAnsi="Times New Roman" w:cs="Times New Roman"/>
          <w:lang w:val="ru-RU"/>
        </w:rPr>
        <w:t>Електрическите задвижващи двигатели, като се вземат предвид тяхното приложение и условия на работа, трябва да бъдат проектирани по такъв начин, че промените в натоварването, включително краткотрайни претоварвания, и маневрите да не влошават тяхната безопасна работа.</w:t>
      </w:r>
    </w:p>
    <w:p w14:paraId="781B3804" w14:textId="7BF34C36" w:rsidR="00271FA2" w:rsidRPr="00F06DE2" w:rsidRDefault="00952220" w:rsidP="00542313">
      <w:pPr>
        <w:ind w:left="567" w:hanging="567"/>
        <w:rPr>
          <w:rFonts w:ascii="Times New Roman" w:hAnsi="Times New Roman" w:cs="Times New Roman"/>
          <w:iCs/>
          <w:strike/>
          <w:lang w:val="ru-RU" w:eastAsia="bg-BG"/>
        </w:rPr>
      </w:pPr>
      <w:r w:rsidRPr="00F06DE2">
        <w:rPr>
          <w:rFonts w:ascii="Times New Roman" w:hAnsi="Times New Roman" w:cs="Times New Roman"/>
          <w:iCs/>
          <w:lang w:val="ru-RU" w:eastAsia="bg-BG"/>
        </w:rPr>
        <w:t>2.</w:t>
      </w:r>
      <w:r w:rsidRPr="00F06DE2">
        <w:rPr>
          <w:rFonts w:ascii="Times New Roman" w:hAnsi="Times New Roman" w:cs="Times New Roman"/>
          <w:iCs/>
          <w:lang w:val="ru-RU" w:eastAsia="bg-BG"/>
        </w:rPr>
        <w:tab/>
      </w:r>
      <w:r w:rsidR="00733553" w:rsidRPr="00F06DE2">
        <w:rPr>
          <w:rFonts w:ascii="Times New Roman" w:hAnsi="Times New Roman" w:cs="Times New Roman"/>
          <w:lang w:val="ru-RU"/>
        </w:rPr>
        <w:t>Е</w:t>
      </w:r>
      <w:r w:rsidR="00DF55B7" w:rsidRPr="00F06DE2">
        <w:rPr>
          <w:rFonts w:ascii="Times New Roman" w:hAnsi="Times New Roman" w:cs="Times New Roman"/>
          <w:lang w:val="ru-RU"/>
        </w:rPr>
        <w:t>лектрическите задвижващи двигатели трябва да бъдат проектирани по такъв начин, че хармониците на токовете и напреженията да не влошават тяхната безопасна работа.</w:t>
      </w:r>
    </w:p>
    <w:p w14:paraId="4740EA63" w14:textId="4EAF44EE" w:rsidR="00271FA2" w:rsidRPr="00F06DE2" w:rsidRDefault="00D35E51" w:rsidP="00542313">
      <w:pPr>
        <w:autoSpaceDE w:val="0"/>
        <w:autoSpaceDN w:val="0"/>
        <w:adjustRightInd w:val="0"/>
        <w:spacing w:line="240" w:lineRule="atLeast"/>
        <w:ind w:left="567" w:hanging="567"/>
        <w:jc w:val="both"/>
        <w:rPr>
          <w:rFonts w:ascii="Times New Roman" w:hAnsi="Times New Roman" w:cs="Times New Roman"/>
          <w:iCs/>
          <w:lang w:val="ru-RU" w:eastAsia="bg-BG"/>
        </w:rPr>
      </w:pPr>
      <w:r w:rsidRPr="00F06DE2">
        <w:rPr>
          <w:rFonts w:ascii="Times New Roman" w:hAnsi="Times New Roman" w:cs="Times New Roman"/>
          <w:iCs/>
          <w:lang w:val="ru-RU" w:eastAsia="bg-BG"/>
        </w:rPr>
        <w:t>3.</w:t>
      </w:r>
      <w:r w:rsidRPr="00F06DE2">
        <w:rPr>
          <w:rFonts w:ascii="Times New Roman" w:hAnsi="Times New Roman" w:cs="Times New Roman"/>
          <w:iCs/>
          <w:lang w:val="ru-RU" w:eastAsia="bg-BG"/>
        </w:rPr>
        <w:tab/>
      </w:r>
      <w:r w:rsidR="00DF55B7" w:rsidRPr="00F06DE2">
        <w:rPr>
          <w:rFonts w:ascii="Times New Roman" w:hAnsi="Times New Roman" w:cs="Times New Roman"/>
          <w:lang w:val="ru-RU"/>
        </w:rPr>
        <w:t xml:space="preserve">Изолацията на намотките трябва да бъде проектирана за </w:t>
      </w:r>
      <w:r w:rsidR="00220BB1" w:rsidRPr="00F06DE2">
        <w:rPr>
          <w:rFonts w:ascii="Times New Roman" w:hAnsi="Times New Roman" w:cs="Times New Roman"/>
          <w:lang w:val="ru-RU"/>
        </w:rPr>
        <w:t>претоварване по напрежение</w:t>
      </w:r>
      <w:r w:rsidR="00DF55B7" w:rsidRPr="00F06DE2">
        <w:rPr>
          <w:rFonts w:ascii="Times New Roman" w:hAnsi="Times New Roman" w:cs="Times New Roman"/>
          <w:lang w:val="ru-RU"/>
        </w:rPr>
        <w:t xml:space="preserve">, които могат да възникнат поради маневри и превключващи операции. Това се счита за изпълнено, ако материалът на намотките отговаря на класове </w:t>
      </w:r>
      <w:r w:rsidR="00DF55B7" w:rsidRPr="00F06DE2">
        <w:rPr>
          <w:rFonts w:ascii="Times New Roman" w:hAnsi="Times New Roman" w:cs="Times New Roman"/>
        </w:rPr>
        <w:t>B</w:t>
      </w:r>
      <w:r w:rsidR="00DF55B7" w:rsidRPr="00F06DE2">
        <w:rPr>
          <w:rFonts w:ascii="Times New Roman" w:hAnsi="Times New Roman" w:cs="Times New Roman"/>
          <w:lang w:val="ru-RU"/>
        </w:rPr>
        <w:t xml:space="preserve">, </w:t>
      </w:r>
      <w:r w:rsidR="00DF55B7" w:rsidRPr="00F06DE2">
        <w:rPr>
          <w:rFonts w:ascii="Times New Roman" w:hAnsi="Times New Roman" w:cs="Times New Roman"/>
        </w:rPr>
        <w:t>F</w:t>
      </w:r>
      <w:r w:rsidR="00DF55B7" w:rsidRPr="00F06DE2">
        <w:rPr>
          <w:rFonts w:ascii="Times New Roman" w:hAnsi="Times New Roman" w:cs="Times New Roman"/>
          <w:lang w:val="ru-RU"/>
        </w:rPr>
        <w:t xml:space="preserve"> или </w:t>
      </w:r>
      <w:r w:rsidR="00DF55B7" w:rsidRPr="00F06DE2">
        <w:rPr>
          <w:rFonts w:ascii="Times New Roman" w:hAnsi="Times New Roman" w:cs="Times New Roman"/>
        </w:rPr>
        <w:t>H</w:t>
      </w:r>
      <w:r w:rsidR="00DF55B7" w:rsidRPr="00F06DE2">
        <w:rPr>
          <w:rFonts w:ascii="Times New Roman" w:hAnsi="Times New Roman" w:cs="Times New Roman"/>
          <w:lang w:val="ru-RU"/>
        </w:rPr>
        <w:t xml:space="preserve"> в съответствие с европейския стандарт </w:t>
      </w:r>
      <w:r w:rsidR="00DF55B7" w:rsidRPr="00F06DE2">
        <w:rPr>
          <w:rFonts w:ascii="Times New Roman" w:hAnsi="Times New Roman" w:cs="Times New Roman"/>
        </w:rPr>
        <w:t>EN</w:t>
      </w:r>
      <w:r w:rsidR="00DF55B7" w:rsidRPr="00F06DE2">
        <w:rPr>
          <w:rFonts w:ascii="Times New Roman" w:hAnsi="Times New Roman" w:cs="Times New Roman"/>
          <w:lang w:val="ru-RU"/>
        </w:rPr>
        <w:t xml:space="preserve"> 60085:2008.</w:t>
      </w:r>
    </w:p>
    <w:p w14:paraId="0CE52197" w14:textId="77777777" w:rsidR="00542313" w:rsidRPr="00F06DE2" w:rsidRDefault="00542313" w:rsidP="00542313">
      <w:pPr>
        <w:tabs>
          <w:tab w:val="left" w:pos="567"/>
          <w:tab w:val="left" w:pos="1276"/>
        </w:tabs>
        <w:autoSpaceDE w:val="0"/>
        <w:autoSpaceDN w:val="0"/>
        <w:adjustRightInd w:val="0"/>
        <w:spacing w:line="240" w:lineRule="atLeast"/>
        <w:jc w:val="center"/>
        <w:rPr>
          <w:rFonts w:ascii="Times New Roman" w:hAnsi="Times New Roman" w:cs="Times New Roman"/>
          <w:b/>
          <w:iCs/>
          <w:lang w:val="ru-RU" w:eastAsia="bg-BG"/>
        </w:rPr>
      </w:pPr>
    </w:p>
    <w:p w14:paraId="2157A3FF" w14:textId="448712B2" w:rsidR="00271FA2" w:rsidRPr="00F06DE2" w:rsidRDefault="00D35E51" w:rsidP="00542313">
      <w:pPr>
        <w:tabs>
          <w:tab w:val="left" w:pos="567"/>
          <w:tab w:val="left" w:pos="1276"/>
        </w:tabs>
        <w:autoSpaceDE w:val="0"/>
        <w:autoSpaceDN w:val="0"/>
        <w:adjustRightInd w:val="0"/>
        <w:spacing w:line="240" w:lineRule="atLeast"/>
        <w:jc w:val="center"/>
        <w:rPr>
          <w:rFonts w:ascii="Times New Roman" w:hAnsi="Times New Roman" w:cs="Times New Roman"/>
          <w:b/>
          <w:iCs/>
          <w:lang w:val="ru-RU" w:eastAsia="bg-BG"/>
        </w:rPr>
      </w:pPr>
      <w:r w:rsidRPr="00F06DE2">
        <w:rPr>
          <w:rFonts w:ascii="Times New Roman" w:hAnsi="Times New Roman" w:cs="Times New Roman"/>
          <w:b/>
          <w:iCs/>
          <w:lang w:val="ru-RU" w:eastAsia="bg-BG"/>
        </w:rPr>
        <w:t>Член 11.04</w:t>
      </w:r>
      <w:r w:rsidRPr="00F06DE2">
        <w:rPr>
          <w:rFonts w:ascii="Times New Roman" w:hAnsi="Times New Roman" w:cs="Times New Roman"/>
          <w:b/>
          <w:lang w:val="ru-RU"/>
        </w:rPr>
        <w:br/>
      </w:r>
      <w:r w:rsidRPr="00F06DE2">
        <w:rPr>
          <w:rFonts w:ascii="Times New Roman" w:hAnsi="Times New Roman" w:cs="Times New Roman"/>
          <w:b/>
          <w:i/>
          <w:iCs/>
          <w:lang w:val="ru-RU" w:eastAsia="bg-BG"/>
        </w:rPr>
        <w:t xml:space="preserve">Силова електроника за </w:t>
      </w:r>
      <w:r w:rsidR="00256490" w:rsidRPr="00F06DE2">
        <w:rPr>
          <w:rFonts w:ascii="Times New Roman" w:hAnsi="Times New Roman" w:cs="Times New Roman"/>
          <w:b/>
          <w:i/>
          <w:iCs/>
          <w:lang w:val="ru-RU" w:eastAsia="bg-BG"/>
        </w:rPr>
        <w:t xml:space="preserve">електрически </w:t>
      </w:r>
      <w:r w:rsidR="00266549" w:rsidRPr="00F06DE2">
        <w:rPr>
          <w:rFonts w:ascii="Times New Roman" w:hAnsi="Times New Roman" w:cs="Times New Roman"/>
          <w:b/>
          <w:i/>
          <w:iCs/>
          <w:lang w:val="ru-RU" w:eastAsia="bg-BG"/>
        </w:rPr>
        <w:t xml:space="preserve"> </w:t>
      </w:r>
      <w:r w:rsidR="00256490" w:rsidRPr="00F06DE2">
        <w:rPr>
          <w:rFonts w:ascii="Times New Roman" w:hAnsi="Times New Roman" w:cs="Times New Roman"/>
          <w:b/>
          <w:i/>
          <w:iCs/>
          <w:lang w:val="ru-RU" w:eastAsia="bg-BG"/>
        </w:rPr>
        <w:t>задвижващи системи</w:t>
      </w:r>
    </w:p>
    <w:p w14:paraId="3A3B3678" w14:textId="77777777" w:rsidR="00271FA2" w:rsidRPr="00F06DE2" w:rsidRDefault="00D35E51" w:rsidP="00542313">
      <w:pPr>
        <w:tabs>
          <w:tab w:val="left" w:pos="0"/>
          <w:tab w:val="left" w:pos="567"/>
        </w:tabs>
        <w:autoSpaceDE w:val="0"/>
        <w:autoSpaceDN w:val="0"/>
        <w:adjustRightInd w:val="0"/>
        <w:spacing w:line="240" w:lineRule="atLeast"/>
        <w:ind w:left="567" w:hanging="567"/>
        <w:jc w:val="both"/>
        <w:rPr>
          <w:rFonts w:ascii="Times New Roman" w:hAnsi="Times New Roman" w:cs="Times New Roman"/>
          <w:iCs/>
          <w:lang w:val="ru-RU" w:eastAsia="bg-BG"/>
        </w:rPr>
      </w:pPr>
      <w:r w:rsidRPr="00F06DE2">
        <w:rPr>
          <w:rFonts w:ascii="Times New Roman" w:hAnsi="Times New Roman" w:cs="Times New Roman"/>
          <w:iCs/>
          <w:lang w:val="ru-RU" w:eastAsia="bg-BG"/>
        </w:rPr>
        <w:lastRenderedPageBreak/>
        <w:t>1.</w:t>
      </w:r>
      <w:r w:rsidRPr="00F06DE2">
        <w:rPr>
          <w:rFonts w:ascii="Times New Roman" w:hAnsi="Times New Roman" w:cs="Times New Roman"/>
          <w:iCs/>
          <w:lang w:val="ru-RU" w:eastAsia="bg-BG"/>
        </w:rPr>
        <w:tab/>
        <w:t>Изискванията за силова електроника съгласно членове 10.18 и 10.20 се прилагат със следните разпоредби.</w:t>
      </w:r>
    </w:p>
    <w:p w14:paraId="0CA5625A" w14:textId="31950223" w:rsidR="00271FA2" w:rsidRPr="00F06DE2" w:rsidRDefault="00952220" w:rsidP="00110480">
      <w:pPr>
        <w:ind w:left="567" w:hanging="567"/>
        <w:rPr>
          <w:rFonts w:ascii="Times New Roman" w:hAnsi="Times New Roman" w:cs="Times New Roman"/>
          <w:iCs/>
          <w:lang w:val="ru-RU" w:eastAsia="bg-BG"/>
        </w:rPr>
      </w:pPr>
      <w:r w:rsidRPr="00F06DE2">
        <w:rPr>
          <w:rFonts w:ascii="Times New Roman" w:hAnsi="Times New Roman" w:cs="Times New Roman"/>
          <w:iCs/>
          <w:lang w:val="ru-RU" w:eastAsia="bg-BG"/>
        </w:rPr>
        <w:t>2.</w:t>
      </w:r>
      <w:r w:rsidRPr="00F06DE2">
        <w:rPr>
          <w:rFonts w:ascii="Times New Roman" w:hAnsi="Times New Roman" w:cs="Times New Roman"/>
          <w:iCs/>
          <w:lang w:val="ru-RU" w:eastAsia="bg-BG"/>
        </w:rPr>
        <w:tab/>
      </w:r>
      <w:r w:rsidR="00DF55B7" w:rsidRPr="00F06DE2">
        <w:rPr>
          <w:rFonts w:ascii="Times New Roman" w:hAnsi="Times New Roman" w:cs="Times New Roman"/>
          <w:lang w:val="ru-RU"/>
        </w:rPr>
        <w:t>Силовата електроника трябва да бъде проектирана за очакваните натоварвания, включително претоварване, по време на всички условия на работа и маневриране.</w:t>
      </w:r>
    </w:p>
    <w:p w14:paraId="3FBAD87C" w14:textId="163DBA0B" w:rsidR="00271FA2" w:rsidRPr="00F06DE2" w:rsidRDefault="00D35E51" w:rsidP="00542313">
      <w:pPr>
        <w:tabs>
          <w:tab w:val="left" w:pos="0"/>
          <w:tab w:val="left" w:pos="567"/>
        </w:tabs>
        <w:autoSpaceDE w:val="0"/>
        <w:autoSpaceDN w:val="0"/>
        <w:adjustRightInd w:val="0"/>
        <w:spacing w:line="240" w:lineRule="atLeast"/>
        <w:ind w:left="567" w:hanging="567"/>
        <w:jc w:val="both"/>
        <w:rPr>
          <w:rFonts w:ascii="Times New Roman" w:hAnsi="Times New Roman" w:cs="Times New Roman"/>
          <w:iCs/>
          <w:lang w:val="ru-RU" w:eastAsia="bg-BG"/>
        </w:rPr>
      </w:pPr>
      <w:r w:rsidRPr="00F06DE2">
        <w:rPr>
          <w:rFonts w:ascii="Times New Roman" w:hAnsi="Times New Roman" w:cs="Times New Roman"/>
          <w:iCs/>
          <w:lang w:val="ru-RU" w:eastAsia="bg-BG"/>
        </w:rPr>
        <w:t>3.</w:t>
      </w:r>
      <w:r w:rsidRPr="00F06DE2">
        <w:rPr>
          <w:rFonts w:ascii="Times New Roman" w:hAnsi="Times New Roman" w:cs="Times New Roman"/>
          <w:iCs/>
          <w:lang w:val="ru-RU" w:eastAsia="bg-BG"/>
        </w:rPr>
        <w:tab/>
      </w:r>
      <w:r w:rsidR="004134D2" w:rsidRPr="00F06DE2">
        <w:rPr>
          <w:rFonts w:ascii="Times New Roman" w:hAnsi="Times New Roman" w:cs="Times New Roman"/>
          <w:lang w:val="ru-RU"/>
        </w:rPr>
        <w:t>Ако силовата електроника е с външно охлаждане, тя трябвада може да продължи да работи с намалена мощност,</w:t>
      </w:r>
      <w:r w:rsidR="001D727E" w:rsidRPr="00F06DE2">
        <w:rPr>
          <w:rFonts w:ascii="Times New Roman" w:hAnsi="Times New Roman" w:cs="Times New Roman"/>
          <w:lang w:val="ru-RU"/>
        </w:rPr>
        <w:t xml:space="preserve">  ако охладителната им система се повреди</w:t>
      </w:r>
      <w:r w:rsidR="00D722F5" w:rsidRPr="00F06DE2">
        <w:rPr>
          <w:rFonts w:ascii="Times New Roman" w:hAnsi="Times New Roman" w:cs="Times New Roman"/>
          <w:lang w:val="ru-RU"/>
        </w:rPr>
        <w:t xml:space="preserve"> </w:t>
      </w:r>
      <w:r w:rsidR="00E6723D" w:rsidRPr="00F06DE2">
        <w:rPr>
          <w:rFonts w:ascii="Times New Roman" w:hAnsi="Times New Roman" w:cs="Times New Roman"/>
          <w:lang w:val="ru-RU"/>
        </w:rPr>
        <w:t>и</w:t>
      </w:r>
      <w:r w:rsidR="00952220" w:rsidRPr="00F06DE2">
        <w:rPr>
          <w:rFonts w:ascii="Times New Roman" w:hAnsi="Times New Roman" w:cs="Times New Roman"/>
          <w:lang w:val="ru-RU"/>
        </w:rPr>
        <w:t xml:space="preserve"> </w:t>
      </w:r>
      <w:r w:rsidR="004134D2" w:rsidRPr="00F06DE2">
        <w:rPr>
          <w:rFonts w:ascii="Times New Roman" w:hAnsi="Times New Roman" w:cs="Times New Roman"/>
          <w:lang w:val="ru-RU"/>
        </w:rPr>
        <w:t xml:space="preserve">плавателният съд да е в състояние най-малко да извършва управление със собствена мощност за 30 минути. Това изискване не се прилага, ако е налице втора независима електрическа задвижваща система в съответствие с член 11.01, </w:t>
      </w:r>
      <w:r w:rsidR="0097711D" w:rsidRPr="00F06DE2">
        <w:rPr>
          <w:rFonts w:ascii="Times New Roman" w:hAnsi="Times New Roman" w:cs="Times New Roman"/>
          <w:lang w:val="ru-RU"/>
        </w:rPr>
        <w:t>т.</w:t>
      </w:r>
      <w:r w:rsidR="004134D2" w:rsidRPr="00F06DE2">
        <w:rPr>
          <w:rFonts w:ascii="Times New Roman" w:hAnsi="Times New Roman" w:cs="Times New Roman"/>
          <w:lang w:val="ru-RU"/>
        </w:rPr>
        <w:t xml:space="preserve"> 4.</w:t>
      </w:r>
    </w:p>
    <w:p w14:paraId="7E0FD2F4" w14:textId="77777777" w:rsidR="00271FA2" w:rsidRPr="00F06DE2" w:rsidRDefault="00D35E51" w:rsidP="00542313">
      <w:pPr>
        <w:tabs>
          <w:tab w:val="left" w:pos="0"/>
          <w:tab w:val="left" w:pos="567"/>
        </w:tabs>
        <w:autoSpaceDE w:val="0"/>
        <w:autoSpaceDN w:val="0"/>
        <w:adjustRightInd w:val="0"/>
        <w:spacing w:line="240" w:lineRule="atLeast"/>
        <w:ind w:left="567" w:hanging="567"/>
        <w:jc w:val="both"/>
        <w:rPr>
          <w:rFonts w:ascii="Times New Roman" w:hAnsi="Times New Roman" w:cs="Times New Roman"/>
          <w:iCs/>
          <w:lang w:val="ru-RU" w:eastAsia="bg-BG"/>
        </w:rPr>
      </w:pPr>
      <w:r w:rsidRPr="00F06DE2">
        <w:rPr>
          <w:rFonts w:ascii="Times New Roman" w:hAnsi="Times New Roman" w:cs="Times New Roman"/>
          <w:iCs/>
          <w:lang w:val="ru-RU" w:eastAsia="bg-BG"/>
        </w:rPr>
        <w:t>4.</w:t>
      </w:r>
      <w:r w:rsidRPr="00F06DE2">
        <w:rPr>
          <w:rFonts w:ascii="Times New Roman" w:hAnsi="Times New Roman" w:cs="Times New Roman"/>
          <w:iCs/>
          <w:lang w:val="ru-RU" w:eastAsia="bg-BG"/>
        </w:rPr>
        <w:tab/>
        <w:t>Възбудителните вериги, чиято повреда може да застраши безопасната работа, могат да бъдат защитени само от късо съединение.</w:t>
      </w:r>
    </w:p>
    <w:p w14:paraId="2E60F3E4" w14:textId="77777777" w:rsidR="00542313" w:rsidRPr="00F06DE2" w:rsidRDefault="00542313" w:rsidP="00542313">
      <w:pPr>
        <w:tabs>
          <w:tab w:val="left" w:pos="567"/>
        </w:tabs>
        <w:ind w:left="720" w:hanging="720"/>
        <w:jc w:val="center"/>
        <w:rPr>
          <w:rFonts w:ascii="Times New Roman" w:hAnsi="Times New Roman" w:cs="Times New Roman"/>
          <w:b/>
          <w:iCs/>
          <w:lang w:val="ru-RU" w:eastAsia="bg-BG"/>
        </w:rPr>
      </w:pPr>
    </w:p>
    <w:p w14:paraId="401CC68A" w14:textId="791ED1BB" w:rsidR="00271FA2" w:rsidRPr="00F06DE2" w:rsidRDefault="00D35E51" w:rsidP="00542313">
      <w:pPr>
        <w:tabs>
          <w:tab w:val="left" w:pos="567"/>
        </w:tabs>
        <w:ind w:left="720" w:hanging="720"/>
        <w:jc w:val="center"/>
        <w:rPr>
          <w:rFonts w:ascii="Times New Roman" w:hAnsi="Times New Roman" w:cs="Times New Roman"/>
          <w:b/>
          <w:i/>
          <w:iCs/>
          <w:lang w:val="ru-RU" w:eastAsia="bg-BG"/>
        </w:rPr>
      </w:pPr>
      <w:r w:rsidRPr="00F06DE2">
        <w:rPr>
          <w:rFonts w:ascii="Times New Roman" w:hAnsi="Times New Roman" w:cs="Times New Roman"/>
          <w:b/>
          <w:iCs/>
          <w:lang w:val="ru-RU" w:eastAsia="bg-BG"/>
        </w:rPr>
        <w:t>Член 11.05</w:t>
      </w:r>
      <w:r w:rsidRPr="00F06DE2">
        <w:rPr>
          <w:rFonts w:ascii="Times New Roman" w:hAnsi="Times New Roman" w:cs="Times New Roman"/>
          <w:b/>
          <w:lang w:val="ru-RU"/>
        </w:rPr>
        <w:br/>
      </w:r>
      <w:r w:rsidR="002A6C3A" w:rsidRPr="00F06DE2">
        <w:rPr>
          <w:rFonts w:ascii="Times New Roman" w:hAnsi="Times New Roman" w:cs="Times New Roman"/>
          <w:b/>
          <w:i/>
          <w:lang w:val="ru-RU"/>
        </w:rPr>
        <w:t>Оборудване за наблюдение</w:t>
      </w:r>
      <w:r w:rsidR="0033058C" w:rsidRPr="00F06DE2">
        <w:rPr>
          <w:rFonts w:ascii="Times New Roman" w:hAnsi="Times New Roman" w:cs="Times New Roman"/>
          <w:b/>
          <w:i/>
          <w:lang w:val="ru-RU"/>
        </w:rPr>
        <w:t xml:space="preserve"> </w:t>
      </w:r>
      <w:r w:rsidR="007F45EC" w:rsidRPr="00F06DE2">
        <w:rPr>
          <w:rFonts w:ascii="Times New Roman" w:hAnsi="Times New Roman" w:cs="Times New Roman"/>
          <w:b/>
          <w:i/>
          <w:lang w:val="ru-RU"/>
        </w:rPr>
        <w:t xml:space="preserve"> и сигнализация</w:t>
      </w:r>
    </w:p>
    <w:p w14:paraId="23F55ADF" w14:textId="6F3FD46E" w:rsidR="00271FA2" w:rsidRPr="00F06DE2" w:rsidRDefault="00D35E51" w:rsidP="00542313">
      <w:pPr>
        <w:ind w:left="567" w:hanging="567"/>
        <w:rPr>
          <w:rFonts w:ascii="Times New Roman" w:hAnsi="Times New Roman" w:cs="Times New Roman"/>
          <w:iCs/>
          <w:lang w:val="ru-RU" w:eastAsia="bg-BG"/>
        </w:rPr>
      </w:pPr>
      <w:r w:rsidRPr="00F06DE2">
        <w:rPr>
          <w:rFonts w:ascii="Times New Roman" w:hAnsi="Times New Roman" w:cs="Times New Roman"/>
          <w:iCs/>
          <w:lang w:val="ru-RU" w:eastAsia="bg-BG"/>
        </w:rPr>
        <w:tab/>
        <w:t>Условията на работа и работата на електрическ</w:t>
      </w:r>
      <w:r w:rsidR="00FB26B7" w:rsidRPr="00F06DE2">
        <w:rPr>
          <w:rFonts w:ascii="Times New Roman" w:hAnsi="Times New Roman" w:cs="Times New Roman"/>
          <w:iCs/>
          <w:lang w:val="ru-RU" w:eastAsia="bg-BG"/>
        </w:rPr>
        <w:t>ата</w:t>
      </w:r>
      <w:r w:rsidRPr="00F06DE2">
        <w:rPr>
          <w:rFonts w:ascii="Times New Roman" w:hAnsi="Times New Roman" w:cs="Times New Roman"/>
          <w:iCs/>
          <w:lang w:val="ru-RU" w:eastAsia="bg-BG"/>
        </w:rPr>
        <w:t xml:space="preserve"> </w:t>
      </w:r>
      <w:r w:rsidR="0033058C" w:rsidRPr="00F06DE2">
        <w:rPr>
          <w:rFonts w:ascii="Times New Roman" w:hAnsi="Times New Roman" w:cs="Times New Roman"/>
          <w:iCs/>
          <w:lang w:val="ru-RU" w:eastAsia="bg-BG"/>
        </w:rPr>
        <w:t>задвижваща система</w:t>
      </w:r>
      <w:r w:rsidRPr="00F06DE2">
        <w:rPr>
          <w:rFonts w:ascii="Times New Roman" w:hAnsi="Times New Roman" w:cs="Times New Roman"/>
          <w:iCs/>
          <w:strike/>
          <w:lang w:val="ru-RU" w:eastAsia="bg-BG"/>
        </w:rPr>
        <w:t>,</w:t>
      </w:r>
      <w:r w:rsidRPr="00F06DE2">
        <w:rPr>
          <w:rFonts w:ascii="Times New Roman" w:hAnsi="Times New Roman" w:cs="Times New Roman"/>
          <w:iCs/>
          <w:lang w:val="ru-RU" w:eastAsia="bg-BG"/>
        </w:rPr>
        <w:t xml:space="preserve"> трябва да бъдат документирани в енергонезависима компютърна памет, така че повредата да бъде лесно анализирана по проверим начин.</w:t>
      </w:r>
      <w:r w:rsidR="00555A11" w:rsidRPr="00F06DE2">
        <w:rPr>
          <w:rFonts w:ascii="Times New Roman" w:hAnsi="Times New Roman" w:cs="Times New Roman"/>
          <w:iCs/>
          <w:lang w:val="ru-RU" w:eastAsia="bg-BG"/>
        </w:rPr>
        <w:t xml:space="preserve"> </w:t>
      </w:r>
      <w:r w:rsidR="00555A11" w:rsidRPr="00F06DE2">
        <w:rPr>
          <w:rFonts w:ascii="Times New Roman" w:hAnsi="Times New Roman" w:cs="Times New Roman"/>
          <w:lang w:val="ru-RU"/>
        </w:rPr>
        <w:t xml:space="preserve">Това изискване не се прилага за електрически </w:t>
      </w:r>
      <w:r w:rsidR="0033058C" w:rsidRPr="00F06DE2">
        <w:rPr>
          <w:rFonts w:ascii="Times New Roman" w:hAnsi="Times New Roman" w:cs="Times New Roman"/>
          <w:lang w:val="ru-RU"/>
        </w:rPr>
        <w:t xml:space="preserve">задвижващи </w:t>
      </w:r>
      <w:r w:rsidR="00555A11" w:rsidRPr="00F06DE2">
        <w:rPr>
          <w:rFonts w:ascii="Times New Roman" w:hAnsi="Times New Roman" w:cs="Times New Roman"/>
          <w:lang w:val="ru-RU"/>
        </w:rPr>
        <w:t xml:space="preserve">системи с обща мощност под 100 </w:t>
      </w:r>
      <w:r w:rsidR="00555A11" w:rsidRPr="00F06DE2">
        <w:rPr>
          <w:rFonts w:ascii="Times New Roman" w:hAnsi="Times New Roman" w:cs="Times New Roman"/>
        </w:rPr>
        <w:t>kW</w:t>
      </w:r>
      <w:r w:rsidR="00555A11" w:rsidRPr="00F06DE2">
        <w:rPr>
          <w:rFonts w:ascii="Times New Roman" w:hAnsi="Times New Roman" w:cs="Times New Roman"/>
          <w:lang w:val="ru-RU"/>
        </w:rPr>
        <w:t>.</w:t>
      </w:r>
    </w:p>
    <w:p w14:paraId="1DBB7C2B" w14:textId="77777777" w:rsidR="009E407D" w:rsidRPr="00F06DE2" w:rsidRDefault="009E407D" w:rsidP="00542313">
      <w:pPr>
        <w:tabs>
          <w:tab w:val="left" w:pos="567"/>
          <w:tab w:val="left" w:pos="1276"/>
        </w:tabs>
        <w:autoSpaceDE w:val="0"/>
        <w:autoSpaceDN w:val="0"/>
        <w:adjustRightInd w:val="0"/>
        <w:spacing w:line="240" w:lineRule="atLeast"/>
        <w:jc w:val="center"/>
        <w:rPr>
          <w:rFonts w:ascii="Times New Roman" w:hAnsi="Times New Roman" w:cs="Times New Roman"/>
          <w:b/>
          <w:iCs/>
          <w:lang w:val="ru-RU" w:eastAsia="bg-BG"/>
        </w:rPr>
      </w:pPr>
    </w:p>
    <w:p w14:paraId="16ABE40C" w14:textId="18772A55" w:rsidR="00271FA2" w:rsidRPr="00F06DE2" w:rsidRDefault="00D35E51" w:rsidP="00542313">
      <w:pPr>
        <w:tabs>
          <w:tab w:val="left" w:pos="567"/>
          <w:tab w:val="left" w:pos="1276"/>
        </w:tabs>
        <w:autoSpaceDE w:val="0"/>
        <w:autoSpaceDN w:val="0"/>
        <w:adjustRightInd w:val="0"/>
        <w:spacing w:line="240" w:lineRule="atLeast"/>
        <w:jc w:val="center"/>
        <w:rPr>
          <w:rFonts w:ascii="Times New Roman" w:hAnsi="Times New Roman" w:cs="Times New Roman"/>
          <w:b/>
          <w:i/>
          <w:iCs/>
          <w:lang w:val="ru-RU" w:eastAsia="bg-BG"/>
        </w:rPr>
      </w:pPr>
      <w:r w:rsidRPr="00F06DE2">
        <w:rPr>
          <w:rFonts w:ascii="Times New Roman" w:hAnsi="Times New Roman" w:cs="Times New Roman"/>
          <w:b/>
          <w:iCs/>
          <w:lang w:val="ru-RU" w:eastAsia="bg-BG"/>
        </w:rPr>
        <w:t>Член 11.06</w:t>
      </w:r>
      <w:r w:rsidRPr="00F06DE2">
        <w:rPr>
          <w:rFonts w:ascii="Times New Roman" w:hAnsi="Times New Roman" w:cs="Times New Roman"/>
          <w:b/>
          <w:lang w:val="ru-RU"/>
        </w:rPr>
        <w:br/>
      </w:r>
      <w:r w:rsidRPr="00F06DE2">
        <w:rPr>
          <w:rFonts w:ascii="Times New Roman" w:hAnsi="Times New Roman" w:cs="Times New Roman"/>
          <w:b/>
          <w:i/>
          <w:iCs/>
          <w:lang w:val="ru-RU" w:eastAsia="bg-BG"/>
        </w:rPr>
        <w:t>Контрол, регулиране и автоматично ограничаване на мощността</w:t>
      </w:r>
    </w:p>
    <w:p w14:paraId="2E9FB9A0" w14:textId="77777777" w:rsidR="009E407D" w:rsidRPr="00F06DE2" w:rsidRDefault="009E407D" w:rsidP="009E407D">
      <w:pPr>
        <w:tabs>
          <w:tab w:val="left" w:pos="567"/>
          <w:tab w:val="left" w:pos="1276"/>
        </w:tabs>
        <w:autoSpaceDE w:val="0"/>
        <w:autoSpaceDN w:val="0"/>
        <w:adjustRightInd w:val="0"/>
        <w:spacing w:line="240" w:lineRule="atLeast"/>
        <w:jc w:val="center"/>
        <w:rPr>
          <w:rFonts w:ascii="Times New Roman" w:hAnsi="Times New Roman" w:cs="Times New Roman"/>
          <w:b/>
          <w:i/>
          <w:iCs/>
          <w:lang w:val="ru-RU" w:eastAsia="bg-BG"/>
        </w:rPr>
      </w:pPr>
    </w:p>
    <w:p w14:paraId="5B585B54" w14:textId="4CCFD15A" w:rsidR="00D61E66" w:rsidRPr="00F06DE2" w:rsidRDefault="00D35E51" w:rsidP="009E407D">
      <w:pPr>
        <w:tabs>
          <w:tab w:val="left" w:pos="567"/>
        </w:tabs>
        <w:ind w:left="567" w:hanging="567"/>
        <w:rPr>
          <w:rFonts w:ascii="Times New Roman" w:hAnsi="Times New Roman" w:cs="Times New Roman"/>
          <w:lang w:val="ru-RU"/>
        </w:rPr>
      </w:pPr>
      <w:r w:rsidRPr="00F06DE2">
        <w:rPr>
          <w:rFonts w:ascii="Times New Roman" w:hAnsi="Times New Roman" w:cs="Times New Roman"/>
          <w:iCs/>
          <w:lang w:val="ru-RU" w:eastAsia="bg-BG"/>
        </w:rPr>
        <w:t>1.</w:t>
      </w:r>
      <w:r w:rsidRPr="00F06DE2">
        <w:rPr>
          <w:rFonts w:ascii="Times New Roman" w:hAnsi="Times New Roman" w:cs="Times New Roman"/>
          <w:iCs/>
          <w:lang w:val="ru-RU" w:eastAsia="bg-BG"/>
        </w:rPr>
        <w:tab/>
      </w:r>
      <w:r w:rsidR="00D61E66" w:rsidRPr="00F06DE2">
        <w:rPr>
          <w:rFonts w:ascii="Times New Roman" w:hAnsi="Times New Roman" w:cs="Times New Roman"/>
          <w:lang w:val="ru-RU"/>
        </w:rPr>
        <w:t>Оборудването за контрол и регулиране на системата за захранване с енергия, от която се захранва електрическа задвижваща система, трябва да предотвратява претоварване на нейните източници на енергия, нейната захранваща система и нейното потребителско оборудване чрез</w:t>
      </w:r>
      <w:r w:rsidR="004A2ED7" w:rsidRPr="00F06DE2">
        <w:rPr>
          <w:rFonts w:ascii="Times New Roman" w:hAnsi="Times New Roman" w:cs="Times New Roman"/>
          <w:lang w:val="ru-RU"/>
        </w:rPr>
        <w:t>:</w:t>
      </w:r>
    </w:p>
    <w:p w14:paraId="67B47D7B" w14:textId="392364E6" w:rsidR="00D61E66" w:rsidRPr="00F06DE2" w:rsidRDefault="009E407D" w:rsidP="009E407D">
      <w:pPr>
        <w:tabs>
          <w:tab w:val="left" w:pos="567"/>
        </w:tabs>
        <w:ind w:left="567" w:hanging="567"/>
        <w:rPr>
          <w:rFonts w:ascii="Times New Roman" w:hAnsi="Times New Roman" w:cs="Times New Roman"/>
          <w:lang w:val="ru-RU"/>
        </w:rPr>
      </w:pPr>
      <w:r w:rsidRPr="00F06DE2">
        <w:rPr>
          <w:rFonts w:ascii="Times New Roman" w:hAnsi="Times New Roman" w:cs="Times New Roman"/>
          <w:lang w:val="ru-RU"/>
        </w:rPr>
        <w:tab/>
      </w:r>
      <w:r w:rsidR="00D61E66" w:rsidRPr="00F06DE2">
        <w:rPr>
          <w:rFonts w:ascii="Times New Roman" w:hAnsi="Times New Roman" w:cs="Times New Roman"/>
          <w:lang w:val="ru-RU"/>
        </w:rPr>
        <w:t>а) навременно свързване на допълнителни източници на енергия или</w:t>
      </w:r>
    </w:p>
    <w:p w14:paraId="123EBAF7" w14:textId="2D084892" w:rsidR="00D61E66" w:rsidRPr="00F06DE2" w:rsidRDefault="009E407D" w:rsidP="009E407D">
      <w:pPr>
        <w:tabs>
          <w:tab w:val="left" w:pos="567"/>
        </w:tabs>
        <w:ind w:left="567" w:hanging="567"/>
        <w:rPr>
          <w:rFonts w:ascii="Times New Roman" w:hAnsi="Times New Roman" w:cs="Times New Roman"/>
          <w:lang w:val="ru-RU"/>
        </w:rPr>
      </w:pPr>
      <w:r w:rsidRPr="00F06DE2">
        <w:rPr>
          <w:rFonts w:ascii="Times New Roman" w:hAnsi="Times New Roman" w:cs="Times New Roman"/>
          <w:lang w:val="ru-RU"/>
        </w:rPr>
        <w:tab/>
      </w:r>
      <w:r w:rsidR="00D61E66" w:rsidRPr="00F06DE2">
        <w:rPr>
          <w:rFonts w:ascii="Times New Roman" w:hAnsi="Times New Roman" w:cs="Times New Roman"/>
        </w:rPr>
        <w:t>b</w:t>
      </w:r>
      <w:r w:rsidR="00D61E66" w:rsidRPr="00F06DE2">
        <w:rPr>
          <w:rFonts w:ascii="Times New Roman" w:hAnsi="Times New Roman" w:cs="Times New Roman"/>
          <w:lang w:val="ru-RU"/>
        </w:rPr>
        <w:t xml:space="preserve">) </w:t>
      </w:r>
      <w:r w:rsidR="003A600B" w:rsidRPr="00F06DE2">
        <w:rPr>
          <w:rFonts w:ascii="Times New Roman" w:hAnsi="Times New Roman" w:cs="Times New Roman"/>
          <w:lang w:val="ru-RU"/>
        </w:rPr>
        <w:t>изключване на консуматори</w:t>
      </w:r>
      <w:r w:rsidR="00D61E66" w:rsidRPr="00F06DE2">
        <w:rPr>
          <w:rFonts w:ascii="Times New Roman" w:hAnsi="Times New Roman" w:cs="Times New Roman"/>
          <w:lang w:val="ru-RU"/>
        </w:rPr>
        <w:t xml:space="preserve">, които не са необходими за безопасната работа на </w:t>
      </w:r>
      <w:r w:rsidR="003A600B" w:rsidRPr="00F06DE2">
        <w:rPr>
          <w:rFonts w:ascii="Times New Roman" w:hAnsi="Times New Roman" w:cs="Times New Roman"/>
          <w:lang w:val="ru-RU"/>
        </w:rPr>
        <w:t xml:space="preserve">плавателния </w:t>
      </w:r>
      <w:r w:rsidR="00D61E66" w:rsidRPr="00F06DE2">
        <w:rPr>
          <w:rFonts w:ascii="Times New Roman" w:hAnsi="Times New Roman" w:cs="Times New Roman"/>
          <w:lang w:val="ru-RU"/>
        </w:rPr>
        <w:t>съд, или</w:t>
      </w:r>
    </w:p>
    <w:p w14:paraId="0B97630F" w14:textId="2D1A477F" w:rsidR="00271FA2" w:rsidRPr="00F06DE2" w:rsidRDefault="009E407D" w:rsidP="009E407D">
      <w:pPr>
        <w:tabs>
          <w:tab w:val="left" w:pos="567"/>
        </w:tabs>
        <w:ind w:left="567" w:hanging="567"/>
        <w:rPr>
          <w:rFonts w:ascii="Times New Roman" w:hAnsi="Times New Roman" w:cs="Times New Roman"/>
          <w:iCs/>
          <w:lang w:val="ru-RU" w:eastAsia="bg-BG"/>
        </w:rPr>
      </w:pPr>
      <w:r w:rsidRPr="00F06DE2">
        <w:rPr>
          <w:rFonts w:ascii="Times New Roman" w:hAnsi="Times New Roman" w:cs="Times New Roman"/>
          <w:lang w:val="ru-RU"/>
        </w:rPr>
        <w:tab/>
      </w:r>
      <w:r w:rsidR="00D61E66" w:rsidRPr="00F06DE2">
        <w:rPr>
          <w:rFonts w:ascii="Times New Roman" w:hAnsi="Times New Roman" w:cs="Times New Roman"/>
          <w:lang w:val="ru-RU"/>
        </w:rPr>
        <w:t xml:space="preserve">в) само в случай, че мерките по аа) и бб) не са достатъчни за изравняване на дисбаланса на мощността, ограничавайки мощността на електрозадвижващата система за кратко време. Ограничението </w:t>
      </w:r>
      <w:r w:rsidR="004E227E" w:rsidRPr="00F06DE2">
        <w:rPr>
          <w:rFonts w:ascii="Times New Roman" w:hAnsi="Times New Roman" w:cs="Times New Roman"/>
          <w:lang w:val="ru-RU"/>
        </w:rPr>
        <w:t xml:space="preserve">на мощността </w:t>
      </w:r>
      <w:r w:rsidR="00D61E66" w:rsidRPr="00F06DE2">
        <w:rPr>
          <w:rFonts w:ascii="Times New Roman" w:hAnsi="Times New Roman" w:cs="Times New Roman"/>
          <w:lang w:val="ru-RU"/>
        </w:rPr>
        <w:t>се прекратява автоматично, когато претоварването вече не може да възникне.</w:t>
      </w:r>
    </w:p>
    <w:p w14:paraId="05DA2798" w14:textId="6EEEF9BB" w:rsidR="00271FA2" w:rsidRPr="00F06DE2" w:rsidRDefault="00D35E51" w:rsidP="009E407D">
      <w:pPr>
        <w:tabs>
          <w:tab w:val="left" w:pos="567"/>
          <w:tab w:val="left" w:pos="1276"/>
        </w:tabs>
        <w:autoSpaceDE w:val="0"/>
        <w:autoSpaceDN w:val="0"/>
        <w:adjustRightInd w:val="0"/>
        <w:spacing w:line="240" w:lineRule="atLeast"/>
        <w:ind w:left="567" w:hanging="567"/>
        <w:jc w:val="both"/>
        <w:rPr>
          <w:rFonts w:ascii="Times New Roman" w:hAnsi="Times New Roman" w:cs="Times New Roman"/>
          <w:iCs/>
          <w:strike/>
          <w:lang w:val="ru-RU" w:eastAsia="bg-BG"/>
        </w:rPr>
      </w:pPr>
      <w:r w:rsidRPr="00F06DE2">
        <w:rPr>
          <w:rFonts w:ascii="Times New Roman" w:hAnsi="Times New Roman" w:cs="Times New Roman"/>
          <w:iCs/>
          <w:lang w:val="ru-RU" w:eastAsia="bg-BG"/>
        </w:rPr>
        <w:t>2.</w:t>
      </w:r>
      <w:r w:rsidRPr="00F06DE2">
        <w:rPr>
          <w:rFonts w:ascii="Times New Roman" w:hAnsi="Times New Roman" w:cs="Times New Roman"/>
          <w:iCs/>
          <w:lang w:val="ru-RU" w:eastAsia="bg-BG"/>
        </w:rPr>
        <w:tab/>
      </w:r>
      <w:r w:rsidR="00D61E66" w:rsidRPr="00F06DE2">
        <w:rPr>
          <w:rFonts w:ascii="Times New Roman" w:hAnsi="Times New Roman" w:cs="Times New Roman"/>
          <w:lang w:val="ru-RU"/>
        </w:rPr>
        <w:t xml:space="preserve">Свързването на друг </w:t>
      </w:r>
      <w:r w:rsidR="008F74AE" w:rsidRPr="00F06DE2">
        <w:rPr>
          <w:rFonts w:ascii="Times New Roman" w:hAnsi="Times New Roman" w:cs="Times New Roman"/>
          <w:lang w:val="ru-RU"/>
        </w:rPr>
        <w:t xml:space="preserve"> </w:t>
      </w:r>
      <w:r w:rsidR="0056170A" w:rsidRPr="00F06DE2">
        <w:rPr>
          <w:rFonts w:ascii="Times New Roman" w:hAnsi="Times New Roman" w:cs="Times New Roman"/>
          <w:lang w:val="ru-RU"/>
        </w:rPr>
        <w:t>консуматор</w:t>
      </w:r>
      <w:r w:rsidR="00D61E66" w:rsidRPr="00F06DE2">
        <w:rPr>
          <w:rFonts w:ascii="Times New Roman" w:hAnsi="Times New Roman" w:cs="Times New Roman"/>
          <w:lang w:val="ru-RU"/>
        </w:rPr>
        <w:t xml:space="preserve"> и други електрически задвижващи двигатели не трябва да води до ограничаване на мощността на електрическите задвижващи системи.</w:t>
      </w:r>
    </w:p>
    <w:p w14:paraId="7B03D1CA" w14:textId="5B58BFAC" w:rsidR="00271FA2" w:rsidRPr="00F06DE2" w:rsidRDefault="00D61E66" w:rsidP="009E407D">
      <w:pPr>
        <w:tabs>
          <w:tab w:val="left" w:pos="567"/>
          <w:tab w:val="left" w:pos="1276"/>
        </w:tabs>
        <w:autoSpaceDE w:val="0"/>
        <w:autoSpaceDN w:val="0"/>
        <w:adjustRightInd w:val="0"/>
        <w:spacing w:line="240" w:lineRule="atLeast"/>
        <w:ind w:left="567" w:hanging="567"/>
        <w:jc w:val="both"/>
        <w:rPr>
          <w:rFonts w:ascii="Times New Roman" w:hAnsi="Times New Roman" w:cs="Times New Roman"/>
          <w:iCs/>
          <w:lang w:val="ru-RU" w:eastAsia="bg-BG"/>
        </w:rPr>
      </w:pPr>
      <w:r w:rsidRPr="00F06DE2">
        <w:rPr>
          <w:rFonts w:ascii="Times New Roman" w:hAnsi="Times New Roman" w:cs="Times New Roman"/>
          <w:iCs/>
          <w:lang w:val="ru-RU" w:eastAsia="bg-BG"/>
        </w:rPr>
        <w:t>3</w:t>
      </w:r>
      <w:r w:rsidR="00D35E51" w:rsidRPr="00F06DE2">
        <w:rPr>
          <w:rFonts w:ascii="Times New Roman" w:hAnsi="Times New Roman" w:cs="Times New Roman"/>
          <w:iCs/>
          <w:lang w:val="ru-RU" w:eastAsia="bg-BG"/>
        </w:rPr>
        <w:t>.</w:t>
      </w:r>
      <w:r w:rsidR="00D35E51" w:rsidRPr="00F06DE2">
        <w:rPr>
          <w:rFonts w:ascii="Times New Roman" w:hAnsi="Times New Roman" w:cs="Times New Roman"/>
          <w:iCs/>
          <w:lang w:val="ru-RU" w:eastAsia="bg-BG"/>
        </w:rPr>
        <w:tab/>
        <w:t>В случай на изключване на отделни задвижващи агрегати в резултат на автоматично ограничаване на мощността, асиметрията на задвижването трябва да бъде сведена до минимум.</w:t>
      </w:r>
    </w:p>
    <w:p w14:paraId="5C9433B5" w14:textId="5ACB4839" w:rsidR="00271FA2" w:rsidRPr="00F06DE2" w:rsidRDefault="00D35E51" w:rsidP="00542313">
      <w:pPr>
        <w:tabs>
          <w:tab w:val="left" w:pos="567"/>
          <w:tab w:val="left" w:pos="1276"/>
        </w:tabs>
        <w:autoSpaceDE w:val="0"/>
        <w:autoSpaceDN w:val="0"/>
        <w:adjustRightInd w:val="0"/>
        <w:spacing w:line="240" w:lineRule="atLeast"/>
        <w:jc w:val="center"/>
        <w:rPr>
          <w:rFonts w:ascii="Times New Roman" w:hAnsi="Times New Roman" w:cs="Times New Roman"/>
          <w:b/>
          <w:i/>
          <w:lang w:val="ru-RU"/>
        </w:rPr>
      </w:pPr>
      <w:r w:rsidRPr="00F06DE2">
        <w:rPr>
          <w:rFonts w:ascii="Times New Roman" w:hAnsi="Times New Roman" w:cs="Times New Roman"/>
          <w:b/>
          <w:iCs/>
          <w:lang w:val="ru-RU" w:eastAsia="bg-BG"/>
        </w:rPr>
        <w:t>Член 11.07</w:t>
      </w:r>
      <w:r w:rsidRPr="00F06DE2">
        <w:rPr>
          <w:rFonts w:ascii="Times New Roman" w:hAnsi="Times New Roman" w:cs="Times New Roman"/>
          <w:b/>
          <w:lang w:val="ru-RU"/>
        </w:rPr>
        <w:br/>
      </w:r>
      <w:r w:rsidR="00D61E66" w:rsidRPr="00F06DE2">
        <w:rPr>
          <w:rFonts w:ascii="Times New Roman" w:hAnsi="Times New Roman" w:cs="Times New Roman"/>
          <w:b/>
          <w:i/>
          <w:lang w:val="ru-RU"/>
        </w:rPr>
        <w:t xml:space="preserve">Защита на </w:t>
      </w:r>
      <w:r w:rsidR="004A2ED7" w:rsidRPr="00F06DE2">
        <w:rPr>
          <w:rFonts w:ascii="Times New Roman" w:hAnsi="Times New Roman" w:cs="Times New Roman"/>
          <w:b/>
          <w:i/>
          <w:lang w:val="ru-RU"/>
        </w:rPr>
        <w:t xml:space="preserve"> </w:t>
      </w:r>
      <w:r w:rsidR="00BD7DF4" w:rsidRPr="00F06DE2">
        <w:rPr>
          <w:rFonts w:ascii="Times New Roman" w:hAnsi="Times New Roman" w:cs="Times New Roman"/>
          <w:b/>
          <w:i/>
          <w:lang w:val="ru-RU"/>
        </w:rPr>
        <w:t>електрически задвижващи системи</w:t>
      </w:r>
    </w:p>
    <w:p w14:paraId="439E8AAC" w14:textId="77777777" w:rsidR="009E407D" w:rsidRPr="00F06DE2" w:rsidRDefault="009E407D" w:rsidP="00542313">
      <w:pPr>
        <w:tabs>
          <w:tab w:val="left" w:pos="567"/>
          <w:tab w:val="left" w:pos="1276"/>
        </w:tabs>
        <w:autoSpaceDE w:val="0"/>
        <w:autoSpaceDN w:val="0"/>
        <w:adjustRightInd w:val="0"/>
        <w:spacing w:line="240" w:lineRule="atLeast"/>
        <w:jc w:val="center"/>
        <w:rPr>
          <w:rFonts w:ascii="Times New Roman" w:hAnsi="Times New Roman" w:cs="Times New Roman"/>
          <w:b/>
          <w:i/>
          <w:iCs/>
          <w:lang w:val="ru-RU" w:eastAsia="bg-BG"/>
        </w:rPr>
      </w:pPr>
    </w:p>
    <w:p w14:paraId="1198F6C0" w14:textId="5CD0A99B" w:rsidR="00271FA2" w:rsidRPr="00F06DE2" w:rsidRDefault="00D61E66" w:rsidP="009E407D">
      <w:pPr>
        <w:autoSpaceDE w:val="0"/>
        <w:autoSpaceDN w:val="0"/>
        <w:adjustRightInd w:val="0"/>
        <w:spacing w:line="240" w:lineRule="atLeast"/>
        <w:ind w:left="567" w:hanging="567"/>
        <w:jc w:val="both"/>
        <w:rPr>
          <w:rFonts w:ascii="Times New Roman" w:hAnsi="Times New Roman" w:cs="Times New Roman"/>
          <w:iCs/>
          <w:lang w:val="ru-RU" w:eastAsia="bg-BG"/>
        </w:rPr>
      </w:pPr>
      <w:r w:rsidRPr="00F06DE2">
        <w:rPr>
          <w:rFonts w:ascii="Times New Roman" w:hAnsi="Times New Roman" w:cs="Times New Roman"/>
          <w:iCs/>
          <w:lang w:val="ru-RU" w:eastAsia="bg-BG"/>
        </w:rPr>
        <w:t>1.</w:t>
      </w:r>
      <w:r w:rsidR="00D35E51" w:rsidRPr="00F06DE2">
        <w:rPr>
          <w:rFonts w:ascii="Times New Roman" w:hAnsi="Times New Roman" w:cs="Times New Roman"/>
          <w:iCs/>
          <w:lang w:val="ru-RU" w:eastAsia="bg-BG"/>
        </w:rPr>
        <w:tab/>
        <w:t>Защитните устройства трябва да бъдат настроени, така че да не се задействат в случай на ситуации, посочени в членове 11.02, точка 1 и член 11.03, точка 1.</w:t>
      </w:r>
    </w:p>
    <w:p w14:paraId="343EEF5B" w14:textId="07DACC86" w:rsidR="00D61E66" w:rsidRPr="00F06DE2" w:rsidRDefault="00AC3C1C" w:rsidP="009E407D">
      <w:pPr>
        <w:ind w:left="567" w:hanging="567"/>
        <w:rPr>
          <w:rFonts w:ascii="Times New Roman" w:hAnsi="Times New Roman" w:cs="Times New Roman"/>
          <w:lang w:val="ru-RU"/>
        </w:rPr>
      </w:pPr>
      <w:r w:rsidRPr="00F06DE2">
        <w:rPr>
          <w:rFonts w:ascii="Times New Roman" w:hAnsi="Times New Roman" w:cs="Times New Roman"/>
          <w:iCs/>
          <w:lang w:val="ru-RU" w:eastAsia="bg-BG"/>
        </w:rPr>
        <w:t xml:space="preserve">2. </w:t>
      </w:r>
      <w:r w:rsidR="00D61E66" w:rsidRPr="00F06DE2">
        <w:rPr>
          <w:rFonts w:ascii="Times New Roman" w:hAnsi="Times New Roman" w:cs="Times New Roman"/>
          <w:iCs/>
          <w:lang w:val="ru-RU" w:eastAsia="bg-BG"/>
        </w:rPr>
        <w:tab/>
      </w:r>
      <w:r w:rsidR="00D61E66" w:rsidRPr="00F06DE2">
        <w:rPr>
          <w:rFonts w:ascii="Times New Roman" w:hAnsi="Times New Roman" w:cs="Times New Roman"/>
          <w:lang w:val="ru-RU"/>
        </w:rPr>
        <w:t>В случай на неизправност или повреда на системата за управление или регулиране на системите за електрическо задвижване:</w:t>
      </w:r>
    </w:p>
    <w:p w14:paraId="6D713419" w14:textId="31CB27E2" w:rsidR="00D61E66" w:rsidRPr="00F06DE2" w:rsidRDefault="00D61E66" w:rsidP="009E407D">
      <w:pPr>
        <w:ind w:left="567"/>
        <w:rPr>
          <w:rFonts w:ascii="Times New Roman" w:hAnsi="Times New Roman" w:cs="Times New Roman"/>
          <w:lang w:val="ru-RU"/>
        </w:rPr>
      </w:pPr>
      <w:r w:rsidRPr="00F06DE2">
        <w:rPr>
          <w:rFonts w:ascii="Times New Roman" w:hAnsi="Times New Roman" w:cs="Times New Roman"/>
          <w:lang w:val="ru-RU"/>
        </w:rPr>
        <w:lastRenderedPageBreak/>
        <w:t xml:space="preserve">а) скоростта на витлото не трябва да нараства до </w:t>
      </w:r>
      <w:r w:rsidR="00BB33A5" w:rsidRPr="00F06DE2">
        <w:rPr>
          <w:rFonts w:ascii="Times New Roman" w:hAnsi="Times New Roman" w:cs="Times New Roman"/>
          <w:lang w:val="ru-RU"/>
        </w:rPr>
        <w:t xml:space="preserve"> </w:t>
      </w:r>
      <w:r w:rsidR="00AC3C1C" w:rsidRPr="00F06DE2">
        <w:rPr>
          <w:rFonts w:ascii="Times New Roman" w:hAnsi="Times New Roman" w:cs="Times New Roman"/>
          <w:lang w:val="ru-RU"/>
        </w:rPr>
        <w:t>критични</w:t>
      </w:r>
      <w:r w:rsidRPr="00F06DE2">
        <w:rPr>
          <w:rFonts w:ascii="Times New Roman" w:hAnsi="Times New Roman" w:cs="Times New Roman"/>
          <w:lang w:val="ru-RU"/>
        </w:rPr>
        <w:t xml:space="preserve"> нива; и</w:t>
      </w:r>
    </w:p>
    <w:p w14:paraId="2AE88C35" w14:textId="59C5D0BB" w:rsidR="00D61E66" w:rsidRPr="00F06DE2" w:rsidRDefault="00D61E66" w:rsidP="009E407D">
      <w:pPr>
        <w:ind w:left="567"/>
        <w:rPr>
          <w:rFonts w:ascii="Times New Roman" w:hAnsi="Times New Roman" w:cs="Times New Roman"/>
          <w:iCs/>
          <w:lang w:val="ru-RU" w:eastAsia="bg-BG"/>
        </w:rPr>
      </w:pPr>
      <w:r w:rsidRPr="00F06DE2">
        <w:rPr>
          <w:rFonts w:ascii="Times New Roman" w:hAnsi="Times New Roman" w:cs="Times New Roman"/>
          <w:lang w:val="ru-RU"/>
        </w:rPr>
        <w:t xml:space="preserve">б) задвижването не трябва да се </w:t>
      </w:r>
      <w:r w:rsidR="00BB33A5" w:rsidRPr="00F06DE2">
        <w:rPr>
          <w:rFonts w:ascii="Times New Roman" w:hAnsi="Times New Roman" w:cs="Times New Roman"/>
          <w:lang w:val="ru-RU"/>
        </w:rPr>
        <w:t xml:space="preserve"> </w:t>
      </w:r>
      <w:r w:rsidR="00AC3C1C" w:rsidRPr="00F06DE2">
        <w:rPr>
          <w:rFonts w:ascii="Times New Roman" w:hAnsi="Times New Roman" w:cs="Times New Roman"/>
          <w:lang w:val="ru-RU"/>
        </w:rPr>
        <w:t xml:space="preserve">реверсира </w:t>
      </w:r>
      <w:r w:rsidRPr="00F06DE2">
        <w:rPr>
          <w:rFonts w:ascii="Times New Roman" w:hAnsi="Times New Roman" w:cs="Times New Roman"/>
          <w:lang w:val="ru-RU"/>
        </w:rPr>
        <w:t xml:space="preserve"> от само себе си.</w:t>
      </w:r>
    </w:p>
    <w:p w14:paraId="6579455C" w14:textId="13028726" w:rsidR="00D61E66" w:rsidRPr="00F06DE2" w:rsidRDefault="00D61E66" w:rsidP="009E407D">
      <w:pPr>
        <w:autoSpaceDE w:val="0"/>
        <w:autoSpaceDN w:val="0"/>
        <w:adjustRightInd w:val="0"/>
        <w:spacing w:line="240" w:lineRule="atLeast"/>
        <w:ind w:left="567" w:hanging="567"/>
        <w:jc w:val="both"/>
        <w:rPr>
          <w:rFonts w:ascii="Times New Roman" w:hAnsi="Times New Roman" w:cs="Times New Roman"/>
          <w:lang w:val="ru-RU"/>
        </w:rPr>
      </w:pPr>
      <w:r w:rsidRPr="00F06DE2">
        <w:rPr>
          <w:rFonts w:ascii="Times New Roman" w:hAnsi="Times New Roman" w:cs="Times New Roman"/>
          <w:iCs/>
          <w:lang w:val="ru-RU" w:eastAsia="bg-BG"/>
        </w:rPr>
        <w:t>3</w:t>
      </w:r>
      <w:r w:rsidR="00D35E51" w:rsidRPr="00F06DE2">
        <w:rPr>
          <w:rFonts w:ascii="Times New Roman" w:hAnsi="Times New Roman" w:cs="Times New Roman"/>
          <w:iCs/>
          <w:lang w:val="ru-RU" w:eastAsia="bg-BG"/>
        </w:rPr>
        <w:t>.</w:t>
      </w:r>
      <w:r w:rsidR="00D35E51" w:rsidRPr="00F06DE2">
        <w:rPr>
          <w:rFonts w:ascii="Times New Roman" w:hAnsi="Times New Roman" w:cs="Times New Roman"/>
          <w:iCs/>
          <w:lang w:val="ru-RU" w:eastAsia="bg-BG"/>
        </w:rPr>
        <w:tab/>
      </w:r>
      <w:r w:rsidRPr="00F06DE2">
        <w:rPr>
          <w:rFonts w:ascii="Times New Roman" w:hAnsi="Times New Roman" w:cs="Times New Roman"/>
          <w:lang w:val="ru-RU"/>
        </w:rPr>
        <w:t xml:space="preserve">Всеки електрически задвижващ </w:t>
      </w:r>
      <w:r w:rsidR="00B62AE0" w:rsidRPr="00F06DE2">
        <w:rPr>
          <w:rFonts w:ascii="Times New Roman" w:hAnsi="Times New Roman" w:cs="Times New Roman"/>
          <w:lang w:val="ru-RU"/>
        </w:rPr>
        <w:t xml:space="preserve"> двигател</w:t>
      </w:r>
      <w:r w:rsidRPr="00F06DE2">
        <w:rPr>
          <w:rFonts w:ascii="Times New Roman" w:hAnsi="Times New Roman" w:cs="Times New Roman"/>
          <w:lang w:val="ru-RU"/>
        </w:rPr>
        <w:t xml:space="preserve"> трябва да бъде оборудван с</w:t>
      </w:r>
      <w:r w:rsidR="009E407D" w:rsidRPr="00F06DE2">
        <w:rPr>
          <w:rFonts w:ascii="Times New Roman" w:hAnsi="Times New Roman" w:cs="Times New Roman"/>
          <w:lang w:val="ru-RU"/>
        </w:rPr>
        <w:t>:</w:t>
      </w:r>
    </w:p>
    <w:p w14:paraId="7866CB56" w14:textId="3FF7C24D" w:rsidR="00D61E66" w:rsidRPr="00F06DE2" w:rsidRDefault="00D61E66" w:rsidP="009E407D">
      <w:pPr>
        <w:ind w:left="567"/>
        <w:rPr>
          <w:rFonts w:ascii="Times New Roman" w:hAnsi="Times New Roman" w:cs="Times New Roman"/>
          <w:lang w:val="ru-RU"/>
        </w:rPr>
      </w:pPr>
      <w:r w:rsidRPr="00F06DE2">
        <w:rPr>
          <w:rFonts w:ascii="Times New Roman" w:hAnsi="Times New Roman" w:cs="Times New Roman"/>
          <w:lang w:val="ru-RU"/>
        </w:rPr>
        <w:t xml:space="preserve">а) мониторинг на </w:t>
      </w:r>
      <w:r w:rsidR="003D2A11" w:rsidRPr="00F06DE2">
        <w:rPr>
          <w:rFonts w:ascii="Times New Roman" w:hAnsi="Times New Roman" w:cs="Times New Roman"/>
          <w:lang w:val="ru-RU"/>
        </w:rPr>
        <w:t xml:space="preserve"> </w:t>
      </w:r>
      <w:r w:rsidR="00B62AE0" w:rsidRPr="00F06DE2">
        <w:rPr>
          <w:rFonts w:ascii="Times New Roman" w:hAnsi="Times New Roman" w:cs="Times New Roman"/>
          <w:lang w:val="ru-RU"/>
        </w:rPr>
        <w:t>заземяване</w:t>
      </w:r>
      <w:r w:rsidRPr="00F06DE2">
        <w:rPr>
          <w:rFonts w:ascii="Times New Roman" w:hAnsi="Times New Roman" w:cs="Times New Roman"/>
          <w:lang w:val="ru-RU"/>
        </w:rPr>
        <w:t>;</w:t>
      </w:r>
    </w:p>
    <w:p w14:paraId="1A93982F" w14:textId="5A8C6085" w:rsidR="00271FA2" w:rsidRPr="00F06DE2" w:rsidRDefault="00D61E66" w:rsidP="009E407D">
      <w:pPr>
        <w:autoSpaceDE w:val="0"/>
        <w:autoSpaceDN w:val="0"/>
        <w:adjustRightInd w:val="0"/>
        <w:spacing w:line="240" w:lineRule="atLeast"/>
        <w:ind w:left="567"/>
        <w:jc w:val="both"/>
        <w:rPr>
          <w:rFonts w:ascii="Times New Roman" w:hAnsi="Times New Roman" w:cs="Times New Roman"/>
          <w:iCs/>
          <w:strike/>
          <w:lang w:val="ru-RU" w:eastAsia="bg-BG"/>
        </w:rPr>
      </w:pPr>
      <w:r w:rsidRPr="00F06DE2">
        <w:rPr>
          <w:rFonts w:ascii="Times New Roman" w:hAnsi="Times New Roman" w:cs="Times New Roman"/>
          <w:lang w:val="ru-RU"/>
        </w:rPr>
        <w:t>б) диференциална защита или еквивалентно защитно устройство</w:t>
      </w:r>
      <w:r w:rsidR="009E407D" w:rsidRPr="00F06DE2">
        <w:rPr>
          <w:rFonts w:ascii="Times New Roman" w:hAnsi="Times New Roman" w:cs="Times New Roman"/>
          <w:lang w:val="ru-RU"/>
        </w:rPr>
        <w:t>.</w:t>
      </w:r>
    </w:p>
    <w:p w14:paraId="30BD2FF2" w14:textId="30BAB914" w:rsidR="009C5963" w:rsidRPr="00F06DE2" w:rsidRDefault="009C5963" w:rsidP="009E407D">
      <w:pPr>
        <w:autoSpaceDE w:val="0"/>
        <w:autoSpaceDN w:val="0"/>
        <w:adjustRightInd w:val="0"/>
        <w:spacing w:line="240" w:lineRule="atLeast"/>
        <w:ind w:left="567" w:hanging="567"/>
        <w:jc w:val="both"/>
        <w:rPr>
          <w:rFonts w:ascii="Times New Roman" w:hAnsi="Times New Roman" w:cs="Times New Roman"/>
          <w:iCs/>
          <w:strike/>
          <w:lang w:val="ru-RU" w:eastAsia="bg-BG"/>
        </w:rPr>
      </w:pPr>
      <w:r w:rsidRPr="00F06DE2">
        <w:rPr>
          <w:rFonts w:ascii="Times New Roman" w:hAnsi="Times New Roman" w:cs="Times New Roman"/>
          <w:iCs/>
          <w:lang w:val="ru-RU" w:eastAsia="bg-BG"/>
        </w:rPr>
        <w:t>4</w:t>
      </w:r>
      <w:r w:rsidR="00D35E51" w:rsidRPr="00F06DE2">
        <w:rPr>
          <w:rFonts w:ascii="Times New Roman" w:hAnsi="Times New Roman" w:cs="Times New Roman"/>
          <w:iCs/>
          <w:lang w:val="ru-RU" w:eastAsia="bg-BG"/>
        </w:rPr>
        <w:t>.</w:t>
      </w:r>
      <w:r w:rsidR="003D2A11" w:rsidRPr="00F06DE2">
        <w:rPr>
          <w:rFonts w:ascii="Times New Roman" w:hAnsi="Times New Roman" w:cs="Times New Roman"/>
          <w:iCs/>
          <w:lang w:val="ru-RU" w:eastAsia="bg-BG"/>
        </w:rPr>
        <w:t xml:space="preserve"> </w:t>
      </w:r>
      <w:r w:rsidRPr="00F06DE2">
        <w:rPr>
          <w:rFonts w:ascii="Times New Roman" w:hAnsi="Times New Roman" w:cs="Times New Roman"/>
          <w:iCs/>
          <w:lang w:val="ru-RU" w:eastAsia="bg-BG"/>
        </w:rPr>
        <w:t xml:space="preserve"> </w:t>
      </w:r>
      <w:r w:rsidR="009E407D" w:rsidRPr="00F06DE2">
        <w:rPr>
          <w:rFonts w:ascii="Times New Roman" w:hAnsi="Times New Roman" w:cs="Times New Roman"/>
          <w:iCs/>
          <w:lang w:val="ru-RU" w:eastAsia="bg-BG"/>
        </w:rPr>
        <w:tab/>
      </w:r>
      <w:r w:rsidRPr="00F06DE2">
        <w:rPr>
          <w:rFonts w:ascii="Times New Roman" w:hAnsi="Times New Roman" w:cs="Times New Roman"/>
          <w:iCs/>
          <w:lang w:val="ru-RU" w:eastAsia="bg-BG"/>
        </w:rPr>
        <w:t xml:space="preserve">Трябва да бъдат осигурени следните допълнителни защитни устройства: </w:t>
      </w:r>
    </w:p>
    <w:p w14:paraId="74FCCFB0" w14:textId="001E16ED" w:rsidR="009C5963" w:rsidRPr="00F06DE2" w:rsidRDefault="009C5963" w:rsidP="009E407D">
      <w:pPr>
        <w:tabs>
          <w:tab w:val="left" w:pos="0"/>
        </w:tabs>
        <w:autoSpaceDE w:val="0"/>
        <w:autoSpaceDN w:val="0"/>
        <w:adjustRightInd w:val="0"/>
        <w:spacing w:line="240" w:lineRule="atLeast"/>
        <w:ind w:left="567"/>
        <w:jc w:val="both"/>
        <w:rPr>
          <w:rFonts w:ascii="Times New Roman" w:hAnsi="Times New Roman" w:cs="Times New Roman"/>
          <w:iCs/>
          <w:lang w:val="ru-RU" w:eastAsia="bg-BG"/>
        </w:rPr>
      </w:pPr>
      <w:r w:rsidRPr="00F06DE2">
        <w:rPr>
          <w:rFonts w:ascii="Times New Roman" w:hAnsi="Times New Roman" w:cs="Times New Roman"/>
          <w:iCs/>
          <w:lang w:val="ru-RU" w:eastAsia="bg-BG"/>
        </w:rPr>
        <w:t xml:space="preserve">а) защита срещу </w:t>
      </w:r>
      <w:r w:rsidR="001A737F" w:rsidRPr="00F06DE2">
        <w:rPr>
          <w:rFonts w:ascii="Times New Roman" w:hAnsi="Times New Roman" w:cs="Times New Roman"/>
          <w:iCs/>
          <w:lang w:val="ru-RU" w:eastAsia="bg-BG"/>
        </w:rPr>
        <w:t xml:space="preserve">претоварване по ток </w:t>
      </w:r>
      <w:r w:rsidRPr="00F06DE2">
        <w:rPr>
          <w:rFonts w:ascii="Times New Roman" w:hAnsi="Times New Roman" w:cs="Times New Roman"/>
          <w:iCs/>
          <w:lang w:val="ru-RU" w:eastAsia="bg-BG"/>
        </w:rPr>
        <w:t xml:space="preserve">и късо съединение; </w:t>
      </w:r>
    </w:p>
    <w:p w14:paraId="235889CB" w14:textId="31DC3290" w:rsidR="009C5963" w:rsidRPr="00F06DE2" w:rsidRDefault="009C5963" w:rsidP="009E407D">
      <w:pPr>
        <w:tabs>
          <w:tab w:val="left" w:pos="0"/>
        </w:tabs>
        <w:autoSpaceDE w:val="0"/>
        <w:autoSpaceDN w:val="0"/>
        <w:adjustRightInd w:val="0"/>
        <w:spacing w:line="240" w:lineRule="atLeast"/>
        <w:ind w:left="567"/>
        <w:jc w:val="both"/>
        <w:rPr>
          <w:rFonts w:ascii="Times New Roman" w:hAnsi="Times New Roman" w:cs="Times New Roman"/>
          <w:iCs/>
          <w:lang w:val="ru-RU" w:eastAsia="bg-BG"/>
        </w:rPr>
      </w:pPr>
      <w:r w:rsidRPr="00F06DE2">
        <w:rPr>
          <w:rFonts w:ascii="Times New Roman" w:hAnsi="Times New Roman" w:cs="Times New Roman"/>
          <w:iCs/>
          <w:lang w:val="ru-RU" w:eastAsia="bg-BG"/>
        </w:rPr>
        <w:t>б) защита срещу вредни токове</w:t>
      </w:r>
      <w:r w:rsidR="00765466" w:rsidRPr="00F06DE2">
        <w:rPr>
          <w:rFonts w:ascii="Times New Roman" w:hAnsi="Times New Roman" w:cs="Times New Roman"/>
          <w:iCs/>
          <w:lang w:val="ru-RU" w:eastAsia="bg-BG"/>
        </w:rPr>
        <w:t xml:space="preserve"> </w:t>
      </w:r>
      <w:r w:rsidR="00AB640C" w:rsidRPr="00F06DE2">
        <w:rPr>
          <w:rFonts w:ascii="Times New Roman" w:hAnsi="Times New Roman" w:cs="Times New Roman"/>
          <w:iCs/>
          <w:lang w:val="ru-RU" w:eastAsia="bg-BG"/>
        </w:rPr>
        <w:t>в лагерите</w:t>
      </w:r>
      <w:r w:rsidRPr="00F06DE2">
        <w:rPr>
          <w:rFonts w:ascii="Times New Roman" w:hAnsi="Times New Roman" w:cs="Times New Roman"/>
          <w:iCs/>
          <w:lang w:val="ru-RU" w:eastAsia="bg-BG"/>
        </w:rPr>
        <w:t xml:space="preserve"> върху електрическия двигател чрез </w:t>
      </w:r>
      <w:r w:rsidR="00765466" w:rsidRPr="00F06DE2">
        <w:rPr>
          <w:rFonts w:ascii="Times New Roman" w:hAnsi="Times New Roman" w:cs="Times New Roman"/>
          <w:iCs/>
          <w:lang w:val="ru-RU" w:eastAsia="bg-BG"/>
        </w:rPr>
        <w:t>резки  пикове</w:t>
      </w:r>
      <w:r w:rsidRPr="00F06DE2">
        <w:rPr>
          <w:rFonts w:ascii="Times New Roman" w:hAnsi="Times New Roman" w:cs="Times New Roman"/>
          <w:iCs/>
          <w:lang w:val="ru-RU" w:eastAsia="bg-BG"/>
        </w:rPr>
        <w:t xml:space="preserve"> на напрежението.</w:t>
      </w:r>
    </w:p>
    <w:p w14:paraId="06740503" w14:textId="61A51158" w:rsidR="00D61E66" w:rsidRPr="00F06DE2" w:rsidRDefault="00D61E66" w:rsidP="009E407D">
      <w:pPr>
        <w:autoSpaceDE w:val="0"/>
        <w:autoSpaceDN w:val="0"/>
        <w:adjustRightInd w:val="0"/>
        <w:spacing w:line="240" w:lineRule="atLeast"/>
        <w:ind w:left="567" w:hanging="567"/>
        <w:jc w:val="both"/>
        <w:rPr>
          <w:rFonts w:ascii="Times New Roman" w:hAnsi="Times New Roman" w:cs="Times New Roman"/>
          <w:iCs/>
          <w:strike/>
          <w:lang w:val="ru-RU" w:eastAsia="bg-BG"/>
        </w:rPr>
      </w:pPr>
      <w:r w:rsidRPr="00F06DE2">
        <w:rPr>
          <w:rFonts w:ascii="Times New Roman" w:hAnsi="Times New Roman" w:cs="Times New Roman"/>
          <w:iCs/>
          <w:lang w:val="ru-RU" w:eastAsia="bg-BG"/>
        </w:rPr>
        <w:t xml:space="preserve">5.      </w:t>
      </w:r>
      <w:r w:rsidRPr="00F06DE2">
        <w:rPr>
          <w:rFonts w:ascii="Times New Roman" w:hAnsi="Times New Roman" w:cs="Times New Roman"/>
          <w:lang w:val="ru-RU"/>
        </w:rPr>
        <w:t>При задействане на защитните устройства трябва да се гарантира, че:</w:t>
      </w:r>
    </w:p>
    <w:p w14:paraId="2BF0F013" w14:textId="0900B498" w:rsidR="00D61E66" w:rsidRPr="00F06DE2" w:rsidRDefault="00D61E66" w:rsidP="009E407D">
      <w:pPr>
        <w:ind w:left="567"/>
        <w:rPr>
          <w:rFonts w:ascii="Times New Roman" w:hAnsi="Times New Roman" w:cs="Times New Roman"/>
          <w:lang w:val="ru-RU"/>
        </w:rPr>
      </w:pPr>
      <w:r w:rsidRPr="00F06DE2">
        <w:rPr>
          <w:rFonts w:ascii="Times New Roman" w:hAnsi="Times New Roman" w:cs="Times New Roman"/>
          <w:lang w:val="ru-RU"/>
        </w:rPr>
        <w:t>а) неизправните подсистеми се изключват избирателно или, когато е необходимо, мощността на електрическата система за задвижване се ограничава в съответствие с член 11.06</w:t>
      </w:r>
      <w:r w:rsidR="000A30E6" w:rsidRPr="00F06DE2">
        <w:rPr>
          <w:rFonts w:ascii="Times New Roman" w:hAnsi="Times New Roman" w:cs="Times New Roman"/>
          <w:lang w:val="ru-RU"/>
        </w:rPr>
        <w:t>;</w:t>
      </w:r>
    </w:p>
    <w:p w14:paraId="5536D447" w14:textId="77777777" w:rsidR="00D61E66" w:rsidRPr="00F06DE2" w:rsidRDefault="00D61E66" w:rsidP="009E407D">
      <w:pPr>
        <w:ind w:left="567"/>
        <w:rPr>
          <w:rFonts w:ascii="Times New Roman" w:hAnsi="Times New Roman" w:cs="Times New Roman"/>
          <w:lang w:val="ru-RU"/>
        </w:rPr>
      </w:pPr>
      <w:r w:rsidRPr="00F06DE2">
        <w:rPr>
          <w:rFonts w:ascii="Times New Roman" w:hAnsi="Times New Roman" w:cs="Times New Roman"/>
          <w:lang w:val="ru-RU"/>
        </w:rPr>
        <w:t>б) когато е необходимо, електрическите системи за задвижване се изключват по контролиран начин; или</w:t>
      </w:r>
    </w:p>
    <w:p w14:paraId="01FF0529" w14:textId="15772888" w:rsidR="00271FA2" w:rsidRPr="00F06DE2" w:rsidRDefault="00D61E66" w:rsidP="00110480">
      <w:pPr>
        <w:autoSpaceDE w:val="0"/>
        <w:autoSpaceDN w:val="0"/>
        <w:adjustRightInd w:val="0"/>
        <w:spacing w:line="240" w:lineRule="atLeast"/>
        <w:ind w:left="567"/>
        <w:jc w:val="both"/>
        <w:rPr>
          <w:rFonts w:ascii="Times New Roman" w:hAnsi="Times New Roman" w:cs="Times New Roman"/>
          <w:iCs/>
          <w:strike/>
          <w:lang w:val="ru-RU" w:eastAsia="bg-BG"/>
        </w:rPr>
      </w:pPr>
      <w:r w:rsidRPr="00F06DE2">
        <w:rPr>
          <w:rFonts w:ascii="Times New Roman" w:hAnsi="Times New Roman" w:cs="Times New Roman"/>
          <w:lang w:val="ru-RU"/>
        </w:rPr>
        <w:t>в) мощността, съхранявана в компонентите и във веригата на натоварване, не може да има вредно въздействие, когато те са изключени.</w:t>
      </w:r>
    </w:p>
    <w:p w14:paraId="2F75A22E" w14:textId="77777777" w:rsidR="00781C30" w:rsidRPr="00F06DE2" w:rsidRDefault="00781C30" w:rsidP="00110480">
      <w:pPr>
        <w:ind w:left="567" w:hanging="567"/>
        <w:jc w:val="both"/>
        <w:rPr>
          <w:rFonts w:ascii="Times New Roman" w:hAnsi="Times New Roman" w:cs="Times New Roman"/>
          <w:lang w:val="ru-RU"/>
        </w:rPr>
      </w:pPr>
      <w:r w:rsidRPr="00F06DE2">
        <w:rPr>
          <w:rFonts w:ascii="Times New Roman" w:hAnsi="Times New Roman" w:cs="Times New Roman"/>
          <w:iCs/>
          <w:lang w:val="ru-RU" w:eastAsia="bg-BG"/>
        </w:rPr>
        <w:t>6.</w:t>
      </w:r>
      <w:r w:rsidRPr="00F06DE2">
        <w:rPr>
          <w:rFonts w:ascii="Times New Roman" w:hAnsi="Times New Roman" w:cs="Times New Roman"/>
          <w:iCs/>
          <w:lang w:val="ru-RU" w:eastAsia="bg-BG"/>
        </w:rPr>
        <w:tab/>
      </w:r>
      <w:r w:rsidRPr="00F06DE2">
        <w:rPr>
          <w:rFonts w:ascii="Times New Roman" w:hAnsi="Times New Roman" w:cs="Times New Roman"/>
          <w:lang w:val="ru-RU"/>
        </w:rPr>
        <w:t>За защита на електрическата задвижваща система срещу ниско напрежение трябва да се вземат подходящи мерки за</w:t>
      </w:r>
    </w:p>
    <w:p w14:paraId="4EDB7F9A" w14:textId="175AB95C" w:rsidR="00781C30" w:rsidRPr="00F06DE2" w:rsidRDefault="00781C30" w:rsidP="00110480">
      <w:pPr>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отдел</w:t>
      </w:r>
      <w:r w:rsidR="00667BE1" w:rsidRPr="00F06DE2">
        <w:rPr>
          <w:rFonts w:ascii="Times New Roman" w:hAnsi="Times New Roman" w:cs="Times New Roman"/>
          <w:lang w:val="ru-RU"/>
        </w:rPr>
        <w:t>яне на</w:t>
      </w:r>
      <w:r w:rsidRPr="00F06DE2">
        <w:rPr>
          <w:rFonts w:ascii="Times New Roman" w:hAnsi="Times New Roman" w:cs="Times New Roman"/>
          <w:lang w:val="ru-RU"/>
        </w:rPr>
        <w:t xml:space="preserve"> засегнатите компоненти от останалата част от електрическата система за задвижване и</w:t>
      </w:r>
    </w:p>
    <w:p w14:paraId="55BB0CF6" w14:textId="77777777" w:rsidR="00781C30" w:rsidRPr="00F06DE2" w:rsidRDefault="00781C30" w:rsidP="00110480">
      <w:pPr>
        <w:tabs>
          <w:tab w:val="left" w:pos="567"/>
        </w:tabs>
        <w:ind w:left="567"/>
        <w:jc w:val="both"/>
        <w:rPr>
          <w:rFonts w:ascii="Times New Roman" w:hAnsi="Times New Roman" w:cs="Times New Roman"/>
          <w:lang w:val="ru-RU"/>
        </w:rPr>
      </w:pPr>
      <w:r w:rsidRPr="00F06DE2">
        <w:rPr>
          <w:rFonts w:ascii="Times New Roman" w:hAnsi="Times New Roman" w:cs="Times New Roman"/>
        </w:rPr>
        <w:t>b</w:t>
      </w:r>
      <w:r w:rsidRPr="00F06DE2">
        <w:rPr>
          <w:rFonts w:ascii="Times New Roman" w:hAnsi="Times New Roman" w:cs="Times New Roman"/>
          <w:lang w:val="ru-RU"/>
        </w:rPr>
        <w:t>) предотвратяване на включването на компоненти, ако тяхната нужда от мощност може да причини ниско напрежение на източника на електрическа енергия.</w:t>
      </w:r>
    </w:p>
    <w:p w14:paraId="03ED274A" w14:textId="24672633" w:rsidR="00781C30" w:rsidRPr="00F06DE2" w:rsidRDefault="00781C30" w:rsidP="00110480">
      <w:pPr>
        <w:tabs>
          <w:tab w:val="left" w:pos="567"/>
        </w:tabs>
        <w:ind w:left="567"/>
        <w:jc w:val="both"/>
        <w:rPr>
          <w:rFonts w:ascii="Times New Roman" w:hAnsi="Times New Roman" w:cs="Times New Roman"/>
          <w:lang w:val="ru-RU"/>
        </w:rPr>
      </w:pPr>
      <w:r w:rsidRPr="00F06DE2">
        <w:rPr>
          <w:rFonts w:ascii="Times New Roman" w:hAnsi="Times New Roman" w:cs="Times New Roman"/>
          <w:lang w:val="ru-RU"/>
        </w:rPr>
        <w:t>Разделителните устройства трябва да осигуряват изключвателна способност за максимален ток на късо съединение.</w:t>
      </w:r>
    </w:p>
    <w:p w14:paraId="6F569708" w14:textId="77777777" w:rsidR="000A30E6" w:rsidRPr="00F06DE2" w:rsidRDefault="000A30E6" w:rsidP="00542313">
      <w:pPr>
        <w:tabs>
          <w:tab w:val="left" w:pos="567"/>
        </w:tabs>
        <w:ind w:left="720"/>
        <w:rPr>
          <w:rFonts w:ascii="Times New Roman" w:hAnsi="Times New Roman" w:cs="Times New Roman"/>
          <w:iCs/>
          <w:lang w:val="ru-RU" w:eastAsia="bg-BG"/>
        </w:rPr>
      </w:pPr>
    </w:p>
    <w:p w14:paraId="3C090744" w14:textId="19DB05BF" w:rsidR="00271FA2" w:rsidRPr="00F06DE2" w:rsidRDefault="00D35E51" w:rsidP="00542313">
      <w:pPr>
        <w:tabs>
          <w:tab w:val="left" w:pos="567"/>
          <w:tab w:val="left" w:pos="1276"/>
        </w:tabs>
        <w:autoSpaceDE w:val="0"/>
        <w:autoSpaceDN w:val="0"/>
        <w:adjustRightInd w:val="0"/>
        <w:spacing w:line="240" w:lineRule="atLeast"/>
        <w:jc w:val="center"/>
        <w:rPr>
          <w:rFonts w:ascii="Times New Roman" w:hAnsi="Times New Roman" w:cs="Times New Roman"/>
          <w:b/>
          <w:i/>
          <w:lang w:val="ru-RU"/>
        </w:rPr>
      </w:pPr>
      <w:r w:rsidRPr="00F06DE2">
        <w:rPr>
          <w:rFonts w:ascii="Times New Roman" w:hAnsi="Times New Roman" w:cs="Times New Roman"/>
          <w:b/>
          <w:iCs/>
          <w:lang w:val="ru-RU" w:eastAsia="bg-BG"/>
        </w:rPr>
        <w:t>Член 11.08</w:t>
      </w:r>
      <w:r w:rsidRPr="00F06DE2">
        <w:rPr>
          <w:rFonts w:ascii="Times New Roman" w:hAnsi="Times New Roman" w:cs="Times New Roman"/>
          <w:b/>
          <w:lang w:val="ru-RU"/>
        </w:rPr>
        <w:br/>
      </w:r>
      <w:r w:rsidR="00781C30" w:rsidRPr="00F06DE2">
        <w:rPr>
          <w:rFonts w:ascii="Times New Roman" w:hAnsi="Times New Roman" w:cs="Times New Roman"/>
          <w:b/>
          <w:i/>
          <w:lang w:val="ru-RU"/>
        </w:rPr>
        <w:t xml:space="preserve">Тестване на </w:t>
      </w:r>
      <w:r w:rsidR="00494129" w:rsidRPr="00F06DE2">
        <w:rPr>
          <w:rFonts w:ascii="Times New Roman" w:hAnsi="Times New Roman" w:cs="Times New Roman"/>
          <w:b/>
          <w:i/>
          <w:lang w:val="ru-RU"/>
        </w:rPr>
        <w:t xml:space="preserve"> </w:t>
      </w:r>
      <w:r w:rsidR="00F5332F" w:rsidRPr="00F06DE2">
        <w:rPr>
          <w:rFonts w:ascii="Times New Roman" w:hAnsi="Times New Roman" w:cs="Times New Roman"/>
          <w:b/>
          <w:i/>
          <w:lang w:val="ru-RU"/>
        </w:rPr>
        <w:t>електрически задвижващи системи</w:t>
      </w:r>
    </w:p>
    <w:p w14:paraId="02783387" w14:textId="77777777" w:rsidR="009E407D" w:rsidRPr="00F06DE2" w:rsidRDefault="009E407D" w:rsidP="00542313">
      <w:pPr>
        <w:tabs>
          <w:tab w:val="left" w:pos="567"/>
          <w:tab w:val="left" w:pos="1276"/>
        </w:tabs>
        <w:autoSpaceDE w:val="0"/>
        <w:autoSpaceDN w:val="0"/>
        <w:adjustRightInd w:val="0"/>
        <w:spacing w:line="240" w:lineRule="atLeast"/>
        <w:jc w:val="center"/>
        <w:rPr>
          <w:rFonts w:ascii="Times New Roman" w:hAnsi="Times New Roman" w:cs="Times New Roman"/>
          <w:b/>
          <w:i/>
          <w:iCs/>
          <w:lang w:val="ru-RU" w:eastAsia="bg-BG"/>
        </w:rPr>
      </w:pPr>
    </w:p>
    <w:p w14:paraId="6562F9FA" w14:textId="1F697FFC" w:rsidR="00781C30" w:rsidRPr="00F06DE2" w:rsidRDefault="00D35E51" w:rsidP="009E407D">
      <w:pPr>
        <w:tabs>
          <w:tab w:val="left" w:pos="0"/>
          <w:tab w:val="left" w:pos="567"/>
        </w:tabs>
        <w:autoSpaceDE w:val="0"/>
        <w:autoSpaceDN w:val="0"/>
        <w:adjustRightInd w:val="0"/>
        <w:spacing w:line="240" w:lineRule="atLeast"/>
        <w:ind w:left="567" w:hanging="567"/>
        <w:jc w:val="both"/>
        <w:rPr>
          <w:rFonts w:ascii="Times New Roman" w:hAnsi="Times New Roman" w:cs="Times New Roman"/>
          <w:iCs/>
          <w:strike/>
          <w:lang w:val="ru-RU" w:eastAsia="bg-BG"/>
        </w:rPr>
      </w:pPr>
      <w:r w:rsidRPr="00F06DE2">
        <w:rPr>
          <w:rFonts w:ascii="Times New Roman" w:hAnsi="Times New Roman" w:cs="Times New Roman"/>
          <w:iCs/>
          <w:lang w:val="ru-RU" w:eastAsia="bg-BG"/>
        </w:rPr>
        <w:t>1.</w:t>
      </w:r>
      <w:r w:rsidRPr="00F06DE2">
        <w:rPr>
          <w:rFonts w:ascii="Times New Roman" w:hAnsi="Times New Roman" w:cs="Times New Roman"/>
          <w:iCs/>
          <w:lang w:val="ru-RU" w:eastAsia="bg-BG"/>
        </w:rPr>
        <w:tab/>
      </w:r>
      <w:r w:rsidR="00781C30" w:rsidRPr="00F06DE2">
        <w:rPr>
          <w:rFonts w:ascii="Times New Roman" w:hAnsi="Times New Roman" w:cs="Times New Roman"/>
          <w:lang w:val="ru-RU"/>
        </w:rPr>
        <w:t>Концепцията за изпитване, предвидена от производителя или</w:t>
      </w:r>
      <w:r w:rsidR="009E407D" w:rsidRPr="00F06DE2">
        <w:rPr>
          <w:rFonts w:ascii="Times New Roman" w:hAnsi="Times New Roman" w:cs="Times New Roman"/>
          <w:lang w:val="ru-RU"/>
        </w:rPr>
        <w:t xml:space="preserve"> </w:t>
      </w:r>
      <w:r w:rsidR="005177E9" w:rsidRPr="00F06DE2">
        <w:rPr>
          <w:rFonts w:ascii="Times New Roman" w:hAnsi="Times New Roman" w:cs="Times New Roman"/>
          <w:lang w:val="ru-RU"/>
        </w:rPr>
        <w:t>проектанта</w:t>
      </w:r>
      <w:r w:rsidR="00781C30" w:rsidRPr="00F06DE2">
        <w:rPr>
          <w:rFonts w:ascii="Times New Roman" w:hAnsi="Times New Roman" w:cs="Times New Roman"/>
          <w:lang w:val="ru-RU"/>
        </w:rPr>
        <w:t xml:space="preserve"> на електрическата </w:t>
      </w:r>
      <w:r w:rsidR="00E833D0" w:rsidRPr="00F06DE2">
        <w:rPr>
          <w:rFonts w:ascii="Times New Roman" w:hAnsi="Times New Roman" w:cs="Times New Roman"/>
          <w:lang w:val="ru-RU"/>
        </w:rPr>
        <w:t xml:space="preserve">задвижваща </w:t>
      </w:r>
      <w:r w:rsidR="00781C30" w:rsidRPr="00F06DE2">
        <w:rPr>
          <w:rFonts w:ascii="Times New Roman" w:hAnsi="Times New Roman" w:cs="Times New Roman"/>
          <w:lang w:val="ru-RU"/>
        </w:rPr>
        <w:t>система трябва да бъде представена на инспекционния орган, преди да бъде пусната в експлоатация за първи път. Последното може да изисква допълнително изпитване и доказателство, потвърждаващо безопасната работа на електрическата система за задвижване и нейните функции. Това се отнася по-специално за онези случаи, когато се изисква плавателното средство да може да извършва управление със собствен ход в случай на неизправност.</w:t>
      </w:r>
    </w:p>
    <w:p w14:paraId="08062294" w14:textId="430E3CAB" w:rsidR="00271FA2" w:rsidRPr="00F06DE2" w:rsidRDefault="00271FA2" w:rsidP="009E407D">
      <w:pPr>
        <w:tabs>
          <w:tab w:val="left" w:pos="0"/>
          <w:tab w:val="left" w:pos="567"/>
        </w:tabs>
        <w:autoSpaceDE w:val="0"/>
        <w:autoSpaceDN w:val="0"/>
        <w:adjustRightInd w:val="0"/>
        <w:spacing w:line="240" w:lineRule="atLeast"/>
        <w:jc w:val="both"/>
        <w:rPr>
          <w:rFonts w:ascii="Times New Roman" w:hAnsi="Times New Roman" w:cs="Times New Roman"/>
          <w:iCs/>
          <w:strike/>
          <w:lang w:val="ru-RU" w:eastAsia="bg-BG"/>
        </w:rPr>
      </w:pPr>
    </w:p>
    <w:p w14:paraId="6E693CF7" w14:textId="33199CAD" w:rsidR="00781C30" w:rsidRPr="00F06DE2" w:rsidRDefault="00781C30" w:rsidP="009E407D">
      <w:pPr>
        <w:tabs>
          <w:tab w:val="left" w:pos="567"/>
        </w:tabs>
        <w:rPr>
          <w:rFonts w:ascii="Times New Roman" w:hAnsi="Times New Roman" w:cs="Times New Roman"/>
          <w:lang w:val="ru-RU"/>
        </w:rPr>
      </w:pPr>
      <w:r w:rsidRPr="00F06DE2">
        <w:rPr>
          <w:rFonts w:ascii="Times New Roman" w:hAnsi="Times New Roman" w:cs="Times New Roman"/>
          <w:lang w:val="ru-RU"/>
        </w:rPr>
        <w:t xml:space="preserve">2.      </w:t>
      </w:r>
      <w:r w:rsidR="009E407D" w:rsidRPr="00F06DE2">
        <w:rPr>
          <w:rFonts w:ascii="Times New Roman" w:hAnsi="Times New Roman" w:cs="Times New Roman"/>
          <w:lang w:val="ru-RU"/>
        </w:rPr>
        <w:t xml:space="preserve"> </w:t>
      </w:r>
      <w:r w:rsidRPr="00F06DE2">
        <w:rPr>
          <w:rFonts w:ascii="Times New Roman" w:hAnsi="Times New Roman" w:cs="Times New Roman"/>
          <w:lang w:val="ru-RU"/>
        </w:rPr>
        <w:t>Концепцията за изпитване обхваща най-малко:</w:t>
      </w:r>
    </w:p>
    <w:p w14:paraId="5654B3B9" w14:textId="143A38DA"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 xml:space="preserve">а) навигация при използване на електрически </w:t>
      </w:r>
      <w:r w:rsidR="00402FF3" w:rsidRPr="00F06DE2">
        <w:rPr>
          <w:rFonts w:ascii="Times New Roman" w:hAnsi="Times New Roman" w:cs="Times New Roman"/>
          <w:lang w:val="ru-RU"/>
        </w:rPr>
        <w:t xml:space="preserve">задвижващи </w:t>
      </w:r>
      <w:r w:rsidRPr="00F06DE2">
        <w:rPr>
          <w:rFonts w:ascii="Times New Roman" w:hAnsi="Times New Roman" w:cs="Times New Roman"/>
          <w:lang w:val="ru-RU"/>
        </w:rPr>
        <w:t>системи на пълна мощност и нормална работа на цялото друго потребителско оборудване на борда;</w:t>
      </w:r>
    </w:p>
    <w:p w14:paraId="0A7F964E" w14:textId="18A3CDAD"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б) навигация при използване на електр</w:t>
      </w:r>
      <w:r w:rsidR="007F204C" w:rsidRPr="00F06DE2">
        <w:rPr>
          <w:rFonts w:ascii="Times New Roman" w:hAnsi="Times New Roman" w:cs="Times New Roman"/>
          <w:lang w:val="ru-RU"/>
        </w:rPr>
        <w:t xml:space="preserve">ически </w:t>
      </w:r>
      <w:r w:rsidRPr="00F06DE2">
        <w:rPr>
          <w:rFonts w:ascii="Times New Roman" w:hAnsi="Times New Roman" w:cs="Times New Roman"/>
          <w:lang w:val="ru-RU"/>
        </w:rPr>
        <w:t>задвижващи системи при нормална работа с намален коефициент на натоварване на източниците на енергия с тестване на включването и изключването на различните източници на енергия;</w:t>
      </w:r>
    </w:p>
    <w:p w14:paraId="5BB5D67F" w14:textId="77777777"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lastRenderedPageBreak/>
        <w:t>в) изпитване на електрическите задвижващи системи по време на навигация</w:t>
      </w:r>
    </w:p>
    <w:p w14:paraId="69F2ADC3" w14:textId="7100F25A"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 xml:space="preserve">аа) в случай на повреда на източник на енергия, както и недостатъчно захранване на </w:t>
      </w:r>
      <w:r w:rsidR="00DF569C" w:rsidRPr="00F06DE2">
        <w:rPr>
          <w:rFonts w:ascii="Times New Roman" w:hAnsi="Times New Roman" w:cs="Times New Roman"/>
          <w:lang w:val="ru-RU"/>
        </w:rPr>
        <w:t>електрическите задвижващи системи</w:t>
      </w:r>
      <w:r w:rsidRPr="00F06DE2">
        <w:rPr>
          <w:rFonts w:ascii="Times New Roman" w:hAnsi="Times New Roman" w:cs="Times New Roman"/>
          <w:lang w:val="ru-RU"/>
        </w:rPr>
        <w:t xml:space="preserve"> (най-лошият </w:t>
      </w:r>
      <w:r w:rsidR="00DF569C" w:rsidRPr="00F06DE2">
        <w:rPr>
          <w:rFonts w:ascii="Times New Roman" w:hAnsi="Times New Roman" w:cs="Times New Roman"/>
          <w:lang w:val="ru-RU"/>
        </w:rPr>
        <w:t xml:space="preserve"> случай</w:t>
      </w:r>
      <w:r w:rsidRPr="00F06DE2">
        <w:rPr>
          <w:rFonts w:ascii="Times New Roman" w:hAnsi="Times New Roman" w:cs="Times New Roman"/>
          <w:lang w:val="ru-RU"/>
        </w:rPr>
        <w:t>);</w:t>
      </w:r>
    </w:p>
    <w:p w14:paraId="1E00F3B3" w14:textId="77777777"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бб) при повреда на външно охлаждане на силова електроника или задвижващи двигатели;</w:t>
      </w:r>
    </w:p>
    <w:p w14:paraId="2591D60C" w14:textId="77777777"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вв) при повреда на системите за управление и регулиране на системите за електрическо задвижване, и</w:t>
      </w:r>
    </w:p>
    <w:p w14:paraId="66CD50CA" w14:textId="77777777"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гг) по време на маневра за спиране (независимо от дължината на плавателния съд);</w:t>
      </w:r>
    </w:p>
    <w:p w14:paraId="6DA14BB1" w14:textId="4C5E5B35"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г) когато е подходящо, изпитване на независимостта на електрическите</w:t>
      </w:r>
      <w:r w:rsidR="00DF569C" w:rsidRPr="00F06DE2">
        <w:rPr>
          <w:rFonts w:ascii="Times New Roman" w:hAnsi="Times New Roman" w:cs="Times New Roman"/>
          <w:lang w:val="ru-RU"/>
        </w:rPr>
        <w:t xml:space="preserve"> задвижващи </w:t>
      </w:r>
      <w:r w:rsidRPr="00F06DE2">
        <w:rPr>
          <w:rFonts w:ascii="Times New Roman" w:hAnsi="Times New Roman" w:cs="Times New Roman"/>
          <w:lang w:val="ru-RU"/>
        </w:rPr>
        <w:t xml:space="preserve"> системи по време на навигация</w:t>
      </w:r>
    </w:p>
    <w:p w14:paraId="5FE1BE3C" w14:textId="0E9F7E64"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аа) в случай на повреда на един елемент от една от електрическите</w:t>
      </w:r>
      <w:r w:rsidR="00AC56C1" w:rsidRPr="00F06DE2">
        <w:rPr>
          <w:rFonts w:ascii="Times New Roman" w:hAnsi="Times New Roman" w:cs="Times New Roman"/>
          <w:lang w:val="ru-RU"/>
        </w:rPr>
        <w:t xml:space="preserve"> задвижващи </w:t>
      </w:r>
      <w:r w:rsidRPr="00F06DE2">
        <w:rPr>
          <w:rFonts w:ascii="Times New Roman" w:hAnsi="Times New Roman" w:cs="Times New Roman"/>
          <w:lang w:val="ru-RU"/>
        </w:rPr>
        <w:t xml:space="preserve"> системи.</w:t>
      </w:r>
    </w:p>
    <w:p w14:paraId="724BE43A" w14:textId="77777777"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Освен това трябва да се докаже, че в случай на една от повредите, както е посочено в</w:t>
      </w:r>
    </w:p>
    <w:p w14:paraId="647F7C81" w14:textId="4DD5ED1C" w:rsidR="00781C30" w:rsidRPr="00F06DE2" w:rsidRDefault="00781C30" w:rsidP="009E407D">
      <w:pPr>
        <w:tabs>
          <w:tab w:val="left" w:pos="567"/>
        </w:tabs>
        <w:ind w:left="567"/>
        <w:rPr>
          <w:rFonts w:ascii="Times New Roman" w:hAnsi="Times New Roman" w:cs="Times New Roman"/>
          <w:lang w:val="ru-RU"/>
        </w:rPr>
      </w:pPr>
      <w:r w:rsidRPr="00F06DE2">
        <w:rPr>
          <w:rFonts w:ascii="Times New Roman" w:hAnsi="Times New Roman" w:cs="Times New Roman"/>
          <w:lang w:val="ru-RU"/>
        </w:rPr>
        <w:t xml:space="preserve">в) плавателният съд е в състояние да </w:t>
      </w:r>
      <w:r w:rsidR="00892340" w:rsidRPr="00F06DE2">
        <w:rPr>
          <w:rFonts w:ascii="Times New Roman" w:hAnsi="Times New Roman" w:cs="Times New Roman"/>
          <w:lang w:val="ru-RU"/>
        </w:rPr>
        <w:t xml:space="preserve"> остане управляем</w:t>
      </w:r>
      <w:r w:rsidRPr="00F06DE2">
        <w:rPr>
          <w:rFonts w:ascii="Times New Roman" w:hAnsi="Times New Roman" w:cs="Times New Roman"/>
          <w:lang w:val="ru-RU"/>
        </w:rPr>
        <w:t xml:space="preserve"> </w:t>
      </w:r>
      <w:r w:rsidR="00892340" w:rsidRPr="00F06DE2">
        <w:rPr>
          <w:rFonts w:ascii="Times New Roman" w:hAnsi="Times New Roman" w:cs="Times New Roman"/>
          <w:lang w:val="ru-RU"/>
        </w:rPr>
        <w:t xml:space="preserve"> на ход</w:t>
      </w:r>
    </w:p>
    <w:p w14:paraId="4A6A395E" w14:textId="625D4D14" w:rsidR="00781C30" w:rsidRPr="00F06DE2" w:rsidRDefault="00781C30" w:rsidP="009E407D">
      <w:pPr>
        <w:ind w:left="567"/>
        <w:rPr>
          <w:rFonts w:ascii="Times New Roman" w:hAnsi="Times New Roman" w:cs="Times New Roman"/>
          <w:lang w:val="ru-RU"/>
        </w:rPr>
      </w:pPr>
      <w:r w:rsidRPr="00F06DE2">
        <w:rPr>
          <w:rFonts w:ascii="Times New Roman" w:hAnsi="Times New Roman" w:cs="Times New Roman"/>
          <w:lang w:val="ru-RU"/>
        </w:rPr>
        <w:t>Контролният орган може да изиска допълнителни тестове или документация.</w:t>
      </w:r>
      <w:r w:rsidRPr="00F06DE2">
        <w:rPr>
          <w:rFonts w:ascii="Times New Roman" w:hAnsi="Times New Roman" w:cs="Times New Roman"/>
          <w:iCs/>
          <w:lang w:val="ru-RU" w:eastAsia="bg-BG"/>
        </w:rPr>
        <w:t xml:space="preserve">3 </w:t>
      </w:r>
      <w:r w:rsidRPr="00F06DE2">
        <w:rPr>
          <w:rFonts w:ascii="Times New Roman" w:hAnsi="Times New Roman" w:cs="Times New Roman"/>
          <w:lang w:val="ru-RU"/>
        </w:rPr>
        <w:t>Електрическата задвижваща система се проверява от контролен орган:</w:t>
      </w:r>
    </w:p>
    <w:p w14:paraId="6827B206" w14:textId="77777777" w:rsidR="00781C30" w:rsidRPr="00F06DE2" w:rsidRDefault="00781C30" w:rsidP="009E407D">
      <w:pPr>
        <w:ind w:left="567"/>
        <w:rPr>
          <w:rFonts w:ascii="Times New Roman" w:hAnsi="Times New Roman" w:cs="Times New Roman"/>
          <w:lang w:val="ru-RU"/>
        </w:rPr>
      </w:pPr>
      <w:r w:rsidRPr="00F06DE2">
        <w:rPr>
          <w:rFonts w:ascii="Times New Roman" w:hAnsi="Times New Roman" w:cs="Times New Roman"/>
          <w:lang w:val="ru-RU"/>
        </w:rPr>
        <w:t>а) преди да бъдат пуснати в експлоатация за първи път,</w:t>
      </w:r>
    </w:p>
    <w:p w14:paraId="55E57914" w14:textId="77777777" w:rsidR="00781C30" w:rsidRPr="00F06DE2" w:rsidRDefault="00781C30" w:rsidP="009E407D">
      <w:pPr>
        <w:ind w:left="567"/>
        <w:rPr>
          <w:rFonts w:ascii="Times New Roman" w:hAnsi="Times New Roman" w:cs="Times New Roman"/>
          <w:lang w:val="ru-RU"/>
        </w:rPr>
      </w:pPr>
      <w:r w:rsidRPr="00F06DE2">
        <w:rPr>
          <w:rFonts w:ascii="Times New Roman" w:hAnsi="Times New Roman" w:cs="Times New Roman"/>
          <w:lang w:val="ru-RU"/>
        </w:rPr>
        <w:t>б) преди да бъдат върнати в експлоатация след всяка голяма модификация или ремонт,</w:t>
      </w:r>
    </w:p>
    <w:p w14:paraId="5F62D97E" w14:textId="77777777" w:rsidR="00781C30" w:rsidRPr="00F06DE2" w:rsidRDefault="00781C30" w:rsidP="009E407D">
      <w:pPr>
        <w:ind w:left="567"/>
        <w:rPr>
          <w:rFonts w:ascii="Times New Roman" w:hAnsi="Times New Roman" w:cs="Times New Roman"/>
          <w:lang w:val="ru-RU"/>
        </w:rPr>
      </w:pPr>
      <w:r w:rsidRPr="00F06DE2">
        <w:rPr>
          <w:rFonts w:ascii="Times New Roman" w:hAnsi="Times New Roman" w:cs="Times New Roman"/>
          <w:lang w:val="ru-RU"/>
        </w:rPr>
        <w:t>в) при всяка периодична проверка.</w:t>
      </w:r>
    </w:p>
    <w:p w14:paraId="6A93C76A" w14:textId="77777777" w:rsidR="003E392D" w:rsidRPr="00F06DE2" w:rsidRDefault="003E392D" w:rsidP="00542313">
      <w:pPr>
        <w:tabs>
          <w:tab w:val="left" w:pos="567"/>
        </w:tabs>
        <w:rPr>
          <w:rFonts w:ascii="Times New Roman" w:hAnsi="Times New Roman" w:cs="Times New Roman"/>
          <w:iCs/>
          <w:lang w:val="ru-RU" w:eastAsia="bg-BG"/>
        </w:rPr>
        <w:sectPr w:rsidR="003E392D" w:rsidRPr="00F06DE2" w:rsidSect="00F06DE2">
          <w:headerReference w:type="default" r:id="rId41"/>
          <w:headerReference w:type="first" r:id="rId42"/>
          <w:footnotePr>
            <w:numRestart w:val="eachPage"/>
          </w:footnotePr>
          <w:pgSz w:w="11906" w:h="16838" w:code="9"/>
          <w:pgMar w:top="1134" w:right="1134" w:bottom="1134" w:left="1134" w:header="709" w:footer="709" w:gutter="0"/>
          <w:cols w:space="709"/>
          <w:titlePg/>
          <w:docGrid w:linePitch="272"/>
        </w:sectPr>
      </w:pPr>
    </w:p>
    <w:p w14:paraId="47DCFDE7" w14:textId="77777777" w:rsidR="00271FA2" w:rsidRPr="00F06DE2" w:rsidRDefault="00D35E51">
      <w:pPr>
        <w:pStyle w:val="ES-Titre2"/>
        <w:rPr>
          <w:rFonts w:ascii="Times New Roman" w:hAnsi="Times New Roman" w:cs="Times New Roman"/>
          <w:lang w:val="ru-RU"/>
        </w:rPr>
      </w:pPr>
      <w:bookmarkStart w:id="194" w:name="_Toc491854100"/>
      <w:bookmarkStart w:id="195" w:name="_Toc535827541"/>
      <w:r w:rsidRPr="00F06DE2">
        <w:rPr>
          <w:rFonts w:ascii="Times New Roman" w:hAnsi="Times New Roman" w:cs="Times New Roman"/>
          <w:lang w:val="ru-RU"/>
        </w:rPr>
        <w:lastRenderedPageBreak/>
        <w:t>Глава 12</w:t>
      </w:r>
      <w:r w:rsidRPr="00F06DE2">
        <w:rPr>
          <w:rFonts w:ascii="Times New Roman" w:hAnsi="Times New Roman" w:cs="Times New Roman"/>
          <w:lang w:val="ru-RU"/>
        </w:rPr>
        <w:br/>
        <w:t>Електронно оборудване и системи</w:t>
      </w:r>
      <w:bookmarkEnd w:id="194"/>
      <w:bookmarkEnd w:id="195"/>
    </w:p>
    <w:p w14:paraId="0405694E" w14:textId="77777777" w:rsidR="00271FA2" w:rsidRPr="00F06DE2" w:rsidRDefault="00D35E51">
      <w:pPr>
        <w:spacing w:line="240" w:lineRule="atLeast"/>
        <w:jc w:val="center"/>
        <w:rPr>
          <w:rFonts w:ascii="Times New Roman" w:hAnsi="Times New Roman" w:cs="Times New Roman"/>
          <w:lang w:val="ru-RU"/>
        </w:rPr>
      </w:pPr>
      <w:r w:rsidRPr="00F06DE2">
        <w:rPr>
          <w:rFonts w:ascii="Times New Roman" w:hAnsi="Times New Roman" w:cs="Times New Roman"/>
          <w:lang w:val="ru-RU"/>
        </w:rPr>
        <w:t>(оставено непопълнено)</w:t>
      </w:r>
    </w:p>
    <w:p w14:paraId="5EA57567" w14:textId="77777777" w:rsidR="00271FA2" w:rsidRPr="00F06DE2" w:rsidRDefault="00271FA2">
      <w:pPr>
        <w:spacing w:line="240" w:lineRule="atLeast"/>
        <w:jc w:val="center"/>
        <w:rPr>
          <w:rFonts w:ascii="Times New Roman" w:hAnsi="Times New Roman" w:cs="Times New Roman"/>
          <w:lang w:val="ru-RU"/>
        </w:rPr>
      </w:pPr>
    </w:p>
    <w:p w14:paraId="0C95E6BC" w14:textId="77777777" w:rsidR="00271FA2" w:rsidRPr="00F06DE2" w:rsidRDefault="00271FA2">
      <w:pPr>
        <w:spacing w:line="240" w:lineRule="atLeast"/>
        <w:jc w:val="center"/>
        <w:rPr>
          <w:rFonts w:ascii="Times New Roman" w:hAnsi="Times New Roman" w:cs="Times New Roman"/>
          <w:lang w:val="ru-RU"/>
        </w:rPr>
      </w:pPr>
    </w:p>
    <w:p w14:paraId="6DC16681" w14:textId="77777777" w:rsidR="00271FA2" w:rsidRPr="00F06DE2" w:rsidRDefault="00271FA2">
      <w:pPr>
        <w:spacing w:line="240" w:lineRule="atLeast"/>
        <w:jc w:val="center"/>
        <w:rPr>
          <w:rFonts w:ascii="Times New Roman" w:hAnsi="Times New Roman" w:cs="Times New Roman"/>
          <w:lang w:val="ru-RU"/>
        </w:rPr>
      </w:pPr>
    </w:p>
    <w:p w14:paraId="71BDCA8B" w14:textId="77777777" w:rsidR="00107AE1" w:rsidRPr="00F06DE2" w:rsidRDefault="00107AE1">
      <w:pPr>
        <w:spacing w:line="240" w:lineRule="atLeast"/>
        <w:jc w:val="center"/>
        <w:rPr>
          <w:rFonts w:ascii="Times New Roman" w:hAnsi="Times New Roman" w:cs="Times New Roman"/>
          <w:lang w:val="ru-RU"/>
        </w:rPr>
        <w:sectPr w:rsidR="00107AE1" w:rsidRPr="00F06DE2" w:rsidSect="00F06DE2">
          <w:headerReference w:type="default" r:id="rId43"/>
          <w:headerReference w:type="first" r:id="rId44"/>
          <w:footnotePr>
            <w:numRestart w:val="eachPage"/>
          </w:footnotePr>
          <w:pgSz w:w="11906" w:h="16838" w:code="9"/>
          <w:pgMar w:top="1134" w:right="1134" w:bottom="1134" w:left="1134" w:header="709" w:footer="709" w:gutter="0"/>
          <w:cols w:space="709"/>
          <w:titlePg/>
          <w:docGrid w:linePitch="272"/>
        </w:sectPr>
      </w:pPr>
    </w:p>
    <w:p w14:paraId="4CCACC04" w14:textId="77777777" w:rsidR="00271FA2" w:rsidRPr="00F06DE2" w:rsidRDefault="00D35E51">
      <w:pPr>
        <w:pStyle w:val="ES-Titre2"/>
        <w:rPr>
          <w:rFonts w:ascii="Times New Roman" w:hAnsi="Times New Roman" w:cs="Times New Roman"/>
          <w:lang w:val="ru-RU"/>
        </w:rPr>
      </w:pPr>
      <w:bookmarkStart w:id="196" w:name="_Toc491854101"/>
      <w:bookmarkStart w:id="197" w:name="_Toc535827542"/>
      <w:r w:rsidRPr="00F06DE2">
        <w:rPr>
          <w:rFonts w:ascii="Times New Roman" w:hAnsi="Times New Roman" w:cs="Times New Roman"/>
          <w:lang w:val="ru-RU"/>
        </w:rPr>
        <w:lastRenderedPageBreak/>
        <w:t>Глава 13</w:t>
      </w:r>
      <w:r w:rsidRPr="00F06DE2">
        <w:rPr>
          <w:rFonts w:ascii="Times New Roman" w:hAnsi="Times New Roman" w:cs="Times New Roman"/>
          <w:lang w:val="ru-RU"/>
        </w:rPr>
        <w:br/>
        <w:t>Оборудване</w:t>
      </w:r>
      <w:bookmarkEnd w:id="196"/>
      <w:bookmarkEnd w:id="197"/>
    </w:p>
    <w:p w14:paraId="1B018CAC"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198" w:name="_Toc535827543"/>
      <w:bookmarkStart w:id="199" w:name="_Toc491854102"/>
      <w:r w:rsidRPr="00F06DE2">
        <w:rPr>
          <w:rFonts w:ascii="Times New Roman" w:hAnsi="Times New Roman" w:cs="Times New Roman"/>
          <w:sz w:val="24"/>
          <w:szCs w:val="24"/>
          <w:lang w:val="ru-RU"/>
        </w:rPr>
        <w:t>Член 13.01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Котвено оборудване</w:t>
      </w:r>
      <w:bookmarkEnd w:id="198"/>
      <w:bookmarkEnd w:id="199"/>
    </w:p>
    <w:p w14:paraId="257E6672" w14:textId="21DC26A3"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Плавателните съдове, предназначени за превоз на товари, с изключение на </w:t>
      </w:r>
      <w:r w:rsidR="00654589" w:rsidRPr="00F06DE2">
        <w:rPr>
          <w:rFonts w:ascii="Times New Roman" w:hAnsi="Times New Roman" w:cs="Times New Roman"/>
          <w:lang w:val="ru-RU"/>
        </w:rPr>
        <w:t xml:space="preserve"> лихтери</w:t>
      </w:r>
      <w:r w:rsidR="00AC20FB" w:rsidRPr="00F06DE2">
        <w:rPr>
          <w:rFonts w:ascii="Times New Roman" w:hAnsi="Times New Roman" w:cs="Times New Roman"/>
          <w:lang w:val="ru-RU"/>
        </w:rPr>
        <w:t>те за морски превоз</w:t>
      </w:r>
      <w:r w:rsidRPr="00F06DE2">
        <w:rPr>
          <w:rFonts w:ascii="Times New Roman" w:hAnsi="Times New Roman" w:cs="Times New Roman"/>
          <w:lang w:val="ru-RU"/>
        </w:rPr>
        <w:t xml:space="preserve">, чиято дължина </w:t>
      </w:r>
      <m:oMath>
        <m:r>
          <w:rPr>
            <w:rFonts w:ascii="Cambria Math" w:hAnsi="Cambria Math" w:cs="Times New Roman"/>
          </w:rPr>
          <m:t>L</m:t>
        </m:r>
      </m:oMath>
      <w:r w:rsidRPr="00F06DE2">
        <w:rPr>
          <w:rFonts w:ascii="Times New Roman" w:hAnsi="Times New Roman" w:cs="Times New Roman"/>
          <w:lang w:val="ru-RU"/>
        </w:rPr>
        <w:t xml:space="preserve"> не превишава 40</w:t>
      </w:r>
      <w:r w:rsidRPr="00F06DE2">
        <w:rPr>
          <w:rFonts w:ascii="Times New Roman" w:hAnsi="Times New Roman" w:cs="Times New Roman"/>
        </w:rPr>
        <w:t> m</w:t>
      </w:r>
      <w:r w:rsidRPr="00F06DE2">
        <w:rPr>
          <w:rFonts w:ascii="Times New Roman" w:hAnsi="Times New Roman" w:cs="Times New Roman"/>
          <w:lang w:val="ru-RU"/>
        </w:rPr>
        <w:t xml:space="preserve">, трябва да бъдат оборудвани с носови котви, чиято обща маса </w:t>
      </w:r>
      <m:oMath>
        <m:r>
          <w:rPr>
            <w:rFonts w:ascii="Cambria Math" w:hAnsi="Cambria Math" w:cs="Times New Roman"/>
          </w:rPr>
          <m:t>P</m:t>
        </m:r>
      </m:oMath>
      <w:r w:rsidRPr="00F06DE2">
        <w:rPr>
          <w:rFonts w:ascii="Times New Roman" w:hAnsi="Times New Roman" w:cs="Times New Roman"/>
          <w:lang w:val="ru-RU"/>
        </w:rPr>
        <w:t xml:space="preserve"> се изчислява по следната формула:</w:t>
      </w:r>
    </w:p>
    <w:p w14:paraId="7D2CF395" w14:textId="77777777" w:rsidR="00271FA2" w:rsidRPr="00F06DE2" w:rsidRDefault="00D35E51">
      <w:pPr>
        <w:pStyle w:val="ESch"/>
        <w:ind w:left="0" w:firstLine="0"/>
        <w:jc w:val="center"/>
        <w:rPr>
          <w:rFonts w:ascii="Times New Roman" w:hAnsi="Times New Roman" w:cs="Times New Roman"/>
        </w:rPr>
      </w:pPr>
      <m:oMathPara>
        <m:oMath>
          <m:r>
            <w:rPr>
              <w:rFonts w:ascii="Cambria Math" w:hAnsi="Cambria Math" w:cs="Times New Roman"/>
            </w:rPr>
            <m:t>P=k ∙B ∙T [kg]</m:t>
          </m:r>
        </m:oMath>
      </m:oMathPara>
    </w:p>
    <w:p w14:paraId="4089A8F8" w14:textId="77777777" w:rsidR="00271FA2" w:rsidRPr="00F06DE2" w:rsidRDefault="00D35E51">
      <w:pPr>
        <w:pStyle w:val="ESchpar"/>
        <w:rPr>
          <w:rFonts w:ascii="Times New Roman" w:hAnsi="Times New Roman" w:cs="Times New Roman"/>
          <w:lang w:val="ru-RU"/>
        </w:rPr>
      </w:pPr>
      <w:r w:rsidRPr="00F06DE2">
        <w:rPr>
          <w:rFonts w:ascii="Times New Roman" w:hAnsi="Times New Roman" w:cs="Times New Roman"/>
          <w:lang w:val="ru-RU"/>
        </w:rPr>
        <w:t>където</w:t>
      </w:r>
    </w:p>
    <w:p w14:paraId="7C240616" w14:textId="77777777" w:rsidR="00271FA2" w:rsidRPr="00F06DE2" w:rsidRDefault="00D35E51">
      <w:pPr>
        <w:pStyle w:val="ESlet"/>
        <w:spacing w:before="0"/>
        <w:jc w:val="both"/>
        <w:rPr>
          <w:rFonts w:ascii="Times New Roman" w:hAnsi="Times New Roman" w:cs="Times New Roman"/>
          <w:lang w:val="ru-RU"/>
        </w:rPr>
      </w:pPr>
      <m:oMath>
        <m:r>
          <w:rPr>
            <w:rFonts w:ascii="Cambria Math" w:hAnsi="Cambria Math" w:cs="Times New Roman"/>
          </w:rPr>
          <m:t>k</m:t>
        </m:r>
      </m:oMath>
      <w:r w:rsidRPr="00F06DE2">
        <w:rPr>
          <w:rFonts w:ascii="Times New Roman" w:hAnsi="Times New Roman" w:cs="Times New Roman"/>
          <w:lang w:val="ru-RU"/>
        </w:rPr>
        <w:tab/>
        <w:t xml:space="preserve">е коефициент, който отчита връзката между дължината </w:t>
      </w:r>
      <m:oMath>
        <m:r>
          <w:rPr>
            <w:rFonts w:ascii="Cambria Math" w:hAnsi="Cambria Math" w:cs="Times New Roman"/>
          </w:rPr>
          <m:t>L</m:t>
        </m:r>
      </m:oMath>
      <w:r w:rsidRPr="00F06DE2">
        <w:rPr>
          <w:rFonts w:ascii="Times New Roman" w:hAnsi="Times New Roman" w:cs="Times New Roman"/>
          <w:lang w:val="ru-RU"/>
        </w:rPr>
        <w:t>, широчината</w:t>
      </w:r>
      <m:oMath>
        <m:r>
          <w:rPr>
            <w:rFonts w:ascii="Cambria Math" w:hAnsi="Cambria Math" w:cs="Times New Roman"/>
            <w:lang w:val="ru-RU"/>
          </w:rPr>
          <m:t xml:space="preserve"> </m:t>
        </m:r>
        <m:r>
          <w:rPr>
            <w:rFonts w:ascii="Cambria Math" w:hAnsi="Cambria Math" w:cs="Times New Roman"/>
          </w:rPr>
          <m:t>B</m:t>
        </m:r>
      </m:oMath>
      <w:r w:rsidRPr="00F06DE2">
        <w:rPr>
          <w:rFonts w:ascii="Times New Roman" w:hAnsi="Times New Roman" w:cs="Times New Roman"/>
          <w:lang w:val="ru-RU"/>
        </w:rPr>
        <w:t xml:space="preserve"> и вида на плавателния съд:</w:t>
      </w:r>
    </w:p>
    <w:p w14:paraId="0D0A6B96" w14:textId="77777777" w:rsidR="00271FA2" w:rsidRPr="00F06DE2" w:rsidRDefault="00D35E51">
      <w:pPr>
        <w:pStyle w:val="ESlet"/>
        <w:spacing w:before="0"/>
        <w:ind w:left="0"/>
        <w:jc w:val="center"/>
        <w:rPr>
          <w:rFonts w:ascii="Times New Roman" w:hAnsi="Times New Roman" w:cs="Times New Roman"/>
        </w:rPr>
      </w:pPr>
      <m:oMathPara>
        <m:oMath>
          <m:r>
            <w:rPr>
              <w:rFonts w:ascii="Cambria Math" w:hAnsi="Cambria Math" w:cs="Times New Roman"/>
            </w:rPr>
            <m:t xml:space="preserve">k= c </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L</m:t>
                  </m:r>
                </m:num>
                <m:den>
                  <m:r>
                    <w:rPr>
                      <w:rFonts w:ascii="Cambria Math" w:hAnsi="Cambria Math" w:cs="Times New Roman"/>
                    </w:rPr>
                    <m:t>8 ∙B</m:t>
                  </m:r>
                </m:den>
              </m:f>
            </m:e>
          </m:rad>
        </m:oMath>
      </m:oMathPara>
    </w:p>
    <w:p w14:paraId="63CE1B0D" w14:textId="77777777" w:rsidR="00271FA2" w:rsidRPr="00F06DE2" w:rsidRDefault="00271FA2">
      <w:pPr>
        <w:pStyle w:val="ESch"/>
        <w:jc w:val="center"/>
        <w:rPr>
          <w:rStyle w:val="FootnoteReference"/>
          <w:rFonts w:ascii="Times New Roman" w:hAnsi="Times New Roman" w:cs="Times New Roman"/>
        </w:rPr>
      </w:pPr>
    </w:p>
    <w:p w14:paraId="74F0BF73" w14:textId="77777777" w:rsidR="00271FA2" w:rsidRPr="00F06DE2" w:rsidRDefault="00D35E51">
      <w:pPr>
        <w:pStyle w:val="ESletpar"/>
        <w:spacing w:before="0"/>
        <w:jc w:val="both"/>
        <w:rPr>
          <w:rFonts w:ascii="Times New Roman" w:hAnsi="Times New Roman" w:cs="Times New Roman"/>
          <w:lang w:val="ru-RU"/>
        </w:rPr>
      </w:pPr>
      <w:r w:rsidRPr="00F06DE2">
        <w:rPr>
          <w:rFonts w:ascii="Times New Roman" w:hAnsi="Times New Roman" w:cs="Times New Roman"/>
          <w:lang w:val="ru-RU"/>
        </w:rPr>
        <w:t xml:space="preserve">за лихтери обаче се приема </w:t>
      </w:r>
      <m:oMath>
        <m:r>
          <w:rPr>
            <w:rFonts w:ascii="Cambria Math" w:hAnsi="Cambria Math" w:cs="Times New Roman"/>
          </w:rPr>
          <m:t>k</m:t>
        </m:r>
        <m:r>
          <w:rPr>
            <w:rFonts w:ascii="Cambria Math" w:hAnsi="Cambria Math" w:cs="Times New Roman"/>
            <w:lang w:val="ru-RU"/>
          </w:rPr>
          <m:t>=</m:t>
        </m:r>
        <m:r>
          <w:rPr>
            <w:rFonts w:ascii="Cambria Math" w:hAnsi="Cambria Math" w:cs="Times New Roman"/>
          </w:rPr>
          <m:t>c</m:t>
        </m:r>
      </m:oMath>
      <w:r w:rsidRPr="00F06DE2">
        <w:rPr>
          <w:rFonts w:ascii="Times New Roman" w:hAnsi="Times New Roman" w:cs="Times New Roman"/>
          <w:lang w:val="ru-RU"/>
        </w:rPr>
        <w:t>;</w:t>
      </w:r>
    </w:p>
    <w:p w14:paraId="52ED9709" w14:textId="77777777" w:rsidR="00271FA2" w:rsidRPr="00F06DE2" w:rsidRDefault="00D35E51">
      <w:pPr>
        <w:pStyle w:val="ESlet"/>
        <w:spacing w:before="0"/>
        <w:jc w:val="both"/>
        <w:rPr>
          <w:rFonts w:ascii="Times New Roman" w:hAnsi="Times New Roman" w:cs="Times New Roman"/>
          <w:lang w:val="ru-RU"/>
        </w:rPr>
      </w:pPr>
      <m:oMath>
        <m:r>
          <w:rPr>
            <w:rFonts w:ascii="Cambria Math" w:hAnsi="Cambria Math" w:cs="Times New Roman"/>
          </w:rPr>
          <m:t>c</m:t>
        </m:r>
      </m:oMath>
      <w:r w:rsidRPr="00F06DE2">
        <w:rPr>
          <w:rFonts w:ascii="Times New Roman" w:hAnsi="Times New Roman" w:cs="Times New Roman"/>
          <w:lang w:val="ru-RU"/>
        </w:rPr>
        <w:tab/>
        <w:t>е емпиричен коефициент, даден в следната таблица: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271FA2" w:rsidRPr="00F06DE2" w14:paraId="7693A2E6" w14:textId="77777777">
        <w:trPr>
          <w:jc w:val="center"/>
        </w:trPr>
        <w:tc>
          <w:tcPr>
            <w:tcW w:w="3402" w:type="dxa"/>
            <w:shd w:val="clear" w:color="auto" w:fill="auto"/>
          </w:tcPr>
          <w:p w14:paraId="7FC822A3" w14:textId="77777777" w:rsidR="00271FA2" w:rsidRPr="00F06DE2" w:rsidRDefault="00D35E51">
            <w:pPr>
              <w:pStyle w:val="ESch"/>
              <w:ind w:left="0" w:firstLine="0"/>
              <w:jc w:val="center"/>
              <w:rPr>
                <w:rFonts w:ascii="Times New Roman" w:hAnsi="Times New Roman" w:cs="Times New Roman"/>
              </w:rPr>
            </w:pPr>
            <w:r w:rsidRPr="00F06DE2">
              <w:rPr>
                <w:rFonts w:ascii="Times New Roman" w:hAnsi="Times New Roman" w:cs="Times New Roman"/>
              </w:rPr>
              <w:t>Пълна товароподемност [t]</w:t>
            </w:r>
          </w:p>
        </w:tc>
        <w:tc>
          <w:tcPr>
            <w:tcW w:w="3402" w:type="dxa"/>
            <w:shd w:val="clear" w:color="auto" w:fill="auto"/>
          </w:tcPr>
          <w:p w14:paraId="3BE5B669" w14:textId="77777777" w:rsidR="00271FA2" w:rsidRPr="00F06DE2" w:rsidRDefault="00D35E51">
            <w:pPr>
              <w:pStyle w:val="ESch"/>
              <w:ind w:left="0" w:firstLine="0"/>
              <w:jc w:val="center"/>
              <w:rPr>
                <w:rFonts w:ascii="Times New Roman" w:hAnsi="Times New Roman" w:cs="Times New Roman"/>
              </w:rPr>
            </w:pPr>
            <w:r w:rsidRPr="00F06DE2">
              <w:rPr>
                <w:rFonts w:ascii="Times New Roman" w:hAnsi="Times New Roman" w:cs="Times New Roman"/>
              </w:rPr>
              <w:t xml:space="preserve">Коефициент </w:t>
            </w:r>
            <m:oMath>
              <m:r>
                <w:rPr>
                  <w:rFonts w:ascii="Cambria Math" w:hAnsi="Cambria Math" w:cs="Times New Roman"/>
                </w:rPr>
                <m:t>c</m:t>
              </m:r>
            </m:oMath>
          </w:p>
        </w:tc>
      </w:tr>
      <w:tr w:rsidR="00271FA2" w:rsidRPr="00F06DE2" w14:paraId="446EF108" w14:textId="77777777">
        <w:trPr>
          <w:jc w:val="center"/>
        </w:trPr>
        <w:tc>
          <w:tcPr>
            <w:tcW w:w="3402" w:type="dxa"/>
            <w:shd w:val="clear" w:color="auto" w:fill="auto"/>
          </w:tcPr>
          <w:p w14:paraId="18DD39B5" w14:textId="77777777" w:rsidR="00271FA2" w:rsidRPr="00F06DE2" w:rsidRDefault="00D35E51">
            <w:pPr>
              <w:pStyle w:val="ESch"/>
              <w:ind w:left="0" w:firstLine="0"/>
              <w:rPr>
                <w:rFonts w:ascii="Times New Roman" w:hAnsi="Times New Roman" w:cs="Times New Roman"/>
              </w:rPr>
            </w:pPr>
            <w:r w:rsidRPr="00F06DE2">
              <w:rPr>
                <w:rFonts w:ascii="Times New Roman" w:hAnsi="Times New Roman" w:cs="Times New Roman"/>
              </w:rPr>
              <w:t>до 50 включително</w:t>
            </w:r>
          </w:p>
        </w:tc>
        <w:tc>
          <w:tcPr>
            <w:tcW w:w="3402" w:type="dxa"/>
            <w:shd w:val="clear" w:color="auto" w:fill="auto"/>
          </w:tcPr>
          <w:p w14:paraId="79FB9ACF" w14:textId="77777777" w:rsidR="00271FA2" w:rsidRPr="00F06DE2" w:rsidRDefault="00D35E51">
            <w:pPr>
              <w:pStyle w:val="ESch"/>
              <w:ind w:left="0" w:firstLine="0"/>
              <w:jc w:val="center"/>
              <w:rPr>
                <w:rFonts w:ascii="Times New Roman" w:hAnsi="Times New Roman" w:cs="Times New Roman"/>
              </w:rPr>
            </w:pPr>
            <w:r w:rsidRPr="00F06DE2">
              <w:rPr>
                <w:rFonts w:ascii="Times New Roman" w:hAnsi="Times New Roman" w:cs="Times New Roman"/>
              </w:rPr>
              <w:t>20</w:t>
            </w:r>
          </w:p>
        </w:tc>
      </w:tr>
      <w:tr w:rsidR="00271FA2" w:rsidRPr="00F06DE2" w14:paraId="5FBBBB4E" w14:textId="77777777">
        <w:trPr>
          <w:jc w:val="center"/>
        </w:trPr>
        <w:tc>
          <w:tcPr>
            <w:tcW w:w="3402" w:type="dxa"/>
            <w:shd w:val="clear" w:color="auto" w:fill="auto"/>
          </w:tcPr>
          <w:p w14:paraId="6F21A73B" w14:textId="77777777" w:rsidR="00271FA2" w:rsidRPr="00F06DE2" w:rsidRDefault="00D35E51">
            <w:pPr>
              <w:pStyle w:val="ESch"/>
              <w:ind w:left="0" w:firstLine="0"/>
              <w:rPr>
                <w:rFonts w:ascii="Times New Roman" w:hAnsi="Times New Roman" w:cs="Times New Roman"/>
              </w:rPr>
            </w:pPr>
            <w:r w:rsidRPr="00F06DE2">
              <w:rPr>
                <w:rFonts w:ascii="Times New Roman" w:hAnsi="Times New Roman" w:cs="Times New Roman"/>
              </w:rPr>
              <w:t xml:space="preserve">от 50 до 100 включително </w:t>
            </w:r>
          </w:p>
        </w:tc>
        <w:tc>
          <w:tcPr>
            <w:tcW w:w="3402" w:type="dxa"/>
            <w:shd w:val="clear" w:color="auto" w:fill="auto"/>
          </w:tcPr>
          <w:p w14:paraId="79196EC7" w14:textId="77777777" w:rsidR="00271FA2" w:rsidRPr="00F06DE2" w:rsidRDefault="00D35E51">
            <w:pPr>
              <w:pStyle w:val="ESch"/>
              <w:ind w:left="0" w:firstLine="0"/>
              <w:jc w:val="center"/>
              <w:rPr>
                <w:rFonts w:ascii="Times New Roman" w:hAnsi="Times New Roman" w:cs="Times New Roman"/>
              </w:rPr>
            </w:pPr>
            <w:r w:rsidRPr="00F06DE2">
              <w:rPr>
                <w:rFonts w:ascii="Times New Roman" w:hAnsi="Times New Roman" w:cs="Times New Roman"/>
              </w:rPr>
              <w:t>25</w:t>
            </w:r>
          </w:p>
        </w:tc>
      </w:tr>
      <w:tr w:rsidR="00271FA2" w:rsidRPr="00F06DE2" w14:paraId="47F7A449" w14:textId="77777777">
        <w:trPr>
          <w:jc w:val="center"/>
        </w:trPr>
        <w:tc>
          <w:tcPr>
            <w:tcW w:w="3402" w:type="dxa"/>
            <w:shd w:val="clear" w:color="auto" w:fill="auto"/>
          </w:tcPr>
          <w:p w14:paraId="400D98A5" w14:textId="77777777" w:rsidR="00271FA2" w:rsidRPr="00F06DE2" w:rsidRDefault="00D35E51">
            <w:pPr>
              <w:pStyle w:val="ESch"/>
              <w:ind w:left="0" w:firstLine="0"/>
              <w:rPr>
                <w:rFonts w:ascii="Times New Roman" w:hAnsi="Times New Roman" w:cs="Times New Roman"/>
              </w:rPr>
            </w:pPr>
            <w:r w:rsidRPr="00F06DE2">
              <w:rPr>
                <w:rFonts w:ascii="Times New Roman" w:hAnsi="Times New Roman" w:cs="Times New Roman"/>
              </w:rPr>
              <w:t>от 100 до 200 включително</w:t>
            </w:r>
          </w:p>
        </w:tc>
        <w:tc>
          <w:tcPr>
            <w:tcW w:w="3402" w:type="dxa"/>
            <w:shd w:val="clear" w:color="auto" w:fill="auto"/>
          </w:tcPr>
          <w:p w14:paraId="64A5CEB3" w14:textId="77777777" w:rsidR="00271FA2" w:rsidRPr="00F06DE2" w:rsidRDefault="00D35E51">
            <w:pPr>
              <w:pStyle w:val="ESch"/>
              <w:ind w:left="0" w:firstLine="0"/>
              <w:jc w:val="center"/>
              <w:rPr>
                <w:rFonts w:ascii="Times New Roman" w:hAnsi="Times New Roman" w:cs="Times New Roman"/>
              </w:rPr>
            </w:pPr>
            <w:r w:rsidRPr="00F06DE2">
              <w:rPr>
                <w:rFonts w:ascii="Times New Roman" w:hAnsi="Times New Roman" w:cs="Times New Roman"/>
              </w:rPr>
              <w:t>30</w:t>
            </w:r>
          </w:p>
        </w:tc>
      </w:tr>
      <w:tr w:rsidR="00271FA2" w:rsidRPr="00F06DE2" w14:paraId="202DF460" w14:textId="77777777">
        <w:trPr>
          <w:jc w:val="center"/>
        </w:trPr>
        <w:tc>
          <w:tcPr>
            <w:tcW w:w="3402" w:type="dxa"/>
            <w:shd w:val="clear" w:color="auto" w:fill="auto"/>
          </w:tcPr>
          <w:p w14:paraId="026656A5" w14:textId="77777777" w:rsidR="00271FA2" w:rsidRPr="00F06DE2" w:rsidRDefault="00D35E51">
            <w:pPr>
              <w:pStyle w:val="ESch"/>
              <w:ind w:left="0" w:firstLine="0"/>
              <w:rPr>
                <w:rFonts w:ascii="Times New Roman" w:hAnsi="Times New Roman" w:cs="Times New Roman"/>
              </w:rPr>
            </w:pPr>
            <w:r w:rsidRPr="00F06DE2">
              <w:rPr>
                <w:rFonts w:ascii="Times New Roman" w:hAnsi="Times New Roman" w:cs="Times New Roman"/>
              </w:rPr>
              <w:t>от 200 до 400 включително</w:t>
            </w:r>
          </w:p>
        </w:tc>
        <w:tc>
          <w:tcPr>
            <w:tcW w:w="3402" w:type="dxa"/>
            <w:shd w:val="clear" w:color="auto" w:fill="auto"/>
          </w:tcPr>
          <w:p w14:paraId="2B16AE6A" w14:textId="77777777" w:rsidR="00271FA2" w:rsidRPr="00F06DE2" w:rsidRDefault="00D35E51">
            <w:pPr>
              <w:pStyle w:val="ESch"/>
              <w:ind w:left="0" w:firstLine="0"/>
              <w:jc w:val="center"/>
              <w:rPr>
                <w:rFonts w:ascii="Times New Roman" w:hAnsi="Times New Roman" w:cs="Times New Roman"/>
              </w:rPr>
            </w:pPr>
            <w:r w:rsidRPr="00F06DE2">
              <w:rPr>
                <w:rFonts w:ascii="Times New Roman" w:hAnsi="Times New Roman" w:cs="Times New Roman"/>
              </w:rPr>
              <w:t>45</w:t>
            </w:r>
          </w:p>
        </w:tc>
      </w:tr>
      <w:tr w:rsidR="00271FA2" w:rsidRPr="00F06DE2" w14:paraId="5F40F13F" w14:textId="77777777">
        <w:trPr>
          <w:jc w:val="center"/>
        </w:trPr>
        <w:tc>
          <w:tcPr>
            <w:tcW w:w="3402" w:type="dxa"/>
            <w:shd w:val="clear" w:color="auto" w:fill="auto"/>
          </w:tcPr>
          <w:p w14:paraId="1E04C584" w14:textId="77777777" w:rsidR="00271FA2" w:rsidRPr="00F06DE2" w:rsidRDefault="00D35E51">
            <w:pPr>
              <w:pStyle w:val="ESch"/>
              <w:ind w:left="0" w:firstLine="0"/>
              <w:rPr>
                <w:rFonts w:ascii="Times New Roman" w:hAnsi="Times New Roman" w:cs="Times New Roman"/>
              </w:rPr>
            </w:pPr>
            <w:r w:rsidRPr="00F06DE2">
              <w:rPr>
                <w:rFonts w:ascii="Times New Roman" w:hAnsi="Times New Roman" w:cs="Times New Roman"/>
              </w:rPr>
              <w:t>от 400 до 650 включително</w:t>
            </w:r>
          </w:p>
        </w:tc>
        <w:tc>
          <w:tcPr>
            <w:tcW w:w="3402" w:type="dxa"/>
            <w:shd w:val="clear" w:color="auto" w:fill="auto"/>
          </w:tcPr>
          <w:p w14:paraId="381A2D19" w14:textId="77777777" w:rsidR="00271FA2" w:rsidRPr="00F06DE2" w:rsidRDefault="00D35E51">
            <w:pPr>
              <w:pStyle w:val="ESch"/>
              <w:ind w:left="0" w:firstLine="0"/>
              <w:jc w:val="center"/>
              <w:rPr>
                <w:rFonts w:ascii="Times New Roman" w:hAnsi="Times New Roman" w:cs="Times New Roman"/>
              </w:rPr>
            </w:pPr>
            <w:r w:rsidRPr="00F06DE2">
              <w:rPr>
                <w:rFonts w:ascii="Times New Roman" w:hAnsi="Times New Roman" w:cs="Times New Roman"/>
              </w:rPr>
              <w:t>55</w:t>
            </w:r>
          </w:p>
        </w:tc>
      </w:tr>
      <w:tr w:rsidR="00271FA2" w:rsidRPr="00F06DE2" w14:paraId="47478362" w14:textId="77777777">
        <w:trPr>
          <w:jc w:val="center"/>
        </w:trPr>
        <w:tc>
          <w:tcPr>
            <w:tcW w:w="3402" w:type="dxa"/>
            <w:shd w:val="clear" w:color="auto" w:fill="auto"/>
          </w:tcPr>
          <w:p w14:paraId="5973DD92" w14:textId="77777777" w:rsidR="00271FA2" w:rsidRPr="00F06DE2" w:rsidRDefault="00D35E51">
            <w:pPr>
              <w:pStyle w:val="ESch"/>
              <w:ind w:left="0" w:firstLine="0"/>
              <w:rPr>
                <w:rFonts w:ascii="Times New Roman" w:hAnsi="Times New Roman" w:cs="Times New Roman"/>
              </w:rPr>
            </w:pPr>
            <w:r w:rsidRPr="00F06DE2">
              <w:rPr>
                <w:rFonts w:ascii="Times New Roman" w:hAnsi="Times New Roman" w:cs="Times New Roman"/>
              </w:rPr>
              <w:t>от 650 до 1000 включително</w:t>
            </w:r>
          </w:p>
        </w:tc>
        <w:tc>
          <w:tcPr>
            <w:tcW w:w="3402" w:type="dxa"/>
            <w:shd w:val="clear" w:color="auto" w:fill="auto"/>
          </w:tcPr>
          <w:p w14:paraId="4D080227" w14:textId="77777777" w:rsidR="00271FA2" w:rsidRPr="00F06DE2" w:rsidRDefault="00D35E51">
            <w:pPr>
              <w:pStyle w:val="ESch"/>
              <w:ind w:left="0" w:firstLine="0"/>
              <w:jc w:val="center"/>
              <w:rPr>
                <w:rFonts w:ascii="Times New Roman" w:hAnsi="Times New Roman" w:cs="Times New Roman"/>
              </w:rPr>
            </w:pPr>
            <w:r w:rsidRPr="00F06DE2">
              <w:rPr>
                <w:rFonts w:ascii="Times New Roman" w:hAnsi="Times New Roman" w:cs="Times New Roman"/>
              </w:rPr>
              <w:t>65</w:t>
            </w:r>
          </w:p>
        </w:tc>
      </w:tr>
      <w:tr w:rsidR="00271FA2" w:rsidRPr="00F06DE2" w14:paraId="299BA6E7" w14:textId="77777777">
        <w:trPr>
          <w:jc w:val="center"/>
        </w:trPr>
        <w:tc>
          <w:tcPr>
            <w:tcW w:w="3402" w:type="dxa"/>
            <w:shd w:val="clear" w:color="auto" w:fill="auto"/>
          </w:tcPr>
          <w:p w14:paraId="1D88320D" w14:textId="77777777" w:rsidR="00271FA2" w:rsidRPr="00F06DE2" w:rsidRDefault="00D35E51">
            <w:pPr>
              <w:pStyle w:val="ESch"/>
              <w:ind w:left="0" w:firstLine="0"/>
              <w:rPr>
                <w:rFonts w:ascii="Times New Roman" w:hAnsi="Times New Roman" w:cs="Times New Roman"/>
              </w:rPr>
            </w:pPr>
            <w:r w:rsidRPr="00F06DE2">
              <w:rPr>
                <w:rFonts w:ascii="Times New Roman" w:hAnsi="Times New Roman" w:cs="Times New Roman"/>
              </w:rPr>
              <w:t>над 1000</w:t>
            </w:r>
          </w:p>
        </w:tc>
        <w:tc>
          <w:tcPr>
            <w:tcW w:w="3402" w:type="dxa"/>
            <w:shd w:val="clear" w:color="auto" w:fill="auto"/>
          </w:tcPr>
          <w:p w14:paraId="0CF4E256" w14:textId="77777777" w:rsidR="00271FA2" w:rsidRPr="00F06DE2" w:rsidRDefault="00D35E51">
            <w:pPr>
              <w:pStyle w:val="ESch"/>
              <w:ind w:left="0" w:firstLine="0"/>
              <w:jc w:val="center"/>
              <w:rPr>
                <w:rFonts w:ascii="Times New Roman" w:hAnsi="Times New Roman" w:cs="Times New Roman"/>
              </w:rPr>
            </w:pPr>
            <w:r w:rsidRPr="00F06DE2">
              <w:rPr>
                <w:rFonts w:ascii="Times New Roman" w:hAnsi="Times New Roman" w:cs="Times New Roman"/>
              </w:rPr>
              <w:t>70</w:t>
            </w:r>
          </w:p>
        </w:tc>
      </w:tr>
    </w:tbl>
    <w:p w14:paraId="535EC575" w14:textId="77777777" w:rsidR="00271FA2" w:rsidRPr="00F06DE2" w:rsidRDefault="00271FA2">
      <w:pPr>
        <w:pStyle w:val="ESchpar"/>
        <w:spacing w:before="200"/>
        <w:ind w:left="0"/>
        <w:jc w:val="both"/>
        <w:rPr>
          <w:rFonts w:ascii="Times New Roman" w:hAnsi="Times New Roman" w:cs="Times New Roman"/>
        </w:rPr>
      </w:pPr>
    </w:p>
    <w:p w14:paraId="75C9F5AA" w14:textId="77777777" w:rsidR="00271FA2" w:rsidRPr="00F06DE2" w:rsidRDefault="00D35E51" w:rsidP="00110480">
      <w:pPr>
        <w:pStyle w:val="ESlet"/>
        <w:tabs>
          <w:tab w:val="left" w:pos="567"/>
        </w:tabs>
        <w:spacing w:before="0"/>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r>
      <w:r w:rsidRPr="00F06DE2">
        <w:rPr>
          <w:rFonts w:ascii="Times New Roman" w:hAnsi="Times New Roman" w:cs="Times New Roman"/>
        </w:rPr>
        <w:t>a</w:t>
      </w:r>
      <w:r w:rsidRPr="00F06DE2">
        <w:rPr>
          <w:rFonts w:ascii="Times New Roman" w:hAnsi="Times New Roman" w:cs="Times New Roman"/>
          <w:lang w:val="ru-RU"/>
        </w:rPr>
        <w:t xml:space="preserve">) Пътническите плавателни съдове и плавателните съдове, които не са предназначени за превоз на товари, с изключение на тласкачите, се оборудват с носови котви, чиято обща маса </w:t>
      </w:r>
      <m:oMath>
        <m:r>
          <w:rPr>
            <w:rFonts w:ascii="Cambria Math" w:hAnsi="Cambria Math" w:cs="Times New Roman"/>
          </w:rPr>
          <m:t>P</m:t>
        </m:r>
      </m:oMath>
      <w:r w:rsidRPr="00F06DE2">
        <w:rPr>
          <w:rFonts w:ascii="Times New Roman" w:hAnsi="Times New Roman" w:cs="Times New Roman"/>
          <w:lang w:val="ru-RU"/>
        </w:rPr>
        <w:t xml:space="preserve"> се изчислява по следната формула:</w:t>
      </w:r>
    </w:p>
    <w:p w14:paraId="5FE264A1" w14:textId="77777777" w:rsidR="00271FA2" w:rsidRPr="00F06DE2" w:rsidRDefault="00D35E51">
      <w:pPr>
        <w:pStyle w:val="ESch"/>
        <w:ind w:left="0" w:firstLine="0"/>
        <w:jc w:val="center"/>
        <w:rPr>
          <w:rFonts w:ascii="Times New Roman" w:hAnsi="Times New Roman" w:cs="Times New Roman"/>
          <w:lang w:val="ru-RU"/>
        </w:rPr>
      </w:pPr>
      <m:oMath>
        <m:r>
          <w:rPr>
            <w:rFonts w:ascii="Cambria Math" w:hAnsi="Cambria Math" w:cs="Times New Roman"/>
          </w:rPr>
          <m:t>P</m:t>
        </m:r>
        <m:r>
          <w:rPr>
            <w:rFonts w:ascii="Cambria Math" w:hAnsi="Cambria Math" w:cs="Times New Roman"/>
            <w:lang w:val="ru-RU"/>
          </w:rPr>
          <m:t>=</m:t>
        </m:r>
        <m:r>
          <w:rPr>
            <w:rFonts w:ascii="Cambria Math" w:hAnsi="Cambria Math" w:cs="Times New Roman"/>
          </w:rPr>
          <m:t>k</m:t>
        </m:r>
        <m:r>
          <w:rPr>
            <w:rFonts w:ascii="Cambria Math" w:hAnsi="Cambria Math" w:cs="Times New Roman"/>
            <w:lang w:val="ru-RU"/>
          </w:rPr>
          <m:t xml:space="preserve"> ∙</m:t>
        </m:r>
        <m:r>
          <w:rPr>
            <w:rFonts w:ascii="Cambria Math" w:hAnsi="Cambria Math" w:cs="Times New Roman"/>
          </w:rPr>
          <m:t>B</m:t>
        </m:r>
        <m:r>
          <w:rPr>
            <w:rFonts w:ascii="Cambria Math" w:hAnsi="Cambria Math" w:cs="Times New Roman"/>
            <w:lang w:val="ru-RU"/>
          </w:rPr>
          <m:t xml:space="preserve"> ∙</m:t>
        </m:r>
        <m:r>
          <w:rPr>
            <w:rFonts w:ascii="Cambria Math" w:hAnsi="Cambria Math" w:cs="Times New Roman"/>
          </w:rPr>
          <m:t>T</m:t>
        </m:r>
        <m:r>
          <w:rPr>
            <w:rFonts w:ascii="Cambria Math" w:hAnsi="Cambria Math" w:cs="Times New Roman"/>
            <w:lang w:val="ru-RU"/>
          </w:rPr>
          <m:t xml:space="preserve"> [</m:t>
        </m:r>
        <m:r>
          <w:rPr>
            <w:rFonts w:ascii="Cambria Math" w:hAnsi="Cambria Math" w:cs="Times New Roman"/>
          </w:rPr>
          <m:t>kg</m:t>
        </m:r>
        <m:r>
          <w:rPr>
            <w:rFonts w:ascii="Cambria Math" w:hAnsi="Cambria Math" w:cs="Times New Roman"/>
            <w:lang w:val="ru-RU"/>
          </w:rPr>
          <m:t>]</m:t>
        </m:r>
      </m:oMath>
      <w:r w:rsidRPr="00F06DE2">
        <w:rPr>
          <w:rFonts w:ascii="Times New Roman" w:hAnsi="Times New Roman" w:cs="Times New Roman"/>
          <w:lang w:val="ru-RU"/>
        </w:rPr>
        <w:t>;</w:t>
      </w:r>
    </w:p>
    <w:p w14:paraId="0B3B67A8" w14:textId="77777777" w:rsidR="00271FA2" w:rsidRPr="00F06DE2" w:rsidRDefault="00D35E51" w:rsidP="0011048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 Чрез дерогация от буква “а” и предвид приложимите разпоредби на навигационните служби за някои области на корабоплаването в държавите членки, за пътнически плавателни съдове, за чиито носови котви общата маса </w:t>
      </w:r>
      <m:oMath>
        <m:r>
          <w:rPr>
            <w:rFonts w:ascii="Cambria Math" w:hAnsi="Cambria Math" w:cs="Times New Roman"/>
          </w:rPr>
          <m:t>P</m:t>
        </m:r>
      </m:oMath>
      <w:r w:rsidRPr="00F06DE2">
        <w:rPr>
          <w:rFonts w:ascii="Times New Roman" w:hAnsi="Times New Roman" w:cs="Times New Roman"/>
          <w:lang w:val="ru-RU"/>
        </w:rPr>
        <w:t xml:space="preserve"> е била получена чрез следната формула, в точка 52 на Корабното удостоверение за вътрешно корабоплаване се вписва, че общата маса на носовите котви отговаря на изискванията, установени в член 13.01, точка 2, буква “б”:</w:t>
      </w:r>
    </w:p>
    <w:p w14:paraId="0104527B" w14:textId="77777777" w:rsidR="00271FA2" w:rsidRPr="00F06DE2" w:rsidRDefault="00D35E51">
      <w:pPr>
        <w:pStyle w:val="ESch"/>
        <w:ind w:left="0" w:firstLine="0"/>
        <w:jc w:val="center"/>
        <w:rPr>
          <w:rFonts w:ascii="Times New Roman" w:hAnsi="Times New Roman" w:cs="Times New Roman"/>
        </w:rPr>
      </w:pPr>
      <m:oMathPara>
        <m:oMath>
          <m:r>
            <w:rPr>
              <w:rFonts w:ascii="Cambria Math" w:hAnsi="Cambria Math" w:cs="Times New Roman"/>
            </w:rPr>
            <m:t xml:space="preserve">P=k ∙B ∙T+4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f</m:t>
              </m:r>
            </m:sub>
          </m:sSub>
          <m:r>
            <w:rPr>
              <w:rFonts w:ascii="Cambria Math" w:hAnsi="Cambria Math" w:cs="Times New Roman"/>
            </w:rPr>
            <m:t xml:space="preserve"> [kg]</m:t>
          </m:r>
        </m:oMath>
      </m:oMathPara>
    </w:p>
    <w:p w14:paraId="1DDCDFE0"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където:</w:t>
      </w:r>
    </w:p>
    <w:p w14:paraId="3D8547C7" w14:textId="77777777" w:rsidR="00271FA2" w:rsidRPr="00F06DE2" w:rsidRDefault="00D35E51">
      <w:pPr>
        <w:pStyle w:val="ESlet"/>
        <w:spacing w:before="0"/>
        <w:jc w:val="both"/>
        <w:rPr>
          <w:rStyle w:val="FootnoteReference"/>
          <w:rFonts w:ascii="Times New Roman" w:hAnsi="Times New Roman" w:cs="Times New Roman"/>
          <w:lang w:val="ru-RU"/>
        </w:rPr>
      </w:pPr>
      <m:oMath>
        <m:r>
          <w:rPr>
            <w:rFonts w:ascii="Cambria Math" w:hAnsi="Cambria Math" w:cs="Times New Roman"/>
          </w:rPr>
          <m:t>k</m:t>
        </m:r>
      </m:oMath>
      <w:r w:rsidRPr="00F06DE2">
        <w:rPr>
          <w:rFonts w:ascii="Times New Roman" w:hAnsi="Times New Roman" w:cs="Times New Roman"/>
          <w:lang w:val="ru-RU"/>
        </w:rPr>
        <w:tab/>
        <w:t xml:space="preserve">е коефициентът, отговарящ на точка 1, при което обаче за определяне на стойността на емпиричния коефициент </w:t>
      </w:r>
      <m:oMath>
        <m:r>
          <w:rPr>
            <w:rFonts w:ascii="Cambria Math" w:hAnsi="Cambria Math" w:cs="Times New Roman"/>
          </w:rPr>
          <m:t>c</m:t>
        </m:r>
      </m:oMath>
      <w:r w:rsidRPr="00F06DE2">
        <w:rPr>
          <w:rFonts w:ascii="Times New Roman" w:hAnsi="Times New Roman" w:cs="Times New Roman"/>
          <w:lang w:val="ru-RU"/>
        </w:rPr>
        <w:t xml:space="preserve"> вместо пълната товароподемност се използва обемното водоизместване в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записано в Корабното удостоверение за вътрешно корабоплаване.</w:t>
      </w:r>
    </w:p>
    <w:p w14:paraId="3D1F7380" w14:textId="77777777" w:rsidR="00271FA2" w:rsidRPr="00F06DE2" w:rsidRDefault="002C62EC">
      <w:pPr>
        <w:pStyle w:val="ESlet"/>
        <w:spacing w:before="0"/>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f</m:t>
            </m:r>
          </m:sub>
        </m:sSub>
      </m:oMath>
      <w:r w:rsidR="00D35E51" w:rsidRPr="00F06DE2">
        <w:rPr>
          <w:rFonts w:ascii="Times New Roman" w:hAnsi="Times New Roman" w:cs="Times New Roman"/>
          <w:lang w:val="ru-RU"/>
        </w:rPr>
        <w:tab/>
        <w:t xml:space="preserve">е челната площ на проекцията на повърхността, изложена на вятъра в </w:t>
      </w:r>
      <w:r w:rsidR="00D35E51" w:rsidRPr="00F06DE2">
        <w:rPr>
          <w:rFonts w:ascii="Times New Roman" w:hAnsi="Times New Roman" w:cs="Times New Roman"/>
        </w:rPr>
        <w:t>m</w:t>
      </w:r>
      <w:r w:rsidR="00D35E51" w:rsidRPr="00F06DE2">
        <w:rPr>
          <w:rFonts w:ascii="Times New Roman" w:hAnsi="Times New Roman" w:cs="Times New Roman"/>
          <w:position w:val="6"/>
          <w:lang w:val="ru-RU"/>
        </w:rPr>
        <w:t>2</w:t>
      </w:r>
      <w:r w:rsidR="00D35E51" w:rsidRPr="00F06DE2">
        <w:rPr>
          <w:rFonts w:ascii="Times New Roman" w:hAnsi="Times New Roman" w:cs="Times New Roman"/>
          <w:lang w:val="ru-RU"/>
        </w:rPr>
        <w:t>.</w:t>
      </w:r>
    </w:p>
    <w:p w14:paraId="7A9EBB5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Плавателните съдове, посочени в точка 1, чиято дължина </w:t>
      </w:r>
      <m:oMath>
        <m:r>
          <w:rPr>
            <w:rFonts w:ascii="Cambria Math" w:hAnsi="Cambria Math" w:cs="Times New Roman"/>
          </w:rPr>
          <m:t>L</m:t>
        </m:r>
      </m:oMath>
      <w:r w:rsidRPr="00F06DE2">
        <w:rPr>
          <w:rFonts w:ascii="Times New Roman" w:hAnsi="Times New Roman" w:cs="Times New Roman"/>
          <w:lang w:val="ru-RU"/>
        </w:rPr>
        <w:t xml:space="preserve"> не надвишава 86</w:t>
      </w:r>
      <w:r w:rsidRPr="00F06DE2">
        <w:rPr>
          <w:rFonts w:ascii="Times New Roman" w:hAnsi="Times New Roman" w:cs="Times New Roman"/>
        </w:rPr>
        <w:t> m</w:t>
      </w:r>
      <w:r w:rsidRPr="00F06DE2">
        <w:rPr>
          <w:rFonts w:ascii="Times New Roman" w:hAnsi="Times New Roman" w:cs="Times New Roman"/>
          <w:lang w:val="ru-RU"/>
        </w:rPr>
        <w:t xml:space="preserve">, трябва да бъдат оборудвани с кърмови котви, чиято обща маса е равна на 25 % от масата </w:t>
      </w:r>
      <m:oMath>
        <m:r>
          <w:rPr>
            <w:rFonts w:ascii="Cambria Math" w:hAnsi="Cambria Math" w:cs="Times New Roman"/>
          </w:rPr>
          <m:t>P</m:t>
        </m:r>
      </m:oMath>
      <w:r w:rsidRPr="00F06DE2">
        <w:rPr>
          <w:rFonts w:ascii="Times New Roman" w:hAnsi="Times New Roman" w:cs="Times New Roman"/>
          <w:lang w:val="ru-RU"/>
        </w:rPr>
        <w:t>.</w:t>
      </w:r>
    </w:p>
    <w:p w14:paraId="368590CF"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Плавателните съдове, чиято дължина </w:t>
      </w:r>
      <m:oMath>
        <m:r>
          <w:rPr>
            <w:rFonts w:ascii="Cambria Math" w:hAnsi="Cambria Math" w:cs="Times New Roman"/>
          </w:rPr>
          <m:t>L</m:t>
        </m:r>
      </m:oMath>
      <w:r w:rsidRPr="00F06DE2">
        <w:rPr>
          <w:rFonts w:ascii="Times New Roman" w:hAnsi="Times New Roman" w:cs="Times New Roman"/>
          <w:lang w:val="ru-RU"/>
        </w:rPr>
        <w:t xml:space="preserve"> е по-голяма от 86 </w:t>
      </w:r>
      <w:r w:rsidRPr="00F06DE2">
        <w:rPr>
          <w:rFonts w:ascii="Times New Roman" w:hAnsi="Times New Roman" w:cs="Times New Roman"/>
        </w:rPr>
        <w:t>m</w:t>
      </w:r>
      <w:r w:rsidRPr="00F06DE2">
        <w:rPr>
          <w:rFonts w:ascii="Times New Roman" w:hAnsi="Times New Roman" w:cs="Times New Roman"/>
          <w:lang w:val="ru-RU"/>
        </w:rPr>
        <w:t xml:space="preserve">, трябва да бъдат оборудвани с кърмови котви, чиято обща маса е равна на 50 % от масата </w:t>
      </w:r>
      <m:oMath>
        <m:r>
          <w:rPr>
            <w:rFonts w:ascii="Cambria Math" w:hAnsi="Cambria Math" w:cs="Times New Roman"/>
          </w:rPr>
          <m:t>P</m:t>
        </m:r>
      </m:oMath>
      <w:r w:rsidRPr="00F06DE2">
        <w:rPr>
          <w:rFonts w:ascii="Times New Roman" w:hAnsi="Times New Roman" w:cs="Times New Roman"/>
          <w:lang w:val="ru-RU"/>
        </w:rPr>
        <w:t>, изчислена в съответствие с точка 1 или точка 2.</w:t>
      </w:r>
    </w:p>
    <w:p w14:paraId="3D112273"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Кърмови котви не се изискват за:</w:t>
      </w:r>
    </w:p>
    <w:p w14:paraId="55637A08" w14:textId="05C9047E" w:rsidR="00271FA2" w:rsidRPr="00F06DE2" w:rsidRDefault="00B87396">
      <w:pPr>
        <w:pStyle w:val="ESlet"/>
        <w:numPr>
          <w:ilvl w:val="0"/>
          <w:numId w:val="18"/>
        </w:numPr>
        <w:spacing w:before="0"/>
        <w:ind w:left="851" w:hanging="284"/>
        <w:jc w:val="both"/>
        <w:rPr>
          <w:rFonts w:ascii="Times New Roman" w:hAnsi="Times New Roman" w:cs="Times New Roman"/>
          <w:strike/>
          <w:lang w:val="ru-RU"/>
        </w:rPr>
      </w:pPr>
      <w:r w:rsidRPr="00F06DE2">
        <w:rPr>
          <w:rFonts w:ascii="Times New Roman" w:hAnsi="Times New Roman" w:cs="Times New Roman"/>
          <w:lang w:val="ru-RU"/>
        </w:rPr>
        <w:t>кораби, за които масата на кърмовата котва ще бъде по-малка от 150 кг.</w:t>
      </w:r>
    </w:p>
    <w:p w14:paraId="644D6018" w14:textId="0BBE031C"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лихтери</w:t>
      </w:r>
      <w:r w:rsidR="00E66380" w:rsidRPr="00F06DE2">
        <w:rPr>
          <w:rFonts w:ascii="Times New Roman" w:hAnsi="Times New Roman" w:cs="Times New Roman"/>
          <w:lang w:val="ru-RU"/>
        </w:rPr>
        <w:t xml:space="preserve"> (</w:t>
      </w:r>
      <w:r w:rsidR="00DB1796" w:rsidRPr="00F06DE2">
        <w:rPr>
          <w:rFonts w:ascii="Times New Roman" w:hAnsi="Times New Roman" w:cs="Times New Roman"/>
          <w:lang w:val="ru-RU"/>
        </w:rPr>
        <w:t>тласкаеми баржи</w:t>
      </w:r>
      <w:r w:rsidR="00E66380" w:rsidRPr="00F06DE2">
        <w:rPr>
          <w:rFonts w:ascii="Times New Roman" w:hAnsi="Times New Roman" w:cs="Times New Roman"/>
          <w:lang w:val="ru-RU"/>
        </w:rPr>
        <w:t>)</w:t>
      </w:r>
    </w:p>
    <w:p w14:paraId="076C54B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Плавателни съдове, предназначени за задвижване на твърдо свързани състави, чиято дължина не превишава 86 </w:t>
      </w:r>
      <w:r w:rsidRPr="00F06DE2">
        <w:rPr>
          <w:rFonts w:ascii="Times New Roman" w:hAnsi="Times New Roman" w:cs="Times New Roman"/>
        </w:rPr>
        <w:t>m</w:t>
      </w:r>
      <w:r w:rsidRPr="00F06DE2">
        <w:rPr>
          <w:rFonts w:ascii="Times New Roman" w:hAnsi="Times New Roman" w:cs="Times New Roman"/>
          <w:lang w:val="ru-RU"/>
        </w:rPr>
        <w:t xml:space="preserve">, се оборудват с кърмови котви, чиято обща маса е равна на 25 % от максималната маса </w:t>
      </w:r>
      <m:oMath>
        <m:r>
          <w:rPr>
            <w:rFonts w:ascii="Cambria Math" w:hAnsi="Cambria Math" w:cs="Times New Roman"/>
          </w:rPr>
          <m:t>P</m:t>
        </m:r>
      </m:oMath>
      <w:r w:rsidRPr="00F06DE2">
        <w:rPr>
          <w:rFonts w:ascii="Times New Roman" w:hAnsi="Times New Roman" w:cs="Times New Roman"/>
          <w:lang w:val="ru-RU"/>
        </w:rPr>
        <w:t>, изчислена в съответствие с точка 1 за формированията (които се приемат за навигационна единица), одобрени и записани в Корабното удостоверение за вътрешно корабоплаване.</w:t>
      </w:r>
    </w:p>
    <w:p w14:paraId="61FB65DE"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Плавателните съдове, предназначени за задвижване надолу по течението на твърдо свързани състави, чиято дължина превишава 86 </w:t>
      </w:r>
      <w:r w:rsidRPr="00F06DE2">
        <w:rPr>
          <w:rFonts w:ascii="Times New Roman" w:hAnsi="Times New Roman" w:cs="Times New Roman"/>
        </w:rPr>
        <w:t>m</w:t>
      </w:r>
      <w:r w:rsidRPr="00F06DE2">
        <w:rPr>
          <w:rFonts w:ascii="Times New Roman" w:hAnsi="Times New Roman" w:cs="Times New Roman"/>
          <w:lang w:val="ru-RU"/>
        </w:rPr>
        <w:t xml:space="preserve">, се оборудват с кърмови котви, чиято обща маса е равна на 50 % от максималната маса </w:t>
      </w:r>
      <m:oMath>
        <m:r>
          <w:rPr>
            <w:rFonts w:ascii="Cambria Math" w:hAnsi="Cambria Math" w:cs="Times New Roman"/>
          </w:rPr>
          <m:t>P</m:t>
        </m:r>
      </m:oMath>
      <w:r w:rsidRPr="00F06DE2">
        <w:rPr>
          <w:rFonts w:ascii="Times New Roman" w:hAnsi="Times New Roman" w:cs="Times New Roman"/>
          <w:lang w:val="ru-RU"/>
        </w:rPr>
        <w:t>, изчислена в съответствие с точка 1 за формированията (които се приемат за навигационна единица), одобрени и записани в Корабното удостоверение за вътрешно корабоплаване.</w:t>
      </w:r>
    </w:p>
    <w:p w14:paraId="047FF0F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Масите на котвите, определени в съответствие с точки 1 — 4, могат да бъдат намалявани за някои специални котви.</w:t>
      </w:r>
    </w:p>
    <w:p w14:paraId="3B4CA64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Общата маса </w:t>
      </w:r>
      <m:oMath>
        <m:r>
          <w:rPr>
            <w:rFonts w:ascii="Cambria Math" w:hAnsi="Cambria Math" w:cs="Times New Roman"/>
          </w:rPr>
          <m:t>P</m:t>
        </m:r>
      </m:oMath>
      <w:r w:rsidRPr="00F06DE2">
        <w:rPr>
          <w:rFonts w:ascii="Times New Roman" w:hAnsi="Times New Roman" w:cs="Times New Roman"/>
          <w:lang w:val="ru-RU"/>
        </w:rPr>
        <w:t>, определена за носовите котви, може да се разпределя между една или две котви. Тя може да се намали с до 15 %, ако плавателният съд е оборудван само с една носова котва и клюзовата тръба е разположена в диаметралната равнина.</w:t>
      </w:r>
    </w:p>
    <w:p w14:paraId="0693A426"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Общата маса, изисквана за кърмовите котви за тласкачи и плавателни съдове, чиято максимална дължина превишава 86</w:t>
      </w:r>
      <w:r w:rsidRPr="00F06DE2">
        <w:rPr>
          <w:rFonts w:ascii="Times New Roman" w:hAnsi="Times New Roman" w:cs="Times New Roman"/>
        </w:rPr>
        <w:t> m</w:t>
      </w:r>
      <w:r w:rsidRPr="00F06DE2">
        <w:rPr>
          <w:rFonts w:ascii="Times New Roman" w:hAnsi="Times New Roman" w:cs="Times New Roman"/>
          <w:lang w:val="ru-RU"/>
        </w:rPr>
        <w:t>, може да бъде разпределена между една или две котви.</w:t>
      </w:r>
    </w:p>
    <w:p w14:paraId="690CFBAD"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Масата на най-леката котва не може да бъде по-малко от 45 % от тази обща маса.</w:t>
      </w:r>
    </w:p>
    <w:p w14:paraId="32200CB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Чугунени котви не са разрешени.</w:t>
      </w:r>
    </w:p>
    <w:p w14:paraId="1293AAE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На котвите се посочва тяхната маса с цифри, които изпъкват релефно и са трайни.</w:t>
      </w:r>
    </w:p>
    <w:p w14:paraId="4610607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 xml:space="preserve">Котви с маса над 50 </w:t>
      </w:r>
      <w:r w:rsidRPr="00F06DE2">
        <w:rPr>
          <w:rFonts w:ascii="Times New Roman" w:hAnsi="Times New Roman" w:cs="Times New Roman"/>
        </w:rPr>
        <w:t>kg</w:t>
      </w:r>
      <w:r w:rsidRPr="00F06DE2">
        <w:rPr>
          <w:rFonts w:ascii="Times New Roman" w:hAnsi="Times New Roman" w:cs="Times New Roman"/>
          <w:lang w:val="ru-RU"/>
        </w:rPr>
        <w:t xml:space="preserve"> трябва да бъдат оборудвани с брашпили.</w:t>
      </w:r>
    </w:p>
    <w:p w14:paraId="7D52B64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Всяка носова котвена верига има минимална дължина от:</w:t>
      </w:r>
    </w:p>
    <w:p w14:paraId="6927F9AA"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40 </w:t>
      </w:r>
      <w:r w:rsidRPr="00F06DE2">
        <w:rPr>
          <w:rFonts w:ascii="Times New Roman" w:hAnsi="Times New Roman" w:cs="Times New Roman"/>
        </w:rPr>
        <w:t>m</w:t>
      </w:r>
      <w:r w:rsidRPr="00F06DE2">
        <w:rPr>
          <w:rFonts w:ascii="Times New Roman" w:hAnsi="Times New Roman" w:cs="Times New Roman"/>
          <w:lang w:val="ru-RU"/>
        </w:rPr>
        <w:t xml:space="preserve"> за плавателни съдове, чиято дължина </w:t>
      </w:r>
      <m:oMath>
        <m:r>
          <w:rPr>
            <w:rFonts w:ascii="Cambria Math" w:hAnsi="Cambria Math" w:cs="Times New Roman"/>
          </w:rPr>
          <m:t>L</m:t>
        </m:r>
      </m:oMath>
      <w:r w:rsidRPr="00F06DE2">
        <w:rPr>
          <w:rFonts w:ascii="Times New Roman" w:hAnsi="Times New Roman" w:cs="Times New Roman"/>
          <w:lang w:val="ru-RU"/>
        </w:rPr>
        <w:t xml:space="preserve"> не превишава 40 </w:t>
      </w:r>
      <w:r w:rsidRPr="00F06DE2">
        <w:rPr>
          <w:rFonts w:ascii="Times New Roman" w:hAnsi="Times New Roman" w:cs="Times New Roman"/>
        </w:rPr>
        <w:t>m</w:t>
      </w:r>
      <w:r w:rsidRPr="00F06DE2">
        <w:rPr>
          <w:rFonts w:ascii="Times New Roman" w:hAnsi="Times New Roman" w:cs="Times New Roman"/>
          <w:lang w:val="ru-RU"/>
        </w:rPr>
        <w:t>;</w:t>
      </w:r>
    </w:p>
    <w:p w14:paraId="3DA1E55F"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б) най-малко 10 </w:t>
      </w:r>
      <w:r w:rsidRPr="00F06DE2">
        <w:rPr>
          <w:rFonts w:ascii="Times New Roman" w:hAnsi="Times New Roman" w:cs="Times New Roman"/>
        </w:rPr>
        <w:t>m</w:t>
      </w:r>
      <w:r w:rsidRPr="00F06DE2">
        <w:rPr>
          <w:rFonts w:ascii="Times New Roman" w:hAnsi="Times New Roman" w:cs="Times New Roman"/>
          <w:lang w:val="ru-RU"/>
        </w:rPr>
        <w:t xml:space="preserve"> повече от дължината </w:t>
      </w:r>
      <m:oMath>
        <m:r>
          <w:rPr>
            <w:rFonts w:ascii="Cambria Math" w:hAnsi="Cambria Math" w:cs="Times New Roman"/>
          </w:rPr>
          <m:t>L</m:t>
        </m:r>
      </m:oMath>
      <w:r w:rsidRPr="00F06DE2">
        <w:rPr>
          <w:rFonts w:ascii="Times New Roman" w:hAnsi="Times New Roman" w:cs="Times New Roman"/>
          <w:lang w:val="ru-RU"/>
        </w:rPr>
        <w:t xml:space="preserve"> на плавателния съд, ако той е с дължина между 30 и 50 метра;</w:t>
      </w:r>
    </w:p>
    <w:p w14:paraId="06E93599"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в) 60 </w:t>
      </w:r>
      <w:r w:rsidRPr="00F06DE2">
        <w:rPr>
          <w:rFonts w:ascii="Times New Roman" w:hAnsi="Times New Roman" w:cs="Times New Roman"/>
        </w:rPr>
        <w:t>m</w:t>
      </w:r>
      <w:r w:rsidRPr="00F06DE2">
        <w:rPr>
          <w:rFonts w:ascii="Times New Roman" w:hAnsi="Times New Roman" w:cs="Times New Roman"/>
          <w:lang w:val="ru-RU"/>
        </w:rPr>
        <w:t xml:space="preserve"> за плавателни съдове, чиято дължина </w:t>
      </w:r>
      <m:oMath>
        <m:r>
          <w:rPr>
            <w:rFonts w:ascii="Cambria Math" w:hAnsi="Cambria Math" w:cs="Times New Roman"/>
          </w:rPr>
          <m:t>L</m:t>
        </m:r>
      </m:oMath>
      <w:r w:rsidRPr="00F06DE2">
        <w:rPr>
          <w:rFonts w:ascii="Times New Roman" w:hAnsi="Times New Roman" w:cs="Times New Roman"/>
          <w:lang w:val="ru-RU"/>
        </w:rPr>
        <w:t xml:space="preserve"> превишава 50 </w:t>
      </w:r>
      <w:r w:rsidRPr="00F06DE2">
        <w:rPr>
          <w:rFonts w:ascii="Times New Roman" w:hAnsi="Times New Roman" w:cs="Times New Roman"/>
        </w:rPr>
        <w:t>m</w:t>
      </w:r>
      <w:r w:rsidRPr="00F06DE2">
        <w:rPr>
          <w:rFonts w:ascii="Times New Roman" w:hAnsi="Times New Roman" w:cs="Times New Roman"/>
          <w:lang w:val="ru-RU"/>
        </w:rPr>
        <w:t>.</w:t>
      </w:r>
    </w:p>
    <w:p w14:paraId="3BB9D805"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Всяка от веригите на кърмовите котви е с минимална дължина от 40 </w:t>
      </w:r>
      <w:r w:rsidRPr="00F06DE2">
        <w:rPr>
          <w:rFonts w:ascii="Times New Roman" w:hAnsi="Times New Roman" w:cs="Times New Roman"/>
        </w:rPr>
        <w:t>m</w:t>
      </w:r>
      <w:r w:rsidRPr="00F06DE2">
        <w:rPr>
          <w:rFonts w:ascii="Times New Roman" w:hAnsi="Times New Roman" w:cs="Times New Roman"/>
          <w:lang w:val="ru-RU"/>
        </w:rPr>
        <w:t xml:space="preserve">. Когато обаче плавателните съдове трябва да спират с носа по течението, те трябва да бъдат оборудвани с вериги на кърмовите котви с минимална дължина от 60 </w:t>
      </w:r>
      <w:r w:rsidRPr="00F06DE2">
        <w:rPr>
          <w:rFonts w:ascii="Times New Roman" w:hAnsi="Times New Roman" w:cs="Times New Roman"/>
        </w:rPr>
        <w:t>m</w:t>
      </w:r>
      <w:r w:rsidRPr="00F06DE2">
        <w:rPr>
          <w:rFonts w:ascii="Times New Roman" w:hAnsi="Times New Roman" w:cs="Times New Roman"/>
          <w:lang w:val="ru-RU"/>
        </w:rPr>
        <w:t>.</w:t>
      </w:r>
    </w:p>
    <w:p w14:paraId="63A0FC7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 xml:space="preserve">Минималното натоварване на скъсване </w:t>
      </w:r>
      <m:oMath>
        <m:r>
          <w:rPr>
            <w:rFonts w:ascii="Cambria Math" w:hAnsi="Cambria Math" w:cs="Times New Roman"/>
          </w:rPr>
          <m:t>R</m:t>
        </m:r>
      </m:oMath>
      <w:r w:rsidRPr="00F06DE2">
        <w:rPr>
          <w:rFonts w:ascii="Times New Roman" w:hAnsi="Times New Roman" w:cs="Times New Roman"/>
          <w:lang w:val="ru-RU"/>
        </w:rPr>
        <w:t xml:space="preserve"> на котвените вериги се изчислява по следните формули:</w:t>
      </w:r>
    </w:p>
    <w:p w14:paraId="3201B04E"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за котви с маса до 500 </w:t>
      </w:r>
      <w:r w:rsidRPr="00F06DE2">
        <w:rPr>
          <w:rFonts w:ascii="Times New Roman" w:hAnsi="Times New Roman" w:cs="Times New Roman"/>
        </w:rPr>
        <w:t>kg</w:t>
      </w:r>
      <w:r w:rsidRPr="00F06DE2">
        <w:rPr>
          <w:rFonts w:ascii="Times New Roman" w:hAnsi="Times New Roman" w:cs="Times New Roman"/>
          <w:lang w:val="ru-RU"/>
        </w:rPr>
        <w:t>:</w:t>
      </w:r>
    </w:p>
    <w:p w14:paraId="05D562BA" w14:textId="77777777" w:rsidR="00271FA2" w:rsidRPr="00F06DE2" w:rsidRDefault="00D35E51">
      <w:pPr>
        <w:pStyle w:val="ESlet"/>
        <w:spacing w:before="0"/>
        <w:ind w:left="2880" w:firstLine="720"/>
        <w:jc w:val="both"/>
        <w:rPr>
          <w:rFonts w:ascii="Times New Roman" w:hAnsi="Times New Roman" w:cs="Times New Roman"/>
          <w:lang w:val="ru-RU"/>
        </w:rPr>
      </w:pPr>
      <m:oMath>
        <m:r>
          <w:rPr>
            <w:rFonts w:ascii="Cambria Math" w:hAnsi="Cambria Math" w:cs="Times New Roman"/>
          </w:rPr>
          <m:t>R</m:t>
        </m:r>
        <m:r>
          <w:rPr>
            <w:rFonts w:ascii="Cambria Math" w:hAnsi="Cambria Math" w:cs="Times New Roman"/>
            <w:lang w:val="ru-RU"/>
          </w:rPr>
          <m:t>=0,35 ∙</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lang w:val="ru-RU"/>
              </w:rPr>
              <m:t>'</m:t>
            </m:r>
          </m:sup>
        </m:sSup>
        <m:r>
          <w:rPr>
            <w:rFonts w:ascii="Cambria Math" w:hAnsi="Cambria Math" w:cs="Times New Roman"/>
            <w:lang w:val="ru-RU"/>
          </w:rPr>
          <m:t>[</m:t>
        </m:r>
        <m:r>
          <w:rPr>
            <w:rFonts w:ascii="Cambria Math" w:hAnsi="Cambria Math" w:cs="Times New Roman"/>
          </w:rPr>
          <m:t>kN</m:t>
        </m:r>
        <m:r>
          <w:rPr>
            <w:rFonts w:ascii="Cambria Math" w:hAnsi="Cambria Math" w:cs="Times New Roman"/>
            <w:lang w:val="ru-RU"/>
          </w:rPr>
          <m:t>]</m:t>
        </m:r>
      </m:oMath>
      <w:r w:rsidRPr="00F06DE2">
        <w:rPr>
          <w:rFonts w:ascii="Times New Roman" w:hAnsi="Times New Roman" w:cs="Times New Roman"/>
          <w:lang w:val="ru-RU"/>
        </w:rPr>
        <w:t>;</w:t>
      </w:r>
    </w:p>
    <w:p w14:paraId="66392A7F"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lang w:val="ru-RU"/>
        </w:rPr>
        <w:t xml:space="preserve">б) за котви с маса над 500 </w:t>
      </w:r>
      <w:r w:rsidRPr="00F06DE2">
        <w:rPr>
          <w:rFonts w:ascii="Times New Roman" w:hAnsi="Times New Roman" w:cs="Times New Roman"/>
        </w:rPr>
        <w:t>kg</w:t>
      </w:r>
      <w:r w:rsidRPr="00F06DE2">
        <w:rPr>
          <w:rFonts w:ascii="Times New Roman" w:hAnsi="Times New Roman" w:cs="Times New Roman"/>
          <w:lang w:val="ru-RU"/>
        </w:rPr>
        <w:t xml:space="preserve">, но не повече от 2000 </w:t>
      </w:r>
      <w:r w:rsidRPr="00F06DE2">
        <w:rPr>
          <w:rFonts w:ascii="Times New Roman" w:hAnsi="Times New Roman" w:cs="Times New Roman"/>
        </w:rPr>
        <w:t>kg</w:t>
      </w:r>
      <w:r w:rsidRPr="00F06DE2">
        <w:rPr>
          <w:rFonts w:ascii="Times New Roman" w:hAnsi="Times New Roman" w:cs="Times New Roman"/>
          <w:lang w:val="ru-RU"/>
        </w:rPr>
        <w:t>:</w:t>
      </w:r>
    </w:p>
    <w:p w14:paraId="3A203B6E" w14:textId="77777777" w:rsidR="00271FA2" w:rsidRPr="00F06DE2" w:rsidRDefault="00D35E51">
      <w:pPr>
        <w:pStyle w:val="ESlet"/>
        <w:spacing w:before="0"/>
        <w:ind w:left="2160" w:firstLine="720"/>
        <w:jc w:val="both"/>
        <w:rPr>
          <w:rFonts w:ascii="Times New Roman" w:hAnsi="Times New Roman" w:cs="Times New Roman"/>
          <w:lang w:val="ru-RU"/>
        </w:rPr>
      </w:pPr>
      <m:oMath>
        <m:r>
          <w:rPr>
            <w:rFonts w:ascii="Cambria Math" w:hAnsi="Cambria Math" w:cs="Times New Roman"/>
          </w:rPr>
          <w:lastRenderedPageBreak/>
          <m:t>R</m:t>
        </m:r>
        <m:r>
          <w:rPr>
            <w:rFonts w:ascii="Cambria Math" w:hAnsi="Cambria Math" w:cs="Times New Roman"/>
            <w:lang w:val="ru-RU"/>
          </w:rPr>
          <m:t>=</m:t>
        </m:r>
        <m:d>
          <m:dPr>
            <m:ctrlPr>
              <w:rPr>
                <w:rFonts w:ascii="Cambria Math" w:hAnsi="Cambria Math" w:cs="Times New Roman"/>
                <w:i/>
              </w:rPr>
            </m:ctrlPr>
          </m:dPr>
          <m:e>
            <m:r>
              <w:rPr>
                <w:rFonts w:ascii="Cambria Math" w:hAnsi="Cambria Math" w:cs="Times New Roman"/>
                <w:lang w:val="ru-RU"/>
              </w:rPr>
              <m:t xml:space="preserve">0,35-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lang w:val="ru-RU"/>
                      </w:rPr>
                      <m:t>'</m:t>
                    </m:r>
                  </m:sup>
                </m:sSup>
                <m:r>
                  <w:rPr>
                    <w:rFonts w:ascii="Cambria Math" w:hAnsi="Cambria Math" w:cs="Times New Roman"/>
                    <w:lang w:val="ru-RU"/>
                  </w:rPr>
                  <m:t>-500</m:t>
                </m:r>
              </m:num>
              <m:den>
                <m:r>
                  <w:rPr>
                    <w:rFonts w:ascii="Cambria Math" w:hAnsi="Cambria Math" w:cs="Times New Roman"/>
                    <w:lang w:val="ru-RU"/>
                  </w:rPr>
                  <m:t>15000</m:t>
                </m:r>
              </m:den>
            </m:f>
          </m:e>
        </m:d>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lang w:val="ru-RU"/>
              </w:rPr>
              <m:t>'</m:t>
            </m:r>
          </m:sup>
        </m:sSup>
        <m:r>
          <w:rPr>
            <w:rFonts w:ascii="Cambria Math" w:hAnsi="Cambria Math" w:cs="Times New Roman"/>
            <w:lang w:val="ru-RU"/>
          </w:rPr>
          <m:t xml:space="preserve"> [</m:t>
        </m:r>
        <m:r>
          <w:rPr>
            <w:rFonts w:ascii="Cambria Math" w:hAnsi="Cambria Math" w:cs="Times New Roman"/>
          </w:rPr>
          <m:t>kN</m:t>
        </m:r>
        <m:r>
          <w:rPr>
            <w:rFonts w:ascii="Cambria Math" w:hAnsi="Cambria Math" w:cs="Times New Roman"/>
            <w:lang w:val="ru-RU"/>
          </w:rPr>
          <m:t>]</m:t>
        </m:r>
      </m:oMath>
      <w:r w:rsidRPr="00F06DE2">
        <w:rPr>
          <w:rFonts w:ascii="Times New Roman" w:hAnsi="Times New Roman" w:cs="Times New Roman"/>
          <w:lang w:val="ru-RU"/>
        </w:rPr>
        <w:t>;</w:t>
      </w:r>
    </w:p>
    <w:p w14:paraId="0194B704"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lang w:val="ru-RU"/>
        </w:rPr>
        <w:t>в) за котви с маса над 2000</w:t>
      </w:r>
      <w:r w:rsidRPr="00F06DE2">
        <w:rPr>
          <w:rFonts w:ascii="Times New Roman" w:hAnsi="Times New Roman" w:cs="Times New Roman"/>
        </w:rPr>
        <w:t> kg</w:t>
      </w:r>
      <w:r w:rsidRPr="00F06DE2">
        <w:rPr>
          <w:rFonts w:ascii="Times New Roman" w:hAnsi="Times New Roman" w:cs="Times New Roman"/>
          <w:lang w:val="ru-RU"/>
        </w:rPr>
        <w:t>:</w:t>
      </w:r>
    </w:p>
    <w:p w14:paraId="413DD5F1" w14:textId="77777777" w:rsidR="00271FA2" w:rsidRPr="00F06DE2" w:rsidRDefault="00D35E51">
      <w:pPr>
        <w:pStyle w:val="ESlet"/>
        <w:spacing w:before="0"/>
        <w:ind w:left="0"/>
        <w:jc w:val="both"/>
        <w:rPr>
          <w:rFonts w:ascii="Times New Roman" w:hAnsi="Times New Roman" w:cs="Times New Roman"/>
        </w:rPr>
      </w:pPr>
      <m:oMathPara>
        <m:oMathParaPr>
          <m:jc m:val="center"/>
        </m:oMathParaPr>
        <m:oMath>
          <m:r>
            <w:rPr>
              <w:rFonts w:ascii="Cambria Math" w:hAnsi="Cambria Math" w:cs="Times New Roman"/>
            </w:rPr>
            <m:t>R=0,25 ∙</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m:t>
              </m:r>
            </m:sup>
          </m:sSup>
          <m:r>
            <w:rPr>
              <w:rFonts w:ascii="Cambria Math" w:hAnsi="Cambria Math" w:cs="Times New Roman"/>
            </w:rPr>
            <m:t>[kN]</m:t>
          </m:r>
        </m:oMath>
      </m:oMathPara>
    </w:p>
    <w:p w14:paraId="7C454EF2"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където</w:t>
      </w:r>
    </w:p>
    <w:p w14:paraId="09F2A1C3" w14:textId="77777777" w:rsidR="00271FA2" w:rsidRPr="00F06DE2" w:rsidRDefault="00D35E51">
      <w:pPr>
        <w:pStyle w:val="ESlet"/>
        <w:spacing w:before="0"/>
        <w:jc w:val="both"/>
        <w:rPr>
          <w:rStyle w:val="FootnoteReference"/>
          <w:rFonts w:ascii="Times New Roman" w:hAnsi="Times New Roman" w:cs="Times New Roman"/>
          <w:lang w:val="ru-RU"/>
        </w:rPr>
      </w:pPr>
      <m:oMath>
        <m:r>
          <w:rPr>
            <w:rFonts w:ascii="Cambria Math" w:hAnsi="Cambria Math" w:cs="Times New Roman"/>
          </w:rPr>
          <m:t>P</m:t>
        </m:r>
        <m:r>
          <w:rPr>
            <w:rFonts w:ascii="Cambria Math" w:hAnsi="Cambria Math" w:cs="Times New Roman"/>
            <w:lang w:val="ru-RU"/>
          </w:rPr>
          <m:t>'</m:t>
        </m:r>
      </m:oMath>
      <w:r w:rsidRPr="00F06DE2">
        <w:rPr>
          <w:rFonts w:ascii="Times New Roman" w:hAnsi="Times New Roman" w:cs="Times New Roman"/>
          <w:lang w:val="ru-RU"/>
        </w:rPr>
        <w:t xml:space="preserve"> е теоретичната маса на всяка котва, определена в съответствие с точки 1 - 4 и 6.</w:t>
      </w:r>
    </w:p>
    <w:p w14:paraId="3C347574"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Натоварването на скъсване на котвените вериги се посочва съгласно стандарт, който е в сила в една от държавите членки.</w:t>
      </w:r>
    </w:p>
    <w:p w14:paraId="438AC52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12.</w:t>
      </w:r>
      <w:r w:rsidRPr="00F06DE2">
        <w:rPr>
          <w:rFonts w:ascii="Times New Roman" w:hAnsi="Times New Roman" w:cs="Times New Roman"/>
          <w:lang w:val="ru-RU"/>
        </w:rPr>
        <w:tab/>
        <w:t>Когато котви имат по-голяма маса, отколкото изискваната по точки 1 — 6, натоварването на скъсване на котвената верига се определя като функция от действителната маса на котвата.</w:t>
      </w:r>
    </w:p>
    <w:p w14:paraId="3DBA0CC2"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В случаите, когато по-тежки котви със съответно по-здрави котвени вериги са на борда, само минималните стойности на масата и минималното изисквано натоварване на скъсване съгласно точки 1 - 6 и 11 се вписват в Корабното удостоверение за вътрешно корабоплаване.</w:t>
      </w:r>
    </w:p>
    <w:p w14:paraId="25885308" w14:textId="0478ED06" w:rsidR="00271FA2" w:rsidRPr="00F06DE2" w:rsidRDefault="009B028A" w:rsidP="009B028A">
      <w:pPr>
        <w:ind w:left="567" w:hanging="567"/>
        <w:rPr>
          <w:rFonts w:ascii="Times New Roman" w:hAnsi="Times New Roman" w:cs="Times New Roman"/>
          <w:lang w:val="ru-RU"/>
        </w:rPr>
      </w:pPr>
      <w:r w:rsidRPr="00F06DE2">
        <w:rPr>
          <w:rFonts w:ascii="Times New Roman" w:hAnsi="Times New Roman" w:cs="Times New Roman"/>
          <w:lang w:val="ru-RU"/>
        </w:rPr>
        <w:t>13.</w:t>
      </w:r>
      <w:r w:rsidRPr="00F06DE2">
        <w:rPr>
          <w:rFonts w:ascii="Times New Roman" w:hAnsi="Times New Roman" w:cs="Times New Roman"/>
          <w:lang w:val="ru-RU"/>
        </w:rPr>
        <w:tab/>
      </w:r>
      <w:r w:rsidR="001A66B9" w:rsidRPr="00F06DE2">
        <w:rPr>
          <w:rFonts w:ascii="Times New Roman" w:hAnsi="Times New Roman" w:cs="Times New Roman"/>
          <w:lang w:val="ru-RU"/>
        </w:rPr>
        <w:t xml:space="preserve">Свързващи елементи като </w:t>
      </w:r>
      <w:r w:rsidR="000F446C" w:rsidRPr="00F06DE2">
        <w:rPr>
          <w:rFonts w:ascii="Times New Roman" w:hAnsi="Times New Roman" w:cs="Times New Roman"/>
          <w:lang w:val="ru-RU"/>
        </w:rPr>
        <w:t>вирбел</w:t>
      </w:r>
      <w:r w:rsidR="0043560E" w:rsidRPr="00F06DE2">
        <w:rPr>
          <w:rFonts w:ascii="Times New Roman" w:hAnsi="Times New Roman" w:cs="Times New Roman"/>
          <w:lang w:val="ru-RU"/>
        </w:rPr>
        <w:t xml:space="preserve"> (</w:t>
      </w:r>
      <w:r w:rsidR="0043560E" w:rsidRPr="00F06DE2">
        <w:rPr>
          <w:rFonts w:ascii="Times New Roman" w:hAnsi="Times New Roman" w:cs="Times New Roman"/>
        </w:rPr>
        <w:t>swivels</w:t>
      </w:r>
      <w:r w:rsidR="0043560E" w:rsidRPr="00F06DE2">
        <w:rPr>
          <w:rFonts w:ascii="Times New Roman" w:hAnsi="Times New Roman" w:cs="Times New Roman"/>
          <w:lang w:val="ru-RU"/>
        </w:rPr>
        <w:t>)</w:t>
      </w:r>
      <w:r w:rsidR="002D2279" w:rsidRPr="00F06DE2">
        <w:rPr>
          <w:rFonts w:ascii="Times New Roman" w:hAnsi="Times New Roman" w:cs="Times New Roman"/>
          <w:lang w:val="ru-RU"/>
        </w:rPr>
        <w:t xml:space="preserve"> или </w:t>
      </w:r>
      <w:r w:rsidR="00E02BDE" w:rsidRPr="00F06DE2">
        <w:rPr>
          <w:rFonts w:ascii="Times New Roman" w:hAnsi="Times New Roman" w:cs="Times New Roman"/>
          <w:lang w:val="ru-RU"/>
        </w:rPr>
        <w:t>шегел</w:t>
      </w:r>
      <w:r w:rsidR="0043560E" w:rsidRPr="00F06DE2">
        <w:rPr>
          <w:rFonts w:ascii="Times New Roman" w:hAnsi="Times New Roman" w:cs="Times New Roman"/>
          <w:lang w:val="ru-RU"/>
        </w:rPr>
        <w:t xml:space="preserve"> (</w:t>
      </w:r>
      <w:r w:rsidR="0043560E" w:rsidRPr="00F06DE2">
        <w:rPr>
          <w:rFonts w:ascii="Times New Roman" w:hAnsi="Times New Roman" w:cs="Times New Roman"/>
        </w:rPr>
        <w:t>shackles</w:t>
      </w:r>
      <w:r w:rsidR="0043560E" w:rsidRPr="00F06DE2">
        <w:rPr>
          <w:rFonts w:ascii="Times New Roman" w:hAnsi="Times New Roman" w:cs="Times New Roman"/>
          <w:lang w:val="ru-RU"/>
        </w:rPr>
        <w:t>)</w:t>
      </w:r>
      <w:r w:rsidR="000F446C" w:rsidRPr="00F06DE2">
        <w:rPr>
          <w:rFonts w:ascii="Times New Roman" w:hAnsi="Times New Roman" w:cs="Times New Roman"/>
          <w:lang w:val="ru-RU"/>
        </w:rPr>
        <w:t xml:space="preserve"> </w:t>
      </w:r>
      <w:r w:rsidR="001A66B9" w:rsidRPr="00F06DE2">
        <w:rPr>
          <w:rFonts w:ascii="Times New Roman" w:hAnsi="Times New Roman" w:cs="Times New Roman"/>
          <w:lang w:val="ru-RU"/>
        </w:rPr>
        <w:t>между котва и верига трябва да издържа на натоварване на опън с 20</w:t>
      </w:r>
      <w:r w:rsidR="001A66B9" w:rsidRPr="00F06DE2">
        <w:rPr>
          <w:rFonts w:ascii="Times New Roman" w:hAnsi="Times New Roman" w:cs="Times New Roman"/>
        </w:rPr>
        <w:t> </w:t>
      </w:r>
      <w:r w:rsidR="001A66B9" w:rsidRPr="00F06DE2">
        <w:rPr>
          <w:rFonts w:ascii="Times New Roman" w:hAnsi="Times New Roman" w:cs="Times New Roman"/>
          <w:lang w:val="ru-RU"/>
        </w:rPr>
        <w:t>% по-високо от натоварването на скъсване на съответната верига.</w:t>
      </w:r>
    </w:p>
    <w:p w14:paraId="79E62A9A" w14:textId="2E29ABC3" w:rsidR="00271FA2" w:rsidRPr="00F06DE2" w:rsidRDefault="00D35E51" w:rsidP="009F2E64">
      <w:pPr>
        <w:pStyle w:val="ESch"/>
        <w:spacing w:after="240"/>
        <w:jc w:val="both"/>
        <w:rPr>
          <w:rFonts w:ascii="Times New Roman" w:hAnsi="Times New Roman" w:cs="Times New Roman"/>
          <w:lang w:val="ru-RU"/>
        </w:rPr>
      </w:pPr>
      <w:r w:rsidRPr="00F06DE2">
        <w:rPr>
          <w:rFonts w:ascii="Times New Roman" w:hAnsi="Times New Roman" w:cs="Times New Roman"/>
          <w:lang w:val="ru-RU"/>
        </w:rPr>
        <w:t>14.</w:t>
      </w:r>
      <w:r w:rsidRPr="00F06DE2">
        <w:rPr>
          <w:rFonts w:ascii="Times New Roman" w:hAnsi="Times New Roman" w:cs="Times New Roman"/>
          <w:lang w:val="ru-RU"/>
        </w:rPr>
        <w:tab/>
        <w:t xml:space="preserve">Допуска се използването на </w:t>
      </w:r>
      <w:r w:rsidR="00AD2B0D" w:rsidRPr="00F06DE2">
        <w:rPr>
          <w:rFonts w:ascii="Times New Roman" w:hAnsi="Times New Roman" w:cs="Times New Roman"/>
          <w:lang w:val="ru-RU"/>
        </w:rPr>
        <w:t xml:space="preserve"> стоманени </w:t>
      </w:r>
      <w:r w:rsidRPr="00F06DE2">
        <w:rPr>
          <w:rFonts w:ascii="Times New Roman" w:hAnsi="Times New Roman" w:cs="Times New Roman"/>
          <w:lang w:val="ru-RU"/>
        </w:rPr>
        <w:t>въжета вместо котвени вериги. Въжетата трябва да имат същото натоварване на скъсване, както изискваното за веригите, но трябва да са с 20</w:t>
      </w:r>
      <w:r w:rsidRPr="00F06DE2">
        <w:rPr>
          <w:rFonts w:ascii="Times New Roman" w:hAnsi="Times New Roman" w:cs="Times New Roman"/>
        </w:rPr>
        <w:t> </w:t>
      </w:r>
      <w:r w:rsidRPr="00F06DE2">
        <w:rPr>
          <w:rFonts w:ascii="Times New Roman" w:hAnsi="Times New Roman" w:cs="Times New Roman"/>
          <w:lang w:val="ru-RU"/>
        </w:rPr>
        <w:t xml:space="preserve">% по-дълги. </w:t>
      </w:r>
    </w:p>
    <w:p w14:paraId="0DFD47D7" w14:textId="4EF4C2D0" w:rsidR="00271FA2" w:rsidRPr="00F06DE2" w:rsidRDefault="00D35E51">
      <w:pPr>
        <w:pStyle w:val="ES-Titre3"/>
        <w:spacing w:line="240" w:lineRule="atLeast"/>
        <w:rPr>
          <w:rFonts w:ascii="Times New Roman" w:hAnsi="Times New Roman" w:cs="Times New Roman"/>
          <w:i/>
          <w:sz w:val="24"/>
          <w:szCs w:val="24"/>
          <w:lang w:val="ru-RU"/>
        </w:rPr>
      </w:pPr>
      <w:bookmarkStart w:id="200" w:name="_Toc535827544"/>
      <w:bookmarkStart w:id="201" w:name="_Toc491854103"/>
      <w:r w:rsidRPr="00F06DE2">
        <w:rPr>
          <w:rFonts w:ascii="Times New Roman" w:hAnsi="Times New Roman" w:cs="Times New Roman"/>
          <w:sz w:val="24"/>
          <w:szCs w:val="24"/>
          <w:lang w:val="ru-RU"/>
        </w:rPr>
        <w:t>Член 13.02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Друго оборудване</w:t>
      </w:r>
      <w:bookmarkEnd w:id="200"/>
      <w:bookmarkEnd w:id="201"/>
    </w:p>
    <w:p w14:paraId="48B9BA2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Най-малко следното оборудване в съответствие с приложимите разпоредби на навигационната служба, които са в сила в една от държавите членки, трябва да е осигурено на борда:</w:t>
      </w:r>
    </w:p>
    <w:p w14:paraId="18283D99"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радиотелефонно оборудване;</w:t>
      </w:r>
    </w:p>
    <w:p w14:paraId="5ACFC39D" w14:textId="77777777" w:rsidR="00271FA2" w:rsidRPr="00F06DE2" w:rsidRDefault="00D35E51" w:rsidP="00110480">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прибори и устройства за излъчване на светлинни и звукови сигнали и за сигнализация на плавателния съд;</w:t>
      </w:r>
    </w:p>
    <w:p w14:paraId="6F903E3E"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самостоятелни резервни светлини за предписаните швартови светлини.</w:t>
      </w:r>
    </w:p>
    <w:p w14:paraId="0BB0B30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Трябва да бъдат налични и следните съдове:</w:t>
      </w:r>
    </w:p>
    <w:p w14:paraId="14D1F488"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маркиран съд за битови отпадъци;</w:t>
      </w:r>
    </w:p>
    <w:p w14:paraId="559ED414" w14:textId="77777777" w:rsidR="00271FA2" w:rsidRPr="00F06DE2" w:rsidRDefault="00D35E51" w:rsidP="00110480">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отделни, маркирани съдове, с херметично затварящи се капаци, изработени от стомана или друг устойчив, незапалим материал, с подходящи размери и вместимост най-малко 10 l, за събиране на:</w:t>
      </w:r>
    </w:p>
    <w:p w14:paraId="493AF8D4" w14:textId="77777777" w:rsidR="00271FA2" w:rsidRPr="00F06DE2" w:rsidRDefault="00D35E51">
      <w:pPr>
        <w:pStyle w:val="EStiret"/>
        <w:spacing w:before="0"/>
        <w:ind w:left="993" w:hanging="425"/>
        <w:jc w:val="both"/>
        <w:rPr>
          <w:rFonts w:ascii="Times New Roman"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замърсени с масло парцали;</w:t>
      </w:r>
    </w:p>
    <w:p w14:paraId="7668B6A0" w14:textId="77777777" w:rsidR="00271FA2" w:rsidRPr="00F06DE2" w:rsidRDefault="00D35E51">
      <w:pPr>
        <w:pStyle w:val="EStiret"/>
        <w:spacing w:before="0"/>
        <w:ind w:left="993" w:hanging="425"/>
        <w:jc w:val="both"/>
        <w:rPr>
          <w:rFonts w:ascii="Times New Roman" w:hAnsi="Times New Roman" w:cs="Times New Roman"/>
          <w:lang w:val="ru-RU"/>
        </w:rPr>
      </w:pPr>
      <w:r w:rsidRPr="00F06DE2">
        <w:rPr>
          <w:rFonts w:ascii="Times New Roman" w:hAnsi="Times New Roman" w:cs="Times New Roman"/>
          <w:lang w:val="ru-RU"/>
        </w:rPr>
        <w:t>бб) опасни или замърсяващи твърди отпадъци;</w:t>
      </w:r>
    </w:p>
    <w:p w14:paraId="2A33219F" w14:textId="77777777" w:rsidR="00271FA2" w:rsidRPr="00F06DE2" w:rsidRDefault="00D35E51">
      <w:pPr>
        <w:pStyle w:val="EStiret"/>
        <w:spacing w:before="0"/>
        <w:ind w:left="993" w:hanging="425"/>
        <w:jc w:val="both"/>
        <w:rPr>
          <w:rFonts w:ascii="Times New Roman" w:hAnsi="Times New Roman" w:cs="Times New Roman"/>
          <w:lang w:val="ru-RU"/>
        </w:rPr>
      </w:pPr>
      <w:r w:rsidRPr="00F06DE2">
        <w:rPr>
          <w:rFonts w:ascii="Times New Roman" w:hAnsi="Times New Roman" w:cs="Times New Roman"/>
          <w:lang w:val="ru-RU"/>
        </w:rPr>
        <w:t>вв) опасни или замърсяващи течни отпадъци;</w:t>
      </w:r>
    </w:p>
    <w:p w14:paraId="069D903B" w14:textId="77777777" w:rsidR="00271FA2" w:rsidRPr="00F06DE2" w:rsidRDefault="00D35E51">
      <w:pPr>
        <w:pStyle w:val="EStiret"/>
        <w:spacing w:before="0"/>
        <w:ind w:left="993" w:hanging="425"/>
        <w:jc w:val="both"/>
        <w:rPr>
          <w:rFonts w:ascii="Times New Roman" w:hAnsi="Times New Roman" w:cs="Times New Roman"/>
          <w:lang w:val="ru-RU"/>
        </w:rPr>
      </w:pPr>
      <w:r w:rsidRPr="00F06DE2">
        <w:rPr>
          <w:rFonts w:ascii="Times New Roman" w:hAnsi="Times New Roman" w:cs="Times New Roman"/>
          <w:lang w:val="ru-RU"/>
        </w:rPr>
        <w:t>и, доколкото те могат да възникнат, за събиране на:</w:t>
      </w:r>
    </w:p>
    <w:p w14:paraId="65B2D523" w14:textId="77777777" w:rsidR="00271FA2" w:rsidRPr="00F06DE2" w:rsidRDefault="00D35E51">
      <w:pPr>
        <w:pStyle w:val="EStiret"/>
        <w:spacing w:before="0"/>
        <w:ind w:left="993" w:hanging="425"/>
        <w:jc w:val="both"/>
        <w:rPr>
          <w:rFonts w:ascii="Times New Roman" w:hAnsi="Times New Roman" w:cs="Times New Roman"/>
          <w:lang w:val="ru-RU"/>
        </w:rPr>
      </w:pPr>
      <w:r w:rsidRPr="00F06DE2">
        <w:rPr>
          <w:rFonts w:ascii="Times New Roman" w:hAnsi="Times New Roman" w:cs="Times New Roman"/>
          <w:lang w:val="ru-RU"/>
        </w:rPr>
        <w:t>гг) нефтосъдържащи води;</w:t>
      </w:r>
    </w:p>
    <w:p w14:paraId="18A79847" w14:textId="77777777" w:rsidR="00271FA2" w:rsidRPr="00F06DE2" w:rsidRDefault="00D35E51">
      <w:pPr>
        <w:pStyle w:val="EStiret"/>
        <w:spacing w:before="0"/>
        <w:ind w:left="993" w:hanging="425"/>
        <w:jc w:val="both"/>
        <w:rPr>
          <w:rFonts w:ascii="Times New Roman" w:hAnsi="Times New Roman" w:cs="Times New Roman"/>
          <w:lang w:val="ru-RU"/>
        </w:rPr>
      </w:pPr>
      <w:r w:rsidRPr="00F06DE2">
        <w:rPr>
          <w:rFonts w:ascii="Times New Roman" w:hAnsi="Times New Roman" w:cs="Times New Roman"/>
          <w:lang w:val="ru-RU"/>
        </w:rPr>
        <w:t>дд) други отпадъци, съдържащи масла или грес.</w:t>
      </w:r>
    </w:p>
    <w:p w14:paraId="7089993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В допълнение оборудването включва като минимум:</w:t>
      </w:r>
    </w:p>
    <w:p w14:paraId="69C86A89"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швартови въжета;</w:t>
      </w:r>
    </w:p>
    <w:p w14:paraId="48ABFE95"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Плавателните съдове са оборудвани с три швартови стоманени въжета. Минималните им дължини са най-малко следните:</w:t>
      </w:r>
    </w:p>
    <w:p w14:paraId="09527ACA" w14:textId="77777777" w:rsidR="00271FA2" w:rsidRPr="00F06DE2" w:rsidRDefault="00D35E51">
      <w:pPr>
        <w:pStyle w:val="EStiret"/>
        <w:tabs>
          <w:tab w:val="left" w:pos="2694"/>
        </w:tabs>
        <w:spacing w:before="0"/>
        <w:ind w:hanging="425"/>
        <w:jc w:val="both"/>
        <w:rPr>
          <w:rStyle w:val="FootnoteReference"/>
          <w:rFonts w:ascii="Times New Roman" w:hAnsi="Times New Roman" w:cs="Times New Roman"/>
          <w:snapToGrid/>
          <w:color w:val="auto"/>
          <w:vertAlign w:val="baseline"/>
          <w:lang w:val="ru-RU" w:eastAsia="bg-BG" w:bidi="ar-SA"/>
        </w:rPr>
      </w:pPr>
      <w:r w:rsidRPr="00F06DE2">
        <w:rPr>
          <w:rFonts w:ascii="Times New Roman" w:hAnsi="Times New Roman" w:cs="Times New Roman"/>
          <w:lang w:val="ru-RU"/>
        </w:rPr>
        <w:t xml:space="preserve">първо въже: </w:t>
      </w:r>
      <m:oMath>
        <m:r>
          <w:rPr>
            <w:rFonts w:ascii="Cambria Math" w:hAnsi="Cambria Math" w:cs="Times New Roman"/>
          </w:rPr>
          <m:t>L</m:t>
        </m:r>
        <m:r>
          <w:rPr>
            <w:rFonts w:ascii="Cambria Math" w:hAnsi="Cambria Math" w:cs="Times New Roman"/>
            <w:lang w:val="ru-RU"/>
          </w:rPr>
          <m:t xml:space="preserve">+20 </m:t>
        </m:r>
        <m:r>
          <w:rPr>
            <w:rFonts w:ascii="Cambria Math" w:hAnsi="Cambria Math" w:cs="Times New Roman"/>
          </w:rPr>
          <m:t>m</m:t>
        </m:r>
      </m:oMath>
      <w:r w:rsidRPr="00F06DE2">
        <w:rPr>
          <w:rFonts w:ascii="Times New Roman" w:hAnsi="Times New Roman" w:cs="Times New Roman"/>
          <w:lang w:val="ru-RU"/>
        </w:rPr>
        <w:t>, но не повече от 100</w:t>
      </w:r>
      <w:r w:rsidRPr="00F06DE2">
        <w:rPr>
          <w:rFonts w:ascii="Times New Roman" w:hAnsi="Times New Roman" w:cs="Times New Roman"/>
        </w:rPr>
        <w:t> m</w:t>
      </w:r>
      <w:r w:rsidRPr="00F06DE2">
        <w:rPr>
          <w:rFonts w:ascii="Times New Roman" w:hAnsi="Times New Roman" w:cs="Times New Roman"/>
          <w:lang w:val="ru-RU"/>
        </w:rPr>
        <w:t>,</w:t>
      </w:r>
    </w:p>
    <w:p w14:paraId="3C3D56FF" w14:textId="77777777" w:rsidR="00271FA2" w:rsidRPr="00F06DE2" w:rsidRDefault="00D35E51">
      <w:pPr>
        <w:pStyle w:val="EStiret"/>
        <w:tabs>
          <w:tab w:val="left" w:pos="2694"/>
        </w:tabs>
        <w:spacing w:before="0"/>
        <w:ind w:hanging="425"/>
        <w:jc w:val="both"/>
        <w:rPr>
          <w:rStyle w:val="FootnoteReference"/>
          <w:rFonts w:ascii="Times New Roman" w:hAnsi="Times New Roman" w:cs="Times New Roman"/>
          <w:vertAlign w:val="baseline"/>
          <w:lang w:val="ru-RU"/>
        </w:rPr>
      </w:pPr>
      <w:r w:rsidRPr="00F06DE2">
        <w:rPr>
          <w:rFonts w:ascii="Times New Roman" w:hAnsi="Times New Roman" w:cs="Times New Roman"/>
          <w:lang w:val="ru-RU"/>
        </w:rPr>
        <w:t>второ въже: 2/3 от първото въже,</w:t>
      </w:r>
    </w:p>
    <w:p w14:paraId="183F56A5" w14:textId="77777777" w:rsidR="00271FA2" w:rsidRPr="00F06DE2" w:rsidRDefault="00D35E51">
      <w:pPr>
        <w:pStyle w:val="EStiret"/>
        <w:tabs>
          <w:tab w:val="left" w:pos="2694"/>
        </w:tabs>
        <w:spacing w:before="0"/>
        <w:ind w:hanging="425"/>
        <w:jc w:val="both"/>
        <w:rPr>
          <w:rStyle w:val="FootnoteReference"/>
          <w:rFonts w:ascii="Times New Roman" w:hAnsi="Times New Roman" w:cs="Times New Roman"/>
          <w:vertAlign w:val="baseline"/>
          <w:lang w:val="ru-RU"/>
        </w:rPr>
      </w:pPr>
      <w:r w:rsidRPr="00F06DE2">
        <w:rPr>
          <w:rFonts w:ascii="Times New Roman" w:hAnsi="Times New Roman" w:cs="Times New Roman"/>
          <w:lang w:val="ru-RU"/>
        </w:rPr>
        <w:t>трето въже: 1/3 от първото въже.</w:t>
      </w:r>
    </w:p>
    <w:p w14:paraId="50EBC1E5"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Най-късото въже не се изисква на борда на плавателни съдове, чиято </w:t>
      </w:r>
      <m:oMath>
        <m:r>
          <w:rPr>
            <w:rFonts w:ascii="Cambria Math" w:hAnsi="Cambria Math" w:cs="Times New Roman"/>
          </w:rPr>
          <m:t>L</m:t>
        </m:r>
      </m:oMath>
      <w:r w:rsidRPr="00F06DE2">
        <w:rPr>
          <w:rFonts w:ascii="Times New Roman" w:hAnsi="Times New Roman" w:cs="Times New Roman"/>
          <w:lang w:val="ru-RU"/>
        </w:rPr>
        <w:t xml:space="preserve"> е по-малка от 20</w:t>
      </w:r>
      <w:r w:rsidRPr="00F06DE2">
        <w:rPr>
          <w:rFonts w:ascii="Times New Roman" w:hAnsi="Times New Roman" w:cs="Times New Roman"/>
        </w:rPr>
        <w:t> m</w:t>
      </w:r>
      <w:r w:rsidRPr="00F06DE2">
        <w:rPr>
          <w:rFonts w:ascii="Times New Roman" w:hAnsi="Times New Roman" w:cs="Times New Roman"/>
          <w:lang w:val="ru-RU"/>
        </w:rPr>
        <w:t>.</w:t>
      </w:r>
    </w:p>
    <w:p w14:paraId="7F7A52BE"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Въжетата трябва да имат натоварване на скъсване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m:t>
            </m:r>
          </m:sub>
        </m:sSub>
      </m:oMath>
      <w:r w:rsidRPr="00F06DE2">
        <w:rPr>
          <w:rFonts w:ascii="Times New Roman" w:hAnsi="Times New Roman" w:cs="Times New Roman"/>
          <w:lang w:val="ru-RU"/>
        </w:rPr>
        <w:t>, което се изчислява чрез използването на следната формула;</w:t>
      </w:r>
    </w:p>
    <w:p w14:paraId="12C53A16" w14:textId="77777777" w:rsidR="00271FA2" w:rsidRPr="00F06DE2" w:rsidRDefault="00D35E51">
      <w:pPr>
        <w:pStyle w:val="ESgauche"/>
        <w:ind w:firstLine="567"/>
        <w:jc w:val="both"/>
        <w:rPr>
          <w:rFonts w:ascii="Times New Roman" w:hAnsi="Times New Roman" w:cs="Times New Roman"/>
          <w:lang w:val="ru-RU"/>
        </w:rPr>
      </w:pPr>
      <w:r w:rsidRPr="00F06DE2">
        <w:rPr>
          <w:rFonts w:ascii="Times New Roman" w:hAnsi="Times New Roman" w:cs="Times New Roman"/>
          <w:lang w:val="ru-RU"/>
        </w:rPr>
        <w:t xml:space="preserve">за </w:t>
      </w:r>
      <m:oMath>
        <m:r>
          <w:rPr>
            <w:rFonts w:ascii="Cambria Math" w:hAnsi="Cambria Math" w:cs="Times New Roman"/>
          </w:rPr>
          <m:t>L</m:t>
        </m:r>
        <m:r>
          <w:rPr>
            <w:rFonts w:ascii="Cambria Math" w:hAnsi="Cambria Math" w:cs="Times New Roman"/>
            <w:lang w:val="ru-RU"/>
          </w:rPr>
          <m:t xml:space="preserve"> ∙</m:t>
        </m:r>
        <m:r>
          <w:rPr>
            <w:rFonts w:ascii="Cambria Math" w:hAnsi="Cambria Math" w:cs="Times New Roman"/>
          </w:rPr>
          <m:t>B</m:t>
        </m:r>
        <m:r>
          <w:rPr>
            <w:rFonts w:ascii="Cambria Math" w:hAnsi="Cambria Math" w:cs="Times New Roman"/>
            <w:lang w:val="ru-RU"/>
          </w:rPr>
          <m:t xml:space="preserve"> ∙</m:t>
        </m:r>
        <m:r>
          <w:rPr>
            <w:rFonts w:ascii="Cambria Math" w:hAnsi="Cambria Math" w:cs="Times New Roman"/>
          </w:rPr>
          <m:t>T</m:t>
        </m:r>
      </m:oMath>
      <w:r w:rsidRPr="00F06DE2">
        <w:rPr>
          <w:rFonts w:ascii="Times New Roman" w:hAnsi="Times New Roman" w:cs="Times New Roman"/>
          <w:lang w:val="ru-RU"/>
        </w:rPr>
        <w:t xml:space="preserve"> до 1000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m:t>
            </m:r>
          </m:sub>
        </m:sSub>
        <m:r>
          <w:rPr>
            <w:rFonts w:ascii="Cambria Math" w:hAnsi="Cambria Math" w:cs="Times New Roman"/>
            <w:lang w:val="ru-RU"/>
          </w:rPr>
          <m:t xml:space="preserve">=60+ </m:t>
        </m:r>
        <m:f>
          <m:fPr>
            <m:ctrlPr>
              <w:rPr>
                <w:rFonts w:ascii="Cambria Math" w:hAnsi="Cambria Math" w:cs="Times New Roman"/>
                <w:i/>
              </w:rPr>
            </m:ctrlPr>
          </m:fPr>
          <m:num>
            <m:r>
              <w:rPr>
                <w:rFonts w:ascii="Cambria Math" w:hAnsi="Cambria Math" w:cs="Times New Roman"/>
              </w:rPr>
              <m:t>L</m:t>
            </m:r>
            <m:r>
              <w:rPr>
                <w:rFonts w:ascii="Cambria Math" w:hAnsi="Cambria Math" w:cs="Times New Roman"/>
                <w:lang w:val="ru-RU"/>
              </w:rPr>
              <m:t xml:space="preserve"> ∙</m:t>
            </m:r>
            <m:r>
              <w:rPr>
                <w:rFonts w:ascii="Cambria Math" w:hAnsi="Cambria Math" w:cs="Times New Roman"/>
              </w:rPr>
              <m:t>B</m:t>
            </m:r>
            <m:r>
              <w:rPr>
                <w:rFonts w:ascii="Cambria Math" w:hAnsi="Cambria Math" w:cs="Times New Roman"/>
                <w:lang w:val="ru-RU"/>
              </w:rPr>
              <m:t xml:space="preserve"> ∙</m:t>
            </m:r>
            <m:r>
              <w:rPr>
                <w:rFonts w:ascii="Cambria Math" w:hAnsi="Cambria Math" w:cs="Times New Roman"/>
              </w:rPr>
              <m:t>T</m:t>
            </m:r>
          </m:num>
          <m:den>
            <m:r>
              <w:rPr>
                <w:rFonts w:ascii="Cambria Math" w:hAnsi="Cambria Math" w:cs="Times New Roman"/>
                <w:lang w:val="ru-RU"/>
              </w:rPr>
              <m:t>10</m:t>
            </m:r>
          </m:den>
        </m:f>
        <m:r>
          <w:rPr>
            <w:rFonts w:ascii="Cambria Math" w:hAnsi="Cambria Math" w:cs="Times New Roman"/>
            <w:lang w:val="ru-RU"/>
          </w:rPr>
          <m:t xml:space="preserve"> </m:t>
        </m:r>
        <m:d>
          <m:dPr>
            <m:begChr m:val="["/>
            <m:endChr m:val="]"/>
            <m:ctrlPr>
              <w:rPr>
                <w:rFonts w:ascii="Cambria Math" w:hAnsi="Cambria Math" w:cs="Times New Roman"/>
                <w:i/>
              </w:rPr>
            </m:ctrlPr>
          </m:dPr>
          <m:e>
            <m:r>
              <w:rPr>
                <w:rFonts w:ascii="Cambria Math" w:hAnsi="Cambria Math" w:cs="Times New Roman"/>
              </w:rPr>
              <m:t>kN</m:t>
            </m:r>
          </m:e>
        </m:d>
        <m:r>
          <w:rPr>
            <w:rFonts w:ascii="Cambria Math" w:hAnsi="Cambria Math" w:cs="Times New Roman"/>
            <w:lang w:val="ru-RU"/>
          </w:rPr>
          <m:t>;</m:t>
        </m:r>
      </m:oMath>
    </w:p>
    <w:p w14:paraId="33522999" w14:textId="77777777" w:rsidR="00271FA2" w:rsidRPr="00F06DE2" w:rsidRDefault="00D35E51">
      <w:pPr>
        <w:pStyle w:val="ESgauche"/>
        <w:ind w:firstLine="567"/>
        <w:jc w:val="both"/>
        <w:rPr>
          <w:rFonts w:ascii="Times New Roman" w:hAnsi="Times New Roman" w:cs="Times New Roman"/>
          <w:lang w:val="ru-RU"/>
        </w:rPr>
      </w:pPr>
      <w:r w:rsidRPr="00F06DE2">
        <w:rPr>
          <w:rFonts w:ascii="Times New Roman" w:hAnsi="Times New Roman" w:cs="Times New Roman"/>
          <w:lang w:val="ru-RU"/>
        </w:rPr>
        <w:t xml:space="preserve">за </w:t>
      </w:r>
      <m:oMath>
        <m:r>
          <w:rPr>
            <w:rFonts w:ascii="Cambria Math" w:hAnsi="Cambria Math" w:cs="Times New Roman"/>
          </w:rPr>
          <m:t>L</m:t>
        </m:r>
        <m:r>
          <w:rPr>
            <w:rFonts w:ascii="Cambria Math" w:hAnsi="Cambria Math" w:cs="Times New Roman"/>
            <w:lang w:val="ru-RU"/>
          </w:rPr>
          <m:t xml:space="preserve"> ∙</m:t>
        </m:r>
        <m:r>
          <w:rPr>
            <w:rFonts w:ascii="Cambria Math" w:hAnsi="Cambria Math" w:cs="Times New Roman"/>
          </w:rPr>
          <m:t>B</m:t>
        </m:r>
        <m:r>
          <w:rPr>
            <w:rFonts w:ascii="Cambria Math" w:hAnsi="Cambria Math" w:cs="Times New Roman"/>
            <w:lang w:val="ru-RU"/>
          </w:rPr>
          <m:t xml:space="preserve"> ∙</m:t>
        </m:r>
        <m:r>
          <w:rPr>
            <w:rFonts w:ascii="Cambria Math" w:hAnsi="Cambria Math" w:cs="Times New Roman"/>
          </w:rPr>
          <m:t>T</m:t>
        </m:r>
      </m:oMath>
      <w:r w:rsidRPr="00F06DE2">
        <w:rPr>
          <w:rFonts w:ascii="Times New Roman" w:hAnsi="Times New Roman" w:cs="Times New Roman"/>
          <w:lang w:val="ru-RU"/>
        </w:rPr>
        <w:t xml:space="preserve"> над 1000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m:t>
            </m:r>
          </m:sub>
        </m:sSub>
        <m:r>
          <w:rPr>
            <w:rFonts w:ascii="Cambria Math" w:hAnsi="Cambria Math" w:cs="Times New Roman"/>
            <w:lang w:val="ru-RU"/>
          </w:rPr>
          <m:t xml:space="preserve">=150+ </m:t>
        </m:r>
        <m:f>
          <m:fPr>
            <m:ctrlPr>
              <w:rPr>
                <w:rFonts w:ascii="Cambria Math" w:hAnsi="Cambria Math" w:cs="Times New Roman"/>
                <w:i/>
              </w:rPr>
            </m:ctrlPr>
          </m:fPr>
          <m:num>
            <m:r>
              <w:rPr>
                <w:rFonts w:ascii="Cambria Math" w:hAnsi="Cambria Math" w:cs="Times New Roman"/>
              </w:rPr>
              <m:t>L</m:t>
            </m:r>
            <m:r>
              <w:rPr>
                <w:rFonts w:ascii="Cambria Math" w:hAnsi="Cambria Math" w:cs="Times New Roman"/>
                <w:lang w:val="ru-RU"/>
              </w:rPr>
              <m:t xml:space="preserve"> ∙</m:t>
            </m:r>
            <m:r>
              <w:rPr>
                <w:rFonts w:ascii="Cambria Math" w:hAnsi="Cambria Math" w:cs="Times New Roman"/>
              </w:rPr>
              <m:t>B</m:t>
            </m:r>
            <m:r>
              <w:rPr>
                <w:rFonts w:ascii="Cambria Math" w:hAnsi="Cambria Math" w:cs="Times New Roman"/>
                <w:lang w:val="ru-RU"/>
              </w:rPr>
              <m:t xml:space="preserve"> ∙</m:t>
            </m:r>
            <m:r>
              <w:rPr>
                <w:rFonts w:ascii="Cambria Math" w:hAnsi="Cambria Math" w:cs="Times New Roman"/>
              </w:rPr>
              <m:t>T</m:t>
            </m:r>
          </m:num>
          <m:den>
            <m:r>
              <w:rPr>
                <w:rFonts w:ascii="Cambria Math" w:hAnsi="Cambria Math" w:cs="Times New Roman"/>
                <w:lang w:val="ru-RU"/>
              </w:rPr>
              <m:t>100</m:t>
            </m:r>
          </m:den>
        </m:f>
        <m:r>
          <w:rPr>
            <w:rFonts w:ascii="Cambria Math" w:hAnsi="Cambria Math" w:cs="Times New Roman"/>
            <w:lang w:val="ru-RU"/>
          </w:rPr>
          <m:t xml:space="preserve"> </m:t>
        </m:r>
        <m:d>
          <m:dPr>
            <m:begChr m:val="["/>
            <m:endChr m:val="]"/>
            <m:ctrlPr>
              <w:rPr>
                <w:rFonts w:ascii="Cambria Math" w:hAnsi="Cambria Math" w:cs="Times New Roman"/>
                <w:i/>
              </w:rPr>
            </m:ctrlPr>
          </m:dPr>
          <m:e>
            <m:r>
              <w:rPr>
                <w:rFonts w:ascii="Cambria Math" w:hAnsi="Cambria Math" w:cs="Times New Roman"/>
              </w:rPr>
              <m:t>kN</m:t>
            </m:r>
          </m:e>
        </m:d>
        <m:r>
          <w:rPr>
            <w:rFonts w:ascii="Cambria Math" w:hAnsi="Cambria Math" w:cs="Times New Roman"/>
            <w:lang w:val="ru-RU"/>
          </w:rPr>
          <m:t>.</m:t>
        </m:r>
      </m:oMath>
    </w:p>
    <w:p w14:paraId="7212909F"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За изискваните въжета на борда трябва да е налично удостоверение в съответствие с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10204:2004, под № 3.1.</w:t>
      </w:r>
    </w:p>
    <w:p w14:paraId="4D430CE3"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Тези въжета могат да бъдат заместени с въжета със същата дължина и натоварване на скъсване. Минималното натоварване на скъсване на тези въжета се посочва в удостоверението;</w:t>
      </w:r>
    </w:p>
    <w:p w14:paraId="20523450" w14:textId="77777777" w:rsidR="00271FA2" w:rsidRPr="00F06DE2" w:rsidRDefault="00D35E51">
      <w:pPr>
        <w:pStyle w:val="ESlet"/>
        <w:spacing w:before="0"/>
        <w:ind w:left="993" w:hanging="426"/>
        <w:jc w:val="both"/>
        <w:rPr>
          <w:rFonts w:ascii="Times New Roman" w:hAnsi="Times New Roman" w:cs="Times New Roman"/>
          <w:lang w:val="ru-RU"/>
        </w:rPr>
      </w:pPr>
      <w:r w:rsidRPr="00F06DE2">
        <w:rPr>
          <w:rFonts w:ascii="Times New Roman" w:hAnsi="Times New Roman" w:cs="Times New Roman"/>
          <w:lang w:val="ru-RU"/>
        </w:rPr>
        <w:t>б) буксирни въжета;</w:t>
      </w:r>
    </w:p>
    <w:p w14:paraId="0CAD9E5B"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Влекачите се оборудват с определен брой въжета, които са подходящи за експлоатацията им.</w:t>
      </w:r>
    </w:p>
    <w:p w14:paraId="7BA0D2DC"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Основното въже обаче е с дължина поне 100 </w:t>
      </w:r>
      <w:r w:rsidRPr="00F06DE2">
        <w:rPr>
          <w:rFonts w:ascii="Times New Roman" w:hAnsi="Times New Roman" w:cs="Times New Roman"/>
        </w:rPr>
        <w:t>m</w:t>
      </w:r>
      <w:r w:rsidRPr="00F06DE2">
        <w:rPr>
          <w:rFonts w:ascii="Times New Roman" w:hAnsi="Times New Roman" w:cs="Times New Roman"/>
          <w:lang w:val="ru-RU"/>
        </w:rPr>
        <w:t xml:space="preserve"> и има натоварване на скъсване в </w:t>
      </w:r>
      <w:r w:rsidRPr="00F06DE2">
        <w:rPr>
          <w:rFonts w:ascii="Times New Roman" w:hAnsi="Times New Roman" w:cs="Times New Roman"/>
        </w:rPr>
        <w:t>kN</w:t>
      </w:r>
      <w:r w:rsidRPr="00F06DE2">
        <w:rPr>
          <w:rFonts w:ascii="Times New Roman" w:hAnsi="Times New Roman" w:cs="Times New Roman"/>
          <w:lang w:val="ru-RU"/>
        </w:rPr>
        <w:t xml:space="preserve">, не по-малко от една трета от общата мощност на главния(те) двигател(и) в </w:t>
      </w:r>
      <w:r w:rsidRPr="00F06DE2">
        <w:rPr>
          <w:rFonts w:ascii="Times New Roman" w:hAnsi="Times New Roman" w:cs="Times New Roman"/>
        </w:rPr>
        <w:t>kW</w:t>
      </w:r>
      <w:r w:rsidRPr="00F06DE2">
        <w:rPr>
          <w:rFonts w:ascii="Times New Roman" w:hAnsi="Times New Roman" w:cs="Times New Roman"/>
          <w:lang w:val="ru-RU"/>
        </w:rPr>
        <w:t xml:space="preserve">. Моторни товарни плавателни съдове, моторни танкери и тласкачи, които могат да теглят, трябва да бъдат оборудвани с теглещо стоманено въже, което е най-малко 100 </w:t>
      </w:r>
      <w:r w:rsidRPr="00F06DE2">
        <w:rPr>
          <w:rFonts w:ascii="Times New Roman" w:hAnsi="Times New Roman" w:cs="Times New Roman"/>
        </w:rPr>
        <w:t>m</w:t>
      </w:r>
      <w:r w:rsidRPr="00F06DE2">
        <w:rPr>
          <w:rFonts w:ascii="Times New Roman" w:hAnsi="Times New Roman" w:cs="Times New Roman"/>
          <w:lang w:val="ru-RU"/>
        </w:rPr>
        <w:t xml:space="preserve"> дълго и чието разрушаващо натоварване в </w:t>
      </w:r>
      <w:r w:rsidRPr="00F06DE2">
        <w:rPr>
          <w:rFonts w:ascii="Times New Roman" w:hAnsi="Times New Roman" w:cs="Times New Roman"/>
        </w:rPr>
        <w:t>kN</w:t>
      </w:r>
      <w:r w:rsidRPr="00F06DE2">
        <w:rPr>
          <w:rFonts w:ascii="Times New Roman" w:hAnsi="Times New Roman" w:cs="Times New Roman"/>
          <w:lang w:val="ru-RU"/>
        </w:rPr>
        <w:t xml:space="preserve"> е не по-малко от една четвърт от общата мощност в </w:t>
      </w:r>
      <w:r w:rsidRPr="00F06DE2">
        <w:rPr>
          <w:rFonts w:ascii="Times New Roman" w:hAnsi="Times New Roman" w:cs="Times New Roman"/>
        </w:rPr>
        <w:t>kW</w:t>
      </w:r>
      <w:r w:rsidRPr="00F06DE2">
        <w:rPr>
          <w:rFonts w:ascii="Times New Roman" w:hAnsi="Times New Roman" w:cs="Times New Roman"/>
          <w:lang w:val="ru-RU"/>
        </w:rPr>
        <w:t>, на главния(ите) двигател(и);</w:t>
      </w:r>
    </w:p>
    <w:p w14:paraId="63C63EE7"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lang w:val="ru-RU"/>
        </w:rPr>
        <w:t>в) хвъргало;</w:t>
      </w:r>
    </w:p>
    <w:p w14:paraId="4767FCDC"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г) бордови трап с ширина най-малко 0,40 </w:t>
      </w:r>
      <w:r w:rsidRPr="00F06DE2">
        <w:rPr>
          <w:rFonts w:ascii="Times New Roman" w:hAnsi="Times New Roman" w:cs="Times New Roman"/>
        </w:rPr>
        <w:t>m</w:t>
      </w:r>
      <w:r w:rsidRPr="00F06DE2">
        <w:rPr>
          <w:rFonts w:ascii="Times New Roman" w:hAnsi="Times New Roman" w:cs="Times New Roman"/>
          <w:lang w:val="ru-RU"/>
        </w:rPr>
        <w:t xml:space="preserve"> и дължина 4 </w:t>
      </w:r>
      <w:r w:rsidRPr="00F06DE2">
        <w:rPr>
          <w:rFonts w:ascii="Times New Roman" w:hAnsi="Times New Roman" w:cs="Times New Roman"/>
        </w:rPr>
        <w:t>m</w:t>
      </w:r>
      <w:r w:rsidRPr="00F06DE2">
        <w:rPr>
          <w:rFonts w:ascii="Times New Roman" w:hAnsi="Times New Roman" w:cs="Times New Roman"/>
          <w:lang w:val="ru-RU"/>
        </w:rPr>
        <w:t>, чиито странични краища са обозначени с ярко оцветена ивица; този трап е оборудван с леери. Контролният орган може да разреши по-къси трапове за малки плавателни съдове;</w:t>
      </w:r>
    </w:p>
    <w:p w14:paraId="7B5C4EB2" w14:textId="77777777" w:rsidR="00271FA2" w:rsidRPr="00F06DE2" w:rsidRDefault="00D35E51">
      <w:pPr>
        <w:pStyle w:val="ESlet"/>
        <w:spacing w:before="0"/>
        <w:ind w:hanging="425"/>
        <w:rPr>
          <w:rFonts w:ascii="Times New Roman" w:hAnsi="Times New Roman" w:cs="Times New Roman"/>
          <w:lang w:val="ru-RU"/>
        </w:rPr>
      </w:pPr>
      <w:r w:rsidRPr="00F06DE2">
        <w:rPr>
          <w:rFonts w:ascii="Times New Roman" w:hAnsi="Times New Roman" w:cs="Times New Roman"/>
          <w:lang w:val="ru-RU"/>
        </w:rPr>
        <w:t>д) канджа;</w:t>
      </w:r>
    </w:p>
    <w:p w14:paraId="1F440D82"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е) подходящ комплект за първа помощ със съдържание, което съответства на стандарта на държава членка. Комплектът за първа помощ се държи в каюта или в рулевата рубка и се съхранява, така че да бъде лесно и безопасно достъпен при необходимост. Ако комплектите за първа помощ се съхраняват под капак, същият се маркира със символа за комплект за първа помощ съгласно фигура 8 от Приложение 4, с дължина на страната не по-малко от 10 </w:t>
      </w:r>
      <w:r w:rsidRPr="00F06DE2">
        <w:rPr>
          <w:rFonts w:ascii="Times New Roman" w:hAnsi="Times New Roman" w:cs="Times New Roman"/>
        </w:rPr>
        <w:t>cm</w:t>
      </w:r>
      <w:r w:rsidRPr="00F06DE2">
        <w:rPr>
          <w:rFonts w:ascii="Times New Roman" w:hAnsi="Times New Roman" w:cs="Times New Roman"/>
          <w:lang w:val="ru-RU"/>
        </w:rPr>
        <w:t>;</w:t>
      </w:r>
    </w:p>
    <w:p w14:paraId="10C6FE09"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lang w:val="ru-RU"/>
        </w:rPr>
        <w:t>ж) бинокъл 7 × 50 или с по-голям диаметър на лещите;</w:t>
      </w:r>
    </w:p>
    <w:p w14:paraId="3D0C4F86"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lang w:val="ru-RU"/>
        </w:rPr>
        <w:t>з) табела с инструкции за спасяване и оказване на първа помощ на давещи се;</w:t>
      </w:r>
    </w:p>
    <w:p w14:paraId="1C53A09F" w14:textId="419C263A"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lang w:val="ru-RU"/>
        </w:rPr>
        <w:t xml:space="preserve">и) </w:t>
      </w:r>
      <w:r w:rsidR="001958EF" w:rsidRPr="00F06DE2">
        <w:rPr>
          <w:rFonts w:ascii="Times New Roman" w:hAnsi="Times New Roman" w:cs="Times New Roman"/>
          <w:lang w:val="ru-RU"/>
        </w:rPr>
        <w:t xml:space="preserve">прожектор, който може да се управлява от </w:t>
      </w:r>
      <w:r w:rsidR="00C242AF" w:rsidRPr="00F06DE2">
        <w:rPr>
          <w:rFonts w:ascii="Times New Roman" w:hAnsi="Times New Roman" w:cs="Times New Roman"/>
          <w:lang w:val="ru-RU"/>
        </w:rPr>
        <w:t xml:space="preserve"> </w:t>
      </w:r>
      <w:r w:rsidR="00441F40" w:rsidRPr="00F06DE2">
        <w:rPr>
          <w:rFonts w:ascii="Times New Roman" w:hAnsi="Times New Roman" w:cs="Times New Roman"/>
          <w:lang w:val="ru-RU"/>
        </w:rPr>
        <w:t>място на управление</w:t>
      </w:r>
    </w:p>
    <w:p w14:paraId="4F45BE8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Трябва да е налице стълба или подвижна стълба за качване на плавателните съдове, чиято странична височина над водолинията в ненатоварено състояние надвишава 1,50</w:t>
      </w:r>
      <w:r w:rsidRPr="00F06DE2">
        <w:rPr>
          <w:rFonts w:ascii="Times New Roman" w:hAnsi="Times New Roman" w:cs="Times New Roman"/>
        </w:rPr>
        <w:t> m</w:t>
      </w:r>
      <w:r w:rsidRPr="00F06DE2">
        <w:rPr>
          <w:rFonts w:ascii="Times New Roman" w:hAnsi="Times New Roman" w:cs="Times New Roman"/>
          <w:lang w:val="ru-RU"/>
        </w:rPr>
        <w:t>.</w:t>
      </w:r>
    </w:p>
    <w:p w14:paraId="41AB989D"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02" w:name="_Toc535827545"/>
      <w:bookmarkStart w:id="203" w:name="_Toc491854104"/>
      <w:r w:rsidRPr="00F06DE2">
        <w:rPr>
          <w:rFonts w:ascii="Times New Roman" w:hAnsi="Times New Roman" w:cs="Times New Roman"/>
          <w:sz w:val="24"/>
          <w:szCs w:val="24"/>
          <w:lang w:val="ru-RU"/>
        </w:rPr>
        <w:t>Член 13.03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Преносими пожарогасители</w:t>
      </w:r>
      <w:bookmarkEnd w:id="202"/>
      <w:bookmarkEnd w:id="203"/>
    </w:p>
    <w:p w14:paraId="6F0A88C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Трябва да е осигурен най-малко един преносим пожарогасител в съответствие с Европейски стандарти </w:t>
      </w:r>
      <w:r w:rsidRPr="00F06DE2">
        <w:rPr>
          <w:rFonts w:ascii="Times New Roman" w:hAnsi="Times New Roman" w:cs="Times New Roman"/>
        </w:rPr>
        <w:t>EN</w:t>
      </w:r>
      <w:r w:rsidRPr="00F06DE2">
        <w:rPr>
          <w:rFonts w:ascii="Times New Roman" w:hAnsi="Times New Roman" w:cs="Times New Roman"/>
          <w:lang w:val="ru-RU"/>
        </w:rPr>
        <w:t xml:space="preserve"> 3-7:2007 и </w:t>
      </w:r>
      <w:r w:rsidRPr="00F06DE2">
        <w:rPr>
          <w:rFonts w:ascii="Times New Roman" w:hAnsi="Times New Roman" w:cs="Times New Roman"/>
        </w:rPr>
        <w:t>EN</w:t>
      </w:r>
      <w:r w:rsidRPr="00F06DE2">
        <w:rPr>
          <w:rFonts w:ascii="Times New Roman" w:hAnsi="Times New Roman" w:cs="Times New Roman"/>
          <w:lang w:val="ru-RU"/>
        </w:rPr>
        <w:t xml:space="preserve"> 3-8:2021 на всяко от следните места:</w:t>
      </w:r>
    </w:p>
    <w:p w14:paraId="022D96DB"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в рулевата рубка;</w:t>
      </w:r>
    </w:p>
    <w:p w14:paraId="2A010655"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lastRenderedPageBreak/>
        <w:t>б) близо до всеки вход към жилищните помещения от палубата;</w:t>
      </w:r>
    </w:p>
    <w:p w14:paraId="045CBC42"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близо до всеки вход към обслужващите пространства, до които няма достъп от жилищните помещения и в които се помещават отоплителни, кухненски или хладилни устройства на твърдо или течно гориво, или втечнен газ;</w:t>
      </w:r>
    </w:p>
    <w:p w14:paraId="74AEDE21"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на всеки вход към машинните и котелните отделения;</w:t>
      </w:r>
    </w:p>
    <w:p w14:paraId="738C93FE"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д) на подходящи места под нивото на палубата в машинните и котелните отделения, така че всяка точка в помещението да е на не повече от 10 </w:t>
      </w:r>
      <w:r w:rsidRPr="00F06DE2">
        <w:rPr>
          <w:rFonts w:ascii="Times New Roman" w:hAnsi="Times New Roman" w:cs="Times New Roman"/>
        </w:rPr>
        <w:t>m</w:t>
      </w:r>
      <w:r w:rsidRPr="00F06DE2">
        <w:rPr>
          <w:rFonts w:ascii="Times New Roman" w:hAnsi="Times New Roman" w:cs="Times New Roman"/>
          <w:lang w:val="ru-RU"/>
        </w:rPr>
        <w:t xml:space="preserve"> извървяно разстояние от пожарогасител.</w:t>
      </w:r>
    </w:p>
    <w:p w14:paraId="731668C9" w14:textId="77777777" w:rsidR="00271FA2" w:rsidRPr="00F06DE2" w:rsidRDefault="00D35E51" w:rsidP="00991E47">
      <w:pPr>
        <w:spacing w:line="240" w:lineRule="atLeast"/>
        <w:ind w:left="519" w:hangingChars="236" w:hanging="519"/>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color w:val="FF0000"/>
          <w:lang w:val="ru-RU"/>
        </w:rPr>
        <w:tab/>
      </w:r>
      <w:r w:rsidRPr="00F06DE2">
        <w:rPr>
          <w:rFonts w:ascii="Times New Roman" w:hAnsi="Times New Roman" w:cs="Times New Roman"/>
          <w:lang w:val="ru-RU"/>
        </w:rPr>
        <w:t xml:space="preserve">За преносимите пожарогасители, изисквани съгласно точка 1, могат да се използват само прахови пожарогасители със съдържание най-малко 6 </w:t>
      </w:r>
      <w:r w:rsidRPr="00F06DE2">
        <w:rPr>
          <w:rFonts w:ascii="Times New Roman" w:hAnsi="Times New Roman" w:cs="Times New Roman"/>
        </w:rPr>
        <w:t>kg</w:t>
      </w:r>
      <w:r w:rsidRPr="00F06DE2">
        <w:rPr>
          <w:rFonts w:ascii="Times New Roman" w:hAnsi="Times New Roman" w:cs="Times New Roman"/>
          <w:lang w:val="ru-RU"/>
        </w:rPr>
        <w:t xml:space="preserve"> или други преносими пожарогасители със същия пожарогасителен капацитет. Те трябва да са подходящи за пожари от клас </w:t>
      </w:r>
      <w:r w:rsidRPr="00F06DE2">
        <w:rPr>
          <w:rFonts w:ascii="Times New Roman" w:hAnsi="Times New Roman" w:cs="Times New Roman"/>
        </w:rPr>
        <w:t>A</w:t>
      </w:r>
      <w:r w:rsidRPr="00F06DE2">
        <w:rPr>
          <w:rFonts w:ascii="Times New Roman" w:hAnsi="Times New Roman" w:cs="Times New Roman"/>
          <w:lang w:val="ru-RU"/>
        </w:rPr>
        <w:t xml:space="preserve">, </w:t>
      </w:r>
      <w:r w:rsidRPr="00F06DE2">
        <w:rPr>
          <w:rFonts w:ascii="Times New Roman" w:hAnsi="Times New Roman" w:cs="Times New Roman"/>
        </w:rPr>
        <w:t>B</w:t>
      </w:r>
      <w:r w:rsidRPr="00F06DE2">
        <w:rPr>
          <w:rFonts w:ascii="Times New Roman" w:hAnsi="Times New Roman" w:cs="Times New Roman"/>
          <w:lang w:val="ru-RU"/>
        </w:rPr>
        <w:t xml:space="preserve"> и </w:t>
      </w:r>
      <w:r w:rsidRPr="00F06DE2">
        <w:rPr>
          <w:rFonts w:ascii="Times New Roman" w:hAnsi="Times New Roman" w:cs="Times New Roman"/>
        </w:rPr>
        <w:t>C</w:t>
      </w:r>
      <w:r w:rsidRPr="00F06DE2">
        <w:rPr>
          <w:rFonts w:ascii="Times New Roman" w:hAnsi="Times New Roman" w:cs="Times New Roman"/>
          <w:lang w:val="ru-RU"/>
        </w:rPr>
        <w:t>. Чрез дерогация за плавателни съдове без инсталации за втечнен газ, пожарогасителите с пяна, използващи водна филмообразуваща пяна (</w:t>
      </w:r>
      <w:r w:rsidRPr="00F06DE2">
        <w:rPr>
          <w:rFonts w:ascii="Times New Roman" w:hAnsi="Times New Roman" w:cs="Times New Roman"/>
        </w:rPr>
        <w:t>AFFF</w:t>
      </w:r>
      <w:r w:rsidRPr="00F06DE2">
        <w:rPr>
          <w:rFonts w:ascii="Times New Roman" w:hAnsi="Times New Roman" w:cs="Times New Roman"/>
          <w:lang w:val="ru-RU"/>
        </w:rPr>
        <w:t>), устойчиви на замръзване до -20 °</w:t>
      </w:r>
      <w:r w:rsidRPr="00F06DE2">
        <w:rPr>
          <w:rFonts w:ascii="Times New Roman" w:hAnsi="Times New Roman" w:cs="Times New Roman"/>
        </w:rPr>
        <w:t>C</w:t>
      </w:r>
      <w:r w:rsidRPr="00F06DE2">
        <w:rPr>
          <w:rFonts w:ascii="Times New Roman" w:hAnsi="Times New Roman" w:cs="Times New Roman"/>
          <w:lang w:val="ru-RU"/>
        </w:rPr>
        <w:t xml:space="preserve">, са допустими, дори ако не са подходящи за пожари от клас </w:t>
      </w:r>
      <w:r w:rsidRPr="00F06DE2">
        <w:rPr>
          <w:rFonts w:ascii="Times New Roman" w:hAnsi="Times New Roman" w:cs="Times New Roman"/>
        </w:rPr>
        <w:t>C</w:t>
      </w:r>
      <w:r w:rsidRPr="00F06DE2">
        <w:rPr>
          <w:rFonts w:ascii="Times New Roman" w:hAnsi="Times New Roman" w:cs="Times New Roman"/>
          <w:lang w:val="ru-RU"/>
        </w:rPr>
        <w:t>. Тези пожарогасители трябва да имат минимален капацитет от 9 литра.</w:t>
      </w:r>
    </w:p>
    <w:p w14:paraId="3DBEEE6A" w14:textId="77777777" w:rsidR="00271FA2" w:rsidRPr="00F06DE2" w:rsidRDefault="00D35E51" w:rsidP="00991E47">
      <w:pPr>
        <w:spacing w:line="240" w:lineRule="atLeast"/>
        <w:ind w:left="566"/>
        <w:jc w:val="both"/>
        <w:rPr>
          <w:rFonts w:ascii="Times New Roman" w:hAnsi="Times New Roman" w:cs="Times New Roman"/>
          <w:lang w:val="ru-RU"/>
        </w:rPr>
      </w:pPr>
      <w:r w:rsidRPr="00F06DE2">
        <w:rPr>
          <w:rFonts w:ascii="Times New Roman" w:hAnsi="Times New Roman" w:cs="Times New Roman"/>
          <w:lang w:val="ru-RU"/>
        </w:rPr>
        <w:t xml:space="preserve">В помещения, където има вероятност да възникнат пожари, включващи растителни или животински масла и мазнини контролният орган може да изисква един или повече преносими пожарогасители, подходящи за гасене на пожари от клас </w:t>
      </w:r>
      <w:r w:rsidRPr="00F06DE2">
        <w:rPr>
          <w:rFonts w:ascii="Times New Roman" w:hAnsi="Times New Roman" w:cs="Times New Roman"/>
        </w:rPr>
        <w:t>F</w:t>
      </w:r>
      <w:r w:rsidRPr="00F06DE2">
        <w:rPr>
          <w:rFonts w:ascii="Times New Roman" w:hAnsi="Times New Roman" w:cs="Times New Roman"/>
          <w:lang w:val="ru-RU"/>
        </w:rPr>
        <w:t>. Такива преносими пожарогасители се вписват в точка 52 от Корабното удостоверение за вътрешно корабоплаване.</w:t>
      </w:r>
    </w:p>
    <w:p w14:paraId="60CD3B09" w14:textId="77777777" w:rsidR="00271FA2" w:rsidRPr="00F06DE2" w:rsidRDefault="00D35E51" w:rsidP="00991E47">
      <w:pPr>
        <w:spacing w:line="240" w:lineRule="atLeast"/>
        <w:ind w:left="567" w:hanging="1"/>
        <w:jc w:val="both"/>
        <w:rPr>
          <w:rFonts w:ascii="Times New Roman" w:hAnsi="Times New Roman" w:cs="Times New Roman"/>
          <w:lang w:val="ru-RU"/>
        </w:rPr>
      </w:pPr>
      <w:r w:rsidRPr="00F06DE2">
        <w:rPr>
          <w:rFonts w:ascii="Times New Roman" w:hAnsi="Times New Roman" w:cs="Times New Roman"/>
          <w:lang w:val="ru-RU"/>
        </w:rPr>
        <w:t xml:space="preserve">Всички пожарогасители трябва да са подходящи за гасене на пожари в електрически системи до 1000 </w:t>
      </w:r>
      <w:r w:rsidRPr="00F06DE2">
        <w:rPr>
          <w:rFonts w:ascii="Times New Roman" w:hAnsi="Times New Roman" w:cs="Times New Roman"/>
        </w:rPr>
        <w:t>V</w:t>
      </w:r>
      <w:r w:rsidRPr="00F06DE2">
        <w:rPr>
          <w:rFonts w:ascii="Times New Roman" w:hAnsi="Times New Roman" w:cs="Times New Roman"/>
          <w:lang w:val="ru-RU"/>
        </w:rPr>
        <w:t>.</w:t>
      </w:r>
    </w:p>
    <w:p w14:paraId="3C5EC301" w14:textId="77777777" w:rsidR="00271FA2" w:rsidRPr="00F06DE2" w:rsidRDefault="00D35E51" w:rsidP="00FE0C02">
      <w:pPr>
        <w:pStyle w:val="ListParagraph"/>
        <w:numPr>
          <w:ilvl w:val="1"/>
          <w:numId w:val="19"/>
        </w:numPr>
        <w:spacing w:line="240" w:lineRule="atLeast"/>
        <w:ind w:left="521" w:hangingChars="237" w:hanging="521"/>
        <w:jc w:val="both"/>
        <w:rPr>
          <w:rFonts w:ascii="Times New Roman" w:hAnsi="Times New Roman" w:cs="Times New Roman"/>
          <w:lang w:val="ru-RU"/>
        </w:rPr>
      </w:pPr>
      <w:r w:rsidRPr="00F06DE2">
        <w:rPr>
          <w:rFonts w:ascii="Times New Roman" w:hAnsi="Times New Roman" w:cs="Times New Roman"/>
          <w:lang w:val="ru-RU"/>
        </w:rPr>
        <w:t>В допълнение могат да се използват пожарогасители с прах, вода или пяна, които са подходящи поне за класа на пожар, който е най-вероятно да възникне в помещението, за което са предназначени.</w:t>
      </w:r>
    </w:p>
    <w:p w14:paraId="1A6BC513" w14:textId="77777777" w:rsidR="00271FA2" w:rsidRPr="00F06DE2" w:rsidRDefault="00D35E51" w:rsidP="00FE0C02">
      <w:pPr>
        <w:pStyle w:val="ListParagraph"/>
        <w:numPr>
          <w:ilvl w:val="1"/>
          <w:numId w:val="19"/>
        </w:numPr>
        <w:spacing w:line="240" w:lineRule="atLeast"/>
        <w:ind w:left="521" w:hangingChars="237" w:hanging="521"/>
        <w:jc w:val="both"/>
        <w:rPr>
          <w:rFonts w:ascii="Times New Roman" w:hAnsi="Times New Roman" w:cs="Times New Roman"/>
          <w:lang w:val="ru-RU"/>
        </w:rPr>
      </w:pPr>
      <w:r w:rsidRPr="00F06DE2">
        <w:rPr>
          <w:rFonts w:ascii="Times New Roman" w:hAnsi="Times New Roman" w:cs="Times New Roman"/>
          <w:lang w:val="ru-RU"/>
        </w:rPr>
        <w:t xml:space="preserve">Преносимите пожарогасители с </w:t>
      </w:r>
      <w:r w:rsidRPr="00F06DE2">
        <w:rPr>
          <w:rFonts w:ascii="Times New Roman" w:hAnsi="Times New Roman" w:cs="Times New Roman"/>
        </w:rPr>
        <w:t>CO</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като гасителен агент могат да се използват само за гасене на пожари в камбузи и електрически инсталации. Съдържанието на тези пожарогасители трябва да бъде не повече от 1 </w:t>
      </w:r>
      <w:r w:rsidRPr="00F06DE2">
        <w:rPr>
          <w:rFonts w:ascii="Times New Roman" w:hAnsi="Times New Roman" w:cs="Times New Roman"/>
        </w:rPr>
        <w:t>kg</w:t>
      </w:r>
      <w:r w:rsidRPr="00F06DE2">
        <w:rPr>
          <w:rFonts w:ascii="Times New Roman" w:hAnsi="Times New Roman" w:cs="Times New Roman"/>
          <w:lang w:val="ru-RU"/>
        </w:rPr>
        <w:t xml:space="preserve"> на 15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xml:space="preserve"> от помещението, в което са предоставени за употреба.</w:t>
      </w:r>
    </w:p>
    <w:p w14:paraId="337416DC" w14:textId="77777777" w:rsidR="00271FA2" w:rsidRPr="00F06DE2" w:rsidRDefault="00D35E51" w:rsidP="00FE0C02">
      <w:pPr>
        <w:pStyle w:val="ESch"/>
        <w:ind w:left="521" w:hangingChars="237" w:hanging="521"/>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Преносимите пожарогасители се проверяват най-малкото веднъж на две години от компетентно лице. Етикет от проверката, подписан от компетентното лице и съдържащ датата на проверката, се поставя върху пожарогасителя.</w:t>
      </w:r>
    </w:p>
    <w:p w14:paraId="079DCF2A" w14:textId="77777777" w:rsidR="00271FA2" w:rsidRPr="00F06DE2" w:rsidRDefault="00D35E51" w:rsidP="00FE0C02">
      <w:pPr>
        <w:pStyle w:val="ESch"/>
        <w:ind w:left="521" w:hangingChars="237" w:hanging="521"/>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Ако преносимите пожарогасители са монтирани по такъв начин, че да не се виждат панелът, който ги закрива, се маркира със символа за пожарогасител съгласно фигура 3 от Приложение 4, с дължина на страната не по-малко от 10 с</w:t>
      </w:r>
      <w:r w:rsidRPr="00F06DE2">
        <w:rPr>
          <w:rFonts w:ascii="Times New Roman" w:hAnsi="Times New Roman" w:cs="Times New Roman"/>
        </w:rPr>
        <w:t>m</w:t>
      </w:r>
      <w:r w:rsidRPr="00F06DE2">
        <w:rPr>
          <w:rFonts w:ascii="Times New Roman" w:hAnsi="Times New Roman" w:cs="Times New Roman"/>
          <w:lang w:val="ru-RU"/>
        </w:rPr>
        <w:t>.</w:t>
      </w:r>
    </w:p>
    <w:p w14:paraId="5AC66AE7" w14:textId="77777777" w:rsidR="00991E47" w:rsidRPr="00F06DE2" w:rsidRDefault="00991E47">
      <w:pPr>
        <w:pStyle w:val="ES-Titre3"/>
        <w:spacing w:line="240" w:lineRule="atLeast"/>
        <w:rPr>
          <w:rFonts w:ascii="Times New Roman" w:hAnsi="Times New Roman" w:cs="Times New Roman"/>
          <w:sz w:val="24"/>
          <w:szCs w:val="24"/>
          <w:lang w:val="ru-RU"/>
        </w:rPr>
      </w:pPr>
      <w:bookmarkStart w:id="204" w:name="_Toc535827546"/>
      <w:bookmarkStart w:id="205" w:name="_Toc491854105"/>
    </w:p>
    <w:p w14:paraId="4C213E8C" w14:textId="0D6E47D5"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13.04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Постоянно монтирани противопожарни системи за защита на жилищни помещения, рулеви рубки и помещения за пътници</w:t>
      </w:r>
      <w:bookmarkEnd w:id="204"/>
      <w:bookmarkEnd w:id="205"/>
    </w:p>
    <w:p w14:paraId="326954DB"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За защитата на жилищните пространства, рулевите рубки и помещенията за пътници като неподвижно монтирани противопожарни системи се приемат само подходящи автоматични спринклерни системи за вода под налягане.</w:t>
      </w:r>
    </w:p>
    <w:p w14:paraId="0DE920CA"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Монтирането или преустрояването на системите се извършва само от специализирани фирми.</w:t>
      </w:r>
    </w:p>
    <w:p w14:paraId="439BA6F2"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Системите се изработват от стомана или равностойни негорими материали.</w:t>
      </w:r>
    </w:p>
    <w:p w14:paraId="45606948"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Системите трябва да могат да разпръскват вода с дебит най-малко от 5</w:t>
      </w:r>
      <w:r w:rsidRPr="00F06DE2">
        <w:rPr>
          <w:rFonts w:ascii="Times New Roman" w:hAnsi="Times New Roman" w:cs="Times New Roman"/>
        </w:rPr>
        <w:t> l</w:t>
      </w:r>
      <w:r w:rsidRPr="00F06DE2">
        <w:rPr>
          <w:rFonts w:ascii="Times New Roman" w:hAnsi="Times New Roman" w:cs="Times New Roman"/>
          <w:lang w:val="ru-RU"/>
        </w:rPr>
        <w:t>/</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в минута върху площта на най-голямото помещение, подлежащо на защита.</w:t>
      </w:r>
    </w:p>
    <w:p w14:paraId="1EB3C10E"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lastRenderedPageBreak/>
        <w:t>5.</w:t>
      </w:r>
      <w:r w:rsidRPr="00F06DE2">
        <w:rPr>
          <w:rFonts w:ascii="Times New Roman" w:hAnsi="Times New Roman" w:cs="Times New Roman"/>
          <w:lang w:val="ru-RU"/>
        </w:rPr>
        <w:tab/>
        <w:t>Системи, разпръскващи по-малки количества вода, трябва да имат одобрение на типа съгласно Резолюция А.800 (19)</w:t>
      </w:r>
      <w:r w:rsidRPr="00F06DE2">
        <w:rPr>
          <w:rStyle w:val="FootnoteReference"/>
          <w:rFonts w:ascii="Times New Roman" w:hAnsi="Times New Roman" w:cs="Times New Roman"/>
        </w:rPr>
        <w:footnoteReference w:id="4"/>
      </w:r>
      <w:r w:rsidRPr="00F06DE2">
        <w:rPr>
          <w:rFonts w:ascii="Times New Roman" w:hAnsi="Times New Roman" w:cs="Times New Roman"/>
          <w:lang w:val="ru-RU"/>
        </w:rPr>
        <w:t xml:space="preserve"> на ИМО или друг стандарт, признат от една от държавите членки. Одобряването на типа се извърша от призната класификационна организация или акредитирана институция за изпитвания. Акредитираната институция за изпитвания спазва </w:t>
      </w:r>
      <w:r w:rsidRPr="00F06DE2">
        <w:rPr>
          <w:rFonts w:ascii="Times New Roman" w:hAnsi="Times New Roman" w:cs="Times New Roman"/>
        </w:rPr>
        <w:t>E</w:t>
      </w:r>
      <w:r w:rsidRPr="00F06DE2">
        <w:rPr>
          <w:rFonts w:ascii="Times New Roman" w:hAnsi="Times New Roman" w:cs="Times New Roman"/>
          <w:lang w:val="ru-RU"/>
        </w:rPr>
        <w:t xml:space="preserve">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w:t>
      </w:r>
      <w:r w:rsidRPr="00F06DE2">
        <w:rPr>
          <w:rFonts w:ascii="Times New Roman" w:hAnsi="Times New Roman" w:cs="Times New Roman"/>
        </w:rPr>
        <w:t>ISO</w:t>
      </w:r>
      <w:r w:rsidRPr="00F06DE2">
        <w:rPr>
          <w:rFonts w:ascii="Times New Roman" w:hAnsi="Times New Roman" w:cs="Times New Roman"/>
          <w:lang w:val="ru-RU"/>
        </w:rPr>
        <w:t>/</w:t>
      </w:r>
      <w:r w:rsidRPr="00F06DE2">
        <w:rPr>
          <w:rFonts w:ascii="Times New Roman" w:hAnsi="Times New Roman" w:cs="Times New Roman"/>
        </w:rPr>
        <w:t>IEC</w:t>
      </w:r>
      <w:r w:rsidRPr="00F06DE2">
        <w:rPr>
          <w:rFonts w:ascii="Times New Roman" w:hAnsi="Times New Roman" w:cs="Times New Roman"/>
          <w:lang w:val="ru-RU"/>
        </w:rPr>
        <w:t xml:space="preserve"> 17025:2017.</w:t>
      </w:r>
    </w:p>
    <w:p w14:paraId="7101FE04"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Системите трябва да се проверяват от експерт:</w:t>
      </w:r>
    </w:p>
    <w:p w14:paraId="747AC7AD"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преди първоначално пускане в експлоатация;</w:t>
      </w:r>
    </w:p>
    <w:p w14:paraId="254B2B2A"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преди повторно пускане в експлоатация, след като са били задействани;</w:t>
      </w:r>
    </w:p>
    <w:p w14:paraId="4FC3B2B6"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преди повторно пускане в експлоатация след всяко по-съществено изменение или ремонт; и</w:t>
      </w:r>
    </w:p>
    <w:p w14:paraId="21ABE2C2"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редовно, най-малко на всеки две години.</w:t>
      </w:r>
    </w:p>
    <w:p w14:paraId="5A2702DE" w14:textId="77777777" w:rsidR="00271FA2" w:rsidRPr="00F06DE2" w:rsidRDefault="00D35E51" w:rsidP="00991E47">
      <w:pPr>
        <w:pStyle w:val="ESchpar"/>
        <w:jc w:val="both"/>
        <w:rPr>
          <w:rFonts w:ascii="Times New Roman" w:hAnsi="Times New Roman" w:cs="Times New Roman"/>
          <w:lang w:val="ru-RU"/>
        </w:rPr>
      </w:pPr>
      <w:r w:rsidRPr="00F06DE2">
        <w:rPr>
          <w:rFonts w:ascii="Times New Roman" w:hAnsi="Times New Roman" w:cs="Times New Roman"/>
          <w:lang w:val="ru-RU"/>
        </w:rPr>
        <w:t>Проверките, посочени в буква “г”, могат да бъдат извършвани от компетентно лице от компетентна фирма, специализирана в пожарогасителни системи.</w:t>
      </w:r>
    </w:p>
    <w:p w14:paraId="25A5E90C" w14:textId="77777777" w:rsidR="00271FA2" w:rsidRPr="00F06DE2" w:rsidRDefault="00D35E51" w:rsidP="00991E47">
      <w:pPr>
        <w:pStyle w:val="ESch"/>
        <w:ind w:hanging="426"/>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При извършване на проверката в съответствие с точка 6, експертът или компетентното лице проверява дали системите отговарят на изискванията на настоящия член.</w:t>
      </w:r>
    </w:p>
    <w:p w14:paraId="68EA4880" w14:textId="77777777" w:rsidR="00271FA2" w:rsidRPr="00F06DE2" w:rsidRDefault="00D35E51" w:rsidP="00991E47">
      <w:pPr>
        <w:pStyle w:val="ESchpar"/>
        <w:jc w:val="both"/>
        <w:rPr>
          <w:rFonts w:ascii="Times New Roman" w:hAnsi="Times New Roman" w:cs="Times New Roman"/>
          <w:lang w:val="ru-RU"/>
        </w:rPr>
      </w:pPr>
      <w:r w:rsidRPr="00F06DE2">
        <w:rPr>
          <w:rFonts w:ascii="Times New Roman" w:hAnsi="Times New Roman" w:cs="Times New Roman"/>
          <w:lang w:val="ru-RU"/>
        </w:rPr>
        <w:t>Проверката включва като минимум:</w:t>
      </w:r>
    </w:p>
    <w:p w14:paraId="7EEC39DA"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външен оглед на цялата система;</w:t>
      </w:r>
    </w:p>
    <w:p w14:paraId="47745ADA"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функционално изпитване на системите за безопасност и дюзите;</w:t>
      </w:r>
    </w:p>
    <w:p w14:paraId="55CE445F"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функционално изпитване на резервоарите под налягане и помпената система.</w:t>
      </w:r>
    </w:p>
    <w:p w14:paraId="6521CEEB" w14:textId="77777777" w:rsidR="00271FA2" w:rsidRPr="00F06DE2" w:rsidRDefault="00D35E51">
      <w:pPr>
        <w:pStyle w:val="ESch"/>
        <w:ind w:left="426" w:hanging="426"/>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Издава се удостоверение за проверката, подписано от експерта или компетентното лице и посочващо датата на проверката.</w:t>
      </w:r>
    </w:p>
    <w:p w14:paraId="5D0C087A" w14:textId="77777777" w:rsidR="00271FA2" w:rsidRPr="00F06DE2" w:rsidRDefault="00D35E51">
      <w:pPr>
        <w:pStyle w:val="ESch"/>
        <w:ind w:left="426" w:hanging="426"/>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Броят на монтираните системи се записва в Корабното удостоверение за вътрешно корабоплаване.</w:t>
      </w:r>
    </w:p>
    <w:p w14:paraId="31AE1ADF"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06" w:name="_Toc535827547"/>
      <w:bookmarkStart w:id="207" w:name="_Toc491854106"/>
      <w:r w:rsidRPr="00F06DE2">
        <w:rPr>
          <w:rFonts w:ascii="Times New Roman" w:hAnsi="Times New Roman" w:cs="Times New Roman"/>
          <w:sz w:val="24"/>
          <w:szCs w:val="24"/>
          <w:lang w:val="ru-RU"/>
        </w:rPr>
        <w:t>Член 13.05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Постоянно монтирани противопожарни системи за защита на машинните, котелните и помпените отделения</w:t>
      </w:r>
      <w:bookmarkEnd w:id="206"/>
      <w:bookmarkEnd w:id="207"/>
    </w:p>
    <w:p w14:paraId="7F499BB9"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Пожарогасителни агенти</w:t>
      </w:r>
    </w:p>
    <w:p w14:paraId="45E809AF" w14:textId="77777777" w:rsidR="00271FA2" w:rsidRPr="00F06DE2" w:rsidRDefault="00D35E51" w:rsidP="00991E47">
      <w:pPr>
        <w:pStyle w:val="ESchpar"/>
        <w:jc w:val="both"/>
        <w:rPr>
          <w:rFonts w:ascii="Times New Roman" w:hAnsi="Times New Roman" w:cs="Times New Roman"/>
          <w:lang w:val="ru-RU"/>
        </w:rPr>
      </w:pPr>
      <w:r w:rsidRPr="00F06DE2">
        <w:rPr>
          <w:rFonts w:ascii="Times New Roman" w:hAnsi="Times New Roman" w:cs="Times New Roman"/>
          <w:lang w:val="ru-RU"/>
        </w:rPr>
        <w:t>За защита на машинни отделения, котелни отделения и помпени отделения могат да се използват следните пожарогасителни агенти в неподвижно монтирани противопожарни системи:</w:t>
      </w:r>
    </w:p>
    <w:p w14:paraId="71C8539D"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w:t>
      </w:r>
      <w:r w:rsidRPr="00F06DE2">
        <w:rPr>
          <w:rFonts w:ascii="Times New Roman" w:hAnsi="Times New Roman" w:cs="Times New Roman"/>
        </w:rPr>
        <w:t>CO</w:t>
      </w:r>
      <w:r w:rsidRPr="00F06DE2">
        <w:rPr>
          <w:rFonts w:ascii="Times New Roman" w:hAnsi="Times New Roman" w:cs="Times New Roman"/>
          <w:vertAlign w:val="subscript"/>
          <w:lang w:val="ru-RU"/>
        </w:rPr>
        <w:t xml:space="preserve">2 </w:t>
      </w:r>
      <w:r w:rsidRPr="00F06DE2">
        <w:rPr>
          <w:rFonts w:ascii="Times New Roman" w:hAnsi="Times New Roman" w:cs="Times New Roman"/>
          <w:lang w:val="ru-RU"/>
        </w:rPr>
        <w:t>(въглероден диоксид);</w:t>
      </w:r>
    </w:p>
    <w:p w14:paraId="2D3CB475"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w:t>
      </w:r>
      <w:r w:rsidRPr="00F06DE2">
        <w:rPr>
          <w:rFonts w:ascii="Times New Roman" w:hAnsi="Times New Roman" w:cs="Times New Roman"/>
        </w:rPr>
        <w:t>HFC</w:t>
      </w:r>
      <w:r w:rsidRPr="00F06DE2">
        <w:rPr>
          <w:rFonts w:ascii="Times New Roman" w:hAnsi="Times New Roman" w:cs="Times New Roman"/>
          <w:lang w:val="ru-RU"/>
        </w:rPr>
        <w:t xml:space="preserve"> 227 еа (хептафлуорпропан);</w:t>
      </w:r>
    </w:p>
    <w:p w14:paraId="0CE3C140"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w:t>
      </w:r>
      <w:r w:rsidRPr="00F06DE2">
        <w:rPr>
          <w:rFonts w:ascii="Times New Roman" w:hAnsi="Times New Roman" w:cs="Times New Roman"/>
        </w:rPr>
        <w:t>IG</w:t>
      </w:r>
      <w:r w:rsidRPr="00F06DE2">
        <w:rPr>
          <w:rFonts w:ascii="Times New Roman" w:hAnsi="Times New Roman" w:cs="Times New Roman"/>
          <w:lang w:val="ru-RU"/>
        </w:rPr>
        <w:t>-541 (52</w:t>
      </w:r>
      <w:r w:rsidRPr="00F06DE2">
        <w:rPr>
          <w:rFonts w:ascii="Times New Roman" w:hAnsi="Times New Roman" w:cs="Times New Roman"/>
        </w:rPr>
        <w:t> </w:t>
      </w:r>
      <w:r w:rsidRPr="00F06DE2">
        <w:rPr>
          <w:rFonts w:ascii="Times New Roman" w:hAnsi="Times New Roman" w:cs="Times New Roman"/>
          <w:lang w:val="ru-RU"/>
        </w:rPr>
        <w:t>% азот, 40</w:t>
      </w:r>
      <w:r w:rsidRPr="00F06DE2">
        <w:rPr>
          <w:rFonts w:ascii="Times New Roman" w:hAnsi="Times New Roman" w:cs="Times New Roman"/>
        </w:rPr>
        <w:t> </w:t>
      </w:r>
      <w:r w:rsidRPr="00F06DE2">
        <w:rPr>
          <w:rFonts w:ascii="Times New Roman" w:hAnsi="Times New Roman" w:cs="Times New Roman"/>
          <w:lang w:val="ru-RU"/>
        </w:rPr>
        <w:t>% аргон, 8</w:t>
      </w:r>
      <w:r w:rsidRPr="00F06DE2">
        <w:rPr>
          <w:rFonts w:ascii="Times New Roman" w:hAnsi="Times New Roman" w:cs="Times New Roman"/>
        </w:rPr>
        <w:t> </w:t>
      </w:r>
      <w:r w:rsidRPr="00F06DE2">
        <w:rPr>
          <w:rFonts w:ascii="Times New Roman" w:hAnsi="Times New Roman" w:cs="Times New Roman"/>
          <w:lang w:val="ru-RU"/>
        </w:rPr>
        <w:t>% въглероден двуокис);</w:t>
      </w:r>
    </w:p>
    <w:p w14:paraId="18797870"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г) </w:t>
      </w:r>
      <w:r w:rsidRPr="00F06DE2">
        <w:rPr>
          <w:rFonts w:ascii="Times New Roman" w:hAnsi="Times New Roman" w:cs="Times New Roman"/>
        </w:rPr>
        <w:t>FK</w:t>
      </w:r>
      <w:r w:rsidRPr="00F06DE2">
        <w:rPr>
          <w:rFonts w:ascii="Times New Roman" w:hAnsi="Times New Roman" w:cs="Times New Roman"/>
          <w:lang w:val="ru-RU"/>
        </w:rPr>
        <w:t>-5-1-12 (додекафлуоро-2-метилпентан-3-он);</w:t>
      </w:r>
    </w:p>
    <w:p w14:paraId="070E1F68"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д) </w:t>
      </w:r>
      <w:r w:rsidRPr="00F06DE2">
        <w:rPr>
          <w:rFonts w:ascii="Times New Roman" w:hAnsi="Times New Roman" w:cs="Times New Roman"/>
        </w:rPr>
        <w:t>H</w:t>
      </w:r>
      <w:r w:rsidRPr="00F06DE2">
        <w:rPr>
          <w:rFonts w:ascii="Times New Roman" w:hAnsi="Times New Roman" w:cs="Times New Roman"/>
          <w:vertAlign w:val="subscript"/>
          <w:lang w:val="ru-RU"/>
        </w:rPr>
        <w:t>2</w:t>
      </w:r>
      <w:r w:rsidRPr="00F06DE2">
        <w:rPr>
          <w:rFonts w:ascii="Times New Roman" w:hAnsi="Times New Roman" w:cs="Times New Roman"/>
        </w:rPr>
        <w:t>O</w:t>
      </w:r>
      <w:r w:rsidRPr="00F06DE2">
        <w:rPr>
          <w:rFonts w:ascii="Times New Roman" w:hAnsi="Times New Roman" w:cs="Times New Roman"/>
          <w:lang w:val="ru-RU"/>
        </w:rPr>
        <w:t xml:space="preserve"> (вода);</w:t>
      </w:r>
    </w:p>
    <w:p w14:paraId="43D78D88"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е) </w:t>
      </w:r>
      <w:r w:rsidRPr="00F06DE2">
        <w:rPr>
          <w:rFonts w:ascii="Times New Roman" w:hAnsi="Times New Roman" w:cs="Times New Roman"/>
        </w:rPr>
        <w:t>K</w:t>
      </w:r>
      <w:r w:rsidRPr="00F06DE2">
        <w:rPr>
          <w:rFonts w:ascii="Times New Roman" w:hAnsi="Times New Roman" w:cs="Times New Roman"/>
          <w:vertAlign w:val="subscript"/>
          <w:lang w:val="ru-RU"/>
        </w:rPr>
        <w:t>2</w:t>
      </w:r>
      <w:r w:rsidRPr="00F06DE2">
        <w:rPr>
          <w:rFonts w:ascii="Times New Roman" w:hAnsi="Times New Roman" w:cs="Times New Roman"/>
        </w:rPr>
        <w:t>CO</w:t>
      </w:r>
      <w:r w:rsidRPr="00F06DE2">
        <w:rPr>
          <w:rFonts w:ascii="Times New Roman" w:hAnsi="Times New Roman" w:cs="Times New Roman"/>
          <w:vertAlign w:val="subscript"/>
          <w:lang w:val="ru-RU"/>
        </w:rPr>
        <w:t>3</w:t>
      </w:r>
      <w:r w:rsidRPr="00F06DE2">
        <w:rPr>
          <w:rFonts w:ascii="Times New Roman" w:hAnsi="Times New Roman" w:cs="Times New Roman"/>
          <w:lang w:val="ru-RU"/>
        </w:rPr>
        <w:t xml:space="preserve"> (калиев карбонат).</w:t>
      </w:r>
    </w:p>
    <w:p w14:paraId="3F5D6F73"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Вентилация, засмукване на въздух:</w:t>
      </w:r>
    </w:p>
    <w:p w14:paraId="7E896ED5"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Въздухът за горене за задвижващите двигатели не трябва да се взема от помещения, които трябва да бъдат защитени с неподвижно монтирани противопожарни системи. Това не важи, когато са налице две отделни независими и херметично отделени главни машинни отделения или </w:t>
      </w:r>
      <w:r w:rsidRPr="00F06DE2">
        <w:rPr>
          <w:rFonts w:ascii="Times New Roman" w:hAnsi="Times New Roman" w:cs="Times New Roman"/>
          <w:lang w:val="ru-RU"/>
        </w:rPr>
        <w:lastRenderedPageBreak/>
        <w:t>ако освен главното машинно отделение има отделно машинно отделение за носовото подрулващо устройство, което да осигурява способност на плавателния съд да остане управляем на собствен ход в случай на пожар в главното машинно отделение;</w:t>
      </w:r>
    </w:p>
    <w:p w14:paraId="796DDC55"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Принудителната вентилация в защитеното помещение се изключва автоматично, ако противопожарната система се задейства;</w:t>
      </w:r>
    </w:p>
    <w:p w14:paraId="06AAABEF"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Трябва да има налице устройства, чрез които всички отвори, откъдето може да проникне въздух или да се изпусне газ от защитеното помещение, да могат да бъдат бързо затваряни. Трябва да може ясно да се установява дали те са отворени или затворени;</w:t>
      </w:r>
    </w:p>
    <w:p w14:paraId="5C929776"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Въздухът, който излиза от предпазните изпускателни клапани на съдовете за сгъстен въздух, монтирани в машинните отделения, трябва да се извежда навън в атмосферата;</w:t>
      </w:r>
    </w:p>
    <w:p w14:paraId="7EC96713"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Свръхналягането или разреждането, възникващи от притока на пожарогасителни агенти, не трябва да разрушават елементите на околните прегради в защитеното помещение. Трябва да е възможно налягането да се изравнява безопасно;</w:t>
      </w:r>
    </w:p>
    <w:p w14:paraId="0F84429C"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 Защитените помещения трябва да разполагат със средства за отвеждане на пожарогасителния агент и газовете от пожара. Трябва да е възможно тези средства да бъдат управлявани от места извън защитените помещения и които не биха станали недостъпни вследствие пожар вътре в тези пространства. Ако са налице неподвижно монтирани аспирационни чадъри, трябва да е невъзможно те да бъдат задействани, докато се гаси пожар.</w:t>
      </w:r>
    </w:p>
    <w:p w14:paraId="5FFC1424"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Пожароизвестителна система</w:t>
      </w:r>
    </w:p>
    <w:p w14:paraId="649D8F21" w14:textId="77777777" w:rsidR="00271FA2" w:rsidRPr="00F06DE2" w:rsidRDefault="00D35E51" w:rsidP="00991E47">
      <w:pPr>
        <w:pStyle w:val="ESchpar"/>
        <w:jc w:val="both"/>
        <w:rPr>
          <w:rFonts w:ascii="Times New Roman" w:hAnsi="Times New Roman" w:cs="Times New Roman"/>
          <w:lang w:val="ru-RU"/>
        </w:rPr>
      </w:pPr>
      <w:r w:rsidRPr="00F06DE2">
        <w:rPr>
          <w:rFonts w:ascii="Times New Roman" w:hAnsi="Times New Roman" w:cs="Times New Roman"/>
          <w:lang w:val="ru-RU"/>
        </w:rPr>
        <w:t>Защитеното помещение се наблюдава с подходяща пожароизвестителна система. Пожарният алармен сигнал трябва да се чува в рулевата рубка, жилищните помещения и защитеното помещение.</w:t>
      </w:r>
    </w:p>
    <w:p w14:paraId="0B88CDF7"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Тръбопроводна система:</w:t>
      </w:r>
    </w:p>
    <w:p w14:paraId="1A524291"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Пожарогасителният агент се пренася до защитеното помещение и разпръсква в него чрез фиксирана тръбопроводна система. В защитеното помещение тръбите и съответните им фитинги трябва да са изработени от стомана. Тръбите, свързващи резервоарите и удължителните елементи се изключват, при условие че използваните материали имат равностойни свойства в случай на пожар. Тръбите трябва да са защитени срещу корозия отвън и отвътре;</w:t>
      </w:r>
    </w:p>
    <w:p w14:paraId="60D0733D"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Изпускателните струйници се оразмеряват и оборудват по такъв начин, че пожарогасителният агент да се разпределя равномерно. По-специално, пожарогасителният агент трябва да бъде ефективен и под плочите на настилката.</w:t>
      </w:r>
    </w:p>
    <w:p w14:paraId="37E1DEB3" w14:textId="77777777" w:rsidR="00271FA2" w:rsidRPr="00F06DE2" w:rsidRDefault="00D35E51" w:rsidP="00991E47">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Задействащо устройство:</w:t>
      </w:r>
    </w:p>
    <w:p w14:paraId="6F29564F"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Противопожарни системи с автоматично задействане не се допускат;</w:t>
      </w:r>
    </w:p>
    <w:p w14:paraId="1FE11A60"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Трябва да бъде възможно противопожарната система да се задейства от подходящо място извън защитеното помещение;</w:t>
      </w:r>
    </w:p>
    <w:p w14:paraId="19BD8A27"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Задействащите устройства се инсталират по такъв начин, че да могат да бъдат използвани дори и в случай на пожар, и необходимото количество пожарогасителен агент да може все още да бъде подадено дори при повреда от пожар или експлозия в защитеното помещение.</w:t>
      </w:r>
    </w:p>
    <w:p w14:paraId="1769B344" w14:textId="77777777" w:rsidR="00271FA2" w:rsidRPr="00F06DE2" w:rsidRDefault="00D35E51" w:rsidP="00991E47">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Немеханичните задействащи устройства трябва да се захранват от два различни и независими един от друг източника на енергия. Тези източници на енергия се намират извън защитеното помещение. Линиите за управление в защитеното помещение се проектират, така че да останат функционални в течение поне на 30 минути в случай на пожар. Това изискване се смята за изпълнено по отношение на електрическата инсталация, ако тя е в съответствие с Международен стандарт </w:t>
      </w:r>
      <w:r w:rsidRPr="00F06DE2">
        <w:rPr>
          <w:rFonts w:ascii="Times New Roman" w:hAnsi="Times New Roman" w:cs="Times New Roman"/>
        </w:rPr>
        <w:t>IEC</w:t>
      </w:r>
      <w:r w:rsidRPr="00F06DE2">
        <w:rPr>
          <w:rFonts w:ascii="Times New Roman" w:hAnsi="Times New Roman" w:cs="Times New Roman"/>
          <w:lang w:val="ru-RU"/>
        </w:rPr>
        <w:t xml:space="preserve"> 60331</w:t>
      </w:r>
      <w:r w:rsidRPr="00F06DE2">
        <w:rPr>
          <w:rFonts w:ascii="Times New Roman" w:hAnsi="Times New Roman" w:cs="Times New Roman"/>
          <w:lang w:val="ru-RU"/>
        </w:rPr>
        <w:softHyphen/>
        <w:t>21:1999.</w:t>
      </w:r>
    </w:p>
    <w:p w14:paraId="4D0EFAEA" w14:textId="77777777" w:rsidR="00271FA2" w:rsidRPr="00F06DE2" w:rsidRDefault="00D35E51" w:rsidP="00991E47">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Ако задействащите устройства се монтират по такъв начин, че да не се виждат, панелът, който ги закрива, трябва да е маркиран със символа „Противопожарна инсталация“ съгласно фигура 6 </w:t>
      </w:r>
      <w:r w:rsidRPr="00F06DE2">
        <w:rPr>
          <w:rFonts w:ascii="Times New Roman" w:hAnsi="Times New Roman" w:cs="Times New Roman"/>
          <w:lang w:val="ru-RU"/>
        </w:rPr>
        <w:lastRenderedPageBreak/>
        <w:t>от Приложение 4, с дължина на страната от поне 10</w:t>
      </w:r>
      <w:r w:rsidRPr="00F06DE2">
        <w:rPr>
          <w:rFonts w:ascii="Times New Roman" w:hAnsi="Times New Roman" w:cs="Times New Roman"/>
        </w:rPr>
        <w:t> </w:t>
      </w:r>
      <w:r w:rsidRPr="00F06DE2">
        <w:rPr>
          <w:rFonts w:ascii="Times New Roman" w:hAnsi="Times New Roman" w:cs="Times New Roman"/>
          <w:lang w:val="ru-RU"/>
        </w:rPr>
        <w:t>с</w:t>
      </w:r>
      <w:r w:rsidRPr="00F06DE2">
        <w:rPr>
          <w:rFonts w:ascii="Times New Roman" w:hAnsi="Times New Roman" w:cs="Times New Roman"/>
        </w:rPr>
        <w:t>m</w:t>
      </w:r>
      <w:r w:rsidRPr="00F06DE2">
        <w:rPr>
          <w:rFonts w:ascii="Times New Roman" w:hAnsi="Times New Roman" w:cs="Times New Roman"/>
          <w:lang w:val="ru-RU"/>
        </w:rPr>
        <w:t xml:space="preserve"> и следния текст с червени букви на бял фон:</w:t>
      </w:r>
    </w:p>
    <w:p w14:paraId="52BCBA39" w14:textId="77777777" w:rsidR="00271FA2" w:rsidRPr="00F06DE2" w:rsidRDefault="00D35E51">
      <w:pPr>
        <w:pStyle w:val="ESletpar"/>
        <w:spacing w:before="0"/>
        <w:jc w:val="center"/>
        <w:rPr>
          <w:rFonts w:ascii="Times New Roman" w:hAnsi="Times New Roman" w:cs="Times New Roman"/>
        </w:rPr>
      </w:pPr>
      <w:r w:rsidRPr="00F06DE2">
        <w:rPr>
          <w:rFonts w:ascii="Times New Roman" w:hAnsi="Times New Roman" w:cs="Times New Roman"/>
        </w:rPr>
        <w:t>„Feuerlöscheinrichtung</w:t>
      </w:r>
    </w:p>
    <w:p w14:paraId="2D410708" w14:textId="77777777" w:rsidR="00271FA2" w:rsidRPr="00F06DE2" w:rsidRDefault="00D35E51">
      <w:pPr>
        <w:pStyle w:val="ESletpar"/>
        <w:spacing w:before="0"/>
        <w:jc w:val="center"/>
        <w:rPr>
          <w:rFonts w:ascii="Times New Roman" w:hAnsi="Times New Roman" w:cs="Times New Roman"/>
        </w:rPr>
      </w:pPr>
      <w:r w:rsidRPr="00F06DE2">
        <w:rPr>
          <w:rFonts w:ascii="Times New Roman" w:hAnsi="Times New Roman" w:cs="Times New Roman"/>
        </w:rPr>
        <w:t>Installation d'extinction</w:t>
      </w:r>
    </w:p>
    <w:p w14:paraId="32B78E15" w14:textId="77777777" w:rsidR="00271FA2" w:rsidRPr="00F06DE2" w:rsidRDefault="00D35E51">
      <w:pPr>
        <w:pStyle w:val="ESletpar"/>
        <w:spacing w:before="0"/>
        <w:jc w:val="center"/>
        <w:rPr>
          <w:rFonts w:ascii="Times New Roman" w:hAnsi="Times New Roman" w:cs="Times New Roman"/>
        </w:rPr>
      </w:pPr>
      <w:r w:rsidRPr="00F06DE2">
        <w:rPr>
          <w:rFonts w:ascii="Times New Roman" w:hAnsi="Times New Roman" w:cs="Times New Roman"/>
        </w:rPr>
        <w:t>Brandblusinstallatie</w:t>
      </w:r>
    </w:p>
    <w:p w14:paraId="46D27CBE" w14:textId="77777777" w:rsidR="00271FA2" w:rsidRPr="00F06DE2" w:rsidRDefault="00D35E51">
      <w:pPr>
        <w:pStyle w:val="ESletpar"/>
        <w:spacing w:before="0"/>
        <w:jc w:val="center"/>
        <w:rPr>
          <w:rFonts w:ascii="Times New Roman" w:hAnsi="Times New Roman" w:cs="Times New Roman"/>
        </w:rPr>
      </w:pPr>
      <w:r w:rsidRPr="00F06DE2">
        <w:rPr>
          <w:rFonts w:ascii="Times New Roman" w:hAnsi="Times New Roman" w:cs="Times New Roman"/>
        </w:rPr>
        <w:t>Fire-fighting installation“.</w:t>
      </w:r>
    </w:p>
    <w:p w14:paraId="140858F2"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Ако противопожарната система е предназначена за защитата на няколко помещения, задействащите устройства за всяко помещение трябва да бъдат отделни и ясно указани;</w:t>
      </w:r>
    </w:p>
    <w:p w14:paraId="1F49002D" w14:textId="77777777" w:rsidR="00271FA2" w:rsidRPr="00F06DE2" w:rsidRDefault="00D35E51" w:rsidP="00991E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До всяко задействащо устройство ясно и неизличимо трябва да са изложени, на един от езиците на държавите членки, инструкции за действие. Те трябва да съдържат, в частност, инструкции относно:</w:t>
      </w:r>
    </w:p>
    <w:p w14:paraId="4E988408" w14:textId="77777777" w:rsidR="00271FA2" w:rsidRPr="00F06DE2" w:rsidRDefault="00D35E51" w:rsidP="00991E47">
      <w:pPr>
        <w:pStyle w:val="EStiret"/>
        <w:spacing w:before="0"/>
        <w:ind w:left="567"/>
        <w:jc w:val="both"/>
        <w:rPr>
          <w:rFonts w:ascii="Times New Roman"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задействането на противопожарната система;</w:t>
      </w:r>
    </w:p>
    <w:p w14:paraId="4C0DFDE6" w14:textId="77777777" w:rsidR="00271FA2" w:rsidRPr="00F06DE2" w:rsidRDefault="00D35E51" w:rsidP="00991E47">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бб) необходимостта от проверка за гарантиране</w:t>
      </w:r>
      <w:r w:rsidR="00285EBB" w:rsidRPr="00F06DE2">
        <w:rPr>
          <w:rFonts w:ascii="Times New Roman" w:hAnsi="Times New Roman" w:cs="Times New Roman"/>
          <w:lang w:val="ru-RU"/>
        </w:rPr>
        <w:t xml:space="preserve">, че всички хора са излезли от </w:t>
      </w:r>
      <w:r w:rsidRPr="00F06DE2">
        <w:rPr>
          <w:rFonts w:ascii="Times New Roman" w:hAnsi="Times New Roman" w:cs="Times New Roman"/>
          <w:lang w:val="ru-RU"/>
        </w:rPr>
        <w:t>защитеното помещение;</w:t>
      </w:r>
    </w:p>
    <w:p w14:paraId="4FD235F9" w14:textId="77777777" w:rsidR="00271FA2" w:rsidRPr="00F06DE2" w:rsidRDefault="00D35E51" w:rsidP="00991E47">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вв) действие, предприемано от екипажа, когато ппротивопожарната сист</w:t>
      </w:r>
      <w:r w:rsidR="00285EBB" w:rsidRPr="00F06DE2">
        <w:rPr>
          <w:rFonts w:ascii="Times New Roman" w:hAnsi="Times New Roman" w:cs="Times New Roman"/>
          <w:lang w:val="ru-RU"/>
        </w:rPr>
        <w:t xml:space="preserve">ема се </w:t>
      </w:r>
      <w:r w:rsidRPr="00F06DE2">
        <w:rPr>
          <w:rFonts w:ascii="Times New Roman" w:hAnsi="Times New Roman" w:cs="Times New Roman"/>
          <w:lang w:val="ru-RU"/>
        </w:rPr>
        <w:t xml:space="preserve">задейства, и при достъп до защитеното помещение </w:t>
      </w:r>
      <w:r w:rsidR="00285EBB" w:rsidRPr="00F06DE2">
        <w:rPr>
          <w:rFonts w:ascii="Times New Roman" w:hAnsi="Times New Roman" w:cs="Times New Roman"/>
          <w:lang w:val="ru-RU"/>
        </w:rPr>
        <w:t xml:space="preserve">след задействане или заливане, </w:t>
      </w:r>
      <w:r w:rsidRPr="00F06DE2">
        <w:rPr>
          <w:rFonts w:ascii="Times New Roman" w:hAnsi="Times New Roman" w:cs="Times New Roman"/>
          <w:lang w:val="ru-RU"/>
        </w:rPr>
        <w:t>по-специално по отношение на евентуално наличие на опасни вещества;</w:t>
      </w:r>
    </w:p>
    <w:p w14:paraId="4E6D6DFE" w14:textId="77777777" w:rsidR="00271FA2" w:rsidRPr="00F06DE2" w:rsidRDefault="00D35E51" w:rsidP="00991E47">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гг) мерките, които трябва да предприема е</w:t>
      </w:r>
      <w:r w:rsidR="00285EBB" w:rsidRPr="00F06DE2">
        <w:rPr>
          <w:rFonts w:ascii="Times New Roman" w:hAnsi="Times New Roman" w:cs="Times New Roman"/>
          <w:lang w:val="ru-RU"/>
        </w:rPr>
        <w:t xml:space="preserve">кипажът в случай на повреда на </w:t>
      </w:r>
      <w:r w:rsidRPr="00F06DE2">
        <w:rPr>
          <w:rFonts w:ascii="Times New Roman" w:hAnsi="Times New Roman" w:cs="Times New Roman"/>
          <w:lang w:val="ru-RU"/>
        </w:rPr>
        <w:t>противопожарната система.</w:t>
      </w:r>
    </w:p>
    <w:p w14:paraId="57218FA0" w14:textId="349EA91A" w:rsidR="00271FA2" w:rsidRPr="00F06DE2" w:rsidRDefault="00D35E51" w:rsidP="00991E47">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е) Инструкциите за експлоатация трябва да посочват, че преди задействането на противопожарната система двигателите с вътреш</w:t>
      </w:r>
      <w:r w:rsidR="00641D12" w:rsidRPr="00F06DE2">
        <w:rPr>
          <w:rFonts w:ascii="Times New Roman" w:hAnsi="Times New Roman" w:cs="Times New Roman"/>
          <w:lang w:val="ru-RU"/>
        </w:rPr>
        <w:t>но горене, засмукващи въздух от</w:t>
      </w:r>
      <w:r w:rsidRPr="00F06DE2">
        <w:rPr>
          <w:rFonts w:ascii="Times New Roman" w:hAnsi="Times New Roman" w:cs="Times New Roman"/>
          <w:lang w:val="ru-RU"/>
        </w:rPr>
        <w:t>защитеното помещение, се изключват.</w:t>
      </w:r>
    </w:p>
    <w:p w14:paraId="3D8FCB9C" w14:textId="77777777" w:rsidR="00271FA2" w:rsidRPr="00F06DE2" w:rsidRDefault="00D35E51" w:rsidP="00641D12">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Предупредителна система:</w:t>
      </w:r>
    </w:p>
    <w:p w14:paraId="5082FB62"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Постоянно монтираните противопожарни системи трябва да са оборудвани със звукови и оптични предупредителни системи;</w:t>
      </w:r>
    </w:p>
    <w:p w14:paraId="4BF2C507"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Предупредителната система се задейства автоматично веднага след първото задействане на противопожарната система. Предупредителният сигнал звучи в рамките на съответен период преди изпускането на пожарогасителния агент без да бъде възможно той да бъде изключен;</w:t>
      </w:r>
    </w:p>
    <w:p w14:paraId="3B7D82FF"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Предупредителните сигнали трябва да са ясно видими в защитените помещения и в подстъпите към тях и да се чуват ясно, дори и при експлоатационни условия с най-висок присъщ шум. Те трябва да се отличават явно от всички други звукови и оптични сигнали в защитеното помещение;</w:t>
      </w:r>
    </w:p>
    <w:p w14:paraId="5917483A"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Звуковите предупредителни сигнали трябва да се чуват ясно и в прилежащите помещения, дори и когато свързващите врати са затворени и при експлоатационни условия с най-висок присъщ шум;</w:t>
      </w:r>
    </w:p>
    <w:p w14:paraId="6D3ABFDF"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В случай, че предупредителната система не е самоследяща се по отношение на късите съединения, прекъсването на кабели и спадовете в напрежението, трябва да е възможно да се проверява дали тя работи правилно;</w:t>
      </w:r>
    </w:p>
    <w:p w14:paraId="01DFAFF2"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 При всеки вход към помещение, в което може да се подаде пожарогасителен агент, се поставя ясно видимо съобщение със следния текст с червени букви на бял фон:</w:t>
      </w:r>
    </w:p>
    <w:p w14:paraId="7D6D99F9" w14:textId="77777777" w:rsidR="00271FA2" w:rsidRPr="00F06DE2" w:rsidRDefault="00D35E51" w:rsidP="00641D12">
      <w:pPr>
        <w:pStyle w:val="ESgauche"/>
        <w:ind w:left="567"/>
        <w:jc w:val="center"/>
        <w:rPr>
          <w:rFonts w:ascii="Times New Roman" w:hAnsi="Times New Roman" w:cs="Times New Roman"/>
        </w:rPr>
      </w:pPr>
      <w:r w:rsidRPr="00F06DE2">
        <w:rPr>
          <w:rFonts w:ascii="Times New Roman" w:hAnsi="Times New Roman" w:cs="Times New Roman"/>
        </w:rPr>
        <w:t>„Vorsicht, Feuerlöscheinrichtung!</w:t>
      </w:r>
    </w:p>
    <w:p w14:paraId="70B8D51A" w14:textId="77777777" w:rsidR="00271FA2" w:rsidRPr="00F06DE2" w:rsidRDefault="00D35E51" w:rsidP="00641D12">
      <w:pPr>
        <w:pStyle w:val="ESgauche"/>
        <w:ind w:left="567"/>
        <w:jc w:val="center"/>
        <w:rPr>
          <w:rFonts w:ascii="Times New Roman" w:hAnsi="Times New Roman" w:cs="Times New Roman"/>
        </w:rPr>
      </w:pPr>
      <w:r w:rsidRPr="00F06DE2">
        <w:rPr>
          <w:rFonts w:ascii="Times New Roman" w:hAnsi="Times New Roman" w:cs="Times New Roman"/>
        </w:rPr>
        <w:t>Bei Ertönen des Warnsignals (Beschreibung des Signals) den Raum sofort verlassen!</w:t>
      </w:r>
    </w:p>
    <w:p w14:paraId="7DD429B9" w14:textId="77777777" w:rsidR="00271FA2" w:rsidRPr="00F06DE2" w:rsidRDefault="00D35E51" w:rsidP="00641D12">
      <w:pPr>
        <w:pStyle w:val="ESgauche"/>
        <w:ind w:left="567"/>
        <w:jc w:val="center"/>
        <w:rPr>
          <w:rFonts w:ascii="Times New Roman" w:hAnsi="Times New Roman" w:cs="Times New Roman"/>
        </w:rPr>
      </w:pPr>
      <w:r w:rsidRPr="00F06DE2">
        <w:rPr>
          <w:rFonts w:ascii="Times New Roman" w:hAnsi="Times New Roman" w:cs="Times New Roman"/>
        </w:rPr>
        <w:t>Attention, installation d'extinction d'incendie!</w:t>
      </w:r>
    </w:p>
    <w:p w14:paraId="4F5191F8" w14:textId="77777777" w:rsidR="00271FA2" w:rsidRPr="00F06DE2" w:rsidRDefault="00D35E51" w:rsidP="00641D12">
      <w:pPr>
        <w:pStyle w:val="ESgauche"/>
        <w:ind w:left="567"/>
        <w:jc w:val="center"/>
        <w:rPr>
          <w:rFonts w:ascii="Times New Roman" w:hAnsi="Times New Roman" w:cs="Times New Roman"/>
        </w:rPr>
      </w:pPr>
      <w:r w:rsidRPr="00F06DE2">
        <w:rPr>
          <w:rFonts w:ascii="Times New Roman" w:hAnsi="Times New Roman" w:cs="Times New Roman"/>
        </w:rPr>
        <w:lastRenderedPageBreak/>
        <w:t>Quitter immédiatement ce local au signal (description du signal)!</w:t>
      </w:r>
    </w:p>
    <w:p w14:paraId="0759C95D" w14:textId="77777777" w:rsidR="00271FA2" w:rsidRPr="00F06DE2" w:rsidRDefault="00D35E51" w:rsidP="00641D12">
      <w:pPr>
        <w:pStyle w:val="ESgauche"/>
        <w:ind w:left="567"/>
        <w:jc w:val="center"/>
        <w:rPr>
          <w:rFonts w:ascii="Times New Roman" w:hAnsi="Times New Roman" w:cs="Times New Roman"/>
        </w:rPr>
      </w:pPr>
      <w:r w:rsidRPr="00F06DE2">
        <w:rPr>
          <w:rFonts w:ascii="Times New Roman" w:hAnsi="Times New Roman" w:cs="Times New Roman"/>
        </w:rPr>
        <w:t>Let op, brandblusinstallatie!</w:t>
      </w:r>
    </w:p>
    <w:p w14:paraId="1A8EA857" w14:textId="77777777" w:rsidR="00271FA2" w:rsidRPr="00F06DE2" w:rsidRDefault="00D35E51" w:rsidP="00641D12">
      <w:pPr>
        <w:pStyle w:val="ESgauche"/>
        <w:ind w:left="567"/>
        <w:jc w:val="center"/>
        <w:rPr>
          <w:rFonts w:ascii="Times New Roman" w:hAnsi="Times New Roman" w:cs="Times New Roman"/>
        </w:rPr>
      </w:pPr>
      <w:r w:rsidRPr="00F06DE2">
        <w:rPr>
          <w:rFonts w:ascii="Times New Roman" w:hAnsi="Times New Roman" w:cs="Times New Roman"/>
        </w:rPr>
        <w:t>Bij het in werking treden van het alarmsignaal (omschrijving van het signaal) deze ruimte onmiddellijk verlaten!</w:t>
      </w:r>
    </w:p>
    <w:p w14:paraId="6DDCC3E1" w14:textId="77777777" w:rsidR="00271FA2" w:rsidRPr="00F06DE2" w:rsidRDefault="00D35E51" w:rsidP="00641D12">
      <w:pPr>
        <w:pStyle w:val="ESgauche"/>
        <w:ind w:left="567"/>
        <w:jc w:val="center"/>
        <w:rPr>
          <w:rFonts w:ascii="Times New Roman" w:hAnsi="Times New Roman" w:cs="Times New Roman"/>
        </w:rPr>
      </w:pPr>
      <w:r w:rsidRPr="00F06DE2">
        <w:rPr>
          <w:rFonts w:ascii="Times New Roman" w:hAnsi="Times New Roman" w:cs="Times New Roman"/>
        </w:rPr>
        <w:t>Warning, fire-fighting installation!</w:t>
      </w:r>
    </w:p>
    <w:p w14:paraId="49538A5F" w14:textId="77777777" w:rsidR="00271FA2" w:rsidRPr="00F06DE2" w:rsidRDefault="00D35E51" w:rsidP="00641D12">
      <w:pPr>
        <w:pStyle w:val="ESgauche"/>
        <w:ind w:left="567"/>
        <w:jc w:val="center"/>
        <w:rPr>
          <w:rFonts w:ascii="Times New Roman" w:hAnsi="Times New Roman" w:cs="Times New Roman"/>
        </w:rPr>
      </w:pPr>
      <w:r w:rsidRPr="00F06DE2">
        <w:rPr>
          <w:rFonts w:ascii="Times New Roman" w:hAnsi="Times New Roman" w:cs="Times New Roman"/>
        </w:rPr>
        <w:t>Leave the room as soon as the warning signal sounds (description of signal)!“.</w:t>
      </w:r>
    </w:p>
    <w:p w14:paraId="24F02D43" w14:textId="77777777" w:rsidR="00271FA2" w:rsidRPr="00F06DE2" w:rsidRDefault="00D35E51" w:rsidP="00641D12">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Резервоари под налягане, арматура и тръби под налягане:</w:t>
      </w:r>
    </w:p>
    <w:p w14:paraId="2D053982"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Резервоарите под налягане, арматурата и тръбите под налягане трябва да съответстват на действащите разпоредби в една от държавите членки или ако няма такива, на изискванията на призната класификационна организация;</w:t>
      </w:r>
    </w:p>
    <w:p w14:paraId="3C7C05B8"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Резервоарите под налягане трябва да са монтирани в съответствие с инструкциите на производителя;</w:t>
      </w:r>
    </w:p>
    <w:p w14:paraId="7CF44758"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Резервоарите под налягане, арматурата и тръбите под налягане не трябва да се монтират в жилищните помещения;</w:t>
      </w:r>
    </w:p>
    <w:p w14:paraId="42620390"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Температурата в шкафовете и пространствата за монтаж, в които има резервоари под налягане, не трябва да превишава 50 °С;</w:t>
      </w:r>
    </w:p>
    <w:p w14:paraId="452F8A3F"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Шкафовете или пространствата за монтаж на палубата се укрепват неподвижно на мястото си и се оборудват с отдушници, които се подреждат по такъв начин, че в случай на изпускане от резервоар под налягане, газ да не може да проникне във вътрешността на плавателния съд. Преки връзки с други помещения не се допускат.</w:t>
      </w:r>
    </w:p>
    <w:p w14:paraId="4BD7720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Количество на пожарогасителния агент</w:t>
      </w:r>
    </w:p>
    <w:p w14:paraId="233F0410"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Ако количеството на пожарогасителния агент е предвидено за използване в повече от едно помещение, общото налично количество пожарогасителен агент не е необходимо да бъде по-голямо от количеството, необходимо за най-голямото защитено помещение.</w:t>
      </w:r>
    </w:p>
    <w:p w14:paraId="438B9B2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Монтаж, проверка и документиране:</w:t>
      </w:r>
    </w:p>
    <w:p w14:paraId="5DCBE9A1"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Монтажът или преустройството на системата се осъществяват само от фирма, специализирана в противопожарни системи. Изискванията, определени от производителя на пожарогасителния агент и на системата (спецификация на продукта, спецификация, свързани с безопасността), трябва да са спазени. Поддръжка, по-специално на състоянието на разпръскващите дюзи, се извършва редовно в съответствие с инструкциите на производителя на системата или производителя на пожарогасителния агент (спецификация);</w:t>
      </w:r>
    </w:p>
    <w:p w14:paraId="72CEA3BF"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Системата трябва да се проверява от експерт:</w:t>
      </w:r>
    </w:p>
    <w:p w14:paraId="7C6CC38E"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преди първоначално пускане в експлоатация;</w:t>
      </w:r>
    </w:p>
    <w:p w14:paraId="73971173"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бб) преди повторно пускане в експлоатация, след като е била задействана;</w:t>
      </w:r>
    </w:p>
    <w:p w14:paraId="05855427" w14:textId="77777777" w:rsidR="00271FA2" w:rsidRPr="00F06DE2" w:rsidRDefault="00D35E51" w:rsidP="00641D12">
      <w:pPr>
        <w:pStyle w:val="EStir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вв) преди повторно пускане в експлоатация след всяко по-съществено изменение или ремонт; и</w:t>
      </w:r>
    </w:p>
    <w:p w14:paraId="66FA1AE2" w14:textId="77777777" w:rsidR="00271FA2" w:rsidRPr="00F06DE2" w:rsidRDefault="00D35E51" w:rsidP="00641D12">
      <w:pPr>
        <w:pStyle w:val="EStir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гг) редовно, най-малко на всеки две години.</w:t>
      </w:r>
    </w:p>
    <w:p w14:paraId="23E62B37" w14:textId="77777777" w:rsidR="00271FA2" w:rsidRPr="00F06DE2" w:rsidRDefault="00D35E51" w:rsidP="00641D12">
      <w:pPr>
        <w:pStyle w:val="ESletpar"/>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Проверките, посочени в буква “гг”, могат да бъдат извършвани от компетентно лице от компетентна фирма, специализирана в пожарогасителни системи.</w:t>
      </w:r>
    </w:p>
    <w:p w14:paraId="5014B206" w14:textId="77777777" w:rsidR="00271FA2" w:rsidRPr="00F06DE2" w:rsidRDefault="00D35E51" w:rsidP="00641D12">
      <w:pPr>
        <w:pStyle w:val="ESl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в) При проверката експертът или компетентното лице проверява дали системата отговаря на изискванията на настоящия член;</w:t>
      </w:r>
    </w:p>
    <w:p w14:paraId="44FE703D" w14:textId="77777777" w:rsidR="00271FA2" w:rsidRPr="00F06DE2" w:rsidRDefault="00D35E51" w:rsidP="00641D12">
      <w:pPr>
        <w:pStyle w:val="ESl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г) Проверката обхваща най-малко следното:</w:t>
      </w:r>
    </w:p>
    <w:p w14:paraId="7024A8C0" w14:textId="77777777" w:rsidR="00271FA2" w:rsidRPr="00F06DE2" w:rsidRDefault="00D35E51" w:rsidP="00641D12">
      <w:pPr>
        <w:pStyle w:val="EStir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външен оглед на цялата инсталация;</w:t>
      </w:r>
    </w:p>
    <w:p w14:paraId="496AD0B9" w14:textId="77777777" w:rsidR="00271FA2" w:rsidRPr="00F06DE2" w:rsidRDefault="00D35E51" w:rsidP="00641D12">
      <w:pPr>
        <w:pStyle w:val="EStir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бб) проверка на непроницаемостта на тръбите;</w:t>
      </w:r>
    </w:p>
    <w:p w14:paraId="21D63688" w14:textId="77777777" w:rsidR="00271FA2" w:rsidRPr="00F06DE2" w:rsidRDefault="00D35E51" w:rsidP="00641D12">
      <w:pPr>
        <w:pStyle w:val="EStir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вв) проверка на работата на системите за контрол и задействане;</w:t>
      </w:r>
    </w:p>
    <w:p w14:paraId="31F6B368" w14:textId="77777777" w:rsidR="00271FA2" w:rsidRPr="00F06DE2" w:rsidRDefault="00D35E51" w:rsidP="00641D12">
      <w:pPr>
        <w:pStyle w:val="EStir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гг) проверка на налягането и съдържанието на резервоара;</w:t>
      </w:r>
    </w:p>
    <w:p w14:paraId="604D78DE" w14:textId="77777777" w:rsidR="00271FA2" w:rsidRPr="00F06DE2" w:rsidRDefault="00D35E51" w:rsidP="00641D12">
      <w:pPr>
        <w:pStyle w:val="EStir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дд) проверка на херметичността и механизмите за заключване на защитеното помещение;</w:t>
      </w:r>
    </w:p>
    <w:p w14:paraId="1722BF8E" w14:textId="77777777" w:rsidR="00271FA2" w:rsidRPr="00F06DE2" w:rsidRDefault="00D35E51" w:rsidP="00641D12">
      <w:pPr>
        <w:pStyle w:val="EStir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ее) проверка на пожароизвестителната система;</w:t>
      </w:r>
    </w:p>
    <w:p w14:paraId="2B1B7B6F" w14:textId="77777777" w:rsidR="00271FA2" w:rsidRPr="00F06DE2" w:rsidRDefault="00D35E51" w:rsidP="00641D12">
      <w:pPr>
        <w:pStyle w:val="EStir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жж) проверка на предупредителната система.</w:t>
      </w:r>
    </w:p>
    <w:p w14:paraId="585B2ACA" w14:textId="77777777" w:rsidR="00271FA2" w:rsidRPr="00F06DE2" w:rsidRDefault="00D35E51" w:rsidP="00641D12">
      <w:pPr>
        <w:pStyle w:val="ESl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д) Издава се удостоверение за проверката, подписано от експерта и посочващо датата на проверката;</w:t>
      </w:r>
    </w:p>
    <w:p w14:paraId="3C855C94" w14:textId="77777777" w:rsidR="00271FA2" w:rsidRPr="00F06DE2" w:rsidRDefault="00D35E51" w:rsidP="00641D12">
      <w:pPr>
        <w:pStyle w:val="ESlet"/>
        <w:tabs>
          <w:tab w:val="left" w:pos="851"/>
        </w:tabs>
        <w:spacing w:before="0"/>
        <w:ind w:left="567"/>
        <w:jc w:val="both"/>
        <w:rPr>
          <w:rFonts w:ascii="Times New Roman" w:hAnsi="Times New Roman" w:cs="Times New Roman"/>
          <w:lang w:val="ru-RU"/>
        </w:rPr>
      </w:pPr>
      <w:r w:rsidRPr="00F06DE2">
        <w:rPr>
          <w:rFonts w:ascii="Times New Roman" w:hAnsi="Times New Roman" w:cs="Times New Roman"/>
          <w:lang w:val="ru-RU"/>
        </w:rPr>
        <w:t>е) Броят на неподвижно монтираните противопожарни системи се записва в Корабното удостоверение за вътрешно корабоплаване.</w:t>
      </w:r>
    </w:p>
    <w:p w14:paraId="633D616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 xml:space="preserve">Противопожарни системи с </w:t>
      </w:r>
      <w:r w:rsidRPr="00F06DE2">
        <w:rPr>
          <w:rFonts w:ascii="Times New Roman" w:hAnsi="Times New Roman" w:cs="Times New Roman"/>
        </w:rPr>
        <w:t>CO</w:t>
      </w:r>
      <w:r w:rsidRPr="00F06DE2">
        <w:rPr>
          <w:rFonts w:ascii="Times New Roman" w:hAnsi="Times New Roman" w:cs="Times New Roman"/>
          <w:vertAlign w:val="subscript"/>
          <w:lang w:val="ru-RU"/>
        </w:rPr>
        <w:t>2</w:t>
      </w:r>
    </w:p>
    <w:p w14:paraId="44CE5268"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Противопожарните системи с използване на </w:t>
      </w:r>
      <w:r w:rsidRPr="00F06DE2">
        <w:rPr>
          <w:rFonts w:ascii="Times New Roman" w:hAnsi="Times New Roman" w:cs="Times New Roman"/>
        </w:rPr>
        <w:t>CO</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като пожарогасителен агент следва да са съобразени с изброените по-долу разпоредби в допълнение към изискванията по точки 1 - 9:</w:t>
      </w:r>
    </w:p>
    <w:p w14:paraId="3A3C3D25"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контейнерите за </w:t>
      </w:r>
      <w:r w:rsidRPr="00F06DE2">
        <w:rPr>
          <w:rFonts w:ascii="Times New Roman" w:hAnsi="Times New Roman" w:cs="Times New Roman"/>
        </w:rPr>
        <w:t>CO</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се разполагат извън защитеното помещение на място или в шкаф, херметично отделени от останалите помещения. Вратите на тези пространства на съоръженията и шкафовете се отварят навън, могат да се заключват и върху тях от външната страна се поставя символът „Предупреждение за обща опасност“ в съответствие с фигура 4 от Приложение 4, с височина поне 5 </w:t>
      </w:r>
      <w:r w:rsidRPr="00F06DE2">
        <w:rPr>
          <w:rFonts w:ascii="Times New Roman" w:hAnsi="Times New Roman" w:cs="Times New Roman"/>
        </w:rPr>
        <w:t>cm</w:t>
      </w:r>
      <w:r w:rsidRPr="00F06DE2">
        <w:rPr>
          <w:rFonts w:ascii="Times New Roman" w:hAnsi="Times New Roman" w:cs="Times New Roman"/>
          <w:lang w:val="ru-RU"/>
        </w:rPr>
        <w:t xml:space="preserve"> заедно с маркировката „СО</w:t>
      </w:r>
      <w:r w:rsidRPr="00F06DE2">
        <w:rPr>
          <w:rFonts w:ascii="Times New Roman" w:hAnsi="Times New Roman" w:cs="Times New Roman"/>
          <w:vertAlign w:val="subscript"/>
          <w:lang w:val="ru-RU"/>
        </w:rPr>
        <w:t>2</w:t>
      </w:r>
      <w:r w:rsidRPr="00F06DE2">
        <w:rPr>
          <w:rFonts w:ascii="Times New Roman" w:hAnsi="Times New Roman" w:cs="Times New Roman"/>
          <w:lang w:val="ru-RU"/>
        </w:rPr>
        <w:t>“ със същите цвят и височина;</w:t>
      </w:r>
    </w:p>
    <w:p w14:paraId="3402745B"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Местата за монтиране на контейнерите за </w:t>
      </w:r>
      <w:r w:rsidRPr="00F06DE2">
        <w:rPr>
          <w:rFonts w:ascii="Times New Roman" w:hAnsi="Times New Roman" w:cs="Times New Roman"/>
        </w:rPr>
        <w:t>CO</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под палубите са достъпни само от откритата палуба. Тези места имат собствена подходяща система за изкуствена вентилация с отвеждащи въздуховоди, изцяло отделена от другите вентилационни системи на борда;</w:t>
      </w:r>
    </w:p>
    <w:p w14:paraId="5D369E93"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Контейнерите за СО</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не се пълнят повече от 0,75</w:t>
      </w:r>
      <w:r w:rsidRPr="00F06DE2">
        <w:rPr>
          <w:rFonts w:ascii="Times New Roman" w:hAnsi="Times New Roman" w:cs="Times New Roman"/>
        </w:rPr>
        <w:t> kg</w:t>
      </w:r>
      <w:r w:rsidRPr="00F06DE2">
        <w:rPr>
          <w:rFonts w:ascii="Times New Roman" w:hAnsi="Times New Roman" w:cs="Times New Roman"/>
          <w:lang w:val="ru-RU"/>
        </w:rPr>
        <w:t>/</w:t>
      </w:r>
      <w:r w:rsidRPr="00F06DE2">
        <w:rPr>
          <w:rFonts w:ascii="Times New Roman" w:hAnsi="Times New Roman" w:cs="Times New Roman"/>
        </w:rPr>
        <w:t>l</w:t>
      </w:r>
      <w:r w:rsidRPr="00F06DE2">
        <w:rPr>
          <w:rFonts w:ascii="Times New Roman" w:hAnsi="Times New Roman" w:cs="Times New Roman"/>
          <w:lang w:val="ru-RU"/>
        </w:rPr>
        <w:t xml:space="preserve">. Относителният обем на газа </w:t>
      </w:r>
      <w:r w:rsidRPr="00F06DE2">
        <w:rPr>
          <w:rFonts w:ascii="Times New Roman" w:hAnsi="Times New Roman" w:cs="Times New Roman"/>
        </w:rPr>
        <w:t>CO</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който не е под налягане, се приема за 0,56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r w:rsidRPr="00F06DE2">
        <w:rPr>
          <w:rFonts w:ascii="Times New Roman" w:hAnsi="Times New Roman" w:cs="Times New Roman"/>
        </w:rPr>
        <w:t>kg</w:t>
      </w:r>
      <w:r w:rsidRPr="00F06DE2">
        <w:rPr>
          <w:rFonts w:ascii="Times New Roman" w:hAnsi="Times New Roman" w:cs="Times New Roman"/>
          <w:lang w:val="ru-RU"/>
        </w:rPr>
        <w:t>;</w:t>
      </w:r>
    </w:p>
    <w:p w14:paraId="136E4D3D"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Обемът СО</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за защитеното помещение е поне 40</w:t>
      </w:r>
      <w:r w:rsidRPr="00F06DE2">
        <w:rPr>
          <w:rFonts w:ascii="Times New Roman" w:hAnsi="Times New Roman" w:cs="Times New Roman"/>
        </w:rPr>
        <w:t> </w:t>
      </w:r>
      <w:r w:rsidRPr="00F06DE2">
        <w:rPr>
          <w:rFonts w:ascii="Times New Roman" w:hAnsi="Times New Roman" w:cs="Times New Roman"/>
          <w:lang w:val="ru-RU"/>
        </w:rPr>
        <w:t xml:space="preserve">% от брутния му обем. Трябва да е възможно този обем да бъде подаден за 120 </w:t>
      </w:r>
      <w:r w:rsidRPr="00F06DE2">
        <w:rPr>
          <w:rFonts w:ascii="Times New Roman" w:hAnsi="Times New Roman" w:cs="Times New Roman"/>
        </w:rPr>
        <w:t>s</w:t>
      </w:r>
      <w:r w:rsidRPr="00F06DE2">
        <w:rPr>
          <w:rFonts w:ascii="Times New Roman" w:hAnsi="Times New Roman" w:cs="Times New Roman"/>
          <w:lang w:val="ru-RU"/>
        </w:rPr>
        <w:t xml:space="preserve"> и да се провери дали подаването е приключило;</w:t>
      </w:r>
    </w:p>
    <w:p w14:paraId="0995DCDA" w14:textId="77777777" w:rsidR="000C491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Отварянето на вентилите на контейнера и използването на вентила за подаване се извършват посредством отделни действия за управление</w:t>
      </w:r>
    </w:p>
    <w:p w14:paraId="554659CE"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 Подходящото време, посочено в точка 6, буква “б”, трябва да бъде най-малко 20 секунди. Трябва да има надеждно устройство за осигуряване на закъснението преди подаването на газа СО</w:t>
      </w:r>
      <w:r w:rsidRPr="00F06DE2">
        <w:rPr>
          <w:rFonts w:ascii="Times New Roman" w:hAnsi="Times New Roman" w:cs="Times New Roman"/>
          <w:vertAlign w:val="subscript"/>
          <w:lang w:val="ru-RU"/>
        </w:rPr>
        <w:t>2</w:t>
      </w:r>
      <w:r w:rsidRPr="00F06DE2">
        <w:rPr>
          <w:rFonts w:ascii="Times New Roman" w:hAnsi="Times New Roman" w:cs="Times New Roman"/>
          <w:lang w:val="ru-RU"/>
        </w:rPr>
        <w:t>.</w:t>
      </w:r>
    </w:p>
    <w:p w14:paraId="06F0200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 xml:space="preserve">Противопожарни системи с </w:t>
      </w:r>
      <w:r w:rsidRPr="00F06DE2">
        <w:rPr>
          <w:rFonts w:ascii="Times New Roman" w:hAnsi="Times New Roman" w:cs="Times New Roman"/>
        </w:rPr>
        <w:t>HFC</w:t>
      </w:r>
      <w:r w:rsidRPr="00F06DE2">
        <w:rPr>
          <w:rFonts w:ascii="Times New Roman" w:hAnsi="Times New Roman" w:cs="Times New Roman"/>
          <w:lang w:val="ru-RU"/>
        </w:rPr>
        <w:t>-227</w:t>
      </w:r>
      <w:r w:rsidRPr="00F06DE2">
        <w:rPr>
          <w:rFonts w:ascii="Times New Roman" w:hAnsi="Times New Roman" w:cs="Times New Roman"/>
        </w:rPr>
        <w:t>ea</w:t>
      </w:r>
    </w:p>
    <w:p w14:paraId="4509B7D6"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Противопожарните системи, използващи </w:t>
      </w:r>
      <w:r w:rsidRPr="00F06DE2">
        <w:rPr>
          <w:rFonts w:ascii="Times New Roman" w:hAnsi="Times New Roman" w:cs="Times New Roman"/>
        </w:rPr>
        <w:t>HFC</w:t>
      </w:r>
      <w:r w:rsidRPr="00F06DE2">
        <w:rPr>
          <w:rFonts w:ascii="Times New Roman" w:hAnsi="Times New Roman" w:cs="Times New Roman"/>
          <w:lang w:val="ru-RU"/>
        </w:rPr>
        <w:t>-227</w:t>
      </w:r>
      <w:r w:rsidRPr="00F06DE2">
        <w:rPr>
          <w:rFonts w:ascii="Times New Roman" w:hAnsi="Times New Roman" w:cs="Times New Roman"/>
        </w:rPr>
        <w:t>ea</w:t>
      </w:r>
      <w:r w:rsidRPr="00F06DE2">
        <w:rPr>
          <w:rFonts w:ascii="Times New Roman" w:hAnsi="Times New Roman" w:cs="Times New Roman"/>
          <w:lang w:val="ru-RU"/>
        </w:rPr>
        <w:t xml:space="preserve"> като пожарогасителен агент, трябва да са съобразени с изброените по-долу разпоредби в допълнение към изискванията по точки 1 - 9:</w:t>
      </w:r>
    </w:p>
    <w:p w14:paraId="20DE59EC"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Ако са налице няколко защитени помещения, всяко с различен брутен обем, всяко помещение се оборудва с отделна противопожарна система;</w:t>
      </w:r>
    </w:p>
    <w:p w14:paraId="0D2C69A9"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Всеки контейнер с </w:t>
      </w:r>
      <w:r w:rsidRPr="00F06DE2">
        <w:rPr>
          <w:rFonts w:ascii="Times New Roman" w:hAnsi="Times New Roman" w:cs="Times New Roman"/>
        </w:rPr>
        <w:t>HFC</w:t>
      </w:r>
      <w:r w:rsidRPr="00F06DE2">
        <w:rPr>
          <w:rFonts w:ascii="Times New Roman" w:hAnsi="Times New Roman" w:cs="Times New Roman"/>
          <w:lang w:val="ru-RU"/>
        </w:rPr>
        <w:t>-227</w:t>
      </w:r>
      <w:r w:rsidRPr="00F06DE2">
        <w:rPr>
          <w:rFonts w:ascii="Times New Roman" w:hAnsi="Times New Roman" w:cs="Times New Roman"/>
        </w:rPr>
        <w:t>ea</w:t>
      </w:r>
      <w:r w:rsidRPr="00F06DE2">
        <w:rPr>
          <w:rFonts w:ascii="Times New Roman" w:hAnsi="Times New Roman" w:cs="Times New Roman"/>
          <w:lang w:val="ru-RU"/>
        </w:rPr>
        <w:t>, който се монтира в защитеното помещение, трябва да е оборудван с предпазен изпускателен клапан. Същият трябва да изпуска безопасно съдържанието на контейнера в защитеното помещение, ако контейнерът е изложен на въздействията на пожар, а противопожарната система не е задействана;</w:t>
      </w:r>
    </w:p>
    <w:p w14:paraId="7BDE3156"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Всеки контейнер е оборудван с устройство за проверка на налягането на газа;</w:t>
      </w:r>
    </w:p>
    <w:p w14:paraId="1617B23F"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Контейнерите не се пълнят повече от 1,15</w:t>
      </w:r>
      <w:r w:rsidRPr="00F06DE2">
        <w:rPr>
          <w:rFonts w:ascii="Times New Roman" w:hAnsi="Times New Roman" w:cs="Times New Roman"/>
        </w:rPr>
        <w:t> kg</w:t>
      </w:r>
      <w:r w:rsidRPr="00F06DE2">
        <w:rPr>
          <w:rFonts w:ascii="Times New Roman" w:hAnsi="Times New Roman" w:cs="Times New Roman"/>
          <w:lang w:val="ru-RU"/>
        </w:rPr>
        <w:t>/</w:t>
      </w:r>
      <w:r w:rsidRPr="00F06DE2">
        <w:rPr>
          <w:rFonts w:ascii="Times New Roman" w:hAnsi="Times New Roman" w:cs="Times New Roman"/>
        </w:rPr>
        <w:t>l</w:t>
      </w:r>
      <w:r w:rsidRPr="00F06DE2">
        <w:rPr>
          <w:rFonts w:ascii="Times New Roman" w:hAnsi="Times New Roman" w:cs="Times New Roman"/>
          <w:lang w:val="ru-RU"/>
        </w:rPr>
        <w:t xml:space="preserve">. Относителният обем на </w:t>
      </w:r>
      <w:r w:rsidRPr="00F06DE2">
        <w:rPr>
          <w:rFonts w:ascii="Times New Roman" w:hAnsi="Times New Roman" w:cs="Times New Roman"/>
        </w:rPr>
        <w:t>HFC</w:t>
      </w:r>
      <w:r w:rsidRPr="00F06DE2">
        <w:rPr>
          <w:rFonts w:ascii="Times New Roman" w:hAnsi="Times New Roman" w:cs="Times New Roman"/>
          <w:lang w:val="ru-RU"/>
        </w:rPr>
        <w:t>-227</w:t>
      </w:r>
      <w:r w:rsidRPr="00F06DE2">
        <w:rPr>
          <w:rFonts w:ascii="Times New Roman" w:hAnsi="Times New Roman" w:cs="Times New Roman"/>
        </w:rPr>
        <w:t>ea</w:t>
      </w:r>
      <w:r w:rsidRPr="00F06DE2">
        <w:rPr>
          <w:rFonts w:ascii="Times New Roman" w:hAnsi="Times New Roman" w:cs="Times New Roman"/>
          <w:lang w:val="ru-RU"/>
        </w:rPr>
        <w:t xml:space="preserve">, който не е под налягане, се приема за 0,1374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r w:rsidRPr="00F06DE2">
        <w:rPr>
          <w:rFonts w:ascii="Times New Roman" w:hAnsi="Times New Roman" w:cs="Times New Roman"/>
        </w:rPr>
        <w:t>kg</w:t>
      </w:r>
      <w:r w:rsidRPr="00F06DE2">
        <w:rPr>
          <w:rFonts w:ascii="Times New Roman" w:hAnsi="Times New Roman" w:cs="Times New Roman"/>
          <w:lang w:val="ru-RU"/>
        </w:rPr>
        <w:t>;</w:t>
      </w:r>
    </w:p>
    <w:p w14:paraId="261DD40F"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 xml:space="preserve">д) Обемът </w:t>
      </w:r>
      <w:r w:rsidRPr="00F06DE2">
        <w:rPr>
          <w:rFonts w:ascii="Times New Roman" w:hAnsi="Times New Roman" w:cs="Times New Roman"/>
        </w:rPr>
        <w:t>HFC</w:t>
      </w:r>
      <w:r w:rsidRPr="00F06DE2">
        <w:rPr>
          <w:rFonts w:ascii="Times New Roman" w:hAnsi="Times New Roman" w:cs="Times New Roman"/>
          <w:lang w:val="ru-RU"/>
        </w:rPr>
        <w:t>-227</w:t>
      </w:r>
      <w:r w:rsidRPr="00F06DE2">
        <w:rPr>
          <w:rFonts w:ascii="Times New Roman" w:hAnsi="Times New Roman" w:cs="Times New Roman"/>
        </w:rPr>
        <w:t>ea</w:t>
      </w:r>
      <w:r w:rsidRPr="00F06DE2">
        <w:rPr>
          <w:rFonts w:ascii="Times New Roman" w:hAnsi="Times New Roman" w:cs="Times New Roman"/>
          <w:lang w:val="ru-RU"/>
        </w:rPr>
        <w:t xml:space="preserve"> за защитеното помещение е поне 8 % от брутния обем на помещението. Този обем се подава за 10 секунди;</w:t>
      </w:r>
    </w:p>
    <w:p w14:paraId="615D0DA0"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е) Контейнерите за </w:t>
      </w:r>
      <w:r w:rsidRPr="00F06DE2">
        <w:rPr>
          <w:rFonts w:ascii="Times New Roman" w:hAnsi="Times New Roman" w:cs="Times New Roman"/>
        </w:rPr>
        <w:t>HFC</w:t>
      </w:r>
      <w:r w:rsidRPr="00F06DE2">
        <w:rPr>
          <w:rFonts w:ascii="Times New Roman" w:hAnsi="Times New Roman" w:cs="Times New Roman"/>
          <w:lang w:val="ru-RU"/>
        </w:rPr>
        <w:t>-227</w:t>
      </w:r>
      <w:r w:rsidRPr="00F06DE2">
        <w:rPr>
          <w:rFonts w:ascii="Times New Roman" w:hAnsi="Times New Roman" w:cs="Times New Roman"/>
        </w:rPr>
        <w:t>ea</w:t>
      </w:r>
      <w:r w:rsidRPr="00F06DE2">
        <w:rPr>
          <w:rFonts w:ascii="Times New Roman" w:hAnsi="Times New Roman" w:cs="Times New Roman"/>
          <w:lang w:val="ru-RU"/>
        </w:rPr>
        <w:t xml:space="preserve"> се оборудват с датчик за налягане, който задейства звуков и оптичен алармен сигнал в рулевата рубка в случай на недопустима загуба на пропелент. Ако няма рулева рубка, този алармен сигнал се подава извън защитеното помещение;</w:t>
      </w:r>
    </w:p>
    <w:p w14:paraId="49E0AC95"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ж) След заливане концентрацията в защитеното помещение не трябва да надвишава 10,5 %;</w:t>
      </w:r>
    </w:p>
    <w:p w14:paraId="4B49BAD4"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з) Противопожарната система не трябва да съдържа части, изработени от алуминий.</w:t>
      </w:r>
    </w:p>
    <w:p w14:paraId="669123A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12.</w:t>
      </w:r>
      <w:r w:rsidRPr="00F06DE2">
        <w:rPr>
          <w:rFonts w:ascii="Times New Roman" w:hAnsi="Times New Roman" w:cs="Times New Roman"/>
          <w:lang w:val="ru-RU"/>
        </w:rPr>
        <w:tab/>
        <w:t xml:space="preserve">Противопожарни системи с </w:t>
      </w:r>
      <w:r w:rsidRPr="00F06DE2">
        <w:rPr>
          <w:rFonts w:ascii="Times New Roman" w:hAnsi="Times New Roman" w:cs="Times New Roman"/>
        </w:rPr>
        <w:t>IG</w:t>
      </w:r>
      <w:r w:rsidRPr="00F06DE2">
        <w:rPr>
          <w:rFonts w:ascii="Times New Roman" w:hAnsi="Times New Roman" w:cs="Times New Roman"/>
          <w:lang w:val="ru-RU"/>
        </w:rPr>
        <w:t>-541</w:t>
      </w:r>
    </w:p>
    <w:p w14:paraId="691229FD" w14:textId="77777777" w:rsidR="00271FA2" w:rsidRPr="00F06DE2" w:rsidRDefault="00D35E51" w:rsidP="00641D12">
      <w:pPr>
        <w:pStyle w:val="ESchpar"/>
        <w:jc w:val="both"/>
        <w:rPr>
          <w:rFonts w:ascii="Times New Roman" w:hAnsi="Times New Roman" w:cs="Times New Roman"/>
          <w:lang w:val="ru-RU"/>
        </w:rPr>
      </w:pPr>
      <w:r w:rsidRPr="00F06DE2">
        <w:rPr>
          <w:rFonts w:ascii="Times New Roman" w:hAnsi="Times New Roman" w:cs="Times New Roman"/>
          <w:lang w:val="ru-RU"/>
        </w:rPr>
        <w:t xml:space="preserve">Противопожарните системи, използващи </w:t>
      </w:r>
      <w:r w:rsidRPr="00F06DE2">
        <w:rPr>
          <w:rFonts w:ascii="Times New Roman" w:hAnsi="Times New Roman" w:cs="Times New Roman"/>
        </w:rPr>
        <w:t>IG</w:t>
      </w:r>
      <w:r w:rsidRPr="00F06DE2">
        <w:rPr>
          <w:rFonts w:ascii="Times New Roman" w:hAnsi="Times New Roman" w:cs="Times New Roman"/>
          <w:lang w:val="ru-RU"/>
        </w:rPr>
        <w:t>-541 като пожарогасителен агент, трябва да са съобразени с изброените по-долу разпоредби в допълнение към изискванията по точки 1 - 9:</w:t>
      </w:r>
    </w:p>
    <w:p w14:paraId="78E1CB10" w14:textId="77777777" w:rsidR="00271FA2" w:rsidRPr="00F06DE2" w:rsidRDefault="00D35E51" w:rsidP="00641D12">
      <w:pPr>
        <w:pStyle w:val="ESlet"/>
        <w:numPr>
          <w:ilvl w:val="0"/>
          <w:numId w:val="20"/>
        </w:numPr>
        <w:spacing w:before="0"/>
        <w:ind w:left="567"/>
        <w:jc w:val="both"/>
        <w:rPr>
          <w:rFonts w:ascii="Times New Roman" w:hAnsi="Times New Roman" w:cs="Times New Roman"/>
          <w:lang w:val="ru-RU"/>
        </w:rPr>
      </w:pPr>
      <w:r w:rsidRPr="00F06DE2">
        <w:rPr>
          <w:rFonts w:ascii="Times New Roman" w:hAnsi="Times New Roman" w:cs="Times New Roman"/>
          <w:lang w:val="ru-RU"/>
        </w:rPr>
        <w:t>Ако са налице няколко защитени помещения, всяко с различен брутен обем, всяко помещение се оборудва с отделна противопожарна система;</w:t>
      </w:r>
    </w:p>
    <w:p w14:paraId="09382432"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Всеки контейнер с </w:t>
      </w:r>
      <w:r w:rsidRPr="00F06DE2">
        <w:rPr>
          <w:rFonts w:ascii="Times New Roman" w:hAnsi="Times New Roman" w:cs="Times New Roman"/>
        </w:rPr>
        <w:t>IG</w:t>
      </w:r>
      <w:r w:rsidRPr="00F06DE2">
        <w:rPr>
          <w:rFonts w:ascii="Times New Roman" w:hAnsi="Times New Roman" w:cs="Times New Roman"/>
          <w:lang w:val="ru-RU"/>
        </w:rPr>
        <w:t>-541, който се монтира в защитеното помещение, трябва да е оборудван с предпазен изпускателен клапан. Същият трябва да изпуска безопасно съдържанието на контейнера в защитеното помещение, ако бъде изложен на въздействията на пожар, а противопожарната система не е задействана;</w:t>
      </w:r>
    </w:p>
    <w:p w14:paraId="49D13D8C"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Всеки контейнер трябва да е оборудван с устройство за проверка на съдържанието;</w:t>
      </w:r>
    </w:p>
    <w:p w14:paraId="7B330437"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Налягането при запълване на контейнера не трябва да превишава 200</w:t>
      </w:r>
      <w:r w:rsidRPr="00F06DE2">
        <w:rPr>
          <w:rFonts w:ascii="Times New Roman" w:hAnsi="Times New Roman" w:cs="Times New Roman"/>
        </w:rPr>
        <w:t> bar</w:t>
      </w:r>
      <w:r w:rsidRPr="00F06DE2">
        <w:rPr>
          <w:rFonts w:ascii="Times New Roman" w:hAnsi="Times New Roman" w:cs="Times New Roman"/>
          <w:lang w:val="ru-RU"/>
        </w:rPr>
        <w:t xml:space="preserve"> при +</w:t>
      </w:r>
      <w:r w:rsidRPr="00F06DE2">
        <w:rPr>
          <w:rFonts w:ascii="Times New Roman" w:hAnsi="Times New Roman" w:cs="Times New Roman"/>
        </w:rPr>
        <w:t> </w:t>
      </w:r>
      <w:r w:rsidRPr="00F06DE2">
        <w:rPr>
          <w:rFonts w:ascii="Times New Roman" w:hAnsi="Times New Roman" w:cs="Times New Roman"/>
          <w:lang w:val="ru-RU"/>
        </w:rPr>
        <w:t>15 °С;</w:t>
      </w:r>
    </w:p>
    <w:p w14:paraId="6F35A272"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д) Обемът </w:t>
      </w:r>
      <w:r w:rsidRPr="00F06DE2">
        <w:rPr>
          <w:rFonts w:ascii="Times New Roman" w:hAnsi="Times New Roman" w:cs="Times New Roman"/>
        </w:rPr>
        <w:t>IG</w:t>
      </w:r>
      <w:r w:rsidRPr="00F06DE2">
        <w:rPr>
          <w:rFonts w:ascii="Times New Roman" w:hAnsi="Times New Roman" w:cs="Times New Roman"/>
          <w:lang w:val="ru-RU"/>
        </w:rPr>
        <w:t>-541 за защитеното помещение трябва да е поне 44 % и не повече от 50 % от брутния обем на помещението. Този обем трябва да се подава за 120 секунди.</w:t>
      </w:r>
    </w:p>
    <w:p w14:paraId="77A5E1FA" w14:textId="77777777" w:rsidR="00271FA2" w:rsidRPr="00F06DE2" w:rsidRDefault="00D35E51">
      <w:pPr>
        <w:pStyle w:val="ESch"/>
        <w:rPr>
          <w:rFonts w:ascii="Times New Roman" w:hAnsi="Times New Roman" w:cs="Times New Roman"/>
          <w:lang w:val="ru-RU"/>
        </w:rPr>
      </w:pPr>
      <w:r w:rsidRPr="00F06DE2">
        <w:rPr>
          <w:rFonts w:ascii="Times New Roman" w:hAnsi="Times New Roman" w:cs="Times New Roman"/>
          <w:lang w:val="ru-RU"/>
        </w:rPr>
        <w:t>13.</w:t>
      </w:r>
      <w:r w:rsidRPr="00F06DE2">
        <w:rPr>
          <w:rFonts w:ascii="Times New Roman" w:hAnsi="Times New Roman" w:cs="Times New Roman"/>
          <w:lang w:val="ru-RU"/>
        </w:rPr>
        <w:tab/>
        <w:t xml:space="preserve">Противопожарни системи с </w:t>
      </w:r>
      <w:r w:rsidRPr="00F06DE2">
        <w:rPr>
          <w:rFonts w:ascii="Times New Roman" w:hAnsi="Times New Roman" w:cs="Times New Roman"/>
        </w:rPr>
        <w:t>FK</w:t>
      </w:r>
      <w:r w:rsidRPr="00F06DE2">
        <w:rPr>
          <w:rFonts w:ascii="Times New Roman" w:hAnsi="Times New Roman" w:cs="Times New Roman"/>
          <w:lang w:val="ru-RU"/>
        </w:rPr>
        <w:t>-5-1-12</w:t>
      </w:r>
    </w:p>
    <w:p w14:paraId="31DB29AF"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Противопожарните системи, използващи </w:t>
      </w:r>
      <w:r w:rsidRPr="00F06DE2">
        <w:rPr>
          <w:rFonts w:ascii="Times New Roman" w:hAnsi="Times New Roman" w:cs="Times New Roman"/>
        </w:rPr>
        <w:t>FK</w:t>
      </w:r>
      <w:r w:rsidRPr="00F06DE2">
        <w:rPr>
          <w:rFonts w:ascii="Times New Roman" w:hAnsi="Times New Roman" w:cs="Times New Roman"/>
          <w:lang w:val="ru-RU"/>
        </w:rPr>
        <w:t>-5-1-12 като пожарогасителен агент, трябва да са съобразени с изброените по-долу разпоредби в допълнение към изискванията по точки 1 - 9:</w:t>
      </w:r>
    </w:p>
    <w:p w14:paraId="3FDAEDC6"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Ако трябва да бъдат защитени няколко помещения, всяко с различен брутен обем, всяко помещение трябва да е оборудвано с отделна противопожарна система;</w:t>
      </w:r>
    </w:p>
    <w:p w14:paraId="4CE09E8B"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Всеки контейнер с </w:t>
      </w:r>
      <w:r w:rsidRPr="00F06DE2">
        <w:rPr>
          <w:rFonts w:ascii="Times New Roman" w:hAnsi="Times New Roman" w:cs="Times New Roman"/>
        </w:rPr>
        <w:t>FK</w:t>
      </w:r>
      <w:r w:rsidRPr="00F06DE2">
        <w:rPr>
          <w:rFonts w:ascii="Times New Roman" w:hAnsi="Times New Roman" w:cs="Times New Roman"/>
          <w:lang w:val="ru-RU"/>
        </w:rPr>
        <w:t>-5-1-12, монтиран в защитеното помещение, трябва да е оборудван с предпазен изпускателен клапан. Предпазният изпускателен клапан трябва да изпуска безопасно съдържанието на контейнера в защитеното помещение, ако контейнерът е изложен на въздействията на пожар, а противопожарната система не е задействана;</w:t>
      </w:r>
    </w:p>
    <w:p w14:paraId="602F1DA0"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Всеки контейнер трябва да е оборудван с устройство за проверка на налягането на газа;</w:t>
      </w:r>
    </w:p>
    <w:p w14:paraId="0A9068E2"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г) Контейнерите не се пълнят повече от 1,00 </w:t>
      </w:r>
      <w:r w:rsidRPr="00F06DE2">
        <w:rPr>
          <w:rFonts w:ascii="Times New Roman" w:hAnsi="Times New Roman" w:cs="Times New Roman"/>
        </w:rPr>
        <w:t>kg</w:t>
      </w:r>
      <w:r w:rsidRPr="00F06DE2">
        <w:rPr>
          <w:rFonts w:ascii="Times New Roman" w:hAnsi="Times New Roman" w:cs="Times New Roman"/>
          <w:lang w:val="ru-RU"/>
        </w:rPr>
        <w:t>/</w:t>
      </w:r>
      <w:r w:rsidRPr="00F06DE2">
        <w:rPr>
          <w:rFonts w:ascii="Times New Roman" w:hAnsi="Times New Roman" w:cs="Times New Roman"/>
        </w:rPr>
        <w:t>l</w:t>
      </w:r>
      <w:r w:rsidRPr="00F06DE2">
        <w:rPr>
          <w:rFonts w:ascii="Times New Roman" w:hAnsi="Times New Roman" w:cs="Times New Roman"/>
          <w:lang w:val="ru-RU"/>
        </w:rPr>
        <w:t xml:space="preserve">. Относителният обем на </w:t>
      </w:r>
      <w:r w:rsidRPr="00F06DE2">
        <w:rPr>
          <w:rFonts w:ascii="Times New Roman" w:hAnsi="Times New Roman" w:cs="Times New Roman"/>
        </w:rPr>
        <w:t>FK</w:t>
      </w:r>
      <w:r w:rsidRPr="00F06DE2">
        <w:rPr>
          <w:rFonts w:ascii="Times New Roman" w:hAnsi="Times New Roman" w:cs="Times New Roman"/>
          <w:lang w:val="ru-RU"/>
        </w:rPr>
        <w:t xml:space="preserve">-5-1-12, който не е под налягане, се приема за 0,0719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r w:rsidRPr="00F06DE2">
        <w:rPr>
          <w:rFonts w:ascii="Times New Roman" w:hAnsi="Times New Roman" w:cs="Times New Roman"/>
        </w:rPr>
        <w:t>kg</w:t>
      </w:r>
      <w:r w:rsidRPr="00F06DE2">
        <w:rPr>
          <w:rFonts w:ascii="Times New Roman" w:hAnsi="Times New Roman" w:cs="Times New Roman"/>
          <w:lang w:val="ru-RU"/>
        </w:rPr>
        <w:t>;</w:t>
      </w:r>
    </w:p>
    <w:p w14:paraId="61144CD6"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д) Обемът </w:t>
      </w:r>
      <w:r w:rsidRPr="00F06DE2">
        <w:rPr>
          <w:rFonts w:ascii="Times New Roman" w:hAnsi="Times New Roman" w:cs="Times New Roman"/>
        </w:rPr>
        <w:t>FK</w:t>
      </w:r>
      <w:r w:rsidRPr="00F06DE2">
        <w:rPr>
          <w:rFonts w:ascii="Times New Roman" w:hAnsi="Times New Roman" w:cs="Times New Roman"/>
          <w:lang w:val="ru-RU"/>
        </w:rPr>
        <w:t>-5-1-12 за защитеното помещение е поне 5,5 % от брутния обем на помещението. Този обем се подава за 10 секунди;</w:t>
      </w:r>
    </w:p>
    <w:p w14:paraId="62D4AA6C"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е) Контейнери с </w:t>
      </w:r>
      <w:r w:rsidRPr="00F06DE2">
        <w:rPr>
          <w:rFonts w:ascii="Times New Roman" w:hAnsi="Times New Roman" w:cs="Times New Roman"/>
        </w:rPr>
        <w:t>FK</w:t>
      </w:r>
      <w:r w:rsidRPr="00F06DE2">
        <w:rPr>
          <w:rFonts w:ascii="Times New Roman" w:hAnsi="Times New Roman" w:cs="Times New Roman"/>
          <w:lang w:val="ru-RU"/>
        </w:rPr>
        <w:t>-5-1-12 се оборудват с датчик за налягане, който задейства звуков и оптичен алармен сигнал в рулевата рубка в случай на недопустима загуба на пропелент. Ако няма рулева рубка, този алармен сигнал се подава извън защитеното помещение;</w:t>
      </w:r>
      <w:r w:rsidR="00CA53F7" w:rsidRPr="00F06DE2">
        <w:rPr>
          <w:rFonts w:ascii="Times New Roman" w:hAnsi="Times New Roman" w:cs="Times New Roman"/>
          <w:lang w:val="ru-RU"/>
        </w:rPr>
        <w:t xml:space="preserve"> </w:t>
      </w:r>
    </w:p>
    <w:p w14:paraId="139AD4AB"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ж) След заливане концентрацията в защитеното помещение не трябва да надвишава 10,0 %.</w:t>
      </w:r>
    </w:p>
    <w:p w14:paraId="35DD5905" w14:textId="77777777" w:rsidR="00271FA2" w:rsidRPr="00F06DE2" w:rsidRDefault="00D35E51" w:rsidP="00641D12">
      <w:pPr>
        <w:pStyle w:val="ESch"/>
        <w:jc w:val="both"/>
        <w:rPr>
          <w:rFonts w:ascii="Times New Roman" w:hAnsi="Times New Roman" w:cs="Times New Roman"/>
          <w:lang w:val="ru-RU"/>
        </w:rPr>
      </w:pPr>
      <w:r w:rsidRPr="00F06DE2">
        <w:rPr>
          <w:rFonts w:ascii="Times New Roman" w:hAnsi="Times New Roman" w:cs="Times New Roman"/>
          <w:lang w:val="ru-RU"/>
        </w:rPr>
        <w:t>14.</w:t>
      </w:r>
      <w:r w:rsidRPr="00F06DE2">
        <w:rPr>
          <w:rFonts w:ascii="Times New Roman" w:hAnsi="Times New Roman" w:cs="Times New Roman"/>
          <w:lang w:val="ru-RU"/>
        </w:rPr>
        <w:tab/>
        <w:t xml:space="preserve">Противопожарни системи, използващи вода като пожарогасителен агент </w:t>
      </w:r>
    </w:p>
    <w:p w14:paraId="07ACF7CD" w14:textId="77777777" w:rsidR="00271FA2" w:rsidRPr="00F06DE2" w:rsidRDefault="00D35E51" w:rsidP="00641D12">
      <w:pPr>
        <w:pStyle w:val="ESchpar"/>
        <w:jc w:val="both"/>
        <w:rPr>
          <w:rFonts w:ascii="Times New Roman" w:hAnsi="Times New Roman" w:cs="Times New Roman"/>
          <w:lang w:val="ru-RU"/>
        </w:rPr>
      </w:pPr>
      <w:r w:rsidRPr="00F06DE2">
        <w:rPr>
          <w:rFonts w:ascii="Times New Roman" w:hAnsi="Times New Roman" w:cs="Times New Roman"/>
          <w:lang w:val="ru-RU"/>
        </w:rPr>
        <w:t xml:space="preserve">Противопожарните системи с използване на вода като пожарогасителен агент могат да подават този агент в защитеното помещение само под формата на водна мъгла. Размерът на капчиците трябва да бъде между 5 и 300 микрона. </w:t>
      </w:r>
    </w:p>
    <w:p w14:paraId="11AB24EE" w14:textId="77777777" w:rsidR="00271FA2" w:rsidRPr="00F06DE2" w:rsidRDefault="00D35E51" w:rsidP="00641D12">
      <w:pPr>
        <w:pStyle w:val="ESchpar"/>
        <w:jc w:val="both"/>
        <w:rPr>
          <w:rFonts w:ascii="Times New Roman" w:hAnsi="Times New Roman" w:cs="Times New Roman"/>
          <w:lang w:val="ru-RU"/>
        </w:rPr>
      </w:pPr>
      <w:r w:rsidRPr="00F06DE2">
        <w:rPr>
          <w:rFonts w:ascii="Times New Roman" w:hAnsi="Times New Roman" w:cs="Times New Roman"/>
          <w:lang w:val="ru-RU"/>
        </w:rPr>
        <w:lastRenderedPageBreak/>
        <w:t xml:space="preserve">В допълнение към изискванията, установени от точки 1 — 7 и 9, и тези от точка 8, прилагани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 тези противопожарни системи трябва да са в съответствие със следните разпоредби:</w:t>
      </w:r>
    </w:p>
    <w:p w14:paraId="6DB46D70" w14:textId="77777777" w:rsidR="00271FA2" w:rsidRPr="00F06DE2" w:rsidRDefault="00D35E51" w:rsidP="00641D12">
      <w:pPr>
        <w:pStyle w:val="ESlet"/>
        <w:numPr>
          <w:ilvl w:val="255"/>
          <w:numId w:val="0"/>
        </w:numP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а) Противопожарната система трябва да има одобрение на типа в съответствие с </w:t>
      </w:r>
      <w:r w:rsidRPr="00F06DE2">
        <w:rPr>
          <w:rFonts w:ascii="Times New Roman" w:hAnsi="Times New Roman" w:cs="Times New Roman"/>
        </w:rPr>
        <w:t>MSC</w:t>
      </w:r>
      <w:r w:rsidRPr="00F06DE2">
        <w:rPr>
          <w:rFonts w:ascii="Times New Roman" w:hAnsi="Times New Roman" w:cs="Times New Roman"/>
          <w:lang w:val="ru-RU"/>
        </w:rPr>
        <w:t>/</w:t>
      </w:r>
      <w:r w:rsidRPr="00F06DE2">
        <w:rPr>
          <w:rFonts w:ascii="Times New Roman" w:hAnsi="Times New Roman" w:cs="Times New Roman"/>
        </w:rPr>
        <w:t>Circ</w:t>
      </w:r>
      <w:r w:rsidRPr="00F06DE2">
        <w:rPr>
          <w:rFonts w:ascii="Times New Roman" w:hAnsi="Times New Roman" w:cs="Times New Roman"/>
          <w:lang w:val="ru-RU"/>
        </w:rPr>
        <w:t>. 1165</w:t>
      </w:r>
      <w:r w:rsidRPr="00F06DE2">
        <w:rPr>
          <w:rFonts w:ascii="Times New Roman" w:hAnsi="Times New Roman" w:cs="Times New Roman"/>
          <w:vertAlign w:val="superscript"/>
        </w:rPr>
        <w:footnoteReference w:id="5"/>
      </w:r>
      <w:r w:rsidRPr="00F06DE2">
        <w:rPr>
          <w:rFonts w:ascii="Times New Roman" w:hAnsi="Times New Roman" w:cs="Times New Roman"/>
          <w:lang w:val="ru-RU"/>
        </w:rPr>
        <w:t xml:space="preserve"> или друг стандарт, признат от една от държавите членки. Одобряването на типа се извърша от призната класификационна организация или акредитирана институция за изпитвания. Акредитираната институция за изпитвания трябва да отговаря на Европейския стандарт за общи изисквания за компетентността на лаборатории за изпитване и калибриране (</w:t>
      </w:r>
      <w:r w:rsidRPr="00F06DE2">
        <w:rPr>
          <w:rFonts w:ascii="Times New Roman" w:hAnsi="Times New Roman" w:cs="Times New Roman"/>
        </w:rPr>
        <w:t>EN</w:t>
      </w:r>
      <w:r w:rsidRPr="00F06DE2">
        <w:rPr>
          <w:rFonts w:ascii="Times New Roman" w:hAnsi="Times New Roman" w:cs="Times New Roman"/>
          <w:lang w:val="ru-RU"/>
        </w:rPr>
        <w:t xml:space="preserve"> </w:t>
      </w:r>
      <w:r w:rsidRPr="00F06DE2">
        <w:rPr>
          <w:rFonts w:ascii="Times New Roman" w:hAnsi="Times New Roman" w:cs="Times New Roman"/>
        </w:rPr>
        <w:t>ISO</w:t>
      </w:r>
      <w:r w:rsidRPr="00F06DE2">
        <w:rPr>
          <w:rFonts w:ascii="Times New Roman" w:hAnsi="Times New Roman" w:cs="Times New Roman"/>
          <w:lang w:val="ru-RU"/>
        </w:rPr>
        <w:t>/</w:t>
      </w:r>
      <w:r w:rsidRPr="00F06DE2">
        <w:rPr>
          <w:rFonts w:ascii="Times New Roman" w:hAnsi="Times New Roman" w:cs="Times New Roman"/>
        </w:rPr>
        <w:t>IEC</w:t>
      </w:r>
      <w:r w:rsidRPr="00F06DE2">
        <w:rPr>
          <w:rFonts w:ascii="Times New Roman" w:hAnsi="Times New Roman" w:cs="Times New Roman"/>
          <w:lang w:val="ru-RU"/>
        </w:rPr>
        <w:t xml:space="preserve"> 17025:2017); </w:t>
      </w:r>
    </w:p>
    <w:p w14:paraId="3DD75D9F" w14:textId="77777777" w:rsidR="00271FA2" w:rsidRPr="00F06DE2" w:rsidRDefault="00D35E51" w:rsidP="00641D12">
      <w:pPr>
        <w:pStyle w:val="ESlet"/>
        <w:spacing w:before="0"/>
        <w:ind w:left="567"/>
        <w:jc w:val="both"/>
        <w:rPr>
          <w:rFonts w:ascii="Times New Roman" w:hAnsi="Times New Roman" w:cs="Times New Roman"/>
          <w:snapToGrid w:val="0"/>
          <w:lang w:val="ru-RU"/>
        </w:rPr>
      </w:pPr>
      <w:r w:rsidRPr="00F06DE2">
        <w:rPr>
          <w:rFonts w:ascii="Times New Roman" w:hAnsi="Times New Roman" w:cs="Times New Roman"/>
          <w:lang w:val="ru-RU"/>
        </w:rPr>
        <w:t>б) Противопожарната система трябва да бъде оразмерена според най-голямото от защитените помещения и трябва да бъде в състояние да разпръсква вода непрекъснато в помещението за период не по-кратък от 30 минути;</w:t>
      </w:r>
    </w:p>
    <w:p w14:paraId="0A2F6106"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Помпите, техните механизми за превключване и клапани, които са необходими за работата на системата, трябва да бъдат монтирани в помещение извън защитените помещения. Помещението, в което са монтирани, трябва да бъде отделено от съседните с разделителни стени най-малко от тип </w:t>
      </w:r>
      <w:r w:rsidRPr="00F06DE2">
        <w:rPr>
          <w:rFonts w:ascii="Times New Roman" w:hAnsi="Times New Roman" w:cs="Times New Roman"/>
        </w:rPr>
        <w:t>A</w:t>
      </w:r>
      <w:r w:rsidRPr="00F06DE2">
        <w:rPr>
          <w:rFonts w:ascii="Times New Roman" w:hAnsi="Times New Roman" w:cs="Times New Roman"/>
          <w:lang w:val="ru-RU"/>
        </w:rPr>
        <w:t xml:space="preserve">30; </w:t>
      </w:r>
    </w:p>
    <w:p w14:paraId="56A9E8DD"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Противопожарната система трябва да бъде изцяло пълна с вода по всяко време, поне що се отнася до бързодействащите клапани, и следва да бъде под необходимото първоначално работно налягане. Помпите за водоснабдяване трябва да се задействат автоматично с пускането на системата. Системата трябва да е с непрекъснато работещо водоснабдяване. Трябва да бъдат взети мерки, за да се гарантира, че наличието на примеси не оказва влияние върху работата на системата;</w:t>
      </w:r>
    </w:p>
    <w:p w14:paraId="4F573D47"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Капацитетът и конструкцията на тръбопроводната мрежа на системата трябва да се основават на хидравлично изчисление;</w:t>
      </w:r>
    </w:p>
    <w:p w14:paraId="60D6A236"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е) Броят и разположението на дюзите трябва да гарантират достатъчно разпределение на водата в помещенията, които трябва да бъдат защитени. Разпръскващите дюзи трябва да бъдат разположени, така че да се гарантира, че водната мъгла се разпространява из цялото защитено помещение, особено в районите, където има по-голям риск от пожар, включително зад приспособления и под пода; </w:t>
      </w:r>
    </w:p>
    <w:p w14:paraId="2519CE28"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ж) Електрическите компоненти на противопожарната системата в защитеното помещение трябва като минимум да отговарят на клас на защита </w:t>
      </w:r>
      <w:r w:rsidRPr="00F06DE2">
        <w:rPr>
          <w:rFonts w:ascii="Times New Roman" w:hAnsi="Times New Roman" w:cs="Times New Roman"/>
        </w:rPr>
        <w:t>IP</w:t>
      </w:r>
      <w:r w:rsidRPr="00F06DE2">
        <w:rPr>
          <w:rFonts w:ascii="Times New Roman" w:hAnsi="Times New Roman" w:cs="Times New Roman"/>
          <w:lang w:val="ru-RU"/>
        </w:rPr>
        <w:t>54. Системата трябва да съдържа два независими източника на енергия с автоматично превключване. Един от източниците на енергия трябва да се намира извън защитеното помещение. Всеки източник на енергия сам по себе си трябва да може да гарантира функционирането на системата;</w:t>
      </w:r>
    </w:p>
    <w:p w14:paraId="6A069485"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з) Противопожарната система трябва да има резервни помпи; </w:t>
      </w:r>
    </w:p>
    <w:p w14:paraId="197C90CE"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и) Противопожарната система трябва да бъде оборудвана с устройство за следене, което задейства алармен сигнал в рулевата рубка в следните случаи:</w:t>
      </w:r>
    </w:p>
    <w:p w14:paraId="5ACBE42F"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спад в нивото на водата в резервоара (ако има такъв);</w:t>
      </w:r>
    </w:p>
    <w:p w14:paraId="5AFDC580"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прекъсване на електрическото захранване;</w:t>
      </w:r>
    </w:p>
    <w:p w14:paraId="548EA4F4"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загуба на налягане в тръбопровода на системата с ниско налягане;</w:t>
      </w:r>
    </w:p>
    <w:p w14:paraId="7F5AFC3A"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загубата на налягане в кръга за високо налягане;</w:t>
      </w:r>
    </w:p>
    <w:p w14:paraId="608B4A3C"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когато системата е активирана.</w:t>
      </w:r>
    </w:p>
    <w:p w14:paraId="5AABC1BA"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 xml:space="preserve">й) Документите, необходими за инсталирането, функционалните изпитвания и документиране на инсталацията, посочени в точка 9, трябва да включват най-малкото: </w:t>
      </w:r>
    </w:p>
    <w:p w14:paraId="0A33E5EC"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 </w:t>
      </w:r>
      <w:r w:rsidRPr="00F06DE2">
        <w:rPr>
          <w:rFonts w:ascii="Times New Roman" w:hAnsi="Times New Roman" w:cs="Times New Roman"/>
          <w:lang w:val="ru-RU"/>
        </w:rPr>
        <w:tab/>
        <w:t>схема на системата, показваща участъци на тръбите и видовете разпръскващи дюзи;</w:t>
      </w:r>
    </w:p>
    <w:p w14:paraId="0408510D"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 </w:t>
      </w:r>
      <w:r w:rsidRPr="00F06DE2">
        <w:rPr>
          <w:rFonts w:ascii="Times New Roman" w:hAnsi="Times New Roman" w:cs="Times New Roman"/>
          <w:lang w:val="ru-RU"/>
        </w:rPr>
        <w:tab/>
        <w:t>хидравличното изчисление, посочено в буква “г”;</w:t>
      </w:r>
    </w:p>
    <w:p w14:paraId="4E1A09AF"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 </w:t>
      </w:r>
      <w:r w:rsidRPr="00F06DE2">
        <w:rPr>
          <w:rFonts w:ascii="Times New Roman" w:hAnsi="Times New Roman" w:cs="Times New Roman"/>
          <w:lang w:val="ru-RU"/>
        </w:rPr>
        <w:tab/>
        <w:t>техническата документация на производителя, която обхваща всички аспекти на инсталацията;</w:t>
      </w:r>
    </w:p>
    <w:p w14:paraId="57F24D9F" w14:textId="77777777" w:rsidR="00271FA2" w:rsidRPr="00F06DE2" w:rsidRDefault="00D35E51" w:rsidP="00641D12">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 </w:t>
      </w:r>
      <w:r w:rsidRPr="00F06DE2">
        <w:rPr>
          <w:rFonts w:ascii="Times New Roman" w:hAnsi="Times New Roman" w:cs="Times New Roman"/>
          <w:lang w:val="ru-RU"/>
        </w:rPr>
        <w:tab/>
        <w:t>ръководството за техническа поддръжка.</w:t>
      </w:r>
    </w:p>
    <w:p w14:paraId="0598BECE" w14:textId="77777777" w:rsidR="00271FA2" w:rsidRPr="00F06DE2" w:rsidRDefault="00D35E51" w:rsidP="00641D12">
      <w:pPr>
        <w:autoSpaceDE w:val="0"/>
        <w:autoSpaceDN w:val="0"/>
        <w:adjustRightInd w:val="0"/>
        <w:spacing w:line="240" w:lineRule="atLeast"/>
        <w:ind w:left="567" w:hanging="567"/>
        <w:jc w:val="both"/>
        <w:rPr>
          <w:rFonts w:ascii="Times New Roman" w:hAnsi="Times New Roman" w:cs="Times New Roman"/>
          <w:lang w:val="ru-RU" w:eastAsia="bg-BG"/>
        </w:rPr>
      </w:pPr>
      <w:r w:rsidRPr="00F06DE2">
        <w:rPr>
          <w:rFonts w:ascii="Times New Roman" w:hAnsi="Times New Roman" w:cs="Times New Roman"/>
          <w:lang w:val="ru-RU"/>
        </w:rPr>
        <w:t>15.</w:t>
      </w:r>
      <w:r w:rsidRPr="00F06DE2">
        <w:rPr>
          <w:rFonts w:ascii="Times New Roman" w:hAnsi="Times New Roman" w:cs="Times New Roman"/>
          <w:lang w:val="ru-RU"/>
        </w:rPr>
        <w:tab/>
      </w:r>
      <w:r w:rsidRPr="00F06DE2">
        <w:rPr>
          <w:rFonts w:ascii="Times New Roman" w:hAnsi="Times New Roman" w:cs="Times New Roman"/>
        </w:rPr>
        <w:t>K</w:t>
      </w:r>
      <w:r w:rsidRPr="00F06DE2">
        <w:rPr>
          <w:rFonts w:ascii="Times New Roman" w:hAnsi="Times New Roman" w:cs="Times New Roman"/>
          <w:vertAlign w:val="subscript"/>
          <w:lang w:val="ru-RU"/>
        </w:rPr>
        <w:t>2</w:t>
      </w:r>
      <w:r w:rsidRPr="00F06DE2">
        <w:rPr>
          <w:rFonts w:ascii="Times New Roman" w:hAnsi="Times New Roman" w:cs="Times New Roman"/>
        </w:rPr>
        <w:t>CO</w:t>
      </w:r>
      <w:r w:rsidRPr="00F06DE2">
        <w:rPr>
          <w:rFonts w:ascii="Times New Roman" w:hAnsi="Times New Roman" w:cs="Times New Roman"/>
          <w:vertAlign w:val="subscript"/>
          <w:lang w:val="ru-RU"/>
        </w:rPr>
        <w:t>3</w:t>
      </w:r>
      <w:r w:rsidRPr="00F06DE2">
        <w:rPr>
          <w:rFonts w:ascii="Times New Roman" w:hAnsi="Times New Roman" w:cs="Times New Roman"/>
          <w:lang w:val="ru-RU"/>
        </w:rPr>
        <w:t xml:space="preserve"> </w:t>
      </w:r>
      <w:r w:rsidRPr="00F06DE2">
        <w:rPr>
          <w:rFonts w:ascii="Times New Roman" w:hAnsi="Times New Roman" w:cs="Times New Roman"/>
          <w:lang w:val="ru-RU" w:eastAsia="bg-BG"/>
        </w:rPr>
        <w:t>- противопожарни системи</w:t>
      </w:r>
    </w:p>
    <w:p w14:paraId="4FDCA9D8" w14:textId="77777777" w:rsidR="00271FA2" w:rsidRPr="00F06DE2" w:rsidRDefault="00D35E51" w:rsidP="00641D12">
      <w:pPr>
        <w:autoSpaceDE w:val="0"/>
        <w:autoSpaceDN w:val="0"/>
        <w:adjustRightInd w:val="0"/>
        <w:spacing w:line="240" w:lineRule="atLeast"/>
        <w:ind w:left="567" w:hanging="567"/>
        <w:jc w:val="both"/>
        <w:rPr>
          <w:rFonts w:ascii="Times New Roman" w:hAnsi="Times New Roman" w:cs="Times New Roman"/>
          <w:lang w:val="ru-RU" w:eastAsia="bg-BG"/>
        </w:rPr>
      </w:pPr>
      <w:r w:rsidRPr="00F06DE2">
        <w:rPr>
          <w:rFonts w:ascii="Times New Roman" w:hAnsi="Times New Roman" w:cs="Times New Roman"/>
          <w:lang w:val="ru-RU" w:eastAsia="bg-BG"/>
        </w:rPr>
        <w:tab/>
        <w:t xml:space="preserve">В допълнение към изискванията, установени в точки 1 - 7 и 9, противопожарните системи, използващи </w:t>
      </w:r>
      <w:r w:rsidRPr="00F06DE2">
        <w:rPr>
          <w:rFonts w:ascii="Times New Roman" w:hAnsi="Times New Roman" w:cs="Times New Roman"/>
        </w:rPr>
        <w:t>K</w:t>
      </w:r>
      <w:r w:rsidRPr="00F06DE2">
        <w:rPr>
          <w:rFonts w:ascii="Times New Roman" w:hAnsi="Times New Roman" w:cs="Times New Roman"/>
          <w:vertAlign w:val="subscript"/>
          <w:lang w:val="ru-RU"/>
        </w:rPr>
        <w:t>2</w:t>
      </w:r>
      <w:r w:rsidRPr="00F06DE2">
        <w:rPr>
          <w:rFonts w:ascii="Times New Roman" w:hAnsi="Times New Roman" w:cs="Times New Roman"/>
        </w:rPr>
        <w:t>CO</w:t>
      </w:r>
      <w:r w:rsidRPr="00F06DE2">
        <w:rPr>
          <w:rFonts w:ascii="Times New Roman" w:hAnsi="Times New Roman" w:cs="Times New Roman"/>
          <w:vertAlign w:val="subscript"/>
          <w:lang w:val="ru-RU"/>
        </w:rPr>
        <w:t>3</w:t>
      </w:r>
      <w:r w:rsidRPr="00F06DE2">
        <w:rPr>
          <w:rFonts w:ascii="Times New Roman" w:hAnsi="Times New Roman" w:cs="Times New Roman"/>
          <w:lang w:val="ru-RU" w:eastAsia="bg-BG"/>
        </w:rPr>
        <w:t xml:space="preserve"> като средство за гасене, трябва да отговарят на следните разпоредби:</w:t>
      </w:r>
    </w:p>
    <w:p w14:paraId="5F6CA878" w14:textId="0055D7F0" w:rsidR="00271FA2" w:rsidRPr="00F06DE2" w:rsidRDefault="00641D12" w:rsidP="00641D12">
      <w:pPr>
        <w:tabs>
          <w:tab w:val="left" w:pos="284"/>
        </w:tabs>
        <w:autoSpaceDE w:val="0"/>
        <w:autoSpaceDN w:val="0"/>
        <w:adjustRightInd w:val="0"/>
        <w:spacing w:line="240" w:lineRule="atLeast"/>
        <w:ind w:left="567" w:hanging="284"/>
        <w:jc w:val="both"/>
        <w:rPr>
          <w:rFonts w:ascii="Times New Roman" w:hAnsi="Times New Roman" w:cs="Times New Roman"/>
          <w:lang w:val="ru-RU" w:eastAsia="bg-BG"/>
        </w:rPr>
      </w:pPr>
      <w:r w:rsidRPr="00F06DE2">
        <w:rPr>
          <w:rFonts w:ascii="Times New Roman" w:hAnsi="Times New Roman" w:cs="Times New Roman"/>
          <w:lang w:val="ru-RU" w:eastAsia="bg-BG"/>
        </w:rPr>
        <w:tab/>
      </w:r>
      <w:r w:rsidRPr="00F06DE2">
        <w:rPr>
          <w:rFonts w:ascii="Times New Roman" w:hAnsi="Times New Roman" w:cs="Times New Roman"/>
          <w:lang w:val="ru-RU" w:eastAsia="bg-BG"/>
        </w:rPr>
        <w:tab/>
      </w:r>
      <w:r w:rsidR="00D35E51" w:rsidRPr="00F06DE2">
        <w:rPr>
          <w:rFonts w:ascii="Times New Roman" w:hAnsi="Times New Roman" w:cs="Times New Roman"/>
          <w:lang w:val="ru-RU" w:eastAsia="bg-BG"/>
        </w:rPr>
        <w:t xml:space="preserve">а) Противопожарната система трябва да има одобрение на типа съгласно </w:t>
      </w:r>
      <w:r w:rsidR="00D35E51" w:rsidRPr="00F06DE2">
        <w:rPr>
          <w:rFonts w:ascii="Times New Roman" w:hAnsi="Times New Roman" w:cs="Times New Roman"/>
          <w:lang w:eastAsia="bg-BG"/>
        </w:rPr>
        <w:t>MSC</w:t>
      </w:r>
      <w:r w:rsidR="00D35E51" w:rsidRPr="00F06DE2">
        <w:rPr>
          <w:rFonts w:ascii="Times New Roman" w:hAnsi="Times New Roman" w:cs="Times New Roman"/>
          <w:lang w:val="ru-RU" w:eastAsia="bg-BG"/>
        </w:rPr>
        <w:t>/</w:t>
      </w:r>
      <w:r w:rsidR="00D35E51" w:rsidRPr="00F06DE2">
        <w:rPr>
          <w:rFonts w:ascii="Times New Roman" w:hAnsi="Times New Roman" w:cs="Times New Roman"/>
          <w:lang w:eastAsia="bg-BG"/>
        </w:rPr>
        <w:t>Circ</w:t>
      </w:r>
      <w:r w:rsidR="00D35E51" w:rsidRPr="00F06DE2">
        <w:rPr>
          <w:rFonts w:ascii="Times New Roman" w:hAnsi="Times New Roman" w:cs="Times New Roman"/>
          <w:lang w:val="ru-RU" w:eastAsia="bg-BG"/>
        </w:rPr>
        <w:t>. 1270</w:t>
      </w:r>
      <w:r w:rsidR="00D35E51" w:rsidRPr="00F06DE2">
        <w:rPr>
          <w:rStyle w:val="FootnoteReference"/>
          <w:rFonts w:ascii="Times New Roman" w:hAnsi="Times New Roman" w:cs="Times New Roman"/>
          <w:lang w:eastAsia="bg-BG"/>
        </w:rPr>
        <w:footnoteReference w:id="6"/>
      </w:r>
      <w:r w:rsidR="00D35E51" w:rsidRPr="00F06DE2">
        <w:rPr>
          <w:rFonts w:ascii="Times New Roman" w:hAnsi="Times New Roman" w:cs="Times New Roman"/>
          <w:lang w:val="ru-RU" w:eastAsia="bg-BG"/>
        </w:rPr>
        <w:t xml:space="preserve"> или друг стандарт, признат от една от държавите членки. Одобрението на типа се извършва от призната класификационна организация или акредитирана изпитвателна институция. Акредитираната институция за изпитване трябва да отговаря на Европейския стандарт </w:t>
      </w:r>
      <w:r w:rsidR="00D35E51" w:rsidRPr="00F06DE2">
        <w:rPr>
          <w:rFonts w:ascii="Times New Roman" w:hAnsi="Times New Roman" w:cs="Times New Roman"/>
          <w:lang w:eastAsia="bg-BG"/>
        </w:rPr>
        <w:t>EN</w:t>
      </w:r>
      <w:r w:rsidR="00D35E51" w:rsidRPr="00F06DE2">
        <w:rPr>
          <w:rFonts w:ascii="Times New Roman" w:hAnsi="Times New Roman" w:cs="Times New Roman"/>
          <w:lang w:val="ru-RU" w:eastAsia="bg-BG"/>
        </w:rPr>
        <w:t xml:space="preserve"> </w:t>
      </w:r>
      <w:r w:rsidR="00D35E51" w:rsidRPr="00F06DE2">
        <w:rPr>
          <w:rFonts w:ascii="Times New Roman" w:hAnsi="Times New Roman" w:cs="Times New Roman"/>
          <w:lang w:eastAsia="bg-BG"/>
        </w:rPr>
        <w:t>ISO</w:t>
      </w:r>
      <w:r w:rsidR="00D35E51" w:rsidRPr="00F06DE2">
        <w:rPr>
          <w:rFonts w:ascii="Times New Roman" w:hAnsi="Times New Roman" w:cs="Times New Roman"/>
          <w:lang w:val="ru-RU" w:eastAsia="bg-BG"/>
        </w:rPr>
        <w:t>/</w:t>
      </w:r>
      <w:r w:rsidR="00D35E51" w:rsidRPr="00F06DE2">
        <w:rPr>
          <w:rFonts w:ascii="Times New Roman" w:hAnsi="Times New Roman" w:cs="Times New Roman"/>
          <w:lang w:eastAsia="bg-BG"/>
        </w:rPr>
        <w:t>IEC</w:t>
      </w:r>
      <w:r w:rsidR="00D35E51" w:rsidRPr="00F06DE2">
        <w:rPr>
          <w:rFonts w:ascii="Times New Roman" w:hAnsi="Times New Roman" w:cs="Times New Roman"/>
          <w:lang w:val="ru-RU" w:eastAsia="bg-BG"/>
        </w:rPr>
        <w:t xml:space="preserve"> 17025:2017;</w:t>
      </w:r>
    </w:p>
    <w:p w14:paraId="6687FE19" w14:textId="77777777" w:rsidR="00271FA2" w:rsidRPr="00F06DE2" w:rsidRDefault="00D35E51" w:rsidP="00641D12">
      <w:pPr>
        <w:autoSpaceDE w:val="0"/>
        <w:autoSpaceDN w:val="0"/>
        <w:adjustRightInd w:val="0"/>
        <w:spacing w:line="240" w:lineRule="atLeast"/>
        <w:ind w:left="567"/>
        <w:jc w:val="both"/>
        <w:rPr>
          <w:rFonts w:ascii="Times New Roman" w:hAnsi="Times New Roman" w:cs="Times New Roman"/>
          <w:lang w:val="ru-RU" w:eastAsia="bg-BG"/>
        </w:rPr>
      </w:pPr>
      <w:r w:rsidRPr="00F06DE2">
        <w:rPr>
          <w:rFonts w:ascii="Times New Roman" w:hAnsi="Times New Roman" w:cs="Times New Roman"/>
          <w:lang w:val="ru-RU" w:eastAsia="bg-BG"/>
        </w:rPr>
        <w:t>б) Всяко помещение трябва да бъде снабдено със собствена противопожарна система;</w:t>
      </w:r>
    </w:p>
    <w:p w14:paraId="0A2C049D" w14:textId="77777777" w:rsidR="00271FA2" w:rsidRPr="00F06DE2" w:rsidRDefault="00D35E51" w:rsidP="00641D12">
      <w:pPr>
        <w:autoSpaceDE w:val="0"/>
        <w:autoSpaceDN w:val="0"/>
        <w:adjustRightInd w:val="0"/>
        <w:spacing w:line="240" w:lineRule="atLeast"/>
        <w:ind w:left="567"/>
        <w:jc w:val="both"/>
        <w:rPr>
          <w:rFonts w:ascii="Times New Roman" w:hAnsi="Times New Roman" w:cs="Times New Roman"/>
          <w:lang w:val="ru-RU" w:eastAsia="bg-BG"/>
        </w:rPr>
      </w:pPr>
      <w:r w:rsidRPr="00F06DE2">
        <w:rPr>
          <w:rFonts w:ascii="Times New Roman" w:hAnsi="Times New Roman" w:cs="Times New Roman"/>
          <w:lang w:val="ru-RU" w:eastAsia="bg-BG"/>
        </w:rPr>
        <w:t>в) Пожарогасителният агент трябва да се съхранява в специално осигурени резервоари, които не са под налягане в защитено помещение. Тези резервоари трябва да бъдат монтирани по такъв начин, че пожарогасителният агент да се разпределя равномерно в помещението. По-специално, пожарогасителното средство трябва да работи и под обшивката на палубата;</w:t>
      </w:r>
    </w:p>
    <w:p w14:paraId="55B9B45B" w14:textId="77777777" w:rsidR="00271FA2" w:rsidRPr="00F06DE2" w:rsidRDefault="00D35E51" w:rsidP="00641D12">
      <w:pPr>
        <w:autoSpaceDE w:val="0"/>
        <w:autoSpaceDN w:val="0"/>
        <w:adjustRightInd w:val="0"/>
        <w:spacing w:line="240" w:lineRule="atLeast"/>
        <w:ind w:left="567"/>
        <w:jc w:val="both"/>
        <w:rPr>
          <w:rFonts w:ascii="Times New Roman" w:hAnsi="Times New Roman" w:cs="Times New Roman"/>
          <w:lang w:val="ru-RU" w:eastAsia="bg-BG"/>
        </w:rPr>
      </w:pPr>
      <w:r w:rsidRPr="00F06DE2">
        <w:rPr>
          <w:rFonts w:ascii="Times New Roman" w:hAnsi="Times New Roman" w:cs="Times New Roman"/>
          <w:lang w:val="ru-RU" w:eastAsia="bg-BG"/>
        </w:rPr>
        <w:t>г) Всеки резервоар е отделно свързан със задействащото устройство;</w:t>
      </w:r>
    </w:p>
    <w:p w14:paraId="5048DF2C" w14:textId="77777777" w:rsidR="00271FA2" w:rsidRPr="00F06DE2" w:rsidRDefault="00D35E51" w:rsidP="009F2E64">
      <w:pPr>
        <w:autoSpaceDE w:val="0"/>
        <w:autoSpaceDN w:val="0"/>
        <w:adjustRightInd w:val="0"/>
        <w:spacing w:after="240" w:line="240" w:lineRule="atLeast"/>
        <w:ind w:left="567"/>
        <w:jc w:val="both"/>
        <w:rPr>
          <w:rFonts w:ascii="Times New Roman" w:hAnsi="Times New Roman" w:cs="Times New Roman"/>
          <w:lang w:val="ru-RU" w:eastAsia="bg-BG"/>
        </w:rPr>
      </w:pPr>
      <w:r w:rsidRPr="00F06DE2">
        <w:rPr>
          <w:rFonts w:ascii="Times New Roman" w:hAnsi="Times New Roman" w:cs="Times New Roman"/>
          <w:lang w:val="ru-RU" w:eastAsia="bg-BG"/>
        </w:rPr>
        <w:t xml:space="preserve">д) Количеството пожарогасителен агент спрямо помещението, което трябва да бъде защитено, е най-малко 120 </w:t>
      </w:r>
      <w:r w:rsidRPr="00F06DE2">
        <w:rPr>
          <w:rFonts w:ascii="Times New Roman" w:hAnsi="Times New Roman" w:cs="Times New Roman"/>
          <w:lang w:eastAsia="bg-BG"/>
        </w:rPr>
        <w:t>g</w:t>
      </w:r>
      <w:r w:rsidRPr="00F06DE2">
        <w:rPr>
          <w:rFonts w:ascii="Times New Roman" w:hAnsi="Times New Roman" w:cs="Times New Roman"/>
          <w:lang w:val="ru-RU" w:eastAsia="bg-BG"/>
        </w:rPr>
        <w:t>/</w:t>
      </w:r>
      <w:r w:rsidRPr="00F06DE2">
        <w:rPr>
          <w:rFonts w:ascii="Times New Roman" w:hAnsi="Times New Roman" w:cs="Times New Roman"/>
          <w:lang w:eastAsia="bg-BG"/>
        </w:rPr>
        <w:t>m</w:t>
      </w:r>
      <w:r w:rsidRPr="00F06DE2">
        <w:rPr>
          <w:rFonts w:ascii="Times New Roman" w:hAnsi="Times New Roman" w:cs="Times New Roman"/>
          <w:vertAlign w:val="superscript"/>
          <w:lang w:val="ru-RU" w:eastAsia="bg-BG"/>
        </w:rPr>
        <w:t>3</w:t>
      </w:r>
      <w:r w:rsidRPr="00F06DE2">
        <w:rPr>
          <w:rFonts w:ascii="Times New Roman" w:hAnsi="Times New Roman" w:cs="Times New Roman"/>
          <w:lang w:val="ru-RU" w:eastAsia="bg-BG"/>
        </w:rPr>
        <w:t xml:space="preserve"> от нетния обем на това помещение. Този нетен обем се изчислява според </w:t>
      </w:r>
      <w:r w:rsidRPr="00F06DE2">
        <w:rPr>
          <w:rFonts w:ascii="Times New Roman" w:hAnsi="Times New Roman" w:cs="Times New Roman"/>
          <w:lang w:eastAsia="bg-BG"/>
        </w:rPr>
        <w:t>MSC</w:t>
      </w:r>
      <w:r w:rsidRPr="00F06DE2">
        <w:rPr>
          <w:rFonts w:ascii="Times New Roman" w:hAnsi="Times New Roman" w:cs="Times New Roman"/>
          <w:lang w:val="ru-RU" w:eastAsia="bg-BG"/>
        </w:rPr>
        <w:t>/</w:t>
      </w:r>
      <w:r w:rsidRPr="00F06DE2">
        <w:rPr>
          <w:rFonts w:ascii="Times New Roman" w:hAnsi="Times New Roman" w:cs="Times New Roman"/>
          <w:lang w:eastAsia="bg-BG"/>
        </w:rPr>
        <w:t>Circ</w:t>
      </w:r>
      <w:r w:rsidRPr="00F06DE2">
        <w:rPr>
          <w:rFonts w:ascii="Times New Roman" w:hAnsi="Times New Roman" w:cs="Times New Roman"/>
          <w:lang w:val="ru-RU" w:eastAsia="bg-BG"/>
        </w:rPr>
        <w:t>. 1270, т. 11.2 - 11.4. Пожарогасителният агент трябва да бъде дос</w:t>
      </w:r>
      <w:bookmarkStart w:id="208" w:name="_Toc535827548"/>
      <w:bookmarkStart w:id="209" w:name="_Toc491854107"/>
      <w:r w:rsidRPr="00F06DE2">
        <w:rPr>
          <w:rFonts w:ascii="Times New Roman" w:hAnsi="Times New Roman" w:cs="Times New Roman"/>
          <w:lang w:val="ru-RU" w:eastAsia="bg-BG"/>
        </w:rPr>
        <w:t>тавен в рамките на 120 секунди.</w:t>
      </w:r>
    </w:p>
    <w:p w14:paraId="16A68C34" w14:textId="32459572"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13.06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Постоянно монтирани противопожарни системи за защита на предмети</w:t>
      </w:r>
      <w:bookmarkEnd w:id="208"/>
      <w:bookmarkEnd w:id="209"/>
    </w:p>
    <w:p w14:paraId="0E5D6BFA" w14:textId="77777777" w:rsidR="00271FA2" w:rsidRPr="00F06DE2" w:rsidRDefault="00D35E51">
      <w:pPr>
        <w:pStyle w:val="ESgauche"/>
        <w:ind w:left="567" w:hanging="567"/>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За защита могат да се използват постоянно монтирани противопожарни системи за защита на обекти, системи и оборудване. Освен това стаите могат да бъдат защитени и с противопожарна система в съответствие с този член, освен ако тези стаи не са предмет на членове 13.04 или 13.05 или са защитени с противопожарни системи в съответствие с членове 13.04 или 13.05.</w:t>
      </w:r>
    </w:p>
    <w:p w14:paraId="31041B6E" w14:textId="77777777" w:rsidR="00271FA2" w:rsidRPr="00F06DE2" w:rsidRDefault="00D35E51">
      <w:pPr>
        <w:pStyle w:val="ESgauche"/>
        <w:ind w:left="567"/>
        <w:jc w:val="both"/>
        <w:rPr>
          <w:rFonts w:ascii="Times New Roman" w:hAnsi="Times New Roman" w:cs="Times New Roman"/>
          <w:lang w:val="ru-RU"/>
        </w:rPr>
      </w:pPr>
      <w:r w:rsidRPr="00F06DE2">
        <w:rPr>
          <w:rFonts w:ascii="Times New Roman" w:hAnsi="Times New Roman" w:cs="Times New Roman"/>
          <w:lang w:val="ru-RU"/>
        </w:rPr>
        <w:t>Въздействието на противопожарните системи трябва да бъде насочено директно към обектите, които трябва да бъдат защитени. Работната зона на противопожарните системи може да бъде ограничена чрез конструктивни мерки.</w:t>
      </w:r>
    </w:p>
    <w:p w14:paraId="059D1AFD" w14:textId="77777777" w:rsidR="00271FA2" w:rsidRPr="00F06DE2" w:rsidRDefault="00D35E51">
      <w:pPr>
        <w:pStyle w:val="ESgauche"/>
        <w:ind w:left="567"/>
        <w:jc w:val="both"/>
        <w:rPr>
          <w:rFonts w:ascii="Times New Roman" w:hAnsi="Times New Roman" w:cs="Times New Roman"/>
          <w:lang w:val="ru-RU"/>
        </w:rPr>
      </w:pPr>
      <w:r w:rsidRPr="00F06DE2">
        <w:rPr>
          <w:rFonts w:ascii="Times New Roman" w:hAnsi="Times New Roman" w:cs="Times New Roman"/>
          <w:lang w:val="ru-RU"/>
        </w:rPr>
        <w:t>Противопожарните системи за защита на обекти могат вече да бъдат структурно интегрирани с въпросния обект.</w:t>
      </w:r>
    </w:p>
    <w:p w14:paraId="77210F15" w14:textId="77777777" w:rsidR="00271FA2" w:rsidRPr="00F06DE2" w:rsidRDefault="00D35E51">
      <w:pPr>
        <w:pStyle w:val="ESgauche"/>
        <w:ind w:left="567"/>
        <w:jc w:val="both"/>
        <w:rPr>
          <w:rFonts w:ascii="Times New Roman" w:hAnsi="Times New Roman" w:cs="Times New Roman"/>
          <w:lang w:val="ru-RU"/>
        </w:rPr>
      </w:pPr>
      <w:r w:rsidRPr="00F06DE2">
        <w:rPr>
          <w:rFonts w:ascii="Times New Roman" w:hAnsi="Times New Roman" w:cs="Times New Roman"/>
          <w:lang w:val="ru-RU"/>
        </w:rPr>
        <w:t>По отношение на доставката им на пожарогасителен агент, стационарно монтираните противопожарни системи за защита на обекти са независими от системите, посочени в членове 13.04 и 13.05, както и точка 5 от този член.</w:t>
      </w:r>
    </w:p>
    <w:p w14:paraId="4A4C9B27" w14:textId="77777777" w:rsidR="00271FA2" w:rsidRPr="00F06DE2" w:rsidRDefault="00D35E51">
      <w:pPr>
        <w:pStyle w:val="ESgauche"/>
        <w:numPr>
          <w:ilvl w:val="0"/>
          <w:numId w:val="14"/>
        </w:numPr>
        <w:ind w:left="567" w:hanging="567"/>
        <w:jc w:val="both"/>
        <w:rPr>
          <w:rFonts w:ascii="Times New Roman" w:hAnsi="Times New Roman" w:cs="Times New Roman"/>
          <w:lang w:val="ru-RU"/>
        </w:rPr>
      </w:pPr>
      <w:r w:rsidRPr="00F06DE2">
        <w:rPr>
          <w:rFonts w:ascii="Times New Roman" w:hAnsi="Times New Roman" w:cs="Times New Roman"/>
          <w:lang w:val="ru-RU"/>
        </w:rPr>
        <w:lastRenderedPageBreak/>
        <w:t>Следните изисквания на член 13.05 се прилагат за постоянно монтирани противопожарни системи за защита на обекти:</w:t>
      </w:r>
    </w:p>
    <w:p w14:paraId="77E91130" w14:textId="77777777" w:rsidR="00271FA2" w:rsidRPr="00F06DE2" w:rsidRDefault="00D35E51" w:rsidP="00641D12">
      <w:pPr>
        <w:pStyle w:val="ESgauche"/>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точка 2 ако използваният пожарогасителен агент се нуждае от ограничаване на работната зона от структурни мерки;</w:t>
      </w:r>
    </w:p>
    <w:p w14:paraId="43455F77" w14:textId="77777777" w:rsidR="00271FA2" w:rsidRPr="00F06DE2" w:rsidRDefault="00D35E51" w:rsidP="00641D12">
      <w:pPr>
        <w:pStyle w:val="ESgauche"/>
        <w:ind w:left="567"/>
        <w:jc w:val="both"/>
        <w:rPr>
          <w:rFonts w:ascii="Times New Roman" w:hAnsi="Times New Roman" w:cs="Times New Roman"/>
          <w:lang w:val="ru-RU"/>
        </w:rPr>
      </w:pPr>
      <w:r w:rsidRPr="00F06DE2">
        <w:rPr>
          <w:rFonts w:ascii="Times New Roman" w:hAnsi="Times New Roman" w:cs="Times New Roman"/>
          <w:lang w:val="ru-RU"/>
        </w:rPr>
        <w:t>б) точки 3 и 4;</w:t>
      </w:r>
    </w:p>
    <w:p w14:paraId="576C29FA" w14:textId="77777777" w:rsidR="00271FA2" w:rsidRPr="00F06DE2" w:rsidRDefault="00D35E51" w:rsidP="00641D12">
      <w:pPr>
        <w:pStyle w:val="ESgauche"/>
        <w:ind w:left="567"/>
        <w:jc w:val="both"/>
        <w:rPr>
          <w:rFonts w:ascii="Times New Roman" w:hAnsi="Times New Roman" w:cs="Times New Roman"/>
          <w:lang w:val="ru-RU"/>
        </w:rPr>
      </w:pPr>
      <w:r w:rsidRPr="00F06DE2">
        <w:rPr>
          <w:rFonts w:ascii="Times New Roman" w:hAnsi="Times New Roman" w:cs="Times New Roman"/>
          <w:lang w:val="ru-RU"/>
        </w:rPr>
        <w:t>в) точка 5, букви “б” и “в”, в допълнение към разпоредбите на точка 3 от този член;</w:t>
      </w:r>
    </w:p>
    <w:p w14:paraId="6B933C2D" w14:textId="77777777" w:rsidR="00271FA2" w:rsidRPr="00F06DE2" w:rsidRDefault="00D35E51" w:rsidP="00641D12">
      <w:pPr>
        <w:pStyle w:val="ESgauche"/>
        <w:ind w:left="567"/>
        <w:jc w:val="both"/>
        <w:rPr>
          <w:rFonts w:ascii="Times New Roman" w:hAnsi="Times New Roman" w:cs="Times New Roman"/>
          <w:lang w:val="ru-RU"/>
        </w:rPr>
      </w:pPr>
      <w:r w:rsidRPr="00F06DE2">
        <w:rPr>
          <w:rFonts w:ascii="Times New Roman" w:hAnsi="Times New Roman" w:cs="Times New Roman"/>
          <w:lang w:val="ru-RU"/>
        </w:rPr>
        <w:t xml:space="preserve">г) точка 6 букви “а-д” и на всеки вход на стая или в близост до затворен обект, трябва да се постави ясно видима подходяща бележка върху пожарогасителната система за обекти; </w:t>
      </w:r>
    </w:p>
    <w:p w14:paraId="0A787AD2" w14:textId="77777777" w:rsidR="00271FA2" w:rsidRPr="00F06DE2" w:rsidRDefault="00D35E51" w:rsidP="00641D12">
      <w:pPr>
        <w:pStyle w:val="ESgauche"/>
        <w:ind w:left="567"/>
        <w:jc w:val="both"/>
        <w:rPr>
          <w:rFonts w:ascii="Times New Roman" w:hAnsi="Times New Roman" w:cs="Times New Roman"/>
          <w:lang w:val="ru-RU"/>
        </w:rPr>
      </w:pPr>
      <w:r w:rsidRPr="00F06DE2">
        <w:rPr>
          <w:rFonts w:ascii="Times New Roman" w:hAnsi="Times New Roman" w:cs="Times New Roman"/>
          <w:lang w:val="ru-RU"/>
        </w:rPr>
        <w:t>д) точки 7-13;</w:t>
      </w:r>
    </w:p>
    <w:p w14:paraId="4B0C7021" w14:textId="77777777" w:rsidR="00271FA2" w:rsidRPr="00F06DE2" w:rsidRDefault="00D35E51" w:rsidP="00641D12">
      <w:pPr>
        <w:pStyle w:val="ESgauche"/>
        <w:ind w:left="567"/>
        <w:jc w:val="both"/>
        <w:rPr>
          <w:rFonts w:ascii="Times New Roman" w:hAnsi="Times New Roman" w:cs="Times New Roman"/>
          <w:lang w:val="ru-RU"/>
        </w:rPr>
      </w:pPr>
      <w:r w:rsidRPr="00F06DE2">
        <w:rPr>
          <w:rFonts w:ascii="Times New Roman" w:hAnsi="Times New Roman" w:cs="Times New Roman"/>
          <w:lang w:val="ru-RU"/>
        </w:rPr>
        <w:t>е) точка 14 букви “б-ж”, когато един източник на енергия е достатъчен, и букви “и” и “й”;</w:t>
      </w:r>
    </w:p>
    <w:p w14:paraId="3736716A" w14:textId="77777777" w:rsidR="00271FA2" w:rsidRPr="00F06DE2" w:rsidRDefault="00D35E51" w:rsidP="00641D12">
      <w:pPr>
        <w:pStyle w:val="ESgauche"/>
        <w:ind w:left="567"/>
        <w:jc w:val="both"/>
        <w:rPr>
          <w:rFonts w:ascii="Times New Roman" w:hAnsi="Times New Roman" w:cs="Times New Roman"/>
          <w:lang w:val="ru-RU"/>
        </w:rPr>
      </w:pPr>
      <w:r w:rsidRPr="00F06DE2">
        <w:rPr>
          <w:rFonts w:ascii="Times New Roman" w:hAnsi="Times New Roman" w:cs="Times New Roman"/>
          <w:lang w:val="ru-RU"/>
        </w:rPr>
        <w:t>ж) точка 15 букви “б“ и “д”.</w:t>
      </w:r>
    </w:p>
    <w:p w14:paraId="3EA9B7AA" w14:textId="77777777" w:rsidR="00271FA2" w:rsidRPr="00F06DE2" w:rsidRDefault="00D35E51" w:rsidP="00641D12">
      <w:pPr>
        <w:pStyle w:val="ESgauche"/>
        <w:ind w:left="567"/>
        <w:jc w:val="both"/>
        <w:rPr>
          <w:rFonts w:ascii="Times New Roman" w:hAnsi="Times New Roman" w:cs="Times New Roman"/>
          <w:lang w:val="ru-RU"/>
        </w:rPr>
      </w:pPr>
      <w:r w:rsidRPr="00F06DE2">
        <w:rPr>
          <w:rFonts w:ascii="Times New Roman" w:hAnsi="Times New Roman" w:cs="Times New Roman"/>
          <w:lang w:val="ru-RU"/>
        </w:rPr>
        <w:t>Противопожарните системи за защита на обекти трябва да използват само гасителни средства, които са подходящи за гасене на пожар на или в обекта, който трябва да бъде защитен, и които са изброени в член 13.05, точка 1.</w:t>
      </w:r>
    </w:p>
    <w:p w14:paraId="0FF7CB87" w14:textId="77777777" w:rsidR="00271FA2" w:rsidRPr="00F06DE2" w:rsidRDefault="00D35E51" w:rsidP="00641D12">
      <w:pPr>
        <w:pStyle w:val="ESgauche"/>
        <w:ind w:left="567"/>
        <w:jc w:val="both"/>
        <w:rPr>
          <w:rFonts w:ascii="Times New Roman" w:hAnsi="Times New Roman" w:cs="Times New Roman"/>
          <w:lang w:val="ru-RU"/>
        </w:rPr>
      </w:pPr>
      <w:r w:rsidRPr="00F06DE2">
        <w:rPr>
          <w:rFonts w:ascii="Times New Roman" w:hAnsi="Times New Roman" w:cs="Times New Roman"/>
          <w:lang w:val="ru-RU"/>
        </w:rPr>
        <w:t>Контролният орган може да разреши дерогации по отношение на пожарогасителния агент за постоянно монтирани противопожарни системи за защита на обекти, които се основават на пожарна концепция за защита.</w:t>
      </w:r>
    </w:p>
    <w:p w14:paraId="3047BA8F" w14:textId="77777777" w:rsidR="00271FA2" w:rsidRPr="00F06DE2" w:rsidRDefault="00D35E51">
      <w:pPr>
        <w:pStyle w:val="ESgauche"/>
        <w:numPr>
          <w:ilvl w:val="0"/>
          <w:numId w:val="14"/>
        </w:numPr>
        <w:ind w:left="567" w:hanging="567"/>
        <w:jc w:val="both"/>
        <w:rPr>
          <w:rFonts w:ascii="Times New Roman" w:hAnsi="Times New Roman" w:cs="Times New Roman"/>
          <w:lang w:val="ru-RU"/>
        </w:rPr>
      </w:pPr>
      <w:r w:rsidRPr="00F06DE2">
        <w:rPr>
          <w:rFonts w:ascii="Times New Roman" w:hAnsi="Times New Roman" w:cs="Times New Roman"/>
          <w:lang w:val="ru-RU"/>
        </w:rPr>
        <w:t>Стационарно монтираните противопожарни системи за защита на обекти трябва да имат възможност за ръчно задействане. Трябва да е възможно ръчно задействане в непосредствена близост до защитавания обект. Те могат да се задействат автоматично, ако сигналът за задействане бъде пуснат от два пожарни детектора с различни методи за откриване. Задействането трябва да се извърши незабавно. Ако противопожарната система е предназначена за защита на няколко обекта, задействащите устройства за всеки обект трябва да бъдат отделени и ясно идентифицирани.</w:t>
      </w:r>
    </w:p>
    <w:p w14:paraId="4ACCC27C" w14:textId="77777777" w:rsidR="00271FA2" w:rsidRPr="00F06DE2" w:rsidRDefault="00D35E51">
      <w:pPr>
        <w:pStyle w:val="ESgauche"/>
        <w:ind w:left="567"/>
        <w:jc w:val="both"/>
        <w:rPr>
          <w:rFonts w:ascii="Times New Roman" w:hAnsi="Times New Roman" w:cs="Times New Roman"/>
          <w:lang w:val="ru-RU"/>
        </w:rPr>
      </w:pPr>
      <w:r w:rsidRPr="00F06DE2">
        <w:rPr>
          <w:rFonts w:ascii="Times New Roman" w:hAnsi="Times New Roman" w:cs="Times New Roman"/>
          <w:lang w:val="ru-RU"/>
        </w:rPr>
        <w:t>Задействането на пожарогасителната система трябва да бъде указано в рулевата рубка и на входа на помещението, в което се намира защитеният обект. В случай, че имаме затворени предмети, индикацията на входа на помещението може да бъде пропусната, ако индикаторът е прикрепен към самия обект.</w:t>
      </w:r>
    </w:p>
    <w:p w14:paraId="2C4DF447" w14:textId="77777777" w:rsidR="00271FA2" w:rsidRPr="00F06DE2" w:rsidRDefault="00D35E51">
      <w:pPr>
        <w:pStyle w:val="ESgauche"/>
        <w:ind w:left="567"/>
        <w:jc w:val="both"/>
        <w:rPr>
          <w:rFonts w:ascii="Times New Roman" w:hAnsi="Times New Roman" w:cs="Times New Roman"/>
          <w:lang w:val="ru-RU"/>
        </w:rPr>
      </w:pPr>
      <w:r w:rsidRPr="00F06DE2">
        <w:rPr>
          <w:rFonts w:ascii="Times New Roman" w:hAnsi="Times New Roman" w:cs="Times New Roman"/>
          <w:lang w:val="ru-RU"/>
        </w:rPr>
        <w:t>За ръчно задействане се прилагат инструкции за работа в съответствие с член 13.05, точка 5, буква “д” поставени до всяко задействащо устройство, като се има предвид местоположението и естеството на обекта.</w:t>
      </w:r>
    </w:p>
    <w:p w14:paraId="45A10A7B" w14:textId="77777777" w:rsidR="00271FA2" w:rsidRPr="00F06DE2" w:rsidRDefault="00D35E51">
      <w:pPr>
        <w:pStyle w:val="ESgauche"/>
        <w:numPr>
          <w:ilvl w:val="0"/>
          <w:numId w:val="14"/>
        </w:numPr>
        <w:ind w:left="567" w:hanging="567"/>
        <w:jc w:val="both"/>
        <w:rPr>
          <w:rFonts w:ascii="Times New Roman" w:hAnsi="Times New Roman" w:cs="Times New Roman"/>
          <w:lang w:val="ru-RU"/>
        </w:rPr>
      </w:pPr>
      <w:r w:rsidRPr="00F06DE2">
        <w:rPr>
          <w:rFonts w:ascii="Times New Roman" w:hAnsi="Times New Roman" w:cs="Times New Roman"/>
          <w:lang w:val="ru-RU"/>
        </w:rPr>
        <w:t>Видът и разположението на стационарно монтираните противопожарни системи за защита на обекти се вписва в точка 52 от Корабното удостоверение за вътрешно корабоплаване.</w:t>
      </w:r>
    </w:p>
    <w:p w14:paraId="4E1BDD7C" w14:textId="77777777" w:rsidR="00271FA2" w:rsidRPr="00F06DE2" w:rsidRDefault="00D35E51">
      <w:pPr>
        <w:pStyle w:val="ESgauche"/>
        <w:numPr>
          <w:ilvl w:val="0"/>
          <w:numId w:val="14"/>
        </w:numPr>
        <w:ind w:left="567" w:hanging="567"/>
        <w:jc w:val="both"/>
        <w:rPr>
          <w:rFonts w:ascii="Times New Roman" w:hAnsi="Times New Roman" w:cs="Times New Roman"/>
          <w:lang w:val="ru-RU"/>
        </w:rPr>
      </w:pPr>
      <w:r w:rsidRPr="00F06DE2">
        <w:rPr>
          <w:rFonts w:ascii="Times New Roman" w:hAnsi="Times New Roman" w:cs="Times New Roman"/>
          <w:lang w:val="ru-RU"/>
        </w:rPr>
        <w:t xml:space="preserve">Разпоредбите на този член не се прилагат за системите за пръскане с вода в съответствие с раздели 9.3.1.28, 9.3.2.28 и 9.3.3.28 от </w:t>
      </w:r>
      <w:r w:rsidRPr="00F06DE2">
        <w:rPr>
          <w:rFonts w:ascii="Times New Roman" w:hAnsi="Times New Roman" w:cs="Times New Roman"/>
        </w:rPr>
        <w:t>ADN</w:t>
      </w:r>
      <w:r w:rsidRPr="00F06DE2">
        <w:rPr>
          <w:rFonts w:ascii="Times New Roman" w:hAnsi="Times New Roman" w:cs="Times New Roman"/>
          <w:lang w:val="ru-RU"/>
        </w:rPr>
        <w:t>.</w:t>
      </w:r>
    </w:p>
    <w:p w14:paraId="1DFA99AE" w14:textId="77777777" w:rsidR="00641D12" w:rsidRPr="00F06DE2" w:rsidRDefault="00641D12">
      <w:pPr>
        <w:pStyle w:val="ES-Titre3"/>
        <w:spacing w:line="240" w:lineRule="atLeast"/>
        <w:rPr>
          <w:rFonts w:ascii="Times New Roman" w:hAnsi="Times New Roman" w:cs="Times New Roman"/>
          <w:sz w:val="24"/>
          <w:szCs w:val="24"/>
          <w:lang w:val="ru-RU"/>
        </w:rPr>
      </w:pPr>
      <w:bookmarkStart w:id="210" w:name="_Toc491854108"/>
      <w:bookmarkStart w:id="211" w:name="_Toc535827549"/>
    </w:p>
    <w:p w14:paraId="1E0CBEDB" w14:textId="5341CA4C"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13.07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Корабни лодки</w:t>
      </w:r>
      <w:bookmarkEnd w:id="210"/>
      <w:bookmarkEnd w:id="211"/>
    </w:p>
    <w:p w14:paraId="6A02A51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Изброените плавателни средства трябва да носят на борда си Корабни лодки в съответствие с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1914:2016:</w:t>
      </w:r>
    </w:p>
    <w:p w14:paraId="0284FCF1"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моторни товарни плавателни съдове, моторни танкери и баржи с товароподемност над 150</w:t>
      </w:r>
      <w:r w:rsidRPr="00F06DE2">
        <w:rPr>
          <w:rFonts w:ascii="Times New Roman" w:hAnsi="Times New Roman" w:cs="Times New Roman"/>
        </w:rPr>
        <w:t> t</w:t>
      </w:r>
      <w:r w:rsidRPr="00F06DE2">
        <w:rPr>
          <w:rFonts w:ascii="Times New Roman" w:hAnsi="Times New Roman" w:cs="Times New Roman"/>
          <w:lang w:val="ru-RU"/>
        </w:rPr>
        <w:t>;</w:t>
      </w:r>
    </w:p>
    <w:p w14:paraId="42E84DE4"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влекачи и тласкачи с обемно водоизместване над 150</w:t>
      </w:r>
      <w:r w:rsidRPr="00F06DE2">
        <w:rPr>
          <w:rFonts w:ascii="Times New Roman" w:hAnsi="Times New Roman" w:cs="Times New Roman"/>
        </w:rPr>
        <w:t> 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p>
    <w:p w14:paraId="65010157"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плаващи съоръжения;</w:t>
      </w:r>
    </w:p>
    <w:p w14:paraId="729D4B75"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lastRenderedPageBreak/>
        <w:t>г) пътнически плавателни съдове.</w:t>
      </w:r>
    </w:p>
    <w:p w14:paraId="1764B41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Трябва да е възможно Корабните лодки да се спускат безопасно на вода от едно лице в рамките на пет минути от първото необходимо ръчно действие. Когато се използва силово спускателно устройство, то е от такъв вид, че безопасното и бързо спускане да не бъде затруднено, ако има повреда в захранването.</w:t>
      </w:r>
    </w:p>
    <w:p w14:paraId="0D5D1E6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Надуваемите Корабни лодки се проверяват съгласно указанията на производителя.</w:t>
      </w:r>
    </w:p>
    <w:p w14:paraId="474044F9" w14:textId="77777777" w:rsidR="00641D12" w:rsidRPr="00F06DE2" w:rsidRDefault="00641D12">
      <w:pPr>
        <w:pStyle w:val="ES-Titre3"/>
        <w:spacing w:line="240" w:lineRule="atLeast"/>
        <w:rPr>
          <w:rFonts w:ascii="Times New Roman" w:hAnsi="Times New Roman" w:cs="Times New Roman"/>
          <w:sz w:val="24"/>
          <w:szCs w:val="24"/>
          <w:lang w:val="ru-RU"/>
        </w:rPr>
      </w:pPr>
      <w:bookmarkStart w:id="212" w:name="_Toc535827550"/>
      <w:bookmarkStart w:id="213" w:name="_Toc491854109"/>
    </w:p>
    <w:p w14:paraId="48637B81" w14:textId="1A83A43C"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13.08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Спасителни кръгове и спасителни жилетки</w:t>
      </w:r>
      <w:bookmarkEnd w:id="212"/>
      <w:bookmarkEnd w:id="213"/>
    </w:p>
    <w:p w14:paraId="2B85DEE7" w14:textId="77777777" w:rsidR="00271FA2" w:rsidRPr="00F06DE2" w:rsidRDefault="00D35E51" w:rsidP="00641D12">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На борда на плавателното средство трябва да има най-малко три спасителни кръга: </w:t>
      </w:r>
    </w:p>
    <w:p w14:paraId="49C511FE"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 xml:space="preserve">в съответствие с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14144:2003; или</w:t>
      </w:r>
    </w:p>
    <w:p w14:paraId="28502174"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в съответствие с разпоредбите на Международната конвенцията за безопасност на човешкия живот на море от 1974</w:t>
      </w:r>
      <w:r w:rsidRPr="00F06DE2">
        <w:rPr>
          <w:rFonts w:ascii="Times New Roman" w:hAnsi="Times New Roman" w:cs="Times New Roman"/>
        </w:rPr>
        <w:t> </w:t>
      </w:r>
      <w:r w:rsidRPr="00F06DE2">
        <w:rPr>
          <w:rFonts w:ascii="Times New Roman" w:hAnsi="Times New Roman" w:cs="Times New Roman"/>
          <w:lang w:val="ru-RU"/>
        </w:rPr>
        <w:t xml:space="preserve">г. (Конвенция </w:t>
      </w:r>
      <w:r w:rsidRPr="00F06DE2">
        <w:rPr>
          <w:rFonts w:ascii="Times New Roman" w:hAnsi="Times New Roman" w:cs="Times New Roman"/>
        </w:rPr>
        <w:t>SOLAS</w:t>
      </w:r>
      <w:r w:rsidRPr="00F06DE2">
        <w:rPr>
          <w:rFonts w:ascii="Times New Roman" w:hAnsi="Times New Roman" w:cs="Times New Roman"/>
          <w:lang w:val="ru-RU"/>
        </w:rPr>
        <w:t xml:space="preserve"> от 1974</w:t>
      </w:r>
      <w:r w:rsidRPr="00F06DE2">
        <w:rPr>
          <w:rFonts w:ascii="Times New Roman" w:hAnsi="Times New Roman" w:cs="Times New Roman"/>
        </w:rPr>
        <w:t> </w:t>
      </w:r>
      <w:r w:rsidRPr="00F06DE2">
        <w:rPr>
          <w:rFonts w:ascii="Times New Roman" w:hAnsi="Times New Roman" w:cs="Times New Roman"/>
          <w:lang w:val="ru-RU"/>
        </w:rPr>
        <w:t xml:space="preserve">г.), Глава </w:t>
      </w:r>
      <w:r w:rsidRPr="00F06DE2">
        <w:rPr>
          <w:rFonts w:ascii="Times New Roman" w:hAnsi="Times New Roman" w:cs="Times New Roman"/>
        </w:rPr>
        <w:t>III</w:t>
      </w:r>
      <w:r w:rsidRPr="00F06DE2">
        <w:rPr>
          <w:rFonts w:ascii="Times New Roman" w:hAnsi="Times New Roman" w:cs="Times New Roman"/>
          <w:lang w:val="ru-RU"/>
        </w:rPr>
        <w:t>, Правило 7.1 и Международния кодекс за спасителните средства, точка 2.1.</w:t>
      </w:r>
    </w:p>
    <w:p w14:paraId="2520335D" w14:textId="77777777" w:rsidR="00271FA2" w:rsidRPr="00F06DE2" w:rsidRDefault="00D35E51" w:rsidP="00641D12">
      <w:pPr>
        <w:pStyle w:val="ESchpar"/>
        <w:jc w:val="both"/>
        <w:rPr>
          <w:rFonts w:ascii="Times New Roman" w:hAnsi="Times New Roman" w:cs="Times New Roman"/>
          <w:lang w:val="ru-RU"/>
        </w:rPr>
      </w:pPr>
      <w:r w:rsidRPr="00F06DE2">
        <w:rPr>
          <w:rFonts w:ascii="Times New Roman" w:hAnsi="Times New Roman" w:cs="Times New Roman"/>
          <w:lang w:val="ru-RU"/>
        </w:rPr>
        <w:t>Те трябва да са в състояние на готовност за употреба и да са закрепени на палубата на съответните места, но без да са неподвижно закрепени към стойката си. Поне един спасителен кръг се разполага в непосредствена близост до рулевата рубка и е оборудван с автоматично включваща се светлина на батерия, която не загасва във водата.</w:t>
      </w:r>
    </w:p>
    <w:p w14:paraId="5F5F308E" w14:textId="77777777" w:rsidR="00271FA2" w:rsidRPr="00F06DE2" w:rsidRDefault="00D35E51" w:rsidP="00641D12">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Индивидуално означена, автоматично надуваема спасителна жилетка трябва да е достъпна за всяко лице, което е редовно на борда на плавателно средство. Тези спасителни жилетки трябва да съответстват на: </w:t>
      </w:r>
    </w:p>
    <w:p w14:paraId="61D69326" w14:textId="77777777" w:rsidR="00271FA2" w:rsidRPr="00F06DE2" w:rsidRDefault="00D35E51" w:rsidP="00641D12">
      <w:pPr>
        <w:pStyle w:val="ESlet"/>
        <w:spacing w:before="0"/>
        <w:ind w:left="567"/>
        <w:rPr>
          <w:rFonts w:ascii="Times New Roman" w:hAnsi="Times New Roman" w:cs="Times New Roman"/>
          <w:lang w:val="ru-RU"/>
        </w:rPr>
      </w:pPr>
      <w:r w:rsidRPr="00F06DE2">
        <w:rPr>
          <w:rFonts w:ascii="Times New Roman" w:hAnsi="Times New Roman" w:cs="Times New Roman"/>
          <w:lang w:val="ru-RU"/>
        </w:rPr>
        <w:t>а) Регламент ЕС 2016/425</w:t>
      </w:r>
      <w:r w:rsidRPr="00F06DE2">
        <w:rPr>
          <w:rStyle w:val="FootnoteReference"/>
          <w:rFonts w:ascii="Times New Roman" w:hAnsi="Times New Roman" w:cs="Times New Roman"/>
        </w:rPr>
        <w:footnoteReference w:id="7"/>
      </w:r>
      <w:r w:rsidRPr="00F06DE2">
        <w:rPr>
          <w:rFonts w:ascii="Times New Roman" w:hAnsi="Times New Roman" w:cs="Times New Roman"/>
          <w:lang w:val="ru-RU"/>
        </w:rPr>
        <w:t xml:space="preserve"> както е изменен; или</w:t>
      </w:r>
    </w:p>
    <w:p w14:paraId="7FD7F14B"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Международната конвенцията за безопасност на човешкия живот на море от 1974</w:t>
      </w:r>
      <w:r w:rsidRPr="00F06DE2">
        <w:rPr>
          <w:rFonts w:ascii="Times New Roman" w:hAnsi="Times New Roman" w:cs="Times New Roman"/>
        </w:rPr>
        <w:t> </w:t>
      </w:r>
      <w:r w:rsidRPr="00F06DE2">
        <w:rPr>
          <w:rFonts w:ascii="Times New Roman" w:hAnsi="Times New Roman" w:cs="Times New Roman"/>
          <w:lang w:val="ru-RU"/>
        </w:rPr>
        <w:t xml:space="preserve">г. (Конвенция </w:t>
      </w:r>
      <w:r w:rsidRPr="00F06DE2">
        <w:rPr>
          <w:rFonts w:ascii="Times New Roman" w:hAnsi="Times New Roman" w:cs="Times New Roman"/>
        </w:rPr>
        <w:t>SOLAS</w:t>
      </w:r>
      <w:r w:rsidRPr="00F06DE2">
        <w:rPr>
          <w:rFonts w:ascii="Times New Roman" w:hAnsi="Times New Roman" w:cs="Times New Roman"/>
          <w:lang w:val="ru-RU"/>
        </w:rPr>
        <w:t xml:space="preserve"> от 1974 г.), Глава </w:t>
      </w:r>
      <w:r w:rsidRPr="00F06DE2">
        <w:rPr>
          <w:rFonts w:ascii="Times New Roman" w:hAnsi="Times New Roman" w:cs="Times New Roman"/>
        </w:rPr>
        <w:t>III</w:t>
      </w:r>
      <w:r w:rsidRPr="00F06DE2">
        <w:rPr>
          <w:rFonts w:ascii="Times New Roman" w:hAnsi="Times New Roman" w:cs="Times New Roman"/>
          <w:lang w:val="ru-RU"/>
        </w:rPr>
        <w:t>, Правило 7.2 и Международния кодекс за спасителните средства, точка 2.2.</w:t>
      </w:r>
    </w:p>
    <w:p w14:paraId="1A50B7F2"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Изискванията на буква “а” по-горе се считат за изпълнени, когато спасителната жилетка отговаря на Европейските стандарти </w:t>
      </w:r>
      <w:r w:rsidRPr="00F06DE2">
        <w:rPr>
          <w:rFonts w:ascii="Times New Roman" w:hAnsi="Times New Roman" w:cs="Times New Roman"/>
        </w:rPr>
        <w:t>EN</w:t>
      </w:r>
      <w:r w:rsidRPr="00F06DE2">
        <w:rPr>
          <w:rFonts w:ascii="Times New Roman" w:hAnsi="Times New Roman" w:cs="Times New Roman"/>
          <w:lang w:val="ru-RU"/>
        </w:rPr>
        <w:t xml:space="preserve"> </w:t>
      </w:r>
      <w:r w:rsidRPr="00F06DE2">
        <w:rPr>
          <w:rFonts w:ascii="Times New Roman" w:hAnsi="Times New Roman" w:cs="Times New Roman"/>
        </w:rPr>
        <w:t>ISO</w:t>
      </w:r>
      <w:r w:rsidRPr="00F06DE2">
        <w:rPr>
          <w:rFonts w:ascii="Times New Roman" w:hAnsi="Times New Roman" w:cs="Times New Roman"/>
          <w:lang w:val="ru-RU"/>
        </w:rPr>
        <w:t xml:space="preserve"> 12402-2:2020, </w:t>
      </w:r>
      <w:r w:rsidRPr="00F06DE2">
        <w:rPr>
          <w:rFonts w:ascii="Times New Roman" w:hAnsi="Times New Roman" w:cs="Times New Roman"/>
        </w:rPr>
        <w:t>EN</w:t>
      </w:r>
      <w:r w:rsidRPr="00F06DE2">
        <w:rPr>
          <w:rFonts w:ascii="Times New Roman" w:hAnsi="Times New Roman" w:cs="Times New Roman"/>
          <w:lang w:val="ru-RU"/>
        </w:rPr>
        <w:t xml:space="preserve"> </w:t>
      </w:r>
      <w:r w:rsidRPr="00F06DE2">
        <w:rPr>
          <w:rFonts w:ascii="Times New Roman" w:hAnsi="Times New Roman" w:cs="Times New Roman"/>
        </w:rPr>
        <w:t>ISO</w:t>
      </w:r>
      <w:r w:rsidRPr="00F06DE2">
        <w:rPr>
          <w:rFonts w:ascii="Times New Roman" w:hAnsi="Times New Roman" w:cs="Times New Roman"/>
          <w:lang w:val="ru-RU"/>
        </w:rPr>
        <w:t xml:space="preserve"> 12402-3:2020, </w:t>
      </w:r>
      <w:r w:rsidRPr="00F06DE2">
        <w:rPr>
          <w:rFonts w:ascii="Times New Roman" w:hAnsi="Times New Roman" w:cs="Times New Roman"/>
        </w:rPr>
        <w:t>EN</w:t>
      </w:r>
      <w:r w:rsidRPr="00F06DE2">
        <w:rPr>
          <w:rFonts w:ascii="Times New Roman" w:hAnsi="Times New Roman" w:cs="Times New Roman"/>
          <w:lang w:val="ru-RU"/>
        </w:rPr>
        <w:t xml:space="preserve"> </w:t>
      </w:r>
      <w:r w:rsidRPr="00F06DE2">
        <w:rPr>
          <w:rFonts w:ascii="Times New Roman" w:hAnsi="Times New Roman" w:cs="Times New Roman"/>
        </w:rPr>
        <w:t>ISO</w:t>
      </w:r>
      <w:r w:rsidRPr="00F06DE2">
        <w:rPr>
          <w:rFonts w:ascii="Times New Roman" w:hAnsi="Times New Roman" w:cs="Times New Roman"/>
          <w:lang w:val="ru-RU"/>
        </w:rPr>
        <w:t xml:space="preserve"> 12402-4:2020 г</w:t>
      </w:r>
    </w:p>
    <w:p w14:paraId="25AD6F65" w14:textId="77777777" w:rsidR="00271FA2" w:rsidRPr="00F06DE2" w:rsidRDefault="00D35E51" w:rsidP="00641D12">
      <w:pPr>
        <w:pStyle w:val="ESchpar"/>
        <w:jc w:val="both"/>
        <w:rPr>
          <w:rFonts w:ascii="Times New Roman" w:hAnsi="Times New Roman" w:cs="Times New Roman"/>
          <w:lang w:val="ru-RU"/>
        </w:rPr>
      </w:pPr>
      <w:r w:rsidRPr="00F06DE2">
        <w:rPr>
          <w:rFonts w:ascii="Times New Roman" w:hAnsi="Times New Roman" w:cs="Times New Roman"/>
          <w:lang w:val="ru-RU"/>
        </w:rPr>
        <w:t>Ненадуваеми спасителни жилетки, които отговарят на букви “а” и “б”, трябва да бъдат допустими също и за деца.</w:t>
      </w:r>
    </w:p>
    <w:p w14:paraId="6ED0FF2B" w14:textId="77777777" w:rsidR="00BA14A4" w:rsidRPr="00F06DE2" w:rsidRDefault="00D35E51" w:rsidP="00641D12">
      <w:pPr>
        <w:pStyle w:val="ESch"/>
        <w:rPr>
          <w:rFonts w:ascii="Times New Roman" w:hAnsi="Times New Roman" w:cs="Times New Roman"/>
          <w:lang w:val="ru-RU"/>
        </w:rPr>
        <w:sectPr w:rsidR="00BA14A4" w:rsidRPr="00F06DE2" w:rsidSect="00F06DE2">
          <w:headerReference w:type="default" r:id="rId45"/>
          <w:headerReference w:type="first" r:id="rId46"/>
          <w:footnotePr>
            <w:numRestart w:val="eachPage"/>
          </w:footnotePr>
          <w:pgSz w:w="11906" w:h="16838" w:code="9"/>
          <w:pgMar w:top="1134" w:right="1134" w:bottom="1134" w:left="1134" w:header="709" w:footer="709" w:gutter="0"/>
          <w:cols w:space="709"/>
          <w:titlePg/>
          <w:docGrid w:linePitch="272"/>
        </w:sectPr>
      </w:pPr>
      <w:r w:rsidRPr="00F06DE2">
        <w:rPr>
          <w:rFonts w:ascii="Times New Roman" w:hAnsi="Times New Roman" w:cs="Times New Roman"/>
          <w:lang w:val="ru-RU"/>
        </w:rPr>
        <w:t>3.</w:t>
      </w:r>
      <w:r w:rsidRPr="00F06DE2">
        <w:rPr>
          <w:rFonts w:ascii="Times New Roman" w:hAnsi="Times New Roman" w:cs="Times New Roman"/>
          <w:lang w:val="ru-RU"/>
        </w:rPr>
        <w:tab/>
        <w:t>Спасителните жилетки се проверяват в съответствие с инструкциите на производителя.</w:t>
      </w:r>
    </w:p>
    <w:p w14:paraId="0A12A5C4" w14:textId="77777777" w:rsidR="00271FA2" w:rsidRPr="00F06DE2" w:rsidRDefault="00D35E51">
      <w:pPr>
        <w:pStyle w:val="ES-Titre2"/>
        <w:rPr>
          <w:rFonts w:ascii="Times New Roman" w:hAnsi="Times New Roman" w:cs="Times New Roman"/>
          <w:lang w:val="ru-RU"/>
        </w:rPr>
      </w:pPr>
      <w:bookmarkStart w:id="214" w:name="_Toc491854110"/>
      <w:bookmarkStart w:id="215" w:name="_Toc535827551"/>
      <w:r w:rsidRPr="00F06DE2">
        <w:rPr>
          <w:rFonts w:ascii="Times New Roman" w:hAnsi="Times New Roman" w:cs="Times New Roman"/>
          <w:lang w:val="ru-RU"/>
        </w:rPr>
        <w:lastRenderedPageBreak/>
        <w:t>Глава 14</w:t>
      </w:r>
      <w:r w:rsidRPr="00F06DE2">
        <w:rPr>
          <w:rFonts w:ascii="Times New Roman" w:hAnsi="Times New Roman" w:cs="Times New Roman"/>
          <w:lang w:val="ru-RU"/>
        </w:rPr>
        <w:br/>
        <w:t>Безопасност на работното място</w:t>
      </w:r>
      <w:bookmarkEnd w:id="214"/>
      <w:bookmarkEnd w:id="215"/>
    </w:p>
    <w:p w14:paraId="27AC6C24" w14:textId="77777777" w:rsidR="00641D12" w:rsidRPr="00F06DE2" w:rsidRDefault="00641D12">
      <w:pPr>
        <w:pStyle w:val="ES-Titre3"/>
        <w:spacing w:line="240" w:lineRule="atLeast"/>
        <w:rPr>
          <w:rFonts w:ascii="Times New Roman" w:hAnsi="Times New Roman" w:cs="Times New Roman"/>
          <w:sz w:val="24"/>
          <w:szCs w:val="24"/>
          <w:lang w:val="ru-RU"/>
        </w:rPr>
      </w:pPr>
      <w:bookmarkStart w:id="216" w:name="_Toc535827552"/>
      <w:bookmarkStart w:id="217" w:name="_Toc491854111"/>
    </w:p>
    <w:p w14:paraId="086E0F72" w14:textId="616CD822"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14.01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216"/>
      <w:bookmarkEnd w:id="217"/>
    </w:p>
    <w:p w14:paraId="01534795" w14:textId="52BA6EFD"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Плавателните съдове трябва да бъдат конструирани,</w:t>
      </w:r>
      <w:r w:rsidR="009276D9" w:rsidRPr="00F06DE2">
        <w:rPr>
          <w:rFonts w:ascii="Times New Roman" w:hAnsi="Times New Roman" w:cs="Times New Roman"/>
          <w:lang w:val="ru-RU"/>
        </w:rPr>
        <w:t xml:space="preserve"> </w:t>
      </w:r>
      <w:r w:rsidR="00320E18" w:rsidRPr="00F06DE2">
        <w:rPr>
          <w:rFonts w:ascii="Times New Roman" w:hAnsi="Times New Roman" w:cs="Times New Roman"/>
          <w:lang w:val="ru-RU"/>
        </w:rPr>
        <w:t xml:space="preserve">построени,  </w:t>
      </w:r>
      <w:r w:rsidRPr="00F06DE2">
        <w:rPr>
          <w:rFonts w:ascii="Times New Roman" w:hAnsi="Times New Roman" w:cs="Times New Roman"/>
          <w:lang w:val="ru-RU"/>
        </w:rPr>
        <w:t xml:space="preserve"> организирани и оборудвани по такъв начин, че да позволят на лицата да работят и да се придвижват безопасно в техните проходи. </w:t>
      </w:r>
    </w:p>
    <w:p w14:paraId="72EDD753" w14:textId="1E735BE9"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Неподвижно монтирани съоръжения, които са необходими за работа на борда, се разполагат, </w:t>
      </w:r>
      <w:r w:rsidR="00320E18" w:rsidRPr="00F06DE2">
        <w:rPr>
          <w:rFonts w:ascii="Times New Roman" w:hAnsi="Times New Roman" w:cs="Times New Roman"/>
          <w:lang w:val="ru-RU"/>
        </w:rPr>
        <w:t xml:space="preserve">монтират </w:t>
      </w:r>
      <w:r w:rsidRPr="00F06DE2">
        <w:rPr>
          <w:rFonts w:ascii="Times New Roman" w:hAnsi="Times New Roman" w:cs="Times New Roman"/>
          <w:lang w:val="ru-RU"/>
        </w:rPr>
        <w:t xml:space="preserve">и обезопасяват по такъв начин, че да позволят безопасна и лесна експлоатация, ползване и поддръжка. При необходимост преносимите или силно нагряващи се компоненти трябва да бъдат снабдени с предпазни устройства. </w:t>
      </w:r>
    </w:p>
    <w:p w14:paraId="1B0558B3" w14:textId="77777777" w:rsidR="00641D12" w:rsidRPr="00F06DE2" w:rsidRDefault="00641D12">
      <w:pPr>
        <w:pStyle w:val="ES-Titre3"/>
        <w:spacing w:line="240" w:lineRule="atLeast"/>
        <w:rPr>
          <w:rFonts w:ascii="Times New Roman" w:hAnsi="Times New Roman" w:cs="Times New Roman"/>
          <w:sz w:val="24"/>
          <w:szCs w:val="24"/>
          <w:lang w:val="ru-RU"/>
        </w:rPr>
      </w:pPr>
      <w:bookmarkStart w:id="218" w:name="_Toc535827553"/>
      <w:bookmarkStart w:id="219" w:name="_Toc491854112"/>
    </w:p>
    <w:p w14:paraId="296A6DD6" w14:textId="6CA1ECC6"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14.02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Защита срещу падане</w:t>
      </w:r>
      <w:bookmarkEnd w:id="218"/>
      <w:bookmarkEnd w:id="219"/>
    </w:p>
    <w:p w14:paraId="7304724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Палубите и палубните проходи трябва да са равни и в нито една точка да не създават опасност от препъване; не трябва да </w:t>
      </w:r>
      <w:r w:rsidRPr="00F06DE2">
        <w:rPr>
          <w:rFonts w:ascii="Times New Roman" w:hAnsi="Times New Roman" w:cs="Times New Roman"/>
        </w:rPr>
        <w:t>e</w:t>
      </w:r>
      <w:r w:rsidRPr="00F06DE2">
        <w:rPr>
          <w:rFonts w:ascii="Times New Roman" w:hAnsi="Times New Roman" w:cs="Times New Roman"/>
          <w:lang w:val="ru-RU"/>
        </w:rPr>
        <w:t xml:space="preserve"> възможно образуването на локви.</w:t>
      </w:r>
    </w:p>
    <w:p w14:paraId="0CA1B95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Палубите, палубните проходи, подове на машинното отделение, площадките, стълбищата и горните части на кнехтовете на палубния проход трябва да имат покрития, предпазващи от подхлъзване.</w:t>
      </w:r>
    </w:p>
    <w:p w14:paraId="3350B9B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Горните части на кнехтовете на палубните проходи и всякакви препятствия в проходите, като например краищата на стъпалата, трябва да са маркирани с цвят, контрастен на околната палуба.</w:t>
      </w:r>
    </w:p>
    <w:p w14:paraId="3AF088C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r>
      <w:r w:rsidRPr="00F06DE2">
        <w:rPr>
          <w:rFonts w:ascii="Times New Roman" w:hAnsi="Times New Roman" w:cs="Times New Roman"/>
          <w:color w:val="000000"/>
          <w:lang w:val="ru-RU"/>
        </w:rPr>
        <w:t xml:space="preserve">Външните краища на палубите и палубните проходи, както и работните места, на които лицата биха могли да паднат от повече от 1 </w:t>
      </w:r>
      <w:r w:rsidRPr="00F06DE2">
        <w:rPr>
          <w:rFonts w:ascii="Times New Roman" w:hAnsi="Times New Roman" w:cs="Times New Roman"/>
          <w:color w:val="000000"/>
        </w:rPr>
        <w:t>m</w:t>
      </w:r>
      <w:r w:rsidRPr="00F06DE2">
        <w:rPr>
          <w:rFonts w:ascii="Times New Roman" w:hAnsi="Times New Roman" w:cs="Times New Roman"/>
          <w:color w:val="000000"/>
          <w:lang w:val="ru-RU"/>
        </w:rPr>
        <w:t xml:space="preserve">, се оборудват с фалшборд или комингс с височина най-малко 0,90 </w:t>
      </w:r>
      <w:r w:rsidRPr="00F06DE2">
        <w:rPr>
          <w:rFonts w:ascii="Times New Roman" w:hAnsi="Times New Roman" w:cs="Times New Roman"/>
          <w:color w:val="000000"/>
        </w:rPr>
        <w:t>m</w:t>
      </w:r>
      <w:r w:rsidRPr="00F06DE2">
        <w:rPr>
          <w:rFonts w:ascii="Times New Roman" w:hAnsi="Times New Roman" w:cs="Times New Roman"/>
          <w:color w:val="000000"/>
          <w:lang w:val="ru-RU"/>
        </w:rPr>
        <w:t xml:space="preserve"> или с непрекъснато предпазно заграждение съгласно </w:t>
      </w:r>
      <w:r w:rsidRPr="00F06DE2">
        <w:rPr>
          <w:rFonts w:ascii="Times New Roman" w:hAnsi="Times New Roman" w:cs="Times New Roman"/>
          <w:color w:val="000000"/>
        </w:rPr>
        <w:t>E</w:t>
      </w:r>
      <w:r w:rsidRPr="00F06DE2">
        <w:rPr>
          <w:rFonts w:ascii="Times New Roman" w:hAnsi="Times New Roman" w:cs="Times New Roman"/>
          <w:color w:val="000000"/>
          <w:lang w:val="ru-RU"/>
        </w:rPr>
        <w:t xml:space="preserve">вропейски стандарт </w:t>
      </w:r>
      <w:r w:rsidRPr="00F06DE2">
        <w:rPr>
          <w:rFonts w:ascii="Times New Roman" w:hAnsi="Times New Roman" w:cs="Times New Roman"/>
          <w:color w:val="000000"/>
        </w:rPr>
        <w:t>EN</w:t>
      </w:r>
      <w:r w:rsidRPr="00F06DE2">
        <w:rPr>
          <w:rFonts w:ascii="Times New Roman" w:hAnsi="Times New Roman" w:cs="Times New Roman"/>
          <w:color w:val="000000"/>
          <w:lang w:val="ru-RU"/>
        </w:rPr>
        <w:t xml:space="preserve"> 711:2016</w:t>
      </w:r>
      <w:r w:rsidRPr="00F06DE2">
        <w:rPr>
          <w:rFonts w:ascii="Times New Roman" w:hAnsi="Times New Roman" w:cs="Times New Roman"/>
          <w:lang w:val="ru-RU"/>
        </w:rPr>
        <w:t>. Когато бордови защитни ограждения са прибиращи се,</w:t>
      </w:r>
    </w:p>
    <w:p w14:paraId="38BC0D17" w14:textId="4A99AF25"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към комингса на височина от 0,7 до 1,1 </w:t>
      </w:r>
      <w:r w:rsidRPr="00F06DE2">
        <w:rPr>
          <w:rFonts w:ascii="Times New Roman" w:hAnsi="Times New Roman" w:cs="Times New Roman"/>
        </w:rPr>
        <w:t>m</w:t>
      </w:r>
      <w:r w:rsidRPr="00F06DE2">
        <w:rPr>
          <w:rFonts w:ascii="Times New Roman" w:hAnsi="Times New Roman" w:cs="Times New Roman"/>
          <w:lang w:val="ru-RU"/>
        </w:rPr>
        <w:t xml:space="preserve"> допълнително се </w:t>
      </w:r>
      <w:r w:rsidR="007C632D" w:rsidRPr="00F06DE2">
        <w:rPr>
          <w:rFonts w:ascii="Times New Roman" w:hAnsi="Times New Roman" w:cs="Times New Roman"/>
          <w:lang w:val="ru-RU"/>
        </w:rPr>
        <w:t xml:space="preserve">монтира </w:t>
      </w:r>
      <w:r w:rsidRPr="00F06DE2">
        <w:rPr>
          <w:rFonts w:ascii="Times New Roman" w:hAnsi="Times New Roman" w:cs="Times New Roman"/>
          <w:lang w:val="ru-RU"/>
        </w:rPr>
        <w:t xml:space="preserve">непрекъснат леер с диаметър от 0,02 до 0,04 </w:t>
      </w:r>
      <w:r w:rsidRPr="00F06DE2">
        <w:rPr>
          <w:rFonts w:ascii="Times New Roman" w:hAnsi="Times New Roman" w:cs="Times New Roman"/>
        </w:rPr>
        <w:t>m</w:t>
      </w:r>
      <w:r w:rsidRPr="00F06DE2">
        <w:rPr>
          <w:rFonts w:ascii="Times New Roman" w:hAnsi="Times New Roman" w:cs="Times New Roman"/>
          <w:lang w:val="ru-RU"/>
        </w:rPr>
        <w:t>; и</w:t>
      </w:r>
    </w:p>
    <w:p w14:paraId="214EFA2F" w14:textId="04E0EC72"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знаци в съответствие с Приложение 4, фигура 10, най-малко 15 </w:t>
      </w:r>
      <w:r w:rsidRPr="00F06DE2">
        <w:rPr>
          <w:rFonts w:ascii="Times New Roman" w:hAnsi="Times New Roman" w:cs="Times New Roman"/>
        </w:rPr>
        <w:t>cm</w:t>
      </w:r>
      <w:r w:rsidRPr="00F06DE2">
        <w:rPr>
          <w:rFonts w:ascii="Times New Roman" w:hAnsi="Times New Roman" w:cs="Times New Roman"/>
          <w:lang w:val="ru-RU"/>
        </w:rPr>
        <w:t xml:space="preserve"> в диаметър, се поставят на ясно видими места в </w:t>
      </w:r>
      <w:r w:rsidR="009276D9" w:rsidRPr="00F06DE2">
        <w:rPr>
          <w:rFonts w:ascii="Times New Roman" w:hAnsi="Times New Roman" w:cs="Times New Roman"/>
          <w:lang w:val="ru-RU"/>
        </w:rPr>
        <w:t xml:space="preserve"> </w:t>
      </w:r>
      <w:r w:rsidR="001653D2" w:rsidRPr="00F06DE2">
        <w:rPr>
          <w:rFonts w:ascii="Times New Roman" w:hAnsi="Times New Roman" w:cs="Times New Roman"/>
          <w:lang w:val="ru-RU"/>
        </w:rPr>
        <w:t xml:space="preserve">началото на </w:t>
      </w:r>
      <w:r w:rsidRPr="00F06DE2">
        <w:rPr>
          <w:rFonts w:ascii="Times New Roman" w:hAnsi="Times New Roman" w:cs="Times New Roman"/>
          <w:lang w:val="ru-RU"/>
        </w:rPr>
        <w:t xml:space="preserve"> палубният проход.</w:t>
      </w:r>
    </w:p>
    <w:p w14:paraId="6DE093D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Чрез дерогация от точка 4, при лихтери и баржи без жилищни помещения, фалшборд и предпазни заграждения не се изискват, когато:</w:t>
      </w:r>
    </w:p>
    <w:p w14:paraId="5B94BD34"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на външните краища на палубите и палубните проходи са монтирани парапети на ниво на ходилата;</w:t>
      </w:r>
    </w:p>
    <w:p w14:paraId="742B57EB"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в съответствие с точка 4, буква “</w:t>
      </w:r>
      <w:r w:rsidRPr="00F06DE2">
        <w:rPr>
          <w:rFonts w:ascii="Times New Roman" w:hAnsi="Times New Roman" w:cs="Times New Roman"/>
        </w:rPr>
        <w:t>a</w:t>
      </w:r>
      <w:r w:rsidRPr="00F06DE2">
        <w:rPr>
          <w:rFonts w:ascii="Times New Roman" w:hAnsi="Times New Roman" w:cs="Times New Roman"/>
          <w:lang w:val="ru-RU"/>
        </w:rPr>
        <w:t>” към комингса са закрепени леери; и</w:t>
      </w:r>
    </w:p>
    <w:p w14:paraId="3DD8BF05"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знаци в съответствие с Приложение</w:t>
      </w:r>
      <w:r w:rsidRPr="00F06DE2">
        <w:rPr>
          <w:rFonts w:ascii="Times New Roman" w:hAnsi="Times New Roman" w:cs="Times New Roman"/>
        </w:rPr>
        <w:t> </w:t>
      </w:r>
      <w:r w:rsidRPr="00F06DE2">
        <w:rPr>
          <w:rFonts w:ascii="Times New Roman" w:hAnsi="Times New Roman" w:cs="Times New Roman"/>
          <w:lang w:val="ru-RU"/>
        </w:rPr>
        <w:t>4, фигура 10, най-малко 15</w:t>
      </w:r>
      <w:r w:rsidRPr="00F06DE2">
        <w:rPr>
          <w:rFonts w:ascii="Times New Roman" w:hAnsi="Times New Roman" w:cs="Times New Roman"/>
        </w:rPr>
        <w:t> cm</w:t>
      </w:r>
      <w:r w:rsidRPr="00F06DE2">
        <w:rPr>
          <w:rFonts w:ascii="Times New Roman" w:hAnsi="Times New Roman" w:cs="Times New Roman"/>
          <w:lang w:val="ru-RU"/>
        </w:rPr>
        <w:t xml:space="preserve"> в диаметър, са нанесени на ясно видими места на палубата.</w:t>
      </w:r>
    </w:p>
    <w:p w14:paraId="3F24E4FA" w14:textId="43DB8843" w:rsidR="00271FA2" w:rsidRPr="00F06DE2" w:rsidRDefault="00D35E51" w:rsidP="00641D12">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Чрез дерогация от точка 4, при равнопалубни плавателни съдове и плавателни съдове </w:t>
      </w:r>
      <w:r w:rsidR="00512A8E" w:rsidRPr="00F06DE2">
        <w:rPr>
          <w:rFonts w:ascii="Times New Roman" w:hAnsi="Times New Roman" w:cs="Times New Roman"/>
          <w:lang w:val="ru-RU"/>
        </w:rPr>
        <w:t>с тронкова палуба</w:t>
      </w:r>
      <w:r w:rsidRPr="00F06DE2">
        <w:rPr>
          <w:rFonts w:ascii="Times New Roman" w:hAnsi="Times New Roman" w:cs="Times New Roman"/>
          <w:lang w:val="ru-RU"/>
        </w:rPr>
        <w:t xml:space="preserve"> не се изисква предпазните заграждения да се монтират директно по външните краища на палубите или на палубните проходи, когато:</w:t>
      </w:r>
    </w:p>
    <w:p w14:paraId="05713393" w14:textId="58074AAE"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проходите минават </w:t>
      </w:r>
      <w:r w:rsidR="007E136D" w:rsidRPr="00F06DE2">
        <w:rPr>
          <w:rFonts w:ascii="Times New Roman" w:hAnsi="Times New Roman" w:cs="Times New Roman"/>
          <w:lang w:val="ru-RU"/>
        </w:rPr>
        <w:t xml:space="preserve"> </w:t>
      </w:r>
      <w:r w:rsidR="00512A8E" w:rsidRPr="00F06DE2">
        <w:rPr>
          <w:rFonts w:ascii="Times New Roman" w:hAnsi="Times New Roman" w:cs="Times New Roman"/>
          <w:lang w:val="ru-RU"/>
        </w:rPr>
        <w:t xml:space="preserve">над </w:t>
      </w:r>
      <w:r w:rsidRPr="00F06DE2">
        <w:rPr>
          <w:rFonts w:ascii="Times New Roman" w:hAnsi="Times New Roman" w:cs="Times New Roman"/>
          <w:lang w:val="ru-RU"/>
        </w:rPr>
        <w:t xml:space="preserve">тези палуби; </w:t>
      </w:r>
    </w:p>
    <w:p w14:paraId="62D43F54"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проходите и работните места на тези палуби са оградени с неподвижни предпазни заграждения в съответствие с </w:t>
      </w:r>
      <w:r w:rsidRPr="00F06DE2">
        <w:rPr>
          <w:rFonts w:ascii="Times New Roman" w:hAnsi="Times New Roman" w:cs="Times New Roman"/>
        </w:rPr>
        <w:t>EN</w:t>
      </w:r>
      <w:r w:rsidRPr="00F06DE2">
        <w:rPr>
          <w:rFonts w:ascii="Times New Roman" w:hAnsi="Times New Roman" w:cs="Times New Roman"/>
          <w:lang w:val="ru-RU"/>
        </w:rPr>
        <w:t xml:space="preserve"> 711:2016; и</w:t>
      </w:r>
    </w:p>
    <w:p w14:paraId="038E6AD0"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в) знаци в съответствие с Приложение</w:t>
      </w:r>
      <w:r w:rsidRPr="00F06DE2">
        <w:rPr>
          <w:rFonts w:ascii="Times New Roman" w:hAnsi="Times New Roman" w:cs="Times New Roman"/>
        </w:rPr>
        <w:t> </w:t>
      </w:r>
      <w:r w:rsidRPr="00F06DE2">
        <w:rPr>
          <w:rFonts w:ascii="Times New Roman" w:hAnsi="Times New Roman" w:cs="Times New Roman"/>
          <w:lang w:val="ru-RU"/>
        </w:rPr>
        <w:t>4, фигура 10, най-малко 15</w:t>
      </w:r>
      <w:r w:rsidRPr="00F06DE2">
        <w:rPr>
          <w:rFonts w:ascii="Times New Roman" w:hAnsi="Times New Roman" w:cs="Times New Roman"/>
        </w:rPr>
        <w:t> cm</w:t>
      </w:r>
      <w:r w:rsidRPr="00F06DE2">
        <w:rPr>
          <w:rFonts w:ascii="Times New Roman" w:hAnsi="Times New Roman" w:cs="Times New Roman"/>
          <w:lang w:val="ru-RU"/>
        </w:rPr>
        <w:t xml:space="preserve"> в диаметър, са нанесени на ясно видими места на преходите към зони, незащитени с предпазни заграждения.</w:t>
      </w:r>
    </w:p>
    <w:p w14:paraId="09A4534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На работните места, където съществува опасност лицата да паднат от повече от 1</w:t>
      </w:r>
      <w:r w:rsidRPr="00F06DE2">
        <w:rPr>
          <w:rFonts w:ascii="Times New Roman" w:hAnsi="Times New Roman" w:cs="Times New Roman"/>
        </w:rPr>
        <w:t> m</w:t>
      </w:r>
      <w:r w:rsidRPr="00F06DE2">
        <w:rPr>
          <w:rFonts w:ascii="Times New Roman" w:hAnsi="Times New Roman" w:cs="Times New Roman"/>
          <w:lang w:val="ru-RU"/>
        </w:rPr>
        <w:t>, контролният орган може да изиска подходящи приспособления и оборудване за осигуряване на безопасност на работата.</w:t>
      </w:r>
    </w:p>
    <w:p w14:paraId="75EDCC66" w14:textId="77777777" w:rsidR="00641D12" w:rsidRPr="00F06DE2" w:rsidRDefault="00641D12">
      <w:pPr>
        <w:pStyle w:val="ES-Titre3"/>
        <w:spacing w:line="240" w:lineRule="atLeast"/>
        <w:rPr>
          <w:rFonts w:ascii="Times New Roman" w:hAnsi="Times New Roman" w:cs="Times New Roman"/>
          <w:sz w:val="24"/>
          <w:szCs w:val="24"/>
          <w:lang w:val="ru-RU"/>
        </w:rPr>
      </w:pPr>
      <w:bookmarkStart w:id="220" w:name="_Toc535827554"/>
      <w:bookmarkStart w:id="221" w:name="_Toc491854113"/>
    </w:p>
    <w:p w14:paraId="001AA61B" w14:textId="6547289C"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14.03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Размери на работното място</w:t>
      </w:r>
      <w:bookmarkEnd w:id="220"/>
      <w:bookmarkEnd w:id="221"/>
    </w:p>
    <w:p w14:paraId="196303D9" w14:textId="2AC8D4F9"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Работните места трябва да са достатъчно големи за осигуряване на свобода за движение на всяко работещо там лице.</w:t>
      </w:r>
    </w:p>
    <w:p w14:paraId="06974B7E" w14:textId="77777777" w:rsidR="00271FA2" w:rsidRPr="00F06DE2" w:rsidRDefault="00D35E51">
      <w:pPr>
        <w:pStyle w:val="ES-Titre3"/>
        <w:spacing w:line="240" w:lineRule="atLeast"/>
        <w:rPr>
          <w:rFonts w:ascii="Times New Roman" w:hAnsi="Times New Roman" w:cs="Times New Roman"/>
          <w:sz w:val="24"/>
          <w:szCs w:val="24"/>
          <w:lang w:val="ru-RU"/>
        </w:rPr>
      </w:pPr>
      <w:bookmarkStart w:id="222" w:name="_Toc491854114"/>
      <w:bookmarkStart w:id="223" w:name="_Toc535827555"/>
      <w:r w:rsidRPr="00F06DE2">
        <w:rPr>
          <w:rFonts w:ascii="Times New Roman" w:hAnsi="Times New Roman" w:cs="Times New Roman"/>
          <w:sz w:val="24"/>
          <w:szCs w:val="24"/>
          <w:lang w:val="ru-RU"/>
        </w:rPr>
        <w:t>Член 14.04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Палубни проходи</w:t>
      </w:r>
      <w:bookmarkEnd w:id="222"/>
      <w:bookmarkEnd w:id="223"/>
    </w:p>
    <w:p w14:paraId="7537D055" w14:textId="5918869B" w:rsidR="00271FA2" w:rsidRPr="00F06DE2" w:rsidRDefault="00D35E51" w:rsidP="00641D12">
      <w:pPr>
        <w:pStyle w:val="ESch"/>
        <w:jc w:val="both"/>
        <w:rPr>
          <w:rFonts w:ascii="Times New Roman" w:hAnsi="Times New Roman" w:cs="Times New Roman"/>
          <w:strike/>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Чистата широчина на палубния проход е най-малко 0,60 </w:t>
      </w:r>
      <w:r w:rsidRPr="00F06DE2">
        <w:rPr>
          <w:rFonts w:ascii="Times New Roman" w:hAnsi="Times New Roman" w:cs="Times New Roman"/>
        </w:rPr>
        <w:t>m</w:t>
      </w:r>
      <w:r w:rsidRPr="00F06DE2">
        <w:rPr>
          <w:rFonts w:ascii="Times New Roman" w:hAnsi="Times New Roman" w:cs="Times New Roman"/>
          <w:lang w:val="ru-RU"/>
        </w:rPr>
        <w:t>. Това изискване се прилага</w:t>
      </w:r>
      <w:r w:rsidR="005A19F3" w:rsidRPr="00F06DE2">
        <w:rPr>
          <w:rFonts w:ascii="Times New Roman" w:hAnsi="Times New Roman" w:cs="Times New Roman"/>
          <w:lang w:val="ru-RU"/>
        </w:rPr>
        <w:t xml:space="preserve"> за височина на палубния проход до 2,00 </w:t>
      </w:r>
      <w:r w:rsidR="005A19F3" w:rsidRPr="00F06DE2">
        <w:rPr>
          <w:rFonts w:ascii="Times New Roman" w:hAnsi="Times New Roman" w:cs="Times New Roman"/>
        </w:rPr>
        <w:t>m</w:t>
      </w:r>
      <w:r w:rsidR="00A25ACC" w:rsidRPr="00F06DE2">
        <w:rPr>
          <w:rFonts w:ascii="Times New Roman" w:hAnsi="Times New Roman" w:cs="Times New Roman"/>
          <w:lang w:val="ru-RU"/>
        </w:rPr>
        <w:t>.</w:t>
      </w:r>
      <w:r w:rsidR="005A19F3" w:rsidRPr="00F06DE2">
        <w:rPr>
          <w:rFonts w:ascii="Times New Roman" w:hAnsi="Times New Roman" w:cs="Times New Roman"/>
          <w:lang w:val="ru-RU"/>
        </w:rPr>
        <w:t xml:space="preserve"> </w:t>
      </w:r>
    </w:p>
    <w:p w14:paraId="79403BAD" w14:textId="77777777" w:rsidR="00271FA2" w:rsidRPr="00F06DE2" w:rsidRDefault="00D35E51" w:rsidP="00641D12">
      <w:pPr>
        <w:pStyle w:val="ESch"/>
        <w:ind w:firstLine="0"/>
        <w:jc w:val="both"/>
        <w:rPr>
          <w:rFonts w:ascii="Times New Roman" w:hAnsi="Times New Roman" w:cs="Times New Roman"/>
          <w:lang w:val="ru-RU"/>
        </w:rPr>
      </w:pPr>
      <w:r w:rsidRPr="00F06DE2">
        <w:rPr>
          <w:rFonts w:ascii="Times New Roman" w:hAnsi="Times New Roman" w:cs="Times New Roman"/>
          <w:lang w:val="ru-RU"/>
        </w:rPr>
        <w:t>Чрез дерогация от първото изречение, чистата широчина на палубните проходи може да бъде намалена до:</w:t>
      </w:r>
    </w:p>
    <w:p w14:paraId="303E565B" w14:textId="77777777" w:rsidR="00271FA2" w:rsidRPr="00F06DE2" w:rsidRDefault="00D35E51" w:rsidP="00641D12">
      <w:pPr>
        <w:pStyle w:val="ESch"/>
        <w:ind w:firstLine="0"/>
        <w:jc w:val="both"/>
        <w:rPr>
          <w:rFonts w:ascii="Times New Roman" w:hAnsi="Times New Roman" w:cs="Times New Roman"/>
          <w:lang w:val="ru-RU"/>
        </w:rPr>
      </w:pPr>
      <w:r w:rsidRPr="00F06DE2">
        <w:rPr>
          <w:rFonts w:ascii="Times New Roman" w:hAnsi="Times New Roman" w:cs="Times New Roman"/>
          <w:lang w:val="ru-RU"/>
        </w:rPr>
        <w:t xml:space="preserve">а) 0,50 </w:t>
      </w:r>
      <w:r w:rsidRPr="00F06DE2">
        <w:rPr>
          <w:rFonts w:ascii="Times New Roman" w:hAnsi="Times New Roman" w:cs="Times New Roman"/>
        </w:rPr>
        <w:t>m</w:t>
      </w:r>
      <w:r w:rsidRPr="00F06DE2">
        <w:rPr>
          <w:rFonts w:ascii="Times New Roman" w:hAnsi="Times New Roman" w:cs="Times New Roman"/>
          <w:lang w:val="ru-RU"/>
        </w:rPr>
        <w:t xml:space="preserve"> в определени точки, необходими за експлоатацията на плавателния съд, като клапани за миене на палубата;</w:t>
      </w:r>
    </w:p>
    <w:p w14:paraId="6283BA4C" w14:textId="77777777" w:rsidR="00271FA2" w:rsidRPr="00F06DE2" w:rsidRDefault="00D35E51" w:rsidP="00641D12">
      <w:pPr>
        <w:pStyle w:val="ESch"/>
        <w:ind w:firstLine="0"/>
        <w:jc w:val="both"/>
        <w:rPr>
          <w:rFonts w:ascii="Times New Roman" w:hAnsi="Times New Roman" w:cs="Times New Roman"/>
          <w:lang w:val="ru-RU"/>
        </w:rPr>
      </w:pPr>
      <w:r w:rsidRPr="00F06DE2">
        <w:rPr>
          <w:rFonts w:ascii="Times New Roman" w:hAnsi="Times New Roman" w:cs="Times New Roman"/>
          <w:lang w:val="ru-RU"/>
        </w:rPr>
        <w:t xml:space="preserve">б) 0,40 </w:t>
      </w:r>
      <w:r w:rsidRPr="00F06DE2">
        <w:rPr>
          <w:rFonts w:ascii="Times New Roman" w:hAnsi="Times New Roman" w:cs="Times New Roman"/>
        </w:rPr>
        <w:t>m</w:t>
      </w:r>
      <w:r w:rsidRPr="00F06DE2">
        <w:rPr>
          <w:rFonts w:ascii="Times New Roman" w:hAnsi="Times New Roman" w:cs="Times New Roman"/>
          <w:lang w:val="ru-RU"/>
        </w:rPr>
        <w:t xml:space="preserve"> при кнехтове и пилери.</w:t>
      </w:r>
    </w:p>
    <w:p w14:paraId="728EDC42" w14:textId="1CF0D99A" w:rsidR="00271FA2" w:rsidRPr="00F06DE2" w:rsidRDefault="00D35E51" w:rsidP="00641D12">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Чрез дерогация от точка 1, чистата широчина на палубните проходи може да бъде намалена до 0,54 </w:t>
      </w:r>
      <w:r w:rsidRPr="00F06DE2">
        <w:rPr>
          <w:rFonts w:ascii="Times New Roman" w:hAnsi="Times New Roman" w:cs="Times New Roman"/>
        </w:rPr>
        <w:t>m</w:t>
      </w:r>
      <w:r w:rsidRPr="00F06DE2">
        <w:rPr>
          <w:rFonts w:ascii="Times New Roman" w:hAnsi="Times New Roman" w:cs="Times New Roman"/>
          <w:lang w:val="ru-RU"/>
        </w:rPr>
        <w:t xml:space="preserve">, до височина 0,90 </w:t>
      </w:r>
      <w:r w:rsidRPr="00F06DE2">
        <w:rPr>
          <w:rFonts w:ascii="Times New Roman" w:hAnsi="Times New Roman" w:cs="Times New Roman"/>
        </w:rPr>
        <w:t>m</w:t>
      </w:r>
      <w:r w:rsidRPr="00F06DE2">
        <w:rPr>
          <w:rFonts w:ascii="Times New Roman" w:hAnsi="Times New Roman" w:cs="Times New Roman"/>
          <w:lang w:val="ru-RU"/>
        </w:rPr>
        <w:t xml:space="preserve"> над палуба</w:t>
      </w:r>
      <w:r w:rsidR="008072E4" w:rsidRPr="00F06DE2">
        <w:rPr>
          <w:rFonts w:ascii="Times New Roman" w:hAnsi="Times New Roman" w:cs="Times New Roman"/>
          <w:lang w:val="ru-RU"/>
        </w:rPr>
        <w:t>та</w:t>
      </w:r>
      <w:r w:rsidRPr="00F06DE2">
        <w:rPr>
          <w:rFonts w:ascii="Times New Roman" w:hAnsi="Times New Roman" w:cs="Times New Roman"/>
          <w:lang w:val="ru-RU"/>
        </w:rPr>
        <w:t xml:space="preserve">, при условие че чистата широчина отгоре между външния ръб на корпуса и вътрешния ръб на трюма е не по-малка от 0,65 </w:t>
      </w:r>
      <w:r w:rsidRPr="00F06DE2">
        <w:rPr>
          <w:rFonts w:ascii="Times New Roman" w:hAnsi="Times New Roman" w:cs="Times New Roman"/>
        </w:rPr>
        <w:t>m</w:t>
      </w:r>
      <w:r w:rsidRPr="00F06DE2">
        <w:rPr>
          <w:rFonts w:ascii="Times New Roman" w:hAnsi="Times New Roman" w:cs="Times New Roman"/>
          <w:lang w:val="ru-RU"/>
        </w:rPr>
        <w:t>.</w:t>
      </w:r>
    </w:p>
    <w:p w14:paraId="6DA4CA55" w14:textId="3AA4827D" w:rsidR="00271FA2" w:rsidRPr="00F06DE2" w:rsidRDefault="00D35E51" w:rsidP="00641D12">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Чрез дерогация от точка 1, чистата широчина на палубните проходи може да бъде намалена до 0,50 </w:t>
      </w:r>
      <w:r w:rsidRPr="00F06DE2">
        <w:rPr>
          <w:rFonts w:ascii="Times New Roman" w:hAnsi="Times New Roman" w:cs="Times New Roman"/>
        </w:rPr>
        <w:t>m</w:t>
      </w:r>
      <w:r w:rsidRPr="00F06DE2">
        <w:rPr>
          <w:rFonts w:ascii="Times New Roman" w:hAnsi="Times New Roman" w:cs="Times New Roman"/>
          <w:lang w:val="ru-RU"/>
        </w:rPr>
        <w:t>, при условие че външният ръб на палубия проход е снабден с предпаз</w:t>
      </w:r>
      <w:r w:rsidR="005A19F3" w:rsidRPr="00F06DE2">
        <w:rPr>
          <w:rFonts w:ascii="Times New Roman" w:hAnsi="Times New Roman" w:cs="Times New Roman"/>
          <w:lang w:val="ru-RU"/>
        </w:rPr>
        <w:t>ен</w:t>
      </w:r>
      <w:r w:rsidRPr="00F06DE2">
        <w:rPr>
          <w:rFonts w:ascii="Times New Roman" w:hAnsi="Times New Roman" w:cs="Times New Roman"/>
          <w:lang w:val="ru-RU"/>
        </w:rPr>
        <w:t xml:space="preserve"> </w:t>
      </w:r>
      <w:r w:rsidR="001D1D8D" w:rsidRPr="00F06DE2">
        <w:rPr>
          <w:rFonts w:ascii="Times New Roman" w:hAnsi="Times New Roman" w:cs="Times New Roman"/>
          <w:lang w:val="ru-RU"/>
        </w:rPr>
        <w:t xml:space="preserve">леер </w:t>
      </w:r>
      <w:r w:rsidRPr="00F06DE2">
        <w:rPr>
          <w:rFonts w:ascii="Times New Roman" w:hAnsi="Times New Roman" w:cs="Times New Roman"/>
          <w:lang w:val="ru-RU"/>
        </w:rPr>
        <w:t xml:space="preserve">в съответствие с </w:t>
      </w:r>
      <w:r w:rsidRPr="00F06DE2">
        <w:rPr>
          <w:rFonts w:ascii="Times New Roman" w:hAnsi="Times New Roman" w:cs="Times New Roman"/>
        </w:rPr>
        <w:t>E</w:t>
      </w:r>
      <w:r w:rsidRPr="00F06DE2">
        <w:rPr>
          <w:rFonts w:ascii="Times New Roman" w:hAnsi="Times New Roman" w:cs="Times New Roman"/>
          <w:lang w:val="ru-RU"/>
        </w:rPr>
        <w:t xml:space="preserve">вропейския стандарт </w:t>
      </w:r>
      <w:r w:rsidRPr="00F06DE2">
        <w:rPr>
          <w:rFonts w:ascii="Times New Roman" w:hAnsi="Times New Roman" w:cs="Times New Roman"/>
        </w:rPr>
        <w:t>EN</w:t>
      </w:r>
      <w:r w:rsidRPr="00F06DE2">
        <w:rPr>
          <w:rFonts w:ascii="Times New Roman" w:hAnsi="Times New Roman" w:cs="Times New Roman"/>
          <w:lang w:val="ru-RU"/>
        </w:rPr>
        <w:t xml:space="preserve"> 711:2016 за предотвратяване на падане.</w:t>
      </w:r>
    </w:p>
    <w:p w14:paraId="65F3108B"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24" w:name="_Toc491854115"/>
      <w:bookmarkStart w:id="225" w:name="_Toc535827556"/>
      <w:r w:rsidRPr="00F06DE2">
        <w:rPr>
          <w:rFonts w:ascii="Times New Roman" w:hAnsi="Times New Roman" w:cs="Times New Roman"/>
          <w:sz w:val="24"/>
          <w:szCs w:val="24"/>
          <w:lang w:val="ru-RU"/>
        </w:rPr>
        <w:t>Член 14.05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Достъп до работните места</w:t>
      </w:r>
      <w:bookmarkEnd w:id="224"/>
      <w:bookmarkEnd w:id="225"/>
    </w:p>
    <w:p w14:paraId="38CE937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Входовете и проходите за придвижване на лица и предмети трябва да са с достатъчни размери и да са разположени, така че:</w:t>
      </w:r>
    </w:p>
    <w:p w14:paraId="67FC1671" w14:textId="542EC5CF" w:rsidR="00271FA2" w:rsidRPr="00F06DE2" w:rsidRDefault="00D35E51">
      <w:pPr>
        <w:pStyle w:val="ESlet"/>
        <w:spacing w:before="0"/>
        <w:ind w:left="993" w:hanging="426"/>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пред входовете да има достатъчно място, за да не </w:t>
      </w:r>
      <w:r w:rsidR="00BA2501" w:rsidRPr="00F06DE2">
        <w:rPr>
          <w:rFonts w:ascii="Times New Roman" w:hAnsi="Times New Roman" w:cs="Times New Roman"/>
          <w:lang w:val="ru-RU"/>
        </w:rPr>
        <w:t xml:space="preserve"> </w:t>
      </w:r>
      <w:r w:rsidR="00B91C5C" w:rsidRPr="00F06DE2">
        <w:rPr>
          <w:rFonts w:ascii="Times New Roman" w:hAnsi="Times New Roman" w:cs="Times New Roman"/>
          <w:lang w:val="ru-RU"/>
        </w:rPr>
        <w:t xml:space="preserve">се възпрепятства </w:t>
      </w:r>
      <w:r w:rsidRPr="00F06DE2">
        <w:rPr>
          <w:rFonts w:ascii="Times New Roman" w:hAnsi="Times New Roman" w:cs="Times New Roman"/>
          <w:lang w:val="ru-RU"/>
        </w:rPr>
        <w:t>придвижването;</w:t>
      </w:r>
    </w:p>
    <w:p w14:paraId="4CF5E190" w14:textId="21676C38"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габаритната ширина на прохода да е в съответствие с предназначението на работното място и да не е по-малка от 0,60 </w:t>
      </w:r>
      <w:r w:rsidRPr="00F06DE2">
        <w:rPr>
          <w:rFonts w:ascii="Times New Roman" w:hAnsi="Times New Roman" w:cs="Times New Roman"/>
        </w:rPr>
        <w:t>m</w:t>
      </w:r>
      <w:r w:rsidRPr="00F06DE2">
        <w:rPr>
          <w:rFonts w:ascii="Times New Roman" w:hAnsi="Times New Roman" w:cs="Times New Roman"/>
          <w:lang w:val="ru-RU"/>
        </w:rPr>
        <w:t xml:space="preserve">, с изключение на плавателни </w:t>
      </w:r>
      <w:r w:rsidR="00DE5E4B" w:rsidRPr="00F06DE2">
        <w:rPr>
          <w:rFonts w:ascii="Times New Roman" w:hAnsi="Times New Roman" w:cs="Times New Roman"/>
          <w:lang w:val="ru-RU"/>
        </w:rPr>
        <w:t xml:space="preserve"> </w:t>
      </w:r>
      <w:r w:rsidR="00E75C12" w:rsidRPr="00F06DE2">
        <w:rPr>
          <w:rFonts w:ascii="Times New Roman" w:hAnsi="Times New Roman" w:cs="Times New Roman"/>
          <w:lang w:val="ru-RU"/>
        </w:rPr>
        <w:t xml:space="preserve">съдове </w:t>
      </w:r>
      <w:r w:rsidRPr="00F06DE2">
        <w:rPr>
          <w:rFonts w:ascii="Times New Roman" w:hAnsi="Times New Roman" w:cs="Times New Roman"/>
          <w:lang w:val="ru-RU"/>
        </w:rPr>
        <w:t xml:space="preserve">с широчина по-малка от 8 </w:t>
      </w:r>
      <w:r w:rsidRPr="00F06DE2">
        <w:rPr>
          <w:rFonts w:ascii="Times New Roman" w:hAnsi="Times New Roman" w:cs="Times New Roman"/>
        </w:rPr>
        <w:t>m</w:t>
      </w:r>
      <w:r w:rsidRPr="00F06DE2">
        <w:rPr>
          <w:rFonts w:ascii="Times New Roman" w:hAnsi="Times New Roman" w:cs="Times New Roman"/>
          <w:lang w:val="ru-RU"/>
        </w:rPr>
        <w:t xml:space="preserve">, при които широчината на прохода може да се намали до 0,50 </w:t>
      </w:r>
      <w:r w:rsidRPr="00F06DE2">
        <w:rPr>
          <w:rFonts w:ascii="Times New Roman" w:hAnsi="Times New Roman" w:cs="Times New Roman"/>
        </w:rPr>
        <w:t>m</w:t>
      </w:r>
      <w:r w:rsidRPr="00F06DE2">
        <w:rPr>
          <w:rFonts w:ascii="Times New Roman" w:hAnsi="Times New Roman" w:cs="Times New Roman"/>
          <w:lang w:val="ru-RU"/>
        </w:rPr>
        <w:t>;</w:t>
      </w:r>
    </w:p>
    <w:p w14:paraId="0FDB3C77"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габаритната височина на проходите, включително прага, да е не по-малка от 1,90 </w:t>
      </w:r>
      <w:r w:rsidRPr="00F06DE2">
        <w:rPr>
          <w:rFonts w:ascii="Times New Roman" w:hAnsi="Times New Roman" w:cs="Times New Roman"/>
        </w:rPr>
        <w:t>m</w:t>
      </w:r>
      <w:r w:rsidRPr="00F06DE2">
        <w:rPr>
          <w:rFonts w:ascii="Times New Roman" w:hAnsi="Times New Roman" w:cs="Times New Roman"/>
          <w:lang w:val="ru-RU"/>
        </w:rPr>
        <w:t>.</w:t>
      </w:r>
    </w:p>
    <w:p w14:paraId="68AB4AF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Вратите трябва да са разположени, така че да е възможно да се отварят и затварят безопасно от всяка страна. Те трябва да са защитени срещу случайно отваряне или затваряне.</w:t>
      </w:r>
    </w:p>
    <w:p w14:paraId="0E67C63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Подходящи стълбища, подвижни стълби или стъпала трябва да бъдат монтирани във входове, изходи и проходи, където има повече от 0,50</w:t>
      </w:r>
      <w:r w:rsidRPr="00F06DE2">
        <w:rPr>
          <w:rFonts w:ascii="Times New Roman" w:hAnsi="Times New Roman" w:cs="Times New Roman"/>
        </w:rPr>
        <w:t> m</w:t>
      </w:r>
      <w:r w:rsidRPr="00F06DE2">
        <w:rPr>
          <w:rFonts w:ascii="Times New Roman" w:hAnsi="Times New Roman" w:cs="Times New Roman"/>
          <w:lang w:val="ru-RU"/>
        </w:rPr>
        <w:t xml:space="preserve"> разлика в равнището на пода.</w:t>
      </w:r>
    </w:p>
    <w:p w14:paraId="3E2CEA3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Работни места, където постоянно работят хора, се оборудват със стълбища, ако има разлика в нивата на пода от повече от 1,00</w:t>
      </w:r>
      <w:r w:rsidRPr="00F06DE2">
        <w:rPr>
          <w:rFonts w:ascii="Times New Roman" w:hAnsi="Times New Roman" w:cs="Times New Roman"/>
        </w:rPr>
        <w:t> m</w:t>
      </w:r>
      <w:r w:rsidRPr="00F06DE2">
        <w:rPr>
          <w:rFonts w:ascii="Times New Roman" w:hAnsi="Times New Roman" w:cs="Times New Roman"/>
          <w:lang w:val="ru-RU"/>
        </w:rPr>
        <w:t>. Това изискване не се отнася за аварийните изходи.</w:t>
      </w:r>
    </w:p>
    <w:p w14:paraId="5C2190C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Плавателните съдове с трюмове трябва да имат поне едно неподвижно монтирано средство за достъп във всеки край на всеки трюм.</w:t>
      </w:r>
    </w:p>
    <w:p w14:paraId="0EBBEB80" w14:textId="17AF67E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lastRenderedPageBreak/>
        <w:t xml:space="preserve">Чрез дерогация от първото изречение неподвижно монтираното средство за достъп може да не се изисква, ако се осигурят поне две подвижни стълби, които излизат поне с 3 стъпала над </w:t>
      </w:r>
      <w:r w:rsidR="00DE5E4B" w:rsidRPr="00F06DE2">
        <w:rPr>
          <w:rFonts w:ascii="Times New Roman" w:hAnsi="Times New Roman" w:cs="Times New Roman"/>
          <w:lang w:val="ru-RU"/>
        </w:rPr>
        <w:t xml:space="preserve"> </w:t>
      </w:r>
      <w:r w:rsidR="00BE5240" w:rsidRPr="00F06DE2">
        <w:rPr>
          <w:rFonts w:ascii="Times New Roman" w:hAnsi="Times New Roman" w:cs="Times New Roman"/>
          <w:lang w:val="ru-RU"/>
        </w:rPr>
        <w:t xml:space="preserve"> </w:t>
      </w:r>
      <w:r w:rsidR="00895B84" w:rsidRPr="00F06DE2">
        <w:rPr>
          <w:rFonts w:ascii="Times New Roman" w:hAnsi="Times New Roman" w:cs="Times New Roman"/>
          <w:lang w:val="ru-RU"/>
        </w:rPr>
        <w:t>комингс</w:t>
      </w:r>
      <w:r w:rsidR="00BE5240" w:rsidRPr="00F06DE2">
        <w:rPr>
          <w:rFonts w:ascii="Times New Roman" w:hAnsi="Times New Roman" w:cs="Times New Roman"/>
          <w:lang w:val="ru-RU"/>
        </w:rPr>
        <w:t xml:space="preserve">а </w:t>
      </w:r>
      <w:r w:rsidRPr="00F06DE2">
        <w:rPr>
          <w:rFonts w:ascii="Times New Roman" w:hAnsi="Times New Roman" w:cs="Times New Roman"/>
          <w:lang w:val="ru-RU"/>
        </w:rPr>
        <w:t xml:space="preserve"> на люка при ъгъл на наклон от 60°.</w:t>
      </w:r>
    </w:p>
    <w:p w14:paraId="78690836" w14:textId="77777777" w:rsidR="00641D12" w:rsidRPr="00F06DE2" w:rsidRDefault="00641D12">
      <w:pPr>
        <w:pStyle w:val="ES-Titre3"/>
        <w:spacing w:line="240" w:lineRule="atLeast"/>
        <w:rPr>
          <w:rFonts w:ascii="Times New Roman" w:hAnsi="Times New Roman" w:cs="Times New Roman"/>
          <w:sz w:val="24"/>
          <w:szCs w:val="24"/>
          <w:lang w:val="ru-RU"/>
        </w:rPr>
      </w:pPr>
      <w:bookmarkStart w:id="226" w:name="_Toc535827557"/>
      <w:bookmarkStart w:id="227" w:name="_Toc491854116"/>
    </w:p>
    <w:p w14:paraId="5A4652BC" w14:textId="2C8EABFE"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14.06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Изходи и аварийни изходи</w:t>
      </w:r>
      <w:bookmarkEnd w:id="226"/>
      <w:bookmarkEnd w:id="227"/>
    </w:p>
    <w:p w14:paraId="56E0C9D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Броят, разположението и размерите на изходите, включително аварийните изходи, трябва да съответстват на предназначението и размерите на съответното помещение. В случай, че един от изходите е авариен, той ясно се обозначава като такъв.</w:t>
      </w:r>
    </w:p>
    <w:p w14:paraId="08AC2B41" w14:textId="3F31CE4D"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Аварийните изходи, прозорците или капаците на светлиците, използвани като аварийни изходи, трябва да са със </w:t>
      </w:r>
      <w:r w:rsidR="00FF0C2A" w:rsidRPr="00F06DE2">
        <w:rPr>
          <w:rFonts w:ascii="Times New Roman" w:hAnsi="Times New Roman" w:cs="Times New Roman"/>
          <w:lang w:val="ru-RU"/>
        </w:rPr>
        <w:t xml:space="preserve"> светъл отвор</w:t>
      </w:r>
      <w:r w:rsidRPr="00F06DE2">
        <w:rPr>
          <w:rFonts w:ascii="Times New Roman" w:hAnsi="Times New Roman" w:cs="Times New Roman"/>
          <w:lang w:val="ru-RU"/>
        </w:rPr>
        <w:t xml:space="preserve"> не по-малко от 0,36 </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и най-малкият размер трябва да е не по-малък от 0,50 </w:t>
      </w:r>
      <w:r w:rsidRPr="00F06DE2">
        <w:rPr>
          <w:rFonts w:ascii="Times New Roman" w:hAnsi="Times New Roman" w:cs="Times New Roman"/>
        </w:rPr>
        <w:t>m</w:t>
      </w:r>
      <w:r w:rsidRPr="00F06DE2">
        <w:rPr>
          <w:rFonts w:ascii="Times New Roman" w:hAnsi="Times New Roman" w:cs="Times New Roman"/>
          <w:lang w:val="ru-RU"/>
        </w:rPr>
        <w:t>.</w:t>
      </w:r>
    </w:p>
    <w:p w14:paraId="5004108A" w14:textId="77777777" w:rsidR="00271FA2" w:rsidRPr="00F06DE2" w:rsidRDefault="00D35E51">
      <w:pPr>
        <w:pStyle w:val="ES-Titre3"/>
        <w:spacing w:line="240" w:lineRule="atLeast"/>
        <w:rPr>
          <w:rFonts w:ascii="Times New Roman" w:hAnsi="Times New Roman" w:cs="Times New Roman"/>
          <w:sz w:val="24"/>
          <w:szCs w:val="24"/>
          <w:lang w:val="ru-RU"/>
        </w:rPr>
      </w:pPr>
      <w:bookmarkStart w:id="228" w:name="_Toc491854117"/>
      <w:bookmarkStart w:id="229" w:name="_Toc535827558"/>
      <w:r w:rsidRPr="00F06DE2">
        <w:rPr>
          <w:rFonts w:ascii="Times New Roman" w:hAnsi="Times New Roman" w:cs="Times New Roman"/>
          <w:sz w:val="24"/>
          <w:szCs w:val="24"/>
          <w:lang w:val="ru-RU"/>
        </w:rPr>
        <w:t>Член 14.07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Подвижни стълби, стъпала и подобни приспособления</w:t>
      </w:r>
      <w:bookmarkEnd w:id="228"/>
      <w:bookmarkEnd w:id="229"/>
    </w:p>
    <w:p w14:paraId="46FB534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Стълбищата и подвижните стълби трябва да бъдат сигурно закрепени. Стълбищата трябва да са широки не по-малко от 0,60 </w:t>
      </w:r>
      <w:r w:rsidRPr="00F06DE2">
        <w:rPr>
          <w:rFonts w:ascii="Times New Roman" w:hAnsi="Times New Roman" w:cs="Times New Roman"/>
        </w:rPr>
        <w:t>m</w:t>
      </w:r>
      <w:r w:rsidRPr="00F06DE2">
        <w:rPr>
          <w:rFonts w:ascii="Times New Roman" w:hAnsi="Times New Roman" w:cs="Times New Roman"/>
          <w:lang w:val="ru-RU"/>
        </w:rPr>
        <w:t xml:space="preserve"> и габаритната ширина между леерите трябва да е не по-малко от 0,60 </w:t>
      </w:r>
      <w:r w:rsidRPr="00F06DE2">
        <w:rPr>
          <w:rFonts w:ascii="Times New Roman" w:hAnsi="Times New Roman" w:cs="Times New Roman"/>
        </w:rPr>
        <w:t>m</w:t>
      </w:r>
      <w:r w:rsidRPr="00F06DE2">
        <w:rPr>
          <w:rFonts w:ascii="Times New Roman" w:hAnsi="Times New Roman" w:cs="Times New Roman"/>
          <w:lang w:val="ru-RU"/>
        </w:rPr>
        <w:t xml:space="preserve">; дълбочината на стъпалото трябва да е не по-малко от 0,15 </w:t>
      </w:r>
      <w:r w:rsidRPr="00F06DE2">
        <w:rPr>
          <w:rFonts w:ascii="Times New Roman" w:hAnsi="Times New Roman" w:cs="Times New Roman"/>
        </w:rPr>
        <w:t>m</w:t>
      </w:r>
      <w:r w:rsidRPr="00F06DE2">
        <w:rPr>
          <w:rFonts w:ascii="Times New Roman" w:hAnsi="Times New Roman" w:cs="Times New Roman"/>
          <w:lang w:val="ru-RU"/>
        </w:rPr>
        <w:t>; стъпалата трябва да са с повърхности против подхлъзване, а стълбища с повече от три стъпала — с леери.</w:t>
      </w:r>
    </w:p>
    <w:p w14:paraId="32B5A54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Подвижните стълби и отделно монтираните стъпала имат габаритна ширина не по-малко от 0,30 </w:t>
      </w:r>
      <w:r w:rsidRPr="00F06DE2">
        <w:rPr>
          <w:rFonts w:ascii="Times New Roman" w:hAnsi="Times New Roman" w:cs="Times New Roman"/>
        </w:rPr>
        <w:t>m</w:t>
      </w:r>
      <w:r w:rsidRPr="00F06DE2">
        <w:rPr>
          <w:rFonts w:ascii="Times New Roman" w:hAnsi="Times New Roman" w:cs="Times New Roman"/>
          <w:lang w:val="ru-RU"/>
        </w:rPr>
        <w:t xml:space="preserve">; стъпалата трябва да са не повече от 0,30 </w:t>
      </w:r>
      <w:r w:rsidRPr="00F06DE2">
        <w:rPr>
          <w:rFonts w:ascii="Times New Roman" w:hAnsi="Times New Roman" w:cs="Times New Roman"/>
        </w:rPr>
        <w:t>m</w:t>
      </w:r>
      <w:r w:rsidRPr="00F06DE2">
        <w:rPr>
          <w:rFonts w:ascii="Times New Roman" w:hAnsi="Times New Roman" w:cs="Times New Roman"/>
          <w:lang w:val="ru-RU"/>
        </w:rPr>
        <w:t xml:space="preserve"> едно от друго, а разстоянието между стъпала и конструкциите да е не по-малко от 0,15 </w:t>
      </w:r>
      <w:r w:rsidRPr="00F06DE2">
        <w:rPr>
          <w:rFonts w:ascii="Times New Roman" w:hAnsi="Times New Roman" w:cs="Times New Roman"/>
        </w:rPr>
        <w:t>m</w:t>
      </w:r>
      <w:r w:rsidRPr="00F06DE2">
        <w:rPr>
          <w:rFonts w:ascii="Times New Roman" w:hAnsi="Times New Roman" w:cs="Times New Roman"/>
          <w:lang w:val="ru-RU"/>
        </w:rPr>
        <w:t>.</w:t>
      </w:r>
    </w:p>
    <w:p w14:paraId="7D92654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Подвижните стълби и отделно монтираните стъпала трябва да са ясно разпознаваеми отгоре и да са оборудвани с ръкохватки за безопасност над отворите за изход.</w:t>
      </w:r>
    </w:p>
    <w:p w14:paraId="7443BEB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Подвижните стълби трябва да бъдат поне 0,40 </w:t>
      </w:r>
      <w:r w:rsidRPr="00F06DE2">
        <w:rPr>
          <w:rFonts w:ascii="Times New Roman" w:hAnsi="Times New Roman" w:cs="Times New Roman"/>
        </w:rPr>
        <w:t>m</w:t>
      </w:r>
      <w:r w:rsidRPr="00F06DE2">
        <w:rPr>
          <w:rFonts w:ascii="Times New Roman" w:hAnsi="Times New Roman" w:cs="Times New Roman"/>
          <w:lang w:val="ru-RU"/>
        </w:rPr>
        <w:t xml:space="preserve"> широки и с ширина поне 0,50 </w:t>
      </w:r>
      <w:r w:rsidRPr="00F06DE2">
        <w:rPr>
          <w:rFonts w:ascii="Times New Roman" w:hAnsi="Times New Roman" w:cs="Times New Roman"/>
        </w:rPr>
        <w:t>m</w:t>
      </w:r>
      <w:r w:rsidRPr="00F06DE2">
        <w:rPr>
          <w:rFonts w:ascii="Times New Roman" w:hAnsi="Times New Roman" w:cs="Times New Roman"/>
          <w:lang w:val="ru-RU"/>
        </w:rPr>
        <w:t xml:space="preserve"> в основата си; трябва да е възможно те да се подсигуряват, така че да не се преобръщат или подхлъзват; стъпалата трябва да бъдат надеждно прикрепени към подпорите.</w:t>
      </w:r>
    </w:p>
    <w:p w14:paraId="3CEA18B8" w14:textId="77777777" w:rsidR="00641D12" w:rsidRPr="00F06DE2" w:rsidRDefault="00641D12">
      <w:pPr>
        <w:pStyle w:val="ES-Titre3"/>
        <w:spacing w:line="240" w:lineRule="atLeast"/>
        <w:rPr>
          <w:rFonts w:ascii="Times New Roman" w:hAnsi="Times New Roman" w:cs="Times New Roman"/>
          <w:sz w:val="24"/>
          <w:szCs w:val="24"/>
          <w:lang w:val="ru-RU"/>
        </w:rPr>
      </w:pPr>
      <w:bookmarkStart w:id="230" w:name="_Toc535827559"/>
      <w:bookmarkStart w:id="231" w:name="_Toc491854118"/>
    </w:p>
    <w:p w14:paraId="65F74FCF" w14:textId="6EF4B5A9"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14.08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Вътрешни помещения</w:t>
      </w:r>
      <w:bookmarkEnd w:id="230"/>
      <w:bookmarkEnd w:id="231"/>
    </w:p>
    <w:p w14:paraId="5BBDAB5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Размерите, разположението и оформлението на вътрешните работни места трябва да съответстват на работата, която се извършва и да отговарят на изискванията за опазване здравето и безопасността. Те трябва да са оборудвани с достатъчно незаслепяващо осветление и вентилационни устройства. При необходимост те се оборудват с отоплителни уреди, които могат да поддържат подходяща температура.</w:t>
      </w:r>
    </w:p>
    <w:p w14:paraId="1663EF98" w14:textId="04D2B20A"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Подовете на вътрешните работни пространства трябва да са стабилни и издръжливи и да са проектирани, така че да не причиняват препъване или подхлъзване. В отворено положение отворите в палубите и подовете трябва да бъдат обезопасени против падане. Прозорците и светлиците трябва да са разположени, така че да се </w:t>
      </w:r>
      <w:r w:rsidR="001203E4" w:rsidRPr="00F06DE2">
        <w:rPr>
          <w:rFonts w:ascii="Times New Roman" w:hAnsi="Times New Roman" w:cs="Times New Roman"/>
          <w:lang w:val="ru-RU"/>
        </w:rPr>
        <w:t>ползват</w:t>
      </w:r>
      <w:r w:rsidRPr="00F06DE2">
        <w:rPr>
          <w:rFonts w:ascii="Times New Roman" w:hAnsi="Times New Roman" w:cs="Times New Roman"/>
          <w:lang w:val="ru-RU"/>
        </w:rPr>
        <w:t xml:space="preserve"> и да се почистват безопасно.</w:t>
      </w:r>
    </w:p>
    <w:p w14:paraId="12EB67C6" w14:textId="77777777" w:rsidR="00271FA2" w:rsidRPr="00F06DE2" w:rsidRDefault="00D35E51">
      <w:pPr>
        <w:pStyle w:val="ES-Titre3"/>
        <w:spacing w:line="240" w:lineRule="atLeast"/>
        <w:rPr>
          <w:rFonts w:ascii="Times New Roman" w:hAnsi="Times New Roman" w:cs="Times New Roman"/>
          <w:sz w:val="24"/>
          <w:szCs w:val="24"/>
          <w:lang w:val="ru-RU"/>
        </w:rPr>
      </w:pPr>
      <w:bookmarkStart w:id="232" w:name="_Toc535827560"/>
      <w:bookmarkStart w:id="233" w:name="_Toc491854119"/>
      <w:r w:rsidRPr="00F06DE2">
        <w:rPr>
          <w:rFonts w:ascii="Times New Roman" w:hAnsi="Times New Roman" w:cs="Times New Roman"/>
          <w:sz w:val="24"/>
          <w:szCs w:val="24"/>
          <w:lang w:val="ru-RU"/>
        </w:rPr>
        <w:t>Член 14.09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Защита против шум и вибрации</w:t>
      </w:r>
      <w:bookmarkEnd w:id="232"/>
      <w:bookmarkEnd w:id="233"/>
    </w:p>
    <w:p w14:paraId="6BF8CA5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Работните помещения трябва да са така разположени, оборудвани и проектирани, че работниците да не са изложени на вредни вибрации.</w:t>
      </w:r>
    </w:p>
    <w:p w14:paraId="4276E99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Освен това, постоянните работни помещения трябва да бъдат така конструирани и обезшумени, че здравето и безопасността на служителите да не са засегнати от шума.</w:t>
      </w:r>
    </w:p>
    <w:p w14:paraId="66EBD6B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3.</w:t>
      </w:r>
      <w:r w:rsidRPr="00F06DE2">
        <w:rPr>
          <w:rFonts w:ascii="Times New Roman" w:hAnsi="Times New Roman" w:cs="Times New Roman"/>
          <w:lang w:val="ru-RU"/>
        </w:rPr>
        <w:tab/>
        <w:t xml:space="preserve">За лица, които е вероятно да бъдат изложени на шум с ниво надвишаващо 80 </w:t>
      </w:r>
      <w:r w:rsidRPr="00F06DE2">
        <w:rPr>
          <w:rFonts w:ascii="Times New Roman" w:hAnsi="Times New Roman" w:cs="Times New Roman"/>
        </w:rPr>
        <w:t>dB</w:t>
      </w:r>
      <w:r w:rsidRPr="00F06DE2">
        <w:rPr>
          <w:rFonts w:ascii="Times New Roman" w:hAnsi="Times New Roman" w:cs="Times New Roman"/>
          <w:lang w:val="ru-RU"/>
        </w:rPr>
        <w:t xml:space="preserve"> (</w:t>
      </w:r>
      <w:r w:rsidRPr="00F06DE2">
        <w:rPr>
          <w:rFonts w:ascii="Times New Roman" w:hAnsi="Times New Roman" w:cs="Times New Roman"/>
        </w:rPr>
        <w:t>A</w:t>
      </w:r>
      <w:r w:rsidRPr="00F06DE2">
        <w:rPr>
          <w:rFonts w:ascii="Times New Roman" w:hAnsi="Times New Roman" w:cs="Times New Roman"/>
          <w:lang w:val="ru-RU"/>
        </w:rPr>
        <w:t xml:space="preserve">) всеки ден, се осигуряват лични средства за защита. В работните помещения, където равнището на шум може да превиши 85 </w:t>
      </w:r>
      <w:r w:rsidRPr="00F06DE2">
        <w:rPr>
          <w:rFonts w:ascii="Times New Roman" w:hAnsi="Times New Roman" w:cs="Times New Roman"/>
        </w:rPr>
        <w:t>dB</w:t>
      </w:r>
      <w:r w:rsidRPr="00F06DE2">
        <w:rPr>
          <w:rFonts w:ascii="Times New Roman" w:hAnsi="Times New Roman" w:cs="Times New Roman"/>
          <w:lang w:val="ru-RU"/>
        </w:rPr>
        <w:t xml:space="preserve"> (</w:t>
      </w:r>
      <w:r w:rsidRPr="00F06DE2">
        <w:rPr>
          <w:rFonts w:ascii="Times New Roman" w:hAnsi="Times New Roman" w:cs="Times New Roman"/>
        </w:rPr>
        <w:t>A</w:t>
      </w:r>
      <w:r w:rsidRPr="00F06DE2">
        <w:rPr>
          <w:rFonts w:ascii="Times New Roman" w:hAnsi="Times New Roman" w:cs="Times New Roman"/>
          <w:lang w:val="ru-RU"/>
        </w:rPr>
        <w:t xml:space="preserve">), се обозначава, че носенето на средства за защита от шум е задължително посредством символа: „Носете средство за защита от шум“ с диаметър не по-малко от 10 </w:t>
      </w:r>
      <w:r w:rsidRPr="00F06DE2">
        <w:rPr>
          <w:rFonts w:ascii="Times New Roman" w:hAnsi="Times New Roman" w:cs="Times New Roman"/>
        </w:rPr>
        <w:t>cm</w:t>
      </w:r>
      <w:r w:rsidRPr="00F06DE2">
        <w:rPr>
          <w:rFonts w:ascii="Times New Roman" w:hAnsi="Times New Roman" w:cs="Times New Roman"/>
          <w:lang w:val="ru-RU"/>
        </w:rPr>
        <w:t xml:space="preserve"> в съответствие с фигура 7 от Приложение 4.</w:t>
      </w:r>
    </w:p>
    <w:p w14:paraId="0098FF4E" w14:textId="77777777" w:rsidR="00271FA2" w:rsidRPr="00F06DE2" w:rsidRDefault="00D35E51">
      <w:pPr>
        <w:pStyle w:val="ES-Titre3"/>
        <w:spacing w:line="240" w:lineRule="atLeast"/>
        <w:rPr>
          <w:rFonts w:ascii="Times New Roman" w:hAnsi="Times New Roman" w:cs="Times New Roman"/>
          <w:sz w:val="24"/>
          <w:szCs w:val="24"/>
          <w:lang w:val="ru-RU"/>
        </w:rPr>
      </w:pPr>
      <w:bookmarkStart w:id="234" w:name="_Toc491854120"/>
      <w:bookmarkStart w:id="235" w:name="_Toc535827561"/>
      <w:r w:rsidRPr="00F06DE2">
        <w:rPr>
          <w:rFonts w:ascii="Times New Roman" w:hAnsi="Times New Roman" w:cs="Times New Roman"/>
          <w:sz w:val="24"/>
          <w:szCs w:val="24"/>
          <w:lang w:val="ru-RU"/>
        </w:rPr>
        <w:t>Член 14.10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Капаци на люковете</w:t>
      </w:r>
      <w:bookmarkEnd w:id="234"/>
      <w:bookmarkEnd w:id="235"/>
    </w:p>
    <w:p w14:paraId="0886F821" w14:textId="09D8D7AB"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 xml:space="preserve">1. </w:t>
      </w:r>
      <w:r w:rsidRPr="00F06DE2">
        <w:rPr>
          <w:rFonts w:ascii="Times New Roman" w:hAnsi="Times New Roman" w:cs="Times New Roman"/>
          <w:lang w:val="ru-RU"/>
        </w:rPr>
        <w:tab/>
        <w:t xml:space="preserve">Капаците на люковете трябва да бъдат лесни за достъп и боравене. Съставните части на капаците, тежащи над 40 </w:t>
      </w:r>
      <w:r w:rsidRPr="00F06DE2">
        <w:rPr>
          <w:rFonts w:ascii="Times New Roman" w:hAnsi="Times New Roman" w:cs="Times New Roman"/>
        </w:rPr>
        <w:t>kg</w:t>
      </w:r>
      <w:r w:rsidRPr="00F06DE2">
        <w:rPr>
          <w:rFonts w:ascii="Times New Roman" w:hAnsi="Times New Roman" w:cs="Times New Roman"/>
          <w:lang w:val="ru-RU"/>
        </w:rPr>
        <w:t>, се проектират, така че да се плъзгат или се оборудват с механични устройства за отваряне. Капаците на люковете, движени от подемници, са оборудвани със съответни и леснодостъпни устройства за закрепване. Капаците на люковете, които не са взаимозаменяеми, и горните прагове се маркират ясно, за да се означат люковете, към които те принадлежат и правилното им разполагане върху тези люкове.</w:t>
      </w:r>
    </w:p>
    <w:p w14:paraId="508E3CE0" w14:textId="77777777" w:rsidR="002475FA" w:rsidRPr="00F06DE2" w:rsidRDefault="002475FA">
      <w:pPr>
        <w:pStyle w:val="ESch"/>
        <w:jc w:val="both"/>
        <w:rPr>
          <w:rFonts w:ascii="Times New Roman" w:hAnsi="Times New Roman" w:cs="Times New Roman"/>
          <w:lang w:val="ru-RU"/>
        </w:rPr>
      </w:pPr>
    </w:p>
    <w:p w14:paraId="3CE9C49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Капаците на люковете трябва да бъдат обезопасени против накланяне от вятъра или от оборудването за товарене. Плъзгащите се капаци са снабдени със стопори, непозволяващи случайно хоризонтално изместване от повече от 0,40 </w:t>
      </w:r>
      <w:r w:rsidRPr="00F06DE2">
        <w:rPr>
          <w:rFonts w:ascii="Times New Roman" w:hAnsi="Times New Roman" w:cs="Times New Roman"/>
        </w:rPr>
        <w:t>m</w:t>
      </w:r>
      <w:r w:rsidRPr="00F06DE2">
        <w:rPr>
          <w:rFonts w:ascii="Times New Roman" w:hAnsi="Times New Roman" w:cs="Times New Roman"/>
          <w:lang w:val="ru-RU"/>
        </w:rPr>
        <w:t>; те могат да се фиксират в крайното си положение. За застопоряване на подредени един върху друг капаци на люкове се осигуряват съответни устройства.</w:t>
      </w:r>
    </w:p>
    <w:p w14:paraId="6F276F1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Подаването на енергия за механично задвижваните капаци на люкове трябва да се прекъсва автоматично, когато ключът за управление се освободи.</w:t>
      </w:r>
    </w:p>
    <w:p w14:paraId="56DEB21B" w14:textId="2204D159"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Капаците на люковете трябва да издържат натоварванията, на които е вероятно да бъдат подложени: Капаците на люковете, проектирани за ходене по тях, трябва да могат да издържат концентрирани натоварвания от най-малко 75 </w:t>
      </w:r>
      <w:r w:rsidRPr="00F06DE2">
        <w:rPr>
          <w:rFonts w:ascii="Times New Roman" w:hAnsi="Times New Roman" w:cs="Times New Roman"/>
        </w:rPr>
        <w:t>kg</w:t>
      </w:r>
      <w:r w:rsidRPr="00F06DE2">
        <w:rPr>
          <w:rFonts w:ascii="Times New Roman" w:hAnsi="Times New Roman" w:cs="Times New Roman"/>
          <w:lang w:val="ru-RU"/>
        </w:rPr>
        <w:t xml:space="preserve">. Капаците на люковете, които не са проектирани за ходене по тях, трябва да са обозначени като такива. Върху капаците на люковете, проектирани да носят товар, трябва да е отбелязан допустимият товар в </w:t>
      </w:r>
      <w:r w:rsidRPr="00F06DE2">
        <w:rPr>
          <w:rFonts w:ascii="Times New Roman" w:hAnsi="Times New Roman" w:cs="Times New Roman"/>
        </w:rPr>
        <w:t>t</w:t>
      </w:r>
      <w:r w:rsidRPr="00F06DE2">
        <w:rPr>
          <w:rFonts w:ascii="Times New Roman" w:hAnsi="Times New Roman" w:cs="Times New Roman"/>
          <w:lang w:val="ru-RU"/>
        </w:rPr>
        <w:t>/</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 Когато се изискват подпори за постигане на максимално допустимия товар, това трябва да е отбелязано на подходящото място; в такъв случай необходимите скици се съхраняват на борда.</w:t>
      </w:r>
    </w:p>
    <w:p w14:paraId="38639857" w14:textId="77777777" w:rsidR="00271FA2" w:rsidRPr="00F06DE2" w:rsidRDefault="00D35E51">
      <w:pPr>
        <w:pStyle w:val="ES-Titre3"/>
        <w:spacing w:line="240" w:lineRule="atLeast"/>
        <w:rPr>
          <w:rFonts w:ascii="Times New Roman" w:hAnsi="Times New Roman" w:cs="Times New Roman"/>
          <w:sz w:val="24"/>
          <w:szCs w:val="24"/>
          <w:lang w:val="ru-RU"/>
        </w:rPr>
      </w:pPr>
      <w:bookmarkStart w:id="236" w:name="_Toc491854121"/>
      <w:bookmarkStart w:id="237" w:name="_Toc535827562"/>
      <w:r w:rsidRPr="00F06DE2">
        <w:rPr>
          <w:rFonts w:ascii="Times New Roman" w:hAnsi="Times New Roman" w:cs="Times New Roman"/>
          <w:sz w:val="24"/>
          <w:szCs w:val="24"/>
          <w:lang w:val="ru-RU"/>
        </w:rPr>
        <w:t>Член 14.11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Лебедки</w:t>
      </w:r>
      <w:bookmarkEnd w:id="236"/>
      <w:bookmarkEnd w:id="237"/>
    </w:p>
    <w:p w14:paraId="5FD815F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Лебедките трябва да са проектирани по такъв начин, че да позволяват работата да се извършва безопасно. Те трябва да бъдат оборудвани с устройства, които предотвратяват самоволното пускане на товара. Лебедките, които не се заключват автоматично, се оборудват със спирачка, която е способна да устои на теглителната им сила.</w:t>
      </w:r>
    </w:p>
    <w:p w14:paraId="7FCFDF8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Ръчните лебедки трябва да са оборудвани с устройства против обратен удар при въртене на манивелата. Лебедките с ръчен и механичен привод се проектират, така че механичният привод да не привежда в действие ръчното управление.</w:t>
      </w:r>
    </w:p>
    <w:p w14:paraId="0D579FEC" w14:textId="77777777" w:rsidR="00641D12" w:rsidRPr="00F06DE2" w:rsidRDefault="00641D12">
      <w:pPr>
        <w:pStyle w:val="ES-Titre3"/>
        <w:spacing w:line="240" w:lineRule="atLeast"/>
        <w:rPr>
          <w:rFonts w:ascii="Times New Roman" w:hAnsi="Times New Roman" w:cs="Times New Roman"/>
          <w:sz w:val="24"/>
          <w:szCs w:val="24"/>
          <w:lang w:val="ru-RU"/>
        </w:rPr>
      </w:pPr>
      <w:bookmarkStart w:id="238" w:name="_Toc491854122"/>
      <w:bookmarkStart w:id="239" w:name="_Toc535827563"/>
    </w:p>
    <w:p w14:paraId="64BF115C" w14:textId="20AFA4F2"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14.12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Кранове</w:t>
      </w:r>
      <w:bookmarkEnd w:id="238"/>
      <w:bookmarkEnd w:id="239"/>
    </w:p>
    <w:p w14:paraId="1109F60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Крановете се проектират в съответствие с най-добрата практика. Силите, възникващи по време на работата с тях, трябва да бъдат предавани безопасно на конструкцията на плавателния съд; те не трябва да влошават неговата устойчивост.</w:t>
      </w:r>
    </w:p>
    <w:p w14:paraId="46302AD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Върху крановете се поставя табелка на производителя, съдържаща следната информация:</w:t>
      </w:r>
    </w:p>
    <w:p w14:paraId="40E80160"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име и адрес на производителя;</w:t>
      </w:r>
    </w:p>
    <w:p w14:paraId="1F898B1B"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маркировката „</w:t>
      </w:r>
      <w:r w:rsidRPr="00F06DE2">
        <w:rPr>
          <w:rFonts w:ascii="Times New Roman" w:hAnsi="Times New Roman" w:cs="Times New Roman"/>
        </w:rPr>
        <w:t>CE</w:t>
      </w:r>
      <w:r w:rsidRPr="00F06DE2">
        <w:rPr>
          <w:rFonts w:ascii="Times New Roman" w:hAnsi="Times New Roman" w:cs="Times New Roman"/>
          <w:lang w:val="ru-RU"/>
        </w:rPr>
        <w:t>“, заедно с годината на производство;</w:t>
      </w:r>
    </w:p>
    <w:p w14:paraId="7AAA4C5E"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lastRenderedPageBreak/>
        <w:t>в) серия или тип;</w:t>
      </w:r>
    </w:p>
    <w:p w14:paraId="7240AFE0"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г) сериен номер, ако има такъв.</w:t>
      </w:r>
    </w:p>
    <w:p w14:paraId="36A81CC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Максималната разрешена товароподемност трябва да е незаличимо нанесена върху крановете ясно и четливо.</w:t>
      </w:r>
    </w:p>
    <w:p w14:paraId="6A6520F6"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Когато безопасната товароподемност на крана не превишава 2000 </w:t>
      </w:r>
      <w:r w:rsidRPr="00F06DE2">
        <w:rPr>
          <w:rFonts w:ascii="Times New Roman" w:hAnsi="Times New Roman" w:cs="Times New Roman"/>
        </w:rPr>
        <w:t>kg</w:t>
      </w:r>
      <w:r w:rsidRPr="00F06DE2">
        <w:rPr>
          <w:rFonts w:ascii="Times New Roman" w:hAnsi="Times New Roman" w:cs="Times New Roman"/>
          <w:lang w:val="ru-RU"/>
        </w:rPr>
        <w:t>, достатъчно е върху крана да се маркира ясно и четливо безопасната товароподемност при максималния обсег.</w:t>
      </w:r>
    </w:p>
    <w:p w14:paraId="44AE645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Наличието на устройства за предпазване от рисковете от премазване или отрязване е задължително. Външните части на крана трябва да имат минимално </w:t>
      </w:r>
      <w:r w:rsidR="006D3B7D" w:rsidRPr="00F06DE2">
        <w:rPr>
          <w:rFonts w:ascii="Times New Roman" w:hAnsi="Times New Roman" w:cs="Times New Roman"/>
          <w:lang w:val="ru-RU"/>
        </w:rPr>
        <w:t>безопасно разстояние</w:t>
      </w:r>
      <w:r w:rsidRPr="00F06DE2">
        <w:rPr>
          <w:rFonts w:ascii="Times New Roman" w:hAnsi="Times New Roman" w:cs="Times New Roman"/>
          <w:lang w:val="ru-RU"/>
        </w:rPr>
        <w:t xml:space="preserve"> от 0,50 </w:t>
      </w:r>
      <w:r w:rsidRPr="00F06DE2">
        <w:rPr>
          <w:rFonts w:ascii="Times New Roman" w:hAnsi="Times New Roman" w:cs="Times New Roman"/>
        </w:rPr>
        <w:t>m</w:t>
      </w:r>
      <w:r w:rsidRPr="00F06DE2">
        <w:rPr>
          <w:rFonts w:ascii="Times New Roman" w:hAnsi="Times New Roman" w:cs="Times New Roman"/>
          <w:lang w:val="ru-RU"/>
        </w:rPr>
        <w:t xml:space="preserve"> спрямо определена надстройка на работните места и в проходите.</w:t>
      </w:r>
    </w:p>
    <w:p w14:paraId="714B674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Трябва да е възможно да бъдат защитени силово задвижваните кранове от непозволено използване. Те трябва да могат да бъдат задвижвани само от мястото за управление на крана. Уредът за управление трябва да е с автоматично възвръщане (бутони без самозадържане); техните посоки на движение трябва да са недвусмислено определени.</w:t>
      </w:r>
    </w:p>
    <w:p w14:paraId="74C6895A"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Ако движещата сила откаже, трябва да е невъзможно товарът да падне безконтролно. Не се допускат непреднамерени движения на крана.</w:t>
      </w:r>
    </w:p>
    <w:p w14:paraId="7F902B1E"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Всяко движение нагоре на повдигащото устройство и всяко надвишаване на безопасния работен товар трябва да се ограничават от подходящо устройство. Всяко движение надолу на повдигащото устройство се ограничава, ако при предвидени проектни експлоатационни условия в момента на прикрепване на куката върху барабана, може да останат по-малко от две кабелни намотки. Съответното обратно движение трябва да е все още възможно след задействането на автоматичните ограничаващи устройства.</w:t>
      </w:r>
    </w:p>
    <w:p w14:paraId="58D30D9E"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Натоварването на скъсване на кабелите за боравене с такелажа трябва да е равно на петкратния размер на допустимия товар на кабелите. Структурата на кабелите трябва да е без дефекти и конструкцията им е подходяща за използване с кранове.</w:t>
      </w:r>
    </w:p>
    <w:p w14:paraId="33BE39A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Крановете се проверяват от експерт:</w:t>
      </w:r>
    </w:p>
    <w:p w14:paraId="23B64137"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преди първоначално пускане в експлоатация;</w:t>
      </w:r>
    </w:p>
    <w:p w14:paraId="21F09F64"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преди повторно пускане в експлоатация след всяко по-съществено изменение или ремонт; и</w:t>
      </w:r>
    </w:p>
    <w:p w14:paraId="271F92F3"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редовно, най-малко на всеки десет години.</w:t>
      </w:r>
    </w:p>
    <w:p w14:paraId="01554308"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При проверката доказателства за достатъчна якост и устойчивост се предоставят чрез изчисления и изпитване на натоварването на борда.</w:t>
      </w:r>
    </w:p>
    <w:p w14:paraId="3EF939B6"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Когато безопасната товароподемност на крана не превишава 2000 </w:t>
      </w:r>
      <w:r w:rsidRPr="00F06DE2">
        <w:rPr>
          <w:rFonts w:ascii="Times New Roman" w:hAnsi="Times New Roman" w:cs="Times New Roman"/>
        </w:rPr>
        <w:t>kg</w:t>
      </w:r>
      <w:r w:rsidRPr="00F06DE2">
        <w:rPr>
          <w:rFonts w:ascii="Times New Roman" w:hAnsi="Times New Roman" w:cs="Times New Roman"/>
          <w:lang w:val="ru-RU"/>
        </w:rPr>
        <w:t>, експертът има право да прецени, че доказването чрез изчисления може да бъде заместено изцяло или частично с изпитване с товар 1,25 пъти по-голям от безопасната товароподемност, което да се проведе за целия обхват на експлоатация.</w:t>
      </w:r>
    </w:p>
    <w:p w14:paraId="7A27D09C"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Издава се удостоверение за проверката, подписано от експерта и посочващо датата на проверката.</w:t>
      </w:r>
    </w:p>
    <w:p w14:paraId="647ADFA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Крановете се проверяват редовно и във всеки случай поне веднъж годишно от компетентно лице. При проверката безопасното експлоатационно състояние на крана се определя с визуален оглед и оперативна проверка.</w:t>
      </w:r>
    </w:p>
    <w:p w14:paraId="58E270DE"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Издава се удостоверение за проверката, подписано от компетентното лице и посочващо датата на проверката.</w:t>
      </w:r>
    </w:p>
    <w:p w14:paraId="0210C9C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 xml:space="preserve">Крановете с безопасна товароподемност над 2000 </w:t>
      </w:r>
      <w:r w:rsidRPr="00F06DE2">
        <w:rPr>
          <w:rFonts w:ascii="Times New Roman" w:hAnsi="Times New Roman" w:cs="Times New Roman"/>
        </w:rPr>
        <w:t>kg</w:t>
      </w:r>
      <w:r w:rsidRPr="00F06DE2">
        <w:rPr>
          <w:rFonts w:ascii="Times New Roman" w:hAnsi="Times New Roman" w:cs="Times New Roman"/>
          <w:lang w:val="ru-RU"/>
        </w:rPr>
        <w:t>, или тези, използвани за претоварване, или които са монтирани върху подемни крикове, понтони и друго плаващо съоръжение или плавателно работно средство, трябва освен това да отговарят на изискванията на една от държавите членки.</w:t>
      </w:r>
    </w:p>
    <w:p w14:paraId="59194B3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9.</w:t>
      </w:r>
      <w:r w:rsidRPr="00F06DE2">
        <w:rPr>
          <w:rFonts w:ascii="Times New Roman" w:hAnsi="Times New Roman" w:cs="Times New Roman"/>
          <w:lang w:val="ru-RU"/>
        </w:rPr>
        <w:tab/>
        <w:t>Инструкциите за работа на производителя на крана се съхраняват на борда. Те съдържат най-малко следната информация:</w:t>
      </w:r>
    </w:p>
    <w:p w14:paraId="3A67E6E9"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работен обхват и функция на уредите за управление;</w:t>
      </w:r>
    </w:p>
    <w:p w14:paraId="3F124645"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максимално допустима безопасна товароподемност като функция от обсега;</w:t>
      </w:r>
    </w:p>
    <w:p w14:paraId="3B1EA5CD"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максимално допустим наклон на крана;</w:t>
      </w:r>
    </w:p>
    <w:p w14:paraId="21CB700F"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г) инструкции за сглобяване и поддръжка;</w:t>
      </w:r>
    </w:p>
    <w:p w14:paraId="1496A6F9"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д) общи технически данни.</w:t>
      </w:r>
    </w:p>
    <w:p w14:paraId="729068C8" w14:textId="77777777" w:rsidR="00271FA2" w:rsidRPr="00F06DE2" w:rsidRDefault="00D35E51">
      <w:pPr>
        <w:pStyle w:val="ES-Titre3"/>
        <w:spacing w:line="240" w:lineRule="atLeast"/>
        <w:rPr>
          <w:rFonts w:ascii="Times New Roman" w:hAnsi="Times New Roman" w:cs="Times New Roman"/>
          <w:sz w:val="24"/>
          <w:szCs w:val="24"/>
          <w:lang w:val="ru-RU"/>
        </w:rPr>
      </w:pPr>
      <w:bookmarkStart w:id="240" w:name="_Toc535827564"/>
      <w:bookmarkStart w:id="241" w:name="_Toc491854123"/>
      <w:r w:rsidRPr="00F06DE2">
        <w:rPr>
          <w:rFonts w:ascii="Times New Roman" w:hAnsi="Times New Roman" w:cs="Times New Roman"/>
          <w:sz w:val="24"/>
          <w:szCs w:val="24"/>
          <w:lang w:val="ru-RU"/>
        </w:rPr>
        <w:t>Член 14.13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Съхранение на запалими течности</w:t>
      </w:r>
      <w:bookmarkEnd w:id="240"/>
      <w:bookmarkEnd w:id="241"/>
    </w:p>
    <w:p w14:paraId="2910C80E"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За съхранението на запалими течности с точка на възпламеняване под 55</w:t>
      </w:r>
      <w:r w:rsidRPr="00F06DE2">
        <w:rPr>
          <w:rFonts w:ascii="Times New Roman" w:hAnsi="Times New Roman" w:cs="Times New Roman"/>
        </w:rPr>
        <w:t> C</w:t>
      </w:r>
      <w:r w:rsidRPr="00F06DE2">
        <w:rPr>
          <w:rFonts w:ascii="Times New Roman" w:hAnsi="Times New Roman" w:cs="Times New Roman"/>
          <w:lang w:val="ru-RU"/>
        </w:rPr>
        <w:t xml:space="preserve"> на палубата трябва да има шкаф с вентилация, изработен от негорими материали. Отвън върху него трябва да има знак „Паленето на огън и пушенето забранени“ с диаметър от поне 10 </w:t>
      </w:r>
      <w:r w:rsidRPr="00F06DE2">
        <w:rPr>
          <w:rFonts w:ascii="Times New Roman" w:hAnsi="Times New Roman" w:cs="Times New Roman"/>
        </w:rPr>
        <w:t>cm</w:t>
      </w:r>
      <w:r w:rsidRPr="00F06DE2">
        <w:rPr>
          <w:rFonts w:ascii="Times New Roman" w:hAnsi="Times New Roman" w:cs="Times New Roman"/>
          <w:lang w:val="ru-RU"/>
        </w:rPr>
        <w:t xml:space="preserve"> в съответствие с фигура 2 от Приложение 4.</w:t>
      </w:r>
    </w:p>
    <w:p w14:paraId="3D17F178" w14:textId="77777777" w:rsidR="00FF2425" w:rsidRPr="00F06DE2" w:rsidRDefault="00FF2425">
      <w:pPr>
        <w:rPr>
          <w:rFonts w:ascii="Times New Roman" w:hAnsi="Times New Roman" w:cs="Times New Roman"/>
          <w:lang w:val="ru-RU"/>
        </w:rPr>
        <w:sectPr w:rsidR="00FF2425" w:rsidRPr="00F06DE2" w:rsidSect="00F06DE2">
          <w:headerReference w:type="default" r:id="rId47"/>
          <w:headerReference w:type="first" r:id="rId48"/>
          <w:footnotePr>
            <w:numRestart w:val="eachPage"/>
          </w:footnotePr>
          <w:pgSz w:w="11906" w:h="16838" w:code="9"/>
          <w:pgMar w:top="1134" w:right="1134" w:bottom="1134" w:left="1134" w:header="709" w:footer="709" w:gutter="0"/>
          <w:cols w:space="709"/>
          <w:titlePg/>
          <w:docGrid w:linePitch="272"/>
        </w:sectPr>
      </w:pPr>
    </w:p>
    <w:p w14:paraId="7CECFAFB" w14:textId="77777777" w:rsidR="00271FA2" w:rsidRPr="00F06DE2" w:rsidRDefault="00D35E51">
      <w:pPr>
        <w:pStyle w:val="ES-Titre2"/>
        <w:rPr>
          <w:rFonts w:ascii="Times New Roman" w:hAnsi="Times New Roman" w:cs="Times New Roman"/>
          <w:lang w:val="ru-RU"/>
        </w:rPr>
      </w:pPr>
      <w:bookmarkStart w:id="242" w:name="_Toc535827565"/>
      <w:bookmarkStart w:id="243" w:name="_Toc491854124"/>
      <w:r w:rsidRPr="00F06DE2">
        <w:rPr>
          <w:rFonts w:ascii="Times New Roman" w:hAnsi="Times New Roman" w:cs="Times New Roman"/>
          <w:lang w:val="ru-RU"/>
        </w:rPr>
        <w:lastRenderedPageBreak/>
        <w:t>Глава 15</w:t>
      </w:r>
      <w:r w:rsidRPr="00F06DE2">
        <w:rPr>
          <w:rFonts w:ascii="Times New Roman" w:hAnsi="Times New Roman" w:cs="Times New Roman"/>
          <w:lang w:val="ru-RU"/>
        </w:rPr>
        <w:br/>
        <w:t>Жилищни помещения</w:t>
      </w:r>
      <w:bookmarkEnd w:id="242"/>
      <w:bookmarkEnd w:id="243"/>
    </w:p>
    <w:p w14:paraId="2A655D41" w14:textId="77777777" w:rsidR="00271FA2" w:rsidRPr="00F06DE2" w:rsidRDefault="00D35E51">
      <w:pPr>
        <w:pStyle w:val="ES-Titre3"/>
        <w:spacing w:line="240" w:lineRule="atLeast"/>
        <w:rPr>
          <w:rFonts w:ascii="Times New Roman" w:hAnsi="Times New Roman" w:cs="Times New Roman"/>
          <w:sz w:val="24"/>
          <w:szCs w:val="24"/>
          <w:lang w:val="ru-RU"/>
        </w:rPr>
      </w:pPr>
      <w:bookmarkStart w:id="244" w:name="_Toc535827566"/>
      <w:bookmarkStart w:id="245" w:name="_Toc491854125"/>
      <w:r w:rsidRPr="00F06DE2">
        <w:rPr>
          <w:rFonts w:ascii="Times New Roman" w:hAnsi="Times New Roman" w:cs="Times New Roman"/>
          <w:sz w:val="24"/>
          <w:szCs w:val="24"/>
          <w:lang w:val="ru-RU"/>
        </w:rPr>
        <w:t>Член 15.01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244"/>
      <w:bookmarkEnd w:id="245"/>
    </w:p>
    <w:p w14:paraId="0DB75A0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Плавателните съдове трябва да имат жилищни помещения за лицата, които обичайно са настанени на борда и поне за минималния състав на екипажа. </w:t>
      </w:r>
    </w:p>
    <w:p w14:paraId="4E04DEEF" w14:textId="77777777" w:rsidR="00271FA2" w:rsidRPr="00F06DE2" w:rsidRDefault="00D35E51">
      <w:pPr>
        <w:pStyle w:val="ESch"/>
        <w:jc w:val="both"/>
        <w:rPr>
          <w:rFonts w:ascii="Times New Roman" w:hAnsi="Times New Roman" w:cs="Times New Roman"/>
          <w:i/>
          <w:lang w:val="ru-RU"/>
        </w:rPr>
      </w:pPr>
      <w:r w:rsidRPr="00F06DE2">
        <w:rPr>
          <w:rFonts w:ascii="Times New Roman" w:hAnsi="Times New Roman" w:cs="Times New Roman"/>
          <w:lang w:val="ru-RU"/>
        </w:rPr>
        <w:t>2.</w:t>
      </w:r>
      <w:r w:rsidRPr="00F06DE2">
        <w:rPr>
          <w:rFonts w:ascii="Times New Roman" w:hAnsi="Times New Roman" w:cs="Times New Roman"/>
          <w:lang w:val="ru-RU"/>
        </w:rPr>
        <w:tab/>
        <w:t>Жилищните помещения трябва да бъдат проектирани, разположени и оборудвани, така че да отговарят на изискванията за опазването на здравето, безопасността и комфорта на хората на борда. Те трябва да са безопасно и лесно достъпни и подходящо изолирани срещу топлина и студ.</w:t>
      </w:r>
    </w:p>
    <w:p w14:paraId="2BE9595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Контролният орган може да разреши изключения от разпоредбите на настоящата глава, ако здравето и безопасността на лицата на борда са осигурени посредством други мерки.</w:t>
      </w:r>
    </w:p>
    <w:p w14:paraId="3215CC6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Контролният орган вписва в Корабното удостоверение за вътрешно корабоплаване евентуалните ограничения по отношение на дневните експлоатационни периоди на плавателния съд и неговия режим на работа, произтичащи от изключенията съгласно точка 3.</w:t>
      </w:r>
    </w:p>
    <w:p w14:paraId="09505FAC"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46" w:name="_Toc535827567"/>
      <w:bookmarkStart w:id="247" w:name="_Toc491854126"/>
      <w:r w:rsidRPr="00F06DE2">
        <w:rPr>
          <w:rFonts w:ascii="Times New Roman" w:hAnsi="Times New Roman" w:cs="Times New Roman"/>
          <w:sz w:val="24"/>
          <w:szCs w:val="24"/>
          <w:lang w:val="ru-RU"/>
        </w:rPr>
        <w:t>Член 15.02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изисквания към проектирането на жилищни помещения</w:t>
      </w:r>
      <w:bookmarkEnd w:id="246"/>
      <w:bookmarkEnd w:id="247"/>
    </w:p>
    <w:p w14:paraId="6B72F67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Трябва да има възможност жилищните помещения да се проветряват в достатъчна степен, дори когато вратите са затворени; освен това жилищните помещения за общо ползване трябва да получават достатъчно дневна светлина и по възможност са с изглед навън.</w:t>
      </w:r>
    </w:p>
    <w:p w14:paraId="3465264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Когато няма проход от равнището на палубата към жилищните помещения и разликата в равнището е 0,30 </w:t>
      </w:r>
      <w:r w:rsidRPr="00F06DE2">
        <w:rPr>
          <w:rFonts w:ascii="Times New Roman" w:hAnsi="Times New Roman" w:cs="Times New Roman"/>
        </w:rPr>
        <w:t>m</w:t>
      </w:r>
      <w:r w:rsidRPr="00F06DE2">
        <w:rPr>
          <w:rFonts w:ascii="Times New Roman" w:hAnsi="Times New Roman" w:cs="Times New Roman"/>
          <w:lang w:val="ru-RU"/>
        </w:rPr>
        <w:t xml:space="preserve"> или повече, достъпът до жилищните помещения трябва да се осигурява със стълбища.</w:t>
      </w:r>
    </w:p>
    <w:p w14:paraId="277ACB9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В носовите части на плавателния съд нито един от подовете не трябва да бъде повече от 1,20 </w:t>
      </w:r>
      <w:r w:rsidRPr="00F06DE2">
        <w:rPr>
          <w:rFonts w:ascii="Times New Roman" w:hAnsi="Times New Roman" w:cs="Times New Roman"/>
        </w:rPr>
        <w:t>m</w:t>
      </w:r>
      <w:r w:rsidRPr="00F06DE2">
        <w:rPr>
          <w:rFonts w:ascii="Times New Roman" w:hAnsi="Times New Roman" w:cs="Times New Roman"/>
          <w:lang w:val="ru-RU"/>
        </w:rPr>
        <w:t xml:space="preserve"> под равнината на максимално газене.</w:t>
      </w:r>
    </w:p>
    <w:p w14:paraId="2CE1FAA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Жилищните помещения за общо ползване и спалните каюти трябва да имат поне два изхода, максимално раздалечени един от друг и служещи като маршрути за евакуация. Единият изход може да бъде определен за авариен. Това не важи за помещения с изход, водещ направо на палубата или към коридор, който служи като маршрут за евакуация, при условие че коридорът има два изхода, раздалечени един от друг, водещи към левия и към десния борд. Аварийните изходи, които могат да включват светлици и прозорци, трябва да имат светло сечение от най-малко 0,36 </w:t>
      </w:r>
      <w:r w:rsidRPr="00F06DE2">
        <w:rPr>
          <w:rFonts w:ascii="Times New Roman" w:hAnsi="Times New Roman" w:cs="Times New Roman"/>
        </w:rPr>
        <w:t>m</w:t>
      </w:r>
      <w:r w:rsidRPr="00F06DE2">
        <w:rPr>
          <w:rFonts w:ascii="Times New Roman" w:hAnsi="Times New Roman" w:cs="Times New Roman"/>
          <w:spacing w:val="-2"/>
          <w:vertAlign w:val="superscript"/>
          <w:lang w:val="ru-RU"/>
        </w:rPr>
        <w:t>2</w:t>
      </w:r>
      <w:r w:rsidRPr="00F06DE2">
        <w:rPr>
          <w:rFonts w:ascii="Times New Roman" w:hAnsi="Times New Roman" w:cs="Times New Roman"/>
          <w:lang w:val="ru-RU"/>
        </w:rPr>
        <w:t xml:space="preserve"> и дължина на най-късата страна, не по-малка от 0,50 </w:t>
      </w:r>
      <w:r w:rsidRPr="00F06DE2">
        <w:rPr>
          <w:rFonts w:ascii="Times New Roman" w:hAnsi="Times New Roman" w:cs="Times New Roman"/>
        </w:rPr>
        <w:t>m</w:t>
      </w:r>
      <w:r w:rsidRPr="00F06DE2">
        <w:rPr>
          <w:rFonts w:ascii="Times New Roman" w:hAnsi="Times New Roman" w:cs="Times New Roman"/>
          <w:lang w:val="ru-RU"/>
        </w:rPr>
        <w:t>, и да позволяват бърза евакуация в аварийни ситуации. Изолацията и покритията на маршрутите за евакуация се изработват от забавящи горенето материали и използваемостта на маршрутите за евакуация във всеки момент се гарантира с подходящи средства като подвижни стълби или отделно монтирани стъпала.</w:t>
      </w:r>
    </w:p>
    <w:p w14:paraId="7459065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Жилищните помещения трябва да са защитени срещу недопустим шум и вибрации. Приемливите равнища на шума не трябва да превишават:</w:t>
      </w:r>
    </w:p>
    <w:p w14:paraId="16546018"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70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в жилищните помещения за общо ползване;</w:t>
      </w:r>
    </w:p>
    <w:p w14:paraId="3DF72633"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60 </w:t>
      </w:r>
      <w:r w:rsidRPr="00F06DE2">
        <w:rPr>
          <w:rFonts w:ascii="Times New Roman" w:hAnsi="Times New Roman" w:cs="Times New Roman"/>
        </w:rPr>
        <w:t>dB</w:t>
      </w:r>
      <w:r w:rsidRPr="00F06DE2">
        <w:rPr>
          <w:rFonts w:ascii="Times New Roman" w:hAnsi="Times New Roman" w:cs="Times New Roman"/>
          <w:lang w:val="ru-RU"/>
        </w:rPr>
        <w:t>(А) в спалните каюти. Тази разпоредба не се прилага за плавателни съдове, които работят изключително извън периодите за почивка на екипажа, както са определени от националното законодателство на държавите членки.</w:t>
      </w:r>
    </w:p>
    <w:p w14:paraId="4D81562E"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Ограничението на режима на работа, посочен в буква “б”, се вписва в Корабното удостоверение за вътрешно корабоплаване.</w:t>
      </w:r>
    </w:p>
    <w:p w14:paraId="75D412E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Височината на жилищните помещения трябва да е не по-малко от 2,00</w:t>
      </w:r>
      <w:r w:rsidRPr="00F06DE2">
        <w:rPr>
          <w:rFonts w:ascii="Times New Roman" w:hAnsi="Times New Roman" w:cs="Times New Roman"/>
        </w:rPr>
        <w:t> m</w:t>
      </w:r>
      <w:r w:rsidRPr="00F06DE2">
        <w:rPr>
          <w:rFonts w:ascii="Times New Roman" w:hAnsi="Times New Roman" w:cs="Times New Roman"/>
          <w:lang w:val="ru-RU"/>
        </w:rPr>
        <w:t>.</w:t>
      </w:r>
    </w:p>
    <w:p w14:paraId="63E5185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7.</w:t>
      </w:r>
      <w:r w:rsidRPr="00F06DE2">
        <w:rPr>
          <w:rFonts w:ascii="Times New Roman" w:hAnsi="Times New Roman" w:cs="Times New Roman"/>
          <w:lang w:val="ru-RU"/>
        </w:rPr>
        <w:tab/>
        <w:t>Като правило плавателните съдове трябва да имат поне едно жилищно помещение за общо ползване, отделено от спалните каюти.</w:t>
      </w:r>
    </w:p>
    <w:p w14:paraId="66E433F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Свободната разгъната площ на жилищните помещения за общо ползване трябва да е не по-малко от 2</w:t>
      </w:r>
      <w:r w:rsidRPr="00F06DE2">
        <w:rPr>
          <w:rFonts w:ascii="Times New Roman" w:hAnsi="Times New Roman" w:cs="Times New Roman"/>
        </w:rPr>
        <w:t> 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на човек и във всеки случай не по-малко от 8</w:t>
      </w:r>
      <w:r w:rsidRPr="00F06DE2">
        <w:rPr>
          <w:rFonts w:ascii="Times New Roman" w:hAnsi="Times New Roman" w:cs="Times New Roman"/>
        </w:rPr>
        <w:t> 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общо (без да се броят мебелите, с изключение на масите и столовете).</w:t>
      </w:r>
    </w:p>
    <w:p w14:paraId="5BABAEC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Кубатурата на индивидуалните жилищни помещения и спалните каюти трябва да е не по-малко от 7</w:t>
      </w:r>
      <w:r w:rsidRPr="00F06DE2">
        <w:rPr>
          <w:rFonts w:ascii="Times New Roman" w:hAnsi="Times New Roman" w:cs="Times New Roman"/>
        </w:rPr>
        <w:t> m</w:t>
      </w:r>
      <w:r w:rsidRPr="00F06DE2">
        <w:rPr>
          <w:rFonts w:ascii="Times New Roman" w:hAnsi="Times New Roman" w:cs="Times New Roman"/>
          <w:vertAlign w:val="superscript"/>
          <w:lang w:val="ru-RU"/>
        </w:rPr>
        <w:t>3</w:t>
      </w:r>
      <w:r w:rsidRPr="00F06DE2">
        <w:rPr>
          <w:rFonts w:ascii="Times New Roman" w:hAnsi="Times New Roman" w:cs="Times New Roman"/>
          <w:lang w:val="ru-RU"/>
        </w:rPr>
        <w:t xml:space="preserve"> за всяко помещение.</w:t>
      </w:r>
    </w:p>
    <w:p w14:paraId="645CECC5" w14:textId="0598E30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 xml:space="preserve">Обемът въздух на човек трябва да е поне 3,5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xml:space="preserve"> в индивидуалните жилищни помещения. В спалните каюти той трябва да бъде поне 5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xml:space="preserve"> за първия обитател и поне 3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xml:space="preserve"> за всеки допълнителен обитател (без да се смята обемът на мебелите). Спалните каюти са предназначени за не повече от двама човека. Койките се поставят на не по-малко от 0,30 </w:t>
      </w:r>
      <w:r w:rsidRPr="00F06DE2">
        <w:rPr>
          <w:rFonts w:ascii="Times New Roman" w:hAnsi="Times New Roman" w:cs="Times New Roman"/>
        </w:rPr>
        <w:t>m</w:t>
      </w:r>
      <w:r w:rsidRPr="00F06DE2">
        <w:rPr>
          <w:rFonts w:ascii="Times New Roman" w:hAnsi="Times New Roman" w:cs="Times New Roman"/>
          <w:lang w:val="ru-RU"/>
        </w:rPr>
        <w:t xml:space="preserve"> над пода. Когато една койка е поставена над друга, височината над всяка от тях трябва да </w:t>
      </w:r>
      <w:r w:rsidRPr="00F06DE2">
        <w:rPr>
          <w:rFonts w:ascii="Times New Roman" w:hAnsi="Times New Roman" w:cs="Times New Roman"/>
        </w:rPr>
        <w:t>e</w:t>
      </w:r>
      <w:r w:rsidRPr="00F06DE2">
        <w:rPr>
          <w:rFonts w:ascii="Times New Roman" w:hAnsi="Times New Roman" w:cs="Times New Roman"/>
          <w:lang w:val="ru-RU"/>
        </w:rPr>
        <w:t xml:space="preserve"> не по-малко от 0,60 </w:t>
      </w:r>
      <w:r w:rsidRPr="00F06DE2">
        <w:rPr>
          <w:rFonts w:ascii="Times New Roman" w:hAnsi="Times New Roman" w:cs="Times New Roman"/>
        </w:rPr>
        <w:t>m</w:t>
      </w:r>
      <w:r w:rsidRPr="00F06DE2">
        <w:rPr>
          <w:rFonts w:ascii="Times New Roman" w:hAnsi="Times New Roman" w:cs="Times New Roman"/>
          <w:lang w:val="ru-RU"/>
        </w:rPr>
        <w:t>.</w:t>
      </w:r>
    </w:p>
    <w:p w14:paraId="5BF431A8" w14:textId="77777777" w:rsidR="00271FA2" w:rsidRPr="00F06DE2" w:rsidRDefault="00D35E51">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 xml:space="preserve">Вратите </w:t>
      </w:r>
    </w:p>
    <w:p w14:paraId="4221F00B" w14:textId="1A20D459" w:rsidR="00271FA2" w:rsidRPr="00F06DE2" w:rsidRDefault="00D35E5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а) трябва да имат отвор, чийто горен ръб е най-малко 1,90 </w:t>
      </w:r>
      <w:r w:rsidRPr="00F06DE2">
        <w:rPr>
          <w:rFonts w:ascii="Times New Roman" w:hAnsi="Times New Roman" w:cs="Times New Roman"/>
        </w:rPr>
        <w:t>m</w:t>
      </w:r>
      <w:r w:rsidRPr="00F06DE2">
        <w:rPr>
          <w:rFonts w:ascii="Times New Roman" w:hAnsi="Times New Roman" w:cs="Times New Roman"/>
          <w:lang w:val="ru-RU"/>
        </w:rPr>
        <w:t xml:space="preserve"> над палубата или над пода и чиста ширина най-малко 0,60 </w:t>
      </w:r>
      <w:r w:rsidRPr="00F06DE2">
        <w:rPr>
          <w:rFonts w:ascii="Times New Roman" w:hAnsi="Times New Roman" w:cs="Times New Roman"/>
        </w:rPr>
        <w:t>m</w:t>
      </w:r>
      <w:r w:rsidRPr="00F06DE2">
        <w:rPr>
          <w:rFonts w:ascii="Times New Roman" w:hAnsi="Times New Roman" w:cs="Times New Roman"/>
          <w:lang w:val="ru-RU"/>
        </w:rPr>
        <w:t>. Предписаната височина може да бъде постигната чрез плъзгащи се или шарнирни капаци или капаци;</w:t>
      </w:r>
    </w:p>
    <w:p w14:paraId="2B02B30F" w14:textId="77777777" w:rsidR="00271FA2" w:rsidRPr="00F06DE2" w:rsidRDefault="00D35E5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б) трябва да може да се отваря навън от двете страни;</w:t>
      </w:r>
    </w:p>
    <w:p w14:paraId="219C10DB" w14:textId="234CC1F7" w:rsidR="00271FA2" w:rsidRPr="00F06DE2" w:rsidRDefault="00D35E5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в) които са разположени по пътищата за евакуация, не трябва да възпрепятстват евакуацията на лица, когато са отворени;</w:t>
      </w:r>
    </w:p>
    <w:p w14:paraId="7B3F6331" w14:textId="208AB99C" w:rsidR="00271FA2" w:rsidRPr="00F06DE2" w:rsidRDefault="00D35E5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г) които са заключени отвътре, трябва да могат да бъдат отворени отвън при аварийна ситуация.</w:t>
      </w:r>
    </w:p>
    <w:p w14:paraId="49CD5380" w14:textId="77777777" w:rsidR="00271FA2" w:rsidRPr="00F06DE2" w:rsidRDefault="00D35E5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Праговете не трябва да са с височина повече от 0,40 </w:t>
      </w:r>
      <w:r w:rsidRPr="00F06DE2">
        <w:rPr>
          <w:rFonts w:ascii="Times New Roman" w:hAnsi="Times New Roman" w:cs="Times New Roman"/>
        </w:rPr>
        <w:t>m</w:t>
      </w:r>
      <w:r w:rsidRPr="00F06DE2">
        <w:rPr>
          <w:rFonts w:ascii="Times New Roman" w:hAnsi="Times New Roman" w:cs="Times New Roman"/>
          <w:lang w:val="ru-RU"/>
        </w:rPr>
        <w:t xml:space="preserve">, но въпреки това трябва да </w:t>
      </w:r>
      <w:r w:rsidRPr="00F06DE2">
        <w:rPr>
          <w:rFonts w:ascii="Times New Roman" w:hAnsi="Times New Roman" w:cs="Times New Roman"/>
          <w:lang w:val="ru-RU"/>
        </w:rPr>
        <w:tab/>
        <w:t>отговарят на разпоредбите на други разпоредби за безопасност.</w:t>
      </w:r>
    </w:p>
    <w:p w14:paraId="6509235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12</w:t>
      </w:r>
      <w:r w:rsidRPr="00F06DE2">
        <w:rPr>
          <w:rFonts w:ascii="Times New Roman" w:hAnsi="Times New Roman" w:cs="Times New Roman"/>
          <w:lang w:val="ru-RU"/>
        </w:rPr>
        <w:tab/>
        <w:t>Стълбищата трябва да бъдат неподвижно монтирани и безопасно проходими. Те се считат за такива, когато:</w:t>
      </w:r>
    </w:p>
    <w:p w14:paraId="2A9E02F9"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са поне 0,60 </w:t>
      </w:r>
      <w:r w:rsidRPr="00F06DE2">
        <w:rPr>
          <w:rFonts w:ascii="Times New Roman" w:hAnsi="Times New Roman" w:cs="Times New Roman"/>
        </w:rPr>
        <w:t>m</w:t>
      </w:r>
      <w:r w:rsidRPr="00F06DE2">
        <w:rPr>
          <w:rFonts w:ascii="Times New Roman" w:hAnsi="Times New Roman" w:cs="Times New Roman"/>
          <w:lang w:val="ru-RU"/>
        </w:rPr>
        <w:t xml:space="preserve"> широки;</w:t>
      </w:r>
    </w:p>
    <w:p w14:paraId="0AE4C4AE"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б) стъпалото е с дълбочина поне 0,15 </w:t>
      </w:r>
      <w:r w:rsidRPr="00F06DE2">
        <w:rPr>
          <w:rFonts w:ascii="Times New Roman" w:hAnsi="Times New Roman" w:cs="Times New Roman"/>
        </w:rPr>
        <w:t>m</w:t>
      </w:r>
      <w:r w:rsidRPr="00F06DE2">
        <w:rPr>
          <w:rFonts w:ascii="Times New Roman" w:hAnsi="Times New Roman" w:cs="Times New Roman"/>
          <w:lang w:val="ru-RU"/>
        </w:rPr>
        <w:t>;</w:t>
      </w:r>
    </w:p>
    <w:p w14:paraId="0559FFDC"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стъпалата са нехлъзгащи се; и</w:t>
      </w:r>
    </w:p>
    <w:p w14:paraId="68B95AAF"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г) стълбите с повече от три стъпала са оборудвани с поне един леер или ръкохватка.</w:t>
      </w:r>
    </w:p>
    <w:p w14:paraId="29D8DB85" w14:textId="77777777" w:rsidR="00271FA2" w:rsidRPr="00F06DE2" w:rsidRDefault="00D35E51" w:rsidP="009F2E64">
      <w:pPr>
        <w:pStyle w:val="ESch"/>
        <w:spacing w:after="240"/>
        <w:jc w:val="both"/>
        <w:rPr>
          <w:rFonts w:ascii="Times New Roman" w:hAnsi="Times New Roman" w:cs="Times New Roman"/>
          <w:lang w:val="ru-RU"/>
        </w:rPr>
      </w:pPr>
      <w:r w:rsidRPr="00F06DE2">
        <w:rPr>
          <w:rFonts w:ascii="Times New Roman" w:hAnsi="Times New Roman" w:cs="Times New Roman"/>
          <w:lang w:val="ru-RU"/>
        </w:rPr>
        <w:t>13.</w:t>
      </w:r>
      <w:r w:rsidRPr="00F06DE2">
        <w:rPr>
          <w:rFonts w:ascii="Times New Roman" w:hAnsi="Times New Roman" w:cs="Times New Roman"/>
          <w:lang w:val="ru-RU"/>
        </w:rPr>
        <w:tab/>
        <w:t>Тръбите, по които преминават опасни газове или течности и особено тези под толкова високо налягане, че изтичане може да изложи хората на опасност, не трябва да се разполагат в жилищните помещения или в коридори, водещи към тях. Това не се отнася за тръбите на уредбите за втечнен газ за битови нужди, тръбите за водна пара и тези на хидравличната система, при условие че те са поставени в метални кожуси.</w:t>
      </w:r>
    </w:p>
    <w:p w14:paraId="7F6A3F06"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48" w:name="_Toc491854127"/>
      <w:bookmarkStart w:id="249" w:name="_Toc535827568"/>
      <w:r w:rsidRPr="00F06DE2">
        <w:rPr>
          <w:rFonts w:ascii="Times New Roman" w:hAnsi="Times New Roman" w:cs="Times New Roman"/>
          <w:sz w:val="24"/>
          <w:szCs w:val="24"/>
          <w:lang w:val="ru-RU"/>
        </w:rPr>
        <w:t>Член 15.03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Санитарни съоръжения</w:t>
      </w:r>
      <w:bookmarkEnd w:id="248"/>
      <w:bookmarkEnd w:id="249"/>
    </w:p>
    <w:p w14:paraId="2A00D4D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Поне следните санитарни съоръжения трябва да бъдат осигурени на плавателни съдове с жилищни помещения:</w:t>
      </w:r>
    </w:p>
    <w:p w14:paraId="7CF2527C"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една тоалетна на всяко жилищно помещение или на шест души от екипажа. Тя трябва да може да се проветрява с чист въздух;</w:t>
      </w:r>
    </w:p>
    <w:p w14:paraId="77534E16"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умивалник с отводна тръба, свързан с топла и студена питейна вода на всяка жилищна единица или на четири души от екипажа;</w:t>
      </w:r>
    </w:p>
    <w:p w14:paraId="51E7A9B0"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вана или душ, свързани с топла и студена питейна вода на всяка жилищна единица или на шест души от екипажа.</w:t>
      </w:r>
    </w:p>
    <w:p w14:paraId="3F659CF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2.</w:t>
      </w:r>
      <w:r w:rsidRPr="00F06DE2">
        <w:rPr>
          <w:rFonts w:ascii="Times New Roman" w:hAnsi="Times New Roman" w:cs="Times New Roman"/>
          <w:lang w:val="ru-RU"/>
        </w:rPr>
        <w:tab/>
        <w:t>Санитарните съоръжения трябва да бъдат в непосредствена близост до жилищните помещения. Тоалетните не трябва да имат пряка връзка с камбузите, каюткомпаниите и комбинираните жилищни помещения за общо ползване/камбузи.</w:t>
      </w:r>
    </w:p>
    <w:p w14:paraId="38440D1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Тоалетните трябва да са с площ поне 1 </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ширина не по-малка от 0,75 </w:t>
      </w:r>
      <w:r w:rsidRPr="00F06DE2">
        <w:rPr>
          <w:rFonts w:ascii="Times New Roman" w:hAnsi="Times New Roman" w:cs="Times New Roman"/>
        </w:rPr>
        <w:t>m</w:t>
      </w:r>
      <w:r w:rsidRPr="00F06DE2">
        <w:rPr>
          <w:rFonts w:ascii="Times New Roman" w:hAnsi="Times New Roman" w:cs="Times New Roman"/>
          <w:lang w:val="ru-RU"/>
        </w:rPr>
        <w:t xml:space="preserve"> и дължина не по-малка от 1,10 </w:t>
      </w:r>
      <w:r w:rsidRPr="00F06DE2">
        <w:rPr>
          <w:rFonts w:ascii="Times New Roman" w:hAnsi="Times New Roman" w:cs="Times New Roman"/>
        </w:rPr>
        <w:t>m</w:t>
      </w:r>
      <w:r w:rsidRPr="00F06DE2">
        <w:rPr>
          <w:rFonts w:ascii="Times New Roman" w:hAnsi="Times New Roman" w:cs="Times New Roman"/>
          <w:lang w:val="ru-RU"/>
        </w:rPr>
        <w:t>. Тоалетните в спалните каюти за не повече от двама човека могат да бъдат по-малки. Когато в тоалетната има и умивалник и/или душ, площта се увеличава най-малкото с площта, заемана от умивалника и/или душа (или ваната).</w:t>
      </w:r>
    </w:p>
    <w:p w14:paraId="6BC88717" w14:textId="77777777" w:rsidR="00641D12" w:rsidRPr="00F06DE2" w:rsidRDefault="00641D12">
      <w:pPr>
        <w:pStyle w:val="ES-Titre3"/>
        <w:spacing w:line="240" w:lineRule="atLeast"/>
        <w:rPr>
          <w:rFonts w:ascii="Times New Roman" w:hAnsi="Times New Roman" w:cs="Times New Roman"/>
          <w:sz w:val="24"/>
          <w:szCs w:val="24"/>
          <w:lang w:val="ru-RU"/>
        </w:rPr>
      </w:pPr>
      <w:bookmarkStart w:id="250" w:name="_Toc535827569"/>
      <w:bookmarkStart w:id="251" w:name="_Toc491854128"/>
    </w:p>
    <w:p w14:paraId="25B634BF" w14:textId="07E809B1"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15.04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Камбузи</w:t>
      </w:r>
      <w:bookmarkEnd w:id="250"/>
      <w:bookmarkEnd w:id="251"/>
    </w:p>
    <w:p w14:paraId="5A12489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Камбузите могат да бъдат комбинирани с жилищни помещения за общо ползване.</w:t>
      </w:r>
    </w:p>
    <w:p w14:paraId="0A78CF4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Камбузите обхващат:</w:t>
      </w:r>
    </w:p>
    <w:p w14:paraId="57B5D17B"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готварска печка;</w:t>
      </w:r>
    </w:p>
    <w:p w14:paraId="753235F8"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кухненска мивка с канализация;</w:t>
      </w:r>
    </w:p>
    <w:p w14:paraId="224D6694"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инсталация за подаване на питейна вода;</w:t>
      </w:r>
    </w:p>
    <w:p w14:paraId="0E64FC6F"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г) хладилник;</w:t>
      </w:r>
    </w:p>
    <w:p w14:paraId="5334D86F"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достатъчно място за складиране и за работа, както и място за съхранение на продукти.</w:t>
      </w:r>
    </w:p>
    <w:p w14:paraId="2D5FF75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Каюткомпаниите и комбинираните камбузи/жилищни помещения за общо ползване трябва да са достатъчно обширни, за да поберат съответния брой членове на екипажа, които обикновено ги използват по едно и също време. Местата за сядане трябва да са с ширина не по-малка от 0,60 </w:t>
      </w:r>
      <w:r w:rsidRPr="00F06DE2">
        <w:rPr>
          <w:rFonts w:ascii="Times New Roman" w:hAnsi="Times New Roman" w:cs="Times New Roman"/>
        </w:rPr>
        <w:t>m</w:t>
      </w:r>
      <w:r w:rsidRPr="00F06DE2">
        <w:rPr>
          <w:rFonts w:ascii="Times New Roman" w:hAnsi="Times New Roman" w:cs="Times New Roman"/>
          <w:lang w:val="ru-RU"/>
        </w:rPr>
        <w:t>.</w:t>
      </w:r>
    </w:p>
    <w:p w14:paraId="2921FF55" w14:textId="77777777" w:rsidR="00641D12" w:rsidRPr="00F06DE2" w:rsidRDefault="00641D12">
      <w:pPr>
        <w:pStyle w:val="ES-Titre3"/>
        <w:spacing w:line="240" w:lineRule="atLeast"/>
        <w:rPr>
          <w:rFonts w:ascii="Times New Roman" w:hAnsi="Times New Roman" w:cs="Times New Roman"/>
          <w:sz w:val="24"/>
          <w:szCs w:val="24"/>
          <w:lang w:val="ru-RU"/>
        </w:rPr>
      </w:pPr>
      <w:bookmarkStart w:id="252" w:name="_Toc535827570"/>
      <w:bookmarkStart w:id="253" w:name="_Toc491854129"/>
    </w:p>
    <w:p w14:paraId="559F7B7F" w14:textId="46183124"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15.05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Инсталации за питейна вода</w:t>
      </w:r>
      <w:bookmarkEnd w:id="252"/>
      <w:bookmarkEnd w:id="253"/>
    </w:p>
    <w:p w14:paraId="6251A342" w14:textId="25F4E7C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r>
      <w:r w:rsidR="00CA53F7" w:rsidRPr="00F06DE2">
        <w:rPr>
          <w:rFonts w:ascii="Times New Roman" w:hAnsi="Times New Roman" w:cs="Times New Roman"/>
          <w:lang w:val="ru-RU"/>
        </w:rPr>
        <w:t xml:space="preserve">Корабите с жилищни помещения трябва да имат инсталация за питейна вода. Гърловината за пълнене на резервоарите за питейна вода трябва да бъде снабдена със свързваща част в съответствие с международния стандарт </w:t>
      </w:r>
      <w:r w:rsidR="00CA53F7" w:rsidRPr="00F06DE2">
        <w:rPr>
          <w:rFonts w:ascii="Times New Roman" w:hAnsi="Times New Roman" w:cs="Times New Roman"/>
        </w:rPr>
        <w:t>ISO</w:t>
      </w:r>
      <w:r w:rsidR="00CA53F7" w:rsidRPr="00F06DE2">
        <w:rPr>
          <w:rFonts w:ascii="Times New Roman" w:hAnsi="Times New Roman" w:cs="Times New Roman"/>
          <w:lang w:val="ru-RU"/>
        </w:rPr>
        <w:t xml:space="preserve"> 5620-1:1992 или еквивалентен стандарт, признат от една от държавите-членки. Отворите за пълнене на резервоари за питейна вода и маркучите за питейна вода се маркират като предназначени изключително за питейна вода. Това изискване се счита за изпълнено, ако са изпълнени изискванията на международния стандарт </w:t>
      </w:r>
      <w:r w:rsidR="00CA53F7" w:rsidRPr="00F06DE2">
        <w:rPr>
          <w:rFonts w:ascii="Times New Roman" w:hAnsi="Times New Roman" w:cs="Times New Roman"/>
        </w:rPr>
        <w:t>ISO</w:t>
      </w:r>
      <w:r w:rsidR="00CA53F7" w:rsidRPr="00F06DE2">
        <w:rPr>
          <w:rFonts w:ascii="Times New Roman" w:hAnsi="Times New Roman" w:cs="Times New Roman"/>
          <w:lang w:val="ru-RU"/>
        </w:rPr>
        <w:t xml:space="preserve"> 14726: 2008. Г</w:t>
      </w:r>
      <w:r w:rsidR="00CA0E41" w:rsidRPr="00F06DE2">
        <w:rPr>
          <w:rFonts w:ascii="Times New Roman" w:hAnsi="Times New Roman" w:cs="Times New Roman"/>
          <w:lang w:val="ru-RU"/>
        </w:rPr>
        <w:t>ъ</w:t>
      </w:r>
      <w:r w:rsidR="00CA53F7" w:rsidRPr="00F06DE2">
        <w:rPr>
          <w:rFonts w:ascii="Times New Roman" w:hAnsi="Times New Roman" w:cs="Times New Roman"/>
          <w:lang w:val="ru-RU"/>
        </w:rPr>
        <w:t>рловините за пълнене на питейна вода се монтират над палубата.</w:t>
      </w:r>
    </w:p>
    <w:p w14:paraId="70F0F8E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Инсталациите за питейна вода трябва:</w:t>
      </w:r>
    </w:p>
    <w:p w14:paraId="678AE07C"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да са покрити по вътрешните си повърхности с материал, който е устойчив на корозия и не представлява физиологична опасност;</w:t>
      </w:r>
    </w:p>
    <w:p w14:paraId="55D2D208"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да нямат участъци на тръбите, където не е гарантиран редовен поток вода; и</w:t>
      </w:r>
    </w:p>
    <w:p w14:paraId="13D066B5"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да бъдат защитени срещу прекомерно нагряване.</w:t>
      </w:r>
    </w:p>
    <w:p w14:paraId="3D00F38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В допълнение към точка 2 резервоарите за питейна вода:</w:t>
      </w:r>
    </w:p>
    <w:p w14:paraId="688AC68C"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трябва да имат вместимост не по-малко от 150 литра на лице от обичайно живеещите на борда и най-малко за всеки член на екипажа;</w:t>
      </w:r>
    </w:p>
    <w:p w14:paraId="2EEFE085"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трябва да имат подходящ заключващ се отвор, който да позволява почистване на вътрешността;</w:t>
      </w:r>
    </w:p>
    <w:p w14:paraId="43852B3A"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трябва да имат индикатор за нивото на водата;</w:t>
      </w:r>
    </w:p>
    <w:p w14:paraId="66D832E6"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г) трябва да имат вентилационни тръби, които водят на открито или са снабдени с подходящи филтри.</w:t>
      </w:r>
    </w:p>
    <w:p w14:paraId="0F2591C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Резервоарите за питейна вода не трябва да имат общи стени с резервоари, предназначени за други нужди. Тръбите за питейна вода не трябва да преминават през резервоари, съдържащи други течности. Не се разрешени връзки между системата за снабдяване с питейна вода и други тръби. Тръби, по които преминават газ или течности различни от питейна вода, не трябва да преминават през резервоари за питейна вода.</w:t>
      </w:r>
    </w:p>
    <w:p w14:paraId="2F571CB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Съдовете за съхраняване на питейна вода под налягане работят само с незамърсен сгъстен въздух. Ако сгъстеният въздух е получен чрез компресори, непосредствено пред съда под налягане се поставят въздушни филтри и маслоотделители, освен ако водата и въздухът не са отделени посредством мембрана.</w:t>
      </w:r>
    </w:p>
    <w:p w14:paraId="67DDAA9A" w14:textId="77777777" w:rsidR="00641D12" w:rsidRPr="00F06DE2" w:rsidRDefault="00641D12">
      <w:pPr>
        <w:pStyle w:val="ES-Titre3"/>
        <w:spacing w:line="240" w:lineRule="atLeast"/>
        <w:rPr>
          <w:rFonts w:ascii="Times New Roman" w:hAnsi="Times New Roman" w:cs="Times New Roman"/>
          <w:sz w:val="24"/>
          <w:szCs w:val="24"/>
          <w:lang w:val="ru-RU"/>
        </w:rPr>
      </w:pPr>
      <w:bookmarkStart w:id="254" w:name="_Toc535827571"/>
      <w:bookmarkStart w:id="255" w:name="_Toc491854130"/>
    </w:p>
    <w:p w14:paraId="3BF4AD7C" w14:textId="1DFC01CC"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15.06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Отопление и вентилация</w:t>
      </w:r>
      <w:bookmarkEnd w:id="254"/>
      <w:bookmarkEnd w:id="255"/>
    </w:p>
    <w:p w14:paraId="34B0393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Трябва да е възможно жилищните помещения да бъдат отоплявани съобразно предназначението им. Отоплителните инсталации трябва да са съобразени с метеорологичните условия, които могат да възникнат.</w:t>
      </w:r>
    </w:p>
    <w:p w14:paraId="678F3A7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Трябва да е възможно жилищните помещения за общо ползване и спалните каюти да бъдат проветрявани в достатъчна степен, дори когато вратите са затворени. Вентилацията трябва да осигурява достатъчна циркулация на въздуха при всякакви климатични условия.</w:t>
      </w:r>
    </w:p>
    <w:p w14:paraId="7CC3828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Помещенията трябва да бъдат проектирани и разположени, така че да не допускат, доколкото е възможно, проникване на замърсен въздух от други части на плавателния съд, като машинните отделения или трюмовете; когато се използва принудителна вентилация, входните отвори се поставят, така че да бъдат спазени горните изисквания.</w:t>
      </w:r>
    </w:p>
    <w:p w14:paraId="2579CC59" w14:textId="77777777" w:rsidR="00641D12" w:rsidRPr="00F06DE2" w:rsidRDefault="00641D12">
      <w:pPr>
        <w:pStyle w:val="ES-Titre3"/>
        <w:spacing w:line="240" w:lineRule="atLeast"/>
        <w:rPr>
          <w:rFonts w:ascii="Times New Roman" w:hAnsi="Times New Roman" w:cs="Times New Roman"/>
          <w:sz w:val="24"/>
          <w:szCs w:val="24"/>
          <w:lang w:val="ru-RU"/>
        </w:rPr>
      </w:pPr>
      <w:bookmarkStart w:id="256" w:name="_Toc535827572"/>
      <w:bookmarkStart w:id="257" w:name="_Toc491854131"/>
    </w:p>
    <w:p w14:paraId="7373934A" w14:textId="24F35111"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15.07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Други съоръжения в жилищните помещения</w:t>
      </w:r>
      <w:bookmarkEnd w:id="256"/>
      <w:bookmarkEnd w:id="257"/>
    </w:p>
    <w:p w14:paraId="33E66FB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Всеки член на екипажа, живеещ на борда, трябва да разполага с индивидуална койка и отделен шкаф за дрехи, снабден с ключалка. Вътрешните размери на койката трябва да бъдат не по-малко от 2,00 </w:t>
      </w:r>
      <w:r w:rsidRPr="00F06DE2">
        <w:rPr>
          <w:rFonts w:ascii="Times New Roman" w:hAnsi="Times New Roman" w:cs="Times New Roman"/>
        </w:rPr>
        <w:t>m</w:t>
      </w:r>
      <w:r w:rsidRPr="00F06DE2">
        <w:rPr>
          <w:rFonts w:ascii="Times New Roman" w:hAnsi="Times New Roman" w:cs="Times New Roman"/>
          <w:lang w:val="ru-RU"/>
        </w:rPr>
        <w:t xml:space="preserve"> дължина и 0,90 </w:t>
      </w:r>
      <w:r w:rsidRPr="00F06DE2">
        <w:rPr>
          <w:rFonts w:ascii="Times New Roman" w:hAnsi="Times New Roman" w:cs="Times New Roman"/>
        </w:rPr>
        <w:t>m</w:t>
      </w:r>
      <w:r w:rsidRPr="00F06DE2">
        <w:rPr>
          <w:rFonts w:ascii="Times New Roman" w:hAnsi="Times New Roman" w:cs="Times New Roman"/>
          <w:lang w:val="ru-RU"/>
        </w:rPr>
        <w:t xml:space="preserve"> ширина.</w:t>
      </w:r>
    </w:p>
    <w:p w14:paraId="2A57FC9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Трябва да бъдат осигурени подходящи места за съхраняване и сушене на работни дрехи, но не в спалните помещения.</w:t>
      </w:r>
    </w:p>
    <w:p w14:paraId="0C813F04" w14:textId="3A1C87CC" w:rsidR="009F2E64"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Всички жилищни помещения трябва да са оборудвани с електрическо осветление. Допълнителни лампи на газ или друго течно гориво могат да се използват само в жилищните помещения за общо ползване. Осветителните устройства на течно гориво трябва да са от метал и да използват само горива с температура на възпламеняване над 55°С или течен парафин. Те се поставят или прикрепват по такъв начин, че да не създават опасност от пожар.</w:t>
      </w:r>
    </w:p>
    <w:p w14:paraId="6781D2E5" w14:textId="77777777" w:rsidR="00DF6171" w:rsidRPr="00F06DE2" w:rsidRDefault="00DF6171">
      <w:pPr>
        <w:rPr>
          <w:rFonts w:ascii="Times New Roman" w:hAnsi="Times New Roman" w:cs="Times New Roman"/>
          <w:lang w:val="ru-RU"/>
        </w:rPr>
        <w:sectPr w:rsidR="00DF6171" w:rsidRPr="00F06DE2" w:rsidSect="00F06DE2">
          <w:headerReference w:type="default" r:id="rId49"/>
          <w:headerReference w:type="first" r:id="rId50"/>
          <w:footnotePr>
            <w:numRestart w:val="eachPage"/>
          </w:footnotePr>
          <w:pgSz w:w="11906" w:h="16838" w:code="9"/>
          <w:pgMar w:top="1134" w:right="1134" w:bottom="1134" w:left="1134" w:header="709" w:footer="709" w:gutter="0"/>
          <w:cols w:space="709"/>
          <w:titlePg/>
          <w:docGrid w:linePitch="272"/>
        </w:sectPr>
      </w:pPr>
    </w:p>
    <w:p w14:paraId="555B24FD" w14:textId="28D92341" w:rsidR="00271FA2" w:rsidRPr="00F06DE2" w:rsidRDefault="00D35E51">
      <w:pPr>
        <w:pStyle w:val="ES-Titre2"/>
        <w:rPr>
          <w:rFonts w:ascii="Times New Roman" w:hAnsi="Times New Roman" w:cs="Times New Roman"/>
          <w:lang w:val="ru-RU"/>
        </w:rPr>
      </w:pPr>
      <w:bookmarkStart w:id="258" w:name="_Toc491854132"/>
      <w:bookmarkStart w:id="259" w:name="_Toc535827573"/>
      <w:r w:rsidRPr="00F06DE2">
        <w:rPr>
          <w:rFonts w:ascii="Times New Roman" w:hAnsi="Times New Roman" w:cs="Times New Roman"/>
          <w:lang w:val="ru-RU"/>
        </w:rPr>
        <w:lastRenderedPageBreak/>
        <w:t>Глава 16</w:t>
      </w:r>
      <w:r w:rsidRPr="00F06DE2">
        <w:rPr>
          <w:rFonts w:ascii="Times New Roman" w:hAnsi="Times New Roman" w:cs="Times New Roman"/>
          <w:lang w:val="ru-RU"/>
        </w:rPr>
        <w:br/>
      </w:r>
      <w:r w:rsidR="004F1EE9" w:rsidRPr="00F06DE2">
        <w:rPr>
          <w:rFonts w:ascii="Times New Roman" w:hAnsi="Times New Roman" w:cs="Times New Roman"/>
          <w:lang w:val="ru-RU"/>
        </w:rPr>
        <w:t xml:space="preserve">работещо с гориво </w:t>
      </w:r>
      <w:r w:rsidRPr="00F06DE2">
        <w:rPr>
          <w:rFonts w:ascii="Times New Roman" w:hAnsi="Times New Roman" w:cs="Times New Roman"/>
          <w:lang w:val="ru-RU"/>
        </w:rPr>
        <w:t>Оборудване за отопление</w:t>
      </w:r>
      <w:r w:rsidR="004F1EE9" w:rsidRPr="00F06DE2">
        <w:rPr>
          <w:rFonts w:ascii="Times New Roman" w:hAnsi="Times New Roman" w:cs="Times New Roman"/>
          <w:lang w:val="ru-RU"/>
        </w:rPr>
        <w:t>,</w:t>
      </w:r>
      <w:r w:rsidRPr="00F06DE2">
        <w:rPr>
          <w:rFonts w:ascii="Times New Roman" w:hAnsi="Times New Roman" w:cs="Times New Roman"/>
          <w:lang w:val="ru-RU"/>
        </w:rPr>
        <w:t xml:space="preserve"> приготвяне на храна и охлаждане</w:t>
      </w:r>
      <w:bookmarkEnd w:id="258"/>
      <w:bookmarkEnd w:id="259"/>
    </w:p>
    <w:p w14:paraId="181EEC41" w14:textId="77777777" w:rsidR="00641D12" w:rsidRPr="00F06DE2" w:rsidRDefault="00641D12">
      <w:pPr>
        <w:pStyle w:val="ES-Titre3"/>
        <w:spacing w:line="240" w:lineRule="atLeast"/>
        <w:rPr>
          <w:rFonts w:ascii="Times New Roman" w:hAnsi="Times New Roman" w:cs="Times New Roman"/>
          <w:sz w:val="24"/>
          <w:szCs w:val="24"/>
          <w:lang w:val="ru-RU"/>
        </w:rPr>
      </w:pPr>
      <w:bookmarkStart w:id="260" w:name="_Toc535827574"/>
      <w:bookmarkStart w:id="261" w:name="_Toc491854133"/>
    </w:p>
    <w:p w14:paraId="24A6E204" w14:textId="3A88407E"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16.01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260"/>
      <w:bookmarkEnd w:id="261"/>
    </w:p>
    <w:p w14:paraId="313980B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Оборудването за отопление, приготвяне на храна и охлаждане, работещо с втечнен газ, трябва да отговаря на изискванията на Глава 17.</w:t>
      </w:r>
    </w:p>
    <w:p w14:paraId="060B5DA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Оборудването за отопление, приготвяне на храна и охлаждане, заедно с неговите съпътстващи принадлежности, трябва да бъде проектирано и монтирано, така че да не е опасно дори в случай на прегряване. То се монтира, така че да не може да се преобърне или да бъде разместено случайно.</w:t>
      </w:r>
    </w:p>
    <w:p w14:paraId="7D145E2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Оборудването, посочено в точка 2, не се монтира на места, в които се използват или съхраняват вещества с температура на възпламеняване под 55°С. Димоотводните тръби на тези инсталации не преминават през такива места.</w:t>
      </w:r>
    </w:p>
    <w:p w14:paraId="116BF40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Трябва да е осигурено подаването на въздуха, необходим за горенето.</w:t>
      </w:r>
    </w:p>
    <w:p w14:paraId="757C7FE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Отоплителните прибори трябва да са здраво свързани с димоотводните тръби, които се оборудват с подходящи заслони или устройства, осигуряващи защита против вятъра. Те се разполагат, така че да е възможно почистването.</w:t>
      </w:r>
    </w:p>
    <w:p w14:paraId="038EE26D" w14:textId="77777777" w:rsidR="00641D12" w:rsidRPr="00F06DE2" w:rsidRDefault="00641D12">
      <w:pPr>
        <w:pStyle w:val="ES-Titre3"/>
        <w:spacing w:line="240" w:lineRule="atLeast"/>
        <w:rPr>
          <w:rFonts w:ascii="Times New Roman" w:hAnsi="Times New Roman" w:cs="Times New Roman"/>
          <w:sz w:val="24"/>
          <w:szCs w:val="24"/>
          <w:lang w:val="ru-RU"/>
        </w:rPr>
      </w:pPr>
      <w:bookmarkStart w:id="262" w:name="_Toc535827575"/>
      <w:bookmarkStart w:id="263" w:name="_Toc491854134"/>
    </w:p>
    <w:p w14:paraId="4444EF28" w14:textId="79C1315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16.02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Използване на течни горива и оборудване, работещо с мазут</w:t>
      </w:r>
      <w:bookmarkEnd w:id="262"/>
      <w:bookmarkEnd w:id="263"/>
    </w:p>
    <w:p w14:paraId="2397AAC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Оборудването за отопление, приготвяне на храна и охлаждане, работещо с течно гориво, трябва да може да се използва само с горива с температура на възпламеняване над 55°</w:t>
      </w:r>
      <w:r w:rsidRPr="00F06DE2">
        <w:rPr>
          <w:rFonts w:ascii="Times New Roman" w:hAnsi="Times New Roman" w:cs="Times New Roman"/>
        </w:rPr>
        <w:t>C</w:t>
      </w:r>
      <w:r w:rsidRPr="00F06DE2">
        <w:rPr>
          <w:rFonts w:ascii="Times New Roman" w:hAnsi="Times New Roman" w:cs="Times New Roman"/>
          <w:lang w:val="ru-RU"/>
        </w:rPr>
        <w:t>.</w:t>
      </w:r>
    </w:p>
    <w:p w14:paraId="0C7F2E3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Чрез дерогация от точка 1 уреди за готвене и устройства за отопление и охлаждане, снабдени с фитилени горелки и работещи с течен парафин, могат да се използват в жилищните помещения и рулевата рубка, при условие че вместимостта на резервоара за гориво не превишава 12 литра.</w:t>
      </w:r>
    </w:p>
    <w:p w14:paraId="061CEE5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Уредите, снабдени с фитилени горелки:</w:t>
      </w:r>
    </w:p>
    <w:p w14:paraId="1EF04AD6"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се оборудват с метален резервоар за гориво, чийто отвор за пълнене се заключва и няма спойки от мек метал под равнището на максимално напълване, и се проектират и монтират, така че резервоарът за гориво да не може да бъде отворен или изпразнен случайно;</w:t>
      </w:r>
    </w:p>
    <w:p w14:paraId="0373B54F"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могат да се запалват без помощта на друга запалителна течност; и</w:t>
      </w:r>
    </w:p>
    <w:p w14:paraId="08FF48B5"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се монтират, така че да се осигури безопасното отвеждане на отработените газове.</w:t>
      </w:r>
    </w:p>
    <w:p w14:paraId="77494711" w14:textId="77777777" w:rsidR="00641D12" w:rsidRPr="00F06DE2" w:rsidRDefault="00641D12">
      <w:pPr>
        <w:pStyle w:val="ES-Titre3"/>
        <w:spacing w:line="240" w:lineRule="atLeast"/>
        <w:rPr>
          <w:rFonts w:ascii="Times New Roman" w:hAnsi="Times New Roman" w:cs="Times New Roman"/>
          <w:sz w:val="24"/>
          <w:szCs w:val="24"/>
          <w:lang w:val="ru-RU"/>
        </w:rPr>
      </w:pPr>
      <w:bookmarkStart w:id="264" w:name="_Toc491854135"/>
      <w:bookmarkStart w:id="265" w:name="_Toc535827576"/>
    </w:p>
    <w:p w14:paraId="4494F34A" w14:textId="4A4C96FD"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16.03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Печки с изпарителни мазутни горелки и отоплителни устройства с разпрашаващи нафтови горелки</w:t>
      </w:r>
      <w:bookmarkEnd w:id="264"/>
      <w:bookmarkEnd w:id="265"/>
    </w:p>
    <w:p w14:paraId="214625D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Печките с изпарителни мазутни горелки и отоплителните устройства с разпрашаващи нафтови горелки се изработват в съответствие с най-добрите практики.</w:t>
      </w:r>
    </w:p>
    <w:p w14:paraId="1B2584C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Когато печка с изпарителни мазутни горелки и отоплително устройство с разпрашаващи нафтови горелки се инсталира в машинното отделение, подаването на въздух за отоплителното устройство и двигателите се конструира, така че отоплителното устройство и двигателите да могат да работят правилно и безопасно независимо едно от друго. При необходимост се осигурява отделно подаване на въздух. Оборудването се монтира по такъв начин, че никакъв </w:t>
      </w:r>
      <w:r w:rsidRPr="00F06DE2">
        <w:rPr>
          <w:rFonts w:ascii="Times New Roman" w:hAnsi="Times New Roman" w:cs="Times New Roman"/>
          <w:lang w:val="ru-RU"/>
        </w:rPr>
        <w:lastRenderedPageBreak/>
        <w:t>пламък от горелката да не може да достигне до други части на инсталациите на машинното отделение.</w:t>
      </w:r>
    </w:p>
    <w:p w14:paraId="612AAE86" w14:textId="77777777" w:rsidR="00641D12" w:rsidRPr="00F06DE2" w:rsidRDefault="00641D12">
      <w:pPr>
        <w:pStyle w:val="ES-Titre3"/>
        <w:spacing w:line="240" w:lineRule="atLeast"/>
        <w:rPr>
          <w:rFonts w:ascii="Times New Roman" w:hAnsi="Times New Roman" w:cs="Times New Roman"/>
          <w:sz w:val="24"/>
          <w:szCs w:val="24"/>
          <w:lang w:val="ru-RU"/>
        </w:rPr>
      </w:pPr>
      <w:bookmarkStart w:id="266" w:name="_Toc491854136"/>
      <w:bookmarkStart w:id="267" w:name="_Toc535827577"/>
    </w:p>
    <w:p w14:paraId="09640643" w14:textId="0E2FF730"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16.04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Печки с изпарителни мазутни горелки</w:t>
      </w:r>
      <w:bookmarkEnd w:id="266"/>
      <w:bookmarkEnd w:id="267"/>
    </w:p>
    <w:p w14:paraId="5D50F9C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Трябва да е възможно печките с изпарителни мазутни горелки да се запалват без помощта на друга запалителна течност. Те се закрепват над метално корито за събиране на течности, което обхваща всички части, пренасящи горивото, със стени с височина поне 20 </w:t>
      </w:r>
      <w:r w:rsidRPr="00F06DE2">
        <w:rPr>
          <w:rFonts w:ascii="Times New Roman" w:hAnsi="Times New Roman" w:cs="Times New Roman"/>
        </w:rPr>
        <w:t>mm</w:t>
      </w:r>
      <w:r w:rsidRPr="00F06DE2">
        <w:rPr>
          <w:rFonts w:ascii="Times New Roman" w:hAnsi="Times New Roman" w:cs="Times New Roman"/>
          <w:lang w:val="ru-RU"/>
        </w:rPr>
        <w:t xml:space="preserve"> и което има вместимост от поне два литра.</w:t>
      </w:r>
    </w:p>
    <w:p w14:paraId="068A2A8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За печките с изпарителни мазутни горелки, монтирани в машинното отделение, страните на металното корито за събиране на течности, посочено в точка 1, са с височина не по-малко от 200 </w:t>
      </w:r>
      <w:r w:rsidRPr="00F06DE2">
        <w:rPr>
          <w:rFonts w:ascii="Times New Roman" w:hAnsi="Times New Roman" w:cs="Times New Roman"/>
        </w:rPr>
        <w:t>mm</w:t>
      </w:r>
      <w:r w:rsidRPr="00F06DE2">
        <w:rPr>
          <w:rFonts w:ascii="Times New Roman" w:hAnsi="Times New Roman" w:cs="Times New Roman"/>
          <w:lang w:val="ru-RU"/>
        </w:rPr>
        <w:t xml:space="preserve">. Долният край на изпарителната горелка трябва да е разположен над края на коритото. Освен това горният край на металното корито за събиране на течности се показва поне 100 </w:t>
      </w:r>
      <w:r w:rsidRPr="00F06DE2">
        <w:rPr>
          <w:rFonts w:ascii="Times New Roman" w:hAnsi="Times New Roman" w:cs="Times New Roman"/>
        </w:rPr>
        <w:t>mm</w:t>
      </w:r>
      <w:r w:rsidRPr="00F06DE2">
        <w:rPr>
          <w:rFonts w:ascii="Times New Roman" w:hAnsi="Times New Roman" w:cs="Times New Roman"/>
          <w:lang w:val="ru-RU"/>
        </w:rPr>
        <w:t xml:space="preserve"> над пода.</w:t>
      </w:r>
    </w:p>
    <w:p w14:paraId="7D8EF0A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Печките с изпарителни мазутни горелки се оборудват с подходящ регулатор, който при всички условия осигурява на практика постоянен приток на гориво към горелката и който не допуска изтичане на гориво, ако пламъкът изгасне. За подходящи се приемат регулатори, които работят правилно дори и подложени на вибрации и наклонени до 12° и които, освен че са снабдени с поплавък за регулиране на нивото, имат още:</w:t>
      </w:r>
    </w:p>
    <w:p w14:paraId="6FB26465"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втори поплавък, който безопасно и надеждно спира подаването на гориво, когато бъде превишено допустимото равнище, или</w:t>
      </w:r>
    </w:p>
    <w:p w14:paraId="29C2661D"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преливна тръба, но само в случай, че металното корито за събиране на течности е с достатъчна вместимост, за да може да побере като минимум съдържанието на резервоара за гориво.</w:t>
      </w:r>
    </w:p>
    <w:p w14:paraId="21D41DE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Когато резервоарът за гориво на печка с изпарителни мазутни горелки е монтиран отделно:</w:t>
      </w:r>
    </w:p>
    <w:p w14:paraId="618C3009"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денивелацията между резервоара и захранването на горелката не може да превишава определената в инструкциите за работа от производителя;</w:t>
      </w:r>
    </w:p>
    <w:p w14:paraId="5A1BB28B"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той трябва да е монтиран, така че да не се нагрява недопустимо;</w:t>
      </w:r>
    </w:p>
    <w:p w14:paraId="739D6033" w14:textId="77777777" w:rsidR="00271FA2" w:rsidRPr="00F06DE2" w:rsidRDefault="00D35E51" w:rsidP="00641D12">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трябва да е възможно подаването на гориво да се прекъсва от палубата.</w:t>
      </w:r>
    </w:p>
    <w:p w14:paraId="77807F55" w14:textId="77777777" w:rsidR="00271FA2" w:rsidRPr="00F06DE2" w:rsidRDefault="00D35E51" w:rsidP="009F2E64">
      <w:pPr>
        <w:pStyle w:val="ESch"/>
        <w:spacing w:after="240"/>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Димоходите на печките с изпарителни мазутни горелки се оборудват с устройство, което възпрепятства обръщане на течението.</w:t>
      </w:r>
    </w:p>
    <w:p w14:paraId="17A1D4FF"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68" w:name="_Toc491854137"/>
      <w:bookmarkStart w:id="269" w:name="_Toc535827578"/>
      <w:r w:rsidRPr="00F06DE2">
        <w:rPr>
          <w:rFonts w:ascii="Times New Roman" w:hAnsi="Times New Roman" w:cs="Times New Roman"/>
          <w:sz w:val="24"/>
          <w:szCs w:val="24"/>
          <w:lang w:val="ru-RU"/>
        </w:rPr>
        <w:t>Член 16.05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Отоплителни устройства с разпрашаващи нафтови горелки</w:t>
      </w:r>
      <w:bookmarkEnd w:id="268"/>
      <w:bookmarkEnd w:id="269"/>
    </w:p>
    <w:p w14:paraId="3674EA84" w14:textId="77777777" w:rsidR="00271FA2" w:rsidRPr="00F06DE2" w:rsidRDefault="00D35E51" w:rsidP="00641D12">
      <w:pPr>
        <w:pStyle w:val="ESgauche"/>
        <w:jc w:val="both"/>
        <w:rPr>
          <w:rFonts w:ascii="Times New Roman" w:hAnsi="Times New Roman" w:cs="Times New Roman"/>
          <w:lang w:val="ru-RU"/>
        </w:rPr>
      </w:pPr>
      <w:r w:rsidRPr="00F06DE2">
        <w:rPr>
          <w:rFonts w:ascii="Times New Roman" w:hAnsi="Times New Roman" w:cs="Times New Roman"/>
          <w:lang w:val="ru-RU"/>
        </w:rPr>
        <w:t>Отоплителните устройства с разпрашаващи нафтови горелки трябва да съответстват в частност на следните изисквания:</w:t>
      </w:r>
    </w:p>
    <w:p w14:paraId="3E55A66A" w14:textId="77777777" w:rsidR="00271FA2" w:rsidRPr="00F06DE2" w:rsidRDefault="00D35E51" w:rsidP="00641D12">
      <w:pPr>
        <w:pStyle w:val="ESletgauche"/>
        <w:spacing w:before="0"/>
        <w:ind w:firstLine="0"/>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осигурена е подходяща вентилация на горелката преди подаване на гориво;</w:t>
      </w:r>
    </w:p>
    <w:p w14:paraId="76DE0FE3" w14:textId="77777777" w:rsidR="00271FA2" w:rsidRPr="00F06DE2" w:rsidRDefault="00D35E51" w:rsidP="00641D12">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б) подаването на гориво се регулира с термостат;</w:t>
      </w:r>
    </w:p>
    <w:p w14:paraId="4014806F" w14:textId="77777777" w:rsidR="00271FA2" w:rsidRPr="00F06DE2" w:rsidRDefault="00D35E51" w:rsidP="00641D12">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в) горивото се запалва от електрически уред или запалителен факел;</w:t>
      </w:r>
    </w:p>
    <w:p w14:paraId="6D8FFDA9" w14:textId="77777777" w:rsidR="00271FA2" w:rsidRPr="00F06DE2" w:rsidRDefault="00D35E51" w:rsidP="00641D12">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г) устройството за следене на пламъка спира подаването на гориво в случай на изгасване на пламъка;</w:t>
      </w:r>
    </w:p>
    <w:p w14:paraId="48032658" w14:textId="77777777" w:rsidR="00271FA2" w:rsidRPr="00F06DE2" w:rsidRDefault="00D35E51" w:rsidP="00641D12">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д) основният прекъсвач е поставен на леснодостъпно място извън помещението на монтиране.</w:t>
      </w:r>
    </w:p>
    <w:p w14:paraId="3BE2D1D0"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70" w:name="_Toc535827579"/>
      <w:bookmarkStart w:id="271" w:name="_Toc491854138"/>
      <w:r w:rsidRPr="00F06DE2">
        <w:rPr>
          <w:rFonts w:ascii="Times New Roman" w:hAnsi="Times New Roman" w:cs="Times New Roman"/>
          <w:sz w:val="24"/>
          <w:szCs w:val="24"/>
          <w:lang w:val="ru-RU"/>
        </w:rPr>
        <w:t>Член 16.06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Вентилаторни отоплителни устройства</w:t>
      </w:r>
      <w:bookmarkEnd w:id="270"/>
      <w:bookmarkEnd w:id="271"/>
    </w:p>
    <w:p w14:paraId="0797FC39"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lastRenderedPageBreak/>
        <w:t>Вентилаторните отоплителни устройства, състоящи се от горивна камера, около която въздухът за отопление се придвижва под налягане към система за разпределение или към помещение, трябва да съответстват на следните изисквания:</w:t>
      </w:r>
    </w:p>
    <w:p w14:paraId="6CB3BA25"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Ако горивото се разпрашава под налягане, въздухът за горенето се подава от инжектора.</w:t>
      </w:r>
    </w:p>
    <w:p w14:paraId="45F91A6C"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б) Горивната камера трябва да е добре проветрена, преди горелката да се запали. Проветряването може да се смята за приключило, ако инжекторът за въздуха за горене продължава да работи, след като пламъкът изгасне.</w:t>
      </w:r>
    </w:p>
    <w:p w14:paraId="00777A2E"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в) Подаването на гориво се прекратява автоматично ако:</w:t>
      </w:r>
    </w:p>
    <w:p w14:paraId="0296DB21"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пламъкът изгасне;</w:t>
      </w:r>
    </w:p>
    <w:p w14:paraId="70613F1A"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подаваният въздух за горене се окаже недостатъчен;</w:t>
      </w:r>
    </w:p>
    <w:p w14:paraId="5DBEC409"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нагретият въздух надхвърли предварително зададена температура; или</w:t>
      </w:r>
    </w:p>
    <w:p w14:paraId="7A737B09"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захранването на предпазни средства откаже.</w:t>
      </w:r>
    </w:p>
    <w:p w14:paraId="3B440C72"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В горните случаи подаването на гориво не се възобновява автоматично след спиране.</w:t>
      </w:r>
    </w:p>
    <w:p w14:paraId="3C9E34C6"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г) Съществува възможност да се изключват инжекторите за въздуха за горене и за въздуха за отопление от място извън помещението, където се намира отоплителното устройство;</w:t>
      </w:r>
    </w:p>
    <w:p w14:paraId="1C5B7516"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д) Ако въздухът за отопление се засмуква отвън, входните отвори трябва да се намират възможно най-високо над палубата. Те трябва да са монтирани, така че да не влизат дъждовна вода и пръски;</w:t>
      </w:r>
    </w:p>
    <w:p w14:paraId="7BA788B5"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е) Въздушните тръби за отопление трябва да са изработени от метал;</w:t>
      </w:r>
    </w:p>
    <w:p w14:paraId="65347F0A"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ж) Н</w:t>
      </w:r>
      <w:r w:rsidRPr="00F06DE2">
        <w:rPr>
          <w:rFonts w:ascii="Times New Roman" w:hAnsi="Times New Roman" w:cs="Times New Roman"/>
        </w:rPr>
        <w:t>e</w:t>
      </w:r>
      <w:r w:rsidRPr="00F06DE2">
        <w:rPr>
          <w:rFonts w:ascii="Times New Roman" w:hAnsi="Times New Roman" w:cs="Times New Roman"/>
          <w:lang w:val="ru-RU"/>
        </w:rPr>
        <w:t xml:space="preserve"> трябва да </w:t>
      </w:r>
      <w:r w:rsidRPr="00F06DE2">
        <w:rPr>
          <w:rFonts w:ascii="Times New Roman" w:hAnsi="Times New Roman" w:cs="Times New Roman"/>
        </w:rPr>
        <w:t>e</w:t>
      </w:r>
      <w:r w:rsidRPr="00F06DE2">
        <w:rPr>
          <w:rFonts w:ascii="Times New Roman" w:hAnsi="Times New Roman" w:cs="Times New Roman"/>
          <w:lang w:val="ru-RU"/>
        </w:rPr>
        <w:t xml:space="preserve"> възможно да се затварят напълно изходните отвори за въздуха за отопление;</w:t>
      </w:r>
    </w:p>
    <w:p w14:paraId="29FA8311"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з) Не трябва да е възможно течове на гориво да достигат до тръбите за въздуха за отопление;</w:t>
      </w:r>
    </w:p>
    <w:p w14:paraId="0A82F440" w14:textId="18BFA573"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и) Не трябва да е възможно отоплителни устройства с нагнетяване на въздуха да черпят от въздуха за отопление от машинното отделение.</w:t>
      </w:r>
    </w:p>
    <w:p w14:paraId="0B3AFBC1" w14:textId="77777777" w:rsidR="00D87C7C" w:rsidRPr="00F06DE2" w:rsidRDefault="00D87C7C" w:rsidP="00D87C7C">
      <w:pPr>
        <w:pStyle w:val="ESletgauche"/>
        <w:spacing w:before="0"/>
        <w:ind w:firstLine="0"/>
        <w:jc w:val="both"/>
        <w:rPr>
          <w:rFonts w:ascii="Times New Roman" w:hAnsi="Times New Roman" w:cs="Times New Roman"/>
          <w:lang w:val="ru-RU"/>
        </w:rPr>
      </w:pPr>
    </w:p>
    <w:p w14:paraId="5CE10341"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72" w:name="_Toc491854139"/>
      <w:bookmarkStart w:id="273" w:name="_Toc535827580"/>
      <w:r w:rsidRPr="00F06DE2">
        <w:rPr>
          <w:rFonts w:ascii="Times New Roman" w:hAnsi="Times New Roman" w:cs="Times New Roman"/>
          <w:sz w:val="24"/>
          <w:szCs w:val="24"/>
          <w:lang w:val="ru-RU"/>
        </w:rPr>
        <w:t>Член 16.07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Отопление с твърдо гориво</w:t>
      </w:r>
      <w:bookmarkEnd w:id="272"/>
      <w:bookmarkEnd w:id="273"/>
    </w:p>
    <w:p w14:paraId="3F46C3C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Отоплителните уреди с твърдо гориво са разположени върху метална подложка с повдигнати краища, така че никакво възпламенено гориво или горещи сажди да не може да падне извън тази подложка.</w:t>
      </w:r>
    </w:p>
    <w:p w14:paraId="18D2A4F5"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Това изискване не важи за уреди, монтирани в отсеци от негорими материали и предназначени само за помещаване на котли.</w:t>
      </w:r>
    </w:p>
    <w:p w14:paraId="640F0CC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Отоплителните котли с твърдо гориво са оборудвани с контролни уреди с термостат за регулиране притока на въздуха, необходим за горене.</w:t>
      </w:r>
    </w:p>
    <w:p w14:paraId="306A8DA8" w14:textId="4E532DA0" w:rsidR="009F2E64"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В близост до всеки отоплителен прибор се поставят средства, с които саждите да могат бързо да бъдат загасени.</w:t>
      </w:r>
    </w:p>
    <w:p w14:paraId="2E67B9B0" w14:textId="77777777" w:rsidR="004B4403" w:rsidRPr="00F06DE2" w:rsidRDefault="004B4403">
      <w:pPr>
        <w:rPr>
          <w:rFonts w:ascii="Times New Roman" w:hAnsi="Times New Roman" w:cs="Times New Roman"/>
          <w:lang w:val="ru-RU"/>
        </w:rPr>
        <w:sectPr w:rsidR="004B4403" w:rsidRPr="00F06DE2" w:rsidSect="00F06DE2">
          <w:headerReference w:type="default" r:id="rId51"/>
          <w:headerReference w:type="first" r:id="rId52"/>
          <w:footnotePr>
            <w:numRestart w:val="eachPage"/>
          </w:footnotePr>
          <w:pgSz w:w="11906" w:h="16838" w:code="9"/>
          <w:pgMar w:top="1134" w:right="1134" w:bottom="1134" w:left="1134" w:header="709" w:footer="709" w:gutter="0"/>
          <w:cols w:space="709"/>
          <w:titlePg/>
          <w:docGrid w:linePitch="272"/>
        </w:sectPr>
      </w:pPr>
    </w:p>
    <w:p w14:paraId="02C92B92" w14:textId="77777777" w:rsidR="00271FA2" w:rsidRPr="00F06DE2" w:rsidRDefault="00D35E51">
      <w:pPr>
        <w:pStyle w:val="ES-Titre2"/>
        <w:rPr>
          <w:rFonts w:ascii="Times New Roman" w:hAnsi="Times New Roman" w:cs="Times New Roman"/>
          <w:lang w:val="ru-RU"/>
        </w:rPr>
      </w:pPr>
      <w:bookmarkStart w:id="274" w:name="_Toc535827581"/>
      <w:bookmarkStart w:id="275" w:name="_Toc491854140"/>
      <w:r w:rsidRPr="00F06DE2">
        <w:rPr>
          <w:rFonts w:ascii="Times New Roman" w:hAnsi="Times New Roman" w:cs="Times New Roman"/>
          <w:lang w:val="ru-RU"/>
        </w:rPr>
        <w:lastRenderedPageBreak/>
        <w:t>Глава 17</w:t>
      </w:r>
      <w:r w:rsidRPr="00F06DE2">
        <w:rPr>
          <w:rFonts w:ascii="Times New Roman" w:hAnsi="Times New Roman" w:cs="Times New Roman"/>
          <w:lang w:val="ru-RU"/>
        </w:rPr>
        <w:br/>
        <w:t>Битови уредби, работещи с втечнен газ</w:t>
      </w:r>
      <w:bookmarkEnd w:id="274"/>
      <w:bookmarkEnd w:id="275"/>
      <w:r w:rsidRPr="00F06DE2">
        <w:rPr>
          <w:rFonts w:ascii="Times New Roman" w:hAnsi="Times New Roman" w:cs="Times New Roman"/>
          <w:lang w:val="ru-RU"/>
        </w:rPr>
        <w:t xml:space="preserve"> </w:t>
      </w:r>
    </w:p>
    <w:p w14:paraId="411EC0C5" w14:textId="77777777" w:rsidR="00D87C7C" w:rsidRPr="00F06DE2" w:rsidRDefault="00D87C7C">
      <w:pPr>
        <w:pStyle w:val="ES-Titre3"/>
        <w:spacing w:line="240" w:lineRule="atLeast"/>
        <w:rPr>
          <w:rFonts w:ascii="Times New Roman" w:hAnsi="Times New Roman" w:cs="Times New Roman"/>
          <w:sz w:val="24"/>
          <w:szCs w:val="24"/>
          <w:lang w:val="ru-RU"/>
        </w:rPr>
      </w:pPr>
      <w:bookmarkStart w:id="276" w:name="_Toc491854141"/>
      <w:bookmarkStart w:id="277" w:name="_Toc535827582"/>
    </w:p>
    <w:p w14:paraId="7A9922BA" w14:textId="388E2B45"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17.01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276"/>
      <w:bookmarkEnd w:id="277"/>
    </w:p>
    <w:p w14:paraId="5FD63D9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Битовите уредби, работещи с втечнен газ, се състоят основно от захранваща секция, включваща една или повече газови бутилки и един или повече регулатори на налягането, разпределителна система и определен брой уреди, работещи на газ.</w:t>
      </w:r>
    </w:p>
    <w:p w14:paraId="3905E316"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Резервните и празните бутилки, които не са в захранващата секция, не се смятат за част от инсталацията. Член 17.05 се прилага за тях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w:t>
      </w:r>
    </w:p>
    <w:p w14:paraId="31E587E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Инсталациите могат да работят само с технически пропан.</w:t>
      </w:r>
    </w:p>
    <w:p w14:paraId="058C9303" w14:textId="77777777" w:rsidR="00D87C7C" w:rsidRPr="00F06DE2" w:rsidRDefault="00D87C7C">
      <w:pPr>
        <w:pStyle w:val="ES-Titre3"/>
        <w:spacing w:line="240" w:lineRule="atLeast"/>
        <w:rPr>
          <w:rFonts w:ascii="Times New Roman" w:hAnsi="Times New Roman" w:cs="Times New Roman"/>
          <w:sz w:val="24"/>
          <w:szCs w:val="24"/>
          <w:lang w:val="ru-RU"/>
        </w:rPr>
      </w:pPr>
      <w:bookmarkStart w:id="278" w:name="_Toc491854142"/>
      <w:bookmarkStart w:id="279" w:name="_Toc535827583"/>
    </w:p>
    <w:p w14:paraId="4D9C6D22" w14:textId="6CFB738B"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17.02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Инсталации</w:t>
      </w:r>
      <w:bookmarkEnd w:id="278"/>
      <w:bookmarkEnd w:id="279"/>
    </w:p>
    <w:p w14:paraId="0513899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Уредбите за втечнен газ са изцяло настроени за работа с пропан и се изграждат и монтират съгласно най-добрата практика.</w:t>
      </w:r>
    </w:p>
    <w:p w14:paraId="59934B3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Уредбите за втечнен газ могат да се използват само за битови нужди в жилищните помещения и рулевата рубка и за съответните цели на пътническите плавателни съдове.</w:t>
      </w:r>
    </w:p>
    <w:p w14:paraId="02B853A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Може да има няколко отделни инсталации на борда. Една инсталация не трябва да се използва за обслужване на жилищни помещения, разделени едно от друго от трюм или неподвижно закрепен резервоар.</w:t>
      </w:r>
    </w:p>
    <w:p w14:paraId="746DA74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Нито една част от уредбата за втечнен газ не трябва да бъде разположена в машинното отделение.</w:t>
      </w:r>
    </w:p>
    <w:p w14:paraId="2DB7FDF5" w14:textId="77777777" w:rsidR="00271FA2" w:rsidRPr="00F06DE2" w:rsidRDefault="00D35E51">
      <w:pPr>
        <w:pStyle w:val="ES-Titre3"/>
        <w:spacing w:line="240" w:lineRule="atLeast"/>
        <w:rPr>
          <w:rFonts w:ascii="Times New Roman" w:hAnsi="Times New Roman" w:cs="Times New Roman"/>
          <w:sz w:val="24"/>
          <w:szCs w:val="24"/>
          <w:lang w:val="ru-RU"/>
        </w:rPr>
      </w:pPr>
      <w:bookmarkStart w:id="280" w:name="_Toc535827584"/>
      <w:bookmarkStart w:id="281" w:name="_Toc491854143"/>
      <w:r w:rsidRPr="00F06DE2">
        <w:rPr>
          <w:rFonts w:ascii="Times New Roman" w:hAnsi="Times New Roman" w:cs="Times New Roman"/>
          <w:sz w:val="24"/>
          <w:szCs w:val="24"/>
          <w:lang w:val="ru-RU"/>
        </w:rPr>
        <w:t>Член 17.03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Бутилки</w:t>
      </w:r>
      <w:bookmarkEnd w:id="280"/>
      <w:bookmarkEnd w:id="281"/>
    </w:p>
    <w:p w14:paraId="0696676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Разрешени са само бутилки с одобрена вместимост между 5 и 35</w:t>
      </w:r>
      <w:r w:rsidRPr="00F06DE2">
        <w:rPr>
          <w:rFonts w:ascii="Times New Roman" w:hAnsi="Times New Roman" w:cs="Times New Roman"/>
        </w:rPr>
        <w:t> kg</w:t>
      </w:r>
      <w:r w:rsidRPr="00F06DE2">
        <w:rPr>
          <w:rFonts w:ascii="Times New Roman" w:hAnsi="Times New Roman" w:cs="Times New Roman"/>
          <w:lang w:val="ru-RU"/>
        </w:rPr>
        <w:t>. При пътническите плавателни съдове контролният орган може да одобри използване на бутилки с по-голяма вместимост.</w:t>
      </w:r>
    </w:p>
    <w:p w14:paraId="530A04F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Бутилките трябва да отговарят на настоящите изисквания в една от държавите членки.</w:t>
      </w:r>
    </w:p>
    <w:p w14:paraId="426CEE5D"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Тези бутилки трябва да имат официален печат, удостоверяващ, че са приети след изискваните изпитвания.</w:t>
      </w:r>
    </w:p>
    <w:p w14:paraId="68014AF0"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82" w:name="_Toc491854144"/>
      <w:bookmarkStart w:id="283" w:name="_Toc535827585"/>
      <w:r w:rsidRPr="00F06DE2">
        <w:rPr>
          <w:rFonts w:ascii="Times New Roman" w:hAnsi="Times New Roman" w:cs="Times New Roman"/>
          <w:sz w:val="24"/>
          <w:szCs w:val="24"/>
          <w:lang w:val="ru-RU"/>
        </w:rPr>
        <w:t>Член 17.04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Местоположение и разположение на захранващите секции</w:t>
      </w:r>
      <w:bookmarkEnd w:id="282"/>
      <w:bookmarkEnd w:id="283"/>
    </w:p>
    <w:p w14:paraId="14A4BB4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Захранващите секции трябва да са монтирани на палубата в отделен шкаф или стенен долап, разположен извън жилищните помещения на такова място, че да не пречи на движението на борда. Те не могат обаче да се монтират на предния или задния фалшборд. Шкафът може да бъде стенен шкаф, вграден в надстройката, при условие че е газонепроницаем и може да се отваря отвън на надстройката. Той трябва да е разположен, така че разпределителните тръби, водещи до газопотребителните пунктове, да са възможно най-къси.</w:t>
      </w:r>
    </w:p>
    <w:p w14:paraId="0EB116FE"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Не може да се използват едновременно повече бутилки, отколкото са необходими за работата на инсталацията. Няколко бутилки могат да бъдат свързани само ако се използва автоматичен реверсиращ разклонител. До четири бутилки могат да бъдат свързани за една захранваща секция. Броят на бутилките на борда, включително резервните бутилки, не трябва да надвишава шест на съоръжение.</w:t>
      </w:r>
    </w:p>
    <w:p w14:paraId="3ACBC858"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lastRenderedPageBreak/>
        <w:t>До шест бутилки могат да бъдат свързани на пътническите плавателни съдове с камбузи или столови за пътниците. Броят на бутилките на борда, включително резервните бутилки, не трябва да надвишава девет на съоръжение.</w:t>
      </w:r>
    </w:p>
    <w:p w14:paraId="36D1A90B"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Регулаторите на налягането, или в случай на двустепенно занижаване на налягането, първият регулатор се монтира на преградата в същия шкаф, както и бутилките.</w:t>
      </w:r>
    </w:p>
    <w:p w14:paraId="244ED30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Захранващите секции трябва да са разположени, така че всяко изтичане на газ да може да излезе от шкафа в атмосферата, без какъвто и да е риск да проникне във вътрешността на плавателния съд или да влезе в досег с източник на възпламеняване.</w:t>
      </w:r>
    </w:p>
    <w:p w14:paraId="7F01963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Шкафовете трябва да са направени от материали, забавящи горенето и да се проветряват достатъчно посредством отвори в горната и долната част. Бутилките трябва да са разположени вертикално в шкафа по такъв начин, че да не могат да се обърнат.</w:t>
      </w:r>
    </w:p>
    <w:p w14:paraId="7AEBC4E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Шкафовете трябва да са така конструирани и разположени, че температурата на бутилките да не може да превишава 50 °С.</w:t>
      </w:r>
    </w:p>
    <w:p w14:paraId="41EE539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Надписите „Втечнен газ“ и „Паленето на огън и пушенето забранени“ с диаметър от поне 10</w:t>
      </w:r>
      <w:r w:rsidRPr="00F06DE2">
        <w:rPr>
          <w:rFonts w:ascii="Times New Roman" w:hAnsi="Times New Roman" w:cs="Times New Roman"/>
        </w:rPr>
        <w:t> cm</w:t>
      </w:r>
      <w:r w:rsidRPr="00F06DE2">
        <w:rPr>
          <w:rFonts w:ascii="Times New Roman" w:hAnsi="Times New Roman" w:cs="Times New Roman"/>
          <w:lang w:val="ru-RU"/>
        </w:rPr>
        <w:t xml:space="preserve"> в съответствие с фигура 2 от Приложение</w:t>
      </w:r>
      <w:r w:rsidRPr="00F06DE2">
        <w:rPr>
          <w:rFonts w:ascii="Times New Roman" w:hAnsi="Times New Roman" w:cs="Times New Roman"/>
        </w:rPr>
        <w:t> </w:t>
      </w:r>
      <w:r w:rsidRPr="00F06DE2">
        <w:rPr>
          <w:rFonts w:ascii="Times New Roman" w:hAnsi="Times New Roman" w:cs="Times New Roman"/>
          <w:lang w:val="ru-RU"/>
        </w:rPr>
        <w:t>4 се поставят на външната страна на шкафа.</w:t>
      </w:r>
    </w:p>
    <w:p w14:paraId="6F09E188"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84" w:name="_Toc491854145"/>
      <w:bookmarkStart w:id="285" w:name="_Toc535827586"/>
      <w:r w:rsidRPr="00F06DE2">
        <w:rPr>
          <w:rFonts w:ascii="Times New Roman" w:hAnsi="Times New Roman" w:cs="Times New Roman"/>
          <w:sz w:val="24"/>
          <w:szCs w:val="24"/>
          <w:lang w:val="ru-RU"/>
        </w:rPr>
        <w:t>Член 17.05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Резервни и празни бутилки</w:t>
      </w:r>
      <w:bookmarkEnd w:id="284"/>
      <w:bookmarkEnd w:id="285"/>
    </w:p>
    <w:p w14:paraId="691E0D26"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Резервните и празните бутилки, които не се намират в захранващата секция, трябва да се складират извън жилищните помещения и рулевата рубка в шкаф, конструиран в съответствие с член</w:t>
      </w:r>
      <w:r w:rsidRPr="00F06DE2">
        <w:rPr>
          <w:rFonts w:ascii="Times New Roman" w:hAnsi="Times New Roman" w:cs="Times New Roman"/>
        </w:rPr>
        <w:t> </w:t>
      </w:r>
      <w:r w:rsidRPr="00F06DE2">
        <w:rPr>
          <w:rFonts w:ascii="Times New Roman" w:hAnsi="Times New Roman" w:cs="Times New Roman"/>
          <w:lang w:val="ru-RU"/>
        </w:rPr>
        <w:t>17.04.</w:t>
      </w:r>
    </w:p>
    <w:p w14:paraId="40EB56A0"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86" w:name="_Toc535827587"/>
      <w:bookmarkStart w:id="287" w:name="_Toc491854146"/>
      <w:r w:rsidRPr="00F06DE2">
        <w:rPr>
          <w:rFonts w:ascii="Times New Roman" w:hAnsi="Times New Roman" w:cs="Times New Roman"/>
          <w:sz w:val="24"/>
          <w:szCs w:val="24"/>
          <w:lang w:val="ru-RU"/>
        </w:rPr>
        <w:t>Член 17.06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Регулатори на налягането</w:t>
      </w:r>
      <w:bookmarkEnd w:id="286"/>
      <w:bookmarkEnd w:id="287"/>
    </w:p>
    <w:p w14:paraId="1F67209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Уредите, работещи на газ, могат да се свързват с бутилките само посредством разпределителна система, оборудвана с един или повече регулатори на налягането на газа до нормалното работно налягане. Налягането може да бъде намалено с една или две степени. Всички регулатори на налягането се настройват за налягането, определено в съответствие с член 17.07.</w:t>
      </w:r>
    </w:p>
    <w:p w14:paraId="5259892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Крайните регулатори на налягането имат или са пряко свързани с приспособление за автоматична защита на газопроводите от прекомерно налягане в случай на повреда на регулатора на налягането. Гарантира се, че всеки газ, който предпазното устройство допусне да изтече, се отвежда в атмосферата, без какъвто и да е риск за проникване във вътрешността на плавателния съд или за влизане в досег с източник на възпламеняване. При необходимост се монтира специален тръбопровод за тази цел.</w:t>
      </w:r>
    </w:p>
    <w:p w14:paraId="4FF0AB7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Защитните устройства и вентилационните отвори трябва да са защитени срещу проникване на вода.</w:t>
      </w:r>
    </w:p>
    <w:p w14:paraId="5EEFA4F6"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88" w:name="_Toc535827588"/>
      <w:bookmarkStart w:id="289" w:name="_Toc491854147"/>
      <w:r w:rsidRPr="00F06DE2">
        <w:rPr>
          <w:rFonts w:ascii="Times New Roman" w:hAnsi="Times New Roman" w:cs="Times New Roman"/>
          <w:sz w:val="24"/>
          <w:szCs w:val="24"/>
          <w:lang w:val="ru-RU"/>
        </w:rPr>
        <w:t>Член 17.07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Налягане</w:t>
      </w:r>
      <w:bookmarkEnd w:id="288"/>
      <w:bookmarkEnd w:id="289"/>
    </w:p>
    <w:p w14:paraId="2A98674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Когато се използват системи за двустепенно занижаване на налягането, средното налягане не трябва да е повече от 2,5</w:t>
      </w:r>
      <w:r w:rsidRPr="00F06DE2">
        <w:rPr>
          <w:rFonts w:ascii="Times New Roman" w:hAnsi="Times New Roman" w:cs="Times New Roman"/>
        </w:rPr>
        <w:t> bar</w:t>
      </w:r>
      <w:r w:rsidRPr="00F06DE2">
        <w:rPr>
          <w:rFonts w:ascii="Times New Roman" w:hAnsi="Times New Roman" w:cs="Times New Roman"/>
          <w:lang w:val="ru-RU"/>
        </w:rPr>
        <w:t xml:space="preserve"> над атмосферното налягане.</w:t>
      </w:r>
    </w:p>
    <w:p w14:paraId="33BFF16E" w14:textId="77777777" w:rsidR="00271FA2" w:rsidRPr="00F06DE2" w:rsidRDefault="00D35E51" w:rsidP="009F2E64">
      <w:pPr>
        <w:pStyle w:val="ESch"/>
        <w:spacing w:after="240"/>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Налягането на изхода на последния регулатор на налягането не трябва да е по-голямо с повече от 0,05 </w:t>
      </w:r>
      <w:r w:rsidRPr="00F06DE2">
        <w:rPr>
          <w:rFonts w:ascii="Times New Roman" w:hAnsi="Times New Roman" w:cs="Times New Roman"/>
        </w:rPr>
        <w:t>bar</w:t>
      </w:r>
      <w:r w:rsidRPr="00F06DE2">
        <w:rPr>
          <w:rFonts w:ascii="Times New Roman" w:hAnsi="Times New Roman" w:cs="Times New Roman"/>
          <w:lang w:val="ru-RU"/>
        </w:rPr>
        <w:t xml:space="preserve"> от атмосферното налягане, с допуск от 10 %.</w:t>
      </w:r>
    </w:p>
    <w:p w14:paraId="659DD77C"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90" w:name="_Toc535827589"/>
      <w:bookmarkStart w:id="291" w:name="_Toc491854148"/>
      <w:r w:rsidRPr="00F06DE2">
        <w:rPr>
          <w:rFonts w:ascii="Times New Roman" w:hAnsi="Times New Roman" w:cs="Times New Roman"/>
          <w:sz w:val="24"/>
          <w:szCs w:val="24"/>
          <w:lang w:val="ru-RU"/>
        </w:rPr>
        <w:t>Член 17.08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Тръбопроводи и гъвкави тръби</w:t>
      </w:r>
      <w:bookmarkEnd w:id="290"/>
      <w:bookmarkEnd w:id="291"/>
    </w:p>
    <w:p w14:paraId="736097A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Тръбите трябва да бъдат неподвижно монтирани стоманени или медни тръби.</w:t>
      </w:r>
    </w:p>
    <w:p w14:paraId="5BA78357"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Обаче тръбопроводите, свързани с бутилките, трябва да са гъвкави тръби за високо налягане или спирални тръбопроводи, пригодни за газ пропан. Уредите, работещи на газ, могат, в случай че </w:t>
      </w:r>
      <w:r w:rsidRPr="00F06DE2">
        <w:rPr>
          <w:rFonts w:ascii="Times New Roman" w:hAnsi="Times New Roman" w:cs="Times New Roman"/>
          <w:lang w:val="ru-RU"/>
        </w:rPr>
        <w:lastRenderedPageBreak/>
        <w:t xml:space="preserve">не са закрепени стационарно, да бъдат свързани чрез подходящи гъвкави тръби не по-дълги от 1 </w:t>
      </w:r>
      <w:r w:rsidRPr="00F06DE2">
        <w:rPr>
          <w:rFonts w:ascii="Times New Roman" w:hAnsi="Times New Roman" w:cs="Times New Roman"/>
        </w:rPr>
        <w:t>m</w:t>
      </w:r>
      <w:r w:rsidRPr="00F06DE2">
        <w:rPr>
          <w:rFonts w:ascii="Times New Roman" w:hAnsi="Times New Roman" w:cs="Times New Roman"/>
          <w:lang w:val="ru-RU"/>
        </w:rPr>
        <w:t>.</w:t>
      </w:r>
    </w:p>
    <w:p w14:paraId="4466832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Тръбите трябва да могат да издържат на всякакви натоварвания, по специално свързани с корозията и механичната якост, които могат да възникнат при нормалните работни условия на борда, и техните характеристики и разположение трябва да са такива, че да осигуряват задоволителен приток на газ с необходимото налягане до уредите, работещи на газ.</w:t>
      </w:r>
    </w:p>
    <w:p w14:paraId="2BC1AA1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Тръбите трябва да имат възможно най-малко съединения. Тръбите и съединенията трябва да са газонепроницаеми и остават газонепроницаеми независимо от всяка вибрация или разтягане, на които могат да бъдат подложени.</w:t>
      </w:r>
    </w:p>
    <w:p w14:paraId="3FA6D5B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Тръбите трябва да са леснодостъпни, добре закрепени и защитени във всяка точка, където могат да бъдат обект на удар или триене, особено когато преминават през стоманени прегради или метални разделители. Цялата повърхност на стоманените тръби трябва да е обработена против корозия.</w:t>
      </w:r>
    </w:p>
    <w:p w14:paraId="7E610758" w14:textId="77777777" w:rsidR="00271FA2" w:rsidRPr="00F06DE2" w:rsidRDefault="00D35E51" w:rsidP="00097008">
      <w:pPr>
        <w:pStyle w:val="ESch"/>
        <w:spacing w:after="240"/>
        <w:jc w:val="both"/>
        <w:rPr>
          <w:rStyle w:val="HeaderChar"/>
          <w:lang w:val="ru-RU"/>
        </w:rPr>
      </w:pPr>
      <w:r w:rsidRPr="00F06DE2">
        <w:rPr>
          <w:rFonts w:ascii="Times New Roman" w:hAnsi="Times New Roman" w:cs="Times New Roman"/>
          <w:lang w:val="ru-RU"/>
        </w:rPr>
        <w:t>5.</w:t>
      </w:r>
      <w:r w:rsidRPr="00F06DE2">
        <w:rPr>
          <w:rFonts w:ascii="Times New Roman" w:hAnsi="Times New Roman" w:cs="Times New Roman"/>
          <w:lang w:val="ru-RU"/>
        </w:rPr>
        <w:tab/>
        <w:t>Гъвкавите тръби и техните съединители трябва да са в състояние да издържат на всякакви натоварвания, които могат да възникнат при нормалните работни условия на борда. Те трябва да са монтирани, така че да не са подложени на напрежение, да не се прегряват и да могат да бъдат проверявани по цялата им дължина.</w:t>
      </w:r>
    </w:p>
    <w:p w14:paraId="6B63BA92" w14:textId="2E715C78" w:rsidR="00271FA2" w:rsidRPr="00F06DE2" w:rsidRDefault="00D35E51">
      <w:pPr>
        <w:pStyle w:val="ES-Titre3"/>
        <w:spacing w:line="240" w:lineRule="atLeast"/>
        <w:rPr>
          <w:rFonts w:ascii="Times New Roman" w:hAnsi="Times New Roman" w:cs="Times New Roman"/>
          <w:i/>
          <w:sz w:val="24"/>
          <w:szCs w:val="24"/>
          <w:lang w:val="ru-RU"/>
        </w:rPr>
      </w:pPr>
      <w:bookmarkStart w:id="292" w:name="_Toc491854149"/>
      <w:bookmarkStart w:id="293" w:name="_Toc535827590"/>
      <w:r w:rsidRPr="00F06DE2">
        <w:rPr>
          <w:rFonts w:ascii="Times New Roman" w:hAnsi="Times New Roman" w:cs="Times New Roman"/>
          <w:sz w:val="24"/>
          <w:szCs w:val="24"/>
          <w:lang w:val="ru-RU"/>
        </w:rPr>
        <w:t>Член 17.09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Разпределителна система</w:t>
      </w:r>
      <w:bookmarkEnd w:id="292"/>
      <w:bookmarkEnd w:id="293"/>
    </w:p>
    <w:p w14:paraId="6BF959C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Трябва да има възможност за изключване на цялата система за разпределение чрез главен вентил, който по всяко време е бързо и леснодостъпен.</w:t>
      </w:r>
    </w:p>
    <w:p w14:paraId="57F58F3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Всеки уред, работещ на газ, трябва да се захранва от отделно разклонение на разпределителната система и всяко разклонение да се контролира с отделно затварящо устройство.</w:t>
      </w:r>
    </w:p>
    <w:p w14:paraId="02850BA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Вентилите трябва да са поставени на места, където са защитени от атмосферно влияние и въздействие.</w:t>
      </w:r>
    </w:p>
    <w:p w14:paraId="451DB0A2" w14:textId="77777777" w:rsidR="00271FA2" w:rsidRPr="00F06DE2" w:rsidRDefault="00D35E51" w:rsidP="00097008">
      <w:pPr>
        <w:pStyle w:val="ESch"/>
        <w:spacing w:after="240"/>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След всеки регулатор на налягането се монтира връзка за проверка. Чрез затварящо устройство трябва да се гарантира, че при изпитванията на налягането регулаторът на налягането няма да бъде подложен на изпитвателното налягане.</w:t>
      </w:r>
    </w:p>
    <w:p w14:paraId="1F0E06F4" w14:textId="22D24852" w:rsidR="00271FA2" w:rsidRPr="00F06DE2" w:rsidRDefault="00D35E51">
      <w:pPr>
        <w:pStyle w:val="ES-Titre3"/>
        <w:spacing w:line="240" w:lineRule="atLeast"/>
        <w:rPr>
          <w:rFonts w:ascii="Times New Roman" w:hAnsi="Times New Roman" w:cs="Times New Roman"/>
          <w:i/>
          <w:sz w:val="24"/>
          <w:szCs w:val="24"/>
          <w:lang w:val="ru-RU"/>
        </w:rPr>
      </w:pPr>
      <w:bookmarkStart w:id="294" w:name="_Toc535827591"/>
      <w:bookmarkStart w:id="295" w:name="_Toc491854150"/>
      <w:r w:rsidRPr="00F06DE2">
        <w:rPr>
          <w:rFonts w:ascii="Times New Roman" w:hAnsi="Times New Roman" w:cs="Times New Roman"/>
          <w:sz w:val="24"/>
          <w:szCs w:val="24"/>
          <w:lang w:val="ru-RU"/>
        </w:rPr>
        <w:t>Член 17.10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Консумиращи газ уреди и тяхното монтиране</w:t>
      </w:r>
      <w:bookmarkEnd w:id="294"/>
      <w:bookmarkEnd w:id="295"/>
    </w:p>
    <w:p w14:paraId="782D8FC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Единствените уреди, които могат да се монтират, са такива, работещи с пропан, одобрени в една от държавите членки и оборудвани с устройства, които ефективно предотвратяват изпускането на газ в случай на загасване на пламъка или на запалителния факел.</w:t>
      </w:r>
    </w:p>
    <w:p w14:paraId="06F2075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Уредите се разполагат и свързват, така че да не могат да се обърнат или да бъдат случайно разместени и да бъде избегнат всеки риск от случайно изкривяване на свързващите тръби.</w:t>
      </w:r>
    </w:p>
    <w:p w14:paraId="0E11194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Отоплителните и водоподгряващите уреди и хладилниците се свързват към димоотвод за отвеждане на газовете от горенето на открито.</w:t>
      </w:r>
    </w:p>
    <w:p w14:paraId="4103B63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Монтиране на уреди, работещи на газ, е позволено в рулевата рубка само ако същата е така построена, че никакъв случайно изтекъл газ да не може да проникне в долните части на плавателното средство и особено през отворите на връзките за управление, водещи към машинното отделение.</w:t>
      </w:r>
    </w:p>
    <w:p w14:paraId="4672851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Уреди, работещи на газ, могат да бъдат монтирани в спалните помещения само ако горенето им е независимо от околния въздух в помещенията.</w:t>
      </w:r>
    </w:p>
    <w:p w14:paraId="3268C22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Уреди, работещи на газ, при които горенето зависи от въздуха в помещенията, трябва да се разполагат в достатъчно обширни помещения.</w:t>
      </w:r>
    </w:p>
    <w:p w14:paraId="4D1149B6" w14:textId="77777777" w:rsidR="00D87C7C" w:rsidRPr="00F06DE2" w:rsidRDefault="00D87C7C">
      <w:pPr>
        <w:pStyle w:val="ES-Titre3"/>
        <w:spacing w:line="240" w:lineRule="atLeast"/>
        <w:rPr>
          <w:rFonts w:ascii="Times New Roman" w:hAnsi="Times New Roman" w:cs="Times New Roman"/>
          <w:sz w:val="24"/>
          <w:szCs w:val="24"/>
          <w:lang w:val="ru-RU"/>
        </w:rPr>
      </w:pPr>
      <w:bookmarkStart w:id="296" w:name="_Toc491854151"/>
      <w:bookmarkStart w:id="297" w:name="_Toc535827592"/>
    </w:p>
    <w:p w14:paraId="77EC7913" w14:textId="5ADC3605"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17.11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Вентилация и отвеждане на отработените газове</w:t>
      </w:r>
      <w:bookmarkEnd w:id="296"/>
      <w:bookmarkEnd w:id="297"/>
    </w:p>
    <w:p w14:paraId="45EDCF3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В помещения, в които има уреди, работещи на газ, в които горенето зависи от околния въздух, подаването на въздух и отвеждането на отработените газове трябва да се осигурява чрез вентилационни отвори с подходящи размери, със светло сечение от поне 150 </w:t>
      </w:r>
      <w:r w:rsidRPr="00F06DE2">
        <w:rPr>
          <w:rFonts w:ascii="Times New Roman" w:hAnsi="Times New Roman" w:cs="Times New Roman"/>
        </w:rPr>
        <w:t>cm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на отвор.</w:t>
      </w:r>
    </w:p>
    <w:p w14:paraId="4F33D1B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Вентилационните отвори не трябва да имат затварящо устройство и да водят към спални помещения.</w:t>
      </w:r>
    </w:p>
    <w:p w14:paraId="1200432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Устройствата за отвеждане трябва да бъдат проектирани, така че да осигуряват цялостното отвеждане на отработените газове. Те трябва да са надеждни за работа и направени от негорими материали. Тяхното функциониране не трябва да се влияе от принудителната вентилация.</w:t>
      </w:r>
    </w:p>
    <w:p w14:paraId="2F1DE0F4"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298" w:name="_Toc491854152"/>
      <w:bookmarkStart w:id="299" w:name="_Toc535827593"/>
      <w:r w:rsidRPr="00F06DE2">
        <w:rPr>
          <w:rFonts w:ascii="Times New Roman" w:hAnsi="Times New Roman" w:cs="Times New Roman"/>
          <w:sz w:val="24"/>
          <w:szCs w:val="24"/>
          <w:lang w:val="ru-RU"/>
        </w:rPr>
        <w:t>Член 17.12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Инструкции за експлоатация</w:t>
      </w:r>
      <w:bookmarkEnd w:id="298"/>
      <w:bookmarkEnd w:id="299"/>
    </w:p>
    <w:p w14:paraId="284BAEAF"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Инструкцията за експлоатация се поставя на борда на подходящо място. Тя съдържа най-малко следното:</w:t>
      </w:r>
    </w:p>
    <w:p w14:paraId="7A793255"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„Кранчетата на бутилките, които не са свързани към разпределителната система, трябва да бъдат затворени, дори ако съдовете се смятат за празни“.</w:t>
      </w:r>
    </w:p>
    <w:p w14:paraId="168CE104"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„Гъвкавите тръби трябва да се сменят толкова често, колкото го изисква тяхното състояние“.</w:t>
      </w:r>
    </w:p>
    <w:p w14:paraId="35A10CED"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„Всички уреди, работещи с газ, трябва да бъдат свързани или съответните съединителни тръби да бъдат запечатани“.</w:t>
      </w:r>
    </w:p>
    <w:p w14:paraId="7E79BBF5"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00" w:name="_Toc535827594"/>
      <w:bookmarkStart w:id="301" w:name="_Toc491854153"/>
      <w:r w:rsidRPr="00F06DE2">
        <w:rPr>
          <w:rFonts w:ascii="Times New Roman" w:hAnsi="Times New Roman" w:cs="Times New Roman"/>
          <w:sz w:val="24"/>
          <w:szCs w:val="24"/>
          <w:lang w:val="ru-RU"/>
        </w:rPr>
        <w:t>Член 17.13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Приемно изпитване</w:t>
      </w:r>
      <w:bookmarkEnd w:id="300"/>
      <w:bookmarkEnd w:id="301"/>
    </w:p>
    <w:p w14:paraId="1F2C9A5F"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Уредбите за втечнен газ се проверяват от експерт с цел да се установи дали уредбата отговаря на изискванията на настоящата глава:</w:t>
      </w:r>
    </w:p>
    <w:p w14:paraId="0D2AE570"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преди първоначално пускане в експлоатация;</w:t>
      </w:r>
    </w:p>
    <w:p w14:paraId="41B0B2A2"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б) преди повторно пускане в експлоатация след всяко по-съществено изменение или ремонт; и</w:t>
      </w:r>
    </w:p>
    <w:p w14:paraId="32C1CC7D" w14:textId="77777777" w:rsidR="00271FA2" w:rsidRPr="00F06DE2" w:rsidRDefault="00D35E51" w:rsidP="00D87C7C">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в) при всяко подновяване на удостоверението, посочено в член</w:t>
      </w:r>
      <w:r w:rsidRPr="00F06DE2">
        <w:rPr>
          <w:rFonts w:ascii="Times New Roman" w:hAnsi="Times New Roman" w:cs="Times New Roman"/>
        </w:rPr>
        <w:t> </w:t>
      </w:r>
      <w:r w:rsidRPr="00F06DE2">
        <w:rPr>
          <w:rFonts w:ascii="Times New Roman" w:hAnsi="Times New Roman" w:cs="Times New Roman"/>
          <w:lang w:val="ru-RU"/>
        </w:rPr>
        <w:t>17.15.</w:t>
      </w:r>
    </w:p>
    <w:p w14:paraId="4FCEB6DE" w14:textId="77777777" w:rsidR="00271FA2" w:rsidRPr="00F06DE2" w:rsidRDefault="00D35E51" w:rsidP="00D87C7C">
      <w:pPr>
        <w:pStyle w:val="ESgauche"/>
        <w:jc w:val="both"/>
        <w:rPr>
          <w:rFonts w:ascii="Times New Roman" w:hAnsi="Times New Roman" w:cs="Times New Roman"/>
          <w:lang w:val="ru-RU"/>
        </w:rPr>
      </w:pPr>
      <w:r w:rsidRPr="00F06DE2">
        <w:rPr>
          <w:rFonts w:ascii="Times New Roman" w:hAnsi="Times New Roman" w:cs="Times New Roman"/>
          <w:lang w:val="ru-RU"/>
        </w:rPr>
        <w:t>Издава се удостоверение за проверката, подписано от експерта и посочващо датата на проверката. Копие от удостоверението за проверката се представя на контролния орган.</w:t>
      </w:r>
    </w:p>
    <w:p w14:paraId="4FCC6F3F" w14:textId="77777777" w:rsidR="005E0E50" w:rsidRPr="00F06DE2" w:rsidRDefault="005E0E50">
      <w:pPr>
        <w:pStyle w:val="ES-Titre3"/>
        <w:spacing w:line="240" w:lineRule="atLeast"/>
        <w:rPr>
          <w:rFonts w:ascii="Times New Roman" w:hAnsi="Times New Roman" w:cs="Times New Roman"/>
          <w:sz w:val="24"/>
          <w:szCs w:val="24"/>
          <w:lang w:val="ru-RU"/>
        </w:rPr>
      </w:pPr>
      <w:bookmarkStart w:id="302" w:name="_Toc535827595"/>
      <w:bookmarkStart w:id="303" w:name="_Toc491854154"/>
    </w:p>
    <w:p w14:paraId="484A4C39" w14:textId="488C7760"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17.14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Условия на изпитване</w:t>
      </w:r>
      <w:bookmarkEnd w:id="302"/>
      <w:bookmarkEnd w:id="303"/>
    </w:p>
    <w:p w14:paraId="655AFDEC"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Изпитването на инсталацията се извършва при следните условия:</w:t>
      </w:r>
    </w:p>
    <w:p w14:paraId="6ECC310E" w14:textId="77777777" w:rsidR="00271FA2" w:rsidRPr="00F06DE2" w:rsidRDefault="00D35E51" w:rsidP="005E0E50">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Тръбите със средно налягане между затварящото устройство, упоменато в член 17.09, точка 4, на първия регулатор на налягането и вентилите, поставени преди крайния регулатор на налягането:</w:t>
      </w:r>
    </w:p>
    <w:p w14:paraId="2A82DCA0" w14:textId="77777777" w:rsidR="00271FA2" w:rsidRPr="00F06DE2" w:rsidRDefault="00D35E51" w:rsidP="005E0E50">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изпитване за налягане, извършвано с въздух, инертен газ или течност с налягане 20 </w:t>
      </w:r>
      <w:r w:rsidRPr="00F06DE2">
        <w:rPr>
          <w:rFonts w:ascii="Times New Roman" w:hAnsi="Times New Roman" w:cs="Times New Roman"/>
        </w:rPr>
        <w:t>bar</w:t>
      </w:r>
      <w:r w:rsidRPr="00F06DE2">
        <w:rPr>
          <w:rFonts w:ascii="Times New Roman" w:hAnsi="Times New Roman" w:cs="Times New Roman"/>
          <w:lang w:val="ru-RU"/>
        </w:rPr>
        <w:t xml:space="preserve"> над атмосферното налягане;</w:t>
      </w:r>
    </w:p>
    <w:p w14:paraId="7956A762" w14:textId="77777777" w:rsidR="00271FA2" w:rsidRPr="00F06DE2" w:rsidRDefault="00D35E51" w:rsidP="005E0E50">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изпитване за газонепроницаемост, извършено с въздух или инертен газ с налягане 3,5 </w:t>
      </w:r>
      <w:r w:rsidRPr="00F06DE2">
        <w:rPr>
          <w:rFonts w:ascii="Times New Roman" w:hAnsi="Times New Roman" w:cs="Times New Roman"/>
        </w:rPr>
        <w:t>bar</w:t>
      </w:r>
      <w:r w:rsidRPr="00F06DE2">
        <w:rPr>
          <w:rFonts w:ascii="Times New Roman" w:hAnsi="Times New Roman" w:cs="Times New Roman"/>
          <w:lang w:val="ru-RU"/>
        </w:rPr>
        <w:t xml:space="preserve"> над атмосферното налягане.</w:t>
      </w:r>
    </w:p>
    <w:p w14:paraId="0C6062D3" w14:textId="77777777" w:rsidR="00271FA2" w:rsidRPr="00F06DE2" w:rsidRDefault="00D35E51" w:rsidP="005E0E50">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Тръбите с работно налягане между затварящо устройство, упоменато в член 17.09, точка 4, на единствения регулатор на налягането или крайния регулатор на налягането и вентилите монтирани пред уредите, работещи на газ:</w:t>
      </w:r>
    </w:p>
    <w:p w14:paraId="68BBF4D1" w14:textId="77777777" w:rsidR="00271FA2" w:rsidRPr="00F06DE2" w:rsidRDefault="00D35E51" w:rsidP="00143453">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 xml:space="preserve">изпитване за газонепроницаемост, извършено с въздух или инертен газ с налягане 1 </w:t>
      </w:r>
      <w:r w:rsidRPr="00F06DE2">
        <w:rPr>
          <w:rFonts w:ascii="Times New Roman" w:hAnsi="Times New Roman" w:cs="Times New Roman"/>
        </w:rPr>
        <w:t>bar</w:t>
      </w:r>
      <w:r w:rsidRPr="00F06DE2">
        <w:rPr>
          <w:rFonts w:ascii="Times New Roman" w:hAnsi="Times New Roman" w:cs="Times New Roman"/>
          <w:lang w:val="ru-RU"/>
        </w:rPr>
        <w:t xml:space="preserve"> над атмосферното налягане.</w:t>
      </w:r>
    </w:p>
    <w:p w14:paraId="0DABF0A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Тръбите, разположени между затварящо устройство, упоменато в член 17.09, точка 4, на единствения регулатор на налягането или крайния регулатор на налягането и устройствата за управление на уредите, работещи на газ:</w:t>
      </w:r>
    </w:p>
    <w:p w14:paraId="183C4B1B" w14:textId="77777777" w:rsidR="00271FA2" w:rsidRPr="00F06DE2" w:rsidRDefault="00D35E51">
      <w:pPr>
        <w:pStyle w:val="ESletpar"/>
        <w:spacing w:before="0"/>
        <w:jc w:val="both"/>
        <w:rPr>
          <w:rFonts w:ascii="Times New Roman" w:hAnsi="Times New Roman" w:cs="Times New Roman"/>
          <w:lang w:val="ru-RU"/>
        </w:rPr>
      </w:pPr>
      <w:r w:rsidRPr="00F06DE2">
        <w:rPr>
          <w:rFonts w:ascii="Times New Roman" w:hAnsi="Times New Roman" w:cs="Times New Roman"/>
          <w:lang w:val="ru-RU"/>
        </w:rPr>
        <w:t xml:space="preserve">изпитване за газонепроницаемост при налягане 0,15 </w:t>
      </w:r>
      <w:r w:rsidRPr="00F06DE2">
        <w:rPr>
          <w:rFonts w:ascii="Times New Roman" w:hAnsi="Times New Roman" w:cs="Times New Roman"/>
        </w:rPr>
        <w:t>bar</w:t>
      </w:r>
      <w:r w:rsidRPr="00F06DE2">
        <w:rPr>
          <w:rFonts w:ascii="Times New Roman" w:hAnsi="Times New Roman" w:cs="Times New Roman"/>
          <w:lang w:val="ru-RU"/>
        </w:rPr>
        <w:t xml:space="preserve"> над атмосферното налягане.</w:t>
      </w:r>
    </w:p>
    <w:p w14:paraId="5C19F7C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 изпитванията съгласно точка 1, буква “б”, точки 2 и 3 тръбите се считат за газонепроницаеми, ако след изтичането на достатъчно време, което да позволи изравняването на температурата с тази на околната среда, не се наблюдава спад в изпитвателното налягане в продължение на следващите 10 минути.</w:t>
      </w:r>
    </w:p>
    <w:p w14:paraId="6B42F37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Свързващите части на бутилките, тръбите и другите фитинги, подложени на налягане в бутилките, и всички свръзки между регулаторите на налягането и разпределителната тръба:</w:t>
      </w:r>
    </w:p>
    <w:p w14:paraId="02821CB5" w14:textId="77777777" w:rsidR="00271FA2" w:rsidRPr="00F06DE2" w:rsidRDefault="00D35E51">
      <w:pPr>
        <w:pStyle w:val="ESletpar"/>
        <w:spacing w:before="0"/>
        <w:ind w:left="567"/>
        <w:jc w:val="center"/>
        <w:rPr>
          <w:rFonts w:ascii="Times New Roman" w:hAnsi="Times New Roman" w:cs="Times New Roman"/>
          <w:lang w:val="ru-RU"/>
        </w:rPr>
      </w:pPr>
      <w:r w:rsidRPr="00F06DE2">
        <w:rPr>
          <w:rFonts w:ascii="Times New Roman" w:hAnsi="Times New Roman" w:cs="Times New Roman"/>
          <w:lang w:val="ru-RU"/>
        </w:rPr>
        <w:t>изпитване за газонепроницаемост, извършено с пенообразуващо вещество при работно налягане.</w:t>
      </w:r>
    </w:p>
    <w:p w14:paraId="5493F98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Всички уреди, работещи на газ, се задействат при номинален капацитет и изпитват за задоволително и стабилно горене при различните задавани степени за капацитета.</w:t>
      </w:r>
    </w:p>
    <w:p w14:paraId="4BD8D5F0"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Устройствата, които контролират за изгасване на огъня, се проверяват, за да се гарантира тяхното задоволително функциониране.</w:t>
      </w:r>
    </w:p>
    <w:p w14:paraId="5894288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След изпитването съгласно точка 6 трябва да се провери по отношение на всеки уред, работещ на газ, свързан с димоотвод, дали след петминутно действие при номинален капацитет и затворени прозорци и врати и с работещи вентилационни устройства, през отвора за всмукване на въздух в помещението проникват отработени газове.</w:t>
      </w:r>
    </w:p>
    <w:p w14:paraId="46E2F8A4"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Ако има повече от моментно изпускане на такива газове, причината веднага се установява и отстранява. Уредът не се одобрява за употреба, докато всички дефекти не бъдат отстранени.</w:t>
      </w:r>
    </w:p>
    <w:p w14:paraId="0C697742" w14:textId="77777777" w:rsidR="00271FA2" w:rsidRPr="00F06DE2" w:rsidRDefault="00D35E51">
      <w:pPr>
        <w:pStyle w:val="ES-Titre3"/>
        <w:spacing w:line="240" w:lineRule="atLeast"/>
        <w:rPr>
          <w:rFonts w:ascii="Times New Roman" w:hAnsi="Times New Roman" w:cs="Times New Roman"/>
          <w:sz w:val="24"/>
          <w:szCs w:val="24"/>
          <w:lang w:val="ru-RU"/>
        </w:rPr>
      </w:pPr>
      <w:bookmarkStart w:id="304" w:name="_Toc535827596"/>
      <w:bookmarkStart w:id="305" w:name="_Toc491854155"/>
      <w:r w:rsidRPr="00F06DE2">
        <w:rPr>
          <w:rFonts w:ascii="Times New Roman" w:hAnsi="Times New Roman" w:cs="Times New Roman"/>
          <w:sz w:val="24"/>
          <w:szCs w:val="24"/>
          <w:lang w:val="ru-RU"/>
        </w:rPr>
        <w:t>Член 17.15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Атестация</w:t>
      </w:r>
      <w:bookmarkEnd w:id="304"/>
      <w:bookmarkEnd w:id="305"/>
    </w:p>
    <w:p w14:paraId="4510E3F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Корабното удостоверение за вътрешно корабоплаване трябва да съдържа атестация в смисъл, че всички съоръжения за втечнен газ отговарят на изискванията на настоящата глава.</w:t>
      </w:r>
    </w:p>
    <w:p w14:paraId="34071F8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Атестацията се издава от контролния орган след приемното изпитване, упоменато в член 17.13.</w:t>
      </w:r>
    </w:p>
    <w:p w14:paraId="1052385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Атестацията е валидна за срок не по-дълъг от три години. Тя може да бъде подновена само след извършване на ново приемно изпитване, извършено в съответствие с член 17.13.</w:t>
      </w:r>
    </w:p>
    <w:p w14:paraId="3D494750" w14:textId="0E11C56F" w:rsidR="00097008"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По изключение, когато корабособственикът или негов представител представи обосновано искане, контролният орган може да удължи валидността на атестацията за не повече от три месеца без извършване на приемното изпитване, което се посочва в член 17.13. Това удължаване се вписва в Корабното удостоверение за вътрешно корабоплаване.</w:t>
      </w:r>
    </w:p>
    <w:p w14:paraId="50B1C46E" w14:textId="77777777" w:rsidR="00C15699" w:rsidRPr="00F06DE2" w:rsidRDefault="00C15699">
      <w:pPr>
        <w:rPr>
          <w:rFonts w:ascii="Times New Roman" w:hAnsi="Times New Roman" w:cs="Times New Roman"/>
          <w:lang w:val="ru-RU"/>
        </w:rPr>
        <w:sectPr w:rsidR="00C15699" w:rsidRPr="00F06DE2" w:rsidSect="00F06DE2">
          <w:headerReference w:type="default" r:id="rId53"/>
          <w:headerReference w:type="first" r:id="rId54"/>
          <w:footnotePr>
            <w:numRestart w:val="eachPage"/>
          </w:footnotePr>
          <w:pgSz w:w="11906" w:h="16838" w:code="9"/>
          <w:pgMar w:top="1134" w:right="1134" w:bottom="1134" w:left="1134" w:header="709" w:footer="709" w:gutter="0"/>
          <w:cols w:space="709"/>
          <w:titlePg/>
          <w:docGrid w:linePitch="272"/>
        </w:sectPr>
      </w:pPr>
    </w:p>
    <w:p w14:paraId="1F974CEE" w14:textId="3F6C84C6" w:rsidR="009B028A" w:rsidRPr="00F06DE2" w:rsidRDefault="00D35E51">
      <w:pPr>
        <w:pStyle w:val="ES-Titre2"/>
        <w:pageBreakBefore w:val="0"/>
        <w:rPr>
          <w:rFonts w:ascii="Times New Roman" w:hAnsi="Times New Roman" w:cs="Times New Roman"/>
          <w:b w:val="0"/>
          <w:lang w:val="ru-RU"/>
        </w:rPr>
      </w:pPr>
      <w:bookmarkStart w:id="306" w:name="_Toc535827597"/>
      <w:bookmarkStart w:id="307" w:name="_Toc491854156"/>
      <w:r w:rsidRPr="00F06DE2">
        <w:rPr>
          <w:rFonts w:ascii="Times New Roman" w:hAnsi="Times New Roman" w:cs="Times New Roman"/>
          <w:lang w:val="ru-RU"/>
        </w:rPr>
        <w:lastRenderedPageBreak/>
        <w:t>Глава 18</w:t>
      </w:r>
      <w:r w:rsidRPr="00F06DE2">
        <w:rPr>
          <w:rFonts w:ascii="Times New Roman" w:hAnsi="Times New Roman" w:cs="Times New Roman"/>
          <w:lang w:val="ru-RU"/>
        </w:rPr>
        <w:br/>
        <w:t>Бордови станции за пречистване на отпадъчни води</w:t>
      </w:r>
      <w:bookmarkEnd w:id="306"/>
      <w:bookmarkEnd w:id="307"/>
    </w:p>
    <w:p w14:paraId="612EDE90" w14:textId="77777777" w:rsidR="00271FA2" w:rsidRPr="00F06DE2" w:rsidRDefault="00D35E51">
      <w:pPr>
        <w:pStyle w:val="ES-Titre3"/>
        <w:spacing w:line="240" w:lineRule="atLeast"/>
        <w:rPr>
          <w:rFonts w:ascii="Times New Roman" w:hAnsi="Times New Roman" w:cs="Times New Roman"/>
          <w:sz w:val="24"/>
          <w:szCs w:val="24"/>
          <w:lang w:val="ru-RU"/>
        </w:rPr>
      </w:pPr>
      <w:bookmarkStart w:id="308" w:name="_Toc535827598"/>
      <w:bookmarkStart w:id="309" w:name="_Toc491854157"/>
      <w:r w:rsidRPr="00F06DE2">
        <w:rPr>
          <w:rFonts w:ascii="Times New Roman" w:hAnsi="Times New Roman" w:cs="Times New Roman"/>
          <w:sz w:val="24"/>
          <w:szCs w:val="24"/>
          <w:lang w:val="ru-RU"/>
        </w:rPr>
        <w:t>Член 18.00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Определения</w:t>
      </w:r>
      <w:bookmarkEnd w:id="308"/>
      <w:bookmarkEnd w:id="309"/>
    </w:p>
    <w:p w14:paraId="5E1D13D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 настоящата глава:</w:t>
      </w:r>
    </w:p>
    <w:p w14:paraId="1C8F6E5C" w14:textId="097FAAF7" w:rsidR="00271FA2" w:rsidRPr="00F06DE2" w:rsidRDefault="00143453" w:rsidP="00143453">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Pr="00F06DE2">
        <w:rPr>
          <w:rFonts w:ascii="Times New Roman" w:hAnsi="Times New Roman" w:cs="Times New Roman"/>
          <w:lang w:val="ru-RU"/>
        </w:rPr>
        <w:tab/>
      </w:r>
      <w:r w:rsidR="00D35E51" w:rsidRPr="00F06DE2">
        <w:rPr>
          <w:rFonts w:ascii="Times New Roman" w:hAnsi="Times New Roman" w:cs="Times New Roman"/>
          <w:lang w:val="ru-RU"/>
        </w:rPr>
        <w:t xml:space="preserve">„бордова станция за пречистване на отпадъчни води“: </w:t>
      </w:r>
      <w:r w:rsidR="009E4268" w:rsidRPr="00F06DE2">
        <w:rPr>
          <w:rFonts w:ascii="Times New Roman" w:hAnsi="Times New Roman" w:cs="Times New Roman"/>
          <w:lang w:val="ru-RU"/>
        </w:rPr>
        <w:t xml:space="preserve"> пречиствателна станция за отпадъчни води с компактен дизайн за пречистване на количествата битови отпадъчни води, събиращи се на борда; </w:t>
      </w:r>
    </w:p>
    <w:p w14:paraId="458982EF" w14:textId="2351E945"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„одобрение на типа“: решението, с което компетентният орган потвърждава, че бордова станция за пречистване на отпадъчни води отговаря на техническите изисквания на Глава 18;</w:t>
      </w:r>
    </w:p>
    <w:p w14:paraId="4770D78D" w14:textId="3B9006F7"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„специал</w:t>
      </w:r>
      <w:r w:rsidR="00A026D3" w:rsidRPr="00F06DE2">
        <w:rPr>
          <w:rFonts w:ascii="Times New Roman" w:hAnsi="Times New Roman" w:cs="Times New Roman"/>
          <w:lang w:val="ru-RU"/>
        </w:rPr>
        <w:t>е</w:t>
      </w:r>
      <w:r w:rsidR="00D35E51" w:rsidRPr="00F06DE2">
        <w:rPr>
          <w:rFonts w:ascii="Times New Roman" w:hAnsi="Times New Roman" w:cs="Times New Roman"/>
          <w:lang w:val="ru-RU"/>
        </w:rPr>
        <w:t xml:space="preserve">н </w:t>
      </w:r>
      <w:r w:rsidR="00A026D3" w:rsidRPr="00F06DE2">
        <w:rPr>
          <w:rFonts w:ascii="Times New Roman" w:hAnsi="Times New Roman" w:cs="Times New Roman"/>
          <w:lang w:val="ru-RU"/>
        </w:rPr>
        <w:t>тест</w:t>
      </w:r>
      <w:r w:rsidR="00D35E51" w:rsidRPr="00F06DE2">
        <w:rPr>
          <w:rFonts w:ascii="Times New Roman" w:hAnsi="Times New Roman" w:cs="Times New Roman"/>
          <w:lang w:val="ru-RU"/>
        </w:rPr>
        <w:t xml:space="preserve">“: </w:t>
      </w:r>
      <w:r w:rsidR="007A5A0C" w:rsidRPr="00F06DE2">
        <w:rPr>
          <w:rFonts w:ascii="Times New Roman" w:hAnsi="Times New Roman" w:cs="Times New Roman"/>
          <w:lang w:val="ru-RU"/>
        </w:rPr>
        <w:t>процедурата, проведена в съответствие с член 18.10, чрез която компетентният орган гарантира, че бордовата станция за пречистване на отпадъчни води, експлоатирана в плавателно средство, отговаря на изискванията на глава 18</w:t>
      </w:r>
      <w:r w:rsidRPr="00F06DE2">
        <w:rPr>
          <w:rFonts w:ascii="Times New Roman" w:hAnsi="Times New Roman" w:cs="Times New Roman"/>
        </w:rPr>
        <w:t>;</w:t>
      </w:r>
    </w:p>
    <w:p w14:paraId="4F0A1610" w14:textId="14FD05E0"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„производител“: лицето или организацията, които са отговорни пред компетентния орган за всички аспекти на процедурата за одобряване на типа и за гарантиране на съответствието на производството. Не е нужно това лице или организация да участва във всички етапи на изграждането на бордовата станция за пречистване на отпадъчни води. Ако бордовата станция за пречистване на отпадъчни води бъде преустроена чрез промени или модернизиране след първоначалното си произвеждане, за да бъде използвана на плавателно средство за целите на Глава 18, лицето или организацията, направили промените или модернизирането, се считат за производител;</w:t>
      </w:r>
    </w:p>
    <w:p w14:paraId="50FD357C" w14:textId="1F5B1111"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„информационен документ“: документът, определен в Приложение</w:t>
      </w:r>
      <w:r w:rsidR="00D35E51" w:rsidRPr="00F06DE2">
        <w:rPr>
          <w:rFonts w:ascii="Times New Roman" w:hAnsi="Times New Roman" w:cs="Times New Roman"/>
        </w:rPr>
        <w:t> </w:t>
      </w:r>
      <w:r w:rsidR="00D35E51" w:rsidRPr="00F06DE2">
        <w:rPr>
          <w:rFonts w:ascii="Times New Roman" w:hAnsi="Times New Roman" w:cs="Times New Roman"/>
          <w:lang w:val="ru-RU"/>
        </w:rPr>
        <w:t>7, раздел</w:t>
      </w:r>
      <w:r w:rsidR="00D35E51" w:rsidRPr="00F06DE2">
        <w:rPr>
          <w:rFonts w:ascii="Times New Roman" w:hAnsi="Times New Roman" w:cs="Times New Roman"/>
        </w:rPr>
        <w:t> II</w:t>
      </w:r>
      <w:r w:rsidR="00D35E51" w:rsidRPr="00F06DE2">
        <w:rPr>
          <w:rFonts w:ascii="Times New Roman" w:hAnsi="Times New Roman" w:cs="Times New Roman"/>
          <w:lang w:val="ru-RU"/>
        </w:rPr>
        <w:t>, в който е поместена информацията, която трябва да бъде представена от заявителя;</w:t>
      </w:r>
    </w:p>
    <w:p w14:paraId="1CF9AF70" w14:textId="2784E302"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„информационно досие“: пълен набор от данни, чертежи, снимки или други документи, предоставени от заявителя на техническата служба или на компетентния орган, както е указано в информационния документ;</w:t>
      </w:r>
    </w:p>
    <w:p w14:paraId="31CC29EA" w14:textId="152469C7"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„информационен пакет“: информационното досие плюс всички протоколи от изпитвания или други документи, които техническата служба или компетентният орган са приложили към информационното досие при изпълнение на функциите си;</w:t>
      </w:r>
    </w:p>
    <w:p w14:paraId="0070C1C4" w14:textId="0A107DC1"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„удостоверение за одобрение на типа“ е документ, изготвен в съответствие с Приложение</w:t>
      </w:r>
      <w:r w:rsidR="00D35E51" w:rsidRPr="00F06DE2">
        <w:rPr>
          <w:rFonts w:ascii="Times New Roman" w:hAnsi="Times New Roman" w:cs="Times New Roman"/>
        </w:rPr>
        <w:t> </w:t>
      </w:r>
      <w:r w:rsidR="00D35E51" w:rsidRPr="00F06DE2">
        <w:rPr>
          <w:rFonts w:ascii="Times New Roman" w:hAnsi="Times New Roman" w:cs="Times New Roman"/>
          <w:lang w:val="ru-RU"/>
        </w:rPr>
        <w:t>7, раздел</w:t>
      </w:r>
      <w:r w:rsidR="00D35E51" w:rsidRPr="00F06DE2">
        <w:rPr>
          <w:rFonts w:ascii="Times New Roman" w:hAnsi="Times New Roman" w:cs="Times New Roman"/>
        </w:rPr>
        <w:t> III</w:t>
      </w:r>
      <w:r w:rsidR="00D35E51" w:rsidRPr="00F06DE2">
        <w:rPr>
          <w:rFonts w:ascii="Times New Roman" w:hAnsi="Times New Roman" w:cs="Times New Roman"/>
          <w:lang w:val="ru-RU"/>
        </w:rPr>
        <w:t>, с който компетентният орган удостоверява одобрението на типа;</w:t>
      </w:r>
    </w:p>
    <w:p w14:paraId="00C621D2" w14:textId="012DC277"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9C0CA2" w:rsidRPr="00F06DE2">
        <w:rPr>
          <w:rFonts w:ascii="Times New Roman" w:hAnsi="Times New Roman" w:cs="Times New Roman"/>
          <w:lang w:val="ru-RU"/>
        </w:rPr>
        <w:t xml:space="preserve">„ръководство </w:t>
      </w:r>
      <w:r w:rsidR="00E72EF3" w:rsidRPr="00F06DE2">
        <w:rPr>
          <w:rFonts w:ascii="Times New Roman" w:hAnsi="Times New Roman" w:cs="Times New Roman"/>
          <w:lang w:val="ru-RU"/>
        </w:rPr>
        <w:t xml:space="preserve"> за</w:t>
      </w:r>
      <w:r w:rsidR="009C0CA2" w:rsidRPr="00F06DE2">
        <w:rPr>
          <w:rFonts w:ascii="Times New Roman" w:hAnsi="Times New Roman" w:cs="Times New Roman"/>
          <w:lang w:val="ru-RU"/>
        </w:rPr>
        <w:t xml:space="preserve"> експлоатацията“: ръководството, изготвено за бордовата пречиствателна станция за отпадъчни води в съответствие с член 18.11, </w:t>
      </w:r>
      <w:r w:rsidR="00387C7B" w:rsidRPr="00F06DE2">
        <w:rPr>
          <w:rFonts w:ascii="Times New Roman" w:hAnsi="Times New Roman" w:cs="Times New Roman"/>
          <w:lang w:val="ru-RU"/>
        </w:rPr>
        <w:t>показващ</w:t>
      </w:r>
      <w:r w:rsidR="009C0CA2" w:rsidRPr="00F06DE2">
        <w:rPr>
          <w:rFonts w:ascii="Times New Roman" w:hAnsi="Times New Roman" w:cs="Times New Roman"/>
          <w:lang w:val="ru-RU"/>
        </w:rPr>
        <w:t xml:space="preserve"> всички компоненти на бордовата пречиствателна станция за отпадъчни води и съдържа инструкции за експлоатацията и поддръжката на бордовата пречиства</w:t>
      </w:r>
      <w:r w:rsidRPr="00F06DE2">
        <w:rPr>
          <w:rFonts w:ascii="Times New Roman" w:hAnsi="Times New Roman" w:cs="Times New Roman"/>
          <w:lang w:val="ru-RU"/>
        </w:rPr>
        <w:t>телна станция за отпадъчни води;</w:t>
      </w:r>
    </w:p>
    <w:p w14:paraId="4C0C2FCF" w14:textId="519D345F"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„ръководство на производителя за проверка на компонентите и параметрите, свързани с пречистването на отпадъчни води“: документ, съставен в съответствие с член</w:t>
      </w:r>
      <w:r w:rsidR="00D35E51" w:rsidRPr="00F06DE2">
        <w:rPr>
          <w:rFonts w:ascii="Times New Roman" w:hAnsi="Times New Roman" w:cs="Times New Roman"/>
        </w:rPr>
        <w:t> </w:t>
      </w:r>
      <w:r w:rsidR="00D35E51" w:rsidRPr="00F06DE2">
        <w:rPr>
          <w:rFonts w:ascii="Times New Roman" w:hAnsi="Times New Roman" w:cs="Times New Roman"/>
          <w:lang w:val="ru-RU"/>
        </w:rPr>
        <w:t>18</w:t>
      </w:r>
      <w:r w:rsidR="002926BD" w:rsidRPr="00F06DE2">
        <w:rPr>
          <w:rFonts w:ascii="Times New Roman" w:hAnsi="Times New Roman" w:cs="Times New Roman"/>
          <w:lang w:val="ru-RU"/>
        </w:rPr>
        <w:t>10</w:t>
      </w:r>
      <w:r w:rsidR="00D35E51" w:rsidRPr="00F06DE2">
        <w:rPr>
          <w:rFonts w:ascii="Times New Roman" w:hAnsi="Times New Roman" w:cs="Times New Roman"/>
          <w:lang w:val="ru-RU"/>
        </w:rPr>
        <w:t xml:space="preserve">, </w:t>
      </w:r>
      <w:r w:rsidR="00E72EF3" w:rsidRPr="00F06DE2">
        <w:rPr>
          <w:rFonts w:ascii="Times New Roman" w:hAnsi="Times New Roman" w:cs="Times New Roman"/>
          <w:lang w:val="ru-RU"/>
        </w:rPr>
        <w:t>т.</w:t>
      </w:r>
      <w:r w:rsidR="00D35E51" w:rsidRPr="00F06DE2">
        <w:rPr>
          <w:rFonts w:ascii="Times New Roman" w:hAnsi="Times New Roman" w:cs="Times New Roman"/>
          <w:lang w:val="ru-RU"/>
        </w:rPr>
        <w:t xml:space="preserve">4 </w:t>
      </w:r>
      <w:r w:rsidR="002926BD" w:rsidRPr="00F06DE2">
        <w:rPr>
          <w:rFonts w:ascii="Times New Roman" w:hAnsi="Times New Roman" w:cs="Times New Roman"/>
          <w:lang w:val="ru-RU"/>
        </w:rPr>
        <w:t xml:space="preserve"> </w:t>
      </w:r>
      <w:r w:rsidR="00D35E51" w:rsidRPr="00F06DE2">
        <w:rPr>
          <w:rFonts w:ascii="Times New Roman" w:hAnsi="Times New Roman" w:cs="Times New Roman"/>
          <w:lang w:val="ru-RU"/>
        </w:rPr>
        <w:t xml:space="preserve">за целите на извършването на </w:t>
      </w:r>
      <w:r w:rsidR="0053320E" w:rsidRPr="00F06DE2">
        <w:rPr>
          <w:rFonts w:ascii="Times New Roman" w:hAnsi="Times New Roman" w:cs="Times New Roman"/>
          <w:lang w:val="ru-RU"/>
        </w:rPr>
        <w:t xml:space="preserve"> </w:t>
      </w:r>
      <w:r w:rsidR="00A026D3" w:rsidRPr="00F06DE2">
        <w:rPr>
          <w:rFonts w:ascii="Times New Roman" w:hAnsi="Times New Roman" w:cs="Times New Roman"/>
          <w:lang w:val="ru-RU"/>
        </w:rPr>
        <w:t>специален тест</w:t>
      </w:r>
      <w:r w:rsidR="00D35E51" w:rsidRPr="00F06DE2">
        <w:rPr>
          <w:rFonts w:ascii="Times New Roman" w:hAnsi="Times New Roman" w:cs="Times New Roman"/>
          <w:lang w:val="ru-RU"/>
        </w:rPr>
        <w:t>;</w:t>
      </w:r>
    </w:p>
    <w:p w14:paraId="0A92F839" w14:textId="0576A766"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 xml:space="preserve">„битови отпадъчни води“: </w:t>
      </w:r>
      <w:r w:rsidR="008A5318" w:rsidRPr="00F06DE2">
        <w:rPr>
          <w:rFonts w:ascii="Times New Roman" w:hAnsi="Times New Roman" w:cs="Times New Roman"/>
          <w:lang w:val="ru-RU"/>
        </w:rPr>
        <w:t xml:space="preserve">отпадъчни води от камбузи, трапезарии, тоалетни и перални и води, съдържащи фекални вещества </w:t>
      </w:r>
    </w:p>
    <w:p w14:paraId="434949AB" w14:textId="6B9CEF4D" w:rsidR="00271FA2" w:rsidRPr="00F06DE2" w:rsidRDefault="001D6C32" w:rsidP="001D6C32">
      <w:pPr>
        <w:pStyle w:val="ESch"/>
        <w:numPr>
          <w:ilvl w:val="0"/>
          <w:numId w:val="21"/>
        </w:numPr>
        <w:jc w:val="both"/>
        <w:rPr>
          <w:rFonts w:ascii="Times New Roman" w:hAnsi="Times New Roman" w:cs="Times New Roman"/>
          <w:lang w:val="ru-RU"/>
        </w:rPr>
      </w:pPr>
      <w:r w:rsidRPr="00F06DE2">
        <w:rPr>
          <w:rFonts w:ascii="Times New Roman" w:hAnsi="Times New Roman" w:cs="Times New Roman"/>
          <w:lang w:val="ru-RU"/>
        </w:rPr>
        <w:t xml:space="preserve">   </w:t>
      </w:r>
      <w:r w:rsidR="00D35E51" w:rsidRPr="00F06DE2">
        <w:rPr>
          <w:rFonts w:ascii="Times New Roman" w:hAnsi="Times New Roman" w:cs="Times New Roman"/>
          <w:lang w:val="ru-RU"/>
        </w:rPr>
        <w:t xml:space="preserve">„утайка от отпадъчни води“: остатъци, натрупвани от експлоатацията на станцията за пречистване на отпадъчни води на борда на </w:t>
      </w:r>
      <w:r w:rsidR="0070255D" w:rsidRPr="00F06DE2">
        <w:rPr>
          <w:rFonts w:ascii="Times New Roman" w:hAnsi="Times New Roman" w:cs="Times New Roman"/>
          <w:lang w:val="ru-RU"/>
        </w:rPr>
        <w:t>плавателния съд</w:t>
      </w:r>
      <w:r w:rsidR="00D35E51" w:rsidRPr="00F06DE2">
        <w:rPr>
          <w:rFonts w:ascii="Times New Roman" w:hAnsi="Times New Roman" w:cs="Times New Roman"/>
          <w:lang w:val="ru-RU"/>
        </w:rPr>
        <w:t>.</w:t>
      </w:r>
    </w:p>
    <w:p w14:paraId="64170864" w14:textId="38027221" w:rsidR="009B5E89" w:rsidRPr="00F06DE2" w:rsidRDefault="009B5E89" w:rsidP="001D6C32">
      <w:pPr>
        <w:pStyle w:val="ESch"/>
        <w:ind w:left="0" w:firstLine="0"/>
        <w:jc w:val="both"/>
        <w:rPr>
          <w:rFonts w:ascii="Times New Roman" w:hAnsi="Times New Roman" w:cs="Times New Roman"/>
          <w:lang w:val="ru-RU"/>
        </w:rPr>
      </w:pPr>
    </w:p>
    <w:p w14:paraId="62A9C19D" w14:textId="77777777" w:rsidR="00271FA2" w:rsidRPr="00F06DE2" w:rsidRDefault="00D35E51">
      <w:pPr>
        <w:pStyle w:val="ES-Titre3"/>
        <w:spacing w:line="240" w:lineRule="atLeast"/>
        <w:rPr>
          <w:rFonts w:ascii="Times New Roman" w:hAnsi="Times New Roman" w:cs="Times New Roman"/>
          <w:sz w:val="24"/>
          <w:szCs w:val="24"/>
          <w:lang w:val="ru-RU"/>
        </w:rPr>
      </w:pPr>
      <w:bookmarkStart w:id="310" w:name="_Toc535827599"/>
      <w:bookmarkStart w:id="311" w:name="_Toc491854158"/>
      <w:r w:rsidRPr="00F06DE2">
        <w:rPr>
          <w:rFonts w:ascii="Times New Roman" w:hAnsi="Times New Roman" w:cs="Times New Roman"/>
          <w:sz w:val="24"/>
          <w:szCs w:val="24"/>
          <w:lang w:val="ru-RU"/>
        </w:rPr>
        <w:t>Член 18.01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разпоредби</w:t>
      </w:r>
      <w:bookmarkEnd w:id="310"/>
      <w:bookmarkEnd w:id="311"/>
    </w:p>
    <w:p w14:paraId="25758359" w14:textId="77777777" w:rsidR="00271FA2" w:rsidRPr="00F06DE2" w:rsidRDefault="00D35E51" w:rsidP="001D6C32">
      <w:pPr>
        <w:pStyle w:val="ESch"/>
        <w:jc w:val="both"/>
        <w:rPr>
          <w:rFonts w:ascii="Times New Roman" w:hAnsi="Times New Roman" w:cs="Times New Roman"/>
          <w:lang w:val="ru-RU"/>
        </w:rPr>
      </w:pPr>
      <w:r w:rsidRPr="00F06DE2">
        <w:rPr>
          <w:rFonts w:ascii="Times New Roman" w:hAnsi="Times New Roman" w:cs="Times New Roman"/>
          <w:lang w:val="ru-RU"/>
        </w:rPr>
        <w:lastRenderedPageBreak/>
        <w:t>1.</w:t>
      </w:r>
      <w:r w:rsidRPr="00F06DE2">
        <w:rPr>
          <w:rFonts w:ascii="Times New Roman" w:hAnsi="Times New Roman" w:cs="Times New Roman"/>
          <w:lang w:val="ru-RU"/>
        </w:rPr>
        <w:tab/>
        <w:t>Настоящата глава се прилага за всички бордови станции за пречистване на отпадъчни води, които са монтирани на борда на плавателни средства.</w:t>
      </w:r>
    </w:p>
    <w:p w14:paraId="283CA29C" w14:textId="77777777" w:rsidR="00271FA2" w:rsidRPr="00F06DE2" w:rsidRDefault="00D35E51" w:rsidP="001D6C32">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r>
      <w:r w:rsidRPr="00F06DE2">
        <w:rPr>
          <w:rFonts w:ascii="Times New Roman" w:hAnsi="Times New Roman" w:cs="Times New Roman"/>
        </w:rPr>
        <w:t>a</w:t>
      </w:r>
      <w:r w:rsidRPr="00F06DE2">
        <w:rPr>
          <w:rFonts w:ascii="Times New Roman" w:hAnsi="Times New Roman" w:cs="Times New Roman"/>
          <w:lang w:val="ru-RU"/>
        </w:rPr>
        <w:t>) Бордовите пречиствателни станции за отпадъчни води трябва да отговарят на следните гранични стойности по време на типовото изпитване:</w:t>
      </w:r>
    </w:p>
    <w:p w14:paraId="3936F3C5" w14:textId="0C3E3FEB" w:rsidR="00271FA2" w:rsidRPr="00F06DE2" w:rsidRDefault="00D35E51">
      <w:pPr>
        <w:spacing w:line="240" w:lineRule="atLeast"/>
        <w:ind w:right="60"/>
        <w:jc w:val="both"/>
        <w:rPr>
          <w:rFonts w:ascii="Times New Roman" w:hAnsi="Times New Roman" w:cs="Times New Roman"/>
          <w:lang w:val="ru-RU"/>
        </w:rPr>
      </w:pPr>
      <w:r w:rsidRPr="00F06DE2">
        <w:rPr>
          <w:rFonts w:ascii="Times New Roman" w:hAnsi="Times New Roman" w:cs="Times New Roman"/>
          <w:lang w:val="ru-RU"/>
        </w:rPr>
        <w:t xml:space="preserve">Таблица </w:t>
      </w:r>
      <w:r w:rsidR="002F5B9C" w:rsidRPr="00F06DE2">
        <w:rPr>
          <w:rFonts w:ascii="Times New Roman" w:hAnsi="Times New Roman" w:cs="Times New Roman"/>
        </w:rPr>
        <w:fldChar w:fldCharType="begin"/>
      </w:r>
      <w:r w:rsidR="002F5B9C" w:rsidRPr="00F06DE2">
        <w:rPr>
          <w:rFonts w:ascii="Times New Roman" w:hAnsi="Times New Roman" w:cs="Times New Roman"/>
          <w:lang w:val="ru-RU"/>
        </w:rPr>
        <w:instrText xml:space="preserve"> </w:instrText>
      </w:r>
      <w:r w:rsidR="002F5B9C" w:rsidRPr="00F06DE2">
        <w:rPr>
          <w:rFonts w:ascii="Times New Roman" w:hAnsi="Times New Roman" w:cs="Times New Roman"/>
        </w:rPr>
        <w:instrText>SEQ</w:instrText>
      </w:r>
      <w:r w:rsidR="002F5B9C" w:rsidRPr="00F06DE2">
        <w:rPr>
          <w:rFonts w:ascii="Times New Roman" w:hAnsi="Times New Roman" w:cs="Times New Roman"/>
          <w:lang w:val="ru-RU"/>
        </w:rPr>
        <w:instrText xml:space="preserve"> </w:instrText>
      </w:r>
      <w:r w:rsidR="002F5B9C" w:rsidRPr="00F06DE2">
        <w:rPr>
          <w:rFonts w:ascii="Times New Roman" w:hAnsi="Times New Roman" w:cs="Times New Roman"/>
        </w:rPr>
        <w:instrText>Tabelle</w:instrText>
      </w:r>
      <w:r w:rsidR="002F5B9C" w:rsidRPr="00F06DE2">
        <w:rPr>
          <w:rFonts w:ascii="Times New Roman" w:hAnsi="Times New Roman" w:cs="Times New Roman"/>
          <w:lang w:val="ru-RU"/>
        </w:rPr>
        <w:instrText xml:space="preserve"> \* </w:instrText>
      </w:r>
      <w:r w:rsidR="002F5B9C" w:rsidRPr="00F06DE2">
        <w:rPr>
          <w:rFonts w:ascii="Times New Roman" w:hAnsi="Times New Roman" w:cs="Times New Roman"/>
        </w:rPr>
        <w:instrText>ARABIC</w:instrText>
      </w:r>
      <w:r w:rsidR="002F5B9C" w:rsidRPr="00F06DE2">
        <w:rPr>
          <w:rFonts w:ascii="Times New Roman" w:hAnsi="Times New Roman" w:cs="Times New Roman"/>
          <w:lang w:val="ru-RU"/>
        </w:rPr>
        <w:instrText xml:space="preserve"> </w:instrText>
      </w:r>
      <w:r w:rsidR="002F5B9C" w:rsidRPr="00F06DE2">
        <w:rPr>
          <w:rFonts w:ascii="Times New Roman" w:hAnsi="Times New Roman" w:cs="Times New Roman"/>
        </w:rPr>
        <w:fldChar w:fldCharType="separate"/>
      </w:r>
      <w:r w:rsidR="00EE7B3C" w:rsidRPr="00F06DE2">
        <w:rPr>
          <w:rFonts w:ascii="Times New Roman" w:hAnsi="Times New Roman" w:cs="Times New Roman"/>
          <w:noProof/>
        </w:rPr>
        <w:t>1</w:t>
      </w:r>
      <w:r w:rsidR="002F5B9C" w:rsidRPr="00F06DE2">
        <w:rPr>
          <w:rFonts w:ascii="Times New Roman" w:hAnsi="Times New Roman" w:cs="Times New Roman"/>
          <w:noProof/>
        </w:rPr>
        <w:fldChar w:fldCharType="end"/>
      </w:r>
      <w:r w:rsidRPr="00F06DE2">
        <w:rPr>
          <w:rFonts w:ascii="Times New Roman" w:hAnsi="Times New Roman" w:cs="Times New Roman"/>
          <w:lang w:val="ru-RU"/>
        </w:rPr>
        <w:t>: Гранични стойности, които трябва да се отчетат на изхода на бордовата пречиствателна станция (при тест) по време на типовото изпитване</w:t>
      </w:r>
    </w:p>
    <w:tbl>
      <w:tblPr>
        <w:tblStyle w:val="TableGrid0"/>
        <w:tblW w:w="9067" w:type="dxa"/>
        <w:tblInd w:w="0" w:type="dxa"/>
        <w:tblCellMar>
          <w:top w:w="63" w:type="dxa"/>
          <w:left w:w="108" w:type="dxa"/>
          <w:right w:w="115" w:type="dxa"/>
        </w:tblCellMar>
        <w:tblLook w:val="04A0" w:firstRow="1" w:lastRow="0" w:firstColumn="1" w:lastColumn="0" w:noHBand="0" w:noVBand="1"/>
      </w:tblPr>
      <w:tblGrid>
        <w:gridCol w:w="3630"/>
        <w:gridCol w:w="1589"/>
        <w:gridCol w:w="3848"/>
      </w:tblGrid>
      <w:tr w:rsidR="00271FA2" w:rsidRPr="00F06DE2" w14:paraId="7481758A" w14:textId="77777777">
        <w:trPr>
          <w:trHeight w:val="530"/>
        </w:trPr>
        <w:tc>
          <w:tcPr>
            <w:tcW w:w="3630" w:type="dxa"/>
            <w:tcBorders>
              <w:top w:val="single" w:sz="4" w:space="0" w:color="000000"/>
              <w:left w:val="single" w:sz="4" w:space="0" w:color="000000"/>
              <w:bottom w:val="single" w:sz="4" w:space="0" w:color="000000"/>
              <w:right w:val="single" w:sz="4" w:space="0" w:color="000000"/>
            </w:tcBorders>
            <w:vAlign w:val="center"/>
          </w:tcPr>
          <w:p w14:paraId="0AC29C83" w14:textId="56ABD684" w:rsidR="00271FA2" w:rsidRPr="00F06DE2" w:rsidRDefault="00D35E51" w:rsidP="00B07370">
            <w:pPr>
              <w:spacing w:line="240" w:lineRule="atLeast"/>
              <w:jc w:val="both"/>
              <w:rPr>
                <w:rFonts w:ascii="Times New Roman" w:hAnsi="Times New Roman" w:cs="Times New Roman"/>
              </w:rPr>
            </w:pPr>
            <w:r w:rsidRPr="00F06DE2">
              <w:rPr>
                <w:rFonts w:ascii="Times New Roman" w:hAnsi="Times New Roman" w:cs="Times New Roman"/>
              </w:rPr>
              <w:t>Параметър</w:t>
            </w:r>
          </w:p>
        </w:tc>
        <w:tc>
          <w:tcPr>
            <w:tcW w:w="1589" w:type="dxa"/>
            <w:tcBorders>
              <w:top w:val="single" w:sz="4" w:space="0" w:color="000000"/>
              <w:left w:val="single" w:sz="4" w:space="0" w:color="000000"/>
              <w:bottom w:val="single" w:sz="4" w:space="0" w:color="000000"/>
              <w:right w:val="single" w:sz="4" w:space="0" w:color="000000"/>
            </w:tcBorders>
          </w:tcPr>
          <w:p w14:paraId="66FB118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Концентрация (етап II)</w:t>
            </w:r>
          </w:p>
        </w:tc>
        <w:tc>
          <w:tcPr>
            <w:tcW w:w="3848" w:type="dxa"/>
            <w:tcBorders>
              <w:top w:val="single" w:sz="4" w:space="0" w:color="000000"/>
              <w:left w:val="single" w:sz="4" w:space="0" w:color="000000"/>
              <w:bottom w:val="single" w:sz="4" w:space="0" w:color="000000"/>
              <w:right w:val="single" w:sz="4" w:space="0" w:color="000000"/>
            </w:tcBorders>
            <w:vAlign w:val="center"/>
          </w:tcPr>
          <w:p w14:paraId="65E3F02A" w14:textId="40B4CA64" w:rsidR="00271FA2" w:rsidRPr="00F06DE2" w:rsidRDefault="00D35E51" w:rsidP="00B07370">
            <w:pPr>
              <w:spacing w:line="240" w:lineRule="atLeast"/>
              <w:jc w:val="both"/>
              <w:rPr>
                <w:rFonts w:ascii="Times New Roman" w:hAnsi="Times New Roman" w:cs="Times New Roman"/>
              </w:rPr>
            </w:pPr>
            <w:r w:rsidRPr="00F06DE2">
              <w:rPr>
                <w:rFonts w:ascii="Times New Roman" w:hAnsi="Times New Roman" w:cs="Times New Roman"/>
              </w:rPr>
              <w:t>Проба</w:t>
            </w:r>
          </w:p>
        </w:tc>
      </w:tr>
      <w:tr w:rsidR="00271FA2" w:rsidRPr="00F06DE2" w14:paraId="5BD793D7" w14:textId="77777777">
        <w:trPr>
          <w:trHeight w:val="530"/>
        </w:trPr>
        <w:tc>
          <w:tcPr>
            <w:tcW w:w="3630" w:type="dxa"/>
            <w:vMerge w:val="restart"/>
            <w:tcBorders>
              <w:top w:val="single" w:sz="4" w:space="0" w:color="000000"/>
              <w:left w:val="single" w:sz="4" w:space="0" w:color="000000"/>
              <w:bottom w:val="single" w:sz="4" w:space="0" w:color="000000"/>
              <w:right w:val="single" w:sz="4" w:space="0" w:color="000000"/>
            </w:tcBorders>
            <w:vAlign w:val="center"/>
          </w:tcPr>
          <w:p w14:paraId="258719C2" w14:textId="77777777" w:rsidR="00271FA2" w:rsidRPr="00F06DE2" w:rsidRDefault="00D35E51" w:rsidP="00B07370">
            <w:pPr>
              <w:spacing w:line="240" w:lineRule="atLeast"/>
              <w:jc w:val="both"/>
              <w:rPr>
                <w:rFonts w:ascii="Times New Roman" w:hAnsi="Times New Roman" w:cs="Times New Roman"/>
                <w:lang w:val="ru-RU"/>
              </w:rPr>
            </w:pPr>
            <w:r w:rsidRPr="00F06DE2">
              <w:rPr>
                <w:rFonts w:ascii="Times New Roman" w:hAnsi="Times New Roman" w:cs="Times New Roman"/>
                <w:lang w:val="ru-RU"/>
              </w:rPr>
              <w:t>Биохимична потребност от кислород (</w:t>
            </w:r>
            <w:r w:rsidRPr="00F06DE2">
              <w:rPr>
                <w:rFonts w:ascii="Cambria Math" w:hAnsi="Cambria Math" w:cs="Cambria Math"/>
              </w:rPr>
              <w:t>𝐵𝑂𝐷</w:t>
            </w:r>
            <w:r w:rsidRPr="00F06DE2">
              <w:rPr>
                <w:rFonts w:ascii="Times New Roman" w:hAnsi="Times New Roman" w:cs="Times New Roman"/>
                <w:lang w:val="ru-RU"/>
              </w:rPr>
              <w:t xml:space="preserve">5) </w:t>
            </w:r>
            <w:r w:rsidRPr="00F06DE2">
              <w:rPr>
                <w:rFonts w:ascii="Times New Roman" w:hAnsi="Times New Roman" w:cs="Times New Roman"/>
              </w:rPr>
              <w:t>ISO</w:t>
            </w:r>
            <w:r w:rsidRPr="00F06DE2">
              <w:rPr>
                <w:rFonts w:ascii="Times New Roman" w:hAnsi="Times New Roman" w:cs="Times New Roman"/>
                <w:lang w:val="ru-RU"/>
              </w:rPr>
              <w:t xml:space="preserve"> 5815-1 : 2019 и 5815-2 : 2003</w:t>
            </w:r>
            <w:r w:rsidRPr="00F06DE2">
              <w:rPr>
                <w:rStyle w:val="FootnoteReference"/>
                <w:rFonts w:ascii="Times New Roman" w:hAnsi="Times New Roman" w:cs="Times New Roman"/>
              </w:rPr>
              <w:footnoteReference w:id="8"/>
            </w:r>
          </w:p>
          <w:p w14:paraId="4AF3ED3C" w14:textId="77777777" w:rsidR="00271FA2" w:rsidRPr="00F06DE2" w:rsidRDefault="00271FA2" w:rsidP="00B07370">
            <w:pPr>
              <w:spacing w:line="240" w:lineRule="atLeast"/>
              <w:jc w:val="both"/>
              <w:rPr>
                <w:rFonts w:ascii="Times New Roman" w:hAnsi="Times New Roman" w:cs="Times New Roman"/>
                <w:lang w:val="ru-RU"/>
              </w:rPr>
            </w:pPr>
          </w:p>
        </w:tc>
        <w:tc>
          <w:tcPr>
            <w:tcW w:w="1589" w:type="dxa"/>
            <w:tcBorders>
              <w:top w:val="single" w:sz="4" w:space="0" w:color="000000"/>
              <w:left w:val="single" w:sz="4" w:space="0" w:color="000000"/>
              <w:bottom w:val="single" w:sz="4" w:space="0" w:color="000000"/>
              <w:right w:val="single" w:sz="4" w:space="0" w:color="000000"/>
            </w:tcBorders>
            <w:vAlign w:val="center"/>
          </w:tcPr>
          <w:p w14:paraId="0AE0F4C3" w14:textId="77777777" w:rsidR="00271FA2" w:rsidRPr="00F06DE2" w:rsidRDefault="00D35E51" w:rsidP="00B07370">
            <w:pPr>
              <w:spacing w:line="240" w:lineRule="atLeast"/>
              <w:ind w:left="8"/>
              <w:jc w:val="both"/>
              <w:rPr>
                <w:rFonts w:ascii="Times New Roman" w:hAnsi="Times New Roman" w:cs="Times New Roman"/>
              </w:rPr>
            </w:pPr>
            <w:r w:rsidRPr="00F06DE2">
              <w:rPr>
                <w:rFonts w:ascii="Times New Roman" w:hAnsi="Times New Roman" w:cs="Times New Roman"/>
              </w:rPr>
              <w:t xml:space="preserve">20 mg/l </w:t>
            </w:r>
          </w:p>
        </w:tc>
        <w:tc>
          <w:tcPr>
            <w:tcW w:w="3848" w:type="dxa"/>
            <w:tcBorders>
              <w:top w:val="single" w:sz="4" w:space="0" w:color="000000"/>
              <w:left w:val="single" w:sz="4" w:space="0" w:color="000000"/>
              <w:bottom w:val="single" w:sz="4" w:space="0" w:color="000000"/>
              <w:right w:val="single" w:sz="4" w:space="0" w:color="000000"/>
            </w:tcBorders>
          </w:tcPr>
          <w:p w14:paraId="731A87C5" w14:textId="77777777" w:rsidR="00271FA2" w:rsidRPr="00F06DE2" w:rsidRDefault="00D35E51" w:rsidP="00B07370">
            <w:pPr>
              <w:spacing w:line="240" w:lineRule="atLeast"/>
              <w:jc w:val="both"/>
              <w:rPr>
                <w:rFonts w:ascii="Times New Roman" w:hAnsi="Times New Roman" w:cs="Times New Roman"/>
              </w:rPr>
            </w:pPr>
            <w:r w:rsidRPr="00F06DE2">
              <w:rPr>
                <w:rFonts w:ascii="Times New Roman" w:hAnsi="Times New Roman" w:cs="Times New Roman"/>
              </w:rPr>
              <w:t>24-часова съставна проба, хомогенизирана</w:t>
            </w:r>
          </w:p>
        </w:tc>
      </w:tr>
      <w:tr w:rsidR="00271FA2" w:rsidRPr="00F06DE2" w14:paraId="59790066" w14:textId="77777777">
        <w:trPr>
          <w:trHeight w:val="528"/>
        </w:trPr>
        <w:tc>
          <w:tcPr>
            <w:tcW w:w="0" w:type="auto"/>
            <w:vMerge/>
            <w:tcBorders>
              <w:top w:val="nil"/>
              <w:left w:val="single" w:sz="4" w:space="0" w:color="000000"/>
              <w:bottom w:val="single" w:sz="4" w:space="0" w:color="000000"/>
              <w:right w:val="single" w:sz="4" w:space="0" w:color="000000"/>
            </w:tcBorders>
          </w:tcPr>
          <w:p w14:paraId="784F81EF" w14:textId="77777777" w:rsidR="00271FA2" w:rsidRPr="00F06DE2" w:rsidRDefault="00271FA2">
            <w:pPr>
              <w:spacing w:line="240" w:lineRule="atLeast"/>
              <w:jc w:val="both"/>
              <w:rPr>
                <w:rFonts w:ascii="Times New Roman" w:hAnsi="Times New Roman" w:cs="Times New Roman"/>
              </w:rPr>
            </w:pPr>
          </w:p>
        </w:tc>
        <w:tc>
          <w:tcPr>
            <w:tcW w:w="1589" w:type="dxa"/>
            <w:tcBorders>
              <w:top w:val="single" w:sz="4" w:space="0" w:color="000000"/>
              <w:left w:val="single" w:sz="4" w:space="0" w:color="000000"/>
              <w:bottom w:val="single" w:sz="4" w:space="0" w:color="000000"/>
              <w:right w:val="single" w:sz="4" w:space="0" w:color="000000"/>
            </w:tcBorders>
            <w:vAlign w:val="center"/>
          </w:tcPr>
          <w:p w14:paraId="1D389E12" w14:textId="77777777" w:rsidR="00271FA2" w:rsidRPr="00F06DE2" w:rsidRDefault="00D35E51">
            <w:pPr>
              <w:spacing w:line="240" w:lineRule="atLeast"/>
              <w:ind w:left="8"/>
              <w:jc w:val="both"/>
              <w:rPr>
                <w:rFonts w:ascii="Times New Roman" w:hAnsi="Times New Roman" w:cs="Times New Roman"/>
              </w:rPr>
            </w:pPr>
            <w:r w:rsidRPr="00F06DE2">
              <w:rPr>
                <w:rFonts w:ascii="Times New Roman" w:hAnsi="Times New Roman" w:cs="Times New Roman"/>
              </w:rPr>
              <w:t xml:space="preserve">25 mg/l </w:t>
            </w:r>
          </w:p>
        </w:tc>
        <w:tc>
          <w:tcPr>
            <w:tcW w:w="3848" w:type="dxa"/>
            <w:tcBorders>
              <w:top w:val="single" w:sz="4" w:space="0" w:color="000000"/>
              <w:left w:val="single" w:sz="4" w:space="0" w:color="000000"/>
              <w:bottom w:val="single" w:sz="4" w:space="0" w:color="000000"/>
              <w:right w:val="single" w:sz="4" w:space="0" w:color="000000"/>
            </w:tcBorders>
          </w:tcPr>
          <w:p w14:paraId="2014CFE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Случайна проба, хомогенизирана</w:t>
            </w:r>
          </w:p>
        </w:tc>
      </w:tr>
      <w:tr w:rsidR="00271FA2" w:rsidRPr="00F06DE2" w14:paraId="61E93CAB" w14:textId="77777777">
        <w:trPr>
          <w:trHeight w:val="530"/>
        </w:trPr>
        <w:tc>
          <w:tcPr>
            <w:tcW w:w="3630" w:type="dxa"/>
            <w:vMerge w:val="restart"/>
            <w:tcBorders>
              <w:top w:val="single" w:sz="4" w:space="0" w:color="000000"/>
              <w:left w:val="single" w:sz="4" w:space="0" w:color="000000"/>
              <w:bottom w:val="single" w:sz="4" w:space="0" w:color="000000"/>
              <w:right w:val="single" w:sz="4" w:space="0" w:color="000000"/>
            </w:tcBorders>
            <w:vAlign w:val="center"/>
          </w:tcPr>
          <w:p w14:paraId="12113255" w14:textId="0A805AF2"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Химична потребност от кислород (</w:t>
            </w:r>
            <w:r w:rsidRPr="00F06DE2">
              <w:rPr>
                <w:rFonts w:ascii="Times New Roman" w:hAnsi="Times New Roman" w:cs="Times New Roman"/>
              </w:rPr>
              <w:t>COD</w:t>
            </w:r>
            <w:r w:rsidRPr="00F06DE2">
              <w:rPr>
                <w:rFonts w:ascii="Times New Roman" w:hAnsi="Times New Roman" w:cs="Times New Roman"/>
                <w:lang w:val="ru-RU"/>
              </w:rPr>
              <w:t>)</w:t>
            </w:r>
            <w:r w:rsidRPr="00F06DE2">
              <w:rPr>
                <w:rStyle w:val="FootnoteReference"/>
                <w:rFonts w:ascii="Times New Roman" w:hAnsi="Times New Roman" w:cs="Times New Roman"/>
              </w:rPr>
              <w:footnoteReference w:id="9"/>
            </w:r>
            <w:r w:rsidRPr="00F06DE2">
              <w:rPr>
                <w:rFonts w:ascii="Times New Roman" w:hAnsi="Times New Roman" w:cs="Times New Roman"/>
                <w:lang w:val="ru-RU"/>
              </w:rPr>
              <w:t xml:space="preserve"> </w:t>
            </w:r>
            <w:r w:rsidRPr="00F06DE2">
              <w:rPr>
                <w:rFonts w:ascii="Times New Roman" w:hAnsi="Times New Roman" w:cs="Times New Roman"/>
              </w:rPr>
              <w:t>ISO</w:t>
            </w:r>
            <w:r w:rsidRPr="00F06DE2">
              <w:rPr>
                <w:rFonts w:ascii="Times New Roman" w:hAnsi="Times New Roman" w:cs="Times New Roman"/>
                <w:lang w:val="ru-RU"/>
              </w:rPr>
              <w:t xml:space="preserve"> </w:t>
            </w:r>
            <w:r w:rsidR="00172B08" w:rsidRPr="00F06DE2">
              <w:rPr>
                <w:rFonts w:ascii="Times New Roman" w:hAnsi="Times New Roman" w:cs="Times New Roman"/>
                <w:lang w:val="ru-RU"/>
              </w:rPr>
              <w:t>1575 :2022</w:t>
            </w:r>
          </w:p>
          <w:p w14:paraId="38C4A239" w14:textId="77777777" w:rsidR="00271FA2" w:rsidRPr="00F06DE2" w:rsidRDefault="00271FA2">
            <w:pPr>
              <w:spacing w:line="240" w:lineRule="atLeast"/>
              <w:jc w:val="both"/>
              <w:rPr>
                <w:rFonts w:ascii="Times New Roman" w:hAnsi="Times New Roman" w:cs="Times New Roman"/>
                <w:lang w:val="ru-RU"/>
              </w:rPr>
            </w:pPr>
          </w:p>
        </w:tc>
        <w:tc>
          <w:tcPr>
            <w:tcW w:w="1589" w:type="dxa"/>
            <w:tcBorders>
              <w:top w:val="single" w:sz="4" w:space="0" w:color="000000"/>
              <w:left w:val="single" w:sz="4" w:space="0" w:color="000000"/>
              <w:bottom w:val="single" w:sz="4" w:space="0" w:color="000000"/>
              <w:right w:val="single" w:sz="4" w:space="0" w:color="000000"/>
            </w:tcBorders>
            <w:vAlign w:val="center"/>
          </w:tcPr>
          <w:p w14:paraId="6A903926" w14:textId="77777777" w:rsidR="00271FA2" w:rsidRPr="00F06DE2" w:rsidRDefault="00D35E51">
            <w:pPr>
              <w:spacing w:line="240" w:lineRule="atLeast"/>
              <w:ind w:left="7"/>
              <w:jc w:val="both"/>
              <w:rPr>
                <w:rFonts w:ascii="Times New Roman" w:hAnsi="Times New Roman" w:cs="Times New Roman"/>
              </w:rPr>
            </w:pPr>
            <w:r w:rsidRPr="00F06DE2">
              <w:rPr>
                <w:rFonts w:ascii="Times New Roman" w:hAnsi="Times New Roman" w:cs="Times New Roman"/>
              </w:rPr>
              <w:t xml:space="preserve">100 mg/l </w:t>
            </w:r>
          </w:p>
        </w:tc>
        <w:tc>
          <w:tcPr>
            <w:tcW w:w="3848" w:type="dxa"/>
            <w:tcBorders>
              <w:top w:val="single" w:sz="4" w:space="0" w:color="000000"/>
              <w:left w:val="single" w:sz="4" w:space="0" w:color="000000"/>
              <w:bottom w:val="single" w:sz="4" w:space="0" w:color="000000"/>
              <w:right w:val="single" w:sz="4" w:space="0" w:color="000000"/>
            </w:tcBorders>
          </w:tcPr>
          <w:p w14:paraId="39ED5BD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24-часова съставна проба, хомогенизирана</w:t>
            </w:r>
          </w:p>
        </w:tc>
      </w:tr>
      <w:tr w:rsidR="00271FA2" w:rsidRPr="00F06DE2" w14:paraId="37A0D8CC" w14:textId="77777777">
        <w:trPr>
          <w:trHeight w:val="531"/>
        </w:trPr>
        <w:tc>
          <w:tcPr>
            <w:tcW w:w="0" w:type="auto"/>
            <w:vMerge/>
            <w:tcBorders>
              <w:top w:val="nil"/>
              <w:left w:val="single" w:sz="4" w:space="0" w:color="000000"/>
              <w:bottom w:val="single" w:sz="4" w:space="0" w:color="000000"/>
              <w:right w:val="single" w:sz="4" w:space="0" w:color="000000"/>
            </w:tcBorders>
          </w:tcPr>
          <w:p w14:paraId="4BC945BC" w14:textId="77777777" w:rsidR="00271FA2" w:rsidRPr="00F06DE2" w:rsidRDefault="00271FA2">
            <w:pPr>
              <w:spacing w:line="240" w:lineRule="atLeast"/>
              <w:jc w:val="both"/>
              <w:rPr>
                <w:rFonts w:ascii="Times New Roman" w:hAnsi="Times New Roman" w:cs="Times New Roman"/>
              </w:rPr>
            </w:pPr>
          </w:p>
        </w:tc>
        <w:tc>
          <w:tcPr>
            <w:tcW w:w="1589" w:type="dxa"/>
            <w:tcBorders>
              <w:top w:val="single" w:sz="4" w:space="0" w:color="000000"/>
              <w:left w:val="single" w:sz="4" w:space="0" w:color="000000"/>
              <w:bottom w:val="single" w:sz="4" w:space="0" w:color="000000"/>
              <w:right w:val="single" w:sz="4" w:space="0" w:color="000000"/>
            </w:tcBorders>
            <w:vAlign w:val="center"/>
          </w:tcPr>
          <w:p w14:paraId="0385206E" w14:textId="77777777" w:rsidR="00271FA2" w:rsidRPr="00F06DE2" w:rsidRDefault="00D35E51">
            <w:pPr>
              <w:spacing w:line="240" w:lineRule="atLeast"/>
              <w:ind w:left="7"/>
              <w:jc w:val="both"/>
              <w:rPr>
                <w:rFonts w:ascii="Times New Roman" w:hAnsi="Times New Roman" w:cs="Times New Roman"/>
              </w:rPr>
            </w:pPr>
            <w:r w:rsidRPr="00F06DE2">
              <w:rPr>
                <w:rFonts w:ascii="Times New Roman" w:hAnsi="Times New Roman" w:cs="Times New Roman"/>
              </w:rPr>
              <w:t xml:space="preserve">125 mg/l </w:t>
            </w:r>
          </w:p>
        </w:tc>
        <w:tc>
          <w:tcPr>
            <w:tcW w:w="3848" w:type="dxa"/>
            <w:tcBorders>
              <w:top w:val="single" w:sz="4" w:space="0" w:color="000000"/>
              <w:left w:val="single" w:sz="4" w:space="0" w:color="000000"/>
              <w:bottom w:val="single" w:sz="4" w:space="0" w:color="000000"/>
              <w:right w:val="single" w:sz="4" w:space="0" w:color="000000"/>
            </w:tcBorders>
          </w:tcPr>
          <w:p w14:paraId="2539DB5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Случайна проба, хомогенизирана</w:t>
            </w:r>
          </w:p>
        </w:tc>
      </w:tr>
      <w:tr w:rsidR="00271FA2" w:rsidRPr="00F06DE2" w14:paraId="3E16B066" w14:textId="77777777">
        <w:trPr>
          <w:trHeight w:val="530"/>
        </w:trPr>
        <w:tc>
          <w:tcPr>
            <w:tcW w:w="3630" w:type="dxa"/>
            <w:vMerge w:val="restart"/>
            <w:tcBorders>
              <w:top w:val="single" w:sz="4" w:space="0" w:color="000000"/>
              <w:left w:val="single" w:sz="4" w:space="0" w:color="000000"/>
              <w:bottom w:val="single" w:sz="4" w:space="0" w:color="000000"/>
              <w:right w:val="single" w:sz="4" w:space="0" w:color="000000"/>
            </w:tcBorders>
            <w:vAlign w:val="center"/>
          </w:tcPr>
          <w:p w14:paraId="00139908" w14:textId="36B3544F"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Общ органичен въглерод (</w:t>
            </w:r>
            <w:r w:rsidRPr="00F06DE2">
              <w:rPr>
                <w:rFonts w:ascii="Times New Roman" w:hAnsi="Times New Roman" w:cs="Times New Roman"/>
              </w:rPr>
              <w:t>TOC</w:t>
            </w:r>
            <w:r w:rsidRPr="00F06DE2">
              <w:rPr>
                <w:rFonts w:ascii="Times New Roman" w:hAnsi="Times New Roman" w:cs="Times New Roman"/>
                <w:lang w:val="ru-RU"/>
              </w:rPr>
              <w:t xml:space="preserve">) </w:t>
            </w:r>
            <w:r w:rsidRPr="00F06DE2">
              <w:rPr>
                <w:rFonts w:ascii="Times New Roman" w:hAnsi="Times New Roman" w:cs="Times New Roman"/>
              </w:rPr>
              <w:t>EN</w:t>
            </w:r>
            <w:r w:rsidRPr="00F06DE2">
              <w:rPr>
                <w:rFonts w:ascii="Times New Roman" w:hAnsi="Times New Roman" w:cs="Times New Roman"/>
                <w:lang w:val="ru-RU"/>
              </w:rPr>
              <w:t xml:space="preserve"> 1484 : 2019</w:t>
            </w:r>
            <w:r w:rsidRPr="00F06DE2">
              <w:rPr>
                <w:rFonts w:ascii="Times New Roman" w:hAnsi="Times New Roman" w:cs="Times New Roman"/>
                <w:vertAlign w:val="superscript"/>
                <w:lang w:val="ru-RU"/>
              </w:rPr>
              <w:t>1</w:t>
            </w:r>
          </w:p>
        </w:tc>
        <w:tc>
          <w:tcPr>
            <w:tcW w:w="1589" w:type="dxa"/>
            <w:tcBorders>
              <w:top w:val="single" w:sz="4" w:space="0" w:color="000000"/>
              <w:left w:val="single" w:sz="4" w:space="0" w:color="000000"/>
              <w:bottom w:val="single" w:sz="4" w:space="0" w:color="000000"/>
              <w:right w:val="single" w:sz="4" w:space="0" w:color="000000"/>
            </w:tcBorders>
            <w:vAlign w:val="center"/>
          </w:tcPr>
          <w:p w14:paraId="0AE27CCF" w14:textId="77777777" w:rsidR="00271FA2" w:rsidRPr="00F06DE2" w:rsidRDefault="00D35E51">
            <w:pPr>
              <w:spacing w:line="240" w:lineRule="atLeast"/>
              <w:ind w:left="8"/>
              <w:jc w:val="both"/>
              <w:rPr>
                <w:rFonts w:ascii="Times New Roman" w:hAnsi="Times New Roman" w:cs="Times New Roman"/>
              </w:rPr>
            </w:pPr>
            <w:r w:rsidRPr="00F06DE2">
              <w:rPr>
                <w:rFonts w:ascii="Times New Roman" w:hAnsi="Times New Roman" w:cs="Times New Roman"/>
              </w:rPr>
              <w:t xml:space="preserve">35 mg/l </w:t>
            </w:r>
          </w:p>
        </w:tc>
        <w:tc>
          <w:tcPr>
            <w:tcW w:w="3848" w:type="dxa"/>
            <w:tcBorders>
              <w:top w:val="single" w:sz="4" w:space="0" w:color="000000"/>
              <w:left w:val="single" w:sz="4" w:space="0" w:color="000000"/>
              <w:bottom w:val="single" w:sz="4" w:space="0" w:color="000000"/>
              <w:right w:val="single" w:sz="4" w:space="0" w:color="000000"/>
            </w:tcBorders>
          </w:tcPr>
          <w:p w14:paraId="2DDACDD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24-часова съставна проба, хомогенизирана</w:t>
            </w:r>
          </w:p>
        </w:tc>
      </w:tr>
      <w:tr w:rsidR="00271FA2" w:rsidRPr="00F06DE2" w14:paraId="6BD336D9" w14:textId="77777777">
        <w:trPr>
          <w:trHeight w:val="530"/>
        </w:trPr>
        <w:tc>
          <w:tcPr>
            <w:tcW w:w="0" w:type="auto"/>
            <w:vMerge/>
            <w:tcBorders>
              <w:top w:val="nil"/>
              <w:left w:val="single" w:sz="4" w:space="0" w:color="000000"/>
              <w:bottom w:val="single" w:sz="4" w:space="0" w:color="000000"/>
              <w:right w:val="single" w:sz="4" w:space="0" w:color="000000"/>
            </w:tcBorders>
          </w:tcPr>
          <w:p w14:paraId="077A08C8" w14:textId="77777777" w:rsidR="00271FA2" w:rsidRPr="00F06DE2" w:rsidRDefault="00271FA2">
            <w:pPr>
              <w:spacing w:line="240" w:lineRule="atLeast"/>
              <w:jc w:val="both"/>
              <w:rPr>
                <w:rFonts w:ascii="Times New Roman" w:hAnsi="Times New Roman" w:cs="Times New Roman"/>
              </w:rPr>
            </w:pPr>
          </w:p>
        </w:tc>
        <w:tc>
          <w:tcPr>
            <w:tcW w:w="1589" w:type="dxa"/>
            <w:tcBorders>
              <w:top w:val="single" w:sz="4" w:space="0" w:color="000000"/>
              <w:left w:val="single" w:sz="4" w:space="0" w:color="000000"/>
              <w:bottom w:val="single" w:sz="4" w:space="0" w:color="000000"/>
              <w:right w:val="single" w:sz="4" w:space="0" w:color="000000"/>
            </w:tcBorders>
            <w:vAlign w:val="center"/>
          </w:tcPr>
          <w:p w14:paraId="6FAF9E52" w14:textId="77777777" w:rsidR="00271FA2" w:rsidRPr="00F06DE2" w:rsidRDefault="00D35E51">
            <w:pPr>
              <w:spacing w:line="240" w:lineRule="atLeast"/>
              <w:ind w:left="8"/>
              <w:jc w:val="both"/>
              <w:rPr>
                <w:rFonts w:ascii="Times New Roman" w:hAnsi="Times New Roman" w:cs="Times New Roman"/>
              </w:rPr>
            </w:pPr>
            <w:r w:rsidRPr="00F06DE2">
              <w:rPr>
                <w:rFonts w:ascii="Times New Roman" w:hAnsi="Times New Roman" w:cs="Times New Roman"/>
              </w:rPr>
              <w:t xml:space="preserve">45 mg/l </w:t>
            </w:r>
          </w:p>
        </w:tc>
        <w:tc>
          <w:tcPr>
            <w:tcW w:w="3848" w:type="dxa"/>
            <w:tcBorders>
              <w:top w:val="single" w:sz="4" w:space="0" w:color="000000"/>
              <w:left w:val="single" w:sz="4" w:space="0" w:color="000000"/>
              <w:bottom w:val="single" w:sz="4" w:space="0" w:color="000000"/>
              <w:right w:val="single" w:sz="4" w:space="0" w:color="000000"/>
            </w:tcBorders>
          </w:tcPr>
          <w:p w14:paraId="3F599C6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Случайна проба, хомогенизирана</w:t>
            </w:r>
          </w:p>
        </w:tc>
      </w:tr>
    </w:tbl>
    <w:p w14:paraId="20EC0B96" w14:textId="77777777" w:rsidR="00271FA2" w:rsidRPr="00F06DE2" w:rsidRDefault="00271FA2">
      <w:pPr>
        <w:spacing w:line="240" w:lineRule="atLeast"/>
        <w:jc w:val="both"/>
        <w:rPr>
          <w:rFonts w:ascii="Times New Roman" w:hAnsi="Times New Roman" w:cs="Times New Roman"/>
        </w:rPr>
      </w:pPr>
    </w:p>
    <w:p w14:paraId="1A852A93" w14:textId="77777777" w:rsidR="00271FA2" w:rsidRPr="00F06DE2" w:rsidRDefault="00D35E51" w:rsidP="008A1FE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Бордовите пречиствателни станции за отпадъчни води трябва да отговарят на следните контролни стойности по време на работа:</w:t>
      </w:r>
    </w:p>
    <w:p w14:paraId="01BEFBE8" w14:textId="77777777" w:rsidR="00271FA2" w:rsidRPr="00F06DE2" w:rsidRDefault="00D35E51">
      <w:pPr>
        <w:spacing w:line="240" w:lineRule="atLeast"/>
        <w:ind w:right="60"/>
        <w:jc w:val="both"/>
        <w:rPr>
          <w:rFonts w:ascii="Times New Roman" w:hAnsi="Times New Roman" w:cs="Times New Roman"/>
          <w:lang w:val="ru-RU"/>
        </w:rPr>
      </w:pPr>
      <w:r w:rsidRPr="00F06DE2">
        <w:rPr>
          <w:rFonts w:ascii="Times New Roman" w:hAnsi="Times New Roman" w:cs="Times New Roman"/>
          <w:lang w:val="ru-RU"/>
        </w:rPr>
        <w:t>Таблица 2: Контролни стойности, които трябва да се наблюдават на изхода на бордовата пречиствателна станция по време на работа</w:t>
      </w:r>
    </w:p>
    <w:tbl>
      <w:tblPr>
        <w:tblStyle w:val="TableGrid0"/>
        <w:tblW w:w="9072" w:type="dxa"/>
        <w:tblInd w:w="-5" w:type="dxa"/>
        <w:tblCellMar>
          <w:top w:w="103" w:type="dxa"/>
          <w:left w:w="108" w:type="dxa"/>
          <w:right w:w="115" w:type="dxa"/>
        </w:tblCellMar>
        <w:tblLook w:val="04A0" w:firstRow="1" w:lastRow="0" w:firstColumn="1" w:lastColumn="0" w:noHBand="0" w:noVBand="1"/>
      </w:tblPr>
      <w:tblGrid>
        <w:gridCol w:w="4257"/>
        <w:gridCol w:w="1589"/>
        <w:gridCol w:w="3226"/>
      </w:tblGrid>
      <w:tr w:rsidR="00271FA2" w:rsidRPr="00F06DE2" w14:paraId="36E6D1E4" w14:textId="77777777">
        <w:trPr>
          <w:trHeight w:val="610"/>
        </w:trPr>
        <w:tc>
          <w:tcPr>
            <w:tcW w:w="4257" w:type="dxa"/>
            <w:tcBorders>
              <w:top w:val="single" w:sz="4" w:space="0" w:color="000000"/>
              <w:left w:val="single" w:sz="4" w:space="0" w:color="000000"/>
              <w:bottom w:val="single" w:sz="4" w:space="0" w:color="000000"/>
              <w:right w:val="single" w:sz="4" w:space="0" w:color="000000"/>
            </w:tcBorders>
            <w:vAlign w:val="center"/>
          </w:tcPr>
          <w:p w14:paraId="16D2B718"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Параметър</w:t>
            </w:r>
          </w:p>
        </w:tc>
        <w:tc>
          <w:tcPr>
            <w:tcW w:w="1589" w:type="dxa"/>
            <w:tcBorders>
              <w:top w:val="single" w:sz="4" w:space="0" w:color="000000"/>
              <w:left w:val="single" w:sz="4" w:space="0" w:color="000000"/>
              <w:bottom w:val="single" w:sz="4" w:space="0" w:color="000000"/>
              <w:right w:val="single" w:sz="4" w:space="0" w:color="000000"/>
            </w:tcBorders>
          </w:tcPr>
          <w:p w14:paraId="2CC6D5F6"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Концентрация (етап II)</w:t>
            </w:r>
          </w:p>
        </w:tc>
        <w:tc>
          <w:tcPr>
            <w:tcW w:w="3226" w:type="dxa"/>
            <w:tcBorders>
              <w:top w:val="single" w:sz="4" w:space="0" w:color="000000"/>
              <w:left w:val="single" w:sz="4" w:space="0" w:color="000000"/>
              <w:bottom w:val="single" w:sz="4" w:space="0" w:color="000000"/>
              <w:right w:val="single" w:sz="4" w:space="0" w:color="000000"/>
            </w:tcBorders>
            <w:vAlign w:val="center"/>
          </w:tcPr>
          <w:p w14:paraId="630AF85C"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Проба</w:t>
            </w:r>
          </w:p>
        </w:tc>
      </w:tr>
      <w:tr w:rsidR="00271FA2" w:rsidRPr="00F06DE2" w14:paraId="6BA936D5" w14:textId="77777777">
        <w:trPr>
          <w:trHeight w:val="610"/>
        </w:trPr>
        <w:tc>
          <w:tcPr>
            <w:tcW w:w="4257" w:type="dxa"/>
            <w:tcBorders>
              <w:top w:val="single" w:sz="4" w:space="0" w:color="000000"/>
              <w:left w:val="single" w:sz="4" w:space="0" w:color="000000"/>
              <w:bottom w:val="single" w:sz="4" w:space="0" w:color="000000"/>
              <w:right w:val="single" w:sz="4" w:space="0" w:color="000000"/>
            </w:tcBorders>
          </w:tcPr>
          <w:p w14:paraId="500EE3F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Биохимична потребност от кислород (</w:t>
            </w:r>
            <w:r w:rsidRPr="00F06DE2">
              <w:rPr>
                <w:rFonts w:ascii="Cambria Math" w:hAnsi="Cambria Math" w:cs="Cambria Math"/>
              </w:rPr>
              <w:t>𝐵𝑂𝐷</w:t>
            </w:r>
            <w:r w:rsidRPr="00F06DE2">
              <w:rPr>
                <w:rFonts w:ascii="Times New Roman" w:hAnsi="Times New Roman" w:cs="Times New Roman"/>
                <w:lang w:val="ru-RU"/>
              </w:rPr>
              <w:t xml:space="preserve">5) </w:t>
            </w:r>
            <w:r w:rsidRPr="00F06DE2">
              <w:rPr>
                <w:rFonts w:ascii="Times New Roman" w:hAnsi="Times New Roman" w:cs="Times New Roman"/>
              </w:rPr>
              <w:t>ISO</w:t>
            </w:r>
            <w:r w:rsidRPr="00F06DE2">
              <w:rPr>
                <w:rFonts w:ascii="Times New Roman" w:hAnsi="Times New Roman" w:cs="Times New Roman"/>
                <w:lang w:val="ru-RU"/>
              </w:rPr>
              <w:t xml:space="preserve"> 5815-1:2019 и 5815-2:2003</w:t>
            </w:r>
            <w:r w:rsidRPr="00F06DE2">
              <w:rPr>
                <w:rFonts w:ascii="Times New Roman" w:hAnsi="Times New Roman" w:cs="Times New Roman"/>
                <w:vertAlign w:val="superscript"/>
                <w:lang w:val="ru-RU"/>
              </w:rPr>
              <w:t>1</w:t>
            </w:r>
          </w:p>
        </w:tc>
        <w:tc>
          <w:tcPr>
            <w:tcW w:w="1589" w:type="dxa"/>
            <w:tcBorders>
              <w:top w:val="single" w:sz="4" w:space="0" w:color="000000"/>
              <w:left w:val="single" w:sz="4" w:space="0" w:color="000000"/>
              <w:bottom w:val="single" w:sz="4" w:space="0" w:color="000000"/>
              <w:right w:val="single" w:sz="4" w:space="0" w:color="000000"/>
            </w:tcBorders>
            <w:vAlign w:val="center"/>
          </w:tcPr>
          <w:p w14:paraId="664BF675" w14:textId="77777777" w:rsidR="00271FA2" w:rsidRPr="00F06DE2" w:rsidRDefault="00D35E51">
            <w:pPr>
              <w:spacing w:line="240" w:lineRule="atLeast"/>
              <w:ind w:left="8"/>
              <w:jc w:val="both"/>
              <w:rPr>
                <w:rFonts w:ascii="Times New Roman" w:hAnsi="Times New Roman" w:cs="Times New Roman"/>
              </w:rPr>
            </w:pPr>
            <w:r w:rsidRPr="00F06DE2">
              <w:rPr>
                <w:rFonts w:ascii="Times New Roman" w:hAnsi="Times New Roman" w:cs="Times New Roman"/>
              </w:rPr>
              <w:t xml:space="preserve">25 mg/l </w:t>
            </w:r>
          </w:p>
        </w:tc>
        <w:tc>
          <w:tcPr>
            <w:tcW w:w="3226" w:type="dxa"/>
            <w:tcBorders>
              <w:top w:val="single" w:sz="4" w:space="0" w:color="000000"/>
              <w:left w:val="single" w:sz="4" w:space="0" w:color="000000"/>
              <w:bottom w:val="single" w:sz="4" w:space="0" w:color="000000"/>
              <w:right w:val="single" w:sz="4" w:space="0" w:color="000000"/>
            </w:tcBorders>
          </w:tcPr>
          <w:p w14:paraId="0B3AD92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Случайна проба, хомогенизирана</w:t>
            </w:r>
          </w:p>
        </w:tc>
      </w:tr>
      <w:tr w:rsidR="00271FA2" w:rsidRPr="00F06DE2" w14:paraId="3864920B" w14:textId="77777777">
        <w:trPr>
          <w:trHeight w:val="610"/>
        </w:trPr>
        <w:tc>
          <w:tcPr>
            <w:tcW w:w="4257" w:type="dxa"/>
            <w:vMerge w:val="restart"/>
            <w:tcBorders>
              <w:top w:val="single" w:sz="4" w:space="0" w:color="000000"/>
              <w:left w:val="single" w:sz="4" w:space="0" w:color="000000"/>
              <w:bottom w:val="single" w:sz="4" w:space="0" w:color="000000"/>
              <w:right w:val="single" w:sz="4" w:space="0" w:color="000000"/>
            </w:tcBorders>
            <w:vAlign w:val="center"/>
          </w:tcPr>
          <w:p w14:paraId="77A535AD" w14:textId="27C26DFA" w:rsidR="00AB6232" w:rsidRPr="00F06DE2" w:rsidRDefault="00AB6232" w:rsidP="00E656E7">
            <w:pPr>
              <w:spacing w:line="240" w:lineRule="atLeast"/>
              <w:ind w:right="312"/>
              <w:jc w:val="both"/>
              <w:rPr>
                <w:rFonts w:ascii="Times New Roman" w:hAnsi="Times New Roman" w:cs="Times New Roman"/>
                <w:lang w:val="ru-RU"/>
              </w:rPr>
            </w:pPr>
            <w:r w:rsidRPr="00F06DE2">
              <w:rPr>
                <w:rFonts w:ascii="Times New Roman" w:hAnsi="Times New Roman" w:cs="Times New Roman"/>
                <w:lang w:val="ru-RU"/>
              </w:rPr>
              <w:t>Химична потребност от кислород (</w:t>
            </w:r>
            <w:r w:rsidRPr="00F06DE2">
              <w:rPr>
                <w:rFonts w:ascii="Times New Roman" w:hAnsi="Times New Roman" w:cs="Times New Roman"/>
              </w:rPr>
              <w:t>COD</w:t>
            </w:r>
            <w:r w:rsidRPr="00F06DE2">
              <w:rPr>
                <w:rFonts w:ascii="Times New Roman" w:hAnsi="Times New Roman" w:cs="Times New Roman"/>
                <w:lang w:val="ru-RU"/>
              </w:rPr>
              <w:t>)</w:t>
            </w:r>
            <w:r w:rsidRPr="00F06DE2">
              <w:rPr>
                <w:rFonts w:ascii="Times New Roman" w:hAnsi="Times New Roman" w:cs="Times New Roman"/>
                <w:vertAlign w:val="superscript"/>
                <w:lang w:val="ru-RU"/>
              </w:rPr>
              <w:t xml:space="preserve">2  </w:t>
            </w:r>
            <w:r w:rsidRPr="00F06DE2">
              <w:rPr>
                <w:rFonts w:ascii="Times New Roman" w:hAnsi="Times New Roman" w:cs="Times New Roman"/>
              </w:rPr>
              <w:t>ISO</w:t>
            </w:r>
            <w:r w:rsidRPr="00F06DE2">
              <w:rPr>
                <w:rFonts w:ascii="Times New Roman" w:hAnsi="Times New Roman" w:cs="Times New Roman"/>
                <w:lang w:val="ru-RU"/>
              </w:rPr>
              <w:t xml:space="preserve"> </w:t>
            </w:r>
            <w:r w:rsidRPr="00F06DE2">
              <w:rPr>
                <w:rFonts w:ascii="Times New Roman" w:hAnsi="Times New Roman" w:cs="Times New Roman"/>
                <w:shd w:val="clear" w:color="auto" w:fill="D3D3D3"/>
                <w:lang w:val="ru-RU"/>
              </w:rPr>
              <w:t>15705:2022</w:t>
            </w:r>
          </w:p>
        </w:tc>
        <w:tc>
          <w:tcPr>
            <w:tcW w:w="1589" w:type="dxa"/>
            <w:tcBorders>
              <w:top w:val="single" w:sz="4" w:space="0" w:color="000000"/>
              <w:left w:val="single" w:sz="4" w:space="0" w:color="000000"/>
              <w:bottom w:val="single" w:sz="4" w:space="0" w:color="000000"/>
              <w:right w:val="single" w:sz="4" w:space="0" w:color="000000"/>
            </w:tcBorders>
            <w:vAlign w:val="center"/>
          </w:tcPr>
          <w:p w14:paraId="18092882" w14:textId="77777777" w:rsidR="00271FA2" w:rsidRPr="00F06DE2" w:rsidRDefault="00D35E51">
            <w:pPr>
              <w:spacing w:line="240" w:lineRule="atLeast"/>
              <w:ind w:left="7"/>
              <w:jc w:val="both"/>
              <w:rPr>
                <w:rFonts w:ascii="Times New Roman" w:hAnsi="Times New Roman" w:cs="Times New Roman"/>
              </w:rPr>
            </w:pPr>
            <w:r w:rsidRPr="00F06DE2">
              <w:rPr>
                <w:rFonts w:ascii="Times New Roman" w:hAnsi="Times New Roman" w:cs="Times New Roman"/>
              </w:rPr>
              <w:t xml:space="preserve">125 mg/l </w:t>
            </w:r>
          </w:p>
        </w:tc>
        <w:tc>
          <w:tcPr>
            <w:tcW w:w="3226" w:type="dxa"/>
            <w:tcBorders>
              <w:top w:val="single" w:sz="4" w:space="0" w:color="000000"/>
              <w:left w:val="single" w:sz="4" w:space="0" w:color="000000"/>
              <w:bottom w:val="single" w:sz="4" w:space="0" w:color="000000"/>
              <w:right w:val="single" w:sz="4" w:space="0" w:color="000000"/>
            </w:tcBorders>
          </w:tcPr>
          <w:p w14:paraId="3263C40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Случайна проба, хомогенизирана</w:t>
            </w:r>
          </w:p>
        </w:tc>
      </w:tr>
      <w:tr w:rsidR="00271FA2" w:rsidRPr="00F06DE2" w14:paraId="774ACEFD" w14:textId="77777777">
        <w:trPr>
          <w:trHeight w:val="370"/>
        </w:trPr>
        <w:tc>
          <w:tcPr>
            <w:tcW w:w="4257" w:type="dxa"/>
            <w:vMerge/>
            <w:tcBorders>
              <w:top w:val="nil"/>
              <w:left w:val="single" w:sz="4" w:space="0" w:color="000000"/>
              <w:bottom w:val="single" w:sz="4" w:space="0" w:color="000000"/>
              <w:right w:val="single" w:sz="4" w:space="0" w:color="000000"/>
            </w:tcBorders>
            <w:vAlign w:val="bottom"/>
          </w:tcPr>
          <w:p w14:paraId="054384BE" w14:textId="77777777" w:rsidR="00271FA2" w:rsidRPr="00F06DE2" w:rsidRDefault="00271FA2">
            <w:pPr>
              <w:spacing w:line="240" w:lineRule="atLeast"/>
              <w:jc w:val="both"/>
              <w:rPr>
                <w:rFonts w:ascii="Times New Roman" w:hAnsi="Times New Roman" w:cs="Times New Roman"/>
              </w:rPr>
            </w:pPr>
          </w:p>
        </w:tc>
        <w:tc>
          <w:tcPr>
            <w:tcW w:w="1589" w:type="dxa"/>
            <w:tcBorders>
              <w:top w:val="single" w:sz="4" w:space="0" w:color="000000"/>
              <w:left w:val="single" w:sz="4" w:space="0" w:color="000000"/>
              <w:bottom w:val="single" w:sz="4" w:space="0" w:color="000000"/>
              <w:right w:val="single" w:sz="4" w:space="0" w:color="000000"/>
            </w:tcBorders>
          </w:tcPr>
          <w:p w14:paraId="0A483136" w14:textId="6901E16A" w:rsidR="00271FA2" w:rsidRPr="00F06DE2" w:rsidRDefault="00271FA2">
            <w:pPr>
              <w:spacing w:line="240" w:lineRule="atLeast"/>
              <w:ind w:left="7"/>
              <w:jc w:val="both"/>
              <w:rPr>
                <w:rFonts w:ascii="Times New Roman" w:hAnsi="Times New Roman" w:cs="Times New Roman"/>
              </w:rPr>
            </w:pPr>
          </w:p>
        </w:tc>
        <w:tc>
          <w:tcPr>
            <w:tcW w:w="3226" w:type="dxa"/>
            <w:tcBorders>
              <w:top w:val="single" w:sz="4" w:space="0" w:color="000000"/>
              <w:left w:val="single" w:sz="4" w:space="0" w:color="000000"/>
              <w:bottom w:val="single" w:sz="4" w:space="0" w:color="000000"/>
              <w:right w:val="single" w:sz="4" w:space="0" w:color="000000"/>
            </w:tcBorders>
          </w:tcPr>
          <w:p w14:paraId="0E94A356" w14:textId="0831984C" w:rsidR="00271FA2" w:rsidRPr="00F06DE2" w:rsidRDefault="00271FA2">
            <w:pPr>
              <w:spacing w:line="240" w:lineRule="atLeast"/>
              <w:jc w:val="both"/>
              <w:rPr>
                <w:rFonts w:ascii="Times New Roman" w:hAnsi="Times New Roman" w:cs="Times New Roman"/>
              </w:rPr>
            </w:pPr>
          </w:p>
        </w:tc>
      </w:tr>
      <w:tr w:rsidR="00271FA2" w:rsidRPr="00F06DE2" w14:paraId="4F200114" w14:textId="77777777">
        <w:trPr>
          <w:trHeight w:val="612"/>
        </w:trPr>
        <w:tc>
          <w:tcPr>
            <w:tcW w:w="4257" w:type="dxa"/>
            <w:tcBorders>
              <w:top w:val="single" w:sz="4" w:space="0" w:color="000000"/>
              <w:left w:val="single" w:sz="4" w:space="0" w:color="000000"/>
              <w:bottom w:val="single" w:sz="4" w:space="0" w:color="000000"/>
              <w:right w:val="single" w:sz="4" w:space="0" w:color="000000"/>
            </w:tcBorders>
          </w:tcPr>
          <w:p w14:paraId="0BF3BB5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Общ органичен въглерод (</w:t>
            </w:r>
            <w:r w:rsidRPr="00F06DE2">
              <w:rPr>
                <w:rFonts w:ascii="Times New Roman" w:hAnsi="Times New Roman" w:cs="Times New Roman"/>
              </w:rPr>
              <w:t>TOC</w:t>
            </w:r>
            <w:r w:rsidRPr="00F06DE2">
              <w:rPr>
                <w:rFonts w:ascii="Times New Roman" w:hAnsi="Times New Roman" w:cs="Times New Roman"/>
                <w:lang w:val="ru-RU"/>
              </w:rPr>
              <w:t xml:space="preserve">) </w:t>
            </w:r>
            <w:r w:rsidRPr="00F06DE2">
              <w:rPr>
                <w:rFonts w:ascii="Times New Roman" w:hAnsi="Times New Roman" w:cs="Times New Roman"/>
              </w:rPr>
              <w:t>EN</w:t>
            </w:r>
            <w:r w:rsidRPr="00F06DE2">
              <w:rPr>
                <w:rFonts w:ascii="Times New Roman" w:hAnsi="Times New Roman" w:cs="Times New Roman"/>
                <w:lang w:val="ru-RU"/>
              </w:rPr>
              <w:t xml:space="preserve"> 1484:2019</w:t>
            </w:r>
            <w:r w:rsidRPr="00F06DE2">
              <w:rPr>
                <w:rFonts w:ascii="Times New Roman" w:hAnsi="Times New Roman" w:cs="Times New Roman"/>
                <w:vertAlign w:val="superscript"/>
                <w:lang w:val="ru-RU"/>
              </w:rPr>
              <w:t>1</w:t>
            </w:r>
          </w:p>
        </w:tc>
        <w:tc>
          <w:tcPr>
            <w:tcW w:w="1589" w:type="dxa"/>
            <w:tcBorders>
              <w:top w:val="single" w:sz="4" w:space="0" w:color="000000"/>
              <w:left w:val="single" w:sz="4" w:space="0" w:color="000000"/>
              <w:bottom w:val="single" w:sz="4" w:space="0" w:color="000000"/>
              <w:right w:val="single" w:sz="4" w:space="0" w:color="000000"/>
            </w:tcBorders>
            <w:vAlign w:val="center"/>
          </w:tcPr>
          <w:p w14:paraId="2065F290" w14:textId="77777777" w:rsidR="00271FA2" w:rsidRPr="00F06DE2" w:rsidRDefault="00D35E51">
            <w:pPr>
              <w:spacing w:line="240" w:lineRule="atLeast"/>
              <w:ind w:left="8"/>
              <w:jc w:val="both"/>
              <w:rPr>
                <w:rFonts w:ascii="Times New Roman" w:hAnsi="Times New Roman" w:cs="Times New Roman"/>
              </w:rPr>
            </w:pPr>
            <w:r w:rsidRPr="00F06DE2">
              <w:rPr>
                <w:rFonts w:ascii="Times New Roman" w:hAnsi="Times New Roman" w:cs="Times New Roman"/>
              </w:rPr>
              <w:t xml:space="preserve">45 mg/l </w:t>
            </w:r>
          </w:p>
        </w:tc>
        <w:tc>
          <w:tcPr>
            <w:tcW w:w="3226" w:type="dxa"/>
            <w:tcBorders>
              <w:top w:val="single" w:sz="4" w:space="0" w:color="000000"/>
              <w:left w:val="single" w:sz="4" w:space="0" w:color="000000"/>
              <w:bottom w:val="single" w:sz="4" w:space="0" w:color="000000"/>
              <w:right w:val="single" w:sz="4" w:space="0" w:color="000000"/>
            </w:tcBorders>
          </w:tcPr>
          <w:p w14:paraId="0217338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Случайна проба, хомогенизирана</w:t>
            </w:r>
          </w:p>
        </w:tc>
      </w:tr>
    </w:tbl>
    <w:p w14:paraId="409BC508" w14:textId="77777777" w:rsidR="00B07370" w:rsidRPr="00F06DE2" w:rsidRDefault="00B07370" w:rsidP="00B07370">
      <w:pPr>
        <w:spacing w:line="240" w:lineRule="atLeast"/>
        <w:jc w:val="both"/>
        <w:rPr>
          <w:rFonts w:ascii="Times New Roman" w:hAnsi="Times New Roman" w:cs="Times New Roman"/>
          <w:lang w:val="ru-RU"/>
        </w:rPr>
      </w:pPr>
      <w:r w:rsidRPr="00F06DE2">
        <w:rPr>
          <w:rStyle w:val="FootnoteReference"/>
          <w:rFonts w:ascii="Times New Roman" w:hAnsi="Times New Roman" w:cs="Times New Roman"/>
        </w:rPr>
        <w:footnoteRef/>
      </w:r>
      <w:r w:rsidRPr="00F06DE2">
        <w:rPr>
          <w:rFonts w:ascii="Times New Roman" w:hAnsi="Times New Roman" w:cs="Times New Roman"/>
          <w:lang w:val="ru-RU"/>
        </w:rPr>
        <w:t xml:space="preserve"> Държавите членки могат да прилагат еквивалентни процедури.</w:t>
      </w:r>
    </w:p>
    <w:p w14:paraId="34AA7F82" w14:textId="60C49D43" w:rsidR="00B07370" w:rsidRPr="00F06DE2" w:rsidRDefault="00B07370" w:rsidP="008A1FEB">
      <w:pPr>
        <w:pStyle w:val="ESch"/>
        <w:ind w:left="142" w:hanging="142"/>
        <w:jc w:val="both"/>
        <w:rPr>
          <w:rFonts w:ascii="Times New Roman" w:hAnsi="Times New Roman" w:cs="Times New Roman"/>
          <w:lang w:val="ru-RU"/>
        </w:rPr>
      </w:pPr>
      <w:r w:rsidRPr="00F06DE2">
        <w:rPr>
          <w:rStyle w:val="FootnoteReference"/>
          <w:rFonts w:ascii="Times New Roman" w:hAnsi="Times New Roman" w:cs="Times New Roman"/>
          <w:lang w:val="ru-RU"/>
        </w:rPr>
        <w:lastRenderedPageBreak/>
        <w:t>2</w:t>
      </w:r>
      <w:r w:rsidRPr="00F06DE2">
        <w:rPr>
          <w:rFonts w:ascii="Times New Roman" w:hAnsi="Times New Roman" w:cs="Times New Roman"/>
          <w:lang w:val="ru-RU"/>
        </w:rPr>
        <w:t xml:space="preserve"> Вместо химическата потребност от кислород (</w:t>
      </w:r>
      <w:r w:rsidRPr="00F06DE2">
        <w:rPr>
          <w:rFonts w:ascii="Times New Roman" w:hAnsi="Times New Roman" w:cs="Times New Roman"/>
        </w:rPr>
        <w:t>COD</w:t>
      </w:r>
      <w:r w:rsidRPr="00F06DE2">
        <w:rPr>
          <w:rFonts w:ascii="Times New Roman" w:hAnsi="Times New Roman" w:cs="Times New Roman"/>
          <w:lang w:val="ru-RU"/>
        </w:rPr>
        <w:t>), общият органичен въглерод (</w:t>
      </w:r>
      <w:r w:rsidRPr="00F06DE2">
        <w:rPr>
          <w:rFonts w:ascii="Times New Roman" w:hAnsi="Times New Roman" w:cs="Times New Roman"/>
        </w:rPr>
        <w:t>TOC</w:t>
      </w:r>
      <w:r w:rsidRPr="00F06DE2">
        <w:rPr>
          <w:rFonts w:ascii="Times New Roman" w:hAnsi="Times New Roman" w:cs="Times New Roman"/>
          <w:lang w:val="ru-RU"/>
        </w:rPr>
        <w:t xml:space="preserve">) </w:t>
      </w:r>
      <w:r w:rsidR="008A1FEB" w:rsidRPr="00F06DE2">
        <w:rPr>
          <w:rFonts w:ascii="Times New Roman" w:hAnsi="Times New Roman" w:cs="Times New Roman"/>
          <w:lang w:val="ru-RU"/>
        </w:rPr>
        <w:t xml:space="preserve">    </w:t>
      </w:r>
      <w:r w:rsidRPr="00F06DE2">
        <w:rPr>
          <w:rFonts w:ascii="Times New Roman" w:hAnsi="Times New Roman" w:cs="Times New Roman"/>
          <w:lang w:val="ru-RU"/>
        </w:rPr>
        <w:t>може също да бъде посочен за проверка.</w:t>
      </w:r>
    </w:p>
    <w:p w14:paraId="2AF30CA3" w14:textId="77777777" w:rsidR="00B07370" w:rsidRPr="00F06DE2" w:rsidRDefault="00B07370">
      <w:pPr>
        <w:pStyle w:val="ESch"/>
        <w:jc w:val="both"/>
        <w:rPr>
          <w:rFonts w:ascii="Times New Roman" w:hAnsi="Times New Roman" w:cs="Times New Roman"/>
          <w:lang w:val="ru-RU"/>
        </w:rPr>
      </w:pPr>
    </w:p>
    <w:p w14:paraId="4CE05036" w14:textId="57AE22F4" w:rsidR="00271FA2" w:rsidRPr="00F06DE2" w:rsidRDefault="00D35E51" w:rsidP="008A1FEB">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Процеси, които използват продукти, съдържащи хлор, не са допустими.Също така не се допуска да бъдат разреждани битовите отпадъчни води, за да бъде намалено специфичното замърсяване и по този начин да бъде възможно изхвърлянето им.</w:t>
      </w:r>
    </w:p>
    <w:p w14:paraId="54720C65" w14:textId="77777777" w:rsidR="00271FA2" w:rsidRPr="00F06DE2" w:rsidRDefault="00D35E51" w:rsidP="008A1FEB">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Предприемат се адекватни мерки за складиране, съхранение (ако е необходимо) и изхвърляне на утайките от отпадъчни води. Те трябва да включват също така план за управление на утайките от отпадъчните води.</w:t>
      </w:r>
    </w:p>
    <w:p w14:paraId="3652644C" w14:textId="1F3187D7" w:rsidR="0054290B" w:rsidRPr="00F06DE2" w:rsidRDefault="00D35E51" w:rsidP="008A1FEB">
      <w:pPr>
        <w:ind w:left="567" w:hanging="567"/>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r>
      <w:r w:rsidR="0054290B" w:rsidRPr="00F06DE2">
        <w:rPr>
          <w:rFonts w:ascii="Times New Roman" w:hAnsi="Times New Roman" w:cs="Times New Roman"/>
          <w:lang w:val="ru-RU"/>
        </w:rPr>
        <w:t xml:space="preserve">За целите на изпълнението на задачи съгласно настоящата глава компетентният орган може да наеме техническа служба. Отговорните технически служби трябва да отговарят на европейския стандарт </w:t>
      </w:r>
      <w:r w:rsidR="0054290B" w:rsidRPr="00F06DE2">
        <w:rPr>
          <w:rFonts w:ascii="Times New Roman" w:hAnsi="Times New Roman" w:cs="Times New Roman"/>
        </w:rPr>
        <w:t>EN</w:t>
      </w:r>
      <w:r w:rsidR="0054290B" w:rsidRPr="00F06DE2">
        <w:rPr>
          <w:rFonts w:ascii="Times New Roman" w:hAnsi="Times New Roman" w:cs="Times New Roman"/>
          <w:lang w:val="ru-RU"/>
        </w:rPr>
        <w:t xml:space="preserve"> 17025: 2017, като се вземат предвид следните условия:</w:t>
      </w:r>
    </w:p>
    <w:p w14:paraId="11DE76C7" w14:textId="60C990E3" w:rsidR="0054290B" w:rsidRPr="00F06DE2" w:rsidRDefault="0054290B"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а) производителите на бордови пречиствателни станции не могат да бъдат признати за технически </w:t>
      </w:r>
      <w:r w:rsidR="00A04726" w:rsidRPr="00F06DE2">
        <w:rPr>
          <w:rFonts w:ascii="Times New Roman" w:hAnsi="Times New Roman" w:cs="Times New Roman"/>
          <w:lang w:val="ru-RU"/>
        </w:rPr>
        <w:t>служби</w:t>
      </w:r>
      <w:r w:rsidRPr="00F06DE2">
        <w:rPr>
          <w:rFonts w:ascii="Times New Roman" w:hAnsi="Times New Roman" w:cs="Times New Roman"/>
          <w:lang w:val="ru-RU"/>
        </w:rPr>
        <w:t>;</w:t>
      </w:r>
    </w:p>
    <w:p w14:paraId="1E7F687E" w14:textId="226E1662" w:rsidR="00271FA2" w:rsidRPr="00F06DE2" w:rsidRDefault="0054290B" w:rsidP="008A1FEB">
      <w:pPr>
        <w:ind w:left="567"/>
        <w:jc w:val="both"/>
        <w:rPr>
          <w:rFonts w:ascii="Times New Roman" w:hAnsi="Times New Roman" w:cs="Times New Roman"/>
          <w:strike/>
          <w:lang w:val="ru-RU"/>
        </w:rPr>
      </w:pPr>
      <w:r w:rsidRPr="00F06DE2">
        <w:rPr>
          <w:rFonts w:ascii="Times New Roman" w:hAnsi="Times New Roman" w:cs="Times New Roman"/>
          <w:lang w:val="ru-RU"/>
        </w:rPr>
        <w:t>б) за целите на настоящата глава техническата служба може, със съгласието на компетентния орган, да използва съоръжения извън собствената си лаборатория</w:t>
      </w:r>
      <w:r w:rsidR="008A1FEB" w:rsidRPr="00F06DE2">
        <w:rPr>
          <w:rFonts w:ascii="Times New Roman" w:hAnsi="Times New Roman" w:cs="Times New Roman"/>
          <w:lang w:val="ru-RU"/>
        </w:rPr>
        <w:t>;</w:t>
      </w:r>
    </w:p>
    <w:p w14:paraId="18D86618" w14:textId="5B709604" w:rsidR="00271FA2" w:rsidRPr="00F06DE2" w:rsidRDefault="00D35E51" w:rsidP="008A1FEB">
      <w:pPr>
        <w:ind w:left="567" w:hanging="567"/>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r>
      <w:r w:rsidR="0054290B" w:rsidRPr="00F06DE2">
        <w:rPr>
          <w:rFonts w:ascii="Times New Roman" w:hAnsi="Times New Roman" w:cs="Times New Roman"/>
          <w:lang w:val="ru-RU"/>
        </w:rPr>
        <w:t xml:space="preserve">Всяка </w:t>
      </w:r>
      <w:r w:rsidR="003F6D5A" w:rsidRPr="00F06DE2">
        <w:rPr>
          <w:rFonts w:ascii="Times New Roman" w:hAnsi="Times New Roman" w:cs="Times New Roman"/>
          <w:lang w:val="ru-RU"/>
        </w:rPr>
        <w:t>бордова станция за пречистване на отпадъчни води</w:t>
      </w:r>
      <w:r w:rsidR="003F6D5A" w:rsidRPr="00F06DE2" w:rsidDel="003F6D5A">
        <w:rPr>
          <w:rFonts w:ascii="Times New Roman" w:hAnsi="Times New Roman" w:cs="Times New Roman"/>
          <w:lang w:val="ru-RU"/>
        </w:rPr>
        <w:t xml:space="preserve"> </w:t>
      </w:r>
      <w:r w:rsidR="0054290B" w:rsidRPr="00F06DE2">
        <w:rPr>
          <w:rFonts w:ascii="Times New Roman" w:hAnsi="Times New Roman" w:cs="Times New Roman"/>
          <w:lang w:val="ru-RU"/>
        </w:rPr>
        <w:t xml:space="preserve">се доставя с ръководство за експлоатацията съответствие с член 18.11. Ръководството за </w:t>
      </w:r>
      <w:r w:rsidR="003836D3" w:rsidRPr="00F06DE2">
        <w:rPr>
          <w:rFonts w:ascii="Times New Roman" w:hAnsi="Times New Roman" w:cs="Times New Roman"/>
          <w:lang w:val="ru-RU"/>
        </w:rPr>
        <w:t xml:space="preserve">екплоатация </w:t>
      </w:r>
      <w:r w:rsidR="0054290B" w:rsidRPr="00F06DE2">
        <w:rPr>
          <w:rFonts w:ascii="Times New Roman" w:hAnsi="Times New Roman" w:cs="Times New Roman"/>
          <w:lang w:val="ru-RU"/>
        </w:rPr>
        <w:t xml:space="preserve"> трябва да </w:t>
      </w:r>
      <w:r w:rsidR="000B5F1E" w:rsidRPr="00F06DE2">
        <w:rPr>
          <w:rFonts w:ascii="Times New Roman" w:hAnsi="Times New Roman" w:cs="Times New Roman"/>
          <w:lang w:val="ru-RU"/>
        </w:rPr>
        <w:t>е</w:t>
      </w:r>
      <w:r w:rsidR="0054290B" w:rsidRPr="00F06DE2">
        <w:rPr>
          <w:rFonts w:ascii="Times New Roman" w:hAnsi="Times New Roman" w:cs="Times New Roman"/>
          <w:lang w:val="ru-RU"/>
        </w:rPr>
        <w:t xml:space="preserve"> на борда.</w:t>
      </w:r>
      <w:r w:rsidR="000B5F1E" w:rsidRPr="00F06DE2">
        <w:rPr>
          <w:rFonts w:ascii="Times New Roman" w:hAnsi="Times New Roman" w:cs="Times New Roman"/>
          <w:lang w:val="ru-RU"/>
        </w:rPr>
        <w:t xml:space="preserve"> </w:t>
      </w:r>
    </w:p>
    <w:p w14:paraId="42C82037" w14:textId="71EA0A85" w:rsidR="00271FA2" w:rsidRPr="00F06DE2" w:rsidRDefault="00D35E51" w:rsidP="008A1FEB">
      <w:pPr>
        <w:ind w:left="567" w:hanging="567"/>
        <w:jc w:val="both"/>
        <w:rPr>
          <w:rFonts w:ascii="Times New Roman" w:hAnsi="Times New Roman" w:cs="Times New Roman"/>
          <w:strike/>
          <w:lang w:val="ru-RU"/>
        </w:rPr>
      </w:pPr>
      <w:r w:rsidRPr="00F06DE2">
        <w:rPr>
          <w:rFonts w:ascii="Times New Roman" w:hAnsi="Times New Roman" w:cs="Times New Roman"/>
          <w:lang w:val="ru-RU"/>
        </w:rPr>
        <w:t>7.</w:t>
      </w:r>
      <w:r w:rsidRPr="00F06DE2">
        <w:rPr>
          <w:rFonts w:ascii="Times New Roman" w:hAnsi="Times New Roman" w:cs="Times New Roman"/>
          <w:lang w:val="ru-RU"/>
        </w:rPr>
        <w:tab/>
      </w:r>
      <w:r w:rsidR="00C22EB3" w:rsidRPr="00F06DE2">
        <w:rPr>
          <w:rFonts w:ascii="Times New Roman" w:hAnsi="Times New Roman" w:cs="Times New Roman"/>
          <w:lang w:val="ru-RU"/>
        </w:rPr>
        <w:t>Граничните стойности, посочени в таблица 1 в точка 2, буква а), се потвърждават чрез изпитване на типа и се определят от типово одобрение. Одобрението на типа се удостоверява със сертификат за одобрение на типа. Ръководството на експлоатацията и копие от сертификата за типово одобрение се предоставят на компетентния орган и техническата служба при поискване.</w:t>
      </w:r>
    </w:p>
    <w:p w14:paraId="1288B5B9" w14:textId="3ECD9D2B" w:rsidR="00271FA2" w:rsidRPr="00F06DE2" w:rsidRDefault="00D35E51" w:rsidP="008A1FEB">
      <w:pPr>
        <w:pStyle w:val="ESch"/>
        <w:jc w:val="both"/>
        <w:rPr>
          <w:rFonts w:ascii="Times New Roman" w:hAnsi="Times New Roman" w:cs="Times New Roman"/>
          <w:strike/>
          <w:lang w:val="ru-RU"/>
        </w:rPr>
      </w:pPr>
      <w:r w:rsidRPr="00F06DE2">
        <w:rPr>
          <w:rFonts w:ascii="Times New Roman" w:hAnsi="Times New Roman" w:cs="Times New Roman"/>
          <w:lang w:val="ru-RU"/>
        </w:rPr>
        <w:t>8.</w:t>
      </w:r>
      <w:r w:rsidRPr="00F06DE2">
        <w:rPr>
          <w:rFonts w:ascii="Times New Roman" w:hAnsi="Times New Roman" w:cs="Times New Roman"/>
          <w:lang w:val="ru-RU"/>
        </w:rPr>
        <w:tab/>
      </w:r>
      <w:r w:rsidR="0023218F" w:rsidRPr="00F06DE2">
        <w:rPr>
          <w:rFonts w:ascii="Times New Roman" w:hAnsi="Times New Roman" w:cs="Times New Roman"/>
          <w:lang w:val="ru-RU"/>
        </w:rPr>
        <w:t>Бордовата станция за пречистване на отпадъчни води</w:t>
      </w:r>
      <w:r w:rsidR="0023218F" w:rsidRPr="00F06DE2" w:rsidDel="003F6D5A">
        <w:rPr>
          <w:rFonts w:ascii="Times New Roman" w:hAnsi="Times New Roman" w:cs="Times New Roman"/>
          <w:lang w:val="ru-RU"/>
        </w:rPr>
        <w:t xml:space="preserve"> </w:t>
      </w:r>
      <w:r w:rsidR="00C22EB3" w:rsidRPr="00F06DE2">
        <w:rPr>
          <w:rFonts w:ascii="Times New Roman" w:hAnsi="Times New Roman" w:cs="Times New Roman"/>
          <w:lang w:val="ru-RU"/>
        </w:rPr>
        <w:t>се проектира по такъв начин, че неизправностите в работата или повредата на бордовата пречиствателна станция да не водят до изпускане на непречистени отпадъчни води във водния път.</w:t>
      </w:r>
    </w:p>
    <w:p w14:paraId="21B04896" w14:textId="0F6E6E42" w:rsidR="00271FA2" w:rsidRPr="00F06DE2" w:rsidRDefault="00D35E51" w:rsidP="008A1FEB">
      <w:pPr>
        <w:pStyle w:val="ESch"/>
        <w:jc w:val="both"/>
        <w:rPr>
          <w:rFonts w:ascii="Times New Roman" w:hAnsi="Times New Roman" w:cs="Times New Roman"/>
          <w:lang w:val="ru-RU"/>
        </w:rPr>
      </w:pPr>
      <w:r w:rsidRPr="00F06DE2">
        <w:rPr>
          <w:rFonts w:ascii="Times New Roman" w:hAnsi="Times New Roman" w:cs="Times New Roman"/>
          <w:lang w:val="ru-RU"/>
        </w:rPr>
        <w:t xml:space="preserve">9. </w:t>
      </w:r>
      <w:r w:rsidRPr="00F06DE2">
        <w:rPr>
          <w:rFonts w:ascii="Times New Roman" w:hAnsi="Times New Roman" w:cs="Times New Roman"/>
          <w:lang w:val="ru-RU"/>
        </w:rPr>
        <w:tab/>
      </w:r>
      <w:r w:rsidR="00C22EB3" w:rsidRPr="00F06DE2">
        <w:rPr>
          <w:rFonts w:ascii="Times New Roman" w:hAnsi="Times New Roman" w:cs="Times New Roman"/>
          <w:lang w:val="ru-RU"/>
        </w:rPr>
        <w:t xml:space="preserve">Всяка </w:t>
      </w:r>
      <w:r w:rsidR="0023218F" w:rsidRPr="00F06DE2">
        <w:rPr>
          <w:rFonts w:ascii="Times New Roman" w:hAnsi="Times New Roman" w:cs="Times New Roman"/>
          <w:lang w:val="ru-RU"/>
        </w:rPr>
        <w:t>бордова станция за пречистване на отпадъчни води</w:t>
      </w:r>
      <w:r w:rsidR="0023218F" w:rsidRPr="00F06DE2" w:rsidDel="003F6D5A">
        <w:rPr>
          <w:rFonts w:ascii="Times New Roman" w:hAnsi="Times New Roman" w:cs="Times New Roman"/>
          <w:lang w:val="ru-RU"/>
        </w:rPr>
        <w:t xml:space="preserve"> </w:t>
      </w:r>
      <w:r w:rsidR="00C22EB3" w:rsidRPr="00F06DE2">
        <w:rPr>
          <w:rFonts w:ascii="Times New Roman" w:hAnsi="Times New Roman" w:cs="Times New Roman"/>
          <w:lang w:val="ru-RU"/>
        </w:rPr>
        <w:t>трябва да има точка за вземане на проби (кран за вземане на проби).</w:t>
      </w:r>
    </w:p>
    <w:p w14:paraId="02DD55D2" w14:textId="4B5D0F4E" w:rsidR="00C22EB3" w:rsidRPr="00F06DE2" w:rsidRDefault="00C22EB3" w:rsidP="008A1FEB">
      <w:pPr>
        <w:ind w:left="567" w:hanging="567"/>
        <w:rPr>
          <w:rFonts w:ascii="Times New Roman" w:hAnsi="Times New Roman" w:cs="Times New Roman"/>
          <w:lang w:val="ru-RU"/>
        </w:rPr>
      </w:pPr>
      <w:r w:rsidRPr="00F06DE2">
        <w:rPr>
          <w:rFonts w:ascii="Times New Roman" w:hAnsi="Times New Roman" w:cs="Times New Roman"/>
          <w:lang w:val="ru-RU"/>
        </w:rPr>
        <w:t xml:space="preserve">10. </w:t>
      </w:r>
      <w:r w:rsidRPr="00F06DE2">
        <w:rPr>
          <w:rFonts w:ascii="Times New Roman" w:hAnsi="Times New Roman" w:cs="Times New Roman"/>
          <w:lang w:val="ru-RU"/>
        </w:rPr>
        <w:tab/>
        <w:t xml:space="preserve">В т. 52 от </w:t>
      </w:r>
      <w:r w:rsidR="008E3F63" w:rsidRPr="00F06DE2">
        <w:rPr>
          <w:rFonts w:ascii="Times New Roman" w:hAnsi="Times New Roman" w:cs="Times New Roman"/>
          <w:lang w:val="ru-RU"/>
        </w:rPr>
        <w:t xml:space="preserve"> корабното удостоверение  за вътрешно корабоплаване </w:t>
      </w:r>
      <w:r w:rsidRPr="00F06DE2">
        <w:rPr>
          <w:rFonts w:ascii="Times New Roman" w:hAnsi="Times New Roman" w:cs="Times New Roman"/>
          <w:lang w:val="ru-RU"/>
        </w:rPr>
        <w:t>за всичк</w:t>
      </w:r>
      <w:r w:rsidR="008E3F63" w:rsidRPr="00F06DE2">
        <w:rPr>
          <w:rFonts w:ascii="Times New Roman" w:hAnsi="Times New Roman" w:cs="Times New Roman"/>
          <w:lang w:val="ru-RU"/>
        </w:rPr>
        <w:t>а</w:t>
      </w:r>
      <w:r w:rsidRPr="00F06DE2">
        <w:rPr>
          <w:rFonts w:ascii="Times New Roman" w:hAnsi="Times New Roman" w:cs="Times New Roman"/>
          <w:lang w:val="ru-RU"/>
        </w:rPr>
        <w:t xml:space="preserve"> </w:t>
      </w:r>
      <w:r w:rsidR="00A0287D" w:rsidRPr="00F06DE2">
        <w:rPr>
          <w:rFonts w:ascii="Times New Roman" w:hAnsi="Times New Roman" w:cs="Times New Roman"/>
          <w:lang w:val="ru-RU"/>
        </w:rPr>
        <w:t>бордова станция за пречистване на отпадъчни води</w:t>
      </w:r>
      <w:r w:rsidR="00A0287D" w:rsidRPr="00F06DE2" w:rsidDel="003F6D5A">
        <w:rPr>
          <w:rFonts w:ascii="Times New Roman" w:hAnsi="Times New Roman" w:cs="Times New Roman"/>
          <w:lang w:val="ru-RU"/>
        </w:rPr>
        <w:t xml:space="preserve"> </w:t>
      </w:r>
      <w:r w:rsidRPr="00F06DE2">
        <w:rPr>
          <w:rFonts w:ascii="Times New Roman" w:hAnsi="Times New Roman" w:cs="Times New Roman"/>
          <w:lang w:val="ru-RU"/>
        </w:rPr>
        <w:t>се вписват следните данни:</w:t>
      </w:r>
    </w:p>
    <w:p w14:paraId="00321D07" w14:textId="77777777" w:rsidR="00C22EB3" w:rsidRPr="00F06DE2" w:rsidRDefault="00C22EB3" w:rsidP="008A1FEB">
      <w:pPr>
        <w:ind w:left="567"/>
        <w:rPr>
          <w:rFonts w:ascii="Times New Roman" w:hAnsi="Times New Roman" w:cs="Times New Roman"/>
          <w:lang w:val="ru-RU"/>
        </w:rPr>
      </w:pPr>
      <w:r w:rsidRPr="00F06DE2">
        <w:rPr>
          <w:rFonts w:ascii="Times New Roman" w:hAnsi="Times New Roman" w:cs="Times New Roman"/>
          <w:lang w:val="ru-RU"/>
        </w:rPr>
        <w:t>а) име на производителя;</w:t>
      </w:r>
    </w:p>
    <w:p w14:paraId="1D9050D1" w14:textId="77777777" w:rsidR="00C22EB3" w:rsidRPr="00F06DE2" w:rsidRDefault="00C22EB3" w:rsidP="008A1FEB">
      <w:pPr>
        <w:ind w:left="567"/>
        <w:rPr>
          <w:rFonts w:ascii="Times New Roman" w:hAnsi="Times New Roman" w:cs="Times New Roman"/>
          <w:lang w:val="ru-RU"/>
        </w:rPr>
      </w:pPr>
      <w:r w:rsidRPr="00F06DE2">
        <w:rPr>
          <w:rFonts w:ascii="Times New Roman" w:hAnsi="Times New Roman" w:cs="Times New Roman"/>
          <w:lang w:val="ru-RU"/>
        </w:rPr>
        <w:t>б) тип бордова пречиствателна станция;</w:t>
      </w:r>
    </w:p>
    <w:p w14:paraId="44792009" w14:textId="77777777" w:rsidR="00C22EB3" w:rsidRPr="00F06DE2" w:rsidRDefault="00C22EB3" w:rsidP="008A1FEB">
      <w:pPr>
        <w:ind w:left="567"/>
        <w:rPr>
          <w:rFonts w:ascii="Times New Roman" w:hAnsi="Times New Roman" w:cs="Times New Roman"/>
          <w:lang w:val="ru-RU"/>
        </w:rPr>
      </w:pPr>
      <w:r w:rsidRPr="00F06DE2">
        <w:rPr>
          <w:rFonts w:ascii="Times New Roman" w:hAnsi="Times New Roman" w:cs="Times New Roman"/>
          <w:lang w:val="ru-RU"/>
        </w:rPr>
        <w:t>в) номер на типовото одобрение;</w:t>
      </w:r>
    </w:p>
    <w:p w14:paraId="75CED91A" w14:textId="77777777" w:rsidR="00C22EB3" w:rsidRPr="00F06DE2" w:rsidRDefault="00C22EB3" w:rsidP="008A1FEB">
      <w:pPr>
        <w:ind w:left="567"/>
        <w:rPr>
          <w:rFonts w:ascii="Times New Roman" w:hAnsi="Times New Roman" w:cs="Times New Roman"/>
          <w:lang w:val="ru-RU"/>
        </w:rPr>
      </w:pPr>
      <w:r w:rsidRPr="00F06DE2">
        <w:rPr>
          <w:rFonts w:ascii="Times New Roman" w:hAnsi="Times New Roman" w:cs="Times New Roman"/>
          <w:lang w:val="ru-RU"/>
        </w:rPr>
        <w:t>г) сериен номер;</w:t>
      </w:r>
    </w:p>
    <w:p w14:paraId="1B6BA080" w14:textId="77777777" w:rsidR="00C22EB3" w:rsidRPr="00F06DE2" w:rsidRDefault="00C22EB3" w:rsidP="008A1FEB">
      <w:pPr>
        <w:ind w:left="567"/>
        <w:rPr>
          <w:rFonts w:ascii="Times New Roman" w:hAnsi="Times New Roman" w:cs="Times New Roman"/>
          <w:lang w:val="ru-RU"/>
        </w:rPr>
      </w:pPr>
      <w:r w:rsidRPr="00F06DE2">
        <w:rPr>
          <w:rFonts w:ascii="Times New Roman" w:hAnsi="Times New Roman" w:cs="Times New Roman"/>
          <w:lang w:val="ru-RU"/>
        </w:rPr>
        <w:t>д) година на построяване.</w:t>
      </w:r>
    </w:p>
    <w:p w14:paraId="0AF91144" w14:textId="4C20F66E" w:rsidR="00C22EB3" w:rsidRPr="00F06DE2" w:rsidRDefault="00C22EB3" w:rsidP="00097008">
      <w:pPr>
        <w:spacing w:after="240"/>
        <w:ind w:left="567" w:hanging="567"/>
        <w:jc w:val="both"/>
        <w:rPr>
          <w:rFonts w:ascii="Times New Roman" w:hAnsi="Times New Roman" w:cs="Times New Roman"/>
          <w:strike/>
          <w:lang w:val="ru-RU"/>
        </w:rPr>
      </w:pPr>
      <w:r w:rsidRPr="00F06DE2">
        <w:rPr>
          <w:rFonts w:ascii="Times New Roman" w:hAnsi="Times New Roman" w:cs="Times New Roman"/>
          <w:lang w:val="ru-RU"/>
        </w:rPr>
        <w:t xml:space="preserve">11. </w:t>
      </w:r>
      <w:r w:rsidRPr="00F06DE2">
        <w:rPr>
          <w:rFonts w:ascii="Times New Roman" w:hAnsi="Times New Roman" w:cs="Times New Roman"/>
          <w:lang w:val="ru-RU"/>
        </w:rPr>
        <w:tab/>
      </w:r>
      <w:r w:rsidR="00A0287D" w:rsidRPr="00F06DE2">
        <w:rPr>
          <w:rFonts w:ascii="Times New Roman" w:hAnsi="Times New Roman" w:cs="Times New Roman"/>
          <w:lang w:val="ru-RU"/>
        </w:rPr>
        <w:t>Бордовата станция за пречистване на отпадъчни води</w:t>
      </w:r>
      <w:r w:rsidR="00A0287D" w:rsidRPr="00F06DE2" w:rsidDel="003F6D5A">
        <w:rPr>
          <w:rFonts w:ascii="Times New Roman" w:hAnsi="Times New Roman" w:cs="Times New Roman"/>
          <w:lang w:val="ru-RU"/>
        </w:rPr>
        <w:t xml:space="preserve"> </w:t>
      </w:r>
      <w:r w:rsidRPr="00F06DE2">
        <w:rPr>
          <w:rFonts w:ascii="Times New Roman" w:hAnsi="Times New Roman" w:cs="Times New Roman"/>
          <w:lang w:val="ru-RU"/>
        </w:rPr>
        <w:t>се обслужва на редовни интервали и в съответствие с инструкциите на производителя. Поддръжката трябва да бъде документирана в ръководството за управление на експлоатацията.</w:t>
      </w:r>
    </w:p>
    <w:p w14:paraId="10180B1D" w14:textId="7BD5158A" w:rsidR="00271FA2" w:rsidRPr="00F06DE2" w:rsidRDefault="00D35E51" w:rsidP="0009417B">
      <w:pPr>
        <w:pStyle w:val="ES-Titre3"/>
        <w:spacing w:line="240" w:lineRule="atLeast"/>
        <w:rPr>
          <w:rFonts w:ascii="Times New Roman" w:hAnsi="Times New Roman" w:cs="Times New Roman"/>
          <w:i/>
          <w:sz w:val="24"/>
          <w:szCs w:val="24"/>
          <w:lang w:val="ru-RU"/>
        </w:rPr>
      </w:pPr>
      <w:bookmarkStart w:id="312" w:name="_Toc535827600"/>
      <w:bookmarkStart w:id="313" w:name="_Toc491854159"/>
      <w:r w:rsidRPr="00F06DE2">
        <w:rPr>
          <w:rFonts w:ascii="Times New Roman" w:hAnsi="Times New Roman" w:cs="Times New Roman"/>
          <w:sz w:val="24"/>
          <w:szCs w:val="24"/>
          <w:lang w:val="ru-RU"/>
        </w:rPr>
        <w:t>Член 18.02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Заявление за одобрение на типа</w:t>
      </w:r>
      <w:bookmarkEnd w:id="312"/>
      <w:bookmarkEnd w:id="313"/>
    </w:p>
    <w:p w14:paraId="677E3921" w14:textId="2CB46461" w:rsidR="00411A76" w:rsidRPr="00F06DE2" w:rsidRDefault="00D35E51" w:rsidP="008A1FEB">
      <w:pPr>
        <w:ind w:left="567" w:hanging="567"/>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Производителят подава пред компетентния орган заявление за одобрение на типа на бордова станция за пречистване на отпадъчни води</w:t>
      </w:r>
      <w:r w:rsidR="00411A76" w:rsidRPr="00F06DE2">
        <w:rPr>
          <w:rFonts w:ascii="Times New Roman" w:hAnsi="Times New Roman" w:cs="Times New Roman"/>
          <w:lang w:val="ru-RU"/>
        </w:rPr>
        <w:t xml:space="preserve"> </w:t>
      </w:r>
      <w:r w:rsidR="004318DF" w:rsidRPr="00F06DE2">
        <w:rPr>
          <w:rFonts w:ascii="Times New Roman" w:hAnsi="Times New Roman" w:cs="Times New Roman"/>
          <w:lang w:val="ru-RU"/>
        </w:rPr>
        <w:t>к</w:t>
      </w:r>
      <w:r w:rsidR="00411A76" w:rsidRPr="00F06DE2">
        <w:rPr>
          <w:rFonts w:ascii="Times New Roman" w:hAnsi="Times New Roman" w:cs="Times New Roman"/>
          <w:lang w:val="ru-RU"/>
        </w:rPr>
        <w:t>ъм заявлението се прилагат</w:t>
      </w:r>
      <w:r w:rsidR="00FE3B95" w:rsidRPr="00F06DE2">
        <w:rPr>
          <w:rFonts w:ascii="Times New Roman" w:hAnsi="Times New Roman" w:cs="Times New Roman"/>
          <w:lang w:val="ru-RU"/>
        </w:rPr>
        <w:t>:</w:t>
      </w:r>
    </w:p>
    <w:p w14:paraId="70628FCF" w14:textId="64629785" w:rsidR="00411A76" w:rsidRPr="00F06DE2" w:rsidRDefault="00411A76" w:rsidP="008A1FEB">
      <w:pPr>
        <w:ind w:left="567"/>
        <w:jc w:val="both"/>
        <w:rPr>
          <w:rFonts w:ascii="Times New Roman" w:hAnsi="Times New Roman" w:cs="Times New Roman"/>
          <w:lang w:val="ru-RU"/>
        </w:rPr>
      </w:pPr>
      <w:r w:rsidRPr="00F06DE2">
        <w:rPr>
          <w:rFonts w:ascii="Times New Roman" w:hAnsi="Times New Roman" w:cs="Times New Roman"/>
          <w:lang w:val="ru-RU"/>
        </w:rPr>
        <w:t>а) Информационна папка в съответствие с член 18.00</w:t>
      </w:r>
      <w:r w:rsidR="004318DF" w:rsidRPr="00F06DE2">
        <w:rPr>
          <w:rFonts w:ascii="Times New Roman" w:hAnsi="Times New Roman" w:cs="Times New Roman"/>
          <w:lang w:val="ru-RU"/>
        </w:rPr>
        <w:t>,</w:t>
      </w:r>
      <w:r w:rsidRPr="00F06DE2">
        <w:rPr>
          <w:rFonts w:ascii="Times New Roman" w:hAnsi="Times New Roman" w:cs="Times New Roman"/>
          <w:lang w:val="ru-RU"/>
        </w:rPr>
        <w:t xml:space="preserve"> </w:t>
      </w:r>
      <w:r w:rsidR="00924374" w:rsidRPr="00F06DE2">
        <w:rPr>
          <w:rFonts w:ascii="Times New Roman" w:hAnsi="Times New Roman" w:cs="Times New Roman"/>
          <w:lang w:val="ru-RU"/>
        </w:rPr>
        <w:t>т.</w:t>
      </w:r>
      <w:r w:rsidRPr="00F06DE2">
        <w:rPr>
          <w:rFonts w:ascii="Times New Roman" w:hAnsi="Times New Roman" w:cs="Times New Roman"/>
          <w:lang w:val="ru-RU"/>
        </w:rPr>
        <w:t>6</w:t>
      </w:r>
    </w:p>
    <w:p w14:paraId="1033FCD3" w14:textId="355BAA6D" w:rsidR="00411A76" w:rsidRPr="00F06DE2" w:rsidRDefault="00411A76" w:rsidP="008A1FEB">
      <w:pPr>
        <w:ind w:left="567"/>
        <w:jc w:val="both"/>
        <w:rPr>
          <w:rFonts w:ascii="Times New Roman" w:hAnsi="Times New Roman" w:cs="Times New Roman"/>
          <w:lang w:val="ru-RU"/>
        </w:rPr>
      </w:pPr>
      <w:r w:rsidRPr="00F06DE2">
        <w:rPr>
          <w:rFonts w:ascii="Times New Roman" w:hAnsi="Times New Roman" w:cs="Times New Roman"/>
          <w:lang w:val="ru-RU"/>
        </w:rPr>
        <w:lastRenderedPageBreak/>
        <w:t>б)  проектът на запис на параметрите на бордовата станция за пречистване на отпадъчни води в ръководството за управление на операциите в съответствие с член 18.11, и</w:t>
      </w:r>
    </w:p>
    <w:p w14:paraId="3576F19C" w14:textId="4ABB3525" w:rsidR="00411A76" w:rsidRPr="00F06DE2" w:rsidRDefault="00411A76" w:rsidP="008A1FEB">
      <w:pPr>
        <w:ind w:left="567"/>
        <w:jc w:val="both"/>
        <w:rPr>
          <w:rFonts w:ascii="Times New Roman" w:hAnsi="Times New Roman" w:cs="Times New Roman"/>
          <w:strike/>
          <w:lang w:val="ru-RU"/>
        </w:rPr>
      </w:pPr>
      <w:r w:rsidRPr="00F06DE2">
        <w:rPr>
          <w:rFonts w:ascii="Times New Roman" w:hAnsi="Times New Roman" w:cs="Times New Roman"/>
          <w:lang w:val="ru-RU"/>
        </w:rPr>
        <w:t>в) ръководство на производителя за проверка на компонентите и параметрите, свързани с пречистването на отпадъчни води за този тип бордова пречиствателна станция в съот</w:t>
      </w:r>
      <w:r w:rsidR="00A552BA" w:rsidRPr="00F06DE2">
        <w:rPr>
          <w:rFonts w:ascii="Times New Roman" w:hAnsi="Times New Roman" w:cs="Times New Roman"/>
          <w:lang w:val="ru-RU"/>
        </w:rPr>
        <w:t xml:space="preserve">ветствие с член 18.00 </w:t>
      </w:r>
      <w:r w:rsidR="00CF69D4" w:rsidRPr="00F06DE2">
        <w:rPr>
          <w:rFonts w:ascii="Times New Roman" w:hAnsi="Times New Roman" w:cs="Times New Roman"/>
          <w:lang w:val="ru-RU"/>
        </w:rPr>
        <w:t>т.10</w:t>
      </w:r>
      <w:r w:rsidRPr="00F06DE2">
        <w:rPr>
          <w:rFonts w:ascii="Times New Roman" w:hAnsi="Times New Roman" w:cs="Times New Roman"/>
          <w:lang w:val="ru-RU"/>
        </w:rPr>
        <w:t xml:space="preserve"> </w:t>
      </w:r>
    </w:p>
    <w:p w14:paraId="011442C1" w14:textId="73D2A614" w:rsidR="00411A76" w:rsidRPr="00F06DE2" w:rsidRDefault="00411A76" w:rsidP="008A1FEB">
      <w:pPr>
        <w:ind w:left="567"/>
        <w:jc w:val="both"/>
        <w:rPr>
          <w:rFonts w:ascii="Times New Roman" w:hAnsi="Times New Roman" w:cs="Times New Roman"/>
          <w:lang w:val="ru-RU"/>
        </w:rPr>
      </w:pPr>
      <w:r w:rsidRPr="00F06DE2">
        <w:rPr>
          <w:rFonts w:ascii="Times New Roman" w:hAnsi="Times New Roman" w:cs="Times New Roman"/>
          <w:lang w:val="ru-RU"/>
        </w:rPr>
        <w:t>За типовото изпитване производителят демонстрира прототип на бордовата пречиствателна станция за отпадъчни води.</w:t>
      </w:r>
    </w:p>
    <w:p w14:paraId="10737EDA" w14:textId="77777777" w:rsidR="00271FA2" w:rsidRPr="00F06DE2" w:rsidRDefault="00D35E51" w:rsidP="008A1FEB">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Ако при конкретно заявление за одобрение на типа на бордова станция за пречистване на отпадъчни води компетентният орган счете, че заявлението, подадено във връзка с представения прототип на станция, не е представително за характеристиките на този тип бордова станция за пречистване на отпадъчни води, както е описано в Приложение 7, раздел </w:t>
      </w:r>
      <w:r w:rsidRPr="00F06DE2">
        <w:rPr>
          <w:rFonts w:ascii="Times New Roman" w:hAnsi="Times New Roman" w:cs="Times New Roman"/>
        </w:rPr>
        <w:t>II</w:t>
      </w:r>
      <w:r w:rsidRPr="00F06DE2">
        <w:rPr>
          <w:rFonts w:ascii="Times New Roman" w:hAnsi="Times New Roman" w:cs="Times New Roman"/>
          <w:lang w:val="ru-RU"/>
        </w:rPr>
        <w:t>, допълнение 1, то за одобрение в съответствие с точка 1 трябва да бъде предоставен друг прототип (ако е необходимо — допълнителен), който се определя от компетентния орган.</w:t>
      </w:r>
    </w:p>
    <w:p w14:paraId="6B284118" w14:textId="12ECD694" w:rsidR="006D511E" w:rsidRPr="00F06DE2" w:rsidRDefault="00D35E51" w:rsidP="008A1FEB">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Заявление за одобрение на типа на бордова станция за пречистване на отпадъчни води не може да бъде подавано до повече от един компетентен орган. За всеки тип бордова станция за пречистване на отпадъчни води, който трябва да бъде одобрен, се подава отделно заявление.</w:t>
      </w:r>
      <w:r w:rsidR="0097711D" w:rsidRPr="00F06DE2">
        <w:rPr>
          <w:rFonts w:ascii="Times New Roman" w:hAnsi="Times New Roman" w:cs="Times New Roman"/>
          <w:lang w:val="ru-RU"/>
        </w:rPr>
        <w:t>т.т.</w:t>
      </w:r>
    </w:p>
    <w:p w14:paraId="02562E82" w14:textId="77777777" w:rsidR="00271FA2" w:rsidRPr="00F06DE2" w:rsidRDefault="00D35E51" w:rsidP="008A1FEB">
      <w:pPr>
        <w:pStyle w:val="ES-Titre3"/>
        <w:spacing w:line="240" w:lineRule="atLeast"/>
        <w:ind w:left="567" w:hanging="567"/>
        <w:rPr>
          <w:rFonts w:ascii="Times New Roman" w:hAnsi="Times New Roman" w:cs="Times New Roman"/>
          <w:i/>
          <w:sz w:val="24"/>
          <w:szCs w:val="24"/>
          <w:lang w:val="ru-RU"/>
        </w:rPr>
      </w:pPr>
      <w:bookmarkStart w:id="314" w:name="_Toc491854160"/>
      <w:bookmarkStart w:id="315" w:name="_Toc535827601"/>
      <w:r w:rsidRPr="00F06DE2">
        <w:rPr>
          <w:rFonts w:ascii="Times New Roman" w:hAnsi="Times New Roman" w:cs="Times New Roman"/>
          <w:sz w:val="24"/>
          <w:szCs w:val="24"/>
          <w:lang w:val="ru-RU"/>
        </w:rPr>
        <w:t>Член 18.03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Процедура за одобряване на типа</w:t>
      </w:r>
      <w:bookmarkEnd w:id="314"/>
      <w:bookmarkEnd w:id="315"/>
    </w:p>
    <w:p w14:paraId="3F42DD36" w14:textId="22F0A922" w:rsidR="00271FA2" w:rsidRPr="00F06DE2" w:rsidRDefault="00D35E51" w:rsidP="008924DA">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Компетентният орган, до който е подадено заявлението, издава одобрението на типа за типа бордова станция за пречистване на отпадъчни води, който съответства на описанията в информационното досие и отговаря на изискванията на настоящата глава. Изпълнението на тези изисквания се </w:t>
      </w:r>
      <w:r w:rsidR="001A56C3" w:rsidRPr="00F06DE2">
        <w:rPr>
          <w:rFonts w:ascii="Times New Roman" w:hAnsi="Times New Roman" w:cs="Times New Roman"/>
          <w:lang w:val="ru-RU"/>
        </w:rPr>
        <w:t xml:space="preserve">се доказва с тест </w:t>
      </w:r>
      <w:r w:rsidRPr="00F06DE2">
        <w:rPr>
          <w:rFonts w:ascii="Times New Roman" w:hAnsi="Times New Roman" w:cs="Times New Roman"/>
          <w:lang w:val="ru-RU"/>
        </w:rPr>
        <w:t>в съответствие с Приложение</w:t>
      </w:r>
      <w:r w:rsidRPr="00F06DE2">
        <w:rPr>
          <w:rFonts w:ascii="Times New Roman" w:hAnsi="Times New Roman" w:cs="Times New Roman"/>
        </w:rPr>
        <w:t> </w:t>
      </w:r>
      <w:r w:rsidRPr="00F06DE2">
        <w:rPr>
          <w:rFonts w:ascii="Times New Roman" w:hAnsi="Times New Roman" w:cs="Times New Roman"/>
          <w:lang w:val="ru-RU"/>
        </w:rPr>
        <w:t>7, раздел</w:t>
      </w:r>
      <w:r w:rsidRPr="00F06DE2">
        <w:rPr>
          <w:rFonts w:ascii="Times New Roman" w:hAnsi="Times New Roman" w:cs="Times New Roman"/>
        </w:rPr>
        <w:t> IX</w:t>
      </w:r>
      <w:r w:rsidRPr="00F06DE2">
        <w:rPr>
          <w:rFonts w:ascii="Times New Roman" w:hAnsi="Times New Roman" w:cs="Times New Roman"/>
          <w:lang w:val="ru-RU"/>
        </w:rPr>
        <w:t>.</w:t>
      </w:r>
    </w:p>
    <w:p w14:paraId="032D2C00" w14:textId="77777777" w:rsidR="00271FA2" w:rsidRPr="00F06DE2" w:rsidRDefault="00D35E51" w:rsidP="008924DA">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За всеки тип бордова станция за пречистване на отпадъчни води, която одобрява, компетентният орган попълва всички съответни части на удостоверението за одобрение на типа, образецът за което е даден в Приложение 7, раздел </w:t>
      </w:r>
      <w:r w:rsidRPr="00F06DE2">
        <w:rPr>
          <w:rFonts w:ascii="Times New Roman" w:hAnsi="Times New Roman" w:cs="Times New Roman"/>
        </w:rPr>
        <w:t>III</w:t>
      </w:r>
      <w:r w:rsidRPr="00F06DE2">
        <w:rPr>
          <w:rFonts w:ascii="Times New Roman" w:hAnsi="Times New Roman" w:cs="Times New Roman"/>
          <w:lang w:val="ru-RU"/>
        </w:rPr>
        <w:t xml:space="preserve">, и съставя или проверява съдържанието на азбучния указател към информационния пакет. Удостоверенията за одобрение на типа се номерират в съответствие с метода, описан в Приложение 7, раздел </w:t>
      </w:r>
      <w:r w:rsidRPr="00F06DE2">
        <w:rPr>
          <w:rFonts w:ascii="Times New Roman" w:hAnsi="Times New Roman" w:cs="Times New Roman"/>
        </w:rPr>
        <w:t>IV</w:t>
      </w:r>
      <w:r w:rsidRPr="00F06DE2">
        <w:rPr>
          <w:rFonts w:ascii="Times New Roman" w:hAnsi="Times New Roman" w:cs="Times New Roman"/>
          <w:lang w:val="ru-RU"/>
        </w:rPr>
        <w:t>. Изготвеното</w:t>
      </w:r>
      <w:r w:rsidRPr="00F06DE2">
        <w:rPr>
          <w:rFonts w:ascii="Times New Roman" w:hAnsi="Times New Roman" w:cs="Times New Roman"/>
          <w:color w:val="4F81BD" w:themeColor="accent1"/>
          <w:lang w:val="ru-RU"/>
        </w:rPr>
        <w:t xml:space="preserve"> </w:t>
      </w:r>
      <w:r w:rsidRPr="00F06DE2">
        <w:rPr>
          <w:rFonts w:ascii="Times New Roman" w:hAnsi="Times New Roman" w:cs="Times New Roman"/>
          <w:lang w:val="ru-RU"/>
        </w:rPr>
        <w:t>удостоверение за одобрение на типа и приложенията към него се предават на заявителя.</w:t>
      </w:r>
    </w:p>
    <w:p w14:paraId="76FDBC23" w14:textId="77777777" w:rsidR="00271FA2" w:rsidRPr="00F06DE2" w:rsidRDefault="00D35E51" w:rsidP="00097008">
      <w:pPr>
        <w:pStyle w:val="ESch"/>
        <w:spacing w:after="240"/>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Ако бордовата станция за пречистване на отпадъчни води, подлежаща на одобряване, може да изпълнява функцията си или притежава специфични свойства само в комбинация с други компоненти на плавателното средство, на което тя ще се инсталира, и ако по тази причина съответствието с едно или повече изисквания може да бъде проверено само ако подлежащата на одобряване бордова станция за пречистване на отпадъчни води работи заедно с други реални или симулирани компоненти на плавателното средство, обхватът на одобрението на типа на тази бордова станция за пречистване на отпадъчни води следва да бъде съответно ограничен. В такива случаи всички ограничения за използването и всички изисквания за монтажа се описват подробно в удостоверението за одобрение на типа за този тип пречиствателна станция.</w:t>
      </w:r>
    </w:p>
    <w:p w14:paraId="7F277723"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16" w:name="_Toc491854161"/>
      <w:bookmarkStart w:id="317" w:name="_Toc535827602"/>
      <w:r w:rsidRPr="00F06DE2">
        <w:rPr>
          <w:rFonts w:ascii="Times New Roman" w:hAnsi="Times New Roman" w:cs="Times New Roman"/>
          <w:sz w:val="24"/>
          <w:szCs w:val="24"/>
          <w:lang w:val="ru-RU"/>
        </w:rPr>
        <w:t>Член 18.04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Изменение на одобренията на типа</w:t>
      </w:r>
      <w:bookmarkEnd w:id="316"/>
      <w:bookmarkEnd w:id="317"/>
    </w:p>
    <w:p w14:paraId="28126431" w14:textId="77777777" w:rsidR="00271FA2" w:rsidRPr="00F06DE2" w:rsidRDefault="00D35E51" w:rsidP="008A1FEB">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Компетентният орган, който е издал одобрението на типа взема необходимите мерки, за да гарантира, че ще бъде информиран за всяка промяна в данните, съдържащи се в информационния пакет.</w:t>
      </w:r>
    </w:p>
    <w:p w14:paraId="649A639F" w14:textId="77777777" w:rsidR="00271FA2" w:rsidRPr="00F06DE2" w:rsidRDefault="00D35E51" w:rsidP="008A1FEB">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Заявлението за изменение или удължаване на дадено одобрение на типа се подава само до компетентния орган, който е издал първоначалното одобрение на типа.</w:t>
      </w:r>
    </w:p>
    <w:p w14:paraId="11ECB0F8" w14:textId="77777777" w:rsidR="00271FA2" w:rsidRPr="00F06DE2" w:rsidRDefault="00D35E51" w:rsidP="008A1FEB">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Ако характеристиките на бордовата станция за пречистване на отпадъчни води, както са описани в информационния пакет, са променени, компетентният орган:</w:t>
      </w:r>
    </w:p>
    <w:p w14:paraId="404DC447" w14:textId="77777777" w:rsidR="00271FA2" w:rsidRPr="00F06DE2" w:rsidRDefault="00D35E51" w:rsidP="008A1FEB">
      <w:pPr>
        <w:pStyle w:val="ESlet"/>
        <w:spacing w:before="0"/>
        <w:ind w:left="567"/>
        <w:jc w:val="both"/>
        <w:rPr>
          <w:rFonts w:ascii="Times New Roman" w:hAnsi="Times New Roman" w:cs="Times New Roman"/>
          <w:lang w:val="ru-RU"/>
        </w:rPr>
      </w:pPr>
      <w:r w:rsidRPr="00F06DE2">
        <w:rPr>
          <w:rFonts w:ascii="Times New Roman" w:hAnsi="Times New Roman" w:cs="Times New Roman"/>
        </w:rPr>
        <w:lastRenderedPageBreak/>
        <w:t>a</w:t>
      </w:r>
      <w:r w:rsidRPr="00F06DE2">
        <w:rPr>
          <w:rFonts w:ascii="Times New Roman" w:hAnsi="Times New Roman" w:cs="Times New Roman"/>
          <w:lang w:val="ru-RU"/>
        </w:rPr>
        <w:t>) според необходимостта издава преразгледаните страници от информационния пакет, отбелязвайки всяка от тях, за да посочи ясно естеството на промяната и датата на преиздаване. Всеки път, когато се издават преразгледани страници, азбучният указател на информационния пакет, приложен към удостоверението за одобрение на типа, също бива съответно актуализиран;</w:t>
      </w:r>
    </w:p>
    <w:p w14:paraId="026FBBC0" w14:textId="77777777" w:rsidR="00271FA2" w:rsidRPr="00F06DE2" w:rsidRDefault="00D35E51" w:rsidP="008A1FE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издава преразгледано удостоверение за одобрение на типа (с номер, обозначаващ удължаването), ако някаква информация в него (без приложенията към него) се е променила или ако минималните изисквания от настоящата глава са били изменени след датата на издаване на първоначалното одобрение. В преразгледаното удостоверение за одобрение трябва ясно да е посочена причината за промяната, както и датата на преиздаването.</w:t>
      </w:r>
    </w:p>
    <w:p w14:paraId="13827411" w14:textId="77777777" w:rsidR="00271FA2" w:rsidRPr="00F06DE2" w:rsidRDefault="00D35E51" w:rsidP="008A1FEB">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Ако компетентният орган, който е издал одобрението на типа, счете, че е обосновано провеждането на нови проби или изпитвания поради промяна в информационния пакет, той уведомява производителя за това и издава документите, посочени по-горе, само след успешно приключване на новите проби или изпитвания.</w:t>
      </w:r>
    </w:p>
    <w:p w14:paraId="0EAB7650" w14:textId="1678C3B6" w:rsidR="00271FA2" w:rsidRPr="00F06DE2" w:rsidRDefault="00271FA2">
      <w:pPr>
        <w:jc w:val="both"/>
        <w:rPr>
          <w:rFonts w:ascii="Times New Roman" w:hAnsi="Times New Roman" w:cs="Times New Roman"/>
          <w:lang w:val="ru-RU"/>
        </w:rPr>
      </w:pPr>
    </w:p>
    <w:p w14:paraId="62E6A624" w14:textId="77777777" w:rsidR="00271FA2" w:rsidRPr="00F06DE2" w:rsidRDefault="00D35E51">
      <w:pPr>
        <w:pStyle w:val="ES-Titre3"/>
        <w:spacing w:line="240" w:lineRule="atLeast"/>
        <w:rPr>
          <w:rFonts w:ascii="Times New Roman" w:hAnsi="Times New Roman" w:cs="Times New Roman"/>
          <w:sz w:val="24"/>
          <w:szCs w:val="24"/>
          <w:lang w:val="ru-RU"/>
        </w:rPr>
      </w:pPr>
      <w:bookmarkStart w:id="318" w:name="_Toc535827603"/>
      <w:bookmarkStart w:id="319" w:name="_Toc491854162"/>
      <w:r w:rsidRPr="00F06DE2">
        <w:rPr>
          <w:rFonts w:ascii="Times New Roman" w:hAnsi="Times New Roman" w:cs="Times New Roman"/>
          <w:sz w:val="24"/>
          <w:szCs w:val="24"/>
          <w:lang w:val="ru-RU"/>
        </w:rPr>
        <w:t>Член 18.05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Съответствие на одобрението на типа</w:t>
      </w:r>
      <w:bookmarkEnd w:id="318"/>
      <w:bookmarkEnd w:id="319"/>
    </w:p>
    <w:p w14:paraId="45808D1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Върху всяка бордова станция за пречистване на отпадъчни води, произведена в съответствие с одобрението на типа, производителят поставя маркировките, определени в Приложение 7, раздел </w:t>
      </w:r>
      <w:r w:rsidRPr="00F06DE2">
        <w:rPr>
          <w:rFonts w:ascii="Times New Roman" w:hAnsi="Times New Roman" w:cs="Times New Roman"/>
        </w:rPr>
        <w:t>I</w:t>
      </w:r>
      <w:r w:rsidRPr="00F06DE2">
        <w:rPr>
          <w:rFonts w:ascii="Times New Roman" w:hAnsi="Times New Roman" w:cs="Times New Roman"/>
          <w:lang w:val="ru-RU"/>
        </w:rPr>
        <w:t>, включително номера на одобрението на типа.</w:t>
      </w:r>
    </w:p>
    <w:p w14:paraId="6FB0A4C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Ако в одобрението на типа се съдържат ограничения за използването в съответствие с член 18.03, точка 3, производителят прилага към всяка произведена единица подробна информация относно тези ограничения и всички изисквания за инсталиране.</w:t>
      </w:r>
    </w:p>
    <w:p w14:paraId="66AE842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Ако бъде поискано от компетентния орган, издал одобрението на типа, производителят представя списък на серийните номера на всички бордови станции за пречистване на отпадъчни води, които са произведени в съответствие с изискванията, формулирани в настоящата глава, считано от последния доклад или от момента, в който тези разпоредби са влезли в сила за първи път, в рамките на 45 работни дни след края на всяка календарна година и непосредствено след всяка допълнителна дата, посочена от компетентния орган. Списъкът определя взаимовръзките между серийните номера, съответните типове бордови станции за пречистване на отпадъчни води и номерата на одобренията на типа. Освен това списъкът включва и специална информация за случаите, в които производителят прекратява производството на дадена бордова станция за пречистване на отпадъчни води от одобрен тип. Ако компетентният орган не поиска редовно предоставяне на такъв списък от производителя, производителят съхранява събираните данни за период от поне 40 години.</w:t>
      </w:r>
    </w:p>
    <w:p w14:paraId="0A8604B4" w14:textId="77777777" w:rsidR="008A1FEB" w:rsidRPr="00F06DE2" w:rsidRDefault="008A1FEB">
      <w:pPr>
        <w:pStyle w:val="ES-Titre3"/>
        <w:spacing w:line="240" w:lineRule="atLeast"/>
        <w:rPr>
          <w:rFonts w:ascii="Times New Roman" w:hAnsi="Times New Roman" w:cs="Times New Roman"/>
          <w:sz w:val="24"/>
          <w:szCs w:val="24"/>
          <w:lang w:val="ru-RU"/>
        </w:rPr>
      </w:pPr>
      <w:bookmarkStart w:id="320" w:name="_Toc535827604"/>
      <w:bookmarkStart w:id="321" w:name="_Toc491854163"/>
    </w:p>
    <w:p w14:paraId="501134AB" w14:textId="6E1A85A5"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18.06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Проверка на серийните номера</w:t>
      </w:r>
      <w:bookmarkEnd w:id="320"/>
      <w:bookmarkEnd w:id="321"/>
    </w:p>
    <w:p w14:paraId="3F1E762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Компетентният орган, издаващ одобрение на типа, трябва да гарантира, че серийните номера на бордовите станции за пречистване на отпадъчни води, произведени в съответствие с изискванията на настоящата глава, се регистрират и проверяват. Той може да си сътрудничи с други органи, както е определено в настоящата глава, както и с компетентните органи на държавите членки.</w:t>
      </w:r>
    </w:p>
    <w:p w14:paraId="0EA7EE4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Допълнителна проверка на серийните номера може да бъде извършена заедно с проверката на съответствието на производството с изискванията, определени в член</w:t>
      </w:r>
      <w:r w:rsidRPr="00F06DE2">
        <w:rPr>
          <w:rFonts w:ascii="Times New Roman" w:hAnsi="Times New Roman" w:cs="Times New Roman"/>
        </w:rPr>
        <w:t> </w:t>
      </w:r>
      <w:r w:rsidRPr="00F06DE2">
        <w:rPr>
          <w:rFonts w:ascii="Times New Roman" w:hAnsi="Times New Roman" w:cs="Times New Roman"/>
          <w:lang w:val="ru-RU"/>
        </w:rPr>
        <w:t>18.07.</w:t>
      </w:r>
    </w:p>
    <w:p w14:paraId="5B6C8BB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 отношение на проверката на серийните номера, производителят или негови упълномощени представители на територията на държавите членки, при поискване незабавно предоставят на компетентния орган цялата необходима информация относно директните им купувачи, както и серийните номера на бордовите станции за пречистване на отпадъчни води, които са докладвани като произведени в съответствие с член 18.05, точка 3.</w:t>
      </w:r>
    </w:p>
    <w:p w14:paraId="6E3872E5" w14:textId="668E183E"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4.</w:t>
      </w:r>
      <w:r w:rsidRPr="00F06DE2">
        <w:rPr>
          <w:rFonts w:ascii="Times New Roman" w:hAnsi="Times New Roman" w:cs="Times New Roman"/>
          <w:lang w:val="ru-RU"/>
        </w:rPr>
        <w:tab/>
        <w:t>Ако при поискване от компетентния орган производителят не може да изпълни изискванията, формулирани в член 18.05, одобрението за съответния тип бордова станция за пречистване на отпадъчни води може да бъде отменено. В такъв случай се използва процедурата за уведомяване, указана в член 18.08, точка 4.</w:t>
      </w:r>
    </w:p>
    <w:p w14:paraId="710F3A02" w14:textId="77777777" w:rsidR="008A1FEB" w:rsidRPr="00F06DE2" w:rsidRDefault="008A1FEB">
      <w:pPr>
        <w:pStyle w:val="ES-Titre3"/>
        <w:spacing w:line="240" w:lineRule="atLeast"/>
        <w:rPr>
          <w:rFonts w:ascii="Times New Roman" w:hAnsi="Times New Roman" w:cs="Times New Roman"/>
          <w:sz w:val="24"/>
          <w:szCs w:val="24"/>
          <w:lang w:val="ru-RU"/>
        </w:rPr>
      </w:pPr>
      <w:bookmarkStart w:id="322" w:name="_Toc491854164"/>
      <w:bookmarkStart w:id="323" w:name="_Toc535827605"/>
    </w:p>
    <w:p w14:paraId="069CBAB9" w14:textId="45B5F89B"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18.07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Съответствие на производството</w:t>
      </w:r>
      <w:bookmarkEnd w:id="322"/>
      <w:bookmarkEnd w:id="323"/>
    </w:p>
    <w:p w14:paraId="45B404A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Компетентният орган, който издава одобрение на типа, проверява предварително, че са взети подходящите мерки, за да се гарантира ефективна проверка на съответствието на производството по отношение на изискванията на Приложение 7, раздел </w:t>
      </w:r>
      <w:r w:rsidRPr="00F06DE2">
        <w:rPr>
          <w:rFonts w:ascii="Times New Roman" w:hAnsi="Times New Roman" w:cs="Times New Roman"/>
        </w:rPr>
        <w:t>I</w:t>
      </w:r>
      <w:r w:rsidRPr="00F06DE2">
        <w:rPr>
          <w:rFonts w:ascii="Times New Roman" w:hAnsi="Times New Roman" w:cs="Times New Roman"/>
          <w:lang w:val="ru-RU"/>
        </w:rPr>
        <w:t>. Той може да си сътрудничи с други органи, както е определено в настоящата глава, и с компетентните органи на държавите членки.</w:t>
      </w:r>
    </w:p>
    <w:p w14:paraId="262446E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Компетентният орган, който е издал дадено одобрение на типа, проверява дали мерките, посочени в точка 1 във връзка с разпоредбите на допълнение 7, раздел </w:t>
      </w:r>
      <w:r w:rsidRPr="00F06DE2">
        <w:rPr>
          <w:rFonts w:ascii="Times New Roman" w:hAnsi="Times New Roman" w:cs="Times New Roman"/>
        </w:rPr>
        <w:t>I</w:t>
      </w:r>
      <w:r w:rsidRPr="00F06DE2">
        <w:rPr>
          <w:rFonts w:ascii="Times New Roman" w:hAnsi="Times New Roman" w:cs="Times New Roman"/>
          <w:lang w:val="ru-RU"/>
        </w:rPr>
        <w:t>, продължават да бъдат достатъчни и дали всяка бордова станция за пречистване на отпадъчни води, притежаваща номер на одобрение на типа в съответствие с изискванията на настоящата глава, продължава да отговаря на описанието от удостоверението за одобрение на типа и приложенията към него за одобрения тип бордова станция за пречистване на отпадъчни води. Той може да си сътрудничи с други органи, както е определено в настоящата глава, както и с компетентните органи на държавите членки.</w:t>
      </w:r>
    </w:p>
    <w:p w14:paraId="58C0CE8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Компетентният орган може да признае сходни изпитвания, извършени от други компетентни органи за еквивалентни на разпоредбите на точки 1 и 2.</w:t>
      </w:r>
    </w:p>
    <w:p w14:paraId="600389FD" w14:textId="77777777" w:rsidR="008A1FEB" w:rsidRPr="00F06DE2" w:rsidRDefault="008A1FEB" w:rsidP="00231099">
      <w:pPr>
        <w:ind w:left="720" w:hanging="720"/>
        <w:jc w:val="center"/>
        <w:rPr>
          <w:rFonts w:ascii="Times New Roman" w:hAnsi="Times New Roman" w:cs="Times New Roman"/>
          <w:b/>
          <w:lang w:val="ru-RU"/>
        </w:rPr>
      </w:pPr>
      <w:bookmarkStart w:id="324" w:name="_Toc535827606"/>
      <w:bookmarkStart w:id="325" w:name="_Toc491854165"/>
    </w:p>
    <w:p w14:paraId="198D9A4C" w14:textId="747C4F85" w:rsidR="00231099" w:rsidRPr="00F06DE2" w:rsidRDefault="005033ED" w:rsidP="00231099">
      <w:pPr>
        <w:ind w:left="720" w:hanging="720"/>
        <w:jc w:val="center"/>
        <w:rPr>
          <w:rFonts w:ascii="Times New Roman" w:hAnsi="Times New Roman" w:cs="Times New Roman"/>
          <w:b/>
          <w:lang w:val="ru-RU"/>
        </w:rPr>
      </w:pPr>
      <w:r w:rsidRPr="00F06DE2">
        <w:rPr>
          <w:rFonts w:ascii="Times New Roman" w:hAnsi="Times New Roman" w:cs="Times New Roman"/>
          <w:b/>
          <w:lang w:val="ru-RU"/>
        </w:rPr>
        <w:t>Член 18.08</w:t>
      </w:r>
    </w:p>
    <w:bookmarkEnd w:id="324"/>
    <w:bookmarkEnd w:id="325"/>
    <w:p w14:paraId="2FC474FF" w14:textId="6EE71251" w:rsidR="007E4974" w:rsidRPr="00F06DE2" w:rsidRDefault="007E4974" w:rsidP="001D128E">
      <w:pPr>
        <w:pStyle w:val="ES-Titre3"/>
        <w:spacing w:line="240" w:lineRule="atLeast"/>
        <w:ind w:firstLine="567"/>
        <w:rPr>
          <w:rFonts w:ascii="Times New Roman" w:hAnsi="Times New Roman" w:cs="Times New Roman"/>
          <w:i/>
          <w:sz w:val="24"/>
          <w:szCs w:val="24"/>
          <w:lang w:val="ru-RU"/>
        </w:rPr>
      </w:pPr>
      <w:r w:rsidRPr="00F06DE2">
        <w:rPr>
          <w:rFonts w:ascii="Times New Roman" w:hAnsi="Times New Roman" w:cs="Times New Roman"/>
          <w:i/>
          <w:sz w:val="24"/>
          <w:szCs w:val="24"/>
          <w:lang w:val="ru-RU"/>
        </w:rPr>
        <w:t>Несъответствие с одобрения тип бордова станция за пречистване на отпадъчни води</w:t>
      </w:r>
    </w:p>
    <w:p w14:paraId="74BF038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Счита се, че е налице несъответствие с одобрения тип бордова станция за пречистване на отпадъчни води, когато има отклонения от характеристиките в удостоверението за одобрение на типа или, според конкретния случай, от информационния пакет, който не е бил одобрен в съответствие с член 18.04, точка 3 от компетентния орган, който е издал одобрението на типа.</w:t>
      </w:r>
    </w:p>
    <w:p w14:paraId="5EF8868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Ако компетентният орган, издал одобрение на типа, установи, че бордови станции за пречистване на отпадъчни води не съответстват на типа бордова станция за пречистване на отпадъчни води, за който е издадено одобрението, той взема необходимите мерки, за да гарантира, че бордовите станции за пречистване на отпадъчни води в производство отново ще бъдат в съответствие с типа одобрена бордова станция за пречистване на отпадъчни води. Компетентният орган, който е констатирал несъответствието, уведомява другите компетентни органи за предприетите мерки, които могат да стигнат до отменяне на одобрението на типа.</w:t>
      </w:r>
    </w:p>
    <w:p w14:paraId="15D75AE8" w14:textId="37360FB4" w:rsidR="00271FA2" w:rsidRPr="00F06DE2" w:rsidRDefault="00D35E51" w:rsidP="00097008">
      <w:pPr>
        <w:pStyle w:val="ESch"/>
        <w:spacing w:after="240"/>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Ако компетентен орган е в състояние да докаже, че бордови станции за пречистване на отпадъчни води, притежаващи номер на одобрение на типа, не съответстват на одобрения тип бордова станция за пречистване на отпадъчни води, той може да поиска от компетентния орган, издал одобрението на типа, да разпореди проверка на произвеждания тип бордова станция за пречистване на отпадъчни води за съответствие с одобрения тип бордова станция за пречистване на отпадъчни води. Това действие трябва да бъде предприето в рамките на шест месеца от датата на искането. </w:t>
      </w:r>
    </w:p>
    <w:p w14:paraId="01C72963" w14:textId="090A5766" w:rsidR="00271FA2" w:rsidRPr="00F06DE2" w:rsidRDefault="00D35E51">
      <w:pPr>
        <w:pStyle w:val="ES-Titre3"/>
        <w:spacing w:line="240" w:lineRule="atLeast"/>
        <w:rPr>
          <w:rFonts w:ascii="Times New Roman" w:hAnsi="Times New Roman" w:cs="Times New Roman"/>
          <w:i/>
          <w:sz w:val="24"/>
          <w:szCs w:val="24"/>
          <w:lang w:val="ru-RU"/>
        </w:rPr>
      </w:pPr>
      <w:bookmarkStart w:id="326" w:name="_Toc535827607"/>
      <w:bookmarkStart w:id="327" w:name="_Toc491854166"/>
      <w:r w:rsidRPr="00F06DE2">
        <w:rPr>
          <w:rFonts w:ascii="Times New Roman" w:hAnsi="Times New Roman" w:cs="Times New Roman"/>
          <w:sz w:val="24"/>
          <w:szCs w:val="24"/>
          <w:lang w:val="ru-RU"/>
        </w:rPr>
        <w:t>Член 18.09</w:t>
      </w:r>
      <w:r w:rsidRPr="00F06DE2">
        <w:rPr>
          <w:rFonts w:ascii="Times New Roman" w:hAnsi="Times New Roman" w:cs="Times New Roman"/>
          <w:sz w:val="24"/>
          <w:szCs w:val="24"/>
          <w:lang w:val="ru-RU"/>
        </w:rPr>
        <w:br/>
      </w:r>
      <w:r w:rsidR="006D511E" w:rsidRPr="00F06DE2">
        <w:rPr>
          <w:rFonts w:ascii="Times New Roman" w:hAnsi="Times New Roman" w:cs="Times New Roman"/>
          <w:i/>
          <w:sz w:val="24"/>
          <w:szCs w:val="24"/>
          <w:lang w:val="ru-RU"/>
        </w:rPr>
        <w:t xml:space="preserve">Тест за инсталиране и </w:t>
      </w:r>
      <w:r w:rsidR="00532CCF" w:rsidRPr="00F06DE2">
        <w:rPr>
          <w:rFonts w:ascii="Times New Roman" w:hAnsi="Times New Roman" w:cs="Times New Roman"/>
          <w:i/>
          <w:sz w:val="24"/>
          <w:szCs w:val="24"/>
          <w:lang w:val="ru-RU"/>
        </w:rPr>
        <w:t>ефективност</w:t>
      </w:r>
      <w:bookmarkEnd w:id="326"/>
      <w:bookmarkEnd w:id="327"/>
    </w:p>
    <w:p w14:paraId="0E01E478" w14:textId="0CBE702F" w:rsidR="006D511E" w:rsidRPr="00F06DE2" w:rsidRDefault="006D511E"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1. </w:t>
      </w:r>
      <w:r w:rsidRPr="00F06DE2">
        <w:rPr>
          <w:rFonts w:ascii="Times New Roman" w:hAnsi="Times New Roman" w:cs="Times New Roman"/>
          <w:lang w:val="ru-RU"/>
        </w:rPr>
        <w:tab/>
        <w:t xml:space="preserve">След </w:t>
      </w:r>
      <w:r w:rsidR="00F52254" w:rsidRPr="00F06DE2">
        <w:rPr>
          <w:rFonts w:ascii="Times New Roman" w:hAnsi="Times New Roman" w:cs="Times New Roman"/>
          <w:lang w:val="ru-RU"/>
        </w:rPr>
        <w:t>мо</w:t>
      </w:r>
      <w:r w:rsidR="00EB292D" w:rsidRPr="00F06DE2">
        <w:rPr>
          <w:rFonts w:ascii="Times New Roman" w:hAnsi="Times New Roman" w:cs="Times New Roman"/>
          <w:lang w:val="ru-RU"/>
        </w:rPr>
        <w:t>н</w:t>
      </w:r>
      <w:r w:rsidR="00F52254" w:rsidRPr="00F06DE2">
        <w:rPr>
          <w:rFonts w:ascii="Times New Roman" w:hAnsi="Times New Roman" w:cs="Times New Roman"/>
          <w:lang w:val="ru-RU"/>
        </w:rPr>
        <w:t xml:space="preserve">тирането </w:t>
      </w:r>
      <w:r w:rsidRPr="00F06DE2">
        <w:rPr>
          <w:rFonts w:ascii="Times New Roman" w:hAnsi="Times New Roman" w:cs="Times New Roman"/>
          <w:lang w:val="ru-RU"/>
        </w:rPr>
        <w:t xml:space="preserve"> на </w:t>
      </w:r>
      <w:r w:rsidR="00EB292D" w:rsidRPr="00F06DE2">
        <w:rPr>
          <w:rFonts w:ascii="Times New Roman" w:hAnsi="Times New Roman" w:cs="Times New Roman"/>
          <w:lang w:val="ru-RU"/>
        </w:rPr>
        <w:t>бордова станция за пречистване на отпадъчни води</w:t>
      </w:r>
      <w:r w:rsidR="00EB292D" w:rsidRPr="00F06DE2" w:rsidDel="003F6D5A">
        <w:rPr>
          <w:rFonts w:ascii="Times New Roman" w:hAnsi="Times New Roman" w:cs="Times New Roman"/>
          <w:lang w:val="ru-RU"/>
        </w:rPr>
        <w:t xml:space="preserve"> </w:t>
      </w:r>
      <w:r w:rsidRPr="00F06DE2">
        <w:rPr>
          <w:rFonts w:ascii="Times New Roman" w:hAnsi="Times New Roman" w:cs="Times New Roman"/>
          <w:lang w:val="ru-RU"/>
        </w:rPr>
        <w:t>трябва да се извърши</w:t>
      </w:r>
      <w:r w:rsidR="00F52254" w:rsidRPr="00F06DE2">
        <w:rPr>
          <w:rFonts w:ascii="Times New Roman" w:hAnsi="Times New Roman" w:cs="Times New Roman"/>
          <w:lang w:val="ru-RU"/>
        </w:rPr>
        <w:t xml:space="preserve"> тест </w:t>
      </w:r>
      <w:r w:rsidR="00C262AA" w:rsidRPr="00F06DE2">
        <w:rPr>
          <w:rFonts w:ascii="Times New Roman" w:hAnsi="Times New Roman" w:cs="Times New Roman"/>
          <w:lang w:val="ru-RU"/>
        </w:rPr>
        <w:t xml:space="preserve">за </w:t>
      </w:r>
      <w:r w:rsidRPr="00F06DE2">
        <w:rPr>
          <w:rFonts w:ascii="Times New Roman" w:hAnsi="Times New Roman" w:cs="Times New Roman"/>
          <w:lang w:val="ru-RU"/>
        </w:rPr>
        <w:t xml:space="preserve"> </w:t>
      </w:r>
      <w:r w:rsidR="00C262AA" w:rsidRPr="00F06DE2">
        <w:rPr>
          <w:rFonts w:ascii="Times New Roman" w:hAnsi="Times New Roman" w:cs="Times New Roman"/>
          <w:lang w:val="ru-RU"/>
        </w:rPr>
        <w:t xml:space="preserve"> </w:t>
      </w:r>
      <w:r w:rsidR="00F52254" w:rsidRPr="00F06DE2">
        <w:rPr>
          <w:rFonts w:ascii="Times New Roman" w:hAnsi="Times New Roman" w:cs="Times New Roman"/>
          <w:lang w:val="ru-RU"/>
        </w:rPr>
        <w:t>инсталиране и ефективност</w:t>
      </w:r>
      <w:r w:rsidRPr="00F06DE2">
        <w:rPr>
          <w:rFonts w:ascii="Times New Roman" w:hAnsi="Times New Roman" w:cs="Times New Roman"/>
          <w:lang w:val="ru-RU"/>
        </w:rPr>
        <w:t>, преди да започне нормалната експлоатация.</w:t>
      </w:r>
    </w:p>
    <w:p w14:paraId="79A689F6" w14:textId="00E27659" w:rsidR="006D511E" w:rsidRPr="00F06DE2" w:rsidRDefault="006D511E" w:rsidP="008A1FEB">
      <w:pPr>
        <w:ind w:left="567" w:hanging="567"/>
        <w:jc w:val="both"/>
        <w:rPr>
          <w:rFonts w:ascii="Times New Roman" w:hAnsi="Times New Roman" w:cs="Times New Roman"/>
          <w:lang w:val="ru-RU"/>
        </w:rPr>
      </w:pPr>
      <w:r w:rsidRPr="00F06DE2">
        <w:rPr>
          <w:rFonts w:ascii="Times New Roman" w:hAnsi="Times New Roman" w:cs="Times New Roman"/>
          <w:lang w:val="ru-RU"/>
        </w:rPr>
        <w:lastRenderedPageBreak/>
        <w:t xml:space="preserve">2. </w:t>
      </w:r>
      <w:r w:rsidRPr="00F06DE2">
        <w:rPr>
          <w:rFonts w:ascii="Times New Roman" w:hAnsi="Times New Roman" w:cs="Times New Roman"/>
          <w:lang w:val="ru-RU"/>
        </w:rPr>
        <w:tab/>
        <w:t xml:space="preserve">Тестът за </w:t>
      </w:r>
      <w:r w:rsidR="00F52254" w:rsidRPr="00F06DE2">
        <w:rPr>
          <w:rFonts w:ascii="Times New Roman" w:hAnsi="Times New Roman" w:cs="Times New Roman"/>
          <w:lang w:val="ru-RU"/>
        </w:rPr>
        <w:t xml:space="preserve"> инсталиране</w:t>
      </w:r>
      <w:r w:rsidRPr="00F06DE2">
        <w:rPr>
          <w:rFonts w:ascii="Times New Roman" w:hAnsi="Times New Roman" w:cs="Times New Roman"/>
          <w:lang w:val="ru-RU"/>
        </w:rPr>
        <w:t xml:space="preserve"> и ефективност включва:</w:t>
      </w:r>
    </w:p>
    <w:p w14:paraId="05078F51" w14:textId="0AE2DB73" w:rsidR="006D511E" w:rsidRPr="00F06DE2" w:rsidRDefault="006D511E"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а) Проверка дали всички предвидени компоненти или групи компоненти са правилно монтирани в съответствие със сертификата за типово одобрение и с ръководството на производителя за проверка на компонентите и параметрите на </w:t>
      </w:r>
      <w:r w:rsidR="008464F8" w:rsidRPr="00F06DE2">
        <w:rPr>
          <w:rFonts w:ascii="Times New Roman" w:hAnsi="Times New Roman" w:cs="Times New Roman"/>
          <w:lang w:val="ru-RU"/>
        </w:rPr>
        <w:t>бордова станция за пречистване на отпадъчни води</w:t>
      </w:r>
      <w:r w:rsidR="00591764" w:rsidRPr="00F06DE2">
        <w:rPr>
          <w:rFonts w:ascii="Times New Roman" w:hAnsi="Times New Roman" w:cs="Times New Roman"/>
          <w:lang w:val="ru-RU"/>
        </w:rPr>
        <w:t xml:space="preserve"> </w:t>
      </w:r>
      <w:r w:rsidRPr="00F06DE2">
        <w:rPr>
          <w:rFonts w:ascii="Times New Roman" w:hAnsi="Times New Roman" w:cs="Times New Roman"/>
          <w:lang w:val="ru-RU"/>
        </w:rPr>
        <w:t>, имащи отношение към пречистването на отпадъчни води;</w:t>
      </w:r>
    </w:p>
    <w:p w14:paraId="0E11CE1A" w14:textId="522F2CF1" w:rsidR="006D511E" w:rsidRPr="00F06DE2" w:rsidRDefault="00035983" w:rsidP="008A1FEB">
      <w:pPr>
        <w:ind w:left="567"/>
        <w:jc w:val="both"/>
        <w:rPr>
          <w:rFonts w:ascii="Times New Roman" w:hAnsi="Times New Roman" w:cs="Times New Roman"/>
          <w:lang w:val="ru-RU"/>
        </w:rPr>
      </w:pPr>
      <w:r w:rsidRPr="00F06DE2">
        <w:rPr>
          <w:rFonts w:ascii="Times New Roman" w:hAnsi="Times New Roman" w:cs="Times New Roman"/>
          <w:lang w:val="ru-RU"/>
        </w:rPr>
        <w:t>б</w:t>
      </w:r>
      <w:r w:rsidR="006D511E" w:rsidRPr="00F06DE2">
        <w:rPr>
          <w:rFonts w:ascii="Times New Roman" w:hAnsi="Times New Roman" w:cs="Times New Roman"/>
          <w:lang w:val="ru-RU"/>
        </w:rPr>
        <w:t xml:space="preserve">) Проверка на правилното функциониране на </w:t>
      </w:r>
      <w:r w:rsidR="008464F8" w:rsidRPr="00F06DE2">
        <w:rPr>
          <w:rFonts w:ascii="Times New Roman" w:hAnsi="Times New Roman" w:cs="Times New Roman"/>
          <w:lang w:val="ru-RU"/>
        </w:rPr>
        <w:t>бордова станция за пречистване на отпадъчни води</w:t>
      </w:r>
      <w:r w:rsidR="008464F8" w:rsidRPr="00F06DE2" w:rsidDel="003F6D5A">
        <w:rPr>
          <w:rFonts w:ascii="Times New Roman" w:hAnsi="Times New Roman" w:cs="Times New Roman"/>
          <w:lang w:val="ru-RU"/>
        </w:rPr>
        <w:t xml:space="preserve"> </w:t>
      </w:r>
      <w:r w:rsidR="006D511E" w:rsidRPr="00F06DE2">
        <w:rPr>
          <w:rFonts w:ascii="Times New Roman" w:hAnsi="Times New Roman" w:cs="Times New Roman"/>
          <w:lang w:val="ru-RU"/>
        </w:rPr>
        <w:t>на кораба.</w:t>
      </w:r>
    </w:p>
    <w:p w14:paraId="5C1C6D59" w14:textId="71C41617" w:rsidR="006D511E" w:rsidRPr="00F06DE2" w:rsidRDefault="006D511E"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3. </w:t>
      </w:r>
      <w:r w:rsidRPr="00F06DE2">
        <w:rPr>
          <w:rFonts w:ascii="Times New Roman" w:hAnsi="Times New Roman" w:cs="Times New Roman"/>
          <w:lang w:val="ru-RU"/>
        </w:rPr>
        <w:tab/>
        <w:t xml:space="preserve">Изпитването на ефективността съгласно </w:t>
      </w:r>
      <w:r w:rsidR="00257A67" w:rsidRPr="00F06DE2">
        <w:rPr>
          <w:rFonts w:ascii="Times New Roman" w:hAnsi="Times New Roman" w:cs="Times New Roman"/>
          <w:lang w:val="ru-RU"/>
        </w:rPr>
        <w:t>т.</w:t>
      </w:r>
      <w:r w:rsidRPr="00F06DE2">
        <w:rPr>
          <w:rFonts w:ascii="Times New Roman" w:hAnsi="Times New Roman" w:cs="Times New Roman"/>
          <w:lang w:val="ru-RU"/>
        </w:rPr>
        <w:t xml:space="preserve">2, буква б също се провежда, ако </w:t>
      </w:r>
      <w:r w:rsidR="00A10E25" w:rsidRPr="00F06DE2">
        <w:rPr>
          <w:rFonts w:ascii="Times New Roman" w:hAnsi="Times New Roman" w:cs="Times New Roman"/>
          <w:lang w:val="ru-RU"/>
        </w:rPr>
        <w:t>бордова станция за пречистване на отпадъчни води</w:t>
      </w:r>
      <w:r w:rsidRPr="00F06DE2">
        <w:rPr>
          <w:rFonts w:ascii="Times New Roman" w:hAnsi="Times New Roman" w:cs="Times New Roman"/>
          <w:lang w:val="ru-RU"/>
        </w:rPr>
        <w:t xml:space="preserve"> е временно извадена от експлоатация или е подложена на поддръжка.</w:t>
      </w:r>
    </w:p>
    <w:p w14:paraId="499BC81F" w14:textId="5E4CDCF5" w:rsidR="006D511E" w:rsidRPr="00F06DE2" w:rsidRDefault="006D511E"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4. </w:t>
      </w:r>
      <w:r w:rsidRPr="00F06DE2">
        <w:rPr>
          <w:rFonts w:ascii="Times New Roman" w:hAnsi="Times New Roman" w:cs="Times New Roman"/>
          <w:lang w:val="ru-RU"/>
        </w:rPr>
        <w:tab/>
        <w:t xml:space="preserve">Всеки монтаж и изпитване на ефективността се удостоверяват от компетентния орган в ръководството за управление на експлоатацията под формата на модела в приложение 7, раздел </w:t>
      </w:r>
      <w:r w:rsidRPr="00F06DE2">
        <w:rPr>
          <w:rFonts w:ascii="Times New Roman" w:hAnsi="Times New Roman" w:cs="Times New Roman"/>
        </w:rPr>
        <w:t>VIII</w:t>
      </w:r>
      <w:r w:rsidRPr="00F06DE2">
        <w:rPr>
          <w:rFonts w:ascii="Times New Roman" w:hAnsi="Times New Roman" w:cs="Times New Roman"/>
          <w:lang w:val="ru-RU"/>
        </w:rPr>
        <w:t xml:space="preserve">. Тестът за ефективност, посочен в </w:t>
      </w:r>
      <w:r w:rsidR="00257A67" w:rsidRPr="00F06DE2">
        <w:rPr>
          <w:rFonts w:ascii="Times New Roman" w:hAnsi="Times New Roman" w:cs="Times New Roman"/>
          <w:lang w:val="ru-RU"/>
        </w:rPr>
        <w:t>т.</w:t>
      </w:r>
      <w:r w:rsidRPr="00F06DE2">
        <w:rPr>
          <w:rFonts w:ascii="Times New Roman" w:hAnsi="Times New Roman" w:cs="Times New Roman"/>
          <w:lang w:val="ru-RU"/>
        </w:rPr>
        <w:t>3, може да бъде сертифициран от специализирана фирма.</w:t>
      </w:r>
    </w:p>
    <w:p w14:paraId="78593077" w14:textId="77777777" w:rsidR="00271FA2" w:rsidRPr="00F06DE2" w:rsidRDefault="00D35E51" w:rsidP="008A1FEB">
      <w:pPr>
        <w:pStyle w:val="ESch"/>
        <w:jc w:val="both"/>
        <w:rPr>
          <w:rFonts w:ascii="Times New Roman" w:hAnsi="Times New Roman" w:cs="Times New Roman"/>
          <w:lang w:val="ru-RU"/>
        </w:rPr>
      </w:pPr>
      <w:r w:rsidRPr="00F06DE2">
        <w:rPr>
          <w:rFonts w:ascii="Times New Roman" w:hAnsi="Times New Roman" w:cs="Times New Roman"/>
          <w:lang w:val="ru-RU"/>
        </w:rPr>
        <w:tab/>
      </w:r>
    </w:p>
    <w:p w14:paraId="2B95D1C2" w14:textId="77777777" w:rsidR="00F72EDC" w:rsidRPr="00F06DE2" w:rsidRDefault="001D128E" w:rsidP="001D128E">
      <w:pPr>
        <w:ind w:left="720" w:hanging="720"/>
        <w:jc w:val="center"/>
        <w:rPr>
          <w:rFonts w:ascii="Times New Roman" w:hAnsi="Times New Roman" w:cs="Times New Roman"/>
          <w:b/>
          <w:lang w:val="ru-RU"/>
        </w:rPr>
      </w:pPr>
      <w:bookmarkStart w:id="328" w:name="_Toc535827608"/>
      <w:bookmarkStart w:id="329" w:name="_Toc491854167"/>
      <w:r w:rsidRPr="00F06DE2">
        <w:rPr>
          <w:rFonts w:ascii="Times New Roman" w:hAnsi="Times New Roman" w:cs="Times New Roman"/>
          <w:b/>
          <w:lang w:val="ru-RU"/>
        </w:rPr>
        <w:t>Член 18.10</w:t>
      </w:r>
    </w:p>
    <w:bookmarkEnd w:id="328"/>
    <w:bookmarkEnd w:id="329"/>
    <w:p w14:paraId="539246FB" w14:textId="3655BFCD" w:rsidR="00FF395C" w:rsidRPr="00F06DE2" w:rsidRDefault="00FF395C">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Измерване на произволна проба / Специален тест</w:t>
      </w:r>
    </w:p>
    <w:p w14:paraId="759540A8" w14:textId="61619BEA" w:rsidR="00692967" w:rsidRPr="00F06DE2" w:rsidRDefault="00692967"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1. </w:t>
      </w:r>
      <w:r w:rsidRPr="00F06DE2">
        <w:rPr>
          <w:rFonts w:ascii="Times New Roman" w:hAnsi="Times New Roman" w:cs="Times New Roman"/>
          <w:lang w:val="ru-RU"/>
        </w:rPr>
        <w:tab/>
        <w:t xml:space="preserve">Не по-късно от три месеца след пускането в експлоатация на плавателния съд или, в случай на преоборудване на </w:t>
      </w:r>
      <w:r w:rsidR="00DA011A" w:rsidRPr="00F06DE2">
        <w:rPr>
          <w:rFonts w:ascii="Times New Roman" w:hAnsi="Times New Roman" w:cs="Times New Roman"/>
          <w:lang w:val="ru-RU"/>
        </w:rPr>
        <w:t>бордова станция за пречистване на отпадъчни води</w:t>
      </w:r>
      <w:r w:rsidRPr="00F06DE2">
        <w:rPr>
          <w:rFonts w:ascii="Times New Roman" w:hAnsi="Times New Roman" w:cs="Times New Roman"/>
          <w:lang w:val="ru-RU"/>
        </w:rPr>
        <w:t>, след като е инсталирана и е извършен подходящ монтаж и изпитване на ефективността, компетентният орган взема произволна проба по време на експлоатация на плавателното средство, за да провери стойностите, посочени в член 18.01</w:t>
      </w:r>
      <w:r w:rsidR="004318DF" w:rsidRPr="00F06DE2">
        <w:rPr>
          <w:rFonts w:ascii="Times New Roman" w:hAnsi="Times New Roman" w:cs="Times New Roman"/>
          <w:lang w:val="ru-RU"/>
        </w:rPr>
        <w:t xml:space="preserve">, </w:t>
      </w:r>
      <w:r w:rsidR="001648DC" w:rsidRPr="00F06DE2">
        <w:rPr>
          <w:rFonts w:ascii="Times New Roman" w:hAnsi="Times New Roman" w:cs="Times New Roman"/>
          <w:lang w:val="ru-RU"/>
        </w:rPr>
        <w:t>т.</w:t>
      </w:r>
      <w:r w:rsidRPr="00F06DE2">
        <w:rPr>
          <w:rFonts w:ascii="Times New Roman" w:hAnsi="Times New Roman" w:cs="Times New Roman"/>
          <w:lang w:val="ru-RU"/>
        </w:rPr>
        <w:t>2 таблица</w:t>
      </w:r>
      <w:r w:rsidR="001648DC" w:rsidRPr="00F06DE2">
        <w:rPr>
          <w:rFonts w:ascii="Times New Roman" w:hAnsi="Times New Roman" w:cs="Times New Roman"/>
          <w:lang w:val="ru-RU"/>
        </w:rPr>
        <w:t xml:space="preserve"> 2</w:t>
      </w:r>
      <w:r w:rsidR="008A1FEB" w:rsidRPr="00F06DE2">
        <w:rPr>
          <w:rFonts w:ascii="Times New Roman" w:hAnsi="Times New Roman" w:cs="Times New Roman"/>
          <w:lang w:val="ru-RU"/>
        </w:rPr>
        <w:t>. Н</w:t>
      </w:r>
      <w:r w:rsidRPr="00F06DE2">
        <w:rPr>
          <w:rFonts w:ascii="Times New Roman" w:hAnsi="Times New Roman" w:cs="Times New Roman"/>
          <w:lang w:val="ru-RU"/>
        </w:rPr>
        <w:t xml:space="preserve">а нередовни интервали компетентният орган извършва функционални проверки на </w:t>
      </w:r>
      <w:r w:rsidR="00DA011A" w:rsidRPr="00F06DE2">
        <w:rPr>
          <w:rFonts w:ascii="Times New Roman" w:hAnsi="Times New Roman" w:cs="Times New Roman"/>
          <w:lang w:val="ru-RU"/>
        </w:rPr>
        <w:t>бордовата станция за пречистване на отпадъчни води</w:t>
      </w:r>
      <w:r w:rsidR="00DA011A" w:rsidRPr="00F06DE2" w:rsidDel="003F6D5A">
        <w:rPr>
          <w:rFonts w:ascii="Times New Roman" w:hAnsi="Times New Roman" w:cs="Times New Roman"/>
          <w:lang w:val="ru-RU"/>
        </w:rPr>
        <w:t xml:space="preserve"> </w:t>
      </w:r>
      <w:r w:rsidRPr="00F06DE2">
        <w:rPr>
          <w:rFonts w:ascii="Times New Roman" w:hAnsi="Times New Roman" w:cs="Times New Roman"/>
          <w:lang w:val="ru-RU"/>
        </w:rPr>
        <w:t>чрез измервания на произволни проби, за да провери стойностите, посочени в член 18.01</w:t>
      </w:r>
      <w:r w:rsidR="004318DF" w:rsidRPr="00F06DE2">
        <w:rPr>
          <w:rFonts w:ascii="Times New Roman" w:hAnsi="Times New Roman" w:cs="Times New Roman"/>
          <w:lang w:val="ru-RU"/>
        </w:rPr>
        <w:t>,</w:t>
      </w:r>
      <w:r w:rsidRPr="00F06DE2">
        <w:rPr>
          <w:rFonts w:ascii="Times New Roman" w:hAnsi="Times New Roman" w:cs="Times New Roman"/>
          <w:lang w:val="ru-RU"/>
        </w:rPr>
        <w:t xml:space="preserve"> </w:t>
      </w:r>
      <w:r w:rsidR="00403CE7" w:rsidRPr="00F06DE2">
        <w:rPr>
          <w:rFonts w:ascii="Times New Roman" w:hAnsi="Times New Roman" w:cs="Times New Roman"/>
          <w:lang w:val="ru-RU"/>
        </w:rPr>
        <w:t>т.</w:t>
      </w:r>
      <w:r w:rsidRPr="00F06DE2">
        <w:rPr>
          <w:rFonts w:ascii="Times New Roman" w:hAnsi="Times New Roman" w:cs="Times New Roman"/>
          <w:lang w:val="ru-RU"/>
        </w:rPr>
        <w:t>2, таблица 2.</w:t>
      </w:r>
    </w:p>
    <w:p w14:paraId="79DE60B8" w14:textId="29CC0331"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Ако компетентният орган установи, че стойностите на измерванията на случайни проби не съответстват на стойностите, посочени в член 18.01, </w:t>
      </w:r>
      <w:r w:rsidR="0097711D" w:rsidRPr="00F06DE2">
        <w:rPr>
          <w:rFonts w:ascii="Times New Roman" w:hAnsi="Times New Roman" w:cs="Times New Roman"/>
          <w:lang w:val="ru-RU"/>
        </w:rPr>
        <w:t>т.</w:t>
      </w:r>
      <w:r w:rsidRPr="00F06DE2">
        <w:rPr>
          <w:rFonts w:ascii="Times New Roman" w:hAnsi="Times New Roman" w:cs="Times New Roman"/>
          <w:lang w:val="ru-RU"/>
        </w:rPr>
        <w:t>1, таблица 2, той може да изиска:</w:t>
      </w:r>
    </w:p>
    <w:p w14:paraId="63315E10" w14:textId="793F4063"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а) дефектите в </w:t>
      </w:r>
      <w:r w:rsidR="00DA011A" w:rsidRPr="00F06DE2">
        <w:rPr>
          <w:rFonts w:ascii="Times New Roman" w:hAnsi="Times New Roman" w:cs="Times New Roman"/>
          <w:lang w:val="ru-RU"/>
        </w:rPr>
        <w:t>бордовата станция за пречистване на отпадъчни води</w:t>
      </w:r>
      <w:r w:rsidRPr="00F06DE2">
        <w:rPr>
          <w:rFonts w:ascii="Times New Roman" w:hAnsi="Times New Roman" w:cs="Times New Roman"/>
          <w:lang w:val="ru-RU"/>
        </w:rPr>
        <w:t xml:space="preserve">да бъдат отстранени, за да се гарантира, че </w:t>
      </w:r>
      <w:r w:rsidR="00992444" w:rsidRPr="00F06DE2">
        <w:rPr>
          <w:rFonts w:ascii="Times New Roman" w:hAnsi="Times New Roman" w:cs="Times New Roman"/>
          <w:lang w:val="ru-RU"/>
        </w:rPr>
        <w:t xml:space="preserve">тя </w:t>
      </w:r>
      <w:r w:rsidRPr="00F06DE2">
        <w:rPr>
          <w:rFonts w:ascii="Times New Roman" w:hAnsi="Times New Roman" w:cs="Times New Roman"/>
          <w:lang w:val="ru-RU"/>
        </w:rPr>
        <w:t>работи правилно;</w:t>
      </w:r>
    </w:p>
    <w:p w14:paraId="77F28950" w14:textId="0A95FF0E"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б) </w:t>
      </w:r>
      <w:r w:rsidR="00DA011A" w:rsidRPr="00F06DE2">
        <w:rPr>
          <w:rFonts w:ascii="Times New Roman" w:hAnsi="Times New Roman" w:cs="Times New Roman"/>
          <w:lang w:val="ru-RU"/>
        </w:rPr>
        <w:t>бордовата станция за пречистване на отпадъчни води</w:t>
      </w:r>
      <w:r w:rsidR="00DA011A" w:rsidRPr="00F06DE2" w:rsidDel="003F6D5A">
        <w:rPr>
          <w:rFonts w:ascii="Times New Roman" w:hAnsi="Times New Roman" w:cs="Times New Roman"/>
          <w:lang w:val="ru-RU"/>
        </w:rPr>
        <w:t xml:space="preserve"> </w:t>
      </w:r>
      <w:r w:rsidRPr="00F06DE2">
        <w:rPr>
          <w:rFonts w:ascii="Times New Roman" w:hAnsi="Times New Roman" w:cs="Times New Roman"/>
          <w:lang w:val="ru-RU"/>
        </w:rPr>
        <w:t>отново да бъде приведена в съответствие с типовото одобрение; или</w:t>
      </w:r>
    </w:p>
    <w:p w14:paraId="2E8ACBC8" w14:textId="7148682B"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в) да се проведе специален тест в съответствие с </w:t>
      </w:r>
      <w:r w:rsidR="00992444" w:rsidRPr="00F06DE2">
        <w:rPr>
          <w:rFonts w:ascii="Times New Roman" w:hAnsi="Times New Roman" w:cs="Times New Roman"/>
          <w:lang w:val="ru-RU"/>
        </w:rPr>
        <w:t>т.</w:t>
      </w:r>
      <w:r w:rsidRPr="00F06DE2">
        <w:rPr>
          <w:rFonts w:ascii="Times New Roman" w:hAnsi="Times New Roman" w:cs="Times New Roman"/>
          <w:lang w:val="ru-RU"/>
        </w:rPr>
        <w:t>3.</w:t>
      </w:r>
    </w:p>
    <w:p w14:paraId="1DB88C1A" w14:textId="01D13ABA"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След като несъответствията бъдат отстранени и </w:t>
      </w:r>
      <w:r w:rsidR="00DA2D2B" w:rsidRPr="00F06DE2">
        <w:rPr>
          <w:rFonts w:ascii="Times New Roman" w:hAnsi="Times New Roman" w:cs="Times New Roman"/>
          <w:lang w:val="ru-RU"/>
        </w:rPr>
        <w:t>бордова</w:t>
      </w:r>
      <w:r w:rsidR="00992444" w:rsidRPr="00F06DE2">
        <w:rPr>
          <w:rFonts w:ascii="Times New Roman" w:hAnsi="Times New Roman" w:cs="Times New Roman"/>
          <w:lang w:val="ru-RU"/>
        </w:rPr>
        <w:t>та</w:t>
      </w:r>
      <w:r w:rsidR="00DA2D2B" w:rsidRPr="00F06DE2">
        <w:rPr>
          <w:rFonts w:ascii="Times New Roman" w:hAnsi="Times New Roman" w:cs="Times New Roman"/>
          <w:lang w:val="ru-RU"/>
        </w:rPr>
        <w:t xml:space="preserve"> станция за пречистване на отпадъчни води</w:t>
      </w:r>
      <w:r w:rsidR="00DA2D2B" w:rsidRPr="00F06DE2" w:rsidDel="003F6D5A">
        <w:rPr>
          <w:rFonts w:ascii="Times New Roman" w:hAnsi="Times New Roman" w:cs="Times New Roman"/>
          <w:lang w:val="ru-RU"/>
        </w:rPr>
        <w:t xml:space="preserve"> </w:t>
      </w:r>
      <w:r w:rsidRPr="00F06DE2">
        <w:rPr>
          <w:rFonts w:ascii="Times New Roman" w:hAnsi="Times New Roman" w:cs="Times New Roman"/>
          <w:lang w:val="ru-RU"/>
        </w:rPr>
        <w:t>отново бъде приведена в съответствие с типовото одобрение, компетентният орган може да извърши нови измервания на произволни проби.</w:t>
      </w:r>
    </w:p>
    <w:p w14:paraId="4BE3901F" w14:textId="0C9149E4"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Ако дефектите не бъдат отстранени или съответствието на </w:t>
      </w:r>
      <w:r w:rsidR="00DA2D2B" w:rsidRPr="00F06DE2">
        <w:rPr>
          <w:rFonts w:ascii="Times New Roman" w:hAnsi="Times New Roman" w:cs="Times New Roman"/>
          <w:lang w:val="ru-RU"/>
        </w:rPr>
        <w:t>бордова</w:t>
      </w:r>
      <w:r w:rsidR="00547492" w:rsidRPr="00F06DE2">
        <w:rPr>
          <w:rFonts w:ascii="Times New Roman" w:hAnsi="Times New Roman" w:cs="Times New Roman"/>
          <w:lang w:val="ru-RU"/>
        </w:rPr>
        <w:t>та</w:t>
      </w:r>
      <w:r w:rsidR="00DA2D2B" w:rsidRPr="00F06DE2">
        <w:rPr>
          <w:rFonts w:ascii="Times New Roman" w:hAnsi="Times New Roman" w:cs="Times New Roman"/>
          <w:lang w:val="ru-RU"/>
        </w:rPr>
        <w:t xml:space="preserve"> станция за пречистване на отпадъчни води</w:t>
      </w:r>
      <w:r w:rsidR="00DA2D2B" w:rsidRPr="00F06DE2" w:rsidDel="003F6D5A">
        <w:rPr>
          <w:rFonts w:ascii="Times New Roman" w:hAnsi="Times New Roman" w:cs="Times New Roman"/>
          <w:lang w:val="ru-RU"/>
        </w:rPr>
        <w:t xml:space="preserve"> </w:t>
      </w:r>
      <w:r w:rsidRPr="00F06DE2">
        <w:rPr>
          <w:rFonts w:ascii="Times New Roman" w:hAnsi="Times New Roman" w:cs="Times New Roman"/>
          <w:lang w:val="ru-RU"/>
        </w:rPr>
        <w:t xml:space="preserve">не бъде възстановено със спецификациите на типовото одобрение, компетентният орган запечатва </w:t>
      </w:r>
      <w:r w:rsidR="00DA2D2B" w:rsidRPr="00F06DE2">
        <w:rPr>
          <w:rFonts w:ascii="Times New Roman" w:hAnsi="Times New Roman" w:cs="Times New Roman"/>
          <w:lang w:val="ru-RU"/>
        </w:rPr>
        <w:t>бордовата станция за пречистване на отпадъчни води</w:t>
      </w:r>
      <w:r w:rsidR="00DA2D2B" w:rsidRPr="00F06DE2" w:rsidDel="003F6D5A">
        <w:rPr>
          <w:rFonts w:ascii="Times New Roman" w:hAnsi="Times New Roman" w:cs="Times New Roman"/>
          <w:lang w:val="ru-RU"/>
        </w:rPr>
        <w:t xml:space="preserve"> </w:t>
      </w:r>
      <w:r w:rsidRPr="00F06DE2">
        <w:rPr>
          <w:rFonts w:ascii="Times New Roman" w:hAnsi="Times New Roman" w:cs="Times New Roman"/>
          <w:lang w:val="ru-RU"/>
        </w:rPr>
        <w:t xml:space="preserve">и информира инспекционния орган, за да направи вписване за това в точка 52 от </w:t>
      </w:r>
      <w:r w:rsidR="00270984" w:rsidRPr="00F06DE2">
        <w:rPr>
          <w:rFonts w:ascii="Times New Roman" w:hAnsi="Times New Roman" w:cs="Times New Roman"/>
          <w:lang w:val="ru-RU"/>
        </w:rPr>
        <w:t xml:space="preserve">корабното удостоверение  за вътрешно корабоплаване </w:t>
      </w:r>
      <w:r w:rsidRPr="00F06DE2">
        <w:rPr>
          <w:rFonts w:ascii="Times New Roman" w:hAnsi="Times New Roman" w:cs="Times New Roman"/>
          <w:lang w:val="ru-RU"/>
        </w:rPr>
        <w:t>.</w:t>
      </w:r>
    </w:p>
    <w:p w14:paraId="741CC475" w14:textId="2615E63B" w:rsidR="00692967" w:rsidRPr="00F06DE2" w:rsidRDefault="00692967"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2. </w:t>
      </w:r>
      <w:r w:rsidRPr="00F06DE2">
        <w:rPr>
          <w:rFonts w:ascii="Times New Roman" w:hAnsi="Times New Roman" w:cs="Times New Roman"/>
          <w:lang w:val="ru-RU"/>
        </w:rPr>
        <w:tab/>
        <w:t xml:space="preserve">Случайните проби се измерват в съответствие със спецификациите на член 18.01, </w:t>
      </w:r>
      <w:r w:rsidR="00C00E69" w:rsidRPr="00F06DE2">
        <w:rPr>
          <w:rFonts w:ascii="Times New Roman" w:hAnsi="Times New Roman" w:cs="Times New Roman"/>
          <w:lang w:val="ru-RU"/>
        </w:rPr>
        <w:t xml:space="preserve">т. </w:t>
      </w:r>
      <w:r w:rsidR="00951A69" w:rsidRPr="00F06DE2">
        <w:rPr>
          <w:rFonts w:ascii="Times New Roman" w:hAnsi="Times New Roman" w:cs="Times New Roman"/>
          <w:lang w:val="ru-RU"/>
        </w:rPr>
        <w:t>2</w:t>
      </w:r>
      <w:r w:rsidRPr="00F06DE2">
        <w:rPr>
          <w:rFonts w:ascii="Times New Roman" w:hAnsi="Times New Roman" w:cs="Times New Roman"/>
          <w:lang w:val="ru-RU"/>
        </w:rPr>
        <w:t>, таблица 2.</w:t>
      </w:r>
    </w:p>
    <w:p w14:paraId="20B09DD1" w14:textId="38D3B93B" w:rsidR="00692967" w:rsidRPr="00F06DE2" w:rsidRDefault="00692967"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3. </w:t>
      </w:r>
      <w:r w:rsidRPr="00F06DE2">
        <w:rPr>
          <w:rFonts w:ascii="Times New Roman" w:hAnsi="Times New Roman" w:cs="Times New Roman"/>
          <w:lang w:val="ru-RU"/>
        </w:rPr>
        <w:tab/>
        <w:t xml:space="preserve">Ако компетентният орган открие някакви несъответствия в </w:t>
      </w:r>
      <w:r w:rsidR="00DA2D2B" w:rsidRPr="00F06DE2">
        <w:rPr>
          <w:rFonts w:ascii="Times New Roman" w:hAnsi="Times New Roman" w:cs="Times New Roman"/>
          <w:lang w:val="ru-RU"/>
        </w:rPr>
        <w:t xml:space="preserve">бордовата станция за пречистване на отпадъчни води </w:t>
      </w:r>
      <w:r w:rsidR="00812B17" w:rsidRPr="00F06DE2">
        <w:rPr>
          <w:rFonts w:ascii="Times New Roman" w:hAnsi="Times New Roman" w:cs="Times New Roman"/>
          <w:lang w:val="ru-RU"/>
        </w:rPr>
        <w:t>,</w:t>
      </w:r>
      <w:r w:rsidRPr="00F06DE2">
        <w:rPr>
          <w:rFonts w:ascii="Times New Roman" w:hAnsi="Times New Roman" w:cs="Times New Roman"/>
          <w:lang w:val="ru-RU"/>
        </w:rPr>
        <w:t xml:space="preserve">за отпадъчни води, показващи отклонение от одобрението на типа, компетентният орган провежда специално изпитване, за да определи настоящото състояние на </w:t>
      </w:r>
      <w:r w:rsidR="00DA2D2B" w:rsidRPr="00F06DE2">
        <w:rPr>
          <w:rFonts w:ascii="Times New Roman" w:hAnsi="Times New Roman" w:cs="Times New Roman"/>
          <w:lang w:val="ru-RU"/>
        </w:rPr>
        <w:lastRenderedPageBreak/>
        <w:t>бордова станция за пречистване на отпадъчни води</w:t>
      </w:r>
      <w:r w:rsidR="00DA2D2B" w:rsidRPr="00F06DE2" w:rsidDel="003F6D5A">
        <w:rPr>
          <w:rFonts w:ascii="Times New Roman" w:hAnsi="Times New Roman" w:cs="Times New Roman"/>
          <w:lang w:val="ru-RU"/>
        </w:rPr>
        <w:t xml:space="preserve"> </w:t>
      </w:r>
      <w:r w:rsidRPr="00F06DE2">
        <w:rPr>
          <w:rFonts w:ascii="Times New Roman" w:hAnsi="Times New Roman" w:cs="Times New Roman"/>
          <w:lang w:val="ru-RU"/>
        </w:rPr>
        <w:t xml:space="preserve">по отношение на компонентите, посочени в записа на параметрите на </w:t>
      </w:r>
      <w:r w:rsidR="00DA2D2B" w:rsidRPr="00F06DE2">
        <w:rPr>
          <w:rFonts w:ascii="Times New Roman" w:hAnsi="Times New Roman" w:cs="Times New Roman"/>
          <w:lang w:val="ru-RU"/>
        </w:rPr>
        <w:t>бордова</w:t>
      </w:r>
      <w:r w:rsidR="00EC6EE0" w:rsidRPr="00F06DE2">
        <w:rPr>
          <w:rFonts w:ascii="Times New Roman" w:hAnsi="Times New Roman" w:cs="Times New Roman"/>
          <w:lang w:val="ru-RU"/>
        </w:rPr>
        <w:t>та</w:t>
      </w:r>
      <w:r w:rsidR="00DA2D2B" w:rsidRPr="00F06DE2">
        <w:rPr>
          <w:rFonts w:ascii="Times New Roman" w:hAnsi="Times New Roman" w:cs="Times New Roman"/>
          <w:lang w:val="ru-RU"/>
        </w:rPr>
        <w:t xml:space="preserve"> станция за пречистване на отпадъчни води</w:t>
      </w:r>
      <w:r w:rsidR="00812B17" w:rsidRPr="00F06DE2">
        <w:rPr>
          <w:rFonts w:ascii="Times New Roman" w:hAnsi="Times New Roman" w:cs="Times New Roman"/>
          <w:lang w:val="ru-RU"/>
        </w:rPr>
        <w:t xml:space="preserve"> </w:t>
      </w:r>
      <w:r w:rsidRPr="00F06DE2">
        <w:rPr>
          <w:rFonts w:ascii="Times New Roman" w:hAnsi="Times New Roman" w:cs="Times New Roman"/>
          <w:lang w:val="ru-RU"/>
        </w:rPr>
        <w:t xml:space="preserve">, калибрирането и настройката на параметрите </w:t>
      </w:r>
      <w:r w:rsidR="002E5AAC" w:rsidRPr="00F06DE2">
        <w:rPr>
          <w:rFonts w:ascii="Times New Roman" w:hAnsi="Times New Roman" w:cs="Times New Roman"/>
          <w:lang w:val="ru-RU"/>
        </w:rPr>
        <w:t>бордовата станция за пречистване на отпадъчни води</w:t>
      </w:r>
      <w:r w:rsidR="002E5AAC" w:rsidRPr="00F06DE2" w:rsidDel="003F6D5A">
        <w:rPr>
          <w:rFonts w:ascii="Times New Roman" w:hAnsi="Times New Roman" w:cs="Times New Roman"/>
          <w:lang w:val="ru-RU"/>
        </w:rPr>
        <w:t xml:space="preserve"> </w:t>
      </w:r>
      <w:r w:rsidRPr="00F06DE2">
        <w:rPr>
          <w:rFonts w:ascii="Times New Roman" w:hAnsi="Times New Roman" w:cs="Times New Roman"/>
          <w:lang w:val="ru-RU"/>
        </w:rPr>
        <w:t xml:space="preserve">Ако компетентният орган стигне до заключението, че </w:t>
      </w:r>
      <w:r w:rsidR="002E5AAC" w:rsidRPr="00F06DE2">
        <w:rPr>
          <w:rFonts w:ascii="Times New Roman" w:hAnsi="Times New Roman" w:cs="Times New Roman"/>
          <w:lang w:val="ru-RU"/>
        </w:rPr>
        <w:t>бордовата станция за пречистване на отпадъчни води</w:t>
      </w:r>
      <w:r w:rsidRPr="00F06DE2">
        <w:rPr>
          <w:rFonts w:ascii="Times New Roman" w:hAnsi="Times New Roman" w:cs="Times New Roman"/>
          <w:lang w:val="ru-RU"/>
        </w:rPr>
        <w:t xml:space="preserve"> не е в съответствие с типово</w:t>
      </w:r>
      <w:r w:rsidR="00D91961" w:rsidRPr="00F06DE2">
        <w:rPr>
          <w:rFonts w:ascii="Times New Roman" w:hAnsi="Times New Roman" w:cs="Times New Roman"/>
          <w:lang w:val="ru-RU"/>
        </w:rPr>
        <w:t>то</w:t>
      </w:r>
      <w:r w:rsidRPr="00F06DE2">
        <w:rPr>
          <w:rFonts w:ascii="Times New Roman" w:hAnsi="Times New Roman" w:cs="Times New Roman"/>
          <w:lang w:val="ru-RU"/>
        </w:rPr>
        <w:t xml:space="preserve"> одобрения, той може да предприеме следните действия:</w:t>
      </w:r>
    </w:p>
    <w:p w14:paraId="1F268E5E" w14:textId="56F16896" w:rsidR="006F2033"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а) </w:t>
      </w:r>
      <w:r w:rsidR="006F2033" w:rsidRPr="00F06DE2">
        <w:rPr>
          <w:rFonts w:ascii="Times New Roman" w:hAnsi="Times New Roman" w:cs="Times New Roman"/>
          <w:lang w:val="ru-RU"/>
        </w:rPr>
        <w:t>изисква</w:t>
      </w:r>
    </w:p>
    <w:p w14:paraId="36356287" w14:textId="0646216E"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аа) съответствието на </w:t>
      </w:r>
      <w:r w:rsidR="002E5AAC" w:rsidRPr="00F06DE2">
        <w:rPr>
          <w:rFonts w:ascii="Times New Roman" w:hAnsi="Times New Roman" w:cs="Times New Roman"/>
          <w:lang w:val="ru-RU"/>
        </w:rPr>
        <w:t>бордовата станция за пречистване на отпадъчни води</w:t>
      </w:r>
      <w:r w:rsidRPr="00F06DE2">
        <w:rPr>
          <w:rFonts w:ascii="Times New Roman" w:hAnsi="Times New Roman" w:cs="Times New Roman"/>
          <w:lang w:val="ru-RU"/>
        </w:rPr>
        <w:t xml:space="preserve"> да бъде възстановено; или</w:t>
      </w:r>
    </w:p>
    <w:p w14:paraId="3911AB5C"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бб) типовото одобрение в съответствие с член 18.04 да бъде съответно изменено; или</w:t>
      </w:r>
    </w:p>
    <w:p w14:paraId="58844575" w14:textId="4B7D31C2"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б) </w:t>
      </w:r>
      <w:r w:rsidR="00326072" w:rsidRPr="00F06DE2">
        <w:rPr>
          <w:rFonts w:ascii="Times New Roman" w:hAnsi="Times New Roman" w:cs="Times New Roman"/>
          <w:lang w:val="ru-RU"/>
        </w:rPr>
        <w:t xml:space="preserve"> разпорежда</w:t>
      </w:r>
      <w:r w:rsidRPr="00F06DE2">
        <w:rPr>
          <w:rFonts w:ascii="Times New Roman" w:hAnsi="Times New Roman" w:cs="Times New Roman"/>
          <w:lang w:val="ru-RU"/>
        </w:rPr>
        <w:t xml:space="preserve"> измерване в съответствие с процедурата за изпитване, както е посочено в приложение 7, раздел </w:t>
      </w:r>
      <w:r w:rsidRPr="00F06DE2">
        <w:rPr>
          <w:rFonts w:ascii="Times New Roman" w:hAnsi="Times New Roman" w:cs="Times New Roman"/>
        </w:rPr>
        <w:t>IX</w:t>
      </w:r>
      <w:r w:rsidRPr="00F06DE2">
        <w:rPr>
          <w:rFonts w:ascii="Times New Roman" w:hAnsi="Times New Roman" w:cs="Times New Roman"/>
          <w:lang w:val="ru-RU"/>
        </w:rPr>
        <w:t>.</w:t>
      </w:r>
    </w:p>
    <w:p w14:paraId="65697CA2" w14:textId="727A89FC"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Ако съответствието не бъде възстановено или типовото одобрение не бъде съответно изменено, или ако </w:t>
      </w:r>
      <w:r w:rsidR="002B07B5" w:rsidRPr="00F06DE2">
        <w:rPr>
          <w:rFonts w:ascii="Times New Roman" w:hAnsi="Times New Roman" w:cs="Times New Roman"/>
          <w:lang w:val="ru-RU"/>
        </w:rPr>
        <w:t xml:space="preserve"> се докаже</w:t>
      </w:r>
      <w:r w:rsidRPr="00F06DE2">
        <w:rPr>
          <w:rFonts w:ascii="Times New Roman" w:hAnsi="Times New Roman" w:cs="Times New Roman"/>
          <w:lang w:val="ru-RU"/>
        </w:rPr>
        <w:t xml:space="preserve"> от измерванията, направени в съответствие с буква б), че граничните стойности, определени в член 18.01,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2, буква </w:t>
      </w:r>
      <w:r w:rsidR="004318DF" w:rsidRPr="00F06DE2">
        <w:rPr>
          <w:rFonts w:ascii="Times New Roman" w:hAnsi="Times New Roman" w:cs="Times New Roman"/>
          <w:lang w:val="ru-RU"/>
        </w:rPr>
        <w:t>“</w:t>
      </w:r>
      <w:r w:rsidRPr="00F06DE2">
        <w:rPr>
          <w:rFonts w:ascii="Times New Roman" w:hAnsi="Times New Roman" w:cs="Times New Roman"/>
          <w:lang w:val="ru-RU"/>
        </w:rPr>
        <w:t>а</w:t>
      </w:r>
      <w:r w:rsidR="004318DF" w:rsidRPr="00F06DE2">
        <w:rPr>
          <w:rFonts w:ascii="Times New Roman" w:hAnsi="Times New Roman" w:cs="Times New Roman"/>
          <w:lang w:val="ru-RU"/>
        </w:rPr>
        <w:t>“</w:t>
      </w:r>
      <w:r w:rsidRPr="00F06DE2">
        <w:rPr>
          <w:rFonts w:ascii="Times New Roman" w:hAnsi="Times New Roman" w:cs="Times New Roman"/>
          <w:lang w:val="ru-RU"/>
        </w:rPr>
        <w:t xml:space="preserve">, таблица 1, не са спазени, компетентният орган запечатва </w:t>
      </w:r>
      <w:r w:rsidR="009C56F8" w:rsidRPr="00F06DE2">
        <w:rPr>
          <w:rFonts w:ascii="Times New Roman" w:hAnsi="Times New Roman" w:cs="Times New Roman"/>
          <w:lang w:val="ru-RU"/>
        </w:rPr>
        <w:t>бордовата станция за пречистване на отпадъчни води</w:t>
      </w:r>
      <w:r w:rsidRPr="00F06DE2">
        <w:rPr>
          <w:rFonts w:ascii="Times New Roman" w:hAnsi="Times New Roman" w:cs="Times New Roman"/>
          <w:lang w:val="ru-RU"/>
        </w:rPr>
        <w:t xml:space="preserve"> и информира инспекционния орган да направи запис за това в позиция 52 на </w:t>
      </w:r>
      <w:r w:rsidR="009C56F8" w:rsidRPr="00F06DE2">
        <w:rPr>
          <w:rFonts w:ascii="Times New Roman" w:hAnsi="Times New Roman" w:cs="Times New Roman"/>
          <w:lang w:val="ru-RU"/>
        </w:rPr>
        <w:t>корабното удостоверение за вътрешно корабоплаване</w:t>
      </w:r>
      <w:r w:rsidRPr="00F06DE2">
        <w:rPr>
          <w:rFonts w:ascii="Times New Roman" w:hAnsi="Times New Roman" w:cs="Times New Roman"/>
          <w:lang w:val="ru-RU"/>
        </w:rPr>
        <w:t>.</w:t>
      </w:r>
    </w:p>
    <w:p w14:paraId="1ADF389B" w14:textId="1287FCA5" w:rsidR="00692967" w:rsidRPr="00F06DE2" w:rsidRDefault="00692967"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4. </w:t>
      </w:r>
      <w:r w:rsidRPr="00F06DE2">
        <w:rPr>
          <w:rFonts w:ascii="Times New Roman" w:hAnsi="Times New Roman" w:cs="Times New Roman"/>
          <w:lang w:val="ru-RU"/>
        </w:rPr>
        <w:tab/>
        <w:t xml:space="preserve">Изпитванията в съответствие с точка 3 се извършват въз основа на сертификата за типово одобрение и ръководството на производителя за проверка на компонентите и параметрите на </w:t>
      </w:r>
      <w:r w:rsidR="00AD19E5" w:rsidRPr="00F06DE2">
        <w:rPr>
          <w:rFonts w:ascii="Times New Roman" w:hAnsi="Times New Roman" w:cs="Times New Roman"/>
          <w:lang w:val="ru-RU"/>
        </w:rPr>
        <w:t>бордовата станция за пречистване на отпадъчни води</w:t>
      </w:r>
      <w:r w:rsidRPr="00F06DE2">
        <w:rPr>
          <w:rFonts w:ascii="Times New Roman" w:hAnsi="Times New Roman" w:cs="Times New Roman"/>
          <w:lang w:val="ru-RU"/>
        </w:rPr>
        <w:t xml:space="preserve">, </w:t>
      </w:r>
      <w:r w:rsidR="000C7C72" w:rsidRPr="00F06DE2">
        <w:rPr>
          <w:rFonts w:ascii="Times New Roman" w:hAnsi="Times New Roman" w:cs="Times New Roman"/>
          <w:lang w:val="ru-RU"/>
        </w:rPr>
        <w:t xml:space="preserve">свързани с </w:t>
      </w:r>
      <w:r w:rsidRPr="00F06DE2">
        <w:rPr>
          <w:rFonts w:ascii="Times New Roman" w:hAnsi="Times New Roman" w:cs="Times New Roman"/>
          <w:lang w:val="ru-RU"/>
        </w:rPr>
        <w:t xml:space="preserve">пречистването на отпадъчни води. Това ръководство, което се съставя от производителя и се одобрява от компетентен орган, уточнява компонентите, имащи отношение към обработката, както и настройките, критериите за оразмеряване и параметрите, които да се прилагат, за да се гарантира, че стойностите, посочени в член 18.01, </w:t>
      </w:r>
      <w:r w:rsidR="0097711D" w:rsidRPr="00F06DE2">
        <w:rPr>
          <w:rFonts w:ascii="Times New Roman" w:hAnsi="Times New Roman" w:cs="Times New Roman"/>
          <w:lang w:val="ru-RU"/>
        </w:rPr>
        <w:t>т.</w:t>
      </w:r>
      <w:r w:rsidRPr="00F06DE2">
        <w:rPr>
          <w:rFonts w:ascii="Times New Roman" w:hAnsi="Times New Roman" w:cs="Times New Roman"/>
          <w:lang w:val="ru-RU"/>
        </w:rPr>
        <w:t>2, таблици 1 и 2, се поддържат непрекъснато. Той включва най-малко следната информация:</w:t>
      </w:r>
    </w:p>
    <w:p w14:paraId="008B5F6A" w14:textId="2041A212"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а) спецификация на типа </w:t>
      </w:r>
      <w:r w:rsidR="002C39E0" w:rsidRPr="00F06DE2">
        <w:rPr>
          <w:rFonts w:ascii="Times New Roman" w:hAnsi="Times New Roman" w:cs="Times New Roman"/>
          <w:lang w:val="ru-RU"/>
        </w:rPr>
        <w:t>бордова станция за пречистване на отпадъчни води</w:t>
      </w:r>
      <w:r w:rsidR="002C39E0" w:rsidRPr="00F06DE2" w:rsidDel="003F6D5A">
        <w:rPr>
          <w:rFonts w:ascii="Times New Roman" w:hAnsi="Times New Roman" w:cs="Times New Roman"/>
          <w:lang w:val="ru-RU"/>
        </w:rPr>
        <w:t xml:space="preserve"> </w:t>
      </w:r>
      <w:r w:rsidRPr="00F06DE2">
        <w:rPr>
          <w:rFonts w:ascii="Times New Roman" w:hAnsi="Times New Roman" w:cs="Times New Roman"/>
          <w:lang w:val="ru-RU"/>
        </w:rPr>
        <w:t xml:space="preserve">с описание на процеса и указание трябва </w:t>
      </w:r>
      <w:r w:rsidR="000C7C72" w:rsidRPr="00F06DE2">
        <w:rPr>
          <w:rFonts w:ascii="Times New Roman" w:hAnsi="Times New Roman" w:cs="Times New Roman"/>
          <w:lang w:val="ru-RU"/>
        </w:rPr>
        <w:t xml:space="preserve">ли </w:t>
      </w:r>
      <w:r w:rsidRPr="00F06DE2">
        <w:rPr>
          <w:rFonts w:ascii="Times New Roman" w:hAnsi="Times New Roman" w:cs="Times New Roman"/>
          <w:lang w:val="ru-RU"/>
        </w:rPr>
        <w:t>да се монтират резервоари за съхранение на отпадъчни води преди бордовата пречиствателна станция;</w:t>
      </w:r>
    </w:p>
    <w:p w14:paraId="7DD81575"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б) списък на компонентите, специфични за пречистване на отпадъчни води;</w:t>
      </w:r>
    </w:p>
    <w:p w14:paraId="0008D17D" w14:textId="69D6E6D0"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в) схематично представяне на </w:t>
      </w:r>
      <w:r w:rsidR="002C39E0" w:rsidRPr="00F06DE2">
        <w:rPr>
          <w:rFonts w:ascii="Times New Roman" w:hAnsi="Times New Roman" w:cs="Times New Roman"/>
          <w:lang w:val="ru-RU"/>
        </w:rPr>
        <w:t>бордова станция за пречистване на отпадъчни води</w:t>
      </w:r>
      <w:r w:rsidR="002C39E0" w:rsidRPr="00F06DE2" w:rsidDel="003F6D5A">
        <w:rPr>
          <w:rFonts w:ascii="Times New Roman" w:hAnsi="Times New Roman" w:cs="Times New Roman"/>
          <w:lang w:val="ru-RU"/>
        </w:rPr>
        <w:t xml:space="preserve"> </w:t>
      </w:r>
      <w:r w:rsidRPr="00F06DE2">
        <w:rPr>
          <w:rFonts w:ascii="Times New Roman" w:hAnsi="Times New Roman" w:cs="Times New Roman"/>
          <w:lang w:val="ru-RU"/>
        </w:rPr>
        <w:t>с идентификационни характеристики на одобрените</w:t>
      </w:r>
      <w:r w:rsidR="006B43FC" w:rsidRPr="00F06DE2">
        <w:rPr>
          <w:rFonts w:ascii="Times New Roman" w:hAnsi="Times New Roman" w:cs="Times New Roman"/>
          <w:lang w:val="ru-RU"/>
        </w:rPr>
        <w:t xml:space="preserve"> </w:t>
      </w:r>
      <w:r w:rsidR="002F1717" w:rsidRPr="00F06DE2">
        <w:rPr>
          <w:rFonts w:ascii="Times New Roman" w:hAnsi="Times New Roman" w:cs="Times New Roman"/>
          <w:lang w:val="ru-RU"/>
        </w:rPr>
        <w:t>ком</w:t>
      </w:r>
      <w:r w:rsidR="006B43FC" w:rsidRPr="00F06DE2">
        <w:rPr>
          <w:rFonts w:ascii="Times New Roman" w:hAnsi="Times New Roman" w:cs="Times New Roman"/>
          <w:lang w:val="ru-RU"/>
        </w:rPr>
        <w:t xml:space="preserve">поненти, </w:t>
      </w:r>
      <w:r w:rsidRPr="00F06DE2">
        <w:rPr>
          <w:rFonts w:ascii="Times New Roman" w:hAnsi="Times New Roman" w:cs="Times New Roman"/>
          <w:lang w:val="ru-RU"/>
        </w:rPr>
        <w:t xml:space="preserve"> свързани с </w:t>
      </w:r>
      <w:r w:rsidR="006B43FC" w:rsidRPr="00F06DE2">
        <w:rPr>
          <w:rFonts w:ascii="Times New Roman" w:hAnsi="Times New Roman" w:cs="Times New Roman"/>
          <w:lang w:val="ru-RU"/>
        </w:rPr>
        <w:t xml:space="preserve">пречистването </w:t>
      </w:r>
      <w:r w:rsidRPr="00F06DE2">
        <w:rPr>
          <w:rFonts w:ascii="Times New Roman" w:hAnsi="Times New Roman" w:cs="Times New Roman"/>
          <w:lang w:val="ru-RU"/>
        </w:rPr>
        <w:t>(напр. номера на части на компонентите).</w:t>
      </w:r>
    </w:p>
    <w:p w14:paraId="6D596AF2" w14:textId="6905A82A" w:rsidR="00692967" w:rsidRPr="00F06DE2" w:rsidRDefault="00692967"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5. </w:t>
      </w:r>
      <w:r w:rsidRPr="00F06DE2">
        <w:rPr>
          <w:rFonts w:ascii="Times New Roman" w:hAnsi="Times New Roman" w:cs="Times New Roman"/>
          <w:lang w:val="ru-RU"/>
        </w:rPr>
        <w:tab/>
      </w:r>
      <w:r w:rsidR="002C39E0" w:rsidRPr="00F06DE2">
        <w:rPr>
          <w:rFonts w:ascii="Times New Roman" w:hAnsi="Times New Roman" w:cs="Times New Roman"/>
          <w:lang w:val="ru-RU"/>
        </w:rPr>
        <w:t>Бордова станция за пречистване на отпадъчни води</w:t>
      </w:r>
      <w:r w:rsidRPr="00F06DE2">
        <w:rPr>
          <w:rFonts w:ascii="Times New Roman" w:hAnsi="Times New Roman" w:cs="Times New Roman"/>
          <w:lang w:val="ru-RU"/>
        </w:rPr>
        <w:t xml:space="preserve">, която е била запечатана в съответствие с </w:t>
      </w:r>
      <w:r w:rsidR="0097711D" w:rsidRPr="00F06DE2">
        <w:rPr>
          <w:rFonts w:ascii="Times New Roman" w:hAnsi="Times New Roman" w:cs="Times New Roman"/>
          <w:lang w:val="ru-RU"/>
        </w:rPr>
        <w:t>т.</w:t>
      </w:r>
      <w:r w:rsidR="00BE016A" w:rsidRPr="00F06DE2">
        <w:rPr>
          <w:rFonts w:ascii="Times New Roman" w:hAnsi="Times New Roman" w:cs="Times New Roman"/>
          <w:lang w:val="ru-RU"/>
        </w:rPr>
        <w:t xml:space="preserve">т. </w:t>
      </w:r>
      <w:r w:rsidRPr="00F06DE2">
        <w:rPr>
          <w:rFonts w:ascii="Times New Roman" w:hAnsi="Times New Roman" w:cs="Times New Roman"/>
          <w:lang w:val="ru-RU"/>
        </w:rPr>
        <w:t xml:space="preserve">3, 3-то изречение, може да бъде върната в експлоатация само след специален тест в съответствие с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3, първа алинея.</w:t>
      </w:r>
    </w:p>
    <w:p w14:paraId="695FDA05" w14:textId="77777777" w:rsidR="008A1FEB" w:rsidRPr="00F06DE2" w:rsidRDefault="008A1FEB" w:rsidP="001D128E">
      <w:pPr>
        <w:ind w:left="720" w:hanging="720"/>
        <w:jc w:val="center"/>
        <w:rPr>
          <w:rFonts w:ascii="Times New Roman" w:hAnsi="Times New Roman" w:cs="Times New Roman"/>
          <w:b/>
          <w:lang w:val="ru-RU"/>
        </w:rPr>
      </w:pPr>
    </w:p>
    <w:p w14:paraId="41C76020" w14:textId="58F5D100" w:rsidR="00692967" w:rsidRPr="00F06DE2" w:rsidRDefault="00692967" w:rsidP="001D128E">
      <w:pPr>
        <w:ind w:left="720" w:hanging="720"/>
        <w:jc w:val="center"/>
        <w:rPr>
          <w:rFonts w:ascii="Times New Roman" w:hAnsi="Times New Roman" w:cs="Times New Roman"/>
          <w:b/>
          <w:lang w:val="ru-RU"/>
        </w:rPr>
      </w:pPr>
      <w:r w:rsidRPr="00F06DE2">
        <w:rPr>
          <w:rFonts w:ascii="Times New Roman" w:hAnsi="Times New Roman" w:cs="Times New Roman"/>
          <w:b/>
          <w:lang w:val="ru-RU"/>
        </w:rPr>
        <w:t>Член 18.11</w:t>
      </w:r>
    </w:p>
    <w:p w14:paraId="68B8D629" w14:textId="54A8FE38" w:rsidR="001D128E" w:rsidRPr="00F06DE2" w:rsidRDefault="00D56A89" w:rsidP="001D128E">
      <w:pPr>
        <w:ind w:left="720" w:hanging="720"/>
        <w:jc w:val="center"/>
        <w:rPr>
          <w:rFonts w:ascii="Times New Roman" w:hAnsi="Times New Roman" w:cs="Times New Roman"/>
          <w:b/>
          <w:i/>
          <w:lang w:val="ru-RU"/>
        </w:rPr>
      </w:pPr>
      <w:r w:rsidRPr="00F06DE2">
        <w:rPr>
          <w:rFonts w:ascii="Times New Roman" w:hAnsi="Times New Roman" w:cs="Times New Roman"/>
          <w:b/>
          <w:i/>
          <w:lang w:val="ru-RU"/>
        </w:rPr>
        <w:t>Ръководство и инструкции за  експлоатация</w:t>
      </w:r>
    </w:p>
    <w:p w14:paraId="03B29776" w14:textId="2885C22C" w:rsidR="00692967" w:rsidRPr="00F06DE2" w:rsidRDefault="00692967"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1. </w:t>
      </w:r>
      <w:r w:rsidRPr="00F06DE2">
        <w:rPr>
          <w:rFonts w:ascii="Times New Roman" w:hAnsi="Times New Roman" w:cs="Times New Roman"/>
          <w:lang w:val="ru-RU"/>
        </w:rPr>
        <w:tab/>
      </w:r>
      <w:r w:rsidR="001D128E" w:rsidRPr="00F06DE2">
        <w:rPr>
          <w:rFonts w:ascii="Times New Roman" w:hAnsi="Times New Roman" w:cs="Times New Roman"/>
          <w:lang w:val="ru-RU"/>
        </w:rPr>
        <w:t xml:space="preserve">Всяка </w:t>
      </w:r>
      <w:r w:rsidR="009926F1" w:rsidRPr="00F06DE2">
        <w:rPr>
          <w:rFonts w:ascii="Times New Roman" w:hAnsi="Times New Roman" w:cs="Times New Roman"/>
          <w:lang w:val="ru-RU"/>
        </w:rPr>
        <w:t>бордова станция за пречистване на отпадъчни води</w:t>
      </w:r>
      <w:r w:rsidR="009926F1" w:rsidRPr="00F06DE2" w:rsidDel="003F6D5A">
        <w:rPr>
          <w:rFonts w:ascii="Times New Roman" w:hAnsi="Times New Roman" w:cs="Times New Roman"/>
          <w:lang w:val="ru-RU"/>
        </w:rPr>
        <w:t xml:space="preserve"> </w:t>
      </w:r>
      <w:r w:rsidRPr="00F06DE2">
        <w:rPr>
          <w:rFonts w:ascii="Times New Roman" w:hAnsi="Times New Roman" w:cs="Times New Roman"/>
          <w:lang w:val="ru-RU"/>
        </w:rPr>
        <w:t xml:space="preserve">трябва да има ръководство за експлоатация. Ръководството за </w:t>
      </w:r>
      <w:r w:rsidR="00223DD3" w:rsidRPr="00F06DE2">
        <w:rPr>
          <w:rFonts w:ascii="Times New Roman" w:hAnsi="Times New Roman" w:cs="Times New Roman"/>
          <w:lang w:val="ru-RU"/>
        </w:rPr>
        <w:t xml:space="preserve"> експлоатация</w:t>
      </w:r>
      <w:r w:rsidRPr="00F06DE2">
        <w:rPr>
          <w:rFonts w:ascii="Times New Roman" w:hAnsi="Times New Roman" w:cs="Times New Roman"/>
          <w:lang w:val="ru-RU"/>
        </w:rPr>
        <w:t xml:space="preserve"> се изготвя от производителя на инсталацията за пречистване на отпадъчни води, инсталирана на борда.</w:t>
      </w:r>
    </w:p>
    <w:p w14:paraId="756944FC" w14:textId="2E76D0A0" w:rsidR="00692967" w:rsidRPr="00F06DE2" w:rsidRDefault="00692967" w:rsidP="008A1FEB">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2. </w:t>
      </w:r>
      <w:r w:rsidRPr="00F06DE2">
        <w:rPr>
          <w:rFonts w:ascii="Times New Roman" w:hAnsi="Times New Roman" w:cs="Times New Roman"/>
          <w:lang w:val="ru-RU"/>
        </w:rPr>
        <w:tab/>
        <w:t xml:space="preserve">Ръководството за </w:t>
      </w:r>
      <w:r w:rsidR="00223DD3" w:rsidRPr="00F06DE2">
        <w:rPr>
          <w:rFonts w:ascii="Times New Roman" w:hAnsi="Times New Roman" w:cs="Times New Roman"/>
          <w:lang w:val="ru-RU"/>
        </w:rPr>
        <w:t xml:space="preserve"> експлоатация</w:t>
      </w:r>
      <w:r w:rsidRPr="00F06DE2">
        <w:rPr>
          <w:rFonts w:ascii="Times New Roman" w:hAnsi="Times New Roman" w:cs="Times New Roman"/>
          <w:lang w:val="ru-RU"/>
        </w:rPr>
        <w:t xml:space="preserve"> съдържа:</w:t>
      </w:r>
    </w:p>
    <w:p w14:paraId="62885D73" w14:textId="21BD6FA1"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lastRenderedPageBreak/>
        <w:t xml:space="preserve">а) Компоненти на бордови инсталации за пречистване на отпадъчни води, свързани с нейната експлоатация съгласно член 18.10, </w:t>
      </w:r>
      <w:r w:rsidR="0097711D" w:rsidRPr="00F06DE2">
        <w:rPr>
          <w:rFonts w:ascii="Times New Roman" w:hAnsi="Times New Roman" w:cs="Times New Roman"/>
          <w:lang w:val="ru-RU"/>
        </w:rPr>
        <w:t>т.</w:t>
      </w:r>
      <w:r w:rsidR="00FB7EA3" w:rsidRPr="00F06DE2">
        <w:rPr>
          <w:rFonts w:ascii="Times New Roman" w:hAnsi="Times New Roman" w:cs="Times New Roman"/>
          <w:lang w:val="ru-RU"/>
        </w:rPr>
        <w:t>4</w:t>
      </w:r>
    </w:p>
    <w:p w14:paraId="2475DFD1"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б) Инструкции за работа:</w:t>
      </w:r>
    </w:p>
    <w:p w14:paraId="59182300"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аа) както за ръчно, така и за автоматизирано управление на бордовата пречиствателна станция за отпадъчни води,</w:t>
      </w:r>
    </w:p>
    <w:p w14:paraId="0E039B2F" w14:textId="0002820C"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бб) за работа в режим на готовност на бордов</w:t>
      </w:r>
      <w:r w:rsidR="00CC739E" w:rsidRPr="00F06DE2">
        <w:rPr>
          <w:rFonts w:ascii="Times New Roman" w:hAnsi="Times New Roman" w:cs="Times New Roman"/>
          <w:lang w:val="ru-RU"/>
        </w:rPr>
        <w:t>ата</w:t>
      </w:r>
      <w:r w:rsidRPr="00F06DE2">
        <w:rPr>
          <w:rFonts w:ascii="Times New Roman" w:hAnsi="Times New Roman" w:cs="Times New Roman"/>
          <w:lang w:val="ru-RU"/>
        </w:rPr>
        <w:t xml:space="preserve"> пречиствателн</w:t>
      </w:r>
      <w:r w:rsidR="00CC739E" w:rsidRPr="00F06DE2">
        <w:rPr>
          <w:rFonts w:ascii="Times New Roman" w:hAnsi="Times New Roman" w:cs="Times New Roman"/>
          <w:lang w:val="ru-RU"/>
        </w:rPr>
        <w:t>а</w:t>
      </w:r>
      <w:r w:rsidRPr="00F06DE2">
        <w:rPr>
          <w:rFonts w:ascii="Times New Roman" w:hAnsi="Times New Roman" w:cs="Times New Roman"/>
          <w:lang w:val="ru-RU"/>
        </w:rPr>
        <w:t xml:space="preserve"> станци</w:t>
      </w:r>
      <w:r w:rsidR="00CC739E" w:rsidRPr="00F06DE2">
        <w:rPr>
          <w:rFonts w:ascii="Times New Roman" w:hAnsi="Times New Roman" w:cs="Times New Roman"/>
          <w:lang w:val="ru-RU"/>
        </w:rPr>
        <w:t>я</w:t>
      </w:r>
      <w:r w:rsidRPr="00F06DE2">
        <w:rPr>
          <w:rFonts w:ascii="Times New Roman" w:hAnsi="Times New Roman" w:cs="Times New Roman"/>
          <w:lang w:val="ru-RU"/>
        </w:rPr>
        <w:t>,</w:t>
      </w:r>
    </w:p>
    <w:p w14:paraId="3B6507EE"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вв) за аварийна работа на бордовата пречиствателна станция,</w:t>
      </w:r>
    </w:p>
    <w:p w14:paraId="2DEE1598"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гг) за спиране, спиране и рестартиране на бордовата пречиствателна станция за отпадъчни води,</w:t>
      </w:r>
    </w:p>
    <w:p w14:paraId="21BF43C9"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дд) за специално третиране на мазни отпадъчни води и отпадъчни води от камбузи,</w:t>
      </w:r>
    </w:p>
    <w:p w14:paraId="41982826"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ее) за текуща проверка и дейности по редовна поддръжка по време на работа, както и доставка на гориво,</w:t>
      </w:r>
    </w:p>
    <w:p w14:paraId="05490124"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жж) за управление на утайките (определяне на съдържанието на утайки, промяна на съдържанието на утайки),</w:t>
      </w:r>
    </w:p>
    <w:p w14:paraId="5CBD728E"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в) Инструкции и доказателства относно поддръжката и ремонта,</w:t>
      </w:r>
    </w:p>
    <w:p w14:paraId="6AE09F6E" w14:textId="7B43A3E1"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 xml:space="preserve">г) </w:t>
      </w:r>
      <w:r w:rsidR="00D02790" w:rsidRPr="00F06DE2">
        <w:rPr>
          <w:rFonts w:ascii="Times New Roman" w:hAnsi="Times New Roman" w:cs="Times New Roman"/>
          <w:lang w:val="ru-RU"/>
        </w:rPr>
        <w:t>Изисквани документи:</w:t>
      </w:r>
      <w:r w:rsidRPr="00F06DE2">
        <w:rPr>
          <w:rFonts w:ascii="Times New Roman" w:hAnsi="Times New Roman" w:cs="Times New Roman"/>
          <w:lang w:val="ru-RU"/>
        </w:rPr>
        <w:t>,</w:t>
      </w:r>
    </w:p>
    <w:p w14:paraId="465123BD" w14:textId="77777777" w:rsidR="00692967"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аа) за документиране на текущи и редовни дейности по инспекция и поддръжка и</w:t>
      </w:r>
    </w:p>
    <w:p w14:paraId="31D4EF57" w14:textId="603694FF" w:rsidR="00097008" w:rsidRPr="00F06DE2" w:rsidRDefault="00692967" w:rsidP="008A1FEB">
      <w:pPr>
        <w:ind w:left="567"/>
        <w:jc w:val="both"/>
        <w:rPr>
          <w:rFonts w:ascii="Times New Roman" w:hAnsi="Times New Roman" w:cs="Times New Roman"/>
          <w:lang w:val="ru-RU"/>
        </w:rPr>
      </w:pPr>
      <w:r w:rsidRPr="00F06DE2">
        <w:rPr>
          <w:rFonts w:ascii="Times New Roman" w:hAnsi="Times New Roman" w:cs="Times New Roman"/>
          <w:lang w:val="ru-RU"/>
        </w:rPr>
        <w:t>бб) за документиране на излишните количества утайки и депонирането им.</w:t>
      </w:r>
    </w:p>
    <w:p w14:paraId="6C8C2CB2" w14:textId="77777777" w:rsidR="00011BF2" w:rsidRPr="00F06DE2" w:rsidRDefault="00011BF2">
      <w:pPr>
        <w:rPr>
          <w:rFonts w:ascii="Times New Roman" w:hAnsi="Times New Roman" w:cs="Times New Roman"/>
          <w:lang w:val="ru-RU"/>
        </w:rPr>
        <w:sectPr w:rsidR="00011BF2" w:rsidRPr="00F06DE2" w:rsidSect="00F06DE2">
          <w:headerReference w:type="default" r:id="rId55"/>
          <w:headerReference w:type="first" r:id="rId56"/>
          <w:footnotePr>
            <w:numRestart w:val="eachPage"/>
          </w:footnotePr>
          <w:pgSz w:w="11906" w:h="16838" w:code="9"/>
          <w:pgMar w:top="1134" w:right="1134" w:bottom="1134" w:left="1134" w:header="709" w:footer="709" w:gutter="0"/>
          <w:cols w:space="709"/>
          <w:titlePg/>
          <w:docGrid w:linePitch="272"/>
        </w:sectPr>
      </w:pPr>
    </w:p>
    <w:p w14:paraId="6DE60719" w14:textId="77777777" w:rsidR="00271FA2" w:rsidRPr="00F06DE2" w:rsidRDefault="00D35E51">
      <w:pPr>
        <w:pStyle w:val="ES-Titre1"/>
        <w:rPr>
          <w:rFonts w:ascii="Times New Roman" w:hAnsi="Times New Roman" w:cs="Times New Roman"/>
          <w:i/>
          <w:sz w:val="24"/>
          <w:szCs w:val="24"/>
          <w:lang w:val="ru-RU"/>
        </w:rPr>
      </w:pPr>
      <w:bookmarkStart w:id="330" w:name="_Toc535827609"/>
      <w:bookmarkStart w:id="331" w:name="_Toc491854168"/>
      <w:r w:rsidRPr="00F06DE2">
        <w:rPr>
          <w:rFonts w:ascii="Times New Roman" w:hAnsi="Times New Roman" w:cs="Times New Roman"/>
          <w:sz w:val="24"/>
          <w:szCs w:val="24"/>
          <w:lang w:val="ru-RU"/>
        </w:rPr>
        <w:lastRenderedPageBreak/>
        <w:t xml:space="preserve">ЧАСТ </w:t>
      </w:r>
      <w:r w:rsidRPr="00F06DE2">
        <w:rPr>
          <w:rFonts w:ascii="Times New Roman" w:hAnsi="Times New Roman" w:cs="Times New Roman"/>
          <w:sz w:val="24"/>
          <w:szCs w:val="24"/>
        </w:rPr>
        <w:t>III</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РАЗПОРЕДБИ</w:t>
      </w:r>
      <w:bookmarkEnd w:id="330"/>
      <w:bookmarkEnd w:id="331"/>
    </w:p>
    <w:p w14:paraId="2CAB2D24" w14:textId="77777777" w:rsidR="00271FA2" w:rsidRPr="00F06DE2" w:rsidRDefault="00D35E51">
      <w:pPr>
        <w:pStyle w:val="ES-Titre2"/>
        <w:pageBreakBefore w:val="0"/>
        <w:rPr>
          <w:rFonts w:ascii="Times New Roman" w:hAnsi="Times New Roman" w:cs="Times New Roman"/>
          <w:lang w:val="ru-RU"/>
        </w:rPr>
      </w:pPr>
      <w:bookmarkStart w:id="332" w:name="_Toc491854169"/>
      <w:bookmarkStart w:id="333" w:name="_Toc535827610"/>
      <w:r w:rsidRPr="00F06DE2">
        <w:rPr>
          <w:rFonts w:ascii="Times New Roman" w:hAnsi="Times New Roman" w:cs="Times New Roman"/>
          <w:lang w:val="ru-RU"/>
        </w:rPr>
        <w:t>Глава 19</w:t>
      </w:r>
      <w:r w:rsidRPr="00F06DE2">
        <w:rPr>
          <w:rFonts w:ascii="Times New Roman" w:hAnsi="Times New Roman" w:cs="Times New Roman"/>
          <w:lang w:val="ru-RU"/>
        </w:rPr>
        <w:br/>
        <w:t xml:space="preserve">Специални разпоредби, приложими за пътническите </w:t>
      </w:r>
      <w:bookmarkEnd w:id="332"/>
      <w:bookmarkEnd w:id="333"/>
      <w:r w:rsidRPr="00F06DE2">
        <w:rPr>
          <w:rFonts w:ascii="Times New Roman" w:hAnsi="Times New Roman" w:cs="Times New Roman"/>
          <w:lang w:val="ru-RU"/>
        </w:rPr>
        <w:t>плавателни съдове</w:t>
      </w:r>
      <w:bookmarkStart w:id="334" w:name="_Toc535827611"/>
      <w:bookmarkStart w:id="335" w:name="_Toc491854170"/>
    </w:p>
    <w:p w14:paraId="3DEF76A6" w14:textId="77777777"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19.01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разпоредби</w:t>
      </w:r>
      <w:bookmarkEnd w:id="334"/>
      <w:bookmarkEnd w:id="335"/>
    </w:p>
    <w:p w14:paraId="26A79D7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Следните разпоредби не се прилагат:</w:t>
      </w:r>
    </w:p>
    <w:p w14:paraId="0750ABEF"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член 3.02, точка 1, буква “б”;</w:t>
      </w:r>
    </w:p>
    <w:p w14:paraId="3CE0B12A"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б) членове 4.01 и 4.02;</w:t>
      </w:r>
    </w:p>
    <w:p w14:paraId="12F95AB9"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в) член 8.08, точка 2, второ изречение, и точка 7;</w:t>
      </w:r>
    </w:p>
    <w:p w14:paraId="031A231C"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г) член 10.14, точка 3, второ изречение за номинални напрежения над 50 </w:t>
      </w:r>
      <w:r w:rsidRPr="00F06DE2">
        <w:rPr>
          <w:rFonts w:ascii="Times New Roman" w:hAnsi="Times New Roman" w:cs="Times New Roman"/>
        </w:rPr>
        <w:t>V</w:t>
      </w:r>
      <w:r w:rsidRPr="00F06DE2">
        <w:rPr>
          <w:rFonts w:ascii="Times New Roman" w:hAnsi="Times New Roman" w:cs="Times New Roman"/>
          <w:lang w:val="ru-RU"/>
        </w:rPr>
        <w:t>;</w:t>
      </w:r>
    </w:p>
    <w:p w14:paraId="1CC1899E"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eastAsia="Calibri" w:hAnsi="Times New Roman" w:cs="Times New Roman"/>
          <w:lang w:val="ru-RU"/>
        </w:rPr>
        <w:t>д) член 15.02, точка 4.</w:t>
      </w:r>
    </w:p>
    <w:p w14:paraId="47C93ED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Следните видове оборудване са забранени на пътническите плавателни съдове:</w:t>
      </w:r>
    </w:p>
    <w:p w14:paraId="0E7C1FFD" w14:textId="77777777" w:rsidR="00271FA2" w:rsidRPr="00F06DE2" w:rsidRDefault="00D35E51">
      <w:pPr>
        <w:pStyle w:val="ESlet"/>
        <w:spacing w:before="0"/>
        <w:ind w:left="893" w:hanging="326"/>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лампи, захранвани с втечнен газ или течно гориво съгласно член</w:t>
      </w:r>
      <w:r w:rsidRPr="00F06DE2">
        <w:rPr>
          <w:rFonts w:ascii="Times New Roman" w:hAnsi="Times New Roman" w:cs="Times New Roman"/>
        </w:rPr>
        <w:t> </w:t>
      </w:r>
      <w:r w:rsidRPr="00F06DE2">
        <w:rPr>
          <w:rFonts w:ascii="Times New Roman" w:hAnsi="Times New Roman" w:cs="Times New Roman"/>
          <w:lang w:val="ru-RU"/>
        </w:rPr>
        <w:t>15.07, точка 3, второ изречение;</w:t>
      </w:r>
    </w:p>
    <w:p w14:paraId="4AE3DFA3" w14:textId="77777777" w:rsidR="00271FA2" w:rsidRPr="00F06DE2" w:rsidRDefault="00D35E51">
      <w:pPr>
        <w:pStyle w:val="ESlet"/>
        <w:spacing w:before="0"/>
        <w:ind w:left="993" w:hanging="426"/>
        <w:jc w:val="both"/>
        <w:rPr>
          <w:rFonts w:ascii="Times New Roman" w:eastAsia="Calibri" w:hAnsi="Times New Roman" w:cs="Times New Roman"/>
          <w:lang w:val="ru-RU"/>
        </w:rPr>
      </w:pPr>
      <w:r w:rsidRPr="00F06DE2">
        <w:rPr>
          <w:rFonts w:ascii="Times New Roman" w:hAnsi="Times New Roman" w:cs="Times New Roman"/>
          <w:lang w:val="ru-RU"/>
        </w:rPr>
        <w:t>б) устройства, оборудвани с фитилени горелки съгласно член</w:t>
      </w:r>
      <w:r w:rsidRPr="00F06DE2">
        <w:rPr>
          <w:rFonts w:ascii="Times New Roman" w:hAnsi="Times New Roman" w:cs="Times New Roman"/>
        </w:rPr>
        <w:t> </w:t>
      </w:r>
      <w:r w:rsidRPr="00F06DE2">
        <w:rPr>
          <w:rFonts w:ascii="Times New Roman" w:hAnsi="Times New Roman" w:cs="Times New Roman"/>
          <w:lang w:val="ru-RU"/>
        </w:rPr>
        <w:t>16.02, точки 2 и 3;</w:t>
      </w:r>
    </w:p>
    <w:p w14:paraId="230748EF" w14:textId="77777777" w:rsidR="00271FA2" w:rsidRPr="00F06DE2" w:rsidRDefault="00D35E51">
      <w:pPr>
        <w:pStyle w:val="ESlet"/>
        <w:spacing w:before="0"/>
        <w:ind w:left="993" w:hanging="426"/>
        <w:jc w:val="both"/>
        <w:rPr>
          <w:rFonts w:ascii="Times New Roman" w:eastAsia="Calibri" w:hAnsi="Times New Roman" w:cs="Times New Roman"/>
          <w:lang w:val="ru-RU"/>
        </w:rPr>
      </w:pPr>
      <w:r w:rsidRPr="00F06DE2">
        <w:rPr>
          <w:rFonts w:ascii="Times New Roman" w:hAnsi="Times New Roman" w:cs="Times New Roman"/>
          <w:lang w:val="ru-RU"/>
        </w:rPr>
        <w:t>в) печки с изпарителни мазутни горелки съгласно член 16.04;</w:t>
      </w:r>
    </w:p>
    <w:p w14:paraId="6985AEB2" w14:textId="77777777" w:rsidR="00271FA2" w:rsidRPr="00F06DE2" w:rsidRDefault="00D35E51">
      <w:pPr>
        <w:pStyle w:val="ESlet"/>
        <w:spacing w:before="0"/>
        <w:ind w:left="993" w:hanging="426"/>
        <w:jc w:val="both"/>
        <w:rPr>
          <w:rFonts w:ascii="Times New Roman" w:eastAsia="Calibri" w:hAnsi="Times New Roman" w:cs="Times New Roman"/>
          <w:lang w:val="ru-RU"/>
        </w:rPr>
      </w:pPr>
      <w:r w:rsidRPr="00F06DE2">
        <w:rPr>
          <w:rFonts w:ascii="Times New Roman" w:hAnsi="Times New Roman" w:cs="Times New Roman"/>
          <w:lang w:val="ru-RU"/>
        </w:rPr>
        <w:t>г) отоплителните уреди с твърдо гориво и котли в съответствие с 16.07;</w:t>
      </w:r>
    </w:p>
    <w:p w14:paraId="488BD382" w14:textId="77777777" w:rsidR="00271FA2" w:rsidRPr="00F06DE2" w:rsidRDefault="00D35E51">
      <w:pPr>
        <w:pStyle w:val="ESlet"/>
        <w:spacing w:before="0"/>
        <w:ind w:left="993" w:hanging="426"/>
        <w:jc w:val="both"/>
        <w:rPr>
          <w:rFonts w:ascii="Times New Roman" w:eastAsia="Calibri" w:hAnsi="Times New Roman" w:cs="Times New Roman"/>
          <w:lang w:val="ru-RU"/>
        </w:rPr>
      </w:pPr>
      <w:r w:rsidRPr="00F06DE2">
        <w:rPr>
          <w:rFonts w:ascii="Times New Roman" w:hAnsi="Times New Roman" w:cs="Times New Roman"/>
          <w:lang w:val="ru-RU"/>
        </w:rPr>
        <w:t>д) инсталации за втечнен газ съгласно Глава 17.</w:t>
      </w:r>
    </w:p>
    <w:p w14:paraId="373DEAD5"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Плавателни съдове без собствена мощност не могат да бъдат лицензирани за превоз на пътници.</w:t>
      </w:r>
    </w:p>
    <w:p w14:paraId="5D66C79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На пътническите плавателни съдове се определят места за ползване от лица с намалена подвижност съобразно разпоредбите на настоящата глава.</w:t>
      </w:r>
    </w:p>
    <w:p w14:paraId="4B03E05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ab/>
        <w:t>Броят на местата за лица с намалена подвижност не може да бъде по-малък от 1 % (закръглено до най-близкото цяло число) от разрешения брой пътници. В допълнение, броят на каютите за лица с намалена подвижност не може да бъде по-малък от:</w:t>
      </w:r>
    </w:p>
    <w:p w14:paraId="6EC3614B" w14:textId="77777777" w:rsidR="00271FA2" w:rsidRPr="00F06DE2" w:rsidRDefault="00D35E51">
      <w:pPr>
        <w:pStyle w:val="ESch"/>
        <w:ind w:firstLine="0"/>
        <w:jc w:val="both"/>
        <w:rPr>
          <w:rFonts w:ascii="Times New Roman" w:hAnsi="Times New Roman" w:cs="Times New Roman"/>
          <w:lang w:val="ru-RU"/>
        </w:rPr>
      </w:pPr>
      <w:r w:rsidRPr="00F06DE2">
        <w:rPr>
          <w:rFonts w:ascii="Times New Roman" w:hAnsi="Times New Roman" w:cs="Times New Roman"/>
          <w:lang w:val="ru-RU"/>
        </w:rPr>
        <w:t>а) един за плавателни съдове с каюти със спални места за максимум 200 пътници;</w:t>
      </w:r>
    </w:p>
    <w:p w14:paraId="587870B5" w14:textId="77777777" w:rsidR="00271FA2" w:rsidRPr="00F06DE2" w:rsidRDefault="00D35E51">
      <w:pPr>
        <w:pStyle w:val="ESch"/>
        <w:ind w:firstLine="0"/>
        <w:jc w:val="both"/>
        <w:rPr>
          <w:rFonts w:ascii="Times New Roman" w:eastAsia="Calibri" w:hAnsi="Times New Roman" w:cs="Times New Roman"/>
          <w:lang w:val="ru-RU"/>
        </w:rPr>
      </w:pPr>
      <w:r w:rsidRPr="00F06DE2">
        <w:rPr>
          <w:rFonts w:ascii="Times New Roman" w:hAnsi="Times New Roman" w:cs="Times New Roman"/>
          <w:lang w:val="ru-RU"/>
        </w:rPr>
        <w:t>б) две за плавателни съдове с каюти със спални места за повече от 200 пътници.</w:t>
      </w:r>
    </w:p>
    <w:p w14:paraId="1F88B05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Чрез дерогация от член 7.02, точка 2, първо изречение, мъртвата зона за рулевия пред плавателния съд в състояние без товар и с половината от припасите, но без баласт, не трябва да превишава две дължини на плавателния съд или да не бъде повече от 250 </w:t>
      </w:r>
      <w:r w:rsidRPr="00F06DE2">
        <w:rPr>
          <w:rFonts w:ascii="Times New Roman" w:hAnsi="Times New Roman" w:cs="Times New Roman"/>
        </w:rPr>
        <w:t>m</w:t>
      </w:r>
      <w:r w:rsidRPr="00F06DE2">
        <w:rPr>
          <w:rFonts w:ascii="Times New Roman" w:hAnsi="Times New Roman" w:cs="Times New Roman"/>
          <w:lang w:val="ru-RU"/>
        </w:rPr>
        <w:t>, според това кое от двете разстояния е по-малко.</w:t>
      </w:r>
    </w:p>
    <w:p w14:paraId="59E1B240"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Чрез дерогация от член 7.02, точка 3, трета алинея, пътнически плавателен съд трябва да бъде снабден с подходящи помощни средства, когато не е осигурено достатъчно поле на безпрепятствена видимост назад. Ако тези допълнителни средства не дават възможност за безпрепятствена видимост през нощта, съответното ограничение се записва в точка 52 от Корабното удостоверение за вътрешно корабоплаване.</w:t>
      </w:r>
      <w:r w:rsidRPr="00F06DE2">
        <w:rPr>
          <w:rFonts w:ascii="Times New Roman" w:eastAsia="Calibri" w:hAnsi="Times New Roman" w:cs="Times New Roman"/>
          <w:lang w:val="ru-RU"/>
        </w:rPr>
        <w:t xml:space="preserve"> </w:t>
      </w:r>
      <w:bookmarkStart w:id="336" w:name="_Toc491854171"/>
      <w:bookmarkStart w:id="337" w:name="_Toc535827612"/>
    </w:p>
    <w:p w14:paraId="42802761"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19.02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Корпус</w:t>
      </w:r>
      <w:bookmarkEnd w:id="336"/>
      <w:bookmarkEnd w:id="337"/>
    </w:p>
    <w:p w14:paraId="49737DD1"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В хода на периодичните проверки, дебелината на външната обшивка на пътническите плавателни съдове се определя, както следва:</w:t>
      </w:r>
    </w:p>
    <w:p w14:paraId="6EAEA300" w14:textId="77777777" w:rsidR="00271FA2" w:rsidRPr="00F06DE2" w:rsidRDefault="00D35E51" w:rsidP="008A1FEB">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lastRenderedPageBreak/>
        <w:t>a</w:t>
      </w:r>
      <w:r w:rsidRPr="00F06DE2">
        <w:rPr>
          <w:rFonts w:ascii="Times New Roman" w:hAnsi="Times New Roman" w:cs="Times New Roman"/>
          <w:lang w:val="ru-RU"/>
        </w:rPr>
        <w:t xml:space="preserve">) минималната дебелина </w:t>
      </w:r>
      <m:oMath>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min</m:t>
            </m:r>
          </m:sub>
        </m:sSub>
      </m:oMath>
      <w:r w:rsidRPr="00F06DE2">
        <w:rPr>
          <w:rFonts w:ascii="Times New Roman" w:hAnsi="Times New Roman" w:cs="Times New Roman"/>
          <w:lang w:val="ru-RU"/>
        </w:rPr>
        <w:t xml:space="preserve"> на обшивката на дъното, скула и страните на външния корпус на пътнически плавателни съдове се определя съгласно по-голямата стойност от следните формули:</w:t>
      </w:r>
    </w:p>
    <w:p w14:paraId="3CB01C4E" w14:textId="77777777" w:rsidR="00271FA2" w:rsidRPr="00F06DE2" w:rsidRDefault="002C62EC">
      <w:pPr>
        <w:pStyle w:val="ESlet"/>
        <w:spacing w:before="0"/>
        <w:ind w:firstLine="1"/>
        <w:jc w:val="both"/>
        <w:rPr>
          <w:rFonts w:ascii="Times New Roman" w:eastAsia="Calibri" w:hAnsi="Times New Roman" w:cs="Times New Roman"/>
        </w:rPr>
      </w:pPr>
      <m:oMathPara>
        <m:oMathParaPr>
          <m:jc m:val="left"/>
        </m:oMathParaPr>
        <m:oMath>
          <m:sSub>
            <m:sSubPr>
              <m:ctrlPr>
                <w:rPr>
                  <w:rFonts w:ascii="Cambria Math" w:eastAsia="Calibri" w:hAnsi="Cambria Math" w:cs="Times New Roman"/>
                  <w:i/>
                </w:rPr>
              </m:ctrlPr>
            </m:sSubPr>
            <m:e>
              <m:r>
                <w:rPr>
                  <w:rFonts w:ascii="Cambria Math" w:eastAsia="Calibri" w:hAnsi="Cambria Math" w:cs="Times New Roman"/>
                </w:rPr>
                <m:t>t</m:t>
              </m:r>
            </m:e>
            <m:sub>
              <m:sSub>
                <m:sSubPr>
                  <m:ctrlPr>
                    <w:rPr>
                      <w:rFonts w:ascii="Cambria Math" w:eastAsia="Calibri" w:hAnsi="Cambria Math" w:cs="Times New Roman"/>
                      <w:i/>
                    </w:rPr>
                  </m:ctrlPr>
                </m:sSubPr>
                <m:e>
                  <m:r>
                    <w:rPr>
                      <w:rFonts w:ascii="Cambria Math" w:eastAsia="Calibri" w:hAnsi="Cambria Math" w:cs="Times New Roman"/>
                    </w:rPr>
                    <m:t>1</m:t>
                  </m:r>
                </m:e>
                <m:sub>
                  <m:r>
                    <w:rPr>
                      <w:rFonts w:ascii="Cambria Math" w:eastAsia="Calibri" w:hAnsi="Cambria Math" w:cs="Times New Roman"/>
                    </w:rPr>
                    <m:t>min</m:t>
                  </m:r>
                </m:sub>
              </m:sSub>
              <m:r>
                <w:rPr>
                  <w:rFonts w:ascii="Cambria Math" w:eastAsia="Calibri" w:hAnsi="Cambria Math" w:cs="Times New Roman"/>
                </w:rPr>
                <m:t xml:space="preserve"> </m:t>
              </m:r>
            </m:sub>
          </m:sSub>
          <m:r>
            <w:rPr>
              <w:rFonts w:ascii="Cambria Math" w:eastAsia="Calibri" w:hAnsi="Cambria Math" w:cs="Times New Roman"/>
            </w:rPr>
            <m:t xml:space="preserve">=  0,006 ∙a ∙ </m:t>
          </m:r>
          <m:rad>
            <m:radPr>
              <m:degHide m:val="1"/>
              <m:ctrlPr>
                <w:rPr>
                  <w:rFonts w:ascii="Cambria Math" w:eastAsia="Calibri" w:hAnsi="Cambria Math" w:cs="Times New Roman"/>
                  <w:i/>
                </w:rPr>
              </m:ctrlPr>
            </m:radPr>
            <m:deg/>
            <m:e>
              <m:r>
                <w:rPr>
                  <w:rFonts w:ascii="Cambria Math" w:eastAsia="Calibri" w:hAnsi="Cambria Math" w:cs="Times New Roman"/>
                </w:rPr>
                <m:t>T</m:t>
              </m:r>
            </m:e>
          </m:rad>
          <m:r>
            <w:rPr>
              <w:rFonts w:ascii="Cambria Math" w:eastAsia="Calibri" w:hAnsi="Cambria Math" w:cs="Times New Roman"/>
            </w:rPr>
            <m:t xml:space="preserve"> </m:t>
          </m:r>
          <m:d>
            <m:dPr>
              <m:begChr m:val="["/>
              <m:endChr m:val="]"/>
              <m:ctrlPr>
                <w:rPr>
                  <w:rFonts w:ascii="Cambria Math" w:eastAsia="Calibri" w:hAnsi="Cambria Math" w:cs="Times New Roman"/>
                  <w:i/>
                </w:rPr>
              </m:ctrlPr>
            </m:dPr>
            <m:e>
              <m:r>
                <w:rPr>
                  <w:rFonts w:ascii="Cambria Math" w:eastAsia="Calibri" w:hAnsi="Cambria Math" w:cs="Times New Roman"/>
                </w:rPr>
                <m:t>mm</m:t>
              </m:r>
            </m:e>
          </m:d>
          <m:r>
            <w:rPr>
              <w:rFonts w:ascii="Cambria Math" w:eastAsia="Calibri" w:hAnsi="Cambria Math" w:cs="Times New Roman"/>
            </w:rPr>
            <m:t>;</m:t>
          </m:r>
        </m:oMath>
      </m:oMathPara>
    </w:p>
    <w:p w14:paraId="4B3AA5FD" w14:textId="77777777" w:rsidR="00271FA2" w:rsidRPr="00F06DE2" w:rsidRDefault="002C62EC">
      <w:pPr>
        <w:pStyle w:val="ESlet"/>
        <w:spacing w:before="0"/>
        <w:ind w:firstLine="1"/>
        <w:jc w:val="both"/>
        <w:rPr>
          <w:rFonts w:ascii="Times New Roman" w:eastAsia="Calibri" w:hAnsi="Times New Roman" w:cs="Times New Roman"/>
        </w:rPr>
      </w:pPr>
      <m:oMathPara>
        <m:oMathParaPr>
          <m:jc m:val="left"/>
        </m:oMathParaPr>
        <m:oMath>
          <m:sSub>
            <m:sSubPr>
              <m:ctrlPr>
                <w:rPr>
                  <w:rFonts w:ascii="Cambria Math" w:eastAsia="Calibri" w:hAnsi="Cambria Math" w:cs="Times New Roman"/>
                  <w:i/>
                </w:rPr>
              </m:ctrlPr>
            </m:sSubPr>
            <m:e>
              <m:r>
                <w:rPr>
                  <w:rFonts w:ascii="Cambria Math" w:eastAsia="Calibri" w:hAnsi="Cambria Math" w:cs="Times New Roman"/>
                </w:rPr>
                <m:t>t</m:t>
              </m:r>
            </m:e>
            <m:sub>
              <m:sSub>
                <m:sSubPr>
                  <m:ctrlPr>
                    <w:rPr>
                      <w:rFonts w:ascii="Cambria Math" w:eastAsia="Calibri" w:hAnsi="Cambria Math" w:cs="Times New Roman"/>
                      <w:i/>
                    </w:rPr>
                  </m:ctrlPr>
                </m:sSubPr>
                <m:e>
                  <m:r>
                    <w:rPr>
                      <w:rFonts w:ascii="Cambria Math" w:eastAsia="Calibri" w:hAnsi="Cambria Math" w:cs="Times New Roman"/>
                    </w:rPr>
                    <m:t>2</m:t>
                  </m:r>
                </m:e>
                <m:sub>
                  <m:r>
                    <w:rPr>
                      <w:rFonts w:ascii="Cambria Math" w:eastAsia="Calibri" w:hAnsi="Cambria Math" w:cs="Times New Roman"/>
                    </w:rPr>
                    <m:t>min</m:t>
                  </m:r>
                </m:sub>
              </m:sSub>
              <m:r>
                <w:rPr>
                  <w:rFonts w:ascii="Cambria Math" w:eastAsia="Calibri" w:hAnsi="Cambria Math" w:cs="Times New Roman"/>
                </w:rPr>
                <m:t xml:space="preserve"> </m:t>
              </m:r>
            </m:sub>
          </m:sSub>
          <m:r>
            <w:rPr>
              <w:rFonts w:ascii="Cambria Math" w:eastAsia="Calibri" w:hAnsi="Cambria Math" w:cs="Times New Roman"/>
            </w:rPr>
            <m:t xml:space="preserve">=  f ∙0,55 ∙ </m:t>
          </m:r>
          <m:rad>
            <m:radPr>
              <m:degHide m:val="1"/>
              <m:ctrlPr>
                <w:rPr>
                  <w:rFonts w:ascii="Cambria Math" w:eastAsia="Calibri" w:hAnsi="Cambria Math" w:cs="Times New Roman"/>
                  <w:i/>
                </w:rPr>
              </m:ctrlPr>
            </m:radPr>
            <m:deg/>
            <m:e>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F</m:t>
                  </m:r>
                </m:sub>
              </m:sSub>
            </m:e>
          </m:rad>
          <m:r>
            <w:rPr>
              <w:rFonts w:ascii="Cambria Math" w:eastAsia="Calibri" w:hAnsi="Cambria Math" w:cs="Times New Roman"/>
            </w:rPr>
            <m:t xml:space="preserve"> </m:t>
          </m:r>
          <m:d>
            <m:dPr>
              <m:begChr m:val="["/>
              <m:endChr m:val="]"/>
              <m:ctrlPr>
                <w:rPr>
                  <w:rFonts w:ascii="Cambria Math" w:eastAsia="Calibri" w:hAnsi="Cambria Math" w:cs="Times New Roman"/>
                  <w:i/>
                </w:rPr>
              </m:ctrlPr>
            </m:dPr>
            <m:e>
              <m:r>
                <w:rPr>
                  <w:rFonts w:ascii="Cambria Math" w:eastAsia="Calibri" w:hAnsi="Cambria Math" w:cs="Times New Roman"/>
                </w:rPr>
                <m:t>mm</m:t>
              </m:r>
            </m:e>
          </m:d>
          <m:r>
            <w:rPr>
              <w:rFonts w:ascii="Cambria Math" w:eastAsia="Calibri" w:hAnsi="Cambria Math" w:cs="Times New Roman"/>
            </w:rPr>
            <m:t>.</m:t>
          </m:r>
        </m:oMath>
      </m:oMathPara>
    </w:p>
    <w:p w14:paraId="23FEC9F5" w14:textId="77777777" w:rsidR="00271FA2" w:rsidRPr="00F06DE2" w:rsidRDefault="00D35E51">
      <w:pPr>
        <w:pStyle w:val="ESletpar"/>
        <w:spacing w:before="0"/>
        <w:jc w:val="both"/>
        <w:rPr>
          <w:rFonts w:ascii="Times New Roman" w:eastAsia="Calibri" w:hAnsi="Times New Roman" w:cs="Times New Roman"/>
        </w:rPr>
      </w:pPr>
      <w:r w:rsidRPr="00F06DE2">
        <w:rPr>
          <w:rFonts w:ascii="Times New Roman" w:hAnsi="Times New Roman" w:cs="Times New Roman"/>
        </w:rPr>
        <w:t>В тези формули:</w:t>
      </w:r>
    </w:p>
    <w:p w14:paraId="009676D4" w14:textId="77777777" w:rsidR="00271FA2" w:rsidRPr="00F06DE2" w:rsidRDefault="00D35E51">
      <w:pPr>
        <w:pStyle w:val="ESletpar"/>
        <w:spacing w:before="0"/>
        <w:jc w:val="both"/>
        <w:rPr>
          <w:rFonts w:ascii="Times New Roman" w:eastAsia="Calibri" w:hAnsi="Times New Roman" w:cs="Times New Roman"/>
        </w:rPr>
      </w:pPr>
      <m:oMathPara>
        <m:oMathParaPr>
          <m:jc m:val="left"/>
        </m:oMathParaPr>
        <m:oMath>
          <m:r>
            <w:rPr>
              <w:rFonts w:ascii="Cambria Math" w:eastAsia="Calibri" w:hAnsi="Cambria Math" w:cs="Times New Roman"/>
            </w:rPr>
            <m:t>f=1+0,0013 ∙</m:t>
          </m:r>
          <m:d>
            <m:dPr>
              <m:ctrlPr>
                <w:rPr>
                  <w:rFonts w:ascii="Cambria Math" w:eastAsia="Calibri" w:hAnsi="Cambria Math" w:cs="Times New Roman"/>
                  <w:i/>
                </w:rPr>
              </m:ctrlPr>
            </m:dPr>
            <m:e>
              <m:r>
                <w:rPr>
                  <w:rFonts w:ascii="Cambria Math" w:eastAsia="Calibri" w:hAnsi="Cambria Math" w:cs="Times New Roman"/>
                </w:rPr>
                <m:t>a-500</m:t>
              </m:r>
            </m:e>
          </m:d>
          <m:r>
            <w:rPr>
              <w:rFonts w:ascii="Cambria Math" w:eastAsia="Calibri" w:hAnsi="Cambria Math" w:cs="Times New Roman"/>
            </w:rPr>
            <m:t>;</m:t>
          </m:r>
        </m:oMath>
      </m:oMathPara>
    </w:p>
    <w:p w14:paraId="275946AF" w14:textId="77777777" w:rsidR="00271FA2" w:rsidRPr="00F06DE2" w:rsidRDefault="00D35E51">
      <w:pPr>
        <w:pStyle w:val="EStiret"/>
        <w:spacing w:before="0"/>
        <w:jc w:val="both"/>
        <w:rPr>
          <w:rFonts w:ascii="Times New Roman" w:eastAsia="Calibri" w:hAnsi="Times New Roman" w:cs="Times New Roman"/>
          <w:lang w:val="ru-RU"/>
        </w:rPr>
      </w:pPr>
      <m:oMath>
        <m:r>
          <w:rPr>
            <w:rFonts w:ascii="Cambria Math" w:eastAsia="Calibri" w:hAnsi="Cambria Math" w:cs="Times New Roman"/>
          </w:rPr>
          <m:t>a</m:t>
        </m:r>
      </m:oMath>
      <w:r w:rsidRPr="00F06DE2">
        <w:rPr>
          <w:rFonts w:ascii="Times New Roman" w:hAnsi="Times New Roman" w:cs="Times New Roman"/>
          <w:lang w:val="ru-RU"/>
        </w:rPr>
        <w:t xml:space="preserve"> = надлъжното или напречното разстояние (</w:t>
      </w:r>
      <w:r w:rsidRPr="00F06DE2">
        <w:rPr>
          <w:rFonts w:ascii="Times New Roman" w:hAnsi="Times New Roman" w:cs="Times New Roman"/>
        </w:rPr>
        <w:t>mm</w:t>
      </w:r>
      <w:r w:rsidRPr="00F06DE2">
        <w:rPr>
          <w:rFonts w:ascii="Times New Roman" w:hAnsi="Times New Roman" w:cs="Times New Roman"/>
          <w:lang w:val="ru-RU"/>
        </w:rPr>
        <w:t xml:space="preserve">), а когато разстоянието е по-малко от 400 </w:t>
      </w:r>
      <w:r w:rsidRPr="00F06DE2">
        <w:rPr>
          <w:rFonts w:ascii="Times New Roman" w:hAnsi="Times New Roman" w:cs="Times New Roman"/>
        </w:rPr>
        <w:t>mm</w:t>
      </w:r>
      <w:r w:rsidRPr="00F06DE2">
        <w:rPr>
          <w:rFonts w:ascii="Times New Roman" w:hAnsi="Times New Roman" w:cs="Times New Roman"/>
          <w:lang w:val="ru-RU"/>
        </w:rPr>
        <w:t xml:space="preserve">, </w:t>
      </w:r>
      <m:oMath>
        <m:r>
          <w:rPr>
            <w:rFonts w:ascii="Cambria Math" w:eastAsia="Calibri" w:hAnsi="Cambria Math" w:cs="Times New Roman"/>
          </w:rPr>
          <m:t>a</m:t>
        </m:r>
        <m:r>
          <w:rPr>
            <w:rFonts w:ascii="Cambria Math" w:eastAsia="Calibri" w:hAnsi="Cambria Math" w:cs="Times New Roman"/>
            <w:lang w:val="ru-RU"/>
          </w:rPr>
          <m:t xml:space="preserve">=400 </m:t>
        </m:r>
        <m:r>
          <w:rPr>
            <w:rFonts w:ascii="Cambria Math" w:eastAsia="Calibri" w:hAnsi="Cambria Math" w:cs="Times New Roman"/>
          </w:rPr>
          <m:t>mm</m:t>
        </m:r>
      </m:oMath>
      <w:r w:rsidRPr="00F06DE2">
        <w:rPr>
          <w:rFonts w:ascii="Times New Roman" w:hAnsi="Times New Roman" w:cs="Times New Roman"/>
          <w:lang w:val="ru-RU"/>
        </w:rPr>
        <w:t xml:space="preserve"> следва да се въведе;</w:t>
      </w:r>
    </w:p>
    <w:p w14:paraId="26F96CBC" w14:textId="77777777" w:rsidR="00271FA2" w:rsidRPr="00F06DE2" w:rsidRDefault="00D35E51">
      <w:pPr>
        <w:pStyle w:val="ESlet"/>
        <w:spacing w:before="0"/>
        <w:ind w:left="426"/>
        <w:jc w:val="both"/>
        <w:rPr>
          <w:rFonts w:ascii="Times New Roman" w:eastAsia="Calibri" w:hAnsi="Times New Roman" w:cs="Times New Roman"/>
          <w:lang w:val="ru-RU"/>
        </w:rPr>
      </w:pPr>
      <w:r w:rsidRPr="00F06DE2">
        <w:rPr>
          <w:rFonts w:ascii="Times New Roman" w:hAnsi="Times New Roman" w:cs="Times New Roman"/>
          <w:lang w:val="ru-RU"/>
        </w:rPr>
        <w:t>б) допустимата минимална стойност за дебелината на обшивката, определена съгласно буква “а” по-горе, може да не бъде достигната в случаите, когато допустимата стойност е установена и удостоверена на база математически доказателства за достатъчната якост (надлъжна, напречна или местна) на корпуса на плавателния съд;</w:t>
      </w:r>
    </w:p>
    <w:p w14:paraId="49CD4060" w14:textId="77777777" w:rsidR="00271FA2" w:rsidRPr="00F06DE2" w:rsidRDefault="00D35E51">
      <w:pPr>
        <w:pStyle w:val="ESlet"/>
        <w:spacing w:before="0"/>
        <w:ind w:left="426"/>
        <w:jc w:val="both"/>
        <w:rPr>
          <w:rFonts w:ascii="Times New Roman" w:eastAsia="Calibri" w:hAnsi="Times New Roman" w:cs="Times New Roman"/>
          <w:lang w:val="ru-RU"/>
        </w:rPr>
      </w:pPr>
      <w:r w:rsidRPr="00F06DE2">
        <w:rPr>
          <w:rFonts w:ascii="Times New Roman" w:hAnsi="Times New Roman" w:cs="Times New Roman"/>
          <w:lang w:val="ru-RU"/>
        </w:rPr>
        <w:t xml:space="preserve">в) в никоя точка от външната обшивка дебелината, изчислена съгласно буква “а” или “б” по-горе, не може да бъде по-малка от 3 </w:t>
      </w:r>
      <w:r w:rsidRPr="00F06DE2">
        <w:rPr>
          <w:rFonts w:ascii="Times New Roman" w:hAnsi="Times New Roman" w:cs="Times New Roman"/>
        </w:rPr>
        <w:t>mm</w:t>
      </w:r>
      <w:r w:rsidRPr="00F06DE2">
        <w:rPr>
          <w:rFonts w:ascii="Times New Roman" w:hAnsi="Times New Roman" w:cs="Times New Roman"/>
          <w:lang w:val="ru-RU"/>
        </w:rPr>
        <w:t>;</w:t>
      </w:r>
    </w:p>
    <w:p w14:paraId="622B7D6D" w14:textId="6CF2DE4E" w:rsidR="00271FA2" w:rsidRPr="00F06DE2" w:rsidRDefault="00D35E51" w:rsidP="005B4302">
      <w:pPr>
        <w:pStyle w:val="ESlet"/>
        <w:spacing w:before="0"/>
        <w:ind w:left="426" w:right="-2"/>
        <w:jc w:val="both"/>
        <w:rPr>
          <w:rFonts w:ascii="Times New Roman" w:hAnsi="Times New Roman" w:cs="Times New Roman"/>
          <w:lang w:val="ru-RU"/>
        </w:rPr>
      </w:pPr>
      <w:r w:rsidRPr="00F06DE2">
        <w:rPr>
          <w:rFonts w:ascii="Times New Roman" w:hAnsi="Times New Roman" w:cs="Times New Roman"/>
          <w:lang w:val="ru-RU"/>
        </w:rPr>
        <w:t xml:space="preserve">г) </w:t>
      </w:r>
      <w:r w:rsidR="00980FFC" w:rsidRPr="00F06DE2">
        <w:rPr>
          <w:rFonts w:ascii="Times New Roman" w:hAnsi="Times New Roman" w:cs="Times New Roman"/>
          <w:lang w:val="ru-RU"/>
        </w:rPr>
        <w:t xml:space="preserve">листите </w:t>
      </w:r>
      <w:r w:rsidRPr="00F06DE2">
        <w:rPr>
          <w:rFonts w:ascii="Times New Roman" w:hAnsi="Times New Roman" w:cs="Times New Roman"/>
          <w:lang w:val="ru-RU"/>
        </w:rPr>
        <w:t>се обновяват, когато дебелината на обшивката на дъното, скула и страните спадне под минималната стойност, определена съгласно буква “а” или “б”, във връзка с буква “в” по-горе.</w:t>
      </w:r>
    </w:p>
    <w:p w14:paraId="6000E735" w14:textId="4451D80E" w:rsidR="002B3B66" w:rsidRPr="00F06DE2" w:rsidRDefault="00D35E51" w:rsidP="008A1FEB">
      <w:pPr>
        <w:pStyle w:val="ESlet"/>
        <w:spacing w:before="0"/>
        <w:ind w:left="426" w:hanging="426"/>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rPr>
        <w:t>a</w:t>
      </w:r>
      <w:r w:rsidRPr="00F06DE2">
        <w:rPr>
          <w:rFonts w:ascii="Times New Roman" w:hAnsi="Times New Roman" w:cs="Times New Roman"/>
          <w:lang w:val="ru-RU"/>
        </w:rPr>
        <w:t xml:space="preserve">. </w:t>
      </w:r>
      <w:r w:rsidRPr="00F06DE2">
        <w:rPr>
          <w:rFonts w:ascii="Times New Roman" w:hAnsi="Times New Roman" w:cs="Times New Roman"/>
          <w:lang w:val="ru-RU"/>
        </w:rPr>
        <w:tab/>
      </w:r>
      <w:r w:rsidR="002B3B66" w:rsidRPr="00F06DE2">
        <w:rPr>
          <w:rFonts w:ascii="Times New Roman" w:hAnsi="Times New Roman" w:cs="Times New Roman"/>
          <w:lang w:val="ru-RU"/>
        </w:rPr>
        <w:t>Когато за конструкцията на пътнически кораб се използват материали, различни от стомана, като алуминиева сплав или</w:t>
      </w:r>
      <w:r w:rsidR="00CE1E4F" w:rsidRPr="00F06DE2">
        <w:rPr>
          <w:rFonts w:ascii="Times New Roman" w:hAnsi="Times New Roman" w:cs="Times New Roman"/>
          <w:lang w:val="ru-RU"/>
        </w:rPr>
        <w:t xml:space="preserve"> </w:t>
      </w:r>
      <w:r w:rsidR="0069444A" w:rsidRPr="00F06DE2">
        <w:rPr>
          <w:rFonts w:ascii="Times New Roman" w:hAnsi="Times New Roman" w:cs="Times New Roman"/>
          <w:lang w:val="ru-RU"/>
        </w:rPr>
        <w:t xml:space="preserve">композитни материали </w:t>
      </w:r>
      <w:r w:rsidR="005E1AC7" w:rsidRPr="00F06DE2">
        <w:rPr>
          <w:rFonts w:ascii="Times New Roman" w:hAnsi="Times New Roman" w:cs="Times New Roman"/>
          <w:lang w:val="ru-RU"/>
        </w:rPr>
        <w:t>от армиран</w:t>
      </w:r>
      <w:r w:rsidR="00236AD4" w:rsidRPr="00F06DE2">
        <w:rPr>
          <w:rFonts w:ascii="Times New Roman" w:hAnsi="Times New Roman" w:cs="Times New Roman"/>
          <w:lang w:val="ru-RU"/>
        </w:rPr>
        <w:t>а</w:t>
      </w:r>
      <w:r w:rsidR="005E1AC7" w:rsidRPr="00F06DE2">
        <w:rPr>
          <w:rFonts w:ascii="Times New Roman" w:hAnsi="Times New Roman" w:cs="Times New Roman"/>
          <w:lang w:val="ru-RU"/>
        </w:rPr>
        <w:t xml:space="preserve"> с влакна пластмас</w:t>
      </w:r>
      <w:r w:rsidR="000F4E56" w:rsidRPr="00F06DE2">
        <w:rPr>
          <w:rFonts w:ascii="Times New Roman" w:hAnsi="Times New Roman" w:cs="Times New Roman"/>
          <w:lang w:val="ru-RU"/>
        </w:rPr>
        <w:t>и</w:t>
      </w:r>
      <w:r w:rsidR="002B3B66" w:rsidRPr="00F06DE2">
        <w:rPr>
          <w:rFonts w:ascii="Times New Roman" w:hAnsi="Times New Roman" w:cs="Times New Roman"/>
          <w:lang w:val="ru-RU"/>
        </w:rPr>
        <w:t xml:space="preserve">, </w:t>
      </w:r>
      <w:r w:rsidR="005E1AC7" w:rsidRPr="00F06DE2">
        <w:rPr>
          <w:rFonts w:ascii="Times New Roman" w:hAnsi="Times New Roman" w:cs="Times New Roman"/>
          <w:lang w:val="ru-RU"/>
        </w:rPr>
        <w:t xml:space="preserve"> </w:t>
      </w:r>
      <w:r w:rsidR="0069444A" w:rsidRPr="00F06DE2">
        <w:rPr>
          <w:rFonts w:ascii="Times New Roman" w:hAnsi="Times New Roman" w:cs="Times New Roman"/>
          <w:lang w:val="ru-RU"/>
        </w:rPr>
        <w:t>конструктивните</w:t>
      </w:r>
      <w:r w:rsidR="002B3B66" w:rsidRPr="00F06DE2">
        <w:rPr>
          <w:rFonts w:ascii="Times New Roman" w:hAnsi="Times New Roman" w:cs="Times New Roman"/>
          <w:lang w:val="ru-RU"/>
        </w:rPr>
        <w:t xml:space="preserve"> </w:t>
      </w:r>
      <w:r w:rsidR="005E1AC7" w:rsidRPr="00F06DE2">
        <w:rPr>
          <w:rFonts w:ascii="Times New Roman" w:hAnsi="Times New Roman" w:cs="Times New Roman"/>
          <w:lang w:val="ru-RU"/>
        </w:rPr>
        <w:t xml:space="preserve"> </w:t>
      </w:r>
      <w:r w:rsidR="0069444A" w:rsidRPr="00F06DE2">
        <w:rPr>
          <w:rFonts w:ascii="Times New Roman" w:hAnsi="Times New Roman" w:cs="Times New Roman"/>
          <w:lang w:val="ru-RU"/>
        </w:rPr>
        <w:t>елементи</w:t>
      </w:r>
      <w:r w:rsidR="002B3B66" w:rsidRPr="00F06DE2">
        <w:rPr>
          <w:rFonts w:ascii="Times New Roman" w:hAnsi="Times New Roman" w:cs="Times New Roman"/>
          <w:lang w:val="ru-RU"/>
        </w:rPr>
        <w:t xml:space="preserve">, като прегради, стени, палуби, тавани и </w:t>
      </w:r>
      <w:r w:rsidR="005E1AC7" w:rsidRPr="00F06DE2">
        <w:rPr>
          <w:rFonts w:ascii="Times New Roman" w:hAnsi="Times New Roman" w:cs="Times New Roman"/>
          <w:lang w:val="ru-RU"/>
        </w:rPr>
        <w:t>пилерси</w:t>
      </w:r>
      <w:r w:rsidR="002B3B66" w:rsidRPr="00F06DE2">
        <w:rPr>
          <w:rFonts w:ascii="Times New Roman" w:hAnsi="Times New Roman" w:cs="Times New Roman"/>
          <w:lang w:val="ru-RU"/>
        </w:rPr>
        <w:t xml:space="preserve">, трябва да </w:t>
      </w:r>
      <w:r w:rsidR="008527F9" w:rsidRPr="00F06DE2">
        <w:rPr>
          <w:rFonts w:ascii="Times New Roman" w:hAnsi="Times New Roman" w:cs="Times New Roman"/>
          <w:lang w:val="ru-RU"/>
        </w:rPr>
        <w:t xml:space="preserve"> </w:t>
      </w:r>
      <w:r w:rsidR="005E1AC7" w:rsidRPr="00F06DE2">
        <w:rPr>
          <w:rFonts w:ascii="Times New Roman" w:hAnsi="Times New Roman" w:cs="Times New Roman"/>
          <w:lang w:val="ru-RU"/>
        </w:rPr>
        <w:t>имат достатъчна якост</w:t>
      </w:r>
      <w:r w:rsidR="002B3B66" w:rsidRPr="00F06DE2">
        <w:rPr>
          <w:rFonts w:ascii="Times New Roman" w:hAnsi="Times New Roman" w:cs="Times New Roman"/>
          <w:lang w:val="ru-RU"/>
        </w:rPr>
        <w:t>.</w:t>
      </w:r>
    </w:p>
    <w:p w14:paraId="441D2C44" w14:textId="5EA307C6" w:rsidR="002B3B66" w:rsidRPr="00F06DE2" w:rsidRDefault="002B3B66" w:rsidP="0074063A">
      <w:pPr>
        <w:ind w:left="426"/>
        <w:jc w:val="both"/>
        <w:rPr>
          <w:rFonts w:ascii="Times New Roman" w:hAnsi="Times New Roman" w:cs="Times New Roman"/>
          <w:lang w:val="ru-RU"/>
        </w:rPr>
      </w:pPr>
      <w:r w:rsidRPr="00F06DE2">
        <w:rPr>
          <w:rFonts w:ascii="Times New Roman" w:hAnsi="Times New Roman" w:cs="Times New Roman"/>
          <w:lang w:val="ru-RU"/>
        </w:rPr>
        <w:t>а) в помещения с голям или висок риск от пожар, до края на ста</w:t>
      </w:r>
      <w:r w:rsidR="0074063A" w:rsidRPr="00F06DE2">
        <w:rPr>
          <w:rFonts w:ascii="Times New Roman" w:hAnsi="Times New Roman" w:cs="Times New Roman"/>
          <w:lang w:val="ru-RU"/>
        </w:rPr>
        <w:t>ндартен едночасов тест за пожар,</w:t>
      </w:r>
    </w:p>
    <w:p w14:paraId="2E37F90E" w14:textId="77777777" w:rsidR="002B3B66" w:rsidRPr="00F06DE2" w:rsidRDefault="002B3B66" w:rsidP="0074063A">
      <w:pPr>
        <w:ind w:left="426"/>
        <w:jc w:val="both"/>
        <w:rPr>
          <w:rFonts w:ascii="Times New Roman" w:hAnsi="Times New Roman" w:cs="Times New Roman"/>
          <w:lang w:val="ru-RU"/>
        </w:rPr>
      </w:pPr>
      <w:r w:rsidRPr="00F06DE2">
        <w:rPr>
          <w:rFonts w:ascii="Times New Roman" w:hAnsi="Times New Roman" w:cs="Times New Roman"/>
          <w:lang w:val="ru-RU"/>
        </w:rPr>
        <w:t>б) в помещения с умерен риск от пожар, до края на стандартен половинчасов тест за пожар, и</w:t>
      </w:r>
    </w:p>
    <w:p w14:paraId="345A6B73" w14:textId="77777777" w:rsidR="002B3B66" w:rsidRPr="00F06DE2" w:rsidRDefault="002B3B66" w:rsidP="0074063A">
      <w:pPr>
        <w:ind w:left="426"/>
        <w:jc w:val="both"/>
        <w:rPr>
          <w:rFonts w:ascii="Times New Roman" w:hAnsi="Times New Roman" w:cs="Times New Roman"/>
          <w:lang w:val="ru-RU"/>
        </w:rPr>
      </w:pPr>
      <w:r w:rsidRPr="00F06DE2">
        <w:rPr>
          <w:rFonts w:ascii="Times New Roman" w:hAnsi="Times New Roman" w:cs="Times New Roman"/>
          <w:lang w:val="ru-RU"/>
        </w:rPr>
        <w:t>в) на носеща конструкция на помещения или зони, защитени за функционална необходимост, до края на стандартен половинчасов тест за пожар.</w:t>
      </w:r>
    </w:p>
    <w:p w14:paraId="0BD8DAB2" w14:textId="09A6C391" w:rsidR="002B3B66" w:rsidRPr="00F06DE2" w:rsidRDefault="002B3B66" w:rsidP="0074063A">
      <w:pPr>
        <w:ind w:left="426"/>
        <w:jc w:val="both"/>
        <w:rPr>
          <w:rFonts w:ascii="Times New Roman" w:hAnsi="Times New Roman" w:cs="Times New Roman"/>
          <w:lang w:val="ru-RU"/>
        </w:rPr>
      </w:pPr>
      <w:r w:rsidRPr="00F06DE2">
        <w:rPr>
          <w:rFonts w:ascii="Times New Roman" w:hAnsi="Times New Roman" w:cs="Times New Roman"/>
          <w:lang w:val="ru-RU"/>
        </w:rPr>
        <w:t xml:space="preserve">Освен това материалът на </w:t>
      </w:r>
      <w:r w:rsidR="00F82E2E" w:rsidRPr="00F06DE2">
        <w:rPr>
          <w:rFonts w:ascii="Times New Roman" w:hAnsi="Times New Roman" w:cs="Times New Roman"/>
          <w:lang w:val="ru-RU"/>
        </w:rPr>
        <w:t xml:space="preserve"> конструктивните елементи</w:t>
      </w:r>
      <w:r w:rsidRPr="00F06DE2">
        <w:rPr>
          <w:rFonts w:ascii="Times New Roman" w:hAnsi="Times New Roman" w:cs="Times New Roman"/>
          <w:lang w:val="ru-RU"/>
        </w:rPr>
        <w:t xml:space="preserve"> трябва да бъде незапалим или ограничаващ пожара.</w:t>
      </w:r>
    </w:p>
    <w:p w14:paraId="12C8E98D" w14:textId="3230A98A" w:rsidR="00213AC3" w:rsidRPr="00F06DE2" w:rsidRDefault="002B3B66" w:rsidP="0074063A">
      <w:pPr>
        <w:ind w:left="426"/>
        <w:jc w:val="both"/>
        <w:rPr>
          <w:rFonts w:ascii="Times New Roman" w:eastAsia="Calibri" w:hAnsi="Times New Roman" w:cs="Times New Roman"/>
          <w:lang w:val="ru-RU"/>
        </w:rPr>
      </w:pPr>
      <w:r w:rsidRPr="00F06DE2">
        <w:rPr>
          <w:rFonts w:ascii="Times New Roman" w:hAnsi="Times New Roman" w:cs="Times New Roman"/>
          <w:lang w:val="ru-RU"/>
        </w:rPr>
        <w:t xml:space="preserve">Изискванията, свързани с товароносимостта на </w:t>
      </w:r>
      <w:r w:rsidR="0076636B" w:rsidRPr="00F06DE2">
        <w:rPr>
          <w:rFonts w:ascii="Times New Roman" w:hAnsi="Times New Roman" w:cs="Times New Roman"/>
          <w:lang w:val="ru-RU"/>
        </w:rPr>
        <w:t>конструктивните</w:t>
      </w:r>
      <w:r w:rsidRPr="00F06DE2">
        <w:rPr>
          <w:rFonts w:ascii="Times New Roman" w:hAnsi="Times New Roman" w:cs="Times New Roman"/>
          <w:lang w:val="ru-RU"/>
        </w:rPr>
        <w:t xml:space="preserve"> </w:t>
      </w:r>
      <w:r w:rsidR="0076636B" w:rsidRPr="00F06DE2">
        <w:rPr>
          <w:rFonts w:ascii="Times New Roman" w:hAnsi="Times New Roman" w:cs="Times New Roman"/>
          <w:lang w:val="ru-RU"/>
        </w:rPr>
        <w:t xml:space="preserve"> елементи </w:t>
      </w:r>
      <w:r w:rsidR="00F82E2E" w:rsidRPr="00F06DE2">
        <w:rPr>
          <w:rFonts w:ascii="Times New Roman" w:hAnsi="Times New Roman" w:cs="Times New Roman"/>
          <w:lang w:val="ru-RU"/>
        </w:rPr>
        <w:t>се приемат за изпълнени, ако има издаден сертификат за констрултивните елементи и</w:t>
      </w:r>
      <w:r w:rsidR="00575D45" w:rsidRPr="00F06DE2">
        <w:rPr>
          <w:rFonts w:ascii="Times New Roman" w:hAnsi="Times New Roman" w:cs="Times New Roman"/>
          <w:lang w:val="ru-RU"/>
        </w:rPr>
        <w:t>ли за изолацията, която защитава</w:t>
      </w:r>
      <w:r w:rsidR="007B27AF" w:rsidRPr="00F06DE2">
        <w:rPr>
          <w:rFonts w:ascii="Times New Roman" w:hAnsi="Times New Roman" w:cs="Times New Roman"/>
          <w:lang w:val="ru-RU"/>
        </w:rPr>
        <w:t xml:space="preserve"> </w:t>
      </w:r>
      <w:r w:rsidR="00213AC3" w:rsidRPr="00F06DE2">
        <w:rPr>
          <w:rFonts w:ascii="Times New Roman" w:hAnsi="Times New Roman" w:cs="Times New Roman"/>
          <w:lang w:val="ru-RU"/>
        </w:rPr>
        <w:t xml:space="preserve">конструктивните елементи в съответствие с член 19.11, </w:t>
      </w:r>
      <w:r w:rsidR="0097711D" w:rsidRPr="00F06DE2">
        <w:rPr>
          <w:rFonts w:ascii="Times New Roman" w:hAnsi="Times New Roman" w:cs="Times New Roman"/>
          <w:lang w:val="ru-RU"/>
        </w:rPr>
        <w:t>т.</w:t>
      </w:r>
      <w:r w:rsidR="00213AC3" w:rsidRPr="00F06DE2">
        <w:rPr>
          <w:rFonts w:ascii="Times New Roman" w:hAnsi="Times New Roman" w:cs="Times New Roman"/>
          <w:lang w:val="ru-RU"/>
        </w:rPr>
        <w:t xml:space="preserve"> 1, буква </w:t>
      </w:r>
      <w:r w:rsidR="00CD198F" w:rsidRPr="00F06DE2">
        <w:rPr>
          <w:rFonts w:ascii="Times New Roman" w:hAnsi="Times New Roman" w:cs="Times New Roman"/>
          <w:lang w:val="ru-RU"/>
        </w:rPr>
        <w:t>“</w:t>
      </w:r>
      <w:r w:rsidR="00213AC3" w:rsidRPr="00F06DE2">
        <w:rPr>
          <w:rFonts w:ascii="Times New Roman" w:hAnsi="Times New Roman" w:cs="Times New Roman"/>
          <w:lang w:val="ru-RU"/>
        </w:rPr>
        <w:t>а</w:t>
      </w:r>
      <w:r w:rsidR="00CD198F" w:rsidRPr="00F06DE2">
        <w:rPr>
          <w:rFonts w:ascii="Times New Roman" w:hAnsi="Times New Roman" w:cs="Times New Roman"/>
          <w:lang w:val="ru-RU"/>
        </w:rPr>
        <w:t>”</w:t>
      </w:r>
      <w:r w:rsidR="00213AC3" w:rsidRPr="00F06DE2">
        <w:rPr>
          <w:rFonts w:ascii="Times New Roman" w:hAnsi="Times New Roman" w:cs="Times New Roman"/>
          <w:lang w:val="ru-RU"/>
        </w:rPr>
        <w:t xml:space="preserve">, и букви </w:t>
      </w:r>
      <w:r w:rsidR="00CD198F" w:rsidRPr="00F06DE2">
        <w:rPr>
          <w:rFonts w:ascii="Times New Roman" w:hAnsi="Times New Roman" w:cs="Times New Roman"/>
          <w:lang w:val="ru-RU"/>
        </w:rPr>
        <w:t>“</w:t>
      </w:r>
      <w:r w:rsidR="00213AC3" w:rsidRPr="00F06DE2">
        <w:rPr>
          <w:rFonts w:ascii="Times New Roman" w:hAnsi="Times New Roman" w:cs="Times New Roman"/>
          <w:lang w:val="ru-RU"/>
        </w:rPr>
        <w:t>г</w:t>
      </w:r>
      <w:r w:rsidR="00CD198F" w:rsidRPr="00F06DE2">
        <w:rPr>
          <w:rFonts w:ascii="Times New Roman" w:hAnsi="Times New Roman" w:cs="Times New Roman"/>
          <w:lang w:val="ru-RU"/>
        </w:rPr>
        <w:t>”</w:t>
      </w:r>
      <w:r w:rsidR="00213AC3" w:rsidRPr="00F06DE2">
        <w:rPr>
          <w:rFonts w:ascii="Times New Roman" w:hAnsi="Times New Roman" w:cs="Times New Roman"/>
          <w:lang w:val="ru-RU"/>
        </w:rPr>
        <w:t xml:space="preserve"> и </w:t>
      </w:r>
      <w:r w:rsidR="00CD198F" w:rsidRPr="00F06DE2">
        <w:rPr>
          <w:rFonts w:ascii="Times New Roman" w:hAnsi="Times New Roman" w:cs="Times New Roman"/>
          <w:lang w:val="ru-RU"/>
        </w:rPr>
        <w:t>“</w:t>
      </w:r>
      <w:r w:rsidR="00213AC3" w:rsidRPr="00F06DE2">
        <w:rPr>
          <w:rFonts w:ascii="Times New Roman" w:hAnsi="Times New Roman" w:cs="Times New Roman"/>
          <w:lang w:val="ru-RU"/>
        </w:rPr>
        <w:t>д</w:t>
      </w:r>
      <w:r w:rsidR="00CD198F" w:rsidRPr="00F06DE2">
        <w:rPr>
          <w:rFonts w:ascii="Times New Roman" w:hAnsi="Times New Roman" w:cs="Times New Roman"/>
          <w:lang w:val="ru-RU"/>
        </w:rPr>
        <w:t>”</w:t>
      </w:r>
      <w:r w:rsidR="00213AC3" w:rsidRPr="00F06DE2">
        <w:rPr>
          <w:rFonts w:ascii="Times New Roman" w:hAnsi="Times New Roman" w:cs="Times New Roman"/>
          <w:lang w:val="ru-RU"/>
        </w:rPr>
        <w:t xml:space="preserve">. </w:t>
      </w:r>
    </w:p>
    <w:p w14:paraId="194A8FD2" w14:textId="0F55154F" w:rsidR="00271FA2" w:rsidRPr="00F06DE2" w:rsidRDefault="00271FA2" w:rsidP="009A6B09">
      <w:pPr>
        <w:rPr>
          <w:rFonts w:ascii="Times New Roman" w:eastAsia="Calibri" w:hAnsi="Times New Roman" w:cs="Times New Roman"/>
          <w:lang w:val="ru-RU"/>
        </w:rPr>
      </w:pPr>
    </w:p>
    <w:p w14:paraId="5C7C24C2"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Броят и разположението на преградите се избира, така че в случай на наводняване плавателният съд да се задържи на повърхността съгласно член 19.03, точки 7 — 13. Всяка част от вътрешната конструкция, която има отражение върху ефикасността на разделянето на плавателния съд на отсеци, е водонепроницаема и е проектирана, така че да запазва целостта на отсека.</w:t>
      </w:r>
    </w:p>
    <w:p w14:paraId="219B0C88"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За определяне на разположението на първата носова непроницаема преграда и ахтерпиковата преграда се прилагат разпоредбите на член 3.03, точка 1, но еталонната стойност, която следва да се използва вместо дължината, е дължината на водолинията </w:t>
      </w:r>
      <m:oMath>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WL</m:t>
            </m:r>
          </m:sub>
        </m:sSub>
      </m:oMath>
      <w:r w:rsidRPr="00F06DE2">
        <w:rPr>
          <w:rFonts w:ascii="Times New Roman" w:hAnsi="Times New Roman" w:cs="Times New Roman"/>
          <w:lang w:val="ru-RU"/>
        </w:rPr>
        <w:t>.</w:t>
      </w:r>
    </w:p>
    <w:p w14:paraId="543C800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Напречната преграда може да бъде оборудвана с ниша, ако всички части на тази ниша се намират в безопасната зона.</w:t>
      </w:r>
    </w:p>
    <w:p w14:paraId="300805A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Преградите, които се вземат предвид при изчисляването на устойчивостта в повредено състояние съгласно член 19.03, точки 7 - 13, са водонепроницаеми и стигат до палубата на преградите. Когато няма палуба на преградите, тези прегради достигат до височина поне 0,20 </w:t>
      </w:r>
      <w:r w:rsidRPr="00F06DE2">
        <w:rPr>
          <w:rFonts w:ascii="Times New Roman" w:hAnsi="Times New Roman" w:cs="Times New Roman"/>
        </w:rPr>
        <w:t>m</w:t>
      </w:r>
      <w:r w:rsidRPr="00F06DE2">
        <w:rPr>
          <w:rFonts w:ascii="Times New Roman" w:hAnsi="Times New Roman" w:cs="Times New Roman"/>
          <w:lang w:val="ru-RU"/>
        </w:rPr>
        <w:t xml:space="preserve"> над пределната линия.</w:t>
      </w:r>
    </w:p>
    <w:p w14:paraId="3ECD963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lastRenderedPageBreak/>
        <w:t>6.</w:t>
      </w:r>
      <w:r w:rsidRPr="00F06DE2">
        <w:rPr>
          <w:rFonts w:ascii="Times New Roman" w:hAnsi="Times New Roman" w:cs="Times New Roman"/>
          <w:lang w:val="ru-RU"/>
        </w:rPr>
        <w:tab/>
        <w:t>Броят на отворите в тези прегради трябва да е възможно най-малък с оглед на конструкцията и нормалната експлоатация на плавателния съд. Отворите и каналите не трябва да имат отрицателно въздействие върху водонепроницаемата функция на преградите.</w:t>
      </w:r>
    </w:p>
    <w:p w14:paraId="700948F8"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Първите носови непроницаеми прегради не трябва да имат отвори и врати.</w:t>
      </w:r>
    </w:p>
    <w:p w14:paraId="2F4155BE"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В преградите, отделящи машинните отделения от помещенията за пътниците или екипажа и обслужващия персонал, не трябва да има врати.</w:t>
      </w:r>
    </w:p>
    <w:p w14:paraId="78833967" w14:textId="77777777" w:rsidR="00271FA2" w:rsidRPr="00F06DE2" w:rsidRDefault="00D35E51" w:rsidP="0074063A">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Ръчно задвижвани врати без дистанционно управление в преградите, посочени в точка 5, се допускат само в пространства, до които пътниците нямат достъп. Те:</w:t>
      </w:r>
    </w:p>
    <w:p w14:paraId="5D3E2D63"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трябва да остават постоянно затворени и се отварят само временно с цел достъп;</w:t>
      </w:r>
    </w:p>
    <w:p w14:paraId="35600A4E"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трябва да бъдат оборудвани с подходящи устройства, позволяващи те да бъдат затваряни бързо и безопасно;</w:t>
      </w:r>
    </w:p>
    <w:p w14:paraId="407815EC"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трябва да показват следното уведомление от двете страни на вратите:</w:t>
      </w:r>
    </w:p>
    <w:p w14:paraId="59EDD26E"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„Вратата да се затваря веднага след преминаване“.</w:t>
      </w:r>
    </w:p>
    <w:p w14:paraId="13AE9BAF" w14:textId="77777777" w:rsidR="00271FA2" w:rsidRPr="00F06DE2" w:rsidRDefault="00D35E51" w:rsidP="0074063A">
      <w:pPr>
        <w:pStyle w:val="ESch"/>
        <w:jc w:val="both"/>
        <w:rPr>
          <w:rFonts w:ascii="Times New Roman" w:eastAsia="Calibri"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Вратите в преградите, посочени в точка 5, които остават отворени продължително време, трябва да отговарят на следните изисквания:</w:t>
      </w:r>
    </w:p>
    <w:p w14:paraId="2C973442"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те трябва да могат да се затварят и от двете страни на преградата, както и от леснодостъпна точка над палубата на преградите;</w:t>
      </w:r>
    </w:p>
    <w:p w14:paraId="3FBC9DD8"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след затваряне с дистанционно управление, вратата трябва да може отново да се отвори на място и да се затвори безопасно. Затварянето не трябва да се затруднява от килими, парапети на ниво на ходилата или други пречки;</w:t>
      </w:r>
    </w:p>
    <w:p w14:paraId="42004774"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времето, което отнема процесът на дистанционно затваряне, трябва да е не по-малко от 30 секунди, но не повече от 60 секунди;</w:t>
      </w:r>
    </w:p>
    <w:p w14:paraId="1FC1FAC5"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в процеса на затваряне край вратата трябва да се чува автоматично звуков предупредителен сигнал; поне в зоните, предназначени за използване от лица с намалена подвижност, алармената система трябва да генерира оптичен и звуков сигнал;</w:t>
      </w:r>
    </w:p>
    <w:p w14:paraId="6FBE11EF"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задвижването на вратата и предупредителният сигнал трябва да могат също да се задвижват независимо от бордовото електрозахранване. На мястото за дистанционно управление трябва да има устройство, което да показва дали вратата е отворена или затворена.</w:t>
      </w:r>
    </w:p>
    <w:p w14:paraId="69C2EAC5" w14:textId="77777777" w:rsidR="00271FA2" w:rsidRPr="00F06DE2" w:rsidRDefault="00D35E51" w:rsidP="0074063A">
      <w:pPr>
        <w:pStyle w:val="ESch"/>
        <w:jc w:val="both"/>
        <w:rPr>
          <w:rFonts w:ascii="Times New Roman" w:eastAsia="Calibri"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Вратите в преградите, посочени в точка 5, и задвижващите ги механизми трябва да се намират в безопасната зона.</w:t>
      </w:r>
    </w:p>
    <w:p w14:paraId="75B56599" w14:textId="77777777" w:rsidR="00271FA2" w:rsidRPr="00F06DE2" w:rsidRDefault="00D35E51" w:rsidP="0074063A">
      <w:pPr>
        <w:pStyle w:val="ESch"/>
        <w:jc w:val="both"/>
        <w:rPr>
          <w:rFonts w:ascii="Times New Roman" w:eastAsia="Calibri" w:hAnsi="Times New Roman" w:cs="Times New Roman"/>
          <w:lang w:val="ru-RU"/>
        </w:rPr>
      </w:pPr>
      <w:r w:rsidRPr="00F06DE2">
        <w:rPr>
          <w:rFonts w:ascii="Times New Roman" w:hAnsi="Times New Roman" w:cs="Times New Roman"/>
          <w:lang w:val="ru-RU"/>
        </w:rPr>
        <w:t xml:space="preserve">12. </w:t>
      </w:r>
      <w:r w:rsidRPr="00F06DE2">
        <w:rPr>
          <w:rFonts w:ascii="Times New Roman" w:hAnsi="Times New Roman" w:cs="Times New Roman"/>
          <w:lang w:val="ru-RU"/>
        </w:rPr>
        <w:tab/>
        <w:t>Трябва да има предупредителна система в рулевата рубка, която показва кои от вратите в преградите, посочени в точка 5, са отворени.</w:t>
      </w:r>
    </w:p>
    <w:p w14:paraId="4B079D36" w14:textId="77777777" w:rsidR="00271FA2" w:rsidRPr="00F06DE2" w:rsidRDefault="00D35E51" w:rsidP="0074063A">
      <w:pPr>
        <w:pStyle w:val="ESch"/>
        <w:jc w:val="both"/>
        <w:rPr>
          <w:rFonts w:ascii="Times New Roman" w:eastAsia="Calibri" w:hAnsi="Times New Roman" w:cs="Times New Roman"/>
          <w:lang w:val="ru-RU"/>
        </w:rPr>
      </w:pPr>
      <w:r w:rsidRPr="00F06DE2">
        <w:rPr>
          <w:rFonts w:ascii="Times New Roman" w:hAnsi="Times New Roman" w:cs="Times New Roman"/>
          <w:lang w:val="ru-RU"/>
        </w:rPr>
        <w:t xml:space="preserve">13. </w:t>
      </w:r>
      <w:r w:rsidRPr="00F06DE2">
        <w:rPr>
          <w:rFonts w:ascii="Times New Roman" w:hAnsi="Times New Roman" w:cs="Times New Roman"/>
          <w:lang w:val="ru-RU"/>
        </w:rPr>
        <w:tab/>
        <w:t>Тръбите с отворени краища и въздуховодите на вентилацията се огъват по такъв начин, че при всяко възможно наводняване чрез тях да не бъдат наводнени допълнителни пространства или резервоари.</w:t>
      </w:r>
    </w:p>
    <w:p w14:paraId="7E26F98E" w14:textId="77777777" w:rsidR="00271FA2" w:rsidRPr="00F06DE2" w:rsidRDefault="00D35E51" w:rsidP="0074063A">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Ако няколко отсека са междинно свързани с тръби или въздуховоди на вентилацията, тези тръби или въздуховоди на съответното място се извеждат над водолинията на повредата, съответстваща на най-голямото възможно наводняване;</w:t>
      </w:r>
    </w:p>
    <w:p w14:paraId="3840ADBA"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Не е задължително тръбите да отговарят на изискването от буква “а”, ако на тях са монтирани спирателни устройства в местата, където преминават през преградите и които могат да бъдат управлявани дистанционно от точка над палубата на преградите;</w:t>
      </w:r>
    </w:p>
    <w:p w14:paraId="24559D33"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в) Когато тръбопровод няма отворен изход към отсек, тръбите се разглеждат като незасегнати, в случай че този отсек бъде засегнат, ако преминава през безопасната зона и е повече от 0,50 </w:t>
      </w:r>
      <w:r w:rsidRPr="00F06DE2">
        <w:rPr>
          <w:rFonts w:ascii="Times New Roman" w:hAnsi="Times New Roman" w:cs="Times New Roman"/>
        </w:rPr>
        <w:t>cm</w:t>
      </w:r>
      <w:r w:rsidRPr="00F06DE2">
        <w:rPr>
          <w:rFonts w:ascii="Times New Roman" w:hAnsi="Times New Roman" w:cs="Times New Roman"/>
          <w:lang w:val="ru-RU"/>
        </w:rPr>
        <w:t xml:space="preserve"> над дъното на плавателния съд.</w:t>
      </w:r>
    </w:p>
    <w:p w14:paraId="037C8533" w14:textId="77777777" w:rsidR="00271FA2" w:rsidRPr="00F06DE2" w:rsidRDefault="00D35E51" w:rsidP="0074063A">
      <w:pPr>
        <w:pStyle w:val="ESch"/>
        <w:jc w:val="both"/>
        <w:rPr>
          <w:rFonts w:ascii="Times New Roman" w:eastAsia="Calibri" w:hAnsi="Times New Roman" w:cs="Times New Roman"/>
          <w:lang w:val="ru-RU"/>
        </w:rPr>
      </w:pPr>
      <w:r w:rsidRPr="00F06DE2">
        <w:rPr>
          <w:rFonts w:ascii="Times New Roman" w:hAnsi="Times New Roman" w:cs="Times New Roman"/>
          <w:lang w:val="ru-RU"/>
        </w:rPr>
        <w:lastRenderedPageBreak/>
        <w:t>14.</w:t>
      </w:r>
      <w:r w:rsidRPr="00F06DE2">
        <w:rPr>
          <w:rFonts w:ascii="Times New Roman" w:hAnsi="Times New Roman" w:cs="Times New Roman"/>
          <w:lang w:val="ru-RU"/>
        </w:rPr>
        <w:tab/>
        <w:t>Лостовете за дистанционно управление на вратите в преградите съгласно точка 10 и спирателните устройства съгласно точка 13, буква “б” по-горе над палубата на преградите, се означават като такива.</w:t>
      </w:r>
    </w:p>
    <w:p w14:paraId="5B0E9692"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15.</w:t>
      </w:r>
      <w:r w:rsidRPr="00F06DE2">
        <w:rPr>
          <w:rFonts w:ascii="Times New Roman" w:hAnsi="Times New Roman" w:cs="Times New Roman"/>
          <w:lang w:val="ru-RU"/>
        </w:rPr>
        <w:tab/>
        <w:t xml:space="preserve">Когато се използват двойни дъна, височината им е не по-малка от 0,60 </w:t>
      </w:r>
      <w:r w:rsidRPr="00F06DE2">
        <w:rPr>
          <w:rFonts w:ascii="Times New Roman" w:hAnsi="Times New Roman" w:cs="Times New Roman"/>
        </w:rPr>
        <w:t>m</w:t>
      </w:r>
      <w:r w:rsidRPr="00F06DE2">
        <w:rPr>
          <w:rFonts w:ascii="Times New Roman" w:hAnsi="Times New Roman" w:cs="Times New Roman"/>
          <w:lang w:val="ru-RU"/>
        </w:rPr>
        <w:t xml:space="preserve">, а когато се използват кухи камери, широчината им е не по-малка от 0,60 </w:t>
      </w:r>
      <w:r w:rsidRPr="00F06DE2">
        <w:rPr>
          <w:rFonts w:ascii="Times New Roman" w:hAnsi="Times New Roman" w:cs="Times New Roman"/>
        </w:rPr>
        <w:t>m</w:t>
      </w:r>
      <w:r w:rsidRPr="00F06DE2">
        <w:rPr>
          <w:rFonts w:ascii="Times New Roman" w:hAnsi="Times New Roman" w:cs="Times New Roman"/>
          <w:lang w:val="ru-RU"/>
        </w:rPr>
        <w:t>.</w:t>
      </w:r>
    </w:p>
    <w:p w14:paraId="59B33CD9" w14:textId="77777777" w:rsidR="00271FA2" w:rsidRPr="00F06DE2" w:rsidRDefault="00D35E51" w:rsidP="00097008">
      <w:pPr>
        <w:pStyle w:val="ESch"/>
        <w:spacing w:after="240"/>
        <w:jc w:val="both"/>
        <w:rPr>
          <w:rFonts w:ascii="Times New Roman" w:eastAsia="Calibri" w:hAnsi="Times New Roman" w:cs="Times New Roman"/>
          <w:lang w:val="ru-RU"/>
        </w:rPr>
      </w:pPr>
      <w:r w:rsidRPr="00F06DE2">
        <w:rPr>
          <w:rFonts w:ascii="Times New Roman" w:hAnsi="Times New Roman" w:cs="Times New Roman"/>
          <w:lang w:val="ru-RU"/>
        </w:rPr>
        <w:t>16.</w:t>
      </w:r>
      <w:r w:rsidRPr="00F06DE2">
        <w:rPr>
          <w:rFonts w:ascii="Times New Roman" w:hAnsi="Times New Roman" w:cs="Times New Roman"/>
          <w:lang w:val="ru-RU"/>
        </w:rPr>
        <w:tab/>
        <w:t>Прозорци могат да се разполагат под пределната линия, ако са водонепроницаеми, не се отварят, достатъчно здрави са и отговарят на член 19.06, точка 14.</w:t>
      </w:r>
      <w:bookmarkStart w:id="338" w:name="_Toc491854172"/>
      <w:bookmarkStart w:id="339" w:name="_Toc535827613"/>
    </w:p>
    <w:p w14:paraId="4C323A8E" w14:textId="77777777"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19.03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Устойчивост</w:t>
      </w:r>
      <w:bookmarkEnd w:id="338"/>
      <w:bookmarkEnd w:id="339"/>
    </w:p>
    <w:p w14:paraId="3DFD3EBD" w14:textId="77777777" w:rsidR="00271FA2" w:rsidRPr="00F06DE2" w:rsidRDefault="00D35E51" w:rsidP="0074063A">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Кандидатът доказва чрез изчисление за условията на натоварване, посочени в член 19.03, точка 2, че непокътнатата устойчивост на плавателния съд е подходяща. Доказателство за достатъчна стабилност се одобрява от контролния орган. Всички изчисления трябва да се правят до максималния диферент и газене. </w:t>
      </w:r>
    </w:p>
    <w:p w14:paraId="375CBABE" w14:textId="77777777" w:rsidR="00271FA2" w:rsidRPr="00F06DE2" w:rsidRDefault="00D35E51" w:rsidP="0074063A">
      <w:pPr>
        <w:pStyle w:val="ESch"/>
        <w:ind w:firstLine="0"/>
        <w:jc w:val="both"/>
        <w:rPr>
          <w:rFonts w:ascii="Times New Roman" w:hAnsi="Times New Roman" w:cs="Times New Roman"/>
          <w:lang w:val="ru-RU"/>
        </w:rPr>
      </w:pPr>
      <w:r w:rsidRPr="00F06DE2">
        <w:rPr>
          <w:rFonts w:ascii="Times New Roman" w:hAnsi="Times New Roman" w:cs="Times New Roman"/>
          <w:lang w:val="ru-RU"/>
        </w:rPr>
        <w:t>Основните стойности за изчисляване на стабилността на плавателния съд - плавателният съд да е празен и местоположението на центъра на тежестта – трябва да са определени</w:t>
      </w:r>
    </w:p>
    <w:p w14:paraId="7B74DBF1" w14:textId="77777777" w:rsidR="00271FA2" w:rsidRPr="00F06DE2" w:rsidRDefault="00D35E51" w:rsidP="0074063A">
      <w:pPr>
        <w:pStyle w:val="ESch"/>
        <w:ind w:firstLine="0"/>
        <w:jc w:val="both"/>
        <w:rPr>
          <w:rFonts w:ascii="Times New Roman" w:eastAsia="Calibri" w:hAnsi="Times New Roman" w:cs="Times New Roman"/>
          <w:lang w:val="ru-RU"/>
        </w:rPr>
      </w:pPr>
      <w:r w:rsidRPr="00F06DE2">
        <w:rPr>
          <w:rFonts w:ascii="Times New Roman" w:eastAsia="Calibri" w:hAnsi="Times New Roman" w:cs="Times New Roman"/>
          <w:lang w:val="ru-RU"/>
        </w:rPr>
        <w:t xml:space="preserve">а) чрез изпитване за крен в съответствие с Приложение 1 към Резолюция </w:t>
      </w:r>
      <w:r w:rsidRPr="00F06DE2">
        <w:rPr>
          <w:rFonts w:ascii="Times New Roman" w:eastAsia="Calibri" w:hAnsi="Times New Roman" w:cs="Times New Roman"/>
        </w:rPr>
        <w:t>MSC</w:t>
      </w:r>
      <w:r w:rsidRPr="00F06DE2">
        <w:rPr>
          <w:rFonts w:ascii="Times New Roman" w:eastAsia="Calibri" w:hAnsi="Times New Roman" w:cs="Times New Roman"/>
          <w:lang w:val="ru-RU"/>
        </w:rPr>
        <w:t>.267(85)</w:t>
      </w:r>
      <w:r w:rsidRPr="00F06DE2">
        <w:rPr>
          <w:rStyle w:val="FootnoteReference"/>
          <w:rFonts w:ascii="Times New Roman" w:eastAsia="Calibri" w:hAnsi="Times New Roman" w:cs="Times New Roman"/>
        </w:rPr>
        <w:footnoteReference w:id="10"/>
      </w:r>
      <w:r w:rsidRPr="00F06DE2">
        <w:rPr>
          <w:rFonts w:ascii="Times New Roman" w:eastAsia="Calibri" w:hAnsi="Times New Roman" w:cs="Times New Roman"/>
          <w:lang w:val="ru-RU"/>
        </w:rPr>
        <w:t xml:space="preserve"> на ИМО (включително специални съображения за пътнически плавателни съдове с по-малко от 24 м дължина); или</w:t>
      </w:r>
    </w:p>
    <w:p w14:paraId="4D26B359" w14:textId="77777777" w:rsidR="00271FA2" w:rsidRPr="00F06DE2" w:rsidRDefault="00D35E51" w:rsidP="0074063A">
      <w:pPr>
        <w:pStyle w:val="ESch"/>
        <w:ind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б) чрез подробно изчисляване на масата и момента. В последния случай теглото на плавателния съд празен се проверява чрез сравнение на масите с граница на допустимото отклонение от ± 5 % между масата, определена чрез изчисление, и водоизместването определено от скалите на газене. Въпреки това, в случай на съмнение относно точността при изчисляването на масата контролният орган може да изиска изпитване за креноване в съответствие с буква “а”.</w:t>
      </w:r>
    </w:p>
    <w:p w14:paraId="60BB2E7A"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Устойчивостта в неповредено състояние на плавателен съд се доказва за следните стандартни условия на натоварване:</w:t>
      </w:r>
    </w:p>
    <w:p w14:paraId="07F2F3A9"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в началото на пътуването:</w:t>
      </w:r>
    </w:p>
    <w:p w14:paraId="0E7A5F1B" w14:textId="77777777" w:rsidR="00271FA2" w:rsidRPr="00F06DE2" w:rsidRDefault="00D35E51">
      <w:pPr>
        <w:pStyle w:val="ESletpar"/>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100 % от пътниците, 98 % от горивото и питейната вода, 10 % от отпадъчната вода;</w:t>
      </w:r>
    </w:p>
    <w:p w14:paraId="079F57F1"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б) по време на пътуването:</w:t>
      </w:r>
    </w:p>
    <w:p w14:paraId="06FD76D2" w14:textId="77777777" w:rsidR="00271FA2" w:rsidRPr="00F06DE2" w:rsidRDefault="00D35E51">
      <w:pPr>
        <w:pStyle w:val="ESletpar"/>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100</w:t>
      </w:r>
      <w:r w:rsidRPr="00F06DE2">
        <w:rPr>
          <w:rFonts w:ascii="Times New Roman" w:hAnsi="Times New Roman" w:cs="Times New Roman"/>
        </w:rPr>
        <w:t> </w:t>
      </w:r>
      <w:r w:rsidRPr="00F06DE2">
        <w:rPr>
          <w:rFonts w:ascii="Times New Roman" w:hAnsi="Times New Roman" w:cs="Times New Roman"/>
          <w:lang w:val="ru-RU"/>
        </w:rPr>
        <w:t>% от пътниците, 50 % от горивото и питейната вода, 50 % от отпадъчната вода;</w:t>
      </w:r>
    </w:p>
    <w:p w14:paraId="44C40798"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в) в края на пътуването:</w:t>
      </w:r>
    </w:p>
    <w:p w14:paraId="2F6419A0" w14:textId="77777777" w:rsidR="00271FA2" w:rsidRPr="00F06DE2" w:rsidRDefault="00D35E51">
      <w:pPr>
        <w:pStyle w:val="ESletpar"/>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100 % от пътниците, 10 % от горивото и питейната вода, 98 % от отпадъчната вода;</w:t>
      </w:r>
    </w:p>
    <w:p w14:paraId="2E37ECF0"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г) плавателен съд без товар:</w:t>
      </w:r>
    </w:p>
    <w:p w14:paraId="3289768D" w14:textId="77777777" w:rsidR="00271FA2" w:rsidRPr="00F06DE2" w:rsidRDefault="00D35E51">
      <w:pPr>
        <w:pStyle w:val="ESletpar"/>
        <w:spacing w:before="0"/>
        <w:ind w:left="851" w:hanging="284"/>
        <w:jc w:val="both"/>
        <w:rPr>
          <w:rFonts w:ascii="Times New Roman" w:hAnsi="Times New Roman" w:cs="Times New Roman"/>
          <w:lang w:val="ru-RU"/>
        </w:rPr>
      </w:pPr>
      <w:r w:rsidRPr="00F06DE2">
        <w:rPr>
          <w:rFonts w:ascii="Times New Roman" w:hAnsi="Times New Roman" w:cs="Times New Roman"/>
          <w:lang w:val="ru-RU"/>
        </w:rPr>
        <w:t>без пътници, 10 % от горивото и прясната вода, без отпадъчна вода.</w:t>
      </w:r>
    </w:p>
    <w:p w14:paraId="5E95BE03" w14:textId="77777777" w:rsidR="00271FA2" w:rsidRPr="00F06DE2" w:rsidRDefault="00D35E51">
      <w:pPr>
        <w:pStyle w:val="ESletpar"/>
        <w:spacing w:before="0"/>
        <w:ind w:left="851" w:hanging="284"/>
        <w:jc w:val="both"/>
        <w:rPr>
          <w:rFonts w:ascii="Times New Roman" w:eastAsia="Calibri" w:hAnsi="Times New Roman" w:cs="Times New Roman"/>
          <w:lang w:val="ru-RU"/>
        </w:rPr>
      </w:pPr>
      <w:r w:rsidRPr="00F06DE2">
        <w:rPr>
          <w:rFonts w:ascii="Times New Roman" w:eastAsia="Calibri" w:hAnsi="Times New Roman" w:cs="Times New Roman"/>
          <w:lang w:val="ru-RU"/>
        </w:rPr>
        <w:t>д) в равнината на максималното газене.</w:t>
      </w:r>
    </w:p>
    <w:p w14:paraId="31A75B2C"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За всички стандартни условия на натоварване баластните резервоари се разглеждат или като празни, или като пълни при нормални експлоатационни условия.</w:t>
      </w:r>
    </w:p>
    <w:p w14:paraId="7C6177E7"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Освен това изискването от раздел 3, буква “г” трябва да бъде доказано за следното състояние на натоварване:</w:t>
      </w:r>
    </w:p>
    <w:p w14:paraId="4241DFB7"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lastRenderedPageBreak/>
        <w:t>100 % от пътниците, 50 % от горивото и питейната вода, 50 % от отпадъчна вода, всички други резервоари за течности (включително баластните танкове) се смятат за напълнени до 50 %.</w:t>
      </w:r>
    </w:p>
    <w:p w14:paraId="743040A0"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Доказателството за достатъчна устойчивост в неповредено състояние на плавателен съд чрез изчисления се осигурява, като се използват следните определения за устойчивост на неповредения плавателен съд и стандартните условия на натоварване, посочени в точка 2, букви “а - г”:</w:t>
      </w:r>
    </w:p>
    <w:p w14:paraId="7A2C2F76" w14:textId="77777777" w:rsidR="00271FA2" w:rsidRPr="00F06DE2" w:rsidRDefault="00D35E51" w:rsidP="0074063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максималното рамо на изправящия момент </w:t>
      </w:r>
      <m:oMath>
        <m:sSub>
          <m:sSubPr>
            <m:ctrlPr>
              <w:rPr>
                <w:rFonts w:ascii="Cambria Math" w:eastAsia="Calibri" w:hAnsi="Cambria Math" w:cs="Times New Roman"/>
                <w:i/>
              </w:rPr>
            </m:ctrlPr>
          </m:sSubPr>
          <m:e>
            <m:r>
              <w:rPr>
                <w:rFonts w:ascii="Cambria Math" w:eastAsia="Calibri" w:hAnsi="Cambria Math" w:cs="Times New Roman"/>
                <w:lang w:val="ru-RU"/>
              </w:rPr>
              <m:t>h</m:t>
            </m:r>
          </m:e>
          <m:sub>
            <m:r>
              <w:rPr>
                <w:rFonts w:ascii="Cambria Math" w:eastAsia="Calibri" w:hAnsi="Cambria Math" w:cs="Times New Roman"/>
              </w:rPr>
              <m:t>max</m:t>
            </m:r>
          </m:sub>
        </m:sSub>
      </m:oMath>
      <w:r w:rsidRPr="00F06DE2">
        <w:rPr>
          <w:rFonts w:ascii="Times New Roman" w:hAnsi="Times New Roman" w:cs="Times New Roman"/>
          <w:lang w:val="ru-RU"/>
        </w:rPr>
        <w:t xml:space="preserve"> трябва да се получава при ъгъл на крена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max</m:t>
            </m:r>
          </m:sub>
        </m:sSub>
        <m:r>
          <w:rPr>
            <w:rFonts w:ascii="Cambria Math" w:eastAsia="Calibri" w:hAnsi="Cambria Math" w:cs="Times New Roman"/>
            <w:lang w:val="ru-RU"/>
          </w:rPr>
          <m:t xml:space="preserve"> ≥(</m:t>
        </m:r>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mom</m:t>
            </m:r>
          </m:sub>
        </m:sSub>
        <m:r>
          <w:rPr>
            <w:rFonts w:ascii="Cambria Math" w:eastAsia="Calibri" w:hAnsi="Cambria Math" w:cs="Times New Roman"/>
            <w:lang w:val="ru-RU"/>
          </w:rPr>
          <m:t>+3°)</m:t>
        </m:r>
      </m:oMath>
      <w:r w:rsidRPr="00F06DE2">
        <w:rPr>
          <w:rFonts w:ascii="Times New Roman" w:hAnsi="Times New Roman" w:cs="Times New Roman"/>
          <w:lang w:val="ru-RU"/>
        </w:rPr>
        <w:t xml:space="preserve"> и е не по-малко от 0,20 </w:t>
      </w:r>
      <w:r w:rsidRPr="00F06DE2">
        <w:rPr>
          <w:rFonts w:ascii="Times New Roman" w:hAnsi="Times New Roman" w:cs="Times New Roman"/>
        </w:rPr>
        <w:t>m</w:t>
      </w:r>
      <w:r w:rsidRPr="00F06DE2">
        <w:rPr>
          <w:rFonts w:ascii="Times New Roman" w:hAnsi="Times New Roman" w:cs="Times New Roman"/>
          <w:lang w:val="ru-RU"/>
        </w:rPr>
        <w:t xml:space="preserve">. В случай, че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r>
          <w:rPr>
            <w:rFonts w:ascii="Cambria Math" w:eastAsia="Calibri" w:hAnsi="Cambria Math" w:cs="Times New Roman"/>
            <w:lang w:val="ru-RU"/>
          </w:rPr>
          <m:t>&lt;</m:t>
        </m:r>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max</m:t>
            </m:r>
          </m:sub>
        </m:sSub>
      </m:oMath>
      <w:r w:rsidRPr="00F06DE2">
        <w:rPr>
          <w:rFonts w:ascii="Times New Roman" w:hAnsi="Times New Roman" w:cs="Times New Roman"/>
          <w:lang w:val="ru-RU"/>
        </w:rPr>
        <w:t xml:space="preserve">, обаче, максималното рамо на изправящия момент при ъгъла на заливане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oMath>
      <w:r w:rsidRPr="00F06DE2">
        <w:rPr>
          <w:rFonts w:ascii="Times New Roman" w:hAnsi="Times New Roman" w:cs="Times New Roman"/>
          <w:lang w:val="ru-RU"/>
        </w:rPr>
        <w:t xml:space="preserve"> не трябва да бъде по-малко от 0,20 </w:t>
      </w:r>
      <w:r w:rsidRPr="00F06DE2">
        <w:rPr>
          <w:rFonts w:ascii="Times New Roman" w:hAnsi="Times New Roman" w:cs="Times New Roman"/>
        </w:rPr>
        <w:t>m</w:t>
      </w:r>
      <w:r w:rsidRPr="00F06DE2">
        <w:rPr>
          <w:rFonts w:ascii="Times New Roman" w:hAnsi="Times New Roman" w:cs="Times New Roman"/>
          <w:lang w:val="ru-RU"/>
        </w:rPr>
        <w:t>;</w:t>
      </w:r>
    </w:p>
    <w:p w14:paraId="0C25AD18"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 xml:space="preserve">б) ъгълът на заливане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oMath>
      <w:r w:rsidRPr="00F06DE2">
        <w:rPr>
          <w:rFonts w:ascii="Times New Roman" w:hAnsi="Times New Roman" w:cs="Times New Roman"/>
          <w:lang w:val="ru-RU"/>
        </w:rPr>
        <w:t xml:space="preserve"> не трябва да е по-малък от </w:t>
      </w:r>
      <m:oMath>
        <m:r>
          <w:rPr>
            <w:rFonts w:ascii="Cambria Math" w:eastAsia="Calibri" w:hAnsi="Cambria Math" w:cs="Times New Roman"/>
            <w:lang w:val="ru-RU"/>
          </w:rPr>
          <m:t>(</m:t>
        </m:r>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mom</m:t>
            </m:r>
          </m:sub>
        </m:sSub>
        <m:r>
          <w:rPr>
            <w:rFonts w:ascii="Cambria Math" w:eastAsia="Calibri" w:hAnsi="Cambria Math" w:cs="Times New Roman"/>
            <w:lang w:val="ru-RU"/>
          </w:rPr>
          <m:t>+3°)</m:t>
        </m:r>
      </m:oMath>
      <w:r w:rsidRPr="00F06DE2">
        <w:rPr>
          <w:rFonts w:ascii="Times New Roman" w:hAnsi="Times New Roman" w:cs="Times New Roman"/>
          <w:lang w:val="ru-RU"/>
        </w:rPr>
        <w:t>;</w:t>
      </w:r>
    </w:p>
    <w:p w14:paraId="1C6E2280" w14:textId="77777777" w:rsidR="00271FA2" w:rsidRPr="00F06DE2" w:rsidRDefault="00D35E51" w:rsidP="0074063A">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площта </w:t>
      </w:r>
      <m:oMath>
        <m:r>
          <w:rPr>
            <w:rFonts w:ascii="Cambria Math" w:eastAsia="Calibri" w:hAnsi="Cambria Math" w:cs="Times New Roman"/>
          </w:rPr>
          <m:t>A</m:t>
        </m:r>
      </m:oMath>
      <w:r w:rsidRPr="00F06DE2">
        <w:rPr>
          <w:rFonts w:ascii="Times New Roman" w:hAnsi="Times New Roman" w:cs="Times New Roman"/>
          <w:lang w:val="ru-RU"/>
        </w:rPr>
        <w:t xml:space="preserve"> под кривата на рамото на изправящия момент трябва, в зависимост от положението на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oMath>
      <w:r w:rsidRPr="00F06DE2">
        <w:rPr>
          <w:rFonts w:ascii="Times New Roman" w:hAnsi="Times New Roman" w:cs="Times New Roman"/>
          <w:lang w:val="ru-RU"/>
        </w:rPr>
        <w:t xml:space="preserve"> и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max</m:t>
            </m:r>
          </m:sub>
        </m:sSub>
      </m:oMath>
      <w:r w:rsidRPr="00F06DE2">
        <w:rPr>
          <w:rFonts w:ascii="Times New Roman" w:hAnsi="Times New Roman" w:cs="Times New Roman"/>
          <w:lang w:val="ru-RU"/>
        </w:rPr>
        <w:t>, да достига не по-малки от следните стойности:</w:t>
      </w:r>
    </w:p>
    <w:p w14:paraId="482E457E" w14:textId="26861143" w:rsidR="00271FA2" w:rsidRPr="00F06DE2" w:rsidRDefault="00271FA2">
      <w:pPr>
        <w:pStyle w:val="ESlet"/>
        <w:spacing w:before="0"/>
        <w:ind w:left="851" w:hanging="284"/>
        <w:jc w:val="both"/>
        <w:rPr>
          <w:rFonts w:ascii="Times New Roman" w:eastAsia="Calibri" w:hAnsi="Times New Roman" w:cs="Times New Roman"/>
          <w:lang w:val="ru-RU"/>
        </w:rPr>
      </w:pPr>
    </w:p>
    <w:tbl>
      <w:tblPr>
        <w:tblW w:w="9332" w:type="dxa"/>
        <w:tblLayout w:type="fixed"/>
        <w:tblLook w:val="04A0" w:firstRow="1" w:lastRow="0" w:firstColumn="1" w:lastColumn="0" w:noHBand="0" w:noVBand="1"/>
      </w:tblPr>
      <w:tblGrid>
        <w:gridCol w:w="990"/>
        <w:gridCol w:w="2410"/>
        <w:gridCol w:w="1196"/>
        <w:gridCol w:w="4736"/>
      </w:tblGrid>
      <w:tr w:rsidR="00271FA2" w:rsidRPr="00F06DE2" w14:paraId="4CDF2470" w14:textId="77777777" w:rsidTr="0074063A">
        <w:tc>
          <w:tcPr>
            <w:tcW w:w="990" w:type="dxa"/>
            <w:tcBorders>
              <w:top w:val="single" w:sz="2" w:space="0" w:color="auto"/>
              <w:left w:val="single" w:sz="2" w:space="0" w:color="auto"/>
              <w:bottom w:val="single" w:sz="2" w:space="0" w:color="auto"/>
              <w:right w:val="single" w:sz="2" w:space="0" w:color="auto"/>
            </w:tcBorders>
          </w:tcPr>
          <w:p w14:paraId="322CC712"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Случай</w:t>
            </w:r>
          </w:p>
        </w:tc>
        <w:tc>
          <w:tcPr>
            <w:tcW w:w="2410" w:type="dxa"/>
            <w:tcBorders>
              <w:top w:val="single" w:sz="2" w:space="0" w:color="auto"/>
              <w:left w:val="single" w:sz="2" w:space="0" w:color="auto"/>
              <w:bottom w:val="single" w:sz="2" w:space="0" w:color="auto"/>
              <w:right w:val="single" w:sz="2" w:space="0" w:color="auto"/>
            </w:tcBorders>
          </w:tcPr>
          <w:p w14:paraId="7ADDBE46" w14:textId="77777777" w:rsidR="00271FA2" w:rsidRPr="00F06DE2" w:rsidRDefault="00271FA2">
            <w:pPr>
              <w:spacing w:line="240" w:lineRule="atLeast"/>
              <w:jc w:val="center"/>
              <w:rPr>
                <w:rFonts w:ascii="Times New Roman" w:hAnsi="Times New Roman" w:cs="Times New Roman"/>
              </w:rPr>
            </w:pPr>
          </w:p>
        </w:tc>
        <w:tc>
          <w:tcPr>
            <w:tcW w:w="1196" w:type="dxa"/>
            <w:tcBorders>
              <w:top w:val="single" w:sz="2" w:space="0" w:color="auto"/>
              <w:left w:val="single" w:sz="2" w:space="0" w:color="auto"/>
              <w:bottom w:val="single" w:sz="2" w:space="0" w:color="auto"/>
              <w:right w:val="single" w:sz="2" w:space="0" w:color="auto"/>
            </w:tcBorders>
          </w:tcPr>
          <w:p w14:paraId="27D9813C" w14:textId="77777777" w:rsidR="00271FA2" w:rsidRPr="00F06DE2" w:rsidRDefault="00271FA2">
            <w:pPr>
              <w:spacing w:line="240" w:lineRule="atLeast"/>
              <w:jc w:val="center"/>
              <w:rPr>
                <w:rFonts w:ascii="Times New Roman" w:hAnsi="Times New Roman" w:cs="Times New Roman"/>
              </w:rPr>
            </w:pPr>
          </w:p>
        </w:tc>
        <w:tc>
          <w:tcPr>
            <w:tcW w:w="4736" w:type="dxa"/>
            <w:tcBorders>
              <w:top w:val="single" w:sz="2" w:space="0" w:color="auto"/>
              <w:left w:val="single" w:sz="2" w:space="0" w:color="auto"/>
              <w:bottom w:val="single" w:sz="2" w:space="0" w:color="auto"/>
              <w:right w:val="single" w:sz="2" w:space="0" w:color="auto"/>
            </w:tcBorders>
          </w:tcPr>
          <w:p w14:paraId="5E3FB3BC"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A</w:t>
            </w:r>
          </w:p>
        </w:tc>
      </w:tr>
      <w:tr w:rsidR="00271FA2" w:rsidRPr="00F06DE2" w14:paraId="1A861A50" w14:textId="77777777" w:rsidTr="0074063A">
        <w:tc>
          <w:tcPr>
            <w:tcW w:w="990" w:type="dxa"/>
            <w:tcBorders>
              <w:top w:val="single" w:sz="2" w:space="0" w:color="auto"/>
              <w:left w:val="single" w:sz="2" w:space="0" w:color="auto"/>
              <w:bottom w:val="single" w:sz="2" w:space="0" w:color="auto"/>
              <w:right w:val="single" w:sz="2" w:space="0" w:color="auto"/>
            </w:tcBorders>
            <w:vAlign w:val="center"/>
          </w:tcPr>
          <w:p w14:paraId="2785C12B" w14:textId="77777777" w:rsidR="00271FA2" w:rsidRPr="00F06DE2" w:rsidRDefault="00D35E51" w:rsidP="00FE0C02">
            <w:pPr>
              <w:spacing w:line="240" w:lineRule="atLeast"/>
              <w:jc w:val="center"/>
              <w:rPr>
                <w:rFonts w:ascii="Times New Roman" w:hAnsi="Times New Roman" w:cs="Times New Roman"/>
              </w:rPr>
            </w:pPr>
            <w:r w:rsidRPr="00F06DE2">
              <w:rPr>
                <w:rFonts w:ascii="Times New Roman" w:hAnsi="Times New Roman" w:cs="Times New Roman"/>
              </w:rPr>
              <w:t>1</w:t>
            </w:r>
          </w:p>
        </w:tc>
        <w:tc>
          <w:tcPr>
            <w:tcW w:w="2410" w:type="dxa"/>
            <w:tcBorders>
              <w:top w:val="single" w:sz="2" w:space="0" w:color="auto"/>
              <w:left w:val="single" w:sz="2" w:space="0" w:color="auto"/>
              <w:bottom w:val="single" w:sz="2" w:space="0" w:color="auto"/>
              <w:right w:val="single" w:sz="2" w:space="0" w:color="auto"/>
            </w:tcBorders>
            <w:vAlign w:val="center"/>
          </w:tcPr>
          <w:p w14:paraId="5150585A" w14:textId="77777777" w:rsidR="00271FA2" w:rsidRPr="00F06DE2" w:rsidRDefault="002C62EC">
            <w:pPr>
              <w:spacing w:line="240" w:lineRule="atLeast"/>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max</m:t>
                  </m:r>
                </m:sub>
              </m:sSub>
              <m:r>
                <w:rPr>
                  <w:rFonts w:ascii="Cambria Math" w:eastAsia="Calibri" w:hAnsi="Cambria Math" w:cs="Times New Roman"/>
                </w:rPr>
                <m:t xml:space="preserve"> ≤15°</m:t>
              </m:r>
            </m:oMath>
            <w:r w:rsidR="00D35E51" w:rsidRPr="00F06DE2">
              <w:rPr>
                <w:rFonts w:ascii="Times New Roman" w:hAnsi="Times New Roman" w:cs="Times New Roman"/>
              </w:rPr>
              <w:t xml:space="preserve"> или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r>
                <w:rPr>
                  <w:rFonts w:ascii="Cambria Math" w:eastAsia="Calibri" w:hAnsi="Cambria Math" w:cs="Times New Roman"/>
                </w:rPr>
                <m:t xml:space="preserve"> ≤15°</m:t>
              </m:r>
            </m:oMath>
          </w:p>
        </w:tc>
        <w:tc>
          <w:tcPr>
            <w:tcW w:w="1196" w:type="dxa"/>
            <w:tcBorders>
              <w:top w:val="single" w:sz="2" w:space="0" w:color="auto"/>
              <w:left w:val="single" w:sz="2" w:space="0" w:color="auto"/>
              <w:bottom w:val="single" w:sz="2" w:space="0" w:color="auto"/>
              <w:right w:val="single" w:sz="2" w:space="0" w:color="auto"/>
            </w:tcBorders>
            <w:vAlign w:val="center"/>
          </w:tcPr>
          <w:p w14:paraId="125A4459" w14:textId="77777777" w:rsidR="00271FA2" w:rsidRPr="00F06DE2" w:rsidRDefault="00271FA2">
            <w:pPr>
              <w:spacing w:line="240" w:lineRule="atLeast"/>
              <w:rPr>
                <w:rFonts w:ascii="Times New Roman" w:hAnsi="Times New Roman" w:cs="Times New Roman"/>
              </w:rPr>
            </w:pPr>
          </w:p>
        </w:tc>
        <w:tc>
          <w:tcPr>
            <w:tcW w:w="4736" w:type="dxa"/>
            <w:tcBorders>
              <w:top w:val="single" w:sz="2" w:space="0" w:color="auto"/>
              <w:left w:val="single" w:sz="2" w:space="0" w:color="auto"/>
              <w:bottom w:val="single" w:sz="2" w:space="0" w:color="auto"/>
              <w:right w:val="single" w:sz="2" w:space="0" w:color="auto"/>
            </w:tcBorders>
            <w:vAlign w:val="center"/>
          </w:tcPr>
          <w:p w14:paraId="2BFCC108" w14:textId="77777777" w:rsidR="00271FA2" w:rsidRPr="00F06DE2" w:rsidRDefault="00D35E51">
            <w:pPr>
              <w:spacing w:line="240" w:lineRule="atLeast"/>
              <w:rPr>
                <w:rFonts w:ascii="Times New Roman" w:hAnsi="Times New Roman" w:cs="Times New Roman"/>
                <w:lang w:val="ru-RU"/>
              </w:rPr>
            </w:pPr>
            <m:oMath>
              <m:r>
                <w:rPr>
                  <w:rFonts w:ascii="Cambria Math" w:hAnsi="Cambria Math" w:cs="Times New Roman"/>
                  <w:lang w:val="ru-RU"/>
                </w:rPr>
                <m:t xml:space="preserve">0,05 </m:t>
              </m:r>
              <m:r>
                <w:rPr>
                  <w:rFonts w:ascii="Cambria Math" w:hAnsi="Cambria Math" w:cs="Times New Roman"/>
                </w:rPr>
                <m:t>m</m:t>
              </m:r>
              <m:r>
                <w:rPr>
                  <w:rFonts w:ascii="Cambria Math" w:hAnsi="Cambria Math" w:cs="Times New Roman"/>
                  <w:lang w:val="ru-RU"/>
                </w:rPr>
                <m:t xml:space="preserve"> ∙</m:t>
              </m:r>
              <m:r>
                <w:rPr>
                  <w:rFonts w:ascii="Cambria Math" w:hAnsi="Cambria Math" w:cs="Times New Roman"/>
                </w:rPr>
                <m:t>rad</m:t>
              </m:r>
            </m:oMath>
            <w:r w:rsidRPr="00F06DE2">
              <w:rPr>
                <w:rFonts w:ascii="Times New Roman" w:hAnsi="Times New Roman" w:cs="Times New Roman"/>
                <w:lang w:val="ru-RU"/>
              </w:rPr>
              <w:t xml:space="preserve"> до по-малкия от ъглите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max</m:t>
                  </m:r>
                </m:sub>
              </m:sSub>
            </m:oMath>
            <w:r w:rsidRPr="00F06DE2">
              <w:rPr>
                <w:rFonts w:ascii="Times New Roman" w:hAnsi="Times New Roman" w:cs="Times New Roman"/>
                <w:lang w:val="ru-RU"/>
              </w:rPr>
              <w:t xml:space="preserve"> или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oMath>
          </w:p>
        </w:tc>
      </w:tr>
      <w:tr w:rsidR="00271FA2" w:rsidRPr="00F06DE2" w14:paraId="0EC1081B" w14:textId="77777777" w:rsidTr="0074063A">
        <w:tc>
          <w:tcPr>
            <w:tcW w:w="990" w:type="dxa"/>
            <w:tcBorders>
              <w:top w:val="single" w:sz="2" w:space="0" w:color="auto"/>
              <w:left w:val="single" w:sz="2" w:space="0" w:color="auto"/>
              <w:bottom w:val="single" w:sz="2" w:space="0" w:color="auto"/>
              <w:right w:val="single" w:sz="2" w:space="0" w:color="auto"/>
            </w:tcBorders>
            <w:vAlign w:val="center"/>
          </w:tcPr>
          <w:p w14:paraId="25AC30B4" w14:textId="77777777" w:rsidR="00271FA2" w:rsidRPr="00F06DE2" w:rsidRDefault="00D35E51" w:rsidP="00FE0C02">
            <w:pPr>
              <w:spacing w:line="240" w:lineRule="atLeast"/>
              <w:jc w:val="center"/>
              <w:rPr>
                <w:rFonts w:ascii="Times New Roman" w:hAnsi="Times New Roman" w:cs="Times New Roman"/>
              </w:rPr>
            </w:pPr>
            <w:r w:rsidRPr="00F06DE2">
              <w:rPr>
                <w:rFonts w:ascii="Times New Roman" w:hAnsi="Times New Roman" w:cs="Times New Roman"/>
              </w:rPr>
              <w:t>2</w:t>
            </w:r>
          </w:p>
        </w:tc>
        <w:tc>
          <w:tcPr>
            <w:tcW w:w="2410" w:type="dxa"/>
            <w:tcBorders>
              <w:top w:val="single" w:sz="2" w:space="0" w:color="auto"/>
              <w:left w:val="single" w:sz="2" w:space="0" w:color="auto"/>
              <w:bottom w:val="single" w:sz="2" w:space="0" w:color="auto"/>
              <w:right w:val="single" w:sz="2" w:space="0" w:color="auto"/>
            </w:tcBorders>
            <w:vAlign w:val="center"/>
          </w:tcPr>
          <w:p w14:paraId="59D5215C" w14:textId="77777777" w:rsidR="00271FA2" w:rsidRPr="00F06DE2" w:rsidRDefault="002C62EC">
            <w:pPr>
              <w:spacing w:line="240" w:lineRule="atLeast"/>
              <w:rPr>
                <w:rFonts w:ascii="Times New Roman"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15° &lt;φ</m:t>
                    </m:r>
                  </m:e>
                  <m:sub>
                    <m:r>
                      <w:rPr>
                        <w:rFonts w:ascii="Cambria Math" w:eastAsia="Calibri" w:hAnsi="Cambria Math" w:cs="Times New Roman"/>
                      </w:rPr>
                      <m:t>max</m:t>
                    </m:r>
                  </m:sub>
                </m:sSub>
                <m:r>
                  <w:rPr>
                    <w:rFonts w:ascii="Cambria Math" w:eastAsia="Calibri" w:hAnsi="Cambria Math" w:cs="Times New Roman"/>
                  </w:rPr>
                  <m:t>&lt; 30°</m:t>
                </m:r>
              </m:oMath>
            </m:oMathPara>
          </w:p>
        </w:tc>
        <w:tc>
          <w:tcPr>
            <w:tcW w:w="1196" w:type="dxa"/>
            <w:tcBorders>
              <w:top w:val="single" w:sz="2" w:space="0" w:color="auto"/>
              <w:left w:val="single" w:sz="2" w:space="0" w:color="auto"/>
              <w:bottom w:val="single" w:sz="2" w:space="0" w:color="auto"/>
              <w:right w:val="single" w:sz="2" w:space="0" w:color="auto"/>
            </w:tcBorders>
            <w:vAlign w:val="center"/>
          </w:tcPr>
          <w:p w14:paraId="606DBA8F" w14:textId="77777777" w:rsidR="00271FA2" w:rsidRPr="00F06DE2" w:rsidRDefault="002C62EC">
            <w:pPr>
              <w:spacing w:line="240" w:lineRule="atLeast"/>
              <w:rPr>
                <w:rFonts w:ascii="Times New Roman"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max</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oMath>
            </m:oMathPara>
          </w:p>
        </w:tc>
        <w:tc>
          <w:tcPr>
            <w:tcW w:w="4736" w:type="dxa"/>
            <w:tcBorders>
              <w:top w:val="single" w:sz="2" w:space="0" w:color="auto"/>
              <w:left w:val="single" w:sz="2" w:space="0" w:color="auto"/>
              <w:bottom w:val="single" w:sz="2" w:space="0" w:color="auto"/>
              <w:right w:val="single" w:sz="2" w:space="0" w:color="auto"/>
            </w:tcBorders>
            <w:vAlign w:val="center"/>
          </w:tcPr>
          <w:p w14:paraId="6C9AEE9E" w14:textId="77777777" w:rsidR="00271FA2" w:rsidRPr="00F06DE2" w:rsidRDefault="00D35E51">
            <w:pPr>
              <w:spacing w:line="240" w:lineRule="atLeast"/>
              <w:rPr>
                <w:rFonts w:ascii="Times New Roman" w:hAnsi="Times New Roman" w:cs="Times New Roman"/>
                <w:lang w:val="ru-RU"/>
              </w:rPr>
            </w:pPr>
            <m:oMath>
              <m:r>
                <w:rPr>
                  <w:rFonts w:ascii="Cambria Math" w:hAnsi="Cambria Math" w:cs="Times New Roman"/>
                  <w:lang w:val="ru-RU"/>
                </w:rPr>
                <m:t xml:space="preserve">0,035+0,001 ∙(30- </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max</m:t>
                  </m:r>
                </m:sub>
              </m:sSub>
              <m:r>
                <w:rPr>
                  <w:rFonts w:ascii="Cambria Math" w:hAnsi="Cambria Math" w:cs="Times New Roman"/>
                  <w:lang w:val="ru-RU"/>
                </w:rPr>
                <m:t xml:space="preserve">) </m:t>
              </m:r>
              <m:r>
                <w:rPr>
                  <w:rFonts w:ascii="Cambria Math" w:hAnsi="Cambria Math" w:cs="Times New Roman"/>
                </w:rPr>
                <m:t>m</m:t>
              </m:r>
              <m:r>
                <w:rPr>
                  <w:rFonts w:ascii="Cambria Math" w:hAnsi="Cambria Math" w:cs="Times New Roman"/>
                  <w:lang w:val="ru-RU"/>
                </w:rPr>
                <m:t xml:space="preserve"> ∙</m:t>
              </m:r>
              <m:r>
                <w:rPr>
                  <w:rFonts w:ascii="Cambria Math" w:hAnsi="Cambria Math" w:cs="Times New Roman"/>
                </w:rPr>
                <m:t>rad</m:t>
              </m:r>
            </m:oMath>
            <w:r w:rsidRPr="00F06DE2">
              <w:rPr>
                <w:rFonts w:ascii="Times New Roman" w:hAnsi="Times New Roman" w:cs="Times New Roman"/>
                <w:lang w:val="ru-RU"/>
              </w:rPr>
              <w:t xml:space="preserve"> до ъгъла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max</m:t>
                  </m:r>
                </m:sub>
              </m:sSub>
            </m:oMath>
          </w:p>
        </w:tc>
      </w:tr>
      <w:tr w:rsidR="00271FA2" w:rsidRPr="00F06DE2" w14:paraId="5E63F7C8" w14:textId="77777777" w:rsidTr="0074063A">
        <w:tc>
          <w:tcPr>
            <w:tcW w:w="990" w:type="dxa"/>
            <w:tcBorders>
              <w:top w:val="single" w:sz="2" w:space="0" w:color="auto"/>
              <w:left w:val="single" w:sz="2" w:space="0" w:color="auto"/>
              <w:bottom w:val="single" w:sz="2" w:space="0" w:color="auto"/>
              <w:right w:val="single" w:sz="2" w:space="0" w:color="auto"/>
            </w:tcBorders>
            <w:vAlign w:val="center"/>
          </w:tcPr>
          <w:p w14:paraId="1E60AC15" w14:textId="77777777" w:rsidR="00271FA2" w:rsidRPr="00F06DE2" w:rsidRDefault="00D35E51" w:rsidP="00FE0C02">
            <w:pPr>
              <w:spacing w:line="240" w:lineRule="atLeast"/>
              <w:jc w:val="center"/>
              <w:rPr>
                <w:rFonts w:ascii="Times New Roman" w:hAnsi="Times New Roman" w:cs="Times New Roman"/>
              </w:rPr>
            </w:pPr>
            <w:r w:rsidRPr="00F06DE2">
              <w:rPr>
                <w:rFonts w:ascii="Times New Roman" w:hAnsi="Times New Roman" w:cs="Times New Roman"/>
              </w:rPr>
              <w:t>3</w:t>
            </w:r>
          </w:p>
        </w:tc>
        <w:tc>
          <w:tcPr>
            <w:tcW w:w="2410" w:type="dxa"/>
            <w:tcBorders>
              <w:top w:val="single" w:sz="2" w:space="0" w:color="auto"/>
              <w:left w:val="single" w:sz="2" w:space="0" w:color="auto"/>
              <w:bottom w:val="single" w:sz="2" w:space="0" w:color="auto"/>
              <w:right w:val="single" w:sz="2" w:space="0" w:color="auto"/>
            </w:tcBorders>
            <w:vAlign w:val="center"/>
          </w:tcPr>
          <w:p w14:paraId="7DB664E9" w14:textId="77777777" w:rsidR="00271FA2" w:rsidRPr="00F06DE2" w:rsidRDefault="002C62EC">
            <w:pPr>
              <w:spacing w:line="240" w:lineRule="atLeast"/>
              <w:rPr>
                <w:rFonts w:ascii="Times New Roman"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15° &lt;φ</m:t>
                    </m:r>
                  </m:e>
                  <m:sub>
                    <m:r>
                      <w:rPr>
                        <w:rFonts w:ascii="Cambria Math" w:eastAsia="Calibri" w:hAnsi="Cambria Math" w:cs="Times New Roman"/>
                      </w:rPr>
                      <m:t>f</m:t>
                    </m:r>
                  </m:sub>
                </m:sSub>
                <m:r>
                  <w:rPr>
                    <w:rFonts w:ascii="Cambria Math" w:eastAsia="Calibri" w:hAnsi="Cambria Math" w:cs="Times New Roman"/>
                  </w:rPr>
                  <m:t>&lt; 30°</m:t>
                </m:r>
              </m:oMath>
            </m:oMathPara>
          </w:p>
        </w:tc>
        <w:tc>
          <w:tcPr>
            <w:tcW w:w="1196" w:type="dxa"/>
            <w:tcBorders>
              <w:top w:val="single" w:sz="2" w:space="0" w:color="auto"/>
              <w:left w:val="single" w:sz="2" w:space="0" w:color="auto"/>
              <w:bottom w:val="single" w:sz="2" w:space="0" w:color="auto"/>
              <w:right w:val="single" w:sz="2" w:space="0" w:color="auto"/>
            </w:tcBorders>
            <w:vAlign w:val="center"/>
          </w:tcPr>
          <w:p w14:paraId="594A4331" w14:textId="77777777" w:rsidR="00271FA2" w:rsidRPr="00F06DE2" w:rsidRDefault="002C62EC">
            <w:pPr>
              <w:spacing w:line="240" w:lineRule="atLeast"/>
              <w:rPr>
                <w:rFonts w:ascii="Times New Roman"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max</m:t>
                    </m:r>
                  </m:sub>
                </m:sSub>
                <m:r>
                  <w:rPr>
                    <w:rFonts w:ascii="Cambria Math" w:eastAsia="Calibri" w:hAnsi="Cambria Math" w:cs="Times New Roman"/>
                  </w:rPr>
                  <m:t>&gt;</m:t>
                </m:r>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oMath>
            </m:oMathPara>
          </w:p>
        </w:tc>
        <w:tc>
          <w:tcPr>
            <w:tcW w:w="4736" w:type="dxa"/>
            <w:tcBorders>
              <w:top w:val="single" w:sz="2" w:space="0" w:color="auto"/>
              <w:left w:val="single" w:sz="2" w:space="0" w:color="auto"/>
              <w:bottom w:val="single" w:sz="2" w:space="0" w:color="auto"/>
              <w:right w:val="single" w:sz="2" w:space="0" w:color="auto"/>
            </w:tcBorders>
            <w:vAlign w:val="center"/>
          </w:tcPr>
          <w:p w14:paraId="11009515" w14:textId="77777777" w:rsidR="00271FA2" w:rsidRPr="00F06DE2" w:rsidRDefault="00D35E51">
            <w:pPr>
              <w:spacing w:line="240" w:lineRule="atLeast"/>
              <w:rPr>
                <w:rFonts w:ascii="Times New Roman" w:hAnsi="Times New Roman" w:cs="Times New Roman"/>
                <w:lang w:val="ru-RU"/>
              </w:rPr>
            </w:pPr>
            <m:oMath>
              <m:r>
                <w:rPr>
                  <w:rFonts w:ascii="Cambria Math" w:hAnsi="Cambria Math" w:cs="Times New Roman"/>
                  <w:lang w:val="ru-RU"/>
                </w:rPr>
                <m:t xml:space="preserve">0,035+0,001 ∙(30- </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f</m:t>
                  </m:r>
                </m:sub>
              </m:sSub>
              <m:r>
                <w:rPr>
                  <w:rFonts w:ascii="Cambria Math" w:hAnsi="Cambria Math" w:cs="Times New Roman"/>
                  <w:lang w:val="ru-RU"/>
                </w:rPr>
                <m:t xml:space="preserve">) </m:t>
              </m:r>
              <m:r>
                <w:rPr>
                  <w:rFonts w:ascii="Cambria Math" w:hAnsi="Cambria Math" w:cs="Times New Roman"/>
                </w:rPr>
                <m:t>m</m:t>
              </m:r>
              <m:r>
                <w:rPr>
                  <w:rFonts w:ascii="Cambria Math" w:hAnsi="Cambria Math" w:cs="Times New Roman"/>
                  <w:lang w:val="ru-RU"/>
                </w:rPr>
                <m:t xml:space="preserve"> ∙</m:t>
              </m:r>
              <m:r>
                <w:rPr>
                  <w:rFonts w:ascii="Cambria Math" w:hAnsi="Cambria Math" w:cs="Times New Roman"/>
                </w:rPr>
                <m:t>rad</m:t>
              </m:r>
            </m:oMath>
            <w:r w:rsidRPr="00F06DE2">
              <w:rPr>
                <w:rFonts w:ascii="Times New Roman" w:hAnsi="Times New Roman" w:cs="Times New Roman"/>
                <w:lang w:val="ru-RU"/>
              </w:rPr>
              <w:t xml:space="preserve"> до ъгъла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oMath>
          </w:p>
        </w:tc>
      </w:tr>
      <w:tr w:rsidR="00271FA2" w:rsidRPr="00F06DE2" w14:paraId="408E39E7" w14:textId="77777777" w:rsidTr="0074063A">
        <w:tc>
          <w:tcPr>
            <w:tcW w:w="990" w:type="dxa"/>
            <w:tcBorders>
              <w:top w:val="single" w:sz="2" w:space="0" w:color="auto"/>
              <w:left w:val="single" w:sz="2" w:space="0" w:color="auto"/>
              <w:bottom w:val="single" w:sz="2" w:space="0" w:color="auto"/>
              <w:right w:val="single" w:sz="2" w:space="0" w:color="auto"/>
            </w:tcBorders>
            <w:vAlign w:val="center"/>
          </w:tcPr>
          <w:p w14:paraId="3C25937D" w14:textId="77777777" w:rsidR="00271FA2" w:rsidRPr="00F06DE2" w:rsidRDefault="00D35E51" w:rsidP="00FE0C02">
            <w:pPr>
              <w:spacing w:line="240" w:lineRule="atLeast"/>
              <w:jc w:val="center"/>
              <w:rPr>
                <w:rFonts w:ascii="Times New Roman" w:hAnsi="Times New Roman" w:cs="Times New Roman"/>
              </w:rPr>
            </w:pPr>
            <w:r w:rsidRPr="00F06DE2">
              <w:rPr>
                <w:rFonts w:ascii="Times New Roman" w:hAnsi="Times New Roman" w:cs="Times New Roman"/>
              </w:rPr>
              <w:t>4</w:t>
            </w:r>
          </w:p>
        </w:tc>
        <w:tc>
          <w:tcPr>
            <w:tcW w:w="2410" w:type="dxa"/>
            <w:tcBorders>
              <w:top w:val="single" w:sz="2" w:space="0" w:color="auto"/>
              <w:left w:val="single" w:sz="2" w:space="0" w:color="auto"/>
              <w:bottom w:val="single" w:sz="2" w:space="0" w:color="auto"/>
              <w:right w:val="single" w:sz="2" w:space="0" w:color="auto"/>
            </w:tcBorders>
            <w:vAlign w:val="center"/>
          </w:tcPr>
          <w:p w14:paraId="08980877" w14:textId="77777777" w:rsidR="00271FA2" w:rsidRPr="00F06DE2" w:rsidRDefault="002C62EC">
            <w:pPr>
              <w:spacing w:line="240" w:lineRule="atLeast"/>
              <w:rPr>
                <w:rFonts w:ascii="Times New Roman"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max</m:t>
                  </m:r>
                </m:sub>
              </m:sSub>
              <m:r>
                <w:rPr>
                  <w:rFonts w:ascii="Cambria Math" w:eastAsia="Calibri" w:hAnsi="Cambria Math" w:cs="Times New Roman"/>
                </w:rPr>
                <m:t xml:space="preserve"> ≥30°</m:t>
              </m:r>
            </m:oMath>
            <w:r w:rsidR="00D35E51" w:rsidRPr="00F06DE2">
              <w:rPr>
                <w:rFonts w:ascii="Times New Roman" w:hAnsi="Times New Roman" w:cs="Times New Roman"/>
              </w:rPr>
              <w:t xml:space="preserve"> и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f</m:t>
                  </m:r>
                </m:sub>
              </m:sSub>
              <m:r>
                <w:rPr>
                  <w:rFonts w:ascii="Cambria Math" w:eastAsia="Calibri" w:hAnsi="Cambria Math" w:cs="Times New Roman"/>
                </w:rPr>
                <m:t xml:space="preserve"> ≥30°</m:t>
              </m:r>
            </m:oMath>
          </w:p>
        </w:tc>
        <w:tc>
          <w:tcPr>
            <w:tcW w:w="1196" w:type="dxa"/>
            <w:tcBorders>
              <w:top w:val="single" w:sz="2" w:space="0" w:color="auto"/>
              <w:left w:val="single" w:sz="2" w:space="0" w:color="auto"/>
              <w:bottom w:val="single" w:sz="2" w:space="0" w:color="auto"/>
              <w:right w:val="single" w:sz="2" w:space="0" w:color="auto"/>
            </w:tcBorders>
            <w:vAlign w:val="center"/>
          </w:tcPr>
          <w:p w14:paraId="4B897FD7" w14:textId="77777777" w:rsidR="00271FA2" w:rsidRPr="00F06DE2" w:rsidRDefault="00271FA2">
            <w:pPr>
              <w:spacing w:line="240" w:lineRule="atLeast"/>
              <w:rPr>
                <w:rFonts w:ascii="Times New Roman" w:hAnsi="Times New Roman" w:cs="Times New Roman"/>
              </w:rPr>
            </w:pPr>
          </w:p>
        </w:tc>
        <w:tc>
          <w:tcPr>
            <w:tcW w:w="4736" w:type="dxa"/>
            <w:tcBorders>
              <w:top w:val="single" w:sz="2" w:space="0" w:color="auto"/>
              <w:left w:val="single" w:sz="2" w:space="0" w:color="auto"/>
              <w:bottom w:val="single" w:sz="2" w:space="0" w:color="auto"/>
              <w:right w:val="single" w:sz="2" w:space="0" w:color="auto"/>
            </w:tcBorders>
            <w:vAlign w:val="center"/>
          </w:tcPr>
          <w:p w14:paraId="74FA474D" w14:textId="77777777" w:rsidR="00271FA2" w:rsidRPr="00F06DE2" w:rsidRDefault="00D35E51">
            <w:pPr>
              <w:spacing w:line="240" w:lineRule="atLeast"/>
              <w:rPr>
                <w:rFonts w:ascii="Times New Roman" w:hAnsi="Times New Roman" w:cs="Times New Roman"/>
                <w:lang w:val="ru-RU"/>
              </w:rPr>
            </w:pPr>
            <m:oMath>
              <m:r>
                <w:rPr>
                  <w:rFonts w:ascii="Cambria Math" w:hAnsi="Cambria Math" w:cs="Times New Roman"/>
                  <w:lang w:val="ru-RU"/>
                </w:rPr>
                <m:t xml:space="preserve">0,035 </m:t>
              </m:r>
              <m:r>
                <w:rPr>
                  <w:rFonts w:ascii="Cambria Math" w:hAnsi="Cambria Math" w:cs="Times New Roman"/>
                </w:rPr>
                <m:t>m</m:t>
              </m:r>
              <m:r>
                <w:rPr>
                  <w:rFonts w:ascii="Cambria Math" w:hAnsi="Cambria Math" w:cs="Times New Roman"/>
                  <w:lang w:val="ru-RU"/>
                </w:rPr>
                <m:t xml:space="preserve"> ∙</m:t>
              </m:r>
              <m:r>
                <w:rPr>
                  <w:rFonts w:ascii="Cambria Math" w:hAnsi="Cambria Math" w:cs="Times New Roman"/>
                </w:rPr>
                <m:t>rad</m:t>
              </m:r>
            </m:oMath>
            <w:r w:rsidRPr="00F06DE2">
              <w:rPr>
                <w:rFonts w:ascii="Times New Roman" w:hAnsi="Times New Roman" w:cs="Times New Roman"/>
                <w:lang w:val="ru-RU"/>
              </w:rPr>
              <w:t xml:space="preserve"> до ъгъла </w:t>
            </w:r>
            <m:oMath>
              <m:r>
                <w:rPr>
                  <w:rFonts w:ascii="Cambria Math" w:hAnsi="Cambria Math" w:cs="Times New Roman"/>
                </w:rPr>
                <m:t>φ</m:t>
              </m:r>
              <m:r>
                <w:rPr>
                  <w:rFonts w:ascii="Cambria Math" w:eastAsia="Calibri" w:hAnsi="Cambria Math" w:cs="Times New Roman"/>
                  <w:lang w:val="ru-RU"/>
                </w:rPr>
                <m:t>=30°</m:t>
              </m:r>
            </m:oMath>
          </w:p>
        </w:tc>
      </w:tr>
    </w:tbl>
    <w:p w14:paraId="2B50202C"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Където:</w:t>
      </w:r>
    </w:p>
    <w:p w14:paraId="3BEEF5E0" w14:textId="77777777" w:rsidR="00271FA2" w:rsidRPr="00F06DE2" w:rsidRDefault="002C62EC">
      <w:pPr>
        <w:pStyle w:val="EStiret"/>
        <w:spacing w:before="0"/>
        <w:ind w:left="1276" w:hanging="709"/>
        <w:jc w:val="both"/>
        <w:rPr>
          <w:rFonts w:ascii="Times New Roman" w:eastAsia="Calibri" w:hAnsi="Times New Roman" w:cs="Times New Roman"/>
          <w:lang w:val="ru-RU"/>
        </w:rPr>
      </w:pPr>
      <m:oMath>
        <m:sSub>
          <m:sSubPr>
            <m:ctrlPr>
              <w:rPr>
                <w:rFonts w:ascii="Cambria Math" w:eastAsia="Calibri" w:hAnsi="Cambria Math" w:cs="Times New Roman"/>
                <w:i/>
                <w:snapToGrid/>
                <w:color w:val="auto"/>
              </w:rPr>
            </m:ctrlPr>
          </m:sSubPr>
          <m:e>
            <m:r>
              <w:rPr>
                <w:rFonts w:ascii="Cambria Math" w:eastAsia="Calibri" w:hAnsi="Cambria Math" w:cs="Times New Roman"/>
                <w:lang w:val="ru-RU"/>
              </w:rPr>
              <m:t>h</m:t>
            </m:r>
          </m:e>
          <m:sub>
            <m:r>
              <w:rPr>
                <w:rFonts w:ascii="Cambria Math" w:eastAsia="Calibri" w:hAnsi="Cambria Math" w:cs="Times New Roman"/>
              </w:rPr>
              <m:t>max</m:t>
            </m:r>
          </m:sub>
        </m:sSub>
      </m:oMath>
      <w:r w:rsidR="00D35E51" w:rsidRPr="00F06DE2">
        <w:rPr>
          <w:rFonts w:ascii="Times New Roman" w:hAnsi="Times New Roman" w:cs="Times New Roman"/>
          <w:lang w:val="ru-RU"/>
        </w:rPr>
        <w:tab/>
        <w:t>е максималното рамо на изправящия момент;</w:t>
      </w:r>
    </w:p>
    <w:p w14:paraId="595B6D90" w14:textId="77777777" w:rsidR="00271FA2" w:rsidRPr="00F06DE2" w:rsidRDefault="00D35E51">
      <w:pPr>
        <w:pStyle w:val="EStiret"/>
        <w:spacing w:before="0"/>
        <w:ind w:left="1276" w:hanging="709"/>
        <w:jc w:val="both"/>
        <w:rPr>
          <w:rFonts w:ascii="Times New Roman" w:eastAsia="Calibri" w:hAnsi="Times New Roman" w:cs="Times New Roman"/>
          <w:vertAlign w:val="superscript"/>
          <w:lang w:val="ru-RU"/>
        </w:rPr>
      </w:pPr>
      <m:oMath>
        <m:r>
          <w:rPr>
            <w:rFonts w:ascii="Cambria Math" w:eastAsia="Calibri" w:hAnsi="Cambria Math" w:cs="Times New Roman"/>
          </w:rPr>
          <m:t>φ</m:t>
        </m:r>
      </m:oMath>
      <w:r w:rsidRPr="00F06DE2">
        <w:rPr>
          <w:rFonts w:ascii="Times New Roman" w:hAnsi="Times New Roman" w:cs="Times New Roman"/>
          <w:lang w:val="ru-RU"/>
        </w:rPr>
        <w:tab/>
        <w:t>ъгълът на крен;</w:t>
      </w:r>
    </w:p>
    <w:p w14:paraId="23870954" w14:textId="77777777" w:rsidR="00271FA2" w:rsidRPr="00F06DE2" w:rsidRDefault="002C62EC">
      <w:pPr>
        <w:pStyle w:val="EStiret"/>
        <w:spacing w:before="0"/>
        <w:ind w:left="1276" w:hanging="709"/>
        <w:jc w:val="both"/>
        <w:rPr>
          <w:rFonts w:ascii="Times New Roman" w:eastAsia="Calibri" w:hAnsi="Times New Roman" w:cs="Times New Roman"/>
          <w:vertAlign w:val="superscript"/>
          <w:lang w:val="ru-RU"/>
        </w:rPr>
      </w:pPr>
      <m:oMath>
        <m:sSub>
          <m:sSubPr>
            <m:ctrlPr>
              <w:rPr>
                <w:rFonts w:ascii="Cambria Math" w:eastAsia="Calibri" w:hAnsi="Cambria Math" w:cs="Times New Roman"/>
                <w:i/>
                <w:snapToGrid/>
                <w:color w:val="auto"/>
              </w:rPr>
            </m:ctrlPr>
          </m:sSubPr>
          <m:e>
            <m:r>
              <w:rPr>
                <w:rFonts w:ascii="Cambria Math" w:eastAsia="Calibri" w:hAnsi="Cambria Math" w:cs="Times New Roman"/>
              </w:rPr>
              <m:t>φ</m:t>
            </m:r>
          </m:e>
          <m:sub>
            <m:r>
              <w:rPr>
                <w:rFonts w:ascii="Cambria Math" w:eastAsia="Calibri" w:hAnsi="Cambria Math" w:cs="Times New Roman"/>
              </w:rPr>
              <m:t>f</m:t>
            </m:r>
          </m:sub>
        </m:sSub>
      </m:oMath>
      <w:r w:rsidR="00D35E51" w:rsidRPr="00F06DE2">
        <w:rPr>
          <w:rFonts w:ascii="Times New Roman" w:hAnsi="Times New Roman" w:cs="Times New Roman"/>
          <w:lang w:val="ru-RU"/>
        </w:rPr>
        <w:tab/>
        <w:t>ъгълът на заливане, т.е. ъгълът на крен, при който отворите в корпуса, надстройката или рубките, които не могат да се затворят, така че да не пропускат вода, се потапят във водата;</w:t>
      </w:r>
    </w:p>
    <w:p w14:paraId="0E7D9118" w14:textId="77777777" w:rsidR="00271FA2" w:rsidRPr="00F06DE2" w:rsidRDefault="002C62EC">
      <w:pPr>
        <w:pStyle w:val="EStiret"/>
        <w:spacing w:before="0"/>
        <w:ind w:left="1276" w:hanging="709"/>
        <w:jc w:val="both"/>
        <w:rPr>
          <w:rFonts w:ascii="Times New Roman" w:eastAsia="Calibri" w:hAnsi="Times New Roman" w:cs="Times New Roman"/>
          <w:vertAlign w:val="superscript"/>
          <w:lang w:val="ru-RU"/>
        </w:rPr>
      </w:pPr>
      <m:oMath>
        <m:sSub>
          <m:sSubPr>
            <m:ctrlPr>
              <w:rPr>
                <w:rFonts w:ascii="Cambria Math" w:eastAsia="Calibri" w:hAnsi="Cambria Math" w:cs="Times New Roman"/>
                <w:i/>
                <w:snapToGrid/>
                <w:color w:val="auto"/>
              </w:rPr>
            </m:ctrlPr>
          </m:sSubPr>
          <m:e>
            <m:r>
              <w:rPr>
                <w:rFonts w:ascii="Cambria Math" w:eastAsia="Calibri" w:hAnsi="Cambria Math" w:cs="Times New Roman"/>
              </w:rPr>
              <m:t>φ</m:t>
            </m:r>
          </m:e>
          <m:sub>
            <m:r>
              <w:rPr>
                <w:rFonts w:ascii="Cambria Math" w:eastAsia="Calibri" w:hAnsi="Cambria Math" w:cs="Times New Roman"/>
              </w:rPr>
              <m:t>mom</m:t>
            </m:r>
          </m:sub>
        </m:sSub>
      </m:oMath>
      <w:r w:rsidR="00D35E51" w:rsidRPr="00F06DE2">
        <w:rPr>
          <w:rFonts w:ascii="Times New Roman" w:hAnsi="Times New Roman" w:cs="Times New Roman"/>
          <w:lang w:val="ru-RU"/>
        </w:rPr>
        <w:tab/>
        <w:t>максималният ъгъл на крен съгласно буква “д”;</w:t>
      </w:r>
    </w:p>
    <w:p w14:paraId="0233F454" w14:textId="77777777" w:rsidR="00271FA2" w:rsidRPr="00F06DE2" w:rsidRDefault="002C62EC">
      <w:pPr>
        <w:pStyle w:val="EStiret"/>
        <w:spacing w:before="0"/>
        <w:ind w:left="1276" w:hanging="709"/>
        <w:jc w:val="both"/>
        <w:rPr>
          <w:rFonts w:ascii="Times New Roman" w:eastAsia="Calibri" w:hAnsi="Times New Roman" w:cs="Times New Roman"/>
          <w:vertAlign w:val="superscript"/>
          <w:lang w:val="ru-RU"/>
        </w:rPr>
      </w:pPr>
      <m:oMath>
        <m:sSub>
          <m:sSubPr>
            <m:ctrlPr>
              <w:rPr>
                <w:rFonts w:ascii="Cambria Math" w:eastAsia="Calibri" w:hAnsi="Cambria Math" w:cs="Times New Roman"/>
                <w:i/>
                <w:snapToGrid/>
                <w:color w:val="auto"/>
              </w:rPr>
            </m:ctrlPr>
          </m:sSubPr>
          <m:e>
            <m:r>
              <w:rPr>
                <w:rFonts w:ascii="Cambria Math" w:eastAsia="Calibri" w:hAnsi="Cambria Math" w:cs="Times New Roman"/>
              </w:rPr>
              <m:t>φ</m:t>
            </m:r>
          </m:e>
          <m:sub>
            <m:r>
              <w:rPr>
                <w:rFonts w:ascii="Cambria Math" w:eastAsia="Calibri" w:hAnsi="Cambria Math" w:cs="Times New Roman"/>
              </w:rPr>
              <m:t>max</m:t>
            </m:r>
          </m:sub>
        </m:sSub>
      </m:oMath>
      <w:r w:rsidR="00D35E51" w:rsidRPr="00F06DE2">
        <w:rPr>
          <w:rFonts w:ascii="Times New Roman" w:hAnsi="Times New Roman" w:cs="Times New Roman"/>
          <w:lang w:val="ru-RU"/>
        </w:rPr>
        <w:tab/>
        <w:t>ъгълът на крен, при който се наблюдава максималното рамо на изправящия момент;</w:t>
      </w:r>
    </w:p>
    <w:p w14:paraId="1E30ED3F" w14:textId="77777777" w:rsidR="00271FA2" w:rsidRPr="00F06DE2" w:rsidRDefault="00D35E51">
      <w:pPr>
        <w:pStyle w:val="EStiret"/>
        <w:spacing w:before="0"/>
        <w:ind w:left="1276" w:hanging="709"/>
        <w:jc w:val="both"/>
        <w:rPr>
          <w:rFonts w:ascii="Times New Roman" w:eastAsia="Calibri" w:hAnsi="Times New Roman" w:cs="Times New Roman"/>
          <w:vertAlign w:val="superscript"/>
          <w:lang w:val="ru-RU"/>
        </w:rPr>
      </w:pPr>
      <m:oMath>
        <m:r>
          <w:rPr>
            <w:rFonts w:ascii="Cambria Math" w:eastAsia="Calibri" w:hAnsi="Cambria Math" w:cs="Times New Roman"/>
          </w:rPr>
          <m:t>A</m:t>
        </m:r>
      </m:oMath>
      <w:r w:rsidRPr="00F06DE2">
        <w:rPr>
          <w:rFonts w:ascii="Times New Roman" w:hAnsi="Times New Roman" w:cs="Times New Roman"/>
          <w:lang w:val="ru-RU"/>
        </w:rPr>
        <w:tab/>
        <w:t>площта под кривата на рамената на изправящия момент;</w:t>
      </w:r>
    </w:p>
    <w:p w14:paraId="560A3C3D"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 xml:space="preserve">г) първоначалната метацентрична височина, </w:t>
      </w:r>
      <m:oMath>
        <m:sSub>
          <m:sSubPr>
            <m:ctrlPr>
              <w:rPr>
                <w:rFonts w:ascii="Cambria Math" w:eastAsia="Calibri" w:hAnsi="Cambria Math" w:cs="Times New Roman"/>
                <w:i/>
              </w:rPr>
            </m:ctrlPr>
          </m:sSubPr>
          <m:e>
            <m:r>
              <w:rPr>
                <w:rFonts w:ascii="Cambria Math" w:eastAsia="Calibri" w:hAnsi="Cambria Math" w:cs="Times New Roman"/>
              </w:rPr>
              <m:t>GM</m:t>
            </m:r>
          </m:e>
          <m:sub>
            <m:r>
              <w:rPr>
                <w:rFonts w:ascii="Cambria Math" w:eastAsia="Calibri" w:hAnsi="Cambria Math" w:cs="Times New Roman"/>
              </w:rPr>
              <m:t>o</m:t>
            </m:r>
          </m:sub>
        </m:sSub>
      </m:oMath>
      <w:r w:rsidRPr="00F06DE2">
        <w:rPr>
          <w:rFonts w:ascii="Times New Roman" w:hAnsi="Times New Roman" w:cs="Times New Roman"/>
          <w:lang w:val="ru-RU"/>
        </w:rPr>
        <w:t>, коригирана с ефекта на откритите повърхности в резервоарите за течности, е не по-малка от 0,15</w:t>
      </w:r>
      <w:r w:rsidRPr="00F06DE2">
        <w:rPr>
          <w:rFonts w:ascii="Times New Roman" w:hAnsi="Times New Roman" w:cs="Times New Roman"/>
        </w:rPr>
        <w:t> m</w:t>
      </w:r>
      <w:r w:rsidRPr="00F06DE2">
        <w:rPr>
          <w:rFonts w:ascii="Times New Roman" w:hAnsi="Times New Roman" w:cs="Times New Roman"/>
          <w:lang w:val="ru-RU"/>
        </w:rPr>
        <w:t>;</w:t>
      </w:r>
    </w:p>
    <w:p w14:paraId="61B5E366" w14:textId="77777777" w:rsidR="00271FA2" w:rsidRPr="00F06DE2" w:rsidRDefault="00D35E51">
      <w:pPr>
        <w:pStyle w:val="ESlet"/>
        <w:spacing w:before="0"/>
        <w:ind w:hanging="425"/>
        <w:jc w:val="both"/>
        <w:rPr>
          <w:rFonts w:ascii="Times New Roman" w:eastAsia="Calibri" w:hAnsi="Times New Roman" w:cs="Times New Roman"/>
          <w:lang w:val="ru-RU"/>
        </w:rPr>
      </w:pPr>
      <w:r w:rsidRPr="00F06DE2">
        <w:rPr>
          <w:rFonts w:ascii="Times New Roman" w:hAnsi="Times New Roman" w:cs="Times New Roman"/>
          <w:lang w:val="ru-RU"/>
        </w:rPr>
        <w:t xml:space="preserve">д) във всеки от следните два случая ъгълът на крена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mom</m:t>
            </m:r>
          </m:sub>
        </m:sSub>
      </m:oMath>
      <w:r w:rsidRPr="00F06DE2">
        <w:rPr>
          <w:rFonts w:ascii="Times New Roman" w:hAnsi="Times New Roman" w:cs="Times New Roman"/>
          <w:lang w:val="ru-RU"/>
        </w:rPr>
        <w:t xml:space="preserve"> не трябва да превишава 12°:</w:t>
      </w:r>
    </w:p>
    <w:p w14:paraId="19E1A7D5" w14:textId="77777777" w:rsidR="00271FA2" w:rsidRPr="00F06DE2" w:rsidRDefault="00D35E51">
      <w:pPr>
        <w:pStyle w:val="EStiret"/>
        <w:spacing w:before="0"/>
        <w:ind w:hanging="425"/>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при прилагането на кренящ момент, дължащ се на пътниците и вятъра, съгласно точки 4 и 5;</w:t>
      </w:r>
    </w:p>
    <w:p w14:paraId="00F05FD0" w14:textId="77777777" w:rsidR="00271FA2" w:rsidRPr="00F06DE2" w:rsidRDefault="00D35E51">
      <w:pPr>
        <w:pStyle w:val="EStiret"/>
        <w:spacing w:before="0"/>
        <w:ind w:hanging="425"/>
        <w:jc w:val="both"/>
        <w:rPr>
          <w:rFonts w:ascii="Times New Roman" w:eastAsia="Calibri" w:hAnsi="Times New Roman" w:cs="Times New Roman"/>
          <w:lang w:val="ru-RU"/>
        </w:rPr>
      </w:pPr>
      <w:r w:rsidRPr="00F06DE2">
        <w:rPr>
          <w:rFonts w:ascii="Times New Roman" w:hAnsi="Times New Roman" w:cs="Times New Roman"/>
          <w:lang w:val="ru-RU"/>
        </w:rPr>
        <w:t>бб) при прилагането на кренящ момент, дължащ се на пътниците и завъртането, съгласно раздели 4 и 6.</w:t>
      </w:r>
    </w:p>
    <w:p w14:paraId="2098625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Кренящият момент, дължащ се на натрупване на хора от едната страна </w:t>
      </w:r>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p</m:t>
            </m:r>
          </m:sub>
        </m:sSub>
      </m:oMath>
      <w:r w:rsidRPr="00F06DE2">
        <w:rPr>
          <w:rFonts w:ascii="Times New Roman" w:hAnsi="Times New Roman" w:cs="Times New Roman"/>
          <w:lang w:val="ru-RU"/>
        </w:rPr>
        <w:t xml:space="preserve"> се изчислява по следната формула:</w:t>
      </w:r>
    </w:p>
    <w:p w14:paraId="11016ACB" w14:textId="77777777" w:rsidR="00271FA2" w:rsidRPr="00F06DE2" w:rsidRDefault="002C62EC">
      <w:pPr>
        <w:pStyle w:val="ESch"/>
        <w:ind w:left="0" w:firstLine="0"/>
        <w:jc w:val="both"/>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p</m:t>
              </m:r>
            </m:sub>
          </m:sSub>
          <m:r>
            <w:rPr>
              <w:rFonts w:ascii="Cambria Math" w:eastAsia="Calibri" w:hAnsi="Cambria Math" w:cs="Times New Roman"/>
            </w:rPr>
            <m:t xml:space="preserve">=g ∙P ∙y=g ∙ </m:t>
          </m:r>
          <m:nary>
            <m:naryPr>
              <m:chr m:val="∑"/>
              <m:limLoc m:val="undOvr"/>
              <m:subHide m:val="1"/>
              <m:supHide m:val="1"/>
              <m:ctrlPr>
                <w:rPr>
                  <w:rFonts w:ascii="Cambria Math" w:eastAsia="Calibri" w:hAnsi="Cambria Math" w:cs="Times New Roman"/>
                  <w:i/>
                </w:rPr>
              </m:ctrlPr>
            </m:naryPr>
            <m:sub/>
            <m:sup/>
            <m:e>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i</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i</m:t>
                  </m:r>
                </m:sub>
              </m:sSub>
              <m:r>
                <w:rPr>
                  <w:rFonts w:ascii="Cambria Math" w:eastAsia="Calibri" w:hAnsi="Cambria Math" w:cs="Times New Roman"/>
                </w:rPr>
                <m:t xml:space="preserve"> [kNm]</m:t>
              </m:r>
            </m:e>
          </m:nary>
        </m:oMath>
      </m:oMathPara>
    </w:p>
    <w:p w14:paraId="7E6A9BC9" w14:textId="77777777" w:rsidR="00271FA2" w:rsidRPr="00F06DE2" w:rsidRDefault="00D35E51">
      <w:pPr>
        <w:pStyle w:val="ESlet"/>
        <w:spacing w:before="0"/>
        <w:jc w:val="both"/>
        <w:rPr>
          <w:rFonts w:ascii="Times New Roman" w:eastAsia="Calibri" w:hAnsi="Times New Roman" w:cs="Times New Roman"/>
          <w:lang w:val="ru-RU"/>
        </w:rPr>
      </w:pPr>
      <m:oMath>
        <m:r>
          <w:rPr>
            <w:rFonts w:ascii="Cambria Math" w:eastAsia="Calibri" w:hAnsi="Cambria Math" w:cs="Times New Roman"/>
          </w:rPr>
          <m:t>P</m:t>
        </m:r>
      </m:oMath>
      <w:r w:rsidRPr="00F06DE2">
        <w:rPr>
          <w:rFonts w:ascii="Times New Roman" w:hAnsi="Times New Roman" w:cs="Times New Roman"/>
          <w:lang w:val="ru-RU"/>
        </w:rPr>
        <w:t xml:space="preserve"> =</w:t>
      </w:r>
      <w:r w:rsidRPr="00F06DE2">
        <w:rPr>
          <w:rFonts w:ascii="Times New Roman" w:hAnsi="Times New Roman" w:cs="Times New Roman"/>
          <w:lang w:val="ru-RU"/>
        </w:rPr>
        <w:tab/>
        <w:t>обща маса на лицата на борда [</w:t>
      </w:r>
      <w:r w:rsidRPr="00F06DE2">
        <w:rPr>
          <w:rFonts w:ascii="Times New Roman" w:hAnsi="Times New Roman" w:cs="Times New Roman"/>
        </w:rPr>
        <w:t>t</w:t>
      </w:r>
      <w:r w:rsidRPr="00F06DE2">
        <w:rPr>
          <w:rFonts w:ascii="Times New Roman" w:hAnsi="Times New Roman" w:cs="Times New Roman"/>
          <w:lang w:val="ru-RU"/>
        </w:rPr>
        <w:t xml:space="preserve">], изчислена чрез сумиране на максимално разрешения брой пътници с максималния брой членове на обслужващия персонал и екипажа при обичайни експлоатационни условия, като се приеме средна маса на лице от 0,075 </w:t>
      </w:r>
      <w:r w:rsidRPr="00F06DE2">
        <w:rPr>
          <w:rFonts w:ascii="Times New Roman" w:hAnsi="Times New Roman" w:cs="Times New Roman"/>
        </w:rPr>
        <w:t>t</w:t>
      </w:r>
      <w:r w:rsidRPr="00F06DE2">
        <w:rPr>
          <w:rFonts w:ascii="Times New Roman" w:hAnsi="Times New Roman" w:cs="Times New Roman"/>
          <w:lang w:val="ru-RU"/>
        </w:rPr>
        <w:t>;</w:t>
      </w:r>
    </w:p>
    <w:p w14:paraId="5AE772C1" w14:textId="77777777" w:rsidR="00271FA2" w:rsidRPr="00F06DE2" w:rsidRDefault="00D35E51">
      <w:pPr>
        <w:pStyle w:val="ESlet"/>
        <w:spacing w:before="0"/>
        <w:jc w:val="both"/>
        <w:rPr>
          <w:rFonts w:ascii="Times New Roman" w:eastAsia="Calibri" w:hAnsi="Times New Roman" w:cs="Times New Roman"/>
          <w:lang w:val="ru-RU"/>
        </w:rPr>
      </w:pPr>
      <m:oMath>
        <m:r>
          <w:rPr>
            <w:rFonts w:ascii="Cambria Math" w:eastAsia="Calibri" w:hAnsi="Cambria Math" w:cs="Times New Roman"/>
          </w:rPr>
          <m:t>y</m:t>
        </m:r>
      </m:oMath>
      <w:r w:rsidRPr="00F06DE2">
        <w:rPr>
          <w:rFonts w:ascii="Times New Roman" w:hAnsi="Times New Roman" w:cs="Times New Roman"/>
          <w:lang w:val="ru-RU"/>
        </w:rPr>
        <w:t xml:space="preserve"> =</w:t>
      </w:r>
      <w:r w:rsidRPr="00F06DE2">
        <w:rPr>
          <w:rFonts w:ascii="Times New Roman" w:hAnsi="Times New Roman" w:cs="Times New Roman"/>
          <w:lang w:val="ru-RU"/>
        </w:rPr>
        <w:tab/>
        <w:t xml:space="preserve">странично разстояние от центъра на тежестта на общата маса на лица </w:t>
      </w:r>
      <m:oMath>
        <m:r>
          <w:rPr>
            <w:rFonts w:ascii="Cambria Math" w:eastAsia="Calibri" w:hAnsi="Cambria Math" w:cs="Times New Roman"/>
          </w:rPr>
          <m:t>P</m:t>
        </m:r>
      </m:oMath>
      <w:r w:rsidRPr="00F06DE2">
        <w:rPr>
          <w:rFonts w:ascii="Times New Roman" w:hAnsi="Times New Roman" w:cs="Times New Roman"/>
          <w:lang w:val="ru-RU"/>
        </w:rPr>
        <w:t xml:space="preserve"> от централната линия в [</w:t>
      </w:r>
      <w:r w:rsidRPr="00F06DE2">
        <w:rPr>
          <w:rFonts w:ascii="Times New Roman" w:hAnsi="Times New Roman" w:cs="Times New Roman"/>
        </w:rPr>
        <w:t>m</w:t>
      </w:r>
      <w:r w:rsidRPr="00F06DE2">
        <w:rPr>
          <w:rFonts w:ascii="Times New Roman" w:hAnsi="Times New Roman" w:cs="Times New Roman"/>
          <w:lang w:val="ru-RU"/>
        </w:rPr>
        <w:t>];</w:t>
      </w:r>
    </w:p>
    <w:p w14:paraId="7C2A3A97" w14:textId="77777777" w:rsidR="00271FA2" w:rsidRPr="00F06DE2" w:rsidRDefault="00D35E51">
      <w:pPr>
        <w:pStyle w:val="ESlet"/>
        <w:spacing w:before="0"/>
        <w:jc w:val="both"/>
        <w:rPr>
          <w:rFonts w:ascii="Times New Roman" w:eastAsia="Calibri" w:hAnsi="Times New Roman" w:cs="Times New Roman"/>
          <w:lang w:val="ru-RU"/>
        </w:rPr>
      </w:pPr>
      <m:oMath>
        <m:r>
          <w:rPr>
            <w:rFonts w:ascii="Cambria Math" w:eastAsia="Calibri" w:hAnsi="Cambria Math" w:cs="Times New Roman"/>
          </w:rPr>
          <m:t>g</m:t>
        </m:r>
      </m:oMath>
      <w:r w:rsidRPr="00F06DE2">
        <w:rPr>
          <w:rFonts w:ascii="Times New Roman" w:hAnsi="Times New Roman" w:cs="Times New Roman"/>
          <w:lang w:val="ru-RU"/>
        </w:rPr>
        <w:t xml:space="preserve"> =</w:t>
      </w:r>
      <w:r w:rsidRPr="00F06DE2">
        <w:rPr>
          <w:rFonts w:ascii="Times New Roman" w:hAnsi="Times New Roman" w:cs="Times New Roman"/>
          <w:lang w:val="ru-RU"/>
        </w:rPr>
        <w:tab/>
        <w:t xml:space="preserve">земното ускорение </w:t>
      </w:r>
      <m:oMath>
        <m:r>
          <w:rPr>
            <w:rFonts w:ascii="Cambria Math" w:eastAsia="Calibri" w:hAnsi="Cambria Math" w:cs="Times New Roman"/>
            <w:lang w:val="ru-RU"/>
          </w:rPr>
          <m:t>(</m:t>
        </m:r>
        <m:r>
          <w:rPr>
            <w:rFonts w:ascii="Cambria Math" w:eastAsia="Calibri" w:hAnsi="Cambria Math" w:cs="Times New Roman"/>
          </w:rPr>
          <m:t>g</m:t>
        </m:r>
        <m:r>
          <w:rPr>
            <w:rFonts w:ascii="Cambria Math" w:eastAsia="Calibri" w:hAnsi="Cambria Math" w:cs="Times New Roman"/>
            <w:lang w:val="ru-RU"/>
          </w:rPr>
          <m:t xml:space="preserve">=9,81 </m:t>
        </m:r>
        <m:r>
          <w:rPr>
            <w:rFonts w:ascii="Cambria Math" w:eastAsia="Calibri" w:hAnsi="Cambria Math" w:cs="Times New Roman"/>
          </w:rPr>
          <m:t>m</m:t>
        </m:r>
        <m:r>
          <w:rPr>
            <w:rFonts w:ascii="Cambria Math" w:eastAsia="Calibri" w:hAnsi="Cambria Math" w:cs="Times New Roman"/>
            <w:lang w:val="ru-RU"/>
          </w:rPr>
          <m:t>/</m:t>
        </m:r>
        <m:sSup>
          <m:sSupPr>
            <m:ctrlPr>
              <w:rPr>
                <w:rFonts w:ascii="Cambria Math" w:eastAsia="Calibri" w:hAnsi="Cambria Math" w:cs="Times New Roman"/>
                <w:i/>
              </w:rPr>
            </m:ctrlPr>
          </m:sSupPr>
          <m:e>
            <m:r>
              <w:rPr>
                <w:rFonts w:ascii="Cambria Math" w:eastAsia="Calibri" w:hAnsi="Cambria Math" w:cs="Times New Roman"/>
              </w:rPr>
              <m:t>s</m:t>
            </m:r>
          </m:e>
          <m:sup>
            <m:r>
              <w:rPr>
                <w:rFonts w:ascii="Cambria Math" w:eastAsia="Calibri" w:hAnsi="Cambria Math" w:cs="Times New Roman"/>
                <w:lang w:val="ru-RU"/>
              </w:rPr>
              <m:t>2</m:t>
            </m:r>
          </m:sup>
        </m:sSup>
        <m:r>
          <w:rPr>
            <w:rFonts w:ascii="Cambria Math" w:eastAsia="Calibri" w:hAnsi="Cambria Math" w:cs="Times New Roman"/>
            <w:lang w:val="ru-RU"/>
          </w:rPr>
          <m:t>)</m:t>
        </m:r>
      </m:oMath>
      <w:r w:rsidRPr="00F06DE2">
        <w:rPr>
          <w:rFonts w:ascii="Times New Roman" w:hAnsi="Times New Roman" w:cs="Times New Roman"/>
          <w:lang w:val="ru-RU"/>
        </w:rPr>
        <w:t>;</w:t>
      </w:r>
    </w:p>
    <w:p w14:paraId="7B16A2F2" w14:textId="77777777" w:rsidR="00271FA2" w:rsidRPr="00F06DE2" w:rsidRDefault="002C62EC">
      <w:pPr>
        <w:pStyle w:val="ESlet"/>
        <w:spacing w:before="0"/>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i</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 xml:space="preserve">масата на лицата, събрани на площ </w:t>
      </w: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i</m:t>
            </m:r>
          </m:sub>
        </m:sSub>
      </m:oMath>
      <w:r w:rsidR="00D35E51" w:rsidRPr="00F06DE2">
        <w:rPr>
          <w:rFonts w:ascii="Times New Roman" w:hAnsi="Times New Roman" w:cs="Times New Roman"/>
          <w:lang w:val="ru-RU"/>
        </w:rPr>
        <w:t>;</w:t>
      </w:r>
    </w:p>
    <w:p w14:paraId="2E7613ED" w14:textId="77777777" w:rsidR="00271FA2" w:rsidRPr="00F06DE2" w:rsidRDefault="002C62EC">
      <w:pPr>
        <w:pStyle w:val="ESlet"/>
        <w:spacing w:before="0"/>
        <w:ind w:left="0"/>
        <w:jc w:val="both"/>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i</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i</m:t>
              </m:r>
            </m:sub>
          </m:sSub>
          <m:r>
            <w:rPr>
              <w:rFonts w:ascii="Cambria Math" w:eastAsia="Calibri" w:hAnsi="Cambria Math" w:cs="Times New Roman"/>
            </w:rPr>
            <m:t xml:space="preserve"> ∙0,075 ∙ </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i</m:t>
              </m:r>
            </m:sub>
          </m:sSub>
          <m:r>
            <w:rPr>
              <w:rFonts w:ascii="Cambria Math" w:eastAsia="Calibri" w:hAnsi="Cambria Math" w:cs="Times New Roman"/>
            </w:rPr>
            <m:t xml:space="preserve"> [t]</m:t>
          </m:r>
        </m:oMath>
      </m:oMathPara>
    </w:p>
    <w:p w14:paraId="02E7483D" w14:textId="633C5290" w:rsidR="00271FA2" w:rsidRPr="00F06DE2" w:rsidRDefault="0074063A">
      <w:pPr>
        <w:pStyle w:val="ESchpar"/>
        <w:jc w:val="both"/>
        <w:rPr>
          <w:rFonts w:ascii="Times New Roman" w:eastAsia="Calibri" w:hAnsi="Times New Roman" w:cs="Times New Roman"/>
          <w:lang w:val="ru-RU"/>
        </w:rPr>
      </w:pPr>
      <w:r w:rsidRPr="00F06DE2">
        <w:rPr>
          <w:rFonts w:ascii="Times New Roman" w:hAnsi="Times New Roman" w:cs="Times New Roman"/>
          <w:lang w:val="ru-RU"/>
        </w:rPr>
        <w:t>к</w:t>
      </w:r>
      <w:r w:rsidR="00D35E51" w:rsidRPr="00F06DE2">
        <w:rPr>
          <w:rFonts w:ascii="Times New Roman" w:hAnsi="Times New Roman" w:cs="Times New Roman"/>
          <w:lang w:val="ru-RU"/>
        </w:rPr>
        <w:t>ъдето</w:t>
      </w:r>
      <w:r w:rsidRPr="00F06DE2">
        <w:rPr>
          <w:rFonts w:ascii="Times New Roman" w:hAnsi="Times New Roman" w:cs="Times New Roman"/>
          <w:lang w:val="ru-RU"/>
        </w:rPr>
        <w:t>:</w:t>
      </w:r>
    </w:p>
    <w:p w14:paraId="7DCAF72A" w14:textId="77777777" w:rsidR="00271FA2" w:rsidRPr="00F06DE2" w:rsidRDefault="002C62EC">
      <w:pPr>
        <w:pStyle w:val="ESlet"/>
        <w:spacing w:before="0"/>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i</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площта, заета от лицата в [</w:t>
      </w:r>
      <w:r w:rsidR="00D35E51" w:rsidRPr="00F06DE2">
        <w:rPr>
          <w:rFonts w:ascii="Times New Roman" w:hAnsi="Times New Roman" w:cs="Times New Roman"/>
        </w:rPr>
        <w:t>m</w:t>
      </w:r>
      <w:r w:rsidR="00D35E51" w:rsidRPr="00F06DE2">
        <w:rPr>
          <w:rFonts w:ascii="Times New Roman" w:hAnsi="Times New Roman" w:cs="Times New Roman"/>
          <w:vertAlign w:val="superscript"/>
          <w:lang w:val="ru-RU"/>
        </w:rPr>
        <w:t>2</w:t>
      </w:r>
      <w:r w:rsidR="00D35E51" w:rsidRPr="00F06DE2">
        <w:rPr>
          <w:rFonts w:ascii="Times New Roman" w:hAnsi="Times New Roman" w:cs="Times New Roman"/>
          <w:lang w:val="ru-RU"/>
        </w:rPr>
        <w:t>];</w:t>
      </w:r>
    </w:p>
    <w:p w14:paraId="6E791080" w14:textId="77777777" w:rsidR="00271FA2" w:rsidRPr="00F06DE2" w:rsidRDefault="002C62EC">
      <w:pPr>
        <w:pStyle w:val="ESlet"/>
        <w:spacing w:before="0"/>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i</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брой лица на квадратен метър:</w:t>
      </w:r>
    </w:p>
    <w:p w14:paraId="357AF437" w14:textId="77777777" w:rsidR="00271FA2" w:rsidRPr="00F06DE2" w:rsidRDefault="002C62EC" w:rsidP="0074063A">
      <w:pPr>
        <w:pStyle w:val="EStiret"/>
        <w:spacing w:before="0"/>
        <w:ind w:left="993"/>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i</m:t>
            </m:r>
          </m:sub>
        </m:sSub>
      </m:oMath>
      <w:r w:rsidR="00D35E51" w:rsidRPr="00F06DE2">
        <w:rPr>
          <w:rFonts w:ascii="Times New Roman" w:hAnsi="Times New Roman" w:cs="Times New Roman"/>
          <w:lang w:val="ru-RU"/>
        </w:rPr>
        <w:t>=</w:t>
      </w:r>
      <w:r w:rsidR="00D35E51" w:rsidRPr="00F06DE2">
        <w:rPr>
          <w:rFonts w:ascii="Times New Roman" w:hAnsi="Times New Roman" w:cs="Times New Roman"/>
          <w:lang w:val="ru-RU"/>
        </w:rPr>
        <w:tab/>
        <w:t xml:space="preserve">3,75 за свободната палуба и частите на палубата с подвижни мебели; за частите на палубата с фиксирани мебели за сядане, като например пейки, </w:t>
      </w:r>
      <m:oMath>
        <m:sSub>
          <m:sSubPr>
            <m:ctrlPr>
              <w:rPr>
                <w:rFonts w:ascii="Cambria Math" w:eastAsia="Calibri" w:hAnsi="Cambria Math" w:cs="Times New Roman"/>
                <w:i/>
                <w:snapToGrid/>
                <w:color w:val="auto"/>
              </w:rPr>
            </m:ctrlPr>
          </m:sSubPr>
          <m:e>
            <m:r>
              <w:rPr>
                <w:rFonts w:ascii="Cambria Math" w:eastAsia="Calibri" w:hAnsi="Cambria Math" w:cs="Times New Roman"/>
              </w:rPr>
              <m:t>n</m:t>
            </m:r>
          </m:e>
          <m:sub>
            <m:r>
              <w:rPr>
                <w:rFonts w:ascii="Cambria Math" w:eastAsia="Calibri" w:hAnsi="Cambria Math" w:cs="Times New Roman"/>
              </w:rPr>
              <m:t>i</m:t>
            </m:r>
          </m:sub>
        </m:sSub>
      </m:oMath>
      <w:r w:rsidR="00D35E51" w:rsidRPr="00F06DE2">
        <w:rPr>
          <w:rFonts w:ascii="Times New Roman" w:hAnsi="Times New Roman" w:cs="Times New Roman"/>
          <w:lang w:val="ru-RU"/>
        </w:rPr>
        <w:t xml:space="preserve"> се пресмята, като се приеме площ от 0,50 </w:t>
      </w:r>
      <w:r w:rsidR="00D35E51" w:rsidRPr="00F06DE2">
        <w:rPr>
          <w:rFonts w:ascii="Times New Roman" w:hAnsi="Times New Roman" w:cs="Times New Roman"/>
        </w:rPr>
        <w:t>m</w:t>
      </w:r>
      <w:r w:rsidR="00D35E51" w:rsidRPr="00F06DE2">
        <w:rPr>
          <w:rFonts w:ascii="Times New Roman" w:hAnsi="Times New Roman" w:cs="Times New Roman"/>
          <w:lang w:val="ru-RU"/>
        </w:rPr>
        <w:t xml:space="preserve"> за ширина и 0,75 </w:t>
      </w:r>
      <w:r w:rsidR="00D35E51" w:rsidRPr="00F06DE2">
        <w:rPr>
          <w:rFonts w:ascii="Times New Roman" w:hAnsi="Times New Roman" w:cs="Times New Roman"/>
        </w:rPr>
        <w:t>m</w:t>
      </w:r>
      <w:r w:rsidR="00D35E51" w:rsidRPr="00F06DE2">
        <w:rPr>
          <w:rFonts w:ascii="Times New Roman" w:hAnsi="Times New Roman" w:cs="Times New Roman"/>
          <w:lang w:val="ru-RU"/>
        </w:rPr>
        <w:t xml:space="preserve"> за дълбочина на сядане на човек;</w:t>
      </w:r>
    </w:p>
    <w:p w14:paraId="48F7A33E" w14:textId="77777777" w:rsidR="00271FA2" w:rsidRPr="00F06DE2" w:rsidRDefault="002C62EC">
      <w:pPr>
        <w:pStyle w:val="ESlet"/>
        <w:spacing w:before="0"/>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y</m:t>
            </m:r>
          </m:e>
          <m:sub>
            <m:r>
              <w:rPr>
                <w:rFonts w:ascii="Cambria Math" w:eastAsia="Calibri" w:hAnsi="Cambria Math" w:cs="Times New Roman"/>
              </w:rPr>
              <m:t>i</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 xml:space="preserve">странично разстояние на геометричния център на площта </w:t>
      </w: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i</m:t>
            </m:r>
          </m:sub>
        </m:sSub>
      </m:oMath>
      <w:r w:rsidR="00D35E51" w:rsidRPr="00F06DE2">
        <w:rPr>
          <w:rFonts w:ascii="Times New Roman" w:hAnsi="Times New Roman" w:cs="Times New Roman"/>
          <w:lang w:val="ru-RU"/>
        </w:rPr>
        <w:t xml:space="preserve"> от централната линия в [</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5F3E6361"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Изчислението се извършва за струпване на хора и на левия, и на десния борд.</w:t>
      </w:r>
    </w:p>
    <w:p w14:paraId="7777629E"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Разпределението на лицата трябва да съответства на възможно най-неблагоприятното за устойчивостта разпределение. Каютите следва да се приемат за незаети за изчисляването свързано с лицата на борда.</w:t>
      </w:r>
    </w:p>
    <w:p w14:paraId="3A0F3432"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 xml:space="preserve">За изчислението на случаите на натоварване, центърът на тежестта на човека се приема 1 </w:t>
      </w:r>
      <w:r w:rsidRPr="00F06DE2">
        <w:rPr>
          <w:rFonts w:ascii="Times New Roman" w:hAnsi="Times New Roman" w:cs="Times New Roman"/>
        </w:rPr>
        <w:t>m</w:t>
      </w:r>
      <w:r w:rsidRPr="00F06DE2">
        <w:rPr>
          <w:rFonts w:ascii="Times New Roman" w:hAnsi="Times New Roman" w:cs="Times New Roman"/>
          <w:lang w:val="ru-RU"/>
        </w:rPr>
        <w:t xml:space="preserve"> над най-ниската точка на палубата при </w:t>
      </w:r>
      <m:oMath>
        <m:r>
          <w:rPr>
            <w:rFonts w:ascii="Cambria Math" w:eastAsia="Calibri" w:hAnsi="Cambria Math" w:cs="Times New Roman"/>
            <w:lang w:val="ru-RU"/>
          </w:rPr>
          <m:t xml:space="preserve">0,5 </m:t>
        </m:r>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WL</m:t>
            </m:r>
          </m:sub>
        </m:sSub>
      </m:oMath>
      <w:r w:rsidRPr="00F06DE2">
        <w:rPr>
          <w:rFonts w:ascii="Times New Roman" w:hAnsi="Times New Roman" w:cs="Times New Roman"/>
          <w:lang w:val="ru-RU"/>
        </w:rPr>
        <w:t xml:space="preserve">, като се игнорират евентуални изпъкналости или вдлъбнатини на палубата и се приема средна маса на лице от 0,075 </w:t>
      </w:r>
      <w:r w:rsidRPr="00F06DE2">
        <w:rPr>
          <w:rFonts w:ascii="Times New Roman" w:hAnsi="Times New Roman" w:cs="Times New Roman"/>
        </w:rPr>
        <w:t>t</w:t>
      </w:r>
      <w:r w:rsidRPr="00F06DE2">
        <w:rPr>
          <w:rFonts w:ascii="Times New Roman" w:hAnsi="Times New Roman" w:cs="Times New Roman"/>
          <w:lang w:val="ru-RU"/>
        </w:rPr>
        <w:t>.</w:t>
      </w:r>
    </w:p>
    <w:p w14:paraId="7452321C"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Подробното пресмятане на частите на палубата, които са заети от хора, може да не е необходимо, ако се използват някои от следните стойности:</w:t>
      </w:r>
    </w:p>
    <w:p w14:paraId="1059551C" w14:textId="77777777" w:rsidR="00271FA2" w:rsidRPr="00F06DE2" w:rsidRDefault="00D35E51">
      <w:pPr>
        <w:pStyle w:val="ESchpar"/>
        <w:jc w:val="both"/>
        <w:rPr>
          <w:rFonts w:ascii="Times New Roman" w:eastAsia="Calibri" w:hAnsi="Times New Roman" w:cs="Times New Roman"/>
          <w:lang w:val="ru-RU"/>
        </w:rPr>
      </w:pPr>
      <m:oMath>
        <m:r>
          <w:rPr>
            <w:rFonts w:ascii="Cambria Math" w:eastAsia="Calibri" w:hAnsi="Cambria Math" w:cs="Times New Roman"/>
          </w:rPr>
          <m:t>P</m:t>
        </m:r>
        <m:r>
          <w:rPr>
            <w:rFonts w:ascii="Cambria Math" w:eastAsia="Calibri" w:hAnsi="Cambria Math" w:cs="Times New Roman"/>
            <w:lang w:val="ru-RU"/>
          </w:rPr>
          <m:t xml:space="preserve">=1,1 ∙ </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max</m:t>
            </m:r>
          </m:sub>
        </m:sSub>
        <m:r>
          <w:rPr>
            <w:rFonts w:ascii="Cambria Math" w:eastAsia="Calibri" w:hAnsi="Cambria Math" w:cs="Times New Roman"/>
            <w:lang w:val="ru-RU"/>
          </w:rPr>
          <m:t>∙0,075</m:t>
        </m:r>
      </m:oMath>
      <w:r w:rsidRPr="00F06DE2">
        <w:rPr>
          <w:rFonts w:ascii="Times New Roman" w:hAnsi="Times New Roman" w:cs="Times New Roman"/>
          <w:lang w:val="ru-RU"/>
        </w:rPr>
        <w:t xml:space="preserve"> за пътнически плавателни съдове за дневно пътуване</w:t>
      </w:r>
    </w:p>
    <w:p w14:paraId="4E22CD3E" w14:textId="77777777" w:rsidR="00271FA2" w:rsidRPr="00F06DE2" w:rsidRDefault="00D35E51" w:rsidP="003B0990">
      <w:pPr>
        <w:pStyle w:val="ESchpar"/>
        <w:jc w:val="both"/>
        <w:rPr>
          <w:rFonts w:ascii="Times New Roman" w:eastAsia="Calibri" w:hAnsi="Times New Roman" w:cs="Times New Roman"/>
          <w:lang w:val="ru-RU"/>
        </w:rPr>
      </w:pPr>
      <m:oMath>
        <m:r>
          <w:rPr>
            <w:rFonts w:ascii="Cambria Math" w:eastAsia="Calibri" w:hAnsi="Cambria Math" w:cs="Times New Roman"/>
            <w:lang w:val="ru-RU"/>
          </w:rPr>
          <m:t xml:space="preserve">1,5 ∙ </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max</m:t>
            </m:r>
          </m:sub>
        </m:sSub>
        <m:r>
          <w:rPr>
            <w:rFonts w:ascii="Cambria Math" w:eastAsia="Calibri" w:hAnsi="Cambria Math" w:cs="Times New Roman"/>
            <w:lang w:val="ru-RU"/>
          </w:rPr>
          <m:t>∙0,075</m:t>
        </m:r>
      </m:oMath>
      <w:r w:rsidRPr="00F06DE2">
        <w:rPr>
          <w:rFonts w:ascii="Times New Roman" w:hAnsi="Times New Roman" w:cs="Times New Roman"/>
          <w:lang w:val="ru-RU"/>
        </w:rPr>
        <w:t xml:space="preserve"> за плавателни съдове с каюти</w:t>
      </w:r>
    </w:p>
    <w:p w14:paraId="28289499" w14:textId="77777777" w:rsidR="00271FA2" w:rsidRPr="00F06DE2" w:rsidRDefault="00D35E51" w:rsidP="003B0990">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където </w:t>
      </w:r>
    </w:p>
    <w:p w14:paraId="37D97997" w14:textId="77777777" w:rsidR="00271FA2" w:rsidRPr="00F06DE2" w:rsidRDefault="002C62EC" w:rsidP="003B0990">
      <w:pPr>
        <w:pStyle w:val="EStiret"/>
        <w:spacing w:before="0"/>
        <w:ind w:left="567"/>
        <w:jc w:val="both"/>
        <w:rPr>
          <w:rFonts w:ascii="Times New Roman" w:eastAsia="Calibri" w:hAnsi="Times New Roman" w:cs="Times New Roman"/>
          <w:lang w:val="ru-RU"/>
        </w:rPr>
      </w:pPr>
      <m:oMath>
        <m:sSub>
          <m:sSubPr>
            <m:ctrlPr>
              <w:rPr>
                <w:rFonts w:ascii="Cambria Math" w:eastAsia="Calibri" w:hAnsi="Cambria Math" w:cs="Times New Roman"/>
                <w:i/>
                <w:snapToGrid/>
                <w:color w:val="auto"/>
              </w:rPr>
            </m:ctrlPr>
          </m:sSubPr>
          <m:e>
            <m:r>
              <w:rPr>
                <w:rFonts w:ascii="Cambria Math" w:eastAsia="Calibri" w:hAnsi="Cambria Math" w:cs="Times New Roman"/>
              </w:rPr>
              <m:t>F</m:t>
            </m:r>
          </m:e>
          <m:sub>
            <m:r>
              <w:rPr>
                <w:rFonts w:ascii="Cambria Math" w:eastAsia="Calibri" w:hAnsi="Cambria Math" w:cs="Times New Roman"/>
              </w:rPr>
              <m:t>max</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 xml:space="preserve">максималния разрешен брой пътници на борда </w:t>
      </w:r>
    </w:p>
    <w:p w14:paraId="2D1A5EB0" w14:textId="77777777" w:rsidR="00271FA2" w:rsidRPr="00F06DE2" w:rsidRDefault="00D35E51" w:rsidP="003B0990">
      <w:pPr>
        <w:pStyle w:val="ESlet"/>
        <w:spacing w:before="0"/>
        <w:ind w:left="567"/>
        <w:jc w:val="both"/>
        <w:rPr>
          <w:rFonts w:ascii="Times New Roman" w:eastAsia="Calibri" w:hAnsi="Times New Roman" w:cs="Times New Roman"/>
          <w:lang w:val="ru-RU"/>
        </w:rPr>
      </w:pPr>
      <m:oMath>
        <m:r>
          <w:rPr>
            <w:rFonts w:ascii="Cambria Math" w:eastAsia="Calibri" w:hAnsi="Cambria Math" w:cs="Times New Roman"/>
          </w:rPr>
          <m:t>y</m:t>
        </m:r>
        <m:r>
          <w:rPr>
            <w:rFonts w:ascii="Cambria Math" w:eastAsia="Calibri" w:hAnsi="Cambria Math" w:cs="Times New Roman"/>
            <w:lang w:val="ru-RU"/>
          </w:rPr>
          <m:t>=</m:t>
        </m:r>
        <m:r>
          <w:rPr>
            <w:rFonts w:ascii="Cambria Math" w:eastAsia="Calibri" w:hAnsi="Cambria Math" w:cs="Times New Roman"/>
          </w:rPr>
          <m:t>B</m:t>
        </m:r>
        <m:r>
          <w:rPr>
            <w:rFonts w:ascii="Cambria Math" w:eastAsia="Calibri" w:hAnsi="Cambria Math" w:cs="Times New Roman"/>
            <w:lang w:val="ru-RU"/>
          </w:rPr>
          <m:t>/2</m:t>
        </m:r>
      </m:oMath>
      <w:r w:rsidRPr="00F06DE2">
        <w:rPr>
          <w:rFonts w:ascii="Times New Roman" w:hAnsi="Times New Roman" w:cs="Times New Roman"/>
          <w:lang w:val="ru-RU"/>
        </w:rPr>
        <w:t xml:space="preserve"> в [</w:t>
      </w:r>
      <w:r w:rsidRPr="00F06DE2">
        <w:rPr>
          <w:rFonts w:ascii="Times New Roman" w:hAnsi="Times New Roman" w:cs="Times New Roman"/>
        </w:rPr>
        <w:t>m</w:t>
      </w:r>
      <w:r w:rsidRPr="00F06DE2">
        <w:rPr>
          <w:rFonts w:ascii="Times New Roman" w:hAnsi="Times New Roman" w:cs="Times New Roman"/>
          <w:lang w:val="ru-RU"/>
        </w:rPr>
        <w:t>].</w:t>
      </w:r>
    </w:p>
    <w:p w14:paraId="67AF4EB1"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Кренящият момент, дължащ се на налягането на вятъра </w:t>
      </w:r>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w</m:t>
            </m:r>
          </m:sub>
        </m:sSub>
      </m:oMath>
      <w:r w:rsidRPr="00F06DE2">
        <w:rPr>
          <w:rFonts w:ascii="Times New Roman" w:hAnsi="Times New Roman" w:cs="Times New Roman"/>
          <w:lang w:val="ru-RU"/>
        </w:rPr>
        <w:t>, се изчислява, както следва:</w:t>
      </w:r>
    </w:p>
    <w:p w14:paraId="4B6AC473" w14:textId="77777777" w:rsidR="00271FA2" w:rsidRPr="00F06DE2" w:rsidRDefault="002C62EC">
      <w:pPr>
        <w:pStyle w:val="ESch"/>
        <w:ind w:left="0" w:firstLine="0"/>
        <w:jc w:val="both"/>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w</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w</m:t>
              </m:r>
            </m:sub>
          </m:sSub>
          <m:r>
            <w:rPr>
              <w:rFonts w:ascii="Cambria Math" w:eastAsia="Calibri" w:hAnsi="Cambria Math" w:cs="Times New Roman"/>
            </w:rPr>
            <m:t xml:space="preserve"> ∙ </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w</m:t>
              </m:r>
            </m:sub>
          </m:sSub>
          <m:r>
            <w:rPr>
              <w:rFonts w:ascii="Cambria Math" w:eastAsia="Calibri" w:hAnsi="Cambria Math" w:cs="Times New Roman"/>
            </w:rPr>
            <m:t xml:space="preserve"> ∙</m:t>
          </m:r>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w</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T</m:t>
                  </m:r>
                </m:num>
                <m:den>
                  <m:r>
                    <w:rPr>
                      <w:rFonts w:ascii="Cambria Math" w:eastAsia="Calibri" w:hAnsi="Cambria Math" w:cs="Times New Roman"/>
                    </w:rPr>
                    <m:t>2</m:t>
                  </m:r>
                </m:den>
              </m:f>
            </m:e>
          </m:d>
          <m:r>
            <w:rPr>
              <w:rFonts w:ascii="Cambria Math" w:eastAsia="Calibri" w:hAnsi="Cambria Math" w:cs="Times New Roman"/>
            </w:rPr>
            <m:t xml:space="preserve"> [kNm]</m:t>
          </m:r>
        </m:oMath>
      </m:oMathPara>
    </w:p>
    <w:p w14:paraId="59FF5C0C"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където:</w:t>
      </w:r>
    </w:p>
    <w:p w14:paraId="347B2442" w14:textId="77777777" w:rsidR="00271FA2" w:rsidRPr="00F06DE2" w:rsidRDefault="002C62EC">
      <w:pPr>
        <w:pStyle w:val="ESlet"/>
        <w:spacing w:before="0"/>
        <w:ind w:left="1134" w:hanging="567"/>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w</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 xml:space="preserve">специфичното налягане на вятъра от 0,25 </w:t>
      </w:r>
      <w:r w:rsidR="00D35E51" w:rsidRPr="00F06DE2">
        <w:rPr>
          <w:rFonts w:ascii="Times New Roman" w:hAnsi="Times New Roman" w:cs="Times New Roman"/>
        </w:rPr>
        <w:t>kN</w:t>
      </w:r>
      <w:r w:rsidR="00D35E51" w:rsidRPr="00F06DE2">
        <w:rPr>
          <w:rFonts w:ascii="Times New Roman" w:hAnsi="Times New Roman" w:cs="Times New Roman"/>
          <w:lang w:val="ru-RU"/>
        </w:rPr>
        <w:t>/</w:t>
      </w:r>
      <w:r w:rsidR="00D35E51" w:rsidRPr="00F06DE2">
        <w:rPr>
          <w:rFonts w:ascii="Times New Roman" w:hAnsi="Times New Roman" w:cs="Times New Roman"/>
        </w:rPr>
        <w:t>m</w:t>
      </w:r>
      <w:r w:rsidR="00D35E51" w:rsidRPr="00F06DE2">
        <w:rPr>
          <w:rFonts w:ascii="Times New Roman" w:hAnsi="Times New Roman" w:cs="Times New Roman"/>
          <w:lang w:val="ru-RU"/>
        </w:rPr>
        <w:t>²;</w:t>
      </w:r>
    </w:p>
    <w:p w14:paraId="732AC107" w14:textId="77777777" w:rsidR="00271FA2" w:rsidRPr="00F06DE2" w:rsidRDefault="002C62EC">
      <w:pPr>
        <w:pStyle w:val="ESlet"/>
        <w:spacing w:before="0"/>
        <w:ind w:left="1134" w:hanging="567"/>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w</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страничната равнина на плавателния съд над равнината на газене съгласно разглежданото състояние на натоварване в [</w:t>
      </w:r>
      <w:r w:rsidR="00D35E51" w:rsidRPr="00F06DE2">
        <w:rPr>
          <w:rFonts w:ascii="Times New Roman" w:hAnsi="Times New Roman" w:cs="Times New Roman"/>
        </w:rPr>
        <w:t>m</w:t>
      </w:r>
      <w:r w:rsidR="00D35E51" w:rsidRPr="00F06DE2">
        <w:rPr>
          <w:rFonts w:ascii="Times New Roman" w:hAnsi="Times New Roman" w:cs="Times New Roman"/>
          <w:lang w:val="ru-RU"/>
        </w:rPr>
        <w:t>²];</w:t>
      </w:r>
    </w:p>
    <w:p w14:paraId="4A3C2D91" w14:textId="77777777" w:rsidR="00271FA2" w:rsidRPr="00F06DE2" w:rsidRDefault="002C62EC">
      <w:pPr>
        <w:pStyle w:val="ESlet"/>
        <w:spacing w:before="0"/>
        <w:ind w:left="1134" w:hanging="567"/>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w</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 xml:space="preserve">отстоянието на центъра на тежестта на страничната равнина </w:t>
      </w: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w</m:t>
            </m:r>
          </m:sub>
        </m:sSub>
      </m:oMath>
      <w:r w:rsidR="00D35E51" w:rsidRPr="00F06DE2">
        <w:rPr>
          <w:rFonts w:ascii="Times New Roman" w:hAnsi="Times New Roman" w:cs="Times New Roman"/>
          <w:lang w:val="ru-RU"/>
        </w:rPr>
        <w:t xml:space="preserve"> от равнината на газене съгласно разглежданото състояние на натоварване в [</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01ACEF9E"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lastRenderedPageBreak/>
        <w:t>При изчисляване на страничната равнина трябва да се вземе предвид евентуално предвидено закриване на палубата от навеси и подобни подвижни съоръжения.</w:t>
      </w:r>
    </w:p>
    <w:p w14:paraId="62712F01"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Моментът, дължащ се на центробежна сила </w:t>
      </w:r>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dr</m:t>
            </m:r>
          </m:sub>
        </m:sSub>
      </m:oMath>
      <w:r w:rsidRPr="00F06DE2">
        <w:rPr>
          <w:rFonts w:ascii="Times New Roman" w:hAnsi="Times New Roman" w:cs="Times New Roman"/>
          <w:lang w:val="ru-RU"/>
        </w:rPr>
        <w:t>, причинена от завоя на плавателния съд, се пресмята както следва:</w:t>
      </w:r>
    </w:p>
    <w:p w14:paraId="2B251275" w14:textId="77777777" w:rsidR="00271FA2" w:rsidRPr="00F06DE2" w:rsidRDefault="002C62EC">
      <w:pPr>
        <w:pStyle w:val="ESch"/>
        <w:ind w:left="0" w:firstLine="0"/>
        <w:jc w:val="both"/>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dr</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dr</m:t>
              </m:r>
            </m:sub>
          </m:sSub>
          <m:r>
            <w:rPr>
              <w:rFonts w:ascii="Cambria Math" w:eastAsia="Calibri" w:hAnsi="Cambria Math" w:cs="Times New Roman"/>
            </w:rPr>
            <m:t xml:space="preserve"> ∙ </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B</m:t>
              </m:r>
            </m:sub>
          </m:sSub>
          <m:r>
            <w:rPr>
              <w:rFonts w:ascii="Cambria Math" w:eastAsia="Calibri" w:hAnsi="Cambria Math" w:cs="Times New Roman"/>
            </w:rPr>
            <m:t xml:space="preserve"> ∙ </m:t>
          </m:r>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r>
            <w:rPr>
              <w:rFonts w:ascii="Cambria Math" w:eastAsia="Calibri" w:hAnsi="Cambria Math" w:cs="Times New Roman"/>
            </w:rPr>
            <m:t xml:space="preserve"> ∙</m:t>
          </m:r>
          <m:f>
            <m:fPr>
              <m:ctrlPr>
                <w:rPr>
                  <w:rFonts w:ascii="Cambria Math" w:eastAsia="Calibri" w:hAnsi="Cambria Math" w:cs="Times New Roman"/>
                  <w:i/>
                </w:rPr>
              </m:ctrlPr>
            </m:fPr>
            <m:num>
              <m:r>
                <w:rPr>
                  <w:rFonts w:ascii="Cambria Math" w:eastAsia="Calibri" w:hAnsi="Cambria Math" w:cs="Times New Roman"/>
                </w:rPr>
                <m:t>D</m:t>
              </m:r>
            </m:num>
            <m:den>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WL</m:t>
                  </m:r>
                </m:sub>
              </m:sSub>
            </m:den>
          </m:f>
          <m:r>
            <w:rPr>
              <w:rFonts w:ascii="Cambria Math" w:eastAsia="Calibri" w:hAnsi="Cambria Math" w:cs="Times New Roman"/>
            </w:rPr>
            <m:t>∙</m:t>
          </m:r>
          <m:d>
            <m:dPr>
              <m:ctrlPr>
                <w:rPr>
                  <w:rFonts w:ascii="Cambria Math" w:eastAsia="Calibri" w:hAnsi="Cambria Math" w:cs="Times New Roman"/>
                  <w:i/>
                </w:rPr>
              </m:ctrlPr>
            </m:dPr>
            <m:e>
              <m:r>
                <w:rPr>
                  <w:rFonts w:ascii="Cambria Math" w:eastAsia="Calibri" w:hAnsi="Cambria Math" w:cs="Times New Roman"/>
                </w:rPr>
                <m:t>KG-</m:t>
              </m:r>
              <m:f>
                <m:fPr>
                  <m:ctrlPr>
                    <w:rPr>
                      <w:rFonts w:ascii="Cambria Math" w:eastAsia="Calibri" w:hAnsi="Cambria Math" w:cs="Times New Roman"/>
                      <w:i/>
                    </w:rPr>
                  </m:ctrlPr>
                </m:fPr>
                <m:num>
                  <m:r>
                    <w:rPr>
                      <w:rFonts w:ascii="Cambria Math" w:eastAsia="Calibri" w:hAnsi="Cambria Math" w:cs="Times New Roman"/>
                    </w:rPr>
                    <m:t>T</m:t>
                  </m:r>
                </m:num>
                <m:den>
                  <m:r>
                    <w:rPr>
                      <w:rFonts w:ascii="Cambria Math" w:eastAsia="Calibri" w:hAnsi="Cambria Math" w:cs="Times New Roman"/>
                    </w:rPr>
                    <m:t>2</m:t>
                  </m:r>
                </m:den>
              </m:f>
            </m:e>
          </m:d>
          <m:r>
            <w:rPr>
              <w:rFonts w:ascii="Cambria Math" w:eastAsia="Calibri" w:hAnsi="Cambria Math" w:cs="Times New Roman"/>
            </w:rPr>
            <m:t xml:space="preserve"> [kNm]</m:t>
          </m:r>
        </m:oMath>
      </m:oMathPara>
    </w:p>
    <w:p w14:paraId="4841DBDC"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където</w:t>
      </w:r>
    </w:p>
    <w:p w14:paraId="219C5A18" w14:textId="77777777" w:rsidR="00271FA2" w:rsidRPr="00F06DE2" w:rsidRDefault="002C62EC">
      <w:pPr>
        <w:pStyle w:val="ESlet"/>
        <w:spacing w:before="0"/>
        <w:ind w:left="1134" w:hanging="567"/>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dr</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коефициент 0,45;</w:t>
      </w:r>
    </w:p>
    <w:p w14:paraId="06391607" w14:textId="77777777" w:rsidR="00271FA2" w:rsidRPr="00F06DE2" w:rsidRDefault="002C62EC">
      <w:pPr>
        <w:pStyle w:val="ESlet"/>
        <w:spacing w:before="0"/>
        <w:ind w:left="1134" w:hanging="567"/>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B</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коефициент на общата пълнота (ако не е известен, се приема за 1,0);</w:t>
      </w:r>
    </w:p>
    <w:p w14:paraId="570EACB6" w14:textId="77777777" w:rsidR="00271FA2" w:rsidRPr="00F06DE2" w:rsidRDefault="00D35E51">
      <w:pPr>
        <w:pStyle w:val="ESlet"/>
        <w:spacing w:before="0"/>
        <w:ind w:left="1134" w:hanging="567"/>
        <w:jc w:val="both"/>
        <w:rPr>
          <w:rFonts w:ascii="Times New Roman" w:hAnsi="Times New Roman" w:cs="Times New Roman"/>
          <w:lang w:val="ru-RU"/>
        </w:rPr>
      </w:pPr>
      <m:oMath>
        <m:r>
          <w:rPr>
            <w:rFonts w:ascii="Cambria Math" w:eastAsia="Calibri" w:hAnsi="Cambria Math" w:cs="Times New Roman"/>
          </w:rPr>
          <m:t>v</m:t>
        </m:r>
      </m:oMath>
      <w:r w:rsidRPr="00F06DE2">
        <w:rPr>
          <w:rFonts w:ascii="Times New Roman" w:hAnsi="Times New Roman" w:cs="Times New Roman"/>
          <w:lang w:val="ru-RU"/>
        </w:rPr>
        <w:t xml:space="preserve"> =</w:t>
      </w:r>
      <w:r w:rsidRPr="00F06DE2">
        <w:rPr>
          <w:rFonts w:ascii="Times New Roman" w:hAnsi="Times New Roman" w:cs="Times New Roman"/>
          <w:lang w:val="ru-RU"/>
        </w:rPr>
        <w:tab/>
        <w:t>максимална скорост на плавателния съд в [</w:t>
      </w:r>
      <w:r w:rsidRPr="00F06DE2">
        <w:rPr>
          <w:rFonts w:ascii="Times New Roman" w:hAnsi="Times New Roman" w:cs="Times New Roman"/>
        </w:rPr>
        <w:t>m</w:t>
      </w:r>
      <w:r w:rsidRPr="00F06DE2">
        <w:rPr>
          <w:rFonts w:ascii="Times New Roman" w:hAnsi="Times New Roman" w:cs="Times New Roman"/>
          <w:lang w:val="ru-RU"/>
        </w:rPr>
        <w:t>/</w:t>
      </w:r>
      <w:r w:rsidRPr="00F06DE2">
        <w:rPr>
          <w:rFonts w:ascii="Times New Roman" w:hAnsi="Times New Roman" w:cs="Times New Roman"/>
        </w:rPr>
        <w:t>s</w:t>
      </w:r>
      <w:r w:rsidRPr="00F06DE2">
        <w:rPr>
          <w:rFonts w:ascii="Times New Roman" w:hAnsi="Times New Roman" w:cs="Times New Roman"/>
          <w:lang w:val="ru-RU"/>
        </w:rPr>
        <w:t>];</w:t>
      </w:r>
    </w:p>
    <w:p w14:paraId="6904955C" w14:textId="77777777" w:rsidR="00271FA2" w:rsidRPr="00F06DE2" w:rsidRDefault="00D35E51">
      <w:pPr>
        <w:pStyle w:val="ESlet"/>
        <w:spacing w:before="0"/>
        <w:ind w:left="1134" w:hanging="567"/>
        <w:jc w:val="both"/>
        <w:rPr>
          <w:rFonts w:ascii="Times New Roman" w:eastAsia="Calibri" w:hAnsi="Times New Roman" w:cs="Times New Roman"/>
          <w:lang w:val="ru-RU"/>
        </w:rPr>
      </w:pPr>
      <w:r w:rsidRPr="00F06DE2">
        <w:rPr>
          <w:rFonts w:ascii="Times New Roman" w:eastAsia="Calibri" w:hAnsi="Times New Roman" w:cs="Times New Roman"/>
          <w:lang w:val="ru-RU"/>
        </w:rPr>
        <w:t xml:space="preserve">Стойността не трябва да надвишава </w:t>
      </w:r>
      <w:r w:rsidRPr="00F06DE2">
        <w:rPr>
          <w:rFonts w:ascii="Cambria Math" w:eastAsia="Calibri" w:hAnsi="Cambria Math" w:cs="Cambria Math"/>
        </w:rPr>
        <w:t>𝑣</w:t>
      </w:r>
      <w:r w:rsidRPr="00F06DE2">
        <w:rPr>
          <w:rFonts w:ascii="Times New Roman" w:eastAsia="Calibri" w:hAnsi="Times New Roman" w:cs="Times New Roman"/>
          <w:lang w:val="ru-RU"/>
        </w:rPr>
        <w:t xml:space="preserve"> = 0,4 √</w:t>
      </w:r>
      <w:r w:rsidRPr="00F06DE2">
        <w:rPr>
          <w:rFonts w:ascii="Times New Roman" w:eastAsia="Calibri" w:hAnsi="Times New Roman" w:cs="Times New Roman"/>
        </w:rPr>
        <w:t>gL</w:t>
      </w:r>
      <w:r w:rsidRPr="00F06DE2">
        <w:rPr>
          <w:rFonts w:ascii="Times New Roman" w:eastAsia="Calibri" w:hAnsi="Times New Roman" w:cs="Times New Roman"/>
          <w:lang w:val="ru-RU"/>
        </w:rPr>
        <w:t xml:space="preserve">; </w:t>
      </w:r>
    </w:p>
    <w:p w14:paraId="6FE2E30E" w14:textId="77777777" w:rsidR="00271FA2" w:rsidRPr="00F06DE2" w:rsidRDefault="00D35E51">
      <w:pPr>
        <w:pStyle w:val="ESlet"/>
        <w:spacing w:before="0"/>
        <w:ind w:left="1134" w:hanging="567"/>
        <w:jc w:val="both"/>
        <w:rPr>
          <w:rFonts w:ascii="Times New Roman" w:eastAsia="Calibri" w:hAnsi="Times New Roman" w:cs="Times New Roman"/>
          <w:lang w:val="ru-RU"/>
        </w:rPr>
      </w:pPr>
      <w:r w:rsidRPr="00F06DE2">
        <w:rPr>
          <w:rFonts w:ascii="Times New Roman" w:eastAsia="Calibri" w:hAnsi="Times New Roman" w:cs="Times New Roman"/>
          <w:lang w:val="ru-RU"/>
        </w:rPr>
        <w:t xml:space="preserve">∆ = общото тегло на плавателния съд, включително товара, в </w:t>
      </w:r>
      <w:r w:rsidRPr="00F06DE2">
        <w:rPr>
          <w:rFonts w:ascii="Times New Roman" w:eastAsia="Calibri" w:hAnsi="Times New Roman" w:cs="Times New Roman"/>
        </w:rPr>
        <w:t>t</w:t>
      </w:r>
      <w:r w:rsidRPr="00F06DE2">
        <w:rPr>
          <w:rFonts w:ascii="Times New Roman" w:eastAsia="Calibri" w:hAnsi="Times New Roman" w:cs="Times New Roman"/>
          <w:lang w:val="ru-RU"/>
        </w:rPr>
        <w:t>;</w:t>
      </w:r>
    </w:p>
    <w:p w14:paraId="6E2D7ADB" w14:textId="77777777" w:rsidR="00271FA2" w:rsidRPr="00F06DE2" w:rsidRDefault="00D35E51">
      <w:pPr>
        <w:pStyle w:val="ESlet"/>
        <w:spacing w:before="0"/>
        <w:ind w:left="1134" w:hanging="567"/>
        <w:jc w:val="both"/>
        <w:rPr>
          <w:rFonts w:ascii="Times New Roman" w:hAnsi="Times New Roman" w:cs="Times New Roman"/>
          <w:lang w:val="ru-RU"/>
        </w:rPr>
      </w:pPr>
      <m:oMath>
        <m:r>
          <w:rPr>
            <w:rFonts w:ascii="Cambria Math" w:eastAsia="Calibri" w:hAnsi="Cambria Math" w:cs="Times New Roman"/>
          </w:rPr>
          <m:t>KG</m:t>
        </m:r>
      </m:oMath>
      <w:r w:rsidRPr="00F06DE2">
        <w:rPr>
          <w:rFonts w:ascii="Times New Roman" w:hAnsi="Times New Roman" w:cs="Times New Roman"/>
          <w:lang w:val="ru-RU"/>
        </w:rPr>
        <w:t xml:space="preserve"> =</w:t>
      </w:r>
      <w:r w:rsidRPr="00F06DE2">
        <w:rPr>
          <w:rFonts w:ascii="Times New Roman" w:hAnsi="Times New Roman" w:cs="Times New Roman"/>
          <w:lang w:val="ru-RU"/>
        </w:rPr>
        <w:tab/>
        <w:t>разстоянието между центъра на тежестта и линията на кила в [</w:t>
      </w:r>
      <w:r w:rsidRPr="00F06DE2">
        <w:rPr>
          <w:rFonts w:ascii="Times New Roman" w:hAnsi="Times New Roman" w:cs="Times New Roman"/>
        </w:rPr>
        <w:t>m</w:t>
      </w:r>
      <w:r w:rsidRPr="00F06DE2">
        <w:rPr>
          <w:rFonts w:ascii="Times New Roman" w:hAnsi="Times New Roman" w:cs="Times New Roman"/>
          <w:lang w:val="ru-RU"/>
        </w:rPr>
        <w:t>];</w:t>
      </w:r>
    </w:p>
    <w:p w14:paraId="61CF1D9D" w14:textId="77777777" w:rsidR="00271FA2" w:rsidRPr="00F06DE2" w:rsidRDefault="00D35E51">
      <w:pPr>
        <w:pStyle w:val="ESlet"/>
        <w:spacing w:before="0"/>
        <w:ind w:left="1134" w:hanging="567"/>
        <w:jc w:val="both"/>
        <w:rPr>
          <w:rFonts w:ascii="Times New Roman" w:eastAsia="Calibri" w:hAnsi="Times New Roman" w:cs="Times New Roman"/>
          <w:lang w:val="ru-RU"/>
        </w:rPr>
      </w:pPr>
      <w:r w:rsidRPr="00F06DE2">
        <w:rPr>
          <w:rFonts w:ascii="Times New Roman" w:eastAsia="Calibri" w:hAnsi="Times New Roman" w:cs="Times New Roman"/>
        </w:rPr>
        <w:t>g</w:t>
      </w:r>
      <w:r w:rsidRPr="00F06DE2">
        <w:rPr>
          <w:rFonts w:ascii="Times New Roman" w:eastAsia="Calibri" w:hAnsi="Times New Roman" w:cs="Times New Roman"/>
          <w:lang w:val="ru-RU"/>
        </w:rPr>
        <w:t xml:space="preserve"> = ускорение поради гравитация (9,81 </w:t>
      </w:r>
      <w:r w:rsidRPr="00F06DE2">
        <w:rPr>
          <w:rFonts w:ascii="Times New Roman" w:eastAsia="Calibri" w:hAnsi="Times New Roman" w:cs="Times New Roman"/>
        </w:rPr>
        <w:t>ms</w:t>
      </w:r>
      <w:r w:rsidRPr="00F06DE2">
        <w:rPr>
          <w:rFonts w:ascii="Times New Roman" w:eastAsia="Calibri" w:hAnsi="Times New Roman" w:cs="Times New Roman"/>
          <w:lang w:val="ru-RU"/>
        </w:rPr>
        <w:t>-</w:t>
      </w:r>
      <w:r w:rsidRPr="00F06DE2">
        <w:rPr>
          <w:rFonts w:ascii="Times New Roman" w:eastAsia="Calibri" w:hAnsi="Times New Roman" w:cs="Times New Roman"/>
          <w:vertAlign w:val="superscript"/>
          <w:lang w:val="ru-RU"/>
        </w:rPr>
        <w:t>2</w:t>
      </w:r>
      <w:r w:rsidRPr="00F06DE2">
        <w:rPr>
          <w:rFonts w:ascii="Times New Roman" w:eastAsia="Calibri" w:hAnsi="Times New Roman" w:cs="Times New Roman"/>
          <w:lang w:val="ru-RU"/>
        </w:rPr>
        <w:t>).</w:t>
      </w:r>
    </w:p>
    <w:p w14:paraId="61B00C31"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За пътнически плавателни съдове със системи за задвижване съгласно член 6.06, </w:t>
      </w:r>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dr</m:t>
            </m:r>
          </m:sub>
        </m:sSub>
      </m:oMath>
      <w:r w:rsidRPr="00F06DE2">
        <w:rPr>
          <w:rFonts w:ascii="Times New Roman" w:hAnsi="Times New Roman" w:cs="Times New Roman"/>
          <w:lang w:val="ru-RU"/>
        </w:rPr>
        <w:t xml:space="preserve"> се получава или с реални изпитвания, или с изпитвания на макет или от съответните изчисления.</w:t>
      </w:r>
    </w:p>
    <w:p w14:paraId="39D08CD1"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eastAsia="Calibri" w:hAnsi="Times New Roman" w:cs="Times New Roman"/>
          <w:lang w:val="ru-RU"/>
        </w:rPr>
        <w:t xml:space="preserve">Ако пътническият плавателен съд е в състояние да достигне по-големи скорости от </w:t>
      </w:r>
      <w:r w:rsidRPr="00F06DE2">
        <w:rPr>
          <w:rFonts w:ascii="Cambria Math" w:eastAsia="Calibri" w:hAnsi="Cambria Math" w:cs="Cambria Math"/>
        </w:rPr>
        <w:t>𝑣</w:t>
      </w:r>
      <w:r w:rsidRPr="00F06DE2">
        <w:rPr>
          <w:rFonts w:ascii="Times New Roman" w:eastAsia="Calibri" w:hAnsi="Times New Roman" w:cs="Times New Roman"/>
          <w:lang w:val="ru-RU"/>
        </w:rPr>
        <w:t xml:space="preserve"> = 0,4 √</w:t>
      </w:r>
      <w:r w:rsidRPr="00F06DE2">
        <w:rPr>
          <w:rFonts w:ascii="Times New Roman" w:eastAsia="Calibri" w:hAnsi="Times New Roman" w:cs="Times New Roman"/>
        </w:rPr>
        <w:t>gL</w:t>
      </w:r>
      <w:r w:rsidRPr="00F06DE2">
        <w:rPr>
          <w:rFonts w:ascii="Times New Roman" w:eastAsia="Calibri" w:hAnsi="Times New Roman" w:cs="Times New Roman"/>
          <w:lang w:val="ru-RU"/>
        </w:rPr>
        <w:t>, стабилността на завиване за тези по-високи скорости трябва да бъде допълнително получена от пълен обем моделни тестове или от съответните изчисления.</w:t>
      </w:r>
    </w:p>
    <w:p w14:paraId="10B6FFAD"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Заявителят доказва чрез изчисление, че устойчивостта в повредено състояние на плавателния съд е подходяща. Изчислението на крайното състояние на наводняване следва да се основава на метода на „изгубена плавателност“, а междинните състояния на наводняване следва да се изчисляват въз основа на метода на „добавена маса“. Всички изчисления трябва да се правят до максималния диферент и газене.</w:t>
      </w:r>
    </w:p>
    <w:p w14:paraId="577B49D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Плавателността на плавателния съд в случай на наводняване се доказва за стандартните условия на натоварване, определени в точка 2. Също така, математическото доказателство за достатъчната устойчивост се определя за трите междинни фази на наводняване (25, 50 и 75</w:t>
      </w:r>
      <w:r w:rsidRPr="00F06DE2">
        <w:rPr>
          <w:rFonts w:ascii="Times New Roman" w:hAnsi="Times New Roman" w:cs="Times New Roman"/>
        </w:rPr>
        <w:t> </w:t>
      </w:r>
      <w:r w:rsidRPr="00F06DE2">
        <w:rPr>
          <w:rFonts w:ascii="Times New Roman" w:hAnsi="Times New Roman" w:cs="Times New Roman"/>
          <w:lang w:val="ru-RU"/>
        </w:rPr>
        <w:t>% от общото наводняване) и за крайния етап на наводняване.</w:t>
      </w:r>
    </w:p>
    <w:p w14:paraId="2FCCAD93"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Пътническите плавателни съдове съответстват на изискванията за повреда на един отсек и на два отсека.</w:t>
      </w:r>
    </w:p>
    <w:p w14:paraId="5A2BAC87" w14:textId="77777777" w:rsidR="00271FA2" w:rsidRPr="00F06DE2" w:rsidRDefault="00D35E51" w:rsidP="00FE0C02">
      <w:pPr>
        <w:pStyle w:val="ESchpar"/>
        <w:jc w:val="both"/>
        <w:rPr>
          <w:rFonts w:ascii="Times New Roman" w:eastAsia="Calibri" w:hAnsi="Times New Roman" w:cs="Times New Roman"/>
          <w:lang w:val="ru-RU"/>
        </w:rPr>
      </w:pPr>
      <w:r w:rsidRPr="00F06DE2">
        <w:rPr>
          <w:rFonts w:ascii="Times New Roman" w:hAnsi="Times New Roman" w:cs="Times New Roman"/>
          <w:lang w:val="ru-RU"/>
        </w:rPr>
        <w:t>Следните допускания относно размера на щетите се взимат под внимание в случай на наводняване:</w:t>
      </w:r>
    </w:p>
    <w:tbl>
      <w:tblPr>
        <w:tblW w:w="0" w:type="auto"/>
        <w:tblLayout w:type="fixed"/>
        <w:tblLook w:val="04A0" w:firstRow="1" w:lastRow="0" w:firstColumn="1" w:lastColumn="0" w:noHBand="0" w:noVBand="1"/>
      </w:tblPr>
      <w:tblGrid>
        <w:gridCol w:w="2786"/>
        <w:gridCol w:w="3250"/>
        <w:gridCol w:w="3250"/>
      </w:tblGrid>
      <w:tr w:rsidR="00271FA2" w:rsidRPr="00F06DE2" w14:paraId="4FBC58CA" w14:textId="77777777">
        <w:tc>
          <w:tcPr>
            <w:tcW w:w="2786" w:type="dxa"/>
            <w:tcBorders>
              <w:top w:val="single" w:sz="2" w:space="0" w:color="auto"/>
              <w:left w:val="single" w:sz="2" w:space="0" w:color="auto"/>
              <w:bottom w:val="single" w:sz="2" w:space="0" w:color="auto"/>
              <w:right w:val="single" w:sz="2" w:space="0" w:color="auto"/>
            </w:tcBorders>
          </w:tcPr>
          <w:p w14:paraId="5886A5DC" w14:textId="77777777" w:rsidR="00271FA2" w:rsidRPr="00F06DE2" w:rsidRDefault="00271FA2">
            <w:pPr>
              <w:adjustRightInd w:val="0"/>
              <w:spacing w:line="240" w:lineRule="atLeast"/>
              <w:rPr>
                <w:rFonts w:ascii="Times New Roman" w:hAnsi="Times New Roman" w:cs="Times New Roman"/>
                <w:lang w:val="ru-RU"/>
              </w:rPr>
            </w:pPr>
          </w:p>
        </w:tc>
        <w:tc>
          <w:tcPr>
            <w:tcW w:w="3250" w:type="dxa"/>
            <w:tcBorders>
              <w:top w:val="single" w:sz="2" w:space="0" w:color="auto"/>
              <w:left w:val="single" w:sz="2" w:space="0" w:color="auto"/>
              <w:bottom w:val="single" w:sz="2" w:space="0" w:color="auto"/>
              <w:right w:val="single" w:sz="2" w:space="0" w:color="auto"/>
            </w:tcBorders>
          </w:tcPr>
          <w:p w14:paraId="4095DB90"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Повреда на един отсек</w:t>
            </w:r>
          </w:p>
        </w:tc>
        <w:tc>
          <w:tcPr>
            <w:tcW w:w="3250" w:type="dxa"/>
            <w:tcBorders>
              <w:top w:val="single" w:sz="2" w:space="0" w:color="auto"/>
              <w:left w:val="single" w:sz="2" w:space="0" w:color="auto"/>
              <w:bottom w:val="single" w:sz="2" w:space="0" w:color="auto"/>
              <w:right w:val="single" w:sz="2" w:space="0" w:color="auto"/>
            </w:tcBorders>
          </w:tcPr>
          <w:p w14:paraId="5014F9B4"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Повреда на два отсека</w:t>
            </w:r>
          </w:p>
        </w:tc>
      </w:tr>
      <w:tr w:rsidR="00271FA2" w:rsidRPr="00F06DE2" w14:paraId="5FD4F06A" w14:textId="77777777">
        <w:tc>
          <w:tcPr>
            <w:tcW w:w="2786" w:type="dxa"/>
            <w:tcBorders>
              <w:top w:val="single" w:sz="2" w:space="0" w:color="auto"/>
              <w:left w:val="single" w:sz="2" w:space="0" w:color="auto"/>
              <w:bottom w:val="single" w:sz="2" w:space="0" w:color="auto"/>
              <w:right w:val="single" w:sz="2" w:space="0" w:color="auto"/>
            </w:tcBorders>
          </w:tcPr>
          <w:p w14:paraId="07A71487" w14:textId="77777777" w:rsidR="00271FA2" w:rsidRPr="00F06DE2" w:rsidRDefault="00D35E51">
            <w:pPr>
              <w:spacing w:line="240" w:lineRule="atLeast"/>
              <w:rPr>
                <w:rFonts w:ascii="Times New Roman" w:hAnsi="Times New Roman" w:cs="Times New Roman"/>
                <w:lang w:val="ru-RU"/>
              </w:rPr>
            </w:pPr>
            <w:r w:rsidRPr="00F06DE2">
              <w:rPr>
                <w:rFonts w:ascii="Times New Roman" w:hAnsi="Times New Roman" w:cs="Times New Roman"/>
                <w:lang w:val="ru-RU"/>
              </w:rPr>
              <w:t>Степен на повредата на борда</w:t>
            </w:r>
          </w:p>
        </w:tc>
        <w:tc>
          <w:tcPr>
            <w:tcW w:w="3250" w:type="dxa"/>
            <w:tcBorders>
              <w:top w:val="single" w:sz="2" w:space="0" w:color="auto"/>
              <w:left w:val="single" w:sz="2" w:space="0" w:color="auto"/>
              <w:bottom w:val="single" w:sz="2" w:space="0" w:color="auto"/>
              <w:right w:val="single" w:sz="2" w:space="0" w:color="auto"/>
            </w:tcBorders>
          </w:tcPr>
          <w:p w14:paraId="2FCB3C09" w14:textId="77777777" w:rsidR="00271FA2" w:rsidRPr="00F06DE2" w:rsidRDefault="00271FA2">
            <w:pPr>
              <w:spacing w:line="240" w:lineRule="atLeast"/>
              <w:jc w:val="center"/>
              <w:rPr>
                <w:rFonts w:ascii="Times New Roman" w:hAnsi="Times New Roman" w:cs="Times New Roman"/>
                <w:lang w:val="ru-RU"/>
              </w:rPr>
            </w:pPr>
          </w:p>
        </w:tc>
        <w:tc>
          <w:tcPr>
            <w:tcW w:w="3250" w:type="dxa"/>
            <w:tcBorders>
              <w:top w:val="single" w:sz="2" w:space="0" w:color="auto"/>
              <w:left w:val="single" w:sz="2" w:space="0" w:color="auto"/>
              <w:bottom w:val="single" w:sz="2" w:space="0" w:color="auto"/>
              <w:right w:val="single" w:sz="2" w:space="0" w:color="auto"/>
            </w:tcBorders>
          </w:tcPr>
          <w:p w14:paraId="22CAF991" w14:textId="77777777" w:rsidR="00271FA2" w:rsidRPr="00F06DE2" w:rsidRDefault="00271FA2">
            <w:pPr>
              <w:spacing w:line="240" w:lineRule="atLeast"/>
              <w:jc w:val="center"/>
              <w:rPr>
                <w:rFonts w:ascii="Times New Roman" w:hAnsi="Times New Roman" w:cs="Times New Roman"/>
                <w:lang w:val="ru-RU"/>
              </w:rPr>
            </w:pPr>
          </w:p>
        </w:tc>
      </w:tr>
      <w:tr w:rsidR="00271FA2" w:rsidRPr="00F06DE2" w14:paraId="3A1B5ADA" w14:textId="77777777">
        <w:tc>
          <w:tcPr>
            <w:tcW w:w="2786" w:type="dxa"/>
            <w:tcBorders>
              <w:top w:val="single" w:sz="2" w:space="0" w:color="auto"/>
              <w:left w:val="single" w:sz="2" w:space="0" w:color="auto"/>
              <w:bottom w:val="single" w:sz="2" w:space="0" w:color="auto"/>
              <w:right w:val="single" w:sz="2" w:space="0" w:color="auto"/>
            </w:tcBorders>
          </w:tcPr>
          <w:p w14:paraId="0717E9F4"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 xml:space="preserve">надлъжна </w:t>
            </w:r>
            <m:oMath>
              <m:r>
                <w:rPr>
                  <w:rFonts w:ascii="Cambria Math" w:hAnsi="Cambria Math" w:cs="Times New Roman"/>
                </w:rPr>
                <m:t xml:space="preserve">l </m:t>
              </m:r>
            </m:oMath>
            <w:r w:rsidRPr="00F06DE2">
              <w:rPr>
                <w:rFonts w:ascii="Times New Roman" w:hAnsi="Times New Roman" w:cs="Times New Roman"/>
              </w:rPr>
              <w:t>[m]</w:t>
            </w:r>
          </w:p>
        </w:tc>
        <w:tc>
          <w:tcPr>
            <w:tcW w:w="3250" w:type="dxa"/>
            <w:tcBorders>
              <w:top w:val="single" w:sz="2" w:space="0" w:color="auto"/>
              <w:left w:val="single" w:sz="2" w:space="0" w:color="auto"/>
              <w:bottom w:val="single" w:sz="2" w:space="0" w:color="auto"/>
              <w:right w:val="single" w:sz="2" w:space="0" w:color="auto"/>
            </w:tcBorders>
          </w:tcPr>
          <w:p w14:paraId="3B76E825" w14:textId="77777777" w:rsidR="00271FA2" w:rsidRPr="00F06DE2" w:rsidRDefault="00D35E51">
            <w:pPr>
              <w:spacing w:line="240" w:lineRule="atLeast"/>
              <w:rPr>
                <w:rFonts w:ascii="Times New Roman" w:hAnsi="Times New Roman" w:cs="Times New Roman"/>
                <w:lang w:val="ru-RU"/>
              </w:rPr>
            </w:pPr>
            <m:oMath>
              <m:r>
                <w:rPr>
                  <w:rFonts w:ascii="Cambria Math" w:hAnsi="Cambria Math" w:cs="Times New Roman"/>
                  <w:lang w:val="ru-RU"/>
                </w:rPr>
                <m:t xml:space="preserve">0,10 ∙ </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но не по-малко от 4,00</w:t>
            </w:r>
            <w:r w:rsidRPr="00F06DE2">
              <w:rPr>
                <w:rFonts w:ascii="Times New Roman" w:hAnsi="Times New Roman" w:cs="Times New Roman"/>
              </w:rPr>
              <w:t> m</w:t>
            </w:r>
          </w:p>
        </w:tc>
        <w:tc>
          <w:tcPr>
            <w:tcW w:w="3250" w:type="dxa"/>
            <w:tcBorders>
              <w:top w:val="single" w:sz="2" w:space="0" w:color="auto"/>
              <w:left w:val="single" w:sz="2" w:space="0" w:color="auto"/>
              <w:bottom w:val="single" w:sz="2" w:space="0" w:color="auto"/>
              <w:right w:val="single" w:sz="2" w:space="0" w:color="auto"/>
            </w:tcBorders>
          </w:tcPr>
          <w:p w14:paraId="5BB49740" w14:textId="77777777" w:rsidR="00271FA2" w:rsidRPr="00F06DE2" w:rsidRDefault="00D35E51">
            <w:pPr>
              <w:spacing w:line="240" w:lineRule="atLeast"/>
              <w:rPr>
                <w:rFonts w:ascii="Times New Roman" w:hAnsi="Times New Roman" w:cs="Times New Roman"/>
                <w:lang w:val="ru-RU"/>
              </w:rPr>
            </w:pPr>
            <m:oMath>
              <m:r>
                <w:rPr>
                  <w:rFonts w:ascii="Cambria Math" w:hAnsi="Cambria Math" w:cs="Times New Roman"/>
                  <w:lang w:val="ru-RU"/>
                </w:rPr>
                <m:t xml:space="preserve">0,05 ∙ </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но не по-малко от 2,25</w:t>
            </w:r>
            <w:r w:rsidRPr="00F06DE2">
              <w:rPr>
                <w:rFonts w:ascii="Times New Roman" w:hAnsi="Times New Roman" w:cs="Times New Roman"/>
              </w:rPr>
              <w:t> m</w:t>
            </w:r>
          </w:p>
        </w:tc>
      </w:tr>
      <w:tr w:rsidR="00271FA2" w:rsidRPr="00F06DE2" w14:paraId="5C606A2A" w14:textId="77777777">
        <w:tc>
          <w:tcPr>
            <w:tcW w:w="2786" w:type="dxa"/>
            <w:tcBorders>
              <w:top w:val="single" w:sz="2" w:space="0" w:color="auto"/>
              <w:left w:val="single" w:sz="2" w:space="0" w:color="auto"/>
              <w:bottom w:val="single" w:sz="2" w:space="0" w:color="auto"/>
              <w:right w:val="single" w:sz="2" w:space="0" w:color="auto"/>
            </w:tcBorders>
          </w:tcPr>
          <w:p w14:paraId="4679268D"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 xml:space="preserve">напречна </w:t>
            </w:r>
            <m:oMath>
              <m:r>
                <w:rPr>
                  <w:rFonts w:ascii="Cambria Math" w:hAnsi="Cambria Math" w:cs="Times New Roman"/>
                </w:rPr>
                <m:t xml:space="preserve">b </m:t>
              </m:r>
            </m:oMath>
            <w:r w:rsidRPr="00F06DE2">
              <w:rPr>
                <w:rFonts w:ascii="Times New Roman" w:hAnsi="Times New Roman" w:cs="Times New Roman"/>
              </w:rPr>
              <w:t xml:space="preserve"> [m]</w:t>
            </w:r>
          </w:p>
        </w:tc>
        <w:tc>
          <w:tcPr>
            <w:tcW w:w="3250" w:type="dxa"/>
            <w:tcBorders>
              <w:top w:val="single" w:sz="2" w:space="0" w:color="auto"/>
              <w:left w:val="single" w:sz="2" w:space="0" w:color="auto"/>
              <w:bottom w:val="single" w:sz="2" w:space="0" w:color="auto"/>
              <w:right w:val="single" w:sz="2" w:space="0" w:color="auto"/>
            </w:tcBorders>
          </w:tcPr>
          <w:p w14:paraId="30C8C265"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B/5</w:t>
            </w:r>
          </w:p>
        </w:tc>
        <w:tc>
          <w:tcPr>
            <w:tcW w:w="3250" w:type="dxa"/>
            <w:tcBorders>
              <w:top w:val="single" w:sz="2" w:space="0" w:color="auto"/>
              <w:left w:val="single" w:sz="2" w:space="0" w:color="auto"/>
              <w:bottom w:val="single" w:sz="2" w:space="0" w:color="auto"/>
              <w:right w:val="single" w:sz="2" w:space="0" w:color="auto"/>
            </w:tcBorders>
          </w:tcPr>
          <w:p w14:paraId="20D667FF"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0,59</w:t>
            </w:r>
          </w:p>
        </w:tc>
      </w:tr>
      <w:tr w:rsidR="00271FA2" w:rsidRPr="00F06DE2" w14:paraId="0838964C" w14:textId="77777777">
        <w:tc>
          <w:tcPr>
            <w:tcW w:w="2786" w:type="dxa"/>
            <w:tcBorders>
              <w:top w:val="single" w:sz="2" w:space="0" w:color="auto"/>
              <w:left w:val="single" w:sz="2" w:space="0" w:color="auto"/>
              <w:bottom w:val="single" w:sz="2" w:space="0" w:color="auto"/>
              <w:right w:val="single" w:sz="2" w:space="0" w:color="auto"/>
            </w:tcBorders>
          </w:tcPr>
          <w:p w14:paraId="79D5C6DD"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 xml:space="preserve">вертикална </w:t>
            </w:r>
            <m:oMath>
              <m:r>
                <w:rPr>
                  <w:rFonts w:ascii="Cambria Math" w:hAnsi="Cambria Math" w:cs="Times New Roman"/>
                </w:rPr>
                <m:t>h</m:t>
              </m:r>
            </m:oMath>
            <w:r w:rsidRPr="00F06DE2">
              <w:rPr>
                <w:rFonts w:ascii="Times New Roman" w:hAnsi="Times New Roman" w:cs="Times New Roman"/>
              </w:rPr>
              <w:t xml:space="preserve"> [m]</w:t>
            </w:r>
          </w:p>
        </w:tc>
        <w:tc>
          <w:tcPr>
            <w:tcW w:w="6500" w:type="dxa"/>
            <w:gridSpan w:val="2"/>
            <w:tcBorders>
              <w:top w:val="single" w:sz="2" w:space="0" w:color="auto"/>
              <w:left w:val="single" w:sz="2" w:space="0" w:color="auto"/>
              <w:bottom w:val="single" w:sz="2" w:space="0" w:color="auto"/>
              <w:right w:val="single" w:sz="2" w:space="0" w:color="auto"/>
            </w:tcBorders>
          </w:tcPr>
          <w:p w14:paraId="193B04EC" w14:textId="77777777" w:rsidR="00271FA2" w:rsidRPr="00F06DE2" w:rsidRDefault="00D35E51">
            <w:pPr>
              <w:spacing w:line="240" w:lineRule="atLeast"/>
              <w:rPr>
                <w:rFonts w:ascii="Times New Roman" w:hAnsi="Times New Roman" w:cs="Times New Roman"/>
                <w:lang w:val="ru-RU"/>
              </w:rPr>
            </w:pPr>
            <w:r w:rsidRPr="00F06DE2">
              <w:rPr>
                <w:rFonts w:ascii="Times New Roman" w:hAnsi="Times New Roman" w:cs="Times New Roman"/>
                <w:lang w:val="ru-RU"/>
              </w:rPr>
              <w:t>от дъното на плавателния съд догоре без ограничение</w:t>
            </w:r>
          </w:p>
        </w:tc>
      </w:tr>
      <w:tr w:rsidR="00271FA2" w:rsidRPr="00F06DE2" w14:paraId="4D1479C9" w14:textId="77777777">
        <w:tc>
          <w:tcPr>
            <w:tcW w:w="2786" w:type="dxa"/>
            <w:tcBorders>
              <w:top w:val="single" w:sz="2" w:space="0" w:color="auto"/>
              <w:left w:val="single" w:sz="2" w:space="0" w:color="auto"/>
              <w:bottom w:val="single" w:sz="2" w:space="0" w:color="auto"/>
              <w:right w:val="single" w:sz="2" w:space="0" w:color="auto"/>
            </w:tcBorders>
          </w:tcPr>
          <w:p w14:paraId="7DEA9CCD" w14:textId="77777777" w:rsidR="00271FA2" w:rsidRPr="00F06DE2" w:rsidRDefault="00D35E51">
            <w:pPr>
              <w:spacing w:line="240" w:lineRule="atLeast"/>
              <w:rPr>
                <w:rFonts w:ascii="Times New Roman" w:hAnsi="Times New Roman" w:cs="Times New Roman"/>
                <w:lang w:val="ru-RU"/>
              </w:rPr>
            </w:pPr>
            <w:r w:rsidRPr="00F06DE2">
              <w:rPr>
                <w:rFonts w:ascii="Times New Roman" w:hAnsi="Times New Roman" w:cs="Times New Roman"/>
                <w:lang w:val="ru-RU"/>
              </w:rPr>
              <w:t>Степен на повредата на дъното</w:t>
            </w:r>
          </w:p>
        </w:tc>
        <w:tc>
          <w:tcPr>
            <w:tcW w:w="3250" w:type="dxa"/>
            <w:tcBorders>
              <w:top w:val="single" w:sz="2" w:space="0" w:color="auto"/>
              <w:left w:val="single" w:sz="2" w:space="0" w:color="auto"/>
              <w:bottom w:val="single" w:sz="2" w:space="0" w:color="auto"/>
              <w:right w:val="single" w:sz="2" w:space="0" w:color="auto"/>
            </w:tcBorders>
          </w:tcPr>
          <w:p w14:paraId="2C8E5158" w14:textId="77777777" w:rsidR="00271FA2" w:rsidRPr="00F06DE2" w:rsidRDefault="00271FA2">
            <w:pPr>
              <w:spacing w:line="240" w:lineRule="atLeast"/>
              <w:jc w:val="center"/>
              <w:rPr>
                <w:rFonts w:ascii="Times New Roman" w:hAnsi="Times New Roman" w:cs="Times New Roman"/>
                <w:lang w:val="ru-RU"/>
              </w:rPr>
            </w:pPr>
          </w:p>
        </w:tc>
        <w:tc>
          <w:tcPr>
            <w:tcW w:w="3250" w:type="dxa"/>
            <w:tcBorders>
              <w:top w:val="single" w:sz="2" w:space="0" w:color="auto"/>
              <w:left w:val="single" w:sz="2" w:space="0" w:color="auto"/>
              <w:bottom w:val="single" w:sz="2" w:space="0" w:color="auto"/>
              <w:right w:val="single" w:sz="2" w:space="0" w:color="auto"/>
            </w:tcBorders>
          </w:tcPr>
          <w:p w14:paraId="6AD373F5" w14:textId="77777777" w:rsidR="00271FA2" w:rsidRPr="00F06DE2" w:rsidRDefault="00271FA2">
            <w:pPr>
              <w:spacing w:line="240" w:lineRule="atLeast"/>
              <w:jc w:val="center"/>
              <w:rPr>
                <w:rFonts w:ascii="Times New Roman" w:hAnsi="Times New Roman" w:cs="Times New Roman"/>
                <w:lang w:val="ru-RU"/>
              </w:rPr>
            </w:pPr>
          </w:p>
        </w:tc>
      </w:tr>
      <w:tr w:rsidR="00271FA2" w:rsidRPr="00F06DE2" w14:paraId="1EE50833" w14:textId="77777777">
        <w:tc>
          <w:tcPr>
            <w:tcW w:w="2786" w:type="dxa"/>
            <w:tcBorders>
              <w:top w:val="single" w:sz="2" w:space="0" w:color="auto"/>
              <w:left w:val="single" w:sz="2" w:space="0" w:color="auto"/>
              <w:bottom w:val="single" w:sz="2" w:space="0" w:color="auto"/>
              <w:right w:val="single" w:sz="2" w:space="0" w:color="auto"/>
            </w:tcBorders>
          </w:tcPr>
          <w:p w14:paraId="2590F08F"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lastRenderedPageBreak/>
              <w:t xml:space="preserve">надлъжна </w:t>
            </w:r>
            <m:oMath>
              <m:r>
                <w:rPr>
                  <w:rFonts w:ascii="Cambria Math" w:hAnsi="Cambria Math" w:cs="Times New Roman"/>
                </w:rPr>
                <m:t>l</m:t>
              </m:r>
            </m:oMath>
            <w:r w:rsidRPr="00F06DE2">
              <w:rPr>
                <w:rFonts w:ascii="Times New Roman" w:hAnsi="Times New Roman" w:cs="Times New Roman"/>
              </w:rPr>
              <w:t xml:space="preserve"> [m]</w:t>
            </w:r>
          </w:p>
        </w:tc>
        <w:tc>
          <w:tcPr>
            <w:tcW w:w="3250" w:type="dxa"/>
            <w:tcBorders>
              <w:top w:val="single" w:sz="2" w:space="0" w:color="auto"/>
              <w:left w:val="single" w:sz="2" w:space="0" w:color="auto"/>
              <w:bottom w:val="single" w:sz="2" w:space="0" w:color="auto"/>
              <w:right w:val="single" w:sz="2" w:space="0" w:color="auto"/>
            </w:tcBorders>
          </w:tcPr>
          <w:p w14:paraId="44695DF0" w14:textId="77777777" w:rsidR="00271FA2" w:rsidRPr="00F06DE2" w:rsidRDefault="00D35E51">
            <w:pPr>
              <w:spacing w:line="240" w:lineRule="atLeast"/>
              <w:rPr>
                <w:rFonts w:ascii="Times New Roman" w:hAnsi="Times New Roman" w:cs="Times New Roman"/>
                <w:lang w:val="ru-RU"/>
              </w:rPr>
            </w:pPr>
            <m:oMath>
              <m:r>
                <w:rPr>
                  <w:rFonts w:ascii="Cambria Math" w:hAnsi="Cambria Math" w:cs="Times New Roman"/>
                  <w:lang w:val="ru-RU"/>
                </w:rPr>
                <m:t xml:space="preserve">0,10 ∙ </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но не по-малко от 4,00</w:t>
            </w:r>
            <w:r w:rsidRPr="00F06DE2">
              <w:rPr>
                <w:rFonts w:ascii="Times New Roman" w:hAnsi="Times New Roman" w:cs="Times New Roman"/>
              </w:rPr>
              <w:t> m</w:t>
            </w:r>
          </w:p>
        </w:tc>
        <w:tc>
          <w:tcPr>
            <w:tcW w:w="3250" w:type="dxa"/>
            <w:tcBorders>
              <w:top w:val="single" w:sz="2" w:space="0" w:color="auto"/>
              <w:left w:val="single" w:sz="2" w:space="0" w:color="auto"/>
              <w:bottom w:val="single" w:sz="2" w:space="0" w:color="auto"/>
              <w:right w:val="single" w:sz="2" w:space="0" w:color="auto"/>
            </w:tcBorders>
          </w:tcPr>
          <w:p w14:paraId="19459EAD" w14:textId="77777777" w:rsidR="00271FA2" w:rsidRPr="00F06DE2" w:rsidRDefault="00D35E51">
            <w:pPr>
              <w:spacing w:line="240" w:lineRule="atLeast"/>
              <w:rPr>
                <w:rFonts w:ascii="Times New Roman" w:hAnsi="Times New Roman" w:cs="Times New Roman"/>
                <w:lang w:val="ru-RU"/>
              </w:rPr>
            </w:pPr>
            <m:oMath>
              <m:r>
                <w:rPr>
                  <w:rFonts w:ascii="Cambria Math" w:hAnsi="Cambria Math" w:cs="Times New Roman"/>
                  <w:lang w:val="ru-RU"/>
                </w:rPr>
                <m:t xml:space="preserve">0,05 ∙ </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но не по-малко от 2,25</w:t>
            </w:r>
            <w:r w:rsidRPr="00F06DE2">
              <w:rPr>
                <w:rFonts w:ascii="Times New Roman" w:hAnsi="Times New Roman" w:cs="Times New Roman"/>
              </w:rPr>
              <w:t> m</w:t>
            </w:r>
          </w:p>
        </w:tc>
      </w:tr>
      <w:tr w:rsidR="00271FA2" w:rsidRPr="00F06DE2" w14:paraId="4A74084A" w14:textId="77777777">
        <w:tc>
          <w:tcPr>
            <w:tcW w:w="2786" w:type="dxa"/>
            <w:tcBorders>
              <w:top w:val="single" w:sz="2" w:space="0" w:color="auto"/>
              <w:left w:val="single" w:sz="2" w:space="0" w:color="auto"/>
              <w:bottom w:val="single" w:sz="2" w:space="0" w:color="auto"/>
              <w:right w:val="single" w:sz="2" w:space="0" w:color="auto"/>
            </w:tcBorders>
          </w:tcPr>
          <w:p w14:paraId="53784C97"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 xml:space="preserve">напречна </w:t>
            </w:r>
            <m:oMath>
              <m:r>
                <w:rPr>
                  <w:rFonts w:ascii="Cambria Math" w:hAnsi="Cambria Math" w:cs="Times New Roman"/>
                </w:rPr>
                <m:t>b</m:t>
              </m:r>
            </m:oMath>
            <w:r w:rsidRPr="00F06DE2">
              <w:rPr>
                <w:rFonts w:ascii="Times New Roman" w:hAnsi="Times New Roman" w:cs="Times New Roman"/>
              </w:rPr>
              <w:t xml:space="preserve"> [m]</w:t>
            </w:r>
          </w:p>
        </w:tc>
        <w:tc>
          <w:tcPr>
            <w:tcW w:w="6500" w:type="dxa"/>
            <w:gridSpan w:val="2"/>
            <w:tcBorders>
              <w:top w:val="single" w:sz="2" w:space="0" w:color="auto"/>
              <w:left w:val="single" w:sz="2" w:space="0" w:color="auto"/>
              <w:bottom w:val="single" w:sz="2" w:space="0" w:color="auto"/>
              <w:right w:val="single" w:sz="2" w:space="0" w:color="auto"/>
            </w:tcBorders>
          </w:tcPr>
          <w:p w14:paraId="491F224F"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rPr>
              <w:t>B/5</w:t>
            </w:r>
          </w:p>
        </w:tc>
      </w:tr>
      <w:tr w:rsidR="00271FA2" w:rsidRPr="00F06DE2" w14:paraId="3779DA37" w14:textId="77777777">
        <w:tc>
          <w:tcPr>
            <w:tcW w:w="2786" w:type="dxa"/>
            <w:tcBorders>
              <w:top w:val="single" w:sz="2" w:space="0" w:color="auto"/>
              <w:left w:val="single" w:sz="2" w:space="0" w:color="auto"/>
              <w:bottom w:val="single" w:sz="2" w:space="0" w:color="auto"/>
              <w:right w:val="single" w:sz="2" w:space="0" w:color="auto"/>
            </w:tcBorders>
          </w:tcPr>
          <w:p w14:paraId="606EE5AF"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 xml:space="preserve">вертикална </w:t>
            </w:r>
            <m:oMath>
              <m:r>
                <w:rPr>
                  <w:rFonts w:ascii="Cambria Math" w:hAnsi="Cambria Math" w:cs="Times New Roman"/>
                </w:rPr>
                <m:t>h</m:t>
              </m:r>
            </m:oMath>
            <w:r w:rsidRPr="00F06DE2">
              <w:rPr>
                <w:rFonts w:ascii="Times New Roman" w:hAnsi="Times New Roman" w:cs="Times New Roman"/>
              </w:rPr>
              <w:t xml:space="preserve"> [m]</w:t>
            </w:r>
          </w:p>
        </w:tc>
        <w:tc>
          <w:tcPr>
            <w:tcW w:w="6500" w:type="dxa"/>
            <w:gridSpan w:val="2"/>
            <w:tcBorders>
              <w:top w:val="single" w:sz="2" w:space="0" w:color="auto"/>
              <w:left w:val="single" w:sz="2" w:space="0" w:color="auto"/>
              <w:bottom w:val="single" w:sz="2" w:space="0" w:color="auto"/>
              <w:right w:val="single" w:sz="2" w:space="0" w:color="auto"/>
            </w:tcBorders>
          </w:tcPr>
          <w:p w14:paraId="196E4C82" w14:textId="77777777" w:rsidR="00271FA2" w:rsidRPr="00F06DE2" w:rsidRDefault="00D35E51">
            <w:pPr>
              <w:spacing w:line="240" w:lineRule="atLeast"/>
              <w:rPr>
                <w:rFonts w:ascii="Times New Roman" w:hAnsi="Times New Roman" w:cs="Times New Roman"/>
                <w:lang w:val="ru-RU"/>
              </w:rPr>
            </w:pPr>
            <w:r w:rsidRPr="00F06DE2">
              <w:rPr>
                <w:rFonts w:ascii="Times New Roman" w:hAnsi="Times New Roman" w:cs="Times New Roman"/>
                <w:lang w:val="ru-RU"/>
              </w:rPr>
              <w:t>0,59; тръбопроводите, инсталирани в съответствие с член</w:t>
            </w:r>
            <w:r w:rsidRPr="00F06DE2">
              <w:rPr>
                <w:rFonts w:ascii="Times New Roman" w:hAnsi="Times New Roman" w:cs="Times New Roman"/>
              </w:rPr>
              <w:t> </w:t>
            </w:r>
            <w:r w:rsidRPr="00F06DE2">
              <w:rPr>
                <w:rFonts w:ascii="Times New Roman" w:hAnsi="Times New Roman" w:cs="Times New Roman"/>
                <w:lang w:val="ru-RU"/>
              </w:rPr>
              <w:t>19.02, точка 13, буква “в”, се смятат за незасегнати</w:t>
            </w:r>
          </w:p>
        </w:tc>
      </w:tr>
    </w:tbl>
    <w:p w14:paraId="58B5324A" w14:textId="77777777" w:rsidR="00271FA2" w:rsidRPr="00F06DE2" w:rsidRDefault="00D35E51" w:rsidP="003B0990">
      <w:pPr>
        <w:pStyle w:val="ESlet"/>
        <w:numPr>
          <w:ilvl w:val="0"/>
          <w:numId w:val="22"/>
        </w:numP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при състояние на повреда на един отсек преградите могат да бъдат приети за незасегнати, ако разстоянието между две съседни прегради е по-голямо от дължината на повредата. Надлъжните прегради на разстояние, по-малко от </w:t>
      </w:r>
      <w:r w:rsidRPr="00F06DE2">
        <w:rPr>
          <w:rFonts w:ascii="Times New Roman" w:hAnsi="Times New Roman" w:cs="Times New Roman"/>
        </w:rPr>
        <w:t>B</w:t>
      </w:r>
      <w:r w:rsidRPr="00F06DE2">
        <w:rPr>
          <w:rFonts w:ascii="Times New Roman" w:hAnsi="Times New Roman" w:cs="Times New Roman"/>
          <w:lang w:val="ru-RU"/>
        </w:rPr>
        <w:t>/3 от корпуса, измерено перпендикулярно на осевата линия от обшивката на корпуса при максимално газене, не се вземат под внимание за целите на изчислението. Ниша в напречна преграда, по-дълг</w:t>
      </w:r>
      <w:r w:rsidRPr="00F06DE2">
        <w:rPr>
          <w:rFonts w:ascii="Times New Roman" w:hAnsi="Times New Roman" w:cs="Times New Roman"/>
        </w:rPr>
        <w:t>a</w:t>
      </w:r>
      <w:r w:rsidRPr="00F06DE2">
        <w:rPr>
          <w:rFonts w:ascii="Times New Roman" w:hAnsi="Times New Roman" w:cs="Times New Roman"/>
          <w:lang w:val="ru-RU"/>
        </w:rPr>
        <w:t xml:space="preserve"> от 2,50 </w:t>
      </w:r>
      <w:r w:rsidRPr="00F06DE2">
        <w:rPr>
          <w:rFonts w:ascii="Times New Roman" w:hAnsi="Times New Roman" w:cs="Times New Roman"/>
        </w:rPr>
        <w:t>m</w:t>
      </w:r>
      <w:r w:rsidRPr="00F06DE2">
        <w:rPr>
          <w:rFonts w:ascii="Times New Roman" w:hAnsi="Times New Roman" w:cs="Times New Roman"/>
          <w:lang w:val="ru-RU"/>
        </w:rPr>
        <w:t>, се счита за надлъжна преграда;</w:t>
      </w:r>
    </w:p>
    <w:p w14:paraId="3A573792" w14:textId="77777777" w:rsidR="00271FA2" w:rsidRPr="00F06DE2" w:rsidRDefault="00D35E51" w:rsidP="003B099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при състояние на повреда на два отсека всяка преграда в рамките на обхвата на повредата се смята за засегната. Това означава, че местоположенията на преградите се избират по такъв начин, че да се осигури плавателният съд да остане на вода след наводняване на два или повече съседни отсека надлъжно;</w:t>
      </w:r>
    </w:p>
    <w:p w14:paraId="3EFBAB17" w14:textId="77777777" w:rsidR="00271FA2" w:rsidRPr="00F06DE2" w:rsidRDefault="00D35E51" w:rsidP="003B099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в) най-ниската точка на всеки отвор, който не е водонепроницаем (например врати, прозорци, люкове за достъп до трюмове), се намира на не по-малко от 0,10 </w:t>
      </w:r>
      <w:r w:rsidRPr="00F06DE2">
        <w:rPr>
          <w:rFonts w:ascii="Times New Roman" w:hAnsi="Times New Roman" w:cs="Times New Roman"/>
        </w:rPr>
        <w:t>m</w:t>
      </w:r>
      <w:r w:rsidRPr="00F06DE2">
        <w:rPr>
          <w:rFonts w:ascii="Times New Roman" w:hAnsi="Times New Roman" w:cs="Times New Roman"/>
          <w:lang w:val="ru-RU"/>
        </w:rPr>
        <w:t xml:space="preserve"> над повредената водолиния. Палубата на преградите не трябва да е под водата при последния етап на наводняване;</w:t>
      </w:r>
    </w:p>
    <w:p w14:paraId="57DF5D08" w14:textId="77777777" w:rsidR="00271FA2" w:rsidRPr="00F06DE2" w:rsidRDefault="00D35E51" w:rsidP="003B099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проницаемостта се приема за 95</w:t>
      </w:r>
      <w:r w:rsidRPr="00F06DE2">
        <w:rPr>
          <w:rFonts w:ascii="Times New Roman" w:hAnsi="Times New Roman" w:cs="Times New Roman"/>
        </w:rPr>
        <w:t> </w:t>
      </w:r>
      <w:r w:rsidRPr="00F06DE2">
        <w:rPr>
          <w:rFonts w:ascii="Times New Roman" w:hAnsi="Times New Roman" w:cs="Times New Roman"/>
          <w:lang w:val="ru-RU"/>
        </w:rPr>
        <w:t>%. Ако бъде доказано чрез изчисления, че средната проницаемост на някой отсек е по-малка от 95</w:t>
      </w:r>
      <w:r w:rsidRPr="00F06DE2">
        <w:rPr>
          <w:rFonts w:ascii="Times New Roman" w:hAnsi="Times New Roman" w:cs="Times New Roman"/>
        </w:rPr>
        <w:t> </w:t>
      </w:r>
      <w:r w:rsidRPr="00F06DE2">
        <w:rPr>
          <w:rFonts w:ascii="Times New Roman" w:hAnsi="Times New Roman" w:cs="Times New Roman"/>
          <w:lang w:val="ru-RU"/>
        </w:rPr>
        <w:t>%, изчислената стойност може да се използва вместо това.</w:t>
      </w:r>
    </w:p>
    <w:p w14:paraId="2F00E748" w14:textId="324108B3" w:rsidR="00271FA2" w:rsidRPr="00F06DE2" w:rsidRDefault="00D35E51" w:rsidP="003B0990">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Стойностите, които трябва да се приемат, не трябва да са по-ниски от:</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2"/>
        <w:gridCol w:w="1214"/>
      </w:tblGrid>
      <w:tr w:rsidR="00271FA2" w:rsidRPr="00F06DE2" w14:paraId="0C5CEFC8" w14:textId="77777777">
        <w:tc>
          <w:tcPr>
            <w:tcW w:w="7432" w:type="dxa"/>
            <w:shd w:val="clear" w:color="auto" w:fill="auto"/>
            <w:vAlign w:val="center"/>
          </w:tcPr>
          <w:p w14:paraId="50B573CC" w14:textId="77777777" w:rsidR="00271FA2" w:rsidRPr="00F06DE2" w:rsidRDefault="00D35E51">
            <w:pPr>
              <w:pStyle w:val="ESlet"/>
              <w:spacing w:before="0"/>
              <w:ind w:left="0"/>
              <w:rPr>
                <w:rFonts w:ascii="Times New Roman" w:hAnsi="Times New Roman" w:cs="Times New Roman"/>
              </w:rPr>
            </w:pPr>
            <w:r w:rsidRPr="00F06DE2">
              <w:rPr>
                <w:rFonts w:ascii="Times New Roman" w:hAnsi="Times New Roman" w:cs="Times New Roman"/>
              </w:rPr>
              <w:t>Салони</w:t>
            </w:r>
          </w:p>
        </w:tc>
        <w:tc>
          <w:tcPr>
            <w:tcW w:w="1214" w:type="dxa"/>
            <w:shd w:val="clear" w:color="auto" w:fill="auto"/>
            <w:vAlign w:val="center"/>
          </w:tcPr>
          <w:p w14:paraId="5C282D41" w14:textId="77777777" w:rsidR="00271FA2" w:rsidRPr="00F06DE2" w:rsidRDefault="00D35E51">
            <w:pPr>
              <w:pStyle w:val="ESlet"/>
              <w:spacing w:before="0"/>
              <w:ind w:left="0"/>
              <w:jc w:val="center"/>
              <w:rPr>
                <w:rFonts w:ascii="Times New Roman" w:hAnsi="Times New Roman" w:cs="Times New Roman"/>
              </w:rPr>
            </w:pPr>
            <w:r w:rsidRPr="00F06DE2">
              <w:rPr>
                <w:rFonts w:ascii="Times New Roman" w:hAnsi="Times New Roman" w:cs="Times New Roman"/>
              </w:rPr>
              <w:t>95 %</w:t>
            </w:r>
          </w:p>
        </w:tc>
      </w:tr>
      <w:tr w:rsidR="00271FA2" w:rsidRPr="00F06DE2" w14:paraId="31C5BC0B" w14:textId="77777777">
        <w:tc>
          <w:tcPr>
            <w:tcW w:w="7432" w:type="dxa"/>
            <w:shd w:val="clear" w:color="auto" w:fill="auto"/>
            <w:vAlign w:val="center"/>
          </w:tcPr>
          <w:p w14:paraId="646784F9" w14:textId="77777777" w:rsidR="00271FA2" w:rsidRPr="00F06DE2" w:rsidRDefault="00D35E51">
            <w:pPr>
              <w:pStyle w:val="ESlet"/>
              <w:spacing w:before="0"/>
              <w:ind w:left="0"/>
              <w:rPr>
                <w:rFonts w:ascii="Times New Roman" w:hAnsi="Times New Roman" w:cs="Times New Roman"/>
              </w:rPr>
            </w:pPr>
            <w:r w:rsidRPr="00F06DE2">
              <w:rPr>
                <w:rFonts w:ascii="Times New Roman" w:hAnsi="Times New Roman" w:cs="Times New Roman"/>
              </w:rPr>
              <w:t>Машинни и котелни отделения</w:t>
            </w:r>
          </w:p>
        </w:tc>
        <w:tc>
          <w:tcPr>
            <w:tcW w:w="1214" w:type="dxa"/>
            <w:shd w:val="clear" w:color="auto" w:fill="auto"/>
            <w:vAlign w:val="center"/>
          </w:tcPr>
          <w:p w14:paraId="726542EF" w14:textId="77777777" w:rsidR="00271FA2" w:rsidRPr="00F06DE2" w:rsidRDefault="00D35E51">
            <w:pPr>
              <w:pStyle w:val="ESlet"/>
              <w:spacing w:before="0"/>
              <w:ind w:left="0"/>
              <w:jc w:val="center"/>
              <w:rPr>
                <w:rFonts w:ascii="Times New Roman" w:hAnsi="Times New Roman" w:cs="Times New Roman"/>
              </w:rPr>
            </w:pPr>
            <w:r w:rsidRPr="00F06DE2">
              <w:rPr>
                <w:rFonts w:ascii="Times New Roman" w:hAnsi="Times New Roman" w:cs="Times New Roman"/>
              </w:rPr>
              <w:t>85 %</w:t>
            </w:r>
          </w:p>
        </w:tc>
      </w:tr>
      <w:tr w:rsidR="00271FA2" w:rsidRPr="00F06DE2" w14:paraId="5B146C13" w14:textId="77777777">
        <w:tc>
          <w:tcPr>
            <w:tcW w:w="7432" w:type="dxa"/>
            <w:shd w:val="clear" w:color="auto" w:fill="auto"/>
            <w:vAlign w:val="center"/>
          </w:tcPr>
          <w:p w14:paraId="09CBB729" w14:textId="77777777" w:rsidR="00271FA2" w:rsidRPr="00F06DE2" w:rsidRDefault="00D35E51">
            <w:pPr>
              <w:pStyle w:val="ESlet"/>
              <w:spacing w:before="0"/>
              <w:ind w:left="0"/>
              <w:rPr>
                <w:rFonts w:ascii="Times New Roman" w:hAnsi="Times New Roman" w:cs="Times New Roman"/>
                <w:lang w:val="ru-RU"/>
              </w:rPr>
            </w:pPr>
            <w:r w:rsidRPr="00F06DE2">
              <w:rPr>
                <w:rFonts w:ascii="Times New Roman" w:hAnsi="Times New Roman" w:cs="Times New Roman"/>
                <w:lang w:val="ru-RU"/>
              </w:rPr>
              <w:t>Помещения за багаж и складови помещения</w:t>
            </w:r>
          </w:p>
        </w:tc>
        <w:tc>
          <w:tcPr>
            <w:tcW w:w="1214" w:type="dxa"/>
            <w:shd w:val="clear" w:color="auto" w:fill="auto"/>
            <w:vAlign w:val="center"/>
          </w:tcPr>
          <w:p w14:paraId="673E461B" w14:textId="77777777" w:rsidR="00271FA2" w:rsidRPr="00F06DE2" w:rsidRDefault="00D35E51">
            <w:pPr>
              <w:pStyle w:val="ESlet"/>
              <w:spacing w:before="0"/>
              <w:ind w:left="0"/>
              <w:jc w:val="center"/>
              <w:rPr>
                <w:rFonts w:ascii="Times New Roman" w:hAnsi="Times New Roman" w:cs="Times New Roman"/>
              </w:rPr>
            </w:pPr>
            <w:r w:rsidRPr="00F06DE2">
              <w:rPr>
                <w:rFonts w:ascii="Times New Roman" w:hAnsi="Times New Roman" w:cs="Times New Roman"/>
              </w:rPr>
              <w:t>75 %</w:t>
            </w:r>
          </w:p>
        </w:tc>
      </w:tr>
      <w:tr w:rsidR="00271FA2" w:rsidRPr="00F06DE2" w14:paraId="6BECAFF1" w14:textId="77777777">
        <w:tc>
          <w:tcPr>
            <w:tcW w:w="7432" w:type="dxa"/>
            <w:shd w:val="clear" w:color="auto" w:fill="auto"/>
            <w:vAlign w:val="center"/>
          </w:tcPr>
          <w:p w14:paraId="3982EED1" w14:textId="77777777" w:rsidR="00271FA2" w:rsidRPr="00F06DE2" w:rsidRDefault="00D35E51">
            <w:pPr>
              <w:pStyle w:val="ESlet"/>
              <w:spacing w:before="0"/>
              <w:ind w:left="0"/>
              <w:jc w:val="both"/>
              <w:rPr>
                <w:rFonts w:ascii="Times New Roman" w:hAnsi="Times New Roman" w:cs="Times New Roman"/>
                <w:lang w:val="ru-RU"/>
              </w:rPr>
            </w:pPr>
            <w:r w:rsidRPr="00F06DE2">
              <w:rPr>
                <w:rFonts w:ascii="Times New Roman" w:hAnsi="Times New Roman" w:cs="Times New Roman"/>
                <w:lang w:val="ru-RU"/>
              </w:rPr>
              <w:t>Двойни дъна, бункери за гориво, баласт и други резервоари, в зависимост от това дали, според тяхното предназначение, за тях се приема, че са пълни или празни за плавателния съд, плаващ на равнината на максималното газене</w:t>
            </w:r>
          </w:p>
        </w:tc>
        <w:tc>
          <w:tcPr>
            <w:tcW w:w="1214" w:type="dxa"/>
            <w:shd w:val="clear" w:color="auto" w:fill="auto"/>
            <w:vAlign w:val="center"/>
          </w:tcPr>
          <w:p w14:paraId="6F10A090" w14:textId="77777777" w:rsidR="00271FA2" w:rsidRPr="00F06DE2" w:rsidRDefault="00D35E51">
            <w:pPr>
              <w:pStyle w:val="ESlet"/>
              <w:spacing w:before="0"/>
              <w:ind w:left="0"/>
              <w:jc w:val="center"/>
              <w:rPr>
                <w:rFonts w:ascii="Times New Roman" w:hAnsi="Times New Roman" w:cs="Times New Roman"/>
              </w:rPr>
            </w:pPr>
            <w:r w:rsidRPr="00F06DE2">
              <w:rPr>
                <w:rFonts w:ascii="Times New Roman" w:hAnsi="Times New Roman" w:cs="Times New Roman"/>
              </w:rPr>
              <w:t>0 % или 95 %</w:t>
            </w:r>
          </w:p>
        </w:tc>
      </w:tr>
    </w:tbl>
    <w:p w14:paraId="7226A5A9" w14:textId="77777777" w:rsidR="00271FA2" w:rsidRPr="00F06DE2" w:rsidRDefault="00D35E51" w:rsidP="003B099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в случай, че повреда с размери, по-малки от посочените по-горе, води до по-вредни последствия по отношение накреняване или загуба на метацентрична височина, тази повреда се взема под внимание за целите на изчисленията.</w:t>
      </w:r>
    </w:p>
    <w:p w14:paraId="4FAE4100" w14:textId="77777777" w:rsidR="00271FA2" w:rsidRPr="00F06DE2" w:rsidRDefault="00D35E51" w:rsidP="003B0990">
      <w:pPr>
        <w:pStyle w:val="ESch"/>
        <w:jc w:val="both"/>
        <w:rPr>
          <w:rFonts w:ascii="Times New Roman" w:eastAsia="Calibri"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За всички междинни етапи на наводняване, посочени в точка 8, трябва да бъдат изпълнени следните изисквания:</w:t>
      </w:r>
    </w:p>
    <w:p w14:paraId="6B007989" w14:textId="77777777" w:rsidR="00271FA2" w:rsidRPr="00F06DE2" w:rsidRDefault="00D35E51" w:rsidP="003B099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Ъгълът на крен </w:t>
      </w:r>
      <m:oMath>
        <m:r>
          <w:rPr>
            <w:rFonts w:ascii="Cambria Math" w:eastAsia="Calibri" w:hAnsi="Cambria Math" w:cs="Times New Roman"/>
          </w:rPr>
          <m:t>φ</m:t>
        </m:r>
      </m:oMath>
      <w:r w:rsidRPr="00F06DE2">
        <w:rPr>
          <w:rFonts w:ascii="Times New Roman" w:hAnsi="Times New Roman" w:cs="Times New Roman"/>
          <w:lang w:val="ru-RU"/>
        </w:rPr>
        <w:t xml:space="preserve"> в равновесното положение на съответния междинен етап не надхвърля 15°;</w:t>
      </w:r>
    </w:p>
    <w:p w14:paraId="0C436320" w14:textId="77777777" w:rsidR="00271FA2" w:rsidRPr="00F06DE2" w:rsidRDefault="00D35E51" w:rsidP="003B099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 Отвъд ъгъла на крен в равновесното положение на въпросния междинен етап, положителната част на кривата на рамото на изправящия момент дава стойност на рамото на изправящия момент </w:t>
      </w:r>
      <m:oMath>
        <m:r>
          <w:rPr>
            <w:rFonts w:ascii="Cambria Math" w:eastAsia="Calibri" w:hAnsi="Cambria Math" w:cs="Times New Roman"/>
          </w:rPr>
          <m:t>GZ</m:t>
        </m:r>
        <m:r>
          <w:rPr>
            <w:rFonts w:ascii="Cambria Math" w:eastAsia="Calibri" w:hAnsi="Cambria Math" w:cs="Times New Roman"/>
            <w:lang w:val="ru-RU"/>
          </w:rPr>
          <m:t xml:space="preserve"> ≥0,02 </m:t>
        </m:r>
        <m:r>
          <w:rPr>
            <w:rFonts w:ascii="Cambria Math" w:eastAsia="Calibri" w:hAnsi="Cambria Math" w:cs="Times New Roman"/>
          </w:rPr>
          <m:t>m</m:t>
        </m:r>
        <m:r>
          <w:rPr>
            <w:rFonts w:ascii="Cambria Math" w:eastAsia="Calibri" w:hAnsi="Cambria Math" w:cs="Times New Roman"/>
            <w:lang w:val="ru-RU"/>
          </w:rPr>
          <m:t xml:space="preserve"> </m:t>
        </m:r>
      </m:oMath>
      <w:r w:rsidRPr="00F06DE2">
        <w:rPr>
          <w:rFonts w:ascii="Times New Roman" w:hAnsi="Times New Roman" w:cs="Times New Roman"/>
          <w:lang w:val="ru-RU"/>
        </w:rPr>
        <w:t xml:space="preserve">, преди първият необезопасен отвор да бъде потопен или ъгълът на крен </w:t>
      </w:r>
      <m:oMath>
        <m:r>
          <w:rPr>
            <w:rFonts w:ascii="Cambria Math" w:eastAsia="Calibri" w:hAnsi="Cambria Math" w:cs="Times New Roman"/>
          </w:rPr>
          <m:t>φ</m:t>
        </m:r>
      </m:oMath>
      <w:r w:rsidRPr="00F06DE2">
        <w:rPr>
          <w:rFonts w:ascii="Times New Roman" w:hAnsi="Times New Roman" w:cs="Times New Roman"/>
          <w:lang w:val="ru-RU"/>
        </w:rPr>
        <w:t xml:space="preserve"> да достигне 25°;</w:t>
      </w:r>
    </w:p>
    <w:p w14:paraId="103E7AE6" w14:textId="77777777" w:rsidR="00271FA2" w:rsidRPr="00F06DE2" w:rsidRDefault="00D35E51" w:rsidP="003B099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Отворите, които не са водонепроницаеми, не са потопени преди достигане на ъгъла на крен в равновесното положение на въпросния междинен етап;</w:t>
      </w:r>
    </w:p>
    <w:p w14:paraId="47FD8CD7" w14:textId="77777777" w:rsidR="00271FA2" w:rsidRPr="00F06DE2" w:rsidRDefault="00D35E51" w:rsidP="003B099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Изчисленията на ефекта на откритата повърхност на всички междинни етапи на наводняване се основават на брутната площ на повредените отсеци.</w:t>
      </w:r>
    </w:p>
    <w:p w14:paraId="6510F24A" w14:textId="77777777" w:rsidR="00271FA2" w:rsidRPr="00F06DE2" w:rsidRDefault="00D35E51" w:rsidP="003B0990">
      <w:pPr>
        <w:pStyle w:val="ESch"/>
        <w:jc w:val="both"/>
        <w:rPr>
          <w:rFonts w:ascii="Times New Roman" w:eastAsia="Calibri" w:hAnsi="Times New Roman" w:cs="Times New Roman"/>
          <w:lang w:val="ru-RU"/>
        </w:rPr>
      </w:pPr>
      <w:r w:rsidRPr="00F06DE2">
        <w:rPr>
          <w:rFonts w:ascii="Times New Roman" w:hAnsi="Times New Roman" w:cs="Times New Roman"/>
          <w:lang w:val="ru-RU"/>
        </w:rPr>
        <w:t xml:space="preserve">11. </w:t>
      </w:r>
      <w:r w:rsidRPr="00F06DE2">
        <w:rPr>
          <w:rFonts w:ascii="Times New Roman" w:hAnsi="Times New Roman" w:cs="Times New Roman"/>
          <w:lang w:val="ru-RU"/>
        </w:rPr>
        <w:tab/>
        <w:t>В последния етап на наводняването трябва да бъдат изпълнени следните критерии, като се вземе предвид кренящият момент в съответствие с точка 4:</w:t>
      </w:r>
    </w:p>
    <w:p w14:paraId="562BE715" w14:textId="77777777" w:rsidR="00271FA2" w:rsidRPr="00F06DE2" w:rsidRDefault="00D35E51" w:rsidP="003B0990">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ъгълът на крен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E</m:t>
            </m:r>
          </m:sub>
        </m:sSub>
      </m:oMath>
      <w:r w:rsidRPr="00F06DE2">
        <w:rPr>
          <w:rFonts w:ascii="Times New Roman" w:hAnsi="Times New Roman" w:cs="Times New Roman"/>
          <w:lang w:val="ru-RU"/>
        </w:rPr>
        <w:t xml:space="preserve"> не превишава 10°;</w:t>
      </w:r>
    </w:p>
    <w:p w14:paraId="6D4D078A" w14:textId="26B02907" w:rsidR="00271FA2" w:rsidRPr="00F06DE2" w:rsidRDefault="00D35E51" w:rsidP="003B0990">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 xml:space="preserve">б) след равновесното положение положителната част на кривата на рамото на изправящия момент трябва да дава стойност за рамото на изправящия момент </w:t>
      </w:r>
      <m:oMath>
        <m:sSub>
          <m:sSubPr>
            <m:ctrlPr>
              <w:rPr>
                <w:rFonts w:ascii="Cambria Math" w:eastAsia="Calibri" w:hAnsi="Cambria Math" w:cs="Times New Roman"/>
                <w:i/>
              </w:rPr>
            </m:ctrlPr>
          </m:sSubPr>
          <m:e>
            <m:r>
              <w:rPr>
                <w:rFonts w:ascii="Cambria Math" w:eastAsia="Calibri" w:hAnsi="Cambria Math" w:cs="Times New Roman"/>
              </w:rPr>
              <m:t>GZ</m:t>
            </m:r>
          </m:e>
          <m:sub>
            <m:r>
              <w:rPr>
                <w:rFonts w:ascii="Cambria Math" w:eastAsia="Calibri" w:hAnsi="Cambria Math" w:cs="Times New Roman"/>
              </w:rPr>
              <m:t>R</m:t>
            </m:r>
          </m:sub>
        </m:sSub>
        <m:r>
          <w:rPr>
            <w:rFonts w:ascii="Cambria Math" w:eastAsia="Calibri" w:hAnsi="Cambria Math" w:cs="Times New Roman"/>
            <w:lang w:val="ru-RU"/>
          </w:rPr>
          <m:t xml:space="preserve"> ≥0,02 </m:t>
        </m:r>
        <m:r>
          <w:rPr>
            <w:rFonts w:ascii="Cambria Math" w:eastAsia="Calibri" w:hAnsi="Cambria Math" w:cs="Times New Roman"/>
          </w:rPr>
          <m:t>m</m:t>
        </m:r>
        <m:r>
          <w:rPr>
            <w:rFonts w:ascii="Cambria Math" w:eastAsia="Calibri" w:hAnsi="Cambria Math" w:cs="Times New Roman"/>
            <w:lang w:val="ru-RU"/>
          </w:rPr>
          <m:t xml:space="preserve"> </m:t>
        </m:r>
      </m:oMath>
      <w:r w:rsidRPr="00F06DE2">
        <w:rPr>
          <w:rFonts w:ascii="Times New Roman" w:hAnsi="Times New Roman" w:cs="Times New Roman"/>
          <w:lang w:val="ru-RU"/>
        </w:rPr>
        <w:t xml:space="preserve">с площ </w:t>
      </w:r>
      <m:oMath>
        <m:r>
          <w:rPr>
            <w:rFonts w:ascii="Cambria Math" w:eastAsia="Calibri" w:hAnsi="Cambria Math" w:cs="Times New Roman"/>
          </w:rPr>
          <m:t>A</m:t>
        </m:r>
        <m:r>
          <w:rPr>
            <w:rFonts w:ascii="Cambria Math" w:eastAsia="Calibri" w:hAnsi="Cambria Math" w:cs="Times New Roman"/>
            <w:lang w:val="ru-RU"/>
          </w:rPr>
          <m:t xml:space="preserve"> ≥0,0025 </m:t>
        </m:r>
        <m:r>
          <w:rPr>
            <w:rFonts w:ascii="Cambria Math" w:eastAsia="Calibri" w:hAnsi="Cambria Math" w:cs="Times New Roman"/>
          </w:rPr>
          <m:t>m</m:t>
        </m:r>
        <m:r>
          <w:rPr>
            <w:rFonts w:ascii="Cambria Math" w:eastAsia="Calibri" w:hAnsi="Cambria Math" w:cs="Times New Roman"/>
            <w:lang w:val="ru-RU"/>
          </w:rPr>
          <m:t xml:space="preserve"> ∙</m:t>
        </m:r>
        <m:r>
          <w:rPr>
            <w:rFonts w:ascii="Cambria Math" w:eastAsia="Calibri" w:hAnsi="Cambria Math" w:cs="Times New Roman"/>
          </w:rPr>
          <m:t>rad</m:t>
        </m:r>
      </m:oMath>
      <w:r w:rsidRPr="00F06DE2">
        <w:rPr>
          <w:rFonts w:ascii="Times New Roman" w:hAnsi="Times New Roman" w:cs="Times New Roman"/>
          <w:lang w:val="ru-RU"/>
        </w:rPr>
        <w:t>. Тази минимални стойности за устойчивост трябва да са изпълнени до момента на потапянето на първия необезопасен отвор или, във всички случаи, преди да</w:t>
      </w:r>
      <w:r w:rsidR="003B0990" w:rsidRPr="00F06DE2">
        <w:rPr>
          <w:rFonts w:ascii="Times New Roman" w:hAnsi="Times New Roman" w:cs="Times New Roman"/>
          <w:lang w:val="ru-RU"/>
        </w:rPr>
        <w:t xml:space="preserve"> се стигне ъгъл на крена от 25°.</w:t>
      </w:r>
    </w:p>
    <w:p w14:paraId="7072DE5B" w14:textId="29D5A0C4" w:rsidR="00271FA2" w:rsidRPr="00F06DE2" w:rsidRDefault="00784ED1" w:rsidP="00784ED1">
      <w:pPr>
        <w:spacing w:line="240" w:lineRule="atLeast"/>
        <w:jc w:val="center"/>
        <w:rPr>
          <w:rFonts w:ascii="Times New Roman" w:eastAsia="Calibri" w:hAnsi="Times New Roman" w:cs="Times New Roman"/>
        </w:rPr>
      </w:pPr>
      <w:r w:rsidRPr="00F06DE2">
        <w:rPr>
          <w:rFonts w:ascii="Times New Roman" w:hAnsi="Times New Roman" w:cs="Times New Roman"/>
          <w:noProof/>
          <w:lang w:eastAsia="bg-BG"/>
        </w:rPr>
        <w:drawing>
          <wp:inline distT="0" distB="0" distL="0" distR="0" wp14:anchorId="5943B80B" wp14:editId="59FBBEDA">
            <wp:extent cx="5919470" cy="3157855"/>
            <wp:effectExtent l="0" t="0" r="508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19470" cy="3157855"/>
                    </a:xfrm>
                    <a:prstGeom prst="rect">
                      <a:avLst/>
                    </a:prstGeom>
                    <a:noFill/>
                  </pic:spPr>
                </pic:pic>
              </a:graphicData>
            </a:graphic>
          </wp:inline>
        </w:drawing>
      </w:r>
      <w:r w:rsidR="00D35E51" w:rsidRPr="00F06DE2">
        <w:rPr>
          <w:rFonts w:ascii="Times New Roman" w:hAnsi="Times New Roman" w:cs="Times New Roman"/>
          <w:lang w:val="ru-RU"/>
        </w:rPr>
        <w:br w:type="page"/>
      </w:r>
    </w:p>
    <w:p w14:paraId="01C9419F" w14:textId="77777777" w:rsidR="00271FA2" w:rsidRPr="00F06DE2" w:rsidRDefault="00D35E51">
      <w:pPr>
        <w:pStyle w:val="EStiret"/>
        <w:spacing w:before="0"/>
        <w:ind w:left="0" w:firstLine="567"/>
        <w:rPr>
          <w:rFonts w:ascii="Times New Roman" w:eastAsia="Calibri" w:hAnsi="Times New Roman" w:cs="Times New Roman"/>
          <w:lang w:val="ru-RU"/>
        </w:rPr>
      </w:pPr>
      <w:r w:rsidRPr="00F06DE2">
        <w:rPr>
          <w:rFonts w:ascii="Times New Roman" w:hAnsi="Times New Roman" w:cs="Times New Roman"/>
          <w:lang w:val="ru-RU"/>
        </w:rPr>
        <w:lastRenderedPageBreak/>
        <w:t>Където:</w:t>
      </w:r>
    </w:p>
    <w:p w14:paraId="20E72E48" w14:textId="77777777" w:rsidR="00271FA2" w:rsidRPr="00F06DE2" w:rsidRDefault="002C62EC">
      <w:pPr>
        <w:pStyle w:val="EStiret"/>
        <w:spacing w:before="0"/>
        <w:ind w:left="993" w:hanging="426"/>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E</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е ъгълът на крена на последния етап на наводняване, като се отчита моментът в съответствие с раздел 4;</w:t>
      </w:r>
    </w:p>
    <w:p w14:paraId="5FE73881" w14:textId="77777777" w:rsidR="00271FA2" w:rsidRPr="00F06DE2" w:rsidRDefault="002C62EC">
      <w:pPr>
        <w:pStyle w:val="EStiret"/>
        <w:spacing w:before="0"/>
        <w:ind w:left="993" w:hanging="426"/>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m</m:t>
            </m:r>
          </m:sub>
        </m:sSub>
      </m:oMath>
      <w:r w:rsidR="00D35E51" w:rsidRPr="00F06DE2">
        <w:rPr>
          <w:rFonts w:ascii="Times New Roman" w:hAnsi="Times New Roman" w:cs="Times New Roman"/>
          <w:lang w:val="ru-RU"/>
        </w:rPr>
        <w:tab/>
        <w:t>е ъгълът на загуба на устойчивост, или ъгълът, при който първият необезопасен отвор бива потопен, или 25°; използва се този ъгъл, който се явява най-малък;</w:t>
      </w:r>
    </w:p>
    <w:p w14:paraId="446F8E1F" w14:textId="77777777" w:rsidR="00271FA2" w:rsidRPr="00F06DE2" w:rsidRDefault="002C62EC">
      <w:pPr>
        <w:pStyle w:val="EStiret"/>
        <w:spacing w:before="0"/>
        <w:ind w:left="1134" w:hanging="567"/>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GZ</m:t>
            </m:r>
          </m:e>
          <m:sub>
            <m:r>
              <w:rPr>
                <w:rFonts w:ascii="Cambria Math" w:eastAsia="Calibri" w:hAnsi="Cambria Math" w:cs="Times New Roman"/>
              </w:rPr>
              <m:t>R</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е оставащото рамо на изправящия момент на последния етап на наводняване, като се отчита моментът в съответствие с раздел 4;</w:t>
      </w:r>
    </w:p>
    <w:p w14:paraId="06AC0C43" w14:textId="77777777" w:rsidR="00271FA2" w:rsidRPr="00F06DE2" w:rsidRDefault="002C62EC">
      <w:pPr>
        <w:pStyle w:val="EStiret"/>
        <w:spacing w:before="0"/>
        <w:ind w:left="993" w:hanging="426"/>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GZ</m:t>
            </m:r>
          </m:e>
          <m:sub>
            <m:r>
              <w:rPr>
                <w:rFonts w:ascii="Cambria Math" w:eastAsia="Calibri" w:hAnsi="Cambria Math" w:cs="Times New Roman"/>
              </w:rPr>
              <m:t>K</m:t>
            </m:r>
          </m:sub>
        </m:sSub>
      </m:oMath>
      <w:r w:rsidR="00D35E51" w:rsidRPr="00F06DE2">
        <w:rPr>
          <w:rFonts w:ascii="Times New Roman" w:hAnsi="Times New Roman" w:cs="Times New Roman"/>
          <w:lang w:val="ru-RU"/>
        </w:rPr>
        <w:tab/>
        <w:t>е рамото на кренящия момент, резултат от момента съгласно раздел 4.</w:t>
      </w:r>
    </w:p>
    <w:p w14:paraId="115F2761" w14:textId="77777777" w:rsidR="00271FA2" w:rsidRPr="00F06DE2" w:rsidRDefault="00D35E51" w:rsidP="004926F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отворите, които не са водонепроницаеми, не трябва да са потопени преди достигане на равновесното положение. Ако отворите бъдат потопени преди този момент, за целите на изчисляването на устойчивостта в повредено състояние, помещенията им се смятат за наводнени.</w:t>
      </w:r>
    </w:p>
    <w:p w14:paraId="0A768131"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12.</w:t>
      </w:r>
      <w:r w:rsidRPr="00F06DE2">
        <w:rPr>
          <w:rFonts w:ascii="Times New Roman" w:hAnsi="Times New Roman" w:cs="Times New Roman"/>
          <w:lang w:val="ru-RU"/>
        </w:rPr>
        <w:tab/>
        <w:t>Спирателните устройства, които могат да се затварят водонепроницаемо, трябва да бъдат маркирани по съответния начин.</w:t>
      </w:r>
    </w:p>
    <w:p w14:paraId="7F46FD2E"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13.</w:t>
      </w:r>
      <w:r w:rsidRPr="00F06DE2">
        <w:rPr>
          <w:rFonts w:ascii="Times New Roman" w:hAnsi="Times New Roman" w:cs="Times New Roman"/>
          <w:lang w:val="ru-RU"/>
        </w:rPr>
        <w:tab/>
        <w:t>Ако са оформени отвори за взаимно наводняване между отсеците с цел намаляване асиметричното наводняване, трябва да са изпълнени следните условия:</w:t>
      </w:r>
    </w:p>
    <w:p w14:paraId="616BB962" w14:textId="77777777" w:rsidR="00271FA2" w:rsidRPr="00F06DE2" w:rsidRDefault="00D35E51" w:rsidP="004926F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за изчисляване на взаимното наводняване между отсеците се прилага Резолюция </w:t>
      </w:r>
      <w:r w:rsidRPr="00F06DE2">
        <w:rPr>
          <w:rFonts w:ascii="Times New Roman" w:hAnsi="Times New Roman" w:cs="Times New Roman"/>
        </w:rPr>
        <w:t>MSC</w:t>
      </w:r>
      <w:r w:rsidRPr="00F06DE2">
        <w:rPr>
          <w:rFonts w:ascii="Times New Roman" w:hAnsi="Times New Roman" w:cs="Times New Roman"/>
          <w:lang w:val="ru-RU"/>
        </w:rPr>
        <w:t>.362(92) на ИМО</w:t>
      </w:r>
      <w:r w:rsidRPr="00F06DE2">
        <w:rPr>
          <w:rStyle w:val="FootnoteReference"/>
          <w:rFonts w:ascii="Times New Roman" w:hAnsi="Times New Roman" w:cs="Times New Roman"/>
        </w:rPr>
        <w:footnoteReference w:id="11"/>
      </w:r>
      <w:r w:rsidRPr="00F06DE2">
        <w:rPr>
          <w:rFonts w:ascii="Times New Roman" w:hAnsi="Times New Roman" w:cs="Times New Roman"/>
          <w:lang w:val="ru-RU"/>
        </w:rPr>
        <w:t xml:space="preserve"> ;</w:t>
      </w:r>
    </w:p>
    <w:p w14:paraId="7CB3BF30"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б) отворите трябва да бъдат самозадействащи се;</w:t>
      </w:r>
    </w:p>
    <w:p w14:paraId="2FC74A3D" w14:textId="77777777" w:rsidR="001D128E"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lang w:val="ru-RU"/>
        </w:rPr>
        <w:t>в) отворите не трябва да са оборудвани със спирателни устройства;</w:t>
      </w:r>
    </w:p>
    <w:p w14:paraId="0C9DA382" w14:textId="3490BD9F" w:rsidR="00271FA2" w:rsidRPr="00F06DE2" w:rsidRDefault="00D35E51" w:rsidP="00C003D0">
      <w:pPr>
        <w:pStyle w:val="ESlet"/>
        <w:spacing w:before="0" w:after="240"/>
        <w:ind w:hanging="425"/>
        <w:jc w:val="both"/>
        <w:rPr>
          <w:rFonts w:ascii="Times New Roman" w:eastAsia="Calibri" w:hAnsi="Times New Roman" w:cs="Times New Roman"/>
          <w:lang w:val="ru-RU"/>
        </w:rPr>
      </w:pPr>
      <w:r w:rsidRPr="00F06DE2">
        <w:rPr>
          <w:rFonts w:ascii="Times New Roman" w:hAnsi="Times New Roman" w:cs="Times New Roman"/>
          <w:lang w:val="ru-RU"/>
        </w:rPr>
        <w:t>г) общото време, предвидено за компенсация, не трябва да надвишава 15 минути.</w:t>
      </w:r>
    </w:p>
    <w:p w14:paraId="16965DD6" w14:textId="3535E171" w:rsidR="00271FA2" w:rsidRPr="00F06DE2" w:rsidRDefault="00D35E51">
      <w:pPr>
        <w:pStyle w:val="ES-Titre3"/>
        <w:spacing w:line="240" w:lineRule="atLeast"/>
        <w:rPr>
          <w:rFonts w:ascii="Times New Roman" w:hAnsi="Times New Roman" w:cs="Times New Roman"/>
          <w:i/>
          <w:sz w:val="24"/>
          <w:szCs w:val="24"/>
          <w:lang w:val="ru-RU"/>
        </w:rPr>
      </w:pPr>
      <w:bookmarkStart w:id="340" w:name="_Toc535827614"/>
      <w:bookmarkStart w:id="341" w:name="_Toc491854173"/>
      <w:r w:rsidRPr="00F06DE2">
        <w:rPr>
          <w:rFonts w:ascii="Times New Roman" w:hAnsi="Times New Roman" w:cs="Times New Roman"/>
          <w:sz w:val="24"/>
          <w:szCs w:val="24"/>
          <w:lang w:val="ru-RU"/>
        </w:rPr>
        <w:t>Член 19.04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Безопасно разстояние и надводен борд</w:t>
      </w:r>
      <w:bookmarkEnd w:id="340"/>
      <w:bookmarkEnd w:id="341"/>
    </w:p>
    <w:p w14:paraId="219AA9A5" w14:textId="77777777" w:rsidR="00271FA2" w:rsidRPr="00F06DE2" w:rsidRDefault="00D35E51" w:rsidP="004926FA">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Безопасното разстояние трябва да е най-малко равно на сумата от:</w:t>
      </w:r>
    </w:p>
    <w:p w14:paraId="456ADCAF" w14:textId="77777777" w:rsidR="00271FA2" w:rsidRPr="00F06DE2" w:rsidRDefault="00D35E51" w:rsidP="004926F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допълнителното странично потапяне, което, измерено по обшивката на корпуса, се причинява от разрешения ъгъл на крен поради хора, вятър и обръщане съгласно член 19.03, точки 4, 5 и 6; и</w:t>
      </w:r>
    </w:p>
    <w:p w14:paraId="2FA0F2D4" w14:textId="77777777" w:rsidR="00271FA2" w:rsidRPr="00F06DE2" w:rsidRDefault="00D35E51" w:rsidP="004926F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 остатъчното безопасно разстояние най-малко 0,10 </w:t>
      </w:r>
      <w:r w:rsidRPr="00F06DE2">
        <w:rPr>
          <w:rFonts w:ascii="Times New Roman" w:hAnsi="Times New Roman" w:cs="Times New Roman"/>
        </w:rPr>
        <w:t>m</w:t>
      </w:r>
      <w:r w:rsidRPr="00F06DE2">
        <w:rPr>
          <w:rFonts w:ascii="Times New Roman" w:hAnsi="Times New Roman" w:cs="Times New Roman"/>
          <w:lang w:val="ru-RU"/>
        </w:rPr>
        <w:t xml:space="preserve"> за плавателни съдове без палуба на преградите безопасното разстояние трябва да бъде най-малко 0,50 </w:t>
      </w:r>
      <w:r w:rsidRPr="00F06DE2">
        <w:rPr>
          <w:rFonts w:ascii="Times New Roman" w:hAnsi="Times New Roman" w:cs="Times New Roman"/>
        </w:rPr>
        <w:t>m</w:t>
      </w:r>
      <w:r w:rsidRPr="00F06DE2">
        <w:rPr>
          <w:rFonts w:ascii="Times New Roman" w:hAnsi="Times New Roman" w:cs="Times New Roman"/>
          <w:lang w:val="ru-RU"/>
        </w:rPr>
        <w:t>.</w:t>
      </w:r>
    </w:p>
    <w:p w14:paraId="4C906CE8" w14:textId="77777777" w:rsidR="00271FA2" w:rsidRPr="00F06DE2" w:rsidRDefault="00D35E51" w:rsidP="004926FA">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Надводният борд трябва да бъде най-малко равен на сумата от:</w:t>
      </w:r>
    </w:p>
    <w:p w14:paraId="5BAEDB78" w14:textId="77777777" w:rsidR="00271FA2" w:rsidRPr="00F06DE2" w:rsidRDefault="00D35E51" w:rsidP="004926FA">
      <w:pPr>
        <w:pStyle w:val="ESch"/>
        <w:ind w:firstLine="0"/>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допълнителното странично потапяне, което, измерено по обшивката на корпуса, се причинява от ъгъла на крена поради хора, вятър и обръщане съгласно член 19.03, точка 4, 5 и 6; и</w:t>
      </w:r>
    </w:p>
    <w:p w14:paraId="5E26669B" w14:textId="77777777" w:rsidR="00271FA2" w:rsidRPr="00F06DE2" w:rsidRDefault="00D35E51" w:rsidP="004926F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 остатъчния надводен борд най-малко 0,20 </w:t>
      </w:r>
      <w:r w:rsidRPr="00F06DE2">
        <w:rPr>
          <w:rFonts w:ascii="Times New Roman" w:hAnsi="Times New Roman" w:cs="Times New Roman"/>
        </w:rPr>
        <w:t>m</w:t>
      </w:r>
      <w:r w:rsidRPr="00F06DE2">
        <w:rPr>
          <w:rFonts w:ascii="Times New Roman" w:hAnsi="Times New Roman" w:cs="Times New Roman"/>
          <w:lang w:val="ru-RU"/>
        </w:rPr>
        <w:t>.</w:t>
      </w:r>
    </w:p>
    <w:p w14:paraId="023B2440" w14:textId="77777777" w:rsidR="00271FA2" w:rsidRPr="00F06DE2" w:rsidRDefault="00D35E51" w:rsidP="004926FA">
      <w:pPr>
        <w:pStyle w:val="ESchpar"/>
        <w:jc w:val="both"/>
        <w:rPr>
          <w:rFonts w:ascii="Times New Roman" w:eastAsia="Calibri" w:hAnsi="Times New Roman" w:cs="Times New Roman"/>
          <w:lang w:val="ru-RU"/>
        </w:rPr>
      </w:pPr>
      <w:r w:rsidRPr="00F06DE2">
        <w:rPr>
          <w:rFonts w:ascii="Times New Roman" w:hAnsi="Times New Roman" w:cs="Times New Roman"/>
          <w:lang w:val="ru-RU"/>
        </w:rPr>
        <w:t xml:space="preserve">Надводният борд обаче трябва да бъде поне 0,30 </w:t>
      </w:r>
      <w:r w:rsidRPr="00F06DE2">
        <w:rPr>
          <w:rFonts w:ascii="Times New Roman" w:hAnsi="Times New Roman" w:cs="Times New Roman"/>
        </w:rPr>
        <w:t>m</w:t>
      </w:r>
      <w:r w:rsidRPr="00F06DE2">
        <w:rPr>
          <w:rFonts w:ascii="Times New Roman" w:hAnsi="Times New Roman" w:cs="Times New Roman"/>
          <w:lang w:val="ru-RU"/>
        </w:rPr>
        <w:t>.</w:t>
      </w:r>
    </w:p>
    <w:p w14:paraId="31EA59DB" w14:textId="77777777" w:rsidR="00271FA2" w:rsidRPr="00F06DE2" w:rsidRDefault="00D35E51" w:rsidP="004926FA">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Равнината на максималното газене се определя, така че да осигури съответствие с безопасно разстояние съгласно точка 1 и надводния борд съгласно точка 2 и членове 19.02 и 19.03.</w:t>
      </w:r>
    </w:p>
    <w:p w14:paraId="0685FFA8" w14:textId="77777777" w:rsidR="00271FA2" w:rsidRPr="00F06DE2" w:rsidRDefault="00D35E51" w:rsidP="004926FA">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От съображения за безопасност контролният орган може да установи по-голямо безопасно разстояние или по-голям надводен борд.</w:t>
      </w:r>
    </w:p>
    <w:p w14:paraId="300FF660" w14:textId="77777777" w:rsidR="004926FA" w:rsidRPr="00F06DE2" w:rsidRDefault="004926FA">
      <w:pPr>
        <w:pStyle w:val="ES-Titre3"/>
        <w:spacing w:line="240" w:lineRule="atLeast"/>
        <w:rPr>
          <w:rFonts w:ascii="Times New Roman" w:hAnsi="Times New Roman" w:cs="Times New Roman"/>
          <w:sz w:val="24"/>
          <w:szCs w:val="24"/>
          <w:lang w:val="ru-RU"/>
        </w:rPr>
      </w:pPr>
      <w:bookmarkStart w:id="342" w:name="_Toc535827615"/>
      <w:bookmarkStart w:id="343" w:name="_Toc491854174"/>
    </w:p>
    <w:p w14:paraId="5DAD7305" w14:textId="443E9611"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19.05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Максимално допустим брой пътници</w:t>
      </w:r>
      <w:bookmarkEnd w:id="342"/>
      <w:bookmarkEnd w:id="343"/>
    </w:p>
    <w:p w14:paraId="62228059" w14:textId="77777777" w:rsidR="00271FA2" w:rsidRPr="00F06DE2" w:rsidRDefault="00D35E51" w:rsidP="004926FA">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Контролният орган определя максимално допустимия брой пътници и записва цифрата в Корабното удостоверение за вътрешно корабоплаване.</w:t>
      </w:r>
    </w:p>
    <w:p w14:paraId="60A2C7FF" w14:textId="77777777" w:rsidR="00271FA2" w:rsidRPr="00F06DE2" w:rsidRDefault="00D35E51" w:rsidP="004926FA">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Максимално допустимият брой пътници не може да превишава някоя от следните стойности:</w:t>
      </w:r>
    </w:p>
    <w:p w14:paraId="5FDF7087" w14:textId="77777777" w:rsidR="00271FA2" w:rsidRPr="00F06DE2" w:rsidRDefault="00D35E51" w:rsidP="004926F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броя пътници, за които наличието на сборен пункт за евакуация съгласно член</w:t>
      </w:r>
      <w:r w:rsidRPr="00F06DE2">
        <w:rPr>
          <w:rFonts w:ascii="Times New Roman" w:hAnsi="Times New Roman" w:cs="Times New Roman"/>
        </w:rPr>
        <w:t> </w:t>
      </w:r>
      <w:r w:rsidRPr="00F06DE2">
        <w:rPr>
          <w:rFonts w:ascii="Times New Roman" w:hAnsi="Times New Roman" w:cs="Times New Roman"/>
          <w:lang w:val="ru-RU"/>
        </w:rPr>
        <w:t>19.06, точка 8 е доказано;</w:t>
      </w:r>
    </w:p>
    <w:p w14:paraId="19ECE4A7" w14:textId="77777777" w:rsidR="00271FA2" w:rsidRPr="00F06DE2" w:rsidRDefault="00D35E51" w:rsidP="004926F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броя пътници, взет под внимание при пресмятането на устойчивостта съгласно член 19.03;</w:t>
      </w:r>
    </w:p>
    <w:p w14:paraId="300CACF1" w14:textId="77777777" w:rsidR="00271FA2" w:rsidRPr="00F06DE2" w:rsidRDefault="00D35E51" w:rsidP="004926FA">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броя на наличните спални места за пътници на пътнически плавателни съдове с каюти, използвани за пътувания с нощувки.</w:t>
      </w:r>
    </w:p>
    <w:p w14:paraId="71535DF5" w14:textId="77777777" w:rsidR="00271FA2" w:rsidRPr="00F06DE2" w:rsidRDefault="00D35E51" w:rsidP="004926FA">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При плавателни съдове с каюти, които се използват също като плавателни съдове за дневни пътувания, броят пътници се изчислява за ползване, както като плавателни съдове за дневни пътувания, така и като пътнически плавателни съдове с каюти и се записва в Корабното удостоверение за вътрешно корабоплаване.</w:t>
      </w:r>
    </w:p>
    <w:p w14:paraId="264879FD" w14:textId="77777777" w:rsidR="00271FA2" w:rsidRPr="00F06DE2" w:rsidRDefault="00D35E51" w:rsidP="00C003D0">
      <w:pPr>
        <w:pStyle w:val="ESch"/>
        <w:spacing w:after="240"/>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Максимално допустимият брой пътници се посочва на ясно четливи и видими табели на борда на плавателния съд и на плана за безопасност посочен в член 19.13, точка 2.</w:t>
      </w:r>
    </w:p>
    <w:p w14:paraId="457CADA9" w14:textId="10535174" w:rsidR="00271FA2" w:rsidRPr="00F06DE2" w:rsidRDefault="00D35E51">
      <w:pPr>
        <w:pStyle w:val="ES-Titre3"/>
        <w:spacing w:line="240" w:lineRule="atLeast"/>
        <w:rPr>
          <w:rFonts w:ascii="Times New Roman" w:hAnsi="Times New Roman" w:cs="Times New Roman"/>
          <w:i/>
          <w:sz w:val="24"/>
          <w:szCs w:val="24"/>
          <w:lang w:val="ru-RU"/>
        </w:rPr>
      </w:pPr>
      <w:bookmarkStart w:id="344" w:name="_Toc491854175"/>
      <w:bookmarkStart w:id="345" w:name="_Toc535827616"/>
      <w:r w:rsidRPr="00F06DE2">
        <w:rPr>
          <w:rFonts w:ascii="Times New Roman" w:hAnsi="Times New Roman" w:cs="Times New Roman"/>
          <w:sz w:val="24"/>
          <w:szCs w:val="24"/>
          <w:lang w:val="ru-RU"/>
        </w:rPr>
        <w:t>Член 19.06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Помещения и пространства за пътници</w:t>
      </w:r>
      <w:bookmarkEnd w:id="344"/>
      <w:bookmarkEnd w:id="345"/>
    </w:p>
    <w:p w14:paraId="5B1F0290" w14:textId="77777777" w:rsidR="00271FA2" w:rsidRPr="00F06DE2" w:rsidRDefault="00D35E51" w:rsidP="00373BEF">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Помещенията за пътници:</w:t>
      </w:r>
    </w:p>
    <w:p w14:paraId="4FB223CE"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на всички палуби трябва да се намират зад равнището на първата носова непроницаема преграда и ако са под палубата на преградите, пред равнината на ахтерпиковата преграда; и</w:t>
      </w:r>
    </w:p>
    <w:p w14:paraId="00147958"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трябва да са отделени по газонепроницаем начин от машинното и котелното отделение.</w:t>
      </w:r>
    </w:p>
    <w:p w14:paraId="2C7FE0D7" w14:textId="77777777" w:rsidR="00271FA2" w:rsidRPr="00F06DE2" w:rsidRDefault="00D35E51" w:rsidP="00373BEF">
      <w:pPr>
        <w:pStyle w:val="ESchpar"/>
        <w:jc w:val="both"/>
        <w:rPr>
          <w:rFonts w:ascii="Times New Roman" w:eastAsia="Calibri" w:hAnsi="Times New Roman" w:cs="Times New Roman"/>
          <w:lang w:val="ru-RU"/>
        </w:rPr>
      </w:pPr>
      <w:r w:rsidRPr="00F06DE2">
        <w:rPr>
          <w:rFonts w:ascii="Times New Roman" w:hAnsi="Times New Roman" w:cs="Times New Roman"/>
          <w:lang w:val="ru-RU"/>
        </w:rPr>
        <w:t>Частите на палубата, които са затворени от навеси или подобни подвижни съоръжения не само отгоре, но също така напълно или частично отстрани, трябва да отговарят на същите изисквания като затворените помещения за пътници.</w:t>
      </w:r>
    </w:p>
    <w:p w14:paraId="40E1509A" w14:textId="77777777" w:rsidR="00271FA2" w:rsidRPr="00F06DE2" w:rsidRDefault="00D35E51" w:rsidP="00373BEF">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Шкафовете и помещенията, посочени в член 14.13 и предназначени за съхранение на запалими течности, са извън пространствата за пътници.</w:t>
      </w:r>
    </w:p>
    <w:p w14:paraId="1EDE09C6" w14:textId="77777777" w:rsidR="00271FA2" w:rsidRPr="00F06DE2" w:rsidRDefault="00D35E51" w:rsidP="00373BEF">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Броят и ширината на изходите от помещенията за пътници трябва да съответстват на следните изисквания:</w:t>
      </w:r>
    </w:p>
    <w:p w14:paraId="4729C500"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Помещенията или групите от помещения, проектирани или устроени за 30 или повече пътници или включващи спални места за 12 или повече пътници, трябва да имат най-малко два изхода, които са доколкото е възможно най-отдалечени един от друг. На плавателните съдове за дневни пътувания един от тези два изхода може да бъде заместен от два аварийни изхода. Помещенията, с изключение на каютите, и групи помещения, които имат само един изход, трябва да имат поне един авариен изход;</w:t>
      </w:r>
    </w:p>
    <w:p w14:paraId="28776333"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Ако помещенията се намират под палубата на преградите, един от изходите може да бъде водонепроницаема врата в преградата съгласно член 19.02, точка 10, водеща към съседен отсек, от който може да се стигне директно до горната палуба. Другият изход трябва да извежда пряко или, ако е разрешено по буква “а”, под формата на авариен изход на открито или към палубата на преградите. Това изискване не важи за отделните каюти;</w:t>
      </w:r>
    </w:p>
    <w:p w14:paraId="072558F9"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в) Изходите съгласно букви “а” и “б” трябва да са подходящо разположени и да имат габаритна ширина от не по-малко от 0,80 </w:t>
      </w:r>
      <w:r w:rsidRPr="00F06DE2">
        <w:rPr>
          <w:rFonts w:ascii="Times New Roman" w:hAnsi="Times New Roman" w:cs="Times New Roman"/>
        </w:rPr>
        <w:t>m</w:t>
      </w:r>
      <w:r w:rsidRPr="00F06DE2">
        <w:rPr>
          <w:rFonts w:ascii="Times New Roman" w:hAnsi="Times New Roman" w:cs="Times New Roman"/>
          <w:lang w:val="ru-RU"/>
        </w:rPr>
        <w:t xml:space="preserve"> и габаритна височина не по-малко от 2,00 </w:t>
      </w:r>
      <w:r w:rsidRPr="00F06DE2">
        <w:rPr>
          <w:rFonts w:ascii="Times New Roman" w:hAnsi="Times New Roman" w:cs="Times New Roman"/>
        </w:rPr>
        <w:t>m</w:t>
      </w:r>
      <w:r w:rsidRPr="00F06DE2">
        <w:rPr>
          <w:rFonts w:ascii="Times New Roman" w:hAnsi="Times New Roman" w:cs="Times New Roman"/>
          <w:lang w:val="ru-RU"/>
        </w:rPr>
        <w:t xml:space="preserve">. За вратите на пътническите каюти и други малки помещения габаритната ширина може да бъде намалена до 0,70 </w:t>
      </w:r>
      <w:r w:rsidRPr="00F06DE2">
        <w:rPr>
          <w:rFonts w:ascii="Times New Roman" w:hAnsi="Times New Roman" w:cs="Times New Roman"/>
        </w:rPr>
        <w:t>m</w:t>
      </w:r>
      <w:r w:rsidRPr="00F06DE2">
        <w:rPr>
          <w:rFonts w:ascii="Times New Roman" w:hAnsi="Times New Roman" w:cs="Times New Roman"/>
          <w:lang w:val="ru-RU"/>
        </w:rPr>
        <w:t>;</w:t>
      </w:r>
    </w:p>
    <w:p w14:paraId="3ED2F9D6"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lastRenderedPageBreak/>
        <w:t xml:space="preserve">г) В случая на помещения или групи от помещения, предназначени за повече от 80 пътници, сумата от широчините на всички изходи, предназначени за пътниците и използвани от тях при извънредни ситуации, трябва да е не по-малко от 0,01 </w:t>
      </w:r>
      <w:r w:rsidRPr="00F06DE2">
        <w:rPr>
          <w:rFonts w:ascii="Times New Roman" w:hAnsi="Times New Roman" w:cs="Times New Roman"/>
        </w:rPr>
        <w:t>m</w:t>
      </w:r>
      <w:r w:rsidRPr="00F06DE2">
        <w:rPr>
          <w:rFonts w:ascii="Times New Roman" w:hAnsi="Times New Roman" w:cs="Times New Roman"/>
          <w:lang w:val="ru-RU"/>
        </w:rPr>
        <w:t xml:space="preserve"> на пътник;</w:t>
      </w:r>
    </w:p>
    <w:p w14:paraId="3EC7551E"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д) Ако габаритната ширина на изходите се определя от броя пътници, широчината на всеки изход трябва да е не по-малко от 0,005 </w:t>
      </w:r>
      <w:r w:rsidRPr="00F06DE2">
        <w:rPr>
          <w:rFonts w:ascii="Times New Roman" w:hAnsi="Times New Roman" w:cs="Times New Roman"/>
        </w:rPr>
        <w:t>m</w:t>
      </w:r>
      <w:r w:rsidRPr="00F06DE2">
        <w:rPr>
          <w:rFonts w:ascii="Times New Roman" w:hAnsi="Times New Roman" w:cs="Times New Roman"/>
          <w:lang w:val="ru-RU"/>
        </w:rPr>
        <w:t xml:space="preserve"> на пътник;</w:t>
      </w:r>
    </w:p>
    <w:p w14:paraId="00193998"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е) Аварийните изходи трябва да имат най-къса страна с дължина не по-малко от 0,60 </w:t>
      </w:r>
      <w:r w:rsidRPr="00F06DE2">
        <w:rPr>
          <w:rFonts w:ascii="Times New Roman" w:hAnsi="Times New Roman" w:cs="Times New Roman"/>
        </w:rPr>
        <w:t>m</w:t>
      </w:r>
      <w:r w:rsidRPr="00F06DE2">
        <w:rPr>
          <w:rFonts w:ascii="Times New Roman" w:hAnsi="Times New Roman" w:cs="Times New Roman"/>
          <w:lang w:val="ru-RU"/>
        </w:rPr>
        <w:t xml:space="preserve"> или минимален диаметър от 0,70 </w:t>
      </w:r>
      <w:r w:rsidRPr="00F06DE2">
        <w:rPr>
          <w:rFonts w:ascii="Times New Roman" w:hAnsi="Times New Roman" w:cs="Times New Roman"/>
        </w:rPr>
        <w:t>m</w:t>
      </w:r>
      <w:r w:rsidRPr="00F06DE2">
        <w:rPr>
          <w:rFonts w:ascii="Times New Roman" w:hAnsi="Times New Roman" w:cs="Times New Roman"/>
          <w:lang w:val="ru-RU"/>
        </w:rPr>
        <w:t>. Те трябва да се отварят по посока на евакуацията и са маркирани и от двете страни;</w:t>
      </w:r>
    </w:p>
    <w:p w14:paraId="62C31997"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ж) Изходите на помещенията, предназначени за ползване от лица с намалена подвижност, трябва да имат габаритна ширина не по-малко от 0,90 </w:t>
      </w:r>
      <w:r w:rsidRPr="00F06DE2">
        <w:rPr>
          <w:rFonts w:ascii="Times New Roman" w:hAnsi="Times New Roman" w:cs="Times New Roman"/>
        </w:rPr>
        <w:t>m</w:t>
      </w:r>
      <w:r w:rsidRPr="00F06DE2">
        <w:rPr>
          <w:rFonts w:ascii="Times New Roman" w:hAnsi="Times New Roman" w:cs="Times New Roman"/>
          <w:lang w:val="ru-RU"/>
        </w:rPr>
        <w:t>.</w:t>
      </w:r>
    </w:p>
    <w:p w14:paraId="71B9977C" w14:textId="77777777" w:rsidR="00271FA2" w:rsidRPr="00F06DE2" w:rsidRDefault="00D35E51" w:rsidP="00373BEF">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Вратите на помещенията за пътници трябва да съответстват на следните изисквания:</w:t>
      </w:r>
    </w:p>
    <w:p w14:paraId="77F57185"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 изключение на вратите, водещи към свързващите коридори, те могат да се отварят навън или да бъдат изградени като плъзгащи се врати;</w:t>
      </w:r>
    </w:p>
    <w:p w14:paraId="1E10F6BA"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Вратите на каютите са направени по такъв начин, че да могат също да се отключват отвън по всяко време;</w:t>
      </w:r>
    </w:p>
    <w:p w14:paraId="0BD5F758"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Задвижваните врати се отварят лесно в случай на отказ на захранването с енергия на механизма;</w:t>
      </w:r>
    </w:p>
    <w:p w14:paraId="2A7EA02B"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г) При вратите, предназначени за ползване от лица с намалена подвижност, има, откъм посоката, в която се отваря вратата, минимален просвет от 0,60 </w:t>
      </w:r>
      <w:r w:rsidRPr="00F06DE2">
        <w:rPr>
          <w:rFonts w:ascii="Times New Roman" w:hAnsi="Times New Roman" w:cs="Times New Roman"/>
        </w:rPr>
        <w:t>m</w:t>
      </w:r>
      <w:r w:rsidRPr="00F06DE2">
        <w:rPr>
          <w:rFonts w:ascii="Times New Roman" w:hAnsi="Times New Roman" w:cs="Times New Roman"/>
          <w:lang w:val="ru-RU"/>
        </w:rPr>
        <w:t xml:space="preserve"> между вътрешния край на рамката на вратата от страната на бравата и прилежащата перпендикулярна стена. Като алтернатива, вратите с автоматично освобождаване чрез бутон също са приемливи. Захранването за това дистанционно управление трябва да е налично по всяко време.</w:t>
      </w:r>
    </w:p>
    <w:p w14:paraId="56D36A1C" w14:textId="77777777" w:rsidR="00271FA2" w:rsidRPr="00F06DE2" w:rsidRDefault="00D35E51" w:rsidP="00373BEF">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Свързващите коридори трябва да отговарят на следните изисквания:</w:t>
      </w:r>
    </w:p>
    <w:p w14:paraId="079AA1DF"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Те имат габаритна ширина от поне 0,80 </w:t>
      </w:r>
      <w:r w:rsidRPr="00F06DE2">
        <w:rPr>
          <w:rFonts w:ascii="Times New Roman" w:hAnsi="Times New Roman" w:cs="Times New Roman"/>
        </w:rPr>
        <w:t>m</w:t>
      </w:r>
      <w:r w:rsidRPr="00F06DE2">
        <w:rPr>
          <w:rFonts w:ascii="Times New Roman" w:hAnsi="Times New Roman" w:cs="Times New Roman"/>
          <w:lang w:val="ru-RU"/>
        </w:rPr>
        <w:t>. Ако водят към помещения, предназначени за използване от повече от 80 пътници, те трябва да съответстват на разпоредбите, посочени в точка 3, букви “г” и “д” по отношение на широчината на изходите, водещи към свързващите коридори;</w:t>
      </w:r>
    </w:p>
    <w:p w14:paraId="5240987D"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 Габаритната им височина е не по-малко от 2,00 </w:t>
      </w:r>
      <w:r w:rsidRPr="00F06DE2">
        <w:rPr>
          <w:rFonts w:ascii="Times New Roman" w:hAnsi="Times New Roman" w:cs="Times New Roman"/>
        </w:rPr>
        <w:t>m</w:t>
      </w:r>
      <w:r w:rsidRPr="00F06DE2">
        <w:rPr>
          <w:rFonts w:ascii="Times New Roman" w:hAnsi="Times New Roman" w:cs="Times New Roman"/>
          <w:lang w:val="ru-RU"/>
        </w:rPr>
        <w:t>;</w:t>
      </w:r>
    </w:p>
    <w:p w14:paraId="1326E142"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в) Свързващите коридори, предназначени за ползване от лица с намалена подвижност, имат габаритна ширина от 1,30 </w:t>
      </w:r>
      <w:r w:rsidRPr="00F06DE2">
        <w:rPr>
          <w:rFonts w:ascii="Times New Roman" w:hAnsi="Times New Roman" w:cs="Times New Roman"/>
        </w:rPr>
        <w:t>m</w:t>
      </w:r>
      <w:r w:rsidRPr="00F06DE2">
        <w:rPr>
          <w:rFonts w:ascii="Times New Roman" w:hAnsi="Times New Roman" w:cs="Times New Roman"/>
          <w:lang w:val="ru-RU"/>
        </w:rPr>
        <w:t xml:space="preserve">. Свързващите коридори с ширина над 1,50 </w:t>
      </w:r>
      <w:r w:rsidRPr="00F06DE2">
        <w:rPr>
          <w:rFonts w:ascii="Times New Roman" w:hAnsi="Times New Roman" w:cs="Times New Roman"/>
        </w:rPr>
        <w:t>m</w:t>
      </w:r>
      <w:r w:rsidRPr="00F06DE2">
        <w:rPr>
          <w:rFonts w:ascii="Times New Roman" w:hAnsi="Times New Roman" w:cs="Times New Roman"/>
          <w:lang w:val="ru-RU"/>
        </w:rPr>
        <w:t xml:space="preserve"> имат леери от всяка страна;</w:t>
      </w:r>
    </w:p>
    <w:p w14:paraId="559C5F64"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г) Когато част от плавателния съд или помещение, предназначено за пътници, се обслужва само от един свързващ коридор, габаритната му широчина е не по-малко от 1,00 </w:t>
      </w:r>
      <w:r w:rsidRPr="00F06DE2">
        <w:rPr>
          <w:rFonts w:ascii="Times New Roman" w:hAnsi="Times New Roman" w:cs="Times New Roman"/>
        </w:rPr>
        <w:t>m</w:t>
      </w:r>
      <w:r w:rsidRPr="00F06DE2">
        <w:rPr>
          <w:rFonts w:ascii="Times New Roman" w:hAnsi="Times New Roman" w:cs="Times New Roman"/>
          <w:lang w:val="ru-RU"/>
        </w:rPr>
        <w:t>;</w:t>
      </w:r>
    </w:p>
    <w:p w14:paraId="6B0464EE"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Свързващите коридори не трябва да имат стъпала;</w:t>
      </w:r>
    </w:p>
    <w:p w14:paraId="22A0E3FE"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 Те водят само до открити палуби, помещения или стълбища;</w:t>
      </w:r>
    </w:p>
    <w:p w14:paraId="11573F8C"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ж) Задънените краища на свързващите коридори не са по-дълги от два метра.</w:t>
      </w:r>
    </w:p>
    <w:p w14:paraId="5B2DA125" w14:textId="77777777" w:rsidR="00271FA2" w:rsidRPr="00F06DE2" w:rsidRDefault="00D35E51" w:rsidP="00373BEF">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Трябва да има налични евакуационни пътища. В допълнение към разпоредбите на точка 5, маршрутите за евакуация трябва да отговарят и на следните изисквания:</w:t>
      </w:r>
    </w:p>
    <w:p w14:paraId="008BE6A1"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стълбищата, изходите и аварийните изходи са разположени, така че при пожар в която и да е част останалите части да могат да се опразнят безопасно;</w:t>
      </w:r>
    </w:p>
    <w:p w14:paraId="121B6E55"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маршрутите за евакуация водят по най-късия път до сборните пунктове за евакуация съгласно точка 8;</w:t>
      </w:r>
    </w:p>
    <w:p w14:paraId="41645D11" w14:textId="77777777" w:rsidR="00271FA2" w:rsidRPr="00F06DE2" w:rsidRDefault="00D35E51" w:rsidP="00373BEF">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маршрутите за евакуация не преминават през машинните отделения или камбузи;</w:t>
      </w:r>
    </w:p>
    <w:p w14:paraId="42531E45" w14:textId="77777777" w:rsidR="00271FA2" w:rsidRPr="00F06DE2" w:rsidRDefault="00D35E51" w:rsidP="00DC0D7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никъде по маршрутите за евакуация няма монтирани стъпала, подвижни стълби и други подобни;</w:t>
      </w:r>
    </w:p>
    <w:p w14:paraId="09BD0AFF"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lastRenderedPageBreak/>
        <w:t>д) вратите към маршрутите за евакуация са конструирани, така че да не намаляват минималната ширина на маршрута за евакуация, упомената в точка 5, буква “а” или “г”;</w:t>
      </w:r>
    </w:p>
    <w:p w14:paraId="345B8884" w14:textId="6D3474A6"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w:t>
      </w:r>
      <w:r w:rsidR="00DC0D79" w:rsidRPr="00F06DE2">
        <w:rPr>
          <w:rFonts w:ascii="Times New Roman" w:hAnsi="Times New Roman" w:cs="Times New Roman"/>
          <w:lang w:val="ru-RU"/>
        </w:rPr>
        <w:t xml:space="preserve"> </w:t>
      </w:r>
      <w:r w:rsidRPr="00F06DE2">
        <w:rPr>
          <w:rFonts w:ascii="Times New Roman" w:hAnsi="Times New Roman" w:cs="Times New Roman"/>
          <w:lang w:val="ru-RU"/>
        </w:rPr>
        <w:t>маршрутите за евакуация и аварийните изходи са ясно означени. Знаците се осветяват от системата за аварийно осветление.</w:t>
      </w:r>
    </w:p>
    <w:p w14:paraId="36910C6A"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Маршрутите за евакуация и аварийните изходи трябва да имат подходяща система от указатели за безопасност.</w:t>
      </w:r>
    </w:p>
    <w:p w14:paraId="75961DE3"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За всички лица на борда трябва да има налични места за сбор и евакуация, които трябва да отговарят на следните изисквания:</w:t>
      </w:r>
    </w:p>
    <w:p w14:paraId="1B059670"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общата площ на сборните пунктове </w:t>
      </w: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S</m:t>
            </m:r>
          </m:sub>
        </m:sSub>
      </m:oMath>
      <w:r w:rsidRPr="00F06DE2">
        <w:rPr>
          <w:rFonts w:ascii="Times New Roman" w:hAnsi="Times New Roman" w:cs="Times New Roman"/>
          <w:lang w:val="ru-RU"/>
        </w:rPr>
        <w:t xml:space="preserve"> съответства най-малкото на следната стойност:</w:t>
      </w:r>
    </w:p>
    <w:p w14:paraId="4068FBA9" w14:textId="77777777" w:rsidR="00271FA2" w:rsidRPr="00F06DE2" w:rsidRDefault="00D35E51" w:rsidP="00DC0D7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Плавателни съдове за дневни пътувания:</w:t>
      </w:r>
      <w:r w:rsidRPr="00F06DE2">
        <w:rPr>
          <w:rFonts w:ascii="Times New Roman" w:hAnsi="Times New Roman" w:cs="Times New Roman"/>
          <w:lang w:val="ru-RU"/>
        </w:rPr>
        <w:tab/>
      </w: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S</m:t>
            </m:r>
          </m:sub>
        </m:sSub>
        <m:r>
          <w:rPr>
            <w:rFonts w:ascii="Cambria Math" w:eastAsia="Calibri" w:hAnsi="Cambria Math" w:cs="Times New Roman"/>
            <w:lang w:val="ru-RU"/>
          </w:rPr>
          <m:t xml:space="preserve">=0,35 ∙ </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max</m:t>
            </m:r>
          </m:sub>
        </m:sSub>
        <m:r>
          <w:rPr>
            <w:rFonts w:ascii="Cambria Math" w:eastAsia="Calibri" w:hAnsi="Cambria Math" w:cs="Times New Roman"/>
            <w:lang w:val="ru-RU"/>
          </w:rPr>
          <m:t xml:space="preserve"> </m:t>
        </m:r>
        <m:d>
          <m:dPr>
            <m:begChr m:val="["/>
            <m:endChr m:val="]"/>
            <m:ctrlPr>
              <w:rPr>
                <w:rFonts w:ascii="Cambria Math" w:eastAsia="Calibri" w:hAnsi="Cambria Math" w:cs="Times New Roman"/>
                <w:i/>
              </w:rPr>
            </m:ctrlPr>
          </m:dPr>
          <m:e>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lang w:val="ru-RU"/>
                  </w:rPr>
                  <m:t>2</m:t>
                </m:r>
              </m:sup>
            </m:sSup>
          </m:e>
        </m:d>
      </m:oMath>
      <w:r w:rsidRPr="00F06DE2">
        <w:rPr>
          <w:rFonts w:ascii="Times New Roman" w:hAnsi="Times New Roman" w:cs="Times New Roman"/>
          <w:vertAlign w:val="subscript"/>
          <w:lang w:val="ru-RU"/>
        </w:rPr>
        <w:t xml:space="preserve"> </w:t>
      </w:r>
    </w:p>
    <w:p w14:paraId="168B6C59" w14:textId="77777777" w:rsidR="00271FA2" w:rsidRPr="00F06DE2" w:rsidRDefault="00D35E51" w:rsidP="00DC0D7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Плавателни съдове с каюти:</w:t>
      </w:r>
      <w:r w:rsidRPr="00F06DE2">
        <w:rPr>
          <w:rFonts w:ascii="Times New Roman" w:hAnsi="Times New Roman" w:cs="Times New Roman"/>
          <w:lang w:val="ru-RU"/>
        </w:rPr>
        <w:tab/>
      </w: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S</m:t>
            </m:r>
          </m:sub>
        </m:sSub>
        <m:r>
          <w:rPr>
            <w:rFonts w:ascii="Cambria Math" w:eastAsia="Calibri" w:hAnsi="Cambria Math" w:cs="Times New Roman"/>
            <w:lang w:val="ru-RU"/>
          </w:rPr>
          <m:t xml:space="preserve">=0,45 ∙ </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max</m:t>
            </m:r>
          </m:sub>
        </m:sSub>
        <m:r>
          <w:rPr>
            <w:rFonts w:ascii="Cambria Math" w:eastAsia="Calibri" w:hAnsi="Cambria Math" w:cs="Times New Roman"/>
            <w:lang w:val="ru-RU"/>
          </w:rPr>
          <m:t xml:space="preserve"> </m:t>
        </m:r>
        <m:d>
          <m:dPr>
            <m:begChr m:val="["/>
            <m:endChr m:val="]"/>
            <m:ctrlPr>
              <w:rPr>
                <w:rFonts w:ascii="Cambria Math" w:eastAsia="Calibri" w:hAnsi="Cambria Math" w:cs="Times New Roman"/>
                <w:i/>
              </w:rPr>
            </m:ctrlPr>
          </m:dPr>
          <m:e>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lang w:val="ru-RU"/>
                  </w:rPr>
                  <m:t>2</m:t>
                </m:r>
              </m:sup>
            </m:sSup>
          </m:e>
        </m:d>
      </m:oMath>
    </w:p>
    <w:p w14:paraId="7DC83FA9" w14:textId="77777777" w:rsidR="00271FA2" w:rsidRPr="00F06DE2" w:rsidRDefault="00D35E51" w:rsidP="00DC0D7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където</w:t>
      </w:r>
    </w:p>
    <w:p w14:paraId="063F327B" w14:textId="708A599B" w:rsidR="00271FA2" w:rsidRPr="00F06DE2" w:rsidRDefault="00DC0D79" w:rsidP="00DC0D79">
      <w:pPr>
        <w:pStyle w:val="ESletpar"/>
        <w:tabs>
          <w:tab w:val="left" w:pos="1701"/>
        </w:tabs>
        <w:spacing w:before="0"/>
        <w:ind w:left="567" w:hanging="284"/>
        <w:jc w:val="both"/>
        <w:rPr>
          <w:rFonts w:ascii="Times New Roman" w:eastAsia="Calibri" w:hAnsi="Times New Roman" w:cs="Times New Roman"/>
          <w:lang w:val="ru-RU"/>
        </w:rPr>
      </w:pPr>
      <w:r w:rsidRPr="00F06DE2">
        <w:rPr>
          <w:rFonts w:ascii="Times New Roman" w:eastAsia="Calibri" w:hAnsi="Times New Roman" w:cs="Times New Roman"/>
          <w:lang w:val="ru-RU"/>
        </w:rPr>
        <w:tab/>
      </w: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max</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максималният разрешен брой пътници на борда;</w:t>
      </w:r>
    </w:p>
    <w:p w14:paraId="4180445E" w14:textId="77777777" w:rsidR="00271FA2" w:rsidRPr="00F06DE2" w:rsidRDefault="00D35E51" w:rsidP="00DC0D7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всеки отделен сборен пункт или пункт за евакуация е:</w:t>
      </w:r>
    </w:p>
    <w:p w14:paraId="70CBA003" w14:textId="77777777" w:rsidR="00271FA2" w:rsidRPr="00F06DE2" w:rsidRDefault="00D35E51" w:rsidP="00DC0D7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аа) по-голям от 10</w:t>
      </w:r>
      <w:r w:rsidRPr="00F06DE2">
        <w:rPr>
          <w:rFonts w:ascii="Times New Roman" w:hAnsi="Times New Roman" w:cs="Times New Roman"/>
        </w:rPr>
        <w:t> m</w:t>
      </w:r>
      <w:r w:rsidRPr="00F06DE2">
        <w:rPr>
          <w:rFonts w:ascii="Times New Roman" w:hAnsi="Times New Roman" w:cs="Times New Roman"/>
          <w:vertAlign w:val="superscript"/>
          <w:lang w:val="ru-RU"/>
        </w:rPr>
        <w:t>2</w:t>
      </w:r>
      <w:r w:rsidRPr="00F06DE2">
        <w:rPr>
          <w:rFonts w:ascii="Times New Roman" w:hAnsi="Times New Roman" w:cs="Times New Roman"/>
          <w:lang w:val="ru-RU"/>
        </w:rPr>
        <w:t>; и</w:t>
      </w:r>
    </w:p>
    <w:p w14:paraId="4EC69970"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бб) подходящ за броя на пътниците, които ще бъдат водени до този сборен пункт съгласно процедурата за евакуация, изисквана в член 19.13;</w:t>
      </w:r>
    </w:p>
    <w:p w14:paraId="33F92B64"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в сборните и евакуационни пунктове не трябва да има мебели, независимо дали са подвижни или не;</w:t>
      </w:r>
    </w:p>
    <w:p w14:paraId="79025CAA"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ако в помещение, където са обособени сборни или евакуационни пунктове, има подвижни мебели, те са подходящо укрепени, за да не се хлъзгат;</w:t>
      </w:r>
    </w:p>
    <w:p w14:paraId="6AA9CE95"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в случай, че неподвижни седалки или скамейки се намират в помещение, в което са определени сборни пунктове, съответният брой лица не се взема под внимание при пресмятането на общата площ на сборните пунктове съгласно буква “а”. Все пак броят лица, за които са предвидени неподвижни седалки или скамейки в дадено помещение, не трябва да надвишава броя лица, за които има сборни пунктове в това помещение;</w:t>
      </w:r>
    </w:p>
    <w:p w14:paraId="0F670878" w14:textId="6FDF9A73"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е) </w:t>
      </w:r>
      <w:r w:rsidR="00652AC5" w:rsidRPr="00F06DE2">
        <w:rPr>
          <w:rFonts w:ascii="Times New Roman" w:hAnsi="Times New Roman" w:cs="Times New Roman"/>
          <w:lang w:val="ru-RU"/>
        </w:rPr>
        <w:t>Спасителните</w:t>
      </w:r>
      <w:r w:rsidR="00A5470D" w:rsidRPr="00F06DE2">
        <w:rPr>
          <w:rFonts w:ascii="Times New Roman" w:hAnsi="Times New Roman" w:cs="Times New Roman"/>
          <w:lang w:val="ru-RU"/>
        </w:rPr>
        <w:t xml:space="preserve"> средства трябва да бъдат лесно достъпни от сборните или евакуационните зони. По принцип </w:t>
      </w:r>
      <w:r w:rsidR="00652AC5" w:rsidRPr="00F06DE2">
        <w:rPr>
          <w:rFonts w:ascii="Times New Roman" w:hAnsi="Times New Roman" w:cs="Times New Roman"/>
          <w:lang w:val="ru-RU"/>
        </w:rPr>
        <w:t>спасителните</w:t>
      </w:r>
      <w:r w:rsidR="00A5470D" w:rsidRPr="00F06DE2">
        <w:rPr>
          <w:rFonts w:ascii="Times New Roman" w:hAnsi="Times New Roman" w:cs="Times New Roman"/>
          <w:lang w:val="ru-RU"/>
        </w:rPr>
        <w:t xml:space="preserve"> средства трябва да се съхраняват близо или в рамките на сборните или евакуационните зони.</w:t>
      </w:r>
      <w:r w:rsidR="00945259" w:rsidRPr="00F06DE2">
        <w:rPr>
          <w:rFonts w:ascii="Times New Roman" w:hAnsi="Times New Roman" w:cs="Times New Roman"/>
          <w:lang w:val="ru-RU"/>
        </w:rPr>
        <w:t xml:space="preserve"> </w:t>
      </w:r>
    </w:p>
    <w:p w14:paraId="7EBC8B01"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ж) </w:t>
      </w:r>
      <w:r w:rsidRPr="00F06DE2">
        <w:rPr>
          <w:rFonts w:ascii="Times New Roman" w:hAnsi="Times New Roman" w:cs="Times New Roman"/>
        </w:rPr>
        <w:t>o</w:t>
      </w:r>
      <w:r w:rsidRPr="00F06DE2">
        <w:rPr>
          <w:rFonts w:ascii="Times New Roman" w:hAnsi="Times New Roman" w:cs="Times New Roman"/>
          <w:lang w:val="ru-RU"/>
        </w:rPr>
        <w:t>т всяка страна на плавателния съд се осигурява пункт за евакуация. Трябва да е възможна безопасна евакуация на хората от пунктовете за евакуация до към плитка вода, до банката или до друго плавателно средство, като се използва всеки борд на плавателния съд;</w:t>
      </w:r>
    </w:p>
    <w:p w14:paraId="222D9409"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з) сборните и евакуационни пунктове се намират над пределната линия;</w:t>
      </w:r>
    </w:p>
    <w:p w14:paraId="4994DBAF"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и) сборните и евакуационни пунктове са посочени като такива в плана за безопасност и са обозначени на борда на плавателния съд;</w:t>
      </w:r>
    </w:p>
    <w:p w14:paraId="6EBCAE2D"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й) разпоредбите на букви “г” и “д” се прилагат също за свободните палуби, на които са определени сборните или евакуационни пунктове;</w:t>
      </w:r>
    </w:p>
    <w:p w14:paraId="5772D9E0"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к) ако на борда има колективни спасителни средства съгласно член 19.09, точка 5, броят лица, за които тези средства са разчетени, може да не се взема предвид при изчисляване на общата площ на сборните пунктове, посочени в буква “а”;</w:t>
      </w:r>
    </w:p>
    <w:p w14:paraId="6C1D4502" w14:textId="77777777" w:rsidR="00271FA2" w:rsidRPr="00F06DE2" w:rsidRDefault="00D35E51" w:rsidP="00DC0D7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л) обаче във всички случаи, при които се прилагат приспаданията съгласно букви “д”, “й” и “к”, общата площ съгласно буква “а” е достатъчна за не по-малко от 50 % от максималния допустим брой пътници;</w:t>
      </w:r>
    </w:p>
    <w:p w14:paraId="39ED4760"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eastAsia="Calibri" w:hAnsi="Times New Roman" w:cs="Times New Roman"/>
          <w:lang w:val="ru-RU"/>
        </w:rPr>
        <w:lastRenderedPageBreak/>
        <w:t>м) Евакуационните пунктове трябва да са достъпни от всяка сборна зона без пътниците да трябва да преминават през зони или помещения с по-ниски нива на безопасност, касаещи противопожарната защита.</w:t>
      </w:r>
    </w:p>
    <w:p w14:paraId="5ED80C35"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Стълбищата и техните площадки в пространствата за пътници трябва да съответстват на следните изисквания:</w:t>
      </w:r>
    </w:p>
    <w:p w14:paraId="21594165"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изградени са в съответствие с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13056:2000;</w:t>
      </w:r>
    </w:p>
    <w:p w14:paraId="782E87FE"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 имат габаритна ширина от най-малко 0,80 </w:t>
      </w:r>
      <w:r w:rsidRPr="00F06DE2">
        <w:rPr>
          <w:rFonts w:ascii="Times New Roman" w:hAnsi="Times New Roman" w:cs="Times New Roman"/>
        </w:rPr>
        <w:t>m</w:t>
      </w:r>
      <w:r w:rsidRPr="00F06DE2">
        <w:rPr>
          <w:rFonts w:ascii="Times New Roman" w:hAnsi="Times New Roman" w:cs="Times New Roman"/>
          <w:lang w:val="ru-RU"/>
        </w:rPr>
        <w:t xml:space="preserve"> или, ако водят към свързващи коридори или места, използвани от повече от 80 пътници, сумата от ширините на всички предвидени стълби за пътниците и които ще бъдат използвани от тях при спешни случаи е поне 0,01 </w:t>
      </w:r>
      <w:r w:rsidRPr="00F06DE2">
        <w:rPr>
          <w:rFonts w:ascii="Times New Roman" w:hAnsi="Times New Roman" w:cs="Times New Roman"/>
        </w:rPr>
        <w:t>m</w:t>
      </w:r>
      <w:r w:rsidRPr="00F06DE2">
        <w:rPr>
          <w:rFonts w:ascii="Times New Roman" w:hAnsi="Times New Roman" w:cs="Times New Roman"/>
          <w:lang w:val="ru-RU"/>
        </w:rPr>
        <w:t xml:space="preserve"> на пътник;</w:t>
      </w:r>
    </w:p>
    <w:p w14:paraId="2C242658" w14:textId="77777777" w:rsidR="00271FA2" w:rsidRPr="00F06DE2" w:rsidRDefault="00D35E51" w:rsidP="00DC0D7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Свободната ширина между перилата трябва да бъде най-малко 1,00 </w:t>
      </w:r>
      <w:r w:rsidRPr="00F06DE2">
        <w:rPr>
          <w:rFonts w:ascii="Times New Roman" w:hAnsi="Times New Roman" w:cs="Times New Roman"/>
        </w:rPr>
        <w:t>m</w:t>
      </w:r>
      <w:r w:rsidRPr="00F06DE2">
        <w:rPr>
          <w:rFonts w:ascii="Times New Roman" w:hAnsi="Times New Roman" w:cs="Times New Roman"/>
          <w:lang w:val="ru-RU"/>
        </w:rPr>
        <w:t xml:space="preserve">, ако стълбите осигуряват единствено средство за достъп до стая, предназначена за пътници. </w:t>
      </w:r>
    </w:p>
    <w:p w14:paraId="01DFB63E"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eastAsia="Calibri" w:hAnsi="Times New Roman" w:cs="Times New Roman"/>
          <w:lang w:val="ru-RU"/>
        </w:rPr>
        <w:t xml:space="preserve">Свободната ширина между парапетите не трябва да надвишава 1,80 </w:t>
      </w:r>
      <w:r w:rsidRPr="00F06DE2">
        <w:rPr>
          <w:rFonts w:ascii="Times New Roman" w:eastAsia="Calibri" w:hAnsi="Times New Roman" w:cs="Times New Roman"/>
        </w:rPr>
        <w:t>m</w:t>
      </w:r>
      <w:r w:rsidRPr="00F06DE2">
        <w:rPr>
          <w:rFonts w:ascii="Times New Roman" w:eastAsia="Calibri" w:hAnsi="Times New Roman" w:cs="Times New Roman"/>
          <w:lang w:val="ru-RU"/>
        </w:rPr>
        <w:t>. При необходимост допълнително се монтират междинни перила. Ако има допълнителни монтирани междинни перила, изискванията, приложими за стълбите трябва да бъдат изпълнени от всяка страна на перилата;</w:t>
      </w:r>
    </w:p>
    <w:p w14:paraId="7E5F2BCE"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ако няма поне по една стълба от всяка страна на плавателния съд в едно и също помещение, те се намират в безопасната зона;</w:t>
      </w:r>
    </w:p>
    <w:p w14:paraId="24208263"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в допълнение, стълбищата, предназначени за използване от лица с намалена подвижност, трябва да отговарят на следните изисквания:</w:t>
      </w:r>
    </w:p>
    <w:p w14:paraId="0E36E6CF"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наклонът на стълбищата не превишава 33°;</w:t>
      </w:r>
    </w:p>
    <w:p w14:paraId="6B415AAE"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бб) стълбищата имат габаритна ширина най-малко от 0,90</w:t>
      </w:r>
      <w:r w:rsidRPr="00F06DE2">
        <w:rPr>
          <w:rFonts w:ascii="Times New Roman" w:hAnsi="Times New Roman" w:cs="Times New Roman"/>
        </w:rPr>
        <w:t> m</w:t>
      </w:r>
      <w:r w:rsidRPr="00F06DE2">
        <w:rPr>
          <w:rFonts w:ascii="Times New Roman" w:hAnsi="Times New Roman" w:cs="Times New Roman"/>
          <w:lang w:val="ru-RU"/>
        </w:rPr>
        <w:t>;</w:t>
      </w:r>
    </w:p>
    <w:p w14:paraId="4540A9FD"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вв) стълбите трябва да са прави и успоредни на надлъжната ос на плавателния съд;</w:t>
      </w:r>
    </w:p>
    <w:p w14:paraId="5CC63496"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гг) леерите на стълбищата достигат до около 0,30 </w:t>
      </w:r>
      <w:r w:rsidRPr="00F06DE2">
        <w:rPr>
          <w:rFonts w:ascii="Times New Roman" w:hAnsi="Times New Roman" w:cs="Times New Roman"/>
        </w:rPr>
        <w:t>m</w:t>
      </w:r>
      <w:r w:rsidRPr="00F06DE2">
        <w:rPr>
          <w:rFonts w:ascii="Times New Roman" w:hAnsi="Times New Roman" w:cs="Times New Roman"/>
          <w:lang w:val="ru-RU"/>
        </w:rPr>
        <w:t xml:space="preserve"> след горния и долния им край, без да пречат на трасетата за преминаване на пътниците;</w:t>
      </w:r>
    </w:p>
    <w:p w14:paraId="3ADC4AFD"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дд) леерите, предните части най-малко на горното и долното стъпало, както и подовите покрития в краищата на стълбищата, са очертани с ярък цвят.</w:t>
      </w:r>
    </w:p>
    <w:p w14:paraId="3035A65A" w14:textId="77777777" w:rsidR="00271FA2" w:rsidRPr="00F06DE2" w:rsidRDefault="00D35E51" w:rsidP="00DC0D7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Асансьорите, предназначени за лица с намалена подвижност и оборудването за повдигане като ескалатори или подемни платформи, са изградени съгласно съответния стандарт или наредба на държава членка.</w:t>
      </w:r>
    </w:p>
    <w:p w14:paraId="153B8764" w14:textId="77777777" w:rsidR="00271FA2" w:rsidRPr="00F06DE2" w:rsidRDefault="00D35E51">
      <w:pPr>
        <w:pStyle w:val="ESch"/>
        <w:numPr>
          <w:ilvl w:val="0"/>
          <w:numId w:val="23"/>
        </w:numPr>
        <w:jc w:val="both"/>
        <w:rPr>
          <w:rFonts w:ascii="Times New Roman" w:hAnsi="Times New Roman" w:cs="Times New Roman"/>
          <w:lang w:val="ru-RU"/>
        </w:rPr>
      </w:pPr>
      <w:r w:rsidRPr="00F06DE2">
        <w:rPr>
          <w:rFonts w:ascii="Times New Roman" w:hAnsi="Times New Roman" w:cs="Times New Roman"/>
          <w:lang w:val="ru-RU"/>
        </w:rPr>
        <w:t xml:space="preserve">Части от палубата, предназначени за пътници и които не са затворени, трябва да бъдат заобиколени от неподвижен фалшборд или парапет с височина най-малко 1,00 </w:t>
      </w:r>
      <w:r w:rsidRPr="00F06DE2">
        <w:rPr>
          <w:rFonts w:ascii="Times New Roman" w:hAnsi="Times New Roman" w:cs="Times New Roman"/>
        </w:rPr>
        <w:t>m</w:t>
      </w:r>
      <w:r w:rsidRPr="00F06DE2">
        <w:rPr>
          <w:rFonts w:ascii="Times New Roman" w:hAnsi="Times New Roman" w:cs="Times New Roman"/>
          <w:lang w:val="ru-RU"/>
        </w:rPr>
        <w:t xml:space="preserve"> или парапет съгласно Европейския стандарт </w:t>
      </w:r>
      <w:r w:rsidRPr="00F06DE2">
        <w:rPr>
          <w:rFonts w:ascii="Times New Roman" w:hAnsi="Times New Roman" w:cs="Times New Roman"/>
        </w:rPr>
        <w:t>EN</w:t>
      </w:r>
      <w:r w:rsidRPr="00F06DE2">
        <w:rPr>
          <w:rFonts w:ascii="Times New Roman" w:hAnsi="Times New Roman" w:cs="Times New Roman"/>
          <w:lang w:val="ru-RU"/>
        </w:rPr>
        <w:t xml:space="preserve"> 711:2016, тип конструкция </w:t>
      </w:r>
      <w:r w:rsidRPr="00F06DE2">
        <w:rPr>
          <w:rFonts w:ascii="Times New Roman" w:hAnsi="Times New Roman" w:cs="Times New Roman"/>
        </w:rPr>
        <w:t>PF</w:t>
      </w:r>
      <w:r w:rsidRPr="00F06DE2">
        <w:rPr>
          <w:rFonts w:ascii="Times New Roman" w:hAnsi="Times New Roman" w:cs="Times New Roman"/>
          <w:lang w:val="ru-RU"/>
        </w:rPr>
        <w:t xml:space="preserve">, </w:t>
      </w:r>
      <w:r w:rsidRPr="00F06DE2">
        <w:rPr>
          <w:rFonts w:ascii="Times New Roman" w:hAnsi="Times New Roman" w:cs="Times New Roman"/>
        </w:rPr>
        <w:t>PG</w:t>
      </w:r>
      <w:r w:rsidRPr="00F06DE2">
        <w:rPr>
          <w:rFonts w:ascii="Times New Roman" w:hAnsi="Times New Roman" w:cs="Times New Roman"/>
          <w:lang w:val="ru-RU"/>
        </w:rPr>
        <w:t xml:space="preserve"> или </w:t>
      </w:r>
      <w:r w:rsidRPr="00F06DE2">
        <w:rPr>
          <w:rFonts w:ascii="Times New Roman" w:hAnsi="Times New Roman" w:cs="Times New Roman"/>
        </w:rPr>
        <w:t>PZ</w:t>
      </w:r>
      <w:r w:rsidRPr="00F06DE2">
        <w:rPr>
          <w:rFonts w:ascii="Times New Roman" w:hAnsi="Times New Roman" w:cs="Times New Roman"/>
          <w:lang w:val="ru-RU"/>
        </w:rPr>
        <w:t xml:space="preserve">. Фалшбордите и парапетите на палубите, предназначени за използване от лица с намалена подвижност, трябва да бъдат на най-малко 1,10 </w:t>
      </w:r>
      <w:r w:rsidRPr="00F06DE2">
        <w:rPr>
          <w:rFonts w:ascii="Times New Roman" w:hAnsi="Times New Roman" w:cs="Times New Roman"/>
        </w:rPr>
        <w:t>m</w:t>
      </w:r>
      <w:r w:rsidRPr="00F06DE2">
        <w:rPr>
          <w:rFonts w:ascii="Times New Roman" w:hAnsi="Times New Roman" w:cs="Times New Roman"/>
          <w:lang w:val="ru-RU"/>
        </w:rPr>
        <w:t xml:space="preserve"> височина.</w:t>
      </w:r>
    </w:p>
    <w:p w14:paraId="27C5BFC0"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Частите на плавателния съд, които не са предназначени за пътници, в частност достъпът до рулевата рубка, лебедките и машинните отделения трябва да са такива, че да могат да се обезопасят против неразрешено влизане. При всяко такова място за достъп има знак, съответстващ на фигура 1 от Приложение 4, поставен на видно място.</w:t>
      </w:r>
    </w:p>
    <w:p w14:paraId="6859F9F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12.</w:t>
      </w:r>
      <w:r w:rsidRPr="00F06DE2">
        <w:rPr>
          <w:rFonts w:ascii="Times New Roman" w:hAnsi="Times New Roman" w:cs="Times New Roman"/>
          <w:lang w:val="ru-RU"/>
        </w:rPr>
        <w:tab/>
        <w:t>Отворите и оборудването за качване и слизане трябва да отговарят на следните изисквания:</w:t>
      </w:r>
    </w:p>
    <w:p w14:paraId="5ED79B66" w14:textId="77777777" w:rsidR="00271FA2" w:rsidRPr="00F06DE2" w:rsidRDefault="00D35E51" w:rsidP="00DC0D79">
      <w:pPr>
        <w:pStyle w:val="ESch"/>
        <w:ind w:firstLine="0"/>
        <w:jc w:val="both"/>
        <w:rPr>
          <w:rFonts w:ascii="Times New Roman" w:hAnsi="Times New Roman" w:cs="Times New Roman"/>
          <w:lang w:val="ru-RU"/>
        </w:rPr>
      </w:pPr>
      <w:r w:rsidRPr="00F06DE2">
        <w:rPr>
          <w:rFonts w:ascii="Times New Roman" w:hAnsi="Times New Roman" w:cs="Times New Roman"/>
          <w:lang w:val="ru-RU"/>
        </w:rPr>
        <w:t>а) Те трябва да бъдат оборудвани с устройства за предотвратяване на падане зад борда;</w:t>
      </w:r>
    </w:p>
    <w:p w14:paraId="10717F02" w14:textId="77777777" w:rsidR="00271FA2" w:rsidRPr="00F06DE2" w:rsidRDefault="00D35E51" w:rsidP="00DC0D79">
      <w:pPr>
        <w:pStyle w:val="ESch"/>
        <w:ind w:firstLine="0"/>
        <w:jc w:val="both"/>
        <w:rPr>
          <w:rFonts w:ascii="Times New Roman" w:hAnsi="Times New Roman" w:cs="Times New Roman"/>
          <w:lang w:val="ru-RU"/>
        </w:rPr>
      </w:pPr>
      <w:r w:rsidRPr="00F06DE2">
        <w:rPr>
          <w:rFonts w:ascii="Times New Roman" w:hAnsi="Times New Roman" w:cs="Times New Roman"/>
          <w:lang w:val="ru-RU"/>
        </w:rPr>
        <w:t xml:space="preserve">б) Отворите трябва да имат чиста ширина най-малко 1,00 </w:t>
      </w:r>
      <w:r w:rsidRPr="00F06DE2">
        <w:rPr>
          <w:rFonts w:ascii="Times New Roman" w:hAnsi="Times New Roman" w:cs="Times New Roman"/>
        </w:rPr>
        <w:t>m</w:t>
      </w:r>
      <w:r w:rsidRPr="00F06DE2">
        <w:rPr>
          <w:rFonts w:ascii="Times New Roman" w:hAnsi="Times New Roman" w:cs="Times New Roman"/>
          <w:lang w:val="ru-RU"/>
        </w:rPr>
        <w:t>;</w:t>
      </w:r>
    </w:p>
    <w:p w14:paraId="6D22393B" w14:textId="77777777" w:rsidR="00271FA2" w:rsidRPr="00F06DE2" w:rsidRDefault="00D35E51" w:rsidP="00DC0D79">
      <w:pPr>
        <w:pStyle w:val="ESch"/>
        <w:ind w:firstLine="0"/>
        <w:jc w:val="both"/>
        <w:rPr>
          <w:rFonts w:ascii="Times New Roman" w:hAnsi="Times New Roman" w:cs="Times New Roman"/>
          <w:lang w:val="ru-RU"/>
        </w:rPr>
      </w:pPr>
      <w:r w:rsidRPr="00F06DE2">
        <w:rPr>
          <w:rFonts w:ascii="Times New Roman" w:hAnsi="Times New Roman" w:cs="Times New Roman"/>
          <w:lang w:val="ru-RU"/>
        </w:rPr>
        <w:t xml:space="preserve">в) Отвори, използвани обикновено за качване или слизане на хора с намалена подвижност, трябва да имат чиста ширина най-малко 1,50 </w:t>
      </w:r>
      <w:r w:rsidRPr="00F06DE2">
        <w:rPr>
          <w:rFonts w:ascii="Times New Roman" w:hAnsi="Times New Roman" w:cs="Times New Roman"/>
        </w:rPr>
        <w:t>m</w:t>
      </w:r>
      <w:r w:rsidRPr="00F06DE2">
        <w:rPr>
          <w:rFonts w:ascii="Times New Roman" w:hAnsi="Times New Roman" w:cs="Times New Roman"/>
          <w:lang w:val="ru-RU"/>
        </w:rPr>
        <w:t xml:space="preserve">. За използване на оборудване, позволяващо прехвърлянето на хора, сходни, стационарни или мобилни съоръжения трябва да са налични, които затварят разстоянието между вътрешния ръб на изходния отвор и външния ръб на </w:t>
      </w:r>
      <w:r w:rsidRPr="00F06DE2">
        <w:rPr>
          <w:rFonts w:ascii="Times New Roman" w:hAnsi="Times New Roman" w:cs="Times New Roman"/>
          <w:lang w:val="ru-RU"/>
        </w:rPr>
        <w:lastRenderedPageBreak/>
        <w:t>оборудването, за да могат хората да бъдат пренасяни по цялата си височина по защитен за деца начин;</w:t>
      </w:r>
    </w:p>
    <w:p w14:paraId="54FA6D8A" w14:textId="77777777" w:rsidR="00271FA2" w:rsidRPr="00F06DE2" w:rsidRDefault="00D35E51" w:rsidP="00DC0D79">
      <w:pPr>
        <w:pStyle w:val="ESch"/>
        <w:ind w:firstLine="0"/>
        <w:jc w:val="both"/>
        <w:rPr>
          <w:rFonts w:ascii="Times New Roman" w:hAnsi="Times New Roman" w:cs="Times New Roman"/>
          <w:lang w:val="ru-RU"/>
        </w:rPr>
      </w:pPr>
      <w:r w:rsidRPr="00F06DE2">
        <w:rPr>
          <w:rFonts w:ascii="Times New Roman" w:hAnsi="Times New Roman" w:cs="Times New Roman"/>
          <w:lang w:val="ru-RU"/>
        </w:rPr>
        <w:t>г) Ако отворите и оборудването за качване или слизане не могат да бъдат наблюдавани от рулевата рубка, трябва да има предоставени подходящи оптични или електронни средства;</w:t>
      </w:r>
    </w:p>
    <w:p w14:paraId="2649308F" w14:textId="77777777" w:rsidR="00271FA2" w:rsidRPr="00F06DE2" w:rsidRDefault="00D35E51" w:rsidP="00DC0D79">
      <w:pPr>
        <w:pStyle w:val="ESch"/>
        <w:ind w:firstLine="0"/>
        <w:jc w:val="both"/>
        <w:rPr>
          <w:rFonts w:ascii="Times New Roman" w:eastAsia="Calibri" w:hAnsi="Times New Roman" w:cs="Times New Roman"/>
          <w:lang w:val="ru-RU"/>
        </w:rPr>
      </w:pPr>
      <w:r w:rsidRPr="00F06DE2">
        <w:rPr>
          <w:rFonts w:ascii="Times New Roman" w:hAnsi="Times New Roman" w:cs="Times New Roman"/>
          <w:lang w:val="ru-RU"/>
        </w:rPr>
        <w:t xml:space="preserve">д) Корабните трапове се изграждат в съответствие с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14206:2003. Чрез дерогация от член 13.02, точка 3, буква “г”, тяхната дължина се допуска да бъде по-малка от 4 </w:t>
      </w:r>
      <w:r w:rsidRPr="00F06DE2">
        <w:rPr>
          <w:rFonts w:ascii="Times New Roman" w:hAnsi="Times New Roman" w:cs="Times New Roman"/>
        </w:rPr>
        <w:t>m</w:t>
      </w:r>
      <w:r w:rsidRPr="00F06DE2">
        <w:rPr>
          <w:rFonts w:ascii="Times New Roman" w:hAnsi="Times New Roman" w:cs="Times New Roman"/>
          <w:lang w:val="ru-RU"/>
        </w:rPr>
        <w:t>.</w:t>
      </w:r>
    </w:p>
    <w:p w14:paraId="60D8A73A"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13.</w:t>
      </w:r>
      <w:r w:rsidRPr="00F06DE2">
        <w:rPr>
          <w:rFonts w:ascii="Times New Roman" w:hAnsi="Times New Roman" w:cs="Times New Roman"/>
          <w:lang w:val="ru-RU"/>
        </w:rPr>
        <w:tab/>
        <w:t xml:space="preserve">Проходите, предназначени за ползване от лица с намалена подвижност, трябва да са с габаритна ширина не по-малко от 1,30 </w:t>
      </w:r>
      <w:r w:rsidRPr="00F06DE2">
        <w:rPr>
          <w:rFonts w:ascii="Times New Roman" w:hAnsi="Times New Roman" w:cs="Times New Roman"/>
        </w:rPr>
        <w:t>m</w:t>
      </w:r>
      <w:r w:rsidRPr="00F06DE2">
        <w:rPr>
          <w:rFonts w:ascii="Times New Roman" w:hAnsi="Times New Roman" w:cs="Times New Roman"/>
          <w:lang w:val="ru-RU"/>
        </w:rPr>
        <w:t xml:space="preserve"> и по тях да няма прагове и прегради с височина повече от 0,025 </w:t>
      </w:r>
      <w:r w:rsidRPr="00F06DE2">
        <w:rPr>
          <w:rFonts w:ascii="Times New Roman" w:hAnsi="Times New Roman" w:cs="Times New Roman"/>
        </w:rPr>
        <w:t>m</w:t>
      </w:r>
      <w:r w:rsidRPr="00F06DE2">
        <w:rPr>
          <w:rFonts w:ascii="Times New Roman" w:hAnsi="Times New Roman" w:cs="Times New Roman"/>
          <w:lang w:val="ru-RU"/>
        </w:rPr>
        <w:t xml:space="preserve">. Стените в проходите, предназначени за ползване от лица с намалена подвижност, трябва да са съоръжени с леери на височина 0,90 </w:t>
      </w:r>
      <w:r w:rsidRPr="00F06DE2">
        <w:rPr>
          <w:rFonts w:ascii="Times New Roman" w:hAnsi="Times New Roman" w:cs="Times New Roman"/>
        </w:rPr>
        <w:t>m</w:t>
      </w:r>
      <w:r w:rsidRPr="00F06DE2">
        <w:rPr>
          <w:rFonts w:ascii="Times New Roman" w:hAnsi="Times New Roman" w:cs="Times New Roman"/>
          <w:lang w:val="ru-RU"/>
        </w:rPr>
        <w:t xml:space="preserve"> над пода.</w:t>
      </w:r>
    </w:p>
    <w:p w14:paraId="72944EA2"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14.</w:t>
      </w:r>
      <w:r w:rsidRPr="00F06DE2">
        <w:rPr>
          <w:rFonts w:ascii="Times New Roman" w:hAnsi="Times New Roman" w:cs="Times New Roman"/>
          <w:lang w:val="ru-RU"/>
        </w:rPr>
        <w:tab/>
        <w:t>Стъклените врати и стени в проходите и също стъклата на прозорците трябва да са изработени от предварително напрегнато или ламинирано стъкло. Те могат също да бъдат произведени от синтетичен материал, при условие че той е разрешен за ползване от противопожарна гледна точка.</w:t>
      </w:r>
    </w:p>
    <w:p w14:paraId="3E9992A4"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Прозрачните врати и стени, достигащи до пода в проходите, трябва да са маркирани по ясно видим начин.</w:t>
      </w:r>
    </w:p>
    <w:p w14:paraId="249B65B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color w:val="000000"/>
          <w:lang w:val="ru-RU"/>
        </w:rPr>
        <w:t>15.</w:t>
      </w:r>
      <w:r w:rsidRPr="00F06DE2">
        <w:rPr>
          <w:rFonts w:ascii="Times New Roman" w:hAnsi="Times New Roman" w:cs="Times New Roman"/>
          <w:lang w:val="ru-RU"/>
        </w:rPr>
        <w:tab/>
      </w:r>
      <w:r w:rsidRPr="00F06DE2">
        <w:rPr>
          <w:rFonts w:ascii="Times New Roman" w:hAnsi="Times New Roman" w:cs="Times New Roman"/>
          <w:color w:val="000000"/>
          <w:lang w:val="ru-RU"/>
        </w:rPr>
        <w:t>Надстройките (или техните покриви), състоящи се изцяло от панорамни крила, покрити пространства, създадени от навеси или подобни подвижни съоръжения, както и техните надстройки, трябва да бъдат проектирани, така че тяхната конструкция и използваните материали да не представляват риск за нараняване на лицата на борда в случай на повреда.</w:t>
      </w:r>
    </w:p>
    <w:p w14:paraId="789AB410"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16.</w:t>
      </w:r>
      <w:r w:rsidRPr="00F06DE2">
        <w:rPr>
          <w:rFonts w:ascii="Times New Roman" w:hAnsi="Times New Roman" w:cs="Times New Roman"/>
          <w:lang w:val="ru-RU"/>
        </w:rPr>
        <w:tab/>
        <w:t>Системите за питейна вода трябва да отговарят поне на изискванията на член 15.05.</w:t>
      </w:r>
    </w:p>
    <w:p w14:paraId="61FAB0B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17.</w:t>
      </w:r>
      <w:r w:rsidRPr="00F06DE2">
        <w:rPr>
          <w:rFonts w:ascii="Times New Roman" w:hAnsi="Times New Roman" w:cs="Times New Roman"/>
          <w:lang w:val="ru-RU"/>
        </w:rPr>
        <w:tab/>
        <w:t>За пътниците трябва да бъдат осигурени тоалетни. Поне една тоалетна трябва да бъде оборудвана за използване от лица с намалена подвижност съгласно съответния стандарт или регламент на държава членка и трябва да бъде достъпна от всички пространства, предвидени за ползване от лица с намалена подвижност.</w:t>
      </w:r>
    </w:p>
    <w:p w14:paraId="695938E9" w14:textId="1C460B9E" w:rsidR="00271FA2" w:rsidRPr="00F06DE2" w:rsidRDefault="00D35E51" w:rsidP="00DC0D79">
      <w:pPr>
        <w:pStyle w:val="ESch"/>
        <w:ind w:firstLine="0"/>
        <w:jc w:val="both"/>
        <w:rPr>
          <w:rFonts w:ascii="Times New Roman" w:hAnsi="Times New Roman" w:cs="Times New Roman"/>
          <w:lang w:val="ru-RU"/>
        </w:rPr>
      </w:pPr>
      <w:r w:rsidRPr="00F06DE2">
        <w:rPr>
          <w:rFonts w:ascii="Times New Roman" w:hAnsi="Times New Roman" w:cs="Times New Roman"/>
          <w:lang w:val="ru-RU"/>
        </w:rPr>
        <w:t>Това трябва да е изпълнено, ако тоалетната отговаря на следните изисквания:</w:t>
      </w:r>
    </w:p>
    <w:p w14:paraId="1EE92ED8" w14:textId="77777777" w:rsidR="00271FA2" w:rsidRPr="00F06DE2" w:rsidRDefault="00D35E51" w:rsidP="00DC0D79">
      <w:pPr>
        <w:pStyle w:val="ESch"/>
        <w:ind w:firstLine="0"/>
        <w:jc w:val="both"/>
        <w:rPr>
          <w:rFonts w:ascii="Times New Roman" w:hAnsi="Times New Roman" w:cs="Times New Roman"/>
          <w:lang w:val="ru-RU"/>
        </w:rPr>
      </w:pPr>
      <w:r w:rsidRPr="00F06DE2">
        <w:rPr>
          <w:rFonts w:ascii="Times New Roman" w:hAnsi="Times New Roman" w:cs="Times New Roman"/>
          <w:lang w:val="ru-RU"/>
        </w:rPr>
        <w:t xml:space="preserve">а) Повърхността на тоалетната е най-малко 1,50 </w:t>
      </w:r>
      <w:r w:rsidRPr="00F06DE2">
        <w:rPr>
          <w:rFonts w:ascii="Times New Roman" w:hAnsi="Times New Roman" w:cs="Times New Roman"/>
        </w:rPr>
        <w:t>m</w:t>
      </w:r>
      <w:r w:rsidRPr="00F06DE2">
        <w:rPr>
          <w:rFonts w:ascii="Times New Roman" w:hAnsi="Times New Roman" w:cs="Times New Roman"/>
          <w:lang w:val="ru-RU"/>
        </w:rPr>
        <w:t xml:space="preserve"> </w:t>
      </w:r>
      <w:r w:rsidRPr="00F06DE2">
        <w:rPr>
          <w:rFonts w:ascii="Times New Roman" w:hAnsi="Times New Roman" w:cs="Times New Roman"/>
        </w:rPr>
        <w:t>x</w:t>
      </w:r>
      <w:r w:rsidRPr="00F06DE2">
        <w:rPr>
          <w:rFonts w:ascii="Times New Roman" w:hAnsi="Times New Roman" w:cs="Times New Roman"/>
          <w:lang w:val="ru-RU"/>
        </w:rPr>
        <w:t xml:space="preserve"> 1,82 </w:t>
      </w:r>
      <w:r w:rsidRPr="00F06DE2">
        <w:rPr>
          <w:rFonts w:ascii="Times New Roman" w:hAnsi="Times New Roman" w:cs="Times New Roman"/>
        </w:rPr>
        <w:t>m</w:t>
      </w:r>
      <w:r w:rsidRPr="00F06DE2">
        <w:rPr>
          <w:rFonts w:ascii="Times New Roman" w:hAnsi="Times New Roman" w:cs="Times New Roman"/>
          <w:lang w:val="ru-RU"/>
        </w:rPr>
        <w:t>;</w:t>
      </w:r>
    </w:p>
    <w:p w14:paraId="72B6D308" w14:textId="77777777" w:rsidR="00271FA2" w:rsidRPr="00F06DE2" w:rsidRDefault="00D35E51" w:rsidP="00DC0D79">
      <w:pPr>
        <w:pStyle w:val="ESch"/>
        <w:ind w:firstLine="0"/>
        <w:jc w:val="both"/>
        <w:rPr>
          <w:rFonts w:ascii="Times New Roman" w:hAnsi="Times New Roman" w:cs="Times New Roman"/>
          <w:lang w:val="ru-RU"/>
        </w:rPr>
      </w:pPr>
      <w:r w:rsidRPr="00F06DE2">
        <w:rPr>
          <w:rFonts w:ascii="Times New Roman" w:hAnsi="Times New Roman" w:cs="Times New Roman"/>
          <w:lang w:val="ru-RU"/>
        </w:rPr>
        <w:t xml:space="preserve">б) Трябва да се осигури най-малко 0,80 </w:t>
      </w:r>
      <w:r w:rsidRPr="00F06DE2">
        <w:rPr>
          <w:rFonts w:ascii="Times New Roman" w:hAnsi="Times New Roman" w:cs="Times New Roman"/>
        </w:rPr>
        <w:t>m</w:t>
      </w:r>
      <w:r w:rsidRPr="00F06DE2">
        <w:rPr>
          <w:rFonts w:ascii="Times New Roman" w:hAnsi="Times New Roman" w:cs="Times New Roman"/>
          <w:lang w:val="ru-RU"/>
        </w:rPr>
        <w:t xml:space="preserve"> свободно пространство поне от едната страна на тоалетната, за улесняване на достъпа за ползвателите на инвалидни колички;</w:t>
      </w:r>
    </w:p>
    <w:p w14:paraId="6ACACD72" w14:textId="77777777" w:rsidR="00271FA2" w:rsidRPr="00F06DE2" w:rsidRDefault="00D35E51" w:rsidP="00DC0D79">
      <w:pPr>
        <w:pStyle w:val="ESch"/>
        <w:ind w:firstLine="0"/>
        <w:jc w:val="both"/>
        <w:rPr>
          <w:rFonts w:ascii="Times New Roman" w:hAnsi="Times New Roman" w:cs="Times New Roman"/>
          <w:lang w:val="ru-RU"/>
        </w:rPr>
      </w:pPr>
      <w:r w:rsidRPr="00F06DE2">
        <w:rPr>
          <w:rFonts w:ascii="Times New Roman" w:hAnsi="Times New Roman" w:cs="Times New Roman"/>
          <w:lang w:val="ru-RU"/>
        </w:rPr>
        <w:t xml:space="preserve">в) Височината на тоалетната седалка е приблизително 0,40 </w:t>
      </w:r>
      <w:r w:rsidRPr="00F06DE2">
        <w:rPr>
          <w:rFonts w:ascii="Times New Roman" w:hAnsi="Times New Roman" w:cs="Times New Roman"/>
        </w:rPr>
        <w:t>m</w:t>
      </w:r>
      <w:r w:rsidRPr="00F06DE2">
        <w:rPr>
          <w:rFonts w:ascii="Times New Roman" w:hAnsi="Times New Roman" w:cs="Times New Roman"/>
          <w:lang w:val="ru-RU"/>
        </w:rPr>
        <w:t>;</w:t>
      </w:r>
    </w:p>
    <w:p w14:paraId="01386BDB" w14:textId="77777777" w:rsidR="00271FA2" w:rsidRPr="00F06DE2" w:rsidRDefault="00D35E51" w:rsidP="00DC0D79">
      <w:pPr>
        <w:pStyle w:val="ESch"/>
        <w:ind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г) Ръкохватки за хора с намалена подвижност са фиксирани към стените, като се гарантира, че фитингите са доста стабилни и здраво закрепени;</w:t>
      </w:r>
    </w:p>
    <w:p w14:paraId="6C8E5126" w14:textId="77777777" w:rsidR="00271FA2" w:rsidRPr="00F06DE2" w:rsidRDefault="00D35E51" w:rsidP="00DC0D79">
      <w:pPr>
        <w:pStyle w:val="ESch"/>
        <w:ind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д) Дозаторът за тоалетна хартия е лесно достъпен и може да се използва с една ръка.</w:t>
      </w:r>
    </w:p>
    <w:p w14:paraId="2ACC1F89"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18.</w:t>
      </w:r>
      <w:r w:rsidRPr="00F06DE2">
        <w:rPr>
          <w:rFonts w:ascii="Times New Roman" w:hAnsi="Times New Roman" w:cs="Times New Roman"/>
          <w:lang w:val="ru-RU"/>
        </w:rPr>
        <w:tab/>
        <w:t>Каютите без отварящи се прозорци трябва да са свързани към вентилационна система.</w:t>
      </w:r>
    </w:p>
    <w:p w14:paraId="73E28C07" w14:textId="77777777" w:rsidR="00271FA2" w:rsidRPr="00F06DE2" w:rsidRDefault="00D35E51" w:rsidP="00FE0C02">
      <w:pPr>
        <w:pStyle w:val="ESch"/>
        <w:spacing w:after="240"/>
        <w:jc w:val="both"/>
        <w:rPr>
          <w:rFonts w:ascii="Times New Roman" w:eastAsia="Calibri" w:hAnsi="Times New Roman" w:cs="Times New Roman"/>
          <w:lang w:val="ru-RU"/>
        </w:rPr>
      </w:pPr>
      <w:r w:rsidRPr="00F06DE2">
        <w:rPr>
          <w:rFonts w:ascii="Times New Roman" w:hAnsi="Times New Roman" w:cs="Times New Roman"/>
          <w:lang w:val="ru-RU"/>
        </w:rPr>
        <w:t>19.</w:t>
      </w:r>
      <w:r w:rsidRPr="00F06DE2">
        <w:rPr>
          <w:rFonts w:ascii="Times New Roman" w:hAnsi="Times New Roman" w:cs="Times New Roman"/>
          <w:lang w:val="ru-RU"/>
        </w:rPr>
        <w:tab/>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 xml:space="preserve"> каютите, в които са настанени членовете на екипажа или обслужващия персонал, трябва да отговарят на разпоредбите на настоящия член.</w:t>
      </w:r>
      <w:r w:rsidRPr="00F06DE2">
        <w:rPr>
          <w:rFonts w:ascii="Times New Roman" w:eastAsia="Calibri" w:hAnsi="Times New Roman" w:cs="Times New Roman"/>
          <w:lang w:val="ru-RU"/>
        </w:rPr>
        <w:t xml:space="preserve"> </w:t>
      </w:r>
      <w:bookmarkStart w:id="346" w:name="_Toc491854176"/>
      <w:bookmarkStart w:id="347" w:name="_Toc535827617"/>
    </w:p>
    <w:p w14:paraId="5522F0C3" w14:textId="090E8687"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19.07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Задвижваща система</w:t>
      </w:r>
      <w:bookmarkEnd w:id="346"/>
      <w:bookmarkEnd w:id="347"/>
    </w:p>
    <w:p w14:paraId="387B4B5F"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В допълнение към главната система за задвижване плавателните съдове се оборудват и с втора независима система за задвижване с цел да се гарантира, че в случай на повреда по главната система за задвижване, плавателният съд ще остане управляем на собствен ход.</w:t>
      </w:r>
    </w:p>
    <w:p w14:paraId="6D074FE1" w14:textId="77777777" w:rsidR="00271FA2" w:rsidRPr="00F06DE2" w:rsidRDefault="00D35E51" w:rsidP="00FE0C02">
      <w:pPr>
        <w:pStyle w:val="ESch"/>
        <w:spacing w:after="240"/>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Втората независима задвижваща система трябва да бъде разположена в отделно машинно отделение или електрическо сервизно помещение. Ако двете машинни отделения имат общи стени, същите трябва бъдат изградени съгласно член 19.11, точка 2.</w:t>
      </w:r>
      <w:bookmarkStart w:id="348" w:name="_Toc535827618"/>
      <w:bookmarkStart w:id="349" w:name="_Toc491854177"/>
    </w:p>
    <w:p w14:paraId="4C9058CF"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lastRenderedPageBreak/>
        <w:t>Член 19.08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Устройства и оборудване за безопасност</w:t>
      </w:r>
      <w:bookmarkEnd w:id="348"/>
      <w:bookmarkEnd w:id="349"/>
    </w:p>
    <w:p w14:paraId="58ABD098"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 xml:space="preserve">1. </w:t>
      </w:r>
      <w:r w:rsidRPr="00F06DE2">
        <w:rPr>
          <w:rFonts w:ascii="Times New Roman" w:hAnsi="Times New Roman" w:cs="Times New Roman"/>
          <w:lang w:val="ru-RU"/>
        </w:rPr>
        <w:tab/>
        <w:t>Всички пътнически плавателни съдове трябва да имат съоръжения за вътрешнокорабна комуникация в съответствие с член 7.08. Такива съоръжения трябва да има също в служебни помещения, където няма пряка връзка с поста за управление, в зони за качване и слизане на пътници, както и сборни пунктове и евакуационни пунктове, посочени в член 19.06, точка 8.</w:t>
      </w:r>
    </w:p>
    <w:p w14:paraId="526E376D" w14:textId="524DEC89"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r>
      <w:r w:rsidR="00946D0D" w:rsidRPr="00F06DE2">
        <w:rPr>
          <w:rFonts w:ascii="Times New Roman" w:hAnsi="Times New Roman" w:cs="Times New Roman"/>
          <w:lang w:val="ru-RU"/>
        </w:rPr>
        <w:t xml:space="preserve">Всички зони </w:t>
      </w:r>
      <w:r w:rsidR="00261DA0" w:rsidRPr="00F06DE2">
        <w:rPr>
          <w:rFonts w:ascii="Times New Roman" w:hAnsi="Times New Roman" w:cs="Times New Roman"/>
          <w:lang w:val="ru-RU"/>
        </w:rPr>
        <w:t xml:space="preserve">за пътници </w:t>
      </w:r>
      <w:r w:rsidR="00946D0D" w:rsidRPr="00F06DE2">
        <w:rPr>
          <w:rFonts w:ascii="Times New Roman" w:hAnsi="Times New Roman" w:cs="Times New Roman"/>
          <w:lang w:val="ru-RU"/>
        </w:rPr>
        <w:t xml:space="preserve">трябва да бъдат </w:t>
      </w:r>
      <w:r w:rsidR="00031C2B" w:rsidRPr="00F06DE2">
        <w:rPr>
          <w:rFonts w:ascii="Times New Roman" w:hAnsi="Times New Roman" w:cs="Times New Roman"/>
          <w:lang w:val="ru-RU"/>
        </w:rPr>
        <w:t xml:space="preserve"> обхванати </w:t>
      </w:r>
      <w:r w:rsidR="00946D0D" w:rsidRPr="00F06DE2">
        <w:rPr>
          <w:rFonts w:ascii="Times New Roman" w:hAnsi="Times New Roman" w:cs="Times New Roman"/>
          <w:lang w:val="ru-RU"/>
        </w:rPr>
        <w:t xml:space="preserve">чрез система с високоговорители. </w:t>
      </w:r>
      <w:r w:rsidR="00C06E37" w:rsidRPr="00F06DE2">
        <w:rPr>
          <w:rFonts w:ascii="Times New Roman" w:hAnsi="Times New Roman" w:cs="Times New Roman"/>
          <w:lang w:val="ru-RU"/>
        </w:rPr>
        <w:t xml:space="preserve"> </w:t>
      </w:r>
      <w:r w:rsidR="00946D0D" w:rsidRPr="00F06DE2">
        <w:rPr>
          <w:rFonts w:ascii="Times New Roman" w:hAnsi="Times New Roman" w:cs="Times New Roman"/>
          <w:lang w:val="ru-RU"/>
        </w:rPr>
        <w:t xml:space="preserve">Системата трябва да бъде проектирана по такъв начин, че да гарантира, че предаваната информация може да бъде ясно разграничена от фоновия шум. Високоговорителите не са задължителни, когато е възможна директна комуникация между </w:t>
      </w:r>
      <w:r w:rsidR="00CB7895" w:rsidRPr="00F06DE2">
        <w:rPr>
          <w:rFonts w:ascii="Times New Roman" w:hAnsi="Times New Roman" w:cs="Times New Roman"/>
          <w:lang w:val="ru-RU"/>
        </w:rPr>
        <w:t xml:space="preserve"> мястото</w:t>
      </w:r>
      <w:r w:rsidR="00946D0D" w:rsidRPr="00F06DE2">
        <w:rPr>
          <w:rFonts w:ascii="Times New Roman" w:hAnsi="Times New Roman" w:cs="Times New Roman"/>
          <w:lang w:val="ru-RU"/>
        </w:rPr>
        <w:t xml:space="preserve"> за управление и зоната за пътниците.</w:t>
      </w:r>
      <w:r w:rsidR="00031C2B" w:rsidRPr="00F06DE2">
        <w:rPr>
          <w:rFonts w:ascii="Times New Roman" w:hAnsi="Times New Roman" w:cs="Times New Roman"/>
          <w:lang w:val="ru-RU"/>
        </w:rPr>
        <w:t xml:space="preserve"> </w:t>
      </w:r>
    </w:p>
    <w:p w14:paraId="69513320"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Плавателният съд трябва да бъде оборудван с алармена система. Системата трябва да включва:</w:t>
      </w:r>
    </w:p>
    <w:p w14:paraId="6B234D5B"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алармена система, която позволява на пътниците, членовете на екипажа и обслужващия персонал да сигнализират на командването и екипажа на плавателния съд.</w:t>
      </w:r>
    </w:p>
    <w:p w14:paraId="445B8A21" w14:textId="77777777" w:rsidR="00271FA2" w:rsidRPr="00F06DE2" w:rsidRDefault="00D35E51" w:rsidP="00DC0D7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Този алармен сигнал следва да се дава само в пространствата, предназначени за командването и екипажа на плавателния съд. Следва да е възможно единствено за командването на плавателния съд да спира алармата. Алармената система трябва да може да бъде задействана най-малко от следните места:</w:t>
      </w:r>
    </w:p>
    <w:p w14:paraId="06CEE763"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от всяка каюта;</w:t>
      </w:r>
    </w:p>
    <w:p w14:paraId="4A8F7ACF"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бб) от коридорите, асансьорите и стълбищните шахти, като разстоянието до най-близкия задействащ бутон не е повече от 10 </w:t>
      </w:r>
      <w:r w:rsidRPr="00F06DE2">
        <w:rPr>
          <w:rFonts w:ascii="Times New Roman" w:hAnsi="Times New Roman" w:cs="Times New Roman"/>
        </w:rPr>
        <w:t>m</w:t>
      </w:r>
      <w:r w:rsidRPr="00F06DE2">
        <w:rPr>
          <w:rFonts w:ascii="Times New Roman" w:hAnsi="Times New Roman" w:cs="Times New Roman"/>
          <w:lang w:val="ru-RU"/>
        </w:rPr>
        <w:t xml:space="preserve"> и поне по един такъв има във всеки водонепроницаем отсек;</w:t>
      </w:r>
    </w:p>
    <w:p w14:paraId="7D6739BA"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вв) от салоните, трапезариите и подобни помещения за отдих;</w:t>
      </w:r>
    </w:p>
    <w:p w14:paraId="7C1E8F4D"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гг) от тоалетните, предназначени за ползване от лица с намалена подвижност;</w:t>
      </w:r>
    </w:p>
    <w:p w14:paraId="3B6C6B31"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дд) от машинните отделения, камбузите и други помещения, където има опасност от пожар;</w:t>
      </w:r>
    </w:p>
    <w:p w14:paraId="49591822" w14:textId="77777777" w:rsidR="00271FA2" w:rsidRPr="00F06DE2" w:rsidRDefault="00D35E51" w:rsidP="00DC0D79">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ее) от хладилните помещения и другите складови помещения.</w:t>
      </w:r>
    </w:p>
    <w:p w14:paraId="79FFA850" w14:textId="77777777" w:rsidR="00271FA2" w:rsidRPr="00F06DE2" w:rsidRDefault="00D35E51" w:rsidP="00DC0D7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Задействащите бутони за алармата се монтират на височина от 0,85 </w:t>
      </w:r>
      <w:r w:rsidRPr="00F06DE2">
        <w:rPr>
          <w:rFonts w:ascii="Times New Roman" w:hAnsi="Times New Roman" w:cs="Times New Roman"/>
        </w:rPr>
        <w:t>m</w:t>
      </w:r>
      <w:r w:rsidRPr="00F06DE2">
        <w:rPr>
          <w:rFonts w:ascii="Times New Roman" w:hAnsi="Times New Roman" w:cs="Times New Roman"/>
          <w:lang w:val="ru-RU"/>
        </w:rPr>
        <w:t xml:space="preserve"> до 1,10 </w:t>
      </w:r>
      <w:r w:rsidRPr="00F06DE2">
        <w:rPr>
          <w:rFonts w:ascii="Times New Roman" w:hAnsi="Times New Roman" w:cs="Times New Roman"/>
        </w:rPr>
        <w:t>m</w:t>
      </w:r>
      <w:r w:rsidRPr="00F06DE2">
        <w:rPr>
          <w:rFonts w:ascii="Times New Roman" w:hAnsi="Times New Roman" w:cs="Times New Roman"/>
          <w:lang w:val="ru-RU"/>
        </w:rPr>
        <w:t xml:space="preserve"> над пода;</w:t>
      </w:r>
    </w:p>
    <w:p w14:paraId="5FE90EB4"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алармена система, позволяваща на командването на плавателния съд да подава предупредителен сигнал до пътниците.</w:t>
      </w:r>
    </w:p>
    <w:p w14:paraId="0AE60329" w14:textId="77777777" w:rsidR="00271FA2" w:rsidRPr="00F06DE2" w:rsidRDefault="00D35E51" w:rsidP="00DC0D7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Този алармен сигнал трябва да се чува ясно и безпогрешно във всички помещения, достъпни за пътниците. Той трябва да може да се задейства от рулевата рубка и от място, в което постоянно има персонал заето от екипажа или персонала на борда на кораба;</w:t>
      </w:r>
    </w:p>
    <w:p w14:paraId="3513E15C"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алармена система, която позволява на командването на плавателния съд да предупреждава екипажа и обслужващия персонал, посочени в член 7.09, точка 1.</w:t>
      </w:r>
    </w:p>
    <w:p w14:paraId="56B9595E" w14:textId="77777777" w:rsidR="00271FA2" w:rsidRPr="00F06DE2" w:rsidRDefault="00D35E51" w:rsidP="00DC0D7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Алармената система трябва да достига също до помещенията за отдих на обслужващия персонал, хладилните помещения и другите складови помещения.</w:t>
      </w:r>
    </w:p>
    <w:p w14:paraId="1FA647E9" w14:textId="77777777" w:rsidR="00271FA2" w:rsidRPr="00F06DE2" w:rsidRDefault="00D35E51" w:rsidP="00DC0D79">
      <w:pPr>
        <w:pStyle w:val="ESchpar"/>
        <w:jc w:val="both"/>
        <w:rPr>
          <w:rFonts w:ascii="Times New Roman" w:eastAsia="Calibri" w:hAnsi="Times New Roman" w:cs="Times New Roman"/>
          <w:lang w:val="ru-RU"/>
        </w:rPr>
      </w:pPr>
      <w:r w:rsidRPr="00F06DE2">
        <w:rPr>
          <w:rFonts w:ascii="Times New Roman" w:hAnsi="Times New Roman" w:cs="Times New Roman"/>
          <w:lang w:val="ru-RU"/>
        </w:rPr>
        <w:t>Задействащите бутони за алармения сигнал се обезопасяват против случайно включване.</w:t>
      </w:r>
    </w:p>
    <w:p w14:paraId="49218A8A"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Всеки водонепроницаем отсек трябва да е оборудван с алармена система за попадане на вода в трюма.</w:t>
      </w:r>
    </w:p>
    <w:p w14:paraId="26CCA242"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В трюма трябва да са осигурени две осушителни помпи, задвижвани от двигатели.</w:t>
      </w:r>
    </w:p>
    <w:p w14:paraId="13797474"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Трябва да е налице система за изпомпване на водата от трюма с неподвижно монтирани тръби.</w:t>
      </w:r>
    </w:p>
    <w:p w14:paraId="35753BA4"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Вратите на хладилното помещение, дори и когато са заключени, трябва също да могат да се отворят отвътре.</w:t>
      </w:r>
    </w:p>
    <w:p w14:paraId="6D7DD093"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lastRenderedPageBreak/>
        <w:t>8.</w:t>
      </w:r>
      <w:r w:rsidRPr="00F06DE2">
        <w:rPr>
          <w:rFonts w:ascii="Times New Roman" w:hAnsi="Times New Roman" w:cs="Times New Roman"/>
          <w:lang w:val="ru-RU"/>
        </w:rPr>
        <w:tab/>
        <w:t>Когато под палубата има тръбни системи с СО</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съответните помещения се оборудват с автоматична вентилационна система, която се задейства автоматично, когато бъде отворена врата или люк на помещението се отвори. Вентилационните тръби трябва да стигат до 0,05 </w:t>
      </w:r>
      <w:r w:rsidRPr="00F06DE2">
        <w:rPr>
          <w:rFonts w:ascii="Times New Roman" w:hAnsi="Times New Roman" w:cs="Times New Roman"/>
        </w:rPr>
        <w:t>m</w:t>
      </w:r>
      <w:r w:rsidRPr="00F06DE2">
        <w:rPr>
          <w:rFonts w:ascii="Times New Roman" w:hAnsi="Times New Roman" w:cs="Times New Roman"/>
          <w:lang w:val="ru-RU"/>
        </w:rPr>
        <w:t xml:space="preserve"> над пода на помещението. Вентилационни системи за помещения, в които има разположени </w:t>
      </w:r>
      <w:r w:rsidRPr="00F06DE2">
        <w:rPr>
          <w:rFonts w:ascii="Times New Roman" w:hAnsi="Times New Roman" w:cs="Times New Roman"/>
        </w:rPr>
        <w:t>CO</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системи под налягане, трябва да бъдат независими от други вентилационни системи.</w:t>
      </w:r>
    </w:p>
    <w:p w14:paraId="0EB79AFB"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В допълнение към комплекта за първа помощ, упоменат в член 13.02, точка 2, буква “е”, трябва да са осигурени още комплекти за първа помощ в достатъчни количества. Комплектите за първа помощ и тяхното съхранение трябва да съответстват на изискванията, установени в член 13.02, точка 2, буква “е”.</w:t>
      </w:r>
    </w:p>
    <w:p w14:paraId="34C14129"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eastAsia="Calibri" w:hAnsi="Times New Roman" w:cs="Times New Roman"/>
          <w:lang w:val="ru-RU"/>
        </w:rPr>
        <w:t>10.</w:t>
      </w:r>
      <w:r w:rsidRPr="00F06DE2">
        <w:rPr>
          <w:rFonts w:ascii="Times New Roman" w:eastAsia="Calibri" w:hAnsi="Times New Roman" w:cs="Times New Roman"/>
          <w:lang w:val="ru-RU"/>
        </w:rPr>
        <w:tab/>
        <w:t>Пътническите плавателни съдове трябва да бъдат оборудвани с поне един автоматизиран външен дефибрилатор. Местоположението му е обозначено със символ за „автоматизиран външен дефибрилатор“ в съответствие с фигура 12 от Приложение 4, с дължина на страната най-малко 10 с</w:t>
      </w:r>
      <w:r w:rsidRPr="00F06DE2">
        <w:rPr>
          <w:rFonts w:ascii="Times New Roman" w:eastAsia="Calibri" w:hAnsi="Times New Roman" w:cs="Times New Roman"/>
        </w:rPr>
        <w:t>m</w:t>
      </w:r>
      <w:r w:rsidRPr="00F06DE2">
        <w:rPr>
          <w:rFonts w:ascii="Times New Roman" w:eastAsia="Calibri" w:hAnsi="Times New Roman" w:cs="Times New Roman"/>
          <w:lang w:val="ru-RU"/>
        </w:rPr>
        <w:t>. Автоматизираният външен дефибрилатор трябва да се поддържа в съответствие с инструкциите на производителя.</w:t>
      </w:r>
    </w:p>
    <w:p w14:paraId="74EDA1A6"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50" w:name="_Toc535827619"/>
      <w:bookmarkStart w:id="351" w:name="_Toc491854178"/>
      <w:r w:rsidRPr="00F06DE2">
        <w:rPr>
          <w:rFonts w:ascii="Times New Roman" w:hAnsi="Times New Roman" w:cs="Times New Roman"/>
          <w:sz w:val="24"/>
          <w:szCs w:val="24"/>
          <w:lang w:val="ru-RU"/>
        </w:rPr>
        <w:t>Член 19.09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Спасително оборудване</w:t>
      </w:r>
      <w:bookmarkEnd w:id="350"/>
      <w:bookmarkEnd w:id="351"/>
    </w:p>
    <w:p w14:paraId="5B5F62C0"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В допълнение към спасителните кръгове, посочени в член 13.08, точка 1, всички части на палубата, които са предназначени за пътници и не са закрити, трябва да са оборудвани с подходящи спасителни кръгове, които трябва да са разположени от двете страни на съда, на разстояние не повече от 20 </w:t>
      </w:r>
      <w:r w:rsidRPr="00F06DE2">
        <w:rPr>
          <w:rFonts w:ascii="Times New Roman" w:hAnsi="Times New Roman" w:cs="Times New Roman"/>
        </w:rPr>
        <w:t>m</w:t>
      </w:r>
      <w:r w:rsidRPr="00F06DE2">
        <w:rPr>
          <w:rFonts w:ascii="Times New Roman" w:hAnsi="Times New Roman" w:cs="Times New Roman"/>
          <w:lang w:val="ru-RU"/>
        </w:rPr>
        <w:t xml:space="preserve"> един от друг. Спасителните кръгове се считат за подходящи ако са съобразени с:</w:t>
      </w:r>
    </w:p>
    <w:p w14:paraId="755C4CEB"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 xml:space="preserve">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14144:2003; или</w:t>
      </w:r>
    </w:p>
    <w:p w14:paraId="70FFC629"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 xml:space="preserve">Международната конвенцията за безопасност на човешкия живот на море (Конвенция </w:t>
      </w:r>
      <w:r w:rsidRPr="00F06DE2">
        <w:rPr>
          <w:rFonts w:ascii="Times New Roman" w:hAnsi="Times New Roman" w:cs="Times New Roman"/>
        </w:rPr>
        <w:t>SOLAS</w:t>
      </w:r>
      <w:r w:rsidRPr="00F06DE2">
        <w:rPr>
          <w:rFonts w:ascii="Times New Roman" w:hAnsi="Times New Roman" w:cs="Times New Roman"/>
          <w:lang w:val="ru-RU"/>
        </w:rPr>
        <w:t xml:space="preserve"> от 1974 г.), Глава </w:t>
      </w:r>
      <w:r w:rsidRPr="00F06DE2">
        <w:rPr>
          <w:rFonts w:ascii="Times New Roman" w:hAnsi="Times New Roman" w:cs="Times New Roman"/>
        </w:rPr>
        <w:t>III</w:t>
      </w:r>
      <w:r w:rsidRPr="00F06DE2">
        <w:rPr>
          <w:rFonts w:ascii="Times New Roman" w:hAnsi="Times New Roman" w:cs="Times New Roman"/>
          <w:lang w:val="ru-RU"/>
        </w:rPr>
        <w:t>, Правило 7.1 и Международния кодекс за спасителните средства, точка 2.1.</w:t>
      </w:r>
    </w:p>
    <w:p w14:paraId="1F61F73A" w14:textId="77777777" w:rsidR="00271FA2" w:rsidRPr="00F06DE2" w:rsidRDefault="00D35E51" w:rsidP="00DC0D79">
      <w:pPr>
        <w:pStyle w:val="ESchpar"/>
        <w:jc w:val="both"/>
        <w:rPr>
          <w:rFonts w:ascii="Times New Roman" w:eastAsia="Calibri" w:hAnsi="Times New Roman" w:cs="Times New Roman"/>
          <w:lang w:val="ru-RU"/>
        </w:rPr>
      </w:pPr>
      <w:r w:rsidRPr="00F06DE2">
        <w:rPr>
          <w:rFonts w:ascii="Times New Roman" w:hAnsi="Times New Roman" w:cs="Times New Roman"/>
          <w:lang w:val="ru-RU"/>
        </w:rPr>
        <w:t xml:space="preserve">Половината от предписаните кръгове се оборудват с плаващо въже с дължина не по-малко от 30 </w:t>
      </w:r>
      <w:r w:rsidRPr="00F06DE2">
        <w:rPr>
          <w:rFonts w:ascii="Times New Roman" w:hAnsi="Times New Roman" w:cs="Times New Roman"/>
        </w:rPr>
        <w:t>m</w:t>
      </w:r>
      <w:r w:rsidRPr="00F06DE2">
        <w:rPr>
          <w:rFonts w:ascii="Times New Roman" w:hAnsi="Times New Roman" w:cs="Times New Roman"/>
          <w:lang w:val="ru-RU"/>
        </w:rPr>
        <w:t xml:space="preserve"> и диаметър от 8 до 11 </w:t>
      </w:r>
      <w:r w:rsidRPr="00F06DE2">
        <w:rPr>
          <w:rFonts w:ascii="Times New Roman" w:hAnsi="Times New Roman" w:cs="Times New Roman"/>
        </w:rPr>
        <w:t>mm</w:t>
      </w:r>
      <w:r w:rsidRPr="00F06DE2">
        <w:rPr>
          <w:rFonts w:ascii="Times New Roman" w:hAnsi="Times New Roman" w:cs="Times New Roman"/>
          <w:lang w:val="ru-RU"/>
        </w:rPr>
        <w:t>. Останалата част от предписаните кръгове трябва да са оборудвани с автоматично включваща се светлина, захранвана от батерии, която не загасва във вода.</w:t>
      </w:r>
    </w:p>
    <w:p w14:paraId="0C5627F1"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Освен спасителните кръгове, посочени в точка 1, на разположение на целия обслужващ персонал трябва да има лично спасително оборудване в съответствие с член 13.08, точка 2. За обслужващия персонал, който не е отговорен за изпълняване на задължения съгласно разписанието по безопасността, се разрешават ненадуваеми или полуавтоматично надуваеми спасителни жилетки в съответствие с точки “а” и “б”, посочени в член 13.08, точка 2.</w:t>
      </w:r>
    </w:p>
    <w:p w14:paraId="6047010C"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Пътническите плавателни съдове трябва да имат оборудване, позволяващо хората безопасно да бъдат прехвърляни в плитки води, на брега или на друго плавателно средство.</w:t>
      </w:r>
    </w:p>
    <w:p w14:paraId="1F00018D"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 допълнение към спасителното оборудване, посочено в точки 1 и 2, личното спасително оборудване съгласно член 13.08, точка 2 трябва да е на разположение за 100 % от максимално допустимия брой пътници. Разрешават се също ненадуваеми или полуавтоматично надуваеми спасителни жилетки в съответствие с букви “а” и “б”, споменати в член 13.08, точка 2.</w:t>
      </w:r>
    </w:p>
    <w:p w14:paraId="5E48500B"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Терминът „колективни спасителни средства“ обхваща корабните лодки съгласно член 13.07 и спасителни салове.</w:t>
      </w:r>
    </w:p>
    <w:p w14:paraId="17339D53" w14:textId="77777777" w:rsidR="00271FA2" w:rsidRPr="00F06DE2" w:rsidRDefault="00D35E51" w:rsidP="00DC0D79">
      <w:pPr>
        <w:pStyle w:val="ESchpar"/>
        <w:jc w:val="both"/>
        <w:rPr>
          <w:rFonts w:ascii="Times New Roman" w:eastAsia="Calibri" w:hAnsi="Times New Roman" w:cs="Times New Roman"/>
          <w:lang w:val="ru-RU"/>
        </w:rPr>
      </w:pPr>
      <w:r w:rsidRPr="00F06DE2">
        <w:rPr>
          <w:rFonts w:ascii="Times New Roman" w:hAnsi="Times New Roman" w:cs="Times New Roman"/>
          <w:lang w:val="ru-RU"/>
        </w:rPr>
        <w:t>Спасителните салове:</w:t>
      </w:r>
    </w:p>
    <w:p w14:paraId="32273F23"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имат табелка, посочваща предназначението им и броя лица, за който са одобрени;</w:t>
      </w:r>
    </w:p>
    <w:p w14:paraId="26ADEE38"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предлагат достатъчно места за сядане за допустимия брой лица;</w:t>
      </w:r>
    </w:p>
    <w:p w14:paraId="79989F46"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в) осигуряват плавателност от най-малко 750 </w:t>
      </w:r>
      <w:r w:rsidRPr="00F06DE2">
        <w:rPr>
          <w:rFonts w:ascii="Times New Roman" w:hAnsi="Times New Roman" w:cs="Times New Roman"/>
        </w:rPr>
        <w:t>N</w:t>
      </w:r>
      <w:r w:rsidRPr="00F06DE2">
        <w:rPr>
          <w:rFonts w:ascii="Times New Roman" w:hAnsi="Times New Roman" w:cs="Times New Roman"/>
          <w:lang w:val="ru-RU"/>
        </w:rPr>
        <w:t xml:space="preserve"> на човек в сладки води;</w:t>
      </w:r>
    </w:p>
    <w:p w14:paraId="6F2344D3"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разполагат с въже, свързано с пътническия плавателен съд, за да не ги отнася течението;</w:t>
      </w:r>
    </w:p>
    <w:p w14:paraId="3714515B"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lastRenderedPageBreak/>
        <w:t>д) са произведени от подходящи материали и са устойчиви на нефт, нефтени продукти и температури до 50°С;</w:t>
      </w:r>
    </w:p>
    <w:p w14:paraId="2181EFE5"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 заемат и поддържат стабилно равновесие и във връзка с това са снабдени с подходящи устройства, позволяващи за тях да се хващат посоченият брой лица;</w:t>
      </w:r>
    </w:p>
    <w:p w14:paraId="10DCE3E2"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ж) са боядисани във флуоресцентен оранжев цвят или имат флуоресцентни повърхности, видими от всички страни, с площ не по-малко от 100 с</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w:t>
      </w:r>
    </w:p>
    <w:p w14:paraId="051F17B7"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з) са такива, че да могат да бъдат извадени от мястото си на съхранение и прехвърлени зад борда бързо и безопасно от един човек или да могат да започнат да плават свободно направо от мястото си на съхранение;</w:t>
      </w:r>
    </w:p>
    <w:p w14:paraId="14DD8D51"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и) са оборудвани със съответни средства за евакуация от пунктовете за евакуация, посочени в член 19.06, точка 8, към спасителните салове, в случай че вертикалното разстояние между палубата и пунктовете за евакуация и равнината на максималното газене е по-голямо от 1 </w:t>
      </w:r>
      <w:r w:rsidRPr="00F06DE2">
        <w:rPr>
          <w:rFonts w:ascii="Times New Roman" w:hAnsi="Times New Roman" w:cs="Times New Roman"/>
        </w:rPr>
        <w:t>m</w:t>
      </w:r>
      <w:r w:rsidRPr="00F06DE2">
        <w:rPr>
          <w:rFonts w:ascii="Times New Roman" w:hAnsi="Times New Roman" w:cs="Times New Roman"/>
          <w:lang w:val="ru-RU"/>
        </w:rPr>
        <w:t>.</w:t>
      </w:r>
    </w:p>
    <w:p w14:paraId="12831AFE"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Допълнителните колективни спасителни средства са елементи от спасителното оборудване, които осигуряват плавателност за няколко лица във водата. Те:</w:t>
      </w:r>
    </w:p>
    <w:p w14:paraId="4AAF4F73"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имат табелка, посочваща предназначението им и броя лица, за който са одобрени;</w:t>
      </w:r>
    </w:p>
    <w:p w14:paraId="4287CC10"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 осигуряват плавателност от най-малко 100 </w:t>
      </w:r>
      <w:r w:rsidRPr="00F06DE2">
        <w:rPr>
          <w:rFonts w:ascii="Times New Roman" w:hAnsi="Times New Roman" w:cs="Times New Roman"/>
        </w:rPr>
        <w:t>N</w:t>
      </w:r>
      <w:r w:rsidRPr="00F06DE2">
        <w:rPr>
          <w:rFonts w:ascii="Times New Roman" w:hAnsi="Times New Roman" w:cs="Times New Roman"/>
          <w:lang w:val="ru-RU"/>
        </w:rPr>
        <w:t xml:space="preserve"> на човек в сладки води;</w:t>
      </w:r>
    </w:p>
    <w:p w14:paraId="6EAC611E"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са произведени от подходящи материали и устойчиви на нефт, нефтени продукти и температури до 50°С;</w:t>
      </w:r>
    </w:p>
    <w:p w14:paraId="6616BDE6"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заемат и поддържат стабилно равновесие и във връзка с това са снабдени с подходящи устройства, позволяващи за тях да се хващат посоченият брой лица;</w:t>
      </w:r>
    </w:p>
    <w:p w14:paraId="11800017"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са боядисани във флуоресцентен оранжев цвят или имат флуоресцентни повърхности, видими от всички страни, с площ не по-малко от 100 с</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w:t>
      </w:r>
    </w:p>
    <w:p w14:paraId="76903C88"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 са такива, че да могат да бъдат извадени от мястото си на съхранение и хвърлени зад борда бързо и безопасно от един човек или да могат да започнат да плават свободно направо от мястото си на съхранение.</w:t>
      </w:r>
    </w:p>
    <w:p w14:paraId="166F26DE"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Освен това надуваемите колективни спасителни средства трябва:</w:t>
      </w:r>
    </w:p>
    <w:p w14:paraId="4132D70F"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да обхващат поне две отделни въздушни камери;</w:t>
      </w:r>
    </w:p>
    <w:p w14:paraId="56712E11"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да се надуват автоматично или с ръчно задействане при пускане;</w:t>
      </w:r>
    </w:p>
    <w:p w14:paraId="4F01374A"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да заемат и поддържат стабилно равновесие независимо от товара, който носят, дори и ако само половината от въздушните камери са надути.</w:t>
      </w:r>
    </w:p>
    <w:p w14:paraId="7CB2E80C"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Спасителните средства се складират на борда по такъв начин, че да могат да се достигат лесно и безопасно при необходимост. Покритите места за съхранение се маркират ясно.</w:t>
      </w:r>
    </w:p>
    <w:p w14:paraId="767D1036"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Спасителното оборудване се проверява съгласно указанията на производителя.</w:t>
      </w:r>
    </w:p>
    <w:p w14:paraId="36E3F190"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Корабната лодка се оборудва с двигател и прожектор.</w:t>
      </w:r>
    </w:p>
    <w:p w14:paraId="61B6E439" w14:textId="77777777" w:rsidR="00271FA2" w:rsidRPr="00F06DE2" w:rsidRDefault="00D35E51" w:rsidP="00C003D0">
      <w:pPr>
        <w:pStyle w:val="ESch"/>
        <w:spacing w:after="240"/>
        <w:jc w:val="both"/>
        <w:rPr>
          <w:rFonts w:ascii="Times New Roman" w:eastAsia="Calibri"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Трябва да е налична подходяща носилка.</w:t>
      </w:r>
    </w:p>
    <w:p w14:paraId="405E406A"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52" w:name="_Toc535827620"/>
      <w:bookmarkStart w:id="353" w:name="_Toc491854179"/>
      <w:r w:rsidRPr="00F06DE2">
        <w:rPr>
          <w:rFonts w:ascii="Times New Roman" w:hAnsi="Times New Roman" w:cs="Times New Roman"/>
          <w:sz w:val="24"/>
          <w:szCs w:val="24"/>
          <w:lang w:val="ru-RU"/>
        </w:rPr>
        <w:t>Член 19.10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Електрическо оборудване</w:t>
      </w:r>
      <w:bookmarkEnd w:id="352"/>
      <w:bookmarkEnd w:id="353"/>
    </w:p>
    <w:p w14:paraId="7AD9F6F3"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За осветление се допуска само електрическо оборудване.</w:t>
      </w:r>
    </w:p>
    <w:p w14:paraId="16E3BD51"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Член 10.16, точка 3 се прилага също за помещения за пътници.</w:t>
      </w:r>
    </w:p>
    <w:p w14:paraId="39E29BC7"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Трябва да е осигурено достатъчно осветление и аварийно осветление за следните помещения и места:</w:t>
      </w:r>
    </w:p>
    <w:p w14:paraId="457EE27B"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lastRenderedPageBreak/>
        <w:t>a</w:t>
      </w:r>
      <w:r w:rsidRPr="00F06DE2">
        <w:rPr>
          <w:rFonts w:ascii="Times New Roman" w:hAnsi="Times New Roman" w:cs="Times New Roman"/>
          <w:lang w:val="ru-RU"/>
        </w:rPr>
        <w:t>) местата, където се съхранява спасителното оборудване и където то обикновено се подготвя за ползване;</w:t>
      </w:r>
    </w:p>
    <w:p w14:paraId="2FC36393"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маршрутите за евакуация, местата за достъп на пътниците, в това число траповете, входовете и изходите, свързващите коридори, асансьорите и вътрешните трапове на жилищните пространства, корабните каюти и жилищните пространства;</w:t>
      </w:r>
    </w:p>
    <w:p w14:paraId="75CFBE8A"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маркировките на маршрутите за евакуация и аварийните изходи;</w:t>
      </w:r>
    </w:p>
    <w:p w14:paraId="3DCDA08E"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в други области, предвидени за ползване от лица с намалена подвижност;</w:t>
      </w:r>
    </w:p>
    <w:p w14:paraId="14953B22"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служебните помещения, машинните отделения, помещенията на рулевия механизъм и техните изходи;</w:t>
      </w:r>
    </w:p>
    <w:p w14:paraId="3C0A4F22" w14:textId="77777777" w:rsidR="00271FA2" w:rsidRPr="00F06DE2" w:rsidRDefault="00D35E51" w:rsidP="00DC0D7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 рулева рубка;</w:t>
      </w:r>
    </w:p>
    <w:p w14:paraId="728AA5A3" w14:textId="77777777" w:rsidR="00271FA2" w:rsidRPr="00F06DE2" w:rsidRDefault="00D35E51" w:rsidP="00DC0D7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ж) помещението за аварийния източник на електроенергия;</w:t>
      </w:r>
    </w:p>
    <w:p w14:paraId="4C0159B2" w14:textId="72D607C7" w:rsidR="00271FA2" w:rsidRPr="00F06DE2" w:rsidRDefault="00DC0D79" w:rsidP="00DC0D79">
      <w:pPr>
        <w:pStyle w:val="ESlet"/>
        <w:tabs>
          <w:tab w:val="left" w:pos="851"/>
        </w:tabs>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з) </w:t>
      </w:r>
      <w:r w:rsidR="00D35E51" w:rsidRPr="00F06DE2">
        <w:rPr>
          <w:rFonts w:ascii="Times New Roman" w:hAnsi="Times New Roman" w:cs="Times New Roman"/>
          <w:lang w:val="ru-RU"/>
        </w:rPr>
        <w:t>местата, където се намират пожарогасителите и управлението на противопожарното оборудване;</w:t>
      </w:r>
    </w:p>
    <w:p w14:paraId="6ADAE8B0" w14:textId="77777777" w:rsidR="00271FA2" w:rsidRPr="00F06DE2" w:rsidRDefault="00D35E51" w:rsidP="00DC0D7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и) сборни пунктове и евакуационни пунктове, посочени в член 19.06, точка 8;</w:t>
      </w:r>
    </w:p>
    <w:p w14:paraId="6B1D9EC5" w14:textId="77777777" w:rsidR="00271FA2" w:rsidRPr="00F06DE2" w:rsidRDefault="00D35E51" w:rsidP="00DC0D7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й) местата, където трябва да се намира автоматизираният външен дефибрилатор.</w:t>
      </w:r>
    </w:p>
    <w:p w14:paraId="6A60EF10"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Трябва да има авариен захранващ агрегат, състоящ се от авариен източник на електроенергия и аварийно електрическо табло, които да могат да се включат като резервно захранване при отказ на електрозахранването на следното електрическо оборудване, в случай че оборудването няма собствен източник на електроенергия:</w:t>
      </w:r>
    </w:p>
    <w:p w14:paraId="23C030A0"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a) навигационни светлини;</w:t>
      </w:r>
    </w:p>
    <w:p w14:paraId="1F162E9D"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звукови предупредителни устройства;</w:t>
      </w:r>
    </w:p>
    <w:p w14:paraId="3106F143"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аварийно осветление в съответствие с точка 3;</w:t>
      </w:r>
    </w:p>
    <w:p w14:paraId="726261F7"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радиотелефонни уредби;</w:t>
      </w:r>
    </w:p>
    <w:p w14:paraId="43553DA3"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алармена сигнализация, високоговорителни уредби и системи за бордова съобщителна връзка;</w:t>
      </w:r>
    </w:p>
    <w:p w14:paraId="382A6843"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 прожекторите съгласно член 13.02, точка 2, буква “и”;</w:t>
      </w:r>
    </w:p>
    <w:p w14:paraId="4DEEA835"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ж) пожароизвестителна система;</w:t>
      </w:r>
    </w:p>
    <w:p w14:paraId="57B7D93C"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з) друго оборудване за безопасност, като автоматичните спринклерни системи под налягане или пожарни помпи;</w:t>
      </w:r>
    </w:p>
    <w:p w14:paraId="4315C6C9"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и) асансьори и подемно оборудване по смисъла на член 19.06, точка 9, второ изречение.</w:t>
      </w:r>
    </w:p>
    <w:p w14:paraId="3577EDC1"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Осветителната инсталация за аварийното осветление се маркира като такава.</w:t>
      </w:r>
    </w:p>
    <w:p w14:paraId="54E8CBB2"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Аварийният захранващ агрегат се монтира извън главното машинно отделение, извън помещенията, в които се помещават източниците на електроенергия, посочени в член 10.02, точка 1, и извън помещението, в което се намира главното разпределително табло; той се отделя от тези помещения с преградни стени съгласно член 19.11, точка 2.</w:t>
      </w:r>
    </w:p>
    <w:p w14:paraId="01DB498E" w14:textId="77777777" w:rsidR="00271FA2" w:rsidRPr="00F06DE2" w:rsidRDefault="00D35E51" w:rsidP="00C6187E">
      <w:pPr>
        <w:pStyle w:val="ESchpar"/>
        <w:jc w:val="both"/>
        <w:rPr>
          <w:rFonts w:ascii="Times New Roman" w:eastAsia="Calibri" w:hAnsi="Times New Roman" w:cs="Times New Roman"/>
          <w:lang w:val="ru-RU"/>
        </w:rPr>
      </w:pPr>
      <w:r w:rsidRPr="00F06DE2">
        <w:rPr>
          <w:rFonts w:ascii="Times New Roman" w:hAnsi="Times New Roman" w:cs="Times New Roman"/>
          <w:lang w:val="ru-RU"/>
        </w:rPr>
        <w:t>Кабелите, захранващи електрическата инсталация в извънредна ситуация, се монтират и прокарват по такъв начин, че да поддържат непрекъснатост на захранването на тази инсталация при пожар или наводняване. Тези кабели никога не трябва да преминават през главното машинно отделение, камбузите или помещенията, където са инсталирани основният източник на енергия и неговото свързано оборудване, освен доколкото на тези места е необходимо да бъде осигурено аварийно оборудване.</w:t>
      </w:r>
    </w:p>
    <w:p w14:paraId="54A1708D" w14:textId="77777777" w:rsidR="00271FA2" w:rsidRPr="00F06DE2" w:rsidRDefault="00D35E51" w:rsidP="00C6187E">
      <w:pPr>
        <w:pStyle w:val="ESchpar"/>
        <w:jc w:val="both"/>
        <w:rPr>
          <w:rFonts w:ascii="Times New Roman" w:eastAsia="Calibri" w:hAnsi="Times New Roman" w:cs="Times New Roman"/>
          <w:lang w:val="ru-RU"/>
        </w:rPr>
      </w:pPr>
      <w:r w:rsidRPr="00F06DE2">
        <w:rPr>
          <w:rFonts w:ascii="Times New Roman" w:hAnsi="Times New Roman" w:cs="Times New Roman"/>
          <w:lang w:val="ru-RU"/>
        </w:rPr>
        <w:t xml:space="preserve">Аварийният захранващ агрегат се инсталира или над пределната линия или колкото е възможно по-далече от източниците на енергия съгласно член 10.02, точка 1, така че да се гарантира, че в </w:t>
      </w:r>
      <w:r w:rsidRPr="00F06DE2">
        <w:rPr>
          <w:rFonts w:ascii="Times New Roman" w:hAnsi="Times New Roman" w:cs="Times New Roman"/>
          <w:lang w:val="ru-RU"/>
        </w:rPr>
        <w:lastRenderedPageBreak/>
        <w:t>случай на наводняване в съответствие с член 19.03, точка 9 той не се наводнява едновременно с тези захранващи източници.</w:t>
      </w:r>
    </w:p>
    <w:p w14:paraId="5067B242"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Следното оборудване е допустимо за използване като авариен източник на електроенергия:</w:t>
      </w:r>
    </w:p>
    <w:p w14:paraId="352E6113"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спомагателни генератори със собствено подаване на гориво и отделна система за охлаждане, които в случай на отказ на електрозахранването да се включат и да поемат снабдяването с енергия в рамките на 30 секунди автоматично, или, ако са в непосредствена близост до рулевата рубка или друго място, в което постоянно работят членове на екипажа, да могат да се включват и ръчно; или</w:t>
      </w:r>
    </w:p>
    <w:p w14:paraId="4F4EDA3D"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акумулаторни батерии, които в случай на повреда в електрозахранването да се включват автоматично, или, ако са в непосредствена близост до рулевата рубка или друго място, в което постоянно работят членове на екипажа, да могат да се включват и ръчно. Те трябва да могат да захранват горните потребители на енергия през целия предписан период без презареждане и без недопустим спад на напрежението.</w:t>
      </w:r>
    </w:p>
    <w:p w14:paraId="1F1722D0"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Планираният период на функциониране на аварийното захранване се определя съгласно предназначението на плавателния съд. Той не трябва да е по-кратък от 30 минути.</w:t>
      </w:r>
    </w:p>
    <w:p w14:paraId="559F586F"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Съпротивленията на изолацията и заземяването на електрическите системи се изпробват при периодични проверки.</w:t>
      </w:r>
    </w:p>
    <w:p w14:paraId="5D10701E" w14:textId="77777777" w:rsidR="00271FA2" w:rsidRPr="00F06DE2" w:rsidRDefault="00D35E51" w:rsidP="00DC0D79">
      <w:pPr>
        <w:pStyle w:val="ESch"/>
        <w:jc w:val="both"/>
        <w:rPr>
          <w:rFonts w:ascii="Times New Roman" w:eastAsia="Calibri"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Източниците на енергия съгласно член 10.02, точка 1 трябва да бъдат независими един от друг.</w:t>
      </w:r>
    </w:p>
    <w:p w14:paraId="5AAA07E9" w14:textId="77777777" w:rsidR="00271FA2" w:rsidRPr="00F06DE2" w:rsidRDefault="00D35E51" w:rsidP="00C003D0">
      <w:pPr>
        <w:pStyle w:val="ESch"/>
        <w:spacing w:after="240"/>
        <w:jc w:val="both"/>
        <w:rPr>
          <w:rFonts w:ascii="Times New Roman" w:eastAsia="Calibri"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Повреда на главното или аварийното енергозахранване не трябва да се отразява на експлоатационната безопасност на инсталациите.</w:t>
      </w:r>
    </w:p>
    <w:p w14:paraId="47FE6DC1" w14:textId="5F115B43" w:rsidR="00271FA2" w:rsidRPr="00F06DE2" w:rsidRDefault="00D35E51">
      <w:pPr>
        <w:pStyle w:val="ES-Titre3"/>
        <w:spacing w:line="240" w:lineRule="atLeast"/>
        <w:rPr>
          <w:rFonts w:ascii="Times New Roman" w:hAnsi="Times New Roman" w:cs="Times New Roman"/>
          <w:i/>
          <w:sz w:val="24"/>
          <w:szCs w:val="24"/>
          <w:lang w:val="ru-RU"/>
        </w:rPr>
      </w:pPr>
      <w:bookmarkStart w:id="354" w:name="_Toc535827621"/>
      <w:bookmarkStart w:id="355" w:name="_Toc491854180"/>
      <w:r w:rsidRPr="00F06DE2">
        <w:rPr>
          <w:rFonts w:ascii="Times New Roman" w:hAnsi="Times New Roman" w:cs="Times New Roman"/>
          <w:sz w:val="24"/>
          <w:szCs w:val="24"/>
          <w:lang w:val="ru-RU"/>
        </w:rPr>
        <w:t>Член 19.11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Противопожарна защита</w:t>
      </w:r>
      <w:bookmarkEnd w:id="354"/>
      <w:bookmarkEnd w:id="355"/>
    </w:p>
    <w:p w14:paraId="2C3B079C"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Годността на материалите и компонентите за противопожарна защита се установява от акредитирана изпитваща институция на основата на съответни методи за изпитване.</w:t>
      </w:r>
    </w:p>
    <w:p w14:paraId="6F9FC309"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Институцията за изпитване трябва да отговаря на изискванията на:</w:t>
      </w:r>
    </w:p>
    <w:p w14:paraId="5F0A2887" w14:textId="77777777" w:rsidR="00271FA2" w:rsidRPr="00F06DE2" w:rsidRDefault="00D35E51" w:rsidP="00C6187E">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Кодекса на процедурите за противопожарни изпитвания; или</w:t>
      </w:r>
    </w:p>
    <w:p w14:paraId="23C1B16A" w14:textId="77777777" w:rsidR="00271FA2" w:rsidRPr="00F06DE2" w:rsidRDefault="00D35E51" w:rsidP="00C6187E">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бб)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w:t>
      </w:r>
      <w:r w:rsidRPr="00F06DE2">
        <w:rPr>
          <w:rFonts w:ascii="Times New Roman" w:hAnsi="Times New Roman" w:cs="Times New Roman"/>
        </w:rPr>
        <w:t>ISO</w:t>
      </w:r>
      <w:r w:rsidRPr="00F06DE2">
        <w:rPr>
          <w:rFonts w:ascii="Times New Roman" w:hAnsi="Times New Roman" w:cs="Times New Roman"/>
          <w:lang w:val="ru-RU"/>
        </w:rPr>
        <w:t>/</w:t>
      </w:r>
      <w:r w:rsidRPr="00F06DE2">
        <w:rPr>
          <w:rFonts w:ascii="Times New Roman" w:hAnsi="Times New Roman" w:cs="Times New Roman"/>
        </w:rPr>
        <w:t>IEC</w:t>
      </w:r>
      <w:r w:rsidRPr="00F06DE2">
        <w:rPr>
          <w:rFonts w:ascii="Times New Roman" w:hAnsi="Times New Roman" w:cs="Times New Roman"/>
          <w:lang w:val="ru-RU"/>
        </w:rPr>
        <w:t xml:space="preserve"> 17025:2017;</w:t>
      </w:r>
    </w:p>
    <w:p w14:paraId="58BFF856"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Признатите методи за изпитване за определяне на незапалимостта на материалите са:</w:t>
      </w:r>
    </w:p>
    <w:p w14:paraId="57A6EA5C" w14:textId="77777777" w:rsidR="00271FA2" w:rsidRPr="00F06DE2" w:rsidRDefault="00D35E51" w:rsidP="00C6187E">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w:t>
      </w:r>
      <w:r w:rsidRPr="00F06DE2">
        <w:rPr>
          <w:rFonts w:ascii="Times New Roman" w:hAnsi="Times New Roman" w:cs="Times New Roman"/>
          <w:lang w:val="ru-RU"/>
        </w:rPr>
        <w:tab/>
        <w:t xml:space="preserve"> Приложение 1, част 1 от Кодекса на процедурите за противопожарни изпитвания; и</w:t>
      </w:r>
    </w:p>
    <w:p w14:paraId="3979B393" w14:textId="77777777" w:rsidR="00271FA2" w:rsidRPr="00F06DE2" w:rsidRDefault="00D35E51" w:rsidP="00C6187E">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бб) равностойните разпоредби на една от държавите членки;</w:t>
      </w:r>
    </w:p>
    <w:p w14:paraId="0CEAD450"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Признатите методи за изпитване за определяне дали даден материал е забавящ горенето материал, са:</w:t>
      </w:r>
    </w:p>
    <w:p w14:paraId="27DFC699" w14:textId="77777777" w:rsidR="00271FA2" w:rsidRPr="00F06DE2" w:rsidRDefault="00D35E51" w:rsidP="00C6187E">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съответните изисквания, посочени в Приложение 1, части 5 (Изпитване за запалимост на повърхността - Изпитване за материали за повърхности и основни покрития на палубата), 7 (Изпитване за вертикално разположени текстил и пластове), 8 (Изпитване за тапицирани мебели) и 9 (Изпитване за постелъчни принадлежности) от Кодекса на процедурите за противопожарни изпитвания; и</w:t>
      </w:r>
    </w:p>
    <w:p w14:paraId="4ED2A4A3" w14:textId="77777777" w:rsidR="00271FA2" w:rsidRPr="00F06DE2" w:rsidRDefault="00D35E51" w:rsidP="00C6187E">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бб) равностойните разпоредби на една от държавите членки;</w:t>
      </w:r>
    </w:p>
    <w:p w14:paraId="0202DEE1"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Признатите методи за изпитване за определяне на огнеустойчивостта са:</w:t>
      </w:r>
    </w:p>
    <w:p w14:paraId="432D132A" w14:textId="7FAA5225" w:rsidR="00271FA2" w:rsidRPr="00F06DE2" w:rsidRDefault="00D35E51" w:rsidP="00C6187E">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Приложение 1, част</w:t>
      </w:r>
      <w:r w:rsidR="00AD40EF" w:rsidRPr="00F06DE2">
        <w:rPr>
          <w:rFonts w:ascii="Times New Roman" w:hAnsi="Times New Roman" w:cs="Times New Roman"/>
          <w:lang w:val="ru-RU"/>
        </w:rPr>
        <w:t>и</w:t>
      </w:r>
      <w:r w:rsidRPr="00F06DE2">
        <w:rPr>
          <w:rFonts w:ascii="Times New Roman" w:hAnsi="Times New Roman" w:cs="Times New Roman"/>
          <w:lang w:val="ru-RU"/>
        </w:rPr>
        <w:t xml:space="preserve"> 3 </w:t>
      </w:r>
      <w:r w:rsidR="00AD40EF" w:rsidRPr="00F06DE2">
        <w:rPr>
          <w:rFonts w:ascii="Times New Roman" w:hAnsi="Times New Roman" w:cs="Times New Roman"/>
          <w:lang w:val="ru-RU"/>
        </w:rPr>
        <w:t xml:space="preserve">и  11 </w:t>
      </w:r>
      <w:r w:rsidRPr="00F06DE2">
        <w:rPr>
          <w:rFonts w:ascii="Times New Roman" w:hAnsi="Times New Roman" w:cs="Times New Roman"/>
          <w:lang w:val="ru-RU"/>
        </w:rPr>
        <w:t>от Кодекса на процедурите за противопожарни изпитвания, и</w:t>
      </w:r>
    </w:p>
    <w:p w14:paraId="3344F94B" w14:textId="1F463C99" w:rsidR="00271FA2" w:rsidRPr="00F06DE2" w:rsidRDefault="00D35E51" w:rsidP="00C6187E">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бб) равностойните разпоредби на една от държавите членки;</w:t>
      </w:r>
    </w:p>
    <w:p w14:paraId="36256A91" w14:textId="77777777" w:rsidR="00064FF1" w:rsidRPr="00F06DE2" w:rsidRDefault="00064FF1" w:rsidP="00C6187E">
      <w:pPr>
        <w:ind w:left="567"/>
        <w:jc w:val="both"/>
        <w:rPr>
          <w:rFonts w:ascii="Times New Roman" w:hAnsi="Times New Roman" w:cs="Times New Roman"/>
          <w:lang w:val="ru-RU"/>
        </w:rPr>
      </w:pPr>
      <w:r w:rsidRPr="00F06DE2">
        <w:rPr>
          <w:rFonts w:ascii="Times New Roman" w:hAnsi="Times New Roman" w:cs="Times New Roman"/>
          <w:lang w:val="ru-RU"/>
        </w:rPr>
        <w:t>д) Признатите методи за изпитване за определяне, че даден материал ограничава пожара, са:</w:t>
      </w:r>
    </w:p>
    <w:p w14:paraId="54761A2F" w14:textId="77777777" w:rsidR="00064FF1" w:rsidRPr="00F06DE2" w:rsidRDefault="00064FF1" w:rsidP="00C6187E">
      <w:pPr>
        <w:ind w:left="567"/>
        <w:jc w:val="both"/>
        <w:rPr>
          <w:rFonts w:ascii="Times New Roman" w:hAnsi="Times New Roman" w:cs="Times New Roman"/>
          <w:lang w:val="ru-RU"/>
        </w:rPr>
      </w:pPr>
      <w:r w:rsidRPr="00F06DE2">
        <w:rPr>
          <w:rFonts w:ascii="Times New Roman" w:hAnsi="Times New Roman" w:cs="Times New Roman"/>
          <w:lang w:val="ru-RU"/>
        </w:rPr>
        <w:lastRenderedPageBreak/>
        <w:t>аа) Приложение 1, част 10 от Кодекса за процедурите за изпитване на пожар; и</w:t>
      </w:r>
    </w:p>
    <w:p w14:paraId="648F6DCE" w14:textId="7E45F55B" w:rsidR="00064FF1" w:rsidRPr="00F06DE2" w:rsidRDefault="00064FF1" w:rsidP="00C6187E">
      <w:pPr>
        <w:ind w:left="567"/>
        <w:jc w:val="both"/>
        <w:rPr>
          <w:rFonts w:ascii="Times New Roman" w:hAnsi="Times New Roman" w:cs="Times New Roman"/>
          <w:lang w:val="ru-RU"/>
        </w:rPr>
      </w:pPr>
      <w:r w:rsidRPr="00F06DE2">
        <w:rPr>
          <w:rFonts w:ascii="Times New Roman" w:hAnsi="Times New Roman" w:cs="Times New Roman"/>
          <w:lang w:val="ru-RU"/>
        </w:rPr>
        <w:t>бб) еквивалентните разпоредби на една от държавите-членки.</w:t>
      </w:r>
    </w:p>
    <w:p w14:paraId="781C8437" w14:textId="12782421" w:rsidR="00271FA2" w:rsidRPr="00F06DE2" w:rsidRDefault="00064FF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w:t>
      </w:r>
      <w:r w:rsidR="00D35E51" w:rsidRPr="00F06DE2">
        <w:rPr>
          <w:rFonts w:ascii="Times New Roman" w:hAnsi="Times New Roman" w:cs="Times New Roman"/>
          <w:lang w:val="ru-RU"/>
        </w:rPr>
        <w:t>) Контролният орган има право, в съответствие с Кодекса на процедурите за противопожарни изпитвания, да разпореди изпитване на произволно избрана разделителна стена с цел да осигури съответствие с разпоредбите на точка 2 относно устойчивостта и нарастването на температурата.</w:t>
      </w:r>
    </w:p>
    <w:p w14:paraId="7909273D" w14:textId="77777777" w:rsidR="00B22B30" w:rsidRPr="00F06DE2" w:rsidRDefault="00B22B30" w:rsidP="00C6187E">
      <w:pPr>
        <w:ind w:left="567" w:hanging="567"/>
        <w:jc w:val="both"/>
        <w:rPr>
          <w:rFonts w:ascii="Times New Roman" w:hAnsi="Times New Roman" w:cs="Times New Roman"/>
          <w:lang w:val="ru-RU"/>
        </w:rPr>
      </w:pPr>
      <w:r w:rsidRPr="00F06DE2">
        <w:rPr>
          <w:rFonts w:ascii="Times New Roman" w:hAnsi="Times New Roman" w:cs="Times New Roman"/>
          <w:lang w:val="ru-RU"/>
        </w:rPr>
        <w:t xml:space="preserve">2. </w:t>
      </w:r>
      <w:r w:rsidRPr="00F06DE2">
        <w:rPr>
          <w:rFonts w:ascii="Times New Roman" w:hAnsi="Times New Roman" w:cs="Times New Roman"/>
          <w:lang w:val="ru-RU"/>
        </w:rPr>
        <w:tab/>
        <w:t>Прегради</w:t>
      </w:r>
    </w:p>
    <w:p w14:paraId="6F3359B3" w14:textId="17B5F9EC" w:rsidR="00B22B30" w:rsidRPr="00F06DE2" w:rsidRDefault="00B22B30" w:rsidP="00C6187E">
      <w:pPr>
        <w:ind w:left="567"/>
        <w:jc w:val="both"/>
        <w:rPr>
          <w:rFonts w:ascii="Times New Roman" w:hAnsi="Times New Roman" w:cs="Times New Roman"/>
          <w:lang w:val="ru-RU"/>
        </w:rPr>
      </w:pPr>
      <w:r w:rsidRPr="00F06DE2">
        <w:rPr>
          <w:rFonts w:ascii="Times New Roman" w:hAnsi="Times New Roman" w:cs="Times New Roman"/>
          <w:lang w:val="ru-RU"/>
        </w:rPr>
        <w:t xml:space="preserve">За определяне на подходящото противопожарно разделяне, което да се приложи към границите между съседни </w:t>
      </w:r>
      <w:r w:rsidR="001337A3" w:rsidRPr="00F06DE2">
        <w:rPr>
          <w:rFonts w:ascii="Times New Roman" w:hAnsi="Times New Roman" w:cs="Times New Roman"/>
          <w:lang w:val="ru-RU"/>
        </w:rPr>
        <w:t xml:space="preserve"> </w:t>
      </w:r>
      <w:r w:rsidR="000002F7" w:rsidRPr="00F06DE2">
        <w:rPr>
          <w:rFonts w:ascii="Times New Roman" w:hAnsi="Times New Roman" w:cs="Times New Roman"/>
          <w:lang w:val="ru-RU"/>
        </w:rPr>
        <w:t>помещения</w:t>
      </w:r>
      <w:r w:rsidRPr="00F06DE2">
        <w:rPr>
          <w:rFonts w:ascii="Times New Roman" w:hAnsi="Times New Roman" w:cs="Times New Roman"/>
          <w:lang w:val="ru-RU"/>
        </w:rPr>
        <w:t xml:space="preserve"> или зони, такива </w:t>
      </w:r>
      <w:r w:rsidR="000002F7" w:rsidRPr="00F06DE2">
        <w:rPr>
          <w:rFonts w:ascii="Times New Roman" w:hAnsi="Times New Roman" w:cs="Times New Roman"/>
          <w:lang w:val="ru-RU"/>
        </w:rPr>
        <w:t>помещения</w:t>
      </w:r>
      <w:r w:rsidRPr="00F06DE2">
        <w:rPr>
          <w:rFonts w:ascii="Times New Roman" w:hAnsi="Times New Roman" w:cs="Times New Roman"/>
          <w:lang w:val="ru-RU"/>
        </w:rPr>
        <w:t xml:space="preserve"> или зони се класифицират според риска от пожар, както е показано в категориите по-долу. За всяка категория е даден неизчерпателен списък на </w:t>
      </w:r>
      <w:r w:rsidR="000002F7" w:rsidRPr="00F06DE2">
        <w:rPr>
          <w:rFonts w:ascii="Times New Roman" w:hAnsi="Times New Roman" w:cs="Times New Roman"/>
          <w:lang w:val="ru-RU"/>
        </w:rPr>
        <w:t>помещения</w:t>
      </w:r>
      <w:r w:rsidRPr="00F06DE2">
        <w:rPr>
          <w:rFonts w:ascii="Times New Roman" w:hAnsi="Times New Roman" w:cs="Times New Roman"/>
          <w:lang w:val="ru-RU"/>
        </w:rPr>
        <w:t xml:space="preserve"> или зони. В случай, че се предвижда нов тип помещение или зона, то може да бъде поставено в съответната категория на пожароопасност, според преценката на инспектиращия орган. Когато съдържанието и употребата на </w:t>
      </w:r>
      <w:r w:rsidR="000002F7" w:rsidRPr="00F06DE2">
        <w:rPr>
          <w:rFonts w:ascii="Times New Roman" w:hAnsi="Times New Roman" w:cs="Times New Roman"/>
          <w:lang w:val="ru-RU"/>
        </w:rPr>
        <w:t>помещение</w:t>
      </w:r>
      <w:r w:rsidRPr="00F06DE2">
        <w:rPr>
          <w:rFonts w:ascii="Times New Roman" w:hAnsi="Times New Roman" w:cs="Times New Roman"/>
          <w:lang w:val="ru-RU"/>
        </w:rPr>
        <w:t xml:space="preserve"> или зона оставя съмнение относно нейната класификация за целите на този регламент или когато е възможно да се присвоят две или повече класификации на </w:t>
      </w:r>
      <w:r w:rsidR="000002F7" w:rsidRPr="00F06DE2">
        <w:rPr>
          <w:rFonts w:ascii="Times New Roman" w:hAnsi="Times New Roman" w:cs="Times New Roman"/>
          <w:lang w:val="ru-RU"/>
        </w:rPr>
        <w:t>помещение</w:t>
      </w:r>
      <w:r w:rsidRPr="00F06DE2">
        <w:rPr>
          <w:rFonts w:ascii="Times New Roman" w:hAnsi="Times New Roman" w:cs="Times New Roman"/>
          <w:lang w:val="ru-RU"/>
        </w:rPr>
        <w:t xml:space="preserve"> или зона, тя трябва да се третира като </w:t>
      </w:r>
      <w:r w:rsidR="000002F7" w:rsidRPr="00F06DE2">
        <w:rPr>
          <w:rFonts w:ascii="Times New Roman" w:hAnsi="Times New Roman" w:cs="Times New Roman"/>
          <w:lang w:val="ru-RU"/>
        </w:rPr>
        <w:t>помещение</w:t>
      </w:r>
      <w:r w:rsidRPr="00F06DE2">
        <w:rPr>
          <w:rFonts w:ascii="Times New Roman" w:hAnsi="Times New Roman" w:cs="Times New Roman"/>
          <w:lang w:val="ru-RU"/>
        </w:rPr>
        <w:t xml:space="preserve"> или зона в рамките на съответната категория с най-строги изисквания за разделяне.</w:t>
      </w:r>
    </w:p>
    <w:p w14:paraId="200522B0" w14:textId="77777777" w:rsidR="00B22B30" w:rsidRPr="00F06DE2" w:rsidRDefault="00B22B30" w:rsidP="00C6187E">
      <w:pPr>
        <w:ind w:left="567"/>
        <w:jc w:val="both"/>
        <w:rPr>
          <w:rFonts w:ascii="Times New Roman" w:hAnsi="Times New Roman" w:cs="Times New Roman"/>
          <w:lang w:val="ru-RU"/>
        </w:rPr>
      </w:pPr>
      <w:r w:rsidRPr="00F06DE2">
        <w:rPr>
          <w:rFonts w:ascii="Times New Roman" w:hAnsi="Times New Roman" w:cs="Times New Roman"/>
          <w:lang w:val="ru-RU"/>
        </w:rPr>
        <w:t>а) Разделителните стени между помещенията/зоните се проектират в съответствие със следните таблици:</w:t>
      </w:r>
    </w:p>
    <w:p w14:paraId="00107AC1" w14:textId="77777777" w:rsidR="00B22B30" w:rsidRPr="00F06DE2" w:rsidRDefault="00B22B30" w:rsidP="00C6187E">
      <w:pPr>
        <w:ind w:left="567"/>
        <w:jc w:val="both"/>
        <w:rPr>
          <w:rFonts w:ascii="Times New Roman" w:hAnsi="Times New Roman" w:cs="Times New Roman"/>
          <w:lang w:val="ru-RU"/>
        </w:rPr>
      </w:pPr>
      <w:r w:rsidRPr="00F06DE2">
        <w:rPr>
          <w:rFonts w:ascii="Times New Roman" w:hAnsi="Times New Roman" w:cs="Times New Roman"/>
          <w:lang w:val="ru-RU"/>
        </w:rPr>
        <w:t>аа) Маса за прегради между помещения или зони, в които не са инсталирани спринклерни системи с вода под налягане съгласно член 13.04</w:t>
      </w:r>
    </w:p>
    <w:tbl>
      <w:tblPr>
        <w:tblStyle w:val="TableGrid"/>
        <w:tblW w:w="10627" w:type="dxa"/>
        <w:tblInd w:w="-572" w:type="dxa"/>
        <w:tblLook w:val="04A0" w:firstRow="1" w:lastRow="0" w:firstColumn="1" w:lastColumn="0" w:noHBand="0" w:noVBand="1"/>
      </w:tblPr>
      <w:tblGrid>
        <w:gridCol w:w="1712"/>
        <w:gridCol w:w="1726"/>
        <w:gridCol w:w="1507"/>
        <w:gridCol w:w="1251"/>
        <w:gridCol w:w="1251"/>
        <w:gridCol w:w="3180"/>
      </w:tblGrid>
      <w:tr w:rsidR="00271FA2" w:rsidRPr="00F06DE2" w14:paraId="2421585D" w14:textId="77777777" w:rsidTr="007D6EBB">
        <w:tc>
          <w:tcPr>
            <w:tcW w:w="1712" w:type="dxa"/>
          </w:tcPr>
          <w:p w14:paraId="1341F62A" w14:textId="77777777" w:rsidR="00271FA2" w:rsidRPr="00F06DE2" w:rsidRDefault="00D35E51">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Помещения/зони</w:t>
            </w:r>
          </w:p>
        </w:tc>
        <w:tc>
          <w:tcPr>
            <w:tcW w:w="1726" w:type="dxa"/>
          </w:tcPr>
          <w:p w14:paraId="648D57A3"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Помещения/зони защитени за нужда на екцпоатацията</w:t>
            </w:r>
          </w:p>
        </w:tc>
        <w:tc>
          <w:tcPr>
            <w:tcW w:w="1507" w:type="dxa"/>
          </w:tcPr>
          <w:p w14:paraId="1D68006C"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 с голям риск от пожар</w:t>
            </w:r>
          </w:p>
        </w:tc>
        <w:tc>
          <w:tcPr>
            <w:tcW w:w="1251" w:type="dxa"/>
          </w:tcPr>
          <w:p w14:paraId="39E4E855"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 с висок риск от пожар</w:t>
            </w:r>
          </w:p>
        </w:tc>
        <w:tc>
          <w:tcPr>
            <w:tcW w:w="1251" w:type="dxa"/>
          </w:tcPr>
          <w:p w14:paraId="1DB1C818"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 със среден риск от пожар</w:t>
            </w:r>
          </w:p>
        </w:tc>
        <w:tc>
          <w:tcPr>
            <w:tcW w:w="3180" w:type="dxa"/>
          </w:tcPr>
          <w:p w14:paraId="4855F192"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 с нисък риск от пожар</w:t>
            </w:r>
          </w:p>
        </w:tc>
      </w:tr>
      <w:tr w:rsidR="00271FA2" w:rsidRPr="00F06DE2" w14:paraId="4C435F73" w14:textId="77777777" w:rsidTr="007D6EBB">
        <w:tc>
          <w:tcPr>
            <w:tcW w:w="1712" w:type="dxa"/>
          </w:tcPr>
          <w:p w14:paraId="2E47B7F6"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 и зони включени в категорията</w:t>
            </w:r>
          </w:p>
        </w:tc>
        <w:tc>
          <w:tcPr>
            <w:tcW w:w="1726" w:type="dxa"/>
          </w:tcPr>
          <w:p w14:paraId="5A3C7518" w14:textId="5B5F32F2" w:rsidR="00D6286A" w:rsidRPr="00F06DE2" w:rsidRDefault="00B22B30" w:rsidP="00344BCF">
            <w:pPr>
              <w:pStyle w:val="ESch"/>
              <w:ind w:left="22" w:hanging="22"/>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 xml:space="preserve">Контролни центрове </w:t>
            </w:r>
            <w:r w:rsidR="000002F7" w:rsidRPr="00F06DE2">
              <w:rPr>
                <w:rFonts w:ascii="Times New Roman" w:eastAsia="Calibri" w:hAnsi="Times New Roman" w:cs="Times New Roman"/>
                <w:sz w:val="20"/>
                <w:szCs w:val="20"/>
                <w:lang w:val="ru-RU"/>
              </w:rPr>
              <w:t>Помещения</w:t>
            </w:r>
            <w:r w:rsidRPr="00F06DE2">
              <w:rPr>
                <w:rFonts w:ascii="Times New Roman" w:eastAsia="Calibri" w:hAnsi="Times New Roman" w:cs="Times New Roman"/>
                <w:sz w:val="20"/>
                <w:szCs w:val="20"/>
                <w:lang w:val="ru-RU"/>
              </w:rPr>
              <w:t xml:space="preserve"> с разпределителни клетки Сборни зони Зони за евакуация </w:t>
            </w:r>
            <w:r w:rsidR="000002F7" w:rsidRPr="00F06DE2">
              <w:rPr>
                <w:rFonts w:ascii="Times New Roman" w:eastAsia="Calibri" w:hAnsi="Times New Roman" w:cs="Times New Roman"/>
                <w:sz w:val="20"/>
                <w:szCs w:val="20"/>
                <w:lang w:val="ru-RU"/>
              </w:rPr>
              <w:t>Помещения</w:t>
            </w:r>
            <w:r w:rsidRPr="00F06DE2">
              <w:rPr>
                <w:rFonts w:ascii="Times New Roman" w:eastAsia="Calibri" w:hAnsi="Times New Roman" w:cs="Times New Roman"/>
                <w:sz w:val="20"/>
                <w:szCs w:val="20"/>
                <w:lang w:val="ru-RU"/>
              </w:rPr>
              <w:t>, съдържащи спринклерни помпи, техните превключватели и клапани, които са необходими, за да може системата да бъде</w:t>
            </w:r>
            <w:r w:rsidR="00D6286A" w:rsidRPr="00F06DE2">
              <w:rPr>
                <w:rFonts w:ascii="Times New Roman" w:eastAsia="Calibri" w:hAnsi="Times New Roman" w:cs="Times New Roman"/>
                <w:sz w:val="20"/>
                <w:szCs w:val="20"/>
                <w:lang w:val="ru-RU"/>
              </w:rPr>
              <w:t xml:space="preserve"> о</w:t>
            </w:r>
            <w:r w:rsidRPr="00F06DE2">
              <w:rPr>
                <w:rFonts w:ascii="Times New Roman" w:eastAsia="Calibri" w:hAnsi="Times New Roman" w:cs="Times New Roman"/>
                <w:sz w:val="20"/>
                <w:szCs w:val="20"/>
                <w:lang w:val="ru-RU"/>
              </w:rPr>
              <w:t>периран</w:t>
            </w:r>
            <w:r w:rsidRPr="00F06DE2">
              <w:rPr>
                <w:rFonts w:ascii="Times New Roman" w:eastAsia="Calibri" w:hAnsi="Times New Roman" w:cs="Times New Roman"/>
                <w:sz w:val="20"/>
                <w:szCs w:val="20"/>
              </w:rPr>
              <w:t>a</w:t>
            </w:r>
          </w:p>
          <w:p w14:paraId="10D21D06" w14:textId="653DAACC" w:rsidR="00271FA2" w:rsidRPr="00F06DE2" w:rsidRDefault="00271FA2">
            <w:pPr>
              <w:pStyle w:val="ESch"/>
              <w:ind w:left="0" w:firstLine="0"/>
              <w:jc w:val="both"/>
              <w:rPr>
                <w:rFonts w:ascii="Times New Roman" w:eastAsia="Calibri" w:hAnsi="Times New Roman" w:cs="Times New Roman"/>
                <w:sz w:val="20"/>
                <w:szCs w:val="20"/>
                <w:lang w:val="ru-RU"/>
              </w:rPr>
            </w:pPr>
          </w:p>
        </w:tc>
        <w:tc>
          <w:tcPr>
            <w:tcW w:w="1507" w:type="dxa"/>
          </w:tcPr>
          <w:p w14:paraId="67B02C52" w14:textId="77777777" w:rsidR="00271FA2" w:rsidRPr="00F06DE2" w:rsidRDefault="00D35E51">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Машинни отделения</w:t>
            </w:r>
          </w:p>
          <w:p w14:paraId="6CA12805" w14:textId="77777777" w:rsidR="00271FA2" w:rsidRPr="00F06DE2" w:rsidRDefault="00D35E51">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Акумулаторни помещения</w:t>
            </w:r>
          </w:p>
        </w:tc>
        <w:tc>
          <w:tcPr>
            <w:tcW w:w="1251" w:type="dxa"/>
          </w:tcPr>
          <w:p w14:paraId="7D8926AC"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Кухня</w:t>
            </w:r>
          </w:p>
          <w:p w14:paraId="119D9331"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Складови помещения със запалими течности</w:t>
            </w:r>
          </w:p>
        </w:tc>
        <w:tc>
          <w:tcPr>
            <w:tcW w:w="1251" w:type="dxa"/>
          </w:tcPr>
          <w:p w14:paraId="65247845"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Складови помещения</w:t>
            </w:r>
          </w:p>
          <w:p w14:paraId="4326D51E"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Сауни</w:t>
            </w:r>
          </w:p>
          <w:p w14:paraId="43CAC8E0"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Перални</w:t>
            </w:r>
          </w:p>
          <w:p w14:paraId="5588FF35"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Ел. кабинети</w:t>
            </w:r>
          </w:p>
          <w:p w14:paraId="03B37930" w14:textId="0ACC9A85" w:rsidR="00271FA2" w:rsidRPr="00F06DE2" w:rsidRDefault="00271FA2">
            <w:pPr>
              <w:pStyle w:val="ESch"/>
              <w:ind w:left="0" w:firstLine="0"/>
              <w:jc w:val="both"/>
              <w:rPr>
                <w:rFonts w:ascii="Times New Roman" w:eastAsia="Calibri" w:hAnsi="Times New Roman" w:cs="Times New Roman"/>
                <w:sz w:val="20"/>
                <w:szCs w:val="20"/>
                <w:lang w:val="ru-RU"/>
              </w:rPr>
            </w:pPr>
          </w:p>
        </w:tc>
        <w:tc>
          <w:tcPr>
            <w:tcW w:w="3180" w:type="dxa"/>
          </w:tcPr>
          <w:p w14:paraId="173CCD41"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Барове</w:t>
            </w:r>
          </w:p>
          <w:p w14:paraId="129AED8A"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Салони за красота</w:t>
            </w:r>
          </w:p>
          <w:p w14:paraId="5C978014"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Кабини</w:t>
            </w:r>
          </w:p>
          <w:p w14:paraId="3B195AE7"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Коридори</w:t>
            </w:r>
          </w:p>
          <w:p w14:paraId="56C12F60" w14:textId="77777777" w:rsidR="00271FA2" w:rsidRPr="00F06DE2" w:rsidRDefault="00D35E51">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Други машинни/техническипространства (напр. пречистване на отпадъчни води,вентилация, румпелно</w:t>
            </w:r>
          </w:p>
        </w:tc>
      </w:tr>
      <w:tr w:rsidR="00B22B30" w:rsidRPr="00F06DE2" w14:paraId="4C9AFA0B" w14:textId="77777777" w:rsidTr="007D6EBB">
        <w:tc>
          <w:tcPr>
            <w:tcW w:w="1712" w:type="dxa"/>
          </w:tcPr>
          <w:p w14:paraId="4FB195FE"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Помещения/зони защитени за нужда на екцпоатацията</w:t>
            </w:r>
          </w:p>
        </w:tc>
        <w:tc>
          <w:tcPr>
            <w:tcW w:w="1726" w:type="dxa"/>
          </w:tcPr>
          <w:p w14:paraId="6AD41B98" w14:textId="77777777" w:rsidR="00B22B30" w:rsidRPr="00F06DE2" w:rsidRDefault="00B22B30" w:rsidP="00B22B30">
            <w:pPr>
              <w:pStyle w:val="TableParagraph"/>
              <w:spacing w:before="70"/>
              <w:rPr>
                <w:rFonts w:ascii="Times New Roman" w:hAnsi="Times New Roman" w:cs="Times New Roman"/>
                <w:sz w:val="20"/>
                <w:szCs w:val="20"/>
                <w:lang w:val="ru-RU"/>
              </w:rPr>
            </w:pPr>
          </w:p>
          <w:p w14:paraId="62ABAFBD" w14:textId="28283472"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hAnsi="Times New Roman" w:cs="Times New Roman"/>
                <w:noProof/>
                <w:sz w:val="20"/>
                <w:szCs w:val="20"/>
                <w:lang w:eastAsia="bg-BG"/>
              </w:rPr>
              <mc:AlternateContent>
                <mc:Choice Requires="wpg">
                  <w:drawing>
                    <wp:anchor distT="0" distB="0" distL="0" distR="0" simplePos="0" relativeHeight="251723776" behindDoc="1" locked="0" layoutInCell="1" allowOverlap="1" wp14:anchorId="2B6672A2" wp14:editId="14487809">
                      <wp:simplePos x="0" y="0"/>
                      <wp:positionH relativeFrom="column">
                        <wp:posOffset>628269</wp:posOffset>
                      </wp:positionH>
                      <wp:positionV relativeFrom="paragraph">
                        <wp:posOffset>2894</wp:posOffset>
                      </wp:positionV>
                      <wp:extent cx="20320" cy="131445"/>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31445"/>
                                <a:chOff x="0" y="0"/>
                                <a:chExt cx="20320" cy="131445"/>
                              </a:xfrm>
                            </wpg:grpSpPr>
                            <wps:wsp>
                              <wps:cNvPr id="109" name="Graphic 108"/>
                              <wps:cNvSpPr/>
                              <wps:spPr>
                                <a:xfrm>
                                  <a:off x="0" y="0"/>
                                  <a:ext cx="20320" cy="131445"/>
                                </a:xfrm>
                                <a:custGeom>
                                  <a:avLst/>
                                  <a:gdLst/>
                                  <a:ahLst/>
                                  <a:cxnLst/>
                                  <a:rect l="l" t="t" r="r" b="b"/>
                                  <a:pathLst>
                                    <a:path w="20320" h="131445">
                                      <a:moveTo>
                                        <a:pt x="19812" y="0"/>
                                      </a:moveTo>
                                      <a:lnTo>
                                        <a:pt x="0" y="0"/>
                                      </a:lnTo>
                                      <a:lnTo>
                                        <a:pt x="0" y="131063"/>
                                      </a:lnTo>
                                      <a:lnTo>
                                        <a:pt x="19812" y="131063"/>
                                      </a:lnTo>
                                      <a:lnTo>
                                        <a:pt x="19812"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6B705047" id="Group 107" o:spid="_x0000_s1026" style="position:absolute;margin-left:49.45pt;margin-top:.25pt;width:1.6pt;height:10.35pt;z-index:-251592704;mso-wrap-distance-left:0;mso-wrap-distance-right:0" coordsize="2032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">
                      <v:shape id="Graphic 108" o:spid="_x0000_s1027" style="position:absolute;width:20320;height:131445;visibility:visible;mso-wrap-style:square;v-text-anchor:top" coordsize="2032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" path="m19812,l,,,131063r19812,l19812,xe" fillcolor="#d2d2d2" stroked="f">
                        <v:path arrowok="t"/>
                      </v:shape>
                    </v:group>
                  </w:pict>
                </mc:Fallback>
              </mc:AlternateContent>
            </w:r>
            <w:r w:rsidRPr="00F06DE2">
              <w:rPr>
                <w:rFonts w:ascii="Times New Roman" w:hAnsi="Times New Roman" w:cs="Times New Roman"/>
                <w:noProof/>
                <w:sz w:val="20"/>
                <w:szCs w:val="20"/>
                <w:lang w:eastAsia="bg-BG"/>
              </w:rPr>
              <mc:AlternateContent>
                <mc:Choice Requires="wpg">
                  <w:drawing>
                    <wp:anchor distT="0" distB="0" distL="0" distR="0" simplePos="0" relativeHeight="251724800" behindDoc="1" locked="0" layoutInCell="1" allowOverlap="1" wp14:anchorId="3B31BA2D" wp14:editId="7DC02011">
                      <wp:simplePos x="0" y="0"/>
                      <wp:positionH relativeFrom="column">
                        <wp:posOffset>328040</wp:posOffset>
                      </wp:positionH>
                      <wp:positionV relativeFrom="paragraph">
                        <wp:posOffset>155294</wp:posOffset>
                      </wp:positionV>
                      <wp:extent cx="67310" cy="131445"/>
                      <wp:effectExtent l="0" t="0" r="0" b="0"/>
                      <wp:wrapNone/>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131445"/>
                                <a:chOff x="0" y="0"/>
                                <a:chExt cx="67310" cy="131445"/>
                              </a:xfrm>
                            </wpg:grpSpPr>
                            <wps:wsp>
                              <wps:cNvPr id="466" name="Graphic 110"/>
                              <wps:cNvSpPr/>
                              <wps:spPr>
                                <a:xfrm>
                                  <a:off x="0" y="0"/>
                                  <a:ext cx="67310" cy="131445"/>
                                </a:xfrm>
                                <a:custGeom>
                                  <a:avLst/>
                                  <a:gdLst/>
                                  <a:ahLst/>
                                  <a:cxnLst/>
                                  <a:rect l="l" t="t" r="r" b="b"/>
                                  <a:pathLst>
                                    <a:path w="67310" h="131445">
                                      <a:moveTo>
                                        <a:pt x="67056" y="0"/>
                                      </a:moveTo>
                                      <a:lnTo>
                                        <a:pt x="0" y="0"/>
                                      </a:lnTo>
                                      <a:lnTo>
                                        <a:pt x="0" y="131063"/>
                                      </a:lnTo>
                                      <a:lnTo>
                                        <a:pt x="67056" y="131063"/>
                                      </a:lnTo>
                                      <a:lnTo>
                                        <a:pt x="67056"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16D9DA31" id="Group 461" o:spid="_x0000_s1026" style="position:absolute;margin-left:25.85pt;margin-top:12.25pt;width:5.3pt;height:10.35pt;z-index:-251591680;mso-wrap-distance-left:0;mso-wrap-distance-right:0" coordsize="6731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">
                      <v:shape id="Graphic 110" o:spid="_x0000_s1027" style="position:absolute;width:67310;height:131445;visibility:visible;mso-wrap-style:square;v-text-anchor:top" coordsize="6731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" path="m67056,l,,,131063r67056,l67056,xe" fillcolor="#d2d2d2" stroked="f">
                        <v:path arrowok="t"/>
                      </v:shape>
                    </v:group>
                  </w:pict>
                </mc:Fallback>
              </mc:AlternateContent>
            </w:r>
            <w:r w:rsidRPr="00F06DE2">
              <w:rPr>
                <w:rFonts w:ascii="Times New Roman" w:eastAsia="Calibri" w:hAnsi="Times New Roman" w:cs="Times New Roman"/>
                <w:sz w:val="20"/>
                <w:szCs w:val="20"/>
              </w:rPr>
              <w:t>A0/B0</w:t>
            </w:r>
            <w:r w:rsidRPr="00F06DE2">
              <w:rPr>
                <w:rFonts w:ascii="Times New Roman" w:eastAsia="Calibri" w:hAnsi="Times New Roman" w:cs="Times New Roman"/>
                <w:sz w:val="20"/>
                <w:szCs w:val="20"/>
                <w:vertAlign w:val="superscript"/>
              </w:rPr>
              <w:t>1), 7)</w:t>
            </w:r>
            <w:r w:rsidR="008C5A22" w:rsidRPr="00F06DE2">
              <w:rPr>
                <w:rFonts w:ascii="Times New Roman" w:eastAsia="Calibri" w:hAnsi="Times New Roman" w:cs="Times New Roman"/>
                <w:sz w:val="20"/>
                <w:szCs w:val="20"/>
                <w:vertAlign w:val="superscript"/>
              </w:rPr>
              <w:t>, 9)</w:t>
            </w:r>
          </w:p>
        </w:tc>
        <w:tc>
          <w:tcPr>
            <w:tcW w:w="1507" w:type="dxa"/>
          </w:tcPr>
          <w:p w14:paraId="6F81C784" w14:textId="77777777" w:rsidR="00B22B30" w:rsidRPr="00F06DE2" w:rsidRDefault="00B22B30" w:rsidP="00B22B30">
            <w:pPr>
              <w:pStyle w:val="TableParagraph"/>
              <w:spacing w:before="125"/>
              <w:rPr>
                <w:rFonts w:ascii="Times New Roman" w:hAnsi="Times New Roman" w:cs="Times New Roman"/>
                <w:sz w:val="20"/>
                <w:szCs w:val="20"/>
              </w:rPr>
            </w:pPr>
          </w:p>
          <w:p w14:paraId="60CFF555" w14:textId="5BB9680C"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A60</w:t>
            </w:r>
          </w:p>
        </w:tc>
        <w:tc>
          <w:tcPr>
            <w:tcW w:w="1251" w:type="dxa"/>
          </w:tcPr>
          <w:p w14:paraId="2503AAC0" w14:textId="77777777" w:rsidR="00B22B30" w:rsidRPr="00F06DE2" w:rsidRDefault="00B22B30" w:rsidP="00B22B30">
            <w:pPr>
              <w:pStyle w:val="TableParagraph"/>
              <w:spacing w:before="125"/>
              <w:rPr>
                <w:rFonts w:ascii="Times New Roman" w:hAnsi="Times New Roman" w:cs="Times New Roman"/>
                <w:sz w:val="20"/>
                <w:szCs w:val="20"/>
              </w:rPr>
            </w:pPr>
          </w:p>
          <w:p w14:paraId="18BA5EAB" w14:textId="15DF5B47" w:rsidR="00B22B30" w:rsidRPr="00F06DE2" w:rsidRDefault="00B22B30" w:rsidP="00B43FAA">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A60</w:t>
            </w:r>
          </w:p>
        </w:tc>
        <w:tc>
          <w:tcPr>
            <w:tcW w:w="1251" w:type="dxa"/>
          </w:tcPr>
          <w:p w14:paraId="40CE9492" w14:textId="77777777" w:rsidR="00B22B30" w:rsidRPr="00F06DE2" w:rsidRDefault="00B22B30" w:rsidP="00B22B30">
            <w:pPr>
              <w:pStyle w:val="TableParagraph"/>
              <w:spacing w:before="121"/>
              <w:rPr>
                <w:rFonts w:ascii="Times New Roman" w:hAnsi="Times New Roman" w:cs="Times New Roman"/>
                <w:sz w:val="20"/>
                <w:szCs w:val="20"/>
              </w:rPr>
            </w:pPr>
          </w:p>
          <w:p w14:paraId="502685B2" w14:textId="5D89410C"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A30</w:t>
            </w:r>
          </w:p>
        </w:tc>
        <w:tc>
          <w:tcPr>
            <w:tcW w:w="3180" w:type="dxa"/>
          </w:tcPr>
          <w:p w14:paraId="70E3E3A4" w14:textId="77777777" w:rsidR="00B22B30" w:rsidRPr="00F06DE2" w:rsidRDefault="00B22B30" w:rsidP="00B22B30">
            <w:pPr>
              <w:pStyle w:val="TableParagraph"/>
              <w:spacing w:before="121"/>
              <w:rPr>
                <w:rFonts w:ascii="Times New Roman" w:hAnsi="Times New Roman" w:cs="Times New Roman"/>
                <w:sz w:val="20"/>
                <w:szCs w:val="20"/>
              </w:rPr>
            </w:pPr>
          </w:p>
          <w:p w14:paraId="45A10072" w14:textId="6E7CEF36"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hAnsi="Times New Roman" w:cs="Times New Roman"/>
                <w:noProof/>
                <w:position w:val="6"/>
                <w:sz w:val="20"/>
                <w:szCs w:val="20"/>
                <w:lang w:eastAsia="bg-BG"/>
              </w:rPr>
              <mc:AlternateContent>
                <mc:Choice Requires="wpg">
                  <w:drawing>
                    <wp:anchor distT="0" distB="0" distL="0" distR="0" simplePos="0" relativeHeight="251726848" behindDoc="1" locked="0" layoutInCell="1" allowOverlap="1" wp14:anchorId="34382309" wp14:editId="68A4E6F6">
                      <wp:simplePos x="0" y="0"/>
                      <wp:positionH relativeFrom="column">
                        <wp:posOffset>908685</wp:posOffset>
                      </wp:positionH>
                      <wp:positionV relativeFrom="paragraph">
                        <wp:posOffset>2894</wp:posOffset>
                      </wp:positionV>
                      <wp:extent cx="108585" cy="131445"/>
                      <wp:effectExtent l="0" t="0" r="0" b="0"/>
                      <wp:wrapNone/>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31445"/>
                                <a:chOff x="0" y="0"/>
                                <a:chExt cx="108585" cy="131445"/>
                              </a:xfrm>
                            </wpg:grpSpPr>
                            <wps:wsp>
                              <wps:cNvPr id="468" name="Graphic 114"/>
                              <wps:cNvSpPr/>
                              <wps:spPr>
                                <a:xfrm>
                                  <a:off x="0" y="0"/>
                                  <a:ext cx="108585" cy="131445"/>
                                </a:xfrm>
                                <a:custGeom>
                                  <a:avLst/>
                                  <a:gdLst/>
                                  <a:ahLst/>
                                  <a:cxnLst/>
                                  <a:rect l="l" t="t" r="r" b="b"/>
                                  <a:pathLst>
                                    <a:path w="108585" h="131445">
                                      <a:moveTo>
                                        <a:pt x="108204" y="0"/>
                                      </a:moveTo>
                                      <a:lnTo>
                                        <a:pt x="0" y="0"/>
                                      </a:lnTo>
                                      <a:lnTo>
                                        <a:pt x="0" y="131063"/>
                                      </a:lnTo>
                                      <a:lnTo>
                                        <a:pt x="108204" y="131063"/>
                                      </a:lnTo>
                                      <a:lnTo>
                                        <a:pt x="108204"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447974F2" id="Group 467" o:spid="_x0000_s1026" style="position:absolute;margin-left:71.55pt;margin-top:.25pt;width:8.55pt;height:10.35pt;z-index:-251589632;mso-wrap-distance-left:0;mso-wrap-distance-right:0" coordsize="108585,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">
                      <v:shape id="Graphic 114" o:spid="_x0000_s1027" style="position:absolute;width:108585;height:131445;visibility:visible;mso-wrap-style:square;v-text-anchor:top" coordsize="10858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" path="m108204,l,,,131063r108204,l108204,xe" fillcolor="#d2d2d2" stroked="f">
                        <v:path arrowok="t"/>
                      </v:shape>
                    </v:group>
                  </w:pict>
                </mc:Fallback>
              </mc:AlternateContent>
            </w:r>
            <w:r w:rsidRPr="00F06DE2">
              <w:rPr>
                <w:rFonts w:ascii="Times New Roman" w:eastAsia="Calibri" w:hAnsi="Times New Roman" w:cs="Times New Roman"/>
                <w:sz w:val="20"/>
                <w:szCs w:val="20"/>
              </w:rPr>
              <w:t>A30/B15</w:t>
            </w:r>
            <w:r w:rsidRPr="00F06DE2">
              <w:rPr>
                <w:rFonts w:ascii="Times New Roman" w:eastAsia="Calibri" w:hAnsi="Times New Roman" w:cs="Times New Roman"/>
                <w:sz w:val="20"/>
                <w:szCs w:val="20"/>
                <w:vertAlign w:val="superscript"/>
              </w:rPr>
              <w:t>2)</w:t>
            </w:r>
            <w:r w:rsidR="008C5A22" w:rsidRPr="00F06DE2">
              <w:rPr>
                <w:rFonts w:ascii="Times New Roman" w:eastAsia="Calibri" w:hAnsi="Times New Roman" w:cs="Times New Roman"/>
                <w:sz w:val="20"/>
                <w:szCs w:val="20"/>
                <w:vertAlign w:val="superscript"/>
              </w:rPr>
              <w:t>, 9)</w:t>
            </w:r>
          </w:p>
        </w:tc>
      </w:tr>
      <w:tr w:rsidR="00B22B30" w:rsidRPr="00F06DE2" w14:paraId="70433F4B" w14:textId="77777777" w:rsidTr="007D6EBB">
        <w:tc>
          <w:tcPr>
            <w:tcW w:w="1712" w:type="dxa"/>
          </w:tcPr>
          <w:p w14:paraId="70774FA9"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 с голям риск от пожар</w:t>
            </w:r>
          </w:p>
        </w:tc>
        <w:tc>
          <w:tcPr>
            <w:tcW w:w="1726" w:type="dxa"/>
          </w:tcPr>
          <w:p w14:paraId="2C37F42B"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1507" w:type="dxa"/>
          </w:tcPr>
          <w:p w14:paraId="799ECD24" w14:textId="77777777" w:rsidR="00B22B30" w:rsidRPr="00F06DE2" w:rsidRDefault="00B22B30" w:rsidP="00B22B30">
            <w:pPr>
              <w:pStyle w:val="TableParagraph"/>
              <w:spacing w:before="1"/>
              <w:rPr>
                <w:rFonts w:ascii="Times New Roman" w:hAnsi="Times New Roman" w:cs="Times New Roman"/>
                <w:sz w:val="20"/>
                <w:szCs w:val="20"/>
                <w:lang w:val="ru-RU"/>
              </w:rPr>
            </w:pPr>
          </w:p>
          <w:p w14:paraId="57793C99" w14:textId="49F1C9DA"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A60/A0</w:t>
            </w:r>
            <w:r w:rsidRPr="00F06DE2">
              <w:rPr>
                <w:rFonts w:ascii="Times New Roman" w:eastAsia="Calibri" w:hAnsi="Times New Roman" w:cs="Times New Roman"/>
                <w:sz w:val="20"/>
                <w:szCs w:val="20"/>
                <w:vertAlign w:val="superscript"/>
              </w:rPr>
              <w:t>4)</w:t>
            </w:r>
          </w:p>
        </w:tc>
        <w:tc>
          <w:tcPr>
            <w:tcW w:w="1251" w:type="dxa"/>
          </w:tcPr>
          <w:p w14:paraId="61169C09" w14:textId="77777777" w:rsidR="00B22B30" w:rsidRPr="00F06DE2" w:rsidRDefault="00B22B30" w:rsidP="00B22B30">
            <w:pPr>
              <w:pStyle w:val="TableParagraph"/>
              <w:spacing w:before="5"/>
              <w:rPr>
                <w:rFonts w:ascii="Times New Roman" w:hAnsi="Times New Roman" w:cs="Times New Roman"/>
                <w:sz w:val="20"/>
                <w:szCs w:val="20"/>
              </w:rPr>
            </w:pPr>
          </w:p>
          <w:p w14:paraId="3B6CF909" w14:textId="2FC98235"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A60</w:t>
            </w:r>
          </w:p>
        </w:tc>
        <w:tc>
          <w:tcPr>
            <w:tcW w:w="1251" w:type="dxa"/>
          </w:tcPr>
          <w:p w14:paraId="5E9A9A18" w14:textId="77777777" w:rsidR="00B22B30" w:rsidRPr="00F06DE2" w:rsidRDefault="00B22B30" w:rsidP="00B22B30">
            <w:pPr>
              <w:pStyle w:val="TableParagraph"/>
              <w:spacing w:before="5"/>
              <w:rPr>
                <w:rFonts w:ascii="Times New Roman" w:hAnsi="Times New Roman" w:cs="Times New Roman"/>
                <w:sz w:val="20"/>
                <w:szCs w:val="20"/>
              </w:rPr>
            </w:pPr>
          </w:p>
          <w:p w14:paraId="6C168406" w14:textId="02B1FAA0"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A60</w:t>
            </w:r>
          </w:p>
        </w:tc>
        <w:tc>
          <w:tcPr>
            <w:tcW w:w="3180" w:type="dxa"/>
          </w:tcPr>
          <w:p w14:paraId="36D3DD4E" w14:textId="77777777" w:rsidR="00B22B30" w:rsidRPr="00F06DE2" w:rsidRDefault="00B22B30" w:rsidP="00B22B30">
            <w:pPr>
              <w:pStyle w:val="TableParagraph"/>
              <w:spacing w:before="5"/>
              <w:rPr>
                <w:rFonts w:ascii="Times New Roman" w:hAnsi="Times New Roman" w:cs="Times New Roman"/>
                <w:sz w:val="20"/>
                <w:szCs w:val="20"/>
              </w:rPr>
            </w:pPr>
          </w:p>
          <w:p w14:paraId="78DDCE60" w14:textId="7A43DE68"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A60</w:t>
            </w:r>
          </w:p>
        </w:tc>
      </w:tr>
      <w:tr w:rsidR="00B22B30" w:rsidRPr="00F06DE2" w14:paraId="7C5EADDC" w14:textId="77777777" w:rsidTr="007D6EBB">
        <w:tc>
          <w:tcPr>
            <w:tcW w:w="1712" w:type="dxa"/>
          </w:tcPr>
          <w:p w14:paraId="5EE01B5A"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lastRenderedPageBreak/>
              <w:t>Помещения с висок риск от пожар</w:t>
            </w:r>
          </w:p>
        </w:tc>
        <w:tc>
          <w:tcPr>
            <w:tcW w:w="1726" w:type="dxa"/>
          </w:tcPr>
          <w:p w14:paraId="56863651"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1507" w:type="dxa"/>
          </w:tcPr>
          <w:p w14:paraId="75DEAD78"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1251" w:type="dxa"/>
          </w:tcPr>
          <w:p w14:paraId="7AB1D1F2" w14:textId="77777777" w:rsidR="00B22B30" w:rsidRPr="00F06DE2" w:rsidRDefault="00B22B30" w:rsidP="00B22B30">
            <w:pPr>
              <w:pStyle w:val="TableParagraph"/>
              <w:spacing w:before="4"/>
              <w:rPr>
                <w:rFonts w:ascii="Times New Roman" w:hAnsi="Times New Roman" w:cs="Times New Roman"/>
                <w:sz w:val="20"/>
                <w:szCs w:val="20"/>
                <w:lang w:val="ru-RU"/>
              </w:rPr>
            </w:pPr>
          </w:p>
          <w:p w14:paraId="12D02CC6" w14:textId="5663A9A0"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hAnsi="Times New Roman" w:cs="Times New Roman"/>
                <w:sz w:val="20"/>
                <w:szCs w:val="20"/>
              </w:rPr>
              <w:t>A30</w:t>
            </w:r>
            <w:r w:rsidRPr="00F06DE2">
              <w:rPr>
                <w:rFonts w:ascii="Times New Roman" w:hAnsi="Times New Roman" w:cs="Times New Roman"/>
                <w:sz w:val="20"/>
                <w:szCs w:val="20"/>
                <w:vertAlign w:val="superscript"/>
              </w:rPr>
              <w:t>7)</w:t>
            </w:r>
          </w:p>
        </w:tc>
        <w:tc>
          <w:tcPr>
            <w:tcW w:w="1251" w:type="dxa"/>
          </w:tcPr>
          <w:p w14:paraId="57526525" w14:textId="77777777" w:rsidR="00B22B30" w:rsidRPr="00F06DE2" w:rsidRDefault="00B22B30" w:rsidP="00B22B30">
            <w:pPr>
              <w:pStyle w:val="TableParagraph"/>
              <w:spacing w:before="4"/>
              <w:rPr>
                <w:rFonts w:ascii="Times New Roman" w:hAnsi="Times New Roman" w:cs="Times New Roman"/>
                <w:sz w:val="20"/>
                <w:szCs w:val="20"/>
              </w:rPr>
            </w:pPr>
          </w:p>
          <w:p w14:paraId="6D53DF50" w14:textId="5BD984F0"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hAnsi="Times New Roman" w:cs="Times New Roman"/>
                <w:sz w:val="20"/>
                <w:szCs w:val="20"/>
              </w:rPr>
              <w:t>A30/B15</w:t>
            </w:r>
            <w:r w:rsidRPr="00F06DE2">
              <w:rPr>
                <w:rFonts w:ascii="Times New Roman" w:hAnsi="Times New Roman" w:cs="Times New Roman"/>
                <w:sz w:val="20"/>
                <w:szCs w:val="20"/>
                <w:vertAlign w:val="superscript"/>
              </w:rPr>
              <w:t>6)</w:t>
            </w:r>
          </w:p>
        </w:tc>
        <w:tc>
          <w:tcPr>
            <w:tcW w:w="3180" w:type="dxa"/>
          </w:tcPr>
          <w:p w14:paraId="45AAFEFE" w14:textId="77777777" w:rsidR="00B22B30" w:rsidRPr="00F06DE2" w:rsidRDefault="00B22B30" w:rsidP="00B22B30">
            <w:pPr>
              <w:pStyle w:val="TableParagraph"/>
              <w:spacing w:before="7"/>
              <w:rPr>
                <w:rFonts w:ascii="Times New Roman" w:hAnsi="Times New Roman" w:cs="Times New Roman"/>
                <w:sz w:val="20"/>
                <w:szCs w:val="20"/>
              </w:rPr>
            </w:pPr>
          </w:p>
          <w:p w14:paraId="4C0524B9" w14:textId="4A0128BC"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hAnsi="Times New Roman" w:cs="Times New Roman"/>
                <w:sz w:val="20"/>
                <w:szCs w:val="20"/>
              </w:rPr>
              <w:t>A30</w:t>
            </w:r>
          </w:p>
        </w:tc>
      </w:tr>
      <w:tr w:rsidR="00B22B30" w:rsidRPr="00F06DE2" w14:paraId="02C3BC1F" w14:textId="77777777" w:rsidTr="007D6EBB">
        <w:tc>
          <w:tcPr>
            <w:tcW w:w="1712" w:type="dxa"/>
          </w:tcPr>
          <w:p w14:paraId="5740DD43"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 със среден риск от пожар</w:t>
            </w:r>
          </w:p>
        </w:tc>
        <w:tc>
          <w:tcPr>
            <w:tcW w:w="1726" w:type="dxa"/>
          </w:tcPr>
          <w:p w14:paraId="6E75356B"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1507" w:type="dxa"/>
          </w:tcPr>
          <w:p w14:paraId="218F4129"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1251" w:type="dxa"/>
          </w:tcPr>
          <w:p w14:paraId="0FC37BF8"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1251" w:type="dxa"/>
          </w:tcPr>
          <w:p w14:paraId="597783CD" w14:textId="77777777" w:rsidR="00B22B30" w:rsidRPr="00F06DE2" w:rsidRDefault="00B22B30" w:rsidP="00B22B30">
            <w:pPr>
              <w:pStyle w:val="TableParagraph"/>
              <w:rPr>
                <w:rFonts w:ascii="Times New Roman" w:hAnsi="Times New Roman" w:cs="Times New Roman"/>
                <w:sz w:val="20"/>
                <w:szCs w:val="20"/>
                <w:lang w:val="ru-RU"/>
              </w:rPr>
            </w:pPr>
          </w:p>
          <w:p w14:paraId="59083DD7" w14:textId="77777777" w:rsidR="00B22B30" w:rsidRPr="00F06DE2" w:rsidRDefault="00B22B30" w:rsidP="00B22B30">
            <w:pPr>
              <w:pStyle w:val="TableParagraph"/>
              <w:spacing w:before="52"/>
              <w:rPr>
                <w:rFonts w:ascii="Times New Roman" w:hAnsi="Times New Roman" w:cs="Times New Roman"/>
                <w:sz w:val="20"/>
                <w:szCs w:val="20"/>
                <w:lang w:val="ru-RU"/>
              </w:rPr>
            </w:pPr>
          </w:p>
          <w:p w14:paraId="2C39504D" w14:textId="4C0F058F"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eastAsia="Calibri" w:hAnsi="Times New Roman" w:cs="Times New Roman"/>
                <w:sz w:val="20"/>
                <w:szCs w:val="20"/>
              </w:rPr>
              <w:t>A30</w:t>
            </w:r>
            <w:r w:rsidRPr="00F06DE2">
              <w:rPr>
                <w:rFonts w:ascii="Times New Roman" w:hAnsi="Times New Roman" w:cs="Times New Roman"/>
                <w:sz w:val="20"/>
                <w:szCs w:val="20"/>
                <w:vertAlign w:val="superscript"/>
              </w:rPr>
              <w:t>3)7)</w:t>
            </w:r>
          </w:p>
        </w:tc>
        <w:tc>
          <w:tcPr>
            <w:tcW w:w="3180" w:type="dxa"/>
          </w:tcPr>
          <w:p w14:paraId="2DCA62BB" w14:textId="77777777" w:rsidR="00B22B30" w:rsidRPr="00F06DE2" w:rsidRDefault="00B22B30" w:rsidP="00B22B30">
            <w:pPr>
              <w:pStyle w:val="TableParagraph"/>
              <w:spacing w:before="125"/>
              <w:rPr>
                <w:rFonts w:ascii="Times New Roman" w:hAnsi="Times New Roman" w:cs="Times New Roman"/>
                <w:sz w:val="20"/>
                <w:szCs w:val="20"/>
              </w:rPr>
            </w:pPr>
          </w:p>
          <w:p w14:paraId="483A61B8" w14:textId="26F9F897" w:rsidR="00B22B30" w:rsidRPr="00F06DE2" w:rsidRDefault="00B22B30" w:rsidP="00B22B30">
            <w:pPr>
              <w:pStyle w:val="ESch"/>
              <w:ind w:left="0" w:firstLine="0"/>
              <w:jc w:val="both"/>
              <w:rPr>
                <w:rFonts w:ascii="Times New Roman" w:eastAsia="Calibri" w:hAnsi="Times New Roman" w:cs="Times New Roman"/>
                <w:sz w:val="20"/>
                <w:szCs w:val="20"/>
              </w:rPr>
            </w:pPr>
            <w:r w:rsidRPr="00F06DE2">
              <w:rPr>
                <w:rFonts w:ascii="Times New Roman" w:hAnsi="Times New Roman" w:cs="Times New Roman"/>
                <w:sz w:val="20"/>
                <w:szCs w:val="20"/>
              </w:rPr>
              <w:t>A30</w:t>
            </w:r>
            <w:r w:rsidRPr="00F06DE2">
              <w:rPr>
                <w:rFonts w:ascii="Times New Roman" w:hAnsi="Times New Roman" w:cs="Times New Roman"/>
                <w:sz w:val="20"/>
                <w:szCs w:val="20"/>
                <w:vertAlign w:val="superscript"/>
              </w:rPr>
              <w:t>3)</w:t>
            </w:r>
          </w:p>
        </w:tc>
      </w:tr>
      <w:tr w:rsidR="00B22B30" w:rsidRPr="00F06DE2" w14:paraId="2535C37E" w14:textId="77777777" w:rsidTr="007D6EBB">
        <w:tc>
          <w:tcPr>
            <w:tcW w:w="1712" w:type="dxa"/>
          </w:tcPr>
          <w:p w14:paraId="2A14906F"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r w:rsidRPr="00F06DE2">
              <w:rPr>
                <w:rFonts w:ascii="Times New Roman" w:eastAsia="Calibri" w:hAnsi="Times New Roman" w:cs="Times New Roman"/>
                <w:sz w:val="20"/>
                <w:szCs w:val="20"/>
                <w:lang w:val="ru-RU"/>
              </w:rPr>
              <w:t>Помещения с нисък риск от пожар</w:t>
            </w:r>
          </w:p>
        </w:tc>
        <w:tc>
          <w:tcPr>
            <w:tcW w:w="1726" w:type="dxa"/>
          </w:tcPr>
          <w:p w14:paraId="71F5BB61"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1507" w:type="dxa"/>
          </w:tcPr>
          <w:p w14:paraId="7B226CE6"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1251" w:type="dxa"/>
          </w:tcPr>
          <w:p w14:paraId="72B8ACB6"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1251" w:type="dxa"/>
          </w:tcPr>
          <w:p w14:paraId="31C6B762" w14:textId="77777777" w:rsidR="00B22B30" w:rsidRPr="00F06DE2" w:rsidRDefault="00B22B30" w:rsidP="00B22B30">
            <w:pPr>
              <w:pStyle w:val="ESch"/>
              <w:ind w:left="0" w:firstLine="0"/>
              <w:jc w:val="both"/>
              <w:rPr>
                <w:rFonts w:ascii="Times New Roman" w:eastAsia="Calibri" w:hAnsi="Times New Roman" w:cs="Times New Roman"/>
                <w:sz w:val="20"/>
                <w:szCs w:val="20"/>
                <w:lang w:val="ru-RU"/>
              </w:rPr>
            </w:pPr>
          </w:p>
        </w:tc>
        <w:tc>
          <w:tcPr>
            <w:tcW w:w="3180" w:type="dxa"/>
          </w:tcPr>
          <w:p w14:paraId="2F75E86B" w14:textId="77777777" w:rsidR="00B22B30" w:rsidRPr="00F06DE2" w:rsidRDefault="00B22B30" w:rsidP="00B22B30">
            <w:pPr>
              <w:pStyle w:val="TableParagraph"/>
              <w:spacing w:before="70"/>
              <w:rPr>
                <w:rFonts w:ascii="Times New Roman" w:hAnsi="Times New Roman" w:cs="Times New Roman"/>
                <w:sz w:val="20"/>
                <w:szCs w:val="20"/>
                <w:lang w:val="ru-RU"/>
              </w:rPr>
            </w:pPr>
          </w:p>
          <w:p w14:paraId="59622517" w14:textId="50A56C0B" w:rsidR="00B22B30" w:rsidRPr="00F06DE2" w:rsidRDefault="00B22B30" w:rsidP="0007528F">
            <w:pPr>
              <w:pStyle w:val="ESch"/>
              <w:ind w:left="0" w:firstLine="0"/>
              <w:jc w:val="both"/>
              <w:rPr>
                <w:rFonts w:ascii="Times New Roman" w:eastAsia="Calibri" w:hAnsi="Times New Roman" w:cs="Times New Roman"/>
                <w:sz w:val="20"/>
                <w:szCs w:val="20"/>
                <w:vertAlign w:val="superscript"/>
              </w:rPr>
            </w:pPr>
            <w:r w:rsidRPr="00F06DE2">
              <w:rPr>
                <w:rFonts w:ascii="Times New Roman" w:hAnsi="Times New Roman" w:cs="Times New Roman"/>
                <w:noProof/>
                <w:sz w:val="20"/>
                <w:szCs w:val="20"/>
                <w:lang w:eastAsia="bg-BG"/>
              </w:rPr>
              <mc:AlternateContent>
                <mc:Choice Requires="wpg">
                  <w:drawing>
                    <wp:anchor distT="0" distB="0" distL="0" distR="0" simplePos="0" relativeHeight="251727872" behindDoc="1" locked="0" layoutInCell="1" allowOverlap="1" wp14:anchorId="193D4B47" wp14:editId="5F7DA973">
                      <wp:simplePos x="0" y="0"/>
                      <wp:positionH relativeFrom="column">
                        <wp:posOffset>596265</wp:posOffset>
                      </wp:positionH>
                      <wp:positionV relativeFrom="paragraph">
                        <wp:posOffset>2894</wp:posOffset>
                      </wp:positionV>
                      <wp:extent cx="67310" cy="13144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131445"/>
                                <a:chOff x="0" y="0"/>
                                <a:chExt cx="67310" cy="131445"/>
                              </a:xfrm>
                            </wpg:grpSpPr>
                            <wps:wsp>
                              <wps:cNvPr id="117" name="Graphic 116"/>
                              <wps:cNvSpPr/>
                              <wps:spPr>
                                <a:xfrm>
                                  <a:off x="0" y="0"/>
                                  <a:ext cx="67310" cy="131445"/>
                                </a:xfrm>
                                <a:custGeom>
                                  <a:avLst/>
                                  <a:gdLst/>
                                  <a:ahLst/>
                                  <a:cxnLst/>
                                  <a:rect l="l" t="t" r="r" b="b"/>
                                  <a:pathLst>
                                    <a:path w="67310" h="131445">
                                      <a:moveTo>
                                        <a:pt x="67055" y="0"/>
                                      </a:moveTo>
                                      <a:lnTo>
                                        <a:pt x="0" y="0"/>
                                      </a:lnTo>
                                      <a:lnTo>
                                        <a:pt x="0" y="131064"/>
                                      </a:lnTo>
                                      <a:lnTo>
                                        <a:pt x="67055" y="131064"/>
                                      </a:lnTo>
                                      <a:lnTo>
                                        <a:pt x="67055"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436894AC" id="Group 115" o:spid="_x0000_s1026" style="position:absolute;margin-left:46.95pt;margin-top:.25pt;width:5.3pt;height:10.35pt;z-index:-251588608;mso-wrap-distance-left:0;mso-wrap-distance-right:0" coordsize="6731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">
                      <v:shape id="Graphic 116" o:spid="_x0000_s1027" style="position:absolute;width:67310;height:131445;visibility:visible;mso-wrap-style:square;v-text-anchor:top" coordsize="6731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" path="m67055,l,,,131064r67055,l67055,xe" fillcolor="#d2d2d2" stroked="f">
                        <v:path arrowok="t"/>
                      </v:shape>
                    </v:group>
                  </w:pict>
                </mc:Fallback>
              </mc:AlternateContent>
            </w:r>
            <w:r w:rsidRPr="00F06DE2">
              <w:rPr>
                <w:rFonts w:ascii="Times New Roman" w:eastAsia="Calibri" w:hAnsi="Times New Roman" w:cs="Times New Roman"/>
                <w:sz w:val="20"/>
                <w:szCs w:val="20"/>
              </w:rPr>
              <w:t>B15</w:t>
            </w:r>
            <w:r w:rsidR="008C5A22" w:rsidRPr="00F06DE2">
              <w:rPr>
                <w:rFonts w:ascii="Times New Roman" w:eastAsia="Calibri" w:hAnsi="Times New Roman" w:cs="Times New Roman"/>
                <w:sz w:val="20"/>
                <w:szCs w:val="20"/>
                <w:vertAlign w:val="superscript"/>
              </w:rPr>
              <w:t>8)</w:t>
            </w:r>
          </w:p>
        </w:tc>
      </w:tr>
    </w:tbl>
    <w:p w14:paraId="1A996DFA" w14:textId="77777777" w:rsidR="00271FA2" w:rsidRPr="00F06DE2" w:rsidRDefault="00271FA2">
      <w:pPr>
        <w:pStyle w:val="ESch"/>
        <w:ind w:left="0" w:firstLine="0"/>
        <w:rPr>
          <w:rFonts w:ascii="Times New Roman" w:eastAsia="Calibri" w:hAnsi="Times New Roman" w:cs="Times New Roman"/>
        </w:rPr>
      </w:pPr>
    </w:p>
    <w:p w14:paraId="0B1CC1F3" w14:textId="12F87CBC"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бб) Таблица за преградните стени между помещенията или зони, в които са монтирани спринклерни системи под налягане, съгласно член 13.04 (вода под налягане, спринклерна система е монтирана в </w:t>
      </w:r>
      <w:r w:rsidR="000002F7" w:rsidRPr="00F06DE2">
        <w:rPr>
          <w:rFonts w:ascii="Times New Roman" w:hAnsi="Times New Roman" w:cs="Times New Roman"/>
          <w:lang w:val="ru-RU"/>
        </w:rPr>
        <w:t>помещения</w:t>
      </w:r>
      <w:r w:rsidRPr="00F06DE2">
        <w:rPr>
          <w:rFonts w:ascii="Times New Roman" w:hAnsi="Times New Roman" w:cs="Times New Roman"/>
          <w:lang w:val="ru-RU"/>
        </w:rPr>
        <w:t>т</w:t>
      </w:r>
      <w:r w:rsidR="009D37B8" w:rsidRPr="00F06DE2">
        <w:rPr>
          <w:rFonts w:ascii="Times New Roman" w:hAnsi="Times New Roman" w:cs="Times New Roman"/>
          <w:lang w:val="ru-RU"/>
        </w:rPr>
        <w:t>а</w:t>
      </w:r>
      <w:r w:rsidRPr="00F06DE2">
        <w:rPr>
          <w:rFonts w:ascii="Times New Roman" w:hAnsi="Times New Roman" w:cs="Times New Roman"/>
          <w:lang w:val="ru-RU"/>
        </w:rPr>
        <w:t xml:space="preserve"> от двете страни на преградата);</w:t>
      </w:r>
    </w:p>
    <w:tbl>
      <w:tblPr>
        <w:tblStyle w:val="TableGrid"/>
        <w:tblW w:w="9072" w:type="dxa"/>
        <w:tblInd w:w="-5" w:type="dxa"/>
        <w:tblLayout w:type="fixed"/>
        <w:tblLook w:val="04A0" w:firstRow="1" w:lastRow="0" w:firstColumn="1" w:lastColumn="0" w:noHBand="0" w:noVBand="1"/>
      </w:tblPr>
      <w:tblGrid>
        <w:gridCol w:w="1560"/>
        <w:gridCol w:w="1559"/>
        <w:gridCol w:w="1276"/>
        <w:gridCol w:w="1559"/>
        <w:gridCol w:w="1559"/>
        <w:gridCol w:w="1559"/>
      </w:tblGrid>
      <w:tr w:rsidR="00271FA2" w:rsidRPr="00F06DE2" w14:paraId="2E767E07" w14:textId="77777777" w:rsidTr="00C6187E">
        <w:tc>
          <w:tcPr>
            <w:tcW w:w="1560" w:type="dxa"/>
          </w:tcPr>
          <w:p w14:paraId="69494E9B" w14:textId="77777777" w:rsidR="00271FA2" w:rsidRPr="00F06DE2" w:rsidRDefault="00D35E51">
            <w:pPr>
              <w:pStyle w:val="ESch"/>
              <w:ind w:left="0" w:firstLine="0"/>
              <w:jc w:val="both"/>
              <w:rPr>
                <w:rFonts w:ascii="Times New Roman" w:eastAsia="Calibri" w:hAnsi="Times New Roman" w:cs="Times New Roman"/>
              </w:rPr>
            </w:pPr>
            <w:r w:rsidRPr="00F06DE2">
              <w:rPr>
                <w:rFonts w:ascii="Times New Roman" w:eastAsia="Calibri" w:hAnsi="Times New Roman" w:cs="Times New Roman"/>
              </w:rPr>
              <w:t>Помещения/зони</w:t>
            </w:r>
          </w:p>
        </w:tc>
        <w:tc>
          <w:tcPr>
            <w:tcW w:w="1559" w:type="dxa"/>
          </w:tcPr>
          <w:p w14:paraId="3C598D84" w14:textId="77777777" w:rsidR="00271FA2" w:rsidRPr="00F06DE2" w:rsidRDefault="00D35E51">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Помещения/зони защитени за нужда на експлоата-цията</w:t>
            </w:r>
          </w:p>
        </w:tc>
        <w:tc>
          <w:tcPr>
            <w:tcW w:w="1276" w:type="dxa"/>
          </w:tcPr>
          <w:p w14:paraId="0CAC0C4A" w14:textId="77777777" w:rsidR="00C6187E" w:rsidRPr="00F06DE2" w:rsidRDefault="00D35E51" w:rsidP="00C6187E">
            <w:pPr>
              <w:pStyle w:val="ESch"/>
              <w:ind w:left="-112" w:right="-105"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Помещения</w:t>
            </w:r>
          </w:p>
          <w:p w14:paraId="5296C86F" w14:textId="09F6D18A" w:rsidR="00271FA2" w:rsidRPr="00F06DE2" w:rsidRDefault="00D35E51" w:rsidP="00C6187E">
            <w:pPr>
              <w:pStyle w:val="ESch"/>
              <w:ind w:left="-112" w:right="-105" w:firstLine="0"/>
              <w:jc w:val="both"/>
              <w:rPr>
                <w:rFonts w:ascii="Times New Roman" w:eastAsia="Calibri" w:hAnsi="Times New Roman" w:cs="Times New Roman"/>
                <w:lang w:val="ru-RU"/>
              </w:rPr>
            </w:pPr>
            <w:r w:rsidRPr="00F06DE2">
              <w:rPr>
                <w:rFonts w:ascii="Times New Roman" w:eastAsia="Calibri" w:hAnsi="Times New Roman" w:cs="Times New Roman"/>
                <w:lang w:val="ru-RU"/>
              </w:rPr>
              <w:t>с голям риск от пожар</w:t>
            </w:r>
          </w:p>
        </w:tc>
        <w:tc>
          <w:tcPr>
            <w:tcW w:w="1559" w:type="dxa"/>
          </w:tcPr>
          <w:p w14:paraId="7D942F19" w14:textId="77777777" w:rsidR="00271FA2" w:rsidRPr="00F06DE2" w:rsidRDefault="00D35E51">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Помещения с висок риск от пожар</w:t>
            </w:r>
          </w:p>
        </w:tc>
        <w:tc>
          <w:tcPr>
            <w:tcW w:w="1559" w:type="dxa"/>
          </w:tcPr>
          <w:p w14:paraId="38DFDE0D" w14:textId="1C5DC1DE" w:rsidR="00271FA2" w:rsidRPr="00F06DE2" w:rsidRDefault="00C6187E">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t xml:space="preserve">Помещения със </w:t>
            </w:r>
            <w:r w:rsidR="00D35E51" w:rsidRPr="00F06DE2">
              <w:rPr>
                <w:rFonts w:ascii="Times New Roman" w:eastAsia="Calibri" w:hAnsi="Times New Roman" w:cs="Times New Roman"/>
                <w:lang w:val="ru-RU"/>
              </w:rPr>
              <w:t>среден риск от пожар</w:t>
            </w:r>
          </w:p>
        </w:tc>
        <w:tc>
          <w:tcPr>
            <w:tcW w:w="1559" w:type="dxa"/>
          </w:tcPr>
          <w:p w14:paraId="7F5657E2" w14:textId="77777777" w:rsidR="00271FA2" w:rsidRPr="00F06DE2" w:rsidRDefault="00D35E51">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Помещения с нисък риск от пожар</w:t>
            </w:r>
          </w:p>
        </w:tc>
      </w:tr>
      <w:tr w:rsidR="00271FA2" w:rsidRPr="00F06DE2" w14:paraId="7D93B10F" w14:textId="77777777" w:rsidTr="00C6187E">
        <w:tc>
          <w:tcPr>
            <w:tcW w:w="1560" w:type="dxa"/>
          </w:tcPr>
          <w:p w14:paraId="12CD8F03" w14:textId="77777777" w:rsidR="00271FA2" w:rsidRPr="00F06DE2" w:rsidRDefault="00D35E51">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Помещения и зони включени в категорията</w:t>
            </w:r>
          </w:p>
        </w:tc>
        <w:tc>
          <w:tcPr>
            <w:tcW w:w="1559" w:type="dxa"/>
          </w:tcPr>
          <w:p w14:paraId="6EA87A4C" w14:textId="40BD8B29" w:rsidR="00271FA2" w:rsidRPr="00F06DE2" w:rsidRDefault="00D35E51">
            <w:pPr>
              <w:pStyle w:val="ESch"/>
              <w:ind w:left="29"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 xml:space="preserve">Контролни </w:t>
            </w:r>
            <w:r w:rsidR="00B22B30" w:rsidRPr="00F06DE2">
              <w:rPr>
                <w:rFonts w:ascii="Times New Roman" w:hAnsi="Times New Roman" w:cs="Times New Roman"/>
                <w:spacing w:val="-2"/>
                <w:lang w:val="ru-RU"/>
              </w:rPr>
              <w:t xml:space="preserve">Контролни центрове </w:t>
            </w:r>
            <w:r w:rsidR="000002F7" w:rsidRPr="00F06DE2">
              <w:rPr>
                <w:rFonts w:ascii="Times New Roman" w:hAnsi="Times New Roman" w:cs="Times New Roman"/>
                <w:spacing w:val="-2"/>
                <w:lang w:val="ru-RU"/>
              </w:rPr>
              <w:t>Помещения</w:t>
            </w:r>
            <w:r w:rsidR="00B22B30" w:rsidRPr="00F06DE2">
              <w:rPr>
                <w:rFonts w:ascii="Times New Roman" w:hAnsi="Times New Roman" w:cs="Times New Roman"/>
                <w:spacing w:val="-2"/>
                <w:lang w:val="ru-RU"/>
              </w:rPr>
              <w:t xml:space="preserve"> с разпределителни табла Стълбищни клетки Сборни зони Зони за евакуация </w:t>
            </w:r>
            <w:r w:rsidR="000002F7" w:rsidRPr="00F06DE2">
              <w:rPr>
                <w:rFonts w:ascii="Times New Roman" w:hAnsi="Times New Roman" w:cs="Times New Roman"/>
                <w:spacing w:val="-2"/>
                <w:lang w:val="ru-RU"/>
              </w:rPr>
              <w:t>Помещения</w:t>
            </w:r>
            <w:r w:rsidR="00B22B30" w:rsidRPr="00F06DE2">
              <w:rPr>
                <w:rFonts w:ascii="Times New Roman" w:hAnsi="Times New Roman" w:cs="Times New Roman"/>
                <w:spacing w:val="-2"/>
                <w:lang w:val="ru-RU"/>
              </w:rPr>
              <w:t>, съдържащи спринклерни помпи, техните превключватели и клапани, които са необходими, за да може</w:t>
            </w:r>
          </w:p>
        </w:tc>
        <w:tc>
          <w:tcPr>
            <w:tcW w:w="1276" w:type="dxa"/>
          </w:tcPr>
          <w:p w14:paraId="5068A878" w14:textId="77777777" w:rsidR="00271FA2" w:rsidRPr="00F06DE2" w:rsidRDefault="00D35E51">
            <w:pPr>
              <w:pStyle w:val="ESch"/>
              <w:ind w:left="0" w:firstLine="0"/>
              <w:jc w:val="center"/>
              <w:rPr>
                <w:rFonts w:ascii="Times New Roman" w:eastAsia="Calibri" w:hAnsi="Times New Roman" w:cs="Times New Roman"/>
              </w:rPr>
            </w:pPr>
            <w:r w:rsidRPr="00F06DE2">
              <w:rPr>
                <w:rFonts w:ascii="Times New Roman" w:eastAsia="Calibri" w:hAnsi="Times New Roman" w:cs="Times New Roman"/>
              </w:rPr>
              <w:t>Машинни отделения</w:t>
            </w:r>
          </w:p>
          <w:p w14:paraId="5A13DBC8" w14:textId="77777777" w:rsidR="00271FA2" w:rsidRPr="00F06DE2" w:rsidRDefault="00D35E51">
            <w:pPr>
              <w:pStyle w:val="ESch"/>
              <w:ind w:left="0" w:firstLine="0"/>
              <w:jc w:val="center"/>
              <w:rPr>
                <w:rFonts w:ascii="Times New Roman" w:eastAsia="Calibri" w:hAnsi="Times New Roman" w:cs="Times New Roman"/>
              </w:rPr>
            </w:pPr>
            <w:r w:rsidRPr="00F06DE2">
              <w:rPr>
                <w:rFonts w:ascii="Times New Roman" w:eastAsia="Calibri" w:hAnsi="Times New Roman" w:cs="Times New Roman"/>
              </w:rPr>
              <w:t>Акумулаторни помещения</w:t>
            </w:r>
          </w:p>
        </w:tc>
        <w:tc>
          <w:tcPr>
            <w:tcW w:w="1559" w:type="dxa"/>
          </w:tcPr>
          <w:p w14:paraId="46E37FD7"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Кухня</w:t>
            </w:r>
          </w:p>
          <w:p w14:paraId="20AC426F"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Складови помещения със запалими течности</w:t>
            </w:r>
          </w:p>
        </w:tc>
        <w:tc>
          <w:tcPr>
            <w:tcW w:w="1559" w:type="dxa"/>
          </w:tcPr>
          <w:p w14:paraId="0B7D6250"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Складови помещения</w:t>
            </w:r>
          </w:p>
          <w:p w14:paraId="64313D33"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Сауни</w:t>
            </w:r>
          </w:p>
          <w:p w14:paraId="5005B8D3"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Перални</w:t>
            </w:r>
          </w:p>
          <w:p w14:paraId="069054B1"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Ел. кабинети</w:t>
            </w:r>
          </w:p>
          <w:p w14:paraId="2BF9EFAF" w14:textId="353DBA96" w:rsidR="00271FA2" w:rsidRPr="00F06DE2" w:rsidRDefault="00D35E51" w:rsidP="00233F41">
            <w:pPr>
              <w:pStyle w:val="ESch"/>
              <w:jc w:val="center"/>
              <w:rPr>
                <w:rFonts w:ascii="Times New Roman" w:eastAsia="Calibri" w:hAnsi="Times New Roman" w:cs="Times New Roman"/>
                <w:lang w:val="ru-RU"/>
              </w:rPr>
            </w:pPr>
            <w:r w:rsidRPr="00F06DE2">
              <w:rPr>
                <w:rFonts w:ascii="Times New Roman" w:eastAsia="Calibri" w:hAnsi="Times New Roman" w:cs="Times New Roman"/>
                <w:strike/>
                <w:lang w:val="ru-RU"/>
              </w:rPr>
              <w:t xml:space="preserve"> </w:t>
            </w:r>
          </w:p>
        </w:tc>
        <w:tc>
          <w:tcPr>
            <w:tcW w:w="1559" w:type="dxa"/>
          </w:tcPr>
          <w:p w14:paraId="2E6CC96B"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Барове</w:t>
            </w:r>
          </w:p>
          <w:p w14:paraId="1E77D43B"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Салони за красота</w:t>
            </w:r>
          </w:p>
          <w:p w14:paraId="7615A469"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Кабини</w:t>
            </w:r>
          </w:p>
          <w:p w14:paraId="37514D33"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Коридори</w:t>
            </w:r>
          </w:p>
          <w:p w14:paraId="450B7D83"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Други машинни/технически</w:t>
            </w:r>
          </w:p>
          <w:p w14:paraId="64DAD837" w14:textId="77777777" w:rsidR="00271FA2" w:rsidRPr="00F06DE2" w:rsidRDefault="00D35E51">
            <w:pPr>
              <w:pStyle w:val="ESch"/>
              <w:ind w:left="0" w:firstLine="0"/>
              <w:jc w:val="center"/>
              <w:rPr>
                <w:rFonts w:ascii="Times New Roman" w:eastAsia="Calibri" w:hAnsi="Times New Roman" w:cs="Times New Roman"/>
                <w:lang w:val="ru-RU"/>
              </w:rPr>
            </w:pPr>
            <w:r w:rsidRPr="00F06DE2">
              <w:rPr>
                <w:rFonts w:ascii="Times New Roman" w:eastAsia="Calibri" w:hAnsi="Times New Roman" w:cs="Times New Roman"/>
                <w:lang w:val="ru-RU"/>
              </w:rPr>
              <w:t>пространства (напр. пречистване на отпадъчни води,</w:t>
            </w:r>
          </w:p>
          <w:p w14:paraId="3AA596B7" w14:textId="77777777" w:rsidR="00271FA2" w:rsidRPr="00F06DE2" w:rsidRDefault="00D35E51">
            <w:pPr>
              <w:pStyle w:val="ESch"/>
              <w:ind w:left="0" w:firstLine="0"/>
              <w:jc w:val="center"/>
              <w:rPr>
                <w:rFonts w:ascii="Times New Roman" w:eastAsia="Calibri" w:hAnsi="Times New Roman" w:cs="Times New Roman"/>
              </w:rPr>
            </w:pPr>
            <w:r w:rsidRPr="00F06DE2">
              <w:rPr>
                <w:rFonts w:ascii="Times New Roman" w:eastAsia="Calibri" w:hAnsi="Times New Roman" w:cs="Times New Roman"/>
              </w:rPr>
              <w:t>вентилация, румпелно</w:t>
            </w:r>
          </w:p>
        </w:tc>
      </w:tr>
      <w:tr w:rsidR="00B22B30" w:rsidRPr="00F06DE2" w14:paraId="0A012C93" w14:textId="77777777" w:rsidTr="00C6187E">
        <w:tc>
          <w:tcPr>
            <w:tcW w:w="1560" w:type="dxa"/>
          </w:tcPr>
          <w:p w14:paraId="25FC90B3" w14:textId="77777777" w:rsidR="00B22B30" w:rsidRPr="00F06DE2" w:rsidRDefault="00B22B30" w:rsidP="00B22B30">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Помещения/зони защитени за нужда на екцпоата-цията</w:t>
            </w:r>
          </w:p>
        </w:tc>
        <w:tc>
          <w:tcPr>
            <w:tcW w:w="1559" w:type="dxa"/>
          </w:tcPr>
          <w:p w14:paraId="6547ED6E" w14:textId="77777777" w:rsidR="00B22B30" w:rsidRPr="00F06DE2" w:rsidRDefault="00B22B30" w:rsidP="00B22B30">
            <w:pPr>
              <w:pStyle w:val="TableParagraph"/>
              <w:spacing w:before="70"/>
              <w:rPr>
                <w:rFonts w:ascii="Times New Roman" w:hAnsi="Times New Roman" w:cs="Times New Roman"/>
                <w:lang w:val="ru-RU"/>
              </w:rPr>
            </w:pPr>
          </w:p>
          <w:p w14:paraId="136C7CF7" w14:textId="1C5A0986"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hAnsi="Times New Roman" w:cs="Times New Roman"/>
                <w:noProof/>
                <w:lang w:eastAsia="bg-BG"/>
              </w:rPr>
              <mc:AlternateContent>
                <mc:Choice Requires="wpg">
                  <w:drawing>
                    <wp:anchor distT="0" distB="0" distL="0" distR="0" simplePos="0" relativeHeight="251729920" behindDoc="1" locked="0" layoutInCell="1" allowOverlap="1" wp14:anchorId="72DA85A1" wp14:editId="44455E0F">
                      <wp:simplePos x="0" y="0"/>
                      <wp:positionH relativeFrom="column">
                        <wp:posOffset>628269</wp:posOffset>
                      </wp:positionH>
                      <wp:positionV relativeFrom="paragraph">
                        <wp:posOffset>2894</wp:posOffset>
                      </wp:positionV>
                      <wp:extent cx="20320" cy="131445"/>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31445"/>
                                <a:chOff x="0" y="0"/>
                                <a:chExt cx="20320" cy="131445"/>
                              </a:xfrm>
                            </wpg:grpSpPr>
                            <wps:wsp>
                              <wps:cNvPr id="471" name="Graphic 108"/>
                              <wps:cNvSpPr/>
                              <wps:spPr>
                                <a:xfrm>
                                  <a:off x="0" y="0"/>
                                  <a:ext cx="20320" cy="131445"/>
                                </a:xfrm>
                                <a:custGeom>
                                  <a:avLst/>
                                  <a:gdLst/>
                                  <a:ahLst/>
                                  <a:cxnLst/>
                                  <a:rect l="l" t="t" r="r" b="b"/>
                                  <a:pathLst>
                                    <a:path w="20320" h="131445">
                                      <a:moveTo>
                                        <a:pt x="19812" y="0"/>
                                      </a:moveTo>
                                      <a:lnTo>
                                        <a:pt x="0" y="0"/>
                                      </a:lnTo>
                                      <a:lnTo>
                                        <a:pt x="0" y="131063"/>
                                      </a:lnTo>
                                      <a:lnTo>
                                        <a:pt x="19812" y="131063"/>
                                      </a:lnTo>
                                      <a:lnTo>
                                        <a:pt x="19812"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60BF6DD0" id="Group 470" o:spid="_x0000_s1026" style="position:absolute;margin-left:49.45pt;margin-top:.25pt;width:1.6pt;height:10.35pt;z-index:-251586560;mso-wrap-distance-left:0;mso-wrap-distance-right:0" coordsize="2032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">
                      <v:shape id="Graphic 108" o:spid="_x0000_s1027" style="position:absolute;width:20320;height:131445;visibility:visible;mso-wrap-style:square;v-text-anchor:top" coordsize="2032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" path="m19812,l,,,131063r19812,l19812,xe" fillcolor="#d2d2d2" stroked="f">
                        <v:path arrowok="t"/>
                      </v:shape>
                    </v:group>
                  </w:pict>
                </mc:Fallback>
              </mc:AlternateContent>
            </w:r>
            <w:r w:rsidRPr="00F06DE2">
              <w:rPr>
                <w:rFonts w:ascii="Times New Roman" w:hAnsi="Times New Roman" w:cs="Times New Roman"/>
                <w:noProof/>
                <w:lang w:eastAsia="bg-BG"/>
              </w:rPr>
              <mc:AlternateContent>
                <mc:Choice Requires="wpg">
                  <w:drawing>
                    <wp:anchor distT="0" distB="0" distL="0" distR="0" simplePos="0" relativeHeight="251730944" behindDoc="1" locked="0" layoutInCell="1" allowOverlap="1" wp14:anchorId="343646EF" wp14:editId="214BFE5E">
                      <wp:simplePos x="0" y="0"/>
                      <wp:positionH relativeFrom="column">
                        <wp:posOffset>328040</wp:posOffset>
                      </wp:positionH>
                      <wp:positionV relativeFrom="paragraph">
                        <wp:posOffset>155294</wp:posOffset>
                      </wp:positionV>
                      <wp:extent cx="67310" cy="131445"/>
                      <wp:effectExtent l="0" t="0" r="0" b="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131445"/>
                                <a:chOff x="0" y="0"/>
                                <a:chExt cx="67310" cy="131445"/>
                              </a:xfrm>
                            </wpg:grpSpPr>
                            <wps:wsp>
                              <wps:cNvPr id="473" name="Graphic 110"/>
                              <wps:cNvSpPr/>
                              <wps:spPr>
                                <a:xfrm>
                                  <a:off x="0" y="0"/>
                                  <a:ext cx="67310" cy="131445"/>
                                </a:xfrm>
                                <a:custGeom>
                                  <a:avLst/>
                                  <a:gdLst/>
                                  <a:ahLst/>
                                  <a:cxnLst/>
                                  <a:rect l="l" t="t" r="r" b="b"/>
                                  <a:pathLst>
                                    <a:path w="67310" h="131445">
                                      <a:moveTo>
                                        <a:pt x="67056" y="0"/>
                                      </a:moveTo>
                                      <a:lnTo>
                                        <a:pt x="0" y="0"/>
                                      </a:lnTo>
                                      <a:lnTo>
                                        <a:pt x="0" y="131063"/>
                                      </a:lnTo>
                                      <a:lnTo>
                                        <a:pt x="67056" y="131063"/>
                                      </a:lnTo>
                                      <a:lnTo>
                                        <a:pt x="67056"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0CB455C6" id="Group 472" o:spid="_x0000_s1026" style="position:absolute;margin-left:25.85pt;margin-top:12.25pt;width:5.3pt;height:10.35pt;z-index:-251585536;mso-wrap-distance-left:0;mso-wrap-distance-right:0" coordsize="6731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">
                      <v:shape id="Graphic 110" o:spid="_x0000_s1027" style="position:absolute;width:67310;height:131445;visibility:visible;mso-wrap-style:square;v-text-anchor:top" coordsize="6731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" path="m67056,l,,,131063r67056,l67056,xe" fillcolor="#d2d2d2" stroked="f">
                        <v:path arrowok="t"/>
                      </v:shape>
                    </v:group>
                  </w:pict>
                </mc:Fallback>
              </mc:AlternateContent>
            </w:r>
            <w:r w:rsidRPr="00F06DE2">
              <w:rPr>
                <w:rFonts w:ascii="Times New Roman" w:eastAsia="Calibri" w:hAnsi="Times New Roman" w:cs="Times New Roman"/>
              </w:rPr>
              <w:t>A0/B0</w:t>
            </w:r>
            <w:r w:rsidRPr="00F06DE2">
              <w:rPr>
                <w:rFonts w:ascii="Times New Roman" w:eastAsia="Calibri" w:hAnsi="Times New Roman" w:cs="Times New Roman"/>
                <w:vertAlign w:val="superscript"/>
              </w:rPr>
              <w:t>1), 7)</w:t>
            </w:r>
            <w:r w:rsidR="00A9636D" w:rsidRPr="00F06DE2">
              <w:rPr>
                <w:rFonts w:ascii="Times New Roman" w:eastAsia="Calibri" w:hAnsi="Times New Roman" w:cs="Times New Roman"/>
                <w:vertAlign w:val="superscript"/>
              </w:rPr>
              <w:t>, 9)</w:t>
            </w:r>
          </w:p>
        </w:tc>
        <w:tc>
          <w:tcPr>
            <w:tcW w:w="1276" w:type="dxa"/>
          </w:tcPr>
          <w:p w14:paraId="4402C7B4" w14:textId="77777777" w:rsidR="00B22B30" w:rsidRPr="00F06DE2" w:rsidRDefault="00B22B30" w:rsidP="00B22B30">
            <w:pPr>
              <w:pStyle w:val="TableParagraph"/>
              <w:spacing w:before="125"/>
              <w:rPr>
                <w:rFonts w:ascii="Times New Roman" w:hAnsi="Times New Roman" w:cs="Times New Roman"/>
              </w:rPr>
            </w:pPr>
          </w:p>
          <w:p w14:paraId="39B4122B" w14:textId="0AAC2579"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eastAsia="Calibri" w:hAnsi="Times New Roman" w:cs="Times New Roman"/>
              </w:rPr>
              <w:t>A60</w:t>
            </w:r>
          </w:p>
        </w:tc>
        <w:tc>
          <w:tcPr>
            <w:tcW w:w="1559" w:type="dxa"/>
          </w:tcPr>
          <w:p w14:paraId="4C29C3ED" w14:textId="77777777" w:rsidR="00B22B30" w:rsidRPr="00F06DE2" w:rsidRDefault="00B22B30" w:rsidP="00B22B30">
            <w:pPr>
              <w:pStyle w:val="TableParagraph"/>
              <w:spacing w:before="125"/>
              <w:rPr>
                <w:rFonts w:ascii="Times New Roman" w:hAnsi="Times New Roman" w:cs="Times New Roman"/>
              </w:rPr>
            </w:pPr>
          </w:p>
          <w:p w14:paraId="794E3FCC" w14:textId="45DD9508"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eastAsia="Calibri" w:hAnsi="Times New Roman" w:cs="Times New Roman"/>
              </w:rPr>
              <w:t>A30</w:t>
            </w:r>
          </w:p>
        </w:tc>
        <w:tc>
          <w:tcPr>
            <w:tcW w:w="1559" w:type="dxa"/>
          </w:tcPr>
          <w:p w14:paraId="49F27A1B" w14:textId="77777777" w:rsidR="00B22B30" w:rsidRPr="00F06DE2" w:rsidRDefault="00B22B30" w:rsidP="00B22B30">
            <w:pPr>
              <w:pStyle w:val="TableParagraph"/>
              <w:spacing w:before="121"/>
              <w:rPr>
                <w:rFonts w:ascii="Times New Roman" w:hAnsi="Times New Roman" w:cs="Times New Roman"/>
              </w:rPr>
            </w:pPr>
          </w:p>
          <w:p w14:paraId="76434788" w14:textId="00438D3F"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hAnsi="Times New Roman" w:cs="Times New Roman"/>
                <w:noProof/>
                <w:position w:val="6"/>
                <w:lang w:eastAsia="bg-BG"/>
              </w:rPr>
              <mc:AlternateContent>
                <mc:Choice Requires="wpg">
                  <w:drawing>
                    <wp:anchor distT="0" distB="0" distL="0" distR="0" simplePos="0" relativeHeight="251731968" behindDoc="1" locked="0" layoutInCell="1" allowOverlap="1" wp14:anchorId="7B6A10D2" wp14:editId="2F143CBB">
                      <wp:simplePos x="0" y="0"/>
                      <wp:positionH relativeFrom="column">
                        <wp:posOffset>757427</wp:posOffset>
                      </wp:positionH>
                      <wp:positionV relativeFrom="paragraph">
                        <wp:posOffset>2894</wp:posOffset>
                      </wp:positionV>
                      <wp:extent cx="108585" cy="131445"/>
                      <wp:effectExtent l="0" t="0" r="0" b="0"/>
                      <wp:wrapNone/>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31445"/>
                                <a:chOff x="0" y="0"/>
                                <a:chExt cx="108585" cy="131445"/>
                              </a:xfrm>
                            </wpg:grpSpPr>
                            <wps:wsp>
                              <wps:cNvPr id="475" name="Graphic 112"/>
                              <wps:cNvSpPr/>
                              <wps:spPr>
                                <a:xfrm>
                                  <a:off x="0" y="0"/>
                                  <a:ext cx="108585" cy="131445"/>
                                </a:xfrm>
                                <a:custGeom>
                                  <a:avLst/>
                                  <a:gdLst/>
                                  <a:ahLst/>
                                  <a:cxnLst/>
                                  <a:rect l="l" t="t" r="r" b="b"/>
                                  <a:pathLst>
                                    <a:path w="108585" h="131445">
                                      <a:moveTo>
                                        <a:pt x="108203" y="0"/>
                                      </a:moveTo>
                                      <a:lnTo>
                                        <a:pt x="0" y="0"/>
                                      </a:lnTo>
                                      <a:lnTo>
                                        <a:pt x="0" y="131063"/>
                                      </a:lnTo>
                                      <a:lnTo>
                                        <a:pt x="108203" y="131063"/>
                                      </a:lnTo>
                                      <a:lnTo>
                                        <a:pt x="108203"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2B5DF007" id="Group 474" o:spid="_x0000_s1026" style="position:absolute;margin-left:59.65pt;margin-top:.25pt;width:8.55pt;height:10.35pt;z-index:-251584512;mso-wrap-distance-left:0;mso-wrap-distance-right:0" coordsize="108585,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">
                      <v:shape id="Graphic 112" o:spid="_x0000_s1027" style="position:absolute;width:108585;height:131445;visibility:visible;mso-wrap-style:square;v-text-anchor:top" coordsize="10858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" path="m108203,l,,,131063r108203,l108203,xe" fillcolor="#d2d2d2" stroked="f">
                        <v:path arrowok="t"/>
                      </v:shape>
                    </v:group>
                  </w:pict>
                </mc:Fallback>
              </mc:AlternateContent>
            </w:r>
            <w:r w:rsidRPr="00F06DE2">
              <w:rPr>
                <w:rFonts w:ascii="Times New Roman" w:eastAsia="Calibri" w:hAnsi="Times New Roman" w:cs="Times New Roman"/>
              </w:rPr>
              <w:t>A0/A30</w:t>
            </w:r>
            <w:r w:rsidRPr="00F06DE2">
              <w:rPr>
                <w:rFonts w:ascii="Times New Roman" w:eastAsia="Calibri" w:hAnsi="Times New Roman" w:cs="Times New Roman"/>
                <w:vertAlign w:val="superscript"/>
              </w:rPr>
              <w:t>5</w:t>
            </w:r>
            <w:r w:rsidR="00A9636D" w:rsidRPr="00F06DE2">
              <w:rPr>
                <w:rFonts w:ascii="Times New Roman" w:eastAsia="Calibri" w:hAnsi="Times New Roman" w:cs="Times New Roman"/>
                <w:vertAlign w:val="superscript"/>
              </w:rPr>
              <w:t>, 9)</w:t>
            </w:r>
            <w:r w:rsidRPr="00F06DE2">
              <w:rPr>
                <w:rFonts w:ascii="Times New Roman" w:eastAsia="Calibri" w:hAnsi="Times New Roman" w:cs="Times New Roman"/>
                <w:vertAlign w:val="superscript"/>
              </w:rPr>
              <w:t>)</w:t>
            </w:r>
          </w:p>
        </w:tc>
        <w:tc>
          <w:tcPr>
            <w:tcW w:w="1559" w:type="dxa"/>
          </w:tcPr>
          <w:p w14:paraId="0E1C1190" w14:textId="77777777" w:rsidR="00B22B30" w:rsidRPr="00F06DE2" w:rsidRDefault="00B22B30" w:rsidP="00B22B30">
            <w:pPr>
              <w:pStyle w:val="TableParagraph"/>
              <w:spacing w:before="121"/>
              <w:rPr>
                <w:rFonts w:ascii="Times New Roman" w:hAnsi="Times New Roman" w:cs="Times New Roman"/>
              </w:rPr>
            </w:pPr>
          </w:p>
          <w:p w14:paraId="65DA7D2E" w14:textId="5FE7DFF4"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hAnsi="Times New Roman" w:cs="Times New Roman"/>
                <w:noProof/>
                <w:position w:val="6"/>
                <w:lang w:eastAsia="bg-BG"/>
              </w:rPr>
              <mc:AlternateContent>
                <mc:Choice Requires="wpg">
                  <w:drawing>
                    <wp:anchor distT="0" distB="0" distL="0" distR="0" simplePos="0" relativeHeight="251732992" behindDoc="1" locked="0" layoutInCell="1" allowOverlap="1" wp14:anchorId="366A8FE6" wp14:editId="311F4CB6">
                      <wp:simplePos x="0" y="0"/>
                      <wp:positionH relativeFrom="column">
                        <wp:posOffset>908685</wp:posOffset>
                      </wp:positionH>
                      <wp:positionV relativeFrom="paragraph">
                        <wp:posOffset>2894</wp:posOffset>
                      </wp:positionV>
                      <wp:extent cx="108585" cy="131445"/>
                      <wp:effectExtent l="0" t="0" r="0" b="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131445"/>
                                <a:chOff x="0" y="0"/>
                                <a:chExt cx="108585" cy="131445"/>
                              </a:xfrm>
                            </wpg:grpSpPr>
                            <wps:wsp>
                              <wps:cNvPr id="477" name="Graphic 114"/>
                              <wps:cNvSpPr/>
                              <wps:spPr>
                                <a:xfrm>
                                  <a:off x="0" y="0"/>
                                  <a:ext cx="108585" cy="131445"/>
                                </a:xfrm>
                                <a:custGeom>
                                  <a:avLst/>
                                  <a:gdLst/>
                                  <a:ahLst/>
                                  <a:cxnLst/>
                                  <a:rect l="l" t="t" r="r" b="b"/>
                                  <a:pathLst>
                                    <a:path w="108585" h="131445">
                                      <a:moveTo>
                                        <a:pt x="108204" y="0"/>
                                      </a:moveTo>
                                      <a:lnTo>
                                        <a:pt x="0" y="0"/>
                                      </a:lnTo>
                                      <a:lnTo>
                                        <a:pt x="0" y="131063"/>
                                      </a:lnTo>
                                      <a:lnTo>
                                        <a:pt x="108204" y="131063"/>
                                      </a:lnTo>
                                      <a:lnTo>
                                        <a:pt x="108204"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2C01EACE" id="Group 476" o:spid="_x0000_s1026" style="position:absolute;margin-left:71.55pt;margin-top:.25pt;width:8.55pt;height:10.35pt;z-index:-251583488;mso-wrap-distance-left:0;mso-wrap-distance-right:0" coordsize="108585,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">
                      <v:shape id="Graphic 114" o:spid="_x0000_s1027" style="position:absolute;width:108585;height:131445;visibility:visible;mso-wrap-style:square;v-text-anchor:top" coordsize="10858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" path="m108204,l,,,131063r108204,l108204,xe" fillcolor="#d2d2d2" stroked="f">
                        <v:path arrowok="t"/>
                      </v:shape>
                    </v:group>
                  </w:pict>
                </mc:Fallback>
              </mc:AlternateContent>
            </w:r>
            <w:r w:rsidRPr="00F06DE2">
              <w:rPr>
                <w:rFonts w:ascii="Times New Roman" w:eastAsia="Calibri" w:hAnsi="Times New Roman" w:cs="Times New Roman"/>
              </w:rPr>
              <w:t>A0/A30/B15</w:t>
            </w:r>
            <w:r w:rsidRPr="00F06DE2">
              <w:rPr>
                <w:rFonts w:ascii="Times New Roman" w:eastAsia="Calibri" w:hAnsi="Times New Roman" w:cs="Times New Roman"/>
                <w:vertAlign w:val="superscript"/>
              </w:rPr>
              <w:t>2)</w:t>
            </w:r>
            <w:r w:rsidR="00A9636D" w:rsidRPr="00F06DE2">
              <w:rPr>
                <w:rFonts w:ascii="Times New Roman" w:eastAsia="Calibri" w:hAnsi="Times New Roman" w:cs="Times New Roman"/>
                <w:vertAlign w:val="superscript"/>
              </w:rPr>
              <w:t>,9)</w:t>
            </w:r>
          </w:p>
        </w:tc>
      </w:tr>
      <w:tr w:rsidR="00B22B30" w:rsidRPr="00F06DE2" w14:paraId="7504BFD4" w14:textId="77777777" w:rsidTr="00C6187E">
        <w:tc>
          <w:tcPr>
            <w:tcW w:w="1560" w:type="dxa"/>
          </w:tcPr>
          <w:p w14:paraId="6A17B53A" w14:textId="77777777" w:rsidR="00B22B30" w:rsidRPr="00F06DE2" w:rsidRDefault="00B22B30" w:rsidP="00B22B30">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Помещения с голям риск от пожар</w:t>
            </w:r>
          </w:p>
        </w:tc>
        <w:tc>
          <w:tcPr>
            <w:tcW w:w="1559" w:type="dxa"/>
          </w:tcPr>
          <w:p w14:paraId="2A906A42"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276" w:type="dxa"/>
          </w:tcPr>
          <w:p w14:paraId="014926F2" w14:textId="77777777" w:rsidR="00B22B30" w:rsidRPr="00F06DE2" w:rsidRDefault="00B22B30" w:rsidP="00B22B30">
            <w:pPr>
              <w:pStyle w:val="TableParagraph"/>
              <w:spacing w:before="1"/>
              <w:rPr>
                <w:rFonts w:ascii="Times New Roman" w:hAnsi="Times New Roman" w:cs="Times New Roman"/>
                <w:lang w:val="ru-RU"/>
              </w:rPr>
            </w:pPr>
          </w:p>
          <w:p w14:paraId="1B12A146" w14:textId="6C1D2162"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eastAsia="Calibri" w:hAnsi="Times New Roman" w:cs="Times New Roman"/>
              </w:rPr>
              <w:t>A60/A0</w:t>
            </w:r>
            <w:r w:rsidRPr="00F06DE2">
              <w:rPr>
                <w:rFonts w:ascii="Times New Roman" w:eastAsia="Calibri" w:hAnsi="Times New Roman" w:cs="Times New Roman"/>
                <w:vertAlign w:val="superscript"/>
              </w:rPr>
              <w:t>4)</w:t>
            </w:r>
          </w:p>
        </w:tc>
        <w:tc>
          <w:tcPr>
            <w:tcW w:w="1559" w:type="dxa"/>
          </w:tcPr>
          <w:p w14:paraId="34C1CAFB" w14:textId="77777777" w:rsidR="00B22B30" w:rsidRPr="00F06DE2" w:rsidRDefault="00B22B30" w:rsidP="00B22B30">
            <w:pPr>
              <w:pStyle w:val="TableParagraph"/>
              <w:spacing w:before="5"/>
              <w:rPr>
                <w:rFonts w:ascii="Times New Roman" w:hAnsi="Times New Roman" w:cs="Times New Roman"/>
              </w:rPr>
            </w:pPr>
          </w:p>
          <w:p w14:paraId="0994BCC7" w14:textId="6AB9ABD9"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eastAsia="Calibri" w:hAnsi="Times New Roman" w:cs="Times New Roman"/>
              </w:rPr>
              <w:t>A60</w:t>
            </w:r>
          </w:p>
        </w:tc>
        <w:tc>
          <w:tcPr>
            <w:tcW w:w="1559" w:type="dxa"/>
          </w:tcPr>
          <w:p w14:paraId="2A1ADD9C" w14:textId="77777777" w:rsidR="00B22B30" w:rsidRPr="00F06DE2" w:rsidRDefault="00B22B30" w:rsidP="00B22B30">
            <w:pPr>
              <w:pStyle w:val="TableParagraph"/>
              <w:spacing w:before="5"/>
              <w:rPr>
                <w:rFonts w:ascii="Times New Roman" w:hAnsi="Times New Roman" w:cs="Times New Roman"/>
              </w:rPr>
            </w:pPr>
          </w:p>
          <w:p w14:paraId="63B46FCE" w14:textId="0936DF2F"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eastAsia="Calibri" w:hAnsi="Times New Roman" w:cs="Times New Roman"/>
              </w:rPr>
              <w:t>A60</w:t>
            </w:r>
          </w:p>
        </w:tc>
        <w:tc>
          <w:tcPr>
            <w:tcW w:w="1559" w:type="dxa"/>
          </w:tcPr>
          <w:p w14:paraId="1C320C47" w14:textId="77777777" w:rsidR="00B22B30" w:rsidRPr="00F06DE2" w:rsidRDefault="00B22B30" w:rsidP="00B22B30">
            <w:pPr>
              <w:pStyle w:val="TableParagraph"/>
              <w:spacing w:before="5"/>
              <w:rPr>
                <w:rFonts w:ascii="Times New Roman" w:hAnsi="Times New Roman" w:cs="Times New Roman"/>
              </w:rPr>
            </w:pPr>
          </w:p>
          <w:p w14:paraId="470DBC7C" w14:textId="49478223"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eastAsia="Calibri" w:hAnsi="Times New Roman" w:cs="Times New Roman"/>
              </w:rPr>
              <w:t>A60</w:t>
            </w:r>
          </w:p>
        </w:tc>
      </w:tr>
      <w:tr w:rsidR="00B22B30" w:rsidRPr="00F06DE2" w14:paraId="3843A183" w14:textId="77777777" w:rsidTr="00C6187E">
        <w:tc>
          <w:tcPr>
            <w:tcW w:w="1560" w:type="dxa"/>
          </w:tcPr>
          <w:p w14:paraId="52401F9A" w14:textId="77777777" w:rsidR="00B22B30" w:rsidRPr="00F06DE2" w:rsidRDefault="00B22B30" w:rsidP="00B22B30">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lastRenderedPageBreak/>
              <w:t>Помещения с висок риск от пожар</w:t>
            </w:r>
          </w:p>
        </w:tc>
        <w:tc>
          <w:tcPr>
            <w:tcW w:w="1559" w:type="dxa"/>
          </w:tcPr>
          <w:p w14:paraId="01092CE4"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276" w:type="dxa"/>
          </w:tcPr>
          <w:p w14:paraId="580BE76A"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559" w:type="dxa"/>
          </w:tcPr>
          <w:p w14:paraId="5BB9BD60" w14:textId="77777777" w:rsidR="00B22B30" w:rsidRPr="00F06DE2" w:rsidRDefault="00B22B30" w:rsidP="00B22B30">
            <w:pPr>
              <w:pStyle w:val="TableParagraph"/>
              <w:spacing w:before="4"/>
              <w:rPr>
                <w:rFonts w:ascii="Times New Roman" w:hAnsi="Times New Roman" w:cs="Times New Roman"/>
                <w:lang w:val="ru-RU"/>
              </w:rPr>
            </w:pPr>
          </w:p>
          <w:p w14:paraId="7FA2F871" w14:textId="50F18D14"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hAnsi="Times New Roman" w:cs="Times New Roman"/>
              </w:rPr>
              <w:t>A30</w:t>
            </w:r>
            <w:r w:rsidRPr="00F06DE2">
              <w:rPr>
                <w:rFonts w:ascii="Times New Roman" w:hAnsi="Times New Roman" w:cs="Times New Roman"/>
                <w:vertAlign w:val="superscript"/>
              </w:rPr>
              <w:t>7)</w:t>
            </w:r>
          </w:p>
        </w:tc>
        <w:tc>
          <w:tcPr>
            <w:tcW w:w="1559" w:type="dxa"/>
          </w:tcPr>
          <w:p w14:paraId="2A220ED3" w14:textId="77777777" w:rsidR="00B22B30" w:rsidRPr="00F06DE2" w:rsidRDefault="00B22B30" w:rsidP="00B22B30">
            <w:pPr>
              <w:pStyle w:val="TableParagraph"/>
              <w:spacing w:before="4"/>
              <w:rPr>
                <w:rFonts w:ascii="Times New Roman" w:hAnsi="Times New Roman" w:cs="Times New Roman"/>
              </w:rPr>
            </w:pPr>
          </w:p>
          <w:p w14:paraId="3A2E02DE" w14:textId="3496AF34"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hAnsi="Times New Roman" w:cs="Times New Roman"/>
              </w:rPr>
              <w:t>A30/B15</w:t>
            </w:r>
            <w:r w:rsidRPr="00F06DE2">
              <w:rPr>
                <w:rFonts w:ascii="Times New Roman" w:hAnsi="Times New Roman" w:cs="Times New Roman"/>
                <w:vertAlign w:val="superscript"/>
              </w:rPr>
              <w:t>6)</w:t>
            </w:r>
          </w:p>
        </w:tc>
        <w:tc>
          <w:tcPr>
            <w:tcW w:w="1559" w:type="dxa"/>
          </w:tcPr>
          <w:p w14:paraId="1230CC81" w14:textId="77777777" w:rsidR="00B22B30" w:rsidRPr="00F06DE2" w:rsidRDefault="00B22B30" w:rsidP="00B22B30">
            <w:pPr>
              <w:pStyle w:val="TableParagraph"/>
              <w:spacing w:before="7"/>
              <w:rPr>
                <w:rFonts w:ascii="Times New Roman" w:hAnsi="Times New Roman" w:cs="Times New Roman"/>
              </w:rPr>
            </w:pPr>
          </w:p>
          <w:p w14:paraId="752219C5" w14:textId="51E3BA01"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hAnsi="Times New Roman" w:cs="Times New Roman"/>
              </w:rPr>
              <w:t>A30</w:t>
            </w:r>
          </w:p>
        </w:tc>
      </w:tr>
      <w:tr w:rsidR="00B22B30" w:rsidRPr="00F06DE2" w14:paraId="12CA17F2" w14:textId="77777777" w:rsidTr="00C6187E">
        <w:tc>
          <w:tcPr>
            <w:tcW w:w="1560" w:type="dxa"/>
          </w:tcPr>
          <w:p w14:paraId="1597FDAD" w14:textId="77777777" w:rsidR="00B22B30" w:rsidRPr="00F06DE2" w:rsidRDefault="00B22B30" w:rsidP="00B22B30">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Помещения със среден риск от пожар</w:t>
            </w:r>
          </w:p>
        </w:tc>
        <w:tc>
          <w:tcPr>
            <w:tcW w:w="1559" w:type="dxa"/>
            <w:tcBorders>
              <w:top w:val="single" w:sz="4" w:space="0" w:color="000000"/>
              <w:bottom w:val="single" w:sz="4" w:space="0" w:color="000000"/>
              <w:right w:val="single" w:sz="4" w:space="0" w:color="000000"/>
            </w:tcBorders>
          </w:tcPr>
          <w:p w14:paraId="02EB9C96"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14:paraId="23E2C597"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559" w:type="dxa"/>
            <w:tcBorders>
              <w:top w:val="single" w:sz="4" w:space="0" w:color="000000"/>
              <w:left w:val="single" w:sz="4" w:space="0" w:color="000000"/>
              <w:bottom w:val="single" w:sz="4" w:space="0" w:color="000000"/>
              <w:right w:val="single" w:sz="4" w:space="0" w:color="000000"/>
            </w:tcBorders>
          </w:tcPr>
          <w:p w14:paraId="4DC2F3F2"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559" w:type="dxa"/>
            <w:tcBorders>
              <w:top w:val="single" w:sz="4" w:space="0" w:color="000000"/>
              <w:left w:val="single" w:sz="4" w:space="0" w:color="000000"/>
              <w:bottom w:val="single" w:sz="4" w:space="0" w:color="000000"/>
              <w:right w:val="single" w:sz="4" w:space="0" w:color="000000"/>
            </w:tcBorders>
          </w:tcPr>
          <w:p w14:paraId="4B155D56" w14:textId="77777777" w:rsidR="00B22B30" w:rsidRPr="00F06DE2" w:rsidRDefault="00B22B30" w:rsidP="00B22B30">
            <w:pPr>
              <w:pStyle w:val="TableParagraph"/>
              <w:rPr>
                <w:rFonts w:ascii="Times New Roman" w:hAnsi="Times New Roman" w:cs="Times New Roman"/>
                <w:lang w:val="ru-RU"/>
              </w:rPr>
            </w:pPr>
          </w:p>
          <w:p w14:paraId="0DAA7E97" w14:textId="77777777" w:rsidR="00B22B30" w:rsidRPr="00F06DE2" w:rsidRDefault="00B22B30" w:rsidP="00B22B30">
            <w:pPr>
              <w:pStyle w:val="TableParagraph"/>
              <w:spacing w:before="52"/>
              <w:rPr>
                <w:rFonts w:ascii="Times New Roman" w:hAnsi="Times New Roman" w:cs="Times New Roman"/>
                <w:lang w:val="ru-RU"/>
              </w:rPr>
            </w:pPr>
          </w:p>
          <w:p w14:paraId="60C7323B" w14:textId="0F9B37CC"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hAnsi="Times New Roman" w:cs="Times New Roman"/>
              </w:rPr>
              <w:t>A0</w:t>
            </w:r>
            <w:r w:rsidRPr="00F06DE2">
              <w:rPr>
                <w:rFonts w:ascii="Times New Roman" w:hAnsi="Times New Roman" w:cs="Times New Roman"/>
                <w:vertAlign w:val="superscript"/>
              </w:rPr>
              <w:t>7)</w:t>
            </w:r>
          </w:p>
        </w:tc>
        <w:tc>
          <w:tcPr>
            <w:tcW w:w="1559" w:type="dxa"/>
            <w:tcBorders>
              <w:top w:val="single" w:sz="4" w:space="0" w:color="000000"/>
              <w:left w:val="single" w:sz="4" w:space="0" w:color="000000"/>
              <w:bottom w:val="single" w:sz="4" w:space="0" w:color="000000"/>
              <w:right w:val="single" w:sz="8" w:space="0" w:color="000000"/>
            </w:tcBorders>
          </w:tcPr>
          <w:p w14:paraId="54DEF74B" w14:textId="77777777" w:rsidR="00B22B30" w:rsidRPr="00F06DE2" w:rsidRDefault="00B22B30" w:rsidP="00B22B30">
            <w:pPr>
              <w:pStyle w:val="TableParagraph"/>
              <w:spacing w:before="125"/>
              <w:rPr>
                <w:rFonts w:ascii="Times New Roman" w:hAnsi="Times New Roman" w:cs="Times New Roman"/>
              </w:rPr>
            </w:pPr>
          </w:p>
          <w:p w14:paraId="08C1EDBD" w14:textId="77B3C437" w:rsidR="00B22B30" w:rsidRPr="00F06DE2" w:rsidRDefault="00B22B30" w:rsidP="00B22B30">
            <w:pPr>
              <w:pStyle w:val="ESch"/>
              <w:ind w:left="0" w:firstLine="0"/>
              <w:jc w:val="both"/>
              <w:rPr>
                <w:rFonts w:ascii="Times New Roman" w:eastAsia="Calibri" w:hAnsi="Times New Roman" w:cs="Times New Roman"/>
              </w:rPr>
            </w:pPr>
            <w:r w:rsidRPr="00F06DE2">
              <w:rPr>
                <w:rFonts w:ascii="Times New Roman" w:eastAsia="Calibri" w:hAnsi="Times New Roman" w:cs="Times New Roman"/>
              </w:rPr>
              <w:t>A0</w:t>
            </w:r>
          </w:p>
        </w:tc>
      </w:tr>
      <w:tr w:rsidR="00B22B30" w:rsidRPr="00F06DE2" w14:paraId="7F28F7BF" w14:textId="77777777" w:rsidTr="00C6187E">
        <w:tc>
          <w:tcPr>
            <w:tcW w:w="1560" w:type="dxa"/>
          </w:tcPr>
          <w:p w14:paraId="6E055FCD" w14:textId="77777777" w:rsidR="00B22B30" w:rsidRPr="00F06DE2" w:rsidRDefault="00B22B30" w:rsidP="00B22B30">
            <w:pPr>
              <w:pStyle w:val="ESch"/>
              <w:ind w:left="0" w:firstLine="0"/>
              <w:jc w:val="both"/>
              <w:rPr>
                <w:rFonts w:ascii="Times New Roman" w:eastAsia="Calibri" w:hAnsi="Times New Roman" w:cs="Times New Roman"/>
                <w:lang w:val="ru-RU"/>
              </w:rPr>
            </w:pPr>
            <w:r w:rsidRPr="00F06DE2">
              <w:rPr>
                <w:rFonts w:ascii="Times New Roman" w:eastAsia="Calibri" w:hAnsi="Times New Roman" w:cs="Times New Roman"/>
                <w:lang w:val="ru-RU"/>
              </w:rPr>
              <w:t>Помещения с нисък риск от пожар</w:t>
            </w:r>
          </w:p>
        </w:tc>
        <w:tc>
          <w:tcPr>
            <w:tcW w:w="1559" w:type="dxa"/>
            <w:tcBorders>
              <w:top w:val="single" w:sz="4" w:space="0" w:color="000000"/>
              <w:bottom w:val="single" w:sz="8" w:space="0" w:color="000000"/>
              <w:right w:val="single" w:sz="4" w:space="0" w:color="000000"/>
            </w:tcBorders>
          </w:tcPr>
          <w:p w14:paraId="5F3920D9"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276" w:type="dxa"/>
            <w:tcBorders>
              <w:top w:val="single" w:sz="4" w:space="0" w:color="000000"/>
              <w:left w:val="single" w:sz="4" w:space="0" w:color="000000"/>
              <w:bottom w:val="single" w:sz="8" w:space="0" w:color="000000"/>
              <w:right w:val="single" w:sz="4" w:space="0" w:color="000000"/>
            </w:tcBorders>
          </w:tcPr>
          <w:p w14:paraId="2DAE1BE5"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559" w:type="dxa"/>
            <w:tcBorders>
              <w:top w:val="single" w:sz="4" w:space="0" w:color="000000"/>
              <w:left w:val="single" w:sz="4" w:space="0" w:color="000000"/>
              <w:bottom w:val="single" w:sz="8" w:space="0" w:color="000000"/>
              <w:right w:val="single" w:sz="4" w:space="0" w:color="000000"/>
            </w:tcBorders>
          </w:tcPr>
          <w:p w14:paraId="0B70EBB9"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559" w:type="dxa"/>
            <w:tcBorders>
              <w:top w:val="single" w:sz="4" w:space="0" w:color="000000"/>
              <w:left w:val="single" w:sz="4" w:space="0" w:color="000000"/>
              <w:bottom w:val="single" w:sz="8" w:space="0" w:color="000000"/>
              <w:right w:val="single" w:sz="4" w:space="0" w:color="000000"/>
            </w:tcBorders>
          </w:tcPr>
          <w:p w14:paraId="060FCF48" w14:textId="77777777" w:rsidR="00B22B30" w:rsidRPr="00F06DE2" w:rsidRDefault="00B22B30" w:rsidP="00B22B30">
            <w:pPr>
              <w:pStyle w:val="ESch"/>
              <w:ind w:left="0" w:firstLine="0"/>
              <w:jc w:val="both"/>
              <w:rPr>
                <w:rFonts w:ascii="Times New Roman" w:eastAsia="Calibri" w:hAnsi="Times New Roman" w:cs="Times New Roman"/>
                <w:lang w:val="ru-RU"/>
              </w:rPr>
            </w:pPr>
          </w:p>
        </w:tc>
        <w:tc>
          <w:tcPr>
            <w:tcW w:w="1559" w:type="dxa"/>
            <w:tcBorders>
              <w:top w:val="single" w:sz="4" w:space="0" w:color="000000"/>
              <w:left w:val="single" w:sz="4" w:space="0" w:color="000000"/>
              <w:bottom w:val="single" w:sz="8" w:space="0" w:color="000000"/>
              <w:right w:val="single" w:sz="8" w:space="0" w:color="000000"/>
            </w:tcBorders>
          </w:tcPr>
          <w:p w14:paraId="278FC40A" w14:textId="77777777" w:rsidR="00B22B30" w:rsidRPr="00F06DE2" w:rsidRDefault="00B22B30" w:rsidP="00B22B30">
            <w:pPr>
              <w:pStyle w:val="TableParagraph"/>
              <w:spacing w:before="70"/>
              <w:rPr>
                <w:rFonts w:ascii="Times New Roman" w:hAnsi="Times New Roman" w:cs="Times New Roman"/>
                <w:lang w:val="ru-RU"/>
              </w:rPr>
            </w:pPr>
          </w:p>
          <w:p w14:paraId="51608707" w14:textId="501D099A" w:rsidR="00B22B30" w:rsidRPr="00F06DE2" w:rsidRDefault="00B22B30" w:rsidP="00B22B30">
            <w:pPr>
              <w:pStyle w:val="ESch"/>
              <w:ind w:left="0" w:firstLine="0"/>
              <w:jc w:val="both"/>
              <w:rPr>
                <w:rFonts w:ascii="Times New Roman" w:eastAsia="Calibri" w:hAnsi="Times New Roman" w:cs="Times New Roman"/>
                <w:vertAlign w:val="superscript"/>
              </w:rPr>
            </w:pPr>
            <w:r w:rsidRPr="00F06DE2">
              <w:rPr>
                <w:rFonts w:ascii="Times New Roman" w:hAnsi="Times New Roman" w:cs="Times New Roman"/>
                <w:noProof/>
                <w:lang w:eastAsia="bg-BG"/>
              </w:rPr>
              <mc:AlternateContent>
                <mc:Choice Requires="wpg">
                  <w:drawing>
                    <wp:anchor distT="0" distB="0" distL="0" distR="0" simplePos="0" relativeHeight="251734016" behindDoc="1" locked="0" layoutInCell="1" allowOverlap="1" wp14:anchorId="18CEBA03" wp14:editId="4DC2BB0A">
                      <wp:simplePos x="0" y="0"/>
                      <wp:positionH relativeFrom="column">
                        <wp:posOffset>596265</wp:posOffset>
                      </wp:positionH>
                      <wp:positionV relativeFrom="paragraph">
                        <wp:posOffset>2894</wp:posOffset>
                      </wp:positionV>
                      <wp:extent cx="67310" cy="131445"/>
                      <wp:effectExtent l="0" t="0" r="0" b="0"/>
                      <wp:wrapNone/>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10" cy="131445"/>
                                <a:chOff x="0" y="0"/>
                                <a:chExt cx="67310" cy="131445"/>
                              </a:xfrm>
                            </wpg:grpSpPr>
                            <wps:wsp>
                              <wps:cNvPr id="479" name="Graphic 116"/>
                              <wps:cNvSpPr/>
                              <wps:spPr>
                                <a:xfrm>
                                  <a:off x="0" y="0"/>
                                  <a:ext cx="67310" cy="131445"/>
                                </a:xfrm>
                                <a:custGeom>
                                  <a:avLst/>
                                  <a:gdLst/>
                                  <a:ahLst/>
                                  <a:cxnLst/>
                                  <a:rect l="l" t="t" r="r" b="b"/>
                                  <a:pathLst>
                                    <a:path w="67310" h="131445">
                                      <a:moveTo>
                                        <a:pt x="67055" y="0"/>
                                      </a:moveTo>
                                      <a:lnTo>
                                        <a:pt x="0" y="0"/>
                                      </a:lnTo>
                                      <a:lnTo>
                                        <a:pt x="0" y="131064"/>
                                      </a:lnTo>
                                      <a:lnTo>
                                        <a:pt x="67055" y="131064"/>
                                      </a:lnTo>
                                      <a:lnTo>
                                        <a:pt x="67055"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35434332" id="Group 478" o:spid="_x0000_s1026" style="position:absolute;margin-left:46.95pt;margin-top:.25pt;width:5.3pt;height:10.35pt;z-index:-251582464;mso-wrap-distance-left:0;mso-wrap-distance-right:0" coordsize="6731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">
                      <v:shape id="Graphic 116" o:spid="_x0000_s1027" style="position:absolute;width:67310;height:131445;visibility:visible;mso-wrap-style:square;v-text-anchor:top" coordsize="67310,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" path="m67055,l,,,131064r67055,l67055,xe" fillcolor="#d2d2d2" stroked="f">
                        <v:path arrowok="t"/>
                      </v:shape>
                    </v:group>
                  </w:pict>
                </mc:Fallback>
              </mc:AlternateContent>
            </w:r>
            <w:r w:rsidRPr="00F06DE2">
              <w:rPr>
                <w:rFonts w:ascii="Times New Roman" w:eastAsia="Calibri" w:hAnsi="Times New Roman" w:cs="Times New Roman"/>
              </w:rPr>
              <w:t>B0</w:t>
            </w:r>
            <w:r w:rsidR="00A9636D" w:rsidRPr="00F06DE2">
              <w:rPr>
                <w:rFonts w:ascii="Times New Roman" w:eastAsia="Calibri" w:hAnsi="Times New Roman" w:cs="Times New Roman"/>
                <w:vertAlign w:val="superscript"/>
              </w:rPr>
              <w:t>8)</w:t>
            </w:r>
          </w:p>
        </w:tc>
      </w:tr>
    </w:tbl>
    <w:tbl>
      <w:tblPr>
        <w:tblStyle w:val="TableGrid"/>
        <w:tblpPr w:leftFromText="180" w:rightFromText="180" w:vertAnchor="text" w:horzAnchor="margin" w:tblpY="10"/>
        <w:tblW w:w="9065" w:type="dxa"/>
        <w:tblLook w:val="04A0" w:firstRow="1" w:lastRow="0" w:firstColumn="1" w:lastColumn="0" w:noHBand="0" w:noVBand="1"/>
      </w:tblPr>
      <w:tblGrid>
        <w:gridCol w:w="9065"/>
      </w:tblGrid>
      <w:tr w:rsidR="00271FA2" w:rsidRPr="00F06DE2" w14:paraId="0E6C7CE6" w14:textId="77777777">
        <w:tc>
          <w:tcPr>
            <w:tcW w:w="9065" w:type="dxa"/>
          </w:tcPr>
          <w:p w14:paraId="61B56347" w14:textId="77777777" w:rsidR="00271FA2" w:rsidRPr="00F06DE2" w:rsidRDefault="00D35E51">
            <w:pPr>
              <w:pStyle w:val="ESlet"/>
              <w:numPr>
                <w:ilvl w:val="0"/>
                <w:numId w:val="24"/>
              </w:numPr>
              <w:spacing w:before="0"/>
              <w:jc w:val="both"/>
              <w:rPr>
                <w:rFonts w:ascii="Times New Roman" w:hAnsi="Times New Roman" w:cs="Times New Roman"/>
                <w:lang w:val="ru-RU"/>
              </w:rPr>
            </w:pPr>
            <w:r w:rsidRPr="00F06DE2">
              <w:rPr>
                <w:rFonts w:ascii="Times New Roman" w:hAnsi="Times New Roman" w:cs="Times New Roman"/>
                <w:lang w:val="ru-RU"/>
              </w:rPr>
              <w:t xml:space="preserve">Разделителните стени между контролните центрове и външните сборни пунктове трябва да отговарят само на тип </w:t>
            </w:r>
            <w:r w:rsidRPr="00F06DE2">
              <w:rPr>
                <w:rFonts w:ascii="Times New Roman" w:hAnsi="Times New Roman" w:cs="Times New Roman"/>
              </w:rPr>
              <w:t>B</w:t>
            </w:r>
            <w:r w:rsidRPr="00F06DE2">
              <w:rPr>
                <w:rFonts w:ascii="Times New Roman" w:hAnsi="Times New Roman" w:cs="Times New Roman"/>
                <w:lang w:val="ru-RU"/>
              </w:rPr>
              <w:t>0.</w:t>
            </w:r>
          </w:p>
          <w:p w14:paraId="06AE959B" w14:textId="77777777" w:rsidR="00271FA2" w:rsidRPr="00F06DE2" w:rsidRDefault="00D35E51">
            <w:pPr>
              <w:pStyle w:val="ESlet"/>
              <w:numPr>
                <w:ilvl w:val="0"/>
                <w:numId w:val="24"/>
              </w:numPr>
              <w:spacing w:before="0"/>
              <w:jc w:val="both"/>
              <w:rPr>
                <w:rFonts w:ascii="Times New Roman" w:hAnsi="Times New Roman" w:cs="Times New Roman"/>
                <w:lang w:val="ru-RU"/>
              </w:rPr>
            </w:pPr>
            <w:r w:rsidRPr="00F06DE2">
              <w:rPr>
                <w:rFonts w:ascii="Times New Roman" w:hAnsi="Times New Roman" w:cs="Times New Roman"/>
                <w:lang w:val="ru-RU"/>
              </w:rPr>
              <w:t xml:space="preserve">За помещения, които не са защитени със спинклер система; прегради между помещения с ниска пожароопасност и външни сборни пунктове съответстват на тип </w:t>
            </w:r>
            <w:r w:rsidRPr="00F06DE2">
              <w:rPr>
                <w:rFonts w:ascii="Times New Roman" w:hAnsi="Times New Roman" w:cs="Times New Roman"/>
              </w:rPr>
              <w:t>B</w:t>
            </w:r>
            <w:r w:rsidRPr="00F06DE2">
              <w:rPr>
                <w:rFonts w:ascii="Times New Roman" w:hAnsi="Times New Roman" w:cs="Times New Roman"/>
                <w:lang w:val="ru-RU"/>
              </w:rPr>
              <w:t xml:space="preserve">15. Във всички останали случаи те трябва да отговарят на тип </w:t>
            </w:r>
            <w:r w:rsidRPr="00F06DE2">
              <w:rPr>
                <w:rFonts w:ascii="Times New Roman" w:hAnsi="Times New Roman" w:cs="Times New Roman"/>
              </w:rPr>
              <w:t>A</w:t>
            </w:r>
            <w:r w:rsidRPr="00F06DE2">
              <w:rPr>
                <w:rFonts w:ascii="Times New Roman" w:hAnsi="Times New Roman" w:cs="Times New Roman"/>
                <w:lang w:val="ru-RU"/>
              </w:rPr>
              <w:t>30.</w:t>
            </w:r>
          </w:p>
          <w:p w14:paraId="72AE039E" w14:textId="77777777" w:rsidR="00271FA2" w:rsidRPr="00F06DE2" w:rsidRDefault="00D35E51">
            <w:pPr>
              <w:pStyle w:val="ESlet"/>
              <w:spacing w:before="0"/>
              <w:ind w:left="720"/>
              <w:jc w:val="both"/>
              <w:rPr>
                <w:rFonts w:ascii="Times New Roman" w:hAnsi="Times New Roman" w:cs="Times New Roman"/>
                <w:lang w:val="ru-RU"/>
              </w:rPr>
            </w:pPr>
            <w:r w:rsidRPr="00F06DE2">
              <w:rPr>
                <w:rFonts w:ascii="Times New Roman" w:hAnsi="Times New Roman" w:cs="Times New Roman"/>
                <w:lang w:val="ru-RU"/>
              </w:rPr>
              <w:t xml:space="preserve">За помещения, които са защитени от спринклерна система с вода под налягане; прегради между помещения с ниска опасност от пожар и вътрешните сборни пунктове съответстват на тип </w:t>
            </w:r>
            <w:r w:rsidRPr="00F06DE2">
              <w:rPr>
                <w:rFonts w:ascii="Times New Roman" w:hAnsi="Times New Roman" w:cs="Times New Roman"/>
              </w:rPr>
              <w:t>A</w:t>
            </w:r>
            <w:r w:rsidRPr="00F06DE2">
              <w:rPr>
                <w:rFonts w:ascii="Times New Roman" w:hAnsi="Times New Roman" w:cs="Times New Roman"/>
                <w:lang w:val="ru-RU"/>
              </w:rPr>
              <w:t xml:space="preserve">30, а външните сборни пунктове само на тип </w:t>
            </w:r>
            <w:r w:rsidRPr="00F06DE2">
              <w:rPr>
                <w:rFonts w:ascii="Times New Roman" w:hAnsi="Times New Roman" w:cs="Times New Roman"/>
              </w:rPr>
              <w:t>B</w:t>
            </w:r>
            <w:r w:rsidRPr="00F06DE2">
              <w:rPr>
                <w:rFonts w:ascii="Times New Roman" w:hAnsi="Times New Roman" w:cs="Times New Roman"/>
                <w:lang w:val="ru-RU"/>
              </w:rPr>
              <w:t xml:space="preserve">15. Във всички други случаи трябва да отговарят на тип </w:t>
            </w:r>
            <w:r w:rsidRPr="00F06DE2">
              <w:rPr>
                <w:rFonts w:ascii="Times New Roman" w:hAnsi="Times New Roman" w:cs="Times New Roman"/>
              </w:rPr>
              <w:t>A</w:t>
            </w:r>
            <w:r w:rsidRPr="00F06DE2">
              <w:rPr>
                <w:rFonts w:ascii="Times New Roman" w:hAnsi="Times New Roman" w:cs="Times New Roman"/>
                <w:lang w:val="ru-RU"/>
              </w:rPr>
              <w:t>0.</w:t>
            </w:r>
          </w:p>
          <w:p w14:paraId="18CDB9F7" w14:textId="13CC2873" w:rsidR="00271FA2" w:rsidRPr="00F06DE2" w:rsidRDefault="00D35E51">
            <w:pPr>
              <w:pStyle w:val="ESlet"/>
              <w:numPr>
                <w:ilvl w:val="0"/>
                <w:numId w:val="24"/>
              </w:numPr>
              <w:spacing w:before="0"/>
              <w:jc w:val="both"/>
              <w:rPr>
                <w:rFonts w:ascii="Times New Roman" w:hAnsi="Times New Roman" w:cs="Times New Roman"/>
                <w:lang w:val="ru-RU"/>
              </w:rPr>
            </w:pPr>
            <w:r w:rsidRPr="00F06DE2">
              <w:rPr>
                <w:rFonts w:ascii="Times New Roman" w:hAnsi="Times New Roman" w:cs="Times New Roman"/>
                <w:lang w:val="ru-RU"/>
              </w:rPr>
              <w:t xml:space="preserve">Разделителните стени между помещенията за настаняване или пътническите </w:t>
            </w:r>
            <w:r w:rsidR="000002F7" w:rsidRPr="00F06DE2">
              <w:rPr>
                <w:rFonts w:ascii="Times New Roman" w:hAnsi="Times New Roman" w:cs="Times New Roman"/>
                <w:lang w:val="ru-RU"/>
              </w:rPr>
              <w:t>помещения</w:t>
            </w:r>
            <w:r w:rsidRPr="00F06DE2">
              <w:rPr>
                <w:rFonts w:ascii="Times New Roman" w:hAnsi="Times New Roman" w:cs="Times New Roman"/>
                <w:lang w:val="ru-RU"/>
              </w:rPr>
              <w:t xml:space="preserve"> трябва да съответстват само на тип </w:t>
            </w:r>
            <w:r w:rsidRPr="00F06DE2">
              <w:rPr>
                <w:rFonts w:ascii="Times New Roman" w:hAnsi="Times New Roman" w:cs="Times New Roman"/>
              </w:rPr>
              <w:t>A</w:t>
            </w:r>
            <w:r w:rsidRPr="00F06DE2">
              <w:rPr>
                <w:rFonts w:ascii="Times New Roman" w:hAnsi="Times New Roman" w:cs="Times New Roman"/>
                <w:lang w:val="ru-RU"/>
              </w:rPr>
              <w:t>0.</w:t>
            </w:r>
          </w:p>
          <w:p w14:paraId="2763EC0F" w14:textId="77777777" w:rsidR="00271FA2" w:rsidRPr="00F06DE2" w:rsidRDefault="00D35E51">
            <w:pPr>
              <w:pStyle w:val="ESlet"/>
              <w:numPr>
                <w:ilvl w:val="0"/>
                <w:numId w:val="24"/>
              </w:numPr>
              <w:spacing w:before="0"/>
              <w:jc w:val="both"/>
              <w:rPr>
                <w:rFonts w:ascii="Times New Roman" w:hAnsi="Times New Roman" w:cs="Times New Roman"/>
                <w:lang w:val="ru-RU"/>
              </w:rPr>
            </w:pPr>
            <w:r w:rsidRPr="00F06DE2">
              <w:rPr>
                <w:rFonts w:ascii="Times New Roman" w:hAnsi="Times New Roman" w:cs="Times New Roman"/>
                <w:lang w:val="ru-RU"/>
              </w:rPr>
              <w:t xml:space="preserve">Преградите между машинните отделения трябва да отговарят на тип А0, с изключение на помещенията съгласно членове 19.07 и 19.10, точка 6, които трябва да отговаря на </w:t>
            </w:r>
            <w:r w:rsidRPr="00F06DE2">
              <w:rPr>
                <w:rFonts w:ascii="Times New Roman" w:hAnsi="Times New Roman" w:cs="Times New Roman"/>
              </w:rPr>
              <w:t>A</w:t>
            </w:r>
            <w:r w:rsidRPr="00F06DE2">
              <w:rPr>
                <w:rFonts w:ascii="Times New Roman" w:hAnsi="Times New Roman" w:cs="Times New Roman"/>
                <w:lang w:val="ru-RU"/>
              </w:rPr>
              <w:t xml:space="preserve">60. Във всички останали случаи те трябва да отговарят на тип </w:t>
            </w:r>
            <w:r w:rsidRPr="00F06DE2">
              <w:rPr>
                <w:rFonts w:ascii="Times New Roman" w:hAnsi="Times New Roman" w:cs="Times New Roman"/>
              </w:rPr>
              <w:t>A</w:t>
            </w:r>
            <w:r w:rsidRPr="00F06DE2">
              <w:rPr>
                <w:rFonts w:ascii="Times New Roman" w:hAnsi="Times New Roman" w:cs="Times New Roman"/>
                <w:lang w:val="ru-RU"/>
              </w:rPr>
              <w:t>60.</w:t>
            </w:r>
          </w:p>
          <w:p w14:paraId="3F63BF2F" w14:textId="77777777" w:rsidR="00271FA2" w:rsidRPr="00F06DE2" w:rsidRDefault="00D35E51">
            <w:pPr>
              <w:pStyle w:val="ESlet"/>
              <w:numPr>
                <w:ilvl w:val="0"/>
                <w:numId w:val="24"/>
              </w:numPr>
              <w:spacing w:before="0"/>
              <w:jc w:val="both"/>
              <w:rPr>
                <w:rFonts w:ascii="Times New Roman" w:hAnsi="Times New Roman" w:cs="Times New Roman"/>
                <w:lang w:val="ru-RU"/>
              </w:rPr>
            </w:pPr>
            <w:r w:rsidRPr="00F06DE2">
              <w:rPr>
                <w:rFonts w:ascii="Times New Roman" w:hAnsi="Times New Roman" w:cs="Times New Roman"/>
                <w:lang w:val="ru-RU"/>
              </w:rPr>
              <w:t xml:space="preserve">Разделителните стени между помещенията с умерен риск от пожар и сборните зони трябва да съответстват на тип </w:t>
            </w:r>
            <w:r w:rsidRPr="00F06DE2">
              <w:rPr>
                <w:rFonts w:ascii="Times New Roman" w:hAnsi="Times New Roman" w:cs="Times New Roman"/>
              </w:rPr>
              <w:t>A</w:t>
            </w:r>
            <w:r w:rsidRPr="00F06DE2">
              <w:rPr>
                <w:rFonts w:ascii="Times New Roman" w:hAnsi="Times New Roman" w:cs="Times New Roman"/>
                <w:lang w:val="ru-RU"/>
              </w:rPr>
              <w:t>30.</w:t>
            </w:r>
          </w:p>
          <w:p w14:paraId="70AA4FB4" w14:textId="77777777" w:rsidR="00271FA2" w:rsidRPr="00F06DE2" w:rsidRDefault="00D35E51">
            <w:pPr>
              <w:pStyle w:val="ESlet"/>
              <w:numPr>
                <w:ilvl w:val="0"/>
                <w:numId w:val="24"/>
              </w:numPr>
              <w:spacing w:before="0"/>
              <w:jc w:val="both"/>
              <w:rPr>
                <w:rFonts w:ascii="Times New Roman" w:hAnsi="Times New Roman" w:cs="Times New Roman"/>
                <w:lang w:val="ru-RU"/>
              </w:rPr>
            </w:pPr>
            <w:r w:rsidRPr="00F06DE2">
              <w:rPr>
                <w:rFonts w:ascii="Times New Roman" w:hAnsi="Times New Roman" w:cs="Times New Roman"/>
                <w:lang w:val="ru-RU"/>
              </w:rPr>
              <w:t>Не се изисква преграда между камбузите и съседните помещения за хранителни складове, при условие че външният периметър на камбузите включително складовете, отговаря на изискванията за камбузи.</w:t>
            </w:r>
          </w:p>
          <w:p w14:paraId="50C0A03B" w14:textId="77777777" w:rsidR="00271FA2" w:rsidRPr="00F06DE2" w:rsidRDefault="00D35E51">
            <w:pPr>
              <w:pStyle w:val="ESlet"/>
              <w:numPr>
                <w:ilvl w:val="0"/>
                <w:numId w:val="24"/>
              </w:numPr>
              <w:spacing w:before="0"/>
              <w:jc w:val="both"/>
              <w:rPr>
                <w:rFonts w:ascii="Times New Roman" w:hAnsi="Times New Roman" w:cs="Times New Roman"/>
                <w:lang w:val="ru-RU"/>
              </w:rPr>
            </w:pPr>
            <w:r w:rsidRPr="00F06DE2">
              <w:rPr>
                <w:rFonts w:ascii="Times New Roman" w:hAnsi="Times New Roman" w:cs="Times New Roman"/>
                <w:lang w:val="ru-RU"/>
              </w:rPr>
              <w:t>Когато съседни помещения имат еднакво предназначение, не е необходимо преградите да отговарят на изискванията на тази таблица (например; преградата между два склада).</w:t>
            </w:r>
          </w:p>
          <w:p w14:paraId="08CFCA62" w14:textId="1A386CFE" w:rsidR="00B22B30" w:rsidRPr="00F06DE2" w:rsidRDefault="00B22B30" w:rsidP="00B22B30">
            <w:pPr>
              <w:pStyle w:val="ESlet"/>
              <w:ind w:left="360"/>
              <w:jc w:val="both"/>
              <w:rPr>
                <w:rFonts w:ascii="Times New Roman" w:hAnsi="Times New Roman" w:cs="Times New Roman"/>
                <w:lang w:val="ru-RU"/>
              </w:rPr>
            </w:pPr>
            <w:r w:rsidRPr="00F06DE2">
              <w:rPr>
                <w:rFonts w:ascii="Times New Roman" w:hAnsi="Times New Roman" w:cs="Times New Roman"/>
                <w:vertAlign w:val="superscript"/>
                <w:lang w:val="ru-RU"/>
              </w:rPr>
              <w:t>8)</w:t>
            </w:r>
            <w:r w:rsidRPr="00F06DE2">
              <w:rPr>
                <w:rFonts w:ascii="Times New Roman" w:hAnsi="Times New Roman" w:cs="Times New Roman"/>
                <w:lang w:val="ru-RU"/>
              </w:rPr>
              <w:t xml:space="preserve"> Когато съседните технически помещения имат </w:t>
            </w:r>
            <w:r w:rsidR="00512B76" w:rsidRPr="00F06DE2">
              <w:rPr>
                <w:rFonts w:ascii="Times New Roman" w:hAnsi="Times New Roman" w:cs="Times New Roman"/>
                <w:lang w:val="ru-RU"/>
              </w:rPr>
              <w:t xml:space="preserve"> </w:t>
            </w:r>
            <w:r w:rsidR="00353963" w:rsidRPr="00F06DE2">
              <w:rPr>
                <w:rFonts w:ascii="Times New Roman" w:hAnsi="Times New Roman" w:cs="Times New Roman"/>
                <w:lang w:val="ru-RU"/>
              </w:rPr>
              <w:t>едно и също предназначение</w:t>
            </w:r>
            <w:r w:rsidRPr="00F06DE2">
              <w:rPr>
                <w:rFonts w:ascii="Times New Roman" w:hAnsi="Times New Roman" w:cs="Times New Roman"/>
                <w:lang w:val="ru-RU"/>
              </w:rPr>
              <w:t>, не е необходимо преградите, направени от материал, различен от стомана, да отговарят на изискванията на тази таблица, но се изисква димонепроницаемо разделение от незапалим или ограничаващ пожара материал.</w:t>
            </w:r>
          </w:p>
          <w:p w14:paraId="2693C800" w14:textId="570580E3" w:rsidR="00B22B30" w:rsidRPr="00F06DE2" w:rsidRDefault="00B22B30" w:rsidP="00A65909">
            <w:pPr>
              <w:pStyle w:val="ESlet"/>
              <w:spacing w:before="0"/>
              <w:ind w:left="360"/>
              <w:jc w:val="both"/>
              <w:rPr>
                <w:rFonts w:ascii="Times New Roman" w:hAnsi="Times New Roman" w:cs="Times New Roman"/>
                <w:lang w:val="ru-RU"/>
              </w:rPr>
            </w:pPr>
            <w:r w:rsidRPr="00F06DE2">
              <w:rPr>
                <w:rFonts w:ascii="Times New Roman" w:hAnsi="Times New Roman" w:cs="Times New Roman"/>
                <w:vertAlign w:val="superscript"/>
                <w:lang w:val="ru-RU"/>
              </w:rPr>
              <w:t>9)</w:t>
            </w:r>
            <w:r w:rsidRPr="00F06DE2">
              <w:rPr>
                <w:rFonts w:ascii="Times New Roman" w:hAnsi="Times New Roman" w:cs="Times New Roman"/>
                <w:lang w:val="ru-RU"/>
              </w:rPr>
              <w:t xml:space="preserve"> Преградите между помещенията, </w:t>
            </w:r>
            <w:r w:rsidR="00A65909" w:rsidRPr="00F06DE2">
              <w:rPr>
                <w:rFonts w:ascii="Times New Roman" w:hAnsi="Times New Roman" w:cs="Times New Roman"/>
                <w:lang w:val="ru-RU"/>
              </w:rPr>
              <w:t>в които има</w:t>
            </w:r>
            <w:r w:rsidRPr="00F06DE2">
              <w:rPr>
                <w:rFonts w:ascii="Times New Roman" w:hAnsi="Times New Roman" w:cs="Times New Roman"/>
                <w:lang w:val="ru-RU"/>
              </w:rPr>
              <w:t xml:space="preserve"> помпи, превключващи механизми и клапани на противопожарни системи, посочени в член 13.05,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14, буква </w:t>
            </w:r>
            <w:r w:rsidR="00FB0BBA" w:rsidRPr="00F06DE2">
              <w:rPr>
                <w:rFonts w:ascii="Times New Roman" w:hAnsi="Times New Roman" w:cs="Times New Roman"/>
                <w:lang w:val="ru-RU"/>
              </w:rPr>
              <w:t>“</w:t>
            </w:r>
            <w:r w:rsidRPr="00F06DE2">
              <w:rPr>
                <w:rFonts w:ascii="Times New Roman" w:hAnsi="Times New Roman" w:cs="Times New Roman"/>
                <w:lang w:val="ru-RU"/>
              </w:rPr>
              <w:t>в</w:t>
            </w:r>
            <w:r w:rsidR="00FB0BBA" w:rsidRPr="00F06DE2">
              <w:rPr>
                <w:rFonts w:ascii="Times New Roman" w:hAnsi="Times New Roman" w:cs="Times New Roman"/>
                <w:lang w:val="ru-RU"/>
              </w:rPr>
              <w:t>”</w:t>
            </w:r>
            <w:r w:rsidRPr="00F06DE2">
              <w:rPr>
                <w:rFonts w:ascii="Times New Roman" w:hAnsi="Times New Roman" w:cs="Times New Roman"/>
                <w:lang w:val="ru-RU"/>
              </w:rPr>
              <w:t xml:space="preserve">), и съседните помещения трябва да отговарят най-малко на тип </w:t>
            </w:r>
            <w:r w:rsidRPr="00F06DE2">
              <w:rPr>
                <w:rFonts w:ascii="Times New Roman" w:hAnsi="Times New Roman" w:cs="Times New Roman"/>
              </w:rPr>
              <w:t>A</w:t>
            </w:r>
            <w:r w:rsidRPr="00F06DE2">
              <w:rPr>
                <w:rFonts w:ascii="Times New Roman" w:hAnsi="Times New Roman" w:cs="Times New Roman"/>
                <w:lang w:val="ru-RU"/>
              </w:rPr>
              <w:t>30.</w:t>
            </w:r>
          </w:p>
        </w:tc>
      </w:tr>
    </w:tbl>
    <w:p w14:paraId="73002F4F" w14:textId="77777777" w:rsidR="00271FA2" w:rsidRPr="00F06DE2" w:rsidRDefault="00271FA2">
      <w:pPr>
        <w:pStyle w:val="ESlet"/>
        <w:spacing w:before="0"/>
        <w:ind w:left="0"/>
        <w:jc w:val="both"/>
        <w:rPr>
          <w:rFonts w:ascii="Times New Roman" w:hAnsi="Times New Roman" w:cs="Times New Roman"/>
          <w:lang w:val="ru-RU"/>
        </w:rPr>
      </w:pPr>
    </w:p>
    <w:p w14:paraId="22440F7E" w14:textId="092E6C19" w:rsidR="004E0F03" w:rsidRPr="00F06DE2" w:rsidRDefault="004E0F03" w:rsidP="00C6187E">
      <w:pPr>
        <w:ind w:left="567"/>
        <w:rPr>
          <w:rFonts w:ascii="Times New Roman" w:eastAsia="Calibri" w:hAnsi="Times New Roman" w:cs="Times New Roman"/>
          <w:lang w:val="ru-RU"/>
        </w:rPr>
      </w:pPr>
      <w:r w:rsidRPr="00F06DE2">
        <w:rPr>
          <w:rFonts w:ascii="Times New Roman" w:eastAsia="Calibri" w:hAnsi="Times New Roman" w:cs="Times New Roman"/>
          <w:lang w:val="ru-RU"/>
        </w:rPr>
        <w:t xml:space="preserve">вв) За прегради, изработени от материал, различен от стомана, преградите от тип </w:t>
      </w:r>
      <w:r w:rsidRPr="00F06DE2">
        <w:rPr>
          <w:rFonts w:ascii="Times New Roman" w:eastAsia="Calibri" w:hAnsi="Times New Roman" w:cs="Times New Roman"/>
        </w:rPr>
        <w:t>A</w:t>
      </w:r>
      <w:r w:rsidRPr="00F06DE2">
        <w:rPr>
          <w:rFonts w:ascii="Times New Roman" w:eastAsia="Calibri" w:hAnsi="Times New Roman" w:cs="Times New Roman"/>
          <w:lang w:val="ru-RU"/>
        </w:rPr>
        <w:t xml:space="preserve"> и тип </w:t>
      </w:r>
      <w:r w:rsidRPr="00F06DE2">
        <w:rPr>
          <w:rFonts w:ascii="Times New Roman" w:eastAsia="Calibri" w:hAnsi="Times New Roman" w:cs="Times New Roman"/>
        </w:rPr>
        <w:t>B</w:t>
      </w:r>
      <w:r w:rsidRPr="00F06DE2">
        <w:rPr>
          <w:rFonts w:ascii="Times New Roman" w:eastAsia="Calibri" w:hAnsi="Times New Roman" w:cs="Times New Roman"/>
          <w:lang w:val="ru-RU"/>
        </w:rPr>
        <w:t xml:space="preserve"> могат да бъдат заменени </w:t>
      </w:r>
      <w:r w:rsidR="003B44D4" w:rsidRPr="00F06DE2">
        <w:rPr>
          <w:rFonts w:ascii="Times New Roman" w:eastAsia="Calibri" w:hAnsi="Times New Roman" w:cs="Times New Roman"/>
          <w:lang w:val="ru-RU"/>
        </w:rPr>
        <w:t xml:space="preserve">с </w:t>
      </w:r>
      <w:r w:rsidRPr="00F06DE2">
        <w:rPr>
          <w:rFonts w:ascii="Times New Roman" w:eastAsia="Calibri" w:hAnsi="Times New Roman" w:cs="Times New Roman"/>
          <w:lang w:val="ru-RU"/>
        </w:rPr>
        <w:t xml:space="preserve"> прегради, осигуряващи следните характеристики:</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45"/>
        <w:gridCol w:w="2645"/>
        <w:gridCol w:w="2643"/>
      </w:tblGrid>
      <w:tr w:rsidR="004E0F03" w:rsidRPr="00F06DE2" w14:paraId="0BFE6F7E" w14:textId="77777777" w:rsidTr="00C6187E">
        <w:trPr>
          <w:trHeight w:val="719"/>
          <w:jc w:val="center"/>
        </w:trPr>
        <w:tc>
          <w:tcPr>
            <w:tcW w:w="2645" w:type="dxa"/>
          </w:tcPr>
          <w:p w14:paraId="281329BE" w14:textId="77777777" w:rsidR="004E0F03" w:rsidRPr="00F06DE2" w:rsidRDefault="004E0F03" w:rsidP="004E0F03">
            <w:pPr>
              <w:widowControl w:val="0"/>
              <w:autoSpaceDE w:val="0"/>
              <w:autoSpaceDN w:val="0"/>
              <w:spacing w:before="9"/>
              <w:ind w:left="17" w:right="4"/>
              <w:jc w:val="center"/>
              <w:rPr>
                <w:rFonts w:ascii="Times New Roman" w:eastAsia="Arial MT" w:hAnsi="Times New Roman" w:cs="Times New Roman"/>
                <w:lang w:val="ru-RU"/>
              </w:rPr>
            </w:pPr>
            <w:r w:rsidRPr="00F06DE2">
              <w:rPr>
                <w:rFonts w:ascii="Times New Roman" w:eastAsia="Arial MT" w:hAnsi="Times New Roman" w:cs="Times New Roman"/>
                <w:color w:val="000000"/>
                <w:lang w:val="ru-RU"/>
              </w:rPr>
              <w:t xml:space="preserve">Тип </w:t>
            </w:r>
            <w:r w:rsidRPr="00F06DE2">
              <w:rPr>
                <w:rFonts w:ascii="Times New Roman" w:eastAsia="Arial MT" w:hAnsi="Times New Roman" w:cs="Times New Roman"/>
                <w:color w:val="000000"/>
              </w:rPr>
              <w:t>A</w:t>
            </w:r>
            <w:r w:rsidRPr="00F06DE2">
              <w:rPr>
                <w:rFonts w:ascii="Times New Roman" w:eastAsia="Arial MT" w:hAnsi="Times New Roman" w:cs="Times New Roman"/>
                <w:color w:val="000000"/>
                <w:lang w:val="ru-RU"/>
              </w:rPr>
              <w:t xml:space="preserve"> / Тип </w:t>
            </w:r>
            <w:r w:rsidRPr="00F06DE2">
              <w:rPr>
                <w:rFonts w:ascii="Times New Roman" w:eastAsia="Arial MT" w:hAnsi="Times New Roman" w:cs="Times New Roman"/>
                <w:color w:val="000000"/>
              </w:rPr>
              <w:t>B</w:t>
            </w:r>
            <w:r w:rsidRPr="00F06DE2">
              <w:rPr>
                <w:rFonts w:ascii="Times New Roman" w:eastAsia="Arial MT" w:hAnsi="Times New Roman" w:cs="Times New Roman"/>
                <w:color w:val="000000"/>
                <w:lang w:val="ru-RU"/>
              </w:rPr>
              <w:t xml:space="preserve"> преграда</w:t>
            </w:r>
          </w:p>
        </w:tc>
        <w:tc>
          <w:tcPr>
            <w:tcW w:w="2645" w:type="dxa"/>
          </w:tcPr>
          <w:p w14:paraId="0235371E" w14:textId="77777777" w:rsidR="004E0F03" w:rsidRPr="00F06DE2" w:rsidRDefault="004E0F03" w:rsidP="004E0F03">
            <w:pPr>
              <w:widowControl w:val="0"/>
              <w:autoSpaceDE w:val="0"/>
              <w:autoSpaceDN w:val="0"/>
              <w:spacing w:before="9" w:line="249" w:lineRule="auto"/>
              <w:ind w:left="345" w:hanging="53"/>
              <w:rPr>
                <w:rFonts w:ascii="Times New Roman" w:eastAsia="Arial MT" w:hAnsi="Times New Roman" w:cs="Times New Roman"/>
                <w:lang w:val="ru-RU"/>
              </w:rPr>
            </w:pPr>
            <w:r w:rsidRPr="00F06DE2">
              <w:rPr>
                <w:rFonts w:ascii="Times New Roman" w:eastAsia="Arial MT" w:hAnsi="Times New Roman" w:cs="Times New Roman"/>
                <w:color w:val="000000"/>
                <w:lang w:val="ru-RU"/>
              </w:rPr>
              <w:t>Предаване на дим и пламъци за минути</w:t>
            </w:r>
          </w:p>
        </w:tc>
        <w:tc>
          <w:tcPr>
            <w:tcW w:w="2643" w:type="dxa"/>
          </w:tcPr>
          <w:p w14:paraId="4E902C40" w14:textId="1C526074" w:rsidR="004E0F03" w:rsidRPr="00F06DE2" w:rsidRDefault="004E0F03" w:rsidP="005650C2">
            <w:pPr>
              <w:widowControl w:val="0"/>
              <w:autoSpaceDE w:val="0"/>
              <w:autoSpaceDN w:val="0"/>
              <w:spacing w:line="240" w:lineRule="exact"/>
              <w:ind w:left="18" w:right="4"/>
              <w:jc w:val="center"/>
              <w:rPr>
                <w:rFonts w:ascii="Times New Roman" w:eastAsia="Arial MT" w:hAnsi="Times New Roman" w:cs="Times New Roman"/>
                <w:lang w:val="ru-RU"/>
              </w:rPr>
            </w:pPr>
            <w:r w:rsidRPr="00F06DE2">
              <w:rPr>
                <w:rFonts w:ascii="Times New Roman" w:eastAsia="Arial MT" w:hAnsi="Times New Roman" w:cs="Times New Roman"/>
                <w:color w:val="000000"/>
                <w:lang w:val="ru-RU"/>
              </w:rPr>
              <w:t>Стойност на изолацията в минути (съгласно член 19.11</w:t>
            </w:r>
            <w:r w:rsidR="005650C2" w:rsidRPr="00F06DE2">
              <w:rPr>
                <w:rFonts w:ascii="Times New Roman" w:eastAsia="Arial MT" w:hAnsi="Times New Roman" w:cs="Times New Roman"/>
                <w:color w:val="000000"/>
                <w:lang w:val="ru-RU"/>
              </w:rPr>
              <w:t>т.</w:t>
            </w:r>
            <w:r w:rsidRPr="00F06DE2">
              <w:rPr>
                <w:rFonts w:ascii="Times New Roman" w:eastAsia="Arial MT" w:hAnsi="Times New Roman" w:cs="Times New Roman"/>
                <w:color w:val="000000"/>
                <w:lang w:val="ru-RU"/>
              </w:rPr>
              <w:t>2</w:t>
            </w:r>
            <w:r w:rsidR="005650C2" w:rsidRPr="00F06DE2">
              <w:rPr>
                <w:rFonts w:ascii="Times New Roman" w:eastAsia="Arial MT" w:hAnsi="Times New Roman" w:cs="Times New Roman"/>
                <w:color w:val="000000"/>
                <w:lang w:val="ru-RU"/>
              </w:rPr>
              <w:t>, буква”</w:t>
            </w:r>
            <w:r w:rsidRPr="00F06DE2">
              <w:rPr>
                <w:rFonts w:ascii="Times New Roman" w:eastAsia="Arial MT" w:hAnsi="Times New Roman" w:cs="Times New Roman"/>
                <w:color w:val="000000"/>
                <w:lang w:val="ru-RU"/>
              </w:rPr>
              <w:t>г</w:t>
            </w:r>
            <w:r w:rsidR="005650C2" w:rsidRPr="00F06DE2">
              <w:rPr>
                <w:rFonts w:ascii="Times New Roman" w:eastAsia="Arial MT" w:hAnsi="Times New Roman" w:cs="Times New Roman"/>
                <w:color w:val="000000"/>
                <w:lang w:val="ru-RU"/>
              </w:rPr>
              <w:t>”, подбуква“</w:t>
            </w:r>
            <w:r w:rsidRPr="00F06DE2">
              <w:rPr>
                <w:rFonts w:ascii="Times New Roman" w:eastAsia="Arial MT" w:hAnsi="Times New Roman" w:cs="Times New Roman"/>
                <w:color w:val="000000"/>
                <w:lang w:val="ru-RU"/>
              </w:rPr>
              <w:t>вв</w:t>
            </w:r>
            <w:r w:rsidR="005650C2" w:rsidRPr="00F06DE2">
              <w:rPr>
                <w:rFonts w:ascii="Times New Roman" w:eastAsia="Arial MT" w:hAnsi="Times New Roman" w:cs="Times New Roman"/>
                <w:color w:val="000000"/>
                <w:lang w:val="ru-RU"/>
              </w:rPr>
              <w:t>“</w:t>
            </w:r>
            <w:r w:rsidRPr="00F06DE2">
              <w:rPr>
                <w:rFonts w:ascii="Times New Roman" w:eastAsia="Arial MT" w:hAnsi="Times New Roman" w:cs="Times New Roman"/>
                <w:color w:val="000000"/>
                <w:lang w:val="ru-RU"/>
              </w:rPr>
              <w:t>)</w:t>
            </w:r>
          </w:p>
        </w:tc>
      </w:tr>
      <w:tr w:rsidR="004E0F03" w:rsidRPr="00F06DE2" w14:paraId="67EEB988" w14:textId="77777777" w:rsidTr="00C6187E">
        <w:trPr>
          <w:trHeight w:val="238"/>
          <w:jc w:val="center"/>
        </w:trPr>
        <w:tc>
          <w:tcPr>
            <w:tcW w:w="2645" w:type="dxa"/>
          </w:tcPr>
          <w:p w14:paraId="3B07EFE4" w14:textId="77777777" w:rsidR="004E0F03" w:rsidRPr="00F06DE2" w:rsidRDefault="004E0F03" w:rsidP="004E0F03">
            <w:pPr>
              <w:widowControl w:val="0"/>
              <w:autoSpaceDE w:val="0"/>
              <w:autoSpaceDN w:val="0"/>
              <w:spacing w:before="8" w:line="210" w:lineRule="exact"/>
              <w:ind w:left="17"/>
              <w:jc w:val="center"/>
              <w:rPr>
                <w:rFonts w:ascii="Times New Roman" w:eastAsia="Arial MT" w:hAnsi="Times New Roman" w:cs="Times New Roman"/>
              </w:rPr>
            </w:pPr>
            <w:r w:rsidRPr="00F06DE2">
              <w:rPr>
                <w:rFonts w:ascii="Times New Roman" w:eastAsia="Arial MT" w:hAnsi="Times New Roman" w:cs="Times New Roman"/>
                <w:color w:val="000000"/>
                <w:spacing w:val="-5"/>
              </w:rPr>
              <w:t>B0</w:t>
            </w:r>
          </w:p>
        </w:tc>
        <w:tc>
          <w:tcPr>
            <w:tcW w:w="2645" w:type="dxa"/>
          </w:tcPr>
          <w:p w14:paraId="3A8AE3BB" w14:textId="77777777" w:rsidR="004E0F03" w:rsidRPr="00F06DE2" w:rsidRDefault="004E0F03" w:rsidP="004E0F03">
            <w:pPr>
              <w:widowControl w:val="0"/>
              <w:autoSpaceDE w:val="0"/>
              <w:autoSpaceDN w:val="0"/>
              <w:spacing w:before="8" w:line="210" w:lineRule="exact"/>
              <w:ind w:left="17" w:right="7"/>
              <w:jc w:val="center"/>
              <w:rPr>
                <w:rFonts w:ascii="Times New Roman" w:eastAsia="Arial MT" w:hAnsi="Times New Roman" w:cs="Times New Roman"/>
              </w:rPr>
            </w:pPr>
            <w:r w:rsidRPr="00F06DE2">
              <w:rPr>
                <w:rFonts w:ascii="Times New Roman" w:eastAsia="Arial MT" w:hAnsi="Times New Roman" w:cs="Times New Roman"/>
                <w:color w:val="000000"/>
                <w:spacing w:val="-5"/>
              </w:rPr>
              <w:t>30</w:t>
            </w:r>
          </w:p>
        </w:tc>
        <w:tc>
          <w:tcPr>
            <w:tcW w:w="2643" w:type="dxa"/>
          </w:tcPr>
          <w:p w14:paraId="7D4F57F8" w14:textId="77777777" w:rsidR="004E0F03" w:rsidRPr="00F06DE2" w:rsidRDefault="004E0F03" w:rsidP="004E0F03">
            <w:pPr>
              <w:widowControl w:val="0"/>
              <w:autoSpaceDE w:val="0"/>
              <w:autoSpaceDN w:val="0"/>
              <w:spacing w:before="8" w:line="210" w:lineRule="exact"/>
              <w:ind w:left="18"/>
              <w:jc w:val="center"/>
              <w:rPr>
                <w:rFonts w:ascii="Times New Roman" w:eastAsia="Arial MT" w:hAnsi="Times New Roman" w:cs="Times New Roman"/>
              </w:rPr>
            </w:pPr>
            <w:r w:rsidRPr="00F06DE2">
              <w:rPr>
                <w:rFonts w:ascii="Times New Roman" w:eastAsia="Arial MT" w:hAnsi="Times New Roman" w:cs="Times New Roman"/>
                <w:color w:val="000000"/>
                <w:spacing w:val="-10"/>
              </w:rPr>
              <w:t>0</w:t>
            </w:r>
          </w:p>
        </w:tc>
      </w:tr>
      <w:tr w:rsidR="004E0F03" w:rsidRPr="00F06DE2" w14:paraId="71198137" w14:textId="77777777" w:rsidTr="00C6187E">
        <w:trPr>
          <w:trHeight w:val="241"/>
          <w:jc w:val="center"/>
        </w:trPr>
        <w:tc>
          <w:tcPr>
            <w:tcW w:w="2645" w:type="dxa"/>
          </w:tcPr>
          <w:p w14:paraId="4C507ABC" w14:textId="77777777" w:rsidR="004E0F03" w:rsidRPr="00F06DE2" w:rsidRDefault="004E0F03" w:rsidP="004E0F03">
            <w:pPr>
              <w:widowControl w:val="0"/>
              <w:autoSpaceDE w:val="0"/>
              <w:autoSpaceDN w:val="0"/>
              <w:spacing w:before="11" w:line="210" w:lineRule="exact"/>
              <w:ind w:left="17"/>
              <w:jc w:val="center"/>
              <w:rPr>
                <w:rFonts w:ascii="Times New Roman" w:eastAsia="Arial MT" w:hAnsi="Times New Roman" w:cs="Times New Roman"/>
              </w:rPr>
            </w:pPr>
            <w:r w:rsidRPr="00F06DE2">
              <w:rPr>
                <w:rFonts w:ascii="Times New Roman" w:eastAsia="Arial MT" w:hAnsi="Times New Roman" w:cs="Times New Roman"/>
                <w:color w:val="000000"/>
                <w:spacing w:val="-5"/>
              </w:rPr>
              <w:lastRenderedPageBreak/>
              <w:t>B15</w:t>
            </w:r>
          </w:p>
        </w:tc>
        <w:tc>
          <w:tcPr>
            <w:tcW w:w="2645" w:type="dxa"/>
          </w:tcPr>
          <w:p w14:paraId="46816074" w14:textId="77777777" w:rsidR="004E0F03" w:rsidRPr="00F06DE2" w:rsidRDefault="004E0F03" w:rsidP="004E0F03">
            <w:pPr>
              <w:widowControl w:val="0"/>
              <w:autoSpaceDE w:val="0"/>
              <w:autoSpaceDN w:val="0"/>
              <w:spacing w:before="11" w:line="210" w:lineRule="exact"/>
              <w:ind w:left="17" w:right="7"/>
              <w:jc w:val="center"/>
              <w:rPr>
                <w:rFonts w:ascii="Times New Roman" w:eastAsia="Arial MT" w:hAnsi="Times New Roman" w:cs="Times New Roman"/>
              </w:rPr>
            </w:pPr>
            <w:r w:rsidRPr="00F06DE2">
              <w:rPr>
                <w:rFonts w:ascii="Times New Roman" w:eastAsia="Arial MT" w:hAnsi="Times New Roman" w:cs="Times New Roman"/>
                <w:color w:val="000000"/>
                <w:spacing w:val="-5"/>
              </w:rPr>
              <w:t>30</w:t>
            </w:r>
          </w:p>
        </w:tc>
        <w:tc>
          <w:tcPr>
            <w:tcW w:w="2643" w:type="dxa"/>
          </w:tcPr>
          <w:p w14:paraId="6C5E1A07" w14:textId="77777777" w:rsidR="004E0F03" w:rsidRPr="00F06DE2" w:rsidRDefault="004E0F03" w:rsidP="004E0F03">
            <w:pPr>
              <w:widowControl w:val="0"/>
              <w:autoSpaceDE w:val="0"/>
              <w:autoSpaceDN w:val="0"/>
              <w:spacing w:before="11" w:line="210" w:lineRule="exact"/>
              <w:ind w:left="18" w:right="5"/>
              <w:jc w:val="center"/>
              <w:rPr>
                <w:rFonts w:ascii="Times New Roman" w:eastAsia="Arial MT" w:hAnsi="Times New Roman" w:cs="Times New Roman"/>
              </w:rPr>
            </w:pPr>
            <w:r w:rsidRPr="00F06DE2">
              <w:rPr>
                <w:rFonts w:ascii="Times New Roman" w:eastAsia="Arial MT" w:hAnsi="Times New Roman" w:cs="Times New Roman"/>
                <w:color w:val="000000"/>
                <w:spacing w:val="-5"/>
              </w:rPr>
              <w:t>15</w:t>
            </w:r>
          </w:p>
        </w:tc>
      </w:tr>
      <w:tr w:rsidR="004E0F03" w:rsidRPr="00F06DE2" w14:paraId="2088AEA6" w14:textId="77777777" w:rsidTr="00C6187E">
        <w:trPr>
          <w:trHeight w:val="239"/>
          <w:jc w:val="center"/>
        </w:trPr>
        <w:tc>
          <w:tcPr>
            <w:tcW w:w="2645" w:type="dxa"/>
          </w:tcPr>
          <w:p w14:paraId="7A7F12CA" w14:textId="77777777" w:rsidR="004E0F03" w:rsidRPr="00F06DE2" w:rsidRDefault="004E0F03" w:rsidP="004E0F03">
            <w:pPr>
              <w:widowControl w:val="0"/>
              <w:autoSpaceDE w:val="0"/>
              <w:autoSpaceDN w:val="0"/>
              <w:spacing w:before="9" w:line="210" w:lineRule="exact"/>
              <w:ind w:left="17"/>
              <w:jc w:val="center"/>
              <w:rPr>
                <w:rFonts w:ascii="Times New Roman" w:eastAsia="Arial MT" w:hAnsi="Times New Roman" w:cs="Times New Roman"/>
              </w:rPr>
            </w:pPr>
            <w:r w:rsidRPr="00F06DE2">
              <w:rPr>
                <w:rFonts w:ascii="Times New Roman" w:eastAsia="Arial MT" w:hAnsi="Times New Roman" w:cs="Times New Roman"/>
                <w:color w:val="000000"/>
                <w:spacing w:val="-5"/>
              </w:rPr>
              <w:t>A0</w:t>
            </w:r>
          </w:p>
        </w:tc>
        <w:tc>
          <w:tcPr>
            <w:tcW w:w="2645" w:type="dxa"/>
          </w:tcPr>
          <w:p w14:paraId="7800BA4D" w14:textId="77777777" w:rsidR="004E0F03" w:rsidRPr="00F06DE2" w:rsidRDefault="004E0F03" w:rsidP="004E0F03">
            <w:pPr>
              <w:widowControl w:val="0"/>
              <w:autoSpaceDE w:val="0"/>
              <w:autoSpaceDN w:val="0"/>
              <w:spacing w:before="9" w:line="210" w:lineRule="exact"/>
              <w:ind w:left="17" w:right="7"/>
              <w:jc w:val="center"/>
              <w:rPr>
                <w:rFonts w:ascii="Times New Roman" w:eastAsia="Arial MT" w:hAnsi="Times New Roman" w:cs="Times New Roman"/>
              </w:rPr>
            </w:pPr>
            <w:r w:rsidRPr="00F06DE2">
              <w:rPr>
                <w:rFonts w:ascii="Times New Roman" w:eastAsia="Arial MT" w:hAnsi="Times New Roman" w:cs="Times New Roman"/>
                <w:color w:val="000000"/>
                <w:spacing w:val="-5"/>
              </w:rPr>
              <w:t>60</w:t>
            </w:r>
          </w:p>
        </w:tc>
        <w:tc>
          <w:tcPr>
            <w:tcW w:w="2643" w:type="dxa"/>
          </w:tcPr>
          <w:p w14:paraId="4EF823F8" w14:textId="77777777" w:rsidR="004E0F03" w:rsidRPr="00F06DE2" w:rsidRDefault="004E0F03" w:rsidP="004E0F03">
            <w:pPr>
              <w:widowControl w:val="0"/>
              <w:autoSpaceDE w:val="0"/>
              <w:autoSpaceDN w:val="0"/>
              <w:spacing w:before="9" w:line="210" w:lineRule="exact"/>
              <w:ind w:left="18"/>
              <w:jc w:val="center"/>
              <w:rPr>
                <w:rFonts w:ascii="Times New Roman" w:eastAsia="Arial MT" w:hAnsi="Times New Roman" w:cs="Times New Roman"/>
              </w:rPr>
            </w:pPr>
            <w:r w:rsidRPr="00F06DE2">
              <w:rPr>
                <w:rFonts w:ascii="Times New Roman" w:eastAsia="Arial MT" w:hAnsi="Times New Roman" w:cs="Times New Roman"/>
                <w:color w:val="000000"/>
                <w:spacing w:val="-10"/>
              </w:rPr>
              <w:t>0</w:t>
            </w:r>
          </w:p>
        </w:tc>
      </w:tr>
      <w:tr w:rsidR="004E0F03" w:rsidRPr="00F06DE2" w14:paraId="31811C4E" w14:textId="77777777" w:rsidTr="00C6187E">
        <w:trPr>
          <w:trHeight w:val="239"/>
          <w:jc w:val="center"/>
        </w:trPr>
        <w:tc>
          <w:tcPr>
            <w:tcW w:w="2645" w:type="dxa"/>
          </w:tcPr>
          <w:p w14:paraId="36A0C9B5" w14:textId="77777777" w:rsidR="004E0F03" w:rsidRPr="00F06DE2" w:rsidRDefault="004E0F03" w:rsidP="004E0F03">
            <w:pPr>
              <w:widowControl w:val="0"/>
              <w:autoSpaceDE w:val="0"/>
              <w:autoSpaceDN w:val="0"/>
              <w:spacing w:before="9" w:line="210" w:lineRule="exact"/>
              <w:ind w:left="17"/>
              <w:jc w:val="center"/>
              <w:rPr>
                <w:rFonts w:ascii="Times New Roman" w:eastAsia="Arial MT" w:hAnsi="Times New Roman" w:cs="Times New Roman"/>
              </w:rPr>
            </w:pPr>
            <w:r w:rsidRPr="00F06DE2">
              <w:rPr>
                <w:rFonts w:ascii="Times New Roman" w:eastAsia="Arial MT" w:hAnsi="Times New Roman" w:cs="Times New Roman"/>
                <w:color w:val="000000"/>
                <w:spacing w:val="-5"/>
              </w:rPr>
              <w:t>A30</w:t>
            </w:r>
          </w:p>
        </w:tc>
        <w:tc>
          <w:tcPr>
            <w:tcW w:w="2645" w:type="dxa"/>
          </w:tcPr>
          <w:p w14:paraId="5166EF75" w14:textId="77777777" w:rsidR="004E0F03" w:rsidRPr="00F06DE2" w:rsidRDefault="004E0F03" w:rsidP="004E0F03">
            <w:pPr>
              <w:widowControl w:val="0"/>
              <w:autoSpaceDE w:val="0"/>
              <w:autoSpaceDN w:val="0"/>
              <w:spacing w:before="9" w:line="210" w:lineRule="exact"/>
              <w:ind w:left="17" w:right="7"/>
              <w:jc w:val="center"/>
              <w:rPr>
                <w:rFonts w:ascii="Times New Roman" w:eastAsia="Arial MT" w:hAnsi="Times New Roman" w:cs="Times New Roman"/>
              </w:rPr>
            </w:pPr>
            <w:r w:rsidRPr="00F06DE2">
              <w:rPr>
                <w:rFonts w:ascii="Times New Roman" w:eastAsia="Arial MT" w:hAnsi="Times New Roman" w:cs="Times New Roman"/>
                <w:color w:val="000000"/>
                <w:spacing w:val="-5"/>
              </w:rPr>
              <w:t>60</w:t>
            </w:r>
          </w:p>
        </w:tc>
        <w:tc>
          <w:tcPr>
            <w:tcW w:w="2643" w:type="dxa"/>
          </w:tcPr>
          <w:p w14:paraId="74FD3903" w14:textId="77777777" w:rsidR="004E0F03" w:rsidRPr="00F06DE2" w:rsidRDefault="004E0F03" w:rsidP="004E0F03">
            <w:pPr>
              <w:widowControl w:val="0"/>
              <w:autoSpaceDE w:val="0"/>
              <w:autoSpaceDN w:val="0"/>
              <w:spacing w:before="9" w:line="210" w:lineRule="exact"/>
              <w:ind w:left="18" w:right="5"/>
              <w:jc w:val="center"/>
              <w:rPr>
                <w:rFonts w:ascii="Times New Roman" w:eastAsia="Arial MT" w:hAnsi="Times New Roman" w:cs="Times New Roman"/>
              </w:rPr>
            </w:pPr>
            <w:r w:rsidRPr="00F06DE2">
              <w:rPr>
                <w:rFonts w:ascii="Times New Roman" w:eastAsia="Arial MT" w:hAnsi="Times New Roman" w:cs="Times New Roman"/>
                <w:color w:val="000000"/>
                <w:spacing w:val="-5"/>
              </w:rPr>
              <w:t>30</w:t>
            </w:r>
          </w:p>
        </w:tc>
      </w:tr>
      <w:tr w:rsidR="004E0F03" w:rsidRPr="00F06DE2" w14:paraId="17A21618" w14:textId="77777777" w:rsidTr="00C6187E">
        <w:trPr>
          <w:trHeight w:val="241"/>
          <w:jc w:val="center"/>
        </w:trPr>
        <w:tc>
          <w:tcPr>
            <w:tcW w:w="2645" w:type="dxa"/>
          </w:tcPr>
          <w:p w14:paraId="4127ABAF" w14:textId="77777777" w:rsidR="004E0F03" w:rsidRPr="00F06DE2" w:rsidRDefault="004E0F03" w:rsidP="004E0F03">
            <w:pPr>
              <w:widowControl w:val="0"/>
              <w:autoSpaceDE w:val="0"/>
              <w:autoSpaceDN w:val="0"/>
              <w:spacing w:before="11" w:line="210" w:lineRule="exact"/>
              <w:ind w:left="17"/>
              <w:jc w:val="center"/>
              <w:rPr>
                <w:rFonts w:ascii="Times New Roman" w:eastAsia="Arial MT" w:hAnsi="Times New Roman" w:cs="Times New Roman"/>
              </w:rPr>
            </w:pPr>
            <w:r w:rsidRPr="00F06DE2">
              <w:rPr>
                <w:rFonts w:ascii="Times New Roman" w:eastAsia="Arial MT" w:hAnsi="Times New Roman" w:cs="Times New Roman"/>
                <w:color w:val="000000"/>
                <w:spacing w:val="-5"/>
              </w:rPr>
              <w:t>A60</w:t>
            </w:r>
          </w:p>
        </w:tc>
        <w:tc>
          <w:tcPr>
            <w:tcW w:w="2645" w:type="dxa"/>
          </w:tcPr>
          <w:p w14:paraId="29F24020" w14:textId="77777777" w:rsidR="004E0F03" w:rsidRPr="00F06DE2" w:rsidRDefault="004E0F03" w:rsidP="004E0F03">
            <w:pPr>
              <w:widowControl w:val="0"/>
              <w:autoSpaceDE w:val="0"/>
              <w:autoSpaceDN w:val="0"/>
              <w:spacing w:before="11" w:line="210" w:lineRule="exact"/>
              <w:ind w:left="17" w:right="7"/>
              <w:jc w:val="center"/>
              <w:rPr>
                <w:rFonts w:ascii="Times New Roman" w:eastAsia="Arial MT" w:hAnsi="Times New Roman" w:cs="Times New Roman"/>
              </w:rPr>
            </w:pPr>
            <w:r w:rsidRPr="00F06DE2">
              <w:rPr>
                <w:rFonts w:ascii="Times New Roman" w:eastAsia="Arial MT" w:hAnsi="Times New Roman" w:cs="Times New Roman"/>
                <w:color w:val="000000"/>
                <w:spacing w:val="-5"/>
              </w:rPr>
              <w:t>60</w:t>
            </w:r>
          </w:p>
        </w:tc>
        <w:tc>
          <w:tcPr>
            <w:tcW w:w="2643" w:type="dxa"/>
          </w:tcPr>
          <w:p w14:paraId="4D92E683" w14:textId="77777777" w:rsidR="004E0F03" w:rsidRPr="00F06DE2" w:rsidRDefault="004E0F03" w:rsidP="004E0F03">
            <w:pPr>
              <w:widowControl w:val="0"/>
              <w:autoSpaceDE w:val="0"/>
              <w:autoSpaceDN w:val="0"/>
              <w:spacing w:before="11" w:line="210" w:lineRule="exact"/>
              <w:ind w:left="18" w:right="5"/>
              <w:jc w:val="center"/>
              <w:rPr>
                <w:rFonts w:ascii="Times New Roman" w:eastAsia="Arial MT" w:hAnsi="Times New Roman" w:cs="Times New Roman"/>
              </w:rPr>
            </w:pPr>
            <w:r w:rsidRPr="00F06DE2">
              <w:rPr>
                <w:rFonts w:ascii="Times New Roman" w:eastAsia="Arial MT" w:hAnsi="Times New Roman" w:cs="Times New Roman"/>
                <w:color w:val="000000"/>
                <w:spacing w:val="-5"/>
              </w:rPr>
              <w:t>60</w:t>
            </w:r>
          </w:p>
        </w:tc>
      </w:tr>
    </w:tbl>
    <w:p w14:paraId="57EAF81F" w14:textId="77777777" w:rsidR="00CD133D" w:rsidRPr="00F06DE2" w:rsidRDefault="00CD133D" w:rsidP="00CD133D">
      <w:pPr>
        <w:ind w:left="567"/>
        <w:rPr>
          <w:rFonts w:ascii="Times New Roman" w:eastAsia="Calibri" w:hAnsi="Times New Roman" w:cs="Times New Roman"/>
        </w:rPr>
      </w:pPr>
    </w:p>
    <w:p w14:paraId="40365CC7" w14:textId="1C16450B" w:rsidR="004E0F03" w:rsidRPr="00F06DE2" w:rsidRDefault="004E0F03" w:rsidP="00C6187E">
      <w:pPr>
        <w:ind w:left="567"/>
        <w:jc w:val="both"/>
        <w:rPr>
          <w:rFonts w:ascii="Times New Roman" w:eastAsia="Calibri" w:hAnsi="Times New Roman" w:cs="Times New Roman"/>
          <w:lang w:val="ru-RU"/>
        </w:rPr>
      </w:pPr>
      <w:r w:rsidRPr="00F06DE2">
        <w:rPr>
          <w:rFonts w:ascii="Times New Roman" w:eastAsia="Calibri" w:hAnsi="Times New Roman" w:cs="Times New Roman"/>
          <w:lang w:val="ru-RU"/>
        </w:rPr>
        <w:t xml:space="preserve">Пригодността на противопожарната защита на тези прегради се установява съгласно член 19.11, </w:t>
      </w:r>
      <w:r w:rsidR="0097711D" w:rsidRPr="00F06DE2">
        <w:rPr>
          <w:rFonts w:ascii="Times New Roman" w:eastAsia="Calibri" w:hAnsi="Times New Roman" w:cs="Times New Roman"/>
          <w:lang w:val="ru-RU"/>
        </w:rPr>
        <w:t>т.</w:t>
      </w:r>
      <w:r w:rsidR="00160202" w:rsidRPr="00F06DE2">
        <w:rPr>
          <w:rFonts w:ascii="Times New Roman" w:eastAsia="Calibri" w:hAnsi="Times New Roman" w:cs="Times New Roman"/>
          <w:lang w:val="ru-RU"/>
        </w:rPr>
        <w:t xml:space="preserve"> т.</w:t>
      </w:r>
      <w:r w:rsidRPr="00F06DE2">
        <w:rPr>
          <w:rFonts w:ascii="Times New Roman" w:eastAsia="Calibri" w:hAnsi="Times New Roman" w:cs="Times New Roman"/>
          <w:lang w:val="ru-RU"/>
        </w:rPr>
        <w:t xml:space="preserve"> 1, буква </w:t>
      </w:r>
      <w:r w:rsidR="005650C2" w:rsidRPr="00F06DE2">
        <w:rPr>
          <w:rFonts w:ascii="Times New Roman" w:eastAsia="Calibri" w:hAnsi="Times New Roman" w:cs="Times New Roman"/>
          <w:lang w:val="ru-RU"/>
        </w:rPr>
        <w:t>“</w:t>
      </w:r>
      <w:r w:rsidRPr="00F06DE2">
        <w:rPr>
          <w:rFonts w:ascii="Times New Roman" w:eastAsia="Calibri" w:hAnsi="Times New Roman" w:cs="Times New Roman"/>
          <w:lang w:val="ru-RU"/>
        </w:rPr>
        <w:t>г</w:t>
      </w:r>
      <w:r w:rsidR="005650C2" w:rsidRPr="00F06DE2">
        <w:rPr>
          <w:rFonts w:ascii="Times New Roman" w:eastAsia="Calibri" w:hAnsi="Times New Roman" w:cs="Times New Roman"/>
          <w:lang w:val="ru-RU"/>
        </w:rPr>
        <w:t>“</w:t>
      </w:r>
      <w:r w:rsidRPr="00F06DE2">
        <w:rPr>
          <w:rFonts w:ascii="Times New Roman" w:eastAsia="Calibri" w:hAnsi="Times New Roman" w:cs="Times New Roman"/>
          <w:lang w:val="ru-RU"/>
        </w:rPr>
        <w:t>, като огънят е от страната на помещенията и зоните с голям риск от пожар, висок риск от пожар и умерен риск от пожар.</w:t>
      </w:r>
    </w:p>
    <w:p w14:paraId="009211C4" w14:textId="77777777" w:rsidR="004E0F03" w:rsidRPr="00F06DE2" w:rsidRDefault="004E0F03" w:rsidP="00C6187E">
      <w:pPr>
        <w:pStyle w:val="ESlet"/>
        <w:spacing w:before="0"/>
        <w:ind w:left="567"/>
        <w:jc w:val="both"/>
        <w:rPr>
          <w:rFonts w:ascii="Times New Roman" w:hAnsi="Times New Roman" w:cs="Times New Roman"/>
          <w:lang w:val="ru-RU"/>
        </w:rPr>
      </w:pPr>
    </w:p>
    <w:p w14:paraId="7EC04D03"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преградните стени от тип А са прегради, стени и палуби, които отговарят на следните изисквания:</w:t>
      </w:r>
    </w:p>
    <w:p w14:paraId="325770DD"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aa) изработени са от стомана или от друг равностоен материал;</w:t>
      </w:r>
    </w:p>
    <w:p w14:paraId="5F91AE91"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бб) усилени са по подходящ начин;</w:t>
      </w:r>
    </w:p>
    <w:p w14:paraId="72E2DA2C"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вв) изолирани са с одобрен негорим материал по такъв начин, че средната температура на страната, обратна на огъня, да не достига повече от 140 °С над първоначалната температура, и в никоя точка, включително във фугите при съединенията, температурата да не достига повече от 180 °С над първоначалната температура за следните интервали от време:</w:t>
      </w:r>
    </w:p>
    <w:p w14:paraId="03D8C09A" w14:textId="665F3C2E" w:rsidR="00271FA2" w:rsidRPr="00F06DE2" w:rsidRDefault="00C6187E" w:rsidP="00C6187E">
      <w:pPr>
        <w:pStyle w:val="EStiretpar"/>
        <w:tabs>
          <w:tab w:val="decimal" w:pos="2835"/>
          <w:tab w:val="left" w:pos="2977"/>
        </w:tabs>
        <w:spacing w:before="0"/>
        <w:ind w:left="567" w:hanging="424"/>
        <w:jc w:val="both"/>
        <w:rPr>
          <w:rFonts w:ascii="Times New Roman" w:eastAsia="Calibri" w:hAnsi="Times New Roman" w:cs="Times New Roman"/>
          <w:lang w:val="ru-RU"/>
        </w:rPr>
      </w:pPr>
      <w:r w:rsidRPr="00F06DE2">
        <w:rPr>
          <w:rFonts w:ascii="Times New Roman" w:hAnsi="Times New Roman" w:cs="Times New Roman"/>
          <w:lang w:val="ru-RU"/>
        </w:rPr>
        <w:tab/>
      </w:r>
      <w:r w:rsidR="00D35E51" w:rsidRPr="00F06DE2">
        <w:rPr>
          <w:rFonts w:ascii="Times New Roman" w:hAnsi="Times New Roman" w:cs="Times New Roman"/>
          <w:lang w:val="ru-RU"/>
        </w:rPr>
        <w:t xml:space="preserve">Тип </w:t>
      </w:r>
      <w:r w:rsidR="00D35E51" w:rsidRPr="00F06DE2">
        <w:rPr>
          <w:rFonts w:ascii="Times New Roman" w:hAnsi="Times New Roman" w:cs="Times New Roman"/>
        </w:rPr>
        <w:t>A</w:t>
      </w:r>
      <w:r w:rsidR="00D35E51" w:rsidRPr="00F06DE2">
        <w:rPr>
          <w:rFonts w:ascii="Times New Roman" w:hAnsi="Times New Roman" w:cs="Times New Roman"/>
          <w:lang w:val="ru-RU"/>
        </w:rPr>
        <w:t xml:space="preserve">60 </w:t>
      </w:r>
      <w:r w:rsidR="00D35E51" w:rsidRPr="00F06DE2">
        <w:rPr>
          <w:rFonts w:ascii="Times New Roman" w:hAnsi="Times New Roman" w:cs="Times New Roman"/>
          <w:lang w:val="ru-RU"/>
        </w:rPr>
        <w:tab/>
        <w:t>60</w:t>
      </w:r>
      <w:r w:rsidR="00D35E51" w:rsidRPr="00F06DE2">
        <w:rPr>
          <w:rFonts w:ascii="Times New Roman" w:hAnsi="Times New Roman" w:cs="Times New Roman"/>
          <w:lang w:val="ru-RU"/>
        </w:rPr>
        <w:tab/>
        <w:t>минути</w:t>
      </w:r>
    </w:p>
    <w:p w14:paraId="2D6175BD" w14:textId="4FC4952D" w:rsidR="00271FA2" w:rsidRPr="00F06DE2" w:rsidRDefault="00C6187E" w:rsidP="00C6187E">
      <w:pPr>
        <w:pStyle w:val="EStiretpar"/>
        <w:tabs>
          <w:tab w:val="decimal" w:pos="2835"/>
          <w:tab w:val="left" w:pos="2977"/>
        </w:tabs>
        <w:spacing w:before="0"/>
        <w:ind w:left="567" w:hanging="424"/>
        <w:jc w:val="both"/>
        <w:rPr>
          <w:rFonts w:ascii="Times New Roman" w:eastAsia="Calibri" w:hAnsi="Times New Roman" w:cs="Times New Roman"/>
          <w:lang w:val="ru-RU"/>
        </w:rPr>
      </w:pPr>
      <w:r w:rsidRPr="00F06DE2">
        <w:rPr>
          <w:rFonts w:ascii="Times New Roman" w:hAnsi="Times New Roman" w:cs="Times New Roman"/>
          <w:lang w:val="ru-RU"/>
        </w:rPr>
        <w:tab/>
      </w:r>
      <w:r w:rsidR="00D35E51" w:rsidRPr="00F06DE2">
        <w:rPr>
          <w:rFonts w:ascii="Times New Roman" w:hAnsi="Times New Roman" w:cs="Times New Roman"/>
          <w:lang w:val="ru-RU"/>
        </w:rPr>
        <w:t xml:space="preserve">Тип </w:t>
      </w:r>
      <w:r w:rsidR="00D35E51" w:rsidRPr="00F06DE2">
        <w:rPr>
          <w:rFonts w:ascii="Times New Roman" w:hAnsi="Times New Roman" w:cs="Times New Roman"/>
        </w:rPr>
        <w:t>A</w:t>
      </w:r>
      <w:r w:rsidR="00D35E51" w:rsidRPr="00F06DE2">
        <w:rPr>
          <w:rFonts w:ascii="Times New Roman" w:hAnsi="Times New Roman" w:cs="Times New Roman"/>
          <w:lang w:val="ru-RU"/>
        </w:rPr>
        <w:t>30</w:t>
      </w:r>
      <w:r w:rsidR="00D35E51" w:rsidRPr="00F06DE2">
        <w:rPr>
          <w:rFonts w:ascii="Times New Roman" w:hAnsi="Times New Roman" w:cs="Times New Roman"/>
          <w:lang w:val="ru-RU"/>
        </w:rPr>
        <w:tab/>
        <w:t>30</w:t>
      </w:r>
      <w:r w:rsidR="00D35E51" w:rsidRPr="00F06DE2">
        <w:rPr>
          <w:rFonts w:ascii="Times New Roman" w:hAnsi="Times New Roman" w:cs="Times New Roman"/>
          <w:lang w:val="ru-RU"/>
        </w:rPr>
        <w:tab/>
        <w:t>минути</w:t>
      </w:r>
    </w:p>
    <w:p w14:paraId="0EEEAA6E" w14:textId="4AE4EF80" w:rsidR="00271FA2" w:rsidRPr="00F06DE2" w:rsidRDefault="00C6187E" w:rsidP="00C6187E">
      <w:pPr>
        <w:pStyle w:val="EStiretpar"/>
        <w:tabs>
          <w:tab w:val="decimal" w:pos="2835"/>
          <w:tab w:val="left" w:pos="2977"/>
        </w:tabs>
        <w:spacing w:before="0"/>
        <w:ind w:left="567" w:hanging="424"/>
        <w:rPr>
          <w:rFonts w:ascii="Times New Roman" w:eastAsia="Calibri" w:hAnsi="Times New Roman" w:cs="Times New Roman"/>
          <w:lang w:val="ru-RU"/>
        </w:rPr>
      </w:pPr>
      <w:r w:rsidRPr="00F06DE2">
        <w:rPr>
          <w:rFonts w:ascii="Times New Roman" w:hAnsi="Times New Roman" w:cs="Times New Roman"/>
          <w:lang w:val="ru-RU"/>
        </w:rPr>
        <w:tab/>
      </w:r>
      <w:r w:rsidR="00D35E51" w:rsidRPr="00F06DE2">
        <w:rPr>
          <w:rFonts w:ascii="Times New Roman" w:hAnsi="Times New Roman" w:cs="Times New Roman"/>
          <w:lang w:val="ru-RU"/>
        </w:rPr>
        <w:t xml:space="preserve">Тип </w:t>
      </w:r>
      <w:r w:rsidR="00D35E51" w:rsidRPr="00F06DE2">
        <w:rPr>
          <w:rFonts w:ascii="Times New Roman" w:hAnsi="Times New Roman" w:cs="Times New Roman"/>
        </w:rPr>
        <w:t>A</w:t>
      </w:r>
      <w:r w:rsidR="00D35E51" w:rsidRPr="00F06DE2">
        <w:rPr>
          <w:rFonts w:ascii="Times New Roman" w:hAnsi="Times New Roman" w:cs="Times New Roman"/>
          <w:lang w:val="ru-RU"/>
        </w:rPr>
        <w:t xml:space="preserve">0 </w:t>
      </w:r>
      <w:r w:rsidR="00D35E51" w:rsidRPr="00F06DE2">
        <w:rPr>
          <w:rFonts w:ascii="Times New Roman" w:hAnsi="Times New Roman" w:cs="Times New Roman"/>
          <w:lang w:val="ru-RU"/>
        </w:rPr>
        <w:tab/>
        <w:t>0</w:t>
      </w:r>
      <w:r w:rsidR="00D35E51" w:rsidRPr="00F06DE2">
        <w:rPr>
          <w:rFonts w:ascii="Times New Roman" w:hAnsi="Times New Roman" w:cs="Times New Roman"/>
          <w:lang w:val="ru-RU"/>
        </w:rPr>
        <w:tab/>
        <w:t>минути;</w:t>
      </w:r>
    </w:p>
    <w:p w14:paraId="750CFE79" w14:textId="1D637F14"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гг) изградени са по такъв начин, че да не допускат преминаване на дим и пламъци до края на </w:t>
      </w:r>
      <w:r w:rsidR="001169AF" w:rsidRPr="00F06DE2">
        <w:rPr>
          <w:rFonts w:ascii="Times New Roman" w:hAnsi="Times New Roman" w:cs="Times New Roman"/>
          <w:lang w:val="ru-RU"/>
        </w:rPr>
        <w:t xml:space="preserve"> </w:t>
      </w:r>
      <w:r w:rsidR="00805566" w:rsidRPr="00F06DE2">
        <w:rPr>
          <w:rFonts w:ascii="Times New Roman" w:hAnsi="Times New Roman" w:cs="Times New Roman"/>
          <w:lang w:val="ru-RU"/>
        </w:rPr>
        <w:t>е</w:t>
      </w:r>
      <w:r w:rsidR="008B2752" w:rsidRPr="00F06DE2">
        <w:rPr>
          <w:rFonts w:ascii="Times New Roman" w:hAnsi="Times New Roman" w:cs="Times New Roman"/>
          <w:lang w:val="ru-RU"/>
        </w:rPr>
        <w:t>д</w:t>
      </w:r>
      <w:r w:rsidR="00805566" w:rsidRPr="00F06DE2">
        <w:rPr>
          <w:rFonts w:ascii="Times New Roman" w:hAnsi="Times New Roman" w:cs="Times New Roman"/>
          <w:lang w:val="ru-RU"/>
        </w:rPr>
        <w:t>ночасовия стандартен тест за пожарна безопастност</w:t>
      </w:r>
      <w:r w:rsidRPr="00F06DE2">
        <w:rPr>
          <w:rFonts w:ascii="Times New Roman" w:hAnsi="Times New Roman" w:cs="Times New Roman"/>
          <w:lang w:val="ru-RU"/>
        </w:rPr>
        <w:t>;</w:t>
      </w:r>
    </w:p>
    <w:p w14:paraId="0E8B50DC"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преградните стени от тип В са прегради, стени, палуби, тавани и облицовки, които отговарят на следните изисквания:</w:t>
      </w:r>
    </w:p>
    <w:p w14:paraId="11A9C6CA"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aa) изработени са от одобрен негорим материал. Освен това всички материали, използвани при изработката и сглобяването на преградните стени са негорими, освен облицовката, която трябва да е поне забавяща горенето;</w:t>
      </w:r>
    </w:p>
    <w:p w14:paraId="393BF612"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бб) имат такава изолационна стойност, че средната температура на страната, обратна на огъня, не достига повече от 140 °С над първоначалната температура, и в никоя точка, включително във фугите при съединенията, температурата не достига повече от 225 °С над първоначалната температура за следните интервали от време:</w:t>
      </w:r>
    </w:p>
    <w:p w14:paraId="4C5BDD57" w14:textId="76F4A024" w:rsidR="00271FA2" w:rsidRPr="00F06DE2" w:rsidRDefault="00C6187E" w:rsidP="00C6187E">
      <w:pPr>
        <w:pStyle w:val="EStiretpar"/>
        <w:tabs>
          <w:tab w:val="decimal" w:pos="2835"/>
          <w:tab w:val="left" w:pos="2977"/>
        </w:tabs>
        <w:spacing w:before="0"/>
        <w:ind w:left="567" w:hanging="849"/>
        <w:jc w:val="both"/>
        <w:rPr>
          <w:rFonts w:ascii="Times New Roman" w:eastAsia="Calibri" w:hAnsi="Times New Roman" w:cs="Times New Roman"/>
          <w:lang w:val="ru-RU"/>
        </w:rPr>
      </w:pPr>
      <w:r w:rsidRPr="00F06DE2">
        <w:rPr>
          <w:rFonts w:ascii="Times New Roman" w:hAnsi="Times New Roman" w:cs="Times New Roman"/>
          <w:lang w:val="ru-RU"/>
        </w:rPr>
        <w:tab/>
      </w:r>
      <w:r w:rsidR="00D35E51" w:rsidRPr="00F06DE2">
        <w:rPr>
          <w:rFonts w:ascii="Times New Roman" w:hAnsi="Times New Roman" w:cs="Times New Roman"/>
          <w:lang w:val="ru-RU"/>
        </w:rPr>
        <w:t xml:space="preserve">Тип </w:t>
      </w:r>
      <w:r w:rsidR="00D35E51" w:rsidRPr="00F06DE2">
        <w:rPr>
          <w:rFonts w:ascii="Times New Roman" w:hAnsi="Times New Roman" w:cs="Times New Roman"/>
        </w:rPr>
        <w:t>B</w:t>
      </w:r>
      <w:r w:rsidR="00D35E51" w:rsidRPr="00F06DE2">
        <w:rPr>
          <w:rFonts w:ascii="Times New Roman" w:hAnsi="Times New Roman" w:cs="Times New Roman"/>
          <w:lang w:val="ru-RU"/>
        </w:rPr>
        <w:t xml:space="preserve">15 </w:t>
      </w:r>
      <w:r w:rsidR="00D35E51" w:rsidRPr="00F06DE2">
        <w:rPr>
          <w:rFonts w:ascii="Times New Roman" w:hAnsi="Times New Roman" w:cs="Times New Roman"/>
          <w:lang w:val="ru-RU"/>
        </w:rPr>
        <w:tab/>
        <w:t>15</w:t>
      </w:r>
      <w:r w:rsidR="00D35E51" w:rsidRPr="00F06DE2">
        <w:rPr>
          <w:rFonts w:ascii="Times New Roman" w:hAnsi="Times New Roman" w:cs="Times New Roman"/>
          <w:lang w:val="ru-RU"/>
        </w:rPr>
        <w:tab/>
        <w:t>минути</w:t>
      </w:r>
    </w:p>
    <w:p w14:paraId="7B473369" w14:textId="487760E4" w:rsidR="00271FA2" w:rsidRPr="00F06DE2" w:rsidRDefault="00C6187E" w:rsidP="00C6187E">
      <w:pPr>
        <w:pStyle w:val="EStiretpar"/>
        <w:tabs>
          <w:tab w:val="decimal" w:pos="2835"/>
          <w:tab w:val="left" w:pos="2977"/>
        </w:tabs>
        <w:spacing w:before="0"/>
        <w:ind w:left="567" w:hanging="849"/>
        <w:jc w:val="both"/>
        <w:rPr>
          <w:rFonts w:ascii="Times New Roman" w:eastAsia="Calibri" w:hAnsi="Times New Roman" w:cs="Times New Roman"/>
          <w:lang w:val="ru-RU"/>
        </w:rPr>
      </w:pPr>
      <w:r w:rsidRPr="00F06DE2">
        <w:rPr>
          <w:rFonts w:ascii="Times New Roman" w:hAnsi="Times New Roman" w:cs="Times New Roman"/>
          <w:lang w:val="ru-RU"/>
        </w:rPr>
        <w:tab/>
      </w:r>
      <w:r w:rsidR="00D35E51" w:rsidRPr="00F06DE2">
        <w:rPr>
          <w:rFonts w:ascii="Times New Roman" w:hAnsi="Times New Roman" w:cs="Times New Roman"/>
          <w:lang w:val="ru-RU"/>
        </w:rPr>
        <w:t xml:space="preserve">Тип </w:t>
      </w:r>
      <w:r w:rsidR="00D35E51" w:rsidRPr="00F06DE2">
        <w:rPr>
          <w:rFonts w:ascii="Times New Roman" w:hAnsi="Times New Roman" w:cs="Times New Roman"/>
        </w:rPr>
        <w:t>B</w:t>
      </w:r>
      <w:r w:rsidR="00D35E51" w:rsidRPr="00F06DE2">
        <w:rPr>
          <w:rFonts w:ascii="Times New Roman" w:hAnsi="Times New Roman" w:cs="Times New Roman"/>
          <w:lang w:val="ru-RU"/>
        </w:rPr>
        <w:t xml:space="preserve">0 </w:t>
      </w:r>
      <w:r w:rsidR="00D35E51" w:rsidRPr="00F06DE2">
        <w:rPr>
          <w:rFonts w:ascii="Times New Roman" w:hAnsi="Times New Roman" w:cs="Times New Roman"/>
          <w:lang w:val="ru-RU"/>
        </w:rPr>
        <w:tab/>
        <w:t>0</w:t>
      </w:r>
      <w:r w:rsidR="00D35E51" w:rsidRPr="00F06DE2">
        <w:rPr>
          <w:rFonts w:ascii="Times New Roman" w:hAnsi="Times New Roman" w:cs="Times New Roman"/>
          <w:lang w:val="ru-RU"/>
        </w:rPr>
        <w:tab/>
        <w:t>минути;</w:t>
      </w:r>
    </w:p>
    <w:p w14:paraId="758C370E" w14:textId="77777777" w:rsidR="00271FA2" w:rsidRPr="00F06DE2" w:rsidRDefault="00D35E51" w:rsidP="00C6187E">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вв) изградени са по такъв начин, че да не допускат преминаване на пламъци до края на първия половин час от стандартното пожарно изпитване.</w:t>
      </w:r>
    </w:p>
    <w:p w14:paraId="1F29144A" w14:textId="77777777" w:rsidR="00B054C7" w:rsidRPr="00F06DE2" w:rsidRDefault="00B054C7" w:rsidP="00C6187E">
      <w:pPr>
        <w:ind w:left="567"/>
        <w:rPr>
          <w:rFonts w:ascii="Times New Roman" w:hAnsi="Times New Roman" w:cs="Times New Roman"/>
          <w:lang w:val="ru-RU"/>
        </w:rPr>
      </w:pPr>
      <w:r w:rsidRPr="00F06DE2">
        <w:rPr>
          <w:rFonts w:ascii="Times New Roman" w:hAnsi="Times New Roman" w:cs="Times New Roman"/>
          <w:lang w:val="ru-RU"/>
        </w:rPr>
        <w:t>г) Прегради, изработени от огнеупорни материали, са прегради, стени, палуби, тавани или облицовки, които отговарят на следните изисквания:</w:t>
      </w:r>
    </w:p>
    <w:p w14:paraId="05FC2CA2" w14:textId="4600C0B3" w:rsidR="00B054C7" w:rsidRPr="00F06DE2" w:rsidRDefault="00B054C7" w:rsidP="00C6187E">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аа) те са изработени от огнеупорен материал и са подходящо заздравени;</w:t>
      </w:r>
    </w:p>
    <w:p w14:paraId="25ED67B3" w14:textId="26DB1A20" w:rsidR="000D05E4" w:rsidRPr="00F06DE2" w:rsidRDefault="000D05E4" w:rsidP="00C6187E">
      <w:pPr>
        <w:pStyle w:val="EStiret"/>
        <w:spacing w:before="0"/>
        <w:ind w:left="567"/>
        <w:jc w:val="both"/>
        <w:rPr>
          <w:rFonts w:ascii="Times New Roman" w:hAnsi="Times New Roman" w:cs="Times New Roman"/>
          <w:lang w:val="ru-RU"/>
        </w:rPr>
      </w:pPr>
      <w:r w:rsidRPr="00F06DE2">
        <w:rPr>
          <w:rFonts w:ascii="Times New Roman" w:hAnsi="Times New Roman" w:cs="Times New Roman"/>
          <w:lang w:val="ru-RU"/>
        </w:rPr>
        <w:t>бб)</w:t>
      </w:r>
      <w:r w:rsidR="00C02C08" w:rsidRPr="00F06DE2">
        <w:rPr>
          <w:rFonts w:ascii="Times New Roman" w:hAnsi="Times New Roman" w:cs="Times New Roman"/>
          <w:lang w:val="ru-RU"/>
        </w:rPr>
        <w:t xml:space="preserve"> изработени са по начин, който предотвратява преноса на пламъци и дим съгласно член 19.11</w:t>
      </w:r>
      <w:r w:rsidR="001F339C" w:rsidRPr="00F06DE2">
        <w:rPr>
          <w:rFonts w:ascii="Times New Roman" w:hAnsi="Times New Roman" w:cs="Times New Roman"/>
          <w:lang w:val="ru-RU"/>
        </w:rPr>
        <w:t>т.</w:t>
      </w:r>
      <w:r w:rsidR="00C02C08" w:rsidRPr="00F06DE2">
        <w:rPr>
          <w:rFonts w:ascii="Times New Roman" w:hAnsi="Times New Roman" w:cs="Times New Roman"/>
          <w:lang w:val="ru-RU"/>
        </w:rPr>
        <w:t>2</w:t>
      </w:r>
      <w:r w:rsidR="00E05159" w:rsidRPr="00F06DE2">
        <w:rPr>
          <w:rFonts w:ascii="Times New Roman" w:hAnsi="Times New Roman" w:cs="Times New Roman"/>
          <w:lang w:val="ru-RU"/>
        </w:rPr>
        <w:t>,</w:t>
      </w:r>
      <w:r w:rsidR="001F339C" w:rsidRPr="00F06DE2" w:rsidDel="001F339C">
        <w:rPr>
          <w:rFonts w:ascii="Times New Roman" w:hAnsi="Times New Roman" w:cs="Times New Roman"/>
          <w:lang w:val="ru-RU"/>
        </w:rPr>
        <w:t xml:space="preserve"> </w:t>
      </w:r>
      <w:r w:rsidR="001F339C" w:rsidRPr="00F06DE2">
        <w:rPr>
          <w:rFonts w:ascii="Times New Roman" w:hAnsi="Times New Roman" w:cs="Times New Roman"/>
          <w:lang w:val="ru-RU"/>
        </w:rPr>
        <w:t>буква</w:t>
      </w:r>
      <w:r w:rsidR="002E4D47" w:rsidRPr="00F06DE2">
        <w:rPr>
          <w:rFonts w:ascii="Times New Roman" w:hAnsi="Times New Roman" w:cs="Times New Roman"/>
          <w:lang w:val="ru-RU"/>
        </w:rPr>
        <w:t>”</w:t>
      </w:r>
      <w:r w:rsidR="00C02C08" w:rsidRPr="00F06DE2">
        <w:rPr>
          <w:rFonts w:ascii="Times New Roman" w:hAnsi="Times New Roman" w:cs="Times New Roman"/>
          <w:lang w:val="ru-RU"/>
        </w:rPr>
        <w:t>б</w:t>
      </w:r>
      <w:r w:rsidR="002E4D47" w:rsidRPr="00F06DE2">
        <w:rPr>
          <w:rFonts w:ascii="Times New Roman" w:hAnsi="Times New Roman" w:cs="Times New Roman"/>
          <w:lang w:val="ru-RU"/>
        </w:rPr>
        <w:t>”</w:t>
      </w:r>
      <w:r w:rsidR="00E05159" w:rsidRPr="00F06DE2">
        <w:rPr>
          <w:rFonts w:ascii="Times New Roman" w:hAnsi="Times New Roman" w:cs="Times New Roman"/>
          <w:lang w:val="ru-RU"/>
        </w:rPr>
        <w:t xml:space="preserve">, </w:t>
      </w:r>
      <w:r w:rsidR="001F339C" w:rsidRPr="00F06DE2">
        <w:rPr>
          <w:rFonts w:ascii="Times New Roman" w:hAnsi="Times New Roman" w:cs="Times New Roman"/>
          <w:lang w:val="ru-RU"/>
        </w:rPr>
        <w:t xml:space="preserve">подбуква </w:t>
      </w:r>
      <w:r w:rsidR="0054014D" w:rsidRPr="00F06DE2">
        <w:rPr>
          <w:rFonts w:ascii="Times New Roman" w:hAnsi="Times New Roman" w:cs="Times New Roman"/>
          <w:lang w:val="ru-RU"/>
        </w:rPr>
        <w:t xml:space="preserve"> </w:t>
      </w:r>
      <w:r w:rsidR="002E4D47" w:rsidRPr="00F06DE2">
        <w:rPr>
          <w:rFonts w:ascii="Times New Roman" w:hAnsi="Times New Roman" w:cs="Times New Roman"/>
          <w:lang w:val="ru-RU"/>
        </w:rPr>
        <w:t>“</w:t>
      </w:r>
      <w:r w:rsidR="0054014D" w:rsidRPr="00F06DE2">
        <w:rPr>
          <w:rFonts w:ascii="Times New Roman" w:hAnsi="Times New Roman" w:cs="Times New Roman"/>
          <w:lang w:val="ru-RU"/>
        </w:rPr>
        <w:t>гг</w:t>
      </w:r>
      <w:r w:rsidR="002E4D47" w:rsidRPr="00F06DE2">
        <w:rPr>
          <w:rFonts w:ascii="Times New Roman" w:hAnsi="Times New Roman" w:cs="Times New Roman"/>
          <w:lang w:val="ru-RU"/>
        </w:rPr>
        <w:t>”</w:t>
      </w:r>
      <w:r w:rsidR="00C02C08" w:rsidRPr="00F06DE2">
        <w:rPr>
          <w:rFonts w:ascii="Times New Roman" w:hAnsi="Times New Roman" w:cs="Times New Roman"/>
          <w:lang w:val="ru-RU"/>
        </w:rPr>
        <w:t xml:space="preserve"> и </w:t>
      </w:r>
      <w:r w:rsidR="00415635" w:rsidRPr="00F06DE2">
        <w:rPr>
          <w:rFonts w:ascii="Times New Roman" w:hAnsi="Times New Roman" w:cs="Times New Roman"/>
          <w:lang w:val="ru-RU"/>
        </w:rPr>
        <w:t>буква</w:t>
      </w:r>
      <w:r w:rsidR="004A2BBB" w:rsidRPr="00F06DE2">
        <w:rPr>
          <w:rFonts w:ascii="Times New Roman" w:hAnsi="Times New Roman" w:cs="Times New Roman"/>
          <w:lang w:val="ru-RU"/>
        </w:rPr>
        <w:t xml:space="preserve"> </w:t>
      </w:r>
      <w:r w:rsidR="002E4D47" w:rsidRPr="00F06DE2">
        <w:rPr>
          <w:rFonts w:ascii="Times New Roman" w:hAnsi="Times New Roman" w:cs="Times New Roman"/>
          <w:lang w:val="ru-RU"/>
        </w:rPr>
        <w:t>“</w:t>
      </w:r>
      <w:r w:rsidR="00C02C08" w:rsidRPr="00F06DE2">
        <w:rPr>
          <w:rFonts w:ascii="Times New Roman" w:hAnsi="Times New Roman" w:cs="Times New Roman"/>
          <w:lang w:val="ru-RU"/>
        </w:rPr>
        <w:t>в</w:t>
      </w:r>
      <w:r w:rsidR="002E4D47" w:rsidRPr="00F06DE2">
        <w:rPr>
          <w:rFonts w:ascii="Times New Roman" w:hAnsi="Times New Roman" w:cs="Times New Roman"/>
          <w:lang w:val="ru-RU"/>
        </w:rPr>
        <w:t>”</w:t>
      </w:r>
      <w:r w:rsidR="00E05159" w:rsidRPr="00F06DE2">
        <w:rPr>
          <w:rFonts w:ascii="Times New Roman" w:hAnsi="Times New Roman" w:cs="Times New Roman"/>
          <w:lang w:val="ru-RU"/>
        </w:rPr>
        <w:t>,</w:t>
      </w:r>
      <w:r w:rsidR="00415635" w:rsidRPr="00F06DE2">
        <w:rPr>
          <w:rFonts w:ascii="Times New Roman" w:hAnsi="Times New Roman" w:cs="Times New Roman"/>
          <w:lang w:val="ru-RU"/>
        </w:rPr>
        <w:t xml:space="preserve"> подбуква</w:t>
      </w:r>
      <w:r w:rsidR="002E4D47" w:rsidRPr="00F06DE2">
        <w:rPr>
          <w:rFonts w:ascii="Times New Roman" w:hAnsi="Times New Roman" w:cs="Times New Roman"/>
          <w:lang w:val="ru-RU"/>
        </w:rPr>
        <w:t xml:space="preserve"> “</w:t>
      </w:r>
      <w:r w:rsidR="00C02C08" w:rsidRPr="00F06DE2">
        <w:rPr>
          <w:rFonts w:ascii="Times New Roman" w:hAnsi="Times New Roman" w:cs="Times New Roman"/>
          <w:lang w:val="ru-RU"/>
        </w:rPr>
        <w:t>вв</w:t>
      </w:r>
      <w:r w:rsidR="002E4D47" w:rsidRPr="00F06DE2">
        <w:rPr>
          <w:rFonts w:ascii="Times New Roman" w:hAnsi="Times New Roman" w:cs="Times New Roman"/>
          <w:lang w:val="ru-RU"/>
        </w:rPr>
        <w:t>”</w:t>
      </w:r>
      <w:r w:rsidR="00C02C08" w:rsidRPr="00F06DE2">
        <w:rPr>
          <w:rFonts w:ascii="Times New Roman" w:hAnsi="Times New Roman" w:cs="Times New Roman"/>
          <w:lang w:val="ru-RU"/>
        </w:rPr>
        <w:t xml:space="preserve">, </w:t>
      </w:r>
      <w:r w:rsidR="004A2BBB" w:rsidRPr="00F06DE2">
        <w:rPr>
          <w:rFonts w:ascii="Times New Roman" w:hAnsi="Times New Roman" w:cs="Times New Roman"/>
          <w:lang w:val="ru-RU"/>
        </w:rPr>
        <w:t xml:space="preserve"> </w:t>
      </w:r>
      <w:r w:rsidR="008E05EB" w:rsidRPr="00F06DE2">
        <w:rPr>
          <w:rFonts w:ascii="Times New Roman" w:hAnsi="Times New Roman" w:cs="Times New Roman"/>
          <w:lang w:val="ru-RU"/>
        </w:rPr>
        <w:t xml:space="preserve">както е приложимо </w:t>
      </w:r>
      <w:r w:rsidR="00C02C08" w:rsidRPr="00F06DE2">
        <w:rPr>
          <w:rFonts w:ascii="Times New Roman" w:hAnsi="Times New Roman" w:cs="Times New Roman"/>
          <w:lang w:val="ru-RU"/>
        </w:rPr>
        <w:t>;</w:t>
      </w:r>
      <w:r w:rsidR="007B47B8" w:rsidRPr="00F06DE2">
        <w:rPr>
          <w:rFonts w:ascii="Times New Roman" w:hAnsi="Times New Roman" w:cs="Times New Roman"/>
          <w:lang w:val="ru-RU"/>
        </w:rPr>
        <w:t xml:space="preserve"> </w:t>
      </w:r>
    </w:p>
    <w:p w14:paraId="3648FCD9" w14:textId="485ADB31" w:rsidR="00B054C7" w:rsidRPr="00F06DE2" w:rsidRDefault="00B054C7" w:rsidP="00C6187E">
      <w:pPr>
        <w:ind w:left="567"/>
        <w:rPr>
          <w:rFonts w:ascii="Times New Roman" w:hAnsi="Times New Roman" w:cs="Times New Roman"/>
          <w:lang w:val="ru-RU"/>
        </w:rPr>
      </w:pPr>
      <w:r w:rsidRPr="00F06DE2">
        <w:rPr>
          <w:rFonts w:ascii="Times New Roman" w:hAnsi="Times New Roman" w:cs="Times New Roman"/>
          <w:lang w:val="ru-RU"/>
        </w:rPr>
        <w:lastRenderedPageBreak/>
        <w:t xml:space="preserve">вв) демонстрират изолация съгласно член 19.11, </w:t>
      </w:r>
      <w:r w:rsidR="0097711D" w:rsidRPr="00F06DE2">
        <w:rPr>
          <w:rFonts w:ascii="Times New Roman" w:hAnsi="Times New Roman" w:cs="Times New Roman"/>
          <w:lang w:val="ru-RU"/>
        </w:rPr>
        <w:t>т.</w:t>
      </w:r>
      <w:r w:rsidRPr="00F06DE2">
        <w:rPr>
          <w:rFonts w:ascii="Times New Roman" w:hAnsi="Times New Roman" w:cs="Times New Roman"/>
          <w:lang w:val="ru-RU"/>
        </w:rPr>
        <w:t>2,</w:t>
      </w:r>
      <w:r w:rsidR="002E4D47" w:rsidRPr="00F06DE2">
        <w:rPr>
          <w:rFonts w:ascii="Times New Roman" w:hAnsi="Times New Roman" w:cs="Times New Roman"/>
          <w:lang w:val="ru-RU"/>
        </w:rPr>
        <w:t xml:space="preserve"> буква”б”, </w:t>
      </w:r>
      <w:r w:rsidRPr="00F06DE2">
        <w:rPr>
          <w:rFonts w:ascii="Times New Roman" w:hAnsi="Times New Roman" w:cs="Times New Roman"/>
          <w:lang w:val="ru-RU"/>
        </w:rPr>
        <w:t xml:space="preserve"> </w:t>
      </w:r>
      <w:r w:rsidR="002E4D47" w:rsidRPr="00F06DE2">
        <w:rPr>
          <w:rFonts w:ascii="Times New Roman" w:hAnsi="Times New Roman" w:cs="Times New Roman"/>
          <w:lang w:val="ru-RU"/>
        </w:rPr>
        <w:t xml:space="preserve">подбуква “вв”,  </w:t>
      </w:r>
      <w:r w:rsidRPr="00F06DE2">
        <w:rPr>
          <w:rFonts w:ascii="Times New Roman" w:hAnsi="Times New Roman" w:cs="Times New Roman"/>
          <w:lang w:val="ru-RU"/>
        </w:rPr>
        <w:t xml:space="preserve">и буква </w:t>
      </w:r>
      <w:r w:rsidR="002E4D47" w:rsidRPr="00F06DE2">
        <w:rPr>
          <w:rFonts w:ascii="Times New Roman" w:hAnsi="Times New Roman" w:cs="Times New Roman"/>
          <w:lang w:val="ru-RU"/>
        </w:rPr>
        <w:t>“</w:t>
      </w:r>
      <w:r w:rsidRPr="00F06DE2">
        <w:rPr>
          <w:rFonts w:ascii="Times New Roman" w:hAnsi="Times New Roman" w:cs="Times New Roman"/>
          <w:lang w:val="ru-RU"/>
        </w:rPr>
        <w:t>в</w:t>
      </w:r>
      <w:r w:rsidR="002E4D47" w:rsidRPr="00F06DE2">
        <w:rPr>
          <w:rFonts w:ascii="Times New Roman" w:hAnsi="Times New Roman" w:cs="Times New Roman"/>
          <w:lang w:val="ru-RU"/>
        </w:rPr>
        <w:t>”</w:t>
      </w:r>
      <w:r w:rsidRPr="00F06DE2">
        <w:rPr>
          <w:rFonts w:ascii="Times New Roman" w:hAnsi="Times New Roman" w:cs="Times New Roman"/>
          <w:lang w:val="ru-RU"/>
        </w:rPr>
        <w:t xml:space="preserve">, </w:t>
      </w:r>
      <w:r w:rsidR="002E4D47" w:rsidRPr="00F06DE2">
        <w:rPr>
          <w:rFonts w:ascii="Times New Roman" w:hAnsi="Times New Roman" w:cs="Times New Roman"/>
          <w:lang w:val="ru-RU"/>
        </w:rPr>
        <w:t>подбуква</w:t>
      </w:r>
      <w:r w:rsidR="002E4D47" w:rsidRPr="00F06DE2" w:rsidDel="00805075">
        <w:rPr>
          <w:rFonts w:ascii="Times New Roman" w:hAnsi="Times New Roman" w:cs="Times New Roman"/>
          <w:lang w:val="ru-RU"/>
        </w:rPr>
        <w:t xml:space="preserve"> </w:t>
      </w:r>
      <w:r w:rsidR="002E4D47" w:rsidRPr="00F06DE2">
        <w:rPr>
          <w:rFonts w:ascii="Times New Roman" w:hAnsi="Times New Roman" w:cs="Times New Roman"/>
          <w:lang w:val="ru-RU"/>
        </w:rPr>
        <w:t>“</w:t>
      </w:r>
      <w:r w:rsidRPr="00F06DE2">
        <w:rPr>
          <w:rFonts w:ascii="Times New Roman" w:hAnsi="Times New Roman" w:cs="Times New Roman"/>
          <w:lang w:val="ru-RU"/>
        </w:rPr>
        <w:t>бб</w:t>
      </w:r>
      <w:r w:rsidR="002E4D47" w:rsidRPr="00F06DE2">
        <w:rPr>
          <w:rFonts w:ascii="Times New Roman" w:hAnsi="Times New Roman" w:cs="Times New Roman"/>
          <w:lang w:val="ru-RU"/>
        </w:rPr>
        <w:t>”</w:t>
      </w:r>
      <w:r w:rsidRPr="00F06DE2">
        <w:rPr>
          <w:rFonts w:ascii="Times New Roman" w:hAnsi="Times New Roman" w:cs="Times New Roman"/>
          <w:lang w:val="ru-RU"/>
        </w:rPr>
        <w:t>, както е приложимо;</w:t>
      </w:r>
    </w:p>
    <w:p w14:paraId="2918DAF0" w14:textId="6638A892" w:rsidR="00B054C7" w:rsidRPr="00F06DE2" w:rsidRDefault="00B054C7" w:rsidP="00C6187E">
      <w:pPr>
        <w:ind w:left="567"/>
        <w:rPr>
          <w:rFonts w:ascii="Times New Roman" w:hAnsi="Times New Roman" w:cs="Times New Roman"/>
          <w:lang w:val="ru-RU"/>
        </w:rPr>
      </w:pPr>
      <w:r w:rsidRPr="00F06DE2">
        <w:rPr>
          <w:rFonts w:ascii="Times New Roman" w:hAnsi="Times New Roman" w:cs="Times New Roman"/>
          <w:lang w:val="ru-RU"/>
        </w:rPr>
        <w:t xml:space="preserve">гг) преградите, които са част от носещата конструкция, също трябва да отговарят на член 19.02, </w:t>
      </w:r>
      <w:r w:rsidR="007B47B8"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Pr="00F06DE2">
        <w:rPr>
          <w:rFonts w:ascii="Times New Roman" w:hAnsi="Times New Roman" w:cs="Times New Roman"/>
          <w:lang w:val="ru-RU"/>
        </w:rPr>
        <w:t>1а;</w:t>
      </w:r>
    </w:p>
    <w:p w14:paraId="3993F551" w14:textId="77777777" w:rsidR="00B054C7" w:rsidRPr="00F06DE2" w:rsidRDefault="00B054C7" w:rsidP="00C6187E">
      <w:pPr>
        <w:ind w:left="567"/>
        <w:rPr>
          <w:rFonts w:ascii="Times New Roman" w:hAnsi="Times New Roman" w:cs="Times New Roman"/>
          <w:lang w:val="ru-RU"/>
        </w:rPr>
      </w:pPr>
      <w:r w:rsidRPr="00F06DE2">
        <w:rPr>
          <w:rFonts w:ascii="Times New Roman" w:hAnsi="Times New Roman" w:cs="Times New Roman"/>
          <w:lang w:val="ru-RU"/>
        </w:rPr>
        <w:t>дд) изолацията трябва да бъде поставена от всяка страна на преградите в съответствие с опасността от пожар на това помещение;</w:t>
      </w:r>
    </w:p>
    <w:p w14:paraId="7C36ECE1" w14:textId="26A7DE9A" w:rsidR="00B054C7" w:rsidRPr="00F06DE2" w:rsidRDefault="00F80E2D" w:rsidP="00C6187E">
      <w:pPr>
        <w:ind w:left="567"/>
        <w:rPr>
          <w:rFonts w:ascii="Times New Roman" w:eastAsia="Calibri" w:hAnsi="Times New Roman" w:cs="Times New Roman"/>
          <w:lang w:val="ru-RU"/>
        </w:rPr>
      </w:pPr>
      <w:r w:rsidRPr="00F06DE2">
        <w:rPr>
          <w:rFonts w:ascii="Times New Roman" w:hAnsi="Times New Roman" w:cs="Times New Roman"/>
          <w:lang w:val="ru-RU"/>
        </w:rPr>
        <w:t>ее)</w:t>
      </w:r>
      <w:r w:rsidR="00B054C7" w:rsidRPr="00F06DE2">
        <w:rPr>
          <w:rFonts w:ascii="Times New Roman" w:hAnsi="Times New Roman" w:cs="Times New Roman"/>
          <w:lang w:val="ru-RU"/>
        </w:rPr>
        <w:t xml:space="preserve"> горната страна на палубата в помещенията, защитени от стационарна противопожарна инсталация на водна основа, не е необходимо да бъде изолирана.“</w:t>
      </w:r>
    </w:p>
    <w:p w14:paraId="622A6660"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Боите, лаковете и другите продукти за обработка на повърхности, както и покритията на палубите, използвани в помещенията, без машинните отделения и складовите помещения, трябва да са забавящи горенето. Килимите, текстилът, завесите и другите висящи текстилни материали, както и тапицираните мебели и койките трябва да са забавящи горенето, ако помещенията, в които се намират, не са оборудвани със спринклерни системи под налягане съгласно член</w:t>
      </w:r>
      <w:r w:rsidRPr="00F06DE2">
        <w:rPr>
          <w:rFonts w:ascii="Times New Roman" w:hAnsi="Times New Roman" w:cs="Times New Roman"/>
        </w:rPr>
        <w:t> </w:t>
      </w:r>
      <w:r w:rsidRPr="00F06DE2">
        <w:rPr>
          <w:rFonts w:ascii="Times New Roman" w:hAnsi="Times New Roman" w:cs="Times New Roman"/>
          <w:lang w:val="ru-RU"/>
        </w:rPr>
        <w:t>13.04.</w:t>
      </w:r>
    </w:p>
    <w:p w14:paraId="0FA66DC9"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Таваните на салоните и покритията на стените, в това число надстройките им, ако салоните не са оборудвани със спринклерни системи под налягане съгласно член 13.04, трябва да са изработени от негорими материали с изключение на повърхностите, които са поне забавящи горенето. Първото изречение не се прилага за сауни.</w:t>
      </w:r>
    </w:p>
    <w:p w14:paraId="7ECE63A0"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Мебелите и оборудването в салоните, които служат за сборни пунктове, в случай че помещенията нямат спринклерни системи под налягане съгласно член 13.04, трябва да се изработват от негорими материали.</w:t>
      </w:r>
    </w:p>
    <w:p w14:paraId="4ED0E663"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Нито една от откритите повърхности, включително бои, лаковете и други материали, използвани върху открити вътрешни повърхности, не трябва да отделят прекалено големи количества дим или отровни вещества. Това се удостоверява в съответствие с Кодекса на процедурите за противопожарни изпитвания (Приложение 1, Част 2) или подходящи разпоредби на една от държавите членки.</w:t>
      </w:r>
    </w:p>
    <w:p w14:paraId="3F234825"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Изолационните материали в салоните трябва да са негорими. Това не се отнася за изолациите, използвани върху тръбите за пренасяне на охлаждащ агент. Повърхностите на изолационните материали по тези тръби трябва да бъдат поне забавящи горенето.</w:t>
      </w:r>
    </w:p>
    <w:p w14:paraId="479387A9"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Навеси и подобни подвижни съоръжения, които частично или напълно покриват палубата, както и техните надстройки, трябва да са поне забавящи горенето.</w:t>
      </w:r>
    </w:p>
    <w:p w14:paraId="01C83E88"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Вратите в преградните стени съгласно точка 2 трябва да отговарят на следните изисквания:</w:t>
      </w:r>
    </w:p>
    <w:p w14:paraId="7A139C9A"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да отговарят на същите изисквания, изложени в точка 2, както и самите преградни стени;</w:t>
      </w:r>
    </w:p>
    <w:p w14:paraId="5D6BBECD"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да бъдат самозатварящи се, в случай че са врати в преградни стени съгласно точка 10 или в оградени пространства около машинни отделения, камбузи и стълбищни шахти;</w:t>
      </w:r>
    </w:p>
    <w:p w14:paraId="09839CD0"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самозатварящи се врати, които остават отворени при нормална работа, да са такива, че да могат да се затварят от мястото и от място, в което постоянно има членове на обслужващия персонал или екипажа. След като вратата е била затворена дистанционно, трябва да има възможност тя отново да бъде отворена и затворена безопасно на място;</w:t>
      </w:r>
    </w:p>
    <w:p w14:paraId="19237EFA"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водонепроницаемите врати съгласно член 19.02 не трябва да са изолирани.</w:t>
      </w:r>
    </w:p>
    <w:p w14:paraId="01CB0521"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 xml:space="preserve">10. </w:t>
      </w:r>
      <w:r w:rsidRPr="00F06DE2">
        <w:rPr>
          <w:rFonts w:ascii="Times New Roman" w:hAnsi="Times New Roman" w:cs="Times New Roman"/>
          <w:lang w:val="ru-RU"/>
        </w:rPr>
        <w:tab/>
        <w:t>Стените съгласно точка 2 трябва да са непрекъснати от палуба до палуба или да завършват в непрекъснати тавани, които отговарят на същите изисквания като споменатите в точка 2.</w:t>
      </w:r>
    </w:p>
    <w:p w14:paraId="64908154"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Следните пространства за пътници подлежат на разделяне с вертикални преградни стени, както е посочено в точка 2:</w:t>
      </w:r>
    </w:p>
    <w:p w14:paraId="16BE5228"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пространства за пътници с обща площ над 800</w:t>
      </w:r>
      <w:r w:rsidRPr="00F06DE2">
        <w:rPr>
          <w:rFonts w:ascii="Times New Roman" w:hAnsi="Times New Roman" w:cs="Times New Roman"/>
        </w:rPr>
        <w:t> m</w:t>
      </w:r>
      <w:r w:rsidRPr="00F06DE2">
        <w:rPr>
          <w:rFonts w:ascii="Times New Roman" w:hAnsi="Times New Roman" w:cs="Times New Roman"/>
          <w:vertAlign w:val="superscript"/>
          <w:lang w:val="ru-RU"/>
        </w:rPr>
        <w:t>2</w:t>
      </w:r>
      <w:r w:rsidRPr="00F06DE2">
        <w:rPr>
          <w:rFonts w:ascii="Times New Roman" w:hAnsi="Times New Roman" w:cs="Times New Roman"/>
          <w:lang w:val="ru-RU"/>
        </w:rPr>
        <w:t>;</w:t>
      </w:r>
    </w:p>
    <w:p w14:paraId="1E627C75"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б) пространства за пътници, в които има каюти, на интервали не по-големи от 40 </w:t>
      </w:r>
      <w:r w:rsidRPr="00F06DE2">
        <w:rPr>
          <w:rFonts w:ascii="Times New Roman" w:hAnsi="Times New Roman" w:cs="Times New Roman"/>
        </w:rPr>
        <w:t>m</w:t>
      </w:r>
      <w:r w:rsidRPr="00F06DE2">
        <w:rPr>
          <w:rFonts w:ascii="Times New Roman" w:hAnsi="Times New Roman" w:cs="Times New Roman"/>
          <w:lang w:val="ru-RU"/>
        </w:rPr>
        <w:t>.</w:t>
      </w:r>
    </w:p>
    <w:p w14:paraId="434D699F" w14:textId="77777777" w:rsidR="00271FA2" w:rsidRPr="00F06DE2" w:rsidRDefault="00D35E51" w:rsidP="00C6187E">
      <w:pPr>
        <w:pStyle w:val="ESchpar"/>
        <w:jc w:val="both"/>
        <w:rPr>
          <w:rFonts w:ascii="Times New Roman" w:eastAsia="Calibri" w:hAnsi="Times New Roman" w:cs="Times New Roman"/>
          <w:lang w:val="ru-RU"/>
        </w:rPr>
      </w:pPr>
      <w:r w:rsidRPr="00F06DE2">
        <w:rPr>
          <w:rFonts w:ascii="Times New Roman" w:hAnsi="Times New Roman" w:cs="Times New Roman"/>
          <w:lang w:val="ru-RU"/>
        </w:rPr>
        <w:lastRenderedPageBreak/>
        <w:t>Вертикалните преградни стени трябва да са непроницаеми за дим при обичайни експлоатационни условия и преминават от палуба до палуба.</w:t>
      </w:r>
    </w:p>
    <w:p w14:paraId="0BD9DFCB"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12.</w:t>
      </w:r>
      <w:r w:rsidRPr="00F06DE2">
        <w:rPr>
          <w:rFonts w:ascii="Times New Roman" w:hAnsi="Times New Roman" w:cs="Times New Roman"/>
          <w:lang w:val="ru-RU"/>
        </w:rPr>
        <w:tab/>
        <w:t xml:space="preserve">Празнините над таваните, под подовете и зад стенните покрития се разделят на интервали, не по-големи от 14 </w:t>
      </w:r>
      <w:r w:rsidRPr="00F06DE2">
        <w:rPr>
          <w:rFonts w:ascii="Times New Roman" w:hAnsi="Times New Roman" w:cs="Times New Roman"/>
        </w:rPr>
        <w:t>m</w:t>
      </w:r>
      <w:r w:rsidRPr="00F06DE2">
        <w:rPr>
          <w:rFonts w:ascii="Times New Roman" w:hAnsi="Times New Roman" w:cs="Times New Roman"/>
          <w:lang w:val="ru-RU"/>
        </w:rPr>
        <w:t>, с негорими пожарозащитни прегради, които дори и при пожар да осигуряват ефикасно незапалимо запечатване.</w:t>
      </w:r>
    </w:p>
    <w:p w14:paraId="406B18DB"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13.</w:t>
      </w:r>
      <w:r w:rsidRPr="00F06DE2">
        <w:rPr>
          <w:rFonts w:ascii="Times New Roman" w:hAnsi="Times New Roman" w:cs="Times New Roman"/>
          <w:lang w:val="ru-RU"/>
        </w:rPr>
        <w:tab/>
        <w:t>Стълбищата се изработват от стомана или друг еквивалентен негорим материал по отношение на огнеустойчивостта.</w:t>
      </w:r>
    </w:p>
    <w:p w14:paraId="67A5668B"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14.</w:t>
      </w:r>
      <w:r w:rsidRPr="00F06DE2">
        <w:rPr>
          <w:rFonts w:ascii="Times New Roman" w:hAnsi="Times New Roman" w:cs="Times New Roman"/>
          <w:lang w:val="ru-RU"/>
        </w:rPr>
        <w:tab/>
        <w:t>Вътрешните стълбища и асансьори трябва да бъдат обградени на всички нива от стени в съответствие с точка 2. Допускат се следните изключения:</w:t>
      </w:r>
    </w:p>
    <w:p w14:paraId="4F5BCC4B"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стълба, свързваща само две палуби, не е необходимо да се обгражда, ако на едната от палубите стълбата е обградена съгласно точка 2;</w:t>
      </w:r>
    </w:p>
    <w:p w14:paraId="0FB9455F"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в салоните не е необходимо стълбищата да се обграждат, ако се намират изцяло във вътрешността на помещението, и</w:t>
      </w:r>
    </w:p>
    <w:p w14:paraId="51A7051C" w14:textId="77777777" w:rsidR="00271FA2" w:rsidRPr="00F06DE2" w:rsidRDefault="00D35E51" w:rsidP="00C6187E">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ако това помещение се простира само на две палуби, или</w:t>
      </w:r>
    </w:p>
    <w:p w14:paraId="0F7BD479" w14:textId="77777777" w:rsidR="00271FA2" w:rsidRPr="00F06DE2" w:rsidRDefault="00D35E51" w:rsidP="00C6187E">
      <w:pPr>
        <w:pStyle w:val="EStir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бб) ако в това помещение на всички палуби е налице спринклерна система под налягане съгласно член 13.04, в него е монтирана система за изтегляне на дима съгласно точка 16 и помещението има достъп до стълбищна шахта на всички палуби.</w:t>
      </w:r>
    </w:p>
    <w:p w14:paraId="1C92DC82"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15.</w:t>
      </w:r>
      <w:r w:rsidRPr="00F06DE2">
        <w:rPr>
          <w:rFonts w:ascii="Times New Roman" w:hAnsi="Times New Roman" w:cs="Times New Roman"/>
          <w:lang w:val="ru-RU"/>
        </w:rPr>
        <w:tab/>
        <w:t>Вентилационните системи и системите за подаване на въздух трябва да отговарят на следните изисквания:</w:t>
      </w:r>
    </w:p>
    <w:p w14:paraId="492223B2"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те трябва да са проектирани по такъв начин, че да се гарантира, че те самите не предизвикват разпространението на огън и дим;</w:t>
      </w:r>
    </w:p>
    <w:p w14:paraId="3DC02D8B"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отворите за подаване и изтегляне на въздух и системите за подаване на въздух трябва да са такива, че да могат да се затварят;</w:t>
      </w:r>
    </w:p>
    <w:p w14:paraId="10A00B16"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вентилационните тръби трябва да са изработени от стомана или друг равностоен негорим материал и да са надеждно свързани една с друга и с надстройката на плавателния съд;</w:t>
      </w:r>
    </w:p>
    <w:p w14:paraId="66D5F972"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г) когато въздуховоди на вентилацията с напречно сечение от над 0,02 </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преминават през преградни стени съгласно точка 2 от тип А или преградни стени съгласно точка 10, те трябва да са оборудвани с автоматичен противопожарен клапан, който може да се задвижва от място, в което постоянно има членове на обслужващия персонал или екипажа;</w:t>
      </w:r>
    </w:p>
    <w:p w14:paraId="39CF7BEE"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вентилационните системи за камбузите и машинните отделения трябва да са отделени от вентилационните системи, които обслужват други пространства;</w:t>
      </w:r>
    </w:p>
    <w:p w14:paraId="67D23A6B"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 тръбите за изтегляне на въздух трябва да са оборудвани със заключващи се отвори за проверка и почистване. Тези отвори трябва да са разположени близо до противопожарните клапани;</w:t>
      </w:r>
    </w:p>
    <w:p w14:paraId="0717F65D"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ж) вградените вентилатори трябва да са пригодени да бъдат изключвани от централно място извън машинното отделение.</w:t>
      </w:r>
    </w:p>
    <w:p w14:paraId="3D52F8F2"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16.</w:t>
      </w:r>
      <w:r w:rsidRPr="00F06DE2">
        <w:rPr>
          <w:rFonts w:ascii="Times New Roman" w:hAnsi="Times New Roman" w:cs="Times New Roman"/>
          <w:lang w:val="ru-RU"/>
        </w:rPr>
        <w:tab/>
        <w:t>Камбузите се оборудват с вентилационни системи. Печки и подобни уреди за готвене трябва да бъдат монтирани с аспирационни чадъри. Тръбите за отвеждане на въздуха на аспирационните чадъри трябва да отговарят на изискванията на точка 15 и освен това да са снабдени с ръчно задвижвани противопожарни клапани на входните отвори.</w:t>
      </w:r>
    </w:p>
    <w:p w14:paraId="3325275E" w14:textId="77777777" w:rsidR="00271FA2" w:rsidRPr="00F06DE2" w:rsidRDefault="00D35E51" w:rsidP="00C6187E">
      <w:pPr>
        <w:pStyle w:val="ESch"/>
        <w:jc w:val="both"/>
        <w:rPr>
          <w:rFonts w:ascii="Times New Roman" w:eastAsia="Calibri" w:hAnsi="Times New Roman" w:cs="Times New Roman"/>
          <w:lang w:val="ru-RU"/>
        </w:rPr>
      </w:pPr>
      <w:r w:rsidRPr="00F06DE2">
        <w:rPr>
          <w:rFonts w:ascii="Times New Roman" w:hAnsi="Times New Roman" w:cs="Times New Roman"/>
          <w:lang w:val="ru-RU"/>
        </w:rPr>
        <w:t>17.</w:t>
      </w:r>
      <w:r w:rsidRPr="00F06DE2">
        <w:rPr>
          <w:rFonts w:ascii="Times New Roman" w:hAnsi="Times New Roman" w:cs="Times New Roman"/>
          <w:lang w:val="ru-RU"/>
        </w:rPr>
        <w:tab/>
        <w:t>Центровете за управление, стълбищните шахти и вътрешните сборни пунктове трябва да са снабдени със системи за естествено или механично изтегляне на дим. Системите за изтегляне на дим трябва да отговарят на следните изисквания:</w:t>
      </w:r>
    </w:p>
    <w:p w14:paraId="3364179E" w14:textId="77777777" w:rsidR="00271FA2" w:rsidRPr="00F06DE2" w:rsidRDefault="00D35E51" w:rsidP="00C6187E">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да предлагат достатъчен капацитет и надеждност;</w:t>
      </w:r>
    </w:p>
    <w:p w14:paraId="21EAD367"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да отговарят на експлоатационните условия за пътническите плавателни съдове;</w:t>
      </w:r>
    </w:p>
    <w:p w14:paraId="48BCE970"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в) ако системите за изтегляне на дима служат също и като общи вентилатори за помещенията, това не трябва да пречи на функцията им като системи за изтегляне на дима при пожар;</w:t>
      </w:r>
    </w:p>
    <w:p w14:paraId="1254516C"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системите за изтегляне на дима са оборудвани с ръчно устройство за задействане;</w:t>
      </w:r>
    </w:p>
    <w:p w14:paraId="47C446A5"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механичните системи за изтегляне на дима освен това трябва да са такива, че да могат да се задействат от място, в което постоянно има членове на обслужващия персонал или екипажа;</w:t>
      </w:r>
    </w:p>
    <w:p w14:paraId="4FD6FA70"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 естествените системи за изтегляне на дима трябва да са оборудвани с механизъм за отваряне, задействан или ръчно, или от източник на енергия вътре в системата за изтегляне;</w:t>
      </w:r>
    </w:p>
    <w:p w14:paraId="05527402" w14:textId="77777777" w:rsidR="00271FA2" w:rsidRPr="00F06DE2" w:rsidRDefault="00D35E51" w:rsidP="00C618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ж) ръчно управляваните устройства за задвижване и механизми за отваряне трябва да са достъпни отвътре или отвън на защитеното помещение.</w:t>
      </w:r>
    </w:p>
    <w:p w14:paraId="4739119F" w14:textId="77777777" w:rsidR="00271FA2" w:rsidRPr="00F06DE2" w:rsidRDefault="00D35E51" w:rsidP="00C6187E">
      <w:pPr>
        <w:pStyle w:val="ESch"/>
        <w:jc w:val="both"/>
        <w:rPr>
          <w:rFonts w:ascii="Times New Roman" w:hAnsi="Times New Roman" w:cs="Times New Roman"/>
          <w:lang w:val="ru-RU"/>
        </w:rPr>
      </w:pPr>
      <w:r w:rsidRPr="00F06DE2">
        <w:rPr>
          <w:rFonts w:ascii="Times New Roman" w:hAnsi="Times New Roman" w:cs="Times New Roman"/>
          <w:lang w:val="ru-RU"/>
        </w:rPr>
        <w:t>18.</w:t>
      </w:r>
      <w:r w:rsidRPr="00F06DE2">
        <w:rPr>
          <w:rFonts w:ascii="Times New Roman" w:hAnsi="Times New Roman" w:cs="Times New Roman"/>
          <w:lang w:val="ru-RU"/>
        </w:rPr>
        <w:tab/>
        <w:t>Салоните, които не се наблюдават постоянно от обслужващия персонал или от екипажа, камбузите, машинните отделения и другите помещения, представляващи опасност от пожар, се свързват с подходяща пожароизвестителна система. Пожароизвестяването и зоната за отчитане на пожар автоматично се сигнализират чрез индикаторно устройство, на място, в което постоянно има членове на обслужващия персонал или екипажа.</w:t>
      </w:r>
      <w:bookmarkStart w:id="356" w:name="_Toc491854181"/>
      <w:bookmarkStart w:id="357" w:name="_Toc535827622"/>
    </w:p>
    <w:p w14:paraId="7365D0A2" w14:textId="60A45606" w:rsidR="00B054C7" w:rsidRPr="00F06DE2" w:rsidRDefault="00B054C7" w:rsidP="00C6187E">
      <w:pPr>
        <w:pStyle w:val="ESch"/>
        <w:jc w:val="both"/>
        <w:rPr>
          <w:rFonts w:ascii="Times New Roman" w:hAnsi="Times New Roman" w:cs="Times New Roman"/>
          <w:lang w:val="ru-RU"/>
        </w:rPr>
      </w:pPr>
      <w:r w:rsidRPr="00F06DE2">
        <w:rPr>
          <w:rFonts w:ascii="Times New Roman" w:hAnsi="Times New Roman" w:cs="Times New Roman"/>
          <w:lang w:val="ru-RU"/>
        </w:rPr>
        <w:t xml:space="preserve">19. </w:t>
      </w:r>
      <w:r w:rsidR="00C6187E" w:rsidRPr="00F06DE2">
        <w:rPr>
          <w:rFonts w:ascii="Times New Roman" w:hAnsi="Times New Roman" w:cs="Times New Roman"/>
          <w:lang w:val="ru-RU"/>
        </w:rPr>
        <w:tab/>
      </w:r>
      <w:r w:rsidRPr="00F06DE2">
        <w:rPr>
          <w:rFonts w:ascii="Times New Roman" w:hAnsi="Times New Roman" w:cs="Times New Roman"/>
          <w:lang w:val="ru-RU"/>
        </w:rPr>
        <w:t xml:space="preserve">Всички помещения, изработени от горими материали, като композитни материали от подсилена с влакна пластмаса, които не са машинни отделения, празни клетки или </w:t>
      </w:r>
      <w:r w:rsidR="00FE5A18" w:rsidRPr="00F06DE2">
        <w:rPr>
          <w:rFonts w:ascii="Times New Roman" w:hAnsi="Times New Roman" w:cs="Times New Roman"/>
          <w:lang w:val="ru-RU"/>
        </w:rPr>
        <w:t xml:space="preserve"> </w:t>
      </w:r>
      <w:r w:rsidR="0088765C" w:rsidRPr="00F06DE2">
        <w:rPr>
          <w:rFonts w:ascii="Times New Roman" w:hAnsi="Times New Roman" w:cs="Times New Roman"/>
          <w:lang w:val="ru-RU"/>
        </w:rPr>
        <w:t>танкове</w:t>
      </w:r>
      <w:r w:rsidRPr="00F06DE2">
        <w:rPr>
          <w:rFonts w:ascii="Times New Roman" w:hAnsi="Times New Roman" w:cs="Times New Roman"/>
          <w:lang w:val="ru-RU"/>
        </w:rPr>
        <w:t>, образуващи част от корпуса на кораба, трябва да бъдат оборудвани с постоянно монтирана противопожарна система съгласно член 13.04 или член 13.05 в зависимост от вида на помещенията.</w:t>
      </w:r>
    </w:p>
    <w:p w14:paraId="1B851BB1" w14:textId="77777777" w:rsidR="00C6187E" w:rsidRPr="00F06DE2" w:rsidRDefault="00C6187E" w:rsidP="00C6187E">
      <w:pPr>
        <w:pStyle w:val="ESch"/>
        <w:jc w:val="both"/>
        <w:rPr>
          <w:rFonts w:ascii="Times New Roman" w:eastAsia="Calibri" w:hAnsi="Times New Roman" w:cs="Times New Roman"/>
          <w:lang w:val="ru-RU"/>
        </w:rPr>
      </w:pPr>
    </w:p>
    <w:p w14:paraId="2401C8D2"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19.12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Гасене на пожари</w:t>
      </w:r>
      <w:bookmarkEnd w:id="356"/>
      <w:bookmarkEnd w:id="357"/>
    </w:p>
    <w:p w14:paraId="7381DE6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Освен преносимите пожарогасители съгласно член 13.03, поне следните преносими пожарогасители трябва да бъдат налични на борда:</w:t>
      </w:r>
    </w:p>
    <w:p w14:paraId="583E0582"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един преносим пожарогасител на всеки 120</w:t>
      </w:r>
      <w:r w:rsidRPr="00F06DE2">
        <w:rPr>
          <w:rFonts w:ascii="Times New Roman" w:hAnsi="Times New Roman" w:cs="Times New Roman"/>
        </w:rPr>
        <w:t> m</w:t>
      </w:r>
      <w:r w:rsidRPr="00F06DE2">
        <w:rPr>
          <w:rFonts w:ascii="Times New Roman" w:hAnsi="Times New Roman" w:cs="Times New Roman"/>
          <w:lang w:val="ru-RU"/>
        </w:rPr>
        <w:t>2 брутна площ в помещенията за пътници;</w:t>
      </w:r>
    </w:p>
    <w:p w14:paraId="5E66423D"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един преносим пожарогасител на група от 10 каюти, като числото се закръгля нагоре;</w:t>
      </w:r>
    </w:p>
    <w:p w14:paraId="1407FB39"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един преносим пожарогасител във всеки камбуз и в близост до всяко помещение, в което се съхраняват или използват запалими течности. В камбузите пожарогасителният агент трябва да е подходящ също за гасене на горяща мазнина.</w:t>
      </w:r>
    </w:p>
    <w:p w14:paraId="113D841D"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Тези допълнителни пожарогасители трябва да съответстват на изискванията, определени в член 13.03, точка 2, и да са монтирани и разпределени на плавателния съд, така че ако независимо кога и къде започва пожар, пожарогасител да може да бъде достигнат незабавно. Във всеки камбуз, както и във фризьорските салони и парфюмериите, трябва да има подръчно противопожарно одеяло.</w:t>
      </w:r>
    </w:p>
    <w:p w14:paraId="00020E2D"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Пътническите плавателни съдове трябва да са снабдени със система от хидранти, състояща се от:</w:t>
      </w:r>
    </w:p>
    <w:p w14:paraId="69E68C51"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две задвижвани с мотор пожарни помпи с достатъчен капацитет, поне една от които е монтирана неподвижно;</w:t>
      </w:r>
    </w:p>
    <w:p w14:paraId="4CA1F391"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една пожарогасителна линия с достатъчен брой хидранти с неподвижно свързани маркучи с дължина поне 20 </w:t>
      </w:r>
      <w:r w:rsidRPr="00F06DE2">
        <w:rPr>
          <w:rFonts w:ascii="Times New Roman" w:hAnsi="Times New Roman" w:cs="Times New Roman"/>
        </w:rPr>
        <w:t>m</w:t>
      </w:r>
      <w:r w:rsidRPr="00F06DE2">
        <w:rPr>
          <w:rFonts w:ascii="Times New Roman" w:hAnsi="Times New Roman" w:cs="Times New Roman"/>
          <w:lang w:val="ru-RU"/>
        </w:rPr>
        <w:t xml:space="preserve"> и оборудвани с разпръсквачи, пригодени да разпръскват както водна мъгла, така и водни струи, и оборудвани със спирателно устройство.</w:t>
      </w:r>
    </w:p>
    <w:p w14:paraId="7C09D7D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Системите от хидранти трябва да са проектирани и оразмерени, така че:</w:t>
      </w:r>
    </w:p>
    <w:p w14:paraId="20AA4EF7"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всяка точка от плавателния съд да може да бъде достигната от най-малко два хидранта на различни места, всеки с единична дължина на маркуча не по-голяма от 20 </w:t>
      </w:r>
      <w:r w:rsidRPr="00F06DE2">
        <w:rPr>
          <w:rFonts w:ascii="Times New Roman" w:hAnsi="Times New Roman" w:cs="Times New Roman"/>
        </w:rPr>
        <w:t>m</w:t>
      </w:r>
      <w:r w:rsidRPr="00F06DE2">
        <w:rPr>
          <w:rFonts w:ascii="Times New Roman" w:hAnsi="Times New Roman" w:cs="Times New Roman"/>
          <w:lang w:val="ru-RU"/>
        </w:rPr>
        <w:t>;</w:t>
      </w:r>
    </w:p>
    <w:p w14:paraId="40A416F2"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налягането при хидрантите да е поне 300 </w:t>
      </w:r>
      <w:r w:rsidRPr="00F06DE2">
        <w:rPr>
          <w:rFonts w:ascii="Times New Roman" w:hAnsi="Times New Roman" w:cs="Times New Roman"/>
        </w:rPr>
        <w:t>kPa</w:t>
      </w:r>
      <w:r w:rsidRPr="00F06DE2">
        <w:rPr>
          <w:rFonts w:ascii="Times New Roman" w:hAnsi="Times New Roman" w:cs="Times New Roman"/>
          <w:lang w:val="ru-RU"/>
        </w:rPr>
        <w:t>; и</w:t>
      </w:r>
    </w:p>
    <w:p w14:paraId="72112B1C"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на всички палуби да може да се поддържат струи не по-малко от 6 </w:t>
      </w:r>
      <w:r w:rsidRPr="00F06DE2">
        <w:rPr>
          <w:rFonts w:ascii="Times New Roman" w:hAnsi="Times New Roman" w:cs="Times New Roman"/>
        </w:rPr>
        <w:t>m</w:t>
      </w:r>
      <w:r w:rsidRPr="00F06DE2">
        <w:rPr>
          <w:rFonts w:ascii="Times New Roman" w:hAnsi="Times New Roman" w:cs="Times New Roman"/>
          <w:lang w:val="ru-RU"/>
        </w:rPr>
        <w:t>.</w:t>
      </w:r>
    </w:p>
    <w:p w14:paraId="17AFD247"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Ако е налице шкаф за хидранти, на външната страна на шкафа се поставя знак „маркуч за гасене на пожар“, подобен на показания на фигура 5 от Приложение 4, с ширина не по-малко от 10 с</w:t>
      </w:r>
      <w:r w:rsidRPr="00F06DE2">
        <w:rPr>
          <w:rFonts w:ascii="Times New Roman" w:hAnsi="Times New Roman" w:cs="Times New Roman"/>
        </w:rPr>
        <w:t>m</w:t>
      </w:r>
      <w:r w:rsidRPr="00F06DE2">
        <w:rPr>
          <w:rFonts w:ascii="Times New Roman" w:hAnsi="Times New Roman" w:cs="Times New Roman"/>
          <w:lang w:val="ru-RU"/>
        </w:rPr>
        <w:t>.</w:t>
      </w:r>
    </w:p>
    <w:p w14:paraId="4F22A012"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Вентилите на хидрантите с винтове или кранове трябва да са от вид, пригоден да бъде поставян в положение, позволяващо всеки от маркучите за гасене на пожар да може да бъде отделян и снеман по време на работа на пожарните помпи.</w:t>
      </w:r>
    </w:p>
    <w:p w14:paraId="7E63A7CE"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Маркучите на пожарогасителите във вътрешните пространства трябва да са навити на колело, окачено на оста си.</w:t>
      </w:r>
    </w:p>
    <w:p w14:paraId="50297EC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Материалите за противопожарното оборудване трябва да са или устойчиви на топлина, или съответно защитени против повреди, когато се излагат на високи температури.</w:t>
      </w:r>
    </w:p>
    <w:p w14:paraId="62F246C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Тръбите и хидрантите се подреждат по такъв начин, че да се избегне рискът да замръзнат.</w:t>
      </w:r>
    </w:p>
    <w:p w14:paraId="03922500"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Пожарните помпи трябва:</w:t>
      </w:r>
    </w:p>
    <w:p w14:paraId="18A22946"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да бъдат монтирани или разположени в отделни помещения;</w:t>
      </w:r>
    </w:p>
    <w:p w14:paraId="201625B8"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да са такива, че да могат да се задвижват независимо едни от други;</w:t>
      </w:r>
    </w:p>
    <w:p w14:paraId="0CB1BBAB"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всяка от тях да има възможност на всички палуби да поддържа необходимото налягане при хидрантите и изискваната дължина на водната струя;</w:t>
      </w:r>
    </w:p>
    <w:p w14:paraId="19794EF6"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да са монтирани пред ахтерпиковата преграда.</w:t>
      </w:r>
    </w:p>
    <w:p w14:paraId="5DD703EA"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Допуска се пожарните помпи да се използват и за общи цели.</w:t>
      </w:r>
    </w:p>
    <w:p w14:paraId="1CBE0BF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Машинните отделения трябва да бъдат снабдени с постоянно монтирана пожарогасителна система съгласно член 13.05.</w:t>
      </w:r>
    </w:p>
    <w:p w14:paraId="41DDC20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На плавателните съдове с каюти трябва да има:</w:t>
      </w:r>
    </w:p>
    <w:p w14:paraId="736A0C7D"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два комплекта автономни дихателни апарати, съответстващи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137:2006 от тип 2 с маски за цялото лице, съответстващи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136:1998;</w:t>
      </w:r>
    </w:p>
    <w:p w14:paraId="466E1836" w14:textId="77777777"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два комплекта оборудване, състоящо се най-малкото от защитен костюм, каска, ботуши, ръкавици, брадва, лост, светещ кръг и спасително въже; </w:t>
      </w:r>
    </w:p>
    <w:p w14:paraId="08A3B2C0" w14:textId="362FDDD9" w:rsidR="00271FA2" w:rsidRPr="00F06DE2" w:rsidRDefault="00D35E51" w:rsidP="005C004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четири димозащитни качулки.</w:t>
      </w:r>
    </w:p>
    <w:p w14:paraId="655EAA84" w14:textId="77777777" w:rsidR="005C004D" w:rsidRPr="00F06DE2" w:rsidRDefault="005C004D" w:rsidP="005C004D">
      <w:pPr>
        <w:pStyle w:val="ESlet"/>
        <w:spacing w:before="0"/>
        <w:ind w:left="567"/>
        <w:jc w:val="both"/>
        <w:rPr>
          <w:rFonts w:ascii="Times New Roman" w:hAnsi="Times New Roman" w:cs="Times New Roman"/>
          <w:lang w:val="ru-RU"/>
        </w:rPr>
      </w:pPr>
    </w:p>
    <w:p w14:paraId="0B0D2F25"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58" w:name="_Toc535827623"/>
      <w:bookmarkStart w:id="359" w:name="_Toc491854182"/>
      <w:r w:rsidRPr="00F06DE2">
        <w:rPr>
          <w:rFonts w:ascii="Times New Roman" w:hAnsi="Times New Roman" w:cs="Times New Roman"/>
          <w:sz w:val="24"/>
          <w:szCs w:val="24"/>
          <w:lang w:val="ru-RU"/>
        </w:rPr>
        <w:t>Член 19.13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Организация на безопасността</w:t>
      </w:r>
      <w:bookmarkEnd w:id="358"/>
      <w:bookmarkEnd w:id="359"/>
    </w:p>
    <w:p w14:paraId="13D6452F" w14:textId="77777777" w:rsidR="00271FA2" w:rsidRPr="00F06DE2" w:rsidRDefault="00D35E51" w:rsidP="00A4588C">
      <w:pPr>
        <w:pStyle w:val="ESch"/>
        <w:ind w:right="-144"/>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На борда на пътнически плавателни съдове трябва да има разписание по безопасността. Разписанието по безопасността описва задълженията на екипажа и обслужващия персонал в следните случаи: </w:t>
      </w:r>
    </w:p>
    <w:p w14:paraId="1E28CC08" w14:textId="77777777" w:rsidR="00271FA2" w:rsidRPr="00F06DE2" w:rsidRDefault="00D35E51" w:rsidP="00A4588C">
      <w:pPr>
        <w:pStyle w:val="ESlet"/>
        <w:spacing w:before="0"/>
        <w:ind w:left="851" w:right="-144" w:hanging="284"/>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повреда;</w:t>
      </w:r>
    </w:p>
    <w:p w14:paraId="1E280BFA" w14:textId="77777777" w:rsidR="00271FA2" w:rsidRPr="00F06DE2" w:rsidRDefault="00D35E51" w:rsidP="00A4588C">
      <w:pPr>
        <w:pStyle w:val="ESlet"/>
        <w:spacing w:before="0"/>
        <w:ind w:left="851" w:right="-144" w:hanging="284"/>
        <w:jc w:val="both"/>
        <w:rPr>
          <w:rFonts w:ascii="Times New Roman" w:eastAsia="Calibri" w:hAnsi="Times New Roman" w:cs="Times New Roman"/>
          <w:lang w:val="ru-RU"/>
        </w:rPr>
      </w:pPr>
      <w:r w:rsidRPr="00F06DE2">
        <w:rPr>
          <w:rFonts w:ascii="Times New Roman" w:hAnsi="Times New Roman" w:cs="Times New Roman"/>
          <w:lang w:val="ru-RU"/>
        </w:rPr>
        <w:t>б) пожар на борда;</w:t>
      </w:r>
    </w:p>
    <w:p w14:paraId="01602AB9" w14:textId="77777777" w:rsidR="00271FA2" w:rsidRPr="00F06DE2" w:rsidRDefault="00D35E51" w:rsidP="00A4588C">
      <w:pPr>
        <w:pStyle w:val="ESlet"/>
        <w:spacing w:before="0"/>
        <w:ind w:left="851" w:right="-144" w:hanging="284"/>
        <w:jc w:val="both"/>
        <w:rPr>
          <w:rFonts w:ascii="Times New Roman" w:eastAsia="Calibri" w:hAnsi="Times New Roman" w:cs="Times New Roman"/>
          <w:lang w:val="ru-RU"/>
        </w:rPr>
      </w:pPr>
      <w:r w:rsidRPr="00F06DE2">
        <w:rPr>
          <w:rFonts w:ascii="Times New Roman" w:hAnsi="Times New Roman" w:cs="Times New Roman"/>
          <w:lang w:val="ru-RU"/>
        </w:rPr>
        <w:t>в) евакуация на пътниците;</w:t>
      </w:r>
    </w:p>
    <w:p w14:paraId="6153B7D3" w14:textId="77777777" w:rsidR="00271FA2" w:rsidRPr="00F06DE2" w:rsidRDefault="00D35E51" w:rsidP="00A4588C">
      <w:pPr>
        <w:pStyle w:val="ESlet"/>
        <w:spacing w:before="0"/>
        <w:ind w:left="851" w:right="-144" w:hanging="284"/>
        <w:jc w:val="both"/>
        <w:rPr>
          <w:rFonts w:ascii="Times New Roman" w:eastAsia="Calibri" w:hAnsi="Times New Roman" w:cs="Times New Roman"/>
          <w:lang w:val="ru-RU"/>
        </w:rPr>
      </w:pPr>
      <w:r w:rsidRPr="00F06DE2">
        <w:rPr>
          <w:rFonts w:ascii="Times New Roman" w:hAnsi="Times New Roman" w:cs="Times New Roman"/>
          <w:lang w:val="ru-RU"/>
        </w:rPr>
        <w:t>г) човек зад борда.</w:t>
      </w:r>
    </w:p>
    <w:p w14:paraId="63BFF178" w14:textId="77777777" w:rsidR="00271FA2" w:rsidRPr="00F06DE2" w:rsidRDefault="00D35E51" w:rsidP="00A4588C">
      <w:pPr>
        <w:pStyle w:val="ESchpar"/>
        <w:ind w:right="-144"/>
        <w:jc w:val="both"/>
        <w:rPr>
          <w:rFonts w:ascii="Times New Roman" w:eastAsia="Calibri" w:hAnsi="Times New Roman" w:cs="Times New Roman"/>
          <w:lang w:val="ru-RU"/>
        </w:rPr>
      </w:pPr>
      <w:r w:rsidRPr="00F06DE2">
        <w:rPr>
          <w:rFonts w:ascii="Times New Roman" w:hAnsi="Times New Roman" w:cs="Times New Roman"/>
          <w:lang w:val="ru-RU"/>
        </w:rPr>
        <w:t>Трябва да са взети под внимание специфичните мерки за лица с намалена подвижност.</w:t>
      </w:r>
    </w:p>
    <w:p w14:paraId="559F6966" w14:textId="77777777" w:rsidR="00271FA2" w:rsidRPr="00F06DE2" w:rsidRDefault="00D35E51" w:rsidP="00A4588C">
      <w:pPr>
        <w:pStyle w:val="ESchpar"/>
        <w:ind w:right="-144"/>
        <w:jc w:val="both"/>
        <w:rPr>
          <w:rFonts w:ascii="Times New Roman" w:eastAsia="Calibri" w:hAnsi="Times New Roman" w:cs="Times New Roman"/>
          <w:lang w:val="ru-RU"/>
        </w:rPr>
      </w:pPr>
      <w:r w:rsidRPr="00F06DE2">
        <w:rPr>
          <w:rFonts w:ascii="Times New Roman" w:hAnsi="Times New Roman" w:cs="Times New Roman"/>
          <w:lang w:val="ru-RU"/>
        </w:rPr>
        <w:t>На членовете на екипажа и обслужващия персонал, определени в разписанието по безопасността, следва да се възлагат различни задължения в зависимост от постовете, които заемат. Специалните указания за екипажа трябва да гарантират, че в случай на опасност всички врати и отвори във водонепроницаемите прегради, посочени в член 19.02, ще бъдат незабавно затворени херметично.</w:t>
      </w:r>
    </w:p>
    <w:p w14:paraId="5F9B61F8" w14:textId="77777777" w:rsidR="00271FA2" w:rsidRPr="00F06DE2" w:rsidRDefault="00D35E51" w:rsidP="00A4588C">
      <w:pPr>
        <w:pStyle w:val="ESch"/>
        <w:ind w:right="-144"/>
        <w:jc w:val="both"/>
        <w:rPr>
          <w:rFonts w:ascii="Times New Roman" w:hAnsi="Times New Roman" w:cs="Times New Roman"/>
          <w:lang w:val="ru-RU"/>
        </w:rPr>
      </w:pPr>
      <w:r w:rsidRPr="00F06DE2">
        <w:rPr>
          <w:rFonts w:ascii="Times New Roman" w:hAnsi="Times New Roman" w:cs="Times New Roman"/>
          <w:lang w:val="ru-RU"/>
        </w:rPr>
        <w:lastRenderedPageBreak/>
        <w:t>2.</w:t>
      </w:r>
      <w:r w:rsidRPr="00F06DE2">
        <w:rPr>
          <w:rFonts w:ascii="Times New Roman" w:hAnsi="Times New Roman" w:cs="Times New Roman"/>
          <w:lang w:val="ru-RU"/>
        </w:rPr>
        <w:tab/>
        <w:t xml:space="preserve">На борда на пътническите плавателни съдове се предоставя план за безопасност, в който ясно и прецизно се определя следното: </w:t>
      </w:r>
    </w:p>
    <w:p w14:paraId="670A40DB"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a) пространствата, предназначени за използване от лица с намалена подвижност;</w:t>
      </w:r>
    </w:p>
    <w:p w14:paraId="0F6702A1"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б) маршрутите за евакуация, аварийни изходи, сборни пунктове и пунктове за евакуация;</w:t>
      </w:r>
    </w:p>
    <w:p w14:paraId="7DDC91A2"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в) спасителното оборудване (включително корабните лодки) посочени в член 19.09;</w:t>
      </w:r>
    </w:p>
    <w:p w14:paraId="11CBE812"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г) пожарогасителите, посочени в член 19.12, точка 1;</w:t>
      </w:r>
    </w:p>
    <w:p w14:paraId="5692A386"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д) пожарогасителни и спринклерни системи под налягане, посочени в член 19.12;</w:t>
      </w:r>
    </w:p>
    <w:p w14:paraId="5298333B"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е) хидранти и маркучи, посочени в член 19.12, точки 2 и 3;</w:t>
      </w:r>
    </w:p>
    <w:p w14:paraId="33F23953"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ж) противопожарни помпи, посочени в член 19.12, точка 2, и осушителни помпи, посочени в член 8.08;</w:t>
      </w:r>
    </w:p>
    <w:p w14:paraId="6E8DE54A"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з) алармена система, посочена в член 19.08, точка 3, буква “а”;</w:t>
      </w:r>
    </w:p>
    <w:p w14:paraId="54A2344E"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и) алармената система, посочена в член 19.08, точка 3, букви “б” и “в”;</w:t>
      </w:r>
    </w:p>
    <w:p w14:paraId="6DBD67E1"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й) вратите в преградите, посочени в член 19.02, точка 5, и местата за управлението им, както и другите отвори, посочени в член 19.02, точки 9, 10 и 13 и член 19.03, точка 12;</w:t>
      </w:r>
    </w:p>
    <w:p w14:paraId="164710E3"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к) прегради от тип А, посочени в член 19.11, точка 2, и прегради, посочени в член 19.11, точка 11, както и врати в такива прегради;</w:t>
      </w:r>
    </w:p>
    <w:p w14:paraId="3F5F888A"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л) автоматични противопожарни клапи, включително местоположението на техните органи за управление, посочени в член 19.11, точка 15, буква “г” и ръчно задвижвани противопожарни клапи, посочени в член 19.11, точка 16;</w:t>
      </w:r>
    </w:p>
    <w:p w14:paraId="4F05F930"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м) пожароизвестителната система посочени в член 19.11, точка 18;</w:t>
      </w:r>
    </w:p>
    <w:p w14:paraId="33358539"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н) аварийният захранващ агрегат посочени в член 19.10, точка 4;</w:t>
      </w:r>
    </w:p>
    <w:p w14:paraId="2744ACEE"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о) елементите за управление на вентилационната система посочени в член 19.11, точка 15, буква “ж”;</w:t>
      </w:r>
    </w:p>
    <w:p w14:paraId="10AAFC68"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 xml:space="preserve">п) брегови електрически връзки, посочени в член 10.08; </w:t>
      </w:r>
    </w:p>
    <w:p w14:paraId="0AA1E25F"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р) устройствата за спиране линиите за гориво посочени в член 8.05, точка 7;</w:t>
      </w:r>
    </w:p>
    <w:p w14:paraId="7F762003"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 xml:space="preserve">с) инсталации за втечнен газ, посочени в член 19.15, точка 8; </w:t>
      </w:r>
    </w:p>
    <w:p w14:paraId="71B71A8F"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 xml:space="preserve">т) високоговорителните уредби посочени в член 19.08, точка 2; </w:t>
      </w:r>
    </w:p>
    <w:p w14:paraId="1882C960"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у) радиотелефонното оборудване;</w:t>
      </w:r>
    </w:p>
    <w:p w14:paraId="6C74313A"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ф) комплектите за оказване на първа помощ посочени в член 19.08, точка 9;</w:t>
      </w:r>
    </w:p>
    <w:p w14:paraId="4091779B"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х) автоматизираният външен дефибрилатор посочени в член 19.08, точка 10;</w:t>
      </w:r>
    </w:p>
    <w:p w14:paraId="27A640C3"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ц) комплекти автономни дихателни апарати, както и комплекти оборудвани с димни качулки, посочени в член 19.12, точка 10;</w:t>
      </w:r>
    </w:p>
    <w:p w14:paraId="300F4F4F"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ч) противопожарно одеяло, посочено в член 19.12, точка 1;</w:t>
      </w:r>
    </w:p>
    <w:p w14:paraId="566254B4"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ш) затварящи устройства за всмукване и изсмукване на вентилационен въздух по член 19.11, точка 15, буква “б”;</w:t>
      </w:r>
    </w:p>
    <w:p w14:paraId="1558506A" w14:textId="77777777" w:rsidR="00271FA2" w:rsidRPr="00F06DE2" w:rsidRDefault="00D35E51"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щ) устройства за задействане на системата за димоотвеждане, посочени в член 19.11, точка 17, буква “ж”;</w:t>
      </w:r>
    </w:p>
    <w:p w14:paraId="06FDA680" w14:textId="77777777" w:rsidR="00472A15" w:rsidRPr="00F06DE2" w:rsidRDefault="007F140B" w:rsidP="005C004D">
      <w:pPr>
        <w:pStyle w:val="ESlet"/>
        <w:spacing w:before="0"/>
        <w:ind w:left="567" w:right="-144"/>
        <w:jc w:val="both"/>
        <w:rPr>
          <w:rFonts w:ascii="Times New Roman" w:hAnsi="Times New Roman" w:cs="Times New Roman"/>
          <w:lang w:val="ru-RU"/>
        </w:rPr>
      </w:pPr>
      <w:r w:rsidRPr="00F06DE2">
        <w:rPr>
          <w:rFonts w:ascii="Times New Roman" w:hAnsi="Times New Roman" w:cs="Times New Roman"/>
          <w:lang w:val="ru-RU"/>
        </w:rPr>
        <w:t>Символите, използвани в плана за безопасност, трябва да са в съответствие с международния стандарт ISO 17631:2022 или други признати стандарти</w:t>
      </w:r>
      <w:r w:rsidRPr="00F06DE2" w:rsidDel="007F140B">
        <w:rPr>
          <w:rFonts w:ascii="Times New Roman" w:hAnsi="Times New Roman" w:cs="Times New Roman"/>
          <w:lang w:val="ru-RU"/>
        </w:rPr>
        <w:t xml:space="preserve"> </w:t>
      </w:r>
    </w:p>
    <w:p w14:paraId="5994F525" w14:textId="5DD7AB31" w:rsidR="00271FA2" w:rsidRPr="00F06DE2" w:rsidRDefault="00D35E51" w:rsidP="00472A15">
      <w:pPr>
        <w:pStyle w:val="ESlet"/>
        <w:spacing w:before="0"/>
        <w:ind w:left="567" w:right="-144" w:hanging="567"/>
        <w:jc w:val="both"/>
        <w:rPr>
          <w:rFonts w:ascii="Times New Roman" w:hAnsi="Times New Roman" w:cs="Times New Roman"/>
          <w:lang w:val="ru-RU"/>
        </w:rPr>
      </w:pPr>
      <w:r w:rsidRPr="00F06DE2">
        <w:rPr>
          <w:rFonts w:ascii="Times New Roman" w:hAnsi="Times New Roman" w:cs="Times New Roman"/>
          <w:lang w:val="ru-RU"/>
        </w:rPr>
        <w:lastRenderedPageBreak/>
        <w:t>3.</w:t>
      </w:r>
      <w:r w:rsidR="005C004D" w:rsidRPr="00F06DE2">
        <w:rPr>
          <w:rFonts w:ascii="Times New Roman" w:hAnsi="Times New Roman" w:cs="Times New Roman"/>
          <w:lang w:val="ru-RU"/>
        </w:rPr>
        <w:t xml:space="preserve"> </w:t>
      </w:r>
      <w:r w:rsidR="00472A15" w:rsidRPr="00F06DE2">
        <w:rPr>
          <w:rFonts w:ascii="Times New Roman" w:hAnsi="Times New Roman" w:cs="Times New Roman"/>
          <w:lang w:val="ru-RU"/>
        </w:rPr>
        <w:tab/>
      </w:r>
      <w:r w:rsidRPr="00F06DE2">
        <w:rPr>
          <w:rFonts w:ascii="Times New Roman" w:hAnsi="Times New Roman" w:cs="Times New Roman"/>
          <w:lang w:val="ru-RU"/>
        </w:rPr>
        <w:t>Разписанието по безопасността съгласно точка 1 и планът за безопасност съгласно точка 2:</w:t>
      </w:r>
    </w:p>
    <w:p w14:paraId="428D8573" w14:textId="77777777" w:rsidR="00271FA2" w:rsidRPr="00F06DE2" w:rsidRDefault="00D35E51" w:rsidP="00A4588C">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се подпечатват надлежно от контролния орган, и</w:t>
      </w:r>
    </w:p>
    <w:p w14:paraId="4A457407"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трябва да бъдат на разположение на място, постоянно обслужвано от персонал на борда на кораба или членове на екипажа;</w:t>
      </w:r>
    </w:p>
    <w:p w14:paraId="658115EB" w14:textId="77777777" w:rsidR="00271FA2" w:rsidRPr="00F06DE2" w:rsidRDefault="00D35E51">
      <w:pPr>
        <w:pStyle w:val="ESlet"/>
        <w:spacing w:before="0"/>
        <w:ind w:left="567"/>
        <w:jc w:val="both"/>
        <w:rPr>
          <w:rFonts w:ascii="Times New Roman" w:eastAsia="Calibri" w:hAnsi="Times New Roman" w:cs="Times New Roman"/>
          <w:lang w:val="ru-RU"/>
        </w:rPr>
      </w:pPr>
      <w:r w:rsidRPr="00F06DE2">
        <w:rPr>
          <w:rFonts w:ascii="Times New Roman" w:eastAsia="Calibri" w:hAnsi="Times New Roman" w:cs="Times New Roman"/>
          <w:lang w:val="ru-RU"/>
        </w:rPr>
        <w:t>в) трябва да се съхраняват постоянно във видимо маркиран защитен от атмосферни влияния корпус извън постройката за нуждите на крайбрежния противопожарен персонал.</w:t>
      </w:r>
    </w:p>
    <w:p w14:paraId="2432CF5C" w14:textId="77777777" w:rsidR="00271FA2" w:rsidRPr="00F06DE2" w:rsidRDefault="00D35E51">
      <w:pPr>
        <w:pStyle w:val="ESlet"/>
        <w:spacing w:before="0"/>
        <w:ind w:left="567" w:hanging="567"/>
        <w:jc w:val="both"/>
        <w:rPr>
          <w:rFonts w:ascii="Times New Roman" w:eastAsia="Calibri" w:hAnsi="Times New Roman" w:cs="Times New Roman"/>
          <w:lang w:val="ru-RU"/>
        </w:rPr>
      </w:pPr>
      <w:r w:rsidRPr="00F06DE2">
        <w:rPr>
          <w:rFonts w:ascii="Times New Roman" w:eastAsia="Calibri" w:hAnsi="Times New Roman" w:cs="Times New Roman"/>
          <w:lang w:val="ru-RU"/>
        </w:rPr>
        <w:t>4.</w:t>
      </w:r>
      <w:r w:rsidRPr="00F06DE2">
        <w:rPr>
          <w:rFonts w:ascii="Times New Roman" w:eastAsia="Calibri" w:hAnsi="Times New Roman" w:cs="Times New Roman"/>
          <w:lang w:val="ru-RU"/>
        </w:rPr>
        <w:tab/>
        <w:t>Опростен план за безопасност, съдържащ само информацията, посочена в точка 2, букви “</w:t>
      </w:r>
      <w:r w:rsidRPr="00F06DE2">
        <w:rPr>
          <w:rFonts w:ascii="Times New Roman" w:eastAsia="Calibri" w:hAnsi="Times New Roman" w:cs="Times New Roman"/>
        </w:rPr>
        <w:t>a</w:t>
      </w:r>
      <w:r w:rsidRPr="00F06DE2">
        <w:rPr>
          <w:rFonts w:ascii="Times New Roman" w:eastAsia="Calibri" w:hAnsi="Times New Roman" w:cs="Times New Roman"/>
          <w:lang w:val="ru-RU"/>
        </w:rPr>
        <w:t>-г”, “з”, “ф” и “х” трябва да бъдат изложени на видно и подходящо място на всяка палуба и трябва да бъдат поставени във всяка каюта. По изключение може да се използва планът за безопасност съгласно точка 2 вместо опростения план за безопасност.</w:t>
      </w:r>
    </w:p>
    <w:p w14:paraId="4C49C0FB"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На видно и подходящо място се поставя Кодекс за поведение на пътниците на всяка палуба. Кодексът за поведение на пътниците на всяка палуба трябва да бъде поставен във всяка каюта.</w:t>
      </w:r>
    </w:p>
    <w:p w14:paraId="447D3EBE"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Настоящият Кодекс за поведение включва най-малко:</w:t>
      </w:r>
    </w:p>
    <w:p w14:paraId="13DCC589" w14:textId="77777777" w:rsidR="00271FA2" w:rsidRPr="00F06DE2" w:rsidRDefault="00D35E51" w:rsidP="00472A15">
      <w:pPr>
        <w:pStyle w:val="ESlet"/>
        <w:numPr>
          <w:ilvl w:val="0"/>
          <w:numId w:val="25"/>
        </w:numPr>
        <w:spacing w:before="0"/>
        <w:ind w:left="567"/>
        <w:jc w:val="both"/>
        <w:rPr>
          <w:rFonts w:ascii="Times New Roman" w:eastAsia="Calibri" w:hAnsi="Times New Roman" w:cs="Times New Roman"/>
        </w:rPr>
      </w:pPr>
      <w:r w:rsidRPr="00F06DE2">
        <w:rPr>
          <w:rFonts w:ascii="Times New Roman" w:hAnsi="Times New Roman" w:cs="Times New Roman"/>
        </w:rPr>
        <w:t>определяне на извънредните ситуации:</w:t>
      </w:r>
    </w:p>
    <w:p w14:paraId="1792C953" w14:textId="77777777" w:rsidR="00271FA2" w:rsidRPr="00F06DE2" w:rsidRDefault="00D35E51" w:rsidP="00472A15">
      <w:pPr>
        <w:pStyle w:val="ESletpar"/>
        <w:spacing w:before="0"/>
        <w:ind w:left="567"/>
        <w:jc w:val="both"/>
        <w:rPr>
          <w:rFonts w:ascii="Times New Roman" w:eastAsia="Calibri" w:hAnsi="Times New Roman" w:cs="Times New Roman"/>
        </w:rPr>
      </w:pPr>
      <w:r w:rsidRPr="00F06DE2">
        <w:rPr>
          <w:rFonts w:ascii="Times New Roman" w:hAnsi="Times New Roman" w:cs="Times New Roman"/>
        </w:rPr>
        <w:t>aa) пожар;</w:t>
      </w:r>
    </w:p>
    <w:p w14:paraId="75424399" w14:textId="77777777" w:rsidR="00271FA2" w:rsidRPr="00F06DE2" w:rsidRDefault="00D35E51" w:rsidP="00472A15">
      <w:pPr>
        <w:pStyle w:val="ESletpar"/>
        <w:spacing w:before="0"/>
        <w:ind w:left="567"/>
        <w:jc w:val="both"/>
        <w:rPr>
          <w:rFonts w:ascii="Times New Roman" w:eastAsia="Calibri" w:hAnsi="Times New Roman" w:cs="Times New Roman"/>
        </w:rPr>
      </w:pPr>
      <w:r w:rsidRPr="00F06DE2">
        <w:rPr>
          <w:rFonts w:ascii="Times New Roman" w:hAnsi="Times New Roman" w:cs="Times New Roman"/>
        </w:rPr>
        <w:t>бб) наводняване;</w:t>
      </w:r>
    </w:p>
    <w:p w14:paraId="0A284B9B" w14:textId="77777777" w:rsidR="00271FA2" w:rsidRPr="00F06DE2" w:rsidRDefault="00D35E51" w:rsidP="00472A15">
      <w:pPr>
        <w:pStyle w:val="ESletpar"/>
        <w:spacing w:before="0"/>
        <w:ind w:left="567"/>
        <w:jc w:val="both"/>
        <w:rPr>
          <w:rFonts w:ascii="Times New Roman" w:eastAsia="Calibri" w:hAnsi="Times New Roman" w:cs="Times New Roman"/>
        </w:rPr>
      </w:pPr>
      <w:r w:rsidRPr="00F06DE2">
        <w:rPr>
          <w:rFonts w:ascii="Times New Roman" w:hAnsi="Times New Roman" w:cs="Times New Roman"/>
        </w:rPr>
        <w:t>вв) обща опасност.</w:t>
      </w:r>
    </w:p>
    <w:p w14:paraId="46E93913"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описание на различните видове алармени сигнали;</w:t>
      </w:r>
    </w:p>
    <w:p w14:paraId="7C3F577B"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указания относно:</w:t>
      </w:r>
    </w:p>
    <w:p w14:paraId="250BF1C3" w14:textId="77777777" w:rsidR="00271FA2" w:rsidRPr="00F06DE2" w:rsidRDefault="00D35E51" w:rsidP="00472A15">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маршрутите за евакуация;</w:t>
      </w:r>
    </w:p>
    <w:p w14:paraId="564684DA" w14:textId="77777777" w:rsidR="00271FA2" w:rsidRPr="00F06DE2" w:rsidRDefault="00D35E51" w:rsidP="00472A15">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бб) действията, които да бъдат предприемани;</w:t>
      </w:r>
    </w:p>
    <w:p w14:paraId="6A63962E" w14:textId="77777777" w:rsidR="00271FA2" w:rsidRPr="00F06DE2" w:rsidRDefault="00D35E51" w:rsidP="00472A15">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вв) необходимостта да се запази спокойствие.</w:t>
      </w:r>
    </w:p>
    <w:p w14:paraId="09854DA3"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указания относно:</w:t>
      </w:r>
    </w:p>
    <w:p w14:paraId="5A002168" w14:textId="77777777" w:rsidR="00271FA2" w:rsidRPr="00F06DE2" w:rsidRDefault="00D35E51" w:rsidP="00472A15">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пушенето;</w:t>
      </w:r>
    </w:p>
    <w:p w14:paraId="520E7FA7" w14:textId="77777777" w:rsidR="00271FA2" w:rsidRPr="00F06DE2" w:rsidRDefault="00D35E51" w:rsidP="00472A15">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бб) използването на огън и открит пламък;</w:t>
      </w:r>
    </w:p>
    <w:p w14:paraId="11440097" w14:textId="77777777" w:rsidR="00271FA2" w:rsidRPr="00F06DE2" w:rsidRDefault="00D35E51" w:rsidP="00472A15">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вв) отварянето на прозорци;</w:t>
      </w:r>
    </w:p>
    <w:p w14:paraId="78D748F0" w14:textId="77777777" w:rsidR="00271FA2" w:rsidRPr="00F06DE2" w:rsidRDefault="00D35E51" w:rsidP="00472A15">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гг) използването на определено оборудване.</w:t>
      </w:r>
    </w:p>
    <w:p w14:paraId="76162635" w14:textId="0140F08B" w:rsidR="00271FA2" w:rsidRPr="00F06DE2" w:rsidRDefault="00D35E51" w:rsidP="00472A15">
      <w:pPr>
        <w:pStyle w:val="ESchpar"/>
        <w:jc w:val="both"/>
        <w:rPr>
          <w:rFonts w:ascii="Times New Roman" w:hAnsi="Times New Roman" w:cs="Times New Roman"/>
          <w:lang w:val="ru-RU"/>
        </w:rPr>
      </w:pPr>
      <w:r w:rsidRPr="00F06DE2">
        <w:rPr>
          <w:rFonts w:ascii="Times New Roman" w:hAnsi="Times New Roman" w:cs="Times New Roman"/>
          <w:lang w:val="ru-RU"/>
        </w:rPr>
        <w:t>Тези подробности трябва да са написани на нидерландски, английски, френски и немски език.</w:t>
      </w:r>
    </w:p>
    <w:p w14:paraId="3358B8F2" w14:textId="77777777" w:rsidR="00472A15" w:rsidRPr="00F06DE2" w:rsidRDefault="00472A15" w:rsidP="00472A15">
      <w:pPr>
        <w:pStyle w:val="ESchpar"/>
        <w:jc w:val="both"/>
        <w:rPr>
          <w:rFonts w:ascii="Times New Roman" w:hAnsi="Times New Roman" w:cs="Times New Roman"/>
          <w:lang w:val="ru-RU"/>
        </w:rPr>
      </w:pPr>
    </w:p>
    <w:p w14:paraId="4AC4A561"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60" w:name="_Toc535827624"/>
      <w:bookmarkStart w:id="361" w:name="_Toc491854183"/>
      <w:r w:rsidRPr="00F06DE2">
        <w:rPr>
          <w:rFonts w:ascii="Times New Roman" w:hAnsi="Times New Roman" w:cs="Times New Roman"/>
          <w:sz w:val="24"/>
          <w:szCs w:val="24"/>
          <w:lang w:val="ru-RU"/>
        </w:rPr>
        <w:t>Член 19.14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Съоръжения за събиране и изхвърляне на отпадъчни води</w:t>
      </w:r>
      <w:bookmarkEnd w:id="360"/>
      <w:bookmarkEnd w:id="361"/>
    </w:p>
    <w:p w14:paraId="75096A41"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Пътническите плавателни съдове трябва да бъдат оборудвани с резервоари за събиране на битови отпадъчни води в съответствие с точка 2 от настоящия член или с подходящи бордови станции за пречистване на отпадъчни води в съответствие с Глава 18.</w:t>
      </w:r>
    </w:p>
    <w:p w14:paraId="053E2EA9"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Резервоарите за събиране на отпадъчни води трябва да имат достатъчен капацитет. Резервоарите трябва да са оборудвани с устройство, показващо нивото на съдържанието им. На борда трябва да има помпи и тръби за изпразване на резервоарите, чрез които отпадъчните води да могат да се отвеждат от двете страни на плавателния съд. Трябва да е възможно през тях да се провеждат отпадъчни води от други плавателни съдове.</w:t>
      </w:r>
    </w:p>
    <w:p w14:paraId="3D90C45D"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lastRenderedPageBreak/>
        <w:t xml:space="preserve">Тръбите трябва да са снабдени с изходни връзки за отвеждане на отпадъчни води в съответствие с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1306:2018.</w:t>
      </w:r>
    </w:p>
    <w:p w14:paraId="75C9FBBF" w14:textId="77777777" w:rsidR="00271FA2" w:rsidRPr="00F06DE2" w:rsidRDefault="00D35E51">
      <w:pPr>
        <w:pStyle w:val="ESchpar"/>
        <w:ind w:hanging="567"/>
        <w:jc w:val="both"/>
        <w:rPr>
          <w:rFonts w:ascii="Times New Roman" w:eastAsia="Calibri" w:hAnsi="Times New Roman" w:cs="Times New Roman"/>
          <w:lang w:val="ru-RU"/>
        </w:rPr>
      </w:pPr>
      <w:r w:rsidRPr="00F06DE2">
        <w:rPr>
          <w:rFonts w:ascii="Times New Roman" w:eastAsia="Calibri" w:hAnsi="Times New Roman" w:cs="Times New Roman"/>
          <w:lang w:val="ru-RU"/>
        </w:rPr>
        <w:t>3.</w:t>
      </w:r>
      <w:r w:rsidRPr="00F06DE2">
        <w:rPr>
          <w:rFonts w:ascii="Times New Roman" w:eastAsia="Calibri" w:hAnsi="Times New Roman" w:cs="Times New Roman"/>
          <w:lang w:val="ru-RU"/>
        </w:rPr>
        <w:tab/>
        <w:t>За пътнически плавателни съдове, които не произвеждат битови отпадъчни води, инспекционният орган може да се откаже от прилагането на точка 1. Тази дерогация се вписва в точка 52 от Корабното удостоверение за вътрешно корабоплаване.</w:t>
      </w:r>
    </w:p>
    <w:p w14:paraId="60CBD807"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62" w:name="_Toc535827625"/>
      <w:bookmarkStart w:id="363" w:name="_Toc491854184"/>
      <w:r w:rsidRPr="00F06DE2">
        <w:rPr>
          <w:rFonts w:ascii="Times New Roman" w:hAnsi="Times New Roman" w:cs="Times New Roman"/>
          <w:sz w:val="24"/>
          <w:szCs w:val="24"/>
          <w:lang w:val="ru-RU"/>
        </w:rPr>
        <w:t>Член 19.15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Изключения за определени пътнически плавателни съдове</w:t>
      </w:r>
      <w:bookmarkEnd w:id="362"/>
      <w:bookmarkEnd w:id="363"/>
    </w:p>
    <w:p w14:paraId="072B7850" w14:textId="77777777" w:rsidR="00271FA2" w:rsidRPr="00F06DE2" w:rsidRDefault="00D35E51" w:rsidP="00472A15">
      <w:pPr>
        <w:pStyle w:val="ESch"/>
        <w:numPr>
          <w:ilvl w:val="0"/>
          <w:numId w:val="26"/>
        </w:numPr>
        <w:ind w:leftChars="1" w:left="519" w:hangingChars="235" w:hanging="517"/>
        <w:jc w:val="both"/>
        <w:rPr>
          <w:rFonts w:ascii="Times New Roman" w:hAnsi="Times New Roman" w:cs="Times New Roman"/>
          <w:lang w:val="ru-RU"/>
        </w:rPr>
      </w:pPr>
      <w:r w:rsidRPr="00F06DE2">
        <w:rPr>
          <w:rFonts w:ascii="Times New Roman" w:hAnsi="Times New Roman" w:cs="Times New Roman"/>
          <w:lang w:val="ru-RU"/>
        </w:rPr>
        <w:t xml:space="preserve">Пътнически плавателни съдове, на които е разрешено да превозват по-малко от 50 пътници и които са с дължина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xml:space="preserve">, не по-голяма от 25 </w:t>
      </w:r>
      <w:r w:rsidRPr="00F06DE2">
        <w:rPr>
          <w:rFonts w:ascii="Times New Roman" w:hAnsi="Times New Roman" w:cs="Times New Roman"/>
        </w:rPr>
        <w:t>m</w:t>
      </w:r>
      <w:r w:rsidRPr="00F06DE2">
        <w:rPr>
          <w:rFonts w:ascii="Times New Roman" w:hAnsi="Times New Roman" w:cs="Times New Roman"/>
          <w:lang w:val="ru-RU"/>
        </w:rPr>
        <w:t xml:space="preserve">, трябва да осигуряват достатъчна устойчивост след повреда по смисъла на член 19.03, точки 7 - 13 или, като алтернатива, за тях трябва да е доказано, че отговарят на следните критерии след наводняване на всяко отделно отделение: </w:t>
      </w:r>
    </w:p>
    <w:p w14:paraId="29B33A87" w14:textId="77777777" w:rsidR="00271FA2" w:rsidRPr="00F06DE2" w:rsidRDefault="00D35E51" w:rsidP="00472A15">
      <w:pPr>
        <w:pStyle w:val="ESch"/>
        <w:numPr>
          <w:ilvl w:val="255"/>
          <w:numId w:val="0"/>
        </w:numPr>
        <w:ind w:leftChars="1" w:left="2" w:firstLine="56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газенето на плавателния съд не трябва да преминава пределната линия; и</w:t>
      </w:r>
    </w:p>
    <w:p w14:paraId="5BD91FFD" w14:textId="77777777" w:rsidR="00271FA2" w:rsidRPr="00F06DE2" w:rsidRDefault="00D35E51" w:rsidP="00472A15">
      <w:pPr>
        <w:pStyle w:val="ESch"/>
        <w:numPr>
          <w:ilvl w:val="255"/>
          <w:numId w:val="0"/>
        </w:numPr>
        <w:ind w:leftChars="1" w:left="2" w:firstLine="564"/>
        <w:jc w:val="both"/>
        <w:rPr>
          <w:rFonts w:ascii="Times New Roman" w:eastAsia="Calibri" w:hAnsi="Times New Roman" w:cs="Times New Roman"/>
          <w:lang w:val="ru-RU"/>
        </w:rPr>
      </w:pPr>
      <w:r w:rsidRPr="00F06DE2">
        <w:rPr>
          <w:rFonts w:ascii="Times New Roman" w:hAnsi="Times New Roman" w:cs="Times New Roman"/>
          <w:lang w:val="ru-RU"/>
        </w:rPr>
        <w:t xml:space="preserve">б) остатъчната метацентрична височина </w:t>
      </w:r>
      <m:oMath>
        <m:sSub>
          <m:sSubPr>
            <m:ctrlPr>
              <w:rPr>
                <w:rFonts w:ascii="Cambria Math" w:eastAsia="Calibri" w:hAnsi="Cambria Math" w:cs="Times New Roman"/>
                <w:i/>
              </w:rPr>
            </m:ctrlPr>
          </m:sSubPr>
          <m:e>
            <m:r>
              <w:rPr>
                <w:rFonts w:ascii="Cambria Math" w:eastAsia="Calibri" w:hAnsi="Cambria Math" w:cs="Times New Roman"/>
              </w:rPr>
              <m:t>GM</m:t>
            </m:r>
          </m:e>
          <m:sub>
            <m:r>
              <w:rPr>
                <w:rFonts w:ascii="Cambria Math" w:eastAsia="Calibri" w:hAnsi="Cambria Math" w:cs="Times New Roman"/>
              </w:rPr>
              <m:t>R</m:t>
            </m:r>
          </m:sub>
        </m:sSub>
      </m:oMath>
      <w:r w:rsidRPr="00F06DE2">
        <w:rPr>
          <w:rFonts w:ascii="Times New Roman" w:hAnsi="Times New Roman" w:cs="Times New Roman"/>
          <w:lang w:val="ru-RU"/>
        </w:rPr>
        <w:t xml:space="preserve"> не трябва да е по-малка от 0,10</w:t>
      </w:r>
      <w:r w:rsidRPr="00F06DE2">
        <w:rPr>
          <w:rFonts w:ascii="Times New Roman" w:hAnsi="Times New Roman" w:cs="Times New Roman"/>
        </w:rPr>
        <w:t> m</w:t>
      </w:r>
      <w:r w:rsidRPr="00F06DE2">
        <w:rPr>
          <w:rFonts w:ascii="Times New Roman" w:hAnsi="Times New Roman" w:cs="Times New Roman"/>
          <w:lang w:val="ru-RU"/>
        </w:rPr>
        <w:t>.</w:t>
      </w:r>
    </w:p>
    <w:p w14:paraId="33AD09AC" w14:textId="77777777" w:rsidR="00271FA2" w:rsidRPr="00F06DE2" w:rsidRDefault="00D35E51" w:rsidP="00472A15">
      <w:pPr>
        <w:pStyle w:val="ESchpar"/>
        <w:ind w:leftChars="236" w:left="519" w:firstLine="1"/>
        <w:jc w:val="both"/>
        <w:rPr>
          <w:rFonts w:ascii="Times New Roman" w:hAnsi="Times New Roman" w:cs="Times New Roman"/>
          <w:lang w:val="ru-RU"/>
        </w:rPr>
      </w:pPr>
      <w:r w:rsidRPr="00F06DE2">
        <w:rPr>
          <w:rFonts w:ascii="Times New Roman" w:hAnsi="Times New Roman" w:cs="Times New Roman"/>
          <w:lang w:val="ru-RU"/>
        </w:rPr>
        <w:t xml:space="preserve">Необходимата остатъчна плавателност трябва да бъде осигурена чрез подходящ избор на материали, използвани за построяването на корпуса или посредством клетъчни пенопластови поплавъци, неподвижно прикрепени към корпуса. При плавателни съдове с дължина, по-голяма от 15 </w:t>
      </w:r>
      <w:r w:rsidRPr="00F06DE2">
        <w:rPr>
          <w:rFonts w:ascii="Times New Roman" w:hAnsi="Times New Roman" w:cs="Times New Roman"/>
        </w:rPr>
        <w:t>m</w:t>
      </w:r>
      <w:r w:rsidRPr="00F06DE2">
        <w:rPr>
          <w:rFonts w:ascii="Times New Roman" w:hAnsi="Times New Roman" w:cs="Times New Roman"/>
          <w:lang w:val="ru-RU"/>
        </w:rPr>
        <w:t>, остатъчната плавателност може да бъде осигурена чрез съчетание от поплавъци и разделяне на отсеци, отговарящо на изискванията относно повреда на един отсек съгласно член 19.03.</w:t>
      </w:r>
    </w:p>
    <w:p w14:paraId="1058E062" w14:textId="77777777" w:rsidR="00271FA2" w:rsidRPr="00F06DE2" w:rsidRDefault="00D35E51">
      <w:pPr>
        <w:pStyle w:val="ESchpar"/>
        <w:ind w:hanging="567"/>
        <w:jc w:val="both"/>
        <w:rPr>
          <w:rFonts w:ascii="Times New Roman" w:eastAsia="Calibri" w:hAnsi="Times New Roman" w:cs="Times New Roman"/>
          <w:lang w:val="ru-RU"/>
        </w:rPr>
      </w:pPr>
      <w:r w:rsidRPr="00F06DE2">
        <w:rPr>
          <w:rFonts w:ascii="Times New Roman" w:eastAsia="Calibri" w:hAnsi="Times New Roman" w:cs="Times New Roman"/>
          <w:lang w:val="ru-RU"/>
        </w:rPr>
        <w:t>1а.</w:t>
      </w:r>
      <w:r w:rsidRPr="00F06DE2">
        <w:rPr>
          <w:rFonts w:ascii="Times New Roman" w:eastAsia="Calibri" w:hAnsi="Times New Roman" w:cs="Times New Roman"/>
          <w:lang w:val="ru-RU"/>
        </w:rPr>
        <w:tab/>
        <w:t>Контролният орган може да отмени прилагането на член 19.09, точка 1 за пътнически плавателни съдове в съответствие с точка 1.</w:t>
      </w:r>
    </w:p>
    <w:p w14:paraId="3CA4BB5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 пътнически плавателни съдове в съответствие с точка 1, контролният орган може да разреши някои незначителни дерогации относно габаритната височина, изисквана съгласно член 19.06, точка 3, буква “в” и точка 5, буква “б”. Дерогацията не може да бъде повече от 5</w:t>
      </w:r>
      <w:r w:rsidRPr="00F06DE2">
        <w:rPr>
          <w:rFonts w:ascii="Times New Roman" w:hAnsi="Times New Roman" w:cs="Times New Roman"/>
        </w:rPr>
        <w:t> </w:t>
      </w:r>
      <w:r w:rsidRPr="00F06DE2">
        <w:rPr>
          <w:rFonts w:ascii="Times New Roman" w:hAnsi="Times New Roman" w:cs="Times New Roman"/>
          <w:lang w:val="ru-RU"/>
        </w:rPr>
        <w:t>%. В случай на дерогации, съответните части се маркират в различен цвят.</w:t>
      </w:r>
    </w:p>
    <w:p w14:paraId="16B4954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Чрез дерогация от член 19.03, точка 9, пътническите плавателни съдове с дължина </w:t>
      </w:r>
      <m:oMath>
        <m:r>
          <w:rPr>
            <w:rFonts w:ascii="Cambria Math" w:eastAsia="Calibri" w:hAnsi="Cambria Math" w:cs="Times New Roman"/>
          </w:rPr>
          <m:t>L</m:t>
        </m:r>
      </m:oMath>
      <w:r w:rsidRPr="00F06DE2">
        <w:rPr>
          <w:rFonts w:ascii="Times New Roman" w:hAnsi="Times New Roman" w:cs="Times New Roman"/>
          <w:lang w:val="ru-RU"/>
        </w:rPr>
        <w:t xml:space="preserve">, не по-голяма от 45 </w:t>
      </w:r>
      <w:r w:rsidRPr="00F06DE2">
        <w:rPr>
          <w:rFonts w:ascii="Times New Roman" w:hAnsi="Times New Roman" w:cs="Times New Roman"/>
        </w:rPr>
        <w:t>m</w:t>
      </w:r>
      <w:r w:rsidRPr="00F06DE2">
        <w:rPr>
          <w:rFonts w:ascii="Times New Roman" w:hAnsi="Times New Roman" w:cs="Times New Roman"/>
          <w:lang w:val="ru-RU"/>
        </w:rPr>
        <w:t>, които са одобрени да превозват до 250 пътници, не е необходимо да отговарят на изисквания при повреда на два отсека.</w:t>
      </w:r>
    </w:p>
    <w:p w14:paraId="28CEE0D7"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ab/>
        <w:t xml:space="preserve">В допълнение, чрез дерогация от член 19.03, точка 9, пътнически плавателни съдове с дължина </w:t>
      </w:r>
      <w:r w:rsidRPr="00F06DE2">
        <w:rPr>
          <w:rFonts w:ascii="Cambria Math" w:hAnsi="Cambria Math" w:cs="Cambria Math"/>
        </w:rPr>
        <w:t>𝐿</w:t>
      </w:r>
      <w:r w:rsidRPr="00F06DE2">
        <w:rPr>
          <w:rFonts w:ascii="Cambria Math" w:hAnsi="Cambria Math" w:cs="Cambria Math"/>
          <w:vertAlign w:val="subscript"/>
        </w:rPr>
        <w:t>𝑊𝐿</w:t>
      </w:r>
      <w:r w:rsidRPr="00F06DE2">
        <w:rPr>
          <w:rFonts w:ascii="Times New Roman" w:hAnsi="Times New Roman" w:cs="Times New Roman"/>
          <w:lang w:val="ru-RU"/>
        </w:rPr>
        <w:t xml:space="preserve"> не повече от 25 </w:t>
      </w:r>
      <w:r w:rsidRPr="00F06DE2">
        <w:rPr>
          <w:rFonts w:ascii="Times New Roman" w:hAnsi="Times New Roman" w:cs="Times New Roman"/>
        </w:rPr>
        <w:t>m</w:t>
      </w:r>
      <w:r w:rsidRPr="00F06DE2">
        <w:rPr>
          <w:rFonts w:ascii="Times New Roman" w:hAnsi="Times New Roman" w:cs="Times New Roman"/>
          <w:lang w:val="ru-RU"/>
        </w:rPr>
        <w:t xml:space="preserve"> и разрешени</w:t>
      </w:r>
      <w:r w:rsidRPr="00F06DE2">
        <w:rPr>
          <w:rFonts w:ascii="Times New Roman" w:hAnsi="Times New Roman" w:cs="Times New Roman"/>
        </w:rPr>
        <w:t>e</w:t>
      </w:r>
      <w:r w:rsidRPr="00F06DE2">
        <w:rPr>
          <w:rFonts w:ascii="Times New Roman" w:hAnsi="Times New Roman" w:cs="Times New Roman"/>
          <w:lang w:val="ru-RU"/>
        </w:rPr>
        <w:t xml:space="preserve"> да превозват до максимум 150 пътници трябва да отговарят на наводнен 1 отсек със следните размери на повредата странично и на дъното: 0,10 </w:t>
      </w:r>
      <w:r w:rsidRPr="00F06DE2">
        <w:rPr>
          <w:rFonts w:ascii="Cambria Math" w:hAnsi="Cambria Math" w:cs="Cambria Math"/>
        </w:rPr>
        <w:t>𝐿</w:t>
      </w:r>
      <w:r w:rsidRPr="00F06DE2">
        <w:rPr>
          <w:rFonts w:ascii="Cambria Math" w:hAnsi="Cambria Math" w:cs="Cambria Math"/>
          <w:vertAlign w:val="subscript"/>
        </w:rPr>
        <w:t>𝑊𝐿</w:t>
      </w:r>
      <w:r w:rsidRPr="00F06DE2">
        <w:rPr>
          <w:rFonts w:ascii="Times New Roman" w:hAnsi="Times New Roman" w:cs="Times New Roman"/>
          <w:lang w:val="ru-RU"/>
        </w:rPr>
        <w:t xml:space="preserve">, но не по-малко от 2,00 </w:t>
      </w:r>
      <w:r w:rsidRPr="00F06DE2">
        <w:rPr>
          <w:rFonts w:ascii="Times New Roman" w:hAnsi="Times New Roman" w:cs="Times New Roman"/>
        </w:rPr>
        <w:t>m</w:t>
      </w:r>
      <w:r w:rsidRPr="00F06DE2">
        <w:rPr>
          <w:rFonts w:ascii="Times New Roman" w:hAnsi="Times New Roman" w:cs="Times New Roman"/>
          <w:lang w:val="ru-RU"/>
        </w:rPr>
        <w:t>.</w:t>
      </w:r>
    </w:p>
    <w:p w14:paraId="2394661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Контролният орган може да освободи от прилагане на член 13.07 пътнически плавателни съдове, на които е разрешено да превозват най-много 250 пътници и които са с дължина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xml:space="preserve">, не по-голяма от 25 </w:t>
      </w:r>
      <w:r w:rsidRPr="00F06DE2">
        <w:rPr>
          <w:rFonts w:ascii="Times New Roman" w:hAnsi="Times New Roman" w:cs="Times New Roman"/>
        </w:rPr>
        <w:t>m</w:t>
      </w:r>
      <w:r w:rsidRPr="00F06DE2">
        <w:rPr>
          <w:rFonts w:ascii="Times New Roman" w:hAnsi="Times New Roman" w:cs="Times New Roman"/>
          <w:lang w:val="ru-RU"/>
        </w:rPr>
        <w:t xml:space="preserve"> при условие, че те са оборудвани с платформа, достъпна и от двете страни на плавателния съд, точно над водолинията, която да прави възможно изваждането на хора от водата. Пътническите плавателни съдове могат да бъдат оборудвани със съпоставимо съоръжение при следните условия:</w:t>
      </w:r>
    </w:p>
    <w:p w14:paraId="0F1DF706"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съоръжението трябва да може да бъде управлявано от едно лице;</w:t>
      </w:r>
    </w:p>
    <w:p w14:paraId="0B9A5329"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подвижни съоръжения са разрешени;</w:t>
      </w:r>
    </w:p>
    <w:p w14:paraId="3A75054A"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съоръженията трябва да бъдат извън опасната зона на системите за задвижване; и</w:t>
      </w:r>
    </w:p>
    <w:p w14:paraId="3658C6F8"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г) трябва да е възможна ефективна комуникация между капитана и лицето, отговарящо за съоръжението.</w:t>
      </w:r>
    </w:p>
    <w:p w14:paraId="06D5DED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Контролният орган може да освободи от прилагането на член 13.07 пътнически плавателни съдове, на които е разрешено да превозват най-много 600 пътници и които са с дължина </w:t>
      </w:r>
      <m:oMath>
        <m:r>
          <w:rPr>
            <w:rFonts w:ascii="Cambria Math" w:eastAsia="Calibri" w:hAnsi="Cambria Math" w:cs="Times New Roman"/>
          </w:rPr>
          <m:t>L</m:t>
        </m:r>
      </m:oMath>
      <w:r w:rsidRPr="00F06DE2">
        <w:rPr>
          <w:rFonts w:ascii="Times New Roman" w:hAnsi="Times New Roman" w:cs="Times New Roman"/>
          <w:lang w:val="ru-RU"/>
        </w:rPr>
        <w:t xml:space="preserve">, не по-голяма от 45 </w:t>
      </w:r>
      <w:r w:rsidRPr="00F06DE2">
        <w:rPr>
          <w:rFonts w:ascii="Times New Roman" w:hAnsi="Times New Roman" w:cs="Times New Roman"/>
        </w:rPr>
        <w:t>m</w:t>
      </w:r>
      <w:r w:rsidRPr="00F06DE2">
        <w:rPr>
          <w:rFonts w:ascii="Times New Roman" w:hAnsi="Times New Roman" w:cs="Times New Roman"/>
          <w:lang w:val="ru-RU"/>
        </w:rPr>
        <w:t xml:space="preserve">, при условие че са оборудвани с платформа съгласно точка 4, първо изречение </w:t>
      </w:r>
      <w:r w:rsidRPr="00F06DE2">
        <w:rPr>
          <w:rFonts w:ascii="Times New Roman" w:hAnsi="Times New Roman" w:cs="Times New Roman"/>
          <w:lang w:val="ru-RU"/>
        </w:rPr>
        <w:lastRenderedPageBreak/>
        <w:t>или с равностойно съоръжение съгласно точка 4, второ изречение. Освен това пътническият плавателен съд трябва да разполага с:</w:t>
      </w:r>
    </w:p>
    <w:p w14:paraId="55D23079"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винто-рулева колона, крилчат движител или водоструен двигател като главна задвижваща система; или</w:t>
      </w:r>
    </w:p>
    <w:p w14:paraId="7B9A7A67"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главна задвижваща система с две задвижващи звена; или</w:t>
      </w:r>
    </w:p>
    <w:p w14:paraId="7056C98F" w14:textId="77777777" w:rsidR="00271FA2" w:rsidRPr="00F06DE2" w:rsidRDefault="00D35E51" w:rsidP="00472A15">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главна задвижваща система и носово подрулващо устройство.</w:t>
      </w:r>
    </w:p>
    <w:p w14:paraId="4C7F74CD"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Чрез дерогация от член 19.02, точка 9 за пътнически плавателни съдове с дължина </w:t>
      </w:r>
      <m:oMath>
        <m:r>
          <w:rPr>
            <w:rFonts w:ascii="Cambria Math" w:eastAsia="Calibri" w:hAnsi="Cambria Math" w:cs="Times New Roman"/>
          </w:rPr>
          <m:t>L</m:t>
        </m:r>
      </m:oMath>
      <w:r w:rsidRPr="00F06DE2">
        <w:rPr>
          <w:rFonts w:ascii="Times New Roman" w:hAnsi="Times New Roman" w:cs="Times New Roman"/>
          <w:lang w:val="ru-RU"/>
        </w:rPr>
        <w:t>, не по-голяма от 45</w:t>
      </w:r>
      <w:r w:rsidRPr="00F06DE2">
        <w:rPr>
          <w:rFonts w:ascii="Times New Roman" w:hAnsi="Times New Roman" w:cs="Times New Roman"/>
        </w:rPr>
        <w:t> m</w:t>
      </w:r>
      <w:r w:rsidRPr="00F06DE2">
        <w:rPr>
          <w:rFonts w:ascii="Times New Roman" w:hAnsi="Times New Roman" w:cs="Times New Roman"/>
          <w:lang w:val="ru-RU"/>
        </w:rPr>
        <w:t>, които са одобрени да превозват най-много толкова пътници, колкото е дължината на плавателния съд в метри, се допуска да имат на борда в помещението за пътници, ръчно управлявана врата в преграда без дистанционно управление съгласно член 19.02, точка 5, в случай че:</w:t>
      </w:r>
    </w:p>
    <w:p w14:paraId="50B0AE12" w14:textId="77777777" w:rsidR="00271FA2" w:rsidRPr="00F06DE2" w:rsidRDefault="00D35E51" w:rsidP="00472A15">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плавателният съд има само една палуба;</w:t>
      </w:r>
    </w:p>
    <w:p w14:paraId="2512BAF6" w14:textId="77777777" w:rsidR="00271FA2" w:rsidRPr="00F06DE2" w:rsidRDefault="00D35E51" w:rsidP="00472A15">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вратата е достъпна направо от палубата и е на не повече от 10</w:t>
      </w:r>
      <w:r w:rsidRPr="00F06DE2">
        <w:rPr>
          <w:rFonts w:ascii="Times New Roman" w:hAnsi="Times New Roman" w:cs="Times New Roman"/>
        </w:rPr>
        <w:t> m</w:t>
      </w:r>
      <w:r w:rsidRPr="00F06DE2">
        <w:rPr>
          <w:rFonts w:ascii="Times New Roman" w:hAnsi="Times New Roman" w:cs="Times New Roman"/>
          <w:lang w:val="ru-RU"/>
        </w:rPr>
        <w:t xml:space="preserve"> от палубата;</w:t>
      </w:r>
    </w:p>
    <w:p w14:paraId="5A9B41B6" w14:textId="77777777" w:rsidR="00271FA2" w:rsidRPr="00F06DE2" w:rsidRDefault="00D35E51" w:rsidP="00472A15">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долният край на отвора на вратата се намира на не по-малко от 30 с</w:t>
      </w:r>
      <w:r w:rsidRPr="00F06DE2">
        <w:rPr>
          <w:rFonts w:ascii="Times New Roman" w:hAnsi="Times New Roman" w:cs="Times New Roman"/>
        </w:rPr>
        <w:t>m</w:t>
      </w:r>
      <w:r w:rsidRPr="00F06DE2">
        <w:rPr>
          <w:rFonts w:ascii="Times New Roman" w:hAnsi="Times New Roman" w:cs="Times New Roman"/>
          <w:lang w:val="ru-RU"/>
        </w:rPr>
        <w:t xml:space="preserve"> от пода на помещението за пътници; и</w:t>
      </w:r>
    </w:p>
    <w:p w14:paraId="1134D4DD" w14:textId="77777777" w:rsidR="00271FA2" w:rsidRPr="00F06DE2" w:rsidRDefault="00D35E51" w:rsidP="00472A15">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всеки от отсеците, разделени от вратата, е снабден с алармена система за нивото на водата в трюма.</w:t>
      </w:r>
    </w:p>
    <w:p w14:paraId="32D6CB6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При пътническите плавателни съдове съответстващи на точка 6, чрез дерогация от член 19.06, точка 6, буква “в”: един маршрут за евакуация може да преминава през камбуза, стига да има и втори маршрут за евакуация.</w:t>
      </w:r>
    </w:p>
    <w:p w14:paraId="7546BD5B"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 xml:space="preserve">За пътническите плавателни съдове с дължина </w:t>
      </w:r>
      <m:oMath>
        <m:r>
          <w:rPr>
            <w:rFonts w:ascii="Cambria Math" w:eastAsia="Calibri" w:hAnsi="Cambria Math" w:cs="Times New Roman"/>
          </w:rPr>
          <m:t>L</m:t>
        </m:r>
      </m:oMath>
      <w:r w:rsidRPr="00F06DE2">
        <w:rPr>
          <w:rFonts w:ascii="Times New Roman" w:hAnsi="Times New Roman" w:cs="Times New Roman"/>
          <w:lang w:val="ru-RU"/>
        </w:rPr>
        <w:t xml:space="preserve">, не по-голяма от 45 </w:t>
      </w:r>
      <w:r w:rsidRPr="00F06DE2">
        <w:rPr>
          <w:rFonts w:ascii="Times New Roman" w:hAnsi="Times New Roman" w:cs="Times New Roman"/>
        </w:rPr>
        <w:t>m</w:t>
      </w:r>
      <w:r w:rsidRPr="00F06DE2">
        <w:rPr>
          <w:rFonts w:ascii="Times New Roman" w:hAnsi="Times New Roman" w:cs="Times New Roman"/>
          <w:lang w:val="ru-RU"/>
        </w:rPr>
        <w:t>, не важи следното: Член 19.01, точка 2, буква “д”, когато уредбите за втечнен газ са снабдени с подходящо оборудване за сигнализиране на наличието на газ за концентрации на СО, които представляват риск за здравето и за потенциално взривоопасни смеси на газ и въздух.</w:t>
      </w:r>
    </w:p>
    <w:p w14:paraId="35DB4512"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 xml:space="preserve">Следните разпоредби не се прилагат за пътнически плавателни съдове с дължина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xml:space="preserve">, не повече от 25 </w:t>
      </w:r>
      <w:r w:rsidRPr="00F06DE2">
        <w:rPr>
          <w:rFonts w:ascii="Times New Roman" w:hAnsi="Times New Roman" w:cs="Times New Roman"/>
        </w:rPr>
        <w:t>m</w:t>
      </w:r>
      <w:r w:rsidRPr="00F06DE2">
        <w:rPr>
          <w:rFonts w:ascii="Times New Roman" w:hAnsi="Times New Roman" w:cs="Times New Roman"/>
          <w:lang w:val="ru-RU"/>
        </w:rPr>
        <w:t>:</w:t>
      </w:r>
    </w:p>
    <w:p w14:paraId="37F58481" w14:textId="77777777" w:rsidR="00271FA2" w:rsidRPr="00F06DE2" w:rsidRDefault="00D35E51" w:rsidP="00472A15">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член 19.04, точка 1, последно изречение;</w:t>
      </w:r>
    </w:p>
    <w:p w14:paraId="60E90ED8" w14:textId="77777777" w:rsidR="00271FA2" w:rsidRPr="00F06DE2" w:rsidRDefault="00D35E51" w:rsidP="00472A15">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член 19.06, точка 6, буква “в” за камбузите, стига да има и втори маршрут за евакуация;</w:t>
      </w:r>
    </w:p>
    <w:p w14:paraId="67EB6755" w14:textId="2B48BE3F" w:rsidR="00271FA2" w:rsidRPr="00F06DE2" w:rsidRDefault="00D35E51" w:rsidP="00472A15">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член 19.06, точка 8, буква “б”, </w:t>
      </w:r>
      <w:r w:rsidR="002E4D47" w:rsidRPr="00F06DE2">
        <w:rPr>
          <w:rFonts w:ascii="Times New Roman" w:hAnsi="Times New Roman" w:cs="Times New Roman"/>
          <w:lang w:val="ru-RU"/>
        </w:rPr>
        <w:t>под</w:t>
      </w:r>
      <w:r w:rsidRPr="00F06DE2">
        <w:rPr>
          <w:rFonts w:ascii="Times New Roman" w:hAnsi="Times New Roman" w:cs="Times New Roman"/>
          <w:lang w:val="ru-RU"/>
        </w:rPr>
        <w:t>буква “аа”;</w:t>
      </w:r>
    </w:p>
    <w:p w14:paraId="4CE8132D" w14:textId="77777777" w:rsidR="00271FA2" w:rsidRPr="00F06DE2" w:rsidRDefault="00D35E51" w:rsidP="00472A15">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член 19.07.</w:t>
      </w:r>
    </w:p>
    <w:p w14:paraId="7E34836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 xml:space="preserve">Член 19.12, точка 10 не се прилага за плавателни съдове с каюти с дължина </w:t>
      </w:r>
      <m:oMath>
        <m:r>
          <w:rPr>
            <w:rFonts w:ascii="Cambria Math" w:eastAsia="Calibri" w:hAnsi="Cambria Math" w:cs="Times New Roman"/>
          </w:rPr>
          <m:t>L</m:t>
        </m:r>
      </m:oMath>
      <w:r w:rsidRPr="00F06DE2">
        <w:rPr>
          <w:rFonts w:ascii="Times New Roman" w:hAnsi="Times New Roman" w:cs="Times New Roman"/>
          <w:lang w:val="ru-RU"/>
        </w:rPr>
        <w:t xml:space="preserve">, не по-голяма от 45 </w:t>
      </w:r>
      <w:r w:rsidRPr="00F06DE2">
        <w:rPr>
          <w:rFonts w:ascii="Times New Roman" w:hAnsi="Times New Roman" w:cs="Times New Roman"/>
        </w:rPr>
        <w:t>m</w:t>
      </w:r>
      <w:r w:rsidRPr="00F06DE2">
        <w:rPr>
          <w:rFonts w:ascii="Times New Roman" w:hAnsi="Times New Roman" w:cs="Times New Roman"/>
          <w:lang w:val="ru-RU"/>
        </w:rPr>
        <w:t>, при условие че във всяка каюта има леснодостъпни димозащитни качулки, чийто брой е равен на броя на койките.</w:t>
      </w:r>
    </w:p>
    <w:p w14:paraId="3FA11EDE"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eastAsia="Calibri" w:hAnsi="Times New Roman" w:cs="Times New Roman"/>
          <w:lang w:val="ru-RU"/>
        </w:rPr>
        <w:t>11.</w:t>
      </w:r>
      <w:r w:rsidRPr="00F06DE2">
        <w:rPr>
          <w:rFonts w:ascii="Times New Roman" w:eastAsia="Calibri" w:hAnsi="Times New Roman" w:cs="Times New Roman"/>
          <w:lang w:val="ru-RU"/>
        </w:rPr>
        <w:tab/>
        <w:t xml:space="preserve">За пътнически плавателни съдове с дължина </w:t>
      </w:r>
      <w:r w:rsidRPr="00F06DE2">
        <w:rPr>
          <w:rFonts w:ascii="Cambria Math" w:eastAsia="Calibri" w:hAnsi="Cambria Math" w:cs="Cambria Math"/>
        </w:rPr>
        <w:t>𝐿</w:t>
      </w:r>
      <w:r w:rsidRPr="00F06DE2">
        <w:rPr>
          <w:rFonts w:ascii="Cambria Math" w:eastAsia="Calibri" w:hAnsi="Cambria Math" w:cs="Cambria Math"/>
          <w:vertAlign w:val="subscript"/>
        </w:rPr>
        <w:t>𝑊𝐿</w:t>
      </w:r>
      <w:r w:rsidRPr="00F06DE2">
        <w:rPr>
          <w:rFonts w:ascii="Times New Roman" w:eastAsia="Calibri" w:hAnsi="Times New Roman" w:cs="Times New Roman"/>
          <w:lang w:val="ru-RU"/>
        </w:rPr>
        <w:t xml:space="preserve"> не повече от 25 </w:t>
      </w:r>
      <w:r w:rsidRPr="00F06DE2">
        <w:rPr>
          <w:rFonts w:ascii="Times New Roman" w:eastAsia="Calibri" w:hAnsi="Times New Roman" w:cs="Times New Roman"/>
        </w:rPr>
        <w:t>m</w:t>
      </w:r>
      <w:r w:rsidRPr="00F06DE2">
        <w:rPr>
          <w:rFonts w:ascii="Times New Roman" w:eastAsia="Calibri" w:hAnsi="Times New Roman" w:cs="Times New Roman"/>
          <w:lang w:val="ru-RU"/>
        </w:rPr>
        <w:t xml:space="preserve">, пожарните шлангове съгласно член 19.12, точка 2, буква “б” могат да бъдат по-къси от 20 </w:t>
      </w:r>
      <w:r w:rsidRPr="00F06DE2">
        <w:rPr>
          <w:rFonts w:ascii="Times New Roman" w:eastAsia="Calibri" w:hAnsi="Times New Roman" w:cs="Times New Roman"/>
        </w:rPr>
        <w:t>m</w:t>
      </w:r>
      <w:r w:rsidRPr="00F06DE2">
        <w:rPr>
          <w:rFonts w:ascii="Times New Roman" w:eastAsia="Calibri" w:hAnsi="Times New Roman" w:cs="Times New Roman"/>
          <w:lang w:val="ru-RU"/>
        </w:rPr>
        <w:t>, при условие че всяка точка на плавателния съд може да бъде достигната.</w:t>
      </w:r>
    </w:p>
    <w:p w14:paraId="232A0397" w14:textId="3D6B5B67" w:rsidR="00271FA2" w:rsidRPr="00F06DE2" w:rsidRDefault="00D35E51">
      <w:pPr>
        <w:pStyle w:val="ESch"/>
        <w:jc w:val="both"/>
        <w:rPr>
          <w:rFonts w:ascii="Times New Roman" w:eastAsia="Calibri" w:hAnsi="Times New Roman" w:cs="Times New Roman"/>
          <w:lang w:val="ru-RU"/>
        </w:rPr>
      </w:pPr>
      <w:r w:rsidRPr="00F06DE2">
        <w:rPr>
          <w:rFonts w:ascii="Times New Roman" w:eastAsia="Calibri" w:hAnsi="Times New Roman" w:cs="Times New Roman"/>
          <w:lang w:val="ru-RU"/>
        </w:rPr>
        <w:t>12.</w:t>
      </w:r>
      <w:r w:rsidRPr="00F06DE2">
        <w:rPr>
          <w:rFonts w:ascii="Times New Roman" w:eastAsia="Calibri" w:hAnsi="Times New Roman" w:cs="Times New Roman"/>
          <w:lang w:val="ru-RU"/>
        </w:rPr>
        <w:tab/>
        <w:t xml:space="preserve">За </w:t>
      </w:r>
      <w:r w:rsidR="00B60701" w:rsidRPr="00F06DE2">
        <w:rPr>
          <w:rFonts w:ascii="Times New Roman" w:hAnsi="Times New Roman" w:cs="Times New Roman"/>
          <w:lang w:val="ru-RU"/>
        </w:rPr>
        <w:t xml:space="preserve">пътнически кораби за дневни пътувания </w:t>
      </w:r>
      <w:r w:rsidRPr="00F06DE2">
        <w:rPr>
          <w:rFonts w:ascii="Times New Roman" w:eastAsia="Calibri" w:hAnsi="Times New Roman" w:cs="Times New Roman"/>
          <w:lang w:val="ru-RU"/>
        </w:rPr>
        <w:t>, извършващи ограничени пътувания от местен интерес или в пристанищни зони, контролният орган може да отмени прилагането на член 19.06, точка 17. Отсъствието обаче на тоалетни се вписва в точка 52 от Корабното удостоверение за вътрешно корабоплаване. Пътуванията или зоните, за които е валидна дерогацията, се уточняват в Корабното удостоверение за вътрешно корабоплаване.</w:t>
      </w:r>
    </w:p>
    <w:p w14:paraId="1DD882A3" w14:textId="316A4AE4" w:rsidR="00C003D0" w:rsidRPr="00F06DE2" w:rsidRDefault="00BE2635">
      <w:pPr>
        <w:pStyle w:val="ESch"/>
        <w:jc w:val="both"/>
        <w:rPr>
          <w:rFonts w:ascii="Times New Roman" w:hAnsi="Times New Roman" w:cs="Times New Roman"/>
          <w:lang w:val="ru-RU"/>
        </w:rPr>
      </w:pPr>
      <w:r w:rsidRPr="00F06DE2">
        <w:rPr>
          <w:rFonts w:ascii="Times New Roman" w:hAnsi="Times New Roman" w:cs="Times New Roman"/>
          <w:lang w:val="ru-RU"/>
        </w:rPr>
        <w:t xml:space="preserve">13. </w:t>
      </w:r>
      <w:r w:rsidRPr="00F06DE2">
        <w:rPr>
          <w:rFonts w:ascii="Times New Roman" w:hAnsi="Times New Roman" w:cs="Times New Roman"/>
          <w:lang w:val="ru-RU"/>
        </w:rPr>
        <w:tab/>
        <w:t xml:space="preserve">За </w:t>
      </w:r>
      <w:r w:rsidR="00704827" w:rsidRPr="00F06DE2">
        <w:rPr>
          <w:rFonts w:ascii="Times New Roman" w:hAnsi="Times New Roman" w:cs="Times New Roman"/>
          <w:lang w:val="ru-RU"/>
        </w:rPr>
        <w:t xml:space="preserve">пътнически </w:t>
      </w:r>
      <w:r w:rsidRPr="00F06DE2">
        <w:rPr>
          <w:rFonts w:ascii="Times New Roman" w:hAnsi="Times New Roman" w:cs="Times New Roman"/>
          <w:lang w:val="ru-RU"/>
        </w:rPr>
        <w:t>кораби за дневни пътувания, извършващи ограничени пътувания от местен интерес или в пристанищни зони</w:t>
      </w:r>
      <w:r w:rsidR="00EC3800" w:rsidRPr="00F06DE2">
        <w:rPr>
          <w:rFonts w:ascii="Times New Roman" w:hAnsi="Times New Roman" w:cs="Times New Roman"/>
          <w:lang w:val="ru-RU"/>
        </w:rPr>
        <w:t xml:space="preserve"> контролния</w:t>
      </w:r>
      <w:r w:rsidRPr="00F06DE2">
        <w:rPr>
          <w:rFonts w:ascii="Times New Roman" w:hAnsi="Times New Roman" w:cs="Times New Roman"/>
          <w:lang w:val="ru-RU"/>
        </w:rPr>
        <w:t xml:space="preserve"> орган може да разреши време, по-кратко от 30 минути, изисквани в член 7.04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11. Пътуванията или зоните, за които е валидна такава дерогация, се уточняват в </w:t>
      </w:r>
      <w:r w:rsidR="00704827" w:rsidRPr="00F06DE2">
        <w:rPr>
          <w:rFonts w:ascii="Times New Roman" w:hAnsi="Times New Roman" w:cs="Times New Roman"/>
          <w:lang w:val="ru-RU"/>
        </w:rPr>
        <w:t>корабното удостоверение за вътре</w:t>
      </w:r>
      <w:r w:rsidR="00535345" w:rsidRPr="00F06DE2">
        <w:rPr>
          <w:rFonts w:ascii="Times New Roman" w:hAnsi="Times New Roman" w:cs="Times New Roman"/>
          <w:lang w:val="ru-RU"/>
        </w:rPr>
        <w:t>шно корабоплаване</w:t>
      </w:r>
    </w:p>
    <w:p w14:paraId="123B00BB" w14:textId="77777777" w:rsidR="00EC4E51" w:rsidRDefault="00EC4E51">
      <w:pPr>
        <w:rPr>
          <w:lang w:val="ru-RU"/>
        </w:rPr>
        <w:sectPr w:rsidR="00EC4E51" w:rsidSect="00F06DE2">
          <w:headerReference w:type="default" r:id="rId58"/>
          <w:headerReference w:type="first" r:id="rId59"/>
          <w:footnotePr>
            <w:numRestart w:val="eachPage"/>
          </w:footnotePr>
          <w:pgSz w:w="11906" w:h="16838" w:code="9"/>
          <w:pgMar w:top="1134" w:right="1134" w:bottom="1134" w:left="1134" w:header="709" w:footer="709" w:gutter="0"/>
          <w:cols w:space="709"/>
          <w:titlePg/>
          <w:docGrid w:linePitch="272"/>
        </w:sectPr>
      </w:pPr>
    </w:p>
    <w:p w14:paraId="16186555" w14:textId="77777777" w:rsidR="00271FA2" w:rsidRPr="00F06DE2" w:rsidRDefault="00D35E51">
      <w:pPr>
        <w:pStyle w:val="ES-Titre2"/>
        <w:rPr>
          <w:rFonts w:ascii="Times New Roman" w:hAnsi="Times New Roman" w:cs="Times New Roman"/>
          <w:lang w:val="ru-RU"/>
        </w:rPr>
      </w:pPr>
      <w:bookmarkStart w:id="364" w:name="_Toc491854185"/>
      <w:bookmarkStart w:id="365" w:name="_Toc535827626"/>
      <w:r w:rsidRPr="00F06DE2">
        <w:rPr>
          <w:rFonts w:ascii="Times New Roman" w:hAnsi="Times New Roman" w:cs="Times New Roman"/>
          <w:lang w:val="ru-RU"/>
        </w:rPr>
        <w:lastRenderedPageBreak/>
        <w:t>Глава 20</w:t>
      </w:r>
      <w:r w:rsidRPr="00F06DE2">
        <w:rPr>
          <w:rFonts w:ascii="Times New Roman" w:hAnsi="Times New Roman" w:cs="Times New Roman"/>
          <w:lang w:val="ru-RU"/>
        </w:rPr>
        <w:br/>
        <w:t xml:space="preserve">Специални разпоредби, приложими за пътническите ветроходни плавателни съдове, които не плават по река Рейн (зона </w:t>
      </w:r>
      <w:r w:rsidRPr="00F06DE2">
        <w:rPr>
          <w:rFonts w:ascii="Times New Roman" w:hAnsi="Times New Roman" w:cs="Times New Roman"/>
        </w:rPr>
        <w:t>R</w:t>
      </w:r>
      <w:r w:rsidRPr="00F06DE2">
        <w:rPr>
          <w:rFonts w:ascii="Times New Roman" w:hAnsi="Times New Roman" w:cs="Times New Roman"/>
          <w:lang w:val="ru-RU"/>
        </w:rPr>
        <w:t>)</w:t>
      </w:r>
      <w:bookmarkEnd w:id="364"/>
      <w:bookmarkEnd w:id="365"/>
    </w:p>
    <w:p w14:paraId="40F4379C"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66" w:name="_Toc491854186"/>
      <w:bookmarkStart w:id="367" w:name="_Toc535827627"/>
      <w:r w:rsidRPr="00F06DE2">
        <w:rPr>
          <w:rFonts w:ascii="Times New Roman" w:hAnsi="Times New Roman" w:cs="Times New Roman"/>
          <w:sz w:val="24"/>
          <w:szCs w:val="24"/>
          <w:lang w:val="ru-RU"/>
        </w:rPr>
        <w:t>Член 20.01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Прилагане на части </w:t>
      </w:r>
      <w:r w:rsidRPr="00F06DE2">
        <w:rPr>
          <w:rFonts w:ascii="Times New Roman" w:hAnsi="Times New Roman" w:cs="Times New Roman"/>
          <w:i/>
          <w:sz w:val="24"/>
          <w:szCs w:val="24"/>
        </w:rPr>
        <w:t>II</w:t>
      </w:r>
      <w:r w:rsidRPr="00F06DE2">
        <w:rPr>
          <w:rFonts w:ascii="Times New Roman" w:hAnsi="Times New Roman" w:cs="Times New Roman"/>
          <w:i/>
          <w:sz w:val="24"/>
          <w:szCs w:val="24"/>
          <w:lang w:val="ru-RU"/>
        </w:rPr>
        <w:t xml:space="preserve"> и </w:t>
      </w:r>
      <w:r w:rsidRPr="00F06DE2">
        <w:rPr>
          <w:rFonts w:ascii="Times New Roman" w:hAnsi="Times New Roman" w:cs="Times New Roman"/>
          <w:i/>
          <w:sz w:val="24"/>
          <w:szCs w:val="24"/>
        </w:rPr>
        <w:t>III</w:t>
      </w:r>
      <w:bookmarkEnd w:id="366"/>
      <w:bookmarkEnd w:id="367"/>
    </w:p>
    <w:p w14:paraId="74062B51" w14:textId="77777777" w:rsidR="00271FA2" w:rsidRPr="00F06DE2" w:rsidRDefault="00D35E51" w:rsidP="001569C1">
      <w:pPr>
        <w:pStyle w:val="ESgauche"/>
        <w:ind w:left="567"/>
        <w:jc w:val="both"/>
        <w:rPr>
          <w:rFonts w:ascii="Times New Roman" w:hAnsi="Times New Roman" w:cs="Times New Roman"/>
          <w:lang w:val="ru-RU"/>
        </w:rPr>
      </w:pPr>
      <w:r w:rsidRPr="00F06DE2">
        <w:rPr>
          <w:rFonts w:ascii="Times New Roman" w:hAnsi="Times New Roman" w:cs="Times New Roman"/>
          <w:lang w:val="ru-RU"/>
        </w:rPr>
        <w:t xml:space="preserve">В допълнение към разпоредбите на части </w:t>
      </w:r>
      <w:r w:rsidRPr="00F06DE2">
        <w:rPr>
          <w:rFonts w:ascii="Times New Roman" w:hAnsi="Times New Roman" w:cs="Times New Roman"/>
        </w:rPr>
        <w:t>II</w:t>
      </w:r>
      <w:r w:rsidRPr="00F06DE2">
        <w:rPr>
          <w:rFonts w:ascii="Times New Roman" w:hAnsi="Times New Roman" w:cs="Times New Roman"/>
          <w:lang w:val="ru-RU"/>
        </w:rPr>
        <w:t xml:space="preserve"> и </w:t>
      </w:r>
      <w:r w:rsidRPr="00F06DE2">
        <w:rPr>
          <w:rFonts w:ascii="Times New Roman" w:hAnsi="Times New Roman" w:cs="Times New Roman"/>
        </w:rPr>
        <w:t>III</w:t>
      </w:r>
      <w:r w:rsidRPr="00F06DE2">
        <w:rPr>
          <w:rFonts w:ascii="Times New Roman" w:hAnsi="Times New Roman" w:cs="Times New Roman"/>
          <w:lang w:val="ru-RU"/>
        </w:rPr>
        <w:t xml:space="preserve"> за пътническите ветроходни плавателни съдове, които не плават по река Рейн (зона </w:t>
      </w:r>
      <w:r w:rsidRPr="00F06DE2">
        <w:rPr>
          <w:rFonts w:ascii="Times New Roman" w:hAnsi="Times New Roman" w:cs="Times New Roman"/>
        </w:rPr>
        <w:t>R</w:t>
      </w:r>
      <w:r w:rsidRPr="00F06DE2">
        <w:rPr>
          <w:rFonts w:ascii="Times New Roman" w:hAnsi="Times New Roman" w:cs="Times New Roman"/>
          <w:lang w:val="ru-RU"/>
        </w:rPr>
        <w:t>), се прилагат изискванията, предвидени в настоящата глава.</w:t>
      </w:r>
    </w:p>
    <w:p w14:paraId="2BB8C5DA"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68" w:name="_Toc535827628"/>
      <w:bookmarkStart w:id="369" w:name="_Toc491854187"/>
      <w:r w:rsidRPr="00F06DE2">
        <w:rPr>
          <w:rFonts w:ascii="Times New Roman" w:hAnsi="Times New Roman" w:cs="Times New Roman"/>
          <w:sz w:val="24"/>
          <w:szCs w:val="24"/>
          <w:lang w:val="ru-RU"/>
        </w:rPr>
        <w:t>Член 20.02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Изключения за някои пътнически ветроходни </w:t>
      </w:r>
      <w:bookmarkEnd w:id="368"/>
      <w:bookmarkEnd w:id="369"/>
      <w:r w:rsidRPr="00F06DE2">
        <w:rPr>
          <w:rFonts w:ascii="Times New Roman" w:hAnsi="Times New Roman" w:cs="Times New Roman"/>
          <w:i/>
          <w:sz w:val="24"/>
          <w:szCs w:val="24"/>
          <w:lang w:val="ru-RU"/>
        </w:rPr>
        <w:t>плавателни съдове</w:t>
      </w:r>
    </w:p>
    <w:p w14:paraId="6A8B06B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При пътническите ветроходни плавателни съдове с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xml:space="preserve">, не повече от 45 </w:t>
      </w:r>
      <w:r w:rsidRPr="00F06DE2">
        <w:rPr>
          <w:rFonts w:ascii="Times New Roman" w:hAnsi="Times New Roman" w:cs="Times New Roman"/>
        </w:rPr>
        <w:t>m</w:t>
      </w:r>
      <w:r w:rsidRPr="00F06DE2">
        <w:rPr>
          <w:rFonts w:ascii="Times New Roman" w:hAnsi="Times New Roman" w:cs="Times New Roman"/>
          <w:lang w:val="ru-RU"/>
        </w:rPr>
        <w:t xml:space="preserve">, и максимален допустим брой пътници не повече от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xml:space="preserve"> в цели метри, не се прилагат следните разпоредби:</w:t>
      </w:r>
    </w:p>
    <w:p w14:paraId="728EC352"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член 3.03, точка 7, при условие че котвите не се съхраняват в клюзовите тръби;</w:t>
      </w:r>
    </w:p>
    <w:p w14:paraId="69E81D3E"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член 13.02, точка 2, буква “г”, по отношение на дължината;</w:t>
      </w:r>
    </w:p>
    <w:p w14:paraId="08B6C87D"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член 19.08, точка 3, буква “</w:t>
      </w:r>
      <w:r w:rsidRPr="00F06DE2">
        <w:rPr>
          <w:rFonts w:ascii="Times New Roman" w:hAnsi="Times New Roman" w:cs="Times New Roman"/>
        </w:rPr>
        <w:t>a</w:t>
      </w:r>
      <w:r w:rsidRPr="00F06DE2">
        <w:rPr>
          <w:rFonts w:ascii="Times New Roman" w:hAnsi="Times New Roman" w:cs="Times New Roman"/>
          <w:lang w:val="ru-RU"/>
        </w:rPr>
        <w:t>”;</w:t>
      </w:r>
    </w:p>
    <w:p w14:paraId="67362BA4"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г) член 19.15, точка 8.</w:t>
      </w:r>
    </w:p>
    <w:p w14:paraId="2435105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Чрез дерогация от точка 1 броят на пътниците може да бъде завишен до 1,5 пъти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WL</m:t>
            </m:r>
          </m:sub>
        </m:sSub>
      </m:oMath>
      <w:r w:rsidRPr="00F06DE2">
        <w:rPr>
          <w:rFonts w:ascii="Times New Roman" w:hAnsi="Times New Roman" w:cs="Times New Roman"/>
          <w:lang w:val="ru-RU"/>
        </w:rPr>
        <w:t xml:space="preserve"> в цели метри, ако платната, такелажът и приспособленията на палубата го позволяват.</w:t>
      </w:r>
    </w:p>
    <w:p w14:paraId="22BFAFD2"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70" w:name="_Toc491854188"/>
      <w:bookmarkStart w:id="371" w:name="_Toc535827629"/>
      <w:r w:rsidRPr="00F06DE2">
        <w:rPr>
          <w:rFonts w:ascii="Times New Roman" w:hAnsi="Times New Roman" w:cs="Times New Roman"/>
          <w:sz w:val="24"/>
          <w:szCs w:val="24"/>
          <w:lang w:val="ru-RU"/>
        </w:rPr>
        <w:t>Член 20.03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Изисквания за устойчивостта на ветроходни </w:t>
      </w:r>
      <w:bookmarkEnd w:id="370"/>
      <w:bookmarkEnd w:id="371"/>
      <w:r w:rsidRPr="00F06DE2">
        <w:rPr>
          <w:rFonts w:ascii="Times New Roman" w:hAnsi="Times New Roman" w:cs="Times New Roman"/>
          <w:i/>
          <w:sz w:val="24"/>
          <w:szCs w:val="24"/>
          <w:lang w:val="ru-RU"/>
        </w:rPr>
        <w:t>плавателни съдове</w:t>
      </w:r>
    </w:p>
    <w:p w14:paraId="2EC8CE34" w14:textId="77777777" w:rsidR="00271FA2" w:rsidRPr="00F06DE2" w:rsidRDefault="00D35E51" w:rsidP="001569C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При изчисляването на кренящия момент съгласно член 19.03, точка 3 прибраните платна се вземат под внимание при определяне на центъра на тежестта на плавателния съд.</w:t>
      </w:r>
    </w:p>
    <w:p w14:paraId="689B5C3B" w14:textId="77777777" w:rsidR="00271FA2" w:rsidRPr="00F06DE2" w:rsidRDefault="00D35E51" w:rsidP="001569C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Вземайки предвид всички условия на натоварване съгласно член 19.03, точка 2 и като се използва стандартна подредба на платната, кренящият момент, причинен от налягането на вятъра не трябва да е толкова голям, че да причини ъгъл на крен, превишаващ 20°. В същото време:</w:t>
      </w:r>
    </w:p>
    <w:p w14:paraId="2B2E3E3E" w14:textId="77777777"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за изчислението се приема постоянно налягане на вятъра от 0,07 </w:t>
      </w:r>
      <w:r w:rsidRPr="00F06DE2">
        <w:rPr>
          <w:rFonts w:ascii="Times New Roman" w:hAnsi="Times New Roman" w:cs="Times New Roman"/>
        </w:rPr>
        <w:t>kN</w:t>
      </w:r>
      <w:r w:rsidRPr="00F06DE2">
        <w:rPr>
          <w:rFonts w:ascii="Times New Roman" w:hAnsi="Times New Roman" w:cs="Times New Roman"/>
          <w:lang w:val="ru-RU"/>
        </w:rPr>
        <w:t>/</w:t>
      </w:r>
      <w:r w:rsidRPr="00F06DE2">
        <w:rPr>
          <w:rFonts w:ascii="Times New Roman" w:hAnsi="Times New Roman" w:cs="Times New Roman"/>
        </w:rPr>
        <w:t>m</w:t>
      </w:r>
      <w:r w:rsidRPr="00F06DE2">
        <w:rPr>
          <w:rFonts w:ascii="Times New Roman" w:hAnsi="Times New Roman" w:cs="Times New Roman"/>
          <w:lang w:val="ru-RU"/>
        </w:rPr>
        <w:t>2;</w:t>
      </w:r>
    </w:p>
    <w:p w14:paraId="28169F33" w14:textId="77777777"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б) остатъчното безопасно разстояние трябва да </w:t>
      </w:r>
      <w:r w:rsidRPr="00F06DE2">
        <w:rPr>
          <w:rFonts w:ascii="Times New Roman" w:hAnsi="Times New Roman" w:cs="Times New Roman"/>
        </w:rPr>
        <w:t>e</w:t>
      </w:r>
      <w:r w:rsidRPr="00F06DE2">
        <w:rPr>
          <w:rFonts w:ascii="Times New Roman" w:hAnsi="Times New Roman" w:cs="Times New Roman"/>
          <w:lang w:val="ru-RU"/>
        </w:rPr>
        <w:t xml:space="preserve"> поне 100</w:t>
      </w:r>
      <w:r w:rsidRPr="00F06DE2">
        <w:rPr>
          <w:rFonts w:ascii="Times New Roman" w:hAnsi="Times New Roman" w:cs="Times New Roman"/>
        </w:rPr>
        <w:t> mm</w:t>
      </w:r>
      <w:r w:rsidRPr="00F06DE2">
        <w:rPr>
          <w:rFonts w:ascii="Times New Roman" w:hAnsi="Times New Roman" w:cs="Times New Roman"/>
          <w:lang w:val="ru-RU"/>
        </w:rPr>
        <w:t>; и</w:t>
      </w:r>
    </w:p>
    <w:p w14:paraId="06E636BB" w14:textId="77777777"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остатъчният надводен борд не трябва да е отрицателен.</w:t>
      </w:r>
    </w:p>
    <w:p w14:paraId="48CE572F" w14:textId="77777777" w:rsidR="00271FA2" w:rsidRPr="00F06DE2" w:rsidRDefault="00D35E51" w:rsidP="001569C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Рамото на изправящия момент на статична устойчивост трябва:</w:t>
      </w:r>
    </w:p>
    <w:p w14:paraId="52CA98E6" w14:textId="77777777" w:rsidR="001569C1"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да достига максималната си стойност </w:t>
      </w:r>
      <m:oMath>
        <m:sSub>
          <m:sSubPr>
            <m:ctrlPr>
              <w:rPr>
                <w:rFonts w:ascii="Cambria Math" w:hAnsi="Cambria Math" w:cs="Times New Roman"/>
              </w:rPr>
            </m:ctrlPr>
          </m:sSubPr>
          <m:e>
            <m:r>
              <w:rPr>
                <w:rFonts w:ascii="Cambria Math" w:hAnsi="Cambria Math" w:cs="Times New Roman"/>
                <w:lang w:val="ru-RU"/>
              </w:rPr>
              <m:t>h</m:t>
            </m:r>
          </m:e>
          <m:sub>
            <m:r>
              <w:rPr>
                <w:rFonts w:ascii="Cambria Math" w:hAnsi="Cambria Math" w:cs="Times New Roman"/>
              </w:rPr>
              <m:t>max</m:t>
            </m:r>
          </m:sub>
        </m:sSub>
      </m:oMath>
      <w:r w:rsidRPr="00F06DE2">
        <w:rPr>
          <w:rFonts w:ascii="Times New Roman" w:hAnsi="Times New Roman" w:cs="Times New Roman"/>
          <w:lang w:val="ru-RU"/>
        </w:rPr>
        <w:t xml:space="preserve"> при ъгъл на крена </w:t>
      </w:r>
      <m:oMath>
        <m:sSub>
          <m:sSubPr>
            <m:ctrlPr>
              <w:rPr>
                <w:rFonts w:ascii="Cambria Math" w:hAnsi="Cambria Math" w:cs="Times New Roman"/>
              </w:rPr>
            </m:ctrlPr>
          </m:sSubPr>
          <m:e>
            <m:r>
              <w:rPr>
                <w:rFonts w:ascii="Cambria Math" w:hAnsi="Cambria Math" w:cs="Times New Roman"/>
              </w:rPr>
              <m:t>φ</m:t>
            </m:r>
          </m:e>
          <m:sub>
            <m:r>
              <w:rPr>
                <w:rFonts w:ascii="Cambria Math" w:hAnsi="Cambria Math" w:cs="Times New Roman"/>
              </w:rPr>
              <m:t>max</m:t>
            </m:r>
          </m:sub>
        </m:sSub>
      </m:oMath>
      <w:r w:rsidR="001569C1" w:rsidRPr="00F06DE2">
        <w:rPr>
          <w:rFonts w:ascii="Times New Roman" w:hAnsi="Times New Roman" w:cs="Times New Roman"/>
          <w:lang w:val="ru-RU"/>
        </w:rPr>
        <w:t xml:space="preserve"> от 25° или</w:t>
      </w:r>
    </w:p>
    <w:p w14:paraId="2EF38935" w14:textId="32C88CB4"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по-голям;</w:t>
      </w:r>
    </w:p>
    <w:p w14:paraId="4FE375A5" w14:textId="77777777"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б) да възлиза на най-малко 0,20 </w:t>
      </w:r>
      <w:r w:rsidRPr="00F06DE2">
        <w:rPr>
          <w:rFonts w:ascii="Times New Roman" w:hAnsi="Times New Roman" w:cs="Times New Roman"/>
        </w:rPr>
        <w:t>m</w:t>
      </w:r>
      <w:r w:rsidRPr="00F06DE2">
        <w:rPr>
          <w:rFonts w:ascii="Times New Roman" w:hAnsi="Times New Roman" w:cs="Times New Roman"/>
          <w:lang w:val="ru-RU"/>
        </w:rPr>
        <w:t xml:space="preserve"> при ъгъл на крена 30° или по-голям;</w:t>
      </w:r>
    </w:p>
    <w:p w14:paraId="6425080A" w14:textId="77777777"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да е положително при ъгъл на крена до 60°.</w:t>
      </w:r>
    </w:p>
    <w:p w14:paraId="7BB2644F" w14:textId="77777777" w:rsidR="00271FA2" w:rsidRPr="00F06DE2" w:rsidRDefault="00D35E51" w:rsidP="001569C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Площта А под кривата на рамото на изправящия момент не трябва да бъде по-малка от:</w:t>
      </w:r>
    </w:p>
    <w:p w14:paraId="05BF347F" w14:textId="77777777"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w:t>
      </w:r>
      <m:oMath>
        <m:r>
          <m:rPr>
            <m:sty m:val="p"/>
          </m:rPr>
          <w:rPr>
            <w:rFonts w:ascii="Cambria Math" w:hAnsi="Cambria Math" w:cs="Times New Roman"/>
            <w:lang w:val="ru-RU"/>
          </w:rPr>
          <m:t xml:space="preserve">0,055 </m:t>
        </m:r>
        <m:r>
          <w:rPr>
            <w:rFonts w:ascii="Cambria Math" w:hAnsi="Cambria Math" w:cs="Times New Roman"/>
          </w:rPr>
          <m:t>m</m:t>
        </m:r>
        <m:r>
          <m:rPr>
            <m:sty m:val="p"/>
          </m:rPr>
          <w:rPr>
            <w:rFonts w:ascii="Cambria Math" w:hAnsi="Cambria Math" w:cs="Times New Roman"/>
            <w:lang w:val="ru-RU"/>
          </w:rPr>
          <m:t>∙</m:t>
        </m:r>
        <m:r>
          <w:rPr>
            <w:rFonts w:ascii="Cambria Math" w:hAnsi="Cambria Math" w:cs="Times New Roman"/>
          </w:rPr>
          <m:t>rad</m:t>
        </m:r>
      </m:oMath>
      <w:r w:rsidRPr="00F06DE2">
        <w:rPr>
          <w:rFonts w:ascii="Times New Roman" w:hAnsi="Times New Roman" w:cs="Times New Roman"/>
          <w:lang w:val="ru-RU"/>
        </w:rPr>
        <w:t xml:space="preserve"> до 30°;</w:t>
      </w:r>
    </w:p>
    <w:p w14:paraId="5BB2B957" w14:textId="77777777" w:rsidR="00CC6538"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б) </w:t>
      </w:r>
      <m:oMath>
        <m:r>
          <m:rPr>
            <m:sty m:val="p"/>
          </m:rPr>
          <w:rPr>
            <w:rFonts w:ascii="Cambria Math" w:hAnsi="Cambria Math" w:cs="Times New Roman"/>
            <w:lang w:val="ru-RU"/>
          </w:rPr>
          <m:t xml:space="preserve">0,09 </m:t>
        </m:r>
        <m:r>
          <w:rPr>
            <w:rFonts w:ascii="Cambria Math" w:hAnsi="Cambria Math" w:cs="Times New Roman"/>
          </w:rPr>
          <m:t>m</m:t>
        </m:r>
        <m:r>
          <m:rPr>
            <m:sty m:val="p"/>
          </m:rPr>
          <w:rPr>
            <w:rFonts w:ascii="Cambria Math" w:hAnsi="Cambria Math" w:cs="Times New Roman"/>
            <w:lang w:val="ru-RU"/>
          </w:rPr>
          <m:t xml:space="preserve"> </m:t>
        </m:r>
        <m:r>
          <w:rPr>
            <w:rFonts w:ascii="Cambria Math" w:hAnsi="Cambria Math" w:cs="Times New Roman"/>
          </w:rPr>
          <m:t>rad</m:t>
        </m:r>
      </m:oMath>
      <w:r w:rsidRPr="00F06DE2">
        <w:rPr>
          <w:rFonts w:ascii="Times New Roman" w:hAnsi="Times New Roman" w:cs="Times New Roman"/>
          <w:lang w:val="ru-RU"/>
        </w:rPr>
        <w:t xml:space="preserve"> до 40° или до ъгъла </w:t>
      </w:r>
      <m:oMath>
        <m:sSub>
          <m:sSubPr>
            <m:ctrlPr>
              <w:rPr>
                <w:rFonts w:ascii="Cambria Math" w:hAnsi="Cambria Math" w:cs="Times New Roman"/>
              </w:rPr>
            </m:ctrlPr>
          </m:sSubPr>
          <m:e>
            <m:r>
              <w:rPr>
                <w:rFonts w:ascii="Cambria Math" w:hAnsi="Cambria Math" w:cs="Times New Roman"/>
              </w:rPr>
              <m:t>φ</m:t>
            </m:r>
          </m:e>
          <m:sub>
            <m:r>
              <w:rPr>
                <w:rFonts w:ascii="Cambria Math" w:hAnsi="Cambria Math" w:cs="Times New Roman"/>
              </w:rPr>
              <m:t>f</m:t>
            </m:r>
          </m:sub>
        </m:sSub>
      </m:oMath>
      <w:r w:rsidRPr="00F06DE2">
        <w:rPr>
          <w:rFonts w:ascii="Times New Roman" w:hAnsi="Times New Roman" w:cs="Times New Roman"/>
          <w:lang w:val="ru-RU"/>
        </w:rPr>
        <w:t>, при който необезопа</w:t>
      </w:r>
      <w:r w:rsidR="00CC6538" w:rsidRPr="00F06DE2">
        <w:rPr>
          <w:rFonts w:ascii="Times New Roman" w:hAnsi="Times New Roman" w:cs="Times New Roman"/>
          <w:lang w:val="ru-RU"/>
        </w:rPr>
        <w:t>сен отвор достига</w:t>
      </w:r>
    </w:p>
    <w:p w14:paraId="134DA11D" w14:textId="4A954632"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водната повърхност и който е по-малък от 40°.</w:t>
      </w:r>
    </w:p>
    <w:p w14:paraId="242A991F" w14:textId="77777777"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Между</w:t>
      </w:r>
    </w:p>
    <w:p w14:paraId="11410DF6" w14:textId="77777777"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30° и 40°; или</w:t>
      </w:r>
    </w:p>
    <w:p w14:paraId="0296905E" w14:textId="77777777" w:rsidR="00CC6538" w:rsidRPr="00F06DE2" w:rsidRDefault="00D35E51" w:rsidP="00CC6538">
      <w:pPr>
        <w:pStyle w:val="ESlet"/>
        <w:spacing w:before="0" w:line="240" w:lineRule="auto"/>
        <w:ind w:left="851" w:hanging="284"/>
        <w:jc w:val="both"/>
        <w:rPr>
          <w:rFonts w:ascii="Times New Roman" w:hAnsi="Times New Roman" w:cs="Times New Roman"/>
          <w:lang w:val="ru-RU"/>
        </w:rPr>
      </w:pPr>
      <w:r w:rsidRPr="00F06DE2">
        <w:rPr>
          <w:rFonts w:ascii="Times New Roman" w:hAnsi="Times New Roman" w:cs="Times New Roman"/>
          <w:lang w:val="ru-RU"/>
        </w:rPr>
        <w:lastRenderedPageBreak/>
        <w:t xml:space="preserve">г) 30° и ъгъла </w:t>
      </w:r>
      <m:oMath>
        <m:sSub>
          <m:sSubPr>
            <m:ctrlPr>
              <w:rPr>
                <w:rFonts w:ascii="Cambria Math" w:hAnsi="Cambria Math" w:cs="Times New Roman"/>
              </w:rPr>
            </m:ctrlPr>
          </m:sSubPr>
          <m:e>
            <m:r>
              <w:rPr>
                <w:rFonts w:ascii="Cambria Math" w:hAnsi="Cambria Math" w:cs="Times New Roman"/>
              </w:rPr>
              <m:t>φ</m:t>
            </m:r>
          </m:e>
          <m:sub>
            <m:r>
              <w:rPr>
                <w:rFonts w:ascii="Cambria Math" w:hAnsi="Cambria Math" w:cs="Times New Roman"/>
              </w:rPr>
              <m:t>f</m:t>
            </m:r>
          </m:sub>
        </m:sSub>
      </m:oMath>
      <w:r w:rsidRPr="00F06DE2">
        <w:rPr>
          <w:rFonts w:ascii="Times New Roman" w:hAnsi="Times New Roman" w:cs="Times New Roman"/>
          <w:lang w:val="ru-RU"/>
        </w:rPr>
        <w:t>, при който необезопасен отв</w:t>
      </w:r>
      <w:r w:rsidR="00CC6538" w:rsidRPr="00F06DE2">
        <w:rPr>
          <w:rFonts w:ascii="Times New Roman" w:hAnsi="Times New Roman" w:cs="Times New Roman"/>
          <w:lang w:val="ru-RU"/>
        </w:rPr>
        <w:t>ор достига водната повърхност и</w:t>
      </w:r>
    </w:p>
    <w:p w14:paraId="07C145BA" w14:textId="24844D4F" w:rsidR="00271FA2" w:rsidRPr="00F06DE2" w:rsidRDefault="00D35E51" w:rsidP="00CC6538">
      <w:pPr>
        <w:pStyle w:val="ESlet"/>
        <w:spacing w:before="0" w:line="240" w:lineRule="auto"/>
        <w:ind w:left="851" w:hanging="284"/>
        <w:jc w:val="both"/>
        <w:rPr>
          <w:rFonts w:ascii="Times New Roman" w:hAnsi="Times New Roman" w:cs="Times New Roman"/>
          <w:lang w:val="ru-RU"/>
        </w:rPr>
      </w:pPr>
      <w:r w:rsidRPr="00F06DE2">
        <w:rPr>
          <w:rFonts w:ascii="Times New Roman" w:hAnsi="Times New Roman" w:cs="Times New Roman"/>
          <w:lang w:val="ru-RU"/>
        </w:rPr>
        <w:t>който е по-малък от 40°.</w:t>
      </w:r>
    </w:p>
    <w:p w14:paraId="1C9C9C42" w14:textId="77777777" w:rsidR="00271FA2" w:rsidRPr="00F06DE2" w:rsidRDefault="00D35E51" w:rsidP="001569C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тази площ не може да бъде по-малка от </w:t>
      </w:r>
      <m:oMath>
        <m:r>
          <m:rPr>
            <m:sty m:val="p"/>
          </m:rPr>
          <w:rPr>
            <w:rFonts w:ascii="Cambria Math" w:hAnsi="Cambria Math" w:cs="Times New Roman"/>
            <w:lang w:val="ru-RU"/>
          </w:rPr>
          <m:t xml:space="preserve">0,03 </m:t>
        </m:r>
        <m:r>
          <w:rPr>
            <w:rFonts w:ascii="Cambria Math" w:hAnsi="Cambria Math" w:cs="Times New Roman"/>
          </w:rPr>
          <m:t>m</m:t>
        </m:r>
        <m:r>
          <m:rPr>
            <m:sty m:val="p"/>
          </m:rPr>
          <w:rPr>
            <w:rFonts w:ascii="Cambria Math" w:hAnsi="Cambria Math" w:cs="Times New Roman"/>
            <w:lang w:val="ru-RU"/>
          </w:rPr>
          <m:t>∙</m:t>
        </m:r>
        <m:r>
          <w:rPr>
            <w:rFonts w:ascii="Cambria Math" w:hAnsi="Cambria Math" w:cs="Times New Roman"/>
          </w:rPr>
          <m:t>rad</m:t>
        </m:r>
      </m:oMath>
      <w:r w:rsidRPr="00F06DE2">
        <w:rPr>
          <w:rFonts w:ascii="Times New Roman" w:hAnsi="Times New Roman" w:cs="Times New Roman"/>
          <w:lang w:val="ru-RU"/>
        </w:rPr>
        <w:t>.</w:t>
      </w:r>
    </w:p>
    <w:p w14:paraId="3F233F7B"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72" w:name="_Toc491854189"/>
      <w:bookmarkStart w:id="373" w:name="_Toc535827630"/>
      <w:r w:rsidRPr="00F06DE2">
        <w:rPr>
          <w:rFonts w:ascii="Times New Roman" w:hAnsi="Times New Roman" w:cs="Times New Roman"/>
          <w:sz w:val="24"/>
          <w:szCs w:val="24"/>
          <w:lang w:val="ru-RU"/>
        </w:rPr>
        <w:t>Член 20.04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Изисквания относно корабната конструкция и механика</w:t>
      </w:r>
      <w:bookmarkEnd w:id="372"/>
      <w:bookmarkEnd w:id="373"/>
    </w:p>
    <w:p w14:paraId="464731A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Чрез дерогация от член 6.01, точка 3, и член 10.01, точка 3, оборудването трябва да бъде проектирано за постоянен крен до 20°.</w:t>
      </w:r>
    </w:p>
    <w:p w14:paraId="34493AB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Чрез дерогация от член 19.06, точка 5, буква “а” и член 19.06, точка 9, буква “б” при пътническите ветроходни плавателни съдове с дължина, не повече от 25 </w:t>
      </w:r>
      <w:r w:rsidRPr="00F06DE2">
        <w:rPr>
          <w:rFonts w:ascii="Times New Roman" w:hAnsi="Times New Roman" w:cs="Times New Roman"/>
        </w:rPr>
        <w:t>m</w:t>
      </w:r>
      <w:r w:rsidRPr="00F06DE2">
        <w:rPr>
          <w:rFonts w:ascii="Times New Roman" w:hAnsi="Times New Roman" w:cs="Times New Roman"/>
          <w:lang w:val="ru-RU"/>
        </w:rPr>
        <w:t>, контролният орган има право да разреши габаритна ширина за свързващите коридори и вътрешни трапове по-малка от 0,80</w:t>
      </w:r>
      <w:r w:rsidRPr="00F06DE2">
        <w:rPr>
          <w:rFonts w:ascii="Times New Roman" w:hAnsi="Times New Roman" w:cs="Times New Roman"/>
        </w:rPr>
        <w:t> m</w:t>
      </w:r>
      <w:r w:rsidRPr="00F06DE2">
        <w:rPr>
          <w:rFonts w:ascii="Times New Roman" w:hAnsi="Times New Roman" w:cs="Times New Roman"/>
          <w:lang w:val="ru-RU"/>
        </w:rPr>
        <w:t>. Все пак габаритната ширина не може да бъде по-малка от 0,60</w:t>
      </w:r>
      <w:r w:rsidRPr="00F06DE2">
        <w:rPr>
          <w:rFonts w:ascii="Times New Roman" w:hAnsi="Times New Roman" w:cs="Times New Roman"/>
        </w:rPr>
        <w:t> m</w:t>
      </w:r>
      <w:r w:rsidRPr="00F06DE2">
        <w:rPr>
          <w:rFonts w:ascii="Times New Roman" w:hAnsi="Times New Roman" w:cs="Times New Roman"/>
          <w:lang w:val="ru-RU"/>
        </w:rPr>
        <w:t>.</w:t>
      </w:r>
    </w:p>
    <w:p w14:paraId="785F921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Чрез дерогация от член 19.06, точка 10, буква “</w:t>
      </w:r>
      <w:r w:rsidRPr="00F06DE2">
        <w:rPr>
          <w:rFonts w:ascii="Times New Roman" w:hAnsi="Times New Roman" w:cs="Times New Roman"/>
        </w:rPr>
        <w:t>a</w:t>
      </w:r>
      <w:r w:rsidRPr="00F06DE2">
        <w:rPr>
          <w:rFonts w:ascii="Times New Roman" w:hAnsi="Times New Roman" w:cs="Times New Roman"/>
          <w:lang w:val="ru-RU"/>
        </w:rPr>
        <w:t>” контролният орган има право в отделни случаи да разреши използване на подвижни перила в местата, където това е необходимо за управлението на платната.</w:t>
      </w:r>
    </w:p>
    <w:p w14:paraId="057575D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По смисъла на член 19.07 платната се смятат за главна задвижваща система.</w:t>
      </w:r>
    </w:p>
    <w:p w14:paraId="0636BD8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Чрез дерогация от член 19.15, точка 6, буква “в” височината на долния край на отвора на вратата може да бъде намалена на 0,20 </w:t>
      </w:r>
      <w:r w:rsidRPr="00F06DE2">
        <w:rPr>
          <w:rFonts w:ascii="Times New Roman" w:hAnsi="Times New Roman" w:cs="Times New Roman"/>
        </w:rPr>
        <w:t>m</w:t>
      </w:r>
      <w:r w:rsidRPr="00F06DE2">
        <w:rPr>
          <w:rFonts w:ascii="Times New Roman" w:hAnsi="Times New Roman" w:cs="Times New Roman"/>
          <w:lang w:val="ru-RU"/>
        </w:rPr>
        <w:t xml:space="preserve"> над пода в помещението за пътниците. Веднъж отворена, вратата трябва да се затваря и заключва автоматично.</w:t>
      </w:r>
    </w:p>
    <w:p w14:paraId="7D10D62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Когато има възможност гребният винт да се задвижи на празен ход при плаване под платна, евентуално застрашените части на задвижващата система са защитени от повреди.</w:t>
      </w:r>
    </w:p>
    <w:p w14:paraId="09F388C8"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74" w:name="_Toc491854190"/>
      <w:bookmarkStart w:id="375" w:name="_Toc535827631"/>
      <w:r w:rsidRPr="00F06DE2">
        <w:rPr>
          <w:rFonts w:ascii="Times New Roman" w:hAnsi="Times New Roman" w:cs="Times New Roman"/>
          <w:sz w:val="24"/>
          <w:szCs w:val="24"/>
          <w:lang w:val="ru-RU"/>
        </w:rPr>
        <w:t>Член 20.05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Такелаж в общия случай</w:t>
      </w:r>
      <w:bookmarkEnd w:id="374"/>
      <w:bookmarkEnd w:id="375"/>
    </w:p>
    <w:p w14:paraId="5ED31D9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Частите на такелажа трябва да са разположени по такъв начин, че да се предотврати недопустимо протриване.</w:t>
      </w:r>
    </w:p>
    <w:p w14:paraId="64225DB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Ако се използва материал, различен от дърво или се използват специални видове такелаж, конструкцията им трябва да гарантира равностойни равнища на безопасност при размерите и якостта, зададени в настоящата глава. </w:t>
      </w:r>
    </w:p>
    <w:p w14:paraId="157293CC"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Като доказателство за достатъчна якост:</w:t>
      </w:r>
    </w:p>
    <w:p w14:paraId="679CA9D0"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трябва да бъде направено якостно изчисление; или</w:t>
      </w:r>
    </w:p>
    <w:p w14:paraId="002B6CF4" w14:textId="77777777" w:rsidR="00271FA2" w:rsidRPr="00F06DE2" w:rsidRDefault="00D35E51" w:rsidP="00CC6538">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трябва да се представи удостоверение, получено от призната класификационна организация; или</w:t>
      </w:r>
    </w:p>
    <w:p w14:paraId="1CFF7EB2" w14:textId="77777777" w:rsidR="00271FA2" w:rsidRPr="00F06DE2" w:rsidRDefault="00D35E51" w:rsidP="00CC6538">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оразмеряването трябва да се основава на процедурите, заложени в одобрена нормативна рамка (напр. </w:t>
      </w:r>
      <w:r w:rsidRPr="00F06DE2">
        <w:rPr>
          <w:rFonts w:ascii="Times New Roman" w:hAnsi="Times New Roman" w:cs="Times New Roman"/>
        </w:rPr>
        <w:t>Middendorf</w:t>
      </w:r>
      <w:r w:rsidRPr="00F06DE2">
        <w:rPr>
          <w:rFonts w:ascii="Times New Roman" w:hAnsi="Times New Roman" w:cs="Times New Roman"/>
          <w:lang w:val="ru-RU"/>
        </w:rPr>
        <w:t xml:space="preserve">, </w:t>
      </w:r>
      <w:r w:rsidRPr="00F06DE2">
        <w:rPr>
          <w:rFonts w:ascii="Times New Roman" w:hAnsi="Times New Roman" w:cs="Times New Roman"/>
        </w:rPr>
        <w:t>Kusk</w:t>
      </w:r>
      <w:r w:rsidRPr="00F06DE2">
        <w:rPr>
          <w:rFonts w:ascii="Times New Roman" w:hAnsi="Times New Roman" w:cs="Times New Roman"/>
          <w:lang w:val="ru-RU"/>
        </w:rPr>
        <w:t>-</w:t>
      </w:r>
      <w:r w:rsidRPr="00F06DE2">
        <w:rPr>
          <w:rFonts w:ascii="Times New Roman" w:hAnsi="Times New Roman" w:cs="Times New Roman"/>
        </w:rPr>
        <w:t>Jensen</w:t>
      </w:r>
      <w:r w:rsidRPr="00F06DE2">
        <w:rPr>
          <w:rFonts w:ascii="Times New Roman" w:hAnsi="Times New Roman" w:cs="Times New Roman"/>
          <w:lang w:val="ru-RU"/>
        </w:rPr>
        <w:t>).</w:t>
      </w:r>
    </w:p>
    <w:p w14:paraId="10AC3308"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Доказателствата се представят на контролния орган.</w:t>
      </w:r>
    </w:p>
    <w:p w14:paraId="5523262C" w14:textId="77777777" w:rsidR="00CC6538" w:rsidRPr="00F06DE2" w:rsidRDefault="00CC6538">
      <w:pPr>
        <w:pStyle w:val="ES-Titre3"/>
        <w:spacing w:line="240" w:lineRule="atLeast"/>
        <w:rPr>
          <w:rFonts w:ascii="Times New Roman" w:hAnsi="Times New Roman" w:cs="Times New Roman"/>
          <w:sz w:val="24"/>
          <w:szCs w:val="24"/>
          <w:lang w:val="ru-RU"/>
        </w:rPr>
      </w:pPr>
      <w:bookmarkStart w:id="376" w:name="_Toc535827632"/>
      <w:bookmarkStart w:id="377" w:name="_Toc491854191"/>
    </w:p>
    <w:p w14:paraId="392E7CE5" w14:textId="11A3D4B0"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20.06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Мачти и рангоут в общия случай</w:t>
      </w:r>
      <w:bookmarkEnd w:id="376"/>
      <w:bookmarkEnd w:id="377"/>
    </w:p>
    <w:p w14:paraId="477A1F8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Целият рангоут трябва да е изработен от висококачествени материали.</w:t>
      </w:r>
    </w:p>
    <w:p w14:paraId="3317683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Дървото за мачти трябва:</w:t>
      </w:r>
    </w:p>
    <w:p w14:paraId="2404C87D"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да е без натрупвания на чепове;</w:t>
      </w:r>
    </w:p>
    <w:p w14:paraId="668C2F16"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да няма беловина в рамките на изискваните размери;</w:t>
      </w:r>
    </w:p>
    <w:p w14:paraId="2AF74A5E"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lastRenderedPageBreak/>
        <w:t>в) доколкото е възможно да е правожилно;</w:t>
      </w:r>
    </w:p>
    <w:p w14:paraId="6BECB6C9"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г) да съдържа колкото е възможно по-малко витораслост.</w:t>
      </w:r>
    </w:p>
    <w:p w14:paraId="732D378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Ако избраната дървесина е или обикновен твърд бор, или орегонски бор с високо качество, диаметрите в таблиците, дадени в членове 20.07 - 20.12, могат да бъдат намалени с 5 %.</w:t>
      </w:r>
    </w:p>
    <w:p w14:paraId="28B80F4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Ако дървесините, използвани за мачти, стенги, нок реи, гикове и бушприти, не са кръгли като напречно сечение, тези дървесини трябва да имат равностойна якост.</w:t>
      </w:r>
    </w:p>
    <w:p w14:paraId="382F23E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Основите на мачтите, стволовете и скрепленията им върху палубата, подовата настилка и на форщевена и кърмата са построени по такъв начин, че или да могат да поемат натоварванията, на които са подложени, или да ги предават на други свързани елементи от конструкцията.</w:t>
      </w:r>
    </w:p>
    <w:p w14:paraId="0380701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 xml:space="preserve">6. </w:t>
      </w:r>
      <w:r w:rsidRPr="00F06DE2">
        <w:rPr>
          <w:rFonts w:ascii="Times New Roman" w:hAnsi="Times New Roman" w:cs="Times New Roman"/>
          <w:lang w:val="ru-RU"/>
        </w:rPr>
        <w:tab/>
        <w:t>В зависимост от устойчивостта на плавателния съд и външните сили, на които е подложен, а също и разпределението на наличната площ на платната, контролният орган има право, въз основа на размерите, указани в членове 20.07 - 20.12, да разреши намаляване на напречните сечения на елементите на рангоута и, където е уместно, на такелажа. Доказателствата се представят в съответствие с член 20.05, точка 2.</w:t>
      </w:r>
    </w:p>
    <w:p w14:paraId="71580348" w14:textId="08993CA6"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В случай, че периодът на колебание/периодът на напречно бордово клатене на плавателния съд в секунди е по-малък от три четвърти от дължината му в метри, размерите, указани в членове</w:t>
      </w:r>
      <w:r w:rsidR="002E4D47" w:rsidRPr="00F06DE2">
        <w:rPr>
          <w:rFonts w:ascii="Times New Roman" w:hAnsi="Times New Roman" w:cs="Times New Roman"/>
          <w:lang w:val="ru-RU"/>
        </w:rPr>
        <w:t xml:space="preserve"> </w:t>
      </w:r>
      <w:r w:rsidRPr="00F06DE2">
        <w:rPr>
          <w:rFonts w:ascii="Times New Roman" w:hAnsi="Times New Roman" w:cs="Times New Roman"/>
          <w:lang w:val="ru-RU"/>
        </w:rPr>
        <w:t>20.07 - 20.12, се завишават. Доказателствата се представят в съответствие с член 20.05, точка 2.</w:t>
      </w:r>
    </w:p>
    <w:p w14:paraId="5882C97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 xml:space="preserve">В таблиците, дадени в членове 20.07 - 20.12 и 20.14, евентуални междинни стойности се получават чрез интерполиране. </w:t>
      </w:r>
    </w:p>
    <w:p w14:paraId="4F1BDCF5" w14:textId="77777777" w:rsidR="00CC6538" w:rsidRPr="00F06DE2" w:rsidRDefault="00CC6538">
      <w:pPr>
        <w:pStyle w:val="ES-Titre3"/>
        <w:spacing w:line="240" w:lineRule="atLeast"/>
        <w:rPr>
          <w:rFonts w:ascii="Times New Roman" w:hAnsi="Times New Roman" w:cs="Times New Roman"/>
          <w:sz w:val="24"/>
          <w:szCs w:val="24"/>
          <w:lang w:val="ru-RU"/>
        </w:rPr>
      </w:pPr>
      <w:bookmarkStart w:id="378" w:name="_Toc535827633"/>
      <w:bookmarkStart w:id="379" w:name="_Toc491854192"/>
    </w:p>
    <w:p w14:paraId="2C77615A" w14:textId="5732B378"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20.07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разпоредби за мачтите</w:t>
      </w:r>
      <w:bookmarkEnd w:id="378"/>
      <w:bookmarkEnd w:id="379"/>
    </w:p>
    <w:p w14:paraId="7ADE76FC" w14:textId="77777777" w:rsidR="00271FA2" w:rsidRPr="00F06DE2" w:rsidRDefault="00D35E51">
      <w:pPr>
        <w:pStyle w:val="ESc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Мачтите от дърво трябва да отговарят на следните минимални изисквания:</w:t>
      </w:r>
    </w:p>
    <w:tbl>
      <w:tblPr>
        <w:tblW w:w="0" w:type="auto"/>
        <w:jc w:val="center"/>
        <w:tblLayout w:type="fixed"/>
        <w:tblLook w:val="04A0" w:firstRow="1" w:lastRow="0" w:firstColumn="1" w:lastColumn="0" w:noHBand="0" w:noVBand="1"/>
      </w:tblPr>
      <w:tblGrid>
        <w:gridCol w:w="1871"/>
        <w:gridCol w:w="1871"/>
        <w:gridCol w:w="1871"/>
        <w:gridCol w:w="1871"/>
      </w:tblGrid>
      <w:tr w:rsidR="00271FA2" w:rsidRPr="00F06DE2" w14:paraId="64FBE3AF" w14:textId="77777777">
        <w:trPr>
          <w:cantSplit/>
          <w:tblHeader/>
          <w:jc w:val="center"/>
        </w:trPr>
        <w:tc>
          <w:tcPr>
            <w:tcW w:w="1871" w:type="dxa"/>
            <w:tcBorders>
              <w:top w:val="single" w:sz="2" w:space="0" w:color="auto"/>
              <w:left w:val="single" w:sz="2" w:space="0" w:color="auto"/>
              <w:bottom w:val="single" w:sz="2" w:space="0" w:color="auto"/>
              <w:right w:val="single" w:sz="2" w:space="0" w:color="auto"/>
            </w:tcBorders>
            <w:vAlign w:val="center"/>
          </w:tcPr>
          <w:p w14:paraId="438791B7"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Дължина</w:t>
            </w:r>
            <w:r w:rsidRPr="00F06DE2">
              <w:rPr>
                <w:rStyle w:val="FootnoteReference"/>
                <w:rFonts w:ascii="Times New Roman" w:hAnsi="Times New Roman" w:cs="Times New Roman"/>
              </w:rPr>
              <w:footnoteReference w:id="12"/>
            </w:r>
            <w:r w:rsidRPr="00F06DE2">
              <w:rPr>
                <w:rFonts w:ascii="Times New Roman" w:hAnsi="Times New Roman" w:cs="Times New Roman"/>
              </w:rPr>
              <w:br/>
              <w:t>[m]</w:t>
            </w:r>
          </w:p>
        </w:tc>
        <w:tc>
          <w:tcPr>
            <w:tcW w:w="1871" w:type="dxa"/>
            <w:tcBorders>
              <w:top w:val="single" w:sz="2" w:space="0" w:color="auto"/>
              <w:left w:val="single" w:sz="2" w:space="0" w:color="auto"/>
              <w:bottom w:val="single" w:sz="2" w:space="0" w:color="auto"/>
              <w:right w:val="single" w:sz="2" w:space="0" w:color="auto"/>
            </w:tcBorders>
            <w:vAlign w:val="center"/>
          </w:tcPr>
          <w:p w14:paraId="42EDF02C"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Диаметър върху палубата</w:t>
            </w:r>
            <w:r w:rsidRPr="00F06DE2">
              <w:rPr>
                <w:rFonts w:ascii="Times New Roman" w:hAnsi="Times New Roman" w:cs="Times New Roman"/>
              </w:rPr>
              <w:br/>
              <w:t>[cm]</w:t>
            </w:r>
          </w:p>
        </w:tc>
        <w:tc>
          <w:tcPr>
            <w:tcW w:w="1871" w:type="dxa"/>
            <w:tcBorders>
              <w:top w:val="single" w:sz="2" w:space="0" w:color="auto"/>
              <w:left w:val="single" w:sz="2" w:space="0" w:color="auto"/>
              <w:bottom w:val="single" w:sz="2" w:space="0" w:color="auto"/>
              <w:right w:val="single" w:sz="2" w:space="0" w:color="auto"/>
            </w:tcBorders>
            <w:vAlign w:val="center"/>
          </w:tcPr>
          <w:p w14:paraId="3D23A7E5"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Диаметър на салинга</w:t>
            </w:r>
            <w:r w:rsidRPr="00F06DE2">
              <w:rPr>
                <w:rFonts w:ascii="Times New Roman" w:hAnsi="Times New Roman" w:cs="Times New Roman"/>
              </w:rPr>
              <w:br/>
              <w:t>[cm]</w:t>
            </w:r>
          </w:p>
        </w:tc>
        <w:tc>
          <w:tcPr>
            <w:tcW w:w="1871" w:type="dxa"/>
            <w:tcBorders>
              <w:top w:val="single" w:sz="2" w:space="0" w:color="auto"/>
              <w:left w:val="single" w:sz="2" w:space="0" w:color="auto"/>
              <w:bottom w:val="single" w:sz="2" w:space="0" w:color="auto"/>
              <w:right w:val="single" w:sz="2" w:space="0" w:color="auto"/>
            </w:tcBorders>
            <w:vAlign w:val="center"/>
          </w:tcPr>
          <w:p w14:paraId="1BECC2DA"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Диаметър върху езелхофта</w:t>
            </w:r>
            <w:r w:rsidRPr="00F06DE2">
              <w:rPr>
                <w:rFonts w:ascii="Times New Roman" w:hAnsi="Times New Roman" w:cs="Times New Roman"/>
              </w:rPr>
              <w:br/>
              <w:t>[cm]</w:t>
            </w:r>
          </w:p>
        </w:tc>
      </w:tr>
      <w:tr w:rsidR="00271FA2" w:rsidRPr="00F06DE2" w14:paraId="5142477C"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2E5A9D2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10</w:t>
            </w:r>
          </w:p>
        </w:tc>
        <w:tc>
          <w:tcPr>
            <w:tcW w:w="1871" w:type="dxa"/>
            <w:tcBorders>
              <w:top w:val="single" w:sz="2" w:space="0" w:color="auto"/>
              <w:left w:val="single" w:sz="2" w:space="0" w:color="auto"/>
              <w:bottom w:val="single" w:sz="2" w:space="0" w:color="auto"/>
              <w:right w:val="single" w:sz="2" w:space="0" w:color="auto"/>
            </w:tcBorders>
            <w:vAlign w:val="center"/>
          </w:tcPr>
          <w:p w14:paraId="654B75D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20</w:t>
            </w:r>
          </w:p>
        </w:tc>
        <w:tc>
          <w:tcPr>
            <w:tcW w:w="1871" w:type="dxa"/>
            <w:tcBorders>
              <w:top w:val="single" w:sz="2" w:space="0" w:color="auto"/>
              <w:left w:val="single" w:sz="2" w:space="0" w:color="auto"/>
              <w:bottom w:val="single" w:sz="2" w:space="0" w:color="auto"/>
              <w:right w:val="single" w:sz="2" w:space="0" w:color="auto"/>
            </w:tcBorders>
            <w:vAlign w:val="center"/>
          </w:tcPr>
          <w:p w14:paraId="1AF4E4C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17</w:t>
            </w:r>
          </w:p>
        </w:tc>
        <w:tc>
          <w:tcPr>
            <w:tcW w:w="1871" w:type="dxa"/>
            <w:tcBorders>
              <w:top w:val="single" w:sz="2" w:space="0" w:color="auto"/>
              <w:left w:val="single" w:sz="2" w:space="0" w:color="auto"/>
              <w:bottom w:val="single" w:sz="2" w:space="0" w:color="auto"/>
              <w:right w:val="single" w:sz="2" w:space="0" w:color="auto"/>
            </w:tcBorders>
            <w:vAlign w:val="center"/>
          </w:tcPr>
          <w:p w14:paraId="3FF9125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15</w:t>
            </w:r>
          </w:p>
        </w:tc>
      </w:tr>
      <w:tr w:rsidR="00271FA2" w:rsidRPr="00F06DE2" w14:paraId="617CF32D"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76BD47B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11</w:t>
            </w:r>
          </w:p>
        </w:tc>
        <w:tc>
          <w:tcPr>
            <w:tcW w:w="1871" w:type="dxa"/>
            <w:tcBorders>
              <w:top w:val="single" w:sz="2" w:space="0" w:color="auto"/>
              <w:left w:val="single" w:sz="2" w:space="0" w:color="auto"/>
              <w:bottom w:val="single" w:sz="2" w:space="0" w:color="auto"/>
              <w:right w:val="single" w:sz="2" w:space="0" w:color="auto"/>
            </w:tcBorders>
            <w:vAlign w:val="center"/>
          </w:tcPr>
          <w:p w14:paraId="5676533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22</w:t>
            </w:r>
          </w:p>
        </w:tc>
        <w:tc>
          <w:tcPr>
            <w:tcW w:w="1871" w:type="dxa"/>
            <w:tcBorders>
              <w:top w:val="single" w:sz="2" w:space="0" w:color="auto"/>
              <w:left w:val="single" w:sz="2" w:space="0" w:color="auto"/>
              <w:bottom w:val="single" w:sz="2" w:space="0" w:color="auto"/>
              <w:right w:val="single" w:sz="2" w:space="0" w:color="auto"/>
            </w:tcBorders>
            <w:vAlign w:val="center"/>
          </w:tcPr>
          <w:p w14:paraId="14631CF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17</w:t>
            </w:r>
          </w:p>
        </w:tc>
        <w:tc>
          <w:tcPr>
            <w:tcW w:w="1871" w:type="dxa"/>
            <w:tcBorders>
              <w:top w:val="single" w:sz="2" w:space="0" w:color="auto"/>
              <w:left w:val="single" w:sz="2" w:space="0" w:color="auto"/>
              <w:bottom w:val="single" w:sz="2" w:space="0" w:color="auto"/>
              <w:right w:val="single" w:sz="2" w:space="0" w:color="auto"/>
            </w:tcBorders>
            <w:vAlign w:val="center"/>
          </w:tcPr>
          <w:p w14:paraId="395A8A6B"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15</w:t>
            </w:r>
          </w:p>
        </w:tc>
      </w:tr>
      <w:tr w:rsidR="00271FA2" w:rsidRPr="00F06DE2" w14:paraId="29CF9122"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1189EA0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12</w:t>
            </w:r>
          </w:p>
        </w:tc>
        <w:tc>
          <w:tcPr>
            <w:tcW w:w="1871" w:type="dxa"/>
            <w:tcBorders>
              <w:top w:val="single" w:sz="2" w:space="0" w:color="auto"/>
              <w:left w:val="single" w:sz="2" w:space="0" w:color="auto"/>
              <w:bottom w:val="single" w:sz="2" w:space="0" w:color="auto"/>
              <w:right w:val="single" w:sz="2" w:space="0" w:color="auto"/>
            </w:tcBorders>
            <w:vAlign w:val="center"/>
          </w:tcPr>
          <w:p w14:paraId="72E4D35B"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24</w:t>
            </w:r>
          </w:p>
        </w:tc>
        <w:tc>
          <w:tcPr>
            <w:tcW w:w="1871" w:type="dxa"/>
            <w:tcBorders>
              <w:top w:val="single" w:sz="2" w:space="0" w:color="auto"/>
              <w:left w:val="single" w:sz="2" w:space="0" w:color="auto"/>
              <w:bottom w:val="single" w:sz="2" w:space="0" w:color="auto"/>
              <w:right w:val="single" w:sz="2" w:space="0" w:color="auto"/>
            </w:tcBorders>
            <w:vAlign w:val="center"/>
          </w:tcPr>
          <w:p w14:paraId="4F8D33B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19</w:t>
            </w:r>
          </w:p>
        </w:tc>
        <w:tc>
          <w:tcPr>
            <w:tcW w:w="1871" w:type="dxa"/>
            <w:tcBorders>
              <w:top w:val="single" w:sz="2" w:space="0" w:color="auto"/>
              <w:left w:val="single" w:sz="2" w:space="0" w:color="auto"/>
              <w:bottom w:val="single" w:sz="2" w:space="0" w:color="auto"/>
              <w:right w:val="single" w:sz="2" w:space="0" w:color="auto"/>
            </w:tcBorders>
            <w:vAlign w:val="center"/>
          </w:tcPr>
          <w:p w14:paraId="7705851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17</w:t>
            </w:r>
          </w:p>
        </w:tc>
      </w:tr>
      <w:tr w:rsidR="00271FA2" w:rsidRPr="00F06DE2" w14:paraId="18EECF19"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1AFF8DC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13</w:t>
            </w:r>
          </w:p>
        </w:tc>
        <w:tc>
          <w:tcPr>
            <w:tcW w:w="1871" w:type="dxa"/>
            <w:tcBorders>
              <w:top w:val="single" w:sz="2" w:space="0" w:color="auto"/>
              <w:left w:val="single" w:sz="2" w:space="0" w:color="auto"/>
              <w:bottom w:val="single" w:sz="2" w:space="0" w:color="auto"/>
              <w:right w:val="single" w:sz="2" w:space="0" w:color="auto"/>
            </w:tcBorders>
            <w:vAlign w:val="center"/>
          </w:tcPr>
          <w:p w14:paraId="58F00A7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26</w:t>
            </w:r>
          </w:p>
        </w:tc>
        <w:tc>
          <w:tcPr>
            <w:tcW w:w="1871" w:type="dxa"/>
            <w:tcBorders>
              <w:top w:val="single" w:sz="2" w:space="0" w:color="auto"/>
              <w:left w:val="single" w:sz="2" w:space="0" w:color="auto"/>
              <w:bottom w:val="single" w:sz="2" w:space="0" w:color="auto"/>
              <w:right w:val="single" w:sz="2" w:space="0" w:color="auto"/>
            </w:tcBorders>
            <w:vAlign w:val="center"/>
          </w:tcPr>
          <w:p w14:paraId="0BCEC0B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21</w:t>
            </w:r>
          </w:p>
        </w:tc>
        <w:tc>
          <w:tcPr>
            <w:tcW w:w="1871" w:type="dxa"/>
            <w:tcBorders>
              <w:top w:val="single" w:sz="2" w:space="0" w:color="auto"/>
              <w:left w:val="single" w:sz="2" w:space="0" w:color="auto"/>
              <w:bottom w:val="single" w:sz="2" w:space="0" w:color="auto"/>
              <w:right w:val="single" w:sz="2" w:space="0" w:color="auto"/>
            </w:tcBorders>
            <w:vAlign w:val="center"/>
          </w:tcPr>
          <w:p w14:paraId="15C3F08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18</w:t>
            </w:r>
          </w:p>
        </w:tc>
      </w:tr>
      <w:tr w:rsidR="00271FA2" w:rsidRPr="00F06DE2" w14:paraId="491DD94E"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1C8BAF1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14</w:t>
            </w:r>
          </w:p>
        </w:tc>
        <w:tc>
          <w:tcPr>
            <w:tcW w:w="1871" w:type="dxa"/>
            <w:tcBorders>
              <w:top w:val="single" w:sz="2" w:space="0" w:color="auto"/>
              <w:left w:val="single" w:sz="2" w:space="0" w:color="auto"/>
              <w:bottom w:val="single" w:sz="2" w:space="0" w:color="auto"/>
              <w:right w:val="single" w:sz="2" w:space="0" w:color="auto"/>
            </w:tcBorders>
            <w:vAlign w:val="center"/>
          </w:tcPr>
          <w:p w14:paraId="35C8403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28</w:t>
            </w:r>
          </w:p>
        </w:tc>
        <w:tc>
          <w:tcPr>
            <w:tcW w:w="1871" w:type="dxa"/>
            <w:tcBorders>
              <w:top w:val="single" w:sz="2" w:space="0" w:color="auto"/>
              <w:left w:val="single" w:sz="2" w:space="0" w:color="auto"/>
              <w:bottom w:val="single" w:sz="2" w:space="0" w:color="auto"/>
              <w:right w:val="single" w:sz="2" w:space="0" w:color="auto"/>
            </w:tcBorders>
            <w:vAlign w:val="center"/>
          </w:tcPr>
          <w:p w14:paraId="5E53A54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23</w:t>
            </w:r>
          </w:p>
        </w:tc>
        <w:tc>
          <w:tcPr>
            <w:tcW w:w="1871" w:type="dxa"/>
            <w:tcBorders>
              <w:top w:val="single" w:sz="2" w:space="0" w:color="auto"/>
              <w:left w:val="single" w:sz="2" w:space="0" w:color="auto"/>
              <w:bottom w:val="single" w:sz="2" w:space="0" w:color="auto"/>
              <w:right w:val="single" w:sz="2" w:space="0" w:color="auto"/>
            </w:tcBorders>
            <w:vAlign w:val="center"/>
          </w:tcPr>
          <w:p w14:paraId="49F7F92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19</w:t>
            </w:r>
          </w:p>
        </w:tc>
      </w:tr>
      <w:tr w:rsidR="00271FA2" w:rsidRPr="00F06DE2" w14:paraId="720D63BF"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19266F8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15</w:t>
            </w:r>
          </w:p>
        </w:tc>
        <w:tc>
          <w:tcPr>
            <w:tcW w:w="1871" w:type="dxa"/>
            <w:tcBorders>
              <w:top w:val="single" w:sz="2" w:space="0" w:color="auto"/>
              <w:left w:val="single" w:sz="2" w:space="0" w:color="auto"/>
              <w:bottom w:val="single" w:sz="2" w:space="0" w:color="auto"/>
              <w:right w:val="single" w:sz="2" w:space="0" w:color="auto"/>
            </w:tcBorders>
            <w:vAlign w:val="center"/>
          </w:tcPr>
          <w:p w14:paraId="7290B6D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30</w:t>
            </w:r>
          </w:p>
        </w:tc>
        <w:tc>
          <w:tcPr>
            <w:tcW w:w="1871" w:type="dxa"/>
            <w:tcBorders>
              <w:top w:val="single" w:sz="2" w:space="0" w:color="auto"/>
              <w:left w:val="single" w:sz="2" w:space="0" w:color="auto"/>
              <w:bottom w:val="single" w:sz="2" w:space="0" w:color="auto"/>
              <w:right w:val="single" w:sz="2" w:space="0" w:color="auto"/>
            </w:tcBorders>
            <w:vAlign w:val="center"/>
          </w:tcPr>
          <w:p w14:paraId="34C2AC5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25</w:t>
            </w:r>
          </w:p>
        </w:tc>
        <w:tc>
          <w:tcPr>
            <w:tcW w:w="1871" w:type="dxa"/>
            <w:tcBorders>
              <w:top w:val="single" w:sz="2" w:space="0" w:color="auto"/>
              <w:left w:val="single" w:sz="2" w:space="0" w:color="auto"/>
              <w:bottom w:val="single" w:sz="2" w:space="0" w:color="auto"/>
              <w:right w:val="single" w:sz="2" w:space="0" w:color="auto"/>
            </w:tcBorders>
            <w:vAlign w:val="center"/>
          </w:tcPr>
          <w:p w14:paraId="2B5B8BC2"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21</w:t>
            </w:r>
          </w:p>
        </w:tc>
      </w:tr>
      <w:tr w:rsidR="00271FA2" w:rsidRPr="00F06DE2" w14:paraId="4399B5B8"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06B8812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16</w:t>
            </w:r>
          </w:p>
        </w:tc>
        <w:tc>
          <w:tcPr>
            <w:tcW w:w="1871" w:type="dxa"/>
            <w:tcBorders>
              <w:top w:val="single" w:sz="2" w:space="0" w:color="auto"/>
              <w:left w:val="single" w:sz="2" w:space="0" w:color="auto"/>
              <w:bottom w:val="single" w:sz="2" w:space="0" w:color="auto"/>
              <w:right w:val="single" w:sz="2" w:space="0" w:color="auto"/>
            </w:tcBorders>
            <w:vAlign w:val="center"/>
          </w:tcPr>
          <w:p w14:paraId="6F3FD59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32</w:t>
            </w:r>
          </w:p>
        </w:tc>
        <w:tc>
          <w:tcPr>
            <w:tcW w:w="1871" w:type="dxa"/>
            <w:tcBorders>
              <w:top w:val="single" w:sz="2" w:space="0" w:color="auto"/>
              <w:left w:val="single" w:sz="2" w:space="0" w:color="auto"/>
              <w:bottom w:val="single" w:sz="2" w:space="0" w:color="auto"/>
              <w:right w:val="single" w:sz="2" w:space="0" w:color="auto"/>
            </w:tcBorders>
            <w:vAlign w:val="center"/>
          </w:tcPr>
          <w:p w14:paraId="7EF1D792"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26</w:t>
            </w:r>
          </w:p>
        </w:tc>
        <w:tc>
          <w:tcPr>
            <w:tcW w:w="1871" w:type="dxa"/>
            <w:tcBorders>
              <w:top w:val="single" w:sz="2" w:space="0" w:color="auto"/>
              <w:left w:val="single" w:sz="2" w:space="0" w:color="auto"/>
              <w:bottom w:val="single" w:sz="2" w:space="0" w:color="auto"/>
              <w:right w:val="single" w:sz="2" w:space="0" w:color="auto"/>
            </w:tcBorders>
            <w:vAlign w:val="center"/>
          </w:tcPr>
          <w:p w14:paraId="1EE7F47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22</w:t>
            </w:r>
          </w:p>
        </w:tc>
      </w:tr>
      <w:tr w:rsidR="00271FA2" w:rsidRPr="00F06DE2" w14:paraId="57E1A708"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7ADD3ACB"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17</w:t>
            </w:r>
          </w:p>
        </w:tc>
        <w:tc>
          <w:tcPr>
            <w:tcW w:w="1871" w:type="dxa"/>
            <w:tcBorders>
              <w:top w:val="single" w:sz="2" w:space="0" w:color="auto"/>
              <w:left w:val="single" w:sz="2" w:space="0" w:color="auto"/>
              <w:bottom w:val="single" w:sz="2" w:space="0" w:color="auto"/>
              <w:right w:val="single" w:sz="2" w:space="0" w:color="auto"/>
            </w:tcBorders>
            <w:vAlign w:val="center"/>
          </w:tcPr>
          <w:p w14:paraId="14256D9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34</w:t>
            </w:r>
          </w:p>
        </w:tc>
        <w:tc>
          <w:tcPr>
            <w:tcW w:w="1871" w:type="dxa"/>
            <w:tcBorders>
              <w:top w:val="single" w:sz="2" w:space="0" w:color="auto"/>
              <w:left w:val="single" w:sz="2" w:space="0" w:color="auto"/>
              <w:bottom w:val="single" w:sz="2" w:space="0" w:color="auto"/>
              <w:right w:val="single" w:sz="2" w:space="0" w:color="auto"/>
            </w:tcBorders>
            <w:vAlign w:val="center"/>
          </w:tcPr>
          <w:p w14:paraId="7AEB013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28</w:t>
            </w:r>
          </w:p>
        </w:tc>
        <w:tc>
          <w:tcPr>
            <w:tcW w:w="1871" w:type="dxa"/>
            <w:tcBorders>
              <w:top w:val="single" w:sz="2" w:space="0" w:color="auto"/>
              <w:left w:val="single" w:sz="2" w:space="0" w:color="auto"/>
              <w:bottom w:val="single" w:sz="2" w:space="0" w:color="auto"/>
              <w:right w:val="single" w:sz="2" w:space="0" w:color="auto"/>
            </w:tcBorders>
            <w:vAlign w:val="center"/>
          </w:tcPr>
          <w:p w14:paraId="249A8B60"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23</w:t>
            </w:r>
          </w:p>
        </w:tc>
      </w:tr>
      <w:tr w:rsidR="00271FA2" w:rsidRPr="00F06DE2" w14:paraId="7E52FF3E"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06D1D0D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18</w:t>
            </w:r>
          </w:p>
        </w:tc>
        <w:tc>
          <w:tcPr>
            <w:tcW w:w="1871" w:type="dxa"/>
            <w:tcBorders>
              <w:top w:val="single" w:sz="2" w:space="0" w:color="auto"/>
              <w:left w:val="single" w:sz="2" w:space="0" w:color="auto"/>
              <w:bottom w:val="single" w:sz="2" w:space="0" w:color="auto"/>
              <w:right w:val="single" w:sz="2" w:space="0" w:color="auto"/>
            </w:tcBorders>
            <w:vAlign w:val="center"/>
          </w:tcPr>
          <w:p w14:paraId="3A45E0B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36</w:t>
            </w:r>
          </w:p>
        </w:tc>
        <w:tc>
          <w:tcPr>
            <w:tcW w:w="1871" w:type="dxa"/>
            <w:tcBorders>
              <w:top w:val="single" w:sz="2" w:space="0" w:color="auto"/>
              <w:left w:val="single" w:sz="2" w:space="0" w:color="auto"/>
              <w:bottom w:val="single" w:sz="2" w:space="0" w:color="auto"/>
              <w:right w:val="single" w:sz="2" w:space="0" w:color="auto"/>
            </w:tcBorders>
            <w:vAlign w:val="center"/>
          </w:tcPr>
          <w:p w14:paraId="25CB663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29</w:t>
            </w:r>
          </w:p>
        </w:tc>
        <w:tc>
          <w:tcPr>
            <w:tcW w:w="1871" w:type="dxa"/>
            <w:tcBorders>
              <w:top w:val="single" w:sz="2" w:space="0" w:color="auto"/>
              <w:left w:val="single" w:sz="2" w:space="0" w:color="auto"/>
              <w:bottom w:val="single" w:sz="2" w:space="0" w:color="auto"/>
              <w:right w:val="single" w:sz="2" w:space="0" w:color="auto"/>
            </w:tcBorders>
            <w:vAlign w:val="center"/>
          </w:tcPr>
          <w:p w14:paraId="071CFE4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24</w:t>
            </w:r>
          </w:p>
        </w:tc>
      </w:tr>
      <w:tr w:rsidR="00271FA2" w:rsidRPr="00F06DE2" w14:paraId="33005867"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5116E27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19</w:t>
            </w:r>
          </w:p>
        </w:tc>
        <w:tc>
          <w:tcPr>
            <w:tcW w:w="1871" w:type="dxa"/>
            <w:tcBorders>
              <w:top w:val="single" w:sz="2" w:space="0" w:color="auto"/>
              <w:left w:val="single" w:sz="2" w:space="0" w:color="auto"/>
              <w:bottom w:val="single" w:sz="2" w:space="0" w:color="auto"/>
              <w:right w:val="single" w:sz="2" w:space="0" w:color="auto"/>
            </w:tcBorders>
            <w:vAlign w:val="center"/>
          </w:tcPr>
          <w:p w14:paraId="75FB9DB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39</w:t>
            </w:r>
          </w:p>
        </w:tc>
        <w:tc>
          <w:tcPr>
            <w:tcW w:w="1871" w:type="dxa"/>
            <w:tcBorders>
              <w:top w:val="single" w:sz="2" w:space="0" w:color="auto"/>
              <w:left w:val="single" w:sz="2" w:space="0" w:color="auto"/>
              <w:bottom w:val="single" w:sz="2" w:space="0" w:color="auto"/>
              <w:right w:val="single" w:sz="2" w:space="0" w:color="auto"/>
            </w:tcBorders>
            <w:vAlign w:val="center"/>
          </w:tcPr>
          <w:p w14:paraId="50DE5A2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31</w:t>
            </w:r>
          </w:p>
        </w:tc>
        <w:tc>
          <w:tcPr>
            <w:tcW w:w="1871" w:type="dxa"/>
            <w:tcBorders>
              <w:top w:val="single" w:sz="2" w:space="0" w:color="auto"/>
              <w:left w:val="single" w:sz="2" w:space="0" w:color="auto"/>
              <w:bottom w:val="single" w:sz="2" w:space="0" w:color="auto"/>
              <w:right w:val="single" w:sz="2" w:space="0" w:color="auto"/>
            </w:tcBorders>
            <w:vAlign w:val="center"/>
          </w:tcPr>
          <w:p w14:paraId="7D369BB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25</w:t>
            </w:r>
          </w:p>
        </w:tc>
      </w:tr>
      <w:tr w:rsidR="00271FA2" w:rsidRPr="00F06DE2" w14:paraId="72C99DB8"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2F4C45C1"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20</w:t>
            </w:r>
          </w:p>
        </w:tc>
        <w:tc>
          <w:tcPr>
            <w:tcW w:w="1871" w:type="dxa"/>
            <w:tcBorders>
              <w:top w:val="single" w:sz="2" w:space="0" w:color="auto"/>
              <w:left w:val="single" w:sz="2" w:space="0" w:color="auto"/>
              <w:bottom w:val="single" w:sz="2" w:space="0" w:color="auto"/>
              <w:right w:val="single" w:sz="2" w:space="0" w:color="auto"/>
            </w:tcBorders>
            <w:vAlign w:val="center"/>
          </w:tcPr>
          <w:p w14:paraId="1C1CCAE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41</w:t>
            </w:r>
          </w:p>
        </w:tc>
        <w:tc>
          <w:tcPr>
            <w:tcW w:w="1871" w:type="dxa"/>
            <w:tcBorders>
              <w:top w:val="single" w:sz="2" w:space="0" w:color="auto"/>
              <w:left w:val="single" w:sz="2" w:space="0" w:color="auto"/>
              <w:bottom w:val="single" w:sz="2" w:space="0" w:color="auto"/>
              <w:right w:val="single" w:sz="2" w:space="0" w:color="auto"/>
            </w:tcBorders>
            <w:vAlign w:val="center"/>
          </w:tcPr>
          <w:p w14:paraId="17A0552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33</w:t>
            </w:r>
          </w:p>
        </w:tc>
        <w:tc>
          <w:tcPr>
            <w:tcW w:w="1871" w:type="dxa"/>
            <w:tcBorders>
              <w:top w:val="single" w:sz="2" w:space="0" w:color="auto"/>
              <w:left w:val="single" w:sz="2" w:space="0" w:color="auto"/>
              <w:bottom w:val="single" w:sz="2" w:space="0" w:color="auto"/>
              <w:right w:val="single" w:sz="2" w:space="0" w:color="auto"/>
            </w:tcBorders>
            <w:vAlign w:val="center"/>
          </w:tcPr>
          <w:p w14:paraId="7CEEDE0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26</w:t>
            </w:r>
          </w:p>
        </w:tc>
      </w:tr>
      <w:tr w:rsidR="00271FA2" w:rsidRPr="00F06DE2" w14:paraId="6FE07612"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3BB48591"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lastRenderedPageBreak/>
              <w:t>21</w:t>
            </w:r>
          </w:p>
        </w:tc>
        <w:tc>
          <w:tcPr>
            <w:tcW w:w="1871" w:type="dxa"/>
            <w:tcBorders>
              <w:top w:val="single" w:sz="2" w:space="0" w:color="auto"/>
              <w:left w:val="single" w:sz="2" w:space="0" w:color="auto"/>
              <w:bottom w:val="single" w:sz="2" w:space="0" w:color="auto"/>
              <w:right w:val="single" w:sz="2" w:space="0" w:color="auto"/>
            </w:tcBorders>
            <w:vAlign w:val="center"/>
          </w:tcPr>
          <w:p w14:paraId="1774F0E8"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43</w:t>
            </w:r>
          </w:p>
        </w:tc>
        <w:tc>
          <w:tcPr>
            <w:tcW w:w="1871" w:type="dxa"/>
            <w:tcBorders>
              <w:top w:val="single" w:sz="2" w:space="0" w:color="auto"/>
              <w:left w:val="single" w:sz="2" w:space="0" w:color="auto"/>
              <w:bottom w:val="single" w:sz="2" w:space="0" w:color="auto"/>
              <w:right w:val="single" w:sz="2" w:space="0" w:color="auto"/>
            </w:tcBorders>
            <w:vAlign w:val="center"/>
          </w:tcPr>
          <w:p w14:paraId="7C4AB6F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34</w:t>
            </w:r>
          </w:p>
        </w:tc>
        <w:tc>
          <w:tcPr>
            <w:tcW w:w="1871" w:type="dxa"/>
            <w:tcBorders>
              <w:top w:val="single" w:sz="2" w:space="0" w:color="auto"/>
              <w:left w:val="single" w:sz="2" w:space="0" w:color="auto"/>
              <w:bottom w:val="single" w:sz="2" w:space="0" w:color="auto"/>
              <w:right w:val="single" w:sz="2" w:space="0" w:color="auto"/>
            </w:tcBorders>
            <w:vAlign w:val="center"/>
          </w:tcPr>
          <w:p w14:paraId="595A14E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28</w:t>
            </w:r>
          </w:p>
        </w:tc>
      </w:tr>
      <w:tr w:rsidR="00271FA2" w:rsidRPr="00F06DE2" w14:paraId="56A930B1"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111E8B6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22</w:t>
            </w:r>
          </w:p>
        </w:tc>
        <w:tc>
          <w:tcPr>
            <w:tcW w:w="1871" w:type="dxa"/>
            <w:tcBorders>
              <w:top w:val="single" w:sz="2" w:space="0" w:color="auto"/>
              <w:left w:val="single" w:sz="2" w:space="0" w:color="auto"/>
              <w:bottom w:val="single" w:sz="2" w:space="0" w:color="auto"/>
              <w:right w:val="single" w:sz="2" w:space="0" w:color="auto"/>
            </w:tcBorders>
            <w:vAlign w:val="center"/>
          </w:tcPr>
          <w:p w14:paraId="5BD783E0"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44</w:t>
            </w:r>
          </w:p>
        </w:tc>
        <w:tc>
          <w:tcPr>
            <w:tcW w:w="1871" w:type="dxa"/>
            <w:tcBorders>
              <w:top w:val="single" w:sz="2" w:space="0" w:color="auto"/>
              <w:left w:val="single" w:sz="2" w:space="0" w:color="auto"/>
              <w:bottom w:val="single" w:sz="2" w:space="0" w:color="auto"/>
              <w:right w:val="single" w:sz="2" w:space="0" w:color="auto"/>
            </w:tcBorders>
            <w:vAlign w:val="center"/>
          </w:tcPr>
          <w:p w14:paraId="75EB19D0"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35</w:t>
            </w:r>
          </w:p>
        </w:tc>
        <w:tc>
          <w:tcPr>
            <w:tcW w:w="1871" w:type="dxa"/>
            <w:tcBorders>
              <w:top w:val="single" w:sz="2" w:space="0" w:color="auto"/>
              <w:left w:val="single" w:sz="2" w:space="0" w:color="auto"/>
              <w:bottom w:val="single" w:sz="2" w:space="0" w:color="auto"/>
              <w:right w:val="single" w:sz="2" w:space="0" w:color="auto"/>
            </w:tcBorders>
            <w:vAlign w:val="center"/>
          </w:tcPr>
          <w:p w14:paraId="574A40E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29</w:t>
            </w:r>
          </w:p>
        </w:tc>
      </w:tr>
      <w:tr w:rsidR="00271FA2" w:rsidRPr="00F06DE2" w14:paraId="1B165E9B"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33BDCE6B"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23</w:t>
            </w:r>
          </w:p>
        </w:tc>
        <w:tc>
          <w:tcPr>
            <w:tcW w:w="1871" w:type="dxa"/>
            <w:tcBorders>
              <w:top w:val="single" w:sz="2" w:space="0" w:color="auto"/>
              <w:left w:val="single" w:sz="2" w:space="0" w:color="auto"/>
              <w:bottom w:val="single" w:sz="2" w:space="0" w:color="auto"/>
              <w:right w:val="single" w:sz="2" w:space="0" w:color="auto"/>
            </w:tcBorders>
            <w:vAlign w:val="center"/>
          </w:tcPr>
          <w:p w14:paraId="13A4A9B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46</w:t>
            </w:r>
          </w:p>
        </w:tc>
        <w:tc>
          <w:tcPr>
            <w:tcW w:w="1871" w:type="dxa"/>
            <w:tcBorders>
              <w:top w:val="single" w:sz="2" w:space="0" w:color="auto"/>
              <w:left w:val="single" w:sz="2" w:space="0" w:color="auto"/>
              <w:bottom w:val="single" w:sz="2" w:space="0" w:color="auto"/>
              <w:right w:val="single" w:sz="2" w:space="0" w:color="auto"/>
            </w:tcBorders>
            <w:vAlign w:val="center"/>
          </w:tcPr>
          <w:p w14:paraId="2F1009A8"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37</w:t>
            </w:r>
          </w:p>
        </w:tc>
        <w:tc>
          <w:tcPr>
            <w:tcW w:w="1871" w:type="dxa"/>
            <w:tcBorders>
              <w:top w:val="single" w:sz="2" w:space="0" w:color="auto"/>
              <w:left w:val="single" w:sz="2" w:space="0" w:color="auto"/>
              <w:bottom w:val="single" w:sz="2" w:space="0" w:color="auto"/>
              <w:right w:val="single" w:sz="2" w:space="0" w:color="auto"/>
            </w:tcBorders>
            <w:vAlign w:val="center"/>
          </w:tcPr>
          <w:p w14:paraId="154F37A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30</w:t>
            </w:r>
          </w:p>
        </w:tc>
      </w:tr>
      <w:tr w:rsidR="00271FA2" w:rsidRPr="00F06DE2" w14:paraId="7D2EF751"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4438137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24</w:t>
            </w:r>
          </w:p>
        </w:tc>
        <w:tc>
          <w:tcPr>
            <w:tcW w:w="1871" w:type="dxa"/>
            <w:tcBorders>
              <w:top w:val="single" w:sz="2" w:space="0" w:color="auto"/>
              <w:left w:val="single" w:sz="2" w:space="0" w:color="auto"/>
              <w:bottom w:val="single" w:sz="2" w:space="0" w:color="auto"/>
              <w:right w:val="single" w:sz="2" w:space="0" w:color="auto"/>
            </w:tcBorders>
            <w:vAlign w:val="center"/>
          </w:tcPr>
          <w:p w14:paraId="3650583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49</w:t>
            </w:r>
          </w:p>
        </w:tc>
        <w:tc>
          <w:tcPr>
            <w:tcW w:w="1871" w:type="dxa"/>
            <w:tcBorders>
              <w:top w:val="single" w:sz="2" w:space="0" w:color="auto"/>
              <w:left w:val="single" w:sz="2" w:space="0" w:color="auto"/>
              <w:bottom w:val="single" w:sz="2" w:space="0" w:color="auto"/>
              <w:right w:val="single" w:sz="2" w:space="0" w:color="auto"/>
            </w:tcBorders>
            <w:vAlign w:val="center"/>
          </w:tcPr>
          <w:p w14:paraId="4354D321"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39</w:t>
            </w:r>
          </w:p>
        </w:tc>
        <w:tc>
          <w:tcPr>
            <w:tcW w:w="1871" w:type="dxa"/>
            <w:tcBorders>
              <w:top w:val="single" w:sz="2" w:space="0" w:color="auto"/>
              <w:left w:val="single" w:sz="2" w:space="0" w:color="auto"/>
              <w:bottom w:val="single" w:sz="2" w:space="0" w:color="auto"/>
              <w:right w:val="single" w:sz="2" w:space="0" w:color="auto"/>
            </w:tcBorders>
            <w:vAlign w:val="center"/>
          </w:tcPr>
          <w:p w14:paraId="283465B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32</w:t>
            </w:r>
          </w:p>
        </w:tc>
      </w:tr>
      <w:tr w:rsidR="00271FA2" w:rsidRPr="00F06DE2" w14:paraId="31D18411"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0DD2D67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25</w:t>
            </w:r>
          </w:p>
        </w:tc>
        <w:tc>
          <w:tcPr>
            <w:tcW w:w="1871" w:type="dxa"/>
            <w:tcBorders>
              <w:top w:val="single" w:sz="2" w:space="0" w:color="auto"/>
              <w:left w:val="single" w:sz="2" w:space="0" w:color="auto"/>
              <w:bottom w:val="single" w:sz="2" w:space="0" w:color="auto"/>
              <w:right w:val="single" w:sz="2" w:space="0" w:color="auto"/>
            </w:tcBorders>
            <w:vAlign w:val="center"/>
          </w:tcPr>
          <w:p w14:paraId="6C7A466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51</w:t>
            </w:r>
          </w:p>
        </w:tc>
        <w:tc>
          <w:tcPr>
            <w:tcW w:w="1871" w:type="dxa"/>
            <w:tcBorders>
              <w:top w:val="single" w:sz="2" w:space="0" w:color="auto"/>
              <w:left w:val="single" w:sz="2" w:space="0" w:color="auto"/>
              <w:bottom w:val="single" w:sz="2" w:space="0" w:color="auto"/>
              <w:right w:val="single" w:sz="2" w:space="0" w:color="auto"/>
            </w:tcBorders>
            <w:vAlign w:val="center"/>
          </w:tcPr>
          <w:p w14:paraId="29EBDFF2"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41</w:t>
            </w:r>
          </w:p>
        </w:tc>
        <w:tc>
          <w:tcPr>
            <w:tcW w:w="1871" w:type="dxa"/>
            <w:tcBorders>
              <w:top w:val="single" w:sz="2" w:space="0" w:color="auto"/>
              <w:left w:val="single" w:sz="2" w:space="0" w:color="auto"/>
              <w:bottom w:val="single" w:sz="2" w:space="0" w:color="auto"/>
              <w:right w:val="single" w:sz="2" w:space="0" w:color="auto"/>
            </w:tcBorders>
            <w:vAlign w:val="center"/>
          </w:tcPr>
          <w:p w14:paraId="58FB0A9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33</w:t>
            </w:r>
          </w:p>
        </w:tc>
      </w:tr>
    </w:tbl>
    <w:p w14:paraId="4DC451C6"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Ако мачтата има две реи, диаметрите се увеличават с не по-малко от 10 %.</w:t>
      </w:r>
    </w:p>
    <w:p w14:paraId="7F81EB59"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Ако мачтата има повече от две реи, диаметрите се увеличават с не по-малко от 15 %.</w:t>
      </w:r>
    </w:p>
    <w:p w14:paraId="362EAE0B"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Когато мачтите преминават през палубата, диаметърът на мачтата в долната ѝ част е не по-малко от 75 % от диаметъра на мачтата на равнището на палубата.</w:t>
      </w:r>
    </w:p>
    <w:p w14:paraId="37D7A77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Оборудването на мачтата, мачтовите бугели, салингите и езелхофтите на мачтата трябва да са оразмерени и закрепени достатъчно здраво.</w:t>
      </w:r>
    </w:p>
    <w:p w14:paraId="673FBD3E"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80" w:name="_Toc491854193"/>
      <w:bookmarkStart w:id="381" w:name="_Toc535827634"/>
      <w:r w:rsidRPr="00F06DE2">
        <w:rPr>
          <w:rFonts w:ascii="Times New Roman" w:hAnsi="Times New Roman" w:cs="Times New Roman"/>
          <w:sz w:val="24"/>
          <w:szCs w:val="24"/>
          <w:lang w:val="ru-RU"/>
        </w:rPr>
        <w:t>Член 20.08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разпоредби за стенгите</w:t>
      </w:r>
      <w:bookmarkEnd w:id="380"/>
      <w:bookmarkEnd w:id="381"/>
    </w:p>
    <w:p w14:paraId="134BE4E5" w14:textId="77777777" w:rsidR="00271FA2" w:rsidRPr="00F06DE2" w:rsidRDefault="00D35E51">
      <w:pPr>
        <w:pStyle w:val="ESc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Дървените стенги трябва да отговарят на следните минимални изисквания:</w:t>
      </w:r>
    </w:p>
    <w:tbl>
      <w:tblPr>
        <w:tblW w:w="0" w:type="auto"/>
        <w:jc w:val="center"/>
        <w:tblLayout w:type="fixed"/>
        <w:tblLook w:val="04A0" w:firstRow="1" w:lastRow="0" w:firstColumn="1" w:lastColumn="0" w:noHBand="0" w:noVBand="1"/>
      </w:tblPr>
      <w:tblGrid>
        <w:gridCol w:w="1871"/>
        <w:gridCol w:w="1871"/>
        <w:gridCol w:w="1871"/>
        <w:gridCol w:w="1871"/>
      </w:tblGrid>
      <w:tr w:rsidR="00271FA2" w:rsidRPr="00F06DE2" w14:paraId="64FD70B9"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6198D1D9"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Дължина</w:t>
            </w:r>
            <w:r w:rsidRPr="00F06DE2">
              <w:rPr>
                <w:rStyle w:val="FootnoteReference"/>
                <w:rFonts w:ascii="Times New Roman" w:hAnsi="Times New Roman" w:cs="Times New Roman"/>
              </w:rPr>
              <w:footnoteReference w:id="13"/>
            </w:r>
            <w:r w:rsidRPr="00F06DE2">
              <w:rPr>
                <w:rFonts w:ascii="Times New Roman" w:hAnsi="Times New Roman" w:cs="Times New Roman"/>
              </w:rPr>
              <w:br/>
              <w:t>[m]</w:t>
            </w:r>
          </w:p>
        </w:tc>
        <w:tc>
          <w:tcPr>
            <w:tcW w:w="1871" w:type="dxa"/>
            <w:tcBorders>
              <w:top w:val="single" w:sz="2" w:space="0" w:color="auto"/>
              <w:left w:val="single" w:sz="2" w:space="0" w:color="auto"/>
              <w:bottom w:val="single" w:sz="2" w:space="0" w:color="auto"/>
              <w:right w:val="single" w:sz="2" w:space="0" w:color="auto"/>
            </w:tcBorders>
            <w:vAlign w:val="center"/>
          </w:tcPr>
          <w:p w14:paraId="3EB75590" w14:textId="77777777" w:rsidR="00271FA2" w:rsidRPr="00F06DE2" w:rsidRDefault="00D35E51">
            <w:pPr>
              <w:pStyle w:val="NormalCentered"/>
              <w:spacing w:line="240" w:lineRule="atLeast"/>
              <w:rPr>
                <w:rFonts w:ascii="Times New Roman" w:hAnsi="Times New Roman" w:cs="Times New Roman"/>
                <w:lang w:val="ru-RU"/>
              </w:rPr>
            </w:pPr>
            <w:r w:rsidRPr="00F06DE2">
              <w:rPr>
                <w:rFonts w:ascii="Times New Roman" w:hAnsi="Times New Roman" w:cs="Times New Roman"/>
                <w:lang w:val="ru-RU"/>
              </w:rPr>
              <w:t>Диаметър в долната част</w:t>
            </w:r>
            <w:r w:rsidRPr="00F06DE2">
              <w:rPr>
                <w:rFonts w:ascii="Times New Roman" w:hAnsi="Times New Roman" w:cs="Times New Roman"/>
                <w:lang w:val="ru-RU"/>
              </w:rPr>
              <w:br/>
              <w:t>[</w:t>
            </w:r>
            <w:r w:rsidRPr="00F06DE2">
              <w:rPr>
                <w:rFonts w:ascii="Times New Roman" w:hAnsi="Times New Roman" w:cs="Times New Roman"/>
              </w:rPr>
              <w:t>cm</w:t>
            </w:r>
            <w:r w:rsidRPr="00F06DE2">
              <w:rPr>
                <w:rFonts w:ascii="Times New Roman" w:hAnsi="Times New Roman" w:cs="Times New Roman"/>
                <w:lang w:val="ru-RU"/>
              </w:rPr>
              <w:t>]</w:t>
            </w:r>
          </w:p>
        </w:tc>
        <w:tc>
          <w:tcPr>
            <w:tcW w:w="1871" w:type="dxa"/>
            <w:tcBorders>
              <w:top w:val="single" w:sz="2" w:space="0" w:color="auto"/>
              <w:left w:val="single" w:sz="2" w:space="0" w:color="auto"/>
              <w:bottom w:val="single" w:sz="2" w:space="0" w:color="auto"/>
              <w:right w:val="single" w:sz="2" w:space="0" w:color="auto"/>
            </w:tcBorders>
            <w:vAlign w:val="center"/>
          </w:tcPr>
          <w:p w14:paraId="1A5A4616" w14:textId="77777777" w:rsidR="00271FA2" w:rsidRPr="00F06DE2" w:rsidRDefault="00D35E51">
            <w:pPr>
              <w:pStyle w:val="NormalCentered"/>
              <w:spacing w:line="240" w:lineRule="atLeast"/>
              <w:rPr>
                <w:rFonts w:ascii="Times New Roman" w:hAnsi="Times New Roman" w:cs="Times New Roman"/>
                <w:lang w:val="ru-RU"/>
              </w:rPr>
            </w:pPr>
            <w:r w:rsidRPr="00F06DE2">
              <w:rPr>
                <w:rFonts w:ascii="Times New Roman" w:hAnsi="Times New Roman" w:cs="Times New Roman"/>
                <w:lang w:val="ru-RU"/>
              </w:rPr>
              <w:t>Диаметър на половината дължина</w:t>
            </w:r>
            <w:r w:rsidRPr="00F06DE2">
              <w:rPr>
                <w:rFonts w:ascii="Times New Roman" w:hAnsi="Times New Roman" w:cs="Times New Roman"/>
                <w:lang w:val="ru-RU"/>
              </w:rPr>
              <w:br/>
              <w:t>[</w:t>
            </w:r>
            <w:r w:rsidRPr="00F06DE2">
              <w:rPr>
                <w:rFonts w:ascii="Times New Roman" w:hAnsi="Times New Roman" w:cs="Times New Roman"/>
              </w:rPr>
              <w:t>cm</w:t>
            </w:r>
            <w:r w:rsidRPr="00F06DE2">
              <w:rPr>
                <w:rFonts w:ascii="Times New Roman" w:hAnsi="Times New Roman" w:cs="Times New Roman"/>
                <w:lang w:val="ru-RU"/>
              </w:rPr>
              <w:t>]</w:t>
            </w:r>
          </w:p>
        </w:tc>
        <w:tc>
          <w:tcPr>
            <w:tcW w:w="1871" w:type="dxa"/>
            <w:tcBorders>
              <w:top w:val="single" w:sz="2" w:space="0" w:color="auto"/>
              <w:left w:val="single" w:sz="2" w:space="0" w:color="auto"/>
              <w:bottom w:val="single" w:sz="2" w:space="0" w:color="auto"/>
              <w:right w:val="single" w:sz="2" w:space="0" w:color="auto"/>
            </w:tcBorders>
            <w:vAlign w:val="center"/>
          </w:tcPr>
          <w:p w14:paraId="143F8C7E" w14:textId="77777777" w:rsidR="00271FA2" w:rsidRPr="00F06DE2" w:rsidRDefault="00D35E51">
            <w:pPr>
              <w:pStyle w:val="NormalCentered"/>
              <w:spacing w:line="240" w:lineRule="atLeast"/>
              <w:rPr>
                <w:rFonts w:ascii="Times New Roman" w:hAnsi="Times New Roman" w:cs="Times New Roman"/>
                <w:lang w:val="ru-RU"/>
              </w:rPr>
            </w:pPr>
            <w:r w:rsidRPr="00F06DE2">
              <w:rPr>
                <w:rFonts w:ascii="Times New Roman" w:hAnsi="Times New Roman" w:cs="Times New Roman"/>
                <w:lang w:val="ru-RU"/>
              </w:rPr>
              <w:t>Диаметър при мястото на фиксиране</w:t>
            </w:r>
            <w:r w:rsidRPr="00F06DE2">
              <w:rPr>
                <w:rStyle w:val="FootnoteReference"/>
                <w:rFonts w:ascii="Times New Roman" w:hAnsi="Times New Roman" w:cs="Times New Roman"/>
              </w:rPr>
              <w:footnoteReference w:id="14"/>
            </w:r>
            <w:r w:rsidRPr="00F06DE2">
              <w:rPr>
                <w:rFonts w:ascii="Times New Roman" w:hAnsi="Times New Roman" w:cs="Times New Roman"/>
                <w:lang w:val="ru-RU"/>
              </w:rPr>
              <w:br/>
              <w:t>[</w:t>
            </w:r>
            <w:r w:rsidRPr="00F06DE2">
              <w:rPr>
                <w:rFonts w:ascii="Times New Roman" w:hAnsi="Times New Roman" w:cs="Times New Roman"/>
              </w:rPr>
              <w:t>cm</w:t>
            </w:r>
            <w:r w:rsidRPr="00F06DE2">
              <w:rPr>
                <w:rFonts w:ascii="Times New Roman" w:hAnsi="Times New Roman" w:cs="Times New Roman"/>
                <w:lang w:val="ru-RU"/>
              </w:rPr>
              <w:t>]</w:t>
            </w:r>
          </w:p>
        </w:tc>
      </w:tr>
      <w:tr w:rsidR="00271FA2" w:rsidRPr="00F06DE2" w14:paraId="39DFD8C8"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69DA56D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4</w:t>
            </w:r>
          </w:p>
        </w:tc>
        <w:tc>
          <w:tcPr>
            <w:tcW w:w="1871" w:type="dxa"/>
            <w:tcBorders>
              <w:top w:val="single" w:sz="2" w:space="0" w:color="auto"/>
              <w:left w:val="single" w:sz="2" w:space="0" w:color="auto"/>
              <w:bottom w:val="single" w:sz="2" w:space="0" w:color="auto"/>
              <w:right w:val="single" w:sz="2" w:space="0" w:color="auto"/>
            </w:tcBorders>
            <w:vAlign w:val="center"/>
          </w:tcPr>
          <w:p w14:paraId="7841D2E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8</w:t>
            </w:r>
          </w:p>
        </w:tc>
        <w:tc>
          <w:tcPr>
            <w:tcW w:w="1871" w:type="dxa"/>
            <w:tcBorders>
              <w:top w:val="single" w:sz="2" w:space="0" w:color="auto"/>
              <w:left w:val="single" w:sz="2" w:space="0" w:color="auto"/>
              <w:bottom w:val="single" w:sz="2" w:space="0" w:color="auto"/>
              <w:right w:val="single" w:sz="2" w:space="0" w:color="auto"/>
            </w:tcBorders>
            <w:vAlign w:val="center"/>
          </w:tcPr>
          <w:p w14:paraId="1044406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7</w:t>
            </w:r>
          </w:p>
        </w:tc>
        <w:tc>
          <w:tcPr>
            <w:tcW w:w="1871" w:type="dxa"/>
            <w:tcBorders>
              <w:top w:val="single" w:sz="2" w:space="0" w:color="auto"/>
              <w:left w:val="single" w:sz="2" w:space="0" w:color="auto"/>
              <w:bottom w:val="single" w:sz="2" w:space="0" w:color="auto"/>
              <w:right w:val="single" w:sz="2" w:space="0" w:color="auto"/>
            </w:tcBorders>
            <w:vAlign w:val="center"/>
          </w:tcPr>
          <w:p w14:paraId="2568A071"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6</w:t>
            </w:r>
          </w:p>
        </w:tc>
      </w:tr>
      <w:tr w:rsidR="00271FA2" w:rsidRPr="00F06DE2" w14:paraId="41C3CF33"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5B8C404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5</w:t>
            </w:r>
          </w:p>
        </w:tc>
        <w:tc>
          <w:tcPr>
            <w:tcW w:w="1871" w:type="dxa"/>
            <w:tcBorders>
              <w:top w:val="single" w:sz="2" w:space="0" w:color="auto"/>
              <w:left w:val="single" w:sz="2" w:space="0" w:color="auto"/>
              <w:bottom w:val="single" w:sz="2" w:space="0" w:color="auto"/>
              <w:right w:val="single" w:sz="2" w:space="0" w:color="auto"/>
            </w:tcBorders>
            <w:vAlign w:val="center"/>
          </w:tcPr>
          <w:p w14:paraId="2E8BCD6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10</w:t>
            </w:r>
          </w:p>
        </w:tc>
        <w:tc>
          <w:tcPr>
            <w:tcW w:w="1871" w:type="dxa"/>
            <w:tcBorders>
              <w:top w:val="single" w:sz="2" w:space="0" w:color="auto"/>
              <w:left w:val="single" w:sz="2" w:space="0" w:color="auto"/>
              <w:bottom w:val="single" w:sz="2" w:space="0" w:color="auto"/>
              <w:right w:val="single" w:sz="2" w:space="0" w:color="auto"/>
            </w:tcBorders>
            <w:vAlign w:val="center"/>
          </w:tcPr>
          <w:p w14:paraId="44538C7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9</w:t>
            </w:r>
          </w:p>
        </w:tc>
        <w:tc>
          <w:tcPr>
            <w:tcW w:w="1871" w:type="dxa"/>
            <w:tcBorders>
              <w:top w:val="single" w:sz="2" w:space="0" w:color="auto"/>
              <w:left w:val="single" w:sz="2" w:space="0" w:color="auto"/>
              <w:bottom w:val="single" w:sz="2" w:space="0" w:color="auto"/>
              <w:right w:val="single" w:sz="2" w:space="0" w:color="auto"/>
            </w:tcBorders>
            <w:vAlign w:val="center"/>
          </w:tcPr>
          <w:p w14:paraId="54404C81"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7</w:t>
            </w:r>
          </w:p>
        </w:tc>
      </w:tr>
      <w:tr w:rsidR="00271FA2" w:rsidRPr="00F06DE2" w14:paraId="7ACA7C07"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0FF0A54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6</w:t>
            </w:r>
          </w:p>
        </w:tc>
        <w:tc>
          <w:tcPr>
            <w:tcW w:w="1871" w:type="dxa"/>
            <w:tcBorders>
              <w:top w:val="single" w:sz="2" w:space="0" w:color="auto"/>
              <w:left w:val="single" w:sz="2" w:space="0" w:color="auto"/>
              <w:bottom w:val="single" w:sz="2" w:space="0" w:color="auto"/>
              <w:right w:val="single" w:sz="2" w:space="0" w:color="auto"/>
            </w:tcBorders>
            <w:vAlign w:val="center"/>
          </w:tcPr>
          <w:p w14:paraId="1E0269A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13</w:t>
            </w:r>
          </w:p>
        </w:tc>
        <w:tc>
          <w:tcPr>
            <w:tcW w:w="1871" w:type="dxa"/>
            <w:tcBorders>
              <w:top w:val="single" w:sz="2" w:space="0" w:color="auto"/>
              <w:left w:val="single" w:sz="2" w:space="0" w:color="auto"/>
              <w:bottom w:val="single" w:sz="2" w:space="0" w:color="auto"/>
              <w:right w:val="single" w:sz="2" w:space="0" w:color="auto"/>
            </w:tcBorders>
            <w:vAlign w:val="center"/>
          </w:tcPr>
          <w:p w14:paraId="5D9B9D48"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11</w:t>
            </w:r>
          </w:p>
        </w:tc>
        <w:tc>
          <w:tcPr>
            <w:tcW w:w="1871" w:type="dxa"/>
            <w:tcBorders>
              <w:top w:val="single" w:sz="2" w:space="0" w:color="auto"/>
              <w:left w:val="single" w:sz="2" w:space="0" w:color="auto"/>
              <w:bottom w:val="single" w:sz="2" w:space="0" w:color="auto"/>
              <w:right w:val="single" w:sz="2" w:space="0" w:color="auto"/>
            </w:tcBorders>
            <w:vAlign w:val="center"/>
          </w:tcPr>
          <w:p w14:paraId="35EDB1CB"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8</w:t>
            </w:r>
          </w:p>
        </w:tc>
      </w:tr>
      <w:tr w:rsidR="00271FA2" w:rsidRPr="00F06DE2" w14:paraId="698F774F"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45051D1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7</w:t>
            </w:r>
          </w:p>
        </w:tc>
        <w:tc>
          <w:tcPr>
            <w:tcW w:w="1871" w:type="dxa"/>
            <w:tcBorders>
              <w:top w:val="single" w:sz="2" w:space="0" w:color="auto"/>
              <w:left w:val="single" w:sz="2" w:space="0" w:color="auto"/>
              <w:bottom w:val="single" w:sz="2" w:space="0" w:color="auto"/>
              <w:right w:val="single" w:sz="2" w:space="0" w:color="auto"/>
            </w:tcBorders>
            <w:vAlign w:val="center"/>
          </w:tcPr>
          <w:p w14:paraId="7039E1A1"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14</w:t>
            </w:r>
          </w:p>
        </w:tc>
        <w:tc>
          <w:tcPr>
            <w:tcW w:w="1871" w:type="dxa"/>
            <w:tcBorders>
              <w:top w:val="single" w:sz="2" w:space="0" w:color="auto"/>
              <w:left w:val="single" w:sz="2" w:space="0" w:color="auto"/>
              <w:bottom w:val="single" w:sz="2" w:space="0" w:color="auto"/>
              <w:right w:val="single" w:sz="2" w:space="0" w:color="auto"/>
            </w:tcBorders>
            <w:vAlign w:val="center"/>
          </w:tcPr>
          <w:p w14:paraId="7791DB5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13</w:t>
            </w:r>
          </w:p>
        </w:tc>
        <w:tc>
          <w:tcPr>
            <w:tcW w:w="1871" w:type="dxa"/>
            <w:tcBorders>
              <w:top w:val="single" w:sz="2" w:space="0" w:color="auto"/>
              <w:left w:val="single" w:sz="2" w:space="0" w:color="auto"/>
              <w:bottom w:val="single" w:sz="2" w:space="0" w:color="auto"/>
              <w:right w:val="single" w:sz="2" w:space="0" w:color="auto"/>
            </w:tcBorders>
            <w:vAlign w:val="center"/>
          </w:tcPr>
          <w:p w14:paraId="319984F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10</w:t>
            </w:r>
          </w:p>
        </w:tc>
      </w:tr>
      <w:tr w:rsidR="00271FA2" w:rsidRPr="00F06DE2" w14:paraId="0F514E38"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3FE101A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8</w:t>
            </w:r>
          </w:p>
        </w:tc>
        <w:tc>
          <w:tcPr>
            <w:tcW w:w="1871" w:type="dxa"/>
            <w:tcBorders>
              <w:top w:val="single" w:sz="2" w:space="0" w:color="auto"/>
              <w:left w:val="single" w:sz="2" w:space="0" w:color="auto"/>
              <w:bottom w:val="single" w:sz="2" w:space="0" w:color="auto"/>
              <w:right w:val="single" w:sz="2" w:space="0" w:color="auto"/>
            </w:tcBorders>
            <w:vAlign w:val="center"/>
          </w:tcPr>
          <w:p w14:paraId="3608D8A8"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16</w:t>
            </w:r>
          </w:p>
        </w:tc>
        <w:tc>
          <w:tcPr>
            <w:tcW w:w="1871" w:type="dxa"/>
            <w:tcBorders>
              <w:top w:val="single" w:sz="2" w:space="0" w:color="auto"/>
              <w:left w:val="single" w:sz="2" w:space="0" w:color="auto"/>
              <w:bottom w:val="single" w:sz="2" w:space="0" w:color="auto"/>
              <w:right w:val="single" w:sz="2" w:space="0" w:color="auto"/>
            </w:tcBorders>
            <w:vAlign w:val="center"/>
          </w:tcPr>
          <w:p w14:paraId="0C6C63F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15</w:t>
            </w:r>
          </w:p>
        </w:tc>
        <w:tc>
          <w:tcPr>
            <w:tcW w:w="1871" w:type="dxa"/>
            <w:tcBorders>
              <w:top w:val="single" w:sz="2" w:space="0" w:color="auto"/>
              <w:left w:val="single" w:sz="2" w:space="0" w:color="auto"/>
              <w:bottom w:val="single" w:sz="2" w:space="0" w:color="auto"/>
              <w:right w:val="single" w:sz="2" w:space="0" w:color="auto"/>
            </w:tcBorders>
            <w:vAlign w:val="center"/>
          </w:tcPr>
          <w:p w14:paraId="3544111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11</w:t>
            </w:r>
          </w:p>
        </w:tc>
      </w:tr>
      <w:tr w:rsidR="00271FA2" w:rsidRPr="00F06DE2" w14:paraId="3D81E74E"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3D32752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9</w:t>
            </w:r>
          </w:p>
        </w:tc>
        <w:tc>
          <w:tcPr>
            <w:tcW w:w="1871" w:type="dxa"/>
            <w:tcBorders>
              <w:top w:val="single" w:sz="2" w:space="0" w:color="auto"/>
              <w:left w:val="single" w:sz="2" w:space="0" w:color="auto"/>
              <w:bottom w:val="single" w:sz="2" w:space="0" w:color="auto"/>
              <w:right w:val="single" w:sz="2" w:space="0" w:color="auto"/>
            </w:tcBorders>
            <w:vAlign w:val="center"/>
          </w:tcPr>
          <w:p w14:paraId="53C5964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18</w:t>
            </w:r>
          </w:p>
        </w:tc>
        <w:tc>
          <w:tcPr>
            <w:tcW w:w="1871" w:type="dxa"/>
            <w:tcBorders>
              <w:top w:val="single" w:sz="2" w:space="0" w:color="auto"/>
              <w:left w:val="single" w:sz="2" w:space="0" w:color="auto"/>
              <w:bottom w:val="single" w:sz="2" w:space="0" w:color="auto"/>
              <w:right w:val="single" w:sz="2" w:space="0" w:color="auto"/>
            </w:tcBorders>
            <w:vAlign w:val="center"/>
          </w:tcPr>
          <w:p w14:paraId="5E235A0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16</w:t>
            </w:r>
          </w:p>
        </w:tc>
        <w:tc>
          <w:tcPr>
            <w:tcW w:w="1871" w:type="dxa"/>
            <w:tcBorders>
              <w:top w:val="single" w:sz="2" w:space="0" w:color="auto"/>
              <w:left w:val="single" w:sz="2" w:space="0" w:color="auto"/>
              <w:bottom w:val="single" w:sz="2" w:space="0" w:color="auto"/>
              <w:right w:val="single" w:sz="2" w:space="0" w:color="auto"/>
            </w:tcBorders>
            <w:vAlign w:val="center"/>
          </w:tcPr>
          <w:p w14:paraId="0D42249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13</w:t>
            </w:r>
          </w:p>
        </w:tc>
      </w:tr>
      <w:tr w:rsidR="00271FA2" w:rsidRPr="00F06DE2" w14:paraId="129CEACF"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3B937540"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10</w:t>
            </w:r>
          </w:p>
        </w:tc>
        <w:tc>
          <w:tcPr>
            <w:tcW w:w="1871" w:type="dxa"/>
            <w:tcBorders>
              <w:top w:val="single" w:sz="2" w:space="0" w:color="auto"/>
              <w:left w:val="single" w:sz="2" w:space="0" w:color="auto"/>
              <w:bottom w:val="single" w:sz="2" w:space="0" w:color="auto"/>
              <w:right w:val="single" w:sz="2" w:space="0" w:color="auto"/>
            </w:tcBorders>
            <w:vAlign w:val="center"/>
          </w:tcPr>
          <w:p w14:paraId="2305F0E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20</w:t>
            </w:r>
          </w:p>
        </w:tc>
        <w:tc>
          <w:tcPr>
            <w:tcW w:w="1871" w:type="dxa"/>
            <w:tcBorders>
              <w:top w:val="single" w:sz="2" w:space="0" w:color="auto"/>
              <w:left w:val="single" w:sz="2" w:space="0" w:color="auto"/>
              <w:bottom w:val="single" w:sz="2" w:space="0" w:color="auto"/>
              <w:right w:val="single" w:sz="2" w:space="0" w:color="auto"/>
            </w:tcBorders>
            <w:vAlign w:val="center"/>
          </w:tcPr>
          <w:p w14:paraId="35F7301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18</w:t>
            </w:r>
          </w:p>
        </w:tc>
        <w:tc>
          <w:tcPr>
            <w:tcW w:w="1871" w:type="dxa"/>
            <w:tcBorders>
              <w:top w:val="single" w:sz="2" w:space="0" w:color="auto"/>
              <w:left w:val="single" w:sz="2" w:space="0" w:color="auto"/>
              <w:bottom w:val="single" w:sz="2" w:space="0" w:color="auto"/>
              <w:right w:val="single" w:sz="2" w:space="0" w:color="auto"/>
            </w:tcBorders>
            <w:vAlign w:val="center"/>
          </w:tcPr>
          <w:p w14:paraId="66FCFDA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15</w:t>
            </w:r>
          </w:p>
        </w:tc>
      </w:tr>
      <w:tr w:rsidR="00271FA2" w:rsidRPr="00F06DE2" w14:paraId="663C101F"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28E8BE9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11</w:t>
            </w:r>
          </w:p>
        </w:tc>
        <w:tc>
          <w:tcPr>
            <w:tcW w:w="1871" w:type="dxa"/>
            <w:tcBorders>
              <w:top w:val="single" w:sz="2" w:space="0" w:color="auto"/>
              <w:left w:val="single" w:sz="2" w:space="0" w:color="auto"/>
              <w:bottom w:val="single" w:sz="2" w:space="0" w:color="auto"/>
              <w:right w:val="single" w:sz="2" w:space="0" w:color="auto"/>
            </w:tcBorders>
            <w:vAlign w:val="center"/>
          </w:tcPr>
          <w:p w14:paraId="03E3C9C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23</w:t>
            </w:r>
          </w:p>
        </w:tc>
        <w:tc>
          <w:tcPr>
            <w:tcW w:w="1871" w:type="dxa"/>
            <w:tcBorders>
              <w:top w:val="single" w:sz="2" w:space="0" w:color="auto"/>
              <w:left w:val="single" w:sz="2" w:space="0" w:color="auto"/>
              <w:bottom w:val="single" w:sz="2" w:space="0" w:color="auto"/>
              <w:right w:val="single" w:sz="2" w:space="0" w:color="auto"/>
            </w:tcBorders>
            <w:vAlign w:val="center"/>
          </w:tcPr>
          <w:p w14:paraId="54C15A0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20</w:t>
            </w:r>
          </w:p>
        </w:tc>
        <w:tc>
          <w:tcPr>
            <w:tcW w:w="1871" w:type="dxa"/>
            <w:tcBorders>
              <w:top w:val="single" w:sz="2" w:space="0" w:color="auto"/>
              <w:left w:val="single" w:sz="2" w:space="0" w:color="auto"/>
              <w:bottom w:val="single" w:sz="2" w:space="0" w:color="auto"/>
              <w:right w:val="single" w:sz="2" w:space="0" w:color="auto"/>
            </w:tcBorders>
            <w:vAlign w:val="center"/>
          </w:tcPr>
          <w:p w14:paraId="18A7538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16</w:t>
            </w:r>
          </w:p>
        </w:tc>
      </w:tr>
      <w:tr w:rsidR="00271FA2" w:rsidRPr="00F06DE2" w14:paraId="2B6CBBDF"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29436A4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12</w:t>
            </w:r>
          </w:p>
        </w:tc>
        <w:tc>
          <w:tcPr>
            <w:tcW w:w="1871" w:type="dxa"/>
            <w:tcBorders>
              <w:top w:val="single" w:sz="2" w:space="0" w:color="auto"/>
              <w:left w:val="single" w:sz="2" w:space="0" w:color="auto"/>
              <w:bottom w:val="single" w:sz="2" w:space="0" w:color="auto"/>
              <w:right w:val="single" w:sz="2" w:space="0" w:color="auto"/>
            </w:tcBorders>
            <w:vAlign w:val="center"/>
          </w:tcPr>
          <w:p w14:paraId="1A51DB2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25</w:t>
            </w:r>
          </w:p>
        </w:tc>
        <w:tc>
          <w:tcPr>
            <w:tcW w:w="1871" w:type="dxa"/>
            <w:tcBorders>
              <w:top w:val="single" w:sz="2" w:space="0" w:color="auto"/>
              <w:left w:val="single" w:sz="2" w:space="0" w:color="auto"/>
              <w:bottom w:val="single" w:sz="2" w:space="0" w:color="auto"/>
              <w:right w:val="single" w:sz="2" w:space="0" w:color="auto"/>
            </w:tcBorders>
            <w:vAlign w:val="center"/>
          </w:tcPr>
          <w:p w14:paraId="5152009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22</w:t>
            </w:r>
          </w:p>
        </w:tc>
        <w:tc>
          <w:tcPr>
            <w:tcW w:w="1871" w:type="dxa"/>
            <w:tcBorders>
              <w:top w:val="single" w:sz="2" w:space="0" w:color="auto"/>
              <w:left w:val="single" w:sz="2" w:space="0" w:color="auto"/>
              <w:bottom w:val="single" w:sz="2" w:space="0" w:color="auto"/>
              <w:right w:val="single" w:sz="2" w:space="0" w:color="auto"/>
            </w:tcBorders>
            <w:vAlign w:val="center"/>
          </w:tcPr>
          <w:p w14:paraId="51EDD0B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17</w:t>
            </w:r>
          </w:p>
        </w:tc>
      </w:tr>
      <w:tr w:rsidR="00271FA2" w:rsidRPr="00F06DE2" w14:paraId="273C54F2"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0570271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13</w:t>
            </w:r>
          </w:p>
        </w:tc>
        <w:tc>
          <w:tcPr>
            <w:tcW w:w="1871" w:type="dxa"/>
            <w:tcBorders>
              <w:top w:val="single" w:sz="2" w:space="0" w:color="auto"/>
              <w:left w:val="single" w:sz="2" w:space="0" w:color="auto"/>
              <w:bottom w:val="single" w:sz="2" w:space="0" w:color="auto"/>
              <w:right w:val="single" w:sz="2" w:space="0" w:color="auto"/>
            </w:tcBorders>
            <w:vAlign w:val="center"/>
          </w:tcPr>
          <w:p w14:paraId="3A9959D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26</w:t>
            </w:r>
          </w:p>
        </w:tc>
        <w:tc>
          <w:tcPr>
            <w:tcW w:w="1871" w:type="dxa"/>
            <w:tcBorders>
              <w:top w:val="single" w:sz="2" w:space="0" w:color="auto"/>
              <w:left w:val="single" w:sz="2" w:space="0" w:color="auto"/>
              <w:bottom w:val="single" w:sz="2" w:space="0" w:color="auto"/>
              <w:right w:val="single" w:sz="2" w:space="0" w:color="auto"/>
            </w:tcBorders>
            <w:vAlign w:val="center"/>
          </w:tcPr>
          <w:p w14:paraId="2818E3A0"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24</w:t>
            </w:r>
          </w:p>
        </w:tc>
        <w:tc>
          <w:tcPr>
            <w:tcW w:w="1871" w:type="dxa"/>
            <w:tcBorders>
              <w:top w:val="single" w:sz="2" w:space="0" w:color="auto"/>
              <w:left w:val="single" w:sz="2" w:space="0" w:color="auto"/>
              <w:bottom w:val="single" w:sz="2" w:space="0" w:color="auto"/>
              <w:right w:val="single" w:sz="2" w:space="0" w:color="auto"/>
            </w:tcBorders>
            <w:vAlign w:val="center"/>
          </w:tcPr>
          <w:p w14:paraId="5DE14C6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18</w:t>
            </w:r>
          </w:p>
        </w:tc>
      </w:tr>
      <w:tr w:rsidR="00271FA2" w:rsidRPr="00F06DE2" w14:paraId="4C994D4D"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50939FBB"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14</w:t>
            </w:r>
          </w:p>
        </w:tc>
        <w:tc>
          <w:tcPr>
            <w:tcW w:w="1871" w:type="dxa"/>
            <w:tcBorders>
              <w:top w:val="single" w:sz="2" w:space="0" w:color="auto"/>
              <w:left w:val="single" w:sz="2" w:space="0" w:color="auto"/>
              <w:bottom w:val="single" w:sz="2" w:space="0" w:color="auto"/>
              <w:right w:val="single" w:sz="2" w:space="0" w:color="auto"/>
            </w:tcBorders>
            <w:vAlign w:val="center"/>
          </w:tcPr>
          <w:p w14:paraId="4A639E4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28</w:t>
            </w:r>
          </w:p>
        </w:tc>
        <w:tc>
          <w:tcPr>
            <w:tcW w:w="1871" w:type="dxa"/>
            <w:tcBorders>
              <w:top w:val="single" w:sz="2" w:space="0" w:color="auto"/>
              <w:left w:val="single" w:sz="2" w:space="0" w:color="auto"/>
              <w:bottom w:val="single" w:sz="2" w:space="0" w:color="auto"/>
              <w:right w:val="single" w:sz="2" w:space="0" w:color="auto"/>
            </w:tcBorders>
            <w:vAlign w:val="center"/>
          </w:tcPr>
          <w:p w14:paraId="6ABBDF5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25</w:t>
            </w:r>
          </w:p>
        </w:tc>
        <w:tc>
          <w:tcPr>
            <w:tcW w:w="1871" w:type="dxa"/>
            <w:tcBorders>
              <w:top w:val="single" w:sz="2" w:space="0" w:color="auto"/>
              <w:left w:val="single" w:sz="2" w:space="0" w:color="auto"/>
              <w:bottom w:val="single" w:sz="2" w:space="0" w:color="auto"/>
              <w:right w:val="single" w:sz="2" w:space="0" w:color="auto"/>
            </w:tcBorders>
            <w:vAlign w:val="center"/>
          </w:tcPr>
          <w:p w14:paraId="4474B6E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20</w:t>
            </w:r>
          </w:p>
        </w:tc>
      </w:tr>
      <w:tr w:rsidR="00271FA2" w:rsidRPr="00F06DE2" w14:paraId="231B5715"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3037623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15</w:t>
            </w:r>
          </w:p>
        </w:tc>
        <w:tc>
          <w:tcPr>
            <w:tcW w:w="1871" w:type="dxa"/>
            <w:tcBorders>
              <w:top w:val="single" w:sz="2" w:space="0" w:color="auto"/>
              <w:left w:val="single" w:sz="2" w:space="0" w:color="auto"/>
              <w:bottom w:val="single" w:sz="2" w:space="0" w:color="auto"/>
              <w:right w:val="single" w:sz="2" w:space="0" w:color="auto"/>
            </w:tcBorders>
            <w:vAlign w:val="center"/>
          </w:tcPr>
          <w:p w14:paraId="57BF5FE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31</w:t>
            </w:r>
          </w:p>
        </w:tc>
        <w:tc>
          <w:tcPr>
            <w:tcW w:w="1871" w:type="dxa"/>
            <w:tcBorders>
              <w:top w:val="single" w:sz="2" w:space="0" w:color="auto"/>
              <w:left w:val="single" w:sz="2" w:space="0" w:color="auto"/>
              <w:bottom w:val="single" w:sz="2" w:space="0" w:color="auto"/>
              <w:right w:val="single" w:sz="2" w:space="0" w:color="auto"/>
            </w:tcBorders>
            <w:vAlign w:val="center"/>
          </w:tcPr>
          <w:p w14:paraId="63CFC450"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27</w:t>
            </w:r>
          </w:p>
        </w:tc>
        <w:tc>
          <w:tcPr>
            <w:tcW w:w="1871" w:type="dxa"/>
            <w:tcBorders>
              <w:top w:val="single" w:sz="2" w:space="0" w:color="auto"/>
              <w:left w:val="single" w:sz="2" w:space="0" w:color="auto"/>
              <w:bottom w:val="single" w:sz="2" w:space="0" w:color="auto"/>
              <w:right w:val="single" w:sz="2" w:space="0" w:color="auto"/>
            </w:tcBorders>
            <w:vAlign w:val="center"/>
          </w:tcPr>
          <w:p w14:paraId="34AB1A4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21</w:t>
            </w:r>
          </w:p>
        </w:tc>
      </w:tr>
    </w:tbl>
    <w:p w14:paraId="6AE872D4" w14:textId="77777777" w:rsidR="00271FA2" w:rsidRPr="00F06DE2" w:rsidRDefault="00D35E51">
      <w:pPr>
        <w:pStyle w:val="ESchpar"/>
        <w:rPr>
          <w:rFonts w:ascii="Times New Roman" w:hAnsi="Times New Roman" w:cs="Times New Roman"/>
          <w:lang w:val="ru-RU"/>
        </w:rPr>
      </w:pPr>
      <w:r w:rsidRPr="00F06DE2">
        <w:rPr>
          <w:rFonts w:ascii="Times New Roman" w:hAnsi="Times New Roman" w:cs="Times New Roman"/>
          <w:lang w:val="ru-RU"/>
        </w:rPr>
        <w:lastRenderedPageBreak/>
        <w:t>Ако към стенгата са закрепени квадратни платна, размерите, посочени в таблицата, се увеличават с 10 %.</w:t>
      </w:r>
    </w:p>
    <w:p w14:paraId="728A23A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Застъпването между стенгата и мачтата е най-малко 10 пъти по-голямо от изисквания диаметър на основата на стенгата.</w:t>
      </w:r>
    </w:p>
    <w:p w14:paraId="6321F960" w14:textId="77777777" w:rsidR="00CC6538" w:rsidRPr="00F06DE2" w:rsidRDefault="00CC6538">
      <w:pPr>
        <w:pStyle w:val="ES-Titre3"/>
        <w:spacing w:line="240" w:lineRule="atLeast"/>
        <w:rPr>
          <w:rFonts w:ascii="Times New Roman" w:hAnsi="Times New Roman" w:cs="Times New Roman"/>
          <w:sz w:val="24"/>
          <w:szCs w:val="24"/>
          <w:lang w:val="ru-RU"/>
        </w:rPr>
      </w:pPr>
      <w:bookmarkStart w:id="382" w:name="_Toc491854194"/>
      <w:bookmarkStart w:id="383" w:name="_Toc535827635"/>
    </w:p>
    <w:p w14:paraId="38879D02" w14:textId="46C733FB"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20.09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разпоредби за бушпритите</w:t>
      </w:r>
      <w:bookmarkEnd w:id="382"/>
      <w:bookmarkEnd w:id="383"/>
    </w:p>
    <w:p w14:paraId="459F24A0" w14:textId="77777777" w:rsidR="00271FA2" w:rsidRPr="00F06DE2" w:rsidRDefault="00D35E51">
      <w:pPr>
        <w:pStyle w:val="ESc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Дървените бушприти трябва да отговарят на следните минимални изисквания:</w:t>
      </w:r>
    </w:p>
    <w:tbl>
      <w:tblPr>
        <w:tblW w:w="0" w:type="auto"/>
        <w:jc w:val="center"/>
        <w:tblLayout w:type="fixed"/>
        <w:tblLook w:val="04A0" w:firstRow="1" w:lastRow="0" w:firstColumn="1" w:lastColumn="0" w:noHBand="0" w:noVBand="1"/>
      </w:tblPr>
      <w:tblGrid>
        <w:gridCol w:w="1871"/>
        <w:gridCol w:w="1871"/>
        <w:gridCol w:w="1871"/>
      </w:tblGrid>
      <w:tr w:rsidR="00271FA2" w:rsidRPr="00F06DE2" w14:paraId="0E52A75B"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054CF23C"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Дължина</w:t>
            </w:r>
            <w:r w:rsidRPr="00F06DE2">
              <w:rPr>
                <w:rStyle w:val="FootnoteReference"/>
                <w:rFonts w:ascii="Times New Roman" w:hAnsi="Times New Roman" w:cs="Times New Roman"/>
              </w:rPr>
              <w:footnoteReference w:id="15"/>
            </w:r>
            <w:r w:rsidRPr="00F06DE2">
              <w:rPr>
                <w:rFonts w:ascii="Times New Roman" w:hAnsi="Times New Roman" w:cs="Times New Roman"/>
              </w:rPr>
              <w:br/>
              <w:t>[m]</w:t>
            </w:r>
          </w:p>
        </w:tc>
        <w:tc>
          <w:tcPr>
            <w:tcW w:w="1871" w:type="dxa"/>
            <w:tcBorders>
              <w:top w:val="single" w:sz="2" w:space="0" w:color="auto"/>
              <w:left w:val="single" w:sz="2" w:space="0" w:color="auto"/>
              <w:bottom w:val="single" w:sz="2" w:space="0" w:color="auto"/>
              <w:right w:val="single" w:sz="2" w:space="0" w:color="auto"/>
            </w:tcBorders>
            <w:vAlign w:val="center"/>
          </w:tcPr>
          <w:p w14:paraId="73F58EAF"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Диаметър при форщевена</w:t>
            </w:r>
            <w:r w:rsidRPr="00F06DE2">
              <w:rPr>
                <w:rFonts w:ascii="Times New Roman" w:hAnsi="Times New Roman" w:cs="Times New Roman"/>
              </w:rPr>
              <w:br/>
              <w:t>[cm]</w:t>
            </w:r>
          </w:p>
        </w:tc>
        <w:tc>
          <w:tcPr>
            <w:tcW w:w="1871" w:type="dxa"/>
            <w:tcBorders>
              <w:top w:val="single" w:sz="2" w:space="0" w:color="auto"/>
              <w:left w:val="single" w:sz="2" w:space="0" w:color="auto"/>
              <w:bottom w:val="single" w:sz="2" w:space="0" w:color="auto"/>
              <w:right w:val="single" w:sz="2" w:space="0" w:color="auto"/>
            </w:tcBorders>
            <w:vAlign w:val="center"/>
          </w:tcPr>
          <w:p w14:paraId="2E6FB3D4" w14:textId="77777777" w:rsidR="00271FA2" w:rsidRPr="00F06DE2" w:rsidRDefault="00D35E51">
            <w:pPr>
              <w:pStyle w:val="NormalCentered"/>
              <w:spacing w:line="240" w:lineRule="atLeast"/>
              <w:rPr>
                <w:rFonts w:ascii="Times New Roman" w:hAnsi="Times New Roman" w:cs="Times New Roman"/>
                <w:lang w:val="ru-RU"/>
              </w:rPr>
            </w:pPr>
            <w:r w:rsidRPr="00F06DE2">
              <w:rPr>
                <w:rFonts w:ascii="Times New Roman" w:hAnsi="Times New Roman" w:cs="Times New Roman"/>
                <w:lang w:val="ru-RU"/>
              </w:rPr>
              <w:t>Диаметър на половината дължина</w:t>
            </w:r>
            <w:r w:rsidRPr="00F06DE2">
              <w:rPr>
                <w:rFonts w:ascii="Times New Roman" w:hAnsi="Times New Roman" w:cs="Times New Roman"/>
                <w:lang w:val="ru-RU"/>
              </w:rPr>
              <w:br/>
              <w:t>[</w:t>
            </w:r>
            <w:r w:rsidRPr="00F06DE2">
              <w:rPr>
                <w:rFonts w:ascii="Times New Roman" w:hAnsi="Times New Roman" w:cs="Times New Roman"/>
              </w:rPr>
              <w:t>cm</w:t>
            </w:r>
            <w:r w:rsidRPr="00F06DE2">
              <w:rPr>
                <w:rFonts w:ascii="Times New Roman" w:hAnsi="Times New Roman" w:cs="Times New Roman"/>
                <w:lang w:val="ru-RU"/>
              </w:rPr>
              <w:t>]</w:t>
            </w:r>
          </w:p>
        </w:tc>
      </w:tr>
      <w:tr w:rsidR="00271FA2" w:rsidRPr="00F06DE2" w14:paraId="47F9A6DF"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13EB11A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4</w:t>
            </w:r>
          </w:p>
        </w:tc>
        <w:tc>
          <w:tcPr>
            <w:tcW w:w="1871" w:type="dxa"/>
            <w:tcBorders>
              <w:top w:val="single" w:sz="2" w:space="0" w:color="auto"/>
              <w:left w:val="single" w:sz="2" w:space="0" w:color="auto"/>
              <w:bottom w:val="single" w:sz="2" w:space="0" w:color="auto"/>
              <w:right w:val="single" w:sz="2" w:space="0" w:color="auto"/>
            </w:tcBorders>
            <w:vAlign w:val="center"/>
          </w:tcPr>
          <w:p w14:paraId="3C10BAA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14,5</w:t>
            </w:r>
          </w:p>
        </w:tc>
        <w:tc>
          <w:tcPr>
            <w:tcW w:w="1871" w:type="dxa"/>
            <w:tcBorders>
              <w:top w:val="single" w:sz="2" w:space="0" w:color="auto"/>
              <w:left w:val="single" w:sz="2" w:space="0" w:color="auto"/>
              <w:bottom w:val="single" w:sz="2" w:space="0" w:color="auto"/>
              <w:right w:val="single" w:sz="2" w:space="0" w:color="auto"/>
            </w:tcBorders>
            <w:vAlign w:val="center"/>
          </w:tcPr>
          <w:p w14:paraId="68D4D4E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12,5</w:t>
            </w:r>
          </w:p>
        </w:tc>
      </w:tr>
      <w:tr w:rsidR="00271FA2" w:rsidRPr="00F06DE2" w14:paraId="415ACF1D"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4F838EE1"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5</w:t>
            </w:r>
          </w:p>
        </w:tc>
        <w:tc>
          <w:tcPr>
            <w:tcW w:w="1871" w:type="dxa"/>
            <w:tcBorders>
              <w:top w:val="single" w:sz="2" w:space="0" w:color="auto"/>
              <w:left w:val="single" w:sz="2" w:space="0" w:color="auto"/>
              <w:bottom w:val="single" w:sz="2" w:space="0" w:color="auto"/>
              <w:right w:val="single" w:sz="2" w:space="0" w:color="auto"/>
            </w:tcBorders>
            <w:vAlign w:val="center"/>
          </w:tcPr>
          <w:p w14:paraId="050D2DB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18</w:t>
            </w:r>
          </w:p>
        </w:tc>
        <w:tc>
          <w:tcPr>
            <w:tcW w:w="1871" w:type="dxa"/>
            <w:tcBorders>
              <w:top w:val="single" w:sz="2" w:space="0" w:color="auto"/>
              <w:left w:val="single" w:sz="2" w:space="0" w:color="auto"/>
              <w:bottom w:val="single" w:sz="2" w:space="0" w:color="auto"/>
              <w:right w:val="single" w:sz="2" w:space="0" w:color="auto"/>
            </w:tcBorders>
            <w:vAlign w:val="center"/>
          </w:tcPr>
          <w:p w14:paraId="659FDFD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16</w:t>
            </w:r>
          </w:p>
        </w:tc>
      </w:tr>
      <w:tr w:rsidR="00271FA2" w:rsidRPr="00F06DE2" w14:paraId="46CDB25D"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53C8521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6</w:t>
            </w:r>
          </w:p>
        </w:tc>
        <w:tc>
          <w:tcPr>
            <w:tcW w:w="1871" w:type="dxa"/>
            <w:tcBorders>
              <w:top w:val="single" w:sz="2" w:space="0" w:color="auto"/>
              <w:left w:val="single" w:sz="2" w:space="0" w:color="auto"/>
              <w:bottom w:val="single" w:sz="2" w:space="0" w:color="auto"/>
              <w:right w:val="single" w:sz="2" w:space="0" w:color="auto"/>
            </w:tcBorders>
            <w:vAlign w:val="center"/>
          </w:tcPr>
          <w:p w14:paraId="470326C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22</w:t>
            </w:r>
          </w:p>
        </w:tc>
        <w:tc>
          <w:tcPr>
            <w:tcW w:w="1871" w:type="dxa"/>
            <w:tcBorders>
              <w:top w:val="single" w:sz="2" w:space="0" w:color="auto"/>
              <w:left w:val="single" w:sz="2" w:space="0" w:color="auto"/>
              <w:bottom w:val="single" w:sz="2" w:space="0" w:color="auto"/>
              <w:right w:val="single" w:sz="2" w:space="0" w:color="auto"/>
            </w:tcBorders>
            <w:vAlign w:val="center"/>
          </w:tcPr>
          <w:p w14:paraId="5EF3B75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19</w:t>
            </w:r>
          </w:p>
        </w:tc>
      </w:tr>
      <w:tr w:rsidR="00271FA2" w:rsidRPr="00F06DE2" w14:paraId="45EC850B"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5C407C3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7</w:t>
            </w:r>
          </w:p>
        </w:tc>
        <w:tc>
          <w:tcPr>
            <w:tcW w:w="1871" w:type="dxa"/>
            <w:tcBorders>
              <w:top w:val="single" w:sz="2" w:space="0" w:color="auto"/>
              <w:left w:val="single" w:sz="2" w:space="0" w:color="auto"/>
              <w:bottom w:val="single" w:sz="2" w:space="0" w:color="auto"/>
              <w:right w:val="single" w:sz="2" w:space="0" w:color="auto"/>
            </w:tcBorders>
            <w:vAlign w:val="center"/>
          </w:tcPr>
          <w:p w14:paraId="30EB23E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25</w:t>
            </w:r>
          </w:p>
        </w:tc>
        <w:tc>
          <w:tcPr>
            <w:tcW w:w="1871" w:type="dxa"/>
            <w:tcBorders>
              <w:top w:val="single" w:sz="2" w:space="0" w:color="auto"/>
              <w:left w:val="single" w:sz="2" w:space="0" w:color="auto"/>
              <w:bottom w:val="single" w:sz="2" w:space="0" w:color="auto"/>
              <w:right w:val="single" w:sz="2" w:space="0" w:color="auto"/>
            </w:tcBorders>
            <w:vAlign w:val="center"/>
          </w:tcPr>
          <w:p w14:paraId="47CE06E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23</w:t>
            </w:r>
          </w:p>
        </w:tc>
      </w:tr>
      <w:tr w:rsidR="00271FA2" w:rsidRPr="00F06DE2" w14:paraId="76F2B7AF"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1DB8D3C2"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8</w:t>
            </w:r>
          </w:p>
        </w:tc>
        <w:tc>
          <w:tcPr>
            <w:tcW w:w="1871" w:type="dxa"/>
            <w:tcBorders>
              <w:top w:val="single" w:sz="2" w:space="0" w:color="auto"/>
              <w:left w:val="single" w:sz="2" w:space="0" w:color="auto"/>
              <w:bottom w:val="single" w:sz="2" w:space="0" w:color="auto"/>
              <w:right w:val="single" w:sz="2" w:space="0" w:color="auto"/>
            </w:tcBorders>
            <w:vAlign w:val="center"/>
          </w:tcPr>
          <w:p w14:paraId="56A08E5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29</w:t>
            </w:r>
          </w:p>
        </w:tc>
        <w:tc>
          <w:tcPr>
            <w:tcW w:w="1871" w:type="dxa"/>
            <w:tcBorders>
              <w:top w:val="single" w:sz="2" w:space="0" w:color="auto"/>
              <w:left w:val="single" w:sz="2" w:space="0" w:color="auto"/>
              <w:bottom w:val="single" w:sz="2" w:space="0" w:color="auto"/>
              <w:right w:val="single" w:sz="2" w:space="0" w:color="auto"/>
            </w:tcBorders>
            <w:vAlign w:val="center"/>
          </w:tcPr>
          <w:p w14:paraId="6882A4A2"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25</w:t>
            </w:r>
          </w:p>
        </w:tc>
      </w:tr>
      <w:tr w:rsidR="00271FA2" w:rsidRPr="00F06DE2" w14:paraId="4F7B84BE"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587DB6C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9</w:t>
            </w:r>
          </w:p>
        </w:tc>
        <w:tc>
          <w:tcPr>
            <w:tcW w:w="1871" w:type="dxa"/>
            <w:tcBorders>
              <w:top w:val="single" w:sz="2" w:space="0" w:color="auto"/>
              <w:left w:val="single" w:sz="2" w:space="0" w:color="auto"/>
              <w:bottom w:val="single" w:sz="2" w:space="0" w:color="auto"/>
              <w:right w:val="single" w:sz="2" w:space="0" w:color="auto"/>
            </w:tcBorders>
            <w:vAlign w:val="center"/>
          </w:tcPr>
          <w:p w14:paraId="69DAA49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32</w:t>
            </w:r>
          </w:p>
        </w:tc>
        <w:tc>
          <w:tcPr>
            <w:tcW w:w="1871" w:type="dxa"/>
            <w:tcBorders>
              <w:top w:val="single" w:sz="2" w:space="0" w:color="auto"/>
              <w:left w:val="single" w:sz="2" w:space="0" w:color="auto"/>
              <w:bottom w:val="single" w:sz="2" w:space="0" w:color="auto"/>
              <w:right w:val="single" w:sz="2" w:space="0" w:color="auto"/>
            </w:tcBorders>
            <w:vAlign w:val="center"/>
          </w:tcPr>
          <w:p w14:paraId="03EA52E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29</w:t>
            </w:r>
          </w:p>
        </w:tc>
      </w:tr>
      <w:tr w:rsidR="00271FA2" w:rsidRPr="00F06DE2" w14:paraId="0A5A27F7"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50A04D88"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10</w:t>
            </w:r>
          </w:p>
        </w:tc>
        <w:tc>
          <w:tcPr>
            <w:tcW w:w="1871" w:type="dxa"/>
            <w:tcBorders>
              <w:top w:val="single" w:sz="2" w:space="0" w:color="auto"/>
              <w:left w:val="single" w:sz="2" w:space="0" w:color="auto"/>
              <w:bottom w:val="single" w:sz="2" w:space="0" w:color="auto"/>
              <w:right w:val="single" w:sz="2" w:space="0" w:color="auto"/>
            </w:tcBorders>
            <w:vAlign w:val="center"/>
          </w:tcPr>
          <w:p w14:paraId="30CB327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36</w:t>
            </w:r>
          </w:p>
        </w:tc>
        <w:tc>
          <w:tcPr>
            <w:tcW w:w="1871" w:type="dxa"/>
            <w:tcBorders>
              <w:top w:val="single" w:sz="2" w:space="0" w:color="auto"/>
              <w:left w:val="single" w:sz="2" w:space="0" w:color="auto"/>
              <w:bottom w:val="single" w:sz="2" w:space="0" w:color="auto"/>
              <w:right w:val="single" w:sz="2" w:space="0" w:color="auto"/>
            </w:tcBorders>
            <w:vAlign w:val="center"/>
          </w:tcPr>
          <w:p w14:paraId="7E5B29A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32</w:t>
            </w:r>
          </w:p>
        </w:tc>
      </w:tr>
      <w:tr w:rsidR="00271FA2" w:rsidRPr="00F06DE2" w14:paraId="5C339EE4"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3FBBF40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11</w:t>
            </w:r>
          </w:p>
        </w:tc>
        <w:tc>
          <w:tcPr>
            <w:tcW w:w="1871" w:type="dxa"/>
            <w:tcBorders>
              <w:top w:val="single" w:sz="2" w:space="0" w:color="auto"/>
              <w:left w:val="single" w:sz="2" w:space="0" w:color="auto"/>
              <w:bottom w:val="single" w:sz="2" w:space="0" w:color="auto"/>
              <w:right w:val="single" w:sz="2" w:space="0" w:color="auto"/>
            </w:tcBorders>
            <w:vAlign w:val="center"/>
          </w:tcPr>
          <w:p w14:paraId="288DFE2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39</w:t>
            </w:r>
          </w:p>
        </w:tc>
        <w:tc>
          <w:tcPr>
            <w:tcW w:w="1871" w:type="dxa"/>
            <w:tcBorders>
              <w:top w:val="single" w:sz="2" w:space="0" w:color="auto"/>
              <w:left w:val="single" w:sz="2" w:space="0" w:color="auto"/>
              <w:bottom w:val="single" w:sz="2" w:space="0" w:color="auto"/>
              <w:right w:val="single" w:sz="2" w:space="0" w:color="auto"/>
            </w:tcBorders>
            <w:vAlign w:val="center"/>
          </w:tcPr>
          <w:p w14:paraId="6A5BBB7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35</w:t>
            </w:r>
          </w:p>
        </w:tc>
      </w:tr>
      <w:tr w:rsidR="00271FA2" w:rsidRPr="00F06DE2" w14:paraId="6F3ADA73" w14:textId="77777777">
        <w:trPr>
          <w:cantSplit/>
          <w:jc w:val="center"/>
        </w:trPr>
        <w:tc>
          <w:tcPr>
            <w:tcW w:w="1871" w:type="dxa"/>
            <w:tcBorders>
              <w:top w:val="single" w:sz="2" w:space="0" w:color="auto"/>
              <w:left w:val="single" w:sz="2" w:space="0" w:color="auto"/>
              <w:bottom w:val="single" w:sz="2" w:space="0" w:color="auto"/>
              <w:right w:val="single" w:sz="2" w:space="0" w:color="auto"/>
            </w:tcBorders>
            <w:vAlign w:val="center"/>
          </w:tcPr>
          <w:p w14:paraId="436388C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12</w:t>
            </w:r>
          </w:p>
        </w:tc>
        <w:tc>
          <w:tcPr>
            <w:tcW w:w="1871" w:type="dxa"/>
            <w:tcBorders>
              <w:top w:val="single" w:sz="2" w:space="0" w:color="auto"/>
              <w:left w:val="single" w:sz="2" w:space="0" w:color="auto"/>
              <w:bottom w:val="single" w:sz="2" w:space="0" w:color="auto"/>
              <w:right w:val="single" w:sz="2" w:space="0" w:color="auto"/>
            </w:tcBorders>
            <w:vAlign w:val="center"/>
          </w:tcPr>
          <w:p w14:paraId="5C837FCD"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43</w:t>
            </w:r>
          </w:p>
        </w:tc>
        <w:tc>
          <w:tcPr>
            <w:tcW w:w="1871" w:type="dxa"/>
            <w:tcBorders>
              <w:top w:val="single" w:sz="2" w:space="0" w:color="auto"/>
              <w:left w:val="single" w:sz="2" w:space="0" w:color="auto"/>
              <w:bottom w:val="single" w:sz="2" w:space="0" w:color="auto"/>
              <w:right w:val="single" w:sz="2" w:space="0" w:color="auto"/>
            </w:tcBorders>
            <w:vAlign w:val="center"/>
          </w:tcPr>
          <w:p w14:paraId="3BCAD42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39</w:t>
            </w:r>
          </w:p>
        </w:tc>
      </w:tr>
    </w:tbl>
    <w:p w14:paraId="3FDB63A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Вътрешната част на бушприта е с дължина поне четири пъти по-голяма от диаметъра на бушприта при форщевена.</w:t>
      </w:r>
    </w:p>
    <w:p w14:paraId="5E8A59C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Диаметърът на бушприта в предната му част е поне 60 % от диаметъра на бушприта при форщевена.</w:t>
      </w:r>
    </w:p>
    <w:p w14:paraId="7CA300E7"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84" w:name="_Toc535827636"/>
      <w:bookmarkStart w:id="385" w:name="_Toc491854195"/>
      <w:r w:rsidRPr="00F06DE2">
        <w:rPr>
          <w:rFonts w:ascii="Times New Roman" w:hAnsi="Times New Roman" w:cs="Times New Roman"/>
          <w:sz w:val="24"/>
          <w:szCs w:val="24"/>
          <w:lang w:val="ru-RU"/>
        </w:rPr>
        <w:t>Член 20.10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разпоредби относно утлегарите</w:t>
      </w:r>
      <w:bookmarkEnd w:id="384"/>
      <w:bookmarkEnd w:id="385"/>
    </w:p>
    <w:p w14:paraId="1466A76A" w14:textId="77777777" w:rsidR="00271FA2" w:rsidRPr="00F06DE2" w:rsidRDefault="00D35E51">
      <w:pPr>
        <w:pStyle w:val="ESc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Утлегарите от дърво трябва да съответстват на следните минимални изисквания:</w:t>
      </w:r>
    </w:p>
    <w:tbl>
      <w:tblPr>
        <w:tblW w:w="0" w:type="auto"/>
        <w:jc w:val="center"/>
        <w:tblLayout w:type="fixed"/>
        <w:tblLook w:val="04A0" w:firstRow="1" w:lastRow="0" w:firstColumn="1" w:lastColumn="0" w:noHBand="0" w:noVBand="1"/>
      </w:tblPr>
      <w:tblGrid>
        <w:gridCol w:w="2835"/>
        <w:gridCol w:w="510"/>
        <w:gridCol w:w="510"/>
        <w:gridCol w:w="510"/>
        <w:gridCol w:w="510"/>
        <w:gridCol w:w="510"/>
        <w:gridCol w:w="510"/>
        <w:gridCol w:w="510"/>
        <w:gridCol w:w="510"/>
        <w:gridCol w:w="510"/>
      </w:tblGrid>
      <w:tr w:rsidR="00271FA2" w:rsidRPr="00F06DE2" w14:paraId="143DC72E" w14:textId="77777777">
        <w:trPr>
          <w:cantSplit/>
          <w:jc w:val="center"/>
        </w:trPr>
        <w:tc>
          <w:tcPr>
            <w:tcW w:w="2835" w:type="dxa"/>
            <w:tcBorders>
              <w:top w:val="single" w:sz="2" w:space="0" w:color="auto"/>
              <w:left w:val="single" w:sz="2" w:space="0" w:color="auto"/>
              <w:bottom w:val="single" w:sz="2" w:space="0" w:color="auto"/>
              <w:right w:val="single" w:sz="2" w:space="0" w:color="auto"/>
            </w:tcBorders>
            <w:vAlign w:val="center"/>
          </w:tcPr>
          <w:p w14:paraId="41314CF9"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Дължина</w:t>
            </w:r>
            <w:r w:rsidRPr="00F06DE2">
              <w:rPr>
                <w:rStyle w:val="FootnoteReference"/>
                <w:rFonts w:ascii="Times New Roman" w:hAnsi="Times New Roman" w:cs="Times New Roman"/>
              </w:rPr>
              <w:footnoteReference w:id="16"/>
            </w:r>
            <w:r w:rsidRPr="00F06DE2">
              <w:rPr>
                <w:rFonts w:ascii="Times New Roman" w:hAnsi="Times New Roman" w:cs="Times New Roman"/>
              </w:rPr>
              <w:t xml:space="preserve"> [m]</w:t>
            </w:r>
          </w:p>
        </w:tc>
        <w:tc>
          <w:tcPr>
            <w:tcW w:w="510" w:type="dxa"/>
            <w:tcBorders>
              <w:top w:val="single" w:sz="2" w:space="0" w:color="auto"/>
              <w:left w:val="single" w:sz="2" w:space="0" w:color="auto"/>
              <w:bottom w:val="single" w:sz="2" w:space="0" w:color="auto"/>
              <w:right w:val="single" w:sz="2" w:space="0" w:color="auto"/>
            </w:tcBorders>
            <w:vAlign w:val="center"/>
          </w:tcPr>
          <w:p w14:paraId="1B62C087"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w:t>
            </w:r>
          </w:p>
        </w:tc>
        <w:tc>
          <w:tcPr>
            <w:tcW w:w="510" w:type="dxa"/>
            <w:tcBorders>
              <w:top w:val="single" w:sz="2" w:space="0" w:color="auto"/>
              <w:left w:val="single" w:sz="2" w:space="0" w:color="auto"/>
              <w:bottom w:val="single" w:sz="2" w:space="0" w:color="auto"/>
              <w:right w:val="single" w:sz="2" w:space="0" w:color="auto"/>
            </w:tcBorders>
            <w:vAlign w:val="center"/>
          </w:tcPr>
          <w:p w14:paraId="3680CD3D"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w:t>
            </w:r>
          </w:p>
        </w:tc>
        <w:tc>
          <w:tcPr>
            <w:tcW w:w="510" w:type="dxa"/>
            <w:tcBorders>
              <w:top w:val="single" w:sz="2" w:space="0" w:color="auto"/>
              <w:left w:val="single" w:sz="2" w:space="0" w:color="auto"/>
              <w:bottom w:val="single" w:sz="2" w:space="0" w:color="auto"/>
              <w:right w:val="single" w:sz="2" w:space="0" w:color="auto"/>
            </w:tcBorders>
            <w:vAlign w:val="center"/>
          </w:tcPr>
          <w:p w14:paraId="064E80F8"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4</w:t>
            </w:r>
          </w:p>
        </w:tc>
        <w:tc>
          <w:tcPr>
            <w:tcW w:w="510" w:type="dxa"/>
            <w:tcBorders>
              <w:top w:val="single" w:sz="2" w:space="0" w:color="auto"/>
              <w:left w:val="single" w:sz="2" w:space="0" w:color="auto"/>
              <w:bottom w:val="single" w:sz="2" w:space="0" w:color="auto"/>
              <w:right w:val="single" w:sz="2" w:space="0" w:color="auto"/>
            </w:tcBorders>
            <w:vAlign w:val="center"/>
          </w:tcPr>
          <w:p w14:paraId="0CB65B7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5</w:t>
            </w:r>
          </w:p>
        </w:tc>
        <w:tc>
          <w:tcPr>
            <w:tcW w:w="510" w:type="dxa"/>
            <w:tcBorders>
              <w:top w:val="single" w:sz="2" w:space="0" w:color="auto"/>
              <w:left w:val="single" w:sz="2" w:space="0" w:color="auto"/>
              <w:bottom w:val="single" w:sz="2" w:space="0" w:color="auto"/>
              <w:right w:val="single" w:sz="2" w:space="0" w:color="auto"/>
            </w:tcBorders>
            <w:vAlign w:val="center"/>
          </w:tcPr>
          <w:p w14:paraId="4ADFFF55"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6</w:t>
            </w:r>
          </w:p>
        </w:tc>
        <w:tc>
          <w:tcPr>
            <w:tcW w:w="510" w:type="dxa"/>
            <w:tcBorders>
              <w:top w:val="single" w:sz="2" w:space="0" w:color="auto"/>
              <w:left w:val="single" w:sz="2" w:space="0" w:color="auto"/>
              <w:bottom w:val="single" w:sz="2" w:space="0" w:color="auto"/>
              <w:right w:val="single" w:sz="2" w:space="0" w:color="auto"/>
            </w:tcBorders>
            <w:vAlign w:val="center"/>
          </w:tcPr>
          <w:p w14:paraId="0E533992"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7</w:t>
            </w:r>
          </w:p>
        </w:tc>
        <w:tc>
          <w:tcPr>
            <w:tcW w:w="510" w:type="dxa"/>
            <w:tcBorders>
              <w:top w:val="single" w:sz="2" w:space="0" w:color="auto"/>
              <w:left w:val="single" w:sz="2" w:space="0" w:color="auto"/>
              <w:bottom w:val="single" w:sz="2" w:space="0" w:color="auto"/>
              <w:right w:val="single" w:sz="2" w:space="0" w:color="auto"/>
            </w:tcBorders>
            <w:vAlign w:val="center"/>
          </w:tcPr>
          <w:p w14:paraId="29D459C7"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8</w:t>
            </w:r>
          </w:p>
        </w:tc>
        <w:tc>
          <w:tcPr>
            <w:tcW w:w="510" w:type="dxa"/>
            <w:tcBorders>
              <w:top w:val="single" w:sz="2" w:space="0" w:color="auto"/>
              <w:left w:val="single" w:sz="2" w:space="0" w:color="auto"/>
              <w:bottom w:val="single" w:sz="2" w:space="0" w:color="auto"/>
              <w:right w:val="single" w:sz="2" w:space="0" w:color="auto"/>
            </w:tcBorders>
            <w:vAlign w:val="center"/>
          </w:tcPr>
          <w:p w14:paraId="5284E28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9</w:t>
            </w:r>
          </w:p>
        </w:tc>
        <w:tc>
          <w:tcPr>
            <w:tcW w:w="510" w:type="dxa"/>
            <w:tcBorders>
              <w:top w:val="single" w:sz="2" w:space="0" w:color="auto"/>
              <w:left w:val="single" w:sz="2" w:space="0" w:color="auto"/>
              <w:bottom w:val="single" w:sz="2" w:space="0" w:color="auto"/>
              <w:right w:val="single" w:sz="2" w:space="0" w:color="auto"/>
            </w:tcBorders>
            <w:vAlign w:val="center"/>
          </w:tcPr>
          <w:p w14:paraId="4EF47BC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10</w:t>
            </w:r>
          </w:p>
        </w:tc>
      </w:tr>
      <w:tr w:rsidR="00271FA2" w:rsidRPr="00F06DE2" w14:paraId="213290CB" w14:textId="77777777">
        <w:trPr>
          <w:cantSplit/>
          <w:jc w:val="center"/>
        </w:trPr>
        <w:tc>
          <w:tcPr>
            <w:tcW w:w="2835" w:type="dxa"/>
            <w:tcBorders>
              <w:top w:val="single" w:sz="2" w:space="0" w:color="auto"/>
              <w:left w:val="single" w:sz="2" w:space="0" w:color="auto"/>
              <w:bottom w:val="single" w:sz="2" w:space="0" w:color="auto"/>
              <w:right w:val="single" w:sz="2" w:space="0" w:color="auto"/>
            </w:tcBorders>
            <w:vAlign w:val="center"/>
          </w:tcPr>
          <w:p w14:paraId="210EFE8A"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Диаметър при форщевена [cm]</w:t>
            </w:r>
          </w:p>
        </w:tc>
        <w:tc>
          <w:tcPr>
            <w:tcW w:w="510" w:type="dxa"/>
            <w:tcBorders>
              <w:top w:val="single" w:sz="2" w:space="0" w:color="auto"/>
              <w:left w:val="single" w:sz="2" w:space="0" w:color="auto"/>
              <w:bottom w:val="single" w:sz="2" w:space="0" w:color="auto"/>
              <w:right w:val="single" w:sz="2" w:space="0" w:color="auto"/>
            </w:tcBorders>
            <w:vAlign w:val="center"/>
          </w:tcPr>
          <w:p w14:paraId="5747AAE8"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7</w:t>
            </w:r>
          </w:p>
        </w:tc>
        <w:tc>
          <w:tcPr>
            <w:tcW w:w="510" w:type="dxa"/>
            <w:tcBorders>
              <w:top w:val="single" w:sz="2" w:space="0" w:color="auto"/>
              <w:left w:val="single" w:sz="2" w:space="0" w:color="auto"/>
              <w:bottom w:val="single" w:sz="2" w:space="0" w:color="auto"/>
              <w:right w:val="single" w:sz="2" w:space="0" w:color="auto"/>
            </w:tcBorders>
            <w:vAlign w:val="center"/>
          </w:tcPr>
          <w:p w14:paraId="737457A7"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10</w:t>
            </w:r>
          </w:p>
        </w:tc>
        <w:tc>
          <w:tcPr>
            <w:tcW w:w="510" w:type="dxa"/>
            <w:tcBorders>
              <w:top w:val="single" w:sz="2" w:space="0" w:color="auto"/>
              <w:left w:val="single" w:sz="2" w:space="0" w:color="auto"/>
              <w:bottom w:val="single" w:sz="2" w:space="0" w:color="auto"/>
              <w:right w:val="single" w:sz="2" w:space="0" w:color="auto"/>
            </w:tcBorders>
            <w:vAlign w:val="center"/>
          </w:tcPr>
          <w:p w14:paraId="5153858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14</w:t>
            </w:r>
          </w:p>
        </w:tc>
        <w:tc>
          <w:tcPr>
            <w:tcW w:w="510" w:type="dxa"/>
            <w:tcBorders>
              <w:top w:val="single" w:sz="2" w:space="0" w:color="auto"/>
              <w:left w:val="single" w:sz="2" w:space="0" w:color="auto"/>
              <w:bottom w:val="single" w:sz="2" w:space="0" w:color="auto"/>
              <w:right w:val="single" w:sz="2" w:space="0" w:color="auto"/>
            </w:tcBorders>
            <w:vAlign w:val="center"/>
          </w:tcPr>
          <w:p w14:paraId="0C372AA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17</w:t>
            </w:r>
          </w:p>
        </w:tc>
        <w:tc>
          <w:tcPr>
            <w:tcW w:w="510" w:type="dxa"/>
            <w:tcBorders>
              <w:top w:val="single" w:sz="2" w:space="0" w:color="auto"/>
              <w:left w:val="single" w:sz="2" w:space="0" w:color="auto"/>
              <w:bottom w:val="single" w:sz="2" w:space="0" w:color="auto"/>
              <w:right w:val="single" w:sz="2" w:space="0" w:color="auto"/>
            </w:tcBorders>
            <w:vAlign w:val="center"/>
          </w:tcPr>
          <w:p w14:paraId="3B6BCD2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21</w:t>
            </w:r>
          </w:p>
        </w:tc>
        <w:tc>
          <w:tcPr>
            <w:tcW w:w="510" w:type="dxa"/>
            <w:tcBorders>
              <w:top w:val="single" w:sz="2" w:space="0" w:color="auto"/>
              <w:left w:val="single" w:sz="2" w:space="0" w:color="auto"/>
              <w:bottom w:val="single" w:sz="2" w:space="0" w:color="auto"/>
              <w:right w:val="single" w:sz="2" w:space="0" w:color="auto"/>
            </w:tcBorders>
            <w:vAlign w:val="center"/>
          </w:tcPr>
          <w:p w14:paraId="31AA9A34"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24</w:t>
            </w:r>
          </w:p>
        </w:tc>
        <w:tc>
          <w:tcPr>
            <w:tcW w:w="510" w:type="dxa"/>
            <w:tcBorders>
              <w:top w:val="single" w:sz="2" w:space="0" w:color="auto"/>
              <w:left w:val="single" w:sz="2" w:space="0" w:color="auto"/>
              <w:bottom w:val="single" w:sz="2" w:space="0" w:color="auto"/>
              <w:right w:val="single" w:sz="2" w:space="0" w:color="auto"/>
            </w:tcBorders>
            <w:vAlign w:val="center"/>
          </w:tcPr>
          <w:p w14:paraId="78EA7D7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28</w:t>
            </w:r>
          </w:p>
        </w:tc>
        <w:tc>
          <w:tcPr>
            <w:tcW w:w="510" w:type="dxa"/>
            <w:tcBorders>
              <w:top w:val="single" w:sz="2" w:space="0" w:color="auto"/>
              <w:left w:val="single" w:sz="2" w:space="0" w:color="auto"/>
              <w:bottom w:val="single" w:sz="2" w:space="0" w:color="auto"/>
              <w:right w:val="single" w:sz="2" w:space="0" w:color="auto"/>
            </w:tcBorders>
            <w:vAlign w:val="center"/>
          </w:tcPr>
          <w:p w14:paraId="56DCA130"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31</w:t>
            </w:r>
          </w:p>
        </w:tc>
        <w:tc>
          <w:tcPr>
            <w:tcW w:w="510" w:type="dxa"/>
            <w:tcBorders>
              <w:top w:val="single" w:sz="2" w:space="0" w:color="auto"/>
              <w:left w:val="single" w:sz="2" w:space="0" w:color="auto"/>
              <w:bottom w:val="single" w:sz="2" w:space="0" w:color="auto"/>
              <w:right w:val="single" w:sz="2" w:space="0" w:color="auto"/>
            </w:tcBorders>
            <w:vAlign w:val="center"/>
          </w:tcPr>
          <w:p w14:paraId="69208F9E"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35</w:t>
            </w:r>
          </w:p>
        </w:tc>
      </w:tr>
    </w:tbl>
    <w:p w14:paraId="2BE980E8" w14:textId="779F7021"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Диаметърът на утлегара в предната му част трябва да е поне 60</w:t>
      </w:r>
      <w:r w:rsidRPr="00F06DE2">
        <w:rPr>
          <w:rFonts w:ascii="Times New Roman" w:hAnsi="Times New Roman" w:cs="Times New Roman"/>
        </w:rPr>
        <w:t> </w:t>
      </w:r>
      <w:r w:rsidRPr="00F06DE2">
        <w:rPr>
          <w:rFonts w:ascii="Times New Roman" w:hAnsi="Times New Roman" w:cs="Times New Roman"/>
          <w:lang w:val="ru-RU"/>
        </w:rPr>
        <w:t xml:space="preserve">% от диаметъра при форщевена. </w:t>
      </w:r>
    </w:p>
    <w:p w14:paraId="380310DC"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86" w:name="_Toc535827637"/>
      <w:bookmarkStart w:id="387" w:name="_Toc491854196"/>
      <w:r w:rsidRPr="00F06DE2">
        <w:rPr>
          <w:rFonts w:ascii="Times New Roman" w:hAnsi="Times New Roman" w:cs="Times New Roman"/>
          <w:sz w:val="24"/>
          <w:szCs w:val="24"/>
          <w:lang w:val="ru-RU"/>
        </w:rPr>
        <w:t>Член 20.11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разпоредби относно грот-гиковете</w:t>
      </w:r>
      <w:bookmarkEnd w:id="386"/>
      <w:bookmarkEnd w:id="387"/>
    </w:p>
    <w:p w14:paraId="68AA93D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Грот-гиковете от дърво трябва да съответстват на следните минимални изисквания:</w:t>
      </w:r>
    </w:p>
    <w:tbl>
      <w:tblPr>
        <w:tblW w:w="0" w:type="auto"/>
        <w:jc w:val="center"/>
        <w:tblLayout w:type="fixed"/>
        <w:tblLook w:val="04A0" w:firstRow="1" w:lastRow="0" w:firstColumn="1" w:lastColumn="0" w:noHBand="0" w:noVBand="1"/>
      </w:tblPr>
      <w:tblGrid>
        <w:gridCol w:w="1985"/>
        <w:gridCol w:w="510"/>
        <w:gridCol w:w="510"/>
        <w:gridCol w:w="510"/>
        <w:gridCol w:w="510"/>
        <w:gridCol w:w="510"/>
        <w:gridCol w:w="510"/>
        <w:gridCol w:w="510"/>
        <w:gridCol w:w="510"/>
        <w:gridCol w:w="510"/>
        <w:gridCol w:w="510"/>
        <w:gridCol w:w="510"/>
        <w:gridCol w:w="510"/>
      </w:tblGrid>
      <w:tr w:rsidR="00271FA2" w:rsidRPr="00F06DE2" w14:paraId="18BAB950" w14:textId="77777777" w:rsidTr="0023657E">
        <w:trPr>
          <w:cantSplit/>
          <w:jc w:val="center"/>
        </w:trPr>
        <w:tc>
          <w:tcPr>
            <w:tcW w:w="1985" w:type="dxa"/>
            <w:tcBorders>
              <w:top w:val="single" w:sz="2" w:space="0" w:color="auto"/>
              <w:left w:val="single" w:sz="2" w:space="0" w:color="auto"/>
              <w:bottom w:val="single" w:sz="2" w:space="0" w:color="auto"/>
              <w:right w:val="single" w:sz="2" w:space="0" w:color="auto"/>
            </w:tcBorders>
            <w:vAlign w:val="center"/>
          </w:tcPr>
          <w:p w14:paraId="72F5DF90"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lastRenderedPageBreak/>
              <w:t>Дължина</w:t>
            </w:r>
            <w:r w:rsidRPr="00F06DE2">
              <w:rPr>
                <w:rStyle w:val="FootnoteReference"/>
                <w:rFonts w:ascii="Times New Roman" w:hAnsi="Times New Roman" w:cs="Times New Roman"/>
              </w:rPr>
              <w:footnoteReference w:id="17"/>
            </w:r>
            <w:r w:rsidRPr="00F06DE2">
              <w:rPr>
                <w:rFonts w:ascii="Times New Roman" w:hAnsi="Times New Roman" w:cs="Times New Roman"/>
              </w:rPr>
              <w:t xml:space="preserve"> [m]</w:t>
            </w:r>
          </w:p>
        </w:tc>
        <w:tc>
          <w:tcPr>
            <w:tcW w:w="510" w:type="dxa"/>
            <w:tcBorders>
              <w:top w:val="single" w:sz="2" w:space="0" w:color="auto"/>
              <w:left w:val="single" w:sz="2" w:space="0" w:color="auto"/>
              <w:bottom w:val="single" w:sz="2" w:space="0" w:color="auto"/>
              <w:right w:val="single" w:sz="2" w:space="0" w:color="auto"/>
            </w:tcBorders>
            <w:vAlign w:val="center"/>
          </w:tcPr>
          <w:p w14:paraId="5D8E9651"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5</w:t>
            </w:r>
          </w:p>
        </w:tc>
        <w:tc>
          <w:tcPr>
            <w:tcW w:w="510" w:type="dxa"/>
            <w:tcBorders>
              <w:top w:val="single" w:sz="2" w:space="0" w:color="auto"/>
              <w:left w:val="single" w:sz="2" w:space="0" w:color="auto"/>
              <w:bottom w:val="single" w:sz="2" w:space="0" w:color="auto"/>
              <w:right w:val="single" w:sz="2" w:space="0" w:color="auto"/>
            </w:tcBorders>
            <w:vAlign w:val="center"/>
          </w:tcPr>
          <w:p w14:paraId="422976C5"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6</w:t>
            </w:r>
          </w:p>
        </w:tc>
        <w:tc>
          <w:tcPr>
            <w:tcW w:w="510" w:type="dxa"/>
            <w:tcBorders>
              <w:top w:val="single" w:sz="2" w:space="0" w:color="auto"/>
              <w:left w:val="single" w:sz="2" w:space="0" w:color="auto"/>
              <w:bottom w:val="single" w:sz="2" w:space="0" w:color="auto"/>
              <w:right w:val="single" w:sz="2" w:space="0" w:color="auto"/>
            </w:tcBorders>
            <w:vAlign w:val="center"/>
          </w:tcPr>
          <w:p w14:paraId="4BBE3922"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7</w:t>
            </w:r>
          </w:p>
        </w:tc>
        <w:tc>
          <w:tcPr>
            <w:tcW w:w="510" w:type="dxa"/>
            <w:tcBorders>
              <w:top w:val="single" w:sz="2" w:space="0" w:color="auto"/>
              <w:left w:val="single" w:sz="2" w:space="0" w:color="auto"/>
              <w:bottom w:val="single" w:sz="2" w:space="0" w:color="auto"/>
              <w:right w:val="single" w:sz="2" w:space="0" w:color="auto"/>
            </w:tcBorders>
            <w:vAlign w:val="center"/>
          </w:tcPr>
          <w:p w14:paraId="5BA2B7D3"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8</w:t>
            </w:r>
          </w:p>
        </w:tc>
        <w:tc>
          <w:tcPr>
            <w:tcW w:w="510" w:type="dxa"/>
            <w:tcBorders>
              <w:top w:val="single" w:sz="2" w:space="0" w:color="auto"/>
              <w:left w:val="single" w:sz="2" w:space="0" w:color="auto"/>
              <w:bottom w:val="single" w:sz="2" w:space="0" w:color="auto"/>
              <w:right w:val="single" w:sz="2" w:space="0" w:color="auto"/>
            </w:tcBorders>
            <w:vAlign w:val="center"/>
          </w:tcPr>
          <w:p w14:paraId="0C72F7C4"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9</w:t>
            </w:r>
          </w:p>
        </w:tc>
        <w:tc>
          <w:tcPr>
            <w:tcW w:w="510" w:type="dxa"/>
            <w:tcBorders>
              <w:top w:val="single" w:sz="2" w:space="0" w:color="auto"/>
              <w:left w:val="single" w:sz="2" w:space="0" w:color="auto"/>
              <w:bottom w:val="single" w:sz="2" w:space="0" w:color="auto"/>
              <w:right w:val="single" w:sz="2" w:space="0" w:color="auto"/>
            </w:tcBorders>
            <w:vAlign w:val="center"/>
          </w:tcPr>
          <w:p w14:paraId="3197D313"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10</w:t>
            </w:r>
          </w:p>
        </w:tc>
        <w:tc>
          <w:tcPr>
            <w:tcW w:w="510" w:type="dxa"/>
            <w:tcBorders>
              <w:top w:val="single" w:sz="2" w:space="0" w:color="auto"/>
              <w:left w:val="single" w:sz="2" w:space="0" w:color="auto"/>
              <w:bottom w:val="single" w:sz="2" w:space="0" w:color="auto"/>
              <w:right w:val="single" w:sz="2" w:space="0" w:color="auto"/>
            </w:tcBorders>
            <w:vAlign w:val="center"/>
          </w:tcPr>
          <w:p w14:paraId="28895493"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11</w:t>
            </w:r>
          </w:p>
        </w:tc>
        <w:tc>
          <w:tcPr>
            <w:tcW w:w="510" w:type="dxa"/>
            <w:tcBorders>
              <w:top w:val="single" w:sz="2" w:space="0" w:color="auto"/>
              <w:left w:val="single" w:sz="2" w:space="0" w:color="auto"/>
              <w:bottom w:val="single" w:sz="2" w:space="0" w:color="auto"/>
              <w:right w:val="single" w:sz="2" w:space="0" w:color="auto"/>
            </w:tcBorders>
            <w:vAlign w:val="center"/>
          </w:tcPr>
          <w:p w14:paraId="377E489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12</w:t>
            </w:r>
          </w:p>
        </w:tc>
        <w:tc>
          <w:tcPr>
            <w:tcW w:w="510" w:type="dxa"/>
            <w:tcBorders>
              <w:top w:val="single" w:sz="2" w:space="0" w:color="auto"/>
              <w:left w:val="single" w:sz="2" w:space="0" w:color="auto"/>
              <w:bottom w:val="single" w:sz="2" w:space="0" w:color="auto"/>
              <w:right w:val="single" w:sz="2" w:space="0" w:color="auto"/>
            </w:tcBorders>
            <w:vAlign w:val="center"/>
          </w:tcPr>
          <w:p w14:paraId="02B4BE9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13</w:t>
            </w:r>
          </w:p>
        </w:tc>
        <w:tc>
          <w:tcPr>
            <w:tcW w:w="510" w:type="dxa"/>
            <w:tcBorders>
              <w:top w:val="single" w:sz="2" w:space="0" w:color="auto"/>
              <w:left w:val="single" w:sz="2" w:space="0" w:color="auto"/>
              <w:bottom w:val="single" w:sz="2" w:space="0" w:color="auto"/>
              <w:right w:val="single" w:sz="2" w:space="0" w:color="auto"/>
            </w:tcBorders>
            <w:vAlign w:val="center"/>
          </w:tcPr>
          <w:p w14:paraId="6B00CE51"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14</w:t>
            </w:r>
          </w:p>
        </w:tc>
        <w:tc>
          <w:tcPr>
            <w:tcW w:w="510" w:type="dxa"/>
            <w:tcBorders>
              <w:top w:val="single" w:sz="2" w:space="0" w:color="auto"/>
              <w:left w:val="single" w:sz="2" w:space="0" w:color="auto"/>
              <w:bottom w:val="single" w:sz="2" w:space="0" w:color="auto"/>
              <w:right w:val="single" w:sz="2" w:space="0" w:color="auto"/>
            </w:tcBorders>
            <w:vAlign w:val="center"/>
          </w:tcPr>
          <w:p w14:paraId="18F7F85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15</w:t>
            </w:r>
          </w:p>
        </w:tc>
        <w:tc>
          <w:tcPr>
            <w:tcW w:w="510" w:type="dxa"/>
            <w:tcBorders>
              <w:top w:val="single" w:sz="2" w:space="0" w:color="auto"/>
              <w:left w:val="single" w:sz="2" w:space="0" w:color="auto"/>
              <w:bottom w:val="single" w:sz="2" w:space="0" w:color="auto"/>
              <w:right w:val="single" w:sz="2" w:space="0" w:color="auto"/>
            </w:tcBorders>
            <w:vAlign w:val="center"/>
          </w:tcPr>
          <w:p w14:paraId="7BFFA06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16</w:t>
            </w:r>
          </w:p>
        </w:tc>
      </w:tr>
      <w:tr w:rsidR="00271FA2" w:rsidRPr="00F06DE2" w14:paraId="0224842B" w14:textId="77777777" w:rsidTr="0023657E">
        <w:trPr>
          <w:cantSplit/>
          <w:jc w:val="center"/>
        </w:trPr>
        <w:tc>
          <w:tcPr>
            <w:tcW w:w="1985" w:type="dxa"/>
            <w:tcBorders>
              <w:top w:val="single" w:sz="2" w:space="0" w:color="auto"/>
              <w:left w:val="single" w:sz="2" w:space="0" w:color="auto"/>
              <w:bottom w:val="single" w:sz="2" w:space="0" w:color="auto"/>
              <w:right w:val="single" w:sz="2" w:space="0" w:color="auto"/>
            </w:tcBorders>
            <w:vAlign w:val="center"/>
          </w:tcPr>
          <w:p w14:paraId="4E63F69F"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Диаметър [cm]</w:t>
            </w:r>
          </w:p>
        </w:tc>
        <w:tc>
          <w:tcPr>
            <w:tcW w:w="510" w:type="dxa"/>
            <w:tcBorders>
              <w:top w:val="single" w:sz="2" w:space="0" w:color="auto"/>
              <w:left w:val="single" w:sz="2" w:space="0" w:color="auto"/>
              <w:bottom w:val="single" w:sz="2" w:space="0" w:color="auto"/>
              <w:right w:val="single" w:sz="2" w:space="0" w:color="auto"/>
            </w:tcBorders>
            <w:vAlign w:val="center"/>
          </w:tcPr>
          <w:p w14:paraId="6BF91351"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14</w:t>
            </w:r>
          </w:p>
        </w:tc>
        <w:tc>
          <w:tcPr>
            <w:tcW w:w="510" w:type="dxa"/>
            <w:tcBorders>
              <w:top w:val="single" w:sz="2" w:space="0" w:color="auto"/>
              <w:left w:val="single" w:sz="2" w:space="0" w:color="auto"/>
              <w:bottom w:val="single" w:sz="2" w:space="0" w:color="auto"/>
              <w:right w:val="single" w:sz="2" w:space="0" w:color="auto"/>
            </w:tcBorders>
            <w:vAlign w:val="center"/>
          </w:tcPr>
          <w:p w14:paraId="4D66F74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15</w:t>
            </w:r>
          </w:p>
        </w:tc>
        <w:tc>
          <w:tcPr>
            <w:tcW w:w="510" w:type="dxa"/>
            <w:tcBorders>
              <w:top w:val="single" w:sz="2" w:space="0" w:color="auto"/>
              <w:left w:val="single" w:sz="2" w:space="0" w:color="auto"/>
              <w:bottom w:val="single" w:sz="2" w:space="0" w:color="auto"/>
              <w:right w:val="single" w:sz="2" w:space="0" w:color="auto"/>
            </w:tcBorders>
            <w:vAlign w:val="center"/>
          </w:tcPr>
          <w:p w14:paraId="0229F59B"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16</w:t>
            </w:r>
          </w:p>
        </w:tc>
        <w:tc>
          <w:tcPr>
            <w:tcW w:w="510" w:type="dxa"/>
            <w:tcBorders>
              <w:top w:val="single" w:sz="2" w:space="0" w:color="auto"/>
              <w:left w:val="single" w:sz="2" w:space="0" w:color="auto"/>
              <w:bottom w:val="single" w:sz="2" w:space="0" w:color="auto"/>
              <w:right w:val="single" w:sz="2" w:space="0" w:color="auto"/>
            </w:tcBorders>
            <w:vAlign w:val="center"/>
          </w:tcPr>
          <w:p w14:paraId="1EBFEA5E"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17</w:t>
            </w:r>
          </w:p>
        </w:tc>
        <w:tc>
          <w:tcPr>
            <w:tcW w:w="510" w:type="dxa"/>
            <w:tcBorders>
              <w:top w:val="single" w:sz="2" w:space="0" w:color="auto"/>
              <w:left w:val="single" w:sz="2" w:space="0" w:color="auto"/>
              <w:bottom w:val="single" w:sz="2" w:space="0" w:color="auto"/>
              <w:right w:val="single" w:sz="2" w:space="0" w:color="auto"/>
            </w:tcBorders>
            <w:vAlign w:val="center"/>
          </w:tcPr>
          <w:p w14:paraId="438ECE53"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18</w:t>
            </w:r>
          </w:p>
        </w:tc>
        <w:tc>
          <w:tcPr>
            <w:tcW w:w="510" w:type="dxa"/>
            <w:tcBorders>
              <w:top w:val="single" w:sz="2" w:space="0" w:color="auto"/>
              <w:left w:val="single" w:sz="2" w:space="0" w:color="auto"/>
              <w:bottom w:val="single" w:sz="2" w:space="0" w:color="auto"/>
              <w:right w:val="single" w:sz="2" w:space="0" w:color="auto"/>
            </w:tcBorders>
            <w:vAlign w:val="center"/>
          </w:tcPr>
          <w:p w14:paraId="588E1D25"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20</w:t>
            </w:r>
          </w:p>
        </w:tc>
        <w:tc>
          <w:tcPr>
            <w:tcW w:w="510" w:type="dxa"/>
            <w:tcBorders>
              <w:top w:val="single" w:sz="2" w:space="0" w:color="auto"/>
              <w:left w:val="single" w:sz="2" w:space="0" w:color="auto"/>
              <w:bottom w:val="single" w:sz="2" w:space="0" w:color="auto"/>
              <w:right w:val="single" w:sz="2" w:space="0" w:color="auto"/>
            </w:tcBorders>
            <w:vAlign w:val="center"/>
          </w:tcPr>
          <w:p w14:paraId="5F00E9D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21</w:t>
            </w:r>
          </w:p>
        </w:tc>
        <w:tc>
          <w:tcPr>
            <w:tcW w:w="510" w:type="dxa"/>
            <w:tcBorders>
              <w:top w:val="single" w:sz="2" w:space="0" w:color="auto"/>
              <w:left w:val="single" w:sz="2" w:space="0" w:color="auto"/>
              <w:bottom w:val="single" w:sz="2" w:space="0" w:color="auto"/>
              <w:right w:val="single" w:sz="2" w:space="0" w:color="auto"/>
            </w:tcBorders>
            <w:vAlign w:val="center"/>
          </w:tcPr>
          <w:p w14:paraId="41187975"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23</w:t>
            </w:r>
          </w:p>
        </w:tc>
        <w:tc>
          <w:tcPr>
            <w:tcW w:w="510" w:type="dxa"/>
            <w:tcBorders>
              <w:top w:val="single" w:sz="2" w:space="0" w:color="auto"/>
              <w:left w:val="single" w:sz="2" w:space="0" w:color="auto"/>
              <w:bottom w:val="single" w:sz="2" w:space="0" w:color="auto"/>
              <w:right w:val="single" w:sz="2" w:space="0" w:color="auto"/>
            </w:tcBorders>
            <w:vAlign w:val="center"/>
          </w:tcPr>
          <w:p w14:paraId="62F863DB"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24</w:t>
            </w:r>
          </w:p>
        </w:tc>
        <w:tc>
          <w:tcPr>
            <w:tcW w:w="510" w:type="dxa"/>
            <w:tcBorders>
              <w:top w:val="single" w:sz="2" w:space="0" w:color="auto"/>
              <w:left w:val="single" w:sz="2" w:space="0" w:color="auto"/>
              <w:bottom w:val="single" w:sz="2" w:space="0" w:color="auto"/>
              <w:right w:val="single" w:sz="2" w:space="0" w:color="auto"/>
            </w:tcBorders>
            <w:vAlign w:val="center"/>
          </w:tcPr>
          <w:p w14:paraId="6E1BA70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25</w:t>
            </w:r>
          </w:p>
        </w:tc>
        <w:tc>
          <w:tcPr>
            <w:tcW w:w="510" w:type="dxa"/>
            <w:tcBorders>
              <w:top w:val="single" w:sz="2" w:space="0" w:color="auto"/>
              <w:left w:val="single" w:sz="2" w:space="0" w:color="auto"/>
              <w:bottom w:val="single" w:sz="2" w:space="0" w:color="auto"/>
              <w:right w:val="single" w:sz="2" w:space="0" w:color="auto"/>
            </w:tcBorders>
            <w:vAlign w:val="center"/>
          </w:tcPr>
          <w:p w14:paraId="35E42CB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26</w:t>
            </w:r>
          </w:p>
        </w:tc>
        <w:tc>
          <w:tcPr>
            <w:tcW w:w="510" w:type="dxa"/>
            <w:tcBorders>
              <w:top w:val="single" w:sz="2" w:space="0" w:color="auto"/>
              <w:left w:val="single" w:sz="2" w:space="0" w:color="auto"/>
              <w:bottom w:val="single" w:sz="2" w:space="0" w:color="auto"/>
              <w:right w:val="single" w:sz="2" w:space="0" w:color="auto"/>
            </w:tcBorders>
            <w:vAlign w:val="center"/>
          </w:tcPr>
          <w:p w14:paraId="0D94022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27</w:t>
            </w:r>
          </w:p>
        </w:tc>
      </w:tr>
    </w:tbl>
    <w:p w14:paraId="4DEF16D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Диаметърът при оста на шарнира трябва да е поне 72 % от диаметъра, посочен в таблицата.</w:t>
      </w:r>
    </w:p>
    <w:p w14:paraId="684C69A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Диаметърът при ъгъла на шкота трябва да е поне 85% от диаметъра, посочен в таблицата.</w:t>
      </w:r>
    </w:p>
    <w:p w14:paraId="567D64C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Измерено от мачтата, най-големият диаметър трябва да е при две трети от дължината.</w:t>
      </w:r>
    </w:p>
    <w:p w14:paraId="2390534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Където:</w:t>
      </w:r>
    </w:p>
    <w:p w14:paraId="72D89A78" w14:textId="77777777" w:rsidR="00271FA2" w:rsidRPr="00F06DE2" w:rsidRDefault="00D35E51" w:rsidP="0023657E">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ъгълът между грот-гика и задния шкот е по-малък от 65°, а грот-шкотът е прикрепен към края на гика, или</w:t>
      </w:r>
    </w:p>
    <w:p w14:paraId="7AAAE434" w14:textId="77777777" w:rsidR="00271FA2" w:rsidRPr="00F06DE2" w:rsidRDefault="00D35E51" w:rsidP="002365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точката на закрепване на шкота не е наравно с ъгъла на шкота.</w:t>
      </w:r>
    </w:p>
    <w:p w14:paraId="09018D6A" w14:textId="77777777" w:rsidR="00271FA2" w:rsidRPr="00F06DE2" w:rsidRDefault="00D35E51" w:rsidP="0023657E">
      <w:pPr>
        <w:pStyle w:val="ESchpar"/>
        <w:jc w:val="both"/>
        <w:rPr>
          <w:rFonts w:ascii="Times New Roman" w:hAnsi="Times New Roman" w:cs="Times New Roman"/>
          <w:lang w:val="ru-RU"/>
        </w:rPr>
      </w:pPr>
      <w:r w:rsidRPr="00F06DE2">
        <w:rPr>
          <w:rFonts w:ascii="Times New Roman" w:hAnsi="Times New Roman" w:cs="Times New Roman"/>
          <w:lang w:val="ru-RU"/>
        </w:rPr>
        <w:t>Контролният орган има право съгласно член 20.05, точка 2 да изиска по-голям диаметър.</w:t>
      </w:r>
    </w:p>
    <w:p w14:paraId="1B9ACBFD" w14:textId="3FBD7B0B" w:rsidR="00271FA2" w:rsidRPr="00F06DE2" w:rsidRDefault="00D35E51" w:rsidP="0023657E">
      <w:pPr>
        <w:pStyle w:val="ESch"/>
        <w:numPr>
          <w:ilvl w:val="0"/>
          <w:numId w:val="14"/>
        </w:numPr>
        <w:tabs>
          <w:tab w:val="left" w:pos="567"/>
        </w:tabs>
        <w:ind w:left="0" w:firstLine="0"/>
        <w:jc w:val="both"/>
        <w:rPr>
          <w:rFonts w:ascii="Times New Roman" w:hAnsi="Times New Roman" w:cs="Times New Roman"/>
          <w:lang w:val="ru-RU"/>
        </w:rPr>
      </w:pPr>
      <w:r w:rsidRPr="00F06DE2">
        <w:rPr>
          <w:rFonts w:ascii="Times New Roman" w:hAnsi="Times New Roman" w:cs="Times New Roman"/>
          <w:lang w:val="ru-RU"/>
        </w:rPr>
        <w:t xml:space="preserve">За ветрилни площи, по-малки от 50 </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контролният орган има право да одобри </w:t>
      </w:r>
      <w:r w:rsidRPr="00F06DE2">
        <w:rPr>
          <w:rFonts w:ascii="Times New Roman" w:hAnsi="Times New Roman" w:cs="Times New Roman"/>
          <w:lang w:val="ru-RU"/>
        </w:rPr>
        <w:tab/>
        <w:t>намаления на размерите, дадени в таблицата.</w:t>
      </w:r>
    </w:p>
    <w:p w14:paraId="63261D73" w14:textId="77777777" w:rsidR="0023657E" w:rsidRPr="00F06DE2" w:rsidRDefault="0023657E" w:rsidP="0023657E">
      <w:pPr>
        <w:pStyle w:val="ESch"/>
        <w:numPr>
          <w:ilvl w:val="0"/>
          <w:numId w:val="14"/>
        </w:numPr>
        <w:tabs>
          <w:tab w:val="left" w:pos="567"/>
        </w:tabs>
        <w:ind w:left="0" w:firstLine="0"/>
        <w:jc w:val="both"/>
        <w:rPr>
          <w:rFonts w:ascii="Times New Roman" w:hAnsi="Times New Roman" w:cs="Times New Roman"/>
          <w:lang w:val="ru-RU"/>
        </w:rPr>
      </w:pPr>
    </w:p>
    <w:p w14:paraId="1C907065"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388" w:name="_Toc535827638"/>
      <w:bookmarkStart w:id="389" w:name="_Toc491854197"/>
      <w:r w:rsidRPr="00F06DE2">
        <w:rPr>
          <w:rFonts w:ascii="Times New Roman" w:hAnsi="Times New Roman" w:cs="Times New Roman"/>
          <w:sz w:val="24"/>
          <w:szCs w:val="24"/>
          <w:lang w:val="ru-RU"/>
        </w:rPr>
        <w:t>Член 20.12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разпоредби за гафелите</w:t>
      </w:r>
      <w:bookmarkEnd w:id="388"/>
      <w:bookmarkEnd w:id="389"/>
    </w:p>
    <w:p w14:paraId="6C34911B" w14:textId="77777777" w:rsidR="00271FA2" w:rsidRPr="00F06DE2" w:rsidRDefault="00D35E51">
      <w:pPr>
        <w:pStyle w:val="ESc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Дървените гафели трябва да отговарят на следните минимални изисквания:</w:t>
      </w:r>
    </w:p>
    <w:tbl>
      <w:tblPr>
        <w:tblW w:w="0" w:type="auto"/>
        <w:jc w:val="center"/>
        <w:tblLayout w:type="fixed"/>
        <w:tblLook w:val="04A0" w:firstRow="1" w:lastRow="0" w:firstColumn="1" w:lastColumn="0" w:noHBand="0" w:noVBand="1"/>
      </w:tblPr>
      <w:tblGrid>
        <w:gridCol w:w="1985"/>
        <w:gridCol w:w="510"/>
        <w:gridCol w:w="510"/>
        <w:gridCol w:w="510"/>
        <w:gridCol w:w="510"/>
        <w:gridCol w:w="510"/>
        <w:gridCol w:w="510"/>
        <w:gridCol w:w="510"/>
      </w:tblGrid>
      <w:tr w:rsidR="00271FA2" w:rsidRPr="00F06DE2" w14:paraId="27F44CC0" w14:textId="77777777">
        <w:trPr>
          <w:cantSplit/>
          <w:jc w:val="center"/>
        </w:trPr>
        <w:tc>
          <w:tcPr>
            <w:tcW w:w="1985" w:type="dxa"/>
            <w:tcBorders>
              <w:top w:val="single" w:sz="2" w:space="0" w:color="auto"/>
              <w:left w:val="single" w:sz="2" w:space="0" w:color="auto"/>
              <w:bottom w:val="single" w:sz="2" w:space="0" w:color="auto"/>
              <w:right w:val="single" w:sz="2" w:space="0" w:color="auto"/>
            </w:tcBorders>
            <w:vAlign w:val="center"/>
          </w:tcPr>
          <w:p w14:paraId="37AF9E6A"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Дължина</w:t>
            </w:r>
            <w:r w:rsidRPr="00F06DE2">
              <w:rPr>
                <w:rStyle w:val="FootnoteReference"/>
                <w:rFonts w:ascii="Times New Roman" w:hAnsi="Times New Roman" w:cs="Times New Roman"/>
              </w:rPr>
              <w:footnoteReference w:id="18"/>
            </w:r>
            <w:r w:rsidRPr="00F06DE2">
              <w:rPr>
                <w:rFonts w:ascii="Times New Roman" w:hAnsi="Times New Roman" w:cs="Times New Roman"/>
              </w:rPr>
              <w:t xml:space="preserve"> [m]</w:t>
            </w:r>
          </w:p>
        </w:tc>
        <w:tc>
          <w:tcPr>
            <w:tcW w:w="510" w:type="dxa"/>
            <w:tcBorders>
              <w:top w:val="single" w:sz="2" w:space="0" w:color="auto"/>
              <w:left w:val="single" w:sz="2" w:space="0" w:color="auto"/>
              <w:bottom w:val="single" w:sz="2" w:space="0" w:color="auto"/>
              <w:right w:val="single" w:sz="2" w:space="0" w:color="auto"/>
            </w:tcBorders>
            <w:vAlign w:val="center"/>
          </w:tcPr>
          <w:p w14:paraId="675D07A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4</w:t>
            </w:r>
          </w:p>
        </w:tc>
        <w:tc>
          <w:tcPr>
            <w:tcW w:w="510" w:type="dxa"/>
            <w:tcBorders>
              <w:top w:val="single" w:sz="2" w:space="0" w:color="auto"/>
              <w:left w:val="single" w:sz="2" w:space="0" w:color="auto"/>
              <w:bottom w:val="single" w:sz="2" w:space="0" w:color="auto"/>
              <w:right w:val="single" w:sz="2" w:space="0" w:color="auto"/>
            </w:tcBorders>
            <w:vAlign w:val="center"/>
          </w:tcPr>
          <w:p w14:paraId="76FC300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5</w:t>
            </w:r>
          </w:p>
        </w:tc>
        <w:tc>
          <w:tcPr>
            <w:tcW w:w="510" w:type="dxa"/>
            <w:tcBorders>
              <w:top w:val="single" w:sz="2" w:space="0" w:color="auto"/>
              <w:left w:val="single" w:sz="2" w:space="0" w:color="auto"/>
              <w:bottom w:val="single" w:sz="2" w:space="0" w:color="auto"/>
              <w:right w:val="single" w:sz="2" w:space="0" w:color="auto"/>
            </w:tcBorders>
            <w:vAlign w:val="center"/>
          </w:tcPr>
          <w:p w14:paraId="43CBF8AD"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6</w:t>
            </w:r>
          </w:p>
        </w:tc>
        <w:tc>
          <w:tcPr>
            <w:tcW w:w="510" w:type="dxa"/>
            <w:tcBorders>
              <w:top w:val="single" w:sz="2" w:space="0" w:color="auto"/>
              <w:left w:val="single" w:sz="2" w:space="0" w:color="auto"/>
              <w:bottom w:val="single" w:sz="2" w:space="0" w:color="auto"/>
              <w:right w:val="single" w:sz="2" w:space="0" w:color="auto"/>
            </w:tcBorders>
            <w:vAlign w:val="center"/>
          </w:tcPr>
          <w:p w14:paraId="030FE73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7</w:t>
            </w:r>
          </w:p>
        </w:tc>
        <w:tc>
          <w:tcPr>
            <w:tcW w:w="510" w:type="dxa"/>
            <w:tcBorders>
              <w:top w:val="single" w:sz="2" w:space="0" w:color="auto"/>
              <w:left w:val="single" w:sz="2" w:space="0" w:color="auto"/>
              <w:bottom w:val="single" w:sz="2" w:space="0" w:color="auto"/>
              <w:right w:val="single" w:sz="2" w:space="0" w:color="auto"/>
            </w:tcBorders>
            <w:vAlign w:val="center"/>
          </w:tcPr>
          <w:p w14:paraId="142688D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8</w:t>
            </w:r>
          </w:p>
        </w:tc>
        <w:tc>
          <w:tcPr>
            <w:tcW w:w="510" w:type="dxa"/>
            <w:tcBorders>
              <w:top w:val="single" w:sz="2" w:space="0" w:color="auto"/>
              <w:left w:val="single" w:sz="2" w:space="0" w:color="auto"/>
              <w:bottom w:val="single" w:sz="2" w:space="0" w:color="auto"/>
              <w:right w:val="single" w:sz="2" w:space="0" w:color="auto"/>
            </w:tcBorders>
            <w:vAlign w:val="center"/>
          </w:tcPr>
          <w:p w14:paraId="255D7C9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9</w:t>
            </w:r>
          </w:p>
        </w:tc>
        <w:tc>
          <w:tcPr>
            <w:tcW w:w="510" w:type="dxa"/>
            <w:tcBorders>
              <w:top w:val="single" w:sz="2" w:space="0" w:color="auto"/>
              <w:left w:val="single" w:sz="2" w:space="0" w:color="auto"/>
              <w:bottom w:val="single" w:sz="2" w:space="0" w:color="auto"/>
              <w:right w:val="single" w:sz="2" w:space="0" w:color="auto"/>
            </w:tcBorders>
            <w:vAlign w:val="center"/>
          </w:tcPr>
          <w:p w14:paraId="0E81E329"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10</w:t>
            </w:r>
          </w:p>
        </w:tc>
      </w:tr>
      <w:tr w:rsidR="00271FA2" w:rsidRPr="00F06DE2" w14:paraId="4C5E5D34" w14:textId="77777777">
        <w:trPr>
          <w:cantSplit/>
          <w:jc w:val="center"/>
        </w:trPr>
        <w:tc>
          <w:tcPr>
            <w:tcW w:w="1985" w:type="dxa"/>
            <w:tcBorders>
              <w:top w:val="single" w:sz="2" w:space="0" w:color="auto"/>
              <w:left w:val="single" w:sz="2" w:space="0" w:color="auto"/>
              <w:bottom w:val="single" w:sz="2" w:space="0" w:color="auto"/>
              <w:right w:val="single" w:sz="2" w:space="0" w:color="auto"/>
            </w:tcBorders>
            <w:vAlign w:val="center"/>
          </w:tcPr>
          <w:p w14:paraId="623125B5"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Диаметър [cm]</w:t>
            </w:r>
          </w:p>
        </w:tc>
        <w:tc>
          <w:tcPr>
            <w:tcW w:w="510" w:type="dxa"/>
            <w:tcBorders>
              <w:top w:val="single" w:sz="2" w:space="0" w:color="auto"/>
              <w:left w:val="single" w:sz="2" w:space="0" w:color="auto"/>
              <w:bottom w:val="single" w:sz="2" w:space="0" w:color="auto"/>
              <w:right w:val="single" w:sz="2" w:space="0" w:color="auto"/>
            </w:tcBorders>
            <w:vAlign w:val="center"/>
          </w:tcPr>
          <w:p w14:paraId="1280874B"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10</w:t>
            </w:r>
          </w:p>
        </w:tc>
        <w:tc>
          <w:tcPr>
            <w:tcW w:w="510" w:type="dxa"/>
            <w:tcBorders>
              <w:top w:val="single" w:sz="2" w:space="0" w:color="auto"/>
              <w:left w:val="single" w:sz="2" w:space="0" w:color="auto"/>
              <w:bottom w:val="single" w:sz="2" w:space="0" w:color="auto"/>
              <w:right w:val="single" w:sz="2" w:space="0" w:color="auto"/>
            </w:tcBorders>
            <w:vAlign w:val="center"/>
          </w:tcPr>
          <w:p w14:paraId="67D3095B"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12</w:t>
            </w:r>
          </w:p>
        </w:tc>
        <w:tc>
          <w:tcPr>
            <w:tcW w:w="510" w:type="dxa"/>
            <w:tcBorders>
              <w:top w:val="single" w:sz="2" w:space="0" w:color="auto"/>
              <w:left w:val="single" w:sz="2" w:space="0" w:color="auto"/>
              <w:bottom w:val="single" w:sz="2" w:space="0" w:color="auto"/>
              <w:right w:val="single" w:sz="2" w:space="0" w:color="auto"/>
            </w:tcBorders>
            <w:vAlign w:val="center"/>
          </w:tcPr>
          <w:p w14:paraId="261AE258"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14</w:t>
            </w:r>
          </w:p>
        </w:tc>
        <w:tc>
          <w:tcPr>
            <w:tcW w:w="510" w:type="dxa"/>
            <w:tcBorders>
              <w:top w:val="single" w:sz="2" w:space="0" w:color="auto"/>
              <w:left w:val="single" w:sz="2" w:space="0" w:color="auto"/>
              <w:bottom w:val="single" w:sz="2" w:space="0" w:color="auto"/>
              <w:right w:val="single" w:sz="2" w:space="0" w:color="auto"/>
            </w:tcBorders>
            <w:vAlign w:val="center"/>
          </w:tcPr>
          <w:p w14:paraId="706A0E3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16</w:t>
            </w:r>
          </w:p>
        </w:tc>
        <w:tc>
          <w:tcPr>
            <w:tcW w:w="510" w:type="dxa"/>
            <w:tcBorders>
              <w:top w:val="single" w:sz="2" w:space="0" w:color="auto"/>
              <w:left w:val="single" w:sz="2" w:space="0" w:color="auto"/>
              <w:bottom w:val="single" w:sz="2" w:space="0" w:color="auto"/>
              <w:right w:val="single" w:sz="2" w:space="0" w:color="auto"/>
            </w:tcBorders>
            <w:vAlign w:val="center"/>
          </w:tcPr>
          <w:p w14:paraId="2FB0B31E"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17</w:t>
            </w:r>
          </w:p>
        </w:tc>
        <w:tc>
          <w:tcPr>
            <w:tcW w:w="510" w:type="dxa"/>
            <w:tcBorders>
              <w:top w:val="single" w:sz="2" w:space="0" w:color="auto"/>
              <w:left w:val="single" w:sz="2" w:space="0" w:color="auto"/>
              <w:bottom w:val="single" w:sz="2" w:space="0" w:color="auto"/>
              <w:right w:val="single" w:sz="2" w:space="0" w:color="auto"/>
            </w:tcBorders>
            <w:vAlign w:val="center"/>
          </w:tcPr>
          <w:p w14:paraId="28D45D0B"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18</w:t>
            </w:r>
          </w:p>
        </w:tc>
        <w:tc>
          <w:tcPr>
            <w:tcW w:w="510" w:type="dxa"/>
            <w:tcBorders>
              <w:top w:val="single" w:sz="2" w:space="0" w:color="auto"/>
              <w:left w:val="single" w:sz="2" w:space="0" w:color="auto"/>
              <w:bottom w:val="single" w:sz="2" w:space="0" w:color="auto"/>
              <w:right w:val="single" w:sz="2" w:space="0" w:color="auto"/>
            </w:tcBorders>
            <w:vAlign w:val="center"/>
          </w:tcPr>
          <w:p w14:paraId="76022BF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20</w:t>
            </w:r>
          </w:p>
        </w:tc>
      </w:tr>
    </w:tbl>
    <w:p w14:paraId="5B2A7B1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Незакрепената дължина на гафела не трябва да превишава 75 %.</w:t>
      </w:r>
    </w:p>
    <w:p w14:paraId="07C0199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Якостта при скъсване на фала е най-малкото равна на 1,2 пъти якостта при скъсване на дирик-фала.</w:t>
      </w:r>
    </w:p>
    <w:p w14:paraId="6FA2643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Горният ъгъл на фала не превишава 60°.</w:t>
      </w:r>
    </w:p>
    <w:p w14:paraId="43EC3C5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Ако чрез дерогация от точка 4 горният ъгъл на фала превишава 60°, якостта при скъсване трябва да се коригира, така че той да устоява на натоварванията, които ще възникват тогава.</w:t>
      </w:r>
    </w:p>
    <w:p w14:paraId="58D3E13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 xml:space="preserve">За ветрилни площи, по-малки от 50 </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 контролният орган има право да одобри намаления на размерите, дадени в таблицата.</w:t>
      </w:r>
    </w:p>
    <w:p w14:paraId="4107217A" w14:textId="77777777" w:rsidR="0023657E" w:rsidRPr="00F06DE2" w:rsidRDefault="0023657E">
      <w:pPr>
        <w:pStyle w:val="ES-Titre3"/>
        <w:spacing w:line="240" w:lineRule="atLeast"/>
        <w:rPr>
          <w:rFonts w:ascii="Times New Roman" w:hAnsi="Times New Roman" w:cs="Times New Roman"/>
          <w:sz w:val="24"/>
          <w:szCs w:val="24"/>
          <w:lang w:val="ru-RU"/>
        </w:rPr>
      </w:pPr>
      <w:bookmarkStart w:id="390" w:name="_Toc491854198"/>
      <w:bookmarkStart w:id="391" w:name="_Toc535827639"/>
    </w:p>
    <w:p w14:paraId="53732436" w14:textId="5ACB36EE"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20.13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разпоредби относно неподвижния и подвижния такелаж</w:t>
      </w:r>
      <w:bookmarkEnd w:id="390"/>
      <w:bookmarkEnd w:id="391"/>
    </w:p>
    <w:p w14:paraId="03411EC9" w14:textId="77777777" w:rsidR="00271FA2" w:rsidRPr="00F06DE2" w:rsidRDefault="00D35E51" w:rsidP="0023657E">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Неподвижният и подвижният такелаж съответстват на изискванията за якост, изложени в членове 20.14 и 20.15.</w:t>
      </w:r>
    </w:p>
    <w:p w14:paraId="7446BF76" w14:textId="77777777" w:rsidR="00271FA2" w:rsidRPr="00F06DE2" w:rsidRDefault="00D35E51" w:rsidP="0023657E">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Свързващите стоманени кабели могат да бъдат във формата на:</w:t>
      </w:r>
    </w:p>
    <w:p w14:paraId="592C05C8" w14:textId="77777777" w:rsidR="00271FA2" w:rsidRPr="00F06DE2" w:rsidRDefault="00D35E51" w:rsidP="0023657E">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снадки;</w:t>
      </w:r>
    </w:p>
    <w:p w14:paraId="08E6BA6D" w14:textId="77777777" w:rsidR="00271FA2" w:rsidRPr="00F06DE2" w:rsidRDefault="00D35E51" w:rsidP="002365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запресоващи гилзи; или</w:t>
      </w:r>
    </w:p>
    <w:p w14:paraId="168AA93D" w14:textId="77777777" w:rsidR="00271FA2" w:rsidRPr="00F06DE2" w:rsidRDefault="00D35E51" w:rsidP="002365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в) уплътняващи муфи.</w:t>
      </w:r>
    </w:p>
    <w:p w14:paraId="608B4121" w14:textId="77777777" w:rsidR="00271FA2" w:rsidRPr="00F06DE2" w:rsidRDefault="00D35E51" w:rsidP="0023657E">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Снадките трябва да са клетневени, а краищата им — заплетени.</w:t>
      </w:r>
    </w:p>
    <w:p w14:paraId="594E8320" w14:textId="77777777" w:rsidR="00271FA2" w:rsidRPr="00F06DE2" w:rsidRDefault="00D35E51" w:rsidP="0023657E">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Гашите трябва да са с коуши.</w:t>
      </w:r>
    </w:p>
    <w:p w14:paraId="3409514C" w14:textId="5B30E08D" w:rsidR="00271FA2" w:rsidRPr="00F06DE2" w:rsidRDefault="00D35E51" w:rsidP="0023657E">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Въжетата се разполагат по такъв начин, че да не пречат на входовете и вътрешните трапове.</w:t>
      </w:r>
    </w:p>
    <w:p w14:paraId="7D237A4E" w14:textId="77777777" w:rsidR="0023657E" w:rsidRPr="00F06DE2" w:rsidRDefault="0023657E" w:rsidP="0023657E">
      <w:pPr>
        <w:pStyle w:val="ESch"/>
        <w:jc w:val="both"/>
        <w:rPr>
          <w:rFonts w:ascii="Times New Roman" w:hAnsi="Times New Roman" w:cs="Times New Roman"/>
          <w:lang w:val="ru-RU"/>
        </w:rPr>
      </w:pPr>
    </w:p>
    <w:p w14:paraId="64808EF3" w14:textId="77777777" w:rsidR="00271FA2" w:rsidRPr="00F06DE2" w:rsidRDefault="00D35E51" w:rsidP="0023657E">
      <w:pPr>
        <w:pStyle w:val="ES-Titre3"/>
        <w:tabs>
          <w:tab w:val="left" w:pos="567"/>
        </w:tabs>
        <w:spacing w:line="240" w:lineRule="atLeast"/>
        <w:rPr>
          <w:rFonts w:ascii="Times New Roman" w:hAnsi="Times New Roman" w:cs="Times New Roman"/>
          <w:i/>
          <w:sz w:val="24"/>
          <w:szCs w:val="24"/>
          <w:lang w:val="ru-RU"/>
        </w:rPr>
      </w:pPr>
      <w:bookmarkStart w:id="392" w:name="_Toc535827640"/>
      <w:bookmarkStart w:id="393" w:name="_Toc491854199"/>
      <w:r w:rsidRPr="00F06DE2">
        <w:rPr>
          <w:rFonts w:ascii="Times New Roman" w:hAnsi="Times New Roman" w:cs="Times New Roman"/>
          <w:sz w:val="24"/>
          <w:szCs w:val="24"/>
          <w:lang w:val="ru-RU"/>
        </w:rPr>
        <w:t>Член 20.14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разпоредби относно неподвижния такелаж</w:t>
      </w:r>
      <w:bookmarkEnd w:id="392"/>
      <w:bookmarkEnd w:id="393"/>
    </w:p>
    <w:p w14:paraId="32F8DEEA" w14:textId="77777777" w:rsidR="00271FA2" w:rsidRPr="00F06DE2" w:rsidRDefault="00D35E51">
      <w:pPr>
        <w:pStyle w:val="ESc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Форщаговете и вантите трябва да съответстват на следните минимални изисквания:</w:t>
      </w:r>
    </w:p>
    <w:tbl>
      <w:tblPr>
        <w:tblW w:w="0" w:type="auto"/>
        <w:jc w:val="center"/>
        <w:tblLayout w:type="fixed"/>
        <w:tblLook w:val="04A0" w:firstRow="1" w:lastRow="0" w:firstColumn="1" w:lastColumn="0" w:noHBand="0" w:noVBand="1"/>
      </w:tblPr>
      <w:tblGrid>
        <w:gridCol w:w="3343"/>
        <w:gridCol w:w="567"/>
        <w:gridCol w:w="567"/>
        <w:gridCol w:w="567"/>
        <w:gridCol w:w="567"/>
        <w:gridCol w:w="567"/>
        <w:gridCol w:w="567"/>
        <w:gridCol w:w="567"/>
        <w:gridCol w:w="567"/>
      </w:tblGrid>
      <w:tr w:rsidR="00271FA2" w:rsidRPr="00F06DE2" w14:paraId="3C685B68" w14:textId="77777777">
        <w:trPr>
          <w:cantSplit/>
          <w:jc w:val="center"/>
        </w:trPr>
        <w:tc>
          <w:tcPr>
            <w:tcW w:w="3343" w:type="dxa"/>
            <w:tcBorders>
              <w:top w:val="single" w:sz="2" w:space="0" w:color="auto"/>
              <w:left w:val="single" w:sz="2" w:space="0" w:color="auto"/>
              <w:bottom w:val="single" w:sz="2" w:space="0" w:color="auto"/>
              <w:right w:val="single" w:sz="2" w:space="0" w:color="auto"/>
            </w:tcBorders>
            <w:vAlign w:val="center"/>
          </w:tcPr>
          <w:p w14:paraId="108C7A4C"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Дължина на мачтата</w:t>
            </w:r>
            <w:r w:rsidRPr="00F06DE2">
              <w:rPr>
                <w:rStyle w:val="FootnoteReference"/>
                <w:rFonts w:ascii="Times New Roman" w:hAnsi="Times New Roman" w:cs="Times New Roman"/>
              </w:rPr>
              <w:footnoteReference w:id="19"/>
            </w:r>
            <w:r w:rsidRPr="00F06DE2">
              <w:rPr>
                <w:rFonts w:ascii="Times New Roman" w:hAnsi="Times New Roman" w:cs="Times New Roman"/>
              </w:rPr>
              <w:t xml:space="preserve"> [m]</w:t>
            </w:r>
          </w:p>
        </w:tc>
        <w:tc>
          <w:tcPr>
            <w:tcW w:w="567" w:type="dxa"/>
            <w:tcBorders>
              <w:top w:val="single" w:sz="2" w:space="0" w:color="auto"/>
              <w:left w:val="single" w:sz="2" w:space="0" w:color="auto"/>
              <w:bottom w:val="single" w:sz="2" w:space="0" w:color="auto"/>
              <w:right w:val="single" w:sz="2" w:space="0" w:color="auto"/>
            </w:tcBorders>
            <w:vAlign w:val="center"/>
          </w:tcPr>
          <w:p w14:paraId="783C6D6E"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11</w:t>
            </w:r>
          </w:p>
        </w:tc>
        <w:tc>
          <w:tcPr>
            <w:tcW w:w="567" w:type="dxa"/>
            <w:tcBorders>
              <w:top w:val="single" w:sz="2" w:space="0" w:color="auto"/>
              <w:left w:val="single" w:sz="2" w:space="0" w:color="auto"/>
              <w:bottom w:val="single" w:sz="2" w:space="0" w:color="auto"/>
              <w:right w:val="single" w:sz="2" w:space="0" w:color="auto"/>
            </w:tcBorders>
            <w:vAlign w:val="center"/>
          </w:tcPr>
          <w:p w14:paraId="413EFB2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12</w:t>
            </w:r>
          </w:p>
        </w:tc>
        <w:tc>
          <w:tcPr>
            <w:tcW w:w="567" w:type="dxa"/>
            <w:tcBorders>
              <w:top w:val="single" w:sz="2" w:space="0" w:color="auto"/>
              <w:left w:val="single" w:sz="2" w:space="0" w:color="auto"/>
              <w:bottom w:val="single" w:sz="2" w:space="0" w:color="auto"/>
              <w:right w:val="single" w:sz="2" w:space="0" w:color="auto"/>
            </w:tcBorders>
            <w:vAlign w:val="center"/>
          </w:tcPr>
          <w:p w14:paraId="28364AC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13</w:t>
            </w:r>
          </w:p>
        </w:tc>
        <w:tc>
          <w:tcPr>
            <w:tcW w:w="567" w:type="dxa"/>
            <w:tcBorders>
              <w:top w:val="single" w:sz="2" w:space="0" w:color="auto"/>
              <w:left w:val="single" w:sz="2" w:space="0" w:color="auto"/>
              <w:bottom w:val="single" w:sz="2" w:space="0" w:color="auto"/>
              <w:right w:val="single" w:sz="2" w:space="0" w:color="auto"/>
            </w:tcBorders>
            <w:vAlign w:val="center"/>
          </w:tcPr>
          <w:p w14:paraId="45E0A4C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14</w:t>
            </w:r>
          </w:p>
        </w:tc>
        <w:tc>
          <w:tcPr>
            <w:tcW w:w="567" w:type="dxa"/>
            <w:tcBorders>
              <w:top w:val="single" w:sz="2" w:space="0" w:color="auto"/>
              <w:left w:val="single" w:sz="2" w:space="0" w:color="auto"/>
              <w:bottom w:val="single" w:sz="2" w:space="0" w:color="auto"/>
              <w:right w:val="single" w:sz="2" w:space="0" w:color="auto"/>
            </w:tcBorders>
            <w:vAlign w:val="center"/>
          </w:tcPr>
          <w:p w14:paraId="561EBF0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15</w:t>
            </w:r>
          </w:p>
        </w:tc>
        <w:tc>
          <w:tcPr>
            <w:tcW w:w="567" w:type="dxa"/>
            <w:tcBorders>
              <w:top w:val="single" w:sz="2" w:space="0" w:color="auto"/>
              <w:left w:val="single" w:sz="2" w:space="0" w:color="auto"/>
              <w:bottom w:val="single" w:sz="2" w:space="0" w:color="auto"/>
              <w:right w:val="single" w:sz="2" w:space="0" w:color="auto"/>
            </w:tcBorders>
            <w:vAlign w:val="center"/>
          </w:tcPr>
          <w:p w14:paraId="74948EF1"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16</w:t>
            </w:r>
          </w:p>
        </w:tc>
        <w:tc>
          <w:tcPr>
            <w:tcW w:w="567" w:type="dxa"/>
            <w:tcBorders>
              <w:top w:val="single" w:sz="2" w:space="0" w:color="auto"/>
              <w:left w:val="single" w:sz="2" w:space="0" w:color="auto"/>
              <w:bottom w:val="single" w:sz="2" w:space="0" w:color="auto"/>
              <w:right w:val="single" w:sz="2" w:space="0" w:color="auto"/>
            </w:tcBorders>
            <w:vAlign w:val="center"/>
          </w:tcPr>
          <w:p w14:paraId="023CB45B"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17</w:t>
            </w:r>
          </w:p>
        </w:tc>
        <w:tc>
          <w:tcPr>
            <w:tcW w:w="567" w:type="dxa"/>
            <w:tcBorders>
              <w:top w:val="single" w:sz="2" w:space="0" w:color="auto"/>
              <w:left w:val="single" w:sz="2" w:space="0" w:color="auto"/>
              <w:bottom w:val="single" w:sz="2" w:space="0" w:color="auto"/>
              <w:right w:val="single" w:sz="2" w:space="0" w:color="auto"/>
            </w:tcBorders>
            <w:vAlign w:val="center"/>
          </w:tcPr>
          <w:p w14:paraId="6DDFC3D3"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18</w:t>
            </w:r>
          </w:p>
        </w:tc>
      </w:tr>
      <w:tr w:rsidR="00271FA2" w:rsidRPr="00F06DE2" w14:paraId="6FA7A149" w14:textId="77777777">
        <w:trPr>
          <w:cantSplit/>
          <w:jc w:val="center"/>
        </w:trPr>
        <w:tc>
          <w:tcPr>
            <w:tcW w:w="3343" w:type="dxa"/>
            <w:tcBorders>
              <w:top w:val="single" w:sz="2" w:space="0" w:color="auto"/>
              <w:left w:val="single" w:sz="2" w:space="0" w:color="auto"/>
              <w:bottom w:val="single" w:sz="2" w:space="0" w:color="auto"/>
              <w:right w:val="single" w:sz="2" w:space="0" w:color="auto"/>
            </w:tcBorders>
            <w:vAlign w:val="center"/>
          </w:tcPr>
          <w:p w14:paraId="0A8788F7" w14:textId="77777777" w:rsidR="00271FA2" w:rsidRPr="00F06DE2" w:rsidRDefault="00D35E51">
            <w:pPr>
              <w:pStyle w:val="NormalLeft"/>
              <w:spacing w:line="240" w:lineRule="atLeast"/>
              <w:rPr>
                <w:rFonts w:ascii="Times New Roman" w:hAnsi="Times New Roman" w:cs="Times New Roman"/>
                <w:lang w:val="ru-RU"/>
              </w:rPr>
            </w:pPr>
            <w:r w:rsidRPr="00F06DE2">
              <w:rPr>
                <w:rFonts w:ascii="Times New Roman" w:hAnsi="Times New Roman" w:cs="Times New Roman"/>
                <w:lang w:val="ru-RU"/>
              </w:rPr>
              <w:t>Якост на опън на форщага [</w:t>
            </w:r>
            <w:r w:rsidRPr="00F06DE2">
              <w:rPr>
                <w:rFonts w:ascii="Times New Roman" w:hAnsi="Times New Roman" w:cs="Times New Roman"/>
              </w:rPr>
              <w:t>kN</w:t>
            </w:r>
            <w:r w:rsidRPr="00F06DE2">
              <w:rPr>
                <w:rFonts w:ascii="Times New Roman" w:hAnsi="Times New Roman" w:cs="Times New Roman"/>
                <w:lang w:val="ru-RU"/>
              </w:rPr>
              <w:t>]</w:t>
            </w:r>
          </w:p>
        </w:tc>
        <w:tc>
          <w:tcPr>
            <w:tcW w:w="567" w:type="dxa"/>
            <w:tcBorders>
              <w:top w:val="single" w:sz="2" w:space="0" w:color="auto"/>
              <w:left w:val="single" w:sz="2" w:space="0" w:color="auto"/>
              <w:bottom w:val="single" w:sz="2" w:space="0" w:color="auto"/>
              <w:right w:val="single" w:sz="2" w:space="0" w:color="auto"/>
            </w:tcBorders>
            <w:vAlign w:val="center"/>
          </w:tcPr>
          <w:p w14:paraId="0C9E1997"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160</w:t>
            </w:r>
          </w:p>
        </w:tc>
        <w:tc>
          <w:tcPr>
            <w:tcW w:w="567" w:type="dxa"/>
            <w:tcBorders>
              <w:top w:val="single" w:sz="2" w:space="0" w:color="auto"/>
              <w:left w:val="single" w:sz="2" w:space="0" w:color="auto"/>
              <w:bottom w:val="single" w:sz="2" w:space="0" w:color="auto"/>
              <w:right w:val="single" w:sz="2" w:space="0" w:color="auto"/>
            </w:tcBorders>
            <w:vAlign w:val="center"/>
          </w:tcPr>
          <w:p w14:paraId="28486FA1"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172</w:t>
            </w:r>
          </w:p>
        </w:tc>
        <w:tc>
          <w:tcPr>
            <w:tcW w:w="567" w:type="dxa"/>
            <w:tcBorders>
              <w:top w:val="single" w:sz="2" w:space="0" w:color="auto"/>
              <w:left w:val="single" w:sz="2" w:space="0" w:color="auto"/>
              <w:bottom w:val="single" w:sz="2" w:space="0" w:color="auto"/>
              <w:right w:val="single" w:sz="2" w:space="0" w:color="auto"/>
            </w:tcBorders>
            <w:vAlign w:val="center"/>
          </w:tcPr>
          <w:p w14:paraId="7DEF28A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185</w:t>
            </w:r>
          </w:p>
        </w:tc>
        <w:tc>
          <w:tcPr>
            <w:tcW w:w="567" w:type="dxa"/>
            <w:tcBorders>
              <w:top w:val="single" w:sz="2" w:space="0" w:color="auto"/>
              <w:left w:val="single" w:sz="2" w:space="0" w:color="auto"/>
              <w:bottom w:val="single" w:sz="2" w:space="0" w:color="auto"/>
              <w:right w:val="single" w:sz="2" w:space="0" w:color="auto"/>
            </w:tcBorders>
            <w:vAlign w:val="center"/>
          </w:tcPr>
          <w:p w14:paraId="5AF8C06D"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200</w:t>
            </w:r>
          </w:p>
        </w:tc>
        <w:tc>
          <w:tcPr>
            <w:tcW w:w="567" w:type="dxa"/>
            <w:tcBorders>
              <w:top w:val="single" w:sz="2" w:space="0" w:color="auto"/>
              <w:left w:val="single" w:sz="2" w:space="0" w:color="auto"/>
              <w:bottom w:val="single" w:sz="2" w:space="0" w:color="auto"/>
              <w:right w:val="single" w:sz="2" w:space="0" w:color="auto"/>
            </w:tcBorders>
            <w:vAlign w:val="center"/>
          </w:tcPr>
          <w:p w14:paraId="13FB035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220</w:t>
            </w:r>
          </w:p>
        </w:tc>
        <w:tc>
          <w:tcPr>
            <w:tcW w:w="567" w:type="dxa"/>
            <w:tcBorders>
              <w:top w:val="single" w:sz="2" w:space="0" w:color="auto"/>
              <w:left w:val="single" w:sz="2" w:space="0" w:color="auto"/>
              <w:bottom w:val="single" w:sz="2" w:space="0" w:color="auto"/>
              <w:right w:val="single" w:sz="2" w:space="0" w:color="auto"/>
            </w:tcBorders>
            <w:vAlign w:val="center"/>
          </w:tcPr>
          <w:p w14:paraId="1FBD0AF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244</w:t>
            </w:r>
          </w:p>
        </w:tc>
        <w:tc>
          <w:tcPr>
            <w:tcW w:w="567" w:type="dxa"/>
            <w:tcBorders>
              <w:top w:val="single" w:sz="2" w:space="0" w:color="auto"/>
              <w:left w:val="single" w:sz="2" w:space="0" w:color="auto"/>
              <w:bottom w:val="single" w:sz="2" w:space="0" w:color="auto"/>
              <w:right w:val="single" w:sz="2" w:space="0" w:color="auto"/>
            </w:tcBorders>
            <w:vAlign w:val="center"/>
          </w:tcPr>
          <w:p w14:paraId="325A42BB"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269</w:t>
            </w:r>
          </w:p>
        </w:tc>
        <w:tc>
          <w:tcPr>
            <w:tcW w:w="567" w:type="dxa"/>
            <w:tcBorders>
              <w:top w:val="single" w:sz="2" w:space="0" w:color="auto"/>
              <w:left w:val="single" w:sz="2" w:space="0" w:color="auto"/>
              <w:bottom w:val="single" w:sz="2" w:space="0" w:color="auto"/>
              <w:right w:val="single" w:sz="2" w:space="0" w:color="auto"/>
            </w:tcBorders>
            <w:vAlign w:val="center"/>
          </w:tcPr>
          <w:p w14:paraId="4BBEBEB9"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294</w:t>
            </w:r>
          </w:p>
        </w:tc>
      </w:tr>
      <w:tr w:rsidR="00271FA2" w:rsidRPr="00F06DE2" w14:paraId="0D29C362" w14:textId="77777777">
        <w:trPr>
          <w:cantSplit/>
          <w:jc w:val="center"/>
        </w:trPr>
        <w:tc>
          <w:tcPr>
            <w:tcW w:w="3343" w:type="dxa"/>
            <w:tcBorders>
              <w:top w:val="single" w:sz="2" w:space="0" w:color="auto"/>
              <w:left w:val="single" w:sz="2" w:space="0" w:color="auto"/>
              <w:bottom w:val="single" w:sz="2" w:space="0" w:color="auto"/>
              <w:right w:val="single" w:sz="2" w:space="0" w:color="auto"/>
            </w:tcBorders>
            <w:vAlign w:val="center"/>
          </w:tcPr>
          <w:p w14:paraId="0CE364CF" w14:textId="77777777" w:rsidR="00271FA2" w:rsidRPr="00F06DE2" w:rsidRDefault="00D35E51">
            <w:pPr>
              <w:pStyle w:val="NormalLeft"/>
              <w:spacing w:line="240" w:lineRule="atLeast"/>
              <w:rPr>
                <w:rFonts w:ascii="Times New Roman" w:hAnsi="Times New Roman" w:cs="Times New Roman"/>
                <w:lang w:val="ru-RU"/>
              </w:rPr>
            </w:pPr>
            <w:r w:rsidRPr="00F06DE2">
              <w:rPr>
                <w:rFonts w:ascii="Times New Roman" w:hAnsi="Times New Roman" w:cs="Times New Roman"/>
                <w:lang w:val="ru-RU"/>
              </w:rPr>
              <w:t>Якост на опън на вантите [</w:t>
            </w:r>
            <w:r w:rsidRPr="00F06DE2">
              <w:rPr>
                <w:rFonts w:ascii="Times New Roman" w:hAnsi="Times New Roman" w:cs="Times New Roman"/>
              </w:rPr>
              <w:t>kN</w:t>
            </w:r>
            <w:r w:rsidRPr="00F06DE2">
              <w:rPr>
                <w:rFonts w:ascii="Times New Roman" w:hAnsi="Times New Roman" w:cs="Times New Roman"/>
                <w:lang w:val="ru-RU"/>
              </w:rPr>
              <w:t>]</w:t>
            </w:r>
          </w:p>
        </w:tc>
        <w:tc>
          <w:tcPr>
            <w:tcW w:w="567" w:type="dxa"/>
            <w:tcBorders>
              <w:top w:val="single" w:sz="2" w:space="0" w:color="auto"/>
              <w:left w:val="single" w:sz="2" w:space="0" w:color="auto"/>
              <w:bottom w:val="single" w:sz="2" w:space="0" w:color="auto"/>
              <w:right w:val="single" w:sz="2" w:space="0" w:color="auto"/>
            </w:tcBorders>
            <w:vAlign w:val="center"/>
          </w:tcPr>
          <w:p w14:paraId="0A9F134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355</w:t>
            </w:r>
          </w:p>
        </w:tc>
        <w:tc>
          <w:tcPr>
            <w:tcW w:w="567" w:type="dxa"/>
            <w:tcBorders>
              <w:top w:val="single" w:sz="2" w:space="0" w:color="auto"/>
              <w:left w:val="single" w:sz="2" w:space="0" w:color="auto"/>
              <w:bottom w:val="single" w:sz="2" w:space="0" w:color="auto"/>
              <w:right w:val="single" w:sz="2" w:space="0" w:color="auto"/>
            </w:tcBorders>
            <w:vAlign w:val="center"/>
          </w:tcPr>
          <w:p w14:paraId="13B30F24"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415</w:t>
            </w:r>
          </w:p>
        </w:tc>
        <w:tc>
          <w:tcPr>
            <w:tcW w:w="567" w:type="dxa"/>
            <w:tcBorders>
              <w:top w:val="single" w:sz="2" w:space="0" w:color="auto"/>
              <w:left w:val="single" w:sz="2" w:space="0" w:color="auto"/>
              <w:bottom w:val="single" w:sz="2" w:space="0" w:color="auto"/>
              <w:right w:val="single" w:sz="2" w:space="0" w:color="auto"/>
            </w:tcBorders>
            <w:vAlign w:val="center"/>
          </w:tcPr>
          <w:p w14:paraId="5758A015"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450</w:t>
            </w:r>
          </w:p>
        </w:tc>
        <w:tc>
          <w:tcPr>
            <w:tcW w:w="567" w:type="dxa"/>
            <w:tcBorders>
              <w:top w:val="single" w:sz="2" w:space="0" w:color="auto"/>
              <w:left w:val="single" w:sz="2" w:space="0" w:color="auto"/>
              <w:bottom w:val="single" w:sz="2" w:space="0" w:color="auto"/>
              <w:right w:val="single" w:sz="2" w:space="0" w:color="auto"/>
            </w:tcBorders>
            <w:vAlign w:val="center"/>
          </w:tcPr>
          <w:p w14:paraId="7E0234D2"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485</w:t>
            </w:r>
          </w:p>
        </w:tc>
        <w:tc>
          <w:tcPr>
            <w:tcW w:w="567" w:type="dxa"/>
            <w:tcBorders>
              <w:top w:val="single" w:sz="2" w:space="0" w:color="auto"/>
              <w:left w:val="single" w:sz="2" w:space="0" w:color="auto"/>
              <w:bottom w:val="single" w:sz="2" w:space="0" w:color="auto"/>
              <w:right w:val="single" w:sz="2" w:space="0" w:color="auto"/>
            </w:tcBorders>
            <w:vAlign w:val="center"/>
          </w:tcPr>
          <w:p w14:paraId="35B14B69"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525</w:t>
            </w:r>
          </w:p>
        </w:tc>
        <w:tc>
          <w:tcPr>
            <w:tcW w:w="567" w:type="dxa"/>
            <w:tcBorders>
              <w:top w:val="single" w:sz="2" w:space="0" w:color="auto"/>
              <w:left w:val="single" w:sz="2" w:space="0" w:color="auto"/>
              <w:bottom w:val="single" w:sz="2" w:space="0" w:color="auto"/>
              <w:right w:val="single" w:sz="2" w:space="0" w:color="auto"/>
            </w:tcBorders>
            <w:vAlign w:val="center"/>
          </w:tcPr>
          <w:p w14:paraId="6DA6BD01"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540</w:t>
            </w:r>
          </w:p>
        </w:tc>
        <w:tc>
          <w:tcPr>
            <w:tcW w:w="567" w:type="dxa"/>
            <w:tcBorders>
              <w:top w:val="single" w:sz="2" w:space="0" w:color="auto"/>
              <w:left w:val="single" w:sz="2" w:space="0" w:color="auto"/>
              <w:bottom w:val="single" w:sz="2" w:space="0" w:color="auto"/>
              <w:right w:val="single" w:sz="2" w:space="0" w:color="auto"/>
            </w:tcBorders>
            <w:vAlign w:val="center"/>
          </w:tcPr>
          <w:p w14:paraId="30ADC29B"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630</w:t>
            </w:r>
          </w:p>
        </w:tc>
        <w:tc>
          <w:tcPr>
            <w:tcW w:w="567" w:type="dxa"/>
            <w:tcBorders>
              <w:top w:val="single" w:sz="2" w:space="0" w:color="auto"/>
              <w:left w:val="single" w:sz="2" w:space="0" w:color="auto"/>
              <w:bottom w:val="single" w:sz="2" w:space="0" w:color="auto"/>
              <w:right w:val="single" w:sz="2" w:space="0" w:color="auto"/>
            </w:tcBorders>
            <w:vAlign w:val="center"/>
          </w:tcPr>
          <w:p w14:paraId="150F75E0"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720</w:t>
            </w:r>
          </w:p>
        </w:tc>
      </w:tr>
      <w:tr w:rsidR="00271FA2" w:rsidRPr="00F06DE2" w14:paraId="32089D5D" w14:textId="77777777">
        <w:trPr>
          <w:cantSplit/>
          <w:jc w:val="center"/>
        </w:trPr>
        <w:tc>
          <w:tcPr>
            <w:tcW w:w="3343" w:type="dxa"/>
            <w:tcBorders>
              <w:top w:val="single" w:sz="2" w:space="0" w:color="auto"/>
              <w:left w:val="single" w:sz="2" w:space="0" w:color="auto"/>
              <w:bottom w:val="single" w:sz="2" w:space="0" w:color="auto"/>
              <w:right w:val="single" w:sz="2" w:space="0" w:color="auto"/>
            </w:tcBorders>
            <w:vAlign w:val="center"/>
          </w:tcPr>
          <w:p w14:paraId="16393223" w14:textId="77777777" w:rsidR="00271FA2" w:rsidRPr="00F06DE2" w:rsidRDefault="00D35E51">
            <w:pPr>
              <w:pStyle w:val="NormalLeft"/>
              <w:spacing w:line="240" w:lineRule="atLeast"/>
              <w:rPr>
                <w:rFonts w:ascii="Times New Roman" w:hAnsi="Times New Roman" w:cs="Times New Roman"/>
                <w:lang w:val="ru-RU"/>
              </w:rPr>
            </w:pPr>
            <w:r w:rsidRPr="00F06DE2">
              <w:rPr>
                <w:rFonts w:ascii="Times New Roman" w:hAnsi="Times New Roman" w:cs="Times New Roman"/>
                <w:lang w:val="ru-RU"/>
              </w:rPr>
              <w:t>Брой стоманени и нестоманени ванти от всяка страна</w:t>
            </w:r>
          </w:p>
        </w:tc>
        <w:tc>
          <w:tcPr>
            <w:tcW w:w="567" w:type="dxa"/>
            <w:tcBorders>
              <w:top w:val="single" w:sz="2" w:space="0" w:color="auto"/>
              <w:left w:val="single" w:sz="2" w:space="0" w:color="auto"/>
              <w:bottom w:val="single" w:sz="2" w:space="0" w:color="auto"/>
              <w:right w:val="single" w:sz="2" w:space="0" w:color="auto"/>
            </w:tcBorders>
            <w:vAlign w:val="center"/>
          </w:tcPr>
          <w:p w14:paraId="2B4530A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w:t>
            </w:r>
          </w:p>
        </w:tc>
        <w:tc>
          <w:tcPr>
            <w:tcW w:w="567" w:type="dxa"/>
            <w:tcBorders>
              <w:top w:val="single" w:sz="2" w:space="0" w:color="auto"/>
              <w:left w:val="single" w:sz="2" w:space="0" w:color="auto"/>
              <w:bottom w:val="single" w:sz="2" w:space="0" w:color="auto"/>
              <w:right w:val="single" w:sz="2" w:space="0" w:color="auto"/>
            </w:tcBorders>
            <w:vAlign w:val="center"/>
          </w:tcPr>
          <w:p w14:paraId="1868122B"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w:t>
            </w:r>
          </w:p>
        </w:tc>
        <w:tc>
          <w:tcPr>
            <w:tcW w:w="567" w:type="dxa"/>
            <w:tcBorders>
              <w:top w:val="single" w:sz="2" w:space="0" w:color="auto"/>
              <w:left w:val="single" w:sz="2" w:space="0" w:color="auto"/>
              <w:bottom w:val="single" w:sz="2" w:space="0" w:color="auto"/>
              <w:right w:val="single" w:sz="2" w:space="0" w:color="auto"/>
            </w:tcBorders>
            <w:vAlign w:val="center"/>
          </w:tcPr>
          <w:p w14:paraId="6B8DC87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w:t>
            </w:r>
          </w:p>
        </w:tc>
        <w:tc>
          <w:tcPr>
            <w:tcW w:w="567" w:type="dxa"/>
            <w:tcBorders>
              <w:top w:val="single" w:sz="2" w:space="0" w:color="auto"/>
              <w:left w:val="single" w:sz="2" w:space="0" w:color="auto"/>
              <w:bottom w:val="single" w:sz="2" w:space="0" w:color="auto"/>
              <w:right w:val="single" w:sz="2" w:space="0" w:color="auto"/>
            </w:tcBorders>
            <w:vAlign w:val="center"/>
          </w:tcPr>
          <w:p w14:paraId="395197E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w:t>
            </w:r>
          </w:p>
        </w:tc>
        <w:tc>
          <w:tcPr>
            <w:tcW w:w="567" w:type="dxa"/>
            <w:tcBorders>
              <w:top w:val="single" w:sz="2" w:space="0" w:color="auto"/>
              <w:left w:val="single" w:sz="2" w:space="0" w:color="auto"/>
              <w:bottom w:val="single" w:sz="2" w:space="0" w:color="auto"/>
              <w:right w:val="single" w:sz="2" w:space="0" w:color="auto"/>
            </w:tcBorders>
            <w:vAlign w:val="center"/>
          </w:tcPr>
          <w:p w14:paraId="0A3DB584"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w:t>
            </w:r>
          </w:p>
        </w:tc>
        <w:tc>
          <w:tcPr>
            <w:tcW w:w="567" w:type="dxa"/>
            <w:tcBorders>
              <w:top w:val="single" w:sz="2" w:space="0" w:color="auto"/>
              <w:left w:val="single" w:sz="2" w:space="0" w:color="auto"/>
              <w:bottom w:val="single" w:sz="2" w:space="0" w:color="auto"/>
              <w:right w:val="single" w:sz="2" w:space="0" w:color="auto"/>
            </w:tcBorders>
            <w:vAlign w:val="center"/>
          </w:tcPr>
          <w:p w14:paraId="7C6943B2"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3</w:t>
            </w:r>
          </w:p>
        </w:tc>
        <w:tc>
          <w:tcPr>
            <w:tcW w:w="567" w:type="dxa"/>
            <w:tcBorders>
              <w:top w:val="single" w:sz="2" w:space="0" w:color="auto"/>
              <w:left w:val="single" w:sz="2" w:space="0" w:color="auto"/>
              <w:bottom w:val="single" w:sz="2" w:space="0" w:color="auto"/>
              <w:right w:val="single" w:sz="2" w:space="0" w:color="auto"/>
            </w:tcBorders>
            <w:vAlign w:val="center"/>
          </w:tcPr>
          <w:p w14:paraId="6D56ED1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4</w:t>
            </w:r>
          </w:p>
        </w:tc>
        <w:tc>
          <w:tcPr>
            <w:tcW w:w="567" w:type="dxa"/>
            <w:tcBorders>
              <w:top w:val="single" w:sz="2" w:space="0" w:color="auto"/>
              <w:left w:val="single" w:sz="2" w:space="0" w:color="auto"/>
              <w:bottom w:val="single" w:sz="2" w:space="0" w:color="auto"/>
              <w:right w:val="single" w:sz="2" w:space="0" w:color="auto"/>
            </w:tcBorders>
            <w:vAlign w:val="center"/>
          </w:tcPr>
          <w:p w14:paraId="3AD254B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4</w:t>
            </w:r>
          </w:p>
        </w:tc>
      </w:tr>
    </w:tbl>
    <w:p w14:paraId="343FC2DC" w14:textId="46F8E2C0" w:rsidR="00271FA2" w:rsidRPr="00F06DE2" w:rsidRDefault="00271FA2">
      <w:pPr>
        <w:spacing w:line="240" w:lineRule="atLeast"/>
        <w:rPr>
          <w:rFonts w:ascii="Times New Roman" w:hAnsi="Times New Roman" w:cs="Times New Roman"/>
        </w:rPr>
      </w:pPr>
    </w:p>
    <w:p w14:paraId="0D23458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Бакщаговете, стенгите, кливер-щаговете, и вантите на утлегарите и бушприта трябва да съответстват на следните минимални изисквания:</w:t>
      </w:r>
    </w:p>
    <w:tbl>
      <w:tblPr>
        <w:tblW w:w="0" w:type="auto"/>
        <w:jc w:val="center"/>
        <w:tblLayout w:type="fixed"/>
        <w:tblLook w:val="04A0" w:firstRow="1" w:lastRow="0" w:firstColumn="1" w:lastColumn="0" w:noHBand="0" w:noVBand="1"/>
      </w:tblPr>
      <w:tblGrid>
        <w:gridCol w:w="5023"/>
        <w:gridCol w:w="737"/>
        <w:gridCol w:w="737"/>
        <w:gridCol w:w="1297"/>
      </w:tblGrid>
      <w:tr w:rsidR="00271FA2" w:rsidRPr="00F06DE2" w14:paraId="7B0E9B4B" w14:textId="77777777" w:rsidTr="00CD133D">
        <w:trPr>
          <w:cantSplit/>
          <w:jc w:val="center"/>
        </w:trPr>
        <w:tc>
          <w:tcPr>
            <w:tcW w:w="5023" w:type="dxa"/>
            <w:tcBorders>
              <w:top w:val="single" w:sz="2" w:space="0" w:color="auto"/>
              <w:left w:val="single" w:sz="2" w:space="0" w:color="auto"/>
              <w:bottom w:val="single" w:sz="2" w:space="0" w:color="auto"/>
              <w:right w:val="single" w:sz="2" w:space="0" w:color="auto"/>
            </w:tcBorders>
            <w:vAlign w:val="center"/>
          </w:tcPr>
          <w:p w14:paraId="1D2FB440"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Дължина на мачтата</w:t>
            </w:r>
            <w:r w:rsidRPr="00F06DE2">
              <w:rPr>
                <w:rStyle w:val="FootnoteReference"/>
                <w:rFonts w:ascii="Times New Roman" w:hAnsi="Times New Roman" w:cs="Times New Roman"/>
              </w:rPr>
              <w:footnoteReference w:id="20"/>
            </w:r>
            <w:r w:rsidRPr="00F06DE2">
              <w:rPr>
                <w:rFonts w:ascii="Times New Roman" w:hAnsi="Times New Roman" w:cs="Times New Roman"/>
              </w:rPr>
              <w:t xml:space="preserve"> [m]</w:t>
            </w:r>
          </w:p>
        </w:tc>
        <w:tc>
          <w:tcPr>
            <w:tcW w:w="737" w:type="dxa"/>
            <w:tcBorders>
              <w:top w:val="single" w:sz="2" w:space="0" w:color="auto"/>
              <w:left w:val="single" w:sz="2" w:space="0" w:color="auto"/>
              <w:bottom w:val="single" w:sz="2" w:space="0" w:color="auto"/>
              <w:right w:val="single" w:sz="2" w:space="0" w:color="auto"/>
            </w:tcBorders>
            <w:vAlign w:val="center"/>
          </w:tcPr>
          <w:p w14:paraId="4A22AB0E"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&lt;13</w:t>
            </w:r>
          </w:p>
        </w:tc>
        <w:tc>
          <w:tcPr>
            <w:tcW w:w="737" w:type="dxa"/>
            <w:tcBorders>
              <w:top w:val="single" w:sz="2" w:space="0" w:color="auto"/>
              <w:left w:val="single" w:sz="2" w:space="0" w:color="auto"/>
              <w:bottom w:val="single" w:sz="2" w:space="0" w:color="auto"/>
              <w:right w:val="single" w:sz="2" w:space="0" w:color="auto"/>
            </w:tcBorders>
            <w:vAlign w:val="center"/>
          </w:tcPr>
          <w:p w14:paraId="2F090D9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13-18</w:t>
            </w:r>
          </w:p>
        </w:tc>
        <w:tc>
          <w:tcPr>
            <w:tcW w:w="1297" w:type="dxa"/>
            <w:tcBorders>
              <w:top w:val="single" w:sz="2" w:space="0" w:color="auto"/>
              <w:left w:val="single" w:sz="2" w:space="0" w:color="auto"/>
              <w:bottom w:val="single" w:sz="2" w:space="0" w:color="auto"/>
              <w:right w:val="single" w:sz="2" w:space="0" w:color="auto"/>
            </w:tcBorders>
            <w:vAlign w:val="center"/>
          </w:tcPr>
          <w:p w14:paraId="095ACA46"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&gt;18</w:t>
            </w:r>
          </w:p>
        </w:tc>
      </w:tr>
      <w:tr w:rsidR="00271FA2" w:rsidRPr="00F06DE2" w14:paraId="6108A59A" w14:textId="77777777" w:rsidTr="00CD133D">
        <w:trPr>
          <w:cantSplit/>
          <w:jc w:val="center"/>
        </w:trPr>
        <w:tc>
          <w:tcPr>
            <w:tcW w:w="5023" w:type="dxa"/>
            <w:tcBorders>
              <w:top w:val="single" w:sz="2" w:space="0" w:color="auto"/>
              <w:left w:val="single" w:sz="2" w:space="0" w:color="auto"/>
              <w:bottom w:val="single" w:sz="2" w:space="0" w:color="auto"/>
              <w:right w:val="single" w:sz="2" w:space="0" w:color="auto"/>
            </w:tcBorders>
            <w:vAlign w:val="center"/>
          </w:tcPr>
          <w:p w14:paraId="7A689177" w14:textId="77777777" w:rsidR="00271FA2" w:rsidRPr="00F06DE2" w:rsidRDefault="00D35E51">
            <w:pPr>
              <w:pStyle w:val="NormalLeft"/>
              <w:spacing w:line="240" w:lineRule="atLeast"/>
              <w:rPr>
                <w:rFonts w:ascii="Times New Roman" w:hAnsi="Times New Roman" w:cs="Times New Roman"/>
                <w:lang w:val="ru-RU"/>
              </w:rPr>
            </w:pPr>
            <w:r w:rsidRPr="00F06DE2">
              <w:rPr>
                <w:rFonts w:ascii="Times New Roman" w:hAnsi="Times New Roman" w:cs="Times New Roman"/>
                <w:lang w:val="ru-RU"/>
              </w:rPr>
              <w:t>Якост на опън на бакщага [</w:t>
            </w:r>
            <w:r w:rsidRPr="00F06DE2">
              <w:rPr>
                <w:rFonts w:ascii="Times New Roman" w:hAnsi="Times New Roman" w:cs="Times New Roman"/>
              </w:rPr>
              <w:t>kN</w:t>
            </w:r>
            <w:r w:rsidRPr="00F06DE2">
              <w:rPr>
                <w:rFonts w:ascii="Times New Roman" w:hAnsi="Times New Roman" w:cs="Times New Roman"/>
                <w:lang w:val="ru-RU"/>
              </w:rPr>
              <w:t>]</w:t>
            </w:r>
          </w:p>
        </w:tc>
        <w:tc>
          <w:tcPr>
            <w:tcW w:w="737" w:type="dxa"/>
            <w:tcBorders>
              <w:top w:val="single" w:sz="2" w:space="0" w:color="auto"/>
              <w:left w:val="single" w:sz="2" w:space="0" w:color="auto"/>
              <w:bottom w:val="single" w:sz="2" w:space="0" w:color="auto"/>
              <w:right w:val="single" w:sz="2" w:space="0" w:color="auto"/>
            </w:tcBorders>
            <w:vAlign w:val="center"/>
          </w:tcPr>
          <w:p w14:paraId="18A180F0"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89</w:t>
            </w:r>
          </w:p>
        </w:tc>
        <w:tc>
          <w:tcPr>
            <w:tcW w:w="737" w:type="dxa"/>
            <w:tcBorders>
              <w:top w:val="single" w:sz="2" w:space="0" w:color="auto"/>
              <w:left w:val="single" w:sz="2" w:space="0" w:color="auto"/>
              <w:bottom w:val="single" w:sz="2" w:space="0" w:color="auto"/>
              <w:right w:val="single" w:sz="2" w:space="0" w:color="auto"/>
            </w:tcBorders>
            <w:vAlign w:val="center"/>
          </w:tcPr>
          <w:p w14:paraId="06DC30A9"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119</w:t>
            </w:r>
          </w:p>
        </w:tc>
        <w:tc>
          <w:tcPr>
            <w:tcW w:w="1297" w:type="dxa"/>
            <w:tcBorders>
              <w:top w:val="single" w:sz="2" w:space="0" w:color="auto"/>
              <w:left w:val="single" w:sz="2" w:space="0" w:color="auto"/>
              <w:bottom w:val="single" w:sz="2" w:space="0" w:color="auto"/>
              <w:right w:val="single" w:sz="2" w:space="0" w:color="auto"/>
            </w:tcBorders>
            <w:vAlign w:val="center"/>
          </w:tcPr>
          <w:p w14:paraId="48438315"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159</w:t>
            </w:r>
          </w:p>
        </w:tc>
      </w:tr>
      <w:tr w:rsidR="00271FA2" w:rsidRPr="00F06DE2" w14:paraId="5F15ECF0" w14:textId="77777777" w:rsidTr="00CD133D">
        <w:trPr>
          <w:cantSplit/>
          <w:jc w:val="center"/>
        </w:trPr>
        <w:tc>
          <w:tcPr>
            <w:tcW w:w="5023" w:type="dxa"/>
            <w:tcBorders>
              <w:top w:val="single" w:sz="2" w:space="0" w:color="auto"/>
              <w:left w:val="single" w:sz="2" w:space="0" w:color="auto"/>
              <w:bottom w:val="single" w:sz="2" w:space="0" w:color="auto"/>
              <w:right w:val="single" w:sz="2" w:space="0" w:color="auto"/>
            </w:tcBorders>
            <w:vAlign w:val="center"/>
          </w:tcPr>
          <w:p w14:paraId="23C5F125" w14:textId="77777777" w:rsidR="00271FA2" w:rsidRPr="00F06DE2" w:rsidRDefault="00D35E51">
            <w:pPr>
              <w:pStyle w:val="NormalLeft"/>
              <w:spacing w:line="240" w:lineRule="atLeast"/>
              <w:rPr>
                <w:rFonts w:ascii="Times New Roman" w:hAnsi="Times New Roman" w:cs="Times New Roman"/>
                <w:lang w:val="ru-RU"/>
              </w:rPr>
            </w:pPr>
            <w:r w:rsidRPr="00F06DE2">
              <w:rPr>
                <w:rFonts w:ascii="Times New Roman" w:hAnsi="Times New Roman" w:cs="Times New Roman"/>
                <w:lang w:val="ru-RU"/>
              </w:rPr>
              <w:t>Якост на опън на стенгата [</w:t>
            </w:r>
            <w:r w:rsidRPr="00F06DE2">
              <w:rPr>
                <w:rFonts w:ascii="Times New Roman" w:hAnsi="Times New Roman" w:cs="Times New Roman"/>
              </w:rPr>
              <w:t>kN</w:t>
            </w:r>
            <w:r w:rsidRPr="00F06DE2">
              <w:rPr>
                <w:rFonts w:ascii="Times New Roman" w:hAnsi="Times New Roman" w:cs="Times New Roman"/>
                <w:lang w:val="ru-RU"/>
              </w:rPr>
              <w:t>]</w:t>
            </w:r>
          </w:p>
        </w:tc>
        <w:tc>
          <w:tcPr>
            <w:tcW w:w="737" w:type="dxa"/>
            <w:tcBorders>
              <w:top w:val="single" w:sz="2" w:space="0" w:color="auto"/>
              <w:left w:val="single" w:sz="2" w:space="0" w:color="auto"/>
              <w:bottom w:val="single" w:sz="2" w:space="0" w:color="auto"/>
              <w:right w:val="single" w:sz="2" w:space="0" w:color="auto"/>
            </w:tcBorders>
            <w:vAlign w:val="center"/>
          </w:tcPr>
          <w:p w14:paraId="7BC0D701"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89</w:t>
            </w:r>
          </w:p>
        </w:tc>
        <w:tc>
          <w:tcPr>
            <w:tcW w:w="737" w:type="dxa"/>
            <w:tcBorders>
              <w:top w:val="single" w:sz="2" w:space="0" w:color="auto"/>
              <w:left w:val="single" w:sz="2" w:space="0" w:color="auto"/>
              <w:bottom w:val="single" w:sz="2" w:space="0" w:color="auto"/>
              <w:right w:val="single" w:sz="2" w:space="0" w:color="auto"/>
            </w:tcBorders>
            <w:vAlign w:val="center"/>
          </w:tcPr>
          <w:p w14:paraId="300534E7"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119</w:t>
            </w:r>
          </w:p>
        </w:tc>
        <w:tc>
          <w:tcPr>
            <w:tcW w:w="1297" w:type="dxa"/>
            <w:tcBorders>
              <w:top w:val="single" w:sz="2" w:space="0" w:color="auto"/>
              <w:left w:val="single" w:sz="2" w:space="0" w:color="auto"/>
              <w:bottom w:val="single" w:sz="2" w:space="0" w:color="auto"/>
              <w:right w:val="single" w:sz="2" w:space="0" w:color="auto"/>
            </w:tcBorders>
            <w:vAlign w:val="center"/>
          </w:tcPr>
          <w:p w14:paraId="52CB5F5A"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159</w:t>
            </w:r>
          </w:p>
        </w:tc>
      </w:tr>
      <w:tr w:rsidR="00271FA2" w:rsidRPr="00F06DE2" w14:paraId="53EAA59B" w14:textId="77777777" w:rsidTr="00CD133D">
        <w:trPr>
          <w:cantSplit/>
          <w:jc w:val="center"/>
        </w:trPr>
        <w:tc>
          <w:tcPr>
            <w:tcW w:w="5023" w:type="dxa"/>
            <w:tcBorders>
              <w:top w:val="single" w:sz="2" w:space="0" w:color="auto"/>
              <w:left w:val="single" w:sz="2" w:space="0" w:color="auto"/>
              <w:bottom w:val="single" w:sz="2" w:space="0" w:color="auto"/>
              <w:right w:val="single" w:sz="2" w:space="0" w:color="auto"/>
            </w:tcBorders>
            <w:vAlign w:val="center"/>
          </w:tcPr>
          <w:p w14:paraId="672FACF2"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Дължина на стенгата [m]</w:t>
            </w:r>
          </w:p>
        </w:tc>
        <w:tc>
          <w:tcPr>
            <w:tcW w:w="737" w:type="dxa"/>
            <w:tcBorders>
              <w:top w:val="single" w:sz="2" w:space="0" w:color="auto"/>
              <w:left w:val="single" w:sz="2" w:space="0" w:color="auto"/>
              <w:bottom w:val="single" w:sz="2" w:space="0" w:color="auto"/>
              <w:right w:val="single" w:sz="2" w:space="0" w:color="auto"/>
            </w:tcBorders>
            <w:vAlign w:val="center"/>
          </w:tcPr>
          <w:p w14:paraId="2B0AA020"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&lt;6</w:t>
            </w:r>
          </w:p>
        </w:tc>
        <w:tc>
          <w:tcPr>
            <w:tcW w:w="737" w:type="dxa"/>
            <w:tcBorders>
              <w:top w:val="single" w:sz="2" w:space="0" w:color="auto"/>
              <w:left w:val="single" w:sz="2" w:space="0" w:color="auto"/>
              <w:bottom w:val="single" w:sz="2" w:space="0" w:color="auto"/>
              <w:right w:val="single" w:sz="2" w:space="0" w:color="auto"/>
            </w:tcBorders>
            <w:vAlign w:val="center"/>
          </w:tcPr>
          <w:p w14:paraId="51ADA7CB"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6-8</w:t>
            </w:r>
          </w:p>
        </w:tc>
        <w:tc>
          <w:tcPr>
            <w:tcW w:w="1297" w:type="dxa"/>
            <w:tcBorders>
              <w:top w:val="single" w:sz="2" w:space="0" w:color="auto"/>
              <w:left w:val="single" w:sz="2" w:space="0" w:color="auto"/>
              <w:bottom w:val="single" w:sz="2" w:space="0" w:color="auto"/>
              <w:right w:val="single" w:sz="2" w:space="0" w:color="auto"/>
            </w:tcBorders>
            <w:vAlign w:val="center"/>
          </w:tcPr>
          <w:p w14:paraId="0E0AEB1E"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&gt;8</w:t>
            </w:r>
          </w:p>
        </w:tc>
      </w:tr>
      <w:tr w:rsidR="00271FA2" w:rsidRPr="00F06DE2" w14:paraId="49A80582" w14:textId="77777777" w:rsidTr="00CD133D">
        <w:trPr>
          <w:cantSplit/>
          <w:jc w:val="center"/>
        </w:trPr>
        <w:tc>
          <w:tcPr>
            <w:tcW w:w="5023" w:type="dxa"/>
            <w:tcBorders>
              <w:top w:val="single" w:sz="2" w:space="0" w:color="auto"/>
              <w:left w:val="single" w:sz="2" w:space="0" w:color="auto"/>
              <w:bottom w:val="single" w:sz="2" w:space="0" w:color="auto"/>
              <w:right w:val="single" w:sz="2" w:space="0" w:color="auto"/>
            </w:tcBorders>
            <w:vAlign w:val="center"/>
          </w:tcPr>
          <w:p w14:paraId="6BDFFEA0" w14:textId="77777777" w:rsidR="00271FA2" w:rsidRPr="00F06DE2" w:rsidRDefault="00D35E51">
            <w:pPr>
              <w:pStyle w:val="NormalLeft"/>
              <w:spacing w:line="240" w:lineRule="atLeast"/>
              <w:rPr>
                <w:rFonts w:ascii="Times New Roman" w:hAnsi="Times New Roman" w:cs="Times New Roman"/>
                <w:lang w:val="ru-RU"/>
              </w:rPr>
            </w:pPr>
            <w:r w:rsidRPr="00F06DE2">
              <w:rPr>
                <w:rFonts w:ascii="Times New Roman" w:hAnsi="Times New Roman" w:cs="Times New Roman"/>
                <w:lang w:val="ru-RU"/>
              </w:rPr>
              <w:t>Якост на опън на кливер-щаговете [</w:t>
            </w:r>
            <w:r w:rsidRPr="00F06DE2">
              <w:rPr>
                <w:rFonts w:ascii="Times New Roman" w:hAnsi="Times New Roman" w:cs="Times New Roman"/>
              </w:rPr>
              <w:t>kN</w:t>
            </w:r>
            <w:r w:rsidRPr="00F06DE2">
              <w:rPr>
                <w:rFonts w:ascii="Times New Roman" w:hAnsi="Times New Roman" w:cs="Times New Roman"/>
                <w:lang w:val="ru-RU"/>
              </w:rPr>
              <w:t>]</w:t>
            </w:r>
          </w:p>
        </w:tc>
        <w:tc>
          <w:tcPr>
            <w:tcW w:w="737" w:type="dxa"/>
            <w:tcBorders>
              <w:top w:val="single" w:sz="2" w:space="0" w:color="auto"/>
              <w:left w:val="single" w:sz="2" w:space="0" w:color="auto"/>
              <w:bottom w:val="single" w:sz="2" w:space="0" w:color="auto"/>
              <w:right w:val="single" w:sz="2" w:space="0" w:color="auto"/>
            </w:tcBorders>
            <w:vAlign w:val="center"/>
          </w:tcPr>
          <w:p w14:paraId="0B383FBB"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58</w:t>
            </w:r>
          </w:p>
        </w:tc>
        <w:tc>
          <w:tcPr>
            <w:tcW w:w="737" w:type="dxa"/>
            <w:tcBorders>
              <w:top w:val="single" w:sz="2" w:space="0" w:color="auto"/>
              <w:left w:val="single" w:sz="2" w:space="0" w:color="auto"/>
              <w:bottom w:val="single" w:sz="2" w:space="0" w:color="auto"/>
              <w:right w:val="single" w:sz="2" w:space="0" w:color="auto"/>
            </w:tcBorders>
            <w:vAlign w:val="center"/>
          </w:tcPr>
          <w:p w14:paraId="07F1A94D"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89</w:t>
            </w:r>
          </w:p>
        </w:tc>
        <w:tc>
          <w:tcPr>
            <w:tcW w:w="1297" w:type="dxa"/>
            <w:tcBorders>
              <w:top w:val="single" w:sz="2" w:space="0" w:color="auto"/>
              <w:left w:val="single" w:sz="2" w:space="0" w:color="auto"/>
              <w:bottom w:val="single" w:sz="2" w:space="0" w:color="auto"/>
              <w:right w:val="single" w:sz="2" w:space="0" w:color="auto"/>
            </w:tcBorders>
            <w:vAlign w:val="center"/>
          </w:tcPr>
          <w:p w14:paraId="5CF8A392"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119</w:t>
            </w:r>
          </w:p>
        </w:tc>
      </w:tr>
      <w:tr w:rsidR="00271FA2" w:rsidRPr="00F06DE2" w14:paraId="040E97CC" w14:textId="77777777" w:rsidTr="00CD133D">
        <w:trPr>
          <w:cantSplit/>
          <w:jc w:val="center"/>
        </w:trPr>
        <w:tc>
          <w:tcPr>
            <w:tcW w:w="5023" w:type="dxa"/>
            <w:tcBorders>
              <w:top w:val="single" w:sz="2" w:space="0" w:color="auto"/>
              <w:left w:val="single" w:sz="2" w:space="0" w:color="auto"/>
              <w:bottom w:val="single" w:sz="2" w:space="0" w:color="auto"/>
              <w:right w:val="single" w:sz="2" w:space="0" w:color="auto"/>
            </w:tcBorders>
            <w:vAlign w:val="center"/>
          </w:tcPr>
          <w:p w14:paraId="4DE83487"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Дължина на утлегара [m]</w:t>
            </w:r>
          </w:p>
        </w:tc>
        <w:tc>
          <w:tcPr>
            <w:tcW w:w="737" w:type="dxa"/>
            <w:tcBorders>
              <w:top w:val="single" w:sz="2" w:space="0" w:color="auto"/>
              <w:left w:val="single" w:sz="2" w:space="0" w:color="auto"/>
              <w:bottom w:val="single" w:sz="2" w:space="0" w:color="auto"/>
              <w:right w:val="single" w:sz="2" w:space="0" w:color="auto"/>
            </w:tcBorders>
            <w:vAlign w:val="center"/>
          </w:tcPr>
          <w:p w14:paraId="6033F2E3"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&lt;5</w:t>
            </w:r>
          </w:p>
        </w:tc>
        <w:tc>
          <w:tcPr>
            <w:tcW w:w="737" w:type="dxa"/>
            <w:tcBorders>
              <w:top w:val="single" w:sz="2" w:space="0" w:color="auto"/>
              <w:left w:val="single" w:sz="2" w:space="0" w:color="auto"/>
              <w:bottom w:val="single" w:sz="2" w:space="0" w:color="auto"/>
              <w:right w:val="single" w:sz="2" w:space="0" w:color="auto"/>
            </w:tcBorders>
            <w:vAlign w:val="center"/>
          </w:tcPr>
          <w:p w14:paraId="43F9D21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5-7</w:t>
            </w:r>
          </w:p>
        </w:tc>
        <w:tc>
          <w:tcPr>
            <w:tcW w:w="1297" w:type="dxa"/>
            <w:tcBorders>
              <w:top w:val="single" w:sz="2" w:space="0" w:color="auto"/>
              <w:left w:val="single" w:sz="2" w:space="0" w:color="auto"/>
              <w:bottom w:val="single" w:sz="2" w:space="0" w:color="auto"/>
              <w:right w:val="single" w:sz="2" w:space="0" w:color="auto"/>
            </w:tcBorders>
            <w:vAlign w:val="center"/>
          </w:tcPr>
          <w:p w14:paraId="61FEB910"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&gt;7</w:t>
            </w:r>
          </w:p>
        </w:tc>
      </w:tr>
      <w:tr w:rsidR="00271FA2" w:rsidRPr="00F06DE2" w14:paraId="10432ABC" w14:textId="77777777" w:rsidTr="00CD133D">
        <w:trPr>
          <w:cantSplit/>
          <w:jc w:val="center"/>
        </w:trPr>
        <w:tc>
          <w:tcPr>
            <w:tcW w:w="5023" w:type="dxa"/>
            <w:tcBorders>
              <w:top w:val="single" w:sz="2" w:space="0" w:color="auto"/>
              <w:left w:val="single" w:sz="2" w:space="0" w:color="auto"/>
              <w:bottom w:val="single" w:sz="2" w:space="0" w:color="auto"/>
              <w:right w:val="single" w:sz="2" w:space="0" w:color="auto"/>
            </w:tcBorders>
            <w:vAlign w:val="center"/>
          </w:tcPr>
          <w:p w14:paraId="3EE21FB0" w14:textId="77777777" w:rsidR="00271FA2" w:rsidRPr="00F06DE2" w:rsidRDefault="00D35E51">
            <w:pPr>
              <w:pStyle w:val="NormalLeft"/>
              <w:spacing w:line="240" w:lineRule="atLeast"/>
              <w:rPr>
                <w:rFonts w:ascii="Times New Roman" w:hAnsi="Times New Roman" w:cs="Times New Roman"/>
                <w:lang w:val="ru-RU"/>
              </w:rPr>
            </w:pPr>
            <w:r w:rsidRPr="00F06DE2">
              <w:rPr>
                <w:rFonts w:ascii="Times New Roman" w:hAnsi="Times New Roman" w:cs="Times New Roman"/>
                <w:lang w:val="ru-RU"/>
              </w:rPr>
              <w:t>Якост на опън на вантите на бушприта [</w:t>
            </w:r>
            <w:r w:rsidRPr="00F06DE2">
              <w:rPr>
                <w:rFonts w:ascii="Times New Roman" w:hAnsi="Times New Roman" w:cs="Times New Roman"/>
              </w:rPr>
              <w:t>kN</w:t>
            </w:r>
            <w:r w:rsidRPr="00F06DE2">
              <w:rPr>
                <w:rFonts w:ascii="Times New Roman" w:hAnsi="Times New Roman" w:cs="Times New Roman"/>
                <w:lang w:val="ru-RU"/>
              </w:rPr>
              <w:t>]</w:t>
            </w:r>
          </w:p>
        </w:tc>
        <w:tc>
          <w:tcPr>
            <w:tcW w:w="737" w:type="dxa"/>
            <w:tcBorders>
              <w:top w:val="single" w:sz="2" w:space="0" w:color="auto"/>
              <w:left w:val="single" w:sz="2" w:space="0" w:color="auto"/>
              <w:bottom w:val="single" w:sz="2" w:space="0" w:color="auto"/>
              <w:right w:val="single" w:sz="2" w:space="0" w:color="auto"/>
            </w:tcBorders>
            <w:vAlign w:val="center"/>
          </w:tcPr>
          <w:p w14:paraId="03E66DB8"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58</w:t>
            </w:r>
          </w:p>
        </w:tc>
        <w:tc>
          <w:tcPr>
            <w:tcW w:w="737" w:type="dxa"/>
            <w:tcBorders>
              <w:top w:val="single" w:sz="2" w:space="0" w:color="auto"/>
              <w:left w:val="single" w:sz="2" w:space="0" w:color="auto"/>
              <w:bottom w:val="single" w:sz="2" w:space="0" w:color="auto"/>
              <w:right w:val="single" w:sz="2" w:space="0" w:color="auto"/>
            </w:tcBorders>
            <w:vAlign w:val="center"/>
          </w:tcPr>
          <w:p w14:paraId="3A0BE9F6"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89</w:t>
            </w:r>
          </w:p>
        </w:tc>
        <w:tc>
          <w:tcPr>
            <w:tcW w:w="1297" w:type="dxa"/>
            <w:tcBorders>
              <w:top w:val="single" w:sz="2" w:space="0" w:color="auto"/>
              <w:left w:val="single" w:sz="2" w:space="0" w:color="auto"/>
              <w:bottom w:val="single" w:sz="2" w:space="0" w:color="auto"/>
              <w:right w:val="single" w:sz="2" w:space="0" w:color="auto"/>
            </w:tcBorders>
            <w:vAlign w:val="center"/>
          </w:tcPr>
          <w:p w14:paraId="761B4C18" w14:textId="77777777" w:rsidR="00271FA2" w:rsidRPr="00F06DE2" w:rsidRDefault="00D35E51">
            <w:pPr>
              <w:pStyle w:val="NormalLeft"/>
              <w:tabs>
                <w:tab w:val="decimal" w:pos="332"/>
              </w:tabs>
              <w:spacing w:line="240" w:lineRule="atLeast"/>
              <w:rPr>
                <w:rFonts w:ascii="Times New Roman" w:hAnsi="Times New Roman" w:cs="Times New Roman"/>
              </w:rPr>
            </w:pPr>
            <w:r w:rsidRPr="00F06DE2">
              <w:rPr>
                <w:rFonts w:ascii="Times New Roman" w:hAnsi="Times New Roman" w:cs="Times New Roman"/>
              </w:rPr>
              <w:t>119</w:t>
            </w:r>
          </w:p>
        </w:tc>
      </w:tr>
    </w:tbl>
    <w:p w14:paraId="7BCB2511" w14:textId="77777777" w:rsidR="00271FA2" w:rsidRPr="00F06DE2" w:rsidRDefault="00D35E51" w:rsidP="0023657E">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Предпочита се конструкция на въжето, базирана на метода на изработка на въжета 6 × 7 </w:t>
      </w:r>
      <w:r w:rsidRPr="00F06DE2">
        <w:rPr>
          <w:rFonts w:ascii="Times New Roman" w:hAnsi="Times New Roman" w:cs="Times New Roman"/>
        </w:rPr>
        <w:t>FE</w:t>
      </w:r>
      <w:r w:rsidRPr="00F06DE2">
        <w:rPr>
          <w:rFonts w:ascii="Times New Roman" w:hAnsi="Times New Roman" w:cs="Times New Roman"/>
          <w:lang w:val="ru-RU"/>
        </w:rPr>
        <w:t xml:space="preserve"> от класа на якост 1550 </w:t>
      </w:r>
      <w:r w:rsidRPr="00F06DE2">
        <w:rPr>
          <w:rFonts w:ascii="Times New Roman" w:hAnsi="Times New Roman" w:cs="Times New Roman"/>
        </w:rPr>
        <w:t>N</w:t>
      </w:r>
      <w:r w:rsidRPr="00F06DE2">
        <w:rPr>
          <w:rFonts w:ascii="Times New Roman" w:hAnsi="Times New Roman" w:cs="Times New Roman"/>
          <w:lang w:val="ru-RU"/>
        </w:rPr>
        <w:t>/</w:t>
      </w:r>
      <w:r w:rsidRPr="00F06DE2">
        <w:rPr>
          <w:rFonts w:ascii="Times New Roman" w:hAnsi="Times New Roman" w:cs="Times New Roman"/>
        </w:rPr>
        <w:t>mm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От друга страна, в същия клас на якост може да се използва метод на изработка 6 × 36 </w:t>
      </w:r>
      <w:r w:rsidRPr="00F06DE2">
        <w:rPr>
          <w:rFonts w:ascii="Times New Roman" w:hAnsi="Times New Roman" w:cs="Times New Roman"/>
        </w:rPr>
        <w:t>SE</w:t>
      </w:r>
      <w:r w:rsidRPr="00F06DE2">
        <w:rPr>
          <w:rFonts w:ascii="Times New Roman" w:hAnsi="Times New Roman" w:cs="Times New Roman"/>
          <w:lang w:val="ru-RU"/>
        </w:rPr>
        <w:t xml:space="preserve"> или 6 × 19 </w:t>
      </w:r>
      <w:r w:rsidRPr="00F06DE2">
        <w:rPr>
          <w:rFonts w:ascii="Times New Roman" w:hAnsi="Times New Roman" w:cs="Times New Roman"/>
        </w:rPr>
        <w:t>FE</w:t>
      </w:r>
      <w:r w:rsidRPr="00F06DE2">
        <w:rPr>
          <w:rFonts w:ascii="Times New Roman" w:hAnsi="Times New Roman" w:cs="Times New Roman"/>
          <w:lang w:val="ru-RU"/>
        </w:rPr>
        <w:t>. Предвид по-голямата еластичност на метода на изработка 6 × 19 якостите на опън в показаната таблица се завишат с 10 %. Използването на различна конструкция на въжетата може да бъде разрешено, ако тя притежава сходни свойства.</w:t>
      </w:r>
    </w:p>
    <w:p w14:paraId="3B59F4E9" w14:textId="77777777" w:rsidR="00271FA2" w:rsidRPr="00F06DE2" w:rsidRDefault="00D35E51" w:rsidP="0023657E">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 случай, че се използва фиксиран такелаж, якостите на опън, посочени в таблицата, се завишат с 30 %.</w:t>
      </w:r>
    </w:p>
    <w:p w14:paraId="051572AD" w14:textId="77777777" w:rsidR="00271FA2" w:rsidRPr="00F06DE2" w:rsidRDefault="00D35E51" w:rsidP="0023657E">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За такелажа могат да се използват само одобрени вилки, уши и болтове.</w:t>
      </w:r>
    </w:p>
    <w:p w14:paraId="22DD1D22" w14:textId="77777777" w:rsidR="00271FA2" w:rsidRPr="00F06DE2" w:rsidRDefault="00D35E51" w:rsidP="0023657E">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Болтовете, вилките, ушите и талрепите трябва да са приспособени за надеждно закрепване.</w:t>
      </w:r>
    </w:p>
    <w:p w14:paraId="17B3635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Якостта на опън на ватерщага трябва да е най-малко 1,2 пъти по-голяма от якостта на опън на съответните кливер-щагове и бом-кливер леери.</w:t>
      </w:r>
    </w:p>
    <w:p w14:paraId="57F7C19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8.</w:t>
      </w:r>
      <w:r w:rsidRPr="00F06DE2">
        <w:rPr>
          <w:rFonts w:ascii="Times New Roman" w:hAnsi="Times New Roman" w:cs="Times New Roman"/>
          <w:lang w:val="ru-RU"/>
        </w:rPr>
        <w:tab/>
        <w:t xml:space="preserve">При плавателни съдове с обемно водоизместване по-малко от 30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xml:space="preserve"> контролният орган може да разреши намаления на якостите на опън, както са показани в долната таблица:</w:t>
      </w:r>
    </w:p>
    <w:tbl>
      <w:tblPr>
        <w:tblW w:w="0" w:type="auto"/>
        <w:jc w:val="center"/>
        <w:tblLayout w:type="fixed"/>
        <w:tblLook w:val="04A0" w:firstRow="1" w:lastRow="0" w:firstColumn="1" w:lastColumn="0" w:noHBand="0" w:noVBand="1"/>
      </w:tblPr>
      <w:tblGrid>
        <w:gridCol w:w="5863"/>
        <w:gridCol w:w="1789"/>
      </w:tblGrid>
      <w:tr w:rsidR="00271FA2" w:rsidRPr="00F06DE2" w14:paraId="0B41115D" w14:textId="77777777" w:rsidTr="003D4E57">
        <w:trPr>
          <w:cantSplit/>
          <w:jc w:val="center"/>
        </w:trPr>
        <w:tc>
          <w:tcPr>
            <w:tcW w:w="5863" w:type="dxa"/>
            <w:tcBorders>
              <w:top w:val="single" w:sz="2" w:space="0" w:color="auto"/>
              <w:left w:val="single" w:sz="2" w:space="0" w:color="auto"/>
              <w:bottom w:val="single" w:sz="2" w:space="0" w:color="auto"/>
              <w:right w:val="single" w:sz="2" w:space="0" w:color="auto"/>
            </w:tcBorders>
            <w:vAlign w:val="center"/>
          </w:tcPr>
          <w:p w14:paraId="56CAEA1D" w14:textId="77777777" w:rsidR="00271FA2" w:rsidRPr="00F06DE2" w:rsidRDefault="00D35E51">
            <w:pPr>
              <w:pStyle w:val="NormalCentered"/>
              <w:spacing w:line="240" w:lineRule="atLeast"/>
              <w:rPr>
                <w:rFonts w:ascii="Times New Roman" w:hAnsi="Times New Roman" w:cs="Times New Roman"/>
                <w:lang w:val="ru-RU"/>
              </w:rPr>
            </w:pPr>
            <w:r w:rsidRPr="00F06DE2">
              <w:rPr>
                <w:rFonts w:ascii="Times New Roman" w:hAnsi="Times New Roman" w:cs="Times New Roman"/>
                <w:lang w:val="ru-RU"/>
              </w:rPr>
              <w:t xml:space="preserve">Обемно водоизместване, разделено на броя мачти </w:t>
            </w:r>
            <w:r w:rsidRPr="00F06DE2">
              <w:rPr>
                <w:rFonts w:ascii="Times New Roman" w:hAnsi="Times New Roman" w:cs="Times New Roman"/>
                <w:color w:val="000000"/>
                <w:lang w:val="ru-RU"/>
              </w:rPr>
              <w:t>[</w:t>
            </w:r>
            <w:r w:rsidRPr="00F06DE2">
              <w:rPr>
                <w:rFonts w:ascii="Times New Roman" w:hAnsi="Times New Roman" w:cs="Times New Roman"/>
                <w:color w:val="000000"/>
              </w:rPr>
              <w:t>m</w:t>
            </w:r>
            <w:r w:rsidRPr="00F06DE2">
              <w:rPr>
                <w:rFonts w:ascii="Times New Roman" w:hAnsi="Times New Roman" w:cs="Times New Roman"/>
                <w:color w:val="000000"/>
                <w:vertAlign w:val="superscript"/>
                <w:lang w:val="ru-RU"/>
              </w:rPr>
              <w:t>3</w:t>
            </w:r>
            <w:r w:rsidRPr="00F06DE2">
              <w:rPr>
                <w:rFonts w:ascii="Times New Roman" w:hAnsi="Times New Roman" w:cs="Times New Roman"/>
                <w:color w:val="000000"/>
                <w:lang w:val="ru-RU"/>
              </w:rPr>
              <w:t>]</w:t>
            </w:r>
          </w:p>
        </w:tc>
        <w:tc>
          <w:tcPr>
            <w:tcW w:w="1789" w:type="dxa"/>
            <w:tcBorders>
              <w:top w:val="single" w:sz="2" w:space="0" w:color="auto"/>
              <w:left w:val="single" w:sz="2" w:space="0" w:color="auto"/>
              <w:bottom w:val="single" w:sz="2" w:space="0" w:color="auto"/>
              <w:right w:val="single" w:sz="2" w:space="0" w:color="auto"/>
            </w:tcBorders>
            <w:vAlign w:val="center"/>
          </w:tcPr>
          <w:p w14:paraId="41844B14"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Намаление [%]</w:t>
            </w:r>
          </w:p>
        </w:tc>
      </w:tr>
      <w:tr w:rsidR="00271FA2" w:rsidRPr="00F06DE2" w14:paraId="62B499E0" w14:textId="77777777" w:rsidTr="003D4E57">
        <w:trPr>
          <w:cantSplit/>
          <w:jc w:val="center"/>
        </w:trPr>
        <w:tc>
          <w:tcPr>
            <w:tcW w:w="5863" w:type="dxa"/>
            <w:tcBorders>
              <w:top w:val="single" w:sz="2" w:space="0" w:color="auto"/>
              <w:left w:val="single" w:sz="2" w:space="0" w:color="auto"/>
              <w:bottom w:val="single" w:sz="2" w:space="0" w:color="auto"/>
              <w:right w:val="single" w:sz="2" w:space="0" w:color="auto"/>
            </w:tcBorders>
            <w:vAlign w:val="center"/>
          </w:tcPr>
          <w:p w14:paraId="5A43E11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&gt;20 до 30</w:t>
            </w:r>
          </w:p>
        </w:tc>
        <w:tc>
          <w:tcPr>
            <w:tcW w:w="1789" w:type="dxa"/>
            <w:tcBorders>
              <w:top w:val="single" w:sz="2" w:space="0" w:color="auto"/>
              <w:left w:val="single" w:sz="2" w:space="0" w:color="auto"/>
              <w:bottom w:val="single" w:sz="2" w:space="0" w:color="auto"/>
              <w:right w:val="single" w:sz="2" w:space="0" w:color="auto"/>
            </w:tcBorders>
            <w:vAlign w:val="center"/>
          </w:tcPr>
          <w:p w14:paraId="79202EE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20</w:t>
            </w:r>
          </w:p>
        </w:tc>
      </w:tr>
      <w:tr w:rsidR="00271FA2" w:rsidRPr="00F06DE2" w14:paraId="4A0C98C3" w14:textId="77777777" w:rsidTr="003D4E57">
        <w:trPr>
          <w:cantSplit/>
          <w:jc w:val="center"/>
        </w:trPr>
        <w:tc>
          <w:tcPr>
            <w:tcW w:w="5863" w:type="dxa"/>
            <w:tcBorders>
              <w:top w:val="single" w:sz="2" w:space="0" w:color="auto"/>
              <w:left w:val="single" w:sz="2" w:space="0" w:color="auto"/>
              <w:bottom w:val="single" w:sz="2" w:space="0" w:color="auto"/>
              <w:right w:val="single" w:sz="2" w:space="0" w:color="auto"/>
            </w:tcBorders>
            <w:vAlign w:val="center"/>
          </w:tcPr>
          <w:p w14:paraId="458022A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10 до 20</w:t>
            </w:r>
          </w:p>
        </w:tc>
        <w:tc>
          <w:tcPr>
            <w:tcW w:w="1789" w:type="dxa"/>
            <w:tcBorders>
              <w:top w:val="single" w:sz="2" w:space="0" w:color="auto"/>
              <w:left w:val="single" w:sz="2" w:space="0" w:color="auto"/>
              <w:bottom w:val="single" w:sz="2" w:space="0" w:color="auto"/>
              <w:right w:val="single" w:sz="2" w:space="0" w:color="auto"/>
            </w:tcBorders>
            <w:vAlign w:val="center"/>
          </w:tcPr>
          <w:p w14:paraId="5FBF5429"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35</w:t>
            </w:r>
          </w:p>
        </w:tc>
      </w:tr>
      <w:tr w:rsidR="00271FA2" w:rsidRPr="00F06DE2" w14:paraId="6926C4E2" w14:textId="77777777" w:rsidTr="003D4E57">
        <w:trPr>
          <w:cantSplit/>
          <w:jc w:val="center"/>
        </w:trPr>
        <w:tc>
          <w:tcPr>
            <w:tcW w:w="5863" w:type="dxa"/>
            <w:tcBorders>
              <w:top w:val="single" w:sz="2" w:space="0" w:color="auto"/>
              <w:left w:val="single" w:sz="2" w:space="0" w:color="auto"/>
              <w:bottom w:val="single" w:sz="2" w:space="0" w:color="auto"/>
              <w:right w:val="single" w:sz="2" w:space="0" w:color="auto"/>
            </w:tcBorders>
            <w:vAlign w:val="center"/>
          </w:tcPr>
          <w:p w14:paraId="604D51F2"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&lt; 10</w:t>
            </w:r>
          </w:p>
        </w:tc>
        <w:tc>
          <w:tcPr>
            <w:tcW w:w="1789" w:type="dxa"/>
            <w:tcBorders>
              <w:top w:val="single" w:sz="2" w:space="0" w:color="auto"/>
              <w:left w:val="single" w:sz="2" w:space="0" w:color="auto"/>
              <w:bottom w:val="single" w:sz="2" w:space="0" w:color="auto"/>
              <w:right w:val="single" w:sz="2" w:space="0" w:color="auto"/>
            </w:tcBorders>
            <w:vAlign w:val="center"/>
          </w:tcPr>
          <w:p w14:paraId="114D9A5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60</w:t>
            </w:r>
          </w:p>
        </w:tc>
      </w:tr>
    </w:tbl>
    <w:p w14:paraId="42D5FA6F" w14:textId="77777777" w:rsidR="003D4E57" w:rsidRPr="00F06DE2" w:rsidRDefault="003D4E57">
      <w:pPr>
        <w:pStyle w:val="ES-Titre3"/>
        <w:spacing w:line="240" w:lineRule="atLeast"/>
        <w:rPr>
          <w:rFonts w:ascii="Times New Roman" w:hAnsi="Times New Roman" w:cs="Times New Roman"/>
          <w:sz w:val="24"/>
          <w:szCs w:val="24"/>
          <w:lang w:val="ru-RU"/>
        </w:rPr>
      </w:pPr>
      <w:bookmarkStart w:id="394" w:name="_Toc535827641"/>
      <w:bookmarkStart w:id="395" w:name="_Toc491854200"/>
    </w:p>
    <w:p w14:paraId="0F5C04AC" w14:textId="3B9E4BFD" w:rsidR="00271FA2" w:rsidRPr="00F06DE2" w:rsidRDefault="00D35E51" w:rsidP="003D4E57">
      <w:pPr>
        <w:pStyle w:val="ES-Titre3"/>
        <w:tabs>
          <w:tab w:val="left" w:pos="567"/>
        </w:tabs>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20.15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Специални разпоредби относно подвижния такелаж</w:t>
      </w:r>
      <w:bookmarkEnd w:id="394"/>
      <w:bookmarkEnd w:id="395"/>
    </w:p>
    <w:p w14:paraId="582BE38B" w14:textId="77777777" w:rsidR="00271FA2" w:rsidRPr="00F06DE2" w:rsidRDefault="00D35E51" w:rsidP="003D4E57">
      <w:pPr>
        <w:pStyle w:val="ESch"/>
        <w:tabs>
          <w:tab w:val="left" w:pos="567"/>
        </w:tabs>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За подвижния такелаж се използват въжета от синтетични влакна или стоманени жици. Минималната якост на опън и диаметрите на подвижния такелаж по отношение на ветрилната площ трябва да отговарят на следните минимални изисквания:</w:t>
      </w:r>
    </w:p>
    <w:tbl>
      <w:tblPr>
        <w:tblW w:w="0" w:type="auto"/>
        <w:jc w:val="center"/>
        <w:tblLayout w:type="fixed"/>
        <w:tblLook w:val="04A0" w:firstRow="1" w:lastRow="0" w:firstColumn="1" w:lastColumn="0" w:noHBand="0" w:noVBand="1"/>
      </w:tblPr>
      <w:tblGrid>
        <w:gridCol w:w="1982"/>
        <w:gridCol w:w="1559"/>
        <w:gridCol w:w="1412"/>
        <w:gridCol w:w="2136"/>
        <w:gridCol w:w="1950"/>
      </w:tblGrid>
      <w:tr w:rsidR="00271FA2" w:rsidRPr="00F06DE2" w14:paraId="3C4539B1" w14:textId="77777777">
        <w:trPr>
          <w:cantSplit/>
          <w:tblHeader/>
          <w:jc w:val="center"/>
        </w:trPr>
        <w:tc>
          <w:tcPr>
            <w:tcW w:w="1982" w:type="dxa"/>
            <w:tcBorders>
              <w:top w:val="single" w:sz="2" w:space="0" w:color="auto"/>
              <w:left w:val="single" w:sz="2" w:space="0" w:color="auto"/>
              <w:bottom w:val="single" w:sz="2" w:space="0" w:color="auto"/>
              <w:right w:val="single" w:sz="2" w:space="0" w:color="auto"/>
            </w:tcBorders>
            <w:vAlign w:val="center"/>
          </w:tcPr>
          <w:p w14:paraId="26C53A04"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Тип на подвижния такелаж</w:t>
            </w:r>
          </w:p>
        </w:tc>
        <w:tc>
          <w:tcPr>
            <w:tcW w:w="1559" w:type="dxa"/>
            <w:tcBorders>
              <w:top w:val="single" w:sz="2" w:space="0" w:color="auto"/>
              <w:left w:val="single" w:sz="2" w:space="0" w:color="auto"/>
              <w:bottom w:val="single" w:sz="2" w:space="0" w:color="auto"/>
              <w:right w:val="single" w:sz="2" w:space="0" w:color="auto"/>
            </w:tcBorders>
            <w:vAlign w:val="center"/>
          </w:tcPr>
          <w:p w14:paraId="774F8238"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Материал на въжето</w:t>
            </w:r>
          </w:p>
        </w:tc>
        <w:tc>
          <w:tcPr>
            <w:tcW w:w="1412" w:type="dxa"/>
            <w:tcBorders>
              <w:top w:val="single" w:sz="2" w:space="0" w:color="auto"/>
              <w:left w:val="single" w:sz="2" w:space="0" w:color="auto"/>
              <w:bottom w:val="single" w:sz="2" w:space="0" w:color="auto"/>
              <w:right w:val="single" w:sz="2" w:space="0" w:color="auto"/>
            </w:tcBorders>
            <w:vAlign w:val="center"/>
          </w:tcPr>
          <w:p w14:paraId="40438538"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 xml:space="preserve">Ветрилна площ </w:t>
            </w:r>
            <w:r w:rsidRPr="00F06DE2">
              <w:rPr>
                <w:rFonts w:ascii="Times New Roman" w:hAnsi="Times New Roman" w:cs="Times New Roman"/>
                <w:color w:val="000000"/>
              </w:rPr>
              <w:t>[m</w:t>
            </w:r>
            <w:r w:rsidRPr="00F06DE2">
              <w:rPr>
                <w:rFonts w:ascii="Times New Roman" w:hAnsi="Times New Roman" w:cs="Times New Roman"/>
                <w:color w:val="000000"/>
                <w:vertAlign w:val="superscript"/>
              </w:rPr>
              <w:t>2</w:t>
            </w:r>
            <w:r w:rsidRPr="00F06DE2">
              <w:rPr>
                <w:rFonts w:ascii="Times New Roman" w:hAnsi="Times New Roman" w:cs="Times New Roman"/>
                <w:color w:val="000000"/>
              </w:rPr>
              <w:t>]</w:t>
            </w:r>
          </w:p>
        </w:tc>
        <w:tc>
          <w:tcPr>
            <w:tcW w:w="2136" w:type="dxa"/>
            <w:tcBorders>
              <w:top w:val="single" w:sz="2" w:space="0" w:color="auto"/>
              <w:left w:val="single" w:sz="2" w:space="0" w:color="auto"/>
              <w:bottom w:val="single" w:sz="2" w:space="0" w:color="auto"/>
              <w:right w:val="single" w:sz="2" w:space="0" w:color="auto"/>
            </w:tcBorders>
            <w:vAlign w:val="center"/>
          </w:tcPr>
          <w:p w14:paraId="795A9E51" w14:textId="77777777" w:rsidR="00271FA2" w:rsidRPr="00F06DE2" w:rsidRDefault="00D35E51">
            <w:pPr>
              <w:pStyle w:val="NormalCentered"/>
              <w:spacing w:line="240" w:lineRule="atLeast"/>
              <w:rPr>
                <w:rFonts w:ascii="Times New Roman" w:hAnsi="Times New Roman" w:cs="Times New Roman"/>
                <w:lang w:val="ru-RU"/>
              </w:rPr>
            </w:pPr>
            <w:r w:rsidRPr="00F06DE2">
              <w:rPr>
                <w:rFonts w:ascii="Times New Roman" w:hAnsi="Times New Roman" w:cs="Times New Roman"/>
                <w:lang w:val="ru-RU"/>
              </w:rPr>
              <w:t>Минимална якост на опън [</w:t>
            </w:r>
            <w:r w:rsidRPr="00F06DE2">
              <w:rPr>
                <w:rFonts w:ascii="Times New Roman" w:hAnsi="Times New Roman" w:cs="Times New Roman"/>
              </w:rPr>
              <w:t>kN</w:t>
            </w:r>
            <w:r w:rsidRPr="00F06DE2">
              <w:rPr>
                <w:rFonts w:ascii="Times New Roman" w:hAnsi="Times New Roman" w:cs="Times New Roman"/>
                <w:lang w:val="ru-RU"/>
              </w:rPr>
              <w:t>]</w:t>
            </w:r>
          </w:p>
        </w:tc>
        <w:tc>
          <w:tcPr>
            <w:tcW w:w="1950" w:type="dxa"/>
            <w:tcBorders>
              <w:top w:val="single" w:sz="2" w:space="0" w:color="auto"/>
              <w:left w:val="single" w:sz="2" w:space="0" w:color="auto"/>
              <w:bottom w:val="single" w:sz="2" w:space="0" w:color="auto"/>
              <w:right w:val="single" w:sz="2" w:space="0" w:color="auto"/>
            </w:tcBorders>
            <w:vAlign w:val="center"/>
          </w:tcPr>
          <w:p w14:paraId="247875A0" w14:textId="77777777" w:rsidR="00271FA2" w:rsidRPr="00F06DE2" w:rsidRDefault="00D35E51">
            <w:pPr>
              <w:pStyle w:val="NormalCentered"/>
              <w:spacing w:line="240" w:lineRule="atLeast"/>
              <w:rPr>
                <w:rFonts w:ascii="Times New Roman" w:hAnsi="Times New Roman" w:cs="Times New Roman"/>
              </w:rPr>
            </w:pPr>
            <w:r w:rsidRPr="00F06DE2">
              <w:rPr>
                <w:rFonts w:ascii="Times New Roman" w:hAnsi="Times New Roman" w:cs="Times New Roman"/>
              </w:rPr>
              <w:t>Диаметър на въжето [mm]</w:t>
            </w:r>
          </w:p>
        </w:tc>
      </w:tr>
      <w:tr w:rsidR="00271FA2" w:rsidRPr="00F06DE2" w14:paraId="5A72CC25" w14:textId="77777777">
        <w:trPr>
          <w:cantSplit/>
          <w:jc w:val="center"/>
        </w:trPr>
        <w:tc>
          <w:tcPr>
            <w:tcW w:w="1982" w:type="dxa"/>
            <w:vMerge w:val="restart"/>
            <w:tcBorders>
              <w:top w:val="single" w:sz="2" w:space="0" w:color="auto"/>
              <w:left w:val="single" w:sz="2" w:space="0" w:color="auto"/>
              <w:bottom w:val="single" w:sz="2" w:space="0" w:color="auto"/>
              <w:right w:val="single" w:sz="2" w:space="0" w:color="auto"/>
            </w:tcBorders>
            <w:vAlign w:val="center"/>
          </w:tcPr>
          <w:p w14:paraId="46C3087A"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Стакселни фалове</w:t>
            </w:r>
          </w:p>
        </w:tc>
        <w:tc>
          <w:tcPr>
            <w:tcW w:w="1559" w:type="dxa"/>
            <w:vMerge w:val="restart"/>
            <w:tcBorders>
              <w:top w:val="single" w:sz="2" w:space="0" w:color="auto"/>
              <w:left w:val="single" w:sz="2" w:space="0" w:color="auto"/>
              <w:bottom w:val="single" w:sz="2" w:space="0" w:color="auto"/>
              <w:right w:val="single" w:sz="2" w:space="0" w:color="auto"/>
            </w:tcBorders>
            <w:vAlign w:val="center"/>
          </w:tcPr>
          <w:p w14:paraId="43290D9B"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Стоманена жица</w:t>
            </w:r>
          </w:p>
        </w:tc>
        <w:tc>
          <w:tcPr>
            <w:tcW w:w="1412" w:type="dxa"/>
            <w:tcBorders>
              <w:top w:val="single" w:sz="2" w:space="0" w:color="auto"/>
              <w:left w:val="single" w:sz="2" w:space="0" w:color="auto"/>
              <w:bottom w:val="single" w:sz="2" w:space="0" w:color="auto"/>
              <w:right w:val="single" w:sz="2" w:space="0" w:color="auto"/>
            </w:tcBorders>
            <w:vAlign w:val="center"/>
          </w:tcPr>
          <w:p w14:paraId="18FBD29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до 35</w:t>
            </w:r>
          </w:p>
        </w:tc>
        <w:tc>
          <w:tcPr>
            <w:tcW w:w="2136" w:type="dxa"/>
            <w:tcBorders>
              <w:top w:val="single" w:sz="2" w:space="0" w:color="auto"/>
              <w:left w:val="single" w:sz="2" w:space="0" w:color="auto"/>
              <w:bottom w:val="single" w:sz="2" w:space="0" w:color="auto"/>
              <w:right w:val="single" w:sz="2" w:space="0" w:color="auto"/>
            </w:tcBorders>
            <w:vAlign w:val="center"/>
          </w:tcPr>
          <w:p w14:paraId="0FCBD30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20</w:t>
            </w:r>
          </w:p>
        </w:tc>
        <w:tc>
          <w:tcPr>
            <w:tcW w:w="1950" w:type="dxa"/>
            <w:tcBorders>
              <w:top w:val="single" w:sz="2" w:space="0" w:color="auto"/>
              <w:left w:val="single" w:sz="2" w:space="0" w:color="auto"/>
              <w:bottom w:val="single" w:sz="2" w:space="0" w:color="auto"/>
              <w:right w:val="single" w:sz="2" w:space="0" w:color="auto"/>
            </w:tcBorders>
            <w:vAlign w:val="center"/>
          </w:tcPr>
          <w:p w14:paraId="196BDFBB"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6</w:t>
            </w:r>
          </w:p>
        </w:tc>
      </w:tr>
      <w:tr w:rsidR="00271FA2" w:rsidRPr="00F06DE2" w14:paraId="5EE7DD27"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010E7EA9" w14:textId="77777777" w:rsidR="00271FA2" w:rsidRPr="00F06DE2" w:rsidRDefault="00271FA2">
            <w:pPr>
              <w:adjustRightInd w:val="0"/>
              <w:spacing w:line="240" w:lineRule="atLeast"/>
              <w:rPr>
                <w:rFonts w:ascii="Times New Roman" w:hAnsi="Times New Roman" w:cs="Times New Roman"/>
              </w:rPr>
            </w:pPr>
          </w:p>
        </w:tc>
        <w:tc>
          <w:tcPr>
            <w:tcW w:w="1559" w:type="dxa"/>
            <w:vMerge/>
            <w:tcBorders>
              <w:top w:val="single" w:sz="2" w:space="0" w:color="auto"/>
              <w:left w:val="single" w:sz="2" w:space="0" w:color="auto"/>
              <w:bottom w:val="single" w:sz="2" w:space="0" w:color="auto"/>
              <w:right w:val="single" w:sz="2" w:space="0" w:color="auto"/>
            </w:tcBorders>
            <w:vAlign w:val="center"/>
          </w:tcPr>
          <w:p w14:paraId="241DDD5B" w14:textId="77777777" w:rsidR="00271FA2" w:rsidRPr="00F06DE2" w:rsidRDefault="00271FA2">
            <w:pPr>
              <w:adjustRightInd w:val="0"/>
              <w:spacing w:line="240" w:lineRule="atLeast"/>
              <w:rPr>
                <w:rFonts w:ascii="Times New Roman" w:hAnsi="Times New Roman" w:cs="Times New Roman"/>
              </w:rPr>
            </w:pPr>
          </w:p>
        </w:tc>
        <w:tc>
          <w:tcPr>
            <w:tcW w:w="1412" w:type="dxa"/>
            <w:tcBorders>
              <w:top w:val="single" w:sz="2" w:space="0" w:color="auto"/>
              <w:left w:val="single" w:sz="2" w:space="0" w:color="auto"/>
              <w:bottom w:val="single" w:sz="2" w:space="0" w:color="auto"/>
              <w:right w:val="single" w:sz="2" w:space="0" w:color="auto"/>
            </w:tcBorders>
            <w:vAlign w:val="center"/>
          </w:tcPr>
          <w:p w14:paraId="28C1BC3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&gt; 35</w:t>
            </w:r>
          </w:p>
        </w:tc>
        <w:tc>
          <w:tcPr>
            <w:tcW w:w="2136" w:type="dxa"/>
            <w:tcBorders>
              <w:top w:val="single" w:sz="2" w:space="0" w:color="auto"/>
              <w:left w:val="single" w:sz="2" w:space="0" w:color="auto"/>
              <w:bottom w:val="single" w:sz="2" w:space="0" w:color="auto"/>
              <w:right w:val="single" w:sz="2" w:space="0" w:color="auto"/>
            </w:tcBorders>
            <w:vAlign w:val="center"/>
          </w:tcPr>
          <w:p w14:paraId="2B5F166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38</w:t>
            </w:r>
          </w:p>
        </w:tc>
        <w:tc>
          <w:tcPr>
            <w:tcW w:w="1950" w:type="dxa"/>
            <w:tcBorders>
              <w:top w:val="single" w:sz="2" w:space="0" w:color="auto"/>
              <w:left w:val="single" w:sz="2" w:space="0" w:color="auto"/>
              <w:bottom w:val="single" w:sz="2" w:space="0" w:color="auto"/>
              <w:right w:val="single" w:sz="2" w:space="0" w:color="auto"/>
            </w:tcBorders>
            <w:vAlign w:val="center"/>
          </w:tcPr>
          <w:p w14:paraId="79EB9CB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8</w:t>
            </w:r>
          </w:p>
        </w:tc>
      </w:tr>
      <w:tr w:rsidR="00271FA2" w:rsidRPr="00F06DE2" w14:paraId="05E4FE99"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001BFA1D" w14:textId="77777777" w:rsidR="00271FA2" w:rsidRPr="00F06DE2" w:rsidRDefault="00271FA2">
            <w:pPr>
              <w:adjustRightInd w:val="0"/>
              <w:spacing w:line="240" w:lineRule="atLeast"/>
              <w:rPr>
                <w:rFonts w:ascii="Times New Roman" w:hAnsi="Times New Roman" w:cs="Times New Roman"/>
              </w:rPr>
            </w:pPr>
          </w:p>
        </w:tc>
        <w:tc>
          <w:tcPr>
            <w:tcW w:w="1559" w:type="dxa"/>
            <w:tcBorders>
              <w:top w:val="single" w:sz="2" w:space="0" w:color="auto"/>
              <w:left w:val="single" w:sz="2" w:space="0" w:color="auto"/>
              <w:bottom w:val="single" w:sz="2" w:space="0" w:color="auto"/>
              <w:right w:val="single" w:sz="2" w:space="0" w:color="auto"/>
            </w:tcBorders>
            <w:vAlign w:val="center"/>
          </w:tcPr>
          <w:p w14:paraId="4C56CEF3"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Синтетично влакно (полипропилен - РР)</w:t>
            </w:r>
          </w:p>
        </w:tc>
        <w:tc>
          <w:tcPr>
            <w:tcW w:w="5498" w:type="dxa"/>
            <w:gridSpan w:val="3"/>
            <w:tcBorders>
              <w:top w:val="single" w:sz="2" w:space="0" w:color="auto"/>
              <w:left w:val="single" w:sz="2" w:space="0" w:color="auto"/>
              <w:bottom w:val="single" w:sz="2" w:space="0" w:color="auto"/>
              <w:right w:val="single" w:sz="2" w:space="0" w:color="auto"/>
            </w:tcBorders>
            <w:vAlign w:val="center"/>
          </w:tcPr>
          <w:p w14:paraId="394E24C2" w14:textId="77777777" w:rsidR="00271FA2" w:rsidRPr="00F06DE2" w:rsidRDefault="00D35E51">
            <w:pPr>
              <w:pStyle w:val="NormalLeft"/>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Диаметър на въжето от поне 14 </w:t>
            </w:r>
            <w:r w:rsidRPr="00F06DE2">
              <w:rPr>
                <w:rFonts w:ascii="Times New Roman" w:hAnsi="Times New Roman" w:cs="Times New Roman"/>
              </w:rPr>
              <w:t>mm</w:t>
            </w:r>
            <w:r w:rsidRPr="00F06DE2">
              <w:rPr>
                <w:rFonts w:ascii="Times New Roman" w:hAnsi="Times New Roman" w:cs="Times New Roman"/>
                <w:lang w:val="ru-RU"/>
              </w:rPr>
              <w:t xml:space="preserve"> и една въжена шайба за всеки 25</w:t>
            </w:r>
            <w:r w:rsidRPr="00F06DE2">
              <w:rPr>
                <w:rFonts w:ascii="Times New Roman" w:hAnsi="Times New Roman" w:cs="Times New Roman"/>
              </w:rPr>
              <w:t> 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или част от тях</w:t>
            </w:r>
          </w:p>
        </w:tc>
      </w:tr>
      <w:tr w:rsidR="00271FA2" w:rsidRPr="00F06DE2" w14:paraId="64F0067E" w14:textId="77777777">
        <w:trPr>
          <w:cantSplit/>
          <w:jc w:val="center"/>
        </w:trPr>
        <w:tc>
          <w:tcPr>
            <w:tcW w:w="1982" w:type="dxa"/>
            <w:vMerge w:val="restart"/>
            <w:tcBorders>
              <w:top w:val="single" w:sz="2" w:space="0" w:color="auto"/>
              <w:left w:val="single" w:sz="2" w:space="0" w:color="auto"/>
              <w:bottom w:val="single" w:sz="2" w:space="0" w:color="auto"/>
              <w:right w:val="single" w:sz="2" w:space="0" w:color="auto"/>
            </w:tcBorders>
            <w:vAlign w:val="center"/>
          </w:tcPr>
          <w:p w14:paraId="3D07D813"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Гафелни фалове</w:t>
            </w:r>
            <w:r w:rsidRPr="00F06DE2">
              <w:rPr>
                <w:rFonts w:ascii="Times New Roman" w:hAnsi="Times New Roman" w:cs="Times New Roman"/>
              </w:rPr>
              <w:br/>
              <w:t>Марсови фалове</w:t>
            </w:r>
          </w:p>
        </w:tc>
        <w:tc>
          <w:tcPr>
            <w:tcW w:w="1559" w:type="dxa"/>
            <w:vMerge w:val="restart"/>
            <w:tcBorders>
              <w:top w:val="single" w:sz="2" w:space="0" w:color="auto"/>
              <w:left w:val="single" w:sz="2" w:space="0" w:color="auto"/>
              <w:bottom w:val="single" w:sz="2" w:space="0" w:color="auto"/>
              <w:right w:val="single" w:sz="2" w:space="0" w:color="auto"/>
            </w:tcBorders>
            <w:vAlign w:val="center"/>
          </w:tcPr>
          <w:p w14:paraId="70F915FC"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Стоманена жица</w:t>
            </w:r>
          </w:p>
        </w:tc>
        <w:tc>
          <w:tcPr>
            <w:tcW w:w="1412" w:type="dxa"/>
            <w:tcBorders>
              <w:top w:val="single" w:sz="2" w:space="0" w:color="auto"/>
              <w:left w:val="single" w:sz="2" w:space="0" w:color="auto"/>
              <w:bottom w:val="single" w:sz="2" w:space="0" w:color="auto"/>
              <w:right w:val="single" w:sz="2" w:space="0" w:color="auto"/>
            </w:tcBorders>
            <w:vAlign w:val="center"/>
          </w:tcPr>
          <w:p w14:paraId="1ECD5085"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до 50</w:t>
            </w:r>
          </w:p>
        </w:tc>
        <w:tc>
          <w:tcPr>
            <w:tcW w:w="2136" w:type="dxa"/>
            <w:tcBorders>
              <w:top w:val="single" w:sz="2" w:space="0" w:color="auto"/>
              <w:left w:val="single" w:sz="2" w:space="0" w:color="auto"/>
              <w:bottom w:val="single" w:sz="2" w:space="0" w:color="auto"/>
              <w:right w:val="single" w:sz="2" w:space="0" w:color="auto"/>
            </w:tcBorders>
            <w:vAlign w:val="center"/>
          </w:tcPr>
          <w:p w14:paraId="4596CE6A"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20</w:t>
            </w:r>
          </w:p>
        </w:tc>
        <w:tc>
          <w:tcPr>
            <w:tcW w:w="1950" w:type="dxa"/>
            <w:tcBorders>
              <w:top w:val="single" w:sz="2" w:space="0" w:color="auto"/>
              <w:left w:val="single" w:sz="2" w:space="0" w:color="auto"/>
              <w:bottom w:val="single" w:sz="2" w:space="0" w:color="auto"/>
              <w:right w:val="single" w:sz="2" w:space="0" w:color="auto"/>
            </w:tcBorders>
            <w:vAlign w:val="center"/>
          </w:tcPr>
          <w:p w14:paraId="4579990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6</w:t>
            </w:r>
          </w:p>
        </w:tc>
      </w:tr>
      <w:tr w:rsidR="00271FA2" w:rsidRPr="00F06DE2" w14:paraId="1705C3DE"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6735FA05" w14:textId="77777777" w:rsidR="00271FA2" w:rsidRPr="00F06DE2" w:rsidRDefault="00271FA2">
            <w:pPr>
              <w:adjustRightInd w:val="0"/>
              <w:spacing w:line="240" w:lineRule="atLeast"/>
              <w:rPr>
                <w:rFonts w:ascii="Times New Roman" w:hAnsi="Times New Roman" w:cs="Times New Roman"/>
              </w:rPr>
            </w:pPr>
          </w:p>
        </w:tc>
        <w:tc>
          <w:tcPr>
            <w:tcW w:w="1559" w:type="dxa"/>
            <w:vMerge/>
            <w:tcBorders>
              <w:top w:val="single" w:sz="2" w:space="0" w:color="auto"/>
              <w:left w:val="single" w:sz="2" w:space="0" w:color="auto"/>
              <w:bottom w:val="single" w:sz="2" w:space="0" w:color="auto"/>
              <w:right w:val="single" w:sz="2" w:space="0" w:color="auto"/>
            </w:tcBorders>
            <w:vAlign w:val="center"/>
          </w:tcPr>
          <w:p w14:paraId="1CC58163" w14:textId="77777777" w:rsidR="00271FA2" w:rsidRPr="00F06DE2" w:rsidRDefault="00271FA2">
            <w:pPr>
              <w:adjustRightInd w:val="0"/>
              <w:spacing w:line="240" w:lineRule="atLeast"/>
              <w:rPr>
                <w:rFonts w:ascii="Times New Roman" w:hAnsi="Times New Roman" w:cs="Times New Roman"/>
              </w:rPr>
            </w:pPr>
          </w:p>
        </w:tc>
        <w:tc>
          <w:tcPr>
            <w:tcW w:w="1412" w:type="dxa"/>
            <w:tcBorders>
              <w:top w:val="single" w:sz="2" w:space="0" w:color="auto"/>
              <w:left w:val="single" w:sz="2" w:space="0" w:color="auto"/>
              <w:bottom w:val="single" w:sz="2" w:space="0" w:color="auto"/>
              <w:right w:val="single" w:sz="2" w:space="0" w:color="auto"/>
            </w:tcBorders>
            <w:vAlign w:val="center"/>
          </w:tcPr>
          <w:p w14:paraId="60017832"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&gt; 50 до 80</w:t>
            </w:r>
          </w:p>
        </w:tc>
        <w:tc>
          <w:tcPr>
            <w:tcW w:w="2136" w:type="dxa"/>
            <w:tcBorders>
              <w:top w:val="single" w:sz="2" w:space="0" w:color="auto"/>
              <w:left w:val="single" w:sz="2" w:space="0" w:color="auto"/>
              <w:bottom w:val="single" w:sz="2" w:space="0" w:color="auto"/>
              <w:right w:val="single" w:sz="2" w:space="0" w:color="auto"/>
            </w:tcBorders>
            <w:vAlign w:val="center"/>
          </w:tcPr>
          <w:p w14:paraId="336D101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30</w:t>
            </w:r>
          </w:p>
        </w:tc>
        <w:tc>
          <w:tcPr>
            <w:tcW w:w="1950" w:type="dxa"/>
            <w:tcBorders>
              <w:top w:val="single" w:sz="2" w:space="0" w:color="auto"/>
              <w:left w:val="single" w:sz="2" w:space="0" w:color="auto"/>
              <w:bottom w:val="single" w:sz="2" w:space="0" w:color="auto"/>
              <w:right w:val="single" w:sz="2" w:space="0" w:color="auto"/>
            </w:tcBorders>
            <w:vAlign w:val="center"/>
          </w:tcPr>
          <w:p w14:paraId="7A0E70AE"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8</w:t>
            </w:r>
          </w:p>
        </w:tc>
      </w:tr>
      <w:tr w:rsidR="00271FA2" w:rsidRPr="00F06DE2" w14:paraId="431E0181"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5337CA7A" w14:textId="77777777" w:rsidR="00271FA2" w:rsidRPr="00F06DE2" w:rsidRDefault="00271FA2">
            <w:pPr>
              <w:adjustRightInd w:val="0"/>
              <w:spacing w:line="240" w:lineRule="atLeast"/>
              <w:rPr>
                <w:rFonts w:ascii="Times New Roman" w:hAnsi="Times New Roman" w:cs="Times New Roman"/>
              </w:rPr>
            </w:pPr>
          </w:p>
        </w:tc>
        <w:tc>
          <w:tcPr>
            <w:tcW w:w="1559" w:type="dxa"/>
            <w:vMerge/>
            <w:tcBorders>
              <w:top w:val="single" w:sz="2" w:space="0" w:color="auto"/>
              <w:left w:val="single" w:sz="2" w:space="0" w:color="auto"/>
              <w:bottom w:val="single" w:sz="2" w:space="0" w:color="auto"/>
              <w:right w:val="single" w:sz="2" w:space="0" w:color="auto"/>
            </w:tcBorders>
            <w:vAlign w:val="center"/>
          </w:tcPr>
          <w:p w14:paraId="1E5F9851" w14:textId="77777777" w:rsidR="00271FA2" w:rsidRPr="00F06DE2" w:rsidRDefault="00271FA2">
            <w:pPr>
              <w:adjustRightInd w:val="0"/>
              <w:spacing w:line="240" w:lineRule="atLeast"/>
              <w:rPr>
                <w:rFonts w:ascii="Times New Roman" w:hAnsi="Times New Roman" w:cs="Times New Roman"/>
              </w:rPr>
            </w:pPr>
          </w:p>
        </w:tc>
        <w:tc>
          <w:tcPr>
            <w:tcW w:w="1412" w:type="dxa"/>
            <w:tcBorders>
              <w:top w:val="single" w:sz="2" w:space="0" w:color="auto"/>
              <w:left w:val="single" w:sz="2" w:space="0" w:color="auto"/>
              <w:bottom w:val="single" w:sz="2" w:space="0" w:color="auto"/>
              <w:right w:val="single" w:sz="2" w:space="0" w:color="auto"/>
            </w:tcBorders>
            <w:vAlign w:val="center"/>
          </w:tcPr>
          <w:p w14:paraId="546327C7"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&gt; 80 до 120</w:t>
            </w:r>
          </w:p>
        </w:tc>
        <w:tc>
          <w:tcPr>
            <w:tcW w:w="2136" w:type="dxa"/>
            <w:tcBorders>
              <w:top w:val="single" w:sz="2" w:space="0" w:color="auto"/>
              <w:left w:val="single" w:sz="2" w:space="0" w:color="auto"/>
              <w:bottom w:val="single" w:sz="2" w:space="0" w:color="auto"/>
              <w:right w:val="single" w:sz="2" w:space="0" w:color="auto"/>
            </w:tcBorders>
            <w:vAlign w:val="center"/>
          </w:tcPr>
          <w:p w14:paraId="7AF9DAA6"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60</w:t>
            </w:r>
          </w:p>
        </w:tc>
        <w:tc>
          <w:tcPr>
            <w:tcW w:w="1950" w:type="dxa"/>
            <w:tcBorders>
              <w:top w:val="single" w:sz="2" w:space="0" w:color="auto"/>
              <w:left w:val="single" w:sz="2" w:space="0" w:color="auto"/>
              <w:bottom w:val="single" w:sz="2" w:space="0" w:color="auto"/>
              <w:right w:val="single" w:sz="2" w:space="0" w:color="auto"/>
            </w:tcBorders>
            <w:vAlign w:val="center"/>
          </w:tcPr>
          <w:p w14:paraId="5E461EF2"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10</w:t>
            </w:r>
          </w:p>
        </w:tc>
      </w:tr>
      <w:tr w:rsidR="00271FA2" w:rsidRPr="00F06DE2" w14:paraId="72F101A9"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712C98AA" w14:textId="77777777" w:rsidR="00271FA2" w:rsidRPr="00F06DE2" w:rsidRDefault="00271FA2">
            <w:pPr>
              <w:adjustRightInd w:val="0"/>
              <w:spacing w:line="240" w:lineRule="atLeast"/>
              <w:rPr>
                <w:rFonts w:ascii="Times New Roman" w:hAnsi="Times New Roman" w:cs="Times New Roman"/>
              </w:rPr>
            </w:pPr>
          </w:p>
        </w:tc>
        <w:tc>
          <w:tcPr>
            <w:tcW w:w="1559" w:type="dxa"/>
            <w:vMerge/>
            <w:tcBorders>
              <w:top w:val="single" w:sz="2" w:space="0" w:color="auto"/>
              <w:left w:val="single" w:sz="2" w:space="0" w:color="auto"/>
              <w:bottom w:val="single" w:sz="2" w:space="0" w:color="auto"/>
              <w:right w:val="single" w:sz="2" w:space="0" w:color="auto"/>
            </w:tcBorders>
            <w:vAlign w:val="center"/>
          </w:tcPr>
          <w:p w14:paraId="56E993B0" w14:textId="77777777" w:rsidR="00271FA2" w:rsidRPr="00F06DE2" w:rsidRDefault="00271FA2">
            <w:pPr>
              <w:adjustRightInd w:val="0"/>
              <w:spacing w:line="240" w:lineRule="atLeast"/>
              <w:rPr>
                <w:rFonts w:ascii="Times New Roman" w:hAnsi="Times New Roman" w:cs="Times New Roman"/>
              </w:rPr>
            </w:pPr>
          </w:p>
        </w:tc>
        <w:tc>
          <w:tcPr>
            <w:tcW w:w="1412" w:type="dxa"/>
            <w:tcBorders>
              <w:top w:val="single" w:sz="2" w:space="0" w:color="auto"/>
              <w:left w:val="single" w:sz="2" w:space="0" w:color="auto"/>
              <w:bottom w:val="single" w:sz="2" w:space="0" w:color="auto"/>
              <w:right w:val="single" w:sz="2" w:space="0" w:color="auto"/>
            </w:tcBorders>
            <w:vAlign w:val="center"/>
          </w:tcPr>
          <w:p w14:paraId="59D3B05C"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&gt;120 до 160</w:t>
            </w:r>
          </w:p>
        </w:tc>
        <w:tc>
          <w:tcPr>
            <w:tcW w:w="2136" w:type="dxa"/>
            <w:tcBorders>
              <w:top w:val="single" w:sz="2" w:space="0" w:color="auto"/>
              <w:left w:val="single" w:sz="2" w:space="0" w:color="auto"/>
              <w:bottom w:val="single" w:sz="2" w:space="0" w:color="auto"/>
              <w:right w:val="single" w:sz="2" w:space="0" w:color="auto"/>
            </w:tcBorders>
            <w:vAlign w:val="center"/>
          </w:tcPr>
          <w:p w14:paraId="2921A911"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80</w:t>
            </w:r>
          </w:p>
        </w:tc>
        <w:tc>
          <w:tcPr>
            <w:tcW w:w="1950" w:type="dxa"/>
            <w:tcBorders>
              <w:top w:val="single" w:sz="2" w:space="0" w:color="auto"/>
              <w:left w:val="single" w:sz="2" w:space="0" w:color="auto"/>
              <w:bottom w:val="single" w:sz="2" w:space="0" w:color="auto"/>
              <w:right w:val="single" w:sz="2" w:space="0" w:color="auto"/>
            </w:tcBorders>
            <w:vAlign w:val="center"/>
          </w:tcPr>
          <w:p w14:paraId="0B5FBD62"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12</w:t>
            </w:r>
          </w:p>
        </w:tc>
      </w:tr>
      <w:tr w:rsidR="00271FA2" w:rsidRPr="00F06DE2" w14:paraId="346CB0A1"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22D99EEA" w14:textId="77777777" w:rsidR="00271FA2" w:rsidRPr="00F06DE2" w:rsidRDefault="00271FA2">
            <w:pPr>
              <w:adjustRightInd w:val="0"/>
              <w:spacing w:line="240" w:lineRule="atLeast"/>
              <w:rPr>
                <w:rFonts w:ascii="Times New Roman" w:hAnsi="Times New Roman" w:cs="Times New Roman"/>
              </w:rPr>
            </w:pPr>
          </w:p>
        </w:tc>
        <w:tc>
          <w:tcPr>
            <w:tcW w:w="1559" w:type="dxa"/>
            <w:tcBorders>
              <w:top w:val="single" w:sz="2" w:space="0" w:color="auto"/>
              <w:left w:val="single" w:sz="2" w:space="0" w:color="auto"/>
              <w:bottom w:val="single" w:sz="2" w:space="0" w:color="auto"/>
              <w:right w:val="single" w:sz="2" w:space="0" w:color="auto"/>
            </w:tcBorders>
            <w:vAlign w:val="center"/>
          </w:tcPr>
          <w:p w14:paraId="11B24DDA"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Синтетично влакно (РР)</w:t>
            </w:r>
          </w:p>
        </w:tc>
        <w:tc>
          <w:tcPr>
            <w:tcW w:w="5498" w:type="dxa"/>
            <w:gridSpan w:val="3"/>
            <w:tcBorders>
              <w:top w:val="single" w:sz="2" w:space="0" w:color="auto"/>
              <w:left w:val="single" w:sz="2" w:space="0" w:color="auto"/>
              <w:bottom w:val="single" w:sz="2" w:space="0" w:color="auto"/>
              <w:right w:val="single" w:sz="2" w:space="0" w:color="auto"/>
            </w:tcBorders>
            <w:vAlign w:val="center"/>
          </w:tcPr>
          <w:p w14:paraId="00616BAE" w14:textId="77777777" w:rsidR="00271FA2" w:rsidRPr="00F06DE2" w:rsidRDefault="00D35E51">
            <w:pPr>
              <w:pStyle w:val="NormalLeft"/>
              <w:spacing w:line="240" w:lineRule="atLeast"/>
              <w:jc w:val="both"/>
              <w:rPr>
                <w:rFonts w:ascii="Times New Roman" w:hAnsi="Times New Roman" w:cs="Times New Roman"/>
                <w:lang w:val="ru-RU"/>
              </w:rPr>
            </w:pPr>
            <w:r w:rsidRPr="00F06DE2">
              <w:rPr>
                <w:rFonts w:ascii="Times New Roman" w:hAnsi="Times New Roman" w:cs="Times New Roman"/>
                <w:lang w:val="ru-RU"/>
              </w:rPr>
              <w:t>Диаметър на въжето от поне 18</w:t>
            </w:r>
            <w:r w:rsidRPr="00F06DE2">
              <w:rPr>
                <w:rFonts w:ascii="Times New Roman" w:hAnsi="Times New Roman" w:cs="Times New Roman"/>
              </w:rPr>
              <w:t> mm</w:t>
            </w:r>
            <w:r w:rsidRPr="00F06DE2">
              <w:rPr>
                <w:rFonts w:ascii="Times New Roman" w:hAnsi="Times New Roman" w:cs="Times New Roman"/>
                <w:lang w:val="ru-RU"/>
              </w:rPr>
              <w:t xml:space="preserve"> и една въжена шайба за всеки 30</w:t>
            </w:r>
            <w:r w:rsidRPr="00F06DE2">
              <w:rPr>
                <w:rFonts w:ascii="Times New Roman" w:hAnsi="Times New Roman" w:cs="Times New Roman"/>
              </w:rPr>
              <w:t> 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или част от тях</w:t>
            </w:r>
          </w:p>
        </w:tc>
      </w:tr>
      <w:tr w:rsidR="00271FA2" w:rsidRPr="00F06DE2" w14:paraId="0FF833B4" w14:textId="77777777">
        <w:trPr>
          <w:cantSplit/>
          <w:jc w:val="center"/>
        </w:trPr>
        <w:tc>
          <w:tcPr>
            <w:tcW w:w="1982" w:type="dxa"/>
            <w:vMerge w:val="restart"/>
            <w:tcBorders>
              <w:top w:val="single" w:sz="2" w:space="0" w:color="auto"/>
              <w:left w:val="single" w:sz="2" w:space="0" w:color="auto"/>
              <w:bottom w:val="single" w:sz="2" w:space="0" w:color="auto"/>
              <w:right w:val="single" w:sz="2" w:space="0" w:color="auto"/>
            </w:tcBorders>
            <w:vAlign w:val="center"/>
          </w:tcPr>
          <w:p w14:paraId="48C0CFBB"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Стакселни шкоти</w:t>
            </w:r>
          </w:p>
        </w:tc>
        <w:tc>
          <w:tcPr>
            <w:tcW w:w="1559" w:type="dxa"/>
            <w:vMerge w:val="restart"/>
            <w:tcBorders>
              <w:top w:val="single" w:sz="2" w:space="0" w:color="auto"/>
              <w:left w:val="single" w:sz="2" w:space="0" w:color="auto"/>
              <w:bottom w:val="single" w:sz="2" w:space="0" w:color="auto"/>
              <w:right w:val="single" w:sz="2" w:space="0" w:color="auto"/>
            </w:tcBorders>
            <w:vAlign w:val="center"/>
          </w:tcPr>
          <w:p w14:paraId="27EE067C"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Синтетично влакно (РР)</w:t>
            </w:r>
          </w:p>
        </w:tc>
        <w:tc>
          <w:tcPr>
            <w:tcW w:w="1412" w:type="dxa"/>
            <w:tcBorders>
              <w:top w:val="single" w:sz="2" w:space="0" w:color="auto"/>
              <w:left w:val="single" w:sz="2" w:space="0" w:color="auto"/>
              <w:bottom w:val="single" w:sz="2" w:space="0" w:color="auto"/>
              <w:right w:val="single" w:sz="2" w:space="0" w:color="auto"/>
            </w:tcBorders>
            <w:vAlign w:val="center"/>
          </w:tcPr>
          <w:p w14:paraId="717B9CCF"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до 40</w:t>
            </w:r>
          </w:p>
        </w:tc>
        <w:tc>
          <w:tcPr>
            <w:tcW w:w="2136" w:type="dxa"/>
            <w:tcBorders>
              <w:top w:val="single" w:sz="2" w:space="0" w:color="auto"/>
              <w:left w:val="single" w:sz="2" w:space="0" w:color="auto"/>
              <w:bottom w:val="single" w:sz="2" w:space="0" w:color="auto"/>
              <w:right w:val="single" w:sz="2" w:space="0" w:color="auto"/>
            </w:tcBorders>
            <w:vAlign w:val="center"/>
          </w:tcPr>
          <w:p w14:paraId="2E3BA244"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14</w:t>
            </w:r>
          </w:p>
        </w:tc>
        <w:tc>
          <w:tcPr>
            <w:tcW w:w="1950" w:type="dxa"/>
            <w:tcBorders>
              <w:top w:val="single" w:sz="2" w:space="0" w:color="auto"/>
              <w:left w:val="single" w:sz="2" w:space="0" w:color="auto"/>
              <w:bottom w:val="single" w:sz="2" w:space="0" w:color="auto"/>
              <w:right w:val="single" w:sz="2" w:space="0" w:color="auto"/>
            </w:tcBorders>
            <w:vAlign w:val="center"/>
          </w:tcPr>
          <w:p w14:paraId="40CCE84A" w14:textId="77777777" w:rsidR="00271FA2" w:rsidRPr="00F06DE2" w:rsidRDefault="00271FA2">
            <w:pPr>
              <w:pStyle w:val="NormalLeft"/>
              <w:spacing w:line="240" w:lineRule="atLeast"/>
              <w:jc w:val="center"/>
              <w:rPr>
                <w:rFonts w:ascii="Times New Roman" w:hAnsi="Times New Roman" w:cs="Times New Roman"/>
              </w:rPr>
            </w:pPr>
          </w:p>
        </w:tc>
      </w:tr>
      <w:tr w:rsidR="00271FA2" w:rsidRPr="00F06DE2" w14:paraId="16D597F7"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3FE44B8B" w14:textId="77777777" w:rsidR="00271FA2" w:rsidRPr="00F06DE2" w:rsidRDefault="00271FA2">
            <w:pPr>
              <w:adjustRightInd w:val="0"/>
              <w:spacing w:line="240" w:lineRule="atLeast"/>
              <w:rPr>
                <w:rFonts w:ascii="Times New Roman" w:hAnsi="Times New Roman" w:cs="Times New Roman"/>
              </w:rPr>
            </w:pPr>
          </w:p>
        </w:tc>
        <w:tc>
          <w:tcPr>
            <w:tcW w:w="1559" w:type="dxa"/>
            <w:vMerge/>
            <w:tcBorders>
              <w:top w:val="single" w:sz="2" w:space="0" w:color="auto"/>
              <w:left w:val="single" w:sz="2" w:space="0" w:color="auto"/>
              <w:bottom w:val="single" w:sz="2" w:space="0" w:color="auto"/>
              <w:right w:val="single" w:sz="2" w:space="0" w:color="auto"/>
            </w:tcBorders>
            <w:vAlign w:val="center"/>
          </w:tcPr>
          <w:p w14:paraId="3432F474" w14:textId="77777777" w:rsidR="00271FA2" w:rsidRPr="00F06DE2" w:rsidRDefault="00271FA2">
            <w:pPr>
              <w:adjustRightInd w:val="0"/>
              <w:spacing w:line="240" w:lineRule="atLeast"/>
              <w:rPr>
                <w:rFonts w:ascii="Times New Roman" w:hAnsi="Times New Roman" w:cs="Times New Roman"/>
              </w:rPr>
            </w:pPr>
          </w:p>
        </w:tc>
        <w:tc>
          <w:tcPr>
            <w:tcW w:w="1412" w:type="dxa"/>
            <w:tcBorders>
              <w:top w:val="single" w:sz="2" w:space="0" w:color="auto"/>
              <w:left w:val="single" w:sz="2" w:space="0" w:color="auto"/>
              <w:bottom w:val="single" w:sz="2" w:space="0" w:color="auto"/>
              <w:right w:val="single" w:sz="2" w:space="0" w:color="auto"/>
            </w:tcBorders>
            <w:vAlign w:val="center"/>
          </w:tcPr>
          <w:p w14:paraId="21D8E1A1"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&gt; 40</w:t>
            </w:r>
          </w:p>
        </w:tc>
        <w:tc>
          <w:tcPr>
            <w:tcW w:w="2136" w:type="dxa"/>
            <w:tcBorders>
              <w:top w:val="single" w:sz="2" w:space="0" w:color="auto"/>
              <w:left w:val="single" w:sz="2" w:space="0" w:color="auto"/>
              <w:bottom w:val="single" w:sz="2" w:space="0" w:color="auto"/>
              <w:right w:val="single" w:sz="2" w:space="0" w:color="auto"/>
            </w:tcBorders>
            <w:vAlign w:val="center"/>
          </w:tcPr>
          <w:p w14:paraId="1854AF03" w14:textId="77777777" w:rsidR="00271FA2" w:rsidRPr="00F06DE2" w:rsidRDefault="00D35E51">
            <w:pPr>
              <w:pStyle w:val="NormalLeft"/>
              <w:spacing w:line="240" w:lineRule="atLeast"/>
              <w:jc w:val="center"/>
              <w:rPr>
                <w:rFonts w:ascii="Times New Roman" w:hAnsi="Times New Roman" w:cs="Times New Roman"/>
              </w:rPr>
            </w:pPr>
            <w:r w:rsidRPr="00F06DE2">
              <w:rPr>
                <w:rFonts w:ascii="Times New Roman" w:hAnsi="Times New Roman" w:cs="Times New Roman"/>
              </w:rPr>
              <w:t>18</w:t>
            </w:r>
          </w:p>
        </w:tc>
        <w:tc>
          <w:tcPr>
            <w:tcW w:w="1950" w:type="dxa"/>
            <w:tcBorders>
              <w:top w:val="single" w:sz="2" w:space="0" w:color="auto"/>
              <w:left w:val="single" w:sz="2" w:space="0" w:color="auto"/>
              <w:bottom w:val="single" w:sz="2" w:space="0" w:color="auto"/>
              <w:right w:val="single" w:sz="2" w:space="0" w:color="auto"/>
            </w:tcBorders>
            <w:vAlign w:val="center"/>
          </w:tcPr>
          <w:p w14:paraId="03CAD18C" w14:textId="77777777" w:rsidR="00271FA2" w:rsidRPr="00F06DE2" w:rsidRDefault="00271FA2">
            <w:pPr>
              <w:pStyle w:val="NormalLeft"/>
              <w:spacing w:line="240" w:lineRule="atLeast"/>
              <w:jc w:val="center"/>
              <w:rPr>
                <w:rFonts w:ascii="Times New Roman" w:hAnsi="Times New Roman" w:cs="Times New Roman"/>
              </w:rPr>
            </w:pPr>
          </w:p>
        </w:tc>
      </w:tr>
      <w:tr w:rsidR="00271FA2" w:rsidRPr="00F06DE2" w14:paraId="252C5B28"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1B33A9BC" w14:textId="77777777" w:rsidR="00271FA2" w:rsidRPr="00F06DE2" w:rsidRDefault="00271FA2">
            <w:pPr>
              <w:adjustRightInd w:val="0"/>
              <w:spacing w:line="240" w:lineRule="atLeast"/>
              <w:rPr>
                <w:rFonts w:ascii="Times New Roman" w:hAnsi="Times New Roman" w:cs="Times New Roman"/>
              </w:rPr>
            </w:pPr>
          </w:p>
        </w:tc>
        <w:tc>
          <w:tcPr>
            <w:tcW w:w="7057" w:type="dxa"/>
            <w:gridSpan w:val="4"/>
            <w:tcBorders>
              <w:top w:val="single" w:sz="2" w:space="0" w:color="auto"/>
              <w:left w:val="single" w:sz="2" w:space="0" w:color="auto"/>
              <w:bottom w:val="single" w:sz="2" w:space="0" w:color="auto"/>
              <w:right w:val="single" w:sz="2" w:space="0" w:color="auto"/>
            </w:tcBorders>
            <w:vAlign w:val="center"/>
          </w:tcPr>
          <w:p w14:paraId="28036452" w14:textId="77777777" w:rsidR="00271FA2" w:rsidRPr="00F06DE2" w:rsidRDefault="00D35E51">
            <w:pPr>
              <w:pStyle w:val="NormalLeft"/>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ветрилни площи от над 30 </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 шкотът трябва да заема формата на тал или да е пригоден за лебедка</w:t>
            </w:r>
          </w:p>
        </w:tc>
      </w:tr>
      <w:tr w:rsidR="00271FA2" w:rsidRPr="00F06DE2" w14:paraId="2E354C47" w14:textId="77777777">
        <w:trPr>
          <w:cantSplit/>
          <w:jc w:val="center"/>
        </w:trPr>
        <w:tc>
          <w:tcPr>
            <w:tcW w:w="1982" w:type="dxa"/>
            <w:vMerge w:val="restart"/>
            <w:tcBorders>
              <w:top w:val="single" w:sz="2" w:space="0" w:color="auto"/>
              <w:left w:val="single" w:sz="2" w:space="0" w:color="auto"/>
              <w:bottom w:val="single" w:sz="2" w:space="0" w:color="auto"/>
              <w:right w:val="single" w:sz="2" w:space="0" w:color="auto"/>
            </w:tcBorders>
            <w:vAlign w:val="center"/>
          </w:tcPr>
          <w:p w14:paraId="31B1DE4E"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Гафелни/марсови шкоти</w:t>
            </w:r>
          </w:p>
        </w:tc>
        <w:tc>
          <w:tcPr>
            <w:tcW w:w="1559" w:type="dxa"/>
            <w:vMerge w:val="restart"/>
            <w:tcBorders>
              <w:top w:val="single" w:sz="2" w:space="0" w:color="auto"/>
              <w:left w:val="single" w:sz="2" w:space="0" w:color="auto"/>
              <w:bottom w:val="single" w:sz="2" w:space="0" w:color="auto"/>
              <w:right w:val="single" w:sz="2" w:space="0" w:color="auto"/>
            </w:tcBorders>
            <w:vAlign w:val="center"/>
          </w:tcPr>
          <w:p w14:paraId="0FAA28D6"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Стоманена жица</w:t>
            </w:r>
          </w:p>
        </w:tc>
        <w:tc>
          <w:tcPr>
            <w:tcW w:w="1412" w:type="dxa"/>
            <w:tcBorders>
              <w:top w:val="single" w:sz="2" w:space="0" w:color="auto"/>
              <w:left w:val="single" w:sz="2" w:space="0" w:color="auto"/>
              <w:bottom w:val="single" w:sz="2" w:space="0" w:color="auto"/>
              <w:right w:val="single" w:sz="2" w:space="0" w:color="auto"/>
            </w:tcBorders>
            <w:vAlign w:val="center"/>
          </w:tcPr>
          <w:p w14:paraId="0DED4CB2"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&lt; 100</w:t>
            </w:r>
          </w:p>
        </w:tc>
        <w:tc>
          <w:tcPr>
            <w:tcW w:w="2136" w:type="dxa"/>
            <w:tcBorders>
              <w:top w:val="single" w:sz="2" w:space="0" w:color="auto"/>
              <w:left w:val="single" w:sz="2" w:space="0" w:color="auto"/>
              <w:bottom w:val="single" w:sz="2" w:space="0" w:color="auto"/>
              <w:right w:val="single" w:sz="2" w:space="0" w:color="auto"/>
            </w:tcBorders>
            <w:vAlign w:val="center"/>
          </w:tcPr>
          <w:p w14:paraId="63A40FEB"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60</w:t>
            </w:r>
          </w:p>
        </w:tc>
        <w:tc>
          <w:tcPr>
            <w:tcW w:w="1950" w:type="dxa"/>
            <w:tcBorders>
              <w:top w:val="single" w:sz="2" w:space="0" w:color="auto"/>
              <w:left w:val="single" w:sz="2" w:space="0" w:color="auto"/>
              <w:bottom w:val="single" w:sz="2" w:space="0" w:color="auto"/>
              <w:right w:val="single" w:sz="2" w:space="0" w:color="auto"/>
            </w:tcBorders>
            <w:vAlign w:val="center"/>
          </w:tcPr>
          <w:p w14:paraId="2803A09C"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10</w:t>
            </w:r>
          </w:p>
        </w:tc>
      </w:tr>
      <w:tr w:rsidR="00271FA2" w:rsidRPr="00F06DE2" w14:paraId="193BB1B2"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4DBBFDD5" w14:textId="77777777" w:rsidR="00271FA2" w:rsidRPr="00F06DE2" w:rsidRDefault="00271FA2">
            <w:pPr>
              <w:adjustRightInd w:val="0"/>
              <w:spacing w:line="240" w:lineRule="atLeast"/>
              <w:rPr>
                <w:rFonts w:ascii="Times New Roman" w:hAnsi="Times New Roman" w:cs="Times New Roman"/>
              </w:rPr>
            </w:pPr>
          </w:p>
        </w:tc>
        <w:tc>
          <w:tcPr>
            <w:tcW w:w="1559" w:type="dxa"/>
            <w:vMerge/>
            <w:tcBorders>
              <w:top w:val="single" w:sz="2" w:space="0" w:color="auto"/>
              <w:left w:val="single" w:sz="2" w:space="0" w:color="auto"/>
              <w:bottom w:val="single" w:sz="2" w:space="0" w:color="auto"/>
              <w:right w:val="single" w:sz="2" w:space="0" w:color="auto"/>
            </w:tcBorders>
            <w:vAlign w:val="center"/>
          </w:tcPr>
          <w:p w14:paraId="4005BD81" w14:textId="77777777" w:rsidR="00271FA2" w:rsidRPr="00F06DE2" w:rsidRDefault="00271FA2">
            <w:pPr>
              <w:adjustRightInd w:val="0"/>
              <w:spacing w:line="240" w:lineRule="atLeast"/>
              <w:rPr>
                <w:rFonts w:ascii="Times New Roman" w:hAnsi="Times New Roman" w:cs="Times New Roman"/>
              </w:rPr>
            </w:pPr>
          </w:p>
        </w:tc>
        <w:tc>
          <w:tcPr>
            <w:tcW w:w="1412" w:type="dxa"/>
            <w:tcBorders>
              <w:top w:val="single" w:sz="2" w:space="0" w:color="auto"/>
              <w:left w:val="single" w:sz="2" w:space="0" w:color="auto"/>
              <w:bottom w:val="single" w:sz="2" w:space="0" w:color="auto"/>
              <w:right w:val="single" w:sz="2" w:space="0" w:color="auto"/>
            </w:tcBorders>
            <w:vAlign w:val="center"/>
          </w:tcPr>
          <w:p w14:paraId="3743D1A2"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100 до 150</w:t>
            </w:r>
          </w:p>
        </w:tc>
        <w:tc>
          <w:tcPr>
            <w:tcW w:w="2136" w:type="dxa"/>
            <w:tcBorders>
              <w:top w:val="single" w:sz="2" w:space="0" w:color="auto"/>
              <w:left w:val="single" w:sz="2" w:space="0" w:color="auto"/>
              <w:bottom w:val="single" w:sz="2" w:space="0" w:color="auto"/>
              <w:right w:val="single" w:sz="2" w:space="0" w:color="auto"/>
            </w:tcBorders>
            <w:vAlign w:val="center"/>
          </w:tcPr>
          <w:p w14:paraId="3FCE108A"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85</w:t>
            </w:r>
          </w:p>
        </w:tc>
        <w:tc>
          <w:tcPr>
            <w:tcW w:w="1950" w:type="dxa"/>
            <w:tcBorders>
              <w:top w:val="single" w:sz="2" w:space="0" w:color="auto"/>
              <w:left w:val="single" w:sz="2" w:space="0" w:color="auto"/>
              <w:bottom w:val="single" w:sz="2" w:space="0" w:color="auto"/>
              <w:right w:val="single" w:sz="2" w:space="0" w:color="auto"/>
            </w:tcBorders>
            <w:vAlign w:val="center"/>
          </w:tcPr>
          <w:p w14:paraId="5F5D4C0F"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12</w:t>
            </w:r>
          </w:p>
        </w:tc>
      </w:tr>
      <w:tr w:rsidR="00271FA2" w:rsidRPr="00F06DE2" w14:paraId="3981D50F"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221CAFC4" w14:textId="77777777" w:rsidR="00271FA2" w:rsidRPr="00F06DE2" w:rsidRDefault="00271FA2">
            <w:pPr>
              <w:adjustRightInd w:val="0"/>
              <w:spacing w:line="240" w:lineRule="atLeast"/>
              <w:rPr>
                <w:rFonts w:ascii="Times New Roman" w:hAnsi="Times New Roman" w:cs="Times New Roman"/>
              </w:rPr>
            </w:pPr>
          </w:p>
        </w:tc>
        <w:tc>
          <w:tcPr>
            <w:tcW w:w="1559" w:type="dxa"/>
            <w:vMerge/>
            <w:tcBorders>
              <w:top w:val="single" w:sz="2" w:space="0" w:color="auto"/>
              <w:left w:val="single" w:sz="2" w:space="0" w:color="auto"/>
              <w:bottom w:val="single" w:sz="2" w:space="0" w:color="auto"/>
              <w:right w:val="single" w:sz="2" w:space="0" w:color="auto"/>
            </w:tcBorders>
            <w:vAlign w:val="center"/>
          </w:tcPr>
          <w:p w14:paraId="418FAB39" w14:textId="77777777" w:rsidR="00271FA2" w:rsidRPr="00F06DE2" w:rsidRDefault="00271FA2">
            <w:pPr>
              <w:adjustRightInd w:val="0"/>
              <w:spacing w:line="240" w:lineRule="atLeast"/>
              <w:rPr>
                <w:rFonts w:ascii="Times New Roman" w:hAnsi="Times New Roman" w:cs="Times New Roman"/>
              </w:rPr>
            </w:pPr>
          </w:p>
        </w:tc>
        <w:tc>
          <w:tcPr>
            <w:tcW w:w="1412" w:type="dxa"/>
            <w:tcBorders>
              <w:top w:val="single" w:sz="2" w:space="0" w:color="auto"/>
              <w:left w:val="single" w:sz="2" w:space="0" w:color="auto"/>
              <w:bottom w:val="single" w:sz="2" w:space="0" w:color="auto"/>
              <w:right w:val="single" w:sz="2" w:space="0" w:color="auto"/>
            </w:tcBorders>
            <w:vAlign w:val="center"/>
          </w:tcPr>
          <w:p w14:paraId="3FA88C50"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&gt; 150</w:t>
            </w:r>
          </w:p>
        </w:tc>
        <w:tc>
          <w:tcPr>
            <w:tcW w:w="2136" w:type="dxa"/>
            <w:tcBorders>
              <w:top w:val="single" w:sz="2" w:space="0" w:color="auto"/>
              <w:left w:val="single" w:sz="2" w:space="0" w:color="auto"/>
              <w:bottom w:val="single" w:sz="2" w:space="0" w:color="auto"/>
              <w:right w:val="single" w:sz="2" w:space="0" w:color="auto"/>
            </w:tcBorders>
            <w:vAlign w:val="center"/>
          </w:tcPr>
          <w:p w14:paraId="401BB467"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116</w:t>
            </w:r>
          </w:p>
        </w:tc>
        <w:tc>
          <w:tcPr>
            <w:tcW w:w="1950" w:type="dxa"/>
            <w:tcBorders>
              <w:top w:val="single" w:sz="2" w:space="0" w:color="auto"/>
              <w:left w:val="single" w:sz="2" w:space="0" w:color="auto"/>
              <w:bottom w:val="single" w:sz="2" w:space="0" w:color="auto"/>
              <w:right w:val="single" w:sz="2" w:space="0" w:color="auto"/>
            </w:tcBorders>
            <w:vAlign w:val="center"/>
          </w:tcPr>
          <w:p w14:paraId="01E49702"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14</w:t>
            </w:r>
          </w:p>
        </w:tc>
      </w:tr>
      <w:tr w:rsidR="00271FA2" w:rsidRPr="00F06DE2" w14:paraId="51F63053"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44D7762B" w14:textId="77777777" w:rsidR="00271FA2" w:rsidRPr="00F06DE2" w:rsidRDefault="00271FA2">
            <w:pPr>
              <w:adjustRightInd w:val="0"/>
              <w:spacing w:line="240" w:lineRule="atLeast"/>
              <w:rPr>
                <w:rFonts w:ascii="Times New Roman" w:hAnsi="Times New Roman" w:cs="Times New Roman"/>
              </w:rPr>
            </w:pPr>
          </w:p>
        </w:tc>
        <w:tc>
          <w:tcPr>
            <w:tcW w:w="1559" w:type="dxa"/>
            <w:vMerge/>
            <w:tcBorders>
              <w:top w:val="single" w:sz="2" w:space="0" w:color="auto"/>
              <w:left w:val="single" w:sz="2" w:space="0" w:color="auto"/>
              <w:bottom w:val="single" w:sz="2" w:space="0" w:color="auto"/>
              <w:right w:val="single" w:sz="2" w:space="0" w:color="auto"/>
            </w:tcBorders>
            <w:vAlign w:val="center"/>
          </w:tcPr>
          <w:p w14:paraId="18DD38AC" w14:textId="77777777" w:rsidR="00271FA2" w:rsidRPr="00F06DE2" w:rsidRDefault="00271FA2">
            <w:pPr>
              <w:adjustRightInd w:val="0"/>
              <w:spacing w:line="240" w:lineRule="atLeast"/>
              <w:rPr>
                <w:rFonts w:ascii="Times New Roman" w:hAnsi="Times New Roman" w:cs="Times New Roman"/>
              </w:rPr>
            </w:pPr>
          </w:p>
        </w:tc>
        <w:tc>
          <w:tcPr>
            <w:tcW w:w="5498" w:type="dxa"/>
            <w:gridSpan w:val="3"/>
            <w:tcBorders>
              <w:top w:val="single" w:sz="2" w:space="0" w:color="auto"/>
              <w:left w:val="single" w:sz="2" w:space="0" w:color="auto"/>
              <w:bottom w:val="single" w:sz="2" w:space="0" w:color="auto"/>
              <w:right w:val="single" w:sz="2" w:space="0" w:color="auto"/>
            </w:tcBorders>
            <w:vAlign w:val="center"/>
          </w:tcPr>
          <w:p w14:paraId="79D3EB48" w14:textId="77777777" w:rsidR="00271FA2" w:rsidRPr="00F06DE2" w:rsidRDefault="00D35E51">
            <w:pPr>
              <w:pStyle w:val="NormalLeft"/>
              <w:spacing w:line="240" w:lineRule="atLeast"/>
              <w:jc w:val="both"/>
              <w:rPr>
                <w:rFonts w:ascii="Times New Roman" w:hAnsi="Times New Roman" w:cs="Times New Roman"/>
                <w:lang w:val="ru-RU"/>
              </w:rPr>
            </w:pPr>
            <w:r w:rsidRPr="00F06DE2">
              <w:rPr>
                <w:rFonts w:ascii="Times New Roman" w:hAnsi="Times New Roman" w:cs="Times New Roman"/>
                <w:lang w:val="ru-RU"/>
              </w:rPr>
              <w:t>При марсовите шкоти са необходими еластични свързващи елементи (плъзгачи).</w:t>
            </w:r>
          </w:p>
        </w:tc>
      </w:tr>
      <w:tr w:rsidR="00271FA2" w:rsidRPr="00F06DE2" w14:paraId="76E413DD" w14:textId="77777777">
        <w:trPr>
          <w:cantSplit/>
          <w:jc w:val="center"/>
        </w:trPr>
        <w:tc>
          <w:tcPr>
            <w:tcW w:w="1982" w:type="dxa"/>
            <w:vMerge/>
            <w:tcBorders>
              <w:top w:val="single" w:sz="2" w:space="0" w:color="auto"/>
              <w:left w:val="single" w:sz="2" w:space="0" w:color="auto"/>
              <w:bottom w:val="single" w:sz="2" w:space="0" w:color="auto"/>
              <w:right w:val="single" w:sz="2" w:space="0" w:color="auto"/>
            </w:tcBorders>
            <w:vAlign w:val="center"/>
          </w:tcPr>
          <w:p w14:paraId="6CA8D410" w14:textId="77777777" w:rsidR="00271FA2" w:rsidRPr="00F06DE2" w:rsidRDefault="00271FA2">
            <w:pPr>
              <w:adjustRightInd w:val="0"/>
              <w:spacing w:line="240" w:lineRule="atLeast"/>
              <w:rPr>
                <w:rFonts w:ascii="Times New Roman" w:hAnsi="Times New Roman" w:cs="Times New Roman"/>
                <w:lang w:val="ru-RU"/>
              </w:rPr>
            </w:pPr>
          </w:p>
        </w:tc>
        <w:tc>
          <w:tcPr>
            <w:tcW w:w="1559" w:type="dxa"/>
            <w:tcBorders>
              <w:top w:val="single" w:sz="2" w:space="0" w:color="auto"/>
              <w:left w:val="single" w:sz="2" w:space="0" w:color="auto"/>
              <w:bottom w:val="single" w:sz="2" w:space="0" w:color="auto"/>
              <w:right w:val="single" w:sz="2" w:space="0" w:color="auto"/>
            </w:tcBorders>
            <w:vAlign w:val="center"/>
          </w:tcPr>
          <w:p w14:paraId="23DC69F1"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Синтетично влакно (РР)</w:t>
            </w:r>
          </w:p>
        </w:tc>
        <w:tc>
          <w:tcPr>
            <w:tcW w:w="5498" w:type="dxa"/>
            <w:gridSpan w:val="3"/>
            <w:tcBorders>
              <w:top w:val="single" w:sz="2" w:space="0" w:color="auto"/>
              <w:left w:val="single" w:sz="2" w:space="0" w:color="auto"/>
              <w:bottom w:val="single" w:sz="2" w:space="0" w:color="auto"/>
              <w:right w:val="single" w:sz="2" w:space="0" w:color="auto"/>
            </w:tcBorders>
            <w:vAlign w:val="center"/>
          </w:tcPr>
          <w:p w14:paraId="59D90D67" w14:textId="77777777" w:rsidR="00271FA2" w:rsidRPr="00F06DE2" w:rsidRDefault="00D35E51">
            <w:pPr>
              <w:pStyle w:val="NormalLeft"/>
              <w:spacing w:line="240" w:lineRule="atLeast"/>
              <w:jc w:val="both"/>
              <w:rPr>
                <w:rFonts w:ascii="Times New Roman" w:hAnsi="Times New Roman" w:cs="Times New Roman"/>
                <w:lang w:val="ru-RU"/>
              </w:rPr>
            </w:pPr>
            <w:r w:rsidRPr="00F06DE2">
              <w:rPr>
                <w:rFonts w:ascii="Times New Roman" w:hAnsi="Times New Roman" w:cs="Times New Roman"/>
                <w:lang w:val="ru-RU"/>
              </w:rPr>
              <w:t>Диаметър на въжето най-малко 18</w:t>
            </w:r>
            <w:r w:rsidRPr="00F06DE2">
              <w:rPr>
                <w:rFonts w:ascii="Times New Roman" w:hAnsi="Times New Roman" w:cs="Times New Roman"/>
              </w:rPr>
              <w:t> mm</w:t>
            </w:r>
            <w:r w:rsidRPr="00F06DE2">
              <w:rPr>
                <w:rFonts w:ascii="Times New Roman" w:hAnsi="Times New Roman" w:cs="Times New Roman"/>
                <w:lang w:val="ru-RU"/>
              </w:rPr>
              <w:t xml:space="preserve"> и поне три въжени шайби. Когато ветрилната площ е по-голяма от 60</w:t>
            </w:r>
            <w:r w:rsidRPr="00F06DE2">
              <w:rPr>
                <w:rFonts w:ascii="Times New Roman" w:hAnsi="Times New Roman" w:cs="Times New Roman"/>
              </w:rPr>
              <w:t> m</w:t>
            </w:r>
            <w:r w:rsidRPr="00F06DE2">
              <w:rPr>
                <w:rFonts w:ascii="Times New Roman" w:hAnsi="Times New Roman" w:cs="Times New Roman"/>
                <w:vertAlign w:val="superscript"/>
                <w:lang w:val="ru-RU"/>
              </w:rPr>
              <w:t>2</w:t>
            </w:r>
            <w:r w:rsidRPr="00F06DE2">
              <w:rPr>
                <w:rFonts w:ascii="Times New Roman" w:hAnsi="Times New Roman" w:cs="Times New Roman"/>
                <w:lang w:val="ru-RU"/>
              </w:rPr>
              <w:t>, една въжена шайба на всеки 20</w:t>
            </w:r>
            <w:r w:rsidRPr="00F06DE2">
              <w:rPr>
                <w:rFonts w:ascii="Times New Roman" w:hAnsi="Times New Roman" w:cs="Times New Roman"/>
              </w:rPr>
              <w:t> m</w:t>
            </w:r>
            <w:r w:rsidRPr="00F06DE2">
              <w:rPr>
                <w:rFonts w:ascii="Times New Roman" w:hAnsi="Times New Roman" w:cs="Times New Roman"/>
                <w:vertAlign w:val="superscript"/>
                <w:lang w:val="ru-RU"/>
              </w:rPr>
              <w:t>2</w:t>
            </w:r>
          </w:p>
        </w:tc>
      </w:tr>
    </w:tbl>
    <w:p w14:paraId="26DAF14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2.</w:t>
      </w:r>
      <w:r w:rsidRPr="00F06DE2">
        <w:rPr>
          <w:rFonts w:ascii="Times New Roman" w:hAnsi="Times New Roman" w:cs="Times New Roman"/>
          <w:lang w:val="ru-RU"/>
        </w:rPr>
        <w:tab/>
        <w:t>Подвижният такелаж, който е част от обтягането, трябва да има якост на опън, съответстваща на съответните щагове или ванти.</w:t>
      </w:r>
    </w:p>
    <w:p w14:paraId="3866411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Ако са използвани материали, различни от посочените в точка 1, трябва да са спазени стойностите за якост от таблицата в точка 1.</w:t>
      </w:r>
    </w:p>
    <w:p w14:paraId="45DB5669"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Въжета от полиетиленови влакна не трябва да се използват.</w:t>
      </w:r>
    </w:p>
    <w:p w14:paraId="199C4856" w14:textId="77777777" w:rsidR="003D4E57" w:rsidRPr="00F06DE2" w:rsidRDefault="003D4E57">
      <w:pPr>
        <w:pStyle w:val="ES-Titre3"/>
        <w:spacing w:line="240" w:lineRule="atLeast"/>
        <w:rPr>
          <w:rFonts w:ascii="Times New Roman" w:hAnsi="Times New Roman" w:cs="Times New Roman"/>
          <w:sz w:val="24"/>
          <w:szCs w:val="24"/>
          <w:lang w:val="ru-RU"/>
        </w:rPr>
      </w:pPr>
      <w:bookmarkStart w:id="396" w:name="_Toc491854201"/>
      <w:bookmarkStart w:id="397" w:name="_Toc535827642"/>
    </w:p>
    <w:p w14:paraId="24223F53" w14:textId="50139086"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20.16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Арматура и части на такелажа</w:t>
      </w:r>
      <w:bookmarkEnd w:id="396"/>
      <w:bookmarkEnd w:id="397"/>
    </w:p>
    <w:p w14:paraId="50E41C5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В случай, че се използват въжета от жици или синтетични влакна, диаметрите на въжените шайби (измерени от ос на въже до ос на въже) трябва да съответстват на следните минимални изисквания:</w:t>
      </w:r>
    </w:p>
    <w:tbl>
      <w:tblPr>
        <w:tblW w:w="0" w:type="auto"/>
        <w:jc w:val="center"/>
        <w:tblLayout w:type="fixed"/>
        <w:tblLook w:val="04A0" w:firstRow="1" w:lastRow="0" w:firstColumn="1" w:lastColumn="0" w:noHBand="0" w:noVBand="1"/>
      </w:tblPr>
      <w:tblGrid>
        <w:gridCol w:w="2268"/>
        <w:gridCol w:w="567"/>
        <w:gridCol w:w="567"/>
        <w:gridCol w:w="567"/>
        <w:gridCol w:w="567"/>
        <w:gridCol w:w="567"/>
        <w:gridCol w:w="567"/>
        <w:gridCol w:w="567"/>
      </w:tblGrid>
      <w:tr w:rsidR="00271FA2" w:rsidRPr="00F06DE2" w14:paraId="4B0DE229" w14:textId="77777777">
        <w:trPr>
          <w:cantSplit/>
          <w:jc w:val="center"/>
        </w:trPr>
        <w:tc>
          <w:tcPr>
            <w:tcW w:w="2268" w:type="dxa"/>
            <w:tcBorders>
              <w:top w:val="single" w:sz="2" w:space="0" w:color="auto"/>
              <w:left w:val="single" w:sz="2" w:space="0" w:color="auto"/>
              <w:bottom w:val="single" w:sz="2" w:space="0" w:color="auto"/>
              <w:right w:val="single" w:sz="2" w:space="0" w:color="auto"/>
            </w:tcBorders>
            <w:vAlign w:val="center"/>
          </w:tcPr>
          <w:p w14:paraId="5A20BAA8"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Стоманена жица [mm]</w:t>
            </w:r>
          </w:p>
        </w:tc>
        <w:tc>
          <w:tcPr>
            <w:tcW w:w="567" w:type="dxa"/>
            <w:tcBorders>
              <w:top w:val="single" w:sz="2" w:space="0" w:color="auto"/>
              <w:left w:val="single" w:sz="2" w:space="0" w:color="auto"/>
              <w:bottom w:val="single" w:sz="2" w:space="0" w:color="auto"/>
              <w:right w:val="single" w:sz="2" w:space="0" w:color="auto"/>
            </w:tcBorders>
            <w:vAlign w:val="center"/>
          </w:tcPr>
          <w:p w14:paraId="34A59294"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6</w:t>
            </w:r>
          </w:p>
        </w:tc>
        <w:tc>
          <w:tcPr>
            <w:tcW w:w="567" w:type="dxa"/>
            <w:tcBorders>
              <w:top w:val="single" w:sz="2" w:space="0" w:color="auto"/>
              <w:left w:val="single" w:sz="2" w:space="0" w:color="auto"/>
              <w:bottom w:val="single" w:sz="2" w:space="0" w:color="auto"/>
              <w:right w:val="single" w:sz="2" w:space="0" w:color="auto"/>
            </w:tcBorders>
            <w:vAlign w:val="center"/>
          </w:tcPr>
          <w:p w14:paraId="4EF4FF8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7</w:t>
            </w:r>
          </w:p>
        </w:tc>
        <w:tc>
          <w:tcPr>
            <w:tcW w:w="567" w:type="dxa"/>
            <w:tcBorders>
              <w:top w:val="single" w:sz="2" w:space="0" w:color="auto"/>
              <w:left w:val="single" w:sz="2" w:space="0" w:color="auto"/>
              <w:bottom w:val="single" w:sz="2" w:space="0" w:color="auto"/>
              <w:right w:val="single" w:sz="2" w:space="0" w:color="auto"/>
            </w:tcBorders>
            <w:vAlign w:val="center"/>
          </w:tcPr>
          <w:p w14:paraId="27FC782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8</w:t>
            </w:r>
          </w:p>
        </w:tc>
        <w:tc>
          <w:tcPr>
            <w:tcW w:w="567" w:type="dxa"/>
            <w:tcBorders>
              <w:top w:val="single" w:sz="2" w:space="0" w:color="auto"/>
              <w:left w:val="single" w:sz="2" w:space="0" w:color="auto"/>
              <w:bottom w:val="single" w:sz="2" w:space="0" w:color="auto"/>
              <w:right w:val="single" w:sz="2" w:space="0" w:color="auto"/>
            </w:tcBorders>
            <w:vAlign w:val="center"/>
          </w:tcPr>
          <w:p w14:paraId="1B9A1EED"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9</w:t>
            </w:r>
          </w:p>
        </w:tc>
        <w:tc>
          <w:tcPr>
            <w:tcW w:w="567" w:type="dxa"/>
            <w:tcBorders>
              <w:top w:val="single" w:sz="2" w:space="0" w:color="auto"/>
              <w:left w:val="single" w:sz="2" w:space="0" w:color="auto"/>
              <w:bottom w:val="single" w:sz="2" w:space="0" w:color="auto"/>
              <w:right w:val="single" w:sz="2" w:space="0" w:color="auto"/>
            </w:tcBorders>
            <w:vAlign w:val="center"/>
          </w:tcPr>
          <w:p w14:paraId="02A12AC4"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10</w:t>
            </w:r>
          </w:p>
        </w:tc>
        <w:tc>
          <w:tcPr>
            <w:tcW w:w="567" w:type="dxa"/>
            <w:tcBorders>
              <w:top w:val="single" w:sz="2" w:space="0" w:color="auto"/>
              <w:left w:val="single" w:sz="2" w:space="0" w:color="auto"/>
              <w:bottom w:val="single" w:sz="2" w:space="0" w:color="auto"/>
              <w:right w:val="single" w:sz="2" w:space="0" w:color="auto"/>
            </w:tcBorders>
            <w:vAlign w:val="center"/>
          </w:tcPr>
          <w:p w14:paraId="7BF24B4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11</w:t>
            </w:r>
          </w:p>
        </w:tc>
        <w:tc>
          <w:tcPr>
            <w:tcW w:w="567" w:type="dxa"/>
            <w:tcBorders>
              <w:top w:val="single" w:sz="2" w:space="0" w:color="auto"/>
              <w:left w:val="single" w:sz="2" w:space="0" w:color="auto"/>
              <w:bottom w:val="single" w:sz="2" w:space="0" w:color="auto"/>
              <w:right w:val="single" w:sz="2" w:space="0" w:color="auto"/>
            </w:tcBorders>
            <w:vAlign w:val="center"/>
          </w:tcPr>
          <w:p w14:paraId="1940190E"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12</w:t>
            </w:r>
          </w:p>
        </w:tc>
      </w:tr>
      <w:tr w:rsidR="00271FA2" w:rsidRPr="00F06DE2" w14:paraId="18F61BF3" w14:textId="77777777">
        <w:trPr>
          <w:cantSplit/>
          <w:jc w:val="center"/>
        </w:trPr>
        <w:tc>
          <w:tcPr>
            <w:tcW w:w="2268" w:type="dxa"/>
            <w:tcBorders>
              <w:top w:val="single" w:sz="2" w:space="0" w:color="auto"/>
              <w:left w:val="single" w:sz="2" w:space="0" w:color="auto"/>
              <w:bottom w:val="single" w:sz="2" w:space="0" w:color="auto"/>
              <w:right w:val="single" w:sz="2" w:space="0" w:color="auto"/>
            </w:tcBorders>
            <w:vAlign w:val="center"/>
          </w:tcPr>
          <w:p w14:paraId="6EAA21F2" w14:textId="77777777" w:rsidR="00271FA2" w:rsidRPr="00F06DE2" w:rsidRDefault="00D35E51" w:rsidP="003D4E57">
            <w:pPr>
              <w:pStyle w:val="NormalLeft"/>
              <w:spacing w:line="240" w:lineRule="atLeast"/>
              <w:ind w:right="-250"/>
              <w:rPr>
                <w:rFonts w:ascii="Times New Roman" w:hAnsi="Times New Roman" w:cs="Times New Roman"/>
              </w:rPr>
            </w:pPr>
            <w:r w:rsidRPr="00F06DE2">
              <w:rPr>
                <w:rFonts w:ascii="Times New Roman" w:hAnsi="Times New Roman" w:cs="Times New Roman"/>
              </w:rPr>
              <w:t>Синтетично влакно [mm]</w:t>
            </w:r>
          </w:p>
        </w:tc>
        <w:tc>
          <w:tcPr>
            <w:tcW w:w="567" w:type="dxa"/>
            <w:tcBorders>
              <w:top w:val="single" w:sz="2" w:space="0" w:color="auto"/>
              <w:left w:val="single" w:sz="2" w:space="0" w:color="auto"/>
              <w:bottom w:val="single" w:sz="2" w:space="0" w:color="auto"/>
              <w:right w:val="single" w:sz="2" w:space="0" w:color="auto"/>
            </w:tcBorders>
            <w:vAlign w:val="center"/>
          </w:tcPr>
          <w:p w14:paraId="0FE54611"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16</w:t>
            </w:r>
          </w:p>
        </w:tc>
        <w:tc>
          <w:tcPr>
            <w:tcW w:w="567" w:type="dxa"/>
            <w:tcBorders>
              <w:top w:val="single" w:sz="2" w:space="0" w:color="auto"/>
              <w:left w:val="single" w:sz="2" w:space="0" w:color="auto"/>
              <w:bottom w:val="single" w:sz="2" w:space="0" w:color="auto"/>
              <w:right w:val="single" w:sz="2" w:space="0" w:color="auto"/>
            </w:tcBorders>
            <w:vAlign w:val="center"/>
          </w:tcPr>
          <w:p w14:paraId="69BDA51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18</w:t>
            </w:r>
          </w:p>
        </w:tc>
        <w:tc>
          <w:tcPr>
            <w:tcW w:w="567" w:type="dxa"/>
            <w:tcBorders>
              <w:top w:val="single" w:sz="2" w:space="0" w:color="auto"/>
              <w:left w:val="single" w:sz="2" w:space="0" w:color="auto"/>
              <w:bottom w:val="single" w:sz="2" w:space="0" w:color="auto"/>
              <w:right w:val="single" w:sz="2" w:space="0" w:color="auto"/>
            </w:tcBorders>
            <w:vAlign w:val="center"/>
          </w:tcPr>
          <w:p w14:paraId="2B74001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20</w:t>
            </w:r>
          </w:p>
        </w:tc>
        <w:tc>
          <w:tcPr>
            <w:tcW w:w="567" w:type="dxa"/>
            <w:tcBorders>
              <w:top w:val="single" w:sz="2" w:space="0" w:color="auto"/>
              <w:left w:val="single" w:sz="2" w:space="0" w:color="auto"/>
              <w:bottom w:val="single" w:sz="2" w:space="0" w:color="auto"/>
              <w:right w:val="single" w:sz="2" w:space="0" w:color="auto"/>
            </w:tcBorders>
            <w:vAlign w:val="center"/>
          </w:tcPr>
          <w:p w14:paraId="1C340876"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22</w:t>
            </w:r>
          </w:p>
        </w:tc>
        <w:tc>
          <w:tcPr>
            <w:tcW w:w="567" w:type="dxa"/>
            <w:tcBorders>
              <w:top w:val="single" w:sz="2" w:space="0" w:color="auto"/>
              <w:left w:val="single" w:sz="2" w:space="0" w:color="auto"/>
              <w:bottom w:val="single" w:sz="2" w:space="0" w:color="auto"/>
              <w:right w:val="single" w:sz="2" w:space="0" w:color="auto"/>
            </w:tcBorders>
            <w:vAlign w:val="center"/>
          </w:tcPr>
          <w:p w14:paraId="133560C0"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24</w:t>
            </w:r>
          </w:p>
        </w:tc>
        <w:tc>
          <w:tcPr>
            <w:tcW w:w="567" w:type="dxa"/>
            <w:tcBorders>
              <w:top w:val="single" w:sz="2" w:space="0" w:color="auto"/>
              <w:left w:val="single" w:sz="2" w:space="0" w:color="auto"/>
              <w:bottom w:val="single" w:sz="2" w:space="0" w:color="auto"/>
              <w:right w:val="single" w:sz="2" w:space="0" w:color="auto"/>
            </w:tcBorders>
            <w:vAlign w:val="center"/>
          </w:tcPr>
          <w:p w14:paraId="01CD5CFA"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26</w:t>
            </w:r>
          </w:p>
        </w:tc>
        <w:tc>
          <w:tcPr>
            <w:tcW w:w="567" w:type="dxa"/>
            <w:tcBorders>
              <w:top w:val="single" w:sz="2" w:space="0" w:color="auto"/>
              <w:left w:val="single" w:sz="2" w:space="0" w:color="auto"/>
              <w:bottom w:val="single" w:sz="2" w:space="0" w:color="auto"/>
              <w:right w:val="single" w:sz="2" w:space="0" w:color="auto"/>
            </w:tcBorders>
            <w:vAlign w:val="center"/>
          </w:tcPr>
          <w:p w14:paraId="3E749147"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28</w:t>
            </w:r>
          </w:p>
        </w:tc>
      </w:tr>
      <w:tr w:rsidR="00271FA2" w:rsidRPr="00F06DE2" w14:paraId="2B393C67" w14:textId="77777777">
        <w:trPr>
          <w:cantSplit/>
          <w:jc w:val="center"/>
        </w:trPr>
        <w:tc>
          <w:tcPr>
            <w:tcW w:w="2268" w:type="dxa"/>
            <w:tcBorders>
              <w:top w:val="single" w:sz="2" w:space="0" w:color="auto"/>
              <w:left w:val="single" w:sz="2" w:space="0" w:color="auto"/>
              <w:bottom w:val="single" w:sz="2" w:space="0" w:color="auto"/>
              <w:right w:val="single" w:sz="2" w:space="0" w:color="auto"/>
            </w:tcBorders>
            <w:vAlign w:val="center"/>
          </w:tcPr>
          <w:p w14:paraId="349B0AE0" w14:textId="77777777" w:rsidR="00271FA2" w:rsidRPr="00F06DE2" w:rsidRDefault="00D35E51">
            <w:pPr>
              <w:pStyle w:val="NormalLeft"/>
              <w:spacing w:line="240" w:lineRule="atLeast"/>
              <w:rPr>
                <w:rFonts w:ascii="Times New Roman" w:hAnsi="Times New Roman" w:cs="Times New Roman"/>
              </w:rPr>
            </w:pPr>
            <w:r w:rsidRPr="00F06DE2">
              <w:rPr>
                <w:rFonts w:ascii="Times New Roman" w:hAnsi="Times New Roman" w:cs="Times New Roman"/>
              </w:rPr>
              <w:t>Въжена шайба [mm]</w:t>
            </w:r>
          </w:p>
        </w:tc>
        <w:tc>
          <w:tcPr>
            <w:tcW w:w="567" w:type="dxa"/>
            <w:tcBorders>
              <w:top w:val="single" w:sz="2" w:space="0" w:color="auto"/>
              <w:left w:val="single" w:sz="2" w:space="0" w:color="auto"/>
              <w:bottom w:val="single" w:sz="2" w:space="0" w:color="auto"/>
              <w:right w:val="single" w:sz="2" w:space="0" w:color="auto"/>
            </w:tcBorders>
            <w:vAlign w:val="center"/>
          </w:tcPr>
          <w:p w14:paraId="3AFD05CC"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100</w:t>
            </w:r>
          </w:p>
        </w:tc>
        <w:tc>
          <w:tcPr>
            <w:tcW w:w="567" w:type="dxa"/>
            <w:tcBorders>
              <w:top w:val="single" w:sz="2" w:space="0" w:color="auto"/>
              <w:left w:val="single" w:sz="2" w:space="0" w:color="auto"/>
              <w:bottom w:val="single" w:sz="2" w:space="0" w:color="auto"/>
              <w:right w:val="single" w:sz="2" w:space="0" w:color="auto"/>
            </w:tcBorders>
            <w:vAlign w:val="center"/>
          </w:tcPr>
          <w:p w14:paraId="17D43575"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110</w:t>
            </w:r>
          </w:p>
        </w:tc>
        <w:tc>
          <w:tcPr>
            <w:tcW w:w="567" w:type="dxa"/>
            <w:tcBorders>
              <w:top w:val="single" w:sz="2" w:space="0" w:color="auto"/>
              <w:left w:val="single" w:sz="2" w:space="0" w:color="auto"/>
              <w:bottom w:val="single" w:sz="2" w:space="0" w:color="auto"/>
              <w:right w:val="single" w:sz="2" w:space="0" w:color="auto"/>
            </w:tcBorders>
            <w:vAlign w:val="center"/>
          </w:tcPr>
          <w:p w14:paraId="431394E2"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120</w:t>
            </w:r>
          </w:p>
        </w:tc>
        <w:tc>
          <w:tcPr>
            <w:tcW w:w="567" w:type="dxa"/>
            <w:tcBorders>
              <w:top w:val="single" w:sz="2" w:space="0" w:color="auto"/>
              <w:left w:val="single" w:sz="2" w:space="0" w:color="auto"/>
              <w:bottom w:val="single" w:sz="2" w:space="0" w:color="auto"/>
              <w:right w:val="single" w:sz="2" w:space="0" w:color="auto"/>
            </w:tcBorders>
            <w:vAlign w:val="center"/>
          </w:tcPr>
          <w:p w14:paraId="61437199"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130</w:t>
            </w:r>
          </w:p>
        </w:tc>
        <w:tc>
          <w:tcPr>
            <w:tcW w:w="567" w:type="dxa"/>
            <w:tcBorders>
              <w:top w:val="single" w:sz="2" w:space="0" w:color="auto"/>
              <w:left w:val="single" w:sz="2" w:space="0" w:color="auto"/>
              <w:bottom w:val="single" w:sz="2" w:space="0" w:color="auto"/>
              <w:right w:val="single" w:sz="2" w:space="0" w:color="auto"/>
            </w:tcBorders>
            <w:vAlign w:val="center"/>
          </w:tcPr>
          <w:p w14:paraId="7369F011"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145</w:t>
            </w:r>
          </w:p>
        </w:tc>
        <w:tc>
          <w:tcPr>
            <w:tcW w:w="567" w:type="dxa"/>
            <w:tcBorders>
              <w:top w:val="single" w:sz="2" w:space="0" w:color="auto"/>
              <w:left w:val="single" w:sz="2" w:space="0" w:color="auto"/>
              <w:bottom w:val="single" w:sz="2" w:space="0" w:color="auto"/>
              <w:right w:val="single" w:sz="2" w:space="0" w:color="auto"/>
            </w:tcBorders>
            <w:vAlign w:val="center"/>
          </w:tcPr>
          <w:p w14:paraId="422BB52F"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155</w:t>
            </w:r>
          </w:p>
        </w:tc>
        <w:tc>
          <w:tcPr>
            <w:tcW w:w="567" w:type="dxa"/>
            <w:tcBorders>
              <w:top w:val="single" w:sz="2" w:space="0" w:color="auto"/>
              <w:left w:val="single" w:sz="2" w:space="0" w:color="auto"/>
              <w:bottom w:val="single" w:sz="2" w:space="0" w:color="auto"/>
              <w:right w:val="single" w:sz="2" w:space="0" w:color="auto"/>
            </w:tcBorders>
            <w:vAlign w:val="center"/>
          </w:tcPr>
          <w:p w14:paraId="21D2B367" w14:textId="77777777" w:rsidR="00271FA2" w:rsidRPr="00F06DE2" w:rsidRDefault="00D35E51">
            <w:pPr>
              <w:pStyle w:val="NormalLeft"/>
              <w:spacing w:line="240" w:lineRule="atLeast"/>
              <w:jc w:val="right"/>
              <w:rPr>
                <w:rFonts w:ascii="Times New Roman" w:hAnsi="Times New Roman" w:cs="Times New Roman"/>
              </w:rPr>
            </w:pPr>
            <w:r w:rsidRPr="00F06DE2">
              <w:rPr>
                <w:rFonts w:ascii="Times New Roman" w:hAnsi="Times New Roman" w:cs="Times New Roman"/>
              </w:rPr>
              <w:t>165</w:t>
            </w:r>
          </w:p>
        </w:tc>
      </w:tr>
    </w:tbl>
    <w:p w14:paraId="4DCF07E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Чрез дерогация от точка 1 диаметърът на въжените шайби може да е шест пъти по-голям от диаметъра на стоманената жица, при условие че стоманената жица не преминава постоянно през шайбите.</w:t>
      </w:r>
    </w:p>
    <w:p w14:paraId="1A6FADA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 xml:space="preserve">3. </w:t>
      </w:r>
      <w:r w:rsidRPr="00F06DE2">
        <w:rPr>
          <w:rFonts w:ascii="Times New Roman" w:hAnsi="Times New Roman" w:cs="Times New Roman"/>
          <w:lang w:val="ru-RU"/>
        </w:rPr>
        <w:tab/>
        <w:t>Якостта на опън на арматурата (вилки, халки, винтови обтегачи, планки с ухо, болтове, пръстени и скоби) трябва да е съвместима с якостта на опън на неподвижния и подвижния такелаж, който е прикрепен към тях.</w:t>
      </w:r>
    </w:p>
    <w:p w14:paraId="4966572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Скрепленията на сегментите от гредите за щаговете и вантите трябва да са проектирани, така че да поемат силите, на които те са подложени.</w:t>
      </w:r>
    </w:p>
    <w:p w14:paraId="762A71C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Към всяко ухо се прикрепва само по една скоба, заедно със съответния щаг или ванта.</w:t>
      </w:r>
    </w:p>
    <w:p w14:paraId="555C77E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Блоковете на фаловете и топенантите трябва да са здраво прикрепени към мачтата, а въртящите се въжени набори, използвани за целта, да са в добро състояние.</w:t>
      </w:r>
    </w:p>
    <w:p w14:paraId="77625F63" w14:textId="3D54A1BA" w:rsidR="003D4E57" w:rsidRPr="00F06DE2" w:rsidRDefault="00D35E51" w:rsidP="003D4E57">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Приставките към болтовете с ухо, утките, скрепителните клечки и скрепителните планки се конструират, така че да са в състояние да устоят на натоварванията, на които са подложени.</w:t>
      </w:r>
      <w:bookmarkStart w:id="398" w:name="_Toc535827643"/>
      <w:bookmarkStart w:id="399" w:name="_Toc491854202"/>
    </w:p>
    <w:p w14:paraId="15310012" w14:textId="486F782E"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20.17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Платна</w:t>
      </w:r>
      <w:bookmarkEnd w:id="398"/>
      <w:bookmarkEnd w:id="399"/>
    </w:p>
    <w:p w14:paraId="13DC776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Трябва да се гарантира, че платната могат да бъдат прибирани по прост, бърз и безопасен начин.</w:t>
      </w:r>
    </w:p>
    <w:p w14:paraId="0BDD5B20" w14:textId="356A25BB"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Ветрилната площ трябва да съответства на вида на плавателния съд и обемното водоизместване.</w:t>
      </w:r>
    </w:p>
    <w:p w14:paraId="44364E86" w14:textId="77777777" w:rsidR="00461D6E" w:rsidRPr="00F06DE2" w:rsidRDefault="00461D6E">
      <w:pPr>
        <w:pStyle w:val="ESch"/>
        <w:jc w:val="both"/>
        <w:rPr>
          <w:rFonts w:ascii="Times New Roman" w:hAnsi="Times New Roman" w:cs="Times New Roman"/>
          <w:lang w:val="ru-RU"/>
        </w:rPr>
      </w:pPr>
    </w:p>
    <w:p w14:paraId="45FD90A6"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00" w:name="_Toc535827644"/>
      <w:bookmarkStart w:id="401" w:name="_Toc491854203"/>
      <w:r w:rsidRPr="00F06DE2">
        <w:rPr>
          <w:rFonts w:ascii="Times New Roman" w:hAnsi="Times New Roman" w:cs="Times New Roman"/>
          <w:sz w:val="24"/>
          <w:szCs w:val="24"/>
          <w:lang w:val="ru-RU"/>
        </w:rPr>
        <w:t>Член 20.18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Оборудване</w:t>
      </w:r>
      <w:bookmarkEnd w:id="400"/>
      <w:bookmarkEnd w:id="401"/>
    </w:p>
    <w:p w14:paraId="2BA308B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 xml:space="preserve">1. </w:t>
      </w:r>
      <w:r w:rsidRPr="00F06DE2">
        <w:rPr>
          <w:rFonts w:ascii="Times New Roman" w:hAnsi="Times New Roman" w:cs="Times New Roman"/>
          <w:lang w:val="ru-RU"/>
        </w:rPr>
        <w:tab/>
        <w:t>Плавателните съдове, оборудвани с утлегар или бушприт, трябва да са снабдени с мрежа и достатъчен брой съответни закрепващи и обтягащи устройства.</w:t>
      </w:r>
    </w:p>
    <w:p w14:paraId="2892619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Оборудването съгласно точка 1 може да не се изисква, ако утлегарът или бушпритът са оборудвани с ръчен строп и опорно въже на височината на стъпалото със съответни размери, така че да позволява закачане на предпазните колани, които се носят на борда.</w:t>
      </w:r>
    </w:p>
    <w:p w14:paraId="12B5F901" w14:textId="77777777" w:rsidR="00271FA2" w:rsidRPr="00F06DE2" w:rsidRDefault="00D35E51" w:rsidP="00DF6869">
      <w:pPr>
        <w:pStyle w:val="ESch"/>
        <w:spacing w:after="240"/>
        <w:jc w:val="both"/>
        <w:rPr>
          <w:rFonts w:ascii="Times New Roman" w:hAnsi="Times New Roman" w:cs="Times New Roman"/>
          <w:lang w:val="ru-RU"/>
        </w:rPr>
      </w:pPr>
      <w:r w:rsidRPr="00F06DE2">
        <w:rPr>
          <w:rFonts w:ascii="Times New Roman" w:hAnsi="Times New Roman" w:cs="Times New Roman"/>
          <w:lang w:val="ru-RU"/>
        </w:rPr>
        <w:lastRenderedPageBreak/>
        <w:t>3.</w:t>
      </w:r>
      <w:r w:rsidRPr="00F06DE2">
        <w:rPr>
          <w:rFonts w:ascii="Times New Roman" w:hAnsi="Times New Roman" w:cs="Times New Roman"/>
          <w:lang w:val="ru-RU"/>
        </w:rPr>
        <w:tab/>
        <w:t>За работа по такелажа се осигурява въжена люлка.</w:t>
      </w:r>
    </w:p>
    <w:p w14:paraId="6A1E6278"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02" w:name="_Toc535827645"/>
      <w:bookmarkStart w:id="403" w:name="_Toc491854204"/>
      <w:r w:rsidRPr="00F06DE2">
        <w:rPr>
          <w:rFonts w:ascii="Times New Roman" w:hAnsi="Times New Roman" w:cs="Times New Roman"/>
          <w:sz w:val="24"/>
          <w:szCs w:val="24"/>
          <w:lang w:val="ru-RU"/>
        </w:rPr>
        <w:t>Член 20.19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Изпитване</w:t>
      </w:r>
      <w:bookmarkEnd w:id="402"/>
      <w:bookmarkEnd w:id="403"/>
    </w:p>
    <w:p w14:paraId="2AB47DE5" w14:textId="77777777" w:rsidR="00271FA2" w:rsidRPr="00F06DE2" w:rsidRDefault="00D35E51" w:rsidP="003D4E57">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Такелажът трябва да бъде изпитван от контролния орган на всеки 2,5 години. Като минимум изпитването трябва да включва:</w:t>
      </w:r>
    </w:p>
    <w:p w14:paraId="694E8E09"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платната, включително въжетата, ъглите на шкотите и отворите за рифоване;</w:t>
      </w:r>
    </w:p>
    <w:p w14:paraId="05ABD2EE"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състоянието на мачтите и рангоута;</w:t>
      </w:r>
    </w:p>
    <w:p w14:paraId="2BC797E7"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състоянието на неподвижния и подвижния такелаж заедно с връзките със стоманени въжета;</w:t>
      </w:r>
    </w:p>
    <w:p w14:paraId="231B4F8A"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съоръженията за бързо и безопасно прибиране на платната;</w:t>
      </w:r>
    </w:p>
    <w:p w14:paraId="69C713B5"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надеждността на закрепване на блоковете на фаловете и топенантите;</w:t>
      </w:r>
    </w:p>
    <w:p w14:paraId="154BF7E6"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 закрепването на мачтовите стволове и другите точки за връзване на неподвижния и подвижния такелаж, поставен на плавателния съд;</w:t>
      </w:r>
    </w:p>
    <w:p w14:paraId="1E71F0AC"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ж) лебедките за задвижване на платната;</w:t>
      </w:r>
    </w:p>
    <w:p w14:paraId="142AC038"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з) другите приспособления, монтирани за плаване под платна, като подветрени бордове и арматура за боравене с тях;</w:t>
      </w:r>
    </w:p>
    <w:p w14:paraId="471CCDA1"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и) мерките, взети за избягване износването на рангоута, неподвижния и подвижния такелаж и платната;</w:t>
      </w:r>
    </w:p>
    <w:p w14:paraId="3709768D" w14:textId="77777777" w:rsidR="00271FA2" w:rsidRPr="00F06DE2" w:rsidRDefault="00D35E51" w:rsidP="003D4E5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й) оборудване съгласно член 20.18.</w:t>
      </w:r>
    </w:p>
    <w:p w14:paraId="0115C9A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Частта на дървената мачта, минаваща през палубата и намираща се под палубата, се преглежда през интервали, определени от контролния орган, но не по-рядко от всяка периодична проверка. За тази цел мачтата се изважда.</w:t>
      </w:r>
    </w:p>
    <w:p w14:paraId="32AF25C2" w14:textId="633E60CE" w:rsidR="00DF6869" w:rsidRPr="00F06DE2" w:rsidRDefault="00D35E51" w:rsidP="005518BD">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На борда се съхранява удостоверение от последната проверка, извършена съгласно точка 1, издадено, подписано и датирано от контролния орган.</w:t>
      </w:r>
      <w:bookmarkStart w:id="404" w:name="_Toc535827646"/>
      <w:bookmarkStart w:id="405" w:name="_Toc491854205"/>
    </w:p>
    <w:p w14:paraId="0995EDD1" w14:textId="77777777" w:rsidR="00BD0A1B" w:rsidRPr="00F06DE2" w:rsidRDefault="00BD0A1B">
      <w:pPr>
        <w:rPr>
          <w:rFonts w:ascii="Times New Roman" w:hAnsi="Times New Roman" w:cs="Times New Roman"/>
          <w:lang w:val="ru-RU"/>
        </w:rPr>
        <w:sectPr w:rsidR="00BD0A1B" w:rsidRPr="00F06DE2" w:rsidSect="00DB7663">
          <w:headerReference w:type="default" r:id="rId60"/>
          <w:headerReference w:type="first" r:id="rId61"/>
          <w:footnotePr>
            <w:numRestart w:val="eachPage"/>
          </w:footnotePr>
          <w:pgSz w:w="11906" w:h="16838" w:code="9"/>
          <w:pgMar w:top="1134" w:right="1134" w:bottom="1134" w:left="1134" w:header="709" w:footer="709" w:gutter="0"/>
          <w:cols w:space="709"/>
          <w:titlePg/>
          <w:docGrid w:linePitch="272"/>
        </w:sectPr>
      </w:pPr>
    </w:p>
    <w:p w14:paraId="6DF67A9B" w14:textId="6AC0C1DA" w:rsidR="00271FA2" w:rsidRPr="00F06DE2" w:rsidRDefault="005518BD" w:rsidP="005518BD">
      <w:pPr>
        <w:pStyle w:val="ESch"/>
        <w:spacing w:after="240"/>
        <w:jc w:val="center"/>
        <w:rPr>
          <w:rFonts w:ascii="Times New Roman" w:hAnsi="Times New Roman" w:cs="Times New Roman"/>
          <w:b/>
          <w:i/>
          <w:lang w:val="ru-RU"/>
        </w:rPr>
      </w:pPr>
      <w:r w:rsidRPr="00F06DE2">
        <w:rPr>
          <w:rFonts w:ascii="Times New Roman" w:hAnsi="Times New Roman" w:cs="Times New Roman"/>
          <w:b/>
          <w:i/>
          <w:lang w:val="ru-RU"/>
        </w:rPr>
        <w:lastRenderedPageBreak/>
        <w:t>ГЛАВА 21</w:t>
      </w:r>
      <w:r w:rsidRPr="00F06DE2">
        <w:rPr>
          <w:rFonts w:ascii="Times New Roman" w:hAnsi="Times New Roman" w:cs="Times New Roman"/>
          <w:b/>
          <w:i/>
          <w:lang w:val="ru-RU"/>
        </w:rPr>
        <w:br/>
        <w:t>СПЕЦИАЛНИ РАЗПОРЕДБИ, ПРИЛОЖИМИ ЗА ПЛАВАТЕЛНИ СРЕДСТВА, ПРЕДНАЗНАЧЕНИ ДА БЪДАТ ЧАСТ ОТ ТЛАСКАН ИЛИ ВЛАЧЕН СЪСТАВ ОТ ПЛАВАТЕЛНИ СЪДОВЕ ИЛИ БОРДОВО СВЪРЗАНА ГРУПА</w:t>
      </w:r>
      <w:bookmarkEnd w:id="404"/>
      <w:bookmarkEnd w:id="405"/>
    </w:p>
    <w:p w14:paraId="23CA72F6" w14:textId="16909910" w:rsidR="00271FA2" w:rsidRPr="00F06DE2" w:rsidRDefault="00D35E51">
      <w:pPr>
        <w:pStyle w:val="ES-Titre3"/>
        <w:spacing w:line="240" w:lineRule="atLeast"/>
        <w:rPr>
          <w:rFonts w:ascii="Times New Roman" w:hAnsi="Times New Roman" w:cs="Times New Roman"/>
          <w:sz w:val="24"/>
          <w:szCs w:val="24"/>
          <w:lang w:val="ru-RU"/>
        </w:rPr>
      </w:pPr>
      <w:bookmarkStart w:id="406" w:name="_Toc535827647"/>
      <w:bookmarkStart w:id="407" w:name="_Toc491854206"/>
      <w:r w:rsidRPr="00F06DE2">
        <w:rPr>
          <w:rFonts w:ascii="Times New Roman" w:hAnsi="Times New Roman" w:cs="Times New Roman"/>
          <w:sz w:val="24"/>
          <w:szCs w:val="24"/>
          <w:lang w:val="ru-RU"/>
        </w:rPr>
        <w:t>Член 21.01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Плавателни средства, пригодни да тласкат</w:t>
      </w:r>
      <w:bookmarkEnd w:id="406"/>
      <w:bookmarkEnd w:id="407"/>
    </w:p>
    <w:p w14:paraId="28A91B83"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Плавателни средства, които се използват за тласкане, трябва да включват подходящо тласкащо устройство. Те трябва да бъдат проектирани и оборудвани по такъв начин, че да:</w:t>
      </w:r>
    </w:p>
    <w:p w14:paraId="7A9149C0" w14:textId="77777777" w:rsidR="00271FA2" w:rsidRPr="00F06DE2" w:rsidRDefault="00D35E51" w:rsidP="005518BD">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позволяват на екипажите лесно и безопасно да преминават върху тласканото плавателно средство през съответните използвани свързващи устройства;</w:t>
      </w:r>
    </w:p>
    <w:p w14:paraId="32C750CC" w14:textId="77777777" w:rsidR="00271FA2" w:rsidRPr="00F06DE2" w:rsidRDefault="00D35E51" w:rsidP="005518BD">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могат да заемат фиксирано положение по отношение на прикаченото плавателно средство;</w:t>
      </w:r>
    </w:p>
    <w:p w14:paraId="23737A4D" w14:textId="77777777" w:rsidR="00271FA2" w:rsidRPr="00F06DE2" w:rsidRDefault="00D35E51" w:rsidP="005518BD">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предотвратяват относително движение между самите плавателни средства.</w:t>
      </w:r>
    </w:p>
    <w:p w14:paraId="2027ADCC"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 случай, че плавателните средства бъдат свързани помежду си с въжета, тласкащото плавателно средство е оборудвано с поне две специални лебедки или равностойни свързващи устройства за обтягане на въжетата.</w:t>
      </w:r>
    </w:p>
    <w:p w14:paraId="2D432C13"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Свързващите устройства трябва да позволяват постигане на твърдо свързване с тласканото плавателно средство.</w:t>
      </w:r>
    </w:p>
    <w:p w14:paraId="04FE9AE4"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 xml:space="preserve">Когато съставът обхваща тласкач и едно тласкано плавателно средство, свързващите устройства могат да позволяват управлявано завъртане на съчленението. Необходимите задвижващи звена трябва лесно да поемат силите, които се предават и да могат да бъдат управлявани лесно и безопасно. Членове 6.02 - 6.04 се прилагат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i/>
          <w:lang w:val="ru-RU"/>
        </w:rPr>
        <w:t xml:space="preserve"> </w:t>
      </w:r>
      <w:r w:rsidRPr="00F06DE2">
        <w:rPr>
          <w:rFonts w:ascii="Times New Roman" w:hAnsi="Times New Roman" w:cs="Times New Roman"/>
          <w:lang w:val="ru-RU"/>
        </w:rPr>
        <w:t>за тези задвижващи звена.</w:t>
      </w:r>
    </w:p>
    <w:p w14:paraId="3688C2F8" w14:textId="77777777" w:rsidR="00271FA2" w:rsidRPr="00F06DE2" w:rsidRDefault="00D35E51">
      <w:pPr>
        <w:pStyle w:val="ESc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Първата носова непроницаема преграда, посочена в член</w:t>
      </w:r>
      <w:r w:rsidRPr="00F06DE2">
        <w:rPr>
          <w:rFonts w:ascii="Times New Roman" w:hAnsi="Times New Roman" w:cs="Times New Roman"/>
        </w:rPr>
        <w:t> </w:t>
      </w:r>
      <w:r w:rsidRPr="00F06DE2">
        <w:rPr>
          <w:rFonts w:ascii="Times New Roman" w:hAnsi="Times New Roman" w:cs="Times New Roman"/>
          <w:lang w:val="ru-RU"/>
        </w:rPr>
        <w:t>3.03, точка 1, буква “</w:t>
      </w:r>
      <w:r w:rsidRPr="00F06DE2">
        <w:rPr>
          <w:rFonts w:ascii="Times New Roman" w:hAnsi="Times New Roman" w:cs="Times New Roman"/>
        </w:rPr>
        <w:t>a</w:t>
      </w:r>
      <w:r w:rsidRPr="00F06DE2">
        <w:rPr>
          <w:rFonts w:ascii="Times New Roman" w:hAnsi="Times New Roman" w:cs="Times New Roman"/>
          <w:lang w:val="ru-RU"/>
        </w:rPr>
        <w:t>”, може да не се изисква за тласкачи.</w:t>
      </w:r>
    </w:p>
    <w:p w14:paraId="37AC6907"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08" w:name="_Toc491854207"/>
      <w:bookmarkStart w:id="409" w:name="_Toc535827648"/>
      <w:r w:rsidRPr="00F06DE2">
        <w:rPr>
          <w:rFonts w:ascii="Times New Roman" w:hAnsi="Times New Roman" w:cs="Times New Roman"/>
          <w:sz w:val="24"/>
          <w:szCs w:val="24"/>
          <w:lang w:val="ru-RU"/>
        </w:rPr>
        <w:t>Член 21.02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Плавателни средства, пригодни да бъдат тласкани</w:t>
      </w:r>
      <w:bookmarkEnd w:id="408"/>
      <w:bookmarkEnd w:id="409"/>
    </w:p>
    <w:p w14:paraId="6C460F93"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Следните разпоредби не се прилагат за лихтери без рулева система, жилищни помещения, машинни или котелни отделения:</w:t>
      </w:r>
    </w:p>
    <w:p w14:paraId="56D07908"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Глави от 5 до 7 и 15;</w:t>
      </w:r>
    </w:p>
    <w:p w14:paraId="16C000D9"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б) член 8.08, точки 2 - 8, член 13.02 и член 13.08, точка 1.</w:t>
      </w:r>
    </w:p>
    <w:p w14:paraId="5EED4F9C" w14:textId="77777777" w:rsidR="00271FA2" w:rsidRPr="00F06DE2" w:rsidRDefault="00D35E51">
      <w:pPr>
        <w:pStyle w:val="ESchpar"/>
        <w:jc w:val="both"/>
        <w:rPr>
          <w:rFonts w:ascii="Times New Roman" w:eastAsia="Calibri" w:hAnsi="Times New Roman" w:cs="Times New Roman"/>
          <w:lang w:val="ru-RU"/>
        </w:rPr>
      </w:pPr>
      <w:r w:rsidRPr="00F06DE2">
        <w:rPr>
          <w:rFonts w:ascii="Times New Roman" w:hAnsi="Times New Roman" w:cs="Times New Roman"/>
          <w:lang w:val="ru-RU"/>
        </w:rPr>
        <w:t>Ако са налични рулева система, жилищни помещения, машинни или котелни отделения, за тях се прилагат съответните изисквания на настоящия стандарт.</w:t>
      </w:r>
    </w:p>
    <w:p w14:paraId="5113F826"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Освен това бордовите лихтери, чиято дължина </w:t>
      </w:r>
      <m:oMath>
        <m:r>
          <w:rPr>
            <w:rFonts w:ascii="Cambria Math" w:eastAsia="Calibri" w:hAnsi="Cambria Math" w:cs="Times New Roman"/>
          </w:rPr>
          <m:t>L</m:t>
        </m:r>
      </m:oMath>
      <w:r w:rsidRPr="00F06DE2">
        <w:rPr>
          <w:rFonts w:ascii="Times New Roman" w:hAnsi="Times New Roman" w:cs="Times New Roman"/>
          <w:lang w:val="ru-RU"/>
        </w:rPr>
        <w:t xml:space="preserve"> не надвишава 40</w:t>
      </w:r>
      <w:r w:rsidRPr="00F06DE2">
        <w:rPr>
          <w:rFonts w:ascii="Times New Roman" w:hAnsi="Times New Roman" w:cs="Times New Roman"/>
        </w:rPr>
        <w:t> m</w:t>
      </w:r>
      <w:r w:rsidRPr="00F06DE2">
        <w:rPr>
          <w:rFonts w:ascii="Times New Roman" w:hAnsi="Times New Roman" w:cs="Times New Roman"/>
          <w:lang w:val="ru-RU"/>
        </w:rPr>
        <w:t>, трябва да отговарят на следните изисквания:</w:t>
      </w:r>
    </w:p>
    <w:p w14:paraId="0623B9E7" w14:textId="77777777" w:rsidR="00271FA2" w:rsidRPr="00F06DE2" w:rsidRDefault="00D35E51" w:rsidP="005518BD">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първите носови непроницаеми прегради, посочени в член 3.03, точка 1, могат да бъдат спестени, ако челните им страни са способни да издържат на товар поне 2,5 пъти по-голям от този, определен за първите носови непроницаеми прегради на плавателни съдове по вътрешни водни пътища със същото газене, построени според изискванията на призната класификационна организация;</w:t>
      </w:r>
    </w:p>
    <w:p w14:paraId="239F7C35" w14:textId="77777777" w:rsidR="00271FA2" w:rsidRPr="00F06DE2" w:rsidRDefault="00D35E51" w:rsidP="005518BD">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б) чрез дерогация от член 8.08, точка 1 отсеците на двойното дъно, до които достъпът е труден, не се отводняват, освен ако обемът им не надвишава 5 % от обемното водоизместване на бордовия лихтер при газене с максимално допустим товар.</w:t>
      </w:r>
    </w:p>
    <w:p w14:paraId="386CB3F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Плавателните средства, предназначени да бъдат тласкани, се оборудват със свързващи устройства, осигуряващи безопасно свързване с други плавателни средства.</w:t>
      </w:r>
      <w:bookmarkStart w:id="410" w:name="_Toc535827649"/>
      <w:bookmarkStart w:id="411" w:name="_Toc491854208"/>
    </w:p>
    <w:p w14:paraId="3D40620B"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lastRenderedPageBreak/>
        <w:t>Член 21.03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Плавателни средства, пригодни да задвижват бордово свързани групи</w:t>
      </w:r>
      <w:bookmarkEnd w:id="410"/>
      <w:bookmarkEnd w:id="411"/>
    </w:p>
    <w:p w14:paraId="69FE27FF" w14:textId="77777777" w:rsidR="00271FA2" w:rsidRPr="00F06DE2" w:rsidRDefault="00D35E51" w:rsidP="009C16BA">
      <w:pPr>
        <w:pStyle w:val="ESgauche"/>
        <w:spacing w:after="240"/>
        <w:jc w:val="both"/>
        <w:rPr>
          <w:rFonts w:ascii="Times New Roman" w:eastAsia="Calibri" w:hAnsi="Times New Roman" w:cs="Times New Roman"/>
          <w:lang w:val="ru-RU"/>
        </w:rPr>
      </w:pPr>
      <w:r w:rsidRPr="00F06DE2">
        <w:rPr>
          <w:rFonts w:ascii="Times New Roman" w:hAnsi="Times New Roman" w:cs="Times New Roman"/>
          <w:lang w:val="ru-RU"/>
        </w:rPr>
        <w:t>Плавателните средства, предвидени да задвижват бордово свързани групи, трябва да са оборудвани с кнехтове или равностойни устройства, които в резултат на своя брой и подредба, позволяват групата да бъде свързана по безопасен начин.</w:t>
      </w:r>
    </w:p>
    <w:p w14:paraId="56513FF8"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12" w:name="_Toc535827650"/>
      <w:bookmarkStart w:id="413" w:name="_Toc491854209"/>
      <w:r w:rsidRPr="00F06DE2">
        <w:rPr>
          <w:rFonts w:ascii="Times New Roman" w:hAnsi="Times New Roman" w:cs="Times New Roman"/>
          <w:sz w:val="24"/>
          <w:szCs w:val="24"/>
          <w:lang w:val="ru-RU"/>
        </w:rPr>
        <w:t>Член 21.04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Плавателни средства, пригодени да бъдат задвижвани като част от състави от плавателни съдове</w:t>
      </w:r>
      <w:bookmarkEnd w:id="412"/>
      <w:bookmarkEnd w:id="413"/>
    </w:p>
    <w:p w14:paraId="0610013D" w14:textId="77777777" w:rsidR="00271FA2" w:rsidRPr="00F06DE2" w:rsidRDefault="00D35E51" w:rsidP="009C16BA">
      <w:pPr>
        <w:pStyle w:val="ESgauche"/>
        <w:spacing w:after="240"/>
        <w:jc w:val="both"/>
        <w:rPr>
          <w:rFonts w:ascii="Times New Roman" w:hAnsi="Times New Roman" w:cs="Times New Roman"/>
          <w:lang w:val="ru-RU"/>
        </w:rPr>
      </w:pPr>
      <w:r w:rsidRPr="00F06DE2">
        <w:rPr>
          <w:rFonts w:ascii="Times New Roman" w:hAnsi="Times New Roman" w:cs="Times New Roman"/>
          <w:lang w:val="ru-RU"/>
        </w:rPr>
        <w:t>Плавателните средства, предназначени да бъдат задвижвани като част от състав от плавателни съдове, се оборудват със свързващи устройства, кнехтове или равностойни устройства, които в резултат на своя брой и подредба, позволяват безопасно свързване с другите плавателни средства в състава.</w:t>
      </w:r>
      <w:bookmarkStart w:id="414" w:name="_Toc491854210"/>
      <w:bookmarkStart w:id="415" w:name="_Toc535827651"/>
    </w:p>
    <w:p w14:paraId="2F0C231B"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21.05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Плавателни средства, пригодни да бъдат теглени</w:t>
      </w:r>
      <w:bookmarkEnd w:id="414"/>
      <w:bookmarkEnd w:id="415"/>
    </w:p>
    <w:p w14:paraId="7FAB8125" w14:textId="77777777" w:rsidR="00271FA2" w:rsidRPr="00F06DE2" w:rsidRDefault="00D35E51" w:rsidP="005518BD">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Плавателни средства, предназначени да бъдат теглени, трябва да отговарят на следните изисквания:</w:t>
      </w:r>
    </w:p>
    <w:p w14:paraId="71866D70" w14:textId="77777777" w:rsidR="00271FA2" w:rsidRPr="00F06DE2" w:rsidRDefault="00D35E51" w:rsidP="005518BD">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устройствата за влачене трябва да са разположени, така че ползването им да не застрашава безопасността на плавателното средство, екипажа или товара;</w:t>
      </w:r>
    </w:p>
    <w:p w14:paraId="4D214B69"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теглещите и тласкащите плавателни средства се оборудват с буксирна кука, която е възможно да се освободи безопасно от рулевата рубка; това не се прилага, ако поради конструкцията или наличието на друга арматура не е възможно преобръщане;</w:t>
      </w:r>
    </w:p>
    <w:p w14:paraId="1156E060"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устройствата за влачене се състоят от лебедки или буксирна кука. Устройствата за влачене се поставят пред равнината на гребните винтове. Това изискване не важи за плавателни средства, които се управляват със задвижващите си звена, като винто-рулеви колони и крилчати движители.</w:t>
      </w:r>
    </w:p>
    <w:p w14:paraId="4CEA8590" w14:textId="056D934C"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чрез дерогация от изискванията на буква “в” за плавателни средства, които само оказ</w:t>
      </w:r>
      <w:r w:rsidR="0067058F" w:rsidRPr="00F06DE2">
        <w:rPr>
          <w:rFonts w:ascii="Times New Roman" w:hAnsi="Times New Roman" w:cs="Times New Roman"/>
          <w:lang w:val="ru-RU"/>
        </w:rPr>
        <w:t xml:space="preserve">ват </w:t>
      </w:r>
      <w:r w:rsidRPr="00F06DE2">
        <w:rPr>
          <w:rFonts w:ascii="Times New Roman" w:hAnsi="Times New Roman" w:cs="Times New Roman"/>
          <w:lang w:val="ru-RU"/>
        </w:rPr>
        <w:t xml:space="preserve"> в съответствие с приложимите разпоредби на навигационните служби на държавите членки  съдействие чрез влачене на моторни плавателни средства, достатъчно ще бъде и устройство за влачене от типа на кнехт или равностойно устройство. Буква “б” се прилага </w:t>
      </w:r>
      <w:r w:rsidRPr="00F06DE2">
        <w:rPr>
          <w:rFonts w:ascii="Times New Roman" w:hAnsi="Times New Roman" w:cs="Times New Roman"/>
        </w:rPr>
        <w:t>mutatis</w:t>
      </w:r>
      <w:r w:rsidRPr="00F06DE2">
        <w:rPr>
          <w:rFonts w:ascii="Times New Roman" w:hAnsi="Times New Roman" w:cs="Times New Roman"/>
          <w:lang w:val="ru-RU"/>
        </w:rPr>
        <w:t xml:space="preserve"> </w:t>
      </w:r>
      <w:r w:rsidRPr="00F06DE2">
        <w:rPr>
          <w:rFonts w:ascii="Times New Roman" w:hAnsi="Times New Roman" w:cs="Times New Roman"/>
        </w:rPr>
        <w:t>mutandis</w:t>
      </w:r>
      <w:r w:rsidRPr="00F06DE2">
        <w:rPr>
          <w:rFonts w:ascii="Times New Roman" w:hAnsi="Times New Roman" w:cs="Times New Roman"/>
          <w:lang w:val="ru-RU"/>
        </w:rPr>
        <w:t>.</w:t>
      </w:r>
    </w:p>
    <w:p w14:paraId="5C12B21D"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в случай, че буксирните въжета биха могли да се закачат на кърмата на плавателния съд, трябва да са осигурени насочващи бугели с уловители за въжетата.</w:t>
      </w:r>
    </w:p>
    <w:p w14:paraId="5447E35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Плавателни средства с дължина </w:t>
      </w:r>
      <m:oMath>
        <m:r>
          <w:rPr>
            <w:rFonts w:ascii="Cambria Math" w:eastAsia="Calibri" w:hAnsi="Cambria Math" w:cs="Times New Roman"/>
          </w:rPr>
          <m:t>L</m:t>
        </m:r>
      </m:oMath>
      <w:r w:rsidRPr="00F06DE2">
        <w:rPr>
          <w:rFonts w:ascii="Times New Roman" w:hAnsi="Times New Roman" w:cs="Times New Roman"/>
          <w:lang w:val="ru-RU"/>
        </w:rPr>
        <w:t xml:space="preserve"> над 86</w:t>
      </w:r>
      <w:r w:rsidRPr="00F06DE2">
        <w:rPr>
          <w:rFonts w:ascii="Times New Roman" w:hAnsi="Times New Roman" w:cs="Times New Roman"/>
        </w:rPr>
        <w:t> m</w:t>
      </w:r>
      <w:r w:rsidRPr="00F06DE2">
        <w:rPr>
          <w:rFonts w:ascii="Times New Roman" w:hAnsi="Times New Roman" w:cs="Times New Roman"/>
          <w:lang w:val="ru-RU"/>
        </w:rPr>
        <w:t xml:space="preserve"> не се допускат да извършват влачене надолу по течението.</w:t>
      </w:r>
      <w:bookmarkStart w:id="416" w:name="_Toc535827652"/>
      <w:bookmarkStart w:id="417" w:name="_Toc491854211"/>
    </w:p>
    <w:p w14:paraId="64E97485" w14:textId="244560DC"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21.06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Ходови изпитвания на състави от плавателни съдове</w:t>
      </w:r>
      <w:bookmarkEnd w:id="416"/>
      <w:bookmarkEnd w:id="417"/>
    </w:p>
    <w:p w14:paraId="6B27EC14" w14:textId="4B2034ED"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00FE0C02" w:rsidRPr="00F06DE2">
        <w:rPr>
          <w:rFonts w:ascii="Times New Roman" w:hAnsi="Times New Roman" w:cs="Times New Roman"/>
          <w:lang w:val="ru-RU"/>
        </w:rPr>
        <w:t>.</w:t>
      </w:r>
      <w:r w:rsidRPr="00F06DE2">
        <w:rPr>
          <w:rFonts w:ascii="Times New Roman" w:hAnsi="Times New Roman" w:cs="Times New Roman"/>
          <w:lang w:val="ru-RU"/>
        </w:rPr>
        <w:tab/>
        <w:t>За да бъде допуснат тласкач, моторен товарен плавателен съд, моторен танкер или моторизирано плаващо оборудване да задвижва твърдо свързан състав и това да бъде записано в Корабното удостоверение за вътрешно корабоплаване, контролният орган трябва да реши какви формирования се представят и провежда ходовите изпитвания на състава, посочени в член 5.02, по отношение заявените формирования, които контролният орган смята за най-трудни. Съставът от плавателни съдове съответства на изискванията, определени в членове от 5.02 до 5.10.</w:t>
      </w:r>
    </w:p>
    <w:p w14:paraId="7598AC54"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Контролният орган проверява дали твърдата връзка на всички плавателни средства в състава се поддържа при маневрите, изисквани съгласно Глава 5.</w:t>
      </w:r>
    </w:p>
    <w:p w14:paraId="7D181676" w14:textId="3D06B185"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00FE0C02" w:rsidRPr="00F06DE2">
        <w:rPr>
          <w:rFonts w:ascii="Times New Roman" w:hAnsi="Times New Roman" w:cs="Times New Roman"/>
        </w:rPr>
        <w:t>.</w:t>
      </w:r>
      <w:r w:rsidRPr="00F06DE2">
        <w:rPr>
          <w:rFonts w:ascii="Times New Roman" w:hAnsi="Times New Roman" w:cs="Times New Roman"/>
          <w:lang w:val="ru-RU"/>
        </w:rPr>
        <w:t xml:space="preserve"> </w:t>
      </w:r>
      <w:r w:rsidRPr="00F06DE2">
        <w:rPr>
          <w:rFonts w:ascii="Times New Roman" w:hAnsi="Times New Roman" w:cs="Times New Roman"/>
          <w:lang w:val="ru-RU"/>
        </w:rPr>
        <w:tab/>
        <w:t xml:space="preserve">Ако по време на ходовите изпитвания, изисквани съгласно точка 1, на борда на плавателните средства, които биват тласкани или задвижвани в бордово свързана група, има отделни инсталации като рулева система, задвижващи звена или оборудване за маневриране или </w:t>
      </w:r>
      <w:r w:rsidRPr="00F06DE2">
        <w:rPr>
          <w:rFonts w:ascii="Times New Roman" w:hAnsi="Times New Roman" w:cs="Times New Roman"/>
          <w:lang w:val="ru-RU"/>
        </w:rPr>
        <w:lastRenderedPageBreak/>
        <w:t>шарнирни връзки с оглед изпълнение на изискванията на членове 5.02 - 5.10, за плавателното средство, задвижващо състава, в Корабното удостоверение за вътрешно корабоплаване, се вписва следното: формирование, място, име и европейски идентификационен номер на плавателния съд за плавателни средства, оборудвани с използваните отделни инсталации.</w:t>
      </w:r>
    </w:p>
    <w:p w14:paraId="524BA49F" w14:textId="77777777" w:rsidR="005518BD" w:rsidRPr="00F06DE2" w:rsidRDefault="005518BD">
      <w:pPr>
        <w:pStyle w:val="ES-Titre3"/>
        <w:spacing w:line="240" w:lineRule="atLeast"/>
        <w:rPr>
          <w:rFonts w:ascii="Times New Roman" w:hAnsi="Times New Roman" w:cs="Times New Roman"/>
          <w:sz w:val="24"/>
          <w:szCs w:val="24"/>
          <w:lang w:val="ru-RU"/>
        </w:rPr>
      </w:pPr>
      <w:bookmarkStart w:id="418" w:name="_Toc491854212"/>
      <w:bookmarkStart w:id="419" w:name="_Toc535827653"/>
    </w:p>
    <w:p w14:paraId="2022A820" w14:textId="36BED705"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21.07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Вписвания в Корабното удостоверение за вътрешно корабоплаване</w:t>
      </w:r>
      <w:bookmarkEnd w:id="418"/>
      <w:bookmarkEnd w:id="419"/>
    </w:p>
    <w:p w14:paraId="6C98A5D2" w14:textId="26D1E01D"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1</w:t>
      </w:r>
      <w:r w:rsidR="00FE0C02" w:rsidRPr="00F06DE2">
        <w:rPr>
          <w:rFonts w:ascii="Times New Roman" w:hAnsi="Times New Roman" w:cs="Times New Roman"/>
          <w:lang w:val="ru-RU"/>
        </w:rPr>
        <w:t>.</w:t>
      </w:r>
      <w:r w:rsidRPr="00F06DE2">
        <w:rPr>
          <w:rFonts w:ascii="Times New Roman" w:hAnsi="Times New Roman" w:cs="Times New Roman"/>
          <w:lang w:val="ru-RU"/>
        </w:rPr>
        <w:tab/>
        <w:t>Когато плавателно средство е предназначено да задвижва състав от плавателни съдове или да бъде задвижвано като част от състав от плавателни съдове, съответствието му с приложимите изисквания, изложени в членове 21.01 - 21.06, се вписва в Корабното удостоверение за вътрешно корабоплаване.</w:t>
      </w:r>
    </w:p>
    <w:p w14:paraId="371E4D18" w14:textId="003B4649"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2</w:t>
      </w:r>
      <w:r w:rsidR="00FE0C02" w:rsidRPr="00F06DE2">
        <w:rPr>
          <w:rFonts w:ascii="Times New Roman" w:hAnsi="Times New Roman" w:cs="Times New Roman"/>
        </w:rPr>
        <w:t>.</w:t>
      </w:r>
      <w:r w:rsidRPr="00F06DE2">
        <w:rPr>
          <w:rFonts w:ascii="Times New Roman" w:hAnsi="Times New Roman" w:cs="Times New Roman"/>
          <w:lang w:val="ru-RU"/>
        </w:rPr>
        <w:t xml:space="preserve"> </w:t>
      </w:r>
      <w:r w:rsidRPr="00F06DE2">
        <w:rPr>
          <w:rFonts w:ascii="Times New Roman" w:hAnsi="Times New Roman" w:cs="Times New Roman"/>
          <w:lang w:val="ru-RU"/>
        </w:rPr>
        <w:tab/>
        <w:t>Следната информация се вписва в Корабното удостоверение за вътрешно корабоплаване за задвижващото плавателно средство:</w:t>
      </w:r>
    </w:p>
    <w:p w14:paraId="20806976"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съставите и формированията, които са били одобрени;</w:t>
      </w:r>
    </w:p>
    <w:p w14:paraId="795AA23D"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б) видовете свързване;</w:t>
      </w:r>
    </w:p>
    <w:p w14:paraId="250EFE37" w14:textId="77777777" w:rsidR="00271FA2" w:rsidRPr="00F06DE2" w:rsidRDefault="00D35E51">
      <w:pPr>
        <w:pStyle w:val="ESlet"/>
        <w:spacing w:before="0"/>
        <w:ind w:left="851" w:hanging="284"/>
        <w:jc w:val="both"/>
        <w:rPr>
          <w:rFonts w:ascii="Times New Roman" w:eastAsia="Calibri" w:hAnsi="Times New Roman" w:cs="Times New Roman"/>
          <w:lang w:val="ru-RU"/>
        </w:rPr>
      </w:pPr>
      <w:r w:rsidRPr="00F06DE2">
        <w:rPr>
          <w:rFonts w:ascii="Times New Roman" w:hAnsi="Times New Roman" w:cs="Times New Roman"/>
          <w:lang w:val="ru-RU"/>
        </w:rPr>
        <w:t>в) определените максимални сили на свързване; и</w:t>
      </w:r>
    </w:p>
    <w:p w14:paraId="7073D2BA" w14:textId="77777777" w:rsidR="00DF6869"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където е уместно, минималното натоварване на скъсване на свързващите въжета за надлъжното свързване и също броя намотки на въжетата.</w:t>
      </w:r>
    </w:p>
    <w:p w14:paraId="05DF6A92" w14:textId="77777777" w:rsidR="007168B9" w:rsidRPr="00F06DE2" w:rsidRDefault="007168B9">
      <w:pPr>
        <w:rPr>
          <w:rFonts w:ascii="Times New Roman" w:hAnsi="Times New Roman" w:cs="Times New Roman"/>
          <w:lang w:val="ru-RU"/>
        </w:rPr>
        <w:sectPr w:rsidR="007168B9" w:rsidRPr="00F06DE2" w:rsidSect="00DB7663">
          <w:headerReference w:type="default" r:id="rId62"/>
          <w:headerReference w:type="first" r:id="rId63"/>
          <w:footnotePr>
            <w:numRestart w:val="eachPage"/>
          </w:footnotePr>
          <w:pgSz w:w="11906" w:h="16838" w:code="9"/>
          <w:pgMar w:top="1134" w:right="1134" w:bottom="1134" w:left="1134" w:header="709" w:footer="709" w:gutter="0"/>
          <w:cols w:space="709"/>
          <w:titlePg/>
          <w:docGrid w:linePitch="272"/>
        </w:sectPr>
      </w:pPr>
    </w:p>
    <w:p w14:paraId="3C3DF8FC" w14:textId="77777777" w:rsidR="00271FA2" w:rsidRPr="00F06DE2" w:rsidRDefault="00D35E51">
      <w:pPr>
        <w:pStyle w:val="ES-Titre2"/>
        <w:rPr>
          <w:rFonts w:ascii="Times New Roman" w:hAnsi="Times New Roman" w:cs="Times New Roman"/>
          <w:lang w:val="ru-RU"/>
        </w:rPr>
      </w:pPr>
      <w:bookmarkStart w:id="420" w:name="_Toc535827654"/>
      <w:bookmarkStart w:id="421" w:name="_Toc491854213"/>
      <w:r w:rsidRPr="00F06DE2">
        <w:rPr>
          <w:rFonts w:ascii="Times New Roman" w:hAnsi="Times New Roman" w:cs="Times New Roman"/>
          <w:lang w:val="ru-RU"/>
        </w:rPr>
        <w:lastRenderedPageBreak/>
        <w:t>Глава 22</w:t>
      </w:r>
      <w:r w:rsidRPr="00F06DE2">
        <w:rPr>
          <w:rFonts w:ascii="Times New Roman" w:hAnsi="Times New Roman" w:cs="Times New Roman"/>
          <w:lang w:val="ru-RU"/>
        </w:rPr>
        <w:br/>
        <w:t>Специални разпоредби, приложими за плаващи съоръжения</w:t>
      </w:r>
      <w:bookmarkEnd w:id="420"/>
      <w:bookmarkEnd w:id="421"/>
    </w:p>
    <w:p w14:paraId="3D43D916" w14:textId="77777777" w:rsidR="005518BD" w:rsidRPr="00F06DE2" w:rsidRDefault="005518BD">
      <w:pPr>
        <w:pStyle w:val="ES-Titre3"/>
        <w:spacing w:line="240" w:lineRule="atLeast"/>
        <w:rPr>
          <w:rFonts w:ascii="Times New Roman" w:hAnsi="Times New Roman" w:cs="Times New Roman"/>
          <w:sz w:val="24"/>
          <w:szCs w:val="24"/>
          <w:lang w:val="ru-RU"/>
        </w:rPr>
      </w:pPr>
      <w:bookmarkStart w:id="422" w:name="_Toc535827655"/>
      <w:bookmarkStart w:id="423" w:name="_Toc491854214"/>
    </w:p>
    <w:p w14:paraId="3085A4E7" w14:textId="26C06087" w:rsidR="00271FA2" w:rsidRPr="00F06DE2" w:rsidRDefault="00D35E51">
      <w:pPr>
        <w:pStyle w:val="ES-Titre3"/>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22.01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422"/>
      <w:bookmarkEnd w:id="423"/>
    </w:p>
    <w:p w14:paraId="12140517" w14:textId="77777777" w:rsidR="00271FA2" w:rsidRPr="00F06DE2" w:rsidRDefault="00D35E51" w:rsidP="009C16BA">
      <w:pPr>
        <w:pStyle w:val="ESgauche"/>
        <w:spacing w:after="240"/>
        <w:jc w:val="both"/>
        <w:rPr>
          <w:rFonts w:ascii="Times New Roman" w:hAnsi="Times New Roman" w:cs="Times New Roman"/>
          <w:lang w:val="ru-RU"/>
        </w:rPr>
      </w:pPr>
      <w:r w:rsidRPr="00F06DE2">
        <w:rPr>
          <w:rFonts w:ascii="Times New Roman" w:hAnsi="Times New Roman" w:cs="Times New Roman"/>
          <w:lang w:val="ru-RU"/>
        </w:rPr>
        <w:t>Глави 3, 7 - 17 и 21 се прилагат по отношение на изграждането и оборудването на плаващите съоръжения. Плаващите съоръжения със свои собствени средства за задвижване трябва да отговарят също на изискванията на Глави 5 и 6. Задвижващите звена, позволяващи операции само по кратки курсове, не съставляват собствено средство за задвижване.</w:t>
      </w:r>
    </w:p>
    <w:p w14:paraId="25140EA9" w14:textId="1ACFB98C" w:rsidR="00271FA2" w:rsidRPr="00F06DE2" w:rsidRDefault="00D35E51">
      <w:pPr>
        <w:pStyle w:val="ES-Titre3"/>
        <w:spacing w:line="240" w:lineRule="atLeast"/>
        <w:rPr>
          <w:rFonts w:ascii="Times New Roman" w:hAnsi="Times New Roman" w:cs="Times New Roman"/>
          <w:i/>
          <w:sz w:val="24"/>
          <w:szCs w:val="24"/>
          <w:lang w:val="ru-RU"/>
        </w:rPr>
      </w:pPr>
      <w:bookmarkStart w:id="424" w:name="_Toc491854215"/>
      <w:bookmarkStart w:id="425" w:name="_Toc535827656"/>
      <w:r w:rsidRPr="00F06DE2">
        <w:rPr>
          <w:rFonts w:ascii="Times New Roman" w:hAnsi="Times New Roman" w:cs="Times New Roman"/>
          <w:sz w:val="24"/>
          <w:szCs w:val="24"/>
          <w:lang w:val="ru-RU"/>
        </w:rPr>
        <w:t>Член 22.02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Изключения</w:t>
      </w:r>
      <w:bookmarkEnd w:id="424"/>
      <w:bookmarkEnd w:id="425"/>
    </w:p>
    <w:p w14:paraId="7D1F2457" w14:textId="361F0BA4" w:rsidR="00271FA2" w:rsidRPr="00F06DE2" w:rsidRDefault="00D35E51" w:rsidP="0043227C">
      <w:pPr>
        <w:pStyle w:val="ESch"/>
        <w:tabs>
          <w:tab w:val="left" w:pos="567"/>
        </w:tabs>
        <w:ind w:left="0" w:firstLine="0"/>
        <w:rPr>
          <w:rFonts w:ascii="Times New Roman" w:hAnsi="Times New Roman" w:cs="Times New Roman"/>
          <w:lang w:val="ru-RU"/>
        </w:rPr>
      </w:pPr>
      <w:r w:rsidRPr="00F06DE2">
        <w:rPr>
          <w:rFonts w:ascii="Times New Roman" w:hAnsi="Times New Roman" w:cs="Times New Roman"/>
          <w:lang w:val="ru-RU"/>
        </w:rPr>
        <w:t xml:space="preserve">1. </w:t>
      </w:r>
      <w:r w:rsidR="0043227C" w:rsidRPr="00F06DE2">
        <w:rPr>
          <w:rFonts w:ascii="Times New Roman" w:hAnsi="Times New Roman" w:cs="Times New Roman"/>
          <w:lang w:val="ru-RU"/>
        </w:rPr>
        <w:tab/>
      </w:r>
      <w:r w:rsidR="0043227C" w:rsidRPr="00F06DE2">
        <w:rPr>
          <w:rFonts w:ascii="Times New Roman" w:hAnsi="Times New Roman" w:cs="Times New Roman"/>
        </w:rPr>
        <w:t>а)</w:t>
      </w:r>
      <w:r w:rsidRPr="00F06DE2">
        <w:rPr>
          <w:rFonts w:ascii="Times New Roman" w:hAnsi="Times New Roman" w:cs="Times New Roman"/>
          <w:lang w:val="ru-RU"/>
        </w:rPr>
        <w:t xml:space="preserve">Член 3.03, точки 1 и 2 се прилагат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w:t>
      </w:r>
    </w:p>
    <w:p w14:paraId="2EC2163E"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Член 7.02 се прилага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w:t>
      </w:r>
    </w:p>
    <w:p w14:paraId="66DC0D15"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Максималните равнища на сила на шума, изисквани съгласно член</w:t>
      </w:r>
      <w:r w:rsidRPr="00F06DE2">
        <w:rPr>
          <w:rFonts w:ascii="Times New Roman" w:hAnsi="Times New Roman" w:cs="Times New Roman"/>
        </w:rPr>
        <w:t> </w:t>
      </w:r>
      <w:r w:rsidRPr="00F06DE2">
        <w:rPr>
          <w:rFonts w:ascii="Times New Roman" w:hAnsi="Times New Roman" w:cs="Times New Roman"/>
          <w:lang w:val="ru-RU"/>
        </w:rPr>
        <w:t>15.02, точка 5, второ изречение, могат да бъдат превишени, докато работи оборудването на плаващото съоръжение, при условие че през периода на работа никой не спи на борда през нощта.</w:t>
      </w:r>
    </w:p>
    <w:p w14:paraId="22EEC030"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Контролният орган може да разреши изключения от другите изисквания относно корабната конструкция, съоръженията и оборудването, при условие че във всеки случай е осигурена равностойна безопасност.</w:t>
      </w:r>
    </w:p>
    <w:p w14:paraId="3C4FB7F2" w14:textId="77777777" w:rsidR="00271FA2" w:rsidRPr="00F06DE2" w:rsidRDefault="00D35E51" w:rsidP="00526D9A">
      <w:pPr>
        <w:pStyle w:val="ESch"/>
        <w:tabs>
          <w:tab w:val="left" w:pos="851"/>
        </w:tabs>
        <w:ind w:hanging="425"/>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Контролният орган може да освобождава от прилагане на следните изисквания:</w:t>
      </w:r>
    </w:p>
    <w:p w14:paraId="595095D4"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член 13.01, точка 1 не се прилага, ако по време на експлоатация на плаващите съоръжения същите могат да бъдат надеждно закотвени с работна котва или пилони. Обаче плаващите съоръжения, които имат свое собствено средство за задвижване, трябва да разполагат с поне една котва, която съответства на изискванията на член 13.01, точка 1, при което емпиричният коефициент </w:t>
      </w:r>
      <m:oMath>
        <m:r>
          <w:rPr>
            <w:rFonts w:ascii="Cambria Math" w:hAnsi="Cambria Math" w:cs="Times New Roman"/>
          </w:rPr>
          <m:t>k</m:t>
        </m:r>
      </m:oMath>
      <w:r w:rsidRPr="00F06DE2">
        <w:rPr>
          <w:rFonts w:ascii="Times New Roman" w:hAnsi="Times New Roman" w:cs="Times New Roman"/>
          <w:lang w:val="ru-RU"/>
        </w:rPr>
        <w:t xml:space="preserve"> се приема за равен на 45, а </w:t>
      </w:r>
      <m:oMath>
        <m:r>
          <w:rPr>
            <w:rFonts w:ascii="Cambria Math" w:hAnsi="Cambria Math" w:cs="Times New Roman"/>
          </w:rPr>
          <m:t>T</m:t>
        </m:r>
      </m:oMath>
      <w:r w:rsidRPr="00F06DE2">
        <w:rPr>
          <w:rFonts w:ascii="Times New Roman" w:hAnsi="Times New Roman" w:cs="Times New Roman"/>
          <w:lang w:val="ru-RU"/>
        </w:rPr>
        <w:t xml:space="preserve"> се приема за равно на височината </w:t>
      </w:r>
      <m:oMath>
        <m:r>
          <w:rPr>
            <w:rFonts w:ascii="Cambria Math" w:hAnsi="Cambria Math" w:cs="Times New Roman"/>
          </w:rPr>
          <m:t>H</m:t>
        </m:r>
      </m:oMath>
      <w:r w:rsidRPr="00F06DE2">
        <w:rPr>
          <w:rFonts w:ascii="Times New Roman" w:hAnsi="Times New Roman" w:cs="Times New Roman"/>
          <w:lang w:val="ru-RU"/>
        </w:rPr>
        <w:t>;</w:t>
      </w:r>
    </w:p>
    <w:p w14:paraId="0390DAD5"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член 15.02, точка 1, втората част на изречението, ако жилищните помещения могат да бъдат адекватно осветени чрез електрически ток.</w:t>
      </w:r>
    </w:p>
    <w:p w14:paraId="6727D7AC" w14:textId="77777777" w:rsidR="00271FA2" w:rsidRPr="00F06DE2" w:rsidRDefault="00D35E51" w:rsidP="00526D9A">
      <w:pPr>
        <w:pStyle w:val="ESch"/>
        <w:tabs>
          <w:tab w:val="left" w:pos="851"/>
        </w:tabs>
        <w:ind w:hanging="425"/>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В допълнение, се прилага следното:</w:t>
      </w:r>
    </w:p>
    <w:p w14:paraId="7E89C775"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в член 8.08, точка 2, второ изречение осушителната помпа се задвижва с мотор;</w:t>
      </w:r>
    </w:p>
    <w:p w14:paraId="06B5DBE1"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в член 8.10, точка 3 шумът може да превиши 65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на разстояние 25 </w:t>
      </w:r>
      <w:r w:rsidRPr="00F06DE2">
        <w:rPr>
          <w:rFonts w:ascii="Times New Roman" w:hAnsi="Times New Roman" w:cs="Times New Roman"/>
        </w:rPr>
        <w:t>m</w:t>
      </w:r>
      <w:r w:rsidRPr="00F06DE2">
        <w:rPr>
          <w:rFonts w:ascii="Times New Roman" w:hAnsi="Times New Roman" w:cs="Times New Roman"/>
          <w:lang w:val="ru-RU"/>
        </w:rPr>
        <w:t xml:space="preserve"> встрани от борда на плавателния съд по отношение на всяко едно стационарно плаващо съоръжение, когато работното му оборудване е включено;</w:t>
      </w:r>
    </w:p>
    <w:p w14:paraId="09C0EA55" w14:textId="77777777" w:rsidR="00271FA2" w:rsidRPr="00F06DE2" w:rsidRDefault="00D35E51" w:rsidP="005518BD">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в член 13.03, точка 1 се изисква поне още един преносим пожарогасител, в случай че на палубата се постави работно оборудване, което не е неподвижно прикрепено към плавателното средство;</w:t>
      </w:r>
    </w:p>
    <w:p w14:paraId="48EA7D12" w14:textId="77777777" w:rsidR="00271FA2" w:rsidRPr="00F06DE2" w:rsidRDefault="00D35E51" w:rsidP="005518BD">
      <w:pPr>
        <w:pStyle w:val="ESlet"/>
        <w:spacing w:before="0" w:after="240"/>
        <w:ind w:left="567"/>
        <w:jc w:val="both"/>
        <w:rPr>
          <w:rFonts w:ascii="Times New Roman" w:hAnsi="Times New Roman" w:cs="Times New Roman"/>
          <w:lang w:val="ru-RU"/>
        </w:rPr>
      </w:pPr>
      <w:r w:rsidRPr="00F06DE2">
        <w:rPr>
          <w:rFonts w:ascii="Times New Roman" w:hAnsi="Times New Roman" w:cs="Times New Roman"/>
          <w:lang w:val="ru-RU"/>
        </w:rPr>
        <w:t>г) в член 17.02, точка 2, в допълнение към оборудването за втечнен газ за битово ползване може да има и други устройства за втечнен газ. Тези устройства и техните принадлежности отговарят на изискванията на една от държавите членки.</w:t>
      </w:r>
    </w:p>
    <w:p w14:paraId="66CCEC3C" w14:textId="573B85F1" w:rsidR="00271FA2" w:rsidRPr="00F06DE2" w:rsidRDefault="00D35E51">
      <w:pPr>
        <w:pStyle w:val="ES-Titre3"/>
        <w:spacing w:line="240" w:lineRule="atLeast"/>
        <w:rPr>
          <w:rFonts w:ascii="Times New Roman" w:hAnsi="Times New Roman" w:cs="Times New Roman"/>
          <w:i/>
          <w:sz w:val="24"/>
          <w:szCs w:val="24"/>
          <w:lang w:val="ru-RU"/>
        </w:rPr>
      </w:pPr>
      <w:bookmarkStart w:id="426" w:name="_Toc491854216"/>
      <w:bookmarkStart w:id="427" w:name="_Toc535827657"/>
      <w:r w:rsidRPr="00F06DE2">
        <w:rPr>
          <w:rFonts w:ascii="Times New Roman" w:hAnsi="Times New Roman" w:cs="Times New Roman"/>
          <w:sz w:val="24"/>
          <w:szCs w:val="24"/>
          <w:lang w:val="ru-RU"/>
        </w:rPr>
        <w:t>Член 22.03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Допълнителни изисквания</w:t>
      </w:r>
      <w:bookmarkEnd w:id="426"/>
      <w:bookmarkEnd w:id="427"/>
    </w:p>
    <w:p w14:paraId="5E8FABB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Плаващите съоръжения, на които по време на работа се намират хора, трябва да са оборудвани с обща алармена система. Аларменият сигнал трябва да е ясно различим от другите сигнали и в рамките на жилищните помещения и на всички работни места и да създава ниво на звуковото </w:t>
      </w:r>
      <w:r w:rsidRPr="00F06DE2">
        <w:rPr>
          <w:rFonts w:ascii="Times New Roman" w:hAnsi="Times New Roman" w:cs="Times New Roman"/>
          <w:lang w:val="ru-RU"/>
        </w:rPr>
        <w:lastRenderedPageBreak/>
        <w:t xml:space="preserve">налягане, което е с поне 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по-голямо от максималното ниво на фоновия шум. Трябва да е възможно задействането на алармената система от рулевата рубка и основните работни места.</w:t>
      </w:r>
    </w:p>
    <w:p w14:paraId="48BA5C5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Работното оборудване трябва да е достатъчно здраво, за да издържи на натоварванията, на които е подложено, и да отговаря на всички изисквания на една от държавите членки на ЦККР или на Директива 2006/42/ЕО</w:t>
      </w:r>
      <w:r w:rsidRPr="00F06DE2">
        <w:rPr>
          <w:rStyle w:val="FootnoteReference"/>
          <w:rFonts w:ascii="Times New Roman" w:hAnsi="Times New Roman" w:cs="Times New Roman"/>
        </w:rPr>
        <w:footnoteReference w:id="21"/>
      </w:r>
      <w:r w:rsidRPr="00F06DE2">
        <w:rPr>
          <w:rFonts w:ascii="Times New Roman" w:hAnsi="Times New Roman" w:cs="Times New Roman"/>
          <w:lang w:val="ru-RU"/>
        </w:rPr>
        <w:t>, с измененията ѝ.</w:t>
      </w:r>
    </w:p>
    <w:p w14:paraId="307695C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Устойчивостта и якостта на работното оборудване и, по целесъобразност, на неговите принадлежности трябва да са такива, че то да издържи на силите, получени от очакваните крен, диферент и движение на плаващите съоръжения.</w:t>
      </w:r>
    </w:p>
    <w:p w14:paraId="505C06DF" w14:textId="77777777" w:rsidR="00271FA2" w:rsidRPr="00F06DE2" w:rsidRDefault="00D35E51" w:rsidP="00526D9A">
      <w:pPr>
        <w:pStyle w:val="ESch"/>
        <w:spacing w:after="240"/>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Ако товарите се повдигат с телфери, максималният допустим товар, произтичащ от устойчивостта и якостта, се изписва по траен начин на табелки на палубата и в местата за управление. Ако товароподемността може да бъде увеличена чрез свързване на допълнителни плаващи платформи, одобрените стойности с и без такива допълнителни плаващи платформи се посочват ясно.</w:t>
      </w:r>
    </w:p>
    <w:p w14:paraId="75807937" w14:textId="794943BB" w:rsidR="00271FA2" w:rsidRPr="00F06DE2" w:rsidRDefault="00D35E51">
      <w:pPr>
        <w:pStyle w:val="ES-Titre3"/>
        <w:spacing w:line="240" w:lineRule="atLeast"/>
        <w:rPr>
          <w:rFonts w:ascii="Times New Roman" w:hAnsi="Times New Roman" w:cs="Times New Roman"/>
          <w:i/>
          <w:sz w:val="24"/>
          <w:szCs w:val="24"/>
          <w:lang w:val="ru-RU"/>
        </w:rPr>
      </w:pPr>
      <w:bookmarkStart w:id="428" w:name="_Toc535827658"/>
      <w:bookmarkStart w:id="429" w:name="_Toc491854217"/>
      <w:r w:rsidRPr="00F06DE2">
        <w:rPr>
          <w:rFonts w:ascii="Times New Roman" w:hAnsi="Times New Roman" w:cs="Times New Roman"/>
          <w:sz w:val="24"/>
          <w:szCs w:val="24"/>
          <w:lang w:val="ru-RU"/>
        </w:rPr>
        <w:t>Член 22.04</w:t>
      </w:r>
      <w:r w:rsidRPr="00F06DE2">
        <w:rPr>
          <w:rFonts w:ascii="Times New Roman" w:hAnsi="Times New Roman" w:cs="Times New Roman"/>
          <w:sz w:val="24"/>
          <w:szCs w:val="24"/>
          <w:lang w:val="ru-RU"/>
        </w:rPr>
        <w:br/>
      </w:r>
      <w:r w:rsidR="006D3B7D" w:rsidRPr="00F06DE2">
        <w:rPr>
          <w:rFonts w:ascii="Times New Roman" w:hAnsi="Times New Roman" w:cs="Times New Roman"/>
          <w:i/>
          <w:sz w:val="24"/>
          <w:szCs w:val="24"/>
          <w:lang w:val="ru-RU"/>
        </w:rPr>
        <w:t xml:space="preserve">Остатъчно </w:t>
      </w:r>
      <w:r w:rsidRPr="00F06DE2">
        <w:rPr>
          <w:rFonts w:ascii="Times New Roman" w:hAnsi="Times New Roman" w:cs="Times New Roman"/>
          <w:i/>
          <w:sz w:val="24"/>
          <w:szCs w:val="24"/>
          <w:lang w:val="ru-RU"/>
        </w:rPr>
        <w:t>безопасно</w:t>
      </w:r>
      <w:bookmarkEnd w:id="428"/>
      <w:bookmarkEnd w:id="429"/>
      <w:r w:rsidR="006D3B7D" w:rsidRPr="00F06DE2">
        <w:rPr>
          <w:rFonts w:ascii="Times New Roman" w:hAnsi="Times New Roman" w:cs="Times New Roman"/>
          <w:i/>
          <w:sz w:val="24"/>
          <w:szCs w:val="24"/>
          <w:lang w:val="ru-RU"/>
        </w:rPr>
        <w:t xml:space="preserve"> разстояние</w:t>
      </w:r>
    </w:p>
    <w:p w14:paraId="5CB73BD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По смисъла на настоящата глава и чрез дерогация от член 1.01 остатъчно безопасно разстояние означава най-краткото вертикално разстояние между водната повърхност и най-ниската част на плаващите съоръжения, след която те вече не са водонепроницаеми, като се вземат предвид диферентът и кренът, които са резултат от моментите, посочени в член 22.07, точки 4 - 9.</w:t>
      </w:r>
    </w:p>
    <w:p w14:paraId="7C80D4D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Остатъчното безопасно разстояние трябва да е достатъчно съгласно член 22.07, точка 1 за всеки защитен от пръски и атмосферни въздействия отвор, ако е не по-малко от 300 </w:t>
      </w:r>
      <w:r w:rsidRPr="00F06DE2">
        <w:rPr>
          <w:rFonts w:ascii="Times New Roman" w:hAnsi="Times New Roman" w:cs="Times New Roman"/>
        </w:rPr>
        <w:t>mm</w:t>
      </w:r>
      <w:r w:rsidRPr="00F06DE2">
        <w:rPr>
          <w:rFonts w:ascii="Times New Roman" w:hAnsi="Times New Roman" w:cs="Times New Roman"/>
          <w:lang w:val="ru-RU"/>
        </w:rPr>
        <w:t>.</w:t>
      </w:r>
    </w:p>
    <w:p w14:paraId="75714AF6" w14:textId="77777777" w:rsidR="00271FA2" w:rsidRPr="00F06DE2" w:rsidRDefault="00D35E51" w:rsidP="00526D9A">
      <w:pPr>
        <w:pStyle w:val="ESch"/>
        <w:spacing w:after="240"/>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Когато отворът не е защитен от пръски и атмосферни въздействия, остатъчното безопасно разстояние трябва да е не по-малко от 400 </w:t>
      </w:r>
      <w:r w:rsidRPr="00F06DE2">
        <w:rPr>
          <w:rFonts w:ascii="Times New Roman" w:hAnsi="Times New Roman" w:cs="Times New Roman"/>
        </w:rPr>
        <w:t>mm</w:t>
      </w:r>
      <w:r w:rsidRPr="00F06DE2">
        <w:rPr>
          <w:rFonts w:ascii="Times New Roman" w:hAnsi="Times New Roman" w:cs="Times New Roman"/>
          <w:lang w:val="ru-RU"/>
        </w:rPr>
        <w:t>.</w:t>
      </w:r>
    </w:p>
    <w:p w14:paraId="1655B515"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30" w:name="_Toc491854218"/>
      <w:bookmarkStart w:id="431" w:name="_Toc535827659"/>
      <w:r w:rsidRPr="00F06DE2">
        <w:rPr>
          <w:rFonts w:ascii="Times New Roman" w:hAnsi="Times New Roman" w:cs="Times New Roman"/>
          <w:sz w:val="24"/>
          <w:szCs w:val="24"/>
          <w:lang w:val="ru-RU"/>
        </w:rPr>
        <w:t>Член 22.05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Остатъчен надводен борд</w:t>
      </w:r>
      <w:bookmarkEnd w:id="430"/>
      <w:bookmarkEnd w:id="431"/>
    </w:p>
    <w:p w14:paraId="7110A7E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За целите на настоящата глава и чрез дерогация от член 1.01 остатъчен надводен борд означава най-краткото вертикално разстояние между водната повърхност и горната повърхност на палубата в края ѝ, като се вземат предвид диферентът и кренът, които са резултат от моментите, посочени в член 22.07, точки 4 - 9.</w:t>
      </w:r>
    </w:p>
    <w:p w14:paraId="2705B7B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Остатъчният надводен борд е достатъчен съгласно член 22.07, точка 1, ако е не по-малко от 300 </w:t>
      </w:r>
      <w:r w:rsidRPr="00F06DE2">
        <w:rPr>
          <w:rFonts w:ascii="Times New Roman" w:hAnsi="Times New Roman" w:cs="Times New Roman"/>
        </w:rPr>
        <w:t>mm</w:t>
      </w:r>
      <w:r w:rsidRPr="00F06DE2">
        <w:rPr>
          <w:rFonts w:ascii="Times New Roman" w:hAnsi="Times New Roman" w:cs="Times New Roman"/>
          <w:lang w:val="ru-RU"/>
        </w:rPr>
        <w:t>.</w:t>
      </w:r>
    </w:p>
    <w:p w14:paraId="2164971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Остатъчният надводен борд може да бъде намален, ако се докаже, че изискванията на член 22.08 са изпълнени.</w:t>
      </w:r>
    </w:p>
    <w:p w14:paraId="2B05BB2E" w14:textId="77777777" w:rsidR="00271FA2" w:rsidRPr="00F06DE2" w:rsidRDefault="00D35E51" w:rsidP="00526D9A">
      <w:pPr>
        <w:pStyle w:val="ESch"/>
        <w:spacing w:after="240"/>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 случай, че формата на плаващия обект видимо се различава от тази на понтон, какъвто е случаят с цилиндричните плаващи платформи, или напречното сечение на плаващата платформа има повече от четири страни, контролният орган има право да изиска или да одобри остатъчен надводен борд, който е различен от този в точка 2. Това важи и за плаващи съоръжения, състоящи се от няколко плаващи обекта.</w:t>
      </w:r>
    </w:p>
    <w:p w14:paraId="15EA9B6C"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32" w:name="_Toc491854219"/>
      <w:bookmarkStart w:id="433" w:name="_Toc535827660"/>
      <w:r w:rsidRPr="00F06DE2">
        <w:rPr>
          <w:rFonts w:ascii="Times New Roman" w:hAnsi="Times New Roman" w:cs="Times New Roman"/>
          <w:sz w:val="24"/>
          <w:szCs w:val="24"/>
          <w:lang w:val="ru-RU"/>
        </w:rPr>
        <w:t>Член 22.06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Изпитване за накреняване</w:t>
      </w:r>
      <w:bookmarkEnd w:id="432"/>
      <w:bookmarkEnd w:id="433"/>
    </w:p>
    <w:p w14:paraId="64592B3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Потвърждаването на устойчивостта съгласно членове 22.07 и 22.08 се основава на изпитване за накреняване, извършено по подходящ начин.</w:t>
      </w:r>
    </w:p>
    <w:p w14:paraId="4BDAD00A" w14:textId="77777777" w:rsidR="00271FA2" w:rsidRPr="00F06DE2" w:rsidRDefault="00D35E51" w:rsidP="00526D9A">
      <w:pPr>
        <w:pStyle w:val="ESch"/>
        <w:spacing w:after="240"/>
        <w:jc w:val="both"/>
        <w:rPr>
          <w:rFonts w:ascii="Times New Roman" w:hAnsi="Times New Roman" w:cs="Times New Roman"/>
          <w:lang w:val="ru-RU"/>
        </w:rPr>
      </w:pPr>
      <w:r w:rsidRPr="00F06DE2">
        <w:rPr>
          <w:rFonts w:ascii="Times New Roman" w:hAnsi="Times New Roman" w:cs="Times New Roman"/>
          <w:lang w:val="ru-RU"/>
        </w:rPr>
        <w:lastRenderedPageBreak/>
        <w:t>2.</w:t>
      </w:r>
      <w:r w:rsidRPr="00F06DE2">
        <w:rPr>
          <w:rFonts w:ascii="Times New Roman" w:hAnsi="Times New Roman" w:cs="Times New Roman"/>
          <w:lang w:val="ru-RU"/>
        </w:rPr>
        <w:tab/>
        <w:t>Ако по време на изпитването за накреняване не е възможно да се постигнат необходимите ъгли на крена или ако изпитването за накреняване води до неоправдано големи технически трудности, то може да се замени с изчисляване на центъра на тежестта и водоизместването на плавателното средство. Резултатът от изчислението на теглото се проверява чрез измерване на газенето, като разликата не трябва да е повече от ± 5</w:t>
      </w:r>
      <w:r w:rsidRPr="00F06DE2">
        <w:rPr>
          <w:rFonts w:ascii="Times New Roman" w:hAnsi="Times New Roman" w:cs="Times New Roman"/>
        </w:rPr>
        <w:t> </w:t>
      </w:r>
      <w:r w:rsidRPr="00F06DE2">
        <w:rPr>
          <w:rFonts w:ascii="Times New Roman" w:hAnsi="Times New Roman" w:cs="Times New Roman"/>
          <w:lang w:val="ru-RU"/>
        </w:rPr>
        <w:t>%.</w:t>
      </w:r>
    </w:p>
    <w:p w14:paraId="246BF649"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34" w:name="_Toc491854220"/>
      <w:bookmarkStart w:id="435" w:name="_Toc535827661"/>
      <w:r w:rsidRPr="00F06DE2">
        <w:rPr>
          <w:rFonts w:ascii="Times New Roman" w:hAnsi="Times New Roman" w:cs="Times New Roman"/>
          <w:sz w:val="24"/>
          <w:szCs w:val="24"/>
          <w:lang w:val="ru-RU"/>
        </w:rPr>
        <w:t>Член 22.07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Потвърждаване на устойчивостта</w:t>
      </w:r>
      <w:bookmarkEnd w:id="434"/>
      <w:bookmarkEnd w:id="435"/>
    </w:p>
    <w:p w14:paraId="5CD4228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 xml:space="preserve">1. </w:t>
      </w:r>
      <w:r w:rsidRPr="00F06DE2">
        <w:rPr>
          <w:rFonts w:ascii="Times New Roman" w:hAnsi="Times New Roman" w:cs="Times New Roman"/>
          <w:lang w:val="ru-RU"/>
        </w:rPr>
        <w:tab/>
        <w:t>Предвид на натоварванията, възникващи при експлоатация на работно оборудване и по време на плаване, трябва да се потвърждава, че остатъчният надводен б</w:t>
      </w:r>
      <w:r w:rsidR="006D3B7D" w:rsidRPr="00F06DE2">
        <w:rPr>
          <w:rFonts w:ascii="Times New Roman" w:hAnsi="Times New Roman" w:cs="Times New Roman"/>
          <w:lang w:val="ru-RU"/>
        </w:rPr>
        <w:t>орд и остатъчното безопасно разстояние</w:t>
      </w:r>
      <w:r w:rsidRPr="00F06DE2">
        <w:rPr>
          <w:rFonts w:ascii="Times New Roman" w:hAnsi="Times New Roman" w:cs="Times New Roman"/>
          <w:lang w:val="ru-RU"/>
        </w:rPr>
        <w:t xml:space="preserve"> са достатъчни. За тази цел ъглите на диферента и крена не трябва да превишават 10° и дъното на корпуса не трябва да се показва.</w:t>
      </w:r>
    </w:p>
    <w:p w14:paraId="513CED2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Потвърждението на устойчивостта включва изброените по-долу данни и документи:</w:t>
      </w:r>
    </w:p>
    <w:p w14:paraId="2963E5A3" w14:textId="77777777" w:rsidR="00271FA2" w:rsidRPr="00F06DE2" w:rsidRDefault="00D35E51" w:rsidP="00526D9A">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чертежи на плаващите обекти и работното оборудване и подробни данни за тях, които са необходими за потвърждение на устойчивостта като съдържание на резервоарите, отворите за достъп до вътрешността на плавателния съд;</w:t>
      </w:r>
    </w:p>
    <w:p w14:paraId="786D7594" w14:textId="77777777" w:rsidR="00271FA2" w:rsidRPr="00F06DE2" w:rsidRDefault="00D35E51" w:rsidP="00526D9A">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хидростатични данни или криви;</w:t>
      </w:r>
    </w:p>
    <w:p w14:paraId="1A44A707" w14:textId="77777777" w:rsidR="00271FA2" w:rsidRPr="00F06DE2" w:rsidRDefault="00D35E51" w:rsidP="00526D9A">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криви на рамото на изправящия момент за статичната устойчивост, доколкото се изисква съгласно точка 5 по-долу или член 22.08;</w:t>
      </w:r>
    </w:p>
    <w:p w14:paraId="56C87F8C" w14:textId="77777777" w:rsidR="00271FA2" w:rsidRPr="00F06DE2" w:rsidRDefault="00D35E51" w:rsidP="00526D9A">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описание на експлоатационните условия заедно със съответните данни относно теглото и центъра на тежестта, включително в състояние без товар и положението на оборудването във връзка с транспорта;</w:t>
      </w:r>
    </w:p>
    <w:p w14:paraId="64D20D0D" w14:textId="77777777" w:rsidR="00271FA2" w:rsidRPr="00F06DE2" w:rsidRDefault="00D35E51" w:rsidP="00526D9A">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изчисляване на кренящия момент, диферента и изправящия момент с описание на ъглите на диферент и крен и съответния остатъчен надводен борд и остатъчните безопасни разстояния;</w:t>
      </w:r>
    </w:p>
    <w:p w14:paraId="694B9AD7" w14:textId="77777777" w:rsidR="00271FA2" w:rsidRPr="00F06DE2" w:rsidRDefault="00D35E51" w:rsidP="00526D9A">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 обобщение на резултатите от изчислението с определяне на граничните стойности за работа и максималните натоварвания.</w:t>
      </w:r>
    </w:p>
    <w:p w14:paraId="1480124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Потвърждението на устойчивостта се основава като минимум на следните предполагаеми натоварвания:</w:t>
      </w:r>
    </w:p>
    <w:p w14:paraId="104933E3"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относително тегло на изкопаваните продукти за земекопачки:</w:t>
      </w:r>
    </w:p>
    <w:p w14:paraId="635850FF" w14:textId="77777777" w:rsidR="00271FA2" w:rsidRPr="00F06DE2" w:rsidRDefault="00D35E51">
      <w:pPr>
        <w:pStyle w:val="ESletpar"/>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пясък и чакъл: 1,5 </w:t>
      </w:r>
      <w:r w:rsidRPr="00F06DE2">
        <w:rPr>
          <w:rFonts w:ascii="Times New Roman" w:hAnsi="Times New Roman" w:cs="Times New Roman"/>
        </w:rPr>
        <w:t>t</w:t>
      </w:r>
      <w:r w:rsidRPr="00F06DE2">
        <w:rPr>
          <w:rFonts w:ascii="Times New Roman" w:hAnsi="Times New Roman" w:cs="Times New Roman"/>
          <w:lang w:val="ru-RU"/>
        </w:rPr>
        <w:t>/</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p>
    <w:p w14:paraId="4E28360E" w14:textId="77777777" w:rsidR="00271FA2" w:rsidRPr="00F06DE2" w:rsidRDefault="00D35E51">
      <w:pPr>
        <w:pStyle w:val="ESletpar"/>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много мокри пясъци: 2,0 </w:t>
      </w:r>
      <w:r w:rsidRPr="00F06DE2">
        <w:rPr>
          <w:rFonts w:ascii="Times New Roman" w:hAnsi="Times New Roman" w:cs="Times New Roman"/>
        </w:rPr>
        <w:t>t</w:t>
      </w:r>
      <w:r w:rsidRPr="00F06DE2">
        <w:rPr>
          <w:rFonts w:ascii="Times New Roman" w:hAnsi="Times New Roman" w:cs="Times New Roman"/>
          <w:lang w:val="ru-RU"/>
        </w:rPr>
        <w:t>/</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p>
    <w:p w14:paraId="77AE94BE" w14:textId="77777777" w:rsidR="00271FA2" w:rsidRPr="00F06DE2" w:rsidRDefault="00D35E51">
      <w:pPr>
        <w:pStyle w:val="ESletpar"/>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почва, средно: 1,8 </w:t>
      </w:r>
      <w:r w:rsidRPr="00F06DE2">
        <w:rPr>
          <w:rFonts w:ascii="Times New Roman" w:hAnsi="Times New Roman" w:cs="Times New Roman"/>
        </w:rPr>
        <w:t>t</w:t>
      </w:r>
      <w:r w:rsidRPr="00F06DE2">
        <w:rPr>
          <w:rFonts w:ascii="Times New Roman" w:hAnsi="Times New Roman" w:cs="Times New Roman"/>
          <w:lang w:val="ru-RU"/>
        </w:rPr>
        <w:t>/</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p>
    <w:p w14:paraId="7F8D3F2C" w14:textId="77777777" w:rsidR="00271FA2" w:rsidRPr="00F06DE2" w:rsidRDefault="00D35E51">
      <w:pPr>
        <w:pStyle w:val="ESletpar"/>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смес от пясък и вода в канали: 1,3 </w:t>
      </w:r>
      <w:r w:rsidRPr="00F06DE2">
        <w:rPr>
          <w:rFonts w:ascii="Times New Roman" w:hAnsi="Times New Roman" w:cs="Times New Roman"/>
        </w:rPr>
        <w:t>t</w:t>
      </w:r>
      <w:r w:rsidRPr="00F06DE2">
        <w:rPr>
          <w:rFonts w:ascii="Times New Roman" w:hAnsi="Times New Roman" w:cs="Times New Roman"/>
          <w:lang w:val="ru-RU"/>
        </w:rPr>
        <w:t>/</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p>
    <w:p w14:paraId="68BD6874"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при грайферни земекопачки стойностите по буква “а” се завишават с 15 %;</w:t>
      </w:r>
    </w:p>
    <w:p w14:paraId="455D1284"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при хидравлични земекопачки се взема предвид максималната товароподемност.</w:t>
      </w:r>
    </w:p>
    <w:p w14:paraId="1E9C2CC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Потвърждението на устойчивостта трябва да отчита моментите в резултат на:</w:t>
      </w:r>
    </w:p>
    <w:p w14:paraId="686E3ABC"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товара;</w:t>
      </w:r>
    </w:p>
    <w:p w14:paraId="67D02ED6"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асиметрииите в структурата;</w:t>
      </w:r>
    </w:p>
    <w:p w14:paraId="38A1C134"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налягането на вятъра;</w:t>
      </w:r>
    </w:p>
    <w:p w14:paraId="307DAC3A" w14:textId="3D661DA5"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 xml:space="preserve">г) </w:t>
      </w:r>
      <w:r w:rsidR="00784E69" w:rsidRPr="00F06DE2">
        <w:rPr>
          <w:rFonts w:ascii="Times New Roman" w:hAnsi="Times New Roman" w:cs="Times New Roman"/>
          <w:lang w:val="ru-RU"/>
        </w:rPr>
        <w:t xml:space="preserve">завиването  </w:t>
      </w:r>
      <w:r w:rsidRPr="00F06DE2">
        <w:rPr>
          <w:rFonts w:ascii="Times New Roman" w:hAnsi="Times New Roman" w:cs="Times New Roman"/>
          <w:lang w:val="ru-RU"/>
        </w:rPr>
        <w:t>по време на движение на самоходни плаващи съоръжения;</w:t>
      </w:r>
    </w:p>
    <w:p w14:paraId="6044F9B8"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д) странични течения, ако е необходимо;</w:t>
      </w:r>
    </w:p>
    <w:p w14:paraId="512D0114"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е) баласт и провизии;</w:t>
      </w:r>
    </w:p>
    <w:p w14:paraId="468F320F"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lastRenderedPageBreak/>
        <w:t>ж) натоварванията на палубата и, по целесъобразност, товар;</w:t>
      </w:r>
    </w:p>
    <w:p w14:paraId="7E804276"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з) открити повърхности на течности;</w:t>
      </w:r>
    </w:p>
    <w:p w14:paraId="1982A0FB"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и) инерционни сили;</w:t>
      </w:r>
    </w:p>
    <w:p w14:paraId="43667741"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й) друго механично оборудване.</w:t>
      </w:r>
    </w:p>
    <w:p w14:paraId="4CF9C9AF"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Моментите, които могат да действат едновременно, се сумират.</w:t>
      </w:r>
    </w:p>
    <w:p w14:paraId="25BB2CF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Моментът, породен от налягането на вятъра, се изчислява в съответствие със следната формула:</w:t>
      </w:r>
    </w:p>
    <w:p w14:paraId="18B808BF" w14:textId="77777777" w:rsidR="00271FA2" w:rsidRPr="00F06DE2" w:rsidRDefault="002C62EC">
      <w:pPr>
        <w:pStyle w:val="ESc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 xml:space="preserve">=c ∙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r>
            <w:rPr>
              <w:rFonts w:ascii="Cambria Math" w:hAnsi="Cambria Math" w:cs="Times New Roman"/>
            </w:rPr>
            <m:t xml:space="preserve">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2</m:t>
                  </m:r>
                </m:den>
              </m:f>
            </m:e>
          </m:d>
          <m:r>
            <w:rPr>
              <w:rFonts w:ascii="Cambria Math" w:hAnsi="Cambria Math" w:cs="Times New Roman"/>
            </w:rPr>
            <m:t xml:space="preserve"> </m:t>
          </m:r>
          <m:d>
            <m:dPr>
              <m:begChr m:val="["/>
              <m:endChr m:val="]"/>
              <m:ctrlPr>
                <w:rPr>
                  <w:rFonts w:ascii="Cambria Math" w:hAnsi="Cambria Math" w:cs="Times New Roman"/>
                  <w:i/>
                </w:rPr>
              </m:ctrlPr>
            </m:dPr>
            <m:e>
              <m:r>
                <w:rPr>
                  <w:rFonts w:ascii="Cambria Math" w:hAnsi="Cambria Math" w:cs="Times New Roman"/>
                </w:rPr>
                <m:t>kNm</m:t>
              </m:r>
            </m:e>
          </m:d>
        </m:oMath>
      </m:oMathPara>
    </w:p>
    <w:p w14:paraId="67345024" w14:textId="77777777" w:rsidR="00271FA2" w:rsidRPr="00F06DE2" w:rsidRDefault="00D35E51" w:rsidP="00C2460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където:</w:t>
      </w:r>
    </w:p>
    <w:p w14:paraId="5CF35D3A" w14:textId="77777777" w:rsidR="00271FA2" w:rsidRPr="00F06DE2" w:rsidRDefault="00D35E51" w:rsidP="00C2460B">
      <w:pPr>
        <w:pStyle w:val="ESlet"/>
        <w:spacing w:before="0"/>
        <w:ind w:left="567"/>
        <w:jc w:val="both"/>
        <w:rPr>
          <w:rFonts w:ascii="Times New Roman" w:hAnsi="Times New Roman" w:cs="Times New Roman"/>
          <w:lang w:val="ru-RU"/>
        </w:rPr>
      </w:pPr>
      <m:oMath>
        <m:r>
          <w:rPr>
            <w:rFonts w:ascii="Cambria Math" w:hAnsi="Cambria Math" w:cs="Times New Roman"/>
          </w:rPr>
          <m:t>c</m:t>
        </m:r>
      </m:oMath>
      <w:r w:rsidRPr="00F06DE2">
        <w:rPr>
          <w:rFonts w:ascii="Times New Roman" w:hAnsi="Times New Roman" w:cs="Times New Roman"/>
          <w:lang w:val="ru-RU"/>
        </w:rPr>
        <w:tab/>
        <w:t xml:space="preserve"> =</w:t>
      </w:r>
      <w:r w:rsidRPr="00F06DE2">
        <w:rPr>
          <w:rFonts w:ascii="Times New Roman" w:hAnsi="Times New Roman" w:cs="Times New Roman"/>
          <w:lang w:val="ru-RU"/>
        </w:rPr>
        <w:tab/>
        <w:t>коефициент на съпротивление, зависещ от формата</w:t>
      </w:r>
    </w:p>
    <w:p w14:paraId="7F4C6657" w14:textId="77777777" w:rsidR="00271FA2" w:rsidRPr="00F06DE2" w:rsidRDefault="00D35E51" w:rsidP="00C2460B">
      <w:pPr>
        <w:pStyle w:val="EStir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За рамки </w:t>
      </w:r>
      <m:oMath>
        <m:r>
          <w:rPr>
            <w:rFonts w:ascii="Cambria Math" w:hAnsi="Cambria Math" w:cs="Times New Roman"/>
          </w:rPr>
          <m:t>c</m:t>
        </m:r>
        <m:r>
          <w:rPr>
            <w:rFonts w:ascii="Cambria Math" w:hAnsi="Cambria Math" w:cs="Times New Roman"/>
            <w:lang w:val="ru-RU"/>
          </w:rPr>
          <m:t>=1,2</m:t>
        </m:r>
      </m:oMath>
      <w:r w:rsidRPr="00F06DE2">
        <w:rPr>
          <w:rFonts w:ascii="Times New Roman" w:hAnsi="Times New Roman" w:cs="Times New Roman"/>
          <w:lang w:val="ru-RU"/>
        </w:rPr>
        <w:t xml:space="preserve"> и за греди с плътно сечение </w:t>
      </w:r>
      <m:oMath>
        <m:r>
          <w:rPr>
            <w:rFonts w:ascii="Cambria Math" w:hAnsi="Cambria Math" w:cs="Times New Roman"/>
          </w:rPr>
          <m:t>c</m:t>
        </m:r>
        <m:r>
          <w:rPr>
            <w:rFonts w:ascii="Cambria Math" w:hAnsi="Cambria Math" w:cs="Times New Roman"/>
            <w:lang w:val="ru-RU"/>
          </w:rPr>
          <m:t>=1,6</m:t>
        </m:r>
      </m:oMath>
      <w:r w:rsidRPr="00F06DE2">
        <w:rPr>
          <w:rFonts w:ascii="Times New Roman" w:hAnsi="Times New Roman" w:cs="Times New Roman"/>
          <w:lang w:val="ru-RU"/>
        </w:rPr>
        <w:t>. И при двете стойности трябва да се отчитат евентуални силни пориви на вятър.</w:t>
      </w:r>
    </w:p>
    <w:p w14:paraId="30FF0381" w14:textId="77777777" w:rsidR="00271FA2" w:rsidRPr="00F06DE2" w:rsidRDefault="00D35E51" w:rsidP="00C2460B">
      <w:pPr>
        <w:pStyle w:val="EStiretpar"/>
        <w:spacing w:before="0"/>
        <w:ind w:left="567"/>
        <w:jc w:val="both"/>
        <w:rPr>
          <w:rFonts w:ascii="Times New Roman" w:hAnsi="Times New Roman" w:cs="Times New Roman"/>
          <w:lang w:val="ru-RU"/>
        </w:rPr>
      </w:pPr>
      <w:r w:rsidRPr="00F06DE2">
        <w:rPr>
          <w:rFonts w:ascii="Times New Roman" w:hAnsi="Times New Roman" w:cs="Times New Roman"/>
          <w:lang w:val="ru-RU"/>
        </w:rPr>
        <w:t>Цялата площ, обхваната от контурната линия на рамката, се приема за повърхност, изложена на вятъра.</w:t>
      </w:r>
    </w:p>
    <w:p w14:paraId="423634EB" w14:textId="77777777" w:rsidR="00271FA2" w:rsidRPr="00F06DE2" w:rsidRDefault="002C62EC" w:rsidP="00C2460B">
      <w:pPr>
        <w:pStyle w:val="ESlet"/>
        <w:spacing w:before="0"/>
        <w:ind w:left="567"/>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W</m:t>
            </m:r>
          </m:sub>
        </m:sSub>
      </m:oMath>
      <w:r w:rsidR="00D35E51" w:rsidRPr="00F06DE2">
        <w:rPr>
          <w:rFonts w:ascii="Times New Roman" w:hAnsi="Times New Roman" w:cs="Times New Roman"/>
          <w:lang w:val="ru-RU"/>
        </w:rPr>
        <w:tab/>
        <w:t xml:space="preserve">= специфичното налягане на вятъра; то се приема за равно на 0,25 </w:t>
      </w:r>
      <w:r w:rsidR="00D35E51" w:rsidRPr="00F06DE2">
        <w:rPr>
          <w:rFonts w:ascii="Times New Roman" w:hAnsi="Times New Roman" w:cs="Times New Roman"/>
        </w:rPr>
        <w:t>kN</w:t>
      </w:r>
      <w:r w:rsidR="00D35E51" w:rsidRPr="00F06DE2">
        <w:rPr>
          <w:rFonts w:ascii="Times New Roman" w:hAnsi="Times New Roman" w:cs="Times New Roman"/>
          <w:lang w:val="ru-RU"/>
        </w:rPr>
        <w:t>/</w:t>
      </w:r>
      <w:r w:rsidR="00D35E51" w:rsidRPr="00F06DE2">
        <w:rPr>
          <w:rFonts w:ascii="Times New Roman" w:hAnsi="Times New Roman" w:cs="Times New Roman"/>
        </w:rPr>
        <w:t>m</w:t>
      </w:r>
      <w:r w:rsidR="00D35E51" w:rsidRPr="00F06DE2">
        <w:rPr>
          <w:rFonts w:ascii="Times New Roman" w:hAnsi="Times New Roman" w:cs="Times New Roman"/>
          <w:vertAlign w:val="superscript"/>
          <w:lang w:val="ru-RU"/>
        </w:rPr>
        <w:t>2</w:t>
      </w:r>
      <w:r w:rsidR="00D35E51" w:rsidRPr="00F06DE2">
        <w:rPr>
          <w:rFonts w:ascii="Times New Roman" w:hAnsi="Times New Roman" w:cs="Times New Roman"/>
          <w:lang w:val="ru-RU"/>
        </w:rPr>
        <w:t>;</w:t>
      </w:r>
    </w:p>
    <w:p w14:paraId="3498F908" w14:textId="0F21DA9D" w:rsidR="00271FA2" w:rsidRPr="00F06DE2" w:rsidRDefault="002C62EC" w:rsidP="00C2460B">
      <w:pPr>
        <w:pStyle w:val="ESlet"/>
        <w:tabs>
          <w:tab w:val="left" w:pos="993"/>
        </w:tabs>
        <w:spacing w:before="0"/>
        <w:ind w:left="567"/>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oMath>
      <w:r w:rsidR="00D35E51" w:rsidRPr="00F06DE2">
        <w:rPr>
          <w:rFonts w:ascii="Times New Roman" w:hAnsi="Times New Roman" w:cs="Times New Roman"/>
          <w:lang w:val="ru-RU"/>
        </w:rPr>
        <w:tab/>
        <w:t>= страничната равнина на плавателния съд над равнината на газене съгласно разглежданото състояние на натоварване в [</w:t>
      </w:r>
      <w:r w:rsidR="00D35E51" w:rsidRPr="00F06DE2">
        <w:rPr>
          <w:rFonts w:ascii="Times New Roman" w:hAnsi="Times New Roman" w:cs="Times New Roman"/>
        </w:rPr>
        <w:t>m</w:t>
      </w:r>
      <w:r w:rsidR="00D35E51" w:rsidRPr="00F06DE2">
        <w:rPr>
          <w:rFonts w:ascii="Times New Roman" w:hAnsi="Times New Roman" w:cs="Times New Roman"/>
          <w:lang w:val="ru-RU"/>
        </w:rPr>
        <w:t>²];</w:t>
      </w:r>
    </w:p>
    <w:p w14:paraId="6B9683B1" w14:textId="25281F68" w:rsidR="00271FA2" w:rsidRPr="00F06DE2" w:rsidRDefault="002C62EC" w:rsidP="00C2460B">
      <w:pPr>
        <w:pStyle w:val="ESlet"/>
        <w:tabs>
          <w:tab w:val="left" w:pos="993"/>
        </w:tabs>
        <w:spacing w:before="0"/>
        <w:ind w:left="567"/>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 xml:space="preserve">= разстоянието на центъра на тежестта на страничната равнина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oMath>
      <w:r w:rsidR="00D35E51" w:rsidRPr="00F06DE2">
        <w:rPr>
          <w:rFonts w:ascii="Times New Roman" w:hAnsi="Times New Roman" w:cs="Times New Roman"/>
          <w:lang w:val="ru-RU"/>
        </w:rPr>
        <w:t xml:space="preserve"> от равнината на газене съгласно разглежданото състояние на натоварване в [</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08470AB3" w14:textId="01086405"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За да се определят моментите, дължащи се</w:t>
      </w:r>
      <w:r w:rsidR="00885A99" w:rsidRPr="00F06DE2">
        <w:rPr>
          <w:rFonts w:ascii="Times New Roman" w:hAnsi="Times New Roman" w:cs="Times New Roman"/>
          <w:lang w:val="ru-RU"/>
        </w:rPr>
        <w:t xml:space="preserve"> </w:t>
      </w:r>
      <w:r w:rsidR="00B234D8" w:rsidRPr="00F06DE2">
        <w:rPr>
          <w:rFonts w:ascii="Times New Roman" w:hAnsi="Times New Roman" w:cs="Times New Roman"/>
          <w:lang w:val="ru-RU"/>
        </w:rPr>
        <w:t xml:space="preserve"> </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xml:space="preserve"> </w:t>
      </w:r>
      <w:r w:rsidR="007073CA" w:rsidRPr="00F06DE2">
        <w:rPr>
          <w:rFonts w:ascii="Times New Roman" w:hAnsi="Times New Roman" w:cs="Times New Roman"/>
          <w:lang w:val="ru-RU"/>
        </w:rPr>
        <w:t xml:space="preserve">по време на </w:t>
      </w:r>
      <w:r w:rsidRPr="00F06DE2">
        <w:rPr>
          <w:rFonts w:ascii="Times New Roman" w:hAnsi="Times New Roman" w:cs="Times New Roman"/>
          <w:lang w:val="ru-RU"/>
        </w:rPr>
        <w:t>движение съгласно точка 4, буква “г” при самоходни плаващи съоръжения, се използва формулата, посочена в член 19.03, точка 6.</w:t>
      </w:r>
    </w:p>
    <w:p w14:paraId="28722FFF"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Моментът, произтичащ от странично течение съгласно точка 4, буква “д”, се взема под внимание само за плаващи средства, които са закотвени или швартовани в течението при работа.</w:t>
      </w:r>
    </w:p>
    <w:p w14:paraId="3FA8219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Определя се най-малко благоприятната степен на напълване на резервоар от гледна точка на устойчивостта, а съответният момент се включва в изчислението, когато се пресмятат моментите, породени от течен баласт и течни провизии съгласно точка 4, буква “е”.</w:t>
      </w:r>
    </w:p>
    <w:p w14:paraId="301DF43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Моментът, породен от инерционните сили съгласно точка 4, буква “и”, се отчита в необходимата степен, в случай че движенията на товара и работното оборудване е вероятно да се отразят на устойчивостта.</w:t>
      </w:r>
    </w:p>
    <w:p w14:paraId="082F226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Изправящите моменти за плаващи обекти с вертикални странични стени могат да се изчислят по следната формула</w:t>
      </w:r>
    </w:p>
    <w:p w14:paraId="134767EB" w14:textId="77777777" w:rsidR="00271FA2" w:rsidRPr="00F06DE2" w:rsidRDefault="002C62EC">
      <w:pPr>
        <w:pStyle w:val="ESc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R</m:t>
              </m:r>
            </m:sub>
          </m:sSub>
          <m:r>
            <w:rPr>
              <w:rFonts w:ascii="Cambria Math" w:hAnsi="Cambria Math" w:cs="Times New Roman"/>
            </w:rPr>
            <m:t xml:space="preserve">=10 ∙D ∙ </m:t>
          </m:r>
          <m:acc>
            <m:accPr>
              <m:chr m:val="̅"/>
              <m:ctrlPr>
                <w:rPr>
                  <w:rFonts w:ascii="Cambria Math" w:hAnsi="Cambria Math" w:cs="Times New Roman"/>
                  <w:i/>
                </w:rPr>
              </m:ctrlPr>
            </m:accPr>
            <m:e>
              <m:r>
                <w:rPr>
                  <w:rFonts w:ascii="Cambria Math" w:hAnsi="Cambria Math" w:cs="Times New Roman"/>
                </w:rPr>
                <m:t>MG</m:t>
              </m:r>
            </m:e>
          </m:acc>
          <m:r>
            <w:rPr>
              <w:rFonts w:ascii="Cambria Math" w:hAnsi="Cambria Math" w:cs="Times New Roman"/>
            </w:rPr>
            <m:t xml:space="preserve"> ∙ </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φ</m:t>
              </m:r>
            </m:e>
          </m:func>
          <m:r>
            <w:rPr>
              <w:rFonts w:ascii="Cambria Math" w:hAnsi="Cambria Math" w:cs="Times New Roman"/>
            </w:rPr>
            <m:t xml:space="preserve"> </m:t>
          </m:r>
          <m:d>
            <m:dPr>
              <m:begChr m:val="["/>
              <m:endChr m:val="]"/>
              <m:ctrlPr>
                <w:rPr>
                  <w:rFonts w:ascii="Cambria Math" w:hAnsi="Cambria Math" w:cs="Times New Roman"/>
                  <w:i/>
                </w:rPr>
              </m:ctrlPr>
            </m:dPr>
            <m:e>
              <m:r>
                <w:rPr>
                  <w:rFonts w:ascii="Cambria Math" w:hAnsi="Cambria Math" w:cs="Times New Roman"/>
                </w:rPr>
                <m:t>kNm</m:t>
              </m:r>
            </m:e>
          </m:d>
        </m:oMath>
      </m:oMathPara>
    </w:p>
    <w:p w14:paraId="356A5313" w14:textId="77777777" w:rsidR="00271FA2" w:rsidRPr="00F06DE2" w:rsidRDefault="00D35E51">
      <w:pPr>
        <w:pStyle w:val="ESchpar"/>
        <w:rPr>
          <w:rFonts w:ascii="Times New Roman" w:hAnsi="Times New Roman" w:cs="Times New Roman"/>
          <w:lang w:val="ru-RU"/>
        </w:rPr>
      </w:pPr>
      <w:r w:rsidRPr="00F06DE2">
        <w:rPr>
          <w:rFonts w:ascii="Times New Roman" w:hAnsi="Times New Roman" w:cs="Times New Roman"/>
          <w:lang w:val="ru-RU"/>
        </w:rPr>
        <w:t>където:</w:t>
      </w:r>
    </w:p>
    <w:p w14:paraId="4B01DC4A" w14:textId="77777777" w:rsidR="00271FA2" w:rsidRPr="00F06DE2" w:rsidRDefault="002C62EC">
      <w:pPr>
        <w:pStyle w:val="ESlet"/>
        <w:tabs>
          <w:tab w:val="left" w:pos="1134"/>
        </w:tabs>
        <w:spacing w:before="0"/>
        <w:ind w:left="1560" w:hanging="993"/>
        <w:rPr>
          <w:rFonts w:ascii="Times New Roman" w:hAnsi="Times New Roman" w:cs="Times New Roman"/>
          <w:lang w:val="ru-RU"/>
        </w:rPr>
      </w:pPr>
      <m:oMath>
        <m:acc>
          <m:accPr>
            <m:chr m:val="̅"/>
            <m:ctrlPr>
              <w:rPr>
                <w:rFonts w:ascii="Cambria Math" w:hAnsi="Cambria Math" w:cs="Times New Roman"/>
                <w:i/>
              </w:rPr>
            </m:ctrlPr>
          </m:accPr>
          <m:e>
            <m:r>
              <w:rPr>
                <w:rFonts w:ascii="Cambria Math" w:hAnsi="Cambria Math" w:cs="Times New Roman"/>
              </w:rPr>
              <m:t>MG</m:t>
            </m:r>
          </m:e>
        </m:acc>
      </m:oMath>
      <w:r w:rsidR="00D35E51" w:rsidRPr="00F06DE2">
        <w:rPr>
          <w:rFonts w:ascii="Times New Roman" w:hAnsi="Times New Roman" w:cs="Times New Roman"/>
          <w:lang w:val="ru-RU"/>
        </w:rPr>
        <w:tab/>
        <w:t>=</w:t>
      </w:r>
      <w:r w:rsidR="00D35E51" w:rsidRPr="00F06DE2">
        <w:rPr>
          <w:rFonts w:ascii="Times New Roman" w:hAnsi="Times New Roman" w:cs="Times New Roman"/>
          <w:lang w:val="ru-RU"/>
        </w:rPr>
        <w:tab/>
        <w:t>метацентричната височина, в метри;</w:t>
      </w:r>
    </w:p>
    <w:p w14:paraId="216CDB4D" w14:textId="77777777" w:rsidR="00271FA2" w:rsidRPr="00F06DE2" w:rsidRDefault="00D35E51">
      <w:pPr>
        <w:pStyle w:val="ESlet"/>
        <w:tabs>
          <w:tab w:val="left" w:pos="1134"/>
        </w:tabs>
        <w:spacing w:before="0"/>
        <w:ind w:left="1560" w:hanging="993"/>
        <w:rPr>
          <w:rFonts w:ascii="Times New Roman" w:hAnsi="Times New Roman" w:cs="Times New Roman"/>
          <w:lang w:val="ru-RU"/>
        </w:rPr>
      </w:pPr>
      <m:oMath>
        <m:r>
          <m:rPr>
            <m:sty m:val="p"/>
          </m:rPr>
          <w:rPr>
            <w:rFonts w:ascii="Cambria Math" w:hAnsi="Cambria Math" w:cs="Times New Roman"/>
          </w:rPr>
          <w:sym w:font="Symbol" w:char="F06A"/>
        </m:r>
      </m:oMath>
      <w:r w:rsidRPr="00F06DE2">
        <w:rPr>
          <w:rFonts w:ascii="Times New Roman" w:hAnsi="Times New Roman" w:cs="Times New Roman"/>
          <w:lang w:val="ru-RU"/>
        </w:rPr>
        <w:tab/>
        <w:t>=</w:t>
      </w:r>
      <w:r w:rsidRPr="00F06DE2">
        <w:rPr>
          <w:rFonts w:ascii="Times New Roman" w:hAnsi="Times New Roman" w:cs="Times New Roman"/>
          <w:lang w:val="ru-RU"/>
        </w:rPr>
        <w:tab/>
        <w:t>ъгъла на крена (в градуси)</w:t>
      </w:r>
    </w:p>
    <w:p w14:paraId="6825D955"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Тази формула е валидна за ъгли на крен до 10° или до ъгъл на крен, съответстващ на потапяне на края на палубата или изплаване на края на дъното; меродавен е най-малкият ъгъл. Формулата може да се прилага за скосени стени до ъгли на крен от 5°; граничните стойности, посочени в точки 3 - 9, също се прилагат.</w:t>
      </w:r>
    </w:p>
    <w:p w14:paraId="0F0F9335" w14:textId="77777777" w:rsidR="00271FA2" w:rsidRPr="00F06DE2" w:rsidRDefault="00D35E51" w:rsidP="00C2460B">
      <w:pPr>
        <w:pStyle w:val="ESchpar"/>
        <w:spacing w:after="240"/>
        <w:jc w:val="both"/>
        <w:rPr>
          <w:rFonts w:ascii="Times New Roman" w:hAnsi="Times New Roman" w:cs="Times New Roman"/>
          <w:lang w:val="ru-RU"/>
        </w:rPr>
      </w:pPr>
      <w:r w:rsidRPr="00F06DE2">
        <w:rPr>
          <w:rFonts w:ascii="Times New Roman" w:hAnsi="Times New Roman" w:cs="Times New Roman"/>
          <w:lang w:val="ru-RU"/>
        </w:rPr>
        <w:lastRenderedPageBreak/>
        <w:t>Ако конкретната форма на плаващите обекти не позволява такова опростяване, се изискват кривите на рамото на изправящия момент съгласно точка 2, буква “в”.</w:t>
      </w:r>
    </w:p>
    <w:p w14:paraId="638F1F5C"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36" w:name="_Toc491854221"/>
      <w:bookmarkStart w:id="437" w:name="_Toc535827662"/>
      <w:r w:rsidRPr="00F06DE2">
        <w:rPr>
          <w:rFonts w:ascii="Times New Roman" w:hAnsi="Times New Roman" w:cs="Times New Roman"/>
          <w:sz w:val="24"/>
          <w:szCs w:val="24"/>
          <w:lang w:val="ru-RU"/>
        </w:rPr>
        <w:t>Член 22.08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Потвърждаване на устойчивостта при намален остатъчен надводен борд</w:t>
      </w:r>
      <w:bookmarkEnd w:id="436"/>
      <w:bookmarkEnd w:id="437"/>
    </w:p>
    <w:p w14:paraId="04B2F4BA" w14:textId="77777777" w:rsidR="00271FA2" w:rsidRPr="00F06DE2" w:rsidRDefault="00D35E51" w:rsidP="00C2460B">
      <w:pPr>
        <w:pStyle w:val="ESgauche"/>
        <w:ind w:left="567"/>
        <w:jc w:val="both"/>
        <w:rPr>
          <w:rFonts w:ascii="Times New Roman" w:hAnsi="Times New Roman" w:cs="Times New Roman"/>
          <w:lang w:val="ru-RU"/>
        </w:rPr>
      </w:pPr>
      <w:r w:rsidRPr="00F06DE2">
        <w:rPr>
          <w:rFonts w:ascii="Times New Roman" w:hAnsi="Times New Roman" w:cs="Times New Roman"/>
          <w:lang w:val="ru-RU"/>
        </w:rPr>
        <w:t>Ако се използва намален остатъчен надводен борд съгласно член 22.05, точка 3, за всички експлоатационни условия трябва да се докаже, че:</w:t>
      </w:r>
    </w:p>
    <w:p w14:paraId="6063310D" w14:textId="77777777" w:rsidR="00271FA2" w:rsidRPr="00F06DE2" w:rsidRDefault="00D35E51" w:rsidP="00C2460B">
      <w:pPr>
        <w:pStyle w:val="ESletgauche"/>
        <w:numPr>
          <w:ilvl w:val="0"/>
          <w:numId w:val="28"/>
        </w:numPr>
        <w:spacing w:before="0"/>
        <w:ind w:firstLine="0"/>
        <w:jc w:val="both"/>
        <w:rPr>
          <w:rFonts w:ascii="Times New Roman" w:hAnsi="Times New Roman" w:cs="Times New Roman"/>
          <w:lang w:val="ru-RU"/>
        </w:rPr>
      </w:pPr>
      <w:r w:rsidRPr="00F06DE2">
        <w:rPr>
          <w:rFonts w:ascii="Times New Roman" w:hAnsi="Times New Roman" w:cs="Times New Roman"/>
          <w:lang w:val="ru-RU"/>
        </w:rPr>
        <w:t xml:space="preserve">след корекцията за откритите повърхности на течностите, метацентричната височина е не по-малко от 0,15 </w:t>
      </w:r>
      <w:r w:rsidRPr="00F06DE2">
        <w:rPr>
          <w:rFonts w:ascii="Times New Roman" w:hAnsi="Times New Roman" w:cs="Times New Roman"/>
        </w:rPr>
        <w:t>m</w:t>
      </w:r>
      <w:r w:rsidRPr="00F06DE2">
        <w:rPr>
          <w:rFonts w:ascii="Times New Roman" w:hAnsi="Times New Roman" w:cs="Times New Roman"/>
          <w:lang w:val="ru-RU"/>
        </w:rPr>
        <w:t>;</w:t>
      </w:r>
    </w:p>
    <w:p w14:paraId="585DA360" w14:textId="77777777" w:rsidR="00271FA2" w:rsidRPr="00F06DE2" w:rsidRDefault="00D35E51" w:rsidP="00C2460B">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б) за ъгли на крен между 0 и 30° е налице рамо на изправящия момент не по-малко от:</w:t>
      </w:r>
    </w:p>
    <w:p w14:paraId="1B518A0C" w14:textId="77777777" w:rsidR="00271FA2" w:rsidRPr="00F06DE2" w:rsidRDefault="00D35E51" w:rsidP="00C2460B">
      <w:pPr>
        <w:pStyle w:val="ESletgauche"/>
        <w:spacing w:before="0"/>
        <w:rPr>
          <w:rFonts w:ascii="Times New Roman" w:hAnsi="Times New Roman" w:cs="Times New Roman"/>
        </w:rPr>
      </w:pPr>
      <m:oMathPara>
        <m:oMath>
          <m:r>
            <w:rPr>
              <w:rFonts w:ascii="Cambria Math" w:hAnsi="Cambria Math" w:cs="Times New Roman"/>
            </w:rPr>
            <m:t xml:space="preserve">h=0,30-0,28 ∙ </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n</m:t>
              </m:r>
            </m:sub>
          </m:sSub>
          <m:r>
            <w:rPr>
              <w:rFonts w:ascii="Cambria Math" w:hAnsi="Cambria Math" w:cs="Times New Roman"/>
            </w:rPr>
            <m:t xml:space="preserve"> </m:t>
          </m:r>
          <m:d>
            <m:dPr>
              <m:begChr m:val="["/>
              <m:endChr m:val="]"/>
              <m:ctrlPr>
                <w:rPr>
                  <w:rFonts w:ascii="Cambria Math" w:hAnsi="Cambria Math" w:cs="Times New Roman"/>
                  <w:i/>
                </w:rPr>
              </m:ctrlPr>
            </m:dPr>
            <m:e>
              <m:r>
                <w:rPr>
                  <w:rFonts w:ascii="Cambria Math" w:hAnsi="Cambria Math" w:cs="Times New Roman"/>
                </w:rPr>
                <m:t>m</m:t>
              </m:r>
            </m:e>
          </m:d>
        </m:oMath>
      </m:oMathPara>
    </w:p>
    <w:p w14:paraId="22299E9E" w14:textId="10BAB724" w:rsidR="00271FA2" w:rsidRPr="00F06DE2" w:rsidRDefault="002C62EC" w:rsidP="00C2460B">
      <w:pPr>
        <w:pStyle w:val="ESletgauche"/>
        <w:spacing w:before="0"/>
        <w:ind w:firstLine="0"/>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n</m:t>
            </m:r>
          </m:sub>
        </m:sSub>
        <m:r>
          <w:rPr>
            <w:rFonts w:ascii="Cambria Math" w:hAnsi="Cambria Math" w:cs="Times New Roman"/>
            <w:lang w:val="ru-RU"/>
          </w:rPr>
          <m:t xml:space="preserve">  </m:t>
        </m:r>
      </m:oMath>
      <w:r w:rsidR="00D35E51" w:rsidRPr="00F06DE2">
        <w:rPr>
          <w:rFonts w:ascii="Times New Roman" w:hAnsi="Times New Roman" w:cs="Times New Roman"/>
          <w:lang w:val="ru-RU"/>
        </w:rPr>
        <w:t xml:space="preserve">е ъгълът на крен, от който кривата на рамото на изправящия момент показва отрицателни стойности (диапазон на устойчивостта); той не е по-малък от 20° или 0,35 </w:t>
      </w:r>
      <w:r w:rsidR="00D35E51" w:rsidRPr="00F06DE2">
        <w:rPr>
          <w:rFonts w:ascii="Times New Roman" w:hAnsi="Times New Roman" w:cs="Times New Roman"/>
        </w:rPr>
        <w:t>rad</w:t>
      </w:r>
      <w:r w:rsidR="00D35E51" w:rsidRPr="00F06DE2">
        <w:rPr>
          <w:rFonts w:ascii="Times New Roman" w:hAnsi="Times New Roman" w:cs="Times New Roman"/>
          <w:lang w:val="ru-RU"/>
        </w:rPr>
        <w:t xml:space="preserve"> и не трябва да се въвежда във формулата като по-голяма стойност от 30° или 0,52 </w:t>
      </w:r>
      <w:r w:rsidR="00D35E51" w:rsidRPr="00F06DE2">
        <w:rPr>
          <w:rFonts w:ascii="Times New Roman" w:hAnsi="Times New Roman" w:cs="Times New Roman"/>
        </w:rPr>
        <w:t>rad</w:t>
      </w:r>
      <w:r w:rsidR="00D35E51" w:rsidRPr="00F06DE2">
        <w:rPr>
          <w:rFonts w:ascii="Times New Roman" w:hAnsi="Times New Roman" w:cs="Times New Roman"/>
          <w:lang w:val="ru-RU"/>
        </w:rPr>
        <w:t xml:space="preserve">, приемайки </w:t>
      </w:r>
      <w:r w:rsidR="00D35E51" w:rsidRPr="00F06DE2">
        <w:rPr>
          <w:rFonts w:ascii="Times New Roman" w:hAnsi="Times New Roman" w:cs="Times New Roman"/>
        </w:rPr>
        <w:t>radian</w:t>
      </w:r>
      <w:r w:rsidR="00D35E51" w:rsidRPr="00F06DE2">
        <w:rPr>
          <w:rFonts w:ascii="Times New Roman" w:hAnsi="Times New Roman" w:cs="Times New Roman"/>
          <w:lang w:val="ru-RU"/>
        </w:rPr>
        <w:t xml:space="preserve"> (</w:t>
      </w:r>
      <w:r w:rsidR="00D35E51" w:rsidRPr="00F06DE2">
        <w:rPr>
          <w:rFonts w:ascii="Times New Roman" w:hAnsi="Times New Roman" w:cs="Times New Roman"/>
        </w:rPr>
        <w:t>rad</w:t>
      </w:r>
      <w:r w:rsidR="00D35E51" w:rsidRPr="00F06DE2">
        <w:rPr>
          <w:rFonts w:ascii="Times New Roman" w:hAnsi="Times New Roman" w:cs="Times New Roman"/>
          <w:lang w:val="ru-RU"/>
        </w:rPr>
        <w:t xml:space="preserve">) (1° = 0,01745 </w:t>
      </w:r>
      <w:r w:rsidR="00D35E51" w:rsidRPr="00F06DE2">
        <w:rPr>
          <w:rFonts w:ascii="Times New Roman" w:hAnsi="Times New Roman" w:cs="Times New Roman"/>
        </w:rPr>
        <w:t>rad</w:t>
      </w:r>
      <w:r w:rsidR="00D35E51" w:rsidRPr="00F06DE2">
        <w:rPr>
          <w:rFonts w:ascii="Times New Roman" w:hAnsi="Times New Roman" w:cs="Times New Roman"/>
          <w:lang w:val="ru-RU"/>
        </w:rPr>
        <w:t xml:space="preserve">) като единица на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n</m:t>
            </m:r>
          </m:sub>
        </m:sSub>
      </m:oMath>
      <w:r w:rsidR="00D35E51" w:rsidRPr="00F06DE2">
        <w:rPr>
          <w:rFonts w:ascii="Times New Roman" w:hAnsi="Times New Roman" w:cs="Times New Roman"/>
          <w:lang w:val="ru-RU"/>
        </w:rPr>
        <w:t>;</w:t>
      </w:r>
    </w:p>
    <w:p w14:paraId="31B6C5FA" w14:textId="77777777" w:rsidR="00271FA2" w:rsidRPr="00F06DE2" w:rsidRDefault="00D35E51" w:rsidP="00AF1F47">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в) сборът от ъгълите на диферента и крена не превишава 10°;</w:t>
      </w:r>
    </w:p>
    <w:p w14:paraId="4BD5D299" w14:textId="77777777" w:rsidR="00271FA2" w:rsidRPr="00F06DE2" w:rsidRDefault="00D35E51" w:rsidP="00AF1F47">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г) остава остатъчно безопасно разстояние, отговарящо на изискванията на член 22.04;</w:t>
      </w:r>
    </w:p>
    <w:p w14:paraId="64FD1C0F" w14:textId="77777777" w:rsidR="00271FA2" w:rsidRPr="00F06DE2" w:rsidRDefault="00D35E51" w:rsidP="00AF1F47">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д) остава остатъчен надводен борд от поне 0,05 m;</w:t>
      </w:r>
    </w:p>
    <w:p w14:paraId="5D2A5B8A" w14:textId="77777777" w:rsidR="00271FA2" w:rsidRPr="00F06DE2" w:rsidRDefault="00D35E51" w:rsidP="00AF1F47">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е) за ъгли на крен между 0 и 30° е налице остатъчно рамо на изправящия момент не по-малко от</w:t>
      </w:r>
    </w:p>
    <w:p w14:paraId="3D06B325" w14:textId="77777777" w:rsidR="00271FA2" w:rsidRPr="00F06DE2" w:rsidRDefault="00D35E51">
      <w:pPr>
        <w:pStyle w:val="ESletgauche"/>
        <w:spacing w:before="0"/>
        <w:rPr>
          <w:rFonts w:ascii="Times New Roman" w:hAnsi="Times New Roman" w:cs="Times New Roman"/>
        </w:rPr>
      </w:pPr>
      <m:oMathPara>
        <m:oMath>
          <m:r>
            <w:rPr>
              <w:rFonts w:ascii="Cambria Math" w:hAnsi="Cambria Math" w:cs="Times New Roman"/>
            </w:rPr>
            <m:t xml:space="preserve">h=0,20-0,23 ∙ </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n</m:t>
              </m:r>
            </m:sub>
          </m:sSub>
          <m:r>
            <w:rPr>
              <w:rFonts w:ascii="Cambria Math" w:hAnsi="Cambria Math" w:cs="Times New Roman"/>
            </w:rPr>
            <m:t xml:space="preserve"> </m:t>
          </m:r>
          <m:d>
            <m:dPr>
              <m:begChr m:val="["/>
              <m:endChr m:val="]"/>
              <m:ctrlPr>
                <w:rPr>
                  <w:rFonts w:ascii="Cambria Math" w:hAnsi="Cambria Math" w:cs="Times New Roman"/>
                  <w:i/>
                </w:rPr>
              </m:ctrlPr>
            </m:dPr>
            <m:e>
              <m:r>
                <w:rPr>
                  <w:rFonts w:ascii="Cambria Math" w:hAnsi="Cambria Math" w:cs="Times New Roman"/>
                </w:rPr>
                <m:t>m</m:t>
              </m:r>
            </m:e>
          </m:d>
        </m:oMath>
      </m:oMathPara>
    </w:p>
    <w:p w14:paraId="45136F81"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където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n</m:t>
            </m:r>
          </m:sub>
        </m:sSub>
      </m:oMath>
      <w:r w:rsidRPr="00F06DE2">
        <w:rPr>
          <w:rFonts w:ascii="Times New Roman" w:hAnsi="Times New Roman" w:cs="Times New Roman"/>
          <w:lang w:val="ru-RU"/>
        </w:rPr>
        <w:t xml:space="preserve"> е ъгълът на крен, от който кривата на рамото на изправящия момент показва отрицателни стойности; той не трябва да се въвежда във формулата като по-голяма стойност от 30° или 0,52 </w:t>
      </w:r>
      <w:r w:rsidRPr="00F06DE2">
        <w:rPr>
          <w:rFonts w:ascii="Times New Roman" w:hAnsi="Times New Roman" w:cs="Times New Roman"/>
        </w:rPr>
        <w:t>rad</w:t>
      </w:r>
      <w:r w:rsidRPr="00F06DE2">
        <w:rPr>
          <w:rFonts w:ascii="Times New Roman" w:hAnsi="Times New Roman" w:cs="Times New Roman"/>
          <w:lang w:val="ru-RU"/>
        </w:rPr>
        <w:t>.</w:t>
      </w:r>
    </w:p>
    <w:p w14:paraId="15A97245" w14:textId="77777777" w:rsidR="00271FA2" w:rsidRPr="00F06DE2" w:rsidRDefault="00D35E51" w:rsidP="00AF1F47">
      <w:pPr>
        <w:pStyle w:val="Esletgauchepar"/>
        <w:spacing w:before="0" w:after="240"/>
        <w:jc w:val="both"/>
        <w:rPr>
          <w:rFonts w:ascii="Times New Roman" w:hAnsi="Times New Roman" w:cs="Times New Roman"/>
          <w:lang w:val="ru-RU"/>
        </w:rPr>
      </w:pPr>
      <w:r w:rsidRPr="00F06DE2">
        <w:rPr>
          <w:rFonts w:ascii="Times New Roman" w:hAnsi="Times New Roman" w:cs="Times New Roman"/>
          <w:lang w:val="ru-RU"/>
        </w:rPr>
        <w:t>Остатъчно рамо на изправящия момент означава максималната съществуваща разлика при 0 до 30° крен между кривата на рамото на изправящия момент и кривата на рамото на кренящия момент. Ако отвор към вътрешността на плавателния съд бъде достигнат от вода при ъгъл на крен по-малък от този, съответстващ на максималната разлика между кривите на моментите, под внимание се взема рамото, съответстващо на този ъгъл на крен.</w:t>
      </w:r>
    </w:p>
    <w:p w14:paraId="209182B5"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38" w:name="_Toc535827663"/>
      <w:bookmarkStart w:id="439" w:name="_Toc491854222"/>
      <w:r w:rsidRPr="00F06DE2">
        <w:rPr>
          <w:rFonts w:ascii="Times New Roman" w:hAnsi="Times New Roman" w:cs="Times New Roman"/>
          <w:sz w:val="24"/>
          <w:szCs w:val="24"/>
          <w:lang w:val="ru-RU"/>
        </w:rPr>
        <w:t>Член 22.09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Марки и скали на газене</w:t>
      </w:r>
      <w:bookmarkEnd w:id="438"/>
      <w:bookmarkEnd w:id="439"/>
    </w:p>
    <w:p w14:paraId="095011BB" w14:textId="77777777" w:rsidR="00271FA2" w:rsidRPr="00F06DE2" w:rsidRDefault="00D35E51" w:rsidP="00AF1F47">
      <w:pPr>
        <w:pStyle w:val="ESgauche"/>
        <w:spacing w:after="240"/>
        <w:jc w:val="both"/>
        <w:rPr>
          <w:rFonts w:ascii="Times New Roman" w:hAnsi="Times New Roman" w:cs="Times New Roman"/>
          <w:lang w:val="ru-RU"/>
        </w:rPr>
      </w:pPr>
      <w:r w:rsidRPr="00F06DE2">
        <w:rPr>
          <w:rFonts w:ascii="Times New Roman" w:hAnsi="Times New Roman" w:cs="Times New Roman"/>
          <w:lang w:val="ru-RU"/>
        </w:rPr>
        <w:t>Марките и скалите на газене се поставят съгласно членове 4.03 и 4.04.</w:t>
      </w:r>
    </w:p>
    <w:p w14:paraId="5FC4DA58"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40" w:name="_Toc535827664"/>
      <w:bookmarkStart w:id="441" w:name="_Toc491854223"/>
      <w:r w:rsidRPr="00F06DE2">
        <w:rPr>
          <w:rFonts w:ascii="Times New Roman" w:hAnsi="Times New Roman" w:cs="Times New Roman"/>
          <w:sz w:val="24"/>
          <w:szCs w:val="24"/>
          <w:lang w:val="ru-RU"/>
        </w:rPr>
        <w:t>Член 22.10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Плаващи съоръжения без потвърждение за устойчивост</w:t>
      </w:r>
      <w:bookmarkEnd w:id="440"/>
      <w:bookmarkEnd w:id="441"/>
    </w:p>
    <w:p w14:paraId="1DF950A4" w14:textId="77777777" w:rsidR="00271FA2" w:rsidRPr="00F06DE2" w:rsidRDefault="00D35E51" w:rsidP="00AF1F47">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Допуска се членове 22.04 - 22.08 да не се прилагат за плаващи съоръжения:</w:t>
      </w:r>
    </w:p>
    <w:p w14:paraId="009761EC" w14:textId="77777777" w:rsidR="00271FA2" w:rsidRPr="00F06DE2" w:rsidRDefault="00D35E51" w:rsidP="00AF1F4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чиито работни съоръжения не могат по никакъв начин да променят техния крен или диферент; и</w:t>
      </w:r>
    </w:p>
    <w:p w14:paraId="4A945301" w14:textId="77777777" w:rsidR="00271FA2" w:rsidRPr="00F06DE2" w:rsidRDefault="00D35E51" w:rsidP="00AF1F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когато всяко изместване на центъра на тежестта може да бъде напълно изключено.</w:t>
      </w:r>
    </w:p>
    <w:p w14:paraId="37413704" w14:textId="77777777" w:rsidR="00271FA2" w:rsidRPr="00F06DE2" w:rsidRDefault="00D35E51" w:rsidP="00AF1F47">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Все пак,</w:t>
      </w:r>
    </w:p>
    <w:p w14:paraId="5BE857BD" w14:textId="77777777" w:rsidR="00271FA2" w:rsidRPr="00F06DE2" w:rsidRDefault="00D35E51" w:rsidP="00AF1F47">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при максимален товар безопасното разстояние трябва да е не по-малко от 300 </w:t>
      </w:r>
      <w:r w:rsidRPr="00F06DE2">
        <w:rPr>
          <w:rFonts w:ascii="Times New Roman" w:hAnsi="Times New Roman" w:cs="Times New Roman"/>
        </w:rPr>
        <w:t>mm</w:t>
      </w:r>
      <w:r w:rsidRPr="00F06DE2">
        <w:rPr>
          <w:rFonts w:ascii="Times New Roman" w:hAnsi="Times New Roman" w:cs="Times New Roman"/>
          <w:lang w:val="ru-RU"/>
        </w:rPr>
        <w:t>, а надводният борд — най-малко 150</w:t>
      </w:r>
      <w:r w:rsidRPr="00F06DE2">
        <w:rPr>
          <w:rFonts w:ascii="Times New Roman" w:hAnsi="Times New Roman" w:cs="Times New Roman"/>
        </w:rPr>
        <w:t> mm</w:t>
      </w:r>
      <w:r w:rsidRPr="00F06DE2">
        <w:rPr>
          <w:rFonts w:ascii="Times New Roman" w:hAnsi="Times New Roman" w:cs="Times New Roman"/>
          <w:lang w:val="ru-RU"/>
        </w:rPr>
        <w:t>; и</w:t>
      </w:r>
    </w:p>
    <w:p w14:paraId="7B7ACBD7" w14:textId="148FE326" w:rsidR="00DF6869" w:rsidRPr="00F06DE2" w:rsidRDefault="00D35E51" w:rsidP="00AF1F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за отвори, които не могат да бъдат затворени, така че да са защитени от пръски и атмосферни въздействия, безопасното разстояние е не по-малко от 500 </w:t>
      </w:r>
      <w:r w:rsidRPr="00F06DE2">
        <w:rPr>
          <w:rFonts w:ascii="Times New Roman" w:hAnsi="Times New Roman" w:cs="Times New Roman"/>
        </w:rPr>
        <w:t>mm</w:t>
      </w:r>
      <w:r w:rsidRPr="00F06DE2">
        <w:rPr>
          <w:rFonts w:ascii="Times New Roman" w:hAnsi="Times New Roman" w:cs="Times New Roman"/>
          <w:lang w:val="ru-RU"/>
        </w:rPr>
        <w:t>.</w:t>
      </w:r>
    </w:p>
    <w:p w14:paraId="5052491C" w14:textId="77777777" w:rsidR="00317301" w:rsidRPr="00F06DE2" w:rsidRDefault="00317301">
      <w:pPr>
        <w:rPr>
          <w:rFonts w:ascii="Times New Roman" w:hAnsi="Times New Roman" w:cs="Times New Roman"/>
          <w:lang w:val="ru-RU"/>
        </w:rPr>
        <w:sectPr w:rsidR="00317301" w:rsidRPr="00F06DE2" w:rsidSect="00DB7663">
          <w:headerReference w:type="default" r:id="rId64"/>
          <w:headerReference w:type="first" r:id="rId65"/>
          <w:footnotePr>
            <w:numRestart w:val="eachPage"/>
          </w:footnotePr>
          <w:pgSz w:w="11906" w:h="16838" w:code="9"/>
          <w:pgMar w:top="1134" w:right="1134" w:bottom="1134" w:left="1134" w:header="709" w:footer="709" w:gutter="0"/>
          <w:cols w:space="709"/>
          <w:titlePg/>
          <w:docGrid w:linePitch="272"/>
        </w:sectPr>
      </w:pPr>
    </w:p>
    <w:p w14:paraId="30EB03AC" w14:textId="77777777" w:rsidR="00271FA2" w:rsidRPr="00F06DE2" w:rsidRDefault="00D35E51">
      <w:pPr>
        <w:pStyle w:val="ES-Titre2"/>
        <w:rPr>
          <w:rFonts w:ascii="Times New Roman" w:hAnsi="Times New Roman" w:cs="Times New Roman"/>
          <w:lang w:val="ru-RU"/>
        </w:rPr>
      </w:pPr>
      <w:bookmarkStart w:id="442" w:name="_Toc535827665"/>
      <w:bookmarkStart w:id="443" w:name="_Toc491854224"/>
      <w:r w:rsidRPr="00F06DE2">
        <w:rPr>
          <w:rFonts w:ascii="Times New Roman" w:hAnsi="Times New Roman" w:cs="Times New Roman"/>
          <w:lang w:val="ru-RU"/>
        </w:rPr>
        <w:lastRenderedPageBreak/>
        <w:t>Глава 23</w:t>
      </w:r>
      <w:r w:rsidRPr="00F06DE2">
        <w:rPr>
          <w:rFonts w:ascii="Times New Roman" w:hAnsi="Times New Roman" w:cs="Times New Roman"/>
          <w:lang w:val="ru-RU"/>
        </w:rPr>
        <w:br/>
        <w:t>Специални разпоредби, приложими за плавателни работни средства</w:t>
      </w:r>
      <w:bookmarkEnd w:id="442"/>
      <w:bookmarkEnd w:id="443"/>
    </w:p>
    <w:p w14:paraId="42F8AE08" w14:textId="77777777" w:rsidR="00271FA2" w:rsidRPr="00F06DE2" w:rsidRDefault="00D35E51">
      <w:pPr>
        <w:pStyle w:val="ES-Titre3"/>
        <w:spacing w:line="240" w:lineRule="atLeast"/>
        <w:rPr>
          <w:rFonts w:ascii="Times New Roman" w:hAnsi="Times New Roman" w:cs="Times New Roman"/>
          <w:sz w:val="24"/>
          <w:szCs w:val="24"/>
          <w:lang w:val="ru-RU"/>
        </w:rPr>
      </w:pPr>
      <w:bookmarkStart w:id="444" w:name="_Toc535827666"/>
      <w:bookmarkStart w:id="445" w:name="_Toc491854225"/>
      <w:r w:rsidRPr="00F06DE2">
        <w:rPr>
          <w:rFonts w:ascii="Times New Roman" w:hAnsi="Times New Roman" w:cs="Times New Roman"/>
          <w:sz w:val="24"/>
          <w:szCs w:val="24"/>
          <w:lang w:val="ru-RU"/>
        </w:rPr>
        <w:t>Член 23.01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Условия за експлоатация</w:t>
      </w:r>
      <w:bookmarkEnd w:id="444"/>
      <w:bookmarkEnd w:id="445"/>
    </w:p>
    <w:p w14:paraId="59394CDC"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Плавателните работни средства, определени като такива в Корабното удостоверение за вътрешно корабоплаване, могат да плават извън работните участъци само без товар. Това ограничение се вписва в Корабното удостоверение за вътрешно корабоплаване.</w:t>
      </w:r>
    </w:p>
    <w:p w14:paraId="0646799A" w14:textId="77777777" w:rsidR="00271FA2" w:rsidRPr="00F06DE2" w:rsidRDefault="00D35E51" w:rsidP="00AF1F47">
      <w:pPr>
        <w:pStyle w:val="ESgauche"/>
        <w:spacing w:after="240"/>
        <w:jc w:val="both"/>
        <w:rPr>
          <w:rFonts w:ascii="Times New Roman" w:hAnsi="Times New Roman" w:cs="Times New Roman"/>
          <w:lang w:val="ru-RU"/>
        </w:rPr>
      </w:pPr>
      <w:r w:rsidRPr="00F06DE2">
        <w:rPr>
          <w:rFonts w:ascii="Times New Roman" w:hAnsi="Times New Roman" w:cs="Times New Roman"/>
          <w:lang w:val="ru-RU"/>
        </w:rPr>
        <w:t>За тази цел плавателните работни средства трябва да имат свидетелство, издадено от компетентния орган, посочващо времетраенето на работните дейности и географските граници на работния участък, в който плавателното средство може да се използва.</w:t>
      </w:r>
    </w:p>
    <w:p w14:paraId="58B3CF14"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46" w:name="_Toc535827667"/>
      <w:bookmarkStart w:id="447" w:name="_Toc491854226"/>
      <w:r w:rsidRPr="00F06DE2">
        <w:rPr>
          <w:rFonts w:ascii="Times New Roman" w:hAnsi="Times New Roman" w:cs="Times New Roman"/>
          <w:sz w:val="24"/>
          <w:szCs w:val="24"/>
          <w:lang w:val="ru-RU"/>
        </w:rPr>
        <w:t>Член 23.02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Прилагане на част </w:t>
      </w:r>
      <w:r w:rsidRPr="00F06DE2">
        <w:rPr>
          <w:rFonts w:ascii="Times New Roman" w:hAnsi="Times New Roman" w:cs="Times New Roman"/>
          <w:i/>
          <w:sz w:val="24"/>
          <w:szCs w:val="24"/>
        </w:rPr>
        <w:t>II</w:t>
      </w:r>
      <w:bookmarkEnd w:id="446"/>
      <w:bookmarkEnd w:id="447"/>
    </w:p>
    <w:p w14:paraId="051C0CB5" w14:textId="77777777" w:rsidR="00271FA2" w:rsidRPr="00F06DE2" w:rsidRDefault="00D35E51" w:rsidP="00AF1F47">
      <w:pPr>
        <w:pStyle w:val="ESgauche"/>
        <w:spacing w:after="240"/>
        <w:jc w:val="both"/>
        <w:rPr>
          <w:rFonts w:ascii="Times New Roman" w:hAnsi="Times New Roman" w:cs="Times New Roman"/>
          <w:lang w:val="ru-RU"/>
        </w:rPr>
      </w:pPr>
      <w:r w:rsidRPr="00F06DE2">
        <w:rPr>
          <w:rFonts w:ascii="Times New Roman" w:hAnsi="Times New Roman" w:cs="Times New Roman"/>
          <w:lang w:val="ru-RU"/>
        </w:rPr>
        <w:t xml:space="preserve">Освен ако в настоящата глава е предвидено друго, конструкцията и оборудването на плавателните работни средства трябва да са в съответствие с Глави 3 - 17 от част </w:t>
      </w:r>
      <w:r w:rsidRPr="00F06DE2">
        <w:rPr>
          <w:rFonts w:ascii="Times New Roman" w:hAnsi="Times New Roman" w:cs="Times New Roman"/>
        </w:rPr>
        <w:t>II</w:t>
      </w:r>
      <w:r w:rsidRPr="00F06DE2">
        <w:rPr>
          <w:rFonts w:ascii="Times New Roman" w:hAnsi="Times New Roman" w:cs="Times New Roman"/>
          <w:lang w:val="ru-RU"/>
        </w:rPr>
        <w:t>.</w:t>
      </w:r>
    </w:p>
    <w:p w14:paraId="20203873"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48" w:name="_Toc535827668"/>
      <w:bookmarkStart w:id="449" w:name="_Toc491854227"/>
      <w:r w:rsidRPr="00F06DE2">
        <w:rPr>
          <w:rFonts w:ascii="Times New Roman" w:hAnsi="Times New Roman" w:cs="Times New Roman"/>
          <w:sz w:val="24"/>
          <w:szCs w:val="24"/>
          <w:lang w:val="ru-RU"/>
        </w:rPr>
        <w:t>Член 23.03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Изключения</w:t>
      </w:r>
      <w:bookmarkEnd w:id="448"/>
      <w:bookmarkEnd w:id="449"/>
    </w:p>
    <w:p w14:paraId="0F224C34" w14:textId="77777777" w:rsidR="00271FA2" w:rsidRPr="00F06DE2" w:rsidRDefault="00D35E51" w:rsidP="00FE0C02">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r>
      <w:r w:rsidRPr="00F06DE2">
        <w:rPr>
          <w:rFonts w:ascii="Times New Roman" w:hAnsi="Times New Roman" w:cs="Times New Roman"/>
        </w:rPr>
        <w:t>a</w:t>
      </w:r>
      <w:r w:rsidRPr="00F06DE2">
        <w:rPr>
          <w:rFonts w:ascii="Times New Roman" w:hAnsi="Times New Roman" w:cs="Times New Roman"/>
          <w:lang w:val="ru-RU"/>
        </w:rPr>
        <w:t xml:space="preserve">) член 3.03, точка 1 се прилага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w:t>
      </w:r>
    </w:p>
    <w:p w14:paraId="31D211C0" w14:textId="77777777" w:rsidR="00271FA2" w:rsidRPr="00F06DE2" w:rsidRDefault="00D35E51" w:rsidP="00AF1F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Глави 5 и 6 се прилагат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 когато плавателното средство е самоходно;</w:t>
      </w:r>
    </w:p>
    <w:p w14:paraId="62FFC8B1" w14:textId="77777777" w:rsidR="00271FA2" w:rsidRPr="00F06DE2" w:rsidRDefault="00D35E51" w:rsidP="00AF1F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член 13.02, точка 2, букви ”</w:t>
      </w:r>
      <w:r w:rsidRPr="00F06DE2">
        <w:rPr>
          <w:rFonts w:ascii="Times New Roman" w:hAnsi="Times New Roman" w:cs="Times New Roman"/>
        </w:rPr>
        <w:t>a</w:t>
      </w:r>
      <w:r w:rsidRPr="00F06DE2">
        <w:rPr>
          <w:rFonts w:ascii="Times New Roman" w:hAnsi="Times New Roman" w:cs="Times New Roman"/>
          <w:lang w:val="ru-RU"/>
        </w:rPr>
        <w:t xml:space="preserve">” и “б” се прилагат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w:t>
      </w:r>
    </w:p>
    <w:p w14:paraId="09C31542" w14:textId="77777777" w:rsidR="00271FA2" w:rsidRPr="00F06DE2" w:rsidRDefault="00D35E51" w:rsidP="00AF1F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контролният орган може да разреши изключения от другите изисквания относно построяването, съоръжаването и оборудването, при условие че във всеки случай е осигурена равностойна безопасност.</w:t>
      </w:r>
    </w:p>
    <w:p w14:paraId="1C13281F" w14:textId="77777777" w:rsidR="00271FA2" w:rsidRPr="00F06DE2" w:rsidRDefault="00D35E51" w:rsidP="00AF1F47">
      <w:pPr>
        <w:pStyle w:val="ESch"/>
        <w:jc w:val="both"/>
        <w:rPr>
          <w:rFonts w:ascii="Times New Roman" w:hAnsi="Times New Roman" w:cs="Times New Roman"/>
          <w:b/>
          <w:lang w:val="ru-RU"/>
        </w:rPr>
      </w:pPr>
      <w:r w:rsidRPr="00F06DE2">
        <w:rPr>
          <w:rFonts w:ascii="Times New Roman" w:hAnsi="Times New Roman" w:cs="Times New Roman"/>
          <w:lang w:val="ru-RU"/>
        </w:rPr>
        <w:t>2.</w:t>
      </w:r>
      <w:r w:rsidRPr="00F06DE2">
        <w:rPr>
          <w:rFonts w:ascii="Times New Roman" w:hAnsi="Times New Roman" w:cs="Times New Roman"/>
          <w:lang w:val="ru-RU"/>
        </w:rPr>
        <w:tab/>
        <w:t>Контролният орган може да разреши освобождаване от прилагане на следните разпоредби:</w:t>
      </w:r>
    </w:p>
    <w:p w14:paraId="25F6E802" w14:textId="77777777" w:rsidR="00271FA2" w:rsidRPr="00F06DE2" w:rsidRDefault="00D35E51" w:rsidP="00AF1F47">
      <w:pPr>
        <w:pStyle w:val="ESlet"/>
        <w:spacing w:before="0"/>
        <w:ind w:left="567"/>
        <w:jc w:val="both"/>
        <w:rPr>
          <w:rFonts w:ascii="Times New Roman" w:hAnsi="Times New Roman" w:cs="Times New Roman"/>
          <w:b/>
          <w:lang w:val="ru-RU"/>
        </w:rPr>
      </w:pPr>
      <w:r w:rsidRPr="00F06DE2">
        <w:rPr>
          <w:rFonts w:ascii="Times New Roman" w:hAnsi="Times New Roman" w:cs="Times New Roman"/>
        </w:rPr>
        <w:t>a</w:t>
      </w:r>
      <w:r w:rsidRPr="00F06DE2">
        <w:rPr>
          <w:rFonts w:ascii="Times New Roman" w:hAnsi="Times New Roman" w:cs="Times New Roman"/>
          <w:lang w:val="ru-RU"/>
        </w:rPr>
        <w:t>) член 8.08, точки 2 - 8, ако не е необходим екипаж;</w:t>
      </w:r>
    </w:p>
    <w:p w14:paraId="0C2F57CA" w14:textId="77777777" w:rsidR="00271FA2" w:rsidRPr="00F06DE2" w:rsidRDefault="00D35E51" w:rsidP="00AF1F47">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член 13.01, точки 1 и 3, ако плавателните работни средства могат да бъдат надеждно закотвени с работни котви или пилони. Самоходните плавателни работни средства обаче трябва да са оборудвани най-малко с една котва, която отговаря на изискванията на член 13.01, точка 1, при което емпиричният коефициент </w:t>
      </w:r>
      <m:oMath>
        <m:r>
          <w:rPr>
            <w:rFonts w:ascii="Cambria Math" w:hAnsi="Cambria Math" w:cs="Times New Roman"/>
          </w:rPr>
          <m:t>k</m:t>
        </m:r>
      </m:oMath>
      <w:r w:rsidRPr="00F06DE2">
        <w:rPr>
          <w:rFonts w:ascii="Times New Roman" w:hAnsi="Times New Roman" w:cs="Times New Roman"/>
          <w:lang w:val="ru-RU"/>
        </w:rPr>
        <w:t xml:space="preserve"> е равен на 45, а </w:t>
      </w:r>
      <m:oMath>
        <m:r>
          <w:rPr>
            <w:rFonts w:ascii="Cambria Math" w:hAnsi="Cambria Math" w:cs="Times New Roman"/>
          </w:rPr>
          <m:t>T</m:t>
        </m:r>
      </m:oMath>
      <w:r w:rsidRPr="00F06DE2">
        <w:rPr>
          <w:rFonts w:ascii="Times New Roman" w:hAnsi="Times New Roman" w:cs="Times New Roman"/>
          <w:lang w:val="ru-RU"/>
        </w:rPr>
        <w:t xml:space="preserve"> е равна на височината </w:t>
      </w:r>
      <m:oMath>
        <m:r>
          <w:rPr>
            <w:rFonts w:ascii="Cambria Math" w:hAnsi="Cambria Math" w:cs="Times New Roman"/>
          </w:rPr>
          <m:t>H</m:t>
        </m:r>
      </m:oMath>
      <w:r w:rsidRPr="00F06DE2">
        <w:rPr>
          <w:rFonts w:ascii="Times New Roman" w:hAnsi="Times New Roman" w:cs="Times New Roman"/>
          <w:lang w:val="ru-RU"/>
        </w:rPr>
        <w:t>;</w:t>
      </w:r>
    </w:p>
    <w:p w14:paraId="0F47A9AA" w14:textId="77777777" w:rsidR="00271FA2" w:rsidRPr="00F06DE2" w:rsidRDefault="00D35E51" w:rsidP="009C16BA">
      <w:pPr>
        <w:pStyle w:val="ESlet"/>
        <w:spacing w:before="0" w:after="240"/>
        <w:ind w:left="567"/>
        <w:jc w:val="both"/>
        <w:rPr>
          <w:rFonts w:ascii="Times New Roman" w:hAnsi="Times New Roman" w:cs="Times New Roman"/>
          <w:lang w:val="ru-RU"/>
        </w:rPr>
      </w:pPr>
      <w:r w:rsidRPr="00F06DE2">
        <w:rPr>
          <w:rFonts w:ascii="Times New Roman" w:hAnsi="Times New Roman" w:cs="Times New Roman"/>
          <w:lang w:val="ru-RU"/>
        </w:rPr>
        <w:t>в) член 13.02, точка 1, буква “в”, ако плавателните работни средства не са самоходни.</w:t>
      </w:r>
    </w:p>
    <w:p w14:paraId="4B44AAF6"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50" w:name="_Toc491854228"/>
      <w:bookmarkStart w:id="451" w:name="_Toc535827669"/>
      <w:r w:rsidRPr="00F06DE2">
        <w:rPr>
          <w:rFonts w:ascii="Times New Roman" w:hAnsi="Times New Roman" w:cs="Times New Roman"/>
          <w:sz w:val="24"/>
          <w:szCs w:val="24"/>
          <w:lang w:val="ru-RU"/>
        </w:rPr>
        <w:t>Член 23.04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Безопасно разстояние и надводен борд</w:t>
      </w:r>
      <w:bookmarkEnd w:id="450"/>
      <w:bookmarkEnd w:id="451"/>
    </w:p>
    <w:p w14:paraId="245F6EC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Ако плавателно работно средство се използва като баржа за мелиорация или саморазтоварваща се баржа, безопасното разстояние извън трюмното пространство трябва да е не по-малко от 300 </w:t>
      </w:r>
      <w:r w:rsidRPr="00F06DE2">
        <w:rPr>
          <w:rFonts w:ascii="Times New Roman" w:hAnsi="Times New Roman" w:cs="Times New Roman"/>
        </w:rPr>
        <w:t>mm</w:t>
      </w:r>
      <w:r w:rsidRPr="00F06DE2">
        <w:rPr>
          <w:rFonts w:ascii="Times New Roman" w:hAnsi="Times New Roman" w:cs="Times New Roman"/>
          <w:lang w:val="ru-RU"/>
        </w:rPr>
        <w:t xml:space="preserve">, а надводният борд — не по-малък от 150 </w:t>
      </w:r>
      <w:r w:rsidRPr="00F06DE2">
        <w:rPr>
          <w:rFonts w:ascii="Times New Roman" w:hAnsi="Times New Roman" w:cs="Times New Roman"/>
        </w:rPr>
        <w:t>mm</w:t>
      </w:r>
      <w:r w:rsidRPr="00F06DE2">
        <w:rPr>
          <w:rFonts w:ascii="Times New Roman" w:hAnsi="Times New Roman" w:cs="Times New Roman"/>
          <w:lang w:val="ru-RU"/>
        </w:rPr>
        <w:t xml:space="preserve">. Контролният орган има право да разреши по-малък надводен борд, ако бъде доказано чрез изчисления, че устойчивостта е достатъчна за товар с относително тегло от 1,5 </w:t>
      </w:r>
      <w:r w:rsidRPr="00F06DE2">
        <w:rPr>
          <w:rFonts w:ascii="Times New Roman" w:hAnsi="Times New Roman" w:cs="Times New Roman"/>
        </w:rPr>
        <w:t>t</w:t>
      </w:r>
      <w:r w:rsidRPr="00F06DE2">
        <w:rPr>
          <w:rFonts w:ascii="Times New Roman" w:hAnsi="Times New Roman" w:cs="Times New Roman"/>
          <w:lang w:val="ru-RU"/>
        </w:rPr>
        <w:t>/</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 xml:space="preserve"> и че никоя страна на палубата не достига водата. Влиянието на течните товари трябва да се взема под внимание.</w:t>
      </w:r>
    </w:p>
    <w:p w14:paraId="7C2A29E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Разпоредбите на членове 4.01 и 4.02 се прилагат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 xml:space="preserve"> за плавателните работни средства, които не са обхванати от точка 1. Контролният орган има право да определи стойности за безопасното разстояние и надводен борд, различни от горните.</w:t>
      </w:r>
    </w:p>
    <w:p w14:paraId="789659AF" w14:textId="77777777" w:rsidR="00271FA2" w:rsidRPr="00F06DE2" w:rsidRDefault="00D35E51">
      <w:pPr>
        <w:pStyle w:val="ES-Titre3"/>
        <w:spacing w:line="240" w:lineRule="atLeast"/>
        <w:rPr>
          <w:rFonts w:ascii="Times New Roman" w:hAnsi="Times New Roman" w:cs="Times New Roman"/>
          <w:sz w:val="24"/>
          <w:szCs w:val="24"/>
          <w:lang w:val="ru-RU"/>
        </w:rPr>
      </w:pPr>
      <w:bookmarkStart w:id="452" w:name="_Toc535827670"/>
      <w:bookmarkStart w:id="453" w:name="_Toc491854229"/>
      <w:r w:rsidRPr="00F06DE2">
        <w:rPr>
          <w:rFonts w:ascii="Times New Roman" w:hAnsi="Times New Roman" w:cs="Times New Roman"/>
          <w:sz w:val="24"/>
          <w:szCs w:val="24"/>
          <w:lang w:val="ru-RU"/>
        </w:rPr>
        <w:t>Член 23.05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Корабни лодки</w:t>
      </w:r>
      <w:bookmarkEnd w:id="452"/>
      <w:bookmarkEnd w:id="453"/>
    </w:p>
    <w:p w14:paraId="3AFB759A" w14:textId="77777777" w:rsidR="00271FA2" w:rsidRPr="00F06DE2" w:rsidRDefault="00D35E51" w:rsidP="009C16BA">
      <w:pPr>
        <w:pStyle w:val="ESgauche"/>
        <w:ind w:left="567"/>
        <w:jc w:val="both"/>
        <w:rPr>
          <w:rFonts w:ascii="Times New Roman" w:hAnsi="Times New Roman" w:cs="Times New Roman"/>
          <w:lang w:val="ru-RU"/>
        </w:rPr>
      </w:pPr>
      <w:r w:rsidRPr="00F06DE2">
        <w:rPr>
          <w:rFonts w:ascii="Times New Roman" w:hAnsi="Times New Roman" w:cs="Times New Roman"/>
          <w:lang w:val="ru-RU"/>
        </w:rPr>
        <w:t>Не се изисква плавателни работни средства да имат корабна лодка, когато:</w:t>
      </w:r>
    </w:p>
    <w:p w14:paraId="5BDB657E" w14:textId="77777777" w:rsidR="00271FA2" w:rsidRPr="00F06DE2" w:rsidRDefault="00D35E51" w:rsidP="009C16BA">
      <w:pPr>
        <w:pStyle w:val="ESletgauche"/>
        <w:numPr>
          <w:ilvl w:val="0"/>
          <w:numId w:val="29"/>
        </w:numPr>
        <w:spacing w:before="0"/>
        <w:ind w:left="1134"/>
        <w:jc w:val="both"/>
        <w:rPr>
          <w:rFonts w:ascii="Times New Roman" w:hAnsi="Times New Roman" w:cs="Times New Roman"/>
          <w:lang w:val="ru-RU"/>
        </w:rPr>
      </w:pPr>
      <w:r w:rsidRPr="00F06DE2">
        <w:rPr>
          <w:rFonts w:ascii="Times New Roman" w:hAnsi="Times New Roman" w:cs="Times New Roman"/>
          <w:lang w:val="ru-RU"/>
        </w:rPr>
        <w:lastRenderedPageBreak/>
        <w:t>те не са самоходни; или</w:t>
      </w:r>
    </w:p>
    <w:p w14:paraId="0AD176BB" w14:textId="77777777" w:rsidR="00271FA2" w:rsidRPr="00F06DE2" w:rsidRDefault="00D35E51" w:rsidP="009C16BA">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б) има корабна лодка на друго място в работния участък.</w:t>
      </w:r>
    </w:p>
    <w:p w14:paraId="033B0B16" w14:textId="062DF320" w:rsidR="008101A5" w:rsidRPr="00F06DE2" w:rsidRDefault="00D35E51" w:rsidP="00CF522B">
      <w:pPr>
        <w:pStyle w:val="ESgauche"/>
        <w:spacing w:after="240"/>
        <w:ind w:left="567"/>
        <w:jc w:val="both"/>
        <w:rPr>
          <w:rFonts w:ascii="Times New Roman" w:hAnsi="Times New Roman" w:cs="Times New Roman"/>
          <w:lang w:val="ru-RU"/>
        </w:rPr>
      </w:pPr>
      <w:r w:rsidRPr="00F06DE2">
        <w:rPr>
          <w:rFonts w:ascii="Times New Roman" w:hAnsi="Times New Roman" w:cs="Times New Roman"/>
          <w:lang w:val="ru-RU"/>
        </w:rPr>
        <w:t>Това изключение се вписва в Корабното удостоверение за вътрешно корабоплаване.</w:t>
      </w:r>
      <w:bookmarkStart w:id="454" w:name="_Toc491854230"/>
      <w:bookmarkStart w:id="455" w:name="_Toc535827671"/>
    </w:p>
    <w:p w14:paraId="256E3AEA" w14:textId="77777777" w:rsidR="00805230" w:rsidRPr="00F06DE2" w:rsidRDefault="00805230">
      <w:pPr>
        <w:rPr>
          <w:rFonts w:ascii="Times New Roman" w:hAnsi="Times New Roman" w:cs="Times New Roman"/>
          <w:lang w:val="ru-RU"/>
        </w:rPr>
        <w:sectPr w:rsidR="00805230" w:rsidRPr="00F06DE2" w:rsidSect="00DB7663">
          <w:headerReference w:type="default" r:id="rId66"/>
          <w:headerReference w:type="first" r:id="rId67"/>
          <w:footnotePr>
            <w:numRestart w:val="eachPage"/>
          </w:footnotePr>
          <w:pgSz w:w="11906" w:h="16838" w:code="9"/>
          <w:pgMar w:top="1134" w:right="1134" w:bottom="1134" w:left="1134" w:header="709" w:footer="709" w:gutter="0"/>
          <w:cols w:space="709"/>
          <w:titlePg/>
          <w:docGrid w:linePitch="272"/>
        </w:sectPr>
      </w:pPr>
    </w:p>
    <w:p w14:paraId="32B79462" w14:textId="154CF93B" w:rsidR="00271FA2" w:rsidRPr="00F06DE2" w:rsidRDefault="00CF522B" w:rsidP="00CF522B">
      <w:pPr>
        <w:pStyle w:val="ESgauche"/>
        <w:ind w:left="567"/>
        <w:jc w:val="center"/>
        <w:rPr>
          <w:rFonts w:ascii="Times New Roman" w:hAnsi="Times New Roman" w:cs="Times New Roman"/>
          <w:b/>
          <w:i/>
          <w:lang w:val="ru-RU"/>
        </w:rPr>
      </w:pPr>
      <w:r w:rsidRPr="00F06DE2">
        <w:rPr>
          <w:rFonts w:ascii="Times New Roman" w:hAnsi="Times New Roman" w:cs="Times New Roman"/>
          <w:b/>
          <w:i/>
          <w:lang w:val="ru-RU"/>
        </w:rPr>
        <w:lastRenderedPageBreak/>
        <w:t>ГЛАВА 24</w:t>
      </w:r>
      <w:r w:rsidRPr="00F06DE2">
        <w:rPr>
          <w:rFonts w:ascii="Times New Roman" w:hAnsi="Times New Roman" w:cs="Times New Roman"/>
          <w:b/>
          <w:i/>
          <w:lang w:val="ru-RU"/>
        </w:rPr>
        <w:br/>
        <w:t xml:space="preserve">СПЕЦИАЛНИ РАЗПОРЕДБИ, ПРИЛОЖИМИ ЗА ТРАДИЦИОННИТЕ </w:t>
      </w:r>
      <w:bookmarkEnd w:id="454"/>
      <w:bookmarkEnd w:id="455"/>
      <w:r w:rsidRPr="00F06DE2">
        <w:rPr>
          <w:rFonts w:ascii="Times New Roman" w:hAnsi="Times New Roman" w:cs="Times New Roman"/>
          <w:b/>
          <w:i/>
          <w:lang w:val="ru-RU"/>
        </w:rPr>
        <w:t>ПЛАВАТЕЛНИ СРЕДСТВА</w:t>
      </w:r>
    </w:p>
    <w:p w14:paraId="47C44E0A"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56" w:name="_Toc535827672"/>
      <w:bookmarkStart w:id="457" w:name="_Toc491854231"/>
      <w:r w:rsidRPr="00F06DE2">
        <w:rPr>
          <w:rFonts w:ascii="Times New Roman" w:hAnsi="Times New Roman" w:cs="Times New Roman"/>
          <w:sz w:val="24"/>
          <w:szCs w:val="24"/>
          <w:lang w:val="ru-RU"/>
        </w:rPr>
        <w:t>Член 24.01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Прилагане на части </w:t>
      </w:r>
      <w:r w:rsidRPr="00F06DE2">
        <w:rPr>
          <w:rFonts w:ascii="Times New Roman" w:hAnsi="Times New Roman" w:cs="Times New Roman"/>
          <w:i/>
          <w:sz w:val="24"/>
          <w:szCs w:val="24"/>
        </w:rPr>
        <w:t>II</w:t>
      </w:r>
      <w:r w:rsidRPr="00F06DE2">
        <w:rPr>
          <w:rFonts w:ascii="Times New Roman" w:hAnsi="Times New Roman" w:cs="Times New Roman"/>
          <w:i/>
          <w:sz w:val="24"/>
          <w:szCs w:val="24"/>
          <w:lang w:val="ru-RU"/>
        </w:rPr>
        <w:t xml:space="preserve"> и </w:t>
      </w:r>
      <w:r w:rsidRPr="00F06DE2">
        <w:rPr>
          <w:rFonts w:ascii="Times New Roman" w:hAnsi="Times New Roman" w:cs="Times New Roman"/>
          <w:i/>
          <w:sz w:val="24"/>
          <w:szCs w:val="24"/>
        </w:rPr>
        <w:t>III</w:t>
      </w:r>
      <w:bookmarkEnd w:id="456"/>
      <w:bookmarkEnd w:id="457"/>
      <w:r w:rsidRPr="00F06DE2">
        <w:rPr>
          <w:rFonts w:ascii="Times New Roman" w:hAnsi="Times New Roman" w:cs="Times New Roman"/>
          <w:i/>
          <w:sz w:val="24"/>
          <w:szCs w:val="24"/>
          <w:lang w:val="ru-RU"/>
        </w:rPr>
        <w:t xml:space="preserve"> </w:t>
      </w:r>
    </w:p>
    <w:p w14:paraId="50F2B8B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Традиционните плавателни средства трябва да се строят в съответствие с добрата корабостроителна практика при спазване на техническите условия на избрания исторически период.</w:t>
      </w:r>
    </w:p>
    <w:p w14:paraId="0AA416BA"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Състоянието на корабната конструкция, съоръженията и оборудването на традиционните плавателни средства трябва да са поне в съответствие с националните разпоредби на държавата членка, в която традиционното плавателно средство е било експлоатирано към избраната историческа дата.</w:t>
      </w:r>
    </w:p>
    <w:p w14:paraId="5408886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Всички съставни части, съоръжения и оборудване, които не съответстват на корабостроителната практика, съоръженията и оборудването от избрания период, трябва да отговарят на всички приложими разпоредби на части </w:t>
      </w:r>
      <w:r w:rsidRPr="00F06DE2">
        <w:rPr>
          <w:rFonts w:ascii="Times New Roman" w:hAnsi="Times New Roman" w:cs="Times New Roman"/>
        </w:rPr>
        <w:t>II</w:t>
      </w:r>
      <w:r w:rsidRPr="00F06DE2">
        <w:rPr>
          <w:rFonts w:ascii="Times New Roman" w:hAnsi="Times New Roman" w:cs="Times New Roman"/>
          <w:lang w:val="ru-RU"/>
        </w:rPr>
        <w:t xml:space="preserve"> и </w:t>
      </w:r>
      <w:r w:rsidRPr="00F06DE2">
        <w:rPr>
          <w:rFonts w:ascii="Times New Roman" w:hAnsi="Times New Roman" w:cs="Times New Roman"/>
        </w:rPr>
        <w:t>III</w:t>
      </w:r>
      <w:r w:rsidRPr="00F06DE2">
        <w:rPr>
          <w:rFonts w:ascii="Times New Roman" w:hAnsi="Times New Roman" w:cs="Times New Roman"/>
          <w:lang w:val="ru-RU"/>
        </w:rPr>
        <w:t xml:space="preserve"> на настоящия стандарт.</w:t>
      </w:r>
    </w:p>
    <w:p w14:paraId="6666B9E7" w14:textId="77777777" w:rsidR="00271FA2" w:rsidRPr="00F06DE2" w:rsidRDefault="00D35E51" w:rsidP="00CF522B">
      <w:pPr>
        <w:pStyle w:val="ESch"/>
        <w:spacing w:after="240"/>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В случай на отклонение от приложимите понастоящем разпоредби на настоящия стандарт, контролният орган трябва да определи като компенсация, равностойно ниво на безопасност, като се съобрази с техническото функциониране на традиционното плавателно средство, както и начина, по който то изглежда. Тези отклонения са допустими само, когато са необходими за запазването на историческия характер на плавателното средство.</w:t>
      </w:r>
    </w:p>
    <w:p w14:paraId="0DF6B9DF"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58" w:name="_Toc491854232"/>
      <w:bookmarkStart w:id="459" w:name="_Toc535827673"/>
      <w:r w:rsidRPr="00F06DE2">
        <w:rPr>
          <w:rFonts w:ascii="Times New Roman" w:hAnsi="Times New Roman" w:cs="Times New Roman"/>
          <w:sz w:val="24"/>
          <w:szCs w:val="24"/>
          <w:lang w:val="ru-RU"/>
        </w:rPr>
        <w:t>Член 24.02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Признаване и вписване в Корабното удостоверение за вътрешно корабоплаване</w:t>
      </w:r>
      <w:bookmarkEnd w:id="458"/>
      <w:bookmarkEnd w:id="459"/>
    </w:p>
    <w:p w14:paraId="4D456984" w14:textId="77777777" w:rsidR="00271FA2" w:rsidRPr="00F06DE2" w:rsidRDefault="00D35E51" w:rsidP="00CF522B">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Признаването на дадено плавателно средство като традиционно плавателно средство изисква</w:t>
      </w:r>
    </w:p>
    <w:p w14:paraId="7AEDCE0F"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първоначална проверка преди издаване на първото Корабно удостоверение за вътрешно корабоплаване; или </w:t>
      </w:r>
    </w:p>
    <w:p w14:paraId="1006FEE0"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специална проверка преди издаване на изменено Корабно удостоверение за вътрешно корабоплаване след преустройство или промяна на предназначението на плавателнното средство в традиционно плавателно средство.</w:t>
      </w:r>
    </w:p>
    <w:p w14:paraId="776CA0B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 допълнение към изискваните нормативни документи, следните документи се представят на контролния орган заедно със заявлението за проверка:</w:t>
      </w:r>
    </w:p>
    <w:p w14:paraId="1D5EF91B"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експертен доклад от експерт на органа, отговарящ за опазването на културното наследство със съответните експертни знания в областта, или от експерт за традиционни плавателни средства, изготвен в отговор на проверка, която е била извършена не повече от три месеца преди подаването на заявлението, с което се удостоверява, че са спазени изискванията на член 24.01, точка 1 т.е. се допуска, че плавателното средство е годно за употреба, съгласно член 1.01, точка 1.29, и съответно заслужава да бъде запазено;</w:t>
      </w:r>
    </w:p>
    <w:p w14:paraId="5F874C43"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концепция за експлоатацията;</w:t>
      </w:r>
    </w:p>
    <w:p w14:paraId="64857CCE"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концепция за безопасност въз основа на концепцията за експлоатацията съгласно буква “б”;</w:t>
      </w:r>
    </w:p>
    <w:p w14:paraId="7011DC33"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документация на традиционното плавателно средство, която се състои от следните части:</w:t>
      </w:r>
    </w:p>
    <w:p w14:paraId="783989E8"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данни за състоянието на корабната конструкция, съоръженията и оборудването на плавателното средство, представени за проверка, чрез съответните описания, чертежи, снимки и друга документация;</w:t>
      </w:r>
    </w:p>
    <w:p w14:paraId="526C9360"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бб) списък на изискванията, приложими към избраната историческа дата, и копия от него, доколкото такива са необходими за обосноваване на отклонения от изискванията на части </w:t>
      </w:r>
      <w:r w:rsidRPr="00F06DE2">
        <w:rPr>
          <w:rFonts w:ascii="Times New Roman" w:hAnsi="Times New Roman" w:cs="Times New Roman"/>
        </w:rPr>
        <w:t>II</w:t>
      </w:r>
      <w:r w:rsidRPr="00F06DE2">
        <w:rPr>
          <w:rFonts w:ascii="Times New Roman" w:hAnsi="Times New Roman" w:cs="Times New Roman"/>
          <w:lang w:val="ru-RU"/>
        </w:rPr>
        <w:t xml:space="preserve"> и </w:t>
      </w:r>
      <w:r w:rsidRPr="00F06DE2">
        <w:rPr>
          <w:rFonts w:ascii="Times New Roman" w:hAnsi="Times New Roman" w:cs="Times New Roman"/>
        </w:rPr>
        <w:t>III</w:t>
      </w:r>
      <w:r w:rsidRPr="00F06DE2">
        <w:rPr>
          <w:rFonts w:ascii="Times New Roman" w:hAnsi="Times New Roman" w:cs="Times New Roman"/>
          <w:lang w:val="ru-RU"/>
        </w:rPr>
        <w:t xml:space="preserve"> от настоящия стандарт;</w:t>
      </w:r>
    </w:p>
    <w:p w14:paraId="2A5E9AB9"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вв) доказателство, че състоянието на корабната конструкция, съоръженията и оборудването е подходящо, за да се експлоатира плавателното средство като традиционно плавателно средство;</w:t>
      </w:r>
    </w:p>
    <w:p w14:paraId="0A6284AD"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гг) чертежи, планове, изчисления и доказателства в съответствие с настоящия стандарт. Те трябва да бъдат в съответствие с приложимото състояние на плавателното средство към момента на подаване на заявлението;</w:t>
      </w:r>
    </w:p>
    <w:p w14:paraId="00888FAF"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дд) списък на отклоненията в състоянието на корабната конструкция, съоръженията и оборудването съгласно данните в подбуква “аа” от изискванията на настоящия стандарт, приложим към момента на подаване на заявлението;</w:t>
      </w:r>
    </w:p>
    <w:p w14:paraId="11FCCDD8"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ее) данни за екипажа на традиционното плавателно средство в избрания минал период от време.</w:t>
      </w:r>
    </w:p>
    <w:p w14:paraId="2A71A3D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Заявителят подава заявление за историческа дата за традиционното плавателно средство; тази дата не трябва да бъде преди датата, на която то е пуснато в експлоатация за първи път. В случай на реплика на традиционно плавателно средство, историческата дата трябва да може да бъде видяна от експертния доклад в съответствие с точка 2, буква “</w:t>
      </w:r>
      <w:r w:rsidRPr="00F06DE2">
        <w:rPr>
          <w:rFonts w:ascii="Times New Roman" w:hAnsi="Times New Roman" w:cs="Times New Roman"/>
        </w:rPr>
        <w:t>a</w:t>
      </w:r>
      <w:r w:rsidRPr="00F06DE2">
        <w:rPr>
          <w:rFonts w:ascii="Times New Roman" w:hAnsi="Times New Roman" w:cs="Times New Roman"/>
          <w:lang w:val="ru-RU"/>
        </w:rPr>
        <w:t>”.</w:t>
      </w:r>
    </w:p>
    <w:p w14:paraId="64A6982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 xml:space="preserve">Въз основа на горепосочената документация и проверката в съответствие с точка 1, контролният орган извършва оценка на съответствието съгласно член 1.01, точка 1.29 и член 24.01 и признаването като „традиционно плавателно средство“ се вписва в точка 2 от Корабното удостоверение за вътрешно корабоплаване. </w:t>
      </w:r>
    </w:p>
    <w:p w14:paraId="6627DEBA" w14:textId="77777777" w:rsidR="00271FA2" w:rsidRPr="00F06DE2" w:rsidRDefault="00D35E51">
      <w:pPr>
        <w:pStyle w:val="ESch"/>
        <w:ind w:firstLine="0"/>
        <w:jc w:val="both"/>
        <w:rPr>
          <w:rFonts w:ascii="Times New Roman" w:hAnsi="Times New Roman" w:cs="Times New Roman"/>
          <w:lang w:val="ru-RU"/>
        </w:rPr>
      </w:pPr>
      <w:r w:rsidRPr="00F06DE2">
        <w:rPr>
          <w:rFonts w:ascii="Times New Roman" w:hAnsi="Times New Roman" w:cs="Times New Roman"/>
          <w:lang w:val="ru-RU"/>
        </w:rPr>
        <w:t>Оценката на съответствието не може да се извършва въз основа на решението на експерт</w:t>
      </w:r>
      <w:r w:rsidRPr="00F06DE2">
        <w:rPr>
          <w:rFonts w:ascii="Times New Roman" w:hAnsi="Times New Roman" w:cs="Times New Roman"/>
        </w:rPr>
        <w:t>a</w:t>
      </w:r>
      <w:r w:rsidRPr="00F06DE2">
        <w:rPr>
          <w:rFonts w:ascii="Times New Roman" w:hAnsi="Times New Roman" w:cs="Times New Roman"/>
          <w:lang w:val="ru-RU"/>
        </w:rPr>
        <w:t xml:space="preserve"> за традиционни плавателни средства и на експертния доклад съгласно точка 2, буква “</w:t>
      </w:r>
      <w:r w:rsidRPr="00F06DE2">
        <w:rPr>
          <w:rFonts w:ascii="Times New Roman" w:hAnsi="Times New Roman" w:cs="Times New Roman"/>
        </w:rPr>
        <w:t>a</w:t>
      </w:r>
      <w:r w:rsidRPr="00F06DE2">
        <w:rPr>
          <w:rFonts w:ascii="Times New Roman" w:hAnsi="Times New Roman" w:cs="Times New Roman"/>
          <w:lang w:val="ru-RU"/>
        </w:rPr>
        <w:t>”.</w:t>
      </w:r>
    </w:p>
    <w:p w14:paraId="229883E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 xml:space="preserve">Освен записа „традиционно плавателно средство“ се издава приложението за традиционно плавателно средство съгласно образеца от Приложение 3, раздел </w:t>
      </w:r>
      <w:r w:rsidRPr="00F06DE2">
        <w:rPr>
          <w:rFonts w:ascii="Times New Roman" w:hAnsi="Times New Roman" w:cs="Times New Roman"/>
        </w:rPr>
        <w:t>V</w:t>
      </w:r>
      <w:r w:rsidRPr="00F06DE2">
        <w:rPr>
          <w:rFonts w:ascii="Times New Roman" w:hAnsi="Times New Roman" w:cs="Times New Roman"/>
          <w:lang w:val="ru-RU"/>
        </w:rPr>
        <w:t>. В точка 52 от Корабното удостоверение за вътрешно корабоплаване се вписва следното:</w:t>
      </w:r>
    </w:p>
    <w:p w14:paraId="5008F1D6" w14:textId="4EFA6FDD" w:rsidR="00271FA2" w:rsidRPr="00F06DE2" w:rsidRDefault="00D35E51">
      <w:pPr>
        <w:pStyle w:val="ESch"/>
        <w:jc w:val="center"/>
        <w:rPr>
          <w:rFonts w:ascii="Times New Roman" w:hAnsi="Times New Roman" w:cs="Times New Roman"/>
          <w:lang w:val="ru-RU"/>
        </w:rPr>
      </w:pPr>
      <w:r w:rsidRPr="00F06DE2">
        <w:rPr>
          <w:rFonts w:ascii="Times New Roman" w:hAnsi="Times New Roman" w:cs="Times New Roman"/>
          <w:lang w:val="ru-RU"/>
        </w:rPr>
        <w:t>„В</w:t>
      </w:r>
      <w:r w:rsidR="00E729DE" w:rsidRPr="00F06DE2">
        <w:rPr>
          <w:rFonts w:ascii="Times New Roman" w:hAnsi="Times New Roman" w:cs="Times New Roman"/>
          <w:lang w:val="ru-RU"/>
        </w:rPr>
        <w:t>иж</w:t>
      </w:r>
      <w:r w:rsidRPr="00F06DE2">
        <w:rPr>
          <w:rFonts w:ascii="Times New Roman" w:hAnsi="Times New Roman" w:cs="Times New Roman"/>
          <w:lang w:val="ru-RU"/>
        </w:rPr>
        <w:t xml:space="preserve"> Приложение за традиционни плавателни средства.“</w:t>
      </w:r>
    </w:p>
    <w:p w14:paraId="02326C1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Ако несъответствията на версията на настоящия стандарт, приложим към момента на подаване на заявлението, са установени в документацията по точка 2, буква “г”, подбуква</w:t>
      </w:r>
      <w:r w:rsidRPr="00F06DE2">
        <w:rPr>
          <w:rFonts w:ascii="Times New Roman" w:hAnsi="Times New Roman" w:cs="Times New Roman"/>
          <w:color w:val="FF0000"/>
          <w:lang w:val="ru-RU"/>
        </w:rPr>
        <w:t xml:space="preserve"> </w:t>
      </w:r>
      <w:r w:rsidRPr="00F06DE2">
        <w:rPr>
          <w:rFonts w:ascii="Times New Roman" w:hAnsi="Times New Roman" w:cs="Times New Roman"/>
          <w:lang w:val="ru-RU"/>
        </w:rPr>
        <w:t>“дд”, или по време на проверката, посочена в точка 1, то</w:t>
      </w:r>
    </w:p>
    <w:p w14:paraId="6368B365"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само екипажа или лица, които са на служебно пътуване могат да останат на борда на плавателни средства по време на плаване; и</w:t>
      </w:r>
    </w:p>
    <w:p w14:paraId="42B72720"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експлоатация на машини или механично задвижвано оборудване на борда, които са лесно достъпни, са разрешени само ако никой не се намира на борда, с изключение на екипажа и лицата, които са служебно на борда.</w:t>
      </w:r>
    </w:p>
    <w:p w14:paraId="0764C3A8"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В точка 52 от Корабното удостоверение за вътрешно корабоплаване се вписва следното.</w:t>
      </w:r>
    </w:p>
    <w:p w14:paraId="3FB2AD04"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„Лица, различни от екипажа или лица, които са на служебно пътуване на борда, могат да останат на борда, когато плавателното средство е безопасно закотвено и свободно достъпни машини и механично задвижвано оборудване не са в експлоатация“.</w:t>
      </w:r>
    </w:p>
    <w:p w14:paraId="44A45A01" w14:textId="77777777" w:rsidR="00271FA2" w:rsidRPr="00F06DE2" w:rsidRDefault="00D35E51">
      <w:pPr>
        <w:pStyle w:val="ES-Titre3"/>
        <w:spacing w:line="240" w:lineRule="atLeast"/>
        <w:rPr>
          <w:rFonts w:ascii="Times New Roman" w:hAnsi="Times New Roman" w:cs="Times New Roman"/>
          <w:sz w:val="24"/>
          <w:szCs w:val="24"/>
          <w:lang w:val="ru-RU"/>
        </w:rPr>
      </w:pPr>
      <w:bookmarkStart w:id="460" w:name="_Toc491854233"/>
      <w:bookmarkStart w:id="461" w:name="_Toc535827674"/>
      <w:r w:rsidRPr="00F06DE2">
        <w:rPr>
          <w:rFonts w:ascii="Times New Roman" w:hAnsi="Times New Roman" w:cs="Times New Roman"/>
          <w:sz w:val="24"/>
          <w:szCs w:val="24"/>
          <w:lang w:val="ru-RU"/>
        </w:rPr>
        <w:t>Член 24.03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Други разпоредби и изисквания</w:t>
      </w:r>
      <w:bookmarkEnd w:id="460"/>
      <w:bookmarkEnd w:id="461"/>
    </w:p>
    <w:p w14:paraId="701DB34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Контролният орган определя, в съответствие с концепциите за експлоатация и безопасност съгласно член 24.02, точка 2, букви “б” и “в”, както и състоянието на корабната конструкция, съоръженията и оборудването на традиционното плавателно средство:</w:t>
      </w:r>
    </w:p>
    <w:p w14:paraId="3E7284C1"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минималния екипаж и неговото равнище на квалификация;</w:t>
      </w:r>
    </w:p>
    <w:p w14:paraId="4A5BA62C"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допустимия брой лица, които могат да бъдат сведени до минималния екипаж;</w:t>
      </w:r>
    </w:p>
    <w:p w14:paraId="3902B975"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ограничителни условия за пребиваване на борда на лица, които не са членове на екипажа;</w:t>
      </w:r>
    </w:p>
    <w:p w14:paraId="38917E51"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допустимия товар, който може да бъде намален до нула;</w:t>
      </w:r>
    </w:p>
    <w:p w14:paraId="40A7C7D6"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д) допустимата област на експлоатация;</w:t>
      </w:r>
    </w:p>
    <w:p w14:paraId="7FAA317C"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 метеорологичните ограничения;</w:t>
      </w:r>
    </w:p>
    <w:p w14:paraId="3F394C98"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ж) навигационни ограничения;</w:t>
      </w:r>
    </w:p>
    <w:p w14:paraId="143C4873" w14:textId="77777777" w:rsidR="00271FA2" w:rsidRPr="00F06DE2" w:rsidRDefault="00D35E51" w:rsidP="00CF522B">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з) допълнителни ограничителни условия.</w:t>
      </w:r>
    </w:p>
    <w:p w14:paraId="67B4267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В случай на периодични проверки, контролният орган може да промени условията в съответствие с член 24.03, точка 1 и член 24.01, точка 3 въз основа на по-нататъшното развитие на техническите регламенти на настоящия стандарт. Тези промени се записват в приложението за традиционно плавателно средство към Корабното удостоверение за вътрешно корабоплаване.</w:t>
      </w:r>
    </w:p>
    <w:p w14:paraId="44C60C9C" w14:textId="77777777" w:rsidR="004A7B7A" w:rsidRPr="00F06DE2" w:rsidRDefault="004A7B7A">
      <w:pPr>
        <w:spacing w:line="240" w:lineRule="atLeast"/>
        <w:rPr>
          <w:rFonts w:ascii="Times New Roman" w:hAnsi="Times New Roman" w:cs="Times New Roman"/>
          <w:lang w:val="ru-RU"/>
        </w:rPr>
        <w:sectPr w:rsidR="004A7B7A" w:rsidRPr="00F06DE2" w:rsidSect="00DB7663">
          <w:headerReference w:type="default" r:id="rId68"/>
          <w:headerReference w:type="first" r:id="rId69"/>
          <w:footnotePr>
            <w:numRestart w:val="eachPage"/>
          </w:footnotePr>
          <w:pgSz w:w="11906" w:h="16838" w:code="9"/>
          <w:pgMar w:top="1134" w:right="1134" w:bottom="1134" w:left="1134" w:header="709" w:footer="709" w:gutter="0"/>
          <w:cols w:space="709"/>
          <w:titlePg/>
          <w:docGrid w:linePitch="272"/>
        </w:sectPr>
      </w:pPr>
    </w:p>
    <w:p w14:paraId="47BAC3B7" w14:textId="77777777" w:rsidR="00271FA2" w:rsidRPr="00F06DE2" w:rsidRDefault="00D35E51">
      <w:pPr>
        <w:pStyle w:val="ES-Titre2"/>
        <w:rPr>
          <w:rFonts w:ascii="Times New Roman" w:hAnsi="Times New Roman" w:cs="Times New Roman"/>
          <w:lang w:val="ru-RU"/>
        </w:rPr>
      </w:pPr>
      <w:bookmarkStart w:id="462" w:name="_Toc535827675"/>
      <w:bookmarkStart w:id="463" w:name="_Toc491854234"/>
      <w:r w:rsidRPr="00F06DE2">
        <w:rPr>
          <w:rFonts w:ascii="Times New Roman" w:hAnsi="Times New Roman" w:cs="Times New Roman"/>
          <w:lang w:val="ru-RU"/>
        </w:rPr>
        <w:lastRenderedPageBreak/>
        <w:t>Глава 25</w:t>
      </w:r>
      <w:r w:rsidRPr="00F06DE2">
        <w:rPr>
          <w:rFonts w:ascii="Times New Roman" w:hAnsi="Times New Roman" w:cs="Times New Roman"/>
          <w:lang w:val="ru-RU"/>
        </w:rPr>
        <w:br/>
        <w:t xml:space="preserve">Специални разпоредби, приложими към морски </w:t>
      </w:r>
      <w:bookmarkEnd w:id="462"/>
      <w:bookmarkEnd w:id="463"/>
      <w:r w:rsidRPr="00F06DE2">
        <w:rPr>
          <w:rFonts w:ascii="Times New Roman" w:hAnsi="Times New Roman" w:cs="Times New Roman"/>
          <w:lang w:val="ru-RU"/>
        </w:rPr>
        <w:t>кораби</w:t>
      </w:r>
    </w:p>
    <w:p w14:paraId="62F31108" w14:textId="77777777" w:rsidR="00271FA2" w:rsidRPr="00F06DE2" w:rsidRDefault="00D35E51">
      <w:pPr>
        <w:pStyle w:val="ES-Titre3"/>
        <w:spacing w:line="240" w:lineRule="atLeast"/>
        <w:rPr>
          <w:rFonts w:ascii="Times New Roman" w:hAnsi="Times New Roman" w:cs="Times New Roman"/>
          <w:sz w:val="24"/>
          <w:szCs w:val="24"/>
          <w:lang w:val="ru-RU"/>
        </w:rPr>
      </w:pPr>
      <w:bookmarkStart w:id="464" w:name="_Toc535827676"/>
      <w:bookmarkStart w:id="465" w:name="_Toc491854235"/>
      <w:r w:rsidRPr="00F06DE2">
        <w:rPr>
          <w:rFonts w:ascii="Times New Roman" w:hAnsi="Times New Roman" w:cs="Times New Roman"/>
          <w:sz w:val="24"/>
          <w:szCs w:val="24"/>
          <w:lang w:val="ru-RU"/>
        </w:rPr>
        <w:t>Член 25.01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Разпоредби за река Рейн (зона </w:t>
      </w:r>
      <w:r w:rsidRPr="00F06DE2">
        <w:rPr>
          <w:rFonts w:ascii="Times New Roman" w:hAnsi="Times New Roman" w:cs="Times New Roman"/>
          <w:i/>
          <w:sz w:val="24"/>
          <w:szCs w:val="24"/>
        </w:rPr>
        <w:t>R</w:t>
      </w:r>
      <w:r w:rsidRPr="00F06DE2">
        <w:rPr>
          <w:rFonts w:ascii="Times New Roman" w:hAnsi="Times New Roman" w:cs="Times New Roman"/>
          <w:i/>
          <w:sz w:val="24"/>
          <w:szCs w:val="24"/>
          <w:lang w:val="ru-RU"/>
        </w:rPr>
        <w:t>)</w:t>
      </w:r>
      <w:bookmarkEnd w:id="464"/>
      <w:bookmarkEnd w:id="465"/>
    </w:p>
    <w:p w14:paraId="21E139A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Морските плавателни съдове, плаващи по река Рейн, трябва да отговарят на съответните национални и международни разпоредби относно техническите изисквания по отношение на изграждането, оборудването и средата на морските плавателни съдове и трябва да могат да потвърдят това чрез необходимите удостоверения. </w:t>
      </w:r>
    </w:p>
    <w:p w14:paraId="586E463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Морските плавателни съдове трябва да спазват следните разпоредби от настоящия стандарт, в допълнение към изискванията, посочени в точка 1:</w:t>
      </w:r>
    </w:p>
    <w:p w14:paraId="19877CF3" w14:textId="77777777" w:rsidR="00271FA2" w:rsidRPr="00F06DE2" w:rsidRDefault="00D35E51">
      <w:pPr>
        <w:pStyle w:val="ESletgauche"/>
        <w:spacing w:before="0"/>
        <w:ind w:firstLine="0"/>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Глава 5;</w:t>
      </w:r>
    </w:p>
    <w:p w14:paraId="7DD14420" w14:textId="77777777" w:rsidR="00271FA2" w:rsidRPr="00F06DE2" w:rsidRDefault="00D35E51">
      <w:pPr>
        <w:pStyle w:val="ESletgauche"/>
        <w:spacing w:before="0"/>
        <w:ind w:left="0" w:firstLine="567"/>
        <w:rPr>
          <w:rFonts w:ascii="Times New Roman" w:hAnsi="Times New Roman" w:cs="Times New Roman"/>
          <w:lang w:val="ru-RU"/>
        </w:rPr>
      </w:pPr>
      <w:r w:rsidRPr="00F06DE2">
        <w:rPr>
          <w:rFonts w:ascii="Times New Roman" w:hAnsi="Times New Roman" w:cs="Times New Roman"/>
          <w:lang w:val="ru-RU"/>
        </w:rPr>
        <w:t xml:space="preserve">б) от Глава 6: </w:t>
      </w:r>
    </w:p>
    <w:p w14:paraId="602F7543" w14:textId="77777777" w:rsidR="00271FA2" w:rsidRPr="00F06DE2" w:rsidRDefault="00D35E51">
      <w:pPr>
        <w:pStyle w:val="Esletgauchepar"/>
        <w:spacing w:before="0"/>
        <w:rPr>
          <w:rFonts w:ascii="Times New Roman" w:hAnsi="Times New Roman" w:cs="Times New Roman"/>
          <w:lang w:val="ru-RU"/>
        </w:rPr>
      </w:pPr>
      <w:r w:rsidRPr="00F06DE2">
        <w:rPr>
          <w:rFonts w:ascii="Times New Roman" w:hAnsi="Times New Roman" w:cs="Times New Roman"/>
          <w:lang w:val="ru-RU"/>
        </w:rPr>
        <w:t>член 6.01, точка 1 и член 6.02, точки 1 и 2;</w:t>
      </w:r>
    </w:p>
    <w:p w14:paraId="17B26C13" w14:textId="77777777" w:rsidR="00680B78" w:rsidRPr="00F06DE2" w:rsidRDefault="00680B78"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в) към глава 7:</w:t>
      </w:r>
    </w:p>
    <w:p w14:paraId="32E8DB7C" w14:textId="77A269DA" w:rsidR="00680B78" w:rsidRPr="00F06DE2" w:rsidRDefault="00680B78"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член 7.01</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w:t>
      </w:r>
      <w:r w:rsidR="00EB0954" w:rsidRPr="00F06DE2">
        <w:rPr>
          <w:rFonts w:ascii="Times New Roman" w:hAnsi="Times New Roman" w:cs="Times New Roman"/>
          <w:lang w:val="ru-RU"/>
        </w:rPr>
        <w:t xml:space="preserve">точка </w:t>
      </w:r>
      <w:r w:rsidRPr="00F06DE2">
        <w:rPr>
          <w:rFonts w:ascii="Times New Roman" w:hAnsi="Times New Roman" w:cs="Times New Roman"/>
          <w:lang w:val="ru-RU"/>
        </w:rPr>
        <w:t>2, член 7.02</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w:t>
      </w:r>
      <w:r w:rsidR="00F41522" w:rsidRPr="00F06DE2">
        <w:rPr>
          <w:rFonts w:ascii="Times New Roman" w:hAnsi="Times New Roman" w:cs="Times New Roman"/>
          <w:lang w:val="ru-RU"/>
        </w:rPr>
        <w:t>т.</w:t>
      </w:r>
      <w:r w:rsidRPr="00F06DE2">
        <w:rPr>
          <w:rFonts w:ascii="Times New Roman" w:hAnsi="Times New Roman" w:cs="Times New Roman"/>
          <w:lang w:val="ru-RU"/>
        </w:rPr>
        <w:t>1 и</w:t>
      </w:r>
      <w:r w:rsidR="00F41522" w:rsidRPr="00F06DE2">
        <w:rPr>
          <w:rFonts w:ascii="Times New Roman" w:hAnsi="Times New Roman" w:cs="Times New Roman"/>
          <w:lang w:val="ru-RU"/>
        </w:rPr>
        <w:t xml:space="preserve"> т.</w:t>
      </w:r>
      <w:r w:rsidRPr="00F06DE2">
        <w:rPr>
          <w:rFonts w:ascii="Times New Roman" w:hAnsi="Times New Roman" w:cs="Times New Roman"/>
          <w:lang w:val="ru-RU"/>
        </w:rPr>
        <w:t xml:space="preserve"> 3, </w:t>
      </w:r>
      <w:r w:rsidR="009D159A" w:rsidRPr="00F06DE2">
        <w:rPr>
          <w:rFonts w:ascii="Times New Roman" w:hAnsi="Times New Roman" w:cs="Times New Roman"/>
          <w:lang w:val="ru-RU"/>
        </w:rPr>
        <w:t xml:space="preserve">подточки </w:t>
      </w:r>
      <w:r w:rsidRPr="00F06DE2">
        <w:rPr>
          <w:rFonts w:ascii="Times New Roman" w:hAnsi="Times New Roman" w:cs="Times New Roman"/>
          <w:lang w:val="ru-RU"/>
        </w:rPr>
        <w:t xml:space="preserve">1 и 2, член 7.04, </w:t>
      </w:r>
      <w:r w:rsidR="00354010"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00EB0954" w:rsidRPr="00F06DE2">
        <w:rPr>
          <w:rFonts w:ascii="Times New Roman" w:hAnsi="Times New Roman" w:cs="Times New Roman"/>
          <w:lang w:val="ru-RU"/>
        </w:rPr>
        <w:t xml:space="preserve"> </w:t>
      </w:r>
      <w:r w:rsidRPr="00F06DE2">
        <w:rPr>
          <w:rFonts w:ascii="Times New Roman" w:hAnsi="Times New Roman" w:cs="Times New Roman"/>
          <w:lang w:val="ru-RU"/>
        </w:rPr>
        <w:t xml:space="preserve">11, буква </w:t>
      </w:r>
      <w:r w:rsidR="005F5E51" w:rsidRPr="00F06DE2">
        <w:rPr>
          <w:rFonts w:ascii="Times New Roman" w:hAnsi="Times New Roman" w:cs="Times New Roman"/>
          <w:lang w:val="ru-RU"/>
        </w:rPr>
        <w:t>“</w:t>
      </w:r>
      <w:r w:rsidRPr="00F06DE2">
        <w:rPr>
          <w:rFonts w:ascii="Times New Roman" w:hAnsi="Times New Roman" w:cs="Times New Roman"/>
          <w:lang w:val="ru-RU"/>
        </w:rPr>
        <w:t>д</w:t>
      </w:r>
      <w:r w:rsidR="005F5E51" w:rsidRPr="00F06DE2">
        <w:rPr>
          <w:rFonts w:ascii="Times New Roman" w:hAnsi="Times New Roman" w:cs="Times New Roman"/>
          <w:lang w:val="ru-RU"/>
        </w:rPr>
        <w:t>“</w:t>
      </w:r>
      <w:r w:rsidRPr="00F06DE2">
        <w:rPr>
          <w:rFonts w:ascii="Times New Roman" w:hAnsi="Times New Roman" w:cs="Times New Roman"/>
          <w:lang w:val="ru-RU"/>
        </w:rPr>
        <w:t>, член 7.05</w:t>
      </w:r>
      <w:r w:rsidR="00817670"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005F5E51" w:rsidRPr="00F06DE2" w:rsidDel="005F5E51">
        <w:rPr>
          <w:rFonts w:ascii="Times New Roman" w:hAnsi="Times New Roman" w:cs="Times New Roman"/>
          <w:lang w:val="ru-RU"/>
        </w:rPr>
        <w:t xml:space="preserve"> </w:t>
      </w:r>
      <w:r w:rsidRPr="00F06DE2">
        <w:rPr>
          <w:rFonts w:ascii="Times New Roman" w:hAnsi="Times New Roman" w:cs="Times New Roman"/>
          <w:lang w:val="ru-RU"/>
        </w:rPr>
        <w:t>2,</w:t>
      </w:r>
    </w:p>
    <w:p w14:paraId="2A3901EF" w14:textId="2CC3C59C" w:rsidR="00680B78" w:rsidRPr="00F06DE2" w:rsidRDefault="00680B78"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 xml:space="preserve">Член 7.13 за морски плавателни съдове, проектирани за </w:t>
      </w:r>
      <w:r w:rsidR="00EA31BC" w:rsidRPr="00F06DE2">
        <w:rPr>
          <w:rFonts w:ascii="Times New Roman" w:hAnsi="Times New Roman" w:cs="Times New Roman"/>
          <w:lang w:val="ru-RU"/>
        </w:rPr>
        <w:t>управление от едно лице с помощта на радиолокатор</w:t>
      </w:r>
    </w:p>
    <w:p w14:paraId="73CDC731" w14:textId="40AAAAF5" w:rsidR="008E322F" w:rsidRPr="00F06DE2" w:rsidRDefault="008E322F"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г) към глава 8</w:t>
      </w:r>
    </w:p>
    <w:p w14:paraId="5AFBCBC1" w14:textId="0359FA8C"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член 8.03, точка</w:t>
      </w:r>
      <w:r w:rsidR="00817670" w:rsidRPr="00F06DE2">
        <w:rPr>
          <w:rFonts w:ascii="Times New Roman" w:hAnsi="Times New Roman" w:cs="Times New Roman"/>
          <w:lang w:val="ru-RU"/>
        </w:rPr>
        <w:t xml:space="preserve"> </w:t>
      </w:r>
      <w:r w:rsidR="009C68A4" w:rsidRPr="00F06DE2">
        <w:rPr>
          <w:rFonts w:ascii="Times New Roman" w:hAnsi="Times New Roman" w:cs="Times New Roman"/>
          <w:lang w:val="ru-RU"/>
        </w:rPr>
        <w:t>2</w:t>
      </w:r>
      <w:r w:rsidR="00817670" w:rsidRPr="00F06DE2">
        <w:rPr>
          <w:rFonts w:ascii="Times New Roman" w:hAnsi="Times New Roman" w:cs="Times New Roman"/>
          <w:lang w:val="ru-RU"/>
        </w:rPr>
        <w:t xml:space="preserve"> </w:t>
      </w:r>
      <w:r w:rsidRPr="00F06DE2">
        <w:rPr>
          <w:rFonts w:ascii="Times New Roman" w:hAnsi="Times New Roman" w:cs="Times New Roman"/>
          <w:lang w:val="ru-RU"/>
        </w:rPr>
        <w:t xml:space="preserve">за морски плавателни съдове, когато автоматично спирателно устройство може да бъде изключено от </w:t>
      </w:r>
      <w:r w:rsidR="008C315F" w:rsidRPr="00F06DE2">
        <w:rPr>
          <w:rFonts w:ascii="Times New Roman" w:hAnsi="Times New Roman" w:cs="Times New Roman"/>
          <w:lang w:val="ru-RU"/>
        </w:rPr>
        <w:t>място</w:t>
      </w:r>
      <w:r w:rsidR="00F41522" w:rsidRPr="00F06DE2">
        <w:rPr>
          <w:rFonts w:ascii="Times New Roman" w:hAnsi="Times New Roman" w:cs="Times New Roman"/>
          <w:lang w:val="ru-RU"/>
        </w:rPr>
        <w:t>то</w:t>
      </w:r>
      <w:r w:rsidR="008C315F" w:rsidRPr="00F06DE2">
        <w:rPr>
          <w:rFonts w:ascii="Times New Roman" w:hAnsi="Times New Roman" w:cs="Times New Roman"/>
          <w:lang w:val="ru-RU"/>
        </w:rPr>
        <w:t xml:space="preserve"> </w:t>
      </w:r>
      <w:r w:rsidRPr="00F06DE2">
        <w:rPr>
          <w:rFonts w:ascii="Times New Roman" w:hAnsi="Times New Roman" w:cs="Times New Roman"/>
          <w:lang w:val="ru-RU"/>
        </w:rPr>
        <w:t>за управление;, член 8.08, точка</w:t>
      </w:r>
      <w:r w:rsidR="00817670" w:rsidRPr="00F06DE2">
        <w:rPr>
          <w:rFonts w:ascii="Times New Roman" w:hAnsi="Times New Roman" w:cs="Times New Roman"/>
          <w:lang w:val="ru-RU"/>
        </w:rPr>
        <w:t xml:space="preserve"> </w:t>
      </w:r>
      <w:r w:rsidRPr="00F06DE2">
        <w:rPr>
          <w:rFonts w:ascii="Times New Roman" w:hAnsi="Times New Roman" w:cs="Times New Roman"/>
          <w:lang w:val="ru-RU"/>
        </w:rPr>
        <w:t>10, член 8.09</w:t>
      </w:r>
      <w:r w:rsidR="00817670" w:rsidRPr="00F06DE2">
        <w:rPr>
          <w:rFonts w:ascii="Times New Roman" w:hAnsi="Times New Roman" w:cs="Times New Roman"/>
          <w:lang w:val="ru-RU"/>
        </w:rPr>
        <w:t xml:space="preserve"> </w:t>
      </w:r>
      <w:r w:rsidRPr="00F06DE2">
        <w:rPr>
          <w:rFonts w:ascii="Times New Roman" w:hAnsi="Times New Roman" w:cs="Times New Roman"/>
          <w:lang w:val="ru-RU"/>
        </w:rPr>
        <w:t>точки 1</w:t>
      </w:r>
      <w:r w:rsidR="00AE78E2" w:rsidRPr="00F06DE2">
        <w:rPr>
          <w:rFonts w:ascii="Times New Roman" w:hAnsi="Times New Roman" w:cs="Times New Roman"/>
          <w:lang w:val="ru-RU"/>
        </w:rPr>
        <w:t xml:space="preserve"> </w:t>
      </w:r>
      <w:r w:rsidRPr="00F06DE2">
        <w:rPr>
          <w:rFonts w:ascii="Times New Roman" w:hAnsi="Times New Roman" w:cs="Times New Roman"/>
          <w:lang w:val="ru-RU"/>
        </w:rPr>
        <w:t>и</w:t>
      </w:r>
      <w:r w:rsidR="00AE78E2" w:rsidRPr="00F06DE2">
        <w:rPr>
          <w:rFonts w:ascii="Times New Roman" w:hAnsi="Times New Roman" w:cs="Times New Roman"/>
          <w:lang w:val="ru-RU"/>
        </w:rPr>
        <w:t xml:space="preserve"> </w:t>
      </w:r>
      <w:r w:rsidRPr="00F06DE2">
        <w:rPr>
          <w:rFonts w:ascii="Times New Roman" w:hAnsi="Times New Roman" w:cs="Times New Roman"/>
          <w:lang w:val="ru-RU"/>
        </w:rPr>
        <w:t>2</w:t>
      </w:r>
      <w:r w:rsidR="00817670" w:rsidRPr="00F06DE2">
        <w:rPr>
          <w:rFonts w:ascii="Times New Roman" w:hAnsi="Times New Roman" w:cs="Times New Roman"/>
          <w:lang w:val="ru-RU"/>
        </w:rPr>
        <w:t xml:space="preserve"> </w:t>
      </w:r>
      <w:r w:rsidRPr="00F06DE2">
        <w:rPr>
          <w:rFonts w:ascii="Times New Roman" w:hAnsi="Times New Roman" w:cs="Times New Roman"/>
          <w:lang w:val="ru-RU"/>
        </w:rPr>
        <w:t>и член 8.10.</w:t>
      </w:r>
    </w:p>
    <w:p w14:paraId="08C487E1"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Заключването на пробките в положението, посочено в член 8.08, точка 10, се счита за равностойнo на запечатване на спиранията на дренажна система, чрез която нефтосъдържаща вода може да бъде изпомпена от плавателния съд. Изискваните ключ или ключове трябва да се съхраняват на централно място, което се маркира съответно.</w:t>
      </w:r>
    </w:p>
    <w:p w14:paraId="769D7144"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Система за следене и контрол на изпускането на нефт в съответствие с Правило 16 от Международната конвенция за предотвратяване на замърсяването от кораби (MARPOL) 73/78 се счита за равностойна на заключването на пробките в положението, посочено в член 8.08, точка 10. Съществуването на система за следене и контрол трябва да бъде удостоверено с Международно свидетелство за предотвратяване замърсяването с нефт (IOPP), което съответства на изискванията на Международната конвенция за предотвратяване на замърсяването от кораби (MARPOL) 73/78.</w:t>
      </w:r>
    </w:p>
    <w:p w14:paraId="110F3631"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Ако Свидетелството за предотвратяване замърсяването с нефт посочва, че плавателният съд е оборудван с резервоари за събиране на води, които позволяват всички замърсени с нефтопродукти води и остатъци от нефтопродукти да се съхраняват на борда, член 8.09, точка 2 трябва да се счита за спазен;</w:t>
      </w:r>
    </w:p>
    <w:p w14:paraId="0F9EAC47"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д) от Глава 10:</w:t>
      </w:r>
    </w:p>
    <w:p w14:paraId="5543D54A"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член 10.17;</w:t>
      </w:r>
    </w:p>
    <w:p w14:paraId="265A6C40"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е) от Глава 13:</w:t>
      </w:r>
    </w:p>
    <w:p w14:paraId="75F78A18"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членове 13.01 и 13.02, точка 1;</w:t>
      </w:r>
    </w:p>
    <w:p w14:paraId="3479B96C"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ж) Глава 21,</w:t>
      </w:r>
    </w:p>
    <w:p w14:paraId="3CCB4411"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за морски плавателни съдове, на които е разрешено да формират част от състав;</w:t>
      </w:r>
    </w:p>
    <w:p w14:paraId="5CFF263A" w14:textId="77777777" w:rsidR="00271FA2" w:rsidRPr="00F06DE2" w:rsidRDefault="00D35E51" w:rsidP="00DF6869">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lastRenderedPageBreak/>
        <w:t>з) Глава 27:</w:t>
      </w:r>
    </w:p>
    <w:p w14:paraId="5682A315" w14:textId="77777777" w:rsidR="004D3287" w:rsidRPr="00F06DE2" w:rsidRDefault="00D35E51" w:rsidP="00FE0C02">
      <w:pPr>
        <w:pStyle w:val="ESletgauche"/>
        <w:spacing w:before="0"/>
        <w:ind w:firstLine="0"/>
        <w:rPr>
          <w:rFonts w:ascii="Times New Roman" w:hAnsi="Times New Roman" w:cs="Times New Roman"/>
          <w:lang w:val="ru-RU"/>
        </w:rPr>
      </w:pPr>
      <w:r w:rsidRPr="00F06DE2">
        <w:rPr>
          <w:rFonts w:ascii="Times New Roman" w:hAnsi="Times New Roman" w:cs="Times New Roman"/>
          <w:lang w:val="ru-RU"/>
        </w:rPr>
        <w:t>Глава 27 се счита за спазена, когато устойчивостта е в съответствие с действащите резолюции на ИМО, съответните свързани с устойчивостта документи са одобрени от компетентния орган и контейнерите са обезпечени по начин, характерен за обичайното морско корабоплаване.</w:t>
      </w:r>
    </w:p>
    <w:p w14:paraId="689C93D2" w14:textId="77777777" w:rsidR="004D3287" w:rsidRPr="00F06DE2" w:rsidRDefault="004D3287" w:rsidP="00FE0C02">
      <w:pPr>
        <w:pStyle w:val="ESletgauche"/>
        <w:spacing w:before="0"/>
        <w:ind w:firstLine="0"/>
        <w:rPr>
          <w:rFonts w:ascii="Times New Roman" w:hAnsi="Times New Roman" w:cs="Times New Roman"/>
          <w:lang w:val="ru-RU"/>
        </w:rPr>
        <w:sectPr w:rsidR="004D3287" w:rsidRPr="00F06DE2" w:rsidSect="00DB7663">
          <w:headerReference w:type="default" r:id="rId70"/>
          <w:headerReference w:type="first" r:id="rId71"/>
          <w:footnotePr>
            <w:numRestart w:val="eachPage"/>
          </w:footnotePr>
          <w:pgSz w:w="11906" w:h="16838" w:code="9"/>
          <w:pgMar w:top="1134" w:right="1134" w:bottom="1134" w:left="1134" w:header="709" w:footer="709" w:gutter="0"/>
          <w:cols w:space="709"/>
          <w:titlePg/>
          <w:docGrid w:linePitch="272"/>
        </w:sectPr>
      </w:pPr>
    </w:p>
    <w:p w14:paraId="2E5EEEBB" w14:textId="77777777" w:rsidR="00271FA2" w:rsidRPr="00F06DE2" w:rsidRDefault="00D35E51">
      <w:pPr>
        <w:pStyle w:val="ES-Titre2"/>
        <w:rPr>
          <w:rFonts w:ascii="Times New Roman" w:hAnsi="Times New Roman" w:cs="Times New Roman"/>
          <w:lang w:val="ru-RU"/>
        </w:rPr>
      </w:pPr>
      <w:bookmarkStart w:id="466" w:name="_Toc491854236"/>
      <w:bookmarkStart w:id="467" w:name="_Toc535827677"/>
      <w:r w:rsidRPr="00F06DE2">
        <w:rPr>
          <w:rFonts w:ascii="Times New Roman" w:hAnsi="Times New Roman" w:cs="Times New Roman"/>
          <w:lang w:val="ru-RU"/>
        </w:rPr>
        <w:lastRenderedPageBreak/>
        <w:t>Глава 26</w:t>
      </w:r>
      <w:r w:rsidRPr="00F06DE2">
        <w:rPr>
          <w:rFonts w:ascii="Times New Roman" w:hAnsi="Times New Roman" w:cs="Times New Roman"/>
          <w:lang w:val="ru-RU"/>
        </w:rPr>
        <w:br/>
        <w:t>Специални разпоредби, приложими за плавателните средства за отдих</w:t>
      </w:r>
      <w:bookmarkEnd w:id="466"/>
      <w:bookmarkEnd w:id="467"/>
    </w:p>
    <w:p w14:paraId="0AF9491D"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68" w:name="_Toc535827678"/>
      <w:bookmarkStart w:id="469" w:name="_Toc491854237"/>
      <w:r w:rsidRPr="00F06DE2">
        <w:rPr>
          <w:rFonts w:ascii="Times New Roman" w:hAnsi="Times New Roman" w:cs="Times New Roman"/>
          <w:sz w:val="24"/>
          <w:szCs w:val="24"/>
          <w:lang w:val="ru-RU"/>
        </w:rPr>
        <w:t>Член 26.01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Прилагане на част </w:t>
      </w:r>
      <w:r w:rsidRPr="00F06DE2">
        <w:rPr>
          <w:rFonts w:ascii="Times New Roman" w:hAnsi="Times New Roman" w:cs="Times New Roman"/>
          <w:i/>
          <w:sz w:val="24"/>
          <w:szCs w:val="24"/>
        </w:rPr>
        <w:t>II</w:t>
      </w:r>
      <w:bookmarkEnd w:id="468"/>
      <w:bookmarkEnd w:id="469"/>
    </w:p>
    <w:p w14:paraId="18769476" w14:textId="38F5464C" w:rsidR="00271FA2" w:rsidRPr="00F06DE2" w:rsidRDefault="00D35E51" w:rsidP="00DF6869">
      <w:pPr>
        <w:pStyle w:val="ESch"/>
        <w:ind w:firstLine="0"/>
        <w:jc w:val="both"/>
        <w:rPr>
          <w:rFonts w:ascii="Times New Roman" w:eastAsia="Calibri" w:hAnsi="Times New Roman" w:cs="Times New Roman"/>
          <w:lang w:val="ru-RU"/>
        </w:rPr>
      </w:pPr>
      <w:r w:rsidRPr="00F06DE2">
        <w:rPr>
          <w:rFonts w:ascii="Times New Roman" w:hAnsi="Times New Roman" w:cs="Times New Roman"/>
          <w:lang w:val="ru-RU"/>
        </w:rPr>
        <w:t>1.Плавателните средства за отдих трябва да отговарят на изброените по-долу изисквания:</w:t>
      </w:r>
    </w:p>
    <w:p w14:paraId="182A2BD1" w14:textId="77777777" w:rsidR="00271FA2" w:rsidRPr="00F06DE2" w:rsidRDefault="00D35E51" w:rsidP="00DF686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от Глава 3:</w:t>
      </w:r>
    </w:p>
    <w:p w14:paraId="24DFA634" w14:textId="77777777" w:rsidR="00271FA2" w:rsidRPr="00F06DE2" w:rsidRDefault="00D35E51" w:rsidP="00DF686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член 3.01, член 3.02, точка 1, буква “</w:t>
      </w:r>
      <w:r w:rsidRPr="00F06DE2">
        <w:rPr>
          <w:rFonts w:ascii="Times New Roman" w:hAnsi="Times New Roman" w:cs="Times New Roman"/>
        </w:rPr>
        <w:t>a</w:t>
      </w:r>
      <w:r w:rsidRPr="00F06DE2">
        <w:rPr>
          <w:rFonts w:ascii="Times New Roman" w:hAnsi="Times New Roman" w:cs="Times New Roman"/>
          <w:lang w:val="ru-RU"/>
        </w:rPr>
        <w:t>” и точка 2, член 3.03, точка 1, буква “</w:t>
      </w:r>
      <w:r w:rsidRPr="00F06DE2">
        <w:rPr>
          <w:rFonts w:ascii="Times New Roman" w:hAnsi="Times New Roman" w:cs="Times New Roman"/>
        </w:rPr>
        <w:t>a</w:t>
      </w:r>
      <w:r w:rsidRPr="00F06DE2">
        <w:rPr>
          <w:rFonts w:ascii="Times New Roman" w:hAnsi="Times New Roman" w:cs="Times New Roman"/>
          <w:lang w:val="ru-RU"/>
        </w:rPr>
        <w:t>” и точка 6, и член 3.04, точка 1;</w:t>
      </w:r>
    </w:p>
    <w:p w14:paraId="32F7D1FD"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от Глава 5:</w:t>
      </w:r>
    </w:p>
    <w:p w14:paraId="683F9A1E" w14:textId="77777777" w:rsidR="00271FA2" w:rsidRPr="00F06DE2" w:rsidRDefault="00D35E51" w:rsidP="00DF6869">
      <w:pPr>
        <w:pStyle w:val="ESlet"/>
        <w:spacing w:before="0"/>
        <w:ind w:left="567"/>
        <w:jc w:val="both"/>
        <w:rPr>
          <w:rFonts w:ascii="Times New Roman" w:eastAsia="Calibri" w:hAnsi="Times New Roman" w:cs="Times New Roman"/>
          <w:lang w:val="ru-RU"/>
        </w:rPr>
      </w:pPr>
      <w:r w:rsidRPr="00F06DE2">
        <w:rPr>
          <w:rFonts w:ascii="Times New Roman" w:eastAsia="Calibri" w:hAnsi="Times New Roman" w:cs="Times New Roman"/>
          <w:lang w:val="ru-RU"/>
        </w:rPr>
        <w:t>член 5.01, точки 1 и 3, член 5.02, член 5.03, членове 5.05 - 5.10;</w:t>
      </w:r>
    </w:p>
    <w:p w14:paraId="6B086E7A" w14:textId="77777777" w:rsidR="00271FA2" w:rsidRPr="00F06DE2" w:rsidRDefault="00D35E51" w:rsidP="00DF686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в) от Глава 6:</w:t>
      </w:r>
    </w:p>
    <w:p w14:paraId="3D8328A5" w14:textId="77777777" w:rsidR="00271FA2" w:rsidRPr="00F06DE2" w:rsidRDefault="00D35E51" w:rsidP="00DF686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член 6.01, точка 1, и член 6.08;</w:t>
      </w:r>
    </w:p>
    <w:p w14:paraId="6BBB1230" w14:textId="77777777" w:rsidR="00680B78" w:rsidRPr="00F06DE2" w:rsidRDefault="00680B78" w:rsidP="00DF6869">
      <w:pPr>
        <w:ind w:left="567"/>
        <w:rPr>
          <w:rFonts w:ascii="Times New Roman" w:hAnsi="Times New Roman" w:cs="Times New Roman"/>
          <w:lang w:val="ru-RU"/>
        </w:rPr>
      </w:pPr>
      <w:r w:rsidRPr="00F06DE2">
        <w:rPr>
          <w:rFonts w:ascii="Times New Roman" w:hAnsi="Times New Roman" w:cs="Times New Roman"/>
          <w:lang w:val="ru-RU"/>
        </w:rPr>
        <w:t>г) от глава 7:</w:t>
      </w:r>
    </w:p>
    <w:p w14:paraId="3E3EAC4C" w14:textId="49508BE9" w:rsidR="00680B78" w:rsidRPr="00F06DE2" w:rsidRDefault="00680B78" w:rsidP="00DF6869">
      <w:pPr>
        <w:ind w:left="567"/>
        <w:rPr>
          <w:rFonts w:ascii="Times New Roman" w:hAnsi="Times New Roman" w:cs="Times New Roman"/>
          <w:lang w:val="ru-RU"/>
        </w:rPr>
      </w:pPr>
      <w:r w:rsidRPr="00F06DE2">
        <w:rPr>
          <w:rFonts w:ascii="Times New Roman" w:hAnsi="Times New Roman" w:cs="Times New Roman"/>
          <w:lang w:val="ru-RU"/>
        </w:rPr>
        <w:t xml:space="preserve">Член 7.01, </w:t>
      </w:r>
      <w:r w:rsidR="0097711D" w:rsidRPr="00F06DE2">
        <w:rPr>
          <w:rFonts w:ascii="Times New Roman" w:hAnsi="Times New Roman" w:cs="Times New Roman"/>
          <w:lang w:val="ru-RU"/>
        </w:rPr>
        <w:t>т.</w:t>
      </w:r>
      <w:r w:rsidR="00AE78E2" w:rsidRPr="00F06DE2">
        <w:rPr>
          <w:rFonts w:ascii="Times New Roman" w:hAnsi="Times New Roman" w:cs="Times New Roman"/>
          <w:lang w:val="ru-RU"/>
        </w:rPr>
        <w:t xml:space="preserve"> </w:t>
      </w:r>
      <w:r w:rsidRPr="00F06DE2">
        <w:rPr>
          <w:rFonts w:ascii="Times New Roman" w:hAnsi="Times New Roman" w:cs="Times New Roman"/>
          <w:lang w:val="ru-RU"/>
        </w:rPr>
        <w:t xml:space="preserve">1 и 2, член 7.02, член 7.03,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1 и </w:t>
      </w:r>
      <w:r w:rsidR="00AE78E2" w:rsidRPr="00F06DE2">
        <w:rPr>
          <w:rFonts w:ascii="Times New Roman" w:hAnsi="Times New Roman" w:cs="Times New Roman"/>
          <w:lang w:val="ru-RU"/>
        </w:rPr>
        <w:t>т.</w:t>
      </w:r>
      <w:r w:rsidRPr="00F06DE2">
        <w:rPr>
          <w:rFonts w:ascii="Times New Roman" w:hAnsi="Times New Roman" w:cs="Times New Roman"/>
          <w:lang w:val="ru-RU"/>
        </w:rPr>
        <w:t xml:space="preserve">2, член 7.04, </w:t>
      </w:r>
      <w:r w:rsidR="0097711D" w:rsidRPr="00F06DE2">
        <w:rPr>
          <w:rFonts w:ascii="Times New Roman" w:hAnsi="Times New Roman" w:cs="Times New Roman"/>
          <w:lang w:val="ru-RU"/>
        </w:rPr>
        <w:t>т.</w:t>
      </w:r>
      <w:r w:rsidRPr="00F06DE2">
        <w:rPr>
          <w:rFonts w:ascii="Times New Roman" w:hAnsi="Times New Roman" w:cs="Times New Roman"/>
          <w:lang w:val="ru-RU"/>
        </w:rPr>
        <w:t>1, чле</w:t>
      </w:r>
      <w:r w:rsidR="00AE78E2" w:rsidRPr="00F06DE2">
        <w:rPr>
          <w:rFonts w:ascii="Times New Roman" w:hAnsi="Times New Roman" w:cs="Times New Roman"/>
          <w:lang w:val="ru-RU"/>
        </w:rPr>
        <w:t>н</w:t>
      </w:r>
      <w:r w:rsidR="00081B6C" w:rsidRPr="00F06DE2">
        <w:rPr>
          <w:rFonts w:ascii="Times New Roman" w:hAnsi="Times New Roman" w:cs="Times New Roman"/>
          <w:lang w:val="ru-RU"/>
        </w:rPr>
        <w:t xml:space="preserve"> 7.04</w:t>
      </w:r>
      <w:r w:rsidR="004A4059" w:rsidRPr="00F06DE2">
        <w:rPr>
          <w:rFonts w:ascii="Times New Roman" w:hAnsi="Times New Roman" w:cs="Times New Roman"/>
          <w:lang w:val="ru-RU"/>
        </w:rPr>
        <w:t xml:space="preserve"> </w:t>
      </w:r>
      <w:r w:rsidR="00BF17FC" w:rsidRPr="00F06DE2">
        <w:rPr>
          <w:rFonts w:ascii="Times New Roman" w:hAnsi="Times New Roman" w:cs="Times New Roman"/>
          <w:lang w:val="ru-RU"/>
        </w:rPr>
        <w:t>т.</w:t>
      </w:r>
      <w:r w:rsidR="00081B6C" w:rsidRPr="00F06DE2">
        <w:rPr>
          <w:rFonts w:ascii="Times New Roman" w:hAnsi="Times New Roman" w:cs="Times New Roman"/>
          <w:lang w:val="ru-RU"/>
        </w:rPr>
        <w:t>11</w:t>
      </w:r>
      <w:r w:rsidR="00BF17FC" w:rsidRPr="00F06DE2">
        <w:rPr>
          <w:rFonts w:ascii="Times New Roman" w:hAnsi="Times New Roman" w:cs="Times New Roman"/>
          <w:lang w:val="ru-RU"/>
        </w:rPr>
        <w:t>,</w:t>
      </w:r>
      <w:r w:rsidR="004A4059" w:rsidRPr="00F06DE2">
        <w:rPr>
          <w:rFonts w:ascii="Times New Roman" w:hAnsi="Times New Roman" w:cs="Times New Roman"/>
          <w:lang w:val="ru-RU"/>
        </w:rPr>
        <w:t xml:space="preserve"> буква </w:t>
      </w:r>
      <w:r w:rsidR="00BF17FC" w:rsidRPr="00F06DE2">
        <w:rPr>
          <w:rFonts w:ascii="Times New Roman" w:hAnsi="Times New Roman" w:cs="Times New Roman"/>
          <w:lang w:val="ru-RU"/>
        </w:rPr>
        <w:t>“</w:t>
      </w:r>
      <w:r w:rsidR="00BF17FC" w:rsidRPr="00F06DE2" w:rsidDel="00BF17FC">
        <w:rPr>
          <w:rFonts w:ascii="Times New Roman" w:hAnsi="Times New Roman" w:cs="Times New Roman"/>
          <w:lang w:val="ru-RU"/>
        </w:rPr>
        <w:t xml:space="preserve"> </w:t>
      </w:r>
      <w:r w:rsidR="00081B6C" w:rsidRPr="00F06DE2">
        <w:rPr>
          <w:rFonts w:ascii="Times New Roman" w:hAnsi="Times New Roman" w:cs="Times New Roman"/>
          <w:lang w:val="ru-RU"/>
        </w:rPr>
        <w:t>д</w:t>
      </w:r>
      <w:r w:rsidR="00BF17FC" w:rsidRPr="00F06DE2">
        <w:rPr>
          <w:rFonts w:ascii="Times New Roman" w:hAnsi="Times New Roman" w:cs="Times New Roman"/>
          <w:lang w:val="ru-RU"/>
        </w:rPr>
        <w:t>“</w:t>
      </w:r>
      <w:r w:rsidR="00081B6C" w:rsidRPr="00F06DE2">
        <w:rPr>
          <w:rFonts w:ascii="Times New Roman" w:hAnsi="Times New Roman" w:cs="Times New Roman"/>
          <w:lang w:val="ru-RU"/>
        </w:rPr>
        <w:t>, член 7.05</w:t>
      </w:r>
      <w:r w:rsidR="004A4059" w:rsidRPr="00F06DE2">
        <w:rPr>
          <w:rFonts w:ascii="Times New Roman" w:hAnsi="Times New Roman" w:cs="Times New Roman"/>
          <w:lang w:val="ru-RU"/>
        </w:rPr>
        <w:t xml:space="preserve"> т</w:t>
      </w:r>
      <w:r w:rsidR="00AE78E2" w:rsidRPr="00F06DE2">
        <w:rPr>
          <w:rFonts w:ascii="Times New Roman" w:hAnsi="Times New Roman" w:cs="Times New Roman"/>
          <w:lang w:val="ru-RU"/>
        </w:rPr>
        <w:t xml:space="preserve">. </w:t>
      </w:r>
      <w:r w:rsidR="00081B6C" w:rsidRPr="00F06DE2">
        <w:rPr>
          <w:rFonts w:ascii="Times New Roman" w:hAnsi="Times New Roman" w:cs="Times New Roman"/>
          <w:lang w:val="ru-RU"/>
        </w:rPr>
        <w:t>2,</w:t>
      </w:r>
      <w:r w:rsidR="00AE78E2" w:rsidRPr="00F06DE2">
        <w:rPr>
          <w:rFonts w:ascii="Times New Roman" w:hAnsi="Times New Roman" w:cs="Times New Roman"/>
          <w:lang w:val="ru-RU"/>
        </w:rPr>
        <w:t xml:space="preserve"> ч</w:t>
      </w:r>
      <w:r w:rsidRPr="00F06DE2">
        <w:rPr>
          <w:rFonts w:ascii="Times New Roman" w:hAnsi="Times New Roman" w:cs="Times New Roman"/>
          <w:lang w:val="ru-RU"/>
        </w:rPr>
        <w:t>лен 7.06</w:t>
      </w:r>
      <w:r w:rsidR="00AE78E2"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00167801" w:rsidRPr="00F06DE2">
        <w:rPr>
          <w:rFonts w:ascii="Times New Roman" w:hAnsi="Times New Roman" w:cs="Times New Roman"/>
          <w:lang w:val="ru-RU"/>
        </w:rPr>
        <w:t xml:space="preserve"> </w:t>
      </w:r>
      <w:r w:rsidRPr="00F06DE2">
        <w:rPr>
          <w:rFonts w:ascii="Times New Roman" w:hAnsi="Times New Roman" w:cs="Times New Roman"/>
          <w:lang w:val="ru-RU"/>
        </w:rPr>
        <w:t>3 в случай</w:t>
      </w:r>
      <w:r w:rsidR="00D0147F" w:rsidRPr="00F06DE2">
        <w:rPr>
          <w:rFonts w:ascii="Times New Roman" w:hAnsi="Times New Roman" w:cs="Times New Roman"/>
          <w:lang w:val="ru-RU"/>
        </w:rPr>
        <w:t xml:space="preserve">, че </w:t>
      </w:r>
      <w:r w:rsidRPr="00F06DE2">
        <w:rPr>
          <w:rFonts w:ascii="Times New Roman" w:hAnsi="Times New Roman" w:cs="Times New Roman"/>
          <w:lang w:val="ru-RU"/>
        </w:rPr>
        <w:t xml:space="preserve"> </w:t>
      </w:r>
      <w:r w:rsidR="00B86E3B" w:rsidRPr="00F06DE2">
        <w:rPr>
          <w:rFonts w:ascii="Times New Roman" w:hAnsi="Times New Roman" w:cs="Times New Roman"/>
          <w:lang w:val="ru-RU"/>
        </w:rPr>
        <w:t>за</w:t>
      </w:r>
      <w:r w:rsidRPr="00F06DE2">
        <w:rPr>
          <w:rFonts w:ascii="Times New Roman" w:hAnsi="Times New Roman" w:cs="Times New Roman"/>
          <w:lang w:val="ru-RU"/>
        </w:rPr>
        <w:t xml:space="preserve"> плавателни</w:t>
      </w:r>
      <w:r w:rsidR="00D0147F" w:rsidRPr="00F06DE2">
        <w:rPr>
          <w:rFonts w:ascii="Times New Roman" w:hAnsi="Times New Roman" w:cs="Times New Roman"/>
          <w:lang w:val="ru-RU"/>
        </w:rPr>
        <w:t>те</w:t>
      </w:r>
      <w:r w:rsidRPr="00F06DE2">
        <w:rPr>
          <w:rFonts w:ascii="Times New Roman" w:hAnsi="Times New Roman" w:cs="Times New Roman"/>
          <w:lang w:val="ru-RU"/>
        </w:rPr>
        <w:t xml:space="preserve"> съдове за отдих, за които </w:t>
      </w:r>
      <w:r w:rsidR="00D0147F" w:rsidRPr="00F06DE2">
        <w:rPr>
          <w:rFonts w:ascii="Times New Roman" w:hAnsi="Times New Roman" w:cs="Times New Roman"/>
          <w:lang w:val="ru-RU"/>
        </w:rPr>
        <w:t xml:space="preserve">са </w:t>
      </w:r>
      <w:r w:rsidRPr="00F06DE2">
        <w:rPr>
          <w:rFonts w:ascii="Times New Roman" w:hAnsi="Times New Roman" w:cs="Times New Roman"/>
          <w:lang w:val="ru-RU"/>
        </w:rPr>
        <w:t xml:space="preserve">приложими разпоредби на навигационните власти </w:t>
      </w:r>
      <w:r w:rsidR="00D0147F" w:rsidRPr="00F06DE2">
        <w:rPr>
          <w:rFonts w:ascii="Times New Roman" w:hAnsi="Times New Roman" w:cs="Times New Roman"/>
          <w:lang w:val="ru-RU"/>
        </w:rPr>
        <w:t xml:space="preserve">на държавите-членки </w:t>
      </w:r>
      <w:r w:rsidRPr="00F06DE2">
        <w:rPr>
          <w:rFonts w:ascii="Times New Roman" w:hAnsi="Times New Roman" w:cs="Times New Roman"/>
          <w:lang w:val="ru-RU"/>
        </w:rPr>
        <w:t xml:space="preserve">за определени зони на корабоплаване трябва да бъдат оборудвани с </w:t>
      </w:r>
      <w:r w:rsidRPr="00F06DE2">
        <w:rPr>
          <w:rFonts w:ascii="Times New Roman" w:hAnsi="Times New Roman" w:cs="Times New Roman"/>
        </w:rPr>
        <w:t>AIS</w:t>
      </w:r>
      <w:r w:rsidRPr="00F06DE2">
        <w:rPr>
          <w:rFonts w:ascii="Times New Roman" w:hAnsi="Times New Roman" w:cs="Times New Roman"/>
          <w:lang w:val="ru-RU"/>
        </w:rPr>
        <w:t xml:space="preserve"> за </w:t>
      </w:r>
      <w:r w:rsidR="00817125" w:rsidRPr="00F06DE2">
        <w:rPr>
          <w:rFonts w:ascii="Times New Roman" w:hAnsi="Times New Roman" w:cs="Times New Roman"/>
          <w:lang w:val="ru-RU"/>
        </w:rPr>
        <w:t xml:space="preserve"> </w:t>
      </w:r>
      <w:r w:rsidR="00D532ED" w:rsidRPr="00F06DE2">
        <w:rPr>
          <w:rFonts w:ascii="Times New Roman" w:hAnsi="Times New Roman" w:cs="Times New Roman"/>
          <w:lang w:val="ru-RU"/>
        </w:rPr>
        <w:t>вътрешно корабоплаване</w:t>
      </w:r>
      <w:r w:rsidRPr="00F06DE2">
        <w:rPr>
          <w:rFonts w:ascii="Times New Roman" w:hAnsi="Times New Roman" w:cs="Times New Roman"/>
          <w:lang w:val="ru-RU"/>
        </w:rPr>
        <w:t>,</w:t>
      </w:r>
    </w:p>
    <w:p w14:paraId="0564B089" w14:textId="77777777" w:rsidR="00680B78" w:rsidRPr="00F06DE2" w:rsidRDefault="00680B78" w:rsidP="00DF6869">
      <w:pPr>
        <w:ind w:left="567"/>
        <w:rPr>
          <w:rFonts w:ascii="Times New Roman" w:hAnsi="Times New Roman" w:cs="Times New Roman"/>
          <w:lang w:val="ru-RU"/>
        </w:rPr>
      </w:pPr>
      <w:r w:rsidRPr="00F06DE2">
        <w:rPr>
          <w:rFonts w:ascii="Times New Roman" w:hAnsi="Times New Roman" w:cs="Times New Roman"/>
          <w:lang w:val="ru-RU"/>
        </w:rPr>
        <w:t>член 7.13;</w:t>
      </w:r>
    </w:p>
    <w:p w14:paraId="6EDF76E6" w14:textId="77777777" w:rsidR="00271FA2" w:rsidRPr="00F06DE2" w:rsidRDefault="00D35E51" w:rsidP="00DF686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д) от Глава 8:</w:t>
      </w:r>
    </w:p>
    <w:p w14:paraId="0DE13E88" w14:textId="478A07BE" w:rsidR="00271FA2" w:rsidRPr="00F06DE2" w:rsidRDefault="00D35E51" w:rsidP="00DF6869">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член 8.01, </w:t>
      </w:r>
      <w:r w:rsidR="00BF17FC" w:rsidRPr="00F06DE2">
        <w:rPr>
          <w:rFonts w:ascii="Times New Roman" w:hAnsi="Times New Roman" w:cs="Times New Roman"/>
          <w:lang w:val="ru-RU"/>
        </w:rPr>
        <w:t>т.</w:t>
      </w:r>
      <w:r w:rsidRPr="00F06DE2">
        <w:rPr>
          <w:rFonts w:ascii="Times New Roman" w:hAnsi="Times New Roman" w:cs="Times New Roman"/>
          <w:lang w:val="ru-RU"/>
        </w:rPr>
        <w:t xml:space="preserve">1 и </w:t>
      </w:r>
      <w:r w:rsidR="00BF17FC" w:rsidRPr="00F06DE2">
        <w:rPr>
          <w:rFonts w:ascii="Times New Roman" w:hAnsi="Times New Roman" w:cs="Times New Roman"/>
          <w:lang w:val="ru-RU"/>
        </w:rPr>
        <w:t>т.</w:t>
      </w:r>
      <w:r w:rsidRPr="00F06DE2">
        <w:rPr>
          <w:rFonts w:ascii="Times New Roman" w:hAnsi="Times New Roman" w:cs="Times New Roman"/>
          <w:lang w:val="ru-RU"/>
        </w:rPr>
        <w:t>2, член 8.02, т</w:t>
      </w:r>
      <w:r w:rsidR="00BF17FC" w:rsidRPr="00F06DE2">
        <w:rPr>
          <w:rFonts w:ascii="Times New Roman" w:hAnsi="Times New Roman" w:cs="Times New Roman"/>
          <w:lang w:val="ru-RU"/>
        </w:rPr>
        <w:t xml:space="preserve">. </w:t>
      </w:r>
      <w:r w:rsidRPr="00F06DE2">
        <w:rPr>
          <w:rFonts w:ascii="Times New Roman" w:hAnsi="Times New Roman" w:cs="Times New Roman"/>
          <w:lang w:val="ru-RU"/>
        </w:rPr>
        <w:t xml:space="preserve">1 и </w:t>
      </w:r>
      <w:r w:rsidR="00BF17FC" w:rsidRPr="00F06DE2">
        <w:rPr>
          <w:rFonts w:ascii="Times New Roman" w:hAnsi="Times New Roman" w:cs="Times New Roman"/>
          <w:lang w:val="ru-RU"/>
        </w:rPr>
        <w:t>т.</w:t>
      </w:r>
      <w:r w:rsidRPr="00F06DE2">
        <w:rPr>
          <w:rFonts w:ascii="Times New Roman" w:hAnsi="Times New Roman" w:cs="Times New Roman"/>
          <w:lang w:val="ru-RU"/>
        </w:rPr>
        <w:t xml:space="preserve">2, член 8.03, </w:t>
      </w:r>
      <w:r w:rsidR="00BF17FC" w:rsidRPr="00F06DE2">
        <w:rPr>
          <w:rFonts w:ascii="Times New Roman" w:hAnsi="Times New Roman" w:cs="Times New Roman"/>
          <w:lang w:val="ru-RU"/>
        </w:rPr>
        <w:t>т.</w:t>
      </w:r>
      <w:r w:rsidRPr="00F06DE2">
        <w:rPr>
          <w:rFonts w:ascii="Times New Roman" w:hAnsi="Times New Roman" w:cs="Times New Roman"/>
          <w:lang w:val="ru-RU"/>
        </w:rPr>
        <w:t xml:space="preserve">1 и </w:t>
      </w:r>
      <w:r w:rsidR="00BF17FC" w:rsidRPr="00F06DE2">
        <w:rPr>
          <w:rFonts w:ascii="Times New Roman" w:hAnsi="Times New Roman" w:cs="Times New Roman"/>
          <w:lang w:val="ru-RU"/>
        </w:rPr>
        <w:t>т.</w:t>
      </w:r>
      <w:r w:rsidR="00680B78" w:rsidRPr="00F06DE2">
        <w:rPr>
          <w:rFonts w:ascii="Times New Roman" w:hAnsi="Times New Roman" w:cs="Times New Roman"/>
          <w:lang w:val="ru-RU"/>
        </w:rPr>
        <w:t>2</w:t>
      </w:r>
      <w:r w:rsidRPr="00F06DE2">
        <w:rPr>
          <w:rFonts w:ascii="Times New Roman" w:hAnsi="Times New Roman" w:cs="Times New Roman"/>
          <w:lang w:val="ru-RU"/>
        </w:rPr>
        <w:t>, член 8.04, член 8.05, точки 1</w:t>
      </w:r>
      <w:r w:rsidR="00BD597A" w:rsidRPr="00F06DE2">
        <w:rPr>
          <w:rFonts w:ascii="Times New Roman" w:hAnsi="Times New Roman" w:cs="Times New Roman"/>
          <w:lang w:val="ru-RU"/>
        </w:rPr>
        <w:t xml:space="preserve"> до </w:t>
      </w:r>
      <w:r w:rsidRPr="00F06DE2">
        <w:rPr>
          <w:rFonts w:ascii="Times New Roman" w:hAnsi="Times New Roman" w:cs="Times New Roman"/>
          <w:lang w:val="ru-RU"/>
        </w:rPr>
        <w:t>5,</w:t>
      </w:r>
    </w:p>
    <w:p w14:paraId="548DC1F5" w14:textId="1B0261C6" w:rsidR="00271FA2" w:rsidRPr="00F06DE2" w:rsidRDefault="00D35E51" w:rsidP="00DF686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Член 8.05, </w:t>
      </w:r>
      <w:r w:rsidR="00BF17FC" w:rsidRPr="00F06DE2">
        <w:rPr>
          <w:rFonts w:ascii="Times New Roman" w:hAnsi="Times New Roman" w:cs="Times New Roman"/>
          <w:lang w:val="ru-RU"/>
        </w:rPr>
        <w:t>т.</w:t>
      </w:r>
      <w:r w:rsidRPr="00F06DE2">
        <w:rPr>
          <w:rFonts w:ascii="Times New Roman" w:hAnsi="Times New Roman" w:cs="Times New Roman"/>
          <w:lang w:val="ru-RU"/>
        </w:rPr>
        <w:t>6</w:t>
      </w:r>
      <w:r w:rsidR="00BF17FC" w:rsidRPr="00F06DE2">
        <w:rPr>
          <w:rFonts w:ascii="Times New Roman" w:hAnsi="Times New Roman" w:cs="Times New Roman"/>
          <w:lang w:val="ru-RU"/>
        </w:rPr>
        <w:t xml:space="preserve"> </w:t>
      </w:r>
      <w:r w:rsidRPr="00F06DE2">
        <w:rPr>
          <w:rFonts w:ascii="Times New Roman" w:hAnsi="Times New Roman" w:cs="Times New Roman"/>
          <w:lang w:val="ru-RU"/>
        </w:rPr>
        <w:t xml:space="preserve">или като алтернатива на техническите изисквания на Стандарта </w:t>
      </w:r>
      <w:r w:rsidR="00680B78" w:rsidRPr="00F06DE2">
        <w:rPr>
          <w:rFonts w:ascii="Times New Roman" w:hAnsi="Times New Roman" w:cs="Times New Roman"/>
        </w:rPr>
        <w:t>EN</w:t>
      </w:r>
      <w:r w:rsidR="00680B78" w:rsidRPr="00F06DE2">
        <w:rPr>
          <w:rFonts w:ascii="Times New Roman" w:hAnsi="Times New Roman" w:cs="Times New Roman"/>
          <w:lang w:val="ru-RU"/>
        </w:rPr>
        <w:t xml:space="preserve"> </w:t>
      </w:r>
      <w:r w:rsidR="00680B78" w:rsidRPr="00F06DE2">
        <w:rPr>
          <w:rFonts w:ascii="Times New Roman" w:hAnsi="Times New Roman" w:cs="Times New Roman"/>
        </w:rPr>
        <w:t>ISO</w:t>
      </w:r>
      <w:r w:rsidR="00680B78" w:rsidRPr="00F06DE2">
        <w:rPr>
          <w:rFonts w:ascii="Times New Roman" w:hAnsi="Times New Roman" w:cs="Times New Roman"/>
          <w:lang w:val="ru-RU"/>
        </w:rPr>
        <w:t xml:space="preserve"> 10088: 2023</w:t>
      </w:r>
      <w:r w:rsidR="00BF17FC" w:rsidRPr="00F06DE2">
        <w:rPr>
          <w:rFonts w:ascii="Times New Roman" w:hAnsi="Times New Roman" w:cs="Times New Roman"/>
          <w:lang w:val="ru-RU"/>
        </w:rPr>
        <w:t xml:space="preserve"> ч</w:t>
      </w:r>
      <w:r w:rsidRPr="00F06DE2">
        <w:rPr>
          <w:rFonts w:ascii="Times New Roman" w:hAnsi="Times New Roman" w:cs="Times New Roman"/>
          <w:lang w:val="ru-RU"/>
        </w:rPr>
        <w:t>лен 8.05</w:t>
      </w:r>
      <w:r w:rsidR="00BF17FC" w:rsidRPr="00F06DE2">
        <w:rPr>
          <w:rFonts w:ascii="Times New Roman" w:hAnsi="Times New Roman" w:cs="Times New Roman"/>
          <w:lang w:val="ru-RU"/>
        </w:rPr>
        <w:t>,</w:t>
      </w:r>
      <w:r w:rsidRPr="00F06DE2">
        <w:rPr>
          <w:rFonts w:ascii="Times New Roman" w:hAnsi="Times New Roman" w:cs="Times New Roman"/>
          <w:lang w:val="ru-RU"/>
        </w:rPr>
        <w:t xml:space="preserve"> точки 7</w:t>
      </w:r>
      <w:r w:rsidR="00BF17FC" w:rsidRPr="00F06DE2">
        <w:rPr>
          <w:rFonts w:ascii="Times New Roman" w:hAnsi="Times New Roman" w:cs="Times New Roman"/>
          <w:lang w:val="ru-RU"/>
        </w:rPr>
        <w:t xml:space="preserve"> </w:t>
      </w:r>
      <w:r w:rsidR="00F55F1F" w:rsidRPr="00F06DE2">
        <w:rPr>
          <w:rFonts w:ascii="Times New Roman" w:hAnsi="Times New Roman" w:cs="Times New Roman"/>
          <w:lang w:val="ru-RU"/>
        </w:rPr>
        <w:t>до</w:t>
      </w:r>
      <w:r w:rsidR="00BF17FC" w:rsidRPr="00F06DE2">
        <w:rPr>
          <w:rFonts w:ascii="Times New Roman" w:hAnsi="Times New Roman" w:cs="Times New Roman"/>
          <w:lang w:val="ru-RU"/>
        </w:rPr>
        <w:t xml:space="preserve"> </w:t>
      </w:r>
      <w:r w:rsidRPr="00F06DE2">
        <w:rPr>
          <w:rFonts w:ascii="Times New Roman" w:hAnsi="Times New Roman" w:cs="Times New Roman"/>
          <w:lang w:val="ru-RU"/>
        </w:rPr>
        <w:t>10, член 8.06, член 8.07, член 8.08, т</w:t>
      </w:r>
      <w:r w:rsidR="00BF17FC" w:rsidRPr="00F06DE2">
        <w:rPr>
          <w:rFonts w:ascii="Times New Roman" w:hAnsi="Times New Roman" w:cs="Times New Roman"/>
          <w:lang w:val="ru-RU"/>
        </w:rPr>
        <w:t xml:space="preserve">. </w:t>
      </w:r>
      <w:r w:rsidRPr="00F06DE2">
        <w:rPr>
          <w:rFonts w:ascii="Times New Roman" w:hAnsi="Times New Roman" w:cs="Times New Roman"/>
          <w:lang w:val="ru-RU"/>
        </w:rPr>
        <w:t xml:space="preserve">1, </w:t>
      </w:r>
      <w:r w:rsidR="00BF17FC" w:rsidRPr="00F06DE2">
        <w:rPr>
          <w:rFonts w:ascii="Times New Roman" w:hAnsi="Times New Roman" w:cs="Times New Roman"/>
          <w:lang w:val="ru-RU"/>
        </w:rPr>
        <w:t>т.</w:t>
      </w:r>
      <w:r w:rsidRPr="00F06DE2">
        <w:rPr>
          <w:rFonts w:ascii="Times New Roman" w:hAnsi="Times New Roman" w:cs="Times New Roman"/>
          <w:lang w:val="ru-RU"/>
        </w:rPr>
        <w:t xml:space="preserve">2, </w:t>
      </w:r>
      <w:r w:rsidR="00BF17FC" w:rsidRPr="00F06DE2">
        <w:rPr>
          <w:rFonts w:ascii="Times New Roman" w:hAnsi="Times New Roman" w:cs="Times New Roman"/>
          <w:lang w:val="ru-RU"/>
        </w:rPr>
        <w:t>т.</w:t>
      </w:r>
      <w:r w:rsidRPr="00F06DE2">
        <w:rPr>
          <w:rFonts w:ascii="Times New Roman" w:hAnsi="Times New Roman" w:cs="Times New Roman"/>
          <w:lang w:val="ru-RU"/>
        </w:rPr>
        <w:t xml:space="preserve">5, </w:t>
      </w:r>
      <w:r w:rsidR="00BF17FC" w:rsidRPr="00F06DE2">
        <w:rPr>
          <w:rFonts w:ascii="Times New Roman" w:hAnsi="Times New Roman" w:cs="Times New Roman"/>
          <w:lang w:val="ru-RU"/>
        </w:rPr>
        <w:t>т.</w:t>
      </w:r>
      <w:r w:rsidRPr="00F06DE2">
        <w:rPr>
          <w:rFonts w:ascii="Times New Roman" w:hAnsi="Times New Roman" w:cs="Times New Roman"/>
          <w:lang w:val="ru-RU"/>
        </w:rPr>
        <w:t xml:space="preserve">7 и </w:t>
      </w:r>
      <w:r w:rsidR="00BF17FC" w:rsidRPr="00F06DE2">
        <w:rPr>
          <w:rFonts w:ascii="Times New Roman" w:hAnsi="Times New Roman" w:cs="Times New Roman"/>
          <w:lang w:val="ru-RU"/>
        </w:rPr>
        <w:t>т.</w:t>
      </w:r>
      <w:r w:rsidRPr="00F06DE2">
        <w:rPr>
          <w:rFonts w:ascii="Times New Roman" w:hAnsi="Times New Roman" w:cs="Times New Roman"/>
          <w:lang w:val="ru-RU"/>
        </w:rPr>
        <w:t xml:space="preserve">10, член 8.09, </w:t>
      </w:r>
      <w:r w:rsidR="00BF17FC" w:rsidRPr="00F06DE2">
        <w:rPr>
          <w:rFonts w:ascii="Times New Roman" w:hAnsi="Times New Roman" w:cs="Times New Roman"/>
          <w:lang w:val="ru-RU"/>
        </w:rPr>
        <w:t>т.</w:t>
      </w:r>
      <w:r w:rsidRPr="00F06DE2">
        <w:rPr>
          <w:rFonts w:ascii="Times New Roman" w:hAnsi="Times New Roman" w:cs="Times New Roman"/>
          <w:lang w:val="ru-RU"/>
        </w:rPr>
        <w:t>1, и член 8.10;</w:t>
      </w:r>
    </w:p>
    <w:p w14:paraId="5D56C36C" w14:textId="77777777" w:rsidR="00271FA2" w:rsidRPr="00F06DE2" w:rsidRDefault="00D35E51" w:rsidP="00DF686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е) Глава 9;</w:t>
      </w:r>
    </w:p>
    <w:p w14:paraId="6493E3E5" w14:textId="77777777" w:rsidR="00271FA2" w:rsidRPr="00F06DE2" w:rsidRDefault="00D35E51" w:rsidP="00DF686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ж) от Глава 10:</w:t>
      </w:r>
    </w:p>
    <w:p w14:paraId="189AA3FB" w14:textId="456DA7B8" w:rsidR="00271FA2" w:rsidRPr="00F06DE2" w:rsidRDefault="00D35E51" w:rsidP="00DF686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член 10.01, </w:t>
      </w:r>
      <w:r w:rsidR="00BF17FC" w:rsidRPr="00F06DE2">
        <w:rPr>
          <w:rFonts w:ascii="Times New Roman" w:hAnsi="Times New Roman" w:cs="Times New Roman"/>
          <w:lang w:val="ru-RU"/>
        </w:rPr>
        <w:t>т.</w:t>
      </w:r>
      <w:r w:rsidRPr="00F06DE2">
        <w:rPr>
          <w:rFonts w:ascii="Times New Roman" w:hAnsi="Times New Roman" w:cs="Times New Roman"/>
          <w:lang w:val="ru-RU"/>
        </w:rPr>
        <w:t xml:space="preserve">1, </w:t>
      </w:r>
      <w:r w:rsidRPr="00F06DE2">
        <w:rPr>
          <w:rFonts w:ascii="Times New Roman" w:hAnsi="Times New Roman" w:cs="Times New Roman"/>
          <w:i/>
        </w:rPr>
        <w:t>mutatis</w:t>
      </w:r>
      <w:r w:rsidRPr="00F06DE2">
        <w:rPr>
          <w:rFonts w:ascii="Times New Roman" w:hAnsi="Times New Roman" w:cs="Times New Roman"/>
          <w:i/>
          <w:lang w:val="ru-RU"/>
        </w:rPr>
        <w:t xml:space="preserve"> </w:t>
      </w:r>
      <w:r w:rsidRPr="00F06DE2">
        <w:rPr>
          <w:rFonts w:ascii="Times New Roman" w:hAnsi="Times New Roman" w:cs="Times New Roman"/>
          <w:i/>
        </w:rPr>
        <w:t>mutandis</w:t>
      </w:r>
      <w:r w:rsidRPr="00F06DE2">
        <w:rPr>
          <w:rFonts w:ascii="Times New Roman" w:hAnsi="Times New Roman" w:cs="Times New Roman"/>
          <w:lang w:val="ru-RU"/>
        </w:rPr>
        <w:t>;</w:t>
      </w:r>
    </w:p>
    <w:p w14:paraId="7F919B36" w14:textId="77777777" w:rsidR="00271FA2" w:rsidRPr="00F06DE2" w:rsidRDefault="00D35E51" w:rsidP="00DF686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з) от Глава 13:</w:t>
      </w:r>
    </w:p>
    <w:p w14:paraId="0FFC6E51" w14:textId="529DE052" w:rsidR="00271FA2" w:rsidRPr="00F06DE2" w:rsidRDefault="00D35E51" w:rsidP="00DF6869">
      <w:pPr>
        <w:pStyle w:val="ESletpar"/>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 xml:space="preserve">член 13.01, </w:t>
      </w:r>
      <w:r w:rsidR="00BF17FC" w:rsidRPr="00F06DE2">
        <w:rPr>
          <w:rFonts w:ascii="Times New Roman" w:hAnsi="Times New Roman" w:cs="Times New Roman"/>
          <w:lang w:val="ru-RU"/>
        </w:rPr>
        <w:t xml:space="preserve">т. </w:t>
      </w:r>
      <w:r w:rsidRPr="00F06DE2">
        <w:rPr>
          <w:rFonts w:ascii="Times New Roman" w:hAnsi="Times New Roman" w:cs="Times New Roman"/>
          <w:lang w:val="ru-RU"/>
        </w:rPr>
        <w:t>2,</w:t>
      </w:r>
      <w:r w:rsidR="00BF17FC" w:rsidRPr="00F06DE2">
        <w:rPr>
          <w:rFonts w:ascii="Times New Roman" w:hAnsi="Times New Roman" w:cs="Times New Roman"/>
          <w:lang w:val="ru-RU"/>
        </w:rPr>
        <w:t xml:space="preserve"> т.</w:t>
      </w:r>
      <w:r w:rsidRPr="00F06DE2">
        <w:rPr>
          <w:rFonts w:ascii="Times New Roman" w:hAnsi="Times New Roman" w:cs="Times New Roman"/>
          <w:lang w:val="ru-RU"/>
        </w:rPr>
        <w:t xml:space="preserve"> 3 и </w:t>
      </w:r>
      <w:r w:rsidR="00BF17FC" w:rsidRPr="00F06DE2">
        <w:rPr>
          <w:rFonts w:ascii="Times New Roman" w:hAnsi="Times New Roman" w:cs="Times New Roman"/>
          <w:lang w:val="ru-RU"/>
        </w:rPr>
        <w:t xml:space="preserve">точки </w:t>
      </w:r>
      <w:r w:rsidRPr="00F06DE2">
        <w:rPr>
          <w:rFonts w:ascii="Times New Roman" w:hAnsi="Times New Roman" w:cs="Times New Roman"/>
          <w:lang w:val="ru-RU"/>
        </w:rPr>
        <w:t xml:space="preserve">5 - 14, член 13.02, </w:t>
      </w:r>
      <w:r w:rsidR="00BF17FC" w:rsidRPr="00F06DE2">
        <w:rPr>
          <w:rFonts w:ascii="Times New Roman" w:hAnsi="Times New Roman" w:cs="Times New Roman"/>
          <w:lang w:val="ru-RU"/>
        </w:rPr>
        <w:t xml:space="preserve">т. </w:t>
      </w:r>
      <w:r w:rsidRPr="00F06DE2">
        <w:rPr>
          <w:rFonts w:ascii="Times New Roman" w:hAnsi="Times New Roman" w:cs="Times New Roman"/>
          <w:lang w:val="ru-RU"/>
        </w:rPr>
        <w:t>1, букви “</w:t>
      </w:r>
      <w:r w:rsidRPr="00F06DE2">
        <w:rPr>
          <w:rFonts w:ascii="Times New Roman" w:hAnsi="Times New Roman" w:cs="Times New Roman"/>
        </w:rPr>
        <w:t>a</w:t>
      </w:r>
      <w:r w:rsidRPr="00F06DE2">
        <w:rPr>
          <w:rFonts w:ascii="Times New Roman" w:hAnsi="Times New Roman" w:cs="Times New Roman"/>
          <w:lang w:val="ru-RU"/>
        </w:rPr>
        <w:t xml:space="preserve">” - “в”, и </w:t>
      </w:r>
      <w:r w:rsidR="00BF17FC" w:rsidRPr="00F06DE2">
        <w:rPr>
          <w:rFonts w:ascii="Times New Roman" w:hAnsi="Times New Roman" w:cs="Times New Roman"/>
          <w:lang w:val="ru-RU"/>
        </w:rPr>
        <w:t xml:space="preserve">т. </w:t>
      </w:r>
      <w:r w:rsidRPr="00F06DE2">
        <w:rPr>
          <w:rFonts w:ascii="Times New Roman" w:hAnsi="Times New Roman" w:cs="Times New Roman"/>
          <w:lang w:val="ru-RU"/>
        </w:rPr>
        <w:t>3, букв</w:t>
      </w:r>
      <w:r w:rsidR="00BF17FC" w:rsidRPr="00F06DE2">
        <w:rPr>
          <w:rFonts w:ascii="Times New Roman" w:hAnsi="Times New Roman" w:cs="Times New Roman"/>
          <w:lang w:val="ru-RU"/>
        </w:rPr>
        <w:t>а</w:t>
      </w:r>
      <w:r w:rsidRPr="00F06DE2">
        <w:rPr>
          <w:rFonts w:ascii="Times New Roman" w:hAnsi="Times New Roman" w:cs="Times New Roman"/>
          <w:lang w:val="ru-RU"/>
        </w:rPr>
        <w:t xml:space="preserve"> “</w:t>
      </w:r>
      <w:r w:rsidRPr="00F06DE2">
        <w:rPr>
          <w:rFonts w:ascii="Times New Roman" w:hAnsi="Times New Roman" w:cs="Times New Roman"/>
        </w:rPr>
        <w:t>a</w:t>
      </w:r>
      <w:r w:rsidRPr="00F06DE2">
        <w:rPr>
          <w:rFonts w:ascii="Times New Roman" w:hAnsi="Times New Roman" w:cs="Times New Roman"/>
          <w:lang w:val="ru-RU"/>
        </w:rPr>
        <w:t xml:space="preserve">” и </w:t>
      </w:r>
      <w:r w:rsidR="00BF17FC" w:rsidRPr="00F06DE2">
        <w:rPr>
          <w:rFonts w:ascii="Times New Roman" w:hAnsi="Times New Roman" w:cs="Times New Roman"/>
          <w:lang w:val="ru-RU"/>
        </w:rPr>
        <w:t xml:space="preserve">букви </w:t>
      </w:r>
      <w:r w:rsidRPr="00F06DE2">
        <w:rPr>
          <w:rFonts w:ascii="Times New Roman" w:hAnsi="Times New Roman" w:cs="Times New Roman"/>
          <w:lang w:val="ru-RU"/>
        </w:rPr>
        <w:t>“д” - “з”, член 13.03, точка 1, букви “</w:t>
      </w:r>
      <w:r w:rsidRPr="00F06DE2">
        <w:rPr>
          <w:rFonts w:ascii="Times New Roman" w:hAnsi="Times New Roman" w:cs="Times New Roman"/>
        </w:rPr>
        <w:t>a</w:t>
      </w:r>
      <w:r w:rsidRPr="00F06DE2">
        <w:rPr>
          <w:rFonts w:ascii="Times New Roman" w:hAnsi="Times New Roman" w:cs="Times New Roman"/>
          <w:lang w:val="ru-RU"/>
        </w:rPr>
        <w:t>”, “б” и “г”: все пак, на борда трябва да има поне два пожарогасителя; член 13.03, точки 2 - 6, членове 13.04, 13.05, и 13.08; но ненадуваемите спасителни жилетки също са допустими за възрастни;</w:t>
      </w:r>
    </w:p>
    <w:p w14:paraId="6220CB1A" w14:textId="77777777" w:rsidR="00271FA2" w:rsidRPr="00F06DE2" w:rsidRDefault="00D35E51" w:rsidP="00DF686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t>и) Глава 16;</w:t>
      </w:r>
    </w:p>
    <w:p w14:paraId="1F1C8EB2" w14:textId="77777777" w:rsidR="00271FA2" w:rsidRPr="00F06DE2" w:rsidRDefault="00D35E51" w:rsidP="00DF6869">
      <w:pPr>
        <w:pStyle w:val="ESlet"/>
        <w:spacing w:before="0"/>
        <w:ind w:left="567"/>
        <w:rPr>
          <w:rFonts w:ascii="Times New Roman" w:hAnsi="Times New Roman" w:cs="Times New Roman"/>
          <w:lang w:val="ru-RU"/>
        </w:rPr>
      </w:pPr>
      <w:r w:rsidRPr="00F06DE2">
        <w:rPr>
          <w:rFonts w:ascii="Times New Roman" w:hAnsi="Times New Roman" w:cs="Times New Roman"/>
          <w:lang w:val="ru-RU"/>
        </w:rPr>
        <w:t>й) Глава 17;</w:t>
      </w:r>
    </w:p>
    <w:p w14:paraId="259B0BDF" w14:textId="77777777" w:rsidR="00271FA2" w:rsidRPr="00F06DE2" w:rsidRDefault="00D35E51" w:rsidP="00DF6869">
      <w:pPr>
        <w:pStyle w:val="ESlet"/>
        <w:spacing w:before="0"/>
        <w:ind w:left="567"/>
        <w:rPr>
          <w:rFonts w:ascii="Times New Roman" w:hAnsi="Times New Roman" w:cs="Times New Roman"/>
          <w:lang w:val="ru-RU"/>
        </w:rPr>
      </w:pPr>
      <w:r w:rsidRPr="00F06DE2">
        <w:rPr>
          <w:rFonts w:ascii="Times New Roman" w:hAnsi="Times New Roman" w:cs="Times New Roman"/>
          <w:lang w:val="ru-RU"/>
        </w:rPr>
        <w:t>к) от Глава 21:</w:t>
      </w:r>
    </w:p>
    <w:p w14:paraId="48232F3F" w14:textId="77777777" w:rsidR="00271FA2" w:rsidRPr="00F06DE2" w:rsidRDefault="00D35E51" w:rsidP="00DF6869">
      <w:pPr>
        <w:pStyle w:val="ESlet"/>
        <w:spacing w:before="0"/>
        <w:ind w:left="567"/>
        <w:rPr>
          <w:rFonts w:ascii="Times New Roman" w:hAnsi="Times New Roman" w:cs="Times New Roman"/>
          <w:lang w:val="ru-RU"/>
        </w:rPr>
      </w:pPr>
      <w:r w:rsidRPr="00F06DE2">
        <w:rPr>
          <w:rFonts w:ascii="Times New Roman" w:hAnsi="Times New Roman" w:cs="Times New Roman"/>
          <w:lang w:val="ru-RU"/>
        </w:rPr>
        <w:t>Член 21.02, точка 3, член 21.04 и член 21.07.</w:t>
      </w:r>
    </w:p>
    <w:p w14:paraId="08D8576F" w14:textId="3DA59DE6" w:rsidR="00271FA2" w:rsidRPr="00F06DE2" w:rsidRDefault="00DF6869" w:rsidP="00DF6869">
      <w:pPr>
        <w:pStyle w:val="ESlet"/>
        <w:spacing w:before="0"/>
        <w:ind w:left="567"/>
        <w:jc w:val="both"/>
        <w:rPr>
          <w:rFonts w:ascii="Times New Roman" w:eastAsia="Calibri" w:hAnsi="Times New Roman" w:cs="Times New Roman"/>
          <w:lang w:val="ru-RU"/>
        </w:rPr>
      </w:pPr>
      <w:r w:rsidRPr="00F06DE2">
        <w:rPr>
          <w:rFonts w:ascii="Times New Roman" w:hAnsi="Times New Roman" w:cs="Times New Roman"/>
          <w:lang w:val="ru-RU"/>
        </w:rPr>
        <w:lastRenderedPageBreak/>
        <w:t xml:space="preserve">2. </w:t>
      </w:r>
      <w:r w:rsidR="00D35E51" w:rsidRPr="00F06DE2">
        <w:rPr>
          <w:rFonts w:ascii="Times New Roman" w:hAnsi="Times New Roman" w:cs="Times New Roman"/>
          <w:lang w:val="ru-RU"/>
        </w:rPr>
        <w:t>Относно плавателните средства за отдих, които са предмет на Директива 2013/53/ЕС</w:t>
      </w:r>
      <w:r w:rsidR="00D35E51" w:rsidRPr="00F06DE2">
        <w:rPr>
          <w:rStyle w:val="FootnoteReference"/>
          <w:rFonts w:ascii="Times New Roman" w:hAnsi="Times New Roman" w:cs="Times New Roman"/>
        </w:rPr>
        <w:footnoteReference w:id="22"/>
      </w:r>
      <w:r w:rsidR="00D35E51" w:rsidRPr="00F06DE2">
        <w:rPr>
          <w:rFonts w:ascii="Times New Roman" w:hAnsi="Times New Roman" w:cs="Times New Roman"/>
          <w:lang w:val="ru-RU"/>
        </w:rPr>
        <w:t>, (или по-рано Директива 94/25/ЕО), се прилагат само следните изисквания:</w:t>
      </w:r>
    </w:p>
    <w:p w14:paraId="6E9F051A" w14:textId="77777777" w:rsidR="00271FA2" w:rsidRPr="00F06DE2" w:rsidRDefault="00D35E51" w:rsidP="00DF6869">
      <w:pPr>
        <w:pStyle w:val="ESlet"/>
        <w:numPr>
          <w:ilvl w:val="255"/>
          <w:numId w:val="0"/>
        </w:numPr>
        <w:spacing w:before="0"/>
        <w:ind w:leftChars="236" w:left="519" w:firstLine="1"/>
        <w:jc w:val="both"/>
        <w:rPr>
          <w:rFonts w:ascii="Times New Roman" w:hAnsi="Times New Roman" w:cs="Times New Roman"/>
          <w:lang w:val="ru-RU"/>
        </w:rPr>
      </w:pPr>
      <w:r w:rsidRPr="00F06DE2">
        <w:rPr>
          <w:rFonts w:ascii="Times New Roman" w:hAnsi="Times New Roman" w:cs="Times New Roman"/>
          <w:lang w:val="ru-RU"/>
        </w:rPr>
        <w:t xml:space="preserve">а) член 6.08, </w:t>
      </w:r>
    </w:p>
    <w:p w14:paraId="6593B718" w14:textId="77777777" w:rsidR="00271FA2" w:rsidRPr="00F06DE2" w:rsidRDefault="00D35E51" w:rsidP="00DF6869">
      <w:pPr>
        <w:pStyle w:val="ESlet"/>
        <w:spacing w:before="0"/>
        <w:ind w:leftChars="236" w:left="519" w:firstLine="1"/>
        <w:jc w:val="both"/>
        <w:rPr>
          <w:rFonts w:ascii="Times New Roman" w:hAnsi="Times New Roman" w:cs="Times New Roman"/>
          <w:lang w:val="ru-RU"/>
        </w:rPr>
      </w:pPr>
      <w:r w:rsidRPr="00F06DE2">
        <w:rPr>
          <w:rFonts w:ascii="Times New Roman" w:hAnsi="Times New Roman" w:cs="Times New Roman"/>
          <w:lang w:val="ru-RU"/>
        </w:rPr>
        <w:t>б) от Глава 7:</w:t>
      </w:r>
      <w:r w:rsidRPr="00F06DE2">
        <w:rPr>
          <w:rFonts w:ascii="Times New Roman" w:hAnsi="Times New Roman" w:cs="Times New Roman"/>
          <w:lang w:val="ru-RU"/>
        </w:rPr>
        <w:tab/>
      </w:r>
    </w:p>
    <w:p w14:paraId="6EE40F46" w14:textId="77777777" w:rsidR="00271FA2" w:rsidRPr="00F06DE2" w:rsidRDefault="00D35E51" w:rsidP="00DF6869">
      <w:pPr>
        <w:pStyle w:val="ESlet"/>
        <w:spacing w:before="0"/>
        <w:ind w:leftChars="236" w:left="519" w:firstLine="1"/>
        <w:jc w:val="both"/>
        <w:rPr>
          <w:rFonts w:ascii="Times New Roman" w:hAnsi="Times New Roman" w:cs="Times New Roman"/>
          <w:lang w:val="ru-RU"/>
        </w:rPr>
      </w:pPr>
      <w:r w:rsidRPr="00F06DE2">
        <w:rPr>
          <w:rFonts w:ascii="Times New Roman" w:hAnsi="Times New Roman" w:cs="Times New Roman"/>
          <w:lang w:val="ru-RU"/>
        </w:rPr>
        <w:t xml:space="preserve">Член 7.01, точка 2, член 7.02, член 7.03, точка 1 </w:t>
      </w:r>
    </w:p>
    <w:p w14:paraId="3E2ADE6D" w14:textId="77777777" w:rsidR="00271FA2" w:rsidRPr="00F06DE2" w:rsidRDefault="00D35E51" w:rsidP="00DF6869">
      <w:pPr>
        <w:pStyle w:val="ESlet"/>
        <w:spacing w:before="0"/>
        <w:ind w:leftChars="236" w:left="519" w:firstLine="1"/>
        <w:jc w:val="both"/>
        <w:rPr>
          <w:rFonts w:ascii="Times New Roman" w:hAnsi="Times New Roman" w:cs="Times New Roman"/>
          <w:lang w:val="ru-RU"/>
        </w:rPr>
      </w:pPr>
      <w:r w:rsidRPr="00F06DE2">
        <w:rPr>
          <w:rFonts w:ascii="Times New Roman" w:hAnsi="Times New Roman" w:cs="Times New Roman"/>
          <w:lang w:val="ru-RU"/>
        </w:rPr>
        <w:t xml:space="preserve">Член 7.06, точка 3 в случай на плавателни средства за отдих, за които е приложим навигационен регламент на органите за определени области на навигация в държавите членки се уточнява, че последните трябва да бъдат оборудвани с оборудване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и</w:t>
      </w:r>
    </w:p>
    <w:p w14:paraId="0DA3C7F4" w14:textId="77777777" w:rsidR="00271FA2" w:rsidRPr="00F06DE2" w:rsidRDefault="00D35E51" w:rsidP="00DF6869">
      <w:pPr>
        <w:pStyle w:val="ESlet"/>
        <w:spacing w:before="0"/>
        <w:ind w:leftChars="236" w:left="519" w:firstLine="1"/>
        <w:jc w:val="both"/>
        <w:rPr>
          <w:rFonts w:ascii="Times New Roman" w:hAnsi="Times New Roman" w:cs="Times New Roman"/>
          <w:lang w:val="ru-RU"/>
        </w:rPr>
      </w:pPr>
      <w:r w:rsidRPr="00F06DE2">
        <w:rPr>
          <w:rFonts w:ascii="Times New Roman" w:hAnsi="Times New Roman" w:cs="Times New Roman"/>
          <w:lang w:val="ru-RU"/>
        </w:rPr>
        <w:t xml:space="preserve">Член 7.13, </w:t>
      </w:r>
    </w:p>
    <w:p w14:paraId="5F3A92A3" w14:textId="77777777" w:rsidR="00271FA2" w:rsidRPr="00F06DE2" w:rsidRDefault="00D35E51" w:rsidP="00DF6869">
      <w:pPr>
        <w:pStyle w:val="ESlet"/>
        <w:spacing w:before="0"/>
        <w:ind w:leftChars="236" w:left="519" w:firstLine="1"/>
        <w:jc w:val="both"/>
        <w:rPr>
          <w:rFonts w:ascii="Times New Roman" w:hAnsi="Times New Roman" w:cs="Times New Roman"/>
          <w:lang w:val="ru-RU"/>
        </w:rPr>
      </w:pPr>
      <w:r w:rsidRPr="00F06DE2">
        <w:rPr>
          <w:rFonts w:ascii="Times New Roman" w:hAnsi="Times New Roman" w:cs="Times New Roman"/>
          <w:lang w:val="ru-RU"/>
        </w:rPr>
        <w:t>в) от Глава 8:</w:t>
      </w:r>
      <w:r w:rsidRPr="00F06DE2">
        <w:rPr>
          <w:rFonts w:ascii="Times New Roman" w:hAnsi="Times New Roman" w:cs="Times New Roman"/>
          <w:lang w:val="ru-RU"/>
        </w:rPr>
        <w:tab/>
      </w:r>
    </w:p>
    <w:p w14:paraId="65185D7D" w14:textId="1C46CE1A" w:rsidR="00680B78" w:rsidRPr="00F06DE2" w:rsidRDefault="00680B78" w:rsidP="00DF6869">
      <w:pPr>
        <w:ind w:leftChars="236" w:left="519" w:firstLine="1"/>
        <w:rPr>
          <w:rFonts w:ascii="Times New Roman" w:hAnsi="Times New Roman" w:cs="Times New Roman"/>
          <w:lang w:val="ru-RU"/>
        </w:rPr>
      </w:pPr>
      <w:r w:rsidRPr="00F06DE2">
        <w:rPr>
          <w:rFonts w:ascii="Times New Roman" w:hAnsi="Times New Roman" w:cs="Times New Roman"/>
          <w:lang w:val="ru-RU"/>
        </w:rPr>
        <w:t>член 8.01</w:t>
      </w:r>
      <w:r w:rsidR="00A76BEE"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001B5FC4" w:rsidRPr="00F06DE2" w:rsidDel="001B5FC4">
        <w:rPr>
          <w:rFonts w:ascii="Times New Roman" w:hAnsi="Times New Roman" w:cs="Times New Roman"/>
          <w:lang w:val="ru-RU"/>
        </w:rPr>
        <w:t xml:space="preserve"> </w:t>
      </w:r>
      <w:r w:rsidRPr="00F06DE2">
        <w:rPr>
          <w:rFonts w:ascii="Times New Roman" w:hAnsi="Times New Roman" w:cs="Times New Roman"/>
          <w:lang w:val="ru-RU"/>
        </w:rPr>
        <w:t>2, член 8.02</w:t>
      </w:r>
      <w:r w:rsidR="00A76BEE"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1, член 8.03</w:t>
      </w:r>
      <w:r w:rsidR="00A76BEE"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00A76BEE" w:rsidRPr="00F06DE2" w:rsidDel="00A76BEE">
        <w:rPr>
          <w:rFonts w:ascii="Times New Roman" w:hAnsi="Times New Roman" w:cs="Times New Roman"/>
          <w:lang w:val="ru-RU"/>
        </w:rPr>
        <w:t xml:space="preserve"> </w:t>
      </w:r>
      <w:r w:rsidRPr="00F06DE2">
        <w:rPr>
          <w:rFonts w:ascii="Times New Roman" w:hAnsi="Times New Roman" w:cs="Times New Roman"/>
          <w:lang w:val="ru-RU"/>
        </w:rPr>
        <w:t xml:space="preserve">2, член 8.05, </w:t>
      </w:r>
      <w:r w:rsidR="0097711D" w:rsidRPr="00F06DE2">
        <w:rPr>
          <w:rFonts w:ascii="Times New Roman" w:hAnsi="Times New Roman" w:cs="Times New Roman"/>
          <w:lang w:val="ru-RU"/>
        </w:rPr>
        <w:t>т.</w:t>
      </w:r>
      <w:r w:rsidRPr="00F06DE2">
        <w:rPr>
          <w:rFonts w:ascii="Times New Roman" w:hAnsi="Times New Roman" w:cs="Times New Roman"/>
          <w:lang w:val="ru-RU"/>
        </w:rPr>
        <w:t>5 и член 8.08</w:t>
      </w:r>
      <w:r w:rsidR="00A76BEE"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2;</w:t>
      </w:r>
    </w:p>
    <w:p w14:paraId="6ADE30B7" w14:textId="77777777" w:rsidR="00680B78" w:rsidRPr="00F06DE2" w:rsidRDefault="00680B78" w:rsidP="00DF6869">
      <w:pPr>
        <w:ind w:leftChars="236" w:left="519" w:firstLine="1"/>
        <w:rPr>
          <w:rFonts w:ascii="Times New Roman" w:hAnsi="Times New Roman" w:cs="Times New Roman"/>
          <w:lang w:val="ru-RU"/>
        </w:rPr>
      </w:pPr>
      <w:r w:rsidRPr="00F06DE2">
        <w:rPr>
          <w:rFonts w:ascii="Times New Roman" w:hAnsi="Times New Roman" w:cs="Times New Roman"/>
          <w:lang w:val="ru-RU"/>
        </w:rPr>
        <w:t>г) от глава 13:</w:t>
      </w:r>
    </w:p>
    <w:p w14:paraId="68FFC29B" w14:textId="2EF60ECD" w:rsidR="00680B78" w:rsidRPr="00F06DE2" w:rsidRDefault="00680B78" w:rsidP="00DF6869">
      <w:pPr>
        <w:ind w:leftChars="236" w:left="519" w:firstLine="1"/>
        <w:rPr>
          <w:rFonts w:ascii="Times New Roman" w:hAnsi="Times New Roman" w:cs="Times New Roman"/>
          <w:lang w:val="ru-RU"/>
        </w:rPr>
      </w:pPr>
      <w:r w:rsidRPr="00F06DE2">
        <w:rPr>
          <w:rFonts w:ascii="Times New Roman" w:hAnsi="Times New Roman" w:cs="Times New Roman"/>
          <w:lang w:val="ru-RU"/>
        </w:rPr>
        <w:t>Член 13.01</w:t>
      </w:r>
      <w:r w:rsidR="00A76BEE"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2, </w:t>
      </w:r>
      <w:r w:rsidR="00A76BEE" w:rsidRPr="00F06DE2">
        <w:rPr>
          <w:rFonts w:ascii="Times New Roman" w:hAnsi="Times New Roman" w:cs="Times New Roman"/>
          <w:lang w:val="ru-RU"/>
        </w:rPr>
        <w:t>т.</w:t>
      </w:r>
      <w:r w:rsidRPr="00F06DE2">
        <w:rPr>
          <w:rFonts w:ascii="Times New Roman" w:hAnsi="Times New Roman" w:cs="Times New Roman"/>
          <w:lang w:val="ru-RU"/>
        </w:rPr>
        <w:t>3</w:t>
      </w:r>
      <w:r w:rsidR="00A76BEE" w:rsidRPr="00F06DE2">
        <w:rPr>
          <w:rFonts w:ascii="Times New Roman" w:hAnsi="Times New Roman" w:cs="Times New Roman"/>
          <w:lang w:val="ru-RU"/>
        </w:rPr>
        <w:t xml:space="preserve"> </w:t>
      </w:r>
      <w:r w:rsidRPr="00F06DE2">
        <w:rPr>
          <w:rFonts w:ascii="Times New Roman" w:hAnsi="Times New Roman" w:cs="Times New Roman"/>
          <w:lang w:val="ru-RU"/>
        </w:rPr>
        <w:t xml:space="preserve">, </w:t>
      </w:r>
      <w:r w:rsidR="00A76BEE" w:rsidRPr="00F06DE2">
        <w:rPr>
          <w:rFonts w:ascii="Times New Roman" w:hAnsi="Times New Roman" w:cs="Times New Roman"/>
          <w:lang w:val="ru-RU"/>
        </w:rPr>
        <w:t>т.</w:t>
      </w:r>
      <w:r w:rsidRPr="00F06DE2">
        <w:rPr>
          <w:rFonts w:ascii="Times New Roman" w:hAnsi="Times New Roman" w:cs="Times New Roman"/>
          <w:lang w:val="ru-RU"/>
        </w:rPr>
        <w:t>6</w:t>
      </w:r>
      <w:r w:rsidR="00A76BEE" w:rsidRPr="00F06DE2">
        <w:rPr>
          <w:rFonts w:ascii="Times New Roman" w:hAnsi="Times New Roman" w:cs="Times New Roman"/>
          <w:lang w:val="ru-RU"/>
        </w:rPr>
        <w:t xml:space="preserve"> </w:t>
      </w:r>
      <w:r w:rsidRPr="00F06DE2">
        <w:rPr>
          <w:rFonts w:ascii="Times New Roman" w:hAnsi="Times New Roman" w:cs="Times New Roman"/>
          <w:lang w:val="ru-RU"/>
        </w:rPr>
        <w:t xml:space="preserve">и </w:t>
      </w:r>
      <w:r w:rsidR="00A76BEE" w:rsidRPr="00F06DE2">
        <w:rPr>
          <w:rFonts w:ascii="Times New Roman" w:hAnsi="Times New Roman" w:cs="Times New Roman"/>
          <w:lang w:val="ru-RU"/>
        </w:rPr>
        <w:t>т.</w:t>
      </w:r>
      <w:r w:rsidRPr="00F06DE2">
        <w:rPr>
          <w:rFonts w:ascii="Times New Roman" w:hAnsi="Times New Roman" w:cs="Times New Roman"/>
          <w:lang w:val="ru-RU"/>
        </w:rPr>
        <w:t>14, член 13.02</w:t>
      </w:r>
      <w:r w:rsidR="00A76BEE"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1, букви </w:t>
      </w:r>
      <w:r w:rsidR="00A76BEE" w:rsidRPr="00F06DE2">
        <w:rPr>
          <w:rFonts w:ascii="Times New Roman" w:hAnsi="Times New Roman" w:cs="Times New Roman"/>
          <w:lang w:val="ru-RU"/>
        </w:rPr>
        <w:t>“</w:t>
      </w:r>
      <w:r w:rsidRPr="00F06DE2">
        <w:rPr>
          <w:rFonts w:ascii="Times New Roman" w:hAnsi="Times New Roman" w:cs="Times New Roman"/>
          <w:lang w:val="ru-RU"/>
        </w:rPr>
        <w:t>б</w:t>
      </w:r>
      <w:r w:rsidR="00A76BEE" w:rsidRPr="00F06DE2">
        <w:rPr>
          <w:rFonts w:ascii="Times New Roman" w:hAnsi="Times New Roman" w:cs="Times New Roman"/>
          <w:lang w:val="ru-RU"/>
        </w:rPr>
        <w:t>“</w:t>
      </w:r>
      <w:r w:rsidRPr="00F06DE2">
        <w:rPr>
          <w:rFonts w:ascii="Times New Roman" w:hAnsi="Times New Roman" w:cs="Times New Roman"/>
          <w:lang w:val="ru-RU"/>
        </w:rPr>
        <w:t xml:space="preserve"> и </w:t>
      </w:r>
      <w:r w:rsidR="00A76BEE" w:rsidRPr="00F06DE2">
        <w:rPr>
          <w:rFonts w:ascii="Times New Roman" w:hAnsi="Times New Roman" w:cs="Times New Roman"/>
          <w:lang w:val="ru-RU"/>
        </w:rPr>
        <w:t>“</w:t>
      </w:r>
      <w:r w:rsidRPr="00F06DE2">
        <w:rPr>
          <w:rFonts w:ascii="Times New Roman" w:hAnsi="Times New Roman" w:cs="Times New Roman"/>
          <w:lang w:val="ru-RU"/>
        </w:rPr>
        <w:t>в</w:t>
      </w:r>
      <w:r w:rsidR="00A76BEE" w:rsidRPr="00F06DE2">
        <w:rPr>
          <w:rFonts w:ascii="Times New Roman" w:hAnsi="Times New Roman" w:cs="Times New Roman"/>
          <w:lang w:val="ru-RU"/>
        </w:rPr>
        <w:t>“</w:t>
      </w:r>
      <w:r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Pr="00F06DE2">
        <w:rPr>
          <w:rFonts w:ascii="Times New Roman" w:hAnsi="Times New Roman" w:cs="Times New Roman"/>
          <w:lang w:val="ru-RU"/>
        </w:rPr>
        <w:t>3, букв</w:t>
      </w:r>
      <w:r w:rsidR="00A76BEE" w:rsidRPr="00F06DE2">
        <w:rPr>
          <w:rFonts w:ascii="Times New Roman" w:hAnsi="Times New Roman" w:cs="Times New Roman"/>
          <w:lang w:val="ru-RU"/>
        </w:rPr>
        <w:t>а“</w:t>
      </w:r>
      <w:r w:rsidRPr="00F06DE2">
        <w:rPr>
          <w:rFonts w:ascii="Times New Roman" w:hAnsi="Times New Roman" w:cs="Times New Roman"/>
          <w:lang w:val="ru-RU"/>
        </w:rPr>
        <w:t>а</w:t>
      </w:r>
      <w:r w:rsidR="00A76BEE" w:rsidRPr="00F06DE2">
        <w:rPr>
          <w:rFonts w:ascii="Times New Roman" w:hAnsi="Times New Roman" w:cs="Times New Roman"/>
          <w:lang w:val="ru-RU"/>
        </w:rPr>
        <w:t>“</w:t>
      </w:r>
      <w:r w:rsidRPr="00F06DE2">
        <w:rPr>
          <w:rFonts w:ascii="Times New Roman" w:hAnsi="Times New Roman" w:cs="Times New Roman"/>
          <w:lang w:val="ru-RU"/>
        </w:rPr>
        <w:t xml:space="preserve"> и букви от </w:t>
      </w:r>
      <w:r w:rsidR="00A76BEE" w:rsidRPr="00F06DE2">
        <w:rPr>
          <w:rFonts w:ascii="Times New Roman" w:hAnsi="Times New Roman" w:cs="Times New Roman"/>
          <w:lang w:val="ru-RU"/>
        </w:rPr>
        <w:t>“</w:t>
      </w:r>
      <w:r w:rsidRPr="00F06DE2">
        <w:rPr>
          <w:rFonts w:ascii="Times New Roman" w:hAnsi="Times New Roman" w:cs="Times New Roman"/>
          <w:lang w:val="ru-RU"/>
        </w:rPr>
        <w:t>д</w:t>
      </w:r>
      <w:r w:rsidR="00A76BEE" w:rsidRPr="00F06DE2">
        <w:rPr>
          <w:rFonts w:ascii="Times New Roman" w:hAnsi="Times New Roman" w:cs="Times New Roman"/>
          <w:lang w:val="ru-RU"/>
        </w:rPr>
        <w:t xml:space="preserve">“ </w:t>
      </w:r>
      <w:r w:rsidRPr="00F06DE2">
        <w:rPr>
          <w:rFonts w:ascii="Times New Roman" w:hAnsi="Times New Roman" w:cs="Times New Roman"/>
          <w:lang w:val="ru-RU"/>
        </w:rPr>
        <w:t xml:space="preserve">до </w:t>
      </w:r>
      <w:r w:rsidR="00A76BEE" w:rsidRPr="00F06DE2">
        <w:rPr>
          <w:rFonts w:ascii="Times New Roman" w:hAnsi="Times New Roman" w:cs="Times New Roman"/>
          <w:lang w:val="ru-RU"/>
        </w:rPr>
        <w:t>“</w:t>
      </w:r>
      <w:r w:rsidRPr="00F06DE2">
        <w:rPr>
          <w:rFonts w:ascii="Times New Roman" w:hAnsi="Times New Roman" w:cs="Times New Roman"/>
          <w:lang w:val="ru-RU"/>
        </w:rPr>
        <w:t>з</w:t>
      </w:r>
      <w:r w:rsidR="00A76BEE" w:rsidRPr="00F06DE2">
        <w:rPr>
          <w:rFonts w:ascii="Times New Roman" w:hAnsi="Times New Roman" w:cs="Times New Roman"/>
          <w:lang w:val="ru-RU"/>
        </w:rPr>
        <w:t>“</w:t>
      </w:r>
      <w:r w:rsidRPr="00F06DE2">
        <w:rPr>
          <w:rFonts w:ascii="Times New Roman" w:hAnsi="Times New Roman" w:cs="Times New Roman"/>
          <w:lang w:val="ru-RU"/>
        </w:rPr>
        <w:t>, член 13.03</w:t>
      </w:r>
      <w:r w:rsidR="00A76BEE" w:rsidRPr="00F06DE2">
        <w:rPr>
          <w:rFonts w:ascii="Times New Roman" w:hAnsi="Times New Roman" w:cs="Times New Roman"/>
          <w:lang w:val="ru-RU"/>
        </w:rPr>
        <w:t xml:space="preserve">,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1, букви </w:t>
      </w:r>
      <w:r w:rsidR="00A76BEE" w:rsidRPr="00F06DE2">
        <w:rPr>
          <w:rFonts w:ascii="Times New Roman" w:hAnsi="Times New Roman" w:cs="Times New Roman"/>
          <w:lang w:val="ru-RU"/>
        </w:rPr>
        <w:t>“</w:t>
      </w:r>
      <w:r w:rsidRPr="00F06DE2">
        <w:rPr>
          <w:rFonts w:ascii="Times New Roman" w:hAnsi="Times New Roman" w:cs="Times New Roman"/>
          <w:lang w:val="ru-RU"/>
        </w:rPr>
        <w:t>б</w:t>
      </w:r>
      <w:r w:rsidR="00A76BEE" w:rsidRPr="00F06DE2">
        <w:rPr>
          <w:rFonts w:ascii="Times New Roman" w:hAnsi="Times New Roman" w:cs="Times New Roman"/>
          <w:lang w:val="ru-RU"/>
        </w:rPr>
        <w:t>“</w:t>
      </w:r>
      <w:r w:rsidRPr="00F06DE2">
        <w:rPr>
          <w:rFonts w:ascii="Times New Roman" w:hAnsi="Times New Roman" w:cs="Times New Roman"/>
          <w:lang w:val="ru-RU"/>
        </w:rPr>
        <w:t xml:space="preserve"> и </w:t>
      </w:r>
      <w:r w:rsidR="00A76BEE" w:rsidRPr="00F06DE2">
        <w:rPr>
          <w:rFonts w:ascii="Times New Roman" w:hAnsi="Times New Roman" w:cs="Times New Roman"/>
          <w:lang w:val="ru-RU"/>
        </w:rPr>
        <w:t>“</w:t>
      </w:r>
      <w:r w:rsidRPr="00F06DE2">
        <w:rPr>
          <w:rFonts w:ascii="Times New Roman" w:hAnsi="Times New Roman" w:cs="Times New Roman"/>
          <w:lang w:val="ru-RU"/>
        </w:rPr>
        <w:t>г</w:t>
      </w:r>
      <w:r w:rsidR="00A76BEE" w:rsidRPr="00F06DE2">
        <w:rPr>
          <w:rFonts w:ascii="Times New Roman" w:hAnsi="Times New Roman" w:cs="Times New Roman"/>
          <w:lang w:val="ru-RU"/>
        </w:rPr>
        <w:t>“</w:t>
      </w:r>
      <w:r w:rsidRPr="00F06DE2">
        <w:rPr>
          <w:rFonts w:ascii="Times New Roman" w:hAnsi="Times New Roman" w:cs="Times New Roman"/>
          <w:lang w:val="ru-RU"/>
        </w:rPr>
        <w:t>,</w:t>
      </w:r>
    </w:p>
    <w:p w14:paraId="36D9A454" w14:textId="17575886" w:rsidR="00680B78" w:rsidRPr="00F06DE2" w:rsidRDefault="00680B78" w:rsidP="00DF6869">
      <w:pPr>
        <w:ind w:leftChars="236" w:left="519" w:firstLine="1"/>
        <w:rPr>
          <w:rFonts w:ascii="Times New Roman" w:hAnsi="Times New Roman" w:cs="Times New Roman"/>
          <w:lang w:val="ru-RU"/>
        </w:rPr>
      </w:pPr>
      <w:r w:rsidRPr="00F06DE2">
        <w:rPr>
          <w:rFonts w:ascii="Times New Roman" w:hAnsi="Times New Roman" w:cs="Times New Roman"/>
          <w:lang w:val="ru-RU"/>
        </w:rPr>
        <w:t>Член 13.03</w:t>
      </w:r>
      <w:r w:rsidR="00A76BEE" w:rsidRPr="00F06DE2">
        <w:rPr>
          <w:rFonts w:ascii="Times New Roman" w:hAnsi="Times New Roman" w:cs="Times New Roman"/>
          <w:lang w:val="ru-RU"/>
        </w:rPr>
        <w:t xml:space="preserve">, точки </w:t>
      </w:r>
      <w:r w:rsidRPr="00F06DE2">
        <w:rPr>
          <w:rFonts w:ascii="Times New Roman" w:hAnsi="Times New Roman" w:cs="Times New Roman"/>
          <w:lang w:val="ru-RU"/>
        </w:rPr>
        <w:t>2 до</w:t>
      </w:r>
      <w:r w:rsidR="00A76BEE" w:rsidRPr="00F06DE2">
        <w:rPr>
          <w:rFonts w:ascii="Times New Roman" w:hAnsi="Times New Roman" w:cs="Times New Roman"/>
          <w:lang w:val="ru-RU"/>
        </w:rPr>
        <w:t xml:space="preserve"> </w:t>
      </w:r>
      <w:r w:rsidRPr="00F06DE2">
        <w:rPr>
          <w:rFonts w:ascii="Times New Roman" w:hAnsi="Times New Roman" w:cs="Times New Roman"/>
          <w:lang w:val="ru-RU"/>
        </w:rPr>
        <w:t>6</w:t>
      </w:r>
      <w:r w:rsidR="00A76BEE" w:rsidRPr="00F06DE2">
        <w:rPr>
          <w:rFonts w:ascii="Times New Roman" w:hAnsi="Times New Roman" w:cs="Times New Roman"/>
          <w:lang w:val="ru-RU"/>
        </w:rPr>
        <w:t xml:space="preserve"> </w:t>
      </w:r>
      <w:r w:rsidRPr="00F06DE2">
        <w:rPr>
          <w:rFonts w:ascii="Times New Roman" w:hAnsi="Times New Roman" w:cs="Times New Roman"/>
          <w:lang w:val="ru-RU"/>
        </w:rPr>
        <w:t xml:space="preserve">като алтернатива на техническите изисквания на стандарт </w:t>
      </w:r>
      <w:r w:rsidRPr="00F06DE2">
        <w:rPr>
          <w:rFonts w:ascii="Times New Roman" w:hAnsi="Times New Roman" w:cs="Times New Roman"/>
        </w:rPr>
        <w:t>ISO</w:t>
      </w:r>
      <w:r w:rsidRPr="00F06DE2">
        <w:rPr>
          <w:rFonts w:ascii="Times New Roman" w:hAnsi="Times New Roman" w:cs="Times New Roman"/>
          <w:lang w:val="ru-RU"/>
        </w:rPr>
        <w:t xml:space="preserve"> 9094: 2022, и</w:t>
      </w:r>
    </w:p>
    <w:p w14:paraId="5681F332" w14:textId="77777777" w:rsidR="00680B78" w:rsidRPr="00F06DE2" w:rsidRDefault="00680B78" w:rsidP="00DF6869">
      <w:pPr>
        <w:ind w:leftChars="236" w:left="519" w:firstLine="1"/>
        <w:rPr>
          <w:rFonts w:ascii="Times New Roman" w:hAnsi="Times New Roman" w:cs="Times New Roman"/>
          <w:lang w:val="ru-RU"/>
        </w:rPr>
      </w:pPr>
      <w:r w:rsidRPr="00F06DE2">
        <w:rPr>
          <w:rFonts w:ascii="Times New Roman" w:hAnsi="Times New Roman" w:cs="Times New Roman"/>
          <w:lang w:val="ru-RU"/>
        </w:rPr>
        <w:t>Член 13.08 обаче</w:t>
      </w:r>
    </w:p>
    <w:p w14:paraId="525BA658" w14:textId="470194BC" w:rsidR="00680B78" w:rsidRPr="00F06DE2" w:rsidRDefault="00680B78" w:rsidP="00DF6869">
      <w:pPr>
        <w:ind w:leftChars="236" w:left="519" w:firstLine="1"/>
        <w:rPr>
          <w:rFonts w:ascii="Times New Roman" w:hAnsi="Times New Roman" w:cs="Times New Roman"/>
          <w:lang w:val="ru-RU"/>
        </w:rPr>
      </w:pPr>
      <w:r w:rsidRPr="00F06DE2">
        <w:rPr>
          <w:rFonts w:ascii="Times New Roman" w:hAnsi="Times New Roman" w:cs="Times New Roman"/>
          <w:lang w:val="ru-RU"/>
        </w:rPr>
        <w:t xml:space="preserve">аа) ненадуваеми спасителни жилетки са </w:t>
      </w:r>
      <w:r w:rsidR="00211D73" w:rsidRPr="00F06DE2">
        <w:rPr>
          <w:rFonts w:ascii="Times New Roman" w:hAnsi="Times New Roman" w:cs="Times New Roman"/>
          <w:lang w:val="ru-RU"/>
        </w:rPr>
        <w:t xml:space="preserve">също </w:t>
      </w:r>
      <w:r w:rsidRPr="00F06DE2">
        <w:rPr>
          <w:rFonts w:ascii="Times New Roman" w:hAnsi="Times New Roman" w:cs="Times New Roman"/>
          <w:lang w:val="ru-RU"/>
        </w:rPr>
        <w:t>допустими и за възрастни;</w:t>
      </w:r>
    </w:p>
    <w:p w14:paraId="21096E5D" w14:textId="0C7226F4" w:rsidR="00680B78" w:rsidRPr="00F06DE2" w:rsidRDefault="00680B78" w:rsidP="00DF6869">
      <w:pPr>
        <w:ind w:leftChars="236" w:left="519" w:firstLine="1"/>
        <w:rPr>
          <w:rFonts w:ascii="Times New Roman" w:hAnsi="Times New Roman" w:cs="Times New Roman"/>
          <w:lang w:val="ru-RU"/>
        </w:rPr>
      </w:pPr>
      <w:r w:rsidRPr="00F06DE2">
        <w:rPr>
          <w:rFonts w:ascii="Times New Roman" w:hAnsi="Times New Roman" w:cs="Times New Roman"/>
          <w:lang w:val="ru-RU"/>
        </w:rPr>
        <w:t xml:space="preserve">бб) изискването за три спасителни </w:t>
      </w:r>
      <w:r w:rsidR="007845E1" w:rsidRPr="00F06DE2">
        <w:rPr>
          <w:rFonts w:ascii="Times New Roman" w:hAnsi="Times New Roman" w:cs="Times New Roman"/>
          <w:lang w:val="ru-RU"/>
        </w:rPr>
        <w:t>кръга</w:t>
      </w:r>
      <w:r w:rsidR="001220BA" w:rsidRPr="00F06DE2">
        <w:rPr>
          <w:rFonts w:ascii="Times New Roman" w:hAnsi="Times New Roman" w:cs="Times New Roman"/>
          <w:lang w:val="ru-RU"/>
        </w:rPr>
        <w:t xml:space="preserve"> </w:t>
      </w:r>
      <w:r w:rsidRPr="00F06DE2">
        <w:rPr>
          <w:rFonts w:ascii="Times New Roman" w:hAnsi="Times New Roman" w:cs="Times New Roman"/>
          <w:lang w:val="ru-RU"/>
        </w:rPr>
        <w:t xml:space="preserve"> съгласно член 13.08</w:t>
      </w:r>
      <w:r w:rsidR="00A76BEE" w:rsidRPr="00F06DE2">
        <w:rPr>
          <w:rFonts w:ascii="Times New Roman" w:hAnsi="Times New Roman" w:cs="Times New Roman"/>
          <w:lang w:val="ru-RU"/>
        </w:rPr>
        <w:t>, т.</w:t>
      </w:r>
      <w:r w:rsidRPr="00F06DE2">
        <w:rPr>
          <w:rFonts w:ascii="Times New Roman" w:hAnsi="Times New Roman" w:cs="Times New Roman"/>
          <w:lang w:val="ru-RU"/>
        </w:rPr>
        <w:t>1 може да бъде намалено до два;</w:t>
      </w:r>
    </w:p>
    <w:p w14:paraId="23A1F0D2" w14:textId="38ABBD1C" w:rsidR="00271FA2" w:rsidRPr="00F06DE2" w:rsidRDefault="00680B78" w:rsidP="00DF6869">
      <w:pPr>
        <w:pStyle w:val="ESlet"/>
        <w:spacing w:before="0"/>
        <w:ind w:leftChars="236" w:left="519" w:firstLine="1"/>
        <w:jc w:val="both"/>
        <w:rPr>
          <w:rFonts w:ascii="Times New Roman" w:eastAsia="Calibri" w:hAnsi="Times New Roman" w:cs="Times New Roman"/>
          <w:lang w:val="ru-RU"/>
        </w:rPr>
      </w:pPr>
      <w:r w:rsidRPr="00F06DE2">
        <w:rPr>
          <w:rFonts w:ascii="Times New Roman" w:hAnsi="Times New Roman" w:cs="Times New Roman"/>
          <w:lang w:val="ru-RU"/>
        </w:rPr>
        <w:t>вв) разрешени са спасителни пояси във формата на подкова;</w:t>
      </w:r>
      <w:r w:rsidR="00D35E51" w:rsidRPr="00F06DE2">
        <w:rPr>
          <w:rFonts w:ascii="Times New Roman" w:hAnsi="Times New Roman" w:cs="Times New Roman"/>
          <w:lang w:val="ru-RU"/>
        </w:rPr>
        <w:t>д) Глава 16;</w:t>
      </w:r>
    </w:p>
    <w:p w14:paraId="16A06489" w14:textId="77777777" w:rsidR="00271FA2" w:rsidRPr="00F06DE2" w:rsidRDefault="00D35E51" w:rsidP="00DF6869">
      <w:pPr>
        <w:pStyle w:val="ESlet"/>
        <w:spacing w:before="0"/>
        <w:ind w:leftChars="236" w:left="519" w:firstLine="1"/>
        <w:jc w:val="both"/>
        <w:rPr>
          <w:rFonts w:ascii="Times New Roman" w:eastAsia="Calibri" w:hAnsi="Times New Roman" w:cs="Times New Roman"/>
          <w:lang w:val="ru-RU"/>
        </w:rPr>
      </w:pPr>
      <w:r w:rsidRPr="00F06DE2">
        <w:rPr>
          <w:rFonts w:ascii="Times New Roman" w:hAnsi="Times New Roman" w:cs="Times New Roman"/>
          <w:lang w:val="ru-RU"/>
        </w:rPr>
        <w:t>е) от Глава 17:</w:t>
      </w:r>
    </w:p>
    <w:p w14:paraId="223D90BF" w14:textId="6F219770" w:rsidR="00271FA2" w:rsidRPr="00F06DE2" w:rsidRDefault="00D35E51" w:rsidP="00DF6869">
      <w:pPr>
        <w:pStyle w:val="EStiret"/>
        <w:spacing w:before="0"/>
        <w:ind w:leftChars="236" w:left="519" w:firstLine="1"/>
        <w:jc w:val="both"/>
        <w:rPr>
          <w:rFonts w:ascii="Times New Roman" w:eastAsia="Calibri"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член</w:t>
      </w:r>
      <w:r w:rsidRPr="00F06DE2">
        <w:rPr>
          <w:rFonts w:ascii="Times New Roman" w:hAnsi="Times New Roman" w:cs="Times New Roman"/>
        </w:rPr>
        <w:t> </w:t>
      </w:r>
      <w:r w:rsidRPr="00F06DE2">
        <w:rPr>
          <w:rFonts w:ascii="Times New Roman" w:hAnsi="Times New Roman" w:cs="Times New Roman"/>
          <w:lang w:val="ru-RU"/>
        </w:rPr>
        <w:t>17.12;</w:t>
      </w:r>
    </w:p>
    <w:p w14:paraId="2EE6B2F9" w14:textId="77777777" w:rsidR="00271FA2" w:rsidRPr="00F06DE2" w:rsidRDefault="00D35E51" w:rsidP="00DF6869">
      <w:pPr>
        <w:pStyle w:val="EStiret"/>
        <w:spacing w:before="0"/>
        <w:ind w:leftChars="236" w:left="519" w:firstLine="1"/>
        <w:jc w:val="both"/>
        <w:rPr>
          <w:rFonts w:ascii="Times New Roman" w:eastAsia="Calibri" w:hAnsi="Times New Roman" w:cs="Times New Roman"/>
          <w:lang w:val="ru-RU"/>
        </w:rPr>
      </w:pPr>
      <w:r w:rsidRPr="00F06DE2">
        <w:rPr>
          <w:rFonts w:ascii="Times New Roman" w:hAnsi="Times New Roman" w:cs="Times New Roman"/>
          <w:lang w:val="ru-RU"/>
        </w:rPr>
        <w:t>бб) член</w:t>
      </w:r>
      <w:r w:rsidRPr="00F06DE2">
        <w:rPr>
          <w:rFonts w:ascii="Times New Roman" w:hAnsi="Times New Roman" w:cs="Times New Roman"/>
        </w:rPr>
        <w:t> </w:t>
      </w:r>
      <w:r w:rsidRPr="00F06DE2">
        <w:rPr>
          <w:rFonts w:ascii="Times New Roman" w:hAnsi="Times New Roman" w:cs="Times New Roman"/>
          <w:lang w:val="ru-RU"/>
        </w:rPr>
        <w:t>17.13; приемното изпитване след пускане на уредбата за втечнен газ се провежда съгласно изискванията на Директива 2013/53/ЕС и на контролния орган се представя удостоверение за проверката;</w:t>
      </w:r>
    </w:p>
    <w:p w14:paraId="636CCE26" w14:textId="77777777" w:rsidR="00271FA2" w:rsidRPr="00F06DE2" w:rsidRDefault="00D35E51" w:rsidP="00DF6869">
      <w:pPr>
        <w:pStyle w:val="EStiret"/>
        <w:spacing w:before="0"/>
        <w:ind w:leftChars="236" w:left="519" w:firstLine="1"/>
        <w:jc w:val="both"/>
        <w:rPr>
          <w:rFonts w:ascii="Times New Roman" w:eastAsia="Calibri" w:hAnsi="Times New Roman" w:cs="Times New Roman"/>
          <w:lang w:val="ru-RU"/>
        </w:rPr>
      </w:pPr>
      <w:r w:rsidRPr="00F06DE2">
        <w:rPr>
          <w:rFonts w:ascii="Times New Roman" w:hAnsi="Times New Roman" w:cs="Times New Roman"/>
          <w:lang w:val="ru-RU"/>
        </w:rPr>
        <w:t>вв) членове 17.14 и 17.15; уредбата за втечнен газ съответства на изискванията на Директива 2013/53/ЕС;</w:t>
      </w:r>
    </w:p>
    <w:p w14:paraId="602D83E2" w14:textId="0D92FCB4" w:rsidR="00DF6869" w:rsidRPr="00F06DE2" w:rsidRDefault="00D35E51" w:rsidP="00DF6869">
      <w:pPr>
        <w:pStyle w:val="EStiret"/>
        <w:spacing w:before="0"/>
        <w:ind w:leftChars="236" w:left="519" w:firstLine="1"/>
        <w:jc w:val="both"/>
        <w:rPr>
          <w:rFonts w:ascii="Times New Roman" w:hAnsi="Times New Roman" w:cs="Times New Roman"/>
          <w:lang w:val="ru-RU"/>
        </w:rPr>
      </w:pPr>
      <w:r w:rsidRPr="00F06DE2">
        <w:rPr>
          <w:rFonts w:ascii="Times New Roman" w:hAnsi="Times New Roman" w:cs="Times New Roman"/>
          <w:lang w:val="ru-RU"/>
        </w:rPr>
        <w:t>гг) Глава 17 изцяло, ако уредбата за втечнен газ е била поставена след пускането на пазара на плавателното средство за отдих.</w:t>
      </w:r>
    </w:p>
    <w:p w14:paraId="6CC17091" w14:textId="77777777" w:rsidR="00684A76" w:rsidRPr="00F06DE2" w:rsidRDefault="00684A76">
      <w:pPr>
        <w:rPr>
          <w:rFonts w:ascii="Times New Roman" w:hAnsi="Times New Roman" w:cs="Times New Roman"/>
          <w:lang w:val="ru-RU"/>
        </w:rPr>
        <w:sectPr w:rsidR="00684A76" w:rsidRPr="00F06DE2" w:rsidSect="00DB7663">
          <w:headerReference w:type="default" r:id="rId72"/>
          <w:headerReference w:type="first" r:id="rId73"/>
          <w:footnotePr>
            <w:numRestart w:val="eachPage"/>
          </w:footnotePr>
          <w:pgSz w:w="11906" w:h="16838" w:code="9"/>
          <w:pgMar w:top="1134" w:right="1134" w:bottom="1134" w:left="1134" w:header="709" w:footer="709" w:gutter="0"/>
          <w:cols w:space="709"/>
          <w:titlePg/>
          <w:docGrid w:linePitch="272"/>
        </w:sectPr>
      </w:pPr>
    </w:p>
    <w:p w14:paraId="4D296D83" w14:textId="77777777" w:rsidR="00271FA2" w:rsidRPr="00F06DE2" w:rsidRDefault="00D35E51" w:rsidP="00DF6869">
      <w:pPr>
        <w:pStyle w:val="ES-Titre2"/>
        <w:spacing w:after="240"/>
        <w:rPr>
          <w:rFonts w:ascii="Times New Roman" w:hAnsi="Times New Roman" w:cs="Times New Roman"/>
          <w:lang w:val="ru-RU"/>
        </w:rPr>
      </w:pPr>
      <w:bookmarkStart w:id="470" w:name="_Toc535827679"/>
      <w:bookmarkStart w:id="471" w:name="_Toc491854238"/>
      <w:r w:rsidRPr="00F06DE2">
        <w:rPr>
          <w:rFonts w:ascii="Times New Roman" w:hAnsi="Times New Roman" w:cs="Times New Roman"/>
          <w:lang w:val="ru-RU"/>
        </w:rPr>
        <w:lastRenderedPageBreak/>
        <w:t>Глава 27</w:t>
      </w:r>
      <w:r w:rsidRPr="00F06DE2">
        <w:rPr>
          <w:rFonts w:ascii="Times New Roman" w:hAnsi="Times New Roman" w:cs="Times New Roman"/>
          <w:lang w:val="ru-RU"/>
        </w:rPr>
        <w:br/>
        <w:t>Специални разпоредби, приложими за плавателни съдове, превозващи контейнери</w:t>
      </w:r>
      <w:bookmarkEnd w:id="470"/>
      <w:bookmarkEnd w:id="471"/>
    </w:p>
    <w:p w14:paraId="495B1075" w14:textId="3FC55311" w:rsidR="00271FA2" w:rsidRPr="00F06DE2" w:rsidRDefault="00D35E51">
      <w:pPr>
        <w:pStyle w:val="ES-Titre3"/>
        <w:spacing w:line="240" w:lineRule="atLeast"/>
        <w:rPr>
          <w:rFonts w:ascii="Times New Roman" w:hAnsi="Times New Roman" w:cs="Times New Roman"/>
          <w:sz w:val="24"/>
          <w:szCs w:val="24"/>
          <w:lang w:val="ru-RU"/>
        </w:rPr>
      </w:pPr>
      <w:bookmarkStart w:id="472" w:name="_Toc535827680"/>
      <w:bookmarkStart w:id="473" w:name="_Toc491854239"/>
      <w:r w:rsidRPr="00F06DE2">
        <w:rPr>
          <w:rFonts w:ascii="Times New Roman" w:hAnsi="Times New Roman" w:cs="Times New Roman"/>
          <w:sz w:val="24"/>
          <w:szCs w:val="24"/>
          <w:lang w:val="ru-RU"/>
        </w:rPr>
        <w:t>Член</w:t>
      </w:r>
      <w:r w:rsidRPr="00F06DE2">
        <w:rPr>
          <w:rFonts w:ascii="Times New Roman" w:hAnsi="Times New Roman" w:cs="Times New Roman"/>
          <w:sz w:val="24"/>
          <w:szCs w:val="24"/>
        </w:rPr>
        <w:t> </w:t>
      </w:r>
      <w:r w:rsidRPr="00F06DE2">
        <w:rPr>
          <w:rFonts w:ascii="Times New Roman" w:hAnsi="Times New Roman" w:cs="Times New Roman"/>
          <w:sz w:val="24"/>
          <w:szCs w:val="24"/>
          <w:lang w:val="ru-RU"/>
        </w:rPr>
        <w:t>27.01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472"/>
      <w:bookmarkEnd w:id="473"/>
    </w:p>
    <w:p w14:paraId="4593387D" w14:textId="77777777" w:rsidR="00271FA2" w:rsidRPr="00F06DE2" w:rsidRDefault="00D35E51" w:rsidP="00DF6869">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Разпоредбите на настоящата глава се прилагат за плавателни съдове, превозващи контейнери, за които се искат документи за устойчивостта съгласно приложимите разпоредби на навигационните служби на държавите членки.</w:t>
      </w:r>
    </w:p>
    <w:p w14:paraId="3BEAE109" w14:textId="77777777" w:rsidR="00271FA2" w:rsidRPr="00F06DE2" w:rsidRDefault="00D35E51" w:rsidP="00DF6869">
      <w:pPr>
        <w:pStyle w:val="ESchpar"/>
        <w:jc w:val="both"/>
        <w:rPr>
          <w:rFonts w:ascii="Times New Roman" w:hAnsi="Times New Roman" w:cs="Times New Roman"/>
          <w:lang w:val="ru-RU"/>
        </w:rPr>
      </w:pPr>
      <w:r w:rsidRPr="00F06DE2">
        <w:rPr>
          <w:rFonts w:ascii="Times New Roman" w:hAnsi="Times New Roman" w:cs="Times New Roman"/>
          <w:lang w:val="ru-RU"/>
        </w:rPr>
        <w:t>Документите за устойчивостта се проверяват или препращат за проверка на друго място и съответно подпечатват от контролен орган.</w:t>
      </w:r>
    </w:p>
    <w:p w14:paraId="3CC7F701" w14:textId="77777777" w:rsidR="00271FA2" w:rsidRPr="00F06DE2" w:rsidRDefault="00D35E51" w:rsidP="00DF6869">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Документите за устойчивостта осигуряват на капитана пълна информация за устойчивостта на плавателния съд за всички условия на натоварване.</w:t>
      </w:r>
    </w:p>
    <w:p w14:paraId="5E5BA7F2" w14:textId="77777777" w:rsidR="00271FA2" w:rsidRPr="00F06DE2" w:rsidRDefault="00D35E51" w:rsidP="00DF6869">
      <w:pPr>
        <w:pStyle w:val="ESchpar"/>
        <w:jc w:val="both"/>
        <w:rPr>
          <w:rFonts w:ascii="Times New Roman" w:hAnsi="Times New Roman" w:cs="Times New Roman"/>
          <w:lang w:val="ru-RU"/>
        </w:rPr>
      </w:pPr>
      <w:r w:rsidRPr="00F06DE2">
        <w:rPr>
          <w:rFonts w:ascii="Times New Roman" w:hAnsi="Times New Roman" w:cs="Times New Roman"/>
          <w:lang w:val="ru-RU"/>
        </w:rPr>
        <w:t>Документите за устойчивостта трябва да съдържат най-малко следното:</w:t>
      </w:r>
    </w:p>
    <w:p w14:paraId="7D46CCCC" w14:textId="77777777" w:rsidR="00271FA2" w:rsidRPr="00F06DE2" w:rsidRDefault="00D35E51" w:rsidP="00DF6869">
      <w:pPr>
        <w:pStyle w:val="ESlet"/>
        <w:numPr>
          <w:ilvl w:val="0"/>
          <w:numId w:val="30"/>
        </w:numP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информация за коефициентите на допустима устойчивост, за допустимите </w:t>
      </w:r>
      <m:oMath>
        <m:acc>
          <m:accPr>
            <m:chr m:val="̅"/>
            <m:ctrlPr>
              <w:rPr>
                <w:rFonts w:ascii="Cambria Math" w:hAnsi="Cambria Math" w:cs="Times New Roman"/>
                <w:i/>
              </w:rPr>
            </m:ctrlPr>
          </m:accPr>
          <m:e>
            <m:r>
              <w:rPr>
                <w:rFonts w:ascii="Cambria Math" w:hAnsi="Cambria Math" w:cs="Times New Roman"/>
              </w:rPr>
              <m:t>KG</m:t>
            </m:r>
          </m:e>
        </m:acc>
      </m:oMath>
      <w:r w:rsidRPr="00F06DE2">
        <w:rPr>
          <w:rFonts w:ascii="Times New Roman" w:hAnsi="Times New Roman" w:cs="Times New Roman"/>
          <w:lang w:val="ru-RU"/>
        </w:rPr>
        <w:t xml:space="preserve"> - стойности или допустимите височини за центъра на тежестта на товара;</w:t>
      </w:r>
    </w:p>
    <w:p w14:paraId="202B9ECE"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данни относно пространствата, които могат да се пълнят с баластна вода;</w:t>
      </w:r>
    </w:p>
    <w:p w14:paraId="4477FF81"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формуляри за проверка на устойчивостта;</w:t>
      </w:r>
    </w:p>
    <w:p w14:paraId="4A91DA52"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указания за употреба или пример за изчисление за използване от капитана.</w:t>
      </w:r>
    </w:p>
    <w:p w14:paraId="58714930" w14:textId="77777777" w:rsidR="00271FA2" w:rsidRPr="00F06DE2" w:rsidRDefault="00D35E51" w:rsidP="00DF6869">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За плавателни съдове, където е въпрос на избор дали контейнерите да се превозват закрепени или незакрепени, се прилагат различни методи на изчисление за доказване на устойчивостта при превоз на закрепени и незакрепени товари от контейнери.</w:t>
      </w:r>
    </w:p>
    <w:p w14:paraId="0D11A8A2" w14:textId="77777777" w:rsidR="00271FA2" w:rsidRPr="00F06DE2" w:rsidRDefault="00D35E51" w:rsidP="00DF6869">
      <w:pPr>
        <w:pStyle w:val="ESch"/>
        <w:spacing w:after="240"/>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Товар от контейнери се смята за закрепен само ако всеки отделен контейнер е здраво прикачен към корпуса на плавателния съд чрез направляващо устройство или закрепващо оборудване и мястото му не се променя по време на пътуването.</w:t>
      </w:r>
    </w:p>
    <w:p w14:paraId="797EFB6E"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74" w:name="_Toc491854240"/>
      <w:bookmarkStart w:id="475" w:name="_Toc535827681"/>
      <w:r w:rsidRPr="00F06DE2">
        <w:rPr>
          <w:rStyle w:val="ES-Titre3Car"/>
          <w:rFonts w:ascii="Times New Roman" w:hAnsi="Times New Roman" w:cs="Times New Roman"/>
          <w:b/>
          <w:sz w:val="24"/>
          <w:szCs w:val="24"/>
          <w:lang w:val="ru-RU"/>
        </w:rPr>
        <w:t>Член 27.02</w:t>
      </w:r>
      <w:r w:rsidRPr="00F06DE2">
        <w:rPr>
          <w:rStyle w:val="ES-Titre3Car"/>
          <w:rFonts w:ascii="Times New Roman" w:hAnsi="Times New Roman" w:cs="Times New Roman"/>
          <w:b/>
          <w:sz w:val="24"/>
          <w:szCs w:val="24"/>
          <w:lang w:val="ru-RU"/>
        </w:rPr>
        <w:br/>
      </w:r>
      <w:r w:rsidRPr="00F06DE2">
        <w:rPr>
          <w:rStyle w:val="ES-Titre3Car"/>
          <w:rFonts w:ascii="Times New Roman" w:hAnsi="Times New Roman" w:cs="Times New Roman"/>
          <w:b/>
          <w:i/>
          <w:sz w:val="24"/>
          <w:szCs w:val="24"/>
          <w:lang w:val="ru-RU"/>
        </w:rPr>
        <w:t xml:space="preserve">Ограничителни условия и метод на изчисляване на потвърждението за устойчивост </w:t>
      </w:r>
      <w:r w:rsidRPr="00F06DE2">
        <w:rPr>
          <w:rFonts w:ascii="Times New Roman" w:hAnsi="Times New Roman" w:cs="Times New Roman"/>
          <w:i/>
          <w:sz w:val="24"/>
          <w:szCs w:val="24"/>
          <w:lang w:val="ru-RU"/>
        </w:rPr>
        <w:t>за транспорта на незакрепени контейнери</w:t>
      </w:r>
      <w:bookmarkEnd w:id="474"/>
      <w:bookmarkEnd w:id="475"/>
    </w:p>
    <w:p w14:paraId="1780AE17" w14:textId="77777777" w:rsidR="00271FA2" w:rsidRPr="00F06DE2" w:rsidRDefault="00D35E51" w:rsidP="00DF6869">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Всички методи за изчисляване на устойчивостта на плавателния съд при незакрепени контейнери трябва да отговарят на следните ограничителни условия:</w:t>
      </w:r>
    </w:p>
    <w:p w14:paraId="3EA35709"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Метацентричната височина </w:t>
      </w:r>
      <m:oMath>
        <m:acc>
          <m:accPr>
            <m:chr m:val="̅"/>
            <m:ctrlPr>
              <w:rPr>
                <w:rFonts w:ascii="Cambria Math" w:hAnsi="Cambria Math" w:cs="Times New Roman"/>
                <w:i/>
              </w:rPr>
            </m:ctrlPr>
          </m:accPr>
          <m:e>
            <m:r>
              <w:rPr>
                <w:rFonts w:ascii="Cambria Math" w:hAnsi="Cambria Math" w:cs="Times New Roman"/>
              </w:rPr>
              <m:t>MG</m:t>
            </m:r>
          </m:e>
        </m:acc>
      </m:oMath>
      <w:r w:rsidRPr="00F06DE2">
        <w:rPr>
          <w:rFonts w:ascii="Times New Roman" w:hAnsi="Times New Roman" w:cs="Times New Roman"/>
          <w:lang w:val="ru-RU"/>
        </w:rPr>
        <w:t xml:space="preserve"> трябва да е не по-малко от 1,00 </w:t>
      </w:r>
      <w:r w:rsidRPr="00F06DE2">
        <w:rPr>
          <w:rFonts w:ascii="Times New Roman" w:hAnsi="Times New Roman" w:cs="Times New Roman"/>
        </w:rPr>
        <w:t>m</w:t>
      </w:r>
      <w:r w:rsidRPr="00F06DE2">
        <w:rPr>
          <w:rFonts w:ascii="Times New Roman" w:hAnsi="Times New Roman" w:cs="Times New Roman"/>
          <w:lang w:val="ru-RU"/>
        </w:rPr>
        <w:t>.</w:t>
      </w:r>
    </w:p>
    <w:p w14:paraId="1B4ED455" w14:textId="2F82B816"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Под комбинираното действие на центробежната сила, произтичаща от </w:t>
      </w:r>
      <w:r w:rsidR="003F348A" w:rsidRPr="00F06DE2">
        <w:rPr>
          <w:rFonts w:ascii="Times New Roman" w:hAnsi="Times New Roman" w:cs="Times New Roman"/>
        </w:rPr>
        <w:t xml:space="preserve">завиването </w:t>
      </w:r>
      <w:r w:rsidRPr="00F06DE2">
        <w:rPr>
          <w:rFonts w:ascii="Times New Roman" w:hAnsi="Times New Roman" w:cs="Times New Roman"/>
          <w:lang w:val="ru-RU"/>
        </w:rPr>
        <w:t>на плавателния съд, налягането на вятъра и откритите повърхности на течностите, ъгълът на крен не трябва да превишава 5° и краят на палубата не трябва да се потапя.</w:t>
      </w:r>
    </w:p>
    <w:p w14:paraId="3A346F1C" w14:textId="44DCE076"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Рамото на кренящия момент, резултат от центробежната сила, породена от </w:t>
      </w:r>
      <w:r w:rsidR="003F348A" w:rsidRPr="00F06DE2">
        <w:rPr>
          <w:rFonts w:ascii="Times New Roman" w:hAnsi="Times New Roman" w:cs="Times New Roman"/>
        </w:rPr>
        <w:t>завиването</w:t>
      </w:r>
      <w:r w:rsidR="003F348A" w:rsidRPr="00F06DE2">
        <w:rPr>
          <w:rFonts w:ascii="Times New Roman" w:hAnsi="Times New Roman" w:cs="Times New Roman"/>
          <w:lang w:val="ru-RU"/>
        </w:rPr>
        <w:t xml:space="preserve"> </w:t>
      </w:r>
      <w:r w:rsidRPr="00F06DE2">
        <w:rPr>
          <w:rFonts w:ascii="Times New Roman" w:hAnsi="Times New Roman" w:cs="Times New Roman"/>
          <w:lang w:val="ru-RU"/>
        </w:rPr>
        <w:t>на плавателния съд, се определя по следната формула:</w:t>
      </w:r>
    </w:p>
    <w:p w14:paraId="089761C9" w14:textId="77777777" w:rsidR="00271FA2" w:rsidRPr="00F06DE2" w:rsidRDefault="002C62EC">
      <w:pPr>
        <w:pStyle w:val="ESlet"/>
        <w:spacing w:before="0"/>
        <w:ind w:left="0"/>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KZ</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KZ</m:t>
              </m:r>
            </m:sub>
          </m:sSub>
          <m:r>
            <w:rPr>
              <w:rFonts w:ascii="Cambria Math" w:eastAsia="Calibri" w:hAnsi="Cambria Math" w:cs="Times New Roman"/>
            </w:rPr>
            <m:t xml:space="preserve"> ∙ </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WL</m:t>
                  </m:r>
                </m:sub>
              </m:sSub>
            </m:den>
          </m:f>
          <m:r>
            <w:rPr>
              <w:rFonts w:ascii="Cambria Math" w:eastAsia="Calibri" w:hAnsi="Cambria Math" w:cs="Times New Roman"/>
            </w:rPr>
            <m:t xml:space="preserve"> ∙ </m:t>
          </m:r>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KG</m:t>
                  </m:r>
                </m:e>
              </m:acc>
              <m:r>
                <w:rPr>
                  <w:rFonts w:ascii="Cambria Math" w:eastAsia="Calibri" w:hAnsi="Cambria Math" w:cs="Times New Roman"/>
                </w:rPr>
                <m:t xml:space="preserve">- </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T</m:t>
                      </m:r>
                    </m:e>
                    <m:sup>
                      <m:r>
                        <w:rPr>
                          <w:rFonts w:ascii="Cambria Math" w:eastAsia="Calibri" w:hAnsi="Cambria Math" w:cs="Times New Roman"/>
                        </w:rPr>
                        <m:t>'</m:t>
                      </m:r>
                    </m:sup>
                  </m:sSup>
                </m:num>
                <m:den>
                  <m:r>
                    <w:rPr>
                      <w:rFonts w:ascii="Cambria Math" w:eastAsia="Calibri" w:hAnsi="Cambria Math" w:cs="Times New Roman"/>
                    </w:rPr>
                    <m:t>2</m:t>
                  </m:r>
                </m:den>
              </m:f>
            </m:e>
          </m:d>
          <m:r>
            <w:rPr>
              <w:rFonts w:ascii="Cambria Math" w:eastAsia="Calibri" w:hAnsi="Cambria Math" w:cs="Times New Roman"/>
            </w:rPr>
            <m:t xml:space="preserve"> </m:t>
          </m:r>
          <m:d>
            <m:dPr>
              <m:begChr m:val="["/>
              <m:endChr m:val="]"/>
              <m:ctrlPr>
                <w:rPr>
                  <w:rFonts w:ascii="Cambria Math" w:eastAsia="Calibri" w:hAnsi="Cambria Math" w:cs="Times New Roman"/>
                  <w:i/>
                </w:rPr>
              </m:ctrlPr>
            </m:dPr>
            <m:e>
              <m:r>
                <w:rPr>
                  <w:rFonts w:ascii="Cambria Math" w:eastAsia="Calibri" w:hAnsi="Cambria Math" w:cs="Times New Roman"/>
                </w:rPr>
                <m:t>m</m:t>
              </m:r>
            </m:e>
          </m:d>
        </m:oMath>
      </m:oMathPara>
    </w:p>
    <w:p w14:paraId="328F22FA" w14:textId="77777777" w:rsidR="00271FA2" w:rsidRPr="00F06DE2" w:rsidRDefault="00D35E51">
      <w:pPr>
        <w:pStyle w:val="EStiret"/>
        <w:spacing w:before="0"/>
        <w:rPr>
          <w:rFonts w:ascii="Times New Roman" w:hAnsi="Times New Roman" w:cs="Times New Roman"/>
          <w:lang w:val="ru-RU"/>
        </w:rPr>
      </w:pPr>
      <w:r w:rsidRPr="00F06DE2">
        <w:rPr>
          <w:rFonts w:ascii="Times New Roman" w:hAnsi="Times New Roman" w:cs="Times New Roman"/>
          <w:lang w:val="ru-RU"/>
        </w:rPr>
        <w:t>където:</w:t>
      </w:r>
    </w:p>
    <w:p w14:paraId="383DAB2F" w14:textId="77777777" w:rsidR="00271FA2" w:rsidRPr="00F06DE2" w:rsidRDefault="002C62EC">
      <w:pPr>
        <w:pStyle w:val="EStiret"/>
        <w:spacing w:before="0"/>
        <w:ind w:left="1701" w:hanging="709"/>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KZ</m:t>
            </m:r>
          </m:sub>
        </m:sSub>
      </m:oMath>
      <w:r w:rsidR="00D35E51" w:rsidRPr="00F06DE2">
        <w:rPr>
          <w:rFonts w:ascii="Times New Roman" w:hAnsi="Times New Roman" w:cs="Times New Roman"/>
          <w:lang w:val="ru-RU"/>
        </w:rPr>
        <w:tab/>
        <w:t xml:space="preserve">параметър </w:t>
      </w:r>
      <m:oMath>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KZ</m:t>
                </m:r>
              </m:sub>
            </m:sSub>
            <m:r>
              <w:rPr>
                <w:rFonts w:ascii="Cambria Math" w:eastAsia="Calibri" w:hAnsi="Cambria Math" w:cs="Times New Roman"/>
                <w:lang w:val="ru-RU"/>
              </w:rPr>
              <m:t>=0,04</m:t>
            </m:r>
          </m:e>
        </m:d>
      </m:oMath>
      <w:r w:rsidR="00D35E51" w:rsidRPr="00F06DE2">
        <w:rPr>
          <w:rFonts w:ascii="Times New Roman" w:hAnsi="Times New Roman" w:cs="Times New Roman"/>
          <w:lang w:val="ru-RU"/>
        </w:rPr>
        <w:t xml:space="preserve"> [</w:t>
      </w:r>
      <w:r w:rsidR="00D35E51" w:rsidRPr="00F06DE2">
        <w:rPr>
          <w:rFonts w:ascii="Times New Roman" w:hAnsi="Times New Roman" w:cs="Times New Roman"/>
        </w:rPr>
        <w:t>s</w:t>
      </w:r>
      <w:r w:rsidR="00D35E51" w:rsidRPr="00F06DE2">
        <w:rPr>
          <w:rFonts w:ascii="Times New Roman" w:hAnsi="Times New Roman" w:cs="Times New Roman"/>
          <w:vertAlign w:val="superscript"/>
          <w:lang w:val="ru-RU"/>
        </w:rPr>
        <w:t>2</w:t>
      </w:r>
      <w:r w:rsidR="00D35E51" w:rsidRPr="00F06DE2">
        <w:rPr>
          <w:rFonts w:ascii="Times New Roman" w:hAnsi="Times New Roman" w:cs="Times New Roman"/>
          <w:lang w:val="ru-RU"/>
        </w:rPr>
        <w:t>/</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30DD062A" w14:textId="77777777" w:rsidR="00271FA2" w:rsidRPr="00F06DE2" w:rsidRDefault="00D35E51">
      <w:pPr>
        <w:pStyle w:val="EStiret"/>
        <w:spacing w:before="0"/>
        <w:ind w:left="1701" w:hanging="709"/>
        <w:jc w:val="both"/>
        <w:rPr>
          <w:rFonts w:ascii="Times New Roman" w:eastAsia="Calibri" w:hAnsi="Times New Roman" w:cs="Times New Roman"/>
          <w:lang w:val="ru-RU"/>
        </w:rPr>
      </w:pPr>
      <m:oMath>
        <m:r>
          <w:rPr>
            <w:rFonts w:ascii="Cambria Math" w:eastAsia="Calibri" w:hAnsi="Cambria Math" w:cs="Times New Roman"/>
          </w:rPr>
          <m:t>v</m:t>
        </m:r>
      </m:oMath>
      <w:r w:rsidRPr="00F06DE2">
        <w:rPr>
          <w:rFonts w:ascii="Times New Roman" w:hAnsi="Times New Roman" w:cs="Times New Roman"/>
          <w:lang w:val="ru-RU"/>
        </w:rPr>
        <w:tab/>
        <w:t>максималната скорост на плавателния съд по отношение на водата [</w:t>
      </w:r>
      <w:r w:rsidRPr="00F06DE2">
        <w:rPr>
          <w:rFonts w:ascii="Times New Roman" w:hAnsi="Times New Roman" w:cs="Times New Roman"/>
        </w:rPr>
        <w:t>m</w:t>
      </w:r>
      <w:r w:rsidRPr="00F06DE2">
        <w:rPr>
          <w:rFonts w:ascii="Times New Roman" w:hAnsi="Times New Roman" w:cs="Times New Roman"/>
          <w:lang w:val="ru-RU"/>
        </w:rPr>
        <w:t>/</w:t>
      </w:r>
      <w:r w:rsidRPr="00F06DE2">
        <w:rPr>
          <w:rFonts w:ascii="Times New Roman" w:hAnsi="Times New Roman" w:cs="Times New Roman"/>
        </w:rPr>
        <w:t>s</w:t>
      </w:r>
      <w:r w:rsidRPr="00F06DE2">
        <w:rPr>
          <w:rFonts w:ascii="Times New Roman" w:hAnsi="Times New Roman" w:cs="Times New Roman"/>
          <w:lang w:val="ru-RU"/>
        </w:rPr>
        <w:t>];</w:t>
      </w:r>
    </w:p>
    <w:p w14:paraId="2A4235CD" w14:textId="77777777" w:rsidR="00271FA2" w:rsidRPr="00F06DE2" w:rsidRDefault="002C62EC">
      <w:pPr>
        <w:pStyle w:val="EStiret"/>
        <w:spacing w:before="0"/>
        <w:ind w:left="1701" w:hanging="709"/>
        <w:jc w:val="both"/>
        <w:rPr>
          <w:rFonts w:ascii="Times New Roman" w:eastAsia="Calibri" w:hAnsi="Times New Roman" w:cs="Times New Roman"/>
          <w:lang w:val="ru-RU"/>
        </w:rPr>
      </w:pPr>
      <m:oMath>
        <m:acc>
          <m:accPr>
            <m:chr m:val="̅"/>
            <m:ctrlPr>
              <w:rPr>
                <w:rFonts w:ascii="Cambria Math" w:eastAsia="Calibri" w:hAnsi="Cambria Math" w:cs="Times New Roman"/>
                <w:i/>
              </w:rPr>
            </m:ctrlPr>
          </m:accPr>
          <m:e>
            <m:r>
              <w:rPr>
                <w:rFonts w:ascii="Cambria Math" w:eastAsia="Calibri" w:hAnsi="Cambria Math" w:cs="Times New Roman"/>
              </w:rPr>
              <m:t>KG</m:t>
            </m:r>
          </m:e>
        </m:acc>
      </m:oMath>
      <w:r w:rsidR="00D35E51" w:rsidRPr="00F06DE2">
        <w:rPr>
          <w:rFonts w:ascii="Times New Roman" w:hAnsi="Times New Roman" w:cs="Times New Roman"/>
          <w:lang w:val="ru-RU"/>
        </w:rPr>
        <w:tab/>
        <w:t>височина на центъра на тежестта на натоварения плавателен съд над основата му [</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4916CA52" w14:textId="77777777" w:rsidR="00271FA2" w:rsidRPr="00F06DE2" w:rsidRDefault="00D35E51">
      <w:pPr>
        <w:pStyle w:val="EStiret"/>
        <w:spacing w:before="0"/>
        <w:ind w:left="1701" w:hanging="709"/>
        <w:jc w:val="both"/>
        <w:rPr>
          <w:rFonts w:ascii="Times New Roman" w:hAnsi="Times New Roman" w:cs="Times New Roman"/>
          <w:lang w:val="ru-RU"/>
        </w:rPr>
      </w:pPr>
      <m:oMath>
        <m:r>
          <w:rPr>
            <w:rFonts w:ascii="Cambria Math" w:eastAsia="Calibri" w:hAnsi="Cambria Math" w:cs="Times New Roman"/>
          </w:rPr>
          <w:lastRenderedPageBreak/>
          <m:t>T</m:t>
        </m:r>
        <m:r>
          <w:rPr>
            <w:rFonts w:ascii="Cambria Math" w:eastAsia="Calibri" w:hAnsi="Cambria Math" w:cs="Times New Roman"/>
            <w:lang w:val="ru-RU"/>
          </w:rPr>
          <m:t>'</m:t>
        </m:r>
      </m:oMath>
      <w:r w:rsidRPr="00F06DE2">
        <w:rPr>
          <w:rFonts w:ascii="Times New Roman" w:hAnsi="Times New Roman" w:cs="Times New Roman"/>
          <w:lang w:val="ru-RU"/>
        </w:rPr>
        <w:tab/>
        <w:t>дълбочина на газене на натоварен плавателния съд [</w:t>
      </w:r>
      <w:r w:rsidRPr="00F06DE2">
        <w:rPr>
          <w:rFonts w:ascii="Times New Roman" w:hAnsi="Times New Roman" w:cs="Times New Roman"/>
        </w:rPr>
        <w:t>m</w:t>
      </w:r>
      <w:r w:rsidRPr="00F06DE2">
        <w:rPr>
          <w:rFonts w:ascii="Times New Roman" w:hAnsi="Times New Roman" w:cs="Times New Roman"/>
          <w:lang w:val="ru-RU"/>
        </w:rPr>
        <w:t>].</w:t>
      </w:r>
    </w:p>
    <w:p w14:paraId="0A5C8542"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Рамото на кренящия момент, резултат от налягането на вятъра, се определя по следната формула:</w:t>
      </w:r>
    </w:p>
    <w:p w14:paraId="1A70E3CF" w14:textId="77777777" w:rsidR="00271FA2" w:rsidRPr="00F06DE2" w:rsidRDefault="002C62EC">
      <w:pPr>
        <w:pStyle w:val="ESlet"/>
        <w:spacing w:before="0"/>
        <w:ind w:left="0"/>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KW</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KW</m:t>
              </m:r>
            </m:sub>
          </m:sSub>
          <m:r>
            <w:rPr>
              <w:rFonts w:ascii="Cambria Math" w:hAnsi="Cambria Math" w:cs="Times New Roman"/>
            </w:rPr>
            <m:t xml:space="preserve"> ∙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num>
            <m:den>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t>
                  </m:r>
                </m:sup>
              </m:sSup>
            </m:den>
          </m:f>
          <m:r>
            <w:rPr>
              <w:rFonts w:ascii="Cambria Math" w:hAnsi="Cambria Math" w:cs="Times New Roman"/>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W</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num>
                <m:den>
                  <m:r>
                    <w:rPr>
                      <w:rFonts w:ascii="Cambria Math" w:hAnsi="Cambria Math" w:cs="Times New Roman"/>
                    </w:rPr>
                    <m:t>2</m:t>
                  </m:r>
                </m:den>
              </m:f>
            </m:e>
          </m:d>
          <m:r>
            <w:rPr>
              <w:rFonts w:ascii="Cambria Math" w:hAnsi="Cambria Math" w:cs="Times New Roman"/>
            </w:rPr>
            <m:t xml:space="preserve"> </m:t>
          </m:r>
          <m:d>
            <m:dPr>
              <m:begChr m:val="["/>
              <m:endChr m:val="]"/>
              <m:ctrlPr>
                <w:rPr>
                  <w:rFonts w:ascii="Cambria Math" w:hAnsi="Cambria Math" w:cs="Times New Roman"/>
                  <w:i/>
                </w:rPr>
              </m:ctrlPr>
            </m:dPr>
            <m:e>
              <m:r>
                <w:rPr>
                  <w:rFonts w:ascii="Cambria Math" w:hAnsi="Cambria Math" w:cs="Times New Roman"/>
                </w:rPr>
                <m:t>m</m:t>
              </m:r>
            </m:e>
          </m:d>
        </m:oMath>
      </m:oMathPara>
    </w:p>
    <w:p w14:paraId="77E043D4" w14:textId="77777777" w:rsidR="00271FA2" w:rsidRPr="00F06DE2" w:rsidRDefault="00D35E51">
      <w:pPr>
        <w:pStyle w:val="EStiret"/>
        <w:spacing w:before="0"/>
        <w:jc w:val="both"/>
        <w:rPr>
          <w:rFonts w:ascii="Times New Roman" w:eastAsia="Calibri" w:hAnsi="Times New Roman" w:cs="Times New Roman"/>
          <w:lang w:val="ru-RU"/>
        </w:rPr>
      </w:pPr>
      <w:r w:rsidRPr="00F06DE2">
        <w:rPr>
          <w:rFonts w:ascii="Times New Roman" w:hAnsi="Times New Roman" w:cs="Times New Roman"/>
          <w:lang w:val="ru-RU"/>
        </w:rPr>
        <w:t>където:</w:t>
      </w:r>
    </w:p>
    <w:p w14:paraId="71970EBA" w14:textId="77777777" w:rsidR="00271FA2" w:rsidRPr="00F06DE2" w:rsidRDefault="002C62EC">
      <w:pPr>
        <w:pStyle w:val="EStiret"/>
        <w:spacing w:before="0"/>
        <w:ind w:left="1701" w:hanging="709"/>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KW</m:t>
            </m:r>
          </m:sub>
        </m:sSub>
      </m:oMath>
      <w:r w:rsidR="00D35E51" w:rsidRPr="00F06DE2">
        <w:rPr>
          <w:rFonts w:ascii="Times New Roman" w:hAnsi="Times New Roman" w:cs="Times New Roman"/>
          <w:lang w:val="ru-RU"/>
        </w:rPr>
        <w:tab/>
        <w:t xml:space="preserve">параметър </w:t>
      </w:r>
      <m:oMath>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KW</m:t>
                </m:r>
              </m:sub>
            </m:sSub>
            <m:r>
              <w:rPr>
                <w:rFonts w:ascii="Cambria Math" w:eastAsia="Calibri" w:hAnsi="Cambria Math" w:cs="Times New Roman"/>
                <w:lang w:val="ru-RU"/>
              </w:rPr>
              <m:t>=0,025</m:t>
            </m:r>
          </m:e>
        </m:d>
      </m:oMath>
      <w:r w:rsidR="00D35E51" w:rsidRPr="00F06DE2">
        <w:rPr>
          <w:rFonts w:ascii="Times New Roman" w:hAnsi="Times New Roman" w:cs="Times New Roman"/>
          <w:lang w:val="ru-RU"/>
        </w:rPr>
        <w:t xml:space="preserve"> [</w:t>
      </w:r>
      <w:r w:rsidR="00D35E51" w:rsidRPr="00F06DE2">
        <w:rPr>
          <w:rFonts w:ascii="Times New Roman" w:hAnsi="Times New Roman" w:cs="Times New Roman"/>
        </w:rPr>
        <w:t>t</w:t>
      </w:r>
      <w:r w:rsidR="00D35E51" w:rsidRPr="00F06DE2">
        <w:rPr>
          <w:rFonts w:ascii="Times New Roman" w:hAnsi="Times New Roman" w:cs="Times New Roman"/>
          <w:lang w:val="ru-RU"/>
        </w:rPr>
        <w:t>/</w:t>
      </w:r>
      <w:r w:rsidR="00D35E51" w:rsidRPr="00F06DE2">
        <w:rPr>
          <w:rFonts w:ascii="Times New Roman" w:hAnsi="Times New Roman" w:cs="Times New Roman"/>
        </w:rPr>
        <w:t>m</w:t>
      </w:r>
      <w:r w:rsidR="00D35E51" w:rsidRPr="00F06DE2">
        <w:rPr>
          <w:rFonts w:ascii="Times New Roman" w:hAnsi="Times New Roman" w:cs="Times New Roman"/>
          <w:position w:val="6"/>
          <w:lang w:val="ru-RU"/>
        </w:rPr>
        <w:t>2</w:t>
      </w:r>
      <w:r w:rsidR="00D35E51" w:rsidRPr="00F06DE2">
        <w:rPr>
          <w:rFonts w:ascii="Times New Roman" w:hAnsi="Times New Roman" w:cs="Times New Roman"/>
          <w:lang w:val="ru-RU"/>
        </w:rPr>
        <w:t>];</w:t>
      </w:r>
    </w:p>
    <w:p w14:paraId="4B1CF95E" w14:textId="77777777" w:rsidR="00271FA2" w:rsidRPr="00F06DE2" w:rsidRDefault="00D35E51">
      <w:pPr>
        <w:pStyle w:val="EStiret"/>
        <w:spacing w:before="0"/>
        <w:ind w:left="1701" w:hanging="709"/>
        <w:jc w:val="both"/>
        <w:rPr>
          <w:rFonts w:ascii="Times New Roman" w:eastAsia="Calibri" w:hAnsi="Times New Roman" w:cs="Times New Roman"/>
          <w:lang w:val="ru-RU"/>
        </w:rPr>
      </w:pPr>
      <m:oMath>
        <m:r>
          <w:rPr>
            <w:rFonts w:ascii="Cambria Math" w:eastAsia="Calibri" w:hAnsi="Cambria Math" w:cs="Times New Roman"/>
          </w:rPr>
          <m:t>A</m:t>
        </m:r>
        <m:r>
          <w:rPr>
            <w:rFonts w:ascii="Cambria Math" w:eastAsia="Calibri" w:hAnsi="Cambria Math" w:cs="Times New Roman"/>
            <w:lang w:val="ru-RU"/>
          </w:rPr>
          <m:t>'</m:t>
        </m:r>
      </m:oMath>
      <w:r w:rsidRPr="00F06DE2">
        <w:rPr>
          <w:rFonts w:ascii="Times New Roman" w:hAnsi="Times New Roman" w:cs="Times New Roman"/>
          <w:lang w:val="ru-RU"/>
        </w:rPr>
        <w:tab/>
        <w:t>надводна диаметрална равнина при натоварен плавателен съд [</w:t>
      </w:r>
      <w:r w:rsidRPr="00F06DE2">
        <w:rPr>
          <w:rFonts w:ascii="Times New Roman" w:hAnsi="Times New Roman" w:cs="Times New Roman"/>
        </w:rPr>
        <w:t>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w:t>
      </w:r>
    </w:p>
    <w:p w14:paraId="31977878" w14:textId="77777777" w:rsidR="00271FA2" w:rsidRPr="00F06DE2" w:rsidRDefault="00D35E51">
      <w:pPr>
        <w:pStyle w:val="EStiret"/>
        <w:spacing w:before="0"/>
        <w:ind w:left="1701" w:hanging="709"/>
        <w:jc w:val="both"/>
        <w:rPr>
          <w:rFonts w:ascii="Times New Roman" w:eastAsia="Calibri" w:hAnsi="Times New Roman" w:cs="Times New Roman"/>
          <w:lang w:val="ru-RU"/>
        </w:rPr>
      </w:pPr>
      <m:oMath>
        <m:r>
          <w:rPr>
            <w:rFonts w:ascii="Cambria Math" w:eastAsia="Calibri" w:hAnsi="Cambria Math" w:cs="Times New Roman"/>
          </w:rPr>
          <m:t>D</m:t>
        </m:r>
        <m:r>
          <w:rPr>
            <w:rFonts w:ascii="Cambria Math" w:eastAsia="Calibri" w:hAnsi="Cambria Math" w:cs="Times New Roman"/>
            <w:lang w:val="ru-RU"/>
          </w:rPr>
          <m:t>'</m:t>
        </m:r>
      </m:oMath>
      <w:r w:rsidRPr="00F06DE2">
        <w:rPr>
          <w:rFonts w:ascii="Times New Roman" w:hAnsi="Times New Roman" w:cs="Times New Roman"/>
          <w:lang w:val="ru-RU"/>
        </w:rPr>
        <w:tab/>
        <w:t>водоизместването на натоварения плавателен съд [</w:t>
      </w:r>
      <w:r w:rsidRPr="00F06DE2">
        <w:rPr>
          <w:rFonts w:ascii="Times New Roman" w:hAnsi="Times New Roman" w:cs="Times New Roman"/>
        </w:rPr>
        <w:t>t</w:t>
      </w:r>
      <w:r w:rsidRPr="00F06DE2">
        <w:rPr>
          <w:rFonts w:ascii="Times New Roman" w:hAnsi="Times New Roman" w:cs="Times New Roman"/>
          <w:lang w:val="ru-RU"/>
        </w:rPr>
        <w:t>];</w:t>
      </w:r>
    </w:p>
    <w:p w14:paraId="1AF56DF6" w14:textId="77777777" w:rsidR="00271FA2" w:rsidRPr="00F06DE2" w:rsidRDefault="002C62EC">
      <w:pPr>
        <w:pStyle w:val="EStiret"/>
        <w:spacing w:before="0"/>
        <w:ind w:left="1701" w:hanging="709"/>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W</m:t>
            </m:r>
          </m:sub>
        </m:sSub>
      </m:oMath>
      <w:r w:rsidR="00D35E51" w:rsidRPr="00F06DE2">
        <w:rPr>
          <w:rFonts w:ascii="Times New Roman" w:hAnsi="Times New Roman" w:cs="Times New Roman"/>
          <w:lang w:val="ru-RU"/>
        </w:rPr>
        <w:tab/>
        <w:t>височината на центъра на тежестта на страничната равнина А′ над съответната водолиния [</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54882C17" w14:textId="77777777" w:rsidR="00271FA2" w:rsidRPr="00F06DE2" w:rsidRDefault="00D35E51">
      <w:pPr>
        <w:pStyle w:val="EStiret"/>
        <w:spacing w:before="0"/>
        <w:ind w:left="1701" w:hanging="709"/>
        <w:jc w:val="both"/>
        <w:rPr>
          <w:rFonts w:ascii="Times New Roman" w:eastAsia="Calibri" w:hAnsi="Times New Roman" w:cs="Times New Roman"/>
          <w:lang w:val="ru-RU"/>
        </w:rPr>
      </w:pPr>
      <m:oMath>
        <m:r>
          <w:rPr>
            <w:rFonts w:ascii="Cambria Math" w:eastAsia="Calibri" w:hAnsi="Cambria Math" w:cs="Times New Roman"/>
          </w:rPr>
          <m:t>T</m:t>
        </m:r>
        <m:r>
          <w:rPr>
            <w:rFonts w:ascii="Cambria Math" w:eastAsia="Calibri" w:hAnsi="Cambria Math" w:cs="Times New Roman"/>
            <w:lang w:val="ru-RU"/>
          </w:rPr>
          <m:t>'</m:t>
        </m:r>
      </m:oMath>
      <w:r w:rsidRPr="00F06DE2">
        <w:rPr>
          <w:rFonts w:ascii="Times New Roman" w:hAnsi="Times New Roman" w:cs="Times New Roman"/>
          <w:lang w:val="ru-RU"/>
        </w:rPr>
        <w:tab/>
        <w:t>дълбочина на газене на натоварен плавателен съд [</w:t>
      </w:r>
      <w:r w:rsidRPr="00F06DE2">
        <w:rPr>
          <w:rFonts w:ascii="Times New Roman" w:hAnsi="Times New Roman" w:cs="Times New Roman"/>
        </w:rPr>
        <w:t>m</w:t>
      </w:r>
      <w:r w:rsidRPr="00F06DE2">
        <w:rPr>
          <w:rFonts w:ascii="Times New Roman" w:hAnsi="Times New Roman" w:cs="Times New Roman"/>
          <w:lang w:val="ru-RU"/>
        </w:rPr>
        <w:t>].</w:t>
      </w:r>
    </w:p>
    <w:p w14:paraId="07105144"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Рамото на кренящия момент, породен от откритите повърхности на дъждовната вода и остатъчната вода в трюма или двойното дъно, се определя по следната формула:</w:t>
      </w:r>
    </w:p>
    <w:p w14:paraId="180A4831" w14:textId="77777777" w:rsidR="00271FA2" w:rsidRPr="00F06DE2" w:rsidRDefault="002C62EC">
      <w:pPr>
        <w:pStyle w:val="ESlet"/>
        <w:spacing w:before="0"/>
        <w:ind w:left="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KfO</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KfO</m:t>
                  </m:r>
                </m:sub>
              </m:sSub>
            </m:num>
            <m:den>
              <m:r>
                <w:rPr>
                  <w:rFonts w:ascii="Cambria Math" w:hAnsi="Cambria Math" w:cs="Times New Roman"/>
                </w:rPr>
                <m:t>D'</m:t>
              </m:r>
            </m:den>
          </m:f>
          <m:r>
            <w:rPr>
              <w:rFonts w:ascii="Cambria Math" w:hAnsi="Cambria Math" w:cs="Times New Roman"/>
            </w:rPr>
            <m:t xml:space="preserve"> ∙ </m:t>
          </m:r>
          <m:nary>
            <m:naryPr>
              <m:chr m:val="∑"/>
              <m:limLoc m:val="undOvr"/>
              <m:subHide m:val="1"/>
              <m:supHide m:val="1"/>
              <m:ctrlPr>
                <w:rPr>
                  <w:rFonts w:ascii="Cambria Math" w:hAnsi="Cambria Math" w:cs="Times New Roman"/>
                  <w:i/>
                </w:rPr>
              </m:ctrlPr>
            </m:naryPr>
            <m:sub/>
            <m:sup/>
            <m:e>
              <m:d>
                <m:dPr>
                  <m:ctrlPr>
                    <w:rPr>
                      <w:rFonts w:ascii="Cambria Math" w:hAnsi="Cambria Math" w:cs="Times New Roman"/>
                      <w:i/>
                    </w:rPr>
                  </m:ctrlPr>
                </m:dPr>
                <m:e>
                  <m:r>
                    <w:rPr>
                      <w:rFonts w:ascii="Cambria Math" w:hAnsi="Cambria Math" w:cs="Times New Roman"/>
                    </w:rPr>
                    <m:t xml:space="preserve">b ∙l ∙ </m:t>
                  </m:r>
                  <m:d>
                    <m:dPr>
                      <m:ctrlPr>
                        <w:rPr>
                          <w:rFonts w:ascii="Cambria Math" w:hAnsi="Cambria Math" w:cs="Times New Roman"/>
                          <w:i/>
                        </w:rPr>
                      </m:ctrlPr>
                    </m:dPr>
                    <m:e>
                      <m:r>
                        <w:rPr>
                          <w:rFonts w:ascii="Cambria Math" w:hAnsi="Cambria Math" w:cs="Times New Roman"/>
                        </w:rPr>
                        <m:t xml:space="preserve">b-0,55 </m:t>
                      </m:r>
                      <m:rad>
                        <m:radPr>
                          <m:degHide m:val="1"/>
                          <m:ctrlPr>
                            <w:rPr>
                              <w:rFonts w:ascii="Cambria Math" w:hAnsi="Cambria Math" w:cs="Times New Roman"/>
                              <w:i/>
                            </w:rPr>
                          </m:ctrlPr>
                        </m:radPr>
                        <m:deg/>
                        <m:e>
                          <m:r>
                            <w:rPr>
                              <w:rFonts w:ascii="Cambria Math" w:hAnsi="Cambria Math" w:cs="Times New Roman"/>
                            </w:rPr>
                            <m:t>b</m:t>
                          </m:r>
                        </m:e>
                      </m:rad>
                    </m:e>
                  </m:d>
                </m:e>
              </m:d>
              <m:r>
                <w:rPr>
                  <w:rFonts w:ascii="Cambria Math" w:hAnsi="Cambria Math" w:cs="Times New Roman"/>
                </w:rPr>
                <m:t xml:space="preserve"> </m:t>
              </m:r>
              <m:d>
                <m:dPr>
                  <m:begChr m:val="["/>
                  <m:endChr m:val="]"/>
                  <m:ctrlPr>
                    <w:rPr>
                      <w:rFonts w:ascii="Cambria Math" w:hAnsi="Cambria Math" w:cs="Times New Roman"/>
                      <w:i/>
                    </w:rPr>
                  </m:ctrlPr>
                </m:dPr>
                <m:e>
                  <m:r>
                    <w:rPr>
                      <w:rFonts w:ascii="Cambria Math" w:hAnsi="Cambria Math" w:cs="Times New Roman"/>
                    </w:rPr>
                    <m:t>m</m:t>
                  </m:r>
                </m:e>
              </m:d>
            </m:e>
          </m:nary>
        </m:oMath>
      </m:oMathPara>
    </w:p>
    <w:p w14:paraId="5D8032E7" w14:textId="77777777" w:rsidR="00271FA2" w:rsidRPr="00F06DE2" w:rsidRDefault="00D35E51">
      <w:pPr>
        <w:pStyle w:val="EStiret"/>
        <w:spacing w:before="0"/>
        <w:jc w:val="both"/>
        <w:rPr>
          <w:rFonts w:ascii="Times New Roman" w:hAnsi="Times New Roman" w:cs="Times New Roman"/>
          <w:lang w:val="ru-RU"/>
        </w:rPr>
      </w:pPr>
      <w:r w:rsidRPr="00F06DE2">
        <w:rPr>
          <w:rFonts w:ascii="Times New Roman" w:hAnsi="Times New Roman" w:cs="Times New Roman"/>
          <w:lang w:val="ru-RU"/>
        </w:rPr>
        <w:t>където:</w:t>
      </w:r>
    </w:p>
    <w:p w14:paraId="1A2D9D1D" w14:textId="77777777" w:rsidR="00271FA2" w:rsidRPr="00F06DE2" w:rsidRDefault="002C62EC">
      <w:pPr>
        <w:pStyle w:val="EStiret"/>
        <w:spacing w:before="0"/>
        <w:ind w:left="1701" w:hanging="709"/>
        <w:jc w:val="both"/>
        <w:rPr>
          <w:rFonts w:ascii="Times New Roman" w:eastAsia="Calibri" w:hAnsi="Times New Roman" w:cs="Times New Roman"/>
          <w:lang w:val="ru-RU"/>
        </w:rPr>
      </w:pPr>
      <m:oMath>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KfO</m:t>
            </m:r>
          </m:sub>
        </m:sSub>
      </m:oMath>
      <w:r w:rsidR="00D35E51" w:rsidRPr="00F06DE2">
        <w:rPr>
          <w:rFonts w:ascii="Times New Roman" w:hAnsi="Times New Roman" w:cs="Times New Roman"/>
          <w:lang w:val="ru-RU"/>
        </w:rPr>
        <w:tab/>
        <w:t xml:space="preserve">параметър </w:t>
      </w:r>
      <m:oMath>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c</m:t>
                </m:r>
              </m:e>
              <m:sub>
                <m:r>
                  <w:rPr>
                    <w:rFonts w:ascii="Cambria Math" w:eastAsia="Calibri" w:hAnsi="Cambria Math" w:cs="Times New Roman"/>
                  </w:rPr>
                  <m:t>KfO</m:t>
                </m:r>
              </m:sub>
            </m:sSub>
            <m:r>
              <w:rPr>
                <w:rFonts w:ascii="Cambria Math" w:eastAsia="Calibri" w:hAnsi="Cambria Math" w:cs="Times New Roman"/>
                <w:lang w:val="ru-RU"/>
              </w:rPr>
              <m:t>=0,015</m:t>
            </m:r>
          </m:e>
        </m:d>
      </m:oMath>
      <w:r w:rsidR="00D35E51" w:rsidRPr="00F06DE2">
        <w:rPr>
          <w:rFonts w:ascii="Times New Roman" w:hAnsi="Times New Roman" w:cs="Times New Roman"/>
          <w:lang w:val="ru-RU"/>
        </w:rPr>
        <w:t xml:space="preserve"> [</w:t>
      </w:r>
      <w:r w:rsidR="00D35E51" w:rsidRPr="00F06DE2">
        <w:rPr>
          <w:rFonts w:ascii="Times New Roman" w:hAnsi="Times New Roman" w:cs="Times New Roman"/>
        </w:rPr>
        <w:t>t</w:t>
      </w:r>
      <w:r w:rsidR="00D35E51" w:rsidRPr="00F06DE2">
        <w:rPr>
          <w:rFonts w:ascii="Times New Roman" w:hAnsi="Times New Roman" w:cs="Times New Roman"/>
          <w:lang w:val="ru-RU"/>
        </w:rPr>
        <w:t>/</w:t>
      </w:r>
      <w:r w:rsidR="00D35E51" w:rsidRPr="00F06DE2">
        <w:rPr>
          <w:rFonts w:ascii="Times New Roman" w:hAnsi="Times New Roman" w:cs="Times New Roman"/>
        </w:rPr>
        <w:t>m</w:t>
      </w:r>
      <w:r w:rsidR="00D35E51" w:rsidRPr="00F06DE2">
        <w:rPr>
          <w:rFonts w:ascii="Times New Roman" w:hAnsi="Times New Roman" w:cs="Times New Roman"/>
          <w:position w:val="6"/>
          <w:lang w:val="ru-RU"/>
        </w:rPr>
        <w:t>2</w:t>
      </w:r>
      <w:r w:rsidR="00D35E51" w:rsidRPr="00F06DE2">
        <w:rPr>
          <w:rFonts w:ascii="Times New Roman" w:hAnsi="Times New Roman" w:cs="Times New Roman"/>
          <w:lang w:val="ru-RU"/>
        </w:rPr>
        <w:t>];</w:t>
      </w:r>
    </w:p>
    <w:p w14:paraId="62F1292A" w14:textId="77777777" w:rsidR="00271FA2" w:rsidRPr="00F06DE2" w:rsidRDefault="00D35E51">
      <w:pPr>
        <w:pStyle w:val="EStiret"/>
        <w:spacing w:before="0"/>
        <w:ind w:left="1701" w:hanging="709"/>
        <w:jc w:val="both"/>
        <w:rPr>
          <w:rFonts w:ascii="Times New Roman" w:eastAsia="Calibri" w:hAnsi="Times New Roman" w:cs="Times New Roman"/>
          <w:lang w:val="ru-RU"/>
        </w:rPr>
      </w:pPr>
      <m:oMath>
        <m:r>
          <w:rPr>
            <w:rFonts w:ascii="Cambria Math" w:eastAsia="Calibri" w:hAnsi="Cambria Math" w:cs="Times New Roman"/>
          </w:rPr>
          <m:t>b</m:t>
        </m:r>
      </m:oMath>
      <w:r w:rsidRPr="00F06DE2">
        <w:rPr>
          <w:rFonts w:ascii="Times New Roman" w:hAnsi="Times New Roman" w:cs="Times New Roman"/>
          <w:lang w:val="ru-RU"/>
        </w:rPr>
        <w:tab/>
        <w:t>широчина на трюма или секция от този трюм [</w:t>
      </w:r>
      <w:r w:rsidRPr="00F06DE2">
        <w:rPr>
          <w:rFonts w:ascii="Times New Roman" w:hAnsi="Times New Roman" w:cs="Times New Roman"/>
        </w:rPr>
        <w:t>m</w:t>
      </w:r>
      <w:r w:rsidRPr="00F06DE2">
        <w:rPr>
          <w:rFonts w:ascii="Times New Roman" w:hAnsi="Times New Roman" w:cs="Times New Roman"/>
          <w:lang w:val="ru-RU"/>
        </w:rPr>
        <w:t>];</w:t>
      </w:r>
      <w:r w:rsidRPr="00F06DE2">
        <w:rPr>
          <w:rStyle w:val="FootnoteReference"/>
          <w:rFonts w:ascii="Times New Roman" w:hAnsi="Times New Roman" w:cs="Times New Roman"/>
          <w:lang w:val="ru-RU"/>
        </w:rPr>
        <w:footnoteReference w:customMarkFollows="1" w:id="23"/>
        <w:t>*</w:t>
      </w:r>
    </w:p>
    <w:p w14:paraId="58C522F9" w14:textId="77777777" w:rsidR="00271FA2" w:rsidRPr="00F06DE2" w:rsidRDefault="00D35E51">
      <w:pPr>
        <w:pStyle w:val="EStiret"/>
        <w:spacing w:before="0"/>
        <w:ind w:left="1701" w:hanging="709"/>
        <w:jc w:val="both"/>
        <w:rPr>
          <w:rFonts w:ascii="Times New Roman" w:eastAsia="Calibri" w:hAnsi="Times New Roman" w:cs="Times New Roman"/>
          <w:vertAlign w:val="superscript"/>
          <w:lang w:val="ru-RU"/>
        </w:rPr>
      </w:pPr>
      <m:oMath>
        <m:r>
          <w:rPr>
            <w:rFonts w:ascii="Cambria Math" w:eastAsia="Calibri" w:hAnsi="Cambria Math" w:cs="Times New Roman"/>
          </w:rPr>
          <m:t>l</m:t>
        </m:r>
      </m:oMath>
      <w:r w:rsidRPr="00F06DE2">
        <w:rPr>
          <w:rFonts w:ascii="Times New Roman" w:hAnsi="Times New Roman" w:cs="Times New Roman"/>
          <w:lang w:val="ru-RU"/>
        </w:rPr>
        <w:tab/>
        <w:t>дължина на трюма или секция от този трюм [</w:t>
      </w:r>
      <w:r w:rsidRPr="00F06DE2">
        <w:rPr>
          <w:rFonts w:ascii="Times New Roman" w:hAnsi="Times New Roman" w:cs="Times New Roman"/>
        </w:rPr>
        <w:t>m</w:t>
      </w:r>
      <w:r w:rsidRPr="00F06DE2">
        <w:rPr>
          <w:rFonts w:ascii="Times New Roman" w:hAnsi="Times New Roman" w:cs="Times New Roman"/>
          <w:lang w:val="ru-RU"/>
        </w:rPr>
        <w:t>];</w:t>
      </w:r>
      <w:r w:rsidRPr="00F06DE2">
        <w:rPr>
          <w:rFonts w:ascii="Times New Roman" w:hAnsi="Times New Roman" w:cs="Times New Roman"/>
          <w:vertAlign w:val="superscript"/>
          <w:lang w:val="ru-RU"/>
        </w:rPr>
        <w:t>*</w:t>
      </w:r>
    </w:p>
    <w:p w14:paraId="1DDB87D2" w14:textId="77777777" w:rsidR="00271FA2" w:rsidRPr="00F06DE2" w:rsidRDefault="00D35E51">
      <w:pPr>
        <w:pStyle w:val="EStiret"/>
        <w:spacing w:before="0"/>
        <w:ind w:left="1701" w:hanging="709"/>
        <w:jc w:val="both"/>
        <w:rPr>
          <w:rFonts w:ascii="Times New Roman" w:eastAsia="Calibri" w:hAnsi="Times New Roman" w:cs="Times New Roman"/>
          <w:lang w:val="ru-RU"/>
        </w:rPr>
      </w:pPr>
      <m:oMath>
        <m:r>
          <w:rPr>
            <w:rFonts w:ascii="Cambria Math" w:eastAsia="Calibri" w:hAnsi="Cambria Math" w:cs="Times New Roman"/>
          </w:rPr>
          <m:t>D</m:t>
        </m:r>
        <m:r>
          <w:rPr>
            <w:rFonts w:ascii="Cambria Math" w:eastAsia="Calibri" w:hAnsi="Cambria Math" w:cs="Times New Roman"/>
            <w:lang w:val="ru-RU"/>
          </w:rPr>
          <m:t>'</m:t>
        </m:r>
      </m:oMath>
      <w:r w:rsidRPr="00F06DE2">
        <w:rPr>
          <w:rFonts w:ascii="Times New Roman" w:hAnsi="Times New Roman" w:cs="Times New Roman"/>
          <w:lang w:val="ru-RU"/>
        </w:rPr>
        <w:tab/>
        <w:t>водоизместването на натоварения плавателен съд [</w:t>
      </w:r>
      <w:r w:rsidRPr="00F06DE2">
        <w:rPr>
          <w:rFonts w:ascii="Times New Roman" w:hAnsi="Times New Roman" w:cs="Times New Roman"/>
        </w:rPr>
        <w:t>t</w:t>
      </w:r>
      <w:r w:rsidRPr="00F06DE2">
        <w:rPr>
          <w:rFonts w:ascii="Times New Roman" w:hAnsi="Times New Roman" w:cs="Times New Roman"/>
          <w:lang w:val="ru-RU"/>
        </w:rPr>
        <w:t>].</w:t>
      </w:r>
    </w:p>
    <w:p w14:paraId="09F64335"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е) Половината от запасите на гориво и прясна вода трябва да бъдат взети предвид при всяко състояние на натоварване.</w:t>
      </w:r>
    </w:p>
    <w:p w14:paraId="477CF96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Устойчивостта на плавателен съд, превозващ незакрепени контейнери, се смята за достатъчна, ако действителната </w:t>
      </w:r>
      <m:oMath>
        <m:acc>
          <m:accPr>
            <m:chr m:val="̅"/>
            <m:ctrlPr>
              <w:rPr>
                <w:rFonts w:ascii="Cambria Math" w:hAnsi="Cambria Math" w:cs="Times New Roman"/>
                <w:i/>
              </w:rPr>
            </m:ctrlPr>
          </m:accPr>
          <m:e>
            <m:r>
              <w:rPr>
                <w:rFonts w:ascii="Cambria Math" w:hAnsi="Cambria Math" w:cs="Times New Roman"/>
              </w:rPr>
              <m:t>KG</m:t>
            </m:r>
          </m:e>
        </m:acc>
      </m:oMath>
      <w:r w:rsidRPr="00F06DE2">
        <w:rPr>
          <w:rFonts w:ascii="Times New Roman" w:hAnsi="Times New Roman" w:cs="Times New Roman"/>
          <w:lang w:val="ru-RU"/>
        </w:rPr>
        <w:t xml:space="preserve"> не превишава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KG</m:t>
                </m:r>
              </m:e>
            </m:acc>
          </m:e>
          <m:sub>
            <m:r>
              <w:rPr>
                <w:rFonts w:ascii="Cambria Math" w:hAnsi="Cambria Math" w:cs="Times New Roman"/>
              </w:rPr>
              <m:t>zul</m:t>
            </m:r>
          </m:sub>
        </m:sSub>
      </m:oMath>
      <w:r w:rsidRPr="00F06DE2">
        <w:rPr>
          <w:rFonts w:ascii="Times New Roman" w:hAnsi="Times New Roman" w:cs="Times New Roman"/>
          <w:lang w:val="ru-RU"/>
        </w:rPr>
        <w:t xml:space="preserve">, получена по следните формули.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KG</m:t>
                </m:r>
              </m:e>
            </m:acc>
          </m:e>
          <m:sub>
            <m:r>
              <w:rPr>
                <w:rFonts w:ascii="Cambria Math" w:hAnsi="Cambria Math" w:cs="Times New Roman"/>
              </w:rPr>
              <m:t>zul</m:t>
            </m:r>
          </m:sub>
        </m:sSub>
      </m:oMath>
      <w:r w:rsidRPr="00F06DE2">
        <w:rPr>
          <w:rFonts w:ascii="Times New Roman" w:hAnsi="Times New Roman" w:cs="Times New Roman"/>
          <w:lang w:val="ru-RU"/>
        </w:rPr>
        <w:t xml:space="preserve"> се изчислява за различни водоизмествания, покриващи целия обхват от стойности на газенето:</w:t>
      </w:r>
    </w:p>
    <w:p w14:paraId="2078EA9E" w14:textId="77777777" w:rsidR="00271FA2" w:rsidRPr="00F06DE2" w:rsidRDefault="00D35E51">
      <w:pPr>
        <w:pStyle w:val="ESlet"/>
        <w:spacing w:before="0"/>
        <w:ind w:hanging="425"/>
        <w:rPr>
          <w:rFonts w:ascii="Times New Roman" w:eastAsia="Calibri" w:hAnsi="Times New Roman" w:cs="Times New Roman"/>
        </w:rPr>
      </w:pPr>
      <w:r w:rsidRPr="00F06DE2">
        <w:rPr>
          <w:rFonts w:ascii="Times New Roman" w:hAnsi="Times New Roman" w:cs="Times New Roman"/>
        </w:rPr>
        <w:t>a)</w:t>
      </w:r>
    </w:p>
    <w:p w14:paraId="59CD6F16" w14:textId="77777777" w:rsidR="00271FA2" w:rsidRPr="00F06DE2" w:rsidRDefault="002C62EC">
      <w:pPr>
        <w:pStyle w:val="ESlet"/>
        <w:spacing w:before="0"/>
        <w:ind w:left="0"/>
        <w:rPr>
          <w:rFonts w:ascii="Times New Roman" w:eastAsia="Calibri" w:hAnsi="Times New Roman" w:cs="Times New Roman"/>
        </w:rPr>
      </w:pPr>
      <m:oMathPara>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KG</m:t>
                  </m:r>
                </m:e>
              </m:acc>
            </m:e>
            <m:sub>
              <m:r>
                <w:rPr>
                  <w:rFonts w:ascii="Cambria Math" w:eastAsia="Calibri" w:hAnsi="Cambria Math" w:cs="Times New Roman"/>
                </w:rPr>
                <m:t>zul</m:t>
              </m:r>
            </m:sub>
          </m:sSub>
          <m:r>
            <w:rPr>
              <w:rFonts w:ascii="Cambria Math" w:eastAsia="Calibri" w:hAnsi="Cambria Math" w:cs="Times New Roman"/>
            </w:rPr>
            <m:t xml:space="preserve">= </m:t>
          </m:r>
          <m:f>
            <m:fPr>
              <m:ctrlPr>
                <w:rPr>
                  <w:rFonts w:ascii="Cambria Math" w:eastAsia="Calibri" w:hAnsi="Cambria Math" w:cs="Times New Roman"/>
                  <w:i/>
                </w:rPr>
              </m:ctrlPr>
            </m:fPr>
            <m:num>
              <m:acc>
                <m:accPr>
                  <m:chr m:val="̅"/>
                  <m:ctrlPr>
                    <w:rPr>
                      <w:rFonts w:ascii="Cambria Math" w:eastAsia="Calibri" w:hAnsi="Cambria Math" w:cs="Times New Roman"/>
                      <w:i/>
                    </w:rPr>
                  </m:ctrlPr>
                </m:accPr>
                <m:e>
                  <m:r>
                    <w:rPr>
                      <w:rFonts w:ascii="Cambria Math" w:eastAsia="Calibri" w:hAnsi="Cambria Math" w:cs="Times New Roman"/>
                    </w:rPr>
                    <m:t>KM</m:t>
                  </m:r>
                </m:e>
              </m:acc>
              <m:r>
                <w:rPr>
                  <w:rFonts w:ascii="Cambria Math" w:eastAsia="Calibri" w:hAnsi="Cambria Math" w:cs="Times New Roman"/>
                </w:rPr>
                <m:t xml:space="preserve">+ </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WL</m:t>
                      </m:r>
                    </m:sub>
                  </m:sSub>
                </m:num>
                <m:den>
                  <m:r>
                    <w:rPr>
                      <w:rFonts w:ascii="Cambria Math" w:eastAsia="Calibri" w:hAnsi="Cambria Math" w:cs="Times New Roman"/>
                    </w:rPr>
                    <m:t>2F</m:t>
                  </m:r>
                </m:den>
              </m:f>
              <m:r>
                <w:rPr>
                  <w:rFonts w:ascii="Cambria Math" w:eastAsia="Calibri" w:hAnsi="Cambria Math" w:cs="Times New Roman"/>
                </w:rPr>
                <m:t xml:space="preserve"> ∙ </m:t>
              </m:r>
              <m:d>
                <m:dPr>
                  <m:ctrlPr>
                    <w:rPr>
                      <w:rFonts w:ascii="Cambria Math" w:eastAsia="Calibri" w:hAnsi="Cambria Math" w:cs="Times New Roman"/>
                      <w:i/>
                    </w:rPr>
                  </m:ctrlPr>
                </m:dPr>
                <m:e>
                  <m:r>
                    <w:rPr>
                      <w:rFonts w:ascii="Cambria Math" w:eastAsia="Calibri" w:hAnsi="Cambria Math" w:cs="Times New Roman"/>
                    </w:rPr>
                    <m:t xml:space="preserve">Z ∙ </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m</m:t>
                          </m:r>
                        </m:sub>
                      </m:sSub>
                    </m:num>
                    <m:den>
                      <m:r>
                        <w:rPr>
                          <w:rFonts w:ascii="Cambria Math" w:eastAsia="Calibri" w:hAnsi="Cambria Math" w:cs="Times New Roman"/>
                        </w:rPr>
                        <m:t>2</m:t>
                      </m:r>
                    </m:den>
                  </m:f>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KW</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kFO</m:t>
                      </m:r>
                    </m:sub>
                  </m:sSub>
                </m:e>
              </m:d>
            </m:num>
            <m:den>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WL</m:t>
                      </m:r>
                    </m:sub>
                  </m:sSub>
                </m:num>
                <m:den>
                  <m:r>
                    <w:rPr>
                      <w:rFonts w:ascii="Cambria Math" w:eastAsia="Calibri" w:hAnsi="Cambria Math" w:cs="Times New Roman"/>
                    </w:rPr>
                    <m:t>2F</m:t>
                  </m:r>
                </m:den>
              </m:f>
              <m:r>
                <w:rPr>
                  <w:rFonts w:ascii="Cambria Math" w:eastAsia="Calibri" w:hAnsi="Cambria Math" w:cs="Times New Roman"/>
                </w:rPr>
                <m:t xml:space="preserve"> ∙Z+1</m:t>
              </m:r>
            </m:den>
          </m:f>
          <m:r>
            <w:rPr>
              <w:rFonts w:ascii="Cambria Math" w:eastAsia="Calibri" w:hAnsi="Cambria Math" w:cs="Times New Roman"/>
            </w:rPr>
            <m:t xml:space="preserve"> </m:t>
          </m:r>
          <m:d>
            <m:dPr>
              <m:begChr m:val="["/>
              <m:endChr m:val="]"/>
              <m:ctrlPr>
                <w:rPr>
                  <w:rFonts w:ascii="Cambria Math" w:eastAsia="Calibri" w:hAnsi="Cambria Math" w:cs="Times New Roman"/>
                  <w:i/>
                </w:rPr>
              </m:ctrlPr>
            </m:dPr>
            <m:e>
              <m:r>
                <w:rPr>
                  <w:rFonts w:ascii="Cambria Math" w:eastAsia="Calibri" w:hAnsi="Cambria Math" w:cs="Times New Roman"/>
                </w:rPr>
                <m:t>m</m:t>
              </m:r>
            </m:e>
          </m:d>
        </m:oMath>
      </m:oMathPara>
    </w:p>
    <w:p w14:paraId="392B87F8" w14:textId="77777777" w:rsidR="00271FA2" w:rsidRPr="00F06DE2" w:rsidRDefault="00D35E51">
      <w:pPr>
        <w:pStyle w:val="ESletpar"/>
        <w:spacing w:before="0"/>
        <w:ind w:left="0" w:firstLine="720"/>
        <w:jc w:val="both"/>
        <w:rPr>
          <w:rFonts w:ascii="Times New Roman" w:hAnsi="Times New Roman" w:cs="Times New Roman"/>
          <w:lang w:val="ru-RU"/>
        </w:rPr>
      </w:pPr>
      <w:r w:rsidRPr="00F06DE2">
        <w:rPr>
          <w:rFonts w:ascii="Times New Roman" w:hAnsi="Times New Roman" w:cs="Times New Roman"/>
          <w:lang w:val="ru-RU"/>
        </w:rPr>
        <w:t>Не може да се приема стойност, по-малка от 11,5 (11,5 = 1/</w:t>
      </w:r>
      <w:r w:rsidRPr="00F06DE2">
        <w:rPr>
          <w:rFonts w:ascii="Times New Roman" w:hAnsi="Times New Roman" w:cs="Times New Roman"/>
        </w:rPr>
        <w:t>tan</w:t>
      </w:r>
      <w:r w:rsidRPr="00F06DE2">
        <w:rPr>
          <w:rFonts w:ascii="Times New Roman" w:hAnsi="Times New Roman" w:cs="Times New Roman"/>
          <w:lang w:val="ru-RU"/>
        </w:rPr>
        <w:t xml:space="preserve"> 5°) за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WL</m:t>
                </m:r>
              </m:sub>
            </m:sSub>
          </m:num>
          <m:den>
            <m:r>
              <w:rPr>
                <w:rFonts w:ascii="Cambria Math" w:hAnsi="Cambria Math" w:cs="Times New Roman"/>
                <w:lang w:val="ru-RU"/>
              </w:rPr>
              <m:t>2</m:t>
            </m:r>
            <m:r>
              <w:rPr>
                <w:rFonts w:ascii="Cambria Math" w:hAnsi="Cambria Math" w:cs="Times New Roman"/>
              </w:rPr>
              <m:t>F</m:t>
            </m:r>
          </m:den>
        </m:f>
      </m:oMath>
      <w:r w:rsidRPr="00F06DE2">
        <w:rPr>
          <w:rFonts w:ascii="Times New Roman" w:hAnsi="Times New Roman" w:cs="Times New Roman"/>
          <w:lang w:val="ru-RU"/>
        </w:rPr>
        <w:t xml:space="preserve"> </w:t>
      </w:r>
    </w:p>
    <w:p w14:paraId="560BFAED" w14:textId="77777777" w:rsidR="00271FA2" w:rsidRPr="00F06DE2" w:rsidRDefault="00D35E51">
      <w:pPr>
        <w:pStyle w:val="ESlet"/>
        <w:spacing w:before="0"/>
        <w:ind w:left="993" w:hanging="426"/>
        <w:jc w:val="both"/>
        <w:rPr>
          <w:rFonts w:ascii="Times New Roman" w:hAnsi="Times New Roman" w:cs="Times New Roman"/>
          <w:lang w:val="ru-RU"/>
        </w:rPr>
      </w:pPr>
      <w:r w:rsidRPr="00F06DE2">
        <w:rPr>
          <w:rFonts w:ascii="Times New Roman" w:hAnsi="Times New Roman" w:cs="Times New Roman"/>
          <w:lang w:val="ru-RU"/>
        </w:rPr>
        <w:t xml:space="preserve">б)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KG</m:t>
                </m:r>
              </m:e>
            </m:acc>
          </m:e>
          <m:sub>
            <m:r>
              <w:rPr>
                <w:rFonts w:ascii="Cambria Math" w:hAnsi="Cambria Math" w:cs="Times New Roman"/>
              </w:rPr>
              <m:t>zul</m:t>
            </m:r>
          </m:sub>
        </m:sSub>
        <m:r>
          <w:rPr>
            <w:rFonts w:ascii="Cambria Math" w:hAnsi="Cambria Math" w:cs="Times New Roman"/>
            <w:lang w:val="ru-RU"/>
          </w:rPr>
          <m:t xml:space="preserve">= </m:t>
        </m:r>
        <m:acc>
          <m:accPr>
            <m:chr m:val="̅"/>
            <m:ctrlPr>
              <w:rPr>
                <w:rFonts w:ascii="Cambria Math" w:hAnsi="Cambria Math" w:cs="Times New Roman"/>
                <w:i/>
              </w:rPr>
            </m:ctrlPr>
          </m:accPr>
          <m:e>
            <m:r>
              <w:rPr>
                <w:rFonts w:ascii="Cambria Math" w:hAnsi="Cambria Math" w:cs="Times New Roman"/>
              </w:rPr>
              <m:t>KM</m:t>
            </m:r>
          </m:e>
        </m:acc>
        <m:r>
          <w:rPr>
            <w:rFonts w:ascii="Cambria Math" w:hAnsi="Cambria Math" w:cs="Times New Roman"/>
            <w:lang w:val="ru-RU"/>
          </w:rPr>
          <m:t xml:space="preserve">-1,00 </m:t>
        </m:r>
        <m:d>
          <m:dPr>
            <m:begChr m:val="["/>
            <m:endChr m:val="]"/>
            <m:ctrlPr>
              <w:rPr>
                <w:rFonts w:ascii="Cambria Math" w:hAnsi="Cambria Math" w:cs="Times New Roman"/>
                <w:i/>
              </w:rPr>
            </m:ctrlPr>
          </m:dPr>
          <m:e>
            <m:r>
              <w:rPr>
                <w:rFonts w:ascii="Cambria Math" w:hAnsi="Cambria Math" w:cs="Times New Roman"/>
              </w:rPr>
              <m:t>m</m:t>
            </m:r>
          </m:e>
        </m:d>
      </m:oMath>
    </w:p>
    <w:p w14:paraId="24A63B07"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Най-ниската стойност на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KG</m:t>
                </m:r>
              </m:e>
            </m:acc>
          </m:e>
          <m:sub>
            <m:r>
              <w:rPr>
                <w:rFonts w:ascii="Cambria Math" w:hAnsi="Cambria Math" w:cs="Times New Roman"/>
              </w:rPr>
              <m:t>zul</m:t>
            </m:r>
          </m:sub>
        </m:sSub>
      </m:oMath>
      <w:r w:rsidRPr="00F06DE2">
        <w:rPr>
          <w:rFonts w:ascii="Times New Roman" w:hAnsi="Times New Roman" w:cs="Times New Roman"/>
          <w:lang w:val="ru-RU"/>
        </w:rPr>
        <w:t xml:space="preserve"> съгласно формулата посочена в буква “</w:t>
      </w:r>
      <w:r w:rsidRPr="00F06DE2">
        <w:rPr>
          <w:rFonts w:ascii="Times New Roman" w:hAnsi="Times New Roman" w:cs="Times New Roman"/>
        </w:rPr>
        <w:t>a</w:t>
      </w:r>
      <w:r w:rsidRPr="00F06DE2">
        <w:rPr>
          <w:rFonts w:ascii="Times New Roman" w:hAnsi="Times New Roman" w:cs="Times New Roman"/>
          <w:lang w:val="ru-RU"/>
        </w:rPr>
        <w:t>” или “б” е решаваща.</w:t>
      </w:r>
    </w:p>
    <w:p w14:paraId="183348B9" w14:textId="77777777" w:rsidR="00271FA2" w:rsidRPr="00F06DE2" w:rsidRDefault="00D35E51">
      <w:pPr>
        <w:pStyle w:val="ESletpar"/>
        <w:spacing w:before="0"/>
        <w:ind w:left="0" w:firstLine="567"/>
        <w:jc w:val="both"/>
        <w:rPr>
          <w:rFonts w:ascii="Times New Roman" w:hAnsi="Times New Roman" w:cs="Times New Roman"/>
          <w:lang w:val="ru-RU"/>
        </w:rPr>
      </w:pPr>
      <w:r w:rsidRPr="00F06DE2">
        <w:rPr>
          <w:rFonts w:ascii="Times New Roman" w:hAnsi="Times New Roman" w:cs="Times New Roman"/>
          <w:lang w:val="ru-RU"/>
        </w:rPr>
        <w:t>Във формулите:</w:t>
      </w:r>
    </w:p>
    <w:p w14:paraId="02799822" w14:textId="77777777" w:rsidR="00271FA2" w:rsidRPr="00F06DE2" w:rsidRDefault="002C62EC">
      <w:pPr>
        <w:pStyle w:val="EStiret"/>
        <w:spacing w:before="0"/>
        <w:ind w:left="1701" w:hanging="709"/>
        <w:jc w:val="both"/>
        <w:rPr>
          <w:rFonts w:ascii="Times New Roman" w:eastAsia="Calibri" w:hAnsi="Times New Roman" w:cs="Times New Roman"/>
          <w:lang w:val="ru-RU"/>
        </w:rPr>
      </w:pPr>
      <m:oMath>
        <m:sSub>
          <m:sSubPr>
            <m:ctrlPr>
              <w:rPr>
                <w:rFonts w:ascii="Cambria Math" w:hAnsi="Cambria Math" w:cs="Times New Roman"/>
                <w:i/>
                <w:snapToGrid/>
                <w:color w:val="auto"/>
              </w:rPr>
            </m:ctrlPr>
          </m:sSubPr>
          <m:e>
            <m:acc>
              <m:accPr>
                <m:chr m:val="̅"/>
                <m:ctrlPr>
                  <w:rPr>
                    <w:rFonts w:ascii="Cambria Math" w:hAnsi="Cambria Math" w:cs="Times New Roman"/>
                    <w:i/>
                    <w:snapToGrid/>
                    <w:color w:val="auto"/>
                  </w:rPr>
                </m:ctrlPr>
              </m:accPr>
              <m:e>
                <m:r>
                  <w:rPr>
                    <w:rFonts w:ascii="Cambria Math" w:hAnsi="Cambria Math" w:cs="Times New Roman"/>
                  </w:rPr>
                  <m:t>KG</m:t>
                </m:r>
              </m:e>
            </m:acc>
          </m:e>
          <m:sub>
            <m:r>
              <w:rPr>
                <w:rFonts w:ascii="Cambria Math" w:hAnsi="Cambria Math" w:cs="Times New Roman"/>
              </w:rPr>
              <m:t>zul</m:t>
            </m:r>
          </m:sub>
        </m:sSub>
      </m:oMath>
      <w:r w:rsidR="00D35E51" w:rsidRPr="00F06DE2">
        <w:rPr>
          <w:rFonts w:ascii="Times New Roman" w:hAnsi="Times New Roman" w:cs="Times New Roman"/>
          <w:lang w:val="ru-RU"/>
        </w:rPr>
        <w:tab/>
        <w:t>максимална допустима височина на центъра на тежестта на натоварения плавателен съд над основата му [</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0DCE094D" w14:textId="77777777" w:rsidR="00271FA2" w:rsidRPr="00F06DE2" w:rsidRDefault="002C62EC">
      <w:pPr>
        <w:pStyle w:val="EStiret"/>
        <w:spacing w:before="0"/>
        <w:ind w:left="1701" w:hanging="709"/>
        <w:jc w:val="both"/>
        <w:rPr>
          <w:rFonts w:ascii="Times New Roman" w:eastAsia="Calibri" w:hAnsi="Times New Roman" w:cs="Times New Roman"/>
          <w:lang w:val="ru-RU"/>
        </w:rPr>
      </w:pPr>
      <m:oMath>
        <m:acc>
          <m:accPr>
            <m:chr m:val="̅"/>
            <m:ctrlPr>
              <w:rPr>
                <w:rFonts w:ascii="Cambria Math" w:eastAsia="Calibri" w:hAnsi="Cambria Math" w:cs="Times New Roman"/>
                <w:i/>
              </w:rPr>
            </m:ctrlPr>
          </m:accPr>
          <m:e>
            <m:r>
              <w:rPr>
                <w:rFonts w:ascii="Cambria Math" w:eastAsia="Calibri" w:hAnsi="Cambria Math" w:cs="Times New Roman"/>
              </w:rPr>
              <m:t>KM</m:t>
            </m:r>
          </m:e>
        </m:acc>
      </m:oMath>
      <w:r w:rsidR="00D35E51" w:rsidRPr="00F06DE2">
        <w:rPr>
          <w:rFonts w:ascii="Times New Roman" w:hAnsi="Times New Roman" w:cs="Times New Roman"/>
          <w:lang w:val="ru-RU"/>
        </w:rPr>
        <w:tab/>
        <w:t>височина на метацентъра над основата [</w:t>
      </w:r>
      <w:r w:rsidR="00D35E51" w:rsidRPr="00F06DE2">
        <w:rPr>
          <w:rFonts w:ascii="Times New Roman" w:hAnsi="Times New Roman" w:cs="Times New Roman"/>
        </w:rPr>
        <w:t>m</w:t>
      </w:r>
      <w:r w:rsidR="00D35E51" w:rsidRPr="00F06DE2">
        <w:rPr>
          <w:rFonts w:ascii="Times New Roman" w:hAnsi="Times New Roman" w:cs="Times New Roman"/>
          <w:lang w:val="ru-RU"/>
        </w:rPr>
        <w:t>] съгласно формулата за приближение в точка 3;</w:t>
      </w:r>
    </w:p>
    <w:p w14:paraId="34478440" w14:textId="77777777" w:rsidR="00271FA2" w:rsidRPr="00F06DE2" w:rsidRDefault="00D35E51">
      <w:pPr>
        <w:pStyle w:val="EStiret"/>
        <w:spacing w:before="0"/>
        <w:ind w:left="1701" w:hanging="709"/>
        <w:jc w:val="both"/>
        <w:rPr>
          <w:rFonts w:ascii="Times New Roman" w:eastAsia="Calibri" w:hAnsi="Times New Roman" w:cs="Times New Roman"/>
          <w:lang w:val="ru-RU"/>
        </w:rPr>
      </w:pPr>
      <m:oMath>
        <m:r>
          <w:rPr>
            <w:rFonts w:ascii="Cambria Math" w:eastAsia="Calibri" w:hAnsi="Cambria Math" w:cs="Times New Roman"/>
          </w:rPr>
          <m:t>F</m:t>
        </m:r>
      </m:oMath>
      <w:r w:rsidRPr="00F06DE2">
        <w:rPr>
          <w:rFonts w:ascii="Times New Roman" w:hAnsi="Times New Roman" w:cs="Times New Roman"/>
          <w:lang w:val="ru-RU"/>
        </w:rPr>
        <w:tab/>
        <w:t xml:space="preserve">съответен ефективен надводен борд при </w:t>
      </w:r>
      <m:oMath>
        <m:f>
          <m:fPr>
            <m:ctrlPr>
              <w:rPr>
                <w:rFonts w:ascii="Cambria Math" w:eastAsia="Calibri" w:hAnsi="Cambria Math" w:cs="Times New Roman"/>
                <w:i/>
              </w:rPr>
            </m:ctrlPr>
          </m:fPr>
          <m:num>
            <m:r>
              <w:rPr>
                <w:rFonts w:ascii="Cambria Math" w:eastAsia="Calibri" w:hAnsi="Cambria Math" w:cs="Times New Roman"/>
                <w:lang w:val="ru-RU"/>
              </w:rPr>
              <m:t>1</m:t>
            </m:r>
          </m:num>
          <m:den>
            <m:r>
              <w:rPr>
                <w:rFonts w:ascii="Cambria Math" w:eastAsia="Calibri" w:hAnsi="Cambria Math" w:cs="Times New Roman"/>
                <w:lang w:val="ru-RU"/>
              </w:rPr>
              <m:t>2</m:t>
            </m:r>
          </m:den>
        </m:f>
        <m:r>
          <w:rPr>
            <w:rFonts w:ascii="Cambria Math" w:eastAsia="Calibri" w:hAnsi="Cambria Math" w:cs="Times New Roman"/>
            <w:lang w:val="ru-RU"/>
          </w:rPr>
          <m:t xml:space="preserve"> </m:t>
        </m:r>
        <m:r>
          <w:rPr>
            <w:rFonts w:ascii="Cambria Math" w:eastAsia="Calibri" w:hAnsi="Cambria Math" w:cs="Times New Roman"/>
          </w:rPr>
          <m:t>L</m:t>
        </m:r>
      </m:oMath>
      <w:r w:rsidRPr="00F06DE2">
        <w:rPr>
          <w:rFonts w:ascii="Times New Roman" w:hAnsi="Times New Roman" w:cs="Times New Roman"/>
          <w:lang w:val="ru-RU"/>
        </w:rPr>
        <w:t xml:space="preserve"> [</w:t>
      </w:r>
      <w:r w:rsidRPr="00F06DE2">
        <w:rPr>
          <w:rFonts w:ascii="Times New Roman" w:hAnsi="Times New Roman" w:cs="Times New Roman"/>
        </w:rPr>
        <w:t>m</w:t>
      </w:r>
      <w:r w:rsidRPr="00F06DE2">
        <w:rPr>
          <w:rFonts w:ascii="Times New Roman" w:hAnsi="Times New Roman" w:cs="Times New Roman"/>
          <w:lang w:val="ru-RU"/>
        </w:rPr>
        <w:t>];</w:t>
      </w:r>
    </w:p>
    <w:p w14:paraId="36A95B59" w14:textId="689BD8BF" w:rsidR="00271FA2" w:rsidRPr="00F06DE2" w:rsidRDefault="00D35E51">
      <w:pPr>
        <w:pStyle w:val="EStiret"/>
        <w:spacing w:before="0"/>
        <w:ind w:left="1701" w:hanging="709"/>
        <w:jc w:val="both"/>
        <w:rPr>
          <w:rFonts w:ascii="Times New Roman" w:hAnsi="Times New Roman" w:cs="Times New Roman"/>
          <w:lang w:val="ru-RU"/>
        </w:rPr>
      </w:pPr>
      <m:oMath>
        <m:r>
          <w:rPr>
            <w:rFonts w:ascii="Cambria Math" w:hAnsi="Cambria Math" w:cs="Times New Roman"/>
          </w:rPr>
          <m:t>Z</m:t>
        </m:r>
      </m:oMath>
      <w:r w:rsidRPr="00F06DE2">
        <w:rPr>
          <w:rFonts w:ascii="Times New Roman" w:hAnsi="Times New Roman" w:cs="Times New Roman"/>
          <w:lang w:val="ru-RU"/>
        </w:rPr>
        <w:tab/>
        <w:t>параметър за центробежната сила, дължаща се</w:t>
      </w:r>
      <w:r w:rsidR="0030558F" w:rsidRPr="00F06DE2">
        <w:rPr>
          <w:rFonts w:ascii="Times New Roman" w:hAnsi="Times New Roman" w:cs="Times New Roman"/>
          <w:lang w:val="ru-RU"/>
        </w:rPr>
        <w:t xml:space="preserve"> </w:t>
      </w:r>
      <w:r w:rsidR="002850FF" w:rsidRPr="00F06DE2">
        <w:rPr>
          <w:rFonts w:ascii="Times New Roman" w:hAnsi="Times New Roman" w:cs="Times New Roman"/>
          <w:lang w:val="ru-RU"/>
        </w:rPr>
        <w:t xml:space="preserve"> </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w:t>
      </w:r>
    </w:p>
    <w:p w14:paraId="1A2245D8" w14:textId="77777777" w:rsidR="00271FA2" w:rsidRPr="00F06DE2" w:rsidRDefault="00D35E51">
      <w:pPr>
        <w:pStyle w:val="ESch"/>
        <w:ind w:left="0" w:firstLine="0"/>
        <w:rPr>
          <w:rFonts w:ascii="Times New Roman" w:eastAsia="Calibri" w:hAnsi="Times New Roman" w:cs="Times New Roman"/>
        </w:rPr>
      </w:pPr>
      <m:oMathPara>
        <m:oMath>
          <m:r>
            <w:rPr>
              <w:rFonts w:ascii="Cambria Math" w:eastAsia="Calibri" w:hAnsi="Cambria Math" w:cs="Times New Roman"/>
            </w:rPr>
            <m:t xml:space="preserve">Z= </m:t>
          </m:r>
          <m:f>
            <m:fPr>
              <m:ctrlPr>
                <w:rPr>
                  <w:rFonts w:ascii="Cambria Math" w:eastAsia="Calibri" w:hAnsi="Cambria Math" w:cs="Times New Roman"/>
                  <w:i/>
                </w:rPr>
              </m:ctrlPr>
            </m:fPr>
            <m:num>
              <m:sSup>
                <m:sSupPr>
                  <m:ctrlPr>
                    <w:rPr>
                      <w:rFonts w:ascii="Cambria Math" w:eastAsia="Calibri" w:hAnsi="Cambria Math" w:cs="Times New Roman"/>
                      <w:i/>
                    </w:rPr>
                  </m:ctrlPr>
                </m:sSupPr>
                <m:e>
                  <m:d>
                    <m:dPr>
                      <m:ctrlPr>
                        <w:rPr>
                          <w:rFonts w:ascii="Cambria Math" w:eastAsia="Calibri" w:hAnsi="Cambria Math" w:cs="Times New Roman"/>
                          <w:i/>
                        </w:rPr>
                      </m:ctrlPr>
                    </m:dPr>
                    <m:e>
                      <m:r>
                        <w:rPr>
                          <w:rFonts w:ascii="Cambria Math" w:eastAsia="Calibri" w:hAnsi="Cambria Math" w:cs="Times New Roman"/>
                        </w:rPr>
                        <m:t>0,7 ∙v</m:t>
                      </m:r>
                    </m:e>
                  </m:d>
                </m:e>
                <m:sup>
                  <m:r>
                    <w:rPr>
                      <w:rFonts w:ascii="Cambria Math" w:eastAsia="Calibri" w:hAnsi="Cambria Math" w:cs="Times New Roman"/>
                    </w:rPr>
                    <m:t>2</m:t>
                  </m:r>
                </m:sup>
              </m:sSup>
            </m:num>
            <m:den>
              <m:r>
                <w:rPr>
                  <w:rFonts w:ascii="Cambria Math" w:eastAsia="Calibri" w:hAnsi="Cambria Math" w:cs="Times New Roman"/>
                </w:rPr>
                <m:t xml:space="preserve">9,81 ∙1,25 </m:t>
              </m:r>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WL</m:t>
                  </m:r>
                </m:sub>
              </m:sSub>
            </m:den>
          </m:f>
          <m:r>
            <w:rPr>
              <w:rFonts w:ascii="Cambria Math" w:eastAsia="Calibri" w:hAnsi="Cambria Math" w:cs="Times New Roman"/>
            </w:rPr>
            <m:t xml:space="preserve">=0,04 ∙ </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WL</m:t>
                  </m:r>
                </m:sub>
              </m:sSub>
            </m:den>
          </m:f>
        </m:oMath>
      </m:oMathPara>
    </w:p>
    <w:p w14:paraId="2FDE2126" w14:textId="77777777" w:rsidR="00271FA2" w:rsidRPr="00F06DE2" w:rsidRDefault="00D35E51">
      <w:pPr>
        <w:pStyle w:val="EStiret"/>
        <w:spacing w:before="0"/>
        <w:ind w:left="1701" w:hanging="709"/>
        <w:jc w:val="both"/>
        <w:rPr>
          <w:rFonts w:ascii="Times New Roman" w:hAnsi="Times New Roman" w:cs="Times New Roman"/>
          <w:lang w:val="ru-RU"/>
        </w:rPr>
      </w:pPr>
      <m:oMath>
        <m:r>
          <w:rPr>
            <w:rFonts w:ascii="Cambria Math" w:hAnsi="Cambria Math" w:cs="Times New Roman"/>
          </w:rPr>
          <m:t>v</m:t>
        </m:r>
      </m:oMath>
      <w:r w:rsidRPr="00F06DE2">
        <w:rPr>
          <w:rFonts w:ascii="Times New Roman" w:hAnsi="Times New Roman" w:cs="Times New Roman"/>
          <w:lang w:val="ru-RU"/>
        </w:rPr>
        <w:tab/>
        <w:t>максимална скорост на плавателния съд по отношение на водата [</w:t>
      </w:r>
      <w:r w:rsidRPr="00F06DE2">
        <w:rPr>
          <w:rFonts w:ascii="Times New Roman" w:hAnsi="Times New Roman" w:cs="Times New Roman"/>
        </w:rPr>
        <w:t>m</w:t>
      </w:r>
      <w:r w:rsidRPr="00F06DE2">
        <w:rPr>
          <w:rFonts w:ascii="Times New Roman" w:hAnsi="Times New Roman" w:cs="Times New Roman"/>
          <w:lang w:val="ru-RU"/>
        </w:rPr>
        <w:t>/</w:t>
      </w:r>
      <w:r w:rsidRPr="00F06DE2">
        <w:rPr>
          <w:rFonts w:ascii="Times New Roman" w:hAnsi="Times New Roman" w:cs="Times New Roman"/>
        </w:rPr>
        <w:t>s</w:t>
      </w:r>
      <w:r w:rsidRPr="00F06DE2">
        <w:rPr>
          <w:rFonts w:ascii="Times New Roman" w:hAnsi="Times New Roman" w:cs="Times New Roman"/>
          <w:lang w:val="ru-RU"/>
        </w:rPr>
        <w:t>];</w:t>
      </w:r>
    </w:p>
    <w:p w14:paraId="77AA72B0" w14:textId="77777777" w:rsidR="00271FA2" w:rsidRPr="00F06DE2" w:rsidRDefault="002C62EC">
      <w:pPr>
        <w:pStyle w:val="EStiret"/>
        <w:spacing w:before="0"/>
        <w:ind w:left="1701" w:hanging="709"/>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oMath>
      <w:r w:rsidR="00D35E51" w:rsidRPr="00F06DE2">
        <w:rPr>
          <w:rFonts w:ascii="Times New Roman" w:hAnsi="Times New Roman" w:cs="Times New Roman"/>
          <w:lang w:val="ru-RU"/>
        </w:rPr>
        <w:t xml:space="preserve"> </w:t>
      </w:r>
      <w:r w:rsidR="00D35E51" w:rsidRPr="00F06DE2">
        <w:rPr>
          <w:rFonts w:ascii="Times New Roman" w:hAnsi="Times New Roman" w:cs="Times New Roman"/>
          <w:lang w:val="ru-RU"/>
        </w:rPr>
        <w:tab/>
        <w:t>съответно средно газене [</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60FEB981" w14:textId="77777777" w:rsidR="00271FA2" w:rsidRPr="00F06DE2" w:rsidRDefault="002C62EC">
      <w:pPr>
        <w:pStyle w:val="EStiret"/>
        <w:spacing w:before="0"/>
        <w:ind w:left="1701" w:hanging="709"/>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lang w:val="ru-RU"/>
              </w:rPr>
              <m:t>h</m:t>
            </m:r>
          </m:e>
          <m:sub>
            <m:r>
              <w:rPr>
                <w:rFonts w:ascii="Cambria Math" w:hAnsi="Cambria Math" w:cs="Times New Roman"/>
              </w:rPr>
              <m:t>KW</m:t>
            </m:r>
          </m:sub>
        </m:sSub>
      </m:oMath>
      <w:r w:rsidR="00D35E51" w:rsidRPr="00F06DE2">
        <w:rPr>
          <w:rFonts w:ascii="Times New Roman" w:hAnsi="Times New Roman" w:cs="Times New Roman"/>
          <w:lang w:val="ru-RU"/>
        </w:rPr>
        <w:tab/>
        <w:t>рамо на кренящия момент, получено в резултат на страничното налягане на вятъра съгласно точка 1, буква “г“ [</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271F7589" w14:textId="77777777" w:rsidR="00271FA2" w:rsidRPr="00F06DE2" w:rsidRDefault="002C62EC">
      <w:pPr>
        <w:pStyle w:val="EStiret"/>
        <w:spacing w:before="0"/>
        <w:ind w:left="1701" w:hanging="709"/>
        <w:jc w:val="both"/>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lang w:val="ru-RU"/>
              </w:rPr>
              <m:t>h</m:t>
            </m:r>
          </m:e>
          <m:sub>
            <m:r>
              <w:rPr>
                <w:rFonts w:ascii="Cambria Math" w:hAnsi="Cambria Math" w:cs="Times New Roman"/>
              </w:rPr>
              <m:t>KfO</m:t>
            </m:r>
          </m:sub>
        </m:sSub>
      </m:oMath>
      <w:r w:rsidR="00D35E51" w:rsidRPr="00F06DE2">
        <w:rPr>
          <w:rFonts w:ascii="Times New Roman" w:hAnsi="Times New Roman" w:cs="Times New Roman"/>
          <w:lang w:val="ru-RU"/>
        </w:rPr>
        <w:tab/>
        <w:t>е сборът от рамената на кренящия момент, резултат от откритите повърхности на течностите съгласно точка 1, буква “д“ [</w:t>
      </w:r>
      <w:r w:rsidR="00D35E51" w:rsidRPr="00F06DE2">
        <w:rPr>
          <w:rFonts w:ascii="Times New Roman" w:hAnsi="Times New Roman" w:cs="Times New Roman"/>
        </w:rPr>
        <w:t>m</w:t>
      </w:r>
      <w:r w:rsidR="00D35E51" w:rsidRPr="00F06DE2">
        <w:rPr>
          <w:rFonts w:ascii="Times New Roman" w:hAnsi="Times New Roman" w:cs="Times New Roman"/>
          <w:lang w:val="ru-RU"/>
        </w:rPr>
        <w:t>].</w:t>
      </w:r>
    </w:p>
    <w:p w14:paraId="7CECE34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Формула за приближение </w:t>
      </w:r>
      <m:oMath>
        <m:acc>
          <m:accPr>
            <m:chr m:val="̅"/>
            <m:ctrlPr>
              <w:rPr>
                <w:rFonts w:ascii="Cambria Math" w:eastAsia="Calibri" w:hAnsi="Cambria Math" w:cs="Times New Roman"/>
                <w:i/>
                <w:snapToGrid w:val="0"/>
                <w:color w:val="000000"/>
              </w:rPr>
            </m:ctrlPr>
          </m:accPr>
          <m:e>
            <m:r>
              <w:rPr>
                <w:rFonts w:ascii="Cambria Math" w:eastAsia="Calibri" w:hAnsi="Cambria Math" w:cs="Times New Roman"/>
              </w:rPr>
              <m:t>KM</m:t>
            </m:r>
          </m:e>
        </m:acc>
      </m:oMath>
      <w:r w:rsidRPr="00F06DE2">
        <w:rPr>
          <w:rFonts w:ascii="Times New Roman" w:hAnsi="Times New Roman" w:cs="Times New Roman"/>
          <w:lang w:val="ru-RU"/>
        </w:rPr>
        <w:t>:</w:t>
      </w:r>
    </w:p>
    <w:p w14:paraId="26D82B2F"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Когато липсва таблица за хидростатичните криви, стойността на </w:t>
      </w:r>
      <m:oMath>
        <m:acc>
          <m:accPr>
            <m:chr m:val="̅"/>
            <m:ctrlPr>
              <w:rPr>
                <w:rFonts w:ascii="Cambria Math" w:eastAsia="Calibri" w:hAnsi="Cambria Math" w:cs="Times New Roman"/>
                <w:i/>
                <w:snapToGrid w:val="0"/>
                <w:color w:val="000000"/>
              </w:rPr>
            </m:ctrlPr>
          </m:accPr>
          <m:e>
            <m:r>
              <w:rPr>
                <w:rFonts w:ascii="Cambria Math" w:eastAsia="Calibri" w:hAnsi="Cambria Math" w:cs="Times New Roman"/>
              </w:rPr>
              <m:t>KM</m:t>
            </m:r>
          </m:e>
        </m:acc>
      </m:oMath>
      <w:r w:rsidRPr="00F06DE2">
        <w:rPr>
          <w:rFonts w:ascii="Times New Roman" w:hAnsi="Times New Roman" w:cs="Times New Roman"/>
          <w:lang w:val="ru-RU"/>
        </w:rPr>
        <w:t xml:space="preserve"> за изчислението съгласно точка 2 и член 27.03, точка 2 може да бъде определена по следните формули за приближение:</w:t>
      </w:r>
    </w:p>
    <w:p w14:paraId="4DFD5E73" w14:textId="77777777" w:rsidR="00271FA2" w:rsidRPr="00F06DE2" w:rsidRDefault="00D35E51">
      <w:pPr>
        <w:pStyle w:val="ESlet"/>
        <w:numPr>
          <w:ilvl w:val="0"/>
          <w:numId w:val="31"/>
        </w:numPr>
        <w:spacing w:before="0"/>
        <w:ind w:left="851" w:hanging="284"/>
        <w:jc w:val="both"/>
        <w:rPr>
          <w:rFonts w:ascii="Times New Roman" w:hAnsi="Times New Roman" w:cs="Times New Roman"/>
          <w:lang w:val="ru-RU"/>
        </w:rPr>
      </w:pPr>
      <w:r w:rsidRPr="00F06DE2">
        <w:rPr>
          <w:rFonts w:ascii="Times New Roman" w:hAnsi="Times New Roman" w:cs="Times New Roman"/>
          <w:lang w:val="ru-RU"/>
        </w:rPr>
        <w:t>за плавателни съдове във формата на понтон</w:t>
      </w:r>
    </w:p>
    <w:p w14:paraId="0C1D3A59" w14:textId="77777777" w:rsidR="00271FA2" w:rsidRPr="00F06DE2" w:rsidRDefault="002C62EC">
      <w:pPr>
        <w:pStyle w:val="ESlet"/>
        <w:spacing w:before="0"/>
        <w:ind w:left="851" w:hanging="284"/>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KM</m:t>
              </m:r>
            </m:e>
          </m:acc>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e>
                <m:sub>
                  <m:r>
                    <w:rPr>
                      <w:rFonts w:ascii="Cambria Math" w:hAnsi="Cambria Math" w:cs="Times New Roman"/>
                    </w:rPr>
                    <m:t>WL</m:t>
                  </m:r>
                </m:sub>
              </m:sSub>
            </m:num>
            <m:den>
              <m:d>
                <m:dPr>
                  <m:ctrlPr>
                    <w:rPr>
                      <w:rFonts w:ascii="Cambria Math" w:hAnsi="Cambria Math" w:cs="Times New Roman"/>
                      <w:i/>
                    </w:rPr>
                  </m:ctrlPr>
                </m:dPr>
                <m:e>
                  <m:r>
                    <w:rPr>
                      <w:rFonts w:ascii="Cambria Math" w:hAnsi="Cambria Math" w:cs="Times New Roman"/>
                    </w:rPr>
                    <m:t xml:space="preserve">12,5-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num>
                    <m:den>
                      <m:r>
                        <w:rPr>
                          <w:rFonts w:ascii="Cambria Math" w:hAnsi="Cambria Math" w:cs="Times New Roman"/>
                        </w:rPr>
                        <m:t>H</m:t>
                      </m:r>
                    </m:den>
                  </m:f>
                </m:e>
              </m:d>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den>
          </m:f>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num>
            <m:den>
              <m:r>
                <w:rPr>
                  <w:rFonts w:ascii="Cambria Math" w:hAnsi="Cambria Math" w:cs="Times New Roman"/>
                </w:rPr>
                <m:t>2</m:t>
              </m:r>
            </m:den>
          </m:f>
          <m:r>
            <w:rPr>
              <w:rFonts w:ascii="Cambria Math" w:hAnsi="Cambria Math" w:cs="Times New Roman"/>
            </w:rPr>
            <m:t xml:space="preserve"> </m:t>
          </m:r>
          <m:d>
            <m:dPr>
              <m:begChr m:val="["/>
              <m:endChr m:val="]"/>
              <m:ctrlPr>
                <w:rPr>
                  <w:rFonts w:ascii="Cambria Math" w:hAnsi="Cambria Math" w:cs="Times New Roman"/>
                  <w:i/>
                </w:rPr>
              </m:ctrlPr>
            </m:dPr>
            <m:e>
              <m:r>
                <w:rPr>
                  <w:rFonts w:ascii="Cambria Math" w:hAnsi="Cambria Math" w:cs="Times New Roman"/>
                </w:rPr>
                <m:t>m</m:t>
              </m:r>
            </m:e>
          </m:d>
        </m:oMath>
      </m:oMathPara>
    </w:p>
    <w:p w14:paraId="58541045" w14:textId="77777777" w:rsidR="00271FA2" w:rsidRPr="00F06DE2" w:rsidRDefault="00D35E51">
      <w:pPr>
        <w:pStyle w:val="ESlet"/>
        <w:spacing w:before="0"/>
        <w:ind w:left="851" w:hanging="284"/>
        <w:jc w:val="both"/>
        <w:rPr>
          <w:rFonts w:ascii="Times New Roman" w:hAnsi="Times New Roman" w:cs="Times New Roman"/>
        </w:rPr>
      </w:pPr>
      <w:r w:rsidRPr="00F06DE2">
        <w:rPr>
          <w:rFonts w:ascii="Times New Roman" w:hAnsi="Times New Roman" w:cs="Times New Roman"/>
        </w:rPr>
        <w:t>б) за други плавателни съдове</w:t>
      </w:r>
    </w:p>
    <w:p w14:paraId="2C00F9CA" w14:textId="77777777" w:rsidR="00271FA2" w:rsidRPr="00F06DE2" w:rsidRDefault="002C62EC">
      <w:pPr>
        <w:pStyle w:val="ESlet"/>
        <w:spacing w:before="0"/>
        <w:ind w:left="851" w:hanging="284"/>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KM</m:t>
              </m:r>
            </m:e>
          </m:acc>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e>
                <m:sub>
                  <m:r>
                    <w:rPr>
                      <w:rFonts w:ascii="Cambria Math" w:hAnsi="Cambria Math" w:cs="Times New Roman"/>
                    </w:rPr>
                    <m:t>WL</m:t>
                  </m:r>
                </m:sub>
              </m:sSub>
            </m:num>
            <m:den>
              <m:d>
                <m:dPr>
                  <m:ctrlPr>
                    <w:rPr>
                      <w:rFonts w:ascii="Cambria Math" w:hAnsi="Cambria Math" w:cs="Times New Roman"/>
                      <w:i/>
                    </w:rPr>
                  </m:ctrlPr>
                </m:dPr>
                <m:e>
                  <m:r>
                    <w:rPr>
                      <w:rFonts w:ascii="Cambria Math" w:hAnsi="Cambria Math" w:cs="Times New Roman"/>
                    </w:rPr>
                    <m:t xml:space="preserve">12,7-1,2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num>
                    <m:den>
                      <m:r>
                        <w:rPr>
                          <w:rFonts w:ascii="Cambria Math" w:hAnsi="Cambria Math" w:cs="Times New Roman"/>
                        </w:rPr>
                        <m:t>H</m:t>
                      </m:r>
                    </m:den>
                  </m:f>
                </m:e>
              </m:d>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den>
          </m:f>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num>
            <m:den>
              <m:r>
                <w:rPr>
                  <w:rFonts w:ascii="Cambria Math" w:hAnsi="Cambria Math" w:cs="Times New Roman"/>
                </w:rPr>
                <m:t>2</m:t>
              </m:r>
            </m:den>
          </m:f>
          <m:r>
            <w:rPr>
              <w:rFonts w:ascii="Cambria Math" w:hAnsi="Cambria Math" w:cs="Times New Roman"/>
            </w:rPr>
            <m:t xml:space="preserve"> </m:t>
          </m:r>
          <m:d>
            <m:dPr>
              <m:begChr m:val="["/>
              <m:endChr m:val="]"/>
              <m:ctrlPr>
                <w:rPr>
                  <w:rFonts w:ascii="Cambria Math" w:hAnsi="Cambria Math" w:cs="Times New Roman"/>
                  <w:i/>
                </w:rPr>
              </m:ctrlPr>
            </m:dPr>
            <m:e>
              <m:r>
                <w:rPr>
                  <w:rFonts w:ascii="Cambria Math" w:hAnsi="Cambria Math" w:cs="Times New Roman"/>
                </w:rPr>
                <m:t>m</m:t>
              </m:r>
            </m:e>
          </m:d>
        </m:oMath>
      </m:oMathPara>
    </w:p>
    <w:p w14:paraId="3C7B823D" w14:textId="77777777" w:rsidR="00271FA2" w:rsidRPr="00F06DE2" w:rsidRDefault="00271FA2">
      <w:pPr>
        <w:pStyle w:val="ESlet"/>
        <w:spacing w:before="0"/>
        <w:ind w:left="851" w:hanging="284"/>
        <w:rPr>
          <w:rFonts w:ascii="Times New Roman" w:hAnsi="Times New Roman" w:cs="Times New Roman"/>
        </w:rPr>
      </w:pPr>
    </w:p>
    <w:p w14:paraId="69403F6A"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76" w:name="_Toc535827682"/>
      <w:bookmarkStart w:id="477" w:name="_Toc491854241"/>
      <w:r w:rsidRPr="00F06DE2">
        <w:rPr>
          <w:rFonts w:ascii="Times New Roman" w:hAnsi="Times New Roman" w:cs="Times New Roman"/>
          <w:sz w:val="24"/>
          <w:szCs w:val="24"/>
          <w:lang w:val="ru-RU"/>
        </w:rPr>
        <w:t>Член 27.03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Ограничителни условия и метод на изчисляване на потвърждението за устойчивост за транспорта на закрепени контейнери</w:t>
      </w:r>
      <w:bookmarkEnd w:id="476"/>
      <w:bookmarkEnd w:id="477"/>
    </w:p>
    <w:p w14:paraId="60CDBCD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Всички методи на изчисляване на устойчивостта на плавателния съд при закрепени контейнери трябва да отговарят на следните ограничителни условия:</w:t>
      </w:r>
    </w:p>
    <w:p w14:paraId="4FD3780D" w14:textId="77777777" w:rsidR="00271FA2" w:rsidRPr="00F06DE2" w:rsidRDefault="00D35E51">
      <w:pPr>
        <w:pStyle w:val="ESlet"/>
        <w:spacing w:before="0"/>
        <w:ind w:hanging="425"/>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Метацентричната височина </w:t>
      </w:r>
      <m:oMath>
        <m:acc>
          <m:accPr>
            <m:chr m:val="̅"/>
            <m:ctrlPr>
              <w:rPr>
                <w:rFonts w:ascii="Cambria Math" w:hAnsi="Cambria Math" w:cs="Times New Roman"/>
                <w:i/>
              </w:rPr>
            </m:ctrlPr>
          </m:accPr>
          <m:e>
            <m:r>
              <w:rPr>
                <w:rFonts w:ascii="Cambria Math" w:hAnsi="Cambria Math" w:cs="Times New Roman"/>
              </w:rPr>
              <m:t>MG</m:t>
            </m:r>
          </m:e>
        </m:acc>
      </m:oMath>
      <w:r w:rsidRPr="00F06DE2">
        <w:rPr>
          <w:rFonts w:ascii="Times New Roman" w:hAnsi="Times New Roman" w:cs="Times New Roman"/>
          <w:lang w:val="ru-RU"/>
        </w:rPr>
        <w:t xml:space="preserve"> не трябва да е по-малка от 0,50 </w:t>
      </w:r>
      <w:r w:rsidRPr="00F06DE2">
        <w:rPr>
          <w:rFonts w:ascii="Times New Roman" w:hAnsi="Times New Roman" w:cs="Times New Roman"/>
        </w:rPr>
        <w:t>m</w:t>
      </w:r>
      <w:r w:rsidRPr="00F06DE2">
        <w:rPr>
          <w:rFonts w:ascii="Times New Roman" w:hAnsi="Times New Roman" w:cs="Times New Roman"/>
          <w:lang w:val="ru-RU"/>
        </w:rPr>
        <w:t>.</w:t>
      </w:r>
    </w:p>
    <w:p w14:paraId="7EB157AC" w14:textId="3DD6F4F9"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Комбинираното действие на центробежната сила в резултат</w:t>
      </w:r>
      <w:r w:rsidR="002850FF" w:rsidRPr="00F06DE2">
        <w:rPr>
          <w:rFonts w:ascii="Times New Roman" w:hAnsi="Times New Roman" w:cs="Times New Roman"/>
          <w:lang w:val="ru-RU"/>
        </w:rPr>
        <w:t xml:space="preserve"> </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xml:space="preserve"> на плавателния съд, налягането на вятъра и откритите повърхности на течностите, не трябва да води до потапяне на никой отвор в корпуса.</w:t>
      </w:r>
    </w:p>
    <w:p w14:paraId="747D503A" w14:textId="7A80C946"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Рамената на кренящ момент в резултат на центробежната сила при </w:t>
      </w:r>
      <w:r w:rsidR="00F670CA" w:rsidRPr="00F06DE2">
        <w:rPr>
          <w:rFonts w:ascii="Times New Roman" w:hAnsi="Times New Roman" w:cs="Times New Roman"/>
          <w:lang w:val="ru-RU"/>
        </w:rPr>
        <w:t xml:space="preserve"> завиване </w:t>
      </w:r>
      <w:r w:rsidRPr="00F06DE2">
        <w:rPr>
          <w:rFonts w:ascii="Times New Roman" w:hAnsi="Times New Roman" w:cs="Times New Roman"/>
          <w:lang w:val="ru-RU"/>
        </w:rPr>
        <w:t>на плавателния съд, налягането на вятъра и откритите повърхности на течностите се определят по формулите, посочени в член 27.02, точка 1, букви “в” - “д”.</w:t>
      </w:r>
    </w:p>
    <w:p w14:paraId="067BACE5"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Половината от запасите на гориво и прясна вода трябва да бъдат взети предвид при всяко състояние на натоварване.</w:t>
      </w:r>
    </w:p>
    <w:p w14:paraId="51A48F5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2.</w:t>
      </w:r>
      <w:r w:rsidRPr="00F06DE2">
        <w:rPr>
          <w:rFonts w:ascii="Times New Roman" w:hAnsi="Times New Roman" w:cs="Times New Roman"/>
          <w:lang w:val="ru-RU"/>
        </w:rPr>
        <w:tab/>
        <w:t xml:space="preserve">Устойчивостта на плавателен съд, превозващ закрепени контейнери, се смята за достатъчна, ако действителната </w:t>
      </w:r>
      <m:oMath>
        <m:acc>
          <m:accPr>
            <m:chr m:val="̅"/>
            <m:ctrlPr>
              <w:rPr>
                <w:rFonts w:ascii="Cambria Math" w:eastAsia="Calibri" w:hAnsi="Cambria Math" w:cs="Times New Roman"/>
                <w:i/>
              </w:rPr>
            </m:ctrlPr>
          </m:accPr>
          <m:e>
            <m:r>
              <w:rPr>
                <w:rFonts w:ascii="Cambria Math" w:eastAsia="Calibri" w:hAnsi="Cambria Math" w:cs="Times New Roman"/>
              </w:rPr>
              <m:t>KG</m:t>
            </m:r>
          </m:e>
        </m:acc>
      </m:oMath>
      <w:r w:rsidRPr="00F06DE2">
        <w:rPr>
          <w:rFonts w:ascii="Times New Roman" w:hAnsi="Times New Roman" w:cs="Times New Roman"/>
          <w:lang w:val="ru-RU"/>
        </w:rPr>
        <w:t xml:space="preserve"> не превишава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KG</m:t>
                </m:r>
              </m:e>
            </m:acc>
          </m:e>
          <m:sub>
            <m:r>
              <w:rPr>
                <w:rFonts w:ascii="Cambria Math" w:hAnsi="Cambria Math" w:cs="Times New Roman"/>
              </w:rPr>
              <m:t>zul</m:t>
            </m:r>
          </m:sub>
        </m:sSub>
      </m:oMath>
      <w:r w:rsidRPr="00F06DE2">
        <w:rPr>
          <w:rFonts w:ascii="Times New Roman" w:hAnsi="Times New Roman" w:cs="Times New Roman"/>
          <w:lang w:val="ru-RU"/>
        </w:rPr>
        <w:t>, получена по следните формули, изчислени при различни водоизмествания, обхващащи целия диапазон от стойности за газенето.</w:t>
      </w:r>
    </w:p>
    <w:p w14:paraId="311C5872" w14:textId="77777777" w:rsidR="00271FA2" w:rsidRPr="00F06DE2" w:rsidRDefault="00D35E51">
      <w:pPr>
        <w:pStyle w:val="ESlet"/>
        <w:spacing w:before="0"/>
        <w:ind w:left="851" w:hanging="284"/>
        <w:rPr>
          <w:rFonts w:ascii="Times New Roman" w:eastAsia="Calibri" w:hAnsi="Times New Roman" w:cs="Times New Roman"/>
        </w:rPr>
      </w:pPr>
      <w:r w:rsidRPr="00F06DE2">
        <w:rPr>
          <w:rFonts w:ascii="Times New Roman" w:hAnsi="Times New Roman" w:cs="Times New Roman"/>
        </w:rPr>
        <w:t xml:space="preserve">a)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KG</m:t>
                </m:r>
              </m:e>
            </m:acc>
          </m:e>
          <m:sub>
            <m:r>
              <w:rPr>
                <w:rFonts w:ascii="Cambria Math" w:eastAsia="Calibri" w:hAnsi="Cambria Math" w:cs="Times New Roman"/>
              </w:rPr>
              <m:t>zul</m:t>
            </m:r>
          </m:sub>
        </m:sSub>
        <m:r>
          <w:rPr>
            <w:rFonts w:ascii="Cambria Math" w:eastAsia="Calibri" w:hAnsi="Cambria Math" w:cs="Times New Roman"/>
          </w:rPr>
          <m:t xml:space="preserve">= </m:t>
        </m:r>
        <m:f>
          <m:fPr>
            <m:ctrlPr>
              <w:rPr>
                <w:rFonts w:ascii="Cambria Math" w:eastAsia="Calibri" w:hAnsi="Cambria Math" w:cs="Times New Roman"/>
                <w:i/>
              </w:rPr>
            </m:ctrlPr>
          </m:fPr>
          <m:num>
            <m:acc>
              <m:accPr>
                <m:chr m:val="̅"/>
                <m:ctrlPr>
                  <w:rPr>
                    <w:rFonts w:ascii="Cambria Math" w:eastAsia="Calibri" w:hAnsi="Cambria Math" w:cs="Times New Roman"/>
                    <w:i/>
                  </w:rPr>
                </m:ctrlPr>
              </m:accPr>
              <m:e>
                <m:r>
                  <w:rPr>
                    <w:rFonts w:ascii="Cambria Math" w:eastAsia="Calibri" w:hAnsi="Cambria Math" w:cs="Times New Roman"/>
                  </w:rPr>
                  <m:t>KM</m:t>
                </m:r>
              </m:e>
            </m:acc>
            <m:r>
              <w:rPr>
                <w:rFonts w:ascii="Cambria Math" w:eastAsia="Calibri" w:hAnsi="Cambria Math" w:cs="Times New Roman"/>
              </w:rPr>
              <m:t xml:space="preserve">- </m:t>
            </m:r>
            <m:f>
              <m:fPr>
                <m:ctrlPr>
                  <w:rPr>
                    <w:rFonts w:ascii="Cambria Math" w:eastAsia="Calibri" w:hAnsi="Cambria Math" w:cs="Times New Roman"/>
                    <w:i/>
                  </w:rPr>
                </m:ctrlPr>
              </m:fPr>
              <m:num>
                <m:r>
                  <w:rPr>
                    <w:rFonts w:ascii="Cambria Math" w:eastAsia="Calibri" w:hAnsi="Cambria Math" w:cs="Times New Roman"/>
                  </w:rPr>
                  <m:t>I-i</m:t>
                </m:r>
              </m:num>
              <m:den>
                <m:r>
                  <w:rPr>
                    <w:rFonts w:ascii="Cambria Math" w:eastAsia="Calibri" w:hAnsi="Cambria Math" w:cs="Times New Roman"/>
                  </w:rPr>
                  <m:t>2 ∀</m:t>
                </m:r>
              </m:den>
            </m:f>
            <m:r>
              <w:rPr>
                <w:rFonts w:ascii="Cambria Math" w:eastAsia="Calibri" w:hAnsi="Cambria Math" w:cs="Times New Roman"/>
              </w:rPr>
              <m:t xml:space="preserve"> </m:t>
            </m:r>
            <m:d>
              <m:dPr>
                <m:ctrlPr>
                  <w:rPr>
                    <w:rFonts w:ascii="Cambria Math" w:eastAsia="Calibri" w:hAnsi="Cambria Math" w:cs="Times New Roman"/>
                    <w:i/>
                  </w:rPr>
                </m:ctrlPr>
              </m:dPr>
              <m:e>
                <m:r>
                  <w:rPr>
                    <w:rFonts w:ascii="Cambria Math" w:eastAsia="Calibri" w:hAnsi="Cambria Math" w:cs="Times New Roman"/>
                  </w:rPr>
                  <m:t xml:space="preserve">1-1,5 </m:t>
                </m:r>
                <m:f>
                  <m:fPr>
                    <m:ctrlPr>
                      <w:rPr>
                        <w:rFonts w:ascii="Cambria Math" w:eastAsia="Calibri" w:hAnsi="Cambria Math" w:cs="Times New Roman"/>
                        <w:i/>
                      </w:rPr>
                    </m:ctrlPr>
                  </m:fPr>
                  <m:num>
                    <m:r>
                      <w:rPr>
                        <w:rFonts w:ascii="Cambria Math" w:eastAsia="Calibri" w:hAnsi="Cambria Math" w:cs="Times New Roman"/>
                      </w:rPr>
                      <m:t>F</m:t>
                    </m:r>
                  </m:num>
                  <m:den>
                    <m:sSup>
                      <m:sSupPr>
                        <m:ctrlPr>
                          <w:rPr>
                            <w:rFonts w:ascii="Cambria Math" w:eastAsia="Calibri" w:hAnsi="Cambria Math" w:cs="Times New Roman"/>
                            <w:i/>
                          </w:rPr>
                        </m:ctrlPr>
                      </m:sSupPr>
                      <m:e>
                        <m:r>
                          <w:rPr>
                            <w:rFonts w:ascii="Cambria Math" w:eastAsia="Calibri" w:hAnsi="Cambria Math" w:cs="Times New Roman"/>
                          </w:rPr>
                          <m:t>F</m:t>
                        </m:r>
                      </m:e>
                      <m:sup>
                        <m:r>
                          <w:rPr>
                            <w:rFonts w:ascii="Cambria Math" w:eastAsia="Calibri" w:hAnsi="Cambria Math" w:cs="Times New Roman"/>
                          </w:rPr>
                          <m:t>'</m:t>
                        </m:r>
                      </m:sup>
                    </m:sSup>
                  </m:den>
                </m:f>
              </m:e>
            </m:d>
            <m:r>
              <w:rPr>
                <w:rFonts w:ascii="Cambria Math" w:eastAsia="Calibri" w:hAnsi="Cambria Math" w:cs="Times New Roman"/>
              </w:rPr>
              <m:t xml:space="preserve">+0,75 </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WL</m:t>
                    </m:r>
                  </m:sub>
                </m:sSub>
              </m:num>
              <m:den>
                <m:sSup>
                  <m:sSupPr>
                    <m:ctrlPr>
                      <w:rPr>
                        <w:rFonts w:ascii="Cambria Math" w:eastAsia="Calibri" w:hAnsi="Cambria Math" w:cs="Times New Roman"/>
                        <w:i/>
                      </w:rPr>
                    </m:ctrlPr>
                  </m:sSupPr>
                  <m:e>
                    <m:r>
                      <w:rPr>
                        <w:rFonts w:ascii="Cambria Math" w:eastAsia="Calibri" w:hAnsi="Cambria Math" w:cs="Times New Roman"/>
                      </w:rPr>
                      <m:t>F</m:t>
                    </m:r>
                  </m:e>
                  <m:sup>
                    <m:r>
                      <w:rPr>
                        <w:rFonts w:ascii="Cambria Math" w:eastAsia="Calibri" w:hAnsi="Cambria Math" w:cs="Times New Roman"/>
                      </w:rPr>
                      <m:t>'</m:t>
                    </m:r>
                  </m:sup>
                </m:sSup>
              </m:den>
            </m:f>
            <m:r>
              <w:rPr>
                <w:rFonts w:ascii="Cambria Math" w:eastAsia="Calibri" w:hAnsi="Cambria Math" w:cs="Times New Roman"/>
              </w:rPr>
              <m:t xml:space="preserve"> </m:t>
            </m:r>
            <m:d>
              <m:dPr>
                <m:ctrlPr>
                  <w:rPr>
                    <w:rFonts w:ascii="Cambria Math" w:eastAsia="Calibri" w:hAnsi="Cambria Math" w:cs="Times New Roman"/>
                    <w:i/>
                  </w:rPr>
                </m:ctrlPr>
              </m:dPr>
              <m:e>
                <m:r>
                  <w:rPr>
                    <w:rFonts w:ascii="Cambria Math" w:eastAsia="Calibri" w:hAnsi="Cambria Math" w:cs="Times New Roman"/>
                  </w:rPr>
                  <m:t xml:space="preserve">Z ∙ </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m</m:t>
                        </m:r>
                      </m:sub>
                    </m:sSub>
                  </m:num>
                  <m:den>
                    <m:r>
                      <w:rPr>
                        <w:rFonts w:ascii="Cambria Math" w:eastAsia="Calibri" w:hAnsi="Cambria Math" w:cs="Times New Roman"/>
                      </w:rPr>
                      <m:t>2</m:t>
                    </m:r>
                  </m:den>
                </m:f>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KW</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KfO</m:t>
                    </m:r>
                  </m:sub>
                </m:sSub>
              </m:e>
            </m:d>
          </m:num>
          <m:den>
            <m:r>
              <w:rPr>
                <w:rFonts w:ascii="Cambria Math" w:eastAsia="Calibri" w:hAnsi="Cambria Math" w:cs="Times New Roman"/>
              </w:rPr>
              <m:t xml:space="preserve">0,75 ∙ </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WL</m:t>
                    </m:r>
                  </m:sub>
                </m:sSub>
              </m:num>
              <m:den>
                <m:sSup>
                  <m:sSupPr>
                    <m:ctrlPr>
                      <w:rPr>
                        <w:rFonts w:ascii="Cambria Math" w:eastAsia="Calibri" w:hAnsi="Cambria Math" w:cs="Times New Roman"/>
                        <w:i/>
                      </w:rPr>
                    </m:ctrlPr>
                  </m:sSupPr>
                  <m:e>
                    <m:r>
                      <w:rPr>
                        <w:rFonts w:ascii="Cambria Math" w:eastAsia="Calibri" w:hAnsi="Cambria Math" w:cs="Times New Roman"/>
                      </w:rPr>
                      <m:t>F</m:t>
                    </m:r>
                  </m:e>
                  <m:sup>
                    <m:r>
                      <w:rPr>
                        <w:rFonts w:ascii="Cambria Math" w:eastAsia="Calibri" w:hAnsi="Cambria Math" w:cs="Times New Roman"/>
                      </w:rPr>
                      <m:t>'</m:t>
                    </m:r>
                  </m:sup>
                </m:sSup>
              </m:den>
            </m:f>
            <m:r>
              <w:rPr>
                <w:rFonts w:ascii="Cambria Math" w:eastAsia="Calibri" w:hAnsi="Cambria Math" w:cs="Times New Roman"/>
              </w:rPr>
              <m:t xml:space="preserve"> ∙  Z+1</m:t>
            </m:r>
          </m:den>
        </m:f>
        <m:r>
          <w:rPr>
            <w:rFonts w:ascii="Cambria Math" w:eastAsia="Calibri" w:hAnsi="Cambria Math" w:cs="Times New Roman"/>
          </w:rPr>
          <m:t xml:space="preserve"> </m:t>
        </m:r>
        <m:d>
          <m:dPr>
            <m:begChr m:val="["/>
            <m:endChr m:val="]"/>
            <m:ctrlPr>
              <w:rPr>
                <w:rFonts w:ascii="Cambria Math" w:eastAsia="Calibri" w:hAnsi="Cambria Math" w:cs="Times New Roman"/>
                <w:i/>
              </w:rPr>
            </m:ctrlPr>
          </m:dPr>
          <m:e>
            <m:r>
              <w:rPr>
                <w:rFonts w:ascii="Cambria Math" w:eastAsia="Calibri" w:hAnsi="Cambria Math" w:cs="Times New Roman"/>
              </w:rPr>
              <m:t>m</m:t>
            </m:r>
          </m:e>
        </m:d>
      </m:oMath>
    </w:p>
    <w:p w14:paraId="2779E4B5" w14:textId="77777777" w:rsidR="00271FA2" w:rsidRPr="00F06DE2" w:rsidRDefault="00D35E51">
      <w:pPr>
        <w:pStyle w:val="ESletpar"/>
        <w:spacing w:before="0"/>
        <w:ind w:left="851" w:hanging="284"/>
        <w:rPr>
          <w:rFonts w:ascii="Times New Roman" w:hAnsi="Times New Roman" w:cs="Times New Roman"/>
          <w:lang w:val="ru-RU"/>
        </w:rPr>
      </w:pPr>
      <w:r w:rsidRPr="00F06DE2">
        <w:rPr>
          <w:rFonts w:ascii="Times New Roman" w:hAnsi="Times New Roman" w:cs="Times New Roman"/>
          <w:lang w:val="ru-RU"/>
        </w:rPr>
        <w:t xml:space="preserve">не може да се приема стойност, по-малка от 6,6 за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WL</m:t>
                </m:r>
              </m:sub>
            </m:sSub>
          </m:num>
          <m:den>
            <m:r>
              <w:rPr>
                <w:rFonts w:ascii="Cambria Math" w:hAnsi="Cambria Math" w:cs="Times New Roman"/>
              </w:rPr>
              <m:t>F</m:t>
            </m:r>
            <m:r>
              <w:rPr>
                <w:rFonts w:ascii="Cambria Math" w:hAnsi="Cambria Math" w:cs="Times New Roman"/>
                <w:lang w:val="ru-RU"/>
              </w:rPr>
              <m:t>'</m:t>
            </m:r>
          </m:den>
        </m:f>
      </m:oMath>
      <w:r w:rsidRPr="00F06DE2">
        <w:rPr>
          <w:rFonts w:ascii="Times New Roman" w:hAnsi="Times New Roman" w:cs="Times New Roman"/>
          <w:lang w:val="ru-RU"/>
        </w:rPr>
        <w:t xml:space="preserve"> и</w:t>
      </w:r>
    </w:p>
    <w:p w14:paraId="0A47BEB0" w14:textId="77777777" w:rsidR="00271FA2" w:rsidRPr="00F06DE2" w:rsidRDefault="00D35E51">
      <w:pPr>
        <w:pStyle w:val="ESletpar"/>
        <w:spacing w:before="0"/>
        <w:ind w:left="851" w:hanging="284"/>
        <w:rPr>
          <w:rFonts w:ascii="Times New Roman" w:hAnsi="Times New Roman" w:cs="Times New Roman"/>
          <w:lang w:val="ru-RU"/>
        </w:rPr>
      </w:pPr>
      <w:r w:rsidRPr="00F06DE2">
        <w:rPr>
          <w:rFonts w:ascii="Times New Roman" w:hAnsi="Times New Roman" w:cs="Times New Roman"/>
          <w:lang w:val="ru-RU"/>
        </w:rPr>
        <w:t xml:space="preserve">не може да се приема стойност, по-малка от 0 за  </w:t>
      </w:r>
      <m:oMath>
        <m:f>
          <m:fPr>
            <m:ctrlPr>
              <w:rPr>
                <w:rFonts w:ascii="Cambria Math" w:hAnsi="Cambria Math" w:cs="Times New Roman"/>
                <w:i/>
              </w:rPr>
            </m:ctrlPr>
          </m:fPr>
          <m:num>
            <m:r>
              <w:rPr>
                <w:rFonts w:ascii="Cambria Math" w:hAnsi="Cambria Math" w:cs="Times New Roman"/>
              </w:rPr>
              <m:t>I</m:t>
            </m:r>
            <m:r>
              <w:rPr>
                <w:rFonts w:ascii="Cambria Math" w:hAnsi="Cambria Math" w:cs="Times New Roman"/>
                <w:lang w:val="ru-RU"/>
              </w:rPr>
              <m:t>-</m:t>
            </m:r>
            <m:r>
              <w:rPr>
                <w:rFonts w:ascii="Cambria Math" w:hAnsi="Cambria Math" w:cs="Times New Roman"/>
              </w:rPr>
              <m:t>i</m:t>
            </m:r>
          </m:num>
          <m:den>
            <m:r>
              <w:rPr>
                <w:rFonts w:ascii="Cambria Math" w:hAnsi="Cambria Math" w:cs="Times New Roman"/>
                <w:lang w:val="ru-RU"/>
              </w:rPr>
              <m:t>2 ∀</m:t>
            </m:r>
          </m:den>
        </m:f>
        <m:r>
          <w:rPr>
            <w:rFonts w:ascii="Cambria Math" w:hAnsi="Cambria Math" w:cs="Times New Roman"/>
            <w:lang w:val="ru-RU"/>
          </w:rPr>
          <m:t xml:space="preserve"> ∙ </m:t>
        </m:r>
        <m:d>
          <m:dPr>
            <m:ctrlPr>
              <w:rPr>
                <w:rFonts w:ascii="Cambria Math" w:hAnsi="Cambria Math" w:cs="Times New Roman"/>
                <w:i/>
              </w:rPr>
            </m:ctrlPr>
          </m:dPr>
          <m:e>
            <m:r>
              <w:rPr>
                <w:rFonts w:ascii="Cambria Math" w:hAnsi="Cambria Math" w:cs="Times New Roman"/>
                <w:lang w:val="ru-RU"/>
              </w:rPr>
              <m:t xml:space="preserve">1-1,5 </m:t>
            </m:r>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F</m:t>
                </m:r>
                <m:r>
                  <w:rPr>
                    <w:rFonts w:ascii="Cambria Math" w:hAnsi="Cambria Math" w:cs="Times New Roman"/>
                    <w:lang w:val="ru-RU"/>
                  </w:rPr>
                  <m:t>'</m:t>
                </m:r>
              </m:den>
            </m:f>
          </m:e>
        </m:d>
      </m:oMath>
    </w:p>
    <w:p w14:paraId="7D6B0B9F" w14:textId="77777777" w:rsidR="00271FA2" w:rsidRPr="00F06DE2" w:rsidRDefault="00D35E51">
      <w:pPr>
        <w:pStyle w:val="ESlet"/>
        <w:spacing w:before="0"/>
        <w:ind w:left="851" w:hanging="284"/>
        <w:rPr>
          <w:rFonts w:ascii="Times New Roman" w:hAnsi="Times New Roman" w:cs="Times New Roman"/>
          <w:lang w:val="ru-RU"/>
        </w:rPr>
      </w:pPr>
      <w:r w:rsidRPr="00F06DE2">
        <w:rPr>
          <w:rFonts w:ascii="Times New Roman" w:hAnsi="Times New Roman" w:cs="Times New Roman"/>
          <w:lang w:val="ru-RU"/>
        </w:rPr>
        <w:t xml:space="preserve">б)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KG</m:t>
                </m:r>
              </m:e>
            </m:acc>
          </m:e>
          <m:sub>
            <m:r>
              <w:rPr>
                <w:rFonts w:ascii="Cambria Math" w:hAnsi="Cambria Math" w:cs="Times New Roman"/>
              </w:rPr>
              <m:t>zul</m:t>
            </m:r>
          </m:sub>
        </m:sSub>
        <m:r>
          <w:rPr>
            <w:rFonts w:ascii="Cambria Math" w:hAnsi="Cambria Math" w:cs="Times New Roman"/>
            <w:lang w:val="ru-RU"/>
          </w:rPr>
          <m:t xml:space="preserve">= </m:t>
        </m:r>
        <m:acc>
          <m:accPr>
            <m:chr m:val="̅"/>
            <m:ctrlPr>
              <w:rPr>
                <w:rFonts w:ascii="Cambria Math" w:hAnsi="Cambria Math" w:cs="Times New Roman"/>
                <w:i/>
              </w:rPr>
            </m:ctrlPr>
          </m:accPr>
          <m:e>
            <m:r>
              <w:rPr>
                <w:rFonts w:ascii="Cambria Math" w:hAnsi="Cambria Math" w:cs="Times New Roman"/>
              </w:rPr>
              <m:t>KM</m:t>
            </m:r>
          </m:e>
        </m:acc>
        <m:r>
          <w:rPr>
            <w:rFonts w:ascii="Cambria Math" w:hAnsi="Cambria Math" w:cs="Times New Roman"/>
            <w:lang w:val="ru-RU"/>
          </w:rPr>
          <m:t xml:space="preserve">-0,50 </m:t>
        </m:r>
        <m:d>
          <m:dPr>
            <m:begChr m:val="["/>
            <m:endChr m:val="]"/>
            <m:ctrlPr>
              <w:rPr>
                <w:rFonts w:ascii="Cambria Math" w:hAnsi="Cambria Math" w:cs="Times New Roman"/>
                <w:i/>
              </w:rPr>
            </m:ctrlPr>
          </m:dPr>
          <m:e>
            <m:r>
              <w:rPr>
                <w:rFonts w:ascii="Cambria Math" w:hAnsi="Cambria Math" w:cs="Times New Roman"/>
              </w:rPr>
              <m:t>m</m:t>
            </m:r>
          </m:e>
        </m:d>
      </m:oMath>
    </w:p>
    <w:p w14:paraId="0EA9E0FB" w14:textId="77777777" w:rsidR="00271FA2" w:rsidRPr="00F06DE2" w:rsidRDefault="00D35E51">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Най-ниската стойност за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KG</m:t>
                </m:r>
              </m:e>
            </m:acc>
          </m:e>
          <m:sub>
            <m:r>
              <w:rPr>
                <w:rFonts w:ascii="Cambria Math" w:hAnsi="Cambria Math" w:cs="Times New Roman"/>
              </w:rPr>
              <m:t>zul</m:t>
            </m:r>
          </m:sub>
        </m:sSub>
      </m:oMath>
      <w:r w:rsidRPr="00F06DE2">
        <w:rPr>
          <w:rFonts w:ascii="Times New Roman" w:hAnsi="Times New Roman" w:cs="Times New Roman"/>
          <w:lang w:val="ru-RU"/>
        </w:rPr>
        <w:t xml:space="preserve"> съгласно формулата посочена в букви “</w:t>
      </w:r>
      <w:r w:rsidRPr="00F06DE2">
        <w:rPr>
          <w:rFonts w:ascii="Times New Roman" w:hAnsi="Times New Roman" w:cs="Times New Roman"/>
        </w:rPr>
        <w:t>a</w:t>
      </w:r>
      <w:r w:rsidRPr="00F06DE2">
        <w:rPr>
          <w:rFonts w:ascii="Times New Roman" w:hAnsi="Times New Roman" w:cs="Times New Roman"/>
          <w:lang w:val="ru-RU"/>
        </w:rPr>
        <w:t>” или “б” е решаваща.</w:t>
      </w:r>
    </w:p>
    <w:p w14:paraId="2628A75F" w14:textId="77777777" w:rsidR="00271FA2" w:rsidRPr="00F06DE2" w:rsidRDefault="00D35E51">
      <w:pPr>
        <w:pStyle w:val="ESletpar"/>
        <w:spacing w:before="0"/>
        <w:ind w:left="0" w:firstLine="567"/>
        <w:jc w:val="both"/>
        <w:rPr>
          <w:rFonts w:ascii="Times New Roman" w:hAnsi="Times New Roman" w:cs="Times New Roman"/>
          <w:lang w:val="ru-RU"/>
        </w:rPr>
      </w:pPr>
      <w:r w:rsidRPr="00F06DE2">
        <w:rPr>
          <w:rFonts w:ascii="Times New Roman" w:hAnsi="Times New Roman" w:cs="Times New Roman"/>
          <w:lang w:val="ru-RU"/>
        </w:rPr>
        <w:t>В тези формули, освен термините, определени по-горе:</w:t>
      </w:r>
    </w:p>
    <w:p w14:paraId="00A9A51B" w14:textId="77777777" w:rsidR="00271FA2" w:rsidRPr="00F06DE2" w:rsidRDefault="00D35E51">
      <w:pPr>
        <w:pStyle w:val="EStiret"/>
        <w:spacing w:before="0"/>
        <w:jc w:val="both"/>
        <w:rPr>
          <w:rFonts w:ascii="Times New Roman" w:eastAsia="Calibri" w:hAnsi="Times New Roman" w:cs="Times New Roman"/>
          <w:lang w:val="ru-RU"/>
        </w:rPr>
      </w:pPr>
      <m:oMath>
        <m:r>
          <w:rPr>
            <w:rFonts w:ascii="Cambria Math" w:eastAsia="Calibri" w:hAnsi="Cambria Math" w:cs="Times New Roman"/>
          </w:rPr>
          <m:t>I</m:t>
        </m:r>
      </m:oMath>
      <w:r w:rsidRPr="00F06DE2">
        <w:rPr>
          <w:rFonts w:ascii="Times New Roman" w:hAnsi="Times New Roman" w:cs="Times New Roman"/>
          <w:lang w:val="ru-RU"/>
        </w:rPr>
        <w:tab/>
        <w:t xml:space="preserve">е напречният момент на инерцията на площта на водолинията при </w:t>
      </w:r>
      <m:oMath>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m</m:t>
            </m:r>
          </m:sub>
        </m:sSub>
      </m:oMath>
      <w:r w:rsidRPr="00F06DE2">
        <w:rPr>
          <w:rFonts w:ascii="Times New Roman" w:hAnsi="Times New Roman" w:cs="Times New Roman"/>
          <w:lang w:val="ru-RU"/>
        </w:rPr>
        <w:t xml:space="preserve"> [</w:t>
      </w:r>
      <w:r w:rsidRPr="00F06DE2">
        <w:rPr>
          <w:rFonts w:ascii="Times New Roman" w:hAnsi="Times New Roman" w:cs="Times New Roman"/>
        </w:rPr>
        <w:t>m</w:t>
      </w:r>
      <w:r w:rsidRPr="00F06DE2">
        <w:rPr>
          <w:rFonts w:ascii="Times New Roman" w:hAnsi="Times New Roman" w:cs="Times New Roman"/>
          <w:vertAlign w:val="superscript"/>
          <w:lang w:val="ru-RU"/>
        </w:rPr>
        <w:t>4</w:t>
      </w:r>
      <w:r w:rsidRPr="00F06DE2">
        <w:rPr>
          <w:rFonts w:ascii="Times New Roman" w:hAnsi="Times New Roman" w:cs="Times New Roman"/>
          <w:lang w:val="ru-RU"/>
        </w:rPr>
        <w:t>] (за формулата за приближение виж точка 3);</w:t>
      </w:r>
    </w:p>
    <w:p w14:paraId="072FBC20" w14:textId="77777777" w:rsidR="00271FA2" w:rsidRPr="00F06DE2" w:rsidRDefault="00D35E51">
      <w:pPr>
        <w:pStyle w:val="EStiret"/>
        <w:spacing w:before="0"/>
        <w:jc w:val="both"/>
        <w:rPr>
          <w:rFonts w:ascii="Times New Roman" w:eastAsia="Calibri" w:hAnsi="Times New Roman" w:cs="Times New Roman"/>
          <w:lang w:val="ru-RU"/>
        </w:rPr>
      </w:pPr>
      <m:oMath>
        <m:r>
          <w:rPr>
            <w:rFonts w:ascii="Cambria Math" w:eastAsia="Calibri" w:hAnsi="Cambria Math" w:cs="Times New Roman"/>
          </w:rPr>
          <m:t>i</m:t>
        </m:r>
      </m:oMath>
      <w:r w:rsidRPr="00F06DE2">
        <w:rPr>
          <w:rFonts w:ascii="Times New Roman" w:hAnsi="Times New Roman" w:cs="Times New Roman"/>
          <w:lang w:val="ru-RU"/>
        </w:rPr>
        <w:tab/>
        <w:t>е напречният момент на инерцията на площта на водолинията, успоредна на основата, при височина</w:t>
      </w:r>
    </w:p>
    <w:p w14:paraId="4D50DDC2" w14:textId="77777777" w:rsidR="00271FA2" w:rsidRPr="00F06DE2" w:rsidRDefault="002C62EC">
      <w:pPr>
        <w:pStyle w:val="EStiret"/>
        <w:spacing w:before="0"/>
        <w:ind w:left="0"/>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m</m:t>
              </m:r>
            </m:sub>
          </m:sSub>
          <m:r>
            <w:rPr>
              <w:rFonts w:ascii="Cambria Math" w:eastAsia="Calibri" w:hAnsi="Cambria Math" w:cs="Times New Roman"/>
            </w:rPr>
            <m:t xml:space="preserve">+ </m:t>
          </m:r>
          <m:f>
            <m:fPr>
              <m:ctrlPr>
                <w:rPr>
                  <w:rFonts w:ascii="Cambria Math" w:eastAsia="Calibri" w:hAnsi="Cambria Math" w:cs="Times New Roman"/>
                  <w:i/>
                </w:rPr>
              </m:ctrlPr>
            </m:fPr>
            <m:num>
              <m:r>
                <w:rPr>
                  <w:rFonts w:ascii="Cambria Math" w:eastAsia="Calibri" w:hAnsi="Cambria Math" w:cs="Times New Roman"/>
                </w:rPr>
                <m:t>2</m:t>
              </m:r>
            </m:num>
            <m:den>
              <m:r>
                <w:rPr>
                  <w:rFonts w:ascii="Cambria Math" w:eastAsia="Calibri" w:hAnsi="Cambria Math" w:cs="Times New Roman"/>
                </w:rPr>
                <m:t>3</m:t>
              </m:r>
            </m:den>
          </m:f>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F</m:t>
              </m:r>
            </m:e>
            <m:sup>
              <m:r>
                <w:rPr>
                  <w:rFonts w:ascii="Cambria Math" w:eastAsia="Calibri" w:hAnsi="Cambria Math" w:cs="Times New Roman"/>
                </w:rPr>
                <m:t>'</m:t>
              </m:r>
            </m:sup>
          </m:sSup>
          <m:d>
            <m:dPr>
              <m:begChr m:val="["/>
              <m:endChr m:val="]"/>
              <m:ctrlPr>
                <w:rPr>
                  <w:rFonts w:ascii="Cambria Math" w:eastAsia="Calibri" w:hAnsi="Cambria Math" w:cs="Times New Roman"/>
                  <w:i/>
                </w:rPr>
              </m:ctrlPr>
            </m:dPr>
            <m:e>
              <m:sSup>
                <m:sSupPr>
                  <m:ctrlPr>
                    <w:rPr>
                      <w:rFonts w:ascii="Cambria Math" w:eastAsia="Calibri" w:hAnsi="Cambria Math" w:cs="Times New Roman"/>
                      <w:i/>
                    </w:rPr>
                  </m:ctrlPr>
                </m:sSupPr>
                <m:e>
                  <m:r>
                    <w:rPr>
                      <w:rFonts w:ascii="Cambria Math" w:eastAsia="Calibri" w:hAnsi="Cambria Math" w:cs="Times New Roman"/>
                    </w:rPr>
                    <m:t>m</m:t>
                  </m:r>
                </m:e>
                <m:sup>
                  <m:r>
                    <w:rPr>
                      <w:rFonts w:ascii="Cambria Math" w:eastAsia="Calibri" w:hAnsi="Cambria Math" w:cs="Times New Roman"/>
                    </w:rPr>
                    <m:t>4</m:t>
                  </m:r>
                </m:sup>
              </m:sSup>
            </m:e>
          </m:d>
        </m:oMath>
      </m:oMathPara>
    </w:p>
    <w:p w14:paraId="3258416B" w14:textId="77777777" w:rsidR="00271FA2" w:rsidRPr="00F06DE2" w:rsidRDefault="00D35E51">
      <w:pPr>
        <w:pStyle w:val="EStiret"/>
        <w:spacing w:before="0"/>
        <w:jc w:val="both"/>
        <w:rPr>
          <w:rFonts w:ascii="Times New Roman" w:eastAsia="Calibri" w:hAnsi="Times New Roman" w:cs="Times New Roman"/>
          <w:lang w:val="ru-RU"/>
        </w:rPr>
      </w:pPr>
      <m:oMath>
        <m:r>
          <w:rPr>
            <w:rFonts w:ascii="Cambria Math" w:eastAsia="Calibri" w:hAnsi="Cambria Math" w:cs="Times New Roman"/>
            <w:lang w:val="ru-RU"/>
          </w:rPr>
          <m:t>∀</m:t>
        </m:r>
      </m:oMath>
      <w:r w:rsidRPr="00F06DE2">
        <w:rPr>
          <w:rFonts w:ascii="Times New Roman" w:hAnsi="Times New Roman" w:cs="Times New Roman"/>
          <w:lang w:val="ru-RU"/>
        </w:rPr>
        <w:tab/>
        <w:t xml:space="preserve">е обемното водоизместване на плавателния съд при </w:t>
      </w:r>
      <m:oMath>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m</m:t>
            </m:r>
          </m:sub>
        </m:sSub>
      </m:oMath>
      <w:r w:rsidRPr="00F06DE2">
        <w:rPr>
          <w:rFonts w:ascii="Times New Roman" w:hAnsi="Times New Roman" w:cs="Times New Roman"/>
          <w:lang w:val="ru-RU"/>
        </w:rPr>
        <w:t xml:space="preserve">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p>
    <w:p w14:paraId="7ED2713F" w14:textId="77777777" w:rsidR="00271FA2" w:rsidRPr="00F06DE2" w:rsidRDefault="00D35E51">
      <w:pPr>
        <w:pStyle w:val="EStiret"/>
        <w:spacing w:before="0"/>
        <w:jc w:val="both"/>
        <w:rPr>
          <w:rFonts w:ascii="Times New Roman" w:eastAsia="Calibri" w:hAnsi="Times New Roman" w:cs="Times New Roman"/>
          <w:lang w:val="ru-RU"/>
        </w:rPr>
      </w:pPr>
      <m:oMath>
        <m:r>
          <w:rPr>
            <w:rFonts w:ascii="Cambria Math" w:eastAsia="Calibri" w:hAnsi="Cambria Math" w:cs="Times New Roman"/>
          </w:rPr>
          <m:t>F</m:t>
        </m:r>
        <m:r>
          <w:rPr>
            <w:rFonts w:ascii="Cambria Math" w:eastAsia="Calibri" w:hAnsi="Cambria Math" w:cs="Times New Roman"/>
            <w:lang w:val="ru-RU"/>
          </w:rPr>
          <m:t>'</m:t>
        </m:r>
      </m:oMath>
      <w:r w:rsidRPr="00F06DE2">
        <w:rPr>
          <w:rFonts w:ascii="Times New Roman" w:hAnsi="Times New Roman" w:cs="Times New Roman"/>
          <w:lang w:val="ru-RU"/>
        </w:rPr>
        <w:tab/>
        <w:t xml:space="preserve">е идеалният надводен борд </w:t>
      </w:r>
    </w:p>
    <w:p w14:paraId="6A4F73BF" w14:textId="77777777" w:rsidR="00271FA2" w:rsidRPr="00F06DE2" w:rsidRDefault="002C62EC">
      <w:pPr>
        <w:pStyle w:val="EStiret"/>
        <w:spacing w:before="0"/>
        <w:ind w:firstLine="1"/>
        <w:jc w:val="both"/>
        <w:rPr>
          <w:rFonts w:ascii="Times New Roman" w:eastAsia="Calibri" w:hAnsi="Times New Roman" w:cs="Times New Roman"/>
          <w:lang w:val="ru-RU"/>
        </w:rPr>
      </w:pPr>
      <m:oMath>
        <m:sSup>
          <m:sSupPr>
            <m:ctrlPr>
              <w:rPr>
                <w:rFonts w:ascii="Cambria Math" w:eastAsia="Calibri" w:hAnsi="Cambria Math" w:cs="Times New Roman"/>
                <w:i/>
              </w:rPr>
            </m:ctrlPr>
          </m:sSupPr>
          <m:e>
            <m:r>
              <w:rPr>
                <w:rFonts w:ascii="Cambria Math" w:eastAsia="Calibri" w:hAnsi="Cambria Math" w:cs="Times New Roman"/>
              </w:rPr>
              <m:t>F</m:t>
            </m:r>
          </m:e>
          <m:sup>
            <m:r>
              <w:rPr>
                <w:rFonts w:ascii="Cambria Math" w:eastAsia="Calibri" w:hAnsi="Cambria Math" w:cs="Times New Roman"/>
                <w:lang w:val="ru-RU"/>
              </w:rPr>
              <m:t>'</m:t>
            </m:r>
          </m:sup>
        </m:sSup>
        <m:r>
          <w:rPr>
            <w:rFonts w:ascii="Cambria Math" w:eastAsia="Calibri" w:hAnsi="Cambria Math" w:cs="Times New Roman"/>
            <w:lang w:val="ru-RU"/>
          </w:rPr>
          <m:t>=</m:t>
        </m:r>
        <m:sSup>
          <m:sSupPr>
            <m:ctrlPr>
              <w:rPr>
                <w:rFonts w:ascii="Cambria Math" w:eastAsia="Calibri" w:hAnsi="Cambria Math" w:cs="Times New Roman"/>
                <w:i/>
              </w:rPr>
            </m:ctrlPr>
          </m:sSupPr>
          <m:e>
            <m:r>
              <w:rPr>
                <w:rFonts w:ascii="Cambria Math" w:eastAsia="Calibri" w:hAnsi="Cambria Math" w:cs="Times New Roman"/>
              </w:rPr>
              <m:t>H</m:t>
            </m:r>
          </m:e>
          <m:sup>
            <m:r>
              <w:rPr>
                <w:rFonts w:ascii="Cambria Math" w:eastAsia="Calibri" w:hAnsi="Cambria Math" w:cs="Times New Roman"/>
                <w:lang w:val="ru-RU"/>
              </w:rPr>
              <m:t>'</m:t>
            </m:r>
          </m:sup>
        </m:sSup>
        <m:r>
          <w:rPr>
            <w:rFonts w:ascii="Cambria Math" w:eastAsia="Calibri" w:hAnsi="Cambria Math" w:cs="Times New Roman"/>
            <w:lang w:val="ru-RU"/>
          </w:rPr>
          <m:t xml:space="preserve">- </m:t>
        </m:r>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m</m:t>
            </m:r>
          </m:sub>
        </m:sSub>
        <m:r>
          <w:rPr>
            <w:rFonts w:ascii="Cambria Math" w:eastAsia="Calibri" w:hAnsi="Cambria Math" w:cs="Times New Roman"/>
            <w:lang w:val="ru-RU"/>
          </w:rPr>
          <m:t xml:space="preserve"> </m:t>
        </m:r>
        <m:d>
          <m:dPr>
            <m:begChr m:val="["/>
            <m:endChr m:val="]"/>
            <m:ctrlPr>
              <w:rPr>
                <w:rFonts w:ascii="Cambria Math" w:eastAsia="Calibri" w:hAnsi="Cambria Math" w:cs="Times New Roman"/>
                <w:i/>
              </w:rPr>
            </m:ctrlPr>
          </m:dPr>
          <m:e>
            <m:r>
              <w:rPr>
                <w:rFonts w:ascii="Cambria Math" w:eastAsia="Calibri" w:hAnsi="Cambria Math" w:cs="Times New Roman"/>
              </w:rPr>
              <m:t>m</m:t>
            </m:r>
          </m:e>
        </m:d>
      </m:oMath>
      <w:r w:rsidR="00D35E51" w:rsidRPr="00F06DE2">
        <w:rPr>
          <w:rFonts w:ascii="Times New Roman" w:hAnsi="Times New Roman" w:cs="Times New Roman"/>
          <w:lang w:val="ru-RU"/>
        </w:rPr>
        <w:t xml:space="preserve"> или </w:t>
      </w:r>
      <m:oMath>
        <m:sSup>
          <m:sSupPr>
            <m:ctrlPr>
              <w:rPr>
                <w:rFonts w:ascii="Cambria Math" w:eastAsia="Calibri" w:hAnsi="Cambria Math" w:cs="Times New Roman"/>
                <w:i/>
              </w:rPr>
            </m:ctrlPr>
          </m:sSupPr>
          <m:e>
            <m:r>
              <w:rPr>
                <w:rFonts w:ascii="Cambria Math" w:eastAsia="Calibri" w:hAnsi="Cambria Math" w:cs="Times New Roman"/>
              </w:rPr>
              <m:t>F</m:t>
            </m:r>
          </m:e>
          <m:sup>
            <m:r>
              <w:rPr>
                <w:rFonts w:ascii="Cambria Math" w:eastAsia="Calibri" w:hAnsi="Cambria Math" w:cs="Times New Roman"/>
                <w:lang w:val="ru-RU"/>
              </w:rPr>
              <m:t>'</m:t>
            </m:r>
          </m:sup>
        </m:sSup>
        <m:r>
          <w:rPr>
            <w:rFonts w:ascii="Cambria Math" w:eastAsia="Calibri" w:hAnsi="Cambria Math" w:cs="Times New Roman"/>
            <w:lang w:val="ru-RU"/>
          </w:rPr>
          <m:t xml:space="preserve">= </m:t>
        </m:r>
        <m:f>
          <m:fPr>
            <m:ctrlPr>
              <w:rPr>
                <w:rFonts w:ascii="Cambria Math" w:eastAsia="Calibri" w:hAnsi="Cambria Math" w:cs="Times New Roman"/>
                <w:i/>
              </w:rPr>
            </m:ctrlPr>
          </m:fPr>
          <m:num>
            <m:r>
              <w:rPr>
                <w:rFonts w:ascii="Cambria Math" w:eastAsia="Calibri" w:hAnsi="Cambria Math" w:cs="Times New Roman"/>
              </w:rPr>
              <m:t>a</m:t>
            </m:r>
            <m:r>
              <w:rPr>
                <w:rFonts w:ascii="Cambria Math" w:eastAsia="Calibri" w:hAnsi="Cambria Math" w:cs="Times New Roman"/>
                <w:lang w:val="ru-RU"/>
              </w:rPr>
              <m:t xml:space="preserve"> ∙ </m:t>
            </m:r>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WL</m:t>
                </m:r>
              </m:sub>
            </m:sSub>
          </m:num>
          <m:den>
            <m:r>
              <w:rPr>
                <w:rFonts w:ascii="Cambria Math" w:eastAsia="Calibri" w:hAnsi="Cambria Math" w:cs="Times New Roman"/>
                <w:lang w:val="ru-RU"/>
              </w:rPr>
              <m:t>2 ∙</m:t>
            </m:r>
            <m:r>
              <w:rPr>
                <w:rFonts w:ascii="Cambria Math" w:eastAsia="Calibri" w:hAnsi="Cambria Math" w:cs="Times New Roman"/>
              </w:rPr>
              <m:t>b</m:t>
            </m:r>
          </m:den>
        </m:f>
        <m:r>
          <w:rPr>
            <w:rFonts w:ascii="Cambria Math" w:eastAsia="Calibri" w:hAnsi="Cambria Math" w:cs="Times New Roman"/>
            <w:lang w:val="ru-RU"/>
          </w:rPr>
          <m:t xml:space="preserve"> </m:t>
        </m:r>
        <m:d>
          <m:dPr>
            <m:begChr m:val="["/>
            <m:endChr m:val="]"/>
            <m:ctrlPr>
              <w:rPr>
                <w:rFonts w:ascii="Cambria Math" w:eastAsia="Calibri" w:hAnsi="Cambria Math" w:cs="Times New Roman"/>
                <w:i/>
              </w:rPr>
            </m:ctrlPr>
          </m:dPr>
          <m:e>
            <m:r>
              <w:rPr>
                <w:rFonts w:ascii="Cambria Math" w:eastAsia="Calibri" w:hAnsi="Cambria Math" w:cs="Times New Roman"/>
              </w:rPr>
              <m:t>m</m:t>
            </m:r>
          </m:e>
        </m:d>
      </m:oMath>
      <w:r w:rsidR="00D35E51" w:rsidRPr="00F06DE2">
        <w:rPr>
          <w:rFonts w:ascii="Times New Roman" w:hAnsi="Times New Roman" w:cs="Times New Roman"/>
          <w:lang w:val="ru-RU"/>
        </w:rPr>
        <w:t>, за решаваща се приема най-ниската стойност;</w:t>
      </w:r>
    </w:p>
    <w:p w14:paraId="05185BF4" w14:textId="77777777" w:rsidR="00271FA2" w:rsidRPr="00F06DE2" w:rsidRDefault="00D35E51">
      <w:pPr>
        <w:pStyle w:val="EStiret"/>
        <w:spacing w:before="0"/>
        <w:jc w:val="both"/>
        <w:rPr>
          <w:rFonts w:ascii="Times New Roman" w:eastAsia="Calibri" w:hAnsi="Times New Roman" w:cs="Times New Roman"/>
          <w:lang w:val="ru-RU"/>
        </w:rPr>
      </w:pPr>
      <m:oMath>
        <m:r>
          <w:rPr>
            <w:rFonts w:ascii="Cambria Math" w:eastAsia="Calibri" w:hAnsi="Cambria Math" w:cs="Times New Roman"/>
          </w:rPr>
          <m:t>a</m:t>
        </m:r>
      </m:oMath>
      <w:r w:rsidRPr="00F06DE2">
        <w:rPr>
          <w:rFonts w:ascii="Times New Roman" w:hAnsi="Times New Roman" w:cs="Times New Roman"/>
          <w:lang w:val="ru-RU"/>
        </w:rPr>
        <w:tab/>
        <w:t>вертикалното разстояние между долния край на отвора, който се потапя най-напред в случай на накреняване, и водолинията на плавателния съд в изправено положение [</w:t>
      </w:r>
      <w:r w:rsidRPr="00F06DE2">
        <w:rPr>
          <w:rFonts w:ascii="Times New Roman" w:hAnsi="Times New Roman" w:cs="Times New Roman"/>
        </w:rPr>
        <w:t>m</w:t>
      </w:r>
      <w:r w:rsidRPr="00F06DE2">
        <w:rPr>
          <w:rFonts w:ascii="Times New Roman" w:hAnsi="Times New Roman" w:cs="Times New Roman"/>
          <w:lang w:val="ru-RU"/>
        </w:rPr>
        <w:t>];</w:t>
      </w:r>
    </w:p>
    <w:p w14:paraId="128C52E5" w14:textId="77777777" w:rsidR="00271FA2" w:rsidRPr="00F06DE2" w:rsidRDefault="00D35E51">
      <w:pPr>
        <w:pStyle w:val="EStiret"/>
        <w:spacing w:before="0"/>
        <w:jc w:val="both"/>
        <w:rPr>
          <w:rFonts w:ascii="Times New Roman" w:eastAsia="Calibri" w:hAnsi="Times New Roman" w:cs="Times New Roman"/>
          <w:lang w:val="ru-RU"/>
        </w:rPr>
      </w:pPr>
      <m:oMath>
        <m:r>
          <w:rPr>
            <w:rFonts w:ascii="Cambria Math" w:eastAsia="Calibri" w:hAnsi="Cambria Math" w:cs="Times New Roman"/>
          </w:rPr>
          <m:t>b</m:t>
        </m:r>
      </m:oMath>
      <w:r w:rsidRPr="00F06DE2">
        <w:rPr>
          <w:rFonts w:ascii="Times New Roman" w:hAnsi="Times New Roman" w:cs="Times New Roman"/>
          <w:lang w:val="ru-RU"/>
        </w:rPr>
        <w:tab/>
        <w:t>разстоянието от същия отвор до центъра на плавателния съд [</w:t>
      </w:r>
      <w:r w:rsidRPr="00F06DE2">
        <w:rPr>
          <w:rFonts w:ascii="Times New Roman" w:hAnsi="Times New Roman" w:cs="Times New Roman"/>
        </w:rPr>
        <w:t>m</w:t>
      </w:r>
      <w:r w:rsidRPr="00F06DE2">
        <w:rPr>
          <w:rFonts w:ascii="Times New Roman" w:hAnsi="Times New Roman" w:cs="Times New Roman"/>
          <w:lang w:val="ru-RU"/>
        </w:rPr>
        <w:t>];</w:t>
      </w:r>
    </w:p>
    <w:p w14:paraId="2C54D7F6" w14:textId="77777777" w:rsidR="00271FA2" w:rsidRPr="00F06DE2" w:rsidRDefault="00D35E51">
      <w:pPr>
        <w:pStyle w:val="EStiret"/>
        <w:spacing w:before="0"/>
        <w:jc w:val="both"/>
        <w:rPr>
          <w:rFonts w:ascii="Times New Roman" w:eastAsia="Calibri" w:hAnsi="Times New Roman" w:cs="Times New Roman"/>
          <w:lang w:val="ru-RU"/>
        </w:rPr>
      </w:pPr>
      <m:oMath>
        <m:r>
          <w:rPr>
            <w:rFonts w:ascii="Cambria Math" w:eastAsia="Calibri" w:hAnsi="Cambria Math" w:cs="Times New Roman"/>
          </w:rPr>
          <m:t>H</m:t>
        </m:r>
        <m:r>
          <w:rPr>
            <w:rFonts w:ascii="Cambria Math" w:eastAsia="Calibri" w:hAnsi="Cambria Math" w:cs="Times New Roman"/>
            <w:lang w:val="ru-RU"/>
          </w:rPr>
          <m:t>'</m:t>
        </m:r>
      </m:oMath>
      <w:r w:rsidRPr="00F06DE2">
        <w:rPr>
          <w:rFonts w:ascii="Times New Roman" w:hAnsi="Times New Roman" w:cs="Times New Roman"/>
          <w:lang w:val="ru-RU"/>
        </w:rPr>
        <w:tab/>
        <w:t xml:space="preserve">идеалната странична височина </w:t>
      </w:r>
      <m:oMath>
        <m:sSup>
          <m:sSupPr>
            <m:ctrlPr>
              <w:rPr>
                <w:rFonts w:ascii="Cambria Math" w:eastAsia="Calibri" w:hAnsi="Cambria Math" w:cs="Times New Roman"/>
                <w:i/>
              </w:rPr>
            </m:ctrlPr>
          </m:sSupPr>
          <m:e>
            <m:r>
              <w:rPr>
                <w:rFonts w:ascii="Cambria Math" w:eastAsia="Calibri" w:hAnsi="Cambria Math" w:cs="Times New Roman"/>
              </w:rPr>
              <m:t>H</m:t>
            </m:r>
          </m:e>
          <m:sup>
            <m:r>
              <w:rPr>
                <w:rFonts w:ascii="Cambria Math" w:eastAsia="Calibri" w:hAnsi="Cambria Math" w:cs="Times New Roman"/>
                <w:lang w:val="ru-RU"/>
              </w:rPr>
              <m:t>'</m:t>
            </m:r>
          </m:sup>
        </m:sSup>
        <m:r>
          <w:rPr>
            <w:rFonts w:ascii="Cambria Math" w:eastAsia="Calibri" w:hAnsi="Cambria Math" w:cs="Times New Roman"/>
            <w:lang w:val="ru-RU"/>
          </w:rPr>
          <m:t>=</m:t>
        </m:r>
        <m:r>
          <w:rPr>
            <w:rFonts w:ascii="Cambria Math" w:eastAsia="Calibri" w:hAnsi="Cambria Math" w:cs="Times New Roman"/>
          </w:rPr>
          <m:t>H</m:t>
        </m:r>
        <m:r>
          <w:rPr>
            <w:rFonts w:ascii="Cambria Math" w:eastAsia="Calibri" w:hAnsi="Cambria Math" w:cs="Times New Roman"/>
            <w:lang w:val="ru-RU"/>
          </w:rPr>
          <m:t xml:space="preserve">+ </m:t>
        </m:r>
        <m:f>
          <m:fPr>
            <m:ctrlPr>
              <w:rPr>
                <w:rFonts w:ascii="Cambria Math" w:eastAsia="Calibri" w:hAnsi="Cambria Math" w:cs="Times New Roman"/>
                <w:i/>
              </w:rPr>
            </m:ctrlPr>
          </m:fPr>
          <m:num>
            <m:r>
              <w:rPr>
                <w:rFonts w:ascii="Cambria Math" w:eastAsia="Calibri" w:hAnsi="Cambria Math" w:cs="Times New Roman"/>
              </w:rPr>
              <m:t>q</m:t>
            </m:r>
          </m:num>
          <m:den>
            <m:r>
              <w:rPr>
                <w:rFonts w:ascii="Cambria Math" w:eastAsia="Calibri" w:hAnsi="Cambria Math" w:cs="Times New Roman"/>
                <w:lang w:val="ru-RU"/>
              </w:rPr>
              <m:t>0,9 ∙</m:t>
            </m:r>
            <m:r>
              <w:rPr>
                <w:rFonts w:ascii="Cambria Math" w:eastAsia="Calibri" w:hAnsi="Cambria Math" w:cs="Times New Roman"/>
              </w:rPr>
              <m:t>L</m:t>
            </m:r>
            <m:r>
              <w:rPr>
                <w:rFonts w:ascii="Cambria Math" w:eastAsia="Calibri" w:hAnsi="Cambria Math" w:cs="Times New Roman"/>
                <w:lang w:val="ru-RU"/>
              </w:rPr>
              <m:t xml:space="preserve"> ∙ </m:t>
            </m:r>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WL</m:t>
                </m:r>
              </m:sub>
            </m:sSub>
          </m:den>
        </m:f>
        <m:r>
          <w:rPr>
            <w:rFonts w:ascii="Cambria Math" w:eastAsia="Calibri" w:hAnsi="Cambria Math" w:cs="Times New Roman"/>
            <w:lang w:val="ru-RU"/>
          </w:rPr>
          <m:t xml:space="preserve"> </m:t>
        </m:r>
        <m:d>
          <m:dPr>
            <m:begChr m:val="["/>
            <m:endChr m:val="]"/>
            <m:ctrlPr>
              <w:rPr>
                <w:rFonts w:ascii="Cambria Math" w:eastAsia="Calibri" w:hAnsi="Cambria Math" w:cs="Times New Roman"/>
                <w:i/>
              </w:rPr>
            </m:ctrlPr>
          </m:dPr>
          <m:e>
            <m:r>
              <w:rPr>
                <w:rFonts w:ascii="Cambria Math" w:eastAsia="Calibri" w:hAnsi="Cambria Math" w:cs="Times New Roman"/>
              </w:rPr>
              <m:t>m</m:t>
            </m:r>
          </m:e>
        </m:d>
        <m:r>
          <w:rPr>
            <w:rFonts w:ascii="Cambria Math" w:eastAsia="Calibri" w:hAnsi="Cambria Math" w:cs="Times New Roman"/>
            <w:lang w:val="ru-RU"/>
          </w:rPr>
          <m:t>;</m:t>
        </m:r>
      </m:oMath>
    </w:p>
    <w:p w14:paraId="4DEDB7C2" w14:textId="77777777" w:rsidR="00271FA2" w:rsidRPr="00F06DE2" w:rsidRDefault="00D35E51">
      <w:pPr>
        <w:pStyle w:val="EStiret"/>
        <w:spacing w:before="0"/>
        <w:jc w:val="both"/>
        <w:rPr>
          <w:rFonts w:ascii="Times New Roman" w:eastAsia="Calibri" w:hAnsi="Times New Roman" w:cs="Times New Roman"/>
          <w:lang w:val="ru-RU"/>
        </w:rPr>
      </w:pPr>
      <m:oMath>
        <m:r>
          <w:rPr>
            <w:rFonts w:ascii="Cambria Math" w:eastAsia="Calibri" w:hAnsi="Cambria Math" w:cs="Times New Roman"/>
          </w:rPr>
          <m:t>q</m:t>
        </m:r>
      </m:oMath>
      <w:r w:rsidRPr="00F06DE2">
        <w:rPr>
          <w:rFonts w:ascii="Times New Roman" w:hAnsi="Times New Roman" w:cs="Times New Roman"/>
          <w:lang w:val="ru-RU"/>
        </w:rPr>
        <w:tab/>
        <w:t xml:space="preserve">сборът от обемите на палубните рубки, люковете, сандъкоподобните палубни надстройки и другите надстройки с максимална височина от 1,0 </w:t>
      </w:r>
      <w:r w:rsidRPr="00F06DE2">
        <w:rPr>
          <w:rFonts w:ascii="Times New Roman" w:hAnsi="Times New Roman" w:cs="Times New Roman"/>
        </w:rPr>
        <w:t>m</w:t>
      </w:r>
      <w:r w:rsidRPr="00F06DE2">
        <w:rPr>
          <w:rFonts w:ascii="Times New Roman" w:hAnsi="Times New Roman" w:cs="Times New Roman"/>
          <w:lang w:val="ru-RU"/>
        </w:rPr>
        <w:t xml:space="preserve"> над </w:t>
      </w:r>
      <m:oMath>
        <m:r>
          <w:rPr>
            <w:rFonts w:ascii="Cambria Math" w:eastAsia="Calibri" w:hAnsi="Cambria Math" w:cs="Times New Roman"/>
          </w:rPr>
          <m:t>H</m:t>
        </m:r>
      </m:oMath>
      <w:r w:rsidRPr="00F06DE2">
        <w:rPr>
          <w:rFonts w:ascii="Times New Roman" w:hAnsi="Times New Roman" w:cs="Times New Roman"/>
          <w:lang w:val="ru-RU"/>
        </w:rPr>
        <w:t xml:space="preserve"> или до най-ниския отвор в разглеждания обем, като за решаваща се приема най-ниската стойност. Частите от обемите, разположени в обхвата на </w:t>
      </w:r>
      <m:oMath>
        <m:r>
          <w:rPr>
            <w:rFonts w:ascii="Cambria Math" w:eastAsia="Calibri" w:hAnsi="Cambria Math" w:cs="Times New Roman"/>
            <w:lang w:val="ru-RU"/>
          </w:rPr>
          <m:t xml:space="preserve">0,05 </m:t>
        </m:r>
        <m:r>
          <w:rPr>
            <w:rFonts w:ascii="Cambria Math" w:eastAsia="Calibri" w:hAnsi="Cambria Math" w:cs="Times New Roman"/>
          </w:rPr>
          <m:t>L</m:t>
        </m:r>
      </m:oMath>
      <w:r w:rsidRPr="00F06DE2">
        <w:rPr>
          <w:rFonts w:ascii="Times New Roman" w:hAnsi="Times New Roman" w:cs="Times New Roman"/>
          <w:lang w:val="ru-RU"/>
        </w:rPr>
        <w:t xml:space="preserve"> от краищата на плавателния съд не се вземат под внимание [</w:t>
      </w:r>
      <w:r w:rsidRPr="00F06DE2">
        <w:rPr>
          <w:rFonts w:ascii="Times New Roman" w:hAnsi="Times New Roman" w:cs="Times New Roman"/>
        </w:rPr>
        <w:t>m</w:t>
      </w:r>
      <w:r w:rsidRPr="00F06DE2">
        <w:rPr>
          <w:rFonts w:ascii="Times New Roman" w:hAnsi="Times New Roman" w:cs="Times New Roman"/>
          <w:vertAlign w:val="superscript"/>
          <w:lang w:val="ru-RU"/>
        </w:rPr>
        <w:t>3</w:t>
      </w:r>
      <w:r w:rsidRPr="00F06DE2">
        <w:rPr>
          <w:rFonts w:ascii="Times New Roman" w:hAnsi="Times New Roman" w:cs="Times New Roman"/>
          <w:lang w:val="ru-RU"/>
        </w:rPr>
        <w:t>].</w:t>
      </w:r>
    </w:p>
    <w:p w14:paraId="33AF5A94" w14:textId="77777777" w:rsidR="00271FA2" w:rsidRPr="00F06DE2" w:rsidRDefault="00D35E51">
      <w:pPr>
        <w:pStyle w:val="ESch"/>
        <w:jc w:val="both"/>
        <w:rPr>
          <w:rFonts w:ascii="Times New Roman" w:eastAsia="Calibri"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Формула за приближение за </w:t>
      </w:r>
      <w:r w:rsidRPr="00F06DE2">
        <w:rPr>
          <w:rFonts w:ascii="Times New Roman" w:hAnsi="Times New Roman" w:cs="Times New Roman"/>
        </w:rPr>
        <w:t>I</w:t>
      </w:r>
    </w:p>
    <w:p w14:paraId="6932B615"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 xml:space="preserve">Когато липсва таблица за хидростатичните криви, стойността на напречния момент на инерцията </w:t>
      </w:r>
      <w:r w:rsidRPr="00F06DE2">
        <w:rPr>
          <w:rFonts w:ascii="Times New Roman" w:hAnsi="Times New Roman" w:cs="Times New Roman"/>
        </w:rPr>
        <w:t>I</w:t>
      </w:r>
      <w:r w:rsidRPr="00F06DE2">
        <w:rPr>
          <w:rFonts w:ascii="Times New Roman" w:hAnsi="Times New Roman" w:cs="Times New Roman"/>
          <w:lang w:val="ru-RU"/>
        </w:rPr>
        <w:t xml:space="preserve"> на площта на водолинията може да бъде определена по следните формули за приближение:</w:t>
      </w:r>
    </w:p>
    <w:p w14:paraId="5980270F" w14:textId="77777777" w:rsidR="00271FA2" w:rsidRPr="00F06DE2" w:rsidRDefault="00D35E51">
      <w:pPr>
        <w:pStyle w:val="ESlet"/>
        <w:numPr>
          <w:ilvl w:val="0"/>
          <w:numId w:val="32"/>
        </w:numPr>
        <w:spacing w:before="0"/>
        <w:ind w:left="851" w:hanging="284"/>
        <w:rPr>
          <w:rFonts w:ascii="Times New Roman" w:hAnsi="Times New Roman" w:cs="Times New Roman"/>
          <w:lang w:val="ru-RU"/>
        </w:rPr>
      </w:pPr>
      <w:r w:rsidRPr="00F06DE2">
        <w:rPr>
          <w:rFonts w:ascii="Times New Roman" w:hAnsi="Times New Roman" w:cs="Times New Roman"/>
          <w:lang w:val="ru-RU"/>
        </w:rPr>
        <w:t>за плавателни съдове във формата на понтон</w:t>
      </w:r>
    </w:p>
    <w:p w14:paraId="246745B7" w14:textId="77777777" w:rsidR="00271FA2" w:rsidRPr="00F06DE2" w:rsidRDefault="00D35E51">
      <w:pPr>
        <w:pStyle w:val="ESlet"/>
        <w:spacing w:before="0"/>
        <w:ind w:left="851" w:hanging="284"/>
        <w:rPr>
          <w:rFonts w:ascii="Times New Roman" w:hAnsi="Times New Roman" w:cs="Times New Roman"/>
        </w:rPr>
      </w:pPr>
      <m:oMathPara>
        <m:oMath>
          <m:r>
            <w:rPr>
              <w:rFonts w:ascii="Cambria Math" w:hAnsi="Cambria Math" w:cs="Times New Roman"/>
            </w:rPr>
            <m:t xml:space="preserve">I= </m:t>
          </m:r>
          <m:f>
            <m:fPr>
              <m:ctrlPr>
                <w:rPr>
                  <w:rFonts w:ascii="Cambria Math" w:hAnsi="Cambria Math" w:cs="Times New Roman"/>
                  <w:i/>
                </w:rPr>
              </m:ctrlPr>
            </m:fPr>
            <m:num>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e>
                <m:sub>
                  <m:r>
                    <w:rPr>
                      <w:rFonts w:ascii="Cambria Math" w:hAnsi="Cambria Math" w:cs="Times New Roman"/>
                    </w:rPr>
                    <m:t>WL</m:t>
                  </m:r>
                </m:sub>
              </m:sSub>
              <m:r>
                <w:rPr>
                  <w:rFonts w:ascii="Cambria Math" w:hAnsi="Cambria Math" w:cs="Times New Roman"/>
                </w:rPr>
                <m:t xml:space="preserve"> ∙ ∀</m:t>
              </m:r>
            </m:num>
            <m:den>
              <m:d>
                <m:dPr>
                  <m:ctrlPr>
                    <w:rPr>
                      <w:rFonts w:ascii="Cambria Math" w:hAnsi="Cambria Math" w:cs="Times New Roman"/>
                      <w:i/>
                    </w:rPr>
                  </m:ctrlPr>
                </m:dPr>
                <m:e>
                  <m:r>
                    <w:rPr>
                      <w:rFonts w:ascii="Cambria Math" w:hAnsi="Cambria Math" w:cs="Times New Roman"/>
                    </w:rPr>
                    <m:t xml:space="preserve">12,5-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num>
                    <m:den>
                      <m:r>
                        <w:rPr>
                          <w:rFonts w:ascii="Cambria Math" w:hAnsi="Cambria Math" w:cs="Times New Roman"/>
                        </w:rPr>
                        <m:t>H</m:t>
                      </m:r>
                    </m:den>
                  </m:f>
                </m:e>
              </m:d>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den>
          </m:f>
          <m:r>
            <w:rPr>
              <w:rFonts w:ascii="Cambria Math" w:hAnsi="Cambria Math" w:cs="Times New Roman"/>
            </w:rPr>
            <m:t xml:space="preserve">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4</m:t>
                  </m:r>
                </m:sup>
              </m:sSup>
            </m:e>
          </m:d>
        </m:oMath>
      </m:oMathPara>
    </w:p>
    <w:p w14:paraId="28EA3A19" w14:textId="77777777" w:rsidR="00271FA2" w:rsidRPr="00F06DE2" w:rsidRDefault="00D35E51">
      <w:pPr>
        <w:pStyle w:val="ESlet"/>
        <w:spacing w:before="0"/>
        <w:ind w:left="851" w:hanging="284"/>
        <w:rPr>
          <w:rFonts w:ascii="Times New Roman" w:eastAsia="Calibri" w:hAnsi="Times New Roman" w:cs="Times New Roman"/>
        </w:rPr>
      </w:pPr>
      <w:r w:rsidRPr="00F06DE2">
        <w:rPr>
          <w:rFonts w:ascii="Times New Roman" w:hAnsi="Times New Roman" w:cs="Times New Roman"/>
        </w:rPr>
        <w:t>б) за други плавателни съдове</w:t>
      </w:r>
    </w:p>
    <w:p w14:paraId="3CC3A8E6" w14:textId="77777777" w:rsidR="00271FA2" w:rsidRPr="00F06DE2" w:rsidRDefault="00D35E51" w:rsidP="00DF6869">
      <w:pPr>
        <w:pStyle w:val="ESlet"/>
        <w:spacing w:before="0" w:after="240"/>
        <w:ind w:left="851" w:hanging="284"/>
        <w:rPr>
          <w:rFonts w:ascii="Times New Roman" w:hAnsi="Times New Roman" w:cs="Times New Roman"/>
        </w:rPr>
      </w:pPr>
      <m:oMathPara>
        <m:oMath>
          <m:r>
            <w:rPr>
              <w:rFonts w:ascii="Cambria Math" w:hAnsi="Cambria Math" w:cs="Times New Roman"/>
            </w:rPr>
            <m:t xml:space="preserve">I= </m:t>
          </m:r>
          <m:f>
            <m:fPr>
              <m:ctrlPr>
                <w:rPr>
                  <w:rFonts w:ascii="Cambria Math" w:hAnsi="Cambria Math" w:cs="Times New Roman"/>
                  <w:i/>
                </w:rPr>
              </m:ctrlPr>
            </m:fPr>
            <m:num>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e>
                <m:sub>
                  <m:r>
                    <w:rPr>
                      <w:rFonts w:ascii="Cambria Math" w:hAnsi="Cambria Math" w:cs="Times New Roman"/>
                    </w:rPr>
                    <m:t>WL</m:t>
                  </m:r>
                </m:sub>
              </m:sSub>
              <m:r>
                <w:rPr>
                  <w:rFonts w:ascii="Cambria Math" w:hAnsi="Cambria Math" w:cs="Times New Roman"/>
                </w:rPr>
                <m:t xml:space="preserve"> ∙ ∀</m:t>
              </m:r>
            </m:num>
            <m:den>
              <m:d>
                <m:dPr>
                  <m:ctrlPr>
                    <w:rPr>
                      <w:rFonts w:ascii="Cambria Math" w:hAnsi="Cambria Math" w:cs="Times New Roman"/>
                      <w:i/>
                    </w:rPr>
                  </m:ctrlPr>
                </m:dPr>
                <m:e>
                  <m:r>
                    <w:rPr>
                      <w:rFonts w:ascii="Cambria Math" w:hAnsi="Cambria Math" w:cs="Times New Roman"/>
                    </w:rPr>
                    <m:t xml:space="preserve">12,7-1,2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num>
                    <m:den>
                      <m:r>
                        <w:rPr>
                          <w:rFonts w:ascii="Cambria Math" w:hAnsi="Cambria Math" w:cs="Times New Roman"/>
                        </w:rPr>
                        <m:t>H</m:t>
                      </m:r>
                    </m:den>
                  </m:f>
                </m:e>
              </m:d>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den>
          </m:f>
          <m:r>
            <w:rPr>
              <w:rFonts w:ascii="Cambria Math" w:hAnsi="Cambria Math" w:cs="Times New Roman"/>
            </w:rPr>
            <m:t xml:space="preserve">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4</m:t>
                  </m:r>
                </m:sup>
              </m:sSup>
            </m:e>
          </m:d>
        </m:oMath>
      </m:oMathPara>
    </w:p>
    <w:p w14:paraId="393354E6"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78" w:name="_Toc535827683"/>
      <w:bookmarkStart w:id="479" w:name="_Toc491854242"/>
      <w:r w:rsidRPr="00F06DE2">
        <w:rPr>
          <w:rFonts w:ascii="Times New Roman" w:hAnsi="Times New Roman" w:cs="Times New Roman"/>
          <w:sz w:val="24"/>
          <w:szCs w:val="24"/>
          <w:lang w:val="ru-RU"/>
        </w:rPr>
        <w:lastRenderedPageBreak/>
        <w:t>Член 27.04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Процедура за оценка на устойчивостта на борда</w:t>
      </w:r>
      <w:bookmarkEnd w:id="478"/>
      <w:bookmarkEnd w:id="479"/>
    </w:p>
    <w:p w14:paraId="014CD120" w14:textId="77777777" w:rsidR="00271FA2" w:rsidRPr="00F06DE2" w:rsidRDefault="00D35E51">
      <w:pPr>
        <w:pStyle w:val="ESgauche"/>
        <w:jc w:val="both"/>
        <w:rPr>
          <w:rFonts w:ascii="Times New Roman" w:hAnsi="Times New Roman" w:cs="Times New Roman"/>
          <w:lang w:val="ru-RU"/>
        </w:rPr>
      </w:pPr>
      <w:r w:rsidRPr="00F06DE2">
        <w:rPr>
          <w:rFonts w:ascii="Times New Roman" w:hAnsi="Times New Roman" w:cs="Times New Roman"/>
          <w:lang w:val="ru-RU"/>
        </w:rPr>
        <w:t>Процедурата за оценка на устойчивостта на борда може да бъде определена с документите, посочени в член 27.01, точка 2.</w:t>
      </w:r>
    </w:p>
    <w:p w14:paraId="7CBB19D8" w14:textId="77777777" w:rsidR="00557913" w:rsidRPr="00F06DE2" w:rsidRDefault="00557913">
      <w:pPr>
        <w:spacing w:line="240" w:lineRule="atLeast"/>
        <w:rPr>
          <w:rFonts w:ascii="Times New Roman" w:hAnsi="Times New Roman" w:cs="Times New Roman"/>
          <w:lang w:val="ru-RU"/>
        </w:rPr>
        <w:sectPr w:rsidR="00557913" w:rsidRPr="00F06DE2" w:rsidSect="00DB7663">
          <w:headerReference w:type="default" r:id="rId74"/>
          <w:headerReference w:type="first" r:id="rId75"/>
          <w:footnotePr>
            <w:numRestart w:val="eachPage"/>
          </w:footnotePr>
          <w:pgSz w:w="11906" w:h="16838" w:code="9"/>
          <w:pgMar w:top="1134" w:right="1134" w:bottom="1134" w:left="1134" w:header="709" w:footer="709" w:gutter="0"/>
          <w:cols w:space="709"/>
          <w:titlePg/>
          <w:docGrid w:linePitch="272"/>
        </w:sectPr>
      </w:pPr>
    </w:p>
    <w:p w14:paraId="36611669" w14:textId="77777777" w:rsidR="00271FA2" w:rsidRPr="00F06DE2" w:rsidRDefault="00D35E51" w:rsidP="00DF6869">
      <w:pPr>
        <w:pStyle w:val="ES-Titre2"/>
        <w:spacing w:after="240"/>
        <w:rPr>
          <w:rFonts w:ascii="Times New Roman" w:hAnsi="Times New Roman" w:cs="Times New Roman"/>
          <w:lang w:val="ru-RU"/>
        </w:rPr>
      </w:pPr>
      <w:bookmarkStart w:id="480" w:name="_Toc535827684"/>
      <w:bookmarkStart w:id="481" w:name="_Toc491854243"/>
      <w:r w:rsidRPr="00F06DE2">
        <w:rPr>
          <w:rFonts w:ascii="Times New Roman" w:hAnsi="Times New Roman" w:cs="Times New Roman"/>
          <w:lang w:val="ru-RU"/>
        </w:rPr>
        <w:lastRenderedPageBreak/>
        <w:t>Глава 28</w:t>
      </w:r>
      <w:r w:rsidRPr="00F06DE2">
        <w:rPr>
          <w:rFonts w:ascii="Times New Roman" w:hAnsi="Times New Roman" w:cs="Times New Roman"/>
          <w:lang w:val="ru-RU"/>
        </w:rPr>
        <w:br/>
        <w:t>Специални разпоредби по отношение на плавателни средства с дължина над 110</w:t>
      </w:r>
      <w:r w:rsidRPr="00F06DE2">
        <w:rPr>
          <w:rFonts w:ascii="Times New Roman" w:hAnsi="Times New Roman" w:cs="Times New Roman"/>
        </w:rPr>
        <w:t> m</w:t>
      </w:r>
      <w:bookmarkEnd w:id="480"/>
      <w:bookmarkEnd w:id="481"/>
    </w:p>
    <w:p w14:paraId="45A57E8E" w14:textId="77777777" w:rsidR="00271FA2" w:rsidRPr="00F06DE2" w:rsidRDefault="00D35E51">
      <w:pPr>
        <w:pStyle w:val="ES-Titre3"/>
        <w:spacing w:line="240" w:lineRule="atLeast"/>
        <w:rPr>
          <w:rFonts w:ascii="Times New Roman" w:hAnsi="Times New Roman" w:cs="Times New Roman"/>
          <w:sz w:val="24"/>
          <w:szCs w:val="24"/>
          <w:lang w:val="ru-RU"/>
        </w:rPr>
      </w:pPr>
      <w:bookmarkStart w:id="482" w:name="_Toc491854244"/>
      <w:bookmarkStart w:id="483" w:name="_Toc535827685"/>
      <w:r w:rsidRPr="00F06DE2">
        <w:rPr>
          <w:rFonts w:ascii="Times New Roman" w:hAnsi="Times New Roman" w:cs="Times New Roman"/>
          <w:sz w:val="24"/>
          <w:szCs w:val="24"/>
          <w:lang w:val="ru-RU"/>
        </w:rPr>
        <w:t>Член 28.01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Прилагане на част </w:t>
      </w:r>
      <w:r w:rsidRPr="00F06DE2">
        <w:rPr>
          <w:rFonts w:ascii="Times New Roman" w:hAnsi="Times New Roman" w:cs="Times New Roman"/>
          <w:i/>
          <w:sz w:val="24"/>
          <w:szCs w:val="24"/>
        </w:rPr>
        <w:t>II</w:t>
      </w:r>
      <w:bookmarkEnd w:id="482"/>
      <w:bookmarkEnd w:id="483"/>
    </w:p>
    <w:p w14:paraId="78F4E134" w14:textId="77777777" w:rsidR="00271FA2" w:rsidRPr="00F06DE2" w:rsidRDefault="00D35E51" w:rsidP="00DF6869">
      <w:pPr>
        <w:pStyle w:val="ESgauche"/>
        <w:spacing w:after="240"/>
        <w:jc w:val="both"/>
        <w:rPr>
          <w:rFonts w:ascii="Times New Roman" w:hAnsi="Times New Roman" w:cs="Times New Roman"/>
          <w:lang w:val="ru-RU"/>
        </w:rPr>
      </w:pPr>
      <w:r w:rsidRPr="00F06DE2">
        <w:rPr>
          <w:rFonts w:ascii="Times New Roman" w:hAnsi="Times New Roman" w:cs="Times New Roman"/>
          <w:lang w:val="ru-RU"/>
        </w:rPr>
        <w:t xml:space="preserve">В допълнение към част </w:t>
      </w:r>
      <w:r w:rsidRPr="00F06DE2">
        <w:rPr>
          <w:rFonts w:ascii="Times New Roman" w:hAnsi="Times New Roman" w:cs="Times New Roman"/>
        </w:rPr>
        <w:t>II</w:t>
      </w:r>
      <w:r w:rsidRPr="00F06DE2">
        <w:rPr>
          <w:rFonts w:ascii="Times New Roman" w:hAnsi="Times New Roman" w:cs="Times New Roman"/>
          <w:lang w:val="ru-RU"/>
        </w:rPr>
        <w:t xml:space="preserve"> и </w:t>
      </w:r>
      <w:r w:rsidRPr="00F06DE2">
        <w:rPr>
          <w:rFonts w:ascii="Times New Roman" w:hAnsi="Times New Roman" w:cs="Times New Roman"/>
        </w:rPr>
        <w:t>III</w:t>
      </w:r>
      <w:r w:rsidRPr="00F06DE2">
        <w:rPr>
          <w:rFonts w:ascii="Times New Roman" w:hAnsi="Times New Roman" w:cs="Times New Roman"/>
          <w:lang w:val="ru-RU"/>
        </w:rPr>
        <w:t xml:space="preserve">, членове 28.02-28.04 се прилагат по отношение на плавателни средства с дължина </w:t>
      </w:r>
      <m:oMath>
        <m:r>
          <w:rPr>
            <w:rFonts w:ascii="Cambria Math" w:hAnsi="Cambria Math" w:cs="Times New Roman"/>
          </w:rPr>
          <m:t>L</m:t>
        </m:r>
      </m:oMath>
      <w:r w:rsidRPr="00F06DE2">
        <w:rPr>
          <w:rFonts w:ascii="Times New Roman" w:hAnsi="Times New Roman" w:cs="Times New Roman"/>
          <w:lang w:val="ru-RU"/>
        </w:rPr>
        <w:t xml:space="preserve"> над 110</w:t>
      </w:r>
      <w:r w:rsidRPr="00F06DE2">
        <w:rPr>
          <w:rFonts w:ascii="Times New Roman" w:hAnsi="Times New Roman" w:cs="Times New Roman"/>
        </w:rPr>
        <w:t> m</w:t>
      </w:r>
      <w:r w:rsidRPr="00F06DE2">
        <w:rPr>
          <w:rFonts w:ascii="Times New Roman" w:hAnsi="Times New Roman" w:cs="Times New Roman"/>
          <w:lang w:val="ru-RU"/>
        </w:rPr>
        <w:t>.</w:t>
      </w:r>
    </w:p>
    <w:p w14:paraId="65707D00"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84" w:name="_Toc491854245"/>
      <w:bookmarkStart w:id="485" w:name="_Toc535827686"/>
      <w:r w:rsidRPr="00F06DE2">
        <w:rPr>
          <w:rFonts w:ascii="Times New Roman" w:hAnsi="Times New Roman" w:cs="Times New Roman"/>
          <w:sz w:val="24"/>
          <w:szCs w:val="24"/>
          <w:lang w:val="ru-RU"/>
        </w:rPr>
        <w:t>Член 28.02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Якост</w:t>
      </w:r>
      <w:bookmarkEnd w:id="484"/>
      <w:bookmarkEnd w:id="485"/>
    </w:p>
    <w:p w14:paraId="2778659C" w14:textId="77777777" w:rsidR="00271FA2" w:rsidRPr="00F06DE2" w:rsidRDefault="00D35E51" w:rsidP="00DF6869">
      <w:pPr>
        <w:pStyle w:val="ESgauche"/>
        <w:spacing w:after="240"/>
        <w:jc w:val="both"/>
        <w:rPr>
          <w:rFonts w:ascii="Times New Roman" w:hAnsi="Times New Roman" w:cs="Times New Roman"/>
          <w:lang w:val="ru-RU"/>
        </w:rPr>
      </w:pPr>
      <w:r w:rsidRPr="00F06DE2">
        <w:rPr>
          <w:rFonts w:ascii="Times New Roman" w:hAnsi="Times New Roman" w:cs="Times New Roman"/>
          <w:lang w:val="ru-RU"/>
        </w:rPr>
        <w:t>Достатъчната якост на корпуса съгласно член 3.02, точка 1, буква “а” (надлъжна, напречна и местна якост) се удостоверява с удостоверение, издадено от призната класификационна организация.</w:t>
      </w:r>
    </w:p>
    <w:p w14:paraId="50DEC7C5"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86" w:name="_Toc491854246"/>
      <w:bookmarkStart w:id="487" w:name="_Toc535827687"/>
      <w:r w:rsidRPr="00F06DE2">
        <w:rPr>
          <w:rFonts w:ascii="Times New Roman" w:hAnsi="Times New Roman" w:cs="Times New Roman"/>
          <w:i/>
          <w:sz w:val="24"/>
          <w:szCs w:val="24"/>
          <w:lang w:val="ru-RU"/>
        </w:rPr>
        <w:t>Член 28.03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Плавателност и устойчивост</w:t>
      </w:r>
      <w:bookmarkEnd w:id="486"/>
      <w:bookmarkEnd w:id="487"/>
    </w:p>
    <w:p w14:paraId="0DA2AFF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Точки 2 - 10 се прилагат по отношение на плавателни средства с дължина </w:t>
      </w:r>
      <m:oMath>
        <m:r>
          <w:rPr>
            <w:rFonts w:ascii="Cambria Math" w:hAnsi="Cambria Math" w:cs="Times New Roman"/>
          </w:rPr>
          <m:t>L</m:t>
        </m:r>
      </m:oMath>
      <w:r w:rsidRPr="00F06DE2">
        <w:rPr>
          <w:rFonts w:ascii="Times New Roman" w:hAnsi="Times New Roman" w:cs="Times New Roman"/>
          <w:lang w:val="ru-RU"/>
        </w:rPr>
        <w:t xml:space="preserve"> над 110</w:t>
      </w:r>
      <w:r w:rsidRPr="00F06DE2">
        <w:rPr>
          <w:rFonts w:ascii="Times New Roman" w:hAnsi="Times New Roman" w:cs="Times New Roman"/>
        </w:rPr>
        <w:t> m</w:t>
      </w:r>
      <w:r w:rsidRPr="00F06DE2">
        <w:rPr>
          <w:rFonts w:ascii="Times New Roman" w:hAnsi="Times New Roman" w:cs="Times New Roman"/>
          <w:lang w:val="ru-RU"/>
        </w:rPr>
        <w:t>, с изключение на пътническите плавателни съдове.</w:t>
      </w:r>
    </w:p>
    <w:p w14:paraId="3544DFE2"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Основните стойности за изчисляването на устойчивостта, водоизместването на плавателния съд без товар и центъра на тежестта се определят чрез изпитване за накреняване, извършено в съответствие с Приложение 1 към Резолюция </w:t>
      </w:r>
      <w:r w:rsidRPr="00F06DE2">
        <w:rPr>
          <w:rFonts w:ascii="Times New Roman" w:hAnsi="Times New Roman" w:cs="Times New Roman"/>
        </w:rPr>
        <w:t>MSC</w:t>
      </w:r>
      <w:r w:rsidRPr="00F06DE2">
        <w:rPr>
          <w:rFonts w:ascii="Times New Roman" w:hAnsi="Times New Roman" w:cs="Times New Roman"/>
          <w:lang w:val="ru-RU"/>
        </w:rPr>
        <w:t>.267(85) на ИМО</w:t>
      </w:r>
      <w:r w:rsidRPr="00F06DE2">
        <w:rPr>
          <w:rStyle w:val="FootnoteReference"/>
          <w:rFonts w:ascii="Times New Roman" w:hAnsi="Times New Roman" w:cs="Times New Roman"/>
        </w:rPr>
        <w:footnoteReference w:id="24"/>
      </w:r>
      <w:r w:rsidRPr="00F06DE2">
        <w:rPr>
          <w:rFonts w:ascii="Times New Roman" w:hAnsi="Times New Roman" w:cs="Times New Roman"/>
          <w:lang w:val="ru-RU"/>
        </w:rPr>
        <w:t>.</w:t>
      </w:r>
    </w:p>
    <w:p w14:paraId="2E4DBC7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Заявителят доказва чрез изчисление, че устойчивостта в повредено състояние на плавателния съд е подходяща. Изчислението на крайното състояние на наводняване следва да се основава на метода на „изгубена плавателност“, а междинните състояния на наводняване следва да се изчисляват въз основа на метода на „добавена маса“. Всички изчисления трябва да се правят до максималния диферент и газене.</w:t>
      </w:r>
    </w:p>
    <w:p w14:paraId="7742FEA2"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Достатъчната плавателност и устойчивост на плавателния съд в случай на нахлуване на вода се доказва с товар, съответстващ на максималното му газене и равномерно разпределен във всички трюмове, както и с максимални запаси и напълно зареден с гориво.</w:t>
      </w:r>
    </w:p>
    <w:p w14:paraId="602F86E8"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При разнородни товари изчисляването на устойчивостта се извършва за най-неблагоприятното състояние на натоварване. Изчисляването на тази устойчивост се извършва на борда.</w:t>
      </w:r>
    </w:p>
    <w:p w14:paraId="1A576E71"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За тази цел математическото доказателство за достатъчна устойчивост се определя за междинните етапи на наводняване (25 %, 50 % и 75 % от крайния етап на наводняване и, където е целесъобразно, за етапа, непосредствено предхождащ напречното равновесие) и за крайния етап на наводняване, при условията на натоварване, посочени по-горе.</w:t>
      </w:r>
    </w:p>
    <w:p w14:paraId="273497B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При повредено състояние на кораба се вземат предвид следните допускания:</w:t>
      </w:r>
    </w:p>
    <w:p w14:paraId="27ACA624"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Размер на повредата по борда:</w:t>
      </w:r>
    </w:p>
    <w:p w14:paraId="256E6D13" w14:textId="77777777" w:rsidR="00271FA2" w:rsidRPr="00F06DE2" w:rsidRDefault="00D35E51" w:rsidP="00DF6869">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по протежение на надлъжната ос:</w:t>
      </w:r>
      <w:r w:rsidRPr="00F06DE2">
        <w:rPr>
          <w:rFonts w:ascii="Times New Roman" w:hAnsi="Times New Roman" w:cs="Times New Roman"/>
          <w:lang w:val="ru-RU"/>
        </w:rPr>
        <w:tab/>
        <w:t xml:space="preserve">не по-малко от 0,10 </w:t>
      </w:r>
      <m:oMath>
        <m:r>
          <w:rPr>
            <w:rFonts w:ascii="Cambria Math" w:hAnsi="Cambria Math" w:cs="Times New Roman"/>
          </w:rPr>
          <m:t>L</m:t>
        </m:r>
        <m:r>
          <w:rPr>
            <w:rFonts w:ascii="Cambria Math" w:hAnsi="Cambria Math" w:cs="Times New Roman"/>
            <w:lang w:val="ru-RU"/>
          </w:rPr>
          <m:t xml:space="preserve"> </m:t>
        </m:r>
      </m:oMath>
      <w:r w:rsidRPr="00F06DE2">
        <w:rPr>
          <w:rFonts w:ascii="Times New Roman" w:hAnsi="Times New Roman" w:cs="Times New Roman"/>
          <w:lang w:val="ru-RU"/>
        </w:rPr>
        <w:t>,</w:t>
      </w:r>
    </w:p>
    <w:p w14:paraId="185B3C02" w14:textId="77777777" w:rsidR="00271FA2" w:rsidRPr="00F06DE2" w:rsidRDefault="00D35E51" w:rsidP="00DF6869">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по протежение на напречната ос:</w:t>
      </w:r>
      <w:r w:rsidRPr="00F06DE2">
        <w:rPr>
          <w:rFonts w:ascii="Times New Roman" w:hAnsi="Times New Roman" w:cs="Times New Roman"/>
          <w:lang w:val="ru-RU"/>
        </w:rPr>
        <w:tab/>
        <w:t xml:space="preserve">0,59 </w:t>
      </w:r>
      <w:r w:rsidRPr="00F06DE2">
        <w:rPr>
          <w:rFonts w:ascii="Times New Roman" w:hAnsi="Times New Roman" w:cs="Times New Roman"/>
        </w:rPr>
        <w:t>m</w:t>
      </w:r>
      <w:r w:rsidRPr="00F06DE2">
        <w:rPr>
          <w:rFonts w:ascii="Times New Roman" w:hAnsi="Times New Roman" w:cs="Times New Roman"/>
          <w:lang w:val="ru-RU"/>
        </w:rPr>
        <w:t>,</w:t>
      </w:r>
    </w:p>
    <w:p w14:paraId="7F19E4DA" w14:textId="77777777" w:rsidR="00271FA2" w:rsidRPr="00F06DE2" w:rsidRDefault="00D35E51" w:rsidP="00DF6869">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по вертикалата:</w:t>
      </w:r>
      <w:r w:rsidRPr="00F06DE2">
        <w:rPr>
          <w:rFonts w:ascii="Times New Roman" w:hAnsi="Times New Roman" w:cs="Times New Roman"/>
          <w:lang w:val="ru-RU"/>
        </w:rPr>
        <w:tab/>
        <w:t>от дъното нагоре без ограничения.</w:t>
      </w:r>
    </w:p>
    <w:p w14:paraId="1F6D6E04"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Размер на повредата по дъното:</w:t>
      </w:r>
    </w:p>
    <w:p w14:paraId="44225BCE" w14:textId="77777777" w:rsidR="00271FA2" w:rsidRPr="00F06DE2" w:rsidRDefault="00D35E51" w:rsidP="00DF6869">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по протежение на надлъжната ос:</w:t>
      </w:r>
      <w:r w:rsidRPr="00F06DE2">
        <w:rPr>
          <w:rFonts w:ascii="Times New Roman" w:hAnsi="Times New Roman" w:cs="Times New Roman"/>
          <w:lang w:val="ru-RU"/>
        </w:rPr>
        <w:tab/>
        <w:t xml:space="preserve">не по-малко от </w:t>
      </w:r>
      <m:oMath>
        <m:r>
          <w:rPr>
            <w:rFonts w:ascii="Cambria Math" w:hAnsi="Cambria Math" w:cs="Times New Roman"/>
            <w:lang w:val="ru-RU"/>
          </w:rPr>
          <m:t xml:space="preserve">0,10 </m:t>
        </m:r>
        <m:r>
          <w:rPr>
            <w:rFonts w:ascii="Cambria Math" w:hAnsi="Cambria Math" w:cs="Times New Roman"/>
          </w:rPr>
          <m:t>L</m:t>
        </m:r>
      </m:oMath>
      <w:r w:rsidRPr="00F06DE2">
        <w:rPr>
          <w:rFonts w:ascii="Times New Roman" w:hAnsi="Times New Roman" w:cs="Times New Roman"/>
          <w:lang w:val="ru-RU"/>
        </w:rPr>
        <w:t>,</w:t>
      </w:r>
    </w:p>
    <w:p w14:paraId="7528CB32" w14:textId="77777777" w:rsidR="00271FA2" w:rsidRPr="00F06DE2" w:rsidRDefault="00D35E51" w:rsidP="00DF6869">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lastRenderedPageBreak/>
        <w:t>по протежение на напречната ос:</w:t>
      </w:r>
      <w:r w:rsidRPr="00F06DE2">
        <w:rPr>
          <w:rFonts w:ascii="Times New Roman" w:hAnsi="Times New Roman" w:cs="Times New Roman"/>
          <w:lang w:val="ru-RU"/>
        </w:rPr>
        <w:tab/>
        <w:t xml:space="preserve">3,00 </w:t>
      </w:r>
      <w:r w:rsidRPr="00F06DE2">
        <w:rPr>
          <w:rFonts w:ascii="Times New Roman" w:hAnsi="Times New Roman" w:cs="Times New Roman"/>
        </w:rPr>
        <w:t>m</w:t>
      </w:r>
      <w:r w:rsidRPr="00F06DE2">
        <w:rPr>
          <w:rFonts w:ascii="Times New Roman" w:hAnsi="Times New Roman" w:cs="Times New Roman"/>
          <w:lang w:val="ru-RU"/>
        </w:rPr>
        <w:t>,</w:t>
      </w:r>
    </w:p>
    <w:p w14:paraId="39082371" w14:textId="77777777" w:rsidR="00271FA2" w:rsidRPr="00F06DE2" w:rsidRDefault="00D35E51" w:rsidP="00DF6869">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по вертикалата:</w:t>
      </w:r>
      <w:r w:rsidRPr="00F06DE2">
        <w:rPr>
          <w:rFonts w:ascii="Times New Roman" w:hAnsi="Times New Roman" w:cs="Times New Roman"/>
          <w:lang w:val="ru-RU"/>
        </w:rPr>
        <w:tab/>
        <w:t xml:space="preserve">0,39 </w:t>
      </w:r>
      <w:r w:rsidRPr="00F06DE2">
        <w:rPr>
          <w:rFonts w:ascii="Times New Roman" w:hAnsi="Times New Roman" w:cs="Times New Roman"/>
        </w:rPr>
        <w:t>m</w:t>
      </w:r>
      <w:r w:rsidRPr="00F06DE2">
        <w:rPr>
          <w:rFonts w:ascii="Times New Roman" w:hAnsi="Times New Roman" w:cs="Times New Roman"/>
          <w:lang w:val="ru-RU"/>
        </w:rPr>
        <w:t xml:space="preserve"> от основата нагоре, без да се брои утайникът.</w:t>
      </w:r>
    </w:p>
    <w:p w14:paraId="08447DA5"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Всички прегради в повреденото помещение се смятат за повредени, което означава, че разделянето на отсеци се избира, така че плавателният съд да остане на вода след наводняване на два или повече съседни отсека по дължина. За главното машинно отделение се взема предвид само стандартът с един отсек, т.е. крайните прегради на машинното отделение се смятат за неповредени.</w:t>
      </w:r>
    </w:p>
    <w:p w14:paraId="4694E361"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При повреда на дъното съседните напречни отсеци се разглеждат като наводнени.</w:t>
      </w:r>
    </w:p>
    <w:p w14:paraId="58E3E22B"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Проницаемост</w:t>
      </w:r>
    </w:p>
    <w:p w14:paraId="396874F9"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Проницаемостта се приема за 95</w:t>
      </w:r>
      <w:r w:rsidRPr="00F06DE2">
        <w:rPr>
          <w:rFonts w:ascii="Times New Roman" w:hAnsi="Times New Roman" w:cs="Times New Roman"/>
        </w:rPr>
        <w:t> </w:t>
      </w:r>
      <w:r w:rsidRPr="00F06DE2">
        <w:rPr>
          <w:rFonts w:ascii="Times New Roman" w:hAnsi="Times New Roman" w:cs="Times New Roman"/>
          <w:lang w:val="ru-RU"/>
        </w:rPr>
        <w:t>%.</w:t>
      </w:r>
    </w:p>
    <w:p w14:paraId="775C36C4"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Ако изчислението докаже, че средната проницаемост на даден отсек е по-малка от </w:t>
      </w:r>
      <w:r w:rsidRPr="00F06DE2">
        <w:rPr>
          <w:rFonts w:ascii="Times New Roman" w:hAnsi="Times New Roman" w:cs="Times New Roman"/>
          <w:lang w:val="ru-RU"/>
        </w:rPr>
        <w:tab/>
        <w:t>95 %, може да се използва изчислената стойност.</w:t>
      </w:r>
    </w:p>
    <w:p w14:paraId="27ADF3E4" w14:textId="77777777" w:rsidR="00271FA2" w:rsidRPr="00F06DE2" w:rsidRDefault="00D35E51" w:rsidP="00DF6869">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Използваните стойности не трябва да бъдат по-малки от:</w:t>
      </w:r>
    </w:p>
    <w:tbl>
      <w:tblPr>
        <w:tblW w:w="0" w:type="auto"/>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7"/>
        <w:gridCol w:w="1418"/>
      </w:tblGrid>
      <w:tr w:rsidR="00271FA2" w:rsidRPr="00F06DE2" w14:paraId="2468A4E2" w14:textId="77777777">
        <w:tc>
          <w:tcPr>
            <w:tcW w:w="6747" w:type="dxa"/>
            <w:shd w:val="clear" w:color="auto" w:fill="auto"/>
            <w:vAlign w:val="center"/>
          </w:tcPr>
          <w:p w14:paraId="577240E0" w14:textId="77777777" w:rsidR="00271FA2" w:rsidRPr="00F06DE2" w:rsidRDefault="00D35E51">
            <w:pPr>
              <w:pStyle w:val="ESletpar"/>
              <w:spacing w:before="0"/>
              <w:ind w:left="0"/>
              <w:rPr>
                <w:rFonts w:ascii="Times New Roman" w:eastAsia="Batang" w:hAnsi="Times New Roman" w:cs="Times New Roman"/>
              </w:rPr>
            </w:pPr>
            <w:r w:rsidRPr="00F06DE2">
              <w:rPr>
                <w:rFonts w:ascii="Times New Roman" w:hAnsi="Times New Roman" w:cs="Times New Roman"/>
              </w:rPr>
              <w:t>Машинни и служебни помещения:</w:t>
            </w:r>
          </w:p>
        </w:tc>
        <w:tc>
          <w:tcPr>
            <w:tcW w:w="1418" w:type="dxa"/>
            <w:shd w:val="clear" w:color="auto" w:fill="auto"/>
            <w:vAlign w:val="center"/>
          </w:tcPr>
          <w:p w14:paraId="552FC36A" w14:textId="77777777" w:rsidR="00271FA2" w:rsidRPr="00F06DE2" w:rsidRDefault="00D35E51">
            <w:pPr>
              <w:pStyle w:val="ESletpar"/>
              <w:spacing w:before="0"/>
              <w:ind w:left="0"/>
              <w:jc w:val="center"/>
              <w:rPr>
                <w:rFonts w:ascii="Times New Roman" w:eastAsia="Batang" w:hAnsi="Times New Roman" w:cs="Times New Roman"/>
              </w:rPr>
            </w:pPr>
            <w:r w:rsidRPr="00F06DE2">
              <w:rPr>
                <w:rFonts w:ascii="Times New Roman" w:hAnsi="Times New Roman" w:cs="Times New Roman"/>
              </w:rPr>
              <w:t>85 %</w:t>
            </w:r>
          </w:p>
        </w:tc>
      </w:tr>
      <w:tr w:rsidR="00271FA2" w:rsidRPr="00F06DE2" w14:paraId="6171F3C9" w14:textId="77777777">
        <w:tc>
          <w:tcPr>
            <w:tcW w:w="6747" w:type="dxa"/>
            <w:shd w:val="clear" w:color="auto" w:fill="auto"/>
            <w:vAlign w:val="center"/>
          </w:tcPr>
          <w:p w14:paraId="5D8A30BD" w14:textId="77777777" w:rsidR="00271FA2" w:rsidRPr="00F06DE2" w:rsidRDefault="00D35E51">
            <w:pPr>
              <w:pStyle w:val="ESletpar"/>
              <w:spacing w:before="0"/>
              <w:ind w:left="0"/>
              <w:rPr>
                <w:rFonts w:ascii="Times New Roman" w:eastAsia="Batang" w:hAnsi="Times New Roman" w:cs="Times New Roman"/>
              </w:rPr>
            </w:pPr>
            <w:r w:rsidRPr="00F06DE2">
              <w:rPr>
                <w:rFonts w:ascii="Times New Roman" w:hAnsi="Times New Roman" w:cs="Times New Roman"/>
              </w:rPr>
              <w:t>Товарни трюмове:</w:t>
            </w:r>
          </w:p>
        </w:tc>
        <w:tc>
          <w:tcPr>
            <w:tcW w:w="1418" w:type="dxa"/>
            <w:shd w:val="clear" w:color="auto" w:fill="auto"/>
            <w:vAlign w:val="center"/>
          </w:tcPr>
          <w:p w14:paraId="197CBD2C" w14:textId="77777777" w:rsidR="00271FA2" w:rsidRPr="00F06DE2" w:rsidRDefault="00D35E51">
            <w:pPr>
              <w:pStyle w:val="ESletpar"/>
              <w:spacing w:before="0"/>
              <w:ind w:left="0"/>
              <w:jc w:val="center"/>
              <w:rPr>
                <w:rFonts w:ascii="Times New Roman" w:eastAsia="Batang" w:hAnsi="Times New Roman" w:cs="Times New Roman"/>
              </w:rPr>
            </w:pPr>
            <w:r w:rsidRPr="00F06DE2">
              <w:rPr>
                <w:rFonts w:ascii="Times New Roman" w:hAnsi="Times New Roman" w:cs="Times New Roman"/>
              </w:rPr>
              <w:t>70 %</w:t>
            </w:r>
          </w:p>
        </w:tc>
      </w:tr>
      <w:tr w:rsidR="00271FA2" w:rsidRPr="00F06DE2" w14:paraId="2BF66015" w14:textId="77777777">
        <w:tc>
          <w:tcPr>
            <w:tcW w:w="6747" w:type="dxa"/>
            <w:shd w:val="clear" w:color="auto" w:fill="auto"/>
            <w:vAlign w:val="center"/>
          </w:tcPr>
          <w:p w14:paraId="6BA245B3" w14:textId="77777777" w:rsidR="00271FA2" w:rsidRPr="00F06DE2" w:rsidRDefault="00D35E51">
            <w:pPr>
              <w:pStyle w:val="ESletpar"/>
              <w:spacing w:before="0"/>
              <w:ind w:left="0"/>
              <w:jc w:val="both"/>
              <w:rPr>
                <w:rFonts w:ascii="Times New Roman" w:eastAsia="Batang" w:hAnsi="Times New Roman" w:cs="Times New Roman"/>
                <w:lang w:val="ru-RU"/>
              </w:rPr>
            </w:pPr>
            <w:r w:rsidRPr="00F06DE2">
              <w:rPr>
                <w:rFonts w:ascii="Times New Roman" w:hAnsi="Times New Roman" w:cs="Times New Roman"/>
                <w:lang w:val="ru-RU"/>
              </w:rPr>
              <w:t>Двойни дъна, горивни резервоари, баластни резервоари и други в зависимост от това дали според предназначението им те се приемат за пълни или празни при плавателен съд, плаващ при максимално допустимо газене</w:t>
            </w:r>
          </w:p>
        </w:tc>
        <w:tc>
          <w:tcPr>
            <w:tcW w:w="1418" w:type="dxa"/>
            <w:shd w:val="clear" w:color="auto" w:fill="auto"/>
            <w:vAlign w:val="center"/>
          </w:tcPr>
          <w:p w14:paraId="4B58E282" w14:textId="77777777" w:rsidR="00271FA2" w:rsidRPr="00F06DE2" w:rsidRDefault="00D35E51">
            <w:pPr>
              <w:pStyle w:val="ESletpar"/>
              <w:spacing w:before="0"/>
              <w:ind w:left="0"/>
              <w:jc w:val="center"/>
              <w:rPr>
                <w:rFonts w:ascii="Times New Roman" w:eastAsia="Batang" w:hAnsi="Times New Roman" w:cs="Times New Roman"/>
              </w:rPr>
            </w:pPr>
            <w:r w:rsidRPr="00F06DE2">
              <w:rPr>
                <w:rFonts w:ascii="Times New Roman" w:hAnsi="Times New Roman" w:cs="Times New Roman"/>
              </w:rPr>
              <w:t>0 или 95 %.</w:t>
            </w:r>
          </w:p>
        </w:tc>
      </w:tr>
    </w:tbl>
    <w:p w14:paraId="25D0CAB7"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Изчисленията на ефекта на откритите повърхности в междинните етапи на наводняване се основават на брутната площ на повредените отсеци.</w:t>
      </w:r>
    </w:p>
    <w:p w14:paraId="55FD941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За всички междинни етапи на наводняване, посочени в точка 3, трябва да бъдат изпълнени следните изисквания:</w:t>
      </w:r>
    </w:p>
    <w:p w14:paraId="7C270660"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Ъгълът на крен </w:t>
      </w:r>
      <m:oMath>
        <m:r>
          <w:rPr>
            <w:rFonts w:ascii="Cambria Math" w:hAnsi="Cambria Math" w:cs="Times New Roman"/>
          </w:rPr>
          <m:t>φ</m:t>
        </m:r>
      </m:oMath>
      <w:r w:rsidRPr="00F06DE2">
        <w:rPr>
          <w:rFonts w:ascii="Times New Roman" w:hAnsi="Times New Roman" w:cs="Times New Roman"/>
          <w:lang w:val="ru-RU"/>
        </w:rPr>
        <w:t xml:space="preserve"> в равновесното положение на съответния междинен етап не надхвърля 15° (5°, когато контейнерите не са обезопасени).</w:t>
      </w:r>
    </w:p>
    <w:p w14:paraId="002C90C8"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Отвъд ъгъла на крен в равновесното положение на въпросния междинен етап, положителната част на кривата на рамото на изправящия момент трябва да дава стойност на рамото на изправящия момент </w:t>
      </w:r>
      <m:oMath>
        <m:r>
          <w:rPr>
            <w:rFonts w:ascii="Cambria Math" w:hAnsi="Cambria Math" w:cs="Times New Roman"/>
          </w:rPr>
          <m:t>GZ</m:t>
        </m:r>
        <m:r>
          <w:rPr>
            <w:rFonts w:ascii="Cambria Math" w:hAnsi="Cambria Math" w:cs="Times New Roman"/>
            <w:lang w:val="ru-RU"/>
          </w:rPr>
          <m:t xml:space="preserve"> ≥0,02 </m:t>
        </m:r>
        <m:r>
          <w:rPr>
            <w:rFonts w:ascii="Cambria Math" w:hAnsi="Cambria Math" w:cs="Times New Roman"/>
          </w:rPr>
          <m:t>m</m:t>
        </m:r>
      </m:oMath>
      <w:r w:rsidRPr="00F06DE2">
        <w:rPr>
          <w:rFonts w:ascii="Times New Roman" w:hAnsi="Times New Roman" w:cs="Times New Roman"/>
          <w:lang w:val="ru-RU"/>
        </w:rPr>
        <w:t xml:space="preserve"> (0,03 </w:t>
      </w:r>
      <w:r w:rsidRPr="00F06DE2">
        <w:rPr>
          <w:rFonts w:ascii="Times New Roman" w:hAnsi="Times New Roman" w:cs="Times New Roman"/>
        </w:rPr>
        <w:t>m</w:t>
      </w:r>
      <w:r w:rsidRPr="00F06DE2">
        <w:rPr>
          <w:rFonts w:ascii="Times New Roman" w:hAnsi="Times New Roman" w:cs="Times New Roman"/>
          <w:lang w:val="ru-RU"/>
        </w:rPr>
        <w:t xml:space="preserve">, когато контейнерите не са обезопасени), преди първият необезопасен отвор да бъде потопен или ъгълът на крен </w:t>
      </w:r>
      <m:oMath>
        <m:r>
          <w:rPr>
            <w:rFonts w:ascii="Cambria Math" w:hAnsi="Cambria Math" w:cs="Times New Roman"/>
          </w:rPr>
          <m:t>φ</m:t>
        </m:r>
      </m:oMath>
      <w:r w:rsidRPr="00F06DE2">
        <w:rPr>
          <w:rFonts w:ascii="Times New Roman" w:hAnsi="Times New Roman" w:cs="Times New Roman"/>
          <w:lang w:val="ru-RU"/>
        </w:rPr>
        <w:t xml:space="preserve"> да достигне 27° (15°, когато контейнерите не са обезопасени).</w:t>
      </w:r>
    </w:p>
    <w:p w14:paraId="48BAFE88"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Отворите, които не са водонепроницаеми, не са потопени преди достигане на ъгъла на крен в равновесното положение на въпросния междинен етап.</w:t>
      </w:r>
    </w:p>
    <w:p w14:paraId="48C371E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По време на крайния етап на наводняване трябва да са изпълнени следните изисквания:</w:t>
      </w:r>
    </w:p>
    <w:p w14:paraId="0CF4E876"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Долните краища на отворите, които не са водонепроницаеми (например вратите, прозорците, люковете за достъп), са на не по-малко от 0,10 </w:t>
      </w:r>
      <w:r w:rsidRPr="00F06DE2">
        <w:rPr>
          <w:rFonts w:ascii="Times New Roman" w:hAnsi="Times New Roman" w:cs="Times New Roman"/>
        </w:rPr>
        <w:t>m</w:t>
      </w:r>
      <w:r w:rsidRPr="00F06DE2">
        <w:rPr>
          <w:rFonts w:ascii="Times New Roman" w:hAnsi="Times New Roman" w:cs="Times New Roman"/>
          <w:lang w:val="ru-RU"/>
        </w:rPr>
        <w:t xml:space="preserve"> над повредената водолиния.</w:t>
      </w:r>
    </w:p>
    <w:p w14:paraId="2A86A5EC"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б) Ъгълът на крен </w:t>
      </w:r>
      <m:oMath>
        <m:r>
          <w:rPr>
            <w:rFonts w:ascii="Cambria Math" w:hAnsi="Cambria Math" w:cs="Times New Roman"/>
          </w:rPr>
          <m:t>φ</m:t>
        </m:r>
      </m:oMath>
      <w:r w:rsidRPr="00F06DE2">
        <w:rPr>
          <w:rFonts w:ascii="Times New Roman" w:hAnsi="Times New Roman" w:cs="Times New Roman"/>
          <w:lang w:val="ru-RU"/>
        </w:rPr>
        <w:t xml:space="preserve"> в равновесното положение не надхвърля 12° (5°, когато контейнерите не са обезопасени).</w:t>
      </w:r>
    </w:p>
    <w:p w14:paraId="0A982B46"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Отвъд ъгъла на крен в равновесното положение на въпросния междинен етап, положителната част на кривата на рамото на изправящия момент трябва да дава стойност на рамото на изправящия момент </w:t>
      </w:r>
      <m:oMath>
        <m:sSub>
          <m:sSubPr>
            <m:ctrlPr>
              <w:rPr>
                <w:rFonts w:ascii="Cambria Math" w:hAnsi="Cambria Math" w:cs="Times New Roman"/>
                <w:i/>
              </w:rPr>
            </m:ctrlPr>
          </m:sSubPr>
          <m:e>
            <m:r>
              <w:rPr>
                <w:rFonts w:ascii="Cambria Math" w:hAnsi="Cambria Math" w:cs="Times New Roman"/>
              </w:rPr>
              <m:t>GZ</m:t>
            </m:r>
          </m:e>
          <m:sub>
            <m:r>
              <w:rPr>
                <w:rFonts w:ascii="Cambria Math" w:hAnsi="Cambria Math" w:cs="Times New Roman"/>
              </w:rPr>
              <m:t>R</m:t>
            </m:r>
          </m:sub>
        </m:sSub>
        <m:r>
          <w:rPr>
            <w:rFonts w:ascii="Cambria Math" w:hAnsi="Cambria Math" w:cs="Times New Roman"/>
            <w:lang w:val="ru-RU"/>
          </w:rPr>
          <m:t xml:space="preserve"> ≥0,05 </m:t>
        </m:r>
        <m:r>
          <w:rPr>
            <w:rFonts w:ascii="Cambria Math" w:hAnsi="Cambria Math" w:cs="Times New Roman"/>
          </w:rPr>
          <m:t>m</m:t>
        </m:r>
      </m:oMath>
      <w:r w:rsidRPr="00F06DE2">
        <w:rPr>
          <w:rFonts w:ascii="Times New Roman" w:hAnsi="Times New Roman" w:cs="Times New Roman"/>
          <w:lang w:val="ru-RU"/>
        </w:rPr>
        <w:t xml:space="preserve"> и пространството под кривата трябва да достига поне </w:t>
      </w:r>
      <m:oMath>
        <m:r>
          <w:rPr>
            <w:rFonts w:ascii="Cambria Math" w:hAnsi="Cambria Math" w:cs="Times New Roman"/>
            <w:lang w:val="ru-RU"/>
          </w:rPr>
          <m:t xml:space="preserve">0,0065 </m:t>
        </m:r>
        <m:r>
          <w:rPr>
            <w:rFonts w:ascii="Cambria Math" w:hAnsi="Cambria Math" w:cs="Times New Roman"/>
          </w:rPr>
          <m:t>m</m:t>
        </m:r>
        <m:r>
          <w:rPr>
            <w:rFonts w:ascii="Cambria Math" w:hAnsi="Cambria Math" w:cs="Times New Roman"/>
            <w:lang w:val="ru-RU"/>
          </w:rPr>
          <m:t xml:space="preserve"> ∙</m:t>
        </m:r>
        <m:r>
          <w:rPr>
            <w:rFonts w:ascii="Cambria Math" w:hAnsi="Cambria Math" w:cs="Times New Roman"/>
          </w:rPr>
          <m:t>rad</m:t>
        </m:r>
      </m:oMath>
      <w:r w:rsidRPr="00F06DE2">
        <w:rPr>
          <w:rFonts w:ascii="Times New Roman" w:hAnsi="Times New Roman" w:cs="Times New Roman"/>
          <w:lang w:val="ru-RU"/>
        </w:rPr>
        <w:t xml:space="preserve">, преди първият необезопасен отвор да бъде потопен или ъгълът на крен </w:t>
      </w:r>
      <m:oMath>
        <m:r>
          <w:rPr>
            <w:rFonts w:ascii="Cambria Math" w:hAnsi="Cambria Math" w:cs="Times New Roman"/>
          </w:rPr>
          <m:t>φ</m:t>
        </m:r>
      </m:oMath>
      <w:r w:rsidRPr="00F06DE2">
        <w:rPr>
          <w:rFonts w:ascii="Times New Roman" w:hAnsi="Times New Roman" w:cs="Times New Roman"/>
          <w:lang w:val="ru-RU"/>
        </w:rPr>
        <w:t xml:space="preserve"> да достигне 27° (10°, когато контейнерите не са обезопасени).</w:t>
      </w:r>
    </w:p>
    <w:p w14:paraId="0AC0DC6C" w14:textId="77777777" w:rsidR="00271FA2" w:rsidRPr="00F06DE2" w:rsidRDefault="00D35E51">
      <w:pPr>
        <w:pStyle w:val="ESch"/>
        <w:ind w:firstLine="0"/>
        <w:jc w:val="center"/>
        <w:rPr>
          <w:rFonts w:ascii="Times New Roman" w:hAnsi="Times New Roman" w:cs="Times New Roman"/>
        </w:rPr>
      </w:pPr>
      <w:r w:rsidRPr="00F06DE2">
        <w:rPr>
          <w:rFonts w:ascii="Times New Roman" w:hAnsi="Times New Roman" w:cs="Times New Roman"/>
          <w:noProof/>
          <w:lang w:eastAsia="bg-BG"/>
        </w:rPr>
        <w:lastRenderedPageBreak/>
        <w:drawing>
          <wp:inline distT="0" distB="0" distL="0" distR="0" wp14:anchorId="428E4014" wp14:editId="663D2A1D">
            <wp:extent cx="4782185" cy="2740025"/>
            <wp:effectExtent l="0" t="0" r="0" b="317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4782312" cy="2740152"/>
                    </a:xfrm>
                    <a:prstGeom prst="rect">
                      <a:avLst/>
                    </a:prstGeom>
                  </pic:spPr>
                </pic:pic>
              </a:graphicData>
            </a:graphic>
          </wp:inline>
        </w:drawing>
      </w:r>
    </w:p>
    <w:p w14:paraId="23D4D35C"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ако отворите, които не са водонепроницаеми, бъдат потопени преди достигане на равновесното положение, помещенията, до които те дават достъп, се считат за наводнени за целите на изчисляването на устойчивостта в повредено състояние.</w:t>
      </w:r>
    </w:p>
    <w:p w14:paraId="36BD25C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Ако са налични отвори за взаимно наводняване между отсеци с цел намаляване асиметричното наводняване, те трябва да съответстват на следните условия:</w:t>
      </w:r>
    </w:p>
    <w:p w14:paraId="115EDCFF"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за изчисляване на взаимното наводняване между отсеци се прилага Резолюция </w:t>
      </w:r>
      <w:r w:rsidRPr="00F06DE2">
        <w:rPr>
          <w:rFonts w:ascii="Times New Roman" w:hAnsi="Times New Roman" w:cs="Times New Roman"/>
        </w:rPr>
        <w:t>A</w:t>
      </w:r>
      <w:r w:rsidRPr="00F06DE2">
        <w:rPr>
          <w:rFonts w:ascii="Times New Roman" w:hAnsi="Times New Roman" w:cs="Times New Roman"/>
          <w:lang w:val="ru-RU"/>
        </w:rPr>
        <w:t>.266 (</w:t>
      </w:r>
      <w:r w:rsidRPr="00F06DE2">
        <w:rPr>
          <w:rFonts w:ascii="Times New Roman" w:hAnsi="Times New Roman" w:cs="Times New Roman"/>
        </w:rPr>
        <w:t>VIII</w:t>
      </w:r>
      <w:r w:rsidRPr="00F06DE2">
        <w:rPr>
          <w:rFonts w:ascii="Times New Roman" w:hAnsi="Times New Roman" w:cs="Times New Roman"/>
          <w:lang w:val="ru-RU"/>
        </w:rPr>
        <w:t>) на ИМО;</w:t>
      </w:r>
    </w:p>
    <w:p w14:paraId="7F50E1B9"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б) отворите трябва да бъдат самозадействащи се;</w:t>
      </w:r>
    </w:p>
    <w:p w14:paraId="5CF07429"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в) отворите не трябва да са оборудвани със спирателни устройства;</w:t>
      </w:r>
    </w:p>
    <w:p w14:paraId="0FA52FC6" w14:textId="77777777" w:rsidR="00271FA2" w:rsidRPr="00F06DE2" w:rsidRDefault="00D35E51">
      <w:pPr>
        <w:pStyle w:val="ESlet"/>
        <w:spacing w:before="0"/>
        <w:ind w:left="851" w:hanging="284"/>
        <w:jc w:val="both"/>
        <w:rPr>
          <w:rFonts w:ascii="Times New Roman" w:hAnsi="Times New Roman" w:cs="Times New Roman"/>
          <w:lang w:val="ru-RU"/>
        </w:rPr>
      </w:pPr>
      <w:r w:rsidRPr="00F06DE2">
        <w:rPr>
          <w:rFonts w:ascii="Times New Roman" w:hAnsi="Times New Roman" w:cs="Times New Roman"/>
          <w:lang w:val="ru-RU"/>
        </w:rPr>
        <w:t>г) общото време, предвидено за изравняване, не трябва да надвишава 15 минути.</w:t>
      </w:r>
    </w:p>
    <w:p w14:paraId="4F268177"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Ако отворите, през които незасегнатите отсеци могат да бъдат допълнително наводнени, са пригодени за водонепроницаемо затваряне, спирателните устройства трябва да носят следното ясно четливо указание от двете страни:</w:t>
      </w:r>
    </w:p>
    <w:p w14:paraId="13419776" w14:textId="77777777" w:rsidR="00271FA2" w:rsidRPr="00F06DE2" w:rsidRDefault="00D35E51">
      <w:pPr>
        <w:pStyle w:val="ESlet"/>
        <w:spacing w:before="0"/>
        <w:jc w:val="center"/>
        <w:rPr>
          <w:rFonts w:ascii="Times New Roman" w:hAnsi="Times New Roman" w:cs="Times New Roman"/>
          <w:lang w:val="ru-RU"/>
        </w:rPr>
      </w:pPr>
      <w:r w:rsidRPr="00F06DE2">
        <w:rPr>
          <w:rFonts w:ascii="Times New Roman" w:hAnsi="Times New Roman" w:cs="Times New Roman"/>
          <w:lang w:val="ru-RU"/>
        </w:rPr>
        <w:t>„Затвори веднага след преминаване“.</w:t>
      </w:r>
    </w:p>
    <w:p w14:paraId="565C4C8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Доказването чрез изчисления съгласно точки 3 - 7 се смята за успешно, ако изчислението на устойчивостта в повредено състояние съгласно част 9 от правилата, приложени към Европейското споразумение за международен превоз на опасни товари по вътрешните водни пътища („</w:t>
      </w:r>
      <w:r w:rsidRPr="00F06DE2">
        <w:rPr>
          <w:rFonts w:ascii="Times New Roman" w:hAnsi="Times New Roman" w:cs="Times New Roman"/>
        </w:rPr>
        <w:t>ADN</w:t>
      </w:r>
      <w:r w:rsidRPr="00F06DE2">
        <w:rPr>
          <w:rFonts w:ascii="Times New Roman" w:hAnsi="Times New Roman" w:cs="Times New Roman"/>
          <w:lang w:val="ru-RU"/>
        </w:rPr>
        <w:t>“), даде положителен резултат.</w:t>
      </w:r>
    </w:p>
    <w:p w14:paraId="2DF1B064" w14:textId="77777777" w:rsidR="00271FA2" w:rsidRPr="00F06DE2" w:rsidRDefault="00D35E51" w:rsidP="00690412">
      <w:pPr>
        <w:pStyle w:val="ESch"/>
        <w:spacing w:after="240"/>
        <w:jc w:val="both"/>
        <w:rPr>
          <w:rFonts w:ascii="Times New Roman"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Ако е необходимо за изпълнението на изискванията от точка 3, равнината на максималното газене се установява наново.</w:t>
      </w:r>
    </w:p>
    <w:p w14:paraId="2C08A6C6"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88" w:name="_Toc535827688"/>
      <w:bookmarkStart w:id="489" w:name="_Toc491854247"/>
      <w:r w:rsidRPr="00F06DE2">
        <w:rPr>
          <w:rFonts w:ascii="Times New Roman" w:hAnsi="Times New Roman" w:cs="Times New Roman"/>
          <w:sz w:val="24"/>
          <w:szCs w:val="24"/>
          <w:lang w:val="ru-RU"/>
        </w:rPr>
        <w:t>Член 28.04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Допълнителни изисквания</w:t>
      </w:r>
      <w:bookmarkEnd w:id="488"/>
      <w:bookmarkEnd w:id="489"/>
    </w:p>
    <w:p w14:paraId="62F2C77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Плавателно средство, чиято дължина </w:t>
      </w:r>
      <m:oMath>
        <m:r>
          <w:rPr>
            <w:rFonts w:ascii="Cambria Math" w:hAnsi="Cambria Math" w:cs="Times New Roman"/>
          </w:rPr>
          <m:t>L</m:t>
        </m:r>
      </m:oMath>
      <w:r w:rsidRPr="00F06DE2">
        <w:rPr>
          <w:rFonts w:ascii="Times New Roman" w:hAnsi="Times New Roman" w:cs="Times New Roman"/>
          <w:lang w:val="ru-RU"/>
        </w:rPr>
        <w:t xml:space="preserve"> превишава 110 </w:t>
      </w:r>
      <w:r w:rsidRPr="00F06DE2">
        <w:rPr>
          <w:rFonts w:ascii="Times New Roman" w:hAnsi="Times New Roman" w:cs="Times New Roman"/>
        </w:rPr>
        <w:t>m</w:t>
      </w:r>
      <w:r w:rsidRPr="00F06DE2">
        <w:rPr>
          <w:rFonts w:ascii="Times New Roman" w:hAnsi="Times New Roman" w:cs="Times New Roman"/>
          <w:lang w:val="ru-RU"/>
        </w:rPr>
        <w:t>:</w:t>
      </w:r>
    </w:p>
    <w:p w14:paraId="16DB9373"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xml:space="preserve">) е оборудвано с многовинтови задвижващи системи с поне два отделни двигателя с еднаква мощност и носово подрулващо устройство, което се управлява от рулевата рубка и действа също, когато плавателното средство е без товар;  </w:t>
      </w:r>
    </w:p>
    <w:p w14:paraId="00B46D7C" w14:textId="77777777" w:rsidR="00271FA2" w:rsidRPr="00F06DE2" w:rsidRDefault="00D35E51" w:rsidP="00DE16E4">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или</w:t>
      </w:r>
    </w:p>
    <w:p w14:paraId="24D8E532" w14:textId="77777777" w:rsidR="00271FA2" w:rsidRPr="00F06DE2" w:rsidRDefault="00D35E51" w:rsidP="00DE16E4">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разполага с едновинтова задвижваща система и носово подрулващо устройство, което се управлява от рулевата рубка, със собствено силово захранване, и което действа също, когато </w:t>
      </w:r>
      <w:r w:rsidRPr="00F06DE2">
        <w:rPr>
          <w:rFonts w:ascii="Times New Roman" w:hAnsi="Times New Roman" w:cs="Times New Roman"/>
          <w:lang w:val="ru-RU"/>
        </w:rPr>
        <w:lastRenderedPageBreak/>
        <w:t>плавателното средство е без товар, давайки възможност на плавателното средство да се движи на собствен ход и при авария на основната система на задвижване;</w:t>
      </w:r>
    </w:p>
    <w:p w14:paraId="2FDD7D04" w14:textId="39B673F2"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е оборудвано с навигационна радиолокационна система заедно с индикатор на ъгловата скорост</w:t>
      </w:r>
      <w:r w:rsidR="002850FF" w:rsidRPr="00F06DE2">
        <w:rPr>
          <w:rFonts w:ascii="Times New Roman" w:hAnsi="Times New Roman" w:cs="Times New Roman"/>
          <w:lang w:val="ru-RU"/>
        </w:rPr>
        <w:t xml:space="preserve"> </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xml:space="preserve"> съгласно член 7.06, точка 1;</w:t>
      </w:r>
    </w:p>
    <w:p w14:paraId="5F11DD3A"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има неподвижно монтирана система от осушителни помпи съгласно член 8.08;</w:t>
      </w:r>
    </w:p>
    <w:p w14:paraId="4B60E94D"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отговаря на изискванията на член 31.02.</w:t>
      </w:r>
    </w:p>
    <w:p w14:paraId="5FE30E6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Чрез дерогация от точка 1 и като се имат предвид приложимите разпоредби на навигационните служби за някои области на корабоплаването в държавите членки, за плавателни средства, с изключение на пътническите плавателни съдове, с дължина </w:t>
      </w:r>
      <m:oMath>
        <m:r>
          <w:rPr>
            <w:rFonts w:ascii="Cambria Math" w:hAnsi="Cambria Math" w:cs="Times New Roman"/>
          </w:rPr>
          <m:t>L</m:t>
        </m:r>
      </m:oMath>
      <w:r w:rsidRPr="00F06DE2">
        <w:rPr>
          <w:rFonts w:ascii="Times New Roman" w:hAnsi="Times New Roman" w:cs="Times New Roman"/>
          <w:lang w:val="ru-RU"/>
        </w:rPr>
        <w:t xml:space="preserve"> над 110 </w:t>
      </w:r>
      <w:r w:rsidRPr="00F06DE2">
        <w:rPr>
          <w:rFonts w:ascii="Times New Roman" w:hAnsi="Times New Roman" w:cs="Times New Roman"/>
        </w:rPr>
        <w:t>m</w:t>
      </w:r>
      <w:r w:rsidRPr="00F06DE2">
        <w:rPr>
          <w:rFonts w:ascii="Times New Roman" w:hAnsi="Times New Roman" w:cs="Times New Roman"/>
          <w:lang w:val="ru-RU"/>
        </w:rPr>
        <w:t>, които:</w:t>
      </w:r>
    </w:p>
    <w:p w14:paraId="24AD7B89" w14:textId="77777777" w:rsidR="00271FA2" w:rsidRPr="00F06DE2" w:rsidRDefault="00D35E51" w:rsidP="00DE16E4">
      <w:pPr>
        <w:pStyle w:val="ESlet"/>
        <w:spacing w:before="0"/>
        <w:ind w:left="567"/>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отговарят на изискванията по точка 1, букви “а” - “г”;</w:t>
      </w:r>
    </w:p>
    <w:p w14:paraId="2E690DFD"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могат да бъдат разделени в случай на злополука в средната третина на плавателното средство без да се използва тежко спасително оборудване, като отделените части на плавателното средство останат на вода след разделянето;</w:t>
      </w:r>
    </w:p>
    <w:p w14:paraId="0F4A66E0"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в) са снабдени с удостоверение, което се държи на борда и което е издадено от призната класификационна организация относно плавателността, диферента и устойчивостта на отделните части на плавателното средство, в което се посочва степента на натоварване, над която плавателността на двете части вече не се гарантира;</w:t>
      </w:r>
    </w:p>
    <w:p w14:paraId="34594930"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са построени като плавателни съдове с двойни корпуси съгласно Европейското споразумение за международен превоз на опасни товари по вътрешни водни пътища, при което за моторните товарни плавателни съдове се прилагат разделите от 9.1.0.91 до 9.1.0.95, а за моторни танкери — точка 9.3.2.11.7 и разделите от 9.3.2.13 до 9.3.2.15 от част 9 от Европейското споразумение за международен превоз на опасни товари по вътрешни водни пътища;</w:t>
      </w:r>
    </w:p>
    <w:p w14:paraId="6059778C" w14:textId="5443F6F5" w:rsidR="00271FA2" w:rsidRPr="00F06DE2" w:rsidRDefault="00DE16E4"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д) </w:t>
      </w:r>
      <w:r w:rsidR="00D35E51" w:rsidRPr="00F06DE2">
        <w:rPr>
          <w:rFonts w:ascii="Times New Roman" w:hAnsi="Times New Roman" w:cs="Times New Roman"/>
          <w:lang w:val="ru-RU"/>
        </w:rPr>
        <w:t>са оборудвани с многовинтова задвижваща система съгласно точка 1, буква “</w:t>
      </w:r>
      <w:r w:rsidR="00D35E51" w:rsidRPr="00F06DE2">
        <w:rPr>
          <w:rFonts w:ascii="Times New Roman" w:hAnsi="Times New Roman" w:cs="Times New Roman"/>
        </w:rPr>
        <w:t>a</w:t>
      </w:r>
      <w:r w:rsidR="00D35E51" w:rsidRPr="00F06DE2">
        <w:rPr>
          <w:rFonts w:ascii="Times New Roman" w:hAnsi="Times New Roman" w:cs="Times New Roman"/>
          <w:lang w:val="ru-RU"/>
        </w:rPr>
        <w:t>”, първата половина на изречението;</w:t>
      </w:r>
    </w:p>
    <w:p w14:paraId="634C3024" w14:textId="77777777" w:rsidR="00271FA2" w:rsidRPr="00F06DE2" w:rsidRDefault="00D35E51" w:rsidP="00DE16E4">
      <w:pPr>
        <w:pStyle w:val="ESchpar"/>
        <w:jc w:val="both"/>
        <w:rPr>
          <w:rFonts w:ascii="Times New Roman" w:hAnsi="Times New Roman" w:cs="Times New Roman"/>
          <w:lang w:val="ru-RU"/>
        </w:rPr>
      </w:pPr>
      <w:r w:rsidRPr="00F06DE2">
        <w:rPr>
          <w:rFonts w:ascii="Times New Roman" w:hAnsi="Times New Roman" w:cs="Times New Roman"/>
          <w:lang w:val="ru-RU"/>
        </w:rPr>
        <w:t>В точка 52 от Корабното удостоверение за вътрешно корабоплаване се вписва, че те отговарят на всички изисквания по букви “а” - “д”.</w:t>
      </w:r>
    </w:p>
    <w:p w14:paraId="7CDFBFB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 xml:space="preserve">Чрез дерогация от точка 1 и като се имат предвид приложимите разпоредби на навигационните служби за някои области на корабоплаването в държавите членки, за пътническите плавателни съдове с дължина </w:t>
      </w:r>
      <m:oMath>
        <m:r>
          <w:rPr>
            <w:rFonts w:ascii="Cambria Math" w:hAnsi="Cambria Math" w:cs="Times New Roman"/>
          </w:rPr>
          <m:t>L</m:t>
        </m:r>
      </m:oMath>
      <w:r w:rsidRPr="00F06DE2">
        <w:rPr>
          <w:rFonts w:ascii="Times New Roman" w:hAnsi="Times New Roman" w:cs="Times New Roman"/>
          <w:lang w:val="ru-RU"/>
        </w:rPr>
        <w:t xml:space="preserve"> над 110 </w:t>
      </w:r>
      <w:r w:rsidRPr="00F06DE2">
        <w:rPr>
          <w:rFonts w:ascii="Times New Roman" w:hAnsi="Times New Roman" w:cs="Times New Roman"/>
        </w:rPr>
        <w:t>m</w:t>
      </w:r>
      <w:r w:rsidRPr="00F06DE2">
        <w:rPr>
          <w:rFonts w:ascii="Times New Roman" w:hAnsi="Times New Roman" w:cs="Times New Roman"/>
          <w:lang w:val="ru-RU"/>
        </w:rPr>
        <w:t>, които:</w:t>
      </w:r>
    </w:p>
    <w:p w14:paraId="2ECA2213"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отговарят на изискванията по точка 1, букви “а” - “г”;</w:t>
      </w:r>
    </w:p>
    <w:p w14:paraId="1B8A0A0C"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са построени или преустроени за най-високия си клас под надзора на призната класификационна организация, като в този случай съответствието се потвърждава чрез удостоверение, издадено от признатата класификационна организация. Поддържане на клас не е необходимо;</w:t>
      </w:r>
    </w:p>
    <w:p w14:paraId="19B02B5B"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в) имат двойно дъно с височина не по-малка от 600 </w:t>
      </w:r>
      <w:r w:rsidRPr="00F06DE2">
        <w:rPr>
          <w:rFonts w:ascii="Times New Roman" w:hAnsi="Times New Roman" w:cs="Times New Roman"/>
        </w:rPr>
        <w:t>mm</w:t>
      </w:r>
      <w:r w:rsidRPr="00F06DE2">
        <w:rPr>
          <w:rFonts w:ascii="Times New Roman" w:hAnsi="Times New Roman" w:cs="Times New Roman"/>
          <w:lang w:val="ru-RU"/>
        </w:rPr>
        <w:t xml:space="preserve"> и разделяне на отсеци, гарантиращо, че в случай на наводняване, на които и да било два съседни водонепроницаеми отсека плавателният съд няма да потъне по-ниско от пределната линия и</w:t>
      </w:r>
      <w:r w:rsidR="006D3B7D" w:rsidRPr="00F06DE2">
        <w:rPr>
          <w:rFonts w:ascii="Times New Roman" w:hAnsi="Times New Roman" w:cs="Times New Roman"/>
          <w:lang w:val="ru-RU"/>
        </w:rPr>
        <w:t xml:space="preserve"> ще има остатъчно безопасно разстояние </w:t>
      </w:r>
      <w:r w:rsidRPr="00F06DE2">
        <w:rPr>
          <w:rFonts w:ascii="Times New Roman" w:hAnsi="Times New Roman" w:cs="Times New Roman"/>
          <w:lang w:val="ru-RU"/>
        </w:rPr>
        <w:t xml:space="preserve">от 100 </w:t>
      </w:r>
      <w:r w:rsidRPr="00F06DE2">
        <w:rPr>
          <w:rFonts w:ascii="Times New Roman" w:hAnsi="Times New Roman" w:cs="Times New Roman"/>
        </w:rPr>
        <w:t>mm</w:t>
      </w:r>
      <w:r w:rsidRPr="00F06DE2">
        <w:rPr>
          <w:rFonts w:ascii="Times New Roman" w:hAnsi="Times New Roman" w:cs="Times New Roman"/>
          <w:lang w:val="ru-RU"/>
        </w:rPr>
        <w:t>;</w:t>
      </w:r>
    </w:p>
    <w:p w14:paraId="167BEFFE" w14:textId="77777777" w:rsidR="00271FA2" w:rsidRPr="00F06DE2" w:rsidRDefault="00D35E51" w:rsidP="00DE16E4">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или</w:t>
      </w:r>
    </w:p>
    <w:p w14:paraId="2BB2A403" w14:textId="77777777" w:rsidR="00271FA2" w:rsidRPr="00F06DE2" w:rsidRDefault="00D35E51" w:rsidP="00DE16E4">
      <w:pPr>
        <w:pStyle w:val="ESletpar"/>
        <w:spacing w:before="0"/>
        <w:ind w:left="567"/>
        <w:jc w:val="both"/>
        <w:rPr>
          <w:rFonts w:ascii="Times New Roman" w:hAnsi="Times New Roman" w:cs="Times New Roman"/>
          <w:lang w:val="ru-RU"/>
        </w:rPr>
      </w:pPr>
      <w:r w:rsidRPr="00F06DE2">
        <w:rPr>
          <w:rFonts w:ascii="Times New Roman" w:hAnsi="Times New Roman" w:cs="Times New Roman"/>
          <w:lang w:val="ru-RU"/>
        </w:rPr>
        <w:t xml:space="preserve">имат двойно дъно с височина не по-малка от 600 </w:t>
      </w:r>
      <w:r w:rsidRPr="00F06DE2">
        <w:rPr>
          <w:rFonts w:ascii="Times New Roman" w:hAnsi="Times New Roman" w:cs="Times New Roman"/>
        </w:rPr>
        <w:t>mm</w:t>
      </w:r>
      <w:r w:rsidRPr="00F06DE2">
        <w:rPr>
          <w:rFonts w:ascii="Times New Roman" w:hAnsi="Times New Roman" w:cs="Times New Roman"/>
          <w:lang w:val="ru-RU"/>
        </w:rPr>
        <w:t xml:space="preserve"> и двоен корпус с разстояние не по-малко от 800 </w:t>
      </w:r>
      <w:r w:rsidRPr="00F06DE2">
        <w:rPr>
          <w:rFonts w:ascii="Times New Roman" w:hAnsi="Times New Roman" w:cs="Times New Roman"/>
        </w:rPr>
        <w:t>mm</w:t>
      </w:r>
      <w:r w:rsidRPr="00F06DE2">
        <w:rPr>
          <w:rFonts w:ascii="Times New Roman" w:hAnsi="Times New Roman" w:cs="Times New Roman"/>
          <w:lang w:val="ru-RU"/>
        </w:rPr>
        <w:t xml:space="preserve"> между страничната стена на плавателния съд и надлъжната преграда;</w:t>
      </w:r>
    </w:p>
    <w:p w14:paraId="7F4ADE87"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г) са оборудвани с многовинтова задвижваща система с най-малко два отделни двигателя с еднаква мощност и носово подрулващо устройство, което може да се управлява от рулевата рубка и което действа както надлъжно, така и напречно;</w:t>
      </w:r>
    </w:p>
    <w:p w14:paraId="7647E045"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д) позволяват кърмовите котви да се задействат директно от рулевата рубка;</w:t>
      </w:r>
    </w:p>
    <w:p w14:paraId="3E73A164" w14:textId="38BA2DF4" w:rsidR="00DE16E4" w:rsidRPr="00F06DE2" w:rsidRDefault="00D35E51" w:rsidP="00DE16E4">
      <w:pPr>
        <w:pStyle w:val="ESchpar"/>
        <w:jc w:val="both"/>
        <w:rPr>
          <w:rFonts w:ascii="Times New Roman" w:hAnsi="Times New Roman" w:cs="Times New Roman"/>
          <w:lang w:val="ru-RU"/>
        </w:rPr>
      </w:pPr>
      <w:r w:rsidRPr="00F06DE2">
        <w:rPr>
          <w:rFonts w:ascii="Times New Roman" w:hAnsi="Times New Roman" w:cs="Times New Roman"/>
          <w:lang w:val="ru-RU"/>
        </w:rPr>
        <w:lastRenderedPageBreak/>
        <w:t>в точка 52 от Корабното удостоверение за вътрешно корабоплаване се вписва, че той отговаря на всички изисквания по букви “а” - “д”.</w:t>
      </w:r>
    </w:p>
    <w:p w14:paraId="4F91CBF8" w14:textId="77777777" w:rsidR="00F87420" w:rsidRPr="00F06DE2" w:rsidRDefault="00F87420">
      <w:pPr>
        <w:rPr>
          <w:rFonts w:ascii="Times New Roman" w:hAnsi="Times New Roman" w:cs="Times New Roman"/>
          <w:lang w:val="ru-RU"/>
        </w:rPr>
        <w:sectPr w:rsidR="00F87420" w:rsidRPr="00F06DE2" w:rsidSect="00DB7663">
          <w:headerReference w:type="default" r:id="rId77"/>
          <w:headerReference w:type="first" r:id="rId78"/>
          <w:footnotePr>
            <w:numRestart w:val="eachPage"/>
          </w:footnotePr>
          <w:pgSz w:w="11906" w:h="16838" w:code="9"/>
          <w:pgMar w:top="1134" w:right="1134" w:bottom="1134" w:left="1134" w:header="709" w:footer="709" w:gutter="0"/>
          <w:cols w:space="709"/>
          <w:titlePg/>
          <w:docGrid w:linePitch="272"/>
        </w:sectPr>
      </w:pPr>
    </w:p>
    <w:p w14:paraId="1A2A7AD9" w14:textId="77777777" w:rsidR="00271FA2" w:rsidRPr="00F06DE2" w:rsidRDefault="00D35E51" w:rsidP="00DE16E4">
      <w:pPr>
        <w:pStyle w:val="ES-Titre2"/>
        <w:spacing w:after="240"/>
        <w:rPr>
          <w:rFonts w:ascii="Times New Roman" w:hAnsi="Times New Roman" w:cs="Times New Roman"/>
          <w:lang w:val="ru-RU"/>
        </w:rPr>
      </w:pPr>
      <w:bookmarkStart w:id="490" w:name="_Toc535827689"/>
      <w:bookmarkStart w:id="491" w:name="_Toc491854248"/>
      <w:r w:rsidRPr="00F06DE2">
        <w:rPr>
          <w:rFonts w:ascii="Times New Roman" w:hAnsi="Times New Roman" w:cs="Times New Roman"/>
          <w:lang w:val="ru-RU"/>
        </w:rPr>
        <w:lastRenderedPageBreak/>
        <w:t>Глава 29</w:t>
      </w:r>
      <w:r w:rsidRPr="00F06DE2">
        <w:rPr>
          <w:rFonts w:ascii="Times New Roman" w:hAnsi="Times New Roman" w:cs="Times New Roman"/>
          <w:lang w:val="ru-RU"/>
        </w:rPr>
        <w:br/>
        <w:t xml:space="preserve">Специални разпоредби, приложими към високоскоростни </w:t>
      </w:r>
      <w:bookmarkEnd w:id="490"/>
      <w:bookmarkEnd w:id="491"/>
      <w:r w:rsidRPr="00F06DE2">
        <w:rPr>
          <w:rFonts w:ascii="Times New Roman" w:hAnsi="Times New Roman" w:cs="Times New Roman"/>
          <w:lang w:val="ru-RU"/>
        </w:rPr>
        <w:t>плавателни съдове</w:t>
      </w:r>
    </w:p>
    <w:p w14:paraId="6AB7A6C7" w14:textId="77777777" w:rsidR="00271FA2" w:rsidRPr="00F06DE2" w:rsidRDefault="00D35E51">
      <w:pPr>
        <w:pStyle w:val="ES-Titre3"/>
        <w:spacing w:line="240" w:lineRule="atLeast"/>
        <w:rPr>
          <w:rFonts w:ascii="Times New Roman" w:hAnsi="Times New Roman" w:cs="Times New Roman"/>
          <w:sz w:val="24"/>
          <w:szCs w:val="24"/>
          <w:lang w:val="ru-RU"/>
        </w:rPr>
      </w:pPr>
      <w:bookmarkStart w:id="492" w:name="_Toc535827690"/>
      <w:bookmarkStart w:id="493" w:name="_Toc491854249"/>
      <w:r w:rsidRPr="00F06DE2">
        <w:rPr>
          <w:rFonts w:ascii="Times New Roman" w:hAnsi="Times New Roman" w:cs="Times New Roman"/>
          <w:sz w:val="24"/>
          <w:szCs w:val="24"/>
          <w:lang w:val="ru-RU"/>
        </w:rPr>
        <w:t>Член 29.01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Общи положения</w:t>
      </w:r>
      <w:bookmarkEnd w:id="492"/>
      <w:bookmarkEnd w:id="493"/>
    </w:p>
    <w:p w14:paraId="2286193B" w14:textId="777777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Високоскоростните плавателни съдове не се строят като плавателни съдове с каюти.</w:t>
      </w:r>
    </w:p>
    <w:p w14:paraId="0D82A65B" w14:textId="777777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Следните инсталации са забранени на брода на високоскоростните плавателни съдове:</w:t>
      </w:r>
    </w:p>
    <w:p w14:paraId="6834B431" w14:textId="77777777" w:rsidR="00271FA2" w:rsidRPr="00F06DE2" w:rsidRDefault="00D35E51" w:rsidP="008B10E3">
      <w:pPr>
        <w:pStyle w:val="ESlet"/>
        <w:spacing w:before="0"/>
        <w:ind w:leftChars="236" w:left="519" w:firstLineChars="5" w:firstLine="11"/>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уреди, оборудвани с фитилени горелки съгласно член</w:t>
      </w:r>
      <w:r w:rsidRPr="00F06DE2">
        <w:rPr>
          <w:rFonts w:ascii="Times New Roman" w:hAnsi="Times New Roman" w:cs="Times New Roman"/>
        </w:rPr>
        <w:t> </w:t>
      </w:r>
      <w:r w:rsidRPr="00F06DE2">
        <w:rPr>
          <w:rFonts w:ascii="Times New Roman" w:hAnsi="Times New Roman" w:cs="Times New Roman"/>
          <w:lang w:val="ru-RU"/>
        </w:rPr>
        <w:t>16.02;</w:t>
      </w:r>
    </w:p>
    <w:p w14:paraId="48F1B269" w14:textId="77777777" w:rsidR="00271FA2" w:rsidRPr="00F06DE2" w:rsidRDefault="00D35E51" w:rsidP="008B10E3">
      <w:pPr>
        <w:pStyle w:val="ESlet"/>
        <w:spacing w:before="0"/>
        <w:ind w:leftChars="236" w:left="519" w:firstLineChars="5" w:firstLine="11"/>
        <w:jc w:val="both"/>
        <w:rPr>
          <w:rFonts w:ascii="Times New Roman" w:hAnsi="Times New Roman" w:cs="Times New Roman"/>
          <w:lang w:val="ru-RU"/>
        </w:rPr>
      </w:pPr>
      <w:r w:rsidRPr="00F06DE2">
        <w:rPr>
          <w:rFonts w:ascii="Times New Roman" w:hAnsi="Times New Roman" w:cs="Times New Roman"/>
          <w:lang w:val="ru-RU"/>
        </w:rPr>
        <w:t>б) печки с изпарителни мазутни горелки съгласно членове 16.03 и 16.04;</w:t>
      </w:r>
    </w:p>
    <w:p w14:paraId="7B565496" w14:textId="77777777" w:rsidR="00271FA2" w:rsidRPr="00F06DE2" w:rsidRDefault="00D35E51" w:rsidP="008B10E3">
      <w:pPr>
        <w:pStyle w:val="ESlet"/>
        <w:spacing w:before="0"/>
        <w:ind w:leftChars="236" w:left="519" w:firstLineChars="5" w:firstLine="11"/>
        <w:jc w:val="both"/>
        <w:rPr>
          <w:rFonts w:ascii="Times New Roman" w:hAnsi="Times New Roman" w:cs="Times New Roman"/>
          <w:lang w:val="ru-RU"/>
        </w:rPr>
      </w:pPr>
      <w:r w:rsidRPr="00F06DE2">
        <w:rPr>
          <w:rFonts w:ascii="Times New Roman" w:hAnsi="Times New Roman" w:cs="Times New Roman"/>
          <w:lang w:val="ru-RU"/>
        </w:rPr>
        <w:t>в) отоплителни устройства, работещи с твърдо гориво съгласно член</w:t>
      </w:r>
      <w:r w:rsidRPr="00F06DE2">
        <w:rPr>
          <w:rFonts w:ascii="Times New Roman" w:hAnsi="Times New Roman" w:cs="Times New Roman"/>
        </w:rPr>
        <w:t> </w:t>
      </w:r>
      <w:r w:rsidRPr="00F06DE2">
        <w:rPr>
          <w:rFonts w:ascii="Times New Roman" w:hAnsi="Times New Roman" w:cs="Times New Roman"/>
          <w:lang w:val="ru-RU"/>
        </w:rPr>
        <w:t>16.07;</w:t>
      </w:r>
    </w:p>
    <w:p w14:paraId="39F7F4A8" w14:textId="77777777" w:rsidR="00271FA2" w:rsidRPr="00F06DE2" w:rsidRDefault="00D35E51" w:rsidP="008B10E3">
      <w:pPr>
        <w:pStyle w:val="ESlet"/>
        <w:spacing w:before="0"/>
        <w:ind w:leftChars="236" w:left="519" w:firstLineChars="5" w:firstLine="11"/>
        <w:jc w:val="both"/>
        <w:rPr>
          <w:rFonts w:ascii="Times New Roman" w:hAnsi="Times New Roman" w:cs="Times New Roman"/>
          <w:lang w:val="ru-RU"/>
        </w:rPr>
      </w:pPr>
      <w:r w:rsidRPr="00F06DE2">
        <w:rPr>
          <w:rFonts w:ascii="Times New Roman" w:hAnsi="Times New Roman" w:cs="Times New Roman"/>
          <w:lang w:val="ru-RU"/>
        </w:rPr>
        <w:t>г) уредби за втечнен газ съгласно Глава 17.</w:t>
      </w:r>
    </w:p>
    <w:p w14:paraId="787195BD" w14:textId="77777777" w:rsidR="00271FA2" w:rsidRPr="00F06DE2" w:rsidRDefault="00D35E51" w:rsidP="00DE16E4">
      <w:pPr>
        <w:pStyle w:val="ESch"/>
        <w:spacing w:after="240"/>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Високоскоростните плавателни съдове се изграждат и класифицират под надзора и в съответствие с действащите правила на призната класификационна организация, която има специални правила за тях. Класът трябва да се поддържа.</w:t>
      </w:r>
    </w:p>
    <w:p w14:paraId="388A6327"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94" w:name="_Toc491854250"/>
      <w:bookmarkStart w:id="495" w:name="_Toc535827691"/>
      <w:r w:rsidRPr="00F06DE2">
        <w:rPr>
          <w:rFonts w:ascii="Times New Roman" w:hAnsi="Times New Roman" w:cs="Times New Roman"/>
          <w:sz w:val="24"/>
          <w:szCs w:val="24"/>
          <w:lang w:val="ru-RU"/>
        </w:rPr>
        <w:t>Член 29.02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Прилагане на части </w:t>
      </w:r>
      <w:r w:rsidRPr="00F06DE2">
        <w:rPr>
          <w:rFonts w:ascii="Times New Roman" w:hAnsi="Times New Roman" w:cs="Times New Roman"/>
          <w:i/>
          <w:sz w:val="24"/>
          <w:szCs w:val="24"/>
        </w:rPr>
        <w:t>II</w:t>
      </w:r>
      <w:r w:rsidRPr="00F06DE2">
        <w:rPr>
          <w:rFonts w:ascii="Times New Roman" w:hAnsi="Times New Roman" w:cs="Times New Roman"/>
          <w:i/>
          <w:sz w:val="24"/>
          <w:szCs w:val="24"/>
          <w:lang w:val="ru-RU"/>
        </w:rPr>
        <w:t xml:space="preserve"> и </w:t>
      </w:r>
      <w:r w:rsidRPr="00F06DE2">
        <w:rPr>
          <w:rFonts w:ascii="Times New Roman" w:hAnsi="Times New Roman" w:cs="Times New Roman"/>
          <w:i/>
          <w:sz w:val="24"/>
          <w:szCs w:val="24"/>
        </w:rPr>
        <w:t>III</w:t>
      </w:r>
      <w:bookmarkEnd w:id="494"/>
      <w:bookmarkEnd w:id="495"/>
    </w:p>
    <w:p w14:paraId="300AB3CC" w14:textId="777777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Независимо от точка 2, Глави 3—19 се прилагат по отношение на високоскоростните плавателни съдове, с изключение на следните разпоредби:</w:t>
      </w:r>
    </w:p>
    <w:p w14:paraId="25A070C7" w14:textId="3DA2FE2A" w:rsidR="00271FA2" w:rsidRPr="00F06DE2" w:rsidRDefault="00D35E51" w:rsidP="00DE16E4">
      <w:pPr>
        <w:pStyle w:val="ESlet"/>
        <w:spacing w:before="0"/>
        <w:ind w:leftChars="236" w:left="519" w:firstLineChars="5" w:firstLine="11"/>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член 3.04, точка 6, втори параграф;</w:t>
      </w:r>
    </w:p>
    <w:p w14:paraId="171349B4" w14:textId="77777777" w:rsidR="00271FA2" w:rsidRPr="00F06DE2" w:rsidRDefault="00D35E51" w:rsidP="00DE16E4">
      <w:pPr>
        <w:pStyle w:val="ESlet"/>
        <w:spacing w:before="0"/>
        <w:ind w:leftChars="236" w:left="519" w:firstLineChars="5" w:firstLine="11"/>
        <w:jc w:val="both"/>
        <w:rPr>
          <w:rFonts w:ascii="Times New Roman" w:hAnsi="Times New Roman" w:cs="Times New Roman"/>
          <w:lang w:val="ru-RU"/>
        </w:rPr>
      </w:pPr>
      <w:r w:rsidRPr="00F06DE2">
        <w:rPr>
          <w:rFonts w:ascii="Times New Roman" w:hAnsi="Times New Roman" w:cs="Times New Roman"/>
          <w:lang w:val="ru-RU"/>
        </w:rPr>
        <w:t>б) член 8.08, точка 2, второ изречение;</w:t>
      </w:r>
    </w:p>
    <w:p w14:paraId="59FF35D6" w14:textId="77777777" w:rsidR="00271FA2" w:rsidRPr="00F06DE2" w:rsidRDefault="00D35E51" w:rsidP="00DE16E4">
      <w:pPr>
        <w:pStyle w:val="ESlet"/>
        <w:spacing w:before="0"/>
        <w:ind w:leftChars="236" w:left="519" w:firstLineChars="5" w:firstLine="11"/>
        <w:jc w:val="both"/>
        <w:rPr>
          <w:rFonts w:ascii="Times New Roman" w:hAnsi="Times New Roman" w:cs="Times New Roman"/>
          <w:lang w:val="ru-RU"/>
        </w:rPr>
      </w:pPr>
      <w:r w:rsidRPr="00F06DE2">
        <w:rPr>
          <w:rFonts w:ascii="Times New Roman" w:hAnsi="Times New Roman" w:cs="Times New Roman"/>
          <w:lang w:val="ru-RU"/>
        </w:rPr>
        <w:t>в) член 14.02, точка 4, второ и трето изречение;</w:t>
      </w:r>
    </w:p>
    <w:p w14:paraId="2EC13C78" w14:textId="77777777" w:rsidR="00271FA2" w:rsidRPr="00F06DE2" w:rsidRDefault="00D35E51" w:rsidP="00DE16E4">
      <w:pPr>
        <w:pStyle w:val="ESlet"/>
        <w:spacing w:before="0"/>
        <w:ind w:leftChars="236" w:left="519" w:firstLineChars="5" w:firstLine="11"/>
        <w:jc w:val="both"/>
        <w:rPr>
          <w:rFonts w:ascii="Times New Roman" w:hAnsi="Times New Roman" w:cs="Times New Roman"/>
          <w:lang w:val="ru-RU"/>
        </w:rPr>
      </w:pPr>
      <w:r w:rsidRPr="00F06DE2">
        <w:rPr>
          <w:rFonts w:ascii="Times New Roman" w:hAnsi="Times New Roman" w:cs="Times New Roman"/>
          <w:lang w:val="ru-RU"/>
        </w:rPr>
        <w:t>г) член 15.02, точка 4, второ изречение;</w:t>
      </w:r>
    </w:p>
    <w:p w14:paraId="46398662" w14:textId="77777777" w:rsidR="00271FA2" w:rsidRPr="00F06DE2" w:rsidRDefault="00D35E51" w:rsidP="00DE16E4">
      <w:pPr>
        <w:pStyle w:val="ESlet"/>
        <w:spacing w:before="0"/>
        <w:ind w:leftChars="236" w:left="519" w:firstLineChars="5" w:firstLine="11"/>
        <w:jc w:val="both"/>
        <w:rPr>
          <w:rFonts w:ascii="Times New Roman" w:hAnsi="Times New Roman" w:cs="Times New Roman"/>
          <w:lang w:val="ru-RU"/>
        </w:rPr>
      </w:pPr>
      <w:r w:rsidRPr="00F06DE2">
        <w:rPr>
          <w:rFonts w:ascii="Times New Roman" w:hAnsi="Times New Roman" w:cs="Times New Roman"/>
          <w:lang w:val="ru-RU"/>
        </w:rPr>
        <w:t>д) член 19.06, точка 3, буква “а”, второ изречение.</w:t>
      </w:r>
    </w:p>
    <w:p w14:paraId="27E53FAF" w14:textId="777777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Чрез дерогация от член 19.02, точка 9 и член 19.15, точка 6, всички врати във водонепроницаемите прегради трябва да могат да се управляват с дистанционно.</w:t>
      </w:r>
    </w:p>
    <w:p w14:paraId="20C8ED80" w14:textId="777777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Чрез дерогация от член 6.02, точка 1, в случай на отказ или повреда на задвижващото звено на рулевия апарат второ независимо задвижващо звено на рулевата апаратура или ръчно задвижвано звено трябва да започне да работи без забавяне.</w:t>
      </w:r>
    </w:p>
    <w:p w14:paraId="574C0191" w14:textId="77777777" w:rsidR="00271FA2" w:rsidRPr="00F06DE2" w:rsidRDefault="00D35E51" w:rsidP="00DE16E4">
      <w:pPr>
        <w:pStyle w:val="ESch"/>
        <w:spacing w:after="240"/>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В допълнение към изискванията от точки 1 - 3, високоскоростните плавателни съдове трябва да отговарят на изискванията на членове 29.03 - 29.10.</w:t>
      </w:r>
    </w:p>
    <w:p w14:paraId="1D060454"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96" w:name="_Toc535827692"/>
      <w:bookmarkStart w:id="497" w:name="_Toc491854251"/>
      <w:r w:rsidRPr="00F06DE2">
        <w:rPr>
          <w:rFonts w:ascii="Times New Roman" w:hAnsi="Times New Roman" w:cs="Times New Roman"/>
          <w:sz w:val="24"/>
          <w:szCs w:val="24"/>
          <w:lang w:val="ru-RU"/>
        </w:rPr>
        <w:t>Член 29.03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Седалки и предпазни колани</w:t>
      </w:r>
      <w:bookmarkEnd w:id="496"/>
      <w:bookmarkEnd w:id="497"/>
    </w:p>
    <w:p w14:paraId="0AE0D346" w14:textId="77777777" w:rsidR="00271FA2" w:rsidRPr="00F06DE2" w:rsidRDefault="00D35E51" w:rsidP="00DE16E4">
      <w:pPr>
        <w:pStyle w:val="ESgauche"/>
        <w:spacing w:after="240"/>
        <w:jc w:val="both"/>
        <w:rPr>
          <w:rFonts w:ascii="Times New Roman" w:hAnsi="Times New Roman" w:cs="Times New Roman"/>
          <w:lang w:val="ru-RU"/>
        </w:rPr>
      </w:pPr>
      <w:r w:rsidRPr="00F06DE2">
        <w:rPr>
          <w:rFonts w:ascii="Times New Roman" w:hAnsi="Times New Roman" w:cs="Times New Roman"/>
          <w:lang w:val="ru-RU"/>
        </w:rPr>
        <w:t xml:space="preserve">Седалки се осигуряват за максималния допустим брой пътници на борда. Седалките трябва да бъдат оборудвани с предпазни колани. Предпазните колани може да не се изискват, в случай че е осигурена подходяща защита от удар или ако те не се изискват съгласно Глава 4, част 6 от Кодекса </w:t>
      </w:r>
      <w:r w:rsidRPr="00F06DE2">
        <w:rPr>
          <w:rFonts w:ascii="Times New Roman" w:hAnsi="Times New Roman" w:cs="Times New Roman"/>
        </w:rPr>
        <w:t>HSC</w:t>
      </w:r>
      <w:r w:rsidRPr="00F06DE2">
        <w:rPr>
          <w:rFonts w:ascii="Times New Roman" w:hAnsi="Times New Roman" w:cs="Times New Roman"/>
          <w:lang w:val="ru-RU"/>
        </w:rPr>
        <w:t xml:space="preserve"> 2000.</w:t>
      </w:r>
    </w:p>
    <w:p w14:paraId="6E15E637"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498" w:name="_Toc491854252"/>
      <w:bookmarkStart w:id="499" w:name="_Toc535827693"/>
      <w:r w:rsidRPr="00F06DE2">
        <w:rPr>
          <w:rFonts w:ascii="Times New Roman" w:hAnsi="Times New Roman" w:cs="Times New Roman"/>
          <w:sz w:val="24"/>
          <w:szCs w:val="24"/>
          <w:lang w:val="ru-RU"/>
        </w:rPr>
        <w:t>Член 29.04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Надводен борд</w:t>
      </w:r>
      <w:bookmarkEnd w:id="498"/>
      <w:bookmarkEnd w:id="499"/>
    </w:p>
    <w:p w14:paraId="592DB840" w14:textId="77777777" w:rsidR="00271FA2" w:rsidRPr="00F06DE2" w:rsidRDefault="00D35E51" w:rsidP="00DE16E4">
      <w:pPr>
        <w:pStyle w:val="ESgauche"/>
        <w:spacing w:after="240"/>
        <w:jc w:val="both"/>
        <w:rPr>
          <w:rFonts w:ascii="Times New Roman" w:hAnsi="Times New Roman" w:cs="Times New Roman"/>
          <w:lang w:val="ru-RU"/>
        </w:rPr>
      </w:pPr>
      <w:r w:rsidRPr="00F06DE2">
        <w:rPr>
          <w:rFonts w:ascii="Times New Roman" w:hAnsi="Times New Roman" w:cs="Times New Roman"/>
          <w:lang w:val="ru-RU"/>
        </w:rPr>
        <w:t>Чрез дерогация от член 4.02 надводният борд трябва да е най-малко 500</w:t>
      </w:r>
      <w:r w:rsidRPr="00F06DE2">
        <w:rPr>
          <w:rFonts w:ascii="Times New Roman" w:hAnsi="Times New Roman" w:cs="Times New Roman"/>
        </w:rPr>
        <w:t> mm</w:t>
      </w:r>
      <w:r w:rsidRPr="00F06DE2">
        <w:rPr>
          <w:rFonts w:ascii="Times New Roman" w:hAnsi="Times New Roman" w:cs="Times New Roman"/>
          <w:lang w:val="ru-RU"/>
        </w:rPr>
        <w:t>.</w:t>
      </w:r>
    </w:p>
    <w:p w14:paraId="4A025B39"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500" w:name="_Toc491854253"/>
      <w:bookmarkStart w:id="501" w:name="_Toc535827694"/>
      <w:r w:rsidRPr="00F06DE2">
        <w:rPr>
          <w:rFonts w:ascii="Times New Roman" w:hAnsi="Times New Roman" w:cs="Times New Roman"/>
          <w:sz w:val="24"/>
          <w:szCs w:val="24"/>
          <w:lang w:val="ru-RU"/>
        </w:rPr>
        <w:t>Член 29.05</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Плавателност, устойчивост и делене на отсеци</w:t>
      </w:r>
      <w:bookmarkEnd w:id="500"/>
      <w:bookmarkEnd w:id="501"/>
    </w:p>
    <w:p w14:paraId="577269BB" w14:textId="77777777" w:rsidR="00271FA2" w:rsidRPr="00F06DE2" w:rsidRDefault="00D35E51" w:rsidP="008B10E3">
      <w:pPr>
        <w:pStyle w:val="ESgauche"/>
        <w:jc w:val="both"/>
        <w:rPr>
          <w:rFonts w:ascii="Times New Roman" w:hAnsi="Times New Roman" w:cs="Times New Roman"/>
          <w:lang w:val="ru-RU"/>
        </w:rPr>
      </w:pPr>
      <w:r w:rsidRPr="00F06DE2">
        <w:rPr>
          <w:rFonts w:ascii="Times New Roman" w:hAnsi="Times New Roman" w:cs="Times New Roman"/>
          <w:lang w:val="ru-RU"/>
        </w:rPr>
        <w:lastRenderedPageBreak/>
        <w:t>За високоскоростните плавателни съдове следва да бъдат предоставени достатъчно доказателства за:</w:t>
      </w:r>
    </w:p>
    <w:p w14:paraId="5B4F0479" w14:textId="77777777" w:rsidR="00271FA2" w:rsidRPr="00F06DE2" w:rsidRDefault="00D35E51" w:rsidP="00DE16E4">
      <w:pPr>
        <w:pStyle w:val="ESletgauche"/>
        <w:numPr>
          <w:ilvl w:val="0"/>
          <w:numId w:val="33"/>
        </w:numPr>
        <w:spacing w:before="0"/>
        <w:ind w:firstLine="0"/>
        <w:jc w:val="both"/>
        <w:rPr>
          <w:rFonts w:ascii="Times New Roman" w:hAnsi="Times New Roman" w:cs="Times New Roman"/>
          <w:lang w:val="ru-RU"/>
        </w:rPr>
      </w:pPr>
      <w:r w:rsidRPr="00F06DE2">
        <w:rPr>
          <w:rFonts w:ascii="Times New Roman" w:hAnsi="Times New Roman" w:cs="Times New Roman"/>
          <w:lang w:val="ru-RU"/>
        </w:rPr>
        <w:t>характеристиките на плавателност и устойчивост, достатъчни за безопасността, когато плавателното средство се използва в режим на водоизместване, както в изправно, така и повредено състояние;</w:t>
      </w:r>
    </w:p>
    <w:p w14:paraId="016B721F" w14:textId="77777777" w:rsidR="00271FA2" w:rsidRPr="00F06DE2" w:rsidRDefault="00D35E51" w:rsidP="00DE16E4">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б) характеристиките на устойчивост и системите за стабилизиране, достатъчни за безопасността, когато плавателното средство се използва в режим на динамична плавателност и в преходен режим;</w:t>
      </w:r>
    </w:p>
    <w:p w14:paraId="1205D2C6" w14:textId="77777777" w:rsidR="00271FA2" w:rsidRPr="00F06DE2" w:rsidRDefault="00D35E51" w:rsidP="00DE16E4">
      <w:pPr>
        <w:pStyle w:val="ESletgauche"/>
        <w:spacing w:before="0" w:after="240"/>
        <w:ind w:firstLine="0"/>
        <w:jc w:val="both"/>
        <w:rPr>
          <w:rFonts w:ascii="Times New Roman" w:hAnsi="Times New Roman" w:cs="Times New Roman"/>
          <w:lang w:val="ru-RU"/>
        </w:rPr>
      </w:pPr>
      <w:r w:rsidRPr="00F06DE2">
        <w:rPr>
          <w:rFonts w:ascii="Times New Roman" w:hAnsi="Times New Roman" w:cs="Times New Roman"/>
          <w:lang w:val="ru-RU"/>
        </w:rPr>
        <w:t>в) характеристиките на устойчивост, достатъчни за безопасността, когато плавателното средство се използва в режим на динамична плавателност и в преходен етап и дават възможност за безопасно привеждане на плавателното средство в режим на водоизместване при всеки отказ на системата.</w:t>
      </w:r>
    </w:p>
    <w:p w14:paraId="0473C2A9"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502" w:name="_Toc491854254"/>
      <w:bookmarkStart w:id="503" w:name="_Toc535827695"/>
      <w:r w:rsidRPr="00F06DE2">
        <w:rPr>
          <w:rFonts w:ascii="Times New Roman" w:hAnsi="Times New Roman" w:cs="Times New Roman"/>
          <w:sz w:val="24"/>
          <w:szCs w:val="24"/>
          <w:lang w:val="ru-RU"/>
        </w:rPr>
        <w:t>Член 29.06</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Рулева рубка</w:t>
      </w:r>
      <w:bookmarkEnd w:id="502"/>
      <w:bookmarkEnd w:id="503"/>
    </w:p>
    <w:p w14:paraId="67FF8C5F" w14:textId="7C9F5EDD"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Устройство</w:t>
      </w:r>
    </w:p>
    <w:p w14:paraId="51B8F8D5" w14:textId="77777777" w:rsidR="00271FA2" w:rsidRPr="00F06DE2" w:rsidRDefault="00D35E51" w:rsidP="00DE16E4">
      <w:pPr>
        <w:pStyle w:val="ESlet"/>
        <w:spacing w:before="0"/>
        <w:ind w:leftChars="231" w:left="519" w:hangingChars="5" w:hanging="11"/>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Чрез дерогация от член 7.01, точка 1 рулевите рубки се организират по такъв начин, че рулевият и втори член на екипажа да могат във всеки момент да изпълняват задълженията си, докато плавателният съд е в движение.</w:t>
      </w:r>
    </w:p>
    <w:p w14:paraId="402EDD25" w14:textId="77777777" w:rsidR="00271FA2" w:rsidRPr="00F06DE2" w:rsidRDefault="00D35E51" w:rsidP="00DE16E4">
      <w:pPr>
        <w:pStyle w:val="ESlet"/>
        <w:spacing w:before="0"/>
        <w:ind w:leftChars="231" w:left="519" w:hangingChars="5" w:hanging="11"/>
        <w:jc w:val="both"/>
        <w:rPr>
          <w:rFonts w:ascii="Times New Roman" w:hAnsi="Times New Roman" w:cs="Times New Roman"/>
          <w:lang w:val="ru-RU"/>
        </w:rPr>
      </w:pPr>
      <w:r w:rsidRPr="00F06DE2">
        <w:rPr>
          <w:rFonts w:ascii="Times New Roman" w:hAnsi="Times New Roman" w:cs="Times New Roman"/>
          <w:lang w:val="ru-RU"/>
        </w:rPr>
        <w:t>б) Постът за управление се организира, така че да може да се разположат работните места на лицата, посочени в буква “а”. Инструментите за навигация, маневриране, следене и връзка и другите важни уреди за оперативно управление са в достатъчна близост, за да може и втори член на екипажа заедно с рулевия да получава необходимата информация и да борави с уредите и инсталациите в седящо положение. Следните изисквания се прилагат във всички случаи:</w:t>
      </w:r>
    </w:p>
    <w:p w14:paraId="6F175974" w14:textId="77777777" w:rsidR="00DE16E4" w:rsidRPr="00F06DE2" w:rsidRDefault="00D35E51" w:rsidP="00DE16E4">
      <w:pPr>
        <w:pStyle w:val="EStiret"/>
        <w:spacing w:before="0"/>
        <w:ind w:leftChars="231" w:left="1075" w:hanging="567"/>
        <w:jc w:val="both"/>
        <w:rPr>
          <w:rFonts w:ascii="Times New Roman" w:hAnsi="Times New Roman" w:cs="Times New Roman"/>
          <w:lang w:val="ru-RU"/>
        </w:rPr>
      </w:pPr>
      <w:r w:rsidRPr="00F06DE2">
        <w:rPr>
          <w:rFonts w:ascii="Times New Roman" w:hAnsi="Times New Roman" w:cs="Times New Roman"/>
        </w:rPr>
        <w:t>aa</w:t>
      </w:r>
      <w:r w:rsidRPr="00F06DE2">
        <w:rPr>
          <w:rFonts w:ascii="Times New Roman" w:hAnsi="Times New Roman" w:cs="Times New Roman"/>
          <w:lang w:val="ru-RU"/>
        </w:rPr>
        <w:t xml:space="preserve">) постът за управление на рулевия се организира, </w:t>
      </w:r>
      <w:r w:rsidR="00DE16E4" w:rsidRPr="00F06DE2">
        <w:rPr>
          <w:rFonts w:ascii="Times New Roman" w:hAnsi="Times New Roman" w:cs="Times New Roman"/>
          <w:lang w:val="ru-RU"/>
        </w:rPr>
        <w:t>така че да позволява управление</w:t>
      </w:r>
    </w:p>
    <w:p w14:paraId="60E69F25" w14:textId="22B75A7E" w:rsidR="00271FA2" w:rsidRPr="00F06DE2" w:rsidRDefault="00D35E51" w:rsidP="00DE16E4">
      <w:pPr>
        <w:pStyle w:val="EStiret"/>
        <w:spacing w:before="0"/>
        <w:ind w:leftChars="231" w:left="1075" w:hanging="567"/>
        <w:jc w:val="both"/>
        <w:rPr>
          <w:rFonts w:ascii="Times New Roman" w:hAnsi="Times New Roman" w:cs="Times New Roman"/>
          <w:lang w:val="ru-RU"/>
        </w:rPr>
      </w:pPr>
      <w:r w:rsidRPr="00F06DE2">
        <w:rPr>
          <w:rFonts w:ascii="Times New Roman" w:hAnsi="Times New Roman" w:cs="Times New Roman"/>
          <w:lang w:val="ru-RU"/>
        </w:rPr>
        <w:t>с радиолокационни средства от едно лице;</w:t>
      </w:r>
    </w:p>
    <w:p w14:paraId="0A742BF5" w14:textId="77777777" w:rsidR="00271FA2" w:rsidRPr="00F06DE2" w:rsidRDefault="00D35E51" w:rsidP="00DE16E4">
      <w:pPr>
        <w:pStyle w:val="EStiret"/>
        <w:spacing w:before="0"/>
        <w:ind w:leftChars="231" w:left="519" w:hangingChars="5" w:hanging="11"/>
        <w:jc w:val="both"/>
        <w:rPr>
          <w:rFonts w:ascii="Times New Roman" w:hAnsi="Times New Roman" w:cs="Times New Roman"/>
          <w:lang w:val="ru-RU"/>
        </w:rPr>
      </w:pPr>
      <w:r w:rsidRPr="00F06DE2">
        <w:rPr>
          <w:rFonts w:ascii="Times New Roman" w:hAnsi="Times New Roman" w:cs="Times New Roman"/>
          <w:lang w:val="ru-RU"/>
        </w:rPr>
        <w:t>бб) вторият член на екипажа разполага със собствен екран на радиолокатора (подчинен компонент) на работното си място и има възможност да се намеси от своето работно място за предаване на информация и управление за задвижването на плавателния съд.</w:t>
      </w:r>
    </w:p>
    <w:p w14:paraId="25C6FD7E" w14:textId="77777777" w:rsidR="00271FA2" w:rsidRPr="00F06DE2" w:rsidRDefault="00D35E51" w:rsidP="00DE16E4">
      <w:pPr>
        <w:pStyle w:val="ESlet"/>
        <w:spacing w:before="0"/>
        <w:ind w:leftChars="231" w:left="519" w:hangingChars="5" w:hanging="11"/>
        <w:jc w:val="both"/>
        <w:rPr>
          <w:rFonts w:ascii="Times New Roman" w:hAnsi="Times New Roman" w:cs="Times New Roman"/>
          <w:lang w:val="ru-RU"/>
        </w:rPr>
      </w:pPr>
      <w:r w:rsidRPr="00F06DE2">
        <w:rPr>
          <w:rFonts w:ascii="Times New Roman" w:hAnsi="Times New Roman" w:cs="Times New Roman"/>
          <w:lang w:val="ru-RU"/>
        </w:rPr>
        <w:t>в) Лицата, посочени в буква “а”, имат възможност да работят със съоръженията, посочени в буква “б”, без никаква пречка, включително, когато предпазните колани са правилно поставени.</w:t>
      </w:r>
    </w:p>
    <w:p w14:paraId="5DF79A0C" w14:textId="2761E2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Безпрепятствена видимост</w:t>
      </w:r>
    </w:p>
    <w:p w14:paraId="7EDD9EF0" w14:textId="77777777" w:rsidR="00271FA2" w:rsidRPr="00F06DE2" w:rsidRDefault="00D35E51" w:rsidP="00DE16E4">
      <w:pPr>
        <w:pStyle w:val="ESlet"/>
        <w:spacing w:before="0"/>
        <w:ind w:leftChars="231" w:left="519" w:hangingChars="5" w:hanging="11"/>
        <w:jc w:val="both"/>
        <w:rPr>
          <w:rFonts w:ascii="Times New Roman" w:hAnsi="Times New Roman" w:cs="Times New Roman"/>
          <w:lang w:val="ru-RU"/>
        </w:rPr>
      </w:pPr>
      <w:r w:rsidRPr="00F06DE2">
        <w:rPr>
          <w:rFonts w:ascii="Times New Roman" w:hAnsi="Times New Roman" w:cs="Times New Roman"/>
          <w:lang w:val="ru-RU"/>
        </w:rPr>
        <w:t>a) Чрез дерогация от член 7.02, точка 2 мъртвата зона пред носа за рулевия в седнало положение не трябва да е по-голяма от една дължина на плавателния съд независимо от състоянието на натоварване.</w:t>
      </w:r>
    </w:p>
    <w:p w14:paraId="17276290" w14:textId="77777777" w:rsidR="00271FA2" w:rsidRPr="00F06DE2" w:rsidRDefault="00D35E51" w:rsidP="00DE16E4">
      <w:pPr>
        <w:pStyle w:val="ESlet"/>
        <w:spacing w:before="0"/>
        <w:ind w:leftChars="231" w:left="519" w:hangingChars="5" w:hanging="11"/>
        <w:jc w:val="both"/>
        <w:rPr>
          <w:rFonts w:ascii="Times New Roman" w:hAnsi="Times New Roman" w:cs="Times New Roman"/>
          <w:lang w:val="ru-RU"/>
        </w:rPr>
      </w:pPr>
      <w:r w:rsidRPr="00F06DE2">
        <w:rPr>
          <w:rFonts w:ascii="Times New Roman" w:hAnsi="Times New Roman" w:cs="Times New Roman"/>
          <w:lang w:val="ru-RU"/>
        </w:rPr>
        <w:t>б) Чрез дерогация от член 7.02, точка 3 сумарната дъга на слепите сектори от право по курса до 22,5° по посока към кърмата от всяка страна не превишава 20°. Всеки отделен сляп сектор не превишава 5°. Чистият сектор между два слепи сектора е не по-малък от 10°.</w:t>
      </w:r>
    </w:p>
    <w:p w14:paraId="5CFCEE13" w14:textId="777777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Инструменти</w:t>
      </w:r>
    </w:p>
    <w:p w14:paraId="6E463ED8" w14:textId="77777777" w:rsidR="00271FA2" w:rsidRPr="00F06DE2" w:rsidRDefault="00D35E51" w:rsidP="00DE16E4">
      <w:pPr>
        <w:pStyle w:val="ESchpar"/>
        <w:jc w:val="both"/>
        <w:rPr>
          <w:rFonts w:ascii="Times New Roman" w:hAnsi="Times New Roman" w:cs="Times New Roman"/>
          <w:lang w:val="ru-RU"/>
        </w:rPr>
      </w:pPr>
      <w:r w:rsidRPr="00F06DE2">
        <w:rPr>
          <w:rFonts w:ascii="Times New Roman" w:hAnsi="Times New Roman" w:cs="Times New Roman"/>
          <w:lang w:val="ru-RU"/>
        </w:rPr>
        <w:t>Таблата с уредите за работа и управление на инсталациите, посочени в член 29.10, са в отделни и ясно маркирани места на рулевата рубка. Това също важи, по целесъобразност, за уредите за спускане на колективното спасително оборудване.</w:t>
      </w:r>
    </w:p>
    <w:p w14:paraId="17E5CC8C" w14:textId="777777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Светлини</w:t>
      </w:r>
    </w:p>
    <w:p w14:paraId="65E4D5DF" w14:textId="77777777" w:rsidR="00271FA2" w:rsidRPr="00F06DE2" w:rsidRDefault="00D35E51" w:rsidP="00DE16E4">
      <w:pPr>
        <w:pStyle w:val="ESchpar"/>
        <w:jc w:val="both"/>
        <w:rPr>
          <w:rFonts w:ascii="Times New Roman" w:hAnsi="Times New Roman" w:cs="Times New Roman"/>
          <w:lang w:val="ru-RU"/>
        </w:rPr>
      </w:pPr>
      <w:r w:rsidRPr="00F06DE2">
        <w:rPr>
          <w:rFonts w:ascii="Times New Roman" w:hAnsi="Times New Roman" w:cs="Times New Roman"/>
          <w:lang w:val="ru-RU"/>
        </w:rPr>
        <w:t>Червена светлина се използва за зони или части от оборудването, които трябва да светят по време на употреба.</w:t>
      </w:r>
    </w:p>
    <w:p w14:paraId="16EDC300" w14:textId="777777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Прозорци</w:t>
      </w:r>
    </w:p>
    <w:p w14:paraId="3A5E9B8F" w14:textId="77777777" w:rsidR="00271FA2" w:rsidRPr="00F06DE2" w:rsidRDefault="00D35E51" w:rsidP="00DE16E4">
      <w:pPr>
        <w:pStyle w:val="ESchpar"/>
        <w:jc w:val="both"/>
        <w:rPr>
          <w:rFonts w:ascii="Times New Roman" w:hAnsi="Times New Roman" w:cs="Times New Roman"/>
          <w:lang w:val="ru-RU"/>
        </w:rPr>
      </w:pPr>
      <w:r w:rsidRPr="00F06DE2">
        <w:rPr>
          <w:rFonts w:ascii="Times New Roman" w:hAnsi="Times New Roman" w:cs="Times New Roman"/>
          <w:lang w:val="ru-RU"/>
        </w:rPr>
        <w:lastRenderedPageBreak/>
        <w:t>Отраженията трябва да бъдат избегнати. Осигуряват се средства за избягване на заслепяване от слънчева светлина.</w:t>
      </w:r>
    </w:p>
    <w:p w14:paraId="5A829E81" w14:textId="77777777" w:rsidR="00271FA2" w:rsidRPr="00F06DE2" w:rsidRDefault="00D35E51" w:rsidP="00DE16E4">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Материали за повърхностите</w:t>
      </w:r>
    </w:p>
    <w:p w14:paraId="6007A7BC" w14:textId="77777777" w:rsidR="00271FA2" w:rsidRPr="00F06DE2" w:rsidRDefault="00D35E51" w:rsidP="00DE16E4">
      <w:pPr>
        <w:pStyle w:val="ESchpar"/>
        <w:spacing w:after="240"/>
        <w:jc w:val="both"/>
        <w:rPr>
          <w:rFonts w:ascii="Times New Roman" w:hAnsi="Times New Roman" w:cs="Times New Roman"/>
          <w:lang w:val="ru-RU"/>
        </w:rPr>
      </w:pPr>
      <w:r w:rsidRPr="00F06DE2">
        <w:rPr>
          <w:rFonts w:ascii="Times New Roman" w:hAnsi="Times New Roman" w:cs="Times New Roman"/>
          <w:lang w:val="ru-RU"/>
        </w:rPr>
        <w:t>Използването на отразяващи материали за повърхностите в рулевата рубка трябва да се избягва.</w:t>
      </w:r>
    </w:p>
    <w:p w14:paraId="20BAAE37"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504" w:name="_Toc535827696"/>
      <w:bookmarkStart w:id="505" w:name="_Toc491854255"/>
      <w:r w:rsidRPr="00F06DE2">
        <w:rPr>
          <w:rFonts w:ascii="Times New Roman" w:hAnsi="Times New Roman" w:cs="Times New Roman"/>
          <w:sz w:val="24"/>
          <w:szCs w:val="24"/>
          <w:lang w:val="ru-RU"/>
        </w:rPr>
        <w:t>Член 29.07</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Допълнително оборудване</w:t>
      </w:r>
      <w:bookmarkEnd w:id="504"/>
      <w:bookmarkEnd w:id="505"/>
    </w:p>
    <w:p w14:paraId="34BA426E" w14:textId="77777777" w:rsidR="00271FA2" w:rsidRPr="00F06DE2" w:rsidRDefault="00D35E51" w:rsidP="00DE16E4">
      <w:pPr>
        <w:pStyle w:val="ESgauche"/>
        <w:ind w:left="567"/>
        <w:jc w:val="both"/>
        <w:rPr>
          <w:rFonts w:ascii="Times New Roman" w:hAnsi="Times New Roman" w:cs="Times New Roman"/>
          <w:lang w:val="ru-RU"/>
        </w:rPr>
      </w:pPr>
      <w:r w:rsidRPr="00F06DE2">
        <w:rPr>
          <w:rFonts w:ascii="Times New Roman" w:hAnsi="Times New Roman" w:cs="Times New Roman"/>
          <w:lang w:val="ru-RU"/>
        </w:rPr>
        <w:t>Високоскоростните плавателни съдове трябва да имат следното оборудване:</w:t>
      </w:r>
    </w:p>
    <w:p w14:paraId="6893569E" w14:textId="278AEBF3" w:rsidR="00271FA2" w:rsidRPr="00F06DE2" w:rsidRDefault="00D35E51" w:rsidP="00DE16E4">
      <w:pPr>
        <w:pStyle w:val="ESletgauche"/>
        <w:numPr>
          <w:ilvl w:val="0"/>
          <w:numId w:val="34"/>
        </w:numPr>
        <w:spacing w:before="0"/>
        <w:ind w:firstLine="0"/>
        <w:jc w:val="both"/>
        <w:rPr>
          <w:rFonts w:ascii="Times New Roman" w:hAnsi="Times New Roman" w:cs="Times New Roman"/>
          <w:lang w:val="ru-RU"/>
        </w:rPr>
      </w:pPr>
      <w:r w:rsidRPr="00F06DE2">
        <w:rPr>
          <w:rFonts w:ascii="Times New Roman" w:hAnsi="Times New Roman" w:cs="Times New Roman"/>
          <w:lang w:val="ru-RU"/>
        </w:rPr>
        <w:t>навигационно радиолокационно оборудване и индикатор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xml:space="preserve"> съгласно член 7.06, точка 1; и</w:t>
      </w:r>
    </w:p>
    <w:p w14:paraId="776ED15F" w14:textId="77777777" w:rsidR="00271FA2" w:rsidRPr="00F06DE2" w:rsidRDefault="00D35E51" w:rsidP="00DE16E4">
      <w:pPr>
        <w:pStyle w:val="ESletgauche"/>
        <w:spacing w:before="0" w:after="240"/>
        <w:ind w:firstLine="0"/>
        <w:jc w:val="both"/>
        <w:rPr>
          <w:rFonts w:ascii="Times New Roman" w:hAnsi="Times New Roman" w:cs="Times New Roman"/>
          <w:lang w:val="ru-RU"/>
        </w:rPr>
      </w:pPr>
      <w:r w:rsidRPr="00F06DE2">
        <w:rPr>
          <w:rFonts w:ascii="Times New Roman" w:hAnsi="Times New Roman" w:cs="Times New Roman"/>
          <w:lang w:val="ru-RU"/>
        </w:rPr>
        <w:t>б) леснодостъпно лично спасително оборудване, монтирано съгласно член</w:t>
      </w:r>
      <w:r w:rsidRPr="00F06DE2">
        <w:rPr>
          <w:rFonts w:ascii="Times New Roman" w:hAnsi="Times New Roman" w:cs="Times New Roman"/>
        </w:rPr>
        <w:t> </w:t>
      </w:r>
      <w:r w:rsidRPr="00F06DE2">
        <w:rPr>
          <w:rFonts w:ascii="Times New Roman" w:hAnsi="Times New Roman" w:cs="Times New Roman"/>
          <w:lang w:val="ru-RU"/>
        </w:rPr>
        <w:t>19.09, точка 4.</w:t>
      </w:r>
    </w:p>
    <w:p w14:paraId="716331E1"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506" w:name="_Toc491854256"/>
      <w:bookmarkStart w:id="507" w:name="_Toc535827697"/>
      <w:r w:rsidRPr="00F06DE2">
        <w:rPr>
          <w:rFonts w:ascii="Times New Roman" w:hAnsi="Times New Roman" w:cs="Times New Roman"/>
          <w:sz w:val="24"/>
          <w:szCs w:val="24"/>
          <w:lang w:val="ru-RU"/>
        </w:rPr>
        <w:t>Член 29.08</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Затворени зони</w:t>
      </w:r>
      <w:bookmarkEnd w:id="506"/>
      <w:bookmarkEnd w:id="507"/>
    </w:p>
    <w:p w14:paraId="057D750F" w14:textId="238DC09A" w:rsidR="00271FA2" w:rsidRPr="00F06DE2" w:rsidRDefault="00D35E51" w:rsidP="00DE16E4">
      <w:pPr>
        <w:pStyle w:val="ESch"/>
        <w:ind w:firstLine="0"/>
        <w:jc w:val="both"/>
        <w:rPr>
          <w:rFonts w:ascii="Times New Roman" w:hAnsi="Times New Roman" w:cs="Times New Roman"/>
          <w:lang w:val="ru-RU"/>
        </w:rPr>
      </w:pPr>
      <w:r w:rsidRPr="00F06DE2">
        <w:rPr>
          <w:rFonts w:ascii="Times New Roman" w:hAnsi="Times New Roman" w:cs="Times New Roman"/>
          <w:lang w:val="ru-RU"/>
        </w:rPr>
        <w:t>1.</w:t>
      </w:r>
      <w:r w:rsidR="00DE16E4" w:rsidRPr="00F06DE2">
        <w:rPr>
          <w:rFonts w:ascii="Times New Roman" w:hAnsi="Times New Roman" w:cs="Times New Roman"/>
          <w:lang w:val="ru-RU"/>
        </w:rPr>
        <w:t xml:space="preserve"> </w:t>
      </w:r>
      <w:r w:rsidRPr="00F06DE2">
        <w:rPr>
          <w:rFonts w:ascii="Times New Roman" w:hAnsi="Times New Roman" w:cs="Times New Roman"/>
          <w:lang w:val="ru-RU"/>
        </w:rPr>
        <w:t>Общи положения</w:t>
      </w:r>
    </w:p>
    <w:p w14:paraId="39007EB7" w14:textId="77777777" w:rsidR="00271FA2" w:rsidRPr="00F06DE2" w:rsidRDefault="00D35E51" w:rsidP="00DE16E4">
      <w:pPr>
        <w:pStyle w:val="ESchpar"/>
        <w:jc w:val="both"/>
        <w:rPr>
          <w:rFonts w:ascii="Times New Roman" w:hAnsi="Times New Roman" w:cs="Times New Roman"/>
          <w:lang w:val="ru-RU"/>
        </w:rPr>
      </w:pPr>
      <w:r w:rsidRPr="00F06DE2">
        <w:rPr>
          <w:rFonts w:ascii="Times New Roman" w:hAnsi="Times New Roman" w:cs="Times New Roman"/>
          <w:lang w:val="ru-RU"/>
        </w:rPr>
        <w:t>Общите и жилищните помещения, както и оборудването, което се намира в тях, се проектират, така че никое лице, което ги използва по предназначение, да не получи нараняване при обичайно или аварийно потегляне или спиране или при маневра при нормално плаване и при отказ или повреда.</w:t>
      </w:r>
    </w:p>
    <w:p w14:paraId="630A0A25" w14:textId="42E1AAEC" w:rsidR="00271FA2" w:rsidRPr="00F06DE2" w:rsidRDefault="00D35E51" w:rsidP="00DE16E4">
      <w:pPr>
        <w:pStyle w:val="ESch"/>
        <w:ind w:firstLine="0"/>
        <w:jc w:val="both"/>
        <w:rPr>
          <w:rFonts w:ascii="Times New Roman" w:hAnsi="Times New Roman" w:cs="Times New Roman"/>
          <w:lang w:val="ru-RU"/>
        </w:rPr>
      </w:pPr>
      <w:r w:rsidRPr="00F06DE2">
        <w:rPr>
          <w:rFonts w:ascii="Times New Roman" w:hAnsi="Times New Roman" w:cs="Times New Roman"/>
          <w:lang w:val="ru-RU"/>
        </w:rPr>
        <w:t>2.</w:t>
      </w:r>
      <w:r w:rsidR="00DE16E4" w:rsidRPr="00F06DE2">
        <w:rPr>
          <w:rFonts w:ascii="Times New Roman" w:hAnsi="Times New Roman" w:cs="Times New Roman"/>
          <w:lang w:val="ru-RU"/>
        </w:rPr>
        <w:t xml:space="preserve"> </w:t>
      </w:r>
      <w:r w:rsidRPr="00F06DE2">
        <w:rPr>
          <w:rFonts w:ascii="Times New Roman" w:hAnsi="Times New Roman" w:cs="Times New Roman"/>
          <w:lang w:val="ru-RU"/>
        </w:rPr>
        <w:t>Комуникация/Връзка</w:t>
      </w:r>
    </w:p>
    <w:p w14:paraId="13341B37"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За информиране на пътниците за мерките за безопасност всички пътнически плавателни съдове трябва да бъдат оборудвани с оптични и звукови сигнални инсталации, които се виждат и чуват от всички на борда.</w:t>
      </w:r>
    </w:p>
    <w:p w14:paraId="5104C46D" w14:textId="77777777" w:rsidR="00271FA2" w:rsidRPr="00F06DE2" w:rsidRDefault="00D35E51" w:rsidP="00DE16E4">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б) Инсталациите, описани в буква “а”, позволяват на капитана да дава указания на пътниците.</w:t>
      </w:r>
    </w:p>
    <w:p w14:paraId="3EF07352" w14:textId="77777777" w:rsidR="00271FA2" w:rsidRPr="00F06DE2" w:rsidRDefault="00D35E51" w:rsidP="00DE16E4">
      <w:pPr>
        <w:pStyle w:val="ESlet"/>
        <w:spacing w:before="0" w:after="240"/>
        <w:ind w:left="567"/>
        <w:jc w:val="both"/>
        <w:rPr>
          <w:rFonts w:ascii="Times New Roman" w:hAnsi="Times New Roman" w:cs="Times New Roman"/>
          <w:lang w:val="ru-RU"/>
        </w:rPr>
      </w:pPr>
      <w:r w:rsidRPr="00F06DE2">
        <w:rPr>
          <w:rFonts w:ascii="Times New Roman" w:hAnsi="Times New Roman" w:cs="Times New Roman"/>
          <w:lang w:val="ru-RU"/>
        </w:rPr>
        <w:t>в) Всеки пътник има достъп до инструкциите за аварийни ситуации в близост до своето място, в това число и план на плавателния съд, показващ всички изходи, маршрути за евакуация, аварийно оборудване, спасително оборудване и указания за ползването на спасителните жилетки.</w:t>
      </w:r>
    </w:p>
    <w:p w14:paraId="2984F5F2"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508" w:name="_Toc535827698"/>
      <w:bookmarkStart w:id="509" w:name="_Toc491854257"/>
      <w:r w:rsidRPr="00F06DE2">
        <w:rPr>
          <w:rFonts w:ascii="Times New Roman" w:hAnsi="Times New Roman" w:cs="Times New Roman"/>
          <w:sz w:val="24"/>
          <w:szCs w:val="24"/>
          <w:lang w:val="ru-RU"/>
        </w:rPr>
        <w:t>Член 29.09</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Изходи и маршрути за евакуация</w:t>
      </w:r>
      <w:bookmarkEnd w:id="508"/>
      <w:r w:rsidRPr="00F06DE2">
        <w:rPr>
          <w:rFonts w:ascii="Times New Roman" w:hAnsi="Times New Roman" w:cs="Times New Roman"/>
          <w:i/>
          <w:sz w:val="24"/>
          <w:szCs w:val="24"/>
          <w:lang w:val="ru-RU"/>
        </w:rPr>
        <w:t xml:space="preserve"> </w:t>
      </w:r>
      <w:bookmarkEnd w:id="509"/>
    </w:p>
    <w:p w14:paraId="6CDC00A1" w14:textId="77777777" w:rsidR="00271FA2" w:rsidRPr="00F06DE2" w:rsidRDefault="00D35E51" w:rsidP="00DE16E4">
      <w:pPr>
        <w:pStyle w:val="ESgauche"/>
        <w:ind w:left="567"/>
        <w:jc w:val="both"/>
        <w:rPr>
          <w:rFonts w:ascii="Times New Roman" w:hAnsi="Times New Roman" w:cs="Times New Roman"/>
          <w:lang w:val="ru-RU"/>
        </w:rPr>
      </w:pPr>
      <w:r w:rsidRPr="00F06DE2">
        <w:rPr>
          <w:rFonts w:ascii="Times New Roman" w:hAnsi="Times New Roman" w:cs="Times New Roman"/>
          <w:lang w:val="ru-RU"/>
        </w:rPr>
        <w:t>Изходите и маршрутите за евакуация трябва да отговарят на следните изисквания:</w:t>
      </w:r>
    </w:p>
    <w:p w14:paraId="4F1117C6" w14:textId="77777777" w:rsidR="00271FA2" w:rsidRPr="00F06DE2" w:rsidRDefault="00D35E51" w:rsidP="00DE16E4">
      <w:pPr>
        <w:pStyle w:val="ESletgauche"/>
        <w:numPr>
          <w:ilvl w:val="0"/>
          <w:numId w:val="35"/>
        </w:numPr>
        <w:spacing w:before="0"/>
        <w:ind w:firstLine="0"/>
        <w:jc w:val="both"/>
        <w:rPr>
          <w:rFonts w:ascii="Times New Roman" w:hAnsi="Times New Roman" w:cs="Times New Roman"/>
          <w:lang w:val="ru-RU"/>
        </w:rPr>
      </w:pPr>
      <w:r w:rsidRPr="00F06DE2">
        <w:rPr>
          <w:rFonts w:ascii="Times New Roman" w:hAnsi="Times New Roman" w:cs="Times New Roman"/>
          <w:lang w:val="ru-RU"/>
        </w:rPr>
        <w:t>Трябва да има лесен, безопасен и бърз достъп от поста за управление до каютите и жилищните помещения, достъпни за пътниците.</w:t>
      </w:r>
    </w:p>
    <w:p w14:paraId="5DC9E75C" w14:textId="77777777" w:rsidR="00271FA2" w:rsidRPr="00F06DE2" w:rsidRDefault="00D35E51" w:rsidP="00DE16E4">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б) Маршрутите за евакуация, водещи към аварийните изходи, трябва да бъдат ясно и трайно маркирани.</w:t>
      </w:r>
    </w:p>
    <w:p w14:paraId="25BDABDC" w14:textId="77777777" w:rsidR="00271FA2" w:rsidRPr="00F06DE2" w:rsidRDefault="00D35E51" w:rsidP="00DE16E4">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в) Всички изходи трябва да бъдат подходящо маркирани. Работата на отварящия механизъм трябва да бъде видима и отвън, и отвътре.</w:t>
      </w:r>
    </w:p>
    <w:p w14:paraId="7876DEED" w14:textId="77777777" w:rsidR="00271FA2" w:rsidRPr="00F06DE2" w:rsidRDefault="00D35E51" w:rsidP="00DE16E4">
      <w:pPr>
        <w:pStyle w:val="ESletgauche"/>
        <w:spacing w:before="0"/>
        <w:ind w:firstLine="0"/>
        <w:jc w:val="both"/>
        <w:rPr>
          <w:rFonts w:ascii="Times New Roman" w:hAnsi="Times New Roman" w:cs="Times New Roman"/>
          <w:lang w:val="ru-RU"/>
        </w:rPr>
      </w:pPr>
      <w:r w:rsidRPr="00F06DE2">
        <w:rPr>
          <w:rFonts w:ascii="Times New Roman" w:hAnsi="Times New Roman" w:cs="Times New Roman"/>
          <w:lang w:val="ru-RU"/>
        </w:rPr>
        <w:t>г) Маршрутите за евакуация и аварийните изходи трябва да имат подходяща система от указатели за безопасност.</w:t>
      </w:r>
    </w:p>
    <w:p w14:paraId="0353194C" w14:textId="77777777" w:rsidR="00271FA2" w:rsidRPr="00F06DE2" w:rsidRDefault="00D35E51" w:rsidP="00DE16E4">
      <w:pPr>
        <w:pStyle w:val="ESletgauche"/>
        <w:spacing w:before="0" w:after="240"/>
        <w:ind w:firstLine="0"/>
        <w:jc w:val="both"/>
        <w:rPr>
          <w:rFonts w:ascii="Times New Roman" w:hAnsi="Times New Roman" w:cs="Times New Roman"/>
          <w:lang w:val="ru-RU"/>
        </w:rPr>
      </w:pPr>
      <w:r w:rsidRPr="00F06DE2">
        <w:rPr>
          <w:rFonts w:ascii="Times New Roman" w:hAnsi="Times New Roman" w:cs="Times New Roman"/>
          <w:lang w:val="ru-RU"/>
        </w:rPr>
        <w:t>д) Достатъчно пространство за член на екипажа трябва да бъде оставено в близост до изходите.</w:t>
      </w:r>
    </w:p>
    <w:p w14:paraId="25FE1B01" w14:textId="77777777" w:rsidR="00271FA2" w:rsidRPr="00F06DE2" w:rsidRDefault="00D35E51">
      <w:pPr>
        <w:pStyle w:val="ES-Titre3"/>
        <w:spacing w:line="240" w:lineRule="atLeast"/>
        <w:rPr>
          <w:rFonts w:ascii="Times New Roman" w:hAnsi="Times New Roman" w:cs="Times New Roman"/>
          <w:i/>
          <w:sz w:val="24"/>
          <w:szCs w:val="24"/>
          <w:lang w:val="ru-RU"/>
        </w:rPr>
      </w:pPr>
      <w:bookmarkStart w:id="510" w:name="_Toc491854258"/>
      <w:bookmarkStart w:id="511" w:name="_Toc535827699"/>
      <w:r w:rsidRPr="00F06DE2">
        <w:rPr>
          <w:rFonts w:ascii="Times New Roman" w:hAnsi="Times New Roman" w:cs="Times New Roman"/>
          <w:sz w:val="24"/>
          <w:szCs w:val="24"/>
          <w:lang w:val="ru-RU"/>
        </w:rPr>
        <w:t>Член 29.10</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Противопожарна защита и гасене на пожари</w:t>
      </w:r>
      <w:bookmarkEnd w:id="510"/>
      <w:bookmarkEnd w:id="511"/>
    </w:p>
    <w:p w14:paraId="205EB728"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lastRenderedPageBreak/>
        <w:t>1.</w:t>
      </w:r>
      <w:r w:rsidRPr="00F06DE2">
        <w:rPr>
          <w:rFonts w:ascii="Times New Roman" w:hAnsi="Times New Roman" w:cs="Times New Roman"/>
          <w:lang w:val="ru-RU"/>
        </w:rPr>
        <w:tab/>
        <w:t>Коридорите, каютите и жилищните помещения, достъпни за пътниците, а също и камбузите и машинните отделения се свързват с подходяща пожароизвестителна система. Пожарната аларма и зоната за локализиране на пожара се показват автоматично от индикаторно устройство на място, постоянно обслужвано от персонала на кораба или членове на екипажа.</w:t>
      </w:r>
    </w:p>
    <w:p w14:paraId="6CA53014"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Машинните отделения трябва да бъдат оборудвани с постоянно монтирана противопожарна система, отговаряща на изискванията по член</w:t>
      </w:r>
      <w:r w:rsidRPr="00F06DE2">
        <w:rPr>
          <w:rFonts w:ascii="Times New Roman" w:hAnsi="Times New Roman" w:cs="Times New Roman"/>
        </w:rPr>
        <w:t> </w:t>
      </w:r>
      <w:r w:rsidRPr="00F06DE2">
        <w:rPr>
          <w:rFonts w:ascii="Times New Roman" w:hAnsi="Times New Roman" w:cs="Times New Roman"/>
          <w:lang w:val="ru-RU"/>
        </w:rPr>
        <w:t>13.05.</w:t>
      </w:r>
    </w:p>
    <w:p w14:paraId="18325219" w14:textId="3D293881" w:rsidR="00DE16E4"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Каютите и жилищните помещения, достъпни за пътниците, и техните маршрути за евакуация, се оборудват със спринклерна система за вода под налягане съгласно член 13.04. Трябва да е възможно отработената вода да се отвежда бързо и направо навън.</w:t>
      </w:r>
    </w:p>
    <w:p w14:paraId="2F26E957" w14:textId="77777777" w:rsidR="00CF3D83" w:rsidRPr="00F06DE2" w:rsidRDefault="00CF3D83">
      <w:pPr>
        <w:rPr>
          <w:rFonts w:ascii="Times New Roman" w:hAnsi="Times New Roman" w:cs="Times New Roman"/>
          <w:lang w:val="ru-RU"/>
        </w:rPr>
        <w:sectPr w:rsidR="00CF3D83" w:rsidRPr="00F06DE2" w:rsidSect="00DB7663">
          <w:headerReference w:type="default" r:id="rId79"/>
          <w:headerReference w:type="first" r:id="rId80"/>
          <w:footnotePr>
            <w:numRestart w:val="eachPage"/>
          </w:footnotePr>
          <w:pgSz w:w="11906" w:h="16838" w:code="9"/>
          <w:pgMar w:top="1134" w:right="1134" w:bottom="1134" w:left="1134" w:header="709" w:footer="709" w:gutter="0"/>
          <w:cols w:space="709"/>
          <w:titlePg/>
          <w:docGrid w:linePitch="272"/>
        </w:sectPr>
      </w:pPr>
    </w:p>
    <w:p w14:paraId="1792C35A" w14:textId="77777777" w:rsidR="00271FA2" w:rsidRPr="00F06DE2" w:rsidRDefault="00D35E51" w:rsidP="00DE16E4">
      <w:pPr>
        <w:pStyle w:val="ES-Titre2"/>
        <w:spacing w:after="240"/>
        <w:rPr>
          <w:rFonts w:ascii="Times New Roman" w:hAnsi="Times New Roman" w:cs="Times New Roman"/>
          <w:lang w:val="ru-RU"/>
        </w:rPr>
      </w:pPr>
      <w:bookmarkStart w:id="512" w:name="_Toc535827700"/>
      <w:bookmarkStart w:id="513" w:name="_Toc491854259"/>
      <w:r w:rsidRPr="00F06DE2">
        <w:rPr>
          <w:rFonts w:ascii="Times New Roman" w:hAnsi="Times New Roman" w:cs="Times New Roman"/>
          <w:lang w:val="ru-RU"/>
        </w:rPr>
        <w:lastRenderedPageBreak/>
        <w:t>Глава 30</w:t>
      </w:r>
      <w:r w:rsidRPr="00F06DE2">
        <w:rPr>
          <w:rFonts w:ascii="Times New Roman" w:hAnsi="Times New Roman" w:cs="Times New Roman"/>
          <w:lang w:val="ru-RU"/>
        </w:rPr>
        <w:br/>
        <w:t>Специални разпоредби, приложими за плавателни средства, оборудвани със системи за задвижване или спомагателни системи, работещи с горива с температура на възпламеняване, по-ниска или равна на 55 °</w:t>
      </w:r>
      <w:r w:rsidRPr="00F06DE2">
        <w:rPr>
          <w:rFonts w:ascii="Times New Roman" w:hAnsi="Times New Roman" w:cs="Times New Roman"/>
        </w:rPr>
        <w:t>C</w:t>
      </w:r>
      <w:bookmarkEnd w:id="512"/>
      <w:bookmarkEnd w:id="513"/>
    </w:p>
    <w:p w14:paraId="745D1F38" w14:textId="77777777" w:rsidR="00271FA2" w:rsidRPr="00F06DE2" w:rsidRDefault="00D35E51" w:rsidP="00DE16E4">
      <w:pPr>
        <w:pStyle w:val="ES-Titre3"/>
        <w:spacing w:after="0" w:line="240" w:lineRule="atLeast"/>
        <w:rPr>
          <w:rFonts w:ascii="Times New Roman" w:hAnsi="Times New Roman" w:cs="Times New Roman"/>
          <w:sz w:val="24"/>
          <w:szCs w:val="24"/>
          <w:lang w:val="ru-RU"/>
        </w:rPr>
      </w:pPr>
      <w:bookmarkStart w:id="514" w:name="_Toc535827701"/>
      <w:bookmarkStart w:id="515" w:name="_Toc491854260"/>
      <w:r w:rsidRPr="00F06DE2">
        <w:rPr>
          <w:rFonts w:ascii="Times New Roman" w:hAnsi="Times New Roman" w:cs="Times New Roman"/>
          <w:sz w:val="24"/>
          <w:szCs w:val="24"/>
          <w:lang w:val="ru-RU"/>
        </w:rPr>
        <w:t>Член 30.00</w:t>
      </w:r>
    </w:p>
    <w:p w14:paraId="3383AB25"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Определение</w:t>
      </w:r>
    </w:p>
    <w:p w14:paraId="5D497166" w14:textId="77777777" w:rsidR="00271FA2" w:rsidRPr="00F06DE2" w:rsidRDefault="00D35E51" w:rsidP="004911ED">
      <w:pPr>
        <w:pStyle w:val="ES-Titre3"/>
        <w:spacing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За целите на настоящата глава се прилага следното определение:</w:t>
      </w:r>
    </w:p>
    <w:p w14:paraId="6590306B" w14:textId="178A855F" w:rsidR="00271FA2" w:rsidRPr="00F06DE2" w:rsidRDefault="00D35E51" w:rsidP="004911ED">
      <w:pPr>
        <w:pStyle w:val="ES-Titre3"/>
        <w:spacing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 xml:space="preserve">„задвижваща и спомагателна система“: всяка система, използваща гориво, включително резервоари за гориво, връзки на резервоара, системи за подготовка на гориво, тръбопроводи, клапани, преобразуватели на енергия (като двигатели, турбини или горивни клетки), </w:t>
      </w:r>
      <w:r w:rsidR="00456E10" w:rsidRPr="00F06DE2">
        <w:rPr>
          <w:rFonts w:ascii="Times New Roman" w:hAnsi="Times New Roman" w:cs="Times New Roman"/>
          <w:sz w:val="24"/>
          <w:szCs w:val="24"/>
          <w:lang w:val="ru-RU"/>
        </w:rPr>
        <w:t>системи за управление, наблюдение и безопасност</w:t>
      </w:r>
      <w:r w:rsidRPr="00F06DE2">
        <w:rPr>
          <w:rFonts w:ascii="Times New Roman" w:hAnsi="Times New Roman" w:cs="Times New Roman"/>
          <w:b w:val="0"/>
          <w:sz w:val="24"/>
          <w:szCs w:val="24"/>
          <w:lang w:val="ru-RU"/>
        </w:rPr>
        <w:t>.</w:t>
      </w:r>
    </w:p>
    <w:p w14:paraId="679E54F5" w14:textId="77777777" w:rsidR="00271FA2" w:rsidRPr="00F06DE2" w:rsidRDefault="00D35E51" w:rsidP="004911ED">
      <w:pPr>
        <w:pStyle w:val="ES-Titre3"/>
        <w:spacing w:after="0" w:line="240" w:lineRule="atLeast"/>
        <w:ind w:left="567"/>
        <w:rPr>
          <w:rFonts w:ascii="Times New Roman" w:hAnsi="Times New Roman" w:cs="Times New Roman"/>
          <w:sz w:val="24"/>
          <w:szCs w:val="24"/>
          <w:lang w:val="ru-RU"/>
        </w:rPr>
      </w:pPr>
      <w:r w:rsidRPr="00F06DE2">
        <w:rPr>
          <w:rFonts w:ascii="Times New Roman" w:hAnsi="Times New Roman" w:cs="Times New Roman"/>
          <w:sz w:val="24"/>
          <w:szCs w:val="24"/>
          <w:lang w:val="ru-RU"/>
        </w:rPr>
        <w:t>Член 30.01</w:t>
      </w:r>
      <w:bookmarkStart w:id="516" w:name="_Toc491854261"/>
      <w:bookmarkStart w:id="517" w:name="_Toc535827702"/>
      <w:bookmarkEnd w:id="514"/>
      <w:bookmarkEnd w:id="515"/>
    </w:p>
    <w:p w14:paraId="402E1DE9" w14:textId="724B8ED5" w:rsidR="00BA45A5" w:rsidRPr="00F06DE2" w:rsidRDefault="00BA45A5" w:rsidP="008B10E3">
      <w:pPr>
        <w:pStyle w:val="ES-Titre3"/>
        <w:spacing w:line="240" w:lineRule="atLeast"/>
        <w:ind w:left="567" w:hanging="567"/>
        <w:rPr>
          <w:rFonts w:ascii="Times New Roman" w:hAnsi="Times New Roman" w:cs="Times New Roman"/>
          <w:i/>
          <w:sz w:val="24"/>
          <w:szCs w:val="24"/>
          <w:lang w:val="ru-RU"/>
        </w:rPr>
      </w:pPr>
      <w:r w:rsidRPr="00F06DE2">
        <w:rPr>
          <w:rFonts w:ascii="Times New Roman" w:hAnsi="Times New Roman" w:cs="Times New Roman"/>
          <w:i/>
          <w:sz w:val="24"/>
          <w:szCs w:val="24"/>
          <w:lang w:val="ru-RU"/>
        </w:rPr>
        <w:t xml:space="preserve">Обхват </w:t>
      </w:r>
    </w:p>
    <w:p w14:paraId="23D66F3D" w14:textId="4415FADF" w:rsidR="00271FA2" w:rsidRPr="00F06DE2" w:rsidRDefault="00D35E51" w:rsidP="008B10E3">
      <w:pPr>
        <w:pStyle w:val="ES-Titre3"/>
        <w:spacing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1.</w:t>
      </w:r>
      <w:r w:rsidR="00DE16E4" w:rsidRPr="00F06DE2">
        <w:rPr>
          <w:rFonts w:ascii="Times New Roman" w:hAnsi="Times New Roman" w:cs="Times New Roman"/>
          <w:b w:val="0"/>
          <w:sz w:val="24"/>
          <w:szCs w:val="24"/>
          <w:lang w:val="ru-RU"/>
        </w:rPr>
        <w:t xml:space="preserve"> </w:t>
      </w:r>
      <w:r w:rsidR="008B10E3" w:rsidRPr="00F06DE2">
        <w:rPr>
          <w:rFonts w:ascii="Times New Roman" w:hAnsi="Times New Roman" w:cs="Times New Roman"/>
          <w:b w:val="0"/>
          <w:sz w:val="24"/>
          <w:szCs w:val="24"/>
          <w:lang w:val="ru-RU"/>
        </w:rPr>
        <w:tab/>
      </w:r>
      <w:r w:rsidRPr="00F06DE2">
        <w:rPr>
          <w:rFonts w:ascii="Times New Roman" w:hAnsi="Times New Roman" w:cs="Times New Roman"/>
          <w:b w:val="0"/>
          <w:sz w:val="24"/>
          <w:szCs w:val="24"/>
          <w:lang w:val="ru-RU"/>
        </w:rPr>
        <w:t>Тази глава се прилага за плавателни средства със задвижващи или спомагателни системи, работещи с горива с точка на възпламеняване, равна на или по-ниска от 55 °</w:t>
      </w:r>
      <w:r w:rsidRPr="00F06DE2">
        <w:rPr>
          <w:rFonts w:ascii="Times New Roman" w:hAnsi="Times New Roman" w:cs="Times New Roman"/>
          <w:b w:val="0"/>
          <w:sz w:val="24"/>
          <w:szCs w:val="24"/>
        </w:rPr>
        <w:t>C</w:t>
      </w:r>
      <w:r w:rsidRPr="00F06DE2">
        <w:rPr>
          <w:rFonts w:ascii="Times New Roman" w:hAnsi="Times New Roman" w:cs="Times New Roman"/>
          <w:b w:val="0"/>
          <w:sz w:val="24"/>
          <w:szCs w:val="24"/>
          <w:lang w:val="ru-RU"/>
        </w:rPr>
        <w:t>.</w:t>
      </w:r>
    </w:p>
    <w:p w14:paraId="671C14FE" w14:textId="05D58E36" w:rsidR="002D52F1" w:rsidRPr="00F06DE2" w:rsidRDefault="00DE16E4" w:rsidP="008B10E3">
      <w:pPr>
        <w:pStyle w:val="ES-Titre3"/>
        <w:spacing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 xml:space="preserve">2. </w:t>
      </w:r>
      <w:r w:rsidR="008B10E3" w:rsidRPr="00F06DE2">
        <w:rPr>
          <w:rFonts w:ascii="Times New Roman" w:hAnsi="Times New Roman" w:cs="Times New Roman"/>
          <w:b w:val="0"/>
          <w:sz w:val="24"/>
          <w:szCs w:val="24"/>
          <w:lang w:val="ru-RU"/>
        </w:rPr>
        <w:tab/>
      </w:r>
      <w:r w:rsidR="002D52F1" w:rsidRPr="00F06DE2">
        <w:rPr>
          <w:rFonts w:ascii="Times New Roman" w:hAnsi="Times New Roman" w:cs="Times New Roman"/>
          <w:b w:val="0"/>
          <w:sz w:val="24"/>
          <w:szCs w:val="24"/>
          <w:lang w:val="ru-RU"/>
        </w:rPr>
        <w:t xml:space="preserve">В допълнение към изискванията на тази глава се прилага Приложение 8, в което </w:t>
      </w:r>
      <w:r w:rsidR="004B5713" w:rsidRPr="00F06DE2">
        <w:rPr>
          <w:rFonts w:ascii="Times New Roman" w:hAnsi="Times New Roman" w:cs="Times New Roman"/>
          <w:b w:val="0"/>
          <w:sz w:val="24"/>
          <w:szCs w:val="24"/>
          <w:lang w:val="ru-RU"/>
        </w:rPr>
        <w:t>има</w:t>
      </w:r>
      <w:r w:rsidR="002E03D8" w:rsidRPr="00F06DE2">
        <w:rPr>
          <w:rFonts w:ascii="Times New Roman" w:hAnsi="Times New Roman" w:cs="Times New Roman"/>
          <w:b w:val="0"/>
          <w:sz w:val="24"/>
          <w:szCs w:val="24"/>
          <w:lang w:val="ru-RU"/>
        </w:rPr>
        <w:t xml:space="preserve"> </w:t>
      </w:r>
      <w:r w:rsidR="004B5713" w:rsidRPr="00F06DE2">
        <w:rPr>
          <w:rFonts w:ascii="Times New Roman" w:hAnsi="Times New Roman" w:cs="Times New Roman"/>
          <w:b w:val="0"/>
          <w:sz w:val="24"/>
          <w:szCs w:val="24"/>
          <w:lang w:val="ru-RU"/>
        </w:rPr>
        <w:t>специфични изисквания за съхранението и преобразователи на енергия за различните горива.</w:t>
      </w:r>
    </w:p>
    <w:p w14:paraId="795C06B0" w14:textId="55943BBD" w:rsidR="00271FA2" w:rsidRPr="00F06DE2" w:rsidRDefault="00DE16E4" w:rsidP="008B10E3">
      <w:pPr>
        <w:ind w:left="567" w:hanging="567"/>
        <w:rPr>
          <w:rFonts w:ascii="Times New Roman" w:hAnsi="Times New Roman" w:cs="Times New Roman"/>
          <w:b/>
          <w:strike/>
          <w:lang w:val="ru-RU"/>
        </w:rPr>
      </w:pPr>
      <w:r w:rsidRPr="00F06DE2">
        <w:rPr>
          <w:rFonts w:ascii="Times New Roman" w:hAnsi="Times New Roman" w:cs="Times New Roman"/>
          <w:lang w:val="ru-RU"/>
        </w:rPr>
        <w:t>3.</w:t>
      </w:r>
      <w:r w:rsidR="008B10E3" w:rsidRPr="00F06DE2">
        <w:rPr>
          <w:rFonts w:ascii="Times New Roman" w:hAnsi="Times New Roman" w:cs="Times New Roman"/>
          <w:lang w:val="ru-RU"/>
        </w:rPr>
        <w:tab/>
      </w:r>
      <w:r w:rsidR="00BA45A5" w:rsidRPr="00F06DE2">
        <w:rPr>
          <w:rFonts w:ascii="Times New Roman" w:hAnsi="Times New Roman" w:cs="Times New Roman"/>
          <w:lang w:val="ru-RU"/>
        </w:rPr>
        <w:t>Разпоредбите на настоящата глава не се прилагат за горивни клетки, които са част от спомагателни системи, работещи с горива с точка на възпламеняване, равна на или по-ниска от 55 °</w:t>
      </w:r>
      <w:r w:rsidR="00BA45A5" w:rsidRPr="00F06DE2">
        <w:rPr>
          <w:rFonts w:ascii="Times New Roman" w:hAnsi="Times New Roman" w:cs="Times New Roman"/>
        </w:rPr>
        <w:t>C</w:t>
      </w:r>
      <w:r w:rsidR="00BA45A5" w:rsidRPr="00F06DE2">
        <w:rPr>
          <w:rFonts w:ascii="Times New Roman" w:hAnsi="Times New Roman" w:cs="Times New Roman"/>
          <w:lang w:val="ru-RU"/>
        </w:rPr>
        <w:t xml:space="preserve"> съгласно (1) и с кумулативна референтна мощност, която е по-малка от 20 </w:t>
      </w:r>
      <w:r w:rsidR="00BA45A5" w:rsidRPr="00F06DE2">
        <w:rPr>
          <w:rFonts w:ascii="Times New Roman" w:hAnsi="Times New Roman" w:cs="Times New Roman"/>
        </w:rPr>
        <w:t>kW</w:t>
      </w:r>
    </w:p>
    <w:p w14:paraId="5A7980A7" w14:textId="77777777" w:rsidR="00271FA2" w:rsidRPr="00F06DE2" w:rsidRDefault="00D35E51" w:rsidP="004911ED">
      <w:pPr>
        <w:pStyle w:val="ES-Titre3"/>
        <w:spacing w:after="0" w:line="240" w:lineRule="atLeast"/>
        <w:ind w:left="567"/>
        <w:rPr>
          <w:rFonts w:ascii="Times New Roman" w:hAnsi="Times New Roman" w:cs="Times New Roman"/>
          <w:sz w:val="24"/>
          <w:szCs w:val="24"/>
          <w:lang w:val="ru-RU"/>
        </w:rPr>
      </w:pPr>
      <w:r w:rsidRPr="00F06DE2">
        <w:rPr>
          <w:rFonts w:ascii="Times New Roman" w:hAnsi="Times New Roman" w:cs="Times New Roman"/>
          <w:sz w:val="24"/>
          <w:szCs w:val="24"/>
          <w:lang w:val="ru-RU"/>
        </w:rPr>
        <w:t>Член 30.02</w:t>
      </w:r>
      <w:bookmarkEnd w:id="516"/>
      <w:bookmarkEnd w:id="517"/>
    </w:p>
    <w:p w14:paraId="0249641C" w14:textId="77777777" w:rsidR="00271FA2" w:rsidRPr="00F06DE2" w:rsidRDefault="00D35E51" w:rsidP="004911ED">
      <w:pPr>
        <w:pStyle w:val="ES-Titre3"/>
        <w:spacing w:line="240" w:lineRule="atLeast"/>
        <w:ind w:left="567"/>
        <w:rPr>
          <w:rFonts w:ascii="Times New Roman" w:hAnsi="Times New Roman" w:cs="Times New Roman"/>
          <w:i/>
          <w:sz w:val="24"/>
          <w:szCs w:val="24"/>
          <w:lang w:val="ru-RU"/>
        </w:rPr>
      </w:pPr>
      <w:r w:rsidRPr="00F06DE2">
        <w:rPr>
          <w:rFonts w:ascii="Times New Roman" w:hAnsi="Times New Roman" w:cs="Times New Roman"/>
          <w:i/>
          <w:sz w:val="24"/>
          <w:szCs w:val="24"/>
          <w:lang w:val="ru-RU"/>
        </w:rPr>
        <w:t>Общи положения</w:t>
      </w:r>
    </w:p>
    <w:p w14:paraId="549226B1" w14:textId="77777777" w:rsidR="00271FA2" w:rsidRPr="00F06DE2" w:rsidRDefault="00D35E51" w:rsidP="004911ED">
      <w:pPr>
        <w:pStyle w:val="ES-Titre3"/>
        <w:spacing w:line="240" w:lineRule="atLeast"/>
        <w:ind w:left="567" w:hanging="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1.</w:t>
      </w:r>
      <w:r w:rsidRPr="00F06DE2">
        <w:rPr>
          <w:rFonts w:ascii="Times New Roman" w:hAnsi="Times New Roman" w:cs="Times New Roman"/>
          <w:b w:val="0"/>
          <w:sz w:val="24"/>
          <w:szCs w:val="24"/>
          <w:lang w:val="ru-RU"/>
        </w:rPr>
        <w:tab/>
        <w:t>Плавателните средства съгласно член 30.01, точка 1 трябва да отговарят на мерките за смекчаване, определени от оценката на риска съгласно член 30.04.</w:t>
      </w:r>
    </w:p>
    <w:p w14:paraId="05E327B4" w14:textId="2435F57A" w:rsidR="00271FA2" w:rsidRPr="00F06DE2" w:rsidRDefault="00D35E51" w:rsidP="004911ED">
      <w:pPr>
        <w:pStyle w:val="ES-Titre3"/>
        <w:spacing w:line="240" w:lineRule="atLeast"/>
        <w:ind w:left="567" w:hanging="709"/>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2.</w:t>
      </w:r>
      <w:r w:rsidRPr="00F06DE2">
        <w:rPr>
          <w:rFonts w:ascii="Times New Roman" w:hAnsi="Times New Roman" w:cs="Times New Roman"/>
          <w:b w:val="0"/>
          <w:sz w:val="24"/>
          <w:szCs w:val="24"/>
          <w:lang w:val="ru-RU"/>
        </w:rPr>
        <w:tab/>
        <w:t>Освен ако не е посочено друго в Приложение 8 и ако е необходимо, дерогации от член 8.01, точка 3 и член 8.05, точки 1, 6, 9, 11</w:t>
      </w:r>
      <w:r w:rsidR="005252EF" w:rsidRPr="00F06DE2">
        <w:rPr>
          <w:rFonts w:ascii="Times New Roman" w:hAnsi="Times New Roman" w:cs="Times New Roman"/>
          <w:b w:val="0"/>
          <w:sz w:val="24"/>
          <w:szCs w:val="24"/>
          <w:lang w:val="ru-RU"/>
        </w:rPr>
        <w:t xml:space="preserve"> и </w:t>
      </w:r>
      <w:r w:rsidRPr="00F06DE2">
        <w:rPr>
          <w:rFonts w:ascii="Times New Roman" w:hAnsi="Times New Roman" w:cs="Times New Roman"/>
          <w:b w:val="0"/>
          <w:sz w:val="24"/>
          <w:szCs w:val="24"/>
          <w:lang w:val="ru-RU"/>
        </w:rPr>
        <w:t>12 са разрешени, при условие че плавателното средство отговаря на еквивалентно ниво на безопасност. Ако енергийният преобразувател на плавателното средство генерира газообразни или прахови замърсители, но не попада в обхвата на приложение на Глава 9, емисиите на газообразни и прахови замърсители от енергийния преобразувател трябва да бъдат еквивалентни или по-ниски от тези на двигателите с вътрешно горене, посочени в член 9.01, точка 2. Контролният орган може да поиска доклад, който демонстрира съответствието му с това изискване.</w:t>
      </w:r>
    </w:p>
    <w:p w14:paraId="7676CEDF" w14:textId="77777777" w:rsidR="00271FA2" w:rsidRPr="00F06DE2" w:rsidRDefault="00D35E51" w:rsidP="004911ED">
      <w:pPr>
        <w:pStyle w:val="ES-Titre3"/>
        <w:spacing w:after="0" w:line="240" w:lineRule="atLeast"/>
        <w:ind w:left="567"/>
        <w:rPr>
          <w:rFonts w:ascii="Times New Roman" w:hAnsi="Times New Roman" w:cs="Times New Roman"/>
          <w:sz w:val="24"/>
          <w:szCs w:val="24"/>
          <w:lang w:val="ru-RU"/>
        </w:rPr>
      </w:pPr>
      <w:bookmarkStart w:id="518" w:name="_Toc535827703"/>
      <w:bookmarkStart w:id="519" w:name="_Toc491854262"/>
      <w:r w:rsidRPr="00F06DE2">
        <w:rPr>
          <w:rFonts w:ascii="Times New Roman" w:hAnsi="Times New Roman" w:cs="Times New Roman"/>
          <w:sz w:val="24"/>
          <w:szCs w:val="24"/>
          <w:lang w:val="ru-RU"/>
        </w:rPr>
        <w:t>Член 30.03</w:t>
      </w:r>
      <w:bookmarkStart w:id="520" w:name="_Toc535827704"/>
      <w:bookmarkStart w:id="521" w:name="_Toc491854263"/>
      <w:bookmarkEnd w:id="518"/>
      <w:bookmarkEnd w:id="519"/>
    </w:p>
    <w:p w14:paraId="46EB40D7" w14:textId="77777777" w:rsidR="00271FA2" w:rsidRPr="00F06DE2" w:rsidRDefault="00D35E51" w:rsidP="004911ED">
      <w:pPr>
        <w:pStyle w:val="ES-Titre3"/>
        <w:spacing w:line="240" w:lineRule="atLeast"/>
        <w:ind w:left="567"/>
        <w:rPr>
          <w:rFonts w:ascii="Times New Roman" w:hAnsi="Times New Roman" w:cs="Times New Roman"/>
          <w:i/>
          <w:sz w:val="24"/>
          <w:szCs w:val="24"/>
          <w:lang w:val="ru-RU"/>
        </w:rPr>
      </w:pPr>
      <w:r w:rsidRPr="00F06DE2">
        <w:rPr>
          <w:rFonts w:ascii="Times New Roman" w:hAnsi="Times New Roman" w:cs="Times New Roman"/>
          <w:i/>
          <w:sz w:val="24"/>
          <w:szCs w:val="24"/>
          <w:lang w:val="ru-RU"/>
        </w:rPr>
        <w:t>Задачи на контролния орган и техническата служба, документация</w:t>
      </w:r>
    </w:p>
    <w:p w14:paraId="4A234D73" w14:textId="77777777" w:rsidR="00271FA2" w:rsidRPr="00F06DE2" w:rsidRDefault="00D35E51" w:rsidP="004911ED">
      <w:pPr>
        <w:pStyle w:val="ES-Titre3"/>
        <w:spacing w:line="240" w:lineRule="atLeast"/>
        <w:ind w:left="567" w:hanging="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1.</w:t>
      </w:r>
      <w:r w:rsidRPr="00F06DE2">
        <w:rPr>
          <w:rFonts w:ascii="Times New Roman" w:hAnsi="Times New Roman" w:cs="Times New Roman"/>
          <w:b w:val="0"/>
          <w:sz w:val="24"/>
          <w:szCs w:val="24"/>
          <w:lang w:val="ru-RU"/>
        </w:rPr>
        <w:tab/>
        <w:t>Задвижващите и спомагателните системи на плавателното средство съгласно член 30.01, точка 1 се конструират и монтират под надзора на контролния орган.</w:t>
      </w:r>
    </w:p>
    <w:p w14:paraId="475F0A58" w14:textId="77777777" w:rsidR="00271FA2" w:rsidRPr="00F06DE2" w:rsidRDefault="00D35E51" w:rsidP="007D72A2">
      <w:pPr>
        <w:pStyle w:val="ES-Titre3"/>
        <w:spacing w:after="0" w:line="240" w:lineRule="atLeast"/>
        <w:ind w:left="567" w:hanging="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2.</w:t>
      </w:r>
      <w:r w:rsidRPr="00F06DE2">
        <w:rPr>
          <w:rFonts w:ascii="Times New Roman" w:hAnsi="Times New Roman" w:cs="Times New Roman"/>
          <w:b w:val="0"/>
          <w:sz w:val="24"/>
          <w:szCs w:val="24"/>
          <w:lang w:val="ru-RU"/>
        </w:rPr>
        <w:tab/>
        <w:t xml:space="preserve">За целите на изпълнението на задачи съгласно настоящата глава контролният орган може да наеме техническа служба. Техническите служби трябва да отговарят на Европейския стандарт </w:t>
      </w:r>
      <w:r w:rsidRPr="00F06DE2">
        <w:rPr>
          <w:rFonts w:ascii="Times New Roman" w:hAnsi="Times New Roman" w:cs="Times New Roman"/>
          <w:b w:val="0"/>
          <w:sz w:val="24"/>
          <w:szCs w:val="24"/>
        </w:rPr>
        <w:t>EN</w:t>
      </w:r>
      <w:r w:rsidRPr="00F06DE2">
        <w:rPr>
          <w:rFonts w:ascii="Times New Roman" w:hAnsi="Times New Roman" w:cs="Times New Roman"/>
          <w:b w:val="0"/>
          <w:sz w:val="24"/>
          <w:szCs w:val="24"/>
          <w:lang w:val="ru-RU"/>
        </w:rPr>
        <w:t xml:space="preserve"> </w:t>
      </w:r>
      <w:r w:rsidRPr="00F06DE2">
        <w:rPr>
          <w:rFonts w:ascii="Times New Roman" w:hAnsi="Times New Roman" w:cs="Times New Roman"/>
          <w:b w:val="0"/>
          <w:sz w:val="24"/>
          <w:szCs w:val="24"/>
        </w:rPr>
        <w:t>ISO</w:t>
      </w:r>
      <w:r w:rsidRPr="00F06DE2">
        <w:rPr>
          <w:rFonts w:ascii="Times New Roman" w:hAnsi="Times New Roman" w:cs="Times New Roman"/>
          <w:b w:val="0"/>
          <w:sz w:val="24"/>
          <w:szCs w:val="24"/>
          <w:lang w:val="ru-RU"/>
        </w:rPr>
        <w:t xml:space="preserve"> 17020:2012. Знанията на техническата служба трябва да обхващат най-малко следните области:</w:t>
      </w:r>
    </w:p>
    <w:p w14:paraId="241CBC72"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а) горивна система, включително резервоари, топлообменници, тръбопроводи;</w:t>
      </w:r>
    </w:p>
    <w:p w14:paraId="7D761928"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здравина (надлъжна и локална) и стабилност на плавателното средство;</w:t>
      </w:r>
    </w:p>
    <w:p w14:paraId="36B01921"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lastRenderedPageBreak/>
        <w:t>в) електрическа инсталация и системи за управление, наблюдение и безопасност;</w:t>
      </w:r>
    </w:p>
    <w:p w14:paraId="1CC0DBBC"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г) вентилационна система;</w:t>
      </w:r>
    </w:p>
    <w:p w14:paraId="2DBA7F7C"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д) пожарна безопасност; и</w:t>
      </w:r>
    </w:p>
    <w:p w14:paraId="66B976C3"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е) газово предупредително оборудване.</w:t>
      </w:r>
    </w:p>
    <w:p w14:paraId="740DF1F3"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Производителите и дистрибуторите на задвижващи или спомагателни системи или части от тези системи не могат да бъдат признати за технически услуги.</w:t>
      </w:r>
    </w:p>
    <w:p w14:paraId="5607F2AF"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Надзорът и изпитването съгласно членове 30.03, точка 1 и 30.11 могат да се извършват от различни технически служби, при условие че целият опит, описан по-горе, е взет предвид в процеса.</w:t>
      </w:r>
    </w:p>
    <w:p w14:paraId="09F603B6" w14:textId="77777777" w:rsidR="00271FA2" w:rsidRPr="00F06DE2" w:rsidRDefault="00D35E51" w:rsidP="007D72A2">
      <w:pPr>
        <w:pStyle w:val="ES-Titre3"/>
        <w:spacing w:after="0" w:line="240" w:lineRule="atLeast"/>
        <w:ind w:left="567" w:hanging="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 xml:space="preserve">3. </w:t>
      </w:r>
      <w:r w:rsidRPr="00F06DE2">
        <w:rPr>
          <w:rFonts w:ascii="Times New Roman" w:hAnsi="Times New Roman" w:cs="Times New Roman"/>
          <w:b w:val="0"/>
          <w:sz w:val="24"/>
          <w:szCs w:val="24"/>
          <w:lang w:val="ru-RU"/>
        </w:rPr>
        <w:tab/>
        <w:t>Преди пускането в експлоатация на задвижваща или спомагателна система съгласно член 30.01, точка 1, следните документи се представят на контролния орган:</w:t>
      </w:r>
    </w:p>
    <w:p w14:paraId="3DF91251"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а) оценка на риска съгласно член 30.04;</w:t>
      </w:r>
    </w:p>
    <w:p w14:paraId="174085EB"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описание на задвижващата или спомагателната система;</w:t>
      </w:r>
    </w:p>
    <w:p w14:paraId="215E4FB4"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чертежи на задвижващата или спомагателната система;</w:t>
      </w:r>
    </w:p>
    <w:p w14:paraId="3A24833C"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г) диаграма на налягането и температурата в системата;</w:t>
      </w:r>
    </w:p>
    <w:p w14:paraId="25CB5C48" w14:textId="45170843"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д) ръководството за експлоатация съгласно 30.05, точка 5</w:t>
      </w:r>
      <w:r w:rsidR="00827DE0" w:rsidRPr="00F06DE2">
        <w:rPr>
          <w:rFonts w:ascii="Times New Roman" w:hAnsi="Times New Roman" w:cs="Times New Roman"/>
          <w:b w:val="0"/>
          <w:sz w:val="24"/>
          <w:szCs w:val="24"/>
          <w:lang w:val="ru-RU"/>
        </w:rPr>
        <w:t xml:space="preserve"> </w:t>
      </w:r>
      <w:r w:rsidR="00F313F1" w:rsidRPr="00F06DE2">
        <w:rPr>
          <w:rFonts w:ascii="Times New Roman" w:hAnsi="Times New Roman" w:cs="Times New Roman"/>
          <w:b w:val="0"/>
          <w:sz w:val="24"/>
          <w:szCs w:val="24"/>
          <w:lang w:val="ru-RU"/>
        </w:rPr>
        <w:t>и;</w:t>
      </w:r>
    </w:p>
    <w:p w14:paraId="059FF493" w14:textId="1FA4BBFF"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е) график за безопасност съгласно член 30.05, точка</w:t>
      </w:r>
      <w:r w:rsidR="00FA5661" w:rsidRPr="00F06DE2">
        <w:rPr>
          <w:rFonts w:ascii="Times New Roman" w:hAnsi="Times New Roman" w:cs="Times New Roman"/>
          <w:b w:val="0"/>
          <w:sz w:val="24"/>
          <w:szCs w:val="24"/>
          <w:lang w:val="ru-RU"/>
        </w:rPr>
        <w:t xml:space="preserve"> 1</w:t>
      </w:r>
      <w:r w:rsidRPr="00F06DE2">
        <w:rPr>
          <w:rFonts w:ascii="Times New Roman" w:hAnsi="Times New Roman" w:cs="Times New Roman"/>
          <w:b w:val="0"/>
          <w:sz w:val="24"/>
          <w:szCs w:val="24"/>
          <w:lang w:val="ru-RU"/>
        </w:rPr>
        <w:t xml:space="preserve"> </w:t>
      </w:r>
      <w:r w:rsidR="00F313F1" w:rsidRPr="00F06DE2">
        <w:rPr>
          <w:rFonts w:ascii="Times New Roman" w:hAnsi="Times New Roman" w:cs="Times New Roman"/>
          <w:b w:val="0"/>
          <w:sz w:val="24"/>
          <w:szCs w:val="24"/>
          <w:lang w:val="ru-RU"/>
        </w:rPr>
        <w:t>.</w:t>
      </w:r>
    </w:p>
    <w:p w14:paraId="2DE5FB1B" w14:textId="77777777" w:rsidR="00271FA2" w:rsidRPr="00F06DE2" w:rsidRDefault="00D35E51" w:rsidP="007D72A2">
      <w:pPr>
        <w:pStyle w:val="ES-Titre3"/>
        <w:spacing w:after="0" w:line="240" w:lineRule="atLeast"/>
        <w:ind w:left="567" w:hanging="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4.</w:t>
      </w:r>
      <w:r w:rsidRPr="00F06DE2">
        <w:rPr>
          <w:rFonts w:ascii="Times New Roman" w:hAnsi="Times New Roman" w:cs="Times New Roman"/>
          <w:b w:val="0"/>
          <w:sz w:val="24"/>
          <w:szCs w:val="24"/>
          <w:lang w:val="ru-RU"/>
        </w:rPr>
        <w:tab/>
        <w:t>Техническата документация съгласно точка 3 позволява оценка на това дали плавателните средства, задвижващите и спомагателните системи и техните компоненти отговарят на приложимите правила, разпоредби, прилаганите стандарти и принципи по отношение на безопасността, наличността, ремонтопригодността и надеждността.</w:t>
      </w:r>
    </w:p>
    <w:p w14:paraId="6ADF195E" w14:textId="77777777" w:rsidR="00271FA2" w:rsidRPr="00F06DE2" w:rsidRDefault="00D35E51" w:rsidP="004911ED">
      <w:pPr>
        <w:pStyle w:val="ES-Titre3"/>
        <w:spacing w:line="240" w:lineRule="atLeast"/>
        <w:ind w:left="567" w:hanging="567"/>
        <w:jc w:val="left"/>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5.</w:t>
      </w:r>
      <w:r w:rsidRPr="00F06DE2">
        <w:rPr>
          <w:rFonts w:ascii="Times New Roman" w:hAnsi="Times New Roman" w:cs="Times New Roman"/>
          <w:b w:val="0"/>
          <w:sz w:val="24"/>
          <w:szCs w:val="24"/>
          <w:lang w:val="ru-RU"/>
        </w:rPr>
        <w:tab/>
        <w:t>Копие от документите по точка 3 се съхранява на борда.</w:t>
      </w:r>
    </w:p>
    <w:p w14:paraId="0BDD0DD5"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sz w:val="24"/>
          <w:szCs w:val="24"/>
          <w:lang w:val="ru-RU"/>
        </w:rPr>
        <w:t>Член 30.04</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Оценка на риска</w:t>
      </w:r>
      <w:bookmarkEnd w:id="520"/>
      <w:bookmarkEnd w:id="521"/>
    </w:p>
    <w:p w14:paraId="3A686066" w14:textId="47BC3812" w:rsidR="00271FA2" w:rsidRPr="00F06DE2" w:rsidRDefault="00D35E51" w:rsidP="007D72A2">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1.</w:t>
      </w:r>
      <w:r w:rsidRPr="00F06DE2">
        <w:rPr>
          <w:rFonts w:ascii="Times New Roman" w:hAnsi="Times New Roman" w:cs="Times New Roman"/>
          <w:b w:val="0"/>
          <w:i/>
          <w:sz w:val="24"/>
          <w:szCs w:val="24"/>
          <w:lang w:val="ru-RU"/>
        </w:rPr>
        <w:tab/>
      </w:r>
      <w:r w:rsidRPr="00F06DE2">
        <w:rPr>
          <w:rFonts w:ascii="Times New Roman" w:hAnsi="Times New Roman" w:cs="Times New Roman"/>
          <w:b w:val="0"/>
          <w:sz w:val="24"/>
          <w:szCs w:val="24"/>
          <w:lang w:val="ru-RU"/>
        </w:rPr>
        <w:t>Извършва се оценка на риска, за да се гарантира, че рисковете, произтичащи от използването на горива с точка на възпламеняване, равна на или по-ниска от 55 °</w:t>
      </w:r>
      <w:r w:rsidRPr="00F06DE2">
        <w:rPr>
          <w:rFonts w:ascii="Times New Roman" w:hAnsi="Times New Roman" w:cs="Times New Roman"/>
          <w:b w:val="0"/>
          <w:sz w:val="24"/>
          <w:szCs w:val="24"/>
        </w:rPr>
        <w:t>C</w:t>
      </w:r>
      <w:r w:rsidRPr="00F06DE2">
        <w:rPr>
          <w:rFonts w:ascii="Times New Roman" w:hAnsi="Times New Roman" w:cs="Times New Roman"/>
          <w:b w:val="0"/>
          <w:sz w:val="24"/>
          <w:szCs w:val="24"/>
          <w:lang w:val="ru-RU"/>
        </w:rPr>
        <w:t>, засягащи хората на борда, включително пътниците, околната среда, здравината на конструкцията и целостта на плавателното средство, са оценени.</w:t>
      </w:r>
    </w:p>
    <w:p w14:paraId="5146EF7D" w14:textId="77777777" w:rsidR="00271FA2" w:rsidRPr="00F06DE2" w:rsidRDefault="00D35E51" w:rsidP="007D72A2">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2.</w:t>
      </w:r>
      <w:r w:rsidRPr="00F06DE2">
        <w:rPr>
          <w:rFonts w:ascii="Times New Roman" w:hAnsi="Times New Roman" w:cs="Times New Roman"/>
          <w:b w:val="0"/>
          <w:sz w:val="24"/>
          <w:szCs w:val="24"/>
          <w:lang w:val="ru-RU"/>
        </w:rPr>
        <w:tab/>
        <w:t>Оценката на риска включва най-малко:</w:t>
      </w:r>
    </w:p>
    <w:p w14:paraId="295E5E5C" w14:textId="1620F976" w:rsidR="00271FA2" w:rsidRPr="00F06DE2" w:rsidRDefault="00D35E51" w:rsidP="007D72A2">
      <w:pPr>
        <w:pStyle w:val="CommentText"/>
        <w:ind w:left="567"/>
        <w:jc w:val="both"/>
        <w:rPr>
          <w:rFonts w:ascii="Times New Roman" w:hAnsi="Times New Roman" w:cs="Times New Roman"/>
          <w:szCs w:val="24"/>
          <w:lang w:val="ru-RU"/>
        </w:rPr>
      </w:pPr>
      <w:r w:rsidRPr="00F06DE2">
        <w:rPr>
          <w:rFonts w:ascii="Times New Roman" w:hAnsi="Times New Roman" w:cs="Times New Roman"/>
          <w:szCs w:val="24"/>
          <w:lang w:val="ru-RU"/>
        </w:rPr>
        <w:t>а</w:t>
      </w:r>
      <w:r w:rsidR="00C85C61" w:rsidRPr="00F06DE2">
        <w:rPr>
          <w:rFonts w:ascii="Times New Roman" w:hAnsi="Times New Roman" w:cs="Times New Roman"/>
          <w:szCs w:val="24"/>
          <w:lang w:val="ru-RU"/>
        </w:rPr>
        <w:t xml:space="preserve"> </w:t>
      </w:r>
      <w:r w:rsidR="00015B26" w:rsidRPr="00F06DE2">
        <w:rPr>
          <w:rFonts w:ascii="Times New Roman" w:hAnsi="Times New Roman" w:cs="Times New Roman"/>
          <w:szCs w:val="24"/>
          <w:lang w:val="ru-RU"/>
        </w:rPr>
        <w:t xml:space="preserve">) </w:t>
      </w:r>
      <w:r w:rsidR="00C85C61" w:rsidRPr="00F06DE2">
        <w:rPr>
          <w:rFonts w:ascii="Times New Roman" w:hAnsi="Times New Roman" w:cs="Times New Roman"/>
          <w:szCs w:val="24"/>
          <w:lang w:val="ru-RU"/>
        </w:rPr>
        <w:t>Идентифициране на опасност (</w:t>
      </w:r>
      <w:r w:rsidR="00C85C61" w:rsidRPr="00F06DE2">
        <w:rPr>
          <w:rFonts w:ascii="Times New Roman" w:hAnsi="Times New Roman" w:cs="Times New Roman"/>
          <w:szCs w:val="24"/>
        </w:rPr>
        <w:t>HAZID</w:t>
      </w:r>
      <w:r w:rsidR="00C85C61" w:rsidRPr="00F06DE2">
        <w:rPr>
          <w:rFonts w:ascii="Times New Roman" w:hAnsi="Times New Roman" w:cs="Times New Roman"/>
          <w:szCs w:val="24"/>
          <w:lang w:val="ru-RU"/>
        </w:rPr>
        <w:t xml:space="preserve">), което комбинира техники, описани в </w:t>
      </w:r>
      <w:r w:rsidR="00C85C61" w:rsidRPr="00F06DE2">
        <w:rPr>
          <w:rFonts w:ascii="Times New Roman" w:hAnsi="Times New Roman" w:cs="Times New Roman"/>
          <w:szCs w:val="24"/>
        </w:rPr>
        <w:t>ISO</w:t>
      </w:r>
      <w:r w:rsidR="00C85C61" w:rsidRPr="00F06DE2">
        <w:rPr>
          <w:rFonts w:ascii="Times New Roman" w:hAnsi="Times New Roman" w:cs="Times New Roman"/>
          <w:szCs w:val="24"/>
          <w:lang w:val="ru-RU"/>
        </w:rPr>
        <w:t xml:space="preserve"> 31010: 2019, за идентифициране на рискове, оценка на рисковете и мерки за елиминиране или смекчаване на тези рискове.</w:t>
      </w:r>
      <w:r w:rsidR="00BA45A5" w:rsidRPr="00F06DE2">
        <w:rPr>
          <w:rFonts w:ascii="Times New Roman" w:hAnsi="Times New Roman" w:cs="Times New Roman"/>
          <w:szCs w:val="24"/>
          <w:lang w:val="ru-RU"/>
        </w:rPr>
        <w:t xml:space="preserve"> При избора на подходящи техники трябва да се вземат предвид естеството и мащабът на задвижващата или спомагателната система в плавателния съд, както и опитът с подобни системи.</w:t>
      </w:r>
    </w:p>
    <w:p w14:paraId="2456C1FF" w14:textId="28F99145"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класификацията на опасните зони на борда, разделени на зони 0, 1 и 2, съгласно член 1.01</w:t>
      </w:r>
      <w:r w:rsidR="00827DE0" w:rsidRPr="00F06DE2">
        <w:rPr>
          <w:rFonts w:ascii="Times New Roman" w:hAnsi="Times New Roman" w:cs="Times New Roman"/>
          <w:b w:val="0"/>
          <w:sz w:val="24"/>
          <w:szCs w:val="24"/>
          <w:lang w:val="ru-RU"/>
        </w:rPr>
        <w:t>,</w:t>
      </w:r>
      <w:r w:rsidRPr="00F06DE2">
        <w:rPr>
          <w:rFonts w:ascii="Times New Roman" w:hAnsi="Times New Roman" w:cs="Times New Roman"/>
          <w:b w:val="0"/>
          <w:sz w:val="24"/>
          <w:szCs w:val="24"/>
          <w:lang w:val="ru-RU"/>
        </w:rPr>
        <w:t xml:space="preserve"> </w:t>
      </w:r>
      <w:r w:rsidR="00827DE0" w:rsidRPr="00F06DE2">
        <w:rPr>
          <w:rFonts w:ascii="Times New Roman" w:hAnsi="Times New Roman" w:cs="Times New Roman"/>
          <w:b w:val="0"/>
          <w:sz w:val="24"/>
          <w:szCs w:val="24"/>
          <w:lang w:val="ru-RU"/>
        </w:rPr>
        <w:t xml:space="preserve">т. </w:t>
      </w:r>
      <w:r w:rsidRPr="00F06DE2">
        <w:rPr>
          <w:rFonts w:ascii="Times New Roman" w:hAnsi="Times New Roman" w:cs="Times New Roman"/>
          <w:b w:val="0"/>
          <w:sz w:val="24"/>
          <w:szCs w:val="24"/>
          <w:lang w:val="ru-RU"/>
        </w:rPr>
        <w:t>3.23.</w:t>
      </w:r>
    </w:p>
    <w:p w14:paraId="771113BA" w14:textId="4C4DBB5A" w:rsidR="00B37D44" w:rsidRPr="00F06DE2" w:rsidRDefault="00154366"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 xml:space="preserve">Като се има предвид </w:t>
      </w:r>
      <w:r w:rsidR="00B37D44" w:rsidRPr="00F06DE2">
        <w:rPr>
          <w:rFonts w:ascii="Times New Roman" w:hAnsi="Times New Roman" w:cs="Times New Roman"/>
          <w:b w:val="0"/>
          <w:sz w:val="24"/>
          <w:szCs w:val="24"/>
          <w:lang w:val="ru-RU"/>
        </w:rPr>
        <w:t xml:space="preserve"> резултата от идентифицирането на опасностите (</w:t>
      </w:r>
      <w:r w:rsidR="00B37D44" w:rsidRPr="00F06DE2">
        <w:rPr>
          <w:rFonts w:ascii="Times New Roman" w:hAnsi="Times New Roman" w:cs="Times New Roman"/>
          <w:b w:val="0"/>
          <w:sz w:val="24"/>
          <w:szCs w:val="24"/>
        </w:rPr>
        <w:t>HAZID</w:t>
      </w:r>
      <w:r w:rsidR="00B37D44" w:rsidRPr="00F06DE2">
        <w:rPr>
          <w:rFonts w:ascii="Times New Roman" w:hAnsi="Times New Roman" w:cs="Times New Roman"/>
          <w:b w:val="0"/>
          <w:sz w:val="24"/>
          <w:szCs w:val="24"/>
          <w:lang w:val="ru-RU"/>
        </w:rPr>
        <w:t xml:space="preserve">), </w:t>
      </w:r>
      <w:r w:rsidR="00F4712C" w:rsidRPr="00F06DE2">
        <w:rPr>
          <w:rFonts w:ascii="Times New Roman" w:hAnsi="Times New Roman" w:cs="Times New Roman"/>
          <w:b w:val="0"/>
          <w:sz w:val="24"/>
          <w:szCs w:val="24"/>
          <w:lang w:val="ru-RU"/>
        </w:rPr>
        <w:t xml:space="preserve"> контролния</w:t>
      </w:r>
      <w:r w:rsidR="00B37D44" w:rsidRPr="00F06DE2">
        <w:rPr>
          <w:rFonts w:ascii="Times New Roman" w:hAnsi="Times New Roman" w:cs="Times New Roman"/>
          <w:b w:val="0"/>
          <w:sz w:val="24"/>
          <w:szCs w:val="24"/>
          <w:lang w:val="ru-RU"/>
        </w:rPr>
        <w:t>т орган може да поиска допълнителен анализ на риска (напр. количествен анализ на риска, анализ на режимите на отказ,</w:t>
      </w:r>
      <w:r w:rsidR="00EB5EAD" w:rsidRPr="00F06DE2">
        <w:rPr>
          <w:rFonts w:ascii="Times New Roman" w:hAnsi="Times New Roman" w:cs="Times New Roman"/>
          <w:b w:val="0"/>
          <w:sz w:val="24"/>
          <w:szCs w:val="24"/>
          <w:lang w:val="ru-RU"/>
        </w:rPr>
        <w:t xml:space="preserve"> анализ на </w:t>
      </w:r>
      <w:r w:rsidR="00B37D44" w:rsidRPr="00F06DE2">
        <w:rPr>
          <w:rFonts w:ascii="Times New Roman" w:hAnsi="Times New Roman" w:cs="Times New Roman"/>
          <w:b w:val="0"/>
          <w:sz w:val="24"/>
          <w:szCs w:val="24"/>
          <w:lang w:val="ru-RU"/>
        </w:rPr>
        <w:t xml:space="preserve"> ефектите и (критичността)</w:t>
      </w:r>
      <w:r w:rsidR="00171F1C" w:rsidRPr="00F06DE2">
        <w:rPr>
          <w:rFonts w:ascii="Times New Roman" w:hAnsi="Times New Roman" w:cs="Times New Roman"/>
          <w:b w:val="0"/>
          <w:sz w:val="24"/>
          <w:szCs w:val="24"/>
          <w:lang w:val="ru-RU"/>
        </w:rPr>
        <w:t xml:space="preserve"> </w:t>
      </w:r>
      <w:r w:rsidR="00B37D44" w:rsidRPr="00F06DE2">
        <w:rPr>
          <w:rFonts w:ascii="Times New Roman" w:hAnsi="Times New Roman" w:cs="Times New Roman"/>
          <w:b w:val="0"/>
          <w:sz w:val="24"/>
          <w:szCs w:val="24"/>
          <w:lang w:val="ru-RU"/>
        </w:rPr>
        <w:t>(</w:t>
      </w:r>
      <w:r w:rsidR="00B37D44" w:rsidRPr="00F06DE2">
        <w:rPr>
          <w:rFonts w:ascii="Times New Roman" w:hAnsi="Times New Roman" w:cs="Times New Roman"/>
          <w:b w:val="0"/>
          <w:sz w:val="24"/>
          <w:szCs w:val="24"/>
        </w:rPr>
        <w:t>FME</w:t>
      </w:r>
      <w:r w:rsidR="00B37D44" w:rsidRPr="00F06DE2">
        <w:rPr>
          <w:rFonts w:ascii="Times New Roman" w:hAnsi="Times New Roman" w:cs="Times New Roman"/>
          <w:b w:val="0"/>
          <w:sz w:val="24"/>
          <w:szCs w:val="24"/>
          <w:lang w:val="ru-RU"/>
        </w:rPr>
        <w:t>(</w:t>
      </w:r>
      <w:r w:rsidR="00B37D44" w:rsidRPr="00F06DE2">
        <w:rPr>
          <w:rFonts w:ascii="Times New Roman" w:hAnsi="Times New Roman" w:cs="Times New Roman"/>
          <w:b w:val="0"/>
          <w:sz w:val="24"/>
          <w:szCs w:val="24"/>
        </w:rPr>
        <w:t>C</w:t>
      </w:r>
      <w:r w:rsidR="00B37D44" w:rsidRPr="00F06DE2">
        <w:rPr>
          <w:rFonts w:ascii="Times New Roman" w:hAnsi="Times New Roman" w:cs="Times New Roman"/>
          <w:b w:val="0"/>
          <w:sz w:val="24"/>
          <w:szCs w:val="24"/>
          <w:lang w:val="ru-RU"/>
        </w:rPr>
        <w:t>)</w:t>
      </w:r>
      <w:r w:rsidR="00B37D44" w:rsidRPr="00F06DE2">
        <w:rPr>
          <w:rFonts w:ascii="Times New Roman" w:hAnsi="Times New Roman" w:cs="Times New Roman"/>
          <w:b w:val="0"/>
          <w:sz w:val="24"/>
          <w:szCs w:val="24"/>
        </w:rPr>
        <w:t>A</w:t>
      </w:r>
      <w:r w:rsidR="00B37D44" w:rsidRPr="00F06DE2">
        <w:rPr>
          <w:rFonts w:ascii="Times New Roman" w:hAnsi="Times New Roman" w:cs="Times New Roman"/>
          <w:b w:val="0"/>
          <w:sz w:val="24"/>
          <w:szCs w:val="24"/>
          <w:lang w:val="ru-RU"/>
        </w:rPr>
        <w:t>), проучване на опасностите и оперативността (</w:t>
      </w:r>
      <w:r w:rsidR="00B37D44" w:rsidRPr="00F06DE2">
        <w:rPr>
          <w:rFonts w:ascii="Times New Roman" w:hAnsi="Times New Roman" w:cs="Times New Roman"/>
          <w:b w:val="0"/>
          <w:sz w:val="24"/>
          <w:szCs w:val="24"/>
        </w:rPr>
        <w:t>HAZOP</w:t>
      </w:r>
      <w:r w:rsidR="00B37D44" w:rsidRPr="00F06DE2">
        <w:rPr>
          <w:rFonts w:ascii="Times New Roman" w:hAnsi="Times New Roman" w:cs="Times New Roman"/>
          <w:b w:val="0"/>
          <w:sz w:val="24"/>
          <w:szCs w:val="24"/>
          <w:lang w:val="ru-RU"/>
        </w:rPr>
        <w:t>) или анализ на риска от пожар и експлозия).</w:t>
      </w:r>
    </w:p>
    <w:p w14:paraId="1FDDEA16" w14:textId="77777777" w:rsidR="00271FA2" w:rsidRPr="00F06DE2" w:rsidRDefault="00D35E51" w:rsidP="007D72A2">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3.</w:t>
      </w:r>
      <w:r w:rsidRPr="00F06DE2">
        <w:rPr>
          <w:rFonts w:ascii="Times New Roman" w:hAnsi="Times New Roman" w:cs="Times New Roman"/>
          <w:b w:val="0"/>
          <w:sz w:val="24"/>
          <w:szCs w:val="24"/>
          <w:lang w:val="ru-RU"/>
        </w:rPr>
        <w:tab/>
        <w:t>Като минимум процесът на идентифициране на опасността (</w:t>
      </w:r>
      <w:r w:rsidRPr="00F06DE2">
        <w:rPr>
          <w:rFonts w:ascii="Times New Roman" w:hAnsi="Times New Roman" w:cs="Times New Roman"/>
          <w:b w:val="0"/>
          <w:sz w:val="24"/>
          <w:szCs w:val="24"/>
        </w:rPr>
        <w:t>HAZID</w:t>
      </w:r>
      <w:r w:rsidRPr="00F06DE2">
        <w:rPr>
          <w:rFonts w:ascii="Times New Roman" w:hAnsi="Times New Roman" w:cs="Times New Roman"/>
          <w:b w:val="0"/>
          <w:sz w:val="24"/>
          <w:szCs w:val="24"/>
          <w:lang w:val="ru-RU"/>
        </w:rPr>
        <w:t>) взема предвид следните рискове:</w:t>
      </w:r>
    </w:p>
    <w:p w14:paraId="1F6A1E3E"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а) опасности, свързани с физическото оформление;</w:t>
      </w:r>
    </w:p>
    <w:p w14:paraId="4516F89B"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механични повреди на компонентите;</w:t>
      </w:r>
    </w:p>
    <w:p w14:paraId="1D4C221C" w14:textId="485E41B3"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 xml:space="preserve">в) влияния свързани с </w:t>
      </w:r>
      <w:r w:rsidR="00D72BD5" w:rsidRPr="00F06DE2">
        <w:rPr>
          <w:rFonts w:ascii="Times New Roman" w:hAnsi="Times New Roman" w:cs="Times New Roman"/>
          <w:b w:val="0"/>
          <w:sz w:val="24"/>
          <w:szCs w:val="24"/>
          <w:lang w:val="ru-RU"/>
        </w:rPr>
        <w:t xml:space="preserve"> </w:t>
      </w:r>
      <w:r w:rsidR="00E14A73" w:rsidRPr="00F06DE2">
        <w:rPr>
          <w:rFonts w:ascii="Times New Roman" w:hAnsi="Times New Roman" w:cs="Times New Roman"/>
          <w:b w:val="0"/>
          <w:sz w:val="24"/>
          <w:szCs w:val="24"/>
          <w:lang w:val="ru-RU"/>
        </w:rPr>
        <w:t>експлоатацията</w:t>
      </w:r>
      <w:r w:rsidR="00D72BD5" w:rsidRPr="00F06DE2">
        <w:rPr>
          <w:rFonts w:ascii="Times New Roman" w:hAnsi="Times New Roman" w:cs="Times New Roman"/>
          <w:b w:val="0"/>
          <w:sz w:val="24"/>
          <w:szCs w:val="24"/>
          <w:lang w:val="ru-RU"/>
        </w:rPr>
        <w:t xml:space="preserve"> </w:t>
      </w:r>
      <w:r w:rsidR="00E14A73" w:rsidRPr="00F06DE2">
        <w:rPr>
          <w:rFonts w:ascii="Times New Roman" w:hAnsi="Times New Roman" w:cs="Times New Roman"/>
          <w:b w:val="0"/>
          <w:sz w:val="24"/>
          <w:szCs w:val="24"/>
          <w:lang w:val="ru-RU"/>
        </w:rPr>
        <w:t>бункероването</w:t>
      </w:r>
      <w:r w:rsidRPr="00F06DE2">
        <w:rPr>
          <w:rFonts w:ascii="Times New Roman" w:hAnsi="Times New Roman" w:cs="Times New Roman"/>
          <w:b w:val="0"/>
          <w:sz w:val="24"/>
          <w:szCs w:val="24"/>
          <w:lang w:val="ru-RU"/>
        </w:rPr>
        <w:t xml:space="preserve">, </w:t>
      </w:r>
      <w:r w:rsidR="00E14A73" w:rsidRPr="00F06DE2">
        <w:rPr>
          <w:rFonts w:ascii="Times New Roman" w:hAnsi="Times New Roman" w:cs="Times New Roman"/>
          <w:b w:val="0"/>
          <w:sz w:val="24"/>
          <w:szCs w:val="24"/>
          <w:lang w:val="ru-RU"/>
        </w:rPr>
        <w:t xml:space="preserve">поддръжката , </w:t>
      </w:r>
      <w:r w:rsidRPr="00F06DE2">
        <w:rPr>
          <w:rFonts w:ascii="Times New Roman" w:hAnsi="Times New Roman" w:cs="Times New Roman"/>
          <w:b w:val="0"/>
          <w:sz w:val="24"/>
          <w:szCs w:val="24"/>
          <w:lang w:val="ru-RU"/>
        </w:rPr>
        <w:t>товара и метеорологичните условия;</w:t>
      </w:r>
    </w:p>
    <w:p w14:paraId="0CC550CF"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г) електрически повреди;</w:t>
      </w:r>
    </w:p>
    <w:p w14:paraId="08B9D75D"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д) нежелани химични реакции;</w:t>
      </w:r>
    </w:p>
    <w:p w14:paraId="5C87CD2C"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lastRenderedPageBreak/>
        <w:t>е) отделяне на токсични пари;</w:t>
      </w:r>
    </w:p>
    <w:p w14:paraId="60D6E846"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ж) самозапалване на горива;</w:t>
      </w:r>
    </w:p>
    <w:p w14:paraId="2F99B6B9"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з) пожар;</w:t>
      </w:r>
    </w:p>
    <w:p w14:paraId="3703A343"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и) експлозия;</w:t>
      </w:r>
    </w:p>
    <w:p w14:paraId="219B02D4"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й) временно прекъсване на захранването (затъмнение);</w:t>
      </w:r>
    </w:p>
    <w:p w14:paraId="52C84F6A"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rPr>
        <w:t>k</w:t>
      </w:r>
      <w:r w:rsidRPr="00F06DE2">
        <w:rPr>
          <w:rFonts w:ascii="Times New Roman" w:hAnsi="Times New Roman" w:cs="Times New Roman"/>
          <w:b w:val="0"/>
          <w:sz w:val="24"/>
          <w:szCs w:val="24"/>
          <w:lang w:val="ru-RU"/>
        </w:rPr>
        <w:t>) наводняване на части от плавателното средство с вода, която може да съдържа гориво или опасни изпарения;</w:t>
      </w:r>
    </w:p>
    <w:p w14:paraId="699B6B86"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л) потъване на плавателното средство.</w:t>
      </w:r>
    </w:p>
    <w:p w14:paraId="0A78E19A" w14:textId="77777777" w:rsidR="00271FA2" w:rsidRPr="00F06DE2" w:rsidRDefault="00D35E51" w:rsidP="007D72A2">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4.</w:t>
      </w:r>
      <w:r w:rsidRPr="00F06DE2">
        <w:rPr>
          <w:rFonts w:ascii="Times New Roman" w:hAnsi="Times New Roman" w:cs="Times New Roman"/>
          <w:b w:val="0"/>
          <w:sz w:val="24"/>
          <w:szCs w:val="24"/>
          <w:lang w:val="ru-RU"/>
        </w:rPr>
        <w:tab/>
        <w:t>Като минимум процесът на идентифициране на опасността (</w:t>
      </w:r>
      <w:r w:rsidRPr="00F06DE2">
        <w:rPr>
          <w:rFonts w:ascii="Times New Roman" w:hAnsi="Times New Roman" w:cs="Times New Roman"/>
          <w:b w:val="0"/>
          <w:sz w:val="24"/>
          <w:szCs w:val="24"/>
        </w:rPr>
        <w:t>HAZID</w:t>
      </w:r>
      <w:r w:rsidRPr="00F06DE2">
        <w:rPr>
          <w:rFonts w:ascii="Times New Roman" w:hAnsi="Times New Roman" w:cs="Times New Roman"/>
          <w:b w:val="0"/>
          <w:sz w:val="24"/>
          <w:szCs w:val="24"/>
          <w:lang w:val="ru-RU"/>
        </w:rPr>
        <w:t>) трябва да включва:</w:t>
      </w:r>
    </w:p>
    <w:p w14:paraId="5A739654"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а) фасилитатор за оценка на риска;</w:t>
      </w:r>
    </w:p>
    <w:p w14:paraId="1F5AF600"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експерти по безопасността на горивото;</w:t>
      </w:r>
    </w:p>
    <w:p w14:paraId="7F9C1D89"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дизайнери на плавателни средства и системи;</w:t>
      </w:r>
    </w:p>
    <w:p w14:paraId="2326122C"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г) корабостроителницата или еквивалентно образувание, което има представа за корабостроенето;</w:t>
      </w:r>
    </w:p>
    <w:p w14:paraId="0693F023"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д) доставчиците на оборудване;</w:t>
      </w:r>
    </w:p>
    <w:p w14:paraId="7470337F"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е) бъдещият оператор на плавателното средство;</w:t>
      </w:r>
    </w:p>
    <w:p w14:paraId="0F74859A"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ж) капитан.</w:t>
      </w:r>
    </w:p>
    <w:p w14:paraId="04361F2B" w14:textId="77777777" w:rsidR="00271FA2" w:rsidRPr="00F06DE2" w:rsidRDefault="00D35E51" w:rsidP="007D72A2">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Контролният орган трябва да има разрешение да присъства като наблюдател на процеса на оценка на риска.</w:t>
      </w:r>
    </w:p>
    <w:p w14:paraId="2B566D45" w14:textId="77777777" w:rsidR="00271FA2" w:rsidRPr="00F06DE2" w:rsidRDefault="00D35E51" w:rsidP="007D72A2">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5.</w:t>
      </w:r>
      <w:r w:rsidRPr="00F06DE2">
        <w:rPr>
          <w:rFonts w:ascii="Times New Roman" w:hAnsi="Times New Roman" w:cs="Times New Roman"/>
          <w:b w:val="0"/>
          <w:sz w:val="24"/>
          <w:szCs w:val="24"/>
          <w:lang w:val="ru-RU"/>
        </w:rPr>
        <w:tab/>
        <w:t>Оценката на риска гарантира, че рисковете се елиминират, когато е възможно. Рисковете, които не могат да бъдат напълно елиминирани, трябва да бъдат смекчени до приемливо ниво в съответствие с точка 6. Подробностите за рисковете и мерките, чрез които те се смекчават, трябва да бъдат документирани по начин, удовлетворяващ контролния орган.</w:t>
      </w:r>
    </w:p>
    <w:p w14:paraId="2DAAAFD5" w14:textId="77777777" w:rsidR="00271FA2" w:rsidRPr="00F06DE2" w:rsidRDefault="00D35E51" w:rsidP="007D72A2">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6.</w:t>
      </w:r>
      <w:r w:rsidRPr="00F06DE2">
        <w:rPr>
          <w:rFonts w:ascii="Times New Roman" w:hAnsi="Times New Roman" w:cs="Times New Roman"/>
          <w:b w:val="0"/>
          <w:sz w:val="24"/>
          <w:szCs w:val="24"/>
          <w:lang w:val="ru-RU"/>
        </w:rPr>
        <w:tab/>
        <w:t>Плавателните средства съгласно член 30.01, точка 1 трябва да отговарят на следните изисквания:</w:t>
      </w:r>
    </w:p>
    <w:p w14:paraId="082847F6"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rPr>
        <w:t>a</w:t>
      </w:r>
      <w:r w:rsidRPr="00F06DE2">
        <w:rPr>
          <w:rFonts w:ascii="Times New Roman" w:hAnsi="Times New Roman" w:cs="Times New Roman"/>
          <w:b w:val="0"/>
          <w:sz w:val="24"/>
          <w:szCs w:val="24"/>
          <w:lang w:val="ru-RU"/>
        </w:rPr>
        <w:t>) Единична повреда в части на плавателното средство, които могат да съдържат гориво или опасни изпарения, като двигатели, резервоари за гориво и свързани тръбопроводи, не трябва да води до опасна ситуация;</w:t>
      </w:r>
    </w:p>
    <w:p w14:paraId="0C5D6A15"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Нивото на безопасност, надеждност и безотказност на плавателното средство трябва да бъде поне еквивалентно на това на плавателно средство с основни и спомагателни машини, използващи горива с точка на възпламеняване над 55°</w:t>
      </w:r>
      <w:r w:rsidRPr="00F06DE2">
        <w:rPr>
          <w:rFonts w:ascii="Times New Roman" w:hAnsi="Times New Roman" w:cs="Times New Roman"/>
          <w:b w:val="0"/>
          <w:sz w:val="24"/>
          <w:szCs w:val="24"/>
        </w:rPr>
        <w:t>C</w:t>
      </w:r>
      <w:r w:rsidRPr="00F06DE2">
        <w:rPr>
          <w:rFonts w:ascii="Times New Roman" w:hAnsi="Times New Roman" w:cs="Times New Roman"/>
          <w:b w:val="0"/>
          <w:sz w:val="24"/>
          <w:szCs w:val="24"/>
          <w:lang w:val="ru-RU"/>
        </w:rPr>
        <w:t>;</w:t>
      </w:r>
    </w:p>
    <w:p w14:paraId="76BB6691"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Вероятността и последствията от опасности, свързани с горивото, трябва да бъдат сведени до минимум чрез проектирането на системата. Неуспехът на мерките за намаляване на риска води до мерки за смекчаване на въздействието върху безопасността;</w:t>
      </w:r>
    </w:p>
    <w:p w14:paraId="0E5AB8B2"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г) Снабдяването, съхранението и бункероването на гориво трябва да бъдат подходящи за приемане и задържане на гориво в необходимото състояние без изтичане или изпускане при нормални работни условия;</w:t>
      </w:r>
    </w:p>
    <w:p w14:paraId="496C4D6B"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д) Пожар или експлозия в части на плавателното средство, които могат да съдържат гориво или опасни изпарения, не трябва:</w:t>
      </w:r>
    </w:p>
    <w:p w14:paraId="5AE2EA05"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аа) да повреди или наруши правилното функциониране на оборудване/системи, намиращи се във всяко пространство, различно от това, в което се е случил инцидентът;</w:t>
      </w:r>
    </w:p>
    <w:p w14:paraId="4E38AE16"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бб) да повреди плавателното средство по такъв начин, че да настъпи наводняване с вода под главната палуба или прогресивно наводняване;</w:t>
      </w:r>
    </w:p>
    <w:p w14:paraId="6F7B6DE3"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вв) да повредят работните зони или помещенията по такъв начин, че хората, които остават в такива зони при нормални работни условия, да бъдат наранени или изложени на високи температури или токсични вещества;</w:t>
      </w:r>
    </w:p>
    <w:p w14:paraId="6D338CE1"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гг) нараняване на хора, както и предотвратяване на достъпа на хората до животоспасяващи средства или възпрепятстване на пътищата за евакуация чрез физическо блокиране, топлина или токсични вещества.</w:t>
      </w:r>
    </w:p>
    <w:p w14:paraId="6DB097D6" w14:textId="77777777" w:rsidR="00271FA2" w:rsidRPr="00F06DE2" w:rsidRDefault="00D35E51" w:rsidP="007D72A2">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lastRenderedPageBreak/>
        <w:t>7.</w:t>
      </w:r>
      <w:r w:rsidRPr="00F06DE2">
        <w:rPr>
          <w:rFonts w:ascii="Times New Roman" w:hAnsi="Times New Roman" w:cs="Times New Roman"/>
          <w:b w:val="0"/>
          <w:sz w:val="24"/>
          <w:szCs w:val="24"/>
          <w:lang w:val="ru-RU"/>
        </w:rPr>
        <w:tab/>
        <w:t>Със съгласието на контролния орган обхватът на оценката на риска може да изключи концепции изцяло или частично, които преди това са били подложени на оценка на риска, при условие че:</w:t>
      </w:r>
    </w:p>
    <w:p w14:paraId="2ABDCF93" w14:textId="77777777" w:rsidR="00271FA2" w:rsidRPr="00F06DE2" w:rsidRDefault="00D35E51" w:rsidP="00F54BB0">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а) няма промени в устройството или дизайна, местоположението на инсталацията, режима на работа, вида на горивата, използването на околните пространства или в броя на изложените лица, и</w:t>
      </w:r>
    </w:p>
    <w:p w14:paraId="4ED1045B" w14:textId="77777777" w:rsidR="00271FA2" w:rsidRPr="00F06DE2" w:rsidRDefault="00D35E51" w:rsidP="00F54BB0">
      <w:pPr>
        <w:pStyle w:val="ES-Titre3"/>
        <w:spacing w:line="240" w:lineRule="atLeast"/>
        <w:ind w:leftChars="236" w:left="519"/>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са включени смекчаващи мерки, предприети в резултат на предишни оценки на риска.</w:t>
      </w:r>
    </w:p>
    <w:p w14:paraId="43A0FB9D" w14:textId="77777777" w:rsidR="00271FA2" w:rsidRPr="00F06DE2" w:rsidRDefault="00D35E51" w:rsidP="00F54BB0">
      <w:pPr>
        <w:pStyle w:val="ES-Titre3"/>
        <w:spacing w:after="0" w:line="240" w:lineRule="atLeast"/>
        <w:rPr>
          <w:rFonts w:ascii="Times New Roman" w:hAnsi="Times New Roman" w:cs="Times New Roman"/>
          <w:sz w:val="24"/>
          <w:szCs w:val="24"/>
          <w:lang w:val="ru-RU"/>
        </w:rPr>
      </w:pPr>
      <w:bookmarkStart w:id="522" w:name="_Toc535827705"/>
      <w:bookmarkStart w:id="523" w:name="_Toc491854264"/>
      <w:r w:rsidRPr="00F06DE2">
        <w:rPr>
          <w:rFonts w:ascii="Times New Roman" w:hAnsi="Times New Roman" w:cs="Times New Roman"/>
          <w:sz w:val="24"/>
          <w:szCs w:val="24"/>
          <w:lang w:val="ru-RU"/>
        </w:rPr>
        <w:t>Член 30.05</w:t>
      </w:r>
      <w:bookmarkStart w:id="524" w:name="_Toc491854265"/>
      <w:bookmarkStart w:id="525" w:name="_Toc535827706"/>
      <w:bookmarkEnd w:id="522"/>
      <w:bookmarkEnd w:id="523"/>
    </w:p>
    <w:p w14:paraId="11E186BC"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Организация на безопасността</w:t>
      </w:r>
    </w:p>
    <w:p w14:paraId="13FAA5D4" w14:textId="77777777" w:rsidR="00271FA2" w:rsidRPr="00F06DE2" w:rsidRDefault="00D35E51" w:rsidP="00F54BB0">
      <w:pPr>
        <w:pStyle w:val="ES-Titre3"/>
        <w:spacing w:after="0" w:line="240" w:lineRule="atLeast"/>
        <w:ind w:left="709" w:hanging="709"/>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1.</w:t>
      </w:r>
      <w:r w:rsidRPr="00F06DE2">
        <w:rPr>
          <w:rFonts w:ascii="Times New Roman" w:hAnsi="Times New Roman" w:cs="Times New Roman"/>
          <w:b w:val="0"/>
          <w:sz w:val="24"/>
          <w:szCs w:val="24"/>
          <w:lang w:val="ru-RU"/>
        </w:rPr>
        <w:tab/>
        <w:t>На борда на плавателното средство се осигурява разписание за безопасност съгласно член 30.01. разписанието за безопасност включва инструкции за безопасност съгласно точка 2 и план за безопасност съгласно точка 3 на плавателното средство.</w:t>
      </w:r>
    </w:p>
    <w:p w14:paraId="11B86D17" w14:textId="77777777" w:rsidR="00271FA2" w:rsidRPr="00F06DE2" w:rsidRDefault="00D35E51" w:rsidP="00F54BB0">
      <w:pPr>
        <w:pStyle w:val="ES-Titre3"/>
        <w:spacing w:after="0" w:line="240" w:lineRule="atLeast"/>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2.</w:t>
      </w:r>
      <w:r w:rsidRPr="00F06DE2">
        <w:rPr>
          <w:rFonts w:ascii="Times New Roman" w:hAnsi="Times New Roman" w:cs="Times New Roman"/>
          <w:b w:val="0"/>
          <w:sz w:val="24"/>
          <w:szCs w:val="24"/>
          <w:lang w:val="ru-RU"/>
        </w:rPr>
        <w:tab/>
        <w:t>Тези инструкции за безопасност включват най-малко следната информация:</w:t>
      </w:r>
    </w:p>
    <w:p w14:paraId="6B3DD23C"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rPr>
        <w:t>a</w:t>
      </w:r>
      <w:r w:rsidRPr="00F06DE2">
        <w:rPr>
          <w:rFonts w:ascii="Times New Roman" w:hAnsi="Times New Roman" w:cs="Times New Roman"/>
          <w:b w:val="0"/>
          <w:sz w:val="24"/>
          <w:szCs w:val="24"/>
          <w:lang w:val="ru-RU"/>
        </w:rPr>
        <w:t xml:space="preserve">) аварийно спиране на системата, </w:t>
      </w:r>
    </w:p>
    <w:p w14:paraId="3DB7418E" w14:textId="77777777" w:rsidR="00271FA2" w:rsidRPr="00F06DE2" w:rsidRDefault="00D35E51" w:rsidP="00F54BB0">
      <w:pPr>
        <w:pStyle w:val="ES-Titre3"/>
        <w:spacing w:after="0" w:line="240" w:lineRule="atLeast"/>
        <w:ind w:left="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 xml:space="preserve">б) мерки, които да бъдат предприети в случай на случайно изпускане на течни или газообразни горива, например при зареждане с гориво, </w:t>
      </w:r>
    </w:p>
    <w:p w14:paraId="3A5AC4DF" w14:textId="77777777" w:rsidR="00271FA2" w:rsidRPr="00F06DE2" w:rsidRDefault="00D35E51" w:rsidP="00F54BB0">
      <w:pPr>
        <w:pStyle w:val="ES-Titre3"/>
        <w:spacing w:after="0" w:line="240" w:lineRule="atLeast"/>
        <w:ind w:left="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мерки, които да бъдат предприети в случай на пожар или при други инциденти на борда;</w:t>
      </w:r>
    </w:p>
    <w:p w14:paraId="473F6226"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г) мерки, които трябва да бъдат предприети в случай на сблъсък;</w:t>
      </w:r>
    </w:p>
    <w:p w14:paraId="65A51C0D"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д) използване на оборудване за безопасност;</w:t>
      </w:r>
    </w:p>
    <w:p w14:paraId="0A320D2C"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е) подаване на предупредителен сигнал; и</w:t>
      </w:r>
    </w:p>
    <w:p w14:paraId="3D2FFA6C" w14:textId="77777777" w:rsidR="00271FA2" w:rsidRPr="00F06DE2" w:rsidRDefault="00D35E51" w:rsidP="00F54BB0">
      <w:pPr>
        <w:pStyle w:val="ES-Titre3"/>
        <w:spacing w:after="0" w:line="240" w:lineRule="atLeast"/>
        <w:ind w:left="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ж) процедури за евакуация.</w:t>
      </w:r>
    </w:p>
    <w:p w14:paraId="74A6C5DE" w14:textId="69361F63" w:rsidR="00271FA2" w:rsidRPr="00F06DE2" w:rsidRDefault="00D35E51" w:rsidP="00F54BB0">
      <w:pPr>
        <w:rPr>
          <w:rFonts w:ascii="Times New Roman" w:hAnsi="Times New Roman" w:cs="Times New Roman"/>
          <w:b/>
          <w:strike/>
          <w:lang w:val="ru-RU"/>
        </w:rPr>
      </w:pPr>
      <w:r w:rsidRPr="00F06DE2">
        <w:rPr>
          <w:rFonts w:ascii="Times New Roman" w:hAnsi="Times New Roman" w:cs="Times New Roman"/>
          <w:lang w:val="ru-RU"/>
        </w:rPr>
        <w:t>3.</w:t>
      </w:r>
      <w:r w:rsidRPr="00F06DE2">
        <w:rPr>
          <w:rFonts w:ascii="Times New Roman" w:hAnsi="Times New Roman" w:cs="Times New Roman"/>
          <w:lang w:val="ru-RU"/>
        </w:rPr>
        <w:tab/>
      </w:r>
      <w:r w:rsidR="00BA45A5" w:rsidRPr="00F06DE2">
        <w:rPr>
          <w:rFonts w:ascii="Times New Roman" w:hAnsi="Times New Roman" w:cs="Times New Roman"/>
          <w:lang w:val="ru-RU"/>
        </w:rPr>
        <w:t xml:space="preserve">Планът за безопасност </w:t>
      </w:r>
      <w:r w:rsidR="00775E82" w:rsidRPr="00F06DE2">
        <w:rPr>
          <w:rFonts w:ascii="Times New Roman" w:hAnsi="Times New Roman" w:cs="Times New Roman"/>
          <w:lang w:val="ru-RU"/>
        </w:rPr>
        <w:t xml:space="preserve">трябва да </w:t>
      </w:r>
      <w:r w:rsidR="00BA45A5" w:rsidRPr="00F06DE2">
        <w:rPr>
          <w:rFonts w:ascii="Times New Roman" w:hAnsi="Times New Roman" w:cs="Times New Roman"/>
          <w:lang w:val="ru-RU"/>
        </w:rPr>
        <w:t>включва информация най-малко за следните зони и оборудване:</w:t>
      </w:r>
    </w:p>
    <w:p w14:paraId="3D01BE2D"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rPr>
        <w:t>a</w:t>
      </w:r>
      <w:r w:rsidRPr="00F06DE2">
        <w:rPr>
          <w:rFonts w:ascii="Times New Roman" w:hAnsi="Times New Roman" w:cs="Times New Roman"/>
          <w:b w:val="0"/>
          <w:sz w:val="24"/>
          <w:szCs w:val="24"/>
          <w:lang w:val="ru-RU"/>
        </w:rPr>
        <w:t>) опасни зони;</w:t>
      </w:r>
    </w:p>
    <w:p w14:paraId="06E986D0" w14:textId="77777777" w:rsidR="00271FA2" w:rsidRPr="00F06DE2" w:rsidRDefault="00D35E51" w:rsidP="00F54BB0">
      <w:pPr>
        <w:pStyle w:val="ES-Titre3"/>
        <w:spacing w:after="0" w:line="240" w:lineRule="atLeast"/>
        <w:ind w:left="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маршрути за евакуация, аварийни изходи и газонепроницаемо отделени помещения;</w:t>
      </w:r>
    </w:p>
    <w:p w14:paraId="47E59175"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спасително оборудване и корабни лодки;</w:t>
      </w:r>
    </w:p>
    <w:p w14:paraId="4D0A22AD"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г) пожарогасители, противопожарни системи и спринклерни системи;</w:t>
      </w:r>
    </w:p>
    <w:p w14:paraId="18E11347"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д) алармени системи;</w:t>
      </w:r>
    </w:p>
    <w:p w14:paraId="0DAD48C3"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е) устройства за управление на аварийните прекъсвачи;</w:t>
      </w:r>
    </w:p>
    <w:p w14:paraId="4BCD1CA2"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ж) противопожарни клапани;</w:t>
      </w:r>
    </w:p>
    <w:p w14:paraId="16D04ABF"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з) аварийни източници на енергия;</w:t>
      </w:r>
    </w:p>
    <w:p w14:paraId="4FD03756"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и) устройства за управление на вентилационната система;</w:t>
      </w:r>
    </w:p>
    <w:p w14:paraId="01E7AFB1"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й) уреди за управление на линиите за подаване на гориво; и</w:t>
      </w:r>
    </w:p>
    <w:p w14:paraId="304BDDC9"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к) оборудване за безопасност.</w:t>
      </w:r>
    </w:p>
    <w:p w14:paraId="6988429C" w14:textId="77777777" w:rsidR="00271FA2" w:rsidRPr="00F06DE2" w:rsidRDefault="00D35E51" w:rsidP="00F54BB0">
      <w:pPr>
        <w:pStyle w:val="ES-Titre3"/>
        <w:spacing w:after="0" w:line="240" w:lineRule="atLeast"/>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4.</w:t>
      </w:r>
      <w:r w:rsidRPr="00F06DE2">
        <w:rPr>
          <w:rFonts w:ascii="Times New Roman" w:hAnsi="Times New Roman" w:cs="Times New Roman"/>
          <w:b w:val="0"/>
          <w:sz w:val="24"/>
          <w:szCs w:val="24"/>
          <w:lang w:val="ru-RU"/>
        </w:rPr>
        <w:tab/>
        <w:t xml:space="preserve">Разписанията по безопасност: </w:t>
      </w:r>
    </w:p>
    <w:p w14:paraId="2B703C4E" w14:textId="77777777" w:rsidR="00271FA2" w:rsidRPr="00F06DE2" w:rsidRDefault="00D35E51" w:rsidP="00F54BB0">
      <w:pPr>
        <w:pStyle w:val="ES-Titre3"/>
        <w:spacing w:after="0" w:line="240" w:lineRule="atLeast"/>
        <w:ind w:firstLine="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rPr>
        <w:t>a</w:t>
      </w:r>
      <w:r w:rsidRPr="00F06DE2">
        <w:rPr>
          <w:rFonts w:ascii="Times New Roman" w:hAnsi="Times New Roman" w:cs="Times New Roman"/>
          <w:b w:val="0"/>
          <w:sz w:val="24"/>
          <w:szCs w:val="24"/>
          <w:lang w:val="ru-RU"/>
        </w:rPr>
        <w:t xml:space="preserve">) се подпечатват надлежно от контролния орган; и </w:t>
      </w:r>
    </w:p>
    <w:p w14:paraId="0BC649D1" w14:textId="77777777" w:rsidR="00271FA2" w:rsidRPr="00F06DE2" w:rsidRDefault="00D35E51" w:rsidP="00F54BB0">
      <w:pPr>
        <w:pStyle w:val="ES-Titre3"/>
        <w:spacing w:after="0" w:line="240" w:lineRule="atLeast"/>
        <w:ind w:left="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се показват на видно място на едно или повече подходящи места на борда.</w:t>
      </w:r>
    </w:p>
    <w:p w14:paraId="510A835C" w14:textId="630B5E05" w:rsidR="00271FA2" w:rsidRPr="00F06DE2" w:rsidRDefault="00D35E51" w:rsidP="00F54BB0">
      <w:pPr>
        <w:pStyle w:val="ES-Titre3"/>
        <w:spacing w:after="0" w:line="240" w:lineRule="atLeast"/>
        <w:ind w:left="720" w:hanging="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5.</w:t>
      </w:r>
      <w:r w:rsidRPr="00F06DE2">
        <w:rPr>
          <w:rFonts w:ascii="Times New Roman" w:hAnsi="Times New Roman" w:cs="Times New Roman"/>
          <w:b w:val="0"/>
          <w:sz w:val="24"/>
          <w:szCs w:val="24"/>
          <w:lang w:val="ru-RU"/>
        </w:rPr>
        <w:tab/>
        <w:t xml:space="preserve">Подробно ръководство за експлоатация на задвижващата </w:t>
      </w:r>
      <w:r w:rsidR="00F14E7E" w:rsidRPr="00F06DE2">
        <w:rPr>
          <w:rFonts w:ascii="Times New Roman" w:hAnsi="Times New Roman" w:cs="Times New Roman"/>
          <w:b w:val="0"/>
          <w:sz w:val="24"/>
          <w:szCs w:val="24"/>
          <w:lang w:val="ru-RU"/>
        </w:rPr>
        <w:t xml:space="preserve">и </w:t>
      </w:r>
      <w:r w:rsidRPr="00F06DE2">
        <w:rPr>
          <w:rFonts w:ascii="Times New Roman" w:hAnsi="Times New Roman" w:cs="Times New Roman"/>
          <w:b w:val="0"/>
          <w:sz w:val="24"/>
          <w:szCs w:val="24"/>
          <w:lang w:val="ru-RU"/>
        </w:rPr>
        <w:t>спомагателната система се предоставя на борда на плавателното средство съгласно член 30.01 и трябва най-малко да:</w:t>
      </w:r>
    </w:p>
    <w:p w14:paraId="1B5E2F40" w14:textId="77777777" w:rsidR="00271FA2" w:rsidRPr="00F06DE2" w:rsidRDefault="00D35E51" w:rsidP="00F54BB0">
      <w:pPr>
        <w:pStyle w:val="ES-Titre3"/>
        <w:spacing w:after="0" w:line="240" w:lineRule="atLeast"/>
        <w:ind w:left="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а) съдържа практически обяснения относно системата за бункероване, системата за задържане на горивото, системата за тръбопроводи за гориво, системата за подаване на гориво, помещението за двигател или преобразувател на енергия, вентилационна система, предотвратяване и контрол на течове, система за наблюдение и безопасност;</w:t>
      </w:r>
    </w:p>
    <w:p w14:paraId="07476107" w14:textId="77777777" w:rsidR="00271FA2" w:rsidRPr="00F06DE2" w:rsidRDefault="00D35E51" w:rsidP="00F54BB0">
      <w:pPr>
        <w:pStyle w:val="ES-Titre3"/>
        <w:spacing w:after="0" w:line="240" w:lineRule="atLeast"/>
        <w:ind w:left="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описва операциите по зареждане, особено работата на клапаните, продухването, инертирането и освобождаването на газ;</w:t>
      </w:r>
    </w:p>
    <w:p w14:paraId="5861F48D" w14:textId="77777777" w:rsidR="00271FA2" w:rsidRPr="00F06DE2" w:rsidRDefault="00D35E51" w:rsidP="00F54BB0">
      <w:pPr>
        <w:pStyle w:val="ES-Titre3"/>
        <w:spacing w:after="0" w:line="240" w:lineRule="atLeast"/>
        <w:ind w:left="720"/>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описва съответния метод за електрическа изолация по време на операции по бункероване; и</w:t>
      </w:r>
    </w:p>
    <w:p w14:paraId="40EFA91A" w14:textId="77777777" w:rsidR="00271FA2" w:rsidRPr="00F06DE2" w:rsidRDefault="00D35E51" w:rsidP="00473C26">
      <w:pPr>
        <w:pStyle w:val="ES-Titre3"/>
        <w:spacing w:line="240" w:lineRule="atLeast"/>
        <w:ind w:leftChars="299" w:left="658"/>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lastRenderedPageBreak/>
        <w:t>г) описва подробностите за рисковете, идентифицирани в оценката на риска, както е посочено в член 30.04, и средствата, чрез които те се смекчават.</w:t>
      </w:r>
    </w:p>
    <w:p w14:paraId="45372928" w14:textId="77777777" w:rsidR="00271FA2" w:rsidRPr="00F06DE2" w:rsidRDefault="00D35E51" w:rsidP="00473C26">
      <w:pPr>
        <w:pStyle w:val="ES-Titre3"/>
        <w:spacing w:after="0"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30.06</w:t>
      </w:r>
      <w:bookmarkStart w:id="526" w:name="_Toc491854266"/>
      <w:bookmarkStart w:id="527" w:name="_Toc535827707"/>
      <w:bookmarkEnd w:id="524"/>
      <w:bookmarkEnd w:id="525"/>
    </w:p>
    <w:p w14:paraId="7032ADC8" w14:textId="77777777" w:rsidR="00271FA2" w:rsidRPr="00F06DE2" w:rsidRDefault="00D35E51" w:rsidP="00473C26">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Обозначаване</w:t>
      </w:r>
    </w:p>
    <w:p w14:paraId="6F25565A" w14:textId="41D9B6C4" w:rsidR="00271FA2" w:rsidRPr="00F06DE2" w:rsidRDefault="0038706D" w:rsidP="00473C26">
      <w:pPr>
        <w:spacing w:after="240"/>
        <w:jc w:val="both"/>
        <w:rPr>
          <w:rFonts w:ascii="Times New Roman" w:hAnsi="Times New Roman" w:cs="Times New Roman"/>
          <w:lang w:val="ru-RU"/>
        </w:rPr>
      </w:pPr>
      <w:r w:rsidRPr="00F06DE2">
        <w:rPr>
          <w:rFonts w:ascii="Times New Roman" w:hAnsi="Times New Roman" w:cs="Times New Roman"/>
          <w:lang w:val="ru-RU"/>
        </w:rPr>
        <w:t>Сервизните помещения и компонентите на системата трябва да бъдат надлежно маркирани със символ</w:t>
      </w:r>
      <w:r w:rsidR="00811905" w:rsidRPr="00F06DE2">
        <w:rPr>
          <w:rFonts w:ascii="Times New Roman" w:hAnsi="Times New Roman" w:cs="Times New Roman"/>
          <w:lang w:val="ru-RU"/>
        </w:rPr>
        <w:t xml:space="preserve">, с дължина на страната най-малко 10 </w:t>
      </w:r>
      <w:r w:rsidR="00811905" w:rsidRPr="00F06DE2">
        <w:rPr>
          <w:rFonts w:ascii="Times New Roman" w:hAnsi="Times New Roman" w:cs="Times New Roman"/>
        </w:rPr>
        <w:t>cm</w:t>
      </w:r>
      <w:r w:rsidR="00811905" w:rsidRPr="00F06DE2">
        <w:rPr>
          <w:rFonts w:ascii="Times New Roman" w:hAnsi="Times New Roman" w:cs="Times New Roman"/>
          <w:lang w:val="ru-RU"/>
        </w:rPr>
        <w:t xml:space="preserve"> </w:t>
      </w:r>
      <w:r w:rsidRPr="00F06DE2">
        <w:rPr>
          <w:rFonts w:ascii="Times New Roman" w:hAnsi="Times New Roman" w:cs="Times New Roman"/>
          <w:lang w:val="ru-RU"/>
        </w:rPr>
        <w:t xml:space="preserve"> в съответствие със съответната фигура от приложение 4, който ясно показва за какви горива се използват</w:t>
      </w:r>
      <w:r w:rsidR="00811905" w:rsidRPr="00F06DE2">
        <w:rPr>
          <w:rFonts w:ascii="Times New Roman" w:hAnsi="Times New Roman" w:cs="Times New Roman"/>
          <w:lang w:val="ru-RU"/>
        </w:rPr>
        <w:t>.</w:t>
      </w:r>
    </w:p>
    <w:p w14:paraId="066EBC07" w14:textId="77777777" w:rsidR="00271FA2" w:rsidRPr="00F06DE2" w:rsidRDefault="00D35E51" w:rsidP="00473C26">
      <w:pPr>
        <w:pStyle w:val="ES-Titre3"/>
        <w:spacing w:after="0"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30.07</w:t>
      </w:r>
      <w:bookmarkEnd w:id="526"/>
      <w:bookmarkEnd w:id="527"/>
    </w:p>
    <w:p w14:paraId="612FF96F" w14:textId="77777777" w:rsidR="00271FA2" w:rsidRPr="00F06DE2" w:rsidRDefault="00D35E51" w:rsidP="00473C26">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Независимо задвижване</w:t>
      </w:r>
    </w:p>
    <w:p w14:paraId="08810D91" w14:textId="77777777" w:rsidR="00271FA2" w:rsidRPr="00F06DE2" w:rsidRDefault="00D35E51">
      <w:pPr>
        <w:pStyle w:val="ES-Titre3"/>
        <w:spacing w:line="240" w:lineRule="atLeast"/>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случай на автоматично изключване на системата за задвижване или части от системата за задвижване, плавателното средство трябва да може да извършва управление със собствен ход.</w:t>
      </w:r>
    </w:p>
    <w:p w14:paraId="59F218EA" w14:textId="77777777" w:rsidR="00271FA2" w:rsidRPr="00F06DE2" w:rsidRDefault="00D35E51" w:rsidP="00473C26">
      <w:pPr>
        <w:pStyle w:val="ES-Titre3"/>
        <w:spacing w:after="0"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Член30.08</w:t>
      </w:r>
    </w:p>
    <w:p w14:paraId="37B2AD6A" w14:textId="77777777" w:rsidR="00271FA2" w:rsidRPr="00F06DE2" w:rsidRDefault="00D35E51" w:rsidP="00473C26">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Пожарна безопасност</w:t>
      </w:r>
    </w:p>
    <w:p w14:paraId="5CB37E44" w14:textId="77777777" w:rsidR="00271FA2" w:rsidRPr="00F06DE2" w:rsidRDefault="00D35E51" w:rsidP="00473C26">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1.</w:t>
      </w:r>
      <w:r w:rsidRPr="00F06DE2">
        <w:rPr>
          <w:rFonts w:ascii="Times New Roman" w:hAnsi="Times New Roman" w:cs="Times New Roman"/>
          <w:b w:val="0"/>
          <w:sz w:val="24"/>
          <w:szCs w:val="24"/>
          <w:lang w:val="ru-RU"/>
        </w:rPr>
        <w:tab/>
        <w:t>На борда се осигуряват мерки за откриване, защита и гасене на пожар, подходящи за съответните опасности.</w:t>
      </w:r>
    </w:p>
    <w:p w14:paraId="6CFFF0D5" w14:textId="1AA7B389" w:rsidR="00271FA2" w:rsidRPr="00F06DE2" w:rsidRDefault="00D35E51" w:rsidP="00473C26">
      <w:pPr>
        <w:ind w:left="567" w:hanging="567"/>
        <w:rPr>
          <w:rFonts w:ascii="Times New Roman" w:hAnsi="Times New Roman" w:cs="Times New Roman"/>
          <w:strike/>
          <w:lang w:val="ru-RU"/>
        </w:rPr>
      </w:pPr>
      <w:r w:rsidRPr="00F06DE2">
        <w:rPr>
          <w:rFonts w:ascii="Times New Roman" w:hAnsi="Times New Roman" w:cs="Times New Roman"/>
          <w:lang w:val="ru-RU"/>
        </w:rPr>
        <w:t>2.</w:t>
      </w:r>
      <w:r w:rsidRPr="00F06DE2">
        <w:rPr>
          <w:rFonts w:ascii="Times New Roman" w:hAnsi="Times New Roman" w:cs="Times New Roman"/>
          <w:lang w:val="ru-RU"/>
        </w:rPr>
        <w:tab/>
      </w:r>
      <w:r w:rsidR="0038706D" w:rsidRPr="00F06DE2">
        <w:rPr>
          <w:rFonts w:ascii="Times New Roman" w:hAnsi="Times New Roman" w:cs="Times New Roman"/>
          <w:lang w:val="ru-RU"/>
        </w:rPr>
        <w:t xml:space="preserve">Трябва да бъде осигурена подходяща стационарна противопожарна алармена система за всички </w:t>
      </w:r>
      <w:r w:rsidR="00775E82" w:rsidRPr="00F06DE2">
        <w:rPr>
          <w:rFonts w:ascii="Times New Roman" w:hAnsi="Times New Roman" w:cs="Times New Roman"/>
          <w:lang w:val="ru-RU"/>
        </w:rPr>
        <w:t xml:space="preserve"> </w:t>
      </w:r>
      <w:r w:rsidR="000002F7" w:rsidRPr="00F06DE2">
        <w:rPr>
          <w:rFonts w:ascii="Times New Roman" w:hAnsi="Times New Roman" w:cs="Times New Roman"/>
          <w:lang w:val="ru-RU"/>
        </w:rPr>
        <w:t>помещения</w:t>
      </w:r>
      <w:r w:rsidR="0038706D" w:rsidRPr="00F06DE2">
        <w:rPr>
          <w:rFonts w:ascii="Times New Roman" w:hAnsi="Times New Roman" w:cs="Times New Roman"/>
          <w:lang w:val="ru-RU"/>
        </w:rPr>
        <w:t xml:space="preserve"> и </w:t>
      </w:r>
      <w:r w:rsidR="00A56D9F" w:rsidRPr="00F06DE2">
        <w:rPr>
          <w:rFonts w:ascii="Times New Roman" w:hAnsi="Times New Roman" w:cs="Times New Roman"/>
          <w:lang w:val="ru-RU"/>
        </w:rPr>
        <w:t>пространства</w:t>
      </w:r>
      <w:r w:rsidR="0038706D" w:rsidRPr="00F06DE2">
        <w:rPr>
          <w:rFonts w:ascii="Times New Roman" w:hAnsi="Times New Roman" w:cs="Times New Roman"/>
          <w:lang w:val="ru-RU"/>
        </w:rPr>
        <w:t xml:space="preserve"> на задвижващата и спомагателната система, където </w:t>
      </w:r>
      <w:r w:rsidR="00C14079" w:rsidRPr="00F06DE2">
        <w:rPr>
          <w:rFonts w:ascii="Times New Roman" w:hAnsi="Times New Roman" w:cs="Times New Roman"/>
          <w:lang w:val="ru-RU"/>
        </w:rPr>
        <w:t xml:space="preserve">може да </w:t>
      </w:r>
      <w:r w:rsidR="00775E82" w:rsidRPr="00F06DE2">
        <w:rPr>
          <w:rFonts w:ascii="Times New Roman" w:hAnsi="Times New Roman" w:cs="Times New Roman"/>
          <w:lang w:val="ru-RU"/>
        </w:rPr>
        <w:t>възник</w:t>
      </w:r>
      <w:r w:rsidR="00C14079" w:rsidRPr="00F06DE2">
        <w:rPr>
          <w:rFonts w:ascii="Times New Roman" w:hAnsi="Times New Roman" w:cs="Times New Roman"/>
          <w:lang w:val="ru-RU"/>
        </w:rPr>
        <w:t xml:space="preserve">не </w:t>
      </w:r>
      <w:r w:rsidR="0038706D" w:rsidRPr="00F06DE2">
        <w:rPr>
          <w:rFonts w:ascii="Times New Roman" w:hAnsi="Times New Roman" w:cs="Times New Roman"/>
          <w:lang w:val="ru-RU"/>
        </w:rPr>
        <w:t xml:space="preserve">пожар </w:t>
      </w:r>
      <w:r w:rsidR="00775E82" w:rsidRPr="00F06DE2">
        <w:rPr>
          <w:rFonts w:ascii="Times New Roman" w:hAnsi="Times New Roman" w:cs="Times New Roman"/>
          <w:lang w:val="ru-RU"/>
        </w:rPr>
        <w:t>им</w:t>
      </w:r>
      <w:r w:rsidR="0038706D" w:rsidRPr="00F06DE2">
        <w:rPr>
          <w:rFonts w:ascii="Times New Roman" w:hAnsi="Times New Roman" w:cs="Times New Roman"/>
          <w:lang w:val="ru-RU"/>
        </w:rPr>
        <w:t>.</w:t>
      </w:r>
    </w:p>
    <w:p w14:paraId="3EE72FF6" w14:textId="336BE6A1" w:rsidR="00271FA2" w:rsidRPr="00F06DE2" w:rsidRDefault="00D35E51" w:rsidP="00473C26">
      <w:pPr>
        <w:spacing w:after="240"/>
        <w:ind w:left="567" w:hanging="567"/>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r>
      <w:r w:rsidR="0038706D" w:rsidRPr="00F06DE2">
        <w:rPr>
          <w:rFonts w:ascii="Times New Roman" w:hAnsi="Times New Roman" w:cs="Times New Roman"/>
          <w:lang w:val="ru-RU"/>
        </w:rPr>
        <w:t xml:space="preserve">Трябва да бъде осигурена подходяща противопожарна система за всички помещения и </w:t>
      </w:r>
      <w:r w:rsidR="00A56D9F" w:rsidRPr="00F06DE2">
        <w:rPr>
          <w:rFonts w:ascii="Times New Roman" w:hAnsi="Times New Roman" w:cs="Times New Roman"/>
          <w:lang w:val="ru-RU"/>
        </w:rPr>
        <w:t xml:space="preserve"> пространства</w:t>
      </w:r>
      <w:r w:rsidR="0038706D" w:rsidRPr="00F06DE2">
        <w:rPr>
          <w:rFonts w:ascii="Times New Roman" w:hAnsi="Times New Roman" w:cs="Times New Roman"/>
          <w:lang w:val="ru-RU"/>
        </w:rPr>
        <w:t xml:space="preserve"> на задвижващата и спомагателната система.</w:t>
      </w:r>
    </w:p>
    <w:p w14:paraId="4627CD94" w14:textId="77777777" w:rsidR="00271FA2" w:rsidRPr="00F06DE2" w:rsidRDefault="00D35E51" w:rsidP="00473C26">
      <w:pPr>
        <w:pStyle w:val="ES-Titre3"/>
        <w:spacing w:after="0"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30.09</w:t>
      </w:r>
    </w:p>
    <w:p w14:paraId="00067F1C"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Електрически инсталации</w:t>
      </w:r>
    </w:p>
    <w:p w14:paraId="14470E92" w14:textId="77777777" w:rsidR="00271FA2" w:rsidRPr="00F06DE2" w:rsidRDefault="00D35E51" w:rsidP="00361961">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1.</w:t>
      </w:r>
      <w:r w:rsidRPr="00F06DE2">
        <w:rPr>
          <w:rFonts w:ascii="Times New Roman" w:hAnsi="Times New Roman" w:cs="Times New Roman"/>
          <w:b w:val="0"/>
          <w:sz w:val="24"/>
          <w:szCs w:val="24"/>
          <w:lang w:val="ru-RU"/>
        </w:rPr>
        <w:tab/>
        <w:t>В съответствие с член 10.04 оборудването за опасни зони трябва да бъде от подходящ тип според зоните, където е инсталирано такова оборудване.</w:t>
      </w:r>
    </w:p>
    <w:p w14:paraId="0506AFC4" w14:textId="77777777" w:rsidR="00271FA2" w:rsidRPr="00F06DE2" w:rsidRDefault="00D35E51" w:rsidP="00361961">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2.</w:t>
      </w:r>
      <w:r w:rsidRPr="00F06DE2">
        <w:rPr>
          <w:rFonts w:ascii="Times New Roman" w:hAnsi="Times New Roman" w:cs="Times New Roman"/>
          <w:b w:val="0"/>
          <w:sz w:val="24"/>
          <w:szCs w:val="24"/>
          <w:lang w:val="ru-RU"/>
        </w:rPr>
        <w:tab/>
        <w:t>Системите за производство и разпределение на електроенергия и свързаните с тях системи за управление се проектират, така че единична повреда да не доведе до изпускане на гориво.</w:t>
      </w:r>
    </w:p>
    <w:p w14:paraId="6C91A03A" w14:textId="77777777" w:rsidR="00271FA2" w:rsidRPr="00F06DE2" w:rsidRDefault="00D35E51" w:rsidP="00361961">
      <w:pPr>
        <w:pStyle w:val="ES-Titre3"/>
        <w:spacing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3.</w:t>
      </w:r>
      <w:r w:rsidRPr="00F06DE2">
        <w:rPr>
          <w:rFonts w:ascii="Times New Roman" w:hAnsi="Times New Roman" w:cs="Times New Roman"/>
          <w:b w:val="0"/>
          <w:sz w:val="24"/>
          <w:szCs w:val="24"/>
          <w:lang w:val="ru-RU"/>
        </w:rPr>
        <w:tab/>
        <w:t>Осветителната система в опасните зони трябва да бъде разделена между най-малко две разклонени вериги. Всички превключватели и защитни устройства трябва да прекъсват всички полюси и фази и трябва да бъдат разположени в неопасна зона.</w:t>
      </w:r>
    </w:p>
    <w:p w14:paraId="29BCB74B" w14:textId="0AAF2EF1" w:rsidR="00271FA2" w:rsidRPr="00F06DE2" w:rsidRDefault="00D35E51" w:rsidP="00361961">
      <w:pPr>
        <w:pStyle w:val="ES-Titre3"/>
        <w:spacing w:after="0"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30.10</w:t>
      </w:r>
    </w:p>
    <w:p w14:paraId="47D08100" w14:textId="77777777" w:rsidR="00271FA2" w:rsidRPr="00F06DE2" w:rsidRDefault="00D35E51" w:rsidP="0036196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Системи за контрол, мониторинг и безопасност</w:t>
      </w:r>
    </w:p>
    <w:p w14:paraId="24F1C527" w14:textId="7857A77A" w:rsidR="00271FA2" w:rsidRPr="00F06DE2" w:rsidRDefault="00D35E51" w:rsidP="00361961">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1.</w:t>
      </w:r>
      <w:r w:rsidRPr="00F06DE2">
        <w:rPr>
          <w:rFonts w:ascii="Times New Roman" w:hAnsi="Times New Roman" w:cs="Times New Roman"/>
          <w:sz w:val="24"/>
          <w:szCs w:val="24"/>
          <w:lang w:val="ru-RU"/>
        </w:rPr>
        <w:tab/>
      </w:r>
      <w:r w:rsidR="00C54C22" w:rsidRPr="00F06DE2">
        <w:rPr>
          <w:rFonts w:ascii="Times New Roman" w:hAnsi="Times New Roman" w:cs="Times New Roman"/>
          <w:b w:val="0"/>
          <w:sz w:val="24"/>
          <w:szCs w:val="24"/>
          <w:lang w:val="ru-RU"/>
        </w:rPr>
        <w:t>Всяка</w:t>
      </w:r>
      <w:r w:rsidR="00C54C22" w:rsidRPr="00F06DE2">
        <w:rPr>
          <w:rFonts w:ascii="Times New Roman" w:hAnsi="Times New Roman" w:cs="Times New Roman"/>
          <w:sz w:val="24"/>
          <w:szCs w:val="24"/>
          <w:lang w:val="ru-RU"/>
        </w:rPr>
        <w:t xml:space="preserve"> </w:t>
      </w:r>
      <w:r w:rsidR="00C54C22" w:rsidRPr="00F06DE2">
        <w:rPr>
          <w:rFonts w:ascii="Times New Roman" w:hAnsi="Times New Roman" w:cs="Times New Roman"/>
          <w:b w:val="0"/>
          <w:sz w:val="24"/>
          <w:szCs w:val="24"/>
          <w:lang w:val="ru-RU"/>
        </w:rPr>
        <w:t xml:space="preserve">задвижваща и  всяка </w:t>
      </w:r>
      <w:r w:rsidRPr="00F06DE2">
        <w:rPr>
          <w:rFonts w:ascii="Times New Roman" w:hAnsi="Times New Roman" w:cs="Times New Roman"/>
          <w:b w:val="0"/>
          <w:sz w:val="24"/>
          <w:szCs w:val="24"/>
          <w:lang w:val="ru-RU"/>
        </w:rPr>
        <w:t xml:space="preserve">спомагателна система на плавателното средство съгласно член 30.01 </w:t>
      </w:r>
      <w:r w:rsidR="000809D7" w:rsidRPr="00F06DE2">
        <w:rPr>
          <w:rFonts w:ascii="Times New Roman" w:hAnsi="Times New Roman" w:cs="Times New Roman"/>
          <w:b w:val="0"/>
          <w:sz w:val="24"/>
          <w:szCs w:val="24"/>
          <w:lang w:val="ru-RU"/>
        </w:rPr>
        <w:t xml:space="preserve">т. </w:t>
      </w:r>
      <w:r w:rsidRPr="00F06DE2">
        <w:rPr>
          <w:rFonts w:ascii="Times New Roman" w:hAnsi="Times New Roman" w:cs="Times New Roman"/>
          <w:b w:val="0"/>
          <w:sz w:val="24"/>
          <w:szCs w:val="24"/>
          <w:lang w:val="ru-RU"/>
        </w:rPr>
        <w:t>1 трябва да бъде оборудвана със собствена система за контрол и наблюдение и собствена система за безопасност. Тези системи трябва да са независими една от друга. Всички елементи на тези системи трябва да могат да бъдат функционално тествани.</w:t>
      </w:r>
    </w:p>
    <w:p w14:paraId="6A252F13" w14:textId="77777777" w:rsidR="00271FA2" w:rsidRPr="00F06DE2" w:rsidRDefault="00D35E51" w:rsidP="00361961">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 xml:space="preserve">2. </w:t>
      </w:r>
      <w:r w:rsidRPr="00F06DE2">
        <w:rPr>
          <w:rFonts w:ascii="Times New Roman" w:hAnsi="Times New Roman" w:cs="Times New Roman"/>
          <w:b w:val="0"/>
          <w:sz w:val="24"/>
          <w:szCs w:val="24"/>
          <w:lang w:val="ru-RU"/>
        </w:rPr>
        <w:tab/>
        <w:t>Помещенията, в които е монтирана задвижващата или спомагателната система, се оборудват с постоянно монтирани устройства за откриване на газ и наблюдение на изтичане. Броят, типът и излишъкът от детектори във всяко помещение трябва да съответстват на размера, разположението и вентилацията на пространство. Постоянно монтирани газови детектори трябва да бъдат монтирани там, където може да се натрупа газ и във вентилационните отвори на тези пространства.</w:t>
      </w:r>
    </w:p>
    <w:p w14:paraId="2F8BD7CD" w14:textId="77777777" w:rsidR="00271FA2" w:rsidRPr="00F06DE2" w:rsidRDefault="00D35E51" w:rsidP="00361961">
      <w:pPr>
        <w:pStyle w:val="ES-Titre3"/>
        <w:spacing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lastRenderedPageBreak/>
        <w:t>3.</w:t>
      </w:r>
      <w:r w:rsidRPr="00F06DE2">
        <w:rPr>
          <w:rFonts w:ascii="Times New Roman" w:hAnsi="Times New Roman" w:cs="Times New Roman"/>
          <w:b w:val="0"/>
          <w:sz w:val="24"/>
          <w:szCs w:val="24"/>
          <w:lang w:val="ru-RU"/>
        </w:rPr>
        <w:tab/>
        <w:t>Измервателните устройства трябва да бъдат монтирани, за да позволят локално и дистанционно отчитане на основни параметри, когато те са необходими за осигуряване на безопасна работа на цялата система, включително бункероване.</w:t>
      </w:r>
    </w:p>
    <w:p w14:paraId="22E29C88" w14:textId="77777777" w:rsidR="00271FA2" w:rsidRPr="00F06DE2" w:rsidRDefault="00D35E51" w:rsidP="00361961">
      <w:pPr>
        <w:pStyle w:val="ES-Titre3"/>
        <w:spacing w:after="0"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30.11</w:t>
      </w:r>
    </w:p>
    <w:p w14:paraId="6A9BC4B3" w14:textId="77777777" w:rsidR="00271FA2" w:rsidRPr="00F06DE2" w:rsidRDefault="00D35E51">
      <w:pPr>
        <w:pStyle w:val="ES-Titre3"/>
        <w:spacing w:line="240" w:lineRule="atLeast"/>
        <w:rPr>
          <w:rFonts w:ascii="Times New Roman" w:hAnsi="Times New Roman" w:cs="Times New Roman"/>
          <w:i/>
          <w:sz w:val="24"/>
          <w:szCs w:val="24"/>
          <w:lang w:val="ru-RU"/>
        </w:rPr>
      </w:pPr>
      <w:r w:rsidRPr="00F06DE2">
        <w:rPr>
          <w:rFonts w:ascii="Times New Roman" w:hAnsi="Times New Roman" w:cs="Times New Roman"/>
          <w:i/>
          <w:sz w:val="24"/>
          <w:szCs w:val="24"/>
          <w:lang w:val="ru-RU"/>
        </w:rPr>
        <w:t>Тестване</w:t>
      </w:r>
    </w:p>
    <w:p w14:paraId="74D6092D" w14:textId="77777777" w:rsidR="00271FA2" w:rsidRPr="00F06DE2" w:rsidRDefault="00D35E51" w:rsidP="00361961">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1.</w:t>
      </w:r>
      <w:r w:rsidRPr="00F06DE2">
        <w:rPr>
          <w:rFonts w:ascii="Times New Roman" w:hAnsi="Times New Roman" w:cs="Times New Roman"/>
          <w:b w:val="0"/>
          <w:sz w:val="24"/>
          <w:szCs w:val="24"/>
          <w:lang w:val="ru-RU"/>
        </w:rPr>
        <w:tab/>
        <w:t>Задвижващите и спомагателните системи на плавателното средство съгласно член 30.01, точка 1 се проверяват от контролния орган:</w:t>
      </w:r>
    </w:p>
    <w:p w14:paraId="522AF0BE" w14:textId="77777777" w:rsidR="00271FA2" w:rsidRPr="00F06DE2" w:rsidRDefault="00D35E51" w:rsidP="00361961">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а) преди пускане в експлоатация;</w:t>
      </w:r>
    </w:p>
    <w:p w14:paraId="54628A5B" w14:textId="77777777" w:rsidR="00271FA2" w:rsidRPr="00F06DE2" w:rsidRDefault="00D35E51" w:rsidP="00361961">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след всяка модификация или ремонт; и</w:t>
      </w:r>
    </w:p>
    <w:p w14:paraId="63629D06" w14:textId="77777777" w:rsidR="00271FA2" w:rsidRPr="00F06DE2" w:rsidRDefault="00D35E51" w:rsidP="00361961">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редовно, поне веднъж годишно.</w:t>
      </w:r>
    </w:p>
    <w:p w14:paraId="592ED275" w14:textId="77777777" w:rsidR="00271FA2" w:rsidRPr="00F06DE2" w:rsidRDefault="00D35E51" w:rsidP="00361961">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процеса трябва да се вземат предвид съответните инструкции на производителите.</w:t>
      </w:r>
    </w:p>
    <w:p w14:paraId="744CC631" w14:textId="77777777" w:rsidR="00271FA2" w:rsidRPr="00F06DE2" w:rsidRDefault="00D35E51" w:rsidP="00361961">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 xml:space="preserve">2. </w:t>
      </w:r>
      <w:r w:rsidRPr="00F06DE2">
        <w:rPr>
          <w:rFonts w:ascii="Times New Roman" w:hAnsi="Times New Roman" w:cs="Times New Roman"/>
          <w:b w:val="0"/>
          <w:sz w:val="24"/>
          <w:szCs w:val="24"/>
          <w:lang w:val="ru-RU"/>
        </w:rPr>
        <w:tab/>
        <w:t>Инспекциите, посочени в точка 1, букви “а” и “в”, трябва да обхващат най-малко:</w:t>
      </w:r>
    </w:p>
    <w:p w14:paraId="405C3106" w14:textId="77777777" w:rsidR="00271FA2" w:rsidRPr="00F06DE2" w:rsidRDefault="00D35E51" w:rsidP="00361961">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а) проверка на съответствието на задвижващата и спомагателната системи с одобрените чертежи и в случай на последващи проверки дали са направени промени в задвижващата или спомагателната система;</w:t>
      </w:r>
    </w:p>
    <w:p w14:paraId="2BD18A53" w14:textId="77777777" w:rsidR="00271FA2" w:rsidRPr="00F06DE2" w:rsidRDefault="00D35E51" w:rsidP="00361961">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б) ако е необходимо, функционален тест на задвижването и спомагателните системи за всички експлоатационни възможности;</w:t>
      </w:r>
    </w:p>
    <w:p w14:paraId="20B44F25" w14:textId="77777777" w:rsidR="00271FA2" w:rsidRPr="00F06DE2" w:rsidRDefault="00D35E51" w:rsidP="00361961">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в) визуална проверка и проверка на херметичността на всички компоненти на системата, по-специално на клапаните, тръбопроводи, маркучи, бутала, помпи и филтри;</w:t>
      </w:r>
    </w:p>
    <w:p w14:paraId="404D12BC" w14:textId="77777777" w:rsidR="00271FA2" w:rsidRPr="00F06DE2" w:rsidRDefault="00D35E51" w:rsidP="00361961">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г) визуална проверка на електрическите и електронни уреди на инсталацията; и</w:t>
      </w:r>
    </w:p>
    <w:p w14:paraId="67D49D65" w14:textId="77777777" w:rsidR="00271FA2" w:rsidRPr="00F06DE2" w:rsidRDefault="00D35E51" w:rsidP="00361961">
      <w:pPr>
        <w:pStyle w:val="ES-Titre3"/>
        <w:spacing w:after="0" w:line="240" w:lineRule="atLeast"/>
        <w:ind w:left="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д) проверка на системите за управление, наблюдение и безопасност.</w:t>
      </w:r>
    </w:p>
    <w:p w14:paraId="62A7297F" w14:textId="77777777" w:rsidR="00271FA2" w:rsidRPr="00F06DE2" w:rsidRDefault="00D35E51" w:rsidP="00361961">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3.</w:t>
      </w:r>
      <w:r w:rsidRPr="00F06DE2">
        <w:rPr>
          <w:rFonts w:ascii="Times New Roman" w:hAnsi="Times New Roman" w:cs="Times New Roman"/>
          <w:b w:val="0"/>
          <w:sz w:val="24"/>
          <w:szCs w:val="24"/>
          <w:lang w:val="ru-RU"/>
        </w:rPr>
        <w:tab/>
        <w:t>Инспекциите, посочени в точка 1, буква ”б”, включват най-малко частите от точка 2, които са били модифицирани или ремонтирани.</w:t>
      </w:r>
    </w:p>
    <w:p w14:paraId="41EFC600" w14:textId="37D004B6" w:rsidR="00197C46" w:rsidRPr="00F06DE2" w:rsidRDefault="00D35E51" w:rsidP="00361961">
      <w:pPr>
        <w:pStyle w:val="ES-Titre3"/>
        <w:spacing w:after="0" w:line="240" w:lineRule="atLeast"/>
        <w:ind w:left="567" w:hanging="567"/>
        <w:jc w:val="both"/>
        <w:rPr>
          <w:rFonts w:ascii="Times New Roman" w:hAnsi="Times New Roman" w:cs="Times New Roman"/>
          <w:b w:val="0"/>
          <w:sz w:val="24"/>
          <w:szCs w:val="24"/>
          <w:lang w:val="ru-RU"/>
        </w:rPr>
      </w:pPr>
      <w:r w:rsidRPr="00F06DE2">
        <w:rPr>
          <w:rFonts w:ascii="Times New Roman" w:hAnsi="Times New Roman" w:cs="Times New Roman"/>
          <w:b w:val="0"/>
          <w:sz w:val="24"/>
          <w:szCs w:val="24"/>
          <w:lang w:val="ru-RU"/>
        </w:rPr>
        <w:t xml:space="preserve">4. </w:t>
      </w:r>
      <w:r w:rsidRPr="00F06DE2">
        <w:rPr>
          <w:rFonts w:ascii="Times New Roman" w:hAnsi="Times New Roman" w:cs="Times New Roman"/>
          <w:b w:val="0"/>
          <w:sz w:val="24"/>
          <w:szCs w:val="24"/>
          <w:lang w:val="ru-RU"/>
        </w:rPr>
        <w:tab/>
        <w:t>За всяка проверка по точка 1 се издава акт за проверка, в който се посочва датата на проверката.</w:t>
      </w:r>
    </w:p>
    <w:p w14:paraId="537CADC0" w14:textId="77777777" w:rsidR="004F304E" w:rsidRPr="00F06DE2" w:rsidRDefault="004F304E">
      <w:pPr>
        <w:rPr>
          <w:rFonts w:ascii="Times New Roman" w:hAnsi="Times New Roman" w:cs="Times New Roman"/>
          <w:b/>
          <w:lang w:val="ru-RU"/>
        </w:rPr>
        <w:sectPr w:rsidR="004F304E" w:rsidRPr="00F06DE2" w:rsidSect="00DB7663">
          <w:headerReference w:type="default" r:id="rId81"/>
          <w:headerReference w:type="first" r:id="rId82"/>
          <w:footnotePr>
            <w:numRestart w:val="eachPage"/>
          </w:footnotePr>
          <w:pgSz w:w="11906" w:h="16838" w:code="9"/>
          <w:pgMar w:top="1134" w:right="1134" w:bottom="1134" w:left="1134" w:header="709" w:footer="709" w:gutter="0"/>
          <w:cols w:space="709"/>
          <w:titlePg/>
          <w:docGrid w:linePitch="272"/>
        </w:sectPr>
      </w:pPr>
    </w:p>
    <w:p w14:paraId="268BD82D" w14:textId="77777777" w:rsidR="00271FA2" w:rsidRPr="00F06DE2" w:rsidRDefault="00D35E51" w:rsidP="00197C46">
      <w:pPr>
        <w:pStyle w:val="ES-Titre2"/>
        <w:spacing w:after="240"/>
        <w:rPr>
          <w:rFonts w:ascii="Times New Roman" w:hAnsi="Times New Roman" w:cs="Times New Roman"/>
          <w:lang w:val="ru-RU"/>
        </w:rPr>
      </w:pPr>
      <w:bookmarkStart w:id="528" w:name="_Toc491854267"/>
      <w:bookmarkStart w:id="529" w:name="_Toc535827708"/>
      <w:r w:rsidRPr="00F06DE2">
        <w:rPr>
          <w:rFonts w:ascii="Times New Roman" w:hAnsi="Times New Roman" w:cs="Times New Roman"/>
          <w:lang w:val="ru-RU"/>
        </w:rPr>
        <w:lastRenderedPageBreak/>
        <w:t>Глава 31</w:t>
      </w:r>
      <w:r w:rsidRPr="00F06DE2">
        <w:rPr>
          <w:rFonts w:ascii="Times New Roman" w:hAnsi="Times New Roman" w:cs="Times New Roman"/>
          <w:lang w:val="ru-RU"/>
        </w:rPr>
        <w:br/>
        <w:t>Специални разпоредби, приложими за плавателни съдове, които плават с минимален екипаж</w:t>
      </w:r>
      <w:bookmarkEnd w:id="528"/>
      <w:bookmarkEnd w:id="529"/>
    </w:p>
    <w:p w14:paraId="5DF0F895" w14:textId="77777777" w:rsidR="00271FA2" w:rsidRPr="00F06DE2" w:rsidRDefault="00D35E51">
      <w:pPr>
        <w:pStyle w:val="ES-Titre3"/>
        <w:spacing w:line="240" w:lineRule="atLeast"/>
        <w:rPr>
          <w:rFonts w:ascii="Times New Roman" w:hAnsi="Times New Roman" w:cs="Times New Roman"/>
          <w:sz w:val="24"/>
          <w:szCs w:val="24"/>
          <w:lang w:val="ru-RU"/>
        </w:rPr>
      </w:pPr>
      <w:bookmarkStart w:id="530" w:name="_Toc535827709"/>
      <w:bookmarkStart w:id="531" w:name="_Toc491854268"/>
      <w:r w:rsidRPr="00F06DE2">
        <w:rPr>
          <w:rFonts w:ascii="Times New Roman" w:hAnsi="Times New Roman" w:cs="Times New Roman"/>
          <w:sz w:val="24"/>
          <w:szCs w:val="24"/>
          <w:lang w:val="ru-RU"/>
        </w:rPr>
        <w:t>Член 31.01</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Оборудване на плавателния съд</w:t>
      </w:r>
      <w:bookmarkEnd w:id="530"/>
      <w:bookmarkEnd w:id="531"/>
    </w:p>
    <w:p w14:paraId="007D5BDA" w14:textId="77777777" w:rsidR="00271FA2" w:rsidRPr="00F06DE2" w:rsidRDefault="00D35E51" w:rsidP="00197C46">
      <w:pPr>
        <w:pStyle w:val="ESgauche"/>
        <w:spacing w:after="240"/>
        <w:jc w:val="both"/>
        <w:rPr>
          <w:rFonts w:ascii="Times New Roman" w:hAnsi="Times New Roman" w:cs="Times New Roman"/>
          <w:lang w:val="ru-RU"/>
        </w:rPr>
      </w:pPr>
      <w:r w:rsidRPr="00F06DE2">
        <w:rPr>
          <w:rFonts w:ascii="Times New Roman" w:hAnsi="Times New Roman" w:cs="Times New Roman"/>
          <w:lang w:val="ru-RU"/>
        </w:rPr>
        <w:t>За плавателни средства, за които се изисква минимален екипаж, спазването или неспазването на изискванията на член 31.02 или член 31.03 се записва от контролния орган в точка 47 на Корабното удостоверение за вътрешно корабоплаване.</w:t>
      </w:r>
    </w:p>
    <w:p w14:paraId="64396700" w14:textId="77777777" w:rsidR="00271FA2" w:rsidRPr="00F06DE2" w:rsidRDefault="00D35E51">
      <w:pPr>
        <w:pStyle w:val="ES-Titre3"/>
        <w:spacing w:line="240" w:lineRule="atLeast"/>
        <w:rPr>
          <w:rFonts w:ascii="Times New Roman" w:hAnsi="Times New Roman" w:cs="Times New Roman"/>
          <w:sz w:val="24"/>
          <w:szCs w:val="24"/>
          <w:lang w:val="ru-RU"/>
        </w:rPr>
      </w:pPr>
      <w:bookmarkStart w:id="532" w:name="_Toc491854269"/>
      <w:bookmarkStart w:id="533" w:name="_Toc535827710"/>
      <w:r w:rsidRPr="00F06DE2">
        <w:rPr>
          <w:rFonts w:ascii="Times New Roman" w:hAnsi="Times New Roman" w:cs="Times New Roman"/>
          <w:sz w:val="24"/>
          <w:szCs w:val="24"/>
          <w:lang w:val="ru-RU"/>
        </w:rPr>
        <w:t>Член 31.02</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Стандарт </w:t>
      </w:r>
      <w:r w:rsidRPr="00F06DE2">
        <w:rPr>
          <w:rFonts w:ascii="Times New Roman" w:hAnsi="Times New Roman" w:cs="Times New Roman"/>
          <w:i/>
          <w:sz w:val="24"/>
          <w:szCs w:val="24"/>
        </w:rPr>
        <w:t>S</w:t>
      </w:r>
      <w:r w:rsidRPr="00F06DE2">
        <w:rPr>
          <w:rFonts w:ascii="Times New Roman" w:hAnsi="Times New Roman" w:cs="Times New Roman"/>
          <w:i/>
          <w:sz w:val="24"/>
          <w:szCs w:val="24"/>
          <w:lang w:val="ru-RU"/>
        </w:rPr>
        <w:t>1</w:t>
      </w:r>
      <w:bookmarkEnd w:id="532"/>
      <w:bookmarkEnd w:id="533"/>
    </w:p>
    <w:p w14:paraId="09315CA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Задвижващите системи трябва да са устроени по такъв начин, че скоростта да може да се променя и посоката на тягата на гребните винтове да може да се реверсира от поста за управление.</w:t>
      </w:r>
    </w:p>
    <w:p w14:paraId="45BCE01E"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Трябва да има възможност спомагателните двигатели, необходими за работни цели, да се включват и изключват от поста за управление, освен ако това става автоматично или двигателите работят без прекъсване през целия курс.</w:t>
      </w:r>
    </w:p>
    <w:p w14:paraId="79EEAA20"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При проблемните области,</w:t>
      </w:r>
    </w:p>
    <w:p w14:paraId="5401758D"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температурата на водата за охлаждане на главния двигател;</w:t>
      </w:r>
    </w:p>
    <w:p w14:paraId="570779AA"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налягането на смазочното масло за главните двигатели и трансмисии;</w:t>
      </w:r>
    </w:p>
    <w:p w14:paraId="54D3479F"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налягането на маслото и въздуха в реверсивните установки, реверсивните трансмисии или гребни винтове на главните двигатели,</w:t>
      </w:r>
    </w:p>
    <w:p w14:paraId="486F88EF" w14:textId="77777777" w:rsidR="00271FA2" w:rsidRPr="00F06DE2" w:rsidRDefault="00D35E51">
      <w:pPr>
        <w:pStyle w:val="ESlet"/>
        <w:spacing w:before="0"/>
        <w:ind w:left="56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нивата на вода в главното машинно отделение,</w:t>
      </w:r>
    </w:p>
    <w:p w14:paraId="79E5216C"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трябва да се извършва следене посредством уреди, които включват светлинни и звукови сигнали в рулевата рубка при повреда. Звуковите алармени сигнали могат да се комбинират в едно звуково предупреждаващо устройство. Те могат да бъдат изключени веднага след като повредата бъде потвърдена. Светлинните алармени сигнали могат да бъдат изключени само след като повредите, които са ги задействали, бъдат отстранени.</w:t>
      </w:r>
    </w:p>
    <w:p w14:paraId="66401BF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Подаването на гориво и охлаждането на главния двигател трябва да се извършват автоматично.</w:t>
      </w:r>
    </w:p>
    <w:p w14:paraId="447D32E3"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Рулевата система трябва да може да се управлява от един човек, дори и при максимално газене, без да се изисква особена сила.</w:t>
      </w:r>
    </w:p>
    <w:p w14:paraId="121600BD"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Светлинните и звуковите сигнали трябва да могат да се подават в съответствие с приложимите разпоредби на навигационните служби на държавите членки, в зависимост от случая, от поста за управление на плавателни съдове на път.</w:t>
      </w:r>
    </w:p>
    <w:p w14:paraId="71271711"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Когато няма пряка връзка между поста за управление и носовата част, кърмата, жилищните помещения и машинните отделения, трябва да е налице система за гласова връзка. За връзка с машинните отделения това може да бъде под формата на визуален или звуков сигнал.</w:t>
      </w:r>
    </w:p>
    <w:p w14:paraId="03ACE12A"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7.</w:t>
      </w:r>
      <w:r w:rsidRPr="00F06DE2">
        <w:rPr>
          <w:rFonts w:ascii="Times New Roman" w:hAnsi="Times New Roman" w:cs="Times New Roman"/>
          <w:lang w:val="ru-RU"/>
        </w:rPr>
        <w:tab/>
        <w:t xml:space="preserve">Задействането на манивели и подобни въртящи се части на подемни устройства не трябва да изисква сила, по-голяма от 160 </w:t>
      </w:r>
      <w:r w:rsidRPr="00F06DE2">
        <w:rPr>
          <w:rFonts w:ascii="Times New Roman" w:hAnsi="Times New Roman" w:cs="Times New Roman"/>
        </w:rPr>
        <w:t>N</w:t>
      </w:r>
      <w:r w:rsidRPr="00F06DE2">
        <w:rPr>
          <w:rFonts w:ascii="Times New Roman" w:hAnsi="Times New Roman" w:cs="Times New Roman"/>
          <w:lang w:val="ru-RU"/>
        </w:rPr>
        <w:t>.</w:t>
      </w:r>
    </w:p>
    <w:p w14:paraId="1A46B0A6"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8.</w:t>
      </w:r>
      <w:r w:rsidRPr="00F06DE2">
        <w:rPr>
          <w:rFonts w:ascii="Times New Roman" w:hAnsi="Times New Roman" w:cs="Times New Roman"/>
          <w:lang w:val="ru-RU"/>
        </w:rPr>
        <w:tab/>
        <w:t>Буксирните лебедки, вписани в Корабното удостоверение за вътрешно корабоплаване, трябва да са с двигател.</w:t>
      </w:r>
    </w:p>
    <w:p w14:paraId="24F3801C"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9.</w:t>
      </w:r>
      <w:r w:rsidRPr="00F06DE2">
        <w:rPr>
          <w:rFonts w:ascii="Times New Roman" w:hAnsi="Times New Roman" w:cs="Times New Roman"/>
          <w:lang w:val="ru-RU"/>
        </w:rPr>
        <w:tab/>
        <w:t>Осушителните помпи и помпите за миене на палубата трябва да са с двигател.</w:t>
      </w:r>
    </w:p>
    <w:p w14:paraId="2C8687AB"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10.</w:t>
      </w:r>
      <w:r w:rsidRPr="00F06DE2">
        <w:rPr>
          <w:rFonts w:ascii="Times New Roman" w:hAnsi="Times New Roman" w:cs="Times New Roman"/>
          <w:lang w:val="ru-RU"/>
        </w:rPr>
        <w:tab/>
        <w:t>Основните управляващи механизми и уреди за следене трябва да са ергономично разположени.</w:t>
      </w:r>
    </w:p>
    <w:p w14:paraId="400F6843" w14:textId="77777777" w:rsidR="00271FA2" w:rsidRPr="00F06DE2" w:rsidRDefault="00D35E51" w:rsidP="00197C46">
      <w:pPr>
        <w:pStyle w:val="ESch"/>
        <w:spacing w:after="240"/>
        <w:jc w:val="both"/>
        <w:rPr>
          <w:rFonts w:ascii="Times New Roman" w:hAnsi="Times New Roman" w:cs="Times New Roman"/>
          <w:lang w:val="ru-RU"/>
        </w:rPr>
      </w:pPr>
      <w:r w:rsidRPr="00F06DE2">
        <w:rPr>
          <w:rFonts w:ascii="Times New Roman" w:hAnsi="Times New Roman" w:cs="Times New Roman"/>
          <w:lang w:val="ru-RU"/>
        </w:rPr>
        <w:t>11.</w:t>
      </w:r>
      <w:r w:rsidRPr="00F06DE2">
        <w:rPr>
          <w:rFonts w:ascii="Times New Roman" w:hAnsi="Times New Roman" w:cs="Times New Roman"/>
          <w:lang w:val="ru-RU"/>
        </w:rPr>
        <w:tab/>
        <w:t>Оборудването, изисквано по силата на член 6.01, точка 1, трябва да може да се управлява дистанционно от поста за управление.</w:t>
      </w:r>
    </w:p>
    <w:p w14:paraId="2A1FB493" w14:textId="77777777" w:rsidR="00271FA2" w:rsidRPr="00F06DE2" w:rsidRDefault="00D35E51">
      <w:pPr>
        <w:pStyle w:val="ES-Titre3"/>
        <w:spacing w:line="240" w:lineRule="atLeast"/>
        <w:rPr>
          <w:rFonts w:ascii="Times New Roman" w:hAnsi="Times New Roman" w:cs="Times New Roman"/>
          <w:sz w:val="24"/>
          <w:szCs w:val="24"/>
          <w:lang w:val="ru-RU"/>
        </w:rPr>
      </w:pPr>
      <w:bookmarkStart w:id="534" w:name="_Toc491854270"/>
      <w:bookmarkStart w:id="535" w:name="_Toc535827711"/>
      <w:r w:rsidRPr="00F06DE2">
        <w:rPr>
          <w:rFonts w:ascii="Times New Roman" w:hAnsi="Times New Roman" w:cs="Times New Roman"/>
          <w:sz w:val="24"/>
          <w:szCs w:val="24"/>
          <w:lang w:val="ru-RU"/>
        </w:rPr>
        <w:lastRenderedPageBreak/>
        <w:t>Член 31.03</w:t>
      </w:r>
      <w:r w:rsidRPr="00F06DE2">
        <w:rPr>
          <w:rFonts w:ascii="Times New Roman" w:hAnsi="Times New Roman" w:cs="Times New Roman"/>
          <w:sz w:val="24"/>
          <w:szCs w:val="24"/>
          <w:lang w:val="ru-RU"/>
        </w:rPr>
        <w:br/>
      </w:r>
      <w:r w:rsidRPr="00F06DE2">
        <w:rPr>
          <w:rFonts w:ascii="Times New Roman" w:hAnsi="Times New Roman" w:cs="Times New Roman"/>
          <w:i/>
          <w:sz w:val="24"/>
          <w:szCs w:val="24"/>
          <w:lang w:val="ru-RU"/>
        </w:rPr>
        <w:t xml:space="preserve">Стандарт </w:t>
      </w:r>
      <w:r w:rsidRPr="00F06DE2">
        <w:rPr>
          <w:rFonts w:ascii="Times New Roman" w:hAnsi="Times New Roman" w:cs="Times New Roman"/>
          <w:i/>
          <w:sz w:val="24"/>
          <w:szCs w:val="24"/>
        </w:rPr>
        <w:t>S</w:t>
      </w:r>
      <w:r w:rsidRPr="00F06DE2">
        <w:rPr>
          <w:rFonts w:ascii="Times New Roman" w:hAnsi="Times New Roman" w:cs="Times New Roman"/>
          <w:i/>
          <w:sz w:val="24"/>
          <w:szCs w:val="24"/>
          <w:lang w:val="ru-RU"/>
        </w:rPr>
        <w:t>2</w:t>
      </w:r>
      <w:bookmarkEnd w:id="534"/>
      <w:bookmarkEnd w:id="535"/>
    </w:p>
    <w:p w14:paraId="1D5F23E7" w14:textId="77777777" w:rsidR="00271FA2" w:rsidRPr="00F06DE2" w:rsidRDefault="00814BC0">
      <w:pPr>
        <w:pStyle w:val="ESch"/>
        <w:jc w:val="both"/>
        <w:rPr>
          <w:rFonts w:ascii="Times New Roman" w:hAnsi="Times New Roman" w:cs="Times New Roman"/>
          <w:lang w:val="ru-RU"/>
        </w:rPr>
      </w:pPr>
      <w:r w:rsidRPr="00F06DE2">
        <w:rPr>
          <w:rFonts w:ascii="Times New Roman" w:hAnsi="Times New Roman" w:cs="Times New Roman"/>
          <w:lang w:val="ru-RU"/>
        </w:rPr>
        <w:t>Изискванията на С</w:t>
      </w:r>
      <w:r w:rsidR="00D35E51" w:rsidRPr="00F06DE2">
        <w:rPr>
          <w:rFonts w:ascii="Times New Roman" w:hAnsi="Times New Roman" w:cs="Times New Roman"/>
          <w:lang w:val="ru-RU"/>
        </w:rPr>
        <w:t xml:space="preserve">тандарт </w:t>
      </w:r>
      <w:r w:rsidR="00D35E51" w:rsidRPr="00F06DE2">
        <w:rPr>
          <w:rFonts w:ascii="Times New Roman" w:hAnsi="Times New Roman" w:cs="Times New Roman"/>
        </w:rPr>
        <w:t>S</w:t>
      </w:r>
      <w:r w:rsidR="00D35E51" w:rsidRPr="00F06DE2">
        <w:rPr>
          <w:rFonts w:ascii="Times New Roman" w:hAnsi="Times New Roman" w:cs="Times New Roman"/>
          <w:lang w:val="ru-RU"/>
        </w:rPr>
        <w:t>1 и допълнително:</w:t>
      </w:r>
    </w:p>
    <w:p w14:paraId="65F106BE"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За моторните товарни плавателни съдове или моторни танкери, работещи отделно:</w:t>
      </w:r>
    </w:p>
    <w:p w14:paraId="6A9C9F35"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носово подрулващо устройство, което може да се управлява от поста за управление.</w:t>
      </w:r>
    </w:p>
    <w:p w14:paraId="15949B95"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 моторните товарни плавателни съдове или моторни танкери, задвижващи бордово свързана група:</w:t>
      </w:r>
    </w:p>
    <w:p w14:paraId="0121691E"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носово подрулващо устройство, което може да се управлява от поста за управление.</w:t>
      </w:r>
    </w:p>
    <w:p w14:paraId="79CA4A09" w14:textId="77777777" w:rsidR="00271FA2" w:rsidRPr="00F06DE2" w:rsidRDefault="00D35E51">
      <w:pPr>
        <w:pStyle w:val="ESch"/>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За моторните товарни плавателни съдове или моторните танкери, задвижващи тласкани състави, съставени от моторния товарен плавателен съд или самият моторен танкер и плавателно средство пред него:</w:t>
      </w:r>
    </w:p>
    <w:p w14:paraId="60872691" w14:textId="77777777" w:rsidR="00271FA2" w:rsidRPr="00F06DE2" w:rsidRDefault="00D35E51">
      <w:pPr>
        <w:pStyle w:val="ESchpar"/>
        <w:jc w:val="both"/>
        <w:rPr>
          <w:rFonts w:ascii="Times New Roman" w:hAnsi="Times New Roman" w:cs="Times New Roman"/>
          <w:lang w:val="ru-RU"/>
        </w:rPr>
      </w:pPr>
      <w:r w:rsidRPr="00F06DE2">
        <w:rPr>
          <w:rFonts w:ascii="Times New Roman" w:hAnsi="Times New Roman" w:cs="Times New Roman"/>
          <w:lang w:val="ru-RU"/>
        </w:rPr>
        <w:t>хидравлични или електрически съединителни лебедки. Това оборудване обаче не се изисква, ако първото плавателно средство в тласкания състав е оборудвано с носово подрулващо устройство, което може да се управлява от поста за управление на тласкащия моторен плавателен съд или моторен танкер.</w:t>
      </w:r>
    </w:p>
    <w:p w14:paraId="3BDF7240" w14:textId="77777777" w:rsidR="00271FA2" w:rsidRPr="00F06DE2" w:rsidRDefault="00D35E51">
      <w:pPr>
        <w:pStyle w:val="ESchpar"/>
        <w:ind w:left="0"/>
        <w:jc w:val="both"/>
        <w:rPr>
          <w:rFonts w:ascii="Times New Roman" w:hAnsi="Times New Roman" w:cs="Times New Roman"/>
          <w:lang w:val="ru-RU" w:eastAsia="bg-BG"/>
        </w:rPr>
      </w:pPr>
      <w:r w:rsidRPr="00F06DE2">
        <w:rPr>
          <w:rFonts w:ascii="Times New Roman" w:hAnsi="Times New Roman" w:cs="Times New Roman"/>
          <w:lang w:val="ru-RU" w:eastAsia="bg-BG"/>
        </w:rPr>
        <w:t>4.</w:t>
      </w:r>
      <w:r w:rsidRPr="00F06DE2">
        <w:rPr>
          <w:rFonts w:ascii="Times New Roman" w:hAnsi="Times New Roman" w:cs="Times New Roman"/>
          <w:lang w:val="ru-RU" w:eastAsia="bg-BG"/>
        </w:rPr>
        <w:tab/>
        <w:t>За тласкачи задвижващи тласкани състави:</w:t>
      </w:r>
    </w:p>
    <w:p w14:paraId="062ED878" w14:textId="77777777" w:rsidR="00271FA2" w:rsidRPr="00F06DE2" w:rsidRDefault="00D35E51">
      <w:pPr>
        <w:autoSpaceDE w:val="0"/>
        <w:autoSpaceDN w:val="0"/>
        <w:adjustRightInd w:val="0"/>
        <w:ind w:left="720"/>
        <w:jc w:val="both"/>
        <w:rPr>
          <w:rFonts w:ascii="Times New Roman" w:hAnsi="Times New Roman" w:cs="Times New Roman"/>
          <w:lang w:val="ru-RU" w:eastAsia="bg-BG"/>
        </w:rPr>
      </w:pPr>
      <w:r w:rsidRPr="00F06DE2">
        <w:rPr>
          <w:rFonts w:ascii="Times New Roman" w:hAnsi="Times New Roman" w:cs="Times New Roman"/>
          <w:lang w:val="ru-RU"/>
        </w:rPr>
        <w:t>хидравлични или електрически съединителни лебедки. Това оборудване обаче не се изисква, ако първото плавателно средство в тласкания състав е оборудвано с носово подрулващо устройство, което може да се управлява от поста за управление на тласк</w:t>
      </w:r>
      <w:r w:rsidRPr="00F06DE2">
        <w:rPr>
          <w:rFonts w:ascii="Times New Roman" w:hAnsi="Times New Roman" w:cs="Times New Roman"/>
        </w:rPr>
        <w:t>a</w:t>
      </w:r>
      <w:r w:rsidRPr="00F06DE2">
        <w:rPr>
          <w:rFonts w:ascii="Times New Roman" w:hAnsi="Times New Roman" w:cs="Times New Roman"/>
          <w:lang w:val="ru-RU"/>
        </w:rPr>
        <w:t>ча;</w:t>
      </w:r>
    </w:p>
    <w:p w14:paraId="4E33378E" w14:textId="77777777" w:rsidR="00271FA2" w:rsidRPr="00F06DE2" w:rsidRDefault="00D35E51">
      <w:pPr>
        <w:autoSpaceDE w:val="0"/>
        <w:autoSpaceDN w:val="0"/>
        <w:adjustRightInd w:val="0"/>
        <w:jc w:val="both"/>
        <w:rPr>
          <w:rFonts w:ascii="Times New Roman" w:hAnsi="Times New Roman" w:cs="Times New Roman"/>
          <w:lang w:val="ru-RU" w:eastAsia="bg-BG"/>
        </w:rPr>
      </w:pPr>
      <w:r w:rsidRPr="00F06DE2">
        <w:rPr>
          <w:rFonts w:ascii="Times New Roman" w:hAnsi="Times New Roman" w:cs="Times New Roman"/>
          <w:lang w:val="ru-RU" w:eastAsia="bg-BG"/>
        </w:rPr>
        <w:t>5.</w:t>
      </w:r>
      <w:r w:rsidRPr="00F06DE2">
        <w:rPr>
          <w:rFonts w:ascii="Times New Roman" w:hAnsi="Times New Roman" w:cs="Times New Roman"/>
          <w:lang w:val="ru-RU" w:eastAsia="bg-BG"/>
        </w:rPr>
        <w:tab/>
        <w:t>За пътнически плавателни съдове:</w:t>
      </w:r>
    </w:p>
    <w:p w14:paraId="1DE712C3" w14:textId="77777777" w:rsidR="00271FA2" w:rsidRPr="00F06DE2" w:rsidRDefault="00D35E51">
      <w:pPr>
        <w:autoSpaceDE w:val="0"/>
        <w:autoSpaceDN w:val="0"/>
        <w:adjustRightInd w:val="0"/>
        <w:ind w:left="720"/>
        <w:jc w:val="both"/>
        <w:rPr>
          <w:rFonts w:ascii="Times New Roman" w:hAnsi="Times New Roman" w:cs="Times New Roman"/>
          <w:lang w:val="ru-RU" w:eastAsia="bg-BG"/>
        </w:rPr>
      </w:pPr>
      <w:r w:rsidRPr="00F06DE2">
        <w:rPr>
          <w:rFonts w:ascii="Times New Roman" w:hAnsi="Times New Roman" w:cs="Times New Roman"/>
          <w:lang w:val="ru-RU"/>
        </w:rPr>
        <w:t>с носово подрулващо устройство, което може да се управлява от поста за управление</w:t>
      </w:r>
      <w:r w:rsidRPr="00F06DE2">
        <w:rPr>
          <w:rFonts w:ascii="Times New Roman" w:hAnsi="Times New Roman" w:cs="Times New Roman"/>
          <w:lang w:val="ru-RU" w:eastAsia="bg-BG"/>
        </w:rPr>
        <w:t xml:space="preserve">. </w:t>
      </w:r>
      <w:r w:rsidRPr="00F06DE2">
        <w:rPr>
          <w:rFonts w:ascii="Times New Roman" w:hAnsi="Times New Roman" w:cs="Times New Roman"/>
          <w:lang w:val="ru-RU"/>
        </w:rPr>
        <w:t>Това оборудване обаче не се изисква, ако задвижващата система и рулевата система на пътническия плавателен съд гарантира еднаква маневреност.</w:t>
      </w:r>
    </w:p>
    <w:p w14:paraId="44C783F4" w14:textId="77777777" w:rsidR="00271FA2" w:rsidRPr="00F06DE2" w:rsidRDefault="00271FA2">
      <w:pPr>
        <w:pStyle w:val="ESchpar"/>
        <w:rPr>
          <w:rFonts w:ascii="Times New Roman" w:hAnsi="Times New Roman" w:cs="Times New Roman"/>
          <w:lang w:val="ru-RU"/>
        </w:rPr>
      </w:pPr>
    </w:p>
    <w:p w14:paraId="351DFB90" w14:textId="77777777" w:rsidR="00271FA2" w:rsidRPr="00F06DE2" w:rsidRDefault="00271FA2">
      <w:pPr>
        <w:pStyle w:val="ESch"/>
        <w:rPr>
          <w:rFonts w:ascii="Times New Roman" w:hAnsi="Times New Roman" w:cs="Times New Roman"/>
          <w:lang w:val="ru-RU"/>
        </w:rPr>
        <w:sectPr w:rsidR="00271FA2" w:rsidRPr="00F06DE2" w:rsidSect="00DB7663">
          <w:headerReference w:type="default" r:id="rId83"/>
          <w:headerReference w:type="first" r:id="rId84"/>
          <w:footnotePr>
            <w:numRestart w:val="eachPage"/>
          </w:footnotePr>
          <w:pgSz w:w="11906" w:h="16838" w:code="9"/>
          <w:pgMar w:top="1134" w:right="1134" w:bottom="1134" w:left="1134" w:header="709" w:footer="709" w:gutter="0"/>
          <w:cols w:space="709"/>
          <w:titlePg/>
          <w:docGrid w:linePitch="272"/>
        </w:sectPr>
      </w:pPr>
    </w:p>
    <w:p w14:paraId="5A488792" w14:textId="77777777" w:rsidR="00271FA2" w:rsidRPr="00F06DE2" w:rsidRDefault="00D35E51">
      <w:pPr>
        <w:pStyle w:val="ES-Titre1"/>
        <w:rPr>
          <w:rFonts w:ascii="Times New Roman" w:hAnsi="Times New Roman" w:cs="Times New Roman"/>
          <w:sz w:val="24"/>
          <w:szCs w:val="24"/>
          <w:lang w:val="ru-RU"/>
        </w:rPr>
      </w:pPr>
      <w:bookmarkStart w:id="536" w:name="_Toc491854271"/>
      <w:bookmarkStart w:id="537" w:name="_Toc535827712"/>
      <w:r w:rsidRPr="00F06DE2">
        <w:rPr>
          <w:rFonts w:ascii="Times New Roman" w:hAnsi="Times New Roman" w:cs="Times New Roman"/>
          <w:sz w:val="24"/>
          <w:szCs w:val="24"/>
          <w:lang w:val="ru-RU"/>
        </w:rPr>
        <w:lastRenderedPageBreak/>
        <w:t xml:space="preserve">ЧАСТ </w:t>
      </w:r>
      <w:r w:rsidRPr="00F06DE2">
        <w:rPr>
          <w:rFonts w:ascii="Times New Roman" w:hAnsi="Times New Roman" w:cs="Times New Roman"/>
          <w:sz w:val="24"/>
          <w:szCs w:val="24"/>
        </w:rPr>
        <w:t>IV</w:t>
      </w:r>
      <w:r w:rsidRPr="00F06DE2">
        <w:rPr>
          <w:rFonts w:ascii="Times New Roman" w:hAnsi="Times New Roman" w:cs="Times New Roman"/>
          <w:sz w:val="24"/>
          <w:szCs w:val="24"/>
          <w:lang w:val="ru-RU"/>
        </w:rPr>
        <w:br/>
        <w:t>ПРЕХОДНИ РАЗПОРЕДБИ</w:t>
      </w:r>
      <w:bookmarkEnd w:id="536"/>
      <w:bookmarkEnd w:id="537"/>
    </w:p>
    <w:p w14:paraId="2B85D816" w14:textId="77777777" w:rsidR="00271FA2" w:rsidRPr="00F06DE2" w:rsidRDefault="00D35E51" w:rsidP="003475C3">
      <w:pPr>
        <w:pStyle w:val="ES-Titre2"/>
        <w:pageBreakBefore w:val="0"/>
        <w:spacing w:after="240"/>
        <w:rPr>
          <w:rFonts w:ascii="Times New Roman" w:hAnsi="Times New Roman" w:cs="Times New Roman"/>
          <w:lang w:val="ru-RU"/>
        </w:rPr>
      </w:pPr>
      <w:bookmarkStart w:id="538" w:name="_Toc535827713"/>
      <w:bookmarkStart w:id="539" w:name="_Toc491854272"/>
      <w:r w:rsidRPr="00F06DE2">
        <w:rPr>
          <w:rFonts w:ascii="Times New Roman" w:hAnsi="Times New Roman" w:cs="Times New Roman"/>
          <w:lang w:val="ru-RU"/>
        </w:rPr>
        <w:t>Глава 32</w:t>
      </w:r>
      <w:r w:rsidRPr="00F06DE2">
        <w:rPr>
          <w:rFonts w:ascii="Times New Roman" w:hAnsi="Times New Roman" w:cs="Times New Roman"/>
          <w:lang w:val="ru-RU"/>
        </w:rPr>
        <w:br/>
        <w:t xml:space="preserve">Преходни разпоредби за ПЛАВАТЕЛНИ СРЕДСТВА по река Рейн (зона </w:t>
      </w:r>
      <w:r w:rsidRPr="00F06DE2">
        <w:rPr>
          <w:rFonts w:ascii="Times New Roman" w:hAnsi="Times New Roman" w:cs="Times New Roman"/>
        </w:rPr>
        <w:t>R</w:t>
      </w:r>
      <w:r w:rsidRPr="00F06DE2">
        <w:rPr>
          <w:rFonts w:ascii="Times New Roman" w:hAnsi="Times New Roman" w:cs="Times New Roman"/>
          <w:lang w:val="ru-RU"/>
        </w:rPr>
        <w:t>)</w:t>
      </w:r>
      <w:bookmarkEnd w:id="538"/>
      <w:r w:rsidRPr="00F06DE2">
        <w:rPr>
          <w:rFonts w:ascii="Times New Roman" w:hAnsi="Times New Roman" w:cs="Times New Roman"/>
          <w:lang w:val="ru-RU"/>
        </w:rPr>
        <w:t xml:space="preserve"> </w:t>
      </w:r>
      <w:bookmarkEnd w:id="539"/>
    </w:p>
    <w:p w14:paraId="48BF9AFC" w14:textId="77777777" w:rsidR="00271FA2" w:rsidRPr="00F06DE2" w:rsidRDefault="00D35E51" w:rsidP="003475C3">
      <w:pPr>
        <w:pStyle w:val="ES-Titre3prchap32"/>
        <w:spacing w:after="0" w:line="240" w:lineRule="atLeast"/>
        <w:rPr>
          <w:rFonts w:ascii="Times New Roman" w:hAnsi="Times New Roman" w:cs="Times New Roman"/>
          <w:sz w:val="24"/>
          <w:szCs w:val="24"/>
          <w:lang w:val="ru-RU"/>
        </w:rPr>
      </w:pPr>
      <w:bookmarkStart w:id="540" w:name="_Toc491854273"/>
      <w:bookmarkStart w:id="541" w:name="_Toc535827714"/>
      <w:r w:rsidRPr="00F06DE2">
        <w:rPr>
          <w:rFonts w:ascii="Times New Roman" w:hAnsi="Times New Roman" w:cs="Times New Roman"/>
          <w:sz w:val="24"/>
          <w:szCs w:val="24"/>
          <w:lang w:val="ru-RU"/>
        </w:rPr>
        <w:t>Член 32.01</w:t>
      </w:r>
      <w:bookmarkEnd w:id="540"/>
      <w:bookmarkEnd w:id="541"/>
    </w:p>
    <w:p w14:paraId="79A98AF6" w14:textId="77777777" w:rsidR="00271FA2" w:rsidRPr="00F06DE2" w:rsidRDefault="00D35E51">
      <w:pPr>
        <w:pStyle w:val="ES-Titre3a"/>
        <w:spacing w:line="240" w:lineRule="atLeast"/>
        <w:rPr>
          <w:rFonts w:ascii="Times New Roman" w:hAnsi="Times New Roman" w:cs="Times New Roman"/>
          <w:sz w:val="24"/>
          <w:szCs w:val="24"/>
          <w:lang w:val="ru-RU"/>
        </w:rPr>
      </w:pPr>
      <w:bookmarkStart w:id="542" w:name="_Toc535827715"/>
      <w:bookmarkStart w:id="543" w:name="_Toc421775883"/>
      <w:bookmarkStart w:id="544" w:name="_Toc491854274"/>
      <w:r w:rsidRPr="00F06DE2">
        <w:rPr>
          <w:rFonts w:ascii="Times New Roman" w:hAnsi="Times New Roman" w:cs="Times New Roman"/>
          <w:sz w:val="24"/>
          <w:szCs w:val="24"/>
          <w:lang w:val="ru-RU"/>
        </w:rPr>
        <w:t>Приложимост на преходните разпоредби към плавателни средства, които са вече в експлоатация</w:t>
      </w:r>
      <w:bookmarkEnd w:id="542"/>
      <w:bookmarkEnd w:id="543"/>
      <w:bookmarkEnd w:id="544"/>
    </w:p>
    <w:p w14:paraId="78450244" w14:textId="77777777" w:rsidR="00271FA2" w:rsidRPr="00F06DE2" w:rsidRDefault="00D35E51" w:rsidP="003475C3">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Разпоредбите на членове 32.02—32.04 се прилагат само за плавателни средства, които притежават валидно удостоверение, съгласно Рейнските правила за инспекция на корабите: </w:t>
      </w:r>
    </w:p>
    <w:p w14:paraId="0A74D122" w14:textId="77777777" w:rsidR="00271FA2" w:rsidRPr="00F06DE2" w:rsidRDefault="00D35E51" w:rsidP="003475C3">
      <w:pPr>
        <w:spacing w:line="240" w:lineRule="atLeast"/>
        <w:ind w:leftChars="236" w:left="519" w:firstLine="1"/>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издадено за пръв път въз основа на Рейнските правила за инспекция на корабите в сила от 31 декември 1994</w:t>
      </w:r>
      <w:r w:rsidRPr="00F06DE2">
        <w:rPr>
          <w:rFonts w:ascii="Times New Roman" w:hAnsi="Times New Roman" w:cs="Times New Roman"/>
        </w:rPr>
        <w:t> </w:t>
      </w:r>
      <w:r w:rsidRPr="00F06DE2">
        <w:rPr>
          <w:rFonts w:ascii="Times New Roman" w:hAnsi="Times New Roman" w:cs="Times New Roman"/>
          <w:lang w:val="ru-RU"/>
        </w:rPr>
        <w:t xml:space="preserve">г.; или </w:t>
      </w:r>
    </w:p>
    <w:p w14:paraId="3E87C484" w14:textId="77777777" w:rsidR="00271FA2" w:rsidRPr="00F06DE2" w:rsidRDefault="00D35E51" w:rsidP="003475C3">
      <w:pPr>
        <w:spacing w:line="240" w:lineRule="atLeast"/>
        <w:ind w:leftChars="236" w:left="519" w:firstLine="1"/>
        <w:jc w:val="both"/>
        <w:rPr>
          <w:rFonts w:ascii="Times New Roman" w:hAnsi="Times New Roman" w:cs="Times New Roman"/>
          <w:lang w:val="ru-RU"/>
        </w:rPr>
      </w:pPr>
      <w:r w:rsidRPr="00F06DE2">
        <w:rPr>
          <w:rFonts w:ascii="Times New Roman" w:hAnsi="Times New Roman" w:cs="Times New Roman"/>
          <w:lang w:val="ru-RU"/>
        </w:rPr>
        <w:t>б) подновено поне веднъж преди 31 декември 1994 г.; или</w:t>
      </w:r>
    </w:p>
    <w:p w14:paraId="798ADA82" w14:textId="77777777" w:rsidR="00271FA2" w:rsidRPr="00F06DE2" w:rsidRDefault="00D35E51" w:rsidP="003475C3">
      <w:pPr>
        <w:spacing w:line="240" w:lineRule="atLeast"/>
        <w:ind w:leftChars="236" w:left="519" w:firstLine="1"/>
        <w:jc w:val="both"/>
        <w:rPr>
          <w:rFonts w:ascii="Times New Roman" w:hAnsi="Times New Roman" w:cs="Times New Roman"/>
          <w:lang w:val="ru-RU"/>
        </w:rPr>
      </w:pPr>
      <w:r w:rsidRPr="00F06DE2">
        <w:rPr>
          <w:rFonts w:ascii="Times New Roman" w:hAnsi="Times New Roman" w:cs="Times New Roman"/>
          <w:lang w:val="ru-RU"/>
        </w:rPr>
        <w:t>в) които са били в процес на строеж или преустройство на 31 декември 1994 г.</w:t>
      </w:r>
    </w:p>
    <w:p w14:paraId="5EEDB645" w14:textId="77777777" w:rsidR="00271FA2" w:rsidRPr="00F06DE2" w:rsidRDefault="00D35E51" w:rsidP="003475C3">
      <w:pPr>
        <w:spacing w:after="240"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 плавателни средства, които не са обхванати от точка 1, се прилагат разпоредбите на член 32.05.</w:t>
      </w:r>
    </w:p>
    <w:p w14:paraId="60765772" w14:textId="77777777" w:rsidR="00271FA2" w:rsidRPr="00F06DE2" w:rsidRDefault="00D35E51" w:rsidP="003475C3">
      <w:pPr>
        <w:pStyle w:val="ES-Titre3"/>
        <w:spacing w:after="0" w:line="240" w:lineRule="atLeast"/>
        <w:ind w:left="567" w:hanging="567"/>
        <w:rPr>
          <w:rFonts w:ascii="Times New Roman" w:hAnsi="Times New Roman" w:cs="Times New Roman"/>
          <w:sz w:val="24"/>
          <w:szCs w:val="24"/>
          <w:lang w:val="ru-RU"/>
        </w:rPr>
      </w:pPr>
      <w:bookmarkStart w:id="545" w:name="_Toc491854275"/>
      <w:bookmarkStart w:id="546" w:name="_Toc535827716"/>
      <w:r w:rsidRPr="00F06DE2">
        <w:rPr>
          <w:rFonts w:ascii="Times New Roman" w:hAnsi="Times New Roman" w:cs="Times New Roman"/>
          <w:sz w:val="24"/>
          <w:szCs w:val="24"/>
          <w:lang w:val="ru-RU"/>
        </w:rPr>
        <w:t>Член 32.02</w:t>
      </w:r>
      <w:bookmarkEnd w:id="545"/>
      <w:bookmarkEnd w:id="546"/>
    </w:p>
    <w:p w14:paraId="37059D36" w14:textId="77777777" w:rsidR="00271FA2" w:rsidRPr="00F06DE2" w:rsidRDefault="00D35E51">
      <w:pPr>
        <w:pStyle w:val="ES-Titre3a"/>
        <w:spacing w:line="240" w:lineRule="atLeast"/>
        <w:rPr>
          <w:rFonts w:ascii="Times New Roman" w:hAnsi="Times New Roman" w:cs="Times New Roman"/>
          <w:sz w:val="24"/>
          <w:szCs w:val="24"/>
          <w:lang w:val="ru-RU"/>
        </w:rPr>
      </w:pPr>
      <w:bookmarkStart w:id="547" w:name="_Toc421775885"/>
      <w:bookmarkStart w:id="548" w:name="_Toc535827717"/>
      <w:bookmarkStart w:id="549" w:name="_Toc491854276"/>
      <w:r w:rsidRPr="00F06DE2">
        <w:rPr>
          <w:rFonts w:ascii="Times New Roman" w:hAnsi="Times New Roman" w:cs="Times New Roman"/>
          <w:sz w:val="24"/>
          <w:szCs w:val="24"/>
          <w:lang w:val="ru-RU"/>
        </w:rPr>
        <w:t>Преходни разпоредби относно плавателните средства, които вече са в експлоатация</w:t>
      </w:r>
      <w:bookmarkEnd w:id="547"/>
      <w:bookmarkEnd w:id="548"/>
      <w:bookmarkEnd w:id="549"/>
    </w:p>
    <w:p w14:paraId="6D6CF090" w14:textId="77777777" w:rsidR="00271FA2" w:rsidRPr="00F06DE2" w:rsidRDefault="00D35E51" w:rsidP="003475C3">
      <w:pPr>
        <w:spacing w:line="240" w:lineRule="atLeast"/>
        <w:ind w:left="567" w:hanging="567"/>
        <w:jc w:val="both"/>
        <w:rPr>
          <w:rFonts w:ascii="Times New Roman" w:hAnsi="Times New Roman" w:cs="Times New Roman"/>
          <w:b/>
          <w:lang w:val="ru-RU"/>
        </w:rPr>
      </w:pPr>
      <w:r w:rsidRPr="00F06DE2">
        <w:rPr>
          <w:rFonts w:ascii="Times New Roman" w:hAnsi="Times New Roman" w:cs="Times New Roman"/>
          <w:lang w:val="ru-RU"/>
        </w:rPr>
        <w:t>1.</w:t>
      </w:r>
      <w:r w:rsidRPr="00F06DE2">
        <w:rPr>
          <w:rFonts w:ascii="Times New Roman" w:hAnsi="Times New Roman" w:cs="Times New Roman"/>
          <w:lang w:val="ru-RU"/>
        </w:rPr>
        <w:tab/>
        <w:t>Плавателни средства, които не отговарят изцяло на изискванията на настоящия стандарт:</w:t>
      </w:r>
    </w:p>
    <w:p w14:paraId="0755BD40" w14:textId="77777777" w:rsidR="00271FA2" w:rsidRPr="00F06DE2" w:rsidRDefault="00D35E51" w:rsidP="003475C3">
      <w:pPr>
        <w:spacing w:line="240" w:lineRule="atLeast"/>
        <w:ind w:leftChars="236" w:left="519" w:firstLine="8"/>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трябва да бъдат адаптирани, за да бъдат в съответствие с тези разпоредби съгласно преходните разпоредби, изброени в таблицата по-долу; и</w:t>
      </w:r>
    </w:p>
    <w:p w14:paraId="7F49FA51" w14:textId="77777777" w:rsidR="00271FA2" w:rsidRPr="00F06DE2" w:rsidRDefault="00D35E51" w:rsidP="003475C3">
      <w:pPr>
        <w:spacing w:line="240" w:lineRule="atLeast"/>
        <w:ind w:leftChars="236" w:left="519" w:firstLine="8"/>
        <w:jc w:val="both"/>
        <w:rPr>
          <w:rFonts w:ascii="Times New Roman" w:hAnsi="Times New Roman" w:cs="Times New Roman"/>
          <w:lang w:val="ru-RU"/>
        </w:rPr>
      </w:pPr>
      <w:r w:rsidRPr="00F06DE2">
        <w:rPr>
          <w:rFonts w:ascii="Times New Roman" w:hAnsi="Times New Roman" w:cs="Times New Roman"/>
          <w:lang w:val="ru-RU"/>
        </w:rPr>
        <w:t xml:space="preserve">б) до адаптирането им, те трябва да съответстват на Рейнските правила за инспекция на корабите в сила от 31 декември 1994 г. </w:t>
      </w:r>
    </w:p>
    <w:p w14:paraId="5414ECDC" w14:textId="77777777" w:rsidR="00271FA2" w:rsidRPr="00F06DE2" w:rsidRDefault="00D35E51" w:rsidP="003475C3">
      <w:pPr>
        <w:spacing w:line="240" w:lineRule="atLeast"/>
        <w:ind w:leftChars="236" w:left="519"/>
        <w:jc w:val="both"/>
        <w:rPr>
          <w:rFonts w:ascii="Times New Roman" w:hAnsi="Times New Roman" w:cs="Times New Roman"/>
          <w:lang w:val="ru-RU"/>
        </w:rPr>
      </w:pPr>
      <w:r w:rsidRPr="00F06DE2">
        <w:rPr>
          <w:rFonts w:ascii="Times New Roman" w:hAnsi="Times New Roman" w:cs="Times New Roman"/>
          <w:lang w:val="ru-RU"/>
        </w:rPr>
        <w:t>Когато на плавателно средство се издава ново Корабно удостоверение за вътрешно корабоплаване съгласно определението в член 32.01, точка 1 удостоверението, съгласно Рейнските правила за инспекция на корабите се представя като потвърждение, след което то се отменя и датата на издаването му съгласно Рейнските правила за инспекция на корабите в сила към 31 декември 1994 г. се записва в точка 52 от новото Корабно удостоверение за вътрешно корабоплаване, както следва:</w:t>
      </w:r>
    </w:p>
    <w:p w14:paraId="41CFA271" w14:textId="77777777" w:rsidR="00271FA2" w:rsidRPr="00F06DE2" w:rsidRDefault="00D35E51" w:rsidP="003475C3">
      <w:pPr>
        <w:spacing w:line="240" w:lineRule="atLeast"/>
        <w:ind w:left="567"/>
        <w:rPr>
          <w:rFonts w:ascii="Times New Roman" w:hAnsi="Times New Roman" w:cs="Times New Roman"/>
          <w:lang w:val="ru-RU"/>
        </w:rPr>
      </w:pPr>
      <w:r w:rsidRPr="00F06DE2">
        <w:rPr>
          <w:rFonts w:ascii="Times New Roman" w:hAnsi="Times New Roman" w:cs="Times New Roman"/>
          <w:lang w:val="ru-RU"/>
        </w:rPr>
        <w:t>„удостоверение, съгласно Рейнските правила за инспекция на корабите в сила към 31 декември 1994 г. е издадено на: …“</w:t>
      </w:r>
    </w:p>
    <w:p w14:paraId="55979FD1" w14:textId="77777777" w:rsidR="00271FA2" w:rsidRPr="00F06DE2" w:rsidRDefault="00D35E51" w:rsidP="003475C3">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 таблицата по-долу важат следните определения:</w:t>
      </w:r>
    </w:p>
    <w:p w14:paraId="34DAFBCE" w14:textId="77777777" w:rsidR="00271FA2" w:rsidRPr="00F06DE2" w:rsidRDefault="00D35E51" w:rsidP="003475C3">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„НЗР“: разпоредбата не се прилага за плавателни средства, които вече са в експлоатация, освен ако въпросните части не бъдат заменени или преустроени, т.е. разпоредбата важи само по отношение на </w:t>
      </w:r>
      <w:r w:rsidRPr="00F06DE2">
        <w:rPr>
          <w:rFonts w:ascii="Times New Roman" w:hAnsi="Times New Roman" w:cs="Times New Roman"/>
          <w:u w:val="single"/>
          <w:lang w:val="ru-RU"/>
        </w:rPr>
        <w:t>Н</w:t>
      </w:r>
      <w:r w:rsidRPr="00F06DE2">
        <w:rPr>
          <w:rFonts w:ascii="Times New Roman" w:hAnsi="Times New Roman" w:cs="Times New Roman"/>
          <w:lang w:val="ru-RU"/>
        </w:rPr>
        <w:t xml:space="preserve">овоизградени плавателни средства и на </w:t>
      </w:r>
      <w:r w:rsidRPr="00F06DE2">
        <w:rPr>
          <w:rFonts w:ascii="Times New Roman" w:hAnsi="Times New Roman" w:cs="Times New Roman"/>
          <w:u w:val="single"/>
          <w:lang w:val="ru-RU"/>
        </w:rPr>
        <w:t>З</w:t>
      </w:r>
      <w:r w:rsidRPr="00F06DE2">
        <w:rPr>
          <w:rFonts w:ascii="Times New Roman" w:hAnsi="Times New Roman" w:cs="Times New Roman"/>
          <w:lang w:val="ru-RU"/>
        </w:rPr>
        <w:t xml:space="preserve">амяната или </w:t>
      </w:r>
      <w:r w:rsidRPr="00F06DE2">
        <w:rPr>
          <w:rFonts w:ascii="Times New Roman" w:hAnsi="Times New Roman" w:cs="Times New Roman"/>
          <w:u w:val="single"/>
          <w:lang w:val="ru-RU"/>
        </w:rPr>
        <w:t>Р</w:t>
      </w:r>
      <w:r w:rsidRPr="00F06DE2">
        <w:rPr>
          <w:rFonts w:ascii="Times New Roman" w:hAnsi="Times New Roman" w:cs="Times New Roman"/>
          <w:lang w:val="ru-RU"/>
        </w:rPr>
        <w:t xml:space="preserve">еконструкцията (преустройството) на въпросните части или пространства. В случай, че съществуващи части се заменят с части от същия вид при използване на същата технология, това не представлява замяна „З“ по смисъла на преходните разпоредби. </w:t>
      </w:r>
    </w:p>
    <w:p w14:paraId="441A5E82" w14:textId="77777777" w:rsidR="00F14E20" w:rsidRPr="00F06DE2" w:rsidRDefault="00F14E20" w:rsidP="00497ADA">
      <w:pPr>
        <w:tabs>
          <w:tab w:val="left" w:pos="4678"/>
        </w:tabs>
        <w:spacing w:line="240" w:lineRule="atLeast"/>
        <w:ind w:left="567"/>
        <w:jc w:val="both"/>
        <w:rPr>
          <w:rFonts w:ascii="Times New Roman" w:hAnsi="Times New Roman" w:cs="Times New Roman"/>
          <w:lang w:val="ru-RU"/>
        </w:rPr>
      </w:pPr>
    </w:p>
    <w:p w14:paraId="2526F825" w14:textId="416468EF" w:rsidR="003475C3" w:rsidRPr="00F06DE2" w:rsidRDefault="00D35E51" w:rsidP="00497ADA">
      <w:pPr>
        <w:tabs>
          <w:tab w:val="left" w:pos="4678"/>
        </w:tabs>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„Издаване или подновяване на Корабното удостоверение за вътрешно корабоплаване“: разпоредбата трябва да бъде спазена при следващото издаване или подновяване на Корабното удостоверение за вътрешно корабоплаване след посочената дата</w:t>
      </w:r>
    </w:p>
    <w:p w14:paraId="1F1CC264" w14:textId="799EF260" w:rsidR="003475C3" w:rsidRPr="00F06DE2" w:rsidRDefault="003475C3">
      <w:pPr>
        <w:rPr>
          <w:rFonts w:ascii="Times New Roman" w:hAnsi="Times New Roman" w:cs="Times New Roman"/>
          <w:lang w:val="ru-RU"/>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2"/>
        <w:gridCol w:w="1660"/>
        <w:gridCol w:w="3296"/>
        <w:gridCol w:w="6521"/>
        <w:gridCol w:w="1635"/>
      </w:tblGrid>
      <w:tr w:rsidR="00271FA2" w:rsidRPr="00F06DE2" w14:paraId="1B223444" w14:textId="77777777" w:rsidTr="000E4105">
        <w:trPr>
          <w:cantSplit/>
          <w:tblHeader/>
        </w:trPr>
        <w:tc>
          <w:tcPr>
            <w:tcW w:w="3002" w:type="dxa"/>
            <w:gridSpan w:val="2"/>
            <w:shd w:val="clear" w:color="auto" w:fill="auto"/>
          </w:tcPr>
          <w:p w14:paraId="226788B6"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Член и точка</w:t>
            </w:r>
          </w:p>
        </w:tc>
        <w:tc>
          <w:tcPr>
            <w:tcW w:w="3296" w:type="dxa"/>
            <w:shd w:val="clear" w:color="auto" w:fill="auto"/>
          </w:tcPr>
          <w:p w14:paraId="78F47AEA"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Съдържание</w:t>
            </w:r>
          </w:p>
        </w:tc>
        <w:tc>
          <w:tcPr>
            <w:tcW w:w="8156" w:type="dxa"/>
            <w:gridSpan w:val="2"/>
            <w:shd w:val="clear" w:color="auto" w:fill="auto"/>
          </w:tcPr>
          <w:p w14:paraId="561C6A2D"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Краен срок и бележки</w:t>
            </w:r>
          </w:p>
        </w:tc>
      </w:tr>
      <w:tr w:rsidR="00271FA2" w:rsidRPr="00F06DE2" w14:paraId="6059C44B" w14:textId="77777777" w:rsidTr="000E4105">
        <w:trPr>
          <w:cantSplit/>
        </w:trPr>
        <w:tc>
          <w:tcPr>
            <w:tcW w:w="6298" w:type="dxa"/>
            <w:gridSpan w:val="3"/>
            <w:shd w:val="clear" w:color="auto" w:fill="auto"/>
          </w:tcPr>
          <w:p w14:paraId="0A3BC81C"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t>ГЛАВА 3</w:t>
            </w:r>
          </w:p>
        </w:tc>
        <w:tc>
          <w:tcPr>
            <w:tcW w:w="6521" w:type="dxa"/>
            <w:shd w:val="clear" w:color="auto" w:fill="auto"/>
          </w:tcPr>
          <w:p w14:paraId="32787E83" w14:textId="77777777" w:rsidR="00271FA2" w:rsidRPr="00F06DE2" w:rsidRDefault="00271FA2">
            <w:pPr>
              <w:spacing w:line="240" w:lineRule="atLeast"/>
              <w:jc w:val="center"/>
              <w:rPr>
                <w:rFonts w:ascii="Times New Roman" w:hAnsi="Times New Roman" w:cs="Times New Roman"/>
              </w:rPr>
            </w:pPr>
          </w:p>
        </w:tc>
        <w:tc>
          <w:tcPr>
            <w:tcW w:w="1635" w:type="dxa"/>
            <w:shd w:val="clear" w:color="auto" w:fill="auto"/>
          </w:tcPr>
          <w:p w14:paraId="539A4519" w14:textId="77777777" w:rsidR="00271FA2" w:rsidRPr="00F06DE2" w:rsidRDefault="00271FA2">
            <w:pPr>
              <w:spacing w:line="240" w:lineRule="atLeast"/>
              <w:jc w:val="center"/>
              <w:rPr>
                <w:rFonts w:ascii="Times New Roman" w:hAnsi="Times New Roman" w:cs="Times New Roman"/>
              </w:rPr>
            </w:pPr>
          </w:p>
        </w:tc>
      </w:tr>
      <w:tr w:rsidR="00271FA2" w:rsidRPr="00F06DE2" w14:paraId="0614E6DE" w14:textId="77777777" w:rsidTr="000E4105">
        <w:trPr>
          <w:cantSplit/>
        </w:trPr>
        <w:tc>
          <w:tcPr>
            <w:tcW w:w="1342" w:type="dxa"/>
            <w:vMerge w:val="restart"/>
            <w:shd w:val="clear" w:color="auto" w:fill="auto"/>
          </w:tcPr>
          <w:p w14:paraId="6ECC66E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3.03</w:t>
            </w:r>
          </w:p>
        </w:tc>
        <w:tc>
          <w:tcPr>
            <w:tcW w:w="1660" w:type="dxa"/>
            <w:shd w:val="clear" w:color="auto" w:fill="auto"/>
          </w:tcPr>
          <w:p w14:paraId="3293CCA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буква “a”</w:t>
            </w:r>
          </w:p>
        </w:tc>
        <w:tc>
          <w:tcPr>
            <w:tcW w:w="3296" w:type="dxa"/>
            <w:shd w:val="clear" w:color="auto" w:fill="auto"/>
          </w:tcPr>
          <w:p w14:paraId="6B2034A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Положение на първата носова непроницаема преграда</w:t>
            </w:r>
          </w:p>
        </w:tc>
        <w:tc>
          <w:tcPr>
            <w:tcW w:w="6521" w:type="dxa"/>
            <w:shd w:val="clear" w:color="auto" w:fill="auto"/>
          </w:tcPr>
          <w:p w14:paraId="4D90FE2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E71FD72" w14:textId="5F61F603" w:rsidR="00271FA2" w:rsidRPr="00F06DE2" w:rsidRDefault="000E4105" w:rsidP="000E4105">
            <w:pPr>
              <w:spacing w:line="240" w:lineRule="atLeast"/>
              <w:ind w:right="-179"/>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1.2035 г.</w:t>
            </w:r>
          </w:p>
        </w:tc>
      </w:tr>
      <w:tr w:rsidR="00271FA2" w:rsidRPr="00F06DE2" w14:paraId="1A2454B7" w14:textId="77777777" w:rsidTr="000E4105">
        <w:trPr>
          <w:cantSplit/>
        </w:trPr>
        <w:tc>
          <w:tcPr>
            <w:tcW w:w="1342" w:type="dxa"/>
            <w:vMerge/>
            <w:shd w:val="clear" w:color="auto" w:fill="auto"/>
          </w:tcPr>
          <w:p w14:paraId="6AE98E10" w14:textId="77777777" w:rsidR="00271FA2" w:rsidRPr="00F06DE2" w:rsidRDefault="00271FA2">
            <w:pPr>
              <w:spacing w:line="240" w:lineRule="atLeast"/>
              <w:jc w:val="both"/>
              <w:rPr>
                <w:rFonts w:ascii="Times New Roman" w:hAnsi="Times New Roman" w:cs="Times New Roman"/>
                <w:b/>
              </w:rPr>
            </w:pPr>
          </w:p>
        </w:tc>
        <w:tc>
          <w:tcPr>
            <w:tcW w:w="1660" w:type="dxa"/>
            <w:shd w:val="clear" w:color="auto" w:fill="auto"/>
          </w:tcPr>
          <w:p w14:paraId="1CFBFD9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буква “б”</w:t>
            </w:r>
          </w:p>
        </w:tc>
        <w:tc>
          <w:tcPr>
            <w:tcW w:w="3296" w:type="dxa"/>
            <w:shd w:val="clear" w:color="auto" w:fill="auto"/>
          </w:tcPr>
          <w:p w14:paraId="0A3C546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Положение на ахтерпиковата преграда</w:t>
            </w:r>
          </w:p>
        </w:tc>
        <w:tc>
          <w:tcPr>
            <w:tcW w:w="6521" w:type="dxa"/>
            <w:shd w:val="clear" w:color="auto" w:fill="auto"/>
          </w:tcPr>
          <w:p w14:paraId="477F0FB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08ADBEF" w14:textId="2DABC138" w:rsidR="00271FA2" w:rsidRPr="00F06DE2" w:rsidRDefault="000E4105" w:rsidP="000E4105">
            <w:pPr>
              <w:spacing w:line="240" w:lineRule="atLeast"/>
              <w:ind w:right="-179"/>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1.2035 г.</w:t>
            </w:r>
          </w:p>
        </w:tc>
      </w:tr>
      <w:tr w:rsidR="00271FA2" w:rsidRPr="00F06DE2" w14:paraId="17143CFD" w14:textId="77777777" w:rsidTr="000E4105">
        <w:trPr>
          <w:cantSplit/>
        </w:trPr>
        <w:tc>
          <w:tcPr>
            <w:tcW w:w="1342" w:type="dxa"/>
            <w:vMerge/>
            <w:shd w:val="clear" w:color="auto" w:fill="auto"/>
          </w:tcPr>
          <w:p w14:paraId="7ED2B1BD" w14:textId="77777777" w:rsidR="00271FA2" w:rsidRPr="00F06DE2" w:rsidRDefault="00271FA2">
            <w:pPr>
              <w:spacing w:line="240" w:lineRule="atLeast"/>
              <w:jc w:val="both"/>
              <w:rPr>
                <w:rFonts w:ascii="Times New Roman" w:hAnsi="Times New Roman" w:cs="Times New Roman"/>
                <w:b/>
              </w:rPr>
            </w:pPr>
          </w:p>
        </w:tc>
        <w:tc>
          <w:tcPr>
            <w:tcW w:w="1660" w:type="dxa"/>
            <w:vMerge w:val="restart"/>
            <w:shd w:val="clear" w:color="auto" w:fill="auto"/>
          </w:tcPr>
          <w:p w14:paraId="73F9A7E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p w14:paraId="4BAA4545" w14:textId="77777777" w:rsidR="00271FA2" w:rsidRPr="00F06DE2" w:rsidRDefault="00271FA2">
            <w:pPr>
              <w:spacing w:line="240" w:lineRule="atLeast"/>
              <w:jc w:val="both"/>
              <w:rPr>
                <w:rFonts w:ascii="Times New Roman" w:hAnsi="Times New Roman" w:cs="Times New Roman"/>
              </w:rPr>
            </w:pPr>
          </w:p>
          <w:p w14:paraId="5E303C82" w14:textId="77777777" w:rsidR="00271FA2" w:rsidRPr="00F06DE2" w:rsidRDefault="00271FA2">
            <w:pPr>
              <w:spacing w:line="240" w:lineRule="atLeast"/>
              <w:jc w:val="both"/>
              <w:rPr>
                <w:rFonts w:ascii="Times New Roman" w:hAnsi="Times New Roman" w:cs="Times New Roman"/>
              </w:rPr>
            </w:pPr>
          </w:p>
          <w:p w14:paraId="7B8E3C43" w14:textId="77777777" w:rsidR="00271FA2" w:rsidRPr="00F06DE2" w:rsidRDefault="00271FA2">
            <w:pPr>
              <w:spacing w:line="240" w:lineRule="atLeast"/>
              <w:jc w:val="both"/>
              <w:rPr>
                <w:rFonts w:ascii="Times New Roman" w:hAnsi="Times New Roman" w:cs="Times New Roman"/>
              </w:rPr>
            </w:pPr>
          </w:p>
          <w:p w14:paraId="1AAACBE8"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255D369C" w14:textId="55C0FB77" w:rsidR="00271FA2" w:rsidRPr="00F06DE2" w:rsidRDefault="00D35E51" w:rsidP="002C041A">
            <w:pPr>
              <w:spacing w:line="240" w:lineRule="atLeast"/>
              <w:jc w:val="both"/>
              <w:rPr>
                <w:rFonts w:ascii="Times New Roman" w:hAnsi="Times New Roman" w:cs="Times New Roman"/>
              </w:rPr>
            </w:pPr>
            <w:r w:rsidRPr="00F06DE2">
              <w:rPr>
                <w:rFonts w:ascii="Times New Roman" w:hAnsi="Times New Roman" w:cs="Times New Roman"/>
              </w:rPr>
              <w:t xml:space="preserve">Помещения </w:t>
            </w:r>
            <w:r w:rsidR="002C041A" w:rsidRPr="00F06DE2">
              <w:rPr>
                <w:rFonts w:ascii="Times New Roman" w:hAnsi="Times New Roman" w:cs="Times New Roman"/>
              </w:rPr>
              <w:t>зад ахтерпиковата преграда</w:t>
            </w:r>
          </w:p>
        </w:tc>
        <w:tc>
          <w:tcPr>
            <w:tcW w:w="6521" w:type="dxa"/>
            <w:shd w:val="clear" w:color="auto" w:fill="auto"/>
          </w:tcPr>
          <w:p w14:paraId="0404C26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корабоплаванеслед</w:t>
            </w:r>
          </w:p>
        </w:tc>
        <w:tc>
          <w:tcPr>
            <w:tcW w:w="1635" w:type="dxa"/>
            <w:shd w:val="clear" w:color="auto" w:fill="auto"/>
          </w:tcPr>
          <w:p w14:paraId="45A2F16A" w14:textId="31992D09" w:rsidR="00271FA2" w:rsidRPr="00F06DE2" w:rsidRDefault="000E4105" w:rsidP="000E4105">
            <w:pPr>
              <w:spacing w:line="240" w:lineRule="atLeast"/>
              <w:ind w:right="-179"/>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1.2045 г.</w:t>
            </w:r>
          </w:p>
        </w:tc>
      </w:tr>
      <w:tr w:rsidR="00271FA2" w:rsidRPr="00F06DE2" w14:paraId="4304DBE9" w14:textId="77777777" w:rsidTr="000E4105">
        <w:trPr>
          <w:cantSplit/>
        </w:trPr>
        <w:tc>
          <w:tcPr>
            <w:tcW w:w="1342" w:type="dxa"/>
            <w:vMerge/>
            <w:shd w:val="clear" w:color="auto" w:fill="auto"/>
          </w:tcPr>
          <w:p w14:paraId="0DA23466" w14:textId="77777777" w:rsidR="00271FA2" w:rsidRPr="00F06DE2" w:rsidRDefault="00271FA2">
            <w:pPr>
              <w:spacing w:line="240" w:lineRule="atLeast"/>
              <w:rPr>
                <w:rFonts w:ascii="Times New Roman" w:hAnsi="Times New Roman" w:cs="Times New Roman"/>
                <w:b/>
              </w:rPr>
            </w:pPr>
          </w:p>
        </w:tc>
        <w:tc>
          <w:tcPr>
            <w:tcW w:w="1660" w:type="dxa"/>
            <w:vMerge/>
            <w:shd w:val="clear" w:color="auto" w:fill="auto"/>
          </w:tcPr>
          <w:p w14:paraId="22C0E0C2"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5C7B32B0" w14:textId="677BDFB7" w:rsidR="00271FA2" w:rsidRPr="00F06DE2" w:rsidRDefault="00D35E51">
            <w:pPr>
              <w:tabs>
                <w:tab w:val="left" w:pos="2790"/>
              </w:tabs>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Оборудване за безопасност </w:t>
            </w:r>
            <w:r w:rsidR="002C041A" w:rsidRPr="00F06DE2">
              <w:rPr>
                <w:rFonts w:ascii="Times New Roman" w:hAnsi="Times New Roman" w:cs="Times New Roman"/>
                <w:lang w:val="ru-RU"/>
              </w:rPr>
              <w:t>зад ахтерпиковата преграда</w:t>
            </w:r>
          </w:p>
        </w:tc>
        <w:tc>
          <w:tcPr>
            <w:tcW w:w="6521" w:type="dxa"/>
            <w:shd w:val="clear" w:color="auto" w:fill="auto"/>
          </w:tcPr>
          <w:p w14:paraId="7D547D5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D58CEDE" w14:textId="0F5B5BFA" w:rsidR="00271FA2" w:rsidRPr="00F06DE2" w:rsidRDefault="000E4105" w:rsidP="000E4105">
            <w:pPr>
              <w:spacing w:line="240" w:lineRule="atLeast"/>
              <w:ind w:right="-179"/>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1.2035 г.</w:t>
            </w:r>
          </w:p>
        </w:tc>
      </w:tr>
      <w:tr w:rsidR="00271FA2" w:rsidRPr="00F06DE2" w14:paraId="2C4F45CB" w14:textId="77777777" w:rsidTr="000E4105">
        <w:trPr>
          <w:cantSplit/>
        </w:trPr>
        <w:tc>
          <w:tcPr>
            <w:tcW w:w="1342" w:type="dxa"/>
            <w:vMerge/>
            <w:shd w:val="clear" w:color="auto" w:fill="auto"/>
          </w:tcPr>
          <w:p w14:paraId="2C755B81" w14:textId="77777777" w:rsidR="00271FA2" w:rsidRPr="00F06DE2" w:rsidRDefault="00271FA2">
            <w:pPr>
              <w:spacing w:line="240" w:lineRule="atLeast"/>
              <w:rPr>
                <w:rFonts w:ascii="Times New Roman" w:hAnsi="Times New Roman" w:cs="Times New Roman"/>
                <w:b/>
              </w:rPr>
            </w:pPr>
          </w:p>
        </w:tc>
        <w:tc>
          <w:tcPr>
            <w:tcW w:w="1660" w:type="dxa"/>
            <w:shd w:val="clear" w:color="auto" w:fill="auto"/>
          </w:tcPr>
          <w:p w14:paraId="2D441FE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2987E78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Котви, които не стърчат в носовите части на плавателните съдове</w:t>
            </w:r>
          </w:p>
        </w:tc>
        <w:tc>
          <w:tcPr>
            <w:tcW w:w="6521" w:type="dxa"/>
            <w:shd w:val="clear" w:color="auto" w:fill="auto"/>
          </w:tcPr>
          <w:p w14:paraId="5DCA42B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36E5F6A" w14:textId="0C332CD0" w:rsidR="00271FA2" w:rsidRPr="00F06DE2" w:rsidRDefault="000E4105" w:rsidP="000E4105">
            <w:pPr>
              <w:spacing w:line="240" w:lineRule="atLeast"/>
              <w:ind w:right="-179"/>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1.2041 г.</w:t>
            </w:r>
          </w:p>
        </w:tc>
      </w:tr>
      <w:tr w:rsidR="00271FA2" w:rsidRPr="00F06DE2" w14:paraId="148A656D" w14:textId="77777777" w:rsidTr="000E4105">
        <w:trPr>
          <w:cantSplit/>
        </w:trPr>
        <w:tc>
          <w:tcPr>
            <w:tcW w:w="1342" w:type="dxa"/>
            <w:shd w:val="clear" w:color="auto" w:fill="auto"/>
          </w:tcPr>
          <w:p w14:paraId="78353FE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3.04</w:t>
            </w:r>
          </w:p>
        </w:tc>
        <w:tc>
          <w:tcPr>
            <w:tcW w:w="1660" w:type="dxa"/>
            <w:shd w:val="clear" w:color="auto" w:fill="auto"/>
          </w:tcPr>
          <w:p w14:paraId="2DE0915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1B34F1D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Изходи от машинните отделения</w:t>
            </w:r>
          </w:p>
        </w:tc>
        <w:tc>
          <w:tcPr>
            <w:tcW w:w="6521" w:type="dxa"/>
            <w:shd w:val="clear" w:color="auto" w:fill="auto"/>
          </w:tcPr>
          <w:p w14:paraId="592F0EF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Машинните отделения, които не са считани за такива съгласно член 1.01 преди 1995</w:t>
            </w:r>
            <w:r w:rsidRPr="00F06DE2">
              <w:rPr>
                <w:rFonts w:ascii="Times New Roman" w:hAnsi="Times New Roman" w:cs="Times New Roman"/>
              </w:rPr>
              <w:t> </w:t>
            </w:r>
            <w:r w:rsidRPr="00F06DE2">
              <w:rPr>
                <w:rFonts w:ascii="Times New Roman" w:hAnsi="Times New Roman" w:cs="Times New Roman"/>
                <w:lang w:val="ru-RU"/>
              </w:rPr>
              <w:t>г., трябва да бъдат оборудвани с втори изход при НЗР, най-късно при подновяване на Корабното удостоверение за вътрешно корабоплаване след</w:t>
            </w:r>
          </w:p>
        </w:tc>
        <w:tc>
          <w:tcPr>
            <w:tcW w:w="1635" w:type="dxa"/>
            <w:shd w:val="clear" w:color="auto" w:fill="auto"/>
          </w:tcPr>
          <w:p w14:paraId="7D5DDA3E" w14:textId="26009CF2" w:rsidR="00271FA2" w:rsidRPr="00F06DE2" w:rsidRDefault="000E4105" w:rsidP="000E4105">
            <w:pPr>
              <w:spacing w:line="240" w:lineRule="atLeast"/>
              <w:ind w:right="-179"/>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1.2035 г.</w:t>
            </w:r>
          </w:p>
        </w:tc>
      </w:tr>
      <w:tr w:rsidR="00271FA2" w:rsidRPr="00F06DE2" w14:paraId="746D54DD" w14:textId="77777777" w:rsidTr="000E4105">
        <w:trPr>
          <w:cantSplit/>
        </w:trPr>
        <w:tc>
          <w:tcPr>
            <w:tcW w:w="6298" w:type="dxa"/>
            <w:gridSpan w:val="3"/>
            <w:shd w:val="clear" w:color="auto" w:fill="auto"/>
          </w:tcPr>
          <w:p w14:paraId="1C61C577"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5</w:t>
            </w:r>
          </w:p>
        </w:tc>
        <w:tc>
          <w:tcPr>
            <w:tcW w:w="6521" w:type="dxa"/>
            <w:shd w:val="clear" w:color="auto" w:fill="auto"/>
          </w:tcPr>
          <w:p w14:paraId="6DE128EA" w14:textId="77777777" w:rsidR="00271FA2" w:rsidRPr="00F06DE2" w:rsidRDefault="00271FA2">
            <w:pPr>
              <w:spacing w:line="240" w:lineRule="atLeast"/>
              <w:jc w:val="both"/>
              <w:rPr>
                <w:rFonts w:ascii="Times New Roman" w:hAnsi="Times New Roman" w:cs="Times New Roman"/>
                <w:b/>
              </w:rPr>
            </w:pPr>
          </w:p>
        </w:tc>
        <w:tc>
          <w:tcPr>
            <w:tcW w:w="1635" w:type="dxa"/>
            <w:shd w:val="clear" w:color="auto" w:fill="auto"/>
          </w:tcPr>
          <w:p w14:paraId="71EB8C2B" w14:textId="77777777" w:rsidR="00271FA2" w:rsidRPr="00F06DE2" w:rsidRDefault="00271FA2" w:rsidP="000E4105">
            <w:pPr>
              <w:spacing w:line="240" w:lineRule="atLeast"/>
              <w:ind w:right="-179"/>
              <w:jc w:val="both"/>
              <w:rPr>
                <w:rFonts w:ascii="Times New Roman" w:hAnsi="Times New Roman" w:cs="Times New Roman"/>
              </w:rPr>
            </w:pPr>
          </w:p>
        </w:tc>
      </w:tr>
      <w:tr w:rsidR="00271FA2" w:rsidRPr="00F06DE2" w14:paraId="6CFFBACB" w14:textId="77777777" w:rsidTr="000E4105">
        <w:trPr>
          <w:cantSplit/>
          <w:trHeight w:val="832"/>
        </w:trPr>
        <w:tc>
          <w:tcPr>
            <w:tcW w:w="1342" w:type="dxa"/>
            <w:shd w:val="clear" w:color="auto" w:fill="auto"/>
          </w:tcPr>
          <w:p w14:paraId="626C254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5.06</w:t>
            </w:r>
          </w:p>
          <w:p w14:paraId="53694DC3" w14:textId="77777777" w:rsidR="00497ADA" w:rsidRPr="00F06DE2" w:rsidRDefault="00497ADA">
            <w:pPr>
              <w:spacing w:line="240" w:lineRule="atLeast"/>
              <w:jc w:val="both"/>
              <w:rPr>
                <w:rFonts w:ascii="Times New Roman" w:hAnsi="Times New Roman" w:cs="Times New Roman"/>
              </w:rPr>
            </w:pPr>
          </w:p>
          <w:p w14:paraId="2A8CF302" w14:textId="77777777" w:rsidR="00497ADA" w:rsidRPr="00F06DE2" w:rsidRDefault="00497ADA">
            <w:pPr>
              <w:spacing w:line="240" w:lineRule="atLeast"/>
              <w:jc w:val="both"/>
              <w:rPr>
                <w:rFonts w:ascii="Times New Roman" w:hAnsi="Times New Roman" w:cs="Times New Roman"/>
              </w:rPr>
            </w:pPr>
          </w:p>
          <w:p w14:paraId="78238CD7" w14:textId="77777777" w:rsidR="00497ADA" w:rsidRPr="00F06DE2" w:rsidRDefault="00497ADA">
            <w:pPr>
              <w:spacing w:line="240" w:lineRule="atLeast"/>
              <w:jc w:val="both"/>
              <w:rPr>
                <w:rFonts w:ascii="Times New Roman" w:hAnsi="Times New Roman" w:cs="Times New Roman"/>
              </w:rPr>
            </w:pPr>
          </w:p>
          <w:p w14:paraId="215D9D3F" w14:textId="6DD0A3A9" w:rsidR="00497ADA" w:rsidRPr="00F06DE2" w:rsidRDefault="00497ADA">
            <w:pPr>
              <w:spacing w:line="240" w:lineRule="atLeast"/>
              <w:jc w:val="both"/>
              <w:rPr>
                <w:rFonts w:ascii="Times New Roman" w:hAnsi="Times New Roman" w:cs="Times New Roman"/>
              </w:rPr>
            </w:pPr>
          </w:p>
        </w:tc>
        <w:tc>
          <w:tcPr>
            <w:tcW w:w="1660" w:type="dxa"/>
            <w:shd w:val="clear" w:color="auto" w:fill="auto"/>
          </w:tcPr>
          <w:p w14:paraId="1F66303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1-во изречение</w:t>
            </w:r>
          </w:p>
        </w:tc>
        <w:tc>
          <w:tcPr>
            <w:tcW w:w="3296" w:type="dxa"/>
            <w:shd w:val="clear" w:color="auto" w:fill="auto"/>
          </w:tcPr>
          <w:p w14:paraId="2E54558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Минимална скорост</w:t>
            </w:r>
          </w:p>
        </w:tc>
        <w:tc>
          <w:tcPr>
            <w:tcW w:w="6521" w:type="dxa"/>
            <w:shd w:val="clear" w:color="auto" w:fill="auto"/>
          </w:tcPr>
          <w:p w14:paraId="74628BBC" w14:textId="0A2FB5B6" w:rsidR="00271FA2" w:rsidRPr="00F06DE2" w:rsidRDefault="0038706D" w:rsidP="009B7059">
            <w:pPr>
              <w:spacing w:line="240" w:lineRule="atLeast"/>
              <w:jc w:val="both"/>
              <w:rPr>
                <w:rFonts w:ascii="Times New Roman" w:hAnsi="Times New Roman" w:cs="Times New Roman"/>
                <w:lang w:val="ru-RU"/>
              </w:rPr>
            </w:pPr>
            <w:r w:rsidRPr="00F06DE2">
              <w:rPr>
                <w:rFonts w:ascii="Times New Roman" w:hAnsi="Times New Roman" w:cs="Times New Roman"/>
                <w:noProof/>
                <w:lang w:val="ru-RU"/>
              </w:rPr>
              <w:t xml:space="preserve">За плавателни съдове, които са положени преди </w:t>
            </w:r>
            <w:r w:rsidR="008B10E3" w:rsidRPr="00F06DE2">
              <w:rPr>
                <w:rFonts w:ascii="Times New Roman" w:hAnsi="Times New Roman" w:cs="Times New Roman"/>
                <w:noProof/>
                <w:lang w:val="ru-RU"/>
              </w:rPr>
              <w:t>0</w:t>
            </w:r>
            <w:r w:rsidRPr="00F06DE2">
              <w:rPr>
                <w:rFonts w:ascii="Times New Roman" w:hAnsi="Times New Roman" w:cs="Times New Roman"/>
                <w:noProof/>
                <w:lang w:val="ru-RU"/>
              </w:rPr>
              <w:t>1.</w:t>
            </w:r>
            <w:r w:rsidR="008B10E3" w:rsidRPr="00F06DE2">
              <w:rPr>
                <w:rFonts w:ascii="Times New Roman" w:hAnsi="Times New Roman" w:cs="Times New Roman"/>
                <w:noProof/>
                <w:lang w:val="ru-RU"/>
              </w:rPr>
              <w:t>0</w:t>
            </w:r>
            <w:r w:rsidRPr="00F06DE2">
              <w:rPr>
                <w:rFonts w:ascii="Times New Roman" w:hAnsi="Times New Roman" w:cs="Times New Roman"/>
                <w:noProof/>
                <w:lang w:val="ru-RU"/>
              </w:rPr>
              <w:t xml:space="preserve">1.1996 г., най-късно при подновяване на </w:t>
            </w:r>
            <w:r w:rsidR="00106115" w:rsidRPr="00F06DE2">
              <w:rPr>
                <w:rFonts w:ascii="Times New Roman" w:hAnsi="Times New Roman" w:cs="Times New Roman"/>
                <w:noProof/>
                <w:lang w:val="ru-RU"/>
              </w:rPr>
              <w:t>корабното удостоверение  за вътрешно корабоплаване</w:t>
            </w:r>
            <w:r w:rsidR="00106115" w:rsidRPr="00F06DE2" w:rsidDel="00106115">
              <w:rPr>
                <w:rFonts w:ascii="Times New Roman" w:hAnsi="Times New Roman" w:cs="Times New Roman"/>
                <w:noProof/>
                <w:lang w:val="ru-RU"/>
              </w:rPr>
              <w:t xml:space="preserve"> </w:t>
            </w:r>
            <w:r w:rsidRPr="00F06DE2">
              <w:rPr>
                <w:rFonts w:ascii="Times New Roman" w:hAnsi="Times New Roman" w:cs="Times New Roman"/>
                <w:noProof/>
                <w:lang w:val="ru-RU"/>
              </w:rPr>
              <w:t>след</w:t>
            </w:r>
          </w:p>
        </w:tc>
        <w:tc>
          <w:tcPr>
            <w:tcW w:w="1635" w:type="dxa"/>
            <w:shd w:val="clear" w:color="auto" w:fill="auto"/>
          </w:tcPr>
          <w:p w14:paraId="0397AE20" w14:textId="7836C999" w:rsidR="00271FA2" w:rsidRPr="00F06DE2" w:rsidRDefault="000E4105" w:rsidP="000E4105">
            <w:pPr>
              <w:spacing w:line="240" w:lineRule="atLeast"/>
              <w:ind w:right="-179"/>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1.2035 г.</w:t>
            </w:r>
          </w:p>
        </w:tc>
      </w:tr>
      <w:tr w:rsidR="00271FA2" w:rsidRPr="00F06DE2" w14:paraId="738162BF" w14:textId="77777777" w:rsidTr="000E4105">
        <w:trPr>
          <w:cantSplit/>
        </w:trPr>
        <w:tc>
          <w:tcPr>
            <w:tcW w:w="6298" w:type="dxa"/>
            <w:gridSpan w:val="3"/>
            <w:shd w:val="clear" w:color="auto" w:fill="auto"/>
          </w:tcPr>
          <w:p w14:paraId="29ADEE4A"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6</w:t>
            </w:r>
          </w:p>
        </w:tc>
        <w:tc>
          <w:tcPr>
            <w:tcW w:w="6521" w:type="dxa"/>
            <w:shd w:val="clear" w:color="auto" w:fill="auto"/>
          </w:tcPr>
          <w:p w14:paraId="109B6022" w14:textId="77777777" w:rsidR="00271FA2" w:rsidRPr="00F06DE2" w:rsidRDefault="00271FA2">
            <w:pPr>
              <w:spacing w:line="240" w:lineRule="atLeast"/>
              <w:jc w:val="center"/>
              <w:rPr>
                <w:rFonts w:ascii="Times New Roman" w:hAnsi="Times New Roman" w:cs="Times New Roman"/>
              </w:rPr>
            </w:pPr>
          </w:p>
        </w:tc>
        <w:tc>
          <w:tcPr>
            <w:tcW w:w="1635" w:type="dxa"/>
            <w:shd w:val="clear" w:color="auto" w:fill="auto"/>
          </w:tcPr>
          <w:p w14:paraId="33C3A443" w14:textId="77777777" w:rsidR="00271FA2" w:rsidRPr="00F06DE2" w:rsidRDefault="00271FA2" w:rsidP="000E4105">
            <w:pPr>
              <w:spacing w:line="240" w:lineRule="atLeast"/>
              <w:ind w:right="-179"/>
              <w:jc w:val="center"/>
              <w:rPr>
                <w:rFonts w:ascii="Times New Roman" w:hAnsi="Times New Roman" w:cs="Times New Roman"/>
              </w:rPr>
            </w:pPr>
          </w:p>
        </w:tc>
      </w:tr>
      <w:tr w:rsidR="00271FA2" w:rsidRPr="00F06DE2" w14:paraId="7F6968FB" w14:textId="77777777" w:rsidTr="000E4105">
        <w:trPr>
          <w:cantSplit/>
        </w:trPr>
        <w:tc>
          <w:tcPr>
            <w:tcW w:w="1342" w:type="dxa"/>
            <w:shd w:val="clear" w:color="auto" w:fill="auto"/>
          </w:tcPr>
          <w:p w14:paraId="45B6335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6.01</w:t>
            </w:r>
          </w:p>
          <w:p w14:paraId="097152E0" w14:textId="0AD0F053" w:rsidR="00A3799B" w:rsidRPr="00F06DE2" w:rsidRDefault="00A3799B">
            <w:pPr>
              <w:spacing w:line="240" w:lineRule="atLeast"/>
              <w:jc w:val="both"/>
              <w:rPr>
                <w:rFonts w:ascii="Times New Roman" w:hAnsi="Times New Roman" w:cs="Times New Roman"/>
              </w:rPr>
            </w:pPr>
          </w:p>
        </w:tc>
        <w:tc>
          <w:tcPr>
            <w:tcW w:w="1660" w:type="dxa"/>
            <w:shd w:val="clear" w:color="auto" w:fill="auto"/>
          </w:tcPr>
          <w:p w14:paraId="5B85001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18614C5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Маневреност, изисквана съгласно Глава 5</w:t>
            </w:r>
          </w:p>
        </w:tc>
        <w:tc>
          <w:tcPr>
            <w:tcW w:w="6521" w:type="dxa"/>
            <w:shd w:val="clear" w:color="auto" w:fill="auto"/>
          </w:tcPr>
          <w:p w14:paraId="67BAAB9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F551DE9" w14:textId="0ADEDB46" w:rsidR="00271FA2" w:rsidRPr="00F06DE2" w:rsidRDefault="000E4105" w:rsidP="000E4105">
            <w:pPr>
              <w:spacing w:line="240" w:lineRule="atLeast"/>
              <w:ind w:right="-179"/>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1.2035 г.</w:t>
            </w:r>
          </w:p>
        </w:tc>
      </w:tr>
      <w:tr w:rsidR="007F22D2" w:rsidRPr="00F06DE2" w14:paraId="6D69B74B" w14:textId="77777777" w:rsidTr="000E4105">
        <w:trPr>
          <w:cantSplit/>
        </w:trPr>
        <w:tc>
          <w:tcPr>
            <w:tcW w:w="1342" w:type="dxa"/>
            <w:vMerge w:val="restart"/>
            <w:shd w:val="clear" w:color="auto" w:fill="auto"/>
          </w:tcPr>
          <w:p w14:paraId="471E16FA" w14:textId="7C9BEB5C" w:rsidR="007F22D2" w:rsidRPr="00F06DE2" w:rsidRDefault="007F22D2">
            <w:pPr>
              <w:spacing w:line="240" w:lineRule="atLeast"/>
              <w:rPr>
                <w:rFonts w:ascii="Times New Roman" w:hAnsi="Times New Roman" w:cs="Times New Roman"/>
              </w:rPr>
            </w:pPr>
            <w:r w:rsidRPr="00F06DE2">
              <w:rPr>
                <w:rFonts w:ascii="Times New Roman" w:hAnsi="Times New Roman" w:cs="Times New Roman"/>
              </w:rPr>
              <w:t>6.02</w:t>
            </w:r>
          </w:p>
        </w:tc>
        <w:tc>
          <w:tcPr>
            <w:tcW w:w="1660" w:type="dxa"/>
            <w:vMerge w:val="restart"/>
            <w:shd w:val="clear" w:color="auto" w:fill="auto"/>
          </w:tcPr>
          <w:p w14:paraId="686457F3" w14:textId="77777777" w:rsidR="007F22D2" w:rsidRPr="00F06DE2" w:rsidRDefault="007F22D2">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6C8EEB07" w14:textId="77777777" w:rsidR="007F22D2" w:rsidRPr="00F06DE2" w:rsidRDefault="007F22D2">
            <w:pPr>
              <w:spacing w:line="240" w:lineRule="atLeast"/>
              <w:jc w:val="both"/>
              <w:rPr>
                <w:rFonts w:ascii="Times New Roman" w:hAnsi="Times New Roman" w:cs="Times New Roman"/>
                <w:lang w:val="ru-RU"/>
              </w:rPr>
            </w:pPr>
            <w:r w:rsidRPr="00F06DE2">
              <w:rPr>
                <w:rFonts w:ascii="Times New Roman" w:hAnsi="Times New Roman" w:cs="Times New Roman"/>
                <w:lang w:val="ru-RU"/>
              </w:rPr>
              <w:t>Дублирани регулиращи клапани при хидравлични задвижващи звена</w:t>
            </w:r>
          </w:p>
        </w:tc>
        <w:tc>
          <w:tcPr>
            <w:tcW w:w="6521" w:type="dxa"/>
            <w:shd w:val="clear" w:color="auto" w:fill="auto"/>
          </w:tcPr>
          <w:p w14:paraId="41DB5F02" w14:textId="77777777" w:rsidR="007F22D2" w:rsidRPr="00F06DE2" w:rsidRDefault="007F22D2">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корабоплаванеслед</w:t>
            </w:r>
          </w:p>
        </w:tc>
        <w:tc>
          <w:tcPr>
            <w:tcW w:w="1635" w:type="dxa"/>
            <w:shd w:val="clear" w:color="auto" w:fill="auto"/>
          </w:tcPr>
          <w:p w14:paraId="17D8A61F" w14:textId="6BC546F7" w:rsidR="007F22D2" w:rsidRPr="00F06DE2" w:rsidRDefault="000E4105">
            <w:pPr>
              <w:spacing w:line="240" w:lineRule="atLeast"/>
              <w:jc w:val="both"/>
              <w:rPr>
                <w:rFonts w:ascii="Times New Roman" w:hAnsi="Times New Roman" w:cs="Times New Roman"/>
              </w:rPr>
            </w:pPr>
            <w:r w:rsidRPr="00F06DE2">
              <w:rPr>
                <w:rFonts w:ascii="Times New Roman" w:hAnsi="Times New Roman" w:cs="Times New Roman"/>
              </w:rPr>
              <w:t>0</w:t>
            </w:r>
            <w:r w:rsidR="007F22D2" w:rsidRPr="00F06DE2">
              <w:rPr>
                <w:rFonts w:ascii="Times New Roman" w:hAnsi="Times New Roman" w:cs="Times New Roman"/>
              </w:rPr>
              <w:t>1.</w:t>
            </w:r>
            <w:r w:rsidRPr="00F06DE2">
              <w:rPr>
                <w:rFonts w:ascii="Times New Roman" w:hAnsi="Times New Roman" w:cs="Times New Roman"/>
              </w:rPr>
              <w:t>0</w:t>
            </w:r>
            <w:r w:rsidR="007F22D2" w:rsidRPr="00F06DE2">
              <w:rPr>
                <w:rFonts w:ascii="Times New Roman" w:hAnsi="Times New Roman" w:cs="Times New Roman"/>
              </w:rPr>
              <w:t>1.2020 г.</w:t>
            </w:r>
          </w:p>
        </w:tc>
      </w:tr>
      <w:tr w:rsidR="007F22D2" w:rsidRPr="00F06DE2" w14:paraId="36599A35" w14:textId="77777777" w:rsidTr="000E4105">
        <w:trPr>
          <w:cantSplit/>
        </w:trPr>
        <w:tc>
          <w:tcPr>
            <w:tcW w:w="1342" w:type="dxa"/>
            <w:vMerge/>
            <w:shd w:val="clear" w:color="auto" w:fill="auto"/>
          </w:tcPr>
          <w:p w14:paraId="0BA9B5C1" w14:textId="77777777" w:rsidR="007F22D2" w:rsidRPr="00F06DE2" w:rsidRDefault="007F22D2">
            <w:pPr>
              <w:spacing w:line="240" w:lineRule="atLeast"/>
              <w:rPr>
                <w:rFonts w:ascii="Times New Roman" w:hAnsi="Times New Roman" w:cs="Times New Roman"/>
              </w:rPr>
            </w:pPr>
          </w:p>
        </w:tc>
        <w:tc>
          <w:tcPr>
            <w:tcW w:w="1660" w:type="dxa"/>
            <w:vMerge/>
            <w:shd w:val="clear" w:color="auto" w:fill="auto"/>
          </w:tcPr>
          <w:p w14:paraId="08AE6A2F" w14:textId="77777777" w:rsidR="007F22D2" w:rsidRPr="00F06DE2" w:rsidRDefault="007F22D2">
            <w:pPr>
              <w:spacing w:line="240" w:lineRule="atLeast"/>
              <w:rPr>
                <w:rFonts w:ascii="Times New Roman" w:hAnsi="Times New Roman" w:cs="Times New Roman"/>
              </w:rPr>
            </w:pPr>
          </w:p>
        </w:tc>
        <w:tc>
          <w:tcPr>
            <w:tcW w:w="3296" w:type="dxa"/>
            <w:shd w:val="clear" w:color="auto" w:fill="auto"/>
          </w:tcPr>
          <w:p w14:paraId="262C41FA" w14:textId="77777777" w:rsidR="007F22D2" w:rsidRPr="00F06DE2" w:rsidRDefault="007F22D2">
            <w:pPr>
              <w:tabs>
                <w:tab w:val="left" w:pos="1125"/>
              </w:tabs>
              <w:spacing w:line="240" w:lineRule="atLeast"/>
              <w:jc w:val="both"/>
              <w:rPr>
                <w:rFonts w:ascii="Times New Roman" w:hAnsi="Times New Roman" w:cs="Times New Roman"/>
                <w:lang w:val="ru-RU"/>
              </w:rPr>
            </w:pPr>
            <w:r w:rsidRPr="00F06DE2">
              <w:rPr>
                <w:rFonts w:ascii="Times New Roman" w:hAnsi="Times New Roman" w:cs="Times New Roman"/>
                <w:lang w:val="ru-RU"/>
              </w:rPr>
              <w:t>Отделна система от тръбопроводи за второто задвижващо звено в случай на хидравлични задвижващи звена</w:t>
            </w:r>
          </w:p>
        </w:tc>
        <w:tc>
          <w:tcPr>
            <w:tcW w:w="6521" w:type="dxa"/>
            <w:shd w:val="clear" w:color="auto" w:fill="auto"/>
          </w:tcPr>
          <w:p w14:paraId="0AEBD071" w14:textId="77777777" w:rsidR="007F22D2" w:rsidRPr="00F06DE2" w:rsidRDefault="007F22D2">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3A83082" w14:textId="084B5103" w:rsidR="007F22D2" w:rsidRPr="00F06DE2" w:rsidRDefault="000E4105">
            <w:pPr>
              <w:spacing w:line="240" w:lineRule="atLeast"/>
              <w:jc w:val="both"/>
              <w:rPr>
                <w:rFonts w:ascii="Times New Roman" w:hAnsi="Times New Roman" w:cs="Times New Roman"/>
              </w:rPr>
            </w:pPr>
            <w:r w:rsidRPr="00F06DE2">
              <w:rPr>
                <w:rFonts w:ascii="Times New Roman" w:hAnsi="Times New Roman" w:cs="Times New Roman"/>
              </w:rPr>
              <w:t>0</w:t>
            </w:r>
            <w:r w:rsidR="007F22D2" w:rsidRPr="00F06DE2">
              <w:rPr>
                <w:rFonts w:ascii="Times New Roman" w:hAnsi="Times New Roman" w:cs="Times New Roman"/>
              </w:rPr>
              <w:t>1.</w:t>
            </w:r>
            <w:r w:rsidRPr="00F06DE2">
              <w:rPr>
                <w:rFonts w:ascii="Times New Roman" w:hAnsi="Times New Roman" w:cs="Times New Roman"/>
              </w:rPr>
              <w:t>0</w:t>
            </w:r>
            <w:r w:rsidR="007F22D2" w:rsidRPr="00F06DE2">
              <w:rPr>
                <w:rFonts w:ascii="Times New Roman" w:hAnsi="Times New Roman" w:cs="Times New Roman"/>
              </w:rPr>
              <w:t>1.2020 г.</w:t>
            </w:r>
          </w:p>
        </w:tc>
      </w:tr>
      <w:tr w:rsidR="007F22D2" w:rsidRPr="00F06DE2" w14:paraId="562CBE8E" w14:textId="77777777" w:rsidTr="000E4105">
        <w:trPr>
          <w:cantSplit/>
        </w:trPr>
        <w:tc>
          <w:tcPr>
            <w:tcW w:w="1342" w:type="dxa"/>
            <w:vMerge/>
            <w:shd w:val="clear" w:color="auto" w:fill="auto"/>
          </w:tcPr>
          <w:p w14:paraId="267DB8D3" w14:textId="77777777" w:rsidR="007F22D2" w:rsidRPr="00F06DE2" w:rsidRDefault="007F22D2">
            <w:pPr>
              <w:spacing w:line="240" w:lineRule="atLeast"/>
              <w:rPr>
                <w:rFonts w:ascii="Times New Roman" w:hAnsi="Times New Roman" w:cs="Times New Roman"/>
              </w:rPr>
            </w:pPr>
          </w:p>
        </w:tc>
        <w:tc>
          <w:tcPr>
            <w:tcW w:w="1660" w:type="dxa"/>
            <w:shd w:val="clear" w:color="auto" w:fill="auto"/>
          </w:tcPr>
          <w:p w14:paraId="40283AC3" w14:textId="77777777" w:rsidR="007F22D2" w:rsidRPr="00F06DE2" w:rsidRDefault="007F22D2">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626328F3" w14:textId="77777777" w:rsidR="007F22D2" w:rsidRPr="00F06DE2" w:rsidRDefault="007F22D2">
            <w:pPr>
              <w:spacing w:line="240" w:lineRule="atLeast"/>
              <w:jc w:val="both"/>
              <w:rPr>
                <w:rFonts w:ascii="Times New Roman" w:hAnsi="Times New Roman" w:cs="Times New Roman"/>
                <w:lang w:val="ru-RU"/>
              </w:rPr>
            </w:pPr>
            <w:r w:rsidRPr="00F06DE2">
              <w:rPr>
                <w:rFonts w:ascii="Times New Roman" w:hAnsi="Times New Roman" w:cs="Times New Roman"/>
                <w:lang w:val="ru-RU"/>
              </w:rPr>
              <w:t>Маневреност, изисквана съгласно Глава 5, осигурена чрез второ задвижващо звено или ръчно задвижване</w:t>
            </w:r>
          </w:p>
        </w:tc>
        <w:tc>
          <w:tcPr>
            <w:tcW w:w="6521" w:type="dxa"/>
            <w:shd w:val="clear" w:color="auto" w:fill="auto"/>
          </w:tcPr>
          <w:p w14:paraId="1126D184" w14:textId="77777777" w:rsidR="007F22D2" w:rsidRPr="00F06DE2" w:rsidRDefault="007F22D2">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9406343" w14:textId="072D8C20" w:rsidR="007F22D2" w:rsidRPr="00F06DE2" w:rsidRDefault="000E4105">
            <w:pPr>
              <w:spacing w:line="240" w:lineRule="atLeast"/>
              <w:jc w:val="both"/>
              <w:rPr>
                <w:rFonts w:ascii="Times New Roman" w:hAnsi="Times New Roman" w:cs="Times New Roman"/>
              </w:rPr>
            </w:pPr>
            <w:r w:rsidRPr="00F06DE2">
              <w:rPr>
                <w:rFonts w:ascii="Times New Roman" w:hAnsi="Times New Roman" w:cs="Times New Roman"/>
              </w:rPr>
              <w:t>0</w:t>
            </w:r>
            <w:r w:rsidR="007F22D2" w:rsidRPr="00F06DE2">
              <w:rPr>
                <w:rFonts w:ascii="Times New Roman" w:hAnsi="Times New Roman" w:cs="Times New Roman"/>
              </w:rPr>
              <w:t>1.</w:t>
            </w:r>
            <w:r w:rsidRPr="00F06DE2">
              <w:rPr>
                <w:rFonts w:ascii="Times New Roman" w:hAnsi="Times New Roman" w:cs="Times New Roman"/>
              </w:rPr>
              <w:t>0</w:t>
            </w:r>
            <w:r w:rsidR="007F22D2" w:rsidRPr="00F06DE2">
              <w:rPr>
                <w:rFonts w:ascii="Times New Roman" w:hAnsi="Times New Roman" w:cs="Times New Roman"/>
              </w:rPr>
              <w:t>1.2035 г.</w:t>
            </w:r>
          </w:p>
        </w:tc>
      </w:tr>
      <w:tr w:rsidR="00271FA2" w:rsidRPr="00F06DE2" w14:paraId="166E5D02" w14:textId="77777777" w:rsidTr="000E4105">
        <w:trPr>
          <w:cantSplit/>
        </w:trPr>
        <w:tc>
          <w:tcPr>
            <w:tcW w:w="6298" w:type="dxa"/>
            <w:gridSpan w:val="3"/>
            <w:shd w:val="clear" w:color="auto" w:fill="auto"/>
          </w:tcPr>
          <w:p w14:paraId="000530B5"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7</w:t>
            </w:r>
          </w:p>
        </w:tc>
        <w:tc>
          <w:tcPr>
            <w:tcW w:w="6521" w:type="dxa"/>
            <w:shd w:val="clear" w:color="auto" w:fill="auto"/>
          </w:tcPr>
          <w:p w14:paraId="622A32D2"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07EC7C6F" w14:textId="77777777" w:rsidR="00271FA2" w:rsidRPr="00F06DE2" w:rsidRDefault="00271FA2">
            <w:pPr>
              <w:spacing w:line="240" w:lineRule="atLeast"/>
              <w:rPr>
                <w:rFonts w:ascii="Times New Roman" w:hAnsi="Times New Roman" w:cs="Times New Roman"/>
              </w:rPr>
            </w:pPr>
          </w:p>
        </w:tc>
      </w:tr>
      <w:tr w:rsidR="00271FA2" w:rsidRPr="00F06DE2" w14:paraId="1EEBA134" w14:textId="77777777" w:rsidTr="000E4105">
        <w:trPr>
          <w:cantSplit/>
        </w:trPr>
        <w:tc>
          <w:tcPr>
            <w:tcW w:w="1342" w:type="dxa"/>
            <w:vMerge w:val="restart"/>
            <w:shd w:val="clear" w:color="auto" w:fill="auto"/>
          </w:tcPr>
          <w:p w14:paraId="38C13B25" w14:textId="3756921D" w:rsidR="00271FA2" w:rsidRPr="00F06DE2" w:rsidRDefault="000A39D9">
            <w:pPr>
              <w:spacing w:line="240" w:lineRule="atLeast"/>
              <w:jc w:val="both"/>
              <w:rPr>
                <w:rFonts w:ascii="Times New Roman" w:hAnsi="Times New Roman" w:cs="Times New Roman"/>
              </w:rPr>
            </w:pPr>
            <w:r w:rsidRPr="00F06DE2">
              <w:rPr>
                <w:rFonts w:ascii="Times New Roman" w:hAnsi="Times New Roman" w:cs="Times New Roman"/>
              </w:rPr>
              <w:t>7.02</w:t>
            </w:r>
          </w:p>
        </w:tc>
        <w:tc>
          <w:tcPr>
            <w:tcW w:w="1660" w:type="dxa"/>
            <w:vMerge w:val="restart"/>
            <w:shd w:val="clear" w:color="auto" w:fill="auto"/>
          </w:tcPr>
          <w:p w14:paraId="6806CB4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vMerge w:val="restart"/>
            <w:shd w:val="clear" w:color="auto" w:fill="auto"/>
          </w:tcPr>
          <w:p w14:paraId="67B1AF5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Минимално пропускане на светлина</w:t>
            </w:r>
          </w:p>
        </w:tc>
        <w:tc>
          <w:tcPr>
            <w:tcW w:w="6521" w:type="dxa"/>
            <w:shd w:val="clear" w:color="auto" w:fill="auto"/>
          </w:tcPr>
          <w:p w14:paraId="26A0BE8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FBA08AC" w14:textId="538D60DB" w:rsidR="00271FA2" w:rsidRPr="00F06DE2" w:rsidRDefault="000E4105">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.2010 г.</w:t>
            </w:r>
          </w:p>
        </w:tc>
      </w:tr>
      <w:tr w:rsidR="00271FA2" w:rsidRPr="00F06DE2" w14:paraId="4CA6A249" w14:textId="77777777" w:rsidTr="000E4105">
        <w:trPr>
          <w:cantSplit/>
        </w:trPr>
        <w:tc>
          <w:tcPr>
            <w:tcW w:w="1342" w:type="dxa"/>
            <w:vMerge/>
            <w:shd w:val="clear" w:color="auto" w:fill="auto"/>
          </w:tcPr>
          <w:p w14:paraId="5093FEF6" w14:textId="77777777" w:rsidR="00271FA2" w:rsidRPr="00F06DE2" w:rsidRDefault="00271FA2">
            <w:pPr>
              <w:spacing w:line="240" w:lineRule="atLeast"/>
              <w:rPr>
                <w:rFonts w:ascii="Times New Roman" w:hAnsi="Times New Roman" w:cs="Times New Roman"/>
              </w:rPr>
            </w:pPr>
          </w:p>
        </w:tc>
        <w:tc>
          <w:tcPr>
            <w:tcW w:w="1660" w:type="dxa"/>
            <w:vMerge/>
            <w:shd w:val="clear" w:color="auto" w:fill="auto"/>
          </w:tcPr>
          <w:p w14:paraId="58A9109D" w14:textId="77777777" w:rsidR="00271FA2" w:rsidRPr="00F06DE2" w:rsidRDefault="00271FA2">
            <w:pPr>
              <w:spacing w:line="240" w:lineRule="atLeast"/>
              <w:rPr>
                <w:rFonts w:ascii="Times New Roman" w:hAnsi="Times New Roman" w:cs="Times New Roman"/>
              </w:rPr>
            </w:pPr>
          </w:p>
        </w:tc>
        <w:tc>
          <w:tcPr>
            <w:tcW w:w="3296" w:type="dxa"/>
            <w:vMerge/>
            <w:shd w:val="clear" w:color="auto" w:fill="auto"/>
          </w:tcPr>
          <w:p w14:paraId="68EF2A6E" w14:textId="77777777" w:rsidR="00271FA2" w:rsidRPr="00F06DE2" w:rsidRDefault="00271FA2">
            <w:pPr>
              <w:spacing w:line="240" w:lineRule="atLeast"/>
              <w:rPr>
                <w:rFonts w:ascii="Times New Roman" w:hAnsi="Times New Roman" w:cs="Times New Roman"/>
              </w:rPr>
            </w:pPr>
          </w:p>
        </w:tc>
        <w:tc>
          <w:tcPr>
            <w:tcW w:w="6521" w:type="dxa"/>
            <w:shd w:val="clear" w:color="auto" w:fill="auto"/>
          </w:tcPr>
          <w:p w14:paraId="3A3B9E2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за плавателни съдове с тонирани стъкла, които отговарят на следните условия:</w:t>
            </w:r>
          </w:p>
          <w:p w14:paraId="1C2FBA28" w14:textId="77777777" w:rsidR="00271FA2" w:rsidRPr="00F06DE2" w:rsidRDefault="00D35E51">
            <w:pPr>
              <w:spacing w:line="240" w:lineRule="atLeast"/>
              <w:ind w:left="262" w:hanging="262"/>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прозорците са оцветени в зелено и се характеризират с минимално пропускане на светлина 60</w:t>
            </w:r>
            <w:r w:rsidRPr="00F06DE2">
              <w:rPr>
                <w:rFonts w:ascii="Times New Roman" w:hAnsi="Times New Roman" w:cs="Times New Roman"/>
              </w:rPr>
              <w:t> </w:t>
            </w:r>
            <w:r w:rsidRPr="00F06DE2">
              <w:rPr>
                <w:rFonts w:ascii="Times New Roman" w:hAnsi="Times New Roman" w:cs="Times New Roman"/>
                <w:lang w:val="ru-RU"/>
              </w:rPr>
              <w:t>%,</w:t>
            </w:r>
          </w:p>
          <w:p w14:paraId="6E053E89" w14:textId="77777777" w:rsidR="00271FA2" w:rsidRPr="00F06DE2" w:rsidRDefault="00D35E51">
            <w:pPr>
              <w:spacing w:line="240" w:lineRule="atLeast"/>
              <w:ind w:left="262" w:hanging="262"/>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таванът на рулевата рубка е проектиран, така че да изключва отражения върху прозорците,</w:t>
            </w:r>
          </w:p>
          <w:p w14:paraId="5A3CFBD7" w14:textId="77777777" w:rsidR="00271FA2" w:rsidRPr="00F06DE2" w:rsidRDefault="00D35E51">
            <w:pPr>
              <w:spacing w:line="240" w:lineRule="atLeast"/>
              <w:ind w:left="262" w:hanging="262"/>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източниците на светлина в рулевата рубка могат да бъдат регулирани плавно или изключвани,</w:t>
            </w:r>
          </w:p>
          <w:p w14:paraId="70963A7F" w14:textId="77777777" w:rsidR="00271FA2" w:rsidRPr="00F06DE2" w:rsidRDefault="00D35E51">
            <w:pPr>
              <w:spacing w:line="240" w:lineRule="atLeast"/>
              <w:ind w:left="262" w:hanging="262"/>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трябва да са предприети всички разумни мерки за избягване на други отражения.</w:t>
            </w:r>
          </w:p>
        </w:tc>
        <w:tc>
          <w:tcPr>
            <w:tcW w:w="1635" w:type="dxa"/>
            <w:shd w:val="clear" w:color="auto" w:fill="auto"/>
          </w:tcPr>
          <w:p w14:paraId="4E4F20B5" w14:textId="77777777" w:rsidR="00271FA2" w:rsidRPr="00F06DE2" w:rsidRDefault="00271FA2">
            <w:pPr>
              <w:spacing w:line="240" w:lineRule="atLeast"/>
              <w:rPr>
                <w:rFonts w:ascii="Times New Roman" w:hAnsi="Times New Roman" w:cs="Times New Roman"/>
                <w:lang w:val="ru-RU"/>
              </w:rPr>
            </w:pPr>
          </w:p>
        </w:tc>
      </w:tr>
      <w:tr w:rsidR="00271FA2" w:rsidRPr="00F06DE2" w14:paraId="36429A28" w14:textId="77777777" w:rsidTr="000E4105">
        <w:trPr>
          <w:cantSplit/>
        </w:trPr>
        <w:tc>
          <w:tcPr>
            <w:tcW w:w="1342" w:type="dxa"/>
            <w:vMerge/>
            <w:shd w:val="clear" w:color="auto" w:fill="auto"/>
          </w:tcPr>
          <w:p w14:paraId="2FAC9EE4" w14:textId="77777777" w:rsidR="00271FA2" w:rsidRPr="00F06DE2" w:rsidRDefault="00271FA2">
            <w:pPr>
              <w:spacing w:line="240" w:lineRule="atLeast"/>
              <w:rPr>
                <w:rFonts w:ascii="Times New Roman" w:hAnsi="Times New Roman" w:cs="Times New Roman"/>
                <w:lang w:val="ru-RU"/>
              </w:rPr>
            </w:pPr>
          </w:p>
        </w:tc>
        <w:tc>
          <w:tcPr>
            <w:tcW w:w="1660" w:type="dxa"/>
            <w:shd w:val="clear" w:color="auto" w:fill="auto"/>
          </w:tcPr>
          <w:p w14:paraId="0C58588A" w14:textId="77777777" w:rsidR="00271FA2" w:rsidRPr="00F06DE2" w:rsidRDefault="00271FA2">
            <w:pPr>
              <w:spacing w:line="240" w:lineRule="atLeast"/>
              <w:jc w:val="both"/>
              <w:rPr>
                <w:rFonts w:ascii="Times New Roman" w:hAnsi="Times New Roman" w:cs="Times New Roman"/>
                <w:lang w:val="ru-RU"/>
              </w:rPr>
            </w:pPr>
          </w:p>
        </w:tc>
        <w:tc>
          <w:tcPr>
            <w:tcW w:w="3296" w:type="dxa"/>
            <w:shd w:val="clear" w:color="auto" w:fill="auto"/>
          </w:tcPr>
          <w:p w14:paraId="3449531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Параметри на безопасното стъкло</w:t>
            </w:r>
          </w:p>
        </w:tc>
        <w:tc>
          <w:tcPr>
            <w:tcW w:w="6521" w:type="dxa"/>
            <w:shd w:val="clear" w:color="auto" w:fill="auto"/>
          </w:tcPr>
          <w:p w14:paraId="7C05729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635" w:type="dxa"/>
            <w:shd w:val="clear" w:color="auto" w:fill="auto"/>
          </w:tcPr>
          <w:p w14:paraId="780A17DE" w14:textId="77777777" w:rsidR="00271FA2" w:rsidRPr="00F06DE2" w:rsidRDefault="00271FA2">
            <w:pPr>
              <w:spacing w:line="240" w:lineRule="atLeast"/>
              <w:jc w:val="both"/>
              <w:rPr>
                <w:rFonts w:ascii="Times New Roman" w:hAnsi="Times New Roman" w:cs="Times New Roman"/>
              </w:rPr>
            </w:pPr>
          </w:p>
        </w:tc>
      </w:tr>
      <w:tr w:rsidR="00271FA2" w:rsidRPr="00F06DE2" w14:paraId="0A40736B" w14:textId="77777777" w:rsidTr="000E4105">
        <w:trPr>
          <w:cantSplit/>
        </w:trPr>
        <w:tc>
          <w:tcPr>
            <w:tcW w:w="1342" w:type="dxa"/>
            <w:shd w:val="clear" w:color="auto" w:fill="auto"/>
          </w:tcPr>
          <w:p w14:paraId="6628FA4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7.04</w:t>
            </w:r>
          </w:p>
        </w:tc>
        <w:tc>
          <w:tcPr>
            <w:tcW w:w="1660" w:type="dxa"/>
            <w:shd w:val="clear" w:color="auto" w:fill="auto"/>
          </w:tcPr>
          <w:p w14:paraId="4D16B0D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7A8A03C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Управление на всеки главен двигател</w:t>
            </w:r>
          </w:p>
        </w:tc>
        <w:tc>
          <w:tcPr>
            <w:tcW w:w="6521" w:type="dxa"/>
            <w:shd w:val="clear" w:color="auto" w:fill="auto"/>
          </w:tcPr>
          <w:p w14:paraId="1BC02943" w14:textId="5D23839C" w:rsidR="00271FA2" w:rsidRPr="00F06DE2" w:rsidRDefault="00D35E51" w:rsidP="00D27B3D">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Освен ако </w:t>
            </w:r>
            <w:r w:rsidR="00D27B3D" w:rsidRPr="00F06DE2">
              <w:rPr>
                <w:rFonts w:ascii="Times New Roman" w:hAnsi="Times New Roman" w:cs="Times New Roman"/>
                <w:lang w:val="ru-RU"/>
              </w:rPr>
              <w:t>местата за управление</w:t>
            </w:r>
            <w:r w:rsidRPr="00F06DE2">
              <w:rPr>
                <w:rFonts w:ascii="Times New Roman" w:hAnsi="Times New Roman" w:cs="Times New Roman"/>
                <w:lang w:val="ru-RU"/>
              </w:rPr>
              <w:t xml:space="preserve"> не са били проектирани за управление с радиолокационни средства от едно лице: НЗР, най-късно при подновяване на Корабното удостоверение за вътрешно корабоплаване след</w:t>
            </w:r>
          </w:p>
        </w:tc>
        <w:tc>
          <w:tcPr>
            <w:tcW w:w="1635" w:type="dxa"/>
            <w:shd w:val="clear" w:color="auto" w:fill="auto"/>
          </w:tcPr>
          <w:p w14:paraId="35FBB0E7" w14:textId="5C590220" w:rsidR="00271FA2" w:rsidRPr="00F06DE2" w:rsidRDefault="000E4105">
            <w:pPr>
              <w:spacing w:line="240" w:lineRule="atLeast"/>
              <w:jc w:val="both"/>
              <w:rPr>
                <w:rFonts w:ascii="Times New Roman" w:hAnsi="Times New Roman" w:cs="Times New Roman"/>
                <w:lang w:val="ru-RU"/>
              </w:rPr>
            </w:pPr>
            <w:r w:rsidRPr="00F06DE2">
              <w:rPr>
                <w:rFonts w:ascii="Times New Roman" w:hAnsi="Times New Roman" w:cs="Times New Roman"/>
              </w:rPr>
              <w:t>0</w:t>
            </w:r>
            <w:r w:rsidRPr="00F06DE2">
              <w:rPr>
                <w:rFonts w:ascii="Times New Roman" w:hAnsi="Times New Roman" w:cs="Times New Roman"/>
                <w:lang w:val="ru-RU"/>
              </w:rPr>
              <w:t>1.</w:t>
            </w:r>
            <w:r w:rsidRPr="00F06DE2">
              <w:rPr>
                <w:rFonts w:ascii="Times New Roman" w:hAnsi="Times New Roman" w:cs="Times New Roman"/>
              </w:rPr>
              <w:t>0</w:t>
            </w:r>
            <w:r w:rsidRPr="00F06DE2">
              <w:rPr>
                <w:rFonts w:ascii="Times New Roman" w:hAnsi="Times New Roman" w:cs="Times New Roman"/>
                <w:lang w:val="ru-RU"/>
              </w:rPr>
              <w:t>1</w:t>
            </w:r>
            <w:r w:rsidR="00D35E51" w:rsidRPr="00F06DE2">
              <w:rPr>
                <w:rFonts w:ascii="Times New Roman" w:hAnsi="Times New Roman" w:cs="Times New Roman"/>
                <w:lang w:val="ru-RU"/>
              </w:rPr>
              <w:t>.2035</w:t>
            </w:r>
            <w:r w:rsidR="00D35E51" w:rsidRPr="00F06DE2">
              <w:rPr>
                <w:rFonts w:ascii="Times New Roman" w:hAnsi="Times New Roman" w:cs="Times New Roman"/>
              </w:rPr>
              <w:t> </w:t>
            </w:r>
            <w:r w:rsidR="00D35E51" w:rsidRPr="00F06DE2">
              <w:rPr>
                <w:rFonts w:ascii="Times New Roman" w:hAnsi="Times New Roman" w:cs="Times New Roman"/>
                <w:lang w:val="ru-RU"/>
              </w:rPr>
              <w:t>г. ако посоката на движение може да бъде постигната директно</w:t>
            </w:r>
          </w:p>
          <w:p w14:paraId="13BE654A" w14:textId="72C9D6C1" w:rsidR="00271FA2" w:rsidRPr="00F06DE2" w:rsidRDefault="000E4105">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.2010 г. за останалите двигатели</w:t>
            </w:r>
          </w:p>
        </w:tc>
      </w:tr>
      <w:tr w:rsidR="00271FA2" w:rsidRPr="00F06DE2" w14:paraId="008E43DD" w14:textId="77777777" w:rsidTr="00631F16">
        <w:trPr>
          <w:cantSplit/>
        </w:trPr>
        <w:tc>
          <w:tcPr>
            <w:tcW w:w="1342" w:type="dxa"/>
            <w:tcBorders>
              <w:bottom w:val="single" w:sz="4" w:space="0" w:color="auto"/>
            </w:tcBorders>
            <w:shd w:val="clear" w:color="auto" w:fill="auto"/>
          </w:tcPr>
          <w:p w14:paraId="659897C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7.05</w:t>
            </w:r>
          </w:p>
        </w:tc>
        <w:tc>
          <w:tcPr>
            <w:tcW w:w="1660" w:type="dxa"/>
            <w:tcBorders>
              <w:bottom w:val="single" w:sz="4" w:space="0" w:color="auto"/>
            </w:tcBorders>
            <w:shd w:val="clear" w:color="auto" w:fill="auto"/>
          </w:tcPr>
          <w:p w14:paraId="2A047BB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090A4EE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Навигационни светлини, техните осветители, принадлежности и светлинни източници</w:t>
            </w:r>
          </w:p>
        </w:tc>
        <w:tc>
          <w:tcPr>
            <w:tcW w:w="6521" w:type="dxa"/>
            <w:shd w:val="clear" w:color="auto" w:fill="auto"/>
          </w:tcPr>
          <w:p w14:paraId="6B81DBB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Все още могат да се използват навигационни светлини, техни осветители, принадлежности и светлинни източници, които отговарят на изискванията за цвета и интензитета на светлините на борда и за допускане на навигационни светлини за корабоплаването по река Рейн, считано от 30 ноември 2009</w:t>
            </w:r>
            <w:r w:rsidRPr="00F06DE2">
              <w:rPr>
                <w:rFonts w:ascii="Times New Roman" w:hAnsi="Times New Roman" w:cs="Times New Roman"/>
              </w:rPr>
              <w:t> </w:t>
            </w:r>
            <w:r w:rsidRPr="00F06DE2">
              <w:rPr>
                <w:rFonts w:ascii="Times New Roman" w:hAnsi="Times New Roman" w:cs="Times New Roman"/>
                <w:lang w:val="ru-RU"/>
              </w:rPr>
              <w:t>г.</w:t>
            </w:r>
          </w:p>
        </w:tc>
        <w:tc>
          <w:tcPr>
            <w:tcW w:w="1635" w:type="dxa"/>
            <w:shd w:val="clear" w:color="auto" w:fill="auto"/>
          </w:tcPr>
          <w:p w14:paraId="6FD60517" w14:textId="77777777" w:rsidR="00271FA2" w:rsidRPr="00F06DE2" w:rsidRDefault="00271FA2">
            <w:pPr>
              <w:spacing w:line="240" w:lineRule="atLeast"/>
              <w:rPr>
                <w:rFonts w:ascii="Times New Roman" w:hAnsi="Times New Roman" w:cs="Times New Roman"/>
                <w:lang w:val="ru-RU"/>
              </w:rPr>
            </w:pPr>
          </w:p>
        </w:tc>
      </w:tr>
      <w:tr w:rsidR="009B7059" w:rsidRPr="00F06DE2" w14:paraId="0E8853F7" w14:textId="77777777" w:rsidTr="00631F16">
        <w:trPr>
          <w:cantSplit/>
        </w:trPr>
        <w:tc>
          <w:tcPr>
            <w:tcW w:w="1342" w:type="dxa"/>
            <w:vMerge w:val="restart"/>
            <w:shd w:val="clear" w:color="auto" w:fill="auto"/>
          </w:tcPr>
          <w:p w14:paraId="6CCE162D" w14:textId="77777777" w:rsidR="009B7059" w:rsidRPr="00F06DE2" w:rsidRDefault="009B7059">
            <w:pPr>
              <w:spacing w:line="240" w:lineRule="atLeast"/>
              <w:jc w:val="both"/>
              <w:rPr>
                <w:rFonts w:ascii="Times New Roman" w:hAnsi="Times New Roman" w:cs="Times New Roman"/>
              </w:rPr>
            </w:pPr>
            <w:r w:rsidRPr="00F06DE2">
              <w:rPr>
                <w:rFonts w:ascii="Times New Roman" w:hAnsi="Times New Roman" w:cs="Times New Roman"/>
              </w:rPr>
              <w:lastRenderedPageBreak/>
              <w:t>7.06</w:t>
            </w:r>
          </w:p>
        </w:tc>
        <w:tc>
          <w:tcPr>
            <w:tcW w:w="1660" w:type="dxa"/>
            <w:tcBorders>
              <w:bottom w:val="single" w:sz="4" w:space="0" w:color="auto"/>
            </w:tcBorders>
            <w:shd w:val="clear" w:color="auto" w:fill="auto"/>
          </w:tcPr>
          <w:p w14:paraId="3935B296" w14:textId="77777777" w:rsidR="009B7059" w:rsidRPr="00F06DE2" w:rsidRDefault="009B7059">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5C10FBA2" w14:textId="367CDB67"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t>Индикатори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одобрени преди 1</w:t>
            </w:r>
            <w:r w:rsidRPr="00F06DE2">
              <w:rPr>
                <w:rFonts w:ascii="Times New Roman" w:hAnsi="Times New Roman" w:cs="Times New Roman"/>
                <w:vertAlign w:val="superscript"/>
                <w:lang w:val="ru-RU"/>
              </w:rPr>
              <w:t>-ви</w:t>
            </w:r>
            <w:r w:rsidRPr="00F06DE2">
              <w:rPr>
                <w:rFonts w:ascii="Times New Roman" w:hAnsi="Times New Roman" w:cs="Times New Roman"/>
                <w:lang w:val="ru-RU"/>
              </w:rPr>
              <w:t xml:space="preserve"> януари 1990</w:t>
            </w:r>
            <w:r w:rsidRPr="00F06DE2">
              <w:rPr>
                <w:rFonts w:ascii="Times New Roman" w:hAnsi="Times New Roman" w:cs="Times New Roman"/>
              </w:rPr>
              <w:t> </w:t>
            </w:r>
            <w:r w:rsidRPr="00F06DE2">
              <w:rPr>
                <w:rFonts w:ascii="Times New Roman" w:hAnsi="Times New Roman" w:cs="Times New Roman"/>
                <w:lang w:val="ru-RU"/>
              </w:rPr>
              <w:t>г.</w:t>
            </w:r>
          </w:p>
        </w:tc>
        <w:tc>
          <w:tcPr>
            <w:tcW w:w="6521" w:type="dxa"/>
            <w:shd w:val="clear" w:color="auto" w:fill="auto"/>
          </w:tcPr>
          <w:p w14:paraId="12925936" w14:textId="6EF9CF30"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t>Индикаторите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одобрени преди 1</w:t>
            </w:r>
            <w:r w:rsidRPr="00F06DE2">
              <w:rPr>
                <w:rFonts w:ascii="Times New Roman" w:hAnsi="Times New Roman" w:cs="Times New Roman"/>
                <w:vertAlign w:val="superscript"/>
                <w:lang w:val="ru-RU"/>
              </w:rPr>
              <w:t>-ви</w:t>
            </w:r>
            <w:r w:rsidRPr="00F06DE2">
              <w:rPr>
                <w:rFonts w:ascii="Times New Roman" w:hAnsi="Times New Roman" w:cs="Times New Roman"/>
                <w:lang w:val="ru-RU"/>
              </w:rPr>
              <w:t xml:space="preserve"> януари 1990</w:t>
            </w:r>
            <w:r w:rsidRPr="00F06DE2">
              <w:rPr>
                <w:rFonts w:ascii="Times New Roman" w:hAnsi="Times New Roman" w:cs="Times New Roman"/>
              </w:rPr>
              <w:t> </w:t>
            </w:r>
            <w:r w:rsidRPr="00F06DE2">
              <w:rPr>
                <w:rFonts w:ascii="Times New Roman" w:hAnsi="Times New Roman" w:cs="Times New Roman"/>
                <w:lang w:val="ru-RU"/>
              </w:rPr>
              <w:t>г. и инсталирани преди 1</w:t>
            </w:r>
            <w:r w:rsidRPr="00F06DE2">
              <w:rPr>
                <w:rFonts w:ascii="Times New Roman" w:hAnsi="Times New Roman" w:cs="Times New Roman"/>
                <w:vertAlign w:val="superscript"/>
                <w:lang w:val="ru-RU"/>
              </w:rPr>
              <w:t>-ви</w:t>
            </w:r>
            <w:r w:rsidRPr="00F06DE2">
              <w:rPr>
                <w:rFonts w:ascii="Times New Roman" w:hAnsi="Times New Roman" w:cs="Times New Roman"/>
                <w:lang w:val="ru-RU"/>
              </w:rPr>
              <w:t xml:space="preserve"> януари 2000</w:t>
            </w:r>
            <w:r w:rsidRPr="00F06DE2">
              <w:rPr>
                <w:rFonts w:ascii="Times New Roman" w:hAnsi="Times New Roman" w:cs="Times New Roman"/>
              </w:rPr>
              <w:t> </w:t>
            </w:r>
            <w:r w:rsidRPr="00F06DE2">
              <w:rPr>
                <w:rFonts w:ascii="Times New Roman" w:hAnsi="Times New Roman" w:cs="Times New Roman"/>
                <w:lang w:val="ru-RU"/>
              </w:rPr>
              <w:t>г., могат да бъдат запазени и да се използват до подновяване на Корабното удостоверение за вътрешно корабоплаване след 1</w:t>
            </w:r>
            <w:r w:rsidRPr="00F06DE2">
              <w:rPr>
                <w:rFonts w:ascii="Times New Roman" w:hAnsi="Times New Roman" w:cs="Times New Roman"/>
                <w:vertAlign w:val="superscript"/>
                <w:lang w:val="ru-RU"/>
              </w:rPr>
              <w:t>-ви</w:t>
            </w:r>
            <w:r w:rsidRPr="00F06DE2">
              <w:rPr>
                <w:rFonts w:ascii="Times New Roman" w:hAnsi="Times New Roman" w:cs="Times New Roman"/>
                <w:lang w:val="ru-RU"/>
              </w:rPr>
              <w:t xml:space="preserve"> януари 2015</w:t>
            </w:r>
            <w:r w:rsidRPr="00F06DE2">
              <w:rPr>
                <w:rFonts w:ascii="Times New Roman" w:hAnsi="Times New Roman" w:cs="Times New Roman"/>
              </w:rPr>
              <w:t> </w:t>
            </w:r>
            <w:r w:rsidRPr="00F06DE2">
              <w:rPr>
                <w:rFonts w:ascii="Times New Roman" w:hAnsi="Times New Roman" w:cs="Times New Roman"/>
                <w:lang w:val="ru-RU"/>
              </w:rPr>
              <w:t>г., ако е налице валидно удостоверение за монтаж в съответствие с Директива 2006/87/ЕО</w:t>
            </w:r>
            <w:r w:rsidRPr="00F06DE2">
              <w:rPr>
                <w:rStyle w:val="FootnoteReference"/>
                <w:rFonts w:ascii="Times New Roman" w:hAnsi="Times New Roman" w:cs="Times New Roman"/>
              </w:rPr>
              <w:footnoteReference w:id="25"/>
            </w:r>
            <w:r w:rsidRPr="00F06DE2">
              <w:rPr>
                <w:rFonts w:ascii="Times New Roman" w:hAnsi="Times New Roman" w:cs="Times New Roman"/>
                <w:lang w:val="ru-RU"/>
              </w:rPr>
              <w:t xml:space="preserve"> или с Резолюция 1989-</w:t>
            </w:r>
            <w:r w:rsidRPr="00F06DE2">
              <w:rPr>
                <w:rFonts w:ascii="Times New Roman" w:hAnsi="Times New Roman" w:cs="Times New Roman"/>
              </w:rPr>
              <w:t>II</w:t>
            </w:r>
            <w:r w:rsidRPr="00F06DE2">
              <w:rPr>
                <w:rFonts w:ascii="Times New Roman" w:hAnsi="Times New Roman" w:cs="Times New Roman"/>
                <w:lang w:val="ru-RU"/>
              </w:rPr>
              <w:t>-35 на ЦККР.</w:t>
            </w:r>
          </w:p>
        </w:tc>
        <w:tc>
          <w:tcPr>
            <w:tcW w:w="1635" w:type="dxa"/>
            <w:shd w:val="clear" w:color="auto" w:fill="auto"/>
          </w:tcPr>
          <w:p w14:paraId="13751A8D" w14:textId="77777777" w:rsidR="009B7059" w:rsidRPr="00F06DE2" w:rsidRDefault="009B7059">
            <w:pPr>
              <w:spacing w:line="240" w:lineRule="atLeast"/>
              <w:rPr>
                <w:rFonts w:ascii="Times New Roman" w:hAnsi="Times New Roman" w:cs="Times New Roman"/>
                <w:lang w:val="ru-RU"/>
              </w:rPr>
            </w:pPr>
          </w:p>
        </w:tc>
      </w:tr>
      <w:tr w:rsidR="009B7059" w:rsidRPr="00F06DE2" w14:paraId="128E223B" w14:textId="77777777" w:rsidTr="00631F16">
        <w:trPr>
          <w:cantSplit/>
        </w:trPr>
        <w:tc>
          <w:tcPr>
            <w:tcW w:w="1342" w:type="dxa"/>
            <w:vMerge/>
            <w:shd w:val="clear" w:color="auto" w:fill="auto"/>
          </w:tcPr>
          <w:p w14:paraId="1F09DBD0" w14:textId="77777777" w:rsidR="009B7059" w:rsidRPr="00F06DE2" w:rsidRDefault="009B7059">
            <w:pPr>
              <w:spacing w:line="240" w:lineRule="atLeast"/>
              <w:rPr>
                <w:rFonts w:ascii="Times New Roman" w:hAnsi="Times New Roman" w:cs="Times New Roman"/>
                <w:lang w:val="ru-RU"/>
              </w:rPr>
            </w:pPr>
          </w:p>
        </w:tc>
        <w:tc>
          <w:tcPr>
            <w:tcW w:w="1660" w:type="dxa"/>
            <w:vMerge w:val="restart"/>
            <w:tcBorders>
              <w:top w:val="single" w:sz="4" w:space="0" w:color="auto"/>
            </w:tcBorders>
            <w:shd w:val="clear" w:color="auto" w:fill="auto"/>
          </w:tcPr>
          <w:p w14:paraId="58426D10" w14:textId="77777777" w:rsidR="009B7059" w:rsidRPr="00F06DE2" w:rsidRDefault="009B7059">
            <w:pPr>
              <w:spacing w:line="240" w:lineRule="atLeast"/>
              <w:jc w:val="both"/>
              <w:rPr>
                <w:rFonts w:ascii="Times New Roman" w:hAnsi="Times New Roman" w:cs="Times New Roman"/>
                <w:lang w:val="ru-RU"/>
              </w:rPr>
            </w:pPr>
          </w:p>
          <w:p w14:paraId="075EE8FD" w14:textId="77777777" w:rsidR="009B7059" w:rsidRPr="00F06DE2" w:rsidRDefault="009B7059">
            <w:pPr>
              <w:spacing w:line="240" w:lineRule="atLeast"/>
              <w:jc w:val="both"/>
              <w:rPr>
                <w:rFonts w:ascii="Times New Roman" w:hAnsi="Times New Roman" w:cs="Times New Roman"/>
                <w:lang w:val="ru-RU"/>
              </w:rPr>
            </w:pPr>
          </w:p>
          <w:p w14:paraId="5F1CF425" w14:textId="77777777" w:rsidR="009B7059" w:rsidRPr="00F06DE2" w:rsidRDefault="009B7059">
            <w:pPr>
              <w:spacing w:line="240" w:lineRule="atLeast"/>
              <w:jc w:val="both"/>
              <w:rPr>
                <w:rFonts w:ascii="Times New Roman" w:hAnsi="Times New Roman" w:cs="Times New Roman"/>
                <w:lang w:val="ru-RU"/>
              </w:rPr>
            </w:pPr>
          </w:p>
          <w:p w14:paraId="74CF1F28" w14:textId="77777777" w:rsidR="009B7059" w:rsidRPr="00F06DE2" w:rsidRDefault="009B7059">
            <w:pPr>
              <w:spacing w:line="240" w:lineRule="atLeast"/>
              <w:jc w:val="both"/>
              <w:rPr>
                <w:rFonts w:ascii="Times New Roman" w:hAnsi="Times New Roman" w:cs="Times New Roman"/>
                <w:lang w:val="ru-RU"/>
              </w:rPr>
            </w:pPr>
          </w:p>
          <w:p w14:paraId="48EB3B11" w14:textId="77777777" w:rsidR="009B7059" w:rsidRPr="00F06DE2" w:rsidRDefault="009B7059">
            <w:pPr>
              <w:spacing w:line="240" w:lineRule="atLeast"/>
              <w:jc w:val="both"/>
              <w:rPr>
                <w:rFonts w:ascii="Times New Roman" w:hAnsi="Times New Roman" w:cs="Times New Roman"/>
                <w:lang w:val="ru-RU"/>
              </w:rPr>
            </w:pPr>
          </w:p>
          <w:p w14:paraId="0345C6A2" w14:textId="77777777" w:rsidR="009B7059" w:rsidRPr="00F06DE2" w:rsidRDefault="009B7059">
            <w:pPr>
              <w:spacing w:line="240" w:lineRule="atLeast"/>
              <w:jc w:val="both"/>
              <w:rPr>
                <w:rFonts w:ascii="Times New Roman" w:hAnsi="Times New Roman" w:cs="Times New Roman"/>
                <w:lang w:val="ru-RU"/>
              </w:rPr>
            </w:pPr>
          </w:p>
          <w:p w14:paraId="26E1E4F5" w14:textId="77777777" w:rsidR="009B7059" w:rsidRPr="00F06DE2" w:rsidRDefault="009B7059">
            <w:pPr>
              <w:spacing w:line="240" w:lineRule="atLeast"/>
              <w:jc w:val="both"/>
              <w:rPr>
                <w:rFonts w:ascii="Times New Roman" w:hAnsi="Times New Roman" w:cs="Times New Roman"/>
                <w:lang w:val="ru-RU"/>
              </w:rPr>
            </w:pPr>
          </w:p>
          <w:p w14:paraId="43195602" w14:textId="77777777" w:rsidR="009B7059" w:rsidRPr="00F06DE2" w:rsidRDefault="009B7059">
            <w:pPr>
              <w:spacing w:line="240" w:lineRule="atLeast"/>
              <w:jc w:val="both"/>
              <w:rPr>
                <w:rFonts w:ascii="Times New Roman" w:hAnsi="Times New Roman" w:cs="Times New Roman"/>
                <w:lang w:val="ru-RU"/>
              </w:rPr>
            </w:pPr>
          </w:p>
          <w:p w14:paraId="3E0574C0" w14:textId="77777777" w:rsidR="009B7059" w:rsidRPr="00F06DE2" w:rsidRDefault="009B7059">
            <w:pPr>
              <w:spacing w:line="240" w:lineRule="atLeast"/>
              <w:jc w:val="both"/>
              <w:rPr>
                <w:rFonts w:ascii="Times New Roman" w:hAnsi="Times New Roman" w:cs="Times New Roman"/>
                <w:lang w:val="ru-RU"/>
              </w:rPr>
            </w:pPr>
          </w:p>
          <w:p w14:paraId="725CC469" w14:textId="77777777" w:rsidR="009B7059" w:rsidRPr="00F06DE2" w:rsidRDefault="009B7059">
            <w:pPr>
              <w:spacing w:line="240" w:lineRule="atLeast"/>
              <w:jc w:val="both"/>
              <w:rPr>
                <w:rFonts w:ascii="Times New Roman" w:hAnsi="Times New Roman" w:cs="Times New Roman"/>
                <w:lang w:val="ru-RU"/>
              </w:rPr>
            </w:pPr>
          </w:p>
          <w:p w14:paraId="6BE7E81A" w14:textId="77777777" w:rsidR="009B7059" w:rsidRPr="00F06DE2" w:rsidRDefault="009B7059">
            <w:pPr>
              <w:spacing w:line="240" w:lineRule="atLeast"/>
              <w:jc w:val="both"/>
              <w:rPr>
                <w:rFonts w:ascii="Times New Roman" w:hAnsi="Times New Roman" w:cs="Times New Roman"/>
                <w:lang w:val="ru-RU"/>
              </w:rPr>
            </w:pPr>
          </w:p>
          <w:p w14:paraId="3AC0264E" w14:textId="77777777" w:rsidR="009B7059" w:rsidRPr="00F06DE2" w:rsidRDefault="009B7059">
            <w:pPr>
              <w:spacing w:line="240" w:lineRule="atLeast"/>
              <w:jc w:val="both"/>
              <w:rPr>
                <w:rFonts w:ascii="Times New Roman" w:hAnsi="Times New Roman" w:cs="Times New Roman"/>
                <w:lang w:val="ru-RU"/>
              </w:rPr>
            </w:pPr>
          </w:p>
          <w:p w14:paraId="788A57B9" w14:textId="77777777" w:rsidR="009B7059" w:rsidRPr="00F06DE2" w:rsidRDefault="009B7059">
            <w:pPr>
              <w:spacing w:line="240" w:lineRule="atLeast"/>
              <w:jc w:val="both"/>
              <w:rPr>
                <w:rFonts w:ascii="Times New Roman" w:hAnsi="Times New Roman" w:cs="Times New Roman"/>
                <w:lang w:val="ru-RU"/>
              </w:rPr>
            </w:pPr>
          </w:p>
          <w:p w14:paraId="6E5448CB" w14:textId="77777777" w:rsidR="009B7059" w:rsidRPr="00F06DE2" w:rsidRDefault="009B7059">
            <w:pPr>
              <w:spacing w:line="240" w:lineRule="atLeast"/>
              <w:jc w:val="both"/>
              <w:rPr>
                <w:rFonts w:ascii="Times New Roman" w:hAnsi="Times New Roman" w:cs="Times New Roman"/>
                <w:lang w:val="ru-RU"/>
              </w:rPr>
            </w:pPr>
          </w:p>
          <w:p w14:paraId="327985DD" w14:textId="77777777" w:rsidR="009B7059" w:rsidRPr="00F06DE2" w:rsidRDefault="009B7059">
            <w:pPr>
              <w:spacing w:line="240" w:lineRule="atLeast"/>
              <w:jc w:val="both"/>
              <w:rPr>
                <w:rFonts w:ascii="Times New Roman" w:hAnsi="Times New Roman" w:cs="Times New Roman"/>
                <w:lang w:val="ru-RU"/>
              </w:rPr>
            </w:pPr>
          </w:p>
          <w:p w14:paraId="7B113B56" w14:textId="77777777" w:rsidR="009B7059" w:rsidRPr="00F06DE2" w:rsidRDefault="009B7059">
            <w:pPr>
              <w:spacing w:line="240" w:lineRule="atLeast"/>
              <w:jc w:val="both"/>
              <w:rPr>
                <w:rFonts w:ascii="Times New Roman" w:hAnsi="Times New Roman" w:cs="Times New Roman"/>
                <w:lang w:val="ru-RU"/>
              </w:rPr>
            </w:pPr>
          </w:p>
          <w:p w14:paraId="5F1E3A17" w14:textId="77777777" w:rsidR="009B7059" w:rsidRPr="00F06DE2" w:rsidRDefault="009B7059">
            <w:pPr>
              <w:spacing w:line="240" w:lineRule="atLeast"/>
              <w:jc w:val="both"/>
              <w:rPr>
                <w:rFonts w:ascii="Times New Roman" w:hAnsi="Times New Roman" w:cs="Times New Roman"/>
                <w:lang w:val="ru-RU"/>
              </w:rPr>
            </w:pPr>
          </w:p>
          <w:p w14:paraId="25A77B45" w14:textId="77777777" w:rsidR="009B7059" w:rsidRPr="00F06DE2" w:rsidRDefault="009B7059">
            <w:pPr>
              <w:spacing w:line="240" w:lineRule="atLeast"/>
              <w:jc w:val="both"/>
              <w:rPr>
                <w:rFonts w:ascii="Times New Roman" w:hAnsi="Times New Roman" w:cs="Times New Roman"/>
              </w:rPr>
            </w:pPr>
            <w:r w:rsidRPr="00F06DE2">
              <w:rPr>
                <w:rFonts w:ascii="Times New Roman" w:hAnsi="Times New Roman" w:cs="Times New Roman"/>
              </w:rPr>
              <w:t>Точка 2</w:t>
            </w:r>
          </w:p>
          <w:p w14:paraId="2530C3A9" w14:textId="77777777" w:rsidR="009B7059" w:rsidRPr="00F06DE2" w:rsidRDefault="009B7059">
            <w:pPr>
              <w:spacing w:line="240" w:lineRule="atLeast"/>
              <w:jc w:val="both"/>
              <w:rPr>
                <w:rFonts w:ascii="Times New Roman" w:hAnsi="Times New Roman" w:cs="Times New Roman"/>
              </w:rPr>
            </w:pPr>
          </w:p>
          <w:p w14:paraId="5ACEE9B5" w14:textId="77777777" w:rsidR="009B7059" w:rsidRPr="00F06DE2" w:rsidRDefault="009B7059">
            <w:pPr>
              <w:spacing w:line="240" w:lineRule="atLeast"/>
              <w:jc w:val="both"/>
              <w:rPr>
                <w:rFonts w:ascii="Times New Roman" w:hAnsi="Times New Roman" w:cs="Times New Roman"/>
              </w:rPr>
            </w:pPr>
          </w:p>
          <w:p w14:paraId="4EE8B140" w14:textId="77777777" w:rsidR="009B7059" w:rsidRPr="00F06DE2" w:rsidRDefault="009B7059">
            <w:pPr>
              <w:spacing w:line="240" w:lineRule="atLeast"/>
              <w:jc w:val="both"/>
              <w:rPr>
                <w:rFonts w:ascii="Times New Roman" w:hAnsi="Times New Roman" w:cs="Times New Roman"/>
              </w:rPr>
            </w:pPr>
          </w:p>
          <w:p w14:paraId="4FE4BEB0" w14:textId="77777777" w:rsidR="009B7059" w:rsidRPr="00F06DE2" w:rsidRDefault="009B7059">
            <w:pPr>
              <w:spacing w:line="240" w:lineRule="atLeast"/>
              <w:jc w:val="both"/>
              <w:rPr>
                <w:rFonts w:ascii="Times New Roman" w:hAnsi="Times New Roman" w:cs="Times New Roman"/>
              </w:rPr>
            </w:pPr>
          </w:p>
          <w:p w14:paraId="157448FF" w14:textId="77777777" w:rsidR="009B7059" w:rsidRPr="00F06DE2" w:rsidRDefault="009B7059">
            <w:pPr>
              <w:spacing w:line="240" w:lineRule="atLeast"/>
              <w:jc w:val="both"/>
              <w:rPr>
                <w:rFonts w:ascii="Times New Roman" w:hAnsi="Times New Roman" w:cs="Times New Roman"/>
              </w:rPr>
            </w:pPr>
          </w:p>
          <w:p w14:paraId="2921170F" w14:textId="77777777" w:rsidR="009B7059" w:rsidRPr="00F06DE2" w:rsidRDefault="009B7059">
            <w:pPr>
              <w:spacing w:line="240" w:lineRule="atLeast"/>
              <w:jc w:val="both"/>
              <w:rPr>
                <w:rFonts w:ascii="Times New Roman" w:hAnsi="Times New Roman" w:cs="Times New Roman"/>
              </w:rPr>
            </w:pPr>
          </w:p>
          <w:p w14:paraId="757E6BAB" w14:textId="77777777" w:rsidR="009B7059" w:rsidRPr="00F06DE2" w:rsidRDefault="009B7059">
            <w:pPr>
              <w:spacing w:line="240" w:lineRule="atLeast"/>
              <w:jc w:val="both"/>
              <w:rPr>
                <w:rFonts w:ascii="Times New Roman" w:hAnsi="Times New Roman" w:cs="Times New Roman"/>
              </w:rPr>
            </w:pPr>
          </w:p>
          <w:p w14:paraId="0DF57B6E" w14:textId="77777777" w:rsidR="009B7059" w:rsidRPr="00F06DE2" w:rsidRDefault="009B7059">
            <w:pPr>
              <w:spacing w:line="240" w:lineRule="atLeast"/>
              <w:jc w:val="both"/>
              <w:rPr>
                <w:rFonts w:ascii="Times New Roman" w:hAnsi="Times New Roman" w:cs="Times New Roman"/>
              </w:rPr>
            </w:pPr>
          </w:p>
          <w:p w14:paraId="42382999" w14:textId="77777777" w:rsidR="009B7059" w:rsidRPr="00F06DE2" w:rsidRDefault="009B7059" w:rsidP="009B7059">
            <w:pPr>
              <w:spacing w:line="240" w:lineRule="atLeast"/>
              <w:jc w:val="both"/>
              <w:rPr>
                <w:rFonts w:ascii="Times New Roman" w:hAnsi="Times New Roman" w:cs="Times New Roman"/>
              </w:rPr>
            </w:pPr>
          </w:p>
        </w:tc>
        <w:tc>
          <w:tcPr>
            <w:tcW w:w="3296" w:type="dxa"/>
            <w:shd w:val="clear" w:color="auto" w:fill="auto"/>
          </w:tcPr>
          <w:p w14:paraId="7FA0AF91" w14:textId="709E05FF"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lastRenderedPageBreak/>
              <w:t>Навигационно радиолокационно оборудване и индикатори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одобрени след 1</w:t>
            </w:r>
            <w:r w:rsidRPr="00F06DE2">
              <w:rPr>
                <w:rFonts w:ascii="Times New Roman" w:hAnsi="Times New Roman" w:cs="Times New Roman"/>
                <w:vertAlign w:val="superscript"/>
                <w:lang w:val="ru-RU"/>
              </w:rPr>
              <w:t>-ви</w:t>
            </w:r>
            <w:r w:rsidRPr="00F06DE2">
              <w:rPr>
                <w:rFonts w:ascii="Times New Roman" w:hAnsi="Times New Roman" w:cs="Times New Roman"/>
                <w:lang w:val="ru-RU"/>
              </w:rPr>
              <w:t xml:space="preserve"> януари 1990</w:t>
            </w:r>
            <w:r w:rsidRPr="00F06DE2">
              <w:rPr>
                <w:rFonts w:ascii="Times New Roman" w:hAnsi="Times New Roman" w:cs="Times New Roman"/>
              </w:rPr>
              <w:t> </w:t>
            </w:r>
            <w:r w:rsidRPr="00F06DE2">
              <w:rPr>
                <w:rFonts w:ascii="Times New Roman" w:hAnsi="Times New Roman" w:cs="Times New Roman"/>
                <w:lang w:val="ru-RU"/>
              </w:rPr>
              <w:t>г.</w:t>
            </w:r>
          </w:p>
        </w:tc>
        <w:tc>
          <w:tcPr>
            <w:tcW w:w="6521" w:type="dxa"/>
            <w:shd w:val="clear" w:color="auto" w:fill="auto"/>
          </w:tcPr>
          <w:p w14:paraId="527C3779" w14:textId="65D1145C"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 радиолокационно оборудване и индикатори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които са одобрени на или след 1 януари 1990</w:t>
            </w:r>
            <w:r w:rsidRPr="00F06DE2">
              <w:rPr>
                <w:rFonts w:ascii="Times New Roman" w:hAnsi="Times New Roman" w:cs="Times New Roman"/>
              </w:rPr>
              <w:t> </w:t>
            </w:r>
            <w:r w:rsidRPr="00F06DE2">
              <w:rPr>
                <w:rFonts w:ascii="Times New Roman" w:hAnsi="Times New Roman" w:cs="Times New Roman"/>
                <w:lang w:val="ru-RU"/>
              </w:rPr>
              <w:t>г. съгласно минималните изисквания и условия на изпитване за радиолокационно оборудване, използвано за корабоплаване по река Рейн, и минималните изисквания и условия на изпитване за индикаторите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използвани за корабоплаване по река Рейн, могат да продължат да бъдат монтирани и използвани, ако е налице валидно удостоверение за монтаж в съответствие с настоящия стандарт, Директива 2006/87/ЕО или с Резолюция 1989-</w:t>
            </w:r>
            <w:r w:rsidRPr="00F06DE2">
              <w:rPr>
                <w:rFonts w:ascii="Times New Roman" w:hAnsi="Times New Roman" w:cs="Times New Roman"/>
              </w:rPr>
              <w:t>II</w:t>
            </w:r>
            <w:r w:rsidRPr="00F06DE2">
              <w:rPr>
                <w:rFonts w:ascii="Times New Roman" w:hAnsi="Times New Roman" w:cs="Times New Roman"/>
                <w:lang w:val="ru-RU"/>
              </w:rPr>
              <w:t>-35 на ЦККР.</w:t>
            </w:r>
          </w:p>
        </w:tc>
        <w:tc>
          <w:tcPr>
            <w:tcW w:w="1635" w:type="dxa"/>
            <w:shd w:val="clear" w:color="auto" w:fill="auto"/>
          </w:tcPr>
          <w:p w14:paraId="02690915" w14:textId="77777777" w:rsidR="009B7059" w:rsidRPr="00F06DE2" w:rsidRDefault="009B7059">
            <w:pPr>
              <w:spacing w:line="240" w:lineRule="atLeast"/>
              <w:rPr>
                <w:rFonts w:ascii="Times New Roman" w:hAnsi="Times New Roman" w:cs="Times New Roman"/>
                <w:lang w:val="ru-RU"/>
              </w:rPr>
            </w:pPr>
          </w:p>
        </w:tc>
      </w:tr>
      <w:tr w:rsidR="009B7059" w:rsidRPr="00F06DE2" w14:paraId="0746E44D" w14:textId="77777777" w:rsidTr="000E4105">
        <w:trPr>
          <w:cantSplit/>
        </w:trPr>
        <w:tc>
          <w:tcPr>
            <w:tcW w:w="1342" w:type="dxa"/>
            <w:vMerge/>
            <w:shd w:val="clear" w:color="auto" w:fill="auto"/>
          </w:tcPr>
          <w:p w14:paraId="71C3DC5E" w14:textId="77777777" w:rsidR="009B7059" w:rsidRPr="00F06DE2" w:rsidRDefault="009B7059">
            <w:pPr>
              <w:spacing w:line="240" w:lineRule="atLeast"/>
              <w:rPr>
                <w:rFonts w:ascii="Times New Roman" w:hAnsi="Times New Roman" w:cs="Times New Roman"/>
                <w:lang w:val="ru-RU"/>
              </w:rPr>
            </w:pPr>
          </w:p>
        </w:tc>
        <w:tc>
          <w:tcPr>
            <w:tcW w:w="1660" w:type="dxa"/>
            <w:vMerge/>
            <w:shd w:val="clear" w:color="auto" w:fill="auto"/>
          </w:tcPr>
          <w:p w14:paraId="01E9F611" w14:textId="77777777" w:rsidR="009B7059" w:rsidRPr="00F06DE2" w:rsidRDefault="009B7059">
            <w:pPr>
              <w:spacing w:line="240" w:lineRule="atLeast"/>
              <w:jc w:val="both"/>
              <w:rPr>
                <w:rFonts w:ascii="Times New Roman" w:hAnsi="Times New Roman" w:cs="Times New Roman"/>
                <w:lang w:val="ru-RU"/>
              </w:rPr>
            </w:pPr>
          </w:p>
        </w:tc>
        <w:tc>
          <w:tcPr>
            <w:tcW w:w="3296" w:type="dxa"/>
            <w:shd w:val="clear" w:color="auto" w:fill="auto"/>
          </w:tcPr>
          <w:p w14:paraId="07919DA8" w14:textId="2106FECA"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 радиолокационно оборудване и индикатори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одобрени след 31 декември 2006</w:t>
            </w:r>
            <w:r w:rsidRPr="00F06DE2">
              <w:rPr>
                <w:rFonts w:ascii="Times New Roman" w:hAnsi="Times New Roman" w:cs="Times New Roman"/>
              </w:rPr>
              <w:t> </w:t>
            </w:r>
            <w:r w:rsidRPr="00F06DE2">
              <w:rPr>
                <w:rFonts w:ascii="Times New Roman" w:hAnsi="Times New Roman" w:cs="Times New Roman"/>
                <w:lang w:val="ru-RU"/>
              </w:rPr>
              <w:t>г.</w:t>
            </w:r>
          </w:p>
        </w:tc>
        <w:tc>
          <w:tcPr>
            <w:tcW w:w="6521" w:type="dxa"/>
            <w:shd w:val="clear" w:color="auto" w:fill="auto"/>
          </w:tcPr>
          <w:p w14:paraId="7859E157" w14:textId="24695E68"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 радиолокационно оборудване и индикатори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които са одобрени на или след 31 декември 2006</w:t>
            </w:r>
            <w:r w:rsidRPr="00F06DE2">
              <w:rPr>
                <w:rFonts w:ascii="Times New Roman" w:hAnsi="Times New Roman" w:cs="Times New Roman"/>
              </w:rPr>
              <w:t> </w:t>
            </w:r>
            <w:r w:rsidRPr="00F06DE2">
              <w:rPr>
                <w:rFonts w:ascii="Times New Roman" w:hAnsi="Times New Roman" w:cs="Times New Roman"/>
                <w:lang w:val="ru-RU"/>
              </w:rPr>
              <w:t>г. съгласно минималните изисквания и условия на изпитване от Директива 2006/87/ЕО, могат да продължат да бъдат монтирани и използвани, ако е налице валидно удостоверение за монтаж в съответствие с настоящия стандарт или Директива 2006/87/ЕО.</w:t>
            </w:r>
          </w:p>
        </w:tc>
        <w:tc>
          <w:tcPr>
            <w:tcW w:w="1635" w:type="dxa"/>
            <w:shd w:val="clear" w:color="auto" w:fill="auto"/>
          </w:tcPr>
          <w:p w14:paraId="2B26B6FD" w14:textId="77777777" w:rsidR="009B7059" w:rsidRPr="00F06DE2" w:rsidRDefault="009B7059">
            <w:pPr>
              <w:spacing w:line="240" w:lineRule="atLeast"/>
              <w:rPr>
                <w:rFonts w:ascii="Times New Roman" w:hAnsi="Times New Roman" w:cs="Times New Roman"/>
                <w:lang w:val="ru-RU"/>
              </w:rPr>
            </w:pPr>
          </w:p>
        </w:tc>
      </w:tr>
      <w:tr w:rsidR="009B7059" w:rsidRPr="00F06DE2" w14:paraId="1AAC9940" w14:textId="77777777" w:rsidTr="000E4105">
        <w:trPr>
          <w:cantSplit/>
        </w:trPr>
        <w:tc>
          <w:tcPr>
            <w:tcW w:w="1342" w:type="dxa"/>
            <w:vMerge/>
            <w:shd w:val="clear" w:color="auto" w:fill="auto"/>
          </w:tcPr>
          <w:p w14:paraId="45B11006" w14:textId="77777777" w:rsidR="009B7059" w:rsidRPr="00F06DE2" w:rsidRDefault="009B7059">
            <w:pPr>
              <w:spacing w:line="240" w:lineRule="atLeast"/>
              <w:rPr>
                <w:rFonts w:ascii="Times New Roman" w:hAnsi="Times New Roman" w:cs="Times New Roman"/>
                <w:lang w:val="ru-RU"/>
              </w:rPr>
            </w:pPr>
          </w:p>
        </w:tc>
        <w:tc>
          <w:tcPr>
            <w:tcW w:w="1660" w:type="dxa"/>
            <w:vMerge/>
            <w:shd w:val="clear" w:color="auto" w:fill="auto"/>
          </w:tcPr>
          <w:p w14:paraId="34C09CE8" w14:textId="77777777" w:rsidR="009B7059" w:rsidRPr="00F06DE2" w:rsidRDefault="009B7059">
            <w:pPr>
              <w:spacing w:line="240" w:lineRule="atLeast"/>
              <w:rPr>
                <w:rFonts w:ascii="Times New Roman" w:hAnsi="Times New Roman" w:cs="Times New Roman"/>
                <w:lang w:val="ru-RU"/>
              </w:rPr>
            </w:pPr>
          </w:p>
        </w:tc>
        <w:tc>
          <w:tcPr>
            <w:tcW w:w="3296" w:type="dxa"/>
            <w:shd w:val="clear" w:color="auto" w:fill="auto"/>
          </w:tcPr>
          <w:p w14:paraId="5C504B3E" w14:textId="77777777"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t>Радарни навигационни инсталации и индикатори за скоростта на завой, които са получили одобрение след 1 декември 2009 г</w:t>
            </w:r>
          </w:p>
        </w:tc>
        <w:tc>
          <w:tcPr>
            <w:tcW w:w="6521" w:type="dxa"/>
            <w:shd w:val="clear" w:color="auto" w:fill="auto"/>
          </w:tcPr>
          <w:p w14:paraId="0F6376FF" w14:textId="77777777"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t>Радарни навигационни инсталации и индикатори за скоростта на завой, които са получили одобрение на или след 1 декември 2009 г., в съответствие с минималните изисквания и условията за изпитване на Резолюция 2008-</w:t>
            </w:r>
            <w:r w:rsidRPr="00F06DE2">
              <w:rPr>
                <w:rFonts w:ascii="Times New Roman" w:hAnsi="Times New Roman" w:cs="Times New Roman"/>
              </w:rPr>
              <w:t>II</w:t>
            </w:r>
            <w:r w:rsidRPr="00F06DE2">
              <w:rPr>
                <w:rFonts w:ascii="Times New Roman" w:hAnsi="Times New Roman" w:cs="Times New Roman"/>
                <w:lang w:val="ru-RU"/>
              </w:rPr>
              <w:t>-11 на ЦЦКР може да продължат да се инсталират, след което да се използват, ако има валидн</w:t>
            </w:r>
            <w:r w:rsidRPr="00F06DE2">
              <w:rPr>
                <w:rFonts w:ascii="Times New Roman" w:hAnsi="Times New Roman" w:cs="Times New Roman"/>
              </w:rPr>
              <w:t>o</w:t>
            </w:r>
            <w:r w:rsidRPr="00F06DE2">
              <w:rPr>
                <w:rFonts w:ascii="Times New Roman" w:hAnsi="Times New Roman" w:cs="Times New Roman"/>
                <w:lang w:val="ru-RU"/>
              </w:rPr>
              <w:t xml:space="preserve"> удостоверение за монтаж съгласно този стандарт или Резолюция 2008-</w:t>
            </w:r>
            <w:r w:rsidRPr="00F06DE2">
              <w:rPr>
                <w:rFonts w:ascii="Times New Roman" w:hAnsi="Times New Roman" w:cs="Times New Roman"/>
              </w:rPr>
              <w:t>II</w:t>
            </w:r>
            <w:r w:rsidRPr="00F06DE2">
              <w:rPr>
                <w:rFonts w:ascii="Times New Roman" w:hAnsi="Times New Roman" w:cs="Times New Roman"/>
                <w:lang w:val="ru-RU"/>
              </w:rPr>
              <w:t>-11 на ЦЦКР.</w:t>
            </w:r>
          </w:p>
        </w:tc>
        <w:tc>
          <w:tcPr>
            <w:tcW w:w="1635" w:type="dxa"/>
            <w:shd w:val="clear" w:color="auto" w:fill="auto"/>
          </w:tcPr>
          <w:p w14:paraId="75D8D692" w14:textId="77777777" w:rsidR="009B7059" w:rsidRPr="00F06DE2" w:rsidRDefault="009B7059">
            <w:pPr>
              <w:spacing w:line="240" w:lineRule="atLeast"/>
              <w:jc w:val="both"/>
              <w:rPr>
                <w:rFonts w:ascii="Times New Roman" w:hAnsi="Times New Roman" w:cs="Times New Roman"/>
                <w:lang w:val="ru-RU"/>
              </w:rPr>
            </w:pPr>
          </w:p>
        </w:tc>
      </w:tr>
      <w:tr w:rsidR="009B7059" w:rsidRPr="00F06DE2" w14:paraId="7D312BD9" w14:textId="77777777" w:rsidTr="000E4105">
        <w:trPr>
          <w:cantSplit/>
        </w:trPr>
        <w:tc>
          <w:tcPr>
            <w:tcW w:w="1342" w:type="dxa"/>
            <w:vMerge/>
            <w:shd w:val="clear" w:color="auto" w:fill="auto"/>
          </w:tcPr>
          <w:p w14:paraId="6A7FE99D" w14:textId="77777777" w:rsidR="009B7059" w:rsidRPr="00F06DE2" w:rsidRDefault="009B7059">
            <w:pPr>
              <w:spacing w:line="240" w:lineRule="atLeast"/>
              <w:rPr>
                <w:rFonts w:ascii="Times New Roman" w:hAnsi="Times New Roman" w:cs="Times New Roman"/>
                <w:lang w:val="ru-RU"/>
              </w:rPr>
            </w:pPr>
          </w:p>
        </w:tc>
        <w:tc>
          <w:tcPr>
            <w:tcW w:w="1660" w:type="dxa"/>
            <w:vMerge/>
            <w:shd w:val="clear" w:color="auto" w:fill="auto"/>
          </w:tcPr>
          <w:p w14:paraId="4832232C" w14:textId="77777777" w:rsidR="009B7059" w:rsidRPr="00F06DE2" w:rsidRDefault="009B7059">
            <w:pPr>
              <w:spacing w:line="240" w:lineRule="atLeast"/>
              <w:rPr>
                <w:rFonts w:ascii="Times New Roman" w:hAnsi="Times New Roman" w:cs="Times New Roman"/>
                <w:lang w:val="ru-RU"/>
              </w:rPr>
            </w:pPr>
          </w:p>
        </w:tc>
        <w:tc>
          <w:tcPr>
            <w:tcW w:w="3296" w:type="dxa"/>
            <w:shd w:val="clear" w:color="auto" w:fill="auto"/>
          </w:tcPr>
          <w:p w14:paraId="467C217B" w14:textId="77777777"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Навигационни радарни инсталации, които са получили одобрение въз основа на </w:t>
            </w:r>
            <w:r w:rsidRPr="00F06DE2">
              <w:rPr>
                <w:rFonts w:ascii="Times New Roman" w:hAnsi="Times New Roman" w:cs="Times New Roman"/>
              </w:rPr>
              <w:t>E</w:t>
            </w:r>
            <w:r w:rsidRPr="00F06DE2">
              <w:rPr>
                <w:rFonts w:ascii="Times New Roman" w:hAnsi="Times New Roman" w:cs="Times New Roman"/>
                <w:lang w:val="ru-RU"/>
              </w:rPr>
              <w:t>вропейски стандарт 302 194-1:2006</w:t>
            </w:r>
          </w:p>
        </w:tc>
        <w:tc>
          <w:tcPr>
            <w:tcW w:w="6521" w:type="dxa"/>
            <w:shd w:val="clear" w:color="auto" w:fill="auto"/>
          </w:tcPr>
          <w:p w14:paraId="231D4500" w14:textId="77777777"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Навигационни радарни инсталации, които са получили одобрение въз основа на </w:t>
            </w:r>
            <w:r w:rsidRPr="00F06DE2">
              <w:rPr>
                <w:rFonts w:ascii="Times New Roman" w:hAnsi="Times New Roman" w:cs="Times New Roman"/>
              </w:rPr>
              <w:t>E</w:t>
            </w:r>
            <w:r w:rsidRPr="00F06DE2">
              <w:rPr>
                <w:rFonts w:ascii="Times New Roman" w:hAnsi="Times New Roman" w:cs="Times New Roman"/>
                <w:lang w:val="ru-RU"/>
              </w:rPr>
              <w:t xml:space="preserve">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302 194-1:2006 преди 31 декември 2023 г., могат да продължат да бъдат инсталирани и след това да бъдат използвани, ако има валидно удостоверение за монтаж съгласно този стандарт.</w:t>
            </w:r>
          </w:p>
        </w:tc>
        <w:tc>
          <w:tcPr>
            <w:tcW w:w="1635" w:type="dxa"/>
            <w:shd w:val="clear" w:color="auto" w:fill="auto"/>
          </w:tcPr>
          <w:p w14:paraId="34ECD842" w14:textId="77777777" w:rsidR="009B7059" w:rsidRPr="00F06DE2" w:rsidRDefault="009B7059">
            <w:pPr>
              <w:spacing w:line="240" w:lineRule="atLeast"/>
              <w:jc w:val="both"/>
              <w:rPr>
                <w:rFonts w:ascii="Times New Roman" w:hAnsi="Times New Roman" w:cs="Times New Roman"/>
                <w:lang w:val="ru-RU"/>
              </w:rPr>
            </w:pPr>
          </w:p>
        </w:tc>
      </w:tr>
      <w:tr w:rsidR="009B7059" w:rsidRPr="00F06DE2" w14:paraId="795682C1" w14:textId="77777777" w:rsidTr="000E4105">
        <w:trPr>
          <w:cantSplit/>
          <w:trHeight w:val="2918"/>
        </w:trPr>
        <w:tc>
          <w:tcPr>
            <w:tcW w:w="1342" w:type="dxa"/>
            <w:vMerge/>
            <w:shd w:val="clear" w:color="auto" w:fill="auto"/>
          </w:tcPr>
          <w:p w14:paraId="626C15CC" w14:textId="77777777" w:rsidR="009B7059" w:rsidRPr="00F06DE2" w:rsidRDefault="009B7059">
            <w:pPr>
              <w:spacing w:line="240" w:lineRule="atLeast"/>
              <w:rPr>
                <w:rFonts w:ascii="Times New Roman" w:hAnsi="Times New Roman" w:cs="Times New Roman"/>
                <w:lang w:val="ru-RU"/>
              </w:rPr>
            </w:pPr>
          </w:p>
        </w:tc>
        <w:tc>
          <w:tcPr>
            <w:tcW w:w="1660" w:type="dxa"/>
            <w:vMerge/>
            <w:shd w:val="clear" w:color="auto" w:fill="auto"/>
          </w:tcPr>
          <w:p w14:paraId="678D1796" w14:textId="77777777" w:rsidR="009B7059" w:rsidRPr="00F06DE2" w:rsidRDefault="009B7059">
            <w:pPr>
              <w:spacing w:line="240" w:lineRule="atLeast"/>
              <w:rPr>
                <w:rFonts w:ascii="Times New Roman" w:hAnsi="Times New Roman" w:cs="Times New Roman"/>
                <w:lang w:val="ru-RU"/>
              </w:rPr>
            </w:pPr>
          </w:p>
        </w:tc>
        <w:tc>
          <w:tcPr>
            <w:tcW w:w="3296" w:type="dxa"/>
            <w:vMerge w:val="restart"/>
            <w:shd w:val="clear" w:color="auto" w:fill="auto"/>
          </w:tcPr>
          <w:p w14:paraId="2ACEC596" w14:textId="77777777"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вътрешно корабоплаване в режим на навигация</w:t>
            </w:r>
          </w:p>
        </w:tc>
        <w:tc>
          <w:tcPr>
            <w:tcW w:w="6521" w:type="dxa"/>
            <w:shd w:val="clear" w:color="auto" w:fill="auto"/>
          </w:tcPr>
          <w:p w14:paraId="597EDB24" w14:textId="2BCF7794" w:rsidR="009B7059" w:rsidRPr="00F06DE2" w:rsidRDefault="009B7059">
            <w:pPr>
              <w:spacing w:line="240" w:lineRule="atLeast"/>
              <w:ind w:left="2" w:right="49"/>
              <w:jc w:val="both"/>
              <w:rPr>
                <w:rFonts w:ascii="Times New Roman" w:hAnsi="Times New Roman" w:cs="Times New Roman"/>
                <w:lang w:val="ru-RU"/>
              </w:rPr>
            </w:pPr>
            <w:r w:rsidRPr="00F06DE2">
              <w:rPr>
                <w:rFonts w:ascii="Times New Roman" w:hAnsi="Times New Roman" w:cs="Times New Roman"/>
                <w:lang w:val="ru-RU"/>
              </w:rPr>
              <w:t xml:space="preserve">Оборудването </w:t>
            </w:r>
            <w:r w:rsidRPr="00F06DE2">
              <w:rPr>
                <w:rFonts w:ascii="Times New Roman" w:hAnsi="Times New Roman" w:cs="Times New Roman"/>
              </w:rPr>
              <w:t>ECDIS</w:t>
            </w:r>
            <w:r w:rsidRPr="00F06DE2">
              <w:rPr>
                <w:rFonts w:ascii="Times New Roman" w:hAnsi="Times New Roman" w:cs="Times New Roman"/>
                <w:lang w:val="ru-RU"/>
              </w:rPr>
              <w:t xml:space="preserve"> за вътрешни пътища с типово одобрение съгласно издание 2.4 (или предишни), предишни издания на стандарта </w:t>
            </w:r>
            <w:r w:rsidRPr="00F06DE2">
              <w:rPr>
                <w:rFonts w:ascii="Times New Roman" w:hAnsi="Times New Roman" w:cs="Times New Roman"/>
              </w:rPr>
              <w:t>ECDIS</w:t>
            </w:r>
            <w:r w:rsidRPr="00F06DE2">
              <w:rPr>
                <w:rFonts w:ascii="Times New Roman" w:hAnsi="Times New Roman" w:cs="Times New Roman"/>
                <w:lang w:val="ru-RU"/>
              </w:rPr>
              <w:t xml:space="preserve"> за вътрешни пътища,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2021/1 или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2023/1, и инсталирано преди 1 януари 2026 г.4 може да продължи да се използва.</w:t>
            </w:r>
          </w:p>
          <w:p w14:paraId="72A9D123" w14:textId="3823256B" w:rsidR="009B7059" w:rsidRPr="00F06DE2" w:rsidRDefault="009B7059" w:rsidP="009B7059">
            <w:pPr>
              <w:spacing w:line="240" w:lineRule="atLeast"/>
              <w:ind w:left="2" w:right="48"/>
              <w:jc w:val="both"/>
              <w:rPr>
                <w:rFonts w:ascii="Times New Roman" w:hAnsi="Times New Roman" w:cs="Times New Roman"/>
                <w:lang w:val="ru-RU"/>
              </w:rPr>
            </w:pPr>
          </w:p>
        </w:tc>
        <w:tc>
          <w:tcPr>
            <w:tcW w:w="1635" w:type="dxa"/>
            <w:vMerge w:val="restart"/>
            <w:shd w:val="clear" w:color="auto" w:fill="auto"/>
          </w:tcPr>
          <w:p w14:paraId="77C91C7B" w14:textId="77777777" w:rsidR="009B7059" w:rsidRPr="00F06DE2" w:rsidRDefault="009B7059">
            <w:pPr>
              <w:spacing w:line="240" w:lineRule="atLeast"/>
              <w:rPr>
                <w:rFonts w:ascii="Times New Roman" w:hAnsi="Times New Roman" w:cs="Times New Roman"/>
                <w:lang w:val="ru-RU"/>
              </w:rPr>
            </w:pPr>
          </w:p>
        </w:tc>
      </w:tr>
      <w:tr w:rsidR="009B7059" w:rsidRPr="00F06DE2" w14:paraId="333250FC" w14:textId="77777777" w:rsidTr="000E4105">
        <w:trPr>
          <w:cantSplit/>
          <w:trHeight w:val="2917"/>
        </w:trPr>
        <w:tc>
          <w:tcPr>
            <w:tcW w:w="1342" w:type="dxa"/>
            <w:vMerge/>
            <w:shd w:val="clear" w:color="auto" w:fill="auto"/>
          </w:tcPr>
          <w:p w14:paraId="16DF3875" w14:textId="77777777" w:rsidR="009B7059" w:rsidRPr="00F06DE2" w:rsidRDefault="009B7059">
            <w:pPr>
              <w:spacing w:line="240" w:lineRule="atLeast"/>
              <w:rPr>
                <w:rFonts w:ascii="Times New Roman" w:hAnsi="Times New Roman" w:cs="Times New Roman"/>
                <w:lang w:val="ru-RU"/>
              </w:rPr>
            </w:pPr>
          </w:p>
        </w:tc>
        <w:tc>
          <w:tcPr>
            <w:tcW w:w="1660" w:type="dxa"/>
            <w:vMerge/>
            <w:shd w:val="clear" w:color="auto" w:fill="auto"/>
          </w:tcPr>
          <w:p w14:paraId="0C859721" w14:textId="77777777" w:rsidR="009B7059" w:rsidRPr="00F06DE2" w:rsidRDefault="009B7059">
            <w:pPr>
              <w:spacing w:line="240" w:lineRule="atLeast"/>
              <w:rPr>
                <w:rFonts w:ascii="Times New Roman" w:hAnsi="Times New Roman" w:cs="Times New Roman"/>
                <w:lang w:val="ru-RU"/>
              </w:rPr>
            </w:pPr>
          </w:p>
        </w:tc>
        <w:tc>
          <w:tcPr>
            <w:tcW w:w="3296" w:type="dxa"/>
            <w:vMerge/>
            <w:shd w:val="clear" w:color="auto" w:fill="auto"/>
          </w:tcPr>
          <w:p w14:paraId="7C03906C" w14:textId="77777777" w:rsidR="009B7059" w:rsidRPr="00F06DE2" w:rsidRDefault="009B7059">
            <w:pPr>
              <w:spacing w:line="240" w:lineRule="atLeast"/>
              <w:jc w:val="both"/>
              <w:rPr>
                <w:rFonts w:ascii="Times New Roman" w:hAnsi="Times New Roman" w:cs="Times New Roman"/>
                <w:lang w:val="ru-RU"/>
              </w:rPr>
            </w:pPr>
          </w:p>
        </w:tc>
        <w:tc>
          <w:tcPr>
            <w:tcW w:w="6521" w:type="dxa"/>
            <w:shd w:val="clear" w:color="auto" w:fill="auto"/>
          </w:tcPr>
          <w:p w14:paraId="2FC86B5B" w14:textId="1A02E815" w:rsidR="009B7059" w:rsidRPr="00F06DE2" w:rsidRDefault="009B7059">
            <w:pPr>
              <w:spacing w:line="240" w:lineRule="atLeast"/>
              <w:ind w:left="2" w:right="49"/>
              <w:jc w:val="both"/>
              <w:rPr>
                <w:rFonts w:ascii="Times New Roman" w:hAnsi="Times New Roman" w:cs="Times New Roman"/>
                <w:lang w:val="ru-RU"/>
              </w:rPr>
            </w:pPr>
            <w:r w:rsidRPr="00F06DE2">
              <w:rPr>
                <w:rFonts w:ascii="Times New Roman" w:hAnsi="Times New Roman" w:cs="Times New Roman"/>
                <w:lang w:val="ru-RU"/>
              </w:rPr>
              <w:t xml:space="preserve">Оборудване </w:t>
            </w:r>
            <w:r w:rsidRPr="00F06DE2">
              <w:rPr>
                <w:rFonts w:ascii="Times New Roman" w:hAnsi="Times New Roman" w:cs="Times New Roman"/>
              </w:rPr>
              <w:t>ECDIS</w:t>
            </w:r>
            <w:r w:rsidRPr="00F06DE2">
              <w:rPr>
                <w:rFonts w:ascii="Times New Roman" w:hAnsi="Times New Roman" w:cs="Times New Roman"/>
                <w:lang w:val="ru-RU"/>
              </w:rPr>
              <w:t xml:space="preserve"> за вътрешни пътища с типово одобрение съгласно издание 2.4 (или предишни) на </w:t>
            </w:r>
            <w:r w:rsidRPr="00F06DE2">
              <w:rPr>
                <w:rFonts w:ascii="Times New Roman" w:hAnsi="Times New Roman" w:cs="Times New Roman"/>
              </w:rPr>
              <w:t>Inland</w:t>
            </w:r>
            <w:r w:rsidRPr="00F06DE2">
              <w:rPr>
                <w:rFonts w:ascii="Times New Roman" w:hAnsi="Times New Roman" w:cs="Times New Roman"/>
                <w:lang w:val="ru-RU"/>
              </w:rPr>
              <w:t xml:space="preserve"> </w:t>
            </w:r>
            <w:r w:rsidRPr="00F06DE2">
              <w:rPr>
                <w:rFonts w:ascii="Times New Roman" w:hAnsi="Times New Roman" w:cs="Times New Roman"/>
              </w:rPr>
              <w:t>ECDIS</w:t>
            </w:r>
            <w:r w:rsidRPr="00F06DE2">
              <w:rPr>
                <w:rFonts w:ascii="Times New Roman" w:hAnsi="Times New Roman" w:cs="Times New Roman"/>
                <w:lang w:val="ru-RU"/>
              </w:rPr>
              <w:t xml:space="preserve"> </w:t>
            </w:r>
            <w:r w:rsidRPr="00F06DE2">
              <w:rPr>
                <w:rFonts w:ascii="Times New Roman" w:hAnsi="Times New Roman" w:cs="Times New Roman"/>
              </w:rPr>
              <w:t>Standard</w:t>
            </w:r>
            <w:r w:rsidRPr="00F06DE2">
              <w:rPr>
                <w:rFonts w:ascii="Times New Roman" w:hAnsi="Times New Roman" w:cs="Times New Roman"/>
                <w:lang w:val="ru-RU"/>
              </w:rPr>
              <w:t xml:space="preserve">,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2021/1 или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2023/1, могат да продължат да се инсталират и след това да се използват, когато актуалната версия за презентации и каталога с функции, както се изисква от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(части </w:t>
            </w:r>
            <w:r w:rsidRPr="00F06DE2">
              <w:rPr>
                <w:rFonts w:ascii="Times New Roman" w:hAnsi="Times New Roman" w:cs="Times New Roman"/>
              </w:rPr>
              <w:t>I</w:t>
            </w:r>
            <w:r w:rsidRPr="00F06DE2">
              <w:rPr>
                <w:rFonts w:ascii="Times New Roman" w:hAnsi="Times New Roman" w:cs="Times New Roman"/>
                <w:lang w:val="ru-RU"/>
              </w:rPr>
              <w:t xml:space="preserve"> и </w:t>
            </w:r>
            <w:r w:rsidRPr="00F06DE2">
              <w:rPr>
                <w:rFonts w:ascii="Times New Roman" w:hAnsi="Times New Roman" w:cs="Times New Roman"/>
              </w:rPr>
              <w:t>V</w:t>
            </w:r>
            <w:r w:rsidRPr="00F06DE2">
              <w:rPr>
                <w:rFonts w:ascii="Times New Roman" w:hAnsi="Times New Roman" w:cs="Times New Roman"/>
                <w:lang w:val="ru-RU"/>
              </w:rPr>
              <w:t>) е внедрено в оборудването.</w:t>
            </w:r>
          </w:p>
        </w:tc>
        <w:tc>
          <w:tcPr>
            <w:tcW w:w="1635" w:type="dxa"/>
            <w:vMerge/>
            <w:shd w:val="clear" w:color="auto" w:fill="auto"/>
          </w:tcPr>
          <w:p w14:paraId="36CB6018" w14:textId="77777777" w:rsidR="009B7059" w:rsidRPr="00F06DE2" w:rsidRDefault="009B7059">
            <w:pPr>
              <w:spacing w:line="240" w:lineRule="atLeast"/>
              <w:rPr>
                <w:rFonts w:ascii="Times New Roman" w:hAnsi="Times New Roman" w:cs="Times New Roman"/>
                <w:lang w:val="ru-RU"/>
              </w:rPr>
            </w:pPr>
          </w:p>
        </w:tc>
      </w:tr>
      <w:tr w:rsidR="009B7059" w:rsidRPr="00F06DE2" w14:paraId="3DFFE0D3" w14:textId="77777777" w:rsidTr="000E4105">
        <w:trPr>
          <w:cantSplit/>
        </w:trPr>
        <w:tc>
          <w:tcPr>
            <w:tcW w:w="1342" w:type="dxa"/>
            <w:vMerge/>
            <w:tcBorders>
              <w:bottom w:val="nil"/>
            </w:tcBorders>
            <w:shd w:val="clear" w:color="auto" w:fill="auto"/>
          </w:tcPr>
          <w:p w14:paraId="06E331DC" w14:textId="77777777" w:rsidR="009B7059" w:rsidRPr="00F06DE2" w:rsidRDefault="009B7059">
            <w:pPr>
              <w:spacing w:line="240" w:lineRule="atLeast"/>
              <w:rPr>
                <w:rFonts w:ascii="Times New Roman" w:hAnsi="Times New Roman" w:cs="Times New Roman"/>
                <w:lang w:val="ru-RU"/>
              </w:rPr>
            </w:pPr>
          </w:p>
        </w:tc>
        <w:tc>
          <w:tcPr>
            <w:tcW w:w="1660" w:type="dxa"/>
            <w:vMerge/>
            <w:tcBorders>
              <w:bottom w:val="nil"/>
            </w:tcBorders>
            <w:shd w:val="clear" w:color="auto" w:fill="auto"/>
          </w:tcPr>
          <w:p w14:paraId="54FC6F41" w14:textId="77777777" w:rsidR="009B7059" w:rsidRPr="00F06DE2" w:rsidRDefault="009B7059">
            <w:pPr>
              <w:spacing w:line="240" w:lineRule="atLeast"/>
              <w:rPr>
                <w:rFonts w:ascii="Times New Roman" w:hAnsi="Times New Roman" w:cs="Times New Roman"/>
                <w:lang w:val="ru-RU"/>
              </w:rPr>
            </w:pPr>
          </w:p>
        </w:tc>
        <w:tc>
          <w:tcPr>
            <w:tcW w:w="3296" w:type="dxa"/>
            <w:tcBorders>
              <w:bottom w:val="single" w:sz="4" w:space="0" w:color="auto"/>
            </w:tcBorders>
            <w:shd w:val="clear" w:color="auto" w:fill="auto"/>
          </w:tcPr>
          <w:p w14:paraId="73450280" w14:textId="77777777"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вътрешно корабоплаване, което работи в навигационен режим и което е получило одобрение на базата на </w:t>
            </w:r>
            <w:r w:rsidRPr="00F06DE2">
              <w:rPr>
                <w:rFonts w:ascii="Times New Roman" w:hAnsi="Times New Roman" w:cs="Times New Roman"/>
              </w:rPr>
              <w:t>E</w:t>
            </w:r>
            <w:r w:rsidRPr="00F06DE2">
              <w:rPr>
                <w:rFonts w:ascii="Times New Roman" w:hAnsi="Times New Roman" w:cs="Times New Roman"/>
                <w:lang w:val="ru-RU"/>
              </w:rPr>
              <w:t xml:space="preserve">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302 194-1: 2006</w:t>
            </w:r>
          </w:p>
        </w:tc>
        <w:tc>
          <w:tcPr>
            <w:tcW w:w="6521" w:type="dxa"/>
            <w:shd w:val="clear" w:color="auto" w:fill="auto"/>
          </w:tcPr>
          <w:p w14:paraId="397DEC4D" w14:textId="77777777" w:rsidR="009B7059" w:rsidRPr="00F06DE2" w:rsidRDefault="009B7059">
            <w:pPr>
              <w:spacing w:line="240" w:lineRule="atLeast"/>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вътрешно корабоплаване, което е получило одобрение въз основа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302 194-1:2006 преди 31 декември 2023 г., може да продължи да бъде инсталирано, след което да се използва, ако има валидно удостоверение за монтаж в съответствие с този стандарт.</w:t>
            </w:r>
          </w:p>
        </w:tc>
        <w:tc>
          <w:tcPr>
            <w:tcW w:w="1635" w:type="dxa"/>
            <w:shd w:val="clear" w:color="auto" w:fill="auto"/>
          </w:tcPr>
          <w:p w14:paraId="2EDF0CEE" w14:textId="77777777" w:rsidR="009B7059" w:rsidRPr="00F06DE2" w:rsidRDefault="009B7059">
            <w:pPr>
              <w:spacing w:line="240" w:lineRule="atLeast"/>
              <w:rPr>
                <w:rFonts w:ascii="Times New Roman" w:hAnsi="Times New Roman" w:cs="Times New Roman"/>
                <w:lang w:val="ru-RU"/>
              </w:rPr>
            </w:pPr>
          </w:p>
        </w:tc>
      </w:tr>
      <w:tr w:rsidR="00271FA2" w:rsidRPr="00F06DE2" w14:paraId="61A0C0D8" w14:textId="77777777" w:rsidTr="000E4105">
        <w:trPr>
          <w:cantSplit/>
        </w:trPr>
        <w:tc>
          <w:tcPr>
            <w:tcW w:w="1342" w:type="dxa"/>
            <w:tcBorders>
              <w:top w:val="nil"/>
              <w:bottom w:val="nil"/>
            </w:tcBorders>
            <w:shd w:val="clear" w:color="auto" w:fill="auto"/>
          </w:tcPr>
          <w:p w14:paraId="1C60DABE" w14:textId="77777777" w:rsidR="00271FA2" w:rsidRPr="00F06DE2" w:rsidRDefault="00271FA2">
            <w:pPr>
              <w:spacing w:line="240" w:lineRule="atLeast"/>
              <w:rPr>
                <w:rFonts w:ascii="Times New Roman" w:hAnsi="Times New Roman" w:cs="Times New Roman"/>
                <w:lang w:val="ru-RU"/>
              </w:rPr>
            </w:pPr>
          </w:p>
        </w:tc>
        <w:tc>
          <w:tcPr>
            <w:tcW w:w="1660" w:type="dxa"/>
            <w:tcBorders>
              <w:top w:val="nil"/>
              <w:bottom w:val="nil"/>
            </w:tcBorders>
            <w:shd w:val="clear" w:color="auto" w:fill="auto"/>
          </w:tcPr>
          <w:p w14:paraId="4AB46791"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Точка 3</w:t>
            </w:r>
          </w:p>
        </w:tc>
        <w:tc>
          <w:tcPr>
            <w:tcW w:w="3296" w:type="dxa"/>
            <w:tcBorders>
              <w:bottom w:val="nil"/>
            </w:tcBorders>
            <w:shd w:val="clear" w:color="auto" w:fill="auto"/>
          </w:tcPr>
          <w:p w14:paraId="05F5F68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Оборудване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w:t>
            </w:r>
          </w:p>
        </w:tc>
        <w:tc>
          <w:tcPr>
            <w:tcW w:w="6521" w:type="dxa"/>
            <w:shd w:val="clear" w:color="auto" w:fill="auto"/>
          </w:tcPr>
          <w:p w14:paraId="47FF4C2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Оборудването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с одобрение на типа в съответствие с издание 1.0 и 1.01 на Стандарта за изпитване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инсталирано преди 1 декември 2015</w:t>
            </w:r>
            <w:r w:rsidRPr="00F06DE2">
              <w:rPr>
                <w:rFonts w:ascii="Times New Roman" w:hAnsi="Times New Roman" w:cs="Times New Roman"/>
              </w:rPr>
              <w:t> </w:t>
            </w:r>
            <w:r w:rsidRPr="00F06DE2">
              <w:rPr>
                <w:rFonts w:ascii="Times New Roman" w:hAnsi="Times New Roman" w:cs="Times New Roman"/>
                <w:lang w:val="ru-RU"/>
              </w:rPr>
              <w:t>г. може да продължи да се използва.</w:t>
            </w:r>
          </w:p>
        </w:tc>
        <w:tc>
          <w:tcPr>
            <w:tcW w:w="1635" w:type="dxa"/>
            <w:shd w:val="clear" w:color="auto" w:fill="auto"/>
          </w:tcPr>
          <w:p w14:paraId="2818FCA3" w14:textId="77777777" w:rsidR="00271FA2" w:rsidRPr="00F06DE2" w:rsidRDefault="00271FA2">
            <w:pPr>
              <w:spacing w:line="240" w:lineRule="atLeast"/>
              <w:rPr>
                <w:rFonts w:ascii="Times New Roman" w:hAnsi="Times New Roman" w:cs="Times New Roman"/>
                <w:lang w:val="ru-RU"/>
              </w:rPr>
            </w:pPr>
          </w:p>
        </w:tc>
      </w:tr>
      <w:tr w:rsidR="00271FA2" w:rsidRPr="00F06DE2" w14:paraId="602F3F8F" w14:textId="77777777" w:rsidTr="000E4105">
        <w:trPr>
          <w:cantSplit/>
        </w:trPr>
        <w:tc>
          <w:tcPr>
            <w:tcW w:w="1342" w:type="dxa"/>
            <w:tcBorders>
              <w:top w:val="nil"/>
            </w:tcBorders>
            <w:shd w:val="clear" w:color="auto" w:fill="auto"/>
          </w:tcPr>
          <w:p w14:paraId="6F13112E" w14:textId="77777777" w:rsidR="00271FA2" w:rsidRPr="00F06DE2" w:rsidRDefault="00271FA2">
            <w:pPr>
              <w:spacing w:line="240" w:lineRule="atLeast"/>
              <w:rPr>
                <w:rFonts w:ascii="Times New Roman" w:hAnsi="Times New Roman" w:cs="Times New Roman"/>
                <w:lang w:val="ru-RU"/>
              </w:rPr>
            </w:pPr>
          </w:p>
        </w:tc>
        <w:tc>
          <w:tcPr>
            <w:tcW w:w="1660" w:type="dxa"/>
            <w:tcBorders>
              <w:top w:val="nil"/>
            </w:tcBorders>
            <w:shd w:val="clear" w:color="auto" w:fill="auto"/>
          </w:tcPr>
          <w:p w14:paraId="4987156F" w14:textId="77777777" w:rsidR="00271FA2" w:rsidRPr="00F06DE2" w:rsidRDefault="00271FA2">
            <w:pPr>
              <w:spacing w:line="240" w:lineRule="atLeast"/>
              <w:rPr>
                <w:rFonts w:ascii="Times New Roman" w:hAnsi="Times New Roman" w:cs="Times New Roman"/>
                <w:lang w:val="ru-RU"/>
              </w:rPr>
            </w:pPr>
          </w:p>
        </w:tc>
        <w:tc>
          <w:tcPr>
            <w:tcW w:w="3296" w:type="dxa"/>
            <w:tcBorders>
              <w:top w:val="nil"/>
            </w:tcBorders>
            <w:shd w:val="clear" w:color="auto" w:fill="auto"/>
          </w:tcPr>
          <w:p w14:paraId="5E4E29C0" w14:textId="77777777" w:rsidR="00271FA2" w:rsidRPr="00F06DE2" w:rsidRDefault="00271FA2">
            <w:pPr>
              <w:spacing w:line="240" w:lineRule="atLeast"/>
              <w:rPr>
                <w:rFonts w:ascii="Times New Roman" w:hAnsi="Times New Roman" w:cs="Times New Roman"/>
                <w:lang w:val="ru-RU"/>
              </w:rPr>
            </w:pPr>
          </w:p>
        </w:tc>
        <w:tc>
          <w:tcPr>
            <w:tcW w:w="6521" w:type="dxa"/>
            <w:shd w:val="clear" w:color="auto" w:fill="auto"/>
          </w:tcPr>
          <w:p w14:paraId="77A49033" w14:textId="77777777" w:rsidR="00271FA2" w:rsidRPr="00F06DE2" w:rsidRDefault="00D35E51">
            <w:pPr>
              <w:spacing w:line="240" w:lineRule="atLeast"/>
              <w:ind w:left="2" w:right="48"/>
              <w:jc w:val="both"/>
              <w:rPr>
                <w:rFonts w:ascii="Times New Roman" w:hAnsi="Times New Roman" w:cs="Times New Roman"/>
                <w:color w:val="FF0000"/>
                <w:lang w:val="ru-RU"/>
              </w:rPr>
            </w:pPr>
            <w:r w:rsidRPr="00F06DE2">
              <w:rPr>
                <w:rFonts w:ascii="Times New Roman" w:hAnsi="Times New Roman" w:cs="Times New Roman"/>
                <w:lang w:val="ru-RU"/>
              </w:rPr>
              <w:t xml:space="preserve">Оборудването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с одобрение на типа съгласно издание 2.0 на Стандарта за изпитване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и инсталирано преди 1 януари 2024 г. може да продължи да се използва.</w:t>
            </w:r>
          </w:p>
        </w:tc>
        <w:tc>
          <w:tcPr>
            <w:tcW w:w="1635" w:type="dxa"/>
            <w:shd w:val="clear" w:color="auto" w:fill="auto"/>
          </w:tcPr>
          <w:p w14:paraId="7F3CF27A" w14:textId="77777777" w:rsidR="00271FA2" w:rsidRPr="00F06DE2" w:rsidRDefault="00271FA2">
            <w:pPr>
              <w:spacing w:line="240" w:lineRule="atLeast"/>
              <w:rPr>
                <w:rFonts w:ascii="Times New Roman" w:hAnsi="Times New Roman" w:cs="Times New Roman"/>
                <w:lang w:val="ru-RU"/>
              </w:rPr>
            </w:pPr>
          </w:p>
        </w:tc>
      </w:tr>
      <w:tr w:rsidR="00271FA2" w:rsidRPr="00F06DE2" w14:paraId="4FE11F01" w14:textId="77777777" w:rsidTr="000E4105">
        <w:trPr>
          <w:cantSplit/>
        </w:trPr>
        <w:tc>
          <w:tcPr>
            <w:tcW w:w="1342" w:type="dxa"/>
            <w:tcBorders>
              <w:top w:val="nil"/>
            </w:tcBorders>
            <w:shd w:val="clear" w:color="auto" w:fill="auto"/>
          </w:tcPr>
          <w:p w14:paraId="0FA639ED" w14:textId="77777777" w:rsidR="00271FA2" w:rsidRPr="00F06DE2" w:rsidRDefault="00271FA2">
            <w:pPr>
              <w:spacing w:line="240" w:lineRule="atLeast"/>
              <w:rPr>
                <w:rFonts w:ascii="Times New Roman" w:hAnsi="Times New Roman" w:cs="Times New Roman"/>
                <w:lang w:val="ru-RU"/>
              </w:rPr>
            </w:pPr>
          </w:p>
        </w:tc>
        <w:tc>
          <w:tcPr>
            <w:tcW w:w="1660" w:type="dxa"/>
            <w:tcBorders>
              <w:top w:val="nil"/>
            </w:tcBorders>
            <w:shd w:val="clear" w:color="auto" w:fill="auto"/>
          </w:tcPr>
          <w:p w14:paraId="7708FEEE" w14:textId="77777777" w:rsidR="00271FA2" w:rsidRPr="00F06DE2" w:rsidRDefault="00271FA2">
            <w:pPr>
              <w:spacing w:line="240" w:lineRule="atLeast"/>
              <w:rPr>
                <w:rFonts w:ascii="Times New Roman" w:hAnsi="Times New Roman" w:cs="Times New Roman"/>
                <w:lang w:val="ru-RU"/>
              </w:rPr>
            </w:pPr>
          </w:p>
        </w:tc>
        <w:tc>
          <w:tcPr>
            <w:tcW w:w="3296" w:type="dxa"/>
            <w:tcBorders>
              <w:top w:val="nil"/>
            </w:tcBorders>
            <w:shd w:val="clear" w:color="auto" w:fill="auto"/>
          </w:tcPr>
          <w:p w14:paraId="2F28D564" w14:textId="77777777" w:rsidR="00271FA2" w:rsidRPr="00F06DE2" w:rsidRDefault="00271FA2">
            <w:pPr>
              <w:spacing w:line="240" w:lineRule="atLeast"/>
              <w:rPr>
                <w:rFonts w:ascii="Times New Roman" w:hAnsi="Times New Roman" w:cs="Times New Roman"/>
                <w:lang w:val="ru-RU"/>
              </w:rPr>
            </w:pPr>
          </w:p>
        </w:tc>
        <w:tc>
          <w:tcPr>
            <w:tcW w:w="6521" w:type="dxa"/>
            <w:shd w:val="clear" w:color="auto" w:fill="auto"/>
          </w:tcPr>
          <w:p w14:paraId="4C8F2A94" w14:textId="690D292E" w:rsidR="00271FA2" w:rsidRPr="00F06DE2" w:rsidRDefault="00D35E51">
            <w:pPr>
              <w:spacing w:line="240" w:lineRule="atLeast"/>
              <w:ind w:left="2" w:right="48"/>
              <w:jc w:val="both"/>
              <w:rPr>
                <w:rFonts w:ascii="Times New Roman" w:hAnsi="Times New Roman" w:cs="Times New Roman"/>
                <w:lang w:val="ru-RU"/>
              </w:rPr>
            </w:pPr>
            <w:r w:rsidRPr="00F06DE2">
              <w:rPr>
                <w:rFonts w:ascii="Times New Roman" w:hAnsi="Times New Roman" w:cs="Times New Roman"/>
                <w:lang w:val="ru-RU"/>
              </w:rPr>
              <w:t xml:space="preserve">Оборудването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с типово одобрение съгласно издание 2021/3.0 на Стандарта за изпитване за </w:t>
            </w:r>
            <w:r w:rsidRPr="00F06DE2">
              <w:rPr>
                <w:rFonts w:ascii="Times New Roman" w:hAnsi="Times New Roman" w:cs="Times New Roman"/>
              </w:rPr>
              <w:t>AIS</w:t>
            </w:r>
            <w:r w:rsidR="009B7059" w:rsidRPr="00F06DE2">
              <w:rPr>
                <w:rFonts w:ascii="Times New Roman" w:hAnsi="Times New Roman" w:cs="Times New Roman"/>
                <w:lang w:val="ru-RU"/>
              </w:rPr>
              <w:t xml:space="preserve">, </w:t>
            </w:r>
            <w:r w:rsidR="009B7059" w:rsidRPr="00F06DE2">
              <w:rPr>
                <w:rFonts w:ascii="Times New Roman" w:hAnsi="Times New Roman" w:cs="Times New Roman"/>
              </w:rPr>
              <w:t>ES</w:t>
            </w:r>
            <w:r w:rsidR="009B7059" w:rsidRPr="00F06DE2">
              <w:rPr>
                <w:rFonts w:ascii="Times New Roman" w:hAnsi="Times New Roman" w:cs="Times New Roman"/>
                <w:lang w:val="ru-RU"/>
              </w:rPr>
              <w:t>-</w:t>
            </w:r>
            <w:r w:rsidR="009B7059" w:rsidRPr="00F06DE2">
              <w:rPr>
                <w:rFonts w:ascii="Times New Roman" w:hAnsi="Times New Roman" w:cs="Times New Roman"/>
              </w:rPr>
              <w:t>RIS</w:t>
            </w:r>
            <w:r w:rsidR="009B7059" w:rsidRPr="00F06DE2">
              <w:rPr>
                <w:rFonts w:ascii="Times New Roman" w:hAnsi="Times New Roman" w:cs="Times New Roman"/>
                <w:lang w:val="ru-RU"/>
              </w:rPr>
              <w:t xml:space="preserve"> 2021/1 </w:t>
            </w:r>
            <w:r w:rsidR="009B7059" w:rsidRPr="00F06DE2">
              <w:rPr>
                <w:rFonts w:ascii="Times New Roman" w:hAnsi="Times New Roman" w:cs="Times New Roman"/>
              </w:rPr>
              <w:t>or</w:t>
            </w:r>
            <w:r w:rsidR="009B7059" w:rsidRPr="00F06DE2">
              <w:rPr>
                <w:rFonts w:ascii="Times New Roman" w:hAnsi="Times New Roman" w:cs="Times New Roman"/>
                <w:lang w:val="ru-RU"/>
              </w:rPr>
              <w:t xml:space="preserve"> </w:t>
            </w:r>
            <w:r w:rsidR="009B7059" w:rsidRPr="00F06DE2">
              <w:rPr>
                <w:rFonts w:ascii="Times New Roman" w:hAnsi="Times New Roman" w:cs="Times New Roman"/>
              </w:rPr>
              <w:t>ES</w:t>
            </w:r>
            <w:r w:rsidR="009B7059" w:rsidRPr="00F06DE2">
              <w:rPr>
                <w:rFonts w:ascii="Times New Roman" w:hAnsi="Times New Roman" w:cs="Times New Roman"/>
                <w:lang w:val="ru-RU"/>
              </w:rPr>
              <w:t>-</w:t>
            </w:r>
            <w:r w:rsidR="009B7059" w:rsidRPr="00F06DE2">
              <w:rPr>
                <w:rFonts w:ascii="Times New Roman" w:hAnsi="Times New Roman" w:cs="Times New Roman"/>
              </w:rPr>
              <w:t>RIS</w:t>
            </w:r>
            <w:r w:rsidR="009B7059" w:rsidRPr="00F06DE2">
              <w:rPr>
                <w:rFonts w:ascii="Times New Roman" w:hAnsi="Times New Roman" w:cs="Times New Roman"/>
                <w:lang w:val="ru-RU"/>
              </w:rPr>
              <w:t xml:space="preserve"> 2023/1</w:t>
            </w:r>
            <w:r w:rsidRPr="00F06DE2">
              <w:rPr>
                <w:rFonts w:ascii="Times New Roman" w:hAnsi="Times New Roman" w:cs="Times New Roman"/>
                <w:lang w:val="ru-RU"/>
              </w:rPr>
              <w:t xml:space="preserve"> за вътрешно корабоплаване може да продължи да се инсталира, след което да се използва.</w:t>
            </w:r>
          </w:p>
        </w:tc>
        <w:tc>
          <w:tcPr>
            <w:tcW w:w="1635" w:type="dxa"/>
            <w:shd w:val="clear" w:color="auto" w:fill="auto"/>
          </w:tcPr>
          <w:p w14:paraId="2B615405" w14:textId="77777777" w:rsidR="00271FA2" w:rsidRPr="00F06DE2" w:rsidRDefault="00271FA2">
            <w:pPr>
              <w:spacing w:line="240" w:lineRule="atLeast"/>
              <w:rPr>
                <w:rFonts w:ascii="Times New Roman" w:hAnsi="Times New Roman" w:cs="Times New Roman"/>
                <w:lang w:val="ru-RU"/>
              </w:rPr>
            </w:pPr>
          </w:p>
        </w:tc>
      </w:tr>
      <w:tr w:rsidR="00B067ED" w:rsidRPr="00F06DE2" w14:paraId="50A4F06E" w14:textId="77777777" w:rsidTr="000E4105">
        <w:trPr>
          <w:cantSplit/>
        </w:trPr>
        <w:tc>
          <w:tcPr>
            <w:tcW w:w="1342" w:type="dxa"/>
            <w:shd w:val="clear" w:color="auto" w:fill="auto"/>
          </w:tcPr>
          <w:p w14:paraId="0A6F4561" w14:textId="77777777" w:rsidR="00B067ED" w:rsidRPr="00F06DE2" w:rsidRDefault="00B067ED">
            <w:pPr>
              <w:spacing w:line="240" w:lineRule="atLeast"/>
              <w:jc w:val="both"/>
              <w:rPr>
                <w:rFonts w:ascii="Times New Roman" w:hAnsi="Times New Roman" w:cs="Times New Roman"/>
              </w:rPr>
            </w:pPr>
            <w:r w:rsidRPr="00F06DE2">
              <w:rPr>
                <w:rFonts w:ascii="Times New Roman" w:hAnsi="Times New Roman" w:cs="Times New Roman"/>
              </w:rPr>
              <w:t>7.12</w:t>
            </w:r>
          </w:p>
        </w:tc>
        <w:tc>
          <w:tcPr>
            <w:tcW w:w="1660" w:type="dxa"/>
            <w:shd w:val="clear" w:color="auto" w:fill="auto"/>
          </w:tcPr>
          <w:p w14:paraId="69C54FCF" w14:textId="77777777" w:rsidR="00B067ED" w:rsidRPr="00F06DE2" w:rsidRDefault="00B067ED">
            <w:pPr>
              <w:widowControl w:val="0"/>
              <w:spacing w:line="240" w:lineRule="atLeast"/>
              <w:jc w:val="both"/>
              <w:rPr>
                <w:rFonts w:ascii="Times New Roman" w:hAnsi="Times New Roman" w:cs="Times New Roman"/>
              </w:rPr>
            </w:pPr>
            <w:r w:rsidRPr="00F06DE2">
              <w:rPr>
                <w:rFonts w:ascii="Times New Roman" w:hAnsi="Times New Roman" w:cs="Times New Roman"/>
              </w:rPr>
              <w:t>Точка 4 3-то изречение</w:t>
            </w:r>
          </w:p>
        </w:tc>
        <w:tc>
          <w:tcPr>
            <w:tcW w:w="3296" w:type="dxa"/>
            <w:shd w:val="clear" w:color="auto" w:fill="auto"/>
          </w:tcPr>
          <w:p w14:paraId="5193B388" w14:textId="64FAA040" w:rsidR="00B067ED" w:rsidRPr="00F06DE2" w:rsidRDefault="00B067ED">
            <w:pPr>
              <w:widowControl w:val="0"/>
              <w:spacing w:line="240" w:lineRule="atLeast"/>
              <w:jc w:val="both"/>
              <w:rPr>
                <w:rFonts w:ascii="Times New Roman" w:hAnsi="Times New Roman" w:cs="Times New Roman"/>
                <w:lang w:val="ru-RU"/>
              </w:rPr>
            </w:pPr>
            <w:r w:rsidRPr="00F06DE2">
              <w:rPr>
                <w:rFonts w:ascii="Times New Roman" w:hAnsi="Times New Roman" w:cs="Times New Roman"/>
                <w:color w:val="000000"/>
                <w:lang w:val="ru-RU"/>
              </w:rPr>
              <w:t>Отвор на покрива, използван като авариен</w:t>
            </w:r>
          </w:p>
        </w:tc>
        <w:tc>
          <w:tcPr>
            <w:tcW w:w="6521" w:type="dxa"/>
            <w:shd w:val="clear" w:color="auto" w:fill="auto"/>
          </w:tcPr>
          <w:p w14:paraId="2A5B417F" w14:textId="375F3BA9" w:rsidR="00B067ED" w:rsidRPr="00F06DE2" w:rsidRDefault="00B067ED">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w:t>
            </w:r>
            <w:r w:rsidR="00106115" w:rsidRPr="00F06DE2">
              <w:rPr>
                <w:rFonts w:ascii="Times New Roman" w:hAnsi="Times New Roman" w:cs="Times New Roman"/>
                <w:lang w:val="ru-RU"/>
              </w:rPr>
              <w:t>корабното удостоверение  за вътрешно корабоплаване</w:t>
            </w:r>
            <w:r w:rsidRPr="00F06DE2">
              <w:rPr>
                <w:rFonts w:ascii="Times New Roman" w:hAnsi="Times New Roman" w:cs="Times New Roman"/>
                <w:lang w:val="ru-RU"/>
              </w:rPr>
              <w:t xml:space="preserve"> след</w:t>
            </w:r>
          </w:p>
        </w:tc>
        <w:tc>
          <w:tcPr>
            <w:tcW w:w="1635" w:type="dxa"/>
            <w:shd w:val="clear" w:color="auto" w:fill="auto"/>
          </w:tcPr>
          <w:p w14:paraId="09EC7DDB" w14:textId="52C74D12" w:rsidR="00B067ED" w:rsidRPr="00F06DE2" w:rsidRDefault="00631F16">
            <w:pPr>
              <w:widowControl w:val="0"/>
              <w:spacing w:line="240" w:lineRule="atLeast"/>
              <w:rPr>
                <w:rFonts w:ascii="Times New Roman" w:hAnsi="Times New Roman" w:cs="Times New Roman"/>
              </w:rPr>
            </w:pPr>
            <w:r w:rsidRPr="00F06DE2">
              <w:rPr>
                <w:rFonts w:ascii="Times New Roman" w:hAnsi="Times New Roman" w:cs="Times New Roman"/>
              </w:rPr>
              <w:t>01.01</w:t>
            </w:r>
            <w:r w:rsidR="00B067ED" w:rsidRPr="00F06DE2">
              <w:rPr>
                <w:rFonts w:ascii="Times New Roman" w:hAnsi="Times New Roman" w:cs="Times New Roman"/>
              </w:rPr>
              <w:t>.2035</w:t>
            </w:r>
            <w:r w:rsidRPr="00F06DE2">
              <w:rPr>
                <w:rFonts w:ascii="Times New Roman" w:hAnsi="Times New Roman" w:cs="Times New Roman"/>
              </w:rPr>
              <w:t xml:space="preserve"> г.</w:t>
            </w:r>
          </w:p>
        </w:tc>
      </w:tr>
      <w:tr w:rsidR="00271FA2" w:rsidRPr="00F06DE2" w14:paraId="469A9C11" w14:textId="77777777" w:rsidTr="000E4105">
        <w:trPr>
          <w:cantSplit/>
        </w:trPr>
        <w:tc>
          <w:tcPr>
            <w:tcW w:w="1342" w:type="dxa"/>
            <w:vMerge w:val="restart"/>
            <w:shd w:val="clear" w:color="auto" w:fill="auto"/>
          </w:tcPr>
          <w:p w14:paraId="62A89CC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7.12</w:t>
            </w:r>
          </w:p>
        </w:tc>
        <w:tc>
          <w:tcPr>
            <w:tcW w:w="1660" w:type="dxa"/>
            <w:shd w:val="clear" w:color="auto" w:fill="auto"/>
          </w:tcPr>
          <w:p w14:paraId="79945370" w14:textId="5B80884D" w:rsidR="00271FA2" w:rsidRPr="00F06DE2" w:rsidRDefault="00D35E51" w:rsidP="003E5AD2">
            <w:pPr>
              <w:widowControl w:val="0"/>
              <w:spacing w:line="240" w:lineRule="atLeast"/>
              <w:jc w:val="both"/>
              <w:rPr>
                <w:rFonts w:ascii="Times New Roman" w:hAnsi="Times New Roman" w:cs="Times New Roman"/>
              </w:rPr>
            </w:pPr>
            <w:r w:rsidRPr="00F06DE2">
              <w:rPr>
                <w:rFonts w:ascii="Times New Roman" w:hAnsi="Times New Roman" w:cs="Times New Roman"/>
              </w:rPr>
              <w:t xml:space="preserve">Точка </w:t>
            </w:r>
            <w:r w:rsidR="00B067ED" w:rsidRPr="00F06DE2">
              <w:rPr>
                <w:rFonts w:ascii="Times New Roman" w:hAnsi="Times New Roman" w:cs="Times New Roman"/>
              </w:rPr>
              <w:t xml:space="preserve">5 </w:t>
            </w:r>
            <w:r w:rsidRPr="00F06DE2">
              <w:rPr>
                <w:rFonts w:ascii="Times New Roman" w:hAnsi="Times New Roman" w:cs="Times New Roman"/>
              </w:rPr>
              <w:br/>
              <w:t>2-ро изречение</w:t>
            </w:r>
          </w:p>
        </w:tc>
        <w:tc>
          <w:tcPr>
            <w:tcW w:w="3296" w:type="dxa"/>
            <w:shd w:val="clear" w:color="auto" w:fill="auto"/>
          </w:tcPr>
          <w:p w14:paraId="4A51F044" w14:textId="77777777" w:rsidR="00271FA2" w:rsidRPr="00F06DE2" w:rsidRDefault="00D35E51">
            <w:pPr>
              <w:widowControl w:val="0"/>
              <w:spacing w:line="240" w:lineRule="atLeast"/>
              <w:jc w:val="both"/>
              <w:rPr>
                <w:rFonts w:ascii="Times New Roman" w:hAnsi="Times New Roman" w:cs="Times New Roman"/>
              </w:rPr>
            </w:pPr>
            <w:r w:rsidRPr="00F06DE2">
              <w:rPr>
                <w:rFonts w:ascii="Times New Roman" w:hAnsi="Times New Roman" w:cs="Times New Roman"/>
              </w:rPr>
              <w:t>Указания</w:t>
            </w:r>
          </w:p>
        </w:tc>
        <w:tc>
          <w:tcPr>
            <w:tcW w:w="6521" w:type="dxa"/>
            <w:shd w:val="clear" w:color="auto" w:fill="auto"/>
          </w:tcPr>
          <w:p w14:paraId="447B2EDA" w14:textId="77777777" w:rsidR="00271FA2" w:rsidRPr="00F06DE2" w:rsidRDefault="00D35E51">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44C14C58" w14:textId="77777777" w:rsidR="00271FA2" w:rsidRPr="00F06DE2" w:rsidRDefault="00271FA2">
            <w:pPr>
              <w:widowControl w:val="0"/>
              <w:spacing w:line="240" w:lineRule="atLeast"/>
              <w:rPr>
                <w:rFonts w:ascii="Times New Roman" w:hAnsi="Times New Roman" w:cs="Times New Roman"/>
                <w:lang w:val="ru-RU"/>
              </w:rPr>
            </w:pPr>
          </w:p>
        </w:tc>
      </w:tr>
      <w:tr w:rsidR="00271FA2" w:rsidRPr="00F06DE2" w14:paraId="4FA6D561" w14:textId="77777777" w:rsidTr="000E4105">
        <w:trPr>
          <w:cantSplit/>
          <w:trHeight w:val="517"/>
        </w:trPr>
        <w:tc>
          <w:tcPr>
            <w:tcW w:w="1342" w:type="dxa"/>
            <w:vMerge/>
            <w:shd w:val="clear" w:color="auto" w:fill="auto"/>
          </w:tcPr>
          <w:p w14:paraId="346218AF" w14:textId="77777777" w:rsidR="00271FA2" w:rsidRPr="00F06DE2" w:rsidRDefault="00271FA2">
            <w:pPr>
              <w:spacing w:line="240" w:lineRule="atLeast"/>
              <w:rPr>
                <w:rFonts w:ascii="Times New Roman" w:hAnsi="Times New Roman" w:cs="Times New Roman"/>
                <w:lang w:val="ru-RU"/>
              </w:rPr>
            </w:pPr>
          </w:p>
        </w:tc>
        <w:tc>
          <w:tcPr>
            <w:tcW w:w="1660" w:type="dxa"/>
            <w:shd w:val="clear" w:color="auto" w:fill="auto"/>
          </w:tcPr>
          <w:p w14:paraId="3259C99E" w14:textId="6CF9DDDE" w:rsidR="00271FA2" w:rsidRPr="00F06DE2" w:rsidRDefault="00D35E51" w:rsidP="003E5AD2">
            <w:pPr>
              <w:widowControl w:val="0"/>
              <w:spacing w:line="240" w:lineRule="atLeast"/>
              <w:jc w:val="both"/>
              <w:rPr>
                <w:rFonts w:ascii="Times New Roman" w:hAnsi="Times New Roman" w:cs="Times New Roman"/>
              </w:rPr>
            </w:pPr>
            <w:r w:rsidRPr="00F06DE2">
              <w:rPr>
                <w:rFonts w:ascii="Times New Roman" w:hAnsi="Times New Roman" w:cs="Times New Roman"/>
              </w:rPr>
              <w:t xml:space="preserve">Точка </w:t>
            </w:r>
            <w:r w:rsidR="00B067ED" w:rsidRPr="00F06DE2">
              <w:rPr>
                <w:rFonts w:ascii="Times New Roman" w:hAnsi="Times New Roman" w:cs="Times New Roman"/>
              </w:rPr>
              <w:t>6</w:t>
            </w:r>
          </w:p>
        </w:tc>
        <w:tc>
          <w:tcPr>
            <w:tcW w:w="3296" w:type="dxa"/>
            <w:shd w:val="clear" w:color="auto" w:fill="auto"/>
          </w:tcPr>
          <w:p w14:paraId="39987649" w14:textId="77777777" w:rsidR="00271FA2" w:rsidRPr="00F06DE2" w:rsidRDefault="00D35E51">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Спиране, блокиране и автоматично изключване</w:t>
            </w:r>
          </w:p>
        </w:tc>
        <w:tc>
          <w:tcPr>
            <w:tcW w:w="6521" w:type="dxa"/>
            <w:shd w:val="clear" w:color="auto" w:fill="auto"/>
          </w:tcPr>
          <w:p w14:paraId="28FE97BA" w14:textId="77777777" w:rsidR="00271FA2" w:rsidRPr="00F06DE2" w:rsidRDefault="00D35E51">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35" w:type="dxa"/>
            <w:shd w:val="clear" w:color="auto" w:fill="auto"/>
          </w:tcPr>
          <w:p w14:paraId="4A0F7FCE" w14:textId="5DFA4D6C" w:rsidR="00271FA2" w:rsidRPr="00F06DE2" w:rsidRDefault="00631F16">
            <w:pPr>
              <w:widowControl w:val="0"/>
              <w:spacing w:line="240" w:lineRule="atLeast"/>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1FACFF2B" w14:textId="77777777" w:rsidTr="000E4105">
        <w:trPr>
          <w:cantSplit/>
        </w:trPr>
        <w:tc>
          <w:tcPr>
            <w:tcW w:w="1342" w:type="dxa"/>
            <w:vMerge/>
            <w:shd w:val="clear" w:color="auto" w:fill="auto"/>
          </w:tcPr>
          <w:p w14:paraId="4E54D862"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27FE01E4" w14:textId="41E7D2E9" w:rsidR="00271FA2" w:rsidRPr="00F06DE2" w:rsidRDefault="00D35E51" w:rsidP="003E5AD2">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Точка </w:t>
            </w:r>
            <w:r w:rsidR="00B067ED" w:rsidRPr="00F06DE2">
              <w:rPr>
                <w:rFonts w:ascii="Times New Roman" w:hAnsi="Times New Roman" w:cs="Times New Roman"/>
                <w:lang w:val="ru-RU"/>
              </w:rPr>
              <w:t xml:space="preserve">8 </w:t>
            </w:r>
            <w:r w:rsidRPr="00F06DE2">
              <w:rPr>
                <w:rFonts w:ascii="Times New Roman" w:hAnsi="Times New Roman" w:cs="Times New Roman"/>
                <w:lang w:val="ru-RU"/>
              </w:rPr>
              <w:br/>
              <w:t>1-во и 2-ро изречение</w:t>
            </w:r>
          </w:p>
        </w:tc>
        <w:tc>
          <w:tcPr>
            <w:tcW w:w="3296" w:type="dxa"/>
            <w:shd w:val="clear" w:color="auto" w:fill="auto"/>
          </w:tcPr>
          <w:p w14:paraId="569B5CF2" w14:textId="77777777" w:rsidR="00271FA2" w:rsidRPr="00F06DE2" w:rsidRDefault="00D35E51">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Мерки и функции за защита</w:t>
            </w:r>
          </w:p>
        </w:tc>
        <w:tc>
          <w:tcPr>
            <w:tcW w:w="6521" w:type="dxa"/>
            <w:shd w:val="clear" w:color="auto" w:fill="auto"/>
          </w:tcPr>
          <w:p w14:paraId="214996F1" w14:textId="77777777" w:rsidR="00271FA2" w:rsidRPr="00F06DE2" w:rsidRDefault="00D35E51">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35" w:type="dxa"/>
            <w:shd w:val="clear" w:color="auto" w:fill="auto"/>
          </w:tcPr>
          <w:p w14:paraId="1F306C07" w14:textId="6D38073A" w:rsidR="00271FA2" w:rsidRPr="00F06DE2" w:rsidRDefault="00631F16">
            <w:pPr>
              <w:widowControl w:val="0"/>
              <w:spacing w:line="240" w:lineRule="atLeast"/>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4F79E6" w:rsidRPr="00F06DE2" w14:paraId="326B6C5E" w14:textId="77777777" w:rsidTr="000E4105">
        <w:trPr>
          <w:cantSplit/>
        </w:trPr>
        <w:tc>
          <w:tcPr>
            <w:tcW w:w="1342" w:type="dxa"/>
            <w:vMerge/>
            <w:shd w:val="clear" w:color="auto" w:fill="auto"/>
          </w:tcPr>
          <w:p w14:paraId="1E7D7A18" w14:textId="77777777" w:rsidR="004F79E6" w:rsidRPr="00F06DE2" w:rsidRDefault="004F79E6">
            <w:pPr>
              <w:spacing w:line="240" w:lineRule="atLeast"/>
              <w:rPr>
                <w:rFonts w:ascii="Times New Roman" w:hAnsi="Times New Roman" w:cs="Times New Roman"/>
              </w:rPr>
            </w:pPr>
          </w:p>
        </w:tc>
        <w:tc>
          <w:tcPr>
            <w:tcW w:w="1660" w:type="dxa"/>
            <w:shd w:val="clear" w:color="auto" w:fill="auto"/>
          </w:tcPr>
          <w:p w14:paraId="7A397C38" w14:textId="1E5A7894" w:rsidR="00726E7B" w:rsidRPr="00F06DE2" w:rsidRDefault="00726E7B" w:rsidP="00726E7B">
            <w:pPr>
              <w:widowControl w:val="0"/>
              <w:spacing w:line="240" w:lineRule="atLeast"/>
              <w:jc w:val="both"/>
              <w:rPr>
                <w:rFonts w:ascii="Times New Roman" w:hAnsi="Times New Roman" w:cs="Times New Roman"/>
              </w:rPr>
            </w:pPr>
            <w:r w:rsidRPr="00F06DE2">
              <w:rPr>
                <w:rFonts w:ascii="Times New Roman" w:hAnsi="Times New Roman" w:cs="Times New Roman"/>
              </w:rPr>
              <w:t>Точка (8)</w:t>
            </w:r>
          </w:p>
          <w:p w14:paraId="4EC1BA97" w14:textId="0A5F74F8" w:rsidR="004F79E6" w:rsidRPr="00F06DE2" w:rsidRDefault="00726E7B" w:rsidP="00726E7B">
            <w:pPr>
              <w:widowControl w:val="0"/>
              <w:spacing w:line="240" w:lineRule="atLeast"/>
              <w:jc w:val="both"/>
              <w:rPr>
                <w:rFonts w:ascii="Times New Roman" w:hAnsi="Times New Roman" w:cs="Times New Roman"/>
              </w:rPr>
            </w:pPr>
            <w:r w:rsidRPr="00F06DE2">
              <w:rPr>
                <w:rFonts w:ascii="Times New Roman" w:hAnsi="Times New Roman" w:cs="Times New Roman"/>
              </w:rPr>
              <w:t>3-то изречение</w:t>
            </w:r>
          </w:p>
        </w:tc>
        <w:tc>
          <w:tcPr>
            <w:tcW w:w="3296" w:type="dxa"/>
            <w:shd w:val="clear" w:color="auto" w:fill="auto"/>
          </w:tcPr>
          <w:p w14:paraId="792024D1" w14:textId="1B77431D" w:rsidR="004F79E6" w:rsidRPr="00F06DE2" w:rsidRDefault="00726E7B">
            <w:pPr>
              <w:widowControl w:val="0"/>
              <w:spacing w:line="240" w:lineRule="atLeast"/>
              <w:jc w:val="both"/>
              <w:rPr>
                <w:rFonts w:ascii="Times New Roman" w:hAnsi="Times New Roman" w:cs="Times New Roman"/>
              </w:rPr>
            </w:pPr>
            <w:r w:rsidRPr="00F06DE2">
              <w:rPr>
                <w:rFonts w:ascii="Times New Roman" w:hAnsi="Times New Roman" w:cs="Times New Roman"/>
              </w:rPr>
              <w:t>Символ и предупредително устройство</w:t>
            </w:r>
          </w:p>
        </w:tc>
        <w:tc>
          <w:tcPr>
            <w:tcW w:w="6521" w:type="dxa"/>
            <w:shd w:val="clear" w:color="auto" w:fill="auto"/>
          </w:tcPr>
          <w:p w14:paraId="613170B1" w14:textId="75931766" w:rsidR="004F79E6" w:rsidRPr="00F06DE2" w:rsidRDefault="00726E7B" w:rsidP="00726E7B">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w:t>
            </w:r>
            <w:r w:rsidR="00106115" w:rsidRPr="00F06DE2">
              <w:rPr>
                <w:rFonts w:ascii="Times New Roman" w:hAnsi="Times New Roman" w:cs="Times New Roman"/>
                <w:lang w:val="ru-RU"/>
              </w:rPr>
              <w:t>корабното удостоверение  за вътрешно корабоплаване</w:t>
            </w:r>
            <w:r w:rsidRPr="00F06DE2">
              <w:rPr>
                <w:rFonts w:ascii="Times New Roman" w:hAnsi="Times New Roman" w:cs="Times New Roman"/>
                <w:lang w:val="ru-RU"/>
              </w:rPr>
              <w:t>.</w:t>
            </w:r>
          </w:p>
        </w:tc>
        <w:tc>
          <w:tcPr>
            <w:tcW w:w="1635" w:type="dxa"/>
            <w:shd w:val="clear" w:color="auto" w:fill="auto"/>
          </w:tcPr>
          <w:p w14:paraId="40BD1F6D" w14:textId="77777777" w:rsidR="004F79E6" w:rsidRPr="00F06DE2" w:rsidRDefault="004F79E6">
            <w:pPr>
              <w:widowControl w:val="0"/>
              <w:spacing w:line="240" w:lineRule="atLeast"/>
              <w:rPr>
                <w:rFonts w:ascii="Times New Roman" w:hAnsi="Times New Roman" w:cs="Times New Roman"/>
                <w:lang w:val="ru-RU"/>
              </w:rPr>
            </w:pPr>
          </w:p>
        </w:tc>
      </w:tr>
      <w:tr w:rsidR="00271FA2" w:rsidRPr="00F06DE2" w14:paraId="6C7C3B38" w14:textId="77777777" w:rsidTr="000E4105">
        <w:trPr>
          <w:cantSplit/>
        </w:trPr>
        <w:tc>
          <w:tcPr>
            <w:tcW w:w="1342" w:type="dxa"/>
            <w:vMerge/>
            <w:shd w:val="clear" w:color="auto" w:fill="auto"/>
          </w:tcPr>
          <w:p w14:paraId="4AC5D80E" w14:textId="77777777" w:rsidR="00271FA2" w:rsidRPr="00F06DE2" w:rsidRDefault="00271FA2">
            <w:pPr>
              <w:spacing w:line="240" w:lineRule="atLeast"/>
              <w:rPr>
                <w:rFonts w:ascii="Times New Roman" w:hAnsi="Times New Roman" w:cs="Times New Roman"/>
                <w:lang w:val="ru-RU"/>
              </w:rPr>
            </w:pPr>
          </w:p>
        </w:tc>
        <w:tc>
          <w:tcPr>
            <w:tcW w:w="1660" w:type="dxa"/>
            <w:shd w:val="clear" w:color="auto" w:fill="auto"/>
          </w:tcPr>
          <w:p w14:paraId="22FE7D36" w14:textId="4E0D8C05" w:rsidR="00271FA2" w:rsidRPr="00F06DE2" w:rsidRDefault="00D35E51" w:rsidP="003E5AD2">
            <w:pPr>
              <w:widowControl w:val="0"/>
              <w:spacing w:line="240" w:lineRule="atLeast"/>
              <w:jc w:val="both"/>
              <w:rPr>
                <w:rFonts w:ascii="Times New Roman" w:hAnsi="Times New Roman" w:cs="Times New Roman"/>
              </w:rPr>
            </w:pPr>
            <w:r w:rsidRPr="00F06DE2">
              <w:rPr>
                <w:rFonts w:ascii="Times New Roman" w:hAnsi="Times New Roman" w:cs="Times New Roman"/>
              </w:rPr>
              <w:t xml:space="preserve">Точка </w:t>
            </w:r>
            <w:r w:rsidR="00B067ED" w:rsidRPr="00F06DE2">
              <w:rPr>
                <w:rFonts w:ascii="Times New Roman" w:hAnsi="Times New Roman" w:cs="Times New Roman"/>
              </w:rPr>
              <w:t>8</w:t>
            </w:r>
            <w:r w:rsidRPr="00F06DE2">
              <w:rPr>
                <w:rFonts w:ascii="Times New Roman" w:hAnsi="Times New Roman" w:cs="Times New Roman"/>
              </w:rPr>
              <w:br/>
            </w:r>
            <w:r w:rsidR="00B067ED" w:rsidRPr="00F06DE2">
              <w:rPr>
                <w:rFonts w:ascii="Times New Roman" w:hAnsi="Times New Roman" w:cs="Times New Roman"/>
              </w:rPr>
              <w:t>4</w:t>
            </w:r>
            <w:r w:rsidRPr="00F06DE2">
              <w:rPr>
                <w:rFonts w:ascii="Times New Roman" w:hAnsi="Times New Roman" w:cs="Times New Roman"/>
              </w:rPr>
              <w:t>-то изречение</w:t>
            </w:r>
          </w:p>
        </w:tc>
        <w:tc>
          <w:tcPr>
            <w:tcW w:w="3296" w:type="dxa"/>
            <w:shd w:val="clear" w:color="auto" w:fill="auto"/>
          </w:tcPr>
          <w:p w14:paraId="18163837" w14:textId="77777777" w:rsidR="00271FA2" w:rsidRPr="00F06DE2" w:rsidRDefault="00D35E51">
            <w:pPr>
              <w:widowControl w:val="0"/>
              <w:spacing w:line="240" w:lineRule="atLeast"/>
              <w:jc w:val="both"/>
              <w:rPr>
                <w:rFonts w:ascii="Times New Roman" w:hAnsi="Times New Roman" w:cs="Times New Roman"/>
              </w:rPr>
            </w:pPr>
            <w:r w:rsidRPr="00F06DE2">
              <w:rPr>
                <w:rFonts w:ascii="Times New Roman" w:hAnsi="Times New Roman" w:cs="Times New Roman"/>
              </w:rPr>
              <w:t>Оптичен</w:t>
            </w:r>
            <w:r w:rsidR="00B067ED" w:rsidRPr="00F06DE2">
              <w:rPr>
                <w:rFonts w:ascii="Times New Roman" w:hAnsi="Times New Roman" w:cs="Times New Roman"/>
              </w:rPr>
              <w:t xml:space="preserve"> алармен</w:t>
            </w:r>
            <w:r w:rsidRPr="00F06DE2">
              <w:rPr>
                <w:rFonts w:ascii="Times New Roman" w:hAnsi="Times New Roman" w:cs="Times New Roman"/>
              </w:rPr>
              <w:t xml:space="preserve"> сигнал</w:t>
            </w:r>
          </w:p>
        </w:tc>
        <w:tc>
          <w:tcPr>
            <w:tcW w:w="6521" w:type="dxa"/>
            <w:shd w:val="clear" w:color="auto" w:fill="auto"/>
          </w:tcPr>
          <w:p w14:paraId="27776748" w14:textId="77777777" w:rsidR="00271FA2" w:rsidRPr="00F06DE2" w:rsidRDefault="00D35E51">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2AC1EBB5" w14:textId="77777777" w:rsidR="00271FA2" w:rsidRPr="00F06DE2" w:rsidRDefault="00271FA2">
            <w:pPr>
              <w:widowControl w:val="0"/>
              <w:spacing w:line="240" w:lineRule="atLeast"/>
              <w:rPr>
                <w:rFonts w:ascii="Times New Roman" w:hAnsi="Times New Roman" w:cs="Times New Roman"/>
                <w:lang w:val="ru-RU"/>
              </w:rPr>
            </w:pPr>
          </w:p>
        </w:tc>
      </w:tr>
      <w:tr w:rsidR="00271FA2" w:rsidRPr="00F06DE2" w14:paraId="0BB2F17D" w14:textId="77777777" w:rsidTr="000E4105">
        <w:trPr>
          <w:cantSplit/>
        </w:trPr>
        <w:tc>
          <w:tcPr>
            <w:tcW w:w="1342" w:type="dxa"/>
            <w:vMerge/>
            <w:shd w:val="clear" w:color="auto" w:fill="auto"/>
          </w:tcPr>
          <w:p w14:paraId="74F8C395" w14:textId="77777777" w:rsidR="00271FA2" w:rsidRPr="00F06DE2" w:rsidRDefault="00271FA2">
            <w:pPr>
              <w:spacing w:line="240" w:lineRule="atLeast"/>
              <w:rPr>
                <w:rFonts w:ascii="Times New Roman" w:hAnsi="Times New Roman" w:cs="Times New Roman"/>
                <w:lang w:val="ru-RU"/>
              </w:rPr>
            </w:pPr>
          </w:p>
        </w:tc>
        <w:tc>
          <w:tcPr>
            <w:tcW w:w="1660" w:type="dxa"/>
            <w:shd w:val="clear" w:color="auto" w:fill="auto"/>
          </w:tcPr>
          <w:p w14:paraId="06742F3B" w14:textId="78C18CBB" w:rsidR="00271FA2" w:rsidRPr="00F06DE2" w:rsidRDefault="00D35E51" w:rsidP="003E5AD2">
            <w:pPr>
              <w:widowControl w:val="0"/>
              <w:spacing w:line="240" w:lineRule="atLeast"/>
              <w:jc w:val="both"/>
              <w:rPr>
                <w:rFonts w:ascii="Times New Roman" w:hAnsi="Times New Roman" w:cs="Times New Roman"/>
              </w:rPr>
            </w:pPr>
            <w:r w:rsidRPr="00F06DE2">
              <w:rPr>
                <w:rFonts w:ascii="Times New Roman" w:hAnsi="Times New Roman" w:cs="Times New Roman"/>
              </w:rPr>
              <w:t xml:space="preserve">Точка </w:t>
            </w:r>
            <w:r w:rsidR="00B067ED" w:rsidRPr="00F06DE2">
              <w:rPr>
                <w:rFonts w:ascii="Times New Roman" w:hAnsi="Times New Roman" w:cs="Times New Roman"/>
              </w:rPr>
              <w:t>9</w:t>
            </w:r>
          </w:p>
        </w:tc>
        <w:tc>
          <w:tcPr>
            <w:tcW w:w="3296" w:type="dxa"/>
            <w:shd w:val="clear" w:color="auto" w:fill="auto"/>
          </w:tcPr>
          <w:p w14:paraId="3244A6E7" w14:textId="3440D7DF" w:rsidR="00271FA2" w:rsidRPr="00F06DE2" w:rsidRDefault="00B067ED" w:rsidP="003E5AD2">
            <w:pPr>
              <w:widowControl w:val="0"/>
              <w:tabs>
                <w:tab w:val="left" w:pos="1260"/>
              </w:tabs>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Система за аварийно спускане на повдигащи механизми, които не са хидравлични</w:t>
            </w:r>
          </w:p>
        </w:tc>
        <w:tc>
          <w:tcPr>
            <w:tcW w:w="6521" w:type="dxa"/>
            <w:shd w:val="clear" w:color="auto" w:fill="auto"/>
          </w:tcPr>
          <w:p w14:paraId="0EC3B5CD" w14:textId="36A65C41" w:rsidR="00271FA2" w:rsidRPr="00F06DE2" w:rsidRDefault="00D35E51">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35" w:type="dxa"/>
            <w:shd w:val="clear" w:color="auto" w:fill="auto"/>
          </w:tcPr>
          <w:p w14:paraId="052230B3" w14:textId="6097710E" w:rsidR="00271FA2" w:rsidRPr="00F06DE2" w:rsidRDefault="00631F16">
            <w:pPr>
              <w:widowControl w:val="0"/>
              <w:spacing w:line="240" w:lineRule="atLeast"/>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.2040 г.</w:t>
            </w:r>
          </w:p>
        </w:tc>
      </w:tr>
      <w:tr w:rsidR="00C81D65" w:rsidRPr="00F06DE2" w14:paraId="61148CEB" w14:textId="77777777" w:rsidTr="000E4105">
        <w:trPr>
          <w:cantSplit/>
        </w:trPr>
        <w:tc>
          <w:tcPr>
            <w:tcW w:w="1342" w:type="dxa"/>
            <w:vMerge w:val="restart"/>
            <w:shd w:val="clear" w:color="auto" w:fill="auto"/>
          </w:tcPr>
          <w:p w14:paraId="413BB5DC" w14:textId="08DB2281" w:rsidR="00C81D65" w:rsidRPr="00F06DE2" w:rsidRDefault="004A0FC8">
            <w:pPr>
              <w:spacing w:line="240" w:lineRule="atLeast"/>
              <w:jc w:val="both"/>
              <w:rPr>
                <w:rFonts w:ascii="Times New Roman" w:hAnsi="Times New Roman" w:cs="Times New Roman"/>
              </w:rPr>
            </w:pPr>
            <w:r w:rsidRPr="00F06DE2">
              <w:rPr>
                <w:rFonts w:ascii="Times New Roman" w:hAnsi="Times New Roman" w:cs="Times New Roman"/>
              </w:rPr>
              <w:t>7.14</w:t>
            </w:r>
          </w:p>
        </w:tc>
        <w:tc>
          <w:tcPr>
            <w:tcW w:w="1660" w:type="dxa"/>
            <w:shd w:val="clear" w:color="auto" w:fill="auto"/>
          </w:tcPr>
          <w:p w14:paraId="0A4FB25D" w14:textId="1DCD0C0E" w:rsidR="00726E7B" w:rsidRPr="00F06DE2" w:rsidRDefault="00250F76" w:rsidP="00726E7B">
            <w:pPr>
              <w:spacing w:line="240" w:lineRule="atLeast"/>
              <w:jc w:val="both"/>
              <w:rPr>
                <w:rFonts w:ascii="Times New Roman" w:hAnsi="Times New Roman" w:cs="Times New Roman"/>
              </w:rPr>
            </w:pPr>
            <w:r w:rsidRPr="00F06DE2">
              <w:rPr>
                <w:rFonts w:ascii="Times New Roman" w:hAnsi="Times New Roman" w:cs="Times New Roman"/>
              </w:rPr>
              <w:t xml:space="preserve">Точка </w:t>
            </w:r>
            <w:r w:rsidR="00726E7B" w:rsidRPr="00F06DE2">
              <w:rPr>
                <w:rFonts w:ascii="Times New Roman" w:hAnsi="Times New Roman" w:cs="Times New Roman"/>
              </w:rPr>
              <w:t>(3)</w:t>
            </w:r>
          </w:p>
          <w:p w14:paraId="2ABC959C" w14:textId="2E7A429F" w:rsidR="00C81D65" w:rsidRPr="00F06DE2" w:rsidRDefault="00726E7B" w:rsidP="00726E7B">
            <w:pPr>
              <w:spacing w:line="240" w:lineRule="atLeast"/>
              <w:jc w:val="both"/>
              <w:rPr>
                <w:rFonts w:ascii="Times New Roman" w:hAnsi="Times New Roman" w:cs="Times New Roman"/>
              </w:rPr>
            </w:pPr>
            <w:r w:rsidRPr="00F06DE2">
              <w:rPr>
                <w:rFonts w:ascii="Times New Roman" w:hAnsi="Times New Roman" w:cs="Times New Roman"/>
              </w:rPr>
              <w:t>2-ро изречение</w:t>
            </w:r>
          </w:p>
        </w:tc>
        <w:tc>
          <w:tcPr>
            <w:tcW w:w="3296" w:type="dxa"/>
            <w:shd w:val="clear" w:color="auto" w:fill="auto"/>
          </w:tcPr>
          <w:p w14:paraId="1FC44F99" w14:textId="3C80DF8E" w:rsidR="00C81D65" w:rsidRPr="00F06DE2" w:rsidRDefault="00250F76" w:rsidP="00250F76">
            <w:pPr>
              <w:spacing w:line="240" w:lineRule="atLeast"/>
              <w:jc w:val="both"/>
              <w:rPr>
                <w:rFonts w:ascii="Times New Roman" w:hAnsi="Times New Roman" w:cs="Times New Roman"/>
                <w:lang w:val="ru-RU"/>
              </w:rPr>
            </w:pPr>
            <w:r w:rsidRPr="00F06DE2">
              <w:rPr>
                <w:rFonts w:ascii="Times New Roman" w:hAnsi="Times New Roman" w:cs="Times New Roman"/>
                <w:lang w:val="ru-RU"/>
              </w:rPr>
              <w:t>Влизане и излизане от рулевата рубка,независимо от нейното местоположение</w:t>
            </w:r>
          </w:p>
        </w:tc>
        <w:tc>
          <w:tcPr>
            <w:tcW w:w="6521" w:type="dxa"/>
            <w:shd w:val="clear" w:color="auto" w:fill="auto"/>
          </w:tcPr>
          <w:p w14:paraId="492E76D3" w14:textId="272E0614" w:rsidR="00C81D65" w:rsidRPr="00F06DE2" w:rsidRDefault="00250F7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w:t>
            </w:r>
            <w:r w:rsidR="00106115" w:rsidRPr="00F06DE2">
              <w:rPr>
                <w:rFonts w:ascii="Times New Roman" w:hAnsi="Times New Roman" w:cs="Times New Roman"/>
                <w:lang w:val="ru-RU"/>
              </w:rPr>
              <w:t>корабното удостоверение  за вътрешно корабоплаване</w:t>
            </w:r>
            <w:r w:rsidRPr="00F06DE2">
              <w:rPr>
                <w:rFonts w:ascii="Times New Roman" w:hAnsi="Times New Roman" w:cs="Times New Roman"/>
                <w:lang w:val="ru-RU"/>
              </w:rPr>
              <w:t>.</w:t>
            </w:r>
          </w:p>
        </w:tc>
        <w:tc>
          <w:tcPr>
            <w:tcW w:w="1635" w:type="dxa"/>
            <w:shd w:val="clear" w:color="auto" w:fill="auto"/>
          </w:tcPr>
          <w:p w14:paraId="1691591E" w14:textId="77777777" w:rsidR="00C81D65" w:rsidRPr="00F06DE2" w:rsidRDefault="00C81D65">
            <w:pPr>
              <w:widowControl w:val="0"/>
              <w:spacing w:line="240" w:lineRule="atLeast"/>
              <w:rPr>
                <w:rFonts w:ascii="Times New Roman" w:hAnsi="Times New Roman" w:cs="Times New Roman"/>
                <w:lang w:val="ru-RU"/>
              </w:rPr>
            </w:pPr>
          </w:p>
        </w:tc>
      </w:tr>
      <w:tr w:rsidR="00C81D65" w:rsidRPr="00F06DE2" w14:paraId="0B03FB79" w14:textId="77777777" w:rsidTr="000E4105">
        <w:trPr>
          <w:cantSplit/>
        </w:trPr>
        <w:tc>
          <w:tcPr>
            <w:tcW w:w="1342" w:type="dxa"/>
            <w:vMerge/>
            <w:shd w:val="clear" w:color="auto" w:fill="auto"/>
          </w:tcPr>
          <w:p w14:paraId="31071C5C" w14:textId="77777777" w:rsidR="00C81D65" w:rsidRPr="00F06DE2" w:rsidRDefault="00C81D65">
            <w:pPr>
              <w:spacing w:line="240" w:lineRule="atLeast"/>
              <w:jc w:val="both"/>
              <w:rPr>
                <w:rFonts w:ascii="Times New Roman" w:hAnsi="Times New Roman" w:cs="Times New Roman"/>
                <w:lang w:val="ru-RU"/>
              </w:rPr>
            </w:pPr>
          </w:p>
        </w:tc>
        <w:tc>
          <w:tcPr>
            <w:tcW w:w="1660" w:type="dxa"/>
            <w:shd w:val="clear" w:color="auto" w:fill="auto"/>
          </w:tcPr>
          <w:p w14:paraId="7AD80E9C" w14:textId="77777777" w:rsidR="00250F76" w:rsidRPr="00F06DE2" w:rsidRDefault="00250F76" w:rsidP="00250F76">
            <w:pPr>
              <w:spacing w:line="240" w:lineRule="atLeast"/>
              <w:jc w:val="both"/>
              <w:rPr>
                <w:rFonts w:ascii="Times New Roman" w:hAnsi="Times New Roman" w:cs="Times New Roman"/>
              </w:rPr>
            </w:pPr>
            <w:r w:rsidRPr="00F06DE2">
              <w:rPr>
                <w:rFonts w:ascii="Times New Roman" w:hAnsi="Times New Roman" w:cs="Times New Roman"/>
              </w:rPr>
              <w:t>Точка (3)</w:t>
            </w:r>
          </w:p>
          <w:p w14:paraId="78D7CB70" w14:textId="5EFD882A" w:rsidR="00C81D65" w:rsidRPr="00F06DE2" w:rsidRDefault="00250F76" w:rsidP="00250F76">
            <w:pPr>
              <w:spacing w:line="240" w:lineRule="atLeast"/>
              <w:jc w:val="both"/>
              <w:rPr>
                <w:rFonts w:ascii="Times New Roman" w:hAnsi="Times New Roman" w:cs="Times New Roman"/>
              </w:rPr>
            </w:pPr>
            <w:r w:rsidRPr="00F06DE2">
              <w:rPr>
                <w:rFonts w:ascii="Times New Roman" w:hAnsi="Times New Roman" w:cs="Times New Roman"/>
              </w:rPr>
              <w:t>3-то изречение</w:t>
            </w:r>
          </w:p>
        </w:tc>
        <w:tc>
          <w:tcPr>
            <w:tcW w:w="3296" w:type="dxa"/>
            <w:shd w:val="clear" w:color="auto" w:fill="auto"/>
          </w:tcPr>
          <w:p w14:paraId="09A4759C" w14:textId="60A00698" w:rsidR="00C81D65" w:rsidRPr="00F06DE2" w:rsidRDefault="00250F76">
            <w:pPr>
              <w:spacing w:line="240" w:lineRule="atLeast"/>
              <w:jc w:val="both"/>
              <w:rPr>
                <w:rFonts w:ascii="Times New Roman" w:hAnsi="Times New Roman" w:cs="Times New Roman"/>
                <w:lang w:val="ru-RU"/>
              </w:rPr>
            </w:pPr>
            <w:r w:rsidRPr="00F06DE2">
              <w:rPr>
                <w:rFonts w:ascii="Times New Roman" w:hAnsi="Times New Roman" w:cs="Times New Roman"/>
                <w:lang w:val="ru-RU"/>
              </w:rPr>
              <w:t>Размери на отвора в покрива</w:t>
            </w:r>
          </w:p>
        </w:tc>
        <w:tc>
          <w:tcPr>
            <w:tcW w:w="6521" w:type="dxa"/>
            <w:shd w:val="clear" w:color="auto" w:fill="auto"/>
          </w:tcPr>
          <w:p w14:paraId="0540A722" w14:textId="2BABE64A" w:rsidR="00C81D65" w:rsidRPr="00F06DE2" w:rsidRDefault="00250F76" w:rsidP="00250F7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w:t>
            </w:r>
            <w:r w:rsidR="00106115" w:rsidRPr="00F06DE2">
              <w:rPr>
                <w:rFonts w:ascii="Times New Roman" w:hAnsi="Times New Roman" w:cs="Times New Roman"/>
                <w:lang w:val="ru-RU"/>
              </w:rPr>
              <w:t>корабното удостоверение  за вътрешно корабоплаване</w:t>
            </w:r>
            <w:r w:rsidRPr="00F06DE2">
              <w:rPr>
                <w:rFonts w:ascii="Times New Roman" w:hAnsi="Times New Roman" w:cs="Times New Roman"/>
                <w:lang w:val="ru-RU"/>
              </w:rPr>
              <w:t xml:space="preserve"> след</w:t>
            </w:r>
          </w:p>
        </w:tc>
        <w:tc>
          <w:tcPr>
            <w:tcW w:w="1635" w:type="dxa"/>
            <w:shd w:val="clear" w:color="auto" w:fill="auto"/>
          </w:tcPr>
          <w:p w14:paraId="1C588571" w14:textId="4A815AE7" w:rsidR="00C81D65" w:rsidRPr="00F06DE2" w:rsidRDefault="00631F16">
            <w:pPr>
              <w:widowControl w:val="0"/>
              <w:spacing w:line="240" w:lineRule="atLeast"/>
              <w:rPr>
                <w:rFonts w:ascii="Times New Roman" w:hAnsi="Times New Roman" w:cs="Times New Roman"/>
              </w:rPr>
            </w:pPr>
            <w:r w:rsidRPr="00F06DE2">
              <w:rPr>
                <w:rFonts w:ascii="Times New Roman" w:hAnsi="Times New Roman" w:cs="Times New Roman"/>
              </w:rPr>
              <w:t>01.01</w:t>
            </w:r>
            <w:r w:rsidR="00250F76" w:rsidRPr="00F06DE2">
              <w:rPr>
                <w:rFonts w:ascii="Times New Roman" w:hAnsi="Times New Roman" w:cs="Times New Roman"/>
              </w:rPr>
              <w:t>.2035</w:t>
            </w:r>
            <w:r w:rsidRPr="00F06DE2">
              <w:rPr>
                <w:rFonts w:ascii="Times New Roman" w:hAnsi="Times New Roman" w:cs="Times New Roman"/>
              </w:rPr>
              <w:t xml:space="preserve"> г.</w:t>
            </w:r>
          </w:p>
        </w:tc>
      </w:tr>
      <w:tr w:rsidR="00C81D65" w:rsidRPr="00F06DE2" w14:paraId="0DEB06EA" w14:textId="77777777" w:rsidTr="000E4105">
        <w:trPr>
          <w:cantSplit/>
        </w:trPr>
        <w:tc>
          <w:tcPr>
            <w:tcW w:w="1342" w:type="dxa"/>
            <w:vMerge/>
            <w:shd w:val="clear" w:color="auto" w:fill="auto"/>
          </w:tcPr>
          <w:p w14:paraId="3642CB3C" w14:textId="77777777" w:rsidR="00C81D65" w:rsidRPr="00F06DE2" w:rsidRDefault="00C81D65">
            <w:pPr>
              <w:spacing w:line="240" w:lineRule="atLeast"/>
              <w:jc w:val="both"/>
              <w:rPr>
                <w:rFonts w:ascii="Times New Roman" w:hAnsi="Times New Roman" w:cs="Times New Roman"/>
              </w:rPr>
            </w:pPr>
          </w:p>
        </w:tc>
        <w:tc>
          <w:tcPr>
            <w:tcW w:w="1660" w:type="dxa"/>
            <w:shd w:val="clear" w:color="auto" w:fill="auto"/>
          </w:tcPr>
          <w:p w14:paraId="3B7B8D1F" w14:textId="5E382EA8" w:rsidR="00C81D65" w:rsidRPr="00F06DE2" w:rsidRDefault="00250F76">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0DE1AD50" w14:textId="2B4D045D" w:rsidR="00C81D65" w:rsidRPr="00F06DE2" w:rsidRDefault="00250F76" w:rsidP="00250F76">
            <w:pPr>
              <w:spacing w:line="240" w:lineRule="atLeast"/>
              <w:jc w:val="both"/>
              <w:rPr>
                <w:rFonts w:ascii="Times New Roman" w:hAnsi="Times New Roman" w:cs="Times New Roman"/>
                <w:lang w:val="ru-RU"/>
              </w:rPr>
            </w:pPr>
            <w:r w:rsidRPr="00F06DE2">
              <w:rPr>
                <w:rFonts w:ascii="Times New Roman" w:hAnsi="Times New Roman" w:cs="Times New Roman"/>
                <w:lang w:val="ru-RU"/>
              </w:rPr>
              <w:t>Спиране, заключване и автоматично деактивиране</w:t>
            </w:r>
          </w:p>
        </w:tc>
        <w:tc>
          <w:tcPr>
            <w:tcW w:w="6521" w:type="dxa"/>
            <w:shd w:val="clear" w:color="auto" w:fill="auto"/>
          </w:tcPr>
          <w:p w14:paraId="25C2A1BE" w14:textId="296C82AA" w:rsidR="00C81D65" w:rsidRPr="00F06DE2" w:rsidRDefault="00250F76">
            <w:pPr>
              <w:widowControl w:val="0"/>
              <w:spacing w:line="240" w:lineRule="atLeast"/>
              <w:jc w:val="both"/>
              <w:rPr>
                <w:rFonts w:ascii="Times New Roman" w:hAnsi="Times New Roman" w:cs="Times New Roman"/>
              </w:rPr>
            </w:pPr>
            <w:r w:rsidRPr="00F06DE2">
              <w:rPr>
                <w:rFonts w:ascii="Times New Roman" w:hAnsi="Times New Roman" w:cs="Times New Roman"/>
              </w:rPr>
              <w:t>Н.З.Р.</w:t>
            </w:r>
          </w:p>
        </w:tc>
        <w:tc>
          <w:tcPr>
            <w:tcW w:w="1635" w:type="dxa"/>
            <w:shd w:val="clear" w:color="auto" w:fill="auto"/>
          </w:tcPr>
          <w:p w14:paraId="36C3BB09" w14:textId="77777777" w:rsidR="00C81D65" w:rsidRPr="00F06DE2" w:rsidRDefault="00C81D65">
            <w:pPr>
              <w:widowControl w:val="0"/>
              <w:spacing w:line="240" w:lineRule="atLeast"/>
              <w:rPr>
                <w:rFonts w:ascii="Times New Roman" w:hAnsi="Times New Roman" w:cs="Times New Roman"/>
              </w:rPr>
            </w:pPr>
          </w:p>
        </w:tc>
      </w:tr>
      <w:tr w:rsidR="00C81D65" w:rsidRPr="00F06DE2" w14:paraId="03E60ECF" w14:textId="77777777" w:rsidTr="000E4105">
        <w:trPr>
          <w:cantSplit/>
        </w:trPr>
        <w:tc>
          <w:tcPr>
            <w:tcW w:w="1342" w:type="dxa"/>
            <w:vMerge/>
            <w:shd w:val="clear" w:color="auto" w:fill="auto"/>
          </w:tcPr>
          <w:p w14:paraId="0C74ECCB" w14:textId="77777777" w:rsidR="00C81D65" w:rsidRPr="00F06DE2" w:rsidRDefault="00C81D65">
            <w:pPr>
              <w:spacing w:line="240" w:lineRule="atLeast"/>
              <w:jc w:val="both"/>
              <w:rPr>
                <w:rFonts w:ascii="Times New Roman" w:hAnsi="Times New Roman" w:cs="Times New Roman"/>
              </w:rPr>
            </w:pPr>
          </w:p>
        </w:tc>
        <w:tc>
          <w:tcPr>
            <w:tcW w:w="1660" w:type="dxa"/>
            <w:shd w:val="clear" w:color="auto" w:fill="auto"/>
          </w:tcPr>
          <w:p w14:paraId="7CACDA8B" w14:textId="26993AE6" w:rsidR="00C81D65" w:rsidRPr="00F06DE2" w:rsidRDefault="00250F76">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0E490C8C" w14:textId="40E45505" w:rsidR="00C81D65" w:rsidRPr="00F06DE2" w:rsidRDefault="00250F76" w:rsidP="00250F76">
            <w:pPr>
              <w:spacing w:line="240" w:lineRule="atLeast"/>
              <w:jc w:val="both"/>
              <w:rPr>
                <w:rFonts w:ascii="Times New Roman" w:hAnsi="Times New Roman" w:cs="Times New Roman"/>
              </w:rPr>
            </w:pPr>
            <w:r w:rsidRPr="00F06DE2">
              <w:rPr>
                <w:rFonts w:ascii="Times New Roman" w:hAnsi="Times New Roman" w:cs="Times New Roman"/>
              </w:rPr>
              <w:t>Не преминава крайната позиция</w:t>
            </w:r>
          </w:p>
        </w:tc>
        <w:tc>
          <w:tcPr>
            <w:tcW w:w="6521" w:type="dxa"/>
            <w:shd w:val="clear" w:color="auto" w:fill="auto"/>
          </w:tcPr>
          <w:p w14:paraId="237308B0" w14:textId="16A54916" w:rsidR="00C81D65" w:rsidRPr="00F06DE2" w:rsidRDefault="00250F7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w:t>
            </w:r>
          </w:p>
        </w:tc>
        <w:tc>
          <w:tcPr>
            <w:tcW w:w="1635" w:type="dxa"/>
            <w:shd w:val="clear" w:color="auto" w:fill="auto"/>
          </w:tcPr>
          <w:p w14:paraId="0F2119C3" w14:textId="77777777" w:rsidR="00C81D65" w:rsidRPr="00F06DE2" w:rsidRDefault="00C81D65">
            <w:pPr>
              <w:widowControl w:val="0"/>
              <w:spacing w:line="240" w:lineRule="atLeast"/>
              <w:rPr>
                <w:rFonts w:ascii="Times New Roman" w:hAnsi="Times New Roman" w:cs="Times New Roman"/>
                <w:lang w:val="ru-RU"/>
              </w:rPr>
            </w:pPr>
          </w:p>
        </w:tc>
      </w:tr>
      <w:tr w:rsidR="00C81D65" w:rsidRPr="00F06DE2" w14:paraId="7BE8A822" w14:textId="77777777" w:rsidTr="000E4105">
        <w:trPr>
          <w:cantSplit/>
        </w:trPr>
        <w:tc>
          <w:tcPr>
            <w:tcW w:w="1342" w:type="dxa"/>
            <w:vMerge/>
            <w:shd w:val="clear" w:color="auto" w:fill="auto"/>
          </w:tcPr>
          <w:p w14:paraId="39E8058A" w14:textId="77777777" w:rsidR="00C81D65" w:rsidRPr="00F06DE2" w:rsidRDefault="00C81D65">
            <w:pPr>
              <w:spacing w:line="240" w:lineRule="atLeast"/>
              <w:jc w:val="both"/>
              <w:rPr>
                <w:rFonts w:ascii="Times New Roman" w:hAnsi="Times New Roman" w:cs="Times New Roman"/>
                <w:lang w:val="ru-RU"/>
              </w:rPr>
            </w:pPr>
          </w:p>
        </w:tc>
        <w:tc>
          <w:tcPr>
            <w:tcW w:w="1660" w:type="dxa"/>
            <w:shd w:val="clear" w:color="auto" w:fill="auto"/>
          </w:tcPr>
          <w:p w14:paraId="636F7580" w14:textId="56CB7A9E" w:rsidR="00250F76" w:rsidRPr="00F06DE2" w:rsidRDefault="00250F76" w:rsidP="00250F76">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(6)</w:t>
            </w:r>
          </w:p>
          <w:p w14:paraId="15295EBF" w14:textId="45FB8F42" w:rsidR="00C81D65" w:rsidRPr="00F06DE2" w:rsidRDefault="00250F76" w:rsidP="00250F76">
            <w:pPr>
              <w:spacing w:line="240" w:lineRule="atLeast"/>
              <w:jc w:val="both"/>
              <w:rPr>
                <w:rFonts w:ascii="Times New Roman" w:hAnsi="Times New Roman" w:cs="Times New Roman"/>
                <w:lang w:val="ru-RU"/>
              </w:rPr>
            </w:pPr>
            <w:r w:rsidRPr="00F06DE2">
              <w:rPr>
                <w:rFonts w:ascii="Times New Roman" w:hAnsi="Times New Roman" w:cs="Times New Roman"/>
                <w:lang w:val="ru-RU"/>
              </w:rPr>
              <w:t>1-во и 2-ро изречение</w:t>
            </w:r>
          </w:p>
        </w:tc>
        <w:tc>
          <w:tcPr>
            <w:tcW w:w="3296" w:type="dxa"/>
            <w:shd w:val="clear" w:color="auto" w:fill="auto"/>
          </w:tcPr>
          <w:p w14:paraId="6F24702B" w14:textId="52AEC2B9" w:rsidR="00C81D65" w:rsidRPr="00F06DE2" w:rsidRDefault="00250F76">
            <w:pPr>
              <w:spacing w:line="240" w:lineRule="atLeast"/>
              <w:jc w:val="both"/>
              <w:rPr>
                <w:rFonts w:ascii="Times New Roman" w:hAnsi="Times New Roman" w:cs="Times New Roman"/>
              </w:rPr>
            </w:pPr>
            <w:r w:rsidRPr="00F06DE2">
              <w:rPr>
                <w:rFonts w:ascii="Times New Roman" w:hAnsi="Times New Roman" w:cs="Times New Roman"/>
              </w:rPr>
              <w:t>Условия и защитни характеристики</w:t>
            </w:r>
          </w:p>
        </w:tc>
        <w:tc>
          <w:tcPr>
            <w:tcW w:w="6521" w:type="dxa"/>
            <w:shd w:val="clear" w:color="auto" w:fill="auto"/>
          </w:tcPr>
          <w:p w14:paraId="63F016F5" w14:textId="46F9CED9" w:rsidR="00C81D65" w:rsidRPr="00F06DE2" w:rsidRDefault="00250F76">
            <w:pPr>
              <w:widowControl w:val="0"/>
              <w:spacing w:line="240" w:lineRule="atLeast"/>
              <w:jc w:val="both"/>
              <w:rPr>
                <w:rFonts w:ascii="Times New Roman" w:hAnsi="Times New Roman" w:cs="Times New Roman"/>
              </w:rPr>
            </w:pPr>
            <w:r w:rsidRPr="00F06DE2">
              <w:rPr>
                <w:rFonts w:ascii="Times New Roman" w:hAnsi="Times New Roman" w:cs="Times New Roman"/>
              </w:rPr>
              <w:t>Н.З.Р.</w:t>
            </w:r>
          </w:p>
        </w:tc>
        <w:tc>
          <w:tcPr>
            <w:tcW w:w="1635" w:type="dxa"/>
            <w:shd w:val="clear" w:color="auto" w:fill="auto"/>
          </w:tcPr>
          <w:p w14:paraId="0CADA03B" w14:textId="77777777" w:rsidR="00C81D65" w:rsidRPr="00F06DE2" w:rsidRDefault="00C81D65">
            <w:pPr>
              <w:widowControl w:val="0"/>
              <w:spacing w:line="240" w:lineRule="atLeast"/>
              <w:rPr>
                <w:rFonts w:ascii="Times New Roman" w:hAnsi="Times New Roman" w:cs="Times New Roman"/>
              </w:rPr>
            </w:pPr>
          </w:p>
        </w:tc>
      </w:tr>
      <w:tr w:rsidR="00C81D65" w:rsidRPr="00F06DE2" w14:paraId="04171AA8" w14:textId="77777777" w:rsidTr="000E4105">
        <w:trPr>
          <w:cantSplit/>
        </w:trPr>
        <w:tc>
          <w:tcPr>
            <w:tcW w:w="1342" w:type="dxa"/>
            <w:vMerge/>
            <w:shd w:val="clear" w:color="auto" w:fill="auto"/>
          </w:tcPr>
          <w:p w14:paraId="2787231A" w14:textId="77777777" w:rsidR="00C81D65" w:rsidRPr="00F06DE2" w:rsidRDefault="00C81D65">
            <w:pPr>
              <w:spacing w:line="240" w:lineRule="atLeast"/>
              <w:jc w:val="both"/>
              <w:rPr>
                <w:rFonts w:ascii="Times New Roman" w:hAnsi="Times New Roman" w:cs="Times New Roman"/>
              </w:rPr>
            </w:pPr>
          </w:p>
        </w:tc>
        <w:tc>
          <w:tcPr>
            <w:tcW w:w="1660" w:type="dxa"/>
            <w:shd w:val="clear" w:color="auto" w:fill="auto"/>
          </w:tcPr>
          <w:p w14:paraId="065A74F1" w14:textId="6474050F" w:rsidR="00C81D65" w:rsidRPr="00F06DE2" w:rsidRDefault="00250F76">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5744E285" w14:textId="5064CBA0" w:rsidR="00C81D65" w:rsidRPr="00F06DE2" w:rsidRDefault="00250F76">
            <w:pPr>
              <w:spacing w:line="240" w:lineRule="atLeast"/>
              <w:jc w:val="both"/>
              <w:rPr>
                <w:rFonts w:ascii="Times New Roman" w:hAnsi="Times New Roman" w:cs="Times New Roman"/>
              </w:rPr>
            </w:pPr>
            <w:r w:rsidRPr="00F06DE2">
              <w:rPr>
                <w:rFonts w:ascii="Times New Roman" w:hAnsi="Times New Roman" w:cs="Times New Roman"/>
              </w:rPr>
              <w:t>Хидравлични маркучи</w:t>
            </w:r>
          </w:p>
        </w:tc>
        <w:tc>
          <w:tcPr>
            <w:tcW w:w="6521" w:type="dxa"/>
            <w:shd w:val="clear" w:color="auto" w:fill="auto"/>
          </w:tcPr>
          <w:p w14:paraId="08B2DF29" w14:textId="5E1815E9" w:rsidR="00C81D65" w:rsidRPr="00F06DE2" w:rsidRDefault="00250F7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5127EF60" w14:textId="77777777" w:rsidR="00C81D65" w:rsidRPr="00F06DE2" w:rsidRDefault="00C81D65">
            <w:pPr>
              <w:widowControl w:val="0"/>
              <w:spacing w:line="240" w:lineRule="atLeast"/>
              <w:rPr>
                <w:rFonts w:ascii="Times New Roman" w:hAnsi="Times New Roman" w:cs="Times New Roman"/>
                <w:lang w:val="ru-RU"/>
              </w:rPr>
            </w:pPr>
          </w:p>
        </w:tc>
      </w:tr>
      <w:tr w:rsidR="00271FA2" w:rsidRPr="00F06DE2" w14:paraId="4ADD87FA" w14:textId="77777777" w:rsidTr="000E4105">
        <w:trPr>
          <w:cantSplit/>
        </w:trPr>
        <w:tc>
          <w:tcPr>
            <w:tcW w:w="6298" w:type="dxa"/>
            <w:gridSpan w:val="3"/>
            <w:shd w:val="clear" w:color="auto" w:fill="auto"/>
          </w:tcPr>
          <w:p w14:paraId="028D8AB1"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8</w:t>
            </w:r>
          </w:p>
        </w:tc>
        <w:tc>
          <w:tcPr>
            <w:tcW w:w="6521" w:type="dxa"/>
            <w:shd w:val="clear" w:color="auto" w:fill="auto"/>
          </w:tcPr>
          <w:p w14:paraId="0B0E6419"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4222C49D" w14:textId="77777777" w:rsidR="00271FA2" w:rsidRPr="00F06DE2" w:rsidRDefault="00271FA2">
            <w:pPr>
              <w:spacing w:line="240" w:lineRule="atLeast"/>
              <w:rPr>
                <w:rFonts w:ascii="Times New Roman" w:hAnsi="Times New Roman" w:cs="Times New Roman"/>
              </w:rPr>
            </w:pPr>
          </w:p>
        </w:tc>
      </w:tr>
      <w:tr w:rsidR="00271FA2" w:rsidRPr="00F06DE2" w14:paraId="5220FFF7" w14:textId="77777777" w:rsidTr="000E4105">
        <w:trPr>
          <w:cantSplit/>
        </w:trPr>
        <w:tc>
          <w:tcPr>
            <w:tcW w:w="1342" w:type="dxa"/>
            <w:tcBorders>
              <w:bottom w:val="nil"/>
            </w:tcBorders>
            <w:shd w:val="clear" w:color="auto" w:fill="auto"/>
          </w:tcPr>
          <w:p w14:paraId="176D93C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8.02</w:t>
            </w:r>
          </w:p>
        </w:tc>
        <w:tc>
          <w:tcPr>
            <w:tcW w:w="1660" w:type="dxa"/>
            <w:shd w:val="clear" w:color="auto" w:fill="auto"/>
          </w:tcPr>
          <w:p w14:paraId="61CAB0C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37EB9AD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Екраниране на тръби </w:t>
            </w:r>
          </w:p>
        </w:tc>
        <w:tc>
          <w:tcPr>
            <w:tcW w:w="6521" w:type="dxa"/>
            <w:shd w:val="clear" w:color="auto" w:fill="auto"/>
          </w:tcPr>
          <w:p w14:paraId="649F922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8B5D108" w14:textId="64747AB0"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4632529C" w14:textId="77777777" w:rsidTr="000E4105">
        <w:trPr>
          <w:cantSplit/>
          <w:trHeight w:val="203"/>
        </w:trPr>
        <w:tc>
          <w:tcPr>
            <w:tcW w:w="1342" w:type="dxa"/>
            <w:tcBorders>
              <w:top w:val="nil"/>
              <w:bottom w:val="single" w:sz="4" w:space="0" w:color="auto"/>
            </w:tcBorders>
            <w:shd w:val="clear" w:color="auto" w:fill="auto"/>
          </w:tcPr>
          <w:p w14:paraId="57087B53" w14:textId="77777777" w:rsidR="00271FA2" w:rsidRPr="00F06DE2" w:rsidRDefault="00271FA2">
            <w:pPr>
              <w:spacing w:line="240" w:lineRule="atLeast"/>
              <w:rPr>
                <w:rFonts w:ascii="Times New Roman" w:hAnsi="Times New Roman" w:cs="Times New Roman"/>
              </w:rPr>
            </w:pPr>
          </w:p>
        </w:tc>
        <w:tc>
          <w:tcPr>
            <w:tcW w:w="1660" w:type="dxa"/>
            <w:tcBorders>
              <w:bottom w:val="single" w:sz="4" w:space="0" w:color="auto"/>
            </w:tcBorders>
            <w:shd w:val="clear" w:color="auto" w:fill="auto"/>
          </w:tcPr>
          <w:p w14:paraId="7B6FFBC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tcBorders>
              <w:bottom w:val="single" w:sz="4" w:space="0" w:color="auto"/>
            </w:tcBorders>
            <w:shd w:val="clear" w:color="auto" w:fill="auto"/>
          </w:tcPr>
          <w:p w14:paraId="121A552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Тръбопроводна система с кожух</w:t>
            </w:r>
          </w:p>
        </w:tc>
        <w:tc>
          <w:tcPr>
            <w:tcW w:w="6521" w:type="dxa"/>
            <w:tcBorders>
              <w:bottom w:val="single" w:sz="4" w:space="0" w:color="auto"/>
            </w:tcBorders>
            <w:shd w:val="clear" w:color="auto" w:fill="auto"/>
          </w:tcPr>
          <w:p w14:paraId="1741E05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tcBorders>
              <w:bottom w:val="single" w:sz="4" w:space="0" w:color="auto"/>
            </w:tcBorders>
            <w:shd w:val="clear" w:color="auto" w:fill="auto"/>
          </w:tcPr>
          <w:p w14:paraId="5547FFEF" w14:textId="4EF231D8"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7282480A" w14:textId="77777777" w:rsidTr="000E4105">
        <w:trPr>
          <w:cantSplit/>
          <w:trHeight w:val="387"/>
        </w:trPr>
        <w:tc>
          <w:tcPr>
            <w:tcW w:w="1342" w:type="dxa"/>
            <w:tcBorders>
              <w:top w:val="nil"/>
              <w:bottom w:val="single" w:sz="4" w:space="0" w:color="auto"/>
            </w:tcBorders>
            <w:shd w:val="clear" w:color="auto" w:fill="auto"/>
          </w:tcPr>
          <w:p w14:paraId="1397FBE6" w14:textId="7CAE611F" w:rsidR="00271FA2" w:rsidRPr="00F06DE2" w:rsidRDefault="00271FA2">
            <w:pPr>
              <w:spacing w:line="240" w:lineRule="atLeast"/>
              <w:jc w:val="both"/>
              <w:rPr>
                <w:rFonts w:ascii="Times New Roman" w:hAnsi="Times New Roman" w:cs="Times New Roman"/>
                <w:strike/>
              </w:rPr>
            </w:pPr>
          </w:p>
        </w:tc>
        <w:tc>
          <w:tcPr>
            <w:tcW w:w="1660" w:type="dxa"/>
            <w:shd w:val="clear" w:color="auto" w:fill="auto"/>
          </w:tcPr>
          <w:p w14:paraId="48A75622" w14:textId="48D0E3F6" w:rsidR="00271FA2" w:rsidRPr="00F06DE2" w:rsidRDefault="00271FA2">
            <w:pPr>
              <w:spacing w:line="240" w:lineRule="atLeast"/>
              <w:jc w:val="both"/>
              <w:rPr>
                <w:rFonts w:ascii="Times New Roman" w:hAnsi="Times New Roman" w:cs="Times New Roman"/>
                <w:strike/>
              </w:rPr>
            </w:pPr>
          </w:p>
        </w:tc>
        <w:tc>
          <w:tcPr>
            <w:tcW w:w="3296" w:type="dxa"/>
            <w:shd w:val="clear" w:color="auto" w:fill="auto"/>
          </w:tcPr>
          <w:p w14:paraId="56A03D4D" w14:textId="10C63E65" w:rsidR="00271FA2" w:rsidRPr="00F06DE2" w:rsidRDefault="00271FA2">
            <w:pPr>
              <w:spacing w:line="240" w:lineRule="atLeast"/>
              <w:jc w:val="both"/>
              <w:rPr>
                <w:rFonts w:ascii="Times New Roman" w:hAnsi="Times New Roman" w:cs="Times New Roman"/>
                <w:strike/>
              </w:rPr>
            </w:pPr>
          </w:p>
        </w:tc>
        <w:tc>
          <w:tcPr>
            <w:tcW w:w="6521" w:type="dxa"/>
            <w:shd w:val="clear" w:color="auto" w:fill="auto"/>
          </w:tcPr>
          <w:p w14:paraId="5C5CA2D7" w14:textId="20545CFE" w:rsidR="00271FA2" w:rsidRPr="00F06DE2" w:rsidRDefault="00271FA2">
            <w:pPr>
              <w:spacing w:line="240" w:lineRule="atLeast"/>
              <w:jc w:val="both"/>
              <w:rPr>
                <w:rFonts w:ascii="Times New Roman" w:hAnsi="Times New Roman" w:cs="Times New Roman"/>
                <w:strike/>
              </w:rPr>
            </w:pPr>
          </w:p>
        </w:tc>
        <w:tc>
          <w:tcPr>
            <w:tcW w:w="1635" w:type="dxa"/>
            <w:shd w:val="clear" w:color="auto" w:fill="auto"/>
          </w:tcPr>
          <w:p w14:paraId="68DFF336" w14:textId="5F804DDE" w:rsidR="00271FA2" w:rsidRPr="00F06DE2" w:rsidRDefault="00271FA2">
            <w:pPr>
              <w:spacing w:line="240" w:lineRule="atLeast"/>
              <w:jc w:val="both"/>
              <w:rPr>
                <w:rFonts w:ascii="Times New Roman" w:hAnsi="Times New Roman" w:cs="Times New Roman"/>
                <w:strike/>
              </w:rPr>
            </w:pPr>
          </w:p>
        </w:tc>
      </w:tr>
      <w:tr w:rsidR="00271FA2" w:rsidRPr="00F06DE2" w14:paraId="47507609" w14:textId="77777777" w:rsidTr="000E4105">
        <w:trPr>
          <w:cantSplit/>
          <w:trHeight w:val="355"/>
        </w:trPr>
        <w:tc>
          <w:tcPr>
            <w:tcW w:w="1342" w:type="dxa"/>
            <w:tcBorders>
              <w:bottom w:val="nil"/>
            </w:tcBorders>
            <w:shd w:val="clear" w:color="auto" w:fill="auto"/>
          </w:tcPr>
          <w:p w14:paraId="0B12974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8.05</w:t>
            </w:r>
          </w:p>
        </w:tc>
        <w:tc>
          <w:tcPr>
            <w:tcW w:w="1660" w:type="dxa"/>
            <w:shd w:val="clear" w:color="auto" w:fill="auto"/>
          </w:tcPr>
          <w:p w14:paraId="63424B25" w14:textId="5838366F" w:rsidR="00271FA2" w:rsidRPr="00F06DE2" w:rsidRDefault="00271FA2">
            <w:pPr>
              <w:spacing w:line="240" w:lineRule="atLeast"/>
              <w:jc w:val="both"/>
              <w:rPr>
                <w:rFonts w:ascii="Times New Roman" w:hAnsi="Times New Roman" w:cs="Times New Roman"/>
                <w:strike/>
              </w:rPr>
            </w:pPr>
          </w:p>
        </w:tc>
        <w:tc>
          <w:tcPr>
            <w:tcW w:w="3296" w:type="dxa"/>
            <w:shd w:val="clear" w:color="auto" w:fill="auto"/>
          </w:tcPr>
          <w:p w14:paraId="0149A7CE" w14:textId="7F8D12AB" w:rsidR="00271FA2" w:rsidRPr="00F06DE2" w:rsidRDefault="00271FA2">
            <w:pPr>
              <w:spacing w:line="240" w:lineRule="atLeast"/>
              <w:jc w:val="both"/>
              <w:rPr>
                <w:rFonts w:ascii="Times New Roman" w:hAnsi="Times New Roman" w:cs="Times New Roman"/>
                <w:strike/>
              </w:rPr>
            </w:pPr>
          </w:p>
        </w:tc>
        <w:tc>
          <w:tcPr>
            <w:tcW w:w="6521" w:type="dxa"/>
            <w:shd w:val="clear" w:color="auto" w:fill="auto"/>
          </w:tcPr>
          <w:p w14:paraId="01B749C1" w14:textId="62121BDC" w:rsidR="00271FA2" w:rsidRPr="00F06DE2" w:rsidRDefault="00271FA2">
            <w:pPr>
              <w:spacing w:line="240" w:lineRule="atLeast"/>
              <w:jc w:val="both"/>
              <w:rPr>
                <w:rFonts w:ascii="Times New Roman" w:hAnsi="Times New Roman" w:cs="Times New Roman"/>
                <w:strike/>
              </w:rPr>
            </w:pPr>
          </w:p>
        </w:tc>
        <w:tc>
          <w:tcPr>
            <w:tcW w:w="1635" w:type="dxa"/>
            <w:shd w:val="clear" w:color="auto" w:fill="auto"/>
          </w:tcPr>
          <w:p w14:paraId="6F952244" w14:textId="6BC3BCEE" w:rsidR="00271FA2" w:rsidRPr="00F06DE2" w:rsidRDefault="00271FA2">
            <w:pPr>
              <w:spacing w:line="240" w:lineRule="atLeast"/>
              <w:jc w:val="both"/>
              <w:rPr>
                <w:rFonts w:ascii="Times New Roman" w:hAnsi="Times New Roman" w:cs="Times New Roman"/>
                <w:strike/>
              </w:rPr>
            </w:pPr>
          </w:p>
        </w:tc>
      </w:tr>
      <w:tr w:rsidR="00271FA2" w:rsidRPr="00F06DE2" w14:paraId="7E71FD5B" w14:textId="77777777" w:rsidTr="000E4105">
        <w:trPr>
          <w:cantSplit/>
          <w:trHeight w:val="585"/>
        </w:trPr>
        <w:tc>
          <w:tcPr>
            <w:tcW w:w="1342" w:type="dxa"/>
            <w:tcBorders>
              <w:bottom w:val="nil"/>
            </w:tcBorders>
            <w:shd w:val="clear" w:color="auto" w:fill="auto"/>
          </w:tcPr>
          <w:p w14:paraId="74CD1500" w14:textId="77777777" w:rsidR="00271FA2" w:rsidRPr="00F06DE2" w:rsidRDefault="00271FA2">
            <w:pPr>
              <w:spacing w:line="240" w:lineRule="atLeast"/>
              <w:rPr>
                <w:rFonts w:ascii="Times New Roman" w:hAnsi="Times New Roman" w:cs="Times New Roman"/>
              </w:rPr>
            </w:pPr>
          </w:p>
        </w:tc>
        <w:tc>
          <w:tcPr>
            <w:tcW w:w="1660" w:type="dxa"/>
            <w:tcBorders>
              <w:bottom w:val="single" w:sz="4" w:space="0" w:color="auto"/>
            </w:tcBorders>
            <w:shd w:val="clear" w:color="auto" w:fill="auto"/>
          </w:tcPr>
          <w:p w14:paraId="7AABAA1E"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Точка 3</w:t>
            </w:r>
          </w:p>
        </w:tc>
        <w:tc>
          <w:tcPr>
            <w:tcW w:w="3296" w:type="dxa"/>
            <w:tcBorders>
              <w:bottom w:val="single" w:sz="4" w:space="0" w:color="auto"/>
            </w:tcBorders>
            <w:shd w:val="clear" w:color="auto" w:fill="auto"/>
          </w:tcPr>
          <w:p w14:paraId="26AA2A5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Без резервоари за гориво зад ахтерпиковата преграда</w:t>
            </w:r>
          </w:p>
        </w:tc>
        <w:tc>
          <w:tcPr>
            <w:tcW w:w="6521" w:type="dxa"/>
            <w:shd w:val="clear" w:color="auto" w:fill="auto"/>
          </w:tcPr>
          <w:p w14:paraId="69267B8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45CFD67" w14:textId="73CAA70B"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1631B397" w14:textId="77777777" w:rsidTr="000E4105">
        <w:trPr>
          <w:cantSplit/>
        </w:trPr>
        <w:tc>
          <w:tcPr>
            <w:tcW w:w="1342" w:type="dxa"/>
            <w:tcBorders>
              <w:top w:val="nil"/>
              <w:bottom w:val="single" w:sz="4" w:space="0" w:color="auto"/>
            </w:tcBorders>
            <w:shd w:val="clear" w:color="auto" w:fill="auto"/>
          </w:tcPr>
          <w:p w14:paraId="76117AF3"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17A6B5E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6, от 3</w:t>
            </w:r>
            <w:r w:rsidRPr="00F06DE2">
              <w:rPr>
                <w:rFonts w:ascii="Times New Roman" w:hAnsi="Times New Roman" w:cs="Times New Roman"/>
                <w:vertAlign w:val="superscript"/>
                <w:lang w:val="ru-RU"/>
              </w:rPr>
              <w:t>то</w:t>
            </w:r>
            <w:r w:rsidRPr="00F06DE2">
              <w:rPr>
                <w:rFonts w:ascii="Times New Roman" w:hAnsi="Times New Roman" w:cs="Times New Roman"/>
                <w:lang w:val="ru-RU"/>
              </w:rPr>
              <w:t xml:space="preserve"> до 5</w:t>
            </w:r>
            <w:r w:rsidRPr="00F06DE2">
              <w:rPr>
                <w:rFonts w:ascii="Times New Roman" w:hAnsi="Times New Roman" w:cs="Times New Roman"/>
                <w:vertAlign w:val="superscript"/>
                <w:lang w:val="ru-RU"/>
              </w:rPr>
              <w:t>то</w:t>
            </w:r>
            <w:r w:rsidRPr="00F06DE2">
              <w:rPr>
                <w:rFonts w:ascii="Times New Roman" w:hAnsi="Times New Roman" w:cs="Times New Roman"/>
                <w:lang w:val="ru-RU"/>
              </w:rPr>
              <w:t xml:space="preserve"> изречение</w:t>
            </w:r>
          </w:p>
        </w:tc>
        <w:tc>
          <w:tcPr>
            <w:tcW w:w="3296" w:type="dxa"/>
            <w:shd w:val="clear" w:color="auto" w:fill="auto"/>
          </w:tcPr>
          <w:p w14:paraId="719C97C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Монтаж и мерки на тръбите за проветряване и свързващите тръби</w:t>
            </w:r>
          </w:p>
        </w:tc>
        <w:tc>
          <w:tcPr>
            <w:tcW w:w="6521" w:type="dxa"/>
            <w:shd w:val="clear" w:color="auto" w:fill="auto"/>
          </w:tcPr>
          <w:p w14:paraId="1F78D1F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91ADA32" w14:textId="18635818"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28B8D7B0" w14:textId="77777777" w:rsidTr="000E4105">
        <w:trPr>
          <w:cantSplit/>
        </w:trPr>
        <w:tc>
          <w:tcPr>
            <w:tcW w:w="1342" w:type="dxa"/>
            <w:shd w:val="clear" w:color="auto" w:fill="auto"/>
          </w:tcPr>
          <w:p w14:paraId="1E49350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8.06</w:t>
            </w:r>
          </w:p>
        </w:tc>
        <w:tc>
          <w:tcPr>
            <w:tcW w:w="1660" w:type="dxa"/>
            <w:shd w:val="clear" w:color="auto" w:fill="auto"/>
          </w:tcPr>
          <w:p w14:paraId="7984BEE2"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49BE6C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Резервоари за смазочно масло, тръби и принадлежности</w:t>
            </w:r>
          </w:p>
        </w:tc>
        <w:tc>
          <w:tcPr>
            <w:tcW w:w="6521" w:type="dxa"/>
            <w:shd w:val="clear" w:color="auto" w:fill="auto"/>
          </w:tcPr>
          <w:p w14:paraId="1BF131B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F0E0A96" w14:textId="17D70DDF"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5AEE735F" w14:textId="77777777" w:rsidTr="000E4105">
        <w:trPr>
          <w:cantSplit/>
        </w:trPr>
        <w:tc>
          <w:tcPr>
            <w:tcW w:w="1342" w:type="dxa"/>
            <w:tcBorders>
              <w:bottom w:val="single" w:sz="4" w:space="0" w:color="auto"/>
            </w:tcBorders>
            <w:shd w:val="clear" w:color="auto" w:fill="auto"/>
          </w:tcPr>
          <w:p w14:paraId="5637417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8.07</w:t>
            </w:r>
          </w:p>
        </w:tc>
        <w:tc>
          <w:tcPr>
            <w:tcW w:w="1660" w:type="dxa"/>
            <w:shd w:val="clear" w:color="auto" w:fill="auto"/>
          </w:tcPr>
          <w:p w14:paraId="20D68955" w14:textId="77777777" w:rsidR="00271FA2" w:rsidRPr="00F06DE2" w:rsidRDefault="00271FA2">
            <w:pPr>
              <w:spacing w:line="240" w:lineRule="atLeast"/>
              <w:jc w:val="both"/>
              <w:rPr>
                <w:rFonts w:ascii="Times New Roman" w:hAnsi="Times New Roman" w:cs="Times New Roman"/>
              </w:rPr>
            </w:pPr>
          </w:p>
          <w:p w14:paraId="615F5054" w14:textId="77777777" w:rsidR="00271FA2" w:rsidRPr="00F06DE2" w:rsidRDefault="00271FA2">
            <w:pPr>
              <w:spacing w:line="240" w:lineRule="atLeast"/>
              <w:jc w:val="both"/>
              <w:rPr>
                <w:rFonts w:ascii="Times New Roman" w:hAnsi="Times New Roman" w:cs="Times New Roman"/>
              </w:rPr>
            </w:pPr>
          </w:p>
          <w:p w14:paraId="2099872D"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3CE388F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Резервоари за масла в силови трансмисии, системи за управление и задействане и системи за отопление, тръбопроводи и принадлежности</w:t>
            </w:r>
          </w:p>
        </w:tc>
        <w:tc>
          <w:tcPr>
            <w:tcW w:w="6521" w:type="dxa"/>
            <w:shd w:val="clear" w:color="auto" w:fill="auto"/>
          </w:tcPr>
          <w:p w14:paraId="000A276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209557D5" w14:textId="77777777" w:rsidR="00271FA2" w:rsidRPr="00F06DE2" w:rsidRDefault="00271FA2">
            <w:pPr>
              <w:spacing w:line="240" w:lineRule="atLeast"/>
              <w:jc w:val="both"/>
              <w:rPr>
                <w:rFonts w:ascii="Times New Roman" w:hAnsi="Times New Roman" w:cs="Times New Roman"/>
                <w:lang w:val="ru-RU"/>
              </w:rPr>
            </w:pPr>
          </w:p>
        </w:tc>
        <w:tc>
          <w:tcPr>
            <w:tcW w:w="1635" w:type="dxa"/>
            <w:shd w:val="clear" w:color="auto" w:fill="auto"/>
          </w:tcPr>
          <w:p w14:paraId="1C574493" w14:textId="58D30B5B"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74E33C3F" w14:textId="77777777" w:rsidTr="000E4105">
        <w:trPr>
          <w:cantSplit/>
        </w:trPr>
        <w:tc>
          <w:tcPr>
            <w:tcW w:w="1342" w:type="dxa"/>
            <w:shd w:val="clear" w:color="auto" w:fill="auto"/>
          </w:tcPr>
          <w:p w14:paraId="08CCF7A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8.10</w:t>
            </w:r>
          </w:p>
        </w:tc>
        <w:tc>
          <w:tcPr>
            <w:tcW w:w="1660" w:type="dxa"/>
            <w:shd w:val="clear" w:color="auto" w:fill="auto"/>
          </w:tcPr>
          <w:p w14:paraId="3A4589F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18CAFA2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Шум, генериран от плавателен съд, когато е в движение</w:t>
            </w:r>
          </w:p>
        </w:tc>
        <w:tc>
          <w:tcPr>
            <w:tcW w:w="6521" w:type="dxa"/>
            <w:shd w:val="clear" w:color="auto" w:fill="auto"/>
          </w:tcPr>
          <w:p w14:paraId="3DEBD58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Плавателният съд трябва да отговаря на следните условия:</w:t>
            </w:r>
          </w:p>
          <w:p w14:paraId="1B6B85B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нивото на звуковото налягане на шума, генериран от плавателен съд, когато е в движение, не надвишава 75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на странично разстояние от 25 </w:t>
            </w:r>
            <w:r w:rsidRPr="00F06DE2">
              <w:rPr>
                <w:rFonts w:ascii="Times New Roman" w:hAnsi="Times New Roman" w:cs="Times New Roman"/>
              </w:rPr>
              <w:t>m</w:t>
            </w:r>
            <w:r w:rsidRPr="00F06DE2">
              <w:rPr>
                <w:rFonts w:ascii="Times New Roman" w:hAnsi="Times New Roman" w:cs="Times New Roman"/>
                <w:lang w:val="ru-RU"/>
              </w:rPr>
              <w:t xml:space="preserve"> от борда на кораба.</w:t>
            </w:r>
          </w:p>
        </w:tc>
        <w:tc>
          <w:tcPr>
            <w:tcW w:w="1635" w:type="dxa"/>
            <w:shd w:val="clear" w:color="auto" w:fill="auto"/>
          </w:tcPr>
          <w:p w14:paraId="06F4B57D"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733346FB" w14:textId="77777777" w:rsidTr="000E4105">
        <w:trPr>
          <w:cantSplit/>
        </w:trPr>
        <w:tc>
          <w:tcPr>
            <w:tcW w:w="1342" w:type="dxa"/>
            <w:shd w:val="clear" w:color="auto" w:fill="auto"/>
          </w:tcPr>
          <w:p w14:paraId="4C8B33C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8.10</w:t>
            </w:r>
          </w:p>
        </w:tc>
        <w:tc>
          <w:tcPr>
            <w:tcW w:w="1660" w:type="dxa"/>
            <w:shd w:val="clear" w:color="auto" w:fill="auto"/>
          </w:tcPr>
          <w:p w14:paraId="134EFD2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FFFFFF" w:themeFill="background1"/>
          </w:tcPr>
          <w:p w14:paraId="5852145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Шум, генериран от плавателен съд, когато е неподвижен</w:t>
            </w:r>
          </w:p>
          <w:p w14:paraId="5FE3F5CC" w14:textId="77777777" w:rsidR="00271FA2" w:rsidRPr="00F06DE2" w:rsidRDefault="00271FA2">
            <w:pPr>
              <w:spacing w:line="240" w:lineRule="atLeast"/>
              <w:jc w:val="both"/>
              <w:rPr>
                <w:rFonts w:ascii="Times New Roman" w:hAnsi="Times New Roman" w:cs="Times New Roman"/>
                <w:lang w:val="ru-RU"/>
              </w:rPr>
            </w:pPr>
          </w:p>
        </w:tc>
        <w:tc>
          <w:tcPr>
            <w:tcW w:w="6521" w:type="dxa"/>
            <w:shd w:val="clear" w:color="auto" w:fill="auto"/>
          </w:tcPr>
          <w:p w14:paraId="47596DE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Корабите трябва да отговарят на следните условия:</w:t>
            </w:r>
          </w:p>
          <w:p w14:paraId="4CDAD64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нивото на звуковото налягане на шума, генериран от плавателен съд, когато е неподвижен, не надвишава 65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на странично разстояние от 25 </w:t>
            </w:r>
            <w:r w:rsidRPr="00F06DE2">
              <w:rPr>
                <w:rFonts w:ascii="Times New Roman" w:hAnsi="Times New Roman" w:cs="Times New Roman"/>
              </w:rPr>
              <w:t>m</w:t>
            </w:r>
            <w:r w:rsidRPr="00F06DE2">
              <w:rPr>
                <w:rFonts w:ascii="Times New Roman" w:hAnsi="Times New Roman" w:cs="Times New Roman"/>
                <w:lang w:val="ru-RU"/>
              </w:rPr>
              <w:t xml:space="preserve"> от борда на кораба.</w:t>
            </w:r>
          </w:p>
        </w:tc>
        <w:tc>
          <w:tcPr>
            <w:tcW w:w="1635" w:type="dxa"/>
            <w:tcBorders>
              <w:bottom w:val="single" w:sz="4" w:space="0" w:color="auto"/>
            </w:tcBorders>
            <w:shd w:val="clear" w:color="auto" w:fill="auto"/>
          </w:tcPr>
          <w:p w14:paraId="025ADF40"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2465E207" w14:textId="77777777" w:rsidTr="000E4105">
        <w:trPr>
          <w:cantSplit/>
        </w:trPr>
        <w:tc>
          <w:tcPr>
            <w:tcW w:w="6298" w:type="dxa"/>
            <w:gridSpan w:val="3"/>
            <w:shd w:val="clear" w:color="auto" w:fill="auto"/>
          </w:tcPr>
          <w:p w14:paraId="1136F5E3"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9</w:t>
            </w:r>
          </w:p>
        </w:tc>
        <w:tc>
          <w:tcPr>
            <w:tcW w:w="6521" w:type="dxa"/>
            <w:tcBorders>
              <w:bottom w:val="single" w:sz="4" w:space="0" w:color="auto"/>
            </w:tcBorders>
            <w:shd w:val="clear" w:color="auto" w:fill="auto"/>
          </w:tcPr>
          <w:p w14:paraId="0483C2D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Глава 9 се прилага за двигатели със следните изключения:</w:t>
            </w:r>
          </w:p>
          <w:p w14:paraId="4DD6362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 Само член 9.02 се прилага за двигатели, които вече са монтирани на борда; и</w:t>
            </w:r>
          </w:p>
          <w:p w14:paraId="2DE848A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аа) неодобрен тип; или</w:t>
            </w:r>
          </w:p>
          <w:p w14:paraId="43387B1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бб) за които не е трябвало да се провежда тест за монтаж.</w:t>
            </w:r>
          </w:p>
          <w:p w14:paraId="68D64F2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 Без да се засяга буква “а”, член 9.10, точка 2 се прилага само за ремонти на двигатели, извършени след 1 януари 2024 г., включително тези, извършени на двигател в експлоатация преди тази дата;</w:t>
            </w:r>
          </w:p>
          <w:p w14:paraId="00A7A7C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 Без да се засяга буква “а”, член 9.01, точка 2 не се прилага за двигатели, монтирани преди 1 януари 2020 г., ако отговарят на разпоредбите за типово одобрение и монтаж, които са в сила към датата на монтажа.</w:t>
            </w:r>
          </w:p>
        </w:tc>
        <w:tc>
          <w:tcPr>
            <w:tcW w:w="1635" w:type="dxa"/>
            <w:tcBorders>
              <w:bottom w:val="nil"/>
            </w:tcBorders>
            <w:shd w:val="clear" w:color="auto" w:fill="auto"/>
          </w:tcPr>
          <w:p w14:paraId="3ADBFC2B" w14:textId="77777777" w:rsidR="00271FA2" w:rsidRPr="00F06DE2" w:rsidRDefault="00271FA2">
            <w:pPr>
              <w:spacing w:line="240" w:lineRule="atLeast"/>
              <w:rPr>
                <w:rFonts w:ascii="Times New Roman" w:hAnsi="Times New Roman" w:cs="Times New Roman"/>
                <w:lang w:val="ru-RU"/>
              </w:rPr>
            </w:pPr>
          </w:p>
        </w:tc>
      </w:tr>
      <w:tr w:rsidR="00271FA2" w:rsidRPr="00F06DE2" w14:paraId="2A1F1DF5" w14:textId="77777777" w:rsidTr="000E4105">
        <w:trPr>
          <w:cantSplit/>
        </w:trPr>
        <w:tc>
          <w:tcPr>
            <w:tcW w:w="6298" w:type="dxa"/>
            <w:gridSpan w:val="3"/>
            <w:shd w:val="clear" w:color="auto" w:fill="auto"/>
          </w:tcPr>
          <w:p w14:paraId="739CF4C4"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t>ГЛАВА 10</w:t>
            </w:r>
          </w:p>
        </w:tc>
        <w:tc>
          <w:tcPr>
            <w:tcW w:w="6521" w:type="dxa"/>
            <w:shd w:val="clear" w:color="auto" w:fill="auto"/>
          </w:tcPr>
          <w:p w14:paraId="6766F551" w14:textId="77777777" w:rsidR="00271FA2" w:rsidRPr="00F06DE2" w:rsidRDefault="00271FA2">
            <w:pPr>
              <w:spacing w:line="240" w:lineRule="atLeast"/>
              <w:jc w:val="center"/>
              <w:rPr>
                <w:rFonts w:ascii="Times New Roman" w:hAnsi="Times New Roman" w:cs="Times New Roman"/>
              </w:rPr>
            </w:pPr>
          </w:p>
        </w:tc>
        <w:tc>
          <w:tcPr>
            <w:tcW w:w="1635" w:type="dxa"/>
            <w:shd w:val="clear" w:color="auto" w:fill="auto"/>
          </w:tcPr>
          <w:p w14:paraId="73DE16D7" w14:textId="77777777" w:rsidR="00271FA2" w:rsidRPr="00F06DE2" w:rsidRDefault="00271FA2">
            <w:pPr>
              <w:spacing w:line="240" w:lineRule="atLeast"/>
              <w:rPr>
                <w:rFonts w:ascii="Times New Roman" w:hAnsi="Times New Roman" w:cs="Times New Roman"/>
              </w:rPr>
            </w:pPr>
          </w:p>
        </w:tc>
      </w:tr>
      <w:tr w:rsidR="00271FA2" w:rsidRPr="00F06DE2" w14:paraId="1F7F1994" w14:textId="77777777" w:rsidTr="000E4105">
        <w:trPr>
          <w:cantSplit/>
        </w:trPr>
        <w:tc>
          <w:tcPr>
            <w:tcW w:w="1342" w:type="dxa"/>
            <w:tcBorders>
              <w:bottom w:val="nil"/>
            </w:tcBorders>
            <w:shd w:val="clear" w:color="auto" w:fill="auto"/>
          </w:tcPr>
          <w:p w14:paraId="06CD108E"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10.01</w:t>
            </w:r>
          </w:p>
        </w:tc>
        <w:tc>
          <w:tcPr>
            <w:tcW w:w="1660" w:type="dxa"/>
            <w:shd w:val="clear" w:color="auto" w:fill="auto"/>
          </w:tcPr>
          <w:p w14:paraId="0400D52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второ изречение</w:t>
            </w:r>
          </w:p>
        </w:tc>
        <w:tc>
          <w:tcPr>
            <w:tcW w:w="3296" w:type="dxa"/>
            <w:shd w:val="clear" w:color="auto" w:fill="auto"/>
          </w:tcPr>
          <w:p w14:paraId="2EFF050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Изискваните документи трябва да бъдат представени на контролния орган</w:t>
            </w:r>
          </w:p>
        </w:tc>
        <w:tc>
          <w:tcPr>
            <w:tcW w:w="6521" w:type="dxa"/>
            <w:shd w:val="clear" w:color="auto" w:fill="auto"/>
          </w:tcPr>
          <w:p w14:paraId="0870A3A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35" w:type="dxa"/>
            <w:shd w:val="clear" w:color="auto" w:fill="auto"/>
          </w:tcPr>
          <w:p w14:paraId="6443FE49" w14:textId="47CB4332"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6F4AB44D" w14:textId="77777777" w:rsidTr="000E4105">
        <w:trPr>
          <w:cantSplit/>
        </w:trPr>
        <w:tc>
          <w:tcPr>
            <w:tcW w:w="1342" w:type="dxa"/>
            <w:vMerge w:val="restart"/>
            <w:shd w:val="clear" w:color="auto" w:fill="auto"/>
          </w:tcPr>
          <w:p w14:paraId="6A04FB2F"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5C2531A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 буква “д”</w:t>
            </w:r>
          </w:p>
        </w:tc>
        <w:tc>
          <w:tcPr>
            <w:tcW w:w="3296" w:type="dxa"/>
            <w:shd w:val="clear" w:color="auto" w:fill="auto"/>
          </w:tcPr>
          <w:p w14:paraId="19EEF65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Планове на разпределителните табла, както и документация за електрическия задвижващ двигател</w:t>
            </w:r>
          </w:p>
        </w:tc>
        <w:tc>
          <w:tcPr>
            <w:tcW w:w="6521" w:type="dxa"/>
            <w:shd w:val="clear" w:color="auto" w:fill="auto"/>
          </w:tcPr>
          <w:p w14:paraId="7F6D283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9ABCFAC" w14:textId="65419EF7"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38655B68" w14:textId="77777777" w:rsidTr="000E4105">
        <w:trPr>
          <w:cantSplit/>
        </w:trPr>
        <w:tc>
          <w:tcPr>
            <w:tcW w:w="1342" w:type="dxa"/>
            <w:vMerge/>
            <w:shd w:val="clear" w:color="auto" w:fill="auto"/>
          </w:tcPr>
          <w:p w14:paraId="1FF3DE5E"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69A6814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 буква “е”</w:t>
            </w:r>
          </w:p>
        </w:tc>
        <w:tc>
          <w:tcPr>
            <w:tcW w:w="3296" w:type="dxa"/>
            <w:shd w:val="clear" w:color="auto" w:fill="auto"/>
          </w:tcPr>
          <w:p w14:paraId="33BB804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Планове на електронни системи</w:t>
            </w:r>
          </w:p>
        </w:tc>
        <w:tc>
          <w:tcPr>
            <w:tcW w:w="6521" w:type="dxa"/>
            <w:shd w:val="clear" w:color="auto" w:fill="auto"/>
          </w:tcPr>
          <w:p w14:paraId="3B34EFB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8DC5993" w14:textId="3AABB2B1"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409843E5" w14:textId="77777777" w:rsidTr="000E4105">
        <w:trPr>
          <w:cantSplit/>
        </w:trPr>
        <w:tc>
          <w:tcPr>
            <w:tcW w:w="1342" w:type="dxa"/>
            <w:vMerge/>
            <w:shd w:val="clear" w:color="auto" w:fill="auto"/>
          </w:tcPr>
          <w:p w14:paraId="23707A20"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2D09F33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 буква “ж”</w:t>
            </w:r>
          </w:p>
        </w:tc>
        <w:tc>
          <w:tcPr>
            <w:tcW w:w="3296" w:type="dxa"/>
            <w:shd w:val="clear" w:color="auto" w:fill="auto"/>
          </w:tcPr>
          <w:p w14:paraId="71C3894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Планове на управляващи вериги</w:t>
            </w:r>
          </w:p>
        </w:tc>
        <w:tc>
          <w:tcPr>
            <w:tcW w:w="6521" w:type="dxa"/>
            <w:shd w:val="clear" w:color="auto" w:fill="auto"/>
          </w:tcPr>
          <w:p w14:paraId="7576208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FCB2D5E" w14:textId="4358CE94" w:rsidR="00271FA2" w:rsidRPr="00F06DE2" w:rsidRDefault="00631F16">
            <w:pPr>
              <w:spacing w:line="240" w:lineRule="atLeast"/>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0BEDAE74" w14:textId="77777777" w:rsidTr="000E4105">
        <w:trPr>
          <w:cantSplit/>
        </w:trPr>
        <w:tc>
          <w:tcPr>
            <w:tcW w:w="1342" w:type="dxa"/>
            <w:shd w:val="clear" w:color="auto" w:fill="auto"/>
          </w:tcPr>
          <w:p w14:paraId="2C716C6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10.03</w:t>
            </w:r>
          </w:p>
        </w:tc>
        <w:tc>
          <w:tcPr>
            <w:tcW w:w="1660" w:type="dxa"/>
            <w:shd w:val="clear" w:color="auto" w:fill="auto"/>
          </w:tcPr>
          <w:p w14:paraId="165783F5"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366E02C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Вид защита в зависимост от мястото на инсталиране</w:t>
            </w:r>
          </w:p>
        </w:tc>
        <w:tc>
          <w:tcPr>
            <w:tcW w:w="6521" w:type="dxa"/>
            <w:shd w:val="clear" w:color="auto" w:fill="auto"/>
          </w:tcPr>
          <w:p w14:paraId="356C7B2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DBD8D97" w14:textId="2EDD82A1"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03D7A9D2" w14:textId="77777777" w:rsidTr="000E4105">
        <w:trPr>
          <w:cantSplit/>
        </w:trPr>
        <w:tc>
          <w:tcPr>
            <w:tcW w:w="1342" w:type="dxa"/>
            <w:shd w:val="clear" w:color="auto" w:fill="auto"/>
          </w:tcPr>
          <w:p w14:paraId="384A4E6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10.04</w:t>
            </w:r>
          </w:p>
        </w:tc>
        <w:tc>
          <w:tcPr>
            <w:tcW w:w="1660" w:type="dxa"/>
            <w:shd w:val="clear" w:color="auto" w:fill="auto"/>
          </w:tcPr>
          <w:p w14:paraId="15AE194A"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530CDFE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Защита от експлозия</w:t>
            </w:r>
          </w:p>
        </w:tc>
        <w:tc>
          <w:tcPr>
            <w:tcW w:w="6521" w:type="dxa"/>
            <w:shd w:val="clear" w:color="auto" w:fill="auto"/>
          </w:tcPr>
          <w:p w14:paraId="2FF5BD3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167BD59" w14:textId="2B4067B2"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731B1639" w14:textId="77777777" w:rsidTr="000E4105">
        <w:trPr>
          <w:cantSplit/>
        </w:trPr>
        <w:tc>
          <w:tcPr>
            <w:tcW w:w="1342" w:type="dxa"/>
            <w:shd w:val="clear" w:color="auto" w:fill="auto"/>
          </w:tcPr>
          <w:p w14:paraId="16F6299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10.06 </w:t>
            </w:r>
          </w:p>
        </w:tc>
        <w:tc>
          <w:tcPr>
            <w:tcW w:w="1660" w:type="dxa"/>
            <w:shd w:val="clear" w:color="auto" w:fill="auto"/>
          </w:tcPr>
          <w:p w14:paraId="7CA6220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таблица</w:t>
            </w:r>
          </w:p>
        </w:tc>
        <w:tc>
          <w:tcPr>
            <w:tcW w:w="3296" w:type="dxa"/>
            <w:shd w:val="clear" w:color="auto" w:fill="auto"/>
          </w:tcPr>
          <w:p w14:paraId="0C744BC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Трифазен променлив ток</w:t>
            </w:r>
          </w:p>
        </w:tc>
        <w:tc>
          <w:tcPr>
            <w:tcW w:w="6521" w:type="dxa"/>
            <w:shd w:val="clear" w:color="auto" w:fill="auto"/>
          </w:tcPr>
          <w:p w14:paraId="648BADB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D933312" w14:textId="7BAC4BF1"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7D42FCAD" w14:textId="77777777" w:rsidTr="000E4105">
        <w:trPr>
          <w:cantSplit/>
        </w:trPr>
        <w:tc>
          <w:tcPr>
            <w:tcW w:w="1342" w:type="dxa"/>
            <w:vMerge w:val="restart"/>
            <w:shd w:val="clear" w:color="auto" w:fill="auto"/>
          </w:tcPr>
          <w:p w14:paraId="71307CF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10.08</w:t>
            </w:r>
          </w:p>
        </w:tc>
        <w:tc>
          <w:tcPr>
            <w:tcW w:w="1660" w:type="dxa"/>
            <w:shd w:val="clear" w:color="auto" w:fill="auto"/>
          </w:tcPr>
          <w:p w14:paraId="6C3818E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3F1F4C46" w14:textId="77777777" w:rsidR="00271FA2" w:rsidRPr="00F06DE2" w:rsidRDefault="00D35E51">
            <w:pPr>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 xml:space="preserve">Съответствие с Европейските стандарти </w:t>
            </w:r>
            <w:r w:rsidRPr="00F06DE2">
              <w:rPr>
                <w:rFonts w:ascii="Times New Roman" w:hAnsi="Times New Roman" w:cs="Times New Roman"/>
              </w:rPr>
              <w:t>EN</w:t>
            </w:r>
            <w:r w:rsidRPr="00F06DE2">
              <w:rPr>
                <w:rFonts w:ascii="Times New Roman" w:hAnsi="Times New Roman" w:cs="Times New Roman"/>
                <w:lang w:val="ru-RU"/>
              </w:rPr>
              <w:t xml:space="preserve"> 15869-1, </w:t>
            </w:r>
            <w:r w:rsidRPr="00F06DE2">
              <w:rPr>
                <w:rFonts w:ascii="Times New Roman" w:hAnsi="Times New Roman" w:cs="Times New Roman"/>
              </w:rPr>
              <w:t>EN</w:t>
            </w:r>
            <w:r w:rsidRPr="00F06DE2">
              <w:rPr>
                <w:rFonts w:ascii="Times New Roman" w:hAnsi="Times New Roman" w:cs="Times New Roman"/>
                <w:lang w:val="ru-RU"/>
              </w:rPr>
              <w:t xml:space="preserve"> 15869-3 и </w:t>
            </w:r>
            <w:r w:rsidRPr="00F06DE2">
              <w:rPr>
                <w:rFonts w:ascii="Times New Roman" w:hAnsi="Times New Roman" w:cs="Times New Roman"/>
              </w:rPr>
              <w:t>EN</w:t>
            </w:r>
            <w:r w:rsidRPr="00F06DE2">
              <w:rPr>
                <w:rFonts w:ascii="Times New Roman" w:hAnsi="Times New Roman" w:cs="Times New Roman"/>
                <w:lang w:val="ru-RU"/>
              </w:rPr>
              <w:t xml:space="preserve"> 16840</w:t>
            </w:r>
          </w:p>
        </w:tc>
        <w:tc>
          <w:tcPr>
            <w:tcW w:w="6521" w:type="dxa"/>
            <w:shd w:val="clear" w:color="auto" w:fill="auto"/>
          </w:tcPr>
          <w:p w14:paraId="2EBDFFD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A0D5A03" w14:textId="3FA867B5"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03B6DFDC" w14:textId="77777777" w:rsidTr="000E4105">
        <w:trPr>
          <w:cantSplit/>
        </w:trPr>
        <w:tc>
          <w:tcPr>
            <w:tcW w:w="1342" w:type="dxa"/>
            <w:vMerge/>
            <w:tcBorders>
              <w:bottom w:val="single" w:sz="4" w:space="0" w:color="auto"/>
            </w:tcBorders>
            <w:shd w:val="clear" w:color="auto" w:fill="auto"/>
          </w:tcPr>
          <w:p w14:paraId="0DE48604"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12F6030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02DEC02B" w14:textId="77777777" w:rsidR="00271FA2" w:rsidRPr="00F06DE2" w:rsidRDefault="00D35E51">
            <w:pPr>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Свързване и прекъсване, когато линията не е под напрежение</w:t>
            </w:r>
          </w:p>
        </w:tc>
        <w:tc>
          <w:tcPr>
            <w:tcW w:w="6521" w:type="dxa"/>
            <w:shd w:val="clear" w:color="auto" w:fill="auto"/>
          </w:tcPr>
          <w:p w14:paraId="367EF3E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F60E826" w14:textId="58A16D02"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63931C89" w14:textId="77777777" w:rsidTr="000E4105">
        <w:trPr>
          <w:cantSplit/>
        </w:trPr>
        <w:tc>
          <w:tcPr>
            <w:tcW w:w="1342" w:type="dxa"/>
            <w:vMerge w:val="restart"/>
            <w:shd w:val="clear" w:color="auto" w:fill="auto"/>
          </w:tcPr>
          <w:p w14:paraId="19B6BD8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10.10 </w:t>
            </w:r>
          </w:p>
        </w:tc>
        <w:tc>
          <w:tcPr>
            <w:tcW w:w="1660" w:type="dxa"/>
            <w:shd w:val="clear" w:color="auto" w:fill="auto"/>
          </w:tcPr>
          <w:p w14:paraId="1291F69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04AE56E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Инсталиране на трансформатори</w:t>
            </w:r>
          </w:p>
        </w:tc>
        <w:tc>
          <w:tcPr>
            <w:tcW w:w="6521" w:type="dxa"/>
            <w:shd w:val="clear" w:color="auto" w:fill="auto"/>
          </w:tcPr>
          <w:p w14:paraId="2F479C8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94DAA82" w14:textId="0CC2D689"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08ADE430" w14:textId="77777777" w:rsidTr="000E4105">
        <w:trPr>
          <w:cantSplit/>
        </w:trPr>
        <w:tc>
          <w:tcPr>
            <w:tcW w:w="1342" w:type="dxa"/>
            <w:vMerge/>
            <w:shd w:val="clear" w:color="auto" w:fill="auto"/>
          </w:tcPr>
          <w:p w14:paraId="1DBA8F69"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191C683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71D7D5BB"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Отделни първични и вторични намотки на трансформатори</w:t>
            </w:r>
          </w:p>
        </w:tc>
        <w:tc>
          <w:tcPr>
            <w:tcW w:w="6521" w:type="dxa"/>
            <w:shd w:val="clear" w:color="auto" w:fill="auto"/>
          </w:tcPr>
          <w:p w14:paraId="002F648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52FDFEA" w14:textId="6E022A12"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.2050 г.</w:t>
            </w:r>
          </w:p>
        </w:tc>
      </w:tr>
      <w:tr w:rsidR="00271FA2" w:rsidRPr="00F06DE2" w14:paraId="1B09EC8D" w14:textId="77777777" w:rsidTr="000E4105">
        <w:trPr>
          <w:cantSplit/>
        </w:trPr>
        <w:tc>
          <w:tcPr>
            <w:tcW w:w="1342" w:type="dxa"/>
            <w:vMerge/>
            <w:shd w:val="clear" w:color="auto" w:fill="auto"/>
          </w:tcPr>
          <w:p w14:paraId="1217AE94"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31910C8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249A69B1"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Изводи на вторичните намотки на трансформатори</w:t>
            </w:r>
          </w:p>
        </w:tc>
        <w:tc>
          <w:tcPr>
            <w:tcW w:w="6521" w:type="dxa"/>
            <w:shd w:val="clear" w:color="auto" w:fill="auto"/>
          </w:tcPr>
          <w:p w14:paraId="52D56C3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0A452D0" w14:textId="0C121020"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.2050 г.</w:t>
            </w:r>
          </w:p>
        </w:tc>
      </w:tr>
      <w:tr w:rsidR="00271FA2" w:rsidRPr="00F06DE2" w14:paraId="2356F564" w14:textId="77777777" w:rsidTr="000E4105">
        <w:trPr>
          <w:cantSplit/>
        </w:trPr>
        <w:tc>
          <w:tcPr>
            <w:tcW w:w="1342" w:type="dxa"/>
            <w:vMerge/>
            <w:tcBorders>
              <w:bottom w:val="single" w:sz="4" w:space="0" w:color="auto"/>
            </w:tcBorders>
            <w:shd w:val="clear" w:color="auto" w:fill="auto"/>
          </w:tcPr>
          <w:p w14:paraId="66C4A1C8"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207F573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50419F7D"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Табела, указваща производителя и мощността на двигатели, генератори, трансформатори</w:t>
            </w:r>
          </w:p>
        </w:tc>
        <w:tc>
          <w:tcPr>
            <w:tcW w:w="6521" w:type="dxa"/>
            <w:shd w:val="clear" w:color="auto" w:fill="auto"/>
          </w:tcPr>
          <w:p w14:paraId="0090555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с изключение на двигатели, които попадат в Глава 9 или Регламент (ЕС) 2016/1628 или Глава 8а от Рейнските правила за инспекция на корабите</w:t>
            </w:r>
          </w:p>
        </w:tc>
        <w:tc>
          <w:tcPr>
            <w:tcW w:w="1635" w:type="dxa"/>
            <w:shd w:val="clear" w:color="auto" w:fill="auto"/>
          </w:tcPr>
          <w:p w14:paraId="3C2645F7"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10821F1E" w14:textId="77777777" w:rsidTr="000E4105">
        <w:trPr>
          <w:cantSplit/>
        </w:trPr>
        <w:tc>
          <w:tcPr>
            <w:tcW w:w="1342" w:type="dxa"/>
            <w:vMerge w:val="restart"/>
            <w:tcBorders>
              <w:top w:val="single" w:sz="4" w:space="0" w:color="auto"/>
              <w:left w:val="single" w:sz="6" w:space="0" w:color="auto"/>
              <w:bottom w:val="single" w:sz="6" w:space="0" w:color="auto"/>
              <w:right w:val="single" w:sz="6" w:space="0" w:color="auto"/>
            </w:tcBorders>
            <w:shd w:val="clear" w:color="auto" w:fill="auto"/>
          </w:tcPr>
          <w:p w14:paraId="5A10C86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10.11 </w:t>
            </w:r>
          </w:p>
        </w:tc>
        <w:tc>
          <w:tcPr>
            <w:tcW w:w="1660" w:type="dxa"/>
            <w:tcBorders>
              <w:left w:val="single" w:sz="6" w:space="0" w:color="auto"/>
            </w:tcBorders>
            <w:shd w:val="clear" w:color="auto" w:fill="auto"/>
          </w:tcPr>
          <w:p w14:paraId="50E517C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7FCDC02C"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Вентилация на сервизни помещения и шкафове към откритата палуба</w:t>
            </w:r>
          </w:p>
        </w:tc>
        <w:tc>
          <w:tcPr>
            <w:tcW w:w="6521" w:type="dxa"/>
            <w:shd w:val="clear" w:color="auto" w:fill="auto"/>
          </w:tcPr>
          <w:p w14:paraId="13524F8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57C08A2F"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48E446FD" w14:textId="77777777" w:rsidTr="000E4105">
        <w:trPr>
          <w:cantSplit/>
        </w:trPr>
        <w:tc>
          <w:tcPr>
            <w:tcW w:w="1342" w:type="dxa"/>
            <w:vMerge/>
            <w:tcBorders>
              <w:left w:val="single" w:sz="6" w:space="0" w:color="auto"/>
              <w:bottom w:val="single" w:sz="6" w:space="0" w:color="auto"/>
              <w:right w:val="single" w:sz="6" w:space="0" w:color="auto"/>
            </w:tcBorders>
            <w:shd w:val="clear" w:color="auto" w:fill="auto"/>
          </w:tcPr>
          <w:p w14:paraId="6AF086E8" w14:textId="77777777" w:rsidR="00271FA2" w:rsidRPr="00F06DE2" w:rsidRDefault="00271FA2">
            <w:pPr>
              <w:spacing w:line="240" w:lineRule="atLeast"/>
              <w:jc w:val="both"/>
              <w:rPr>
                <w:rFonts w:ascii="Times New Roman" w:hAnsi="Times New Roman" w:cs="Times New Roman"/>
                <w:lang w:val="ru-RU"/>
              </w:rPr>
            </w:pPr>
          </w:p>
        </w:tc>
        <w:tc>
          <w:tcPr>
            <w:tcW w:w="1660" w:type="dxa"/>
            <w:tcBorders>
              <w:left w:val="single" w:sz="6" w:space="0" w:color="auto"/>
            </w:tcBorders>
            <w:shd w:val="clear" w:color="auto" w:fill="auto"/>
          </w:tcPr>
          <w:p w14:paraId="2874574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12455FAB"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Вентилация на затворени помещения, шкафове или кутии, в които са монтирани акумулатори</w:t>
            </w:r>
          </w:p>
        </w:tc>
        <w:tc>
          <w:tcPr>
            <w:tcW w:w="6521" w:type="dxa"/>
            <w:shd w:val="clear" w:color="auto" w:fill="auto"/>
          </w:tcPr>
          <w:p w14:paraId="0A73D5E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18E29E6C"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0DA3460B" w14:textId="77777777" w:rsidTr="000E4105">
        <w:trPr>
          <w:cantSplit/>
        </w:trPr>
        <w:tc>
          <w:tcPr>
            <w:tcW w:w="1342" w:type="dxa"/>
            <w:vMerge/>
            <w:tcBorders>
              <w:left w:val="single" w:sz="6" w:space="0" w:color="auto"/>
              <w:bottom w:val="single" w:sz="6" w:space="0" w:color="auto"/>
              <w:right w:val="single" w:sz="6" w:space="0" w:color="auto"/>
            </w:tcBorders>
            <w:shd w:val="clear" w:color="auto" w:fill="auto"/>
          </w:tcPr>
          <w:p w14:paraId="788422C3" w14:textId="77777777" w:rsidR="00271FA2" w:rsidRPr="00F06DE2" w:rsidRDefault="00271FA2">
            <w:pPr>
              <w:spacing w:line="240" w:lineRule="atLeast"/>
              <w:jc w:val="both"/>
              <w:rPr>
                <w:rFonts w:ascii="Times New Roman" w:hAnsi="Times New Roman" w:cs="Times New Roman"/>
                <w:lang w:val="ru-RU"/>
              </w:rPr>
            </w:pPr>
          </w:p>
        </w:tc>
        <w:tc>
          <w:tcPr>
            <w:tcW w:w="1660" w:type="dxa"/>
            <w:tcBorders>
              <w:left w:val="single" w:sz="6" w:space="0" w:color="auto"/>
            </w:tcBorders>
            <w:shd w:val="clear" w:color="auto" w:fill="auto"/>
          </w:tcPr>
          <w:p w14:paraId="00367E4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12</w:t>
            </w:r>
          </w:p>
        </w:tc>
        <w:tc>
          <w:tcPr>
            <w:tcW w:w="3296" w:type="dxa"/>
            <w:shd w:val="clear" w:color="auto" w:fill="auto"/>
          </w:tcPr>
          <w:p w14:paraId="4597A2A4" w14:textId="77777777" w:rsidR="00271FA2" w:rsidRPr="00F06DE2" w:rsidRDefault="00D35E51">
            <w:pPr>
              <w:adjustRightInd w:val="0"/>
              <w:spacing w:line="240" w:lineRule="atLeast"/>
              <w:jc w:val="both"/>
              <w:rPr>
                <w:rFonts w:ascii="Times New Roman" w:hAnsi="Times New Roman" w:cs="Times New Roman"/>
              </w:rPr>
            </w:pPr>
            <w:r w:rsidRPr="00F06DE2">
              <w:rPr>
                <w:rFonts w:ascii="Times New Roman" w:hAnsi="Times New Roman" w:cs="Times New Roman"/>
              </w:rPr>
              <w:t>Измерване на зарядни устройства</w:t>
            </w:r>
          </w:p>
        </w:tc>
        <w:tc>
          <w:tcPr>
            <w:tcW w:w="6521" w:type="dxa"/>
            <w:shd w:val="clear" w:color="auto" w:fill="auto"/>
          </w:tcPr>
          <w:p w14:paraId="65474B8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B29CCD0" w14:textId="13E5C93D"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150B06D6" w14:textId="77777777" w:rsidTr="000E4105">
        <w:trPr>
          <w:cantSplit/>
        </w:trPr>
        <w:tc>
          <w:tcPr>
            <w:tcW w:w="1342" w:type="dxa"/>
            <w:vMerge/>
            <w:tcBorders>
              <w:left w:val="single" w:sz="6" w:space="0" w:color="auto"/>
              <w:bottom w:val="single" w:sz="6" w:space="0" w:color="auto"/>
              <w:right w:val="single" w:sz="6" w:space="0" w:color="auto"/>
            </w:tcBorders>
            <w:shd w:val="clear" w:color="auto" w:fill="auto"/>
          </w:tcPr>
          <w:p w14:paraId="4BC2DED9" w14:textId="77777777" w:rsidR="00271FA2" w:rsidRPr="00F06DE2" w:rsidRDefault="00271FA2">
            <w:pPr>
              <w:spacing w:line="240" w:lineRule="atLeast"/>
              <w:jc w:val="both"/>
              <w:rPr>
                <w:rFonts w:ascii="Times New Roman" w:hAnsi="Times New Roman" w:cs="Times New Roman"/>
              </w:rPr>
            </w:pPr>
          </w:p>
        </w:tc>
        <w:tc>
          <w:tcPr>
            <w:tcW w:w="1660" w:type="dxa"/>
            <w:tcBorders>
              <w:left w:val="single" w:sz="6" w:space="0" w:color="auto"/>
            </w:tcBorders>
            <w:shd w:val="clear" w:color="auto" w:fill="auto"/>
          </w:tcPr>
          <w:p w14:paraId="0DEC164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351F8DC4" w14:textId="77777777" w:rsidR="00271FA2" w:rsidRPr="00F06DE2" w:rsidRDefault="00D35E51">
            <w:pPr>
              <w:adjustRightInd w:val="0"/>
              <w:spacing w:line="240" w:lineRule="atLeast"/>
              <w:jc w:val="both"/>
              <w:rPr>
                <w:rFonts w:ascii="Times New Roman" w:hAnsi="Times New Roman" w:cs="Times New Roman"/>
              </w:rPr>
            </w:pPr>
            <w:r w:rsidRPr="00F06DE2">
              <w:rPr>
                <w:rFonts w:ascii="Times New Roman" w:hAnsi="Times New Roman" w:cs="Times New Roman"/>
              </w:rPr>
              <w:t>Автоматични зарядни устройства</w:t>
            </w:r>
          </w:p>
        </w:tc>
        <w:tc>
          <w:tcPr>
            <w:tcW w:w="6521" w:type="dxa"/>
            <w:shd w:val="clear" w:color="auto" w:fill="auto"/>
          </w:tcPr>
          <w:p w14:paraId="168E683B" w14:textId="4F1D9198" w:rsidR="00271FA2" w:rsidRPr="00F06DE2" w:rsidRDefault="00D35E51" w:rsidP="00BC56F4">
            <w:pPr>
              <w:spacing w:line="240" w:lineRule="atLeast"/>
              <w:jc w:val="both"/>
              <w:rPr>
                <w:rFonts w:ascii="Times New Roman" w:hAnsi="Times New Roman" w:cs="Times New Roman"/>
                <w:lang w:val="ru-RU"/>
              </w:rPr>
            </w:pPr>
            <w:r w:rsidRPr="00F06DE2">
              <w:rPr>
                <w:rFonts w:ascii="Times New Roman" w:hAnsi="Times New Roman" w:cs="Times New Roman"/>
                <w:lang w:val="ru-RU"/>
              </w:rPr>
              <w:t>НЗР,</w:t>
            </w:r>
            <w:r w:rsidR="00BC56F4" w:rsidRPr="00F06DE2">
              <w:rPr>
                <w:rFonts w:ascii="Times New Roman" w:hAnsi="Times New Roman" w:cs="Times New Roman"/>
                <w:lang w:val="ru-RU"/>
              </w:rPr>
              <w:t xml:space="preserve"> </w:t>
            </w:r>
            <w:r w:rsidRPr="00F06DE2">
              <w:rPr>
                <w:rFonts w:ascii="Times New Roman" w:hAnsi="Times New Roman" w:cs="Times New Roman"/>
                <w:lang w:val="ru-RU"/>
              </w:rPr>
              <w:t>най-късно при подновяване на Корабното удостоверение за вътрешно корабоплаване след</w:t>
            </w:r>
          </w:p>
        </w:tc>
        <w:tc>
          <w:tcPr>
            <w:tcW w:w="1635" w:type="dxa"/>
            <w:shd w:val="clear" w:color="auto" w:fill="auto"/>
          </w:tcPr>
          <w:p w14:paraId="7041529B" w14:textId="0E31D6A2"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61EFB3A3" w14:textId="77777777" w:rsidTr="000E4105">
        <w:trPr>
          <w:cantSplit/>
        </w:trPr>
        <w:tc>
          <w:tcPr>
            <w:tcW w:w="1342" w:type="dxa"/>
            <w:vMerge/>
            <w:tcBorders>
              <w:left w:val="single" w:sz="6" w:space="0" w:color="auto"/>
              <w:bottom w:val="single" w:sz="6" w:space="0" w:color="auto"/>
              <w:right w:val="single" w:sz="6" w:space="0" w:color="auto"/>
            </w:tcBorders>
            <w:shd w:val="clear" w:color="auto" w:fill="auto"/>
          </w:tcPr>
          <w:p w14:paraId="63120367" w14:textId="77777777" w:rsidR="00271FA2" w:rsidRPr="00F06DE2" w:rsidRDefault="00271FA2">
            <w:pPr>
              <w:spacing w:line="240" w:lineRule="atLeast"/>
              <w:jc w:val="both"/>
              <w:rPr>
                <w:rFonts w:ascii="Times New Roman" w:hAnsi="Times New Roman" w:cs="Times New Roman"/>
              </w:rPr>
            </w:pPr>
          </w:p>
        </w:tc>
        <w:tc>
          <w:tcPr>
            <w:tcW w:w="1660" w:type="dxa"/>
            <w:tcBorders>
              <w:left w:val="single" w:sz="6" w:space="0" w:color="auto"/>
            </w:tcBorders>
            <w:shd w:val="clear" w:color="auto" w:fill="auto"/>
          </w:tcPr>
          <w:p w14:paraId="4519611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14</w:t>
            </w:r>
          </w:p>
        </w:tc>
        <w:tc>
          <w:tcPr>
            <w:tcW w:w="3296" w:type="dxa"/>
            <w:shd w:val="clear" w:color="auto" w:fill="auto"/>
          </w:tcPr>
          <w:p w14:paraId="79AE3439" w14:textId="77777777" w:rsidR="00271FA2" w:rsidRPr="00F06DE2" w:rsidRDefault="00D35E51">
            <w:pPr>
              <w:adjustRightInd w:val="0"/>
              <w:spacing w:line="240" w:lineRule="atLeast"/>
              <w:jc w:val="both"/>
              <w:rPr>
                <w:rFonts w:ascii="Times New Roman" w:hAnsi="Times New Roman" w:cs="Times New Roman"/>
              </w:rPr>
            </w:pPr>
            <w:r w:rsidRPr="00F06DE2">
              <w:rPr>
                <w:rFonts w:ascii="Times New Roman" w:hAnsi="Times New Roman" w:cs="Times New Roman"/>
              </w:rPr>
              <w:t>Максимално напрежение на зареждане</w:t>
            </w:r>
          </w:p>
        </w:tc>
        <w:tc>
          <w:tcPr>
            <w:tcW w:w="6521" w:type="dxa"/>
            <w:shd w:val="clear" w:color="auto" w:fill="auto"/>
          </w:tcPr>
          <w:p w14:paraId="2B16677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58D1F1F" w14:textId="0E0AC458"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3D15A8DE" w14:textId="77777777" w:rsidTr="000E4105">
        <w:trPr>
          <w:cantSplit/>
        </w:trPr>
        <w:tc>
          <w:tcPr>
            <w:tcW w:w="1342" w:type="dxa"/>
            <w:vMerge/>
            <w:tcBorders>
              <w:left w:val="single" w:sz="6" w:space="0" w:color="auto"/>
              <w:bottom w:val="single" w:sz="6" w:space="0" w:color="auto"/>
              <w:right w:val="single" w:sz="6" w:space="0" w:color="auto"/>
            </w:tcBorders>
            <w:shd w:val="clear" w:color="auto" w:fill="auto"/>
          </w:tcPr>
          <w:p w14:paraId="43CB6A14" w14:textId="77777777" w:rsidR="00271FA2" w:rsidRPr="00F06DE2" w:rsidRDefault="00271FA2">
            <w:pPr>
              <w:spacing w:line="240" w:lineRule="atLeast"/>
              <w:jc w:val="both"/>
              <w:rPr>
                <w:rFonts w:ascii="Times New Roman" w:hAnsi="Times New Roman" w:cs="Times New Roman"/>
              </w:rPr>
            </w:pPr>
          </w:p>
        </w:tc>
        <w:tc>
          <w:tcPr>
            <w:tcW w:w="1660" w:type="dxa"/>
            <w:tcBorders>
              <w:left w:val="single" w:sz="6" w:space="0" w:color="auto"/>
            </w:tcBorders>
            <w:shd w:val="clear" w:color="auto" w:fill="auto"/>
          </w:tcPr>
          <w:p w14:paraId="6DB1506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15</w:t>
            </w:r>
          </w:p>
        </w:tc>
        <w:tc>
          <w:tcPr>
            <w:tcW w:w="3296" w:type="dxa"/>
            <w:shd w:val="clear" w:color="auto" w:fill="auto"/>
          </w:tcPr>
          <w:p w14:paraId="4665DEF9"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Европейски стандарти </w:t>
            </w:r>
            <w:r w:rsidRPr="00F06DE2">
              <w:rPr>
                <w:rFonts w:ascii="Times New Roman" w:hAnsi="Times New Roman" w:cs="Times New Roman"/>
              </w:rPr>
              <w:t>EN</w:t>
            </w:r>
            <w:r w:rsidRPr="00F06DE2">
              <w:rPr>
                <w:rFonts w:ascii="Times New Roman" w:hAnsi="Times New Roman" w:cs="Times New Roman"/>
                <w:lang w:val="ru-RU"/>
              </w:rPr>
              <w:t xml:space="preserve"> 62619 и </w:t>
            </w:r>
            <w:r w:rsidRPr="00F06DE2">
              <w:rPr>
                <w:rFonts w:ascii="Times New Roman" w:hAnsi="Times New Roman" w:cs="Times New Roman"/>
              </w:rPr>
              <w:t>EN</w:t>
            </w:r>
            <w:r w:rsidRPr="00F06DE2">
              <w:rPr>
                <w:rFonts w:ascii="Times New Roman" w:hAnsi="Times New Roman" w:cs="Times New Roman"/>
                <w:lang w:val="ru-RU"/>
              </w:rPr>
              <w:t xml:space="preserve"> 62620 за литиево-йонни акумулатори</w:t>
            </w:r>
          </w:p>
        </w:tc>
        <w:tc>
          <w:tcPr>
            <w:tcW w:w="6521" w:type="dxa"/>
            <w:shd w:val="clear" w:color="auto" w:fill="auto"/>
          </w:tcPr>
          <w:p w14:paraId="4D27DDC8" w14:textId="2B62296C" w:rsidR="00271FA2" w:rsidRPr="00F06DE2" w:rsidRDefault="00FF10AC">
            <w:pPr>
              <w:spacing w:line="240" w:lineRule="atLeast"/>
              <w:jc w:val="both"/>
              <w:rPr>
                <w:rFonts w:ascii="Times New Roman" w:hAnsi="Times New Roman" w:cs="Times New Roman"/>
                <w:lang w:val="ru-RU"/>
              </w:rPr>
            </w:pPr>
            <w:r w:rsidRPr="00F06DE2">
              <w:rPr>
                <w:rFonts w:ascii="Times New Roman" w:hAnsi="Times New Roman" w:cs="Times New Roman"/>
                <w:noProof/>
                <w:lang w:val="ru-RU"/>
              </w:rPr>
              <w:t xml:space="preserve">Литиево-йонните акумулатори, монтирани преди 7.10.2018 г., трябва да отговарят на изискванията на европейските стандарти </w:t>
            </w:r>
            <w:r w:rsidRPr="00F06DE2">
              <w:rPr>
                <w:rFonts w:ascii="Times New Roman" w:hAnsi="Times New Roman" w:cs="Times New Roman"/>
                <w:noProof/>
              </w:rPr>
              <w:t>EN</w:t>
            </w:r>
            <w:r w:rsidRPr="00F06DE2">
              <w:rPr>
                <w:rFonts w:ascii="Times New Roman" w:hAnsi="Times New Roman" w:cs="Times New Roman"/>
                <w:noProof/>
                <w:lang w:val="ru-RU"/>
              </w:rPr>
              <w:t xml:space="preserve"> 62619 и </w:t>
            </w:r>
            <w:r w:rsidRPr="00F06DE2">
              <w:rPr>
                <w:rFonts w:ascii="Times New Roman" w:hAnsi="Times New Roman" w:cs="Times New Roman"/>
                <w:noProof/>
              </w:rPr>
              <w:t>EN</w:t>
            </w:r>
            <w:r w:rsidRPr="00F06DE2">
              <w:rPr>
                <w:rFonts w:ascii="Times New Roman" w:hAnsi="Times New Roman" w:cs="Times New Roman"/>
                <w:noProof/>
                <w:lang w:val="ru-RU"/>
              </w:rPr>
              <w:t xml:space="preserve"> 62620 най-късно при подновяване </w:t>
            </w:r>
            <w:r w:rsidR="00D0583D" w:rsidRPr="00F06DE2">
              <w:rPr>
                <w:rFonts w:ascii="Times New Roman" w:hAnsi="Times New Roman" w:cs="Times New Roman"/>
                <w:noProof/>
                <w:lang w:val="ru-RU"/>
              </w:rPr>
              <w:t>на Корабното удостоверение за вътрешно корабоплаване след</w:t>
            </w:r>
          </w:p>
        </w:tc>
        <w:tc>
          <w:tcPr>
            <w:tcW w:w="1635" w:type="dxa"/>
            <w:shd w:val="clear" w:color="auto" w:fill="auto"/>
          </w:tcPr>
          <w:p w14:paraId="0D742E02" w14:textId="0D868916" w:rsidR="00271FA2" w:rsidRPr="00F06DE2" w:rsidRDefault="00631F16" w:rsidP="00D0583D">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w:t>
            </w:r>
            <w:r w:rsidR="00FF10AC" w:rsidRPr="00F06DE2">
              <w:rPr>
                <w:rFonts w:ascii="Times New Roman" w:hAnsi="Times New Roman" w:cs="Times New Roman"/>
              </w:rPr>
              <w:t xml:space="preserve">2028 </w:t>
            </w:r>
            <w:r w:rsidR="00D35E51" w:rsidRPr="00F06DE2">
              <w:rPr>
                <w:rFonts w:ascii="Times New Roman" w:hAnsi="Times New Roman" w:cs="Times New Roman"/>
              </w:rPr>
              <w:t>г.</w:t>
            </w:r>
          </w:p>
        </w:tc>
      </w:tr>
      <w:tr w:rsidR="00271FA2" w:rsidRPr="00F06DE2" w14:paraId="0A037444" w14:textId="77777777" w:rsidTr="000E4105">
        <w:trPr>
          <w:cantSplit/>
        </w:trPr>
        <w:tc>
          <w:tcPr>
            <w:tcW w:w="1342" w:type="dxa"/>
            <w:vMerge/>
            <w:tcBorders>
              <w:left w:val="single" w:sz="6" w:space="0" w:color="auto"/>
              <w:bottom w:val="single" w:sz="6" w:space="0" w:color="auto"/>
              <w:right w:val="single" w:sz="6" w:space="0" w:color="auto"/>
            </w:tcBorders>
            <w:shd w:val="clear" w:color="auto" w:fill="auto"/>
            <w:vAlign w:val="center"/>
          </w:tcPr>
          <w:p w14:paraId="02FC1196" w14:textId="77777777" w:rsidR="00271FA2" w:rsidRPr="00F06DE2" w:rsidRDefault="00271FA2">
            <w:pPr>
              <w:spacing w:line="240" w:lineRule="atLeast"/>
              <w:jc w:val="both"/>
              <w:rPr>
                <w:rFonts w:ascii="Times New Roman" w:hAnsi="Times New Roman" w:cs="Times New Roman"/>
              </w:rPr>
            </w:pPr>
          </w:p>
        </w:tc>
        <w:tc>
          <w:tcPr>
            <w:tcW w:w="1660" w:type="dxa"/>
            <w:tcBorders>
              <w:left w:val="single" w:sz="6" w:space="0" w:color="auto"/>
            </w:tcBorders>
            <w:shd w:val="clear" w:color="auto" w:fill="auto"/>
            <w:vAlign w:val="center"/>
          </w:tcPr>
          <w:p w14:paraId="1B3B5F2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16</w:t>
            </w:r>
          </w:p>
        </w:tc>
        <w:tc>
          <w:tcPr>
            <w:tcW w:w="3296" w:type="dxa"/>
            <w:shd w:val="clear" w:color="auto" w:fill="auto"/>
          </w:tcPr>
          <w:p w14:paraId="4FBEA686"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Система за управление на акумулатор</w:t>
            </w:r>
          </w:p>
        </w:tc>
        <w:tc>
          <w:tcPr>
            <w:tcW w:w="6521" w:type="dxa"/>
            <w:shd w:val="clear" w:color="auto" w:fill="auto"/>
          </w:tcPr>
          <w:p w14:paraId="6007527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3F3C619" w14:textId="7255A165"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2041226F" w14:textId="77777777" w:rsidTr="000E4105">
        <w:trPr>
          <w:cantSplit/>
        </w:trPr>
        <w:tc>
          <w:tcPr>
            <w:tcW w:w="1342" w:type="dxa"/>
            <w:vMerge w:val="restart"/>
            <w:shd w:val="clear" w:color="auto" w:fill="auto"/>
          </w:tcPr>
          <w:p w14:paraId="029DE0E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10.15</w:t>
            </w:r>
          </w:p>
        </w:tc>
        <w:tc>
          <w:tcPr>
            <w:tcW w:w="1660" w:type="dxa"/>
            <w:shd w:val="clear" w:color="auto" w:fill="auto"/>
          </w:tcPr>
          <w:p w14:paraId="7DCA3B4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11</w:t>
            </w:r>
          </w:p>
        </w:tc>
        <w:tc>
          <w:tcPr>
            <w:tcW w:w="3296" w:type="dxa"/>
            <w:shd w:val="clear" w:color="auto" w:fill="auto"/>
          </w:tcPr>
          <w:p w14:paraId="52505368" w14:textId="77777777" w:rsidR="00271FA2" w:rsidRPr="00F06DE2" w:rsidRDefault="00D35E51">
            <w:pPr>
              <w:adjustRightInd w:val="0"/>
              <w:spacing w:line="240" w:lineRule="atLeast"/>
              <w:jc w:val="both"/>
              <w:rPr>
                <w:rFonts w:ascii="Times New Roman" w:hAnsi="Times New Roman" w:cs="Times New Roman"/>
              </w:rPr>
            </w:pPr>
            <w:r w:rsidRPr="00F06DE2">
              <w:rPr>
                <w:rFonts w:ascii="Times New Roman" w:hAnsi="Times New Roman" w:cs="Times New Roman"/>
              </w:rPr>
              <w:t>Oтвори за кабелния сноп</w:t>
            </w:r>
          </w:p>
        </w:tc>
        <w:tc>
          <w:tcPr>
            <w:tcW w:w="6521" w:type="dxa"/>
            <w:shd w:val="clear" w:color="auto" w:fill="auto"/>
          </w:tcPr>
          <w:p w14:paraId="6E9C941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7E967D6" w14:textId="7DD07E56"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02D87180" w14:textId="77777777" w:rsidTr="000E4105">
        <w:trPr>
          <w:cantSplit/>
        </w:trPr>
        <w:tc>
          <w:tcPr>
            <w:tcW w:w="1342" w:type="dxa"/>
            <w:vMerge/>
            <w:shd w:val="clear" w:color="auto" w:fill="auto"/>
          </w:tcPr>
          <w:p w14:paraId="7DD2BDCF"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18C8A4F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12</w:t>
            </w:r>
          </w:p>
        </w:tc>
        <w:tc>
          <w:tcPr>
            <w:tcW w:w="3296" w:type="dxa"/>
            <w:shd w:val="clear" w:color="auto" w:fill="auto"/>
          </w:tcPr>
          <w:p w14:paraId="646D4775"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Кабели от авариен източник на електроенергия до потребителско оборудване</w:t>
            </w:r>
          </w:p>
        </w:tc>
        <w:tc>
          <w:tcPr>
            <w:tcW w:w="6521" w:type="dxa"/>
            <w:shd w:val="clear" w:color="auto" w:fill="auto"/>
          </w:tcPr>
          <w:p w14:paraId="4F5B486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BF50BF3" w14:textId="563A4D44"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108D49D9" w14:textId="77777777" w:rsidTr="000E4105">
        <w:trPr>
          <w:cantSplit/>
        </w:trPr>
        <w:tc>
          <w:tcPr>
            <w:tcW w:w="1342" w:type="dxa"/>
            <w:vMerge/>
            <w:shd w:val="clear" w:color="auto" w:fill="auto"/>
          </w:tcPr>
          <w:p w14:paraId="4486F7AB"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08D82F7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68A2D37B"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Кабел в области с високи температури на околната среда</w:t>
            </w:r>
          </w:p>
        </w:tc>
        <w:tc>
          <w:tcPr>
            <w:tcW w:w="6521" w:type="dxa"/>
            <w:shd w:val="clear" w:color="auto" w:fill="auto"/>
          </w:tcPr>
          <w:p w14:paraId="4998064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8369209" w14:textId="3CCB6391"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33252E05" w14:textId="77777777" w:rsidTr="000E4105">
        <w:trPr>
          <w:cantSplit/>
        </w:trPr>
        <w:tc>
          <w:tcPr>
            <w:tcW w:w="1342" w:type="dxa"/>
            <w:vMerge/>
            <w:shd w:val="clear" w:color="auto" w:fill="auto"/>
          </w:tcPr>
          <w:p w14:paraId="1756D6DC"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797D854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14</w:t>
            </w:r>
          </w:p>
        </w:tc>
        <w:tc>
          <w:tcPr>
            <w:tcW w:w="3296" w:type="dxa"/>
            <w:shd w:val="clear" w:color="auto" w:fill="auto"/>
          </w:tcPr>
          <w:p w14:paraId="5F6E8F9E"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Монтаж на основни и аварийни захранващи кабели</w:t>
            </w:r>
          </w:p>
        </w:tc>
        <w:tc>
          <w:tcPr>
            <w:tcW w:w="6521" w:type="dxa"/>
            <w:shd w:val="clear" w:color="auto" w:fill="auto"/>
          </w:tcPr>
          <w:p w14:paraId="2F887B7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1F445C4" w14:textId="29534157"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1FD75278" w14:textId="77777777" w:rsidTr="000E4105">
        <w:trPr>
          <w:cantSplit/>
        </w:trPr>
        <w:tc>
          <w:tcPr>
            <w:tcW w:w="1342" w:type="dxa"/>
            <w:vMerge w:val="restart"/>
            <w:shd w:val="clear" w:color="auto" w:fill="auto"/>
          </w:tcPr>
          <w:p w14:paraId="2D721B1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 xml:space="preserve">10.18 </w:t>
            </w:r>
          </w:p>
        </w:tc>
        <w:tc>
          <w:tcPr>
            <w:tcW w:w="1660" w:type="dxa"/>
            <w:shd w:val="clear" w:color="auto" w:fill="auto"/>
          </w:tcPr>
          <w:p w14:paraId="0D855D4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505746AD"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Устройство за изключване от електрическата мрежа</w:t>
            </w:r>
          </w:p>
        </w:tc>
        <w:tc>
          <w:tcPr>
            <w:tcW w:w="6521" w:type="dxa"/>
            <w:shd w:val="clear" w:color="auto" w:fill="auto"/>
          </w:tcPr>
          <w:p w14:paraId="3F3F404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7892A19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Наследените системи за защита могат да останат в употреба, ако бъде потвърдено от експерт, че предлагат сравнима защита.</w:t>
            </w:r>
          </w:p>
        </w:tc>
        <w:tc>
          <w:tcPr>
            <w:tcW w:w="1635" w:type="dxa"/>
            <w:shd w:val="clear" w:color="auto" w:fill="auto"/>
          </w:tcPr>
          <w:p w14:paraId="2C4CF81E" w14:textId="34453386"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44E85C4D" w14:textId="77777777" w:rsidTr="000E4105">
        <w:trPr>
          <w:cantSplit/>
        </w:trPr>
        <w:tc>
          <w:tcPr>
            <w:tcW w:w="1342" w:type="dxa"/>
            <w:vMerge/>
            <w:shd w:val="clear" w:color="auto" w:fill="auto"/>
          </w:tcPr>
          <w:p w14:paraId="22838895"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2B1B7E7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58CE855F" w14:textId="77777777" w:rsidR="00271FA2" w:rsidRPr="00F06DE2" w:rsidRDefault="00D35E51">
            <w:pPr>
              <w:adjustRightInd w:val="0"/>
              <w:spacing w:line="240" w:lineRule="atLeast"/>
              <w:jc w:val="both"/>
              <w:rPr>
                <w:rFonts w:ascii="Times New Roman" w:hAnsi="Times New Roman" w:cs="Times New Roman"/>
              </w:rPr>
            </w:pPr>
            <w:r w:rsidRPr="00F06DE2">
              <w:rPr>
                <w:rFonts w:ascii="Times New Roman" w:hAnsi="Times New Roman" w:cs="Times New Roman"/>
              </w:rPr>
              <w:t>Достъпност</w:t>
            </w:r>
          </w:p>
        </w:tc>
        <w:tc>
          <w:tcPr>
            <w:tcW w:w="6521" w:type="dxa"/>
            <w:shd w:val="clear" w:color="auto" w:fill="auto"/>
          </w:tcPr>
          <w:p w14:paraId="05DF82E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AAE89C6" w14:textId="06AB7311"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.2050 г.</w:t>
            </w:r>
          </w:p>
        </w:tc>
      </w:tr>
      <w:tr w:rsidR="00271FA2" w:rsidRPr="00F06DE2" w14:paraId="789309A0" w14:textId="77777777" w:rsidTr="000E4105">
        <w:trPr>
          <w:cantSplit/>
        </w:trPr>
        <w:tc>
          <w:tcPr>
            <w:tcW w:w="1342" w:type="dxa"/>
            <w:vMerge/>
            <w:shd w:val="clear" w:color="auto" w:fill="auto"/>
          </w:tcPr>
          <w:p w14:paraId="2129DAFA"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5DC27CF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0940E8E6"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Галванично разделяне на управляващи и силови вериги</w:t>
            </w:r>
          </w:p>
        </w:tc>
        <w:tc>
          <w:tcPr>
            <w:tcW w:w="6521" w:type="dxa"/>
            <w:shd w:val="clear" w:color="auto" w:fill="auto"/>
          </w:tcPr>
          <w:p w14:paraId="1A3378E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3B1017E" w14:textId="3D487ABB"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40CC8F6D" w14:textId="77777777" w:rsidTr="000E4105">
        <w:trPr>
          <w:cantSplit/>
        </w:trPr>
        <w:tc>
          <w:tcPr>
            <w:tcW w:w="1342" w:type="dxa"/>
            <w:vMerge/>
            <w:shd w:val="clear" w:color="auto" w:fill="auto"/>
          </w:tcPr>
          <w:p w14:paraId="3BE52A93"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619F0F2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2E1575DB"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Работа при колебания в напрежението и честотата</w:t>
            </w:r>
          </w:p>
        </w:tc>
        <w:tc>
          <w:tcPr>
            <w:tcW w:w="6521" w:type="dxa"/>
            <w:shd w:val="clear" w:color="auto" w:fill="auto"/>
          </w:tcPr>
          <w:p w14:paraId="085723D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2076579" w14:textId="0D90D657" w:rsidR="00271FA2" w:rsidRPr="00F06DE2" w:rsidRDefault="00631F16">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68E227CB" w14:textId="77777777" w:rsidTr="000E4105">
        <w:trPr>
          <w:cantSplit/>
        </w:trPr>
        <w:tc>
          <w:tcPr>
            <w:tcW w:w="1342" w:type="dxa"/>
            <w:vMerge/>
            <w:shd w:val="clear" w:color="auto" w:fill="auto"/>
          </w:tcPr>
          <w:p w14:paraId="02A7127B"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5E7CAFE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70752C1A"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Време за разреждане при изключване от електрическата мрежа</w:t>
            </w:r>
          </w:p>
        </w:tc>
        <w:tc>
          <w:tcPr>
            <w:tcW w:w="6521" w:type="dxa"/>
            <w:shd w:val="clear" w:color="auto" w:fill="auto"/>
          </w:tcPr>
          <w:p w14:paraId="5A29C39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0F41C2FD"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721722BD" w14:textId="77777777" w:rsidTr="000E4105">
        <w:trPr>
          <w:cantSplit/>
        </w:trPr>
        <w:tc>
          <w:tcPr>
            <w:tcW w:w="1342" w:type="dxa"/>
            <w:vMerge/>
            <w:shd w:val="clear" w:color="auto" w:fill="auto"/>
          </w:tcPr>
          <w:p w14:paraId="471D8650" w14:textId="77777777" w:rsidR="00271FA2" w:rsidRPr="00F06DE2" w:rsidRDefault="00271FA2">
            <w:pPr>
              <w:spacing w:line="240" w:lineRule="atLeast"/>
              <w:rPr>
                <w:rFonts w:ascii="Times New Roman" w:hAnsi="Times New Roman" w:cs="Times New Roman"/>
                <w:lang w:val="ru-RU"/>
              </w:rPr>
            </w:pPr>
          </w:p>
        </w:tc>
        <w:tc>
          <w:tcPr>
            <w:tcW w:w="1660" w:type="dxa"/>
            <w:shd w:val="clear" w:color="auto" w:fill="auto"/>
          </w:tcPr>
          <w:p w14:paraId="52B696A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41BEA4F1"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Реакция при отказ на сигналите за външен контрол</w:t>
            </w:r>
          </w:p>
        </w:tc>
        <w:tc>
          <w:tcPr>
            <w:tcW w:w="6521" w:type="dxa"/>
            <w:shd w:val="clear" w:color="auto" w:fill="auto"/>
          </w:tcPr>
          <w:p w14:paraId="49CA795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79D8C2A" w14:textId="4605AF92" w:rsidR="00271FA2" w:rsidRPr="00F06DE2" w:rsidRDefault="00006238">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6845A09C" w14:textId="77777777" w:rsidTr="000E4105">
        <w:trPr>
          <w:cantSplit/>
        </w:trPr>
        <w:tc>
          <w:tcPr>
            <w:tcW w:w="1342" w:type="dxa"/>
            <w:vMerge/>
            <w:shd w:val="clear" w:color="auto" w:fill="auto"/>
          </w:tcPr>
          <w:p w14:paraId="7C9C93AF"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1DDA977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65F25413"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Реакция при отказ на контролни напрежения</w:t>
            </w:r>
          </w:p>
        </w:tc>
        <w:tc>
          <w:tcPr>
            <w:tcW w:w="6521" w:type="dxa"/>
            <w:shd w:val="clear" w:color="auto" w:fill="auto"/>
          </w:tcPr>
          <w:p w14:paraId="1C90498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662683C" w14:textId="58DE0762" w:rsidR="00271FA2" w:rsidRPr="00F06DE2" w:rsidRDefault="00006238">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6E573B0F" w14:textId="77777777" w:rsidTr="000E4105">
        <w:trPr>
          <w:cantSplit/>
        </w:trPr>
        <w:tc>
          <w:tcPr>
            <w:tcW w:w="1342" w:type="dxa"/>
            <w:vMerge/>
            <w:shd w:val="clear" w:color="auto" w:fill="auto"/>
          </w:tcPr>
          <w:p w14:paraId="522F6034"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E8A9B6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8</w:t>
            </w:r>
          </w:p>
        </w:tc>
        <w:tc>
          <w:tcPr>
            <w:tcW w:w="3296" w:type="dxa"/>
            <w:shd w:val="clear" w:color="auto" w:fill="auto"/>
          </w:tcPr>
          <w:p w14:paraId="2679C46C"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Откриване на грешки и предотвратяване на неоткрити грешки</w:t>
            </w:r>
          </w:p>
        </w:tc>
        <w:tc>
          <w:tcPr>
            <w:tcW w:w="6521" w:type="dxa"/>
            <w:shd w:val="clear" w:color="auto" w:fill="auto"/>
          </w:tcPr>
          <w:p w14:paraId="287127A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80AB890" w14:textId="4678361A" w:rsidR="00271FA2" w:rsidRPr="00F06DE2" w:rsidRDefault="00006238">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46DE29EF" w14:textId="77777777" w:rsidTr="000E4105">
        <w:trPr>
          <w:cantSplit/>
        </w:trPr>
        <w:tc>
          <w:tcPr>
            <w:tcW w:w="1342" w:type="dxa"/>
            <w:vMerge/>
            <w:shd w:val="clear" w:color="auto" w:fill="auto"/>
          </w:tcPr>
          <w:p w14:paraId="2381AAFB"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408934D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6ABC7417" w14:textId="77777777" w:rsidR="00271FA2" w:rsidRPr="00F06DE2" w:rsidRDefault="00D35E51">
            <w:pPr>
              <w:adjustRightInd w:val="0"/>
              <w:spacing w:line="240" w:lineRule="atLeast"/>
              <w:jc w:val="both"/>
              <w:rPr>
                <w:rFonts w:ascii="Times New Roman" w:hAnsi="Times New Roman" w:cs="Times New Roman"/>
              </w:rPr>
            </w:pPr>
            <w:r w:rsidRPr="00F06DE2">
              <w:rPr>
                <w:rFonts w:ascii="Times New Roman" w:hAnsi="Times New Roman" w:cs="Times New Roman"/>
              </w:rPr>
              <w:t>Следене</w:t>
            </w:r>
          </w:p>
        </w:tc>
        <w:tc>
          <w:tcPr>
            <w:tcW w:w="6521" w:type="dxa"/>
            <w:shd w:val="clear" w:color="auto" w:fill="auto"/>
          </w:tcPr>
          <w:p w14:paraId="5ABE96B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CA87D5C" w14:textId="4B2F4AD6" w:rsidR="00271FA2" w:rsidRPr="00F06DE2" w:rsidRDefault="00006238">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2860E7F5" w14:textId="77777777" w:rsidTr="000E4105">
        <w:trPr>
          <w:cantSplit/>
        </w:trPr>
        <w:tc>
          <w:tcPr>
            <w:tcW w:w="1342" w:type="dxa"/>
            <w:vMerge/>
            <w:shd w:val="clear" w:color="auto" w:fill="auto"/>
          </w:tcPr>
          <w:p w14:paraId="53FB84CC"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322712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10</w:t>
            </w:r>
          </w:p>
        </w:tc>
        <w:tc>
          <w:tcPr>
            <w:tcW w:w="3296" w:type="dxa"/>
            <w:shd w:val="clear" w:color="auto" w:fill="auto"/>
          </w:tcPr>
          <w:p w14:paraId="0B5CE135" w14:textId="77777777" w:rsidR="00271FA2" w:rsidRPr="00F06DE2" w:rsidRDefault="00D35E51">
            <w:pPr>
              <w:adjustRightInd w:val="0"/>
              <w:spacing w:line="240" w:lineRule="atLeast"/>
              <w:jc w:val="both"/>
              <w:rPr>
                <w:rFonts w:ascii="Times New Roman" w:hAnsi="Times New Roman" w:cs="Times New Roman"/>
              </w:rPr>
            </w:pPr>
            <w:r w:rsidRPr="00F06DE2">
              <w:rPr>
                <w:rFonts w:ascii="Times New Roman" w:hAnsi="Times New Roman" w:cs="Times New Roman"/>
              </w:rPr>
              <w:t>Проверка на типа</w:t>
            </w:r>
          </w:p>
        </w:tc>
        <w:tc>
          <w:tcPr>
            <w:tcW w:w="6521" w:type="dxa"/>
            <w:shd w:val="clear" w:color="auto" w:fill="auto"/>
          </w:tcPr>
          <w:p w14:paraId="05386C8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635" w:type="dxa"/>
            <w:shd w:val="clear" w:color="auto" w:fill="auto"/>
          </w:tcPr>
          <w:p w14:paraId="60A801FB" w14:textId="77777777" w:rsidR="00271FA2" w:rsidRPr="00F06DE2" w:rsidRDefault="00271FA2">
            <w:pPr>
              <w:spacing w:line="240" w:lineRule="atLeast"/>
              <w:jc w:val="both"/>
              <w:rPr>
                <w:rFonts w:ascii="Times New Roman" w:hAnsi="Times New Roman" w:cs="Times New Roman"/>
              </w:rPr>
            </w:pPr>
          </w:p>
        </w:tc>
      </w:tr>
      <w:tr w:rsidR="00271FA2" w:rsidRPr="00F06DE2" w14:paraId="58A8B160" w14:textId="77777777" w:rsidTr="000E4105">
        <w:trPr>
          <w:cantSplit/>
        </w:trPr>
        <w:tc>
          <w:tcPr>
            <w:tcW w:w="1342" w:type="dxa"/>
            <w:shd w:val="clear" w:color="auto" w:fill="auto"/>
          </w:tcPr>
          <w:p w14:paraId="0299197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10.20</w:t>
            </w:r>
          </w:p>
        </w:tc>
        <w:tc>
          <w:tcPr>
            <w:tcW w:w="1660" w:type="dxa"/>
            <w:shd w:val="clear" w:color="auto" w:fill="auto"/>
          </w:tcPr>
          <w:p w14:paraId="4671F26C"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1C6DE212"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Условия на изпитване на електронни съоръжения</w:t>
            </w:r>
          </w:p>
        </w:tc>
        <w:tc>
          <w:tcPr>
            <w:tcW w:w="6521" w:type="dxa"/>
            <w:shd w:val="clear" w:color="auto" w:fill="auto"/>
          </w:tcPr>
          <w:p w14:paraId="3E8685E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35" w:type="dxa"/>
            <w:shd w:val="clear" w:color="auto" w:fill="auto"/>
          </w:tcPr>
          <w:p w14:paraId="49CD00E8" w14:textId="785ED787" w:rsidR="00271FA2" w:rsidRPr="00F06DE2" w:rsidRDefault="00006238">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3EB390F8" w14:textId="77777777" w:rsidTr="000E4105">
        <w:trPr>
          <w:cantSplit/>
        </w:trPr>
        <w:tc>
          <w:tcPr>
            <w:tcW w:w="1342" w:type="dxa"/>
            <w:shd w:val="clear" w:color="auto" w:fill="auto"/>
          </w:tcPr>
          <w:p w14:paraId="5AA99BB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10.21</w:t>
            </w:r>
          </w:p>
        </w:tc>
        <w:tc>
          <w:tcPr>
            <w:tcW w:w="1660" w:type="dxa"/>
            <w:shd w:val="clear" w:color="auto" w:fill="auto"/>
          </w:tcPr>
          <w:p w14:paraId="37C6E41D"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642A0E51" w14:textId="77777777" w:rsidR="00271FA2" w:rsidRPr="00F06DE2" w:rsidRDefault="00D35E51">
            <w:pPr>
              <w:adjustRightInd w:val="0"/>
              <w:spacing w:line="240" w:lineRule="atLeast"/>
              <w:jc w:val="both"/>
              <w:rPr>
                <w:rFonts w:ascii="Times New Roman" w:hAnsi="Times New Roman" w:cs="Times New Roman"/>
              </w:rPr>
            </w:pPr>
            <w:r w:rsidRPr="00F06DE2">
              <w:rPr>
                <w:rFonts w:ascii="Times New Roman" w:hAnsi="Times New Roman" w:cs="Times New Roman"/>
              </w:rPr>
              <w:t>Електромагнитна съвместимост</w:t>
            </w:r>
          </w:p>
        </w:tc>
        <w:tc>
          <w:tcPr>
            <w:tcW w:w="6521" w:type="dxa"/>
            <w:shd w:val="clear" w:color="auto" w:fill="auto"/>
          </w:tcPr>
          <w:p w14:paraId="3C7414D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C5046A9" w14:textId="2FCD9240" w:rsidR="00271FA2" w:rsidRPr="00F06DE2" w:rsidRDefault="00006238">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4FB0ED5E" w14:textId="77777777" w:rsidTr="000E4105">
        <w:trPr>
          <w:cantSplit/>
        </w:trPr>
        <w:tc>
          <w:tcPr>
            <w:tcW w:w="6298" w:type="dxa"/>
            <w:gridSpan w:val="3"/>
            <w:shd w:val="clear" w:color="auto" w:fill="auto"/>
          </w:tcPr>
          <w:p w14:paraId="09CD5031"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lastRenderedPageBreak/>
              <w:t>ГЛАВА 11</w:t>
            </w:r>
          </w:p>
        </w:tc>
        <w:tc>
          <w:tcPr>
            <w:tcW w:w="6521" w:type="dxa"/>
            <w:shd w:val="clear" w:color="auto" w:fill="auto"/>
          </w:tcPr>
          <w:p w14:paraId="248A0FF7" w14:textId="6DCD3EFC" w:rsidR="00D6597F" w:rsidRPr="00F06DE2" w:rsidRDefault="00D6597F" w:rsidP="00006238">
            <w:pPr>
              <w:pStyle w:val="TableParagraph"/>
              <w:rPr>
                <w:rFonts w:ascii="Times New Roman" w:hAnsi="Times New Roman" w:cs="Times New Roman"/>
                <w:lang w:val="ru-RU"/>
              </w:rPr>
            </w:pPr>
            <w:r w:rsidRPr="00F06DE2">
              <w:rPr>
                <w:rFonts w:ascii="Times New Roman" w:hAnsi="Times New Roman" w:cs="Times New Roman"/>
                <w:spacing w:val="-2"/>
                <w:lang w:val="ru-RU"/>
              </w:rPr>
              <w:t>Н.З.Р.</w:t>
            </w:r>
          </w:p>
          <w:p w14:paraId="5F9337FE" w14:textId="2C67C0D4" w:rsidR="00271FA2" w:rsidRPr="00F06DE2" w:rsidRDefault="00D6597F" w:rsidP="00D0583D">
            <w:pPr>
              <w:spacing w:line="240" w:lineRule="atLeast"/>
              <w:rPr>
                <w:rFonts w:ascii="Times New Roman" w:hAnsi="Times New Roman" w:cs="Times New Roman"/>
                <w:lang w:val="ru-RU"/>
              </w:rPr>
            </w:pPr>
            <w:r w:rsidRPr="00F06DE2">
              <w:rPr>
                <w:rFonts w:ascii="Times New Roman" w:hAnsi="Times New Roman" w:cs="Times New Roman"/>
                <w:color w:val="000000"/>
                <w:lang w:val="ru-RU"/>
              </w:rPr>
              <w:t xml:space="preserve">Въпреки това електрическите системи за задвижване, инсталирани между </w:t>
            </w:r>
            <w:r w:rsidR="008B10E3" w:rsidRPr="00F06DE2">
              <w:rPr>
                <w:rFonts w:ascii="Times New Roman" w:hAnsi="Times New Roman" w:cs="Times New Roman"/>
                <w:color w:val="000000"/>
                <w:lang w:val="ru-RU"/>
              </w:rPr>
              <w:t>0</w:t>
            </w:r>
            <w:r w:rsidRPr="00F06DE2">
              <w:rPr>
                <w:rFonts w:ascii="Times New Roman" w:hAnsi="Times New Roman" w:cs="Times New Roman"/>
                <w:color w:val="000000"/>
                <w:lang w:val="ru-RU"/>
              </w:rPr>
              <w:t>1.</w:t>
            </w:r>
            <w:r w:rsidR="008B10E3" w:rsidRPr="00F06DE2">
              <w:rPr>
                <w:rFonts w:ascii="Times New Roman" w:hAnsi="Times New Roman" w:cs="Times New Roman"/>
                <w:color w:val="000000"/>
                <w:lang w:val="ru-RU"/>
              </w:rPr>
              <w:t>0</w:t>
            </w:r>
            <w:r w:rsidRPr="00F06DE2">
              <w:rPr>
                <w:rFonts w:ascii="Times New Roman" w:hAnsi="Times New Roman" w:cs="Times New Roman"/>
                <w:color w:val="000000"/>
                <w:lang w:val="ru-RU"/>
              </w:rPr>
              <w:t xml:space="preserve">1.2020 г. и </w:t>
            </w:r>
            <w:r w:rsidR="008B10E3" w:rsidRPr="00F06DE2">
              <w:rPr>
                <w:rFonts w:ascii="Times New Roman" w:hAnsi="Times New Roman" w:cs="Times New Roman"/>
                <w:color w:val="000000"/>
                <w:lang w:val="ru-RU"/>
              </w:rPr>
              <w:t>0</w:t>
            </w:r>
            <w:r w:rsidRPr="00F06DE2">
              <w:rPr>
                <w:rFonts w:ascii="Times New Roman" w:hAnsi="Times New Roman" w:cs="Times New Roman"/>
                <w:color w:val="000000"/>
                <w:lang w:val="ru-RU"/>
              </w:rPr>
              <w:t>1.</w:t>
            </w:r>
            <w:r w:rsidR="008B10E3" w:rsidRPr="00F06DE2">
              <w:rPr>
                <w:rFonts w:ascii="Times New Roman" w:hAnsi="Times New Roman" w:cs="Times New Roman"/>
                <w:color w:val="000000"/>
                <w:lang w:val="ru-RU"/>
              </w:rPr>
              <w:t>0</w:t>
            </w:r>
            <w:r w:rsidRPr="00F06DE2">
              <w:rPr>
                <w:rFonts w:ascii="Times New Roman" w:hAnsi="Times New Roman" w:cs="Times New Roman"/>
                <w:color w:val="000000"/>
                <w:lang w:val="ru-RU"/>
              </w:rPr>
              <w:t xml:space="preserve">1.2026 г., трябва да отговарят най-малко на глава 11 в </w:t>
            </w:r>
            <w:r w:rsidRPr="00F06DE2">
              <w:rPr>
                <w:rFonts w:ascii="Times New Roman" w:hAnsi="Times New Roman" w:cs="Times New Roman"/>
                <w:color w:val="000000"/>
              </w:rPr>
              <w:t>ES</w:t>
            </w:r>
            <w:r w:rsidRPr="00F06DE2">
              <w:rPr>
                <w:rFonts w:ascii="Times New Roman" w:hAnsi="Times New Roman" w:cs="Times New Roman"/>
                <w:color w:val="000000"/>
                <w:lang w:val="ru-RU"/>
              </w:rPr>
              <w:t>-</w:t>
            </w:r>
            <w:r w:rsidRPr="00F06DE2">
              <w:rPr>
                <w:rFonts w:ascii="Times New Roman" w:hAnsi="Times New Roman" w:cs="Times New Roman"/>
                <w:color w:val="000000"/>
              </w:rPr>
              <w:t>TRIN</w:t>
            </w:r>
            <w:r w:rsidRPr="00F06DE2">
              <w:rPr>
                <w:rFonts w:ascii="Times New Roman" w:hAnsi="Times New Roman" w:cs="Times New Roman"/>
                <w:color w:val="000000"/>
                <w:lang w:val="ru-RU"/>
              </w:rPr>
              <w:t xml:space="preserve"> 2019/1.</w:t>
            </w:r>
          </w:p>
        </w:tc>
        <w:tc>
          <w:tcPr>
            <w:tcW w:w="1635" w:type="dxa"/>
            <w:shd w:val="clear" w:color="auto" w:fill="auto"/>
          </w:tcPr>
          <w:p w14:paraId="2DD7ED22" w14:textId="77777777" w:rsidR="00271FA2" w:rsidRPr="00F06DE2" w:rsidRDefault="00271FA2">
            <w:pPr>
              <w:spacing w:line="240" w:lineRule="atLeast"/>
              <w:rPr>
                <w:rFonts w:ascii="Times New Roman" w:hAnsi="Times New Roman" w:cs="Times New Roman"/>
                <w:lang w:val="ru-RU"/>
              </w:rPr>
            </w:pPr>
          </w:p>
        </w:tc>
      </w:tr>
      <w:tr w:rsidR="00271FA2" w:rsidRPr="00F06DE2" w14:paraId="33F053FE" w14:textId="77777777" w:rsidTr="000E4105">
        <w:trPr>
          <w:cantSplit/>
        </w:trPr>
        <w:tc>
          <w:tcPr>
            <w:tcW w:w="6298" w:type="dxa"/>
            <w:gridSpan w:val="3"/>
            <w:shd w:val="clear" w:color="auto" w:fill="auto"/>
          </w:tcPr>
          <w:p w14:paraId="518F1BF2"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13</w:t>
            </w:r>
          </w:p>
        </w:tc>
        <w:tc>
          <w:tcPr>
            <w:tcW w:w="6521" w:type="dxa"/>
            <w:shd w:val="clear" w:color="auto" w:fill="auto"/>
          </w:tcPr>
          <w:p w14:paraId="7A2FE2DC"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1A1F0ADC" w14:textId="77777777" w:rsidR="00271FA2" w:rsidRPr="00F06DE2" w:rsidRDefault="00271FA2">
            <w:pPr>
              <w:spacing w:line="240" w:lineRule="atLeast"/>
              <w:rPr>
                <w:rFonts w:ascii="Times New Roman" w:hAnsi="Times New Roman" w:cs="Times New Roman"/>
              </w:rPr>
            </w:pPr>
          </w:p>
        </w:tc>
      </w:tr>
      <w:tr w:rsidR="00271FA2" w:rsidRPr="00F06DE2" w14:paraId="4A4D84F3" w14:textId="77777777" w:rsidTr="000E4105">
        <w:trPr>
          <w:cantSplit/>
        </w:trPr>
        <w:tc>
          <w:tcPr>
            <w:tcW w:w="1342" w:type="dxa"/>
            <w:tcBorders>
              <w:bottom w:val="nil"/>
            </w:tcBorders>
            <w:shd w:val="clear" w:color="auto" w:fill="auto"/>
          </w:tcPr>
          <w:p w14:paraId="25D3085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13.02</w:t>
            </w:r>
          </w:p>
        </w:tc>
        <w:tc>
          <w:tcPr>
            <w:tcW w:w="1660" w:type="dxa"/>
            <w:tcBorders>
              <w:bottom w:val="single" w:sz="4" w:space="0" w:color="auto"/>
            </w:tcBorders>
            <w:shd w:val="clear" w:color="auto" w:fill="auto"/>
          </w:tcPr>
          <w:p w14:paraId="2BF40657" w14:textId="18D7E21F" w:rsidR="00271FA2" w:rsidRPr="00F06DE2" w:rsidRDefault="00D35E51" w:rsidP="00A44E3A">
            <w:pPr>
              <w:spacing w:line="240" w:lineRule="atLeast"/>
              <w:ind w:right="-82"/>
              <w:jc w:val="both"/>
              <w:rPr>
                <w:rFonts w:ascii="Times New Roman" w:hAnsi="Times New Roman" w:cs="Times New Roman"/>
              </w:rPr>
            </w:pPr>
            <w:r w:rsidRPr="00F06DE2">
              <w:rPr>
                <w:rFonts w:ascii="Times New Roman" w:hAnsi="Times New Roman" w:cs="Times New Roman"/>
              </w:rPr>
              <w:t>Точка2,</w:t>
            </w:r>
            <w:r w:rsidR="00A44E3A" w:rsidRPr="00F06DE2">
              <w:rPr>
                <w:rFonts w:ascii="Times New Roman" w:hAnsi="Times New Roman" w:cs="Times New Roman"/>
              </w:rPr>
              <w:t xml:space="preserve"> </w:t>
            </w:r>
            <w:r w:rsidRPr="00F06DE2">
              <w:rPr>
                <w:rFonts w:ascii="Times New Roman" w:hAnsi="Times New Roman" w:cs="Times New Roman"/>
              </w:rPr>
              <w:t>буква “б”</w:t>
            </w:r>
          </w:p>
        </w:tc>
        <w:tc>
          <w:tcPr>
            <w:tcW w:w="3296" w:type="dxa"/>
            <w:tcBorders>
              <w:bottom w:val="single" w:sz="4" w:space="0" w:color="auto"/>
            </w:tcBorders>
            <w:shd w:val="clear" w:color="auto" w:fill="auto"/>
          </w:tcPr>
          <w:p w14:paraId="4BA4006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Бутилки, изработени от стомана или друг устойчив, незапалим материал с вместимост най-малко 10</w:t>
            </w:r>
            <w:r w:rsidRPr="00F06DE2">
              <w:rPr>
                <w:rFonts w:ascii="Times New Roman" w:hAnsi="Times New Roman" w:cs="Times New Roman"/>
              </w:rPr>
              <w:t> l</w:t>
            </w:r>
          </w:p>
        </w:tc>
        <w:tc>
          <w:tcPr>
            <w:tcW w:w="6521" w:type="dxa"/>
            <w:shd w:val="clear" w:color="auto" w:fill="auto"/>
          </w:tcPr>
          <w:p w14:paraId="6DB1917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50258433"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693FB9BA" w14:textId="77777777" w:rsidTr="000E4105">
        <w:trPr>
          <w:cantSplit/>
        </w:trPr>
        <w:tc>
          <w:tcPr>
            <w:tcW w:w="1342" w:type="dxa"/>
            <w:shd w:val="clear" w:color="auto" w:fill="auto"/>
          </w:tcPr>
          <w:p w14:paraId="1AF231C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13.04</w:t>
            </w:r>
          </w:p>
        </w:tc>
        <w:tc>
          <w:tcPr>
            <w:tcW w:w="1660" w:type="dxa"/>
            <w:shd w:val="clear" w:color="auto" w:fill="auto"/>
          </w:tcPr>
          <w:p w14:paraId="586B5390"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287199B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Постоянно монтирани противопожарни системи в жилищните помещения, рулевите рубки и помещенията за пътници</w:t>
            </w:r>
          </w:p>
        </w:tc>
        <w:tc>
          <w:tcPr>
            <w:tcW w:w="6521" w:type="dxa"/>
            <w:shd w:val="clear" w:color="auto" w:fill="auto"/>
          </w:tcPr>
          <w:p w14:paraId="292322F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400AED3" w14:textId="20C16987" w:rsidR="00271FA2" w:rsidRPr="00F06DE2" w:rsidRDefault="00006238">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1F499D71" w14:textId="77777777" w:rsidTr="000E4105">
        <w:trPr>
          <w:cantSplit/>
        </w:trPr>
        <w:tc>
          <w:tcPr>
            <w:tcW w:w="1342" w:type="dxa"/>
            <w:shd w:val="clear" w:color="auto" w:fill="auto"/>
          </w:tcPr>
          <w:p w14:paraId="4CC5160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13.05</w:t>
            </w:r>
          </w:p>
        </w:tc>
        <w:tc>
          <w:tcPr>
            <w:tcW w:w="1660" w:type="dxa"/>
            <w:shd w:val="clear" w:color="auto" w:fill="auto"/>
          </w:tcPr>
          <w:p w14:paraId="3FEB9F67"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4D4F127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Постоянно монтирани противопожарни системи в машинните, котелните и помпените отделения</w:t>
            </w:r>
          </w:p>
        </w:tc>
        <w:tc>
          <w:tcPr>
            <w:tcW w:w="6521" w:type="dxa"/>
            <w:shd w:val="clear" w:color="auto" w:fill="auto"/>
          </w:tcPr>
          <w:p w14:paraId="6D84A6E9" w14:textId="77777777" w:rsidR="00271FA2" w:rsidRPr="00F06DE2" w:rsidRDefault="00D35E51">
            <w:pPr>
              <w:shd w:val="clear" w:color="auto" w:fill="FFFFFF"/>
              <w:tabs>
                <w:tab w:val="left" w:pos="263"/>
              </w:tabs>
              <w:spacing w:line="240" w:lineRule="atLeast"/>
              <w:ind w:left="263" w:hanging="263"/>
              <w:jc w:val="both"/>
              <w:rPr>
                <w:rFonts w:ascii="Times New Roman" w:hAnsi="Times New Roman" w:cs="Times New Roman"/>
              </w:rPr>
            </w:pPr>
            <w:r w:rsidRPr="00F06DE2">
              <w:rPr>
                <w:rFonts w:ascii="Times New Roman" w:hAnsi="Times New Roman" w:cs="Times New Roman"/>
              </w:rPr>
              <w:t>НЗР</w:t>
            </w:r>
          </w:p>
          <w:p w14:paraId="15043B9F" w14:textId="56D89B38" w:rsidR="00271FA2" w:rsidRPr="00F06DE2" w:rsidRDefault="00D35E51">
            <w:pPr>
              <w:numPr>
                <w:ilvl w:val="0"/>
                <w:numId w:val="36"/>
              </w:numPr>
              <w:shd w:val="clear" w:color="auto" w:fill="FFFFFF"/>
              <w:tabs>
                <w:tab w:val="left" w:pos="263"/>
              </w:tabs>
              <w:spacing w:line="240" w:lineRule="atLeast"/>
              <w:ind w:left="263" w:hanging="263"/>
              <w:jc w:val="both"/>
              <w:rPr>
                <w:rFonts w:ascii="Times New Roman" w:hAnsi="Times New Roman" w:cs="Times New Roman"/>
                <w:lang w:val="ru-RU"/>
              </w:rPr>
            </w:pPr>
            <w:r w:rsidRPr="00F06DE2">
              <w:rPr>
                <w:rFonts w:ascii="Times New Roman" w:hAnsi="Times New Roman" w:cs="Times New Roman"/>
                <w:lang w:val="ru-RU"/>
              </w:rPr>
              <w:t>Постоянните противопожарни системи с използване на СО</w:t>
            </w:r>
            <w:r w:rsidRPr="00F06DE2">
              <w:rPr>
                <w:rFonts w:ascii="Times New Roman" w:hAnsi="Times New Roman" w:cs="Times New Roman"/>
                <w:vertAlign w:val="subscript"/>
                <w:lang w:val="ru-RU"/>
              </w:rPr>
              <w:t>2</w:t>
            </w:r>
            <w:r w:rsidRPr="00F06DE2">
              <w:rPr>
                <w:rFonts w:ascii="Times New Roman" w:hAnsi="Times New Roman" w:cs="Times New Roman"/>
                <w:lang w:val="ru-RU"/>
              </w:rPr>
              <w:t>, монтирани преди 1 октомври 1980</w:t>
            </w:r>
            <w:r w:rsidRPr="00F06DE2">
              <w:rPr>
                <w:rFonts w:ascii="Times New Roman" w:hAnsi="Times New Roman" w:cs="Times New Roman"/>
              </w:rPr>
              <w:t> </w:t>
            </w:r>
            <w:r w:rsidRPr="00F06DE2">
              <w:rPr>
                <w:rFonts w:ascii="Times New Roman" w:hAnsi="Times New Roman" w:cs="Times New Roman"/>
                <w:lang w:val="ru-RU"/>
              </w:rPr>
              <w:t xml:space="preserve">г., могат да останат в употреба до подновяване на Корабното удостоверение за вътрешно корабоплаване след </w:t>
            </w:r>
            <w:r w:rsidR="008B10E3" w:rsidRPr="00F06DE2">
              <w:rPr>
                <w:rFonts w:ascii="Times New Roman" w:hAnsi="Times New Roman" w:cs="Times New Roman"/>
                <w:lang w:val="ru-RU"/>
              </w:rPr>
              <w:t>0</w:t>
            </w:r>
            <w:r w:rsidRPr="00F06DE2">
              <w:rPr>
                <w:rFonts w:ascii="Times New Roman" w:hAnsi="Times New Roman" w:cs="Times New Roman"/>
                <w:lang w:val="ru-RU"/>
              </w:rPr>
              <w:t>1.</w:t>
            </w:r>
            <w:r w:rsidR="008B10E3" w:rsidRPr="00F06DE2">
              <w:rPr>
                <w:rFonts w:ascii="Times New Roman" w:hAnsi="Times New Roman" w:cs="Times New Roman"/>
                <w:lang w:val="ru-RU"/>
              </w:rPr>
              <w:t>0</w:t>
            </w:r>
            <w:r w:rsidRPr="00F06DE2">
              <w:rPr>
                <w:rFonts w:ascii="Times New Roman" w:hAnsi="Times New Roman" w:cs="Times New Roman"/>
                <w:lang w:val="ru-RU"/>
              </w:rPr>
              <w:t>1.2035</w:t>
            </w:r>
            <w:r w:rsidRPr="00F06DE2">
              <w:rPr>
                <w:rFonts w:ascii="Times New Roman" w:hAnsi="Times New Roman" w:cs="Times New Roman"/>
              </w:rPr>
              <w:t> </w:t>
            </w:r>
            <w:r w:rsidRPr="00F06DE2">
              <w:rPr>
                <w:rFonts w:ascii="Times New Roman" w:hAnsi="Times New Roman" w:cs="Times New Roman"/>
                <w:lang w:val="ru-RU"/>
              </w:rPr>
              <w:t>г., ако отговарят на изискванията на член 7.03, точка 5 от Рейнските правила за инспекция на корабите в сила от 1 април 1976</w:t>
            </w:r>
            <w:r w:rsidRPr="00F06DE2">
              <w:rPr>
                <w:rFonts w:ascii="Times New Roman" w:hAnsi="Times New Roman" w:cs="Times New Roman"/>
              </w:rPr>
              <w:t> </w:t>
            </w:r>
            <w:r w:rsidRPr="00F06DE2">
              <w:rPr>
                <w:rFonts w:ascii="Times New Roman" w:hAnsi="Times New Roman" w:cs="Times New Roman"/>
                <w:lang w:val="ru-RU"/>
              </w:rPr>
              <w:t>г. (Протокол 1975.</w:t>
            </w:r>
            <w:r w:rsidRPr="00F06DE2">
              <w:rPr>
                <w:rFonts w:ascii="Times New Roman" w:hAnsi="Times New Roman" w:cs="Times New Roman"/>
              </w:rPr>
              <w:t>I</w:t>
            </w:r>
            <w:r w:rsidRPr="00F06DE2">
              <w:rPr>
                <w:rFonts w:ascii="Times New Roman" w:hAnsi="Times New Roman" w:cs="Times New Roman"/>
                <w:lang w:val="ru-RU"/>
              </w:rPr>
              <w:t>.23 на ЦККР);</w:t>
            </w:r>
          </w:p>
          <w:p w14:paraId="5E7009B8" w14:textId="77777777" w:rsidR="00271FA2" w:rsidRPr="00F06DE2" w:rsidRDefault="00D35E51">
            <w:pPr>
              <w:pStyle w:val="BodyTextIndent"/>
              <w:shd w:val="clear" w:color="auto" w:fill="FFFFFF"/>
              <w:tabs>
                <w:tab w:val="left" w:pos="263"/>
              </w:tabs>
              <w:spacing w:after="160" w:line="240" w:lineRule="atLeast"/>
              <w:ind w:left="263" w:hanging="263"/>
              <w:jc w:val="both"/>
              <w:rPr>
                <w:rFonts w:ascii="Times New Roman" w:hAnsi="Times New Roman" w:cs="Times New Roman"/>
                <w:lang w:val="ru-RU"/>
              </w:rPr>
            </w:pPr>
            <w:r w:rsidRPr="00F06DE2">
              <w:rPr>
                <w:rFonts w:ascii="Times New Roman" w:hAnsi="Times New Roman" w:cs="Times New Roman"/>
                <w:lang w:val="ru-RU"/>
              </w:rPr>
              <w:t>б) Постоянните противопожарни системи с използване на СО</w:t>
            </w:r>
            <w:r w:rsidRPr="00F06DE2">
              <w:rPr>
                <w:rFonts w:ascii="Times New Roman" w:hAnsi="Times New Roman" w:cs="Times New Roman"/>
                <w:vertAlign w:val="subscript"/>
                <w:lang w:val="ru-RU"/>
              </w:rPr>
              <w:t>2</w:t>
            </w:r>
            <w:r w:rsidRPr="00F06DE2">
              <w:rPr>
                <w:rFonts w:ascii="Times New Roman" w:hAnsi="Times New Roman" w:cs="Times New Roman"/>
                <w:lang w:val="ru-RU"/>
              </w:rPr>
              <w:t>, монтирани между 1 април 1992</w:t>
            </w:r>
            <w:r w:rsidRPr="00F06DE2">
              <w:rPr>
                <w:rFonts w:ascii="Times New Roman" w:hAnsi="Times New Roman" w:cs="Times New Roman"/>
              </w:rPr>
              <w:t> </w:t>
            </w:r>
            <w:r w:rsidRPr="00F06DE2">
              <w:rPr>
                <w:rFonts w:ascii="Times New Roman" w:hAnsi="Times New Roman" w:cs="Times New Roman"/>
                <w:lang w:val="ru-RU"/>
              </w:rPr>
              <w:t>г. и 31 декември 1994</w:t>
            </w:r>
            <w:r w:rsidRPr="00F06DE2">
              <w:rPr>
                <w:rFonts w:ascii="Times New Roman" w:hAnsi="Times New Roman" w:cs="Times New Roman"/>
              </w:rPr>
              <w:t> </w:t>
            </w:r>
            <w:r w:rsidRPr="00F06DE2">
              <w:rPr>
                <w:rFonts w:ascii="Times New Roman" w:hAnsi="Times New Roman" w:cs="Times New Roman"/>
                <w:lang w:val="ru-RU"/>
              </w:rPr>
              <w:t>г., могат да останат в употреба до подновяване на Корабното удостоверение за вътрешно корабоплаване след 1.1.2035</w:t>
            </w:r>
            <w:r w:rsidRPr="00F06DE2">
              <w:rPr>
                <w:rFonts w:ascii="Times New Roman" w:hAnsi="Times New Roman" w:cs="Times New Roman"/>
              </w:rPr>
              <w:t> </w:t>
            </w:r>
            <w:r w:rsidRPr="00F06DE2">
              <w:rPr>
                <w:rFonts w:ascii="Times New Roman" w:hAnsi="Times New Roman" w:cs="Times New Roman"/>
                <w:lang w:val="ru-RU"/>
              </w:rPr>
              <w:t>г., ако отговарят на изискванията на член 7.03, точка 5 от Рейнските правила за инспекция на корабите в сила от 31 декември 1994</w:t>
            </w:r>
            <w:r w:rsidRPr="00F06DE2">
              <w:rPr>
                <w:rFonts w:ascii="Times New Roman" w:hAnsi="Times New Roman" w:cs="Times New Roman"/>
              </w:rPr>
              <w:t> </w:t>
            </w:r>
            <w:r w:rsidRPr="00F06DE2">
              <w:rPr>
                <w:rFonts w:ascii="Times New Roman" w:hAnsi="Times New Roman" w:cs="Times New Roman"/>
                <w:lang w:val="ru-RU"/>
              </w:rPr>
              <w:t>г.;</w:t>
            </w:r>
          </w:p>
          <w:p w14:paraId="0B31B236" w14:textId="77777777" w:rsidR="00271FA2" w:rsidRPr="00F06DE2" w:rsidRDefault="00D35E51">
            <w:pPr>
              <w:pStyle w:val="FootnoteText"/>
              <w:tabs>
                <w:tab w:val="left" w:pos="263"/>
              </w:tabs>
              <w:spacing w:line="240" w:lineRule="atLeast"/>
              <w:ind w:left="263" w:hanging="263"/>
              <w:jc w:val="both"/>
              <w:rPr>
                <w:rFonts w:ascii="Times New Roman" w:hAnsi="Times New Roman" w:cs="Times New Roman"/>
                <w:szCs w:val="24"/>
                <w:lang w:val="ru-RU"/>
              </w:rPr>
            </w:pPr>
            <w:r w:rsidRPr="00F06DE2">
              <w:rPr>
                <w:rFonts w:ascii="Times New Roman" w:hAnsi="Times New Roman" w:cs="Times New Roman"/>
                <w:szCs w:val="24"/>
                <w:lang w:val="ru-RU"/>
              </w:rPr>
              <w:t>в) Препоръките на ЦККР, издадени между 1 април 1992</w:t>
            </w:r>
            <w:r w:rsidRPr="00F06DE2">
              <w:rPr>
                <w:rFonts w:ascii="Times New Roman" w:hAnsi="Times New Roman" w:cs="Times New Roman"/>
                <w:szCs w:val="24"/>
              </w:rPr>
              <w:t> </w:t>
            </w:r>
            <w:r w:rsidRPr="00F06DE2">
              <w:rPr>
                <w:rFonts w:ascii="Times New Roman" w:hAnsi="Times New Roman" w:cs="Times New Roman"/>
                <w:szCs w:val="24"/>
                <w:lang w:val="ru-RU"/>
              </w:rPr>
              <w:t>г. и 31 декември 1994</w:t>
            </w:r>
            <w:r w:rsidRPr="00F06DE2">
              <w:rPr>
                <w:rFonts w:ascii="Times New Roman" w:hAnsi="Times New Roman" w:cs="Times New Roman"/>
                <w:szCs w:val="24"/>
              </w:rPr>
              <w:t> </w:t>
            </w:r>
            <w:r w:rsidRPr="00F06DE2">
              <w:rPr>
                <w:rFonts w:ascii="Times New Roman" w:hAnsi="Times New Roman" w:cs="Times New Roman"/>
                <w:szCs w:val="24"/>
                <w:lang w:val="ru-RU"/>
              </w:rPr>
              <w:t>г. относно член 7.03, точка 5 от Рейнските правила за инспекция на корабите в сила от 31 декември 1994</w:t>
            </w:r>
            <w:r w:rsidRPr="00F06DE2">
              <w:rPr>
                <w:rFonts w:ascii="Times New Roman" w:hAnsi="Times New Roman" w:cs="Times New Roman"/>
                <w:szCs w:val="24"/>
              </w:rPr>
              <w:t> </w:t>
            </w:r>
            <w:r w:rsidRPr="00F06DE2">
              <w:rPr>
                <w:rFonts w:ascii="Times New Roman" w:hAnsi="Times New Roman" w:cs="Times New Roman"/>
                <w:szCs w:val="24"/>
                <w:lang w:val="ru-RU"/>
              </w:rPr>
              <w:t>г., остават в сила до подновяване на Корабното удостоверение за вътрешно корабоплаване след 1.1.2035</w:t>
            </w:r>
            <w:r w:rsidRPr="00F06DE2">
              <w:rPr>
                <w:rFonts w:ascii="Times New Roman" w:hAnsi="Times New Roman" w:cs="Times New Roman"/>
                <w:szCs w:val="24"/>
              </w:rPr>
              <w:t> </w:t>
            </w:r>
            <w:r w:rsidRPr="00F06DE2">
              <w:rPr>
                <w:rFonts w:ascii="Times New Roman" w:hAnsi="Times New Roman" w:cs="Times New Roman"/>
                <w:szCs w:val="24"/>
                <w:lang w:val="ru-RU"/>
              </w:rPr>
              <w:t>г.;</w:t>
            </w:r>
          </w:p>
          <w:p w14:paraId="0C8E7758" w14:textId="6863D759" w:rsidR="00271FA2" w:rsidRPr="00F06DE2" w:rsidRDefault="00D35E51">
            <w:pPr>
              <w:pStyle w:val="FootnoteText"/>
              <w:shd w:val="clear" w:color="auto" w:fill="FFFFFF"/>
              <w:tabs>
                <w:tab w:val="left" w:pos="263"/>
              </w:tabs>
              <w:spacing w:line="240" w:lineRule="atLeast"/>
              <w:ind w:left="263" w:hanging="263"/>
              <w:jc w:val="both"/>
              <w:rPr>
                <w:rFonts w:ascii="Times New Roman" w:hAnsi="Times New Roman" w:cs="Times New Roman"/>
                <w:szCs w:val="24"/>
                <w:lang w:val="ru-RU"/>
              </w:rPr>
            </w:pPr>
            <w:r w:rsidRPr="00F06DE2">
              <w:rPr>
                <w:rFonts w:ascii="Times New Roman" w:hAnsi="Times New Roman" w:cs="Times New Roman"/>
                <w:szCs w:val="24"/>
                <w:lang w:val="ru-RU"/>
              </w:rPr>
              <w:t>г) Член 13.05, точка 2, буква “</w:t>
            </w:r>
            <w:r w:rsidRPr="00F06DE2">
              <w:rPr>
                <w:rFonts w:ascii="Times New Roman" w:hAnsi="Times New Roman" w:cs="Times New Roman"/>
                <w:szCs w:val="24"/>
              </w:rPr>
              <w:t>a</w:t>
            </w:r>
            <w:r w:rsidRPr="00F06DE2">
              <w:rPr>
                <w:rFonts w:ascii="Times New Roman" w:hAnsi="Times New Roman" w:cs="Times New Roman"/>
                <w:szCs w:val="24"/>
                <w:lang w:val="ru-RU"/>
              </w:rPr>
              <w:t xml:space="preserve">” се прилага само до подновяване на Корабното удостоверение за вътрешно корабоплаване след </w:t>
            </w:r>
            <w:r w:rsidR="008B10E3" w:rsidRPr="00F06DE2">
              <w:rPr>
                <w:rFonts w:ascii="Times New Roman" w:hAnsi="Times New Roman" w:cs="Times New Roman"/>
                <w:szCs w:val="24"/>
                <w:lang w:val="ru-RU"/>
              </w:rPr>
              <w:t>0</w:t>
            </w:r>
            <w:r w:rsidRPr="00F06DE2">
              <w:rPr>
                <w:rFonts w:ascii="Times New Roman" w:hAnsi="Times New Roman" w:cs="Times New Roman"/>
                <w:szCs w:val="24"/>
                <w:lang w:val="ru-RU"/>
              </w:rPr>
              <w:t>1.</w:t>
            </w:r>
            <w:r w:rsidR="008B10E3" w:rsidRPr="00F06DE2">
              <w:rPr>
                <w:rFonts w:ascii="Times New Roman" w:hAnsi="Times New Roman" w:cs="Times New Roman"/>
                <w:szCs w:val="24"/>
                <w:lang w:val="ru-RU"/>
              </w:rPr>
              <w:t>0</w:t>
            </w:r>
            <w:r w:rsidRPr="00F06DE2">
              <w:rPr>
                <w:rFonts w:ascii="Times New Roman" w:hAnsi="Times New Roman" w:cs="Times New Roman"/>
                <w:szCs w:val="24"/>
                <w:lang w:val="ru-RU"/>
              </w:rPr>
              <w:t>1.2035</w:t>
            </w:r>
            <w:r w:rsidRPr="00F06DE2">
              <w:rPr>
                <w:rFonts w:ascii="Times New Roman" w:hAnsi="Times New Roman" w:cs="Times New Roman"/>
                <w:szCs w:val="24"/>
              </w:rPr>
              <w:t> </w:t>
            </w:r>
            <w:r w:rsidRPr="00F06DE2">
              <w:rPr>
                <w:rFonts w:ascii="Times New Roman" w:hAnsi="Times New Roman" w:cs="Times New Roman"/>
                <w:szCs w:val="24"/>
                <w:lang w:val="ru-RU"/>
              </w:rPr>
              <w:t>г., ако тези инсталации са монтирани на плавателни съдове, изградени след 1 октомври 1992</w:t>
            </w:r>
            <w:r w:rsidRPr="00F06DE2">
              <w:rPr>
                <w:rFonts w:ascii="Times New Roman" w:hAnsi="Times New Roman" w:cs="Times New Roman"/>
                <w:szCs w:val="24"/>
              </w:rPr>
              <w:t> </w:t>
            </w:r>
            <w:r w:rsidRPr="00F06DE2">
              <w:rPr>
                <w:rFonts w:ascii="Times New Roman" w:hAnsi="Times New Roman" w:cs="Times New Roman"/>
                <w:szCs w:val="24"/>
                <w:lang w:val="ru-RU"/>
              </w:rPr>
              <w:t>г.</w:t>
            </w:r>
          </w:p>
        </w:tc>
        <w:tc>
          <w:tcPr>
            <w:tcW w:w="1635" w:type="dxa"/>
            <w:shd w:val="clear" w:color="auto" w:fill="auto"/>
          </w:tcPr>
          <w:p w14:paraId="50852783"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7EA99673" w14:textId="77777777" w:rsidTr="000E4105">
        <w:trPr>
          <w:cantSplit/>
        </w:trPr>
        <w:tc>
          <w:tcPr>
            <w:tcW w:w="1342" w:type="dxa"/>
            <w:shd w:val="clear" w:color="auto" w:fill="auto"/>
          </w:tcPr>
          <w:p w14:paraId="6629AB2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13.06</w:t>
            </w:r>
          </w:p>
        </w:tc>
        <w:tc>
          <w:tcPr>
            <w:tcW w:w="1660" w:type="dxa"/>
            <w:shd w:val="clear" w:color="auto" w:fill="auto"/>
          </w:tcPr>
          <w:p w14:paraId="6797CC5C"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4587D36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Постоянно монтирани противопожарни системи за защита на обекти</w:t>
            </w:r>
          </w:p>
        </w:tc>
        <w:tc>
          <w:tcPr>
            <w:tcW w:w="6521" w:type="dxa"/>
            <w:shd w:val="clear" w:color="auto" w:fill="auto"/>
          </w:tcPr>
          <w:p w14:paraId="06C67C3A" w14:textId="77777777" w:rsidR="00271FA2" w:rsidRPr="00F06DE2" w:rsidRDefault="00D35E51">
            <w:pPr>
              <w:shd w:val="clear" w:color="auto" w:fill="FFFFFF"/>
              <w:tabs>
                <w:tab w:val="left" w:pos="263"/>
              </w:tabs>
              <w:spacing w:line="240" w:lineRule="atLeast"/>
              <w:ind w:left="263" w:hanging="263"/>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07987412" w14:textId="77777777" w:rsidR="00271FA2" w:rsidRPr="00F06DE2" w:rsidRDefault="00271FA2">
            <w:pPr>
              <w:spacing w:line="240" w:lineRule="atLeast"/>
              <w:rPr>
                <w:rFonts w:ascii="Times New Roman" w:hAnsi="Times New Roman" w:cs="Times New Roman"/>
                <w:lang w:val="ru-RU"/>
              </w:rPr>
            </w:pPr>
          </w:p>
        </w:tc>
      </w:tr>
      <w:tr w:rsidR="00271FA2" w:rsidRPr="00F06DE2" w14:paraId="200AD968" w14:textId="77777777" w:rsidTr="000E4105">
        <w:trPr>
          <w:cantSplit/>
        </w:trPr>
        <w:tc>
          <w:tcPr>
            <w:tcW w:w="1342" w:type="dxa"/>
            <w:tcBorders>
              <w:bottom w:val="single" w:sz="4" w:space="0" w:color="auto"/>
            </w:tcBorders>
            <w:shd w:val="clear" w:color="auto" w:fill="auto"/>
          </w:tcPr>
          <w:p w14:paraId="4AFDB7A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13.07</w:t>
            </w:r>
          </w:p>
        </w:tc>
        <w:tc>
          <w:tcPr>
            <w:tcW w:w="1660" w:type="dxa"/>
            <w:tcBorders>
              <w:bottom w:val="single" w:sz="4" w:space="0" w:color="auto"/>
            </w:tcBorders>
            <w:shd w:val="clear" w:color="auto" w:fill="auto"/>
          </w:tcPr>
          <w:p w14:paraId="027B87D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tcBorders>
              <w:bottom w:val="single" w:sz="4" w:space="0" w:color="auto"/>
            </w:tcBorders>
            <w:shd w:val="clear" w:color="auto" w:fill="auto"/>
          </w:tcPr>
          <w:p w14:paraId="58180F5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Прилагане на Европейския стандарт за корабни лодки</w:t>
            </w:r>
          </w:p>
        </w:tc>
        <w:tc>
          <w:tcPr>
            <w:tcW w:w="6521" w:type="dxa"/>
            <w:shd w:val="clear" w:color="auto" w:fill="auto"/>
          </w:tcPr>
          <w:p w14:paraId="2E113F3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66B3242E" w14:textId="246FC7BD"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корабните лодки, които са били на борда преди </w:t>
            </w:r>
            <w:r w:rsidR="00863C1B" w:rsidRPr="00F06DE2">
              <w:rPr>
                <w:rFonts w:ascii="Times New Roman" w:hAnsi="Times New Roman" w:cs="Times New Roman"/>
                <w:lang w:val="ru-RU"/>
              </w:rPr>
              <w:t>0</w:t>
            </w:r>
            <w:r w:rsidRPr="00F06DE2">
              <w:rPr>
                <w:rFonts w:ascii="Times New Roman" w:hAnsi="Times New Roman" w:cs="Times New Roman"/>
                <w:lang w:val="ru-RU"/>
              </w:rPr>
              <w:t>1.10.2003 г., може да се представи алтернативно доказателство, че те отговарят на изискванията за безопасност на член 32.06.</w:t>
            </w:r>
          </w:p>
        </w:tc>
        <w:tc>
          <w:tcPr>
            <w:tcW w:w="1635" w:type="dxa"/>
            <w:shd w:val="clear" w:color="auto" w:fill="auto"/>
          </w:tcPr>
          <w:p w14:paraId="017FD494" w14:textId="309D22E8" w:rsidR="00271FA2" w:rsidRPr="00F06DE2" w:rsidRDefault="00B1504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4A2A6A2A" w14:textId="77777777" w:rsidTr="000E4105">
        <w:trPr>
          <w:cantSplit/>
          <w:trHeight w:val="64"/>
        </w:trPr>
        <w:tc>
          <w:tcPr>
            <w:tcW w:w="6298" w:type="dxa"/>
            <w:gridSpan w:val="3"/>
            <w:shd w:val="clear" w:color="auto" w:fill="auto"/>
          </w:tcPr>
          <w:p w14:paraId="5B4321A1"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14</w:t>
            </w:r>
          </w:p>
        </w:tc>
        <w:tc>
          <w:tcPr>
            <w:tcW w:w="6521" w:type="dxa"/>
            <w:shd w:val="clear" w:color="auto" w:fill="auto"/>
          </w:tcPr>
          <w:p w14:paraId="396E0155"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4C35E1F6" w14:textId="77777777" w:rsidR="00271FA2" w:rsidRPr="00F06DE2" w:rsidRDefault="00271FA2">
            <w:pPr>
              <w:spacing w:line="240" w:lineRule="atLeast"/>
              <w:rPr>
                <w:rFonts w:ascii="Times New Roman" w:hAnsi="Times New Roman" w:cs="Times New Roman"/>
              </w:rPr>
            </w:pPr>
          </w:p>
        </w:tc>
      </w:tr>
      <w:tr w:rsidR="00271FA2" w:rsidRPr="00F06DE2" w14:paraId="739F9060" w14:textId="77777777" w:rsidTr="000E4105">
        <w:trPr>
          <w:cantSplit/>
        </w:trPr>
        <w:tc>
          <w:tcPr>
            <w:tcW w:w="1342" w:type="dxa"/>
            <w:tcBorders>
              <w:bottom w:val="nil"/>
            </w:tcBorders>
            <w:shd w:val="clear" w:color="auto" w:fill="auto"/>
          </w:tcPr>
          <w:p w14:paraId="5837B84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14.02</w:t>
            </w:r>
          </w:p>
        </w:tc>
        <w:tc>
          <w:tcPr>
            <w:tcW w:w="1660" w:type="dxa"/>
            <w:tcBorders>
              <w:bottom w:val="nil"/>
            </w:tcBorders>
            <w:shd w:val="clear" w:color="auto" w:fill="auto"/>
          </w:tcPr>
          <w:p w14:paraId="6CA47E2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7D87ED7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на външните краища на палуби, палубните проходи и други работни места</w:t>
            </w:r>
          </w:p>
        </w:tc>
        <w:tc>
          <w:tcPr>
            <w:tcW w:w="6521" w:type="dxa"/>
            <w:shd w:val="clear" w:color="auto" w:fill="auto"/>
          </w:tcPr>
          <w:p w14:paraId="62ADC5A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r w:rsidRPr="00F06DE2">
              <w:rPr>
                <w:rStyle w:val="FootnoteReference"/>
                <w:rFonts w:ascii="Times New Roman" w:hAnsi="Times New Roman" w:cs="Times New Roman"/>
              </w:rPr>
              <w:footnoteReference w:id="26"/>
            </w:r>
            <w:r w:rsidRPr="00F06DE2">
              <w:rPr>
                <w:rFonts w:ascii="Times New Roman" w:hAnsi="Times New Roman" w:cs="Times New Roman"/>
              </w:rPr>
              <w:t>.</w:t>
            </w:r>
          </w:p>
        </w:tc>
        <w:tc>
          <w:tcPr>
            <w:tcW w:w="1635" w:type="dxa"/>
            <w:shd w:val="clear" w:color="auto" w:fill="auto"/>
          </w:tcPr>
          <w:p w14:paraId="3F85306D" w14:textId="77777777" w:rsidR="00271FA2" w:rsidRPr="00F06DE2" w:rsidRDefault="00271FA2">
            <w:pPr>
              <w:spacing w:line="240" w:lineRule="atLeast"/>
              <w:rPr>
                <w:rFonts w:ascii="Times New Roman" w:hAnsi="Times New Roman" w:cs="Times New Roman"/>
              </w:rPr>
            </w:pPr>
          </w:p>
        </w:tc>
      </w:tr>
      <w:tr w:rsidR="00271FA2" w:rsidRPr="00F06DE2" w14:paraId="207A9282" w14:textId="77777777" w:rsidTr="000E4105">
        <w:trPr>
          <w:cantSplit/>
        </w:trPr>
        <w:tc>
          <w:tcPr>
            <w:tcW w:w="1342" w:type="dxa"/>
            <w:vMerge w:val="restart"/>
            <w:shd w:val="clear" w:color="auto" w:fill="auto"/>
          </w:tcPr>
          <w:p w14:paraId="4B72975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14.04</w:t>
            </w:r>
          </w:p>
        </w:tc>
        <w:tc>
          <w:tcPr>
            <w:tcW w:w="1660" w:type="dxa"/>
            <w:vMerge w:val="restart"/>
            <w:shd w:val="clear" w:color="auto" w:fill="auto"/>
          </w:tcPr>
          <w:p w14:paraId="062547D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vMerge w:val="restart"/>
            <w:shd w:val="clear" w:color="auto" w:fill="auto"/>
          </w:tcPr>
          <w:p w14:paraId="5F42BFE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Чистата ширина на палубните проходи</w:t>
            </w:r>
          </w:p>
        </w:tc>
        <w:tc>
          <w:tcPr>
            <w:tcW w:w="6521" w:type="dxa"/>
            <w:shd w:val="clear" w:color="auto" w:fill="auto"/>
          </w:tcPr>
          <w:p w14:paraId="1EC8D9DC" w14:textId="20590213"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w:t>
            </w:r>
            <w:r w:rsidRPr="00F06DE2">
              <w:rPr>
                <w:rFonts w:ascii="Times New Roman" w:hAnsi="Times New Roman" w:cs="Times New Roman"/>
                <w:i/>
                <w:lang w:val="ru-RU"/>
              </w:rPr>
              <w:t xml:space="preserve">с </w:t>
            </w:r>
            <m:oMath>
              <m:r>
                <w:rPr>
                  <w:rFonts w:ascii="Cambria Math" w:hAnsi="Cambria Math" w:cs="Times New Roman"/>
                </w:rPr>
                <m:t>B</m:t>
              </m:r>
              <m:r>
                <w:rPr>
                  <w:rFonts w:ascii="Cambria Math" w:hAnsi="Cambria Math" w:cs="Times New Roman"/>
                  <w:lang w:val="ru-RU"/>
                </w:rPr>
                <m:t xml:space="preserve"> ≤ 7,30 </m:t>
              </m:r>
              <m:r>
                <w:rPr>
                  <w:rFonts w:ascii="Cambria Math" w:hAnsi="Cambria Math" w:cs="Times New Roman"/>
                </w:rPr>
                <m:t>m</m:t>
              </m:r>
            </m:oMath>
            <w:r w:rsidRPr="00F06DE2">
              <w:rPr>
                <w:rFonts w:ascii="Times New Roman" w:hAnsi="Times New Roman" w:cs="Times New Roman"/>
                <w:lang w:val="ru-RU"/>
              </w:rPr>
              <w:t>: НЗР</w:t>
            </w:r>
            <w:r w:rsidRPr="00F06DE2">
              <w:rPr>
                <w:rStyle w:val="FootnoteReference"/>
                <w:rFonts w:ascii="Times New Roman" w:hAnsi="Times New Roman" w:cs="Times New Roman"/>
              </w:rPr>
              <w:footnoteReference w:id="27"/>
            </w:r>
          </w:p>
        </w:tc>
        <w:tc>
          <w:tcPr>
            <w:tcW w:w="1635" w:type="dxa"/>
            <w:shd w:val="clear" w:color="auto" w:fill="auto"/>
          </w:tcPr>
          <w:p w14:paraId="1A5A97B4" w14:textId="77777777" w:rsidR="00271FA2" w:rsidRPr="00F06DE2" w:rsidRDefault="00271FA2">
            <w:pPr>
              <w:spacing w:line="240" w:lineRule="atLeast"/>
              <w:rPr>
                <w:rFonts w:ascii="Times New Roman" w:hAnsi="Times New Roman" w:cs="Times New Roman"/>
                <w:lang w:val="ru-RU"/>
              </w:rPr>
            </w:pPr>
          </w:p>
        </w:tc>
      </w:tr>
      <w:tr w:rsidR="00271FA2" w:rsidRPr="00F06DE2" w14:paraId="2A0A22BB" w14:textId="77777777" w:rsidTr="000E4105">
        <w:trPr>
          <w:cantSplit/>
        </w:trPr>
        <w:tc>
          <w:tcPr>
            <w:tcW w:w="1342" w:type="dxa"/>
            <w:vMerge/>
            <w:shd w:val="clear" w:color="auto" w:fill="auto"/>
          </w:tcPr>
          <w:p w14:paraId="19534EF5" w14:textId="77777777" w:rsidR="00271FA2" w:rsidRPr="00F06DE2" w:rsidRDefault="00271FA2">
            <w:pPr>
              <w:spacing w:line="240" w:lineRule="atLeast"/>
              <w:jc w:val="both"/>
              <w:rPr>
                <w:rFonts w:ascii="Times New Roman" w:hAnsi="Times New Roman" w:cs="Times New Roman"/>
                <w:lang w:val="ru-RU"/>
              </w:rPr>
            </w:pPr>
          </w:p>
        </w:tc>
        <w:tc>
          <w:tcPr>
            <w:tcW w:w="1660" w:type="dxa"/>
            <w:vMerge/>
            <w:shd w:val="clear" w:color="auto" w:fill="auto"/>
          </w:tcPr>
          <w:p w14:paraId="2C08DCA7" w14:textId="77777777" w:rsidR="00271FA2" w:rsidRPr="00F06DE2" w:rsidRDefault="00271FA2">
            <w:pPr>
              <w:spacing w:line="240" w:lineRule="atLeast"/>
              <w:jc w:val="both"/>
              <w:rPr>
                <w:rFonts w:ascii="Times New Roman" w:hAnsi="Times New Roman" w:cs="Times New Roman"/>
                <w:lang w:val="ru-RU"/>
              </w:rPr>
            </w:pPr>
          </w:p>
        </w:tc>
        <w:tc>
          <w:tcPr>
            <w:tcW w:w="3296" w:type="dxa"/>
            <w:vMerge/>
            <w:shd w:val="clear" w:color="auto" w:fill="auto"/>
          </w:tcPr>
          <w:p w14:paraId="6B05CFBA" w14:textId="77777777" w:rsidR="00271FA2" w:rsidRPr="00F06DE2" w:rsidRDefault="00271FA2">
            <w:pPr>
              <w:spacing w:line="240" w:lineRule="atLeast"/>
              <w:jc w:val="both"/>
              <w:rPr>
                <w:rFonts w:ascii="Times New Roman" w:hAnsi="Times New Roman" w:cs="Times New Roman"/>
                <w:lang w:val="ru-RU"/>
              </w:rPr>
            </w:pPr>
          </w:p>
        </w:tc>
        <w:tc>
          <w:tcPr>
            <w:tcW w:w="6521" w:type="dxa"/>
            <w:shd w:val="clear" w:color="auto" w:fill="auto"/>
          </w:tcPr>
          <w:p w14:paraId="58FF035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с дължина </w:t>
            </w:r>
            <m:oMath>
              <m:r>
                <w:rPr>
                  <w:rFonts w:ascii="Cambria Math" w:hAnsi="Cambria Math" w:cs="Times New Roman"/>
                </w:rPr>
                <m:t>L</m:t>
              </m:r>
              <m:r>
                <w:rPr>
                  <w:rFonts w:ascii="Cambria Math" w:hAnsi="Cambria Math" w:cs="Times New Roman"/>
                  <w:lang w:val="ru-RU"/>
                </w:rPr>
                <m:t xml:space="preserve"> &lt;55 </m:t>
              </m:r>
              <m:r>
                <w:rPr>
                  <w:rFonts w:ascii="Cambria Math" w:hAnsi="Cambria Math" w:cs="Times New Roman"/>
                </w:rPr>
                <m:t>m</m:t>
              </m:r>
            </m:oMath>
            <w:r w:rsidRPr="00F06DE2">
              <w:rPr>
                <w:rFonts w:ascii="Times New Roman" w:eastAsiaTheme="minorEastAsia" w:hAnsi="Times New Roman" w:cs="Times New Roman"/>
                <w:lang w:val="ru-RU"/>
              </w:rPr>
              <w:t xml:space="preserve"> само с кърмови жилищни помещения </w:t>
            </w:r>
            <w:r w:rsidRPr="00F06DE2">
              <w:rPr>
                <w:rFonts w:ascii="Times New Roman" w:hAnsi="Times New Roman" w:cs="Times New Roman"/>
                <w:lang w:val="ru-RU"/>
              </w:rPr>
              <w:t>НЗР</w:t>
            </w:r>
            <w:r w:rsidRPr="00F06DE2">
              <w:rPr>
                <w:rFonts w:ascii="Times New Roman" w:hAnsi="Times New Roman" w:cs="Times New Roman"/>
                <w:vertAlign w:val="superscript"/>
                <w:lang w:val="ru-RU"/>
              </w:rPr>
              <w:t>2</w:t>
            </w:r>
          </w:p>
        </w:tc>
        <w:tc>
          <w:tcPr>
            <w:tcW w:w="1635" w:type="dxa"/>
            <w:shd w:val="clear" w:color="auto" w:fill="auto"/>
          </w:tcPr>
          <w:p w14:paraId="4A2FE251" w14:textId="77777777" w:rsidR="00271FA2" w:rsidRPr="00F06DE2" w:rsidRDefault="00271FA2">
            <w:pPr>
              <w:spacing w:line="240" w:lineRule="atLeast"/>
              <w:rPr>
                <w:rFonts w:ascii="Times New Roman" w:hAnsi="Times New Roman" w:cs="Times New Roman"/>
                <w:lang w:val="ru-RU"/>
              </w:rPr>
            </w:pPr>
          </w:p>
        </w:tc>
      </w:tr>
      <w:tr w:rsidR="00271FA2" w:rsidRPr="00F06DE2" w14:paraId="4C506B38" w14:textId="77777777" w:rsidTr="000E4105">
        <w:trPr>
          <w:cantSplit/>
        </w:trPr>
        <w:tc>
          <w:tcPr>
            <w:tcW w:w="1342" w:type="dxa"/>
            <w:vMerge/>
            <w:tcBorders>
              <w:bottom w:val="nil"/>
            </w:tcBorders>
            <w:shd w:val="clear" w:color="auto" w:fill="auto"/>
          </w:tcPr>
          <w:p w14:paraId="61E32996" w14:textId="77777777" w:rsidR="00271FA2" w:rsidRPr="00F06DE2" w:rsidRDefault="00271FA2">
            <w:pPr>
              <w:spacing w:line="240" w:lineRule="atLeast"/>
              <w:rPr>
                <w:rFonts w:ascii="Times New Roman" w:hAnsi="Times New Roman" w:cs="Times New Roman"/>
                <w:lang w:val="ru-RU"/>
              </w:rPr>
            </w:pPr>
          </w:p>
        </w:tc>
        <w:tc>
          <w:tcPr>
            <w:tcW w:w="1660" w:type="dxa"/>
            <w:vMerge/>
            <w:shd w:val="clear" w:color="auto" w:fill="auto"/>
          </w:tcPr>
          <w:p w14:paraId="62BF4E89" w14:textId="77777777" w:rsidR="00271FA2" w:rsidRPr="00F06DE2" w:rsidRDefault="00271FA2">
            <w:pPr>
              <w:spacing w:line="240" w:lineRule="atLeast"/>
              <w:rPr>
                <w:rFonts w:ascii="Times New Roman" w:hAnsi="Times New Roman" w:cs="Times New Roman"/>
                <w:lang w:val="ru-RU"/>
              </w:rPr>
            </w:pPr>
          </w:p>
        </w:tc>
        <w:tc>
          <w:tcPr>
            <w:tcW w:w="3296" w:type="dxa"/>
            <w:vMerge/>
            <w:shd w:val="clear" w:color="auto" w:fill="auto"/>
          </w:tcPr>
          <w:p w14:paraId="6034BEF3" w14:textId="77777777" w:rsidR="00271FA2" w:rsidRPr="00F06DE2" w:rsidRDefault="00271FA2">
            <w:pPr>
              <w:spacing w:line="240" w:lineRule="atLeast"/>
              <w:rPr>
                <w:rFonts w:ascii="Times New Roman" w:hAnsi="Times New Roman" w:cs="Times New Roman"/>
                <w:lang w:val="ru-RU"/>
              </w:rPr>
            </w:pPr>
          </w:p>
        </w:tc>
        <w:tc>
          <w:tcPr>
            <w:tcW w:w="6521" w:type="dxa"/>
            <w:shd w:val="clear" w:color="auto" w:fill="auto"/>
          </w:tcPr>
          <w:p w14:paraId="628E60A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всички други плавателни съдове:</w:t>
            </w:r>
          </w:p>
          <w:p w14:paraId="0B1F6BA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F716584" w14:textId="7DB3FAE7" w:rsidR="00271FA2" w:rsidRPr="00F06DE2" w:rsidRDefault="00B1504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66D3C06C" w14:textId="77777777" w:rsidTr="000E4105">
        <w:trPr>
          <w:cantSplit/>
        </w:trPr>
        <w:tc>
          <w:tcPr>
            <w:tcW w:w="1342" w:type="dxa"/>
            <w:tcBorders>
              <w:bottom w:val="nil"/>
            </w:tcBorders>
            <w:shd w:val="clear" w:color="auto" w:fill="auto"/>
          </w:tcPr>
          <w:p w14:paraId="442E1D4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14.05</w:t>
            </w:r>
          </w:p>
        </w:tc>
        <w:tc>
          <w:tcPr>
            <w:tcW w:w="1660" w:type="dxa"/>
            <w:shd w:val="clear" w:color="auto" w:fill="auto"/>
          </w:tcPr>
          <w:p w14:paraId="3825459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08EC93A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Достъп до работните места</w:t>
            </w:r>
          </w:p>
        </w:tc>
        <w:tc>
          <w:tcPr>
            <w:tcW w:w="6521" w:type="dxa"/>
            <w:shd w:val="clear" w:color="auto" w:fill="auto"/>
          </w:tcPr>
          <w:p w14:paraId="76E9D5B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3B8E271" w14:textId="13434B93" w:rsidR="00271FA2" w:rsidRPr="00F06DE2" w:rsidRDefault="00B1504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46082976" w14:textId="77777777" w:rsidTr="000E4105">
        <w:trPr>
          <w:cantSplit/>
        </w:trPr>
        <w:tc>
          <w:tcPr>
            <w:tcW w:w="1342" w:type="dxa"/>
            <w:tcBorders>
              <w:top w:val="nil"/>
            </w:tcBorders>
            <w:shd w:val="clear" w:color="auto" w:fill="auto"/>
          </w:tcPr>
          <w:p w14:paraId="6489D1FD"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1649C03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265EACC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Стълбища на работните места, където постоянно има хора</w:t>
            </w:r>
          </w:p>
        </w:tc>
        <w:tc>
          <w:tcPr>
            <w:tcW w:w="6521" w:type="dxa"/>
            <w:shd w:val="clear" w:color="auto" w:fill="auto"/>
          </w:tcPr>
          <w:p w14:paraId="1917491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D5C391F" w14:textId="65D30273"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1.2035 г.</w:t>
            </w:r>
          </w:p>
        </w:tc>
      </w:tr>
      <w:tr w:rsidR="00271FA2" w:rsidRPr="00F06DE2" w14:paraId="30F788CC" w14:textId="77777777" w:rsidTr="000E4105">
        <w:trPr>
          <w:cantSplit/>
        </w:trPr>
        <w:tc>
          <w:tcPr>
            <w:tcW w:w="1342" w:type="dxa"/>
            <w:tcBorders>
              <w:bottom w:val="single" w:sz="4" w:space="0" w:color="auto"/>
            </w:tcBorders>
            <w:shd w:val="clear" w:color="auto" w:fill="auto"/>
          </w:tcPr>
          <w:p w14:paraId="422B6D7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14.06</w:t>
            </w:r>
          </w:p>
        </w:tc>
        <w:tc>
          <w:tcPr>
            <w:tcW w:w="1660" w:type="dxa"/>
            <w:shd w:val="clear" w:color="auto" w:fill="auto"/>
          </w:tcPr>
          <w:p w14:paraId="1713EAD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7224135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Изходи и аварийни изходи</w:t>
            </w:r>
          </w:p>
        </w:tc>
        <w:tc>
          <w:tcPr>
            <w:tcW w:w="6521" w:type="dxa"/>
            <w:shd w:val="clear" w:color="auto" w:fill="auto"/>
          </w:tcPr>
          <w:p w14:paraId="6D05D78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42A2C70" w14:textId="07F633CD"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27736696" w14:textId="77777777" w:rsidTr="000E4105">
        <w:trPr>
          <w:cantSplit/>
        </w:trPr>
        <w:tc>
          <w:tcPr>
            <w:tcW w:w="1342" w:type="dxa"/>
            <w:tcBorders>
              <w:bottom w:val="nil"/>
            </w:tcBorders>
            <w:shd w:val="clear" w:color="auto" w:fill="auto"/>
          </w:tcPr>
          <w:p w14:paraId="2347D83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14.07</w:t>
            </w:r>
          </w:p>
        </w:tc>
        <w:tc>
          <w:tcPr>
            <w:tcW w:w="1660" w:type="dxa"/>
            <w:shd w:val="clear" w:color="auto" w:fill="auto"/>
          </w:tcPr>
          <w:p w14:paraId="163EBB9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2</w:t>
            </w:r>
            <w:r w:rsidRPr="00F06DE2">
              <w:rPr>
                <w:rFonts w:ascii="Times New Roman" w:hAnsi="Times New Roman" w:cs="Times New Roman"/>
                <w:vertAlign w:val="superscript"/>
              </w:rPr>
              <w:t>ро </w:t>
            </w:r>
            <w:r w:rsidRPr="00F06DE2">
              <w:rPr>
                <w:rFonts w:ascii="Times New Roman" w:hAnsi="Times New Roman" w:cs="Times New Roman"/>
              </w:rPr>
              <w:t>изречение</w:t>
            </w:r>
          </w:p>
        </w:tc>
        <w:tc>
          <w:tcPr>
            <w:tcW w:w="3296" w:type="dxa"/>
            <w:shd w:val="clear" w:color="auto" w:fill="auto"/>
          </w:tcPr>
          <w:p w14:paraId="7FAEF16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Подвижни стълби, стъпала и подобни приспособления</w:t>
            </w:r>
          </w:p>
        </w:tc>
        <w:tc>
          <w:tcPr>
            <w:tcW w:w="6521" w:type="dxa"/>
            <w:shd w:val="clear" w:color="auto" w:fill="auto"/>
          </w:tcPr>
          <w:p w14:paraId="757112E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DEF1132" w14:textId="41082365"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7154EA6A" w14:textId="77777777" w:rsidTr="000E4105">
        <w:trPr>
          <w:cantSplit/>
        </w:trPr>
        <w:tc>
          <w:tcPr>
            <w:tcW w:w="1342" w:type="dxa"/>
            <w:vMerge w:val="restart"/>
            <w:shd w:val="clear" w:color="auto" w:fill="auto"/>
          </w:tcPr>
          <w:p w14:paraId="11333D8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14.12</w:t>
            </w:r>
          </w:p>
        </w:tc>
        <w:tc>
          <w:tcPr>
            <w:tcW w:w="1660" w:type="dxa"/>
            <w:shd w:val="clear" w:color="auto" w:fill="auto"/>
          </w:tcPr>
          <w:p w14:paraId="75CCC80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4C236A4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Табелка на производителя</w:t>
            </w:r>
          </w:p>
        </w:tc>
        <w:tc>
          <w:tcPr>
            <w:tcW w:w="6521" w:type="dxa"/>
            <w:shd w:val="clear" w:color="auto" w:fill="auto"/>
          </w:tcPr>
          <w:p w14:paraId="05B1BBD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635" w:type="dxa"/>
            <w:shd w:val="clear" w:color="auto" w:fill="auto"/>
          </w:tcPr>
          <w:p w14:paraId="0E8076A9" w14:textId="5577F536"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437CD11B" w14:textId="77777777" w:rsidTr="000E4105">
        <w:trPr>
          <w:cantSplit/>
        </w:trPr>
        <w:tc>
          <w:tcPr>
            <w:tcW w:w="1342" w:type="dxa"/>
            <w:vMerge/>
            <w:shd w:val="clear" w:color="auto" w:fill="auto"/>
          </w:tcPr>
          <w:p w14:paraId="61B1C71D"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7C307EDF" w14:textId="77777777" w:rsidR="00271FA2" w:rsidRPr="00F06DE2" w:rsidRDefault="00D35E51">
            <w:pPr>
              <w:tabs>
                <w:tab w:val="left" w:pos="360"/>
              </w:tabs>
              <w:spacing w:line="240" w:lineRule="atLeast"/>
              <w:jc w:val="both"/>
              <w:rPr>
                <w:rFonts w:ascii="Times New Roman" w:hAnsi="Times New Roman" w:cs="Times New Roman"/>
              </w:rPr>
            </w:pPr>
            <w:r w:rsidRPr="00F06DE2">
              <w:rPr>
                <w:rFonts w:ascii="Times New Roman" w:hAnsi="Times New Roman" w:cs="Times New Roman"/>
              </w:rPr>
              <w:t xml:space="preserve">Точка 4 </w:t>
            </w:r>
            <w:r w:rsidRPr="00F06DE2">
              <w:rPr>
                <w:rFonts w:ascii="Times New Roman" w:hAnsi="Times New Roman" w:cs="Times New Roman"/>
              </w:rPr>
              <w:br/>
              <w:t>първо изречение</w:t>
            </w:r>
          </w:p>
        </w:tc>
        <w:tc>
          <w:tcPr>
            <w:tcW w:w="3296" w:type="dxa"/>
            <w:shd w:val="clear" w:color="auto" w:fill="auto"/>
          </w:tcPr>
          <w:p w14:paraId="6B801AF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Устройства за безопасност</w:t>
            </w:r>
          </w:p>
        </w:tc>
        <w:tc>
          <w:tcPr>
            <w:tcW w:w="6521" w:type="dxa"/>
            <w:shd w:val="clear" w:color="auto" w:fill="auto"/>
          </w:tcPr>
          <w:p w14:paraId="2C97233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не по-късно след първото подновяване на Корабното удостоверение за вътрешно корабоплаване след </w:t>
            </w:r>
          </w:p>
        </w:tc>
        <w:tc>
          <w:tcPr>
            <w:tcW w:w="1635" w:type="dxa"/>
            <w:shd w:val="clear" w:color="auto" w:fill="auto"/>
          </w:tcPr>
          <w:p w14:paraId="3D2EB259" w14:textId="277FD8DE"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705543DA" w14:textId="77777777" w:rsidTr="000E4105">
        <w:trPr>
          <w:cantSplit/>
          <w:trHeight w:val="252"/>
        </w:trPr>
        <w:tc>
          <w:tcPr>
            <w:tcW w:w="1342" w:type="dxa"/>
            <w:vMerge/>
            <w:shd w:val="clear" w:color="auto" w:fill="auto"/>
          </w:tcPr>
          <w:p w14:paraId="266ECB4E" w14:textId="77777777" w:rsidR="00271FA2" w:rsidRPr="00F06DE2" w:rsidRDefault="00271FA2">
            <w:pPr>
              <w:spacing w:line="240" w:lineRule="atLeast"/>
              <w:jc w:val="both"/>
              <w:rPr>
                <w:rFonts w:ascii="Times New Roman" w:hAnsi="Times New Roman" w:cs="Times New Roman"/>
              </w:rPr>
            </w:pPr>
          </w:p>
        </w:tc>
        <w:tc>
          <w:tcPr>
            <w:tcW w:w="1660" w:type="dxa"/>
            <w:vMerge w:val="restart"/>
            <w:shd w:val="clear" w:color="auto" w:fill="auto"/>
          </w:tcPr>
          <w:p w14:paraId="037A48A8" w14:textId="77777777" w:rsidR="00271FA2" w:rsidRPr="00F06DE2" w:rsidRDefault="00D35E51">
            <w:pPr>
              <w:tabs>
                <w:tab w:val="left" w:pos="0"/>
              </w:tabs>
              <w:spacing w:line="240" w:lineRule="atLeast"/>
              <w:ind w:right="-231"/>
              <w:jc w:val="both"/>
              <w:rPr>
                <w:rFonts w:ascii="Times New Roman" w:hAnsi="Times New Roman" w:cs="Times New Roman"/>
              </w:rPr>
            </w:pPr>
            <w:r w:rsidRPr="00F06DE2">
              <w:rPr>
                <w:rFonts w:ascii="Times New Roman" w:hAnsi="Times New Roman" w:cs="Times New Roman"/>
              </w:rPr>
              <w:t xml:space="preserve">Точка 4 </w:t>
            </w:r>
            <w:r w:rsidRPr="00F06DE2">
              <w:rPr>
                <w:rFonts w:ascii="Times New Roman" w:hAnsi="Times New Roman" w:cs="Times New Roman"/>
              </w:rPr>
              <w:br/>
              <w:t>второ изречение</w:t>
            </w:r>
          </w:p>
        </w:tc>
        <w:tc>
          <w:tcPr>
            <w:tcW w:w="3296" w:type="dxa"/>
            <w:vMerge w:val="restart"/>
            <w:shd w:val="clear" w:color="auto" w:fill="auto"/>
          </w:tcPr>
          <w:p w14:paraId="0541F5E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Безопасно разстояние</w:t>
            </w:r>
          </w:p>
        </w:tc>
        <w:tc>
          <w:tcPr>
            <w:tcW w:w="6521" w:type="dxa"/>
            <w:shd w:val="clear" w:color="auto" w:fill="auto"/>
          </w:tcPr>
          <w:p w14:paraId="4E8454F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35" w:type="dxa"/>
            <w:vMerge w:val="restart"/>
            <w:shd w:val="clear" w:color="auto" w:fill="auto"/>
          </w:tcPr>
          <w:p w14:paraId="45BCA00F" w14:textId="7890E187"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6F326D9E" w14:textId="77777777" w:rsidTr="000E4105">
        <w:trPr>
          <w:cantSplit/>
          <w:trHeight w:val="251"/>
        </w:trPr>
        <w:tc>
          <w:tcPr>
            <w:tcW w:w="1342" w:type="dxa"/>
            <w:vMerge/>
            <w:shd w:val="clear" w:color="auto" w:fill="auto"/>
          </w:tcPr>
          <w:p w14:paraId="1218EB53" w14:textId="77777777" w:rsidR="00271FA2" w:rsidRPr="00F06DE2" w:rsidRDefault="00271FA2">
            <w:pPr>
              <w:spacing w:line="240" w:lineRule="atLeast"/>
              <w:jc w:val="both"/>
              <w:rPr>
                <w:rFonts w:ascii="Times New Roman" w:hAnsi="Times New Roman" w:cs="Times New Roman"/>
              </w:rPr>
            </w:pPr>
          </w:p>
        </w:tc>
        <w:tc>
          <w:tcPr>
            <w:tcW w:w="1660" w:type="dxa"/>
            <w:vMerge/>
            <w:shd w:val="clear" w:color="auto" w:fill="auto"/>
          </w:tcPr>
          <w:p w14:paraId="61087CA2" w14:textId="77777777" w:rsidR="00271FA2" w:rsidRPr="00F06DE2" w:rsidRDefault="00271FA2">
            <w:pPr>
              <w:tabs>
                <w:tab w:val="left" w:pos="0"/>
              </w:tabs>
              <w:spacing w:line="240" w:lineRule="atLeast"/>
              <w:ind w:right="-231"/>
              <w:jc w:val="both"/>
              <w:rPr>
                <w:rFonts w:ascii="Times New Roman" w:hAnsi="Times New Roman" w:cs="Times New Roman"/>
              </w:rPr>
            </w:pPr>
          </w:p>
        </w:tc>
        <w:tc>
          <w:tcPr>
            <w:tcW w:w="3296" w:type="dxa"/>
            <w:vMerge/>
            <w:shd w:val="clear" w:color="auto" w:fill="auto"/>
          </w:tcPr>
          <w:p w14:paraId="1DA23682" w14:textId="77777777" w:rsidR="00271FA2" w:rsidRPr="00F06DE2" w:rsidRDefault="00271FA2">
            <w:pPr>
              <w:spacing w:line="240" w:lineRule="atLeast"/>
              <w:jc w:val="both"/>
              <w:rPr>
                <w:rFonts w:ascii="Times New Roman" w:hAnsi="Times New Roman" w:cs="Times New Roman"/>
              </w:rPr>
            </w:pPr>
          </w:p>
        </w:tc>
        <w:tc>
          <w:tcPr>
            <w:tcW w:w="6521" w:type="dxa"/>
            <w:shd w:val="clear" w:color="auto" w:fill="auto"/>
          </w:tcPr>
          <w:p w14:paraId="7311E30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Ако тази разпоредба не може да бъде изпълнена на практика след тази дата, местата, на които при работните места и проходите разстоянието на безопасност е по-малко от 0,50 </w:t>
            </w:r>
            <w:r w:rsidRPr="00F06DE2">
              <w:rPr>
                <w:rFonts w:ascii="Times New Roman" w:hAnsi="Times New Roman" w:cs="Times New Roman"/>
              </w:rPr>
              <w:t>m</w:t>
            </w:r>
            <w:r w:rsidRPr="00F06DE2">
              <w:rPr>
                <w:rFonts w:ascii="Times New Roman" w:hAnsi="Times New Roman" w:cs="Times New Roman"/>
                <w:lang w:val="ru-RU"/>
              </w:rPr>
              <w:t>, трябва да бъдат ясно обозначени като такива.</w:t>
            </w:r>
          </w:p>
        </w:tc>
        <w:tc>
          <w:tcPr>
            <w:tcW w:w="1635" w:type="dxa"/>
            <w:vMerge/>
            <w:shd w:val="clear" w:color="auto" w:fill="auto"/>
          </w:tcPr>
          <w:p w14:paraId="103F8087"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3439E052" w14:textId="77777777" w:rsidTr="000E4105">
        <w:trPr>
          <w:cantSplit/>
        </w:trPr>
        <w:tc>
          <w:tcPr>
            <w:tcW w:w="1342" w:type="dxa"/>
            <w:vMerge/>
            <w:shd w:val="clear" w:color="auto" w:fill="auto"/>
          </w:tcPr>
          <w:p w14:paraId="7CA43789" w14:textId="77777777" w:rsidR="00271FA2" w:rsidRPr="00F06DE2" w:rsidRDefault="00271FA2">
            <w:pPr>
              <w:spacing w:line="240" w:lineRule="atLeast"/>
              <w:jc w:val="both"/>
              <w:rPr>
                <w:rFonts w:ascii="Times New Roman" w:hAnsi="Times New Roman" w:cs="Times New Roman"/>
                <w:lang w:val="ru-RU"/>
              </w:rPr>
            </w:pPr>
          </w:p>
        </w:tc>
        <w:tc>
          <w:tcPr>
            <w:tcW w:w="1660" w:type="dxa"/>
            <w:shd w:val="clear" w:color="auto" w:fill="auto"/>
          </w:tcPr>
          <w:p w14:paraId="42F38DC3" w14:textId="77777777" w:rsidR="00271FA2" w:rsidRPr="00F06DE2" w:rsidRDefault="00D35E51">
            <w:pPr>
              <w:tabs>
                <w:tab w:val="left" w:pos="180"/>
              </w:tabs>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1492499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Безопасност при експлоатация</w:t>
            </w:r>
          </w:p>
        </w:tc>
        <w:tc>
          <w:tcPr>
            <w:tcW w:w="6521" w:type="dxa"/>
            <w:shd w:val="clear" w:color="auto" w:fill="auto"/>
          </w:tcPr>
          <w:p w14:paraId="4B1DA78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не по-късно след първото подновяване на Корабното удостоверение за вътрешно корабоплаване след</w:t>
            </w:r>
          </w:p>
        </w:tc>
        <w:tc>
          <w:tcPr>
            <w:tcW w:w="1635" w:type="dxa"/>
            <w:shd w:val="clear" w:color="auto" w:fill="auto"/>
          </w:tcPr>
          <w:p w14:paraId="4BAFD98D" w14:textId="6C2DF797"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6B6C3B53" w14:textId="77777777" w:rsidTr="000E4105">
        <w:trPr>
          <w:cantSplit/>
          <w:trHeight w:val="197"/>
        </w:trPr>
        <w:tc>
          <w:tcPr>
            <w:tcW w:w="1342" w:type="dxa"/>
            <w:vMerge/>
            <w:shd w:val="clear" w:color="auto" w:fill="auto"/>
          </w:tcPr>
          <w:p w14:paraId="2B5F8B6C" w14:textId="77777777" w:rsidR="00271FA2" w:rsidRPr="00F06DE2" w:rsidRDefault="00271FA2">
            <w:pPr>
              <w:spacing w:line="240" w:lineRule="atLeast"/>
              <w:jc w:val="both"/>
              <w:rPr>
                <w:rFonts w:ascii="Times New Roman" w:hAnsi="Times New Roman" w:cs="Times New Roman"/>
              </w:rPr>
            </w:pPr>
          </w:p>
        </w:tc>
        <w:tc>
          <w:tcPr>
            <w:tcW w:w="1660" w:type="dxa"/>
            <w:vMerge w:val="restart"/>
            <w:shd w:val="clear" w:color="auto" w:fill="auto"/>
          </w:tcPr>
          <w:p w14:paraId="0B747BB7" w14:textId="77777777" w:rsidR="00271FA2" w:rsidRPr="00F06DE2" w:rsidRDefault="00D35E51">
            <w:pPr>
              <w:tabs>
                <w:tab w:val="left" w:pos="720"/>
              </w:tabs>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vMerge w:val="restart"/>
            <w:shd w:val="clear" w:color="auto" w:fill="auto"/>
          </w:tcPr>
          <w:p w14:paraId="0EBAC7E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Инструкции за експлоатация</w:t>
            </w:r>
          </w:p>
        </w:tc>
        <w:tc>
          <w:tcPr>
            <w:tcW w:w="6521" w:type="dxa"/>
            <w:shd w:val="clear" w:color="auto" w:fill="auto"/>
          </w:tcPr>
          <w:p w14:paraId="2E942AD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не по-късно след първото подновяване на Корабното удостоверение за вътрешно корабоплаване след</w:t>
            </w:r>
          </w:p>
        </w:tc>
        <w:tc>
          <w:tcPr>
            <w:tcW w:w="1635" w:type="dxa"/>
            <w:vMerge w:val="restart"/>
            <w:shd w:val="clear" w:color="auto" w:fill="auto"/>
          </w:tcPr>
          <w:p w14:paraId="053C0A85" w14:textId="648D4B77"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4F6C7CDB" w14:textId="77777777" w:rsidTr="000E4105">
        <w:trPr>
          <w:cantSplit/>
          <w:trHeight w:val="197"/>
        </w:trPr>
        <w:tc>
          <w:tcPr>
            <w:tcW w:w="1342" w:type="dxa"/>
            <w:vMerge/>
            <w:shd w:val="clear" w:color="auto" w:fill="auto"/>
          </w:tcPr>
          <w:p w14:paraId="322CC308" w14:textId="77777777" w:rsidR="00271FA2" w:rsidRPr="00F06DE2" w:rsidRDefault="00271FA2">
            <w:pPr>
              <w:spacing w:line="240" w:lineRule="atLeast"/>
              <w:rPr>
                <w:rFonts w:ascii="Times New Roman" w:hAnsi="Times New Roman" w:cs="Times New Roman"/>
              </w:rPr>
            </w:pPr>
          </w:p>
        </w:tc>
        <w:tc>
          <w:tcPr>
            <w:tcW w:w="1660" w:type="dxa"/>
            <w:vMerge/>
            <w:shd w:val="clear" w:color="auto" w:fill="auto"/>
          </w:tcPr>
          <w:p w14:paraId="7A42E8B0" w14:textId="77777777" w:rsidR="00271FA2" w:rsidRPr="00F06DE2" w:rsidRDefault="00271FA2">
            <w:pPr>
              <w:tabs>
                <w:tab w:val="left" w:pos="720"/>
              </w:tabs>
              <w:spacing w:line="240" w:lineRule="atLeast"/>
              <w:rPr>
                <w:rFonts w:ascii="Times New Roman" w:hAnsi="Times New Roman" w:cs="Times New Roman"/>
              </w:rPr>
            </w:pPr>
          </w:p>
        </w:tc>
        <w:tc>
          <w:tcPr>
            <w:tcW w:w="3296" w:type="dxa"/>
            <w:vMerge/>
            <w:shd w:val="clear" w:color="auto" w:fill="auto"/>
          </w:tcPr>
          <w:p w14:paraId="73E59F85" w14:textId="77777777" w:rsidR="00271FA2" w:rsidRPr="00F06DE2" w:rsidRDefault="00271FA2">
            <w:pPr>
              <w:spacing w:line="240" w:lineRule="atLeast"/>
              <w:rPr>
                <w:rFonts w:ascii="Times New Roman" w:hAnsi="Times New Roman" w:cs="Times New Roman"/>
              </w:rPr>
            </w:pPr>
          </w:p>
        </w:tc>
        <w:tc>
          <w:tcPr>
            <w:tcW w:w="6521" w:type="dxa"/>
            <w:shd w:val="clear" w:color="auto" w:fill="auto"/>
          </w:tcPr>
          <w:p w14:paraId="4B25AD9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Ако след тази дата, инструкции за експлоатация не могат повече да бъдат получени от производителя, те се написват от специалист. След това, считано от първото изпитване в съответствие с член 14.12, точка 6, буква “в”, тези инструкции за експлоатация се одобряват от експерт, извършващ изпитването.</w:t>
            </w:r>
          </w:p>
        </w:tc>
        <w:tc>
          <w:tcPr>
            <w:tcW w:w="1635" w:type="dxa"/>
            <w:vMerge/>
            <w:shd w:val="clear" w:color="auto" w:fill="auto"/>
          </w:tcPr>
          <w:p w14:paraId="7F8293C9" w14:textId="77777777" w:rsidR="00271FA2" w:rsidRPr="00F06DE2" w:rsidRDefault="00271FA2">
            <w:pPr>
              <w:spacing w:line="240" w:lineRule="atLeast"/>
              <w:rPr>
                <w:rFonts w:ascii="Times New Roman" w:hAnsi="Times New Roman" w:cs="Times New Roman"/>
                <w:lang w:val="ru-RU"/>
              </w:rPr>
            </w:pPr>
          </w:p>
        </w:tc>
      </w:tr>
      <w:tr w:rsidR="00271FA2" w:rsidRPr="00F06DE2" w14:paraId="279E4984" w14:textId="77777777" w:rsidTr="000E4105">
        <w:trPr>
          <w:cantSplit/>
        </w:trPr>
        <w:tc>
          <w:tcPr>
            <w:tcW w:w="6298" w:type="dxa"/>
            <w:gridSpan w:val="3"/>
            <w:shd w:val="clear" w:color="auto" w:fill="auto"/>
          </w:tcPr>
          <w:p w14:paraId="0FFEBAB3"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15</w:t>
            </w:r>
          </w:p>
        </w:tc>
        <w:tc>
          <w:tcPr>
            <w:tcW w:w="6521" w:type="dxa"/>
            <w:shd w:val="clear" w:color="auto" w:fill="auto"/>
          </w:tcPr>
          <w:p w14:paraId="3A4D1009"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396D0D26" w14:textId="77777777" w:rsidR="00271FA2" w:rsidRPr="00F06DE2" w:rsidRDefault="00271FA2">
            <w:pPr>
              <w:spacing w:line="240" w:lineRule="atLeast"/>
              <w:rPr>
                <w:rFonts w:ascii="Times New Roman" w:hAnsi="Times New Roman" w:cs="Times New Roman"/>
              </w:rPr>
            </w:pPr>
          </w:p>
        </w:tc>
      </w:tr>
      <w:tr w:rsidR="00271FA2" w:rsidRPr="00F06DE2" w14:paraId="0EA436CF" w14:textId="77777777" w:rsidTr="000E4105">
        <w:trPr>
          <w:cantSplit/>
        </w:trPr>
        <w:tc>
          <w:tcPr>
            <w:tcW w:w="1342" w:type="dxa"/>
            <w:tcBorders>
              <w:bottom w:val="single" w:sz="4" w:space="0" w:color="auto"/>
            </w:tcBorders>
            <w:shd w:val="clear" w:color="auto" w:fill="auto"/>
          </w:tcPr>
          <w:p w14:paraId="7E77173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15.01</w:t>
            </w:r>
          </w:p>
        </w:tc>
        <w:tc>
          <w:tcPr>
            <w:tcW w:w="1660" w:type="dxa"/>
            <w:shd w:val="clear" w:color="auto" w:fill="auto"/>
          </w:tcPr>
          <w:p w14:paraId="39C2265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6844D82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Жилищни помещения за лицата, обичайно настанени на борда</w:t>
            </w:r>
          </w:p>
        </w:tc>
        <w:tc>
          <w:tcPr>
            <w:tcW w:w="6521" w:type="dxa"/>
            <w:shd w:val="clear" w:color="auto" w:fill="auto"/>
          </w:tcPr>
          <w:p w14:paraId="34252B2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0F47E76" w14:textId="0F6AE4D6"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4945C08A" w14:textId="77777777" w:rsidTr="000E4105">
        <w:trPr>
          <w:cantSplit/>
        </w:trPr>
        <w:tc>
          <w:tcPr>
            <w:tcW w:w="1342" w:type="dxa"/>
            <w:tcBorders>
              <w:bottom w:val="nil"/>
            </w:tcBorders>
            <w:shd w:val="clear" w:color="auto" w:fill="auto"/>
          </w:tcPr>
          <w:p w14:paraId="4CD750A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15.02</w:t>
            </w:r>
          </w:p>
        </w:tc>
        <w:tc>
          <w:tcPr>
            <w:tcW w:w="1660" w:type="dxa"/>
            <w:shd w:val="clear" w:color="auto" w:fill="auto"/>
          </w:tcPr>
          <w:p w14:paraId="7B3F06D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3BF73C7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Разположение на етажите</w:t>
            </w:r>
          </w:p>
        </w:tc>
        <w:tc>
          <w:tcPr>
            <w:tcW w:w="6521" w:type="dxa"/>
            <w:shd w:val="clear" w:color="auto" w:fill="auto"/>
          </w:tcPr>
          <w:p w14:paraId="16D704D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1E13F49" w14:textId="2DE9FA8B"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6607DDC5" w14:textId="77777777" w:rsidTr="000E4105">
        <w:trPr>
          <w:cantSplit/>
        </w:trPr>
        <w:tc>
          <w:tcPr>
            <w:tcW w:w="1342" w:type="dxa"/>
            <w:tcBorders>
              <w:top w:val="nil"/>
              <w:bottom w:val="nil"/>
            </w:tcBorders>
            <w:shd w:val="clear" w:color="auto" w:fill="auto"/>
          </w:tcPr>
          <w:p w14:paraId="13F852FD"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38947A1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331DB24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Жилищни помещения за общо ползване и спални каюти</w:t>
            </w:r>
          </w:p>
        </w:tc>
        <w:tc>
          <w:tcPr>
            <w:tcW w:w="6521" w:type="dxa"/>
            <w:shd w:val="clear" w:color="auto" w:fill="auto"/>
          </w:tcPr>
          <w:p w14:paraId="154E394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4F7EB39" w14:textId="2E22992F"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27F7D9F6" w14:textId="77777777" w:rsidTr="000E4105">
        <w:trPr>
          <w:cantSplit/>
        </w:trPr>
        <w:tc>
          <w:tcPr>
            <w:tcW w:w="1342" w:type="dxa"/>
            <w:tcBorders>
              <w:top w:val="nil"/>
              <w:bottom w:val="nil"/>
            </w:tcBorders>
            <w:shd w:val="clear" w:color="auto" w:fill="auto"/>
          </w:tcPr>
          <w:p w14:paraId="56D3B657"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1307176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12197E3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Височината на таваните в жилищните помещения</w:t>
            </w:r>
          </w:p>
        </w:tc>
        <w:tc>
          <w:tcPr>
            <w:tcW w:w="6521" w:type="dxa"/>
            <w:shd w:val="clear" w:color="auto" w:fill="auto"/>
          </w:tcPr>
          <w:p w14:paraId="770B0B5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DBF1E3C" w14:textId="3EEEEB78"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4BD1FA74" w14:textId="77777777" w:rsidTr="000E4105">
        <w:trPr>
          <w:cantSplit/>
        </w:trPr>
        <w:tc>
          <w:tcPr>
            <w:tcW w:w="1342" w:type="dxa"/>
            <w:tcBorders>
              <w:top w:val="nil"/>
              <w:bottom w:val="nil"/>
            </w:tcBorders>
            <w:shd w:val="clear" w:color="auto" w:fill="auto"/>
          </w:tcPr>
          <w:p w14:paraId="6A717713"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1DF2036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8</w:t>
            </w:r>
          </w:p>
        </w:tc>
        <w:tc>
          <w:tcPr>
            <w:tcW w:w="3296" w:type="dxa"/>
            <w:shd w:val="clear" w:color="auto" w:fill="auto"/>
          </w:tcPr>
          <w:p w14:paraId="68791E5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Свободна площ в жилищните помещения за общо ползване</w:t>
            </w:r>
          </w:p>
        </w:tc>
        <w:tc>
          <w:tcPr>
            <w:tcW w:w="6521" w:type="dxa"/>
            <w:shd w:val="clear" w:color="auto" w:fill="auto"/>
          </w:tcPr>
          <w:p w14:paraId="098D077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263DAEA" w14:textId="1EB03DAD"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7832E8D2" w14:textId="77777777" w:rsidTr="000E4105">
        <w:trPr>
          <w:cantSplit/>
        </w:trPr>
        <w:tc>
          <w:tcPr>
            <w:tcW w:w="1342" w:type="dxa"/>
            <w:tcBorders>
              <w:top w:val="nil"/>
              <w:bottom w:val="nil"/>
            </w:tcBorders>
            <w:shd w:val="clear" w:color="auto" w:fill="auto"/>
          </w:tcPr>
          <w:p w14:paraId="51821DDE"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07C0A37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044AFF1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Кубатура на помещенията</w:t>
            </w:r>
          </w:p>
        </w:tc>
        <w:tc>
          <w:tcPr>
            <w:tcW w:w="6521" w:type="dxa"/>
            <w:shd w:val="clear" w:color="auto" w:fill="auto"/>
          </w:tcPr>
          <w:p w14:paraId="4C2800E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5B83E18" w14:textId="05C92D8F"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7206DDC6" w14:textId="77777777" w:rsidTr="000E4105">
        <w:trPr>
          <w:cantSplit/>
        </w:trPr>
        <w:tc>
          <w:tcPr>
            <w:tcW w:w="1342" w:type="dxa"/>
            <w:tcBorders>
              <w:top w:val="nil"/>
              <w:bottom w:val="single" w:sz="4" w:space="0" w:color="auto"/>
            </w:tcBorders>
            <w:shd w:val="clear" w:color="auto" w:fill="auto"/>
          </w:tcPr>
          <w:p w14:paraId="541AB2C7"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1F496B1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10</w:t>
            </w:r>
          </w:p>
        </w:tc>
        <w:tc>
          <w:tcPr>
            <w:tcW w:w="3296" w:type="dxa"/>
            <w:shd w:val="clear" w:color="auto" w:fill="auto"/>
          </w:tcPr>
          <w:p w14:paraId="5E9F03D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Обем въздух на човек</w:t>
            </w:r>
          </w:p>
        </w:tc>
        <w:tc>
          <w:tcPr>
            <w:tcW w:w="6521" w:type="dxa"/>
            <w:shd w:val="clear" w:color="auto" w:fill="auto"/>
          </w:tcPr>
          <w:p w14:paraId="156218F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F643309" w14:textId="781EF244"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207CFA2F" w14:textId="77777777" w:rsidTr="000E4105">
        <w:trPr>
          <w:cantSplit/>
        </w:trPr>
        <w:tc>
          <w:tcPr>
            <w:tcW w:w="1342" w:type="dxa"/>
            <w:tcBorders>
              <w:top w:val="single" w:sz="4" w:space="0" w:color="auto"/>
              <w:bottom w:val="nil"/>
            </w:tcBorders>
            <w:shd w:val="clear" w:color="auto" w:fill="auto"/>
          </w:tcPr>
          <w:p w14:paraId="0C76D85D"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46571CC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11, буква “</w:t>
            </w:r>
            <w:r w:rsidRPr="00F06DE2">
              <w:rPr>
                <w:rFonts w:ascii="Times New Roman" w:hAnsi="Times New Roman" w:cs="Times New Roman"/>
              </w:rPr>
              <w:t>a</w:t>
            </w:r>
            <w:r w:rsidRPr="00F06DE2">
              <w:rPr>
                <w:rFonts w:ascii="Times New Roman" w:hAnsi="Times New Roman" w:cs="Times New Roman"/>
                <w:lang w:val="ru-RU"/>
              </w:rPr>
              <w:t>”</w:t>
            </w:r>
          </w:p>
          <w:p w14:paraId="16F7286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11, буква “в”</w:t>
            </w:r>
          </w:p>
          <w:p w14:paraId="22D6B14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11, буква “г”</w:t>
            </w:r>
          </w:p>
        </w:tc>
        <w:tc>
          <w:tcPr>
            <w:tcW w:w="3296" w:type="dxa"/>
            <w:shd w:val="clear" w:color="auto" w:fill="auto"/>
          </w:tcPr>
          <w:p w14:paraId="215C5FF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Размер на вратите</w:t>
            </w:r>
          </w:p>
          <w:p w14:paraId="6FDA58C6" w14:textId="77777777" w:rsidR="00271FA2" w:rsidRPr="00F06DE2" w:rsidRDefault="00D35E51">
            <w:pPr>
              <w:spacing w:line="240" w:lineRule="atLeast"/>
              <w:ind w:left="2"/>
              <w:jc w:val="both"/>
              <w:rPr>
                <w:rFonts w:ascii="Times New Roman" w:hAnsi="Times New Roman" w:cs="Times New Roman"/>
                <w:lang w:val="ru-RU"/>
              </w:rPr>
            </w:pPr>
            <w:r w:rsidRPr="00F06DE2">
              <w:rPr>
                <w:rFonts w:ascii="Times New Roman" w:hAnsi="Times New Roman" w:cs="Times New Roman"/>
                <w:lang w:val="ru-RU"/>
              </w:rPr>
              <w:t>Врати, които са разположени по пътищата за евакуация</w:t>
            </w:r>
          </w:p>
          <w:p w14:paraId="268CA02A" w14:textId="77777777" w:rsidR="00271FA2" w:rsidRPr="00F06DE2" w:rsidRDefault="00D35E51">
            <w:pPr>
              <w:spacing w:line="240" w:lineRule="atLeast"/>
              <w:ind w:left="2"/>
              <w:jc w:val="both"/>
              <w:rPr>
                <w:rFonts w:ascii="Times New Roman" w:hAnsi="Times New Roman" w:cs="Times New Roman"/>
                <w:lang w:val="ru-RU"/>
              </w:rPr>
            </w:pPr>
            <w:r w:rsidRPr="00F06DE2">
              <w:rPr>
                <w:rFonts w:ascii="Times New Roman" w:hAnsi="Times New Roman" w:cs="Times New Roman"/>
                <w:lang w:val="ru-RU"/>
              </w:rPr>
              <w:t>Врати, които са заключени отвътре</w:t>
            </w:r>
          </w:p>
        </w:tc>
        <w:tc>
          <w:tcPr>
            <w:tcW w:w="6521" w:type="dxa"/>
            <w:shd w:val="clear" w:color="auto" w:fill="auto"/>
          </w:tcPr>
          <w:p w14:paraId="7BE9250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3A3E591B" w14:textId="77777777" w:rsidR="00271FA2" w:rsidRPr="00F06DE2" w:rsidRDefault="00D35E51">
            <w:pPr>
              <w:spacing w:line="240" w:lineRule="atLeast"/>
              <w:ind w:left="2"/>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04ED3974" w14:textId="77777777" w:rsidR="00271FA2" w:rsidRPr="00F06DE2" w:rsidRDefault="00D35E51">
            <w:pPr>
              <w:spacing w:line="240" w:lineRule="atLeast"/>
              <w:ind w:left="2"/>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BC1C60C" w14:textId="625C5BF3"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p w14:paraId="73D788F5" w14:textId="77777777" w:rsidR="00271FA2" w:rsidRPr="00F06DE2" w:rsidRDefault="00271FA2">
            <w:pPr>
              <w:spacing w:line="240" w:lineRule="atLeast"/>
              <w:jc w:val="both"/>
              <w:rPr>
                <w:rFonts w:ascii="Times New Roman" w:hAnsi="Times New Roman" w:cs="Times New Roman"/>
              </w:rPr>
            </w:pPr>
          </w:p>
          <w:p w14:paraId="2EAE0D99" w14:textId="067A0F87"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430193" w:rsidRPr="00F06DE2">
              <w:rPr>
                <w:rFonts w:ascii="Times New Roman" w:hAnsi="Times New Roman" w:cs="Times New Roman"/>
              </w:rPr>
              <w:t>.</w:t>
            </w:r>
            <w:r w:rsidR="00D35E51" w:rsidRPr="00F06DE2">
              <w:rPr>
                <w:rFonts w:ascii="Times New Roman" w:hAnsi="Times New Roman" w:cs="Times New Roman"/>
              </w:rPr>
              <w:t>2052 г.</w:t>
            </w:r>
          </w:p>
          <w:p w14:paraId="664C8451" w14:textId="145A32CD"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430193" w:rsidRPr="00F06DE2">
              <w:rPr>
                <w:rFonts w:ascii="Times New Roman" w:hAnsi="Times New Roman" w:cs="Times New Roman"/>
              </w:rPr>
              <w:t>.</w:t>
            </w:r>
            <w:r w:rsidR="00D35E51" w:rsidRPr="00F06DE2">
              <w:rPr>
                <w:rFonts w:ascii="Times New Roman" w:hAnsi="Times New Roman" w:cs="Times New Roman"/>
              </w:rPr>
              <w:t>2027 г.</w:t>
            </w:r>
          </w:p>
        </w:tc>
      </w:tr>
      <w:tr w:rsidR="00271FA2" w:rsidRPr="00F06DE2" w14:paraId="1B072A45" w14:textId="77777777" w:rsidTr="000E4105">
        <w:trPr>
          <w:cantSplit/>
        </w:trPr>
        <w:tc>
          <w:tcPr>
            <w:tcW w:w="1342" w:type="dxa"/>
            <w:tcBorders>
              <w:top w:val="nil"/>
              <w:bottom w:val="nil"/>
            </w:tcBorders>
            <w:shd w:val="clear" w:color="auto" w:fill="auto"/>
          </w:tcPr>
          <w:p w14:paraId="75969FFB"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2E84684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12, букви “</w:t>
            </w:r>
            <w:r w:rsidRPr="00F06DE2">
              <w:rPr>
                <w:rFonts w:ascii="Times New Roman" w:hAnsi="Times New Roman" w:cs="Times New Roman"/>
              </w:rPr>
              <w:t>a</w:t>
            </w:r>
            <w:r w:rsidRPr="00F06DE2">
              <w:rPr>
                <w:rFonts w:ascii="Times New Roman" w:hAnsi="Times New Roman" w:cs="Times New Roman"/>
                <w:lang w:val="ru-RU"/>
              </w:rPr>
              <w:t>” и “б”</w:t>
            </w:r>
          </w:p>
        </w:tc>
        <w:tc>
          <w:tcPr>
            <w:tcW w:w="3296" w:type="dxa"/>
            <w:shd w:val="clear" w:color="auto" w:fill="auto"/>
          </w:tcPr>
          <w:p w14:paraId="28A05A0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Разположение на стълбищата</w:t>
            </w:r>
          </w:p>
        </w:tc>
        <w:tc>
          <w:tcPr>
            <w:tcW w:w="6521" w:type="dxa"/>
            <w:shd w:val="clear" w:color="auto" w:fill="auto"/>
          </w:tcPr>
          <w:p w14:paraId="2AABC02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9F65AD4" w14:textId="2DF7A0A9"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32DCEE7E" w14:textId="77777777" w:rsidTr="000E4105">
        <w:trPr>
          <w:cantSplit/>
        </w:trPr>
        <w:tc>
          <w:tcPr>
            <w:tcW w:w="1342" w:type="dxa"/>
            <w:tcBorders>
              <w:top w:val="nil"/>
            </w:tcBorders>
            <w:shd w:val="clear" w:color="auto" w:fill="auto"/>
          </w:tcPr>
          <w:p w14:paraId="7CED55D4"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3802B22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5A788F9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Тръби, пренасящи опасни газове или течности</w:t>
            </w:r>
          </w:p>
        </w:tc>
        <w:tc>
          <w:tcPr>
            <w:tcW w:w="6521" w:type="dxa"/>
            <w:shd w:val="clear" w:color="auto" w:fill="auto"/>
          </w:tcPr>
          <w:p w14:paraId="5E29EB3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930DEB8" w14:textId="38FABB96"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335C80BC" w14:textId="77777777" w:rsidTr="000E4105">
        <w:trPr>
          <w:cantSplit/>
        </w:trPr>
        <w:tc>
          <w:tcPr>
            <w:tcW w:w="1342" w:type="dxa"/>
            <w:shd w:val="clear" w:color="auto" w:fill="auto"/>
          </w:tcPr>
          <w:p w14:paraId="60B633B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15.03</w:t>
            </w:r>
          </w:p>
        </w:tc>
        <w:tc>
          <w:tcPr>
            <w:tcW w:w="1660" w:type="dxa"/>
            <w:shd w:val="clear" w:color="auto" w:fill="auto"/>
          </w:tcPr>
          <w:p w14:paraId="48EAA216"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6C58FF1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Санитарни съоръжения</w:t>
            </w:r>
          </w:p>
        </w:tc>
        <w:tc>
          <w:tcPr>
            <w:tcW w:w="6521" w:type="dxa"/>
            <w:shd w:val="clear" w:color="auto" w:fill="auto"/>
          </w:tcPr>
          <w:p w14:paraId="2D3EA15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6C08934" w14:textId="351A2C55"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51CABAED" w14:textId="77777777" w:rsidTr="000E4105">
        <w:trPr>
          <w:cantSplit/>
        </w:trPr>
        <w:tc>
          <w:tcPr>
            <w:tcW w:w="1342" w:type="dxa"/>
            <w:shd w:val="clear" w:color="auto" w:fill="auto"/>
          </w:tcPr>
          <w:p w14:paraId="7EC374E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15.04</w:t>
            </w:r>
          </w:p>
        </w:tc>
        <w:tc>
          <w:tcPr>
            <w:tcW w:w="1660" w:type="dxa"/>
            <w:shd w:val="clear" w:color="auto" w:fill="auto"/>
          </w:tcPr>
          <w:p w14:paraId="2B689C22"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673A928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Камбузи</w:t>
            </w:r>
          </w:p>
        </w:tc>
        <w:tc>
          <w:tcPr>
            <w:tcW w:w="6521" w:type="dxa"/>
            <w:shd w:val="clear" w:color="auto" w:fill="auto"/>
          </w:tcPr>
          <w:p w14:paraId="4D1323A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24B6766" w14:textId="3F16EAC4"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C92684" w:rsidRPr="00F06DE2" w14:paraId="63951070" w14:textId="77777777" w:rsidTr="000E4105">
        <w:trPr>
          <w:cantSplit/>
        </w:trPr>
        <w:tc>
          <w:tcPr>
            <w:tcW w:w="1342" w:type="dxa"/>
            <w:shd w:val="clear" w:color="auto" w:fill="auto"/>
          </w:tcPr>
          <w:p w14:paraId="6971EE23" w14:textId="77777777" w:rsidR="00C92684" w:rsidRPr="00F06DE2" w:rsidRDefault="00C92684" w:rsidP="00C92684">
            <w:pPr>
              <w:spacing w:line="240" w:lineRule="atLeast"/>
              <w:jc w:val="both"/>
              <w:rPr>
                <w:rFonts w:ascii="Times New Roman" w:hAnsi="Times New Roman" w:cs="Times New Roman"/>
              </w:rPr>
            </w:pPr>
            <w:r w:rsidRPr="00F06DE2">
              <w:rPr>
                <w:rFonts w:ascii="Times New Roman" w:hAnsi="Times New Roman" w:cs="Times New Roman"/>
              </w:rPr>
              <w:t>15.05</w:t>
            </w:r>
          </w:p>
        </w:tc>
        <w:tc>
          <w:tcPr>
            <w:tcW w:w="1660" w:type="dxa"/>
            <w:shd w:val="clear" w:color="auto" w:fill="auto"/>
          </w:tcPr>
          <w:p w14:paraId="52C99EF6" w14:textId="77777777" w:rsidR="00C92684" w:rsidRPr="00F06DE2" w:rsidRDefault="00C92684" w:rsidP="00C92684">
            <w:pPr>
              <w:spacing w:line="240" w:lineRule="atLeast"/>
              <w:jc w:val="both"/>
              <w:rPr>
                <w:rFonts w:ascii="Times New Roman" w:hAnsi="Times New Roman" w:cs="Times New Roman"/>
              </w:rPr>
            </w:pPr>
            <w:r w:rsidRPr="00F06DE2">
              <w:rPr>
                <w:rFonts w:ascii="Times New Roman" w:hAnsi="Times New Roman" w:cs="Times New Roman"/>
              </w:rPr>
              <w:t>(1) 2-ро изречение</w:t>
            </w:r>
          </w:p>
        </w:tc>
        <w:tc>
          <w:tcPr>
            <w:tcW w:w="3296" w:type="dxa"/>
            <w:shd w:val="clear" w:color="auto" w:fill="auto"/>
          </w:tcPr>
          <w:p w14:paraId="1BE432F0" w14:textId="77777777" w:rsidR="00C92684" w:rsidRPr="00F06DE2" w:rsidRDefault="00C92684" w:rsidP="00C92684">
            <w:pPr>
              <w:spacing w:line="240" w:lineRule="atLeast"/>
              <w:jc w:val="both"/>
              <w:rPr>
                <w:rFonts w:ascii="Times New Roman" w:hAnsi="Times New Roman" w:cs="Times New Roman"/>
                <w:lang w:val="ru-RU"/>
              </w:rPr>
            </w:pPr>
            <w:r w:rsidRPr="00F06DE2">
              <w:rPr>
                <w:rFonts w:ascii="Times New Roman" w:hAnsi="Times New Roman" w:cs="Times New Roman"/>
                <w:lang w:val="ru-RU"/>
              </w:rPr>
              <w:t>Гърловина за пълнене на резервоари за питейна вода</w:t>
            </w:r>
          </w:p>
        </w:tc>
        <w:tc>
          <w:tcPr>
            <w:tcW w:w="6521" w:type="dxa"/>
            <w:shd w:val="clear" w:color="auto" w:fill="auto"/>
          </w:tcPr>
          <w:p w14:paraId="1C82E66C" w14:textId="03204B3A" w:rsidR="00C92684" w:rsidRPr="00F06DE2" w:rsidRDefault="00C92684" w:rsidP="00C92684">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w:t>
            </w:r>
            <w:r w:rsidR="00106115" w:rsidRPr="00F06DE2">
              <w:rPr>
                <w:rFonts w:ascii="Times New Roman" w:hAnsi="Times New Roman" w:cs="Times New Roman"/>
                <w:lang w:val="ru-RU"/>
              </w:rPr>
              <w:t>корабното удостоверение  за вътрешно корабоплаване</w:t>
            </w:r>
            <w:r w:rsidRPr="00F06DE2">
              <w:rPr>
                <w:rFonts w:ascii="Times New Roman" w:hAnsi="Times New Roman" w:cs="Times New Roman"/>
                <w:lang w:val="ru-RU"/>
              </w:rPr>
              <w:t>.</w:t>
            </w:r>
          </w:p>
        </w:tc>
        <w:tc>
          <w:tcPr>
            <w:tcW w:w="1635" w:type="dxa"/>
            <w:shd w:val="clear" w:color="auto" w:fill="auto"/>
          </w:tcPr>
          <w:p w14:paraId="64CE90C7" w14:textId="77777777" w:rsidR="00C92684" w:rsidRPr="00F06DE2" w:rsidRDefault="00C92684" w:rsidP="00C92684">
            <w:pPr>
              <w:spacing w:line="240" w:lineRule="atLeast"/>
              <w:jc w:val="both"/>
              <w:rPr>
                <w:rFonts w:ascii="Times New Roman" w:hAnsi="Times New Roman" w:cs="Times New Roman"/>
                <w:lang w:val="ru-RU"/>
              </w:rPr>
            </w:pPr>
          </w:p>
        </w:tc>
      </w:tr>
      <w:tr w:rsidR="00271FA2" w:rsidRPr="00F06DE2" w14:paraId="52DCB16C" w14:textId="77777777" w:rsidTr="000E4105">
        <w:trPr>
          <w:cantSplit/>
        </w:trPr>
        <w:tc>
          <w:tcPr>
            <w:tcW w:w="1342" w:type="dxa"/>
            <w:shd w:val="clear" w:color="auto" w:fill="auto"/>
          </w:tcPr>
          <w:p w14:paraId="68A472F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15.06</w:t>
            </w:r>
          </w:p>
        </w:tc>
        <w:tc>
          <w:tcPr>
            <w:tcW w:w="1660" w:type="dxa"/>
            <w:shd w:val="clear" w:color="auto" w:fill="auto"/>
          </w:tcPr>
          <w:p w14:paraId="07DBB5F1"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12DF9F38" w14:textId="77777777" w:rsidR="00271FA2" w:rsidRPr="00F06DE2" w:rsidRDefault="00D35E51">
            <w:pPr>
              <w:spacing w:line="240" w:lineRule="atLeast"/>
              <w:jc w:val="both"/>
              <w:rPr>
                <w:rFonts w:ascii="Times New Roman" w:hAnsi="Times New Roman" w:cs="Times New Roman"/>
                <w:color w:val="000000"/>
              </w:rPr>
            </w:pPr>
            <w:r w:rsidRPr="00F06DE2">
              <w:rPr>
                <w:rFonts w:ascii="Times New Roman" w:hAnsi="Times New Roman" w:cs="Times New Roman"/>
              </w:rPr>
              <w:t>Отопление и вентилация</w:t>
            </w:r>
          </w:p>
        </w:tc>
        <w:tc>
          <w:tcPr>
            <w:tcW w:w="6521" w:type="dxa"/>
            <w:shd w:val="clear" w:color="auto" w:fill="auto"/>
          </w:tcPr>
          <w:p w14:paraId="27EBD17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CCF2C21" w14:textId="2F7EF18C"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2C3EFE2C" w14:textId="77777777" w:rsidTr="000E4105">
        <w:trPr>
          <w:cantSplit/>
        </w:trPr>
        <w:tc>
          <w:tcPr>
            <w:tcW w:w="1342" w:type="dxa"/>
            <w:shd w:val="clear" w:color="auto" w:fill="auto"/>
          </w:tcPr>
          <w:p w14:paraId="778F685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15.07</w:t>
            </w:r>
          </w:p>
        </w:tc>
        <w:tc>
          <w:tcPr>
            <w:tcW w:w="1660" w:type="dxa"/>
            <w:shd w:val="clear" w:color="auto" w:fill="auto"/>
          </w:tcPr>
          <w:p w14:paraId="53A3490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2-ро</w:t>
            </w:r>
            <w:r w:rsidRPr="00F06DE2">
              <w:rPr>
                <w:rFonts w:ascii="Times New Roman" w:hAnsi="Times New Roman" w:cs="Times New Roman"/>
                <w:vertAlign w:val="superscript"/>
              </w:rPr>
              <w:t xml:space="preserve"> </w:t>
            </w:r>
            <w:r w:rsidRPr="00F06DE2">
              <w:rPr>
                <w:rFonts w:ascii="Times New Roman" w:hAnsi="Times New Roman" w:cs="Times New Roman"/>
              </w:rPr>
              <w:t>изречение</w:t>
            </w:r>
          </w:p>
        </w:tc>
        <w:tc>
          <w:tcPr>
            <w:tcW w:w="3296" w:type="dxa"/>
            <w:shd w:val="clear" w:color="auto" w:fill="auto"/>
          </w:tcPr>
          <w:p w14:paraId="3A351644" w14:textId="77777777" w:rsidR="00271FA2" w:rsidRPr="00F06DE2" w:rsidRDefault="00D35E51">
            <w:pPr>
              <w:spacing w:line="240" w:lineRule="atLeast"/>
              <w:jc w:val="both"/>
              <w:rPr>
                <w:rFonts w:ascii="Times New Roman" w:hAnsi="Times New Roman" w:cs="Times New Roman"/>
                <w:color w:val="000000"/>
                <w:lang w:val="ru-RU"/>
              </w:rPr>
            </w:pPr>
            <w:r w:rsidRPr="00F06DE2">
              <w:rPr>
                <w:rFonts w:ascii="Times New Roman" w:hAnsi="Times New Roman" w:cs="Times New Roman"/>
                <w:lang w:val="ru-RU"/>
              </w:rPr>
              <w:t>Други съоръжения в жилищните помещения</w:t>
            </w:r>
          </w:p>
        </w:tc>
        <w:tc>
          <w:tcPr>
            <w:tcW w:w="6521" w:type="dxa"/>
            <w:shd w:val="clear" w:color="auto" w:fill="auto"/>
          </w:tcPr>
          <w:p w14:paraId="21A3F33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9B55307" w14:textId="6BDAE249"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69E5E1CC" w14:textId="77777777" w:rsidTr="000E4105">
        <w:trPr>
          <w:cantSplit/>
          <w:trHeight w:val="70"/>
        </w:trPr>
        <w:tc>
          <w:tcPr>
            <w:tcW w:w="6298" w:type="dxa"/>
            <w:gridSpan w:val="3"/>
            <w:shd w:val="clear" w:color="auto" w:fill="auto"/>
          </w:tcPr>
          <w:p w14:paraId="07A9B488"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t>ГЛАВА 18</w:t>
            </w:r>
          </w:p>
        </w:tc>
        <w:tc>
          <w:tcPr>
            <w:tcW w:w="6521" w:type="dxa"/>
            <w:shd w:val="clear" w:color="auto" w:fill="auto"/>
          </w:tcPr>
          <w:p w14:paraId="147F7104"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781F7559" w14:textId="77777777" w:rsidR="00271FA2" w:rsidRPr="00F06DE2" w:rsidRDefault="00271FA2">
            <w:pPr>
              <w:spacing w:line="240" w:lineRule="atLeast"/>
              <w:rPr>
                <w:rFonts w:ascii="Times New Roman" w:hAnsi="Times New Roman" w:cs="Times New Roman"/>
              </w:rPr>
            </w:pPr>
          </w:p>
        </w:tc>
      </w:tr>
      <w:tr w:rsidR="00D0583D" w:rsidRPr="00F06DE2" w14:paraId="769557B3" w14:textId="77777777" w:rsidTr="000E4105">
        <w:trPr>
          <w:cantSplit/>
        </w:trPr>
        <w:tc>
          <w:tcPr>
            <w:tcW w:w="1342" w:type="dxa"/>
            <w:vMerge w:val="restart"/>
            <w:shd w:val="clear" w:color="auto" w:fill="auto"/>
          </w:tcPr>
          <w:p w14:paraId="331442BA" w14:textId="77777777" w:rsidR="00D0583D" w:rsidRPr="00F06DE2" w:rsidRDefault="00D0583D">
            <w:pPr>
              <w:spacing w:line="240" w:lineRule="atLeast"/>
              <w:jc w:val="both"/>
              <w:rPr>
                <w:rFonts w:ascii="Times New Roman" w:hAnsi="Times New Roman" w:cs="Times New Roman"/>
              </w:rPr>
            </w:pPr>
            <w:r w:rsidRPr="00F06DE2">
              <w:rPr>
                <w:rFonts w:ascii="Times New Roman" w:hAnsi="Times New Roman" w:cs="Times New Roman"/>
              </w:rPr>
              <w:t>18.01</w:t>
            </w:r>
          </w:p>
        </w:tc>
        <w:tc>
          <w:tcPr>
            <w:tcW w:w="1660" w:type="dxa"/>
            <w:vMerge w:val="restart"/>
            <w:shd w:val="clear" w:color="auto" w:fill="auto"/>
          </w:tcPr>
          <w:p w14:paraId="2B509776" w14:textId="08F2B289" w:rsidR="00D0583D" w:rsidRPr="00F06DE2" w:rsidRDefault="00D0583D" w:rsidP="00D0583D">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2, таблици 1 и 2, и точка 7</w:t>
            </w:r>
          </w:p>
        </w:tc>
        <w:tc>
          <w:tcPr>
            <w:tcW w:w="3296" w:type="dxa"/>
            <w:vMerge w:val="restart"/>
            <w:shd w:val="clear" w:color="auto" w:fill="auto"/>
          </w:tcPr>
          <w:p w14:paraId="4DCF650E" w14:textId="61B7E9AB" w:rsidR="00D0583D" w:rsidRPr="00F06DE2" w:rsidRDefault="00D0583D" w:rsidP="00D0583D">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Пределни/контролни стойности и одобрение на типа</w:t>
            </w:r>
          </w:p>
        </w:tc>
        <w:tc>
          <w:tcPr>
            <w:tcW w:w="6521" w:type="dxa"/>
            <w:shd w:val="clear" w:color="auto" w:fill="auto"/>
          </w:tcPr>
          <w:p w14:paraId="2864A61A" w14:textId="77777777" w:rsidR="00D0583D" w:rsidRPr="00F06DE2" w:rsidRDefault="00D0583D">
            <w:pPr>
              <w:spacing w:line="240" w:lineRule="atLeast"/>
              <w:jc w:val="both"/>
              <w:rPr>
                <w:rFonts w:ascii="Times New Roman" w:hAnsi="Times New Roman" w:cs="Times New Roman"/>
              </w:rPr>
            </w:pPr>
            <w:r w:rsidRPr="00F06DE2">
              <w:rPr>
                <w:rFonts w:ascii="Times New Roman" w:hAnsi="Times New Roman" w:cs="Times New Roman"/>
              </w:rPr>
              <w:t>НЗР, при условие че</w:t>
            </w:r>
          </w:p>
          <w:p w14:paraId="3844E905" w14:textId="0624922D" w:rsidR="00D0583D" w:rsidRPr="00F06DE2" w:rsidRDefault="00D0583D">
            <w:pPr>
              <w:numPr>
                <w:ilvl w:val="0"/>
                <w:numId w:val="37"/>
              </w:num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 xml:space="preserve">пределните и контролните стойности не надвишават двойно стойностите съгласно етап </w:t>
            </w:r>
            <w:r w:rsidRPr="00F06DE2">
              <w:rPr>
                <w:rFonts w:ascii="Times New Roman" w:hAnsi="Times New Roman" w:cs="Times New Roman"/>
              </w:rPr>
              <w:t>II</w:t>
            </w:r>
            <w:r w:rsidR="0056012F" w:rsidRPr="00F06DE2">
              <w:rPr>
                <w:rFonts w:ascii="Times New Roman" w:hAnsi="Times New Roman" w:cs="Times New Roman"/>
                <w:lang w:val="ru-RU"/>
              </w:rPr>
              <w:t>,</w:t>
            </w:r>
          </w:p>
          <w:p w14:paraId="5831AD1C" w14:textId="703AC558" w:rsidR="00D0583D" w:rsidRPr="00F06DE2" w:rsidRDefault="00D0583D" w:rsidP="0056012F">
            <w:p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 xml:space="preserve">б) бордовата станция за пречистване на отпадъчни води има сертификат от производителя или от експерт, който потвърждава, че тя може да се справи с обичайните видове натоварване на борда на плавателното средство; </w:t>
            </w:r>
          </w:p>
        </w:tc>
        <w:tc>
          <w:tcPr>
            <w:tcW w:w="1635" w:type="dxa"/>
            <w:shd w:val="clear" w:color="auto" w:fill="auto"/>
          </w:tcPr>
          <w:p w14:paraId="04CAE3E4" w14:textId="77777777" w:rsidR="00D0583D" w:rsidRPr="00F06DE2" w:rsidRDefault="00D0583D">
            <w:pPr>
              <w:spacing w:line="240" w:lineRule="atLeast"/>
              <w:jc w:val="both"/>
              <w:rPr>
                <w:rFonts w:ascii="Times New Roman" w:hAnsi="Times New Roman" w:cs="Times New Roman"/>
                <w:lang w:val="ru-RU"/>
              </w:rPr>
            </w:pPr>
          </w:p>
        </w:tc>
      </w:tr>
      <w:tr w:rsidR="00D0583D" w:rsidRPr="00F06DE2" w14:paraId="7F17708A" w14:textId="77777777" w:rsidTr="000E4105">
        <w:trPr>
          <w:cantSplit/>
        </w:trPr>
        <w:tc>
          <w:tcPr>
            <w:tcW w:w="1342" w:type="dxa"/>
            <w:vMerge/>
            <w:shd w:val="clear" w:color="auto" w:fill="auto"/>
          </w:tcPr>
          <w:p w14:paraId="5A525EDE" w14:textId="77777777" w:rsidR="00D0583D" w:rsidRPr="00F06DE2" w:rsidRDefault="00D0583D">
            <w:pPr>
              <w:spacing w:line="240" w:lineRule="atLeast"/>
              <w:jc w:val="both"/>
              <w:rPr>
                <w:rFonts w:ascii="Times New Roman" w:hAnsi="Times New Roman" w:cs="Times New Roman"/>
                <w:lang w:val="ru-RU"/>
              </w:rPr>
            </w:pPr>
          </w:p>
        </w:tc>
        <w:tc>
          <w:tcPr>
            <w:tcW w:w="1660" w:type="dxa"/>
            <w:vMerge/>
            <w:shd w:val="clear" w:color="auto" w:fill="auto"/>
          </w:tcPr>
          <w:p w14:paraId="250E59C5" w14:textId="77777777" w:rsidR="00D0583D" w:rsidRPr="00F06DE2" w:rsidRDefault="00D0583D">
            <w:pPr>
              <w:spacing w:line="240" w:lineRule="atLeast"/>
              <w:jc w:val="both"/>
              <w:rPr>
                <w:rFonts w:ascii="Times New Roman" w:hAnsi="Times New Roman" w:cs="Times New Roman"/>
                <w:lang w:val="ru-RU"/>
              </w:rPr>
            </w:pPr>
          </w:p>
        </w:tc>
        <w:tc>
          <w:tcPr>
            <w:tcW w:w="3296" w:type="dxa"/>
            <w:vMerge/>
            <w:shd w:val="clear" w:color="auto" w:fill="auto"/>
          </w:tcPr>
          <w:p w14:paraId="32969C5B" w14:textId="77777777" w:rsidR="00D0583D" w:rsidRPr="00F06DE2" w:rsidRDefault="00D0583D">
            <w:pPr>
              <w:tabs>
                <w:tab w:val="left" w:pos="1080"/>
              </w:tabs>
              <w:spacing w:line="240" w:lineRule="atLeast"/>
              <w:jc w:val="both"/>
              <w:rPr>
                <w:rFonts w:ascii="Times New Roman" w:hAnsi="Times New Roman" w:cs="Times New Roman"/>
                <w:lang w:val="ru-RU"/>
              </w:rPr>
            </w:pPr>
          </w:p>
        </w:tc>
        <w:tc>
          <w:tcPr>
            <w:tcW w:w="6521" w:type="dxa"/>
            <w:shd w:val="clear" w:color="auto" w:fill="auto"/>
          </w:tcPr>
          <w:p w14:paraId="56F914F7" w14:textId="77777777" w:rsidR="00D0583D" w:rsidRPr="00F06DE2" w:rsidRDefault="00D0583D">
            <w:pPr>
              <w:spacing w:line="240" w:lineRule="atLeast"/>
              <w:jc w:val="both"/>
              <w:rPr>
                <w:rFonts w:ascii="Times New Roman" w:hAnsi="Times New Roman" w:cs="Times New Roman"/>
                <w:lang w:val="ru-RU"/>
              </w:rPr>
            </w:pPr>
            <w:r w:rsidRPr="00F06DE2">
              <w:rPr>
                <w:rFonts w:ascii="Times New Roman" w:hAnsi="Times New Roman" w:cs="Times New Roman"/>
                <w:lang w:val="ru-RU"/>
              </w:rPr>
              <w:t>Бордови станции за пречистване на отпадъчни води, които са одобрени на или след 1 декември 2011 г. съгласно изискванията на Резолюция 2010-</w:t>
            </w:r>
            <w:r w:rsidRPr="00F06DE2">
              <w:rPr>
                <w:rFonts w:ascii="Times New Roman" w:hAnsi="Times New Roman" w:cs="Times New Roman"/>
              </w:rPr>
              <w:t>II</w:t>
            </w:r>
            <w:r w:rsidRPr="00F06DE2">
              <w:rPr>
                <w:rFonts w:ascii="Times New Roman" w:hAnsi="Times New Roman" w:cs="Times New Roman"/>
                <w:lang w:val="ru-RU"/>
              </w:rPr>
              <w:t xml:space="preserve">-27 на ЦККР (етап </w:t>
            </w:r>
            <w:r w:rsidRPr="00F06DE2">
              <w:rPr>
                <w:rFonts w:ascii="Times New Roman" w:hAnsi="Times New Roman" w:cs="Times New Roman"/>
              </w:rPr>
              <w:t>II</w:t>
            </w:r>
            <w:r w:rsidRPr="00F06DE2">
              <w:rPr>
                <w:rFonts w:ascii="Times New Roman" w:hAnsi="Times New Roman" w:cs="Times New Roman"/>
                <w:lang w:val="ru-RU"/>
              </w:rPr>
              <w:t>), могат да продължат да бъдат монтирани и използвани.</w:t>
            </w:r>
          </w:p>
        </w:tc>
        <w:tc>
          <w:tcPr>
            <w:tcW w:w="1635" w:type="dxa"/>
            <w:shd w:val="clear" w:color="auto" w:fill="auto"/>
          </w:tcPr>
          <w:p w14:paraId="2CA633A1" w14:textId="77777777" w:rsidR="00D0583D" w:rsidRPr="00F06DE2" w:rsidRDefault="00D0583D">
            <w:pPr>
              <w:spacing w:line="240" w:lineRule="atLeast"/>
              <w:jc w:val="both"/>
              <w:rPr>
                <w:rFonts w:ascii="Times New Roman" w:hAnsi="Times New Roman" w:cs="Times New Roman"/>
                <w:lang w:val="ru-RU"/>
              </w:rPr>
            </w:pPr>
          </w:p>
        </w:tc>
      </w:tr>
      <w:tr w:rsidR="00D0583D" w:rsidRPr="00F06DE2" w14:paraId="29F07597" w14:textId="77777777" w:rsidTr="000E4105">
        <w:trPr>
          <w:cantSplit/>
        </w:trPr>
        <w:tc>
          <w:tcPr>
            <w:tcW w:w="1342" w:type="dxa"/>
            <w:vMerge/>
            <w:shd w:val="clear" w:color="auto" w:fill="auto"/>
          </w:tcPr>
          <w:p w14:paraId="41456228" w14:textId="77777777" w:rsidR="00D0583D" w:rsidRPr="00F06DE2" w:rsidRDefault="00D0583D">
            <w:pPr>
              <w:spacing w:line="240" w:lineRule="atLeast"/>
              <w:rPr>
                <w:rFonts w:ascii="Times New Roman" w:hAnsi="Times New Roman" w:cs="Times New Roman"/>
                <w:lang w:val="ru-RU"/>
              </w:rPr>
            </w:pPr>
          </w:p>
        </w:tc>
        <w:tc>
          <w:tcPr>
            <w:tcW w:w="1660" w:type="dxa"/>
            <w:vMerge/>
            <w:shd w:val="clear" w:color="auto" w:fill="auto"/>
          </w:tcPr>
          <w:p w14:paraId="1DD37478" w14:textId="77777777" w:rsidR="00D0583D" w:rsidRPr="00F06DE2" w:rsidRDefault="00D0583D">
            <w:pPr>
              <w:spacing w:line="240" w:lineRule="atLeast"/>
              <w:rPr>
                <w:rFonts w:ascii="Times New Roman" w:hAnsi="Times New Roman" w:cs="Times New Roman"/>
                <w:lang w:val="ru-RU"/>
              </w:rPr>
            </w:pPr>
          </w:p>
        </w:tc>
        <w:tc>
          <w:tcPr>
            <w:tcW w:w="3296" w:type="dxa"/>
            <w:vMerge/>
            <w:shd w:val="clear" w:color="auto" w:fill="auto"/>
          </w:tcPr>
          <w:p w14:paraId="5427F490" w14:textId="77777777" w:rsidR="00D0583D" w:rsidRPr="00F06DE2" w:rsidRDefault="00D0583D">
            <w:pPr>
              <w:tabs>
                <w:tab w:val="left" w:pos="1080"/>
              </w:tabs>
              <w:spacing w:line="240" w:lineRule="atLeast"/>
              <w:rPr>
                <w:rFonts w:ascii="Times New Roman" w:hAnsi="Times New Roman" w:cs="Times New Roman"/>
                <w:lang w:val="ru-RU"/>
              </w:rPr>
            </w:pPr>
          </w:p>
        </w:tc>
        <w:tc>
          <w:tcPr>
            <w:tcW w:w="6521" w:type="dxa"/>
            <w:shd w:val="clear" w:color="auto" w:fill="auto"/>
          </w:tcPr>
          <w:p w14:paraId="1BDE1168" w14:textId="77777777" w:rsidR="00D0583D" w:rsidRPr="00F06DE2" w:rsidRDefault="00D0583D">
            <w:pPr>
              <w:spacing w:line="240" w:lineRule="atLeast"/>
              <w:jc w:val="both"/>
              <w:rPr>
                <w:rFonts w:ascii="Times New Roman" w:hAnsi="Times New Roman" w:cs="Times New Roman"/>
                <w:lang w:val="ru-RU"/>
              </w:rPr>
            </w:pPr>
            <w:r w:rsidRPr="00F06DE2">
              <w:rPr>
                <w:rFonts w:ascii="Times New Roman" w:hAnsi="Times New Roman" w:cs="Times New Roman"/>
                <w:lang w:val="ru-RU"/>
              </w:rPr>
              <w:t>Бордови станции за пречистване на отпадъчни води, които са одобрени на или след 10 януари 2013</w:t>
            </w:r>
            <w:r w:rsidRPr="00F06DE2">
              <w:rPr>
                <w:rFonts w:ascii="Times New Roman" w:hAnsi="Times New Roman" w:cs="Times New Roman"/>
              </w:rPr>
              <w:t> </w:t>
            </w:r>
            <w:r w:rsidRPr="00F06DE2">
              <w:rPr>
                <w:rFonts w:ascii="Times New Roman" w:hAnsi="Times New Roman" w:cs="Times New Roman"/>
                <w:lang w:val="ru-RU"/>
              </w:rPr>
              <w:t xml:space="preserve">г. съгласно изискванията на Директива 2012/49/ЕС (етап </w:t>
            </w:r>
            <w:r w:rsidRPr="00F06DE2">
              <w:rPr>
                <w:rFonts w:ascii="Times New Roman" w:hAnsi="Times New Roman" w:cs="Times New Roman"/>
              </w:rPr>
              <w:t>II</w:t>
            </w:r>
            <w:r w:rsidRPr="00F06DE2">
              <w:rPr>
                <w:rFonts w:ascii="Times New Roman" w:hAnsi="Times New Roman" w:cs="Times New Roman"/>
                <w:lang w:val="ru-RU"/>
              </w:rPr>
              <w:t>), могат да продължат да бъдат монтирани и използвани.</w:t>
            </w:r>
          </w:p>
        </w:tc>
        <w:tc>
          <w:tcPr>
            <w:tcW w:w="1635" w:type="dxa"/>
            <w:shd w:val="clear" w:color="auto" w:fill="auto"/>
          </w:tcPr>
          <w:p w14:paraId="314E7522" w14:textId="77777777" w:rsidR="00D0583D" w:rsidRPr="00F06DE2" w:rsidRDefault="00D0583D">
            <w:pPr>
              <w:spacing w:line="240" w:lineRule="atLeast"/>
              <w:rPr>
                <w:rFonts w:ascii="Times New Roman" w:hAnsi="Times New Roman" w:cs="Times New Roman"/>
                <w:lang w:val="ru-RU"/>
              </w:rPr>
            </w:pPr>
          </w:p>
        </w:tc>
      </w:tr>
      <w:tr w:rsidR="00D0583D" w:rsidRPr="00F06DE2" w14:paraId="70476192" w14:textId="77777777" w:rsidTr="000E4105">
        <w:trPr>
          <w:cantSplit/>
        </w:trPr>
        <w:tc>
          <w:tcPr>
            <w:tcW w:w="1342" w:type="dxa"/>
            <w:vMerge/>
            <w:shd w:val="clear" w:color="auto" w:fill="auto"/>
          </w:tcPr>
          <w:p w14:paraId="4123644D" w14:textId="77777777" w:rsidR="00D0583D" w:rsidRPr="00F06DE2" w:rsidRDefault="00D0583D">
            <w:pPr>
              <w:spacing w:line="240" w:lineRule="atLeast"/>
              <w:rPr>
                <w:rFonts w:ascii="Times New Roman" w:hAnsi="Times New Roman" w:cs="Times New Roman"/>
                <w:lang w:val="ru-RU"/>
              </w:rPr>
            </w:pPr>
          </w:p>
        </w:tc>
        <w:tc>
          <w:tcPr>
            <w:tcW w:w="1660" w:type="dxa"/>
            <w:shd w:val="clear" w:color="auto" w:fill="auto"/>
          </w:tcPr>
          <w:p w14:paraId="05CBB87D" w14:textId="6A90D7E9" w:rsidR="00D0583D" w:rsidRPr="00F06DE2" w:rsidRDefault="00D0583D">
            <w:pPr>
              <w:spacing w:line="240" w:lineRule="atLeast"/>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73715711" w14:textId="35B31C04" w:rsidR="00D0583D" w:rsidRPr="00F06DE2" w:rsidRDefault="00D0583D">
            <w:pPr>
              <w:tabs>
                <w:tab w:val="left" w:pos="1080"/>
              </w:tabs>
              <w:spacing w:line="240" w:lineRule="atLeast"/>
              <w:rPr>
                <w:rFonts w:ascii="Times New Roman" w:hAnsi="Times New Roman" w:cs="Times New Roman"/>
                <w:lang w:val="ru-RU"/>
              </w:rPr>
            </w:pPr>
            <w:r w:rsidRPr="00F06DE2">
              <w:rPr>
                <w:rFonts w:ascii="Times New Roman" w:hAnsi="Times New Roman" w:cs="Times New Roman"/>
                <w:lang w:val="ru-RU"/>
              </w:rPr>
              <w:t>Място за взимане на проби</w:t>
            </w:r>
          </w:p>
        </w:tc>
        <w:tc>
          <w:tcPr>
            <w:tcW w:w="6521" w:type="dxa"/>
            <w:shd w:val="clear" w:color="auto" w:fill="auto"/>
          </w:tcPr>
          <w:p w14:paraId="5E262833" w14:textId="69773166" w:rsidR="00D0583D" w:rsidRPr="00F06DE2" w:rsidRDefault="007F18B5">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78E124A2" w14:textId="77777777" w:rsidR="00D0583D" w:rsidRPr="00F06DE2" w:rsidRDefault="00D0583D">
            <w:pPr>
              <w:spacing w:line="240" w:lineRule="atLeast"/>
              <w:rPr>
                <w:rFonts w:ascii="Times New Roman" w:hAnsi="Times New Roman" w:cs="Times New Roman"/>
                <w:lang w:val="ru-RU"/>
              </w:rPr>
            </w:pPr>
          </w:p>
        </w:tc>
      </w:tr>
      <w:tr w:rsidR="00C92684" w:rsidRPr="00F06DE2" w14:paraId="68F31CF9" w14:textId="77777777" w:rsidTr="000E4105">
        <w:trPr>
          <w:cantSplit/>
        </w:trPr>
        <w:tc>
          <w:tcPr>
            <w:tcW w:w="1342" w:type="dxa"/>
            <w:shd w:val="clear" w:color="auto" w:fill="auto"/>
          </w:tcPr>
          <w:p w14:paraId="08DBEC56" w14:textId="77777777" w:rsidR="00C92684" w:rsidRPr="00F06DE2" w:rsidRDefault="00C92684" w:rsidP="00C92684">
            <w:pPr>
              <w:spacing w:line="240" w:lineRule="atLeast"/>
              <w:rPr>
                <w:rFonts w:ascii="Times New Roman" w:hAnsi="Times New Roman" w:cs="Times New Roman"/>
              </w:rPr>
            </w:pPr>
            <w:r w:rsidRPr="00F06DE2">
              <w:rPr>
                <w:rFonts w:ascii="Times New Roman" w:hAnsi="Times New Roman" w:cs="Times New Roman"/>
              </w:rPr>
              <w:t>18.11</w:t>
            </w:r>
          </w:p>
        </w:tc>
        <w:tc>
          <w:tcPr>
            <w:tcW w:w="1660" w:type="dxa"/>
            <w:shd w:val="clear" w:color="auto" w:fill="auto"/>
          </w:tcPr>
          <w:p w14:paraId="780667D8" w14:textId="77777777" w:rsidR="00C92684" w:rsidRPr="00F06DE2" w:rsidRDefault="00C92684" w:rsidP="00C92684">
            <w:pPr>
              <w:spacing w:line="240" w:lineRule="atLeast"/>
              <w:rPr>
                <w:rFonts w:ascii="Times New Roman" w:hAnsi="Times New Roman" w:cs="Times New Roman"/>
              </w:rPr>
            </w:pPr>
          </w:p>
        </w:tc>
        <w:tc>
          <w:tcPr>
            <w:tcW w:w="3296" w:type="dxa"/>
            <w:shd w:val="clear" w:color="auto" w:fill="auto"/>
          </w:tcPr>
          <w:p w14:paraId="28CACA0C" w14:textId="77777777" w:rsidR="00C92684" w:rsidRPr="00F06DE2" w:rsidRDefault="00C92684" w:rsidP="00C92684">
            <w:pPr>
              <w:tabs>
                <w:tab w:val="left" w:pos="1080"/>
              </w:tabs>
              <w:spacing w:line="240" w:lineRule="atLeast"/>
              <w:rPr>
                <w:rFonts w:ascii="Times New Roman" w:hAnsi="Times New Roman" w:cs="Times New Roman"/>
              </w:rPr>
            </w:pPr>
            <w:r w:rsidRPr="00F06DE2">
              <w:rPr>
                <w:rFonts w:ascii="Times New Roman" w:hAnsi="Times New Roman" w:cs="Times New Roman"/>
              </w:rPr>
              <w:t>Ръководство за употреба</w:t>
            </w:r>
          </w:p>
        </w:tc>
        <w:tc>
          <w:tcPr>
            <w:tcW w:w="6521" w:type="dxa"/>
            <w:shd w:val="clear" w:color="auto" w:fill="auto"/>
          </w:tcPr>
          <w:p w14:paraId="06B5FC83" w14:textId="19B1BC4E" w:rsidR="00C92684" w:rsidRPr="00F06DE2" w:rsidRDefault="007F18B5" w:rsidP="00C92684">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0EA4F261" w14:textId="77777777" w:rsidR="00C92684" w:rsidRPr="00F06DE2" w:rsidRDefault="00C92684" w:rsidP="00C92684">
            <w:pPr>
              <w:spacing w:line="240" w:lineRule="atLeast"/>
              <w:rPr>
                <w:rFonts w:ascii="Times New Roman" w:hAnsi="Times New Roman" w:cs="Times New Roman"/>
                <w:lang w:val="ru-RU"/>
              </w:rPr>
            </w:pPr>
          </w:p>
        </w:tc>
      </w:tr>
      <w:tr w:rsidR="00271FA2" w:rsidRPr="00F06DE2" w14:paraId="201D2D22" w14:textId="77777777" w:rsidTr="000E4105">
        <w:trPr>
          <w:cantSplit/>
        </w:trPr>
        <w:tc>
          <w:tcPr>
            <w:tcW w:w="6298" w:type="dxa"/>
            <w:gridSpan w:val="3"/>
            <w:shd w:val="clear" w:color="auto" w:fill="auto"/>
          </w:tcPr>
          <w:p w14:paraId="51AB5CF7"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19</w:t>
            </w:r>
          </w:p>
        </w:tc>
        <w:tc>
          <w:tcPr>
            <w:tcW w:w="6521" w:type="dxa"/>
            <w:shd w:val="clear" w:color="auto" w:fill="auto"/>
          </w:tcPr>
          <w:p w14:paraId="361A47C6"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29403AD1" w14:textId="77777777" w:rsidR="00271FA2" w:rsidRPr="00F06DE2" w:rsidRDefault="00271FA2">
            <w:pPr>
              <w:spacing w:line="240" w:lineRule="atLeast"/>
              <w:rPr>
                <w:rFonts w:ascii="Times New Roman" w:hAnsi="Times New Roman" w:cs="Times New Roman"/>
              </w:rPr>
            </w:pPr>
          </w:p>
        </w:tc>
      </w:tr>
      <w:tr w:rsidR="00271FA2" w:rsidRPr="00F06DE2" w14:paraId="783F81E0" w14:textId="77777777" w:rsidTr="000E4105">
        <w:trPr>
          <w:cantSplit/>
          <w:trHeight w:val="1050"/>
        </w:trPr>
        <w:tc>
          <w:tcPr>
            <w:tcW w:w="1342" w:type="dxa"/>
            <w:tcBorders>
              <w:top w:val="nil"/>
              <w:bottom w:val="single" w:sz="4" w:space="0" w:color="auto"/>
            </w:tcBorders>
            <w:shd w:val="clear" w:color="auto" w:fill="auto"/>
          </w:tcPr>
          <w:p w14:paraId="592AD4BC" w14:textId="7F271ED7" w:rsidR="00271FA2" w:rsidRPr="00F06DE2" w:rsidRDefault="00D35E51" w:rsidP="0056012F">
            <w:pPr>
              <w:spacing w:line="240" w:lineRule="atLeast"/>
              <w:jc w:val="both"/>
              <w:rPr>
                <w:rFonts w:ascii="Times New Roman" w:hAnsi="Times New Roman" w:cs="Times New Roman"/>
              </w:rPr>
            </w:pPr>
            <w:r w:rsidRPr="00F06DE2">
              <w:rPr>
                <w:rFonts w:ascii="Times New Roman" w:hAnsi="Times New Roman" w:cs="Times New Roman"/>
              </w:rPr>
              <w:t>19.01</w:t>
            </w:r>
          </w:p>
        </w:tc>
        <w:tc>
          <w:tcPr>
            <w:tcW w:w="1660" w:type="dxa"/>
            <w:shd w:val="clear" w:color="auto" w:fill="auto"/>
          </w:tcPr>
          <w:p w14:paraId="579F1416" w14:textId="5E808513" w:rsidR="00271FA2" w:rsidRPr="00F06DE2" w:rsidRDefault="00D35E51" w:rsidP="0056012F">
            <w:pPr>
              <w:spacing w:line="240" w:lineRule="atLeast"/>
              <w:jc w:val="both"/>
              <w:rPr>
                <w:rFonts w:ascii="Times New Roman" w:hAnsi="Times New Roman" w:cs="Times New Roman"/>
              </w:rPr>
            </w:pPr>
            <w:r w:rsidRPr="00F06DE2">
              <w:rPr>
                <w:rFonts w:ascii="Times New Roman" w:hAnsi="Times New Roman" w:cs="Times New Roman"/>
              </w:rPr>
              <w:t>Точка 2, буква “г”</w:t>
            </w:r>
          </w:p>
        </w:tc>
        <w:tc>
          <w:tcPr>
            <w:tcW w:w="3296" w:type="dxa"/>
            <w:shd w:val="clear" w:color="auto" w:fill="auto"/>
          </w:tcPr>
          <w:p w14:paraId="21735F9A" w14:textId="35EB94EA" w:rsidR="00271FA2" w:rsidRPr="00F06DE2" w:rsidRDefault="00D35E51" w:rsidP="0056012F">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Забрана на отоплителни уреди с твърдо гориво съгласно член</w:t>
            </w:r>
            <w:r w:rsidRPr="00F06DE2">
              <w:rPr>
                <w:rFonts w:ascii="Times New Roman" w:hAnsi="Times New Roman" w:cs="Times New Roman"/>
              </w:rPr>
              <w:t> </w:t>
            </w:r>
            <w:r w:rsidRPr="00F06DE2">
              <w:rPr>
                <w:rFonts w:ascii="Times New Roman" w:hAnsi="Times New Roman" w:cs="Times New Roman"/>
                <w:lang w:val="ru-RU"/>
              </w:rPr>
              <w:t>16.07</w:t>
            </w:r>
          </w:p>
        </w:tc>
        <w:tc>
          <w:tcPr>
            <w:tcW w:w="6521" w:type="dxa"/>
            <w:shd w:val="clear" w:color="auto" w:fill="auto"/>
          </w:tcPr>
          <w:p w14:paraId="5712D3F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Разпоредбата не важи по отношение на плавателни средства с двигатели на твърдо гориво (парни двигатели).</w:t>
            </w:r>
          </w:p>
        </w:tc>
        <w:tc>
          <w:tcPr>
            <w:tcW w:w="1635" w:type="dxa"/>
            <w:shd w:val="clear" w:color="auto" w:fill="auto"/>
          </w:tcPr>
          <w:p w14:paraId="7CAB29D0" w14:textId="01D52AFA" w:rsidR="00271FA2" w:rsidRPr="00F06DE2" w:rsidRDefault="00271FA2" w:rsidP="0056012F">
            <w:pPr>
              <w:rPr>
                <w:rFonts w:ascii="Times New Roman" w:hAnsi="Times New Roman" w:cs="Times New Roman"/>
                <w:lang w:val="ru-RU"/>
              </w:rPr>
            </w:pPr>
          </w:p>
        </w:tc>
      </w:tr>
      <w:tr w:rsidR="00271FA2" w:rsidRPr="00F06DE2" w14:paraId="7399C98F" w14:textId="77777777" w:rsidTr="000E4105">
        <w:trPr>
          <w:cantSplit/>
        </w:trPr>
        <w:tc>
          <w:tcPr>
            <w:tcW w:w="1342" w:type="dxa"/>
            <w:tcBorders>
              <w:top w:val="single" w:sz="4" w:space="0" w:color="auto"/>
              <w:bottom w:val="nil"/>
            </w:tcBorders>
            <w:shd w:val="clear" w:color="auto" w:fill="auto"/>
          </w:tcPr>
          <w:p w14:paraId="376665F6" w14:textId="77777777" w:rsidR="00271FA2" w:rsidRPr="00F06DE2" w:rsidRDefault="00271FA2">
            <w:pPr>
              <w:spacing w:line="240" w:lineRule="atLeast"/>
              <w:jc w:val="both"/>
              <w:rPr>
                <w:rFonts w:ascii="Times New Roman" w:hAnsi="Times New Roman" w:cs="Times New Roman"/>
                <w:lang w:val="ru-RU"/>
              </w:rPr>
            </w:pPr>
          </w:p>
        </w:tc>
        <w:tc>
          <w:tcPr>
            <w:tcW w:w="1660" w:type="dxa"/>
            <w:vMerge w:val="restart"/>
            <w:shd w:val="clear" w:color="auto" w:fill="auto"/>
          </w:tcPr>
          <w:p w14:paraId="6E62644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 буква “д”</w:t>
            </w:r>
          </w:p>
        </w:tc>
        <w:tc>
          <w:tcPr>
            <w:tcW w:w="3296" w:type="dxa"/>
            <w:vMerge w:val="restart"/>
            <w:shd w:val="clear" w:color="auto" w:fill="auto"/>
          </w:tcPr>
          <w:p w14:paraId="4FAF11A6"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Забрана на уредбите за втечнен газ съгласно Глава 17</w:t>
            </w:r>
          </w:p>
        </w:tc>
        <w:tc>
          <w:tcPr>
            <w:tcW w:w="6521" w:type="dxa"/>
            <w:shd w:val="clear" w:color="auto" w:fill="auto"/>
          </w:tcPr>
          <w:p w14:paraId="0A44FD5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3B721D6" w14:textId="6F77ABA8" w:rsidR="00271FA2" w:rsidRPr="00F06DE2" w:rsidRDefault="00863C1B">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0BFA5F0F" w14:textId="77777777" w:rsidTr="000E4105">
        <w:trPr>
          <w:cantSplit/>
        </w:trPr>
        <w:tc>
          <w:tcPr>
            <w:tcW w:w="1342" w:type="dxa"/>
            <w:tcBorders>
              <w:top w:val="nil"/>
              <w:bottom w:val="nil"/>
            </w:tcBorders>
            <w:shd w:val="clear" w:color="auto" w:fill="auto"/>
          </w:tcPr>
          <w:p w14:paraId="6DD66357" w14:textId="77777777" w:rsidR="00271FA2" w:rsidRPr="00F06DE2" w:rsidRDefault="00271FA2">
            <w:pPr>
              <w:spacing w:line="240" w:lineRule="atLeast"/>
              <w:jc w:val="both"/>
              <w:rPr>
                <w:rFonts w:ascii="Times New Roman" w:hAnsi="Times New Roman" w:cs="Times New Roman"/>
              </w:rPr>
            </w:pPr>
          </w:p>
        </w:tc>
        <w:tc>
          <w:tcPr>
            <w:tcW w:w="1660" w:type="dxa"/>
            <w:vMerge/>
            <w:shd w:val="clear" w:color="auto" w:fill="auto"/>
          </w:tcPr>
          <w:p w14:paraId="54ADEC20" w14:textId="77777777" w:rsidR="00271FA2" w:rsidRPr="00F06DE2" w:rsidRDefault="00271FA2">
            <w:pPr>
              <w:spacing w:line="240" w:lineRule="atLeast"/>
              <w:jc w:val="both"/>
              <w:rPr>
                <w:rFonts w:ascii="Times New Roman" w:hAnsi="Times New Roman" w:cs="Times New Roman"/>
              </w:rPr>
            </w:pPr>
          </w:p>
        </w:tc>
        <w:tc>
          <w:tcPr>
            <w:tcW w:w="3296" w:type="dxa"/>
            <w:vMerge/>
            <w:shd w:val="clear" w:color="auto" w:fill="auto"/>
          </w:tcPr>
          <w:p w14:paraId="2F487AA4" w14:textId="77777777" w:rsidR="00271FA2" w:rsidRPr="00F06DE2" w:rsidRDefault="00271FA2">
            <w:pPr>
              <w:tabs>
                <w:tab w:val="left" w:pos="1080"/>
              </w:tabs>
              <w:spacing w:line="240" w:lineRule="atLeast"/>
              <w:jc w:val="both"/>
              <w:rPr>
                <w:rFonts w:ascii="Times New Roman" w:hAnsi="Times New Roman" w:cs="Times New Roman"/>
              </w:rPr>
            </w:pPr>
          </w:p>
        </w:tc>
        <w:tc>
          <w:tcPr>
            <w:tcW w:w="6521" w:type="dxa"/>
            <w:shd w:val="clear" w:color="auto" w:fill="auto"/>
          </w:tcPr>
          <w:p w14:paraId="0A95B87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Преходната разпоредба се прилага само ако алармените системи са монтирани в съответствие с член 19.15, точка 8.</w:t>
            </w:r>
          </w:p>
        </w:tc>
        <w:tc>
          <w:tcPr>
            <w:tcW w:w="1635" w:type="dxa"/>
            <w:shd w:val="clear" w:color="auto" w:fill="auto"/>
          </w:tcPr>
          <w:p w14:paraId="2CD1E992"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3FA22028" w14:textId="77777777" w:rsidTr="000E4105">
        <w:trPr>
          <w:cantSplit/>
        </w:trPr>
        <w:tc>
          <w:tcPr>
            <w:tcW w:w="1342" w:type="dxa"/>
            <w:tcBorders>
              <w:top w:val="nil"/>
              <w:bottom w:val="nil"/>
            </w:tcBorders>
            <w:shd w:val="clear" w:color="auto" w:fill="auto"/>
          </w:tcPr>
          <w:p w14:paraId="1F1D6DD6" w14:textId="77777777" w:rsidR="00271FA2" w:rsidRPr="00F06DE2" w:rsidRDefault="00271FA2">
            <w:pPr>
              <w:spacing w:line="240" w:lineRule="atLeast"/>
              <w:jc w:val="both"/>
              <w:rPr>
                <w:rFonts w:ascii="Times New Roman" w:hAnsi="Times New Roman" w:cs="Times New Roman"/>
                <w:lang w:val="ru-RU"/>
              </w:rPr>
            </w:pPr>
          </w:p>
        </w:tc>
        <w:tc>
          <w:tcPr>
            <w:tcW w:w="1660" w:type="dxa"/>
            <w:shd w:val="clear" w:color="auto" w:fill="auto"/>
          </w:tcPr>
          <w:p w14:paraId="6006DB54" w14:textId="39FB9145"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4, 2-ро и 3-то</w:t>
            </w:r>
            <w:r w:rsidR="0056012F" w:rsidRPr="00F06DE2">
              <w:rPr>
                <w:rFonts w:ascii="Times New Roman" w:hAnsi="Times New Roman" w:cs="Times New Roman"/>
                <w:lang w:val="ru-RU"/>
              </w:rPr>
              <w:t xml:space="preserve"> </w:t>
            </w:r>
            <w:r w:rsidRPr="00F06DE2">
              <w:rPr>
                <w:rFonts w:ascii="Times New Roman" w:hAnsi="Times New Roman" w:cs="Times New Roman"/>
                <w:lang w:val="ru-RU"/>
              </w:rPr>
              <w:t>изречение</w:t>
            </w:r>
          </w:p>
        </w:tc>
        <w:tc>
          <w:tcPr>
            <w:tcW w:w="3296" w:type="dxa"/>
            <w:shd w:val="clear" w:color="auto" w:fill="auto"/>
          </w:tcPr>
          <w:p w14:paraId="02191457"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Минимален брой места и минимален брой кабини</w:t>
            </w:r>
          </w:p>
        </w:tc>
        <w:tc>
          <w:tcPr>
            <w:tcW w:w="6521" w:type="dxa"/>
            <w:shd w:val="clear" w:color="auto" w:fill="auto"/>
          </w:tcPr>
          <w:p w14:paraId="172DF38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8E40BB6" w14:textId="2A38C082"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.2064 г.</w:t>
            </w:r>
          </w:p>
        </w:tc>
      </w:tr>
      <w:tr w:rsidR="00271FA2" w:rsidRPr="00F06DE2" w14:paraId="1E670084" w14:textId="77777777" w:rsidTr="000E4105">
        <w:trPr>
          <w:cantSplit/>
        </w:trPr>
        <w:tc>
          <w:tcPr>
            <w:tcW w:w="1342" w:type="dxa"/>
            <w:tcBorders>
              <w:top w:val="nil"/>
              <w:bottom w:val="single" w:sz="4" w:space="0" w:color="auto"/>
            </w:tcBorders>
            <w:shd w:val="clear" w:color="auto" w:fill="auto"/>
          </w:tcPr>
          <w:p w14:paraId="49B86C9B"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432B5A7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5 и 6</w:t>
            </w:r>
          </w:p>
        </w:tc>
        <w:tc>
          <w:tcPr>
            <w:tcW w:w="3296" w:type="dxa"/>
            <w:shd w:val="clear" w:color="auto" w:fill="auto"/>
          </w:tcPr>
          <w:p w14:paraId="713B41A0" w14:textId="77777777" w:rsidR="00271FA2" w:rsidRPr="00F06DE2" w:rsidRDefault="00D35E51">
            <w:pPr>
              <w:tabs>
                <w:tab w:val="right" w:pos="3856"/>
                <w:tab w:val="center" w:pos="4536"/>
                <w:tab w:val="left" w:pos="6521"/>
                <w:tab w:val="right" w:pos="9072"/>
              </w:tabs>
              <w:spacing w:line="240" w:lineRule="atLeast"/>
              <w:jc w:val="both"/>
              <w:rPr>
                <w:rFonts w:ascii="Times New Roman" w:hAnsi="Times New Roman" w:cs="Times New Roman"/>
                <w:lang w:val="ru-RU"/>
              </w:rPr>
            </w:pPr>
            <w:r w:rsidRPr="00F06DE2">
              <w:rPr>
                <w:rFonts w:ascii="Times New Roman" w:hAnsi="Times New Roman" w:cs="Times New Roman"/>
                <w:color w:val="000000"/>
                <w:lang w:val="ru-RU"/>
              </w:rPr>
              <w:t xml:space="preserve">Мъртва зона пред плавателния съд на две дължини на плавателния съд, ако дължината е под 250 </w:t>
            </w:r>
            <w:r w:rsidRPr="00F06DE2">
              <w:rPr>
                <w:rFonts w:ascii="Times New Roman" w:hAnsi="Times New Roman" w:cs="Times New Roman"/>
                <w:color w:val="000000"/>
              </w:rPr>
              <w:t>m</w:t>
            </w:r>
            <w:r w:rsidRPr="00F06DE2">
              <w:rPr>
                <w:rFonts w:ascii="Times New Roman" w:hAnsi="Times New Roman" w:cs="Times New Roman"/>
                <w:color w:val="000000"/>
                <w:lang w:val="ru-RU"/>
              </w:rPr>
              <w:t xml:space="preserve"> </w:t>
            </w:r>
            <w:r w:rsidRPr="00F06DE2">
              <w:rPr>
                <w:rFonts w:ascii="Times New Roman" w:hAnsi="Times New Roman" w:cs="Times New Roman"/>
                <w:color w:val="000000"/>
                <w:lang w:val="ru-RU"/>
              </w:rPr>
              <w:br/>
            </w:r>
            <w:r w:rsidRPr="00F06DE2">
              <w:rPr>
                <w:rFonts w:ascii="Times New Roman" w:hAnsi="Times New Roman" w:cs="Times New Roman"/>
                <w:lang w:val="ru-RU"/>
              </w:rPr>
              <w:t>Достатъчна видимост назад</w:t>
            </w:r>
          </w:p>
        </w:tc>
        <w:tc>
          <w:tcPr>
            <w:tcW w:w="6521" w:type="dxa"/>
            <w:shd w:val="clear" w:color="auto" w:fill="auto"/>
          </w:tcPr>
          <w:p w14:paraId="09519DA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1B18B867" w14:textId="304C1E94"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852658" w:rsidRPr="00F06DE2" w14:paraId="33C8E432" w14:textId="77777777" w:rsidTr="000E4105">
        <w:trPr>
          <w:cantSplit/>
        </w:trPr>
        <w:tc>
          <w:tcPr>
            <w:tcW w:w="1342" w:type="dxa"/>
            <w:tcBorders>
              <w:top w:val="nil"/>
              <w:bottom w:val="single" w:sz="4" w:space="0" w:color="auto"/>
            </w:tcBorders>
            <w:shd w:val="clear" w:color="auto" w:fill="auto"/>
          </w:tcPr>
          <w:p w14:paraId="708B8B29" w14:textId="77777777" w:rsidR="00852658" w:rsidRPr="00F06DE2" w:rsidRDefault="00852658" w:rsidP="00852658">
            <w:pPr>
              <w:spacing w:line="240" w:lineRule="atLeast"/>
              <w:jc w:val="both"/>
              <w:rPr>
                <w:rFonts w:ascii="Times New Roman" w:hAnsi="Times New Roman" w:cs="Times New Roman"/>
              </w:rPr>
            </w:pPr>
            <w:r w:rsidRPr="00F06DE2">
              <w:rPr>
                <w:rFonts w:ascii="Times New Roman" w:hAnsi="Times New Roman" w:cs="Times New Roman"/>
              </w:rPr>
              <w:t>19.02</w:t>
            </w:r>
          </w:p>
        </w:tc>
        <w:tc>
          <w:tcPr>
            <w:tcW w:w="1660" w:type="dxa"/>
            <w:shd w:val="clear" w:color="auto" w:fill="auto"/>
          </w:tcPr>
          <w:p w14:paraId="3466A17A" w14:textId="4A07A6BE" w:rsidR="00852658" w:rsidRPr="00F06DE2" w:rsidRDefault="002549B8" w:rsidP="00852658">
            <w:pPr>
              <w:spacing w:line="240" w:lineRule="atLeast"/>
              <w:jc w:val="both"/>
              <w:rPr>
                <w:rFonts w:ascii="Times New Roman" w:hAnsi="Times New Roman" w:cs="Times New Roman"/>
              </w:rPr>
            </w:pPr>
            <w:r w:rsidRPr="00F06DE2">
              <w:rPr>
                <w:rFonts w:ascii="Times New Roman" w:hAnsi="Times New Roman" w:cs="Times New Roman"/>
              </w:rPr>
              <w:t xml:space="preserve">Точка </w:t>
            </w:r>
            <w:r w:rsidR="00852658" w:rsidRPr="00F06DE2">
              <w:rPr>
                <w:rFonts w:ascii="Times New Roman" w:hAnsi="Times New Roman" w:cs="Times New Roman"/>
              </w:rPr>
              <w:t>(1a)</w:t>
            </w:r>
          </w:p>
        </w:tc>
        <w:tc>
          <w:tcPr>
            <w:tcW w:w="3296" w:type="dxa"/>
            <w:shd w:val="clear" w:color="auto" w:fill="auto"/>
          </w:tcPr>
          <w:p w14:paraId="604D8947" w14:textId="77777777" w:rsidR="00852658" w:rsidRPr="00F06DE2" w:rsidRDefault="00852658" w:rsidP="00852658">
            <w:pPr>
              <w:tabs>
                <w:tab w:val="right" w:pos="3856"/>
                <w:tab w:val="center" w:pos="4536"/>
                <w:tab w:val="left" w:pos="6521"/>
                <w:tab w:val="right" w:pos="9072"/>
              </w:tabs>
              <w:spacing w:line="240" w:lineRule="atLeast"/>
              <w:jc w:val="both"/>
              <w:rPr>
                <w:rFonts w:ascii="Times New Roman" w:hAnsi="Times New Roman" w:cs="Times New Roman"/>
                <w:color w:val="000000"/>
                <w:lang w:val="ru-RU"/>
              </w:rPr>
            </w:pPr>
            <w:r w:rsidRPr="00F06DE2">
              <w:rPr>
                <w:rFonts w:ascii="Times New Roman" w:hAnsi="Times New Roman" w:cs="Times New Roman"/>
                <w:lang w:val="ru-RU"/>
              </w:rPr>
              <w:t>Материали, различни от стомана, като алуминиева сплав или подсилени с влакна пластмасови композити</w:t>
            </w:r>
          </w:p>
        </w:tc>
        <w:tc>
          <w:tcPr>
            <w:tcW w:w="6521" w:type="dxa"/>
            <w:shd w:val="clear" w:color="auto" w:fill="auto"/>
          </w:tcPr>
          <w:p w14:paraId="19985F55" w14:textId="24E66FC2" w:rsidR="00852658" w:rsidRPr="00F06DE2" w:rsidRDefault="00B371D3" w:rsidP="00B371D3">
            <w:pPr>
              <w:spacing w:line="240" w:lineRule="atLeast"/>
              <w:jc w:val="both"/>
              <w:rPr>
                <w:rFonts w:ascii="Times New Roman" w:hAnsi="Times New Roman" w:cs="Times New Roman"/>
              </w:rPr>
            </w:pPr>
            <w:r w:rsidRPr="00F06DE2">
              <w:rPr>
                <w:rFonts w:ascii="Times New Roman" w:hAnsi="Times New Roman" w:cs="Times New Roman"/>
              </w:rPr>
              <w:t>Н</w:t>
            </w:r>
            <w:r w:rsidR="00852658" w:rsidRPr="00F06DE2">
              <w:rPr>
                <w:rFonts w:ascii="Times New Roman" w:hAnsi="Times New Roman" w:cs="Times New Roman"/>
              </w:rPr>
              <w:t>ЗР.</w:t>
            </w:r>
          </w:p>
        </w:tc>
        <w:tc>
          <w:tcPr>
            <w:tcW w:w="1635" w:type="dxa"/>
            <w:shd w:val="clear" w:color="auto" w:fill="auto"/>
          </w:tcPr>
          <w:p w14:paraId="058E00FF" w14:textId="77777777" w:rsidR="00852658" w:rsidRPr="00F06DE2" w:rsidRDefault="00852658" w:rsidP="00852658">
            <w:pPr>
              <w:spacing w:line="240" w:lineRule="atLeast"/>
              <w:jc w:val="both"/>
              <w:rPr>
                <w:rFonts w:ascii="Times New Roman" w:hAnsi="Times New Roman" w:cs="Times New Roman"/>
              </w:rPr>
            </w:pPr>
          </w:p>
        </w:tc>
      </w:tr>
      <w:tr w:rsidR="00271FA2" w:rsidRPr="00F06DE2" w14:paraId="3A5328E0" w14:textId="77777777" w:rsidTr="000E4105">
        <w:trPr>
          <w:cantSplit/>
        </w:trPr>
        <w:tc>
          <w:tcPr>
            <w:tcW w:w="1342" w:type="dxa"/>
            <w:tcBorders>
              <w:bottom w:val="nil"/>
            </w:tcBorders>
            <w:shd w:val="clear" w:color="auto" w:fill="auto"/>
          </w:tcPr>
          <w:p w14:paraId="3CE7166D"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lastRenderedPageBreak/>
              <w:t>19.02</w:t>
            </w:r>
          </w:p>
        </w:tc>
        <w:tc>
          <w:tcPr>
            <w:tcW w:w="1660" w:type="dxa"/>
            <w:tcBorders>
              <w:bottom w:val="single" w:sz="4" w:space="0" w:color="auto"/>
            </w:tcBorders>
            <w:shd w:val="clear" w:color="auto" w:fill="auto"/>
          </w:tcPr>
          <w:p w14:paraId="08541949"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Точка 2</w:t>
            </w:r>
          </w:p>
        </w:tc>
        <w:tc>
          <w:tcPr>
            <w:tcW w:w="3296" w:type="dxa"/>
            <w:tcBorders>
              <w:bottom w:val="single" w:sz="4" w:space="0" w:color="auto"/>
            </w:tcBorders>
            <w:shd w:val="clear" w:color="auto" w:fill="auto"/>
          </w:tcPr>
          <w:p w14:paraId="1D5AB627"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Брой и местоположение на преградите</w:t>
            </w:r>
          </w:p>
        </w:tc>
        <w:tc>
          <w:tcPr>
            <w:tcW w:w="6521" w:type="dxa"/>
            <w:shd w:val="clear" w:color="auto" w:fill="auto"/>
          </w:tcPr>
          <w:p w14:paraId="3C0AA53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F71583D" w14:textId="4A185599" w:rsidR="00271FA2" w:rsidRPr="00F06DE2" w:rsidRDefault="00B371D3">
            <w:pPr>
              <w:spacing w:line="240" w:lineRule="atLeast"/>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18A33D03" w14:textId="77777777" w:rsidTr="000E4105">
        <w:trPr>
          <w:cantSplit/>
        </w:trPr>
        <w:tc>
          <w:tcPr>
            <w:tcW w:w="1342" w:type="dxa"/>
            <w:tcBorders>
              <w:top w:val="nil"/>
              <w:bottom w:val="nil"/>
            </w:tcBorders>
            <w:shd w:val="clear" w:color="auto" w:fill="auto"/>
          </w:tcPr>
          <w:p w14:paraId="2353F803" w14:textId="77777777" w:rsidR="00271FA2" w:rsidRPr="00F06DE2" w:rsidRDefault="00271FA2">
            <w:pPr>
              <w:spacing w:line="240" w:lineRule="atLeast"/>
              <w:rPr>
                <w:rFonts w:ascii="Times New Roman" w:hAnsi="Times New Roman" w:cs="Times New Roman"/>
              </w:rPr>
            </w:pPr>
          </w:p>
        </w:tc>
        <w:tc>
          <w:tcPr>
            <w:tcW w:w="1660" w:type="dxa"/>
            <w:vMerge w:val="restart"/>
            <w:shd w:val="clear" w:color="auto" w:fill="auto"/>
          </w:tcPr>
          <w:p w14:paraId="675E4E60"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Точка 3</w:t>
            </w:r>
          </w:p>
        </w:tc>
        <w:tc>
          <w:tcPr>
            <w:tcW w:w="3296" w:type="dxa"/>
            <w:vMerge w:val="restart"/>
            <w:shd w:val="clear" w:color="auto" w:fill="auto"/>
          </w:tcPr>
          <w:p w14:paraId="27F19710"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Положение на ахтерпиковата преграда</w:t>
            </w:r>
          </w:p>
        </w:tc>
        <w:tc>
          <w:tcPr>
            <w:tcW w:w="6521" w:type="dxa"/>
            <w:shd w:val="clear" w:color="auto" w:fill="auto"/>
          </w:tcPr>
          <w:p w14:paraId="7A3D00A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14ED738" w14:textId="0C1F199C" w:rsidR="00271FA2" w:rsidRPr="00F06DE2" w:rsidRDefault="00B371D3">
            <w:pPr>
              <w:spacing w:line="240" w:lineRule="atLeast"/>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4F2DB3C2" w14:textId="77777777" w:rsidTr="000E4105">
        <w:trPr>
          <w:cantSplit/>
        </w:trPr>
        <w:tc>
          <w:tcPr>
            <w:tcW w:w="1342" w:type="dxa"/>
            <w:tcBorders>
              <w:top w:val="nil"/>
              <w:bottom w:val="single" w:sz="4" w:space="0" w:color="auto"/>
            </w:tcBorders>
            <w:shd w:val="clear" w:color="auto" w:fill="auto"/>
          </w:tcPr>
          <w:p w14:paraId="4968625F" w14:textId="77777777" w:rsidR="00271FA2" w:rsidRPr="00F06DE2" w:rsidRDefault="00271FA2">
            <w:pPr>
              <w:spacing w:line="240" w:lineRule="atLeast"/>
              <w:rPr>
                <w:rFonts w:ascii="Times New Roman" w:hAnsi="Times New Roman" w:cs="Times New Roman"/>
              </w:rPr>
            </w:pPr>
          </w:p>
        </w:tc>
        <w:tc>
          <w:tcPr>
            <w:tcW w:w="1660" w:type="dxa"/>
            <w:vMerge/>
            <w:shd w:val="clear" w:color="auto" w:fill="auto"/>
          </w:tcPr>
          <w:p w14:paraId="4492BEE3" w14:textId="77777777" w:rsidR="00271FA2" w:rsidRPr="00F06DE2" w:rsidRDefault="00271FA2">
            <w:pPr>
              <w:spacing w:line="240" w:lineRule="atLeast"/>
              <w:rPr>
                <w:rFonts w:ascii="Times New Roman" w:hAnsi="Times New Roman" w:cs="Times New Roman"/>
              </w:rPr>
            </w:pPr>
          </w:p>
        </w:tc>
        <w:tc>
          <w:tcPr>
            <w:tcW w:w="3296" w:type="dxa"/>
            <w:vMerge/>
            <w:shd w:val="clear" w:color="auto" w:fill="auto"/>
          </w:tcPr>
          <w:p w14:paraId="4CB1E547" w14:textId="77777777" w:rsidR="00271FA2" w:rsidRPr="00F06DE2" w:rsidRDefault="00271FA2">
            <w:pPr>
              <w:tabs>
                <w:tab w:val="left" w:pos="1080"/>
              </w:tabs>
              <w:spacing w:line="240" w:lineRule="atLeast"/>
              <w:rPr>
                <w:rFonts w:ascii="Times New Roman" w:hAnsi="Times New Roman" w:cs="Times New Roman"/>
              </w:rPr>
            </w:pPr>
          </w:p>
        </w:tc>
        <w:tc>
          <w:tcPr>
            <w:tcW w:w="6521" w:type="dxa"/>
            <w:shd w:val="clear" w:color="auto" w:fill="auto"/>
          </w:tcPr>
          <w:p w14:paraId="5FB5B45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Това изискване не се прилага за пътнически плавателни съдове, които поради спазването на основните изисквания при повреда на два отсека по член 19.03, точка 9 или спазването на изискванията на член 19.07 постигат еквивалентно ниво на безопасност и маневреност.</w:t>
            </w:r>
          </w:p>
        </w:tc>
        <w:tc>
          <w:tcPr>
            <w:tcW w:w="1635" w:type="dxa"/>
            <w:shd w:val="clear" w:color="auto" w:fill="auto"/>
          </w:tcPr>
          <w:p w14:paraId="58D3C4B2"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7A8C80F0" w14:textId="77777777" w:rsidTr="000E4105">
        <w:trPr>
          <w:cantSplit/>
        </w:trPr>
        <w:tc>
          <w:tcPr>
            <w:tcW w:w="1342" w:type="dxa"/>
            <w:tcBorders>
              <w:top w:val="single" w:sz="4" w:space="0" w:color="auto"/>
              <w:bottom w:val="nil"/>
            </w:tcBorders>
            <w:shd w:val="clear" w:color="auto" w:fill="auto"/>
          </w:tcPr>
          <w:p w14:paraId="2756042D" w14:textId="77777777" w:rsidR="00271FA2" w:rsidRPr="00F06DE2" w:rsidRDefault="00271FA2">
            <w:pPr>
              <w:spacing w:line="240" w:lineRule="atLeast"/>
              <w:rPr>
                <w:rFonts w:ascii="Times New Roman" w:hAnsi="Times New Roman" w:cs="Times New Roman"/>
                <w:lang w:val="ru-RU"/>
              </w:rPr>
            </w:pPr>
          </w:p>
        </w:tc>
        <w:tc>
          <w:tcPr>
            <w:tcW w:w="1660" w:type="dxa"/>
            <w:shd w:val="clear" w:color="auto" w:fill="auto"/>
          </w:tcPr>
          <w:p w14:paraId="29EAFF0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 2-ро</w:t>
            </w:r>
            <w:r w:rsidRPr="00F06DE2">
              <w:rPr>
                <w:rFonts w:ascii="Times New Roman" w:hAnsi="Times New Roman" w:cs="Times New Roman"/>
                <w:vertAlign w:val="superscript"/>
              </w:rPr>
              <w:t> </w:t>
            </w:r>
            <w:r w:rsidRPr="00F06DE2">
              <w:rPr>
                <w:rFonts w:ascii="Times New Roman" w:hAnsi="Times New Roman" w:cs="Times New Roman"/>
              </w:rPr>
              <w:t>изречение</w:t>
            </w:r>
          </w:p>
        </w:tc>
        <w:tc>
          <w:tcPr>
            <w:tcW w:w="3296" w:type="dxa"/>
            <w:shd w:val="clear" w:color="auto" w:fill="auto"/>
          </w:tcPr>
          <w:p w14:paraId="374575DF"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Пределна линия при липса на палуба на преградите</w:t>
            </w:r>
          </w:p>
        </w:tc>
        <w:tc>
          <w:tcPr>
            <w:tcW w:w="6521" w:type="dxa"/>
            <w:shd w:val="clear" w:color="auto" w:fill="auto"/>
          </w:tcPr>
          <w:p w14:paraId="7EC7C1CD" w14:textId="6CC512B3"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пътническите плавателни съдове, които са заложени за строеж преди </w:t>
            </w:r>
            <w:r w:rsidR="00B371D3" w:rsidRPr="00F06DE2">
              <w:rPr>
                <w:rFonts w:ascii="Times New Roman" w:hAnsi="Times New Roman" w:cs="Times New Roman"/>
                <w:lang w:val="ru-RU"/>
              </w:rPr>
              <w:t>0</w:t>
            </w:r>
            <w:r w:rsidRPr="00F06DE2">
              <w:rPr>
                <w:rFonts w:ascii="Times New Roman" w:hAnsi="Times New Roman" w:cs="Times New Roman"/>
                <w:lang w:val="ru-RU"/>
              </w:rPr>
              <w:t>1.</w:t>
            </w:r>
            <w:r w:rsidR="00B371D3" w:rsidRPr="00F06DE2">
              <w:rPr>
                <w:rFonts w:ascii="Times New Roman" w:hAnsi="Times New Roman" w:cs="Times New Roman"/>
                <w:lang w:val="ru-RU"/>
              </w:rPr>
              <w:t>0</w:t>
            </w:r>
            <w:r w:rsidRPr="00F06DE2">
              <w:rPr>
                <w:rFonts w:ascii="Times New Roman" w:hAnsi="Times New Roman" w:cs="Times New Roman"/>
                <w:lang w:val="ru-RU"/>
              </w:rPr>
              <w:t>1.1996</w:t>
            </w:r>
            <w:r w:rsidRPr="00F06DE2">
              <w:rPr>
                <w:rFonts w:ascii="Times New Roman" w:hAnsi="Times New Roman" w:cs="Times New Roman"/>
              </w:rPr>
              <w:t> </w:t>
            </w:r>
            <w:r w:rsidRPr="00F06DE2">
              <w:rPr>
                <w:rFonts w:ascii="Times New Roman" w:hAnsi="Times New Roman" w:cs="Times New Roman"/>
                <w:lang w:val="ru-RU"/>
              </w:rPr>
              <w:t>г., НЗР, най-късно при подновяване на Корабното удостоверение за вътрешно корабоплаване след</w:t>
            </w:r>
          </w:p>
        </w:tc>
        <w:tc>
          <w:tcPr>
            <w:tcW w:w="1635" w:type="dxa"/>
            <w:shd w:val="clear" w:color="auto" w:fill="auto"/>
          </w:tcPr>
          <w:p w14:paraId="5062D4DA" w14:textId="14F9A02B" w:rsidR="00271FA2" w:rsidRPr="00F06DE2" w:rsidRDefault="00B371D3" w:rsidP="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545DB6C5" w14:textId="77777777" w:rsidTr="000E4105">
        <w:trPr>
          <w:cantSplit/>
        </w:trPr>
        <w:tc>
          <w:tcPr>
            <w:tcW w:w="1342" w:type="dxa"/>
            <w:tcBorders>
              <w:top w:val="nil"/>
              <w:bottom w:val="nil"/>
            </w:tcBorders>
            <w:shd w:val="clear" w:color="auto" w:fill="auto"/>
          </w:tcPr>
          <w:p w14:paraId="7B3B7DE8"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345A1DE6" w14:textId="0300D811" w:rsidR="00271FA2" w:rsidRPr="00F06DE2" w:rsidRDefault="00271FA2">
            <w:pPr>
              <w:spacing w:line="240" w:lineRule="atLeast"/>
              <w:jc w:val="both"/>
              <w:rPr>
                <w:rFonts w:ascii="Times New Roman" w:hAnsi="Times New Roman" w:cs="Times New Roman"/>
                <w:strike/>
              </w:rPr>
            </w:pPr>
          </w:p>
        </w:tc>
        <w:tc>
          <w:tcPr>
            <w:tcW w:w="3296" w:type="dxa"/>
            <w:shd w:val="clear" w:color="auto" w:fill="auto"/>
          </w:tcPr>
          <w:p w14:paraId="0039DAB3" w14:textId="526DA90A" w:rsidR="00271FA2" w:rsidRPr="00F06DE2" w:rsidRDefault="00271FA2">
            <w:pPr>
              <w:tabs>
                <w:tab w:val="left" w:pos="1080"/>
              </w:tabs>
              <w:spacing w:line="240" w:lineRule="atLeast"/>
              <w:jc w:val="both"/>
              <w:rPr>
                <w:rFonts w:ascii="Times New Roman" w:hAnsi="Times New Roman" w:cs="Times New Roman"/>
                <w:strike/>
              </w:rPr>
            </w:pPr>
          </w:p>
        </w:tc>
        <w:tc>
          <w:tcPr>
            <w:tcW w:w="6521" w:type="dxa"/>
            <w:shd w:val="clear" w:color="auto" w:fill="auto"/>
          </w:tcPr>
          <w:p w14:paraId="4687A5D9" w14:textId="53FACC8F" w:rsidR="00271FA2" w:rsidRPr="00F06DE2" w:rsidRDefault="00271FA2">
            <w:pPr>
              <w:spacing w:line="240" w:lineRule="atLeast"/>
              <w:jc w:val="both"/>
              <w:rPr>
                <w:rFonts w:ascii="Times New Roman" w:hAnsi="Times New Roman" w:cs="Times New Roman"/>
                <w:strike/>
              </w:rPr>
            </w:pPr>
          </w:p>
        </w:tc>
        <w:tc>
          <w:tcPr>
            <w:tcW w:w="1635" w:type="dxa"/>
            <w:shd w:val="clear" w:color="auto" w:fill="auto"/>
          </w:tcPr>
          <w:p w14:paraId="5CF23EBD" w14:textId="57867851" w:rsidR="00271FA2" w:rsidRPr="00F06DE2" w:rsidRDefault="00271FA2">
            <w:pPr>
              <w:spacing w:line="240" w:lineRule="atLeast"/>
              <w:jc w:val="both"/>
              <w:rPr>
                <w:rFonts w:ascii="Times New Roman" w:hAnsi="Times New Roman" w:cs="Times New Roman"/>
                <w:strike/>
              </w:rPr>
            </w:pPr>
          </w:p>
        </w:tc>
      </w:tr>
      <w:tr w:rsidR="00271FA2" w:rsidRPr="00F06DE2" w14:paraId="1C66A971" w14:textId="77777777" w:rsidTr="000E4105">
        <w:trPr>
          <w:cantSplit/>
        </w:trPr>
        <w:tc>
          <w:tcPr>
            <w:tcW w:w="1342" w:type="dxa"/>
            <w:tcBorders>
              <w:top w:val="nil"/>
              <w:bottom w:val="nil"/>
            </w:tcBorders>
            <w:shd w:val="clear" w:color="auto" w:fill="auto"/>
          </w:tcPr>
          <w:p w14:paraId="2A3982CD"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B5BC72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10 буква “г”</w:t>
            </w:r>
          </w:p>
        </w:tc>
        <w:tc>
          <w:tcPr>
            <w:tcW w:w="3296" w:type="dxa"/>
            <w:shd w:val="clear" w:color="auto" w:fill="auto"/>
          </w:tcPr>
          <w:p w14:paraId="0AF393A9"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Оптичен и звуков сигнал</w:t>
            </w:r>
          </w:p>
        </w:tc>
        <w:tc>
          <w:tcPr>
            <w:tcW w:w="6521" w:type="dxa"/>
            <w:shd w:val="clear" w:color="auto" w:fill="auto"/>
          </w:tcPr>
          <w:p w14:paraId="3D747D4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38F7FB0B"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1F3FF007" w14:textId="77777777" w:rsidTr="000E4105">
        <w:trPr>
          <w:cantSplit/>
        </w:trPr>
        <w:tc>
          <w:tcPr>
            <w:tcW w:w="1342" w:type="dxa"/>
            <w:tcBorders>
              <w:top w:val="nil"/>
              <w:bottom w:val="single" w:sz="4" w:space="0" w:color="auto"/>
            </w:tcBorders>
            <w:shd w:val="clear" w:color="auto" w:fill="auto"/>
          </w:tcPr>
          <w:p w14:paraId="297F22BA" w14:textId="77777777" w:rsidR="00271FA2" w:rsidRPr="00F06DE2" w:rsidRDefault="00271FA2">
            <w:pPr>
              <w:spacing w:line="240" w:lineRule="atLeast"/>
              <w:rPr>
                <w:rFonts w:ascii="Times New Roman" w:hAnsi="Times New Roman" w:cs="Times New Roman"/>
                <w:lang w:val="ru-RU"/>
              </w:rPr>
            </w:pPr>
          </w:p>
        </w:tc>
        <w:tc>
          <w:tcPr>
            <w:tcW w:w="1660" w:type="dxa"/>
            <w:shd w:val="clear" w:color="auto" w:fill="auto"/>
          </w:tcPr>
          <w:p w14:paraId="0D6408C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15</w:t>
            </w:r>
          </w:p>
        </w:tc>
        <w:tc>
          <w:tcPr>
            <w:tcW w:w="3296" w:type="dxa"/>
            <w:shd w:val="clear" w:color="auto" w:fill="auto"/>
          </w:tcPr>
          <w:p w14:paraId="51B1472E"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Височина на двойните дъна, ширина на двойните дъна (страни)</w:t>
            </w:r>
          </w:p>
        </w:tc>
        <w:tc>
          <w:tcPr>
            <w:tcW w:w="6521" w:type="dxa"/>
            <w:shd w:val="clear" w:color="auto" w:fill="auto"/>
          </w:tcPr>
          <w:p w14:paraId="190492D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F8227DB" w14:textId="7101B72C"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793759" w:rsidRPr="00F06DE2" w14:paraId="3344DD3C" w14:textId="77777777" w:rsidTr="000E4105">
        <w:trPr>
          <w:cantSplit/>
        </w:trPr>
        <w:tc>
          <w:tcPr>
            <w:tcW w:w="1342" w:type="dxa"/>
            <w:vMerge w:val="restart"/>
            <w:shd w:val="clear" w:color="auto" w:fill="auto"/>
          </w:tcPr>
          <w:p w14:paraId="72E7EC7F" w14:textId="77777777" w:rsidR="00793759" w:rsidRPr="00F06DE2" w:rsidRDefault="00793759">
            <w:pPr>
              <w:spacing w:line="240" w:lineRule="atLeast"/>
              <w:jc w:val="both"/>
              <w:rPr>
                <w:rFonts w:ascii="Times New Roman" w:hAnsi="Times New Roman" w:cs="Times New Roman"/>
              </w:rPr>
            </w:pPr>
            <w:r w:rsidRPr="00F06DE2">
              <w:rPr>
                <w:rFonts w:ascii="Times New Roman" w:hAnsi="Times New Roman" w:cs="Times New Roman"/>
              </w:rPr>
              <w:t>19.03</w:t>
            </w:r>
          </w:p>
        </w:tc>
        <w:tc>
          <w:tcPr>
            <w:tcW w:w="1660" w:type="dxa"/>
            <w:shd w:val="clear" w:color="auto" w:fill="auto"/>
          </w:tcPr>
          <w:p w14:paraId="4668A791" w14:textId="77777777" w:rsidR="00793759" w:rsidRPr="00F06DE2" w:rsidRDefault="00793759">
            <w:pPr>
              <w:spacing w:line="240" w:lineRule="atLeast"/>
              <w:jc w:val="both"/>
              <w:rPr>
                <w:rFonts w:ascii="Times New Roman" w:hAnsi="Times New Roman" w:cs="Times New Roman"/>
              </w:rPr>
            </w:pPr>
            <w:r w:rsidRPr="00F06DE2">
              <w:rPr>
                <w:rFonts w:ascii="Times New Roman" w:hAnsi="Times New Roman" w:cs="Times New Roman"/>
              </w:rPr>
              <w:t>Точки 1 - 6</w:t>
            </w:r>
          </w:p>
        </w:tc>
        <w:tc>
          <w:tcPr>
            <w:tcW w:w="3296" w:type="dxa"/>
            <w:shd w:val="clear" w:color="auto" w:fill="auto"/>
          </w:tcPr>
          <w:p w14:paraId="37F14104" w14:textId="77777777" w:rsidR="00793759" w:rsidRPr="00F06DE2" w:rsidRDefault="00793759">
            <w:pPr>
              <w:tabs>
                <w:tab w:val="left" w:pos="1080"/>
              </w:tabs>
              <w:spacing w:line="240" w:lineRule="atLeast"/>
              <w:jc w:val="both"/>
              <w:rPr>
                <w:rFonts w:ascii="Times New Roman" w:hAnsi="Times New Roman" w:cs="Times New Roman"/>
              </w:rPr>
            </w:pPr>
            <w:r w:rsidRPr="00F06DE2">
              <w:rPr>
                <w:rFonts w:ascii="Times New Roman" w:hAnsi="Times New Roman" w:cs="Times New Roman"/>
              </w:rPr>
              <w:t>Устойчивост в неповредено състояние</w:t>
            </w:r>
          </w:p>
        </w:tc>
        <w:tc>
          <w:tcPr>
            <w:tcW w:w="6521" w:type="dxa"/>
            <w:shd w:val="clear" w:color="auto" w:fill="auto"/>
          </w:tcPr>
          <w:p w14:paraId="3D57FA0A" w14:textId="77777777" w:rsidR="00793759" w:rsidRPr="00F06DE2" w:rsidRDefault="00793759">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и когато бъде увеличен максималният брой пътници, най-късно при подновяване на Корабното удостоверение за вътрешно корабоплаване след</w:t>
            </w:r>
          </w:p>
        </w:tc>
        <w:tc>
          <w:tcPr>
            <w:tcW w:w="1635" w:type="dxa"/>
            <w:shd w:val="clear" w:color="auto" w:fill="auto"/>
          </w:tcPr>
          <w:p w14:paraId="73202553" w14:textId="5578D773" w:rsidR="00793759"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793759" w:rsidRPr="00F06DE2">
              <w:rPr>
                <w:rFonts w:ascii="Times New Roman" w:hAnsi="Times New Roman" w:cs="Times New Roman"/>
              </w:rPr>
              <w:t>.2045 г.</w:t>
            </w:r>
          </w:p>
        </w:tc>
      </w:tr>
      <w:tr w:rsidR="00793759" w:rsidRPr="00F06DE2" w14:paraId="521711C9" w14:textId="77777777" w:rsidTr="000E4105">
        <w:trPr>
          <w:cantSplit/>
        </w:trPr>
        <w:tc>
          <w:tcPr>
            <w:tcW w:w="1342" w:type="dxa"/>
            <w:vMerge/>
            <w:shd w:val="clear" w:color="auto" w:fill="auto"/>
          </w:tcPr>
          <w:p w14:paraId="73E818D7" w14:textId="77777777" w:rsidR="00793759" w:rsidRPr="00F06DE2" w:rsidRDefault="00793759">
            <w:pPr>
              <w:spacing w:line="240" w:lineRule="atLeast"/>
              <w:rPr>
                <w:rFonts w:ascii="Times New Roman" w:hAnsi="Times New Roman" w:cs="Times New Roman"/>
              </w:rPr>
            </w:pPr>
          </w:p>
        </w:tc>
        <w:tc>
          <w:tcPr>
            <w:tcW w:w="1660" w:type="dxa"/>
            <w:shd w:val="clear" w:color="auto" w:fill="auto"/>
          </w:tcPr>
          <w:p w14:paraId="2A0DEC57" w14:textId="77777777" w:rsidR="00793759" w:rsidRPr="00F06DE2" w:rsidRDefault="00793759">
            <w:pPr>
              <w:spacing w:line="240" w:lineRule="atLeast"/>
              <w:jc w:val="both"/>
              <w:rPr>
                <w:rFonts w:ascii="Times New Roman" w:hAnsi="Times New Roman" w:cs="Times New Roman"/>
              </w:rPr>
            </w:pPr>
            <w:r w:rsidRPr="00F06DE2">
              <w:rPr>
                <w:rFonts w:ascii="Times New Roman" w:hAnsi="Times New Roman" w:cs="Times New Roman"/>
              </w:rPr>
              <w:t>Точка 1, буква “а”</w:t>
            </w:r>
          </w:p>
        </w:tc>
        <w:tc>
          <w:tcPr>
            <w:tcW w:w="3296" w:type="dxa"/>
            <w:shd w:val="clear" w:color="auto" w:fill="auto"/>
          </w:tcPr>
          <w:p w14:paraId="73307F5F" w14:textId="77777777" w:rsidR="00793759" w:rsidRPr="00F06DE2" w:rsidRDefault="00793759">
            <w:pPr>
              <w:tabs>
                <w:tab w:val="left" w:pos="1080"/>
              </w:tabs>
              <w:spacing w:line="240" w:lineRule="atLeast"/>
              <w:jc w:val="both"/>
              <w:rPr>
                <w:rFonts w:ascii="Times New Roman" w:hAnsi="Times New Roman" w:cs="Times New Roman"/>
              </w:rPr>
            </w:pPr>
            <w:r w:rsidRPr="00F06DE2">
              <w:rPr>
                <w:rFonts w:ascii="Times New Roman" w:hAnsi="Times New Roman" w:cs="Times New Roman"/>
              </w:rPr>
              <w:t>Креноване</w:t>
            </w:r>
          </w:p>
        </w:tc>
        <w:tc>
          <w:tcPr>
            <w:tcW w:w="6521" w:type="dxa"/>
            <w:shd w:val="clear" w:color="auto" w:fill="auto"/>
          </w:tcPr>
          <w:p w14:paraId="26936170" w14:textId="77777777" w:rsidR="00793759" w:rsidRPr="00F06DE2" w:rsidRDefault="00793759">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Креноване, което не е в съответствие с Приложение 1 на Резолюция на </w:t>
            </w:r>
            <w:r w:rsidRPr="00F06DE2">
              <w:rPr>
                <w:rFonts w:ascii="Times New Roman" w:hAnsi="Times New Roman" w:cs="Times New Roman"/>
              </w:rPr>
              <w:t>MSC</w:t>
            </w:r>
            <w:r w:rsidRPr="00F06DE2">
              <w:rPr>
                <w:rFonts w:ascii="Times New Roman" w:hAnsi="Times New Roman" w:cs="Times New Roman"/>
                <w:lang w:val="ru-RU"/>
              </w:rPr>
              <w:t>.267(85) на ИМО се приема.</w:t>
            </w:r>
          </w:p>
        </w:tc>
        <w:tc>
          <w:tcPr>
            <w:tcW w:w="1635" w:type="dxa"/>
            <w:shd w:val="clear" w:color="auto" w:fill="auto"/>
          </w:tcPr>
          <w:p w14:paraId="7F0DDE53" w14:textId="77777777" w:rsidR="00793759" w:rsidRPr="00F06DE2" w:rsidRDefault="00793759">
            <w:pPr>
              <w:spacing w:line="240" w:lineRule="atLeast"/>
              <w:jc w:val="both"/>
              <w:rPr>
                <w:rFonts w:ascii="Times New Roman" w:hAnsi="Times New Roman" w:cs="Times New Roman"/>
                <w:lang w:val="ru-RU"/>
              </w:rPr>
            </w:pPr>
          </w:p>
        </w:tc>
      </w:tr>
      <w:tr w:rsidR="00793759" w:rsidRPr="00F06DE2" w14:paraId="505FE386" w14:textId="77777777" w:rsidTr="000E4105">
        <w:trPr>
          <w:cantSplit/>
        </w:trPr>
        <w:tc>
          <w:tcPr>
            <w:tcW w:w="1342" w:type="dxa"/>
            <w:vMerge/>
            <w:tcBorders>
              <w:bottom w:val="nil"/>
            </w:tcBorders>
            <w:shd w:val="clear" w:color="auto" w:fill="auto"/>
          </w:tcPr>
          <w:p w14:paraId="5A121AC5" w14:textId="77777777" w:rsidR="00793759" w:rsidRPr="00F06DE2" w:rsidRDefault="00793759">
            <w:pPr>
              <w:spacing w:line="240" w:lineRule="atLeast"/>
              <w:rPr>
                <w:rFonts w:ascii="Times New Roman" w:hAnsi="Times New Roman" w:cs="Times New Roman"/>
                <w:lang w:val="ru-RU"/>
              </w:rPr>
            </w:pPr>
          </w:p>
        </w:tc>
        <w:tc>
          <w:tcPr>
            <w:tcW w:w="1660" w:type="dxa"/>
            <w:shd w:val="clear" w:color="auto" w:fill="auto"/>
          </w:tcPr>
          <w:p w14:paraId="0399CDBD" w14:textId="5CC2AA9E" w:rsidR="00793759" w:rsidRPr="00F06DE2" w:rsidRDefault="00793759">
            <w:pPr>
              <w:spacing w:line="240" w:lineRule="atLeast"/>
              <w:jc w:val="both"/>
              <w:rPr>
                <w:rFonts w:ascii="Times New Roman" w:hAnsi="Times New Roman" w:cs="Times New Roman"/>
              </w:rPr>
            </w:pPr>
            <w:r w:rsidRPr="00F06DE2">
              <w:rPr>
                <w:rFonts w:ascii="Times New Roman" w:hAnsi="Times New Roman" w:cs="Times New Roman"/>
              </w:rPr>
              <w:t>Точка6, последно изречение</w:t>
            </w:r>
          </w:p>
        </w:tc>
        <w:tc>
          <w:tcPr>
            <w:tcW w:w="3296" w:type="dxa"/>
            <w:shd w:val="clear" w:color="auto" w:fill="auto"/>
          </w:tcPr>
          <w:p w14:paraId="3E767ACA" w14:textId="77777777" w:rsidR="00793759" w:rsidRPr="00F06DE2" w:rsidRDefault="00793759">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Пътнически плавателен съд, способен да постигне по-големи скорости от </w:t>
            </w:r>
            <w:r w:rsidRPr="00F06DE2">
              <w:rPr>
                <w:rFonts w:ascii="Cambria Math" w:hAnsi="Cambria Math" w:cs="Cambria Math"/>
              </w:rPr>
              <w:t>𝑣</w:t>
            </w:r>
            <w:r w:rsidRPr="00F06DE2">
              <w:rPr>
                <w:rFonts w:ascii="Times New Roman" w:hAnsi="Times New Roman" w:cs="Times New Roman"/>
                <w:lang w:val="ru-RU"/>
              </w:rPr>
              <w:t xml:space="preserve"> = 0,4 √</w:t>
            </w:r>
            <w:r w:rsidRPr="00F06DE2">
              <w:rPr>
                <w:rFonts w:ascii="Times New Roman" w:hAnsi="Times New Roman" w:cs="Times New Roman"/>
              </w:rPr>
              <w:t>gL</w:t>
            </w:r>
          </w:p>
        </w:tc>
        <w:tc>
          <w:tcPr>
            <w:tcW w:w="6521" w:type="dxa"/>
            <w:shd w:val="clear" w:color="auto" w:fill="auto"/>
          </w:tcPr>
          <w:p w14:paraId="62517AE3" w14:textId="77777777" w:rsidR="00793759" w:rsidRPr="00F06DE2" w:rsidRDefault="00793759">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AE438B2" w14:textId="03C05EA8" w:rsidR="00793759"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793759" w:rsidRPr="00F06DE2">
              <w:rPr>
                <w:rFonts w:ascii="Times New Roman" w:hAnsi="Times New Roman" w:cs="Times New Roman"/>
              </w:rPr>
              <w:t>.2064 г.</w:t>
            </w:r>
          </w:p>
        </w:tc>
      </w:tr>
      <w:tr w:rsidR="00271FA2" w:rsidRPr="00F06DE2" w14:paraId="16386302" w14:textId="77777777" w:rsidTr="000E4105">
        <w:trPr>
          <w:cantSplit/>
        </w:trPr>
        <w:tc>
          <w:tcPr>
            <w:tcW w:w="1342" w:type="dxa"/>
            <w:tcBorders>
              <w:top w:val="nil"/>
              <w:bottom w:val="nil"/>
            </w:tcBorders>
            <w:shd w:val="clear" w:color="auto" w:fill="auto"/>
          </w:tcPr>
          <w:p w14:paraId="09A86406" w14:textId="77777777" w:rsidR="00271FA2" w:rsidRPr="00F06DE2" w:rsidRDefault="00271FA2">
            <w:pPr>
              <w:spacing w:line="240" w:lineRule="atLeast"/>
              <w:rPr>
                <w:rFonts w:ascii="Times New Roman" w:hAnsi="Times New Roman" w:cs="Times New Roman"/>
              </w:rPr>
            </w:pPr>
          </w:p>
        </w:tc>
        <w:tc>
          <w:tcPr>
            <w:tcW w:w="1660" w:type="dxa"/>
            <w:tcBorders>
              <w:bottom w:val="single" w:sz="4" w:space="0" w:color="auto"/>
            </w:tcBorders>
            <w:shd w:val="clear" w:color="auto" w:fill="auto"/>
          </w:tcPr>
          <w:p w14:paraId="1C11F39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7 и 8</w:t>
            </w:r>
          </w:p>
        </w:tc>
        <w:tc>
          <w:tcPr>
            <w:tcW w:w="3296" w:type="dxa"/>
            <w:shd w:val="clear" w:color="auto" w:fill="auto"/>
          </w:tcPr>
          <w:p w14:paraId="77BA2D7C"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Устойчивост в повредено състояние</w:t>
            </w:r>
          </w:p>
        </w:tc>
        <w:tc>
          <w:tcPr>
            <w:tcW w:w="6521" w:type="dxa"/>
            <w:shd w:val="clear" w:color="auto" w:fill="auto"/>
          </w:tcPr>
          <w:p w14:paraId="3C6FDB2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A36DFE7" w14:textId="6132897D"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312CB43B" w14:textId="77777777" w:rsidTr="000E4105">
        <w:trPr>
          <w:cantSplit/>
        </w:trPr>
        <w:tc>
          <w:tcPr>
            <w:tcW w:w="1342" w:type="dxa"/>
            <w:tcBorders>
              <w:top w:val="nil"/>
              <w:bottom w:val="nil"/>
            </w:tcBorders>
            <w:shd w:val="clear" w:color="auto" w:fill="auto"/>
          </w:tcPr>
          <w:p w14:paraId="0C3AFF26" w14:textId="77777777" w:rsidR="00271FA2" w:rsidRPr="00F06DE2" w:rsidRDefault="00271FA2">
            <w:pPr>
              <w:spacing w:line="240" w:lineRule="atLeast"/>
              <w:rPr>
                <w:rFonts w:ascii="Times New Roman" w:hAnsi="Times New Roman" w:cs="Times New Roman"/>
              </w:rPr>
            </w:pPr>
          </w:p>
        </w:tc>
        <w:tc>
          <w:tcPr>
            <w:tcW w:w="1660" w:type="dxa"/>
            <w:tcBorders>
              <w:bottom w:val="nil"/>
            </w:tcBorders>
            <w:shd w:val="clear" w:color="auto" w:fill="auto"/>
          </w:tcPr>
          <w:p w14:paraId="4E5B09D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tcBorders>
              <w:bottom w:val="single" w:sz="4" w:space="0" w:color="auto"/>
            </w:tcBorders>
            <w:shd w:val="clear" w:color="auto" w:fill="auto"/>
          </w:tcPr>
          <w:p w14:paraId="1595E11D"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Устойчивост в повредено състояние</w:t>
            </w:r>
          </w:p>
        </w:tc>
        <w:tc>
          <w:tcPr>
            <w:tcW w:w="6521" w:type="dxa"/>
            <w:shd w:val="clear" w:color="auto" w:fill="auto"/>
          </w:tcPr>
          <w:p w14:paraId="31E9E51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5073943" w14:textId="0FF040DA"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02CC5580" w14:textId="77777777" w:rsidTr="000E4105">
        <w:trPr>
          <w:cantSplit/>
        </w:trPr>
        <w:tc>
          <w:tcPr>
            <w:tcW w:w="1342" w:type="dxa"/>
            <w:tcBorders>
              <w:top w:val="nil"/>
              <w:bottom w:val="single" w:sz="4" w:space="0" w:color="auto"/>
            </w:tcBorders>
            <w:shd w:val="clear" w:color="auto" w:fill="auto"/>
          </w:tcPr>
          <w:p w14:paraId="1B0AFCB3" w14:textId="77777777" w:rsidR="00271FA2" w:rsidRPr="00F06DE2" w:rsidRDefault="00271FA2">
            <w:pPr>
              <w:spacing w:line="240" w:lineRule="atLeast"/>
              <w:rPr>
                <w:rFonts w:ascii="Times New Roman" w:hAnsi="Times New Roman" w:cs="Times New Roman"/>
              </w:rPr>
            </w:pPr>
          </w:p>
        </w:tc>
        <w:tc>
          <w:tcPr>
            <w:tcW w:w="1660" w:type="dxa"/>
            <w:vMerge w:val="restart"/>
            <w:tcBorders>
              <w:top w:val="nil"/>
            </w:tcBorders>
            <w:shd w:val="clear" w:color="auto" w:fill="auto"/>
          </w:tcPr>
          <w:p w14:paraId="0F8D1A86" w14:textId="77777777" w:rsidR="00271FA2" w:rsidRPr="00F06DE2" w:rsidRDefault="00271FA2">
            <w:pPr>
              <w:spacing w:line="240" w:lineRule="atLeast"/>
              <w:jc w:val="both"/>
              <w:rPr>
                <w:rFonts w:ascii="Times New Roman" w:hAnsi="Times New Roman" w:cs="Times New Roman"/>
              </w:rPr>
            </w:pPr>
          </w:p>
        </w:tc>
        <w:tc>
          <w:tcPr>
            <w:tcW w:w="3296" w:type="dxa"/>
            <w:vMerge w:val="restart"/>
            <w:shd w:val="clear" w:color="auto" w:fill="auto"/>
          </w:tcPr>
          <w:p w14:paraId="333F42B3"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Вертикален размер на повредата на дъното на съда</w:t>
            </w:r>
          </w:p>
        </w:tc>
        <w:tc>
          <w:tcPr>
            <w:tcW w:w="6521" w:type="dxa"/>
            <w:shd w:val="clear" w:color="auto" w:fill="auto"/>
          </w:tcPr>
          <w:p w14:paraId="1CEE937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79BE5D2" w14:textId="5B18DA93"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33F4C6AC" w14:textId="77777777" w:rsidTr="000E4105">
        <w:trPr>
          <w:cantSplit/>
        </w:trPr>
        <w:tc>
          <w:tcPr>
            <w:tcW w:w="1342" w:type="dxa"/>
            <w:tcBorders>
              <w:top w:val="single" w:sz="4" w:space="0" w:color="auto"/>
              <w:bottom w:val="nil"/>
            </w:tcBorders>
            <w:shd w:val="clear" w:color="auto" w:fill="auto"/>
          </w:tcPr>
          <w:p w14:paraId="73F8C96B" w14:textId="77777777" w:rsidR="00271FA2" w:rsidRPr="00F06DE2" w:rsidRDefault="00271FA2">
            <w:pPr>
              <w:spacing w:line="240" w:lineRule="atLeast"/>
              <w:rPr>
                <w:rFonts w:ascii="Times New Roman" w:hAnsi="Times New Roman" w:cs="Times New Roman"/>
              </w:rPr>
            </w:pPr>
          </w:p>
        </w:tc>
        <w:tc>
          <w:tcPr>
            <w:tcW w:w="1660" w:type="dxa"/>
            <w:vMerge/>
            <w:tcBorders>
              <w:bottom w:val="nil"/>
            </w:tcBorders>
            <w:shd w:val="clear" w:color="auto" w:fill="auto"/>
          </w:tcPr>
          <w:p w14:paraId="2A53F760" w14:textId="77777777" w:rsidR="00271FA2" w:rsidRPr="00F06DE2" w:rsidRDefault="00271FA2">
            <w:pPr>
              <w:spacing w:line="240" w:lineRule="atLeast"/>
              <w:jc w:val="both"/>
              <w:rPr>
                <w:rFonts w:ascii="Times New Roman" w:hAnsi="Times New Roman" w:cs="Times New Roman"/>
              </w:rPr>
            </w:pPr>
          </w:p>
        </w:tc>
        <w:tc>
          <w:tcPr>
            <w:tcW w:w="3296" w:type="dxa"/>
            <w:vMerge/>
            <w:shd w:val="clear" w:color="auto" w:fill="auto"/>
          </w:tcPr>
          <w:p w14:paraId="7245DED6" w14:textId="77777777" w:rsidR="00271FA2" w:rsidRPr="00F06DE2" w:rsidRDefault="00271FA2">
            <w:pPr>
              <w:tabs>
                <w:tab w:val="left" w:pos="1080"/>
              </w:tabs>
              <w:spacing w:line="240" w:lineRule="atLeast"/>
              <w:jc w:val="both"/>
              <w:rPr>
                <w:rFonts w:ascii="Times New Roman" w:hAnsi="Times New Roman" w:cs="Times New Roman"/>
              </w:rPr>
            </w:pPr>
          </w:p>
        </w:tc>
        <w:tc>
          <w:tcPr>
            <w:tcW w:w="6521" w:type="dxa"/>
            <w:shd w:val="clear" w:color="auto" w:fill="auto"/>
          </w:tcPr>
          <w:p w14:paraId="7D82A41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приложими за плавателни съдове с водонепроницаеми палуби, на разстояние най-малко 0,50 </w:t>
            </w:r>
            <w:r w:rsidRPr="00F06DE2">
              <w:rPr>
                <w:rFonts w:ascii="Times New Roman" w:hAnsi="Times New Roman" w:cs="Times New Roman"/>
              </w:rPr>
              <w:t>m</w:t>
            </w:r>
            <w:r w:rsidRPr="00F06DE2">
              <w:rPr>
                <w:rFonts w:ascii="Times New Roman" w:hAnsi="Times New Roman" w:cs="Times New Roman"/>
                <w:lang w:val="ru-RU"/>
              </w:rPr>
              <w:t xml:space="preserve"> и не повече от 0,60 </w:t>
            </w:r>
            <w:r w:rsidRPr="00F06DE2">
              <w:rPr>
                <w:rFonts w:ascii="Times New Roman" w:hAnsi="Times New Roman" w:cs="Times New Roman"/>
              </w:rPr>
              <w:t>m</w:t>
            </w:r>
            <w:r w:rsidRPr="00F06DE2">
              <w:rPr>
                <w:rFonts w:ascii="Times New Roman" w:hAnsi="Times New Roman" w:cs="Times New Roman"/>
                <w:lang w:val="ru-RU"/>
              </w:rPr>
              <w:t xml:space="preserve"> от дъното на плавателни съдове, получили Корабното удостоверение за вътрешно корабоплаване за първи път преди 31.12.2005 г.</w:t>
            </w:r>
          </w:p>
        </w:tc>
        <w:tc>
          <w:tcPr>
            <w:tcW w:w="1635" w:type="dxa"/>
            <w:shd w:val="clear" w:color="auto" w:fill="auto"/>
          </w:tcPr>
          <w:p w14:paraId="17DDD303"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42A0DD32" w14:textId="77777777" w:rsidTr="000E4105">
        <w:trPr>
          <w:cantSplit/>
        </w:trPr>
        <w:tc>
          <w:tcPr>
            <w:tcW w:w="1342" w:type="dxa"/>
            <w:tcBorders>
              <w:top w:val="nil"/>
              <w:bottom w:val="nil"/>
            </w:tcBorders>
            <w:shd w:val="clear" w:color="auto" w:fill="auto"/>
          </w:tcPr>
          <w:p w14:paraId="5076913F" w14:textId="77777777" w:rsidR="00271FA2" w:rsidRPr="00F06DE2" w:rsidRDefault="00271FA2">
            <w:pPr>
              <w:spacing w:line="240" w:lineRule="atLeast"/>
              <w:rPr>
                <w:rFonts w:ascii="Times New Roman" w:hAnsi="Times New Roman" w:cs="Times New Roman"/>
                <w:lang w:val="ru-RU"/>
              </w:rPr>
            </w:pPr>
          </w:p>
        </w:tc>
        <w:tc>
          <w:tcPr>
            <w:tcW w:w="1660" w:type="dxa"/>
            <w:tcBorders>
              <w:top w:val="nil"/>
            </w:tcBorders>
            <w:shd w:val="clear" w:color="auto" w:fill="auto"/>
          </w:tcPr>
          <w:p w14:paraId="6FAEF2C7" w14:textId="77777777" w:rsidR="00271FA2" w:rsidRPr="00F06DE2" w:rsidRDefault="00271FA2">
            <w:pPr>
              <w:spacing w:line="240" w:lineRule="atLeast"/>
              <w:rPr>
                <w:rFonts w:ascii="Times New Roman" w:hAnsi="Times New Roman" w:cs="Times New Roman"/>
                <w:lang w:val="ru-RU"/>
              </w:rPr>
            </w:pPr>
          </w:p>
        </w:tc>
        <w:tc>
          <w:tcPr>
            <w:tcW w:w="3296" w:type="dxa"/>
            <w:shd w:val="clear" w:color="auto" w:fill="auto"/>
          </w:tcPr>
          <w:p w14:paraId="25A4B4C8"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Повреда на два отсека</w:t>
            </w:r>
          </w:p>
        </w:tc>
        <w:tc>
          <w:tcPr>
            <w:tcW w:w="6521" w:type="dxa"/>
            <w:shd w:val="clear" w:color="auto" w:fill="auto"/>
          </w:tcPr>
          <w:p w14:paraId="3AB8132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635" w:type="dxa"/>
            <w:shd w:val="clear" w:color="auto" w:fill="auto"/>
          </w:tcPr>
          <w:p w14:paraId="42C2B4DA" w14:textId="77777777" w:rsidR="00271FA2" w:rsidRPr="00F06DE2" w:rsidRDefault="00271FA2">
            <w:pPr>
              <w:spacing w:line="240" w:lineRule="atLeast"/>
              <w:jc w:val="both"/>
              <w:rPr>
                <w:rFonts w:ascii="Times New Roman" w:hAnsi="Times New Roman" w:cs="Times New Roman"/>
              </w:rPr>
            </w:pPr>
          </w:p>
        </w:tc>
      </w:tr>
      <w:tr w:rsidR="00271FA2" w:rsidRPr="00F06DE2" w14:paraId="0E4C5581" w14:textId="77777777" w:rsidTr="000E4105">
        <w:trPr>
          <w:cantSplit/>
        </w:trPr>
        <w:tc>
          <w:tcPr>
            <w:tcW w:w="1342" w:type="dxa"/>
            <w:tcBorders>
              <w:top w:val="nil"/>
              <w:bottom w:val="single" w:sz="4" w:space="0" w:color="auto"/>
            </w:tcBorders>
            <w:shd w:val="clear" w:color="auto" w:fill="auto"/>
          </w:tcPr>
          <w:p w14:paraId="3052A460" w14:textId="1A18EC29" w:rsidR="00271FA2" w:rsidRPr="00F06DE2" w:rsidRDefault="0018415D">
            <w:pPr>
              <w:spacing w:line="240" w:lineRule="atLeast"/>
              <w:jc w:val="both"/>
              <w:rPr>
                <w:rFonts w:ascii="Times New Roman" w:hAnsi="Times New Roman" w:cs="Times New Roman"/>
              </w:rPr>
            </w:pPr>
            <w:r w:rsidRPr="00F06DE2">
              <w:rPr>
                <w:rFonts w:ascii="Times New Roman" w:hAnsi="Times New Roman" w:cs="Times New Roman"/>
              </w:rPr>
              <w:t>19.03</w:t>
            </w:r>
          </w:p>
        </w:tc>
        <w:tc>
          <w:tcPr>
            <w:tcW w:w="1660" w:type="dxa"/>
            <w:shd w:val="clear" w:color="auto" w:fill="auto"/>
          </w:tcPr>
          <w:p w14:paraId="6D78CF3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10 - 13</w:t>
            </w:r>
          </w:p>
        </w:tc>
        <w:tc>
          <w:tcPr>
            <w:tcW w:w="3296" w:type="dxa"/>
            <w:shd w:val="clear" w:color="auto" w:fill="auto"/>
          </w:tcPr>
          <w:p w14:paraId="4EB250BD"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Устойчивост в повредено състояние</w:t>
            </w:r>
          </w:p>
        </w:tc>
        <w:tc>
          <w:tcPr>
            <w:tcW w:w="6521" w:type="dxa"/>
            <w:shd w:val="clear" w:color="auto" w:fill="auto"/>
          </w:tcPr>
          <w:p w14:paraId="29D041E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57CC2DD" w14:textId="0EEC6369"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F39E8" w:rsidRPr="00F06DE2" w14:paraId="4FB05250" w14:textId="77777777" w:rsidTr="000E4105">
        <w:trPr>
          <w:cantSplit/>
        </w:trPr>
        <w:tc>
          <w:tcPr>
            <w:tcW w:w="1342" w:type="dxa"/>
            <w:vMerge w:val="restart"/>
            <w:shd w:val="clear" w:color="auto" w:fill="auto"/>
          </w:tcPr>
          <w:p w14:paraId="2178F8B4" w14:textId="77777777" w:rsidR="002F39E8" w:rsidRPr="00F06DE2" w:rsidRDefault="002F39E8">
            <w:pPr>
              <w:spacing w:line="240" w:lineRule="atLeast"/>
              <w:jc w:val="both"/>
              <w:rPr>
                <w:rFonts w:ascii="Times New Roman" w:hAnsi="Times New Roman" w:cs="Times New Roman"/>
              </w:rPr>
            </w:pPr>
            <w:r w:rsidRPr="00F06DE2">
              <w:rPr>
                <w:rFonts w:ascii="Times New Roman" w:hAnsi="Times New Roman" w:cs="Times New Roman"/>
              </w:rPr>
              <w:t>19.05</w:t>
            </w:r>
          </w:p>
        </w:tc>
        <w:tc>
          <w:tcPr>
            <w:tcW w:w="1660" w:type="dxa"/>
            <w:shd w:val="clear" w:color="auto" w:fill="auto"/>
          </w:tcPr>
          <w:p w14:paraId="38E9C5C4" w14:textId="77777777" w:rsidR="002F39E8" w:rsidRPr="00F06DE2" w:rsidRDefault="002F39E8">
            <w:pPr>
              <w:spacing w:line="240" w:lineRule="atLeast"/>
              <w:jc w:val="both"/>
              <w:rPr>
                <w:rFonts w:ascii="Times New Roman" w:hAnsi="Times New Roman" w:cs="Times New Roman"/>
              </w:rPr>
            </w:pPr>
            <w:r w:rsidRPr="00F06DE2">
              <w:rPr>
                <w:rFonts w:ascii="Times New Roman" w:hAnsi="Times New Roman" w:cs="Times New Roman"/>
              </w:rPr>
              <w:t>Точка 2, буква “a”</w:t>
            </w:r>
          </w:p>
        </w:tc>
        <w:tc>
          <w:tcPr>
            <w:tcW w:w="3296" w:type="dxa"/>
            <w:shd w:val="clear" w:color="auto" w:fill="auto"/>
          </w:tcPr>
          <w:p w14:paraId="7B54C8C4" w14:textId="77777777" w:rsidR="002F39E8" w:rsidRPr="00F06DE2" w:rsidRDefault="002F39E8">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Брой пътници, за които е доказано наличие на пунктове за евакуация съгласно член</w:t>
            </w:r>
            <w:r w:rsidRPr="00F06DE2">
              <w:rPr>
                <w:rFonts w:ascii="Times New Roman" w:hAnsi="Times New Roman" w:cs="Times New Roman"/>
              </w:rPr>
              <w:t> </w:t>
            </w:r>
            <w:r w:rsidRPr="00F06DE2">
              <w:rPr>
                <w:rFonts w:ascii="Times New Roman" w:hAnsi="Times New Roman" w:cs="Times New Roman"/>
                <w:lang w:val="ru-RU"/>
              </w:rPr>
              <w:t>19.06, точка 8</w:t>
            </w:r>
          </w:p>
        </w:tc>
        <w:tc>
          <w:tcPr>
            <w:tcW w:w="6521" w:type="dxa"/>
            <w:shd w:val="clear" w:color="auto" w:fill="auto"/>
          </w:tcPr>
          <w:p w14:paraId="7EA6FBDD" w14:textId="77777777" w:rsidR="002F39E8" w:rsidRPr="00F06DE2" w:rsidRDefault="002F39E8">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7194671" w14:textId="286B7E9A" w:rsidR="002F39E8"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2F39E8" w:rsidRPr="00F06DE2">
              <w:rPr>
                <w:rFonts w:ascii="Times New Roman" w:hAnsi="Times New Roman" w:cs="Times New Roman"/>
              </w:rPr>
              <w:t>.2045 г.</w:t>
            </w:r>
          </w:p>
        </w:tc>
      </w:tr>
      <w:tr w:rsidR="002F39E8" w:rsidRPr="00F06DE2" w14:paraId="4CC05D0B" w14:textId="77777777" w:rsidTr="000E4105">
        <w:trPr>
          <w:cantSplit/>
        </w:trPr>
        <w:tc>
          <w:tcPr>
            <w:tcW w:w="1342" w:type="dxa"/>
            <w:vMerge/>
            <w:shd w:val="clear" w:color="auto" w:fill="auto"/>
          </w:tcPr>
          <w:p w14:paraId="3A52AB2B" w14:textId="77777777" w:rsidR="002F39E8" w:rsidRPr="00F06DE2" w:rsidRDefault="002F39E8">
            <w:pPr>
              <w:spacing w:line="240" w:lineRule="atLeast"/>
              <w:rPr>
                <w:rFonts w:ascii="Times New Roman" w:hAnsi="Times New Roman" w:cs="Times New Roman"/>
              </w:rPr>
            </w:pPr>
          </w:p>
        </w:tc>
        <w:tc>
          <w:tcPr>
            <w:tcW w:w="1660" w:type="dxa"/>
            <w:shd w:val="clear" w:color="auto" w:fill="auto"/>
          </w:tcPr>
          <w:p w14:paraId="107D5DE0" w14:textId="77777777" w:rsidR="002F39E8" w:rsidRPr="00F06DE2" w:rsidRDefault="002F39E8">
            <w:pPr>
              <w:spacing w:line="240" w:lineRule="atLeast"/>
              <w:jc w:val="both"/>
              <w:rPr>
                <w:rFonts w:ascii="Times New Roman" w:hAnsi="Times New Roman" w:cs="Times New Roman"/>
              </w:rPr>
            </w:pPr>
            <w:r w:rsidRPr="00F06DE2">
              <w:rPr>
                <w:rFonts w:ascii="Times New Roman" w:hAnsi="Times New Roman" w:cs="Times New Roman"/>
              </w:rPr>
              <w:t>Точка 2, буква “б”</w:t>
            </w:r>
          </w:p>
        </w:tc>
        <w:tc>
          <w:tcPr>
            <w:tcW w:w="3296" w:type="dxa"/>
            <w:shd w:val="clear" w:color="auto" w:fill="auto"/>
          </w:tcPr>
          <w:p w14:paraId="34871844" w14:textId="77777777" w:rsidR="002F39E8" w:rsidRPr="00F06DE2" w:rsidRDefault="002F39E8">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Брой пътници, взет под внимание при пресмятането на устойчивостта съгласно член</w:t>
            </w:r>
            <w:r w:rsidRPr="00F06DE2">
              <w:rPr>
                <w:rFonts w:ascii="Times New Roman" w:hAnsi="Times New Roman" w:cs="Times New Roman"/>
              </w:rPr>
              <w:t> </w:t>
            </w:r>
            <w:r w:rsidRPr="00F06DE2">
              <w:rPr>
                <w:rFonts w:ascii="Times New Roman" w:hAnsi="Times New Roman" w:cs="Times New Roman"/>
                <w:lang w:val="ru-RU"/>
              </w:rPr>
              <w:t>19.03</w:t>
            </w:r>
          </w:p>
        </w:tc>
        <w:tc>
          <w:tcPr>
            <w:tcW w:w="6521" w:type="dxa"/>
            <w:shd w:val="clear" w:color="auto" w:fill="auto"/>
          </w:tcPr>
          <w:p w14:paraId="3DBAC3E4" w14:textId="77777777" w:rsidR="002F39E8" w:rsidRPr="00F06DE2" w:rsidRDefault="002F39E8">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0F9DDD7" w14:textId="703FD914" w:rsidR="002F39E8"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2F39E8" w:rsidRPr="00F06DE2">
              <w:rPr>
                <w:rFonts w:ascii="Times New Roman" w:hAnsi="Times New Roman" w:cs="Times New Roman"/>
              </w:rPr>
              <w:t>.2045 г.</w:t>
            </w:r>
          </w:p>
        </w:tc>
      </w:tr>
      <w:tr w:rsidR="002F39E8" w:rsidRPr="00F06DE2" w14:paraId="027F8E5B" w14:textId="77777777" w:rsidTr="000E4105">
        <w:trPr>
          <w:cantSplit/>
        </w:trPr>
        <w:tc>
          <w:tcPr>
            <w:tcW w:w="1342" w:type="dxa"/>
            <w:vMerge/>
            <w:tcBorders>
              <w:bottom w:val="single" w:sz="4" w:space="0" w:color="auto"/>
            </w:tcBorders>
            <w:shd w:val="clear" w:color="auto" w:fill="auto"/>
          </w:tcPr>
          <w:p w14:paraId="0ABE43F8" w14:textId="77777777" w:rsidR="002F39E8" w:rsidRPr="00F06DE2" w:rsidRDefault="002F39E8">
            <w:pPr>
              <w:spacing w:line="240" w:lineRule="atLeast"/>
              <w:rPr>
                <w:rFonts w:ascii="Times New Roman" w:hAnsi="Times New Roman" w:cs="Times New Roman"/>
              </w:rPr>
            </w:pPr>
          </w:p>
        </w:tc>
        <w:tc>
          <w:tcPr>
            <w:tcW w:w="1660" w:type="dxa"/>
            <w:shd w:val="clear" w:color="auto" w:fill="auto"/>
          </w:tcPr>
          <w:p w14:paraId="404233D2" w14:textId="77777777" w:rsidR="002F39E8" w:rsidRPr="00F06DE2" w:rsidRDefault="002F39E8">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46CAD801" w14:textId="77777777" w:rsidR="002F39E8" w:rsidRPr="00F06DE2" w:rsidRDefault="002F39E8">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Брой пътници, показан на плана за безопасност</w:t>
            </w:r>
          </w:p>
        </w:tc>
        <w:tc>
          <w:tcPr>
            <w:tcW w:w="6521" w:type="dxa"/>
            <w:shd w:val="clear" w:color="auto" w:fill="auto"/>
          </w:tcPr>
          <w:p w14:paraId="6ECD7A99" w14:textId="77777777" w:rsidR="002F39E8" w:rsidRPr="00F06DE2" w:rsidRDefault="002F39E8">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5BE5306C" w14:textId="77777777" w:rsidR="002F39E8" w:rsidRPr="00F06DE2" w:rsidRDefault="002F39E8">
            <w:pPr>
              <w:spacing w:line="240" w:lineRule="atLeast"/>
              <w:jc w:val="both"/>
              <w:rPr>
                <w:rFonts w:ascii="Times New Roman" w:hAnsi="Times New Roman" w:cs="Times New Roman"/>
                <w:lang w:val="ru-RU"/>
              </w:rPr>
            </w:pPr>
          </w:p>
        </w:tc>
      </w:tr>
      <w:tr w:rsidR="00497ADA" w:rsidRPr="00F06DE2" w14:paraId="75540F1B" w14:textId="77777777" w:rsidTr="000E4105">
        <w:trPr>
          <w:cantSplit/>
        </w:trPr>
        <w:tc>
          <w:tcPr>
            <w:tcW w:w="1342" w:type="dxa"/>
            <w:vMerge w:val="restart"/>
            <w:shd w:val="clear" w:color="auto" w:fill="auto"/>
          </w:tcPr>
          <w:p w14:paraId="7284FAD8" w14:textId="514C0650" w:rsidR="00497ADA" w:rsidRPr="00F06DE2" w:rsidRDefault="00497ADA">
            <w:pPr>
              <w:spacing w:line="240" w:lineRule="atLeast"/>
              <w:rPr>
                <w:rFonts w:ascii="Times New Roman" w:hAnsi="Times New Roman" w:cs="Times New Roman"/>
              </w:rPr>
            </w:pPr>
            <w:r w:rsidRPr="00F06DE2">
              <w:rPr>
                <w:rFonts w:ascii="Times New Roman" w:hAnsi="Times New Roman" w:cs="Times New Roman"/>
              </w:rPr>
              <w:t>19.06</w:t>
            </w:r>
          </w:p>
          <w:p w14:paraId="39259A00" w14:textId="77777777" w:rsidR="00497ADA" w:rsidRPr="00F06DE2" w:rsidRDefault="00497ADA" w:rsidP="00497ADA">
            <w:pPr>
              <w:rPr>
                <w:rFonts w:ascii="Times New Roman" w:hAnsi="Times New Roman" w:cs="Times New Roman"/>
              </w:rPr>
            </w:pPr>
          </w:p>
          <w:p w14:paraId="5D06B722" w14:textId="77777777" w:rsidR="00497ADA" w:rsidRPr="00F06DE2" w:rsidRDefault="00497ADA" w:rsidP="00497ADA">
            <w:pPr>
              <w:rPr>
                <w:rFonts w:ascii="Times New Roman" w:hAnsi="Times New Roman" w:cs="Times New Roman"/>
              </w:rPr>
            </w:pPr>
          </w:p>
          <w:p w14:paraId="2267482A" w14:textId="77777777" w:rsidR="00497ADA" w:rsidRPr="00F06DE2" w:rsidRDefault="00497ADA" w:rsidP="00497ADA">
            <w:pPr>
              <w:rPr>
                <w:rFonts w:ascii="Times New Roman" w:hAnsi="Times New Roman" w:cs="Times New Roman"/>
              </w:rPr>
            </w:pPr>
          </w:p>
          <w:p w14:paraId="6C9B1383" w14:textId="3DEE4B16" w:rsidR="00497ADA" w:rsidRPr="00F06DE2" w:rsidRDefault="00497ADA" w:rsidP="00497ADA">
            <w:pPr>
              <w:rPr>
                <w:rFonts w:ascii="Times New Roman" w:hAnsi="Times New Roman" w:cs="Times New Roman"/>
              </w:rPr>
            </w:pPr>
          </w:p>
          <w:p w14:paraId="79C36C2C" w14:textId="77777777" w:rsidR="00497ADA" w:rsidRPr="00F06DE2" w:rsidRDefault="00497ADA" w:rsidP="00497ADA">
            <w:pPr>
              <w:jc w:val="center"/>
              <w:rPr>
                <w:rFonts w:ascii="Times New Roman" w:hAnsi="Times New Roman" w:cs="Times New Roman"/>
              </w:rPr>
            </w:pPr>
          </w:p>
        </w:tc>
        <w:tc>
          <w:tcPr>
            <w:tcW w:w="1660" w:type="dxa"/>
            <w:shd w:val="clear" w:color="auto" w:fill="auto"/>
          </w:tcPr>
          <w:p w14:paraId="72981CBD" w14:textId="77777777" w:rsidR="00497ADA" w:rsidRPr="00F06DE2" w:rsidRDefault="00497ADA">
            <w:pPr>
              <w:spacing w:line="240" w:lineRule="atLeast"/>
              <w:jc w:val="both"/>
              <w:rPr>
                <w:rFonts w:ascii="Times New Roman" w:hAnsi="Times New Roman" w:cs="Times New Roman"/>
              </w:rPr>
            </w:pPr>
            <w:r w:rsidRPr="00F06DE2">
              <w:rPr>
                <w:rFonts w:ascii="Times New Roman" w:hAnsi="Times New Roman" w:cs="Times New Roman"/>
              </w:rPr>
              <w:lastRenderedPageBreak/>
              <w:t>Точка 1, 1-во изречение</w:t>
            </w:r>
          </w:p>
        </w:tc>
        <w:tc>
          <w:tcPr>
            <w:tcW w:w="3296" w:type="dxa"/>
            <w:shd w:val="clear" w:color="auto" w:fill="auto"/>
          </w:tcPr>
          <w:p w14:paraId="5093818F" w14:textId="77777777" w:rsidR="00497ADA" w:rsidRPr="00F06DE2" w:rsidRDefault="00497ADA">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Помещения за пътници на всички палуби зад първата носова непроницаема преграда и доколкото са под палубата на преградите и пред ахтерпиковата преграда</w:t>
            </w:r>
          </w:p>
        </w:tc>
        <w:tc>
          <w:tcPr>
            <w:tcW w:w="6521" w:type="dxa"/>
            <w:shd w:val="clear" w:color="auto" w:fill="auto"/>
          </w:tcPr>
          <w:p w14:paraId="45DE3160" w14:textId="77777777" w:rsidR="00497ADA" w:rsidRPr="00F06DE2" w:rsidRDefault="00497ADA">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8191553" w14:textId="14701C93" w:rsidR="00497ADA"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497ADA" w:rsidRPr="00F06DE2">
              <w:rPr>
                <w:rFonts w:ascii="Times New Roman" w:hAnsi="Times New Roman" w:cs="Times New Roman"/>
              </w:rPr>
              <w:t>.2045 г.</w:t>
            </w:r>
          </w:p>
        </w:tc>
      </w:tr>
      <w:tr w:rsidR="00497ADA" w:rsidRPr="00F06DE2" w14:paraId="5A051FA5" w14:textId="77777777" w:rsidTr="000E4105">
        <w:trPr>
          <w:cantSplit/>
        </w:trPr>
        <w:tc>
          <w:tcPr>
            <w:tcW w:w="1342" w:type="dxa"/>
            <w:vMerge/>
            <w:tcBorders>
              <w:bottom w:val="single" w:sz="4" w:space="0" w:color="auto"/>
            </w:tcBorders>
            <w:shd w:val="clear" w:color="auto" w:fill="auto"/>
          </w:tcPr>
          <w:p w14:paraId="34D465B0" w14:textId="77777777" w:rsidR="00497ADA" w:rsidRPr="00F06DE2" w:rsidRDefault="00497ADA">
            <w:pPr>
              <w:spacing w:line="240" w:lineRule="atLeast"/>
              <w:rPr>
                <w:rFonts w:ascii="Times New Roman" w:hAnsi="Times New Roman" w:cs="Times New Roman"/>
              </w:rPr>
            </w:pPr>
          </w:p>
        </w:tc>
        <w:tc>
          <w:tcPr>
            <w:tcW w:w="1660" w:type="dxa"/>
            <w:shd w:val="clear" w:color="auto" w:fill="auto"/>
          </w:tcPr>
          <w:p w14:paraId="534DD38C" w14:textId="77777777" w:rsidR="00497ADA" w:rsidRPr="00F06DE2" w:rsidRDefault="00497ADA">
            <w:pPr>
              <w:spacing w:line="240" w:lineRule="atLeast"/>
              <w:jc w:val="both"/>
              <w:rPr>
                <w:rFonts w:ascii="Times New Roman" w:hAnsi="Times New Roman" w:cs="Times New Roman"/>
              </w:rPr>
            </w:pPr>
            <w:r w:rsidRPr="00F06DE2">
              <w:rPr>
                <w:rFonts w:ascii="Times New Roman" w:hAnsi="Times New Roman" w:cs="Times New Roman"/>
              </w:rPr>
              <w:t>Точка 3, буква “а”</w:t>
            </w:r>
          </w:p>
        </w:tc>
        <w:tc>
          <w:tcPr>
            <w:tcW w:w="3296" w:type="dxa"/>
            <w:shd w:val="clear" w:color="auto" w:fill="auto"/>
          </w:tcPr>
          <w:p w14:paraId="6BB98E0E" w14:textId="77777777" w:rsidR="00497ADA" w:rsidRPr="00F06DE2" w:rsidRDefault="00497ADA">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Два изхода, които са максимално отдалечени един друг, колкото е възможно</w:t>
            </w:r>
          </w:p>
        </w:tc>
        <w:tc>
          <w:tcPr>
            <w:tcW w:w="6521" w:type="dxa"/>
            <w:shd w:val="clear" w:color="auto" w:fill="auto"/>
          </w:tcPr>
          <w:p w14:paraId="488B9404" w14:textId="77777777" w:rsidR="00497ADA" w:rsidRPr="00F06DE2" w:rsidRDefault="00497ADA">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DBA2AB5" w14:textId="339BB0E9" w:rsidR="00497ADA"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497ADA" w:rsidRPr="00F06DE2">
              <w:rPr>
                <w:rFonts w:ascii="Times New Roman" w:hAnsi="Times New Roman" w:cs="Times New Roman"/>
              </w:rPr>
              <w:t>.2064 г.</w:t>
            </w:r>
          </w:p>
        </w:tc>
      </w:tr>
      <w:tr w:rsidR="00271FA2" w:rsidRPr="00F06DE2" w14:paraId="777D6079" w14:textId="77777777" w:rsidTr="000E4105">
        <w:trPr>
          <w:cantSplit/>
        </w:trPr>
        <w:tc>
          <w:tcPr>
            <w:tcW w:w="1342" w:type="dxa"/>
            <w:tcBorders>
              <w:top w:val="single" w:sz="4" w:space="0" w:color="auto"/>
              <w:bottom w:val="nil"/>
            </w:tcBorders>
            <w:shd w:val="clear" w:color="auto" w:fill="auto"/>
          </w:tcPr>
          <w:p w14:paraId="119BD822"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22BF460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3, буква “в”, 1-во изречение</w:t>
            </w:r>
          </w:p>
        </w:tc>
        <w:tc>
          <w:tcPr>
            <w:tcW w:w="3296" w:type="dxa"/>
            <w:shd w:val="clear" w:color="auto" w:fill="auto"/>
          </w:tcPr>
          <w:p w14:paraId="1EED49F0"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Габаритна височина на изходите</w:t>
            </w:r>
          </w:p>
        </w:tc>
        <w:tc>
          <w:tcPr>
            <w:tcW w:w="6521" w:type="dxa"/>
            <w:shd w:val="clear" w:color="auto" w:fill="auto"/>
          </w:tcPr>
          <w:p w14:paraId="103A512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848449F" w14:textId="3E31DB60"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73CA4555" w14:textId="77777777" w:rsidTr="000E4105">
        <w:trPr>
          <w:cantSplit/>
        </w:trPr>
        <w:tc>
          <w:tcPr>
            <w:tcW w:w="1342" w:type="dxa"/>
            <w:tcBorders>
              <w:top w:val="nil"/>
              <w:bottom w:val="nil"/>
            </w:tcBorders>
            <w:shd w:val="clear" w:color="auto" w:fill="auto"/>
          </w:tcPr>
          <w:p w14:paraId="1FEB048F"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161AAC8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точка 2, 2-ро изречение</w:t>
            </w:r>
          </w:p>
        </w:tc>
        <w:tc>
          <w:tcPr>
            <w:tcW w:w="3296" w:type="dxa"/>
            <w:shd w:val="clear" w:color="auto" w:fill="auto"/>
          </w:tcPr>
          <w:p w14:paraId="1858A071"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Габаритна ширина на вратите на пътническите каюти и други малки помещения</w:t>
            </w:r>
          </w:p>
        </w:tc>
        <w:tc>
          <w:tcPr>
            <w:tcW w:w="6521" w:type="dxa"/>
            <w:shd w:val="clear" w:color="auto" w:fill="auto"/>
          </w:tcPr>
          <w:p w14:paraId="1B0FBEC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616CD2E" w14:textId="5828FB45"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05D99C64" w14:textId="77777777" w:rsidTr="000E4105">
        <w:trPr>
          <w:cantSplit/>
        </w:trPr>
        <w:tc>
          <w:tcPr>
            <w:tcW w:w="1342" w:type="dxa"/>
            <w:tcBorders>
              <w:top w:val="nil"/>
              <w:bottom w:val="nil"/>
            </w:tcBorders>
            <w:shd w:val="clear" w:color="auto" w:fill="auto"/>
          </w:tcPr>
          <w:p w14:paraId="31D2D61A"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006C5F9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3, буква “е”, 1-во изречение</w:t>
            </w:r>
          </w:p>
        </w:tc>
        <w:tc>
          <w:tcPr>
            <w:tcW w:w="3296" w:type="dxa"/>
            <w:shd w:val="clear" w:color="auto" w:fill="auto"/>
          </w:tcPr>
          <w:p w14:paraId="589CDE67"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Размери на аварийните изходи</w:t>
            </w:r>
          </w:p>
        </w:tc>
        <w:tc>
          <w:tcPr>
            <w:tcW w:w="6521" w:type="dxa"/>
            <w:shd w:val="clear" w:color="auto" w:fill="auto"/>
          </w:tcPr>
          <w:p w14:paraId="150D037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F4BB132" w14:textId="3273A5DF"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4F57A394" w14:textId="77777777" w:rsidTr="000E4105">
        <w:trPr>
          <w:cantSplit/>
        </w:trPr>
        <w:tc>
          <w:tcPr>
            <w:tcW w:w="1342" w:type="dxa"/>
            <w:tcBorders>
              <w:top w:val="nil"/>
              <w:bottom w:val="nil"/>
            </w:tcBorders>
            <w:shd w:val="clear" w:color="auto" w:fill="auto"/>
          </w:tcPr>
          <w:p w14:paraId="085157E9"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33A6463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буква “ж”</w:t>
            </w:r>
          </w:p>
        </w:tc>
        <w:tc>
          <w:tcPr>
            <w:tcW w:w="3296" w:type="dxa"/>
            <w:shd w:val="clear" w:color="auto" w:fill="auto"/>
          </w:tcPr>
          <w:p w14:paraId="0CE1354E"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Изходи, предназначени за използване от лица с намалена подвижност</w:t>
            </w:r>
          </w:p>
        </w:tc>
        <w:tc>
          <w:tcPr>
            <w:tcW w:w="6521" w:type="dxa"/>
            <w:shd w:val="clear" w:color="auto" w:fill="auto"/>
          </w:tcPr>
          <w:p w14:paraId="36C6AC1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EC464B0" w14:textId="4C9FCC75"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4AF023EB" w14:textId="77777777" w:rsidTr="000E4105">
        <w:trPr>
          <w:cantSplit/>
        </w:trPr>
        <w:tc>
          <w:tcPr>
            <w:tcW w:w="1342" w:type="dxa"/>
            <w:tcBorders>
              <w:top w:val="nil"/>
              <w:bottom w:val="nil"/>
            </w:tcBorders>
            <w:shd w:val="clear" w:color="auto" w:fill="auto"/>
          </w:tcPr>
          <w:p w14:paraId="702B577A"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49C7E70B"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Точка 4, буква “г”</w:t>
            </w:r>
          </w:p>
        </w:tc>
        <w:tc>
          <w:tcPr>
            <w:tcW w:w="3296" w:type="dxa"/>
            <w:shd w:val="clear" w:color="auto" w:fill="auto"/>
          </w:tcPr>
          <w:p w14:paraId="14F7776D" w14:textId="77777777" w:rsidR="00271FA2" w:rsidRPr="00F06DE2" w:rsidRDefault="00D35E51">
            <w:pPr>
              <w:tabs>
                <w:tab w:val="left" w:pos="930"/>
              </w:tabs>
              <w:spacing w:line="240" w:lineRule="atLeast"/>
              <w:jc w:val="both"/>
              <w:rPr>
                <w:rFonts w:ascii="Times New Roman" w:hAnsi="Times New Roman" w:cs="Times New Roman"/>
                <w:lang w:val="ru-RU"/>
              </w:rPr>
            </w:pPr>
            <w:r w:rsidRPr="00F06DE2">
              <w:rPr>
                <w:rFonts w:ascii="Times New Roman" w:hAnsi="Times New Roman" w:cs="Times New Roman"/>
                <w:lang w:val="ru-RU"/>
              </w:rPr>
              <w:t>Врати, предназначени за използване от лица с намалена подвижност</w:t>
            </w:r>
          </w:p>
        </w:tc>
        <w:tc>
          <w:tcPr>
            <w:tcW w:w="6521" w:type="dxa"/>
            <w:shd w:val="clear" w:color="auto" w:fill="auto"/>
          </w:tcPr>
          <w:p w14:paraId="74AD4FA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7D6EA88" w14:textId="53214B84" w:rsidR="00271FA2" w:rsidRPr="00F06DE2" w:rsidRDefault="00B371D3">
            <w:pPr>
              <w:spacing w:line="240" w:lineRule="atLeast"/>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36ADCF65" w14:textId="77777777" w:rsidTr="000E4105">
        <w:trPr>
          <w:cantSplit/>
        </w:trPr>
        <w:tc>
          <w:tcPr>
            <w:tcW w:w="1342" w:type="dxa"/>
            <w:tcBorders>
              <w:top w:val="nil"/>
              <w:bottom w:val="nil"/>
            </w:tcBorders>
            <w:shd w:val="clear" w:color="auto" w:fill="auto"/>
          </w:tcPr>
          <w:p w14:paraId="799ED744"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5DB5574B"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10E2C160"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Изисквания относно свързващите коридори</w:t>
            </w:r>
          </w:p>
        </w:tc>
        <w:tc>
          <w:tcPr>
            <w:tcW w:w="6521" w:type="dxa"/>
            <w:shd w:val="clear" w:color="auto" w:fill="auto"/>
          </w:tcPr>
          <w:p w14:paraId="66212D4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1D2FFD8" w14:textId="44A94167" w:rsidR="00271FA2" w:rsidRPr="00F06DE2" w:rsidRDefault="00B371D3">
            <w:pPr>
              <w:spacing w:line="240" w:lineRule="atLeast"/>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37254A67" w14:textId="77777777" w:rsidTr="000E4105">
        <w:trPr>
          <w:cantSplit/>
        </w:trPr>
        <w:tc>
          <w:tcPr>
            <w:tcW w:w="1342" w:type="dxa"/>
            <w:tcBorders>
              <w:top w:val="nil"/>
              <w:bottom w:val="single" w:sz="4" w:space="0" w:color="auto"/>
            </w:tcBorders>
            <w:shd w:val="clear" w:color="auto" w:fill="auto"/>
          </w:tcPr>
          <w:p w14:paraId="44FA2BEF"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4C744C49"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Точка 6, буква “б”</w:t>
            </w:r>
          </w:p>
        </w:tc>
        <w:tc>
          <w:tcPr>
            <w:tcW w:w="3296" w:type="dxa"/>
            <w:shd w:val="clear" w:color="auto" w:fill="auto"/>
          </w:tcPr>
          <w:p w14:paraId="249F6BE8"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Маршрути за евакуация към пунктове за евакуация</w:t>
            </w:r>
          </w:p>
        </w:tc>
        <w:tc>
          <w:tcPr>
            <w:tcW w:w="6521" w:type="dxa"/>
            <w:shd w:val="clear" w:color="auto" w:fill="auto"/>
          </w:tcPr>
          <w:p w14:paraId="12FB5F8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08C7304" w14:textId="7392CABB" w:rsidR="00271FA2" w:rsidRPr="00F06DE2" w:rsidRDefault="00B371D3">
            <w:pPr>
              <w:spacing w:line="240" w:lineRule="atLeast"/>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4B6E8906" w14:textId="77777777" w:rsidTr="000E4105">
        <w:trPr>
          <w:cantSplit/>
        </w:trPr>
        <w:tc>
          <w:tcPr>
            <w:tcW w:w="1342" w:type="dxa"/>
            <w:tcBorders>
              <w:top w:val="single" w:sz="4" w:space="0" w:color="auto"/>
              <w:bottom w:val="nil"/>
            </w:tcBorders>
            <w:shd w:val="clear" w:color="auto" w:fill="auto"/>
          </w:tcPr>
          <w:p w14:paraId="2CA4251D"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30309F4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 буква “в”</w:t>
            </w:r>
          </w:p>
        </w:tc>
        <w:tc>
          <w:tcPr>
            <w:tcW w:w="3296" w:type="dxa"/>
            <w:shd w:val="clear" w:color="auto" w:fill="auto"/>
          </w:tcPr>
          <w:p w14:paraId="545A52A9"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Маршрутите за евакуация да не преминават през камбузи</w:t>
            </w:r>
          </w:p>
        </w:tc>
        <w:tc>
          <w:tcPr>
            <w:tcW w:w="6521" w:type="dxa"/>
            <w:shd w:val="clear" w:color="auto" w:fill="auto"/>
          </w:tcPr>
          <w:p w14:paraId="2821F34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397E315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Когато алтернативен маршрут за евакуация, избягващ камбуза, не може да бъде технически осъществен или неговото приложение налага непропорционални разходи, Корабното удостоверение за вътрешно корабоплаване може да бъде подновено само ако:</w:t>
            </w:r>
          </w:p>
          <w:p w14:paraId="39370AC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 рисковете, свързани с маршрут за евакуация през камбуза, са анализирани; и</w:t>
            </w:r>
          </w:p>
          <w:p w14:paraId="0FA5550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 са приложени препоръките в съответствие с анализа на ограничен риск за камбуза до удовлетворяване на компетентния орган.</w:t>
            </w:r>
          </w:p>
          <w:p w14:paraId="54BBB42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Този анализ на ограничен риск обхваща поне следното:</w:t>
            </w:r>
          </w:p>
          <w:p w14:paraId="3FFA0D8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 достъпността на аварийния маршрут;</w:t>
            </w:r>
          </w:p>
          <w:p w14:paraId="76E524E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 опасности от пожар;</w:t>
            </w:r>
          </w:p>
          <w:p w14:paraId="4FC62C6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 рискове от горещи повърхности;</w:t>
            </w:r>
          </w:p>
          <w:p w14:paraId="00A24DF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г) опасности от подхлъзване и падане по пода на камбуза;</w:t>
            </w:r>
          </w:p>
          <w:p w14:paraId="6D9537A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д) специфични опасности за определени целеви групи, като например лица с намалена подвижност.</w:t>
            </w:r>
          </w:p>
        </w:tc>
        <w:tc>
          <w:tcPr>
            <w:tcW w:w="1635" w:type="dxa"/>
            <w:shd w:val="clear" w:color="auto" w:fill="auto"/>
          </w:tcPr>
          <w:p w14:paraId="1084A304" w14:textId="406CDBDB"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38FB34DD" w14:textId="77777777" w:rsidTr="000E4105">
        <w:trPr>
          <w:cantSplit/>
        </w:trPr>
        <w:tc>
          <w:tcPr>
            <w:tcW w:w="1342" w:type="dxa"/>
            <w:tcBorders>
              <w:top w:val="nil"/>
              <w:bottom w:val="nil"/>
            </w:tcBorders>
            <w:shd w:val="clear" w:color="auto" w:fill="auto"/>
          </w:tcPr>
          <w:p w14:paraId="6A8B8A56"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0646F94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 буква “г”</w:t>
            </w:r>
          </w:p>
        </w:tc>
        <w:tc>
          <w:tcPr>
            <w:tcW w:w="3296" w:type="dxa"/>
            <w:shd w:val="clear" w:color="auto" w:fill="auto"/>
          </w:tcPr>
          <w:p w14:paraId="6BD70D09"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Без стъпала, подвижни стълби и др. подобни по маршрутите за евакуация</w:t>
            </w:r>
          </w:p>
        </w:tc>
        <w:tc>
          <w:tcPr>
            <w:tcW w:w="6521" w:type="dxa"/>
            <w:shd w:val="clear" w:color="auto" w:fill="auto"/>
          </w:tcPr>
          <w:p w14:paraId="341BFB1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07CA60E" w14:textId="01DB4352"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608B2FBC" w14:textId="77777777" w:rsidTr="000E4105">
        <w:trPr>
          <w:cantSplit/>
        </w:trPr>
        <w:tc>
          <w:tcPr>
            <w:tcW w:w="1342" w:type="dxa"/>
            <w:tcBorders>
              <w:top w:val="nil"/>
              <w:bottom w:val="single" w:sz="4" w:space="0" w:color="auto"/>
            </w:tcBorders>
            <w:shd w:val="clear" w:color="auto" w:fill="auto"/>
          </w:tcPr>
          <w:p w14:paraId="4639E33A"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35CF0C0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8</w:t>
            </w:r>
          </w:p>
        </w:tc>
        <w:tc>
          <w:tcPr>
            <w:tcW w:w="3296" w:type="dxa"/>
            <w:shd w:val="clear" w:color="auto" w:fill="auto"/>
          </w:tcPr>
          <w:p w14:paraId="630D27DB"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Изисквания към сборните пунктове</w:t>
            </w:r>
          </w:p>
        </w:tc>
        <w:tc>
          <w:tcPr>
            <w:tcW w:w="6521" w:type="dxa"/>
            <w:shd w:val="clear" w:color="auto" w:fill="auto"/>
          </w:tcPr>
          <w:p w14:paraId="0ABEE90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8FF9886" w14:textId="0BE50034"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4AC73C9E" w14:textId="77777777" w:rsidTr="000E4105">
        <w:trPr>
          <w:cantSplit/>
        </w:trPr>
        <w:tc>
          <w:tcPr>
            <w:tcW w:w="1342" w:type="dxa"/>
            <w:tcBorders>
              <w:top w:val="single" w:sz="4" w:space="0" w:color="auto"/>
              <w:bottom w:val="nil"/>
            </w:tcBorders>
            <w:shd w:val="clear" w:color="auto" w:fill="auto"/>
          </w:tcPr>
          <w:p w14:paraId="56B31E15"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3095DCD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00466D24"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стълбищата и техните площадки в пространствата за пътници</w:t>
            </w:r>
          </w:p>
        </w:tc>
        <w:tc>
          <w:tcPr>
            <w:tcW w:w="6521" w:type="dxa"/>
            <w:shd w:val="clear" w:color="auto" w:fill="auto"/>
          </w:tcPr>
          <w:p w14:paraId="28D5BEA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B006FA1" w14:textId="4B79C3F2"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3BF4DCE5" w14:textId="77777777" w:rsidTr="000E4105">
        <w:trPr>
          <w:cantSplit/>
        </w:trPr>
        <w:tc>
          <w:tcPr>
            <w:tcW w:w="1342" w:type="dxa"/>
            <w:tcBorders>
              <w:top w:val="nil"/>
              <w:bottom w:val="nil"/>
            </w:tcBorders>
            <w:shd w:val="clear" w:color="auto" w:fill="auto"/>
          </w:tcPr>
          <w:p w14:paraId="586D5E07"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6BD0A3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10, буква “</w:t>
            </w:r>
            <w:r w:rsidRPr="00F06DE2">
              <w:rPr>
                <w:rFonts w:ascii="Times New Roman" w:hAnsi="Times New Roman" w:cs="Times New Roman"/>
              </w:rPr>
              <w:t>a</w:t>
            </w:r>
            <w:r w:rsidRPr="00F06DE2">
              <w:rPr>
                <w:rFonts w:ascii="Times New Roman" w:hAnsi="Times New Roman" w:cs="Times New Roman"/>
                <w:lang w:val="ru-RU"/>
              </w:rPr>
              <w:t>”, 1-во изречение</w:t>
            </w:r>
          </w:p>
        </w:tc>
        <w:tc>
          <w:tcPr>
            <w:tcW w:w="3296" w:type="dxa"/>
            <w:shd w:val="clear" w:color="auto" w:fill="auto"/>
          </w:tcPr>
          <w:p w14:paraId="4D3D8106" w14:textId="77777777" w:rsidR="00271FA2" w:rsidRPr="00F06DE2" w:rsidRDefault="00D35E51">
            <w:pPr>
              <w:adjustRightInd w:val="0"/>
              <w:spacing w:line="240" w:lineRule="atLeast"/>
              <w:jc w:val="both"/>
              <w:rPr>
                <w:rFonts w:ascii="Times New Roman" w:eastAsia="Calibri" w:hAnsi="Times New Roman" w:cs="Times New Roman"/>
                <w:color w:val="000000"/>
              </w:rPr>
            </w:pPr>
            <w:r w:rsidRPr="00F06DE2">
              <w:rPr>
                <w:rFonts w:ascii="Times New Roman" w:hAnsi="Times New Roman" w:cs="Times New Roman"/>
              </w:rPr>
              <w:t xml:space="preserve">Парапети съгласно Европейски стандарт </w:t>
            </w:r>
          </w:p>
        </w:tc>
        <w:tc>
          <w:tcPr>
            <w:tcW w:w="6521" w:type="dxa"/>
            <w:shd w:val="clear" w:color="auto" w:fill="auto"/>
          </w:tcPr>
          <w:p w14:paraId="4B8BA111" w14:textId="77777777" w:rsidR="00271FA2" w:rsidRPr="00F06DE2" w:rsidRDefault="00D35E51">
            <w:pPr>
              <w:adjustRightInd w:val="0"/>
              <w:spacing w:line="240" w:lineRule="atLeast"/>
              <w:jc w:val="both"/>
              <w:rPr>
                <w:rFonts w:ascii="Times New Roman" w:eastAsia="Calibri" w:hAnsi="Times New Roman" w:cs="Times New Roman"/>
                <w:color w:val="000000"/>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6AED381" w14:textId="63E2731D"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12AA35A8" w14:textId="77777777" w:rsidTr="000E4105">
        <w:trPr>
          <w:cantSplit/>
        </w:trPr>
        <w:tc>
          <w:tcPr>
            <w:tcW w:w="1342" w:type="dxa"/>
            <w:tcBorders>
              <w:top w:val="nil"/>
              <w:bottom w:val="nil"/>
            </w:tcBorders>
            <w:shd w:val="clear" w:color="auto" w:fill="auto"/>
          </w:tcPr>
          <w:p w14:paraId="3BCB1FA6"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A89F0B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10, буква “</w:t>
            </w:r>
            <w:r w:rsidRPr="00F06DE2">
              <w:rPr>
                <w:rFonts w:ascii="Times New Roman" w:hAnsi="Times New Roman" w:cs="Times New Roman"/>
              </w:rPr>
              <w:t>a</w:t>
            </w:r>
            <w:r w:rsidRPr="00F06DE2">
              <w:rPr>
                <w:rFonts w:ascii="Times New Roman" w:hAnsi="Times New Roman" w:cs="Times New Roman"/>
                <w:lang w:val="ru-RU"/>
              </w:rPr>
              <w:t>”, 2-ро изречение</w:t>
            </w:r>
          </w:p>
        </w:tc>
        <w:tc>
          <w:tcPr>
            <w:tcW w:w="3296" w:type="dxa"/>
            <w:shd w:val="clear" w:color="auto" w:fill="auto"/>
          </w:tcPr>
          <w:p w14:paraId="18E41B96"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Височина на фалшборда и парапетите на палубите, предназначени за ползване от лица с намалена подвижност</w:t>
            </w:r>
          </w:p>
        </w:tc>
        <w:tc>
          <w:tcPr>
            <w:tcW w:w="6521" w:type="dxa"/>
            <w:shd w:val="clear" w:color="auto" w:fill="auto"/>
          </w:tcPr>
          <w:p w14:paraId="0202F61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6A713AA" w14:textId="6CE583A9"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311B2D29" w14:textId="77777777" w:rsidTr="000E4105">
        <w:trPr>
          <w:cantSplit/>
        </w:trPr>
        <w:tc>
          <w:tcPr>
            <w:tcW w:w="1342" w:type="dxa"/>
            <w:tcBorders>
              <w:top w:val="nil"/>
              <w:bottom w:val="nil"/>
            </w:tcBorders>
            <w:shd w:val="clear" w:color="auto" w:fill="auto"/>
          </w:tcPr>
          <w:p w14:paraId="26D930CB"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531AF8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11</w:t>
            </w:r>
          </w:p>
        </w:tc>
        <w:tc>
          <w:tcPr>
            <w:tcW w:w="3296" w:type="dxa"/>
            <w:shd w:val="clear" w:color="auto" w:fill="auto"/>
          </w:tcPr>
          <w:p w14:paraId="0E2737A5"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Части от плавателния съд, които не се считат за част от евакуационните пътища</w:t>
            </w:r>
          </w:p>
        </w:tc>
        <w:tc>
          <w:tcPr>
            <w:tcW w:w="6521" w:type="dxa"/>
            <w:shd w:val="clear" w:color="auto" w:fill="auto"/>
          </w:tcPr>
          <w:p w14:paraId="118E5C9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D8276FB" w14:textId="67AF1578"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.2064 г.</w:t>
            </w:r>
          </w:p>
        </w:tc>
      </w:tr>
      <w:tr w:rsidR="00271FA2" w:rsidRPr="00F06DE2" w14:paraId="4B249DC1" w14:textId="77777777" w:rsidTr="000E4105">
        <w:trPr>
          <w:cantSplit/>
        </w:trPr>
        <w:tc>
          <w:tcPr>
            <w:tcW w:w="1342" w:type="dxa"/>
            <w:tcBorders>
              <w:top w:val="nil"/>
              <w:bottom w:val="nil"/>
            </w:tcBorders>
            <w:shd w:val="clear" w:color="auto" w:fill="auto"/>
          </w:tcPr>
          <w:p w14:paraId="7AA05DA6"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535AEC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12, буква ”в” 1-во изречение</w:t>
            </w:r>
          </w:p>
        </w:tc>
        <w:tc>
          <w:tcPr>
            <w:tcW w:w="3296" w:type="dxa"/>
            <w:shd w:val="clear" w:color="auto" w:fill="auto"/>
          </w:tcPr>
          <w:p w14:paraId="277DE8EC"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Чиста ширина на отворите, използвани обикновено за качване или слизане на лица с намалена подвижност</w:t>
            </w:r>
          </w:p>
        </w:tc>
        <w:tc>
          <w:tcPr>
            <w:tcW w:w="6521" w:type="dxa"/>
            <w:shd w:val="clear" w:color="auto" w:fill="auto"/>
          </w:tcPr>
          <w:p w14:paraId="245D723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Корабното удостоверение за вътрешно корабоплаване след</w:t>
            </w:r>
          </w:p>
        </w:tc>
        <w:tc>
          <w:tcPr>
            <w:tcW w:w="1635" w:type="dxa"/>
            <w:shd w:val="clear" w:color="auto" w:fill="auto"/>
          </w:tcPr>
          <w:p w14:paraId="2FF45318" w14:textId="06D51FEC"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66FF3FDC" w14:textId="77777777" w:rsidTr="000E4105">
        <w:trPr>
          <w:cantSplit/>
        </w:trPr>
        <w:tc>
          <w:tcPr>
            <w:tcW w:w="1342" w:type="dxa"/>
            <w:tcBorders>
              <w:top w:val="nil"/>
              <w:bottom w:val="nil"/>
            </w:tcBorders>
            <w:shd w:val="clear" w:color="auto" w:fill="auto"/>
          </w:tcPr>
          <w:p w14:paraId="56C4CD61"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5707DB0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12, буква ”в” 2-ро изречение</w:t>
            </w:r>
          </w:p>
        </w:tc>
        <w:tc>
          <w:tcPr>
            <w:tcW w:w="3296" w:type="dxa"/>
            <w:shd w:val="clear" w:color="auto" w:fill="auto"/>
          </w:tcPr>
          <w:p w14:paraId="636A7EBF"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което позволява на хората да бъдат прехвърлени</w:t>
            </w:r>
          </w:p>
        </w:tc>
        <w:tc>
          <w:tcPr>
            <w:tcW w:w="6521" w:type="dxa"/>
            <w:shd w:val="clear" w:color="auto" w:fill="auto"/>
          </w:tcPr>
          <w:p w14:paraId="078D521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5393C527"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57D4ACF4" w14:textId="77777777" w:rsidTr="000E4105">
        <w:trPr>
          <w:cantSplit/>
        </w:trPr>
        <w:tc>
          <w:tcPr>
            <w:tcW w:w="1342" w:type="dxa"/>
            <w:tcBorders>
              <w:top w:val="nil"/>
              <w:bottom w:val="nil"/>
            </w:tcBorders>
            <w:shd w:val="clear" w:color="auto" w:fill="auto"/>
          </w:tcPr>
          <w:p w14:paraId="6941BAD4" w14:textId="77777777" w:rsidR="00271FA2" w:rsidRPr="00F06DE2" w:rsidRDefault="00271FA2">
            <w:pPr>
              <w:spacing w:line="240" w:lineRule="atLeast"/>
              <w:rPr>
                <w:rFonts w:ascii="Times New Roman" w:hAnsi="Times New Roman" w:cs="Times New Roman"/>
                <w:lang w:val="ru-RU"/>
              </w:rPr>
            </w:pPr>
          </w:p>
        </w:tc>
        <w:tc>
          <w:tcPr>
            <w:tcW w:w="1660" w:type="dxa"/>
            <w:shd w:val="clear" w:color="auto" w:fill="auto"/>
          </w:tcPr>
          <w:p w14:paraId="19A9440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0DA3F220"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Проходи и стени в коридорите, предназначени за ползване от лица с намалена подвижност</w:t>
            </w:r>
          </w:p>
        </w:tc>
        <w:tc>
          <w:tcPr>
            <w:tcW w:w="6521" w:type="dxa"/>
            <w:shd w:val="clear" w:color="auto" w:fill="auto"/>
          </w:tcPr>
          <w:p w14:paraId="658C7BD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9777BC9" w14:textId="4097EF80"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3EC9373C" w14:textId="77777777" w:rsidTr="000E4105">
        <w:trPr>
          <w:cantSplit/>
        </w:trPr>
        <w:tc>
          <w:tcPr>
            <w:tcW w:w="1342" w:type="dxa"/>
            <w:tcBorders>
              <w:top w:val="nil"/>
              <w:bottom w:val="single" w:sz="4" w:space="0" w:color="auto"/>
            </w:tcBorders>
            <w:shd w:val="clear" w:color="auto" w:fill="auto"/>
          </w:tcPr>
          <w:p w14:paraId="14FBEBCD" w14:textId="7C516709" w:rsidR="00497ADA" w:rsidRPr="00F06DE2" w:rsidRDefault="00497ADA">
            <w:pPr>
              <w:spacing w:line="240" w:lineRule="atLeast"/>
              <w:rPr>
                <w:rFonts w:ascii="Times New Roman" w:hAnsi="Times New Roman" w:cs="Times New Roman"/>
              </w:rPr>
            </w:pPr>
          </w:p>
          <w:p w14:paraId="59EAB0EA" w14:textId="77777777" w:rsidR="00271FA2" w:rsidRPr="00F06DE2" w:rsidRDefault="00271FA2" w:rsidP="00497ADA">
            <w:pPr>
              <w:jc w:val="center"/>
              <w:rPr>
                <w:rFonts w:ascii="Times New Roman" w:hAnsi="Times New Roman" w:cs="Times New Roman"/>
              </w:rPr>
            </w:pPr>
          </w:p>
        </w:tc>
        <w:tc>
          <w:tcPr>
            <w:tcW w:w="1660" w:type="dxa"/>
            <w:tcBorders>
              <w:bottom w:val="single" w:sz="4" w:space="0" w:color="auto"/>
            </w:tcBorders>
            <w:shd w:val="clear" w:color="auto" w:fill="auto"/>
          </w:tcPr>
          <w:p w14:paraId="1F91E52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14, 1</w:t>
            </w:r>
            <w:r w:rsidRPr="00F06DE2">
              <w:rPr>
                <w:rFonts w:ascii="Times New Roman" w:hAnsi="Times New Roman" w:cs="Times New Roman"/>
                <w:vertAlign w:val="superscript"/>
              </w:rPr>
              <w:t>во </w:t>
            </w:r>
            <w:r w:rsidRPr="00F06DE2">
              <w:rPr>
                <w:rFonts w:ascii="Times New Roman" w:hAnsi="Times New Roman" w:cs="Times New Roman"/>
              </w:rPr>
              <w:t>изречение</w:t>
            </w:r>
          </w:p>
        </w:tc>
        <w:tc>
          <w:tcPr>
            <w:tcW w:w="3296" w:type="dxa"/>
            <w:shd w:val="clear" w:color="auto" w:fill="auto"/>
          </w:tcPr>
          <w:p w14:paraId="3B11B0B0"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Конструкция на стъклените врати и стени в проходите и на стъклата на прозорците</w:t>
            </w:r>
          </w:p>
        </w:tc>
        <w:tc>
          <w:tcPr>
            <w:tcW w:w="6521" w:type="dxa"/>
            <w:shd w:val="clear" w:color="auto" w:fill="auto"/>
          </w:tcPr>
          <w:p w14:paraId="30B4126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0732B151" w14:textId="43F16DDD"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0092C187" w14:textId="77777777" w:rsidTr="000E4105">
        <w:trPr>
          <w:cantSplit/>
        </w:trPr>
        <w:tc>
          <w:tcPr>
            <w:tcW w:w="1342" w:type="dxa"/>
            <w:tcBorders>
              <w:top w:val="single" w:sz="4" w:space="0" w:color="auto"/>
              <w:bottom w:val="nil"/>
            </w:tcBorders>
            <w:shd w:val="clear" w:color="auto" w:fill="auto"/>
          </w:tcPr>
          <w:p w14:paraId="4858C539" w14:textId="77777777" w:rsidR="00271FA2" w:rsidRPr="00F06DE2" w:rsidRDefault="00271FA2">
            <w:pPr>
              <w:spacing w:line="240" w:lineRule="atLeast"/>
              <w:rPr>
                <w:rFonts w:ascii="Times New Roman" w:hAnsi="Times New Roman" w:cs="Times New Roman"/>
              </w:rPr>
            </w:pPr>
          </w:p>
        </w:tc>
        <w:tc>
          <w:tcPr>
            <w:tcW w:w="1660" w:type="dxa"/>
            <w:tcBorders>
              <w:bottom w:val="nil"/>
            </w:tcBorders>
            <w:shd w:val="clear" w:color="auto" w:fill="auto"/>
          </w:tcPr>
          <w:p w14:paraId="1093000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15</w:t>
            </w:r>
          </w:p>
        </w:tc>
        <w:tc>
          <w:tcPr>
            <w:tcW w:w="3296" w:type="dxa"/>
            <w:shd w:val="clear" w:color="auto" w:fill="auto"/>
          </w:tcPr>
          <w:p w14:paraId="72753B6C"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надстройките, които се състоят изцяло или частично от панорамни прозорци</w:t>
            </w:r>
          </w:p>
        </w:tc>
        <w:tc>
          <w:tcPr>
            <w:tcW w:w="6521" w:type="dxa"/>
            <w:shd w:val="clear" w:color="auto" w:fill="auto"/>
          </w:tcPr>
          <w:p w14:paraId="16759C7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90143CC" w14:textId="4FA2467D"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7C82E63A" w14:textId="77777777" w:rsidTr="000E4105">
        <w:trPr>
          <w:cantSplit/>
        </w:trPr>
        <w:tc>
          <w:tcPr>
            <w:tcW w:w="1342" w:type="dxa"/>
            <w:tcBorders>
              <w:top w:val="nil"/>
              <w:bottom w:val="nil"/>
            </w:tcBorders>
            <w:shd w:val="clear" w:color="auto" w:fill="auto"/>
          </w:tcPr>
          <w:p w14:paraId="19171869"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261028B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17, 2-ро и 3-то изречение</w:t>
            </w:r>
          </w:p>
        </w:tc>
        <w:tc>
          <w:tcPr>
            <w:tcW w:w="3296" w:type="dxa"/>
            <w:shd w:val="clear" w:color="auto" w:fill="auto"/>
          </w:tcPr>
          <w:p w14:paraId="54F7F9FF"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тоалетните, пригодени за ползване от лица с намалена подвижност</w:t>
            </w:r>
          </w:p>
        </w:tc>
        <w:tc>
          <w:tcPr>
            <w:tcW w:w="6521" w:type="dxa"/>
            <w:shd w:val="clear" w:color="auto" w:fill="auto"/>
          </w:tcPr>
          <w:p w14:paraId="483E7C3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0306AEE" w14:textId="0653D30A"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.2064 г.</w:t>
            </w:r>
          </w:p>
        </w:tc>
      </w:tr>
      <w:tr w:rsidR="00271FA2" w:rsidRPr="00F06DE2" w14:paraId="32518258" w14:textId="77777777" w:rsidTr="000E4105">
        <w:trPr>
          <w:cantSplit/>
        </w:trPr>
        <w:tc>
          <w:tcPr>
            <w:tcW w:w="1342" w:type="dxa"/>
            <w:tcBorders>
              <w:top w:val="nil"/>
              <w:bottom w:val="nil"/>
            </w:tcBorders>
            <w:shd w:val="clear" w:color="auto" w:fill="auto"/>
          </w:tcPr>
          <w:p w14:paraId="44C740FF"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2B154F4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18</w:t>
            </w:r>
          </w:p>
        </w:tc>
        <w:tc>
          <w:tcPr>
            <w:tcW w:w="3296" w:type="dxa"/>
            <w:shd w:val="clear" w:color="auto" w:fill="auto"/>
          </w:tcPr>
          <w:p w14:paraId="6B8F2C0F"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Вентилационна система за каюти без отварящ се прозорец</w:t>
            </w:r>
          </w:p>
        </w:tc>
        <w:tc>
          <w:tcPr>
            <w:tcW w:w="6521" w:type="dxa"/>
            <w:shd w:val="clear" w:color="auto" w:fill="auto"/>
          </w:tcPr>
          <w:p w14:paraId="6E9A306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C401AD1" w14:textId="5FC34B09"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06B6B1F4" w14:textId="77777777" w:rsidTr="000E4105">
        <w:trPr>
          <w:cantSplit/>
        </w:trPr>
        <w:tc>
          <w:tcPr>
            <w:tcW w:w="1342" w:type="dxa"/>
            <w:tcBorders>
              <w:top w:val="nil"/>
            </w:tcBorders>
            <w:shd w:val="clear" w:color="auto" w:fill="auto"/>
          </w:tcPr>
          <w:p w14:paraId="7C022934"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9F3BBC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19</w:t>
            </w:r>
          </w:p>
        </w:tc>
        <w:tc>
          <w:tcPr>
            <w:tcW w:w="3296" w:type="dxa"/>
            <w:shd w:val="clear" w:color="auto" w:fill="auto"/>
          </w:tcPr>
          <w:p w14:paraId="1677C64B"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на член 19.06 по отношение на помещенията, в които се настаняват членовете на екипажа или обслужващия персонал</w:t>
            </w:r>
          </w:p>
        </w:tc>
        <w:tc>
          <w:tcPr>
            <w:tcW w:w="6521" w:type="dxa"/>
            <w:shd w:val="clear" w:color="auto" w:fill="auto"/>
          </w:tcPr>
          <w:p w14:paraId="0BFEEE9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E149576" w14:textId="2691704D" w:rsidR="00271FA2"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861206" w:rsidRPr="00F06DE2" w14:paraId="641C0EDF" w14:textId="77777777" w:rsidTr="000E4105">
        <w:trPr>
          <w:cantSplit/>
          <w:trHeight w:val="1560"/>
        </w:trPr>
        <w:tc>
          <w:tcPr>
            <w:tcW w:w="1342" w:type="dxa"/>
            <w:vMerge w:val="restart"/>
            <w:tcBorders>
              <w:top w:val="nil"/>
            </w:tcBorders>
            <w:shd w:val="clear" w:color="auto" w:fill="auto"/>
          </w:tcPr>
          <w:p w14:paraId="2A3B59F6" w14:textId="5FF9D7C2" w:rsidR="00861206" w:rsidRPr="00F06DE2" w:rsidRDefault="00861206">
            <w:pPr>
              <w:spacing w:line="240" w:lineRule="atLeast"/>
              <w:rPr>
                <w:rFonts w:ascii="Times New Roman" w:hAnsi="Times New Roman" w:cs="Times New Roman"/>
              </w:rPr>
            </w:pPr>
            <w:r w:rsidRPr="00F06DE2">
              <w:rPr>
                <w:rFonts w:ascii="Times New Roman" w:hAnsi="Times New Roman" w:cs="Times New Roman"/>
              </w:rPr>
              <w:t>19.07</w:t>
            </w:r>
          </w:p>
        </w:tc>
        <w:tc>
          <w:tcPr>
            <w:tcW w:w="1660" w:type="dxa"/>
            <w:vMerge w:val="restart"/>
            <w:shd w:val="clear" w:color="auto" w:fill="auto"/>
          </w:tcPr>
          <w:p w14:paraId="41F70D68" w14:textId="3BD66699" w:rsidR="00861206" w:rsidRPr="00F06DE2" w:rsidRDefault="00861206">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vMerge w:val="restart"/>
            <w:shd w:val="clear" w:color="auto" w:fill="auto"/>
          </w:tcPr>
          <w:p w14:paraId="3DCA1CDB" w14:textId="2288E7DE" w:rsidR="00861206" w:rsidRPr="00F06DE2" w:rsidRDefault="00861206" w:rsidP="00780F84">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Втора независима задвижваща система в отделно машинно отделение</w:t>
            </w:r>
          </w:p>
        </w:tc>
        <w:tc>
          <w:tcPr>
            <w:tcW w:w="6521" w:type="dxa"/>
            <w:shd w:val="clear" w:color="auto" w:fill="auto"/>
          </w:tcPr>
          <w:p w14:paraId="0DC1E1BE" w14:textId="74303AA9"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1FDE3E1" w14:textId="23220BF3" w:rsidR="00861206" w:rsidRPr="00F06DE2" w:rsidRDefault="00B371D3">
            <w:pPr>
              <w:spacing w:line="240" w:lineRule="atLeast"/>
              <w:jc w:val="both"/>
              <w:rPr>
                <w:rFonts w:ascii="Times New Roman" w:hAnsi="Times New Roman" w:cs="Times New Roman"/>
              </w:rPr>
            </w:pPr>
            <w:r w:rsidRPr="00F06DE2">
              <w:rPr>
                <w:rFonts w:ascii="Times New Roman" w:hAnsi="Times New Roman" w:cs="Times New Roman"/>
              </w:rPr>
              <w:t>01.01</w:t>
            </w:r>
            <w:r w:rsidR="00861206" w:rsidRPr="00F06DE2">
              <w:rPr>
                <w:rFonts w:ascii="Times New Roman" w:hAnsi="Times New Roman" w:cs="Times New Roman"/>
              </w:rPr>
              <w:t>.2020 г.</w:t>
            </w:r>
          </w:p>
        </w:tc>
      </w:tr>
      <w:tr w:rsidR="00861206" w:rsidRPr="00F06DE2" w14:paraId="35DE8A92" w14:textId="77777777" w:rsidTr="000E4105">
        <w:trPr>
          <w:cantSplit/>
          <w:trHeight w:val="9997"/>
        </w:trPr>
        <w:tc>
          <w:tcPr>
            <w:tcW w:w="1342" w:type="dxa"/>
            <w:vMerge/>
            <w:tcBorders>
              <w:bottom w:val="single" w:sz="4" w:space="0" w:color="auto"/>
            </w:tcBorders>
            <w:shd w:val="clear" w:color="auto" w:fill="auto"/>
          </w:tcPr>
          <w:p w14:paraId="52692BF6" w14:textId="77777777" w:rsidR="00861206" w:rsidRPr="00F06DE2" w:rsidRDefault="00861206">
            <w:pPr>
              <w:spacing w:line="240" w:lineRule="atLeast"/>
              <w:rPr>
                <w:rFonts w:ascii="Times New Roman" w:hAnsi="Times New Roman" w:cs="Times New Roman"/>
              </w:rPr>
            </w:pPr>
          </w:p>
        </w:tc>
        <w:tc>
          <w:tcPr>
            <w:tcW w:w="1660" w:type="dxa"/>
            <w:vMerge/>
            <w:shd w:val="clear" w:color="auto" w:fill="auto"/>
          </w:tcPr>
          <w:p w14:paraId="27C85DDA" w14:textId="77777777" w:rsidR="00861206" w:rsidRPr="00F06DE2" w:rsidRDefault="00861206">
            <w:pPr>
              <w:spacing w:line="240" w:lineRule="atLeast"/>
              <w:rPr>
                <w:rFonts w:ascii="Times New Roman" w:hAnsi="Times New Roman" w:cs="Times New Roman"/>
              </w:rPr>
            </w:pPr>
          </w:p>
        </w:tc>
        <w:tc>
          <w:tcPr>
            <w:tcW w:w="3296" w:type="dxa"/>
            <w:vMerge/>
            <w:shd w:val="clear" w:color="auto" w:fill="auto"/>
          </w:tcPr>
          <w:p w14:paraId="4CC533BC" w14:textId="77777777" w:rsidR="00861206" w:rsidRPr="00F06DE2" w:rsidRDefault="00861206">
            <w:pPr>
              <w:tabs>
                <w:tab w:val="left" w:pos="1080"/>
              </w:tabs>
              <w:spacing w:line="240" w:lineRule="atLeast"/>
              <w:rPr>
                <w:rFonts w:ascii="Times New Roman" w:hAnsi="Times New Roman" w:cs="Times New Roman"/>
              </w:rPr>
            </w:pPr>
          </w:p>
        </w:tc>
        <w:tc>
          <w:tcPr>
            <w:tcW w:w="6521" w:type="dxa"/>
            <w:shd w:val="clear" w:color="auto" w:fill="auto"/>
          </w:tcPr>
          <w:p w14:paraId="445E8E56"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за пътнически плавателни съдове, които отговарят на следните изисквания:</w:t>
            </w:r>
          </w:p>
          <w:p w14:paraId="7A874750"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а) Съществуващата противопожарна система, посочена в член 19.12, точка 9 за защита на машинното отделение, може да се задейства незабавно, без опасност за хората, разположени в машинното отделение.</w:t>
            </w:r>
          </w:p>
          <w:p w14:paraId="32C7D29B" w14:textId="33185E85" w:rsidR="00861206" w:rsidRPr="00F06DE2" w:rsidRDefault="00861206">
            <w:pPr>
              <w:spacing w:line="240" w:lineRule="atLeast"/>
              <w:ind w:right="53"/>
              <w:jc w:val="both"/>
              <w:rPr>
                <w:rFonts w:ascii="Times New Roman" w:hAnsi="Times New Roman" w:cs="Times New Roman"/>
                <w:lang w:val="ru-RU"/>
              </w:rPr>
            </w:pPr>
            <w:r w:rsidRPr="00F06DE2">
              <w:rPr>
                <w:rFonts w:ascii="Times New Roman" w:hAnsi="Times New Roman" w:cs="Times New Roman"/>
                <w:lang w:val="ru-RU"/>
              </w:rPr>
              <w:t xml:space="preserve">Не може да се позовава на преходната разпоредба към член 13.05, </w:t>
            </w:r>
            <w:r w:rsidR="0097711D" w:rsidRPr="00F06DE2">
              <w:rPr>
                <w:rFonts w:ascii="Times New Roman" w:hAnsi="Times New Roman" w:cs="Times New Roman"/>
                <w:lang w:val="ru-RU"/>
              </w:rPr>
              <w:t>т.</w:t>
            </w:r>
            <w:r w:rsidRPr="00F06DE2">
              <w:rPr>
                <w:rFonts w:ascii="Times New Roman" w:hAnsi="Times New Roman" w:cs="Times New Roman"/>
                <w:lang w:val="ru-RU"/>
              </w:rPr>
              <w:t xml:space="preserve"> 2, буква “а”.</w:t>
            </w:r>
          </w:p>
          <w:p w14:paraId="36E7589B" w14:textId="77777777" w:rsidR="00861206" w:rsidRPr="00F06DE2" w:rsidRDefault="00861206">
            <w:pPr>
              <w:spacing w:line="240" w:lineRule="atLeast"/>
              <w:ind w:right="53"/>
              <w:jc w:val="both"/>
              <w:rPr>
                <w:rFonts w:ascii="Times New Roman" w:hAnsi="Times New Roman" w:cs="Times New Roman"/>
                <w:lang w:val="ru-RU"/>
              </w:rPr>
            </w:pPr>
            <w:r w:rsidRPr="00F06DE2">
              <w:rPr>
                <w:rFonts w:ascii="Times New Roman" w:hAnsi="Times New Roman" w:cs="Times New Roman"/>
                <w:lang w:val="ru-RU"/>
              </w:rPr>
              <w:t>Ако съществуващата противопожарна система не може да се задейства незабавно без опасност за хората, намиращи се в машинното отделение, както е описано по-горе, двигателите с вътрешно горене в машинното отделение са защитени с допълнителна противопожарна система за защита на обекти, която може да се задейства незабавно, без опасност за хората, намиращи се в машинното отделение.</w:t>
            </w:r>
          </w:p>
          <w:p w14:paraId="643EF30B"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б) в съответствие с член 13.06 се изисква противопожарна система за защита на обекти, която може да се задейства незабавно без опасност за хората, разположени в машинното отделение, за:</w:t>
            </w:r>
          </w:p>
          <w:p w14:paraId="5DFEEACD"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 изолирани двигатели с вътрешно горене;</w:t>
            </w:r>
          </w:p>
          <w:p w14:paraId="17829357"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 изолирани генератори;</w:t>
            </w:r>
          </w:p>
          <w:p w14:paraId="075B346B"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 главното разпределително табло.</w:t>
            </w:r>
          </w:p>
          <w:p w14:paraId="50F6AF1B"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в) Противопожарните системи за защита на обектите, посочени в букви “а” и “б”, трябва да бъдат проектирани от специализирана фирма. Освен това изискванията на член 13.05, точка 9 се прилагат „</w:t>
            </w:r>
            <w:r w:rsidRPr="00F06DE2">
              <w:rPr>
                <w:rFonts w:ascii="Times New Roman" w:hAnsi="Times New Roman" w:cs="Times New Roman"/>
              </w:rPr>
              <w:t>mutatis</w:t>
            </w:r>
            <w:r w:rsidRPr="00F06DE2">
              <w:rPr>
                <w:rFonts w:ascii="Times New Roman" w:hAnsi="Times New Roman" w:cs="Times New Roman"/>
                <w:lang w:val="ru-RU"/>
              </w:rPr>
              <w:t xml:space="preserve"> </w:t>
            </w:r>
            <w:r w:rsidRPr="00F06DE2">
              <w:rPr>
                <w:rFonts w:ascii="Times New Roman" w:hAnsi="Times New Roman" w:cs="Times New Roman"/>
              </w:rPr>
              <w:t>mutandis</w:t>
            </w:r>
            <w:r w:rsidRPr="00F06DE2">
              <w:rPr>
                <w:rFonts w:ascii="Times New Roman" w:hAnsi="Times New Roman" w:cs="Times New Roman"/>
                <w:lang w:val="ru-RU"/>
              </w:rPr>
              <w:t>“.</w:t>
            </w:r>
          </w:p>
          <w:p w14:paraId="22A88E87"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г) В допълнение към трюмните системи, посочени в член 8.08, машинното отделение е оборудвано с допълнителна помпа за сантините.</w:t>
            </w:r>
          </w:p>
          <w:p w14:paraId="3770A437"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Неговата изпомпваща способност (</w:t>
            </w:r>
            <w:r w:rsidRPr="00F06DE2">
              <w:rPr>
                <w:rFonts w:ascii="Cambria Math" w:hAnsi="Cambria Math" w:cs="Cambria Math"/>
              </w:rPr>
              <w:t>𝑄</w:t>
            </w:r>
            <w:r w:rsidRPr="00F06DE2">
              <w:rPr>
                <w:rFonts w:ascii="Times New Roman" w:hAnsi="Times New Roman" w:cs="Times New Roman"/>
                <w:lang w:val="ru-RU"/>
              </w:rPr>
              <w:t xml:space="preserve">) в </w:t>
            </w:r>
            <w:r w:rsidRPr="00F06DE2">
              <w:rPr>
                <w:rFonts w:ascii="Times New Roman" w:hAnsi="Times New Roman" w:cs="Times New Roman"/>
              </w:rPr>
              <w:t>l</w:t>
            </w:r>
            <w:r w:rsidRPr="00F06DE2">
              <w:rPr>
                <w:rFonts w:ascii="Times New Roman" w:hAnsi="Times New Roman" w:cs="Times New Roman"/>
                <w:lang w:val="ru-RU"/>
              </w:rPr>
              <w:t>/</w:t>
            </w:r>
            <w:r w:rsidRPr="00F06DE2">
              <w:rPr>
                <w:rFonts w:ascii="Times New Roman" w:hAnsi="Times New Roman" w:cs="Times New Roman"/>
              </w:rPr>
              <w:t>min</w:t>
            </w:r>
            <w:r w:rsidRPr="00F06DE2">
              <w:rPr>
                <w:rFonts w:ascii="Times New Roman" w:hAnsi="Times New Roman" w:cs="Times New Roman"/>
                <w:lang w:val="ru-RU"/>
              </w:rPr>
              <w:t xml:space="preserve"> се изчислява с </w:t>
            </w:r>
            <w:r w:rsidRPr="00F06DE2">
              <w:rPr>
                <w:rFonts w:ascii="Times New Roman" w:hAnsi="Times New Roman" w:cs="Times New Roman"/>
              </w:rPr>
              <w:t>Q</w:t>
            </w:r>
            <m:oMath>
              <m:r>
                <w:rPr>
                  <w:rFonts w:ascii="Cambria Math" w:hAnsi="Cambria Math" w:cs="Times New Roman"/>
                  <w:lang w:val="ru-RU"/>
                </w:rPr>
                <m:t xml:space="preserve"> =</m:t>
              </m:r>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lang w:val="ru-RU"/>
                    </w:rPr>
                    <m:t>2</m:t>
                  </m:r>
                </m:sub>
                <m:sup>
                  <m:r>
                    <w:rPr>
                      <w:rFonts w:ascii="Cambria Math" w:hAnsi="Cambria Math" w:cs="Times New Roman"/>
                      <w:lang w:val="ru-RU"/>
                    </w:rPr>
                    <m:t>2</m:t>
                  </m:r>
                </m:sup>
              </m:sSubSup>
              <m:sSub>
                <m:sSubPr>
                  <m:ctrlPr>
                    <w:rPr>
                      <w:rFonts w:ascii="Cambria Math" w:hAnsi="Cambria Math" w:cs="Times New Roman"/>
                      <w:i/>
                    </w:rPr>
                  </m:ctrlPr>
                </m:sSubPr>
                <m:e>
                  <m:r>
                    <w:rPr>
                      <w:rFonts w:ascii="Cambria Math" w:hAnsi="Cambria Math" w:cs="Times New Roman"/>
                      <w:lang w:val="ru-RU"/>
                    </w:rPr>
                    <m:t xml:space="preserve">∙ </m:t>
                  </m:r>
                  <m:r>
                    <w:rPr>
                      <w:rFonts w:ascii="Cambria Math" w:hAnsi="Cambria Math" w:cs="Times New Roman"/>
                    </w:rPr>
                    <m:t>d</m:t>
                  </m:r>
                </m:e>
                <m:sub>
                  <m:r>
                    <w:rPr>
                      <w:rFonts w:ascii="Cambria Math" w:hAnsi="Cambria Math" w:cs="Times New Roman"/>
                      <w:lang w:val="ru-RU"/>
                    </w:rPr>
                    <m:t>2</m:t>
                  </m:r>
                </m:sub>
              </m:sSub>
            </m:oMath>
            <w:r w:rsidRPr="00F06DE2">
              <w:rPr>
                <w:rFonts w:ascii="Times New Roman" w:hAnsi="Times New Roman" w:cs="Times New Roman"/>
                <w:lang w:val="ru-RU"/>
              </w:rPr>
              <w:t xml:space="preserve">, което трябва да бъде изчислено в съответствие с член 8.08, </w:t>
            </w:r>
            <w:r w:rsidRPr="00F06DE2">
              <w:rPr>
                <w:rFonts w:ascii="Times New Roman" w:hAnsi="Times New Roman" w:cs="Times New Roman"/>
                <w:lang w:val="ru-RU"/>
              </w:rPr>
              <w:lastRenderedPageBreak/>
              <w:t>точка 3 и максималната дължина на машинното отделение трябва да се използва за „</w:t>
            </w:r>
            <w:r w:rsidRPr="00F06DE2">
              <w:rPr>
                <w:rFonts w:ascii="Cambria Math" w:hAnsi="Cambria Math" w:cs="Cambria Math"/>
              </w:rPr>
              <w:t>𝐼</w:t>
            </w:r>
            <w:r w:rsidRPr="00F06DE2">
              <w:rPr>
                <w:rFonts w:ascii="Times New Roman" w:hAnsi="Times New Roman" w:cs="Times New Roman"/>
                <w:lang w:val="ru-RU"/>
              </w:rPr>
              <w:t>“.</w:t>
            </w:r>
          </w:p>
          <w:p w14:paraId="77589D48"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Сантинната помпа трябва да бъде разположена в защитената зона.</w:t>
            </w:r>
          </w:p>
          <w:p w14:paraId="1D96C20D"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Трябва да има възможност за включване на помпата и задействане на клапаните под налягане над основната палуба.</w:t>
            </w:r>
          </w:p>
          <w:p w14:paraId="3B9F3FF8" w14:textId="77777777" w:rsidR="00861206" w:rsidRPr="00F06DE2" w:rsidRDefault="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д) Общата мощност на помпите на всички помпи, разположени в това машинно отделение и които могат да се използват за изпомпване, трябва да бъде най-малко 3000 </w:t>
            </w:r>
            <w:r w:rsidRPr="00F06DE2">
              <w:rPr>
                <w:rFonts w:ascii="Times New Roman" w:hAnsi="Times New Roman" w:cs="Times New Roman"/>
              </w:rPr>
              <w:t>l</w:t>
            </w:r>
            <w:r w:rsidRPr="00F06DE2">
              <w:rPr>
                <w:rFonts w:ascii="Times New Roman" w:hAnsi="Times New Roman" w:cs="Times New Roman"/>
                <w:lang w:val="ru-RU"/>
              </w:rPr>
              <w:t>/</w:t>
            </w:r>
            <w:r w:rsidRPr="00F06DE2">
              <w:rPr>
                <w:rFonts w:ascii="Times New Roman" w:hAnsi="Times New Roman" w:cs="Times New Roman"/>
              </w:rPr>
              <w:t>min</w:t>
            </w:r>
            <w:r w:rsidRPr="00F06DE2">
              <w:rPr>
                <w:rFonts w:ascii="Times New Roman" w:hAnsi="Times New Roman" w:cs="Times New Roman"/>
                <w:lang w:val="ru-RU"/>
              </w:rPr>
              <w:t>.</w:t>
            </w:r>
          </w:p>
          <w:p w14:paraId="0A616F85" w14:textId="32DC6E75" w:rsidR="00861206" w:rsidRPr="00F06DE2" w:rsidRDefault="00861206" w:rsidP="00861206">
            <w:pPr>
              <w:spacing w:line="240" w:lineRule="atLeast"/>
              <w:jc w:val="both"/>
              <w:rPr>
                <w:rFonts w:ascii="Times New Roman" w:hAnsi="Times New Roman" w:cs="Times New Roman"/>
                <w:lang w:val="ru-RU"/>
              </w:rPr>
            </w:pPr>
            <w:r w:rsidRPr="00F06DE2">
              <w:rPr>
                <w:rFonts w:ascii="Times New Roman" w:hAnsi="Times New Roman" w:cs="Times New Roman"/>
                <w:lang w:val="ru-RU"/>
              </w:rPr>
              <w:t>е) букви “г” и “д” не се изискват, ако основните двигатели са разположени над водопроводната линия на повреда в случай на наводнение в машинното отделение.</w:t>
            </w:r>
          </w:p>
        </w:tc>
        <w:tc>
          <w:tcPr>
            <w:tcW w:w="1635" w:type="dxa"/>
            <w:shd w:val="clear" w:color="auto" w:fill="auto"/>
          </w:tcPr>
          <w:p w14:paraId="4A36DD8F" w14:textId="5EE9A3B9" w:rsidR="00861206" w:rsidRPr="00F06DE2" w:rsidRDefault="00861206">
            <w:pPr>
              <w:spacing w:line="240" w:lineRule="atLeast"/>
              <w:jc w:val="both"/>
              <w:rPr>
                <w:rFonts w:ascii="Times New Roman" w:hAnsi="Times New Roman" w:cs="Times New Roman"/>
                <w:lang w:val="ru-RU"/>
              </w:rPr>
            </w:pPr>
          </w:p>
        </w:tc>
      </w:tr>
      <w:tr w:rsidR="00271FA2" w:rsidRPr="00F06DE2" w14:paraId="2E29B7DB" w14:textId="77777777" w:rsidTr="000E4105">
        <w:trPr>
          <w:cantSplit/>
        </w:trPr>
        <w:tc>
          <w:tcPr>
            <w:tcW w:w="1342" w:type="dxa"/>
            <w:tcBorders>
              <w:top w:val="nil"/>
              <w:bottom w:val="nil"/>
            </w:tcBorders>
            <w:shd w:val="clear" w:color="auto" w:fill="auto"/>
          </w:tcPr>
          <w:p w14:paraId="5E88DF50" w14:textId="0ACCBC82" w:rsidR="00271FA2" w:rsidRPr="00F06DE2" w:rsidRDefault="005129F5">
            <w:pPr>
              <w:spacing w:line="240" w:lineRule="atLeast"/>
              <w:rPr>
                <w:rFonts w:ascii="Times New Roman" w:hAnsi="Times New Roman" w:cs="Times New Roman"/>
              </w:rPr>
            </w:pPr>
            <w:r w:rsidRPr="00F06DE2">
              <w:rPr>
                <w:rFonts w:ascii="Times New Roman" w:hAnsi="Times New Roman" w:cs="Times New Roman"/>
              </w:rPr>
              <w:lastRenderedPageBreak/>
              <w:t>19.08</w:t>
            </w:r>
          </w:p>
        </w:tc>
        <w:tc>
          <w:tcPr>
            <w:tcW w:w="1660" w:type="dxa"/>
            <w:shd w:val="clear" w:color="auto" w:fill="auto"/>
          </w:tcPr>
          <w:p w14:paraId="43EBDF4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8 последно изречение</w:t>
            </w:r>
          </w:p>
        </w:tc>
        <w:tc>
          <w:tcPr>
            <w:tcW w:w="3296" w:type="dxa"/>
            <w:shd w:val="clear" w:color="auto" w:fill="auto"/>
          </w:tcPr>
          <w:p w14:paraId="4AE23B47"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Независима вентилационна система</w:t>
            </w:r>
          </w:p>
        </w:tc>
        <w:tc>
          <w:tcPr>
            <w:tcW w:w="6521" w:type="dxa"/>
            <w:shd w:val="clear" w:color="auto" w:fill="auto"/>
          </w:tcPr>
          <w:p w14:paraId="6408F65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6E083B6" w14:textId="289F8A2C"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.2044 г.</w:t>
            </w:r>
          </w:p>
        </w:tc>
      </w:tr>
      <w:tr w:rsidR="00271FA2" w:rsidRPr="00F06DE2" w14:paraId="5141BEA5" w14:textId="77777777" w:rsidTr="000E4105">
        <w:trPr>
          <w:cantSplit/>
          <w:trHeight w:val="347"/>
        </w:trPr>
        <w:tc>
          <w:tcPr>
            <w:tcW w:w="1342" w:type="dxa"/>
            <w:vMerge w:val="restart"/>
            <w:shd w:val="clear" w:color="auto" w:fill="auto"/>
          </w:tcPr>
          <w:p w14:paraId="09BF4CF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19.11</w:t>
            </w:r>
          </w:p>
        </w:tc>
        <w:tc>
          <w:tcPr>
            <w:tcW w:w="1660" w:type="dxa"/>
            <w:vMerge w:val="restart"/>
            <w:shd w:val="clear" w:color="auto" w:fill="auto"/>
          </w:tcPr>
          <w:p w14:paraId="0AF7DD9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vMerge w:val="restart"/>
            <w:shd w:val="clear" w:color="auto" w:fill="auto"/>
          </w:tcPr>
          <w:p w14:paraId="61FBF4F7"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Годност на материалите и компонентите за противопожарна защита</w:t>
            </w:r>
          </w:p>
        </w:tc>
        <w:tc>
          <w:tcPr>
            <w:tcW w:w="6521" w:type="dxa"/>
            <w:shd w:val="clear" w:color="auto" w:fill="auto"/>
          </w:tcPr>
          <w:p w14:paraId="19F19A2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vMerge w:val="restart"/>
            <w:shd w:val="clear" w:color="auto" w:fill="auto"/>
          </w:tcPr>
          <w:p w14:paraId="64B3654A" w14:textId="58CFE7E7"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7508DEEE" w14:textId="77777777" w:rsidTr="000E4105">
        <w:trPr>
          <w:cantSplit/>
          <w:trHeight w:val="346"/>
        </w:trPr>
        <w:tc>
          <w:tcPr>
            <w:tcW w:w="1342" w:type="dxa"/>
            <w:vMerge/>
            <w:tcBorders>
              <w:bottom w:val="nil"/>
            </w:tcBorders>
            <w:shd w:val="clear" w:color="auto" w:fill="auto"/>
          </w:tcPr>
          <w:p w14:paraId="623B95F5" w14:textId="77777777" w:rsidR="00271FA2" w:rsidRPr="00F06DE2" w:rsidRDefault="00271FA2">
            <w:pPr>
              <w:spacing w:line="240" w:lineRule="atLeast"/>
              <w:rPr>
                <w:rFonts w:ascii="Times New Roman" w:hAnsi="Times New Roman" w:cs="Times New Roman"/>
              </w:rPr>
            </w:pPr>
          </w:p>
        </w:tc>
        <w:tc>
          <w:tcPr>
            <w:tcW w:w="1660" w:type="dxa"/>
            <w:vMerge/>
            <w:shd w:val="clear" w:color="auto" w:fill="auto"/>
          </w:tcPr>
          <w:p w14:paraId="22F4C5ED" w14:textId="77777777" w:rsidR="00271FA2" w:rsidRPr="00F06DE2" w:rsidRDefault="00271FA2">
            <w:pPr>
              <w:spacing w:line="240" w:lineRule="atLeast"/>
              <w:rPr>
                <w:rFonts w:ascii="Times New Roman" w:hAnsi="Times New Roman" w:cs="Times New Roman"/>
              </w:rPr>
            </w:pPr>
          </w:p>
        </w:tc>
        <w:tc>
          <w:tcPr>
            <w:tcW w:w="3296" w:type="dxa"/>
            <w:vMerge/>
            <w:shd w:val="clear" w:color="auto" w:fill="auto"/>
          </w:tcPr>
          <w:p w14:paraId="2359DA7C" w14:textId="77777777" w:rsidR="00271FA2" w:rsidRPr="00F06DE2" w:rsidRDefault="00271FA2">
            <w:pPr>
              <w:tabs>
                <w:tab w:val="left" w:pos="1080"/>
              </w:tabs>
              <w:spacing w:line="240" w:lineRule="atLeast"/>
              <w:rPr>
                <w:rFonts w:ascii="Times New Roman" w:hAnsi="Times New Roman" w:cs="Times New Roman"/>
              </w:rPr>
            </w:pPr>
          </w:p>
        </w:tc>
        <w:tc>
          <w:tcPr>
            <w:tcW w:w="6521" w:type="dxa"/>
            <w:shd w:val="clear" w:color="auto" w:fill="auto"/>
          </w:tcPr>
          <w:p w14:paraId="491F822A" w14:textId="77777777" w:rsidR="00271FA2" w:rsidRPr="00F06DE2" w:rsidRDefault="00D35E51">
            <w:pPr>
              <w:spacing w:line="240" w:lineRule="atLeast"/>
              <w:rPr>
                <w:rFonts w:ascii="Times New Roman" w:hAnsi="Times New Roman" w:cs="Times New Roman"/>
                <w:lang w:val="ru-RU"/>
              </w:rPr>
            </w:pPr>
            <w:r w:rsidRPr="00F06DE2">
              <w:rPr>
                <w:rFonts w:ascii="Times New Roman" w:hAnsi="Times New Roman" w:cs="Times New Roman"/>
                <w:lang w:val="ru-RU"/>
              </w:rPr>
              <w:t xml:space="preserve">За материали и компоненти, одобрени съгласно Международния кодекс за прилагане на процедури за пожарни изпитвания (кодекс </w:t>
            </w:r>
            <w:r w:rsidRPr="00F06DE2">
              <w:rPr>
                <w:rFonts w:ascii="Times New Roman" w:hAnsi="Times New Roman" w:cs="Times New Roman"/>
              </w:rPr>
              <w:t>FTP</w:t>
            </w:r>
            <w:r w:rsidRPr="00F06DE2">
              <w:rPr>
                <w:rFonts w:ascii="Times New Roman" w:hAnsi="Times New Roman" w:cs="Times New Roman"/>
                <w:lang w:val="ru-RU"/>
              </w:rPr>
              <w:t xml:space="preserve">), приет с Резолюция </w:t>
            </w:r>
            <w:r w:rsidRPr="00F06DE2">
              <w:rPr>
                <w:rFonts w:ascii="Times New Roman" w:hAnsi="Times New Roman" w:cs="Times New Roman"/>
              </w:rPr>
              <w:t>MSC</w:t>
            </w:r>
            <w:r w:rsidRPr="00F06DE2">
              <w:rPr>
                <w:rFonts w:ascii="Times New Roman" w:hAnsi="Times New Roman" w:cs="Times New Roman"/>
                <w:lang w:val="ru-RU"/>
              </w:rPr>
              <w:t>.61(67)</w:t>
            </w:r>
            <w:r w:rsidRPr="00F06DE2">
              <w:rPr>
                <w:rStyle w:val="FootnoteReference"/>
                <w:rFonts w:ascii="Times New Roman" w:hAnsi="Times New Roman" w:cs="Times New Roman"/>
              </w:rPr>
              <w:footnoteReference w:id="28"/>
            </w:r>
            <w:r w:rsidRPr="00F06DE2">
              <w:rPr>
                <w:rFonts w:ascii="Times New Roman" w:hAnsi="Times New Roman" w:cs="Times New Roman"/>
                <w:lang w:val="ru-RU"/>
              </w:rPr>
              <w:t xml:space="preserve"> на ИМО: НЗР</w:t>
            </w:r>
          </w:p>
        </w:tc>
        <w:tc>
          <w:tcPr>
            <w:tcW w:w="1635" w:type="dxa"/>
            <w:vMerge/>
            <w:shd w:val="clear" w:color="auto" w:fill="auto"/>
          </w:tcPr>
          <w:p w14:paraId="58D16B29" w14:textId="77777777" w:rsidR="00271FA2" w:rsidRPr="00F06DE2" w:rsidRDefault="00271FA2">
            <w:pPr>
              <w:spacing w:line="240" w:lineRule="atLeast"/>
              <w:rPr>
                <w:rFonts w:ascii="Times New Roman" w:hAnsi="Times New Roman" w:cs="Times New Roman"/>
                <w:lang w:val="ru-RU"/>
              </w:rPr>
            </w:pPr>
          </w:p>
        </w:tc>
      </w:tr>
      <w:tr w:rsidR="00271FA2" w:rsidRPr="00F06DE2" w14:paraId="125F7105" w14:textId="77777777" w:rsidTr="000E4105">
        <w:trPr>
          <w:cantSplit/>
        </w:trPr>
        <w:tc>
          <w:tcPr>
            <w:tcW w:w="1342" w:type="dxa"/>
            <w:tcBorders>
              <w:top w:val="nil"/>
              <w:bottom w:val="nil"/>
            </w:tcBorders>
            <w:shd w:val="clear" w:color="auto" w:fill="auto"/>
          </w:tcPr>
          <w:p w14:paraId="705D44E6" w14:textId="77777777" w:rsidR="00271FA2" w:rsidRPr="00F06DE2" w:rsidRDefault="00271FA2">
            <w:pPr>
              <w:spacing w:line="240" w:lineRule="atLeast"/>
              <w:rPr>
                <w:rFonts w:ascii="Times New Roman" w:hAnsi="Times New Roman" w:cs="Times New Roman"/>
                <w:lang w:val="ru-RU"/>
              </w:rPr>
            </w:pPr>
          </w:p>
        </w:tc>
        <w:tc>
          <w:tcPr>
            <w:tcW w:w="1660" w:type="dxa"/>
            <w:shd w:val="clear" w:color="auto" w:fill="auto"/>
          </w:tcPr>
          <w:p w14:paraId="45290FE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53533355"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Проектиране на преградни стени</w:t>
            </w:r>
          </w:p>
        </w:tc>
        <w:tc>
          <w:tcPr>
            <w:tcW w:w="6521" w:type="dxa"/>
            <w:shd w:val="clear" w:color="auto" w:fill="auto"/>
          </w:tcPr>
          <w:p w14:paraId="39E522B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67284DA" w14:textId="5B563FA9"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2C167A01" w14:textId="77777777" w:rsidTr="000E4105">
        <w:trPr>
          <w:cantSplit/>
        </w:trPr>
        <w:tc>
          <w:tcPr>
            <w:tcW w:w="1342" w:type="dxa"/>
            <w:tcBorders>
              <w:top w:val="nil"/>
              <w:bottom w:val="nil"/>
            </w:tcBorders>
            <w:shd w:val="clear" w:color="auto" w:fill="auto"/>
          </w:tcPr>
          <w:p w14:paraId="727F8DC7"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226EF7A4" w14:textId="48EED61A" w:rsidR="00271FA2" w:rsidRPr="00F06DE2" w:rsidRDefault="00271FA2">
            <w:pPr>
              <w:spacing w:line="240" w:lineRule="atLeast"/>
              <w:jc w:val="both"/>
              <w:rPr>
                <w:rFonts w:ascii="Times New Roman" w:hAnsi="Times New Roman" w:cs="Times New Roman"/>
                <w:strike/>
              </w:rPr>
            </w:pPr>
          </w:p>
        </w:tc>
        <w:tc>
          <w:tcPr>
            <w:tcW w:w="3296" w:type="dxa"/>
            <w:shd w:val="clear" w:color="auto" w:fill="auto"/>
          </w:tcPr>
          <w:p w14:paraId="161F1B3C" w14:textId="30CE4B61" w:rsidR="00271FA2" w:rsidRPr="00F06DE2" w:rsidRDefault="00271FA2">
            <w:pPr>
              <w:tabs>
                <w:tab w:val="left" w:pos="1080"/>
              </w:tabs>
              <w:spacing w:line="240" w:lineRule="atLeast"/>
              <w:jc w:val="both"/>
              <w:rPr>
                <w:rFonts w:ascii="Times New Roman" w:hAnsi="Times New Roman" w:cs="Times New Roman"/>
                <w:strike/>
              </w:rPr>
            </w:pPr>
          </w:p>
        </w:tc>
        <w:tc>
          <w:tcPr>
            <w:tcW w:w="6521" w:type="dxa"/>
            <w:shd w:val="clear" w:color="auto" w:fill="auto"/>
          </w:tcPr>
          <w:p w14:paraId="4264794E" w14:textId="752E914A" w:rsidR="00271FA2" w:rsidRPr="00F06DE2" w:rsidRDefault="00271FA2">
            <w:pPr>
              <w:spacing w:line="240" w:lineRule="atLeast"/>
              <w:jc w:val="both"/>
              <w:rPr>
                <w:rFonts w:ascii="Times New Roman" w:hAnsi="Times New Roman" w:cs="Times New Roman"/>
                <w:strike/>
              </w:rPr>
            </w:pPr>
          </w:p>
        </w:tc>
        <w:tc>
          <w:tcPr>
            <w:tcW w:w="1635" w:type="dxa"/>
            <w:shd w:val="clear" w:color="auto" w:fill="auto"/>
          </w:tcPr>
          <w:p w14:paraId="238E7B22" w14:textId="1688C7E9" w:rsidR="00271FA2" w:rsidRPr="00F06DE2" w:rsidRDefault="00271FA2">
            <w:pPr>
              <w:spacing w:line="240" w:lineRule="atLeast"/>
              <w:jc w:val="both"/>
              <w:rPr>
                <w:rFonts w:ascii="Times New Roman" w:hAnsi="Times New Roman" w:cs="Times New Roman"/>
                <w:strike/>
              </w:rPr>
            </w:pPr>
          </w:p>
        </w:tc>
      </w:tr>
      <w:tr w:rsidR="00271FA2" w:rsidRPr="00F06DE2" w14:paraId="3AA9A5A8" w14:textId="77777777" w:rsidTr="000E4105">
        <w:trPr>
          <w:cantSplit/>
        </w:trPr>
        <w:tc>
          <w:tcPr>
            <w:tcW w:w="1342" w:type="dxa"/>
            <w:tcBorders>
              <w:top w:val="nil"/>
              <w:bottom w:val="nil"/>
            </w:tcBorders>
            <w:shd w:val="clear" w:color="auto" w:fill="auto"/>
          </w:tcPr>
          <w:p w14:paraId="75534A1B"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174EF48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4B07CFA9"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Таваните на салоните и покритията на стените трябва да са произведени от негорим материал</w:t>
            </w:r>
          </w:p>
        </w:tc>
        <w:tc>
          <w:tcPr>
            <w:tcW w:w="6521" w:type="dxa"/>
            <w:shd w:val="clear" w:color="auto" w:fill="auto"/>
          </w:tcPr>
          <w:p w14:paraId="05B6607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09F4F15" w14:textId="5C82782E"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68E29B8D" w14:textId="77777777" w:rsidTr="000E4105">
        <w:trPr>
          <w:cantSplit/>
        </w:trPr>
        <w:tc>
          <w:tcPr>
            <w:tcW w:w="1342" w:type="dxa"/>
            <w:tcBorders>
              <w:top w:val="nil"/>
              <w:bottom w:val="nil"/>
            </w:tcBorders>
            <w:shd w:val="clear" w:color="auto" w:fill="auto"/>
          </w:tcPr>
          <w:p w14:paraId="1944ED62"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045389C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13D9E546"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Мебелите и оборудването в сборните пунктове трябва да са произведени от негорим материал</w:t>
            </w:r>
          </w:p>
        </w:tc>
        <w:tc>
          <w:tcPr>
            <w:tcW w:w="6521" w:type="dxa"/>
            <w:shd w:val="clear" w:color="auto" w:fill="auto"/>
          </w:tcPr>
          <w:p w14:paraId="293D6E9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4C79D19" w14:textId="4E3DF1D5"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5F3CCB29" w14:textId="77777777" w:rsidTr="000E4105">
        <w:trPr>
          <w:cantSplit/>
        </w:trPr>
        <w:tc>
          <w:tcPr>
            <w:tcW w:w="1342" w:type="dxa"/>
            <w:tcBorders>
              <w:top w:val="nil"/>
              <w:bottom w:val="nil"/>
            </w:tcBorders>
            <w:shd w:val="clear" w:color="auto" w:fill="auto"/>
          </w:tcPr>
          <w:p w14:paraId="58765766"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4F03C27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5E4823F9"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Изпитани съгласно Кодекса</w:t>
            </w:r>
          </w:p>
        </w:tc>
        <w:tc>
          <w:tcPr>
            <w:tcW w:w="6521" w:type="dxa"/>
            <w:shd w:val="clear" w:color="auto" w:fill="auto"/>
          </w:tcPr>
          <w:p w14:paraId="1098F20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688F571" w14:textId="215D02C1"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1CA0C224" w14:textId="77777777" w:rsidTr="000E4105">
        <w:trPr>
          <w:cantSplit/>
        </w:trPr>
        <w:tc>
          <w:tcPr>
            <w:tcW w:w="1342" w:type="dxa"/>
            <w:tcBorders>
              <w:top w:val="nil"/>
              <w:bottom w:val="single" w:sz="4" w:space="0" w:color="auto"/>
            </w:tcBorders>
            <w:shd w:val="clear" w:color="auto" w:fill="auto"/>
          </w:tcPr>
          <w:p w14:paraId="3A4ADF4D"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65656D0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7F14A07F"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Изолационни материали в салоните</w:t>
            </w:r>
          </w:p>
        </w:tc>
        <w:tc>
          <w:tcPr>
            <w:tcW w:w="6521" w:type="dxa"/>
            <w:shd w:val="clear" w:color="auto" w:fill="auto"/>
          </w:tcPr>
          <w:p w14:paraId="555E2B1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18A8BE7F" w14:textId="293BC9D6"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24F7C1A9" w14:textId="77777777" w:rsidTr="000E4105">
        <w:trPr>
          <w:cantSplit/>
        </w:trPr>
        <w:tc>
          <w:tcPr>
            <w:tcW w:w="1342" w:type="dxa"/>
            <w:tcBorders>
              <w:top w:val="single" w:sz="4" w:space="0" w:color="auto"/>
              <w:bottom w:val="nil"/>
            </w:tcBorders>
            <w:shd w:val="clear" w:color="auto" w:fill="auto"/>
          </w:tcPr>
          <w:p w14:paraId="5E4494CD"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080D5F6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0410DD17"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вратите в преградните стени</w:t>
            </w:r>
          </w:p>
        </w:tc>
        <w:tc>
          <w:tcPr>
            <w:tcW w:w="6521" w:type="dxa"/>
            <w:shd w:val="clear" w:color="auto" w:fill="auto"/>
          </w:tcPr>
          <w:p w14:paraId="15FE6E7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5CE053B2" w14:textId="13134107"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49CEB378" w14:textId="77777777" w:rsidTr="000E4105">
        <w:trPr>
          <w:cantSplit/>
        </w:trPr>
        <w:tc>
          <w:tcPr>
            <w:tcW w:w="1342" w:type="dxa"/>
            <w:tcBorders>
              <w:top w:val="nil"/>
              <w:bottom w:val="nil"/>
            </w:tcBorders>
            <w:shd w:val="clear" w:color="auto" w:fill="auto"/>
          </w:tcPr>
          <w:p w14:paraId="4FCD3CBF"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0FA048C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11</w:t>
            </w:r>
          </w:p>
        </w:tc>
        <w:tc>
          <w:tcPr>
            <w:tcW w:w="3296" w:type="dxa"/>
            <w:shd w:val="clear" w:color="auto" w:fill="auto"/>
          </w:tcPr>
          <w:p w14:paraId="1313ADAB"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Преградни стени</w:t>
            </w:r>
          </w:p>
        </w:tc>
        <w:tc>
          <w:tcPr>
            <w:tcW w:w="6521" w:type="dxa"/>
            <w:shd w:val="clear" w:color="auto" w:fill="auto"/>
          </w:tcPr>
          <w:p w14:paraId="74FA2A4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C349F43" w14:textId="7A0155F1"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2507D512" w14:textId="77777777" w:rsidTr="000E4105">
        <w:trPr>
          <w:cantSplit/>
        </w:trPr>
        <w:tc>
          <w:tcPr>
            <w:tcW w:w="1342" w:type="dxa"/>
            <w:tcBorders>
              <w:top w:val="nil"/>
              <w:bottom w:val="nil"/>
            </w:tcBorders>
            <w:shd w:val="clear" w:color="auto" w:fill="auto"/>
          </w:tcPr>
          <w:p w14:paraId="19C7CC2D"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20F09C1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12</w:t>
            </w:r>
          </w:p>
        </w:tc>
        <w:tc>
          <w:tcPr>
            <w:tcW w:w="3296" w:type="dxa"/>
            <w:shd w:val="clear" w:color="auto" w:fill="auto"/>
          </w:tcPr>
          <w:p w14:paraId="499FD0C1"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Пожарозащитни прегради</w:t>
            </w:r>
          </w:p>
        </w:tc>
        <w:tc>
          <w:tcPr>
            <w:tcW w:w="6521" w:type="dxa"/>
            <w:shd w:val="clear" w:color="auto" w:fill="auto"/>
          </w:tcPr>
          <w:p w14:paraId="131845C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5395F40" w14:textId="42C0EEC7"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5BC346D8" w14:textId="77777777" w:rsidTr="000E4105">
        <w:trPr>
          <w:cantSplit/>
        </w:trPr>
        <w:tc>
          <w:tcPr>
            <w:tcW w:w="1342" w:type="dxa"/>
            <w:tcBorders>
              <w:top w:val="nil"/>
              <w:bottom w:val="nil"/>
            </w:tcBorders>
            <w:shd w:val="clear" w:color="auto" w:fill="auto"/>
          </w:tcPr>
          <w:p w14:paraId="3885DD92"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0291EF3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3392441B"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Стълбища от стомана или друг еквивалентен негорим материал</w:t>
            </w:r>
          </w:p>
        </w:tc>
        <w:tc>
          <w:tcPr>
            <w:tcW w:w="6521" w:type="dxa"/>
            <w:shd w:val="clear" w:color="auto" w:fill="auto"/>
          </w:tcPr>
          <w:p w14:paraId="0D4B8BB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263BB609" w14:textId="7FBC5152"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693DDED1" w14:textId="77777777" w:rsidTr="000E4105">
        <w:trPr>
          <w:cantSplit/>
        </w:trPr>
        <w:tc>
          <w:tcPr>
            <w:tcW w:w="1342" w:type="dxa"/>
            <w:tcBorders>
              <w:top w:val="nil"/>
              <w:bottom w:val="nil"/>
            </w:tcBorders>
            <w:shd w:val="clear" w:color="auto" w:fill="auto"/>
          </w:tcPr>
          <w:p w14:paraId="6D81A28F"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21463CD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14</w:t>
            </w:r>
          </w:p>
        </w:tc>
        <w:tc>
          <w:tcPr>
            <w:tcW w:w="3296" w:type="dxa"/>
            <w:shd w:val="clear" w:color="auto" w:fill="auto"/>
          </w:tcPr>
          <w:p w14:paraId="1E98C55F"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Вътрешните стълбища, обградени на всички нива от стени в съответствие с точка 2</w:t>
            </w:r>
          </w:p>
        </w:tc>
        <w:tc>
          <w:tcPr>
            <w:tcW w:w="6521" w:type="dxa"/>
            <w:shd w:val="clear" w:color="auto" w:fill="auto"/>
          </w:tcPr>
          <w:p w14:paraId="65D8890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F0CCDBF" w14:textId="14AE8264"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4018D1CC" w14:textId="77777777" w:rsidTr="000E4105">
        <w:trPr>
          <w:cantSplit/>
        </w:trPr>
        <w:tc>
          <w:tcPr>
            <w:tcW w:w="1342" w:type="dxa"/>
            <w:tcBorders>
              <w:top w:val="nil"/>
              <w:bottom w:val="nil"/>
            </w:tcBorders>
            <w:shd w:val="clear" w:color="auto" w:fill="auto"/>
          </w:tcPr>
          <w:p w14:paraId="0599EE3E"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D556CB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15</w:t>
            </w:r>
          </w:p>
        </w:tc>
        <w:tc>
          <w:tcPr>
            <w:tcW w:w="3296" w:type="dxa"/>
            <w:shd w:val="clear" w:color="auto" w:fill="auto"/>
          </w:tcPr>
          <w:p w14:paraId="51392237"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Вентилационни системи и системи за подаване на въздух</w:t>
            </w:r>
          </w:p>
        </w:tc>
        <w:tc>
          <w:tcPr>
            <w:tcW w:w="6521" w:type="dxa"/>
            <w:shd w:val="clear" w:color="auto" w:fill="auto"/>
          </w:tcPr>
          <w:p w14:paraId="17E2818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6790FBCD" w14:textId="50C7D618"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7FB40B2F" w14:textId="77777777" w:rsidTr="000E4105">
        <w:trPr>
          <w:cantSplit/>
        </w:trPr>
        <w:tc>
          <w:tcPr>
            <w:tcW w:w="1342" w:type="dxa"/>
            <w:tcBorders>
              <w:top w:val="nil"/>
              <w:bottom w:val="nil"/>
            </w:tcBorders>
            <w:shd w:val="clear" w:color="auto" w:fill="auto"/>
          </w:tcPr>
          <w:p w14:paraId="13354F49"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7F2F64A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16</w:t>
            </w:r>
          </w:p>
        </w:tc>
        <w:tc>
          <w:tcPr>
            <w:tcW w:w="3296" w:type="dxa"/>
            <w:shd w:val="clear" w:color="auto" w:fill="auto"/>
          </w:tcPr>
          <w:p w14:paraId="58346EC5"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Вентилационни системи в камбузите и печки с аспирационни чадъри</w:t>
            </w:r>
          </w:p>
        </w:tc>
        <w:tc>
          <w:tcPr>
            <w:tcW w:w="6521" w:type="dxa"/>
            <w:shd w:val="clear" w:color="auto" w:fill="auto"/>
          </w:tcPr>
          <w:p w14:paraId="6E8A663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E7F2B7C" w14:textId="0C9E981C" w:rsidR="00271FA2" w:rsidRPr="00F06DE2" w:rsidRDefault="00D83744">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48F67C97" w14:textId="77777777" w:rsidTr="000E4105">
        <w:trPr>
          <w:cantSplit/>
        </w:trPr>
        <w:tc>
          <w:tcPr>
            <w:tcW w:w="1342" w:type="dxa"/>
            <w:tcBorders>
              <w:top w:val="nil"/>
              <w:bottom w:val="single" w:sz="4" w:space="0" w:color="auto"/>
            </w:tcBorders>
            <w:shd w:val="clear" w:color="auto" w:fill="auto"/>
          </w:tcPr>
          <w:p w14:paraId="391E13CB"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51EA273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17</w:t>
            </w:r>
          </w:p>
        </w:tc>
        <w:tc>
          <w:tcPr>
            <w:tcW w:w="3296" w:type="dxa"/>
            <w:shd w:val="clear" w:color="auto" w:fill="auto"/>
          </w:tcPr>
          <w:p w14:paraId="1EEE517A"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Центрове за управление, стълбищни шахти, сборни пунктове и системи за изтегляне на дим</w:t>
            </w:r>
          </w:p>
        </w:tc>
        <w:tc>
          <w:tcPr>
            <w:tcW w:w="6521" w:type="dxa"/>
            <w:shd w:val="clear" w:color="auto" w:fill="auto"/>
          </w:tcPr>
          <w:p w14:paraId="37B8848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3CC0BBEE" w14:textId="02070136" w:rsidR="00271FA2" w:rsidRPr="00F06DE2" w:rsidRDefault="002513CF">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6AA0EDEA" w14:textId="77777777" w:rsidTr="000E4105">
        <w:trPr>
          <w:cantSplit/>
        </w:trPr>
        <w:tc>
          <w:tcPr>
            <w:tcW w:w="1342" w:type="dxa"/>
            <w:tcBorders>
              <w:bottom w:val="single" w:sz="4" w:space="0" w:color="auto"/>
            </w:tcBorders>
            <w:shd w:val="clear" w:color="auto" w:fill="auto"/>
          </w:tcPr>
          <w:p w14:paraId="3316929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19.12</w:t>
            </w:r>
          </w:p>
        </w:tc>
        <w:tc>
          <w:tcPr>
            <w:tcW w:w="1660" w:type="dxa"/>
            <w:shd w:val="clear" w:color="auto" w:fill="auto"/>
          </w:tcPr>
          <w:p w14:paraId="040337C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8, буква “г”</w:t>
            </w:r>
          </w:p>
        </w:tc>
        <w:tc>
          <w:tcPr>
            <w:tcW w:w="3296" w:type="dxa"/>
            <w:shd w:val="clear" w:color="auto" w:fill="auto"/>
          </w:tcPr>
          <w:p w14:paraId="0A7F7D40"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Инсталиране на пожарни помпи</w:t>
            </w:r>
          </w:p>
        </w:tc>
        <w:tc>
          <w:tcPr>
            <w:tcW w:w="6521" w:type="dxa"/>
            <w:shd w:val="clear" w:color="auto" w:fill="auto"/>
          </w:tcPr>
          <w:p w14:paraId="57F4BD5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И двете помпи: НЗР, най-късно при подновяване на Корабното удостоверение за вътрешно корабоплаване след</w:t>
            </w:r>
          </w:p>
        </w:tc>
        <w:tc>
          <w:tcPr>
            <w:tcW w:w="1635" w:type="dxa"/>
            <w:shd w:val="clear" w:color="auto" w:fill="auto"/>
          </w:tcPr>
          <w:p w14:paraId="630FA7B0" w14:textId="5E42E7AE" w:rsidR="00271FA2" w:rsidRPr="00F06DE2" w:rsidRDefault="002513CF">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3F8B072F" w14:textId="77777777" w:rsidTr="000E4105">
        <w:trPr>
          <w:cantSplit/>
        </w:trPr>
        <w:tc>
          <w:tcPr>
            <w:tcW w:w="1342" w:type="dxa"/>
            <w:tcBorders>
              <w:top w:val="single" w:sz="4" w:space="0" w:color="auto"/>
            </w:tcBorders>
            <w:shd w:val="clear" w:color="auto" w:fill="auto"/>
          </w:tcPr>
          <w:p w14:paraId="4E4D63C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19.13</w:t>
            </w:r>
          </w:p>
        </w:tc>
        <w:tc>
          <w:tcPr>
            <w:tcW w:w="1660" w:type="dxa"/>
            <w:shd w:val="clear" w:color="auto" w:fill="auto"/>
          </w:tcPr>
          <w:p w14:paraId="09F8BFA7"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26DD29A9"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Организация на безопасността</w:t>
            </w:r>
          </w:p>
        </w:tc>
        <w:tc>
          <w:tcPr>
            <w:tcW w:w="6521" w:type="dxa"/>
            <w:shd w:val="clear" w:color="auto" w:fill="auto"/>
          </w:tcPr>
          <w:p w14:paraId="0D93F08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35" w:type="dxa"/>
            <w:shd w:val="clear" w:color="auto" w:fill="auto"/>
          </w:tcPr>
          <w:p w14:paraId="7F7ED3A9"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77832E0A" w14:textId="77777777" w:rsidTr="000E4105">
        <w:trPr>
          <w:cantSplit/>
        </w:trPr>
        <w:tc>
          <w:tcPr>
            <w:tcW w:w="1342" w:type="dxa"/>
            <w:tcBorders>
              <w:bottom w:val="nil"/>
            </w:tcBorders>
            <w:shd w:val="clear" w:color="auto" w:fill="auto"/>
          </w:tcPr>
          <w:p w14:paraId="539F7B9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19.14</w:t>
            </w:r>
          </w:p>
        </w:tc>
        <w:tc>
          <w:tcPr>
            <w:tcW w:w="1660" w:type="dxa"/>
            <w:shd w:val="clear" w:color="auto" w:fill="auto"/>
          </w:tcPr>
          <w:p w14:paraId="2855A18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7821B48A"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с резервоари за събиране на отпадъчни води или бордови пречиствателни станции</w:t>
            </w:r>
          </w:p>
        </w:tc>
        <w:tc>
          <w:tcPr>
            <w:tcW w:w="6521" w:type="dxa"/>
            <w:shd w:val="clear" w:color="auto" w:fill="auto"/>
          </w:tcPr>
          <w:p w14:paraId="40181AC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плавателни съдове с не повече от 50 спални места и за плавателни съдове за дневно пътуване: НЗР, най-късно при подновяване на Корабното удостоверение за вътрешно корабоплаване след</w:t>
            </w:r>
          </w:p>
        </w:tc>
        <w:tc>
          <w:tcPr>
            <w:tcW w:w="1635" w:type="dxa"/>
            <w:shd w:val="clear" w:color="auto" w:fill="auto"/>
          </w:tcPr>
          <w:p w14:paraId="77C9104C" w14:textId="29DB3114" w:rsidR="00271FA2" w:rsidRPr="00F06DE2" w:rsidRDefault="002513CF">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324DB8CB" w14:textId="77777777" w:rsidTr="000E4105">
        <w:trPr>
          <w:cantSplit/>
        </w:trPr>
        <w:tc>
          <w:tcPr>
            <w:tcW w:w="1342" w:type="dxa"/>
            <w:tcBorders>
              <w:top w:val="nil"/>
              <w:bottom w:val="single" w:sz="4" w:space="0" w:color="auto"/>
            </w:tcBorders>
            <w:shd w:val="clear" w:color="auto" w:fill="auto"/>
          </w:tcPr>
          <w:p w14:paraId="7E8A2E57" w14:textId="77777777" w:rsidR="00271FA2" w:rsidRPr="00F06DE2" w:rsidRDefault="00271FA2">
            <w:pPr>
              <w:spacing w:line="240" w:lineRule="atLeast"/>
              <w:rPr>
                <w:rFonts w:ascii="Times New Roman" w:hAnsi="Times New Roman" w:cs="Times New Roman"/>
              </w:rPr>
            </w:pPr>
          </w:p>
        </w:tc>
        <w:tc>
          <w:tcPr>
            <w:tcW w:w="1660" w:type="dxa"/>
            <w:shd w:val="clear" w:color="auto" w:fill="auto"/>
          </w:tcPr>
          <w:p w14:paraId="1620B16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7F4352C6"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резервоарите за събиране на отпадъчни води</w:t>
            </w:r>
          </w:p>
        </w:tc>
        <w:tc>
          <w:tcPr>
            <w:tcW w:w="6521" w:type="dxa"/>
            <w:shd w:val="clear" w:color="auto" w:fill="auto"/>
          </w:tcPr>
          <w:p w14:paraId="54CB6E4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плавателни съдове с не повече от 50 спални места и за плавателни съдове за дневно пътуване с не повече от 50 пътника: НЗР, най-късно при подновяване на Корабното удостоверение за вътрешно корабоплаване след</w:t>
            </w:r>
          </w:p>
        </w:tc>
        <w:tc>
          <w:tcPr>
            <w:tcW w:w="1635" w:type="dxa"/>
            <w:shd w:val="clear" w:color="auto" w:fill="auto"/>
          </w:tcPr>
          <w:p w14:paraId="1B51F5C1" w14:textId="4EBF399B" w:rsidR="00271FA2" w:rsidRPr="00F06DE2" w:rsidRDefault="002513CF">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3583D8E2" w14:textId="77777777" w:rsidTr="000E4105">
        <w:trPr>
          <w:cantSplit/>
        </w:trPr>
        <w:tc>
          <w:tcPr>
            <w:tcW w:w="1342" w:type="dxa"/>
            <w:tcBorders>
              <w:bottom w:val="nil"/>
            </w:tcBorders>
            <w:shd w:val="clear" w:color="auto" w:fill="auto"/>
          </w:tcPr>
          <w:p w14:paraId="6AB708C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19.15</w:t>
            </w:r>
          </w:p>
        </w:tc>
        <w:tc>
          <w:tcPr>
            <w:tcW w:w="1660" w:type="dxa"/>
            <w:shd w:val="clear" w:color="auto" w:fill="auto"/>
          </w:tcPr>
          <w:p w14:paraId="0AD7B91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10E5880C"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Устойчивост в повредено състояние</w:t>
            </w:r>
          </w:p>
        </w:tc>
        <w:tc>
          <w:tcPr>
            <w:tcW w:w="6521" w:type="dxa"/>
            <w:shd w:val="clear" w:color="auto" w:fill="auto"/>
          </w:tcPr>
          <w:p w14:paraId="50A0E72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47D0EF94" w14:textId="1CBBD4B3" w:rsidR="00271FA2" w:rsidRPr="00F06DE2" w:rsidRDefault="002513CF">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6E5ACAD4" w14:textId="77777777" w:rsidTr="000E4105">
        <w:trPr>
          <w:cantSplit/>
        </w:trPr>
        <w:tc>
          <w:tcPr>
            <w:tcW w:w="6298" w:type="dxa"/>
            <w:gridSpan w:val="3"/>
            <w:shd w:val="clear" w:color="auto" w:fill="auto"/>
          </w:tcPr>
          <w:p w14:paraId="1E2420F5"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21</w:t>
            </w:r>
          </w:p>
        </w:tc>
        <w:tc>
          <w:tcPr>
            <w:tcW w:w="6521" w:type="dxa"/>
            <w:shd w:val="clear" w:color="auto" w:fill="auto"/>
          </w:tcPr>
          <w:p w14:paraId="6B111C16"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0A6F63F8" w14:textId="77777777" w:rsidR="00271FA2" w:rsidRPr="00F06DE2" w:rsidRDefault="00271FA2">
            <w:pPr>
              <w:spacing w:line="240" w:lineRule="atLeast"/>
              <w:rPr>
                <w:rFonts w:ascii="Times New Roman" w:hAnsi="Times New Roman" w:cs="Times New Roman"/>
              </w:rPr>
            </w:pPr>
          </w:p>
        </w:tc>
      </w:tr>
      <w:tr w:rsidR="00271FA2" w:rsidRPr="00F06DE2" w14:paraId="6345AA5A" w14:textId="77777777" w:rsidTr="000E4105">
        <w:trPr>
          <w:cantSplit/>
          <w:trHeight w:val="1156"/>
        </w:trPr>
        <w:tc>
          <w:tcPr>
            <w:tcW w:w="1342" w:type="dxa"/>
            <w:tcBorders>
              <w:bottom w:val="nil"/>
            </w:tcBorders>
            <w:shd w:val="clear" w:color="auto" w:fill="auto"/>
          </w:tcPr>
          <w:p w14:paraId="2C24078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21.01</w:t>
            </w:r>
          </w:p>
        </w:tc>
        <w:tc>
          <w:tcPr>
            <w:tcW w:w="1660" w:type="dxa"/>
            <w:shd w:val="clear" w:color="auto" w:fill="auto"/>
          </w:tcPr>
          <w:p w14:paraId="7D4177B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539AB817"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Специални лебедки или равностойни свързващи устройства, които се използват за тласкане</w:t>
            </w:r>
          </w:p>
        </w:tc>
        <w:tc>
          <w:tcPr>
            <w:tcW w:w="6521" w:type="dxa"/>
            <w:shd w:val="clear" w:color="auto" w:fill="auto"/>
          </w:tcPr>
          <w:p w14:paraId="71953A12" w14:textId="36AABD3D"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средства, сертифицирани преди </w:t>
            </w:r>
            <w:r w:rsidR="00275FEC" w:rsidRPr="00F06DE2">
              <w:rPr>
                <w:rFonts w:ascii="Times New Roman" w:hAnsi="Times New Roman" w:cs="Times New Roman"/>
                <w:lang w:val="ru-RU"/>
              </w:rPr>
              <w:t>0</w:t>
            </w:r>
            <w:r w:rsidRPr="00F06DE2">
              <w:rPr>
                <w:rFonts w:ascii="Times New Roman" w:hAnsi="Times New Roman" w:cs="Times New Roman"/>
                <w:lang w:val="ru-RU"/>
              </w:rPr>
              <w:t>1.</w:t>
            </w:r>
            <w:r w:rsidR="00275FEC" w:rsidRPr="00F06DE2">
              <w:rPr>
                <w:rFonts w:ascii="Times New Roman" w:hAnsi="Times New Roman" w:cs="Times New Roman"/>
                <w:lang w:val="ru-RU"/>
              </w:rPr>
              <w:t>0</w:t>
            </w:r>
            <w:r w:rsidRPr="00F06DE2">
              <w:rPr>
                <w:rFonts w:ascii="Times New Roman" w:hAnsi="Times New Roman" w:cs="Times New Roman"/>
                <w:lang w:val="ru-RU"/>
              </w:rPr>
              <w:t>1.1995</w:t>
            </w:r>
            <w:r w:rsidRPr="00F06DE2">
              <w:rPr>
                <w:rFonts w:ascii="Times New Roman" w:hAnsi="Times New Roman" w:cs="Times New Roman"/>
              </w:rPr>
              <w:t> </w:t>
            </w:r>
            <w:r w:rsidRPr="00F06DE2">
              <w:rPr>
                <w:rFonts w:ascii="Times New Roman" w:hAnsi="Times New Roman" w:cs="Times New Roman"/>
                <w:lang w:val="ru-RU"/>
              </w:rPr>
              <w:t>г. за тласкане без необходимото оборудване за закрепване: НЗР, най-късно при подновяване на Корабното удостоверение за вътрешно корабоплаване след</w:t>
            </w:r>
          </w:p>
        </w:tc>
        <w:tc>
          <w:tcPr>
            <w:tcW w:w="1635" w:type="dxa"/>
            <w:shd w:val="clear" w:color="auto" w:fill="auto"/>
          </w:tcPr>
          <w:p w14:paraId="04E1BE14" w14:textId="6B0F9C87" w:rsidR="00271FA2" w:rsidRPr="00F06DE2" w:rsidRDefault="002513CF">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55591152" w14:textId="77777777" w:rsidTr="000E4105">
        <w:trPr>
          <w:cantSplit/>
        </w:trPr>
        <w:tc>
          <w:tcPr>
            <w:tcW w:w="1342" w:type="dxa"/>
            <w:tcBorders>
              <w:top w:val="nil"/>
            </w:tcBorders>
            <w:shd w:val="clear" w:color="auto" w:fill="auto"/>
          </w:tcPr>
          <w:p w14:paraId="02A53B88"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17E9750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последно изречение</w:t>
            </w:r>
          </w:p>
        </w:tc>
        <w:tc>
          <w:tcPr>
            <w:tcW w:w="3296" w:type="dxa"/>
            <w:shd w:val="clear" w:color="auto" w:fill="auto"/>
          </w:tcPr>
          <w:p w14:paraId="723C2061"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Изисквания към задвижващите звена</w:t>
            </w:r>
          </w:p>
        </w:tc>
        <w:tc>
          <w:tcPr>
            <w:tcW w:w="6521" w:type="dxa"/>
            <w:shd w:val="clear" w:color="auto" w:fill="auto"/>
          </w:tcPr>
          <w:p w14:paraId="07B323F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35" w:type="dxa"/>
            <w:shd w:val="clear" w:color="auto" w:fill="auto"/>
          </w:tcPr>
          <w:p w14:paraId="7E77CF4F" w14:textId="77375E25" w:rsidR="00271FA2" w:rsidRPr="00F06DE2" w:rsidRDefault="002513CF">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102D3F3A" w14:textId="77777777" w:rsidTr="000E4105">
        <w:trPr>
          <w:cantSplit/>
        </w:trPr>
        <w:tc>
          <w:tcPr>
            <w:tcW w:w="6298" w:type="dxa"/>
            <w:gridSpan w:val="3"/>
            <w:shd w:val="clear" w:color="auto" w:fill="auto"/>
          </w:tcPr>
          <w:p w14:paraId="54FA47EF"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22</w:t>
            </w:r>
          </w:p>
        </w:tc>
        <w:tc>
          <w:tcPr>
            <w:tcW w:w="6521" w:type="dxa"/>
            <w:shd w:val="clear" w:color="auto" w:fill="auto"/>
          </w:tcPr>
          <w:p w14:paraId="20A6912A"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311BBCF8" w14:textId="77777777" w:rsidR="00271FA2" w:rsidRPr="00F06DE2" w:rsidRDefault="00271FA2">
            <w:pPr>
              <w:spacing w:line="240" w:lineRule="atLeast"/>
              <w:rPr>
                <w:rFonts w:ascii="Times New Roman" w:hAnsi="Times New Roman" w:cs="Times New Roman"/>
              </w:rPr>
            </w:pPr>
          </w:p>
        </w:tc>
      </w:tr>
      <w:tr w:rsidR="00271FA2" w:rsidRPr="00F06DE2" w14:paraId="5549A424" w14:textId="77777777" w:rsidTr="000E4105">
        <w:trPr>
          <w:cantSplit/>
        </w:trPr>
        <w:tc>
          <w:tcPr>
            <w:tcW w:w="1342" w:type="dxa"/>
            <w:tcBorders>
              <w:bottom w:val="single" w:sz="4" w:space="0" w:color="auto"/>
            </w:tcBorders>
            <w:shd w:val="clear" w:color="auto" w:fill="auto"/>
          </w:tcPr>
          <w:p w14:paraId="32DF525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22.02</w:t>
            </w:r>
          </w:p>
        </w:tc>
        <w:tc>
          <w:tcPr>
            <w:tcW w:w="1660" w:type="dxa"/>
            <w:shd w:val="clear" w:color="auto" w:fill="auto"/>
          </w:tcPr>
          <w:p w14:paraId="3C6684E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4405A60D"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Допълнителни изисквания</w:t>
            </w:r>
          </w:p>
        </w:tc>
        <w:tc>
          <w:tcPr>
            <w:tcW w:w="6521" w:type="dxa"/>
            <w:shd w:val="clear" w:color="auto" w:fill="auto"/>
          </w:tcPr>
          <w:p w14:paraId="27C01E8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Важат преходните разпоредби, посочени в съответния член.</w:t>
            </w:r>
          </w:p>
        </w:tc>
        <w:tc>
          <w:tcPr>
            <w:tcW w:w="1635" w:type="dxa"/>
            <w:shd w:val="clear" w:color="auto" w:fill="auto"/>
          </w:tcPr>
          <w:p w14:paraId="10603122"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345AAAAD" w14:textId="77777777" w:rsidTr="000E4105">
        <w:trPr>
          <w:cantSplit/>
        </w:trPr>
        <w:tc>
          <w:tcPr>
            <w:tcW w:w="6298" w:type="dxa"/>
            <w:gridSpan w:val="3"/>
            <w:shd w:val="clear" w:color="auto" w:fill="auto"/>
          </w:tcPr>
          <w:p w14:paraId="32011CE6"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26</w:t>
            </w:r>
          </w:p>
        </w:tc>
        <w:tc>
          <w:tcPr>
            <w:tcW w:w="6521" w:type="dxa"/>
            <w:shd w:val="clear" w:color="auto" w:fill="auto"/>
          </w:tcPr>
          <w:p w14:paraId="6FBE8136" w14:textId="77777777" w:rsidR="00271FA2" w:rsidRPr="00F06DE2" w:rsidRDefault="00271FA2">
            <w:pPr>
              <w:spacing w:line="240" w:lineRule="atLeast"/>
              <w:rPr>
                <w:rFonts w:ascii="Times New Roman" w:hAnsi="Times New Roman" w:cs="Times New Roman"/>
              </w:rPr>
            </w:pPr>
          </w:p>
        </w:tc>
        <w:tc>
          <w:tcPr>
            <w:tcW w:w="1635" w:type="dxa"/>
            <w:shd w:val="clear" w:color="auto" w:fill="auto"/>
          </w:tcPr>
          <w:p w14:paraId="7A6FF6C4" w14:textId="77777777" w:rsidR="00271FA2" w:rsidRPr="00F06DE2" w:rsidRDefault="00271FA2">
            <w:pPr>
              <w:spacing w:line="240" w:lineRule="atLeast"/>
              <w:rPr>
                <w:rFonts w:ascii="Times New Roman" w:hAnsi="Times New Roman" w:cs="Times New Roman"/>
              </w:rPr>
            </w:pPr>
          </w:p>
        </w:tc>
      </w:tr>
      <w:tr w:rsidR="00271FA2" w:rsidRPr="00F06DE2" w14:paraId="5FC4636F" w14:textId="77777777" w:rsidTr="000E4105">
        <w:trPr>
          <w:cantSplit/>
        </w:trPr>
        <w:tc>
          <w:tcPr>
            <w:tcW w:w="1342" w:type="dxa"/>
            <w:shd w:val="clear" w:color="auto" w:fill="auto"/>
          </w:tcPr>
          <w:p w14:paraId="155270D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26.01</w:t>
            </w:r>
          </w:p>
        </w:tc>
        <w:tc>
          <w:tcPr>
            <w:tcW w:w="1660" w:type="dxa"/>
            <w:shd w:val="clear" w:color="auto" w:fill="auto"/>
          </w:tcPr>
          <w:p w14:paraId="16C082BD"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26445D4" w14:textId="77777777" w:rsidR="00271FA2" w:rsidRPr="00F06DE2" w:rsidRDefault="00271FA2">
            <w:pPr>
              <w:tabs>
                <w:tab w:val="left" w:pos="1080"/>
              </w:tabs>
              <w:spacing w:line="240" w:lineRule="atLeast"/>
              <w:jc w:val="both"/>
              <w:rPr>
                <w:rFonts w:ascii="Times New Roman" w:hAnsi="Times New Roman" w:cs="Times New Roman"/>
              </w:rPr>
            </w:pPr>
          </w:p>
        </w:tc>
        <w:tc>
          <w:tcPr>
            <w:tcW w:w="6521" w:type="dxa"/>
            <w:shd w:val="clear" w:color="auto" w:fill="auto"/>
          </w:tcPr>
          <w:p w14:paraId="0BD7C690" w14:textId="4921D0F1"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плавателните средства за отдих, заложени за строеж преди </w:t>
            </w:r>
            <w:r w:rsidR="00275FEC" w:rsidRPr="00F06DE2">
              <w:rPr>
                <w:rFonts w:ascii="Times New Roman" w:hAnsi="Times New Roman" w:cs="Times New Roman"/>
                <w:lang w:val="ru-RU"/>
              </w:rPr>
              <w:t>0</w:t>
            </w:r>
            <w:r w:rsidRPr="00F06DE2">
              <w:rPr>
                <w:rFonts w:ascii="Times New Roman" w:hAnsi="Times New Roman" w:cs="Times New Roman"/>
                <w:lang w:val="ru-RU"/>
              </w:rPr>
              <w:t>1.</w:t>
            </w:r>
            <w:r w:rsidR="00275FEC" w:rsidRPr="00F06DE2">
              <w:rPr>
                <w:rFonts w:ascii="Times New Roman" w:hAnsi="Times New Roman" w:cs="Times New Roman"/>
                <w:lang w:val="ru-RU"/>
              </w:rPr>
              <w:t>0</w:t>
            </w:r>
            <w:r w:rsidRPr="00F06DE2">
              <w:rPr>
                <w:rFonts w:ascii="Times New Roman" w:hAnsi="Times New Roman" w:cs="Times New Roman"/>
                <w:lang w:val="ru-RU"/>
              </w:rPr>
              <w:t>1.1995 г.: НЗР, най-късно при подновяване на Корабното удостоверение за вътрешно корабоплаване след</w:t>
            </w:r>
          </w:p>
        </w:tc>
        <w:tc>
          <w:tcPr>
            <w:tcW w:w="1635" w:type="dxa"/>
            <w:shd w:val="clear" w:color="auto" w:fill="auto"/>
          </w:tcPr>
          <w:p w14:paraId="6FE92F31" w14:textId="37CC735A" w:rsidR="00271FA2" w:rsidRPr="00F06DE2" w:rsidRDefault="002513CF">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0214018F" w14:textId="77777777" w:rsidTr="000E4105">
        <w:trPr>
          <w:cantSplit/>
        </w:trPr>
        <w:tc>
          <w:tcPr>
            <w:tcW w:w="1342" w:type="dxa"/>
            <w:shd w:val="clear" w:color="auto" w:fill="auto"/>
          </w:tcPr>
          <w:p w14:paraId="0C278440" w14:textId="77777777" w:rsidR="00271FA2" w:rsidRPr="00F06DE2" w:rsidRDefault="00271FA2">
            <w:pPr>
              <w:spacing w:line="240" w:lineRule="atLeast"/>
              <w:jc w:val="both"/>
              <w:rPr>
                <w:rFonts w:ascii="Times New Roman" w:hAnsi="Times New Roman" w:cs="Times New Roman"/>
              </w:rPr>
            </w:pPr>
          </w:p>
        </w:tc>
        <w:tc>
          <w:tcPr>
            <w:tcW w:w="1660" w:type="dxa"/>
            <w:shd w:val="clear" w:color="auto" w:fill="auto"/>
          </w:tcPr>
          <w:p w14:paraId="63094671"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5E049EB" w14:textId="77777777" w:rsidR="00271FA2" w:rsidRPr="00F06DE2" w:rsidRDefault="00D35E51">
            <w:pPr>
              <w:tabs>
                <w:tab w:val="left" w:pos="1080"/>
              </w:tabs>
              <w:spacing w:line="240" w:lineRule="atLeast"/>
              <w:jc w:val="both"/>
              <w:rPr>
                <w:rFonts w:ascii="Times New Roman" w:hAnsi="Times New Roman" w:cs="Times New Roman"/>
                <w:b/>
              </w:rPr>
            </w:pPr>
            <w:r w:rsidRPr="00F06DE2">
              <w:rPr>
                <w:rFonts w:ascii="Times New Roman" w:hAnsi="Times New Roman" w:cs="Times New Roman"/>
                <w:b/>
              </w:rPr>
              <w:t>ГЛАВА 30</w:t>
            </w:r>
          </w:p>
        </w:tc>
        <w:tc>
          <w:tcPr>
            <w:tcW w:w="6521" w:type="dxa"/>
            <w:shd w:val="clear" w:color="auto" w:fill="auto"/>
          </w:tcPr>
          <w:p w14:paraId="3880B9A7" w14:textId="77777777" w:rsidR="00271FA2" w:rsidRPr="00F06DE2" w:rsidRDefault="00271FA2">
            <w:pPr>
              <w:spacing w:line="240" w:lineRule="atLeast"/>
              <w:jc w:val="both"/>
              <w:rPr>
                <w:rFonts w:ascii="Times New Roman" w:hAnsi="Times New Roman" w:cs="Times New Roman"/>
              </w:rPr>
            </w:pPr>
          </w:p>
        </w:tc>
        <w:tc>
          <w:tcPr>
            <w:tcW w:w="1635" w:type="dxa"/>
            <w:shd w:val="clear" w:color="auto" w:fill="auto"/>
          </w:tcPr>
          <w:p w14:paraId="3D5F0A1E" w14:textId="77777777" w:rsidR="00271FA2" w:rsidRPr="00F06DE2" w:rsidRDefault="00271FA2">
            <w:pPr>
              <w:spacing w:line="240" w:lineRule="atLeast"/>
              <w:jc w:val="both"/>
              <w:rPr>
                <w:rFonts w:ascii="Times New Roman" w:hAnsi="Times New Roman" w:cs="Times New Roman"/>
              </w:rPr>
            </w:pPr>
          </w:p>
        </w:tc>
      </w:tr>
      <w:tr w:rsidR="00271FA2" w:rsidRPr="00F06DE2" w14:paraId="30959102" w14:textId="77777777" w:rsidTr="000E4105">
        <w:trPr>
          <w:cantSplit/>
        </w:trPr>
        <w:tc>
          <w:tcPr>
            <w:tcW w:w="1342" w:type="dxa"/>
            <w:shd w:val="clear" w:color="auto" w:fill="auto"/>
          </w:tcPr>
          <w:p w14:paraId="548C8A9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30.02</w:t>
            </w:r>
          </w:p>
        </w:tc>
        <w:tc>
          <w:tcPr>
            <w:tcW w:w="1660" w:type="dxa"/>
            <w:shd w:val="clear" w:color="auto" w:fill="auto"/>
          </w:tcPr>
          <w:p w14:paraId="2EAC985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2E5C62BF"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Газообразни или прахови замърсители от двигатели с горива с ниска точка на възпламеняване</w:t>
            </w:r>
          </w:p>
        </w:tc>
        <w:tc>
          <w:tcPr>
            <w:tcW w:w="6521" w:type="dxa"/>
            <w:shd w:val="clear" w:color="auto" w:fill="auto"/>
          </w:tcPr>
          <w:p w14:paraId="294514E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двигатели, отговарящи на разпоредбите за типово одобрение и монтаж, които са в сила към датата на монтаж: НЗР</w:t>
            </w:r>
          </w:p>
        </w:tc>
        <w:tc>
          <w:tcPr>
            <w:tcW w:w="1635" w:type="dxa"/>
            <w:shd w:val="clear" w:color="auto" w:fill="auto"/>
          </w:tcPr>
          <w:p w14:paraId="5A3EA6E5" w14:textId="77777777" w:rsidR="00271FA2" w:rsidRPr="00F06DE2" w:rsidRDefault="00271FA2">
            <w:pPr>
              <w:spacing w:line="240" w:lineRule="atLeast"/>
              <w:jc w:val="both"/>
              <w:rPr>
                <w:rFonts w:ascii="Times New Roman" w:hAnsi="Times New Roman" w:cs="Times New Roman"/>
                <w:lang w:val="ru-RU"/>
              </w:rPr>
            </w:pPr>
          </w:p>
        </w:tc>
      </w:tr>
    </w:tbl>
    <w:p w14:paraId="74E8D031" w14:textId="77777777" w:rsidR="00271FA2" w:rsidRPr="00F06DE2" w:rsidRDefault="00271FA2">
      <w:pPr>
        <w:spacing w:line="240" w:lineRule="atLeast"/>
        <w:ind w:left="567" w:hanging="567"/>
        <w:rPr>
          <w:rFonts w:ascii="Times New Roman" w:hAnsi="Times New Roman" w:cs="Times New Roman"/>
          <w:sz w:val="20"/>
          <w:szCs w:val="20"/>
          <w:lang w:val="ru-RU"/>
        </w:rPr>
      </w:pPr>
    </w:p>
    <w:p w14:paraId="2287D92B" w14:textId="77777777" w:rsidR="00271FA2" w:rsidRPr="00F06DE2" w:rsidRDefault="00271FA2">
      <w:pPr>
        <w:spacing w:line="240" w:lineRule="atLeast"/>
        <w:rPr>
          <w:rFonts w:ascii="Times New Roman" w:hAnsi="Times New Roman" w:cs="Times New Roman"/>
          <w:lang w:val="ru-RU"/>
        </w:rPr>
        <w:sectPr w:rsidR="00271FA2" w:rsidRPr="00F06DE2" w:rsidSect="00DB7663">
          <w:headerReference w:type="default" r:id="rId85"/>
          <w:footerReference w:type="default" r:id="rId86"/>
          <w:headerReference w:type="first" r:id="rId87"/>
          <w:footerReference w:type="first" r:id="rId88"/>
          <w:footnotePr>
            <w:numRestart w:val="eachPage"/>
          </w:footnotePr>
          <w:pgSz w:w="16838" w:h="11906" w:orient="landscape"/>
          <w:pgMar w:top="1134" w:right="1134" w:bottom="1134" w:left="1134" w:header="709" w:footer="709" w:gutter="0"/>
          <w:cols w:space="709"/>
          <w:titlePg/>
          <w:docGrid w:linePitch="272"/>
        </w:sectPr>
      </w:pPr>
    </w:p>
    <w:p w14:paraId="50A319B7" w14:textId="77777777" w:rsidR="00271FA2" w:rsidRPr="00F06DE2" w:rsidRDefault="00D35E51" w:rsidP="002513CF">
      <w:pPr>
        <w:pStyle w:val="ES-Titre3"/>
        <w:spacing w:after="0" w:line="240" w:lineRule="atLeast"/>
        <w:rPr>
          <w:rFonts w:ascii="Times New Roman" w:hAnsi="Times New Roman" w:cs="Times New Roman"/>
          <w:sz w:val="24"/>
          <w:szCs w:val="24"/>
          <w:lang w:val="ru-RU"/>
        </w:rPr>
      </w:pPr>
      <w:bookmarkStart w:id="550" w:name="_Toc491854277"/>
      <w:bookmarkStart w:id="551" w:name="_Toc535827718"/>
      <w:r w:rsidRPr="00F06DE2">
        <w:rPr>
          <w:rFonts w:ascii="Times New Roman" w:hAnsi="Times New Roman" w:cs="Times New Roman"/>
          <w:sz w:val="24"/>
          <w:szCs w:val="24"/>
          <w:lang w:val="ru-RU"/>
        </w:rPr>
        <w:lastRenderedPageBreak/>
        <w:t>Член 32.03</w:t>
      </w:r>
      <w:bookmarkEnd w:id="550"/>
      <w:bookmarkEnd w:id="551"/>
    </w:p>
    <w:p w14:paraId="1C1E6C2E" w14:textId="77777777" w:rsidR="00271FA2" w:rsidRPr="00F06DE2" w:rsidRDefault="00D35E51" w:rsidP="002513CF">
      <w:pPr>
        <w:pStyle w:val="ES-Titre3a"/>
        <w:tabs>
          <w:tab w:val="left" w:pos="567"/>
        </w:tabs>
        <w:spacing w:line="240" w:lineRule="atLeast"/>
        <w:ind w:left="567"/>
        <w:rPr>
          <w:rFonts w:ascii="Times New Roman" w:hAnsi="Times New Roman" w:cs="Times New Roman"/>
          <w:sz w:val="24"/>
          <w:szCs w:val="24"/>
          <w:lang w:val="ru-RU"/>
        </w:rPr>
      </w:pPr>
      <w:bookmarkStart w:id="552" w:name="_Toc421775887"/>
      <w:bookmarkStart w:id="553" w:name="_Toc491854278"/>
      <w:bookmarkStart w:id="554" w:name="_Toc535827719"/>
      <w:r w:rsidRPr="00F06DE2">
        <w:rPr>
          <w:rFonts w:ascii="Times New Roman" w:hAnsi="Times New Roman" w:cs="Times New Roman"/>
          <w:sz w:val="24"/>
          <w:szCs w:val="24"/>
          <w:lang w:val="ru-RU"/>
        </w:rPr>
        <w:t>Допълнителни преходни разпоредби относно плавателните средства, които са заложени за строеж на или преди 1 април 1976 г</w:t>
      </w:r>
      <w:bookmarkEnd w:id="552"/>
      <w:bookmarkEnd w:id="553"/>
      <w:bookmarkEnd w:id="554"/>
      <w:r w:rsidRPr="00F06DE2">
        <w:rPr>
          <w:rFonts w:ascii="Times New Roman" w:hAnsi="Times New Roman" w:cs="Times New Roman"/>
          <w:sz w:val="24"/>
          <w:szCs w:val="24"/>
          <w:lang w:val="ru-RU"/>
        </w:rPr>
        <w:t>.</w:t>
      </w:r>
    </w:p>
    <w:p w14:paraId="5628ED5D" w14:textId="6F6602C0" w:rsidR="00271FA2" w:rsidRPr="00F06DE2" w:rsidRDefault="002513CF" w:rsidP="002513CF">
      <w:pPr>
        <w:tabs>
          <w:tab w:val="left" w:pos="567"/>
          <w:tab w:val="left" w:pos="851"/>
        </w:tabs>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1. </w:t>
      </w:r>
      <w:r w:rsidR="00D35E51" w:rsidRPr="00F06DE2">
        <w:rPr>
          <w:rFonts w:ascii="Times New Roman" w:hAnsi="Times New Roman" w:cs="Times New Roman"/>
          <w:lang w:val="ru-RU"/>
        </w:rPr>
        <w:t>В допълнение към преходните разпоредби на член 32.02 следните разпоредби могат да бъдат прилагани по отношение на плавателни средства, които са заложени за строеж на или преди 1 април 1976 г.</w:t>
      </w:r>
    </w:p>
    <w:p w14:paraId="7B26DBA7" w14:textId="148175E1" w:rsidR="00271FA2" w:rsidRPr="00F06DE2" w:rsidRDefault="002513CF" w:rsidP="002513CF">
      <w:pPr>
        <w:tabs>
          <w:tab w:val="left" w:pos="567"/>
          <w:tab w:val="left" w:pos="851"/>
        </w:tabs>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2. </w:t>
      </w:r>
      <w:r w:rsidR="00D35E51" w:rsidRPr="00F06DE2">
        <w:rPr>
          <w:rFonts w:ascii="Times New Roman" w:hAnsi="Times New Roman" w:cs="Times New Roman"/>
          <w:lang w:val="ru-RU"/>
        </w:rPr>
        <w:t>За таблицата по-долу важат следните определения:</w:t>
      </w:r>
    </w:p>
    <w:p w14:paraId="1CC591D4" w14:textId="77777777" w:rsidR="00271FA2" w:rsidRPr="00F06DE2" w:rsidRDefault="00D35E51" w:rsidP="002513CF">
      <w:pPr>
        <w:tabs>
          <w:tab w:val="left" w:pos="567"/>
        </w:tabs>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„ЗР“: разпоредбата не се прилага за плавателни средства, които вече са в експлоатация, освен ако въпросните части не бъдат заменени или преустроени, т.е. разпоредбата важи само по отношение на </w:t>
      </w:r>
      <w:r w:rsidRPr="00F06DE2">
        <w:rPr>
          <w:rFonts w:ascii="Times New Roman" w:hAnsi="Times New Roman" w:cs="Times New Roman"/>
          <w:u w:val="single"/>
          <w:lang w:val="ru-RU"/>
        </w:rPr>
        <w:t>З</w:t>
      </w:r>
      <w:r w:rsidRPr="00F06DE2">
        <w:rPr>
          <w:rFonts w:ascii="Times New Roman" w:hAnsi="Times New Roman" w:cs="Times New Roman"/>
          <w:lang w:val="ru-RU"/>
        </w:rPr>
        <w:t xml:space="preserve">амяната или </w:t>
      </w:r>
      <w:r w:rsidRPr="00F06DE2">
        <w:rPr>
          <w:rFonts w:ascii="Times New Roman" w:hAnsi="Times New Roman" w:cs="Times New Roman"/>
          <w:u w:val="single"/>
          <w:lang w:val="ru-RU"/>
        </w:rPr>
        <w:t>Р</w:t>
      </w:r>
      <w:r w:rsidRPr="00F06DE2">
        <w:rPr>
          <w:rFonts w:ascii="Times New Roman" w:hAnsi="Times New Roman" w:cs="Times New Roman"/>
          <w:lang w:val="ru-RU"/>
        </w:rPr>
        <w:t xml:space="preserve">еконструкцията (преустройството) на въпросните части или пространства. В случай, че съществуващи части се заменят с части от същия вид при използване на същата технология, това не представлява замяна „З“ по смисъла на преходните разпоредби. </w:t>
      </w:r>
    </w:p>
    <w:p w14:paraId="627824BE" w14:textId="69E1F783" w:rsidR="00271FA2" w:rsidRPr="00F06DE2" w:rsidRDefault="00D35E51" w:rsidP="002513CF">
      <w:pPr>
        <w:tabs>
          <w:tab w:val="left" w:pos="567"/>
          <w:tab w:val="left" w:pos="4678"/>
        </w:tabs>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„Издаване или подновяване на Корабното удостоверение за вътрешно корабоплаване “: разпоредбата трябва да бъде спазена при следващото издаване или подновяване на Корабното удостоверение за вътрешно корабоплаване след посочената дата.</w:t>
      </w:r>
    </w:p>
    <w:p w14:paraId="1CE139F4" w14:textId="77777777" w:rsidR="002513CF" w:rsidRPr="00F06DE2" w:rsidRDefault="002513CF" w:rsidP="002513CF">
      <w:pPr>
        <w:tabs>
          <w:tab w:val="left" w:pos="567"/>
          <w:tab w:val="left" w:pos="4678"/>
        </w:tabs>
        <w:spacing w:line="240" w:lineRule="atLeast"/>
        <w:ind w:left="567"/>
        <w:jc w:val="both"/>
        <w:rPr>
          <w:rFonts w:ascii="Times New Roman" w:hAnsi="Times New Roman" w:cs="Times New Roman"/>
          <w:lang w:val="ru-RU"/>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2"/>
        <w:gridCol w:w="1458"/>
        <w:gridCol w:w="3296"/>
        <w:gridCol w:w="6521"/>
        <w:gridCol w:w="1412"/>
      </w:tblGrid>
      <w:tr w:rsidR="00271FA2" w:rsidRPr="00F06DE2" w14:paraId="57F83306" w14:textId="77777777" w:rsidTr="00162F06">
        <w:trPr>
          <w:cantSplit/>
          <w:tblHeader/>
          <w:jc w:val="center"/>
        </w:trPr>
        <w:tc>
          <w:tcPr>
            <w:tcW w:w="2800" w:type="dxa"/>
            <w:gridSpan w:val="2"/>
            <w:tcBorders>
              <w:bottom w:val="single" w:sz="4" w:space="0" w:color="auto"/>
            </w:tcBorders>
            <w:shd w:val="clear" w:color="auto" w:fill="auto"/>
          </w:tcPr>
          <w:p w14:paraId="362665BD"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Член и точка</w:t>
            </w:r>
          </w:p>
        </w:tc>
        <w:tc>
          <w:tcPr>
            <w:tcW w:w="3296" w:type="dxa"/>
            <w:shd w:val="clear" w:color="auto" w:fill="auto"/>
          </w:tcPr>
          <w:p w14:paraId="7A19DFE5"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Съдържание</w:t>
            </w:r>
          </w:p>
        </w:tc>
        <w:tc>
          <w:tcPr>
            <w:tcW w:w="7933" w:type="dxa"/>
            <w:gridSpan w:val="2"/>
            <w:shd w:val="clear" w:color="auto" w:fill="auto"/>
          </w:tcPr>
          <w:p w14:paraId="4DAF4508"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Краен срок и бележки</w:t>
            </w:r>
          </w:p>
        </w:tc>
      </w:tr>
      <w:tr w:rsidR="00271FA2" w:rsidRPr="00F06DE2" w14:paraId="1FAB5D6E" w14:textId="77777777" w:rsidTr="00162F06">
        <w:trPr>
          <w:cantSplit/>
          <w:jc w:val="center"/>
        </w:trPr>
        <w:tc>
          <w:tcPr>
            <w:tcW w:w="6096" w:type="dxa"/>
            <w:gridSpan w:val="3"/>
            <w:shd w:val="clear" w:color="auto" w:fill="auto"/>
          </w:tcPr>
          <w:p w14:paraId="67CA5554"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t>ГЛАВА 3</w:t>
            </w:r>
          </w:p>
        </w:tc>
        <w:tc>
          <w:tcPr>
            <w:tcW w:w="6521" w:type="dxa"/>
            <w:shd w:val="clear" w:color="auto" w:fill="auto"/>
          </w:tcPr>
          <w:p w14:paraId="583863C9" w14:textId="77777777" w:rsidR="00271FA2" w:rsidRPr="00F06DE2" w:rsidRDefault="00271FA2">
            <w:pPr>
              <w:spacing w:line="240" w:lineRule="atLeast"/>
              <w:rPr>
                <w:rFonts w:ascii="Times New Roman" w:hAnsi="Times New Roman" w:cs="Times New Roman"/>
              </w:rPr>
            </w:pPr>
          </w:p>
        </w:tc>
        <w:tc>
          <w:tcPr>
            <w:tcW w:w="1412" w:type="dxa"/>
            <w:shd w:val="clear" w:color="auto" w:fill="auto"/>
          </w:tcPr>
          <w:p w14:paraId="065901EC" w14:textId="77777777" w:rsidR="00271FA2" w:rsidRPr="00F06DE2" w:rsidRDefault="00271FA2">
            <w:pPr>
              <w:spacing w:line="240" w:lineRule="atLeast"/>
              <w:rPr>
                <w:rFonts w:ascii="Times New Roman" w:hAnsi="Times New Roman" w:cs="Times New Roman"/>
              </w:rPr>
            </w:pPr>
          </w:p>
        </w:tc>
      </w:tr>
      <w:tr w:rsidR="00271FA2" w:rsidRPr="00F06DE2" w14:paraId="250288EC" w14:textId="77777777" w:rsidTr="00162F06">
        <w:trPr>
          <w:cantSplit/>
          <w:jc w:val="center"/>
        </w:trPr>
        <w:tc>
          <w:tcPr>
            <w:tcW w:w="1342" w:type="dxa"/>
            <w:tcBorders>
              <w:bottom w:val="nil"/>
            </w:tcBorders>
            <w:shd w:val="clear" w:color="auto" w:fill="auto"/>
          </w:tcPr>
          <w:p w14:paraId="0C2BFC4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3.04</w:t>
            </w:r>
          </w:p>
        </w:tc>
        <w:tc>
          <w:tcPr>
            <w:tcW w:w="1458" w:type="dxa"/>
            <w:shd w:val="clear" w:color="auto" w:fill="auto"/>
          </w:tcPr>
          <w:p w14:paraId="0E794BC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5E5C653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Общи стени на бункерите, жилищните помещения и помещенията за пътници</w:t>
            </w:r>
          </w:p>
        </w:tc>
        <w:tc>
          <w:tcPr>
            <w:tcW w:w="6521" w:type="dxa"/>
            <w:shd w:val="clear" w:color="auto" w:fill="auto"/>
          </w:tcPr>
          <w:p w14:paraId="19A4902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ЗР, най-късно при подновяване на Корабното удостоверение за вътрешно корабоплаване след</w:t>
            </w:r>
          </w:p>
        </w:tc>
        <w:tc>
          <w:tcPr>
            <w:tcW w:w="1412" w:type="dxa"/>
            <w:shd w:val="clear" w:color="auto" w:fill="auto"/>
          </w:tcPr>
          <w:p w14:paraId="593A19F4" w14:textId="09E5BAE8" w:rsidR="00271FA2" w:rsidRPr="00F06DE2" w:rsidRDefault="00162F06" w:rsidP="00162F06">
            <w:pPr>
              <w:spacing w:line="240" w:lineRule="atLeast"/>
              <w:ind w:right="-113"/>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2EB7381A" w14:textId="77777777" w:rsidTr="00162F06">
        <w:trPr>
          <w:cantSplit/>
          <w:jc w:val="center"/>
        </w:trPr>
        <w:tc>
          <w:tcPr>
            <w:tcW w:w="6096" w:type="dxa"/>
            <w:gridSpan w:val="3"/>
            <w:shd w:val="clear" w:color="auto" w:fill="auto"/>
          </w:tcPr>
          <w:p w14:paraId="0E64F981"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10</w:t>
            </w:r>
          </w:p>
        </w:tc>
        <w:tc>
          <w:tcPr>
            <w:tcW w:w="6521" w:type="dxa"/>
            <w:shd w:val="clear" w:color="auto" w:fill="auto"/>
          </w:tcPr>
          <w:p w14:paraId="52C49145" w14:textId="77777777" w:rsidR="00271FA2" w:rsidRPr="00F06DE2" w:rsidRDefault="00271FA2">
            <w:pPr>
              <w:spacing w:line="240" w:lineRule="atLeast"/>
              <w:rPr>
                <w:rFonts w:ascii="Times New Roman" w:hAnsi="Times New Roman" w:cs="Times New Roman"/>
              </w:rPr>
            </w:pPr>
          </w:p>
        </w:tc>
        <w:tc>
          <w:tcPr>
            <w:tcW w:w="1412" w:type="dxa"/>
            <w:shd w:val="clear" w:color="auto" w:fill="auto"/>
          </w:tcPr>
          <w:p w14:paraId="5A05E1E0" w14:textId="77777777" w:rsidR="00271FA2" w:rsidRPr="00F06DE2" w:rsidRDefault="00271FA2">
            <w:pPr>
              <w:spacing w:line="240" w:lineRule="atLeast"/>
              <w:rPr>
                <w:rFonts w:ascii="Times New Roman" w:hAnsi="Times New Roman" w:cs="Times New Roman"/>
              </w:rPr>
            </w:pPr>
          </w:p>
        </w:tc>
      </w:tr>
      <w:tr w:rsidR="00271FA2" w:rsidRPr="00F06DE2" w14:paraId="2A36C428" w14:textId="77777777" w:rsidTr="00162F06">
        <w:trPr>
          <w:cantSplit/>
          <w:jc w:val="center"/>
        </w:trPr>
        <w:tc>
          <w:tcPr>
            <w:tcW w:w="1342" w:type="dxa"/>
            <w:vMerge w:val="restart"/>
            <w:shd w:val="clear" w:color="auto" w:fill="auto"/>
          </w:tcPr>
          <w:p w14:paraId="45EFFC3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10.01</w:t>
            </w:r>
          </w:p>
        </w:tc>
        <w:tc>
          <w:tcPr>
            <w:tcW w:w="1458" w:type="dxa"/>
            <w:vMerge w:val="restart"/>
            <w:shd w:val="clear" w:color="auto" w:fill="auto"/>
          </w:tcPr>
          <w:p w14:paraId="22AC6BE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2, букви “а“, “в“ и “г“</w:t>
            </w:r>
          </w:p>
        </w:tc>
        <w:tc>
          <w:tcPr>
            <w:tcW w:w="3296" w:type="dxa"/>
            <w:vMerge w:val="restart"/>
            <w:shd w:val="clear" w:color="auto" w:fill="auto"/>
          </w:tcPr>
          <w:p w14:paraId="4BB367A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общи планове за цялата електрическа инсталация,</w:t>
            </w:r>
          </w:p>
          <w:p w14:paraId="3C9C9ED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индикации за изискванията за мощност на електрообслужващото оборудване,</w:t>
            </w:r>
          </w:p>
          <w:p w14:paraId="5F85FC1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видове кабели, указващи напречните сечения на проводника</w:t>
            </w:r>
          </w:p>
        </w:tc>
        <w:tc>
          <w:tcPr>
            <w:tcW w:w="6521" w:type="dxa"/>
            <w:shd w:val="clear" w:color="auto" w:fill="auto"/>
          </w:tcPr>
          <w:p w14:paraId="3224C65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ЗР, най-късно при подновяване на Корабното удостоверение за вътрешно корабоплаване след</w:t>
            </w:r>
          </w:p>
        </w:tc>
        <w:tc>
          <w:tcPr>
            <w:tcW w:w="1412" w:type="dxa"/>
            <w:shd w:val="clear" w:color="auto" w:fill="auto"/>
          </w:tcPr>
          <w:p w14:paraId="47DAA69E" w14:textId="7C5E6371" w:rsidR="00271FA2" w:rsidRPr="00F06DE2" w:rsidRDefault="00162F06" w:rsidP="00162F06">
            <w:pPr>
              <w:spacing w:line="240" w:lineRule="atLeast"/>
              <w:ind w:right="-113"/>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1EA547FD" w14:textId="77777777" w:rsidTr="00162F06">
        <w:trPr>
          <w:cantSplit/>
          <w:jc w:val="center"/>
        </w:trPr>
        <w:tc>
          <w:tcPr>
            <w:tcW w:w="1342" w:type="dxa"/>
            <w:vMerge/>
            <w:shd w:val="clear" w:color="auto" w:fill="auto"/>
          </w:tcPr>
          <w:p w14:paraId="120FF452" w14:textId="77777777" w:rsidR="00271FA2" w:rsidRPr="00F06DE2" w:rsidRDefault="00271FA2">
            <w:pPr>
              <w:spacing w:line="240" w:lineRule="atLeast"/>
              <w:jc w:val="both"/>
              <w:rPr>
                <w:rFonts w:ascii="Times New Roman" w:hAnsi="Times New Roman" w:cs="Times New Roman"/>
              </w:rPr>
            </w:pPr>
          </w:p>
        </w:tc>
        <w:tc>
          <w:tcPr>
            <w:tcW w:w="1458" w:type="dxa"/>
            <w:vMerge/>
            <w:shd w:val="clear" w:color="auto" w:fill="auto"/>
          </w:tcPr>
          <w:p w14:paraId="091CB3B3" w14:textId="77777777" w:rsidR="00271FA2" w:rsidRPr="00F06DE2" w:rsidRDefault="00271FA2">
            <w:pPr>
              <w:spacing w:line="240" w:lineRule="atLeast"/>
              <w:jc w:val="both"/>
              <w:rPr>
                <w:rFonts w:ascii="Times New Roman" w:hAnsi="Times New Roman" w:cs="Times New Roman"/>
              </w:rPr>
            </w:pPr>
          </w:p>
        </w:tc>
        <w:tc>
          <w:tcPr>
            <w:tcW w:w="3296" w:type="dxa"/>
            <w:vMerge/>
            <w:shd w:val="clear" w:color="auto" w:fill="auto"/>
          </w:tcPr>
          <w:p w14:paraId="2D269F90" w14:textId="77777777" w:rsidR="00271FA2" w:rsidRPr="00F06DE2" w:rsidRDefault="00271FA2">
            <w:pPr>
              <w:spacing w:line="240" w:lineRule="atLeast"/>
              <w:jc w:val="both"/>
              <w:rPr>
                <w:rFonts w:ascii="Times New Roman" w:hAnsi="Times New Roman" w:cs="Times New Roman"/>
              </w:rPr>
            </w:pPr>
          </w:p>
        </w:tc>
        <w:tc>
          <w:tcPr>
            <w:tcW w:w="6521" w:type="dxa"/>
            <w:shd w:val="clear" w:color="auto" w:fill="auto"/>
          </w:tcPr>
          <w:p w14:paraId="3DC4205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ЗР за плавателни съдове, чиито планове са съставени в съответствие с член 32.04, точка 3, второ изречение</w:t>
            </w:r>
          </w:p>
        </w:tc>
        <w:tc>
          <w:tcPr>
            <w:tcW w:w="1412" w:type="dxa"/>
            <w:shd w:val="clear" w:color="auto" w:fill="auto"/>
          </w:tcPr>
          <w:p w14:paraId="281A93D0"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7FFBFDFF" w14:textId="77777777" w:rsidTr="00162F06">
        <w:trPr>
          <w:cantSplit/>
          <w:jc w:val="center"/>
        </w:trPr>
        <w:tc>
          <w:tcPr>
            <w:tcW w:w="6096" w:type="dxa"/>
            <w:gridSpan w:val="3"/>
            <w:shd w:val="clear" w:color="auto" w:fill="auto"/>
          </w:tcPr>
          <w:p w14:paraId="7622DECC"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lastRenderedPageBreak/>
              <w:t>ГЛАВА 15</w:t>
            </w:r>
          </w:p>
        </w:tc>
        <w:tc>
          <w:tcPr>
            <w:tcW w:w="6521" w:type="dxa"/>
            <w:shd w:val="clear" w:color="auto" w:fill="auto"/>
          </w:tcPr>
          <w:p w14:paraId="32CA419B" w14:textId="77777777" w:rsidR="00271FA2" w:rsidRPr="00F06DE2" w:rsidRDefault="00271FA2">
            <w:pPr>
              <w:spacing w:line="240" w:lineRule="atLeast"/>
              <w:rPr>
                <w:rFonts w:ascii="Times New Roman" w:hAnsi="Times New Roman" w:cs="Times New Roman"/>
              </w:rPr>
            </w:pPr>
          </w:p>
        </w:tc>
        <w:tc>
          <w:tcPr>
            <w:tcW w:w="1412" w:type="dxa"/>
            <w:shd w:val="clear" w:color="auto" w:fill="auto"/>
          </w:tcPr>
          <w:p w14:paraId="144396C7" w14:textId="77777777" w:rsidR="00271FA2" w:rsidRPr="00F06DE2" w:rsidRDefault="00271FA2">
            <w:pPr>
              <w:spacing w:line="240" w:lineRule="atLeast"/>
              <w:rPr>
                <w:rFonts w:ascii="Times New Roman" w:hAnsi="Times New Roman" w:cs="Times New Roman"/>
              </w:rPr>
            </w:pPr>
          </w:p>
        </w:tc>
      </w:tr>
      <w:tr w:rsidR="00271FA2" w:rsidRPr="00F06DE2" w14:paraId="4950CB3B" w14:textId="77777777" w:rsidTr="00162F06">
        <w:trPr>
          <w:cantSplit/>
          <w:jc w:val="center"/>
        </w:trPr>
        <w:tc>
          <w:tcPr>
            <w:tcW w:w="1342" w:type="dxa"/>
            <w:vMerge w:val="restart"/>
            <w:shd w:val="clear" w:color="auto" w:fill="auto"/>
          </w:tcPr>
          <w:p w14:paraId="014C183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15.02</w:t>
            </w:r>
          </w:p>
        </w:tc>
        <w:tc>
          <w:tcPr>
            <w:tcW w:w="1458" w:type="dxa"/>
            <w:vMerge w:val="restart"/>
            <w:shd w:val="clear" w:color="auto" w:fill="auto"/>
          </w:tcPr>
          <w:p w14:paraId="5F491A0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vMerge w:val="restart"/>
            <w:shd w:val="clear" w:color="auto" w:fill="auto"/>
          </w:tcPr>
          <w:p w14:paraId="1278F6B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Шум и вибрации в жилищните помещения</w:t>
            </w:r>
          </w:p>
        </w:tc>
        <w:tc>
          <w:tcPr>
            <w:tcW w:w="6521" w:type="dxa"/>
            <w:shd w:val="clear" w:color="auto" w:fill="auto"/>
          </w:tcPr>
          <w:p w14:paraId="459D537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При подновяване на Корабното удостоверение за вътрешно корабоплаване след</w:t>
            </w:r>
          </w:p>
        </w:tc>
        <w:tc>
          <w:tcPr>
            <w:tcW w:w="1412" w:type="dxa"/>
            <w:shd w:val="clear" w:color="auto" w:fill="auto"/>
          </w:tcPr>
          <w:p w14:paraId="3F981B01" w14:textId="77CDC023" w:rsidR="00271FA2" w:rsidRPr="00F06DE2" w:rsidRDefault="00162F06" w:rsidP="00162F06">
            <w:pPr>
              <w:spacing w:line="240" w:lineRule="atLeast"/>
              <w:ind w:right="-113"/>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r>
      <w:tr w:rsidR="00271FA2" w:rsidRPr="00F06DE2" w14:paraId="36162A33" w14:textId="77777777" w:rsidTr="00162F06">
        <w:trPr>
          <w:cantSplit/>
          <w:jc w:val="center"/>
        </w:trPr>
        <w:tc>
          <w:tcPr>
            <w:tcW w:w="1342" w:type="dxa"/>
            <w:vMerge/>
            <w:shd w:val="clear" w:color="auto" w:fill="auto"/>
          </w:tcPr>
          <w:p w14:paraId="3B91766B" w14:textId="77777777" w:rsidR="00271FA2" w:rsidRPr="00F06DE2" w:rsidRDefault="00271FA2">
            <w:pPr>
              <w:spacing w:line="240" w:lineRule="atLeast"/>
              <w:jc w:val="both"/>
              <w:rPr>
                <w:rFonts w:ascii="Times New Roman" w:hAnsi="Times New Roman" w:cs="Times New Roman"/>
              </w:rPr>
            </w:pPr>
          </w:p>
        </w:tc>
        <w:tc>
          <w:tcPr>
            <w:tcW w:w="1458" w:type="dxa"/>
            <w:vMerge/>
            <w:shd w:val="clear" w:color="auto" w:fill="auto"/>
          </w:tcPr>
          <w:p w14:paraId="5678B47F" w14:textId="77777777" w:rsidR="00271FA2" w:rsidRPr="00F06DE2" w:rsidRDefault="00271FA2">
            <w:pPr>
              <w:spacing w:line="240" w:lineRule="atLeast"/>
              <w:jc w:val="both"/>
              <w:rPr>
                <w:rFonts w:ascii="Times New Roman" w:hAnsi="Times New Roman" w:cs="Times New Roman"/>
              </w:rPr>
            </w:pPr>
          </w:p>
        </w:tc>
        <w:tc>
          <w:tcPr>
            <w:tcW w:w="3296" w:type="dxa"/>
            <w:vMerge/>
            <w:shd w:val="clear" w:color="auto" w:fill="auto"/>
          </w:tcPr>
          <w:p w14:paraId="6FB14CDE" w14:textId="77777777" w:rsidR="00271FA2" w:rsidRPr="00F06DE2" w:rsidRDefault="00271FA2">
            <w:pPr>
              <w:spacing w:line="240" w:lineRule="atLeast"/>
              <w:jc w:val="both"/>
              <w:rPr>
                <w:rFonts w:ascii="Times New Roman" w:hAnsi="Times New Roman" w:cs="Times New Roman"/>
              </w:rPr>
            </w:pPr>
          </w:p>
        </w:tc>
        <w:tc>
          <w:tcPr>
            <w:tcW w:w="6521" w:type="dxa"/>
            <w:shd w:val="clear" w:color="auto" w:fill="auto"/>
          </w:tcPr>
          <w:p w14:paraId="7FDECD9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Когато предписаната пределна стойност не е спазена след тази дата, Корабното удостоверение за вътрешно корабоплаване може да бъде подновено само ако е спазена една от двете алтернативи по-долу.</w:t>
            </w:r>
          </w:p>
          <w:p w14:paraId="21821E4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Алтернатива 1:</w:t>
            </w:r>
          </w:p>
          <w:p w14:paraId="17CF7BF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 Заявителят може да докаже удовлетворително на контролния орган, че е направил това, което разумно може да се очаква от него, за да намали нивото на шума във въпросните помещения;</w:t>
            </w:r>
          </w:p>
          <w:p w14:paraId="0DD31F6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 Оставащото превишение на граничната стойност не надвишава:</w:t>
            </w:r>
          </w:p>
          <w:p w14:paraId="77686B2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- 5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в жилищни помещения;</w:t>
            </w:r>
          </w:p>
          <w:p w14:paraId="7BE30AC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- 10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в спални помещения, и</w:t>
            </w:r>
          </w:p>
          <w:p w14:paraId="5022930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 Подходящи индивидуални устройства за акустична защита трябва да са налични в помещения, в които са надвишени граничните стойности.</w:t>
            </w:r>
          </w:p>
          <w:p w14:paraId="596F0F5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Ако не е възможно да се намали нивото на шума в спалните помещения под пределната стойност, посочена в буква “б”, е допустимо допълнително да се намали околния шум, като се използват местни мерки за намаляване на шума, като шумопотискане. Това е предмет на разпоредбата, че околният шум трябва да падне под граничната стойност, посочена в буква “б”. Буква “в” се прилага </w:t>
            </w:r>
            <w:r w:rsidRPr="00F06DE2">
              <w:rPr>
                <w:rFonts w:ascii="Times New Roman" w:hAnsi="Times New Roman" w:cs="Times New Roman"/>
              </w:rPr>
              <w:t>mutatis</w:t>
            </w:r>
            <w:r w:rsidRPr="00F06DE2">
              <w:rPr>
                <w:rFonts w:ascii="Times New Roman" w:hAnsi="Times New Roman" w:cs="Times New Roman"/>
                <w:lang w:val="ru-RU"/>
              </w:rPr>
              <w:t xml:space="preserve"> </w:t>
            </w:r>
            <w:r w:rsidRPr="00F06DE2">
              <w:rPr>
                <w:rFonts w:ascii="Times New Roman" w:hAnsi="Times New Roman" w:cs="Times New Roman"/>
              </w:rPr>
              <w:t>mutandis</w:t>
            </w:r>
            <w:r w:rsidRPr="00F06DE2">
              <w:rPr>
                <w:rFonts w:ascii="Times New Roman" w:hAnsi="Times New Roman" w:cs="Times New Roman"/>
                <w:lang w:val="ru-RU"/>
              </w:rPr>
              <w:t>.</w:t>
            </w:r>
          </w:p>
          <w:p w14:paraId="14AC655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Алтернатива 2:</w:t>
            </w:r>
          </w:p>
          <w:p w14:paraId="34B92B5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Плавателното средство може да продължи своя работен режим, ако наблюдението чрез тахограф гарантира, че плавателното средство, поне за периодите на почивка, предписани от вътрешните разпоредби на държавите членки; се управлява при основна оборота на двигателя, при която стойностите на граничните стойности на шума в спалните помещения не надвишават 60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w:t>
            </w:r>
          </w:p>
          <w:p w14:paraId="3EC0E6A0" w14:textId="2C3F3C43"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Тази стойност на оборотите ще бъде установена чрез изпитвания при първо подновяване на Корабното удостоверение за вътрешно </w:t>
            </w:r>
            <w:r w:rsidRPr="00F06DE2">
              <w:rPr>
                <w:rFonts w:ascii="Times New Roman" w:hAnsi="Times New Roman" w:cs="Times New Roman"/>
                <w:lang w:val="ru-RU"/>
              </w:rPr>
              <w:lastRenderedPageBreak/>
              <w:t xml:space="preserve">корабоплаване след </w:t>
            </w:r>
            <w:r w:rsidR="00162F06" w:rsidRPr="00F06DE2">
              <w:rPr>
                <w:rFonts w:ascii="Times New Roman" w:hAnsi="Times New Roman" w:cs="Times New Roman"/>
                <w:lang w:val="ru-RU"/>
              </w:rPr>
              <w:t>0</w:t>
            </w:r>
            <w:r w:rsidRPr="00F06DE2">
              <w:rPr>
                <w:rFonts w:ascii="Times New Roman" w:hAnsi="Times New Roman" w:cs="Times New Roman"/>
                <w:lang w:val="ru-RU"/>
              </w:rPr>
              <w:t>1.</w:t>
            </w:r>
            <w:r w:rsidR="00162F06" w:rsidRPr="00F06DE2">
              <w:rPr>
                <w:rFonts w:ascii="Times New Roman" w:hAnsi="Times New Roman" w:cs="Times New Roman"/>
                <w:lang w:val="ru-RU"/>
              </w:rPr>
              <w:t>0</w:t>
            </w:r>
            <w:r w:rsidRPr="00F06DE2">
              <w:rPr>
                <w:rFonts w:ascii="Times New Roman" w:hAnsi="Times New Roman" w:cs="Times New Roman"/>
                <w:lang w:val="ru-RU"/>
              </w:rPr>
              <w:t>1.2020 г. и вписана в Корабното удостоверение за вътрешно корабоплаване.</w:t>
            </w:r>
          </w:p>
        </w:tc>
        <w:tc>
          <w:tcPr>
            <w:tcW w:w="1412" w:type="dxa"/>
            <w:shd w:val="clear" w:color="auto" w:fill="auto"/>
          </w:tcPr>
          <w:p w14:paraId="095C542E"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2335F3E4" w14:textId="77777777" w:rsidTr="00162F06">
        <w:trPr>
          <w:cantSplit/>
          <w:jc w:val="center"/>
        </w:trPr>
        <w:tc>
          <w:tcPr>
            <w:tcW w:w="6096" w:type="dxa"/>
            <w:gridSpan w:val="3"/>
            <w:shd w:val="clear" w:color="auto" w:fill="auto"/>
          </w:tcPr>
          <w:p w14:paraId="0B5DB6EE"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lastRenderedPageBreak/>
              <w:t>ГЛАВА 19</w:t>
            </w:r>
          </w:p>
        </w:tc>
        <w:tc>
          <w:tcPr>
            <w:tcW w:w="6521" w:type="dxa"/>
            <w:shd w:val="clear" w:color="auto" w:fill="auto"/>
          </w:tcPr>
          <w:p w14:paraId="253F781E" w14:textId="77777777" w:rsidR="00271FA2" w:rsidRPr="00F06DE2" w:rsidRDefault="00271FA2">
            <w:pPr>
              <w:spacing w:line="240" w:lineRule="atLeast"/>
              <w:rPr>
                <w:rFonts w:ascii="Times New Roman" w:hAnsi="Times New Roman" w:cs="Times New Roman"/>
              </w:rPr>
            </w:pPr>
          </w:p>
        </w:tc>
        <w:tc>
          <w:tcPr>
            <w:tcW w:w="1412" w:type="dxa"/>
            <w:shd w:val="clear" w:color="auto" w:fill="auto"/>
          </w:tcPr>
          <w:p w14:paraId="0EEFDE75" w14:textId="77777777" w:rsidR="00271FA2" w:rsidRPr="00F06DE2" w:rsidRDefault="00271FA2">
            <w:pPr>
              <w:spacing w:line="240" w:lineRule="atLeast"/>
              <w:rPr>
                <w:rFonts w:ascii="Times New Roman" w:hAnsi="Times New Roman" w:cs="Times New Roman"/>
              </w:rPr>
            </w:pPr>
          </w:p>
        </w:tc>
      </w:tr>
      <w:tr w:rsidR="00271FA2" w:rsidRPr="00F06DE2" w14:paraId="37786EAD" w14:textId="77777777" w:rsidTr="00162F06">
        <w:trPr>
          <w:cantSplit/>
          <w:jc w:val="center"/>
        </w:trPr>
        <w:tc>
          <w:tcPr>
            <w:tcW w:w="1342" w:type="dxa"/>
            <w:vMerge w:val="restart"/>
            <w:shd w:val="clear" w:color="auto" w:fill="auto"/>
          </w:tcPr>
          <w:p w14:paraId="67DA2CF2"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19.02</w:t>
            </w:r>
          </w:p>
        </w:tc>
        <w:tc>
          <w:tcPr>
            <w:tcW w:w="1458" w:type="dxa"/>
            <w:shd w:val="clear" w:color="auto" w:fill="auto"/>
          </w:tcPr>
          <w:p w14:paraId="37FB25D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38E69DF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Положение на първата носова непроницаема преграда и на ахтерпиковата преграда</w:t>
            </w:r>
          </w:p>
        </w:tc>
        <w:tc>
          <w:tcPr>
            <w:tcW w:w="6521" w:type="dxa"/>
            <w:shd w:val="clear" w:color="auto" w:fill="auto"/>
          </w:tcPr>
          <w:p w14:paraId="0246DAC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ЗР, най-късно при подновяване на Корабното удостоверение за вътрешно корабоплаване след</w:t>
            </w:r>
          </w:p>
        </w:tc>
        <w:tc>
          <w:tcPr>
            <w:tcW w:w="1412" w:type="dxa"/>
            <w:shd w:val="clear" w:color="auto" w:fill="auto"/>
          </w:tcPr>
          <w:p w14:paraId="7344F503" w14:textId="6A38391D" w:rsidR="00271FA2" w:rsidRPr="00F06DE2" w:rsidRDefault="00162F06" w:rsidP="00162F06">
            <w:pPr>
              <w:spacing w:line="240" w:lineRule="atLeast"/>
              <w:ind w:right="-254"/>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2FFE872C" w14:textId="77777777" w:rsidTr="00162F06">
        <w:trPr>
          <w:cantSplit/>
          <w:jc w:val="center"/>
        </w:trPr>
        <w:tc>
          <w:tcPr>
            <w:tcW w:w="1342" w:type="dxa"/>
            <w:vMerge/>
            <w:shd w:val="clear" w:color="auto" w:fill="auto"/>
          </w:tcPr>
          <w:p w14:paraId="223AB3B3"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410C8D2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5, точка 6, 1-во изречение, точки 7 - 11, и точка 13</w:t>
            </w:r>
          </w:p>
        </w:tc>
        <w:tc>
          <w:tcPr>
            <w:tcW w:w="3296" w:type="dxa"/>
            <w:shd w:val="clear" w:color="auto" w:fill="auto"/>
          </w:tcPr>
          <w:p w14:paraId="198F002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Пределна линия при липса на палуба на преградите</w:t>
            </w:r>
          </w:p>
        </w:tc>
        <w:tc>
          <w:tcPr>
            <w:tcW w:w="6521" w:type="dxa"/>
            <w:shd w:val="clear" w:color="auto" w:fill="auto"/>
          </w:tcPr>
          <w:p w14:paraId="1E06D2B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ЗР, най-късно при подновяване на Корабното удостоверение за вътрешно корабоплаване след</w:t>
            </w:r>
          </w:p>
        </w:tc>
        <w:tc>
          <w:tcPr>
            <w:tcW w:w="1412" w:type="dxa"/>
            <w:shd w:val="clear" w:color="auto" w:fill="auto"/>
          </w:tcPr>
          <w:p w14:paraId="06CE361C" w14:textId="306AFC4B" w:rsidR="00271FA2" w:rsidRPr="00F06DE2" w:rsidRDefault="00162F06" w:rsidP="00162F06">
            <w:pPr>
              <w:spacing w:line="240" w:lineRule="atLeast"/>
              <w:ind w:right="-254"/>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6CB221B7" w14:textId="77777777" w:rsidTr="00162F06">
        <w:trPr>
          <w:cantSplit/>
          <w:jc w:val="center"/>
        </w:trPr>
        <w:tc>
          <w:tcPr>
            <w:tcW w:w="1342" w:type="dxa"/>
            <w:vMerge/>
            <w:shd w:val="clear" w:color="auto" w:fill="auto"/>
          </w:tcPr>
          <w:p w14:paraId="529462E6"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21A2E91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16</w:t>
            </w:r>
          </w:p>
        </w:tc>
        <w:tc>
          <w:tcPr>
            <w:tcW w:w="3296" w:type="dxa"/>
            <w:shd w:val="clear" w:color="auto" w:fill="auto"/>
          </w:tcPr>
          <w:p w14:paraId="01D4376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Водонепроницаеми прозорци</w:t>
            </w:r>
          </w:p>
        </w:tc>
        <w:tc>
          <w:tcPr>
            <w:tcW w:w="6521" w:type="dxa"/>
            <w:shd w:val="clear" w:color="auto" w:fill="auto"/>
          </w:tcPr>
          <w:p w14:paraId="455D1D9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ЗР, най-късно при подновяване на Корабното удостоверение за вътрешно корабоплаване след</w:t>
            </w:r>
          </w:p>
        </w:tc>
        <w:tc>
          <w:tcPr>
            <w:tcW w:w="1412" w:type="dxa"/>
            <w:shd w:val="clear" w:color="auto" w:fill="auto"/>
          </w:tcPr>
          <w:p w14:paraId="2044064B" w14:textId="654D00E5" w:rsidR="00271FA2" w:rsidRPr="00F06DE2" w:rsidRDefault="00162F06" w:rsidP="00162F06">
            <w:pPr>
              <w:spacing w:line="240" w:lineRule="atLeast"/>
              <w:ind w:right="-254"/>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0957E12A" w14:textId="77777777" w:rsidTr="00162F06">
        <w:trPr>
          <w:cantSplit/>
          <w:jc w:val="center"/>
        </w:trPr>
        <w:tc>
          <w:tcPr>
            <w:tcW w:w="1342" w:type="dxa"/>
            <w:shd w:val="clear" w:color="auto" w:fill="auto"/>
          </w:tcPr>
          <w:p w14:paraId="08C46BB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19.04</w:t>
            </w:r>
          </w:p>
        </w:tc>
        <w:tc>
          <w:tcPr>
            <w:tcW w:w="1458" w:type="dxa"/>
            <w:shd w:val="clear" w:color="auto" w:fill="auto"/>
          </w:tcPr>
          <w:p w14:paraId="7264CCE7"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2015A51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Измервания на безопасно разстояние, надводния борд и потапянето</w:t>
            </w:r>
          </w:p>
        </w:tc>
        <w:tc>
          <w:tcPr>
            <w:tcW w:w="6521" w:type="dxa"/>
            <w:shd w:val="clear" w:color="auto" w:fill="auto"/>
          </w:tcPr>
          <w:p w14:paraId="796A4D6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ЗР, най-късно при подновяване на Корабното удостоверение за вътрешно корабоплаване след</w:t>
            </w:r>
          </w:p>
        </w:tc>
        <w:tc>
          <w:tcPr>
            <w:tcW w:w="1412" w:type="dxa"/>
            <w:shd w:val="clear" w:color="auto" w:fill="auto"/>
          </w:tcPr>
          <w:p w14:paraId="7E2916AD" w14:textId="0F643F28" w:rsidR="00271FA2" w:rsidRPr="00F06DE2" w:rsidRDefault="00162F06" w:rsidP="00162F06">
            <w:pPr>
              <w:spacing w:line="240" w:lineRule="atLeast"/>
              <w:ind w:right="-254"/>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4FD7BB08" w14:textId="77777777" w:rsidTr="00162F06">
        <w:trPr>
          <w:cantSplit/>
          <w:jc w:val="center"/>
        </w:trPr>
        <w:tc>
          <w:tcPr>
            <w:tcW w:w="1342" w:type="dxa"/>
            <w:shd w:val="clear" w:color="auto" w:fill="auto"/>
          </w:tcPr>
          <w:p w14:paraId="0B65B48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19.05</w:t>
            </w:r>
          </w:p>
        </w:tc>
        <w:tc>
          <w:tcPr>
            <w:tcW w:w="1458" w:type="dxa"/>
            <w:shd w:val="clear" w:color="auto" w:fill="auto"/>
          </w:tcPr>
          <w:p w14:paraId="57CBF962"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472B09FB"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Брой на пътниците</w:t>
            </w:r>
          </w:p>
        </w:tc>
        <w:tc>
          <w:tcPr>
            <w:tcW w:w="6521" w:type="dxa"/>
            <w:shd w:val="clear" w:color="auto" w:fill="auto"/>
          </w:tcPr>
          <w:p w14:paraId="592AB2C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Подновяване на Корабното удостоверение за вътрешно корабоплаване след</w:t>
            </w:r>
          </w:p>
        </w:tc>
        <w:tc>
          <w:tcPr>
            <w:tcW w:w="1412" w:type="dxa"/>
            <w:shd w:val="clear" w:color="auto" w:fill="auto"/>
          </w:tcPr>
          <w:p w14:paraId="561A73C2" w14:textId="64451465" w:rsidR="00271FA2" w:rsidRPr="00F06DE2" w:rsidRDefault="00162F06" w:rsidP="00162F06">
            <w:pPr>
              <w:spacing w:line="240" w:lineRule="atLeast"/>
              <w:ind w:right="-254"/>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r w:rsidR="00271FA2" w:rsidRPr="00F06DE2" w14:paraId="7776235C" w14:textId="77777777" w:rsidTr="00162F06">
        <w:trPr>
          <w:cantSplit/>
          <w:jc w:val="center"/>
        </w:trPr>
        <w:tc>
          <w:tcPr>
            <w:tcW w:w="1342" w:type="dxa"/>
            <w:shd w:val="clear" w:color="auto" w:fill="auto"/>
          </w:tcPr>
          <w:p w14:paraId="222F0EC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19.10</w:t>
            </w:r>
          </w:p>
        </w:tc>
        <w:tc>
          <w:tcPr>
            <w:tcW w:w="1458" w:type="dxa"/>
            <w:shd w:val="clear" w:color="auto" w:fill="auto"/>
          </w:tcPr>
          <w:p w14:paraId="0256BF3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4, 6, 7, 8 и 11</w:t>
            </w:r>
          </w:p>
        </w:tc>
        <w:tc>
          <w:tcPr>
            <w:tcW w:w="3296" w:type="dxa"/>
            <w:shd w:val="clear" w:color="auto" w:fill="auto"/>
          </w:tcPr>
          <w:p w14:paraId="54F24911"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Авариен захранващ агрегат</w:t>
            </w:r>
          </w:p>
        </w:tc>
        <w:tc>
          <w:tcPr>
            <w:tcW w:w="6521" w:type="dxa"/>
            <w:shd w:val="clear" w:color="auto" w:fill="auto"/>
          </w:tcPr>
          <w:p w14:paraId="6DE9F1D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ЗР, най-късно при подновяване на Корабното удостоверение за вътрешно корабоплаване след</w:t>
            </w:r>
          </w:p>
        </w:tc>
        <w:tc>
          <w:tcPr>
            <w:tcW w:w="1412" w:type="dxa"/>
            <w:shd w:val="clear" w:color="auto" w:fill="auto"/>
          </w:tcPr>
          <w:p w14:paraId="42EF755C" w14:textId="6D956DC3" w:rsidR="00271FA2" w:rsidRPr="00F06DE2" w:rsidRDefault="00162F06" w:rsidP="00162F06">
            <w:pPr>
              <w:spacing w:line="240" w:lineRule="atLeast"/>
              <w:ind w:right="-254"/>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r>
    </w:tbl>
    <w:p w14:paraId="0A377191" w14:textId="77777777" w:rsidR="00271FA2" w:rsidRPr="00F06DE2" w:rsidRDefault="00271FA2">
      <w:pPr>
        <w:spacing w:line="240" w:lineRule="atLeast"/>
        <w:ind w:left="567" w:hanging="567"/>
        <w:rPr>
          <w:rFonts w:ascii="Times New Roman" w:hAnsi="Times New Roman" w:cs="Times New Roman"/>
          <w:sz w:val="20"/>
          <w:szCs w:val="20"/>
        </w:rPr>
      </w:pPr>
    </w:p>
    <w:p w14:paraId="577B4637"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Член 19.11, точка 3, първо изречение и точка 6 се прилагат за плавателни съдове за дневно пътуване, заложени за строеж на или преди 1 април 1976 г., до първото подновяване на Корабното удостоверение за вътрешно корабоплаване след 1.1.2045 г., при условие че само боите, лаковете, покритията и други материали, използвани върху повърхности по маршрутите за евакуация и други материали за повърхностна обработка на панели трябва да бъдат огнеустойчиви и че дим или отровни изпарения не се образуват в опасни количества.</w:t>
      </w:r>
    </w:p>
    <w:p w14:paraId="2F4199C0" w14:textId="1C0FEEA1" w:rsidR="00271FA2" w:rsidRPr="00F06DE2" w:rsidRDefault="00D35E51" w:rsidP="00162F06">
      <w:pPr>
        <w:spacing w:after="240"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Член 19.11, точка 13 се прилага за плавателни съдове за дневно пътуване, заложени за строеж на или преди 1 април 1976 г., до подновяване на Корабното удостоверение за вътрешно корабоплаване след 1.1.2045 г., при условие, че е достатъчно, ако вместо стълбища във формата на носеща стоманена конструкция, стълбищата, служещи като маршрут за евакуация, са конструирани по такъв начин, че те остават използваеми при пожар за същото време като стълбите във формата на носеща стоманена конструкция.</w:t>
      </w:r>
    </w:p>
    <w:p w14:paraId="2C301F44" w14:textId="77777777" w:rsidR="00A44CEF" w:rsidRPr="00F06DE2" w:rsidRDefault="00A44CEF" w:rsidP="00162F06">
      <w:pPr>
        <w:spacing w:after="240" w:line="240" w:lineRule="atLeast"/>
        <w:ind w:left="567" w:hanging="567"/>
        <w:jc w:val="both"/>
        <w:rPr>
          <w:rFonts w:ascii="Times New Roman" w:hAnsi="Times New Roman" w:cs="Times New Roman"/>
          <w:lang w:val="ru-RU"/>
        </w:rPr>
        <w:sectPr w:rsidR="00A44CEF" w:rsidRPr="00F06DE2" w:rsidSect="00DB7663">
          <w:headerReference w:type="default" r:id="rId89"/>
          <w:headerReference w:type="first" r:id="rId90"/>
          <w:footnotePr>
            <w:numRestart w:val="eachPage"/>
          </w:footnotePr>
          <w:pgSz w:w="16838" w:h="11906" w:orient="landscape"/>
          <w:pgMar w:top="1134" w:right="1134" w:bottom="1134" w:left="1134" w:header="709" w:footer="709" w:gutter="0"/>
          <w:cols w:space="709"/>
          <w:titlePg/>
          <w:docGrid w:linePitch="272"/>
        </w:sectPr>
      </w:pPr>
    </w:p>
    <w:p w14:paraId="02B43890" w14:textId="77777777" w:rsidR="00271FA2" w:rsidRPr="00F06DE2" w:rsidRDefault="00D35E51" w:rsidP="00162F06">
      <w:pPr>
        <w:pStyle w:val="ES-Titre3"/>
        <w:spacing w:after="0" w:line="240" w:lineRule="atLeast"/>
        <w:ind w:left="567" w:hanging="567"/>
        <w:rPr>
          <w:rFonts w:ascii="Times New Roman" w:hAnsi="Times New Roman" w:cs="Times New Roman"/>
          <w:sz w:val="24"/>
          <w:szCs w:val="24"/>
          <w:lang w:val="ru-RU"/>
        </w:rPr>
      </w:pPr>
      <w:bookmarkStart w:id="555" w:name="_Toc535827720"/>
      <w:bookmarkStart w:id="556" w:name="_Toc491854279"/>
      <w:r w:rsidRPr="00F06DE2">
        <w:rPr>
          <w:rFonts w:ascii="Times New Roman" w:hAnsi="Times New Roman" w:cs="Times New Roman"/>
          <w:sz w:val="24"/>
          <w:szCs w:val="24"/>
          <w:lang w:val="ru-RU"/>
        </w:rPr>
        <w:lastRenderedPageBreak/>
        <w:t>Член 32.04</w:t>
      </w:r>
      <w:bookmarkEnd w:id="555"/>
      <w:bookmarkEnd w:id="556"/>
    </w:p>
    <w:p w14:paraId="56EAAFAC" w14:textId="77777777" w:rsidR="00271FA2" w:rsidRPr="00F06DE2" w:rsidRDefault="00D35E51" w:rsidP="00162F06">
      <w:pPr>
        <w:pStyle w:val="ES-Titre3a"/>
        <w:spacing w:line="240" w:lineRule="atLeast"/>
        <w:ind w:left="567" w:hanging="567"/>
        <w:rPr>
          <w:rFonts w:ascii="Times New Roman" w:hAnsi="Times New Roman" w:cs="Times New Roman"/>
          <w:sz w:val="24"/>
          <w:szCs w:val="24"/>
          <w:lang w:val="ru-RU"/>
        </w:rPr>
      </w:pPr>
      <w:bookmarkStart w:id="557" w:name="_Toc421775889"/>
      <w:bookmarkStart w:id="558" w:name="_Toc535827721"/>
      <w:bookmarkStart w:id="559" w:name="_Toc491854280"/>
      <w:r w:rsidRPr="00F06DE2">
        <w:rPr>
          <w:rFonts w:ascii="Times New Roman" w:hAnsi="Times New Roman" w:cs="Times New Roman"/>
          <w:sz w:val="24"/>
          <w:szCs w:val="24"/>
          <w:lang w:val="ru-RU"/>
        </w:rPr>
        <w:t xml:space="preserve">Други </w:t>
      </w:r>
      <w:bookmarkEnd w:id="557"/>
      <w:r w:rsidRPr="00F06DE2">
        <w:rPr>
          <w:rFonts w:ascii="Times New Roman" w:hAnsi="Times New Roman" w:cs="Times New Roman"/>
          <w:sz w:val="24"/>
          <w:szCs w:val="24"/>
          <w:lang w:val="ru-RU"/>
        </w:rPr>
        <w:t>преходни разпоредби</w:t>
      </w:r>
      <w:bookmarkEnd w:id="558"/>
      <w:bookmarkEnd w:id="559"/>
    </w:p>
    <w:p w14:paraId="04623EA5"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Разпоредбите на настоящия член се прилагат в допълнение към преходните разпоредби на членове 32.02 и 32.03.</w:t>
      </w:r>
    </w:p>
    <w:p w14:paraId="4809EC4C"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 плавателни средства, чийто минимален надводен борд е определен съгласно член 4.04 от Рейнските правила за инспекция на корабите, приложими към 31 март 1983 г., контролният орган има право по искане на собственика да определи надводния борд в съответствие с член 4.03 от Рейнските правила за инспекция на корабите, приложими към 1 януари 1995 г.</w:t>
      </w:r>
    </w:p>
    <w:p w14:paraId="3FBB0DD4" w14:textId="77777777" w:rsidR="00271FA2" w:rsidRPr="00F06DE2" w:rsidRDefault="00D35E51" w:rsidP="00162F06">
      <w:pPr>
        <w:spacing w:line="240" w:lineRule="atLeast"/>
        <w:ind w:left="660" w:right="60" w:hangingChars="300" w:hanging="660"/>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Товарните марки, поставени на кораби, които вече са в експлоатация, трябва да отговарят на изискванията на член 4.03 по отношение на техните характеристики и ориентация най-късно при подновяване на Корабното удостоверение за вътрешно корабоплаване след 30 декември 2024 г.</w:t>
      </w:r>
    </w:p>
    <w:p w14:paraId="060E5F47"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4.</w:t>
      </w:r>
      <w:r w:rsidRPr="00F06DE2">
        <w:rPr>
          <w:rFonts w:ascii="Times New Roman" w:hAnsi="Times New Roman" w:cs="Times New Roman"/>
          <w:lang w:val="ru-RU"/>
        </w:rPr>
        <w:tab/>
        <w:t>Плавателни средства, заложени за строеж преди 1 юли 1983 г., не трябва да съответстват на Глава 10 от настоящия стандарт, но като минимум трябва да съответстват на Глава 6 от Рейнските правила за инспекция на корабите, приложими към 31 март 1983 г.</w:t>
      </w:r>
    </w:p>
    <w:p w14:paraId="7069D16D"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ab/>
        <w:t>Чрез дерогация от член 6.01, точка 2 от Рейнските правила за инспекция на корабите, приложими на 31 март 1983 г., ограничен общ план на електрическата инсталация, съдържащ следната минимална информация, е достатъчен за плавателни средства, които са били заложени за строеж на или преди 1 април 1976 г.:</w:t>
      </w:r>
    </w:p>
    <w:p w14:paraId="26942A00"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ab/>
        <w:t>- енергиен източник;</w:t>
      </w:r>
    </w:p>
    <w:p w14:paraId="1D1C0EF4"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ab/>
        <w:t>- връзки към брега или други външни мрежи;</w:t>
      </w:r>
    </w:p>
    <w:p w14:paraId="58766F05"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ab/>
        <w:t>- главни и разпределителни табла;</w:t>
      </w:r>
    </w:p>
    <w:p w14:paraId="528DFE7D"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ab/>
        <w:t>- устройства за защита на главния ток;</w:t>
      </w:r>
    </w:p>
    <w:p w14:paraId="2C68DBED"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ab/>
        <w:t>- ключове;</w:t>
      </w:r>
    </w:p>
    <w:p w14:paraId="4DC9D6C2"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ab/>
        <w:t>- напречни сечения на кабели.</w:t>
      </w:r>
    </w:p>
    <w:p w14:paraId="5340AB24"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Член 19.06, точка 3, букви “</w:t>
      </w:r>
      <w:r w:rsidRPr="00F06DE2">
        <w:rPr>
          <w:rFonts w:ascii="Times New Roman" w:hAnsi="Times New Roman" w:cs="Times New Roman"/>
        </w:rPr>
        <w:t>a</w:t>
      </w:r>
      <w:r w:rsidRPr="00F06DE2">
        <w:rPr>
          <w:rFonts w:ascii="Times New Roman" w:hAnsi="Times New Roman" w:cs="Times New Roman"/>
          <w:lang w:val="ru-RU"/>
        </w:rPr>
        <w:t xml:space="preserve">” — “д” и член 19.12, точка 3, буква “а”, що се отнася до правилото относно една единствена дължина на шланга, се прилагат само по отношение на пътническите плавателни съдове, заложени за строеж </w:t>
      </w:r>
      <w:r w:rsidRPr="00F06DE2">
        <w:rPr>
          <w:rFonts w:ascii="Times New Roman" w:hAnsi="Times New Roman" w:cs="Times New Roman"/>
          <w:color w:val="000000" w:themeColor="text1"/>
          <w:lang w:val="ru-RU"/>
        </w:rPr>
        <w:t xml:space="preserve">след 30 септември 1984 г. и за преустройването на съответните зони, най-късно когато </w:t>
      </w:r>
      <w:r w:rsidRPr="00F06DE2">
        <w:rPr>
          <w:rFonts w:ascii="Times New Roman" w:hAnsi="Times New Roman" w:cs="Times New Roman"/>
          <w:lang w:val="ru-RU"/>
        </w:rPr>
        <w:t>удостоверението съгласно Рейнските правила за инспекция на корабите се подновява след 1 януари 2045 г.</w:t>
      </w:r>
    </w:p>
    <w:p w14:paraId="72F255AC"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6.</w:t>
      </w:r>
      <w:r w:rsidRPr="00F06DE2">
        <w:rPr>
          <w:rFonts w:ascii="Times New Roman" w:hAnsi="Times New Roman" w:cs="Times New Roman"/>
          <w:lang w:val="ru-RU"/>
        </w:rPr>
        <w:tab/>
        <w:t>Когато тази разпоредба се отнася до европейски или международен стандарт по отношение на структурните изисквания:</w:t>
      </w:r>
    </w:p>
    <w:p w14:paraId="55CDA045" w14:textId="77777777" w:rsidR="00271FA2" w:rsidRPr="00F06DE2" w:rsidRDefault="00D35E51" w:rsidP="00162F06">
      <w:pPr>
        <w:spacing w:line="240" w:lineRule="atLeast"/>
        <w:ind w:left="567" w:hanging="567"/>
        <w:jc w:val="both"/>
        <w:rPr>
          <w:rFonts w:ascii="Times New Roman" w:eastAsia="Batang"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свързани с отделни части на оборудването, на европейски или международен стандарт, това оборудване може, след всяко ново публикуване или преразглеждане на стандарта, да продължи да се използва за още 20 години след новото публикуване или преразглеждането на настоящия стандарт;</w:t>
      </w:r>
    </w:p>
    <w:p w14:paraId="4C8A496A" w14:textId="77777777" w:rsidR="00271FA2" w:rsidRPr="00F06DE2" w:rsidRDefault="00D35E51" w:rsidP="00162F06">
      <w:pPr>
        <w:adjustRightInd w:val="0"/>
        <w:spacing w:line="240" w:lineRule="atLeast"/>
        <w:ind w:left="567" w:hanging="567"/>
        <w:jc w:val="both"/>
        <w:rPr>
          <w:rFonts w:ascii="Times New Roman" w:eastAsia="Batang" w:hAnsi="Times New Roman" w:cs="Times New Roman"/>
          <w:lang w:val="ru-RU"/>
        </w:rPr>
      </w:pPr>
      <w:r w:rsidRPr="00F06DE2">
        <w:rPr>
          <w:rFonts w:ascii="Times New Roman" w:hAnsi="Times New Roman" w:cs="Times New Roman"/>
          <w:lang w:val="ru-RU"/>
        </w:rPr>
        <w:t>б) свързани с неподвижно монтирани части на оборудването, на европейски или международен стандарт, частите на това оборудване могат да продължат да се използват, докато те не бъдат заместени или въпросните зони преустроени.</w:t>
      </w:r>
    </w:p>
    <w:p w14:paraId="702F32E2" w14:textId="3A5A7EAD" w:rsidR="00271FA2" w:rsidRPr="00F06DE2" w:rsidRDefault="00D35E51" w:rsidP="00162F06">
      <w:pPr>
        <w:spacing w:after="240"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lastRenderedPageBreak/>
        <w:t>7.</w:t>
      </w:r>
      <w:r w:rsidRPr="00F06DE2">
        <w:rPr>
          <w:rFonts w:ascii="Times New Roman" w:hAnsi="Times New Roman" w:cs="Times New Roman"/>
          <w:lang w:val="ru-RU"/>
        </w:rPr>
        <w:tab/>
        <w:t xml:space="preserve">Високоскоростни плавателни съдове, които са имали валидно удостоверение съгласно Рейнските правила за инспекция на корабите на 31 март 2003 г., трябва да отговарят на разпоредбите на член 29.01, точка 3, 29.02, 29.04, 29.05, 29.06, точка 2, 29.10, точки 2 и 3 на 1 януари 2023 г. </w:t>
      </w:r>
    </w:p>
    <w:p w14:paraId="4545B9FF" w14:textId="77777777" w:rsidR="0042525B" w:rsidRPr="00F06DE2" w:rsidRDefault="0042525B" w:rsidP="00162F06">
      <w:pPr>
        <w:spacing w:after="240" w:line="240" w:lineRule="atLeast"/>
        <w:ind w:left="567" w:hanging="567"/>
        <w:jc w:val="both"/>
        <w:rPr>
          <w:rFonts w:ascii="Times New Roman" w:hAnsi="Times New Roman" w:cs="Times New Roman"/>
          <w:lang w:val="ru-RU"/>
        </w:rPr>
        <w:sectPr w:rsidR="0042525B" w:rsidRPr="00F06DE2" w:rsidSect="00DB7663">
          <w:headerReference w:type="default" r:id="rId91"/>
          <w:headerReference w:type="first" r:id="rId92"/>
          <w:footnotePr>
            <w:numRestart w:val="eachPage"/>
          </w:footnotePr>
          <w:pgSz w:w="16838" w:h="11906" w:orient="landscape"/>
          <w:pgMar w:top="1134" w:right="1134" w:bottom="1134" w:left="1134" w:header="709" w:footer="709" w:gutter="0"/>
          <w:cols w:space="709"/>
          <w:titlePg/>
          <w:docGrid w:linePitch="272"/>
        </w:sectPr>
      </w:pPr>
    </w:p>
    <w:p w14:paraId="5DBFFDF6" w14:textId="77777777" w:rsidR="00271FA2" w:rsidRPr="00F06DE2" w:rsidRDefault="00D35E51" w:rsidP="00162F06">
      <w:pPr>
        <w:pStyle w:val="ES-Titre3"/>
        <w:spacing w:after="0" w:line="240" w:lineRule="atLeast"/>
        <w:ind w:left="567" w:hanging="567"/>
        <w:rPr>
          <w:rFonts w:ascii="Times New Roman" w:hAnsi="Times New Roman" w:cs="Times New Roman"/>
          <w:sz w:val="24"/>
          <w:szCs w:val="24"/>
          <w:lang w:val="ru-RU"/>
        </w:rPr>
      </w:pPr>
      <w:bookmarkStart w:id="560" w:name="_Toc535827722"/>
      <w:bookmarkStart w:id="561" w:name="_Toc491854281"/>
      <w:r w:rsidRPr="00F06DE2">
        <w:rPr>
          <w:rFonts w:ascii="Times New Roman" w:hAnsi="Times New Roman" w:cs="Times New Roman"/>
          <w:sz w:val="24"/>
          <w:szCs w:val="24"/>
          <w:lang w:val="ru-RU"/>
        </w:rPr>
        <w:lastRenderedPageBreak/>
        <w:t>Член 32.05</w:t>
      </w:r>
      <w:bookmarkEnd w:id="560"/>
      <w:bookmarkEnd w:id="561"/>
    </w:p>
    <w:p w14:paraId="297EBBEE" w14:textId="77777777" w:rsidR="00271FA2" w:rsidRPr="00F06DE2" w:rsidRDefault="00D35E51" w:rsidP="00162F06">
      <w:pPr>
        <w:pStyle w:val="ES-Titre3a"/>
        <w:spacing w:line="240" w:lineRule="atLeast"/>
        <w:ind w:left="567" w:hanging="567"/>
        <w:rPr>
          <w:rFonts w:ascii="Times New Roman" w:hAnsi="Times New Roman" w:cs="Times New Roman"/>
          <w:sz w:val="24"/>
          <w:szCs w:val="24"/>
          <w:lang w:val="ru-RU"/>
        </w:rPr>
      </w:pPr>
      <w:bookmarkStart w:id="562" w:name="_Toc421775891"/>
      <w:bookmarkStart w:id="563" w:name="_Toc535827723"/>
      <w:bookmarkStart w:id="564" w:name="_Toc491854282"/>
      <w:r w:rsidRPr="00F06DE2">
        <w:rPr>
          <w:rFonts w:ascii="Times New Roman" w:hAnsi="Times New Roman" w:cs="Times New Roman"/>
          <w:sz w:val="24"/>
          <w:szCs w:val="24"/>
          <w:lang w:val="ru-RU"/>
        </w:rPr>
        <w:t>Преходни разпоредби за плавателни средства, които не са обхванати от член 32.01</w:t>
      </w:r>
      <w:bookmarkEnd w:id="562"/>
      <w:bookmarkEnd w:id="563"/>
      <w:bookmarkEnd w:id="564"/>
    </w:p>
    <w:p w14:paraId="7DFC7312" w14:textId="77777777" w:rsidR="00271FA2" w:rsidRPr="00F06DE2" w:rsidRDefault="00D35E51" w:rsidP="00162F06">
      <w:pPr>
        <w:spacing w:line="240" w:lineRule="atLeast"/>
        <w:ind w:left="567" w:hanging="567"/>
        <w:jc w:val="both"/>
        <w:rPr>
          <w:rFonts w:ascii="Times New Roman" w:hAnsi="Times New Roman" w:cs="Times New Roman"/>
          <w:color w:val="000000" w:themeColor="text1"/>
          <w:lang w:val="ru-RU"/>
        </w:rPr>
      </w:pPr>
      <w:r w:rsidRPr="00F06DE2">
        <w:rPr>
          <w:rFonts w:ascii="Times New Roman" w:hAnsi="Times New Roman" w:cs="Times New Roman"/>
          <w:color w:val="000000" w:themeColor="text1"/>
          <w:lang w:val="ru-RU"/>
        </w:rPr>
        <w:t>1.</w:t>
      </w:r>
      <w:r w:rsidRPr="00F06DE2">
        <w:rPr>
          <w:rFonts w:ascii="Times New Roman" w:hAnsi="Times New Roman" w:cs="Times New Roman"/>
          <w:lang w:val="ru-RU"/>
        </w:rPr>
        <w:tab/>
      </w:r>
      <w:r w:rsidRPr="00F06DE2">
        <w:rPr>
          <w:rFonts w:ascii="Times New Roman" w:hAnsi="Times New Roman" w:cs="Times New Roman"/>
          <w:color w:val="000000" w:themeColor="text1"/>
          <w:lang w:val="ru-RU"/>
        </w:rPr>
        <w:t>Прилагат се следните разпоредби:</w:t>
      </w:r>
    </w:p>
    <w:p w14:paraId="58D78308" w14:textId="77777777" w:rsidR="00271FA2" w:rsidRPr="00F06DE2" w:rsidRDefault="00D35E51" w:rsidP="00162F06">
      <w:pPr>
        <w:spacing w:line="240" w:lineRule="atLeast"/>
        <w:ind w:leftChars="237" w:left="522" w:hanging="1"/>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за плавателни средства, за които удостоверението съгласно Рейнските правила за инспекция на корабите е било издадено за първи път от 1 януари 1995 г., при условие че те не са били в процес на строеж или преустройство на 31 декември 1994 г.;</w:t>
      </w:r>
    </w:p>
    <w:p w14:paraId="5ECAAFBB" w14:textId="77777777" w:rsidR="00271FA2" w:rsidRPr="00F06DE2" w:rsidRDefault="00D35E51" w:rsidP="00162F06">
      <w:pPr>
        <w:spacing w:line="240" w:lineRule="atLeast"/>
        <w:ind w:leftChars="-63" w:left="-139" w:firstLine="720"/>
        <w:jc w:val="both"/>
        <w:rPr>
          <w:rFonts w:ascii="Times New Roman" w:hAnsi="Times New Roman" w:cs="Times New Roman"/>
          <w:lang w:val="ru-RU"/>
        </w:rPr>
      </w:pPr>
      <w:r w:rsidRPr="00F06DE2">
        <w:rPr>
          <w:rFonts w:ascii="Times New Roman" w:hAnsi="Times New Roman" w:cs="Times New Roman"/>
          <w:lang w:val="ru-RU"/>
        </w:rPr>
        <w:t>б) за плавателни средства, които са получили друг лиценз за движение между 1 януари 1995 г. и 30 декември 2008 г.;</w:t>
      </w:r>
    </w:p>
    <w:p w14:paraId="20C4935E" w14:textId="77777777" w:rsidR="00271FA2" w:rsidRPr="00F06DE2" w:rsidRDefault="00D35E51" w:rsidP="00162F06">
      <w:pPr>
        <w:spacing w:line="240" w:lineRule="atLeast"/>
        <w:ind w:leftChars="236" w:left="519" w:firstLine="1"/>
        <w:jc w:val="both"/>
        <w:rPr>
          <w:rFonts w:ascii="Times New Roman" w:hAnsi="Times New Roman" w:cs="Times New Roman"/>
          <w:lang w:val="ru-RU"/>
        </w:rPr>
      </w:pPr>
      <w:r w:rsidRPr="00F06DE2">
        <w:rPr>
          <w:rFonts w:ascii="Times New Roman" w:hAnsi="Times New Roman" w:cs="Times New Roman"/>
          <w:lang w:val="ru-RU"/>
        </w:rPr>
        <w:t>в) за плавателни средства, за които валидн</w:t>
      </w:r>
      <w:r w:rsidRPr="00F06DE2">
        <w:rPr>
          <w:rFonts w:ascii="Times New Roman" w:hAnsi="Times New Roman" w:cs="Times New Roman"/>
        </w:rPr>
        <w:t>o</w:t>
      </w:r>
      <w:r w:rsidRPr="00F06DE2">
        <w:rPr>
          <w:rFonts w:ascii="Times New Roman" w:hAnsi="Times New Roman" w:cs="Times New Roman"/>
          <w:lang w:val="ru-RU"/>
        </w:rPr>
        <w:t xml:space="preserve"> за зона </w:t>
      </w:r>
      <w:r w:rsidRPr="00F06DE2">
        <w:rPr>
          <w:rFonts w:ascii="Times New Roman" w:hAnsi="Times New Roman" w:cs="Times New Roman"/>
        </w:rPr>
        <w:t>R</w:t>
      </w:r>
      <w:r w:rsidRPr="00F06DE2">
        <w:rPr>
          <w:rFonts w:ascii="Times New Roman" w:hAnsi="Times New Roman" w:cs="Times New Roman"/>
          <w:lang w:val="ru-RU"/>
        </w:rPr>
        <w:t xml:space="preserve"> удостоверение на Общността в съответствие с Директива 2006/87/ЕО, е било издадено за първи път между 30 декември 2008 г. и 6 октомври 2018 г.;</w:t>
      </w:r>
    </w:p>
    <w:p w14:paraId="30564F59" w14:textId="77777777" w:rsidR="00271FA2" w:rsidRPr="00F06DE2" w:rsidRDefault="00D35E51" w:rsidP="00162F06">
      <w:pPr>
        <w:spacing w:line="240" w:lineRule="atLeast"/>
        <w:ind w:left="566"/>
        <w:jc w:val="both"/>
        <w:rPr>
          <w:rFonts w:ascii="Times New Roman" w:hAnsi="Times New Roman" w:cs="Times New Roman"/>
          <w:lang w:val="ru-RU"/>
        </w:rPr>
      </w:pPr>
      <w:r w:rsidRPr="00F06DE2">
        <w:rPr>
          <w:rFonts w:ascii="Times New Roman" w:hAnsi="Times New Roman" w:cs="Times New Roman"/>
          <w:lang w:val="ru-RU"/>
        </w:rPr>
        <w:t xml:space="preserve">г) за плавателни средства, за които валидно удостоверение на Съюза за зона </w:t>
      </w:r>
      <w:r w:rsidRPr="00F06DE2">
        <w:rPr>
          <w:rFonts w:ascii="Times New Roman" w:hAnsi="Times New Roman" w:cs="Times New Roman"/>
        </w:rPr>
        <w:t>R</w:t>
      </w:r>
      <w:r w:rsidRPr="00F06DE2">
        <w:rPr>
          <w:rFonts w:ascii="Times New Roman" w:hAnsi="Times New Roman" w:cs="Times New Roman"/>
          <w:lang w:val="ru-RU"/>
        </w:rPr>
        <w:t xml:space="preserve"> в съответствие с Директива (ЕС) 2016/1629 е било издадено за първи път от 7 октомври 2018 г.</w:t>
      </w:r>
    </w:p>
    <w:p w14:paraId="7A2EC6C5" w14:textId="77777777" w:rsidR="00271FA2" w:rsidRPr="00F06DE2" w:rsidRDefault="00D35E51" w:rsidP="00162F06">
      <w:pPr>
        <w:spacing w:line="240" w:lineRule="atLeast"/>
        <w:ind w:left="567" w:hanging="567"/>
        <w:jc w:val="both"/>
        <w:rPr>
          <w:rFonts w:ascii="Times New Roman" w:hAnsi="Times New Roman" w:cs="Times New Roman"/>
          <w:color w:val="000000" w:themeColor="text1"/>
          <w:lang w:val="ru-RU"/>
        </w:rPr>
      </w:pPr>
      <w:r w:rsidRPr="00F06DE2">
        <w:rPr>
          <w:rFonts w:ascii="Times New Roman" w:hAnsi="Times New Roman" w:cs="Times New Roman"/>
          <w:color w:val="000000" w:themeColor="text1"/>
          <w:lang w:val="ru-RU"/>
        </w:rPr>
        <w:t>2.</w:t>
      </w:r>
      <w:r w:rsidRPr="00F06DE2">
        <w:rPr>
          <w:rFonts w:ascii="Times New Roman" w:hAnsi="Times New Roman" w:cs="Times New Roman"/>
          <w:lang w:val="ru-RU"/>
        </w:rPr>
        <w:tab/>
      </w:r>
      <w:r w:rsidRPr="00F06DE2">
        <w:rPr>
          <w:rFonts w:ascii="Times New Roman" w:hAnsi="Times New Roman" w:cs="Times New Roman"/>
          <w:color w:val="000000" w:themeColor="text1"/>
          <w:lang w:val="ru-RU"/>
        </w:rPr>
        <w:t xml:space="preserve">Трябва да се докаже, че тези плавателни средства са в съответствие: </w:t>
      </w:r>
    </w:p>
    <w:p w14:paraId="6F8C71AB" w14:textId="77777777" w:rsidR="00271FA2" w:rsidRPr="00F06DE2" w:rsidRDefault="00D35E51" w:rsidP="00904B4D">
      <w:pPr>
        <w:spacing w:line="240" w:lineRule="atLeast"/>
        <w:ind w:leftChars="236" w:left="519" w:firstLineChars="6" w:firstLine="13"/>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с Рейнските правила за инспекция на корабите, както са били в сила на датата, на която са предоставени удостоверението съгласно Рейнските правила за инспекция на корабите или другият лиценз за движение; или</w:t>
      </w:r>
    </w:p>
    <w:p w14:paraId="79F1A1EE" w14:textId="77777777" w:rsidR="00271FA2" w:rsidRPr="00F06DE2" w:rsidRDefault="00D35E51" w:rsidP="00904B4D">
      <w:pPr>
        <w:spacing w:line="240" w:lineRule="atLeast"/>
        <w:ind w:leftChars="236" w:left="519" w:firstLineChars="6" w:firstLine="13"/>
        <w:jc w:val="both"/>
        <w:rPr>
          <w:rFonts w:ascii="Times New Roman" w:hAnsi="Times New Roman" w:cs="Times New Roman"/>
          <w:lang w:val="ru-RU"/>
        </w:rPr>
      </w:pPr>
      <w:r w:rsidRPr="00F06DE2">
        <w:rPr>
          <w:rFonts w:ascii="Times New Roman" w:hAnsi="Times New Roman" w:cs="Times New Roman"/>
          <w:lang w:val="ru-RU"/>
        </w:rPr>
        <w:t xml:space="preserve">б) с разпоредбите на Директива 2006/87/ЕО, приложими за зона </w:t>
      </w:r>
      <w:r w:rsidRPr="00F06DE2">
        <w:rPr>
          <w:rFonts w:ascii="Times New Roman" w:hAnsi="Times New Roman" w:cs="Times New Roman"/>
        </w:rPr>
        <w:t>R</w:t>
      </w:r>
      <w:r w:rsidRPr="00F06DE2">
        <w:rPr>
          <w:rFonts w:ascii="Times New Roman" w:hAnsi="Times New Roman" w:cs="Times New Roman"/>
          <w:lang w:val="ru-RU"/>
        </w:rPr>
        <w:t>, както е приложимо към датата, на която е било издадено удостоверението на Общността; или</w:t>
      </w:r>
    </w:p>
    <w:p w14:paraId="45DE2E8E" w14:textId="77777777" w:rsidR="00271FA2" w:rsidRPr="00F06DE2" w:rsidRDefault="00D35E51" w:rsidP="00904B4D">
      <w:pPr>
        <w:spacing w:line="240" w:lineRule="atLeast"/>
        <w:ind w:leftChars="236" w:left="519" w:firstLineChars="6" w:firstLine="13"/>
        <w:jc w:val="both"/>
        <w:rPr>
          <w:rFonts w:ascii="Times New Roman" w:hAnsi="Times New Roman" w:cs="Times New Roman"/>
          <w:lang w:val="ru-RU"/>
        </w:rPr>
      </w:pPr>
      <w:r w:rsidRPr="00F06DE2">
        <w:rPr>
          <w:rFonts w:ascii="Times New Roman" w:hAnsi="Times New Roman" w:cs="Times New Roman"/>
          <w:lang w:val="ru-RU"/>
        </w:rPr>
        <w:t xml:space="preserve">в) с разпоредбите на Директива (ЕС) 2016/1629, приложим за зона </w:t>
      </w:r>
      <w:r w:rsidRPr="00F06DE2">
        <w:rPr>
          <w:rFonts w:ascii="Times New Roman" w:hAnsi="Times New Roman" w:cs="Times New Roman"/>
        </w:rPr>
        <w:t>R</w:t>
      </w:r>
      <w:r w:rsidRPr="00F06DE2">
        <w:rPr>
          <w:rFonts w:ascii="Times New Roman" w:hAnsi="Times New Roman" w:cs="Times New Roman"/>
          <w:lang w:val="ru-RU"/>
        </w:rPr>
        <w:t>, приложими към датата, на която е издадено тяхното удостоверение на Съюза.</w:t>
      </w:r>
    </w:p>
    <w:p w14:paraId="77ACEA9B" w14:textId="77777777" w:rsidR="00271FA2" w:rsidRPr="00F06DE2" w:rsidRDefault="00D35E51" w:rsidP="00162F06">
      <w:pPr>
        <w:spacing w:line="240" w:lineRule="atLeast"/>
        <w:ind w:left="567" w:hanging="567"/>
        <w:jc w:val="both"/>
        <w:rPr>
          <w:rFonts w:ascii="Times New Roman" w:hAnsi="Times New Roman" w:cs="Times New Roman"/>
          <w:color w:val="000000" w:themeColor="text1"/>
          <w:lang w:val="ru-RU"/>
        </w:rPr>
      </w:pPr>
      <w:r w:rsidRPr="00F06DE2">
        <w:rPr>
          <w:rFonts w:ascii="Times New Roman" w:hAnsi="Times New Roman" w:cs="Times New Roman"/>
          <w:color w:val="000000" w:themeColor="text1"/>
          <w:lang w:val="ru-RU"/>
        </w:rPr>
        <w:t>3.</w:t>
      </w:r>
      <w:r w:rsidRPr="00F06DE2">
        <w:rPr>
          <w:rFonts w:ascii="Times New Roman" w:hAnsi="Times New Roman" w:cs="Times New Roman"/>
          <w:lang w:val="ru-RU"/>
        </w:rPr>
        <w:tab/>
      </w:r>
      <w:r w:rsidRPr="00F06DE2">
        <w:rPr>
          <w:rFonts w:ascii="Times New Roman" w:hAnsi="Times New Roman" w:cs="Times New Roman"/>
          <w:color w:val="000000" w:themeColor="text1"/>
          <w:lang w:val="ru-RU"/>
        </w:rPr>
        <w:t>Плавателното средство трябва да бъде приспособено, така че да съответства на настоящия стандарт съгласно преходните разпоредби, посочени в таблицата по-долу.</w:t>
      </w:r>
    </w:p>
    <w:p w14:paraId="3FB1212A" w14:textId="77777777" w:rsidR="00271FA2" w:rsidRPr="00F06DE2" w:rsidRDefault="00D35E51" w:rsidP="00162F06">
      <w:pPr>
        <w:spacing w:line="240" w:lineRule="atLeast"/>
        <w:ind w:left="567" w:hanging="567"/>
        <w:jc w:val="both"/>
        <w:rPr>
          <w:rFonts w:ascii="Times New Roman" w:hAnsi="Times New Roman" w:cs="Times New Roman"/>
          <w:color w:val="000000" w:themeColor="text1"/>
          <w:lang w:val="ru-RU"/>
        </w:rPr>
      </w:pPr>
      <w:r w:rsidRPr="00F06DE2">
        <w:rPr>
          <w:rFonts w:ascii="Times New Roman" w:hAnsi="Times New Roman" w:cs="Times New Roman"/>
          <w:color w:val="000000" w:themeColor="text1"/>
          <w:lang w:val="ru-RU"/>
        </w:rPr>
        <w:t>4.</w:t>
      </w:r>
      <w:r w:rsidRPr="00F06DE2">
        <w:rPr>
          <w:rFonts w:ascii="Times New Roman" w:hAnsi="Times New Roman" w:cs="Times New Roman"/>
          <w:lang w:val="ru-RU"/>
        </w:rPr>
        <w:tab/>
      </w:r>
      <w:r w:rsidRPr="00F06DE2">
        <w:rPr>
          <w:rFonts w:ascii="Times New Roman" w:hAnsi="Times New Roman" w:cs="Times New Roman"/>
          <w:color w:val="000000" w:themeColor="text1"/>
          <w:lang w:val="ru-RU"/>
        </w:rPr>
        <w:t xml:space="preserve">Член 32.04, точки 3, 5 и 6 се прилагат </w:t>
      </w:r>
      <w:r w:rsidRPr="00F06DE2">
        <w:rPr>
          <w:rFonts w:ascii="Times New Roman" w:hAnsi="Times New Roman" w:cs="Times New Roman"/>
          <w:i/>
          <w:color w:val="000000" w:themeColor="text1"/>
        </w:rPr>
        <w:t>mutatis</w:t>
      </w:r>
      <w:r w:rsidRPr="00F06DE2">
        <w:rPr>
          <w:rFonts w:ascii="Times New Roman" w:hAnsi="Times New Roman" w:cs="Times New Roman"/>
          <w:i/>
          <w:color w:val="000000" w:themeColor="text1"/>
          <w:lang w:val="ru-RU"/>
        </w:rPr>
        <w:t xml:space="preserve"> </w:t>
      </w:r>
      <w:r w:rsidRPr="00F06DE2">
        <w:rPr>
          <w:rFonts w:ascii="Times New Roman" w:hAnsi="Times New Roman" w:cs="Times New Roman"/>
          <w:i/>
          <w:color w:val="000000" w:themeColor="text1"/>
        </w:rPr>
        <w:t>mutandis</w:t>
      </w:r>
      <w:r w:rsidRPr="00F06DE2">
        <w:rPr>
          <w:rFonts w:ascii="Times New Roman" w:hAnsi="Times New Roman" w:cs="Times New Roman"/>
          <w:i/>
          <w:color w:val="000000" w:themeColor="text1"/>
          <w:lang w:val="ru-RU"/>
        </w:rPr>
        <w:t>.</w:t>
      </w:r>
    </w:p>
    <w:p w14:paraId="09520E9F" w14:textId="77777777" w:rsidR="00271FA2" w:rsidRPr="00F06DE2" w:rsidRDefault="00D35E51" w:rsidP="00162F06">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5.</w:t>
      </w:r>
      <w:r w:rsidRPr="00F06DE2">
        <w:rPr>
          <w:rFonts w:ascii="Times New Roman" w:hAnsi="Times New Roman" w:cs="Times New Roman"/>
          <w:lang w:val="ru-RU"/>
        </w:rPr>
        <w:tab/>
        <w:t>За таблицата по-долу важат следните определения:</w:t>
      </w:r>
    </w:p>
    <w:p w14:paraId="2C078C61" w14:textId="77777777" w:rsidR="00271FA2" w:rsidRPr="00F06DE2" w:rsidRDefault="00D35E51" w:rsidP="00162F06">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„НЗР“: разпоредбата не се прилага за плавателни средства, които вече са в експлоатация, освен ако въпросните части не бъдат заменени или преустроени, т.е. разпоредбата важи само по отношение на </w:t>
      </w:r>
      <w:r w:rsidRPr="00F06DE2">
        <w:rPr>
          <w:rFonts w:ascii="Times New Roman" w:hAnsi="Times New Roman" w:cs="Times New Roman"/>
          <w:u w:val="single"/>
          <w:lang w:val="ru-RU"/>
        </w:rPr>
        <w:t>Н</w:t>
      </w:r>
      <w:r w:rsidRPr="00F06DE2">
        <w:rPr>
          <w:rFonts w:ascii="Times New Roman" w:hAnsi="Times New Roman" w:cs="Times New Roman"/>
          <w:lang w:val="ru-RU"/>
        </w:rPr>
        <w:t xml:space="preserve">овоизградени плавателни средства и на </w:t>
      </w:r>
      <w:r w:rsidRPr="00F06DE2">
        <w:rPr>
          <w:rFonts w:ascii="Times New Roman" w:hAnsi="Times New Roman" w:cs="Times New Roman"/>
          <w:u w:val="single"/>
          <w:lang w:val="ru-RU"/>
        </w:rPr>
        <w:t>З</w:t>
      </w:r>
      <w:r w:rsidRPr="00F06DE2">
        <w:rPr>
          <w:rFonts w:ascii="Times New Roman" w:hAnsi="Times New Roman" w:cs="Times New Roman"/>
          <w:lang w:val="ru-RU"/>
        </w:rPr>
        <w:t xml:space="preserve">амяната или </w:t>
      </w:r>
      <w:r w:rsidRPr="00F06DE2">
        <w:rPr>
          <w:rFonts w:ascii="Times New Roman" w:hAnsi="Times New Roman" w:cs="Times New Roman"/>
          <w:u w:val="single"/>
          <w:lang w:val="ru-RU"/>
        </w:rPr>
        <w:t>Р</w:t>
      </w:r>
      <w:r w:rsidRPr="00F06DE2">
        <w:rPr>
          <w:rFonts w:ascii="Times New Roman" w:hAnsi="Times New Roman" w:cs="Times New Roman"/>
          <w:lang w:val="ru-RU"/>
        </w:rPr>
        <w:t xml:space="preserve">еконструкцията (преустройството) на въпросните части или пространства. В случай, че съществуващи части се заменят с части от същия вид при използване на същата технология, това не представлява замяна „З“ по смисъла на преходните разпоредби. </w:t>
      </w:r>
    </w:p>
    <w:p w14:paraId="38A13BEE" w14:textId="410A1C0C" w:rsidR="00271FA2" w:rsidRPr="00F06DE2" w:rsidRDefault="00162F06" w:rsidP="00904B4D">
      <w:pPr>
        <w:tabs>
          <w:tab w:val="left" w:pos="4678"/>
        </w:tabs>
        <w:spacing w:after="240"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ab/>
      </w:r>
      <w:r w:rsidR="00D35E51" w:rsidRPr="00F06DE2">
        <w:rPr>
          <w:rFonts w:ascii="Times New Roman" w:hAnsi="Times New Roman" w:cs="Times New Roman"/>
          <w:lang w:val="ru-RU"/>
        </w:rPr>
        <w:t>„Издаване или подновяване на Корабното удостоверение за вътрешно корабоплаване“: разпоредбата трябва да бъде спазена при следващото издаване или подновяване на Корабното удостоверение за вътрешно корабоплаване след посочената дата.</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5"/>
        <w:gridCol w:w="1458"/>
        <w:gridCol w:w="3296"/>
        <w:gridCol w:w="5387"/>
        <w:gridCol w:w="11"/>
        <w:gridCol w:w="1418"/>
        <w:gridCol w:w="1559"/>
      </w:tblGrid>
      <w:tr w:rsidR="00271FA2" w:rsidRPr="00F06DE2" w14:paraId="47C71073" w14:textId="77777777" w:rsidTr="00A41A9A">
        <w:trPr>
          <w:cantSplit/>
          <w:tblHeader/>
          <w:jc w:val="center"/>
        </w:trPr>
        <w:tc>
          <w:tcPr>
            <w:tcW w:w="2783" w:type="dxa"/>
            <w:gridSpan w:val="2"/>
            <w:shd w:val="clear" w:color="auto" w:fill="auto"/>
          </w:tcPr>
          <w:p w14:paraId="1C84F95F"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lastRenderedPageBreak/>
              <w:t>Член и точка</w:t>
            </w:r>
          </w:p>
        </w:tc>
        <w:tc>
          <w:tcPr>
            <w:tcW w:w="3296" w:type="dxa"/>
            <w:shd w:val="clear" w:color="auto" w:fill="auto"/>
          </w:tcPr>
          <w:p w14:paraId="345F782C"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Съдържание</w:t>
            </w:r>
          </w:p>
        </w:tc>
        <w:tc>
          <w:tcPr>
            <w:tcW w:w="6816" w:type="dxa"/>
            <w:gridSpan w:val="3"/>
            <w:shd w:val="clear" w:color="auto" w:fill="auto"/>
          </w:tcPr>
          <w:p w14:paraId="4D91EE79"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Краен срок и бележки</w:t>
            </w:r>
          </w:p>
        </w:tc>
        <w:tc>
          <w:tcPr>
            <w:tcW w:w="1559" w:type="dxa"/>
          </w:tcPr>
          <w:p w14:paraId="72768486" w14:textId="77777777" w:rsidR="00271FA2" w:rsidRPr="00F06DE2" w:rsidRDefault="00D35E51">
            <w:pPr>
              <w:spacing w:line="240" w:lineRule="atLeast"/>
              <w:jc w:val="center"/>
              <w:rPr>
                <w:rFonts w:ascii="Times New Roman" w:hAnsi="Times New Roman" w:cs="Times New Roman"/>
                <w:lang w:val="ru-RU"/>
              </w:rPr>
            </w:pPr>
            <w:r w:rsidRPr="00F06DE2">
              <w:rPr>
                <w:rFonts w:ascii="Times New Roman" w:hAnsi="Times New Roman" w:cs="Times New Roman"/>
                <w:i/>
                <w:lang w:val="ru-RU"/>
              </w:rPr>
              <w:t>Дата на влизане в сила</w:t>
            </w:r>
          </w:p>
        </w:tc>
      </w:tr>
      <w:tr w:rsidR="00271FA2" w:rsidRPr="00F06DE2" w14:paraId="77198BC7" w14:textId="77777777" w:rsidTr="00A41A9A">
        <w:trPr>
          <w:cantSplit/>
          <w:jc w:val="center"/>
        </w:trPr>
        <w:tc>
          <w:tcPr>
            <w:tcW w:w="6079" w:type="dxa"/>
            <w:gridSpan w:val="3"/>
            <w:shd w:val="clear" w:color="auto" w:fill="auto"/>
          </w:tcPr>
          <w:p w14:paraId="3ACEEAB6"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t>ГЛАВА 3</w:t>
            </w:r>
          </w:p>
        </w:tc>
        <w:tc>
          <w:tcPr>
            <w:tcW w:w="5387" w:type="dxa"/>
            <w:shd w:val="clear" w:color="auto" w:fill="auto"/>
          </w:tcPr>
          <w:p w14:paraId="2F0F2747" w14:textId="77777777" w:rsidR="00271FA2" w:rsidRPr="00F06DE2" w:rsidRDefault="00271FA2">
            <w:pPr>
              <w:spacing w:line="240" w:lineRule="atLeast"/>
              <w:rPr>
                <w:rFonts w:ascii="Times New Roman" w:hAnsi="Times New Roman" w:cs="Times New Roman"/>
              </w:rPr>
            </w:pPr>
          </w:p>
        </w:tc>
        <w:tc>
          <w:tcPr>
            <w:tcW w:w="1429" w:type="dxa"/>
            <w:gridSpan w:val="2"/>
            <w:shd w:val="clear" w:color="auto" w:fill="auto"/>
          </w:tcPr>
          <w:p w14:paraId="73629C7E" w14:textId="77777777" w:rsidR="00271FA2" w:rsidRPr="00F06DE2" w:rsidRDefault="00271FA2">
            <w:pPr>
              <w:spacing w:line="240" w:lineRule="atLeast"/>
              <w:rPr>
                <w:rFonts w:ascii="Times New Roman" w:hAnsi="Times New Roman" w:cs="Times New Roman"/>
              </w:rPr>
            </w:pPr>
          </w:p>
        </w:tc>
        <w:tc>
          <w:tcPr>
            <w:tcW w:w="1559" w:type="dxa"/>
          </w:tcPr>
          <w:p w14:paraId="291A757A" w14:textId="77777777" w:rsidR="00271FA2" w:rsidRPr="00F06DE2" w:rsidRDefault="00271FA2">
            <w:pPr>
              <w:spacing w:line="240" w:lineRule="atLeast"/>
              <w:rPr>
                <w:rFonts w:ascii="Times New Roman" w:hAnsi="Times New Roman" w:cs="Times New Roman"/>
              </w:rPr>
            </w:pPr>
          </w:p>
        </w:tc>
      </w:tr>
      <w:tr w:rsidR="00271FA2" w:rsidRPr="00F06DE2" w14:paraId="4395FC93" w14:textId="77777777" w:rsidTr="00A41A9A">
        <w:trPr>
          <w:cantSplit/>
          <w:trHeight w:val="679"/>
          <w:jc w:val="center"/>
        </w:trPr>
        <w:tc>
          <w:tcPr>
            <w:tcW w:w="1325" w:type="dxa"/>
            <w:shd w:val="clear" w:color="auto" w:fill="auto"/>
          </w:tcPr>
          <w:p w14:paraId="2A1455E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3.03</w:t>
            </w:r>
          </w:p>
        </w:tc>
        <w:tc>
          <w:tcPr>
            <w:tcW w:w="1458" w:type="dxa"/>
            <w:shd w:val="clear" w:color="auto" w:fill="auto"/>
          </w:tcPr>
          <w:p w14:paraId="6930DF5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буква „б“</w:t>
            </w:r>
          </w:p>
        </w:tc>
        <w:tc>
          <w:tcPr>
            <w:tcW w:w="3296" w:type="dxa"/>
            <w:shd w:val="clear" w:color="auto" w:fill="auto"/>
          </w:tcPr>
          <w:p w14:paraId="12F473E2" w14:textId="77777777" w:rsidR="00271FA2" w:rsidRPr="00F06DE2" w:rsidRDefault="00D35E51">
            <w:pPr>
              <w:tabs>
                <w:tab w:val="left" w:pos="2790"/>
              </w:tabs>
              <w:spacing w:line="240" w:lineRule="atLeast"/>
              <w:jc w:val="both"/>
              <w:rPr>
                <w:rFonts w:ascii="Times New Roman" w:hAnsi="Times New Roman" w:cs="Times New Roman"/>
              </w:rPr>
            </w:pPr>
            <w:r w:rsidRPr="00F06DE2">
              <w:rPr>
                <w:rFonts w:ascii="Times New Roman" w:hAnsi="Times New Roman" w:cs="Times New Roman"/>
              </w:rPr>
              <w:t>Положение на ахтерпиковата преграда</w:t>
            </w:r>
          </w:p>
        </w:tc>
        <w:tc>
          <w:tcPr>
            <w:tcW w:w="5387" w:type="dxa"/>
            <w:shd w:val="clear" w:color="auto" w:fill="auto"/>
          </w:tcPr>
          <w:p w14:paraId="470E5AD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CBF3390" w14:textId="3812BC7F" w:rsidR="00271FA2" w:rsidRPr="00F06DE2" w:rsidRDefault="00904B4D" w:rsidP="00F82D3B">
            <w:pPr>
              <w:spacing w:line="240" w:lineRule="atLeast"/>
              <w:ind w:right="-105"/>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c>
          <w:tcPr>
            <w:tcW w:w="1559" w:type="dxa"/>
          </w:tcPr>
          <w:p w14:paraId="1E29C5C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7.10.2018 г.</w:t>
            </w:r>
          </w:p>
        </w:tc>
      </w:tr>
      <w:tr w:rsidR="00271FA2" w:rsidRPr="00F06DE2" w14:paraId="1ECAD9EE" w14:textId="77777777" w:rsidTr="00A41A9A">
        <w:trPr>
          <w:cantSplit/>
          <w:trHeight w:val="679"/>
          <w:jc w:val="center"/>
        </w:trPr>
        <w:tc>
          <w:tcPr>
            <w:tcW w:w="1325" w:type="dxa"/>
            <w:vMerge w:val="restart"/>
            <w:shd w:val="clear" w:color="auto" w:fill="auto"/>
          </w:tcPr>
          <w:p w14:paraId="6C076898" w14:textId="5291F028" w:rsidR="00271FA2" w:rsidRPr="00F06DE2" w:rsidRDefault="00FD719C">
            <w:pPr>
              <w:spacing w:line="240" w:lineRule="atLeast"/>
              <w:jc w:val="both"/>
              <w:rPr>
                <w:rFonts w:ascii="Times New Roman" w:hAnsi="Times New Roman" w:cs="Times New Roman"/>
              </w:rPr>
            </w:pPr>
            <w:r w:rsidRPr="00F06DE2">
              <w:rPr>
                <w:rFonts w:ascii="Times New Roman" w:hAnsi="Times New Roman" w:cs="Times New Roman"/>
              </w:rPr>
              <w:t>3.03</w:t>
            </w:r>
          </w:p>
        </w:tc>
        <w:tc>
          <w:tcPr>
            <w:tcW w:w="1458" w:type="dxa"/>
            <w:vMerge w:val="restart"/>
            <w:shd w:val="clear" w:color="auto" w:fill="auto"/>
          </w:tcPr>
          <w:p w14:paraId="73447D3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25847356" w14:textId="77777777" w:rsidR="00271FA2" w:rsidRPr="00F06DE2" w:rsidRDefault="00D35E51">
            <w:pPr>
              <w:tabs>
                <w:tab w:val="left" w:pos="2790"/>
              </w:tabs>
              <w:spacing w:line="240" w:lineRule="atLeast"/>
              <w:jc w:val="both"/>
              <w:rPr>
                <w:rFonts w:ascii="Times New Roman" w:hAnsi="Times New Roman" w:cs="Times New Roman"/>
              </w:rPr>
            </w:pPr>
            <w:r w:rsidRPr="00F06DE2">
              <w:rPr>
                <w:rFonts w:ascii="Times New Roman" w:hAnsi="Times New Roman" w:cs="Times New Roman"/>
              </w:rPr>
              <w:t>Помещения зад ахтерпиковата преграда</w:t>
            </w:r>
          </w:p>
        </w:tc>
        <w:tc>
          <w:tcPr>
            <w:tcW w:w="5387" w:type="dxa"/>
            <w:shd w:val="clear" w:color="auto" w:fill="auto"/>
          </w:tcPr>
          <w:p w14:paraId="6549615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429" w:type="dxa"/>
            <w:gridSpan w:val="2"/>
            <w:shd w:val="clear" w:color="auto" w:fill="auto"/>
          </w:tcPr>
          <w:p w14:paraId="4B27274F" w14:textId="39D31E86" w:rsidR="00271FA2" w:rsidRPr="00F06DE2" w:rsidRDefault="00F82D3B" w:rsidP="00F82D3B">
            <w:pPr>
              <w:spacing w:line="240" w:lineRule="atLeast"/>
              <w:ind w:right="-105"/>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.2045 г.</w:t>
            </w:r>
          </w:p>
        </w:tc>
        <w:tc>
          <w:tcPr>
            <w:tcW w:w="1559" w:type="dxa"/>
          </w:tcPr>
          <w:p w14:paraId="381BD51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7.10.2018 г.</w:t>
            </w:r>
          </w:p>
        </w:tc>
      </w:tr>
      <w:tr w:rsidR="00271FA2" w:rsidRPr="00F06DE2" w14:paraId="31C991DB" w14:textId="77777777" w:rsidTr="00A41A9A">
        <w:trPr>
          <w:cantSplit/>
          <w:jc w:val="center"/>
        </w:trPr>
        <w:tc>
          <w:tcPr>
            <w:tcW w:w="1325" w:type="dxa"/>
            <w:vMerge/>
            <w:shd w:val="clear" w:color="auto" w:fill="auto"/>
          </w:tcPr>
          <w:p w14:paraId="67173BA0" w14:textId="77777777" w:rsidR="00271FA2" w:rsidRPr="00F06DE2" w:rsidRDefault="00271FA2">
            <w:pPr>
              <w:spacing w:line="240" w:lineRule="atLeast"/>
              <w:jc w:val="both"/>
              <w:rPr>
                <w:rFonts w:ascii="Times New Roman" w:hAnsi="Times New Roman" w:cs="Times New Roman"/>
                <w:b/>
              </w:rPr>
            </w:pPr>
          </w:p>
        </w:tc>
        <w:tc>
          <w:tcPr>
            <w:tcW w:w="1458" w:type="dxa"/>
            <w:vMerge/>
            <w:shd w:val="clear" w:color="auto" w:fill="auto"/>
          </w:tcPr>
          <w:p w14:paraId="015763DD"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109EB6A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за безопасност зад ахтерпиковата преграда</w:t>
            </w:r>
          </w:p>
        </w:tc>
        <w:tc>
          <w:tcPr>
            <w:tcW w:w="5387" w:type="dxa"/>
            <w:shd w:val="clear" w:color="auto" w:fill="auto"/>
          </w:tcPr>
          <w:p w14:paraId="33D111D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6A516F0" w14:textId="06054F59" w:rsidR="00271FA2" w:rsidRPr="00F06DE2" w:rsidRDefault="00F82D3B" w:rsidP="00F82D3B">
            <w:pPr>
              <w:spacing w:line="240" w:lineRule="atLeast"/>
              <w:ind w:right="-105"/>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c>
          <w:tcPr>
            <w:tcW w:w="1559" w:type="dxa"/>
          </w:tcPr>
          <w:p w14:paraId="366DEA7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7.10.2018 г.</w:t>
            </w:r>
          </w:p>
        </w:tc>
      </w:tr>
      <w:tr w:rsidR="00271FA2" w:rsidRPr="00F06DE2" w14:paraId="68BDB331" w14:textId="77777777" w:rsidTr="00A41A9A">
        <w:trPr>
          <w:cantSplit/>
          <w:jc w:val="center"/>
        </w:trPr>
        <w:tc>
          <w:tcPr>
            <w:tcW w:w="1325" w:type="dxa"/>
            <w:shd w:val="clear" w:color="auto" w:fill="auto"/>
          </w:tcPr>
          <w:p w14:paraId="1CED4D3C" w14:textId="39CCA019" w:rsidR="00271FA2" w:rsidRPr="00F06DE2" w:rsidRDefault="00FD719C">
            <w:pPr>
              <w:spacing w:line="240" w:lineRule="atLeast"/>
              <w:jc w:val="both"/>
              <w:rPr>
                <w:rFonts w:ascii="Times New Roman" w:hAnsi="Times New Roman" w:cs="Times New Roman"/>
                <w:b/>
              </w:rPr>
            </w:pPr>
            <w:r w:rsidRPr="00F06DE2">
              <w:rPr>
                <w:rFonts w:ascii="Times New Roman" w:hAnsi="Times New Roman" w:cs="Times New Roman"/>
              </w:rPr>
              <w:t>3.03</w:t>
            </w:r>
          </w:p>
        </w:tc>
        <w:tc>
          <w:tcPr>
            <w:tcW w:w="1458" w:type="dxa"/>
            <w:shd w:val="clear" w:color="auto" w:fill="auto"/>
          </w:tcPr>
          <w:p w14:paraId="56B8C5F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0990A14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Котви, които не стърчат в носовите части на плавателните съдове</w:t>
            </w:r>
          </w:p>
        </w:tc>
        <w:tc>
          <w:tcPr>
            <w:tcW w:w="5387" w:type="dxa"/>
            <w:shd w:val="clear" w:color="auto" w:fill="auto"/>
          </w:tcPr>
          <w:p w14:paraId="0C86F762" w14:textId="451A10CC"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Разпоредбата влиза в сила от </w:t>
            </w:r>
            <w:r w:rsidR="00904B4D" w:rsidRPr="00F06DE2">
              <w:rPr>
                <w:rFonts w:ascii="Times New Roman" w:hAnsi="Times New Roman" w:cs="Times New Roman"/>
                <w:lang w:val="ru-RU"/>
              </w:rPr>
              <w:t>0</w:t>
            </w:r>
            <w:r w:rsidRPr="00F06DE2">
              <w:rPr>
                <w:rFonts w:ascii="Times New Roman" w:hAnsi="Times New Roman" w:cs="Times New Roman"/>
                <w:lang w:val="ru-RU"/>
              </w:rPr>
              <w:t>1.</w:t>
            </w:r>
            <w:r w:rsidR="00904B4D" w:rsidRPr="00F06DE2">
              <w:rPr>
                <w:rFonts w:ascii="Times New Roman" w:hAnsi="Times New Roman" w:cs="Times New Roman"/>
                <w:lang w:val="ru-RU"/>
              </w:rPr>
              <w:t>0</w:t>
            </w:r>
            <w:r w:rsidRPr="00F06DE2">
              <w:rPr>
                <w:rFonts w:ascii="Times New Roman" w:hAnsi="Times New Roman" w:cs="Times New Roman"/>
                <w:lang w:val="ru-RU"/>
              </w:rPr>
              <w:t>1.2001: НЗР, най-късно при подновяване на Корабното удостоверение за вътрешно корабоплаване след</w:t>
            </w:r>
          </w:p>
        </w:tc>
        <w:tc>
          <w:tcPr>
            <w:tcW w:w="1429" w:type="dxa"/>
            <w:gridSpan w:val="2"/>
            <w:shd w:val="clear" w:color="auto" w:fill="auto"/>
          </w:tcPr>
          <w:p w14:paraId="30CD29FE" w14:textId="17383543" w:rsidR="00271FA2" w:rsidRPr="00F06DE2" w:rsidRDefault="00F82D3B" w:rsidP="00F82D3B">
            <w:pPr>
              <w:spacing w:line="240" w:lineRule="atLeast"/>
              <w:ind w:right="-105"/>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.2041 г.</w:t>
            </w:r>
          </w:p>
        </w:tc>
        <w:tc>
          <w:tcPr>
            <w:tcW w:w="1559" w:type="dxa"/>
          </w:tcPr>
          <w:p w14:paraId="49D0C26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7.10.2018 г.</w:t>
            </w:r>
          </w:p>
        </w:tc>
      </w:tr>
      <w:tr w:rsidR="00271FA2" w:rsidRPr="00F06DE2" w14:paraId="03C837D3" w14:textId="77777777" w:rsidTr="00A41A9A">
        <w:trPr>
          <w:cantSplit/>
          <w:jc w:val="center"/>
        </w:trPr>
        <w:tc>
          <w:tcPr>
            <w:tcW w:w="6079" w:type="dxa"/>
            <w:gridSpan w:val="3"/>
            <w:shd w:val="clear" w:color="auto" w:fill="auto"/>
          </w:tcPr>
          <w:p w14:paraId="5090423B"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6</w:t>
            </w:r>
          </w:p>
        </w:tc>
        <w:tc>
          <w:tcPr>
            <w:tcW w:w="5387" w:type="dxa"/>
            <w:shd w:val="clear" w:color="auto" w:fill="auto"/>
          </w:tcPr>
          <w:p w14:paraId="4949ACB2" w14:textId="77777777" w:rsidR="00271FA2" w:rsidRPr="00F06DE2" w:rsidRDefault="00271FA2">
            <w:pPr>
              <w:spacing w:line="240" w:lineRule="atLeast"/>
              <w:rPr>
                <w:rFonts w:ascii="Times New Roman" w:hAnsi="Times New Roman" w:cs="Times New Roman"/>
              </w:rPr>
            </w:pPr>
          </w:p>
        </w:tc>
        <w:tc>
          <w:tcPr>
            <w:tcW w:w="1429" w:type="dxa"/>
            <w:gridSpan w:val="2"/>
            <w:shd w:val="clear" w:color="auto" w:fill="auto"/>
          </w:tcPr>
          <w:p w14:paraId="2A730BA5" w14:textId="77777777" w:rsidR="00271FA2" w:rsidRPr="00F06DE2" w:rsidRDefault="00271FA2" w:rsidP="00F82D3B">
            <w:pPr>
              <w:spacing w:line="240" w:lineRule="atLeast"/>
              <w:ind w:right="-105"/>
              <w:rPr>
                <w:rFonts w:ascii="Times New Roman" w:hAnsi="Times New Roman" w:cs="Times New Roman"/>
              </w:rPr>
            </w:pPr>
          </w:p>
        </w:tc>
        <w:tc>
          <w:tcPr>
            <w:tcW w:w="1559" w:type="dxa"/>
          </w:tcPr>
          <w:p w14:paraId="1A9290C3" w14:textId="77777777" w:rsidR="00271FA2" w:rsidRPr="00F06DE2" w:rsidRDefault="00271FA2">
            <w:pPr>
              <w:spacing w:line="240" w:lineRule="atLeast"/>
              <w:rPr>
                <w:rFonts w:ascii="Times New Roman" w:hAnsi="Times New Roman" w:cs="Times New Roman"/>
              </w:rPr>
            </w:pPr>
          </w:p>
        </w:tc>
      </w:tr>
      <w:tr w:rsidR="00271FA2" w:rsidRPr="00F06DE2" w14:paraId="7DCD97AA" w14:textId="77777777" w:rsidTr="00A41A9A">
        <w:trPr>
          <w:cantSplit/>
          <w:trHeight w:val="800"/>
          <w:jc w:val="center"/>
        </w:trPr>
        <w:tc>
          <w:tcPr>
            <w:tcW w:w="1325" w:type="dxa"/>
            <w:vMerge w:val="restart"/>
            <w:shd w:val="clear" w:color="auto" w:fill="auto"/>
          </w:tcPr>
          <w:p w14:paraId="331248D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6.02</w:t>
            </w:r>
          </w:p>
        </w:tc>
        <w:tc>
          <w:tcPr>
            <w:tcW w:w="1458" w:type="dxa"/>
            <w:vMerge w:val="restart"/>
            <w:shd w:val="clear" w:color="auto" w:fill="auto"/>
          </w:tcPr>
          <w:p w14:paraId="5F81E40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1515E50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Дублирани регулиращи клапани при хидравлични задвижващи звена</w:t>
            </w:r>
          </w:p>
        </w:tc>
        <w:tc>
          <w:tcPr>
            <w:tcW w:w="5387" w:type="dxa"/>
            <w:shd w:val="clear" w:color="auto" w:fill="auto"/>
          </w:tcPr>
          <w:p w14:paraId="03FFA9B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429" w:type="dxa"/>
            <w:gridSpan w:val="2"/>
            <w:shd w:val="clear" w:color="auto" w:fill="auto"/>
          </w:tcPr>
          <w:p w14:paraId="021D999C" w14:textId="3F1695D9" w:rsidR="00271FA2" w:rsidRPr="00F06DE2" w:rsidRDefault="00F82D3B" w:rsidP="00F82D3B">
            <w:pPr>
              <w:spacing w:line="240" w:lineRule="atLeast"/>
              <w:ind w:right="-105"/>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c>
          <w:tcPr>
            <w:tcW w:w="1559" w:type="dxa"/>
          </w:tcPr>
          <w:p w14:paraId="449AB2E3" w14:textId="7D36FFF5" w:rsidR="00271FA2"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4.2007 г.</w:t>
            </w:r>
          </w:p>
        </w:tc>
      </w:tr>
      <w:tr w:rsidR="00271FA2" w:rsidRPr="00F06DE2" w14:paraId="0418DC47" w14:textId="77777777" w:rsidTr="00A41A9A">
        <w:trPr>
          <w:cantSplit/>
          <w:trHeight w:val="1208"/>
          <w:jc w:val="center"/>
        </w:trPr>
        <w:tc>
          <w:tcPr>
            <w:tcW w:w="1325" w:type="dxa"/>
            <w:vMerge/>
            <w:shd w:val="clear" w:color="auto" w:fill="auto"/>
          </w:tcPr>
          <w:p w14:paraId="53404680" w14:textId="77777777" w:rsidR="00271FA2" w:rsidRPr="00F06DE2" w:rsidRDefault="00271FA2">
            <w:pPr>
              <w:spacing w:line="240" w:lineRule="atLeast"/>
              <w:jc w:val="both"/>
              <w:rPr>
                <w:rFonts w:ascii="Times New Roman" w:hAnsi="Times New Roman" w:cs="Times New Roman"/>
              </w:rPr>
            </w:pPr>
          </w:p>
        </w:tc>
        <w:tc>
          <w:tcPr>
            <w:tcW w:w="1458" w:type="dxa"/>
            <w:vMerge/>
            <w:shd w:val="clear" w:color="auto" w:fill="auto"/>
          </w:tcPr>
          <w:p w14:paraId="63DD6C26"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408ACADE" w14:textId="77777777" w:rsidR="00271FA2" w:rsidRPr="00F06DE2" w:rsidRDefault="00D35E51">
            <w:pPr>
              <w:tabs>
                <w:tab w:val="left" w:pos="1125"/>
              </w:tabs>
              <w:spacing w:line="240" w:lineRule="atLeast"/>
              <w:jc w:val="both"/>
              <w:rPr>
                <w:rFonts w:ascii="Times New Roman" w:hAnsi="Times New Roman" w:cs="Times New Roman"/>
                <w:lang w:val="ru-RU"/>
              </w:rPr>
            </w:pPr>
            <w:r w:rsidRPr="00F06DE2">
              <w:rPr>
                <w:rFonts w:ascii="Times New Roman" w:hAnsi="Times New Roman" w:cs="Times New Roman"/>
                <w:lang w:val="ru-RU"/>
              </w:rPr>
              <w:t>Отделна система от тръбопроводи за второто задвижващо звено в случай на хидравлични задвижващи звена</w:t>
            </w:r>
          </w:p>
        </w:tc>
        <w:tc>
          <w:tcPr>
            <w:tcW w:w="5387" w:type="dxa"/>
            <w:shd w:val="clear" w:color="auto" w:fill="auto"/>
          </w:tcPr>
          <w:p w14:paraId="2795710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429" w:type="dxa"/>
            <w:gridSpan w:val="2"/>
            <w:shd w:val="clear" w:color="auto" w:fill="auto"/>
          </w:tcPr>
          <w:p w14:paraId="2B1EE7BA" w14:textId="33FE8E8F" w:rsidR="00271FA2" w:rsidRPr="00F06DE2" w:rsidRDefault="00F82D3B" w:rsidP="00F82D3B">
            <w:pPr>
              <w:spacing w:line="240" w:lineRule="atLeast"/>
              <w:ind w:right="-105"/>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.2020 г.</w:t>
            </w:r>
          </w:p>
        </w:tc>
        <w:tc>
          <w:tcPr>
            <w:tcW w:w="1559" w:type="dxa"/>
          </w:tcPr>
          <w:p w14:paraId="5BAC828A" w14:textId="77F51411" w:rsidR="00271FA2"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4.2007 г.</w:t>
            </w:r>
          </w:p>
        </w:tc>
      </w:tr>
      <w:tr w:rsidR="00271FA2" w:rsidRPr="00F06DE2" w14:paraId="2B2E20B0" w14:textId="77777777" w:rsidTr="00A41A9A">
        <w:trPr>
          <w:cantSplit/>
          <w:trHeight w:val="499"/>
          <w:jc w:val="center"/>
        </w:trPr>
        <w:tc>
          <w:tcPr>
            <w:tcW w:w="6079" w:type="dxa"/>
            <w:gridSpan w:val="3"/>
            <w:shd w:val="clear" w:color="auto" w:fill="auto"/>
          </w:tcPr>
          <w:p w14:paraId="48C731BC"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7</w:t>
            </w:r>
          </w:p>
        </w:tc>
        <w:tc>
          <w:tcPr>
            <w:tcW w:w="5387" w:type="dxa"/>
            <w:shd w:val="clear" w:color="auto" w:fill="auto"/>
          </w:tcPr>
          <w:p w14:paraId="1CCBDE01" w14:textId="77777777" w:rsidR="00271FA2" w:rsidRPr="00F06DE2" w:rsidRDefault="00271FA2">
            <w:pPr>
              <w:spacing w:line="240" w:lineRule="atLeast"/>
              <w:rPr>
                <w:rFonts w:ascii="Times New Roman" w:hAnsi="Times New Roman" w:cs="Times New Roman"/>
              </w:rPr>
            </w:pPr>
          </w:p>
        </w:tc>
        <w:tc>
          <w:tcPr>
            <w:tcW w:w="1429" w:type="dxa"/>
            <w:gridSpan w:val="2"/>
            <w:shd w:val="clear" w:color="auto" w:fill="auto"/>
          </w:tcPr>
          <w:p w14:paraId="541084A2" w14:textId="77777777" w:rsidR="00271FA2" w:rsidRPr="00F06DE2" w:rsidRDefault="00271FA2">
            <w:pPr>
              <w:spacing w:line="240" w:lineRule="atLeast"/>
              <w:rPr>
                <w:rFonts w:ascii="Times New Roman" w:hAnsi="Times New Roman" w:cs="Times New Roman"/>
              </w:rPr>
            </w:pPr>
          </w:p>
        </w:tc>
        <w:tc>
          <w:tcPr>
            <w:tcW w:w="1559" w:type="dxa"/>
          </w:tcPr>
          <w:p w14:paraId="18BD2481" w14:textId="77777777" w:rsidR="00271FA2" w:rsidRPr="00F06DE2" w:rsidRDefault="00271FA2" w:rsidP="00F82D3B">
            <w:pPr>
              <w:spacing w:line="240" w:lineRule="atLeast"/>
              <w:ind w:right="-96"/>
              <w:rPr>
                <w:rFonts w:ascii="Times New Roman" w:hAnsi="Times New Roman" w:cs="Times New Roman"/>
              </w:rPr>
            </w:pPr>
          </w:p>
        </w:tc>
      </w:tr>
      <w:tr w:rsidR="00271FA2" w:rsidRPr="00F06DE2" w14:paraId="3B848728" w14:textId="77777777" w:rsidTr="00A41A9A">
        <w:trPr>
          <w:cantSplit/>
          <w:jc w:val="center"/>
        </w:trPr>
        <w:tc>
          <w:tcPr>
            <w:tcW w:w="1325" w:type="dxa"/>
            <w:tcBorders>
              <w:bottom w:val="single" w:sz="4" w:space="0" w:color="auto"/>
            </w:tcBorders>
            <w:shd w:val="clear" w:color="auto" w:fill="auto"/>
          </w:tcPr>
          <w:p w14:paraId="23A8BFC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7.02</w:t>
            </w:r>
          </w:p>
        </w:tc>
        <w:tc>
          <w:tcPr>
            <w:tcW w:w="1458" w:type="dxa"/>
            <w:shd w:val="clear" w:color="auto" w:fill="auto"/>
          </w:tcPr>
          <w:p w14:paraId="1BD205D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6336ED0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Параметри на безопасното стъкло</w:t>
            </w:r>
          </w:p>
        </w:tc>
        <w:tc>
          <w:tcPr>
            <w:tcW w:w="5387" w:type="dxa"/>
            <w:shd w:val="clear" w:color="auto" w:fill="auto"/>
          </w:tcPr>
          <w:p w14:paraId="4D313E2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429" w:type="dxa"/>
            <w:gridSpan w:val="2"/>
            <w:shd w:val="clear" w:color="auto" w:fill="auto"/>
          </w:tcPr>
          <w:p w14:paraId="75293E1E" w14:textId="77777777" w:rsidR="00271FA2" w:rsidRPr="00F06DE2" w:rsidRDefault="00271FA2">
            <w:pPr>
              <w:spacing w:line="240" w:lineRule="atLeast"/>
              <w:jc w:val="both"/>
              <w:rPr>
                <w:rFonts w:ascii="Times New Roman" w:hAnsi="Times New Roman" w:cs="Times New Roman"/>
              </w:rPr>
            </w:pPr>
          </w:p>
        </w:tc>
        <w:tc>
          <w:tcPr>
            <w:tcW w:w="1559" w:type="dxa"/>
          </w:tcPr>
          <w:p w14:paraId="4A4105B3" w14:textId="5C2B6645" w:rsidR="00271FA2"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7.10.2018 г.</w:t>
            </w:r>
          </w:p>
        </w:tc>
      </w:tr>
      <w:tr w:rsidR="00271FA2" w:rsidRPr="00F06DE2" w14:paraId="773DC514" w14:textId="77777777" w:rsidTr="00A41A9A">
        <w:trPr>
          <w:cantSplit/>
          <w:jc w:val="center"/>
        </w:trPr>
        <w:tc>
          <w:tcPr>
            <w:tcW w:w="1325" w:type="dxa"/>
            <w:tcBorders>
              <w:top w:val="single" w:sz="4" w:space="0" w:color="auto"/>
              <w:bottom w:val="single" w:sz="4" w:space="0" w:color="auto"/>
            </w:tcBorders>
            <w:shd w:val="clear" w:color="auto" w:fill="auto"/>
          </w:tcPr>
          <w:p w14:paraId="6641EF4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7.05</w:t>
            </w:r>
          </w:p>
        </w:tc>
        <w:tc>
          <w:tcPr>
            <w:tcW w:w="1458" w:type="dxa"/>
            <w:shd w:val="clear" w:color="auto" w:fill="auto"/>
          </w:tcPr>
          <w:p w14:paraId="0A8590A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4109FA1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Навигационни светлини, техните осветители, принадлежности и светлинни източници</w:t>
            </w:r>
          </w:p>
        </w:tc>
        <w:tc>
          <w:tcPr>
            <w:tcW w:w="5387" w:type="dxa"/>
            <w:shd w:val="clear" w:color="auto" w:fill="auto"/>
          </w:tcPr>
          <w:p w14:paraId="36CBB4B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Все още могат да се използват навигационни светлини, техни осветители, принадлежности и светлинни източници, които отговарят на изискванията за цвета и интензитета на светлините на борда и за допускане на навигационни светлини за корабоплаването по река Рейн, считано от 30 ноември 2009 г.</w:t>
            </w:r>
          </w:p>
        </w:tc>
        <w:tc>
          <w:tcPr>
            <w:tcW w:w="1429" w:type="dxa"/>
            <w:gridSpan w:val="2"/>
            <w:shd w:val="clear" w:color="auto" w:fill="auto"/>
          </w:tcPr>
          <w:p w14:paraId="3FDFEBED" w14:textId="77777777" w:rsidR="00271FA2" w:rsidRPr="00F06DE2" w:rsidRDefault="00271FA2">
            <w:pPr>
              <w:spacing w:line="240" w:lineRule="atLeast"/>
              <w:jc w:val="both"/>
              <w:rPr>
                <w:rFonts w:ascii="Times New Roman" w:hAnsi="Times New Roman" w:cs="Times New Roman"/>
                <w:lang w:val="ru-RU"/>
              </w:rPr>
            </w:pPr>
          </w:p>
        </w:tc>
        <w:tc>
          <w:tcPr>
            <w:tcW w:w="1559" w:type="dxa"/>
          </w:tcPr>
          <w:p w14:paraId="0C6AC615" w14:textId="1CE08D56" w:rsidR="00271FA2"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1.12.2009 г.</w:t>
            </w:r>
          </w:p>
        </w:tc>
      </w:tr>
      <w:tr w:rsidR="00607E36" w:rsidRPr="00F06DE2" w14:paraId="75DB9838" w14:textId="77777777" w:rsidTr="00A41A9A">
        <w:trPr>
          <w:cantSplit/>
          <w:jc w:val="center"/>
        </w:trPr>
        <w:tc>
          <w:tcPr>
            <w:tcW w:w="1325" w:type="dxa"/>
            <w:vMerge w:val="restart"/>
            <w:tcBorders>
              <w:top w:val="single" w:sz="4" w:space="0" w:color="auto"/>
            </w:tcBorders>
            <w:shd w:val="clear" w:color="auto" w:fill="auto"/>
          </w:tcPr>
          <w:p w14:paraId="17BE8BFA" w14:textId="77777777" w:rsidR="00607E36" w:rsidRPr="00F06DE2" w:rsidRDefault="00607E36">
            <w:pPr>
              <w:spacing w:line="240" w:lineRule="atLeast"/>
              <w:jc w:val="both"/>
              <w:rPr>
                <w:rFonts w:ascii="Times New Roman" w:hAnsi="Times New Roman" w:cs="Times New Roman"/>
              </w:rPr>
            </w:pPr>
            <w:r w:rsidRPr="00F06DE2">
              <w:rPr>
                <w:rFonts w:ascii="Times New Roman" w:hAnsi="Times New Roman" w:cs="Times New Roman"/>
              </w:rPr>
              <w:lastRenderedPageBreak/>
              <w:t>7.06</w:t>
            </w:r>
          </w:p>
        </w:tc>
        <w:tc>
          <w:tcPr>
            <w:tcW w:w="1458" w:type="dxa"/>
            <w:vMerge w:val="restart"/>
            <w:shd w:val="clear" w:color="auto" w:fill="auto"/>
          </w:tcPr>
          <w:p w14:paraId="040CA51B" w14:textId="77777777" w:rsidR="00607E36" w:rsidRPr="00F06DE2" w:rsidRDefault="00607E36">
            <w:pPr>
              <w:spacing w:line="240" w:lineRule="atLeast"/>
              <w:jc w:val="both"/>
              <w:rPr>
                <w:rFonts w:ascii="Times New Roman" w:hAnsi="Times New Roman" w:cs="Times New Roman"/>
              </w:rPr>
            </w:pPr>
            <w:r w:rsidRPr="00F06DE2">
              <w:rPr>
                <w:rFonts w:ascii="Times New Roman" w:hAnsi="Times New Roman" w:cs="Times New Roman"/>
              </w:rPr>
              <w:t>Точка 1</w:t>
            </w:r>
          </w:p>
          <w:p w14:paraId="7426A185" w14:textId="77777777" w:rsidR="00607E36" w:rsidRPr="00F06DE2" w:rsidRDefault="00607E36">
            <w:pPr>
              <w:spacing w:line="240" w:lineRule="atLeast"/>
              <w:jc w:val="both"/>
              <w:rPr>
                <w:rFonts w:ascii="Times New Roman" w:hAnsi="Times New Roman" w:cs="Times New Roman"/>
              </w:rPr>
            </w:pPr>
          </w:p>
        </w:tc>
        <w:tc>
          <w:tcPr>
            <w:tcW w:w="3296" w:type="dxa"/>
            <w:shd w:val="clear" w:color="auto" w:fill="auto"/>
          </w:tcPr>
          <w:p w14:paraId="090F6BAC" w14:textId="1869EB39"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Индикатори на ъгловата скоростна завиване, одобрени преди 1 януари 1990 г.</w:t>
            </w:r>
          </w:p>
        </w:tc>
        <w:tc>
          <w:tcPr>
            <w:tcW w:w="5387" w:type="dxa"/>
            <w:shd w:val="clear" w:color="auto" w:fill="auto"/>
          </w:tcPr>
          <w:p w14:paraId="2FA25ECE" w14:textId="32719850"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Индикаторите на ъгловата скоростна завиване, одобрени преди 1 януари 1990 г. и инсталирани преди 1 януари 2000 г., могат да бъдат запазени и да се използват до подновяване на Корабното удостоверение за вътрешно корабоплаване след 1 януари 2015 г., ако е налице валидно удостоверение за монтаж в съответствие с Директива 2006/87/ЕО или с Резолюция 1989-</w:t>
            </w:r>
            <w:r w:rsidRPr="00F06DE2">
              <w:rPr>
                <w:rFonts w:ascii="Times New Roman" w:hAnsi="Times New Roman" w:cs="Times New Roman"/>
              </w:rPr>
              <w:t>II</w:t>
            </w:r>
            <w:r w:rsidRPr="00F06DE2">
              <w:rPr>
                <w:rFonts w:ascii="Times New Roman" w:hAnsi="Times New Roman" w:cs="Times New Roman"/>
                <w:lang w:val="ru-RU"/>
              </w:rPr>
              <w:t>-35 на ЦККР.</w:t>
            </w:r>
          </w:p>
        </w:tc>
        <w:tc>
          <w:tcPr>
            <w:tcW w:w="1429" w:type="dxa"/>
            <w:gridSpan w:val="2"/>
            <w:shd w:val="clear" w:color="auto" w:fill="auto"/>
          </w:tcPr>
          <w:p w14:paraId="031BDCF5" w14:textId="77777777" w:rsidR="00607E36" w:rsidRPr="00F06DE2" w:rsidRDefault="00607E36">
            <w:pPr>
              <w:spacing w:line="240" w:lineRule="atLeast"/>
              <w:jc w:val="both"/>
              <w:rPr>
                <w:rFonts w:ascii="Times New Roman" w:hAnsi="Times New Roman" w:cs="Times New Roman"/>
                <w:lang w:val="ru-RU"/>
              </w:rPr>
            </w:pPr>
          </w:p>
        </w:tc>
        <w:tc>
          <w:tcPr>
            <w:tcW w:w="1559" w:type="dxa"/>
          </w:tcPr>
          <w:p w14:paraId="5EF8477E" w14:textId="181A73C8" w:rsidR="00607E36"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1.12.2009 г</w:t>
            </w:r>
          </w:p>
        </w:tc>
      </w:tr>
      <w:tr w:rsidR="00607E36" w:rsidRPr="00F06DE2" w14:paraId="3842D7B5" w14:textId="77777777" w:rsidTr="00A41A9A">
        <w:trPr>
          <w:cantSplit/>
          <w:jc w:val="center"/>
        </w:trPr>
        <w:tc>
          <w:tcPr>
            <w:tcW w:w="1325" w:type="dxa"/>
            <w:vMerge/>
            <w:tcBorders>
              <w:bottom w:val="single" w:sz="4" w:space="0" w:color="auto"/>
            </w:tcBorders>
            <w:shd w:val="clear" w:color="auto" w:fill="auto"/>
          </w:tcPr>
          <w:p w14:paraId="046B9F53" w14:textId="77777777" w:rsidR="00607E36" w:rsidRPr="00F06DE2" w:rsidRDefault="00607E36">
            <w:pPr>
              <w:spacing w:line="240" w:lineRule="atLeast"/>
              <w:jc w:val="both"/>
              <w:rPr>
                <w:rFonts w:ascii="Times New Roman" w:hAnsi="Times New Roman" w:cs="Times New Roman"/>
              </w:rPr>
            </w:pPr>
          </w:p>
        </w:tc>
        <w:tc>
          <w:tcPr>
            <w:tcW w:w="1458" w:type="dxa"/>
            <w:vMerge/>
            <w:shd w:val="clear" w:color="auto" w:fill="auto"/>
          </w:tcPr>
          <w:p w14:paraId="2FCBD3BF" w14:textId="77777777" w:rsidR="00607E36" w:rsidRPr="00F06DE2" w:rsidRDefault="00607E36">
            <w:pPr>
              <w:spacing w:line="240" w:lineRule="atLeast"/>
              <w:jc w:val="both"/>
              <w:rPr>
                <w:rFonts w:ascii="Times New Roman" w:hAnsi="Times New Roman" w:cs="Times New Roman"/>
              </w:rPr>
            </w:pPr>
          </w:p>
        </w:tc>
        <w:tc>
          <w:tcPr>
            <w:tcW w:w="3296" w:type="dxa"/>
            <w:shd w:val="clear" w:color="auto" w:fill="auto"/>
          </w:tcPr>
          <w:p w14:paraId="398720C0" w14:textId="77777777"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Радарни навигационни инсталации и индикатори за скоростта на завиване, които са получили одобрение след 1 януари 1990 г.</w:t>
            </w:r>
          </w:p>
        </w:tc>
        <w:tc>
          <w:tcPr>
            <w:tcW w:w="5387" w:type="dxa"/>
            <w:shd w:val="clear" w:color="auto" w:fill="auto"/>
          </w:tcPr>
          <w:p w14:paraId="100041D7" w14:textId="77777777"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Радарни навигационни инсталации и индикатори за скоростта на завиване, които са получили одобрение на или след 1 януари 1990 г. в съответствие с минималните изисквания и условия за изпитване на радарни инсталации, използвани за навигация по река Рейн, както и минималните изисквания и условия за изпитване за индикаторите за скоростта на завой, използвани за навигация по река Рейн, могат да продължат да бъдат инсталирани, след което да се използват, ако има валидно удостоверение за монтаж в съответствие с този стандарт, Директива 2006/87/ЕО</w:t>
            </w:r>
            <w:r w:rsidRPr="00F06DE2">
              <w:rPr>
                <w:rStyle w:val="FootnoteReference"/>
                <w:rFonts w:ascii="Times New Roman" w:hAnsi="Times New Roman" w:cs="Times New Roman"/>
              </w:rPr>
              <w:footnoteReference w:id="29"/>
            </w:r>
            <w:r w:rsidRPr="00F06DE2">
              <w:rPr>
                <w:rFonts w:ascii="Times New Roman" w:hAnsi="Times New Roman" w:cs="Times New Roman"/>
                <w:lang w:val="ru-RU"/>
              </w:rPr>
              <w:t xml:space="preserve"> или Резолюция 1989-</w:t>
            </w:r>
            <w:r w:rsidRPr="00F06DE2">
              <w:rPr>
                <w:rFonts w:ascii="Times New Roman" w:hAnsi="Times New Roman" w:cs="Times New Roman"/>
              </w:rPr>
              <w:t>II</w:t>
            </w:r>
            <w:r w:rsidRPr="00F06DE2">
              <w:rPr>
                <w:rFonts w:ascii="Times New Roman" w:hAnsi="Times New Roman" w:cs="Times New Roman"/>
                <w:lang w:val="ru-RU"/>
              </w:rPr>
              <w:t>-35 на ЦЦКР.</w:t>
            </w:r>
          </w:p>
        </w:tc>
        <w:tc>
          <w:tcPr>
            <w:tcW w:w="1429" w:type="dxa"/>
            <w:gridSpan w:val="2"/>
            <w:shd w:val="clear" w:color="auto" w:fill="auto"/>
          </w:tcPr>
          <w:p w14:paraId="74EA91A5" w14:textId="77777777" w:rsidR="00607E36" w:rsidRPr="00F06DE2" w:rsidRDefault="00607E36">
            <w:pPr>
              <w:spacing w:line="240" w:lineRule="atLeast"/>
              <w:jc w:val="both"/>
              <w:rPr>
                <w:rFonts w:ascii="Times New Roman" w:hAnsi="Times New Roman" w:cs="Times New Roman"/>
                <w:lang w:val="ru-RU"/>
              </w:rPr>
            </w:pPr>
          </w:p>
        </w:tc>
        <w:tc>
          <w:tcPr>
            <w:tcW w:w="1559" w:type="dxa"/>
          </w:tcPr>
          <w:p w14:paraId="65E25E26" w14:textId="62D14789" w:rsidR="00607E36"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1.12.2009 г.</w:t>
            </w:r>
          </w:p>
        </w:tc>
      </w:tr>
      <w:tr w:rsidR="00607E36" w:rsidRPr="00F06DE2" w14:paraId="4576A73F" w14:textId="77777777" w:rsidTr="00A41A9A">
        <w:trPr>
          <w:cantSplit/>
          <w:jc w:val="center"/>
        </w:trPr>
        <w:tc>
          <w:tcPr>
            <w:tcW w:w="1325" w:type="dxa"/>
            <w:vMerge w:val="restart"/>
            <w:tcBorders>
              <w:top w:val="single" w:sz="4" w:space="0" w:color="auto"/>
            </w:tcBorders>
            <w:shd w:val="clear" w:color="auto" w:fill="auto"/>
          </w:tcPr>
          <w:p w14:paraId="775A16EA" w14:textId="77777777" w:rsidR="00607E36" w:rsidRPr="00F06DE2" w:rsidRDefault="00607E36">
            <w:pPr>
              <w:spacing w:line="240" w:lineRule="atLeast"/>
              <w:rPr>
                <w:rFonts w:ascii="Times New Roman" w:hAnsi="Times New Roman" w:cs="Times New Roman"/>
              </w:rPr>
            </w:pPr>
          </w:p>
        </w:tc>
        <w:tc>
          <w:tcPr>
            <w:tcW w:w="1458" w:type="dxa"/>
            <w:vMerge w:val="restart"/>
            <w:shd w:val="clear" w:color="auto" w:fill="auto"/>
          </w:tcPr>
          <w:p w14:paraId="562DF8E1" w14:textId="77777777" w:rsidR="00607E36" w:rsidRPr="00F06DE2" w:rsidRDefault="00607E36">
            <w:pPr>
              <w:spacing w:line="240" w:lineRule="atLeast"/>
              <w:jc w:val="both"/>
              <w:rPr>
                <w:rFonts w:ascii="Times New Roman" w:hAnsi="Times New Roman" w:cs="Times New Roman"/>
              </w:rPr>
            </w:pPr>
          </w:p>
        </w:tc>
        <w:tc>
          <w:tcPr>
            <w:tcW w:w="3296" w:type="dxa"/>
            <w:shd w:val="clear" w:color="auto" w:fill="auto"/>
          </w:tcPr>
          <w:p w14:paraId="3CB1C2E7" w14:textId="77777777"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Радарни навигационни инсталации и индикатори за скоростта на завой, които са получили одобрение след 31 декември 2006 г.</w:t>
            </w:r>
          </w:p>
        </w:tc>
        <w:tc>
          <w:tcPr>
            <w:tcW w:w="5387" w:type="dxa"/>
            <w:shd w:val="clear" w:color="auto" w:fill="auto"/>
          </w:tcPr>
          <w:p w14:paraId="0A8EF8BB" w14:textId="77777777"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Инсталации за радарна навигация и индикатори за скоростта на завиване, които са получили одобрение на или след 31 декември 2006 г., в съответствие с минималните изисквания и условия за изпитване на Директива 2006/87/ЕО, могат да продължат да бъдат инсталирани, след което да бъдат използвани, ако има валидно удостоверение за монтаж съгласно този стандарт или Директива 2006/87/ЕО.</w:t>
            </w:r>
          </w:p>
        </w:tc>
        <w:tc>
          <w:tcPr>
            <w:tcW w:w="1429" w:type="dxa"/>
            <w:gridSpan w:val="2"/>
            <w:shd w:val="clear" w:color="auto" w:fill="auto"/>
          </w:tcPr>
          <w:p w14:paraId="29E8C51F" w14:textId="77777777" w:rsidR="00607E36" w:rsidRPr="00F06DE2" w:rsidRDefault="00607E36">
            <w:pPr>
              <w:spacing w:line="240" w:lineRule="atLeast"/>
              <w:jc w:val="both"/>
              <w:rPr>
                <w:rFonts w:ascii="Times New Roman" w:hAnsi="Times New Roman" w:cs="Times New Roman"/>
                <w:lang w:val="ru-RU"/>
              </w:rPr>
            </w:pPr>
          </w:p>
        </w:tc>
        <w:tc>
          <w:tcPr>
            <w:tcW w:w="1559" w:type="dxa"/>
          </w:tcPr>
          <w:p w14:paraId="61DF1006" w14:textId="75903DBA" w:rsidR="00607E36"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6184168D" w14:textId="77777777" w:rsidTr="00A41A9A">
        <w:trPr>
          <w:cantSplit/>
          <w:jc w:val="center"/>
        </w:trPr>
        <w:tc>
          <w:tcPr>
            <w:tcW w:w="1325" w:type="dxa"/>
            <w:vMerge/>
            <w:shd w:val="clear" w:color="auto" w:fill="auto"/>
          </w:tcPr>
          <w:p w14:paraId="73FAF965" w14:textId="77777777" w:rsidR="00607E36" w:rsidRPr="00F06DE2" w:rsidRDefault="00607E36">
            <w:pPr>
              <w:spacing w:line="240" w:lineRule="atLeast"/>
              <w:rPr>
                <w:rFonts w:ascii="Times New Roman" w:hAnsi="Times New Roman" w:cs="Times New Roman"/>
              </w:rPr>
            </w:pPr>
          </w:p>
        </w:tc>
        <w:tc>
          <w:tcPr>
            <w:tcW w:w="1458" w:type="dxa"/>
            <w:vMerge/>
            <w:shd w:val="clear" w:color="auto" w:fill="auto"/>
          </w:tcPr>
          <w:p w14:paraId="7E3E8BE7" w14:textId="77777777" w:rsidR="00607E36" w:rsidRPr="00F06DE2" w:rsidRDefault="00607E36">
            <w:pPr>
              <w:spacing w:line="240" w:lineRule="atLeast"/>
              <w:jc w:val="both"/>
              <w:rPr>
                <w:rFonts w:ascii="Times New Roman" w:hAnsi="Times New Roman" w:cs="Times New Roman"/>
              </w:rPr>
            </w:pPr>
          </w:p>
        </w:tc>
        <w:tc>
          <w:tcPr>
            <w:tcW w:w="3296" w:type="dxa"/>
            <w:shd w:val="clear" w:color="auto" w:fill="auto"/>
          </w:tcPr>
          <w:p w14:paraId="408A12A1" w14:textId="77777777"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Радарни навигационни инсталации и индикатори за скорост на завиване, които са получили одобрение след 1 декември 2009 г.</w:t>
            </w:r>
          </w:p>
        </w:tc>
        <w:tc>
          <w:tcPr>
            <w:tcW w:w="5387" w:type="dxa"/>
            <w:shd w:val="clear" w:color="auto" w:fill="auto"/>
          </w:tcPr>
          <w:p w14:paraId="0BF9921E" w14:textId="77777777"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Радарни навигационни инсталации и индикатори за скоростта на завиване, които са получили одобрение на или след 1 декември 2009 г., в съответствие с минималните изисквания и условията за изпитване съгласно Резолюция 2008-</w:t>
            </w:r>
            <w:r w:rsidRPr="00F06DE2">
              <w:rPr>
                <w:rFonts w:ascii="Times New Roman" w:hAnsi="Times New Roman" w:cs="Times New Roman"/>
              </w:rPr>
              <w:t>II</w:t>
            </w:r>
            <w:r w:rsidRPr="00F06DE2">
              <w:rPr>
                <w:rFonts w:ascii="Times New Roman" w:hAnsi="Times New Roman" w:cs="Times New Roman"/>
                <w:lang w:val="ru-RU"/>
              </w:rPr>
              <w:t>-11 на ЦЦКР може да продължат да се инсталират, след което да се използват, ако има валидно удостоверение за монтаж съгласно този стандарт или Резолюция 2008-</w:t>
            </w:r>
            <w:r w:rsidRPr="00F06DE2">
              <w:rPr>
                <w:rFonts w:ascii="Times New Roman" w:hAnsi="Times New Roman" w:cs="Times New Roman"/>
              </w:rPr>
              <w:t>II</w:t>
            </w:r>
            <w:r w:rsidRPr="00F06DE2">
              <w:rPr>
                <w:rFonts w:ascii="Times New Roman" w:hAnsi="Times New Roman" w:cs="Times New Roman"/>
                <w:lang w:val="ru-RU"/>
              </w:rPr>
              <w:t>-11 на ЦЦКР.</w:t>
            </w:r>
          </w:p>
        </w:tc>
        <w:tc>
          <w:tcPr>
            <w:tcW w:w="1429" w:type="dxa"/>
            <w:gridSpan w:val="2"/>
            <w:shd w:val="clear" w:color="auto" w:fill="auto"/>
          </w:tcPr>
          <w:p w14:paraId="00674465" w14:textId="77777777" w:rsidR="00607E36" w:rsidRPr="00F06DE2" w:rsidRDefault="00607E36">
            <w:pPr>
              <w:spacing w:line="240" w:lineRule="atLeast"/>
              <w:jc w:val="both"/>
              <w:rPr>
                <w:rFonts w:ascii="Times New Roman" w:hAnsi="Times New Roman" w:cs="Times New Roman"/>
                <w:lang w:val="ru-RU"/>
              </w:rPr>
            </w:pPr>
          </w:p>
        </w:tc>
        <w:tc>
          <w:tcPr>
            <w:tcW w:w="1559" w:type="dxa"/>
          </w:tcPr>
          <w:p w14:paraId="14B792B6" w14:textId="1EF3CD7B" w:rsidR="00607E36"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54580E09" w14:textId="77777777" w:rsidTr="00A41A9A">
        <w:trPr>
          <w:cantSplit/>
          <w:jc w:val="center"/>
        </w:trPr>
        <w:tc>
          <w:tcPr>
            <w:tcW w:w="1325" w:type="dxa"/>
            <w:vMerge/>
            <w:shd w:val="clear" w:color="auto" w:fill="auto"/>
          </w:tcPr>
          <w:p w14:paraId="2361FD8A" w14:textId="77777777" w:rsidR="00607E36" w:rsidRPr="00F06DE2" w:rsidRDefault="00607E36">
            <w:pPr>
              <w:spacing w:line="240" w:lineRule="atLeast"/>
              <w:rPr>
                <w:rFonts w:ascii="Times New Roman" w:hAnsi="Times New Roman" w:cs="Times New Roman"/>
              </w:rPr>
            </w:pPr>
          </w:p>
        </w:tc>
        <w:tc>
          <w:tcPr>
            <w:tcW w:w="1458" w:type="dxa"/>
            <w:vMerge/>
            <w:shd w:val="clear" w:color="auto" w:fill="auto"/>
          </w:tcPr>
          <w:p w14:paraId="01486CC8" w14:textId="77777777" w:rsidR="00607E36" w:rsidRPr="00F06DE2" w:rsidRDefault="00607E36">
            <w:pPr>
              <w:spacing w:line="240" w:lineRule="atLeast"/>
              <w:jc w:val="both"/>
              <w:rPr>
                <w:rFonts w:ascii="Times New Roman" w:hAnsi="Times New Roman" w:cs="Times New Roman"/>
              </w:rPr>
            </w:pPr>
          </w:p>
        </w:tc>
        <w:tc>
          <w:tcPr>
            <w:tcW w:w="3296" w:type="dxa"/>
            <w:shd w:val="clear" w:color="auto" w:fill="auto"/>
          </w:tcPr>
          <w:p w14:paraId="5281D95F" w14:textId="77777777"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Навигационни радарни инсталации, които са получили одобрение въз основа на Европейски стандарт 302 194-1:2006.</w:t>
            </w:r>
          </w:p>
        </w:tc>
        <w:tc>
          <w:tcPr>
            <w:tcW w:w="5387" w:type="dxa"/>
            <w:shd w:val="clear" w:color="auto" w:fill="auto"/>
          </w:tcPr>
          <w:p w14:paraId="5A7CEB80" w14:textId="77777777" w:rsidR="00607E36" w:rsidRPr="00F06DE2" w:rsidRDefault="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Навигационни радарни инсталации, които са получили одобрение въз основа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302 194-1:2006 преди 31 декември 2023 г., могат да продължат да бъдат инсталирани, след което да се използват, ако има валидно удостоверение за монтаж съгласно този стандарт</w:t>
            </w:r>
          </w:p>
        </w:tc>
        <w:tc>
          <w:tcPr>
            <w:tcW w:w="1429" w:type="dxa"/>
            <w:gridSpan w:val="2"/>
            <w:shd w:val="clear" w:color="auto" w:fill="auto"/>
          </w:tcPr>
          <w:p w14:paraId="05637894" w14:textId="77777777" w:rsidR="00607E36" w:rsidRPr="00F06DE2" w:rsidRDefault="00607E36">
            <w:pPr>
              <w:spacing w:line="240" w:lineRule="atLeast"/>
              <w:jc w:val="both"/>
              <w:rPr>
                <w:rFonts w:ascii="Times New Roman" w:hAnsi="Times New Roman" w:cs="Times New Roman"/>
                <w:lang w:val="ru-RU"/>
              </w:rPr>
            </w:pPr>
          </w:p>
        </w:tc>
        <w:tc>
          <w:tcPr>
            <w:tcW w:w="1559" w:type="dxa"/>
          </w:tcPr>
          <w:p w14:paraId="54156888" w14:textId="366F114B" w:rsidR="00607E36"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w:t>
            </w:r>
            <w:r w:rsidRPr="00F06DE2">
              <w:rPr>
                <w:rFonts w:ascii="Times New Roman" w:hAnsi="Times New Roman" w:cs="Times New Roman"/>
              </w:rPr>
              <w:t>0</w:t>
            </w:r>
            <w:r w:rsidR="00607E36" w:rsidRPr="00F06DE2">
              <w:rPr>
                <w:rFonts w:ascii="Times New Roman" w:hAnsi="Times New Roman" w:cs="Times New Roman"/>
              </w:rPr>
              <w:t>1.2024 г.</w:t>
            </w:r>
          </w:p>
        </w:tc>
      </w:tr>
      <w:tr w:rsidR="00607E36" w:rsidRPr="00F06DE2" w14:paraId="5D7A2780" w14:textId="77777777" w:rsidTr="00A41A9A">
        <w:trPr>
          <w:cantSplit/>
          <w:jc w:val="center"/>
        </w:trPr>
        <w:tc>
          <w:tcPr>
            <w:tcW w:w="1325" w:type="dxa"/>
            <w:vMerge/>
            <w:shd w:val="clear" w:color="auto" w:fill="auto"/>
          </w:tcPr>
          <w:p w14:paraId="511F46EF" w14:textId="5E40567E" w:rsidR="00607E36" w:rsidRPr="00F06DE2" w:rsidRDefault="00607E36" w:rsidP="00607E36">
            <w:pPr>
              <w:spacing w:line="240" w:lineRule="atLeast"/>
              <w:rPr>
                <w:rFonts w:ascii="Times New Roman" w:hAnsi="Times New Roman" w:cs="Times New Roman"/>
              </w:rPr>
            </w:pPr>
          </w:p>
        </w:tc>
        <w:tc>
          <w:tcPr>
            <w:tcW w:w="1458" w:type="dxa"/>
            <w:vMerge w:val="restart"/>
            <w:shd w:val="clear" w:color="auto" w:fill="auto"/>
          </w:tcPr>
          <w:p w14:paraId="37F12C9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vMerge w:val="restart"/>
            <w:shd w:val="clear" w:color="auto" w:fill="auto"/>
          </w:tcPr>
          <w:p w14:paraId="3A48A10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вътрешно корабоплаване работещо в навигационен режим</w:t>
            </w:r>
          </w:p>
        </w:tc>
        <w:tc>
          <w:tcPr>
            <w:tcW w:w="5387" w:type="dxa"/>
            <w:shd w:val="clear" w:color="auto" w:fill="auto"/>
          </w:tcPr>
          <w:p w14:paraId="0F567345" w14:textId="008EA858"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вътрешно корабоплаване с типово одобрение съгласно издание 2.4 (или предишни), на стандарта за вътрешна </w:t>
            </w:r>
            <w:r w:rsidRPr="00F06DE2">
              <w:rPr>
                <w:rFonts w:ascii="Times New Roman" w:hAnsi="Times New Roman" w:cs="Times New Roman"/>
              </w:rPr>
              <w:t>ECDIS</w:t>
            </w:r>
            <w:r w:rsidRPr="00F06DE2">
              <w:rPr>
                <w:rFonts w:ascii="Times New Roman" w:hAnsi="Times New Roman" w:cs="Times New Roman"/>
                <w:lang w:val="ru-RU"/>
              </w:rPr>
              <w:t xml:space="preserve">,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2021/1 или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2023/1, и инсталирано преди 1 януари 2026 г.2 може да продължи да се използва.</w:t>
            </w:r>
          </w:p>
        </w:tc>
        <w:tc>
          <w:tcPr>
            <w:tcW w:w="1429" w:type="dxa"/>
            <w:gridSpan w:val="2"/>
            <w:shd w:val="clear" w:color="auto" w:fill="auto"/>
          </w:tcPr>
          <w:p w14:paraId="0290DCDC"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Pr>
          <w:p w14:paraId="0A759FA5" w14:textId="18099A86" w:rsidR="00607E36"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.2026 г.</w:t>
            </w:r>
          </w:p>
        </w:tc>
      </w:tr>
      <w:tr w:rsidR="00607E36" w:rsidRPr="00F06DE2" w14:paraId="7D7747A4" w14:textId="77777777" w:rsidTr="00A41A9A">
        <w:trPr>
          <w:cantSplit/>
          <w:jc w:val="center"/>
        </w:trPr>
        <w:tc>
          <w:tcPr>
            <w:tcW w:w="1325" w:type="dxa"/>
            <w:vMerge/>
            <w:shd w:val="clear" w:color="auto" w:fill="auto"/>
          </w:tcPr>
          <w:p w14:paraId="324A50ED" w14:textId="77777777" w:rsidR="00607E36" w:rsidRPr="00F06DE2" w:rsidRDefault="00607E36" w:rsidP="00607E36">
            <w:pPr>
              <w:spacing w:line="240" w:lineRule="atLeast"/>
              <w:rPr>
                <w:rFonts w:ascii="Times New Roman" w:hAnsi="Times New Roman" w:cs="Times New Roman"/>
              </w:rPr>
            </w:pPr>
          </w:p>
        </w:tc>
        <w:tc>
          <w:tcPr>
            <w:tcW w:w="1458" w:type="dxa"/>
            <w:vMerge/>
            <w:shd w:val="clear" w:color="auto" w:fill="auto"/>
          </w:tcPr>
          <w:p w14:paraId="680F732E" w14:textId="77777777" w:rsidR="00607E36" w:rsidRPr="00F06DE2" w:rsidRDefault="00607E36" w:rsidP="00607E36">
            <w:pPr>
              <w:spacing w:line="240" w:lineRule="atLeast"/>
              <w:rPr>
                <w:rFonts w:ascii="Times New Roman" w:hAnsi="Times New Roman" w:cs="Times New Roman"/>
              </w:rPr>
            </w:pPr>
          </w:p>
        </w:tc>
        <w:tc>
          <w:tcPr>
            <w:tcW w:w="3296" w:type="dxa"/>
            <w:vMerge/>
            <w:shd w:val="clear" w:color="auto" w:fill="auto"/>
          </w:tcPr>
          <w:p w14:paraId="33C298CF" w14:textId="77777777" w:rsidR="00607E36" w:rsidRPr="00F06DE2" w:rsidRDefault="00607E36" w:rsidP="00607E36">
            <w:pPr>
              <w:spacing w:line="240" w:lineRule="atLeast"/>
              <w:rPr>
                <w:rFonts w:ascii="Times New Roman" w:hAnsi="Times New Roman" w:cs="Times New Roman"/>
              </w:rPr>
            </w:pPr>
          </w:p>
        </w:tc>
        <w:tc>
          <w:tcPr>
            <w:tcW w:w="5387" w:type="dxa"/>
            <w:shd w:val="clear" w:color="auto" w:fill="auto"/>
          </w:tcPr>
          <w:p w14:paraId="4B6D02A8" w14:textId="493A06B3" w:rsidR="00607E36" w:rsidRPr="00F06DE2" w:rsidRDefault="00607E36" w:rsidP="00607E36">
            <w:pPr>
              <w:spacing w:line="240" w:lineRule="atLeast"/>
              <w:jc w:val="both"/>
              <w:rPr>
                <w:rFonts w:ascii="Times New Roman" w:hAnsi="Times New Roman" w:cs="Times New Roman"/>
                <w:strike/>
              </w:rPr>
            </w:pPr>
          </w:p>
        </w:tc>
        <w:tc>
          <w:tcPr>
            <w:tcW w:w="1429" w:type="dxa"/>
            <w:gridSpan w:val="2"/>
            <w:shd w:val="clear" w:color="auto" w:fill="auto"/>
          </w:tcPr>
          <w:p w14:paraId="300BCF7C" w14:textId="77777777" w:rsidR="00607E36" w:rsidRPr="00F06DE2" w:rsidRDefault="00607E36" w:rsidP="00607E36">
            <w:pPr>
              <w:spacing w:line="240" w:lineRule="atLeast"/>
              <w:jc w:val="both"/>
              <w:rPr>
                <w:rFonts w:ascii="Times New Roman" w:hAnsi="Times New Roman" w:cs="Times New Roman"/>
              </w:rPr>
            </w:pPr>
          </w:p>
        </w:tc>
        <w:tc>
          <w:tcPr>
            <w:tcW w:w="1559" w:type="dxa"/>
          </w:tcPr>
          <w:p w14:paraId="50238377" w14:textId="28B24421" w:rsidR="00607E36" w:rsidRPr="00F06DE2" w:rsidRDefault="00607E36" w:rsidP="00607E36">
            <w:pPr>
              <w:spacing w:line="240" w:lineRule="atLeast"/>
              <w:jc w:val="both"/>
              <w:rPr>
                <w:rFonts w:ascii="Times New Roman" w:hAnsi="Times New Roman" w:cs="Times New Roman"/>
                <w:strike/>
              </w:rPr>
            </w:pPr>
          </w:p>
        </w:tc>
      </w:tr>
      <w:tr w:rsidR="00607E36" w:rsidRPr="00F06DE2" w14:paraId="4F07F8A3" w14:textId="77777777" w:rsidTr="00A41A9A">
        <w:trPr>
          <w:cantSplit/>
          <w:jc w:val="center"/>
        </w:trPr>
        <w:tc>
          <w:tcPr>
            <w:tcW w:w="1325" w:type="dxa"/>
            <w:vMerge/>
            <w:shd w:val="clear" w:color="auto" w:fill="auto"/>
          </w:tcPr>
          <w:p w14:paraId="64044F7E" w14:textId="77777777" w:rsidR="00607E36" w:rsidRPr="00F06DE2" w:rsidRDefault="00607E36" w:rsidP="00607E36">
            <w:pPr>
              <w:spacing w:line="240" w:lineRule="atLeast"/>
              <w:rPr>
                <w:rFonts w:ascii="Times New Roman" w:hAnsi="Times New Roman" w:cs="Times New Roman"/>
              </w:rPr>
            </w:pPr>
          </w:p>
        </w:tc>
        <w:tc>
          <w:tcPr>
            <w:tcW w:w="1458" w:type="dxa"/>
            <w:vMerge/>
            <w:shd w:val="clear" w:color="auto" w:fill="auto"/>
          </w:tcPr>
          <w:p w14:paraId="146A8ACA" w14:textId="77777777" w:rsidR="00607E36" w:rsidRPr="00F06DE2" w:rsidRDefault="00607E36" w:rsidP="00607E36">
            <w:pPr>
              <w:spacing w:line="240" w:lineRule="atLeast"/>
              <w:rPr>
                <w:rFonts w:ascii="Times New Roman" w:hAnsi="Times New Roman" w:cs="Times New Roman"/>
              </w:rPr>
            </w:pPr>
          </w:p>
        </w:tc>
        <w:tc>
          <w:tcPr>
            <w:tcW w:w="3296" w:type="dxa"/>
            <w:vMerge/>
            <w:shd w:val="clear" w:color="auto" w:fill="auto"/>
          </w:tcPr>
          <w:p w14:paraId="565B1E14" w14:textId="77777777" w:rsidR="00607E36" w:rsidRPr="00F06DE2" w:rsidRDefault="00607E36" w:rsidP="00607E36">
            <w:pPr>
              <w:spacing w:line="240" w:lineRule="atLeast"/>
              <w:rPr>
                <w:rFonts w:ascii="Times New Roman" w:hAnsi="Times New Roman" w:cs="Times New Roman"/>
              </w:rPr>
            </w:pPr>
          </w:p>
        </w:tc>
        <w:tc>
          <w:tcPr>
            <w:tcW w:w="5387" w:type="dxa"/>
            <w:shd w:val="clear" w:color="auto" w:fill="auto"/>
          </w:tcPr>
          <w:p w14:paraId="009DD609" w14:textId="5BAC965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Оборудване за </w:t>
            </w:r>
            <w:r w:rsidRPr="00F06DE2">
              <w:rPr>
                <w:rFonts w:ascii="Times New Roman" w:hAnsi="Times New Roman" w:cs="Times New Roman"/>
              </w:rPr>
              <w:t>ECDIS</w:t>
            </w:r>
            <w:r w:rsidRPr="00F06DE2">
              <w:rPr>
                <w:rFonts w:ascii="Times New Roman" w:hAnsi="Times New Roman" w:cs="Times New Roman"/>
                <w:lang w:val="ru-RU"/>
              </w:rPr>
              <w:t xml:space="preserve"> за вътрешните водни пътища с типово одобрение съгласно издание 2.4 (или предишни) на стандарта за </w:t>
            </w:r>
            <w:r w:rsidRPr="00F06DE2">
              <w:rPr>
                <w:rFonts w:ascii="Times New Roman" w:hAnsi="Times New Roman" w:cs="Times New Roman"/>
              </w:rPr>
              <w:t>ECDIS</w:t>
            </w:r>
            <w:r w:rsidRPr="00F06DE2">
              <w:rPr>
                <w:rFonts w:ascii="Times New Roman" w:hAnsi="Times New Roman" w:cs="Times New Roman"/>
                <w:lang w:val="ru-RU"/>
              </w:rPr>
              <w:t xml:space="preserve"> за вътрешните водни пътища,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2021/1 или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2023/1, може да продължи да се инсталира и след това да се използва, когато в оборудването е внедрено текущото издание на библиотеката с презентации и каталогът с характеристики, както се изисква от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(части </w:t>
            </w:r>
            <w:r w:rsidRPr="00F06DE2">
              <w:rPr>
                <w:rFonts w:ascii="Times New Roman" w:hAnsi="Times New Roman" w:cs="Times New Roman"/>
              </w:rPr>
              <w:t>I</w:t>
            </w:r>
            <w:r w:rsidRPr="00F06DE2">
              <w:rPr>
                <w:rFonts w:ascii="Times New Roman" w:hAnsi="Times New Roman" w:cs="Times New Roman"/>
                <w:lang w:val="ru-RU"/>
              </w:rPr>
              <w:t xml:space="preserve"> и </w:t>
            </w:r>
            <w:r w:rsidRPr="00F06DE2">
              <w:rPr>
                <w:rFonts w:ascii="Times New Roman" w:hAnsi="Times New Roman" w:cs="Times New Roman"/>
              </w:rPr>
              <w:t>V</w:t>
            </w:r>
            <w:r w:rsidRPr="00F06DE2">
              <w:rPr>
                <w:rFonts w:ascii="Times New Roman" w:hAnsi="Times New Roman" w:cs="Times New Roman"/>
                <w:lang w:val="ru-RU"/>
              </w:rPr>
              <w:t>).</w:t>
            </w:r>
          </w:p>
        </w:tc>
        <w:tc>
          <w:tcPr>
            <w:tcW w:w="1429" w:type="dxa"/>
            <w:gridSpan w:val="2"/>
            <w:shd w:val="clear" w:color="auto" w:fill="auto"/>
          </w:tcPr>
          <w:p w14:paraId="4228D8E8"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Pr>
          <w:p w14:paraId="34161A9E" w14:textId="073AE4EC" w:rsidR="00607E36"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.2026 г.</w:t>
            </w:r>
          </w:p>
        </w:tc>
      </w:tr>
      <w:tr w:rsidR="00607E36" w:rsidRPr="00F06DE2" w14:paraId="607132AC" w14:textId="77777777" w:rsidTr="00A41A9A">
        <w:trPr>
          <w:cantSplit/>
          <w:jc w:val="center"/>
        </w:trPr>
        <w:tc>
          <w:tcPr>
            <w:tcW w:w="1325" w:type="dxa"/>
            <w:vMerge/>
            <w:tcBorders>
              <w:bottom w:val="nil"/>
            </w:tcBorders>
            <w:shd w:val="clear" w:color="auto" w:fill="auto"/>
          </w:tcPr>
          <w:p w14:paraId="7FDA6BDD" w14:textId="77777777" w:rsidR="00607E36" w:rsidRPr="00F06DE2" w:rsidRDefault="00607E36" w:rsidP="00607E36">
            <w:pPr>
              <w:spacing w:line="240" w:lineRule="atLeast"/>
              <w:rPr>
                <w:rFonts w:ascii="Times New Roman" w:hAnsi="Times New Roman" w:cs="Times New Roman"/>
              </w:rPr>
            </w:pPr>
          </w:p>
        </w:tc>
        <w:tc>
          <w:tcPr>
            <w:tcW w:w="1458" w:type="dxa"/>
            <w:vMerge/>
            <w:shd w:val="clear" w:color="auto" w:fill="auto"/>
          </w:tcPr>
          <w:p w14:paraId="7968F7A4" w14:textId="77777777" w:rsidR="00607E36" w:rsidRPr="00F06DE2" w:rsidRDefault="00607E36" w:rsidP="00607E36">
            <w:pPr>
              <w:spacing w:line="240" w:lineRule="atLeast"/>
              <w:rPr>
                <w:rFonts w:ascii="Times New Roman" w:hAnsi="Times New Roman" w:cs="Times New Roman"/>
              </w:rPr>
            </w:pPr>
          </w:p>
        </w:tc>
        <w:tc>
          <w:tcPr>
            <w:tcW w:w="3296" w:type="dxa"/>
            <w:shd w:val="clear" w:color="auto" w:fill="auto"/>
          </w:tcPr>
          <w:p w14:paraId="4AF1403E"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вътрешно корабоплаване, работещо в навигационен режим и което е получило одобрение въз основа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302 194-1:2006</w:t>
            </w:r>
          </w:p>
        </w:tc>
        <w:tc>
          <w:tcPr>
            <w:tcW w:w="5387" w:type="dxa"/>
            <w:shd w:val="clear" w:color="auto" w:fill="auto"/>
          </w:tcPr>
          <w:p w14:paraId="243A797F"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w:t>
            </w:r>
            <w:r w:rsidRPr="00F06DE2">
              <w:rPr>
                <w:rFonts w:ascii="Times New Roman" w:hAnsi="Times New Roman" w:cs="Times New Roman"/>
              </w:rPr>
              <w:t>o</w:t>
            </w:r>
            <w:r w:rsidRPr="00F06DE2">
              <w:rPr>
                <w:rFonts w:ascii="Times New Roman" w:hAnsi="Times New Roman" w:cs="Times New Roman"/>
                <w:lang w:val="ru-RU"/>
              </w:rPr>
              <w:t xml:space="preserve"> корабоплаване, което е получило одобрение въз основа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302 194-1:2006 преди 31 декември 2023 г., може да продължи да бъде инсталирано, след което да се използва, ако има валидно удостоверение за монтаж съгласно този стандарт</w:t>
            </w:r>
          </w:p>
        </w:tc>
        <w:tc>
          <w:tcPr>
            <w:tcW w:w="1429" w:type="dxa"/>
            <w:gridSpan w:val="2"/>
            <w:shd w:val="clear" w:color="auto" w:fill="auto"/>
          </w:tcPr>
          <w:p w14:paraId="7253B0FC"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Pr>
          <w:p w14:paraId="0FB9A810" w14:textId="423A2F51" w:rsidR="00607E36"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.2024 г.</w:t>
            </w:r>
          </w:p>
        </w:tc>
      </w:tr>
      <w:tr w:rsidR="00607E36" w:rsidRPr="00F06DE2" w14:paraId="38534C02" w14:textId="77777777" w:rsidTr="00A41A9A">
        <w:trPr>
          <w:cantSplit/>
          <w:jc w:val="center"/>
        </w:trPr>
        <w:tc>
          <w:tcPr>
            <w:tcW w:w="1325" w:type="dxa"/>
            <w:tcBorders>
              <w:top w:val="nil"/>
              <w:bottom w:val="nil"/>
            </w:tcBorders>
            <w:shd w:val="clear" w:color="auto" w:fill="auto"/>
          </w:tcPr>
          <w:p w14:paraId="71B1C78C" w14:textId="77777777" w:rsidR="00607E36" w:rsidRPr="00F06DE2" w:rsidRDefault="00607E36" w:rsidP="00607E36">
            <w:pPr>
              <w:spacing w:line="240" w:lineRule="atLeast"/>
              <w:rPr>
                <w:rFonts w:ascii="Times New Roman" w:hAnsi="Times New Roman" w:cs="Times New Roman"/>
              </w:rPr>
            </w:pPr>
          </w:p>
        </w:tc>
        <w:tc>
          <w:tcPr>
            <w:tcW w:w="1458" w:type="dxa"/>
            <w:tcBorders>
              <w:bottom w:val="nil"/>
            </w:tcBorders>
            <w:shd w:val="clear" w:color="auto" w:fill="auto"/>
          </w:tcPr>
          <w:p w14:paraId="4C41489C"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tcBorders>
              <w:bottom w:val="nil"/>
            </w:tcBorders>
            <w:shd w:val="clear" w:color="auto" w:fill="auto"/>
          </w:tcPr>
          <w:p w14:paraId="7F8B6129"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Оборудване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w:t>
            </w:r>
          </w:p>
        </w:tc>
        <w:tc>
          <w:tcPr>
            <w:tcW w:w="5387" w:type="dxa"/>
            <w:shd w:val="clear" w:color="auto" w:fill="auto"/>
          </w:tcPr>
          <w:p w14:paraId="211B4F97"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Оборудването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с одобрение на типа в съответствие с издание 1.0 и 1.01 на Стандарта за изпитване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инсталирано преди 1 декември 2015</w:t>
            </w:r>
            <w:r w:rsidRPr="00F06DE2">
              <w:rPr>
                <w:rFonts w:ascii="Times New Roman" w:hAnsi="Times New Roman" w:cs="Times New Roman"/>
              </w:rPr>
              <w:t> </w:t>
            </w:r>
            <w:r w:rsidRPr="00F06DE2">
              <w:rPr>
                <w:rFonts w:ascii="Times New Roman" w:hAnsi="Times New Roman" w:cs="Times New Roman"/>
                <w:lang w:val="ru-RU"/>
              </w:rPr>
              <w:t>г., може да продължи да се използва.</w:t>
            </w:r>
          </w:p>
        </w:tc>
        <w:tc>
          <w:tcPr>
            <w:tcW w:w="1429" w:type="dxa"/>
            <w:gridSpan w:val="2"/>
            <w:shd w:val="clear" w:color="auto" w:fill="auto"/>
          </w:tcPr>
          <w:p w14:paraId="2FC92AB3"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Pr>
          <w:p w14:paraId="5377DC82" w14:textId="00728558" w:rsidR="00607E36" w:rsidRPr="00F06DE2" w:rsidRDefault="00F82D3B" w:rsidP="00F82D3B">
            <w:pPr>
              <w:spacing w:line="240" w:lineRule="atLeast"/>
              <w:ind w:right="-96"/>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1.12.2013 г.</w:t>
            </w:r>
          </w:p>
        </w:tc>
      </w:tr>
      <w:tr w:rsidR="00607E36" w:rsidRPr="00F06DE2" w14:paraId="40EA38F1" w14:textId="77777777" w:rsidTr="00A41A9A">
        <w:trPr>
          <w:cantSplit/>
          <w:jc w:val="center"/>
        </w:trPr>
        <w:tc>
          <w:tcPr>
            <w:tcW w:w="1325" w:type="dxa"/>
            <w:vMerge w:val="restart"/>
            <w:tcBorders>
              <w:top w:val="nil"/>
            </w:tcBorders>
            <w:shd w:val="clear" w:color="auto" w:fill="auto"/>
          </w:tcPr>
          <w:p w14:paraId="6E97A7F7" w14:textId="77777777" w:rsidR="00607E36" w:rsidRPr="00F06DE2" w:rsidRDefault="00607E36" w:rsidP="00607E36">
            <w:pPr>
              <w:spacing w:line="240" w:lineRule="atLeast"/>
              <w:rPr>
                <w:rFonts w:ascii="Times New Roman" w:hAnsi="Times New Roman" w:cs="Times New Roman"/>
              </w:rPr>
            </w:pPr>
          </w:p>
        </w:tc>
        <w:tc>
          <w:tcPr>
            <w:tcW w:w="1458" w:type="dxa"/>
            <w:vMerge w:val="restart"/>
            <w:tcBorders>
              <w:top w:val="nil"/>
            </w:tcBorders>
            <w:shd w:val="clear" w:color="auto" w:fill="auto"/>
          </w:tcPr>
          <w:p w14:paraId="4B139442" w14:textId="77777777" w:rsidR="00607E36" w:rsidRPr="00F06DE2" w:rsidRDefault="00607E36" w:rsidP="00607E36">
            <w:pPr>
              <w:spacing w:line="240" w:lineRule="atLeast"/>
              <w:rPr>
                <w:rFonts w:ascii="Times New Roman" w:hAnsi="Times New Roman" w:cs="Times New Roman"/>
              </w:rPr>
            </w:pPr>
          </w:p>
        </w:tc>
        <w:tc>
          <w:tcPr>
            <w:tcW w:w="3296" w:type="dxa"/>
            <w:vMerge w:val="restart"/>
            <w:tcBorders>
              <w:top w:val="nil"/>
            </w:tcBorders>
            <w:shd w:val="clear" w:color="auto" w:fill="auto"/>
          </w:tcPr>
          <w:p w14:paraId="492B869C" w14:textId="77777777" w:rsidR="00607E36" w:rsidRPr="00F06DE2" w:rsidRDefault="00607E36" w:rsidP="00607E36">
            <w:pPr>
              <w:spacing w:line="240" w:lineRule="atLeast"/>
              <w:rPr>
                <w:rFonts w:ascii="Times New Roman" w:hAnsi="Times New Roman" w:cs="Times New Roman"/>
              </w:rPr>
            </w:pPr>
          </w:p>
        </w:tc>
        <w:tc>
          <w:tcPr>
            <w:tcW w:w="5387" w:type="dxa"/>
            <w:shd w:val="clear" w:color="auto" w:fill="auto"/>
          </w:tcPr>
          <w:p w14:paraId="25D7F853" w14:textId="77777777" w:rsidR="00607E36" w:rsidRPr="00F06DE2" w:rsidRDefault="00607E36" w:rsidP="00607E36">
            <w:pPr>
              <w:spacing w:line="240" w:lineRule="atLeast"/>
              <w:ind w:right="48"/>
              <w:jc w:val="both"/>
              <w:rPr>
                <w:rFonts w:ascii="Times New Roman" w:hAnsi="Times New Roman" w:cs="Times New Roman"/>
                <w:color w:val="FF0000"/>
                <w:lang w:val="ru-RU"/>
              </w:rPr>
            </w:pPr>
            <w:r w:rsidRPr="00F06DE2">
              <w:rPr>
                <w:rFonts w:ascii="Times New Roman" w:hAnsi="Times New Roman" w:cs="Times New Roman"/>
                <w:lang w:val="ru-RU"/>
              </w:rPr>
              <w:t xml:space="preserve">Оборудването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с одобрение на типа съгласно издание 2.0 на Стандарта за изпитване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и инсталирано преди 1 януари 2024 г. може да продължи да се използва.</w:t>
            </w:r>
          </w:p>
        </w:tc>
        <w:tc>
          <w:tcPr>
            <w:tcW w:w="1429" w:type="dxa"/>
            <w:gridSpan w:val="2"/>
            <w:shd w:val="clear" w:color="auto" w:fill="auto"/>
          </w:tcPr>
          <w:p w14:paraId="695E3FF9"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Pr>
          <w:p w14:paraId="5FC919A8" w14:textId="46D4E5D0" w:rsidR="00607E36" w:rsidRPr="00F06DE2" w:rsidRDefault="00F82D3B" w:rsidP="00607E36">
            <w:pPr>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r>
      <w:tr w:rsidR="00607E36" w:rsidRPr="00F06DE2" w14:paraId="4E33EF53" w14:textId="77777777" w:rsidTr="00A41A9A">
        <w:trPr>
          <w:cantSplit/>
          <w:jc w:val="center"/>
        </w:trPr>
        <w:tc>
          <w:tcPr>
            <w:tcW w:w="1325" w:type="dxa"/>
            <w:vMerge/>
            <w:shd w:val="clear" w:color="auto" w:fill="auto"/>
          </w:tcPr>
          <w:p w14:paraId="74975981" w14:textId="77777777" w:rsidR="00607E36" w:rsidRPr="00F06DE2" w:rsidRDefault="00607E36" w:rsidP="00607E36">
            <w:pPr>
              <w:spacing w:line="240" w:lineRule="atLeast"/>
              <w:rPr>
                <w:rFonts w:ascii="Times New Roman" w:hAnsi="Times New Roman" w:cs="Times New Roman"/>
              </w:rPr>
            </w:pPr>
          </w:p>
        </w:tc>
        <w:tc>
          <w:tcPr>
            <w:tcW w:w="1458" w:type="dxa"/>
            <w:vMerge/>
            <w:shd w:val="clear" w:color="auto" w:fill="auto"/>
          </w:tcPr>
          <w:p w14:paraId="6D518F8A" w14:textId="77777777" w:rsidR="00607E36" w:rsidRPr="00F06DE2" w:rsidRDefault="00607E36" w:rsidP="00607E36">
            <w:pPr>
              <w:spacing w:line="240" w:lineRule="atLeast"/>
              <w:rPr>
                <w:rFonts w:ascii="Times New Roman" w:hAnsi="Times New Roman" w:cs="Times New Roman"/>
              </w:rPr>
            </w:pPr>
          </w:p>
        </w:tc>
        <w:tc>
          <w:tcPr>
            <w:tcW w:w="3296" w:type="dxa"/>
            <w:vMerge/>
            <w:shd w:val="clear" w:color="auto" w:fill="auto"/>
          </w:tcPr>
          <w:p w14:paraId="6CFC8DB4" w14:textId="77777777" w:rsidR="00607E36" w:rsidRPr="00F06DE2" w:rsidRDefault="00607E36" w:rsidP="00607E36">
            <w:pPr>
              <w:spacing w:line="240" w:lineRule="atLeast"/>
              <w:rPr>
                <w:rFonts w:ascii="Times New Roman" w:hAnsi="Times New Roman" w:cs="Times New Roman"/>
              </w:rPr>
            </w:pPr>
          </w:p>
        </w:tc>
        <w:tc>
          <w:tcPr>
            <w:tcW w:w="5387" w:type="dxa"/>
            <w:shd w:val="clear" w:color="auto" w:fill="auto"/>
          </w:tcPr>
          <w:p w14:paraId="2FD513E0" w14:textId="61EFE418" w:rsidR="00607E36" w:rsidRPr="00F06DE2" w:rsidRDefault="00607E36" w:rsidP="00607E36">
            <w:pPr>
              <w:spacing w:line="240" w:lineRule="atLeast"/>
              <w:ind w:right="48"/>
              <w:jc w:val="both"/>
              <w:rPr>
                <w:rFonts w:ascii="Times New Roman" w:hAnsi="Times New Roman" w:cs="Times New Roman"/>
                <w:lang w:val="ru-RU"/>
              </w:rPr>
            </w:pPr>
            <w:r w:rsidRPr="00F06DE2">
              <w:rPr>
                <w:rFonts w:ascii="Times New Roman" w:hAnsi="Times New Roman" w:cs="Times New Roman"/>
                <w:lang w:val="ru-RU"/>
              </w:rPr>
              <w:t xml:space="preserve">Оборудване за вътрешна </w:t>
            </w:r>
            <w:r w:rsidRPr="00F06DE2">
              <w:rPr>
                <w:rFonts w:ascii="Times New Roman" w:hAnsi="Times New Roman" w:cs="Times New Roman"/>
              </w:rPr>
              <w:t>AIS</w:t>
            </w:r>
            <w:r w:rsidRPr="00F06DE2">
              <w:rPr>
                <w:rFonts w:ascii="Times New Roman" w:hAnsi="Times New Roman" w:cs="Times New Roman"/>
                <w:lang w:val="ru-RU"/>
              </w:rPr>
              <w:t xml:space="preserve"> с типово одобрение съгласно издание 2021/3.0 от ,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2021/1 или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2023/1 може да продължи да се инсталира и използва</w:t>
            </w:r>
          </w:p>
        </w:tc>
        <w:tc>
          <w:tcPr>
            <w:tcW w:w="1429" w:type="dxa"/>
            <w:gridSpan w:val="2"/>
            <w:shd w:val="clear" w:color="auto" w:fill="auto"/>
          </w:tcPr>
          <w:p w14:paraId="1C6837FE"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Pr>
          <w:p w14:paraId="6538C6EA" w14:textId="41C0C4CF" w:rsidR="00607E36" w:rsidRPr="00F06DE2" w:rsidRDefault="003A0573" w:rsidP="00607E36">
            <w:pPr>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.2026 г.</w:t>
            </w:r>
          </w:p>
        </w:tc>
      </w:tr>
      <w:tr w:rsidR="00607E36" w:rsidRPr="00F06DE2" w14:paraId="6F785C06" w14:textId="77777777" w:rsidTr="00A41A9A">
        <w:trPr>
          <w:cantSplit/>
          <w:jc w:val="center"/>
        </w:trPr>
        <w:tc>
          <w:tcPr>
            <w:tcW w:w="1325" w:type="dxa"/>
            <w:vMerge w:val="restart"/>
            <w:tcBorders>
              <w:top w:val="nil"/>
            </w:tcBorders>
            <w:shd w:val="clear" w:color="auto" w:fill="auto"/>
          </w:tcPr>
          <w:p w14:paraId="397127B5"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7.12</w:t>
            </w:r>
          </w:p>
        </w:tc>
        <w:tc>
          <w:tcPr>
            <w:tcW w:w="1458" w:type="dxa"/>
            <w:shd w:val="clear" w:color="auto" w:fill="auto"/>
          </w:tcPr>
          <w:p w14:paraId="450D1B74" w14:textId="79ACC747"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rPr>
              <w:t>Точка 5</w:t>
            </w:r>
          </w:p>
          <w:p w14:paraId="22E2FCAC" w14:textId="77777777"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rPr>
              <w:t>2-ро изречение</w:t>
            </w:r>
          </w:p>
        </w:tc>
        <w:tc>
          <w:tcPr>
            <w:tcW w:w="3296" w:type="dxa"/>
            <w:shd w:val="clear" w:color="auto" w:fill="auto"/>
          </w:tcPr>
          <w:p w14:paraId="7904098E" w14:textId="77777777"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rPr>
              <w:t>Указания</w:t>
            </w:r>
          </w:p>
        </w:tc>
        <w:tc>
          <w:tcPr>
            <w:tcW w:w="5387" w:type="dxa"/>
            <w:shd w:val="clear" w:color="auto" w:fill="auto"/>
          </w:tcPr>
          <w:p w14:paraId="2AEF79D5" w14:textId="77777777"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4021B3ED" w14:textId="77777777" w:rsidR="00607E36" w:rsidRPr="00F06DE2" w:rsidRDefault="00607E36" w:rsidP="00607E36">
            <w:pPr>
              <w:widowControl w:val="0"/>
              <w:spacing w:line="240" w:lineRule="atLeast"/>
              <w:jc w:val="both"/>
              <w:rPr>
                <w:rFonts w:ascii="Times New Roman" w:hAnsi="Times New Roman" w:cs="Times New Roman"/>
                <w:lang w:val="ru-RU"/>
              </w:rPr>
            </w:pPr>
          </w:p>
        </w:tc>
        <w:tc>
          <w:tcPr>
            <w:tcW w:w="1559" w:type="dxa"/>
          </w:tcPr>
          <w:p w14:paraId="680052E0" w14:textId="0ED5079E" w:rsidR="00607E36" w:rsidRPr="00F06DE2" w:rsidRDefault="003A0573" w:rsidP="00607E36">
            <w:pPr>
              <w:widowControl w:val="0"/>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6A114174" w14:textId="77777777" w:rsidTr="00A41A9A">
        <w:trPr>
          <w:cantSplit/>
          <w:jc w:val="center"/>
        </w:trPr>
        <w:tc>
          <w:tcPr>
            <w:tcW w:w="1325" w:type="dxa"/>
            <w:vMerge/>
            <w:shd w:val="clear" w:color="auto" w:fill="auto"/>
          </w:tcPr>
          <w:p w14:paraId="776F4DA9"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0403336D" w14:textId="7465EB05"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09D886C9" w14:textId="77777777"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Спиране, блокиране и автоматично изключване</w:t>
            </w:r>
          </w:p>
        </w:tc>
        <w:tc>
          <w:tcPr>
            <w:tcW w:w="5387" w:type="dxa"/>
            <w:shd w:val="clear" w:color="auto" w:fill="auto"/>
          </w:tcPr>
          <w:p w14:paraId="52B78A9C" w14:textId="77777777"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429" w:type="dxa"/>
            <w:gridSpan w:val="2"/>
            <w:shd w:val="clear" w:color="auto" w:fill="auto"/>
          </w:tcPr>
          <w:p w14:paraId="664D6859" w14:textId="15D929AA" w:rsidR="00607E36" w:rsidRPr="00F06DE2" w:rsidRDefault="003A0573" w:rsidP="003A0573">
            <w:pPr>
              <w:widowControl w:val="0"/>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42A90AD4" w14:textId="5E7F8265" w:rsidR="00607E36" w:rsidRPr="00F06DE2" w:rsidRDefault="003A0573" w:rsidP="00607E36">
            <w:pPr>
              <w:widowControl w:val="0"/>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39613B7F" w14:textId="77777777" w:rsidTr="00A41A9A">
        <w:trPr>
          <w:cantSplit/>
          <w:jc w:val="center"/>
        </w:trPr>
        <w:tc>
          <w:tcPr>
            <w:tcW w:w="1325" w:type="dxa"/>
            <w:vMerge/>
            <w:shd w:val="clear" w:color="auto" w:fill="auto"/>
          </w:tcPr>
          <w:p w14:paraId="3308E232"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76DA76F2" w14:textId="04F62551" w:rsidR="00607E36" w:rsidRPr="00F06DE2" w:rsidRDefault="00607E36" w:rsidP="00607E36">
            <w:pPr>
              <w:widowControl w:val="0"/>
              <w:spacing w:line="240" w:lineRule="atLeast"/>
              <w:ind w:left="-15" w:firstLine="15"/>
              <w:jc w:val="both"/>
              <w:rPr>
                <w:rFonts w:ascii="Times New Roman" w:hAnsi="Times New Roman" w:cs="Times New Roman"/>
                <w:lang w:val="ru-RU"/>
              </w:rPr>
            </w:pPr>
            <w:r w:rsidRPr="00F06DE2">
              <w:rPr>
                <w:rFonts w:ascii="Times New Roman" w:hAnsi="Times New Roman" w:cs="Times New Roman"/>
                <w:lang w:val="ru-RU"/>
              </w:rPr>
              <w:t xml:space="preserve">Точка 8 </w:t>
            </w:r>
            <w:r w:rsidRPr="00F06DE2">
              <w:rPr>
                <w:rFonts w:ascii="Times New Roman" w:hAnsi="Times New Roman" w:cs="Times New Roman"/>
                <w:lang w:val="ru-RU"/>
              </w:rPr>
              <w:br/>
              <w:t>1-во и 2-ро изречение</w:t>
            </w:r>
          </w:p>
        </w:tc>
        <w:tc>
          <w:tcPr>
            <w:tcW w:w="3296" w:type="dxa"/>
            <w:shd w:val="clear" w:color="auto" w:fill="auto"/>
          </w:tcPr>
          <w:p w14:paraId="36121980" w14:textId="77777777"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Мерки и функции за защита</w:t>
            </w:r>
          </w:p>
        </w:tc>
        <w:tc>
          <w:tcPr>
            <w:tcW w:w="5387" w:type="dxa"/>
            <w:shd w:val="clear" w:color="auto" w:fill="auto"/>
          </w:tcPr>
          <w:p w14:paraId="6F691971" w14:textId="77777777"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429" w:type="dxa"/>
            <w:gridSpan w:val="2"/>
            <w:shd w:val="clear" w:color="auto" w:fill="auto"/>
          </w:tcPr>
          <w:p w14:paraId="2E01EB01" w14:textId="655892B1" w:rsidR="00607E36" w:rsidRPr="00F06DE2" w:rsidRDefault="003A0573" w:rsidP="003A0573">
            <w:pPr>
              <w:widowControl w:val="0"/>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1AA14F05" w14:textId="09E97710" w:rsidR="00607E36" w:rsidRPr="00F06DE2" w:rsidRDefault="003A0573" w:rsidP="00607E36">
            <w:pPr>
              <w:widowControl w:val="0"/>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57C407AF" w14:textId="77777777" w:rsidTr="00A41A9A">
        <w:trPr>
          <w:cantSplit/>
          <w:jc w:val="center"/>
        </w:trPr>
        <w:tc>
          <w:tcPr>
            <w:tcW w:w="1325" w:type="dxa"/>
            <w:vMerge/>
            <w:shd w:val="clear" w:color="auto" w:fill="auto"/>
          </w:tcPr>
          <w:p w14:paraId="2341FD95"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5D5C76F7" w14:textId="77777777" w:rsidR="00607E36" w:rsidRPr="00F06DE2" w:rsidRDefault="00607E36" w:rsidP="00607E36">
            <w:pPr>
              <w:widowControl w:val="0"/>
              <w:spacing w:line="240" w:lineRule="atLeast"/>
              <w:ind w:left="-15" w:firstLine="15"/>
              <w:jc w:val="both"/>
              <w:rPr>
                <w:rFonts w:ascii="Times New Roman" w:hAnsi="Times New Roman" w:cs="Times New Roman"/>
              </w:rPr>
            </w:pPr>
            <w:r w:rsidRPr="00F06DE2">
              <w:rPr>
                <w:rFonts w:ascii="Times New Roman" w:hAnsi="Times New Roman" w:cs="Times New Roman"/>
              </w:rPr>
              <w:t xml:space="preserve">Точка 8 </w:t>
            </w:r>
          </w:p>
          <w:p w14:paraId="35AA07AF" w14:textId="3F4CC157" w:rsidR="00607E36" w:rsidRPr="00F06DE2" w:rsidRDefault="00607E36" w:rsidP="00607E36">
            <w:pPr>
              <w:widowControl w:val="0"/>
              <w:spacing w:line="240" w:lineRule="atLeast"/>
              <w:ind w:left="-15" w:firstLine="15"/>
              <w:jc w:val="both"/>
              <w:rPr>
                <w:rFonts w:ascii="Times New Roman" w:hAnsi="Times New Roman" w:cs="Times New Roman"/>
              </w:rPr>
            </w:pPr>
            <w:r w:rsidRPr="00F06DE2">
              <w:rPr>
                <w:rFonts w:ascii="Times New Roman" w:hAnsi="Times New Roman" w:cs="Times New Roman"/>
              </w:rPr>
              <w:t>3-то изречение</w:t>
            </w:r>
          </w:p>
        </w:tc>
        <w:tc>
          <w:tcPr>
            <w:tcW w:w="3296" w:type="dxa"/>
            <w:shd w:val="clear" w:color="auto" w:fill="auto"/>
          </w:tcPr>
          <w:p w14:paraId="56F59426" w14:textId="18529475"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rPr>
              <w:t>Символ и предупредително устройство</w:t>
            </w:r>
          </w:p>
        </w:tc>
        <w:tc>
          <w:tcPr>
            <w:tcW w:w="5387" w:type="dxa"/>
            <w:shd w:val="clear" w:color="auto" w:fill="auto"/>
          </w:tcPr>
          <w:p w14:paraId="26414BE6" w14:textId="1DF11FF9"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32098515" w14:textId="77777777" w:rsidR="00607E36" w:rsidRPr="00F06DE2" w:rsidRDefault="00607E36" w:rsidP="00607E36">
            <w:pPr>
              <w:widowControl w:val="0"/>
              <w:spacing w:line="240" w:lineRule="atLeast"/>
              <w:jc w:val="both"/>
              <w:rPr>
                <w:rFonts w:ascii="Times New Roman" w:hAnsi="Times New Roman" w:cs="Times New Roman"/>
                <w:lang w:val="ru-RU"/>
              </w:rPr>
            </w:pPr>
          </w:p>
        </w:tc>
        <w:tc>
          <w:tcPr>
            <w:tcW w:w="1559" w:type="dxa"/>
          </w:tcPr>
          <w:p w14:paraId="324337E5" w14:textId="29339F34" w:rsidR="00607E36" w:rsidRPr="00F06DE2" w:rsidDel="000E4B2B" w:rsidRDefault="003A0573" w:rsidP="00607E36">
            <w:pPr>
              <w:widowControl w:val="0"/>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.2026</w:t>
            </w:r>
            <w:r w:rsidRPr="00F06DE2">
              <w:rPr>
                <w:rFonts w:ascii="Times New Roman" w:hAnsi="Times New Roman" w:cs="Times New Roman"/>
              </w:rPr>
              <w:t xml:space="preserve"> г.</w:t>
            </w:r>
          </w:p>
        </w:tc>
      </w:tr>
      <w:tr w:rsidR="00607E36" w:rsidRPr="00F06DE2" w14:paraId="2C8D9FCC" w14:textId="77777777" w:rsidTr="00A41A9A">
        <w:trPr>
          <w:cantSplit/>
          <w:jc w:val="center"/>
        </w:trPr>
        <w:tc>
          <w:tcPr>
            <w:tcW w:w="1325" w:type="dxa"/>
            <w:vMerge/>
            <w:shd w:val="clear" w:color="auto" w:fill="auto"/>
          </w:tcPr>
          <w:p w14:paraId="62345851"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0D2D0BD2" w14:textId="07A779C6" w:rsidR="00607E36" w:rsidRPr="00F06DE2" w:rsidRDefault="00607E36" w:rsidP="00607E36">
            <w:pPr>
              <w:widowControl w:val="0"/>
              <w:spacing w:line="240" w:lineRule="atLeast"/>
              <w:ind w:left="-15" w:firstLine="15"/>
              <w:jc w:val="both"/>
              <w:rPr>
                <w:rFonts w:ascii="Times New Roman" w:hAnsi="Times New Roman" w:cs="Times New Roman"/>
              </w:rPr>
            </w:pPr>
            <w:r w:rsidRPr="00F06DE2">
              <w:rPr>
                <w:rFonts w:ascii="Times New Roman" w:hAnsi="Times New Roman" w:cs="Times New Roman"/>
              </w:rPr>
              <w:t xml:space="preserve">Точка 8 </w:t>
            </w:r>
            <w:r w:rsidRPr="00F06DE2">
              <w:rPr>
                <w:rFonts w:ascii="Times New Roman" w:hAnsi="Times New Roman" w:cs="Times New Roman"/>
              </w:rPr>
              <w:br/>
              <w:t>4-то изречение</w:t>
            </w:r>
          </w:p>
        </w:tc>
        <w:tc>
          <w:tcPr>
            <w:tcW w:w="3296" w:type="dxa"/>
            <w:shd w:val="clear" w:color="auto" w:fill="auto"/>
          </w:tcPr>
          <w:p w14:paraId="142B3C73" w14:textId="77777777"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rPr>
              <w:t>Оптичен алармен сигнал</w:t>
            </w:r>
          </w:p>
        </w:tc>
        <w:tc>
          <w:tcPr>
            <w:tcW w:w="5387" w:type="dxa"/>
            <w:shd w:val="clear" w:color="auto" w:fill="auto"/>
          </w:tcPr>
          <w:p w14:paraId="59BAD45A" w14:textId="77777777"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6F7172F5" w14:textId="77777777" w:rsidR="00607E36" w:rsidRPr="00F06DE2" w:rsidRDefault="00607E36" w:rsidP="00607E36">
            <w:pPr>
              <w:widowControl w:val="0"/>
              <w:spacing w:line="240" w:lineRule="atLeast"/>
              <w:jc w:val="both"/>
              <w:rPr>
                <w:rFonts w:ascii="Times New Roman" w:hAnsi="Times New Roman" w:cs="Times New Roman"/>
                <w:lang w:val="ru-RU"/>
              </w:rPr>
            </w:pPr>
          </w:p>
        </w:tc>
        <w:tc>
          <w:tcPr>
            <w:tcW w:w="1559" w:type="dxa"/>
          </w:tcPr>
          <w:p w14:paraId="6E542147" w14:textId="74349681" w:rsidR="00607E36" w:rsidRPr="00F06DE2" w:rsidRDefault="003A0573" w:rsidP="00607E36">
            <w:pPr>
              <w:widowControl w:val="0"/>
              <w:spacing w:line="240" w:lineRule="atLeast"/>
              <w:jc w:val="both"/>
              <w:rPr>
                <w:rFonts w:ascii="Times New Roman" w:hAnsi="Times New Roman" w:cs="Times New Roman"/>
              </w:rPr>
            </w:pPr>
            <w:r w:rsidRPr="00F06DE2">
              <w:rPr>
                <w:rFonts w:ascii="Times New Roman" w:hAnsi="Times New Roman" w:cs="Times New Roman"/>
              </w:rPr>
              <w:t>01</w:t>
            </w:r>
            <w:r w:rsidR="00607E36" w:rsidRPr="00F06DE2">
              <w:rPr>
                <w:rFonts w:ascii="Times New Roman" w:hAnsi="Times New Roman" w:cs="Times New Roman"/>
              </w:rPr>
              <w:t>.01.2026</w:t>
            </w:r>
            <w:r w:rsidRPr="00F06DE2">
              <w:rPr>
                <w:rFonts w:ascii="Times New Roman" w:hAnsi="Times New Roman" w:cs="Times New Roman"/>
              </w:rPr>
              <w:t xml:space="preserve"> г.</w:t>
            </w:r>
          </w:p>
        </w:tc>
      </w:tr>
      <w:tr w:rsidR="00607E36" w:rsidRPr="00F06DE2" w14:paraId="56D704B5" w14:textId="77777777" w:rsidTr="00A41A9A">
        <w:trPr>
          <w:cantSplit/>
          <w:jc w:val="center"/>
        </w:trPr>
        <w:tc>
          <w:tcPr>
            <w:tcW w:w="1325" w:type="dxa"/>
            <w:vMerge/>
            <w:shd w:val="clear" w:color="auto" w:fill="auto"/>
          </w:tcPr>
          <w:p w14:paraId="50382A74"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15C179B6" w14:textId="6C771005"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3A66FF3A" w14:textId="2EAE7040" w:rsidR="00607E36" w:rsidRPr="00F06DE2" w:rsidRDefault="00607E36" w:rsidP="00607E36">
            <w:pPr>
              <w:widowControl w:val="0"/>
              <w:tabs>
                <w:tab w:val="left" w:pos="1260"/>
              </w:tabs>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Система за аварийно спускане за повдигащи механизми, които не са хидравлични</w:t>
            </w:r>
          </w:p>
        </w:tc>
        <w:tc>
          <w:tcPr>
            <w:tcW w:w="5387" w:type="dxa"/>
            <w:shd w:val="clear" w:color="auto" w:fill="auto"/>
          </w:tcPr>
          <w:p w14:paraId="1C5A322F" w14:textId="19B95E9B"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B43EDF2" w14:textId="64EC427F" w:rsidR="00607E36" w:rsidRPr="00F06DE2" w:rsidRDefault="003A0573" w:rsidP="003A0573">
            <w:pPr>
              <w:widowControl w:val="0"/>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.2040 г.</w:t>
            </w:r>
          </w:p>
        </w:tc>
        <w:tc>
          <w:tcPr>
            <w:tcW w:w="1559" w:type="dxa"/>
          </w:tcPr>
          <w:p w14:paraId="080C3196" w14:textId="2300561E" w:rsidR="00607E36" w:rsidRPr="00F06DE2" w:rsidRDefault="003A0573" w:rsidP="00607E36">
            <w:pPr>
              <w:widowControl w:val="0"/>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28E5BCE0" w14:textId="77777777" w:rsidTr="00A41A9A">
        <w:trPr>
          <w:cantSplit/>
          <w:trHeight w:val="1052"/>
          <w:jc w:val="center"/>
        </w:trPr>
        <w:tc>
          <w:tcPr>
            <w:tcW w:w="1325" w:type="dxa"/>
            <w:vMerge w:val="restart"/>
            <w:tcBorders>
              <w:bottom w:val="single" w:sz="4" w:space="0" w:color="auto"/>
            </w:tcBorders>
            <w:shd w:val="clear" w:color="auto" w:fill="auto"/>
          </w:tcPr>
          <w:p w14:paraId="474AE24B"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7.14</w:t>
            </w:r>
          </w:p>
        </w:tc>
        <w:tc>
          <w:tcPr>
            <w:tcW w:w="1458" w:type="dxa"/>
            <w:tcBorders>
              <w:bottom w:val="single" w:sz="4" w:space="0" w:color="auto"/>
            </w:tcBorders>
            <w:shd w:val="clear" w:color="auto" w:fill="auto"/>
          </w:tcPr>
          <w:p w14:paraId="1ED83249" w14:textId="75151865" w:rsidR="00607E36" w:rsidRPr="00F06DE2" w:rsidRDefault="00607E36" w:rsidP="00607E36">
            <w:pPr>
              <w:widowControl w:val="0"/>
              <w:spacing w:line="240" w:lineRule="atLeast"/>
              <w:jc w:val="both"/>
              <w:rPr>
                <w:rFonts w:ascii="Times New Roman" w:hAnsi="Times New Roman" w:cs="Times New Roman"/>
                <w:strike/>
              </w:rPr>
            </w:pPr>
            <w:r w:rsidRPr="00F06DE2">
              <w:rPr>
                <w:rFonts w:ascii="Times New Roman" w:hAnsi="Times New Roman" w:cs="Times New Roman"/>
                <w:color w:val="000000"/>
                <w:spacing w:val="-5"/>
              </w:rPr>
              <w:t>Точка 3 2-ро изречение</w:t>
            </w:r>
          </w:p>
        </w:tc>
        <w:tc>
          <w:tcPr>
            <w:tcW w:w="3296" w:type="dxa"/>
            <w:tcBorders>
              <w:bottom w:val="single" w:sz="4" w:space="0" w:color="auto"/>
            </w:tcBorders>
            <w:shd w:val="clear" w:color="auto" w:fill="auto"/>
          </w:tcPr>
          <w:p w14:paraId="670DE898" w14:textId="4555D007" w:rsidR="00607E36" w:rsidRPr="00F06DE2" w:rsidRDefault="00607E36" w:rsidP="00607E36">
            <w:pPr>
              <w:widowControl w:val="0"/>
              <w:tabs>
                <w:tab w:val="left" w:pos="1260"/>
              </w:tabs>
              <w:adjustRightInd w:val="0"/>
              <w:spacing w:line="240" w:lineRule="atLeast"/>
              <w:jc w:val="both"/>
              <w:rPr>
                <w:rFonts w:ascii="Times New Roman" w:hAnsi="Times New Roman" w:cs="Times New Roman"/>
                <w:strike/>
                <w:lang w:val="ru-RU"/>
              </w:rPr>
            </w:pPr>
            <w:r w:rsidRPr="00F06DE2">
              <w:rPr>
                <w:rFonts w:ascii="Times New Roman" w:hAnsi="Times New Roman" w:cs="Times New Roman"/>
                <w:color w:val="000000"/>
                <w:lang w:val="ru-RU"/>
              </w:rPr>
              <w:t>Влизане и излизане от рулевата рубка, независимо от нейното положение</w:t>
            </w:r>
          </w:p>
        </w:tc>
        <w:tc>
          <w:tcPr>
            <w:tcW w:w="5387" w:type="dxa"/>
            <w:tcBorders>
              <w:bottom w:val="single" w:sz="4" w:space="0" w:color="auto"/>
            </w:tcBorders>
            <w:shd w:val="clear" w:color="auto" w:fill="auto"/>
          </w:tcPr>
          <w:p w14:paraId="1BA0F367" w14:textId="081A87C5" w:rsidR="00607E36" w:rsidRPr="00F06DE2" w:rsidRDefault="00607E36" w:rsidP="00607E36">
            <w:pPr>
              <w:widowControl w:val="0"/>
              <w:spacing w:line="240" w:lineRule="atLeast"/>
              <w:jc w:val="both"/>
              <w:rPr>
                <w:rFonts w:ascii="Times New Roman" w:hAnsi="Times New Roman" w:cs="Times New Roman"/>
                <w:strike/>
                <w:lang w:val="ru-RU"/>
              </w:rPr>
            </w:pPr>
            <w:r w:rsidRPr="00F06DE2">
              <w:rPr>
                <w:rFonts w:ascii="Times New Roman" w:hAnsi="Times New Roman" w:cs="Times New Roman"/>
                <w:color w:val="000000"/>
                <w:lang w:val="ru-RU"/>
              </w:rPr>
              <w:t xml:space="preserve">Н.З.Р., най-късно при подновяване на </w:t>
            </w:r>
            <w:r w:rsidRPr="00F06DE2">
              <w:rPr>
                <w:rFonts w:ascii="Times New Roman" w:hAnsi="Times New Roman" w:cs="Times New Roman"/>
                <w:lang w:val="ru-RU"/>
              </w:rPr>
              <w:t>Корабното удостоверение за вътрешно корабоплаване</w:t>
            </w:r>
          </w:p>
        </w:tc>
        <w:tc>
          <w:tcPr>
            <w:tcW w:w="1429" w:type="dxa"/>
            <w:gridSpan w:val="2"/>
            <w:tcBorders>
              <w:bottom w:val="single" w:sz="4" w:space="0" w:color="auto"/>
            </w:tcBorders>
            <w:shd w:val="clear" w:color="auto" w:fill="auto"/>
          </w:tcPr>
          <w:p w14:paraId="08A66447" w14:textId="77777777" w:rsidR="00607E36" w:rsidRPr="00F06DE2" w:rsidRDefault="00607E36" w:rsidP="00607E36">
            <w:pPr>
              <w:widowControl w:val="0"/>
              <w:spacing w:line="240" w:lineRule="atLeast"/>
              <w:jc w:val="both"/>
              <w:rPr>
                <w:rFonts w:ascii="Times New Roman" w:hAnsi="Times New Roman" w:cs="Times New Roman"/>
                <w:lang w:val="ru-RU"/>
              </w:rPr>
            </w:pPr>
          </w:p>
        </w:tc>
        <w:tc>
          <w:tcPr>
            <w:tcW w:w="1559" w:type="dxa"/>
            <w:vMerge w:val="restart"/>
            <w:tcBorders>
              <w:bottom w:val="single" w:sz="4" w:space="0" w:color="auto"/>
            </w:tcBorders>
          </w:tcPr>
          <w:p w14:paraId="74DE577B" w14:textId="1C7CEDDE" w:rsidR="00607E36" w:rsidRPr="00F06DE2" w:rsidRDefault="003A0573" w:rsidP="00607E36">
            <w:pPr>
              <w:widowControl w:val="0"/>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.2024 г.</w:t>
            </w:r>
          </w:p>
          <w:p w14:paraId="7261B18F" w14:textId="7CD74144" w:rsidR="00607E36" w:rsidRPr="00F06DE2" w:rsidRDefault="00607E36" w:rsidP="00607E36">
            <w:pPr>
              <w:widowControl w:val="0"/>
              <w:spacing w:line="240" w:lineRule="atLeast"/>
              <w:jc w:val="both"/>
              <w:rPr>
                <w:rFonts w:ascii="Times New Roman" w:hAnsi="Times New Roman" w:cs="Times New Roman"/>
              </w:rPr>
            </w:pPr>
          </w:p>
        </w:tc>
      </w:tr>
      <w:tr w:rsidR="00607E36" w:rsidRPr="00F06DE2" w14:paraId="61492E66" w14:textId="77777777" w:rsidTr="00A41A9A">
        <w:trPr>
          <w:cantSplit/>
          <w:trHeight w:val="163"/>
          <w:jc w:val="center"/>
        </w:trPr>
        <w:tc>
          <w:tcPr>
            <w:tcW w:w="1325" w:type="dxa"/>
            <w:vMerge/>
            <w:shd w:val="clear" w:color="auto" w:fill="auto"/>
          </w:tcPr>
          <w:p w14:paraId="0C755F27"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0DD00941" w14:textId="77777777" w:rsidR="00607E36" w:rsidRPr="00F06DE2" w:rsidRDefault="00607E36" w:rsidP="00607E36">
            <w:pPr>
              <w:pStyle w:val="TableParagraph"/>
              <w:spacing w:before="95"/>
              <w:ind w:left="107"/>
              <w:rPr>
                <w:rFonts w:ascii="Times New Roman" w:hAnsi="Times New Roman" w:cs="Times New Roman"/>
                <w:color w:val="000000"/>
                <w:spacing w:val="-5"/>
              </w:rPr>
            </w:pPr>
            <w:r w:rsidRPr="00F06DE2">
              <w:rPr>
                <w:rFonts w:ascii="Times New Roman" w:hAnsi="Times New Roman" w:cs="Times New Roman"/>
                <w:color w:val="000000"/>
                <w:spacing w:val="-5"/>
              </w:rPr>
              <w:t xml:space="preserve">Точка 3 </w:t>
            </w:r>
          </w:p>
          <w:p w14:paraId="00FFAAEE" w14:textId="77777777" w:rsidR="00607E36" w:rsidRPr="00F06DE2" w:rsidRDefault="00607E36" w:rsidP="00607E36">
            <w:pPr>
              <w:widowControl w:val="0"/>
              <w:spacing w:line="240" w:lineRule="atLeast"/>
              <w:jc w:val="both"/>
              <w:rPr>
                <w:rFonts w:ascii="Times New Roman" w:hAnsi="Times New Roman" w:cs="Times New Roman"/>
                <w:strike/>
              </w:rPr>
            </w:pPr>
            <w:r w:rsidRPr="00F06DE2">
              <w:rPr>
                <w:rFonts w:ascii="Times New Roman" w:hAnsi="Times New Roman" w:cs="Times New Roman"/>
                <w:color w:val="000000"/>
                <w:spacing w:val="-5"/>
              </w:rPr>
              <w:t>3-то изречение</w:t>
            </w:r>
          </w:p>
        </w:tc>
        <w:tc>
          <w:tcPr>
            <w:tcW w:w="3296" w:type="dxa"/>
            <w:shd w:val="clear" w:color="auto" w:fill="auto"/>
          </w:tcPr>
          <w:p w14:paraId="6B4D154B" w14:textId="77777777" w:rsidR="00607E36" w:rsidRPr="00F06DE2" w:rsidRDefault="00607E36" w:rsidP="00607E36">
            <w:pPr>
              <w:widowControl w:val="0"/>
              <w:tabs>
                <w:tab w:val="left" w:pos="1260"/>
              </w:tabs>
              <w:adjustRightInd w:val="0"/>
              <w:spacing w:line="240" w:lineRule="atLeast"/>
              <w:jc w:val="both"/>
              <w:rPr>
                <w:rFonts w:ascii="Times New Roman" w:hAnsi="Times New Roman" w:cs="Times New Roman"/>
                <w:strike/>
                <w:lang w:val="ru-RU"/>
              </w:rPr>
            </w:pPr>
            <w:r w:rsidRPr="00F06DE2">
              <w:rPr>
                <w:rFonts w:ascii="Times New Roman" w:hAnsi="Times New Roman" w:cs="Times New Roman"/>
                <w:color w:val="000000"/>
                <w:lang w:val="ru-RU"/>
              </w:rPr>
              <w:t>Размери на отвора в покрива</w:t>
            </w:r>
          </w:p>
        </w:tc>
        <w:tc>
          <w:tcPr>
            <w:tcW w:w="5387" w:type="dxa"/>
            <w:shd w:val="clear" w:color="auto" w:fill="auto"/>
          </w:tcPr>
          <w:p w14:paraId="0736DE3B" w14:textId="77777777" w:rsidR="00607E36" w:rsidRPr="00F06DE2" w:rsidRDefault="00607E36" w:rsidP="00607E36">
            <w:pPr>
              <w:widowControl w:val="0"/>
              <w:spacing w:line="240" w:lineRule="atLeast"/>
              <w:jc w:val="both"/>
              <w:rPr>
                <w:rFonts w:ascii="Times New Roman" w:hAnsi="Times New Roman" w:cs="Times New Roman"/>
                <w:strike/>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5EF81F60" w14:textId="3D609DBE" w:rsidR="00607E36" w:rsidRPr="00F06DE2" w:rsidRDefault="003A0573" w:rsidP="003A0573">
            <w:pPr>
              <w:widowControl w:val="0"/>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.2035</w:t>
            </w:r>
            <w:r w:rsidRPr="00F06DE2">
              <w:rPr>
                <w:rFonts w:ascii="Times New Roman" w:hAnsi="Times New Roman" w:cs="Times New Roman"/>
              </w:rPr>
              <w:t xml:space="preserve"> г.</w:t>
            </w:r>
          </w:p>
        </w:tc>
        <w:tc>
          <w:tcPr>
            <w:tcW w:w="1559" w:type="dxa"/>
            <w:vMerge/>
          </w:tcPr>
          <w:p w14:paraId="6FD88A93" w14:textId="5E0C2817" w:rsidR="00607E36" w:rsidRPr="00F06DE2" w:rsidRDefault="00607E36" w:rsidP="00607E36">
            <w:pPr>
              <w:widowControl w:val="0"/>
              <w:spacing w:line="240" w:lineRule="atLeast"/>
              <w:jc w:val="both"/>
              <w:rPr>
                <w:rFonts w:ascii="Times New Roman" w:hAnsi="Times New Roman" w:cs="Times New Roman"/>
              </w:rPr>
            </w:pPr>
          </w:p>
        </w:tc>
      </w:tr>
      <w:tr w:rsidR="00607E36" w:rsidRPr="00F06DE2" w14:paraId="48476781" w14:textId="77777777" w:rsidTr="00A41A9A">
        <w:trPr>
          <w:cantSplit/>
          <w:trHeight w:val="163"/>
          <w:jc w:val="center"/>
        </w:trPr>
        <w:tc>
          <w:tcPr>
            <w:tcW w:w="1325" w:type="dxa"/>
            <w:vMerge w:val="restart"/>
            <w:shd w:val="clear" w:color="auto" w:fill="auto"/>
          </w:tcPr>
          <w:p w14:paraId="4F85E8C7"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5F3FFF72" w14:textId="77777777" w:rsidR="00607E36" w:rsidRPr="00F06DE2" w:rsidRDefault="00607E36" w:rsidP="00607E36">
            <w:pPr>
              <w:pStyle w:val="TableParagraph"/>
              <w:spacing w:before="95"/>
              <w:ind w:left="107"/>
              <w:rPr>
                <w:rFonts w:ascii="Times New Roman" w:hAnsi="Times New Roman" w:cs="Times New Roman"/>
                <w:color w:val="000000"/>
                <w:spacing w:val="-5"/>
              </w:rPr>
            </w:pPr>
            <w:r w:rsidRPr="00F06DE2">
              <w:rPr>
                <w:rFonts w:ascii="Times New Roman" w:hAnsi="Times New Roman" w:cs="Times New Roman"/>
                <w:color w:val="000000"/>
                <w:spacing w:val="-5"/>
              </w:rPr>
              <w:t xml:space="preserve">Точка 4 </w:t>
            </w:r>
          </w:p>
        </w:tc>
        <w:tc>
          <w:tcPr>
            <w:tcW w:w="3296" w:type="dxa"/>
            <w:shd w:val="clear" w:color="auto" w:fill="auto"/>
          </w:tcPr>
          <w:p w14:paraId="35379A7F" w14:textId="77777777" w:rsidR="00607E36" w:rsidRPr="00F06DE2" w:rsidRDefault="00607E36" w:rsidP="00607E36">
            <w:pPr>
              <w:widowControl w:val="0"/>
              <w:tabs>
                <w:tab w:val="left" w:pos="1260"/>
              </w:tabs>
              <w:adjustRightInd w:val="0"/>
              <w:spacing w:line="240" w:lineRule="atLeast"/>
              <w:jc w:val="both"/>
              <w:rPr>
                <w:rFonts w:ascii="Times New Roman" w:hAnsi="Times New Roman" w:cs="Times New Roman"/>
                <w:color w:val="000000"/>
                <w:lang w:val="ru-RU"/>
              </w:rPr>
            </w:pPr>
            <w:r w:rsidRPr="00F06DE2">
              <w:rPr>
                <w:rFonts w:ascii="Times New Roman" w:hAnsi="Times New Roman" w:cs="Times New Roman"/>
                <w:color w:val="000000"/>
                <w:spacing w:val="-2"/>
                <w:lang w:val="ru-RU"/>
              </w:rPr>
              <w:t>Спиране, заключване и автоматично дезактивиране</w:t>
            </w:r>
          </w:p>
        </w:tc>
        <w:tc>
          <w:tcPr>
            <w:tcW w:w="5387" w:type="dxa"/>
            <w:shd w:val="clear" w:color="auto" w:fill="auto"/>
          </w:tcPr>
          <w:p w14:paraId="312ECB0F" w14:textId="77777777"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color w:val="000000"/>
                <w:spacing w:val="-2"/>
              </w:rPr>
              <w:t>Н.З.Р.</w:t>
            </w:r>
          </w:p>
        </w:tc>
        <w:tc>
          <w:tcPr>
            <w:tcW w:w="1429" w:type="dxa"/>
            <w:gridSpan w:val="2"/>
            <w:shd w:val="clear" w:color="auto" w:fill="auto"/>
          </w:tcPr>
          <w:p w14:paraId="6B30DEE1" w14:textId="77777777" w:rsidR="00607E36" w:rsidRPr="00F06DE2" w:rsidRDefault="00607E36" w:rsidP="00607E36">
            <w:pPr>
              <w:widowControl w:val="0"/>
              <w:spacing w:line="240" w:lineRule="atLeast"/>
              <w:jc w:val="both"/>
              <w:rPr>
                <w:rFonts w:ascii="Times New Roman" w:hAnsi="Times New Roman" w:cs="Times New Roman"/>
              </w:rPr>
            </w:pPr>
          </w:p>
        </w:tc>
        <w:tc>
          <w:tcPr>
            <w:tcW w:w="1559" w:type="dxa"/>
            <w:vMerge/>
          </w:tcPr>
          <w:p w14:paraId="4CE3552C" w14:textId="77777777" w:rsidR="00607E36" w:rsidRPr="00F06DE2" w:rsidRDefault="00607E36" w:rsidP="00607E36">
            <w:pPr>
              <w:widowControl w:val="0"/>
              <w:spacing w:line="240" w:lineRule="atLeast"/>
              <w:jc w:val="both"/>
              <w:rPr>
                <w:rFonts w:ascii="Times New Roman" w:hAnsi="Times New Roman" w:cs="Times New Roman"/>
                <w:color w:val="000000"/>
                <w:spacing w:val="-2"/>
              </w:rPr>
            </w:pPr>
          </w:p>
        </w:tc>
      </w:tr>
      <w:tr w:rsidR="00607E36" w:rsidRPr="00F06DE2" w14:paraId="72605BDC" w14:textId="77777777" w:rsidTr="00A41A9A">
        <w:trPr>
          <w:cantSplit/>
          <w:trHeight w:val="163"/>
          <w:jc w:val="center"/>
        </w:trPr>
        <w:tc>
          <w:tcPr>
            <w:tcW w:w="1325" w:type="dxa"/>
            <w:vMerge/>
            <w:shd w:val="clear" w:color="auto" w:fill="auto"/>
          </w:tcPr>
          <w:p w14:paraId="765A96A1"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0C51855E" w14:textId="77777777" w:rsidR="00607E36" w:rsidRPr="00F06DE2" w:rsidRDefault="00607E36" w:rsidP="00607E36">
            <w:pPr>
              <w:pStyle w:val="TableParagraph"/>
              <w:spacing w:before="95"/>
              <w:ind w:left="107"/>
              <w:rPr>
                <w:rFonts w:ascii="Times New Roman" w:hAnsi="Times New Roman" w:cs="Times New Roman"/>
                <w:color w:val="000000"/>
                <w:spacing w:val="-5"/>
              </w:rPr>
            </w:pPr>
            <w:r w:rsidRPr="00F06DE2">
              <w:rPr>
                <w:rFonts w:ascii="Times New Roman" w:hAnsi="Times New Roman" w:cs="Times New Roman"/>
                <w:color w:val="000000"/>
                <w:spacing w:val="-5"/>
              </w:rPr>
              <w:t>Точка 5</w:t>
            </w:r>
          </w:p>
        </w:tc>
        <w:tc>
          <w:tcPr>
            <w:tcW w:w="3296" w:type="dxa"/>
            <w:shd w:val="clear" w:color="auto" w:fill="auto"/>
          </w:tcPr>
          <w:p w14:paraId="2E7629C3" w14:textId="77777777" w:rsidR="00607E36" w:rsidRPr="00F06DE2" w:rsidRDefault="00607E36" w:rsidP="00607E36">
            <w:pPr>
              <w:widowControl w:val="0"/>
              <w:tabs>
                <w:tab w:val="left" w:pos="1260"/>
              </w:tabs>
              <w:adjustRightInd w:val="0"/>
              <w:spacing w:line="240" w:lineRule="atLeast"/>
              <w:jc w:val="both"/>
              <w:rPr>
                <w:rFonts w:ascii="Times New Roman" w:hAnsi="Times New Roman" w:cs="Times New Roman"/>
                <w:color w:val="000000"/>
                <w:lang w:val="ru-RU"/>
              </w:rPr>
            </w:pPr>
            <w:r w:rsidRPr="00F06DE2">
              <w:rPr>
                <w:rFonts w:ascii="Times New Roman" w:hAnsi="Times New Roman" w:cs="Times New Roman"/>
                <w:color w:val="000000"/>
                <w:lang w:val="ru-RU"/>
              </w:rPr>
              <w:t>Без превишаване на терминалната позиция</w:t>
            </w:r>
          </w:p>
        </w:tc>
        <w:tc>
          <w:tcPr>
            <w:tcW w:w="5387" w:type="dxa"/>
            <w:shd w:val="clear" w:color="auto" w:fill="auto"/>
          </w:tcPr>
          <w:p w14:paraId="062CE3AD" w14:textId="77777777"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0327226B" w14:textId="77777777" w:rsidR="00607E36" w:rsidRPr="00F06DE2" w:rsidRDefault="00607E36" w:rsidP="00607E36">
            <w:pPr>
              <w:widowControl w:val="0"/>
              <w:spacing w:line="240" w:lineRule="atLeast"/>
              <w:jc w:val="both"/>
              <w:rPr>
                <w:rFonts w:ascii="Times New Roman" w:hAnsi="Times New Roman" w:cs="Times New Roman"/>
                <w:lang w:val="ru-RU"/>
              </w:rPr>
            </w:pPr>
          </w:p>
        </w:tc>
        <w:tc>
          <w:tcPr>
            <w:tcW w:w="1559" w:type="dxa"/>
            <w:vMerge/>
          </w:tcPr>
          <w:p w14:paraId="0F6009B0" w14:textId="77777777" w:rsidR="00607E36" w:rsidRPr="00F06DE2" w:rsidRDefault="00607E36" w:rsidP="00607E36">
            <w:pPr>
              <w:widowControl w:val="0"/>
              <w:spacing w:line="240" w:lineRule="atLeast"/>
              <w:jc w:val="both"/>
              <w:rPr>
                <w:rFonts w:ascii="Times New Roman" w:hAnsi="Times New Roman" w:cs="Times New Roman"/>
                <w:color w:val="000000"/>
                <w:spacing w:val="-2"/>
                <w:lang w:val="ru-RU"/>
              </w:rPr>
            </w:pPr>
          </w:p>
        </w:tc>
      </w:tr>
      <w:tr w:rsidR="00607E36" w:rsidRPr="00F06DE2" w14:paraId="620E7C3E" w14:textId="77777777" w:rsidTr="00A41A9A">
        <w:trPr>
          <w:cantSplit/>
          <w:trHeight w:val="163"/>
          <w:jc w:val="center"/>
        </w:trPr>
        <w:tc>
          <w:tcPr>
            <w:tcW w:w="1325" w:type="dxa"/>
            <w:vMerge/>
            <w:shd w:val="clear" w:color="auto" w:fill="auto"/>
          </w:tcPr>
          <w:p w14:paraId="75B0FD3B" w14:textId="77777777" w:rsidR="00607E36" w:rsidRPr="00F06DE2" w:rsidRDefault="00607E36" w:rsidP="00607E36">
            <w:pPr>
              <w:spacing w:line="240" w:lineRule="atLeast"/>
              <w:jc w:val="both"/>
              <w:rPr>
                <w:rFonts w:ascii="Times New Roman" w:hAnsi="Times New Roman" w:cs="Times New Roman"/>
                <w:lang w:val="ru-RU"/>
              </w:rPr>
            </w:pPr>
          </w:p>
        </w:tc>
        <w:tc>
          <w:tcPr>
            <w:tcW w:w="1458" w:type="dxa"/>
            <w:shd w:val="clear" w:color="auto" w:fill="auto"/>
          </w:tcPr>
          <w:p w14:paraId="21EFB972" w14:textId="77777777" w:rsidR="00607E36" w:rsidRPr="00F06DE2" w:rsidRDefault="00607E36" w:rsidP="00607E36">
            <w:pPr>
              <w:pStyle w:val="TableParagraph"/>
              <w:spacing w:before="92"/>
              <w:ind w:left="107"/>
              <w:rPr>
                <w:rFonts w:ascii="Times New Roman" w:hAnsi="Times New Roman" w:cs="Times New Roman"/>
                <w:color w:val="000000"/>
                <w:spacing w:val="-5"/>
                <w:lang w:val="ru-RU"/>
              </w:rPr>
            </w:pPr>
            <w:r w:rsidRPr="00F06DE2">
              <w:rPr>
                <w:rFonts w:ascii="Times New Roman" w:hAnsi="Times New Roman" w:cs="Times New Roman"/>
                <w:color w:val="000000"/>
                <w:spacing w:val="-5"/>
                <w:lang w:val="ru-RU"/>
              </w:rPr>
              <w:t xml:space="preserve">Точка 6 </w:t>
            </w:r>
          </w:p>
          <w:p w14:paraId="04AA0B61" w14:textId="77777777" w:rsidR="00607E36" w:rsidRPr="00F06DE2" w:rsidRDefault="00607E36" w:rsidP="00607E36">
            <w:pPr>
              <w:pStyle w:val="TableParagraph"/>
              <w:spacing w:before="95"/>
              <w:ind w:left="107"/>
              <w:rPr>
                <w:rFonts w:ascii="Times New Roman" w:hAnsi="Times New Roman" w:cs="Times New Roman"/>
                <w:color w:val="000000"/>
                <w:spacing w:val="-5"/>
                <w:lang w:val="ru-RU"/>
              </w:rPr>
            </w:pPr>
            <w:r w:rsidRPr="00F06DE2">
              <w:rPr>
                <w:rFonts w:ascii="Times New Roman" w:hAnsi="Times New Roman" w:cs="Times New Roman"/>
                <w:color w:val="000000"/>
                <w:spacing w:val="-5"/>
                <w:lang w:val="ru-RU"/>
              </w:rPr>
              <w:t>1-во и 2-ро изречения</w:t>
            </w:r>
          </w:p>
        </w:tc>
        <w:tc>
          <w:tcPr>
            <w:tcW w:w="3296" w:type="dxa"/>
            <w:shd w:val="clear" w:color="auto" w:fill="auto"/>
          </w:tcPr>
          <w:p w14:paraId="0A834E3A" w14:textId="77777777" w:rsidR="00607E36" w:rsidRPr="00F06DE2" w:rsidRDefault="00607E36" w:rsidP="00607E36">
            <w:pPr>
              <w:widowControl w:val="0"/>
              <w:tabs>
                <w:tab w:val="left" w:pos="1260"/>
              </w:tabs>
              <w:adjustRightInd w:val="0"/>
              <w:spacing w:line="240" w:lineRule="atLeast"/>
              <w:jc w:val="both"/>
              <w:rPr>
                <w:rFonts w:ascii="Times New Roman" w:hAnsi="Times New Roman" w:cs="Times New Roman"/>
                <w:color w:val="000000"/>
              </w:rPr>
            </w:pPr>
            <w:r w:rsidRPr="00F06DE2">
              <w:rPr>
                <w:rFonts w:ascii="Times New Roman" w:hAnsi="Times New Roman" w:cs="Times New Roman"/>
                <w:color w:val="000000"/>
              </w:rPr>
              <w:t>Аранжировки и защитни характеристики</w:t>
            </w:r>
          </w:p>
        </w:tc>
        <w:tc>
          <w:tcPr>
            <w:tcW w:w="5387" w:type="dxa"/>
            <w:shd w:val="clear" w:color="auto" w:fill="auto"/>
          </w:tcPr>
          <w:p w14:paraId="6A5CAD35" w14:textId="77777777"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color w:val="000000"/>
                <w:spacing w:val="-2"/>
              </w:rPr>
              <w:t>Н.З.Р.</w:t>
            </w:r>
          </w:p>
        </w:tc>
        <w:tc>
          <w:tcPr>
            <w:tcW w:w="1429" w:type="dxa"/>
            <w:gridSpan w:val="2"/>
            <w:shd w:val="clear" w:color="auto" w:fill="auto"/>
          </w:tcPr>
          <w:p w14:paraId="006DB58E" w14:textId="77777777" w:rsidR="00607E36" w:rsidRPr="00F06DE2" w:rsidRDefault="00607E36" w:rsidP="00607E36">
            <w:pPr>
              <w:widowControl w:val="0"/>
              <w:spacing w:line="240" w:lineRule="atLeast"/>
              <w:jc w:val="both"/>
              <w:rPr>
                <w:rFonts w:ascii="Times New Roman" w:hAnsi="Times New Roman" w:cs="Times New Roman"/>
              </w:rPr>
            </w:pPr>
          </w:p>
        </w:tc>
        <w:tc>
          <w:tcPr>
            <w:tcW w:w="1559" w:type="dxa"/>
            <w:vMerge/>
          </w:tcPr>
          <w:p w14:paraId="0BDAC043" w14:textId="77777777" w:rsidR="00607E36" w:rsidRPr="00F06DE2" w:rsidRDefault="00607E36" w:rsidP="00607E36">
            <w:pPr>
              <w:widowControl w:val="0"/>
              <w:spacing w:line="240" w:lineRule="atLeast"/>
              <w:jc w:val="both"/>
              <w:rPr>
                <w:rFonts w:ascii="Times New Roman" w:hAnsi="Times New Roman" w:cs="Times New Roman"/>
                <w:color w:val="000000"/>
                <w:spacing w:val="-2"/>
              </w:rPr>
            </w:pPr>
          </w:p>
        </w:tc>
      </w:tr>
      <w:tr w:rsidR="00607E36" w:rsidRPr="00F06DE2" w14:paraId="79E1E26B" w14:textId="77777777" w:rsidTr="00A41A9A">
        <w:trPr>
          <w:cantSplit/>
          <w:trHeight w:val="163"/>
          <w:jc w:val="center"/>
        </w:trPr>
        <w:tc>
          <w:tcPr>
            <w:tcW w:w="1325" w:type="dxa"/>
            <w:vMerge/>
            <w:shd w:val="clear" w:color="auto" w:fill="auto"/>
          </w:tcPr>
          <w:p w14:paraId="60C13AD0"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6FFA2F73" w14:textId="77777777" w:rsidR="00607E36" w:rsidRPr="00F06DE2" w:rsidRDefault="00607E36" w:rsidP="00607E36">
            <w:pPr>
              <w:widowControl w:val="0"/>
              <w:spacing w:line="240" w:lineRule="atLeast"/>
              <w:jc w:val="both"/>
              <w:rPr>
                <w:rFonts w:ascii="Times New Roman" w:hAnsi="Times New Roman" w:cs="Times New Roman"/>
              </w:rPr>
            </w:pPr>
            <w:r w:rsidRPr="00F06DE2">
              <w:rPr>
                <w:rFonts w:ascii="Times New Roman" w:hAnsi="Times New Roman" w:cs="Times New Roman"/>
              </w:rPr>
              <w:t xml:space="preserve">Точка 7 </w:t>
            </w:r>
          </w:p>
        </w:tc>
        <w:tc>
          <w:tcPr>
            <w:tcW w:w="3296" w:type="dxa"/>
            <w:shd w:val="clear" w:color="auto" w:fill="auto"/>
          </w:tcPr>
          <w:p w14:paraId="6BFB5293" w14:textId="77777777" w:rsidR="00607E36" w:rsidRPr="00F06DE2" w:rsidRDefault="00607E36" w:rsidP="00607E36">
            <w:pPr>
              <w:widowControl w:val="0"/>
              <w:tabs>
                <w:tab w:val="left" w:pos="1260"/>
              </w:tabs>
              <w:adjustRightInd w:val="0"/>
              <w:spacing w:line="240" w:lineRule="atLeast"/>
              <w:jc w:val="both"/>
              <w:rPr>
                <w:rFonts w:ascii="Times New Roman" w:hAnsi="Times New Roman" w:cs="Times New Roman"/>
                <w:strike/>
              </w:rPr>
            </w:pPr>
            <w:r w:rsidRPr="00F06DE2">
              <w:rPr>
                <w:rFonts w:ascii="Times New Roman" w:hAnsi="Times New Roman" w:cs="Times New Roman"/>
                <w:color w:val="000000"/>
              </w:rPr>
              <w:t>Хидравлични маркучи</w:t>
            </w:r>
          </w:p>
        </w:tc>
        <w:tc>
          <w:tcPr>
            <w:tcW w:w="5387" w:type="dxa"/>
            <w:shd w:val="clear" w:color="auto" w:fill="auto"/>
          </w:tcPr>
          <w:p w14:paraId="239BBEBA" w14:textId="77777777" w:rsidR="00607E36" w:rsidRPr="00F06DE2" w:rsidRDefault="00607E36" w:rsidP="00607E36">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28F099A6" w14:textId="77777777" w:rsidR="00607E36" w:rsidRPr="00F06DE2" w:rsidRDefault="00607E36" w:rsidP="00607E36">
            <w:pPr>
              <w:widowControl w:val="0"/>
              <w:spacing w:line="240" w:lineRule="atLeast"/>
              <w:jc w:val="both"/>
              <w:rPr>
                <w:rFonts w:ascii="Times New Roman" w:hAnsi="Times New Roman" w:cs="Times New Roman"/>
                <w:lang w:val="ru-RU"/>
              </w:rPr>
            </w:pPr>
          </w:p>
        </w:tc>
        <w:tc>
          <w:tcPr>
            <w:tcW w:w="1559" w:type="dxa"/>
            <w:vMerge/>
          </w:tcPr>
          <w:p w14:paraId="314331FF" w14:textId="77777777" w:rsidR="00607E36" w:rsidRPr="00F06DE2" w:rsidRDefault="00607E36" w:rsidP="00607E36">
            <w:pPr>
              <w:widowControl w:val="0"/>
              <w:spacing w:line="240" w:lineRule="atLeast"/>
              <w:jc w:val="both"/>
              <w:rPr>
                <w:rFonts w:ascii="Times New Roman" w:hAnsi="Times New Roman" w:cs="Times New Roman"/>
                <w:lang w:val="ru-RU"/>
              </w:rPr>
            </w:pPr>
          </w:p>
        </w:tc>
      </w:tr>
      <w:tr w:rsidR="00607E36" w:rsidRPr="00F06DE2" w14:paraId="3F64D6C7" w14:textId="77777777" w:rsidTr="00A41A9A">
        <w:trPr>
          <w:cantSplit/>
          <w:jc w:val="center"/>
        </w:trPr>
        <w:tc>
          <w:tcPr>
            <w:tcW w:w="6079" w:type="dxa"/>
            <w:gridSpan w:val="3"/>
            <w:shd w:val="clear" w:color="auto" w:fill="auto"/>
          </w:tcPr>
          <w:p w14:paraId="69B81A74" w14:textId="77777777" w:rsidR="00607E36" w:rsidRPr="00F06DE2" w:rsidRDefault="00607E36" w:rsidP="00607E36">
            <w:pPr>
              <w:spacing w:line="240" w:lineRule="atLeast"/>
              <w:jc w:val="center"/>
              <w:rPr>
                <w:rFonts w:ascii="Times New Roman" w:hAnsi="Times New Roman" w:cs="Times New Roman"/>
              </w:rPr>
            </w:pPr>
            <w:r w:rsidRPr="00F06DE2">
              <w:rPr>
                <w:rFonts w:ascii="Times New Roman" w:hAnsi="Times New Roman" w:cs="Times New Roman"/>
                <w:b/>
              </w:rPr>
              <w:lastRenderedPageBreak/>
              <w:t>ГЛАВА 8</w:t>
            </w:r>
          </w:p>
        </w:tc>
        <w:tc>
          <w:tcPr>
            <w:tcW w:w="5387" w:type="dxa"/>
            <w:shd w:val="clear" w:color="auto" w:fill="auto"/>
          </w:tcPr>
          <w:p w14:paraId="56DBD072" w14:textId="77777777" w:rsidR="00607E36" w:rsidRPr="00F06DE2" w:rsidRDefault="00607E36" w:rsidP="00607E36">
            <w:pPr>
              <w:spacing w:line="240" w:lineRule="atLeast"/>
              <w:rPr>
                <w:rFonts w:ascii="Times New Roman" w:hAnsi="Times New Roman" w:cs="Times New Roman"/>
              </w:rPr>
            </w:pPr>
          </w:p>
        </w:tc>
        <w:tc>
          <w:tcPr>
            <w:tcW w:w="1429" w:type="dxa"/>
            <w:gridSpan w:val="2"/>
            <w:shd w:val="clear" w:color="auto" w:fill="auto"/>
          </w:tcPr>
          <w:p w14:paraId="49D88C5E" w14:textId="77777777" w:rsidR="00607E36" w:rsidRPr="00F06DE2" w:rsidRDefault="00607E36" w:rsidP="00607E36">
            <w:pPr>
              <w:spacing w:line="240" w:lineRule="atLeast"/>
              <w:rPr>
                <w:rFonts w:ascii="Times New Roman" w:hAnsi="Times New Roman" w:cs="Times New Roman"/>
              </w:rPr>
            </w:pPr>
          </w:p>
        </w:tc>
        <w:tc>
          <w:tcPr>
            <w:tcW w:w="1559" w:type="dxa"/>
          </w:tcPr>
          <w:p w14:paraId="138DBBA8" w14:textId="77777777" w:rsidR="00607E36" w:rsidRPr="00F06DE2" w:rsidRDefault="00607E36" w:rsidP="00607E36">
            <w:pPr>
              <w:spacing w:line="240" w:lineRule="atLeast"/>
              <w:rPr>
                <w:rFonts w:ascii="Times New Roman" w:hAnsi="Times New Roman" w:cs="Times New Roman"/>
              </w:rPr>
            </w:pPr>
          </w:p>
        </w:tc>
      </w:tr>
      <w:tr w:rsidR="00607E36" w:rsidRPr="00F06DE2" w14:paraId="2D2ED69D" w14:textId="77777777" w:rsidTr="00A41A9A">
        <w:trPr>
          <w:cantSplit/>
          <w:jc w:val="center"/>
        </w:trPr>
        <w:tc>
          <w:tcPr>
            <w:tcW w:w="1325" w:type="dxa"/>
            <w:tcBorders>
              <w:bottom w:val="nil"/>
            </w:tcBorders>
            <w:shd w:val="clear" w:color="auto" w:fill="auto"/>
          </w:tcPr>
          <w:p w14:paraId="1A90535B"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8.02</w:t>
            </w:r>
          </w:p>
        </w:tc>
        <w:tc>
          <w:tcPr>
            <w:tcW w:w="1458" w:type="dxa"/>
            <w:shd w:val="clear" w:color="auto" w:fill="auto"/>
          </w:tcPr>
          <w:p w14:paraId="2DDA9357"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35533CC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Екраниране на тръби</w:t>
            </w:r>
          </w:p>
        </w:tc>
        <w:tc>
          <w:tcPr>
            <w:tcW w:w="5387" w:type="dxa"/>
            <w:shd w:val="clear" w:color="auto" w:fill="auto"/>
          </w:tcPr>
          <w:p w14:paraId="5550A09F"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112EE249" w14:textId="56A9332C" w:rsidR="00607E36" w:rsidRPr="00F06DE2" w:rsidRDefault="003A0573" w:rsidP="003A0573">
            <w:pPr>
              <w:spacing w:line="240" w:lineRule="atLeast"/>
              <w:ind w:right="-246"/>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4EABBAEC" w14:textId="4CEFF6B0" w:rsidR="00607E36" w:rsidRPr="00F06DE2" w:rsidRDefault="003A0573"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w:t>
            </w:r>
            <w:r w:rsidRPr="00F06DE2">
              <w:rPr>
                <w:rFonts w:ascii="Times New Roman" w:hAnsi="Times New Roman" w:cs="Times New Roman"/>
              </w:rPr>
              <w:t>0</w:t>
            </w:r>
            <w:r w:rsidR="00607E36" w:rsidRPr="00F06DE2">
              <w:rPr>
                <w:rFonts w:ascii="Times New Roman" w:hAnsi="Times New Roman" w:cs="Times New Roman"/>
              </w:rPr>
              <w:t>4.2007 г.</w:t>
            </w:r>
          </w:p>
        </w:tc>
      </w:tr>
      <w:tr w:rsidR="00607E36" w:rsidRPr="00F06DE2" w14:paraId="5EC37374" w14:textId="77777777" w:rsidTr="00A41A9A">
        <w:trPr>
          <w:cantSplit/>
          <w:jc w:val="center"/>
        </w:trPr>
        <w:tc>
          <w:tcPr>
            <w:tcW w:w="1325" w:type="dxa"/>
            <w:tcBorders>
              <w:top w:val="nil"/>
              <w:bottom w:val="single" w:sz="4" w:space="0" w:color="auto"/>
            </w:tcBorders>
            <w:shd w:val="clear" w:color="auto" w:fill="auto"/>
          </w:tcPr>
          <w:p w14:paraId="78EC0791"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11EB5145"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0B9986D5"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Тръбопроводна система с кожух</w:t>
            </w:r>
          </w:p>
        </w:tc>
        <w:tc>
          <w:tcPr>
            <w:tcW w:w="5387" w:type="dxa"/>
            <w:shd w:val="clear" w:color="auto" w:fill="auto"/>
          </w:tcPr>
          <w:p w14:paraId="1BD646CA"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66669B6" w14:textId="1710452C" w:rsidR="00607E36" w:rsidRPr="00F06DE2" w:rsidRDefault="003A0573" w:rsidP="003A0573">
            <w:pPr>
              <w:spacing w:line="240" w:lineRule="atLeast"/>
              <w:ind w:right="-246"/>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21F212AE" w14:textId="61C237E6" w:rsidR="00607E36" w:rsidRPr="00F06DE2" w:rsidRDefault="003A0573"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w:t>
            </w:r>
            <w:r w:rsidRPr="00F06DE2">
              <w:rPr>
                <w:rFonts w:ascii="Times New Roman" w:hAnsi="Times New Roman" w:cs="Times New Roman"/>
              </w:rPr>
              <w:t>0</w:t>
            </w:r>
            <w:r w:rsidR="00607E36" w:rsidRPr="00F06DE2">
              <w:rPr>
                <w:rFonts w:ascii="Times New Roman" w:hAnsi="Times New Roman" w:cs="Times New Roman"/>
              </w:rPr>
              <w:t>4.2007 г.</w:t>
            </w:r>
          </w:p>
        </w:tc>
      </w:tr>
      <w:tr w:rsidR="00607E36" w:rsidRPr="00F06DE2" w14:paraId="7DB7A472" w14:textId="77777777" w:rsidTr="00A41A9A">
        <w:trPr>
          <w:cantSplit/>
          <w:jc w:val="center"/>
        </w:trPr>
        <w:tc>
          <w:tcPr>
            <w:tcW w:w="1325" w:type="dxa"/>
            <w:tcBorders>
              <w:top w:val="single" w:sz="4" w:space="0" w:color="auto"/>
              <w:bottom w:val="nil"/>
            </w:tcBorders>
            <w:shd w:val="clear" w:color="auto" w:fill="auto"/>
          </w:tcPr>
          <w:p w14:paraId="0B31059B"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8.03</w:t>
            </w:r>
          </w:p>
        </w:tc>
        <w:tc>
          <w:tcPr>
            <w:tcW w:w="1458" w:type="dxa"/>
            <w:shd w:val="clear" w:color="auto" w:fill="auto"/>
          </w:tcPr>
          <w:p w14:paraId="72B0C454"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0268AD20" w14:textId="68EFD073"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spacing w:val="-2"/>
              </w:rPr>
              <w:t>Устройства за следене</w:t>
            </w:r>
          </w:p>
        </w:tc>
        <w:tc>
          <w:tcPr>
            <w:tcW w:w="5387" w:type="dxa"/>
            <w:shd w:val="clear" w:color="auto" w:fill="auto"/>
          </w:tcPr>
          <w:p w14:paraId="04C6599A"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8682C88" w14:textId="77777777" w:rsidR="00607E36" w:rsidRPr="00F06DE2" w:rsidRDefault="00607E36" w:rsidP="003A0573">
            <w:pPr>
              <w:spacing w:line="240" w:lineRule="atLeast"/>
              <w:ind w:right="-246"/>
              <w:jc w:val="both"/>
              <w:rPr>
                <w:rFonts w:ascii="Times New Roman" w:hAnsi="Times New Roman" w:cs="Times New Roman"/>
                <w:lang w:val="ru-RU"/>
              </w:rPr>
            </w:pPr>
          </w:p>
        </w:tc>
        <w:tc>
          <w:tcPr>
            <w:tcW w:w="1559" w:type="dxa"/>
          </w:tcPr>
          <w:p w14:paraId="5F814818" w14:textId="44A96ED3"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w:t>
            </w:r>
            <w:r w:rsidRPr="00F06DE2">
              <w:rPr>
                <w:rFonts w:ascii="Times New Roman" w:hAnsi="Times New Roman" w:cs="Times New Roman"/>
              </w:rPr>
              <w:t>0</w:t>
            </w:r>
            <w:r w:rsidR="00607E36" w:rsidRPr="00F06DE2">
              <w:rPr>
                <w:rFonts w:ascii="Times New Roman" w:hAnsi="Times New Roman" w:cs="Times New Roman"/>
              </w:rPr>
              <w:t>4.2004</w:t>
            </w:r>
            <w:r w:rsidRPr="00F06DE2">
              <w:rPr>
                <w:rFonts w:ascii="Times New Roman" w:hAnsi="Times New Roman" w:cs="Times New Roman"/>
              </w:rPr>
              <w:t xml:space="preserve"> г.</w:t>
            </w:r>
          </w:p>
        </w:tc>
      </w:tr>
      <w:tr w:rsidR="00607E36" w:rsidRPr="00F06DE2" w14:paraId="44009114" w14:textId="77777777" w:rsidTr="00A41A9A">
        <w:trPr>
          <w:cantSplit/>
          <w:jc w:val="center"/>
        </w:trPr>
        <w:tc>
          <w:tcPr>
            <w:tcW w:w="1325" w:type="dxa"/>
            <w:tcBorders>
              <w:bottom w:val="nil"/>
            </w:tcBorders>
            <w:shd w:val="clear" w:color="auto" w:fill="auto"/>
          </w:tcPr>
          <w:p w14:paraId="7BB29DFA"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8.05</w:t>
            </w:r>
          </w:p>
        </w:tc>
        <w:tc>
          <w:tcPr>
            <w:tcW w:w="1458" w:type="dxa"/>
            <w:shd w:val="clear" w:color="auto" w:fill="auto"/>
          </w:tcPr>
          <w:p w14:paraId="0E637D1B"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19C31CE6"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Без резервоари за гориво зад ахтерпиковата преграда</w:t>
            </w:r>
          </w:p>
        </w:tc>
        <w:tc>
          <w:tcPr>
            <w:tcW w:w="5387" w:type="dxa"/>
            <w:shd w:val="clear" w:color="auto" w:fill="auto"/>
          </w:tcPr>
          <w:p w14:paraId="6D385DD9"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67533D0" w14:textId="61F1618C" w:rsidR="00607E36" w:rsidRPr="00F06DE2" w:rsidRDefault="003A0573" w:rsidP="003A0573">
            <w:pPr>
              <w:spacing w:line="240" w:lineRule="atLeast"/>
              <w:ind w:right="-246"/>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.2035 г.</w:t>
            </w:r>
          </w:p>
        </w:tc>
        <w:tc>
          <w:tcPr>
            <w:tcW w:w="1559" w:type="dxa"/>
          </w:tcPr>
          <w:p w14:paraId="79516E47" w14:textId="06EA8471"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3DB7B1F4" w14:textId="77777777" w:rsidTr="00A41A9A">
        <w:trPr>
          <w:cantSplit/>
          <w:jc w:val="center"/>
        </w:trPr>
        <w:tc>
          <w:tcPr>
            <w:tcW w:w="1325" w:type="dxa"/>
            <w:shd w:val="clear" w:color="auto" w:fill="auto"/>
          </w:tcPr>
          <w:p w14:paraId="0C291575"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8.06</w:t>
            </w:r>
          </w:p>
        </w:tc>
        <w:tc>
          <w:tcPr>
            <w:tcW w:w="1458" w:type="dxa"/>
            <w:shd w:val="clear" w:color="auto" w:fill="auto"/>
          </w:tcPr>
          <w:p w14:paraId="1F28D6EA" w14:textId="77777777" w:rsidR="00607E36" w:rsidRPr="00F06DE2" w:rsidRDefault="00607E36" w:rsidP="00607E36">
            <w:pPr>
              <w:spacing w:line="240" w:lineRule="atLeast"/>
              <w:jc w:val="both"/>
              <w:rPr>
                <w:rFonts w:ascii="Times New Roman" w:hAnsi="Times New Roman" w:cs="Times New Roman"/>
              </w:rPr>
            </w:pPr>
          </w:p>
        </w:tc>
        <w:tc>
          <w:tcPr>
            <w:tcW w:w="3296" w:type="dxa"/>
            <w:shd w:val="clear" w:color="auto" w:fill="auto"/>
          </w:tcPr>
          <w:p w14:paraId="7CC98554"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Резервоари за смазочно масло, тръби и принадлежности</w:t>
            </w:r>
          </w:p>
        </w:tc>
        <w:tc>
          <w:tcPr>
            <w:tcW w:w="5387" w:type="dxa"/>
            <w:shd w:val="clear" w:color="auto" w:fill="auto"/>
          </w:tcPr>
          <w:p w14:paraId="5A0CDBCE"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A594414" w14:textId="7415C30E" w:rsidR="00607E36" w:rsidRPr="00F06DE2" w:rsidRDefault="003A0573" w:rsidP="003A0573">
            <w:pPr>
              <w:spacing w:line="240" w:lineRule="atLeast"/>
              <w:ind w:right="-246"/>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.2045 г.</w:t>
            </w:r>
          </w:p>
        </w:tc>
        <w:tc>
          <w:tcPr>
            <w:tcW w:w="1559" w:type="dxa"/>
          </w:tcPr>
          <w:p w14:paraId="0D958FBB" w14:textId="5FEF3435"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w:t>
            </w:r>
            <w:r w:rsidRPr="00F06DE2">
              <w:rPr>
                <w:rFonts w:ascii="Times New Roman" w:hAnsi="Times New Roman" w:cs="Times New Roman"/>
              </w:rPr>
              <w:t>0</w:t>
            </w:r>
            <w:r w:rsidR="00607E36" w:rsidRPr="00F06DE2">
              <w:rPr>
                <w:rFonts w:ascii="Times New Roman" w:hAnsi="Times New Roman" w:cs="Times New Roman"/>
              </w:rPr>
              <w:t>4.2007 г.</w:t>
            </w:r>
          </w:p>
        </w:tc>
      </w:tr>
      <w:tr w:rsidR="00607E36" w:rsidRPr="00F06DE2" w14:paraId="6C5D1D57" w14:textId="77777777" w:rsidTr="00A41A9A">
        <w:trPr>
          <w:cantSplit/>
          <w:jc w:val="center"/>
        </w:trPr>
        <w:tc>
          <w:tcPr>
            <w:tcW w:w="1325" w:type="dxa"/>
            <w:shd w:val="clear" w:color="auto" w:fill="auto"/>
          </w:tcPr>
          <w:p w14:paraId="4B32C03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8.07</w:t>
            </w:r>
          </w:p>
        </w:tc>
        <w:tc>
          <w:tcPr>
            <w:tcW w:w="1458" w:type="dxa"/>
            <w:shd w:val="clear" w:color="auto" w:fill="auto"/>
          </w:tcPr>
          <w:p w14:paraId="75060C39" w14:textId="77777777" w:rsidR="00607E36" w:rsidRPr="00F06DE2" w:rsidRDefault="00607E36" w:rsidP="00607E36">
            <w:pPr>
              <w:spacing w:line="240" w:lineRule="atLeast"/>
              <w:jc w:val="both"/>
              <w:rPr>
                <w:rFonts w:ascii="Times New Roman" w:hAnsi="Times New Roman" w:cs="Times New Roman"/>
              </w:rPr>
            </w:pPr>
          </w:p>
          <w:p w14:paraId="040FD0A9" w14:textId="77777777" w:rsidR="00607E36" w:rsidRPr="00F06DE2" w:rsidRDefault="00607E36" w:rsidP="00607E36">
            <w:pPr>
              <w:spacing w:line="240" w:lineRule="atLeast"/>
              <w:jc w:val="both"/>
              <w:rPr>
                <w:rFonts w:ascii="Times New Roman" w:hAnsi="Times New Roman" w:cs="Times New Roman"/>
              </w:rPr>
            </w:pPr>
          </w:p>
          <w:p w14:paraId="6DC490E0" w14:textId="77777777" w:rsidR="00607E36" w:rsidRPr="00F06DE2" w:rsidRDefault="00607E36" w:rsidP="00607E36">
            <w:pPr>
              <w:spacing w:line="240" w:lineRule="atLeast"/>
              <w:jc w:val="both"/>
              <w:rPr>
                <w:rFonts w:ascii="Times New Roman" w:hAnsi="Times New Roman" w:cs="Times New Roman"/>
              </w:rPr>
            </w:pPr>
          </w:p>
        </w:tc>
        <w:tc>
          <w:tcPr>
            <w:tcW w:w="3296" w:type="dxa"/>
            <w:shd w:val="clear" w:color="auto" w:fill="auto"/>
          </w:tcPr>
          <w:p w14:paraId="28F6C50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Резервоари за масла в силови трансмисии, системи за управление и задействане и системи за отопление, тръбопроводи и принадлежности</w:t>
            </w:r>
          </w:p>
        </w:tc>
        <w:tc>
          <w:tcPr>
            <w:tcW w:w="5387" w:type="dxa"/>
            <w:shd w:val="clear" w:color="auto" w:fill="auto"/>
          </w:tcPr>
          <w:p w14:paraId="1DF18DDD"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6DC1579" w14:textId="1AA8AB26" w:rsidR="00607E36" w:rsidRPr="00F06DE2" w:rsidRDefault="003A0573" w:rsidP="003A0573">
            <w:pPr>
              <w:spacing w:line="240" w:lineRule="atLeast"/>
              <w:ind w:right="-246"/>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.2045 г.</w:t>
            </w:r>
          </w:p>
        </w:tc>
        <w:tc>
          <w:tcPr>
            <w:tcW w:w="1559" w:type="dxa"/>
            <w:tcBorders>
              <w:bottom w:val="single" w:sz="4" w:space="0" w:color="auto"/>
            </w:tcBorders>
          </w:tcPr>
          <w:p w14:paraId="5430BA04" w14:textId="4BDFB759"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w:t>
            </w:r>
            <w:r w:rsidRPr="00F06DE2">
              <w:rPr>
                <w:rFonts w:ascii="Times New Roman" w:hAnsi="Times New Roman" w:cs="Times New Roman"/>
              </w:rPr>
              <w:t>0</w:t>
            </w:r>
            <w:r w:rsidR="00607E36" w:rsidRPr="00F06DE2">
              <w:rPr>
                <w:rFonts w:ascii="Times New Roman" w:hAnsi="Times New Roman" w:cs="Times New Roman"/>
              </w:rPr>
              <w:t>4.2007 г.</w:t>
            </w:r>
          </w:p>
        </w:tc>
      </w:tr>
      <w:tr w:rsidR="00607E36" w:rsidRPr="00F06DE2" w14:paraId="04A925B9" w14:textId="77777777" w:rsidTr="00A41A9A">
        <w:trPr>
          <w:cantSplit/>
          <w:jc w:val="center"/>
        </w:trPr>
        <w:tc>
          <w:tcPr>
            <w:tcW w:w="1325" w:type="dxa"/>
            <w:vMerge w:val="restart"/>
            <w:shd w:val="clear" w:color="auto" w:fill="auto"/>
          </w:tcPr>
          <w:p w14:paraId="4B3B9667"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8.10</w:t>
            </w:r>
          </w:p>
        </w:tc>
        <w:tc>
          <w:tcPr>
            <w:tcW w:w="1458" w:type="dxa"/>
            <w:shd w:val="clear" w:color="auto" w:fill="auto"/>
          </w:tcPr>
          <w:p w14:paraId="4805DABD"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23A55F07"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Шум, генериран от плавателен съд в движение</w:t>
            </w:r>
          </w:p>
        </w:tc>
        <w:tc>
          <w:tcPr>
            <w:tcW w:w="5387" w:type="dxa"/>
            <w:shd w:val="clear" w:color="auto" w:fill="auto"/>
          </w:tcPr>
          <w:p w14:paraId="1A3B4545" w14:textId="77777777" w:rsidR="00607E36" w:rsidRPr="00F06DE2" w:rsidRDefault="00607E36" w:rsidP="00607E36">
            <w:pPr>
              <w:spacing w:line="240" w:lineRule="atLeast"/>
              <w:ind w:left="2" w:right="53"/>
              <w:jc w:val="both"/>
              <w:rPr>
                <w:rFonts w:ascii="Times New Roman" w:hAnsi="Times New Roman" w:cs="Times New Roman"/>
                <w:lang w:val="ru-RU"/>
              </w:rPr>
            </w:pPr>
            <w:r w:rsidRPr="00F06DE2">
              <w:rPr>
                <w:rFonts w:ascii="Times New Roman" w:hAnsi="Times New Roman" w:cs="Times New Roman"/>
                <w:lang w:val="ru-RU"/>
              </w:rPr>
              <w:t>Корабите трябва да отговарят на следните условия:</w:t>
            </w:r>
          </w:p>
          <w:p w14:paraId="6EDD249B" w14:textId="77777777" w:rsidR="00607E36" w:rsidRPr="00F06DE2" w:rsidRDefault="00607E36" w:rsidP="00607E36">
            <w:pPr>
              <w:spacing w:line="240" w:lineRule="atLeast"/>
              <w:ind w:right="53"/>
              <w:jc w:val="both"/>
              <w:rPr>
                <w:rFonts w:ascii="Times New Roman" w:hAnsi="Times New Roman" w:cs="Times New Roman"/>
                <w:lang w:val="ru-RU"/>
              </w:rPr>
            </w:pPr>
            <w:r w:rsidRPr="00F06DE2">
              <w:rPr>
                <w:rFonts w:ascii="Times New Roman" w:hAnsi="Times New Roman" w:cs="Times New Roman"/>
                <w:lang w:val="ru-RU"/>
              </w:rPr>
              <w:t xml:space="preserve">нивото на звуковото налягане на шума, генериран от кораб в движение, не надвишава 75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на странично разстояние 25 </w:t>
            </w:r>
            <w:r w:rsidRPr="00F06DE2">
              <w:rPr>
                <w:rFonts w:ascii="Times New Roman" w:hAnsi="Times New Roman" w:cs="Times New Roman"/>
              </w:rPr>
              <w:t>m</w:t>
            </w:r>
            <w:r w:rsidRPr="00F06DE2">
              <w:rPr>
                <w:rFonts w:ascii="Times New Roman" w:hAnsi="Times New Roman" w:cs="Times New Roman"/>
                <w:lang w:val="ru-RU"/>
              </w:rPr>
              <w:t xml:space="preserve"> от борда на кораба</w:t>
            </w:r>
          </w:p>
        </w:tc>
        <w:tc>
          <w:tcPr>
            <w:tcW w:w="1429" w:type="dxa"/>
            <w:gridSpan w:val="2"/>
            <w:shd w:val="clear" w:color="auto" w:fill="auto"/>
          </w:tcPr>
          <w:p w14:paraId="34D24585"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Borders>
              <w:bottom w:val="single" w:sz="4" w:space="0" w:color="auto"/>
            </w:tcBorders>
          </w:tcPr>
          <w:p w14:paraId="01C1D8DC" w14:textId="7C9BB0BE"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r>
      <w:tr w:rsidR="00607E36" w:rsidRPr="00F06DE2" w14:paraId="00A3B9D2" w14:textId="77777777" w:rsidTr="00A41A9A">
        <w:trPr>
          <w:cantSplit/>
          <w:jc w:val="center"/>
        </w:trPr>
        <w:tc>
          <w:tcPr>
            <w:tcW w:w="1325" w:type="dxa"/>
            <w:vMerge/>
            <w:shd w:val="clear" w:color="auto" w:fill="auto"/>
          </w:tcPr>
          <w:p w14:paraId="6818EDB8"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1F648F91"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 xml:space="preserve">Точка 3 </w:t>
            </w:r>
          </w:p>
        </w:tc>
        <w:tc>
          <w:tcPr>
            <w:tcW w:w="3296" w:type="dxa"/>
            <w:shd w:val="clear" w:color="auto" w:fill="auto"/>
          </w:tcPr>
          <w:p w14:paraId="6FE46F29"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Шум, генериран от плавателен съд, когато е неподвижен</w:t>
            </w:r>
          </w:p>
        </w:tc>
        <w:tc>
          <w:tcPr>
            <w:tcW w:w="5387" w:type="dxa"/>
            <w:shd w:val="clear" w:color="auto" w:fill="auto"/>
          </w:tcPr>
          <w:p w14:paraId="29896EA8" w14:textId="77777777" w:rsidR="00607E36" w:rsidRPr="00F06DE2" w:rsidRDefault="00607E36" w:rsidP="00607E36">
            <w:pPr>
              <w:spacing w:line="240" w:lineRule="atLeast"/>
              <w:ind w:left="2" w:right="52"/>
              <w:jc w:val="both"/>
              <w:rPr>
                <w:rFonts w:ascii="Times New Roman" w:hAnsi="Times New Roman" w:cs="Times New Roman"/>
                <w:lang w:val="ru-RU"/>
              </w:rPr>
            </w:pPr>
            <w:r w:rsidRPr="00F06DE2">
              <w:rPr>
                <w:rFonts w:ascii="Times New Roman" w:hAnsi="Times New Roman" w:cs="Times New Roman"/>
                <w:lang w:val="ru-RU"/>
              </w:rPr>
              <w:t>Корабите трябва да отговарят на следните условия:</w:t>
            </w:r>
          </w:p>
          <w:p w14:paraId="1866F920" w14:textId="77777777" w:rsidR="00607E36" w:rsidRPr="00F06DE2" w:rsidRDefault="00607E36" w:rsidP="00607E36">
            <w:pPr>
              <w:spacing w:line="240" w:lineRule="atLeast"/>
              <w:ind w:left="2" w:right="52"/>
              <w:jc w:val="both"/>
              <w:rPr>
                <w:rFonts w:ascii="Times New Roman" w:hAnsi="Times New Roman" w:cs="Times New Roman"/>
                <w:lang w:val="ru-RU"/>
              </w:rPr>
            </w:pPr>
            <w:r w:rsidRPr="00F06DE2">
              <w:rPr>
                <w:rFonts w:ascii="Times New Roman" w:hAnsi="Times New Roman" w:cs="Times New Roman"/>
                <w:lang w:val="ru-RU"/>
              </w:rPr>
              <w:t xml:space="preserve">нивото на звуковото налягане на шума, генериран от плавателен съд, когато е неподвижен, не надвишава 65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на странично разстояние от 25 </w:t>
            </w:r>
            <w:r w:rsidRPr="00F06DE2">
              <w:rPr>
                <w:rFonts w:ascii="Times New Roman" w:hAnsi="Times New Roman" w:cs="Times New Roman"/>
              </w:rPr>
              <w:t>m</w:t>
            </w:r>
            <w:r w:rsidRPr="00F06DE2">
              <w:rPr>
                <w:rFonts w:ascii="Times New Roman" w:hAnsi="Times New Roman" w:cs="Times New Roman"/>
                <w:lang w:val="ru-RU"/>
              </w:rPr>
              <w:t xml:space="preserve"> от борда на кораба</w:t>
            </w:r>
          </w:p>
        </w:tc>
        <w:tc>
          <w:tcPr>
            <w:tcW w:w="1429" w:type="dxa"/>
            <w:gridSpan w:val="2"/>
            <w:shd w:val="clear" w:color="auto" w:fill="auto"/>
          </w:tcPr>
          <w:p w14:paraId="41700F26"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Borders>
              <w:bottom w:val="single" w:sz="4" w:space="0" w:color="auto"/>
            </w:tcBorders>
          </w:tcPr>
          <w:p w14:paraId="03020C6F" w14:textId="1319E5D4"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r>
      <w:tr w:rsidR="00607E36" w:rsidRPr="00F06DE2" w14:paraId="2742C843" w14:textId="77777777" w:rsidTr="00A41A9A">
        <w:trPr>
          <w:cantSplit/>
          <w:jc w:val="center"/>
        </w:trPr>
        <w:tc>
          <w:tcPr>
            <w:tcW w:w="6079" w:type="dxa"/>
            <w:gridSpan w:val="3"/>
            <w:tcBorders>
              <w:bottom w:val="single" w:sz="4" w:space="0" w:color="auto"/>
            </w:tcBorders>
            <w:shd w:val="clear" w:color="auto" w:fill="auto"/>
          </w:tcPr>
          <w:p w14:paraId="241C6950" w14:textId="77777777" w:rsidR="00607E36" w:rsidRPr="00F06DE2" w:rsidRDefault="00607E36" w:rsidP="00607E36">
            <w:pPr>
              <w:spacing w:line="240" w:lineRule="atLeast"/>
              <w:jc w:val="center"/>
              <w:rPr>
                <w:rFonts w:ascii="Times New Roman" w:hAnsi="Times New Roman" w:cs="Times New Roman"/>
              </w:rPr>
            </w:pPr>
            <w:r w:rsidRPr="00F06DE2">
              <w:rPr>
                <w:rFonts w:ascii="Times New Roman" w:hAnsi="Times New Roman" w:cs="Times New Roman"/>
                <w:b/>
              </w:rPr>
              <w:lastRenderedPageBreak/>
              <w:t>ГЛАВА 9</w:t>
            </w:r>
          </w:p>
        </w:tc>
        <w:tc>
          <w:tcPr>
            <w:tcW w:w="5387" w:type="dxa"/>
            <w:tcBorders>
              <w:bottom w:val="single" w:sz="4" w:space="0" w:color="auto"/>
            </w:tcBorders>
            <w:shd w:val="clear" w:color="auto" w:fill="auto"/>
          </w:tcPr>
          <w:p w14:paraId="7100D920"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Глава 9 се прилага за двигатели със следните изключения.</w:t>
            </w:r>
          </w:p>
          <w:p w14:paraId="4896A117"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а) Само член 9.02 се прилага за двигатели, които вече са монтирани</w:t>
            </w:r>
          </w:p>
          <w:p w14:paraId="55AEC659"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аа) неодобрен тип; или</w:t>
            </w:r>
          </w:p>
          <w:p w14:paraId="2CFC19C0"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бб) за които не е трябвало да се провежда тест за монтаж.</w:t>
            </w:r>
          </w:p>
          <w:p w14:paraId="5E74B749"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б) Без да се засяга буква “а”, член 9.10, точка 2 се прилага само за ремонт на двигатели, произведени след 1 януари 2024 г., включително тези, произведени на двигател в експлоатация преди тази дата.</w:t>
            </w:r>
          </w:p>
          <w:p w14:paraId="3EA851DF"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в) Без да се засяга буква “а”, член 9.01, точка 2 не се прилага за двигатели инсталирани преди 1 януари 2020 г., ако отговарят на разпоредбите на типово одобрение и монтаж в сила към датата на монтажа.</w:t>
            </w:r>
          </w:p>
        </w:tc>
        <w:tc>
          <w:tcPr>
            <w:tcW w:w="1429" w:type="dxa"/>
            <w:gridSpan w:val="2"/>
            <w:tcBorders>
              <w:bottom w:val="single" w:sz="4" w:space="0" w:color="auto"/>
            </w:tcBorders>
            <w:shd w:val="clear" w:color="auto" w:fill="auto"/>
          </w:tcPr>
          <w:p w14:paraId="5A59B67F" w14:textId="77777777" w:rsidR="00607E36" w:rsidRPr="00F06DE2" w:rsidRDefault="00607E36" w:rsidP="00607E36">
            <w:pPr>
              <w:spacing w:line="240" w:lineRule="atLeast"/>
              <w:rPr>
                <w:rFonts w:ascii="Times New Roman" w:hAnsi="Times New Roman" w:cs="Times New Roman"/>
                <w:lang w:val="ru-RU"/>
              </w:rPr>
            </w:pPr>
          </w:p>
        </w:tc>
        <w:tc>
          <w:tcPr>
            <w:tcW w:w="1559" w:type="dxa"/>
          </w:tcPr>
          <w:p w14:paraId="3EBB01D9" w14:textId="52BFBCA0" w:rsidR="00607E36" w:rsidRPr="00F06DE2" w:rsidRDefault="00794B0A" w:rsidP="00607E36">
            <w:pPr>
              <w:spacing w:line="240" w:lineRule="atLeast"/>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.2024 г.</w:t>
            </w:r>
          </w:p>
        </w:tc>
      </w:tr>
      <w:tr w:rsidR="00607E36" w:rsidRPr="00F06DE2" w14:paraId="75F9EB85" w14:textId="77777777" w:rsidTr="00A41A9A">
        <w:trPr>
          <w:cantSplit/>
          <w:jc w:val="center"/>
        </w:trPr>
        <w:tc>
          <w:tcPr>
            <w:tcW w:w="6079" w:type="dxa"/>
            <w:gridSpan w:val="3"/>
            <w:tcBorders>
              <w:top w:val="single" w:sz="4" w:space="0" w:color="auto"/>
            </w:tcBorders>
            <w:shd w:val="clear" w:color="auto" w:fill="auto"/>
          </w:tcPr>
          <w:p w14:paraId="4809716E" w14:textId="77777777" w:rsidR="00607E36" w:rsidRPr="00F06DE2" w:rsidRDefault="00607E36" w:rsidP="00607E36">
            <w:pPr>
              <w:spacing w:line="240" w:lineRule="atLeast"/>
              <w:jc w:val="center"/>
              <w:rPr>
                <w:rFonts w:ascii="Times New Roman" w:hAnsi="Times New Roman" w:cs="Times New Roman"/>
                <w:b/>
              </w:rPr>
            </w:pPr>
            <w:r w:rsidRPr="00F06DE2">
              <w:rPr>
                <w:rFonts w:ascii="Times New Roman" w:hAnsi="Times New Roman" w:cs="Times New Roman"/>
                <w:b/>
              </w:rPr>
              <w:t>ГЛАВА 10</w:t>
            </w:r>
          </w:p>
        </w:tc>
        <w:tc>
          <w:tcPr>
            <w:tcW w:w="5387" w:type="dxa"/>
            <w:shd w:val="clear" w:color="auto" w:fill="auto"/>
          </w:tcPr>
          <w:p w14:paraId="2D51608E" w14:textId="77777777" w:rsidR="00607E36" w:rsidRPr="00F06DE2" w:rsidRDefault="00607E36" w:rsidP="00607E36">
            <w:pPr>
              <w:spacing w:line="240" w:lineRule="atLeast"/>
              <w:jc w:val="center"/>
              <w:rPr>
                <w:rFonts w:ascii="Times New Roman" w:hAnsi="Times New Roman" w:cs="Times New Roman"/>
              </w:rPr>
            </w:pPr>
          </w:p>
        </w:tc>
        <w:tc>
          <w:tcPr>
            <w:tcW w:w="1429" w:type="dxa"/>
            <w:gridSpan w:val="2"/>
            <w:shd w:val="clear" w:color="auto" w:fill="auto"/>
          </w:tcPr>
          <w:p w14:paraId="25F1E807" w14:textId="77777777" w:rsidR="00607E36" w:rsidRPr="00F06DE2" w:rsidRDefault="00607E36" w:rsidP="00607E36">
            <w:pPr>
              <w:spacing w:line="240" w:lineRule="atLeast"/>
              <w:jc w:val="center"/>
              <w:rPr>
                <w:rFonts w:ascii="Times New Roman" w:hAnsi="Times New Roman" w:cs="Times New Roman"/>
              </w:rPr>
            </w:pPr>
          </w:p>
        </w:tc>
        <w:tc>
          <w:tcPr>
            <w:tcW w:w="1559" w:type="dxa"/>
          </w:tcPr>
          <w:p w14:paraId="4C5F101C" w14:textId="77777777" w:rsidR="00607E36" w:rsidRPr="00F06DE2" w:rsidRDefault="00607E36" w:rsidP="00607E36">
            <w:pPr>
              <w:spacing w:line="240" w:lineRule="atLeast"/>
              <w:jc w:val="center"/>
              <w:rPr>
                <w:rFonts w:ascii="Times New Roman" w:hAnsi="Times New Roman" w:cs="Times New Roman"/>
              </w:rPr>
            </w:pPr>
          </w:p>
        </w:tc>
      </w:tr>
      <w:tr w:rsidR="00607E36" w:rsidRPr="00F06DE2" w14:paraId="072DA6AF" w14:textId="77777777" w:rsidTr="00A41A9A">
        <w:trPr>
          <w:cantSplit/>
          <w:jc w:val="center"/>
        </w:trPr>
        <w:tc>
          <w:tcPr>
            <w:tcW w:w="1325" w:type="dxa"/>
            <w:vMerge w:val="restart"/>
            <w:shd w:val="clear" w:color="auto" w:fill="auto"/>
          </w:tcPr>
          <w:p w14:paraId="0FCD35F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10.01</w:t>
            </w:r>
          </w:p>
        </w:tc>
        <w:tc>
          <w:tcPr>
            <w:tcW w:w="1458" w:type="dxa"/>
            <w:shd w:val="clear" w:color="auto" w:fill="auto"/>
          </w:tcPr>
          <w:p w14:paraId="4E9D21AC"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 2-ро изречение</w:t>
            </w:r>
          </w:p>
        </w:tc>
        <w:tc>
          <w:tcPr>
            <w:tcW w:w="3296" w:type="dxa"/>
            <w:shd w:val="clear" w:color="auto" w:fill="auto"/>
          </w:tcPr>
          <w:p w14:paraId="7D219980"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Необходимите документи трябва да бъдат представени на контролния орган</w:t>
            </w:r>
          </w:p>
        </w:tc>
        <w:tc>
          <w:tcPr>
            <w:tcW w:w="5387" w:type="dxa"/>
            <w:shd w:val="clear" w:color="auto" w:fill="auto"/>
          </w:tcPr>
          <w:p w14:paraId="0D0AB16C"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6E4541B1" w14:textId="1181EF32"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.2035 г.</w:t>
            </w:r>
          </w:p>
        </w:tc>
        <w:tc>
          <w:tcPr>
            <w:tcW w:w="1559" w:type="dxa"/>
          </w:tcPr>
          <w:p w14:paraId="71F60BC0" w14:textId="3D236838"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35643B53" w14:textId="77777777" w:rsidTr="00A41A9A">
        <w:trPr>
          <w:cantSplit/>
          <w:jc w:val="center"/>
        </w:trPr>
        <w:tc>
          <w:tcPr>
            <w:tcW w:w="1325" w:type="dxa"/>
            <w:vMerge/>
            <w:shd w:val="clear" w:color="auto" w:fill="auto"/>
          </w:tcPr>
          <w:p w14:paraId="7D604AA2"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721C187E"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2, буква “д”</w:t>
            </w:r>
          </w:p>
        </w:tc>
        <w:tc>
          <w:tcPr>
            <w:tcW w:w="3296" w:type="dxa"/>
            <w:shd w:val="clear" w:color="auto" w:fill="auto"/>
          </w:tcPr>
          <w:p w14:paraId="3AE48C7D"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Планове за разпределителни табла, както и документация за електрически задвижващия двигател</w:t>
            </w:r>
          </w:p>
        </w:tc>
        <w:tc>
          <w:tcPr>
            <w:tcW w:w="5387" w:type="dxa"/>
            <w:shd w:val="clear" w:color="auto" w:fill="auto"/>
          </w:tcPr>
          <w:p w14:paraId="6CEE74D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13056FB8" w14:textId="56B3B9D2"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.2030 г.</w:t>
            </w:r>
          </w:p>
        </w:tc>
        <w:tc>
          <w:tcPr>
            <w:tcW w:w="1559" w:type="dxa"/>
          </w:tcPr>
          <w:p w14:paraId="529B9306" w14:textId="22231159"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6BBC7246" w14:textId="77777777" w:rsidTr="00A41A9A">
        <w:trPr>
          <w:cantSplit/>
          <w:jc w:val="center"/>
        </w:trPr>
        <w:tc>
          <w:tcPr>
            <w:tcW w:w="1325" w:type="dxa"/>
            <w:vMerge/>
            <w:tcBorders>
              <w:bottom w:val="nil"/>
            </w:tcBorders>
            <w:shd w:val="clear" w:color="auto" w:fill="auto"/>
          </w:tcPr>
          <w:p w14:paraId="6144B970"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248AF92C"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2, буква “е”</w:t>
            </w:r>
          </w:p>
        </w:tc>
        <w:tc>
          <w:tcPr>
            <w:tcW w:w="3296" w:type="dxa"/>
            <w:shd w:val="clear" w:color="auto" w:fill="auto"/>
          </w:tcPr>
          <w:p w14:paraId="0285CDA7"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Планове на електронни системи</w:t>
            </w:r>
          </w:p>
        </w:tc>
        <w:tc>
          <w:tcPr>
            <w:tcW w:w="5387" w:type="dxa"/>
            <w:shd w:val="clear" w:color="auto" w:fill="auto"/>
          </w:tcPr>
          <w:p w14:paraId="622F29C7"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6629448" w14:textId="2474D80D"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.2030 г.</w:t>
            </w:r>
          </w:p>
        </w:tc>
        <w:tc>
          <w:tcPr>
            <w:tcW w:w="1559" w:type="dxa"/>
          </w:tcPr>
          <w:p w14:paraId="4EDF6898" w14:textId="461F3F36"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1C3EC529" w14:textId="77777777" w:rsidTr="00A41A9A">
        <w:trPr>
          <w:cantSplit/>
          <w:jc w:val="center"/>
        </w:trPr>
        <w:tc>
          <w:tcPr>
            <w:tcW w:w="1325" w:type="dxa"/>
            <w:vMerge/>
            <w:tcBorders>
              <w:bottom w:val="nil"/>
            </w:tcBorders>
            <w:shd w:val="clear" w:color="auto" w:fill="auto"/>
          </w:tcPr>
          <w:p w14:paraId="3778C637"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2F58FD47"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2, буква “ж”</w:t>
            </w:r>
          </w:p>
        </w:tc>
        <w:tc>
          <w:tcPr>
            <w:tcW w:w="3296" w:type="dxa"/>
            <w:shd w:val="clear" w:color="auto" w:fill="auto"/>
          </w:tcPr>
          <w:p w14:paraId="03F969B5"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Планове за схема на управление</w:t>
            </w:r>
          </w:p>
        </w:tc>
        <w:tc>
          <w:tcPr>
            <w:tcW w:w="5387" w:type="dxa"/>
            <w:shd w:val="clear" w:color="auto" w:fill="auto"/>
          </w:tcPr>
          <w:p w14:paraId="12590139"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B90B195" w14:textId="631BF5F8"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.2030 г.</w:t>
            </w:r>
          </w:p>
        </w:tc>
        <w:tc>
          <w:tcPr>
            <w:tcW w:w="1559" w:type="dxa"/>
          </w:tcPr>
          <w:p w14:paraId="78F9A513" w14:textId="405AFE31"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0CFF41DB" w14:textId="77777777" w:rsidTr="00A41A9A">
        <w:trPr>
          <w:cantSplit/>
          <w:jc w:val="center"/>
        </w:trPr>
        <w:tc>
          <w:tcPr>
            <w:tcW w:w="1325" w:type="dxa"/>
            <w:tcBorders>
              <w:bottom w:val="nil"/>
            </w:tcBorders>
            <w:shd w:val="clear" w:color="auto" w:fill="auto"/>
          </w:tcPr>
          <w:p w14:paraId="2F1E881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lastRenderedPageBreak/>
              <w:t>10.03</w:t>
            </w:r>
          </w:p>
        </w:tc>
        <w:tc>
          <w:tcPr>
            <w:tcW w:w="1458" w:type="dxa"/>
            <w:shd w:val="clear" w:color="auto" w:fill="auto"/>
          </w:tcPr>
          <w:p w14:paraId="4157BE29" w14:textId="77777777" w:rsidR="00607E36" w:rsidRPr="00F06DE2" w:rsidRDefault="00607E36" w:rsidP="00607E36">
            <w:pPr>
              <w:spacing w:line="240" w:lineRule="atLeast"/>
              <w:jc w:val="both"/>
              <w:rPr>
                <w:rFonts w:ascii="Times New Roman" w:hAnsi="Times New Roman" w:cs="Times New Roman"/>
              </w:rPr>
            </w:pPr>
          </w:p>
        </w:tc>
        <w:tc>
          <w:tcPr>
            <w:tcW w:w="3296" w:type="dxa"/>
            <w:shd w:val="clear" w:color="auto" w:fill="auto"/>
          </w:tcPr>
          <w:p w14:paraId="5E2702A2"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Вид защита в зависимост от мястото на инсталиране</w:t>
            </w:r>
          </w:p>
        </w:tc>
        <w:tc>
          <w:tcPr>
            <w:tcW w:w="5387" w:type="dxa"/>
            <w:shd w:val="clear" w:color="auto" w:fill="auto"/>
          </w:tcPr>
          <w:p w14:paraId="199CF59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5867B8C" w14:textId="42BB9E75"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.2030 г.</w:t>
            </w:r>
          </w:p>
        </w:tc>
        <w:tc>
          <w:tcPr>
            <w:tcW w:w="1559" w:type="dxa"/>
          </w:tcPr>
          <w:p w14:paraId="033E6D99" w14:textId="67197B6C"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21C20055" w14:textId="77777777" w:rsidTr="00A41A9A">
        <w:trPr>
          <w:cantSplit/>
          <w:jc w:val="center"/>
        </w:trPr>
        <w:tc>
          <w:tcPr>
            <w:tcW w:w="1325" w:type="dxa"/>
            <w:tcBorders>
              <w:bottom w:val="nil"/>
            </w:tcBorders>
            <w:shd w:val="clear" w:color="auto" w:fill="auto"/>
          </w:tcPr>
          <w:p w14:paraId="378E15AD"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10.04</w:t>
            </w:r>
          </w:p>
        </w:tc>
        <w:tc>
          <w:tcPr>
            <w:tcW w:w="1458" w:type="dxa"/>
            <w:shd w:val="clear" w:color="auto" w:fill="auto"/>
          </w:tcPr>
          <w:p w14:paraId="60E25146" w14:textId="77777777" w:rsidR="00607E36" w:rsidRPr="00F06DE2" w:rsidRDefault="00607E36" w:rsidP="00607E36">
            <w:pPr>
              <w:spacing w:line="240" w:lineRule="atLeast"/>
              <w:jc w:val="both"/>
              <w:rPr>
                <w:rFonts w:ascii="Times New Roman" w:hAnsi="Times New Roman" w:cs="Times New Roman"/>
              </w:rPr>
            </w:pPr>
          </w:p>
        </w:tc>
        <w:tc>
          <w:tcPr>
            <w:tcW w:w="3296" w:type="dxa"/>
            <w:shd w:val="clear" w:color="auto" w:fill="auto"/>
          </w:tcPr>
          <w:p w14:paraId="6554C744"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Защита от експлозия</w:t>
            </w:r>
          </w:p>
        </w:tc>
        <w:tc>
          <w:tcPr>
            <w:tcW w:w="5387" w:type="dxa"/>
            <w:shd w:val="clear" w:color="auto" w:fill="auto"/>
          </w:tcPr>
          <w:p w14:paraId="006D5792"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DC523AC" w14:textId="76006560"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c>
          <w:tcPr>
            <w:tcW w:w="1559" w:type="dxa"/>
          </w:tcPr>
          <w:p w14:paraId="0EF68110" w14:textId="5B173177"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49A75B94" w14:textId="77777777" w:rsidTr="00A41A9A">
        <w:trPr>
          <w:cantSplit/>
          <w:jc w:val="center"/>
        </w:trPr>
        <w:tc>
          <w:tcPr>
            <w:tcW w:w="1325" w:type="dxa"/>
            <w:tcBorders>
              <w:bottom w:val="nil"/>
            </w:tcBorders>
            <w:shd w:val="clear" w:color="auto" w:fill="auto"/>
          </w:tcPr>
          <w:p w14:paraId="2A93753A"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 xml:space="preserve">10.06 </w:t>
            </w:r>
          </w:p>
        </w:tc>
        <w:tc>
          <w:tcPr>
            <w:tcW w:w="1458" w:type="dxa"/>
            <w:shd w:val="clear" w:color="auto" w:fill="auto"/>
          </w:tcPr>
          <w:p w14:paraId="7604FC52"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 таблица</w:t>
            </w:r>
          </w:p>
        </w:tc>
        <w:tc>
          <w:tcPr>
            <w:tcW w:w="3296" w:type="dxa"/>
            <w:shd w:val="clear" w:color="auto" w:fill="auto"/>
          </w:tcPr>
          <w:p w14:paraId="3850D63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Трифазен променлив ток</w:t>
            </w:r>
          </w:p>
        </w:tc>
        <w:tc>
          <w:tcPr>
            <w:tcW w:w="5387" w:type="dxa"/>
            <w:shd w:val="clear" w:color="auto" w:fill="auto"/>
          </w:tcPr>
          <w:p w14:paraId="1036E2B6"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4A414B8" w14:textId="31FDB586"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45BB9DF3" w14:textId="1D3507F9"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6AD9DB1E" w14:textId="77777777" w:rsidTr="00A41A9A">
        <w:trPr>
          <w:cantSplit/>
          <w:jc w:val="center"/>
        </w:trPr>
        <w:tc>
          <w:tcPr>
            <w:tcW w:w="1325" w:type="dxa"/>
            <w:vMerge w:val="restart"/>
            <w:shd w:val="clear" w:color="auto" w:fill="auto"/>
          </w:tcPr>
          <w:p w14:paraId="3471109D"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10.08</w:t>
            </w:r>
          </w:p>
        </w:tc>
        <w:tc>
          <w:tcPr>
            <w:tcW w:w="1458" w:type="dxa"/>
            <w:shd w:val="clear" w:color="auto" w:fill="auto"/>
          </w:tcPr>
          <w:p w14:paraId="70971453"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6EF3A451"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Съответствие с Европейските стандарти </w:t>
            </w:r>
            <w:r w:rsidRPr="00F06DE2">
              <w:rPr>
                <w:rFonts w:ascii="Times New Roman" w:hAnsi="Times New Roman" w:cs="Times New Roman"/>
              </w:rPr>
              <w:t>EN</w:t>
            </w:r>
            <w:r w:rsidRPr="00F06DE2">
              <w:rPr>
                <w:rFonts w:ascii="Times New Roman" w:hAnsi="Times New Roman" w:cs="Times New Roman"/>
                <w:lang w:val="ru-RU"/>
              </w:rPr>
              <w:t xml:space="preserve"> 15869-1, </w:t>
            </w:r>
            <w:r w:rsidRPr="00F06DE2">
              <w:rPr>
                <w:rFonts w:ascii="Times New Roman" w:hAnsi="Times New Roman" w:cs="Times New Roman"/>
              </w:rPr>
              <w:t>EN</w:t>
            </w:r>
            <w:r w:rsidRPr="00F06DE2">
              <w:rPr>
                <w:rFonts w:ascii="Times New Roman" w:hAnsi="Times New Roman" w:cs="Times New Roman"/>
                <w:lang w:val="ru-RU"/>
              </w:rPr>
              <w:t xml:space="preserve"> 15869-3 и </w:t>
            </w:r>
            <w:r w:rsidRPr="00F06DE2">
              <w:rPr>
                <w:rFonts w:ascii="Times New Roman" w:hAnsi="Times New Roman" w:cs="Times New Roman"/>
              </w:rPr>
              <w:t>EN</w:t>
            </w:r>
            <w:r w:rsidRPr="00F06DE2">
              <w:rPr>
                <w:rFonts w:ascii="Times New Roman" w:hAnsi="Times New Roman" w:cs="Times New Roman"/>
                <w:lang w:val="ru-RU"/>
              </w:rPr>
              <w:t xml:space="preserve"> 16840</w:t>
            </w:r>
          </w:p>
        </w:tc>
        <w:tc>
          <w:tcPr>
            <w:tcW w:w="5387" w:type="dxa"/>
            <w:shd w:val="clear" w:color="auto" w:fill="auto"/>
          </w:tcPr>
          <w:p w14:paraId="13F3B47C"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75FB2AC" w14:textId="2DB22D1C"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c>
          <w:tcPr>
            <w:tcW w:w="1559" w:type="dxa"/>
          </w:tcPr>
          <w:p w14:paraId="7D5617BE" w14:textId="74A09DBC"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7A69A426" w14:textId="77777777" w:rsidTr="00A41A9A">
        <w:trPr>
          <w:cantSplit/>
          <w:jc w:val="center"/>
        </w:trPr>
        <w:tc>
          <w:tcPr>
            <w:tcW w:w="1325" w:type="dxa"/>
            <w:vMerge/>
            <w:tcBorders>
              <w:bottom w:val="single" w:sz="4" w:space="0" w:color="auto"/>
            </w:tcBorders>
            <w:shd w:val="clear" w:color="auto" w:fill="auto"/>
          </w:tcPr>
          <w:p w14:paraId="42B7FAEB"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2721EE4D"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5BBFCD26"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Включване и изключване, когато веригата не е под напрежение</w:t>
            </w:r>
          </w:p>
        </w:tc>
        <w:tc>
          <w:tcPr>
            <w:tcW w:w="5387" w:type="dxa"/>
            <w:shd w:val="clear" w:color="auto" w:fill="auto"/>
          </w:tcPr>
          <w:p w14:paraId="682E0817"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8F939AA" w14:textId="7654783C"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1C260A66" w14:textId="1DF00FA0"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4E8412B3" w14:textId="77777777" w:rsidTr="00A41A9A">
        <w:trPr>
          <w:cantSplit/>
          <w:jc w:val="center"/>
        </w:trPr>
        <w:tc>
          <w:tcPr>
            <w:tcW w:w="1325" w:type="dxa"/>
            <w:vMerge w:val="restart"/>
            <w:tcBorders>
              <w:bottom w:val="nil"/>
            </w:tcBorders>
            <w:shd w:val="clear" w:color="auto" w:fill="auto"/>
          </w:tcPr>
          <w:p w14:paraId="41CB2F61" w14:textId="0ACFB0DD" w:rsidR="00B722CD"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 xml:space="preserve">10.10 </w:t>
            </w:r>
          </w:p>
          <w:p w14:paraId="59FAE15D" w14:textId="77777777" w:rsidR="00B722CD" w:rsidRPr="00F06DE2" w:rsidRDefault="00B722CD" w:rsidP="00B722CD">
            <w:pPr>
              <w:rPr>
                <w:rFonts w:ascii="Times New Roman" w:hAnsi="Times New Roman" w:cs="Times New Roman"/>
              </w:rPr>
            </w:pPr>
          </w:p>
          <w:p w14:paraId="2BA2303A" w14:textId="77777777" w:rsidR="00B722CD" w:rsidRPr="00F06DE2" w:rsidRDefault="00B722CD" w:rsidP="00B722CD">
            <w:pPr>
              <w:rPr>
                <w:rFonts w:ascii="Times New Roman" w:hAnsi="Times New Roman" w:cs="Times New Roman"/>
              </w:rPr>
            </w:pPr>
          </w:p>
          <w:p w14:paraId="74800BBA" w14:textId="77777777" w:rsidR="00B722CD" w:rsidRPr="00F06DE2" w:rsidRDefault="00B722CD" w:rsidP="00B722CD">
            <w:pPr>
              <w:rPr>
                <w:rFonts w:ascii="Times New Roman" w:hAnsi="Times New Roman" w:cs="Times New Roman"/>
              </w:rPr>
            </w:pPr>
          </w:p>
          <w:p w14:paraId="3ED96E48" w14:textId="77777777" w:rsidR="00B722CD" w:rsidRPr="00F06DE2" w:rsidRDefault="00B722CD" w:rsidP="00B722CD">
            <w:pPr>
              <w:rPr>
                <w:rFonts w:ascii="Times New Roman" w:hAnsi="Times New Roman" w:cs="Times New Roman"/>
              </w:rPr>
            </w:pPr>
          </w:p>
          <w:p w14:paraId="5CC0B5D9" w14:textId="6F4ED8A0" w:rsidR="00607E36" w:rsidRPr="00F06DE2" w:rsidRDefault="00607E36" w:rsidP="00B722CD">
            <w:pPr>
              <w:jc w:val="center"/>
              <w:rPr>
                <w:rFonts w:ascii="Times New Roman" w:hAnsi="Times New Roman" w:cs="Times New Roman"/>
              </w:rPr>
            </w:pPr>
          </w:p>
        </w:tc>
        <w:tc>
          <w:tcPr>
            <w:tcW w:w="1458" w:type="dxa"/>
            <w:shd w:val="clear" w:color="auto" w:fill="auto"/>
          </w:tcPr>
          <w:p w14:paraId="2AE5738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3F8DF356"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Инсталиране на трансформатори</w:t>
            </w:r>
          </w:p>
        </w:tc>
        <w:tc>
          <w:tcPr>
            <w:tcW w:w="5387" w:type="dxa"/>
            <w:shd w:val="clear" w:color="auto" w:fill="auto"/>
          </w:tcPr>
          <w:p w14:paraId="43BCF64B"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3418319" w14:textId="6E9F7671" w:rsidR="00607E36" w:rsidRPr="00F06DE2" w:rsidRDefault="00794B0A" w:rsidP="00794B0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434F267B" w14:textId="76D0AF76" w:rsidR="00607E36" w:rsidRPr="00F06DE2" w:rsidRDefault="00794B0A"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55E63D99" w14:textId="77777777" w:rsidTr="00A41A9A">
        <w:trPr>
          <w:cantSplit/>
          <w:jc w:val="center"/>
        </w:trPr>
        <w:tc>
          <w:tcPr>
            <w:tcW w:w="1325" w:type="dxa"/>
            <w:vMerge/>
            <w:tcBorders>
              <w:bottom w:val="nil"/>
            </w:tcBorders>
            <w:shd w:val="clear" w:color="auto" w:fill="auto"/>
          </w:tcPr>
          <w:p w14:paraId="3BCE4AF3"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741E11A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409861E0"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Отделни първични и вторични намотки на трансформатори</w:t>
            </w:r>
          </w:p>
        </w:tc>
        <w:tc>
          <w:tcPr>
            <w:tcW w:w="5387" w:type="dxa"/>
            <w:shd w:val="clear" w:color="auto" w:fill="auto"/>
          </w:tcPr>
          <w:p w14:paraId="30EFB45B"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6E6C2B3" w14:textId="305763C3"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.2050 г.</w:t>
            </w:r>
          </w:p>
        </w:tc>
        <w:tc>
          <w:tcPr>
            <w:tcW w:w="1559" w:type="dxa"/>
          </w:tcPr>
          <w:p w14:paraId="0DC83D59" w14:textId="099325DA"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3D7255AF" w14:textId="77777777" w:rsidTr="00A41A9A">
        <w:trPr>
          <w:cantSplit/>
          <w:jc w:val="center"/>
        </w:trPr>
        <w:tc>
          <w:tcPr>
            <w:tcW w:w="1325" w:type="dxa"/>
            <w:vMerge/>
            <w:tcBorders>
              <w:bottom w:val="nil"/>
            </w:tcBorders>
            <w:shd w:val="clear" w:color="auto" w:fill="auto"/>
          </w:tcPr>
          <w:p w14:paraId="7CD5EE3F"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3621D4A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4AE80EEB"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Изводи на вторичните намотки на трансформатори</w:t>
            </w:r>
          </w:p>
        </w:tc>
        <w:tc>
          <w:tcPr>
            <w:tcW w:w="5387" w:type="dxa"/>
            <w:shd w:val="clear" w:color="auto" w:fill="auto"/>
          </w:tcPr>
          <w:p w14:paraId="439117B3"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0470F10" w14:textId="7F2DCDC4"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.2050 г.</w:t>
            </w:r>
          </w:p>
        </w:tc>
        <w:tc>
          <w:tcPr>
            <w:tcW w:w="1559" w:type="dxa"/>
          </w:tcPr>
          <w:p w14:paraId="311994E8" w14:textId="01F72F6A"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0AEFA9B8" w14:textId="77777777" w:rsidTr="00A41A9A">
        <w:trPr>
          <w:cantSplit/>
          <w:jc w:val="center"/>
        </w:trPr>
        <w:tc>
          <w:tcPr>
            <w:tcW w:w="1325" w:type="dxa"/>
            <w:vMerge/>
            <w:tcBorders>
              <w:bottom w:val="nil"/>
            </w:tcBorders>
            <w:shd w:val="clear" w:color="auto" w:fill="auto"/>
          </w:tcPr>
          <w:p w14:paraId="664DE666"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558CD05D"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16225C8D"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Табела, указваща производителя и мощността на двигатели, генератори, трансформатори</w:t>
            </w:r>
          </w:p>
        </w:tc>
        <w:tc>
          <w:tcPr>
            <w:tcW w:w="5387" w:type="dxa"/>
            <w:shd w:val="clear" w:color="auto" w:fill="auto"/>
          </w:tcPr>
          <w:p w14:paraId="3F453BC1"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с изключение на двигатели, които попадат към Глава 9 или Регламент (ЕС) 2016/1628 или Глава 8а от Рейнските правила за инспекция на корабите</w:t>
            </w:r>
          </w:p>
        </w:tc>
        <w:tc>
          <w:tcPr>
            <w:tcW w:w="1429" w:type="dxa"/>
            <w:gridSpan w:val="2"/>
            <w:shd w:val="clear" w:color="auto" w:fill="auto"/>
          </w:tcPr>
          <w:p w14:paraId="5E122D3C" w14:textId="77777777" w:rsidR="00607E36" w:rsidRPr="00F06DE2" w:rsidRDefault="00607E36" w:rsidP="0060362D">
            <w:pPr>
              <w:spacing w:line="240" w:lineRule="atLeast"/>
              <w:ind w:right="-105"/>
              <w:jc w:val="both"/>
              <w:rPr>
                <w:rFonts w:ascii="Times New Roman" w:hAnsi="Times New Roman" w:cs="Times New Roman"/>
                <w:lang w:val="ru-RU"/>
              </w:rPr>
            </w:pPr>
          </w:p>
        </w:tc>
        <w:tc>
          <w:tcPr>
            <w:tcW w:w="1559" w:type="dxa"/>
          </w:tcPr>
          <w:p w14:paraId="7A5E33A1" w14:textId="045DF8DE"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48D07A5C" w14:textId="77777777" w:rsidTr="00A41A9A">
        <w:trPr>
          <w:cantSplit/>
          <w:jc w:val="center"/>
        </w:trPr>
        <w:tc>
          <w:tcPr>
            <w:tcW w:w="1325" w:type="dxa"/>
            <w:vMerge w:val="restart"/>
            <w:shd w:val="clear" w:color="auto" w:fill="auto"/>
          </w:tcPr>
          <w:p w14:paraId="274E9FA2"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 xml:space="preserve">10.11 </w:t>
            </w:r>
          </w:p>
        </w:tc>
        <w:tc>
          <w:tcPr>
            <w:tcW w:w="1458" w:type="dxa"/>
            <w:shd w:val="clear" w:color="auto" w:fill="auto"/>
          </w:tcPr>
          <w:p w14:paraId="0E4ECEA4"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005A1351"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Вентилация на сервизни помещения и шкафове към откритата палуба</w:t>
            </w:r>
          </w:p>
        </w:tc>
        <w:tc>
          <w:tcPr>
            <w:tcW w:w="5387" w:type="dxa"/>
            <w:shd w:val="clear" w:color="auto" w:fill="auto"/>
          </w:tcPr>
          <w:p w14:paraId="1AA3C493"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17B8ED16" w14:textId="77777777" w:rsidR="00607E36" w:rsidRPr="00F06DE2" w:rsidRDefault="00607E36" w:rsidP="0060362D">
            <w:pPr>
              <w:spacing w:line="240" w:lineRule="atLeast"/>
              <w:ind w:right="-105"/>
              <w:jc w:val="both"/>
              <w:rPr>
                <w:rFonts w:ascii="Times New Roman" w:hAnsi="Times New Roman" w:cs="Times New Roman"/>
                <w:lang w:val="ru-RU"/>
              </w:rPr>
            </w:pPr>
          </w:p>
        </w:tc>
        <w:tc>
          <w:tcPr>
            <w:tcW w:w="1559" w:type="dxa"/>
          </w:tcPr>
          <w:p w14:paraId="2C6C10E2" w14:textId="57D67848"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15C9633A" w14:textId="77777777" w:rsidTr="00A41A9A">
        <w:trPr>
          <w:cantSplit/>
          <w:jc w:val="center"/>
        </w:trPr>
        <w:tc>
          <w:tcPr>
            <w:tcW w:w="1325" w:type="dxa"/>
            <w:vMerge/>
            <w:shd w:val="clear" w:color="auto" w:fill="auto"/>
          </w:tcPr>
          <w:p w14:paraId="00F2F9B0"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04617563"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12</w:t>
            </w:r>
          </w:p>
        </w:tc>
        <w:tc>
          <w:tcPr>
            <w:tcW w:w="3296" w:type="dxa"/>
            <w:shd w:val="clear" w:color="auto" w:fill="auto"/>
          </w:tcPr>
          <w:p w14:paraId="29E0FD0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Измерване на зарядни устройства</w:t>
            </w:r>
          </w:p>
        </w:tc>
        <w:tc>
          <w:tcPr>
            <w:tcW w:w="5387" w:type="dxa"/>
            <w:shd w:val="clear" w:color="auto" w:fill="auto"/>
          </w:tcPr>
          <w:p w14:paraId="3757E55F"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207304F" w14:textId="0A9D4C80"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28D53119" w14:textId="6D54EECE"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7DB50C9B" w14:textId="77777777" w:rsidTr="00A41A9A">
        <w:trPr>
          <w:cantSplit/>
          <w:jc w:val="center"/>
        </w:trPr>
        <w:tc>
          <w:tcPr>
            <w:tcW w:w="1325" w:type="dxa"/>
            <w:vMerge/>
            <w:shd w:val="clear" w:color="auto" w:fill="auto"/>
          </w:tcPr>
          <w:p w14:paraId="69F0650F"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4661EB1B"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358551E9"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Автоматични зарядни устройства</w:t>
            </w:r>
          </w:p>
        </w:tc>
        <w:tc>
          <w:tcPr>
            <w:tcW w:w="5387" w:type="dxa"/>
            <w:shd w:val="clear" w:color="auto" w:fill="auto"/>
          </w:tcPr>
          <w:p w14:paraId="56A42F16"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3AF37DB" w14:textId="4B94D812"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23FEB6BC" w14:textId="49F4472E"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2B38D76D" w14:textId="77777777" w:rsidTr="00A41A9A">
        <w:trPr>
          <w:cantSplit/>
          <w:jc w:val="center"/>
        </w:trPr>
        <w:tc>
          <w:tcPr>
            <w:tcW w:w="1325" w:type="dxa"/>
            <w:vMerge/>
            <w:shd w:val="clear" w:color="auto" w:fill="auto"/>
          </w:tcPr>
          <w:p w14:paraId="25B18CFF"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277AE1B0"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14</w:t>
            </w:r>
          </w:p>
        </w:tc>
        <w:tc>
          <w:tcPr>
            <w:tcW w:w="3296" w:type="dxa"/>
            <w:shd w:val="clear" w:color="auto" w:fill="auto"/>
          </w:tcPr>
          <w:p w14:paraId="3030E89E"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Максимално напрежение на зареждане</w:t>
            </w:r>
          </w:p>
        </w:tc>
        <w:tc>
          <w:tcPr>
            <w:tcW w:w="5387" w:type="dxa"/>
            <w:shd w:val="clear" w:color="auto" w:fill="auto"/>
          </w:tcPr>
          <w:p w14:paraId="5F58BA6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69F40CC8" w14:textId="253395A1"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529B4F2A" w14:textId="6E86FC57"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5A3F6A05" w14:textId="77777777" w:rsidTr="00A41A9A">
        <w:trPr>
          <w:cantSplit/>
          <w:jc w:val="center"/>
        </w:trPr>
        <w:tc>
          <w:tcPr>
            <w:tcW w:w="1325" w:type="dxa"/>
            <w:vMerge/>
            <w:shd w:val="clear" w:color="auto" w:fill="auto"/>
          </w:tcPr>
          <w:p w14:paraId="3EAD29EB"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142DF47D"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15</w:t>
            </w:r>
          </w:p>
        </w:tc>
        <w:tc>
          <w:tcPr>
            <w:tcW w:w="3296" w:type="dxa"/>
            <w:shd w:val="clear" w:color="auto" w:fill="auto"/>
          </w:tcPr>
          <w:p w14:paraId="42092A44"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Стандарти </w:t>
            </w:r>
            <w:r w:rsidRPr="00F06DE2">
              <w:rPr>
                <w:rFonts w:ascii="Times New Roman" w:hAnsi="Times New Roman" w:cs="Times New Roman"/>
              </w:rPr>
              <w:t>EN</w:t>
            </w:r>
            <w:r w:rsidRPr="00F06DE2">
              <w:rPr>
                <w:rFonts w:ascii="Times New Roman" w:hAnsi="Times New Roman" w:cs="Times New Roman"/>
                <w:lang w:val="ru-RU"/>
              </w:rPr>
              <w:t xml:space="preserve"> 62619 и </w:t>
            </w:r>
            <w:r w:rsidRPr="00F06DE2">
              <w:rPr>
                <w:rFonts w:ascii="Times New Roman" w:hAnsi="Times New Roman" w:cs="Times New Roman"/>
              </w:rPr>
              <w:t>EN</w:t>
            </w:r>
            <w:r w:rsidRPr="00F06DE2">
              <w:rPr>
                <w:rFonts w:ascii="Times New Roman" w:hAnsi="Times New Roman" w:cs="Times New Roman"/>
                <w:lang w:val="ru-RU"/>
              </w:rPr>
              <w:t xml:space="preserve"> 62620 за литиево-йонни акумулатори</w:t>
            </w:r>
          </w:p>
        </w:tc>
        <w:tc>
          <w:tcPr>
            <w:tcW w:w="5387" w:type="dxa"/>
            <w:shd w:val="clear" w:color="auto" w:fill="auto"/>
          </w:tcPr>
          <w:p w14:paraId="74A737C9" w14:textId="6BC828B3"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noProof/>
                <w:lang w:val="ru-RU"/>
              </w:rPr>
              <w:t xml:space="preserve">Литиево-йонните акумулатори, монтирани преди </w:t>
            </w:r>
            <w:r w:rsidR="00275FEC" w:rsidRPr="00F06DE2">
              <w:rPr>
                <w:rFonts w:ascii="Times New Roman" w:hAnsi="Times New Roman" w:cs="Times New Roman"/>
                <w:noProof/>
                <w:lang w:val="ru-RU"/>
              </w:rPr>
              <w:t>0</w:t>
            </w:r>
            <w:r w:rsidRPr="00F06DE2">
              <w:rPr>
                <w:rFonts w:ascii="Times New Roman" w:hAnsi="Times New Roman" w:cs="Times New Roman"/>
                <w:noProof/>
                <w:lang w:val="ru-RU"/>
              </w:rPr>
              <w:t xml:space="preserve">7.10.2018 г., трябва да отговарят на изискванията на европейските стандарти </w:t>
            </w:r>
            <w:r w:rsidRPr="00F06DE2">
              <w:rPr>
                <w:rFonts w:ascii="Times New Roman" w:hAnsi="Times New Roman" w:cs="Times New Roman"/>
                <w:noProof/>
              </w:rPr>
              <w:t>EN</w:t>
            </w:r>
            <w:r w:rsidRPr="00F06DE2">
              <w:rPr>
                <w:rFonts w:ascii="Times New Roman" w:hAnsi="Times New Roman" w:cs="Times New Roman"/>
                <w:noProof/>
                <w:lang w:val="ru-RU"/>
              </w:rPr>
              <w:t xml:space="preserve"> 62619 и </w:t>
            </w:r>
            <w:r w:rsidRPr="00F06DE2">
              <w:rPr>
                <w:rFonts w:ascii="Times New Roman" w:hAnsi="Times New Roman" w:cs="Times New Roman"/>
                <w:noProof/>
              </w:rPr>
              <w:t>EN</w:t>
            </w:r>
            <w:r w:rsidRPr="00F06DE2">
              <w:rPr>
                <w:rFonts w:ascii="Times New Roman" w:hAnsi="Times New Roman" w:cs="Times New Roman"/>
                <w:noProof/>
                <w:lang w:val="ru-RU"/>
              </w:rPr>
              <w:t xml:space="preserve"> 62620 най-късно при подновяване на Корабното удостоверение за вътрешно корабоплаване след</w:t>
            </w:r>
            <w:r w:rsidRPr="00F06DE2" w:rsidDel="00120EBA">
              <w:rPr>
                <w:rFonts w:ascii="Times New Roman" w:hAnsi="Times New Roman" w:cs="Times New Roman"/>
                <w:noProof/>
                <w:lang w:val="ru-RU"/>
              </w:rPr>
              <w:t xml:space="preserve"> </w:t>
            </w:r>
          </w:p>
        </w:tc>
        <w:tc>
          <w:tcPr>
            <w:tcW w:w="1429" w:type="dxa"/>
            <w:gridSpan w:val="2"/>
            <w:shd w:val="clear" w:color="auto" w:fill="auto"/>
          </w:tcPr>
          <w:p w14:paraId="4E1405FE" w14:textId="03261FB5"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2028 г.</w:t>
            </w:r>
          </w:p>
        </w:tc>
        <w:tc>
          <w:tcPr>
            <w:tcW w:w="1559" w:type="dxa"/>
          </w:tcPr>
          <w:p w14:paraId="7136B15E" w14:textId="45F62BFA"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003F37F3" w14:textId="77777777" w:rsidTr="00A41A9A">
        <w:trPr>
          <w:cantSplit/>
          <w:jc w:val="center"/>
        </w:trPr>
        <w:tc>
          <w:tcPr>
            <w:tcW w:w="1325" w:type="dxa"/>
            <w:vMerge/>
            <w:tcBorders>
              <w:bottom w:val="single" w:sz="4" w:space="0" w:color="auto"/>
            </w:tcBorders>
            <w:shd w:val="clear" w:color="auto" w:fill="auto"/>
            <w:vAlign w:val="center"/>
          </w:tcPr>
          <w:p w14:paraId="4DD319DB" w14:textId="77777777" w:rsidR="00607E36" w:rsidRPr="00F06DE2" w:rsidRDefault="00607E36" w:rsidP="00607E36">
            <w:pPr>
              <w:spacing w:line="240" w:lineRule="atLeast"/>
              <w:rPr>
                <w:rFonts w:ascii="Times New Roman" w:hAnsi="Times New Roman" w:cs="Times New Roman"/>
              </w:rPr>
            </w:pPr>
          </w:p>
        </w:tc>
        <w:tc>
          <w:tcPr>
            <w:tcW w:w="1458" w:type="dxa"/>
            <w:tcBorders>
              <w:bottom w:val="single" w:sz="4" w:space="0" w:color="auto"/>
            </w:tcBorders>
            <w:shd w:val="clear" w:color="auto" w:fill="auto"/>
            <w:vAlign w:val="center"/>
          </w:tcPr>
          <w:p w14:paraId="3693D0C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16</w:t>
            </w:r>
          </w:p>
        </w:tc>
        <w:tc>
          <w:tcPr>
            <w:tcW w:w="3296" w:type="dxa"/>
            <w:tcBorders>
              <w:bottom w:val="single" w:sz="4" w:space="0" w:color="auto"/>
            </w:tcBorders>
            <w:shd w:val="clear" w:color="auto" w:fill="auto"/>
          </w:tcPr>
          <w:p w14:paraId="5FBE5E67"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Система за управление на акумулатор</w:t>
            </w:r>
          </w:p>
        </w:tc>
        <w:tc>
          <w:tcPr>
            <w:tcW w:w="5387" w:type="dxa"/>
            <w:tcBorders>
              <w:bottom w:val="single" w:sz="4" w:space="0" w:color="auto"/>
            </w:tcBorders>
            <w:shd w:val="clear" w:color="auto" w:fill="auto"/>
          </w:tcPr>
          <w:p w14:paraId="25388104"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tcBorders>
              <w:bottom w:val="single" w:sz="4" w:space="0" w:color="auto"/>
            </w:tcBorders>
            <w:shd w:val="clear" w:color="auto" w:fill="auto"/>
          </w:tcPr>
          <w:p w14:paraId="03BA4A01" w14:textId="06CA4C8C"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Borders>
              <w:bottom w:val="single" w:sz="4" w:space="0" w:color="auto"/>
            </w:tcBorders>
          </w:tcPr>
          <w:p w14:paraId="1CB5A9C9" w14:textId="34829C01"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B722CD" w:rsidRPr="00F06DE2" w14:paraId="044FEC20" w14:textId="77777777" w:rsidTr="00A41A9A">
        <w:trPr>
          <w:cantSplit/>
          <w:trHeight w:val="818"/>
          <w:jc w:val="center"/>
        </w:trPr>
        <w:tc>
          <w:tcPr>
            <w:tcW w:w="1325" w:type="dxa"/>
            <w:vMerge w:val="restart"/>
            <w:shd w:val="clear" w:color="auto" w:fill="auto"/>
          </w:tcPr>
          <w:p w14:paraId="699284D8" w14:textId="77777777" w:rsidR="00B722CD" w:rsidRPr="00F06DE2" w:rsidRDefault="00B722CD" w:rsidP="00607E36">
            <w:pPr>
              <w:spacing w:line="240" w:lineRule="atLeast"/>
              <w:rPr>
                <w:rFonts w:ascii="Times New Roman" w:hAnsi="Times New Roman" w:cs="Times New Roman"/>
              </w:rPr>
            </w:pPr>
            <w:r w:rsidRPr="00F06DE2">
              <w:rPr>
                <w:rFonts w:ascii="Times New Roman" w:hAnsi="Times New Roman" w:cs="Times New Roman"/>
              </w:rPr>
              <w:t>10.15</w:t>
            </w:r>
          </w:p>
        </w:tc>
        <w:tc>
          <w:tcPr>
            <w:tcW w:w="1458" w:type="dxa"/>
            <w:shd w:val="clear" w:color="auto" w:fill="auto"/>
          </w:tcPr>
          <w:p w14:paraId="34FF3C58" w14:textId="5519588F" w:rsidR="00B722CD" w:rsidRPr="00F06DE2" w:rsidRDefault="00B722CD" w:rsidP="00607E36">
            <w:pPr>
              <w:spacing w:line="240" w:lineRule="atLeast"/>
              <w:jc w:val="both"/>
              <w:rPr>
                <w:rFonts w:ascii="Times New Roman" w:hAnsi="Times New Roman" w:cs="Times New Roman"/>
              </w:rPr>
            </w:pPr>
            <w:r w:rsidRPr="00F06DE2">
              <w:rPr>
                <w:rFonts w:ascii="Times New Roman" w:hAnsi="Times New Roman" w:cs="Times New Roman"/>
              </w:rPr>
              <w:t>Точка 11</w:t>
            </w:r>
          </w:p>
        </w:tc>
        <w:tc>
          <w:tcPr>
            <w:tcW w:w="3296" w:type="dxa"/>
            <w:shd w:val="clear" w:color="auto" w:fill="auto"/>
          </w:tcPr>
          <w:p w14:paraId="3EBAC8B2" w14:textId="3D741969" w:rsidR="00B722CD" w:rsidRPr="00F06DE2" w:rsidRDefault="00B722CD" w:rsidP="00607E36">
            <w:pPr>
              <w:spacing w:line="240" w:lineRule="atLeast"/>
              <w:jc w:val="both"/>
              <w:rPr>
                <w:rFonts w:ascii="Times New Roman" w:hAnsi="Times New Roman" w:cs="Times New Roman"/>
              </w:rPr>
            </w:pPr>
            <w:r w:rsidRPr="00F06DE2">
              <w:rPr>
                <w:rFonts w:ascii="Times New Roman" w:hAnsi="Times New Roman" w:cs="Times New Roman"/>
              </w:rPr>
              <w:t>Oтвори за кабелния сноп</w:t>
            </w:r>
          </w:p>
        </w:tc>
        <w:tc>
          <w:tcPr>
            <w:tcW w:w="5387" w:type="dxa"/>
            <w:shd w:val="clear" w:color="auto" w:fill="auto"/>
          </w:tcPr>
          <w:p w14:paraId="1EB22E81" w14:textId="18B4238F" w:rsidR="00B722CD" w:rsidRPr="00F06DE2" w:rsidRDefault="00B722CD"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4AEDC89" w14:textId="60F9162A" w:rsidR="00B722CD"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B722CD" w:rsidRPr="00F06DE2">
              <w:rPr>
                <w:rFonts w:ascii="Times New Roman" w:hAnsi="Times New Roman" w:cs="Times New Roman"/>
              </w:rPr>
              <w:t>.2015 г.</w:t>
            </w:r>
          </w:p>
        </w:tc>
        <w:tc>
          <w:tcPr>
            <w:tcW w:w="1559" w:type="dxa"/>
          </w:tcPr>
          <w:p w14:paraId="334F4D29" w14:textId="57351218" w:rsidR="00B722CD"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B722CD" w:rsidRPr="00F06DE2">
              <w:rPr>
                <w:rFonts w:ascii="Times New Roman" w:hAnsi="Times New Roman" w:cs="Times New Roman"/>
              </w:rPr>
              <w:t>7.10.2018 г.</w:t>
            </w:r>
          </w:p>
        </w:tc>
      </w:tr>
      <w:tr w:rsidR="00607E36" w:rsidRPr="00F06DE2" w14:paraId="5646F706" w14:textId="77777777" w:rsidTr="00A41A9A">
        <w:trPr>
          <w:cantSplit/>
          <w:jc w:val="center"/>
        </w:trPr>
        <w:tc>
          <w:tcPr>
            <w:tcW w:w="1325" w:type="dxa"/>
            <w:vMerge/>
            <w:shd w:val="clear" w:color="auto" w:fill="auto"/>
          </w:tcPr>
          <w:p w14:paraId="4819E684"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24AD2082"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12</w:t>
            </w:r>
          </w:p>
        </w:tc>
        <w:tc>
          <w:tcPr>
            <w:tcW w:w="3296" w:type="dxa"/>
            <w:shd w:val="clear" w:color="auto" w:fill="auto"/>
          </w:tcPr>
          <w:p w14:paraId="20C4EACD"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Кабели от авариен източник на електроенергия до потребителско оборудване</w:t>
            </w:r>
          </w:p>
        </w:tc>
        <w:tc>
          <w:tcPr>
            <w:tcW w:w="5387" w:type="dxa"/>
            <w:shd w:val="clear" w:color="auto" w:fill="auto"/>
          </w:tcPr>
          <w:p w14:paraId="3D709091"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266D934" w14:textId="3C7A5C02"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.2015 г.</w:t>
            </w:r>
          </w:p>
        </w:tc>
        <w:tc>
          <w:tcPr>
            <w:tcW w:w="1559" w:type="dxa"/>
          </w:tcPr>
          <w:p w14:paraId="5EA76127" w14:textId="0244B6CE"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04138D37" w14:textId="77777777" w:rsidTr="00A41A9A">
        <w:trPr>
          <w:cantSplit/>
          <w:jc w:val="center"/>
        </w:trPr>
        <w:tc>
          <w:tcPr>
            <w:tcW w:w="1325" w:type="dxa"/>
            <w:vMerge/>
            <w:shd w:val="clear" w:color="auto" w:fill="auto"/>
          </w:tcPr>
          <w:p w14:paraId="7B7F838F"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65E6F1BE"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67D4FC55"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Кабел в области с високи температури на околната среда</w:t>
            </w:r>
          </w:p>
        </w:tc>
        <w:tc>
          <w:tcPr>
            <w:tcW w:w="5387" w:type="dxa"/>
            <w:shd w:val="clear" w:color="auto" w:fill="auto"/>
          </w:tcPr>
          <w:p w14:paraId="70E141CF"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CA6A8D9" w14:textId="267F15A7"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.2015 г.</w:t>
            </w:r>
          </w:p>
        </w:tc>
        <w:tc>
          <w:tcPr>
            <w:tcW w:w="1559" w:type="dxa"/>
          </w:tcPr>
          <w:p w14:paraId="70A8500A" w14:textId="24CFEC1C"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340B0E64" w14:textId="77777777" w:rsidTr="00A41A9A">
        <w:trPr>
          <w:cantSplit/>
          <w:jc w:val="center"/>
        </w:trPr>
        <w:tc>
          <w:tcPr>
            <w:tcW w:w="1325" w:type="dxa"/>
            <w:vMerge/>
            <w:tcBorders>
              <w:bottom w:val="nil"/>
            </w:tcBorders>
            <w:shd w:val="clear" w:color="auto" w:fill="auto"/>
          </w:tcPr>
          <w:p w14:paraId="7D1D3AF0"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656AFFB9"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14</w:t>
            </w:r>
          </w:p>
        </w:tc>
        <w:tc>
          <w:tcPr>
            <w:tcW w:w="3296" w:type="dxa"/>
            <w:shd w:val="clear" w:color="auto" w:fill="auto"/>
          </w:tcPr>
          <w:p w14:paraId="54E143D5"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Монтаж на основни и аварийни захранващи кабели</w:t>
            </w:r>
          </w:p>
        </w:tc>
        <w:tc>
          <w:tcPr>
            <w:tcW w:w="5387" w:type="dxa"/>
            <w:shd w:val="clear" w:color="auto" w:fill="auto"/>
          </w:tcPr>
          <w:p w14:paraId="60F4243C"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111EF42E" w14:textId="0919706A"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.2015 г.</w:t>
            </w:r>
          </w:p>
        </w:tc>
        <w:tc>
          <w:tcPr>
            <w:tcW w:w="1559" w:type="dxa"/>
          </w:tcPr>
          <w:p w14:paraId="6B8A4F24" w14:textId="1DE3953E"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35925969" w14:textId="77777777" w:rsidTr="00A41A9A">
        <w:trPr>
          <w:cantSplit/>
          <w:jc w:val="center"/>
        </w:trPr>
        <w:tc>
          <w:tcPr>
            <w:tcW w:w="1325" w:type="dxa"/>
            <w:vMerge w:val="restart"/>
            <w:shd w:val="clear" w:color="auto" w:fill="auto"/>
          </w:tcPr>
          <w:p w14:paraId="69B2F950"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 xml:space="preserve">10.18 </w:t>
            </w:r>
          </w:p>
        </w:tc>
        <w:tc>
          <w:tcPr>
            <w:tcW w:w="1458" w:type="dxa"/>
            <w:shd w:val="clear" w:color="auto" w:fill="auto"/>
          </w:tcPr>
          <w:p w14:paraId="121366E1"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0D5E8009"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Устройство за изключване от електрическата мрежа</w:t>
            </w:r>
          </w:p>
        </w:tc>
        <w:tc>
          <w:tcPr>
            <w:tcW w:w="5387" w:type="dxa"/>
            <w:shd w:val="clear" w:color="auto" w:fill="auto"/>
          </w:tcPr>
          <w:p w14:paraId="7D6298E1"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4A8FF81C"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Наследените системи за защита могат да останат в употреба, ако бъде потвърдено от експерт, че те предлагат равностойна защита.</w:t>
            </w:r>
          </w:p>
        </w:tc>
        <w:tc>
          <w:tcPr>
            <w:tcW w:w="1429" w:type="dxa"/>
            <w:gridSpan w:val="2"/>
            <w:shd w:val="clear" w:color="auto" w:fill="auto"/>
          </w:tcPr>
          <w:p w14:paraId="102E1421" w14:textId="6444E553"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52C6F42E" w14:textId="1A836186"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04D5D5A8" w14:textId="77777777" w:rsidTr="00A41A9A">
        <w:trPr>
          <w:cantSplit/>
          <w:jc w:val="center"/>
        </w:trPr>
        <w:tc>
          <w:tcPr>
            <w:tcW w:w="1325" w:type="dxa"/>
            <w:vMerge/>
            <w:shd w:val="clear" w:color="auto" w:fill="auto"/>
          </w:tcPr>
          <w:p w14:paraId="4A7CDCAC"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332A8FEC"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02E0179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Достъпност</w:t>
            </w:r>
          </w:p>
        </w:tc>
        <w:tc>
          <w:tcPr>
            <w:tcW w:w="5387" w:type="dxa"/>
            <w:shd w:val="clear" w:color="auto" w:fill="auto"/>
          </w:tcPr>
          <w:p w14:paraId="69F6DBCB"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E5ADAF5" w14:textId="61294656"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.2050 г.</w:t>
            </w:r>
          </w:p>
        </w:tc>
        <w:tc>
          <w:tcPr>
            <w:tcW w:w="1559" w:type="dxa"/>
          </w:tcPr>
          <w:p w14:paraId="3E8EBC2D" w14:textId="2037271F"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2705AA43" w14:textId="77777777" w:rsidTr="00A41A9A">
        <w:trPr>
          <w:cantSplit/>
          <w:jc w:val="center"/>
        </w:trPr>
        <w:tc>
          <w:tcPr>
            <w:tcW w:w="1325" w:type="dxa"/>
            <w:vMerge/>
            <w:shd w:val="clear" w:color="auto" w:fill="auto"/>
          </w:tcPr>
          <w:p w14:paraId="1A723034"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29AFE7C6"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5C5B6933"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Галванично разделяне на управляващи и силови вериги</w:t>
            </w:r>
          </w:p>
        </w:tc>
        <w:tc>
          <w:tcPr>
            <w:tcW w:w="5387" w:type="dxa"/>
            <w:shd w:val="clear" w:color="auto" w:fill="auto"/>
          </w:tcPr>
          <w:p w14:paraId="39DFB44D"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614C197" w14:textId="124FA393"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.2025 г.</w:t>
            </w:r>
          </w:p>
        </w:tc>
        <w:tc>
          <w:tcPr>
            <w:tcW w:w="1559" w:type="dxa"/>
          </w:tcPr>
          <w:p w14:paraId="7553B2F7" w14:textId="6751E126"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2809EA4B" w14:textId="77777777" w:rsidTr="00A41A9A">
        <w:trPr>
          <w:cantSplit/>
          <w:jc w:val="center"/>
        </w:trPr>
        <w:tc>
          <w:tcPr>
            <w:tcW w:w="1325" w:type="dxa"/>
            <w:vMerge/>
            <w:shd w:val="clear" w:color="auto" w:fill="auto"/>
          </w:tcPr>
          <w:p w14:paraId="1F61A1FC"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7F900B9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541AD31D"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Работа при колебания в напрежението и честотата</w:t>
            </w:r>
          </w:p>
        </w:tc>
        <w:tc>
          <w:tcPr>
            <w:tcW w:w="5387" w:type="dxa"/>
            <w:shd w:val="clear" w:color="auto" w:fill="auto"/>
          </w:tcPr>
          <w:p w14:paraId="2421DF3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27D3F76" w14:textId="1AC584D0"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c>
          <w:tcPr>
            <w:tcW w:w="1559" w:type="dxa"/>
          </w:tcPr>
          <w:p w14:paraId="59F85CB8" w14:textId="4F7F95C3"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7280B1B0" w14:textId="77777777" w:rsidTr="00A41A9A">
        <w:trPr>
          <w:cantSplit/>
          <w:jc w:val="center"/>
        </w:trPr>
        <w:tc>
          <w:tcPr>
            <w:tcW w:w="1325" w:type="dxa"/>
            <w:vMerge/>
            <w:shd w:val="clear" w:color="auto" w:fill="auto"/>
          </w:tcPr>
          <w:p w14:paraId="1F6E04DB" w14:textId="77777777" w:rsidR="00607E36" w:rsidRPr="00F06DE2" w:rsidRDefault="00607E36" w:rsidP="00607E36">
            <w:pPr>
              <w:spacing w:line="240" w:lineRule="atLeast"/>
              <w:rPr>
                <w:rFonts w:ascii="Times New Roman" w:hAnsi="Times New Roman" w:cs="Times New Roman"/>
              </w:rPr>
            </w:pPr>
          </w:p>
        </w:tc>
        <w:tc>
          <w:tcPr>
            <w:tcW w:w="1458" w:type="dxa"/>
            <w:shd w:val="clear" w:color="auto" w:fill="auto"/>
          </w:tcPr>
          <w:p w14:paraId="5ABD1595"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22F1CEAC"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Време за разреждане при изключване от електрическата мрежа</w:t>
            </w:r>
          </w:p>
        </w:tc>
        <w:tc>
          <w:tcPr>
            <w:tcW w:w="5387" w:type="dxa"/>
            <w:shd w:val="clear" w:color="auto" w:fill="auto"/>
          </w:tcPr>
          <w:p w14:paraId="31925249"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56B7E07" w14:textId="77777777" w:rsidR="00607E36" w:rsidRPr="00F06DE2" w:rsidRDefault="00607E36" w:rsidP="0060362D">
            <w:pPr>
              <w:spacing w:line="240" w:lineRule="atLeast"/>
              <w:ind w:right="-105"/>
              <w:jc w:val="both"/>
              <w:rPr>
                <w:rFonts w:ascii="Times New Roman" w:hAnsi="Times New Roman" w:cs="Times New Roman"/>
                <w:lang w:val="ru-RU"/>
              </w:rPr>
            </w:pPr>
          </w:p>
        </w:tc>
        <w:tc>
          <w:tcPr>
            <w:tcW w:w="1559" w:type="dxa"/>
          </w:tcPr>
          <w:p w14:paraId="17CEC5A3" w14:textId="35D86962"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37A0E5BD" w14:textId="77777777" w:rsidTr="00A41A9A">
        <w:trPr>
          <w:cantSplit/>
          <w:jc w:val="center"/>
        </w:trPr>
        <w:tc>
          <w:tcPr>
            <w:tcW w:w="1325" w:type="dxa"/>
            <w:vMerge/>
            <w:shd w:val="clear" w:color="auto" w:fill="auto"/>
          </w:tcPr>
          <w:p w14:paraId="4E2DA4F9"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481EBDF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5E6BBBCC"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Реакция при отказ на сигналите за външен контрол</w:t>
            </w:r>
          </w:p>
        </w:tc>
        <w:tc>
          <w:tcPr>
            <w:tcW w:w="5387" w:type="dxa"/>
            <w:shd w:val="clear" w:color="auto" w:fill="auto"/>
          </w:tcPr>
          <w:p w14:paraId="66106AFB"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1EE51247" w14:textId="5ED039D8"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c>
          <w:tcPr>
            <w:tcW w:w="1559" w:type="dxa"/>
          </w:tcPr>
          <w:p w14:paraId="54FAE145" w14:textId="3EA659E0"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39E1A8D2" w14:textId="77777777" w:rsidTr="00A41A9A">
        <w:trPr>
          <w:cantSplit/>
          <w:jc w:val="center"/>
        </w:trPr>
        <w:tc>
          <w:tcPr>
            <w:tcW w:w="1325" w:type="dxa"/>
            <w:vMerge/>
            <w:shd w:val="clear" w:color="auto" w:fill="auto"/>
          </w:tcPr>
          <w:p w14:paraId="329A5D0D"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66F089F2"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34E8FB0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Реакция при отказ на контролни напрежения</w:t>
            </w:r>
          </w:p>
        </w:tc>
        <w:tc>
          <w:tcPr>
            <w:tcW w:w="5387" w:type="dxa"/>
            <w:shd w:val="clear" w:color="auto" w:fill="auto"/>
          </w:tcPr>
          <w:p w14:paraId="68F32DE2"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43417FC" w14:textId="5004B52A"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c>
          <w:tcPr>
            <w:tcW w:w="1559" w:type="dxa"/>
          </w:tcPr>
          <w:p w14:paraId="6D88F310" w14:textId="1D57C099"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76CAD778" w14:textId="77777777" w:rsidTr="00A41A9A">
        <w:trPr>
          <w:cantSplit/>
          <w:jc w:val="center"/>
        </w:trPr>
        <w:tc>
          <w:tcPr>
            <w:tcW w:w="1325" w:type="dxa"/>
            <w:vMerge/>
            <w:shd w:val="clear" w:color="auto" w:fill="auto"/>
          </w:tcPr>
          <w:p w14:paraId="21164B72"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6F590F01"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8</w:t>
            </w:r>
          </w:p>
        </w:tc>
        <w:tc>
          <w:tcPr>
            <w:tcW w:w="3296" w:type="dxa"/>
            <w:shd w:val="clear" w:color="auto" w:fill="auto"/>
          </w:tcPr>
          <w:p w14:paraId="46A19B37"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Откриване на грешки и предотвратяване на неоткрити грешки</w:t>
            </w:r>
          </w:p>
        </w:tc>
        <w:tc>
          <w:tcPr>
            <w:tcW w:w="5387" w:type="dxa"/>
            <w:shd w:val="clear" w:color="auto" w:fill="auto"/>
          </w:tcPr>
          <w:p w14:paraId="40CC5E94"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B55262F" w14:textId="1BBDE54C"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c>
          <w:tcPr>
            <w:tcW w:w="1559" w:type="dxa"/>
          </w:tcPr>
          <w:p w14:paraId="0CA6D1CA" w14:textId="6CFC1C65"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1970AB33" w14:textId="77777777" w:rsidTr="00A41A9A">
        <w:trPr>
          <w:cantSplit/>
          <w:jc w:val="center"/>
        </w:trPr>
        <w:tc>
          <w:tcPr>
            <w:tcW w:w="1325" w:type="dxa"/>
            <w:vMerge/>
            <w:shd w:val="clear" w:color="auto" w:fill="auto"/>
          </w:tcPr>
          <w:p w14:paraId="5EB9136C"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7D2B07B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76D531B4"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Следене</w:t>
            </w:r>
          </w:p>
        </w:tc>
        <w:tc>
          <w:tcPr>
            <w:tcW w:w="5387" w:type="dxa"/>
            <w:shd w:val="clear" w:color="auto" w:fill="auto"/>
          </w:tcPr>
          <w:p w14:paraId="6BE0C864"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97483DD" w14:textId="20806BB5"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c>
          <w:tcPr>
            <w:tcW w:w="1559" w:type="dxa"/>
          </w:tcPr>
          <w:p w14:paraId="75F37F89" w14:textId="348C5C74"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69C9920F" w14:textId="77777777" w:rsidTr="00A41A9A">
        <w:trPr>
          <w:cantSplit/>
          <w:jc w:val="center"/>
        </w:trPr>
        <w:tc>
          <w:tcPr>
            <w:tcW w:w="1325" w:type="dxa"/>
            <w:vMerge/>
            <w:tcBorders>
              <w:bottom w:val="nil"/>
            </w:tcBorders>
            <w:shd w:val="clear" w:color="auto" w:fill="auto"/>
          </w:tcPr>
          <w:p w14:paraId="126483E5"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35249CCB"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10</w:t>
            </w:r>
          </w:p>
        </w:tc>
        <w:tc>
          <w:tcPr>
            <w:tcW w:w="3296" w:type="dxa"/>
            <w:shd w:val="clear" w:color="auto" w:fill="auto"/>
          </w:tcPr>
          <w:p w14:paraId="589FDEDA"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Проверка на типа</w:t>
            </w:r>
          </w:p>
        </w:tc>
        <w:tc>
          <w:tcPr>
            <w:tcW w:w="5387" w:type="dxa"/>
            <w:shd w:val="clear" w:color="auto" w:fill="auto"/>
          </w:tcPr>
          <w:p w14:paraId="08353980"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CEB90FA" w14:textId="77777777" w:rsidR="00607E36" w:rsidRPr="00F06DE2" w:rsidRDefault="00607E36" w:rsidP="0060362D">
            <w:pPr>
              <w:spacing w:line="240" w:lineRule="atLeast"/>
              <w:ind w:right="-105"/>
              <w:jc w:val="both"/>
              <w:rPr>
                <w:rFonts w:ascii="Times New Roman" w:hAnsi="Times New Roman" w:cs="Times New Roman"/>
                <w:lang w:val="ru-RU"/>
              </w:rPr>
            </w:pPr>
          </w:p>
        </w:tc>
        <w:tc>
          <w:tcPr>
            <w:tcW w:w="1559" w:type="dxa"/>
          </w:tcPr>
          <w:p w14:paraId="7425D0D6" w14:textId="70BD88D1"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5092EBFD" w14:textId="77777777" w:rsidTr="00A41A9A">
        <w:trPr>
          <w:cantSplit/>
          <w:jc w:val="center"/>
        </w:trPr>
        <w:tc>
          <w:tcPr>
            <w:tcW w:w="1325" w:type="dxa"/>
            <w:tcBorders>
              <w:bottom w:val="nil"/>
            </w:tcBorders>
            <w:shd w:val="clear" w:color="auto" w:fill="auto"/>
          </w:tcPr>
          <w:p w14:paraId="6A7ADAC9"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10.20</w:t>
            </w:r>
          </w:p>
        </w:tc>
        <w:tc>
          <w:tcPr>
            <w:tcW w:w="1458" w:type="dxa"/>
            <w:shd w:val="clear" w:color="auto" w:fill="auto"/>
          </w:tcPr>
          <w:p w14:paraId="06284370" w14:textId="77777777" w:rsidR="00607E36" w:rsidRPr="00F06DE2" w:rsidRDefault="00607E36" w:rsidP="00607E36">
            <w:pPr>
              <w:spacing w:line="240" w:lineRule="atLeast"/>
              <w:jc w:val="both"/>
              <w:rPr>
                <w:rFonts w:ascii="Times New Roman" w:hAnsi="Times New Roman" w:cs="Times New Roman"/>
              </w:rPr>
            </w:pPr>
          </w:p>
        </w:tc>
        <w:tc>
          <w:tcPr>
            <w:tcW w:w="3296" w:type="dxa"/>
            <w:shd w:val="clear" w:color="auto" w:fill="auto"/>
          </w:tcPr>
          <w:p w14:paraId="51AFE12D"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Условия за изпитване на електронни инсталации</w:t>
            </w:r>
          </w:p>
        </w:tc>
        <w:tc>
          <w:tcPr>
            <w:tcW w:w="5387" w:type="dxa"/>
            <w:shd w:val="clear" w:color="auto" w:fill="auto"/>
          </w:tcPr>
          <w:p w14:paraId="635E4BBE"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38CB468" w14:textId="697A4843"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.2035 г.</w:t>
            </w:r>
          </w:p>
        </w:tc>
        <w:tc>
          <w:tcPr>
            <w:tcW w:w="1559" w:type="dxa"/>
          </w:tcPr>
          <w:p w14:paraId="37F1C157" w14:textId="7728DB24"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1EFAB07B" w14:textId="77777777" w:rsidTr="00A41A9A">
        <w:trPr>
          <w:cantSplit/>
          <w:jc w:val="center"/>
        </w:trPr>
        <w:tc>
          <w:tcPr>
            <w:tcW w:w="1325" w:type="dxa"/>
            <w:tcBorders>
              <w:bottom w:val="nil"/>
            </w:tcBorders>
            <w:shd w:val="clear" w:color="auto" w:fill="auto"/>
          </w:tcPr>
          <w:p w14:paraId="2F742A65"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10.21</w:t>
            </w:r>
          </w:p>
        </w:tc>
        <w:tc>
          <w:tcPr>
            <w:tcW w:w="1458" w:type="dxa"/>
            <w:shd w:val="clear" w:color="auto" w:fill="auto"/>
          </w:tcPr>
          <w:p w14:paraId="168B243C" w14:textId="77777777" w:rsidR="00607E36" w:rsidRPr="00F06DE2" w:rsidRDefault="00607E36" w:rsidP="00607E36">
            <w:pPr>
              <w:spacing w:line="240" w:lineRule="atLeast"/>
              <w:jc w:val="both"/>
              <w:rPr>
                <w:rFonts w:ascii="Times New Roman" w:hAnsi="Times New Roman" w:cs="Times New Roman"/>
              </w:rPr>
            </w:pPr>
          </w:p>
        </w:tc>
        <w:tc>
          <w:tcPr>
            <w:tcW w:w="3296" w:type="dxa"/>
            <w:shd w:val="clear" w:color="auto" w:fill="auto"/>
          </w:tcPr>
          <w:p w14:paraId="72F9C67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Електромагнитна съвместимост</w:t>
            </w:r>
          </w:p>
        </w:tc>
        <w:tc>
          <w:tcPr>
            <w:tcW w:w="5387" w:type="dxa"/>
            <w:shd w:val="clear" w:color="auto" w:fill="auto"/>
          </w:tcPr>
          <w:p w14:paraId="733FDE0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435BD3B" w14:textId="4FD6265B"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.2035 г.</w:t>
            </w:r>
          </w:p>
        </w:tc>
        <w:tc>
          <w:tcPr>
            <w:tcW w:w="1559" w:type="dxa"/>
          </w:tcPr>
          <w:p w14:paraId="4CA98907" w14:textId="366E7525"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7.10.2018 г.</w:t>
            </w:r>
          </w:p>
        </w:tc>
      </w:tr>
      <w:tr w:rsidR="00607E36" w:rsidRPr="00F06DE2" w14:paraId="30FA7AC9" w14:textId="77777777" w:rsidTr="00A41A9A">
        <w:trPr>
          <w:cantSplit/>
          <w:jc w:val="center"/>
        </w:trPr>
        <w:tc>
          <w:tcPr>
            <w:tcW w:w="6079" w:type="dxa"/>
            <w:gridSpan w:val="3"/>
            <w:tcBorders>
              <w:bottom w:val="nil"/>
            </w:tcBorders>
            <w:shd w:val="clear" w:color="auto" w:fill="auto"/>
          </w:tcPr>
          <w:p w14:paraId="1251177B" w14:textId="77777777" w:rsidR="00607E36" w:rsidRPr="00F06DE2" w:rsidRDefault="00607E36" w:rsidP="00607E36">
            <w:pPr>
              <w:spacing w:line="240" w:lineRule="atLeast"/>
              <w:jc w:val="center"/>
              <w:rPr>
                <w:rFonts w:ascii="Times New Roman" w:hAnsi="Times New Roman" w:cs="Times New Roman"/>
                <w:b/>
              </w:rPr>
            </w:pPr>
            <w:r w:rsidRPr="00F06DE2">
              <w:rPr>
                <w:rFonts w:ascii="Times New Roman" w:hAnsi="Times New Roman" w:cs="Times New Roman"/>
                <w:b/>
              </w:rPr>
              <w:t>ГЛАВА 11</w:t>
            </w:r>
          </w:p>
        </w:tc>
        <w:tc>
          <w:tcPr>
            <w:tcW w:w="5387" w:type="dxa"/>
            <w:shd w:val="clear" w:color="auto" w:fill="auto"/>
          </w:tcPr>
          <w:p w14:paraId="4BFE9762"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w:t>
            </w:r>
          </w:p>
          <w:p w14:paraId="0102724E" w14:textId="610E7241"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color w:val="000000"/>
                <w:lang w:val="ru-RU"/>
              </w:rPr>
              <w:t xml:space="preserve">Въпреки това електрическите системи за задвижване, инсталирани между </w:t>
            </w:r>
            <w:r w:rsidR="0060362D" w:rsidRPr="00F06DE2">
              <w:rPr>
                <w:rFonts w:ascii="Times New Roman" w:hAnsi="Times New Roman" w:cs="Times New Roman"/>
                <w:color w:val="000000"/>
                <w:lang w:val="ru-RU"/>
              </w:rPr>
              <w:t>0</w:t>
            </w:r>
            <w:r w:rsidRPr="00F06DE2">
              <w:rPr>
                <w:rFonts w:ascii="Times New Roman" w:hAnsi="Times New Roman" w:cs="Times New Roman"/>
                <w:color w:val="000000"/>
                <w:lang w:val="ru-RU"/>
              </w:rPr>
              <w:t>1.</w:t>
            </w:r>
            <w:r w:rsidR="0060362D" w:rsidRPr="00F06DE2">
              <w:rPr>
                <w:rFonts w:ascii="Times New Roman" w:hAnsi="Times New Roman" w:cs="Times New Roman"/>
                <w:color w:val="000000"/>
                <w:lang w:val="ru-RU"/>
              </w:rPr>
              <w:t>0</w:t>
            </w:r>
            <w:r w:rsidRPr="00F06DE2">
              <w:rPr>
                <w:rFonts w:ascii="Times New Roman" w:hAnsi="Times New Roman" w:cs="Times New Roman"/>
                <w:color w:val="000000"/>
                <w:lang w:val="ru-RU"/>
              </w:rPr>
              <w:t xml:space="preserve">1.2020 г. и </w:t>
            </w:r>
            <w:r w:rsidR="0060362D" w:rsidRPr="00F06DE2">
              <w:rPr>
                <w:rFonts w:ascii="Times New Roman" w:hAnsi="Times New Roman" w:cs="Times New Roman"/>
                <w:color w:val="000000"/>
                <w:lang w:val="ru-RU"/>
              </w:rPr>
              <w:t>0</w:t>
            </w:r>
            <w:r w:rsidRPr="00F06DE2">
              <w:rPr>
                <w:rFonts w:ascii="Times New Roman" w:hAnsi="Times New Roman" w:cs="Times New Roman"/>
                <w:color w:val="000000"/>
                <w:lang w:val="ru-RU"/>
              </w:rPr>
              <w:t>1.</w:t>
            </w:r>
            <w:r w:rsidR="0060362D" w:rsidRPr="00F06DE2">
              <w:rPr>
                <w:rFonts w:ascii="Times New Roman" w:hAnsi="Times New Roman" w:cs="Times New Roman"/>
                <w:color w:val="000000"/>
                <w:lang w:val="ru-RU"/>
              </w:rPr>
              <w:t>0</w:t>
            </w:r>
            <w:r w:rsidRPr="00F06DE2">
              <w:rPr>
                <w:rFonts w:ascii="Times New Roman" w:hAnsi="Times New Roman" w:cs="Times New Roman"/>
                <w:color w:val="000000"/>
                <w:lang w:val="ru-RU"/>
              </w:rPr>
              <w:t xml:space="preserve">1.2026 г., трябва да отговарят най-малко на глава 11 в </w:t>
            </w:r>
            <w:r w:rsidRPr="00F06DE2">
              <w:rPr>
                <w:rFonts w:ascii="Times New Roman" w:hAnsi="Times New Roman" w:cs="Times New Roman"/>
                <w:color w:val="000000"/>
              </w:rPr>
              <w:t>ES</w:t>
            </w:r>
            <w:r w:rsidRPr="00F06DE2">
              <w:rPr>
                <w:rFonts w:ascii="Times New Roman" w:hAnsi="Times New Roman" w:cs="Times New Roman"/>
                <w:color w:val="000000"/>
                <w:lang w:val="ru-RU"/>
              </w:rPr>
              <w:t>-</w:t>
            </w:r>
            <w:r w:rsidRPr="00F06DE2">
              <w:rPr>
                <w:rFonts w:ascii="Times New Roman" w:hAnsi="Times New Roman" w:cs="Times New Roman"/>
                <w:color w:val="000000"/>
              </w:rPr>
              <w:t>TRIN</w:t>
            </w:r>
            <w:r w:rsidRPr="00F06DE2">
              <w:rPr>
                <w:rFonts w:ascii="Times New Roman" w:hAnsi="Times New Roman" w:cs="Times New Roman"/>
                <w:color w:val="000000"/>
                <w:lang w:val="ru-RU"/>
              </w:rPr>
              <w:t xml:space="preserve"> 2019/1.</w:t>
            </w:r>
          </w:p>
        </w:tc>
        <w:tc>
          <w:tcPr>
            <w:tcW w:w="1429" w:type="dxa"/>
            <w:gridSpan w:val="2"/>
            <w:shd w:val="clear" w:color="auto" w:fill="auto"/>
          </w:tcPr>
          <w:p w14:paraId="55E7DCCC" w14:textId="77777777" w:rsidR="00607E36" w:rsidRPr="00F06DE2" w:rsidRDefault="00607E36" w:rsidP="0060362D">
            <w:pPr>
              <w:spacing w:line="240" w:lineRule="atLeast"/>
              <w:ind w:right="-105"/>
              <w:jc w:val="both"/>
              <w:rPr>
                <w:rFonts w:ascii="Times New Roman" w:hAnsi="Times New Roman" w:cs="Times New Roman"/>
                <w:lang w:val="ru-RU"/>
              </w:rPr>
            </w:pPr>
          </w:p>
        </w:tc>
        <w:tc>
          <w:tcPr>
            <w:tcW w:w="1559" w:type="dxa"/>
          </w:tcPr>
          <w:p w14:paraId="3B0E5C5F" w14:textId="61099C32"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.2026 г.</w:t>
            </w:r>
          </w:p>
        </w:tc>
      </w:tr>
      <w:tr w:rsidR="00607E36" w:rsidRPr="00F06DE2" w14:paraId="0FD454C7" w14:textId="77777777" w:rsidTr="00A41A9A">
        <w:trPr>
          <w:cantSplit/>
          <w:jc w:val="center"/>
        </w:trPr>
        <w:tc>
          <w:tcPr>
            <w:tcW w:w="6079" w:type="dxa"/>
            <w:gridSpan w:val="3"/>
            <w:tcBorders>
              <w:bottom w:val="nil"/>
            </w:tcBorders>
            <w:shd w:val="clear" w:color="auto" w:fill="auto"/>
          </w:tcPr>
          <w:p w14:paraId="1445356F" w14:textId="77777777" w:rsidR="00607E36" w:rsidRPr="00F06DE2" w:rsidRDefault="00607E36" w:rsidP="00607E36">
            <w:pPr>
              <w:spacing w:line="240" w:lineRule="atLeast"/>
              <w:jc w:val="center"/>
              <w:rPr>
                <w:rFonts w:ascii="Times New Roman" w:hAnsi="Times New Roman" w:cs="Times New Roman"/>
              </w:rPr>
            </w:pPr>
            <w:r w:rsidRPr="00F06DE2">
              <w:rPr>
                <w:rFonts w:ascii="Times New Roman" w:hAnsi="Times New Roman" w:cs="Times New Roman"/>
                <w:b/>
              </w:rPr>
              <w:t>ГЛАВА 13</w:t>
            </w:r>
          </w:p>
        </w:tc>
        <w:tc>
          <w:tcPr>
            <w:tcW w:w="5387" w:type="dxa"/>
            <w:shd w:val="clear" w:color="auto" w:fill="auto"/>
          </w:tcPr>
          <w:p w14:paraId="3E1F9095" w14:textId="77777777" w:rsidR="00607E36" w:rsidRPr="00F06DE2" w:rsidRDefault="00607E36" w:rsidP="00607E36">
            <w:pPr>
              <w:spacing w:line="240" w:lineRule="atLeast"/>
              <w:rPr>
                <w:rFonts w:ascii="Times New Roman" w:hAnsi="Times New Roman" w:cs="Times New Roman"/>
              </w:rPr>
            </w:pPr>
          </w:p>
        </w:tc>
        <w:tc>
          <w:tcPr>
            <w:tcW w:w="1429" w:type="dxa"/>
            <w:gridSpan w:val="2"/>
            <w:shd w:val="clear" w:color="auto" w:fill="auto"/>
          </w:tcPr>
          <w:p w14:paraId="5BFA72E1" w14:textId="77777777" w:rsidR="00607E36" w:rsidRPr="00F06DE2" w:rsidRDefault="00607E36" w:rsidP="0060362D">
            <w:pPr>
              <w:spacing w:line="240" w:lineRule="atLeast"/>
              <w:ind w:right="-105"/>
              <w:rPr>
                <w:rFonts w:ascii="Times New Roman" w:hAnsi="Times New Roman" w:cs="Times New Roman"/>
              </w:rPr>
            </w:pPr>
          </w:p>
        </w:tc>
        <w:tc>
          <w:tcPr>
            <w:tcW w:w="1559" w:type="dxa"/>
          </w:tcPr>
          <w:p w14:paraId="3215F7E8" w14:textId="77777777" w:rsidR="00607E36" w:rsidRPr="00F06DE2" w:rsidRDefault="00607E36" w:rsidP="00607E36">
            <w:pPr>
              <w:spacing w:line="240" w:lineRule="atLeast"/>
              <w:rPr>
                <w:rFonts w:ascii="Times New Roman" w:hAnsi="Times New Roman" w:cs="Times New Roman"/>
              </w:rPr>
            </w:pPr>
          </w:p>
        </w:tc>
      </w:tr>
      <w:tr w:rsidR="00607E36" w:rsidRPr="00F06DE2" w14:paraId="447809FE" w14:textId="77777777" w:rsidTr="00A41A9A">
        <w:trPr>
          <w:cantSplit/>
          <w:jc w:val="center"/>
        </w:trPr>
        <w:tc>
          <w:tcPr>
            <w:tcW w:w="1325" w:type="dxa"/>
            <w:tcBorders>
              <w:top w:val="single" w:sz="4" w:space="0" w:color="auto"/>
            </w:tcBorders>
            <w:shd w:val="clear" w:color="auto" w:fill="auto"/>
          </w:tcPr>
          <w:p w14:paraId="4583F41C"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lastRenderedPageBreak/>
              <w:t>13.04</w:t>
            </w:r>
          </w:p>
        </w:tc>
        <w:tc>
          <w:tcPr>
            <w:tcW w:w="1458" w:type="dxa"/>
            <w:shd w:val="clear" w:color="auto" w:fill="auto"/>
          </w:tcPr>
          <w:p w14:paraId="7238B973" w14:textId="77777777" w:rsidR="00607E36" w:rsidRPr="00F06DE2" w:rsidRDefault="00607E36" w:rsidP="00607E36">
            <w:pPr>
              <w:spacing w:line="240" w:lineRule="atLeast"/>
              <w:jc w:val="both"/>
              <w:rPr>
                <w:rFonts w:ascii="Times New Roman" w:hAnsi="Times New Roman" w:cs="Times New Roman"/>
              </w:rPr>
            </w:pPr>
          </w:p>
        </w:tc>
        <w:tc>
          <w:tcPr>
            <w:tcW w:w="3296" w:type="dxa"/>
            <w:shd w:val="clear" w:color="auto" w:fill="auto"/>
          </w:tcPr>
          <w:p w14:paraId="052F647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Постоянно монтирани противопожарни системи в жилищните помещения, рулевите рубки и помещенията за пътници</w:t>
            </w:r>
          </w:p>
        </w:tc>
        <w:tc>
          <w:tcPr>
            <w:tcW w:w="5387" w:type="dxa"/>
            <w:shd w:val="clear" w:color="auto" w:fill="auto"/>
          </w:tcPr>
          <w:p w14:paraId="062E1475"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0D37D35" w14:textId="5A1BDBBD" w:rsidR="00607E36" w:rsidRPr="00F06DE2" w:rsidRDefault="0060362D" w:rsidP="0060362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.2035 г.</w:t>
            </w:r>
          </w:p>
        </w:tc>
        <w:tc>
          <w:tcPr>
            <w:tcW w:w="1559" w:type="dxa"/>
          </w:tcPr>
          <w:p w14:paraId="3C7736A4" w14:textId="6A2077BE" w:rsidR="00607E36" w:rsidRPr="00F06DE2" w:rsidRDefault="0060362D"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w:t>
            </w:r>
            <w:r w:rsidRPr="00F06DE2">
              <w:rPr>
                <w:rFonts w:ascii="Times New Roman" w:hAnsi="Times New Roman" w:cs="Times New Roman"/>
              </w:rPr>
              <w:t>0</w:t>
            </w:r>
            <w:r w:rsidR="00607E36" w:rsidRPr="00F06DE2">
              <w:rPr>
                <w:rFonts w:ascii="Times New Roman" w:hAnsi="Times New Roman" w:cs="Times New Roman"/>
              </w:rPr>
              <w:t>4.2002 г.</w:t>
            </w:r>
          </w:p>
        </w:tc>
      </w:tr>
      <w:tr w:rsidR="00607E36" w:rsidRPr="00F06DE2" w14:paraId="0CA1DCDB" w14:textId="77777777" w:rsidTr="00A41A9A">
        <w:trPr>
          <w:cantSplit/>
          <w:jc w:val="center"/>
        </w:trPr>
        <w:tc>
          <w:tcPr>
            <w:tcW w:w="1325" w:type="dxa"/>
            <w:shd w:val="clear" w:color="auto" w:fill="auto"/>
          </w:tcPr>
          <w:p w14:paraId="4C243C00"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13.05</w:t>
            </w:r>
          </w:p>
        </w:tc>
        <w:tc>
          <w:tcPr>
            <w:tcW w:w="1458" w:type="dxa"/>
            <w:shd w:val="clear" w:color="auto" w:fill="auto"/>
          </w:tcPr>
          <w:p w14:paraId="251EA6F7" w14:textId="77777777" w:rsidR="00607E36" w:rsidRPr="00F06DE2" w:rsidRDefault="00607E36" w:rsidP="00607E36">
            <w:pPr>
              <w:spacing w:line="240" w:lineRule="atLeast"/>
              <w:jc w:val="both"/>
              <w:rPr>
                <w:rFonts w:ascii="Times New Roman" w:hAnsi="Times New Roman" w:cs="Times New Roman"/>
              </w:rPr>
            </w:pPr>
          </w:p>
        </w:tc>
        <w:tc>
          <w:tcPr>
            <w:tcW w:w="3296" w:type="dxa"/>
            <w:shd w:val="clear" w:color="auto" w:fill="auto"/>
          </w:tcPr>
          <w:p w14:paraId="23F818D7"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Постоянно монтирани противопожарни системи в машинните, котелните и помпените отделения</w:t>
            </w:r>
          </w:p>
        </w:tc>
        <w:tc>
          <w:tcPr>
            <w:tcW w:w="5387" w:type="dxa"/>
            <w:shd w:val="clear" w:color="auto" w:fill="auto"/>
          </w:tcPr>
          <w:p w14:paraId="7FDDB20A"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p w14:paraId="770423D6" w14:textId="7ABE8221" w:rsidR="00607E36" w:rsidRPr="00F06DE2" w:rsidRDefault="00607E36" w:rsidP="00607E36">
            <w:pPr>
              <w:spacing w:line="240" w:lineRule="atLeast"/>
              <w:ind w:right="52"/>
              <w:jc w:val="both"/>
              <w:rPr>
                <w:rFonts w:ascii="Times New Roman" w:hAnsi="Times New Roman" w:cs="Times New Roman"/>
                <w:lang w:val="ru-RU"/>
              </w:rPr>
            </w:pPr>
            <w:r w:rsidRPr="00F06DE2">
              <w:rPr>
                <w:rFonts w:ascii="Times New Roman" w:hAnsi="Times New Roman" w:cs="Times New Roman"/>
                <w:lang w:val="ru-RU"/>
              </w:rPr>
              <w:t xml:space="preserve">а) Постоянно монтирани </w:t>
            </w:r>
            <w:r w:rsidRPr="00F06DE2">
              <w:rPr>
                <w:rFonts w:ascii="Times New Roman" w:hAnsi="Times New Roman" w:cs="Times New Roman"/>
              </w:rPr>
              <w:t>CO</w:t>
            </w:r>
            <w:r w:rsidRPr="00F06DE2">
              <w:rPr>
                <w:rFonts w:ascii="Times New Roman" w:hAnsi="Times New Roman" w:cs="Times New Roman"/>
                <w:lang w:val="ru-RU"/>
              </w:rPr>
              <w:t xml:space="preserve">2 противопожарни системи, инсталирани между 1 януари 1995 г. и 31 март 2003 г., ще продължат да се приемат до подновяване на Корабното удостоверение за вътрешно корабоплаване след </w:t>
            </w:r>
            <w:r w:rsidR="00275FEC" w:rsidRPr="00F06DE2">
              <w:rPr>
                <w:rFonts w:ascii="Times New Roman" w:hAnsi="Times New Roman" w:cs="Times New Roman"/>
                <w:lang w:val="ru-RU"/>
              </w:rPr>
              <w:t>0</w:t>
            </w:r>
            <w:r w:rsidRPr="00F06DE2">
              <w:rPr>
                <w:rFonts w:ascii="Times New Roman" w:hAnsi="Times New Roman" w:cs="Times New Roman"/>
                <w:lang w:val="ru-RU"/>
              </w:rPr>
              <w:t>1.</w:t>
            </w:r>
            <w:r w:rsidR="00275FEC" w:rsidRPr="00F06DE2">
              <w:rPr>
                <w:rFonts w:ascii="Times New Roman" w:hAnsi="Times New Roman" w:cs="Times New Roman"/>
                <w:lang w:val="ru-RU"/>
              </w:rPr>
              <w:t>0</w:t>
            </w:r>
            <w:r w:rsidRPr="00F06DE2">
              <w:rPr>
                <w:rFonts w:ascii="Times New Roman" w:hAnsi="Times New Roman" w:cs="Times New Roman"/>
                <w:lang w:val="ru-RU"/>
              </w:rPr>
              <w:t>1.2035 г., при условие че отговарят на член 10.03, точка 5 от 31 март 2002 г. версия на Рейнските правила за инспекция на корабите.</w:t>
            </w:r>
          </w:p>
          <w:p w14:paraId="74DFD2D5" w14:textId="77777777" w:rsidR="00607E36" w:rsidRPr="00F06DE2" w:rsidRDefault="00607E36" w:rsidP="00607E36">
            <w:pPr>
              <w:spacing w:line="240" w:lineRule="atLeast"/>
              <w:ind w:right="52"/>
              <w:jc w:val="both"/>
              <w:rPr>
                <w:rFonts w:ascii="Times New Roman" w:hAnsi="Times New Roman" w:cs="Times New Roman"/>
                <w:lang w:val="ru-RU"/>
              </w:rPr>
            </w:pPr>
            <w:r w:rsidRPr="00F06DE2">
              <w:rPr>
                <w:rFonts w:ascii="Times New Roman" w:hAnsi="Times New Roman" w:cs="Times New Roman"/>
                <w:lang w:val="ru-RU"/>
              </w:rPr>
              <w:t>б) Препоръките на Централната комисия за корабоплаване по река Рейн по отношение на член 10.03, точка 5 във версията от 31 март 2002 г. на Рейнските правила за инспекция на корабите, издадени между 1 януари 1995 г. и 31 март 2002 г., остават в сила до подновяване на Корабното удостоверение за вътрешно корабоплаване след 1.1.2035г.</w:t>
            </w:r>
          </w:p>
        </w:tc>
        <w:tc>
          <w:tcPr>
            <w:tcW w:w="1429" w:type="dxa"/>
            <w:gridSpan w:val="2"/>
            <w:shd w:val="clear" w:color="auto" w:fill="auto"/>
          </w:tcPr>
          <w:p w14:paraId="49A82C97"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Pr>
          <w:p w14:paraId="53C37665" w14:textId="1CD4445F" w:rsidR="00607E36" w:rsidRPr="00F06DE2" w:rsidRDefault="003872A2" w:rsidP="00607E36">
            <w:pPr>
              <w:spacing w:line="240" w:lineRule="atLeast"/>
              <w:jc w:val="both"/>
              <w:rPr>
                <w:rFonts w:ascii="Times New Roman" w:hAnsi="Times New Roman" w:cs="Times New Roman"/>
                <w:vertAlign w:val="superscript"/>
              </w:rPr>
            </w:pPr>
            <w:r w:rsidRPr="00F06DE2">
              <w:rPr>
                <w:rFonts w:ascii="Times New Roman" w:hAnsi="Times New Roman" w:cs="Times New Roman"/>
              </w:rPr>
              <w:t>0</w:t>
            </w:r>
            <w:r w:rsidR="00607E36" w:rsidRPr="00F06DE2">
              <w:rPr>
                <w:rFonts w:ascii="Times New Roman" w:hAnsi="Times New Roman" w:cs="Times New Roman"/>
              </w:rPr>
              <w:t>1.</w:t>
            </w:r>
            <w:r w:rsidRPr="00F06DE2">
              <w:rPr>
                <w:rFonts w:ascii="Times New Roman" w:hAnsi="Times New Roman" w:cs="Times New Roman"/>
              </w:rPr>
              <w:t>0</w:t>
            </w:r>
            <w:r w:rsidR="00607E36" w:rsidRPr="00F06DE2">
              <w:rPr>
                <w:rFonts w:ascii="Times New Roman" w:hAnsi="Times New Roman" w:cs="Times New Roman"/>
              </w:rPr>
              <w:t>4.2002 г.</w:t>
            </w:r>
          </w:p>
        </w:tc>
      </w:tr>
      <w:tr w:rsidR="00607E36" w:rsidRPr="00F06DE2" w14:paraId="5519D6F5" w14:textId="77777777" w:rsidTr="00A41A9A">
        <w:trPr>
          <w:cantSplit/>
          <w:jc w:val="center"/>
        </w:trPr>
        <w:tc>
          <w:tcPr>
            <w:tcW w:w="1325" w:type="dxa"/>
            <w:shd w:val="clear" w:color="auto" w:fill="auto"/>
          </w:tcPr>
          <w:p w14:paraId="38A28112"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13.06</w:t>
            </w:r>
          </w:p>
        </w:tc>
        <w:tc>
          <w:tcPr>
            <w:tcW w:w="1458" w:type="dxa"/>
            <w:shd w:val="clear" w:color="auto" w:fill="auto"/>
          </w:tcPr>
          <w:p w14:paraId="4D3E5C44" w14:textId="77777777" w:rsidR="00607E36" w:rsidRPr="00F06DE2" w:rsidRDefault="00607E36" w:rsidP="00607E36">
            <w:pPr>
              <w:spacing w:line="240" w:lineRule="atLeast"/>
              <w:jc w:val="both"/>
              <w:rPr>
                <w:rFonts w:ascii="Times New Roman" w:hAnsi="Times New Roman" w:cs="Times New Roman"/>
              </w:rPr>
            </w:pPr>
          </w:p>
        </w:tc>
        <w:tc>
          <w:tcPr>
            <w:tcW w:w="3296" w:type="dxa"/>
            <w:shd w:val="clear" w:color="auto" w:fill="auto"/>
          </w:tcPr>
          <w:p w14:paraId="6C66768A"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Стационарни противопожарни системи за защита на обекти</w:t>
            </w:r>
          </w:p>
        </w:tc>
        <w:tc>
          <w:tcPr>
            <w:tcW w:w="5387" w:type="dxa"/>
            <w:shd w:val="clear" w:color="auto" w:fill="auto"/>
          </w:tcPr>
          <w:p w14:paraId="31DE842B"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40813F29" w14:textId="77777777" w:rsidR="00607E36" w:rsidRPr="00F06DE2" w:rsidRDefault="00607E36" w:rsidP="00607E36">
            <w:pPr>
              <w:spacing w:line="240" w:lineRule="atLeast"/>
              <w:rPr>
                <w:rFonts w:ascii="Times New Roman" w:hAnsi="Times New Roman" w:cs="Times New Roman"/>
                <w:lang w:val="ru-RU"/>
              </w:rPr>
            </w:pPr>
          </w:p>
        </w:tc>
        <w:tc>
          <w:tcPr>
            <w:tcW w:w="1559" w:type="dxa"/>
          </w:tcPr>
          <w:p w14:paraId="3960E40F" w14:textId="77777777" w:rsidR="00607E36" w:rsidRPr="00F06DE2" w:rsidRDefault="00607E36" w:rsidP="00607E36">
            <w:pPr>
              <w:spacing w:line="240" w:lineRule="atLeast"/>
              <w:rPr>
                <w:rFonts w:ascii="Times New Roman" w:hAnsi="Times New Roman" w:cs="Times New Roman"/>
                <w:lang w:val="ru-RU"/>
              </w:rPr>
            </w:pPr>
          </w:p>
        </w:tc>
      </w:tr>
      <w:tr w:rsidR="00607E36" w:rsidRPr="00F06DE2" w14:paraId="6F724069" w14:textId="77777777" w:rsidTr="00A41A9A">
        <w:trPr>
          <w:cantSplit/>
          <w:jc w:val="center"/>
        </w:trPr>
        <w:tc>
          <w:tcPr>
            <w:tcW w:w="1325" w:type="dxa"/>
            <w:tcBorders>
              <w:bottom w:val="single" w:sz="4" w:space="0" w:color="auto"/>
            </w:tcBorders>
            <w:shd w:val="clear" w:color="auto" w:fill="auto"/>
          </w:tcPr>
          <w:p w14:paraId="5B58681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lastRenderedPageBreak/>
              <w:t>13.07</w:t>
            </w:r>
          </w:p>
        </w:tc>
        <w:tc>
          <w:tcPr>
            <w:tcW w:w="1458" w:type="dxa"/>
            <w:tcBorders>
              <w:bottom w:val="single" w:sz="4" w:space="0" w:color="auto"/>
            </w:tcBorders>
            <w:shd w:val="clear" w:color="auto" w:fill="auto"/>
          </w:tcPr>
          <w:p w14:paraId="699E3A8E"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tcBorders>
              <w:bottom w:val="single" w:sz="4" w:space="0" w:color="auto"/>
            </w:tcBorders>
            <w:shd w:val="clear" w:color="auto" w:fill="auto"/>
          </w:tcPr>
          <w:p w14:paraId="7639519E"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Прилагане на Европейския стандарт за корабните лодки</w:t>
            </w:r>
          </w:p>
        </w:tc>
        <w:tc>
          <w:tcPr>
            <w:tcW w:w="5387" w:type="dxa"/>
            <w:shd w:val="clear" w:color="auto" w:fill="auto"/>
          </w:tcPr>
          <w:p w14:paraId="0FFD1A28"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7BE11877" w14:textId="67232B2F"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корабните лодки, които са били на борда преди </w:t>
            </w:r>
            <w:r w:rsidR="00275FEC" w:rsidRPr="00F06DE2">
              <w:rPr>
                <w:rFonts w:ascii="Times New Roman" w:hAnsi="Times New Roman" w:cs="Times New Roman"/>
                <w:lang w:val="ru-RU"/>
              </w:rPr>
              <w:t>0</w:t>
            </w:r>
            <w:r w:rsidRPr="00F06DE2">
              <w:rPr>
                <w:rFonts w:ascii="Times New Roman" w:hAnsi="Times New Roman" w:cs="Times New Roman"/>
                <w:lang w:val="ru-RU"/>
              </w:rPr>
              <w:t>1.10.2003 г., може да се представи алтернативно доказателство, че те отговарят на изискванията за безопасност на член 32.06.</w:t>
            </w:r>
          </w:p>
        </w:tc>
        <w:tc>
          <w:tcPr>
            <w:tcW w:w="1429" w:type="dxa"/>
            <w:gridSpan w:val="2"/>
            <w:shd w:val="clear" w:color="auto" w:fill="auto"/>
          </w:tcPr>
          <w:p w14:paraId="05748652" w14:textId="380E869B" w:rsidR="00607E36" w:rsidRPr="00F06DE2" w:rsidRDefault="003872A2" w:rsidP="003872A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.2020 г.</w:t>
            </w:r>
          </w:p>
        </w:tc>
        <w:tc>
          <w:tcPr>
            <w:tcW w:w="1559" w:type="dxa"/>
          </w:tcPr>
          <w:p w14:paraId="62519948" w14:textId="248F007B" w:rsidR="00607E36" w:rsidRPr="00F06DE2" w:rsidRDefault="003872A2"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1.10.2003 г.</w:t>
            </w:r>
          </w:p>
        </w:tc>
      </w:tr>
      <w:tr w:rsidR="00607E36" w:rsidRPr="00F06DE2" w14:paraId="6B202D18" w14:textId="77777777" w:rsidTr="00A41A9A">
        <w:trPr>
          <w:cantSplit/>
          <w:jc w:val="center"/>
        </w:trPr>
        <w:tc>
          <w:tcPr>
            <w:tcW w:w="6079" w:type="dxa"/>
            <w:gridSpan w:val="3"/>
            <w:shd w:val="clear" w:color="auto" w:fill="auto"/>
          </w:tcPr>
          <w:p w14:paraId="0D1DF382" w14:textId="77777777" w:rsidR="00607E36" w:rsidRPr="00F06DE2" w:rsidRDefault="00607E36" w:rsidP="00607E36">
            <w:pPr>
              <w:spacing w:line="240" w:lineRule="atLeast"/>
              <w:jc w:val="center"/>
              <w:rPr>
                <w:rFonts w:ascii="Times New Roman" w:hAnsi="Times New Roman" w:cs="Times New Roman"/>
              </w:rPr>
            </w:pPr>
            <w:r w:rsidRPr="00F06DE2">
              <w:rPr>
                <w:rFonts w:ascii="Times New Roman" w:hAnsi="Times New Roman" w:cs="Times New Roman"/>
                <w:b/>
              </w:rPr>
              <w:t>ГЛАВА 14</w:t>
            </w:r>
          </w:p>
        </w:tc>
        <w:tc>
          <w:tcPr>
            <w:tcW w:w="5387" w:type="dxa"/>
            <w:shd w:val="clear" w:color="auto" w:fill="auto"/>
          </w:tcPr>
          <w:p w14:paraId="51138357" w14:textId="77777777" w:rsidR="00607E36" w:rsidRPr="00F06DE2" w:rsidRDefault="00607E36" w:rsidP="00607E36">
            <w:pPr>
              <w:spacing w:line="240" w:lineRule="atLeast"/>
              <w:rPr>
                <w:rFonts w:ascii="Times New Roman" w:hAnsi="Times New Roman" w:cs="Times New Roman"/>
              </w:rPr>
            </w:pPr>
          </w:p>
        </w:tc>
        <w:tc>
          <w:tcPr>
            <w:tcW w:w="1429" w:type="dxa"/>
            <w:gridSpan w:val="2"/>
            <w:shd w:val="clear" w:color="auto" w:fill="auto"/>
          </w:tcPr>
          <w:p w14:paraId="74A27486" w14:textId="77777777" w:rsidR="00607E36" w:rsidRPr="00F06DE2" w:rsidRDefault="00607E36" w:rsidP="00607E36">
            <w:pPr>
              <w:spacing w:line="240" w:lineRule="atLeast"/>
              <w:rPr>
                <w:rFonts w:ascii="Times New Roman" w:hAnsi="Times New Roman" w:cs="Times New Roman"/>
              </w:rPr>
            </w:pPr>
          </w:p>
        </w:tc>
        <w:tc>
          <w:tcPr>
            <w:tcW w:w="1559" w:type="dxa"/>
          </w:tcPr>
          <w:p w14:paraId="175D234E" w14:textId="77777777" w:rsidR="00607E36" w:rsidRPr="00F06DE2" w:rsidRDefault="00607E36" w:rsidP="00607E36">
            <w:pPr>
              <w:spacing w:line="240" w:lineRule="atLeast"/>
              <w:rPr>
                <w:rFonts w:ascii="Times New Roman" w:hAnsi="Times New Roman" w:cs="Times New Roman"/>
              </w:rPr>
            </w:pPr>
          </w:p>
        </w:tc>
      </w:tr>
      <w:tr w:rsidR="00607E36" w:rsidRPr="00F06DE2" w14:paraId="6150939A" w14:textId="77777777" w:rsidTr="00A41A9A">
        <w:trPr>
          <w:cantSplit/>
          <w:jc w:val="center"/>
        </w:trPr>
        <w:tc>
          <w:tcPr>
            <w:tcW w:w="1325" w:type="dxa"/>
            <w:tcBorders>
              <w:bottom w:val="nil"/>
            </w:tcBorders>
            <w:shd w:val="clear" w:color="auto" w:fill="auto"/>
          </w:tcPr>
          <w:p w14:paraId="4C6ECFAE"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14.02</w:t>
            </w:r>
          </w:p>
        </w:tc>
        <w:tc>
          <w:tcPr>
            <w:tcW w:w="1458" w:type="dxa"/>
            <w:tcBorders>
              <w:bottom w:val="nil"/>
            </w:tcBorders>
            <w:shd w:val="clear" w:color="auto" w:fill="auto"/>
          </w:tcPr>
          <w:p w14:paraId="522217A8"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00F272E2"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на външните краища на палуби, палубните проходи и други работни места</w:t>
            </w:r>
          </w:p>
        </w:tc>
        <w:tc>
          <w:tcPr>
            <w:tcW w:w="5387" w:type="dxa"/>
            <w:shd w:val="clear" w:color="auto" w:fill="auto"/>
          </w:tcPr>
          <w:p w14:paraId="702DFC53"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429" w:type="dxa"/>
            <w:gridSpan w:val="2"/>
            <w:shd w:val="clear" w:color="auto" w:fill="auto"/>
          </w:tcPr>
          <w:p w14:paraId="2F35ED26" w14:textId="77777777" w:rsidR="00607E36" w:rsidRPr="00F06DE2" w:rsidRDefault="00607E36" w:rsidP="00607E36">
            <w:pPr>
              <w:spacing w:line="240" w:lineRule="atLeast"/>
              <w:jc w:val="both"/>
              <w:rPr>
                <w:rFonts w:ascii="Times New Roman" w:hAnsi="Times New Roman" w:cs="Times New Roman"/>
              </w:rPr>
            </w:pPr>
          </w:p>
        </w:tc>
        <w:tc>
          <w:tcPr>
            <w:tcW w:w="1559" w:type="dxa"/>
          </w:tcPr>
          <w:p w14:paraId="42D78686" w14:textId="1E7BC104" w:rsidR="00607E36" w:rsidRPr="00F06DE2" w:rsidRDefault="003872A2"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1.12.2011 г.</w:t>
            </w:r>
          </w:p>
        </w:tc>
      </w:tr>
      <w:tr w:rsidR="00607E36" w:rsidRPr="00F06DE2" w14:paraId="4ADF2FFC" w14:textId="77777777" w:rsidTr="00A41A9A">
        <w:trPr>
          <w:cantSplit/>
          <w:jc w:val="center"/>
        </w:trPr>
        <w:tc>
          <w:tcPr>
            <w:tcW w:w="1325" w:type="dxa"/>
            <w:shd w:val="clear" w:color="auto" w:fill="auto"/>
          </w:tcPr>
          <w:p w14:paraId="6B3B5B60"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14.12</w:t>
            </w:r>
          </w:p>
        </w:tc>
        <w:tc>
          <w:tcPr>
            <w:tcW w:w="1458" w:type="dxa"/>
            <w:shd w:val="clear" w:color="auto" w:fill="auto"/>
          </w:tcPr>
          <w:p w14:paraId="5F2D694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Точки 2, 4, 5 и 9</w:t>
            </w:r>
            <w:r w:rsidRPr="00F06DE2">
              <w:rPr>
                <w:rFonts w:ascii="Times New Roman" w:hAnsi="Times New Roman" w:cs="Times New Roman"/>
                <w:snapToGrid w:val="0"/>
                <w:color w:val="000000"/>
                <w:vertAlign w:val="superscript"/>
              </w:rPr>
              <w:t xml:space="preserve"> </w:t>
            </w:r>
          </w:p>
        </w:tc>
        <w:tc>
          <w:tcPr>
            <w:tcW w:w="3296" w:type="dxa"/>
            <w:shd w:val="clear" w:color="auto" w:fill="auto"/>
          </w:tcPr>
          <w:p w14:paraId="6C2DEA37"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Табелка на производителя, предпазни устройства, Корабни документи</w:t>
            </w:r>
          </w:p>
        </w:tc>
        <w:tc>
          <w:tcPr>
            <w:tcW w:w="5387" w:type="dxa"/>
            <w:shd w:val="clear" w:color="auto" w:fill="auto"/>
          </w:tcPr>
          <w:p w14:paraId="387F3D1D"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4584234" w14:textId="4F05D1F3" w:rsidR="00607E36" w:rsidRPr="00F06DE2" w:rsidRDefault="003872A2" w:rsidP="003872A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.2020 г.</w:t>
            </w:r>
          </w:p>
        </w:tc>
        <w:tc>
          <w:tcPr>
            <w:tcW w:w="1559" w:type="dxa"/>
          </w:tcPr>
          <w:p w14:paraId="48F06F00" w14:textId="63CC8CA0" w:rsidR="00607E36" w:rsidRPr="00F06DE2" w:rsidRDefault="003872A2"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1.12.2011 г.</w:t>
            </w:r>
          </w:p>
        </w:tc>
      </w:tr>
      <w:tr w:rsidR="00607E36" w:rsidRPr="00F06DE2" w14:paraId="7315C002" w14:textId="77777777" w:rsidTr="00A41A9A">
        <w:trPr>
          <w:cantSplit/>
          <w:trHeight w:val="70"/>
          <w:jc w:val="center"/>
        </w:trPr>
        <w:tc>
          <w:tcPr>
            <w:tcW w:w="6079" w:type="dxa"/>
            <w:gridSpan w:val="3"/>
            <w:shd w:val="clear" w:color="auto" w:fill="auto"/>
          </w:tcPr>
          <w:p w14:paraId="6F40C058" w14:textId="77777777" w:rsidR="00607E36" w:rsidRPr="00F06DE2" w:rsidRDefault="00607E36" w:rsidP="00607E36">
            <w:pPr>
              <w:spacing w:line="240" w:lineRule="atLeast"/>
              <w:jc w:val="center"/>
              <w:rPr>
                <w:rFonts w:ascii="Times New Roman" w:hAnsi="Times New Roman" w:cs="Times New Roman"/>
                <w:b/>
              </w:rPr>
            </w:pPr>
            <w:r w:rsidRPr="00F06DE2">
              <w:rPr>
                <w:rFonts w:ascii="Times New Roman" w:hAnsi="Times New Roman" w:cs="Times New Roman"/>
                <w:b/>
              </w:rPr>
              <w:t>ГЛАВА 15</w:t>
            </w:r>
          </w:p>
        </w:tc>
        <w:tc>
          <w:tcPr>
            <w:tcW w:w="5387" w:type="dxa"/>
            <w:shd w:val="clear" w:color="auto" w:fill="auto"/>
          </w:tcPr>
          <w:p w14:paraId="221FDC18" w14:textId="77777777" w:rsidR="00607E36" w:rsidRPr="00F06DE2" w:rsidRDefault="00607E36" w:rsidP="00607E36">
            <w:pPr>
              <w:spacing w:line="240" w:lineRule="atLeast"/>
              <w:rPr>
                <w:rFonts w:ascii="Times New Roman" w:hAnsi="Times New Roman" w:cs="Times New Roman"/>
              </w:rPr>
            </w:pPr>
          </w:p>
        </w:tc>
        <w:tc>
          <w:tcPr>
            <w:tcW w:w="1429" w:type="dxa"/>
            <w:gridSpan w:val="2"/>
            <w:shd w:val="clear" w:color="auto" w:fill="auto"/>
          </w:tcPr>
          <w:p w14:paraId="3B4B3C64" w14:textId="77777777" w:rsidR="00607E36" w:rsidRPr="00F06DE2" w:rsidRDefault="00607E36" w:rsidP="003872A2">
            <w:pPr>
              <w:spacing w:line="240" w:lineRule="atLeast"/>
              <w:ind w:right="-105"/>
              <w:rPr>
                <w:rFonts w:ascii="Times New Roman" w:hAnsi="Times New Roman" w:cs="Times New Roman"/>
              </w:rPr>
            </w:pPr>
          </w:p>
        </w:tc>
        <w:tc>
          <w:tcPr>
            <w:tcW w:w="1559" w:type="dxa"/>
          </w:tcPr>
          <w:p w14:paraId="5058A098" w14:textId="77777777" w:rsidR="00607E36" w:rsidRPr="00F06DE2" w:rsidRDefault="00607E36" w:rsidP="00607E36">
            <w:pPr>
              <w:spacing w:line="240" w:lineRule="atLeast"/>
              <w:rPr>
                <w:rFonts w:ascii="Times New Roman" w:hAnsi="Times New Roman" w:cs="Times New Roman"/>
              </w:rPr>
            </w:pPr>
          </w:p>
        </w:tc>
      </w:tr>
      <w:tr w:rsidR="00607E36" w:rsidRPr="00F06DE2" w14:paraId="43C3258F" w14:textId="77777777" w:rsidTr="00A41A9A">
        <w:trPr>
          <w:cantSplit/>
          <w:jc w:val="center"/>
        </w:trPr>
        <w:tc>
          <w:tcPr>
            <w:tcW w:w="1325" w:type="dxa"/>
            <w:shd w:val="clear" w:color="auto" w:fill="auto"/>
          </w:tcPr>
          <w:p w14:paraId="2473EFE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15.02</w:t>
            </w:r>
          </w:p>
        </w:tc>
        <w:tc>
          <w:tcPr>
            <w:tcW w:w="1458" w:type="dxa"/>
            <w:shd w:val="clear" w:color="auto" w:fill="auto"/>
          </w:tcPr>
          <w:p w14:paraId="0EC86A2F"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11, буква “в”</w:t>
            </w:r>
          </w:p>
        </w:tc>
        <w:tc>
          <w:tcPr>
            <w:tcW w:w="3296" w:type="dxa"/>
            <w:shd w:val="clear" w:color="auto" w:fill="auto"/>
          </w:tcPr>
          <w:p w14:paraId="0A582DC8" w14:textId="7ABEB524" w:rsidR="00607E36" w:rsidRPr="00F06DE2" w:rsidRDefault="00607E36" w:rsidP="00B722CD">
            <w:pPr>
              <w:spacing w:line="240" w:lineRule="atLeast"/>
              <w:jc w:val="both"/>
              <w:rPr>
                <w:rFonts w:ascii="Times New Roman" w:hAnsi="Times New Roman" w:cs="Times New Roman"/>
                <w:lang w:val="ru-RU"/>
              </w:rPr>
            </w:pPr>
            <w:r w:rsidRPr="00F06DE2">
              <w:rPr>
                <w:rFonts w:ascii="Times New Roman" w:hAnsi="Times New Roman" w:cs="Times New Roman"/>
                <w:lang w:val="ru-RU"/>
              </w:rPr>
              <w:t>Врати, които са разположени по пътищата за евакуация</w:t>
            </w:r>
          </w:p>
        </w:tc>
        <w:tc>
          <w:tcPr>
            <w:tcW w:w="5387" w:type="dxa"/>
            <w:shd w:val="clear" w:color="auto" w:fill="auto"/>
          </w:tcPr>
          <w:p w14:paraId="73E10B33"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1B77908D" w14:textId="24ABDAB4" w:rsidR="00607E36" w:rsidRPr="00F06DE2" w:rsidRDefault="003872A2" w:rsidP="003872A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.2052 г.</w:t>
            </w:r>
          </w:p>
        </w:tc>
        <w:tc>
          <w:tcPr>
            <w:tcW w:w="1559" w:type="dxa"/>
          </w:tcPr>
          <w:p w14:paraId="54F12FC9" w14:textId="14DBDCC5" w:rsidR="00607E36" w:rsidRPr="00F06DE2" w:rsidRDefault="003872A2" w:rsidP="00607E36">
            <w:pPr>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r>
      <w:tr w:rsidR="00607E36" w:rsidRPr="00F06DE2" w14:paraId="58E60B47" w14:textId="77777777" w:rsidTr="00A41A9A">
        <w:trPr>
          <w:cantSplit/>
          <w:jc w:val="center"/>
        </w:trPr>
        <w:tc>
          <w:tcPr>
            <w:tcW w:w="1325" w:type="dxa"/>
            <w:shd w:val="clear" w:color="auto" w:fill="auto"/>
          </w:tcPr>
          <w:p w14:paraId="3084BC3C" w14:textId="77777777" w:rsidR="00607E36" w:rsidRPr="00F06DE2" w:rsidRDefault="00607E36" w:rsidP="00607E36">
            <w:pPr>
              <w:spacing w:line="240" w:lineRule="atLeast"/>
              <w:jc w:val="both"/>
              <w:rPr>
                <w:rFonts w:ascii="Times New Roman" w:hAnsi="Times New Roman" w:cs="Times New Roman"/>
              </w:rPr>
            </w:pPr>
          </w:p>
        </w:tc>
        <w:tc>
          <w:tcPr>
            <w:tcW w:w="1458" w:type="dxa"/>
            <w:shd w:val="clear" w:color="auto" w:fill="auto"/>
          </w:tcPr>
          <w:p w14:paraId="6F36291A"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 xml:space="preserve">Точка 11, буква ”г” </w:t>
            </w:r>
          </w:p>
        </w:tc>
        <w:tc>
          <w:tcPr>
            <w:tcW w:w="3296" w:type="dxa"/>
            <w:shd w:val="clear" w:color="auto" w:fill="auto"/>
          </w:tcPr>
          <w:p w14:paraId="0BD3CC73"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Врати, които са заключени отвътре</w:t>
            </w:r>
          </w:p>
        </w:tc>
        <w:tc>
          <w:tcPr>
            <w:tcW w:w="5387" w:type="dxa"/>
            <w:shd w:val="clear" w:color="auto" w:fill="auto"/>
          </w:tcPr>
          <w:p w14:paraId="575710F2"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2320475" w14:textId="2AA97061" w:rsidR="00607E36" w:rsidRPr="00F06DE2" w:rsidRDefault="003872A2" w:rsidP="003872A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.2027 г.</w:t>
            </w:r>
          </w:p>
        </w:tc>
        <w:tc>
          <w:tcPr>
            <w:tcW w:w="1559" w:type="dxa"/>
          </w:tcPr>
          <w:p w14:paraId="13E1CF9A" w14:textId="319F3E60" w:rsidR="00607E36" w:rsidRPr="00F06DE2" w:rsidRDefault="003872A2" w:rsidP="00607E36">
            <w:pPr>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.2022 г.</w:t>
            </w:r>
          </w:p>
        </w:tc>
      </w:tr>
      <w:tr w:rsidR="00607E36" w:rsidRPr="00F06DE2" w14:paraId="17DC07F7" w14:textId="77777777" w:rsidTr="00A41A9A">
        <w:trPr>
          <w:cantSplit/>
          <w:jc w:val="center"/>
        </w:trPr>
        <w:tc>
          <w:tcPr>
            <w:tcW w:w="1325" w:type="dxa"/>
            <w:shd w:val="clear" w:color="auto" w:fill="auto"/>
          </w:tcPr>
          <w:p w14:paraId="0C4B95D0"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15.05</w:t>
            </w:r>
          </w:p>
        </w:tc>
        <w:tc>
          <w:tcPr>
            <w:tcW w:w="1458" w:type="dxa"/>
            <w:shd w:val="clear" w:color="auto" w:fill="auto"/>
          </w:tcPr>
          <w:p w14:paraId="4ABEF912"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Точка 1 2-ро изречение</w:t>
            </w:r>
          </w:p>
        </w:tc>
        <w:tc>
          <w:tcPr>
            <w:tcW w:w="3296" w:type="dxa"/>
            <w:shd w:val="clear" w:color="auto" w:fill="auto"/>
          </w:tcPr>
          <w:p w14:paraId="1B65FD56"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color w:val="000000"/>
                <w:lang w:val="ru-RU"/>
              </w:rPr>
              <w:t>Гърловина за пълнене на резервоари за питейна вода</w:t>
            </w:r>
          </w:p>
        </w:tc>
        <w:tc>
          <w:tcPr>
            <w:tcW w:w="5387" w:type="dxa"/>
            <w:shd w:val="clear" w:color="auto" w:fill="auto"/>
          </w:tcPr>
          <w:p w14:paraId="32B47EE5" w14:textId="77777777" w:rsidR="00607E36" w:rsidRPr="00F06DE2" w:rsidRDefault="00607E36" w:rsidP="00607E36">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w:t>
            </w:r>
          </w:p>
        </w:tc>
        <w:tc>
          <w:tcPr>
            <w:tcW w:w="1429" w:type="dxa"/>
            <w:gridSpan w:val="2"/>
            <w:shd w:val="clear" w:color="auto" w:fill="auto"/>
          </w:tcPr>
          <w:p w14:paraId="5174E8F0" w14:textId="77777777" w:rsidR="00607E36" w:rsidRPr="00F06DE2" w:rsidRDefault="00607E36" w:rsidP="003872A2">
            <w:pPr>
              <w:spacing w:line="240" w:lineRule="atLeast"/>
              <w:ind w:right="-105"/>
              <w:jc w:val="both"/>
              <w:rPr>
                <w:rFonts w:ascii="Times New Roman" w:hAnsi="Times New Roman" w:cs="Times New Roman"/>
                <w:lang w:val="ru-RU"/>
              </w:rPr>
            </w:pPr>
          </w:p>
        </w:tc>
        <w:tc>
          <w:tcPr>
            <w:tcW w:w="1559" w:type="dxa"/>
          </w:tcPr>
          <w:p w14:paraId="0D191F8C" w14:textId="2EE07D21" w:rsidR="00607E36" w:rsidRPr="00F06DE2" w:rsidRDefault="003872A2" w:rsidP="00607E36">
            <w:pPr>
              <w:spacing w:line="240" w:lineRule="atLeast"/>
              <w:jc w:val="both"/>
              <w:rPr>
                <w:rFonts w:ascii="Times New Roman" w:hAnsi="Times New Roman" w:cs="Times New Roman"/>
              </w:rPr>
            </w:pPr>
            <w:r w:rsidRPr="00F06DE2">
              <w:rPr>
                <w:rFonts w:ascii="Times New Roman" w:hAnsi="Times New Roman" w:cs="Times New Roman"/>
              </w:rPr>
              <w:t>01.01</w:t>
            </w:r>
            <w:r w:rsidR="00607E36" w:rsidRPr="00F06DE2">
              <w:rPr>
                <w:rFonts w:ascii="Times New Roman" w:hAnsi="Times New Roman" w:cs="Times New Roman"/>
              </w:rPr>
              <w:t>.2026</w:t>
            </w:r>
            <w:r w:rsidRPr="00F06DE2">
              <w:rPr>
                <w:rFonts w:ascii="Times New Roman" w:hAnsi="Times New Roman" w:cs="Times New Roman"/>
              </w:rPr>
              <w:t xml:space="preserve"> г.</w:t>
            </w:r>
          </w:p>
        </w:tc>
      </w:tr>
      <w:tr w:rsidR="00607E36" w:rsidRPr="00F06DE2" w14:paraId="2E92E169" w14:textId="77777777" w:rsidTr="00A41A9A">
        <w:trPr>
          <w:cantSplit/>
          <w:jc w:val="center"/>
        </w:trPr>
        <w:tc>
          <w:tcPr>
            <w:tcW w:w="6079" w:type="dxa"/>
            <w:gridSpan w:val="3"/>
            <w:shd w:val="clear" w:color="auto" w:fill="auto"/>
          </w:tcPr>
          <w:p w14:paraId="6F2A5ADB" w14:textId="77777777" w:rsidR="00607E36" w:rsidRPr="00F06DE2" w:rsidRDefault="00607E36" w:rsidP="00607E36">
            <w:pPr>
              <w:spacing w:line="240" w:lineRule="atLeast"/>
              <w:jc w:val="center"/>
              <w:rPr>
                <w:rFonts w:ascii="Times New Roman" w:hAnsi="Times New Roman" w:cs="Times New Roman"/>
              </w:rPr>
            </w:pPr>
            <w:r w:rsidRPr="00F06DE2">
              <w:rPr>
                <w:rFonts w:ascii="Times New Roman" w:hAnsi="Times New Roman" w:cs="Times New Roman"/>
                <w:b/>
              </w:rPr>
              <w:t>ГЛАВА 18</w:t>
            </w:r>
          </w:p>
        </w:tc>
        <w:tc>
          <w:tcPr>
            <w:tcW w:w="5398" w:type="dxa"/>
            <w:gridSpan w:val="2"/>
            <w:shd w:val="clear" w:color="auto" w:fill="auto"/>
          </w:tcPr>
          <w:p w14:paraId="46EC7261" w14:textId="77777777" w:rsidR="00607E36" w:rsidRPr="00F06DE2" w:rsidRDefault="00607E36" w:rsidP="00607E36">
            <w:pPr>
              <w:spacing w:line="240" w:lineRule="atLeast"/>
              <w:rPr>
                <w:rFonts w:ascii="Times New Roman" w:hAnsi="Times New Roman" w:cs="Times New Roman"/>
              </w:rPr>
            </w:pPr>
          </w:p>
        </w:tc>
        <w:tc>
          <w:tcPr>
            <w:tcW w:w="1418" w:type="dxa"/>
            <w:shd w:val="clear" w:color="auto" w:fill="auto"/>
          </w:tcPr>
          <w:p w14:paraId="77ECBF96" w14:textId="77777777" w:rsidR="00607E36" w:rsidRPr="00F06DE2" w:rsidRDefault="00607E36" w:rsidP="00607E36">
            <w:pPr>
              <w:spacing w:line="240" w:lineRule="atLeast"/>
              <w:rPr>
                <w:rFonts w:ascii="Times New Roman" w:hAnsi="Times New Roman" w:cs="Times New Roman"/>
              </w:rPr>
            </w:pPr>
          </w:p>
        </w:tc>
        <w:tc>
          <w:tcPr>
            <w:tcW w:w="1559" w:type="dxa"/>
            <w:shd w:val="clear" w:color="auto" w:fill="auto"/>
          </w:tcPr>
          <w:p w14:paraId="507EE137" w14:textId="77777777" w:rsidR="00607E36" w:rsidRPr="00F06DE2" w:rsidRDefault="00607E36" w:rsidP="00607E36">
            <w:pPr>
              <w:spacing w:line="240" w:lineRule="atLeast"/>
              <w:rPr>
                <w:rFonts w:ascii="Times New Roman" w:hAnsi="Times New Roman" w:cs="Times New Roman"/>
              </w:rPr>
            </w:pPr>
          </w:p>
        </w:tc>
      </w:tr>
      <w:tr w:rsidR="00607E36" w:rsidRPr="00F06DE2" w14:paraId="0B425401" w14:textId="77777777" w:rsidTr="00A41A9A">
        <w:trPr>
          <w:cantSplit/>
          <w:jc w:val="center"/>
        </w:trPr>
        <w:tc>
          <w:tcPr>
            <w:tcW w:w="1325" w:type="dxa"/>
            <w:vMerge w:val="restart"/>
            <w:shd w:val="clear" w:color="auto" w:fill="auto"/>
          </w:tcPr>
          <w:p w14:paraId="53DE383C" w14:textId="77777777" w:rsidR="00607E36" w:rsidRPr="00F06DE2" w:rsidRDefault="00607E36" w:rsidP="00607E36">
            <w:pPr>
              <w:spacing w:line="240" w:lineRule="atLeast"/>
              <w:rPr>
                <w:rFonts w:ascii="Times New Roman" w:hAnsi="Times New Roman" w:cs="Times New Roman"/>
              </w:rPr>
            </w:pPr>
            <w:r w:rsidRPr="00F06DE2">
              <w:rPr>
                <w:rFonts w:ascii="Times New Roman" w:hAnsi="Times New Roman" w:cs="Times New Roman"/>
              </w:rPr>
              <w:lastRenderedPageBreak/>
              <w:t>18.01</w:t>
            </w:r>
          </w:p>
        </w:tc>
        <w:tc>
          <w:tcPr>
            <w:tcW w:w="1458" w:type="dxa"/>
            <w:vMerge w:val="restart"/>
            <w:shd w:val="clear" w:color="auto" w:fill="auto"/>
          </w:tcPr>
          <w:p w14:paraId="0F202D64" w14:textId="17FDACEC" w:rsidR="00607E36" w:rsidRPr="00F06DE2" w:rsidRDefault="00B722CD" w:rsidP="00607E36">
            <w:pPr>
              <w:adjustRightInd w:val="0"/>
              <w:spacing w:line="240" w:lineRule="atLeast"/>
              <w:ind w:right="-108"/>
              <w:jc w:val="both"/>
              <w:rPr>
                <w:rFonts w:ascii="Times New Roman" w:hAnsi="Times New Roman" w:cs="Times New Roman"/>
                <w:lang w:val="ru-RU"/>
              </w:rPr>
            </w:pPr>
            <w:r w:rsidRPr="00F06DE2">
              <w:rPr>
                <w:rFonts w:ascii="Times New Roman" w:hAnsi="Times New Roman" w:cs="Times New Roman"/>
                <w:lang w:val="ru-RU"/>
              </w:rPr>
              <w:t xml:space="preserve">Точка </w:t>
            </w:r>
            <w:r w:rsidR="00607E36" w:rsidRPr="00F06DE2">
              <w:rPr>
                <w:rFonts w:ascii="Times New Roman" w:hAnsi="Times New Roman" w:cs="Times New Roman"/>
                <w:lang w:val="ru-RU"/>
              </w:rPr>
              <w:t>2, таблици 1 и 2, и точка 7</w:t>
            </w:r>
          </w:p>
        </w:tc>
        <w:tc>
          <w:tcPr>
            <w:tcW w:w="3296" w:type="dxa"/>
            <w:vMerge w:val="restart"/>
            <w:shd w:val="clear" w:color="auto" w:fill="auto"/>
          </w:tcPr>
          <w:p w14:paraId="607A15C4" w14:textId="79DF95C0" w:rsidR="00607E36" w:rsidRPr="00F06DE2" w:rsidRDefault="00607E36" w:rsidP="00607E36">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Пределни/контролни стойности и одобрение на типа</w:t>
            </w:r>
          </w:p>
        </w:tc>
        <w:tc>
          <w:tcPr>
            <w:tcW w:w="5387" w:type="dxa"/>
            <w:shd w:val="clear" w:color="auto" w:fill="auto"/>
          </w:tcPr>
          <w:p w14:paraId="46A1E222" w14:textId="77777777" w:rsidR="00607E36" w:rsidRPr="00F06DE2" w:rsidRDefault="00607E36" w:rsidP="00607E36">
            <w:pPr>
              <w:spacing w:line="240" w:lineRule="atLeast"/>
              <w:jc w:val="both"/>
              <w:rPr>
                <w:rFonts w:ascii="Times New Roman" w:hAnsi="Times New Roman" w:cs="Times New Roman"/>
              </w:rPr>
            </w:pPr>
            <w:r w:rsidRPr="00F06DE2">
              <w:rPr>
                <w:rFonts w:ascii="Times New Roman" w:hAnsi="Times New Roman" w:cs="Times New Roman"/>
              </w:rPr>
              <w:t>НЗР, при условие че</w:t>
            </w:r>
          </w:p>
          <w:p w14:paraId="4B6D1BB3" w14:textId="415AE4C5" w:rsidR="00607E36" w:rsidRPr="00F06DE2" w:rsidRDefault="00607E36" w:rsidP="00607E36">
            <w:pPr>
              <w:numPr>
                <w:ilvl w:val="0"/>
                <w:numId w:val="38"/>
              </w:num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пределните и контролните стойности не дв</w:t>
            </w:r>
            <w:r w:rsidR="0056012F" w:rsidRPr="00F06DE2">
              <w:rPr>
                <w:rFonts w:ascii="Times New Roman" w:hAnsi="Times New Roman" w:cs="Times New Roman"/>
                <w:lang w:val="ru-RU"/>
              </w:rPr>
              <w:t>о</w:t>
            </w:r>
            <w:r w:rsidRPr="00F06DE2">
              <w:rPr>
                <w:rFonts w:ascii="Times New Roman" w:hAnsi="Times New Roman" w:cs="Times New Roman"/>
                <w:lang w:val="ru-RU"/>
              </w:rPr>
              <w:t xml:space="preserve">йно надвишават стойностите съгласно етап </w:t>
            </w:r>
            <w:r w:rsidRPr="00F06DE2">
              <w:rPr>
                <w:rFonts w:ascii="Times New Roman" w:hAnsi="Times New Roman" w:cs="Times New Roman"/>
              </w:rPr>
              <w:t>II</w:t>
            </w:r>
          </w:p>
          <w:p w14:paraId="48F1EBB7" w14:textId="4B432355" w:rsidR="00607E36" w:rsidRPr="00F06DE2" w:rsidRDefault="00607E36" w:rsidP="00B722CD">
            <w:p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 xml:space="preserve">б) бордовата станция за пречистване на отпадъчни води има сертификат от производителя или от експерт, който потвърждава, че тя може да се справи с обичайните видове натоварване на борда на плавателното средство; </w:t>
            </w:r>
          </w:p>
        </w:tc>
        <w:tc>
          <w:tcPr>
            <w:tcW w:w="1429" w:type="dxa"/>
            <w:gridSpan w:val="2"/>
            <w:shd w:val="clear" w:color="auto" w:fill="auto"/>
          </w:tcPr>
          <w:p w14:paraId="03EC9A89" w14:textId="77777777" w:rsidR="00607E36" w:rsidRPr="00F06DE2" w:rsidRDefault="00607E36" w:rsidP="00607E36">
            <w:pPr>
              <w:spacing w:line="240" w:lineRule="atLeast"/>
              <w:jc w:val="both"/>
              <w:rPr>
                <w:rFonts w:ascii="Times New Roman" w:hAnsi="Times New Roman" w:cs="Times New Roman"/>
                <w:lang w:val="ru-RU"/>
              </w:rPr>
            </w:pPr>
          </w:p>
        </w:tc>
        <w:tc>
          <w:tcPr>
            <w:tcW w:w="1559" w:type="dxa"/>
          </w:tcPr>
          <w:p w14:paraId="26F11F16" w14:textId="381C10F0" w:rsidR="00607E36" w:rsidRPr="00F06DE2" w:rsidRDefault="003872A2" w:rsidP="00607E36">
            <w:pPr>
              <w:spacing w:line="240" w:lineRule="atLeast"/>
              <w:jc w:val="both"/>
              <w:rPr>
                <w:rFonts w:ascii="Times New Roman" w:hAnsi="Times New Roman" w:cs="Times New Roman"/>
              </w:rPr>
            </w:pPr>
            <w:r w:rsidRPr="00F06DE2">
              <w:rPr>
                <w:rFonts w:ascii="Times New Roman" w:hAnsi="Times New Roman" w:cs="Times New Roman"/>
              </w:rPr>
              <w:t>0</w:t>
            </w:r>
            <w:r w:rsidR="00607E36" w:rsidRPr="00F06DE2">
              <w:rPr>
                <w:rFonts w:ascii="Times New Roman" w:hAnsi="Times New Roman" w:cs="Times New Roman"/>
              </w:rPr>
              <w:t>1.12.2011 г.</w:t>
            </w:r>
          </w:p>
        </w:tc>
      </w:tr>
      <w:tr w:rsidR="00377B61" w:rsidRPr="00F06DE2" w14:paraId="4936B941" w14:textId="77777777" w:rsidTr="00A41A9A">
        <w:trPr>
          <w:cantSplit/>
          <w:jc w:val="center"/>
        </w:trPr>
        <w:tc>
          <w:tcPr>
            <w:tcW w:w="1325" w:type="dxa"/>
            <w:vMerge/>
            <w:shd w:val="clear" w:color="auto" w:fill="auto"/>
          </w:tcPr>
          <w:p w14:paraId="0A9D6902" w14:textId="77777777" w:rsidR="00377B61" w:rsidRPr="00F06DE2" w:rsidRDefault="00377B61" w:rsidP="00377B61">
            <w:pPr>
              <w:spacing w:line="240" w:lineRule="atLeast"/>
              <w:rPr>
                <w:rFonts w:ascii="Times New Roman" w:hAnsi="Times New Roman" w:cs="Times New Roman"/>
              </w:rPr>
            </w:pPr>
          </w:p>
        </w:tc>
        <w:tc>
          <w:tcPr>
            <w:tcW w:w="1458" w:type="dxa"/>
            <w:vMerge/>
            <w:shd w:val="clear" w:color="auto" w:fill="auto"/>
          </w:tcPr>
          <w:p w14:paraId="53D21F82" w14:textId="77777777" w:rsidR="00377B61" w:rsidRPr="00F06DE2" w:rsidRDefault="00377B61" w:rsidP="00377B61">
            <w:pPr>
              <w:spacing w:line="240" w:lineRule="atLeast"/>
              <w:rPr>
                <w:rFonts w:ascii="Times New Roman" w:hAnsi="Times New Roman" w:cs="Times New Roman"/>
              </w:rPr>
            </w:pPr>
          </w:p>
        </w:tc>
        <w:tc>
          <w:tcPr>
            <w:tcW w:w="3296" w:type="dxa"/>
            <w:vMerge/>
            <w:shd w:val="clear" w:color="auto" w:fill="auto"/>
          </w:tcPr>
          <w:p w14:paraId="3F0F9764" w14:textId="77777777" w:rsidR="00377B61" w:rsidRPr="00F06DE2" w:rsidRDefault="00377B61" w:rsidP="00377B61">
            <w:pPr>
              <w:tabs>
                <w:tab w:val="left" w:pos="1080"/>
              </w:tabs>
              <w:spacing w:line="240" w:lineRule="atLeast"/>
              <w:rPr>
                <w:rFonts w:ascii="Times New Roman" w:hAnsi="Times New Roman" w:cs="Times New Roman"/>
              </w:rPr>
            </w:pPr>
          </w:p>
        </w:tc>
        <w:tc>
          <w:tcPr>
            <w:tcW w:w="5387" w:type="dxa"/>
            <w:shd w:val="clear" w:color="auto" w:fill="auto"/>
          </w:tcPr>
          <w:p w14:paraId="542FB703" w14:textId="1AD30378" w:rsidR="00377B61" w:rsidRPr="00F06DE2" w:rsidRDefault="004F4855"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Бордови станции за пречистване на отпадъчни води, които са одобрени на или след 1 декември 2011 г. съгласно изискванията на Резолюция 2010-</w:t>
            </w:r>
            <w:r w:rsidRPr="00F06DE2">
              <w:rPr>
                <w:rFonts w:ascii="Times New Roman" w:hAnsi="Times New Roman" w:cs="Times New Roman"/>
              </w:rPr>
              <w:t>II</w:t>
            </w:r>
            <w:r w:rsidRPr="00F06DE2">
              <w:rPr>
                <w:rFonts w:ascii="Times New Roman" w:hAnsi="Times New Roman" w:cs="Times New Roman"/>
                <w:lang w:val="ru-RU"/>
              </w:rPr>
              <w:t xml:space="preserve">-27 на ЦККР (етап </w:t>
            </w:r>
            <w:r w:rsidRPr="00F06DE2">
              <w:rPr>
                <w:rFonts w:ascii="Times New Roman" w:hAnsi="Times New Roman" w:cs="Times New Roman"/>
              </w:rPr>
              <w:t>II</w:t>
            </w:r>
            <w:r w:rsidRPr="00F06DE2">
              <w:rPr>
                <w:rFonts w:ascii="Times New Roman" w:hAnsi="Times New Roman" w:cs="Times New Roman"/>
                <w:lang w:val="ru-RU"/>
              </w:rPr>
              <w:t>), могат да продължат да бъдат монтирани и използвани.</w:t>
            </w:r>
          </w:p>
        </w:tc>
        <w:tc>
          <w:tcPr>
            <w:tcW w:w="1429" w:type="dxa"/>
            <w:gridSpan w:val="2"/>
            <w:shd w:val="clear" w:color="auto" w:fill="auto"/>
          </w:tcPr>
          <w:p w14:paraId="458CC635" w14:textId="77777777" w:rsidR="00377B61" w:rsidRPr="00F06DE2" w:rsidRDefault="00377B61" w:rsidP="00377B61">
            <w:pPr>
              <w:spacing w:line="240" w:lineRule="atLeast"/>
              <w:rPr>
                <w:rFonts w:ascii="Times New Roman" w:hAnsi="Times New Roman" w:cs="Times New Roman"/>
                <w:lang w:val="ru-RU"/>
              </w:rPr>
            </w:pPr>
          </w:p>
        </w:tc>
        <w:tc>
          <w:tcPr>
            <w:tcW w:w="1559" w:type="dxa"/>
          </w:tcPr>
          <w:p w14:paraId="449CAA1B" w14:textId="06516AFD" w:rsidR="00377B61" w:rsidRPr="00F06DE2" w:rsidRDefault="003872A2"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7.10.2018 г.</w:t>
            </w:r>
          </w:p>
        </w:tc>
      </w:tr>
      <w:tr w:rsidR="00377B61" w:rsidRPr="00F06DE2" w14:paraId="6618B8BB" w14:textId="77777777" w:rsidTr="00A41A9A">
        <w:trPr>
          <w:cantSplit/>
          <w:jc w:val="center"/>
        </w:trPr>
        <w:tc>
          <w:tcPr>
            <w:tcW w:w="1325" w:type="dxa"/>
            <w:vMerge/>
            <w:tcBorders>
              <w:bottom w:val="nil"/>
            </w:tcBorders>
            <w:shd w:val="clear" w:color="auto" w:fill="auto"/>
          </w:tcPr>
          <w:p w14:paraId="536DDE96" w14:textId="77777777" w:rsidR="00377B61" w:rsidRPr="00F06DE2" w:rsidRDefault="00377B61" w:rsidP="00377B61">
            <w:pPr>
              <w:spacing w:line="240" w:lineRule="atLeast"/>
              <w:rPr>
                <w:rFonts w:ascii="Times New Roman" w:hAnsi="Times New Roman" w:cs="Times New Roman"/>
              </w:rPr>
            </w:pPr>
          </w:p>
        </w:tc>
        <w:tc>
          <w:tcPr>
            <w:tcW w:w="1458" w:type="dxa"/>
            <w:vMerge/>
            <w:shd w:val="clear" w:color="auto" w:fill="auto"/>
          </w:tcPr>
          <w:p w14:paraId="3900F084" w14:textId="77777777" w:rsidR="00377B61" w:rsidRPr="00F06DE2" w:rsidRDefault="00377B61" w:rsidP="00377B61">
            <w:pPr>
              <w:spacing w:line="240" w:lineRule="atLeast"/>
              <w:rPr>
                <w:rFonts w:ascii="Times New Roman" w:hAnsi="Times New Roman" w:cs="Times New Roman"/>
              </w:rPr>
            </w:pPr>
          </w:p>
        </w:tc>
        <w:tc>
          <w:tcPr>
            <w:tcW w:w="3296" w:type="dxa"/>
            <w:vMerge/>
            <w:shd w:val="clear" w:color="auto" w:fill="auto"/>
          </w:tcPr>
          <w:p w14:paraId="7417D17D" w14:textId="77777777" w:rsidR="00377B61" w:rsidRPr="00F06DE2" w:rsidRDefault="00377B61" w:rsidP="00377B61">
            <w:pPr>
              <w:tabs>
                <w:tab w:val="left" w:pos="1080"/>
              </w:tabs>
              <w:spacing w:line="240" w:lineRule="atLeast"/>
              <w:rPr>
                <w:rFonts w:ascii="Times New Roman" w:hAnsi="Times New Roman" w:cs="Times New Roman"/>
              </w:rPr>
            </w:pPr>
          </w:p>
        </w:tc>
        <w:tc>
          <w:tcPr>
            <w:tcW w:w="5387" w:type="dxa"/>
            <w:shd w:val="clear" w:color="auto" w:fill="auto"/>
          </w:tcPr>
          <w:p w14:paraId="50CCAAEF"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Бордови станции за пречистване на отпадъчни води, които са одобрени на или след 10 януари 2013</w:t>
            </w:r>
            <w:r w:rsidRPr="00F06DE2">
              <w:rPr>
                <w:rFonts w:ascii="Times New Roman" w:hAnsi="Times New Roman" w:cs="Times New Roman"/>
              </w:rPr>
              <w:t> </w:t>
            </w:r>
            <w:r w:rsidRPr="00F06DE2">
              <w:rPr>
                <w:rFonts w:ascii="Times New Roman" w:hAnsi="Times New Roman" w:cs="Times New Roman"/>
                <w:lang w:val="ru-RU"/>
              </w:rPr>
              <w:t xml:space="preserve">г. съгласно изискванията на Директива 2012/49/ЕС (етап </w:t>
            </w:r>
            <w:r w:rsidRPr="00F06DE2">
              <w:rPr>
                <w:rFonts w:ascii="Times New Roman" w:hAnsi="Times New Roman" w:cs="Times New Roman"/>
              </w:rPr>
              <w:t>II</w:t>
            </w:r>
            <w:r w:rsidRPr="00F06DE2">
              <w:rPr>
                <w:rFonts w:ascii="Times New Roman" w:hAnsi="Times New Roman" w:cs="Times New Roman"/>
                <w:lang w:val="ru-RU"/>
              </w:rPr>
              <w:t>), могат да продължат да бъдат монтирани и използвани.</w:t>
            </w:r>
          </w:p>
        </w:tc>
        <w:tc>
          <w:tcPr>
            <w:tcW w:w="1429" w:type="dxa"/>
            <w:gridSpan w:val="2"/>
            <w:shd w:val="clear" w:color="auto" w:fill="auto"/>
          </w:tcPr>
          <w:p w14:paraId="56C67CD9" w14:textId="77777777" w:rsidR="00377B61" w:rsidRPr="00F06DE2" w:rsidRDefault="00377B61" w:rsidP="00377B61">
            <w:pPr>
              <w:spacing w:line="240" w:lineRule="atLeast"/>
              <w:rPr>
                <w:rFonts w:ascii="Times New Roman" w:hAnsi="Times New Roman" w:cs="Times New Roman"/>
                <w:lang w:val="ru-RU"/>
              </w:rPr>
            </w:pPr>
          </w:p>
        </w:tc>
        <w:tc>
          <w:tcPr>
            <w:tcW w:w="1559" w:type="dxa"/>
          </w:tcPr>
          <w:p w14:paraId="17B06B80" w14:textId="186CB967" w:rsidR="00377B61" w:rsidRPr="00F06DE2" w:rsidRDefault="003872A2"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7.10.2018 г.</w:t>
            </w:r>
          </w:p>
        </w:tc>
      </w:tr>
      <w:tr w:rsidR="00377B61" w:rsidRPr="00F06DE2" w14:paraId="23C8DA60" w14:textId="77777777" w:rsidTr="00A41A9A">
        <w:trPr>
          <w:cantSplit/>
          <w:jc w:val="center"/>
        </w:trPr>
        <w:tc>
          <w:tcPr>
            <w:tcW w:w="1325" w:type="dxa"/>
            <w:tcBorders>
              <w:top w:val="nil"/>
            </w:tcBorders>
            <w:shd w:val="clear" w:color="auto" w:fill="auto"/>
          </w:tcPr>
          <w:p w14:paraId="5D73D6B7"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40012331" w14:textId="77777777" w:rsidR="00377B61" w:rsidRPr="00F06DE2" w:rsidRDefault="00377B61" w:rsidP="00377B61">
            <w:pPr>
              <w:spacing w:line="240" w:lineRule="atLeast"/>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06AFDA2F" w14:textId="77777777" w:rsidR="00377B61" w:rsidRPr="00F06DE2" w:rsidRDefault="00377B61" w:rsidP="00377B61">
            <w:pPr>
              <w:tabs>
                <w:tab w:val="left" w:pos="1080"/>
              </w:tabs>
              <w:spacing w:line="240" w:lineRule="atLeast"/>
              <w:rPr>
                <w:rFonts w:ascii="Times New Roman" w:hAnsi="Times New Roman" w:cs="Times New Roman"/>
                <w:lang w:val="ru-RU"/>
              </w:rPr>
            </w:pPr>
            <w:r w:rsidRPr="00F06DE2">
              <w:rPr>
                <w:rFonts w:ascii="Times New Roman" w:hAnsi="Times New Roman" w:cs="Times New Roman"/>
                <w:color w:val="000000"/>
                <w:lang w:val="ru-RU"/>
              </w:rPr>
              <w:t>Точка за вземане на проби</w:t>
            </w:r>
          </w:p>
        </w:tc>
        <w:tc>
          <w:tcPr>
            <w:tcW w:w="5387" w:type="dxa"/>
            <w:shd w:val="clear" w:color="auto" w:fill="auto"/>
          </w:tcPr>
          <w:p w14:paraId="2351E636"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17F974BF" w14:textId="77777777" w:rsidR="00377B61" w:rsidRPr="00F06DE2" w:rsidRDefault="00377B61" w:rsidP="00377B61">
            <w:pPr>
              <w:spacing w:line="240" w:lineRule="atLeast"/>
              <w:rPr>
                <w:rFonts w:ascii="Times New Roman" w:hAnsi="Times New Roman" w:cs="Times New Roman"/>
                <w:lang w:val="ru-RU"/>
              </w:rPr>
            </w:pPr>
          </w:p>
        </w:tc>
        <w:tc>
          <w:tcPr>
            <w:tcW w:w="1559" w:type="dxa"/>
          </w:tcPr>
          <w:p w14:paraId="58006FAB" w14:textId="22338B96" w:rsidR="00377B61" w:rsidRPr="00F06DE2" w:rsidRDefault="00363077"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1.</w:t>
            </w:r>
            <w:r w:rsidRPr="00F06DE2">
              <w:rPr>
                <w:rFonts w:ascii="Times New Roman" w:hAnsi="Times New Roman" w:cs="Times New Roman"/>
              </w:rPr>
              <w:t>0</w:t>
            </w:r>
            <w:r w:rsidR="00377B61" w:rsidRPr="00F06DE2">
              <w:rPr>
                <w:rFonts w:ascii="Times New Roman" w:hAnsi="Times New Roman" w:cs="Times New Roman"/>
              </w:rPr>
              <w:t>1.2026</w:t>
            </w:r>
            <w:r w:rsidRPr="00F06DE2">
              <w:rPr>
                <w:rFonts w:ascii="Times New Roman" w:hAnsi="Times New Roman" w:cs="Times New Roman"/>
              </w:rPr>
              <w:t xml:space="preserve"> г.</w:t>
            </w:r>
          </w:p>
        </w:tc>
      </w:tr>
      <w:tr w:rsidR="00377B61" w:rsidRPr="00F06DE2" w14:paraId="5C0FCD41" w14:textId="77777777" w:rsidTr="00A41A9A">
        <w:trPr>
          <w:cantSplit/>
          <w:jc w:val="center"/>
        </w:trPr>
        <w:tc>
          <w:tcPr>
            <w:tcW w:w="1325" w:type="dxa"/>
            <w:shd w:val="clear" w:color="auto" w:fill="auto"/>
          </w:tcPr>
          <w:p w14:paraId="6B6E53E3" w14:textId="77777777" w:rsidR="00377B61" w:rsidRPr="00F06DE2" w:rsidRDefault="00377B61" w:rsidP="00377B61">
            <w:pPr>
              <w:spacing w:line="240" w:lineRule="atLeast"/>
              <w:rPr>
                <w:rFonts w:ascii="Times New Roman" w:hAnsi="Times New Roman" w:cs="Times New Roman"/>
              </w:rPr>
            </w:pPr>
            <w:r w:rsidRPr="00F06DE2">
              <w:rPr>
                <w:rFonts w:ascii="Times New Roman" w:hAnsi="Times New Roman" w:cs="Times New Roman"/>
              </w:rPr>
              <w:t>18.11</w:t>
            </w:r>
          </w:p>
        </w:tc>
        <w:tc>
          <w:tcPr>
            <w:tcW w:w="1458" w:type="dxa"/>
            <w:shd w:val="clear" w:color="auto" w:fill="auto"/>
          </w:tcPr>
          <w:p w14:paraId="02952274" w14:textId="77777777" w:rsidR="00377B61" w:rsidRPr="00F06DE2" w:rsidRDefault="00377B61" w:rsidP="00377B61">
            <w:pPr>
              <w:spacing w:line="240" w:lineRule="atLeast"/>
              <w:rPr>
                <w:rFonts w:ascii="Times New Roman" w:hAnsi="Times New Roman" w:cs="Times New Roman"/>
              </w:rPr>
            </w:pPr>
          </w:p>
        </w:tc>
        <w:tc>
          <w:tcPr>
            <w:tcW w:w="3296" w:type="dxa"/>
            <w:shd w:val="clear" w:color="auto" w:fill="auto"/>
          </w:tcPr>
          <w:p w14:paraId="2E5780B4" w14:textId="77777777" w:rsidR="00377B61" w:rsidRPr="00F06DE2" w:rsidRDefault="00377B61" w:rsidP="00377B61">
            <w:pPr>
              <w:tabs>
                <w:tab w:val="left" w:pos="1080"/>
              </w:tabs>
              <w:spacing w:line="240" w:lineRule="atLeast"/>
              <w:rPr>
                <w:rFonts w:ascii="Times New Roman" w:hAnsi="Times New Roman" w:cs="Times New Roman"/>
                <w:color w:val="000000"/>
                <w:lang w:val="ru-RU"/>
              </w:rPr>
            </w:pPr>
            <w:r w:rsidRPr="00F06DE2">
              <w:rPr>
                <w:rFonts w:ascii="Times New Roman" w:hAnsi="Times New Roman" w:cs="Times New Roman"/>
                <w:color w:val="000000"/>
                <w:lang w:val="ru-RU"/>
              </w:rPr>
              <w:t>Ръководство за управление на операциите</w:t>
            </w:r>
          </w:p>
        </w:tc>
        <w:tc>
          <w:tcPr>
            <w:tcW w:w="5387" w:type="dxa"/>
            <w:shd w:val="clear" w:color="auto" w:fill="auto"/>
          </w:tcPr>
          <w:p w14:paraId="6DF1349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597B3C00" w14:textId="77777777" w:rsidR="00377B61" w:rsidRPr="00F06DE2" w:rsidRDefault="00377B61" w:rsidP="00377B61">
            <w:pPr>
              <w:spacing w:line="240" w:lineRule="atLeast"/>
              <w:rPr>
                <w:rFonts w:ascii="Times New Roman" w:hAnsi="Times New Roman" w:cs="Times New Roman"/>
                <w:lang w:val="ru-RU"/>
              </w:rPr>
            </w:pPr>
          </w:p>
        </w:tc>
        <w:tc>
          <w:tcPr>
            <w:tcW w:w="1559" w:type="dxa"/>
          </w:tcPr>
          <w:p w14:paraId="67B9C036" w14:textId="1770AAD8" w:rsidR="00377B61" w:rsidRPr="00F06DE2" w:rsidRDefault="00363077"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.2026</w:t>
            </w:r>
            <w:r w:rsidRPr="00F06DE2">
              <w:rPr>
                <w:rFonts w:ascii="Times New Roman" w:hAnsi="Times New Roman" w:cs="Times New Roman"/>
              </w:rPr>
              <w:t xml:space="preserve"> г.</w:t>
            </w:r>
          </w:p>
        </w:tc>
      </w:tr>
      <w:tr w:rsidR="00377B61" w:rsidRPr="00F06DE2" w14:paraId="5CEE20C2" w14:textId="77777777" w:rsidTr="00A41A9A">
        <w:trPr>
          <w:cantSplit/>
          <w:jc w:val="center"/>
        </w:trPr>
        <w:tc>
          <w:tcPr>
            <w:tcW w:w="6079" w:type="dxa"/>
            <w:gridSpan w:val="3"/>
            <w:shd w:val="clear" w:color="auto" w:fill="auto"/>
          </w:tcPr>
          <w:p w14:paraId="65421732" w14:textId="77777777" w:rsidR="00377B61" w:rsidRPr="00F06DE2" w:rsidRDefault="00377B61" w:rsidP="00377B6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19</w:t>
            </w:r>
          </w:p>
        </w:tc>
        <w:tc>
          <w:tcPr>
            <w:tcW w:w="5387" w:type="dxa"/>
            <w:shd w:val="clear" w:color="auto" w:fill="auto"/>
          </w:tcPr>
          <w:p w14:paraId="3380B82D" w14:textId="77777777" w:rsidR="00377B61" w:rsidRPr="00F06DE2" w:rsidRDefault="00377B61" w:rsidP="00377B61">
            <w:pPr>
              <w:spacing w:line="240" w:lineRule="atLeast"/>
              <w:rPr>
                <w:rFonts w:ascii="Times New Roman" w:hAnsi="Times New Roman" w:cs="Times New Roman"/>
              </w:rPr>
            </w:pPr>
          </w:p>
        </w:tc>
        <w:tc>
          <w:tcPr>
            <w:tcW w:w="1429" w:type="dxa"/>
            <w:gridSpan w:val="2"/>
            <w:shd w:val="clear" w:color="auto" w:fill="auto"/>
          </w:tcPr>
          <w:p w14:paraId="6C26561C" w14:textId="77777777" w:rsidR="00377B61" w:rsidRPr="00F06DE2" w:rsidRDefault="00377B61" w:rsidP="00377B61">
            <w:pPr>
              <w:spacing w:line="240" w:lineRule="atLeast"/>
              <w:rPr>
                <w:rFonts w:ascii="Times New Roman" w:hAnsi="Times New Roman" w:cs="Times New Roman"/>
              </w:rPr>
            </w:pPr>
          </w:p>
        </w:tc>
        <w:tc>
          <w:tcPr>
            <w:tcW w:w="1559" w:type="dxa"/>
          </w:tcPr>
          <w:p w14:paraId="15C2601E" w14:textId="77777777" w:rsidR="00377B61" w:rsidRPr="00F06DE2" w:rsidRDefault="00377B61" w:rsidP="00377B61">
            <w:pPr>
              <w:spacing w:line="240" w:lineRule="atLeast"/>
              <w:rPr>
                <w:rFonts w:ascii="Times New Roman" w:hAnsi="Times New Roman" w:cs="Times New Roman"/>
              </w:rPr>
            </w:pPr>
          </w:p>
        </w:tc>
      </w:tr>
      <w:tr w:rsidR="00377B61" w:rsidRPr="00F06DE2" w14:paraId="4CE50084" w14:textId="77777777" w:rsidTr="00A41A9A">
        <w:trPr>
          <w:cantSplit/>
          <w:jc w:val="center"/>
        </w:trPr>
        <w:tc>
          <w:tcPr>
            <w:tcW w:w="1325" w:type="dxa"/>
            <w:tcBorders>
              <w:top w:val="nil"/>
              <w:bottom w:val="nil"/>
            </w:tcBorders>
            <w:shd w:val="clear" w:color="auto" w:fill="auto"/>
          </w:tcPr>
          <w:p w14:paraId="366BA5B8" w14:textId="77777777" w:rsidR="00377B61" w:rsidRPr="00F06DE2" w:rsidRDefault="00377B61" w:rsidP="00377B61">
            <w:pPr>
              <w:spacing w:line="240" w:lineRule="atLeast"/>
              <w:rPr>
                <w:rFonts w:ascii="Times New Roman" w:hAnsi="Times New Roman" w:cs="Times New Roman"/>
              </w:rPr>
            </w:pPr>
            <w:r w:rsidRPr="00F06DE2">
              <w:rPr>
                <w:rFonts w:ascii="Times New Roman" w:hAnsi="Times New Roman" w:cs="Times New Roman"/>
              </w:rPr>
              <w:t>19.01</w:t>
            </w:r>
          </w:p>
        </w:tc>
        <w:tc>
          <w:tcPr>
            <w:tcW w:w="1458" w:type="dxa"/>
            <w:vMerge w:val="restart"/>
            <w:shd w:val="clear" w:color="auto" w:fill="auto"/>
          </w:tcPr>
          <w:p w14:paraId="5AC14541"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2, буква “д”</w:t>
            </w:r>
          </w:p>
        </w:tc>
        <w:tc>
          <w:tcPr>
            <w:tcW w:w="3296" w:type="dxa"/>
            <w:vMerge w:val="restart"/>
            <w:shd w:val="clear" w:color="auto" w:fill="auto"/>
          </w:tcPr>
          <w:p w14:paraId="438ABE68"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Забрана на уредбите за втечнен газ съгласно Глава 17</w:t>
            </w:r>
          </w:p>
        </w:tc>
        <w:tc>
          <w:tcPr>
            <w:tcW w:w="5387" w:type="dxa"/>
            <w:shd w:val="clear" w:color="auto" w:fill="auto"/>
          </w:tcPr>
          <w:p w14:paraId="3CB775EC"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6533A5EA" w14:textId="5EB31A36" w:rsidR="00377B61" w:rsidRPr="00F06DE2" w:rsidRDefault="00363077" w:rsidP="00363077">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0970F148" w14:textId="46B43E35" w:rsidR="00377B61" w:rsidRPr="00F06DE2" w:rsidRDefault="00363077"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04BDDA3B" w14:textId="77777777" w:rsidTr="00A41A9A">
        <w:trPr>
          <w:cantSplit/>
          <w:jc w:val="center"/>
        </w:trPr>
        <w:tc>
          <w:tcPr>
            <w:tcW w:w="1325" w:type="dxa"/>
            <w:tcBorders>
              <w:top w:val="nil"/>
              <w:bottom w:val="nil"/>
            </w:tcBorders>
            <w:shd w:val="clear" w:color="auto" w:fill="auto"/>
          </w:tcPr>
          <w:p w14:paraId="0851ABFC" w14:textId="77777777" w:rsidR="00377B61" w:rsidRPr="00F06DE2" w:rsidRDefault="00377B61" w:rsidP="00377B61">
            <w:pPr>
              <w:spacing w:line="240" w:lineRule="atLeast"/>
              <w:rPr>
                <w:rFonts w:ascii="Times New Roman" w:hAnsi="Times New Roman" w:cs="Times New Roman"/>
              </w:rPr>
            </w:pPr>
          </w:p>
        </w:tc>
        <w:tc>
          <w:tcPr>
            <w:tcW w:w="1458" w:type="dxa"/>
            <w:vMerge/>
            <w:shd w:val="clear" w:color="auto" w:fill="auto"/>
          </w:tcPr>
          <w:p w14:paraId="403FA8D4" w14:textId="77777777" w:rsidR="00377B61" w:rsidRPr="00F06DE2" w:rsidRDefault="00377B61" w:rsidP="00377B61">
            <w:pPr>
              <w:spacing w:line="240" w:lineRule="atLeast"/>
              <w:jc w:val="both"/>
              <w:rPr>
                <w:rFonts w:ascii="Times New Roman" w:hAnsi="Times New Roman" w:cs="Times New Roman"/>
              </w:rPr>
            </w:pPr>
          </w:p>
        </w:tc>
        <w:tc>
          <w:tcPr>
            <w:tcW w:w="3296" w:type="dxa"/>
            <w:vMerge/>
            <w:shd w:val="clear" w:color="auto" w:fill="auto"/>
          </w:tcPr>
          <w:p w14:paraId="653CB564" w14:textId="77777777" w:rsidR="00377B61" w:rsidRPr="00F06DE2" w:rsidRDefault="00377B61" w:rsidP="00377B61">
            <w:pPr>
              <w:tabs>
                <w:tab w:val="left" w:pos="1080"/>
              </w:tabs>
              <w:spacing w:line="240" w:lineRule="atLeast"/>
              <w:jc w:val="both"/>
              <w:rPr>
                <w:rFonts w:ascii="Times New Roman" w:hAnsi="Times New Roman" w:cs="Times New Roman"/>
              </w:rPr>
            </w:pPr>
          </w:p>
        </w:tc>
        <w:tc>
          <w:tcPr>
            <w:tcW w:w="5387" w:type="dxa"/>
            <w:shd w:val="clear" w:color="auto" w:fill="auto"/>
          </w:tcPr>
          <w:p w14:paraId="65079824"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Преходната разпоредба се прилага само ако алармените системи са монтирани в съответствие с член</w:t>
            </w:r>
            <w:r w:rsidRPr="00F06DE2">
              <w:rPr>
                <w:rFonts w:ascii="Times New Roman" w:hAnsi="Times New Roman" w:cs="Times New Roman"/>
              </w:rPr>
              <w:t> </w:t>
            </w:r>
            <w:r w:rsidRPr="00F06DE2">
              <w:rPr>
                <w:rFonts w:ascii="Times New Roman" w:hAnsi="Times New Roman" w:cs="Times New Roman"/>
                <w:lang w:val="ru-RU"/>
              </w:rPr>
              <w:t>19.15, точка 8.</w:t>
            </w:r>
          </w:p>
        </w:tc>
        <w:tc>
          <w:tcPr>
            <w:tcW w:w="1429" w:type="dxa"/>
            <w:gridSpan w:val="2"/>
            <w:shd w:val="clear" w:color="auto" w:fill="auto"/>
          </w:tcPr>
          <w:p w14:paraId="6F647C9C" w14:textId="77777777" w:rsidR="00377B61" w:rsidRPr="00F06DE2" w:rsidRDefault="00377B61" w:rsidP="00363077">
            <w:pPr>
              <w:spacing w:line="240" w:lineRule="atLeast"/>
              <w:ind w:right="-105"/>
              <w:jc w:val="both"/>
              <w:rPr>
                <w:rFonts w:ascii="Times New Roman" w:hAnsi="Times New Roman" w:cs="Times New Roman"/>
                <w:lang w:val="ru-RU"/>
              </w:rPr>
            </w:pPr>
          </w:p>
        </w:tc>
        <w:tc>
          <w:tcPr>
            <w:tcW w:w="1559" w:type="dxa"/>
          </w:tcPr>
          <w:p w14:paraId="7D0D5D36" w14:textId="157A6DB6" w:rsidR="00377B61" w:rsidRPr="00F06DE2" w:rsidRDefault="00363077"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142E2D5D" w14:textId="77777777" w:rsidTr="00A41A9A">
        <w:trPr>
          <w:cantSplit/>
          <w:jc w:val="center"/>
        </w:trPr>
        <w:tc>
          <w:tcPr>
            <w:tcW w:w="1325" w:type="dxa"/>
            <w:tcBorders>
              <w:top w:val="nil"/>
              <w:bottom w:val="nil"/>
            </w:tcBorders>
            <w:shd w:val="clear" w:color="auto" w:fill="auto"/>
          </w:tcPr>
          <w:p w14:paraId="0269B56C"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2C61954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4, 2-ро и 3-то изречение</w:t>
            </w:r>
          </w:p>
        </w:tc>
        <w:tc>
          <w:tcPr>
            <w:tcW w:w="3296" w:type="dxa"/>
            <w:shd w:val="clear" w:color="auto" w:fill="auto"/>
          </w:tcPr>
          <w:p w14:paraId="36A787C1"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Минимален брой места и минимален брой кабини</w:t>
            </w:r>
          </w:p>
        </w:tc>
        <w:tc>
          <w:tcPr>
            <w:tcW w:w="5387" w:type="dxa"/>
            <w:shd w:val="clear" w:color="auto" w:fill="auto"/>
          </w:tcPr>
          <w:p w14:paraId="540FB6E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p w14:paraId="79E79F51" w14:textId="07013CA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Въпреки това плавателни съдове с каюти, които са били заложени след </w:t>
            </w:r>
            <w:r w:rsidR="00363077" w:rsidRPr="00F06DE2">
              <w:rPr>
                <w:rFonts w:ascii="Times New Roman" w:hAnsi="Times New Roman" w:cs="Times New Roman"/>
                <w:lang w:val="ru-RU"/>
              </w:rPr>
              <w:t>0</w:t>
            </w:r>
            <w:r w:rsidRPr="00F06DE2">
              <w:rPr>
                <w:rFonts w:ascii="Times New Roman" w:hAnsi="Times New Roman" w:cs="Times New Roman"/>
                <w:lang w:val="ru-RU"/>
              </w:rPr>
              <w:t>1.</w:t>
            </w:r>
            <w:r w:rsidR="00363077" w:rsidRPr="00F06DE2">
              <w:rPr>
                <w:rFonts w:ascii="Times New Roman" w:hAnsi="Times New Roman" w:cs="Times New Roman"/>
                <w:lang w:val="ru-RU"/>
              </w:rPr>
              <w:t>0</w:t>
            </w:r>
            <w:r w:rsidRPr="00F06DE2">
              <w:rPr>
                <w:rFonts w:ascii="Times New Roman" w:hAnsi="Times New Roman" w:cs="Times New Roman"/>
                <w:lang w:val="ru-RU"/>
              </w:rPr>
              <w:t>1.2006 г трябва да имат минимум една кабина, предназначена за лица с ограничена подвижност.</w:t>
            </w:r>
          </w:p>
        </w:tc>
        <w:tc>
          <w:tcPr>
            <w:tcW w:w="1429" w:type="dxa"/>
            <w:gridSpan w:val="2"/>
            <w:shd w:val="clear" w:color="auto" w:fill="auto"/>
          </w:tcPr>
          <w:p w14:paraId="45D7CE80" w14:textId="6459A161" w:rsidR="00377B61" w:rsidRPr="00F06DE2" w:rsidRDefault="00363077" w:rsidP="00363077">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.2064 г.</w:t>
            </w:r>
          </w:p>
        </w:tc>
        <w:tc>
          <w:tcPr>
            <w:tcW w:w="1559" w:type="dxa"/>
          </w:tcPr>
          <w:p w14:paraId="0319E9E2" w14:textId="53A60586" w:rsidR="00377B61" w:rsidRPr="00F06DE2" w:rsidRDefault="00363077"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 xml:space="preserve">.2024 г. </w:t>
            </w:r>
          </w:p>
        </w:tc>
      </w:tr>
      <w:tr w:rsidR="00377B61" w:rsidRPr="00F06DE2" w14:paraId="67DBFDC9" w14:textId="77777777" w:rsidTr="00A41A9A">
        <w:trPr>
          <w:cantSplit/>
          <w:jc w:val="center"/>
        </w:trPr>
        <w:tc>
          <w:tcPr>
            <w:tcW w:w="1325" w:type="dxa"/>
            <w:tcBorders>
              <w:top w:val="nil"/>
              <w:bottom w:val="single" w:sz="4" w:space="0" w:color="auto"/>
            </w:tcBorders>
            <w:shd w:val="clear" w:color="auto" w:fill="auto"/>
          </w:tcPr>
          <w:p w14:paraId="4A8F0D59"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6CFFE187"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Точки 5 и 6</w:t>
            </w:r>
          </w:p>
        </w:tc>
        <w:tc>
          <w:tcPr>
            <w:tcW w:w="3296" w:type="dxa"/>
            <w:shd w:val="clear" w:color="auto" w:fill="auto"/>
          </w:tcPr>
          <w:p w14:paraId="2F7BDBD9" w14:textId="77777777" w:rsidR="00377B61" w:rsidRPr="00F06DE2" w:rsidRDefault="00377B61" w:rsidP="00377B61">
            <w:pPr>
              <w:tabs>
                <w:tab w:val="right" w:pos="3856"/>
                <w:tab w:val="center" w:pos="4536"/>
                <w:tab w:val="left" w:pos="6521"/>
                <w:tab w:val="right" w:pos="9072"/>
              </w:tabs>
              <w:spacing w:line="240" w:lineRule="atLeast"/>
              <w:jc w:val="both"/>
              <w:rPr>
                <w:rFonts w:ascii="Times New Roman" w:hAnsi="Times New Roman" w:cs="Times New Roman"/>
                <w:color w:val="000000"/>
                <w:lang w:val="ru-RU"/>
              </w:rPr>
            </w:pPr>
            <w:r w:rsidRPr="00F06DE2">
              <w:rPr>
                <w:rFonts w:ascii="Times New Roman" w:hAnsi="Times New Roman" w:cs="Times New Roman"/>
                <w:color w:val="000000"/>
                <w:lang w:val="ru-RU"/>
              </w:rPr>
              <w:t xml:space="preserve">Мъртва зона пред плавателния съд на две дължини на плавателния съд, ако дължината е под 250 </w:t>
            </w:r>
            <w:r w:rsidRPr="00F06DE2">
              <w:rPr>
                <w:rFonts w:ascii="Times New Roman" w:hAnsi="Times New Roman" w:cs="Times New Roman"/>
                <w:color w:val="000000"/>
              </w:rPr>
              <w:t>m</w:t>
            </w:r>
          </w:p>
          <w:p w14:paraId="3DADEB93" w14:textId="77777777" w:rsidR="00377B61" w:rsidRPr="00F06DE2" w:rsidRDefault="00377B61" w:rsidP="00377B61">
            <w:pPr>
              <w:tabs>
                <w:tab w:val="right" w:pos="3856"/>
                <w:tab w:val="center" w:pos="4536"/>
                <w:tab w:val="left" w:pos="6521"/>
                <w:tab w:val="right" w:pos="9072"/>
              </w:tabs>
              <w:spacing w:line="240" w:lineRule="atLeast"/>
              <w:jc w:val="both"/>
              <w:rPr>
                <w:rFonts w:ascii="Times New Roman" w:hAnsi="Times New Roman" w:cs="Times New Roman"/>
              </w:rPr>
            </w:pPr>
            <w:r w:rsidRPr="00F06DE2">
              <w:rPr>
                <w:rFonts w:ascii="Times New Roman" w:hAnsi="Times New Roman" w:cs="Times New Roman"/>
              </w:rPr>
              <w:t>Достатъчна видимост назад</w:t>
            </w:r>
          </w:p>
        </w:tc>
        <w:tc>
          <w:tcPr>
            <w:tcW w:w="5387" w:type="dxa"/>
            <w:shd w:val="clear" w:color="auto" w:fill="auto"/>
          </w:tcPr>
          <w:p w14:paraId="543334C7"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B7C8FFB" w14:textId="5E36C215" w:rsidR="00377B61" w:rsidRPr="00F06DE2" w:rsidRDefault="00363077"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04AC7A49" w14:textId="7D88B495"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7.10.2018 г.</w:t>
            </w:r>
          </w:p>
        </w:tc>
      </w:tr>
      <w:tr w:rsidR="004220D1" w:rsidRPr="00F06DE2" w14:paraId="1B6423B3" w14:textId="77777777" w:rsidTr="00A41A9A">
        <w:trPr>
          <w:cantSplit/>
          <w:jc w:val="center"/>
        </w:trPr>
        <w:tc>
          <w:tcPr>
            <w:tcW w:w="1325" w:type="dxa"/>
            <w:vMerge w:val="restart"/>
            <w:tcBorders>
              <w:top w:val="nil"/>
            </w:tcBorders>
            <w:shd w:val="clear" w:color="auto" w:fill="auto"/>
          </w:tcPr>
          <w:p w14:paraId="7D066B89" w14:textId="77777777" w:rsidR="004220D1" w:rsidRPr="00F06DE2" w:rsidRDefault="004220D1" w:rsidP="00377B61">
            <w:pPr>
              <w:spacing w:line="240" w:lineRule="atLeast"/>
              <w:rPr>
                <w:rFonts w:ascii="Times New Roman" w:hAnsi="Times New Roman" w:cs="Times New Roman"/>
              </w:rPr>
            </w:pPr>
            <w:r w:rsidRPr="00F06DE2">
              <w:rPr>
                <w:rFonts w:ascii="Times New Roman" w:hAnsi="Times New Roman" w:cs="Times New Roman"/>
              </w:rPr>
              <w:t>19.02</w:t>
            </w:r>
          </w:p>
          <w:p w14:paraId="7DA3FBDB" w14:textId="3DB11AFC" w:rsidR="004220D1" w:rsidRPr="00F06DE2" w:rsidRDefault="004220D1" w:rsidP="00377B61">
            <w:pPr>
              <w:spacing w:line="240" w:lineRule="atLeast"/>
              <w:jc w:val="both"/>
              <w:rPr>
                <w:rFonts w:ascii="Times New Roman" w:hAnsi="Times New Roman" w:cs="Times New Roman"/>
              </w:rPr>
            </w:pPr>
          </w:p>
        </w:tc>
        <w:tc>
          <w:tcPr>
            <w:tcW w:w="1458" w:type="dxa"/>
            <w:shd w:val="clear" w:color="auto" w:fill="auto"/>
          </w:tcPr>
          <w:p w14:paraId="1701F9B8" w14:textId="77777777" w:rsidR="004220D1" w:rsidRPr="00F06DE2" w:rsidRDefault="004220D1" w:rsidP="00377B61">
            <w:pPr>
              <w:spacing w:line="240" w:lineRule="atLeast"/>
              <w:jc w:val="both"/>
              <w:rPr>
                <w:rFonts w:ascii="Times New Roman" w:hAnsi="Times New Roman" w:cs="Times New Roman"/>
              </w:rPr>
            </w:pPr>
            <w:r w:rsidRPr="00F06DE2">
              <w:rPr>
                <w:rFonts w:ascii="Times New Roman" w:hAnsi="Times New Roman" w:cs="Times New Roman"/>
              </w:rPr>
              <w:t>Точка 1а</w:t>
            </w:r>
          </w:p>
        </w:tc>
        <w:tc>
          <w:tcPr>
            <w:tcW w:w="3296" w:type="dxa"/>
            <w:shd w:val="clear" w:color="auto" w:fill="auto"/>
          </w:tcPr>
          <w:p w14:paraId="41D5D6BE" w14:textId="77777777" w:rsidR="004220D1" w:rsidRPr="00F06DE2" w:rsidRDefault="004220D1" w:rsidP="00377B61">
            <w:pPr>
              <w:tabs>
                <w:tab w:val="right" w:pos="3856"/>
                <w:tab w:val="center" w:pos="4536"/>
                <w:tab w:val="left" w:pos="6521"/>
                <w:tab w:val="right" w:pos="9072"/>
              </w:tabs>
              <w:spacing w:line="240" w:lineRule="atLeast"/>
              <w:jc w:val="both"/>
              <w:rPr>
                <w:rFonts w:ascii="Times New Roman" w:hAnsi="Times New Roman" w:cs="Times New Roman"/>
                <w:color w:val="000000"/>
                <w:lang w:val="ru-RU"/>
              </w:rPr>
            </w:pPr>
            <w:r w:rsidRPr="00F06DE2">
              <w:rPr>
                <w:rFonts w:ascii="Times New Roman" w:hAnsi="Times New Roman" w:cs="Times New Roman"/>
                <w:color w:val="000000"/>
                <w:lang w:val="ru-RU"/>
              </w:rPr>
              <w:t>Материали, различни от стомана, като алуминиева сплав или подсилени с влакна пластмасови композити</w:t>
            </w:r>
          </w:p>
        </w:tc>
        <w:tc>
          <w:tcPr>
            <w:tcW w:w="5387" w:type="dxa"/>
            <w:shd w:val="clear" w:color="auto" w:fill="auto"/>
          </w:tcPr>
          <w:p w14:paraId="439C1B21" w14:textId="77777777" w:rsidR="004220D1" w:rsidRPr="00F06DE2" w:rsidRDefault="004220D1" w:rsidP="00377B6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429" w:type="dxa"/>
            <w:gridSpan w:val="2"/>
            <w:shd w:val="clear" w:color="auto" w:fill="auto"/>
          </w:tcPr>
          <w:p w14:paraId="56C98E3D" w14:textId="77777777" w:rsidR="004220D1" w:rsidRPr="00F06DE2" w:rsidRDefault="004220D1" w:rsidP="006C06DD">
            <w:pPr>
              <w:spacing w:line="240" w:lineRule="atLeast"/>
              <w:ind w:right="-105"/>
              <w:jc w:val="both"/>
              <w:rPr>
                <w:rFonts w:ascii="Times New Roman" w:hAnsi="Times New Roman" w:cs="Times New Roman"/>
              </w:rPr>
            </w:pPr>
          </w:p>
        </w:tc>
        <w:tc>
          <w:tcPr>
            <w:tcW w:w="1559" w:type="dxa"/>
          </w:tcPr>
          <w:p w14:paraId="0D629E6B" w14:textId="08E7A85C" w:rsidR="004220D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.2024</w:t>
            </w:r>
            <w:r w:rsidRPr="00F06DE2">
              <w:rPr>
                <w:rFonts w:ascii="Times New Roman" w:hAnsi="Times New Roman" w:cs="Times New Roman"/>
              </w:rPr>
              <w:t xml:space="preserve"> г.</w:t>
            </w:r>
          </w:p>
        </w:tc>
      </w:tr>
      <w:tr w:rsidR="004220D1" w:rsidRPr="00F06DE2" w14:paraId="3AFB75B1" w14:textId="77777777" w:rsidTr="00A41A9A">
        <w:trPr>
          <w:cantSplit/>
          <w:jc w:val="center"/>
        </w:trPr>
        <w:tc>
          <w:tcPr>
            <w:tcW w:w="1325" w:type="dxa"/>
            <w:vMerge/>
            <w:tcBorders>
              <w:bottom w:val="nil"/>
            </w:tcBorders>
            <w:shd w:val="clear" w:color="auto" w:fill="auto"/>
          </w:tcPr>
          <w:p w14:paraId="6BBA3FAC" w14:textId="1F4D8C27" w:rsidR="004220D1" w:rsidRPr="00F06DE2" w:rsidRDefault="004220D1" w:rsidP="00377B61">
            <w:pPr>
              <w:spacing w:line="240" w:lineRule="atLeast"/>
              <w:jc w:val="both"/>
              <w:rPr>
                <w:rFonts w:ascii="Times New Roman" w:hAnsi="Times New Roman" w:cs="Times New Roman"/>
              </w:rPr>
            </w:pPr>
          </w:p>
        </w:tc>
        <w:tc>
          <w:tcPr>
            <w:tcW w:w="1458" w:type="dxa"/>
            <w:tcBorders>
              <w:bottom w:val="single" w:sz="4" w:space="0" w:color="auto"/>
            </w:tcBorders>
            <w:shd w:val="clear" w:color="auto" w:fill="auto"/>
          </w:tcPr>
          <w:p w14:paraId="6329ABC8" w14:textId="77777777" w:rsidR="004220D1" w:rsidRPr="00F06DE2" w:rsidRDefault="004220D1" w:rsidP="00377B6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tcBorders>
              <w:bottom w:val="single" w:sz="4" w:space="0" w:color="auto"/>
            </w:tcBorders>
            <w:shd w:val="clear" w:color="auto" w:fill="auto"/>
          </w:tcPr>
          <w:p w14:paraId="50B01310" w14:textId="77777777" w:rsidR="004220D1" w:rsidRPr="00F06DE2" w:rsidRDefault="004220D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Брой и местоположение на преградите</w:t>
            </w:r>
          </w:p>
        </w:tc>
        <w:tc>
          <w:tcPr>
            <w:tcW w:w="5387" w:type="dxa"/>
            <w:shd w:val="clear" w:color="auto" w:fill="auto"/>
          </w:tcPr>
          <w:p w14:paraId="0DD82CE0" w14:textId="77777777" w:rsidR="004220D1" w:rsidRPr="00F06DE2" w:rsidRDefault="004220D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93E3B9B" w14:textId="175EA44B" w:rsidR="004220D1" w:rsidRPr="00F06DE2" w:rsidRDefault="00363077"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.2045 г.</w:t>
            </w:r>
          </w:p>
        </w:tc>
        <w:tc>
          <w:tcPr>
            <w:tcW w:w="1559" w:type="dxa"/>
          </w:tcPr>
          <w:p w14:paraId="238185EC" w14:textId="19AB4376" w:rsidR="004220D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.2006 г.</w:t>
            </w:r>
          </w:p>
        </w:tc>
      </w:tr>
      <w:tr w:rsidR="00377B61" w:rsidRPr="00F06DE2" w14:paraId="40C985D8" w14:textId="77777777" w:rsidTr="00A41A9A">
        <w:trPr>
          <w:cantSplit/>
          <w:jc w:val="center"/>
        </w:trPr>
        <w:tc>
          <w:tcPr>
            <w:tcW w:w="1325" w:type="dxa"/>
            <w:tcBorders>
              <w:top w:val="nil"/>
              <w:bottom w:val="nil"/>
            </w:tcBorders>
            <w:shd w:val="clear" w:color="auto" w:fill="auto"/>
          </w:tcPr>
          <w:p w14:paraId="5BDEE1AA" w14:textId="77777777" w:rsidR="00377B61" w:rsidRPr="00F06DE2" w:rsidRDefault="00377B61" w:rsidP="00377B61">
            <w:pPr>
              <w:spacing w:line="240" w:lineRule="atLeast"/>
              <w:jc w:val="both"/>
              <w:rPr>
                <w:rFonts w:ascii="Times New Roman" w:hAnsi="Times New Roman" w:cs="Times New Roman"/>
              </w:rPr>
            </w:pPr>
          </w:p>
        </w:tc>
        <w:tc>
          <w:tcPr>
            <w:tcW w:w="1458" w:type="dxa"/>
            <w:tcBorders>
              <w:bottom w:val="nil"/>
            </w:tcBorders>
            <w:shd w:val="clear" w:color="auto" w:fill="auto"/>
          </w:tcPr>
          <w:p w14:paraId="108412D9"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tcBorders>
              <w:bottom w:val="nil"/>
            </w:tcBorders>
            <w:shd w:val="clear" w:color="auto" w:fill="auto"/>
          </w:tcPr>
          <w:p w14:paraId="35D3CB60"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Положение на ахтерпиковата преграда</w:t>
            </w:r>
          </w:p>
        </w:tc>
        <w:tc>
          <w:tcPr>
            <w:tcW w:w="5387" w:type="dxa"/>
            <w:shd w:val="clear" w:color="auto" w:fill="auto"/>
          </w:tcPr>
          <w:p w14:paraId="192DF2BA"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12C57CAD" w14:textId="4522533E" w:rsidR="00377B61" w:rsidRPr="00F06DE2" w:rsidRDefault="00363077"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.2035 г.</w:t>
            </w:r>
          </w:p>
        </w:tc>
        <w:tc>
          <w:tcPr>
            <w:tcW w:w="1559" w:type="dxa"/>
          </w:tcPr>
          <w:p w14:paraId="3D4CA7AE" w14:textId="043AFD72"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7.10.2018 г.</w:t>
            </w:r>
          </w:p>
        </w:tc>
      </w:tr>
      <w:tr w:rsidR="00377B61" w:rsidRPr="00F06DE2" w14:paraId="3C048529" w14:textId="77777777" w:rsidTr="00A41A9A">
        <w:trPr>
          <w:cantSplit/>
          <w:jc w:val="center"/>
        </w:trPr>
        <w:tc>
          <w:tcPr>
            <w:tcW w:w="1325" w:type="dxa"/>
            <w:tcBorders>
              <w:top w:val="nil"/>
              <w:bottom w:val="nil"/>
            </w:tcBorders>
            <w:shd w:val="clear" w:color="auto" w:fill="auto"/>
          </w:tcPr>
          <w:p w14:paraId="0E207BD3" w14:textId="77777777" w:rsidR="00377B61" w:rsidRPr="00F06DE2" w:rsidRDefault="00377B61" w:rsidP="00377B61">
            <w:pPr>
              <w:spacing w:line="240" w:lineRule="atLeast"/>
              <w:jc w:val="both"/>
              <w:rPr>
                <w:rFonts w:ascii="Times New Roman" w:hAnsi="Times New Roman" w:cs="Times New Roman"/>
              </w:rPr>
            </w:pPr>
          </w:p>
        </w:tc>
        <w:tc>
          <w:tcPr>
            <w:tcW w:w="1458" w:type="dxa"/>
            <w:tcBorders>
              <w:top w:val="nil"/>
            </w:tcBorders>
            <w:shd w:val="clear" w:color="auto" w:fill="auto"/>
          </w:tcPr>
          <w:p w14:paraId="0F3B04A7" w14:textId="77777777" w:rsidR="00377B61" w:rsidRPr="00F06DE2" w:rsidRDefault="00377B61" w:rsidP="00377B61">
            <w:pPr>
              <w:spacing w:line="240" w:lineRule="atLeast"/>
              <w:jc w:val="both"/>
              <w:rPr>
                <w:rFonts w:ascii="Times New Roman" w:hAnsi="Times New Roman" w:cs="Times New Roman"/>
              </w:rPr>
            </w:pPr>
          </w:p>
        </w:tc>
        <w:tc>
          <w:tcPr>
            <w:tcW w:w="3296" w:type="dxa"/>
            <w:tcBorders>
              <w:top w:val="nil"/>
            </w:tcBorders>
            <w:shd w:val="clear" w:color="auto" w:fill="auto"/>
          </w:tcPr>
          <w:p w14:paraId="662E3A94" w14:textId="77777777" w:rsidR="00377B61" w:rsidRPr="00F06DE2" w:rsidRDefault="00377B61" w:rsidP="00377B61">
            <w:pPr>
              <w:tabs>
                <w:tab w:val="left" w:pos="1080"/>
              </w:tabs>
              <w:spacing w:line="240" w:lineRule="atLeast"/>
              <w:jc w:val="both"/>
              <w:rPr>
                <w:rFonts w:ascii="Times New Roman" w:hAnsi="Times New Roman" w:cs="Times New Roman"/>
              </w:rPr>
            </w:pPr>
          </w:p>
        </w:tc>
        <w:tc>
          <w:tcPr>
            <w:tcW w:w="5387" w:type="dxa"/>
            <w:shd w:val="clear" w:color="auto" w:fill="auto"/>
          </w:tcPr>
          <w:p w14:paraId="168A3DA6"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Това изискване не се прилага за пътнически плавателни съдове, които поради спазването на основните изисквания относно повреда на два отсека по член 19.03, точка 9 или спазването на изискванията на член 19.07 постигат еквивалентно ниво на безопасност и маневреност.</w:t>
            </w:r>
          </w:p>
        </w:tc>
        <w:tc>
          <w:tcPr>
            <w:tcW w:w="1429" w:type="dxa"/>
            <w:gridSpan w:val="2"/>
            <w:shd w:val="clear" w:color="auto" w:fill="auto"/>
          </w:tcPr>
          <w:p w14:paraId="506BC2C6" w14:textId="77777777" w:rsidR="00377B61" w:rsidRPr="00F06DE2" w:rsidRDefault="00377B61" w:rsidP="006C06DD">
            <w:pPr>
              <w:spacing w:line="240" w:lineRule="atLeast"/>
              <w:ind w:right="-105"/>
              <w:jc w:val="both"/>
              <w:rPr>
                <w:rFonts w:ascii="Times New Roman" w:hAnsi="Times New Roman" w:cs="Times New Roman"/>
                <w:lang w:val="ru-RU"/>
              </w:rPr>
            </w:pPr>
          </w:p>
        </w:tc>
        <w:tc>
          <w:tcPr>
            <w:tcW w:w="1559" w:type="dxa"/>
          </w:tcPr>
          <w:p w14:paraId="511C0BFB" w14:textId="4DE8107A"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7.10.2018 г.</w:t>
            </w:r>
          </w:p>
        </w:tc>
      </w:tr>
      <w:tr w:rsidR="00377B61" w:rsidRPr="00F06DE2" w14:paraId="60B68883" w14:textId="77777777" w:rsidTr="00A41A9A">
        <w:trPr>
          <w:cantSplit/>
          <w:jc w:val="center"/>
        </w:trPr>
        <w:tc>
          <w:tcPr>
            <w:tcW w:w="1325" w:type="dxa"/>
            <w:tcBorders>
              <w:top w:val="nil"/>
              <w:bottom w:val="nil"/>
            </w:tcBorders>
            <w:shd w:val="clear" w:color="auto" w:fill="auto"/>
          </w:tcPr>
          <w:p w14:paraId="14753BBB"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7081337F"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5, 2-ро изречение</w:t>
            </w:r>
          </w:p>
        </w:tc>
        <w:tc>
          <w:tcPr>
            <w:tcW w:w="3296" w:type="dxa"/>
            <w:shd w:val="clear" w:color="auto" w:fill="auto"/>
          </w:tcPr>
          <w:p w14:paraId="27A182AE"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Пределна линия при липса на палуба на преградите</w:t>
            </w:r>
          </w:p>
        </w:tc>
        <w:tc>
          <w:tcPr>
            <w:tcW w:w="5387" w:type="dxa"/>
            <w:shd w:val="clear" w:color="auto" w:fill="auto"/>
          </w:tcPr>
          <w:p w14:paraId="7A1F0448" w14:textId="7F8D0695"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пътническите плавателни съдове, които са заложени за строеж преди </w:t>
            </w:r>
            <w:r w:rsidR="006C06DD" w:rsidRPr="00F06DE2">
              <w:rPr>
                <w:rFonts w:ascii="Times New Roman" w:hAnsi="Times New Roman" w:cs="Times New Roman"/>
                <w:lang w:val="ru-RU"/>
              </w:rPr>
              <w:t>0</w:t>
            </w:r>
            <w:r w:rsidRPr="00F06DE2">
              <w:rPr>
                <w:rFonts w:ascii="Times New Roman" w:hAnsi="Times New Roman" w:cs="Times New Roman"/>
                <w:lang w:val="ru-RU"/>
              </w:rPr>
              <w:t>1.</w:t>
            </w:r>
            <w:r w:rsidR="006C06DD" w:rsidRPr="00F06DE2">
              <w:rPr>
                <w:rFonts w:ascii="Times New Roman" w:hAnsi="Times New Roman" w:cs="Times New Roman"/>
                <w:lang w:val="ru-RU"/>
              </w:rPr>
              <w:t>0</w:t>
            </w:r>
            <w:r w:rsidRPr="00F06DE2">
              <w:rPr>
                <w:rFonts w:ascii="Times New Roman" w:hAnsi="Times New Roman" w:cs="Times New Roman"/>
                <w:lang w:val="ru-RU"/>
              </w:rPr>
              <w:t>1.1996 г., НЗР, най-късно при подновяване на Корабното удостоверение за вътрешно корабоплаване след</w:t>
            </w:r>
          </w:p>
        </w:tc>
        <w:tc>
          <w:tcPr>
            <w:tcW w:w="1429" w:type="dxa"/>
            <w:gridSpan w:val="2"/>
            <w:shd w:val="clear" w:color="auto" w:fill="auto"/>
          </w:tcPr>
          <w:p w14:paraId="12F42B68" w14:textId="27C5AC3F" w:rsidR="00377B61" w:rsidRPr="00F06DE2" w:rsidRDefault="006C06DD"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3C31E1F7" w14:textId="0714E930"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27286F32" w14:textId="77777777" w:rsidTr="00A41A9A">
        <w:trPr>
          <w:cantSplit/>
          <w:jc w:val="center"/>
        </w:trPr>
        <w:tc>
          <w:tcPr>
            <w:tcW w:w="1325" w:type="dxa"/>
            <w:tcBorders>
              <w:top w:val="nil"/>
              <w:bottom w:val="nil"/>
            </w:tcBorders>
            <w:shd w:val="clear" w:color="auto" w:fill="auto"/>
          </w:tcPr>
          <w:p w14:paraId="559FE3E1"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71F603DB"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10, буква “г”</w:t>
            </w:r>
          </w:p>
        </w:tc>
        <w:tc>
          <w:tcPr>
            <w:tcW w:w="3296" w:type="dxa"/>
            <w:shd w:val="clear" w:color="auto" w:fill="auto"/>
          </w:tcPr>
          <w:p w14:paraId="05FECF97"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Оптичен и звуков сигнал</w:t>
            </w:r>
          </w:p>
        </w:tc>
        <w:tc>
          <w:tcPr>
            <w:tcW w:w="5387" w:type="dxa"/>
            <w:shd w:val="clear" w:color="auto" w:fill="auto"/>
          </w:tcPr>
          <w:p w14:paraId="1B6E7E0B"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78E62996" w14:textId="77777777" w:rsidR="00377B61" w:rsidRPr="00F06DE2" w:rsidRDefault="00377B61" w:rsidP="006C06DD">
            <w:pPr>
              <w:spacing w:line="240" w:lineRule="atLeast"/>
              <w:ind w:right="-105"/>
              <w:jc w:val="both"/>
              <w:rPr>
                <w:rFonts w:ascii="Times New Roman" w:hAnsi="Times New Roman" w:cs="Times New Roman"/>
                <w:lang w:val="ru-RU"/>
              </w:rPr>
            </w:pPr>
          </w:p>
        </w:tc>
        <w:tc>
          <w:tcPr>
            <w:tcW w:w="1559" w:type="dxa"/>
          </w:tcPr>
          <w:p w14:paraId="30D6452C" w14:textId="2FC46D09"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.2024 г.</w:t>
            </w:r>
          </w:p>
        </w:tc>
      </w:tr>
      <w:tr w:rsidR="00377B61" w:rsidRPr="00F06DE2" w14:paraId="73170BDC" w14:textId="77777777" w:rsidTr="00A41A9A">
        <w:trPr>
          <w:cantSplit/>
          <w:jc w:val="center"/>
        </w:trPr>
        <w:tc>
          <w:tcPr>
            <w:tcW w:w="1325" w:type="dxa"/>
            <w:tcBorders>
              <w:top w:val="nil"/>
              <w:bottom w:val="single" w:sz="4" w:space="0" w:color="auto"/>
            </w:tcBorders>
            <w:shd w:val="clear" w:color="auto" w:fill="auto"/>
          </w:tcPr>
          <w:p w14:paraId="553E8C35"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5B95AC30"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15</w:t>
            </w:r>
          </w:p>
        </w:tc>
        <w:tc>
          <w:tcPr>
            <w:tcW w:w="3296" w:type="dxa"/>
            <w:shd w:val="clear" w:color="auto" w:fill="auto"/>
          </w:tcPr>
          <w:p w14:paraId="17FB8C99"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Височина на двойно дъно, ширина надвойни страни</w:t>
            </w:r>
          </w:p>
        </w:tc>
        <w:tc>
          <w:tcPr>
            <w:tcW w:w="5387" w:type="dxa"/>
            <w:shd w:val="clear" w:color="auto" w:fill="auto"/>
          </w:tcPr>
          <w:p w14:paraId="284D9749"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3B18CDB" w14:textId="3BCBD0B4" w:rsidR="00377B61" w:rsidRPr="00F06DE2" w:rsidRDefault="006C06DD"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0D759663" w14:textId="589259CC"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4CA2C60B" w14:textId="77777777" w:rsidTr="00A41A9A">
        <w:trPr>
          <w:cantSplit/>
          <w:jc w:val="center"/>
        </w:trPr>
        <w:tc>
          <w:tcPr>
            <w:tcW w:w="1325" w:type="dxa"/>
            <w:tcBorders>
              <w:bottom w:val="nil"/>
            </w:tcBorders>
            <w:shd w:val="clear" w:color="auto" w:fill="auto"/>
          </w:tcPr>
          <w:p w14:paraId="562EE417" w14:textId="77777777" w:rsidR="00377B61" w:rsidRPr="00F06DE2" w:rsidRDefault="00377B61" w:rsidP="00377B61">
            <w:pPr>
              <w:spacing w:line="240" w:lineRule="atLeast"/>
              <w:rPr>
                <w:rFonts w:ascii="Times New Roman" w:hAnsi="Times New Roman" w:cs="Times New Roman"/>
              </w:rPr>
            </w:pPr>
            <w:r w:rsidRPr="00F06DE2">
              <w:rPr>
                <w:rFonts w:ascii="Times New Roman" w:hAnsi="Times New Roman" w:cs="Times New Roman"/>
              </w:rPr>
              <w:t>19.03</w:t>
            </w:r>
          </w:p>
        </w:tc>
        <w:tc>
          <w:tcPr>
            <w:tcW w:w="1458" w:type="dxa"/>
            <w:shd w:val="clear" w:color="auto" w:fill="auto"/>
          </w:tcPr>
          <w:p w14:paraId="5FF13938"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Точки 1-6</w:t>
            </w:r>
          </w:p>
        </w:tc>
        <w:tc>
          <w:tcPr>
            <w:tcW w:w="3296" w:type="dxa"/>
            <w:shd w:val="clear" w:color="auto" w:fill="auto"/>
          </w:tcPr>
          <w:p w14:paraId="442D04A4"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Непокътната устойчивост</w:t>
            </w:r>
          </w:p>
        </w:tc>
        <w:tc>
          <w:tcPr>
            <w:tcW w:w="5387" w:type="dxa"/>
            <w:shd w:val="clear" w:color="auto" w:fill="auto"/>
          </w:tcPr>
          <w:p w14:paraId="0E17E59E"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и когато максималният брой пътници е увеличен, най-късно след подновяване на Корабното удостоверение за вътрешно корабоплаване</w:t>
            </w:r>
          </w:p>
        </w:tc>
        <w:tc>
          <w:tcPr>
            <w:tcW w:w="1429" w:type="dxa"/>
            <w:gridSpan w:val="2"/>
            <w:shd w:val="clear" w:color="auto" w:fill="auto"/>
          </w:tcPr>
          <w:p w14:paraId="45D0904D" w14:textId="4A7A96D4" w:rsidR="00377B61" w:rsidRPr="00F06DE2" w:rsidRDefault="006C06DD"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6D3CB2C3" w14:textId="38D6544F"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4220D1" w:rsidRPr="00F06DE2" w14:paraId="372AC911" w14:textId="77777777" w:rsidTr="00A41A9A">
        <w:trPr>
          <w:cantSplit/>
          <w:jc w:val="center"/>
        </w:trPr>
        <w:tc>
          <w:tcPr>
            <w:tcW w:w="1325" w:type="dxa"/>
            <w:vMerge w:val="restart"/>
            <w:shd w:val="clear" w:color="auto" w:fill="auto"/>
          </w:tcPr>
          <w:p w14:paraId="1B9480B8" w14:textId="77777777" w:rsidR="004220D1" w:rsidRPr="00F06DE2" w:rsidRDefault="004220D1" w:rsidP="00377B61">
            <w:pPr>
              <w:spacing w:line="240" w:lineRule="atLeast"/>
              <w:rPr>
                <w:rFonts w:ascii="Times New Roman" w:hAnsi="Times New Roman" w:cs="Times New Roman"/>
              </w:rPr>
            </w:pPr>
          </w:p>
        </w:tc>
        <w:tc>
          <w:tcPr>
            <w:tcW w:w="1458" w:type="dxa"/>
            <w:shd w:val="clear" w:color="auto" w:fill="auto"/>
          </w:tcPr>
          <w:p w14:paraId="2B1ADBD3" w14:textId="77777777" w:rsidR="004220D1" w:rsidRPr="00F06DE2" w:rsidRDefault="004220D1" w:rsidP="00377B61">
            <w:pPr>
              <w:spacing w:line="240" w:lineRule="atLeast"/>
              <w:jc w:val="both"/>
              <w:rPr>
                <w:rFonts w:ascii="Times New Roman" w:hAnsi="Times New Roman" w:cs="Times New Roman"/>
              </w:rPr>
            </w:pPr>
            <w:r w:rsidRPr="00F06DE2">
              <w:rPr>
                <w:rFonts w:ascii="Times New Roman" w:hAnsi="Times New Roman" w:cs="Times New Roman"/>
              </w:rPr>
              <w:t>Точка 1, буква “а”</w:t>
            </w:r>
          </w:p>
        </w:tc>
        <w:tc>
          <w:tcPr>
            <w:tcW w:w="3296" w:type="dxa"/>
            <w:shd w:val="clear" w:color="auto" w:fill="auto"/>
          </w:tcPr>
          <w:p w14:paraId="40700458" w14:textId="77777777" w:rsidR="004220D1" w:rsidRPr="00F06DE2" w:rsidRDefault="004220D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Тест за креноване</w:t>
            </w:r>
          </w:p>
        </w:tc>
        <w:tc>
          <w:tcPr>
            <w:tcW w:w="5387" w:type="dxa"/>
            <w:shd w:val="clear" w:color="auto" w:fill="auto"/>
          </w:tcPr>
          <w:p w14:paraId="246383E1" w14:textId="77777777" w:rsidR="004220D1" w:rsidRPr="00F06DE2" w:rsidRDefault="004220D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Тестът за креноване, който не е в съответствие с Приложение 1 на Резолюция </w:t>
            </w:r>
            <w:r w:rsidRPr="00F06DE2">
              <w:rPr>
                <w:rFonts w:ascii="Times New Roman" w:hAnsi="Times New Roman" w:cs="Times New Roman"/>
              </w:rPr>
              <w:t>MSC</w:t>
            </w:r>
            <w:r w:rsidRPr="00F06DE2">
              <w:rPr>
                <w:rFonts w:ascii="Times New Roman" w:hAnsi="Times New Roman" w:cs="Times New Roman"/>
                <w:lang w:val="ru-RU"/>
              </w:rPr>
              <w:t>.267(85) на ИМО се приема</w:t>
            </w:r>
          </w:p>
        </w:tc>
        <w:tc>
          <w:tcPr>
            <w:tcW w:w="1429" w:type="dxa"/>
            <w:gridSpan w:val="2"/>
            <w:shd w:val="clear" w:color="auto" w:fill="auto"/>
          </w:tcPr>
          <w:p w14:paraId="18C71566" w14:textId="77777777" w:rsidR="004220D1" w:rsidRPr="00F06DE2" w:rsidRDefault="004220D1" w:rsidP="006C06DD">
            <w:pPr>
              <w:spacing w:line="240" w:lineRule="atLeast"/>
              <w:ind w:right="-105"/>
              <w:jc w:val="both"/>
              <w:rPr>
                <w:rFonts w:ascii="Times New Roman" w:hAnsi="Times New Roman" w:cs="Times New Roman"/>
                <w:lang w:val="ru-RU"/>
              </w:rPr>
            </w:pPr>
          </w:p>
        </w:tc>
        <w:tc>
          <w:tcPr>
            <w:tcW w:w="1559" w:type="dxa"/>
          </w:tcPr>
          <w:p w14:paraId="288CA88C" w14:textId="7B2B6730" w:rsidR="004220D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.2024 г.</w:t>
            </w:r>
          </w:p>
        </w:tc>
      </w:tr>
      <w:tr w:rsidR="004220D1" w:rsidRPr="00F06DE2" w14:paraId="53A5629B" w14:textId="77777777" w:rsidTr="00A41A9A">
        <w:trPr>
          <w:cantSplit/>
          <w:jc w:val="center"/>
        </w:trPr>
        <w:tc>
          <w:tcPr>
            <w:tcW w:w="1325" w:type="dxa"/>
            <w:vMerge/>
            <w:tcBorders>
              <w:bottom w:val="nil"/>
            </w:tcBorders>
            <w:shd w:val="clear" w:color="auto" w:fill="auto"/>
          </w:tcPr>
          <w:p w14:paraId="7F707294" w14:textId="77777777" w:rsidR="004220D1" w:rsidRPr="00F06DE2" w:rsidRDefault="004220D1" w:rsidP="00377B61">
            <w:pPr>
              <w:spacing w:line="240" w:lineRule="atLeast"/>
              <w:rPr>
                <w:rFonts w:ascii="Times New Roman" w:hAnsi="Times New Roman" w:cs="Times New Roman"/>
              </w:rPr>
            </w:pPr>
          </w:p>
        </w:tc>
        <w:tc>
          <w:tcPr>
            <w:tcW w:w="1458" w:type="dxa"/>
            <w:shd w:val="clear" w:color="auto" w:fill="auto"/>
          </w:tcPr>
          <w:p w14:paraId="17E89D11" w14:textId="77777777" w:rsidR="004220D1" w:rsidRPr="00F06DE2" w:rsidRDefault="004220D1" w:rsidP="00377B61">
            <w:pPr>
              <w:spacing w:line="240" w:lineRule="atLeast"/>
              <w:jc w:val="both"/>
              <w:rPr>
                <w:rFonts w:ascii="Times New Roman" w:hAnsi="Times New Roman" w:cs="Times New Roman"/>
              </w:rPr>
            </w:pPr>
            <w:r w:rsidRPr="00F06DE2">
              <w:rPr>
                <w:rFonts w:ascii="Times New Roman" w:hAnsi="Times New Roman" w:cs="Times New Roman"/>
              </w:rPr>
              <w:t>Точка 6 последно изречение</w:t>
            </w:r>
          </w:p>
        </w:tc>
        <w:tc>
          <w:tcPr>
            <w:tcW w:w="3296" w:type="dxa"/>
            <w:shd w:val="clear" w:color="auto" w:fill="auto"/>
          </w:tcPr>
          <w:p w14:paraId="51DE4E0C" w14:textId="77777777" w:rsidR="004220D1" w:rsidRPr="00F06DE2" w:rsidRDefault="004220D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Пътнически плавателен съд, способен да постигне по-големи скорости от </w:t>
            </w:r>
            <w:r w:rsidRPr="00F06DE2">
              <w:rPr>
                <w:rFonts w:ascii="Cambria Math" w:hAnsi="Cambria Math" w:cs="Cambria Math"/>
              </w:rPr>
              <w:t>𝑣</w:t>
            </w:r>
            <w:r w:rsidRPr="00F06DE2">
              <w:rPr>
                <w:rFonts w:ascii="Times New Roman" w:hAnsi="Times New Roman" w:cs="Times New Roman"/>
                <w:lang w:val="ru-RU"/>
              </w:rPr>
              <w:t xml:space="preserve"> = 0,4 √</w:t>
            </w:r>
            <w:r w:rsidRPr="00F06DE2">
              <w:rPr>
                <w:rFonts w:ascii="Times New Roman" w:hAnsi="Times New Roman" w:cs="Times New Roman"/>
              </w:rPr>
              <w:t>gL</w:t>
            </w:r>
          </w:p>
        </w:tc>
        <w:tc>
          <w:tcPr>
            <w:tcW w:w="5387" w:type="dxa"/>
            <w:shd w:val="clear" w:color="auto" w:fill="auto"/>
          </w:tcPr>
          <w:p w14:paraId="5864F707" w14:textId="77777777" w:rsidR="004220D1" w:rsidRPr="00F06DE2" w:rsidRDefault="004220D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след подновяване на Корабното удостоверение за вътрешно корабоплаване</w:t>
            </w:r>
          </w:p>
        </w:tc>
        <w:tc>
          <w:tcPr>
            <w:tcW w:w="1429" w:type="dxa"/>
            <w:gridSpan w:val="2"/>
            <w:shd w:val="clear" w:color="auto" w:fill="auto"/>
          </w:tcPr>
          <w:p w14:paraId="3465AB20" w14:textId="19462D82" w:rsidR="004220D1" w:rsidRPr="00F06DE2" w:rsidRDefault="006C06DD"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.2064 г.</w:t>
            </w:r>
          </w:p>
        </w:tc>
        <w:tc>
          <w:tcPr>
            <w:tcW w:w="1559" w:type="dxa"/>
          </w:tcPr>
          <w:p w14:paraId="3B62AD76" w14:textId="1762DA00" w:rsidR="004220D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.2024 г.</w:t>
            </w:r>
          </w:p>
        </w:tc>
      </w:tr>
      <w:tr w:rsidR="00377B61" w:rsidRPr="00F06DE2" w14:paraId="1BE42755" w14:textId="77777777" w:rsidTr="00A41A9A">
        <w:trPr>
          <w:cantSplit/>
          <w:jc w:val="center"/>
        </w:trPr>
        <w:tc>
          <w:tcPr>
            <w:tcW w:w="1325" w:type="dxa"/>
            <w:tcBorders>
              <w:top w:val="nil"/>
              <w:bottom w:val="nil"/>
            </w:tcBorders>
            <w:shd w:val="clear" w:color="auto" w:fill="auto"/>
          </w:tcPr>
          <w:p w14:paraId="0AC4ACE1" w14:textId="77777777" w:rsidR="00377B61" w:rsidRPr="00F06DE2" w:rsidRDefault="00377B61" w:rsidP="00377B61">
            <w:pPr>
              <w:spacing w:line="240" w:lineRule="atLeast"/>
              <w:rPr>
                <w:rFonts w:ascii="Times New Roman" w:hAnsi="Times New Roman" w:cs="Times New Roman"/>
              </w:rPr>
            </w:pPr>
          </w:p>
        </w:tc>
        <w:tc>
          <w:tcPr>
            <w:tcW w:w="1458" w:type="dxa"/>
            <w:tcBorders>
              <w:bottom w:val="single" w:sz="4" w:space="0" w:color="auto"/>
            </w:tcBorders>
            <w:shd w:val="clear" w:color="auto" w:fill="auto"/>
          </w:tcPr>
          <w:p w14:paraId="3628DBAD"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Точки 7 и 8</w:t>
            </w:r>
          </w:p>
        </w:tc>
        <w:tc>
          <w:tcPr>
            <w:tcW w:w="3296" w:type="dxa"/>
            <w:shd w:val="clear" w:color="auto" w:fill="auto"/>
          </w:tcPr>
          <w:p w14:paraId="58804E91"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Устойчивост в повредено състояние</w:t>
            </w:r>
          </w:p>
        </w:tc>
        <w:tc>
          <w:tcPr>
            <w:tcW w:w="5387" w:type="dxa"/>
            <w:shd w:val="clear" w:color="auto" w:fill="auto"/>
          </w:tcPr>
          <w:p w14:paraId="4D52FEE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4097874" w14:textId="0ACF3029" w:rsidR="00377B61" w:rsidRPr="00F06DE2" w:rsidRDefault="006C06DD"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7A5EA4C6" w14:textId="46043F14"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09323899" w14:textId="77777777" w:rsidTr="00A41A9A">
        <w:trPr>
          <w:cantSplit/>
          <w:jc w:val="center"/>
        </w:trPr>
        <w:tc>
          <w:tcPr>
            <w:tcW w:w="1325" w:type="dxa"/>
            <w:tcBorders>
              <w:top w:val="nil"/>
              <w:bottom w:val="nil"/>
            </w:tcBorders>
            <w:shd w:val="clear" w:color="auto" w:fill="auto"/>
          </w:tcPr>
          <w:p w14:paraId="1AC5B4D5" w14:textId="77777777" w:rsidR="00377B61" w:rsidRPr="00F06DE2" w:rsidRDefault="00377B61" w:rsidP="00377B61">
            <w:pPr>
              <w:spacing w:line="240" w:lineRule="atLeast"/>
              <w:rPr>
                <w:rFonts w:ascii="Times New Roman" w:hAnsi="Times New Roman" w:cs="Times New Roman"/>
              </w:rPr>
            </w:pPr>
          </w:p>
        </w:tc>
        <w:tc>
          <w:tcPr>
            <w:tcW w:w="1458" w:type="dxa"/>
            <w:tcBorders>
              <w:bottom w:val="nil"/>
            </w:tcBorders>
            <w:shd w:val="clear" w:color="auto" w:fill="auto"/>
          </w:tcPr>
          <w:p w14:paraId="2DB717C3"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tcBorders>
              <w:bottom w:val="single" w:sz="4" w:space="0" w:color="auto"/>
            </w:tcBorders>
            <w:shd w:val="clear" w:color="auto" w:fill="auto"/>
          </w:tcPr>
          <w:p w14:paraId="64175926"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Устойчивост в повредено състояние</w:t>
            </w:r>
          </w:p>
        </w:tc>
        <w:tc>
          <w:tcPr>
            <w:tcW w:w="5387" w:type="dxa"/>
            <w:shd w:val="clear" w:color="auto" w:fill="auto"/>
          </w:tcPr>
          <w:p w14:paraId="6EC3E151"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6BA7CA72" w14:textId="06890B82" w:rsidR="00377B61" w:rsidRPr="00F06DE2" w:rsidRDefault="006C06DD"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1F0E7885" w14:textId="4AE0A7E9"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5269C14A" w14:textId="77777777" w:rsidTr="00A41A9A">
        <w:trPr>
          <w:cantSplit/>
          <w:jc w:val="center"/>
        </w:trPr>
        <w:tc>
          <w:tcPr>
            <w:tcW w:w="1325" w:type="dxa"/>
            <w:tcBorders>
              <w:top w:val="nil"/>
              <w:bottom w:val="nil"/>
            </w:tcBorders>
            <w:shd w:val="clear" w:color="auto" w:fill="auto"/>
          </w:tcPr>
          <w:p w14:paraId="66B1F47C" w14:textId="77777777" w:rsidR="00377B61" w:rsidRPr="00F06DE2" w:rsidRDefault="00377B61" w:rsidP="00377B61">
            <w:pPr>
              <w:spacing w:line="240" w:lineRule="atLeast"/>
              <w:rPr>
                <w:rFonts w:ascii="Times New Roman" w:hAnsi="Times New Roman" w:cs="Times New Roman"/>
              </w:rPr>
            </w:pPr>
          </w:p>
        </w:tc>
        <w:tc>
          <w:tcPr>
            <w:tcW w:w="1458" w:type="dxa"/>
            <w:vMerge w:val="restart"/>
            <w:tcBorders>
              <w:top w:val="nil"/>
            </w:tcBorders>
            <w:shd w:val="clear" w:color="auto" w:fill="auto"/>
          </w:tcPr>
          <w:p w14:paraId="53FD2E02" w14:textId="77777777" w:rsidR="00377B61" w:rsidRPr="00F06DE2" w:rsidRDefault="00377B61" w:rsidP="00377B61">
            <w:pPr>
              <w:spacing w:line="240" w:lineRule="atLeast"/>
              <w:jc w:val="both"/>
              <w:rPr>
                <w:rFonts w:ascii="Times New Roman" w:hAnsi="Times New Roman" w:cs="Times New Roman"/>
              </w:rPr>
            </w:pPr>
          </w:p>
        </w:tc>
        <w:tc>
          <w:tcPr>
            <w:tcW w:w="3296" w:type="dxa"/>
            <w:vMerge w:val="restart"/>
            <w:shd w:val="clear" w:color="auto" w:fill="auto"/>
          </w:tcPr>
          <w:p w14:paraId="32DAF152"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Вертикален размер на повредата на дъното на съда</w:t>
            </w:r>
          </w:p>
        </w:tc>
        <w:tc>
          <w:tcPr>
            <w:tcW w:w="5387" w:type="dxa"/>
            <w:shd w:val="clear" w:color="auto" w:fill="auto"/>
          </w:tcPr>
          <w:p w14:paraId="1468B487"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FE25B70" w14:textId="59F3A6BD" w:rsidR="00377B61" w:rsidRPr="00F06DE2" w:rsidRDefault="006C06DD"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79DA9A98" w14:textId="77B75EE5"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0842A458" w14:textId="77777777" w:rsidTr="00A41A9A">
        <w:trPr>
          <w:cantSplit/>
          <w:jc w:val="center"/>
        </w:trPr>
        <w:tc>
          <w:tcPr>
            <w:tcW w:w="1325" w:type="dxa"/>
            <w:tcBorders>
              <w:top w:val="nil"/>
              <w:bottom w:val="nil"/>
            </w:tcBorders>
            <w:shd w:val="clear" w:color="auto" w:fill="auto"/>
          </w:tcPr>
          <w:p w14:paraId="3E290854" w14:textId="77777777" w:rsidR="00377B61" w:rsidRPr="00F06DE2" w:rsidRDefault="00377B61" w:rsidP="00377B61">
            <w:pPr>
              <w:spacing w:line="240" w:lineRule="atLeast"/>
              <w:rPr>
                <w:rFonts w:ascii="Times New Roman" w:hAnsi="Times New Roman" w:cs="Times New Roman"/>
              </w:rPr>
            </w:pPr>
          </w:p>
        </w:tc>
        <w:tc>
          <w:tcPr>
            <w:tcW w:w="1458" w:type="dxa"/>
            <w:vMerge/>
            <w:tcBorders>
              <w:bottom w:val="nil"/>
            </w:tcBorders>
            <w:shd w:val="clear" w:color="auto" w:fill="auto"/>
          </w:tcPr>
          <w:p w14:paraId="47314D31" w14:textId="77777777" w:rsidR="00377B61" w:rsidRPr="00F06DE2" w:rsidRDefault="00377B61" w:rsidP="00377B61">
            <w:pPr>
              <w:spacing w:line="240" w:lineRule="atLeast"/>
              <w:jc w:val="both"/>
              <w:rPr>
                <w:rFonts w:ascii="Times New Roman" w:hAnsi="Times New Roman" w:cs="Times New Roman"/>
              </w:rPr>
            </w:pPr>
          </w:p>
        </w:tc>
        <w:tc>
          <w:tcPr>
            <w:tcW w:w="3296" w:type="dxa"/>
            <w:vMerge/>
            <w:shd w:val="clear" w:color="auto" w:fill="auto"/>
          </w:tcPr>
          <w:p w14:paraId="496B2000" w14:textId="77777777" w:rsidR="00377B61" w:rsidRPr="00F06DE2" w:rsidRDefault="00377B61" w:rsidP="00377B61">
            <w:pPr>
              <w:tabs>
                <w:tab w:val="left" w:pos="1080"/>
              </w:tabs>
              <w:spacing w:line="240" w:lineRule="atLeast"/>
              <w:jc w:val="both"/>
              <w:rPr>
                <w:rFonts w:ascii="Times New Roman" w:hAnsi="Times New Roman" w:cs="Times New Roman"/>
              </w:rPr>
            </w:pPr>
          </w:p>
        </w:tc>
        <w:tc>
          <w:tcPr>
            <w:tcW w:w="5387" w:type="dxa"/>
            <w:shd w:val="clear" w:color="auto" w:fill="auto"/>
          </w:tcPr>
          <w:p w14:paraId="2DB7799E"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приложими за плавателни съдове с водонепроницаеми палуби, на разстояние най-малко 0,50 </w:t>
            </w:r>
            <w:r w:rsidRPr="00F06DE2">
              <w:rPr>
                <w:rFonts w:ascii="Times New Roman" w:hAnsi="Times New Roman" w:cs="Times New Roman"/>
              </w:rPr>
              <w:t>m</w:t>
            </w:r>
            <w:r w:rsidRPr="00F06DE2">
              <w:rPr>
                <w:rFonts w:ascii="Times New Roman" w:hAnsi="Times New Roman" w:cs="Times New Roman"/>
                <w:lang w:val="ru-RU"/>
              </w:rPr>
              <w:t xml:space="preserve">, но не повече от 0,60 </w:t>
            </w:r>
            <w:r w:rsidRPr="00F06DE2">
              <w:rPr>
                <w:rFonts w:ascii="Times New Roman" w:hAnsi="Times New Roman" w:cs="Times New Roman"/>
              </w:rPr>
              <w:t>m</w:t>
            </w:r>
            <w:r w:rsidRPr="00F06DE2">
              <w:rPr>
                <w:rFonts w:ascii="Times New Roman" w:hAnsi="Times New Roman" w:cs="Times New Roman"/>
                <w:lang w:val="ru-RU"/>
              </w:rPr>
              <w:t xml:space="preserve"> от дъното на плавателни съдове, получили Корабното удостоверение за вътрешно корабоплаване за първи път преди 31.12.2005</w:t>
            </w:r>
            <w:r w:rsidRPr="00F06DE2">
              <w:rPr>
                <w:rFonts w:ascii="Times New Roman" w:hAnsi="Times New Roman" w:cs="Times New Roman"/>
              </w:rPr>
              <w:t> </w:t>
            </w:r>
            <w:r w:rsidRPr="00F06DE2">
              <w:rPr>
                <w:rFonts w:ascii="Times New Roman" w:hAnsi="Times New Roman" w:cs="Times New Roman"/>
                <w:lang w:val="ru-RU"/>
              </w:rPr>
              <w:t>г.</w:t>
            </w:r>
          </w:p>
        </w:tc>
        <w:tc>
          <w:tcPr>
            <w:tcW w:w="1429" w:type="dxa"/>
            <w:gridSpan w:val="2"/>
            <w:shd w:val="clear" w:color="auto" w:fill="auto"/>
          </w:tcPr>
          <w:p w14:paraId="72C15F2A" w14:textId="77777777" w:rsidR="00377B61" w:rsidRPr="00F06DE2" w:rsidRDefault="00377B61" w:rsidP="006C06DD">
            <w:pPr>
              <w:spacing w:line="240" w:lineRule="atLeast"/>
              <w:ind w:right="-105"/>
              <w:jc w:val="both"/>
              <w:rPr>
                <w:rFonts w:ascii="Times New Roman" w:hAnsi="Times New Roman" w:cs="Times New Roman"/>
                <w:lang w:val="ru-RU"/>
              </w:rPr>
            </w:pPr>
          </w:p>
        </w:tc>
        <w:tc>
          <w:tcPr>
            <w:tcW w:w="1559" w:type="dxa"/>
          </w:tcPr>
          <w:p w14:paraId="7F6CB402" w14:textId="4C561BB7"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1.12.2011 г.</w:t>
            </w:r>
          </w:p>
        </w:tc>
      </w:tr>
      <w:tr w:rsidR="00377B61" w:rsidRPr="00F06DE2" w14:paraId="770F16BD" w14:textId="77777777" w:rsidTr="00A41A9A">
        <w:trPr>
          <w:cantSplit/>
          <w:jc w:val="center"/>
        </w:trPr>
        <w:tc>
          <w:tcPr>
            <w:tcW w:w="1325" w:type="dxa"/>
            <w:tcBorders>
              <w:top w:val="nil"/>
              <w:bottom w:val="nil"/>
            </w:tcBorders>
            <w:shd w:val="clear" w:color="auto" w:fill="auto"/>
          </w:tcPr>
          <w:p w14:paraId="7FA781EE" w14:textId="77777777" w:rsidR="00377B61" w:rsidRPr="00F06DE2" w:rsidRDefault="00377B61" w:rsidP="00377B61">
            <w:pPr>
              <w:spacing w:line="240" w:lineRule="atLeast"/>
              <w:rPr>
                <w:rFonts w:ascii="Times New Roman" w:hAnsi="Times New Roman" w:cs="Times New Roman"/>
              </w:rPr>
            </w:pPr>
          </w:p>
        </w:tc>
        <w:tc>
          <w:tcPr>
            <w:tcW w:w="1458" w:type="dxa"/>
            <w:tcBorders>
              <w:top w:val="nil"/>
            </w:tcBorders>
            <w:shd w:val="clear" w:color="auto" w:fill="auto"/>
          </w:tcPr>
          <w:p w14:paraId="58308FFB" w14:textId="77777777" w:rsidR="00377B61" w:rsidRPr="00F06DE2" w:rsidRDefault="00377B61" w:rsidP="00377B61">
            <w:pPr>
              <w:spacing w:line="240" w:lineRule="atLeast"/>
              <w:rPr>
                <w:rFonts w:ascii="Times New Roman" w:hAnsi="Times New Roman" w:cs="Times New Roman"/>
              </w:rPr>
            </w:pPr>
          </w:p>
        </w:tc>
        <w:tc>
          <w:tcPr>
            <w:tcW w:w="3296" w:type="dxa"/>
            <w:shd w:val="clear" w:color="auto" w:fill="auto"/>
          </w:tcPr>
          <w:p w14:paraId="5A106839"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Повреда на два отсека</w:t>
            </w:r>
          </w:p>
        </w:tc>
        <w:tc>
          <w:tcPr>
            <w:tcW w:w="5387" w:type="dxa"/>
            <w:shd w:val="clear" w:color="auto" w:fill="auto"/>
          </w:tcPr>
          <w:p w14:paraId="427B3CF5"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429" w:type="dxa"/>
            <w:gridSpan w:val="2"/>
            <w:shd w:val="clear" w:color="auto" w:fill="auto"/>
          </w:tcPr>
          <w:p w14:paraId="0CDE4C36" w14:textId="77777777" w:rsidR="00377B61" w:rsidRPr="00F06DE2" w:rsidRDefault="00377B61" w:rsidP="006C06DD">
            <w:pPr>
              <w:spacing w:line="240" w:lineRule="atLeast"/>
              <w:ind w:right="-105"/>
              <w:jc w:val="both"/>
              <w:rPr>
                <w:rFonts w:ascii="Times New Roman" w:hAnsi="Times New Roman" w:cs="Times New Roman"/>
              </w:rPr>
            </w:pPr>
          </w:p>
        </w:tc>
        <w:tc>
          <w:tcPr>
            <w:tcW w:w="1559" w:type="dxa"/>
          </w:tcPr>
          <w:p w14:paraId="471E78DA" w14:textId="75755CE8"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2D4B1E7E" w14:textId="77777777" w:rsidTr="00A41A9A">
        <w:trPr>
          <w:cantSplit/>
          <w:jc w:val="center"/>
        </w:trPr>
        <w:tc>
          <w:tcPr>
            <w:tcW w:w="1325" w:type="dxa"/>
            <w:tcBorders>
              <w:top w:val="nil"/>
              <w:bottom w:val="single" w:sz="4" w:space="0" w:color="auto"/>
            </w:tcBorders>
            <w:shd w:val="clear" w:color="auto" w:fill="auto"/>
          </w:tcPr>
          <w:p w14:paraId="18E83ECF"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20BE3F47"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Точки 10 - 13</w:t>
            </w:r>
          </w:p>
        </w:tc>
        <w:tc>
          <w:tcPr>
            <w:tcW w:w="3296" w:type="dxa"/>
            <w:shd w:val="clear" w:color="auto" w:fill="auto"/>
          </w:tcPr>
          <w:p w14:paraId="3D8E437C"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Устойчивост в повредено състояние</w:t>
            </w:r>
          </w:p>
        </w:tc>
        <w:tc>
          <w:tcPr>
            <w:tcW w:w="5387" w:type="dxa"/>
            <w:shd w:val="clear" w:color="auto" w:fill="auto"/>
          </w:tcPr>
          <w:p w14:paraId="15BFCAD6"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9D51E99" w14:textId="51E7F061" w:rsidR="00377B61" w:rsidRPr="00F06DE2" w:rsidRDefault="006C06DD" w:rsidP="006C06DD">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0003CFE4" w14:textId="1499E856" w:rsidR="00377B61" w:rsidRPr="00F06DE2" w:rsidRDefault="006C06DD"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4220D1" w:rsidRPr="00F06DE2" w14:paraId="259959D4" w14:textId="77777777" w:rsidTr="00A41A9A">
        <w:trPr>
          <w:cantSplit/>
          <w:jc w:val="center"/>
        </w:trPr>
        <w:tc>
          <w:tcPr>
            <w:tcW w:w="1325" w:type="dxa"/>
            <w:vMerge w:val="restart"/>
            <w:shd w:val="clear" w:color="auto" w:fill="auto"/>
          </w:tcPr>
          <w:p w14:paraId="35DD9840" w14:textId="77777777" w:rsidR="004220D1" w:rsidRPr="00F06DE2" w:rsidRDefault="004220D1" w:rsidP="00377B61">
            <w:pPr>
              <w:spacing w:line="240" w:lineRule="atLeast"/>
              <w:rPr>
                <w:rFonts w:ascii="Times New Roman" w:hAnsi="Times New Roman" w:cs="Times New Roman"/>
              </w:rPr>
            </w:pPr>
            <w:r w:rsidRPr="00F06DE2">
              <w:rPr>
                <w:rFonts w:ascii="Times New Roman" w:hAnsi="Times New Roman" w:cs="Times New Roman"/>
              </w:rPr>
              <w:t>19.05</w:t>
            </w:r>
          </w:p>
        </w:tc>
        <w:tc>
          <w:tcPr>
            <w:tcW w:w="1458" w:type="dxa"/>
            <w:shd w:val="clear" w:color="auto" w:fill="auto"/>
          </w:tcPr>
          <w:p w14:paraId="112693B3" w14:textId="77777777" w:rsidR="004220D1" w:rsidRPr="00F06DE2" w:rsidRDefault="004220D1" w:rsidP="00377B61">
            <w:pPr>
              <w:spacing w:line="240" w:lineRule="atLeast"/>
              <w:jc w:val="both"/>
              <w:rPr>
                <w:rFonts w:ascii="Times New Roman" w:hAnsi="Times New Roman" w:cs="Times New Roman"/>
              </w:rPr>
            </w:pPr>
            <w:r w:rsidRPr="00F06DE2">
              <w:rPr>
                <w:rFonts w:ascii="Times New Roman" w:hAnsi="Times New Roman" w:cs="Times New Roman"/>
              </w:rPr>
              <w:t>Точка 2, буква “a”</w:t>
            </w:r>
          </w:p>
        </w:tc>
        <w:tc>
          <w:tcPr>
            <w:tcW w:w="3296" w:type="dxa"/>
            <w:shd w:val="clear" w:color="auto" w:fill="auto"/>
          </w:tcPr>
          <w:p w14:paraId="0FFCFDEA" w14:textId="77777777" w:rsidR="004220D1" w:rsidRPr="00F06DE2" w:rsidRDefault="004220D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Брой пътници, за които е доказано наличие на пунктове за евакуация съгласно член</w:t>
            </w:r>
            <w:r w:rsidRPr="00F06DE2">
              <w:rPr>
                <w:rFonts w:ascii="Times New Roman" w:hAnsi="Times New Roman" w:cs="Times New Roman"/>
              </w:rPr>
              <w:t> </w:t>
            </w:r>
            <w:r w:rsidRPr="00F06DE2">
              <w:rPr>
                <w:rFonts w:ascii="Times New Roman" w:hAnsi="Times New Roman" w:cs="Times New Roman"/>
                <w:lang w:val="ru-RU"/>
              </w:rPr>
              <w:t>19.06, точка 8</w:t>
            </w:r>
          </w:p>
        </w:tc>
        <w:tc>
          <w:tcPr>
            <w:tcW w:w="5387" w:type="dxa"/>
            <w:shd w:val="clear" w:color="auto" w:fill="auto"/>
          </w:tcPr>
          <w:p w14:paraId="77A5C336" w14:textId="77777777" w:rsidR="004220D1" w:rsidRPr="00F06DE2" w:rsidRDefault="004220D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D3EDA37" w14:textId="1CDA264E" w:rsidR="004220D1"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.2045 г.</w:t>
            </w:r>
          </w:p>
        </w:tc>
        <w:tc>
          <w:tcPr>
            <w:tcW w:w="1559" w:type="dxa"/>
          </w:tcPr>
          <w:p w14:paraId="5F464386" w14:textId="6920A9A5" w:rsidR="004220D1" w:rsidRPr="00F06DE2" w:rsidRDefault="00EF5B32" w:rsidP="00377B61">
            <w:pPr>
              <w:spacing w:line="240" w:lineRule="atLeast"/>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.2006 г.</w:t>
            </w:r>
          </w:p>
        </w:tc>
      </w:tr>
      <w:tr w:rsidR="004220D1" w:rsidRPr="00F06DE2" w14:paraId="4111DA59" w14:textId="77777777" w:rsidTr="00A41A9A">
        <w:trPr>
          <w:cantSplit/>
          <w:jc w:val="center"/>
        </w:trPr>
        <w:tc>
          <w:tcPr>
            <w:tcW w:w="1325" w:type="dxa"/>
            <w:vMerge/>
            <w:shd w:val="clear" w:color="auto" w:fill="auto"/>
          </w:tcPr>
          <w:p w14:paraId="0717CDF2" w14:textId="77777777" w:rsidR="004220D1" w:rsidRPr="00F06DE2" w:rsidRDefault="004220D1" w:rsidP="00377B61">
            <w:pPr>
              <w:spacing w:line="240" w:lineRule="atLeast"/>
              <w:rPr>
                <w:rFonts w:ascii="Times New Roman" w:hAnsi="Times New Roman" w:cs="Times New Roman"/>
              </w:rPr>
            </w:pPr>
          </w:p>
        </w:tc>
        <w:tc>
          <w:tcPr>
            <w:tcW w:w="1458" w:type="dxa"/>
            <w:shd w:val="clear" w:color="auto" w:fill="auto"/>
          </w:tcPr>
          <w:p w14:paraId="37446BAC" w14:textId="77777777" w:rsidR="004220D1" w:rsidRPr="00F06DE2" w:rsidRDefault="004220D1" w:rsidP="00377B61">
            <w:pPr>
              <w:spacing w:line="240" w:lineRule="atLeast"/>
              <w:jc w:val="both"/>
              <w:rPr>
                <w:rFonts w:ascii="Times New Roman" w:hAnsi="Times New Roman" w:cs="Times New Roman"/>
              </w:rPr>
            </w:pPr>
            <w:r w:rsidRPr="00F06DE2">
              <w:rPr>
                <w:rFonts w:ascii="Times New Roman" w:hAnsi="Times New Roman" w:cs="Times New Roman"/>
              </w:rPr>
              <w:t>Точка 2, буква “б”</w:t>
            </w:r>
          </w:p>
        </w:tc>
        <w:tc>
          <w:tcPr>
            <w:tcW w:w="3296" w:type="dxa"/>
            <w:shd w:val="clear" w:color="auto" w:fill="auto"/>
          </w:tcPr>
          <w:p w14:paraId="56E36625" w14:textId="77777777" w:rsidR="004220D1" w:rsidRPr="00F06DE2" w:rsidRDefault="004220D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Брой пътници, взет под внимание при пресмятането на устойчивостта съгласно член</w:t>
            </w:r>
            <w:r w:rsidRPr="00F06DE2">
              <w:rPr>
                <w:rFonts w:ascii="Times New Roman" w:hAnsi="Times New Roman" w:cs="Times New Roman"/>
              </w:rPr>
              <w:t> </w:t>
            </w:r>
            <w:r w:rsidRPr="00F06DE2">
              <w:rPr>
                <w:rFonts w:ascii="Times New Roman" w:hAnsi="Times New Roman" w:cs="Times New Roman"/>
                <w:lang w:val="ru-RU"/>
              </w:rPr>
              <w:t>19.03</w:t>
            </w:r>
          </w:p>
        </w:tc>
        <w:tc>
          <w:tcPr>
            <w:tcW w:w="5387" w:type="dxa"/>
            <w:shd w:val="clear" w:color="auto" w:fill="auto"/>
          </w:tcPr>
          <w:p w14:paraId="6CD29046" w14:textId="77777777" w:rsidR="004220D1" w:rsidRPr="00F06DE2" w:rsidRDefault="004220D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64F5D0C7" w14:textId="7DBE47CE" w:rsidR="004220D1"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.2045 г.</w:t>
            </w:r>
          </w:p>
        </w:tc>
        <w:tc>
          <w:tcPr>
            <w:tcW w:w="1559" w:type="dxa"/>
          </w:tcPr>
          <w:p w14:paraId="45574C2B" w14:textId="42AE8B82" w:rsidR="004220D1" w:rsidRPr="00F06DE2" w:rsidRDefault="00EF5B32" w:rsidP="00EF5B32">
            <w:pPr>
              <w:spacing w:line="240" w:lineRule="atLeast"/>
              <w:jc w:val="both"/>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.2006 г.</w:t>
            </w:r>
          </w:p>
        </w:tc>
      </w:tr>
      <w:tr w:rsidR="004220D1" w:rsidRPr="00F06DE2" w14:paraId="081E5E8C" w14:textId="77777777" w:rsidTr="00A41A9A">
        <w:trPr>
          <w:cantSplit/>
          <w:jc w:val="center"/>
        </w:trPr>
        <w:tc>
          <w:tcPr>
            <w:tcW w:w="1325" w:type="dxa"/>
            <w:vMerge/>
            <w:tcBorders>
              <w:bottom w:val="single" w:sz="4" w:space="0" w:color="auto"/>
            </w:tcBorders>
            <w:shd w:val="clear" w:color="auto" w:fill="auto"/>
          </w:tcPr>
          <w:p w14:paraId="64F2622B" w14:textId="77777777" w:rsidR="004220D1" w:rsidRPr="00F06DE2" w:rsidRDefault="004220D1" w:rsidP="00377B61">
            <w:pPr>
              <w:spacing w:line="240" w:lineRule="atLeast"/>
              <w:rPr>
                <w:rFonts w:ascii="Times New Roman" w:hAnsi="Times New Roman" w:cs="Times New Roman"/>
              </w:rPr>
            </w:pPr>
          </w:p>
        </w:tc>
        <w:tc>
          <w:tcPr>
            <w:tcW w:w="1458" w:type="dxa"/>
            <w:shd w:val="clear" w:color="auto" w:fill="auto"/>
          </w:tcPr>
          <w:p w14:paraId="41AD03A8" w14:textId="77777777" w:rsidR="004220D1" w:rsidRPr="00F06DE2" w:rsidRDefault="004220D1" w:rsidP="00377B61">
            <w:pPr>
              <w:spacing w:line="240" w:lineRule="atLeast"/>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25721D6C" w14:textId="77777777" w:rsidR="004220D1" w:rsidRPr="00F06DE2" w:rsidRDefault="004220D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Броят на пътниците, показан на плана за безопасност</w:t>
            </w:r>
          </w:p>
        </w:tc>
        <w:tc>
          <w:tcPr>
            <w:tcW w:w="5387" w:type="dxa"/>
            <w:shd w:val="clear" w:color="auto" w:fill="auto"/>
          </w:tcPr>
          <w:p w14:paraId="25DF8676" w14:textId="77777777" w:rsidR="004220D1" w:rsidRPr="00F06DE2" w:rsidRDefault="004220D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след подновяване на Корабното удостоверение за вътрешно корабоплаване</w:t>
            </w:r>
          </w:p>
        </w:tc>
        <w:tc>
          <w:tcPr>
            <w:tcW w:w="1429" w:type="dxa"/>
            <w:gridSpan w:val="2"/>
            <w:shd w:val="clear" w:color="auto" w:fill="auto"/>
          </w:tcPr>
          <w:p w14:paraId="0B3628A0" w14:textId="77777777" w:rsidR="004220D1" w:rsidRPr="00F06DE2" w:rsidRDefault="004220D1" w:rsidP="00EF5B32">
            <w:pPr>
              <w:spacing w:line="240" w:lineRule="atLeast"/>
              <w:ind w:right="-105"/>
              <w:rPr>
                <w:rFonts w:ascii="Times New Roman" w:hAnsi="Times New Roman" w:cs="Times New Roman"/>
                <w:lang w:val="ru-RU"/>
              </w:rPr>
            </w:pPr>
          </w:p>
        </w:tc>
        <w:tc>
          <w:tcPr>
            <w:tcW w:w="1559" w:type="dxa"/>
          </w:tcPr>
          <w:p w14:paraId="37C127BD" w14:textId="6CB3D4DC" w:rsidR="004220D1" w:rsidRPr="00F06DE2" w:rsidRDefault="00EF5B32" w:rsidP="00377B61">
            <w:pPr>
              <w:spacing w:line="240" w:lineRule="atLeast"/>
              <w:rPr>
                <w:rFonts w:ascii="Times New Roman" w:hAnsi="Times New Roman" w:cs="Times New Roman"/>
              </w:rPr>
            </w:pPr>
            <w:r w:rsidRPr="00F06DE2">
              <w:rPr>
                <w:rFonts w:ascii="Times New Roman" w:hAnsi="Times New Roman" w:cs="Times New Roman"/>
              </w:rPr>
              <w:t>01.01</w:t>
            </w:r>
            <w:r w:rsidR="004220D1" w:rsidRPr="00F06DE2">
              <w:rPr>
                <w:rFonts w:ascii="Times New Roman" w:hAnsi="Times New Roman" w:cs="Times New Roman"/>
              </w:rPr>
              <w:t>.2024 г.</w:t>
            </w:r>
          </w:p>
        </w:tc>
      </w:tr>
      <w:tr w:rsidR="00377B61" w:rsidRPr="00F06DE2" w14:paraId="312F59AE" w14:textId="77777777" w:rsidTr="00A41A9A">
        <w:trPr>
          <w:cantSplit/>
          <w:jc w:val="center"/>
        </w:trPr>
        <w:tc>
          <w:tcPr>
            <w:tcW w:w="1325" w:type="dxa"/>
            <w:tcBorders>
              <w:bottom w:val="nil"/>
            </w:tcBorders>
            <w:shd w:val="clear" w:color="auto" w:fill="auto"/>
          </w:tcPr>
          <w:p w14:paraId="101DCF05" w14:textId="77777777" w:rsidR="00377B61" w:rsidRPr="00F06DE2" w:rsidRDefault="00377B61" w:rsidP="00377B61">
            <w:pPr>
              <w:spacing w:line="240" w:lineRule="atLeast"/>
              <w:rPr>
                <w:rFonts w:ascii="Times New Roman" w:hAnsi="Times New Roman" w:cs="Times New Roman"/>
              </w:rPr>
            </w:pPr>
            <w:r w:rsidRPr="00F06DE2">
              <w:rPr>
                <w:rFonts w:ascii="Times New Roman" w:hAnsi="Times New Roman" w:cs="Times New Roman"/>
              </w:rPr>
              <w:t>19.06</w:t>
            </w:r>
          </w:p>
        </w:tc>
        <w:tc>
          <w:tcPr>
            <w:tcW w:w="1458" w:type="dxa"/>
            <w:shd w:val="clear" w:color="auto" w:fill="auto"/>
          </w:tcPr>
          <w:p w14:paraId="629BA218"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 1-во</w:t>
            </w:r>
            <w:r w:rsidRPr="00F06DE2">
              <w:rPr>
                <w:rFonts w:ascii="Times New Roman" w:hAnsi="Times New Roman" w:cs="Times New Roman"/>
                <w:vertAlign w:val="superscript"/>
              </w:rPr>
              <w:t> </w:t>
            </w:r>
            <w:r w:rsidRPr="00F06DE2">
              <w:rPr>
                <w:rFonts w:ascii="Times New Roman" w:hAnsi="Times New Roman" w:cs="Times New Roman"/>
              </w:rPr>
              <w:t>изречение</w:t>
            </w:r>
          </w:p>
        </w:tc>
        <w:tc>
          <w:tcPr>
            <w:tcW w:w="3296" w:type="dxa"/>
            <w:shd w:val="clear" w:color="auto" w:fill="auto"/>
          </w:tcPr>
          <w:p w14:paraId="07A6642A"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Помещения за пътници, ако са под палубата на преградите и пред ахтерпиковата преграда</w:t>
            </w:r>
          </w:p>
        </w:tc>
        <w:tc>
          <w:tcPr>
            <w:tcW w:w="5387" w:type="dxa"/>
            <w:shd w:val="clear" w:color="auto" w:fill="auto"/>
          </w:tcPr>
          <w:p w14:paraId="155D52E3"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84187B6" w14:textId="76CE266E" w:rsidR="00377B61"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45002244" w14:textId="0EC60AAF" w:rsidR="00377B61" w:rsidRPr="00F06DE2" w:rsidRDefault="00EF5B32"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7.10.2018 г.</w:t>
            </w:r>
          </w:p>
        </w:tc>
      </w:tr>
      <w:tr w:rsidR="00377B61" w:rsidRPr="00F06DE2" w14:paraId="001B0EBA" w14:textId="77777777" w:rsidTr="00A41A9A">
        <w:trPr>
          <w:cantSplit/>
          <w:jc w:val="center"/>
        </w:trPr>
        <w:tc>
          <w:tcPr>
            <w:tcW w:w="1325" w:type="dxa"/>
            <w:tcBorders>
              <w:top w:val="nil"/>
              <w:bottom w:val="nil"/>
            </w:tcBorders>
            <w:shd w:val="clear" w:color="auto" w:fill="auto"/>
          </w:tcPr>
          <w:p w14:paraId="00902CED"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361822DE"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 2-ро</w:t>
            </w:r>
            <w:r w:rsidRPr="00F06DE2">
              <w:rPr>
                <w:rFonts w:ascii="Times New Roman" w:hAnsi="Times New Roman" w:cs="Times New Roman"/>
                <w:vertAlign w:val="superscript"/>
              </w:rPr>
              <w:t> </w:t>
            </w:r>
            <w:r w:rsidRPr="00F06DE2">
              <w:rPr>
                <w:rFonts w:ascii="Times New Roman" w:hAnsi="Times New Roman" w:cs="Times New Roman"/>
              </w:rPr>
              <w:t>изречение</w:t>
            </w:r>
          </w:p>
        </w:tc>
        <w:tc>
          <w:tcPr>
            <w:tcW w:w="3296" w:type="dxa"/>
            <w:shd w:val="clear" w:color="auto" w:fill="auto"/>
          </w:tcPr>
          <w:p w14:paraId="56FE5CEA"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Заграждения</w:t>
            </w:r>
          </w:p>
        </w:tc>
        <w:tc>
          <w:tcPr>
            <w:tcW w:w="5387" w:type="dxa"/>
            <w:shd w:val="clear" w:color="auto" w:fill="auto"/>
          </w:tcPr>
          <w:p w14:paraId="773F6023"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55580477" w14:textId="77777777" w:rsidR="00377B61" w:rsidRPr="00F06DE2" w:rsidRDefault="00377B61" w:rsidP="00EF5B32">
            <w:pPr>
              <w:spacing w:line="240" w:lineRule="atLeast"/>
              <w:ind w:right="-105"/>
              <w:jc w:val="both"/>
              <w:rPr>
                <w:rFonts w:ascii="Times New Roman" w:hAnsi="Times New Roman" w:cs="Times New Roman"/>
                <w:lang w:val="ru-RU"/>
              </w:rPr>
            </w:pPr>
          </w:p>
        </w:tc>
        <w:tc>
          <w:tcPr>
            <w:tcW w:w="1559" w:type="dxa"/>
          </w:tcPr>
          <w:p w14:paraId="2CB03CD9" w14:textId="5D00F8ED" w:rsidR="00377B61" w:rsidRPr="00F06DE2" w:rsidRDefault="00EF5B32"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1.12.2011 г.</w:t>
            </w:r>
          </w:p>
        </w:tc>
      </w:tr>
      <w:tr w:rsidR="00377B61" w:rsidRPr="00F06DE2" w14:paraId="2CB30E24" w14:textId="77777777" w:rsidTr="00A41A9A">
        <w:trPr>
          <w:cantSplit/>
          <w:jc w:val="center"/>
        </w:trPr>
        <w:tc>
          <w:tcPr>
            <w:tcW w:w="1325" w:type="dxa"/>
            <w:tcBorders>
              <w:top w:val="nil"/>
              <w:bottom w:val="nil"/>
            </w:tcBorders>
            <w:shd w:val="clear" w:color="auto" w:fill="auto"/>
          </w:tcPr>
          <w:p w14:paraId="2910AA66"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7F65C0B4"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3, буква “а”</w:t>
            </w:r>
          </w:p>
        </w:tc>
        <w:tc>
          <w:tcPr>
            <w:tcW w:w="3296" w:type="dxa"/>
            <w:shd w:val="clear" w:color="auto" w:fill="auto"/>
          </w:tcPr>
          <w:p w14:paraId="7D9EA3B6"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Два изхода, които са максимално отдалечени един друг, колкото е възможно</w:t>
            </w:r>
          </w:p>
        </w:tc>
        <w:tc>
          <w:tcPr>
            <w:tcW w:w="5387" w:type="dxa"/>
            <w:shd w:val="clear" w:color="auto" w:fill="auto"/>
          </w:tcPr>
          <w:p w14:paraId="49FB73BA"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след подновяване на Корабното удостоверение за вътрешно корабоплаване</w:t>
            </w:r>
          </w:p>
        </w:tc>
        <w:tc>
          <w:tcPr>
            <w:tcW w:w="1429" w:type="dxa"/>
            <w:gridSpan w:val="2"/>
            <w:shd w:val="clear" w:color="auto" w:fill="auto"/>
          </w:tcPr>
          <w:p w14:paraId="4E939517" w14:textId="5C4460E4" w:rsidR="00377B61"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.2064 г.</w:t>
            </w:r>
          </w:p>
        </w:tc>
        <w:tc>
          <w:tcPr>
            <w:tcW w:w="1559" w:type="dxa"/>
          </w:tcPr>
          <w:p w14:paraId="0ECB6A20" w14:textId="7010480B" w:rsidR="00377B61" w:rsidRPr="00F06DE2" w:rsidRDefault="00EF5B32"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.2024 г.</w:t>
            </w:r>
          </w:p>
        </w:tc>
      </w:tr>
      <w:tr w:rsidR="00377B61" w:rsidRPr="00F06DE2" w14:paraId="60CB7E4F" w14:textId="77777777" w:rsidTr="00A41A9A">
        <w:trPr>
          <w:cantSplit/>
          <w:jc w:val="center"/>
        </w:trPr>
        <w:tc>
          <w:tcPr>
            <w:tcW w:w="1325" w:type="dxa"/>
            <w:tcBorders>
              <w:top w:val="nil"/>
              <w:bottom w:val="nil"/>
            </w:tcBorders>
            <w:shd w:val="clear" w:color="auto" w:fill="auto"/>
          </w:tcPr>
          <w:p w14:paraId="6C323D9D"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5E729543"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3, буква “в”, 1-во изречение</w:t>
            </w:r>
          </w:p>
        </w:tc>
        <w:tc>
          <w:tcPr>
            <w:tcW w:w="3296" w:type="dxa"/>
            <w:shd w:val="clear" w:color="auto" w:fill="auto"/>
          </w:tcPr>
          <w:p w14:paraId="6CD51476"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Габаритна височина на изходите</w:t>
            </w:r>
          </w:p>
        </w:tc>
        <w:tc>
          <w:tcPr>
            <w:tcW w:w="5387" w:type="dxa"/>
            <w:shd w:val="clear" w:color="auto" w:fill="auto"/>
          </w:tcPr>
          <w:p w14:paraId="457EED0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156F5D6" w14:textId="11933AD9" w:rsidR="00377B61"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7021EE9A" w14:textId="6DE5F3CC" w:rsidR="00377B61" w:rsidRPr="00F06DE2" w:rsidRDefault="00EF5B32"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6AAC42D3" w14:textId="77777777" w:rsidTr="00A41A9A">
        <w:trPr>
          <w:cantSplit/>
          <w:jc w:val="center"/>
        </w:trPr>
        <w:tc>
          <w:tcPr>
            <w:tcW w:w="1325" w:type="dxa"/>
            <w:tcBorders>
              <w:top w:val="nil"/>
              <w:bottom w:val="nil"/>
            </w:tcBorders>
            <w:shd w:val="clear" w:color="auto" w:fill="auto"/>
          </w:tcPr>
          <w:p w14:paraId="79B979FB"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5B8997DB"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3, буква “в”, 2-ро изречение</w:t>
            </w:r>
          </w:p>
        </w:tc>
        <w:tc>
          <w:tcPr>
            <w:tcW w:w="3296" w:type="dxa"/>
            <w:shd w:val="clear" w:color="auto" w:fill="auto"/>
          </w:tcPr>
          <w:p w14:paraId="48938832"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Габаритна ширина на вратите на пътническите каюти и други малки помещения</w:t>
            </w:r>
          </w:p>
        </w:tc>
        <w:tc>
          <w:tcPr>
            <w:tcW w:w="5387" w:type="dxa"/>
            <w:shd w:val="clear" w:color="auto" w:fill="auto"/>
          </w:tcPr>
          <w:p w14:paraId="5EDCC59F"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6964E56" w14:textId="433ECC22" w:rsidR="00377B61"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5F481075" w14:textId="17A12974" w:rsidR="00377B61" w:rsidRPr="00F06DE2" w:rsidRDefault="00EF5B32"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09B2E914" w14:textId="77777777" w:rsidTr="00A41A9A">
        <w:trPr>
          <w:cantSplit/>
          <w:jc w:val="center"/>
        </w:trPr>
        <w:tc>
          <w:tcPr>
            <w:tcW w:w="1325" w:type="dxa"/>
            <w:tcBorders>
              <w:top w:val="nil"/>
              <w:bottom w:val="nil"/>
            </w:tcBorders>
            <w:shd w:val="clear" w:color="auto" w:fill="auto"/>
          </w:tcPr>
          <w:p w14:paraId="6D8C8F30"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445E0BEA"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3, буква “е”, 1-во изречение</w:t>
            </w:r>
          </w:p>
        </w:tc>
        <w:tc>
          <w:tcPr>
            <w:tcW w:w="3296" w:type="dxa"/>
            <w:shd w:val="clear" w:color="auto" w:fill="auto"/>
          </w:tcPr>
          <w:p w14:paraId="66FBE400"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Размери на аварийните изходи</w:t>
            </w:r>
          </w:p>
        </w:tc>
        <w:tc>
          <w:tcPr>
            <w:tcW w:w="5387" w:type="dxa"/>
            <w:shd w:val="clear" w:color="auto" w:fill="auto"/>
          </w:tcPr>
          <w:p w14:paraId="6866C597"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9B719C8" w14:textId="63745986" w:rsidR="00377B61"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1064E507" w14:textId="4C729318" w:rsidR="00377B61" w:rsidRPr="00F06DE2" w:rsidRDefault="00EF5B32" w:rsidP="00EF5B32">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847486" w:rsidRPr="00F06DE2" w14:paraId="1900E3F8" w14:textId="77777777" w:rsidTr="00A41A9A">
        <w:trPr>
          <w:cantSplit/>
          <w:jc w:val="center"/>
        </w:trPr>
        <w:tc>
          <w:tcPr>
            <w:tcW w:w="1325" w:type="dxa"/>
            <w:vMerge w:val="restart"/>
            <w:tcBorders>
              <w:top w:val="nil"/>
            </w:tcBorders>
            <w:shd w:val="clear" w:color="auto" w:fill="auto"/>
          </w:tcPr>
          <w:p w14:paraId="2FA46C33" w14:textId="77777777" w:rsidR="00847486" w:rsidRPr="00F06DE2" w:rsidRDefault="00847486" w:rsidP="00377B61">
            <w:pPr>
              <w:spacing w:line="240" w:lineRule="atLeast"/>
              <w:rPr>
                <w:rFonts w:ascii="Times New Roman" w:hAnsi="Times New Roman" w:cs="Times New Roman"/>
              </w:rPr>
            </w:pPr>
          </w:p>
        </w:tc>
        <w:tc>
          <w:tcPr>
            <w:tcW w:w="1458" w:type="dxa"/>
            <w:shd w:val="clear" w:color="auto" w:fill="auto"/>
          </w:tcPr>
          <w:p w14:paraId="51D7A263" w14:textId="77777777" w:rsidR="00847486" w:rsidRPr="00F06DE2" w:rsidRDefault="00847486" w:rsidP="00377B61">
            <w:pPr>
              <w:spacing w:line="240" w:lineRule="atLeast"/>
              <w:jc w:val="both"/>
              <w:rPr>
                <w:rFonts w:ascii="Times New Roman" w:hAnsi="Times New Roman" w:cs="Times New Roman"/>
              </w:rPr>
            </w:pPr>
            <w:r w:rsidRPr="00F06DE2">
              <w:rPr>
                <w:rFonts w:ascii="Times New Roman" w:hAnsi="Times New Roman" w:cs="Times New Roman"/>
              </w:rPr>
              <w:t>Точка 3, буква “ж”</w:t>
            </w:r>
          </w:p>
        </w:tc>
        <w:tc>
          <w:tcPr>
            <w:tcW w:w="3296" w:type="dxa"/>
            <w:shd w:val="clear" w:color="auto" w:fill="auto"/>
          </w:tcPr>
          <w:p w14:paraId="587DA334" w14:textId="77777777" w:rsidR="00847486" w:rsidRPr="00F06DE2" w:rsidRDefault="00847486"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Изходи, предназначени за използване от лица с намалена подвижност</w:t>
            </w:r>
          </w:p>
        </w:tc>
        <w:tc>
          <w:tcPr>
            <w:tcW w:w="5387" w:type="dxa"/>
            <w:shd w:val="clear" w:color="auto" w:fill="auto"/>
          </w:tcPr>
          <w:p w14:paraId="66EAE9AA" w14:textId="77777777" w:rsidR="00847486" w:rsidRPr="00F06DE2" w:rsidRDefault="00847486"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D130E8D" w14:textId="670F6B68" w:rsidR="00847486"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847486" w:rsidRPr="00F06DE2">
              <w:rPr>
                <w:rFonts w:ascii="Times New Roman" w:hAnsi="Times New Roman" w:cs="Times New Roman"/>
              </w:rPr>
              <w:t>.2045 г.</w:t>
            </w:r>
          </w:p>
        </w:tc>
        <w:tc>
          <w:tcPr>
            <w:tcW w:w="1559" w:type="dxa"/>
          </w:tcPr>
          <w:p w14:paraId="3F22115D" w14:textId="2DAFB0C4" w:rsidR="00847486" w:rsidRPr="00F06DE2" w:rsidRDefault="00EF5B32" w:rsidP="00377B61">
            <w:pPr>
              <w:spacing w:line="240" w:lineRule="atLeast"/>
              <w:jc w:val="both"/>
              <w:rPr>
                <w:rFonts w:ascii="Times New Roman" w:hAnsi="Times New Roman" w:cs="Times New Roman"/>
              </w:rPr>
            </w:pPr>
            <w:r w:rsidRPr="00F06DE2">
              <w:rPr>
                <w:rFonts w:ascii="Times New Roman" w:hAnsi="Times New Roman" w:cs="Times New Roman"/>
              </w:rPr>
              <w:t>01.01</w:t>
            </w:r>
            <w:r w:rsidR="00847486" w:rsidRPr="00F06DE2">
              <w:rPr>
                <w:rFonts w:ascii="Times New Roman" w:hAnsi="Times New Roman" w:cs="Times New Roman"/>
              </w:rPr>
              <w:t>.2006 г.</w:t>
            </w:r>
          </w:p>
        </w:tc>
      </w:tr>
      <w:tr w:rsidR="00847486" w:rsidRPr="00F06DE2" w14:paraId="20E096AE" w14:textId="77777777" w:rsidTr="00A41A9A">
        <w:trPr>
          <w:cantSplit/>
          <w:jc w:val="center"/>
        </w:trPr>
        <w:tc>
          <w:tcPr>
            <w:tcW w:w="1325" w:type="dxa"/>
            <w:vMerge/>
            <w:shd w:val="clear" w:color="auto" w:fill="auto"/>
          </w:tcPr>
          <w:p w14:paraId="52366A00" w14:textId="77777777" w:rsidR="00847486" w:rsidRPr="00F06DE2" w:rsidRDefault="00847486" w:rsidP="00377B61">
            <w:pPr>
              <w:spacing w:line="240" w:lineRule="atLeast"/>
              <w:rPr>
                <w:rFonts w:ascii="Times New Roman" w:hAnsi="Times New Roman" w:cs="Times New Roman"/>
              </w:rPr>
            </w:pPr>
          </w:p>
        </w:tc>
        <w:tc>
          <w:tcPr>
            <w:tcW w:w="1458" w:type="dxa"/>
            <w:shd w:val="clear" w:color="auto" w:fill="auto"/>
          </w:tcPr>
          <w:p w14:paraId="0C8D51BA" w14:textId="77777777" w:rsidR="00847486" w:rsidRPr="00F06DE2" w:rsidRDefault="00847486" w:rsidP="00377B61">
            <w:pPr>
              <w:spacing w:line="240" w:lineRule="atLeast"/>
              <w:jc w:val="both"/>
              <w:rPr>
                <w:rFonts w:ascii="Times New Roman" w:hAnsi="Times New Roman" w:cs="Times New Roman"/>
              </w:rPr>
            </w:pPr>
            <w:r w:rsidRPr="00F06DE2">
              <w:rPr>
                <w:rFonts w:ascii="Times New Roman" w:hAnsi="Times New Roman" w:cs="Times New Roman"/>
              </w:rPr>
              <w:t>Точка 4, буква “г”</w:t>
            </w:r>
          </w:p>
        </w:tc>
        <w:tc>
          <w:tcPr>
            <w:tcW w:w="3296" w:type="dxa"/>
            <w:shd w:val="clear" w:color="auto" w:fill="auto"/>
          </w:tcPr>
          <w:p w14:paraId="24850A3D" w14:textId="77777777" w:rsidR="00847486" w:rsidRPr="00F06DE2" w:rsidRDefault="00847486" w:rsidP="00377B61">
            <w:pPr>
              <w:tabs>
                <w:tab w:val="left" w:pos="930"/>
              </w:tabs>
              <w:spacing w:line="240" w:lineRule="atLeast"/>
              <w:jc w:val="both"/>
              <w:rPr>
                <w:rFonts w:ascii="Times New Roman" w:hAnsi="Times New Roman" w:cs="Times New Roman"/>
                <w:lang w:val="ru-RU"/>
              </w:rPr>
            </w:pPr>
            <w:r w:rsidRPr="00F06DE2">
              <w:rPr>
                <w:rFonts w:ascii="Times New Roman" w:hAnsi="Times New Roman" w:cs="Times New Roman"/>
                <w:lang w:val="ru-RU"/>
              </w:rPr>
              <w:t>Врати, предназначени за използване от лица с намалена подвижност</w:t>
            </w:r>
          </w:p>
        </w:tc>
        <w:tc>
          <w:tcPr>
            <w:tcW w:w="5387" w:type="dxa"/>
            <w:shd w:val="clear" w:color="auto" w:fill="auto"/>
          </w:tcPr>
          <w:p w14:paraId="1EE68C72" w14:textId="77777777" w:rsidR="00847486" w:rsidRPr="00F06DE2" w:rsidRDefault="00847486"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DA6B36E" w14:textId="2ED5DB00" w:rsidR="00847486"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847486" w:rsidRPr="00F06DE2">
              <w:rPr>
                <w:rFonts w:ascii="Times New Roman" w:hAnsi="Times New Roman" w:cs="Times New Roman"/>
              </w:rPr>
              <w:t>.2045 г.</w:t>
            </w:r>
          </w:p>
        </w:tc>
        <w:tc>
          <w:tcPr>
            <w:tcW w:w="1559" w:type="dxa"/>
          </w:tcPr>
          <w:p w14:paraId="4F3E3769" w14:textId="223A6207" w:rsidR="00847486" w:rsidRPr="00F06DE2" w:rsidRDefault="00EF5B32" w:rsidP="00377B61">
            <w:pPr>
              <w:spacing w:line="240" w:lineRule="atLeast"/>
              <w:jc w:val="both"/>
              <w:rPr>
                <w:rFonts w:ascii="Times New Roman" w:hAnsi="Times New Roman" w:cs="Times New Roman"/>
              </w:rPr>
            </w:pPr>
            <w:r w:rsidRPr="00F06DE2">
              <w:rPr>
                <w:rFonts w:ascii="Times New Roman" w:hAnsi="Times New Roman" w:cs="Times New Roman"/>
              </w:rPr>
              <w:t>01.01</w:t>
            </w:r>
            <w:r w:rsidR="00847486" w:rsidRPr="00F06DE2">
              <w:rPr>
                <w:rFonts w:ascii="Times New Roman" w:hAnsi="Times New Roman" w:cs="Times New Roman"/>
              </w:rPr>
              <w:t>.2006 г.</w:t>
            </w:r>
          </w:p>
        </w:tc>
      </w:tr>
      <w:tr w:rsidR="00847486" w:rsidRPr="00F06DE2" w14:paraId="7BC12C3B" w14:textId="77777777" w:rsidTr="00A41A9A">
        <w:trPr>
          <w:cantSplit/>
          <w:jc w:val="center"/>
        </w:trPr>
        <w:tc>
          <w:tcPr>
            <w:tcW w:w="1325" w:type="dxa"/>
            <w:vMerge/>
            <w:shd w:val="clear" w:color="auto" w:fill="auto"/>
          </w:tcPr>
          <w:p w14:paraId="63015B63" w14:textId="77777777" w:rsidR="00847486" w:rsidRPr="00F06DE2" w:rsidRDefault="00847486" w:rsidP="00377B61">
            <w:pPr>
              <w:spacing w:line="240" w:lineRule="atLeast"/>
              <w:rPr>
                <w:rFonts w:ascii="Times New Roman" w:hAnsi="Times New Roman" w:cs="Times New Roman"/>
              </w:rPr>
            </w:pPr>
          </w:p>
        </w:tc>
        <w:tc>
          <w:tcPr>
            <w:tcW w:w="1458" w:type="dxa"/>
            <w:shd w:val="clear" w:color="auto" w:fill="auto"/>
          </w:tcPr>
          <w:p w14:paraId="461BDE6C" w14:textId="77777777" w:rsidR="00847486" w:rsidRPr="00F06DE2" w:rsidRDefault="00847486" w:rsidP="00377B61">
            <w:pPr>
              <w:spacing w:line="240" w:lineRule="atLeast"/>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3630BFEF" w14:textId="77777777" w:rsidR="00847486" w:rsidRPr="00F06DE2" w:rsidRDefault="00847486"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Изисквания относно свързващите коридори</w:t>
            </w:r>
          </w:p>
        </w:tc>
        <w:tc>
          <w:tcPr>
            <w:tcW w:w="5387" w:type="dxa"/>
            <w:shd w:val="clear" w:color="auto" w:fill="auto"/>
          </w:tcPr>
          <w:p w14:paraId="0740007B" w14:textId="77777777" w:rsidR="00847486" w:rsidRPr="00F06DE2" w:rsidRDefault="00847486"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D5F1B31" w14:textId="3F9AF54D" w:rsidR="00847486" w:rsidRPr="00F06DE2" w:rsidRDefault="00EF5B32" w:rsidP="00EF5B32">
            <w:pPr>
              <w:spacing w:line="240" w:lineRule="atLeast"/>
              <w:ind w:right="-105"/>
              <w:rPr>
                <w:rFonts w:ascii="Times New Roman" w:hAnsi="Times New Roman" w:cs="Times New Roman"/>
              </w:rPr>
            </w:pPr>
            <w:r w:rsidRPr="00F06DE2">
              <w:rPr>
                <w:rFonts w:ascii="Times New Roman" w:hAnsi="Times New Roman" w:cs="Times New Roman"/>
              </w:rPr>
              <w:t>01.01</w:t>
            </w:r>
            <w:r w:rsidR="00847486" w:rsidRPr="00F06DE2">
              <w:rPr>
                <w:rFonts w:ascii="Times New Roman" w:hAnsi="Times New Roman" w:cs="Times New Roman"/>
              </w:rPr>
              <w:t>.2045 г.</w:t>
            </w:r>
          </w:p>
        </w:tc>
        <w:tc>
          <w:tcPr>
            <w:tcW w:w="1559" w:type="dxa"/>
          </w:tcPr>
          <w:p w14:paraId="04A2FC99" w14:textId="25643302" w:rsidR="00847486" w:rsidRPr="00F06DE2" w:rsidRDefault="00EF5B32" w:rsidP="00EF5B32">
            <w:pPr>
              <w:spacing w:line="240" w:lineRule="atLeast"/>
              <w:rPr>
                <w:rFonts w:ascii="Times New Roman" w:hAnsi="Times New Roman" w:cs="Times New Roman"/>
              </w:rPr>
            </w:pPr>
            <w:r w:rsidRPr="00F06DE2">
              <w:rPr>
                <w:rFonts w:ascii="Times New Roman" w:hAnsi="Times New Roman" w:cs="Times New Roman"/>
              </w:rPr>
              <w:t>01.01</w:t>
            </w:r>
            <w:r w:rsidR="00847486" w:rsidRPr="00F06DE2">
              <w:rPr>
                <w:rFonts w:ascii="Times New Roman" w:hAnsi="Times New Roman" w:cs="Times New Roman"/>
              </w:rPr>
              <w:t>.2006 г.</w:t>
            </w:r>
          </w:p>
        </w:tc>
      </w:tr>
      <w:tr w:rsidR="00847486" w:rsidRPr="00F06DE2" w14:paraId="1AEA5564" w14:textId="77777777" w:rsidTr="00A41A9A">
        <w:trPr>
          <w:cantSplit/>
          <w:jc w:val="center"/>
        </w:trPr>
        <w:tc>
          <w:tcPr>
            <w:tcW w:w="1325" w:type="dxa"/>
            <w:vMerge/>
            <w:tcBorders>
              <w:bottom w:val="nil"/>
            </w:tcBorders>
            <w:shd w:val="clear" w:color="auto" w:fill="auto"/>
          </w:tcPr>
          <w:p w14:paraId="3CCACB8B" w14:textId="77777777" w:rsidR="00847486" w:rsidRPr="00F06DE2" w:rsidRDefault="00847486" w:rsidP="00377B61">
            <w:pPr>
              <w:spacing w:line="240" w:lineRule="atLeast"/>
              <w:rPr>
                <w:rFonts w:ascii="Times New Roman" w:hAnsi="Times New Roman" w:cs="Times New Roman"/>
              </w:rPr>
            </w:pPr>
          </w:p>
        </w:tc>
        <w:tc>
          <w:tcPr>
            <w:tcW w:w="1458" w:type="dxa"/>
            <w:shd w:val="clear" w:color="auto" w:fill="auto"/>
          </w:tcPr>
          <w:p w14:paraId="498DC7F4" w14:textId="6A29868D" w:rsidR="00847486" w:rsidRPr="00F06DE2" w:rsidRDefault="00847486" w:rsidP="00AC7ADA">
            <w:pPr>
              <w:spacing w:line="240" w:lineRule="atLeast"/>
              <w:jc w:val="both"/>
              <w:rPr>
                <w:rFonts w:ascii="Times New Roman" w:hAnsi="Times New Roman" w:cs="Times New Roman"/>
              </w:rPr>
            </w:pPr>
            <w:r w:rsidRPr="00F06DE2">
              <w:rPr>
                <w:rFonts w:ascii="Times New Roman" w:hAnsi="Times New Roman" w:cs="Times New Roman"/>
              </w:rPr>
              <w:t>Точка 6, буква “б”</w:t>
            </w:r>
          </w:p>
        </w:tc>
        <w:tc>
          <w:tcPr>
            <w:tcW w:w="3296" w:type="dxa"/>
            <w:shd w:val="clear" w:color="auto" w:fill="auto"/>
          </w:tcPr>
          <w:p w14:paraId="5F3F4288" w14:textId="77777777" w:rsidR="00847486" w:rsidRPr="00F06DE2" w:rsidRDefault="00847486"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Маршрути за евакуация към пунктове за евакуация</w:t>
            </w:r>
          </w:p>
        </w:tc>
        <w:tc>
          <w:tcPr>
            <w:tcW w:w="5387" w:type="dxa"/>
            <w:shd w:val="clear" w:color="auto" w:fill="auto"/>
          </w:tcPr>
          <w:p w14:paraId="18E849C7" w14:textId="77777777" w:rsidR="00847486" w:rsidRPr="00F06DE2" w:rsidRDefault="00847486"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2632020" w14:textId="54C03C7E" w:rsidR="00847486" w:rsidRPr="00F06DE2" w:rsidRDefault="00EF5B32" w:rsidP="00EF5B32">
            <w:pPr>
              <w:spacing w:line="240" w:lineRule="atLeast"/>
              <w:ind w:right="-105"/>
              <w:jc w:val="both"/>
              <w:rPr>
                <w:rFonts w:ascii="Times New Roman" w:hAnsi="Times New Roman" w:cs="Times New Roman"/>
              </w:rPr>
            </w:pPr>
            <w:r w:rsidRPr="00F06DE2">
              <w:rPr>
                <w:rFonts w:ascii="Times New Roman" w:hAnsi="Times New Roman" w:cs="Times New Roman"/>
              </w:rPr>
              <w:t>01.01</w:t>
            </w:r>
            <w:r w:rsidR="00847486" w:rsidRPr="00F06DE2">
              <w:rPr>
                <w:rFonts w:ascii="Times New Roman" w:hAnsi="Times New Roman" w:cs="Times New Roman"/>
              </w:rPr>
              <w:t>.2045 г.</w:t>
            </w:r>
          </w:p>
        </w:tc>
        <w:tc>
          <w:tcPr>
            <w:tcW w:w="1559" w:type="dxa"/>
          </w:tcPr>
          <w:p w14:paraId="4FD43461" w14:textId="3E28A1D1" w:rsidR="00847486" w:rsidRPr="00F06DE2" w:rsidRDefault="00EF5B32" w:rsidP="00377B61">
            <w:pPr>
              <w:spacing w:line="240" w:lineRule="atLeast"/>
              <w:jc w:val="both"/>
              <w:rPr>
                <w:rFonts w:ascii="Times New Roman" w:hAnsi="Times New Roman" w:cs="Times New Roman"/>
              </w:rPr>
            </w:pPr>
            <w:r w:rsidRPr="00F06DE2">
              <w:rPr>
                <w:rFonts w:ascii="Times New Roman" w:hAnsi="Times New Roman" w:cs="Times New Roman"/>
              </w:rPr>
              <w:t>01.01</w:t>
            </w:r>
            <w:r w:rsidR="00847486" w:rsidRPr="00F06DE2">
              <w:rPr>
                <w:rFonts w:ascii="Times New Roman" w:hAnsi="Times New Roman" w:cs="Times New Roman"/>
              </w:rPr>
              <w:t>.2006 г.</w:t>
            </w:r>
          </w:p>
        </w:tc>
      </w:tr>
      <w:tr w:rsidR="00377B61" w:rsidRPr="00F06DE2" w14:paraId="24B1F29E" w14:textId="77777777" w:rsidTr="00A41A9A">
        <w:trPr>
          <w:cantSplit/>
          <w:jc w:val="center"/>
        </w:trPr>
        <w:tc>
          <w:tcPr>
            <w:tcW w:w="1325" w:type="dxa"/>
            <w:tcBorders>
              <w:top w:val="nil"/>
              <w:bottom w:val="nil"/>
            </w:tcBorders>
            <w:shd w:val="clear" w:color="auto" w:fill="auto"/>
          </w:tcPr>
          <w:p w14:paraId="2ADAA33D" w14:textId="040E9625" w:rsidR="00377B61" w:rsidRPr="00F06DE2" w:rsidRDefault="00AC7ADA" w:rsidP="00AC7ADA">
            <w:pPr>
              <w:tabs>
                <w:tab w:val="left" w:pos="599"/>
              </w:tabs>
              <w:spacing w:line="240" w:lineRule="atLeast"/>
              <w:rPr>
                <w:rFonts w:ascii="Times New Roman" w:hAnsi="Times New Roman" w:cs="Times New Roman"/>
              </w:rPr>
            </w:pPr>
            <w:r w:rsidRPr="00F06DE2">
              <w:rPr>
                <w:rFonts w:ascii="Times New Roman" w:hAnsi="Times New Roman" w:cs="Times New Roman"/>
              </w:rPr>
              <w:lastRenderedPageBreak/>
              <w:tab/>
            </w:r>
          </w:p>
        </w:tc>
        <w:tc>
          <w:tcPr>
            <w:tcW w:w="1458" w:type="dxa"/>
            <w:shd w:val="clear" w:color="auto" w:fill="auto"/>
          </w:tcPr>
          <w:p w14:paraId="20B520B2"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6, буква “в”</w:t>
            </w:r>
          </w:p>
        </w:tc>
        <w:tc>
          <w:tcPr>
            <w:tcW w:w="3296" w:type="dxa"/>
            <w:shd w:val="clear" w:color="auto" w:fill="auto"/>
          </w:tcPr>
          <w:p w14:paraId="5FB415B8"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Маршрутите за евакуация да не преминават през камбузи</w:t>
            </w:r>
          </w:p>
        </w:tc>
        <w:tc>
          <w:tcPr>
            <w:tcW w:w="5387" w:type="dxa"/>
            <w:shd w:val="clear" w:color="auto" w:fill="auto"/>
          </w:tcPr>
          <w:p w14:paraId="1AB21182"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3C565DA7"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Като алтернативен маршрут за евакуация, избягващ камбуза, не може да бъде технически осъществен или неговото приложение налага непропорционални разходи, Корабното удостоверение за вътрешно корабоплаване може да бъде подновено само ако:</w:t>
            </w:r>
          </w:p>
          <w:p w14:paraId="585396B3"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а) рисковете, свързани с маршрут за евакуация през камбуза, са анализирани, и</w:t>
            </w:r>
          </w:p>
          <w:p w14:paraId="19C9325D"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б) са приложени препоръките в съответствие с анализа на ограничен риск за камбуза до удовлетворяване на компетентния орган.</w:t>
            </w:r>
          </w:p>
          <w:p w14:paraId="569DCB63"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Този анализ на ограничен риск обхваща поне следното:</w:t>
            </w:r>
          </w:p>
          <w:p w14:paraId="7E90783E"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а) достъпността на аварийния маршрут;</w:t>
            </w:r>
          </w:p>
          <w:p w14:paraId="0761D637"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б) опасности от пожар;</w:t>
            </w:r>
          </w:p>
          <w:p w14:paraId="4F63C0D7"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в) рискове от горещи повърхности;</w:t>
            </w:r>
          </w:p>
          <w:p w14:paraId="40E9CF2C"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г) опасности от подхлъзване и падане по пода на камбуза;</w:t>
            </w:r>
          </w:p>
          <w:p w14:paraId="64BDA75E"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д) специфични опасности за определени целеви групи, като например лица с намалена подвижност.</w:t>
            </w:r>
          </w:p>
        </w:tc>
        <w:tc>
          <w:tcPr>
            <w:tcW w:w="1429" w:type="dxa"/>
            <w:gridSpan w:val="2"/>
            <w:shd w:val="clear" w:color="auto" w:fill="auto"/>
          </w:tcPr>
          <w:p w14:paraId="5ACABFED" w14:textId="3EB2D40F" w:rsidR="00377B61" w:rsidRPr="00F06DE2" w:rsidRDefault="00A41A9A" w:rsidP="00A41A9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.2020 г.</w:t>
            </w:r>
          </w:p>
        </w:tc>
        <w:tc>
          <w:tcPr>
            <w:tcW w:w="1559" w:type="dxa"/>
          </w:tcPr>
          <w:p w14:paraId="2F31CDD3" w14:textId="22D30337" w:rsidR="00377B61" w:rsidRPr="00F06DE2" w:rsidRDefault="00A41A9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.2020 г.</w:t>
            </w:r>
          </w:p>
        </w:tc>
      </w:tr>
      <w:tr w:rsidR="00377B61" w:rsidRPr="00F06DE2" w14:paraId="18FA0097" w14:textId="77777777" w:rsidTr="00A41A9A">
        <w:trPr>
          <w:cantSplit/>
          <w:jc w:val="center"/>
        </w:trPr>
        <w:tc>
          <w:tcPr>
            <w:tcW w:w="1325" w:type="dxa"/>
            <w:tcBorders>
              <w:top w:val="nil"/>
              <w:bottom w:val="nil"/>
            </w:tcBorders>
            <w:shd w:val="clear" w:color="auto" w:fill="auto"/>
          </w:tcPr>
          <w:p w14:paraId="59B55E81"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1DF7632A"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6, буква “г”</w:t>
            </w:r>
          </w:p>
        </w:tc>
        <w:tc>
          <w:tcPr>
            <w:tcW w:w="3296" w:type="dxa"/>
            <w:shd w:val="clear" w:color="auto" w:fill="auto"/>
          </w:tcPr>
          <w:p w14:paraId="36A4161A"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Без стъпала, подвижни стълби и др. подобни по маршрутите за евакуация</w:t>
            </w:r>
          </w:p>
        </w:tc>
        <w:tc>
          <w:tcPr>
            <w:tcW w:w="5387" w:type="dxa"/>
            <w:shd w:val="clear" w:color="auto" w:fill="auto"/>
          </w:tcPr>
          <w:p w14:paraId="4FF0C719"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6312FA3F" w14:textId="5D3BB846" w:rsidR="00377B61" w:rsidRPr="00F06DE2" w:rsidRDefault="00A41A9A" w:rsidP="00A41A9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6A173FDD" w14:textId="34086B0B" w:rsidR="00377B61" w:rsidRPr="00F06DE2" w:rsidRDefault="00A41A9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4BB18466" w14:textId="77777777" w:rsidTr="00A41A9A">
        <w:trPr>
          <w:cantSplit/>
          <w:jc w:val="center"/>
        </w:trPr>
        <w:tc>
          <w:tcPr>
            <w:tcW w:w="1325" w:type="dxa"/>
            <w:tcBorders>
              <w:top w:val="nil"/>
              <w:bottom w:val="nil"/>
            </w:tcBorders>
            <w:shd w:val="clear" w:color="auto" w:fill="auto"/>
          </w:tcPr>
          <w:p w14:paraId="49F56BA2"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672F0A54" w14:textId="69AF4420" w:rsidR="00377B61" w:rsidRPr="00F06DE2" w:rsidRDefault="00377B61" w:rsidP="00377B61">
            <w:pPr>
              <w:spacing w:line="240" w:lineRule="atLeast"/>
              <w:jc w:val="both"/>
              <w:rPr>
                <w:rFonts w:ascii="Times New Roman" w:hAnsi="Times New Roman" w:cs="Times New Roman"/>
              </w:rPr>
            </w:pPr>
          </w:p>
        </w:tc>
        <w:tc>
          <w:tcPr>
            <w:tcW w:w="3296" w:type="dxa"/>
            <w:shd w:val="clear" w:color="auto" w:fill="auto"/>
          </w:tcPr>
          <w:p w14:paraId="12AC289D" w14:textId="03D56E13" w:rsidR="00377B61" w:rsidRPr="00F06DE2" w:rsidRDefault="00377B61" w:rsidP="00377B61">
            <w:pPr>
              <w:tabs>
                <w:tab w:val="left" w:pos="1080"/>
              </w:tabs>
              <w:spacing w:line="240" w:lineRule="atLeast"/>
              <w:jc w:val="both"/>
              <w:rPr>
                <w:rFonts w:ascii="Times New Roman" w:hAnsi="Times New Roman" w:cs="Times New Roman"/>
              </w:rPr>
            </w:pPr>
          </w:p>
        </w:tc>
        <w:tc>
          <w:tcPr>
            <w:tcW w:w="5387" w:type="dxa"/>
            <w:shd w:val="clear" w:color="auto" w:fill="auto"/>
          </w:tcPr>
          <w:p w14:paraId="719EB851" w14:textId="2DEC7857" w:rsidR="00377B61" w:rsidRPr="00F06DE2" w:rsidRDefault="00377B61" w:rsidP="00377B61">
            <w:pPr>
              <w:spacing w:line="240" w:lineRule="atLeast"/>
              <w:jc w:val="both"/>
              <w:rPr>
                <w:rFonts w:ascii="Times New Roman" w:hAnsi="Times New Roman" w:cs="Times New Roman"/>
              </w:rPr>
            </w:pPr>
          </w:p>
        </w:tc>
        <w:tc>
          <w:tcPr>
            <w:tcW w:w="1429" w:type="dxa"/>
            <w:gridSpan w:val="2"/>
            <w:shd w:val="clear" w:color="auto" w:fill="auto"/>
          </w:tcPr>
          <w:p w14:paraId="7111FED9" w14:textId="63D1663D" w:rsidR="00377B61" w:rsidRPr="00F06DE2" w:rsidRDefault="00377B61" w:rsidP="00377B61">
            <w:pPr>
              <w:spacing w:line="240" w:lineRule="atLeast"/>
              <w:jc w:val="both"/>
              <w:rPr>
                <w:rFonts w:ascii="Times New Roman" w:hAnsi="Times New Roman" w:cs="Times New Roman"/>
              </w:rPr>
            </w:pPr>
          </w:p>
        </w:tc>
        <w:tc>
          <w:tcPr>
            <w:tcW w:w="1559" w:type="dxa"/>
          </w:tcPr>
          <w:p w14:paraId="5A6ABBBF" w14:textId="734C1AAF" w:rsidR="00377B61" w:rsidRPr="00F06DE2" w:rsidRDefault="00377B61" w:rsidP="00377B61">
            <w:pPr>
              <w:spacing w:line="240" w:lineRule="atLeast"/>
              <w:jc w:val="both"/>
              <w:rPr>
                <w:rFonts w:ascii="Times New Roman" w:hAnsi="Times New Roman" w:cs="Times New Roman"/>
              </w:rPr>
            </w:pPr>
          </w:p>
        </w:tc>
      </w:tr>
      <w:tr w:rsidR="00377B61" w:rsidRPr="00F06DE2" w14:paraId="7B4E729E" w14:textId="77777777" w:rsidTr="00A41A9A">
        <w:trPr>
          <w:cantSplit/>
          <w:trHeight w:val="465"/>
          <w:jc w:val="center"/>
        </w:trPr>
        <w:tc>
          <w:tcPr>
            <w:tcW w:w="1325" w:type="dxa"/>
            <w:vMerge w:val="restart"/>
            <w:tcBorders>
              <w:top w:val="nil"/>
            </w:tcBorders>
            <w:shd w:val="clear" w:color="auto" w:fill="auto"/>
          </w:tcPr>
          <w:p w14:paraId="74311A1D" w14:textId="77777777" w:rsidR="00377B61" w:rsidRPr="00F06DE2" w:rsidRDefault="00377B61" w:rsidP="00377B61">
            <w:pPr>
              <w:spacing w:line="240" w:lineRule="atLeast"/>
              <w:rPr>
                <w:rFonts w:ascii="Times New Roman" w:hAnsi="Times New Roman" w:cs="Times New Roman"/>
              </w:rPr>
            </w:pPr>
          </w:p>
        </w:tc>
        <w:tc>
          <w:tcPr>
            <w:tcW w:w="1458" w:type="dxa"/>
            <w:vMerge w:val="restart"/>
            <w:shd w:val="clear" w:color="auto" w:fill="auto"/>
          </w:tcPr>
          <w:p w14:paraId="1AC3BB4E"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8</w:t>
            </w:r>
          </w:p>
        </w:tc>
        <w:tc>
          <w:tcPr>
            <w:tcW w:w="3296" w:type="dxa"/>
            <w:vMerge w:val="restart"/>
            <w:shd w:val="clear" w:color="auto" w:fill="auto"/>
          </w:tcPr>
          <w:p w14:paraId="61F5610C"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Изисквания към сборните пунктове</w:t>
            </w:r>
          </w:p>
        </w:tc>
        <w:tc>
          <w:tcPr>
            <w:tcW w:w="5387" w:type="dxa"/>
            <w:shd w:val="clear" w:color="auto" w:fill="auto"/>
          </w:tcPr>
          <w:p w14:paraId="1D98EEAA"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F08B96A" w14:textId="212A431C" w:rsidR="00377B61" w:rsidRPr="00F06DE2" w:rsidRDefault="00A41A9A" w:rsidP="00A41A9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5CBDE030" w14:textId="04BCAF39" w:rsidR="00377B61" w:rsidRPr="00F06DE2" w:rsidRDefault="00A41A9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68FA15B1" w14:textId="77777777" w:rsidTr="00A41A9A">
        <w:trPr>
          <w:cantSplit/>
          <w:trHeight w:val="465"/>
          <w:jc w:val="center"/>
        </w:trPr>
        <w:tc>
          <w:tcPr>
            <w:tcW w:w="1325" w:type="dxa"/>
            <w:vMerge/>
            <w:tcBorders>
              <w:bottom w:val="nil"/>
            </w:tcBorders>
            <w:shd w:val="clear" w:color="auto" w:fill="auto"/>
          </w:tcPr>
          <w:p w14:paraId="0B9007CB" w14:textId="77777777" w:rsidR="00377B61" w:rsidRPr="00F06DE2" w:rsidRDefault="00377B61" w:rsidP="00377B61">
            <w:pPr>
              <w:spacing w:line="240" w:lineRule="atLeast"/>
              <w:rPr>
                <w:rFonts w:ascii="Times New Roman" w:hAnsi="Times New Roman" w:cs="Times New Roman"/>
              </w:rPr>
            </w:pPr>
          </w:p>
        </w:tc>
        <w:tc>
          <w:tcPr>
            <w:tcW w:w="1458" w:type="dxa"/>
            <w:vMerge/>
            <w:shd w:val="clear" w:color="auto" w:fill="auto"/>
          </w:tcPr>
          <w:p w14:paraId="2F87BBE8" w14:textId="77777777" w:rsidR="00377B61" w:rsidRPr="00F06DE2" w:rsidRDefault="00377B61" w:rsidP="00377B61">
            <w:pPr>
              <w:spacing w:line="240" w:lineRule="atLeast"/>
              <w:jc w:val="both"/>
              <w:rPr>
                <w:rFonts w:ascii="Times New Roman" w:hAnsi="Times New Roman" w:cs="Times New Roman"/>
              </w:rPr>
            </w:pPr>
          </w:p>
        </w:tc>
        <w:tc>
          <w:tcPr>
            <w:tcW w:w="3296" w:type="dxa"/>
            <w:vMerge/>
            <w:shd w:val="clear" w:color="auto" w:fill="auto"/>
          </w:tcPr>
          <w:p w14:paraId="05407FDD" w14:textId="77777777" w:rsidR="00377B61" w:rsidRPr="00F06DE2" w:rsidRDefault="00377B61" w:rsidP="00377B61">
            <w:pPr>
              <w:tabs>
                <w:tab w:val="left" w:pos="1080"/>
              </w:tabs>
              <w:spacing w:line="240" w:lineRule="atLeast"/>
              <w:jc w:val="both"/>
              <w:rPr>
                <w:rFonts w:ascii="Times New Roman" w:hAnsi="Times New Roman" w:cs="Times New Roman"/>
              </w:rPr>
            </w:pPr>
          </w:p>
        </w:tc>
        <w:tc>
          <w:tcPr>
            <w:tcW w:w="5387" w:type="dxa"/>
            <w:shd w:val="clear" w:color="auto" w:fill="auto"/>
          </w:tcPr>
          <w:p w14:paraId="1675E6D4" w14:textId="69FEDAB6"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заложени след </w:t>
            </w:r>
            <w:r w:rsidR="00A41A9A" w:rsidRPr="00F06DE2">
              <w:rPr>
                <w:rFonts w:ascii="Times New Roman" w:hAnsi="Times New Roman" w:cs="Times New Roman"/>
              </w:rPr>
              <w:t>0</w:t>
            </w:r>
            <w:r w:rsidR="00A41A9A" w:rsidRPr="00F06DE2">
              <w:rPr>
                <w:rFonts w:ascii="Times New Roman" w:hAnsi="Times New Roman" w:cs="Times New Roman"/>
                <w:lang w:val="ru-RU"/>
              </w:rPr>
              <w:t>1.</w:t>
            </w:r>
            <w:r w:rsidR="00A41A9A" w:rsidRPr="00F06DE2">
              <w:rPr>
                <w:rFonts w:ascii="Times New Roman" w:hAnsi="Times New Roman" w:cs="Times New Roman"/>
              </w:rPr>
              <w:t>0</w:t>
            </w:r>
            <w:r w:rsidR="00A41A9A" w:rsidRPr="00F06DE2">
              <w:rPr>
                <w:rFonts w:ascii="Times New Roman" w:hAnsi="Times New Roman" w:cs="Times New Roman"/>
                <w:lang w:val="ru-RU"/>
              </w:rPr>
              <w:t>1</w:t>
            </w:r>
            <w:r w:rsidRPr="00F06DE2">
              <w:rPr>
                <w:rFonts w:ascii="Times New Roman" w:hAnsi="Times New Roman" w:cs="Times New Roman"/>
                <w:lang w:val="ru-RU"/>
              </w:rPr>
              <w:t>.2006 г., НЗР, най-късно на подновяване на Корабното удостоверение за вътрешно корабоплаване</w:t>
            </w:r>
          </w:p>
        </w:tc>
        <w:tc>
          <w:tcPr>
            <w:tcW w:w="1429" w:type="dxa"/>
            <w:gridSpan w:val="2"/>
            <w:shd w:val="clear" w:color="auto" w:fill="auto"/>
          </w:tcPr>
          <w:p w14:paraId="44250691" w14:textId="77777777" w:rsidR="00377B61" w:rsidRPr="00F06DE2" w:rsidRDefault="00377B61" w:rsidP="00A41A9A">
            <w:pPr>
              <w:spacing w:line="240" w:lineRule="atLeast"/>
              <w:ind w:right="-105"/>
              <w:jc w:val="both"/>
              <w:rPr>
                <w:rFonts w:ascii="Times New Roman" w:hAnsi="Times New Roman" w:cs="Times New Roman"/>
                <w:lang w:val="ru-RU"/>
              </w:rPr>
            </w:pPr>
          </w:p>
        </w:tc>
        <w:tc>
          <w:tcPr>
            <w:tcW w:w="1559" w:type="dxa"/>
          </w:tcPr>
          <w:p w14:paraId="5B79C151" w14:textId="7AE3DDD0" w:rsidR="00377B61" w:rsidRPr="00F06DE2" w:rsidRDefault="00A41A9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.2024 г.</w:t>
            </w:r>
          </w:p>
        </w:tc>
      </w:tr>
      <w:tr w:rsidR="00377B61" w:rsidRPr="00F06DE2" w14:paraId="47D31CAD" w14:textId="77777777" w:rsidTr="00A41A9A">
        <w:trPr>
          <w:cantSplit/>
          <w:jc w:val="center"/>
        </w:trPr>
        <w:tc>
          <w:tcPr>
            <w:tcW w:w="1325" w:type="dxa"/>
            <w:tcBorders>
              <w:top w:val="nil"/>
              <w:bottom w:val="nil"/>
            </w:tcBorders>
            <w:shd w:val="clear" w:color="auto" w:fill="auto"/>
          </w:tcPr>
          <w:p w14:paraId="5D1F1C43"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0D8C24F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9, букви “а”, “б”, “в”, “д”, и последното изречение</w:t>
            </w:r>
          </w:p>
        </w:tc>
        <w:tc>
          <w:tcPr>
            <w:tcW w:w="3296" w:type="dxa"/>
            <w:shd w:val="clear" w:color="auto" w:fill="auto"/>
          </w:tcPr>
          <w:p w14:paraId="5471C28F"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стълбищата и техните площадки в пространствата за пътници</w:t>
            </w:r>
          </w:p>
        </w:tc>
        <w:tc>
          <w:tcPr>
            <w:tcW w:w="5387" w:type="dxa"/>
            <w:shd w:val="clear" w:color="auto" w:fill="auto"/>
          </w:tcPr>
          <w:p w14:paraId="2B41CAB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160A44AB" w14:textId="66EDBD30" w:rsidR="00377B61" w:rsidRPr="00F06DE2" w:rsidRDefault="00A41A9A" w:rsidP="00A41A9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22F90F77" w14:textId="287037FB" w:rsidR="00377B61" w:rsidRPr="00F06DE2" w:rsidRDefault="00A41A9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345CE46C" w14:textId="77777777" w:rsidTr="00A41A9A">
        <w:trPr>
          <w:cantSplit/>
          <w:jc w:val="center"/>
        </w:trPr>
        <w:tc>
          <w:tcPr>
            <w:tcW w:w="1325" w:type="dxa"/>
            <w:tcBorders>
              <w:top w:val="nil"/>
              <w:bottom w:val="nil"/>
            </w:tcBorders>
            <w:shd w:val="clear" w:color="auto" w:fill="auto"/>
          </w:tcPr>
          <w:p w14:paraId="08FFE787"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5C61CEE1"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9, буква “б”</w:t>
            </w:r>
          </w:p>
        </w:tc>
        <w:tc>
          <w:tcPr>
            <w:tcW w:w="3296" w:type="dxa"/>
            <w:shd w:val="clear" w:color="auto" w:fill="auto"/>
          </w:tcPr>
          <w:p w14:paraId="2F4A675B"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Сума от ширините на всички стълби</w:t>
            </w:r>
          </w:p>
        </w:tc>
        <w:tc>
          <w:tcPr>
            <w:tcW w:w="5387" w:type="dxa"/>
            <w:shd w:val="clear" w:color="auto" w:fill="auto"/>
          </w:tcPr>
          <w:p w14:paraId="546BCAD3" w14:textId="62178192" w:rsidR="00377B61" w:rsidRPr="00F06DE2" w:rsidRDefault="00377B61" w:rsidP="00A41A9A">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заложени след </w:t>
            </w:r>
            <w:r w:rsidR="00A41A9A" w:rsidRPr="00F06DE2">
              <w:rPr>
                <w:rFonts w:ascii="Times New Roman" w:hAnsi="Times New Roman" w:cs="Times New Roman"/>
              </w:rPr>
              <w:t>0</w:t>
            </w:r>
            <w:r w:rsidR="00A41A9A" w:rsidRPr="00F06DE2">
              <w:rPr>
                <w:rFonts w:ascii="Times New Roman" w:hAnsi="Times New Roman" w:cs="Times New Roman"/>
                <w:lang w:val="ru-RU"/>
              </w:rPr>
              <w:t>1.</w:t>
            </w:r>
            <w:r w:rsidR="00A41A9A" w:rsidRPr="00F06DE2">
              <w:rPr>
                <w:rFonts w:ascii="Times New Roman" w:hAnsi="Times New Roman" w:cs="Times New Roman"/>
              </w:rPr>
              <w:t>0</w:t>
            </w:r>
            <w:r w:rsidR="00A41A9A" w:rsidRPr="00F06DE2">
              <w:rPr>
                <w:rFonts w:ascii="Times New Roman" w:hAnsi="Times New Roman" w:cs="Times New Roman"/>
                <w:lang w:val="ru-RU"/>
              </w:rPr>
              <w:t>1</w:t>
            </w:r>
            <w:r w:rsidRPr="00F06DE2">
              <w:rPr>
                <w:rFonts w:ascii="Times New Roman" w:hAnsi="Times New Roman" w:cs="Times New Roman"/>
                <w:lang w:val="ru-RU"/>
              </w:rPr>
              <w:t>.2006 г., НЗР, най-късно след подновяване на Корабното удостоверение за вътрешно корабоплаване</w:t>
            </w:r>
          </w:p>
        </w:tc>
        <w:tc>
          <w:tcPr>
            <w:tcW w:w="1429" w:type="dxa"/>
            <w:gridSpan w:val="2"/>
            <w:shd w:val="clear" w:color="auto" w:fill="auto"/>
          </w:tcPr>
          <w:p w14:paraId="4650E668" w14:textId="0C336347" w:rsidR="00377B61" w:rsidRPr="00F06DE2" w:rsidRDefault="00A41A9A" w:rsidP="00A41A9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28A3F0E2" w14:textId="04D7A559" w:rsidR="00377B61" w:rsidRPr="00F06DE2" w:rsidRDefault="009D1435"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 xml:space="preserve">.2024 г. </w:t>
            </w:r>
          </w:p>
        </w:tc>
      </w:tr>
      <w:tr w:rsidR="00377B61" w:rsidRPr="00F06DE2" w14:paraId="1AC1D3CB" w14:textId="77777777" w:rsidTr="00A41A9A">
        <w:trPr>
          <w:cantSplit/>
          <w:jc w:val="center"/>
        </w:trPr>
        <w:tc>
          <w:tcPr>
            <w:tcW w:w="1325" w:type="dxa"/>
            <w:tcBorders>
              <w:top w:val="nil"/>
              <w:bottom w:val="nil"/>
            </w:tcBorders>
            <w:shd w:val="clear" w:color="auto" w:fill="auto"/>
          </w:tcPr>
          <w:p w14:paraId="6AB3C04C"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0CE5253D"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9, буква “в”</w:t>
            </w:r>
          </w:p>
        </w:tc>
        <w:tc>
          <w:tcPr>
            <w:tcW w:w="3296" w:type="dxa"/>
            <w:shd w:val="clear" w:color="auto" w:fill="auto"/>
          </w:tcPr>
          <w:p w14:paraId="4DD251C7"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 xml:space="preserve">Парапети/лиери </w:t>
            </w:r>
          </w:p>
        </w:tc>
        <w:tc>
          <w:tcPr>
            <w:tcW w:w="5387" w:type="dxa"/>
            <w:shd w:val="clear" w:color="auto" w:fill="auto"/>
          </w:tcPr>
          <w:p w14:paraId="1898171D" w14:textId="6F187B2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заложени след </w:t>
            </w:r>
            <w:r w:rsidR="00A41A9A" w:rsidRPr="00F06DE2">
              <w:rPr>
                <w:rFonts w:ascii="Times New Roman" w:hAnsi="Times New Roman" w:cs="Times New Roman"/>
              </w:rPr>
              <w:t>0</w:t>
            </w:r>
            <w:r w:rsidR="00A41A9A" w:rsidRPr="00F06DE2">
              <w:rPr>
                <w:rFonts w:ascii="Times New Roman" w:hAnsi="Times New Roman" w:cs="Times New Roman"/>
                <w:lang w:val="ru-RU"/>
              </w:rPr>
              <w:t>1.</w:t>
            </w:r>
            <w:r w:rsidR="00A41A9A" w:rsidRPr="00F06DE2">
              <w:rPr>
                <w:rFonts w:ascii="Times New Roman" w:hAnsi="Times New Roman" w:cs="Times New Roman"/>
              </w:rPr>
              <w:t>0</w:t>
            </w:r>
            <w:r w:rsidR="00A41A9A" w:rsidRPr="00F06DE2">
              <w:rPr>
                <w:rFonts w:ascii="Times New Roman" w:hAnsi="Times New Roman" w:cs="Times New Roman"/>
                <w:lang w:val="ru-RU"/>
              </w:rPr>
              <w:t>1.</w:t>
            </w:r>
            <w:r w:rsidRPr="00F06DE2">
              <w:rPr>
                <w:rFonts w:ascii="Times New Roman" w:hAnsi="Times New Roman" w:cs="Times New Roman"/>
                <w:lang w:val="ru-RU"/>
              </w:rPr>
              <w:t>2006 г., НЗР, най-късно наподновяване на Корабното удостоверение за вътрешно корабоплаване</w:t>
            </w:r>
          </w:p>
        </w:tc>
        <w:tc>
          <w:tcPr>
            <w:tcW w:w="1429" w:type="dxa"/>
            <w:gridSpan w:val="2"/>
            <w:shd w:val="clear" w:color="auto" w:fill="auto"/>
          </w:tcPr>
          <w:p w14:paraId="1DBB6285" w14:textId="77777777" w:rsidR="00377B61" w:rsidRPr="00F06DE2" w:rsidRDefault="00377B61" w:rsidP="00A41A9A">
            <w:pPr>
              <w:spacing w:line="240" w:lineRule="atLeast"/>
              <w:ind w:right="-105"/>
              <w:jc w:val="both"/>
              <w:rPr>
                <w:rFonts w:ascii="Times New Roman" w:hAnsi="Times New Roman" w:cs="Times New Roman"/>
                <w:lang w:val="ru-RU"/>
              </w:rPr>
            </w:pPr>
          </w:p>
        </w:tc>
        <w:tc>
          <w:tcPr>
            <w:tcW w:w="1559" w:type="dxa"/>
          </w:tcPr>
          <w:p w14:paraId="38BF3786" w14:textId="7AD1E88C" w:rsidR="00377B61" w:rsidRPr="00F06DE2" w:rsidRDefault="009D1435"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 xml:space="preserve">.2024 г. </w:t>
            </w:r>
          </w:p>
        </w:tc>
      </w:tr>
      <w:tr w:rsidR="00377B61" w:rsidRPr="00F06DE2" w14:paraId="6AA67C9D" w14:textId="77777777" w:rsidTr="00A41A9A">
        <w:trPr>
          <w:cantSplit/>
          <w:jc w:val="center"/>
        </w:trPr>
        <w:tc>
          <w:tcPr>
            <w:tcW w:w="1325" w:type="dxa"/>
            <w:tcBorders>
              <w:top w:val="nil"/>
              <w:bottom w:val="nil"/>
            </w:tcBorders>
            <w:shd w:val="clear" w:color="auto" w:fill="auto"/>
          </w:tcPr>
          <w:p w14:paraId="18E6CA7F"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68F32301"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9, буква “д”, подбуква “аа”</w:t>
            </w:r>
          </w:p>
        </w:tc>
        <w:tc>
          <w:tcPr>
            <w:tcW w:w="3296" w:type="dxa"/>
            <w:shd w:val="clear" w:color="auto" w:fill="auto"/>
          </w:tcPr>
          <w:p w14:paraId="5292D865"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Градиент на стълбите</w:t>
            </w:r>
          </w:p>
        </w:tc>
        <w:tc>
          <w:tcPr>
            <w:tcW w:w="5387" w:type="dxa"/>
            <w:shd w:val="clear" w:color="auto" w:fill="auto"/>
          </w:tcPr>
          <w:p w14:paraId="66847E45" w14:textId="7D7E3D0E"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заложени след </w:t>
            </w:r>
            <w:r w:rsidR="00053B34" w:rsidRPr="00F06DE2">
              <w:rPr>
                <w:rFonts w:ascii="Times New Roman" w:hAnsi="Times New Roman" w:cs="Times New Roman"/>
              </w:rPr>
              <w:t>0</w:t>
            </w:r>
            <w:r w:rsidR="00053B34" w:rsidRPr="00F06DE2">
              <w:rPr>
                <w:rFonts w:ascii="Times New Roman" w:hAnsi="Times New Roman" w:cs="Times New Roman"/>
                <w:lang w:val="ru-RU"/>
              </w:rPr>
              <w:t>1.</w:t>
            </w:r>
            <w:r w:rsidR="00053B34" w:rsidRPr="00F06DE2">
              <w:rPr>
                <w:rFonts w:ascii="Times New Roman" w:hAnsi="Times New Roman" w:cs="Times New Roman"/>
              </w:rPr>
              <w:t>0</w:t>
            </w:r>
            <w:r w:rsidR="00053B34" w:rsidRPr="00F06DE2">
              <w:rPr>
                <w:rFonts w:ascii="Times New Roman" w:hAnsi="Times New Roman" w:cs="Times New Roman"/>
                <w:lang w:val="ru-RU"/>
              </w:rPr>
              <w:t>1</w:t>
            </w:r>
            <w:r w:rsidRPr="00F06DE2">
              <w:rPr>
                <w:rFonts w:ascii="Times New Roman" w:hAnsi="Times New Roman" w:cs="Times New Roman"/>
                <w:lang w:val="ru-RU"/>
              </w:rPr>
              <w:t>.2006 г., НЗР, най-късно след подновяване на Корабното удостоверение за вътрешно корабоплаване</w:t>
            </w:r>
          </w:p>
        </w:tc>
        <w:tc>
          <w:tcPr>
            <w:tcW w:w="1429" w:type="dxa"/>
            <w:gridSpan w:val="2"/>
            <w:shd w:val="clear" w:color="auto" w:fill="auto"/>
          </w:tcPr>
          <w:p w14:paraId="03ED0645" w14:textId="5D3DD391" w:rsidR="00377B61" w:rsidRPr="00F06DE2" w:rsidRDefault="00A41A9A" w:rsidP="00A41A9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.2064 г.</w:t>
            </w:r>
          </w:p>
        </w:tc>
        <w:tc>
          <w:tcPr>
            <w:tcW w:w="1559" w:type="dxa"/>
          </w:tcPr>
          <w:p w14:paraId="37163971" w14:textId="27D296CD" w:rsidR="00377B61" w:rsidRPr="00F06DE2" w:rsidRDefault="009D1435"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 xml:space="preserve">.2024 г. </w:t>
            </w:r>
          </w:p>
        </w:tc>
      </w:tr>
      <w:tr w:rsidR="00377B61" w:rsidRPr="00F06DE2" w14:paraId="7467616A" w14:textId="77777777" w:rsidTr="00A41A9A">
        <w:trPr>
          <w:cantSplit/>
          <w:jc w:val="center"/>
        </w:trPr>
        <w:tc>
          <w:tcPr>
            <w:tcW w:w="1325" w:type="dxa"/>
            <w:tcBorders>
              <w:top w:val="nil"/>
              <w:bottom w:val="nil"/>
            </w:tcBorders>
            <w:shd w:val="clear" w:color="auto" w:fill="auto"/>
          </w:tcPr>
          <w:p w14:paraId="100787B4"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0BEDB0C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9, буква “д”, подбуква “вв”</w:t>
            </w:r>
          </w:p>
        </w:tc>
        <w:tc>
          <w:tcPr>
            <w:tcW w:w="3296" w:type="dxa"/>
            <w:shd w:val="clear" w:color="auto" w:fill="auto"/>
          </w:tcPr>
          <w:p w14:paraId="38A27D9B"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Стълбите са прави и успоредни на надлъжната ос на съда</w:t>
            </w:r>
          </w:p>
        </w:tc>
        <w:tc>
          <w:tcPr>
            <w:tcW w:w="5387" w:type="dxa"/>
            <w:shd w:val="clear" w:color="auto" w:fill="auto"/>
          </w:tcPr>
          <w:p w14:paraId="4CB98491" w14:textId="435ACFCC"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заложени след </w:t>
            </w:r>
            <w:r w:rsidR="00053B34" w:rsidRPr="00F06DE2">
              <w:rPr>
                <w:rFonts w:ascii="Times New Roman" w:hAnsi="Times New Roman" w:cs="Times New Roman"/>
              </w:rPr>
              <w:t>0</w:t>
            </w:r>
            <w:r w:rsidR="00053B34" w:rsidRPr="00F06DE2">
              <w:rPr>
                <w:rFonts w:ascii="Times New Roman" w:hAnsi="Times New Roman" w:cs="Times New Roman"/>
                <w:lang w:val="ru-RU"/>
              </w:rPr>
              <w:t>1.</w:t>
            </w:r>
            <w:r w:rsidR="00053B34" w:rsidRPr="00F06DE2">
              <w:rPr>
                <w:rFonts w:ascii="Times New Roman" w:hAnsi="Times New Roman" w:cs="Times New Roman"/>
              </w:rPr>
              <w:t>0</w:t>
            </w:r>
            <w:r w:rsidR="00053B34" w:rsidRPr="00F06DE2">
              <w:rPr>
                <w:rFonts w:ascii="Times New Roman" w:hAnsi="Times New Roman" w:cs="Times New Roman"/>
                <w:lang w:val="ru-RU"/>
              </w:rPr>
              <w:t>1</w:t>
            </w:r>
            <w:r w:rsidRPr="00F06DE2">
              <w:rPr>
                <w:rFonts w:ascii="Times New Roman" w:hAnsi="Times New Roman" w:cs="Times New Roman"/>
                <w:lang w:val="ru-RU"/>
              </w:rPr>
              <w:t>.2006 г., НЗР, най-късно след подновяване на Корабното удостоверение за вътрешно корабоплаване</w:t>
            </w:r>
          </w:p>
        </w:tc>
        <w:tc>
          <w:tcPr>
            <w:tcW w:w="1429" w:type="dxa"/>
            <w:gridSpan w:val="2"/>
            <w:shd w:val="clear" w:color="auto" w:fill="auto"/>
          </w:tcPr>
          <w:p w14:paraId="041F7FAD" w14:textId="77777777" w:rsidR="00377B61" w:rsidRPr="00F06DE2" w:rsidRDefault="00377B61" w:rsidP="00A41A9A">
            <w:pPr>
              <w:spacing w:line="240" w:lineRule="atLeast"/>
              <w:ind w:right="-105"/>
              <w:jc w:val="both"/>
              <w:rPr>
                <w:rFonts w:ascii="Times New Roman" w:hAnsi="Times New Roman" w:cs="Times New Roman"/>
                <w:lang w:val="ru-RU"/>
              </w:rPr>
            </w:pPr>
          </w:p>
        </w:tc>
        <w:tc>
          <w:tcPr>
            <w:tcW w:w="1559" w:type="dxa"/>
          </w:tcPr>
          <w:p w14:paraId="4771D0E3" w14:textId="185793C5" w:rsidR="00377B61" w:rsidRPr="00F06DE2" w:rsidRDefault="009D1435"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 xml:space="preserve">.2024 г. </w:t>
            </w:r>
          </w:p>
        </w:tc>
      </w:tr>
      <w:tr w:rsidR="00377B61" w:rsidRPr="00F06DE2" w14:paraId="18BAA2D9" w14:textId="77777777" w:rsidTr="00A41A9A">
        <w:trPr>
          <w:cantSplit/>
          <w:jc w:val="center"/>
        </w:trPr>
        <w:tc>
          <w:tcPr>
            <w:tcW w:w="1325" w:type="dxa"/>
            <w:tcBorders>
              <w:top w:val="nil"/>
              <w:bottom w:val="nil"/>
            </w:tcBorders>
            <w:shd w:val="clear" w:color="auto" w:fill="auto"/>
          </w:tcPr>
          <w:p w14:paraId="3D110E41"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525C9912"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10, буква “</w:t>
            </w:r>
            <w:r w:rsidRPr="00F06DE2">
              <w:rPr>
                <w:rFonts w:ascii="Times New Roman" w:hAnsi="Times New Roman" w:cs="Times New Roman"/>
              </w:rPr>
              <w:t>a</w:t>
            </w:r>
            <w:r w:rsidRPr="00F06DE2">
              <w:rPr>
                <w:rFonts w:ascii="Times New Roman" w:hAnsi="Times New Roman" w:cs="Times New Roman"/>
                <w:lang w:val="ru-RU"/>
              </w:rPr>
              <w:t xml:space="preserve">” </w:t>
            </w:r>
            <w:r w:rsidRPr="00F06DE2">
              <w:rPr>
                <w:rFonts w:ascii="Times New Roman" w:hAnsi="Times New Roman" w:cs="Times New Roman"/>
                <w:lang w:val="ru-RU"/>
              </w:rPr>
              <w:br/>
              <w:t>1-во изречение</w:t>
            </w:r>
          </w:p>
        </w:tc>
        <w:tc>
          <w:tcPr>
            <w:tcW w:w="3296" w:type="dxa"/>
            <w:shd w:val="clear" w:color="auto" w:fill="auto"/>
          </w:tcPr>
          <w:p w14:paraId="45692FFD"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Парапети съгласно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711:1995</w:t>
            </w:r>
          </w:p>
        </w:tc>
        <w:tc>
          <w:tcPr>
            <w:tcW w:w="5387" w:type="dxa"/>
            <w:shd w:val="clear" w:color="auto" w:fill="auto"/>
          </w:tcPr>
          <w:p w14:paraId="6F62DEB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F0607B7" w14:textId="41B9171F" w:rsidR="00377B61" w:rsidRPr="00F06DE2" w:rsidRDefault="00053B34" w:rsidP="00053B34">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6562C208" w14:textId="75B21182" w:rsidR="00377B61" w:rsidRPr="00F06DE2" w:rsidRDefault="00053B34" w:rsidP="00053B34">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068648BC" w14:textId="77777777" w:rsidTr="00A41A9A">
        <w:trPr>
          <w:cantSplit/>
          <w:jc w:val="center"/>
        </w:trPr>
        <w:tc>
          <w:tcPr>
            <w:tcW w:w="1325" w:type="dxa"/>
            <w:tcBorders>
              <w:top w:val="nil"/>
              <w:bottom w:val="nil"/>
            </w:tcBorders>
            <w:shd w:val="clear" w:color="auto" w:fill="auto"/>
          </w:tcPr>
          <w:p w14:paraId="4B060E90"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426978D6"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10, буква “</w:t>
            </w:r>
            <w:r w:rsidRPr="00F06DE2">
              <w:rPr>
                <w:rFonts w:ascii="Times New Roman" w:hAnsi="Times New Roman" w:cs="Times New Roman"/>
              </w:rPr>
              <w:t>a</w:t>
            </w:r>
            <w:r w:rsidRPr="00F06DE2">
              <w:rPr>
                <w:rFonts w:ascii="Times New Roman" w:hAnsi="Times New Roman" w:cs="Times New Roman"/>
                <w:lang w:val="ru-RU"/>
              </w:rPr>
              <w:t xml:space="preserve">” </w:t>
            </w:r>
          </w:p>
          <w:p w14:paraId="634D915E"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2-ро изречение</w:t>
            </w:r>
          </w:p>
        </w:tc>
        <w:tc>
          <w:tcPr>
            <w:tcW w:w="3296" w:type="dxa"/>
            <w:shd w:val="clear" w:color="auto" w:fill="auto"/>
          </w:tcPr>
          <w:p w14:paraId="31CEA502"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Височина на фалшборда и парапетите на палубите, предназначени за ползване от лица с намалена подвижност</w:t>
            </w:r>
          </w:p>
        </w:tc>
        <w:tc>
          <w:tcPr>
            <w:tcW w:w="5387" w:type="dxa"/>
            <w:shd w:val="clear" w:color="auto" w:fill="auto"/>
          </w:tcPr>
          <w:p w14:paraId="5F9CF9BE"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425DAD2" w14:textId="542EC47B" w:rsidR="00377B61" w:rsidRPr="00F06DE2" w:rsidRDefault="00053B34" w:rsidP="00053B34">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5B487A3C" w14:textId="5EE61A12" w:rsidR="00377B61" w:rsidRPr="00F06DE2" w:rsidRDefault="00053B34"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5F194BCB" w14:textId="77777777" w:rsidTr="00A41A9A">
        <w:trPr>
          <w:cantSplit/>
          <w:jc w:val="center"/>
        </w:trPr>
        <w:tc>
          <w:tcPr>
            <w:tcW w:w="1325" w:type="dxa"/>
            <w:tcBorders>
              <w:top w:val="nil"/>
              <w:bottom w:val="nil"/>
            </w:tcBorders>
            <w:shd w:val="clear" w:color="auto" w:fill="auto"/>
          </w:tcPr>
          <w:p w14:paraId="68A10E37"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05AB3D7C"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Точка 10, буква “б” </w:t>
            </w:r>
          </w:p>
          <w:p w14:paraId="156267EF"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2-ро изречение</w:t>
            </w:r>
          </w:p>
        </w:tc>
        <w:tc>
          <w:tcPr>
            <w:tcW w:w="3296" w:type="dxa"/>
            <w:shd w:val="clear" w:color="auto" w:fill="auto"/>
          </w:tcPr>
          <w:p w14:paraId="7B3A03E7"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Габаритна ширина на отворите, използвани обикновено за качване или слизане на лица с намалена подвижност</w:t>
            </w:r>
          </w:p>
        </w:tc>
        <w:tc>
          <w:tcPr>
            <w:tcW w:w="5387" w:type="dxa"/>
            <w:shd w:val="clear" w:color="auto" w:fill="auto"/>
          </w:tcPr>
          <w:p w14:paraId="7BB4AB14"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D140956" w14:textId="40034AD8" w:rsidR="00377B61" w:rsidRPr="00F06DE2" w:rsidRDefault="00053B34" w:rsidP="00053B34">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64B717CF" w14:textId="37A0222B" w:rsidR="00377B61" w:rsidRPr="00F06DE2" w:rsidRDefault="00053B34"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0C6E1D28" w14:textId="77777777" w:rsidTr="00A41A9A">
        <w:trPr>
          <w:cantSplit/>
          <w:jc w:val="center"/>
        </w:trPr>
        <w:tc>
          <w:tcPr>
            <w:tcW w:w="1325" w:type="dxa"/>
            <w:tcBorders>
              <w:top w:val="nil"/>
              <w:bottom w:val="nil"/>
            </w:tcBorders>
            <w:shd w:val="clear" w:color="auto" w:fill="auto"/>
          </w:tcPr>
          <w:p w14:paraId="687DA4A7"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372288D0"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11</w:t>
            </w:r>
          </w:p>
        </w:tc>
        <w:tc>
          <w:tcPr>
            <w:tcW w:w="3296" w:type="dxa"/>
            <w:shd w:val="clear" w:color="auto" w:fill="auto"/>
          </w:tcPr>
          <w:p w14:paraId="42E76DDA"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Части от плавателния съд, които не се считат за част от евакуационните пътища</w:t>
            </w:r>
          </w:p>
        </w:tc>
        <w:tc>
          <w:tcPr>
            <w:tcW w:w="5387" w:type="dxa"/>
            <w:shd w:val="clear" w:color="auto" w:fill="auto"/>
          </w:tcPr>
          <w:p w14:paraId="436E195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1CDF916" w14:textId="1A0D5288" w:rsidR="00377B61" w:rsidRPr="00F06DE2" w:rsidRDefault="00053B34" w:rsidP="00053B34">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.2064 г.</w:t>
            </w:r>
          </w:p>
        </w:tc>
        <w:tc>
          <w:tcPr>
            <w:tcW w:w="1559" w:type="dxa"/>
          </w:tcPr>
          <w:p w14:paraId="05D9B7D5" w14:textId="783707EF" w:rsidR="00377B61" w:rsidRPr="00F06DE2" w:rsidRDefault="00053B34"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.2024 г.</w:t>
            </w:r>
          </w:p>
        </w:tc>
      </w:tr>
      <w:tr w:rsidR="00377B61" w:rsidRPr="00F06DE2" w14:paraId="1F9A913E" w14:textId="77777777" w:rsidTr="00A41A9A">
        <w:trPr>
          <w:cantSplit/>
          <w:jc w:val="center"/>
        </w:trPr>
        <w:tc>
          <w:tcPr>
            <w:tcW w:w="1325" w:type="dxa"/>
            <w:tcBorders>
              <w:top w:val="nil"/>
              <w:bottom w:val="nil"/>
            </w:tcBorders>
            <w:shd w:val="clear" w:color="auto" w:fill="auto"/>
          </w:tcPr>
          <w:p w14:paraId="77613289"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66DCBC03"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Точка 12, буква “в” </w:t>
            </w:r>
          </w:p>
          <w:p w14:paraId="3D259DE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1-во изречение</w:t>
            </w:r>
          </w:p>
        </w:tc>
        <w:tc>
          <w:tcPr>
            <w:tcW w:w="3296" w:type="dxa"/>
            <w:shd w:val="clear" w:color="auto" w:fill="auto"/>
          </w:tcPr>
          <w:p w14:paraId="67266B98"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Ясна ширина на отворите използвани нормално за качване или слизане на лижа с намалена подвижност</w:t>
            </w:r>
          </w:p>
        </w:tc>
        <w:tc>
          <w:tcPr>
            <w:tcW w:w="5387" w:type="dxa"/>
            <w:shd w:val="clear" w:color="auto" w:fill="auto"/>
          </w:tcPr>
          <w:p w14:paraId="47FAA286"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7539D5A1" w14:textId="40F1D4F5" w:rsidR="00377B61" w:rsidRPr="00F06DE2" w:rsidRDefault="00053B34" w:rsidP="00053B34">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46C5715B" w14:textId="463CD9E2" w:rsidR="00377B61" w:rsidRPr="00F06DE2" w:rsidRDefault="00053B34"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511E6621" w14:textId="77777777" w:rsidTr="00A41A9A">
        <w:trPr>
          <w:cantSplit/>
          <w:jc w:val="center"/>
        </w:trPr>
        <w:tc>
          <w:tcPr>
            <w:tcW w:w="1325" w:type="dxa"/>
            <w:tcBorders>
              <w:top w:val="nil"/>
              <w:bottom w:val="nil"/>
            </w:tcBorders>
            <w:shd w:val="clear" w:color="auto" w:fill="auto"/>
          </w:tcPr>
          <w:p w14:paraId="07C2C18E"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558829BE"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Точка 12, буква “в” </w:t>
            </w:r>
          </w:p>
          <w:p w14:paraId="63B650F6"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vertAlign w:val="superscript"/>
                <w:lang w:val="ru-RU"/>
              </w:rPr>
              <w:t>ро</w:t>
            </w:r>
            <w:r w:rsidRPr="00F06DE2">
              <w:rPr>
                <w:rFonts w:ascii="Times New Roman" w:hAnsi="Times New Roman" w:cs="Times New Roman"/>
                <w:lang w:val="ru-RU"/>
              </w:rPr>
              <w:t xml:space="preserve"> изречение</w:t>
            </w:r>
          </w:p>
        </w:tc>
        <w:tc>
          <w:tcPr>
            <w:tcW w:w="3296" w:type="dxa"/>
            <w:shd w:val="clear" w:color="auto" w:fill="auto"/>
          </w:tcPr>
          <w:p w14:paraId="644CDFA2"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което позволява на хората да бъдат прехвърлени</w:t>
            </w:r>
          </w:p>
        </w:tc>
        <w:tc>
          <w:tcPr>
            <w:tcW w:w="5387" w:type="dxa"/>
            <w:shd w:val="clear" w:color="auto" w:fill="auto"/>
          </w:tcPr>
          <w:p w14:paraId="742C23C3"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5C64EED8" w14:textId="77777777" w:rsidR="00377B61" w:rsidRPr="00F06DE2" w:rsidRDefault="00377B61" w:rsidP="00053B34">
            <w:pPr>
              <w:spacing w:line="240" w:lineRule="atLeast"/>
              <w:ind w:right="-105"/>
              <w:jc w:val="both"/>
              <w:rPr>
                <w:rFonts w:ascii="Times New Roman" w:hAnsi="Times New Roman" w:cs="Times New Roman"/>
                <w:lang w:val="ru-RU"/>
              </w:rPr>
            </w:pPr>
          </w:p>
        </w:tc>
        <w:tc>
          <w:tcPr>
            <w:tcW w:w="1559" w:type="dxa"/>
          </w:tcPr>
          <w:p w14:paraId="272BA9D0" w14:textId="139A489F" w:rsidR="00377B61" w:rsidRPr="00F06DE2" w:rsidRDefault="00053B34"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.2024 г.</w:t>
            </w:r>
          </w:p>
        </w:tc>
      </w:tr>
      <w:tr w:rsidR="00377B61" w:rsidRPr="00F06DE2" w14:paraId="3CD40405" w14:textId="77777777" w:rsidTr="00A41A9A">
        <w:trPr>
          <w:cantSplit/>
          <w:jc w:val="center"/>
        </w:trPr>
        <w:tc>
          <w:tcPr>
            <w:tcW w:w="1325" w:type="dxa"/>
            <w:tcBorders>
              <w:top w:val="nil"/>
              <w:bottom w:val="nil"/>
            </w:tcBorders>
            <w:shd w:val="clear" w:color="auto" w:fill="auto"/>
          </w:tcPr>
          <w:p w14:paraId="1640EA77"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536F8EFA"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79CCEC0D"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Проходи и стени в коридорите, предназначени за ползване от лица с намалена подвижност</w:t>
            </w:r>
          </w:p>
        </w:tc>
        <w:tc>
          <w:tcPr>
            <w:tcW w:w="5387" w:type="dxa"/>
            <w:shd w:val="clear" w:color="auto" w:fill="auto"/>
          </w:tcPr>
          <w:p w14:paraId="4588A9C1"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6E534D8" w14:textId="5F78F391" w:rsidR="00377B61" w:rsidRPr="00F06DE2" w:rsidRDefault="00053B34" w:rsidP="00053B34">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4229133E" w14:textId="0E163B5E" w:rsidR="00377B61" w:rsidRPr="00F06DE2" w:rsidRDefault="00053B34"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1E569C93" w14:textId="77777777" w:rsidTr="00A41A9A">
        <w:trPr>
          <w:cantSplit/>
          <w:jc w:val="center"/>
        </w:trPr>
        <w:tc>
          <w:tcPr>
            <w:tcW w:w="1325" w:type="dxa"/>
            <w:tcBorders>
              <w:top w:val="nil"/>
              <w:bottom w:val="nil"/>
            </w:tcBorders>
            <w:shd w:val="clear" w:color="auto" w:fill="auto"/>
          </w:tcPr>
          <w:p w14:paraId="2CAB0D22"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3923989C"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14, 1-во</w:t>
            </w:r>
            <w:r w:rsidRPr="00F06DE2">
              <w:rPr>
                <w:rFonts w:ascii="Times New Roman" w:hAnsi="Times New Roman" w:cs="Times New Roman"/>
                <w:vertAlign w:val="superscript"/>
              </w:rPr>
              <w:t> </w:t>
            </w:r>
            <w:r w:rsidRPr="00F06DE2">
              <w:rPr>
                <w:rFonts w:ascii="Times New Roman" w:hAnsi="Times New Roman" w:cs="Times New Roman"/>
              </w:rPr>
              <w:t>изречение</w:t>
            </w:r>
          </w:p>
        </w:tc>
        <w:tc>
          <w:tcPr>
            <w:tcW w:w="3296" w:type="dxa"/>
            <w:shd w:val="clear" w:color="auto" w:fill="auto"/>
          </w:tcPr>
          <w:p w14:paraId="25A2688C"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Конструкция на стъклените врати и стени в проходите и на стъклата на прозорците</w:t>
            </w:r>
          </w:p>
        </w:tc>
        <w:tc>
          <w:tcPr>
            <w:tcW w:w="5387" w:type="dxa"/>
            <w:shd w:val="clear" w:color="auto" w:fill="auto"/>
          </w:tcPr>
          <w:p w14:paraId="62918E76"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5132946" w14:textId="24B8A80A" w:rsidR="00377B61" w:rsidRPr="00F06DE2" w:rsidRDefault="00685B5A" w:rsidP="00685B5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4B232531" w14:textId="564BAF48" w:rsidR="00377B61" w:rsidRPr="00F06DE2" w:rsidRDefault="00685B5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69466A16" w14:textId="77777777" w:rsidTr="00A41A9A">
        <w:trPr>
          <w:cantSplit/>
          <w:jc w:val="center"/>
        </w:trPr>
        <w:tc>
          <w:tcPr>
            <w:tcW w:w="1325" w:type="dxa"/>
            <w:tcBorders>
              <w:top w:val="nil"/>
              <w:bottom w:val="nil"/>
            </w:tcBorders>
            <w:shd w:val="clear" w:color="auto" w:fill="auto"/>
          </w:tcPr>
          <w:p w14:paraId="7BC169B9"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4601D27F"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15</w:t>
            </w:r>
          </w:p>
        </w:tc>
        <w:tc>
          <w:tcPr>
            <w:tcW w:w="3296" w:type="dxa"/>
            <w:shd w:val="clear" w:color="auto" w:fill="auto"/>
          </w:tcPr>
          <w:p w14:paraId="4EF52861"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надстройките, които се състоят изцяло или частично от панорамни прозорци</w:t>
            </w:r>
          </w:p>
        </w:tc>
        <w:tc>
          <w:tcPr>
            <w:tcW w:w="5387" w:type="dxa"/>
            <w:shd w:val="clear" w:color="auto" w:fill="auto"/>
          </w:tcPr>
          <w:p w14:paraId="2E1AEDB4"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A1DCB69" w14:textId="07DED295" w:rsidR="00377B61" w:rsidRPr="00F06DE2" w:rsidRDefault="00685B5A" w:rsidP="00685B5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44115DC0" w14:textId="057D5B3B" w:rsidR="00377B61" w:rsidRPr="00F06DE2" w:rsidRDefault="00685B5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7D002703" w14:textId="77777777" w:rsidTr="00A41A9A">
        <w:trPr>
          <w:cantSplit/>
          <w:jc w:val="center"/>
        </w:trPr>
        <w:tc>
          <w:tcPr>
            <w:tcW w:w="1325" w:type="dxa"/>
            <w:tcBorders>
              <w:top w:val="nil"/>
              <w:bottom w:val="nil"/>
            </w:tcBorders>
            <w:shd w:val="clear" w:color="auto" w:fill="auto"/>
          </w:tcPr>
          <w:p w14:paraId="4D60B7F1"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127D6C4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17, 2</w:t>
            </w:r>
            <w:r w:rsidRPr="00F06DE2">
              <w:rPr>
                <w:rFonts w:ascii="Times New Roman" w:hAnsi="Times New Roman" w:cs="Times New Roman"/>
                <w:vertAlign w:val="superscript"/>
                <w:lang w:val="ru-RU"/>
              </w:rPr>
              <w:t xml:space="preserve">ро и </w:t>
            </w:r>
            <w:r w:rsidRPr="00F06DE2">
              <w:rPr>
                <w:rFonts w:ascii="Times New Roman" w:hAnsi="Times New Roman" w:cs="Times New Roman"/>
                <w:lang w:val="ru-RU"/>
              </w:rPr>
              <w:t>3</w:t>
            </w:r>
            <w:r w:rsidRPr="00F06DE2">
              <w:rPr>
                <w:rFonts w:ascii="Times New Roman" w:hAnsi="Times New Roman" w:cs="Times New Roman"/>
                <w:vertAlign w:val="superscript"/>
                <w:lang w:val="ru-RU"/>
              </w:rPr>
              <w:t>то</w:t>
            </w:r>
            <w:r w:rsidRPr="00F06DE2">
              <w:rPr>
                <w:rFonts w:ascii="Times New Roman" w:hAnsi="Times New Roman" w:cs="Times New Roman"/>
                <w:lang w:val="ru-RU"/>
              </w:rPr>
              <w:t xml:space="preserve"> изречение</w:t>
            </w:r>
          </w:p>
        </w:tc>
        <w:tc>
          <w:tcPr>
            <w:tcW w:w="3296" w:type="dxa"/>
            <w:shd w:val="clear" w:color="auto" w:fill="auto"/>
          </w:tcPr>
          <w:p w14:paraId="70AE829A"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тоалетните, пригодени за ползване от лица с намалена подвижност</w:t>
            </w:r>
          </w:p>
        </w:tc>
        <w:tc>
          <w:tcPr>
            <w:tcW w:w="5387" w:type="dxa"/>
            <w:shd w:val="clear" w:color="auto" w:fill="auto"/>
          </w:tcPr>
          <w:p w14:paraId="71D5465A"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1DF8E701" w14:textId="30EC738D" w:rsidR="00377B61" w:rsidRPr="00F06DE2" w:rsidRDefault="00685B5A" w:rsidP="00685B5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.2064 г.</w:t>
            </w:r>
          </w:p>
        </w:tc>
        <w:tc>
          <w:tcPr>
            <w:tcW w:w="1559" w:type="dxa"/>
          </w:tcPr>
          <w:p w14:paraId="70C2D206" w14:textId="55A24003" w:rsidR="00377B61" w:rsidRPr="00F06DE2" w:rsidRDefault="00685B5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24CAB746" w14:textId="77777777" w:rsidTr="00A41A9A">
        <w:trPr>
          <w:cantSplit/>
          <w:jc w:val="center"/>
        </w:trPr>
        <w:tc>
          <w:tcPr>
            <w:tcW w:w="1325" w:type="dxa"/>
            <w:tcBorders>
              <w:top w:val="nil"/>
            </w:tcBorders>
            <w:shd w:val="clear" w:color="auto" w:fill="auto"/>
          </w:tcPr>
          <w:p w14:paraId="09E5A198"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4974EF4D"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18</w:t>
            </w:r>
          </w:p>
        </w:tc>
        <w:tc>
          <w:tcPr>
            <w:tcW w:w="3296" w:type="dxa"/>
            <w:shd w:val="clear" w:color="auto" w:fill="auto"/>
          </w:tcPr>
          <w:p w14:paraId="260D47D3"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Вентилационна система за каюти без отварящ се прозорец</w:t>
            </w:r>
          </w:p>
        </w:tc>
        <w:tc>
          <w:tcPr>
            <w:tcW w:w="5387" w:type="dxa"/>
            <w:shd w:val="clear" w:color="auto" w:fill="auto"/>
          </w:tcPr>
          <w:p w14:paraId="66891DE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54C0B5E" w14:textId="470D0762" w:rsidR="00377B61" w:rsidRPr="00F06DE2" w:rsidRDefault="00685B5A" w:rsidP="00685B5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415CEBB1" w14:textId="787581A0" w:rsidR="00377B61" w:rsidRPr="00F06DE2" w:rsidRDefault="00685B5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.2006 г.</w:t>
            </w:r>
          </w:p>
        </w:tc>
      </w:tr>
      <w:tr w:rsidR="00377B61" w:rsidRPr="00F06DE2" w14:paraId="7F6C5AA2" w14:textId="77777777" w:rsidTr="00A41A9A">
        <w:trPr>
          <w:cantSplit/>
          <w:jc w:val="center"/>
        </w:trPr>
        <w:tc>
          <w:tcPr>
            <w:tcW w:w="1325" w:type="dxa"/>
            <w:vMerge w:val="restart"/>
            <w:shd w:val="clear" w:color="auto" w:fill="auto"/>
          </w:tcPr>
          <w:p w14:paraId="0FE5C755" w14:textId="77777777" w:rsidR="00377B61" w:rsidRPr="00F06DE2" w:rsidRDefault="00377B61" w:rsidP="00377B61">
            <w:pPr>
              <w:spacing w:line="240" w:lineRule="atLeast"/>
              <w:rPr>
                <w:rFonts w:ascii="Times New Roman" w:hAnsi="Times New Roman" w:cs="Times New Roman"/>
              </w:rPr>
            </w:pPr>
            <w:r w:rsidRPr="00F06DE2">
              <w:rPr>
                <w:rFonts w:ascii="Times New Roman" w:hAnsi="Times New Roman" w:cs="Times New Roman"/>
              </w:rPr>
              <w:t>19.07</w:t>
            </w:r>
          </w:p>
        </w:tc>
        <w:tc>
          <w:tcPr>
            <w:tcW w:w="1458" w:type="dxa"/>
            <w:vMerge w:val="restart"/>
            <w:shd w:val="clear" w:color="auto" w:fill="auto"/>
          </w:tcPr>
          <w:p w14:paraId="7D1CC59E"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vMerge w:val="restart"/>
            <w:shd w:val="clear" w:color="auto" w:fill="auto"/>
          </w:tcPr>
          <w:p w14:paraId="53D63203"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Втора независима задвижваща система в отделно машинно отделение</w:t>
            </w:r>
          </w:p>
        </w:tc>
        <w:tc>
          <w:tcPr>
            <w:tcW w:w="5387" w:type="dxa"/>
            <w:shd w:val="clear" w:color="auto" w:fill="auto"/>
          </w:tcPr>
          <w:p w14:paraId="5B49816B"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DF6C807" w14:textId="663CB018" w:rsidR="00377B61" w:rsidRPr="00F06DE2" w:rsidRDefault="00685B5A" w:rsidP="00685B5A">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.2020 г.</w:t>
            </w:r>
          </w:p>
        </w:tc>
        <w:tc>
          <w:tcPr>
            <w:tcW w:w="1559" w:type="dxa"/>
          </w:tcPr>
          <w:p w14:paraId="6F648C6E" w14:textId="18E2B2D4" w:rsidR="00377B61" w:rsidRPr="00F06DE2" w:rsidRDefault="00685B5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.2020 г.</w:t>
            </w:r>
          </w:p>
        </w:tc>
      </w:tr>
      <w:tr w:rsidR="00377B61" w:rsidRPr="00F06DE2" w14:paraId="632619F3" w14:textId="77777777" w:rsidTr="00A41A9A">
        <w:trPr>
          <w:cantSplit/>
          <w:jc w:val="center"/>
        </w:trPr>
        <w:tc>
          <w:tcPr>
            <w:tcW w:w="1325" w:type="dxa"/>
            <w:vMerge/>
            <w:shd w:val="clear" w:color="auto" w:fill="auto"/>
          </w:tcPr>
          <w:p w14:paraId="7ADDF0A9" w14:textId="77777777" w:rsidR="00377B61" w:rsidRPr="00F06DE2" w:rsidRDefault="00377B61" w:rsidP="00377B61">
            <w:pPr>
              <w:spacing w:line="240" w:lineRule="atLeast"/>
              <w:rPr>
                <w:rFonts w:ascii="Times New Roman" w:hAnsi="Times New Roman" w:cs="Times New Roman"/>
              </w:rPr>
            </w:pPr>
          </w:p>
        </w:tc>
        <w:tc>
          <w:tcPr>
            <w:tcW w:w="1458" w:type="dxa"/>
            <w:vMerge/>
            <w:shd w:val="clear" w:color="auto" w:fill="auto"/>
          </w:tcPr>
          <w:p w14:paraId="2F666E52" w14:textId="77777777" w:rsidR="00377B61" w:rsidRPr="00F06DE2" w:rsidRDefault="00377B61" w:rsidP="00377B61">
            <w:pPr>
              <w:spacing w:line="240" w:lineRule="atLeast"/>
              <w:jc w:val="both"/>
              <w:rPr>
                <w:rFonts w:ascii="Times New Roman" w:hAnsi="Times New Roman" w:cs="Times New Roman"/>
              </w:rPr>
            </w:pPr>
          </w:p>
        </w:tc>
        <w:tc>
          <w:tcPr>
            <w:tcW w:w="3296" w:type="dxa"/>
            <w:vMerge/>
            <w:shd w:val="clear" w:color="auto" w:fill="auto"/>
          </w:tcPr>
          <w:p w14:paraId="07A2FB10" w14:textId="77777777" w:rsidR="00377B61" w:rsidRPr="00F06DE2" w:rsidRDefault="00377B61" w:rsidP="00377B61">
            <w:pPr>
              <w:tabs>
                <w:tab w:val="left" w:pos="1080"/>
              </w:tabs>
              <w:spacing w:line="240" w:lineRule="atLeast"/>
              <w:jc w:val="both"/>
              <w:rPr>
                <w:rFonts w:ascii="Times New Roman" w:hAnsi="Times New Roman" w:cs="Times New Roman"/>
              </w:rPr>
            </w:pPr>
          </w:p>
        </w:tc>
        <w:tc>
          <w:tcPr>
            <w:tcW w:w="5387" w:type="dxa"/>
            <w:shd w:val="clear" w:color="auto" w:fill="auto"/>
          </w:tcPr>
          <w:p w14:paraId="12863BEE"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за пътнически плавателни съдове, които е достатъчно да отговарят на следните изисквания:</w:t>
            </w:r>
          </w:p>
          <w:p w14:paraId="42B5C5E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а) Съществуващата противопожарна система, посочена в член 19.12, точка 9 за защита на машинното отделение, да може да се задейства незабавно без опасност за хората, разположени в машинното отделение. Не може да се позовава на преходна разпоредба към член 13.05, точка 2, буква “а”. Ако съществуващата противопожарна система не може да се задейства незабавно без опасност за хората, намиращи се в машинното отделение, както е описано по-горе, двигателите с вътрешно горене в машинното отделение са защитени с допълнителна противопожарна система за защита на обекти, която може да се задейства незабавно без опасност за намиращите се в машинното отделение.</w:t>
            </w:r>
          </w:p>
          <w:p w14:paraId="5275B104"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б) В съответствие с член 13.06, противопожарна система за защита на обекти, която може да се задейства незабавно без опасност за хората, разположени в машинното отделение, се изисква за:</w:t>
            </w:r>
          </w:p>
        </w:tc>
        <w:tc>
          <w:tcPr>
            <w:tcW w:w="1429" w:type="dxa"/>
            <w:gridSpan w:val="2"/>
            <w:shd w:val="clear" w:color="auto" w:fill="auto"/>
          </w:tcPr>
          <w:p w14:paraId="0814C398" w14:textId="77777777" w:rsidR="00377B61" w:rsidRPr="00F06DE2" w:rsidRDefault="00377B61" w:rsidP="00377B61">
            <w:pPr>
              <w:spacing w:line="240" w:lineRule="atLeast"/>
              <w:jc w:val="both"/>
              <w:rPr>
                <w:rFonts w:ascii="Times New Roman" w:hAnsi="Times New Roman" w:cs="Times New Roman"/>
                <w:lang w:val="ru-RU"/>
              </w:rPr>
            </w:pPr>
          </w:p>
        </w:tc>
        <w:tc>
          <w:tcPr>
            <w:tcW w:w="1559" w:type="dxa"/>
          </w:tcPr>
          <w:p w14:paraId="1FA0493B" w14:textId="0AB534CD" w:rsidR="00377B61" w:rsidRPr="00F06DE2" w:rsidRDefault="00685B5A" w:rsidP="00377B61">
            <w:pPr>
              <w:spacing w:line="240" w:lineRule="atLeast"/>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.2020 г.</w:t>
            </w:r>
          </w:p>
        </w:tc>
      </w:tr>
      <w:tr w:rsidR="00377B61" w:rsidRPr="00F06DE2" w14:paraId="573AE911" w14:textId="77777777" w:rsidTr="00A41A9A">
        <w:trPr>
          <w:cantSplit/>
          <w:jc w:val="center"/>
        </w:trPr>
        <w:tc>
          <w:tcPr>
            <w:tcW w:w="1325" w:type="dxa"/>
            <w:vMerge/>
            <w:tcBorders>
              <w:bottom w:val="single" w:sz="4" w:space="0" w:color="auto"/>
            </w:tcBorders>
            <w:shd w:val="clear" w:color="auto" w:fill="auto"/>
          </w:tcPr>
          <w:p w14:paraId="47BE5DFD" w14:textId="77777777" w:rsidR="00377B61" w:rsidRPr="00F06DE2" w:rsidRDefault="00377B61" w:rsidP="00377B61">
            <w:pPr>
              <w:spacing w:line="240" w:lineRule="atLeast"/>
              <w:rPr>
                <w:rFonts w:ascii="Times New Roman" w:hAnsi="Times New Roman" w:cs="Times New Roman"/>
              </w:rPr>
            </w:pPr>
          </w:p>
        </w:tc>
        <w:tc>
          <w:tcPr>
            <w:tcW w:w="1458" w:type="dxa"/>
            <w:vMerge/>
            <w:shd w:val="clear" w:color="auto" w:fill="auto"/>
          </w:tcPr>
          <w:p w14:paraId="6D287D29" w14:textId="77777777" w:rsidR="00377B61" w:rsidRPr="00F06DE2" w:rsidRDefault="00377B61" w:rsidP="00377B61">
            <w:pPr>
              <w:spacing w:line="240" w:lineRule="atLeast"/>
              <w:rPr>
                <w:rFonts w:ascii="Times New Roman" w:hAnsi="Times New Roman" w:cs="Times New Roman"/>
              </w:rPr>
            </w:pPr>
          </w:p>
        </w:tc>
        <w:tc>
          <w:tcPr>
            <w:tcW w:w="3296" w:type="dxa"/>
            <w:vMerge/>
            <w:shd w:val="clear" w:color="auto" w:fill="auto"/>
          </w:tcPr>
          <w:p w14:paraId="45568E52" w14:textId="77777777" w:rsidR="00377B61" w:rsidRPr="00F06DE2" w:rsidRDefault="00377B61" w:rsidP="00377B61">
            <w:pPr>
              <w:tabs>
                <w:tab w:val="left" w:pos="1080"/>
              </w:tabs>
              <w:spacing w:line="240" w:lineRule="atLeast"/>
              <w:rPr>
                <w:rFonts w:ascii="Times New Roman" w:hAnsi="Times New Roman" w:cs="Times New Roman"/>
              </w:rPr>
            </w:pPr>
          </w:p>
        </w:tc>
        <w:tc>
          <w:tcPr>
            <w:tcW w:w="5387" w:type="dxa"/>
            <w:shd w:val="clear" w:color="auto" w:fill="auto"/>
          </w:tcPr>
          <w:p w14:paraId="249EC68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заградените двигатели с вътрешно горене;</w:t>
            </w:r>
          </w:p>
          <w:p w14:paraId="7A3290EA"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заградените генератори;</w:t>
            </w:r>
          </w:p>
          <w:p w14:paraId="00EE4E7B"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главното разпределително табло.</w:t>
            </w:r>
          </w:p>
          <w:p w14:paraId="514586B2"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в) Противопожарните системи за защита на обектите, посочени в букви “а” и “б” трябва да бъдат проектирани от специализирана фирма. Освен това, изискванията на член 13.05, точка 9 се прилагат </w:t>
            </w:r>
            <w:r w:rsidRPr="00F06DE2">
              <w:rPr>
                <w:rFonts w:ascii="Times New Roman" w:hAnsi="Times New Roman" w:cs="Times New Roman"/>
              </w:rPr>
              <w:t>mutatis</w:t>
            </w:r>
            <w:r w:rsidRPr="00F06DE2">
              <w:rPr>
                <w:rFonts w:ascii="Times New Roman" w:hAnsi="Times New Roman" w:cs="Times New Roman"/>
                <w:lang w:val="ru-RU"/>
              </w:rPr>
              <w:t xml:space="preserve"> </w:t>
            </w:r>
            <w:r w:rsidRPr="00F06DE2">
              <w:rPr>
                <w:rFonts w:ascii="Times New Roman" w:hAnsi="Times New Roman" w:cs="Times New Roman"/>
              </w:rPr>
              <w:t>mutandis</w:t>
            </w:r>
            <w:r w:rsidRPr="00F06DE2">
              <w:rPr>
                <w:rFonts w:ascii="Times New Roman" w:hAnsi="Times New Roman" w:cs="Times New Roman"/>
                <w:lang w:val="ru-RU"/>
              </w:rPr>
              <w:t>.</w:t>
            </w:r>
          </w:p>
          <w:p w14:paraId="734D357A"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г) В допълнение към трюмните системи, посочени в член 8.08, машинното отделение се оборудва с допълнителна помпа за сантините. </w:t>
            </w:r>
          </w:p>
          <w:p w14:paraId="74097451"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Нейният изпомпващ капацитет (</w:t>
            </w:r>
            <w:r w:rsidRPr="00F06DE2">
              <w:rPr>
                <w:rFonts w:ascii="Cambria Math" w:hAnsi="Cambria Math" w:cs="Cambria Math"/>
              </w:rPr>
              <w:t>𝑄</w:t>
            </w:r>
            <w:r w:rsidRPr="00F06DE2">
              <w:rPr>
                <w:rFonts w:ascii="Times New Roman" w:hAnsi="Times New Roman" w:cs="Times New Roman"/>
                <w:lang w:val="ru-RU"/>
              </w:rPr>
              <w:t xml:space="preserve">) в </w:t>
            </w:r>
            <w:r w:rsidRPr="00F06DE2">
              <w:rPr>
                <w:rFonts w:ascii="Times New Roman" w:hAnsi="Times New Roman" w:cs="Times New Roman"/>
              </w:rPr>
              <w:t>l</w:t>
            </w:r>
            <w:r w:rsidRPr="00F06DE2">
              <w:rPr>
                <w:rFonts w:ascii="Times New Roman" w:hAnsi="Times New Roman" w:cs="Times New Roman"/>
                <w:lang w:val="ru-RU"/>
              </w:rPr>
              <w:t>/</w:t>
            </w:r>
            <w:r w:rsidRPr="00F06DE2">
              <w:rPr>
                <w:rFonts w:ascii="Times New Roman" w:hAnsi="Times New Roman" w:cs="Times New Roman"/>
              </w:rPr>
              <w:t>min</w:t>
            </w:r>
            <w:r w:rsidRPr="00F06DE2">
              <w:rPr>
                <w:rFonts w:ascii="Times New Roman" w:hAnsi="Times New Roman" w:cs="Times New Roman"/>
                <w:lang w:val="ru-RU"/>
              </w:rPr>
              <w:t xml:space="preserve"> се изчислява с </w:t>
            </w:r>
            <w:r w:rsidRPr="00F06DE2">
              <w:rPr>
                <w:rFonts w:ascii="Cambria Math" w:hAnsi="Cambria Math" w:cs="Cambria Math"/>
              </w:rPr>
              <w:t>𝑄</w:t>
            </w:r>
            <w:r w:rsidRPr="00F06DE2">
              <w:rPr>
                <w:rFonts w:ascii="Times New Roman" w:hAnsi="Times New Roman" w:cs="Times New Roman"/>
                <w:lang w:val="ru-RU"/>
              </w:rPr>
              <w:t xml:space="preserve"> = </w:t>
            </w:r>
            <w:r w:rsidRPr="00F06DE2">
              <w:rPr>
                <w:rFonts w:ascii="Cambria Math" w:hAnsi="Cambria Math" w:cs="Cambria Math"/>
              </w:rPr>
              <w:t>𝑑</w:t>
            </w:r>
            <w:r w:rsidRPr="00F06DE2">
              <w:rPr>
                <w:rFonts w:ascii="Times New Roman" w:hAnsi="Times New Roman" w:cs="Times New Roman"/>
                <w:vertAlign w:val="subscript"/>
                <w:lang w:val="ru-RU"/>
              </w:rPr>
              <w:t>2</w:t>
            </w:r>
            <w:r w:rsidRPr="00F06DE2">
              <w:rPr>
                <w:rFonts w:ascii="Times New Roman" w:hAnsi="Times New Roman" w:cs="Times New Roman"/>
                <w:vertAlign w:val="superscript"/>
                <w:lang w:val="ru-RU"/>
              </w:rPr>
              <w:t xml:space="preserve">2 </w:t>
            </w:r>
            <w:r w:rsidRPr="00F06DE2">
              <w:rPr>
                <w:rFonts w:ascii="Times New Roman" w:hAnsi="Times New Roman" w:cs="Times New Roman"/>
                <w:lang w:val="ru-RU"/>
              </w:rPr>
              <w:t xml:space="preserve">. </w:t>
            </w:r>
            <w:r w:rsidRPr="00F06DE2">
              <w:rPr>
                <w:rFonts w:ascii="Cambria Math" w:hAnsi="Cambria Math" w:cs="Cambria Math"/>
              </w:rPr>
              <w:t>𝑑</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в съответствие с раздел 8.08, точка 3 и максималната дължина на машинното отделение трябва да се използва за “</w:t>
            </w:r>
            <w:r w:rsidRPr="00F06DE2">
              <w:rPr>
                <w:rFonts w:ascii="Cambria Math" w:hAnsi="Cambria Math" w:cs="Cambria Math"/>
              </w:rPr>
              <w:t>𝐼</w:t>
            </w:r>
            <w:r w:rsidRPr="00F06DE2">
              <w:rPr>
                <w:rFonts w:ascii="Times New Roman" w:hAnsi="Times New Roman" w:cs="Times New Roman"/>
                <w:lang w:val="ru-RU"/>
              </w:rPr>
              <w:t>”.</w:t>
            </w:r>
          </w:p>
          <w:p w14:paraId="29C02FF4"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Сантинната помпа трябва да бъде разположена в защитената зона.</w:t>
            </w:r>
          </w:p>
          <w:p w14:paraId="4CFC661A"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Трябва да е възможно да включите помпата и да работите на клапани за налягане отгоре на основната палуба.</w:t>
            </w:r>
          </w:p>
          <w:p w14:paraId="09E5D1B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д) Общият изпомпващ капацитет на всички помпи, разположени в това машинно отделение и които могат да се използват за изпомпване, трябва да бъде най-малко 3000 </w:t>
            </w:r>
            <w:r w:rsidRPr="00F06DE2">
              <w:rPr>
                <w:rFonts w:ascii="Times New Roman" w:hAnsi="Times New Roman" w:cs="Times New Roman"/>
              </w:rPr>
              <w:t>l</w:t>
            </w:r>
            <w:r w:rsidRPr="00F06DE2">
              <w:rPr>
                <w:rFonts w:ascii="Times New Roman" w:hAnsi="Times New Roman" w:cs="Times New Roman"/>
                <w:lang w:val="ru-RU"/>
              </w:rPr>
              <w:t>/</w:t>
            </w:r>
            <w:r w:rsidRPr="00F06DE2">
              <w:rPr>
                <w:rFonts w:ascii="Times New Roman" w:hAnsi="Times New Roman" w:cs="Times New Roman"/>
              </w:rPr>
              <w:t>min</w:t>
            </w:r>
            <w:r w:rsidRPr="00F06DE2">
              <w:rPr>
                <w:rFonts w:ascii="Times New Roman" w:hAnsi="Times New Roman" w:cs="Times New Roman"/>
                <w:lang w:val="ru-RU"/>
              </w:rPr>
              <w:t>.</w:t>
            </w:r>
          </w:p>
          <w:p w14:paraId="44AF9EC8"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е) “г” и “д” не се изискват, ако главните двигатели са разположени над наводнената водолиния в случай на наводнение в машинното отделение.</w:t>
            </w:r>
          </w:p>
          <w:p w14:paraId="50AAD38F" w14:textId="6E90D105" w:rsidR="001F7070" w:rsidRPr="00F06DE2" w:rsidRDefault="001F7070" w:rsidP="00377B61">
            <w:pPr>
              <w:spacing w:line="240" w:lineRule="atLeast"/>
              <w:jc w:val="both"/>
              <w:rPr>
                <w:rFonts w:ascii="Times New Roman" w:hAnsi="Times New Roman" w:cs="Times New Roman"/>
                <w:lang w:val="ru-RU"/>
              </w:rPr>
            </w:pPr>
          </w:p>
        </w:tc>
        <w:tc>
          <w:tcPr>
            <w:tcW w:w="1429" w:type="dxa"/>
            <w:gridSpan w:val="2"/>
            <w:shd w:val="clear" w:color="auto" w:fill="auto"/>
          </w:tcPr>
          <w:p w14:paraId="448307BD" w14:textId="77777777" w:rsidR="00377B61" w:rsidRPr="00F06DE2" w:rsidRDefault="00377B61" w:rsidP="00377B61">
            <w:pPr>
              <w:spacing w:line="240" w:lineRule="atLeast"/>
              <w:rPr>
                <w:rFonts w:ascii="Times New Roman" w:hAnsi="Times New Roman" w:cs="Times New Roman"/>
                <w:lang w:val="ru-RU"/>
              </w:rPr>
            </w:pPr>
          </w:p>
        </w:tc>
        <w:tc>
          <w:tcPr>
            <w:tcW w:w="1559" w:type="dxa"/>
          </w:tcPr>
          <w:p w14:paraId="71CCC1FD" w14:textId="77777777" w:rsidR="00377B61" w:rsidRPr="00F06DE2" w:rsidRDefault="00377B61" w:rsidP="00377B61">
            <w:pPr>
              <w:spacing w:line="240" w:lineRule="atLeast"/>
              <w:rPr>
                <w:rFonts w:ascii="Times New Roman" w:hAnsi="Times New Roman" w:cs="Times New Roman"/>
                <w:lang w:val="ru-RU"/>
              </w:rPr>
            </w:pPr>
          </w:p>
        </w:tc>
      </w:tr>
      <w:tr w:rsidR="001F7070" w:rsidRPr="00F06DE2" w14:paraId="4F1557EE" w14:textId="77777777" w:rsidTr="00A41A9A">
        <w:trPr>
          <w:cantSplit/>
          <w:jc w:val="center"/>
        </w:trPr>
        <w:tc>
          <w:tcPr>
            <w:tcW w:w="1325" w:type="dxa"/>
            <w:tcBorders>
              <w:top w:val="nil"/>
              <w:bottom w:val="nil"/>
            </w:tcBorders>
            <w:shd w:val="clear" w:color="auto" w:fill="auto"/>
          </w:tcPr>
          <w:p w14:paraId="0A0C0938" w14:textId="77777777" w:rsidR="001F7070" w:rsidRPr="00F06DE2" w:rsidRDefault="001F7070" w:rsidP="00377B61">
            <w:pPr>
              <w:spacing w:line="240" w:lineRule="atLeast"/>
              <w:jc w:val="both"/>
              <w:rPr>
                <w:rFonts w:ascii="Times New Roman" w:hAnsi="Times New Roman" w:cs="Times New Roman"/>
              </w:rPr>
            </w:pPr>
            <w:r w:rsidRPr="00F06DE2">
              <w:rPr>
                <w:rFonts w:ascii="Times New Roman" w:hAnsi="Times New Roman" w:cs="Times New Roman"/>
              </w:rPr>
              <w:lastRenderedPageBreak/>
              <w:t>19.08</w:t>
            </w:r>
          </w:p>
        </w:tc>
        <w:tc>
          <w:tcPr>
            <w:tcW w:w="1458" w:type="dxa"/>
            <w:vMerge w:val="restart"/>
            <w:shd w:val="clear" w:color="auto" w:fill="auto"/>
          </w:tcPr>
          <w:p w14:paraId="0ACA6D3B" w14:textId="68618308" w:rsidR="001F7070" w:rsidRPr="00F06DE2" w:rsidRDefault="001F7070" w:rsidP="00377B61">
            <w:pPr>
              <w:spacing w:line="240" w:lineRule="atLeast"/>
              <w:jc w:val="both"/>
              <w:rPr>
                <w:rFonts w:ascii="Times New Roman" w:hAnsi="Times New Roman" w:cs="Times New Roman"/>
              </w:rPr>
            </w:pPr>
            <w:r w:rsidRPr="00F06DE2">
              <w:rPr>
                <w:rFonts w:ascii="Times New Roman" w:hAnsi="Times New Roman" w:cs="Times New Roman"/>
              </w:rPr>
              <w:t>Точка 8 последното изречение</w:t>
            </w:r>
          </w:p>
        </w:tc>
        <w:tc>
          <w:tcPr>
            <w:tcW w:w="3296" w:type="dxa"/>
            <w:vMerge w:val="restart"/>
            <w:shd w:val="clear" w:color="auto" w:fill="auto"/>
          </w:tcPr>
          <w:p w14:paraId="12CD39A4" w14:textId="5910E93C" w:rsidR="001F7070" w:rsidRPr="00F06DE2" w:rsidRDefault="001F7070"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Независима вентилационна система</w:t>
            </w:r>
          </w:p>
        </w:tc>
        <w:tc>
          <w:tcPr>
            <w:tcW w:w="5387" w:type="dxa"/>
            <w:vMerge w:val="restart"/>
            <w:shd w:val="clear" w:color="auto" w:fill="auto"/>
          </w:tcPr>
          <w:p w14:paraId="66290DCF" w14:textId="677E31AB" w:rsidR="001F7070" w:rsidRPr="00F06DE2" w:rsidRDefault="001F7070"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vMerge w:val="restart"/>
            <w:shd w:val="clear" w:color="auto" w:fill="auto"/>
          </w:tcPr>
          <w:p w14:paraId="5003B81B" w14:textId="10DB5900" w:rsidR="001F7070" w:rsidRPr="00F06DE2" w:rsidRDefault="00685B5A" w:rsidP="002E70D7">
            <w:pPr>
              <w:spacing w:line="240" w:lineRule="atLeast"/>
              <w:ind w:right="-105"/>
              <w:jc w:val="both"/>
              <w:rPr>
                <w:rFonts w:ascii="Times New Roman" w:hAnsi="Times New Roman" w:cs="Times New Roman"/>
              </w:rPr>
            </w:pPr>
            <w:r w:rsidRPr="00F06DE2">
              <w:rPr>
                <w:rFonts w:ascii="Times New Roman" w:hAnsi="Times New Roman" w:cs="Times New Roman"/>
              </w:rPr>
              <w:t>01.01</w:t>
            </w:r>
            <w:r w:rsidR="001F7070" w:rsidRPr="00F06DE2">
              <w:rPr>
                <w:rFonts w:ascii="Times New Roman" w:hAnsi="Times New Roman" w:cs="Times New Roman"/>
              </w:rPr>
              <w:t>.2044 г.</w:t>
            </w:r>
          </w:p>
        </w:tc>
        <w:tc>
          <w:tcPr>
            <w:tcW w:w="1559" w:type="dxa"/>
            <w:vMerge w:val="restart"/>
          </w:tcPr>
          <w:p w14:paraId="39BAD1F4" w14:textId="6255E783" w:rsidR="001F7070" w:rsidRPr="00F06DE2" w:rsidRDefault="00EC3286"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01.01</w:t>
            </w:r>
            <w:r w:rsidR="001F7070" w:rsidRPr="00F06DE2">
              <w:rPr>
                <w:rFonts w:ascii="Times New Roman" w:hAnsi="Times New Roman" w:cs="Times New Roman"/>
                <w:lang w:val="ru-RU"/>
              </w:rPr>
              <w:t>.2024 г.</w:t>
            </w:r>
          </w:p>
        </w:tc>
      </w:tr>
      <w:tr w:rsidR="001F7070" w:rsidRPr="00F06DE2" w14:paraId="78E6B97F" w14:textId="77777777" w:rsidTr="00A41A9A">
        <w:trPr>
          <w:cantSplit/>
          <w:jc w:val="center"/>
        </w:trPr>
        <w:tc>
          <w:tcPr>
            <w:tcW w:w="1325" w:type="dxa"/>
            <w:tcBorders>
              <w:top w:val="nil"/>
              <w:bottom w:val="nil"/>
            </w:tcBorders>
            <w:shd w:val="clear" w:color="auto" w:fill="auto"/>
          </w:tcPr>
          <w:p w14:paraId="3EC7ED66" w14:textId="77777777" w:rsidR="001F7070" w:rsidRPr="00F06DE2" w:rsidRDefault="001F7070" w:rsidP="00377B61">
            <w:pPr>
              <w:spacing w:line="240" w:lineRule="atLeast"/>
              <w:rPr>
                <w:rFonts w:ascii="Times New Roman" w:hAnsi="Times New Roman" w:cs="Times New Roman"/>
                <w:lang w:val="ru-RU"/>
              </w:rPr>
            </w:pPr>
          </w:p>
        </w:tc>
        <w:tc>
          <w:tcPr>
            <w:tcW w:w="1458" w:type="dxa"/>
            <w:vMerge/>
            <w:shd w:val="clear" w:color="auto" w:fill="auto"/>
          </w:tcPr>
          <w:p w14:paraId="16EB451D" w14:textId="124D31E7" w:rsidR="001F7070" w:rsidRPr="00F06DE2" w:rsidRDefault="001F7070" w:rsidP="00377B61">
            <w:pPr>
              <w:spacing w:line="240" w:lineRule="atLeast"/>
              <w:jc w:val="both"/>
              <w:rPr>
                <w:rFonts w:ascii="Times New Roman" w:hAnsi="Times New Roman" w:cs="Times New Roman"/>
                <w:lang w:val="ru-RU"/>
              </w:rPr>
            </w:pPr>
          </w:p>
        </w:tc>
        <w:tc>
          <w:tcPr>
            <w:tcW w:w="3296" w:type="dxa"/>
            <w:vMerge/>
            <w:shd w:val="clear" w:color="auto" w:fill="auto"/>
          </w:tcPr>
          <w:p w14:paraId="5AC721F4" w14:textId="0E3D19BC" w:rsidR="001F7070" w:rsidRPr="00F06DE2" w:rsidRDefault="001F7070" w:rsidP="00377B61">
            <w:pPr>
              <w:tabs>
                <w:tab w:val="left" w:pos="1080"/>
              </w:tabs>
              <w:spacing w:line="240" w:lineRule="atLeast"/>
              <w:jc w:val="both"/>
              <w:rPr>
                <w:rFonts w:ascii="Times New Roman" w:hAnsi="Times New Roman" w:cs="Times New Roman"/>
                <w:lang w:val="ru-RU"/>
              </w:rPr>
            </w:pPr>
          </w:p>
        </w:tc>
        <w:tc>
          <w:tcPr>
            <w:tcW w:w="5387" w:type="dxa"/>
            <w:vMerge/>
            <w:shd w:val="clear" w:color="auto" w:fill="auto"/>
          </w:tcPr>
          <w:p w14:paraId="246E853A" w14:textId="42984AE6" w:rsidR="001F7070" w:rsidRPr="00F06DE2" w:rsidRDefault="001F7070" w:rsidP="00377B61">
            <w:pPr>
              <w:spacing w:line="240" w:lineRule="atLeast"/>
              <w:jc w:val="both"/>
              <w:rPr>
                <w:rFonts w:ascii="Times New Roman" w:hAnsi="Times New Roman" w:cs="Times New Roman"/>
                <w:lang w:val="ru-RU"/>
              </w:rPr>
            </w:pPr>
          </w:p>
        </w:tc>
        <w:tc>
          <w:tcPr>
            <w:tcW w:w="1429" w:type="dxa"/>
            <w:gridSpan w:val="2"/>
            <w:vMerge/>
            <w:shd w:val="clear" w:color="auto" w:fill="auto"/>
          </w:tcPr>
          <w:p w14:paraId="3EF9D803" w14:textId="1D7D0F5E" w:rsidR="001F7070" w:rsidRPr="00F06DE2" w:rsidRDefault="001F7070" w:rsidP="002E70D7">
            <w:pPr>
              <w:spacing w:line="240" w:lineRule="atLeast"/>
              <w:ind w:right="-105"/>
              <w:jc w:val="both"/>
              <w:rPr>
                <w:rFonts w:ascii="Times New Roman" w:hAnsi="Times New Roman" w:cs="Times New Roman"/>
                <w:lang w:val="ru-RU"/>
              </w:rPr>
            </w:pPr>
          </w:p>
        </w:tc>
        <w:tc>
          <w:tcPr>
            <w:tcW w:w="1559" w:type="dxa"/>
            <w:vMerge/>
          </w:tcPr>
          <w:p w14:paraId="11E0D20B" w14:textId="27B73588" w:rsidR="001F7070" w:rsidRPr="00F06DE2" w:rsidRDefault="001F7070" w:rsidP="00377B61">
            <w:pPr>
              <w:spacing w:line="240" w:lineRule="atLeast"/>
              <w:jc w:val="both"/>
              <w:rPr>
                <w:rFonts w:ascii="Times New Roman" w:hAnsi="Times New Roman" w:cs="Times New Roman"/>
                <w:lang w:val="ru-RU"/>
              </w:rPr>
            </w:pPr>
          </w:p>
        </w:tc>
      </w:tr>
      <w:tr w:rsidR="00377B61" w:rsidRPr="00F06DE2" w14:paraId="5E6897A0" w14:textId="77777777" w:rsidTr="00A41A9A">
        <w:trPr>
          <w:cantSplit/>
          <w:trHeight w:val="347"/>
          <w:jc w:val="center"/>
        </w:trPr>
        <w:tc>
          <w:tcPr>
            <w:tcW w:w="1325" w:type="dxa"/>
            <w:vMerge w:val="restart"/>
            <w:shd w:val="clear" w:color="auto" w:fill="auto"/>
          </w:tcPr>
          <w:p w14:paraId="70669ECC"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19.11</w:t>
            </w:r>
          </w:p>
        </w:tc>
        <w:tc>
          <w:tcPr>
            <w:tcW w:w="1458" w:type="dxa"/>
            <w:vMerge w:val="restart"/>
            <w:shd w:val="clear" w:color="auto" w:fill="auto"/>
          </w:tcPr>
          <w:p w14:paraId="2BE6EF79"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w:t>
            </w:r>
          </w:p>
        </w:tc>
        <w:tc>
          <w:tcPr>
            <w:tcW w:w="3296" w:type="dxa"/>
            <w:vMerge w:val="restart"/>
            <w:shd w:val="clear" w:color="auto" w:fill="auto"/>
          </w:tcPr>
          <w:p w14:paraId="557DB612"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Годност на материалите и компонентите за противопожарна защита</w:t>
            </w:r>
          </w:p>
        </w:tc>
        <w:tc>
          <w:tcPr>
            <w:tcW w:w="5387" w:type="dxa"/>
            <w:shd w:val="clear" w:color="auto" w:fill="auto"/>
          </w:tcPr>
          <w:p w14:paraId="52BEA47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6B80720" w14:textId="41878157" w:rsidR="00377B61" w:rsidRPr="00F06DE2" w:rsidRDefault="00685B5A" w:rsidP="002E70D7">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0CF642AD" w14:textId="4DE84143"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505D498E" w14:textId="77777777" w:rsidTr="00A41A9A">
        <w:trPr>
          <w:cantSplit/>
          <w:trHeight w:val="346"/>
          <w:jc w:val="center"/>
        </w:trPr>
        <w:tc>
          <w:tcPr>
            <w:tcW w:w="1325" w:type="dxa"/>
            <w:vMerge/>
            <w:tcBorders>
              <w:bottom w:val="nil"/>
            </w:tcBorders>
            <w:shd w:val="clear" w:color="auto" w:fill="auto"/>
          </w:tcPr>
          <w:p w14:paraId="6D8DB87A" w14:textId="77777777" w:rsidR="00377B61" w:rsidRPr="00F06DE2" w:rsidRDefault="00377B61" w:rsidP="00377B61">
            <w:pPr>
              <w:spacing w:line="240" w:lineRule="atLeast"/>
              <w:jc w:val="both"/>
              <w:rPr>
                <w:rFonts w:ascii="Times New Roman" w:hAnsi="Times New Roman" w:cs="Times New Roman"/>
              </w:rPr>
            </w:pPr>
          </w:p>
        </w:tc>
        <w:tc>
          <w:tcPr>
            <w:tcW w:w="1458" w:type="dxa"/>
            <w:vMerge/>
            <w:shd w:val="clear" w:color="auto" w:fill="auto"/>
          </w:tcPr>
          <w:p w14:paraId="70EB1AFA" w14:textId="77777777" w:rsidR="00377B61" w:rsidRPr="00F06DE2" w:rsidRDefault="00377B61" w:rsidP="00377B61">
            <w:pPr>
              <w:spacing w:line="240" w:lineRule="atLeast"/>
              <w:jc w:val="both"/>
              <w:rPr>
                <w:rFonts w:ascii="Times New Roman" w:hAnsi="Times New Roman" w:cs="Times New Roman"/>
              </w:rPr>
            </w:pPr>
          </w:p>
        </w:tc>
        <w:tc>
          <w:tcPr>
            <w:tcW w:w="3296" w:type="dxa"/>
            <w:vMerge/>
            <w:shd w:val="clear" w:color="auto" w:fill="auto"/>
          </w:tcPr>
          <w:p w14:paraId="0676D000" w14:textId="77777777" w:rsidR="00377B61" w:rsidRPr="00F06DE2" w:rsidRDefault="00377B61" w:rsidP="00377B61">
            <w:pPr>
              <w:tabs>
                <w:tab w:val="left" w:pos="1080"/>
              </w:tabs>
              <w:spacing w:line="240" w:lineRule="atLeast"/>
              <w:jc w:val="both"/>
              <w:rPr>
                <w:rFonts w:ascii="Times New Roman" w:hAnsi="Times New Roman" w:cs="Times New Roman"/>
              </w:rPr>
            </w:pPr>
          </w:p>
        </w:tc>
        <w:tc>
          <w:tcPr>
            <w:tcW w:w="5387" w:type="dxa"/>
            <w:shd w:val="clear" w:color="auto" w:fill="auto"/>
          </w:tcPr>
          <w:p w14:paraId="1716482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материали и компоненти, одобрени съгласно Международния кодекс за прилагане на процедури за пожарни изпитвания (кодекс </w:t>
            </w:r>
            <w:r w:rsidRPr="00F06DE2">
              <w:rPr>
                <w:rFonts w:ascii="Times New Roman" w:hAnsi="Times New Roman" w:cs="Times New Roman"/>
              </w:rPr>
              <w:t>FTP</w:t>
            </w:r>
            <w:r w:rsidRPr="00F06DE2">
              <w:rPr>
                <w:rFonts w:ascii="Times New Roman" w:hAnsi="Times New Roman" w:cs="Times New Roman"/>
                <w:lang w:val="ru-RU"/>
              </w:rPr>
              <w:t xml:space="preserve">), приет с Резолюция </w:t>
            </w:r>
            <w:r w:rsidRPr="00F06DE2">
              <w:rPr>
                <w:rFonts w:ascii="Times New Roman" w:hAnsi="Times New Roman" w:cs="Times New Roman"/>
              </w:rPr>
              <w:t>MSC</w:t>
            </w:r>
            <w:r w:rsidRPr="00F06DE2">
              <w:rPr>
                <w:rFonts w:ascii="Times New Roman" w:hAnsi="Times New Roman" w:cs="Times New Roman"/>
                <w:lang w:val="ru-RU"/>
              </w:rPr>
              <w:t>.61(67)</w:t>
            </w:r>
            <w:r w:rsidRPr="00F06DE2">
              <w:rPr>
                <w:rStyle w:val="FootnoteReference"/>
                <w:rFonts w:ascii="Times New Roman" w:hAnsi="Times New Roman" w:cs="Times New Roman"/>
              </w:rPr>
              <w:footnoteReference w:id="30"/>
            </w:r>
            <w:r w:rsidRPr="00F06DE2">
              <w:rPr>
                <w:rFonts w:ascii="Times New Roman" w:hAnsi="Times New Roman" w:cs="Times New Roman"/>
                <w:lang w:val="ru-RU"/>
              </w:rPr>
              <w:t xml:space="preserve"> на ИМО: НЗР</w:t>
            </w:r>
          </w:p>
        </w:tc>
        <w:tc>
          <w:tcPr>
            <w:tcW w:w="1429" w:type="dxa"/>
            <w:gridSpan w:val="2"/>
            <w:shd w:val="clear" w:color="auto" w:fill="auto"/>
          </w:tcPr>
          <w:p w14:paraId="4CD9A8F9" w14:textId="77777777" w:rsidR="00377B61" w:rsidRPr="00F06DE2" w:rsidRDefault="00377B61" w:rsidP="002E70D7">
            <w:pPr>
              <w:spacing w:line="240" w:lineRule="atLeast"/>
              <w:ind w:right="-105"/>
              <w:jc w:val="both"/>
              <w:rPr>
                <w:rFonts w:ascii="Times New Roman" w:hAnsi="Times New Roman" w:cs="Times New Roman"/>
                <w:lang w:val="ru-RU"/>
              </w:rPr>
            </w:pPr>
          </w:p>
        </w:tc>
        <w:tc>
          <w:tcPr>
            <w:tcW w:w="1559" w:type="dxa"/>
          </w:tcPr>
          <w:p w14:paraId="55343EE2" w14:textId="723CFF38"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7.10.2018 г.</w:t>
            </w:r>
          </w:p>
        </w:tc>
      </w:tr>
      <w:tr w:rsidR="00377B61" w:rsidRPr="00F06DE2" w14:paraId="3EFDA476" w14:textId="77777777" w:rsidTr="00A41A9A">
        <w:trPr>
          <w:cantSplit/>
          <w:trHeight w:val="488"/>
          <w:jc w:val="center"/>
        </w:trPr>
        <w:tc>
          <w:tcPr>
            <w:tcW w:w="1325" w:type="dxa"/>
            <w:vMerge w:val="restart"/>
            <w:tcBorders>
              <w:top w:val="nil"/>
            </w:tcBorders>
            <w:shd w:val="clear" w:color="auto" w:fill="auto"/>
          </w:tcPr>
          <w:p w14:paraId="25DBA42E" w14:textId="77777777" w:rsidR="00377B61" w:rsidRPr="00F06DE2" w:rsidRDefault="00377B61" w:rsidP="00377B61">
            <w:pPr>
              <w:spacing w:line="240" w:lineRule="atLeast"/>
              <w:jc w:val="both"/>
              <w:rPr>
                <w:rFonts w:ascii="Times New Roman" w:hAnsi="Times New Roman" w:cs="Times New Roman"/>
              </w:rPr>
            </w:pPr>
          </w:p>
        </w:tc>
        <w:tc>
          <w:tcPr>
            <w:tcW w:w="1458" w:type="dxa"/>
            <w:vMerge w:val="restart"/>
            <w:shd w:val="clear" w:color="auto" w:fill="auto"/>
          </w:tcPr>
          <w:p w14:paraId="76363925"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vMerge w:val="restart"/>
            <w:shd w:val="clear" w:color="auto" w:fill="auto"/>
          </w:tcPr>
          <w:p w14:paraId="193B48BD"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Проектиране на преградни стени</w:t>
            </w:r>
          </w:p>
        </w:tc>
        <w:tc>
          <w:tcPr>
            <w:tcW w:w="5387" w:type="dxa"/>
            <w:shd w:val="clear" w:color="auto" w:fill="auto"/>
          </w:tcPr>
          <w:p w14:paraId="12623DB9"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DE6AB7C" w14:textId="2AA807D3" w:rsidR="00377B61" w:rsidRPr="00F06DE2" w:rsidRDefault="00685B5A" w:rsidP="002E70D7">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754DA69C" w14:textId="07B97F6B"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5C33C178" w14:textId="77777777" w:rsidTr="00A41A9A">
        <w:trPr>
          <w:cantSplit/>
          <w:trHeight w:val="487"/>
          <w:jc w:val="center"/>
        </w:trPr>
        <w:tc>
          <w:tcPr>
            <w:tcW w:w="1325" w:type="dxa"/>
            <w:vMerge/>
            <w:tcBorders>
              <w:bottom w:val="nil"/>
            </w:tcBorders>
            <w:shd w:val="clear" w:color="auto" w:fill="auto"/>
          </w:tcPr>
          <w:p w14:paraId="239B0B06" w14:textId="77777777" w:rsidR="00377B61" w:rsidRPr="00F06DE2" w:rsidRDefault="00377B61" w:rsidP="00377B61">
            <w:pPr>
              <w:spacing w:line="240" w:lineRule="atLeast"/>
              <w:jc w:val="both"/>
              <w:rPr>
                <w:rFonts w:ascii="Times New Roman" w:hAnsi="Times New Roman" w:cs="Times New Roman"/>
              </w:rPr>
            </w:pPr>
          </w:p>
        </w:tc>
        <w:tc>
          <w:tcPr>
            <w:tcW w:w="1458" w:type="dxa"/>
            <w:vMerge/>
            <w:shd w:val="clear" w:color="auto" w:fill="auto"/>
          </w:tcPr>
          <w:p w14:paraId="0E02BBF3" w14:textId="77777777" w:rsidR="00377B61" w:rsidRPr="00F06DE2" w:rsidRDefault="00377B61" w:rsidP="00377B61">
            <w:pPr>
              <w:spacing w:line="240" w:lineRule="atLeast"/>
              <w:jc w:val="both"/>
              <w:rPr>
                <w:rFonts w:ascii="Times New Roman" w:hAnsi="Times New Roman" w:cs="Times New Roman"/>
              </w:rPr>
            </w:pPr>
          </w:p>
        </w:tc>
        <w:tc>
          <w:tcPr>
            <w:tcW w:w="3296" w:type="dxa"/>
            <w:vMerge/>
            <w:shd w:val="clear" w:color="auto" w:fill="auto"/>
          </w:tcPr>
          <w:p w14:paraId="19F119CB" w14:textId="77777777" w:rsidR="00377B61" w:rsidRPr="00F06DE2" w:rsidRDefault="00377B61" w:rsidP="00377B61">
            <w:pPr>
              <w:tabs>
                <w:tab w:val="left" w:pos="1080"/>
              </w:tabs>
              <w:spacing w:line="240" w:lineRule="atLeast"/>
              <w:jc w:val="both"/>
              <w:rPr>
                <w:rFonts w:ascii="Times New Roman" w:hAnsi="Times New Roman" w:cs="Times New Roman"/>
              </w:rPr>
            </w:pPr>
          </w:p>
        </w:tc>
        <w:tc>
          <w:tcPr>
            <w:tcW w:w="5387" w:type="dxa"/>
            <w:shd w:val="clear" w:color="auto" w:fill="auto"/>
          </w:tcPr>
          <w:p w14:paraId="51774348"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електрически сервизни помещения на плавателни съдове, положени след 1.1.2006 г., НЗР, най-късно при подновяване на Корабното удостоверение за вътрешно корабоплаване след</w:t>
            </w:r>
          </w:p>
        </w:tc>
        <w:tc>
          <w:tcPr>
            <w:tcW w:w="1429" w:type="dxa"/>
            <w:gridSpan w:val="2"/>
            <w:shd w:val="clear" w:color="auto" w:fill="auto"/>
          </w:tcPr>
          <w:p w14:paraId="675D0662" w14:textId="116B2A15" w:rsidR="00377B61" w:rsidRPr="00F06DE2" w:rsidRDefault="00685B5A" w:rsidP="002E70D7">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.2044 г.</w:t>
            </w:r>
          </w:p>
        </w:tc>
        <w:tc>
          <w:tcPr>
            <w:tcW w:w="1559" w:type="dxa"/>
          </w:tcPr>
          <w:p w14:paraId="76CAC6A6" w14:textId="598023A5"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.2024 г.</w:t>
            </w:r>
          </w:p>
        </w:tc>
      </w:tr>
      <w:tr w:rsidR="00377B61" w:rsidRPr="00F06DE2" w14:paraId="3F070AB0" w14:textId="77777777" w:rsidTr="00A41A9A">
        <w:trPr>
          <w:cantSplit/>
          <w:jc w:val="center"/>
        </w:trPr>
        <w:tc>
          <w:tcPr>
            <w:tcW w:w="1325" w:type="dxa"/>
            <w:tcBorders>
              <w:top w:val="nil"/>
              <w:bottom w:val="nil"/>
            </w:tcBorders>
            <w:shd w:val="clear" w:color="auto" w:fill="auto"/>
          </w:tcPr>
          <w:p w14:paraId="69702873"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0ECCABB5"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5CE3EFC1"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Таваните на салоните и покритията на стените трябва да са произведени от негорим материал</w:t>
            </w:r>
          </w:p>
        </w:tc>
        <w:tc>
          <w:tcPr>
            <w:tcW w:w="5387" w:type="dxa"/>
            <w:shd w:val="clear" w:color="auto" w:fill="auto"/>
          </w:tcPr>
          <w:p w14:paraId="2F71B760"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894A5CF" w14:textId="4B285943" w:rsidR="00377B61" w:rsidRPr="00F06DE2" w:rsidRDefault="00685B5A" w:rsidP="002E70D7">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39A9B810" w14:textId="442052DE"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12061BB0" w14:textId="77777777" w:rsidTr="00A41A9A">
        <w:trPr>
          <w:cantSplit/>
          <w:jc w:val="center"/>
        </w:trPr>
        <w:tc>
          <w:tcPr>
            <w:tcW w:w="1325" w:type="dxa"/>
            <w:tcBorders>
              <w:top w:val="nil"/>
              <w:bottom w:val="nil"/>
            </w:tcBorders>
            <w:shd w:val="clear" w:color="auto" w:fill="auto"/>
          </w:tcPr>
          <w:p w14:paraId="0C31E9B7"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71DFDAE8"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33DDF6C9"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Мебелите и оборудването в сборните пунктове трябва да са произведени от негорим материал</w:t>
            </w:r>
          </w:p>
        </w:tc>
        <w:tc>
          <w:tcPr>
            <w:tcW w:w="5387" w:type="dxa"/>
            <w:shd w:val="clear" w:color="auto" w:fill="auto"/>
          </w:tcPr>
          <w:p w14:paraId="65514446"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9B527AA" w14:textId="1BDF9D25" w:rsidR="00377B61" w:rsidRPr="00F06DE2" w:rsidRDefault="00685B5A" w:rsidP="002E70D7">
            <w:pPr>
              <w:spacing w:line="240" w:lineRule="atLeast"/>
              <w:ind w:right="-105"/>
              <w:jc w:val="both"/>
              <w:rPr>
                <w:rFonts w:ascii="Times New Roman" w:hAnsi="Times New Roman" w:cs="Times New Roman"/>
              </w:rPr>
            </w:pPr>
            <w:r w:rsidRPr="00F06DE2">
              <w:rPr>
                <w:rFonts w:ascii="Times New Roman" w:hAnsi="Times New Roman" w:cs="Times New Roman"/>
              </w:rPr>
              <w:t>01.01.</w:t>
            </w:r>
            <w:r w:rsidR="00377B61" w:rsidRPr="00F06DE2">
              <w:rPr>
                <w:rFonts w:ascii="Times New Roman" w:hAnsi="Times New Roman" w:cs="Times New Roman"/>
              </w:rPr>
              <w:t>2045 г.</w:t>
            </w:r>
          </w:p>
        </w:tc>
        <w:tc>
          <w:tcPr>
            <w:tcW w:w="1559" w:type="dxa"/>
          </w:tcPr>
          <w:p w14:paraId="35BF96BA" w14:textId="17256C03"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48643278" w14:textId="77777777" w:rsidTr="00A41A9A">
        <w:trPr>
          <w:cantSplit/>
          <w:jc w:val="center"/>
        </w:trPr>
        <w:tc>
          <w:tcPr>
            <w:tcW w:w="1325" w:type="dxa"/>
            <w:tcBorders>
              <w:top w:val="nil"/>
              <w:bottom w:val="nil"/>
            </w:tcBorders>
            <w:shd w:val="clear" w:color="auto" w:fill="auto"/>
          </w:tcPr>
          <w:p w14:paraId="0F60F8AC"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163087C6"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5ED56DA0"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Изпитани съгласно Кодекса</w:t>
            </w:r>
          </w:p>
        </w:tc>
        <w:tc>
          <w:tcPr>
            <w:tcW w:w="5387" w:type="dxa"/>
            <w:shd w:val="clear" w:color="auto" w:fill="auto"/>
          </w:tcPr>
          <w:p w14:paraId="3CDB83E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C5FA9D4" w14:textId="2639A811" w:rsidR="00377B61" w:rsidRPr="00F06DE2" w:rsidRDefault="00EC3286" w:rsidP="002E70D7">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0D03085B" w14:textId="2AC9AAD4"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16A6A8CF" w14:textId="77777777" w:rsidTr="00A41A9A">
        <w:trPr>
          <w:cantSplit/>
          <w:jc w:val="center"/>
        </w:trPr>
        <w:tc>
          <w:tcPr>
            <w:tcW w:w="1325" w:type="dxa"/>
            <w:tcBorders>
              <w:top w:val="nil"/>
              <w:bottom w:val="nil"/>
            </w:tcBorders>
            <w:shd w:val="clear" w:color="auto" w:fill="auto"/>
          </w:tcPr>
          <w:p w14:paraId="46F11443"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29A3330C"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74EA0BA1"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Изолационни материали в салоните</w:t>
            </w:r>
          </w:p>
        </w:tc>
        <w:tc>
          <w:tcPr>
            <w:tcW w:w="5387" w:type="dxa"/>
            <w:shd w:val="clear" w:color="auto" w:fill="auto"/>
          </w:tcPr>
          <w:p w14:paraId="51CD0923"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1E4620D" w14:textId="0A5D4BF3" w:rsidR="00377B61" w:rsidRPr="00F06DE2" w:rsidRDefault="002E70D7" w:rsidP="002E70D7">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71925A7F" w14:textId="41999756"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225EFFB1" w14:textId="77777777" w:rsidTr="00A41A9A">
        <w:trPr>
          <w:cantSplit/>
          <w:jc w:val="center"/>
        </w:trPr>
        <w:tc>
          <w:tcPr>
            <w:tcW w:w="1325" w:type="dxa"/>
            <w:tcBorders>
              <w:top w:val="nil"/>
              <w:bottom w:val="nil"/>
            </w:tcBorders>
            <w:shd w:val="clear" w:color="auto" w:fill="auto"/>
          </w:tcPr>
          <w:p w14:paraId="12A6CB9E"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23DE2BA4"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9, букви “</w:t>
            </w:r>
            <w:r w:rsidRPr="00F06DE2">
              <w:rPr>
                <w:rFonts w:ascii="Times New Roman" w:hAnsi="Times New Roman" w:cs="Times New Roman"/>
              </w:rPr>
              <w:t>a</w:t>
            </w:r>
            <w:r w:rsidRPr="00F06DE2">
              <w:rPr>
                <w:rFonts w:ascii="Times New Roman" w:hAnsi="Times New Roman" w:cs="Times New Roman"/>
                <w:lang w:val="ru-RU"/>
              </w:rPr>
              <w:t>”, “б”, “в”, 2-ро</w:t>
            </w:r>
            <w:r w:rsidRPr="00F06DE2">
              <w:rPr>
                <w:rFonts w:ascii="Times New Roman" w:hAnsi="Times New Roman" w:cs="Times New Roman"/>
              </w:rPr>
              <w:t> </w:t>
            </w:r>
            <w:r w:rsidRPr="00F06DE2">
              <w:rPr>
                <w:rFonts w:ascii="Times New Roman" w:hAnsi="Times New Roman" w:cs="Times New Roman"/>
                <w:lang w:val="ru-RU"/>
              </w:rPr>
              <w:t>изречение и буква “г”</w:t>
            </w:r>
          </w:p>
        </w:tc>
        <w:tc>
          <w:tcPr>
            <w:tcW w:w="3296" w:type="dxa"/>
            <w:shd w:val="clear" w:color="auto" w:fill="auto"/>
          </w:tcPr>
          <w:p w14:paraId="1D3CF1BF"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вратите в преградните стени</w:t>
            </w:r>
          </w:p>
        </w:tc>
        <w:tc>
          <w:tcPr>
            <w:tcW w:w="5387" w:type="dxa"/>
            <w:shd w:val="clear" w:color="auto" w:fill="auto"/>
          </w:tcPr>
          <w:p w14:paraId="4612E49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DD80ACF" w14:textId="643A3F3F" w:rsidR="00377B61" w:rsidRPr="00F06DE2" w:rsidRDefault="002E70D7" w:rsidP="002E70D7">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44238981" w14:textId="02E3DB44"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10BACAE0" w14:textId="77777777" w:rsidTr="00A41A9A">
        <w:trPr>
          <w:cantSplit/>
          <w:jc w:val="center"/>
        </w:trPr>
        <w:tc>
          <w:tcPr>
            <w:tcW w:w="1325" w:type="dxa"/>
            <w:tcBorders>
              <w:top w:val="nil"/>
              <w:bottom w:val="nil"/>
            </w:tcBorders>
            <w:shd w:val="clear" w:color="auto" w:fill="auto"/>
          </w:tcPr>
          <w:p w14:paraId="3183FD5F"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2F9BF7B6"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11</w:t>
            </w:r>
          </w:p>
        </w:tc>
        <w:tc>
          <w:tcPr>
            <w:tcW w:w="3296" w:type="dxa"/>
            <w:shd w:val="clear" w:color="auto" w:fill="auto"/>
          </w:tcPr>
          <w:p w14:paraId="0D7ABE90"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Преградни стени</w:t>
            </w:r>
          </w:p>
        </w:tc>
        <w:tc>
          <w:tcPr>
            <w:tcW w:w="5387" w:type="dxa"/>
            <w:shd w:val="clear" w:color="auto" w:fill="auto"/>
          </w:tcPr>
          <w:p w14:paraId="38ED4BB1"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027D93AE" w14:textId="5C41702C" w:rsidR="00377B61" w:rsidRPr="00F06DE2" w:rsidRDefault="002E70D7" w:rsidP="002E70D7">
            <w:pPr>
              <w:spacing w:line="240" w:lineRule="atLeast"/>
              <w:ind w:right="-105"/>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26972D8A" w14:textId="6CBFA01A" w:rsidR="00377B61" w:rsidRPr="00F06DE2" w:rsidRDefault="002E70D7" w:rsidP="00377B61">
            <w:pPr>
              <w:spacing w:line="240" w:lineRule="atLeast"/>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5D03A3EF" w14:textId="77777777" w:rsidTr="00A41A9A">
        <w:trPr>
          <w:cantSplit/>
          <w:jc w:val="center"/>
        </w:trPr>
        <w:tc>
          <w:tcPr>
            <w:tcW w:w="1325" w:type="dxa"/>
            <w:tcBorders>
              <w:top w:val="nil"/>
              <w:bottom w:val="nil"/>
            </w:tcBorders>
            <w:shd w:val="clear" w:color="auto" w:fill="auto"/>
          </w:tcPr>
          <w:p w14:paraId="69059F48"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17BC77EF"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3451B915"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Стълбища от стомана или друг еквивалентен негорим материал</w:t>
            </w:r>
          </w:p>
        </w:tc>
        <w:tc>
          <w:tcPr>
            <w:tcW w:w="5387" w:type="dxa"/>
            <w:shd w:val="clear" w:color="auto" w:fill="auto"/>
          </w:tcPr>
          <w:p w14:paraId="3E362961"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EDE4468" w14:textId="5B3E08ED" w:rsidR="00377B61" w:rsidRPr="00F06DE2" w:rsidRDefault="002E70D7" w:rsidP="002E70D7">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6FF31F46" w14:textId="0CAE6F6C"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277EF1E3" w14:textId="77777777" w:rsidTr="00A41A9A">
        <w:trPr>
          <w:cantSplit/>
          <w:jc w:val="center"/>
        </w:trPr>
        <w:tc>
          <w:tcPr>
            <w:tcW w:w="1325" w:type="dxa"/>
            <w:tcBorders>
              <w:top w:val="nil"/>
              <w:bottom w:val="nil"/>
            </w:tcBorders>
            <w:shd w:val="clear" w:color="auto" w:fill="auto"/>
          </w:tcPr>
          <w:p w14:paraId="6FB4EA0D"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0A83F9F3"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14</w:t>
            </w:r>
          </w:p>
        </w:tc>
        <w:tc>
          <w:tcPr>
            <w:tcW w:w="3296" w:type="dxa"/>
            <w:shd w:val="clear" w:color="auto" w:fill="auto"/>
          </w:tcPr>
          <w:p w14:paraId="04189142"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Вътрешните стълбища, обградени на всички нива от стени в съответствие с точка 2</w:t>
            </w:r>
          </w:p>
        </w:tc>
        <w:tc>
          <w:tcPr>
            <w:tcW w:w="5387" w:type="dxa"/>
            <w:shd w:val="clear" w:color="auto" w:fill="auto"/>
          </w:tcPr>
          <w:p w14:paraId="3D894A5F"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6F6FD98" w14:textId="69617DB2" w:rsidR="00377B61" w:rsidRPr="00F06DE2" w:rsidRDefault="002E70D7" w:rsidP="002E70D7">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5C6B9D50" w14:textId="0C382129"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0FA2F1E7" w14:textId="77777777" w:rsidTr="00A41A9A">
        <w:trPr>
          <w:cantSplit/>
          <w:jc w:val="center"/>
        </w:trPr>
        <w:tc>
          <w:tcPr>
            <w:tcW w:w="1325" w:type="dxa"/>
            <w:tcBorders>
              <w:top w:val="nil"/>
              <w:bottom w:val="nil"/>
            </w:tcBorders>
            <w:shd w:val="clear" w:color="auto" w:fill="auto"/>
          </w:tcPr>
          <w:p w14:paraId="4C12538D"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761C2A00"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15</w:t>
            </w:r>
          </w:p>
        </w:tc>
        <w:tc>
          <w:tcPr>
            <w:tcW w:w="3296" w:type="dxa"/>
            <w:shd w:val="clear" w:color="auto" w:fill="auto"/>
          </w:tcPr>
          <w:p w14:paraId="318443C7"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Вентилационни системи и системи за подаване на въздух</w:t>
            </w:r>
          </w:p>
        </w:tc>
        <w:tc>
          <w:tcPr>
            <w:tcW w:w="5387" w:type="dxa"/>
            <w:shd w:val="clear" w:color="auto" w:fill="auto"/>
          </w:tcPr>
          <w:p w14:paraId="3A28F3D9"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501F9B68" w14:textId="70872112" w:rsidR="00377B61" w:rsidRPr="00F06DE2" w:rsidRDefault="002E70D7" w:rsidP="002E70D7">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6799BADF" w14:textId="6B5D7081"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1FF87B24" w14:textId="77777777" w:rsidTr="00A41A9A">
        <w:trPr>
          <w:cantSplit/>
          <w:trHeight w:val="518"/>
          <w:jc w:val="center"/>
        </w:trPr>
        <w:tc>
          <w:tcPr>
            <w:tcW w:w="1325" w:type="dxa"/>
            <w:vMerge w:val="restart"/>
            <w:tcBorders>
              <w:top w:val="nil"/>
            </w:tcBorders>
            <w:shd w:val="clear" w:color="auto" w:fill="auto"/>
          </w:tcPr>
          <w:p w14:paraId="7926EC2D" w14:textId="77777777" w:rsidR="00377B61" w:rsidRPr="00F06DE2" w:rsidRDefault="00377B61" w:rsidP="00377B61">
            <w:pPr>
              <w:spacing w:line="240" w:lineRule="atLeast"/>
              <w:rPr>
                <w:rFonts w:ascii="Times New Roman" w:hAnsi="Times New Roman" w:cs="Times New Roman"/>
              </w:rPr>
            </w:pPr>
          </w:p>
        </w:tc>
        <w:tc>
          <w:tcPr>
            <w:tcW w:w="1458" w:type="dxa"/>
            <w:vMerge w:val="restart"/>
            <w:shd w:val="clear" w:color="auto" w:fill="auto"/>
          </w:tcPr>
          <w:p w14:paraId="653F8291"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16</w:t>
            </w:r>
          </w:p>
        </w:tc>
        <w:tc>
          <w:tcPr>
            <w:tcW w:w="3296" w:type="dxa"/>
            <w:shd w:val="clear" w:color="auto" w:fill="auto"/>
          </w:tcPr>
          <w:p w14:paraId="5080D735"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Вентилационни системи в камбузите и печки с аспирационни чадъри</w:t>
            </w:r>
          </w:p>
        </w:tc>
        <w:tc>
          <w:tcPr>
            <w:tcW w:w="5387" w:type="dxa"/>
            <w:shd w:val="clear" w:color="auto" w:fill="auto"/>
          </w:tcPr>
          <w:p w14:paraId="79CCE09F"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43D221D5" w14:textId="0E2FFF15" w:rsidR="00377B61" w:rsidRPr="00F06DE2" w:rsidRDefault="002E70D7" w:rsidP="002E70D7">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6F68BBC6" w14:textId="470158D3"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045B473D" w14:textId="77777777" w:rsidTr="00A41A9A">
        <w:trPr>
          <w:cantSplit/>
          <w:trHeight w:val="517"/>
          <w:jc w:val="center"/>
        </w:trPr>
        <w:tc>
          <w:tcPr>
            <w:tcW w:w="1325" w:type="dxa"/>
            <w:vMerge/>
            <w:tcBorders>
              <w:bottom w:val="nil"/>
            </w:tcBorders>
            <w:shd w:val="clear" w:color="auto" w:fill="auto"/>
          </w:tcPr>
          <w:p w14:paraId="1A98D040" w14:textId="77777777" w:rsidR="00377B61" w:rsidRPr="00F06DE2" w:rsidRDefault="00377B61" w:rsidP="00377B61">
            <w:pPr>
              <w:spacing w:line="240" w:lineRule="atLeast"/>
              <w:rPr>
                <w:rFonts w:ascii="Times New Roman" w:hAnsi="Times New Roman" w:cs="Times New Roman"/>
              </w:rPr>
            </w:pPr>
          </w:p>
        </w:tc>
        <w:tc>
          <w:tcPr>
            <w:tcW w:w="1458" w:type="dxa"/>
            <w:vMerge/>
            <w:shd w:val="clear" w:color="auto" w:fill="auto"/>
          </w:tcPr>
          <w:p w14:paraId="7379D541" w14:textId="77777777" w:rsidR="00377B61" w:rsidRPr="00F06DE2" w:rsidRDefault="00377B61" w:rsidP="00377B61">
            <w:pPr>
              <w:spacing w:line="240" w:lineRule="atLeast"/>
              <w:jc w:val="both"/>
              <w:rPr>
                <w:rFonts w:ascii="Times New Roman" w:hAnsi="Times New Roman" w:cs="Times New Roman"/>
              </w:rPr>
            </w:pPr>
          </w:p>
        </w:tc>
        <w:tc>
          <w:tcPr>
            <w:tcW w:w="3296" w:type="dxa"/>
            <w:shd w:val="clear" w:color="auto" w:fill="auto"/>
          </w:tcPr>
          <w:p w14:paraId="23F70CAF"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Подобни уреди за готвене</w:t>
            </w:r>
          </w:p>
        </w:tc>
        <w:tc>
          <w:tcPr>
            <w:tcW w:w="5387" w:type="dxa"/>
            <w:shd w:val="clear" w:color="auto" w:fill="auto"/>
          </w:tcPr>
          <w:p w14:paraId="57AE68F8" w14:textId="277A579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заложени след </w:t>
            </w:r>
            <w:r w:rsidR="002E70D7" w:rsidRPr="00F06DE2">
              <w:rPr>
                <w:rFonts w:ascii="Times New Roman" w:hAnsi="Times New Roman" w:cs="Times New Roman"/>
                <w:lang w:val="ru-RU"/>
              </w:rPr>
              <w:t>0</w:t>
            </w:r>
            <w:r w:rsidRPr="00F06DE2">
              <w:rPr>
                <w:rFonts w:ascii="Times New Roman" w:hAnsi="Times New Roman" w:cs="Times New Roman"/>
                <w:lang w:val="ru-RU"/>
              </w:rPr>
              <w:t>1.</w:t>
            </w:r>
            <w:r w:rsidR="002E70D7" w:rsidRPr="00F06DE2">
              <w:rPr>
                <w:rFonts w:ascii="Times New Roman" w:hAnsi="Times New Roman" w:cs="Times New Roman"/>
                <w:lang w:val="ru-RU"/>
              </w:rPr>
              <w:t>0</w:t>
            </w:r>
            <w:r w:rsidRPr="00F06DE2">
              <w:rPr>
                <w:rFonts w:ascii="Times New Roman" w:hAnsi="Times New Roman" w:cs="Times New Roman"/>
                <w:lang w:val="ru-RU"/>
              </w:rPr>
              <w:t>1.2006 г., НЗР, най-късно при подновяване на Корабното удостоверение за вътрешно корабоплаване</w:t>
            </w:r>
          </w:p>
        </w:tc>
        <w:tc>
          <w:tcPr>
            <w:tcW w:w="1429" w:type="dxa"/>
            <w:gridSpan w:val="2"/>
            <w:shd w:val="clear" w:color="auto" w:fill="auto"/>
          </w:tcPr>
          <w:p w14:paraId="58FDD24D" w14:textId="77777777" w:rsidR="00377B61" w:rsidRPr="00F06DE2" w:rsidRDefault="00377B61" w:rsidP="002E70D7">
            <w:pPr>
              <w:spacing w:line="240" w:lineRule="atLeast"/>
              <w:ind w:right="-105"/>
              <w:jc w:val="both"/>
              <w:rPr>
                <w:rFonts w:ascii="Times New Roman" w:hAnsi="Times New Roman" w:cs="Times New Roman"/>
                <w:lang w:val="ru-RU"/>
              </w:rPr>
            </w:pPr>
          </w:p>
        </w:tc>
        <w:tc>
          <w:tcPr>
            <w:tcW w:w="1559" w:type="dxa"/>
          </w:tcPr>
          <w:p w14:paraId="1C79B681" w14:textId="47C5F2EC" w:rsidR="00377B61" w:rsidRPr="00F06DE2" w:rsidRDefault="002E70D7"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01.01</w:t>
            </w:r>
            <w:r w:rsidR="00377B61" w:rsidRPr="00F06DE2">
              <w:rPr>
                <w:rFonts w:ascii="Times New Roman" w:hAnsi="Times New Roman" w:cs="Times New Roman"/>
                <w:lang w:val="ru-RU"/>
              </w:rPr>
              <w:t>.2024 г.</w:t>
            </w:r>
          </w:p>
        </w:tc>
      </w:tr>
      <w:tr w:rsidR="00377B61" w:rsidRPr="00F06DE2" w14:paraId="1A336EE2" w14:textId="77777777" w:rsidTr="00A41A9A">
        <w:trPr>
          <w:cantSplit/>
          <w:jc w:val="center"/>
        </w:trPr>
        <w:tc>
          <w:tcPr>
            <w:tcW w:w="1325" w:type="dxa"/>
            <w:tcBorders>
              <w:top w:val="nil"/>
              <w:bottom w:val="single" w:sz="4" w:space="0" w:color="auto"/>
            </w:tcBorders>
            <w:shd w:val="clear" w:color="auto" w:fill="auto"/>
          </w:tcPr>
          <w:p w14:paraId="3CC89081" w14:textId="77777777" w:rsidR="00377B61" w:rsidRPr="00F06DE2" w:rsidRDefault="00377B61" w:rsidP="00377B61">
            <w:pPr>
              <w:spacing w:line="240" w:lineRule="atLeast"/>
              <w:rPr>
                <w:rFonts w:ascii="Times New Roman" w:hAnsi="Times New Roman" w:cs="Times New Roman"/>
                <w:lang w:val="ru-RU"/>
              </w:rPr>
            </w:pPr>
          </w:p>
        </w:tc>
        <w:tc>
          <w:tcPr>
            <w:tcW w:w="1458" w:type="dxa"/>
            <w:shd w:val="clear" w:color="auto" w:fill="auto"/>
          </w:tcPr>
          <w:p w14:paraId="755C782E"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17</w:t>
            </w:r>
          </w:p>
        </w:tc>
        <w:tc>
          <w:tcPr>
            <w:tcW w:w="3296" w:type="dxa"/>
            <w:shd w:val="clear" w:color="auto" w:fill="auto"/>
          </w:tcPr>
          <w:p w14:paraId="777B7C50"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Центрове за управление, стълбищни шахти, сборни пунктове и системи за изтегляне на дим</w:t>
            </w:r>
          </w:p>
        </w:tc>
        <w:tc>
          <w:tcPr>
            <w:tcW w:w="5387" w:type="dxa"/>
            <w:shd w:val="clear" w:color="auto" w:fill="auto"/>
          </w:tcPr>
          <w:p w14:paraId="575CEFCA"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2367F36C" w14:textId="4431DBCF" w:rsidR="00377B61" w:rsidRPr="00F06DE2" w:rsidRDefault="002E70D7" w:rsidP="002E70D7">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65F2444F" w14:textId="7F9F46F1" w:rsidR="00377B61" w:rsidRPr="00F06DE2" w:rsidRDefault="002E70D7"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47A6F2AC" w14:textId="77777777" w:rsidTr="00A41A9A">
        <w:trPr>
          <w:cantSplit/>
          <w:jc w:val="center"/>
        </w:trPr>
        <w:tc>
          <w:tcPr>
            <w:tcW w:w="1325" w:type="dxa"/>
            <w:tcBorders>
              <w:top w:val="nil"/>
            </w:tcBorders>
            <w:shd w:val="clear" w:color="auto" w:fill="auto"/>
          </w:tcPr>
          <w:p w14:paraId="16AC8185"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19.13</w:t>
            </w:r>
          </w:p>
        </w:tc>
        <w:tc>
          <w:tcPr>
            <w:tcW w:w="1458" w:type="dxa"/>
            <w:shd w:val="clear" w:color="auto" w:fill="auto"/>
          </w:tcPr>
          <w:p w14:paraId="72F18EDD" w14:textId="77777777" w:rsidR="00377B61" w:rsidRPr="00F06DE2" w:rsidRDefault="00377B61" w:rsidP="00377B61">
            <w:pPr>
              <w:spacing w:line="240" w:lineRule="atLeast"/>
              <w:jc w:val="both"/>
              <w:rPr>
                <w:rFonts w:ascii="Times New Roman" w:hAnsi="Times New Roman" w:cs="Times New Roman"/>
              </w:rPr>
            </w:pPr>
          </w:p>
        </w:tc>
        <w:tc>
          <w:tcPr>
            <w:tcW w:w="3296" w:type="dxa"/>
            <w:shd w:val="clear" w:color="auto" w:fill="auto"/>
          </w:tcPr>
          <w:p w14:paraId="380297AE"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Организация на безопасността</w:t>
            </w:r>
          </w:p>
        </w:tc>
        <w:tc>
          <w:tcPr>
            <w:tcW w:w="5387" w:type="dxa"/>
            <w:shd w:val="clear" w:color="auto" w:fill="auto"/>
          </w:tcPr>
          <w:p w14:paraId="5681B2EB"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429" w:type="dxa"/>
            <w:gridSpan w:val="2"/>
            <w:shd w:val="clear" w:color="auto" w:fill="auto"/>
          </w:tcPr>
          <w:p w14:paraId="48B9D0DD" w14:textId="77777777" w:rsidR="00377B61" w:rsidRPr="00F06DE2" w:rsidRDefault="00377B61" w:rsidP="00377B61">
            <w:pPr>
              <w:spacing w:line="240" w:lineRule="atLeast"/>
              <w:jc w:val="both"/>
              <w:rPr>
                <w:rFonts w:ascii="Times New Roman" w:hAnsi="Times New Roman" w:cs="Times New Roman"/>
                <w:lang w:val="ru-RU"/>
              </w:rPr>
            </w:pPr>
          </w:p>
        </w:tc>
        <w:tc>
          <w:tcPr>
            <w:tcW w:w="1559" w:type="dxa"/>
          </w:tcPr>
          <w:p w14:paraId="1B8E92EB" w14:textId="5C267683" w:rsidR="00377B61" w:rsidRPr="00F06DE2" w:rsidRDefault="00B060A9"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.2024 г.</w:t>
            </w:r>
          </w:p>
        </w:tc>
      </w:tr>
      <w:tr w:rsidR="00377B61" w:rsidRPr="00F06DE2" w14:paraId="6CED834E" w14:textId="77777777" w:rsidTr="00A41A9A">
        <w:trPr>
          <w:cantSplit/>
          <w:jc w:val="center"/>
        </w:trPr>
        <w:tc>
          <w:tcPr>
            <w:tcW w:w="1325" w:type="dxa"/>
            <w:tcBorders>
              <w:bottom w:val="nil"/>
            </w:tcBorders>
            <w:shd w:val="clear" w:color="auto" w:fill="auto"/>
          </w:tcPr>
          <w:p w14:paraId="6AB89E41"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lastRenderedPageBreak/>
              <w:t>19.14</w:t>
            </w:r>
          </w:p>
        </w:tc>
        <w:tc>
          <w:tcPr>
            <w:tcW w:w="1458" w:type="dxa"/>
            <w:shd w:val="clear" w:color="auto" w:fill="auto"/>
          </w:tcPr>
          <w:p w14:paraId="479C016C"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46EF75F5"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за събиране на отпадъчни води, резервоари или бордови пречиствателни станции за отпадъчни води</w:t>
            </w:r>
          </w:p>
        </w:tc>
        <w:tc>
          <w:tcPr>
            <w:tcW w:w="5387" w:type="dxa"/>
            <w:shd w:val="clear" w:color="auto" w:fill="auto"/>
          </w:tcPr>
          <w:p w14:paraId="6B8D1D28"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плавателни съдове с каюти с не повече от 50 места за спане и за плавателни съдове за дневно пътуване: НЗР, най-късно при подновяване на Корабното удостоверение за вътрешно корабоплаване след</w:t>
            </w:r>
          </w:p>
        </w:tc>
        <w:tc>
          <w:tcPr>
            <w:tcW w:w="1429" w:type="dxa"/>
            <w:gridSpan w:val="2"/>
            <w:shd w:val="clear" w:color="auto" w:fill="auto"/>
          </w:tcPr>
          <w:p w14:paraId="1FA4699D" w14:textId="4D72C887" w:rsidR="00377B61" w:rsidRPr="00F06DE2" w:rsidRDefault="002E70D7" w:rsidP="00B060A9">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.2030 г.</w:t>
            </w:r>
          </w:p>
        </w:tc>
        <w:tc>
          <w:tcPr>
            <w:tcW w:w="1559" w:type="dxa"/>
          </w:tcPr>
          <w:p w14:paraId="01747D09" w14:textId="259D9C7D" w:rsidR="00377B61" w:rsidRPr="00F06DE2" w:rsidRDefault="00B060A9"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75E16405" w14:textId="77777777" w:rsidTr="00A41A9A">
        <w:trPr>
          <w:cantSplit/>
          <w:jc w:val="center"/>
        </w:trPr>
        <w:tc>
          <w:tcPr>
            <w:tcW w:w="1325" w:type="dxa"/>
            <w:tcBorders>
              <w:top w:val="nil"/>
              <w:bottom w:val="single" w:sz="4" w:space="0" w:color="auto"/>
            </w:tcBorders>
            <w:shd w:val="clear" w:color="auto" w:fill="auto"/>
          </w:tcPr>
          <w:p w14:paraId="6ED33AA6"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387DECAA"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51ED010F"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резервоарите за събиране на отпадъчни води</w:t>
            </w:r>
          </w:p>
        </w:tc>
        <w:tc>
          <w:tcPr>
            <w:tcW w:w="5387" w:type="dxa"/>
            <w:shd w:val="clear" w:color="auto" w:fill="auto"/>
          </w:tcPr>
          <w:p w14:paraId="0C4E8B59"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плавателни съдове с каюти с не повече от 50 места за спане и за плавателни съдове за дневно пътуване с не повече от 50 пътника: НЗР, най-късно при подновяване на Корабното удостоверение за вътрешно корабоплаване след</w:t>
            </w:r>
          </w:p>
        </w:tc>
        <w:tc>
          <w:tcPr>
            <w:tcW w:w="1429" w:type="dxa"/>
            <w:gridSpan w:val="2"/>
            <w:shd w:val="clear" w:color="auto" w:fill="auto"/>
          </w:tcPr>
          <w:p w14:paraId="3C448237" w14:textId="7BC5BE09" w:rsidR="00377B61" w:rsidRPr="00F06DE2" w:rsidRDefault="00B060A9" w:rsidP="00B060A9">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.2030 г.</w:t>
            </w:r>
          </w:p>
        </w:tc>
        <w:tc>
          <w:tcPr>
            <w:tcW w:w="1559" w:type="dxa"/>
          </w:tcPr>
          <w:p w14:paraId="2B444A41" w14:textId="501301CC" w:rsidR="00377B61" w:rsidRPr="00F06DE2" w:rsidRDefault="00B060A9"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0C66BFEB" w14:textId="77777777" w:rsidTr="00A41A9A">
        <w:trPr>
          <w:cantSplit/>
          <w:jc w:val="center"/>
        </w:trPr>
        <w:tc>
          <w:tcPr>
            <w:tcW w:w="1325" w:type="dxa"/>
            <w:tcBorders>
              <w:bottom w:val="nil"/>
            </w:tcBorders>
            <w:shd w:val="clear" w:color="auto" w:fill="auto"/>
          </w:tcPr>
          <w:p w14:paraId="62C70DCC" w14:textId="77777777" w:rsidR="00377B61" w:rsidRPr="00F06DE2" w:rsidRDefault="00377B61" w:rsidP="00377B61">
            <w:pPr>
              <w:spacing w:line="240" w:lineRule="atLeast"/>
              <w:rPr>
                <w:rFonts w:ascii="Times New Roman" w:hAnsi="Times New Roman" w:cs="Times New Roman"/>
              </w:rPr>
            </w:pPr>
            <w:r w:rsidRPr="00F06DE2">
              <w:rPr>
                <w:rFonts w:ascii="Times New Roman" w:hAnsi="Times New Roman" w:cs="Times New Roman"/>
              </w:rPr>
              <w:t>19.15</w:t>
            </w:r>
          </w:p>
        </w:tc>
        <w:tc>
          <w:tcPr>
            <w:tcW w:w="1458" w:type="dxa"/>
            <w:shd w:val="clear" w:color="auto" w:fill="auto"/>
          </w:tcPr>
          <w:p w14:paraId="0969403A"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25D1A0E0" w14:textId="77777777" w:rsidR="00377B61" w:rsidRPr="00F06DE2" w:rsidRDefault="00377B61" w:rsidP="00377B6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Устойчивост в повредено състояние</w:t>
            </w:r>
          </w:p>
        </w:tc>
        <w:tc>
          <w:tcPr>
            <w:tcW w:w="5387" w:type="dxa"/>
            <w:shd w:val="clear" w:color="auto" w:fill="auto"/>
          </w:tcPr>
          <w:p w14:paraId="761586DD"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32E3D628" w14:textId="5A2000CB" w:rsidR="00377B61" w:rsidRPr="00F06DE2" w:rsidRDefault="00B060A9" w:rsidP="00B060A9">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.2045 г.</w:t>
            </w:r>
          </w:p>
        </w:tc>
        <w:tc>
          <w:tcPr>
            <w:tcW w:w="1559" w:type="dxa"/>
          </w:tcPr>
          <w:p w14:paraId="699B7866" w14:textId="42C18BC3" w:rsidR="00377B61" w:rsidRPr="00F06DE2" w:rsidRDefault="00B060A9"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.2006 г.</w:t>
            </w:r>
          </w:p>
        </w:tc>
      </w:tr>
      <w:tr w:rsidR="00377B61" w:rsidRPr="00F06DE2" w14:paraId="6920A9E3" w14:textId="77777777" w:rsidTr="00A41A9A">
        <w:trPr>
          <w:cantSplit/>
          <w:jc w:val="center"/>
        </w:trPr>
        <w:tc>
          <w:tcPr>
            <w:tcW w:w="6079" w:type="dxa"/>
            <w:gridSpan w:val="3"/>
            <w:shd w:val="clear" w:color="auto" w:fill="auto"/>
          </w:tcPr>
          <w:p w14:paraId="5CDD4C32" w14:textId="77777777" w:rsidR="00377B61" w:rsidRPr="00F06DE2" w:rsidRDefault="00377B61" w:rsidP="00377B6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29</w:t>
            </w:r>
          </w:p>
        </w:tc>
        <w:tc>
          <w:tcPr>
            <w:tcW w:w="5387" w:type="dxa"/>
            <w:shd w:val="clear" w:color="auto" w:fill="auto"/>
          </w:tcPr>
          <w:p w14:paraId="30C1125A" w14:textId="77777777" w:rsidR="00377B61" w:rsidRPr="00F06DE2" w:rsidRDefault="00377B61" w:rsidP="00377B61">
            <w:pPr>
              <w:spacing w:line="240" w:lineRule="atLeast"/>
              <w:rPr>
                <w:rFonts w:ascii="Times New Roman" w:hAnsi="Times New Roman" w:cs="Times New Roman"/>
              </w:rPr>
            </w:pPr>
          </w:p>
        </w:tc>
        <w:tc>
          <w:tcPr>
            <w:tcW w:w="1429" w:type="dxa"/>
            <w:gridSpan w:val="2"/>
            <w:shd w:val="clear" w:color="auto" w:fill="auto"/>
          </w:tcPr>
          <w:p w14:paraId="79E9C7A8" w14:textId="77777777" w:rsidR="00377B61" w:rsidRPr="00F06DE2" w:rsidRDefault="00377B61" w:rsidP="00B060A9">
            <w:pPr>
              <w:spacing w:line="240" w:lineRule="atLeast"/>
              <w:ind w:right="-105"/>
              <w:rPr>
                <w:rFonts w:ascii="Times New Roman" w:hAnsi="Times New Roman" w:cs="Times New Roman"/>
              </w:rPr>
            </w:pPr>
          </w:p>
        </w:tc>
        <w:tc>
          <w:tcPr>
            <w:tcW w:w="1559" w:type="dxa"/>
          </w:tcPr>
          <w:p w14:paraId="189D6461" w14:textId="77777777" w:rsidR="00377B61" w:rsidRPr="00F06DE2" w:rsidRDefault="00377B61" w:rsidP="00377B61">
            <w:pPr>
              <w:spacing w:line="240" w:lineRule="atLeast"/>
              <w:rPr>
                <w:rFonts w:ascii="Times New Roman" w:hAnsi="Times New Roman" w:cs="Times New Roman"/>
              </w:rPr>
            </w:pPr>
          </w:p>
        </w:tc>
      </w:tr>
      <w:tr w:rsidR="00377B61" w:rsidRPr="00F06DE2" w14:paraId="35577BA8" w14:textId="77777777" w:rsidTr="00A41A9A">
        <w:trPr>
          <w:cantSplit/>
          <w:jc w:val="center"/>
        </w:trPr>
        <w:tc>
          <w:tcPr>
            <w:tcW w:w="1325" w:type="dxa"/>
            <w:shd w:val="clear" w:color="auto" w:fill="auto"/>
          </w:tcPr>
          <w:p w14:paraId="252262B3" w14:textId="77777777" w:rsidR="00377B61" w:rsidRPr="00F06DE2" w:rsidRDefault="00377B61" w:rsidP="00377B61">
            <w:pPr>
              <w:spacing w:line="240" w:lineRule="atLeast"/>
              <w:rPr>
                <w:rFonts w:ascii="Times New Roman" w:hAnsi="Times New Roman" w:cs="Times New Roman"/>
              </w:rPr>
            </w:pPr>
            <w:r w:rsidRPr="00F06DE2">
              <w:rPr>
                <w:rFonts w:ascii="Times New Roman" w:hAnsi="Times New Roman" w:cs="Times New Roman"/>
              </w:rPr>
              <w:t>29.02</w:t>
            </w:r>
          </w:p>
        </w:tc>
        <w:tc>
          <w:tcPr>
            <w:tcW w:w="1458" w:type="dxa"/>
            <w:shd w:val="clear" w:color="auto" w:fill="auto"/>
          </w:tcPr>
          <w:p w14:paraId="333142D2"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03DD4B4F"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 експлоатация влиза второ независимо задвижващо звено на рулевия апарат или ръчно задвижващо звено</w:t>
            </w:r>
          </w:p>
        </w:tc>
        <w:tc>
          <w:tcPr>
            <w:tcW w:w="5387" w:type="dxa"/>
            <w:shd w:val="clear" w:color="auto" w:fill="auto"/>
          </w:tcPr>
          <w:p w14:paraId="5B9EC115"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429" w:type="dxa"/>
            <w:gridSpan w:val="2"/>
            <w:shd w:val="clear" w:color="auto" w:fill="auto"/>
          </w:tcPr>
          <w:p w14:paraId="746222FC" w14:textId="4EEA0A63" w:rsidR="00377B61" w:rsidRPr="00F06DE2" w:rsidRDefault="00B060A9" w:rsidP="00B060A9">
            <w:pPr>
              <w:spacing w:line="240" w:lineRule="atLeast"/>
              <w:ind w:right="-105"/>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.2025 г.</w:t>
            </w:r>
          </w:p>
        </w:tc>
        <w:tc>
          <w:tcPr>
            <w:tcW w:w="1559" w:type="dxa"/>
          </w:tcPr>
          <w:p w14:paraId="73E50E03" w14:textId="4F2F39E1" w:rsidR="00377B61" w:rsidRPr="00F06DE2" w:rsidRDefault="00B060A9" w:rsidP="00377B61">
            <w:pPr>
              <w:spacing w:line="240" w:lineRule="atLeast"/>
              <w:jc w:val="both"/>
              <w:rPr>
                <w:rFonts w:ascii="Times New Roman" w:hAnsi="Times New Roman" w:cs="Times New Roman"/>
              </w:rPr>
            </w:pPr>
            <w:r w:rsidRPr="00F06DE2">
              <w:rPr>
                <w:rFonts w:ascii="Times New Roman" w:hAnsi="Times New Roman" w:cs="Times New Roman"/>
              </w:rPr>
              <w:t>0</w:t>
            </w:r>
            <w:r w:rsidR="00377B61" w:rsidRPr="00F06DE2">
              <w:rPr>
                <w:rFonts w:ascii="Times New Roman" w:hAnsi="Times New Roman" w:cs="Times New Roman"/>
              </w:rPr>
              <w:t>1.</w:t>
            </w:r>
            <w:r w:rsidRPr="00F06DE2">
              <w:rPr>
                <w:rFonts w:ascii="Times New Roman" w:hAnsi="Times New Roman" w:cs="Times New Roman"/>
              </w:rPr>
              <w:t>0</w:t>
            </w:r>
            <w:r w:rsidR="00377B61" w:rsidRPr="00F06DE2">
              <w:rPr>
                <w:rFonts w:ascii="Times New Roman" w:hAnsi="Times New Roman" w:cs="Times New Roman"/>
              </w:rPr>
              <w:t>4.2005 г.</w:t>
            </w:r>
          </w:p>
        </w:tc>
      </w:tr>
      <w:tr w:rsidR="00377B61" w:rsidRPr="00F06DE2" w14:paraId="03EC65B6" w14:textId="77777777" w:rsidTr="00A41A9A">
        <w:trPr>
          <w:cantSplit/>
          <w:jc w:val="center"/>
        </w:trPr>
        <w:tc>
          <w:tcPr>
            <w:tcW w:w="1325" w:type="dxa"/>
            <w:shd w:val="clear" w:color="auto" w:fill="auto"/>
          </w:tcPr>
          <w:p w14:paraId="782FAB87" w14:textId="77777777" w:rsidR="00377B61" w:rsidRPr="00F06DE2" w:rsidRDefault="00377B61" w:rsidP="00377B61">
            <w:pPr>
              <w:spacing w:line="240" w:lineRule="atLeast"/>
              <w:rPr>
                <w:rFonts w:ascii="Times New Roman" w:hAnsi="Times New Roman" w:cs="Times New Roman"/>
              </w:rPr>
            </w:pPr>
          </w:p>
        </w:tc>
        <w:tc>
          <w:tcPr>
            <w:tcW w:w="1458" w:type="dxa"/>
            <w:shd w:val="clear" w:color="auto" w:fill="auto"/>
          </w:tcPr>
          <w:p w14:paraId="57D44F88" w14:textId="77777777" w:rsidR="00377B61" w:rsidRPr="00F06DE2" w:rsidRDefault="00377B61" w:rsidP="00377B61">
            <w:pPr>
              <w:spacing w:line="240" w:lineRule="atLeast"/>
              <w:jc w:val="center"/>
              <w:rPr>
                <w:rFonts w:ascii="Times New Roman" w:hAnsi="Times New Roman" w:cs="Times New Roman"/>
                <w:b/>
              </w:rPr>
            </w:pPr>
            <w:r w:rsidRPr="00F06DE2">
              <w:rPr>
                <w:rFonts w:ascii="Times New Roman" w:hAnsi="Times New Roman" w:cs="Times New Roman"/>
                <w:b/>
              </w:rPr>
              <w:t>ГЛАВА 30</w:t>
            </w:r>
          </w:p>
        </w:tc>
        <w:tc>
          <w:tcPr>
            <w:tcW w:w="3296" w:type="dxa"/>
            <w:shd w:val="clear" w:color="auto" w:fill="auto"/>
          </w:tcPr>
          <w:p w14:paraId="06FBE70E" w14:textId="77777777" w:rsidR="00377B61" w:rsidRPr="00F06DE2" w:rsidRDefault="00377B61" w:rsidP="00377B61">
            <w:pPr>
              <w:tabs>
                <w:tab w:val="left" w:pos="1080"/>
              </w:tabs>
              <w:spacing w:line="240" w:lineRule="atLeast"/>
              <w:jc w:val="both"/>
              <w:rPr>
                <w:rFonts w:ascii="Times New Roman" w:hAnsi="Times New Roman" w:cs="Times New Roman"/>
              </w:rPr>
            </w:pPr>
          </w:p>
        </w:tc>
        <w:tc>
          <w:tcPr>
            <w:tcW w:w="5387" w:type="dxa"/>
            <w:shd w:val="clear" w:color="auto" w:fill="auto"/>
          </w:tcPr>
          <w:p w14:paraId="08DBC4FA" w14:textId="77777777" w:rsidR="00377B61" w:rsidRPr="00F06DE2" w:rsidRDefault="00377B61" w:rsidP="00377B61">
            <w:pPr>
              <w:spacing w:line="240" w:lineRule="atLeast"/>
              <w:jc w:val="both"/>
              <w:rPr>
                <w:rFonts w:ascii="Times New Roman" w:hAnsi="Times New Roman" w:cs="Times New Roman"/>
              </w:rPr>
            </w:pPr>
          </w:p>
        </w:tc>
        <w:tc>
          <w:tcPr>
            <w:tcW w:w="1429" w:type="dxa"/>
            <w:gridSpan w:val="2"/>
            <w:shd w:val="clear" w:color="auto" w:fill="auto"/>
          </w:tcPr>
          <w:p w14:paraId="722069D5" w14:textId="77777777" w:rsidR="00377B61" w:rsidRPr="00F06DE2" w:rsidRDefault="00377B61" w:rsidP="00B060A9">
            <w:pPr>
              <w:spacing w:line="240" w:lineRule="atLeast"/>
              <w:ind w:right="-105"/>
              <w:jc w:val="both"/>
              <w:rPr>
                <w:rFonts w:ascii="Times New Roman" w:hAnsi="Times New Roman" w:cs="Times New Roman"/>
              </w:rPr>
            </w:pPr>
          </w:p>
        </w:tc>
        <w:tc>
          <w:tcPr>
            <w:tcW w:w="1559" w:type="dxa"/>
          </w:tcPr>
          <w:p w14:paraId="6089075D" w14:textId="77777777" w:rsidR="00377B61" w:rsidRPr="00F06DE2" w:rsidRDefault="00377B61" w:rsidP="00377B61">
            <w:pPr>
              <w:spacing w:line="240" w:lineRule="atLeast"/>
              <w:jc w:val="both"/>
              <w:rPr>
                <w:rFonts w:ascii="Times New Roman" w:hAnsi="Times New Roman" w:cs="Times New Roman"/>
              </w:rPr>
            </w:pPr>
          </w:p>
        </w:tc>
      </w:tr>
      <w:tr w:rsidR="00377B61" w:rsidRPr="00F06DE2" w14:paraId="646680FF" w14:textId="77777777" w:rsidTr="00A41A9A">
        <w:trPr>
          <w:cantSplit/>
          <w:jc w:val="center"/>
        </w:trPr>
        <w:tc>
          <w:tcPr>
            <w:tcW w:w="1325" w:type="dxa"/>
            <w:shd w:val="clear" w:color="auto" w:fill="auto"/>
          </w:tcPr>
          <w:p w14:paraId="1F06B250" w14:textId="77777777" w:rsidR="00377B61" w:rsidRPr="00F06DE2" w:rsidRDefault="00377B61" w:rsidP="00377B61">
            <w:pPr>
              <w:spacing w:line="240" w:lineRule="atLeast"/>
              <w:rPr>
                <w:rFonts w:ascii="Times New Roman" w:hAnsi="Times New Roman" w:cs="Times New Roman"/>
              </w:rPr>
            </w:pPr>
            <w:r w:rsidRPr="00F06DE2">
              <w:rPr>
                <w:rFonts w:ascii="Times New Roman" w:hAnsi="Times New Roman" w:cs="Times New Roman"/>
              </w:rPr>
              <w:t>30.02</w:t>
            </w:r>
          </w:p>
        </w:tc>
        <w:tc>
          <w:tcPr>
            <w:tcW w:w="1458" w:type="dxa"/>
            <w:shd w:val="clear" w:color="auto" w:fill="auto"/>
          </w:tcPr>
          <w:p w14:paraId="5EF36D92" w14:textId="77777777" w:rsidR="00377B61" w:rsidRPr="00F06DE2" w:rsidRDefault="00377B61" w:rsidP="00377B6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3BBF50F5" w14:textId="77777777" w:rsidR="00377B61" w:rsidRPr="00F06DE2" w:rsidRDefault="00377B61" w:rsidP="00377B6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Газообразни или прахови замърсители на двигатели с горива с ниска точка на запалване</w:t>
            </w:r>
          </w:p>
        </w:tc>
        <w:tc>
          <w:tcPr>
            <w:tcW w:w="5387" w:type="dxa"/>
            <w:shd w:val="clear" w:color="auto" w:fill="auto"/>
          </w:tcPr>
          <w:p w14:paraId="35919574" w14:textId="77777777" w:rsidR="00377B61" w:rsidRPr="00F06DE2" w:rsidRDefault="00377B61" w:rsidP="00377B6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двигатели, отговарящи на типовото одобрение и монтаж на разпоредби в сила към датата на монтаж: НЗР</w:t>
            </w:r>
          </w:p>
        </w:tc>
        <w:tc>
          <w:tcPr>
            <w:tcW w:w="1429" w:type="dxa"/>
            <w:gridSpan w:val="2"/>
            <w:shd w:val="clear" w:color="auto" w:fill="auto"/>
          </w:tcPr>
          <w:p w14:paraId="2D1F63CD" w14:textId="77777777" w:rsidR="00377B61" w:rsidRPr="00F06DE2" w:rsidRDefault="00377B61" w:rsidP="00377B61">
            <w:pPr>
              <w:spacing w:line="240" w:lineRule="atLeast"/>
              <w:jc w:val="both"/>
              <w:rPr>
                <w:rFonts w:ascii="Times New Roman" w:hAnsi="Times New Roman" w:cs="Times New Roman"/>
                <w:lang w:val="ru-RU"/>
              </w:rPr>
            </w:pPr>
          </w:p>
        </w:tc>
        <w:tc>
          <w:tcPr>
            <w:tcW w:w="1559" w:type="dxa"/>
          </w:tcPr>
          <w:p w14:paraId="28446F17" w14:textId="22AFF1BB" w:rsidR="00377B61" w:rsidRPr="00F06DE2" w:rsidRDefault="00B060A9" w:rsidP="00377B61">
            <w:pPr>
              <w:spacing w:line="240" w:lineRule="atLeast"/>
              <w:jc w:val="both"/>
              <w:rPr>
                <w:rFonts w:ascii="Times New Roman" w:hAnsi="Times New Roman" w:cs="Times New Roman"/>
              </w:rPr>
            </w:pPr>
            <w:r w:rsidRPr="00F06DE2">
              <w:rPr>
                <w:rFonts w:ascii="Times New Roman" w:hAnsi="Times New Roman" w:cs="Times New Roman"/>
                <w:lang w:val="ru-RU"/>
              </w:rPr>
              <w:t>01.01</w:t>
            </w:r>
            <w:r w:rsidR="00377B61" w:rsidRPr="00F06DE2">
              <w:rPr>
                <w:rFonts w:ascii="Times New Roman" w:hAnsi="Times New Roman" w:cs="Times New Roman"/>
              </w:rPr>
              <w:t>.2024 г.</w:t>
            </w:r>
          </w:p>
        </w:tc>
      </w:tr>
    </w:tbl>
    <w:p w14:paraId="4B6FA6F4" w14:textId="77777777" w:rsidR="00271FA2" w:rsidRPr="00F06DE2" w:rsidRDefault="00271FA2">
      <w:pPr>
        <w:spacing w:line="240" w:lineRule="atLeast"/>
        <w:rPr>
          <w:rFonts w:ascii="Times New Roman" w:hAnsi="Times New Roman" w:cs="Times New Roman"/>
        </w:rPr>
      </w:pPr>
    </w:p>
    <w:p w14:paraId="385E69F2" w14:textId="77777777" w:rsidR="00190904" w:rsidRPr="00F06DE2" w:rsidRDefault="00190904">
      <w:pPr>
        <w:spacing w:line="240" w:lineRule="atLeast"/>
        <w:rPr>
          <w:rFonts w:ascii="Times New Roman" w:hAnsi="Times New Roman" w:cs="Times New Roman"/>
        </w:rPr>
        <w:sectPr w:rsidR="00190904" w:rsidRPr="00F06DE2" w:rsidSect="00DB7663">
          <w:headerReference w:type="default" r:id="rId93"/>
          <w:headerReference w:type="first" r:id="rId94"/>
          <w:footnotePr>
            <w:numRestart w:val="eachPage"/>
          </w:footnotePr>
          <w:pgSz w:w="16838" w:h="11906" w:orient="landscape"/>
          <w:pgMar w:top="1134" w:right="1134" w:bottom="1134" w:left="1134" w:header="709" w:footer="709" w:gutter="0"/>
          <w:cols w:space="709"/>
          <w:titlePg/>
          <w:docGrid w:linePitch="272"/>
        </w:sectPr>
      </w:pPr>
    </w:p>
    <w:p w14:paraId="55A125DC" w14:textId="77777777" w:rsidR="00271FA2" w:rsidRPr="00F06DE2" w:rsidRDefault="00D35E51" w:rsidP="00523664">
      <w:pPr>
        <w:pStyle w:val="ES-Titre3"/>
        <w:spacing w:after="0" w:line="240" w:lineRule="atLeast"/>
        <w:rPr>
          <w:rFonts w:ascii="Times New Roman" w:hAnsi="Times New Roman" w:cs="Times New Roman"/>
          <w:sz w:val="24"/>
          <w:szCs w:val="24"/>
        </w:rPr>
      </w:pPr>
      <w:r w:rsidRPr="00F06DE2">
        <w:rPr>
          <w:rFonts w:ascii="Times New Roman" w:hAnsi="Times New Roman" w:cs="Times New Roman"/>
          <w:sz w:val="24"/>
          <w:szCs w:val="24"/>
        </w:rPr>
        <w:lastRenderedPageBreak/>
        <w:t>Член 32.06</w:t>
      </w:r>
    </w:p>
    <w:p w14:paraId="22365AD1" w14:textId="21E67EFD" w:rsidR="00271FA2" w:rsidRPr="00F06DE2" w:rsidRDefault="00D35E51">
      <w:pPr>
        <w:pStyle w:val="ES-Titre3a"/>
        <w:spacing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 xml:space="preserve">Корабни лодки, които са били на борда на плавателното средство преди </w:t>
      </w:r>
      <w:r w:rsidR="00523664" w:rsidRPr="00F06DE2">
        <w:rPr>
          <w:rFonts w:ascii="Times New Roman" w:hAnsi="Times New Roman" w:cs="Times New Roman"/>
          <w:sz w:val="24"/>
          <w:szCs w:val="24"/>
          <w:lang w:val="ru-RU"/>
        </w:rPr>
        <w:t>0</w:t>
      </w:r>
      <w:r w:rsidRPr="00F06DE2">
        <w:rPr>
          <w:rFonts w:ascii="Times New Roman" w:hAnsi="Times New Roman" w:cs="Times New Roman"/>
          <w:sz w:val="24"/>
          <w:szCs w:val="24"/>
          <w:lang w:val="ru-RU"/>
        </w:rPr>
        <w:t>1.10.2003 г.</w:t>
      </w:r>
    </w:p>
    <w:p w14:paraId="1A46BB00" w14:textId="77777777" w:rsidR="00271FA2" w:rsidRPr="00F06DE2" w:rsidRDefault="00D35E51" w:rsidP="00523664">
      <w:pPr>
        <w:pStyle w:val="ES-Titre3a"/>
        <w:spacing w:after="0" w:line="240" w:lineRule="atLeast"/>
        <w:ind w:left="567" w:hanging="567"/>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1.</w:t>
      </w:r>
      <w:r w:rsidRPr="00F06DE2">
        <w:rPr>
          <w:rFonts w:ascii="Times New Roman" w:hAnsi="Times New Roman" w:cs="Times New Roman"/>
          <w:b w:val="0"/>
          <w:i w:val="0"/>
          <w:sz w:val="24"/>
          <w:szCs w:val="24"/>
          <w:lang w:val="ru-RU"/>
        </w:rPr>
        <w:tab/>
        <w:t>Корабните лодки, които са били на борда преди 1.10.2003 г., трябва да:</w:t>
      </w:r>
    </w:p>
    <w:p w14:paraId="2680B5E2" w14:textId="77777777" w:rsidR="00271FA2" w:rsidRPr="00F06DE2" w:rsidRDefault="00D35E51" w:rsidP="00523664">
      <w:pPr>
        <w:pStyle w:val="ES-Titre3a"/>
        <w:spacing w:after="0" w:line="240" w:lineRule="atLeast"/>
        <w:ind w:leftChars="231" w:left="520" w:hangingChars="5" w:hanging="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 xml:space="preserve">а) са  включени в списъка на корабните лодки за вътрешно корабоплаване, публикуван от </w:t>
      </w:r>
      <w:r w:rsidRPr="00F06DE2">
        <w:rPr>
          <w:rFonts w:ascii="Times New Roman" w:hAnsi="Times New Roman" w:cs="Times New Roman"/>
          <w:b w:val="0"/>
          <w:i w:val="0"/>
          <w:sz w:val="24"/>
          <w:szCs w:val="24"/>
        </w:rPr>
        <w:t>CESNI</w:t>
      </w:r>
      <w:r w:rsidRPr="00F06DE2">
        <w:rPr>
          <w:rFonts w:ascii="Times New Roman" w:hAnsi="Times New Roman" w:cs="Times New Roman"/>
          <w:b w:val="0"/>
          <w:i w:val="0"/>
          <w:sz w:val="24"/>
          <w:szCs w:val="24"/>
          <w:lang w:val="ru-RU"/>
        </w:rPr>
        <w:t>; или</w:t>
      </w:r>
    </w:p>
    <w:p w14:paraId="32CE727F" w14:textId="77777777" w:rsidR="00271FA2" w:rsidRPr="00F06DE2" w:rsidRDefault="00D35E51" w:rsidP="00523664">
      <w:pPr>
        <w:pStyle w:val="ES-Titre3a"/>
        <w:spacing w:after="0" w:line="240" w:lineRule="atLeast"/>
        <w:ind w:leftChars="231" w:left="520" w:hangingChars="5" w:hanging="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б) отговарят на условията, посочени в точка 2.</w:t>
      </w:r>
    </w:p>
    <w:p w14:paraId="350B5258" w14:textId="77777777" w:rsidR="00271FA2" w:rsidRPr="00F06DE2" w:rsidRDefault="00D35E51" w:rsidP="00523664">
      <w:pPr>
        <w:pStyle w:val="ES-Titre3a"/>
        <w:spacing w:after="0" w:line="240" w:lineRule="atLeast"/>
        <w:ind w:left="567" w:hanging="567"/>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2.</w:t>
      </w:r>
      <w:r w:rsidRPr="00F06DE2">
        <w:rPr>
          <w:rFonts w:ascii="Times New Roman" w:hAnsi="Times New Roman" w:cs="Times New Roman"/>
          <w:b w:val="0"/>
          <w:i w:val="0"/>
          <w:sz w:val="24"/>
          <w:szCs w:val="24"/>
          <w:lang w:val="ru-RU"/>
        </w:rPr>
        <w:tab/>
        <w:t>Корабните лодки съгласно точка 1, буква “б“ трябва да отговарят най-малко на следните условия:</w:t>
      </w:r>
    </w:p>
    <w:p w14:paraId="0E62DC81" w14:textId="77777777" w:rsidR="00271FA2" w:rsidRPr="00F06DE2" w:rsidRDefault="00D35E51" w:rsidP="00523664">
      <w:pPr>
        <w:pStyle w:val="ES-Titre3a"/>
        <w:spacing w:after="0" w:line="240" w:lineRule="atLeast"/>
        <w:ind w:leftChars="236" w:left="519" w:firstLineChars="4" w:firstLine="10"/>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а) Лодката на кораба трябва да бъде направена от подходящи материали. Корабните лодки, изработени от синтетичен материал, не трябва да показват признаци на влошаване;</w:t>
      </w:r>
    </w:p>
    <w:p w14:paraId="01B1EEE0"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б) Произведението на</w:t>
      </w:r>
      <m:oMath>
        <m:sSub>
          <m:sSubPr>
            <m:ctrlPr>
              <w:rPr>
                <w:rFonts w:ascii="Cambria Math" w:hAnsi="Cambria Math" w:cs="Times New Roman"/>
                <w:i w:val="0"/>
                <w:sz w:val="24"/>
                <w:szCs w:val="24"/>
              </w:rPr>
            </m:ctrlPr>
          </m:sSubPr>
          <m:e>
            <m:r>
              <m:rPr>
                <m:sty m:val="bi"/>
              </m:rPr>
              <w:rPr>
                <w:rFonts w:ascii="Cambria Math" w:hAnsi="Cambria Math" w:cs="Times New Roman"/>
                <w:sz w:val="24"/>
                <w:szCs w:val="24"/>
                <w:lang w:val="ru-RU"/>
              </w:rPr>
              <m:t xml:space="preserve">∙ </m:t>
            </m:r>
            <m:r>
              <m:rPr>
                <m:sty m:val="bi"/>
              </m:rPr>
              <w:rPr>
                <w:rFonts w:ascii="Cambria Math" w:hAnsi="Cambria Math" w:cs="Times New Roman"/>
                <w:sz w:val="24"/>
                <w:szCs w:val="24"/>
              </w:rPr>
              <m:t>L</m:t>
            </m:r>
          </m:e>
          <m:sub>
            <m:r>
              <m:rPr>
                <m:sty m:val="bi"/>
              </m:rPr>
              <w:rPr>
                <w:rFonts w:ascii="Cambria Math" w:hAnsi="Cambria Math" w:cs="Times New Roman"/>
                <w:sz w:val="24"/>
                <w:szCs w:val="24"/>
              </w:rPr>
              <m:t>B</m:t>
            </m:r>
          </m:sub>
        </m:sSub>
        <m:sSub>
          <m:sSubPr>
            <m:ctrlPr>
              <w:rPr>
                <w:rFonts w:ascii="Cambria Math" w:hAnsi="Cambria Math" w:cs="Times New Roman"/>
                <w:i w:val="0"/>
                <w:sz w:val="24"/>
                <w:szCs w:val="24"/>
              </w:rPr>
            </m:ctrlPr>
          </m:sSubPr>
          <m:e>
            <m:r>
              <m:rPr>
                <m:sty m:val="bi"/>
              </m:rPr>
              <w:rPr>
                <w:rFonts w:ascii="Cambria Math" w:hAnsi="Cambria Math" w:cs="Times New Roman"/>
                <w:sz w:val="24"/>
                <w:szCs w:val="24"/>
                <w:lang w:val="ru-RU"/>
              </w:rPr>
              <m:t xml:space="preserve">∙ </m:t>
            </m:r>
            <m:r>
              <m:rPr>
                <m:sty m:val="bi"/>
              </m:rPr>
              <w:rPr>
                <w:rFonts w:ascii="Cambria Math" w:hAnsi="Cambria Math" w:cs="Times New Roman"/>
                <w:sz w:val="24"/>
                <w:szCs w:val="24"/>
              </w:rPr>
              <m:t>B</m:t>
            </m:r>
          </m:e>
          <m:sub>
            <m:r>
              <m:rPr>
                <m:sty m:val="bi"/>
              </m:rPr>
              <w:rPr>
                <w:rFonts w:ascii="Cambria Math" w:hAnsi="Cambria Math" w:cs="Times New Roman"/>
                <w:sz w:val="24"/>
                <w:szCs w:val="24"/>
              </w:rPr>
              <m:t>B</m:t>
            </m:r>
          </m:sub>
        </m:sSub>
        <m:sSub>
          <m:sSubPr>
            <m:ctrlPr>
              <w:rPr>
                <w:rFonts w:ascii="Cambria Math" w:hAnsi="Cambria Math" w:cs="Times New Roman"/>
                <w:b w:val="0"/>
                <w:i w:val="0"/>
                <w:sz w:val="24"/>
                <w:szCs w:val="24"/>
              </w:rPr>
            </m:ctrlPr>
          </m:sSubPr>
          <m:e>
            <m:r>
              <m:rPr>
                <m:sty m:val="bi"/>
              </m:rPr>
              <w:rPr>
                <w:rFonts w:ascii="Cambria Math" w:hAnsi="Cambria Math" w:cs="Times New Roman"/>
                <w:sz w:val="24"/>
                <w:szCs w:val="24"/>
                <w:lang w:val="ru-RU"/>
              </w:rPr>
              <m:t xml:space="preserve">∙ </m:t>
            </m:r>
            <m:r>
              <m:rPr>
                <m:sty m:val="bi"/>
              </m:rPr>
              <w:rPr>
                <w:rFonts w:ascii="Cambria Math" w:hAnsi="Cambria Math" w:cs="Times New Roman"/>
                <w:sz w:val="24"/>
                <w:szCs w:val="24"/>
              </w:rPr>
              <m:t>H</m:t>
            </m:r>
          </m:e>
          <m:sub>
            <m:r>
              <m:rPr>
                <m:sty m:val="bi"/>
              </m:rPr>
              <w:rPr>
                <w:rFonts w:ascii="Cambria Math" w:hAnsi="Cambria Math" w:cs="Times New Roman"/>
                <w:sz w:val="24"/>
                <w:szCs w:val="24"/>
              </w:rPr>
              <m:t>B</m:t>
            </m:r>
          </m:sub>
        </m:sSub>
      </m:oMath>
      <w:r w:rsidRPr="00F06DE2">
        <w:rPr>
          <w:rFonts w:ascii="Times New Roman" w:hAnsi="Times New Roman" w:cs="Times New Roman"/>
          <w:b w:val="0"/>
          <w:i w:val="0"/>
          <w:sz w:val="24"/>
          <w:szCs w:val="24"/>
          <w:lang w:val="ru-RU"/>
        </w:rPr>
        <w:t xml:space="preserve"> трябва да бъде най-малко 2,7 </w:t>
      </w:r>
      <w:r w:rsidRPr="00F06DE2">
        <w:rPr>
          <w:rFonts w:ascii="Times New Roman" w:hAnsi="Times New Roman" w:cs="Times New Roman"/>
          <w:b w:val="0"/>
          <w:i w:val="0"/>
          <w:sz w:val="24"/>
          <w:szCs w:val="24"/>
        </w:rPr>
        <w:t>m</w:t>
      </w:r>
      <w:r w:rsidRPr="00F06DE2">
        <w:rPr>
          <w:rFonts w:ascii="Times New Roman" w:hAnsi="Times New Roman" w:cs="Times New Roman"/>
          <w:b w:val="0"/>
          <w:i w:val="0"/>
          <w:sz w:val="24"/>
          <w:szCs w:val="24"/>
          <w:lang w:val="ru-RU"/>
        </w:rPr>
        <w:t>³.</w:t>
      </w:r>
    </w:p>
    <w:p w14:paraId="2225A8B8"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в) Лодката на кораба трябва да разполага с места за максимално разрешен брой пътници и да може да маневрира безопасно с този брой пътници на борда;</w:t>
      </w:r>
    </w:p>
    <w:p w14:paraId="19C66E2B"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г) Надводният борд на корабна лодка с максимално разрешен брой пътници на борда трябва да бъде равен или</w:t>
      </w:r>
      <w:r w:rsidRPr="00F06DE2">
        <w:rPr>
          <w:rFonts w:ascii="Times New Roman" w:hAnsi="Times New Roman" w:cs="Times New Roman"/>
          <w:i w:val="0"/>
          <w:sz w:val="24"/>
          <w:szCs w:val="24"/>
          <w:lang w:val="ru-RU"/>
        </w:rPr>
        <w:t xml:space="preserve"> </w:t>
      </w:r>
      <w:r w:rsidRPr="00F06DE2">
        <w:rPr>
          <w:rFonts w:ascii="Times New Roman" w:hAnsi="Times New Roman" w:cs="Times New Roman"/>
          <w:b w:val="0"/>
          <w:i w:val="0"/>
          <w:sz w:val="24"/>
          <w:szCs w:val="24"/>
          <w:lang w:val="ru-RU"/>
        </w:rPr>
        <w:t xml:space="preserve">по-голям от 25 </w:t>
      </w:r>
      <w:r w:rsidRPr="00F06DE2">
        <w:rPr>
          <w:rFonts w:ascii="Times New Roman" w:hAnsi="Times New Roman" w:cs="Times New Roman"/>
          <w:b w:val="0"/>
          <w:i w:val="0"/>
          <w:sz w:val="24"/>
          <w:szCs w:val="24"/>
        </w:rPr>
        <w:t>cm</w:t>
      </w:r>
      <w:r w:rsidRPr="00F06DE2">
        <w:rPr>
          <w:rFonts w:ascii="Times New Roman" w:hAnsi="Times New Roman" w:cs="Times New Roman"/>
          <w:b w:val="0"/>
          <w:i w:val="0"/>
          <w:sz w:val="24"/>
          <w:szCs w:val="24"/>
          <w:lang w:val="ru-RU"/>
        </w:rPr>
        <w:t>;</w:t>
      </w:r>
    </w:p>
    <w:p w14:paraId="6C7D317F" w14:textId="77777777" w:rsidR="00271FA2" w:rsidRPr="00F06DE2" w:rsidRDefault="00D35E51" w:rsidP="00523664">
      <w:pPr>
        <w:pStyle w:val="Chiffre"/>
        <w:ind w:leftChars="236" w:left="1086" w:hanging="567"/>
        <w:rPr>
          <w:rFonts w:ascii="Times New Roman" w:hAnsi="Times New Roman" w:cs="Times New Roman"/>
          <w:lang w:val="ru-RU"/>
        </w:rPr>
      </w:pPr>
      <w:r w:rsidRPr="00F06DE2">
        <w:rPr>
          <w:rFonts w:ascii="Times New Roman" w:hAnsi="Times New Roman" w:cs="Times New Roman"/>
          <w:lang w:val="ru-RU"/>
        </w:rPr>
        <w:t xml:space="preserve">д) Остатъчната плаваемост в </w:t>
      </w:r>
      <w:r w:rsidRPr="00F06DE2">
        <w:rPr>
          <w:rFonts w:ascii="Times New Roman" w:hAnsi="Times New Roman" w:cs="Times New Roman"/>
        </w:rPr>
        <w:t>kN</w:t>
      </w:r>
      <w:r w:rsidRPr="00F06DE2">
        <w:rPr>
          <w:rFonts w:ascii="Times New Roman" w:hAnsi="Times New Roman" w:cs="Times New Roman"/>
          <w:lang w:val="ru-RU"/>
        </w:rPr>
        <w:t xml:space="preserve"> от наводненото безекипажно плавателно средство трябва да бъде най-малко 0,3 </w:t>
      </w:r>
      <m:oMath>
        <m:sSub>
          <m:sSubPr>
            <m:ctrlPr>
              <w:rPr>
                <w:rFonts w:ascii="Cambria Math" w:hAnsi="Cambria Math" w:cs="Times New Roman"/>
              </w:rPr>
            </m:ctrlPr>
          </m:sSubPr>
          <m:e>
            <m:r>
              <m:rPr>
                <m:sty m:val="p"/>
              </m:rPr>
              <w:rPr>
                <w:rFonts w:ascii="Cambria Math" w:hAnsi="Cambria Math" w:cs="Times New Roman"/>
              </w:rPr>
              <m:t>L</m:t>
            </m:r>
          </m:e>
          <m:sub>
            <m:r>
              <m:rPr>
                <m:sty m:val="p"/>
              </m:rPr>
              <w:rPr>
                <w:rFonts w:ascii="Cambria Math" w:hAnsi="Cambria Math" w:cs="Times New Roman"/>
              </w:rPr>
              <m:t>B</m:t>
            </m:r>
          </m:sub>
        </m:sSub>
        <m:sSub>
          <m:sSubPr>
            <m:ctrlPr>
              <w:rPr>
                <w:rFonts w:ascii="Cambria Math" w:hAnsi="Cambria Math" w:cs="Times New Roman"/>
              </w:rPr>
            </m:ctrlPr>
          </m:sSubPr>
          <m:e>
            <m:r>
              <m:rPr>
                <m:sty m:val="p"/>
              </m:rPr>
              <w:rPr>
                <w:rFonts w:ascii="Cambria Math" w:hAnsi="Cambria Math" w:cs="Times New Roman"/>
                <w:lang w:val="ru-RU"/>
              </w:rPr>
              <m:t xml:space="preserve">∙ </m:t>
            </m:r>
            <m:r>
              <m:rPr>
                <m:sty m:val="p"/>
              </m:rPr>
              <w:rPr>
                <w:rFonts w:ascii="Cambria Math" w:hAnsi="Cambria Math" w:cs="Times New Roman"/>
              </w:rPr>
              <m:t>B</m:t>
            </m:r>
          </m:e>
          <m:sub>
            <m:r>
              <m:rPr>
                <m:sty m:val="p"/>
              </m:rPr>
              <w:rPr>
                <w:rFonts w:ascii="Cambria Math" w:hAnsi="Cambria Math" w:cs="Times New Roman"/>
              </w:rPr>
              <m:t>B</m:t>
            </m:r>
          </m:sub>
        </m:sSub>
        <m:sSub>
          <m:sSubPr>
            <m:ctrlPr>
              <w:rPr>
                <w:rFonts w:ascii="Cambria Math" w:hAnsi="Cambria Math" w:cs="Times New Roman"/>
              </w:rPr>
            </m:ctrlPr>
          </m:sSubPr>
          <m:e>
            <m:r>
              <m:rPr>
                <m:sty m:val="p"/>
              </m:rPr>
              <w:rPr>
                <w:rFonts w:ascii="Cambria Math" w:hAnsi="Cambria Math" w:cs="Times New Roman"/>
                <w:lang w:val="ru-RU"/>
              </w:rPr>
              <m:t xml:space="preserve">∙ </m:t>
            </m:r>
            <m:r>
              <m:rPr>
                <m:sty m:val="p"/>
              </m:rPr>
              <w:rPr>
                <w:rFonts w:ascii="Cambria Math" w:hAnsi="Cambria Math" w:cs="Times New Roman"/>
              </w:rPr>
              <m:t>H</m:t>
            </m:r>
          </m:e>
          <m:sub>
            <m:r>
              <m:rPr>
                <m:sty m:val="p"/>
              </m:rPr>
              <w:rPr>
                <w:rFonts w:ascii="Cambria Math" w:hAnsi="Cambria Math" w:cs="Times New Roman"/>
              </w:rPr>
              <m:t>B</m:t>
            </m:r>
          </m:sub>
        </m:sSub>
      </m:oMath>
      <w:r w:rsidRPr="00F06DE2">
        <w:rPr>
          <w:rFonts w:ascii="Times New Roman" w:hAnsi="Times New Roman" w:cs="Times New Roman"/>
          <w:lang w:val="ru-RU"/>
        </w:rPr>
        <w:t>.</w:t>
      </w:r>
    </w:p>
    <w:p w14:paraId="19E0D917" w14:textId="77777777" w:rsidR="00271FA2" w:rsidRPr="00F06DE2" w:rsidRDefault="00D35E51" w:rsidP="00523664">
      <w:pPr>
        <w:pStyle w:val="ES-Titre3a"/>
        <w:spacing w:after="0" w:line="240" w:lineRule="atLeast"/>
        <w:ind w:leftChars="236" w:left="1086" w:hanging="567"/>
        <w:jc w:val="both"/>
        <w:rPr>
          <w:rFonts w:ascii="Times New Roman" w:hAnsi="Times New Roman" w:cs="Times New Roman"/>
          <w:b w:val="0"/>
          <w:i w:val="0"/>
          <w:color w:val="000000" w:themeColor="text1"/>
          <w:sz w:val="24"/>
          <w:szCs w:val="24"/>
          <w:lang w:val="ru-RU"/>
        </w:rPr>
      </w:pPr>
      <w:r w:rsidRPr="00F06DE2">
        <w:rPr>
          <w:rFonts w:ascii="Times New Roman" w:hAnsi="Times New Roman" w:cs="Times New Roman"/>
          <w:b w:val="0"/>
          <w:i w:val="0"/>
          <w:color w:val="000000" w:themeColor="text1"/>
          <w:sz w:val="24"/>
          <w:szCs w:val="24"/>
          <w:lang w:val="ru-RU"/>
        </w:rPr>
        <w:t>Корабната лодка трябва да има вертикално плаващо положение при всички условия на товарене.</w:t>
      </w:r>
    </w:p>
    <w:p w14:paraId="61F4F5E2"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е) Корабната лодка трябва да бъде снабдена с подходящо оборудване (две гребла, байлер, швартова линия, спасителна линия, два щифта за теглене, теглещо око и приспособление за повдигане);</w:t>
      </w:r>
    </w:p>
    <w:p w14:paraId="0D89D797"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ж) Корабната лодка трябва да бъде оборудвана с дренажно устройство, изработено от устойчив на корозия материал, което може бързо и сигурно да се затворя по всяко време. Пробката трябва да бъде неподвижно закрепена към корабната лодка;</w:t>
      </w:r>
    </w:p>
    <w:p w14:paraId="7C207253"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з) Всички достъпни части на кораба трябва да са устойчиви на хлъзгане;</w:t>
      </w:r>
    </w:p>
    <w:p w14:paraId="03CEDC62"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и) Когато бордът не може да се хване или ако бордът на празната корабна лодка надвишава 30 сm. Корабната лодка трябва да бъде оборудвана с въжета или ръкохватки, така че човек във водата да може да се захване за нея;</w:t>
      </w:r>
    </w:p>
    <w:p w14:paraId="31E94364"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й) Корабната лодка трябва да бъде снабдена от двете страни със светлоотразителна лента с широчина най-малко 0,1 m и дължина 1 m;</w:t>
      </w:r>
    </w:p>
    <w:p w14:paraId="5CCB181C"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к) В корабната лодка трябва да бъде поставена табела в съответствие с Приложение 4, фигура 10;</w:t>
      </w:r>
    </w:p>
    <w:p w14:paraId="7668E0A1" w14:textId="77777777" w:rsidR="00271FA2" w:rsidRPr="00F06DE2" w:rsidRDefault="00D35E51" w:rsidP="00523664">
      <w:pPr>
        <w:pStyle w:val="ES-Titre3a"/>
        <w:spacing w:after="0" w:line="240" w:lineRule="atLeast"/>
        <w:ind w:leftChars="236" w:left="51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л) За условия „б“ и „д“:</w:t>
      </w:r>
    </w:p>
    <w:p w14:paraId="307E875C" w14:textId="77777777" w:rsidR="00271FA2" w:rsidRPr="00F06DE2" w:rsidRDefault="00D35E51" w:rsidP="00523664">
      <w:pPr>
        <w:pStyle w:val="ES-Titre3a"/>
        <w:spacing w:after="0" w:line="240" w:lineRule="atLeast"/>
        <w:ind w:leftChars="295" w:left="64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i w:val="0"/>
          <w:sz w:val="24"/>
          <w:szCs w:val="24"/>
          <w:lang w:val="ru-RU"/>
        </w:rPr>
        <w:tab/>
      </w:r>
      <m:oMath>
        <m:sSub>
          <m:sSubPr>
            <m:ctrlPr>
              <w:rPr>
                <w:rFonts w:ascii="Cambria Math" w:hAnsi="Cambria Math" w:cs="Times New Roman"/>
                <w:i w:val="0"/>
                <w:sz w:val="24"/>
                <w:szCs w:val="24"/>
              </w:rPr>
            </m:ctrlPr>
          </m:sSubPr>
          <m:e>
            <m:r>
              <m:rPr>
                <m:sty m:val="bi"/>
              </m:rPr>
              <w:rPr>
                <w:rFonts w:ascii="Cambria Math" w:hAnsi="Cambria Math" w:cs="Times New Roman"/>
                <w:sz w:val="24"/>
                <w:szCs w:val="24"/>
              </w:rPr>
              <m:t>L</m:t>
            </m:r>
          </m:e>
          <m:sub>
            <m:r>
              <m:rPr>
                <m:sty m:val="bi"/>
              </m:rPr>
              <w:rPr>
                <w:rFonts w:ascii="Cambria Math" w:hAnsi="Cambria Math" w:cs="Times New Roman"/>
                <w:sz w:val="24"/>
                <w:szCs w:val="24"/>
              </w:rPr>
              <m:t>B</m:t>
            </m:r>
          </m:sub>
        </m:sSub>
      </m:oMath>
      <w:r w:rsidRPr="00F06DE2">
        <w:rPr>
          <w:rFonts w:ascii="Times New Roman" w:hAnsi="Times New Roman" w:cs="Times New Roman"/>
          <w:b w:val="0"/>
          <w:i w:val="0"/>
          <w:sz w:val="24"/>
          <w:szCs w:val="24"/>
          <w:lang w:val="ru-RU"/>
        </w:rPr>
        <w:t xml:space="preserve">: дължина на корабната лодка в </w:t>
      </w:r>
      <w:r w:rsidRPr="00F06DE2">
        <w:rPr>
          <w:rFonts w:ascii="Times New Roman" w:hAnsi="Times New Roman" w:cs="Times New Roman"/>
          <w:b w:val="0"/>
          <w:i w:val="0"/>
          <w:sz w:val="24"/>
          <w:szCs w:val="24"/>
        </w:rPr>
        <w:t>m</w:t>
      </w:r>
      <w:r w:rsidRPr="00F06DE2">
        <w:rPr>
          <w:rFonts w:ascii="Times New Roman" w:hAnsi="Times New Roman" w:cs="Times New Roman"/>
          <w:b w:val="0"/>
          <w:i w:val="0"/>
          <w:sz w:val="24"/>
          <w:szCs w:val="24"/>
          <w:lang w:val="ru-RU"/>
        </w:rPr>
        <w:t>;</w:t>
      </w:r>
    </w:p>
    <w:p w14:paraId="011BAC77" w14:textId="77777777" w:rsidR="00271FA2" w:rsidRPr="00F06DE2" w:rsidRDefault="00D35E51" w:rsidP="00523664">
      <w:pPr>
        <w:pStyle w:val="ES-Titre3a"/>
        <w:spacing w:after="0" w:line="240" w:lineRule="atLeast"/>
        <w:ind w:leftChars="295" w:left="64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i w:val="0"/>
          <w:sz w:val="24"/>
          <w:szCs w:val="24"/>
          <w:lang w:val="ru-RU"/>
        </w:rPr>
        <w:tab/>
      </w:r>
      <m:oMath>
        <m:sSub>
          <m:sSubPr>
            <m:ctrlPr>
              <w:rPr>
                <w:rFonts w:ascii="Cambria Math" w:hAnsi="Cambria Math" w:cs="Times New Roman"/>
                <w:i w:val="0"/>
                <w:sz w:val="24"/>
                <w:szCs w:val="24"/>
              </w:rPr>
            </m:ctrlPr>
          </m:sSubPr>
          <m:e>
            <m:r>
              <m:rPr>
                <m:sty m:val="bi"/>
              </m:rPr>
              <w:rPr>
                <w:rFonts w:ascii="Cambria Math" w:hAnsi="Cambria Math" w:cs="Times New Roman"/>
                <w:sz w:val="24"/>
                <w:szCs w:val="24"/>
                <w:lang w:val="ru-RU"/>
              </w:rPr>
              <m:t xml:space="preserve"> </m:t>
            </m:r>
            <m:r>
              <m:rPr>
                <m:sty m:val="bi"/>
              </m:rPr>
              <w:rPr>
                <w:rFonts w:ascii="Cambria Math" w:hAnsi="Cambria Math" w:cs="Times New Roman"/>
                <w:sz w:val="24"/>
                <w:szCs w:val="24"/>
              </w:rPr>
              <m:t>B</m:t>
            </m:r>
          </m:e>
          <m:sub>
            <m:r>
              <m:rPr>
                <m:sty m:val="bi"/>
              </m:rPr>
              <w:rPr>
                <w:rFonts w:ascii="Cambria Math" w:hAnsi="Cambria Math" w:cs="Times New Roman"/>
                <w:sz w:val="24"/>
                <w:szCs w:val="24"/>
              </w:rPr>
              <m:t>B</m:t>
            </m:r>
          </m:sub>
        </m:sSub>
      </m:oMath>
      <w:r w:rsidRPr="00F06DE2">
        <w:rPr>
          <w:rFonts w:ascii="Times New Roman" w:hAnsi="Times New Roman" w:cs="Times New Roman"/>
          <w:b w:val="0"/>
          <w:i w:val="0"/>
          <w:sz w:val="24"/>
          <w:szCs w:val="24"/>
          <w:lang w:val="ru-RU"/>
        </w:rPr>
        <w:t xml:space="preserve">: Ширина на корабната лодка в </w:t>
      </w:r>
      <w:r w:rsidRPr="00F06DE2">
        <w:rPr>
          <w:rFonts w:ascii="Times New Roman" w:hAnsi="Times New Roman" w:cs="Times New Roman"/>
          <w:b w:val="0"/>
          <w:i w:val="0"/>
          <w:sz w:val="24"/>
          <w:szCs w:val="24"/>
        </w:rPr>
        <w:t>m</w:t>
      </w:r>
      <w:r w:rsidRPr="00F06DE2">
        <w:rPr>
          <w:rFonts w:ascii="Times New Roman" w:hAnsi="Times New Roman" w:cs="Times New Roman"/>
          <w:b w:val="0"/>
          <w:i w:val="0"/>
          <w:sz w:val="24"/>
          <w:szCs w:val="24"/>
          <w:lang w:val="ru-RU"/>
        </w:rPr>
        <w:t>;</w:t>
      </w:r>
    </w:p>
    <w:p w14:paraId="1DB4151E" w14:textId="77777777" w:rsidR="00271FA2" w:rsidRPr="00F06DE2" w:rsidRDefault="00D35E51" w:rsidP="00523664">
      <w:pPr>
        <w:pStyle w:val="ES-Titre3a"/>
        <w:spacing w:after="0" w:line="240" w:lineRule="atLeast"/>
        <w:ind w:leftChars="295" w:left="64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ab/>
      </w:r>
      <m:oMath>
        <m:sSub>
          <m:sSubPr>
            <m:ctrlPr>
              <w:rPr>
                <w:rFonts w:ascii="Cambria Math" w:hAnsi="Cambria Math" w:cs="Times New Roman"/>
                <w:b w:val="0"/>
                <w:i w:val="0"/>
                <w:sz w:val="24"/>
                <w:szCs w:val="24"/>
              </w:rPr>
            </m:ctrlPr>
          </m:sSubPr>
          <m:e>
            <m:r>
              <m:rPr>
                <m:sty m:val="bi"/>
              </m:rPr>
              <w:rPr>
                <w:rFonts w:ascii="Cambria Math" w:hAnsi="Cambria Math" w:cs="Times New Roman"/>
                <w:sz w:val="24"/>
                <w:szCs w:val="24"/>
                <w:lang w:val="ru-RU"/>
              </w:rPr>
              <m:t xml:space="preserve"> </m:t>
            </m:r>
            <m:r>
              <m:rPr>
                <m:sty m:val="bi"/>
              </m:rPr>
              <w:rPr>
                <w:rFonts w:ascii="Cambria Math" w:hAnsi="Cambria Math" w:cs="Times New Roman"/>
                <w:sz w:val="24"/>
                <w:szCs w:val="24"/>
              </w:rPr>
              <m:t>H</m:t>
            </m:r>
          </m:e>
          <m:sub>
            <m:r>
              <m:rPr>
                <m:sty m:val="bi"/>
              </m:rPr>
              <w:rPr>
                <w:rFonts w:ascii="Cambria Math" w:hAnsi="Cambria Math" w:cs="Times New Roman"/>
                <w:sz w:val="24"/>
                <w:szCs w:val="24"/>
              </w:rPr>
              <m:t>B</m:t>
            </m:r>
          </m:sub>
        </m:sSub>
      </m:oMath>
      <w:r w:rsidRPr="00F06DE2">
        <w:rPr>
          <w:rFonts w:ascii="Times New Roman" w:hAnsi="Times New Roman" w:cs="Times New Roman"/>
          <w:b w:val="0"/>
          <w:i w:val="0"/>
          <w:sz w:val="24"/>
          <w:szCs w:val="24"/>
          <w:lang w:val="ru-RU"/>
        </w:rPr>
        <w:t xml:space="preserve">: Височина на бордовете на лодката в </w:t>
      </w:r>
      <w:r w:rsidRPr="00F06DE2">
        <w:rPr>
          <w:rFonts w:ascii="Times New Roman" w:hAnsi="Times New Roman" w:cs="Times New Roman"/>
          <w:b w:val="0"/>
          <w:i w:val="0"/>
          <w:sz w:val="24"/>
          <w:szCs w:val="24"/>
        </w:rPr>
        <w:t>m</w:t>
      </w:r>
      <w:r w:rsidRPr="00F06DE2">
        <w:rPr>
          <w:rFonts w:ascii="Times New Roman" w:hAnsi="Times New Roman" w:cs="Times New Roman"/>
          <w:b w:val="0"/>
          <w:i w:val="0"/>
          <w:sz w:val="24"/>
          <w:szCs w:val="24"/>
          <w:lang w:val="ru-RU"/>
        </w:rPr>
        <w:t>.</w:t>
      </w:r>
    </w:p>
    <w:p w14:paraId="209AE91B" w14:textId="77777777" w:rsidR="00271FA2" w:rsidRPr="00F06DE2" w:rsidRDefault="00D35E51" w:rsidP="00523664">
      <w:pPr>
        <w:pStyle w:val="ES-Titre3a"/>
        <w:tabs>
          <w:tab w:val="left" w:pos="709"/>
        </w:tabs>
        <w:spacing w:after="0" w:line="240" w:lineRule="atLeast"/>
        <w:ind w:leftChars="295" w:left="649" w:firstLineChars="5" w:firstLine="12"/>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ab/>
        <w:t>Съответствието на Корабната лодка с тези условия се потвърждава от експерт, а условията „в“ и „д“ се проверяват чрез практически тестове в стояща вода.</w:t>
      </w:r>
    </w:p>
    <w:p w14:paraId="71ED818B" w14:textId="77777777" w:rsidR="00271FA2" w:rsidRPr="00F06DE2" w:rsidRDefault="00D35E51" w:rsidP="00523664">
      <w:pPr>
        <w:pStyle w:val="ES-Titre3a"/>
        <w:spacing w:after="0" w:line="240" w:lineRule="atLeast"/>
        <w:ind w:left="567" w:hanging="567"/>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3.</w:t>
      </w:r>
      <w:r w:rsidRPr="00F06DE2">
        <w:rPr>
          <w:rFonts w:ascii="Times New Roman" w:hAnsi="Times New Roman" w:cs="Times New Roman"/>
          <w:b w:val="0"/>
          <w:i w:val="0"/>
          <w:sz w:val="24"/>
          <w:szCs w:val="24"/>
          <w:lang w:val="ru-RU"/>
        </w:rPr>
        <w:tab/>
        <w:t>Корабните лодки съгласно точка 1 трябва да бъдат маркирани с метална пластина в съотвествие със следния модел:</w:t>
      </w:r>
    </w:p>
    <w:p w14:paraId="3F8F93B1" w14:textId="77777777" w:rsidR="00271FA2" w:rsidRPr="00F06DE2" w:rsidRDefault="00271FA2" w:rsidP="00523664">
      <w:pPr>
        <w:pStyle w:val="ES-Titre3a"/>
        <w:tabs>
          <w:tab w:val="left" w:pos="709"/>
        </w:tabs>
        <w:spacing w:after="0" w:line="240" w:lineRule="atLeast"/>
        <w:ind w:left="567" w:hanging="567"/>
        <w:jc w:val="both"/>
        <w:rPr>
          <w:rFonts w:ascii="Times New Roman" w:hAnsi="Times New Roman" w:cs="Times New Roman"/>
          <w:b w:val="0"/>
          <w:sz w:val="24"/>
          <w:szCs w:val="24"/>
          <w:lang w:val="ru-RU"/>
        </w:rPr>
      </w:pPr>
    </w:p>
    <w:tbl>
      <w:tblPr>
        <w:tblStyle w:val="TableGrid"/>
        <w:tblW w:w="0" w:type="auto"/>
        <w:jc w:val="center"/>
        <w:tblLook w:val="04A0" w:firstRow="1" w:lastRow="0" w:firstColumn="1" w:lastColumn="0" w:noHBand="0" w:noVBand="1"/>
      </w:tblPr>
      <w:tblGrid>
        <w:gridCol w:w="4536"/>
        <w:gridCol w:w="6211"/>
      </w:tblGrid>
      <w:tr w:rsidR="00271FA2" w:rsidRPr="00F06DE2" w14:paraId="22AA742C" w14:textId="77777777" w:rsidTr="00523664">
        <w:trPr>
          <w:jc w:val="center"/>
        </w:trPr>
        <w:tc>
          <w:tcPr>
            <w:tcW w:w="4536" w:type="dxa"/>
          </w:tcPr>
          <w:p w14:paraId="0221B59C" w14:textId="77777777" w:rsidR="00271FA2" w:rsidRPr="00F06DE2" w:rsidRDefault="00D35E51">
            <w:pPr>
              <w:spacing w:line="240" w:lineRule="atLeast"/>
              <w:rPr>
                <w:rFonts w:ascii="Times New Roman" w:hAnsi="Times New Roman" w:cs="Times New Roman"/>
                <w:lang w:val="ru-RU"/>
              </w:rPr>
            </w:pPr>
            <w:r w:rsidRPr="00F06DE2">
              <w:rPr>
                <w:rFonts w:ascii="Times New Roman" w:hAnsi="Times New Roman" w:cs="Times New Roman"/>
                <w:lang w:val="ru-RU"/>
              </w:rPr>
              <w:t>Корабна лодка:</w:t>
            </w:r>
          </w:p>
          <w:p w14:paraId="6240E003" w14:textId="77777777" w:rsidR="00271FA2" w:rsidRPr="00F06DE2" w:rsidRDefault="00D35E51">
            <w:pPr>
              <w:spacing w:line="240" w:lineRule="atLeast"/>
              <w:rPr>
                <w:rFonts w:ascii="Times New Roman" w:hAnsi="Times New Roman" w:cs="Times New Roman"/>
                <w:lang w:val="ru-RU"/>
              </w:rPr>
            </w:pPr>
            <w:r w:rsidRPr="00F06DE2">
              <w:rPr>
                <w:rFonts w:ascii="Times New Roman" w:hAnsi="Times New Roman" w:cs="Times New Roman"/>
                <w:lang w:val="ru-RU"/>
              </w:rPr>
              <w:lastRenderedPageBreak/>
              <w:t>УНИКАЛЕН ЕВРОПЕЙСКИ ИДЕНТИФИКАЦИОНЕН НОМЕР</w:t>
            </w:r>
          </w:p>
          <w:p w14:paraId="6DDEB1B9" w14:textId="77777777" w:rsidR="00271FA2" w:rsidRPr="00F06DE2" w:rsidRDefault="00D35E51">
            <w:pPr>
              <w:spacing w:line="240" w:lineRule="atLeast"/>
              <w:rPr>
                <w:rFonts w:ascii="Times New Roman" w:hAnsi="Times New Roman" w:cs="Times New Roman"/>
                <w:lang w:val="ru-RU"/>
              </w:rPr>
            </w:pPr>
            <w:r w:rsidRPr="00F06DE2">
              <w:rPr>
                <w:rFonts w:ascii="Times New Roman" w:hAnsi="Times New Roman" w:cs="Times New Roman"/>
                <w:lang w:val="ru-RU"/>
              </w:rPr>
              <w:t>НОМЕР НА РЕЙНСКИЯ ИНСПЕКЦИОНЕН СЕРТИФИКАТ НА КОРАБА/КОРАБНОТО УДОСТОВЕРЕНИЕ ЗА ВЪТРЕШНО КОРАБОПЛАВАНЕ</w:t>
            </w:r>
          </w:p>
          <w:p w14:paraId="135506DD"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ИНСПЕКЦИОНЕН ОРГАН</w:t>
            </w:r>
          </w:p>
        </w:tc>
        <w:tc>
          <w:tcPr>
            <w:tcW w:w="4536" w:type="dxa"/>
          </w:tcPr>
          <w:p w14:paraId="3FF4FB1E" w14:textId="77777777" w:rsidR="00271FA2" w:rsidRPr="00F06DE2" w:rsidRDefault="00271FA2">
            <w:pPr>
              <w:spacing w:line="240" w:lineRule="atLeast"/>
              <w:jc w:val="both"/>
              <w:rPr>
                <w:rFonts w:ascii="Times New Roman" w:hAnsi="Times New Roman" w:cs="Times New Roman"/>
              </w:rPr>
            </w:pPr>
          </w:p>
          <w:p w14:paraId="3452758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w:t>
            </w:r>
          </w:p>
          <w:p w14:paraId="5A73AEC2" w14:textId="77777777" w:rsidR="00271FA2" w:rsidRPr="00F06DE2" w:rsidRDefault="00271FA2">
            <w:pPr>
              <w:spacing w:line="240" w:lineRule="atLeast"/>
              <w:jc w:val="both"/>
              <w:rPr>
                <w:rFonts w:ascii="Times New Roman" w:hAnsi="Times New Roman" w:cs="Times New Roman"/>
              </w:rPr>
            </w:pPr>
          </w:p>
          <w:p w14:paraId="230425D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w:t>
            </w:r>
          </w:p>
          <w:p w14:paraId="712C6904" w14:textId="77777777" w:rsidR="00271FA2" w:rsidRPr="00F06DE2" w:rsidRDefault="00271FA2">
            <w:pPr>
              <w:spacing w:line="240" w:lineRule="atLeast"/>
              <w:jc w:val="both"/>
              <w:rPr>
                <w:rFonts w:ascii="Times New Roman" w:hAnsi="Times New Roman" w:cs="Times New Roman"/>
              </w:rPr>
            </w:pPr>
          </w:p>
          <w:p w14:paraId="4FC5BC55" w14:textId="77777777" w:rsidR="00271FA2" w:rsidRPr="00F06DE2" w:rsidRDefault="00271FA2">
            <w:pPr>
              <w:spacing w:line="240" w:lineRule="atLeast"/>
              <w:jc w:val="both"/>
              <w:rPr>
                <w:rFonts w:ascii="Times New Roman" w:hAnsi="Times New Roman" w:cs="Times New Roman"/>
              </w:rPr>
            </w:pPr>
          </w:p>
          <w:p w14:paraId="6FD6E8B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w:t>
            </w:r>
          </w:p>
        </w:tc>
      </w:tr>
    </w:tbl>
    <w:p w14:paraId="00377EC0" w14:textId="77777777" w:rsidR="00271FA2" w:rsidRPr="00F06DE2" w:rsidRDefault="00D35E51">
      <w:pPr>
        <w:spacing w:line="240" w:lineRule="atLeast"/>
        <w:ind w:firstLine="660"/>
        <w:jc w:val="both"/>
        <w:rPr>
          <w:rFonts w:ascii="Times New Roman" w:hAnsi="Times New Roman" w:cs="Times New Roman"/>
          <w:lang w:val="ru-RU"/>
        </w:rPr>
      </w:pPr>
      <w:r w:rsidRPr="00F06DE2">
        <w:rPr>
          <w:rFonts w:ascii="Times New Roman" w:hAnsi="Times New Roman" w:cs="Times New Roman"/>
          <w:lang w:val="ru-RU"/>
        </w:rPr>
        <w:lastRenderedPageBreak/>
        <w:t>Показанията на металната пластина трябва да бъдат потвърдени от контролния орган, чрез печат върху металната табела.</w:t>
      </w:r>
    </w:p>
    <w:p w14:paraId="6C063927" w14:textId="77777777" w:rsidR="00271FA2" w:rsidRPr="00F06DE2" w:rsidRDefault="00271FA2">
      <w:pPr>
        <w:spacing w:line="240" w:lineRule="atLeast"/>
        <w:ind w:left="567" w:hanging="567"/>
        <w:rPr>
          <w:rFonts w:ascii="Times New Roman" w:hAnsi="Times New Roman" w:cs="Times New Roman"/>
          <w:lang w:val="ru-RU"/>
        </w:rPr>
      </w:pPr>
    </w:p>
    <w:p w14:paraId="45CB9038" w14:textId="77777777" w:rsidR="00271FA2" w:rsidRPr="00F06DE2" w:rsidRDefault="00271FA2">
      <w:pPr>
        <w:spacing w:line="240" w:lineRule="atLeast"/>
        <w:ind w:left="567" w:hanging="567"/>
        <w:rPr>
          <w:rFonts w:ascii="Times New Roman" w:hAnsi="Times New Roman" w:cs="Times New Roman"/>
          <w:lang w:val="ru-RU"/>
        </w:rPr>
        <w:sectPr w:rsidR="00271FA2" w:rsidRPr="00F06DE2" w:rsidSect="00DB7663">
          <w:headerReference w:type="default" r:id="rId95"/>
          <w:headerReference w:type="first" r:id="rId96"/>
          <w:footnotePr>
            <w:numRestart w:val="eachPage"/>
          </w:footnotePr>
          <w:pgSz w:w="16838" w:h="11906" w:orient="landscape"/>
          <w:pgMar w:top="1134" w:right="1134" w:bottom="1134" w:left="1134" w:header="709" w:footer="709" w:gutter="0"/>
          <w:cols w:space="709"/>
          <w:titlePg/>
          <w:docGrid w:linePitch="272"/>
        </w:sectPr>
      </w:pPr>
    </w:p>
    <w:p w14:paraId="2D6890BB" w14:textId="77777777" w:rsidR="00271FA2" w:rsidRPr="00F06DE2" w:rsidRDefault="00271FA2">
      <w:pPr>
        <w:spacing w:line="240" w:lineRule="atLeast"/>
        <w:ind w:left="567" w:hanging="567"/>
        <w:rPr>
          <w:rFonts w:ascii="Times New Roman" w:hAnsi="Times New Roman" w:cs="Times New Roman"/>
          <w:lang w:val="ru-RU"/>
        </w:rPr>
      </w:pPr>
    </w:p>
    <w:p w14:paraId="1F852E5A" w14:textId="77777777" w:rsidR="00271FA2" w:rsidRPr="00F06DE2" w:rsidRDefault="00D35E51">
      <w:pPr>
        <w:pStyle w:val="ES-Titre2"/>
        <w:pageBreakBefore w:val="0"/>
        <w:rPr>
          <w:rFonts w:ascii="Times New Roman" w:hAnsi="Times New Roman" w:cs="Times New Roman"/>
          <w:lang w:val="ru-RU"/>
        </w:rPr>
      </w:pPr>
      <w:bookmarkStart w:id="565" w:name="_Toc535827724"/>
      <w:bookmarkStart w:id="566" w:name="_Toc491854283"/>
      <w:r w:rsidRPr="00F06DE2">
        <w:rPr>
          <w:rFonts w:ascii="Times New Roman" w:hAnsi="Times New Roman" w:cs="Times New Roman"/>
          <w:lang w:val="ru-RU"/>
        </w:rPr>
        <w:t>Глава 33</w:t>
      </w:r>
      <w:r w:rsidRPr="00F06DE2">
        <w:rPr>
          <w:rFonts w:ascii="Times New Roman" w:hAnsi="Times New Roman" w:cs="Times New Roman"/>
          <w:lang w:val="ru-RU"/>
        </w:rPr>
        <w:br/>
        <w:t xml:space="preserve">Преходни разпоредби по отношение на плавателните средства, плаващи изключително по водните пътища извън река Рейн (зона </w:t>
      </w:r>
      <w:r w:rsidRPr="00F06DE2">
        <w:rPr>
          <w:rFonts w:ascii="Times New Roman" w:hAnsi="Times New Roman" w:cs="Times New Roman"/>
        </w:rPr>
        <w:t>R</w:t>
      </w:r>
      <w:r w:rsidRPr="00F06DE2">
        <w:rPr>
          <w:rFonts w:ascii="Times New Roman" w:hAnsi="Times New Roman" w:cs="Times New Roman"/>
          <w:lang w:val="ru-RU"/>
        </w:rPr>
        <w:t>)</w:t>
      </w:r>
      <w:bookmarkEnd w:id="565"/>
      <w:bookmarkEnd w:id="566"/>
    </w:p>
    <w:p w14:paraId="534FF30F" w14:textId="77777777" w:rsidR="00271FA2" w:rsidRPr="00F06DE2" w:rsidRDefault="00D35E51" w:rsidP="001F269B">
      <w:pPr>
        <w:pStyle w:val="ES-Titre3prchap32"/>
        <w:spacing w:before="240" w:after="0" w:line="240" w:lineRule="atLeast"/>
        <w:rPr>
          <w:rFonts w:ascii="Times New Roman" w:hAnsi="Times New Roman" w:cs="Times New Roman"/>
          <w:sz w:val="24"/>
          <w:szCs w:val="24"/>
          <w:lang w:val="ru-RU"/>
        </w:rPr>
      </w:pPr>
      <w:bookmarkStart w:id="567" w:name="_Toc535827725"/>
      <w:bookmarkStart w:id="568" w:name="_Toc491854284"/>
      <w:r w:rsidRPr="00F06DE2">
        <w:rPr>
          <w:rFonts w:ascii="Times New Roman" w:hAnsi="Times New Roman" w:cs="Times New Roman"/>
          <w:sz w:val="24"/>
          <w:szCs w:val="24"/>
          <w:lang w:val="ru-RU"/>
        </w:rPr>
        <w:t>Член 33.01</w:t>
      </w:r>
      <w:bookmarkEnd w:id="567"/>
      <w:bookmarkEnd w:id="568"/>
    </w:p>
    <w:p w14:paraId="3D2C616A" w14:textId="77777777" w:rsidR="00271FA2" w:rsidRPr="00F06DE2" w:rsidRDefault="00D35E51">
      <w:pPr>
        <w:pStyle w:val="ES-Titre3a"/>
        <w:spacing w:line="240" w:lineRule="atLeast"/>
        <w:rPr>
          <w:rFonts w:ascii="Times New Roman" w:hAnsi="Times New Roman" w:cs="Times New Roman"/>
          <w:sz w:val="24"/>
          <w:szCs w:val="24"/>
          <w:lang w:val="ru-RU"/>
        </w:rPr>
      </w:pPr>
      <w:bookmarkStart w:id="569" w:name="_Toc491854285"/>
      <w:bookmarkStart w:id="570" w:name="_Toc535827726"/>
      <w:bookmarkStart w:id="571" w:name="_Toc421775895"/>
      <w:r w:rsidRPr="00F06DE2">
        <w:rPr>
          <w:rFonts w:ascii="Times New Roman" w:hAnsi="Times New Roman" w:cs="Times New Roman"/>
          <w:sz w:val="24"/>
          <w:szCs w:val="24"/>
          <w:lang w:val="ru-RU"/>
        </w:rPr>
        <w:t>Приложимост на преходните разпоредби към плавателни средства, които са вече в експлоатация</w:t>
      </w:r>
      <w:bookmarkEnd w:id="569"/>
      <w:bookmarkEnd w:id="570"/>
      <w:bookmarkEnd w:id="571"/>
    </w:p>
    <w:p w14:paraId="6AA1E69D" w14:textId="77777777" w:rsidR="00271FA2" w:rsidRPr="00F06DE2" w:rsidRDefault="00D35E51" w:rsidP="001F269B">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1.</w:t>
      </w:r>
      <w:r w:rsidRPr="00F06DE2">
        <w:rPr>
          <w:rFonts w:ascii="Times New Roman" w:hAnsi="Times New Roman" w:cs="Times New Roman"/>
          <w:lang w:val="ru-RU"/>
        </w:rPr>
        <w:tab/>
        <w:t xml:space="preserve">Разпоредбите на член 33.02 и член 33.03 се прилагат по отношение на плавателни средства, плаващи изключително по водните пътища извън река Рейн (зона </w:t>
      </w:r>
      <w:r w:rsidRPr="00F06DE2">
        <w:rPr>
          <w:rFonts w:ascii="Times New Roman" w:hAnsi="Times New Roman" w:cs="Times New Roman"/>
        </w:rPr>
        <w:t>R</w:t>
      </w:r>
      <w:r w:rsidRPr="00F06DE2">
        <w:rPr>
          <w:rFonts w:ascii="Times New Roman" w:hAnsi="Times New Roman" w:cs="Times New Roman"/>
          <w:lang w:val="ru-RU"/>
        </w:rPr>
        <w:t>):</w:t>
      </w:r>
    </w:p>
    <w:p w14:paraId="6018FD55" w14:textId="77777777" w:rsidR="00271FA2" w:rsidRPr="00F06DE2" w:rsidRDefault="00D35E51" w:rsidP="001F269B">
      <w:pPr>
        <w:spacing w:line="240" w:lineRule="atLeast"/>
        <w:ind w:firstLine="56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за които удостоверение на Общността е било издадено първоначално преди 30 декември 2008 г.;</w:t>
      </w:r>
    </w:p>
    <w:p w14:paraId="39BBA016" w14:textId="77777777" w:rsidR="00271FA2" w:rsidRPr="00F06DE2" w:rsidRDefault="00D35E51" w:rsidP="001F269B">
      <w:pPr>
        <w:spacing w:line="240" w:lineRule="atLeast"/>
        <w:ind w:leftChars="236" w:left="519" w:firstLine="1"/>
        <w:jc w:val="both"/>
        <w:rPr>
          <w:rFonts w:ascii="Times New Roman" w:hAnsi="Times New Roman" w:cs="Times New Roman"/>
          <w:lang w:val="ru-RU"/>
        </w:rPr>
      </w:pPr>
      <w:r w:rsidRPr="00F06DE2">
        <w:rPr>
          <w:rFonts w:ascii="Times New Roman" w:hAnsi="Times New Roman" w:cs="Times New Roman"/>
          <w:lang w:val="ru-RU"/>
        </w:rPr>
        <w:t xml:space="preserve">б) за които друг лиценз за движение е бил издаден преди 30 декември 2008 г. </w:t>
      </w:r>
    </w:p>
    <w:p w14:paraId="6DF94FA5" w14:textId="77777777" w:rsidR="00271FA2" w:rsidRPr="00F06DE2" w:rsidRDefault="00D35E51" w:rsidP="001F269B">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 xml:space="preserve">Трябва да се докаже, че тези плавателни средства отговарят на техническите изисквания на Глави 1—12 от Приложение </w:t>
      </w:r>
      <w:r w:rsidRPr="00F06DE2">
        <w:rPr>
          <w:rFonts w:ascii="Times New Roman" w:hAnsi="Times New Roman" w:cs="Times New Roman"/>
        </w:rPr>
        <w:t>II</w:t>
      </w:r>
      <w:r w:rsidRPr="00F06DE2">
        <w:rPr>
          <w:rFonts w:ascii="Times New Roman" w:hAnsi="Times New Roman" w:cs="Times New Roman"/>
          <w:lang w:val="ru-RU"/>
        </w:rPr>
        <w:t xml:space="preserve"> към Директива 82/714/ЕИО към датата, на която е издаден(о) удостоверението на Общността или другият лиценз за движение.</w:t>
      </w:r>
    </w:p>
    <w:p w14:paraId="10715D1D" w14:textId="77777777" w:rsidR="00271FA2" w:rsidRPr="00F06DE2" w:rsidRDefault="00D35E51" w:rsidP="001F269B">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3.</w:t>
      </w:r>
      <w:r w:rsidRPr="00F06DE2">
        <w:rPr>
          <w:rFonts w:ascii="Times New Roman" w:hAnsi="Times New Roman" w:cs="Times New Roman"/>
          <w:lang w:val="ru-RU"/>
        </w:rPr>
        <w:tab/>
        <w:t>Удостоверенията на Общността, издадени преди 30 декември 2008 г., остават валидни до датата на изтичане на срока им, посочена в тях.</w:t>
      </w:r>
    </w:p>
    <w:p w14:paraId="680DD1DD" w14:textId="77777777" w:rsidR="00271FA2" w:rsidRPr="00F06DE2" w:rsidRDefault="00D35E51" w:rsidP="001F269B">
      <w:pPr>
        <w:pStyle w:val="ES-Titre3"/>
        <w:spacing w:after="0" w:line="240" w:lineRule="atLeast"/>
        <w:ind w:left="567" w:hanging="567"/>
        <w:rPr>
          <w:rFonts w:ascii="Times New Roman" w:hAnsi="Times New Roman" w:cs="Times New Roman"/>
          <w:sz w:val="24"/>
          <w:szCs w:val="24"/>
          <w:lang w:val="ru-RU"/>
        </w:rPr>
      </w:pPr>
      <w:bookmarkStart w:id="572" w:name="_Toc491854286"/>
      <w:bookmarkStart w:id="573" w:name="_Toc535827727"/>
      <w:r w:rsidRPr="00F06DE2">
        <w:rPr>
          <w:rFonts w:ascii="Times New Roman" w:hAnsi="Times New Roman" w:cs="Times New Roman"/>
          <w:sz w:val="24"/>
          <w:szCs w:val="24"/>
          <w:lang w:val="ru-RU"/>
        </w:rPr>
        <w:t>Член 33.02</w:t>
      </w:r>
      <w:bookmarkEnd w:id="572"/>
      <w:bookmarkEnd w:id="573"/>
    </w:p>
    <w:p w14:paraId="7538EB31" w14:textId="77777777" w:rsidR="00271FA2" w:rsidRPr="00F06DE2" w:rsidRDefault="00D35E51">
      <w:pPr>
        <w:pStyle w:val="ES-Titre3a"/>
        <w:spacing w:line="240" w:lineRule="atLeast"/>
        <w:rPr>
          <w:rFonts w:ascii="Times New Roman" w:hAnsi="Times New Roman" w:cs="Times New Roman"/>
          <w:sz w:val="24"/>
          <w:szCs w:val="24"/>
          <w:lang w:val="ru-RU"/>
        </w:rPr>
      </w:pPr>
      <w:bookmarkStart w:id="574" w:name="_Toc491854287"/>
      <w:bookmarkStart w:id="575" w:name="_Toc535827728"/>
      <w:bookmarkStart w:id="576" w:name="_Toc421775897"/>
      <w:r w:rsidRPr="00F06DE2">
        <w:rPr>
          <w:rFonts w:ascii="Times New Roman" w:hAnsi="Times New Roman" w:cs="Times New Roman"/>
          <w:sz w:val="24"/>
          <w:szCs w:val="24"/>
          <w:lang w:val="ru-RU"/>
        </w:rPr>
        <w:t>Преходни разпоредби относно плавателните средства, които вече са в експлоатация</w:t>
      </w:r>
      <w:bookmarkEnd w:id="574"/>
      <w:bookmarkEnd w:id="575"/>
      <w:bookmarkEnd w:id="576"/>
    </w:p>
    <w:p w14:paraId="23A3A3D3" w14:textId="77777777" w:rsidR="00271FA2" w:rsidRPr="00F06DE2" w:rsidRDefault="00D35E51" w:rsidP="001F269B">
      <w:pPr>
        <w:spacing w:line="240" w:lineRule="atLeast"/>
        <w:ind w:left="567" w:hanging="567"/>
        <w:jc w:val="both"/>
        <w:rPr>
          <w:rFonts w:ascii="Times New Roman" w:hAnsi="Times New Roman" w:cs="Times New Roman"/>
          <w:b/>
          <w:lang w:val="ru-RU"/>
        </w:rPr>
      </w:pPr>
      <w:r w:rsidRPr="00F06DE2">
        <w:rPr>
          <w:rFonts w:ascii="Times New Roman" w:hAnsi="Times New Roman" w:cs="Times New Roman"/>
          <w:lang w:val="ru-RU"/>
        </w:rPr>
        <w:t>1.</w:t>
      </w:r>
      <w:r w:rsidRPr="00F06DE2">
        <w:rPr>
          <w:rFonts w:ascii="Times New Roman" w:hAnsi="Times New Roman" w:cs="Times New Roman"/>
          <w:lang w:val="ru-RU"/>
        </w:rPr>
        <w:tab/>
        <w:t>Плавателни средства, които не отговарят изцяло на изискванията на настоящия стандарт:</w:t>
      </w:r>
    </w:p>
    <w:p w14:paraId="57D09437" w14:textId="77777777" w:rsidR="00271FA2" w:rsidRPr="00F06DE2" w:rsidRDefault="00D35E51" w:rsidP="001F269B">
      <w:pPr>
        <w:spacing w:line="240" w:lineRule="atLeast"/>
        <w:ind w:leftChars="235" w:left="517"/>
        <w:jc w:val="both"/>
        <w:rPr>
          <w:rFonts w:ascii="Times New Roman" w:hAnsi="Times New Roman" w:cs="Times New Roman"/>
          <w:lang w:val="ru-RU"/>
        </w:rPr>
      </w:pPr>
      <w:r w:rsidRPr="00F06DE2">
        <w:rPr>
          <w:rFonts w:ascii="Times New Roman" w:hAnsi="Times New Roman" w:cs="Times New Roman"/>
        </w:rPr>
        <w:t>a</w:t>
      </w:r>
      <w:r w:rsidRPr="00F06DE2">
        <w:rPr>
          <w:rFonts w:ascii="Times New Roman" w:hAnsi="Times New Roman" w:cs="Times New Roman"/>
          <w:lang w:val="ru-RU"/>
        </w:rPr>
        <w:t>) трябва да бъдат адаптирани, за да бъдат в съответствие с тези разпоредби съгласно преходните разпоредби, изброени в таблицата по-долу; и</w:t>
      </w:r>
    </w:p>
    <w:p w14:paraId="77D2F584" w14:textId="77777777" w:rsidR="00271FA2" w:rsidRPr="00F06DE2" w:rsidRDefault="00D35E51" w:rsidP="001F269B">
      <w:pPr>
        <w:spacing w:line="240" w:lineRule="atLeast"/>
        <w:ind w:leftChars="235" w:left="517"/>
        <w:jc w:val="both"/>
        <w:rPr>
          <w:rFonts w:ascii="Times New Roman" w:hAnsi="Times New Roman" w:cs="Times New Roman"/>
          <w:lang w:val="ru-RU"/>
        </w:rPr>
      </w:pPr>
      <w:r w:rsidRPr="00F06DE2">
        <w:rPr>
          <w:rFonts w:ascii="Times New Roman" w:hAnsi="Times New Roman" w:cs="Times New Roman"/>
          <w:lang w:val="ru-RU"/>
        </w:rPr>
        <w:t xml:space="preserve">б) до привеждането им в съответствие, трябва да отговарят на изискванията, определени в Глави 1—12 от Приложение </w:t>
      </w:r>
      <w:r w:rsidRPr="00F06DE2">
        <w:rPr>
          <w:rFonts w:ascii="Times New Roman" w:hAnsi="Times New Roman" w:cs="Times New Roman"/>
        </w:rPr>
        <w:t>II</w:t>
      </w:r>
      <w:r w:rsidRPr="00F06DE2">
        <w:rPr>
          <w:rFonts w:ascii="Times New Roman" w:hAnsi="Times New Roman" w:cs="Times New Roman"/>
          <w:lang w:val="ru-RU"/>
        </w:rPr>
        <w:t xml:space="preserve"> към Директива 82/714/ЕИО.</w:t>
      </w:r>
    </w:p>
    <w:p w14:paraId="7321CC99" w14:textId="77777777" w:rsidR="00271FA2" w:rsidRPr="00F06DE2" w:rsidRDefault="00D35E51" w:rsidP="001F269B">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Когато се издава ново Корабно удостоверение за вътрешно корабоплаване, както е определено в член 33.01, точка 1, удостоверението на Общността или другият лиценз за движение се представят като потвърждаване, след което удостоверението на Общността или другият лиценз за движение се отменят и датата на издаване на удостоверението на Общността или другия лиценз за движение се записва в точка 52 от новото Корабно удостоверение за вътрешно корабоплаване, както следва:</w:t>
      </w:r>
    </w:p>
    <w:p w14:paraId="72B30F54" w14:textId="77777777" w:rsidR="00271FA2" w:rsidRPr="00F06DE2" w:rsidRDefault="00D35E51" w:rsidP="001F269B">
      <w:pPr>
        <w:spacing w:line="240" w:lineRule="atLeast"/>
        <w:ind w:left="567"/>
        <w:jc w:val="center"/>
        <w:rPr>
          <w:rFonts w:ascii="Times New Roman" w:hAnsi="Times New Roman" w:cs="Times New Roman"/>
          <w:lang w:val="ru-RU"/>
        </w:rPr>
      </w:pPr>
      <w:r w:rsidRPr="00F06DE2">
        <w:rPr>
          <w:rFonts w:ascii="Times New Roman" w:hAnsi="Times New Roman" w:cs="Times New Roman"/>
          <w:lang w:val="ru-RU"/>
        </w:rPr>
        <w:t>„Удостоверение на Общността съгласно Директива 82/714/ЕИО е издадено ...“/</w:t>
      </w:r>
    </w:p>
    <w:p w14:paraId="5A5FEC32" w14:textId="77777777" w:rsidR="00271FA2" w:rsidRPr="00F06DE2" w:rsidRDefault="00D35E51" w:rsidP="001F269B">
      <w:pPr>
        <w:spacing w:line="240" w:lineRule="atLeast"/>
        <w:ind w:left="567"/>
        <w:jc w:val="center"/>
        <w:rPr>
          <w:rFonts w:ascii="Times New Roman" w:hAnsi="Times New Roman" w:cs="Times New Roman"/>
          <w:lang w:val="ru-RU"/>
        </w:rPr>
      </w:pPr>
      <w:r w:rsidRPr="00F06DE2">
        <w:rPr>
          <w:rFonts w:ascii="Times New Roman" w:hAnsi="Times New Roman" w:cs="Times New Roman"/>
          <w:lang w:val="ru-RU"/>
        </w:rPr>
        <w:t>„Лиценз за движение съгласно [...] е издаден на: …“</w:t>
      </w:r>
    </w:p>
    <w:p w14:paraId="2CF51C8C" w14:textId="77777777" w:rsidR="00271FA2" w:rsidRPr="00F06DE2" w:rsidRDefault="00D35E51" w:rsidP="001F269B">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 таблицата по-долу важат следните определения:</w:t>
      </w:r>
    </w:p>
    <w:p w14:paraId="5254ED4B" w14:textId="77777777" w:rsidR="00271FA2" w:rsidRPr="00F06DE2" w:rsidRDefault="00D35E5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lastRenderedPageBreak/>
        <w:t xml:space="preserve">„НЗР“: разпоредбата не се прилага за плавателни средства, които вече са в експлоатация, освен ако въпросните части не бъдат заменени или преустроени, т.е. разпоредбата важи само по отношение на </w:t>
      </w:r>
      <w:r w:rsidRPr="00F06DE2">
        <w:rPr>
          <w:rFonts w:ascii="Times New Roman" w:hAnsi="Times New Roman" w:cs="Times New Roman"/>
          <w:u w:val="single"/>
          <w:lang w:val="ru-RU"/>
        </w:rPr>
        <w:t>Н</w:t>
      </w:r>
      <w:r w:rsidRPr="00F06DE2">
        <w:rPr>
          <w:rFonts w:ascii="Times New Roman" w:hAnsi="Times New Roman" w:cs="Times New Roman"/>
          <w:lang w:val="ru-RU"/>
        </w:rPr>
        <w:t xml:space="preserve">овоизградени плавателни средства и на </w:t>
      </w:r>
      <w:r w:rsidRPr="00F06DE2">
        <w:rPr>
          <w:rFonts w:ascii="Times New Roman" w:hAnsi="Times New Roman" w:cs="Times New Roman"/>
          <w:u w:val="single"/>
          <w:lang w:val="ru-RU"/>
        </w:rPr>
        <w:t>З</w:t>
      </w:r>
      <w:r w:rsidRPr="00F06DE2">
        <w:rPr>
          <w:rFonts w:ascii="Times New Roman" w:hAnsi="Times New Roman" w:cs="Times New Roman"/>
          <w:lang w:val="ru-RU"/>
        </w:rPr>
        <w:t xml:space="preserve">амяната или </w:t>
      </w:r>
      <w:r w:rsidRPr="00F06DE2">
        <w:rPr>
          <w:rFonts w:ascii="Times New Roman" w:hAnsi="Times New Roman" w:cs="Times New Roman"/>
          <w:u w:val="single"/>
          <w:lang w:val="ru-RU"/>
        </w:rPr>
        <w:t>Р</w:t>
      </w:r>
      <w:r w:rsidRPr="00F06DE2">
        <w:rPr>
          <w:rFonts w:ascii="Times New Roman" w:hAnsi="Times New Roman" w:cs="Times New Roman"/>
          <w:lang w:val="ru-RU"/>
        </w:rPr>
        <w:t xml:space="preserve">еконструкцията (преустройството) на въпросните части или пространства. В случай, че съществуващи части се заменят с части от същия вид при използване на същата технология, това не представлява замяна „З“ по смисъла на преходните разпоредби. </w:t>
      </w:r>
    </w:p>
    <w:p w14:paraId="1F202632" w14:textId="77777777" w:rsidR="00271FA2" w:rsidRPr="00F06DE2" w:rsidRDefault="00D35E51">
      <w:pPr>
        <w:tabs>
          <w:tab w:val="left" w:pos="4678"/>
        </w:tabs>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„Издаване или подновяване на Корабното удостоверение за вътрешно корабоплаване “: разпоредбата трябва да бъде спазена при следващото издаване или подновяване на Корабното удостоверение за вътрешно корабоплаване след посочената дата.</w:t>
      </w:r>
    </w:p>
    <w:p w14:paraId="41B221B9" w14:textId="77777777" w:rsidR="00271FA2" w:rsidRPr="00F06DE2" w:rsidRDefault="00271FA2">
      <w:pPr>
        <w:spacing w:line="240" w:lineRule="atLeast"/>
        <w:rPr>
          <w:rFonts w:ascii="Times New Roman" w:hAnsi="Times New Roman" w:cs="Times New Roman"/>
          <w:lang w:val="ru-RU"/>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2"/>
        <w:gridCol w:w="1458"/>
        <w:gridCol w:w="3296"/>
        <w:gridCol w:w="6324"/>
        <w:gridCol w:w="1609"/>
      </w:tblGrid>
      <w:tr w:rsidR="00271FA2" w:rsidRPr="00F06DE2" w14:paraId="077F70AB" w14:textId="77777777" w:rsidTr="00C04891">
        <w:trPr>
          <w:cantSplit/>
          <w:tblHeader/>
          <w:jc w:val="center"/>
        </w:trPr>
        <w:tc>
          <w:tcPr>
            <w:tcW w:w="2800" w:type="dxa"/>
            <w:gridSpan w:val="2"/>
            <w:shd w:val="clear" w:color="auto" w:fill="auto"/>
          </w:tcPr>
          <w:p w14:paraId="69C48601"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Член и точка</w:t>
            </w:r>
          </w:p>
        </w:tc>
        <w:tc>
          <w:tcPr>
            <w:tcW w:w="3296" w:type="dxa"/>
            <w:shd w:val="clear" w:color="auto" w:fill="auto"/>
          </w:tcPr>
          <w:p w14:paraId="3355BF5D"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Съдържание</w:t>
            </w:r>
          </w:p>
        </w:tc>
        <w:tc>
          <w:tcPr>
            <w:tcW w:w="7933" w:type="dxa"/>
            <w:gridSpan w:val="2"/>
            <w:shd w:val="clear" w:color="auto" w:fill="auto"/>
          </w:tcPr>
          <w:p w14:paraId="7B9B14F2"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Краен срок и бележки</w:t>
            </w:r>
          </w:p>
        </w:tc>
      </w:tr>
      <w:tr w:rsidR="00271FA2" w:rsidRPr="00F06DE2" w14:paraId="5DE7CF19" w14:textId="77777777" w:rsidTr="00C04891">
        <w:trPr>
          <w:cantSplit/>
          <w:jc w:val="center"/>
        </w:trPr>
        <w:tc>
          <w:tcPr>
            <w:tcW w:w="6096" w:type="dxa"/>
            <w:gridSpan w:val="3"/>
            <w:shd w:val="clear" w:color="auto" w:fill="auto"/>
          </w:tcPr>
          <w:p w14:paraId="3F120133"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t>ГЛАВА 3</w:t>
            </w:r>
          </w:p>
        </w:tc>
        <w:tc>
          <w:tcPr>
            <w:tcW w:w="6324" w:type="dxa"/>
            <w:shd w:val="clear" w:color="auto" w:fill="auto"/>
          </w:tcPr>
          <w:p w14:paraId="30C4DA65"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0AFB1881" w14:textId="77777777" w:rsidR="00271FA2" w:rsidRPr="00F06DE2" w:rsidRDefault="00271FA2">
            <w:pPr>
              <w:spacing w:line="240" w:lineRule="atLeast"/>
              <w:rPr>
                <w:rFonts w:ascii="Times New Roman" w:hAnsi="Times New Roman" w:cs="Times New Roman"/>
              </w:rPr>
            </w:pPr>
          </w:p>
        </w:tc>
      </w:tr>
      <w:tr w:rsidR="00271FA2" w:rsidRPr="00F06DE2" w14:paraId="1BE65F2C" w14:textId="77777777" w:rsidTr="00C04891">
        <w:trPr>
          <w:cantSplit/>
          <w:jc w:val="center"/>
        </w:trPr>
        <w:tc>
          <w:tcPr>
            <w:tcW w:w="1342" w:type="dxa"/>
            <w:vMerge w:val="restart"/>
            <w:shd w:val="clear" w:color="auto" w:fill="auto"/>
          </w:tcPr>
          <w:p w14:paraId="2100E1C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3.03</w:t>
            </w:r>
          </w:p>
        </w:tc>
        <w:tc>
          <w:tcPr>
            <w:tcW w:w="1458" w:type="dxa"/>
            <w:shd w:val="clear" w:color="auto" w:fill="auto"/>
          </w:tcPr>
          <w:p w14:paraId="39E348A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буква “a“</w:t>
            </w:r>
          </w:p>
        </w:tc>
        <w:tc>
          <w:tcPr>
            <w:tcW w:w="3296" w:type="dxa"/>
            <w:shd w:val="clear" w:color="auto" w:fill="auto"/>
          </w:tcPr>
          <w:p w14:paraId="5F66AD3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Положение на първата носова непроницаема преграда</w:t>
            </w:r>
          </w:p>
        </w:tc>
        <w:tc>
          <w:tcPr>
            <w:tcW w:w="6324" w:type="dxa"/>
            <w:shd w:val="clear" w:color="auto" w:fill="auto"/>
          </w:tcPr>
          <w:p w14:paraId="0111126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06FC661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30C51758" w14:textId="77777777" w:rsidTr="00C04891">
        <w:trPr>
          <w:cantSplit/>
          <w:jc w:val="center"/>
        </w:trPr>
        <w:tc>
          <w:tcPr>
            <w:tcW w:w="1342" w:type="dxa"/>
            <w:vMerge/>
            <w:shd w:val="clear" w:color="auto" w:fill="auto"/>
          </w:tcPr>
          <w:p w14:paraId="6FDDEAE5"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2F89357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буква “б“</w:t>
            </w:r>
          </w:p>
        </w:tc>
        <w:tc>
          <w:tcPr>
            <w:tcW w:w="3296" w:type="dxa"/>
            <w:shd w:val="clear" w:color="auto" w:fill="auto"/>
          </w:tcPr>
          <w:p w14:paraId="3DD4BF1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Положение на ахтерпиковата преграда</w:t>
            </w:r>
          </w:p>
        </w:tc>
        <w:tc>
          <w:tcPr>
            <w:tcW w:w="6324" w:type="dxa"/>
            <w:shd w:val="clear" w:color="auto" w:fill="auto"/>
          </w:tcPr>
          <w:p w14:paraId="25B2C8C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56CDD08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1263DE8D" w14:textId="77777777" w:rsidTr="00C04891">
        <w:trPr>
          <w:cantSplit/>
          <w:jc w:val="center"/>
        </w:trPr>
        <w:tc>
          <w:tcPr>
            <w:tcW w:w="1342" w:type="dxa"/>
            <w:vMerge/>
            <w:shd w:val="clear" w:color="auto" w:fill="auto"/>
          </w:tcPr>
          <w:p w14:paraId="141D5813" w14:textId="77777777" w:rsidR="00271FA2" w:rsidRPr="00F06DE2" w:rsidRDefault="00271FA2">
            <w:pPr>
              <w:spacing w:line="240" w:lineRule="atLeast"/>
              <w:jc w:val="both"/>
              <w:rPr>
                <w:rFonts w:ascii="Times New Roman" w:hAnsi="Times New Roman" w:cs="Times New Roman"/>
              </w:rPr>
            </w:pPr>
          </w:p>
        </w:tc>
        <w:tc>
          <w:tcPr>
            <w:tcW w:w="1458" w:type="dxa"/>
            <w:vMerge w:val="restart"/>
            <w:shd w:val="clear" w:color="auto" w:fill="auto"/>
          </w:tcPr>
          <w:p w14:paraId="44C880D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5B0434F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Помещения пред таранната преграда</w:t>
            </w:r>
          </w:p>
        </w:tc>
        <w:tc>
          <w:tcPr>
            <w:tcW w:w="6324" w:type="dxa"/>
            <w:shd w:val="clear" w:color="auto" w:fill="auto"/>
          </w:tcPr>
          <w:p w14:paraId="4B71A92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6273DFF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26B45256" w14:textId="77777777" w:rsidTr="00C04891">
        <w:trPr>
          <w:cantSplit/>
          <w:jc w:val="center"/>
        </w:trPr>
        <w:tc>
          <w:tcPr>
            <w:tcW w:w="1342" w:type="dxa"/>
            <w:vMerge/>
            <w:shd w:val="clear" w:color="auto" w:fill="auto"/>
          </w:tcPr>
          <w:p w14:paraId="1C5D7635" w14:textId="77777777" w:rsidR="00271FA2" w:rsidRPr="00F06DE2" w:rsidRDefault="00271FA2">
            <w:pPr>
              <w:spacing w:line="240" w:lineRule="atLeast"/>
              <w:rPr>
                <w:rFonts w:ascii="Times New Roman" w:hAnsi="Times New Roman" w:cs="Times New Roman"/>
              </w:rPr>
            </w:pPr>
          </w:p>
        </w:tc>
        <w:tc>
          <w:tcPr>
            <w:tcW w:w="1458" w:type="dxa"/>
            <w:vMerge/>
            <w:shd w:val="clear" w:color="auto" w:fill="auto"/>
          </w:tcPr>
          <w:p w14:paraId="488C7E75"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50DC38FA" w14:textId="77777777" w:rsidR="00271FA2" w:rsidRPr="00F06DE2" w:rsidRDefault="00D35E51">
            <w:pPr>
              <w:tabs>
                <w:tab w:val="left" w:pos="2790"/>
              </w:tabs>
              <w:spacing w:line="240" w:lineRule="atLeast"/>
              <w:jc w:val="both"/>
              <w:rPr>
                <w:rFonts w:ascii="Times New Roman" w:hAnsi="Times New Roman" w:cs="Times New Roman"/>
              </w:rPr>
            </w:pPr>
            <w:r w:rsidRPr="00F06DE2">
              <w:rPr>
                <w:rFonts w:ascii="Times New Roman" w:hAnsi="Times New Roman" w:cs="Times New Roman"/>
              </w:rPr>
              <w:t>Помещения зад ахтерпиковата преграда</w:t>
            </w:r>
          </w:p>
        </w:tc>
        <w:tc>
          <w:tcPr>
            <w:tcW w:w="6324" w:type="dxa"/>
            <w:shd w:val="clear" w:color="auto" w:fill="auto"/>
          </w:tcPr>
          <w:p w14:paraId="2B82ACE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F3105B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30.12.2059 г.</w:t>
            </w:r>
          </w:p>
        </w:tc>
      </w:tr>
      <w:tr w:rsidR="00271FA2" w:rsidRPr="00F06DE2" w14:paraId="7E3C0313" w14:textId="77777777" w:rsidTr="00C04891">
        <w:trPr>
          <w:cantSplit/>
          <w:jc w:val="center"/>
        </w:trPr>
        <w:tc>
          <w:tcPr>
            <w:tcW w:w="1342" w:type="dxa"/>
            <w:vMerge/>
            <w:shd w:val="clear" w:color="auto" w:fill="auto"/>
          </w:tcPr>
          <w:p w14:paraId="6EC76A75" w14:textId="77777777" w:rsidR="00271FA2" w:rsidRPr="00F06DE2" w:rsidRDefault="00271FA2">
            <w:pPr>
              <w:spacing w:line="240" w:lineRule="atLeast"/>
              <w:rPr>
                <w:rFonts w:ascii="Times New Roman" w:hAnsi="Times New Roman" w:cs="Times New Roman"/>
              </w:rPr>
            </w:pPr>
          </w:p>
        </w:tc>
        <w:tc>
          <w:tcPr>
            <w:tcW w:w="1458" w:type="dxa"/>
            <w:vMerge/>
            <w:shd w:val="clear" w:color="auto" w:fill="auto"/>
          </w:tcPr>
          <w:p w14:paraId="734BF3B3"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43D11B2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за безопасност пред таранната преграда</w:t>
            </w:r>
          </w:p>
        </w:tc>
        <w:tc>
          <w:tcPr>
            <w:tcW w:w="6324" w:type="dxa"/>
            <w:shd w:val="clear" w:color="auto" w:fill="auto"/>
          </w:tcPr>
          <w:p w14:paraId="480A99A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59B48AC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05CB7AC6" w14:textId="77777777" w:rsidTr="00C04891">
        <w:trPr>
          <w:cantSplit/>
          <w:jc w:val="center"/>
        </w:trPr>
        <w:tc>
          <w:tcPr>
            <w:tcW w:w="1342" w:type="dxa"/>
            <w:vMerge/>
            <w:shd w:val="clear" w:color="auto" w:fill="auto"/>
          </w:tcPr>
          <w:p w14:paraId="5F4EDE7F"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6FBA8BDF"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6294CCC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за безопасност зад ахтерпиковата преграда</w:t>
            </w:r>
          </w:p>
        </w:tc>
        <w:tc>
          <w:tcPr>
            <w:tcW w:w="6324" w:type="dxa"/>
            <w:shd w:val="clear" w:color="auto" w:fill="auto"/>
          </w:tcPr>
          <w:p w14:paraId="018064A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35A13DC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1DED3AFB" w14:textId="77777777" w:rsidTr="00C04891">
        <w:trPr>
          <w:cantSplit/>
          <w:jc w:val="center"/>
        </w:trPr>
        <w:tc>
          <w:tcPr>
            <w:tcW w:w="1342" w:type="dxa"/>
            <w:vMerge/>
            <w:shd w:val="clear" w:color="auto" w:fill="auto"/>
          </w:tcPr>
          <w:p w14:paraId="6A31B274"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0F97F2A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53446A0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Газонепроницаемо отделяне на жилищните помещения от машинните отделения, котелните отделения и трюмовете</w:t>
            </w:r>
          </w:p>
        </w:tc>
        <w:tc>
          <w:tcPr>
            <w:tcW w:w="6324" w:type="dxa"/>
            <w:shd w:val="clear" w:color="auto" w:fill="auto"/>
          </w:tcPr>
          <w:p w14:paraId="02A3557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F12C3C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1ED0BDF9" w14:textId="77777777" w:rsidTr="00C04891">
        <w:trPr>
          <w:cantSplit/>
          <w:jc w:val="center"/>
        </w:trPr>
        <w:tc>
          <w:tcPr>
            <w:tcW w:w="1342" w:type="dxa"/>
            <w:vMerge/>
            <w:shd w:val="clear" w:color="auto" w:fill="auto"/>
          </w:tcPr>
          <w:p w14:paraId="30FC7492"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6010C02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 2-ра алинея</w:t>
            </w:r>
          </w:p>
        </w:tc>
        <w:tc>
          <w:tcPr>
            <w:tcW w:w="3296" w:type="dxa"/>
            <w:shd w:val="clear" w:color="auto" w:fill="auto"/>
          </w:tcPr>
          <w:p w14:paraId="7DA8A46E" w14:textId="77777777" w:rsidR="00271FA2" w:rsidRPr="00F06DE2" w:rsidRDefault="00D35E51">
            <w:pPr>
              <w:tabs>
                <w:tab w:val="left" w:pos="1260"/>
              </w:tabs>
              <w:spacing w:line="240" w:lineRule="atLeast"/>
              <w:jc w:val="both"/>
              <w:rPr>
                <w:rFonts w:ascii="Times New Roman" w:hAnsi="Times New Roman" w:cs="Times New Roman"/>
                <w:lang w:val="ru-RU"/>
              </w:rPr>
            </w:pPr>
            <w:r w:rsidRPr="00F06DE2">
              <w:rPr>
                <w:rFonts w:ascii="Times New Roman" w:hAnsi="Times New Roman" w:cs="Times New Roman"/>
                <w:lang w:val="ru-RU"/>
              </w:rPr>
              <w:t>Следене на вратите в ахтерпиковата преграда</w:t>
            </w:r>
          </w:p>
        </w:tc>
        <w:tc>
          <w:tcPr>
            <w:tcW w:w="6324" w:type="dxa"/>
            <w:shd w:val="clear" w:color="auto" w:fill="auto"/>
          </w:tcPr>
          <w:p w14:paraId="49B9115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5BDBEAE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76896886" w14:textId="77777777" w:rsidTr="00C04891">
        <w:trPr>
          <w:cantSplit/>
          <w:jc w:val="center"/>
        </w:trPr>
        <w:tc>
          <w:tcPr>
            <w:tcW w:w="1342" w:type="dxa"/>
            <w:vMerge/>
            <w:shd w:val="clear" w:color="auto" w:fill="auto"/>
          </w:tcPr>
          <w:p w14:paraId="4914C98E"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3D852D1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391FC9C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Котви, които не стърчат в носовите части на плавателните съдове</w:t>
            </w:r>
          </w:p>
        </w:tc>
        <w:tc>
          <w:tcPr>
            <w:tcW w:w="6324" w:type="dxa"/>
            <w:shd w:val="clear" w:color="auto" w:fill="auto"/>
          </w:tcPr>
          <w:p w14:paraId="138C01B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7D2B05C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3B792164" w14:textId="77777777" w:rsidTr="00C04891">
        <w:trPr>
          <w:cantSplit/>
          <w:jc w:val="center"/>
        </w:trPr>
        <w:tc>
          <w:tcPr>
            <w:tcW w:w="1342" w:type="dxa"/>
            <w:vMerge w:val="restart"/>
            <w:shd w:val="clear" w:color="auto" w:fill="auto"/>
          </w:tcPr>
          <w:p w14:paraId="107BD69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3.04</w:t>
            </w:r>
          </w:p>
        </w:tc>
        <w:tc>
          <w:tcPr>
            <w:tcW w:w="1458" w:type="dxa"/>
            <w:shd w:val="clear" w:color="auto" w:fill="auto"/>
          </w:tcPr>
          <w:p w14:paraId="79E426B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2-ро изречение</w:t>
            </w:r>
          </w:p>
        </w:tc>
        <w:tc>
          <w:tcPr>
            <w:tcW w:w="3296" w:type="dxa"/>
            <w:shd w:val="clear" w:color="auto" w:fill="auto"/>
          </w:tcPr>
          <w:p w14:paraId="40ADF56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Изолация в машинните отделения</w:t>
            </w:r>
          </w:p>
        </w:tc>
        <w:tc>
          <w:tcPr>
            <w:tcW w:w="6324" w:type="dxa"/>
            <w:shd w:val="clear" w:color="auto" w:fill="auto"/>
          </w:tcPr>
          <w:p w14:paraId="6CAB350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7F1DF627"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13E59F2F" w14:textId="77777777" w:rsidTr="00C04891">
        <w:trPr>
          <w:cantSplit/>
          <w:jc w:val="center"/>
        </w:trPr>
        <w:tc>
          <w:tcPr>
            <w:tcW w:w="1342" w:type="dxa"/>
            <w:vMerge/>
            <w:shd w:val="clear" w:color="auto" w:fill="auto"/>
          </w:tcPr>
          <w:p w14:paraId="3102D079" w14:textId="77777777" w:rsidR="00271FA2" w:rsidRPr="00F06DE2" w:rsidRDefault="00271FA2">
            <w:pPr>
              <w:spacing w:line="240" w:lineRule="atLeast"/>
              <w:jc w:val="both"/>
              <w:rPr>
                <w:rFonts w:ascii="Times New Roman" w:hAnsi="Times New Roman" w:cs="Times New Roman"/>
                <w:b/>
                <w:lang w:val="ru-RU"/>
              </w:rPr>
            </w:pPr>
          </w:p>
        </w:tc>
        <w:tc>
          <w:tcPr>
            <w:tcW w:w="1458" w:type="dxa"/>
            <w:shd w:val="clear" w:color="auto" w:fill="auto"/>
          </w:tcPr>
          <w:p w14:paraId="54046EF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3, 3-то и 4-то изречение</w:t>
            </w:r>
          </w:p>
        </w:tc>
        <w:tc>
          <w:tcPr>
            <w:tcW w:w="3296" w:type="dxa"/>
            <w:shd w:val="clear" w:color="auto" w:fill="auto"/>
          </w:tcPr>
          <w:p w14:paraId="4921349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Отвори и заключващи устройства</w:t>
            </w:r>
          </w:p>
        </w:tc>
        <w:tc>
          <w:tcPr>
            <w:tcW w:w="6324" w:type="dxa"/>
            <w:shd w:val="clear" w:color="auto" w:fill="auto"/>
          </w:tcPr>
          <w:p w14:paraId="19EAAC2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5ADAB885"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041A6A26" w14:textId="77777777" w:rsidTr="00C04891">
        <w:trPr>
          <w:cantSplit/>
          <w:jc w:val="center"/>
        </w:trPr>
        <w:tc>
          <w:tcPr>
            <w:tcW w:w="1342" w:type="dxa"/>
            <w:vMerge/>
            <w:shd w:val="clear" w:color="auto" w:fill="auto"/>
          </w:tcPr>
          <w:p w14:paraId="6B1891E2" w14:textId="77777777" w:rsidR="00271FA2" w:rsidRPr="00F06DE2" w:rsidRDefault="00271FA2">
            <w:pPr>
              <w:spacing w:line="240" w:lineRule="atLeast"/>
              <w:jc w:val="both"/>
              <w:rPr>
                <w:rFonts w:ascii="Times New Roman" w:hAnsi="Times New Roman" w:cs="Times New Roman"/>
                <w:b/>
                <w:lang w:val="ru-RU"/>
              </w:rPr>
            </w:pPr>
          </w:p>
        </w:tc>
        <w:tc>
          <w:tcPr>
            <w:tcW w:w="1458" w:type="dxa"/>
            <w:shd w:val="clear" w:color="auto" w:fill="auto"/>
          </w:tcPr>
          <w:p w14:paraId="28A173B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54E089B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Изходи от машинните отделения</w:t>
            </w:r>
          </w:p>
        </w:tc>
        <w:tc>
          <w:tcPr>
            <w:tcW w:w="6324" w:type="dxa"/>
            <w:shd w:val="clear" w:color="auto" w:fill="auto"/>
          </w:tcPr>
          <w:p w14:paraId="4511378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08D344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2EFC6E3D" w14:textId="77777777" w:rsidTr="00C04891">
        <w:trPr>
          <w:cantSplit/>
          <w:jc w:val="center"/>
        </w:trPr>
        <w:tc>
          <w:tcPr>
            <w:tcW w:w="6096" w:type="dxa"/>
            <w:gridSpan w:val="3"/>
            <w:shd w:val="clear" w:color="auto" w:fill="auto"/>
          </w:tcPr>
          <w:p w14:paraId="0466E0B1"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4</w:t>
            </w:r>
          </w:p>
        </w:tc>
        <w:tc>
          <w:tcPr>
            <w:tcW w:w="6324" w:type="dxa"/>
            <w:shd w:val="clear" w:color="auto" w:fill="auto"/>
          </w:tcPr>
          <w:p w14:paraId="79C69235"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51E3E607" w14:textId="77777777" w:rsidR="00271FA2" w:rsidRPr="00F06DE2" w:rsidRDefault="00271FA2">
            <w:pPr>
              <w:spacing w:line="240" w:lineRule="atLeast"/>
              <w:rPr>
                <w:rFonts w:ascii="Times New Roman" w:hAnsi="Times New Roman" w:cs="Times New Roman"/>
              </w:rPr>
            </w:pPr>
          </w:p>
        </w:tc>
      </w:tr>
      <w:tr w:rsidR="00271FA2" w:rsidRPr="00F06DE2" w14:paraId="03515906" w14:textId="77777777" w:rsidTr="00C04891">
        <w:trPr>
          <w:cantSplit/>
          <w:jc w:val="center"/>
        </w:trPr>
        <w:tc>
          <w:tcPr>
            <w:tcW w:w="1342" w:type="dxa"/>
            <w:shd w:val="clear" w:color="auto" w:fill="auto"/>
          </w:tcPr>
          <w:p w14:paraId="251DEFE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4.03</w:t>
            </w:r>
          </w:p>
        </w:tc>
        <w:tc>
          <w:tcPr>
            <w:tcW w:w="1458" w:type="dxa"/>
            <w:shd w:val="clear" w:color="auto" w:fill="auto"/>
          </w:tcPr>
          <w:p w14:paraId="08885CCA"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25C60E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Марки за газене</w:t>
            </w:r>
          </w:p>
        </w:tc>
        <w:tc>
          <w:tcPr>
            <w:tcW w:w="6324" w:type="dxa"/>
            <w:shd w:val="clear" w:color="auto" w:fill="auto"/>
          </w:tcPr>
          <w:p w14:paraId="5CFDC47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0E663D7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2A3E45BC" w14:textId="77777777" w:rsidTr="00C04891">
        <w:trPr>
          <w:cantSplit/>
          <w:jc w:val="center"/>
        </w:trPr>
        <w:tc>
          <w:tcPr>
            <w:tcW w:w="6096" w:type="dxa"/>
            <w:gridSpan w:val="3"/>
            <w:shd w:val="clear" w:color="auto" w:fill="auto"/>
          </w:tcPr>
          <w:p w14:paraId="62D0FDA4"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5</w:t>
            </w:r>
          </w:p>
        </w:tc>
        <w:tc>
          <w:tcPr>
            <w:tcW w:w="6324" w:type="dxa"/>
            <w:shd w:val="clear" w:color="auto" w:fill="auto"/>
          </w:tcPr>
          <w:p w14:paraId="069F5AD8" w14:textId="77777777" w:rsidR="00271FA2" w:rsidRPr="00F06DE2" w:rsidRDefault="00271FA2">
            <w:pPr>
              <w:spacing w:line="240" w:lineRule="atLeast"/>
              <w:rPr>
                <w:rFonts w:ascii="Times New Roman" w:hAnsi="Times New Roman" w:cs="Times New Roman"/>
                <w:b/>
              </w:rPr>
            </w:pPr>
          </w:p>
        </w:tc>
        <w:tc>
          <w:tcPr>
            <w:tcW w:w="1609" w:type="dxa"/>
            <w:shd w:val="clear" w:color="auto" w:fill="auto"/>
          </w:tcPr>
          <w:p w14:paraId="2A6CC7EB" w14:textId="77777777" w:rsidR="00271FA2" w:rsidRPr="00F06DE2" w:rsidRDefault="00271FA2">
            <w:pPr>
              <w:spacing w:line="240" w:lineRule="atLeast"/>
              <w:rPr>
                <w:rFonts w:ascii="Times New Roman" w:hAnsi="Times New Roman" w:cs="Times New Roman"/>
              </w:rPr>
            </w:pPr>
          </w:p>
        </w:tc>
      </w:tr>
      <w:tr w:rsidR="00271FA2" w:rsidRPr="00F06DE2" w14:paraId="2A92BB2F" w14:textId="77777777" w:rsidTr="00C04891">
        <w:trPr>
          <w:cantSplit/>
          <w:jc w:val="center"/>
        </w:trPr>
        <w:tc>
          <w:tcPr>
            <w:tcW w:w="1342" w:type="dxa"/>
            <w:shd w:val="clear" w:color="auto" w:fill="auto"/>
          </w:tcPr>
          <w:p w14:paraId="3205FC1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5.06</w:t>
            </w:r>
          </w:p>
        </w:tc>
        <w:tc>
          <w:tcPr>
            <w:tcW w:w="1458" w:type="dxa"/>
            <w:shd w:val="clear" w:color="auto" w:fill="auto"/>
          </w:tcPr>
          <w:p w14:paraId="2AA4BA1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1-во изречение</w:t>
            </w:r>
          </w:p>
        </w:tc>
        <w:tc>
          <w:tcPr>
            <w:tcW w:w="3296" w:type="dxa"/>
            <w:shd w:val="clear" w:color="auto" w:fill="auto"/>
          </w:tcPr>
          <w:p w14:paraId="0C833BD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Минимална скорост</w:t>
            </w:r>
          </w:p>
        </w:tc>
        <w:tc>
          <w:tcPr>
            <w:tcW w:w="6324" w:type="dxa"/>
            <w:shd w:val="clear" w:color="auto" w:fill="auto"/>
          </w:tcPr>
          <w:p w14:paraId="219AEE1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FAC931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4BA21124" w14:textId="77777777" w:rsidTr="00C04891">
        <w:trPr>
          <w:cantSplit/>
          <w:jc w:val="center"/>
        </w:trPr>
        <w:tc>
          <w:tcPr>
            <w:tcW w:w="6096" w:type="dxa"/>
            <w:gridSpan w:val="3"/>
            <w:shd w:val="clear" w:color="auto" w:fill="auto"/>
          </w:tcPr>
          <w:p w14:paraId="5A23C2E7"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6</w:t>
            </w:r>
          </w:p>
        </w:tc>
        <w:tc>
          <w:tcPr>
            <w:tcW w:w="6324" w:type="dxa"/>
            <w:shd w:val="clear" w:color="auto" w:fill="auto"/>
          </w:tcPr>
          <w:p w14:paraId="28F9070A"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748FCC6B" w14:textId="77777777" w:rsidR="00271FA2" w:rsidRPr="00F06DE2" w:rsidRDefault="00271FA2">
            <w:pPr>
              <w:spacing w:line="240" w:lineRule="atLeast"/>
              <w:rPr>
                <w:rFonts w:ascii="Times New Roman" w:hAnsi="Times New Roman" w:cs="Times New Roman"/>
              </w:rPr>
            </w:pPr>
          </w:p>
        </w:tc>
      </w:tr>
      <w:tr w:rsidR="00271FA2" w:rsidRPr="00F06DE2" w14:paraId="188370AA" w14:textId="77777777" w:rsidTr="00C04891">
        <w:trPr>
          <w:cantSplit/>
          <w:jc w:val="center"/>
        </w:trPr>
        <w:tc>
          <w:tcPr>
            <w:tcW w:w="1342" w:type="dxa"/>
            <w:vMerge w:val="restart"/>
            <w:shd w:val="clear" w:color="auto" w:fill="auto"/>
          </w:tcPr>
          <w:p w14:paraId="23787E0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6.01</w:t>
            </w:r>
          </w:p>
        </w:tc>
        <w:tc>
          <w:tcPr>
            <w:tcW w:w="1458" w:type="dxa"/>
            <w:shd w:val="clear" w:color="auto" w:fill="auto"/>
          </w:tcPr>
          <w:p w14:paraId="608888B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70F2E0E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Маневреност, изисквана съгласно Глава 5</w:t>
            </w:r>
          </w:p>
        </w:tc>
        <w:tc>
          <w:tcPr>
            <w:tcW w:w="6324" w:type="dxa"/>
            <w:shd w:val="clear" w:color="auto" w:fill="auto"/>
          </w:tcPr>
          <w:p w14:paraId="30ABC04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7FB8E0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162A0E68" w14:textId="77777777" w:rsidTr="00C04891">
        <w:trPr>
          <w:cantSplit/>
          <w:jc w:val="center"/>
        </w:trPr>
        <w:tc>
          <w:tcPr>
            <w:tcW w:w="1342" w:type="dxa"/>
            <w:vMerge/>
            <w:shd w:val="clear" w:color="auto" w:fill="auto"/>
          </w:tcPr>
          <w:p w14:paraId="0585FB5C"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0008A47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669AD50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Постоянен крен и околни температури</w:t>
            </w:r>
          </w:p>
        </w:tc>
        <w:tc>
          <w:tcPr>
            <w:tcW w:w="6324" w:type="dxa"/>
            <w:shd w:val="clear" w:color="auto" w:fill="auto"/>
          </w:tcPr>
          <w:p w14:paraId="5CEB5F4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CB350A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4A3C6263" w14:textId="77777777" w:rsidTr="00C04891">
        <w:trPr>
          <w:cantSplit/>
          <w:jc w:val="center"/>
        </w:trPr>
        <w:tc>
          <w:tcPr>
            <w:tcW w:w="1342" w:type="dxa"/>
            <w:vMerge/>
            <w:shd w:val="clear" w:color="auto" w:fill="auto"/>
          </w:tcPr>
          <w:p w14:paraId="6677694C"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0E0F675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7FFB7F0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Конструкция на балерите на руля</w:t>
            </w:r>
          </w:p>
        </w:tc>
        <w:tc>
          <w:tcPr>
            <w:tcW w:w="6324" w:type="dxa"/>
            <w:shd w:val="clear" w:color="auto" w:fill="auto"/>
          </w:tcPr>
          <w:p w14:paraId="6E45A30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008D5D2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600C3FDC" w14:textId="77777777" w:rsidTr="00C04891">
        <w:trPr>
          <w:cantSplit/>
          <w:jc w:val="center"/>
        </w:trPr>
        <w:tc>
          <w:tcPr>
            <w:tcW w:w="1342" w:type="dxa"/>
            <w:vMerge w:val="restart"/>
            <w:shd w:val="clear" w:color="auto" w:fill="auto"/>
          </w:tcPr>
          <w:p w14:paraId="09973E0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6.02</w:t>
            </w:r>
          </w:p>
        </w:tc>
        <w:tc>
          <w:tcPr>
            <w:tcW w:w="1458" w:type="dxa"/>
            <w:vMerge w:val="restart"/>
            <w:shd w:val="clear" w:color="auto" w:fill="auto"/>
          </w:tcPr>
          <w:p w14:paraId="0A33F54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0655710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Наличие на отделни хидравлични резервоари </w:t>
            </w:r>
          </w:p>
        </w:tc>
        <w:tc>
          <w:tcPr>
            <w:tcW w:w="6324" w:type="dxa"/>
            <w:shd w:val="clear" w:color="auto" w:fill="auto"/>
          </w:tcPr>
          <w:p w14:paraId="16DCB61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2C414BF8" w14:textId="167992EB" w:rsidR="00271FA2" w:rsidRPr="00F06DE2" w:rsidRDefault="00C04891">
            <w:pPr>
              <w:spacing w:line="240" w:lineRule="atLeast"/>
              <w:jc w:val="both"/>
              <w:rPr>
                <w:rFonts w:ascii="Times New Roman" w:hAnsi="Times New Roman" w:cs="Times New Roman"/>
              </w:rPr>
            </w:pPr>
            <w:r w:rsidRPr="00F06DE2">
              <w:rPr>
                <w:rFonts w:ascii="Times New Roman" w:hAnsi="Times New Roman" w:cs="Times New Roman"/>
              </w:rPr>
              <w:t>0</w:t>
            </w:r>
            <w:r w:rsidR="00D35E51" w:rsidRPr="00F06DE2">
              <w:rPr>
                <w:rFonts w:ascii="Times New Roman" w:hAnsi="Times New Roman" w:cs="Times New Roman"/>
              </w:rPr>
              <w:t>1.</w:t>
            </w:r>
            <w:r w:rsidRPr="00F06DE2">
              <w:rPr>
                <w:rFonts w:ascii="Times New Roman" w:hAnsi="Times New Roman" w:cs="Times New Roman"/>
              </w:rPr>
              <w:t>0</w:t>
            </w:r>
            <w:r w:rsidR="00D35E51" w:rsidRPr="00F06DE2">
              <w:rPr>
                <w:rFonts w:ascii="Times New Roman" w:hAnsi="Times New Roman" w:cs="Times New Roman"/>
              </w:rPr>
              <w:t>1.2026 г.</w:t>
            </w:r>
          </w:p>
        </w:tc>
      </w:tr>
      <w:tr w:rsidR="00271FA2" w:rsidRPr="00F06DE2" w14:paraId="073FFB42" w14:textId="77777777" w:rsidTr="00C04891">
        <w:trPr>
          <w:cantSplit/>
          <w:jc w:val="center"/>
        </w:trPr>
        <w:tc>
          <w:tcPr>
            <w:tcW w:w="1342" w:type="dxa"/>
            <w:vMerge/>
            <w:shd w:val="clear" w:color="auto" w:fill="auto"/>
          </w:tcPr>
          <w:p w14:paraId="50FAC1CC" w14:textId="77777777" w:rsidR="00271FA2" w:rsidRPr="00F06DE2" w:rsidRDefault="00271FA2">
            <w:pPr>
              <w:spacing w:line="240" w:lineRule="atLeast"/>
              <w:rPr>
                <w:rFonts w:ascii="Times New Roman" w:hAnsi="Times New Roman" w:cs="Times New Roman"/>
              </w:rPr>
            </w:pPr>
          </w:p>
        </w:tc>
        <w:tc>
          <w:tcPr>
            <w:tcW w:w="1458" w:type="dxa"/>
            <w:vMerge/>
            <w:shd w:val="clear" w:color="auto" w:fill="auto"/>
          </w:tcPr>
          <w:p w14:paraId="3EE99802"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227969F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Дублирани регулиращи клапани при хидравлични задвижващи звена</w:t>
            </w:r>
          </w:p>
        </w:tc>
        <w:tc>
          <w:tcPr>
            <w:tcW w:w="6324" w:type="dxa"/>
            <w:shd w:val="clear" w:color="auto" w:fill="auto"/>
          </w:tcPr>
          <w:p w14:paraId="26E29EB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5EEEB91A" w14:textId="10B73204" w:rsidR="00271FA2" w:rsidRPr="00F06DE2" w:rsidRDefault="00C0489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.2026 г.</w:t>
            </w:r>
          </w:p>
        </w:tc>
      </w:tr>
      <w:tr w:rsidR="00271FA2" w:rsidRPr="00F06DE2" w14:paraId="124A6BA2" w14:textId="77777777" w:rsidTr="00C04891">
        <w:trPr>
          <w:cantSplit/>
          <w:jc w:val="center"/>
        </w:trPr>
        <w:tc>
          <w:tcPr>
            <w:tcW w:w="1342" w:type="dxa"/>
            <w:vMerge/>
            <w:shd w:val="clear" w:color="auto" w:fill="auto"/>
          </w:tcPr>
          <w:p w14:paraId="3C96BA2A" w14:textId="77777777" w:rsidR="00271FA2" w:rsidRPr="00F06DE2" w:rsidRDefault="00271FA2">
            <w:pPr>
              <w:spacing w:line="240" w:lineRule="atLeast"/>
              <w:rPr>
                <w:rFonts w:ascii="Times New Roman" w:hAnsi="Times New Roman" w:cs="Times New Roman"/>
              </w:rPr>
            </w:pPr>
          </w:p>
        </w:tc>
        <w:tc>
          <w:tcPr>
            <w:tcW w:w="1458" w:type="dxa"/>
            <w:vMerge/>
            <w:shd w:val="clear" w:color="auto" w:fill="auto"/>
          </w:tcPr>
          <w:p w14:paraId="7D70B705"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682A2BE2" w14:textId="77777777" w:rsidR="00271FA2" w:rsidRPr="00F06DE2" w:rsidRDefault="00D35E51">
            <w:pPr>
              <w:tabs>
                <w:tab w:val="left" w:pos="1125"/>
              </w:tabs>
              <w:spacing w:line="240" w:lineRule="atLeast"/>
              <w:jc w:val="both"/>
              <w:rPr>
                <w:rFonts w:ascii="Times New Roman" w:hAnsi="Times New Roman" w:cs="Times New Roman"/>
                <w:lang w:val="ru-RU"/>
              </w:rPr>
            </w:pPr>
            <w:r w:rsidRPr="00F06DE2">
              <w:rPr>
                <w:rFonts w:ascii="Times New Roman" w:hAnsi="Times New Roman" w:cs="Times New Roman"/>
                <w:lang w:val="ru-RU"/>
              </w:rPr>
              <w:t>Отделна система от тръбопроводи за второто задвижващо звено в случай на хидравлични задвижващи звена</w:t>
            </w:r>
          </w:p>
        </w:tc>
        <w:tc>
          <w:tcPr>
            <w:tcW w:w="6324" w:type="dxa"/>
            <w:shd w:val="clear" w:color="auto" w:fill="auto"/>
          </w:tcPr>
          <w:p w14:paraId="34E25AB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6ABDE6C1" w14:textId="60022D31" w:rsidR="00271FA2" w:rsidRPr="00F06DE2" w:rsidRDefault="00C0489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.2026 г.</w:t>
            </w:r>
          </w:p>
        </w:tc>
      </w:tr>
      <w:tr w:rsidR="00271FA2" w:rsidRPr="00F06DE2" w14:paraId="54AF8BD4" w14:textId="77777777" w:rsidTr="00C04891">
        <w:trPr>
          <w:cantSplit/>
          <w:jc w:val="center"/>
        </w:trPr>
        <w:tc>
          <w:tcPr>
            <w:tcW w:w="1342" w:type="dxa"/>
            <w:vMerge/>
            <w:shd w:val="clear" w:color="auto" w:fill="auto"/>
          </w:tcPr>
          <w:p w14:paraId="4C0FE072"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182250E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77867F7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Отделна система от тръбопроводи за второто задвижващо звено в случай на хидравлични задвижващи звена</w:t>
            </w:r>
          </w:p>
        </w:tc>
        <w:tc>
          <w:tcPr>
            <w:tcW w:w="6324" w:type="dxa"/>
            <w:shd w:val="clear" w:color="auto" w:fill="auto"/>
          </w:tcPr>
          <w:p w14:paraId="7DD3DD8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3E57468" w14:textId="6E877142" w:rsidR="00271FA2" w:rsidRPr="00F06DE2" w:rsidRDefault="00C0489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.2026 г.</w:t>
            </w:r>
          </w:p>
        </w:tc>
      </w:tr>
      <w:tr w:rsidR="00271FA2" w:rsidRPr="00F06DE2" w14:paraId="0162E2EB" w14:textId="77777777" w:rsidTr="00C04891">
        <w:trPr>
          <w:cantSplit/>
          <w:jc w:val="center"/>
        </w:trPr>
        <w:tc>
          <w:tcPr>
            <w:tcW w:w="1342" w:type="dxa"/>
            <w:vMerge/>
            <w:shd w:val="clear" w:color="auto" w:fill="auto"/>
          </w:tcPr>
          <w:p w14:paraId="6D9419E2"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65B1D31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71FBC0B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Маневреност, изисквана съгласно Глава 5, осигурена чрез второ задвижващо звено или ръчно задвижване</w:t>
            </w:r>
          </w:p>
        </w:tc>
        <w:tc>
          <w:tcPr>
            <w:tcW w:w="6324" w:type="dxa"/>
            <w:shd w:val="clear" w:color="auto" w:fill="auto"/>
          </w:tcPr>
          <w:p w14:paraId="621C2E0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6E1D9ED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09E7E081" w14:textId="77777777" w:rsidTr="00C04891">
        <w:trPr>
          <w:cantSplit/>
          <w:jc w:val="center"/>
        </w:trPr>
        <w:tc>
          <w:tcPr>
            <w:tcW w:w="1342" w:type="dxa"/>
            <w:shd w:val="clear" w:color="auto" w:fill="auto"/>
          </w:tcPr>
          <w:p w14:paraId="49A7F1F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6.03</w:t>
            </w:r>
          </w:p>
        </w:tc>
        <w:tc>
          <w:tcPr>
            <w:tcW w:w="1458" w:type="dxa"/>
            <w:shd w:val="clear" w:color="auto" w:fill="auto"/>
          </w:tcPr>
          <w:p w14:paraId="4AFA6B1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03EB5F4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Свързване на други потребители към задвижващото звено на хидравличния рулеви апарат</w:t>
            </w:r>
          </w:p>
        </w:tc>
        <w:tc>
          <w:tcPr>
            <w:tcW w:w="6324" w:type="dxa"/>
            <w:shd w:val="clear" w:color="auto" w:fill="auto"/>
          </w:tcPr>
          <w:p w14:paraId="77B2B4F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1DD4DB25" w14:textId="22DB25F4" w:rsidR="00271FA2" w:rsidRPr="00F06DE2" w:rsidRDefault="00C0489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.2026 г.</w:t>
            </w:r>
          </w:p>
        </w:tc>
      </w:tr>
      <w:tr w:rsidR="00271FA2" w:rsidRPr="00F06DE2" w14:paraId="75F63A7F" w14:textId="77777777" w:rsidTr="00C04891">
        <w:trPr>
          <w:cantSplit/>
          <w:jc w:val="center"/>
        </w:trPr>
        <w:tc>
          <w:tcPr>
            <w:tcW w:w="1342" w:type="dxa"/>
            <w:shd w:val="clear" w:color="auto" w:fill="auto"/>
          </w:tcPr>
          <w:p w14:paraId="1F9C61F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6.05</w:t>
            </w:r>
          </w:p>
        </w:tc>
        <w:tc>
          <w:tcPr>
            <w:tcW w:w="1458" w:type="dxa"/>
            <w:shd w:val="clear" w:color="auto" w:fill="auto"/>
          </w:tcPr>
          <w:p w14:paraId="4D674E4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0F328B7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Колелото на ръчното задвижване да не се задвижва от задвижващо звено с усилвател</w:t>
            </w:r>
          </w:p>
        </w:tc>
        <w:tc>
          <w:tcPr>
            <w:tcW w:w="6324" w:type="dxa"/>
            <w:shd w:val="clear" w:color="auto" w:fill="auto"/>
          </w:tcPr>
          <w:p w14:paraId="211D9C1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07F8FC5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05ACA965" w14:textId="77777777" w:rsidTr="00C04891">
        <w:trPr>
          <w:cantSplit/>
          <w:jc w:val="center"/>
        </w:trPr>
        <w:tc>
          <w:tcPr>
            <w:tcW w:w="1342" w:type="dxa"/>
            <w:tcBorders>
              <w:bottom w:val="single" w:sz="4" w:space="0" w:color="auto"/>
            </w:tcBorders>
            <w:shd w:val="clear" w:color="auto" w:fill="auto"/>
          </w:tcPr>
          <w:p w14:paraId="022F1B9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6.06</w:t>
            </w:r>
          </w:p>
        </w:tc>
        <w:tc>
          <w:tcPr>
            <w:tcW w:w="1458" w:type="dxa"/>
            <w:shd w:val="clear" w:color="auto" w:fill="auto"/>
          </w:tcPr>
          <w:p w14:paraId="64432B1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7FD87E5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Две независими уредби за управление на руля</w:t>
            </w:r>
          </w:p>
        </w:tc>
        <w:tc>
          <w:tcPr>
            <w:tcW w:w="6324" w:type="dxa"/>
            <w:shd w:val="clear" w:color="auto" w:fill="auto"/>
          </w:tcPr>
          <w:p w14:paraId="2F7321C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6EE2964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4B17A5C6" w14:textId="77777777" w:rsidTr="00C04891">
        <w:trPr>
          <w:cantSplit/>
          <w:jc w:val="center"/>
        </w:trPr>
        <w:tc>
          <w:tcPr>
            <w:tcW w:w="1342" w:type="dxa"/>
            <w:shd w:val="clear" w:color="auto" w:fill="auto"/>
          </w:tcPr>
          <w:p w14:paraId="12F6CD3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6.08</w:t>
            </w:r>
          </w:p>
        </w:tc>
        <w:tc>
          <w:tcPr>
            <w:tcW w:w="1458" w:type="dxa"/>
            <w:shd w:val="clear" w:color="auto" w:fill="auto"/>
          </w:tcPr>
          <w:p w14:paraId="212CB79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4B8BDD3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Изисквания към електрическото оборудване съгласно член</w:t>
            </w:r>
            <w:r w:rsidRPr="00F06DE2">
              <w:rPr>
                <w:rFonts w:ascii="Times New Roman" w:hAnsi="Times New Roman" w:cs="Times New Roman"/>
              </w:rPr>
              <w:t> </w:t>
            </w:r>
            <w:r w:rsidRPr="00F06DE2">
              <w:rPr>
                <w:rFonts w:ascii="Times New Roman" w:hAnsi="Times New Roman" w:cs="Times New Roman"/>
                <w:lang w:val="ru-RU"/>
              </w:rPr>
              <w:t>10.20</w:t>
            </w:r>
          </w:p>
        </w:tc>
        <w:tc>
          <w:tcPr>
            <w:tcW w:w="6324" w:type="dxa"/>
            <w:shd w:val="clear" w:color="auto" w:fill="auto"/>
          </w:tcPr>
          <w:p w14:paraId="4FB189A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68F99D6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37376127" w14:textId="77777777" w:rsidTr="00C04891">
        <w:trPr>
          <w:cantSplit/>
          <w:jc w:val="center"/>
        </w:trPr>
        <w:tc>
          <w:tcPr>
            <w:tcW w:w="6096" w:type="dxa"/>
            <w:gridSpan w:val="3"/>
            <w:shd w:val="clear" w:color="auto" w:fill="auto"/>
          </w:tcPr>
          <w:p w14:paraId="653F695B"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7</w:t>
            </w:r>
          </w:p>
        </w:tc>
        <w:tc>
          <w:tcPr>
            <w:tcW w:w="6324" w:type="dxa"/>
            <w:shd w:val="clear" w:color="auto" w:fill="auto"/>
          </w:tcPr>
          <w:p w14:paraId="4CB9AC63"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0A173420" w14:textId="77777777" w:rsidR="00271FA2" w:rsidRPr="00F06DE2" w:rsidRDefault="00271FA2">
            <w:pPr>
              <w:spacing w:line="240" w:lineRule="atLeast"/>
              <w:rPr>
                <w:rFonts w:ascii="Times New Roman" w:hAnsi="Times New Roman" w:cs="Times New Roman"/>
              </w:rPr>
            </w:pPr>
          </w:p>
        </w:tc>
      </w:tr>
      <w:tr w:rsidR="00271FA2" w:rsidRPr="00F06DE2" w14:paraId="452751C5" w14:textId="77777777" w:rsidTr="00C04891">
        <w:trPr>
          <w:cantSplit/>
          <w:jc w:val="center"/>
        </w:trPr>
        <w:tc>
          <w:tcPr>
            <w:tcW w:w="1342" w:type="dxa"/>
            <w:tcBorders>
              <w:bottom w:val="nil"/>
            </w:tcBorders>
            <w:shd w:val="clear" w:color="auto" w:fill="auto"/>
          </w:tcPr>
          <w:p w14:paraId="6296F17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7.02</w:t>
            </w:r>
          </w:p>
        </w:tc>
        <w:tc>
          <w:tcPr>
            <w:tcW w:w="1458" w:type="dxa"/>
            <w:shd w:val="clear" w:color="auto" w:fill="auto"/>
          </w:tcPr>
          <w:p w14:paraId="53BACD2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2 - 6</w:t>
            </w:r>
          </w:p>
        </w:tc>
        <w:tc>
          <w:tcPr>
            <w:tcW w:w="3296" w:type="dxa"/>
            <w:shd w:val="clear" w:color="auto" w:fill="auto"/>
          </w:tcPr>
          <w:p w14:paraId="405C55D6" w14:textId="77777777" w:rsidR="00271FA2" w:rsidRPr="00F06DE2" w:rsidRDefault="00D35E51">
            <w:pPr>
              <w:tabs>
                <w:tab w:val="right" w:pos="3856"/>
                <w:tab w:val="center" w:pos="4536"/>
                <w:tab w:val="left" w:pos="6521"/>
                <w:tab w:val="right" w:pos="9072"/>
              </w:tabs>
              <w:spacing w:line="240" w:lineRule="atLeast"/>
              <w:jc w:val="both"/>
              <w:rPr>
                <w:rFonts w:ascii="Times New Roman" w:hAnsi="Times New Roman" w:cs="Times New Roman"/>
                <w:lang w:val="ru-RU"/>
              </w:rPr>
            </w:pPr>
            <w:r w:rsidRPr="00F06DE2">
              <w:rPr>
                <w:rFonts w:ascii="Times New Roman" w:hAnsi="Times New Roman" w:cs="Times New Roman"/>
                <w:color w:val="000000"/>
                <w:lang w:val="ru-RU"/>
              </w:rPr>
              <w:t>Безпрепятствена видимост от рулевата рубка, освен следните сектори</w:t>
            </w:r>
          </w:p>
        </w:tc>
        <w:tc>
          <w:tcPr>
            <w:tcW w:w="6324" w:type="dxa"/>
            <w:shd w:val="clear" w:color="auto" w:fill="auto"/>
          </w:tcPr>
          <w:p w14:paraId="3155CD5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3B30082" w14:textId="130A0A9A" w:rsidR="00271FA2" w:rsidRPr="00F06DE2" w:rsidRDefault="00C0489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.2049 г.</w:t>
            </w:r>
          </w:p>
        </w:tc>
      </w:tr>
      <w:tr w:rsidR="00271FA2" w:rsidRPr="00F06DE2" w14:paraId="780C201B" w14:textId="77777777" w:rsidTr="00C04891">
        <w:trPr>
          <w:cantSplit/>
          <w:jc w:val="center"/>
        </w:trPr>
        <w:tc>
          <w:tcPr>
            <w:tcW w:w="1342" w:type="dxa"/>
            <w:tcBorders>
              <w:top w:val="nil"/>
              <w:bottom w:val="nil"/>
            </w:tcBorders>
            <w:shd w:val="clear" w:color="auto" w:fill="auto"/>
          </w:tcPr>
          <w:p w14:paraId="1078C48B" w14:textId="77777777" w:rsidR="00271FA2" w:rsidRPr="00F06DE2" w:rsidRDefault="00271FA2">
            <w:pPr>
              <w:spacing w:line="240" w:lineRule="atLeast"/>
              <w:jc w:val="both"/>
              <w:rPr>
                <w:rFonts w:ascii="Times New Roman" w:hAnsi="Times New Roman" w:cs="Times New Roman"/>
                <w:b/>
              </w:rPr>
            </w:pPr>
          </w:p>
        </w:tc>
        <w:tc>
          <w:tcPr>
            <w:tcW w:w="1458" w:type="dxa"/>
            <w:shd w:val="clear" w:color="auto" w:fill="auto"/>
          </w:tcPr>
          <w:p w14:paraId="0418B10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2-ра алинея</w:t>
            </w:r>
          </w:p>
        </w:tc>
        <w:tc>
          <w:tcPr>
            <w:tcW w:w="3296" w:type="dxa"/>
            <w:shd w:val="clear" w:color="auto" w:fill="auto"/>
          </w:tcPr>
          <w:p w14:paraId="424C6403" w14:textId="77777777" w:rsidR="00271FA2" w:rsidRPr="00F06DE2" w:rsidRDefault="00D35E51">
            <w:pPr>
              <w:tabs>
                <w:tab w:val="right" w:pos="3856"/>
                <w:tab w:val="center" w:pos="4536"/>
                <w:tab w:val="left" w:pos="6521"/>
                <w:tab w:val="right" w:pos="9072"/>
              </w:tabs>
              <w:spacing w:line="240" w:lineRule="atLeast"/>
              <w:jc w:val="both"/>
              <w:rPr>
                <w:rFonts w:ascii="Times New Roman" w:hAnsi="Times New Roman" w:cs="Times New Roman"/>
                <w:lang w:val="ru-RU"/>
              </w:rPr>
            </w:pPr>
            <w:r w:rsidRPr="00F06DE2">
              <w:rPr>
                <w:rFonts w:ascii="Times New Roman" w:hAnsi="Times New Roman" w:cs="Times New Roman"/>
                <w:color w:val="000000"/>
                <w:lang w:val="ru-RU"/>
              </w:rPr>
              <w:t>Безпрепятствена видимост по обичайната ос на наблюдение на рулевия</w:t>
            </w:r>
          </w:p>
        </w:tc>
        <w:tc>
          <w:tcPr>
            <w:tcW w:w="6324" w:type="dxa"/>
            <w:shd w:val="clear" w:color="auto" w:fill="auto"/>
          </w:tcPr>
          <w:p w14:paraId="07A5945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7638B1D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13CC167F" w14:textId="77777777" w:rsidTr="00C04891">
        <w:trPr>
          <w:cantSplit/>
          <w:jc w:val="center"/>
        </w:trPr>
        <w:tc>
          <w:tcPr>
            <w:tcW w:w="1342" w:type="dxa"/>
            <w:tcBorders>
              <w:top w:val="nil"/>
              <w:bottom w:val="nil"/>
            </w:tcBorders>
            <w:shd w:val="clear" w:color="auto" w:fill="auto"/>
          </w:tcPr>
          <w:p w14:paraId="0438AE43" w14:textId="77777777" w:rsidR="00271FA2" w:rsidRPr="00F06DE2" w:rsidRDefault="00271FA2">
            <w:pPr>
              <w:spacing w:line="240" w:lineRule="atLeast"/>
              <w:jc w:val="both"/>
              <w:rPr>
                <w:rFonts w:ascii="Times New Roman" w:hAnsi="Times New Roman" w:cs="Times New Roman"/>
              </w:rPr>
            </w:pPr>
          </w:p>
        </w:tc>
        <w:tc>
          <w:tcPr>
            <w:tcW w:w="1458" w:type="dxa"/>
            <w:vMerge w:val="restart"/>
            <w:shd w:val="clear" w:color="auto" w:fill="auto"/>
          </w:tcPr>
          <w:p w14:paraId="0D81FCF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vMerge w:val="restart"/>
            <w:shd w:val="clear" w:color="auto" w:fill="auto"/>
          </w:tcPr>
          <w:p w14:paraId="4ED21AD2" w14:textId="77777777" w:rsidR="00271FA2" w:rsidRPr="00F06DE2" w:rsidRDefault="00D35E51">
            <w:pPr>
              <w:tabs>
                <w:tab w:val="right" w:pos="3856"/>
                <w:tab w:val="center" w:pos="4536"/>
                <w:tab w:val="left" w:pos="6521"/>
                <w:tab w:val="right" w:pos="9072"/>
              </w:tabs>
              <w:spacing w:line="240" w:lineRule="atLeast"/>
              <w:jc w:val="both"/>
              <w:rPr>
                <w:rFonts w:ascii="Times New Roman" w:hAnsi="Times New Roman" w:cs="Times New Roman"/>
                <w:color w:val="000000"/>
                <w:lang w:val="ru-RU"/>
              </w:rPr>
            </w:pPr>
            <w:r w:rsidRPr="00F06DE2">
              <w:rPr>
                <w:rFonts w:ascii="Times New Roman" w:hAnsi="Times New Roman" w:cs="Times New Roman"/>
                <w:color w:val="000000"/>
                <w:lang w:val="ru-RU"/>
              </w:rPr>
              <w:t>Минимално пропускане на светлина от покритието</w:t>
            </w:r>
          </w:p>
        </w:tc>
        <w:tc>
          <w:tcPr>
            <w:tcW w:w="6324" w:type="dxa"/>
            <w:shd w:val="clear" w:color="auto" w:fill="auto"/>
          </w:tcPr>
          <w:p w14:paraId="6D5BBFA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73D37F6B" w14:textId="60991957" w:rsidR="00271FA2" w:rsidRPr="00F06DE2" w:rsidRDefault="00C0489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.2024 г.</w:t>
            </w:r>
          </w:p>
        </w:tc>
      </w:tr>
      <w:tr w:rsidR="00271FA2" w:rsidRPr="00F06DE2" w14:paraId="1A2FB2BF" w14:textId="77777777" w:rsidTr="00C04891">
        <w:trPr>
          <w:cantSplit/>
          <w:jc w:val="center"/>
        </w:trPr>
        <w:tc>
          <w:tcPr>
            <w:tcW w:w="1342" w:type="dxa"/>
            <w:tcBorders>
              <w:top w:val="nil"/>
              <w:bottom w:val="nil"/>
            </w:tcBorders>
            <w:shd w:val="clear" w:color="auto" w:fill="auto"/>
          </w:tcPr>
          <w:p w14:paraId="1787CBE6" w14:textId="77777777" w:rsidR="00271FA2" w:rsidRPr="00F06DE2" w:rsidRDefault="00271FA2">
            <w:pPr>
              <w:spacing w:line="240" w:lineRule="atLeast"/>
              <w:rPr>
                <w:rFonts w:ascii="Times New Roman" w:hAnsi="Times New Roman" w:cs="Times New Roman"/>
              </w:rPr>
            </w:pPr>
          </w:p>
        </w:tc>
        <w:tc>
          <w:tcPr>
            <w:tcW w:w="1458" w:type="dxa"/>
            <w:vMerge/>
            <w:shd w:val="clear" w:color="auto" w:fill="auto"/>
          </w:tcPr>
          <w:p w14:paraId="4FA5EE27" w14:textId="77777777" w:rsidR="00271FA2" w:rsidRPr="00F06DE2" w:rsidRDefault="00271FA2">
            <w:pPr>
              <w:spacing w:line="240" w:lineRule="atLeast"/>
              <w:rPr>
                <w:rFonts w:ascii="Times New Roman" w:hAnsi="Times New Roman" w:cs="Times New Roman"/>
              </w:rPr>
            </w:pPr>
          </w:p>
        </w:tc>
        <w:tc>
          <w:tcPr>
            <w:tcW w:w="3296" w:type="dxa"/>
            <w:vMerge/>
            <w:shd w:val="clear" w:color="auto" w:fill="auto"/>
          </w:tcPr>
          <w:p w14:paraId="2BAE1F77" w14:textId="77777777" w:rsidR="00271FA2" w:rsidRPr="00F06DE2" w:rsidRDefault="00271FA2">
            <w:pPr>
              <w:spacing w:line="240" w:lineRule="atLeast"/>
              <w:rPr>
                <w:rFonts w:ascii="Times New Roman" w:hAnsi="Times New Roman" w:cs="Times New Roman"/>
              </w:rPr>
            </w:pPr>
          </w:p>
        </w:tc>
        <w:tc>
          <w:tcPr>
            <w:tcW w:w="6324" w:type="dxa"/>
            <w:shd w:val="clear" w:color="auto" w:fill="auto"/>
          </w:tcPr>
          <w:p w14:paraId="51F9F524" w14:textId="77777777" w:rsidR="00271FA2" w:rsidRPr="00F06DE2" w:rsidRDefault="00D35E51">
            <w:pPr>
              <w:tabs>
                <w:tab w:val="left" w:pos="57"/>
                <w:tab w:val="left" w:pos="907"/>
              </w:tabs>
              <w:overflowPunct w:val="0"/>
              <w:adjustRightInd w:val="0"/>
              <w:spacing w:line="240" w:lineRule="atLeast"/>
              <w:ind w:right="57"/>
              <w:jc w:val="both"/>
              <w:textAlignment w:val="baseline"/>
              <w:rPr>
                <w:rFonts w:ascii="Times New Roman" w:hAnsi="Times New Roman" w:cs="Times New Roman"/>
                <w:lang w:val="ru-RU"/>
              </w:rPr>
            </w:pPr>
            <w:r w:rsidRPr="00F06DE2">
              <w:rPr>
                <w:rFonts w:ascii="Times New Roman" w:hAnsi="Times New Roman" w:cs="Times New Roman"/>
                <w:lang w:val="ru-RU"/>
              </w:rPr>
              <w:t>НЗР за плавателни съдове с тонирани стъкла, които отговарят на следните условия:</w:t>
            </w:r>
          </w:p>
          <w:p w14:paraId="7D3E48E8" w14:textId="77777777" w:rsidR="00271FA2" w:rsidRPr="00F06DE2" w:rsidRDefault="00D35E51">
            <w:p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Прозорците са оцветени в зелено и се характеризират с минимално пропускане на светлина 60</w:t>
            </w:r>
            <w:r w:rsidRPr="00F06DE2">
              <w:rPr>
                <w:rFonts w:ascii="Times New Roman" w:hAnsi="Times New Roman" w:cs="Times New Roman"/>
              </w:rPr>
              <w:t> </w:t>
            </w:r>
            <w:r w:rsidRPr="00F06DE2">
              <w:rPr>
                <w:rFonts w:ascii="Times New Roman" w:hAnsi="Times New Roman" w:cs="Times New Roman"/>
                <w:lang w:val="ru-RU"/>
              </w:rPr>
              <w:t>%,</w:t>
            </w:r>
          </w:p>
          <w:p w14:paraId="597FDC86" w14:textId="77777777" w:rsidR="00271FA2" w:rsidRPr="00F06DE2" w:rsidRDefault="00D35E51">
            <w:p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Таванът на рулевата рубка е проектиран, така че да изключва отражения върху прозорците,</w:t>
            </w:r>
          </w:p>
          <w:p w14:paraId="193BDE6B" w14:textId="77777777" w:rsidR="00271FA2" w:rsidRPr="00F06DE2" w:rsidRDefault="00D35E51">
            <w:p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Източниците на светлина в рулевата рубка могат да бъдат регулирани плавно или изключвани.</w:t>
            </w:r>
          </w:p>
          <w:p w14:paraId="28D06B44" w14:textId="77777777" w:rsidR="00271FA2" w:rsidRPr="00F06DE2" w:rsidRDefault="00D35E51">
            <w:p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Всички разумни мерки за избягване на други отражения са били предприети.</w:t>
            </w:r>
          </w:p>
        </w:tc>
        <w:tc>
          <w:tcPr>
            <w:tcW w:w="1609" w:type="dxa"/>
            <w:shd w:val="clear" w:color="auto" w:fill="auto"/>
          </w:tcPr>
          <w:p w14:paraId="5EAFD29D" w14:textId="77777777" w:rsidR="00271FA2" w:rsidRPr="00F06DE2" w:rsidRDefault="00271FA2">
            <w:pPr>
              <w:spacing w:line="240" w:lineRule="atLeast"/>
              <w:rPr>
                <w:rFonts w:ascii="Times New Roman" w:hAnsi="Times New Roman" w:cs="Times New Roman"/>
                <w:lang w:val="ru-RU"/>
              </w:rPr>
            </w:pPr>
          </w:p>
        </w:tc>
      </w:tr>
      <w:tr w:rsidR="00271FA2" w:rsidRPr="00F06DE2" w14:paraId="37338857" w14:textId="77777777" w:rsidTr="00C04891">
        <w:trPr>
          <w:cantSplit/>
          <w:jc w:val="center"/>
        </w:trPr>
        <w:tc>
          <w:tcPr>
            <w:tcW w:w="1342" w:type="dxa"/>
            <w:tcBorders>
              <w:top w:val="nil"/>
            </w:tcBorders>
            <w:shd w:val="clear" w:color="auto" w:fill="auto"/>
          </w:tcPr>
          <w:p w14:paraId="32E8F778" w14:textId="77777777" w:rsidR="00271FA2" w:rsidRPr="00F06DE2" w:rsidRDefault="00271FA2">
            <w:pPr>
              <w:spacing w:line="240" w:lineRule="atLeast"/>
              <w:rPr>
                <w:rFonts w:ascii="Times New Roman" w:hAnsi="Times New Roman" w:cs="Times New Roman"/>
                <w:lang w:val="ru-RU"/>
              </w:rPr>
            </w:pPr>
          </w:p>
        </w:tc>
        <w:tc>
          <w:tcPr>
            <w:tcW w:w="1458" w:type="dxa"/>
            <w:shd w:val="clear" w:color="auto" w:fill="auto"/>
          </w:tcPr>
          <w:p w14:paraId="2E6A854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4787774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Параметри на безопасното стъкло</w:t>
            </w:r>
          </w:p>
        </w:tc>
        <w:tc>
          <w:tcPr>
            <w:tcW w:w="6324" w:type="dxa"/>
            <w:shd w:val="clear" w:color="auto" w:fill="auto"/>
          </w:tcPr>
          <w:p w14:paraId="32F7455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609" w:type="dxa"/>
            <w:shd w:val="clear" w:color="auto" w:fill="auto"/>
          </w:tcPr>
          <w:p w14:paraId="532B178E" w14:textId="77777777" w:rsidR="00271FA2" w:rsidRPr="00F06DE2" w:rsidRDefault="00271FA2">
            <w:pPr>
              <w:spacing w:line="240" w:lineRule="atLeast"/>
              <w:jc w:val="both"/>
              <w:rPr>
                <w:rFonts w:ascii="Times New Roman" w:hAnsi="Times New Roman" w:cs="Times New Roman"/>
              </w:rPr>
            </w:pPr>
          </w:p>
        </w:tc>
      </w:tr>
      <w:tr w:rsidR="00271FA2" w:rsidRPr="00F06DE2" w14:paraId="57771773" w14:textId="77777777" w:rsidTr="00C04891">
        <w:trPr>
          <w:cantSplit/>
          <w:jc w:val="center"/>
        </w:trPr>
        <w:tc>
          <w:tcPr>
            <w:tcW w:w="1342" w:type="dxa"/>
            <w:vMerge w:val="restart"/>
            <w:shd w:val="clear" w:color="auto" w:fill="auto"/>
          </w:tcPr>
          <w:p w14:paraId="4F023EB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7.03</w:t>
            </w:r>
          </w:p>
        </w:tc>
        <w:tc>
          <w:tcPr>
            <w:tcW w:w="1458" w:type="dxa"/>
            <w:shd w:val="clear" w:color="auto" w:fill="auto"/>
          </w:tcPr>
          <w:p w14:paraId="242C7C1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59A0A1F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Изключване на системите за тревога</w:t>
            </w:r>
          </w:p>
        </w:tc>
        <w:tc>
          <w:tcPr>
            <w:tcW w:w="6324" w:type="dxa"/>
            <w:shd w:val="clear" w:color="auto" w:fill="auto"/>
          </w:tcPr>
          <w:p w14:paraId="0272825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7DFFC009"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42DC1027" w14:textId="77777777" w:rsidTr="00C04891">
        <w:trPr>
          <w:cantSplit/>
          <w:jc w:val="center"/>
        </w:trPr>
        <w:tc>
          <w:tcPr>
            <w:tcW w:w="1342" w:type="dxa"/>
            <w:vMerge/>
            <w:shd w:val="clear" w:color="auto" w:fill="auto"/>
          </w:tcPr>
          <w:p w14:paraId="0ECB8334" w14:textId="77777777" w:rsidR="00271FA2" w:rsidRPr="00F06DE2" w:rsidRDefault="00271FA2">
            <w:pPr>
              <w:spacing w:line="240" w:lineRule="atLeast"/>
              <w:jc w:val="both"/>
              <w:rPr>
                <w:rFonts w:ascii="Times New Roman" w:hAnsi="Times New Roman" w:cs="Times New Roman"/>
                <w:lang w:val="ru-RU"/>
              </w:rPr>
            </w:pPr>
          </w:p>
        </w:tc>
        <w:tc>
          <w:tcPr>
            <w:tcW w:w="1458" w:type="dxa"/>
            <w:shd w:val="clear" w:color="auto" w:fill="auto"/>
          </w:tcPr>
          <w:p w14:paraId="30750F0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8</w:t>
            </w:r>
          </w:p>
        </w:tc>
        <w:tc>
          <w:tcPr>
            <w:tcW w:w="3296" w:type="dxa"/>
            <w:shd w:val="clear" w:color="auto" w:fill="auto"/>
          </w:tcPr>
          <w:p w14:paraId="15CD33D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Автоматично превключване към друг източник на енергия</w:t>
            </w:r>
          </w:p>
        </w:tc>
        <w:tc>
          <w:tcPr>
            <w:tcW w:w="6324" w:type="dxa"/>
            <w:shd w:val="clear" w:color="auto" w:fill="auto"/>
          </w:tcPr>
          <w:p w14:paraId="7C4990F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2D4B753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941E4A" w:rsidRPr="00F06DE2" w14:paraId="38C97B2D" w14:textId="77777777" w:rsidTr="00C04891">
        <w:trPr>
          <w:cantSplit/>
          <w:jc w:val="center"/>
        </w:trPr>
        <w:tc>
          <w:tcPr>
            <w:tcW w:w="1342" w:type="dxa"/>
            <w:vMerge w:val="restart"/>
            <w:shd w:val="clear" w:color="auto" w:fill="auto"/>
          </w:tcPr>
          <w:p w14:paraId="0F646DDB" w14:textId="77777777" w:rsidR="00941E4A" w:rsidRPr="00F06DE2" w:rsidRDefault="00941E4A">
            <w:pPr>
              <w:spacing w:line="240" w:lineRule="atLeast"/>
              <w:jc w:val="both"/>
              <w:rPr>
                <w:rFonts w:ascii="Times New Roman" w:hAnsi="Times New Roman" w:cs="Times New Roman"/>
              </w:rPr>
            </w:pPr>
            <w:r w:rsidRPr="00F06DE2">
              <w:rPr>
                <w:rFonts w:ascii="Times New Roman" w:hAnsi="Times New Roman" w:cs="Times New Roman"/>
              </w:rPr>
              <w:t>7.04</w:t>
            </w:r>
          </w:p>
        </w:tc>
        <w:tc>
          <w:tcPr>
            <w:tcW w:w="1458" w:type="dxa"/>
            <w:shd w:val="clear" w:color="auto" w:fill="auto"/>
          </w:tcPr>
          <w:p w14:paraId="1AD71B31" w14:textId="77777777" w:rsidR="00941E4A" w:rsidRPr="00F06DE2" w:rsidRDefault="00941E4A">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493AD5DB" w14:textId="77777777" w:rsidR="00941E4A" w:rsidRPr="00F06DE2" w:rsidRDefault="00941E4A">
            <w:pPr>
              <w:spacing w:line="240" w:lineRule="atLeast"/>
              <w:jc w:val="both"/>
              <w:rPr>
                <w:rFonts w:ascii="Times New Roman" w:hAnsi="Times New Roman" w:cs="Times New Roman"/>
                <w:lang w:val="ru-RU"/>
              </w:rPr>
            </w:pPr>
            <w:r w:rsidRPr="00F06DE2">
              <w:rPr>
                <w:rFonts w:ascii="Times New Roman" w:hAnsi="Times New Roman" w:cs="Times New Roman"/>
                <w:lang w:val="ru-RU"/>
              </w:rPr>
              <w:t>Управление на главните двигатели и рулевите системи</w:t>
            </w:r>
          </w:p>
        </w:tc>
        <w:tc>
          <w:tcPr>
            <w:tcW w:w="6324" w:type="dxa"/>
            <w:shd w:val="clear" w:color="auto" w:fill="auto"/>
          </w:tcPr>
          <w:p w14:paraId="712B0F18" w14:textId="77777777" w:rsidR="00941E4A" w:rsidRPr="00F06DE2" w:rsidRDefault="00941E4A">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1BEEF213" w14:textId="77777777" w:rsidR="00941E4A" w:rsidRPr="00F06DE2" w:rsidRDefault="00941E4A">
            <w:pPr>
              <w:spacing w:line="240" w:lineRule="atLeast"/>
              <w:jc w:val="both"/>
              <w:rPr>
                <w:rFonts w:ascii="Times New Roman" w:hAnsi="Times New Roman" w:cs="Times New Roman"/>
                <w:lang w:val="ru-RU"/>
              </w:rPr>
            </w:pPr>
          </w:p>
        </w:tc>
      </w:tr>
      <w:tr w:rsidR="00941E4A" w:rsidRPr="00F06DE2" w14:paraId="1E92827E" w14:textId="77777777" w:rsidTr="00C04891">
        <w:trPr>
          <w:cantSplit/>
          <w:jc w:val="center"/>
        </w:trPr>
        <w:tc>
          <w:tcPr>
            <w:tcW w:w="1342" w:type="dxa"/>
            <w:vMerge/>
            <w:shd w:val="clear" w:color="auto" w:fill="auto"/>
          </w:tcPr>
          <w:p w14:paraId="248730A3" w14:textId="77777777" w:rsidR="00941E4A" w:rsidRPr="00F06DE2" w:rsidRDefault="00941E4A">
            <w:pPr>
              <w:spacing w:line="240" w:lineRule="atLeast"/>
              <w:rPr>
                <w:rFonts w:ascii="Times New Roman" w:hAnsi="Times New Roman" w:cs="Times New Roman"/>
                <w:lang w:val="ru-RU"/>
              </w:rPr>
            </w:pPr>
          </w:p>
        </w:tc>
        <w:tc>
          <w:tcPr>
            <w:tcW w:w="1458" w:type="dxa"/>
            <w:shd w:val="clear" w:color="auto" w:fill="auto"/>
          </w:tcPr>
          <w:p w14:paraId="71619509" w14:textId="77777777" w:rsidR="00941E4A" w:rsidRPr="00F06DE2" w:rsidRDefault="00941E4A">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479F6079" w14:textId="77777777" w:rsidR="00941E4A" w:rsidRPr="00F06DE2" w:rsidRDefault="00941E4A">
            <w:pPr>
              <w:spacing w:line="240" w:lineRule="atLeast"/>
              <w:jc w:val="both"/>
              <w:rPr>
                <w:rFonts w:ascii="Times New Roman" w:hAnsi="Times New Roman" w:cs="Times New Roman"/>
                <w:lang w:val="ru-RU"/>
              </w:rPr>
            </w:pPr>
            <w:r w:rsidRPr="00F06DE2">
              <w:rPr>
                <w:rFonts w:ascii="Times New Roman" w:hAnsi="Times New Roman" w:cs="Times New Roman"/>
                <w:lang w:val="ru-RU"/>
              </w:rPr>
              <w:t>Управление на всеки главен двигател</w:t>
            </w:r>
          </w:p>
        </w:tc>
        <w:tc>
          <w:tcPr>
            <w:tcW w:w="6324" w:type="dxa"/>
            <w:shd w:val="clear" w:color="auto" w:fill="auto"/>
          </w:tcPr>
          <w:p w14:paraId="4844D281" w14:textId="1076EB13" w:rsidR="00941E4A" w:rsidRPr="00F06DE2" w:rsidRDefault="00941E4A" w:rsidP="00705160">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Освен ако място за управление не </w:t>
            </w:r>
            <w:r w:rsidR="00705160" w:rsidRPr="00F06DE2">
              <w:rPr>
                <w:rFonts w:ascii="Times New Roman" w:hAnsi="Times New Roman" w:cs="Times New Roman"/>
                <w:lang w:val="ru-RU"/>
              </w:rPr>
              <w:t xml:space="preserve">е </w:t>
            </w:r>
            <w:r w:rsidRPr="00F06DE2">
              <w:rPr>
                <w:rFonts w:ascii="Times New Roman" w:hAnsi="Times New Roman" w:cs="Times New Roman"/>
                <w:lang w:val="ru-RU"/>
              </w:rPr>
              <w:t>проектиран</w:t>
            </w:r>
            <w:r w:rsidR="00705160" w:rsidRPr="00F06DE2">
              <w:rPr>
                <w:rFonts w:ascii="Times New Roman" w:hAnsi="Times New Roman" w:cs="Times New Roman"/>
                <w:lang w:val="ru-RU"/>
              </w:rPr>
              <w:t>о</w:t>
            </w:r>
            <w:r w:rsidRPr="00F06DE2">
              <w:rPr>
                <w:rFonts w:ascii="Times New Roman" w:hAnsi="Times New Roman" w:cs="Times New Roman"/>
                <w:lang w:val="ru-RU"/>
              </w:rPr>
              <w:t xml:space="preserve"> за управление от едно лице</w:t>
            </w:r>
            <w:r w:rsidR="00705160" w:rsidRPr="00F06DE2">
              <w:rPr>
                <w:rFonts w:ascii="Times New Roman" w:hAnsi="Times New Roman" w:cs="Times New Roman"/>
                <w:lang w:val="ru-RU"/>
              </w:rPr>
              <w:t xml:space="preserve"> с помощта на радиолокатор</w:t>
            </w:r>
            <w:r w:rsidRPr="00F06DE2">
              <w:rPr>
                <w:rFonts w:ascii="Times New Roman" w:hAnsi="Times New Roman" w:cs="Times New Roman"/>
                <w:lang w:val="ru-RU"/>
              </w:rPr>
              <w:t>: НЗР, най-късно при подновяване на Корабното удостоверение за вътрешно корабоплаване след</w:t>
            </w:r>
          </w:p>
        </w:tc>
        <w:tc>
          <w:tcPr>
            <w:tcW w:w="1609" w:type="dxa"/>
            <w:shd w:val="clear" w:color="auto" w:fill="auto"/>
          </w:tcPr>
          <w:p w14:paraId="134C82D2" w14:textId="77777777" w:rsidR="00941E4A" w:rsidRPr="00F06DE2" w:rsidRDefault="00941E4A">
            <w:pPr>
              <w:spacing w:line="240" w:lineRule="atLeast"/>
              <w:jc w:val="both"/>
              <w:rPr>
                <w:rFonts w:ascii="Times New Roman" w:hAnsi="Times New Roman" w:cs="Times New Roman"/>
                <w:lang w:val="ru-RU"/>
              </w:rPr>
            </w:pPr>
            <w:r w:rsidRPr="00F06DE2">
              <w:rPr>
                <w:rFonts w:ascii="Times New Roman" w:hAnsi="Times New Roman" w:cs="Times New Roman"/>
                <w:lang w:val="ru-RU"/>
              </w:rPr>
              <w:t>30.12.2049 г.</w:t>
            </w:r>
          </w:p>
          <w:p w14:paraId="7943719A" w14:textId="77777777" w:rsidR="00941E4A" w:rsidRPr="00F06DE2" w:rsidRDefault="00941E4A">
            <w:pPr>
              <w:spacing w:line="240" w:lineRule="atLeast"/>
              <w:jc w:val="both"/>
              <w:rPr>
                <w:rFonts w:ascii="Times New Roman" w:hAnsi="Times New Roman" w:cs="Times New Roman"/>
                <w:lang w:val="ru-RU"/>
              </w:rPr>
            </w:pPr>
            <w:r w:rsidRPr="00F06DE2">
              <w:rPr>
                <w:rFonts w:ascii="Times New Roman" w:hAnsi="Times New Roman" w:cs="Times New Roman"/>
                <w:lang w:val="ru-RU"/>
              </w:rPr>
              <w:t>ако посоката на движение може да бъде постигната директно</w:t>
            </w:r>
          </w:p>
          <w:p w14:paraId="2B6A0D71" w14:textId="4B0785D7" w:rsidR="00941E4A" w:rsidRPr="00F06DE2" w:rsidRDefault="00941E4A" w:rsidP="002931B7">
            <w:pPr>
              <w:spacing w:line="240" w:lineRule="atLeast"/>
              <w:jc w:val="both"/>
              <w:rPr>
                <w:rFonts w:ascii="Times New Roman" w:hAnsi="Times New Roman" w:cs="Times New Roman"/>
              </w:rPr>
            </w:pPr>
            <w:r w:rsidRPr="00F06DE2">
              <w:rPr>
                <w:rFonts w:ascii="Times New Roman" w:hAnsi="Times New Roman" w:cs="Times New Roman"/>
              </w:rPr>
              <w:t>30.12.2024</w:t>
            </w:r>
            <w:r w:rsidR="002931B7" w:rsidRPr="00F06DE2">
              <w:rPr>
                <w:rFonts w:ascii="Times New Roman" w:hAnsi="Times New Roman" w:cs="Times New Roman"/>
              </w:rPr>
              <w:t xml:space="preserve"> </w:t>
            </w:r>
            <w:r w:rsidRPr="00F06DE2">
              <w:rPr>
                <w:rFonts w:ascii="Times New Roman" w:hAnsi="Times New Roman" w:cs="Times New Roman"/>
              </w:rPr>
              <w:t>г. за останалите двигатели.</w:t>
            </w:r>
          </w:p>
        </w:tc>
      </w:tr>
      <w:tr w:rsidR="00941E4A" w:rsidRPr="00F06DE2" w14:paraId="391148F3" w14:textId="77777777" w:rsidTr="00C04891">
        <w:trPr>
          <w:cantSplit/>
          <w:jc w:val="center"/>
        </w:trPr>
        <w:tc>
          <w:tcPr>
            <w:tcW w:w="1342" w:type="dxa"/>
            <w:vMerge/>
            <w:shd w:val="clear" w:color="auto" w:fill="auto"/>
          </w:tcPr>
          <w:p w14:paraId="75A4D876" w14:textId="77777777" w:rsidR="00941E4A" w:rsidRPr="00F06DE2" w:rsidRDefault="00941E4A">
            <w:pPr>
              <w:spacing w:line="240" w:lineRule="atLeast"/>
              <w:rPr>
                <w:rFonts w:ascii="Times New Roman" w:hAnsi="Times New Roman" w:cs="Times New Roman"/>
              </w:rPr>
            </w:pPr>
          </w:p>
        </w:tc>
        <w:tc>
          <w:tcPr>
            <w:tcW w:w="1458" w:type="dxa"/>
            <w:shd w:val="clear" w:color="auto" w:fill="auto"/>
          </w:tcPr>
          <w:p w14:paraId="50112C04" w14:textId="3D250142" w:rsidR="00941E4A" w:rsidRPr="00F06DE2" w:rsidRDefault="00941E4A">
            <w:pPr>
              <w:spacing w:line="240" w:lineRule="atLeast"/>
              <w:jc w:val="both"/>
              <w:rPr>
                <w:rFonts w:ascii="Times New Roman" w:hAnsi="Times New Roman" w:cs="Times New Roman"/>
              </w:rPr>
            </w:pPr>
          </w:p>
        </w:tc>
        <w:tc>
          <w:tcPr>
            <w:tcW w:w="3296" w:type="dxa"/>
            <w:shd w:val="clear" w:color="auto" w:fill="auto"/>
          </w:tcPr>
          <w:p w14:paraId="3DD266C0" w14:textId="4FAE1425" w:rsidR="00941E4A" w:rsidRPr="00F06DE2" w:rsidRDefault="00941E4A">
            <w:pPr>
              <w:spacing w:line="240" w:lineRule="atLeast"/>
              <w:jc w:val="both"/>
              <w:rPr>
                <w:rFonts w:ascii="Times New Roman" w:hAnsi="Times New Roman" w:cs="Times New Roman"/>
              </w:rPr>
            </w:pPr>
          </w:p>
        </w:tc>
        <w:tc>
          <w:tcPr>
            <w:tcW w:w="6324" w:type="dxa"/>
            <w:shd w:val="clear" w:color="auto" w:fill="auto"/>
          </w:tcPr>
          <w:p w14:paraId="4BBCB0A9" w14:textId="2FC817B4" w:rsidR="00941E4A" w:rsidRPr="00F06DE2" w:rsidRDefault="00941E4A">
            <w:pPr>
              <w:spacing w:line="240" w:lineRule="atLeast"/>
              <w:jc w:val="both"/>
              <w:rPr>
                <w:rFonts w:ascii="Times New Roman" w:hAnsi="Times New Roman" w:cs="Times New Roman"/>
              </w:rPr>
            </w:pPr>
          </w:p>
        </w:tc>
        <w:tc>
          <w:tcPr>
            <w:tcW w:w="1609" w:type="dxa"/>
            <w:shd w:val="clear" w:color="auto" w:fill="auto"/>
          </w:tcPr>
          <w:p w14:paraId="20D2263A" w14:textId="2A4227A3" w:rsidR="00941E4A" w:rsidRPr="00F06DE2" w:rsidRDefault="00941E4A">
            <w:pPr>
              <w:spacing w:line="240" w:lineRule="atLeast"/>
              <w:jc w:val="both"/>
              <w:rPr>
                <w:rFonts w:ascii="Times New Roman" w:hAnsi="Times New Roman" w:cs="Times New Roman"/>
              </w:rPr>
            </w:pPr>
          </w:p>
        </w:tc>
      </w:tr>
      <w:tr w:rsidR="00941E4A" w:rsidRPr="00F06DE2" w14:paraId="4B90E5D7" w14:textId="77777777" w:rsidTr="00C04891">
        <w:trPr>
          <w:cantSplit/>
          <w:jc w:val="center"/>
        </w:trPr>
        <w:tc>
          <w:tcPr>
            <w:tcW w:w="1342" w:type="dxa"/>
            <w:vMerge/>
            <w:shd w:val="clear" w:color="auto" w:fill="auto"/>
          </w:tcPr>
          <w:p w14:paraId="67286FDC" w14:textId="77777777" w:rsidR="00941E4A" w:rsidRPr="00F06DE2" w:rsidRDefault="00941E4A">
            <w:pPr>
              <w:spacing w:line="240" w:lineRule="atLeast"/>
              <w:rPr>
                <w:rFonts w:ascii="Times New Roman" w:hAnsi="Times New Roman" w:cs="Times New Roman"/>
              </w:rPr>
            </w:pPr>
          </w:p>
        </w:tc>
        <w:tc>
          <w:tcPr>
            <w:tcW w:w="1458" w:type="dxa"/>
            <w:shd w:val="clear" w:color="auto" w:fill="auto"/>
          </w:tcPr>
          <w:p w14:paraId="1558461B" w14:textId="77777777" w:rsidR="00941E4A" w:rsidRPr="00F06DE2" w:rsidRDefault="00941E4A">
            <w:pPr>
              <w:spacing w:line="240" w:lineRule="atLeast"/>
              <w:jc w:val="both"/>
              <w:rPr>
                <w:rFonts w:ascii="Times New Roman" w:hAnsi="Times New Roman" w:cs="Times New Roman"/>
              </w:rPr>
            </w:pPr>
            <w:r w:rsidRPr="00F06DE2">
              <w:rPr>
                <w:rFonts w:ascii="Times New Roman" w:hAnsi="Times New Roman" w:cs="Times New Roman"/>
              </w:rPr>
              <w:t>Точка 9, 3-то изречение</w:t>
            </w:r>
          </w:p>
        </w:tc>
        <w:tc>
          <w:tcPr>
            <w:tcW w:w="3296" w:type="dxa"/>
            <w:shd w:val="clear" w:color="auto" w:fill="auto"/>
          </w:tcPr>
          <w:p w14:paraId="768644F5" w14:textId="77777777" w:rsidR="00941E4A" w:rsidRPr="00F06DE2" w:rsidRDefault="00941E4A">
            <w:pPr>
              <w:spacing w:line="240" w:lineRule="atLeast"/>
              <w:jc w:val="both"/>
              <w:rPr>
                <w:rFonts w:ascii="Times New Roman" w:hAnsi="Times New Roman" w:cs="Times New Roman"/>
              </w:rPr>
            </w:pPr>
            <w:r w:rsidRPr="00F06DE2">
              <w:rPr>
                <w:rFonts w:ascii="Times New Roman" w:hAnsi="Times New Roman" w:cs="Times New Roman"/>
              </w:rPr>
              <w:t>Управление чрез ръкохватка</w:t>
            </w:r>
          </w:p>
        </w:tc>
        <w:tc>
          <w:tcPr>
            <w:tcW w:w="6324" w:type="dxa"/>
            <w:shd w:val="clear" w:color="auto" w:fill="auto"/>
          </w:tcPr>
          <w:p w14:paraId="18107254" w14:textId="77777777" w:rsidR="00941E4A" w:rsidRPr="00F06DE2" w:rsidRDefault="00941E4A">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9FEB5CA" w14:textId="77777777" w:rsidR="00941E4A" w:rsidRPr="00F06DE2" w:rsidRDefault="00941E4A">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941E4A" w:rsidRPr="00F06DE2" w14:paraId="3BDE4923" w14:textId="77777777" w:rsidTr="00C04891">
        <w:trPr>
          <w:cantSplit/>
          <w:jc w:val="center"/>
        </w:trPr>
        <w:tc>
          <w:tcPr>
            <w:tcW w:w="1342" w:type="dxa"/>
            <w:vMerge/>
            <w:shd w:val="clear" w:color="auto" w:fill="auto"/>
          </w:tcPr>
          <w:p w14:paraId="10CE52AF" w14:textId="77777777" w:rsidR="00941E4A" w:rsidRPr="00F06DE2" w:rsidRDefault="00941E4A">
            <w:pPr>
              <w:spacing w:line="240" w:lineRule="atLeast"/>
              <w:rPr>
                <w:rFonts w:ascii="Times New Roman" w:hAnsi="Times New Roman" w:cs="Times New Roman"/>
              </w:rPr>
            </w:pPr>
          </w:p>
        </w:tc>
        <w:tc>
          <w:tcPr>
            <w:tcW w:w="1458" w:type="dxa"/>
            <w:shd w:val="clear" w:color="auto" w:fill="auto"/>
          </w:tcPr>
          <w:p w14:paraId="5646B46D" w14:textId="77777777" w:rsidR="00941E4A" w:rsidRPr="00F06DE2" w:rsidRDefault="00941E4A">
            <w:pPr>
              <w:spacing w:line="240" w:lineRule="atLeast"/>
              <w:jc w:val="both"/>
              <w:rPr>
                <w:rFonts w:ascii="Times New Roman" w:hAnsi="Times New Roman" w:cs="Times New Roman"/>
              </w:rPr>
            </w:pPr>
            <w:r w:rsidRPr="00F06DE2">
              <w:rPr>
                <w:rFonts w:ascii="Times New Roman" w:hAnsi="Times New Roman" w:cs="Times New Roman"/>
              </w:rPr>
              <w:t>Точка 9, 4-то изречение</w:t>
            </w:r>
          </w:p>
        </w:tc>
        <w:tc>
          <w:tcPr>
            <w:tcW w:w="3296" w:type="dxa"/>
            <w:shd w:val="clear" w:color="auto" w:fill="auto"/>
          </w:tcPr>
          <w:p w14:paraId="7184A3EB" w14:textId="77777777" w:rsidR="00941E4A" w:rsidRPr="00F06DE2" w:rsidRDefault="00941E4A">
            <w:pPr>
              <w:spacing w:line="240" w:lineRule="atLeast"/>
              <w:jc w:val="both"/>
              <w:rPr>
                <w:rFonts w:ascii="Times New Roman" w:hAnsi="Times New Roman" w:cs="Times New Roman"/>
                <w:lang w:val="ru-RU"/>
              </w:rPr>
            </w:pPr>
            <w:r w:rsidRPr="00F06DE2">
              <w:rPr>
                <w:rFonts w:ascii="Times New Roman" w:hAnsi="Times New Roman" w:cs="Times New Roman"/>
                <w:lang w:val="ru-RU"/>
              </w:rPr>
              <w:t>Ясно показване на посоката на тягата</w:t>
            </w:r>
          </w:p>
        </w:tc>
        <w:tc>
          <w:tcPr>
            <w:tcW w:w="6324" w:type="dxa"/>
            <w:shd w:val="clear" w:color="auto" w:fill="auto"/>
          </w:tcPr>
          <w:p w14:paraId="089164E9" w14:textId="77777777" w:rsidR="00941E4A" w:rsidRPr="00F06DE2" w:rsidRDefault="00941E4A">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4CD8FFE8" w14:textId="77777777" w:rsidR="00941E4A" w:rsidRPr="00F06DE2" w:rsidRDefault="00941E4A">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941E4A" w:rsidRPr="00F06DE2" w14:paraId="231D0B77" w14:textId="77777777" w:rsidTr="00C04891">
        <w:trPr>
          <w:cantSplit/>
          <w:jc w:val="center"/>
        </w:trPr>
        <w:tc>
          <w:tcPr>
            <w:tcW w:w="1342" w:type="dxa"/>
            <w:vMerge/>
            <w:shd w:val="clear" w:color="auto" w:fill="auto"/>
          </w:tcPr>
          <w:p w14:paraId="2AAD55D9" w14:textId="20D27F2F" w:rsidR="00941E4A" w:rsidRPr="00F06DE2" w:rsidRDefault="00941E4A">
            <w:pPr>
              <w:spacing w:line="240" w:lineRule="atLeast"/>
              <w:rPr>
                <w:rFonts w:ascii="Times New Roman" w:hAnsi="Times New Roman" w:cs="Times New Roman"/>
              </w:rPr>
            </w:pPr>
          </w:p>
        </w:tc>
        <w:tc>
          <w:tcPr>
            <w:tcW w:w="1458" w:type="dxa"/>
            <w:shd w:val="clear" w:color="auto" w:fill="auto"/>
          </w:tcPr>
          <w:p w14:paraId="56C32EE3" w14:textId="15CF000C" w:rsidR="00941E4A" w:rsidRPr="00F06DE2" w:rsidRDefault="00941E4A" w:rsidP="00941E4A">
            <w:pPr>
              <w:spacing w:line="240" w:lineRule="atLeast"/>
              <w:jc w:val="both"/>
              <w:rPr>
                <w:rFonts w:ascii="Times New Roman" w:hAnsi="Times New Roman" w:cs="Times New Roman"/>
              </w:rPr>
            </w:pPr>
            <w:r w:rsidRPr="00F06DE2">
              <w:rPr>
                <w:rFonts w:ascii="Times New Roman" w:hAnsi="Times New Roman" w:cs="Times New Roman"/>
              </w:rPr>
              <w:t>Точка 10, (а),(б) и (в)</w:t>
            </w:r>
          </w:p>
        </w:tc>
        <w:tc>
          <w:tcPr>
            <w:tcW w:w="3296" w:type="dxa"/>
            <w:shd w:val="clear" w:color="auto" w:fill="auto"/>
          </w:tcPr>
          <w:p w14:paraId="18EA9821" w14:textId="2B4F0B4D" w:rsidR="00941E4A" w:rsidRPr="00F06DE2" w:rsidRDefault="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Мониторинг на работната температура, налягането на смазочното масло и налягането на маслото и въздуха</w:t>
            </w:r>
          </w:p>
        </w:tc>
        <w:tc>
          <w:tcPr>
            <w:tcW w:w="6324" w:type="dxa"/>
            <w:shd w:val="clear" w:color="auto" w:fill="auto"/>
          </w:tcPr>
          <w:p w14:paraId="7ADADF69" w14:textId="4A23B208" w:rsidR="00941E4A" w:rsidRPr="00F06DE2" w:rsidRDefault="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39B9AC8A" w14:textId="7D46D40D" w:rsidR="00941E4A" w:rsidRPr="00F06DE2" w:rsidRDefault="00C46837">
            <w:pPr>
              <w:spacing w:line="240" w:lineRule="atLeast"/>
              <w:jc w:val="both"/>
              <w:rPr>
                <w:rFonts w:ascii="Times New Roman" w:hAnsi="Times New Roman" w:cs="Times New Roman"/>
              </w:rPr>
            </w:pPr>
            <w:r w:rsidRPr="00F06DE2">
              <w:rPr>
                <w:rFonts w:ascii="Times New Roman" w:hAnsi="Times New Roman" w:cs="Times New Roman"/>
              </w:rPr>
              <w:t>30.12.2024</w:t>
            </w:r>
            <w:r w:rsidR="002931B7" w:rsidRPr="00F06DE2">
              <w:rPr>
                <w:rFonts w:ascii="Times New Roman" w:hAnsi="Times New Roman" w:cs="Times New Roman"/>
              </w:rPr>
              <w:t xml:space="preserve"> г.</w:t>
            </w:r>
          </w:p>
        </w:tc>
      </w:tr>
      <w:tr w:rsidR="00941E4A" w:rsidRPr="00F06DE2" w14:paraId="1248B937" w14:textId="77777777" w:rsidTr="00C04891">
        <w:trPr>
          <w:cantSplit/>
          <w:jc w:val="center"/>
        </w:trPr>
        <w:tc>
          <w:tcPr>
            <w:tcW w:w="1342" w:type="dxa"/>
            <w:vMerge/>
            <w:shd w:val="clear" w:color="auto" w:fill="auto"/>
          </w:tcPr>
          <w:p w14:paraId="0A0E1BA8" w14:textId="77777777" w:rsidR="00941E4A" w:rsidRPr="00F06DE2" w:rsidRDefault="00941E4A">
            <w:pPr>
              <w:spacing w:line="240" w:lineRule="atLeast"/>
              <w:rPr>
                <w:rFonts w:ascii="Times New Roman" w:hAnsi="Times New Roman" w:cs="Times New Roman"/>
              </w:rPr>
            </w:pPr>
          </w:p>
        </w:tc>
        <w:tc>
          <w:tcPr>
            <w:tcW w:w="1458" w:type="dxa"/>
            <w:shd w:val="clear" w:color="auto" w:fill="auto"/>
          </w:tcPr>
          <w:p w14:paraId="5A47B101" w14:textId="4CADD59D" w:rsidR="00941E4A" w:rsidRPr="00F06DE2" w:rsidRDefault="00941E4A" w:rsidP="00941E4A">
            <w:pPr>
              <w:spacing w:line="240" w:lineRule="atLeast"/>
              <w:jc w:val="both"/>
              <w:rPr>
                <w:rFonts w:ascii="Times New Roman" w:hAnsi="Times New Roman" w:cs="Times New Roman"/>
              </w:rPr>
            </w:pPr>
            <w:r w:rsidRPr="00F06DE2">
              <w:rPr>
                <w:rFonts w:ascii="Times New Roman" w:hAnsi="Times New Roman" w:cs="Times New Roman"/>
              </w:rPr>
              <w:t>Точка 10, (г),(д) и (е)</w:t>
            </w:r>
          </w:p>
        </w:tc>
        <w:tc>
          <w:tcPr>
            <w:tcW w:w="3296" w:type="dxa"/>
            <w:shd w:val="clear" w:color="auto" w:fill="auto"/>
          </w:tcPr>
          <w:p w14:paraId="0B5E5D51" w14:textId="2E961C65" w:rsidR="00941E4A" w:rsidRPr="00F06DE2" w:rsidRDefault="00C46837" w:rsidP="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Обороти на въртене на задвижващите двигатели, оборити на въртене на движителите, посока на тягата, придавана на плавателния съд от движителите</w:t>
            </w:r>
          </w:p>
        </w:tc>
        <w:tc>
          <w:tcPr>
            <w:tcW w:w="6324" w:type="dxa"/>
            <w:shd w:val="clear" w:color="auto" w:fill="auto"/>
          </w:tcPr>
          <w:p w14:paraId="3E2E99C2" w14:textId="572FFF3B" w:rsidR="00941E4A" w:rsidRPr="00F06DE2" w:rsidRDefault="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Освен ако мястото за управление не е проектирано за управление от едно лице с помощта на радиолокатор. НЗР, най-късно при подновяване на Корабното удостоверение за вътрешно корабоплаване след</w:t>
            </w:r>
          </w:p>
        </w:tc>
        <w:tc>
          <w:tcPr>
            <w:tcW w:w="1609" w:type="dxa"/>
            <w:shd w:val="clear" w:color="auto" w:fill="auto"/>
          </w:tcPr>
          <w:p w14:paraId="1CCD7D32" w14:textId="4BF34105" w:rsidR="00941E4A" w:rsidRPr="00F06DE2" w:rsidRDefault="00C46837">
            <w:pPr>
              <w:spacing w:line="240" w:lineRule="atLeast"/>
              <w:jc w:val="both"/>
              <w:rPr>
                <w:rFonts w:ascii="Times New Roman" w:hAnsi="Times New Roman" w:cs="Times New Roman"/>
              </w:rPr>
            </w:pPr>
            <w:r w:rsidRPr="00F06DE2">
              <w:rPr>
                <w:rFonts w:ascii="Times New Roman" w:hAnsi="Times New Roman" w:cs="Times New Roman"/>
              </w:rPr>
              <w:t>30.12.2024</w:t>
            </w:r>
            <w:r w:rsidR="002931B7" w:rsidRPr="00F06DE2">
              <w:rPr>
                <w:rFonts w:ascii="Times New Roman" w:hAnsi="Times New Roman" w:cs="Times New Roman"/>
              </w:rPr>
              <w:t xml:space="preserve"> г.</w:t>
            </w:r>
          </w:p>
        </w:tc>
      </w:tr>
      <w:tr w:rsidR="00941E4A" w:rsidRPr="00F06DE2" w14:paraId="0EEA0D21" w14:textId="77777777" w:rsidTr="00C04891">
        <w:trPr>
          <w:cantSplit/>
          <w:jc w:val="center"/>
        </w:trPr>
        <w:tc>
          <w:tcPr>
            <w:tcW w:w="1342" w:type="dxa"/>
            <w:vMerge/>
            <w:shd w:val="clear" w:color="auto" w:fill="auto"/>
          </w:tcPr>
          <w:p w14:paraId="2AE2D4C5" w14:textId="77777777" w:rsidR="00941E4A" w:rsidRPr="00F06DE2" w:rsidRDefault="00941E4A">
            <w:pPr>
              <w:spacing w:line="240" w:lineRule="atLeast"/>
              <w:rPr>
                <w:rFonts w:ascii="Times New Roman" w:hAnsi="Times New Roman" w:cs="Times New Roman"/>
              </w:rPr>
            </w:pPr>
          </w:p>
        </w:tc>
        <w:tc>
          <w:tcPr>
            <w:tcW w:w="1458" w:type="dxa"/>
            <w:shd w:val="clear" w:color="auto" w:fill="auto"/>
          </w:tcPr>
          <w:p w14:paraId="5B095924" w14:textId="21AA63B6" w:rsidR="00941E4A" w:rsidRPr="00F06DE2" w:rsidRDefault="00941E4A" w:rsidP="00941E4A">
            <w:pPr>
              <w:spacing w:line="240" w:lineRule="atLeast"/>
              <w:jc w:val="both"/>
              <w:rPr>
                <w:rFonts w:ascii="Times New Roman" w:hAnsi="Times New Roman" w:cs="Times New Roman"/>
              </w:rPr>
            </w:pPr>
            <w:r w:rsidRPr="00F06DE2">
              <w:rPr>
                <w:rFonts w:ascii="Times New Roman" w:hAnsi="Times New Roman" w:cs="Times New Roman"/>
              </w:rPr>
              <w:t>Точка 11, (а),(б) и (в)</w:t>
            </w:r>
          </w:p>
        </w:tc>
        <w:tc>
          <w:tcPr>
            <w:tcW w:w="3296" w:type="dxa"/>
            <w:shd w:val="clear" w:color="auto" w:fill="auto"/>
          </w:tcPr>
          <w:p w14:paraId="10AD902D" w14:textId="2FC37E82" w:rsidR="00941E4A" w:rsidRPr="00F06DE2" w:rsidRDefault="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Аларма за работна температура, налягане на смазочното масло и налягане на маслото и въздуха</w:t>
            </w:r>
          </w:p>
        </w:tc>
        <w:tc>
          <w:tcPr>
            <w:tcW w:w="6324" w:type="dxa"/>
            <w:shd w:val="clear" w:color="auto" w:fill="auto"/>
          </w:tcPr>
          <w:p w14:paraId="6D80B682" w14:textId="478B137E" w:rsidR="00941E4A" w:rsidRPr="00F06DE2" w:rsidRDefault="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7DE680D9" w14:textId="2F044285" w:rsidR="00941E4A" w:rsidRPr="00F06DE2" w:rsidRDefault="00C46837">
            <w:pPr>
              <w:spacing w:line="240" w:lineRule="atLeast"/>
              <w:jc w:val="both"/>
              <w:rPr>
                <w:rFonts w:ascii="Times New Roman" w:hAnsi="Times New Roman" w:cs="Times New Roman"/>
              </w:rPr>
            </w:pPr>
            <w:r w:rsidRPr="00F06DE2">
              <w:rPr>
                <w:rFonts w:ascii="Times New Roman" w:hAnsi="Times New Roman" w:cs="Times New Roman"/>
              </w:rPr>
              <w:t>30.12.2024</w:t>
            </w:r>
            <w:r w:rsidR="002931B7" w:rsidRPr="00F06DE2">
              <w:rPr>
                <w:rFonts w:ascii="Times New Roman" w:hAnsi="Times New Roman" w:cs="Times New Roman"/>
              </w:rPr>
              <w:t xml:space="preserve"> г.</w:t>
            </w:r>
          </w:p>
        </w:tc>
      </w:tr>
      <w:tr w:rsidR="00941E4A" w:rsidRPr="00F06DE2" w14:paraId="683FBAC6" w14:textId="77777777" w:rsidTr="00C04891">
        <w:trPr>
          <w:cantSplit/>
          <w:jc w:val="center"/>
        </w:trPr>
        <w:tc>
          <w:tcPr>
            <w:tcW w:w="1342" w:type="dxa"/>
            <w:vMerge/>
            <w:shd w:val="clear" w:color="auto" w:fill="auto"/>
          </w:tcPr>
          <w:p w14:paraId="0167C737" w14:textId="77777777" w:rsidR="00941E4A" w:rsidRPr="00F06DE2" w:rsidRDefault="00941E4A">
            <w:pPr>
              <w:spacing w:line="240" w:lineRule="atLeast"/>
              <w:rPr>
                <w:rFonts w:ascii="Times New Roman" w:hAnsi="Times New Roman" w:cs="Times New Roman"/>
              </w:rPr>
            </w:pPr>
          </w:p>
        </w:tc>
        <w:tc>
          <w:tcPr>
            <w:tcW w:w="1458" w:type="dxa"/>
            <w:shd w:val="clear" w:color="auto" w:fill="auto"/>
          </w:tcPr>
          <w:p w14:paraId="05523C76" w14:textId="632F6BF0" w:rsidR="00941E4A" w:rsidRPr="00F06DE2" w:rsidRDefault="00941E4A" w:rsidP="00941E4A">
            <w:pPr>
              <w:spacing w:line="240" w:lineRule="atLeast"/>
              <w:jc w:val="both"/>
              <w:rPr>
                <w:rFonts w:ascii="Times New Roman" w:hAnsi="Times New Roman" w:cs="Times New Roman"/>
              </w:rPr>
            </w:pPr>
            <w:r w:rsidRPr="00F06DE2">
              <w:rPr>
                <w:rFonts w:ascii="Times New Roman" w:hAnsi="Times New Roman" w:cs="Times New Roman"/>
              </w:rPr>
              <w:t>Точка 11, (д</w:t>
            </w:r>
          </w:p>
        </w:tc>
        <w:tc>
          <w:tcPr>
            <w:tcW w:w="3296" w:type="dxa"/>
            <w:shd w:val="clear" w:color="auto" w:fill="auto"/>
          </w:tcPr>
          <w:p w14:paraId="3EE6262D" w14:textId="7CA08B06" w:rsidR="00941E4A" w:rsidRPr="00F06DE2" w:rsidRDefault="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Контрол на нивото на пълнене не само за главните двигатели, но и за други двигатели, необходими за безопасната експлоатация на кораба.</w:t>
            </w:r>
          </w:p>
        </w:tc>
        <w:tc>
          <w:tcPr>
            <w:tcW w:w="6324" w:type="dxa"/>
            <w:shd w:val="clear" w:color="auto" w:fill="auto"/>
          </w:tcPr>
          <w:p w14:paraId="1E53713C" w14:textId="42148A5E" w:rsidR="00941E4A" w:rsidRPr="00F06DE2" w:rsidRDefault="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022BE012" w14:textId="201EE443" w:rsidR="00941E4A" w:rsidRPr="00F06DE2" w:rsidRDefault="00C46837">
            <w:pPr>
              <w:spacing w:line="240" w:lineRule="atLeast"/>
              <w:jc w:val="both"/>
              <w:rPr>
                <w:rFonts w:ascii="Times New Roman" w:hAnsi="Times New Roman" w:cs="Times New Roman"/>
              </w:rPr>
            </w:pPr>
            <w:r w:rsidRPr="00F06DE2">
              <w:rPr>
                <w:rFonts w:ascii="Times New Roman" w:hAnsi="Times New Roman" w:cs="Times New Roman"/>
              </w:rPr>
              <w:t>30.12.2029</w:t>
            </w:r>
            <w:r w:rsidR="002931B7" w:rsidRPr="00F06DE2">
              <w:rPr>
                <w:rFonts w:ascii="Times New Roman" w:hAnsi="Times New Roman" w:cs="Times New Roman"/>
              </w:rPr>
              <w:t xml:space="preserve"> г.</w:t>
            </w:r>
          </w:p>
        </w:tc>
      </w:tr>
      <w:tr w:rsidR="00941E4A" w:rsidRPr="00F06DE2" w14:paraId="25ADE158" w14:textId="77777777" w:rsidTr="00C04891">
        <w:trPr>
          <w:cantSplit/>
          <w:jc w:val="center"/>
        </w:trPr>
        <w:tc>
          <w:tcPr>
            <w:tcW w:w="1342" w:type="dxa"/>
            <w:vMerge/>
            <w:shd w:val="clear" w:color="auto" w:fill="auto"/>
          </w:tcPr>
          <w:p w14:paraId="0D03B112" w14:textId="77777777" w:rsidR="00941E4A" w:rsidRPr="00F06DE2" w:rsidRDefault="00941E4A">
            <w:pPr>
              <w:spacing w:line="240" w:lineRule="atLeast"/>
              <w:rPr>
                <w:rFonts w:ascii="Times New Roman" w:hAnsi="Times New Roman" w:cs="Times New Roman"/>
              </w:rPr>
            </w:pPr>
          </w:p>
        </w:tc>
        <w:tc>
          <w:tcPr>
            <w:tcW w:w="1458" w:type="dxa"/>
            <w:shd w:val="clear" w:color="auto" w:fill="auto"/>
          </w:tcPr>
          <w:p w14:paraId="61ACC8D1" w14:textId="33BABAE1" w:rsidR="00941E4A" w:rsidRPr="00F06DE2" w:rsidRDefault="00941E4A" w:rsidP="00941E4A">
            <w:pPr>
              <w:spacing w:line="240" w:lineRule="atLeast"/>
              <w:jc w:val="both"/>
              <w:rPr>
                <w:rFonts w:ascii="Times New Roman" w:hAnsi="Times New Roman" w:cs="Times New Roman"/>
              </w:rPr>
            </w:pPr>
            <w:r w:rsidRPr="00F06DE2">
              <w:rPr>
                <w:rFonts w:ascii="Times New Roman" w:hAnsi="Times New Roman" w:cs="Times New Roman"/>
              </w:rPr>
              <w:t>Точка 11, (е)</w:t>
            </w:r>
          </w:p>
        </w:tc>
        <w:tc>
          <w:tcPr>
            <w:tcW w:w="3296" w:type="dxa"/>
            <w:shd w:val="clear" w:color="auto" w:fill="auto"/>
          </w:tcPr>
          <w:p w14:paraId="3CA0EC7E" w14:textId="590B0B30" w:rsidR="00941E4A" w:rsidRPr="00F06DE2" w:rsidRDefault="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Аларма за ниво на хидравличните резервоари и аларма за работно налягане</w:t>
            </w:r>
          </w:p>
        </w:tc>
        <w:tc>
          <w:tcPr>
            <w:tcW w:w="6324" w:type="dxa"/>
            <w:shd w:val="clear" w:color="auto" w:fill="auto"/>
          </w:tcPr>
          <w:p w14:paraId="049D6D34" w14:textId="15241418" w:rsidR="00941E4A" w:rsidRPr="00F06DE2" w:rsidRDefault="00C46837">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67305AF" w14:textId="593306B1" w:rsidR="00941E4A" w:rsidRPr="00F06DE2" w:rsidRDefault="00C04891">
            <w:pPr>
              <w:spacing w:line="240" w:lineRule="atLeast"/>
              <w:jc w:val="both"/>
              <w:rPr>
                <w:rFonts w:ascii="Times New Roman" w:hAnsi="Times New Roman" w:cs="Times New Roman"/>
              </w:rPr>
            </w:pPr>
            <w:r w:rsidRPr="00F06DE2">
              <w:rPr>
                <w:rFonts w:ascii="Times New Roman" w:hAnsi="Times New Roman" w:cs="Times New Roman"/>
              </w:rPr>
              <w:t>01.01</w:t>
            </w:r>
            <w:r w:rsidR="00C46837" w:rsidRPr="00F06DE2">
              <w:rPr>
                <w:rFonts w:ascii="Times New Roman" w:hAnsi="Times New Roman" w:cs="Times New Roman"/>
              </w:rPr>
              <w:t>.2026</w:t>
            </w:r>
            <w:r w:rsidR="002931B7" w:rsidRPr="00F06DE2">
              <w:rPr>
                <w:rFonts w:ascii="Times New Roman" w:hAnsi="Times New Roman" w:cs="Times New Roman"/>
              </w:rPr>
              <w:t xml:space="preserve"> г.</w:t>
            </w:r>
          </w:p>
        </w:tc>
      </w:tr>
      <w:tr w:rsidR="00271FA2" w:rsidRPr="00F06DE2" w14:paraId="2F5EED4A" w14:textId="77777777" w:rsidTr="00C04891">
        <w:trPr>
          <w:cantSplit/>
          <w:jc w:val="center"/>
        </w:trPr>
        <w:tc>
          <w:tcPr>
            <w:tcW w:w="1342" w:type="dxa"/>
            <w:tcBorders>
              <w:bottom w:val="single" w:sz="4" w:space="0" w:color="auto"/>
            </w:tcBorders>
            <w:shd w:val="clear" w:color="auto" w:fill="auto"/>
          </w:tcPr>
          <w:p w14:paraId="59A8A61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7.05</w:t>
            </w:r>
          </w:p>
        </w:tc>
        <w:tc>
          <w:tcPr>
            <w:tcW w:w="1458" w:type="dxa"/>
            <w:tcBorders>
              <w:bottom w:val="single" w:sz="4" w:space="0" w:color="auto"/>
            </w:tcBorders>
            <w:shd w:val="clear" w:color="auto" w:fill="auto"/>
          </w:tcPr>
          <w:p w14:paraId="35F8D38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tcBorders>
              <w:bottom w:val="single" w:sz="4" w:space="0" w:color="auto"/>
            </w:tcBorders>
            <w:shd w:val="clear" w:color="auto" w:fill="auto"/>
          </w:tcPr>
          <w:p w14:paraId="25D73EE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Навигационни светлини, техните осветители, принадлежности и светлинни източници</w:t>
            </w:r>
          </w:p>
        </w:tc>
        <w:tc>
          <w:tcPr>
            <w:tcW w:w="6324" w:type="dxa"/>
            <w:shd w:val="clear" w:color="auto" w:fill="auto"/>
          </w:tcPr>
          <w:p w14:paraId="4D94F67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Навигационни светлини, техните осветители, принадлежности и светлинни източници, които изпълняват </w:t>
            </w:r>
          </w:p>
          <w:p w14:paraId="66C0F9B1" w14:textId="77777777" w:rsidR="00271FA2" w:rsidRPr="00F06DE2" w:rsidRDefault="00D35E51">
            <w:p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изискванията по отношение на цвета и светлината на светлините на борда, както и допускането на навигационни светлини за корабоплаването по река Рейн, считано от 30 ноември 2009 г. все още могат да бъдат използвани;</w:t>
            </w:r>
          </w:p>
          <w:p w14:paraId="1437E4CE" w14:textId="77777777" w:rsidR="00271FA2" w:rsidRPr="00F06DE2" w:rsidRDefault="00D35E51">
            <w:p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w:t>
            </w:r>
            <w:r w:rsidRPr="00F06DE2">
              <w:rPr>
                <w:rFonts w:ascii="Times New Roman" w:hAnsi="Times New Roman" w:cs="Times New Roman"/>
                <w:lang w:val="ru-RU"/>
              </w:rPr>
              <w:tab/>
              <w:t>съответните изисквания на дадена държава членка, считано от 30 ноември 2009</w:t>
            </w:r>
            <w:r w:rsidRPr="00F06DE2">
              <w:rPr>
                <w:rFonts w:ascii="Times New Roman" w:hAnsi="Times New Roman" w:cs="Times New Roman"/>
              </w:rPr>
              <w:t> </w:t>
            </w:r>
            <w:r w:rsidRPr="00F06DE2">
              <w:rPr>
                <w:rFonts w:ascii="Times New Roman" w:hAnsi="Times New Roman" w:cs="Times New Roman"/>
                <w:lang w:val="ru-RU"/>
              </w:rPr>
              <w:t>г., все още могат да се използват.</w:t>
            </w:r>
          </w:p>
        </w:tc>
        <w:tc>
          <w:tcPr>
            <w:tcW w:w="1609" w:type="dxa"/>
            <w:shd w:val="clear" w:color="auto" w:fill="auto"/>
          </w:tcPr>
          <w:p w14:paraId="3F515CB9"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1A59CBD0" w14:textId="77777777" w:rsidTr="00C04891">
        <w:trPr>
          <w:cantSplit/>
          <w:jc w:val="center"/>
        </w:trPr>
        <w:tc>
          <w:tcPr>
            <w:tcW w:w="1342" w:type="dxa"/>
            <w:tcBorders>
              <w:bottom w:val="nil"/>
            </w:tcBorders>
            <w:shd w:val="clear" w:color="auto" w:fill="auto"/>
          </w:tcPr>
          <w:p w14:paraId="67C1FFA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7.06</w:t>
            </w:r>
          </w:p>
        </w:tc>
        <w:tc>
          <w:tcPr>
            <w:tcW w:w="1458" w:type="dxa"/>
            <w:vMerge w:val="restart"/>
            <w:shd w:val="clear" w:color="auto" w:fill="auto"/>
          </w:tcPr>
          <w:p w14:paraId="187AA13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vMerge w:val="restart"/>
            <w:shd w:val="clear" w:color="auto" w:fill="auto"/>
          </w:tcPr>
          <w:p w14:paraId="338756C8" w14:textId="46F76A7C"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 радиолокационно оборудване и индикатори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одобрени преди 31 декември 2012</w:t>
            </w:r>
            <w:r w:rsidRPr="00F06DE2">
              <w:rPr>
                <w:rFonts w:ascii="Times New Roman" w:hAnsi="Times New Roman" w:cs="Times New Roman"/>
              </w:rPr>
              <w:t> </w:t>
            </w:r>
            <w:r w:rsidRPr="00F06DE2">
              <w:rPr>
                <w:rFonts w:ascii="Times New Roman" w:hAnsi="Times New Roman" w:cs="Times New Roman"/>
                <w:lang w:val="ru-RU"/>
              </w:rPr>
              <w:t>г.</w:t>
            </w:r>
          </w:p>
        </w:tc>
        <w:tc>
          <w:tcPr>
            <w:tcW w:w="6324" w:type="dxa"/>
            <w:shd w:val="clear" w:color="auto" w:fill="auto"/>
          </w:tcPr>
          <w:p w14:paraId="6A18F90A" w14:textId="1CBD01D2"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Навигационното радиолокационно оборудване и индикаторите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одобрени и инсталирани в съответствие с правилата на дадена държава членка преди 31 декември 2012</w:t>
            </w:r>
            <w:r w:rsidRPr="00F06DE2">
              <w:rPr>
                <w:rFonts w:ascii="Times New Roman" w:hAnsi="Times New Roman" w:cs="Times New Roman"/>
              </w:rPr>
              <w:t> </w:t>
            </w:r>
            <w:r w:rsidRPr="00F06DE2">
              <w:rPr>
                <w:rFonts w:ascii="Times New Roman" w:hAnsi="Times New Roman" w:cs="Times New Roman"/>
                <w:lang w:val="ru-RU"/>
              </w:rPr>
              <w:t>г., могат да продължат да бъдат поддържани и да се използват до подновяване на Корабното удостоверение за вътрешно корабоплаване след</w:t>
            </w:r>
          </w:p>
        </w:tc>
        <w:tc>
          <w:tcPr>
            <w:tcW w:w="1609" w:type="dxa"/>
            <w:shd w:val="clear" w:color="auto" w:fill="auto"/>
          </w:tcPr>
          <w:p w14:paraId="5B16F24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31.12.2018 г.</w:t>
            </w:r>
          </w:p>
        </w:tc>
      </w:tr>
      <w:tr w:rsidR="00271FA2" w:rsidRPr="00F06DE2" w14:paraId="5FBF31E1" w14:textId="77777777" w:rsidTr="00C04891">
        <w:trPr>
          <w:cantSplit/>
          <w:jc w:val="center"/>
        </w:trPr>
        <w:tc>
          <w:tcPr>
            <w:tcW w:w="1342" w:type="dxa"/>
            <w:tcBorders>
              <w:top w:val="nil"/>
              <w:bottom w:val="nil"/>
            </w:tcBorders>
            <w:shd w:val="clear" w:color="auto" w:fill="auto"/>
          </w:tcPr>
          <w:p w14:paraId="01ECB69E" w14:textId="77777777" w:rsidR="00271FA2" w:rsidRPr="00F06DE2" w:rsidRDefault="00271FA2">
            <w:pPr>
              <w:spacing w:line="240" w:lineRule="atLeast"/>
              <w:jc w:val="both"/>
              <w:rPr>
                <w:rFonts w:ascii="Times New Roman" w:hAnsi="Times New Roman" w:cs="Times New Roman"/>
              </w:rPr>
            </w:pPr>
          </w:p>
        </w:tc>
        <w:tc>
          <w:tcPr>
            <w:tcW w:w="1458" w:type="dxa"/>
            <w:vMerge/>
            <w:shd w:val="clear" w:color="auto" w:fill="auto"/>
          </w:tcPr>
          <w:p w14:paraId="71268CE2" w14:textId="77777777" w:rsidR="00271FA2" w:rsidRPr="00F06DE2" w:rsidRDefault="00271FA2">
            <w:pPr>
              <w:spacing w:line="240" w:lineRule="atLeast"/>
              <w:jc w:val="both"/>
              <w:rPr>
                <w:rFonts w:ascii="Times New Roman" w:hAnsi="Times New Roman" w:cs="Times New Roman"/>
              </w:rPr>
            </w:pPr>
          </w:p>
        </w:tc>
        <w:tc>
          <w:tcPr>
            <w:tcW w:w="3296" w:type="dxa"/>
            <w:vMerge/>
            <w:shd w:val="clear" w:color="auto" w:fill="auto"/>
          </w:tcPr>
          <w:p w14:paraId="6EF7B0DD" w14:textId="77777777" w:rsidR="00271FA2" w:rsidRPr="00F06DE2" w:rsidRDefault="00271FA2">
            <w:pPr>
              <w:spacing w:line="240" w:lineRule="atLeast"/>
              <w:jc w:val="both"/>
              <w:rPr>
                <w:rFonts w:ascii="Times New Roman" w:hAnsi="Times New Roman" w:cs="Times New Roman"/>
              </w:rPr>
            </w:pPr>
          </w:p>
        </w:tc>
        <w:tc>
          <w:tcPr>
            <w:tcW w:w="6324" w:type="dxa"/>
            <w:shd w:val="clear" w:color="auto" w:fill="auto"/>
          </w:tcPr>
          <w:p w14:paraId="2F48FB4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Тези системи трябва да се посочат в точка 52 от Корабното удостоверение за вътрешно корабоплаване.</w:t>
            </w:r>
          </w:p>
        </w:tc>
        <w:tc>
          <w:tcPr>
            <w:tcW w:w="1609" w:type="dxa"/>
            <w:shd w:val="clear" w:color="auto" w:fill="auto"/>
          </w:tcPr>
          <w:p w14:paraId="1DDDC444"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69D54554" w14:textId="77777777" w:rsidTr="00C04891">
        <w:trPr>
          <w:cantSplit/>
          <w:jc w:val="center"/>
        </w:trPr>
        <w:tc>
          <w:tcPr>
            <w:tcW w:w="1342" w:type="dxa"/>
            <w:tcBorders>
              <w:top w:val="nil"/>
              <w:bottom w:val="nil"/>
            </w:tcBorders>
            <w:shd w:val="clear" w:color="auto" w:fill="auto"/>
          </w:tcPr>
          <w:p w14:paraId="44E96206" w14:textId="77777777" w:rsidR="00271FA2" w:rsidRPr="00F06DE2" w:rsidRDefault="00271FA2">
            <w:pPr>
              <w:spacing w:line="240" w:lineRule="atLeast"/>
              <w:rPr>
                <w:rFonts w:ascii="Times New Roman" w:hAnsi="Times New Roman" w:cs="Times New Roman"/>
                <w:lang w:val="ru-RU"/>
              </w:rPr>
            </w:pPr>
          </w:p>
        </w:tc>
        <w:tc>
          <w:tcPr>
            <w:tcW w:w="1458" w:type="dxa"/>
            <w:vMerge/>
            <w:shd w:val="clear" w:color="auto" w:fill="auto"/>
          </w:tcPr>
          <w:p w14:paraId="48625F7D" w14:textId="77777777" w:rsidR="00271FA2" w:rsidRPr="00F06DE2" w:rsidRDefault="00271FA2">
            <w:pPr>
              <w:spacing w:line="240" w:lineRule="atLeast"/>
              <w:rPr>
                <w:rFonts w:ascii="Times New Roman" w:hAnsi="Times New Roman" w:cs="Times New Roman"/>
                <w:lang w:val="ru-RU"/>
              </w:rPr>
            </w:pPr>
          </w:p>
        </w:tc>
        <w:tc>
          <w:tcPr>
            <w:tcW w:w="3296" w:type="dxa"/>
            <w:shd w:val="clear" w:color="auto" w:fill="auto"/>
          </w:tcPr>
          <w:p w14:paraId="00F61A0D" w14:textId="19FBA8E9"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 радиолокационно оборудване и индикатори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одобрени след 1 януари 1990</w:t>
            </w:r>
            <w:r w:rsidRPr="00F06DE2">
              <w:rPr>
                <w:rFonts w:ascii="Times New Roman" w:hAnsi="Times New Roman" w:cs="Times New Roman"/>
              </w:rPr>
              <w:t> </w:t>
            </w:r>
            <w:r w:rsidRPr="00F06DE2">
              <w:rPr>
                <w:rFonts w:ascii="Times New Roman" w:hAnsi="Times New Roman" w:cs="Times New Roman"/>
                <w:lang w:val="ru-RU"/>
              </w:rPr>
              <w:t>г.</w:t>
            </w:r>
          </w:p>
        </w:tc>
        <w:tc>
          <w:tcPr>
            <w:tcW w:w="6324" w:type="dxa"/>
            <w:shd w:val="clear" w:color="auto" w:fill="auto"/>
          </w:tcPr>
          <w:p w14:paraId="7C521DD1" w14:textId="4B5E6E6A"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Навигационното радиолокационно оборудване и индикаторите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които са одобрени на или след 1 януари 1990</w:t>
            </w:r>
            <w:r w:rsidRPr="00F06DE2">
              <w:rPr>
                <w:rFonts w:ascii="Times New Roman" w:hAnsi="Times New Roman" w:cs="Times New Roman"/>
              </w:rPr>
              <w:t> </w:t>
            </w:r>
            <w:r w:rsidRPr="00F06DE2">
              <w:rPr>
                <w:rFonts w:ascii="Times New Roman" w:hAnsi="Times New Roman" w:cs="Times New Roman"/>
                <w:lang w:val="ru-RU"/>
              </w:rPr>
              <w:t>г. съгласно минималните изисквания и условия на изпитване за радиолокационно оборудване, използвани за корабоплаване по река Рейн и минималните изисквания и условия на изпитване за индикаторите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използвани за корабоплаване по река Рейн, могат да продължат да бъдат монтирани и използвани, ако е налице валидно удостоверение за монтаж в съответствие с настоящия стандарт, Директива 2006/87/ЕО или с Резолюция 1989-</w:t>
            </w:r>
            <w:r w:rsidRPr="00F06DE2">
              <w:rPr>
                <w:rFonts w:ascii="Times New Roman" w:hAnsi="Times New Roman" w:cs="Times New Roman"/>
              </w:rPr>
              <w:t>II</w:t>
            </w:r>
            <w:r w:rsidRPr="00F06DE2">
              <w:rPr>
                <w:rFonts w:ascii="Times New Roman" w:hAnsi="Times New Roman" w:cs="Times New Roman"/>
                <w:lang w:val="ru-RU"/>
              </w:rPr>
              <w:t>-35 на ЦККР.</w:t>
            </w:r>
          </w:p>
        </w:tc>
        <w:tc>
          <w:tcPr>
            <w:tcW w:w="1609" w:type="dxa"/>
            <w:shd w:val="clear" w:color="auto" w:fill="auto"/>
          </w:tcPr>
          <w:p w14:paraId="754EC47F"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69FFF22E" w14:textId="77777777" w:rsidTr="00C04891">
        <w:trPr>
          <w:cantSplit/>
          <w:jc w:val="center"/>
        </w:trPr>
        <w:tc>
          <w:tcPr>
            <w:tcW w:w="1342" w:type="dxa"/>
            <w:tcBorders>
              <w:top w:val="nil"/>
              <w:bottom w:val="nil"/>
            </w:tcBorders>
            <w:shd w:val="clear" w:color="auto" w:fill="auto"/>
          </w:tcPr>
          <w:p w14:paraId="35D197D6" w14:textId="77777777" w:rsidR="00271FA2" w:rsidRPr="00F06DE2" w:rsidRDefault="00271FA2">
            <w:pPr>
              <w:spacing w:line="240" w:lineRule="atLeast"/>
              <w:rPr>
                <w:rFonts w:ascii="Times New Roman" w:hAnsi="Times New Roman" w:cs="Times New Roman"/>
                <w:lang w:val="ru-RU"/>
              </w:rPr>
            </w:pPr>
          </w:p>
        </w:tc>
        <w:tc>
          <w:tcPr>
            <w:tcW w:w="1458" w:type="dxa"/>
            <w:vMerge/>
            <w:shd w:val="clear" w:color="auto" w:fill="auto"/>
          </w:tcPr>
          <w:p w14:paraId="44BAAAEF" w14:textId="77777777" w:rsidR="00271FA2" w:rsidRPr="00F06DE2" w:rsidRDefault="00271FA2">
            <w:pPr>
              <w:spacing w:line="240" w:lineRule="atLeast"/>
              <w:rPr>
                <w:rFonts w:ascii="Times New Roman" w:hAnsi="Times New Roman" w:cs="Times New Roman"/>
                <w:lang w:val="ru-RU"/>
              </w:rPr>
            </w:pPr>
          </w:p>
        </w:tc>
        <w:tc>
          <w:tcPr>
            <w:tcW w:w="3296" w:type="dxa"/>
            <w:shd w:val="clear" w:color="auto" w:fill="auto"/>
          </w:tcPr>
          <w:p w14:paraId="483C6386" w14:textId="00BEBC04"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 радиолокационно оборудване и индикатори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одобрени след 31 декември 2006</w:t>
            </w:r>
            <w:r w:rsidRPr="00F06DE2">
              <w:rPr>
                <w:rFonts w:ascii="Times New Roman" w:hAnsi="Times New Roman" w:cs="Times New Roman"/>
              </w:rPr>
              <w:t> </w:t>
            </w:r>
            <w:r w:rsidRPr="00F06DE2">
              <w:rPr>
                <w:rFonts w:ascii="Times New Roman" w:hAnsi="Times New Roman" w:cs="Times New Roman"/>
                <w:lang w:val="ru-RU"/>
              </w:rPr>
              <w:t>г.</w:t>
            </w:r>
          </w:p>
        </w:tc>
        <w:tc>
          <w:tcPr>
            <w:tcW w:w="6324" w:type="dxa"/>
            <w:shd w:val="clear" w:color="auto" w:fill="auto"/>
          </w:tcPr>
          <w:p w14:paraId="4FC2D735" w14:textId="303FA152"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Навигационното радиолокационно оборудване и индикаторите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които са одобрени на или след 31 декември 2006</w:t>
            </w:r>
            <w:r w:rsidRPr="00F06DE2">
              <w:rPr>
                <w:rFonts w:ascii="Times New Roman" w:hAnsi="Times New Roman" w:cs="Times New Roman"/>
              </w:rPr>
              <w:t> </w:t>
            </w:r>
            <w:r w:rsidRPr="00F06DE2">
              <w:rPr>
                <w:rFonts w:ascii="Times New Roman" w:hAnsi="Times New Roman" w:cs="Times New Roman"/>
                <w:lang w:val="ru-RU"/>
              </w:rPr>
              <w:t>г. съгласно минималните изисквания и условия на изпитване от Директива 2006/87/ЕО, могат да продължат да бъдат монтирани и използвани, ако е налице валидно удостоверение за монтаж в съответствие с настоящия стандарт или Директива 2006/87/ЕО.</w:t>
            </w:r>
          </w:p>
        </w:tc>
        <w:tc>
          <w:tcPr>
            <w:tcW w:w="1609" w:type="dxa"/>
            <w:shd w:val="clear" w:color="auto" w:fill="auto"/>
          </w:tcPr>
          <w:p w14:paraId="00C6E9B2" w14:textId="77777777" w:rsidR="00271FA2" w:rsidRPr="00F06DE2" w:rsidRDefault="00271FA2">
            <w:pPr>
              <w:spacing w:line="240" w:lineRule="atLeast"/>
              <w:rPr>
                <w:rFonts w:ascii="Times New Roman" w:hAnsi="Times New Roman" w:cs="Times New Roman"/>
                <w:lang w:val="ru-RU"/>
              </w:rPr>
            </w:pPr>
          </w:p>
        </w:tc>
      </w:tr>
      <w:tr w:rsidR="00271FA2" w:rsidRPr="00F06DE2" w14:paraId="38539924" w14:textId="77777777" w:rsidTr="00C04891">
        <w:trPr>
          <w:cantSplit/>
          <w:jc w:val="center"/>
        </w:trPr>
        <w:tc>
          <w:tcPr>
            <w:tcW w:w="1342" w:type="dxa"/>
            <w:tcBorders>
              <w:top w:val="nil"/>
              <w:bottom w:val="nil"/>
            </w:tcBorders>
            <w:shd w:val="clear" w:color="auto" w:fill="auto"/>
          </w:tcPr>
          <w:p w14:paraId="1AFAC879" w14:textId="77777777" w:rsidR="00271FA2" w:rsidRPr="00F06DE2" w:rsidRDefault="00271FA2">
            <w:pPr>
              <w:spacing w:line="240" w:lineRule="atLeast"/>
              <w:rPr>
                <w:rFonts w:ascii="Times New Roman" w:hAnsi="Times New Roman" w:cs="Times New Roman"/>
                <w:lang w:val="ru-RU"/>
              </w:rPr>
            </w:pPr>
          </w:p>
        </w:tc>
        <w:tc>
          <w:tcPr>
            <w:tcW w:w="1458" w:type="dxa"/>
            <w:vMerge/>
            <w:tcBorders>
              <w:bottom w:val="single" w:sz="4" w:space="0" w:color="auto"/>
            </w:tcBorders>
            <w:shd w:val="clear" w:color="auto" w:fill="auto"/>
          </w:tcPr>
          <w:p w14:paraId="21E98F45" w14:textId="77777777" w:rsidR="00271FA2" w:rsidRPr="00F06DE2" w:rsidRDefault="00271FA2">
            <w:pPr>
              <w:spacing w:line="240" w:lineRule="atLeast"/>
              <w:rPr>
                <w:rFonts w:ascii="Times New Roman" w:hAnsi="Times New Roman" w:cs="Times New Roman"/>
                <w:lang w:val="ru-RU"/>
              </w:rPr>
            </w:pPr>
          </w:p>
        </w:tc>
        <w:tc>
          <w:tcPr>
            <w:tcW w:w="3296" w:type="dxa"/>
            <w:tcBorders>
              <w:bottom w:val="single" w:sz="4" w:space="0" w:color="auto"/>
            </w:tcBorders>
            <w:shd w:val="clear" w:color="auto" w:fill="auto"/>
          </w:tcPr>
          <w:p w14:paraId="1829FE38" w14:textId="141CA5A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 радиолокационно оборудване и индикатори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одобрени след 1 декември 2009</w:t>
            </w:r>
            <w:r w:rsidRPr="00F06DE2">
              <w:rPr>
                <w:rFonts w:ascii="Times New Roman" w:hAnsi="Times New Roman" w:cs="Times New Roman"/>
              </w:rPr>
              <w:t> </w:t>
            </w:r>
            <w:r w:rsidRPr="00F06DE2">
              <w:rPr>
                <w:rFonts w:ascii="Times New Roman" w:hAnsi="Times New Roman" w:cs="Times New Roman"/>
                <w:lang w:val="ru-RU"/>
              </w:rPr>
              <w:t>г.</w:t>
            </w:r>
          </w:p>
        </w:tc>
        <w:tc>
          <w:tcPr>
            <w:tcW w:w="6324" w:type="dxa"/>
            <w:shd w:val="clear" w:color="auto" w:fill="auto"/>
          </w:tcPr>
          <w:p w14:paraId="1E0A6E02" w14:textId="2A0BB500"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Навигационното радиолокационно оборудване и индикаторите на ъгловата скорост</w:t>
            </w:r>
            <w:r w:rsidR="0078218A" w:rsidRPr="00F06DE2">
              <w:rPr>
                <w:rFonts w:ascii="Times New Roman" w:hAnsi="Times New Roman" w:cs="Times New Roman"/>
                <w:lang w:val="ru-RU"/>
              </w:rPr>
              <w:t>на завиване</w:t>
            </w:r>
            <w:r w:rsidRPr="00F06DE2">
              <w:rPr>
                <w:rFonts w:ascii="Times New Roman" w:hAnsi="Times New Roman" w:cs="Times New Roman"/>
                <w:lang w:val="ru-RU"/>
              </w:rPr>
              <w:t>, които са одобрени на или след 1 декември 2009</w:t>
            </w:r>
            <w:r w:rsidRPr="00F06DE2">
              <w:rPr>
                <w:rFonts w:ascii="Times New Roman" w:hAnsi="Times New Roman" w:cs="Times New Roman"/>
              </w:rPr>
              <w:t> </w:t>
            </w:r>
            <w:r w:rsidRPr="00F06DE2">
              <w:rPr>
                <w:rFonts w:ascii="Times New Roman" w:hAnsi="Times New Roman" w:cs="Times New Roman"/>
                <w:lang w:val="ru-RU"/>
              </w:rPr>
              <w:t>г. съгласно минималните изисквания и условия на изпитване от Резолюция 2008-</w:t>
            </w:r>
            <w:r w:rsidRPr="00F06DE2">
              <w:rPr>
                <w:rFonts w:ascii="Times New Roman" w:hAnsi="Times New Roman" w:cs="Times New Roman"/>
              </w:rPr>
              <w:t>II</w:t>
            </w:r>
            <w:r w:rsidRPr="00F06DE2">
              <w:rPr>
                <w:rFonts w:ascii="Times New Roman" w:hAnsi="Times New Roman" w:cs="Times New Roman"/>
                <w:lang w:val="ru-RU"/>
              </w:rPr>
              <w:t>-11 на ЦККР, могат да продължат да бъдат монтирани и използвани, ако е налице валидно удостоверение за монтаж в съответствие с настоящия стандарт или Резолюция 2008-</w:t>
            </w:r>
            <w:r w:rsidRPr="00F06DE2">
              <w:rPr>
                <w:rFonts w:ascii="Times New Roman" w:hAnsi="Times New Roman" w:cs="Times New Roman"/>
              </w:rPr>
              <w:t>II</w:t>
            </w:r>
            <w:r w:rsidRPr="00F06DE2">
              <w:rPr>
                <w:rFonts w:ascii="Times New Roman" w:hAnsi="Times New Roman" w:cs="Times New Roman"/>
                <w:lang w:val="ru-RU"/>
              </w:rPr>
              <w:t>-11 на ЦККР.</w:t>
            </w:r>
          </w:p>
        </w:tc>
        <w:tc>
          <w:tcPr>
            <w:tcW w:w="1609" w:type="dxa"/>
            <w:shd w:val="clear" w:color="auto" w:fill="auto"/>
          </w:tcPr>
          <w:p w14:paraId="112AF708" w14:textId="77777777" w:rsidR="00271FA2" w:rsidRPr="00F06DE2" w:rsidRDefault="00271FA2">
            <w:pPr>
              <w:spacing w:line="240" w:lineRule="atLeast"/>
              <w:rPr>
                <w:rFonts w:ascii="Times New Roman" w:hAnsi="Times New Roman" w:cs="Times New Roman"/>
                <w:lang w:val="ru-RU"/>
              </w:rPr>
            </w:pPr>
          </w:p>
        </w:tc>
      </w:tr>
      <w:tr w:rsidR="00271FA2" w:rsidRPr="00F06DE2" w14:paraId="2F6EE9D9" w14:textId="77777777" w:rsidTr="00C04891">
        <w:trPr>
          <w:cantSplit/>
          <w:jc w:val="center"/>
        </w:trPr>
        <w:tc>
          <w:tcPr>
            <w:tcW w:w="1342" w:type="dxa"/>
            <w:tcBorders>
              <w:top w:val="nil"/>
              <w:bottom w:val="nil"/>
            </w:tcBorders>
            <w:shd w:val="clear" w:color="auto" w:fill="auto"/>
          </w:tcPr>
          <w:p w14:paraId="7A26CC7F" w14:textId="77777777" w:rsidR="00271FA2" w:rsidRPr="00F06DE2" w:rsidRDefault="00271FA2">
            <w:pPr>
              <w:spacing w:line="240" w:lineRule="atLeast"/>
              <w:rPr>
                <w:rFonts w:ascii="Times New Roman" w:hAnsi="Times New Roman" w:cs="Times New Roman"/>
                <w:lang w:val="ru-RU"/>
              </w:rPr>
            </w:pPr>
          </w:p>
        </w:tc>
        <w:tc>
          <w:tcPr>
            <w:tcW w:w="1458" w:type="dxa"/>
            <w:tcBorders>
              <w:bottom w:val="single" w:sz="4" w:space="0" w:color="auto"/>
            </w:tcBorders>
            <w:shd w:val="clear" w:color="auto" w:fill="auto"/>
          </w:tcPr>
          <w:p w14:paraId="3D801CD9" w14:textId="77777777" w:rsidR="00271FA2" w:rsidRPr="00F06DE2" w:rsidRDefault="00271FA2">
            <w:pPr>
              <w:spacing w:line="240" w:lineRule="atLeast"/>
              <w:rPr>
                <w:rFonts w:ascii="Times New Roman" w:hAnsi="Times New Roman" w:cs="Times New Roman"/>
                <w:lang w:val="ru-RU"/>
              </w:rPr>
            </w:pPr>
          </w:p>
        </w:tc>
        <w:tc>
          <w:tcPr>
            <w:tcW w:w="3296" w:type="dxa"/>
            <w:tcBorders>
              <w:bottom w:val="single" w:sz="4" w:space="0" w:color="auto"/>
            </w:tcBorders>
            <w:shd w:val="clear" w:color="auto" w:fill="auto"/>
          </w:tcPr>
          <w:p w14:paraId="76DF7C4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Навигационни радарни инсталации, които са получили одобрение въз основа на Европейски стандарт 302 194-1:2006</w:t>
            </w:r>
          </w:p>
        </w:tc>
        <w:tc>
          <w:tcPr>
            <w:tcW w:w="6324" w:type="dxa"/>
            <w:shd w:val="clear" w:color="auto" w:fill="auto"/>
          </w:tcPr>
          <w:p w14:paraId="76AFD2F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Навигационни радарни инсталации, които са получили одобрение въз основа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302 194-1:2006 преди 31 декември 2023 г., могат да продължат да бъдат инсталирани, след което да се използват, ако има валидно удостоверение за монтаж съгласно този стандарт.</w:t>
            </w:r>
          </w:p>
        </w:tc>
        <w:tc>
          <w:tcPr>
            <w:tcW w:w="1609" w:type="dxa"/>
            <w:shd w:val="clear" w:color="auto" w:fill="auto"/>
          </w:tcPr>
          <w:p w14:paraId="523DFF10" w14:textId="77777777" w:rsidR="00271FA2" w:rsidRPr="00F06DE2" w:rsidRDefault="00271FA2">
            <w:pPr>
              <w:spacing w:line="240" w:lineRule="atLeast"/>
              <w:rPr>
                <w:rFonts w:ascii="Times New Roman" w:hAnsi="Times New Roman" w:cs="Times New Roman"/>
                <w:lang w:val="ru-RU"/>
              </w:rPr>
            </w:pPr>
          </w:p>
        </w:tc>
      </w:tr>
      <w:tr w:rsidR="00271FA2" w:rsidRPr="00F06DE2" w14:paraId="2E5B26B9" w14:textId="77777777" w:rsidTr="00C04891">
        <w:trPr>
          <w:cantSplit/>
          <w:trHeight w:val="1058"/>
          <w:jc w:val="center"/>
        </w:trPr>
        <w:tc>
          <w:tcPr>
            <w:tcW w:w="1342" w:type="dxa"/>
            <w:vMerge w:val="restart"/>
            <w:tcBorders>
              <w:top w:val="nil"/>
            </w:tcBorders>
            <w:shd w:val="clear" w:color="auto" w:fill="auto"/>
          </w:tcPr>
          <w:p w14:paraId="4D0DE5ED" w14:textId="77777777" w:rsidR="00271FA2" w:rsidRPr="00F06DE2" w:rsidRDefault="00271FA2">
            <w:pPr>
              <w:spacing w:line="240" w:lineRule="atLeast"/>
              <w:rPr>
                <w:rFonts w:ascii="Times New Roman" w:hAnsi="Times New Roman" w:cs="Times New Roman"/>
                <w:lang w:val="ru-RU"/>
              </w:rPr>
            </w:pPr>
          </w:p>
        </w:tc>
        <w:tc>
          <w:tcPr>
            <w:tcW w:w="1458" w:type="dxa"/>
            <w:vMerge w:val="restart"/>
            <w:shd w:val="clear" w:color="auto" w:fill="auto"/>
          </w:tcPr>
          <w:p w14:paraId="293A828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tcBorders>
              <w:bottom w:val="single" w:sz="4" w:space="0" w:color="auto"/>
            </w:tcBorders>
            <w:shd w:val="clear" w:color="auto" w:fill="auto"/>
          </w:tcPr>
          <w:p w14:paraId="44AD345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вътрешно корабоплаване работещо в навигационен режим</w:t>
            </w:r>
          </w:p>
        </w:tc>
        <w:tc>
          <w:tcPr>
            <w:tcW w:w="6324" w:type="dxa"/>
            <w:shd w:val="clear" w:color="auto" w:fill="auto"/>
          </w:tcPr>
          <w:p w14:paraId="43BD4D76" w14:textId="051EA28D" w:rsidR="00271FA2" w:rsidRPr="00F06DE2" w:rsidRDefault="00B97A20">
            <w:pPr>
              <w:spacing w:line="240" w:lineRule="atLeast"/>
              <w:ind w:left="2" w:right="49"/>
              <w:jc w:val="both"/>
              <w:rPr>
                <w:rFonts w:ascii="Times New Roman" w:hAnsi="Times New Roman" w:cs="Times New Roman"/>
                <w:lang w:val="ru-RU"/>
              </w:rPr>
            </w:pPr>
            <w:r w:rsidRPr="00F06DE2">
              <w:rPr>
                <w:rFonts w:ascii="Times New Roman" w:hAnsi="Times New Roman" w:cs="Times New Roman"/>
                <w:lang w:val="ru-RU"/>
              </w:rPr>
              <w:t xml:space="preserve">Оборудването за </w:t>
            </w:r>
            <w:r w:rsidRPr="00F06DE2">
              <w:rPr>
                <w:rFonts w:ascii="Times New Roman" w:hAnsi="Times New Roman" w:cs="Times New Roman"/>
              </w:rPr>
              <w:t>Inland</w:t>
            </w:r>
            <w:r w:rsidRPr="00F06DE2">
              <w:rPr>
                <w:rFonts w:ascii="Times New Roman" w:hAnsi="Times New Roman" w:cs="Times New Roman"/>
                <w:lang w:val="ru-RU"/>
              </w:rPr>
              <w:t xml:space="preserve"> </w:t>
            </w:r>
            <w:r w:rsidRPr="00F06DE2">
              <w:rPr>
                <w:rFonts w:ascii="Times New Roman" w:hAnsi="Times New Roman" w:cs="Times New Roman"/>
              </w:rPr>
              <w:t>ECDIS</w:t>
            </w:r>
            <w:r w:rsidRPr="00F06DE2">
              <w:rPr>
                <w:rFonts w:ascii="Times New Roman" w:hAnsi="Times New Roman" w:cs="Times New Roman"/>
                <w:lang w:val="ru-RU"/>
              </w:rPr>
              <w:t xml:space="preserve"> с типово одобрение съгласно издание 2.4 (или предишно) на стандарта </w:t>
            </w:r>
            <w:r w:rsidRPr="00F06DE2">
              <w:rPr>
                <w:rFonts w:ascii="Times New Roman" w:hAnsi="Times New Roman" w:cs="Times New Roman"/>
              </w:rPr>
              <w:t>Inland</w:t>
            </w:r>
            <w:r w:rsidRPr="00F06DE2">
              <w:rPr>
                <w:rFonts w:ascii="Times New Roman" w:hAnsi="Times New Roman" w:cs="Times New Roman"/>
                <w:lang w:val="ru-RU"/>
              </w:rPr>
              <w:t xml:space="preserve"> </w:t>
            </w:r>
            <w:r w:rsidRPr="00F06DE2">
              <w:rPr>
                <w:rFonts w:ascii="Times New Roman" w:hAnsi="Times New Roman" w:cs="Times New Roman"/>
              </w:rPr>
              <w:t>ECDIS</w:t>
            </w:r>
            <w:r w:rsidRPr="00F06DE2">
              <w:rPr>
                <w:rFonts w:ascii="Times New Roman" w:hAnsi="Times New Roman" w:cs="Times New Roman"/>
                <w:lang w:val="ru-RU"/>
              </w:rPr>
              <w:t xml:space="preserve">,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2021/1 или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2023/1 и инсталирано преди 1 януари 2026 г., може да продължи да се използва.</w:t>
            </w:r>
          </w:p>
          <w:p w14:paraId="505184A1" w14:textId="4485F075" w:rsidR="00271FA2" w:rsidRPr="00F06DE2" w:rsidRDefault="00B97A20" w:rsidP="001C2F1D">
            <w:pPr>
              <w:spacing w:line="240" w:lineRule="atLeast"/>
              <w:ind w:left="2" w:right="48"/>
              <w:jc w:val="both"/>
              <w:rPr>
                <w:rFonts w:ascii="Times New Roman" w:hAnsi="Times New Roman" w:cs="Times New Roman"/>
                <w:lang w:val="ru-RU"/>
              </w:rPr>
            </w:pPr>
            <w:r w:rsidRPr="00F06DE2">
              <w:rPr>
                <w:rFonts w:ascii="Times New Roman" w:hAnsi="Times New Roman" w:cs="Times New Roman"/>
                <w:lang w:val="ru-RU"/>
              </w:rPr>
              <w:t xml:space="preserve">Оборудване за </w:t>
            </w:r>
            <w:r w:rsidRPr="00F06DE2">
              <w:rPr>
                <w:rFonts w:ascii="Times New Roman" w:hAnsi="Times New Roman" w:cs="Times New Roman"/>
              </w:rPr>
              <w:t>Inland</w:t>
            </w:r>
            <w:r w:rsidRPr="00F06DE2">
              <w:rPr>
                <w:rFonts w:ascii="Times New Roman" w:hAnsi="Times New Roman" w:cs="Times New Roman"/>
                <w:lang w:val="ru-RU"/>
              </w:rPr>
              <w:t xml:space="preserve"> </w:t>
            </w:r>
            <w:r w:rsidRPr="00F06DE2">
              <w:rPr>
                <w:rFonts w:ascii="Times New Roman" w:hAnsi="Times New Roman" w:cs="Times New Roman"/>
              </w:rPr>
              <w:t>ECDIS</w:t>
            </w:r>
            <w:r w:rsidRPr="00F06DE2">
              <w:rPr>
                <w:rFonts w:ascii="Times New Roman" w:hAnsi="Times New Roman" w:cs="Times New Roman"/>
                <w:lang w:val="ru-RU"/>
              </w:rPr>
              <w:t xml:space="preserve"> с типово одобрение съгласно издание 2.4 (или предишни) на стандарта за </w:t>
            </w:r>
            <w:r w:rsidRPr="00F06DE2">
              <w:rPr>
                <w:rFonts w:ascii="Times New Roman" w:hAnsi="Times New Roman" w:cs="Times New Roman"/>
              </w:rPr>
              <w:t>Inland</w:t>
            </w:r>
            <w:r w:rsidRPr="00F06DE2">
              <w:rPr>
                <w:rFonts w:ascii="Times New Roman" w:hAnsi="Times New Roman" w:cs="Times New Roman"/>
                <w:lang w:val="ru-RU"/>
              </w:rPr>
              <w:t xml:space="preserve"> </w:t>
            </w:r>
            <w:r w:rsidRPr="00F06DE2">
              <w:rPr>
                <w:rFonts w:ascii="Times New Roman" w:hAnsi="Times New Roman" w:cs="Times New Roman"/>
              </w:rPr>
              <w:t>ECDIS</w:t>
            </w:r>
            <w:r w:rsidRPr="00F06DE2">
              <w:rPr>
                <w:rFonts w:ascii="Times New Roman" w:hAnsi="Times New Roman" w:cs="Times New Roman"/>
                <w:lang w:val="ru-RU"/>
              </w:rPr>
              <w:t xml:space="preserve">,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2021/1 или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2023/1, може да продължи да се инсталира и след това да се използва, когато в оборудването е внедрено текущото издание на библиотеката с презентации и каталогът с характеристики, както се изисква от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(части </w:t>
            </w:r>
            <w:r w:rsidRPr="00F06DE2">
              <w:rPr>
                <w:rFonts w:ascii="Times New Roman" w:hAnsi="Times New Roman" w:cs="Times New Roman"/>
              </w:rPr>
              <w:t>I</w:t>
            </w:r>
            <w:r w:rsidRPr="00F06DE2">
              <w:rPr>
                <w:rFonts w:ascii="Times New Roman" w:hAnsi="Times New Roman" w:cs="Times New Roman"/>
                <w:lang w:val="ru-RU"/>
              </w:rPr>
              <w:t xml:space="preserve"> и </w:t>
            </w:r>
            <w:r w:rsidRPr="00F06DE2">
              <w:rPr>
                <w:rFonts w:ascii="Times New Roman" w:hAnsi="Times New Roman" w:cs="Times New Roman"/>
              </w:rPr>
              <w:t>V</w:t>
            </w:r>
            <w:r w:rsidRPr="00F06DE2">
              <w:rPr>
                <w:rFonts w:ascii="Times New Roman" w:hAnsi="Times New Roman" w:cs="Times New Roman"/>
                <w:lang w:val="ru-RU"/>
              </w:rPr>
              <w:t>).</w:t>
            </w:r>
          </w:p>
        </w:tc>
        <w:tc>
          <w:tcPr>
            <w:tcW w:w="1609" w:type="dxa"/>
            <w:vMerge w:val="restart"/>
            <w:shd w:val="clear" w:color="auto" w:fill="auto"/>
          </w:tcPr>
          <w:p w14:paraId="6259E961" w14:textId="77777777" w:rsidR="00271FA2" w:rsidRPr="00F06DE2" w:rsidRDefault="00271FA2">
            <w:pPr>
              <w:spacing w:line="240" w:lineRule="atLeast"/>
              <w:rPr>
                <w:rFonts w:ascii="Times New Roman" w:hAnsi="Times New Roman" w:cs="Times New Roman"/>
                <w:lang w:val="ru-RU"/>
              </w:rPr>
            </w:pPr>
          </w:p>
        </w:tc>
      </w:tr>
      <w:tr w:rsidR="00271FA2" w:rsidRPr="00F06DE2" w14:paraId="766AB1C6" w14:textId="77777777" w:rsidTr="00C04891">
        <w:trPr>
          <w:cantSplit/>
          <w:trHeight w:val="1057"/>
          <w:jc w:val="center"/>
        </w:trPr>
        <w:tc>
          <w:tcPr>
            <w:tcW w:w="1342" w:type="dxa"/>
            <w:vMerge/>
            <w:tcBorders>
              <w:bottom w:val="nil"/>
            </w:tcBorders>
            <w:shd w:val="clear" w:color="auto" w:fill="auto"/>
          </w:tcPr>
          <w:p w14:paraId="79E9640A" w14:textId="77777777" w:rsidR="00271FA2" w:rsidRPr="00F06DE2" w:rsidRDefault="00271FA2">
            <w:pPr>
              <w:spacing w:line="240" w:lineRule="atLeast"/>
              <w:rPr>
                <w:rFonts w:ascii="Times New Roman" w:hAnsi="Times New Roman" w:cs="Times New Roman"/>
                <w:lang w:val="ru-RU"/>
              </w:rPr>
            </w:pPr>
          </w:p>
        </w:tc>
        <w:tc>
          <w:tcPr>
            <w:tcW w:w="1458" w:type="dxa"/>
            <w:vMerge/>
            <w:tcBorders>
              <w:bottom w:val="single" w:sz="4" w:space="0" w:color="auto"/>
            </w:tcBorders>
            <w:shd w:val="clear" w:color="auto" w:fill="auto"/>
          </w:tcPr>
          <w:p w14:paraId="09AFD5DD" w14:textId="77777777" w:rsidR="00271FA2" w:rsidRPr="00F06DE2" w:rsidRDefault="00271FA2">
            <w:pPr>
              <w:spacing w:line="240" w:lineRule="atLeast"/>
              <w:jc w:val="both"/>
              <w:rPr>
                <w:rFonts w:ascii="Times New Roman" w:hAnsi="Times New Roman" w:cs="Times New Roman"/>
                <w:lang w:val="ru-RU"/>
              </w:rPr>
            </w:pPr>
          </w:p>
        </w:tc>
        <w:tc>
          <w:tcPr>
            <w:tcW w:w="3296" w:type="dxa"/>
            <w:tcBorders>
              <w:bottom w:val="single" w:sz="4" w:space="0" w:color="auto"/>
            </w:tcBorders>
            <w:shd w:val="clear" w:color="auto" w:fill="auto"/>
          </w:tcPr>
          <w:p w14:paraId="39AC271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вътрешно корабоплаване, работещо в навигационен режим, и който е получил одобрение на базата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302 194-1:2006</w:t>
            </w:r>
          </w:p>
        </w:tc>
        <w:tc>
          <w:tcPr>
            <w:tcW w:w="6324" w:type="dxa"/>
            <w:shd w:val="clear" w:color="auto" w:fill="auto"/>
          </w:tcPr>
          <w:p w14:paraId="1C63C8B0" w14:textId="77777777" w:rsidR="00271FA2" w:rsidRPr="00F06DE2" w:rsidRDefault="00D35E51">
            <w:pPr>
              <w:spacing w:line="240" w:lineRule="atLeast"/>
              <w:ind w:left="2" w:right="49"/>
              <w:jc w:val="both"/>
              <w:rPr>
                <w:rFonts w:ascii="Times New Roman" w:hAnsi="Times New Roman" w:cs="Times New Roman"/>
                <w:lang w:val="ru-RU"/>
              </w:rPr>
            </w:pPr>
            <w:r w:rsidRPr="00F06DE2">
              <w:rPr>
                <w:rFonts w:ascii="Times New Roman" w:hAnsi="Times New Roman" w:cs="Times New Roman"/>
              </w:rPr>
              <w:t>ECDIS</w:t>
            </w:r>
            <w:r w:rsidRPr="00F06DE2">
              <w:rPr>
                <w:rFonts w:ascii="Times New Roman" w:hAnsi="Times New Roman" w:cs="Times New Roman"/>
                <w:lang w:val="ru-RU"/>
              </w:rPr>
              <w:t xml:space="preserve"> оборудване за вътрешно корабоплаване, което е получило одобрение въз основа на Европейски стандарт </w:t>
            </w:r>
            <w:r w:rsidRPr="00F06DE2">
              <w:rPr>
                <w:rFonts w:ascii="Times New Roman" w:hAnsi="Times New Roman" w:cs="Times New Roman"/>
              </w:rPr>
              <w:t>EN</w:t>
            </w:r>
            <w:r w:rsidRPr="00F06DE2">
              <w:rPr>
                <w:rFonts w:ascii="Times New Roman" w:hAnsi="Times New Roman" w:cs="Times New Roman"/>
                <w:lang w:val="ru-RU"/>
              </w:rPr>
              <w:t xml:space="preserve"> 302 194-1:2006 преди 31 декември 2023 г., може да продължи да бъде инсталирано и след това да се използва, ако има валидно удостоверение за монтаж съгласно този стандарт.</w:t>
            </w:r>
          </w:p>
        </w:tc>
        <w:tc>
          <w:tcPr>
            <w:tcW w:w="1609" w:type="dxa"/>
            <w:vMerge/>
            <w:shd w:val="clear" w:color="auto" w:fill="auto"/>
          </w:tcPr>
          <w:p w14:paraId="3B16D809" w14:textId="77777777" w:rsidR="00271FA2" w:rsidRPr="00F06DE2" w:rsidRDefault="00271FA2">
            <w:pPr>
              <w:spacing w:line="240" w:lineRule="atLeast"/>
              <w:rPr>
                <w:rFonts w:ascii="Times New Roman" w:hAnsi="Times New Roman" w:cs="Times New Roman"/>
                <w:lang w:val="ru-RU"/>
              </w:rPr>
            </w:pPr>
          </w:p>
        </w:tc>
      </w:tr>
      <w:tr w:rsidR="00271FA2" w:rsidRPr="00F06DE2" w14:paraId="70FA3309" w14:textId="77777777" w:rsidTr="00C04891">
        <w:trPr>
          <w:cantSplit/>
          <w:jc w:val="center"/>
        </w:trPr>
        <w:tc>
          <w:tcPr>
            <w:tcW w:w="1342" w:type="dxa"/>
            <w:tcBorders>
              <w:top w:val="nil"/>
              <w:bottom w:val="nil"/>
            </w:tcBorders>
            <w:shd w:val="clear" w:color="auto" w:fill="auto"/>
          </w:tcPr>
          <w:p w14:paraId="7632F755" w14:textId="77777777" w:rsidR="00271FA2" w:rsidRPr="00F06DE2" w:rsidRDefault="00271FA2">
            <w:pPr>
              <w:spacing w:line="240" w:lineRule="atLeast"/>
              <w:rPr>
                <w:rFonts w:ascii="Times New Roman" w:hAnsi="Times New Roman" w:cs="Times New Roman"/>
                <w:lang w:val="ru-RU"/>
              </w:rPr>
            </w:pPr>
          </w:p>
        </w:tc>
        <w:tc>
          <w:tcPr>
            <w:tcW w:w="1458" w:type="dxa"/>
            <w:tcBorders>
              <w:bottom w:val="nil"/>
            </w:tcBorders>
            <w:shd w:val="clear" w:color="auto" w:fill="auto"/>
          </w:tcPr>
          <w:p w14:paraId="1C47623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tcBorders>
              <w:bottom w:val="nil"/>
            </w:tcBorders>
            <w:shd w:val="clear" w:color="auto" w:fill="auto"/>
          </w:tcPr>
          <w:p w14:paraId="798F352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Оборудване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w:t>
            </w:r>
          </w:p>
        </w:tc>
        <w:tc>
          <w:tcPr>
            <w:tcW w:w="6324" w:type="dxa"/>
            <w:shd w:val="clear" w:color="auto" w:fill="auto"/>
          </w:tcPr>
          <w:p w14:paraId="05F66E2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609" w:type="dxa"/>
            <w:shd w:val="clear" w:color="auto" w:fill="auto"/>
          </w:tcPr>
          <w:p w14:paraId="59ECEAD7" w14:textId="77777777" w:rsidR="00271FA2" w:rsidRPr="00F06DE2" w:rsidRDefault="00271FA2">
            <w:pPr>
              <w:spacing w:line="240" w:lineRule="atLeast"/>
              <w:rPr>
                <w:rFonts w:ascii="Times New Roman" w:hAnsi="Times New Roman" w:cs="Times New Roman"/>
              </w:rPr>
            </w:pPr>
          </w:p>
        </w:tc>
      </w:tr>
      <w:tr w:rsidR="00271FA2" w:rsidRPr="00F06DE2" w14:paraId="2671F259" w14:textId="77777777" w:rsidTr="00C04891">
        <w:trPr>
          <w:cantSplit/>
          <w:trHeight w:val="758"/>
          <w:jc w:val="center"/>
        </w:trPr>
        <w:tc>
          <w:tcPr>
            <w:tcW w:w="1342" w:type="dxa"/>
            <w:vMerge w:val="restart"/>
            <w:tcBorders>
              <w:top w:val="nil"/>
            </w:tcBorders>
            <w:shd w:val="clear" w:color="auto" w:fill="auto"/>
          </w:tcPr>
          <w:p w14:paraId="4984E6EA" w14:textId="77777777" w:rsidR="00271FA2" w:rsidRPr="00F06DE2" w:rsidRDefault="00271FA2">
            <w:pPr>
              <w:spacing w:line="240" w:lineRule="atLeast"/>
              <w:rPr>
                <w:rFonts w:ascii="Times New Roman" w:hAnsi="Times New Roman" w:cs="Times New Roman"/>
              </w:rPr>
            </w:pPr>
          </w:p>
        </w:tc>
        <w:tc>
          <w:tcPr>
            <w:tcW w:w="1458" w:type="dxa"/>
            <w:vMerge w:val="restart"/>
            <w:tcBorders>
              <w:top w:val="nil"/>
            </w:tcBorders>
            <w:shd w:val="clear" w:color="auto" w:fill="auto"/>
          </w:tcPr>
          <w:p w14:paraId="0A9B8896" w14:textId="77777777" w:rsidR="00271FA2" w:rsidRPr="00F06DE2" w:rsidRDefault="00271FA2">
            <w:pPr>
              <w:spacing w:line="240" w:lineRule="atLeast"/>
              <w:jc w:val="both"/>
              <w:rPr>
                <w:rFonts w:ascii="Times New Roman" w:hAnsi="Times New Roman" w:cs="Times New Roman"/>
              </w:rPr>
            </w:pPr>
          </w:p>
        </w:tc>
        <w:tc>
          <w:tcPr>
            <w:tcW w:w="3296" w:type="dxa"/>
            <w:vMerge w:val="restart"/>
            <w:tcBorders>
              <w:top w:val="nil"/>
            </w:tcBorders>
            <w:shd w:val="clear" w:color="auto" w:fill="auto"/>
          </w:tcPr>
          <w:p w14:paraId="0BD39359" w14:textId="77777777" w:rsidR="00271FA2" w:rsidRPr="00F06DE2" w:rsidRDefault="00271FA2">
            <w:pPr>
              <w:spacing w:line="240" w:lineRule="atLeast"/>
              <w:jc w:val="both"/>
              <w:rPr>
                <w:rFonts w:ascii="Times New Roman" w:hAnsi="Times New Roman" w:cs="Times New Roman"/>
              </w:rPr>
            </w:pPr>
          </w:p>
        </w:tc>
        <w:tc>
          <w:tcPr>
            <w:tcW w:w="6324" w:type="dxa"/>
            <w:shd w:val="clear" w:color="auto" w:fill="auto"/>
          </w:tcPr>
          <w:p w14:paraId="4EC8814B" w14:textId="77777777" w:rsidR="00271FA2" w:rsidRPr="00F06DE2" w:rsidRDefault="00D35E51">
            <w:pPr>
              <w:spacing w:line="240" w:lineRule="atLeast"/>
              <w:ind w:left="2" w:right="48"/>
              <w:jc w:val="both"/>
              <w:rPr>
                <w:rFonts w:ascii="Times New Roman" w:hAnsi="Times New Roman" w:cs="Times New Roman"/>
                <w:lang w:val="ru-RU"/>
              </w:rPr>
            </w:pPr>
            <w:r w:rsidRPr="00F06DE2">
              <w:rPr>
                <w:rFonts w:ascii="Times New Roman" w:hAnsi="Times New Roman" w:cs="Times New Roman"/>
                <w:lang w:val="ru-RU"/>
              </w:rPr>
              <w:t xml:space="preserve">Оборудването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с одобрение на типа съгласно издание 2.0 на Стандарта за изпитване за </w:t>
            </w:r>
            <w:r w:rsidRPr="00F06DE2">
              <w:rPr>
                <w:rFonts w:ascii="Times New Roman" w:hAnsi="Times New Roman" w:cs="Times New Roman"/>
              </w:rPr>
              <w:t>AIS</w:t>
            </w:r>
            <w:r w:rsidRPr="00F06DE2">
              <w:rPr>
                <w:rFonts w:ascii="Times New Roman" w:hAnsi="Times New Roman" w:cs="Times New Roman"/>
                <w:lang w:val="ru-RU"/>
              </w:rPr>
              <w:t xml:space="preserve"> за вътрешно корабоплаване и инсталирано преди 1 януари 2024 г. може да продължи да се използва.</w:t>
            </w:r>
          </w:p>
        </w:tc>
        <w:tc>
          <w:tcPr>
            <w:tcW w:w="1609" w:type="dxa"/>
            <w:vMerge w:val="restart"/>
            <w:shd w:val="clear" w:color="auto" w:fill="auto"/>
          </w:tcPr>
          <w:p w14:paraId="7D14EA6A" w14:textId="77777777" w:rsidR="00271FA2" w:rsidRPr="00F06DE2" w:rsidRDefault="00271FA2">
            <w:pPr>
              <w:spacing w:line="240" w:lineRule="atLeast"/>
              <w:rPr>
                <w:rFonts w:ascii="Times New Roman" w:hAnsi="Times New Roman" w:cs="Times New Roman"/>
                <w:lang w:val="ru-RU"/>
              </w:rPr>
            </w:pPr>
          </w:p>
        </w:tc>
      </w:tr>
      <w:tr w:rsidR="00271FA2" w:rsidRPr="00F06DE2" w14:paraId="1A7B1D0A" w14:textId="77777777" w:rsidTr="00C04891">
        <w:trPr>
          <w:cantSplit/>
          <w:trHeight w:val="757"/>
          <w:jc w:val="center"/>
        </w:trPr>
        <w:tc>
          <w:tcPr>
            <w:tcW w:w="1342" w:type="dxa"/>
            <w:vMerge/>
            <w:shd w:val="clear" w:color="auto" w:fill="auto"/>
          </w:tcPr>
          <w:p w14:paraId="7C6B1453" w14:textId="77777777" w:rsidR="00271FA2" w:rsidRPr="00F06DE2" w:rsidRDefault="00271FA2">
            <w:pPr>
              <w:spacing w:line="240" w:lineRule="atLeast"/>
              <w:rPr>
                <w:rFonts w:ascii="Times New Roman" w:hAnsi="Times New Roman" w:cs="Times New Roman"/>
                <w:lang w:val="ru-RU"/>
              </w:rPr>
            </w:pPr>
          </w:p>
        </w:tc>
        <w:tc>
          <w:tcPr>
            <w:tcW w:w="1458" w:type="dxa"/>
            <w:vMerge/>
            <w:shd w:val="clear" w:color="auto" w:fill="auto"/>
          </w:tcPr>
          <w:p w14:paraId="32F7A5BF" w14:textId="77777777" w:rsidR="00271FA2" w:rsidRPr="00F06DE2" w:rsidRDefault="00271FA2">
            <w:pPr>
              <w:spacing w:line="240" w:lineRule="atLeast"/>
              <w:rPr>
                <w:rFonts w:ascii="Times New Roman" w:hAnsi="Times New Roman" w:cs="Times New Roman"/>
                <w:lang w:val="ru-RU"/>
              </w:rPr>
            </w:pPr>
          </w:p>
        </w:tc>
        <w:tc>
          <w:tcPr>
            <w:tcW w:w="3296" w:type="dxa"/>
            <w:vMerge/>
            <w:shd w:val="clear" w:color="auto" w:fill="auto"/>
          </w:tcPr>
          <w:p w14:paraId="619E51F2" w14:textId="77777777" w:rsidR="00271FA2" w:rsidRPr="00F06DE2" w:rsidRDefault="00271FA2">
            <w:pPr>
              <w:spacing w:line="240" w:lineRule="atLeast"/>
              <w:jc w:val="both"/>
              <w:rPr>
                <w:rFonts w:ascii="Times New Roman" w:hAnsi="Times New Roman" w:cs="Times New Roman"/>
                <w:lang w:val="ru-RU"/>
              </w:rPr>
            </w:pPr>
          </w:p>
        </w:tc>
        <w:tc>
          <w:tcPr>
            <w:tcW w:w="6324" w:type="dxa"/>
            <w:shd w:val="clear" w:color="auto" w:fill="auto"/>
          </w:tcPr>
          <w:p w14:paraId="11BAAEA6" w14:textId="61669A49" w:rsidR="00271FA2" w:rsidRPr="00F06DE2" w:rsidRDefault="00B97A20" w:rsidP="001C2F1D">
            <w:pPr>
              <w:spacing w:line="240" w:lineRule="atLeast"/>
              <w:ind w:left="2" w:right="48"/>
              <w:jc w:val="both"/>
              <w:rPr>
                <w:rFonts w:ascii="Times New Roman" w:hAnsi="Times New Roman" w:cs="Times New Roman"/>
                <w:lang w:val="ru-RU"/>
              </w:rPr>
            </w:pPr>
            <w:r w:rsidRPr="00F06DE2">
              <w:rPr>
                <w:rFonts w:ascii="Times New Roman" w:hAnsi="Times New Roman" w:cs="Times New Roman"/>
                <w:lang w:val="ru-RU"/>
              </w:rPr>
              <w:t xml:space="preserve">Оборудване за вътрешна </w:t>
            </w:r>
            <w:r w:rsidRPr="00F06DE2">
              <w:rPr>
                <w:rFonts w:ascii="Times New Roman" w:hAnsi="Times New Roman" w:cs="Times New Roman"/>
              </w:rPr>
              <w:t>AIS</w:t>
            </w:r>
            <w:r w:rsidRPr="00F06DE2">
              <w:rPr>
                <w:rFonts w:ascii="Times New Roman" w:hAnsi="Times New Roman" w:cs="Times New Roman"/>
                <w:lang w:val="ru-RU"/>
              </w:rPr>
              <w:t xml:space="preserve"> с типово одобрение съгласно издание 2021/3.0 на Стандарта за изпитване на вътрешна </w:t>
            </w:r>
            <w:r w:rsidRPr="00F06DE2">
              <w:rPr>
                <w:rFonts w:ascii="Times New Roman" w:hAnsi="Times New Roman" w:cs="Times New Roman"/>
              </w:rPr>
              <w:t>AIS</w:t>
            </w:r>
            <w:r w:rsidRPr="00F06DE2">
              <w:rPr>
                <w:rFonts w:ascii="Times New Roman" w:hAnsi="Times New Roman" w:cs="Times New Roman"/>
                <w:lang w:val="ru-RU"/>
              </w:rPr>
              <w:t xml:space="preserve">,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2021/1 или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RIS</w:t>
            </w:r>
            <w:r w:rsidRPr="00F06DE2">
              <w:rPr>
                <w:rFonts w:ascii="Times New Roman" w:hAnsi="Times New Roman" w:cs="Times New Roman"/>
                <w:lang w:val="ru-RU"/>
              </w:rPr>
              <w:t xml:space="preserve"> 2023/1, може да продължи да се инсталира, след което да се използва</w:t>
            </w:r>
          </w:p>
        </w:tc>
        <w:tc>
          <w:tcPr>
            <w:tcW w:w="1609" w:type="dxa"/>
            <w:vMerge/>
            <w:shd w:val="clear" w:color="auto" w:fill="auto"/>
          </w:tcPr>
          <w:p w14:paraId="41CAC1D7"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11692111" w14:textId="77777777" w:rsidTr="00C04891">
        <w:trPr>
          <w:cantSplit/>
          <w:trHeight w:val="884"/>
          <w:jc w:val="center"/>
        </w:trPr>
        <w:tc>
          <w:tcPr>
            <w:tcW w:w="1342" w:type="dxa"/>
            <w:tcBorders>
              <w:bottom w:val="single" w:sz="4" w:space="0" w:color="auto"/>
            </w:tcBorders>
            <w:shd w:val="clear" w:color="auto" w:fill="auto"/>
          </w:tcPr>
          <w:p w14:paraId="0015CA8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7.09</w:t>
            </w:r>
          </w:p>
        </w:tc>
        <w:tc>
          <w:tcPr>
            <w:tcW w:w="1458" w:type="dxa"/>
            <w:tcBorders>
              <w:bottom w:val="single" w:sz="4" w:space="0" w:color="auto"/>
            </w:tcBorders>
            <w:shd w:val="clear" w:color="auto" w:fill="auto"/>
          </w:tcPr>
          <w:p w14:paraId="5F063703" w14:textId="77777777" w:rsidR="00271FA2" w:rsidRPr="00F06DE2" w:rsidRDefault="00271FA2">
            <w:pPr>
              <w:spacing w:line="240" w:lineRule="atLeast"/>
              <w:jc w:val="both"/>
              <w:rPr>
                <w:rFonts w:ascii="Times New Roman" w:hAnsi="Times New Roman" w:cs="Times New Roman"/>
              </w:rPr>
            </w:pPr>
          </w:p>
        </w:tc>
        <w:tc>
          <w:tcPr>
            <w:tcW w:w="3296" w:type="dxa"/>
            <w:tcBorders>
              <w:bottom w:val="single" w:sz="4" w:space="0" w:color="auto"/>
            </w:tcBorders>
            <w:shd w:val="clear" w:color="auto" w:fill="auto"/>
          </w:tcPr>
          <w:p w14:paraId="0C7955D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Алармена система</w:t>
            </w:r>
          </w:p>
        </w:tc>
        <w:tc>
          <w:tcPr>
            <w:tcW w:w="6324" w:type="dxa"/>
            <w:shd w:val="clear" w:color="auto" w:fill="auto"/>
          </w:tcPr>
          <w:p w14:paraId="25DFFCB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1CEED4D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3464DC" w:rsidRPr="00F06DE2" w14:paraId="063A53C3" w14:textId="77777777" w:rsidTr="00C04891">
        <w:trPr>
          <w:cantSplit/>
          <w:jc w:val="center"/>
        </w:trPr>
        <w:tc>
          <w:tcPr>
            <w:tcW w:w="1342" w:type="dxa"/>
            <w:vMerge w:val="restart"/>
            <w:shd w:val="clear" w:color="auto" w:fill="auto"/>
          </w:tcPr>
          <w:p w14:paraId="3A9C6BB6" w14:textId="039C4B54" w:rsidR="003464DC" w:rsidRPr="00F06DE2" w:rsidRDefault="003464DC" w:rsidP="001E7695">
            <w:pPr>
              <w:spacing w:line="240" w:lineRule="atLeast"/>
              <w:jc w:val="both"/>
              <w:rPr>
                <w:rFonts w:ascii="Times New Roman" w:hAnsi="Times New Roman" w:cs="Times New Roman"/>
              </w:rPr>
            </w:pPr>
            <w:r w:rsidRPr="00F06DE2">
              <w:rPr>
                <w:rFonts w:ascii="Times New Roman" w:hAnsi="Times New Roman" w:cs="Times New Roman"/>
              </w:rPr>
              <w:lastRenderedPageBreak/>
              <w:t>7.12</w:t>
            </w:r>
          </w:p>
        </w:tc>
        <w:tc>
          <w:tcPr>
            <w:tcW w:w="1458" w:type="dxa"/>
            <w:shd w:val="clear" w:color="auto" w:fill="auto"/>
          </w:tcPr>
          <w:p w14:paraId="5987D5FB" w14:textId="77777777" w:rsidR="003464DC" w:rsidRPr="00F06DE2" w:rsidRDefault="003464DC" w:rsidP="003464DC">
            <w:pPr>
              <w:widowControl w:val="0"/>
              <w:spacing w:line="240" w:lineRule="atLeast"/>
              <w:jc w:val="both"/>
              <w:rPr>
                <w:rFonts w:ascii="Times New Roman" w:hAnsi="Times New Roman" w:cs="Times New Roman"/>
              </w:rPr>
            </w:pPr>
            <w:r w:rsidRPr="00F06DE2">
              <w:rPr>
                <w:rFonts w:ascii="Times New Roman" w:hAnsi="Times New Roman" w:cs="Times New Roman"/>
              </w:rPr>
              <w:t xml:space="preserve">Точка 4 </w:t>
            </w:r>
          </w:p>
          <w:p w14:paraId="1DDCE8A1" w14:textId="4456C4CE" w:rsidR="003464DC" w:rsidRPr="00F06DE2" w:rsidRDefault="003464DC" w:rsidP="003464DC">
            <w:pPr>
              <w:widowControl w:val="0"/>
              <w:spacing w:line="240" w:lineRule="atLeast"/>
              <w:jc w:val="both"/>
              <w:rPr>
                <w:rFonts w:ascii="Times New Roman" w:hAnsi="Times New Roman" w:cs="Times New Roman"/>
              </w:rPr>
            </w:pPr>
            <w:r w:rsidRPr="00F06DE2">
              <w:rPr>
                <w:rFonts w:ascii="Times New Roman" w:hAnsi="Times New Roman" w:cs="Times New Roman"/>
              </w:rPr>
              <w:t>3-тото изречение</w:t>
            </w:r>
          </w:p>
        </w:tc>
        <w:tc>
          <w:tcPr>
            <w:tcW w:w="3296" w:type="dxa"/>
            <w:shd w:val="clear" w:color="auto" w:fill="auto"/>
          </w:tcPr>
          <w:p w14:paraId="3ED53537" w14:textId="6C01C094"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Отвор на покрива, използван като авариен изход</w:t>
            </w:r>
          </w:p>
        </w:tc>
        <w:tc>
          <w:tcPr>
            <w:tcW w:w="6324" w:type="dxa"/>
            <w:shd w:val="clear" w:color="auto" w:fill="auto"/>
          </w:tcPr>
          <w:p w14:paraId="146758D3" w14:textId="2D40AF55"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BC741F6" w14:textId="6A99310B" w:rsidR="003464DC" w:rsidRPr="00F06DE2" w:rsidRDefault="003464DC">
            <w:pPr>
              <w:widowControl w:val="0"/>
              <w:spacing w:line="240" w:lineRule="atLeast"/>
              <w:jc w:val="both"/>
              <w:rPr>
                <w:rFonts w:ascii="Times New Roman" w:hAnsi="Times New Roman" w:cs="Times New Roman"/>
              </w:rPr>
            </w:pPr>
            <w:r w:rsidRPr="00F06DE2">
              <w:rPr>
                <w:rFonts w:ascii="Times New Roman" w:hAnsi="Times New Roman" w:cs="Times New Roman"/>
              </w:rPr>
              <w:t>30.12.2049</w:t>
            </w:r>
            <w:r w:rsidR="002931B7" w:rsidRPr="00F06DE2">
              <w:rPr>
                <w:rFonts w:ascii="Times New Roman" w:hAnsi="Times New Roman" w:cs="Times New Roman"/>
              </w:rPr>
              <w:t xml:space="preserve"> г.</w:t>
            </w:r>
          </w:p>
        </w:tc>
      </w:tr>
      <w:tr w:rsidR="003464DC" w:rsidRPr="00F06DE2" w14:paraId="2F83B398" w14:textId="77777777" w:rsidTr="00C04891">
        <w:trPr>
          <w:cantSplit/>
          <w:jc w:val="center"/>
        </w:trPr>
        <w:tc>
          <w:tcPr>
            <w:tcW w:w="1342" w:type="dxa"/>
            <w:vMerge/>
            <w:shd w:val="clear" w:color="auto" w:fill="auto"/>
          </w:tcPr>
          <w:p w14:paraId="0926498B" w14:textId="3511B6BD" w:rsidR="003464DC" w:rsidRPr="00F06DE2" w:rsidRDefault="003464DC">
            <w:pPr>
              <w:spacing w:line="240" w:lineRule="atLeast"/>
              <w:jc w:val="both"/>
              <w:rPr>
                <w:rFonts w:ascii="Times New Roman" w:hAnsi="Times New Roman" w:cs="Times New Roman"/>
              </w:rPr>
            </w:pPr>
          </w:p>
        </w:tc>
        <w:tc>
          <w:tcPr>
            <w:tcW w:w="1458" w:type="dxa"/>
            <w:shd w:val="clear" w:color="auto" w:fill="auto"/>
          </w:tcPr>
          <w:p w14:paraId="1CE00E19" w14:textId="3839BDEF" w:rsidR="003464DC" w:rsidRPr="00F06DE2" w:rsidRDefault="003464DC" w:rsidP="001C2F1D">
            <w:pPr>
              <w:widowControl w:val="0"/>
              <w:spacing w:line="240" w:lineRule="atLeast"/>
              <w:jc w:val="both"/>
              <w:rPr>
                <w:rFonts w:ascii="Times New Roman" w:hAnsi="Times New Roman" w:cs="Times New Roman"/>
              </w:rPr>
            </w:pPr>
            <w:r w:rsidRPr="00F06DE2">
              <w:rPr>
                <w:rFonts w:ascii="Times New Roman" w:hAnsi="Times New Roman" w:cs="Times New Roman"/>
              </w:rPr>
              <w:t xml:space="preserve">Точка 5 </w:t>
            </w:r>
            <w:r w:rsidRPr="00F06DE2">
              <w:rPr>
                <w:rFonts w:ascii="Times New Roman" w:hAnsi="Times New Roman" w:cs="Times New Roman"/>
              </w:rPr>
              <w:br/>
              <w:t>2-ро изречение</w:t>
            </w:r>
          </w:p>
        </w:tc>
        <w:tc>
          <w:tcPr>
            <w:tcW w:w="3296" w:type="dxa"/>
            <w:shd w:val="clear" w:color="auto" w:fill="auto"/>
          </w:tcPr>
          <w:p w14:paraId="5A899C30" w14:textId="77777777" w:rsidR="003464DC" w:rsidRPr="00F06DE2" w:rsidRDefault="003464DC">
            <w:pPr>
              <w:widowControl w:val="0"/>
              <w:spacing w:line="240" w:lineRule="atLeast"/>
              <w:jc w:val="both"/>
              <w:rPr>
                <w:rFonts w:ascii="Times New Roman" w:hAnsi="Times New Roman" w:cs="Times New Roman"/>
              </w:rPr>
            </w:pPr>
            <w:r w:rsidRPr="00F06DE2">
              <w:rPr>
                <w:rFonts w:ascii="Times New Roman" w:hAnsi="Times New Roman" w:cs="Times New Roman"/>
              </w:rPr>
              <w:t>Указания</w:t>
            </w:r>
          </w:p>
        </w:tc>
        <w:tc>
          <w:tcPr>
            <w:tcW w:w="6324" w:type="dxa"/>
            <w:shd w:val="clear" w:color="auto" w:fill="auto"/>
          </w:tcPr>
          <w:p w14:paraId="6C39C5BC" w14:textId="77777777"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7F63B780" w14:textId="77777777" w:rsidR="003464DC" w:rsidRPr="00F06DE2" w:rsidRDefault="003464DC">
            <w:pPr>
              <w:widowControl w:val="0"/>
              <w:spacing w:line="240" w:lineRule="atLeast"/>
              <w:jc w:val="both"/>
              <w:rPr>
                <w:rFonts w:ascii="Times New Roman" w:hAnsi="Times New Roman" w:cs="Times New Roman"/>
                <w:lang w:val="ru-RU"/>
              </w:rPr>
            </w:pPr>
          </w:p>
        </w:tc>
      </w:tr>
      <w:tr w:rsidR="003464DC" w:rsidRPr="00F06DE2" w14:paraId="232E321F" w14:textId="77777777" w:rsidTr="00C04891">
        <w:trPr>
          <w:cantSplit/>
          <w:jc w:val="center"/>
        </w:trPr>
        <w:tc>
          <w:tcPr>
            <w:tcW w:w="1342" w:type="dxa"/>
            <w:vMerge/>
            <w:shd w:val="clear" w:color="auto" w:fill="auto"/>
          </w:tcPr>
          <w:p w14:paraId="6A8D9F10" w14:textId="77777777" w:rsidR="003464DC" w:rsidRPr="00F06DE2" w:rsidRDefault="003464DC">
            <w:pPr>
              <w:spacing w:line="240" w:lineRule="atLeast"/>
              <w:jc w:val="both"/>
              <w:rPr>
                <w:rFonts w:ascii="Times New Roman" w:hAnsi="Times New Roman" w:cs="Times New Roman"/>
                <w:lang w:val="ru-RU"/>
              </w:rPr>
            </w:pPr>
          </w:p>
        </w:tc>
        <w:tc>
          <w:tcPr>
            <w:tcW w:w="1458" w:type="dxa"/>
            <w:shd w:val="clear" w:color="auto" w:fill="auto"/>
          </w:tcPr>
          <w:p w14:paraId="561C28A4" w14:textId="1A384461" w:rsidR="003464DC" w:rsidRPr="00F06DE2" w:rsidRDefault="003464DC" w:rsidP="001C2F1D">
            <w:pPr>
              <w:widowControl w:val="0"/>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114FF0C6" w14:textId="77777777"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Спиране, блокиране и автоматично изключване</w:t>
            </w:r>
          </w:p>
        </w:tc>
        <w:tc>
          <w:tcPr>
            <w:tcW w:w="6324" w:type="dxa"/>
            <w:shd w:val="clear" w:color="auto" w:fill="auto"/>
          </w:tcPr>
          <w:p w14:paraId="42D4A390" w14:textId="77777777"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729397A9" w14:textId="07F75129" w:rsidR="003464DC" w:rsidRPr="00F06DE2" w:rsidRDefault="002931B7">
            <w:pPr>
              <w:widowControl w:val="0"/>
              <w:spacing w:line="240" w:lineRule="atLeast"/>
              <w:jc w:val="both"/>
              <w:rPr>
                <w:rFonts w:ascii="Times New Roman" w:hAnsi="Times New Roman" w:cs="Times New Roman"/>
              </w:rPr>
            </w:pPr>
            <w:r w:rsidRPr="00F06DE2">
              <w:rPr>
                <w:rFonts w:ascii="Times New Roman" w:hAnsi="Times New Roman" w:cs="Times New Roman"/>
              </w:rPr>
              <w:t>01.01</w:t>
            </w:r>
            <w:r w:rsidR="003464DC" w:rsidRPr="00F06DE2">
              <w:rPr>
                <w:rFonts w:ascii="Times New Roman" w:hAnsi="Times New Roman" w:cs="Times New Roman"/>
              </w:rPr>
              <w:t>.2025 г.</w:t>
            </w:r>
          </w:p>
        </w:tc>
      </w:tr>
      <w:tr w:rsidR="003464DC" w:rsidRPr="00F06DE2" w14:paraId="6C4AB242" w14:textId="77777777" w:rsidTr="00C04891">
        <w:trPr>
          <w:cantSplit/>
          <w:jc w:val="center"/>
        </w:trPr>
        <w:tc>
          <w:tcPr>
            <w:tcW w:w="1342" w:type="dxa"/>
            <w:vMerge/>
            <w:shd w:val="clear" w:color="auto" w:fill="auto"/>
          </w:tcPr>
          <w:p w14:paraId="3E458F53" w14:textId="77777777" w:rsidR="003464DC" w:rsidRPr="00F06DE2" w:rsidRDefault="003464DC">
            <w:pPr>
              <w:spacing w:line="240" w:lineRule="atLeast"/>
              <w:rPr>
                <w:rFonts w:ascii="Times New Roman" w:hAnsi="Times New Roman" w:cs="Times New Roman"/>
              </w:rPr>
            </w:pPr>
          </w:p>
        </w:tc>
        <w:tc>
          <w:tcPr>
            <w:tcW w:w="1458" w:type="dxa"/>
            <w:shd w:val="clear" w:color="auto" w:fill="auto"/>
          </w:tcPr>
          <w:p w14:paraId="0D98489C" w14:textId="5F8C5DA7" w:rsidR="003464DC" w:rsidRPr="00F06DE2" w:rsidRDefault="003464DC" w:rsidP="001C2F1D">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Точка 8 </w:t>
            </w:r>
            <w:r w:rsidRPr="00F06DE2">
              <w:rPr>
                <w:rFonts w:ascii="Times New Roman" w:hAnsi="Times New Roman" w:cs="Times New Roman"/>
                <w:lang w:val="ru-RU"/>
              </w:rPr>
              <w:br/>
              <w:t>1-во и 2-ро изречение</w:t>
            </w:r>
          </w:p>
        </w:tc>
        <w:tc>
          <w:tcPr>
            <w:tcW w:w="3296" w:type="dxa"/>
            <w:shd w:val="clear" w:color="auto" w:fill="auto"/>
          </w:tcPr>
          <w:p w14:paraId="262639E7" w14:textId="77777777"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Мерки и функции за защита</w:t>
            </w:r>
          </w:p>
        </w:tc>
        <w:tc>
          <w:tcPr>
            <w:tcW w:w="6324" w:type="dxa"/>
            <w:shd w:val="clear" w:color="auto" w:fill="auto"/>
          </w:tcPr>
          <w:p w14:paraId="2388135C" w14:textId="77777777"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365B6BFE" w14:textId="1A3FBC8B" w:rsidR="003464DC" w:rsidRPr="00F06DE2" w:rsidRDefault="002931B7">
            <w:pPr>
              <w:widowControl w:val="0"/>
              <w:spacing w:line="240" w:lineRule="atLeast"/>
              <w:jc w:val="both"/>
              <w:rPr>
                <w:rFonts w:ascii="Times New Roman" w:hAnsi="Times New Roman" w:cs="Times New Roman"/>
              </w:rPr>
            </w:pPr>
            <w:r w:rsidRPr="00F06DE2">
              <w:rPr>
                <w:rFonts w:ascii="Times New Roman" w:hAnsi="Times New Roman" w:cs="Times New Roman"/>
              </w:rPr>
              <w:t>01.01</w:t>
            </w:r>
            <w:r w:rsidR="003464DC" w:rsidRPr="00F06DE2">
              <w:rPr>
                <w:rFonts w:ascii="Times New Roman" w:hAnsi="Times New Roman" w:cs="Times New Roman"/>
              </w:rPr>
              <w:t>.2025 г.</w:t>
            </w:r>
          </w:p>
        </w:tc>
      </w:tr>
      <w:tr w:rsidR="003464DC" w:rsidRPr="00F06DE2" w14:paraId="017E1E6A" w14:textId="77777777" w:rsidTr="00C04891">
        <w:trPr>
          <w:cantSplit/>
          <w:jc w:val="center"/>
        </w:trPr>
        <w:tc>
          <w:tcPr>
            <w:tcW w:w="1342" w:type="dxa"/>
            <w:vMerge/>
            <w:shd w:val="clear" w:color="auto" w:fill="auto"/>
          </w:tcPr>
          <w:p w14:paraId="5FABD7A9" w14:textId="77777777" w:rsidR="003464DC" w:rsidRPr="00F06DE2" w:rsidRDefault="003464DC">
            <w:pPr>
              <w:spacing w:line="240" w:lineRule="atLeast"/>
              <w:rPr>
                <w:rFonts w:ascii="Times New Roman" w:hAnsi="Times New Roman" w:cs="Times New Roman"/>
              </w:rPr>
            </w:pPr>
          </w:p>
        </w:tc>
        <w:tc>
          <w:tcPr>
            <w:tcW w:w="1458" w:type="dxa"/>
            <w:shd w:val="clear" w:color="auto" w:fill="auto"/>
          </w:tcPr>
          <w:p w14:paraId="053B660E" w14:textId="670F4FCD" w:rsidR="003464DC" w:rsidRPr="00F06DE2" w:rsidRDefault="003464DC" w:rsidP="003464DC">
            <w:pPr>
              <w:widowControl w:val="0"/>
              <w:spacing w:line="240" w:lineRule="atLeast"/>
              <w:jc w:val="both"/>
              <w:rPr>
                <w:rFonts w:ascii="Times New Roman" w:hAnsi="Times New Roman" w:cs="Times New Roman"/>
              </w:rPr>
            </w:pPr>
            <w:r w:rsidRPr="00F06DE2">
              <w:rPr>
                <w:rFonts w:ascii="Times New Roman" w:hAnsi="Times New Roman" w:cs="Times New Roman"/>
              </w:rPr>
              <w:t>Точка 8</w:t>
            </w:r>
          </w:p>
          <w:p w14:paraId="5E7D46F5" w14:textId="52C6D085" w:rsidR="003464DC" w:rsidRPr="00F06DE2" w:rsidRDefault="003464DC" w:rsidP="003464DC">
            <w:pPr>
              <w:widowControl w:val="0"/>
              <w:spacing w:line="240" w:lineRule="atLeast"/>
              <w:jc w:val="both"/>
              <w:rPr>
                <w:rFonts w:ascii="Times New Roman" w:hAnsi="Times New Roman" w:cs="Times New Roman"/>
              </w:rPr>
            </w:pPr>
            <w:r w:rsidRPr="00F06DE2">
              <w:rPr>
                <w:rFonts w:ascii="Times New Roman" w:hAnsi="Times New Roman" w:cs="Times New Roman"/>
              </w:rPr>
              <w:t>3-тото изречение</w:t>
            </w:r>
          </w:p>
        </w:tc>
        <w:tc>
          <w:tcPr>
            <w:tcW w:w="3296" w:type="dxa"/>
            <w:shd w:val="clear" w:color="auto" w:fill="auto"/>
          </w:tcPr>
          <w:p w14:paraId="071819AC" w14:textId="6FB34874" w:rsidR="003464DC" w:rsidRPr="00F06DE2" w:rsidRDefault="003464DC">
            <w:pPr>
              <w:widowControl w:val="0"/>
              <w:spacing w:line="240" w:lineRule="atLeast"/>
              <w:jc w:val="both"/>
              <w:rPr>
                <w:rFonts w:ascii="Times New Roman" w:hAnsi="Times New Roman" w:cs="Times New Roman"/>
              </w:rPr>
            </w:pPr>
            <w:r w:rsidRPr="00F06DE2">
              <w:rPr>
                <w:rFonts w:ascii="Times New Roman" w:hAnsi="Times New Roman" w:cs="Times New Roman"/>
              </w:rPr>
              <w:t>Символ и предупредително устройство</w:t>
            </w:r>
          </w:p>
        </w:tc>
        <w:tc>
          <w:tcPr>
            <w:tcW w:w="6324" w:type="dxa"/>
            <w:shd w:val="clear" w:color="auto" w:fill="auto"/>
          </w:tcPr>
          <w:p w14:paraId="429D87D8" w14:textId="5A8C8D11"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30713154" w14:textId="77777777" w:rsidR="003464DC" w:rsidRPr="00F06DE2" w:rsidRDefault="003464DC">
            <w:pPr>
              <w:widowControl w:val="0"/>
              <w:spacing w:line="240" w:lineRule="atLeast"/>
              <w:jc w:val="both"/>
              <w:rPr>
                <w:rFonts w:ascii="Times New Roman" w:hAnsi="Times New Roman" w:cs="Times New Roman"/>
                <w:lang w:val="ru-RU"/>
              </w:rPr>
            </w:pPr>
          </w:p>
        </w:tc>
      </w:tr>
      <w:tr w:rsidR="003464DC" w:rsidRPr="00F06DE2" w14:paraId="7D812455" w14:textId="77777777" w:rsidTr="00C04891">
        <w:trPr>
          <w:cantSplit/>
          <w:jc w:val="center"/>
        </w:trPr>
        <w:tc>
          <w:tcPr>
            <w:tcW w:w="1342" w:type="dxa"/>
            <w:vMerge/>
            <w:shd w:val="clear" w:color="auto" w:fill="auto"/>
          </w:tcPr>
          <w:p w14:paraId="08A576A8" w14:textId="77777777" w:rsidR="003464DC" w:rsidRPr="00F06DE2" w:rsidRDefault="003464DC">
            <w:pPr>
              <w:spacing w:line="240" w:lineRule="atLeast"/>
              <w:rPr>
                <w:rFonts w:ascii="Times New Roman" w:hAnsi="Times New Roman" w:cs="Times New Roman"/>
                <w:lang w:val="ru-RU"/>
              </w:rPr>
            </w:pPr>
          </w:p>
        </w:tc>
        <w:tc>
          <w:tcPr>
            <w:tcW w:w="1458" w:type="dxa"/>
            <w:shd w:val="clear" w:color="auto" w:fill="auto"/>
          </w:tcPr>
          <w:p w14:paraId="4EC5B511" w14:textId="45475A5D" w:rsidR="003464DC" w:rsidRPr="00F06DE2" w:rsidRDefault="003464DC" w:rsidP="001C2F1D">
            <w:pPr>
              <w:widowControl w:val="0"/>
              <w:spacing w:line="240" w:lineRule="atLeast"/>
              <w:jc w:val="both"/>
              <w:rPr>
                <w:rFonts w:ascii="Times New Roman" w:hAnsi="Times New Roman" w:cs="Times New Roman"/>
              </w:rPr>
            </w:pPr>
            <w:r w:rsidRPr="00F06DE2">
              <w:rPr>
                <w:rFonts w:ascii="Times New Roman" w:hAnsi="Times New Roman" w:cs="Times New Roman"/>
              </w:rPr>
              <w:t xml:space="preserve">Точка 8 </w:t>
            </w:r>
            <w:r w:rsidRPr="00F06DE2">
              <w:rPr>
                <w:rFonts w:ascii="Times New Roman" w:hAnsi="Times New Roman" w:cs="Times New Roman"/>
              </w:rPr>
              <w:br/>
              <w:t>4-то изречение</w:t>
            </w:r>
          </w:p>
        </w:tc>
        <w:tc>
          <w:tcPr>
            <w:tcW w:w="3296" w:type="dxa"/>
            <w:shd w:val="clear" w:color="auto" w:fill="auto"/>
          </w:tcPr>
          <w:p w14:paraId="11C02332" w14:textId="5D62848A" w:rsidR="003464DC" w:rsidRPr="00F06DE2" w:rsidRDefault="003464DC">
            <w:pPr>
              <w:widowControl w:val="0"/>
              <w:spacing w:line="240" w:lineRule="atLeast"/>
              <w:jc w:val="both"/>
              <w:rPr>
                <w:rFonts w:ascii="Times New Roman" w:hAnsi="Times New Roman" w:cs="Times New Roman"/>
              </w:rPr>
            </w:pPr>
            <w:r w:rsidRPr="00F06DE2">
              <w:rPr>
                <w:rFonts w:ascii="Times New Roman" w:hAnsi="Times New Roman" w:cs="Times New Roman"/>
              </w:rPr>
              <w:t>Оптичен предупредителен сигнал</w:t>
            </w:r>
          </w:p>
        </w:tc>
        <w:tc>
          <w:tcPr>
            <w:tcW w:w="6324" w:type="dxa"/>
            <w:shd w:val="clear" w:color="auto" w:fill="auto"/>
          </w:tcPr>
          <w:p w14:paraId="1312FCB9" w14:textId="77777777"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5A760A97" w14:textId="77777777" w:rsidR="003464DC" w:rsidRPr="00F06DE2" w:rsidRDefault="003464DC">
            <w:pPr>
              <w:widowControl w:val="0"/>
              <w:spacing w:line="240" w:lineRule="atLeast"/>
              <w:jc w:val="both"/>
              <w:rPr>
                <w:rFonts w:ascii="Times New Roman" w:hAnsi="Times New Roman" w:cs="Times New Roman"/>
                <w:lang w:val="ru-RU"/>
              </w:rPr>
            </w:pPr>
          </w:p>
        </w:tc>
      </w:tr>
      <w:tr w:rsidR="003464DC" w:rsidRPr="00F06DE2" w14:paraId="1F80E542" w14:textId="77777777" w:rsidTr="00C04891">
        <w:trPr>
          <w:cantSplit/>
          <w:jc w:val="center"/>
        </w:trPr>
        <w:tc>
          <w:tcPr>
            <w:tcW w:w="1342" w:type="dxa"/>
            <w:vMerge/>
            <w:shd w:val="clear" w:color="auto" w:fill="auto"/>
          </w:tcPr>
          <w:p w14:paraId="5E5BDD25" w14:textId="77777777" w:rsidR="003464DC" w:rsidRPr="00F06DE2" w:rsidRDefault="003464DC">
            <w:pPr>
              <w:spacing w:line="240" w:lineRule="atLeast"/>
              <w:rPr>
                <w:rFonts w:ascii="Times New Roman" w:hAnsi="Times New Roman" w:cs="Times New Roman"/>
                <w:lang w:val="ru-RU"/>
              </w:rPr>
            </w:pPr>
          </w:p>
        </w:tc>
        <w:tc>
          <w:tcPr>
            <w:tcW w:w="1458" w:type="dxa"/>
            <w:shd w:val="clear" w:color="auto" w:fill="auto"/>
          </w:tcPr>
          <w:p w14:paraId="053FAF7C" w14:textId="27838B69" w:rsidR="003464DC" w:rsidRPr="00F06DE2" w:rsidRDefault="003464DC" w:rsidP="001C2F1D">
            <w:pPr>
              <w:widowControl w:val="0"/>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773BCFC1" w14:textId="7C87F67C" w:rsidR="003464DC" w:rsidRPr="00F06DE2" w:rsidRDefault="003464DC">
            <w:pPr>
              <w:widowControl w:val="0"/>
              <w:tabs>
                <w:tab w:val="left" w:pos="1260"/>
              </w:tabs>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Система за аварийно спускане за повдигащи механизми, които не са хидравлични</w:t>
            </w:r>
          </w:p>
        </w:tc>
        <w:tc>
          <w:tcPr>
            <w:tcW w:w="6324" w:type="dxa"/>
            <w:shd w:val="clear" w:color="auto" w:fill="auto"/>
          </w:tcPr>
          <w:p w14:paraId="4C9E29A8" w14:textId="0707EDDC" w:rsidR="003464DC" w:rsidRPr="00F06DE2" w:rsidRDefault="003464DC">
            <w:pPr>
              <w:widowControl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6AB0E653" w14:textId="0596A6E9" w:rsidR="003464DC" w:rsidRPr="00F06DE2" w:rsidRDefault="002931B7">
            <w:pPr>
              <w:widowControl w:val="0"/>
              <w:spacing w:line="240" w:lineRule="atLeast"/>
              <w:jc w:val="both"/>
              <w:rPr>
                <w:rFonts w:ascii="Times New Roman" w:hAnsi="Times New Roman" w:cs="Times New Roman"/>
              </w:rPr>
            </w:pPr>
            <w:r w:rsidRPr="00F06DE2">
              <w:rPr>
                <w:rFonts w:ascii="Times New Roman" w:hAnsi="Times New Roman" w:cs="Times New Roman"/>
              </w:rPr>
              <w:t>01.01</w:t>
            </w:r>
            <w:r w:rsidR="003464DC" w:rsidRPr="00F06DE2">
              <w:rPr>
                <w:rFonts w:ascii="Times New Roman" w:hAnsi="Times New Roman" w:cs="Times New Roman"/>
              </w:rPr>
              <w:t>.2040 г.</w:t>
            </w:r>
          </w:p>
        </w:tc>
      </w:tr>
      <w:tr w:rsidR="001F7070" w:rsidRPr="00F06DE2" w14:paraId="41804C39" w14:textId="77777777" w:rsidTr="00C04891">
        <w:trPr>
          <w:cantSplit/>
          <w:trHeight w:val="1052"/>
          <w:jc w:val="center"/>
        </w:trPr>
        <w:tc>
          <w:tcPr>
            <w:tcW w:w="1342" w:type="dxa"/>
            <w:vMerge w:val="restart"/>
            <w:shd w:val="clear" w:color="auto" w:fill="auto"/>
          </w:tcPr>
          <w:p w14:paraId="46A16DEF" w14:textId="1AE82D7A" w:rsidR="001F7070" w:rsidRPr="00F06DE2" w:rsidRDefault="001F7070" w:rsidP="0091751F">
            <w:pPr>
              <w:spacing w:line="240" w:lineRule="atLeast"/>
              <w:rPr>
                <w:rFonts w:ascii="Times New Roman" w:hAnsi="Times New Roman" w:cs="Times New Roman"/>
              </w:rPr>
            </w:pPr>
            <w:r w:rsidRPr="00F06DE2">
              <w:rPr>
                <w:rFonts w:ascii="Times New Roman" w:hAnsi="Times New Roman" w:cs="Times New Roman"/>
              </w:rPr>
              <w:t>7.14</w:t>
            </w:r>
          </w:p>
        </w:tc>
        <w:tc>
          <w:tcPr>
            <w:tcW w:w="1458" w:type="dxa"/>
            <w:shd w:val="clear" w:color="auto" w:fill="auto"/>
          </w:tcPr>
          <w:p w14:paraId="3A034A1C" w14:textId="563CB94F" w:rsidR="001F7070" w:rsidRPr="00F06DE2" w:rsidRDefault="001F7070" w:rsidP="0091751F">
            <w:pPr>
              <w:widowControl w:val="0"/>
              <w:spacing w:line="240" w:lineRule="atLeast"/>
              <w:rPr>
                <w:rFonts w:ascii="Times New Roman" w:hAnsi="Times New Roman" w:cs="Times New Roman"/>
              </w:rPr>
            </w:pPr>
            <w:r w:rsidRPr="00F06DE2">
              <w:rPr>
                <w:rFonts w:ascii="Times New Roman" w:hAnsi="Times New Roman" w:cs="Times New Roman"/>
                <w:color w:val="000000"/>
                <w:spacing w:val="-5"/>
              </w:rPr>
              <w:t>Точка 3 2-ро изречение</w:t>
            </w:r>
          </w:p>
        </w:tc>
        <w:tc>
          <w:tcPr>
            <w:tcW w:w="3296" w:type="dxa"/>
            <w:shd w:val="clear" w:color="auto" w:fill="auto"/>
          </w:tcPr>
          <w:p w14:paraId="2B3ED74F" w14:textId="729DE1DD" w:rsidR="001F7070" w:rsidRPr="00F06DE2" w:rsidRDefault="001F7070" w:rsidP="0091751F">
            <w:pPr>
              <w:widowControl w:val="0"/>
              <w:tabs>
                <w:tab w:val="left" w:pos="1260"/>
              </w:tabs>
              <w:adjustRightInd w:val="0"/>
              <w:spacing w:line="240" w:lineRule="atLeast"/>
              <w:rPr>
                <w:rFonts w:ascii="Times New Roman" w:hAnsi="Times New Roman" w:cs="Times New Roman"/>
                <w:lang w:val="ru-RU"/>
              </w:rPr>
            </w:pPr>
            <w:r w:rsidRPr="00F06DE2">
              <w:rPr>
                <w:rFonts w:ascii="Times New Roman" w:hAnsi="Times New Roman" w:cs="Times New Roman"/>
                <w:color w:val="000000"/>
                <w:lang w:val="ru-RU"/>
              </w:rPr>
              <w:t>Влизане и излизане от рулевата рубка, независимо от нейното положение</w:t>
            </w:r>
          </w:p>
        </w:tc>
        <w:tc>
          <w:tcPr>
            <w:tcW w:w="6324" w:type="dxa"/>
            <w:shd w:val="clear" w:color="auto" w:fill="auto"/>
          </w:tcPr>
          <w:p w14:paraId="24D6C1F3" w14:textId="2DEED725" w:rsidR="001F7070" w:rsidRPr="00F06DE2" w:rsidRDefault="001F7070" w:rsidP="0091751F">
            <w:pPr>
              <w:widowControl w:val="0"/>
              <w:spacing w:line="240" w:lineRule="atLeast"/>
              <w:rPr>
                <w:rFonts w:ascii="Times New Roman" w:hAnsi="Times New Roman" w:cs="Times New Roman"/>
                <w:lang w:val="ru-RU"/>
              </w:rPr>
            </w:pPr>
            <w:r w:rsidRPr="00F06DE2">
              <w:rPr>
                <w:rFonts w:ascii="Times New Roman" w:hAnsi="Times New Roman" w:cs="Times New Roman"/>
                <w:color w:val="000000"/>
                <w:lang w:val="ru-RU"/>
              </w:rPr>
              <w:t xml:space="preserve">Н.З.Р., най-късно при подновяване на </w:t>
            </w:r>
            <w:r w:rsidRPr="00F06DE2">
              <w:rPr>
                <w:rFonts w:ascii="Times New Roman" w:hAnsi="Times New Roman" w:cs="Times New Roman"/>
                <w:lang w:val="ru-RU"/>
              </w:rPr>
              <w:t>Корабното удостоверение за вътрешно корабоплаване</w:t>
            </w:r>
          </w:p>
        </w:tc>
        <w:tc>
          <w:tcPr>
            <w:tcW w:w="1609" w:type="dxa"/>
            <w:shd w:val="clear" w:color="auto" w:fill="auto"/>
          </w:tcPr>
          <w:p w14:paraId="5DDB4F5B" w14:textId="77777777" w:rsidR="001F7070" w:rsidRPr="00F06DE2" w:rsidRDefault="001F7070" w:rsidP="0091751F">
            <w:pPr>
              <w:spacing w:line="240" w:lineRule="atLeast"/>
              <w:rPr>
                <w:rFonts w:ascii="Times New Roman" w:hAnsi="Times New Roman" w:cs="Times New Roman"/>
                <w:lang w:val="ru-RU"/>
              </w:rPr>
            </w:pPr>
          </w:p>
        </w:tc>
      </w:tr>
      <w:tr w:rsidR="0091751F" w:rsidRPr="00F06DE2" w14:paraId="573EEDE3" w14:textId="77777777" w:rsidTr="00C04891">
        <w:trPr>
          <w:cantSplit/>
          <w:trHeight w:val="183"/>
          <w:jc w:val="center"/>
        </w:trPr>
        <w:tc>
          <w:tcPr>
            <w:tcW w:w="1342" w:type="dxa"/>
            <w:vMerge/>
            <w:shd w:val="clear" w:color="auto" w:fill="auto"/>
          </w:tcPr>
          <w:p w14:paraId="4DCFCC28" w14:textId="77777777" w:rsidR="0091751F" w:rsidRPr="00F06DE2" w:rsidRDefault="0091751F" w:rsidP="0091751F">
            <w:pPr>
              <w:spacing w:line="240" w:lineRule="atLeast"/>
              <w:rPr>
                <w:rFonts w:ascii="Times New Roman" w:hAnsi="Times New Roman" w:cs="Times New Roman"/>
                <w:lang w:val="ru-RU"/>
              </w:rPr>
            </w:pPr>
          </w:p>
        </w:tc>
        <w:tc>
          <w:tcPr>
            <w:tcW w:w="1458" w:type="dxa"/>
            <w:shd w:val="clear" w:color="auto" w:fill="auto"/>
          </w:tcPr>
          <w:p w14:paraId="11261FA2" w14:textId="77777777" w:rsidR="0091751F" w:rsidRPr="00F06DE2" w:rsidRDefault="0091751F" w:rsidP="0091751F">
            <w:pPr>
              <w:pStyle w:val="TableParagraph"/>
              <w:spacing w:before="95"/>
              <w:ind w:left="107"/>
              <w:rPr>
                <w:rFonts w:ascii="Times New Roman" w:hAnsi="Times New Roman" w:cs="Times New Roman"/>
                <w:color w:val="000000"/>
                <w:spacing w:val="-5"/>
              </w:rPr>
            </w:pPr>
            <w:r w:rsidRPr="00F06DE2">
              <w:rPr>
                <w:rFonts w:ascii="Times New Roman" w:hAnsi="Times New Roman" w:cs="Times New Roman"/>
                <w:color w:val="000000"/>
                <w:spacing w:val="-5"/>
              </w:rPr>
              <w:t xml:space="preserve">Точка 3 </w:t>
            </w:r>
          </w:p>
          <w:p w14:paraId="37D7FA71" w14:textId="7E983981" w:rsidR="0091751F" w:rsidRPr="00F06DE2" w:rsidDel="003464DC" w:rsidRDefault="0091751F" w:rsidP="0091751F">
            <w:pPr>
              <w:widowControl w:val="0"/>
              <w:spacing w:line="240" w:lineRule="atLeast"/>
              <w:rPr>
                <w:rFonts w:ascii="Times New Roman" w:hAnsi="Times New Roman" w:cs="Times New Roman"/>
              </w:rPr>
            </w:pPr>
            <w:r w:rsidRPr="00F06DE2">
              <w:rPr>
                <w:rFonts w:ascii="Times New Roman" w:hAnsi="Times New Roman" w:cs="Times New Roman"/>
                <w:color w:val="000000"/>
                <w:spacing w:val="-5"/>
              </w:rPr>
              <w:t>3-то изречение</w:t>
            </w:r>
          </w:p>
        </w:tc>
        <w:tc>
          <w:tcPr>
            <w:tcW w:w="3296" w:type="dxa"/>
            <w:shd w:val="clear" w:color="auto" w:fill="auto"/>
          </w:tcPr>
          <w:p w14:paraId="73AF87B5" w14:textId="30E2F7C9" w:rsidR="0091751F" w:rsidRPr="00F06DE2" w:rsidDel="003464DC" w:rsidRDefault="0091751F" w:rsidP="0091751F">
            <w:pPr>
              <w:widowControl w:val="0"/>
              <w:tabs>
                <w:tab w:val="left" w:pos="1260"/>
              </w:tabs>
              <w:adjustRightInd w:val="0"/>
              <w:spacing w:line="240" w:lineRule="atLeast"/>
              <w:rPr>
                <w:rFonts w:ascii="Times New Roman" w:hAnsi="Times New Roman" w:cs="Times New Roman"/>
                <w:lang w:val="ru-RU"/>
              </w:rPr>
            </w:pPr>
            <w:r w:rsidRPr="00F06DE2">
              <w:rPr>
                <w:rFonts w:ascii="Times New Roman" w:hAnsi="Times New Roman" w:cs="Times New Roman"/>
                <w:color w:val="000000"/>
                <w:lang w:val="ru-RU"/>
              </w:rPr>
              <w:t>Размери на отвора в покрива</w:t>
            </w:r>
          </w:p>
        </w:tc>
        <w:tc>
          <w:tcPr>
            <w:tcW w:w="6324" w:type="dxa"/>
            <w:shd w:val="clear" w:color="auto" w:fill="auto"/>
          </w:tcPr>
          <w:p w14:paraId="2FF60F9C" w14:textId="50628519" w:rsidR="0091751F" w:rsidRPr="00F06DE2" w:rsidDel="003464DC" w:rsidRDefault="0091751F" w:rsidP="0091751F">
            <w:pPr>
              <w:widowControl w:val="0"/>
              <w:spacing w:line="240" w:lineRule="atLeast"/>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0DC19A08" w14:textId="12AD1255" w:rsidR="0091751F" w:rsidRPr="00F06DE2" w:rsidRDefault="002931B7" w:rsidP="0091751F">
            <w:pPr>
              <w:spacing w:line="240" w:lineRule="atLeast"/>
              <w:rPr>
                <w:rFonts w:ascii="Times New Roman" w:hAnsi="Times New Roman" w:cs="Times New Roman"/>
              </w:rPr>
            </w:pPr>
            <w:r w:rsidRPr="00F06DE2">
              <w:rPr>
                <w:rFonts w:ascii="Times New Roman" w:hAnsi="Times New Roman" w:cs="Times New Roman"/>
              </w:rPr>
              <w:t>01.01</w:t>
            </w:r>
            <w:r w:rsidR="0091751F" w:rsidRPr="00F06DE2">
              <w:rPr>
                <w:rFonts w:ascii="Times New Roman" w:hAnsi="Times New Roman" w:cs="Times New Roman"/>
              </w:rPr>
              <w:t>.2035</w:t>
            </w:r>
            <w:r w:rsidRPr="00F06DE2">
              <w:rPr>
                <w:rFonts w:ascii="Times New Roman" w:hAnsi="Times New Roman" w:cs="Times New Roman"/>
              </w:rPr>
              <w:t xml:space="preserve"> г.</w:t>
            </w:r>
          </w:p>
        </w:tc>
      </w:tr>
      <w:tr w:rsidR="0091751F" w:rsidRPr="00F06DE2" w14:paraId="0B4189D5" w14:textId="77777777" w:rsidTr="00C04891">
        <w:trPr>
          <w:cantSplit/>
          <w:trHeight w:val="183"/>
          <w:jc w:val="center"/>
        </w:trPr>
        <w:tc>
          <w:tcPr>
            <w:tcW w:w="1342" w:type="dxa"/>
            <w:vMerge/>
            <w:shd w:val="clear" w:color="auto" w:fill="auto"/>
          </w:tcPr>
          <w:p w14:paraId="14121ADC" w14:textId="77777777" w:rsidR="0091751F" w:rsidRPr="00F06DE2" w:rsidRDefault="0091751F" w:rsidP="0091751F">
            <w:pPr>
              <w:spacing w:line="240" w:lineRule="atLeast"/>
              <w:rPr>
                <w:rFonts w:ascii="Times New Roman" w:hAnsi="Times New Roman" w:cs="Times New Roman"/>
              </w:rPr>
            </w:pPr>
          </w:p>
        </w:tc>
        <w:tc>
          <w:tcPr>
            <w:tcW w:w="1458" w:type="dxa"/>
            <w:shd w:val="clear" w:color="auto" w:fill="auto"/>
          </w:tcPr>
          <w:p w14:paraId="159D1F33" w14:textId="131AF3C6" w:rsidR="0091751F" w:rsidRPr="00F06DE2" w:rsidDel="003464DC" w:rsidRDefault="0091751F" w:rsidP="0091751F">
            <w:pPr>
              <w:widowControl w:val="0"/>
              <w:spacing w:line="240" w:lineRule="atLeast"/>
              <w:rPr>
                <w:rFonts w:ascii="Times New Roman" w:hAnsi="Times New Roman" w:cs="Times New Roman"/>
              </w:rPr>
            </w:pPr>
            <w:r w:rsidRPr="00F06DE2">
              <w:rPr>
                <w:rFonts w:ascii="Times New Roman" w:hAnsi="Times New Roman" w:cs="Times New Roman"/>
                <w:color w:val="000000"/>
                <w:spacing w:val="-5"/>
              </w:rPr>
              <w:t xml:space="preserve">Точка 4 </w:t>
            </w:r>
          </w:p>
        </w:tc>
        <w:tc>
          <w:tcPr>
            <w:tcW w:w="3296" w:type="dxa"/>
            <w:shd w:val="clear" w:color="auto" w:fill="auto"/>
          </w:tcPr>
          <w:p w14:paraId="47C2A09F" w14:textId="0C06AE5A" w:rsidR="0091751F" w:rsidRPr="00F06DE2" w:rsidDel="003464DC" w:rsidRDefault="0091751F" w:rsidP="0091751F">
            <w:pPr>
              <w:widowControl w:val="0"/>
              <w:tabs>
                <w:tab w:val="left" w:pos="1260"/>
              </w:tabs>
              <w:adjustRightInd w:val="0"/>
              <w:spacing w:line="240" w:lineRule="atLeast"/>
              <w:rPr>
                <w:rFonts w:ascii="Times New Roman" w:hAnsi="Times New Roman" w:cs="Times New Roman"/>
                <w:lang w:val="ru-RU"/>
              </w:rPr>
            </w:pPr>
            <w:r w:rsidRPr="00F06DE2">
              <w:rPr>
                <w:rFonts w:ascii="Times New Roman" w:hAnsi="Times New Roman" w:cs="Times New Roman"/>
                <w:color w:val="000000"/>
                <w:spacing w:val="-2"/>
                <w:lang w:val="ru-RU"/>
              </w:rPr>
              <w:t>Спиране, заключване и автоматично дезактивиране</w:t>
            </w:r>
          </w:p>
        </w:tc>
        <w:tc>
          <w:tcPr>
            <w:tcW w:w="6324" w:type="dxa"/>
            <w:shd w:val="clear" w:color="auto" w:fill="auto"/>
          </w:tcPr>
          <w:p w14:paraId="1098DD57" w14:textId="775B67BE" w:rsidR="0091751F" w:rsidRPr="00F06DE2" w:rsidDel="003464DC" w:rsidRDefault="0091751F" w:rsidP="0091751F">
            <w:pPr>
              <w:widowControl w:val="0"/>
              <w:spacing w:line="240" w:lineRule="atLeast"/>
              <w:rPr>
                <w:rFonts w:ascii="Times New Roman" w:hAnsi="Times New Roman" w:cs="Times New Roman"/>
              </w:rPr>
            </w:pPr>
            <w:r w:rsidRPr="00F06DE2">
              <w:rPr>
                <w:rFonts w:ascii="Times New Roman" w:hAnsi="Times New Roman" w:cs="Times New Roman"/>
                <w:color w:val="000000"/>
                <w:spacing w:val="-2"/>
              </w:rPr>
              <w:t>Н.З.Р.</w:t>
            </w:r>
          </w:p>
        </w:tc>
        <w:tc>
          <w:tcPr>
            <w:tcW w:w="1609" w:type="dxa"/>
            <w:shd w:val="clear" w:color="auto" w:fill="auto"/>
          </w:tcPr>
          <w:p w14:paraId="53700375" w14:textId="77777777" w:rsidR="0091751F" w:rsidRPr="00F06DE2" w:rsidRDefault="0091751F" w:rsidP="0091751F">
            <w:pPr>
              <w:spacing w:line="240" w:lineRule="atLeast"/>
              <w:rPr>
                <w:rFonts w:ascii="Times New Roman" w:hAnsi="Times New Roman" w:cs="Times New Roman"/>
              </w:rPr>
            </w:pPr>
          </w:p>
        </w:tc>
      </w:tr>
      <w:tr w:rsidR="0091751F" w:rsidRPr="00F06DE2" w14:paraId="1EFDC4C1" w14:textId="77777777" w:rsidTr="00C04891">
        <w:trPr>
          <w:cantSplit/>
          <w:trHeight w:val="183"/>
          <w:jc w:val="center"/>
        </w:trPr>
        <w:tc>
          <w:tcPr>
            <w:tcW w:w="1342" w:type="dxa"/>
            <w:vMerge/>
            <w:shd w:val="clear" w:color="auto" w:fill="auto"/>
          </w:tcPr>
          <w:p w14:paraId="67EA0F26" w14:textId="77777777" w:rsidR="0091751F" w:rsidRPr="00F06DE2" w:rsidRDefault="0091751F" w:rsidP="0091751F">
            <w:pPr>
              <w:spacing w:line="240" w:lineRule="atLeast"/>
              <w:rPr>
                <w:rFonts w:ascii="Times New Roman" w:hAnsi="Times New Roman" w:cs="Times New Roman"/>
              </w:rPr>
            </w:pPr>
          </w:p>
        </w:tc>
        <w:tc>
          <w:tcPr>
            <w:tcW w:w="1458" w:type="dxa"/>
            <w:shd w:val="clear" w:color="auto" w:fill="auto"/>
          </w:tcPr>
          <w:p w14:paraId="19541E31" w14:textId="08A7D4F2" w:rsidR="0091751F" w:rsidRPr="00F06DE2" w:rsidDel="003464DC" w:rsidRDefault="0091751F" w:rsidP="0091751F">
            <w:pPr>
              <w:widowControl w:val="0"/>
              <w:spacing w:line="240" w:lineRule="atLeast"/>
              <w:rPr>
                <w:rFonts w:ascii="Times New Roman" w:hAnsi="Times New Roman" w:cs="Times New Roman"/>
              </w:rPr>
            </w:pPr>
            <w:r w:rsidRPr="00F06DE2">
              <w:rPr>
                <w:rFonts w:ascii="Times New Roman" w:hAnsi="Times New Roman" w:cs="Times New Roman"/>
                <w:color w:val="000000"/>
                <w:spacing w:val="-5"/>
              </w:rPr>
              <w:t>Точка 5</w:t>
            </w:r>
          </w:p>
        </w:tc>
        <w:tc>
          <w:tcPr>
            <w:tcW w:w="3296" w:type="dxa"/>
            <w:shd w:val="clear" w:color="auto" w:fill="auto"/>
          </w:tcPr>
          <w:p w14:paraId="4B16FB2B" w14:textId="29A0F134" w:rsidR="0091751F" w:rsidRPr="00F06DE2" w:rsidDel="003464DC" w:rsidRDefault="0091751F" w:rsidP="0091751F">
            <w:pPr>
              <w:widowControl w:val="0"/>
              <w:tabs>
                <w:tab w:val="left" w:pos="1260"/>
              </w:tabs>
              <w:adjustRightInd w:val="0"/>
              <w:spacing w:line="240" w:lineRule="atLeast"/>
              <w:rPr>
                <w:rFonts w:ascii="Times New Roman" w:hAnsi="Times New Roman" w:cs="Times New Roman"/>
                <w:lang w:val="ru-RU"/>
              </w:rPr>
            </w:pPr>
            <w:r w:rsidRPr="00F06DE2">
              <w:rPr>
                <w:rFonts w:ascii="Times New Roman" w:hAnsi="Times New Roman" w:cs="Times New Roman"/>
                <w:color w:val="000000"/>
                <w:lang w:val="ru-RU"/>
              </w:rPr>
              <w:t>Без превишаване на терминалната позиция</w:t>
            </w:r>
          </w:p>
        </w:tc>
        <w:tc>
          <w:tcPr>
            <w:tcW w:w="6324" w:type="dxa"/>
            <w:shd w:val="clear" w:color="auto" w:fill="auto"/>
          </w:tcPr>
          <w:p w14:paraId="4BAE7165" w14:textId="1E520E97" w:rsidR="0091751F" w:rsidRPr="00F06DE2" w:rsidDel="003464DC" w:rsidRDefault="0091751F" w:rsidP="0091751F">
            <w:pPr>
              <w:widowControl w:val="0"/>
              <w:spacing w:line="240" w:lineRule="atLeast"/>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7E41022F" w14:textId="77777777" w:rsidR="0091751F" w:rsidRPr="00F06DE2" w:rsidRDefault="0091751F" w:rsidP="0091751F">
            <w:pPr>
              <w:spacing w:line="240" w:lineRule="atLeast"/>
              <w:rPr>
                <w:rFonts w:ascii="Times New Roman" w:hAnsi="Times New Roman" w:cs="Times New Roman"/>
                <w:lang w:val="ru-RU"/>
              </w:rPr>
            </w:pPr>
          </w:p>
        </w:tc>
      </w:tr>
      <w:tr w:rsidR="0091751F" w:rsidRPr="00F06DE2" w14:paraId="26B75F18" w14:textId="77777777" w:rsidTr="00C04891">
        <w:trPr>
          <w:cantSplit/>
          <w:trHeight w:val="183"/>
          <w:jc w:val="center"/>
        </w:trPr>
        <w:tc>
          <w:tcPr>
            <w:tcW w:w="1342" w:type="dxa"/>
            <w:vMerge/>
            <w:shd w:val="clear" w:color="auto" w:fill="auto"/>
          </w:tcPr>
          <w:p w14:paraId="329E85CB" w14:textId="77777777" w:rsidR="0091751F" w:rsidRPr="00F06DE2" w:rsidRDefault="0091751F" w:rsidP="0091751F">
            <w:pPr>
              <w:spacing w:line="240" w:lineRule="atLeast"/>
              <w:rPr>
                <w:rFonts w:ascii="Times New Roman" w:hAnsi="Times New Roman" w:cs="Times New Roman"/>
                <w:lang w:val="ru-RU"/>
              </w:rPr>
            </w:pPr>
          </w:p>
        </w:tc>
        <w:tc>
          <w:tcPr>
            <w:tcW w:w="1458" w:type="dxa"/>
            <w:shd w:val="clear" w:color="auto" w:fill="auto"/>
          </w:tcPr>
          <w:p w14:paraId="4D068142" w14:textId="77777777" w:rsidR="0091751F" w:rsidRPr="00F06DE2" w:rsidRDefault="0091751F" w:rsidP="0091751F">
            <w:pPr>
              <w:pStyle w:val="TableParagraph"/>
              <w:spacing w:before="92"/>
              <w:ind w:left="107"/>
              <w:rPr>
                <w:rFonts w:ascii="Times New Roman" w:hAnsi="Times New Roman" w:cs="Times New Roman"/>
                <w:color w:val="000000"/>
                <w:spacing w:val="-5"/>
                <w:lang w:val="ru-RU"/>
              </w:rPr>
            </w:pPr>
            <w:r w:rsidRPr="00F06DE2">
              <w:rPr>
                <w:rFonts w:ascii="Times New Roman" w:hAnsi="Times New Roman" w:cs="Times New Roman"/>
                <w:color w:val="000000"/>
                <w:spacing w:val="-5"/>
                <w:lang w:val="ru-RU"/>
              </w:rPr>
              <w:t xml:space="preserve">Точка 6 </w:t>
            </w:r>
          </w:p>
          <w:p w14:paraId="067F8009" w14:textId="0D99A8FB" w:rsidR="0091751F" w:rsidRPr="00F06DE2" w:rsidDel="003464DC" w:rsidRDefault="0091751F" w:rsidP="0091751F">
            <w:pPr>
              <w:widowControl w:val="0"/>
              <w:spacing w:line="240" w:lineRule="atLeast"/>
              <w:rPr>
                <w:rFonts w:ascii="Times New Roman" w:hAnsi="Times New Roman" w:cs="Times New Roman"/>
                <w:lang w:val="ru-RU"/>
              </w:rPr>
            </w:pPr>
            <w:r w:rsidRPr="00F06DE2">
              <w:rPr>
                <w:rFonts w:ascii="Times New Roman" w:hAnsi="Times New Roman" w:cs="Times New Roman"/>
                <w:color w:val="000000"/>
                <w:spacing w:val="-5"/>
                <w:lang w:val="ru-RU"/>
              </w:rPr>
              <w:t>1-во и 2-ро изречения</w:t>
            </w:r>
          </w:p>
        </w:tc>
        <w:tc>
          <w:tcPr>
            <w:tcW w:w="3296" w:type="dxa"/>
            <w:shd w:val="clear" w:color="auto" w:fill="auto"/>
          </w:tcPr>
          <w:p w14:paraId="645F9117" w14:textId="5AF45D27" w:rsidR="0091751F" w:rsidRPr="00F06DE2" w:rsidDel="003464DC" w:rsidRDefault="0091751F" w:rsidP="0091751F">
            <w:pPr>
              <w:widowControl w:val="0"/>
              <w:tabs>
                <w:tab w:val="left" w:pos="1260"/>
              </w:tabs>
              <w:adjustRightInd w:val="0"/>
              <w:spacing w:line="240" w:lineRule="atLeast"/>
              <w:rPr>
                <w:rFonts w:ascii="Times New Roman" w:hAnsi="Times New Roman" w:cs="Times New Roman"/>
              </w:rPr>
            </w:pPr>
            <w:r w:rsidRPr="00F06DE2">
              <w:rPr>
                <w:rFonts w:ascii="Times New Roman" w:hAnsi="Times New Roman" w:cs="Times New Roman"/>
                <w:color w:val="000000"/>
              </w:rPr>
              <w:t>Аранжировки и защитни характеристики</w:t>
            </w:r>
          </w:p>
        </w:tc>
        <w:tc>
          <w:tcPr>
            <w:tcW w:w="6324" w:type="dxa"/>
            <w:shd w:val="clear" w:color="auto" w:fill="auto"/>
          </w:tcPr>
          <w:p w14:paraId="414E058F" w14:textId="6BA6954E" w:rsidR="0091751F" w:rsidRPr="00F06DE2" w:rsidDel="003464DC" w:rsidRDefault="0091751F" w:rsidP="0091751F">
            <w:pPr>
              <w:widowControl w:val="0"/>
              <w:spacing w:line="240" w:lineRule="atLeast"/>
              <w:rPr>
                <w:rFonts w:ascii="Times New Roman" w:hAnsi="Times New Roman" w:cs="Times New Roman"/>
              </w:rPr>
            </w:pPr>
            <w:r w:rsidRPr="00F06DE2">
              <w:rPr>
                <w:rFonts w:ascii="Times New Roman" w:hAnsi="Times New Roman" w:cs="Times New Roman"/>
                <w:color w:val="000000"/>
                <w:spacing w:val="-2"/>
              </w:rPr>
              <w:t>Н.З.Р.</w:t>
            </w:r>
          </w:p>
        </w:tc>
        <w:tc>
          <w:tcPr>
            <w:tcW w:w="1609" w:type="dxa"/>
            <w:shd w:val="clear" w:color="auto" w:fill="auto"/>
          </w:tcPr>
          <w:p w14:paraId="69380F7F" w14:textId="77777777" w:rsidR="0091751F" w:rsidRPr="00F06DE2" w:rsidRDefault="0091751F" w:rsidP="0091751F">
            <w:pPr>
              <w:spacing w:line="240" w:lineRule="atLeast"/>
              <w:rPr>
                <w:rFonts w:ascii="Times New Roman" w:hAnsi="Times New Roman" w:cs="Times New Roman"/>
              </w:rPr>
            </w:pPr>
          </w:p>
        </w:tc>
      </w:tr>
      <w:tr w:rsidR="0091751F" w:rsidRPr="00F06DE2" w14:paraId="03522C82" w14:textId="77777777" w:rsidTr="00C04891">
        <w:trPr>
          <w:cantSplit/>
          <w:trHeight w:val="183"/>
          <w:jc w:val="center"/>
        </w:trPr>
        <w:tc>
          <w:tcPr>
            <w:tcW w:w="1342" w:type="dxa"/>
            <w:vMerge/>
            <w:shd w:val="clear" w:color="auto" w:fill="auto"/>
          </w:tcPr>
          <w:p w14:paraId="21426125" w14:textId="77777777" w:rsidR="0091751F" w:rsidRPr="00F06DE2" w:rsidRDefault="0091751F" w:rsidP="0091751F">
            <w:pPr>
              <w:spacing w:line="240" w:lineRule="atLeast"/>
              <w:rPr>
                <w:rFonts w:ascii="Times New Roman" w:hAnsi="Times New Roman" w:cs="Times New Roman"/>
              </w:rPr>
            </w:pPr>
          </w:p>
        </w:tc>
        <w:tc>
          <w:tcPr>
            <w:tcW w:w="1458" w:type="dxa"/>
            <w:shd w:val="clear" w:color="auto" w:fill="auto"/>
          </w:tcPr>
          <w:p w14:paraId="0A9594DF" w14:textId="70BAC001" w:rsidR="0091751F" w:rsidRPr="00F06DE2" w:rsidDel="003464DC" w:rsidRDefault="0091751F" w:rsidP="0091751F">
            <w:pPr>
              <w:widowControl w:val="0"/>
              <w:spacing w:line="240" w:lineRule="atLeast"/>
              <w:rPr>
                <w:rFonts w:ascii="Times New Roman" w:hAnsi="Times New Roman" w:cs="Times New Roman"/>
              </w:rPr>
            </w:pPr>
            <w:r w:rsidRPr="00F06DE2">
              <w:rPr>
                <w:rFonts w:ascii="Times New Roman" w:hAnsi="Times New Roman" w:cs="Times New Roman"/>
              </w:rPr>
              <w:t xml:space="preserve">Точка 7 </w:t>
            </w:r>
          </w:p>
        </w:tc>
        <w:tc>
          <w:tcPr>
            <w:tcW w:w="3296" w:type="dxa"/>
            <w:shd w:val="clear" w:color="auto" w:fill="auto"/>
          </w:tcPr>
          <w:p w14:paraId="277CECFB" w14:textId="4764CB24" w:rsidR="0091751F" w:rsidRPr="00F06DE2" w:rsidDel="003464DC" w:rsidRDefault="0091751F" w:rsidP="0091751F">
            <w:pPr>
              <w:widowControl w:val="0"/>
              <w:tabs>
                <w:tab w:val="left" w:pos="1260"/>
              </w:tabs>
              <w:adjustRightInd w:val="0"/>
              <w:spacing w:line="240" w:lineRule="atLeast"/>
              <w:rPr>
                <w:rFonts w:ascii="Times New Roman" w:hAnsi="Times New Roman" w:cs="Times New Roman"/>
              </w:rPr>
            </w:pPr>
            <w:r w:rsidRPr="00F06DE2">
              <w:rPr>
                <w:rFonts w:ascii="Times New Roman" w:hAnsi="Times New Roman" w:cs="Times New Roman"/>
                <w:color w:val="000000"/>
              </w:rPr>
              <w:t>Хидравлични маркучи</w:t>
            </w:r>
          </w:p>
        </w:tc>
        <w:tc>
          <w:tcPr>
            <w:tcW w:w="6324" w:type="dxa"/>
            <w:shd w:val="clear" w:color="auto" w:fill="auto"/>
          </w:tcPr>
          <w:p w14:paraId="7E9C14F9" w14:textId="00D209C3" w:rsidR="0091751F" w:rsidRPr="00F06DE2" w:rsidDel="003464DC" w:rsidRDefault="0091751F" w:rsidP="0091751F">
            <w:pPr>
              <w:widowControl w:val="0"/>
              <w:spacing w:line="240" w:lineRule="atLeast"/>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44DD92B6" w14:textId="77777777" w:rsidR="0091751F" w:rsidRPr="00F06DE2" w:rsidRDefault="0091751F" w:rsidP="0091751F">
            <w:pPr>
              <w:spacing w:line="240" w:lineRule="atLeast"/>
              <w:rPr>
                <w:rFonts w:ascii="Times New Roman" w:hAnsi="Times New Roman" w:cs="Times New Roman"/>
                <w:lang w:val="ru-RU"/>
              </w:rPr>
            </w:pPr>
          </w:p>
        </w:tc>
      </w:tr>
      <w:tr w:rsidR="00271FA2" w:rsidRPr="00F06DE2" w14:paraId="7681D4E5" w14:textId="77777777" w:rsidTr="00C04891">
        <w:trPr>
          <w:cantSplit/>
          <w:jc w:val="center"/>
        </w:trPr>
        <w:tc>
          <w:tcPr>
            <w:tcW w:w="6096" w:type="dxa"/>
            <w:gridSpan w:val="3"/>
            <w:shd w:val="clear" w:color="auto" w:fill="auto"/>
          </w:tcPr>
          <w:p w14:paraId="71F8EB57" w14:textId="0688D0CC"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8</w:t>
            </w:r>
          </w:p>
        </w:tc>
        <w:tc>
          <w:tcPr>
            <w:tcW w:w="6324" w:type="dxa"/>
            <w:shd w:val="clear" w:color="auto" w:fill="auto"/>
          </w:tcPr>
          <w:p w14:paraId="75695121"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645A47D0" w14:textId="77777777" w:rsidR="00271FA2" w:rsidRPr="00F06DE2" w:rsidRDefault="00271FA2">
            <w:pPr>
              <w:spacing w:line="240" w:lineRule="atLeast"/>
              <w:rPr>
                <w:rFonts w:ascii="Times New Roman" w:hAnsi="Times New Roman" w:cs="Times New Roman"/>
              </w:rPr>
            </w:pPr>
          </w:p>
        </w:tc>
      </w:tr>
      <w:tr w:rsidR="00271FA2" w:rsidRPr="00F06DE2" w14:paraId="7AC7DA53" w14:textId="77777777" w:rsidTr="00C04891">
        <w:trPr>
          <w:cantSplit/>
          <w:jc w:val="center"/>
        </w:trPr>
        <w:tc>
          <w:tcPr>
            <w:tcW w:w="1342" w:type="dxa"/>
            <w:tcBorders>
              <w:bottom w:val="single" w:sz="4" w:space="0" w:color="auto"/>
            </w:tcBorders>
            <w:shd w:val="clear" w:color="auto" w:fill="auto"/>
          </w:tcPr>
          <w:p w14:paraId="6DD1495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8.01</w:t>
            </w:r>
          </w:p>
        </w:tc>
        <w:tc>
          <w:tcPr>
            <w:tcW w:w="1458" w:type="dxa"/>
            <w:shd w:val="clear" w:color="auto" w:fill="auto"/>
          </w:tcPr>
          <w:p w14:paraId="10F70A5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7054519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Само двигатели с вътрешно горене, използващи горива с температура на възпламеняване над 55 °С</w:t>
            </w:r>
          </w:p>
        </w:tc>
        <w:tc>
          <w:tcPr>
            <w:tcW w:w="6324" w:type="dxa"/>
            <w:shd w:val="clear" w:color="auto" w:fill="auto"/>
          </w:tcPr>
          <w:p w14:paraId="6DCB119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26E413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1A563D19" w14:textId="77777777" w:rsidTr="00C04891">
        <w:trPr>
          <w:cantSplit/>
          <w:jc w:val="center"/>
        </w:trPr>
        <w:tc>
          <w:tcPr>
            <w:tcW w:w="1342" w:type="dxa"/>
            <w:tcBorders>
              <w:bottom w:val="nil"/>
            </w:tcBorders>
            <w:shd w:val="clear" w:color="auto" w:fill="auto"/>
          </w:tcPr>
          <w:p w14:paraId="600FA71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8.02</w:t>
            </w:r>
          </w:p>
        </w:tc>
        <w:tc>
          <w:tcPr>
            <w:tcW w:w="1458" w:type="dxa"/>
            <w:shd w:val="clear" w:color="auto" w:fill="auto"/>
          </w:tcPr>
          <w:p w14:paraId="538966B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5937042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Обезопасяване на двигателите срещу случайно пускане</w:t>
            </w:r>
          </w:p>
        </w:tc>
        <w:tc>
          <w:tcPr>
            <w:tcW w:w="6324" w:type="dxa"/>
            <w:shd w:val="clear" w:color="auto" w:fill="auto"/>
          </w:tcPr>
          <w:p w14:paraId="2EA80FE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007818A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1D3B6BF4" w14:textId="77777777" w:rsidTr="00C04891">
        <w:trPr>
          <w:cantSplit/>
          <w:jc w:val="center"/>
        </w:trPr>
        <w:tc>
          <w:tcPr>
            <w:tcW w:w="1342" w:type="dxa"/>
            <w:tcBorders>
              <w:top w:val="nil"/>
              <w:bottom w:val="nil"/>
            </w:tcBorders>
            <w:shd w:val="clear" w:color="auto" w:fill="auto"/>
          </w:tcPr>
          <w:p w14:paraId="7972A2AD"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3DD7ADD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1634CB0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Екраниране на тръби</w:t>
            </w:r>
          </w:p>
        </w:tc>
        <w:tc>
          <w:tcPr>
            <w:tcW w:w="6324" w:type="dxa"/>
            <w:shd w:val="clear" w:color="auto" w:fill="auto"/>
          </w:tcPr>
          <w:p w14:paraId="025D8EA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A37797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24C78A60" w14:textId="77777777" w:rsidTr="00C04891">
        <w:trPr>
          <w:cantSplit/>
          <w:jc w:val="center"/>
        </w:trPr>
        <w:tc>
          <w:tcPr>
            <w:tcW w:w="1342" w:type="dxa"/>
            <w:tcBorders>
              <w:top w:val="nil"/>
              <w:bottom w:val="nil"/>
            </w:tcBorders>
            <w:shd w:val="clear" w:color="auto" w:fill="auto"/>
          </w:tcPr>
          <w:p w14:paraId="0BA93015"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74A6513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2B85D48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Тръбопроводна система с кожух</w:t>
            </w:r>
          </w:p>
        </w:tc>
        <w:tc>
          <w:tcPr>
            <w:tcW w:w="6324" w:type="dxa"/>
            <w:shd w:val="clear" w:color="auto" w:fill="auto"/>
          </w:tcPr>
          <w:p w14:paraId="48368E6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700256C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440D8314" w14:textId="77777777" w:rsidTr="00C04891">
        <w:trPr>
          <w:cantSplit/>
          <w:jc w:val="center"/>
        </w:trPr>
        <w:tc>
          <w:tcPr>
            <w:tcW w:w="1342" w:type="dxa"/>
            <w:tcBorders>
              <w:top w:val="nil"/>
              <w:bottom w:val="single" w:sz="4" w:space="0" w:color="auto"/>
            </w:tcBorders>
            <w:shd w:val="clear" w:color="auto" w:fill="auto"/>
          </w:tcPr>
          <w:p w14:paraId="16145161" w14:textId="77777777" w:rsidR="00271FA2" w:rsidRPr="00F06DE2" w:rsidRDefault="00271FA2">
            <w:pPr>
              <w:spacing w:line="240" w:lineRule="atLeast"/>
              <w:jc w:val="both"/>
              <w:rPr>
                <w:rFonts w:ascii="Times New Roman" w:hAnsi="Times New Roman" w:cs="Times New Roman"/>
                <w:strike/>
              </w:rPr>
            </w:pPr>
          </w:p>
        </w:tc>
        <w:tc>
          <w:tcPr>
            <w:tcW w:w="1458" w:type="dxa"/>
            <w:shd w:val="clear" w:color="auto" w:fill="auto"/>
          </w:tcPr>
          <w:p w14:paraId="2482BB2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4653650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Изолация на частите на двигателя</w:t>
            </w:r>
          </w:p>
        </w:tc>
        <w:tc>
          <w:tcPr>
            <w:tcW w:w="6324" w:type="dxa"/>
            <w:shd w:val="clear" w:color="auto" w:fill="auto"/>
          </w:tcPr>
          <w:p w14:paraId="0857491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179B836C" w14:textId="77777777" w:rsidR="00271FA2" w:rsidRPr="00F06DE2" w:rsidRDefault="00271FA2">
            <w:pPr>
              <w:spacing w:line="240" w:lineRule="atLeast"/>
              <w:jc w:val="both"/>
              <w:rPr>
                <w:rFonts w:ascii="Times New Roman" w:hAnsi="Times New Roman" w:cs="Times New Roman"/>
                <w:lang w:val="ru-RU"/>
              </w:rPr>
            </w:pPr>
          </w:p>
        </w:tc>
      </w:tr>
      <w:tr w:rsidR="001F7070" w:rsidRPr="00F06DE2" w14:paraId="0EFE0838" w14:textId="77777777" w:rsidTr="00C04891">
        <w:trPr>
          <w:cantSplit/>
          <w:jc w:val="center"/>
        </w:trPr>
        <w:tc>
          <w:tcPr>
            <w:tcW w:w="1342" w:type="dxa"/>
            <w:tcBorders>
              <w:bottom w:val="nil"/>
            </w:tcBorders>
            <w:shd w:val="clear" w:color="auto" w:fill="auto"/>
          </w:tcPr>
          <w:p w14:paraId="556A5C9F" w14:textId="77777777" w:rsidR="001F7070" w:rsidRPr="00F06DE2" w:rsidRDefault="001F7070">
            <w:pPr>
              <w:spacing w:line="240" w:lineRule="atLeast"/>
              <w:jc w:val="both"/>
              <w:rPr>
                <w:rFonts w:ascii="Times New Roman" w:hAnsi="Times New Roman" w:cs="Times New Roman"/>
              </w:rPr>
            </w:pPr>
            <w:r w:rsidRPr="00F06DE2">
              <w:rPr>
                <w:rFonts w:ascii="Times New Roman" w:hAnsi="Times New Roman" w:cs="Times New Roman"/>
              </w:rPr>
              <w:t>8.03</w:t>
            </w:r>
          </w:p>
        </w:tc>
        <w:tc>
          <w:tcPr>
            <w:tcW w:w="1458" w:type="dxa"/>
            <w:vMerge w:val="restart"/>
            <w:shd w:val="clear" w:color="auto" w:fill="auto"/>
          </w:tcPr>
          <w:p w14:paraId="6C702F1A" w14:textId="75BC0D3A" w:rsidR="001F7070" w:rsidRPr="00F06DE2" w:rsidRDefault="001F7070" w:rsidP="00BF2ABC">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vMerge w:val="restart"/>
            <w:shd w:val="clear" w:color="auto" w:fill="auto"/>
          </w:tcPr>
          <w:p w14:paraId="26CBF581" w14:textId="4A546B2C" w:rsidR="001F7070" w:rsidRPr="00F06DE2" w:rsidRDefault="001F7070" w:rsidP="00AD4722">
            <w:pPr>
              <w:spacing w:line="240" w:lineRule="atLeast"/>
              <w:jc w:val="both"/>
              <w:rPr>
                <w:rFonts w:ascii="Times New Roman" w:hAnsi="Times New Roman" w:cs="Times New Roman"/>
                <w:lang w:val="ru-RU"/>
              </w:rPr>
            </w:pPr>
            <w:r w:rsidRPr="00F06DE2">
              <w:rPr>
                <w:rFonts w:ascii="Times New Roman" w:hAnsi="Times New Roman" w:cs="Times New Roman"/>
                <w:lang w:val="ru-RU"/>
              </w:rPr>
              <w:t>Автоматична защита срещу прекалено висока честота на въртене, индикация и изключване</w:t>
            </w:r>
          </w:p>
        </w:tc>
        <w:tc>
          <w:tcPr>
            <w:tcW w:w="6324" w:type="dxa"/>
            <w:vMerge w:val="restart"/>
            <w:shd w:val="clear" w:color="auto" w:fill="auto"/>
          </w:tcPr>
          <w:p w14:paraId="79960F7B" w14:textId="23A04FA0" w:rsidR="001F7070" w:rsidRPr="00F06DE2" w:rsidRDefault="001F7070" w:rsidP="00AD4722">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vMerge w:val="restart"/>
            <w:shd w:val="clear" w:color="auto" w:fill="auto"/>
          </w:tcPr>
          <w:p w14:paraId="0CDCD5AD" w14:textId="581B8264" w:rsidR="001F7070" w:rsidRPr="00F06DE2" w:rsidRDefault="001F7070" w:rsidP="00AD4722">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1F7070" w:rsidRPr="00F06DE2" w14:paraId="1348A790" w14:textId="77777777" w:rsidTr="00C04891">
        <w:trPr>
          <w:cantSplit/>
          <w:jc w:val="center"/>
        </w:trPr>
        <w:tc>
          <w:tcPr>
            <w:tcW w:w="1342" w:type="dxa"/>
            <w:tcBorders>
              <w:top w:val="nil"/>
              <w:bottom w:val="nil"/>
            </w:tcBorders>
            <w:shd w:val="clear" w:color="auto" w:fill="auto"/>
          </w:tcPr>
          <w:p w14:paraId="428E12ED" w14:textId="77777777" w:rsidR="001F7070" w:rsidRPr="00F06DE2" w:rsidRDefault="001F7070">
            <w:pPr>
              <w:spacing w:line="240" w:lineRule="atLeast"/>
              <w:jc w:val="both"/>
              <w:rPr>
                <w:rFonts w:ascii="Times New Roman" w:hAnsi="Times New Roman" w:cs="Times New Roman"/>
              </w:rPr>
            </w:pPr>
          </w:p>
        </w:tc>
        <w:tc>
          <w:tcPr>
            <w:tcW w:w="1458" w:type="dxa"/>
            <w:vMerge/>
            <w:shd w:val="clear" w:color="auto" w:fill="auto"/>
          </w:tcPr>
          <w:p w14:paraId="5F78EBFB" w14:textId="443BC1F7" w:rsidR="001F7070" w:rsidRPr="00F06DE2" w:rsidRDefault="001F7070" w:rsidP="00BF2ABC">
            <w:pPr>
              <w:spacing w:line="240" w:lineRule="atLeast"/>
              <w:jc w:val="both"/>
              <w:rPr>
                <w:rFonts w:ascii="Times New Roman" w:hAnsi="Times New Roman" w:cs="Times New Roman"/>
              </w:rPr>
            </w:pPr>
          </w:p>
        </w:tc>
        <w:tc>
          <w:tcPr>
            <w:tcW w:w="3296" w:type="dxa"/>
            <w:vMerge/>
            <w:shd w:val="clear" w:color="auto" w:fill="auto"/>
          </w:tcPr>
          <w:p w14:paraId="3D01ECE0" w14:textId="74123A06" w:rsidR="001F7070" w:rsidRPr="00F06DE2" w:rsidRDefault="001F7070">
            <w:pPr>
              <w:spacing w:line="240" w:lineRule="atLeast"/>
              <w:jc w:val="both"/>
              <w:rPr>
                <w:rFonts w:ascii="Times New Roman" w:hAnsi="Times New Roman" w:cs="Times New Roman"/>
              </w:rPr>
            </w:pPr>
          </w:p>
        </w:tc>
        <w:tc>
          <w:tcPr>
            <w:tcW w:w="6324" w:type="dxa"/>
            <w:vMerge/>
            <w:shd w:val="clear" w:color="auto" w:fill="auto"/>
          </w:tcPr>
          <w:p w14:paraId="0DE92E69" w14:textId="098ED319" w:rsidR="001F7070" w:rsidRPr="00F06DE2" w:rsidRDefault="001F7070">
            <w:pPr>
              <w:spacing w:line="240" w:lineRule="atLeast"/>
              <w:jc w:val="both"/>
              <w:rPr>
                <w:rFonts w:ascii="Times New Roman" w:hAnsi="Times New Roman" w:cs="Times New Roman"/>
              </w:rPr>
            </w:pPr>
          </w:p>
        </w:tc>
        <w:tc>
          <w:tcPr>
            <w:tcW w:w="1609" w:type="dxa"/>
            <w:vMerge/>
            <w:shd w:val="clear" w:color="auto" w:fill="auto"/>
          </w:tcPr>
          <w:p w14:paraId="45A62E3D" w14:textId="14394B70" w:rsidR="001F7070" w:rsidRPr="00F06DE2" w:rsidRDefault="001F7070">
            <w:pPr>
              <w:spacing w:line="240" w:lineRule="atLeast"/>
              <w:jc w:val="both"/>
              <w:rPr>
                <w:rFonts w:ascii="Times New Roman" w:hAnsi="Times New Roman" w:cs="Times New Roman"/>
              </w:rPr>
            </w:pPr>
          </w:p>
        </w:tc>
      </w:tr>
      <w:tr w:rsidR="00271FA2" w:rsidRPr="00F06DE2" w14:paraId="3144D663" w14:textId="77777777" w:rsidTr="00C04891">
        <w:trPr>
          <w:cantSplit/>
          <w:jc w:val="center"/>
        </w:trPr>
        <w:tc>
          <w:tcPr>
            <w:tcW w:w="1342" w:type="dxa"/>
            <w:tcBorders>
              <w:top w:val="nil"/>
              <w:bottom w:val="single" w:sz="4" w:space="0" w:color="auto"/>
            </w:tcBorders>
            <w:shd w:val="clear" w:color="auto" w:fill="auto"/>
          </w:tcPr>
          <w:p w14:paraId="65510B23"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71253705" w14:textId="32662B4B" w:rsidR="00271FA2" w:rsidRPr="00F06DE2" w:rsidRDefault="00D35E51" w:rsidP="00BF2ABC">
            <w:pPr>
              <w:spacing w:line="240" w:lineRule="atLeast"/>
              <w:jc w:val="both"/>
              <w:rPr>
                <w:rFonts w:ascii="Times New Roman" w:hAnsi="Times New Roman" w:cs="Times New Roman"/>
              </w:rPr>
            </w:pPr>
            <w:r w:rsidRPr="00F06DE2">
              <w:rPr>
                <w:rFonts w:ascii="Times New Roman" w:hAnsi="Times New Roman" w:cs="Times New Roman"/>
              </w:rPr>
              <w:t xml:space="preserve">Точка </w:t>
            </w:r>
            <w:r w:rsidR="006D4FED" w:rsidRPr="00F06DE2">
              <w:rPr>
                <w:rFonts w:ascii="Times New Roman" w:hAnsi="Times New Roman" w:cs="Times New Roman"/>
              </w:rPr>
              <w:t>4</w:t>
            </w:r>
          </w:p>
        </w:tc>
        <w:tc>
          <w:tcPr>
            <w:tcW w:w="3296" w:type="dxa"/>
            <w:shd w:val="clear" w:color="auto" w:fill="auto"/>
          </w:tcPr>
          <w:p w14:paraId="3BBCBDF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Проектиране на отворите на валовете</w:t>
            </w:r>
          </w:p>
        </w:tc>
        <w:tc>
          <w:tcPr>
            <w:tcW w:w="6324" w:type="dxa"/>
            <w:shd w:val="clear" w:color="auto" w:fill="auto"/>
          </w:tcPr>
          <w:p w14:paraId="52CF9B9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0190F64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3494DB7F" w14:textId="77777777" w:rsidTr="00C04891">
        <w:trPr>
          <w:cantSplit/>
          <w:jc w:val="center"/>
        </w:trPr>
        <w:tc>
          <w:tcPr>
            <w:tcW w:w="1342" w:type="dxa"/>
            <w:tcBorders>
              <w:bottom w:val="nil"/>
            </w:tcBorders>
            <w:shd w:val="clear" w:color="auto" w:fill="auto"/>
          </w:tcPr>
          <w:p w14:paraId="38E1709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8.05</w:t>
            </w:r>
          </w:p>
        </w:tc>
        <w:tc>
          <w:tcPr>
            <w:tcW w:w="1458" w:type="dxa"/>
            <w:shd w:val="clear" w:color="auto" w:fill="auto"/>
          </w:tcPr>
          <w:p w14:paraId="3BA8B03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517D63C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Стоманени резервоари за течни горива</w:t>
            </w:r>
          </w:p>
        </w:tc>
        <w:tc>
          <w:tcPr>
            <w:tcW w:w="6324" w:type="dxa"/>
            <w:shd w:val="clear" w:color="auto" w:fill="auto"/>
          </w:tcPr>
          <w:p w14:paraId="5268D64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AF1429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08D2E1B2" w14:textId="77777777" w:rsidTr="00C04891">
        <w:trPr>
          <w:cantSplit/>
          <w:jc w:val="center"/>
        </w:trPr>
        <w:tc>
          <w:tcPr>
            <w:tcW w:w="1342" w:type="dxa"/>
            <w:tcBorders>
              <w:top w:val="nil"/>
              <w:bottom w:val="nil"/>
            </w:tcBorders>
            <w:shd w:val="clear" w:color="auto" w:fill="auto"/>
          </w:tcPr>
          <w:p w14:paraId="4DB570E6" w14:textId="77777777" w:rsidR="00271FA2" w:rsidRPr="00F06DE2" w:rsidRDefault="00271FA2">
            <w:pPr>
              <w:spacing w:line="240" w:lineRule="atLeast"/>
              <w:jc w:val="both"/>
              <w:rPr>
                <w:rFonts w:ascii="Times New Roman" w:hAnsi="Times New Roman" w:cs="Times New Roman"/>
              </w:rPr>
            </w:pPr>
          </w:p>
        </w:tc>
        <w:tc>
          <w:tcPr>
            <w:tcW w:w="1458" w:type="dxa"/>
            <w:tcBorders>
              <w:bottom w:val="single" w:sz="4" w:space="0" w:color="auto"/>
            </w:tcBorders>
            <w:shd w:val="clear" w:color="auto" w:fill="auto"/>
          </w:tcPr>
          <w:p w14:paraId="44B9189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0BF2694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Автоматично затваряне на вентилите на резервоарите</w:t>
            </w:r>
          </w:p>
        </w:tc>
        <w:tc>
          <w:tcPr>
            <w:tcW w:w="6324" w:type="dxa"/>
            <w:shd w:val="clear" w:color="auto" w:fill="auto"/>
          </w:tcPr>
          <w:p w14:paraId="6DBD704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1789496F"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1E27047A" w14:textId="77777777" w:rsidTr="00C04891">
        <w:trPr>
          <w:cantSplit/>
          <w:jc w:val="center"/>
        </w:trPr>
        <w:tc>
          <w:tcPr>
            <w:tcW w:w="1342" w:type="dxa"/>
            <w:tcBorders>
              <w:top w:val="nil"/>
              <w:bottom w:val="nil"/>
            </w:tcBorders>
            <w:shd w:val="clear" w:color="auto" w:fill="auto"/>
          </w:tcPr>
          <w:p w14:paraId="1D293040" w14:textId="77777777" w:rsidR="00271FA2" w:rsidRPr="00F06DE2" w:rsidRDefault="00271FA2">
            <w:pPr>
              <w:spacing w:line="240" w:lineRule="atLeast"/>
              <w:jc w:val="both"/>
              <w:rPr>
                <w:rFonts w:ascii="Times New Roman" w:hAnsi="Times New Roman" w:cs="Times New Roman"/>
                <w:lang w:val="ru-RU"/>
              </w:rPr>
            </w:pPr>
          </w:p>
        </w:tc>
        <w:tc>
          <w:tcPr>
            <w:tcW w:w="1458" w:type="dxa"/>
            <w:tcBorders>
              <w:bottom w:val="nil"/>
            </w:tcBorders>
            <w:shd w:val="clear" w:color="auto" w:fill="auto"/>
          </w:tcPr>
          <w:p w14:paraId="502CBEC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5F9F7C42" w14:textId="77777777" w:rsidR="00271FA2" w:rsidRPr="00F06DE2" w:rsidRDefault="00D35E51">
            <w:pPr>
              <w:tabs>
                <w:tab w:val="left" w:pos="1170"/>
              </w:tabs>
              <w:spacing w:line="240" w:lineRule="atLeast"/>
              <w:jc w:val="both"/>
              <w:rPr>
                <w:rFonts w:ascii="Times New Roman" w:hAnsi="Times New Roman" w:cs="Times New Roman"/>
                <w:lang w:val="ru-RU"/>
              </w:rPr>
            </w:pPr>
            <w:r w:rsidRPr="00F06DE2">
              <w:rPr>
                <w:rFonts w:ascii="Times New Roman" w:hAnsi="Times New Roman" w:cs="Times New Roman"/>
                <w:lang w:val="ru-RU"/>
              </w:rPr>
              <w:t>Без резервоари за гориво пред първата носова непроницаема преграда</w:t>
            </w:r>
          </w:p>
        </w:tc>
        <w:tc>
          <w:tcPr>
            <w:tcW w:w="6324" w:type="dxa"/>
            <w:shd w:val="clear" w:color="auto" w:fill="auto"/>
          </w:tcPr>
          <w:p w14:paraId="046ED10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A551C2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4D7F3575" w14:textId="77777777" w:rsidTr="00C04891">
        <w:trPr>
          <w:cantSplit/>
          <w:jc w:val="center"/>
        </w:trPr>
        <w:tc>
          <w:tcPr>
            <w:tcW w:w="1342" w:type="dxa"/>
            <w:tcBorders>
              <w:top w:val="nil"/>
              <w:bottom w:val="nil"/>
            </w:tcBorders>
            <w:shd w:val="clear" w:color="auto" w:fill="auto"/>
          </w:tcPr>
          <w:p w14:paraId="59E38826" w14:textId="77777777" w:rsidR="00271FA2" w:rsidRPr="00F06DE2" w:rsidRDefault="00271FA2">
            <w:pPr>
              <w:spacing w:line="240" w:lineRule="atLeast"/>
              <w:jc w:val="both"/>
              <w:rPr>
                <w:rFonts w:ascii="Times New Roman" w:hAnsi="Times New Roman" w:cs="Times New Roman"/>
              </w:rPr>
            </w:pPr>
          </w:p>
        </w:tc>
        <w:tc>
          <w:tcPr>
            <w:tcW w:w="1458" w:type="dxa"/>
            <w:tcBorders>
              <w:top w:val="nil"/>
              <w:bottom w:val="single" w:sz="4" w:space="0" w:color="auto"/>
            </w:tcBorders>
            <w:shd w:val="clear" w:color="auto" w:fill="auto"/>
          </w:tcPr>
          <w:p w14:paraId="08EAECC1"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37895E8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Без резервоари за гориво зад ахтерпиковата преграда</w:t>
            </w:r>
          </w:p>
        </w:tc>
        <w:tc>
          <w:tcPr>
            <w:tcW w:w="6324" w:type="dxa"/>
            <w:shd w:val="clear" w:color="auto" w:fill="auto"/>
          </w:tcPr>
          <w:p w14:paraId="2BFB9C7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EAF132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59311EDA" w14:textId="77777777" w:rsidTr="00C04891">
        <w:trPr>
          <w:cantSplit/>
          <w:jc w:val="center"/>
        </w:trPr>
        <w:tc>
          <w:tcPr>
            <w:tcW w:w="1342" w:type="dxa"/>
            <w:tcBorders>
              <w:top w:val="nil"/>
              <w:bottom w:val="nil"/>
            </w:tcBorders>
            <w:shd w:val="clear" w:color="auto" w:fill="auto"/>
          </w:tcPr>
          <w:p w14:paraId="2432A571" w14:textId="77777777" w:rsidR="00271FA2" w:rsidRPr="00F06DE2" w:rsidRDefault="00271FA2">
            <w:pPr>
              <w:spacing w:line="240" w:lineRule="atLeast"/>
              <w:rPr>
                <w:rFonts w:ascii="Times New Roman" w:hAnsi="Times New Roman" w:cs="Times New Roman"/>
              </w:rPr>
            </w:pPr>
          </w:p>
        </w:tc>
        <w:tc>
          <w:tcPr>
            <w:tcW w:w="1458" w:type="dxa"/>
            <w:vMerge w:val="restart"/>
            <w:shd w:val="clear" w:color="auto" w:fill="auto"/>
          </w:tcPr>
          <w:p w14:paraId="4601B50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vMerge w:val="restart"/>
            <w:shd w:val="clear" w:color="auto" w:fill="auto"/>
          </w:tcPr>
          <w:p w14:paraId="4A8A59E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Без резервоари за гориво и техни фитинги над двигатели или изпускателни тръби</w:t>
            </w:r>
          </w:p>
        </w:tc>
        <w:tc>
          <w:tcPr>
            <w:tcW w:w="6324" w:type="dxa"/>
            <w:shd w:val="clear" w:color="auto" w:fill="auto"/>
          </w:tcPr>
          <w:p w14:paraId="38A7F1F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DFB9FE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0C68C5FF" w14:textId="77777777" w:rsidTr="00C04891">
        <w:trPr>
          <w:cantSplit/>
          <w:jc w:val="center"/>
        </w:trPr>
        <w:tc>
          <w:tcPr>
            <w:tcW w:w="1342" w:type="dxa"/>
            <w:tcBorders>
              <w:top w:val="nil"/>
              <w:bottom w:val="nil"/>
            </w:tcBorders>
            <w:shd w:val="clear" w:color="auto" w:fill="auto"/>
          </w:tcPr>
          <w:p w14:paraId="4C79802A" w14:textId="77777777" w:rsidR="00271FA2" w:rsidRPr="00F06DE2" w:rsidRDefault="00271FA2">
            <w:pPr>
              <w:spacing w:line="240" w:lineRule="atLeast"/>
              <w:rPr>
                <w:rFonts w:ascii="Times New Roman" w:hAnsi="Times New Roman" w:cs="Times New Roman"/>
              </w:rPr>
            </w:pPr>
          </w:p>
        </w:tc>
        <w:tc>
          <w:tcPr>
            <w:tcW w:w="1458" w:type="dxa"/>
            <w:vMerge/>
            <w:shd w:val="clear" w:color="auto" w:fill="auto"/>
          </w:tcPr>
          <w:p w14:paraId="6C36A578" w14:textId="77777777" w:rsidR="00271FA2" w:rsidRPr="00F06DE2" w:rsidRDefault="00271FA2">
            <w:pPr>
              <w:spacing w:line="240" w:lineRule="atLeast"/>
              <w:jc w:val="both"/>
              <w:rPr>
                <w:rFonts w:ascii="Times New Roman" w:hAnsi="Times New Roman" w:cs="Times New Roman"/>
              </w:rPr>
            </w:pPr>
          </w:p>
        </w:tc>
        <w:tc>
          <w:tcPr>
            <w:tcW w:w="3296" w:type="dxa"/>
            <w:vMerge/>
            <w:shd w:val="clear" w:color="auto" w:fill="auto"/>
          </w:tcPr>
          <w:p w14:paraId="0776E11C" w14:textId="77777777" w:rsidR="00271FA2" w:rsidRPr="00F06DE2" w:rsidRDefault="00271FA2">
            <w:pPr>
              <w:spacing w:line="240" w:lineRule="atLeast"/>
              <w:jc w:val="both"/>
              <w:rPr>
                <w:rFonts w:ascii="Times New Roman" w:hAnsi="Times New Roman" w:cs="Times New Roman"/>
              </w:rPr>
            </w:pPr>
          </w:p>
        </w:tc>
        <w:tc>
          <w:tcPr>
            <w:tcW w:w="6324" w:type="dxa"/>
            <w:shd w:val="clear" w:color="auto" w:fill="auto"/>
          </w:tcPr>
          <w:p w14:paraId="76A6B40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До тогава подходящи устройства трябва да осигуряват безопасното изливане на горивата.</w:t>
            </w:r>
          </w:p>
        </w:tc>
        <w:tc>
          <w:tcPr>
            <w:tcW w:w="1609" w:type="dxa"/>
            <w:shd w:val="clear" w:color="auto" w:fill="auto"/>
          </w:tcPr>
          <w:p w14:paraId="74556DF8"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1E892323" w14:textId="77777777" w:rsidTr="00C04891">
        <w:trPr>
          <w:cantSplit/>
          <w:jc w:val="center"/>
        </w:trPr>
        <w:tc>
          <w:tcPr>
            <w:tcW w:w="1342" w:type="dxa"/>
            <w:tcBorders>
              <w:top w:val="nil"/>
              <w:bottom w:val="nil"/>
            </w:tcBorders>
            <w:shd w:val="clear" w:color="auto" w:fill="auto"/>
          </w:tcPr>
          <w:p w14:paraId="2A8087B4" w14:textId="77777777" w:rsidR="00271FA2" w:rsidRPr="00F06DE2" w:rsidRDefault="00271FA2">
            <w:pPr>
              <w:spacing w:line="240" w:lineRule="atLeast"/>
              <w:rPr>
                <w:rFonts w:ascii="Times New Roman" w:hAnsi="Times New Roman" w:cs="Times New Roman"/>
                <w:lang w:val="ru-RU"/>
              </w:rPr>
            </w:pPr>
          </w:p>
        </w:tc>
        <w:tc>
          <w:tcPr>
            <w:tcW w:w="1458" w:type="dxa"/>
            <w:shd w:val="clear" w:color="auto" w:fill="auto"/>
          </w:tcPr>
          <w:p w14:paraId="1FE2C37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6, от 3-то до 5-то изречение</w:t>
            </w:r>
          </w:p>
        </w:tc>
        <w:tc>
          <w:tcPr>
            <w:tcW w:w="3296" w:type="dxa"/>
            <w:shd w:val="clear" w:color="auto" w:fill="auto"/>
          </w:tcPr>
          <w:p w14:paraId="59721D4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Монтаж и мерки на тръбите за проветряване и свързващите тръби</w:t>
            </w:r>
          </w:p>
        </w:tc>
        <w:tc>
          <w:tcPr>
            <w:tcW w:w="6324" w:type="dxa"/>
            <w:shd w:val="clear" w:color="auto" w:fill="auto"/>
          </w:tcPr>
          <w:p w14:paraId="09D9ED3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086ED25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2D55BCBC" w14:textId="77777777" w:rsidTr="00C04891">
        <w:trPr>
          <w:cantSplit/>
          <w:jc w:val="center"/>
        </w:trPr>
        <w:tc>
          <w:tcPr>
            <w:tcW w:w="1342" w:type="dxa"/>
            <w:tcBorders>
              <w:top w:val="nil"/>
              <w:bottom w:val="nil"/>
            </w:tcBorders>
            <w:shd w:val="clear" w:color="auto" w:fill="auto"/>
          </w:tcPr>
          <w:p w14:paraId="0E15B808"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7241B4D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 1-во изречение</w:t>
            </w:r>
          </w:p>
        </w:tc>
        <w:tc>
          <w:tcPr>
            <w:tcW w:w="3296" w:type="dxa"/>
            <w:shd w:val="clear" w:color="auto" w:fill="auto"/>
          </w:tcPr>
          <w:p w14:paraId="5DC477B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Бързозатварящ се клапан на резервоара, управляван от палубата, дори ако въпросните помещения са затворени</w:t>
            </w:r>
          </w:p>
        </w:tc>
        <w:tc>
          <w:tcPr>
            <w:tcW w:w="6324" w:type="dxa"/>
            <w:shd w:val="clear" w:color="auto" w:fill="auto"/>
          </w:tcPr>
          <w:p w14:paraId="5530D9C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4E1F99A2" w14:textId="2FF34A3D"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.2029 г.</w:t>
            </w:r>
          </w:p>
        </w:tc>
      </w:tr>
      <w:tr w:rsidR="00271FA2" w:rsidRPr="00F06DE2" w14:paraId="5F6804EB" w14:textId="77777777" w:rsidTr="00C04891">
        <w:trPr>
          <w:cantSplit/>
          <w:jc w:val="center"/>
        </w:trPr>
        <w:tc>
          <w:tcPr>
            <w:tcW w:w="1342" w:type="dxa"/>
            <w:tcBorders>
              <w:top w:val="nil"/>
              <w:bottom w:val="nil"/>
            </w:tcBorders>
            <w:shd w:val="clear" w:color="auto" w:fill="auto"/>
          </w:tcPr>
          <w:p w14:paraId="4D364CD1"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372DC39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 2-ро изречение</w:t>
            </w:r>
          </w:p>
        </w:tc>
        <w:tc>
          <w:tcPr>
            <w:tcW w:w="3296" w:type="dxa"/>
            <w:shd w:val="clear" w:color="auto" w:fill="auto"/>
          </w:tcPr>
          <w:p w14:paraId="71B4831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Устройствата за измерване на вместимостта да могат да бъдат разчитани до равнището на максимално напълване</w:t>
            </w:r>
          </w:p>
        </w:tc>
        <w:tc>
          <w:tcPr>
            <w:tcW w:w="6324" w:type="dxa"/>
            <w:shd w:val="clear" w:color="auto" w:fill="auto"/>
          </w:tcPr>
          <w:p w14:paraId="3516EFE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4BFDB72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2F7456F5" w14:textId="77777777" w:rsidTr="00C04891">
        <w:trPr>
          <w:cantSplit/>
          <w:jc w:val="center"/>
        </w:trPr>
        <w:tc>
          <w:tcPr>
            <w:tcW w:w="1342" w:type="dxa"/>
            <w:shd w:val="clear" w:color="auto" w:fill="auto"/>
          </w:tcPr>
          <w:p w14:paraId="489D1ADC" w14:textId="77777777" w:rsidR="00271FA2" w:rsidRPr="00F06DE2" w:rsidRDefault="00D35E51">
            <w:pPr>
              <w:spacing w:line="240" w:lineRule="atLeast"/>
              <w:rPr>
                <w:rFonts w:ascii="Times New Roman" w:hAnsi="Times New Roman" w:cs="Times New Roman"/>
              </w:rPr>
            </w:pPr>
            <w:r w:rsidRPr="00F06DE2">
              <w:rPr>
                <w:rFonts w:ascii="Times New Roman" w:hAnsi="Times New Roman" w:cs="Times New Roman"/>
              </w:rPr>
              <w:t>8.06</w:t>
            </w:r>
          </w:p>
        </w:tc>
        <w:tc>
          <w:tcPr>
            <w:tcW w:w="1458" w:type="dxa"/>
            <w:shd w:val="clear" w:color="auto" w:fill="auto"/>
          </w:tcPr>
          <w:p w14:paraId="4E1C4496"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2D80001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Резервоари за смазочно масло, тръби и принадлежности</w:t>
            </w:r>
          </w:p>
        </w:tc>
        <w:tc>
          <w:tcPr>
            <w:tcW w:w="6324" w:type="dxa"/>
            <w:shd w:val="clear" w:color="auto" w:fill="auto"/>
          </w:tcPr>
          <w:p w14:paraId="229044C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3AB58A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0A8A01E3" w14:textId="77777777" w:rsidTr="00C04891">
        <w:trPr>
          <w:cantSplit/>
          <w:jc w:val="center"/>
        </w:trPr>
        <w:tc>
          <w:tcPr>
            <w:tcW w:w="1342" w:type="dxa"/>
            <w:tcBorders>
              <w:bottom w:val="single" w:sz="4" w:space="0" w:color="auto"/>
            </w:tcBorders>
            <w:shd w:val="clear" w:color="auto" w:fill="auto"/>
          </w:tcPr>
          <w:p w14:paraId="1D38C48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8.07</w:t>
            </w:r>
          </w:p>
        </w:tc>
        <w:tc>
          <w:tcPr>
            <w:tcW w:w="1458" w:type="dxa"/>
            <w:shd w:val="clear" w:color="auto" w:fill="auto"/>
          </w:tcPr>
          <w:p w14:paraId="25D757FD"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5157578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Резервоари за масла в силови трансмисии, системи за управление и задействане и системи за отопление, тръбопроводи и принадлежности</w:t>
            </w:r>
          </w:p>
        </w:tc>
        <w:tc>
          <w:tcPr>
            <w:tcW w:w="6324" w:type="dxa"/>
            <w:shd w:val="clear" w:color="auto" w:fill="auto"/>
          </w:tcPr>
          <w:p w14:paraId="1EC6C9D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4B39FC1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3C758B44" w14:textId="77777777" w:rsidTr="00C04891">
        <w:trPr>
          <w:cantSplit/>
          <w:jc w:val="center"/>
        </w:trPr>
        <w:tc>
          <w:tcPr>
            <w:tcW w:w="1342" w:type="dxa"/>
            <w:tcBorders>
              <w:bottom w:val="nil"/>
            </w:tcBorders>
            <w:shd w:val="clear" w:color="auto" w:fill="auto"/>
          </w:tcPr>
          <w:p w14:paraId="6B77260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8.08</w:t>
            </w:r>
          </w:p>
        </w:tc>
        <w:tc>
          <w:tcPr>
            <w:tcW w:w="1458" w:type="dxa"/>
            <w:shd w:val="clear" w:color="auto" w:fill="auto"/>
          </w:tcPr>
          <w:p w14:paraId="54FA95B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8</w:t>
            </w:r>
          </w:p>
        </w:tc>
        <w:tc>
          <w:tcPr>
            <w:tcW w:w="3296" w:type="dxa"/>
            <w:shd w:val="clear" w:color="auto" w:fill="auto"/>
          </w:tcPr>
          <w:p w14:paraId="2C4F3A5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Обикновено затварящо устройство не е достатъчно за свързване на местата за баласт с осушителните тръби на трюмовете, които могат да приемат баласт</w:t>
            </w:r>
          </w:p>
        </w:tc>
        <w:tc>
          <w:tcPr>
            <w:tcW w:w="6324" w:type="dxa"/>
            <w:shd w:val="clear" w:color="auto" w:fill="auto"/>
          </w:tcPr>
          <w:p w14:paraId="767D1A4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3866025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7AA3729F" w14:textId="77777777" w:rsidTr="00C04891">
        <w:trPr>
          <w:cantSplit/>
          <w:jc w:val="center"/>
        </w:trPr>
        <w:tc>
          <w:tcPr>
            <w:tcW w:w="1342" w:type="dxa"/>
            <w:tcBorders>
              <w:top w:val="nil"/>
            </w:tcBorders>
            <w:shd w:val="clear" w:color="auto" w:fill="auto"/>
          </w:tcPr>
          <w:p w14:paraId="046C959C"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4B4365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2095C26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Измервателни устройства на дъната на трюмовете</w:t>
            </w:r>
          </w:p>
        </w:tc>
        <w:tc>
          <w:tcPr>
            <w:tcW w:w="6324" w:type="dxa"/>
            <w:shd w:val="clear" w:color="auto" w:fill="auto"/>
          </w:tcPr>
          <w:p w14:paraId="2C4FF3F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24EF89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539A225A" w14:textId="77777777" w:rsidTr="00C04891">
        <w:trPr>
          <w:cantSplit/>
          <w:jc w:val="center"/>
        </w:trPr>
        <w:tc>
          <w:tcPr>
            <w:tcW w:w="1342" w:type="dxa"/>
            <w:shd w:val="clear" w:color="auto" w:fill="auto"/>
          </w:tcPr>
          <w:p w14:paraId="6B713FA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8.09</w:t>
            </w:r>
          </w:p>
        </w:tc>
        <w:tc>
          <w:tcPr>
            <w:tcW w:w="1458" w:type="dxa"/>
            <w:shd w:val="clear" w:color="auto" w:fill="auto"/>
          </w:tcPr>
          <w:p w14:paraId="72A51B9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431FD21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Съоръжения за събиране на вода, замърсена с нефтопродукти и съхранение на отработени масла</w:t>
            </w:r>
          </w:p>
        </w:tc>
        <w:tc>
          <w:tcPr>
            <w:tcW w:w="6324" w:type="dxa"/>
            <w:shd w:val="clear" w:color="auto" w:fill="auto"/>
          </w:tcPr>
          <w:p w14:paraId="36CC51D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76B8A0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6FA6D297" w14:textId="77777777" w:rsidTr="00C04891">
        <w:trPr>
          <w:cantSplit/>
          <w:jc w:val="center"/>
        </w:trPr>
        <w:tc>
          <w:tcPr>
            <w:tcW w:w="1342" w:type="dxa"/>
            <w:shd w:val="clear" w:color="auto" w:fill="auto"/>
          </w:tcPr>
          <w:p w14:paraId="5B24B64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8.10</w:t>
            </w:r>
          </w:p>
        </w:tc>
        <w:tc>
          <w:tcPr>
            <w:tcW w:w="1458" w:type="dxa"/>
            <w:shd w:val="clear" w:color="auto" w:fill="auto"/>
          </w:tcPr>
          <w:p w14:paraId="2A729F7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0A5D270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Шум, генериран от плавателен съд в движение</w:t>
            </w:r>
          </w:p>
        </w:tc>
        <w:tc>
          <w:tcPr>
            <w:tcW w:w="6324" w:type="dxa"/>
            <w:shd w:val="clear" w:color="auto" w:fill="auto"/>
          </w:tcPr>
          <w:p w14:paraId="32AED5E4" w14:textId="77777777" w:rsidR="00271FA2" w:rsidRPr="00F06DE2" w:rsidRDefault="00D35E51">
            <w:pPr>
              <w:spacing w:line="240" w:lineRule="atLeast"/>
              <w:ind w:right="56"/>
              <w:jc w:val="both"/>
              <w:rPr>
                <w:rFonts w:ascii="Times New Roman" w:hAnsi="Times New Roman" w:cs="Times New Roman"/>
                <w:lang w:val="ru-RU"/>
              </w:rPr>
            </w:pPr>
            <w:r w:rsidRPr="00F06DE2">
              <w:rPr>
                <w:rFonts w:ascii="Times New Roman" w:hAnsi="Times New Roman" w:cs="Times New Roman"/>
                <w:lang w:val="ru-RU"/>
              </w:rPr>
              <w:t>НЗР</w:t>
            </w:r>
          </w:p>
          <w:p w14:paraId="785054F4" w14:textId="77777777" w:rsidR="00271FA2" w:rsidRPr="00F06DE2" w:rsidRDefault="00D35E51">
            <w:pPr>
              <w:spacing w:line="240" w:lineRule="atLeast"/>
              <w:ind w:right="56"/>
              <w:jc w:val="both"/>
              <w:rPr>
                <w:rFonts w:ascii="Times New Roman" w:hAnsi="Times New Roman" w:cs="Times New Roman"/>
                <w:lang w:val="ru-RU"/>
              </w:rPr>
            </w:pPr>
            <w:r w:rsidRPr="00F06DE2">
              <w:rPr>
                <w:rFonts w:ascii="Times New Roman" w:hAnsi="Times New Roman" w:cs="Times New Roman"/>
                <w:lang w:val="ru-RU"/>
              </w:rPr>
              <w:t>В случай на замяна или преустройство, плавателните съдове трябва да отговарят на следните условия:</w:t>
            </w:r>
          </w:p>
          <w:p w14:paraId="3CD81FA2" w14:textId="77777777" w:rsidR="00271FA2" w:rsidRPr="00F06DE2" w:rsidRDefault="00D35E51">
            <w:pPr>
              <w:spacing w:line="240" w:lineRule="atLeast"/>
              <w:ind w:right="56"/>
              <w:jc w:val="both"/>
              <w:rPr>
                <w:rFonts w:ascii="Times New Roman" w:hAnsi="Times New Roman" w:cs="Times New Roman"/>
                <w:lang w:val="ru-RU"/>
              </w:rPr>
            </w:pPr>
            <w:r w:rsidRPr="00F06DE2">
              <w:rPr>
                <w:rFonts w:ascii="Times New Roman" w:hAnsi="Times New Roman" w:cs="Times New Roman"/>
                <w:lang w:val="ru-RU"/>
              </w:rPr>
              <w:t xml:space="preserve">нивото на звуково налягане на шума, генериран от кораб в движение, не надвишава 75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на странично разстояние 25 </w:t>
            </w:r>
            <w:r w:rsidRPr="00F06DE2">
              <w:rPr>
                <w:rFonts w:ascii="Times New Roman" w:hAnsi="Times New Roman" w:cs="Times New Roman"/>
              </w:rPr>
              <w:t>m</w:t>
            </w:r>
            <w:r w:rsidRPr="00F06DE2">
              <w:rPr>
                <w:rFonts w:ascii="Times New Roman" w:hAnsi="Times New Roman" w:cs="Times New Roman"/>
                <w:lang w:val="ru-RU"/>
              </w:rPr>
              <w:t xml:space="preserve"> от борда на кораба.</w:t>
            </w:r>
          </w:p>
        </w:tc>
        <w:tc>
          <w:tcPr>
            <w:tcW w:w="1609" w:type="dxa"/>
            <w:shd w:val="clear" w:color="auto" w:fill="auto"/>
          </w:tcPr>
          <w:p w14:paraId="4A426198"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624FC6AD" w14:textId="77777777" w:rsidTr="00C04891">
        <w:trPr>
          <w:cantSplit/>
          <w:jc w:val="center"/>
        </w:trPr>
        <w:tc>
          <w:tcPr>
            <w:tcW w:w="1342" w:type="dxa"/>
            <w:tcBorders>
              <w:bottom w:val="single" w:sz="4" w:space="0" w:color="auto"/>
            </w:tcBorders>
            <w:shd w:val="clear" w:color="auto" w:fill="auto"/>
          </w:tcPr>
          <w:p w14:paraId="6DE9EAE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8.10</w:t>
            </w:r>
          </w:p>
        </w:tc>
        <w:tc>
          <w:tcPr>
            <w:tcW w:w="1458" w:type="dxa"/>
            <w:tcBorders>
              <w:bottom w:val="single" w:sz="4" w:space="0" w:color="auto"/>
            </w:tcBorders>
            <w:shd w:val="clear" w:color="auto" w:fill="auto"/>
          </w:tcPr>
          <w:p w14:paraId="41E5B07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tcBorders>
              <w:bottom w:val="single" w:sz="4" w:space="0" w:color="auto"/>
            </w:tcBorders>
            <w:shd w:val="clear" w:color="auto" w:fill="auto"/>
          </w:tcPr>
          <w:p w14:paraId="23AF3AD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Шум, генериран от плавателен съд, когато е неподвижен</w:t>
            </w:r>
          </w:p>
          <w:p w14:paraId="14703440" w14:textId="77777777" w:rsidR="00271FA2" w:rsidRPr="00F06DE2" w:rsidRDefault="00271FA2">
            <w:pPr>
              <w:spacing w:line="240" w:lineRule="atLeast"/>
              <w:jc w:val="both"/>
              <w:rPr>
                <w:rFonts w:ascii="Times New Roman" w:hAnsi="Times New Roman" w:cs="Times New Roman"/>
                <w:lang w:val="ru-RU"/>
              </w:rPr>
            </w:pPr>
          </w:p>
        </w:tc>
        <w:tc>
          <w:tcPr>
            <w:tcW w:w="6324" w:type="dxa"/>
            <w:tcBorders>
              <w:bottom w:val="single" w:sz="4" w:space="0" w:color="auto"/>
            </w:tcBorders>
            <w:shd w:val="clear" w:color="auto" w:fill="auto"/>
          </w:tcPr>
          <w:p w14:paraId="2F914A4D" w14:textId="77777777" w:rsidR="00271FA2" w:rsidRPr="00F06DE2" w:rsidRDefault="00D35E51">
            <w:pPr>
              <w:spacing w:line="240" w:lineRule="atLeast"/>
              <w:ind w:right="53"/>
              <w:jc w:val="both"/>
              <w:rPr>
                <w:rFonts w:ascii="Times New Roman" w:hAnsi="Times New Roman" w:cs="Times New Roman"/>
                <w:lang w:val="ru-RU"/>
              </w:rPr>
            </w:pPr>
            <w:r w:rsidRPr="00F06DE2">
              <w:rPr>
                <w:rFonts w:ascii="Times New Roman" w:hAnsi="Times New Roman" w:cs="Times New Roman"/>
                <w:lang w:val="ru-RU"/>
              </w:rPr>
              <w:t xml:space="preserve">Най-късно при подновяване на Корабното удостоверение за вътрешно корабоплаване след 30.12.2029 г., плавателните съдове трябва да отговарят на следните условия: нивото на звуковото налягане на шума, генериран от плавателен съд, когато е в неподвижен състояние, не надвишава 65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при странично разстояние от 25 </w:t>
            </w:r>
            <w:r w:rsidRPr="00F06DE2">
              <w:rPr>
                <w:rFonts w:ascii="Times New Roman" w:hAnsi="Times New Roman" w:cs="Times New Roman"/>
              </w:rPr>
              <w:t>m</w:t>
            </w:r>
            <w:r w:rsidRPr="00F06DE2">
              <w:rPr>
                <w:rFonts w:ascii="Times New Roman" w:hAnsi="Times New Roman" w:cs="Times New Roman"/>
                <w:lang w:val="ru-RU"/>
              </w:rPr>
              <w:t xml:space="preserve"> от борда на кораба.</w:t>
            </w:r>
          </w:p>
        </w:tc>
        <w:tc>
          <w:tcPr>
            <w:tcW w:w="1609" w:type="dxa"/>
            <w:tcBorders>
              <w:bottom w:val="single" w:sz="4" w:space="0" w:color="auto"/>
            </w:tcBorders>
            <w:shd w:val="clear" w:color="auto" w:fill="auto"/>
          </w:tcPr>
          <w:p w14:paraId="73DC37A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37B8BB09" w14:textId="77777777" w:rsidTr="00C04891">
        <w:trPr>
          <w:cantSplit/>
          <w:jc w:val="center"/>
        </w:trPr>
        <w:tc>
          <w:tcPr>
            <w:tcW w:w="6096" w:type="dxa"/>
            <w:gridSpan w:val="3"/>
            <w:tcBorders>
              <w:top w:val="single" w:sz="4" w:space="0" w:color="auto"/>
            </w:tcBorders>
            <w:shd w:val="clear" w:color="auto" w:fill="auto"/>
          </w:tcPr>
          <w:p w14:paraId="2985BFED"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lastRenderedPageBreak/>
              <w:t>ГЛАВА 9</w:t>
            </w:r>
          </w:p>
        </w:tc>
        <w:tc>
          <w:tcPr>
            <w:tcW w:w="6324" w:type="dxa"/>
            <w:tcBorders>
              <w:top w:val="single" w:sz="4" w:space="0" w:color="auto"/>
            </w:tcBorders>
            <w:shd w:val="clear" w:color="auto" w:fill="auto"/>
          </w:tcPr>
          <w:p w14:paraId="0B20C23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Глава 9 се прилага за двигатели със следните изключения.</w:t>
            </w:r>
          </w:p>
          <w:p w14:paraId="02C766A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 Само член 9.02 се прилага за двигатели, които вече са монтирани на борда; и</w:t>
            </w:r>
          </w:p>
          <w:p w14:paraId="36BA417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аа) неодобрен тип; или</w:t>
            </w:r>
          </w:p>
          <w:p w14:paraId="226DD3B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бб) за които не е трябвало да се провежда тест за монтаж.</w:t>
            </w:r>
          </w:p>
          <w:p w14:paraId="6A60C6E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б) Без да се засяга буква “а”, член 9.10, точка 2 се прилага само за ремонти на двигатели, извършени след 1 януари 2024 г., включително тези, извършени на двигател в експлоатация преди тази дата.</w:t>
            </w:r>
          </w:p>
          <w:p w14:paraId="1DBBBCE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 Без да се засяга буква “а”, член 9.01, точка 2 не се прилага за двигатели, монтирани преди 1 януари 2020 г., ако отговарят на разпоредбите за типово одобрение и монтаж, които са в сила към датата на монтажа.</w:t>
            </w:r>
          </w:p>
        </w:tc>
        <w:tc>
          <w:tcPr>
            <w:tcW w:w="1609" w:type="dxa"/>
            <w:tcBorders>
              <w:top w:val="single" w:sz="4" w:space="0" w:color="auto"/>
              <w:bottom w:val="nil"/>
            </w:tcBorders>
            <w:shd w:val="clear" w:color="auto" w:fill="auto"/>
          </w:tcPr>
          <w:p w14:paraId="464A9EBE" w14:textId="77777777" w:rsidR="00271FA2" w:rsidRPr="00F06DE2" w:rsidRDefault="00271FA2">
            <w:pPr>
              <w:spacing w:line="240" w:lineRule="atLeast"/>
              <w:rPr>
                <w:rFonts w:ascii="Times New Roman" w:hAnsi="Times New Roman" w:cs="Times New Roman"/>
                <w:lang w:val="ru-RU"/>
              </w:rPr>
            </w:pPr>
          </w:p>
        </w:tc>
      </w:tr>
      <w:tr w:rsidR="00271FA2" w:rsidRPr="00F06DE2" w14:paraId="72DC8BD2" w14:textId="77777777" w:rsidTr="00C04891">
        <w:trPr>
          <w:cantSplit/>
          <w:jc w:val="center"/>
        </w:trPr>
        <w:tc>
          <w:tcPr>
            <w:tcW w:w="6096" w:type="dxa"/>
            <w:gridSpan w:val="3"/>
            <w:tcBorders>
              <w:top w:val="single" w:sz="4" w:space="0" w:color="auto"/>
            </w:tcBorders>
            <w:shd w:val="clear" w:color="auto" w:fill="auto"/>
          </w:tcPr>
          <w:p w14:paraId="44EC2435"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t>ГЛАВА 10</w:t>
            </w:r>
          </w:p>
        </w:tc>
        <w:tc>
          <w:tcPr>
            <w:tcW w:w="6324" w:type="dxa"/>
            <w:tcBorders>
              <w:top w:val="single" w:sz="4" w:space="0" w:color="auto"/>
            </w:tcBorders>
            <w:shd w:val="clear" w:color="auto" w:fill="auto"/>
          </w:tcPr>
          <w:p w14:paraId="3235DA39" w14:textId="77777777" w:rsidR="00271FA2" w:rsidRPr="00F06DE2" w:rsidRDefault="00271FA2">
            <w:pPr>
              <w:spacing w:line="240" w:lineRule="atLeast"/>
              <w:jc w:val="center"/>
              <w:rPr>
                <w:rFonts w:ascii="Times New Roman" w:hAnsi="Times New Roman" w:cs="Times New Roman"/>
              </w:rPr>
            </w:pPr>
          </w:p>
        </w:tc>
        <w:tc>
          <w:tcPr>
            <w:tcW w:w="1609" w:type="dxa"/>
            <w:tcBorders>
              <w:top w:val="single" w:sz="4" w:space="0" w:color="auto"/>
            </w:tcBorders>
            <w:shd w:val="clear" w:color="auto" w:fill="auto"/>
          </w:tcPr>
          <w:p w14:paraId="570195CC" w14:textId="77777777" w:rsidR="00271FA2" w:rsidRPr="00F06DE2" w:rsidRDefault="00271FA2">
            <w:pPr>
              <w:spacing w:line="240" w:lineRule="atLeast"/>
              <w:rPr>
                <w:rFonts w:ascii="Times New Roman" w:hAnsi="Times New Roman" w:cs="Times New Roman"/>
              </w:rPr>
            </w:pPr>
          </w:p>
        </w:tc>
      </w:tr>
      <w:tr w:rsidR="00271FA2" w:rsidRPr="00F06DE2" w14:paraId="448AD107" w14:textId="77777777" w:rsidTr="00C04891">
        <w:trPr>
          <w:cantSplit/>
          <w:jc w:val="center"/>
        </w:trPr>
        <w:tc>
          <w:tcPr>
            <w:tcW w:w="1342" w:type="dxa"/>
            <w:vMerge w:val="restart"/>
            <w:shd w:val="clear" w:color="auto" w:fill="auto"/>
          </w:tcPr>
          <w:p w14:paraId="11ECF9E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10.01</w:t>
            </w:r>
          </w:p>
        </w:tc>
        <w:tc>
          <w:tcPr>
            <w:tcW w:w="1458" w:type="dxa"/>
            <w:shd w:val="clear" w:color="auto" w:fill="auto"/>
          </w:tcPr>
          <w:p w14:paraId="4B3B6A6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2-ро изречение</w:t>
            </w:r>
          </w:p>
        </w:tc>
        <w:tc>
          <w:tcPr>
            <w:tcW w:w="3296" w:type="dxa"/>
            <w:shd w:val="clear" w:color="auto" w:fill="auto"/>
          </w:tcPr>
          <w:p w14:paraId="416D012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Изискваните документи трябва да бъдат представени на контролния орган</w:t>
            </w:r>
          </w:p>
        </w:tc>
        <w:tc>
          <w:tcPr>
            <w:tcW w:w="6324" w:type="dxa"/>
            <w:shd w:val="clear" w:color="auto" w:fill="auto"/>
          </w:tcPr>
          <w:p w14:paraId="0DD2F17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70854A93" w14:textId="3DDCD0D5"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.2049 г.</w:t>
            </w:r>
          </w:p>
        </w:tc>
      </w:tr>
      <w:tr w:rsidR="00271FA2" w:rsidRPr="00F06DE2" w14:paraId="3288D8A1" w14:textId="77777777" w:rsidTr="00C04891">
        <w:trPr>
          <w:cantSplit/>
          <w:jc w:val="center"/>
        </w:trPr>
        <w:tc>
          <w:tcPr>
            <w:tcW w:w="1342" w:type="dxa"/>
            <w:vMerge/>
            <w:shd w:val="clear" w:color="auto" w:fill="auto"/>
          </w:tcPr>
          <w:p w14:paraId="1C81DB7A"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3CCD9A4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 буква “б”</w:t>
            </w:r>
          </w:p>
        </w:tc>
        <w:tc>
          <w:tcPr>
            <w:tcW w:w="3296" w:type="dxa"/>
            <w:shd w:val="clear" w:color="auto" w:fill="auto"/>
          </w:tcPr>
          <w:p w14:paraId="36A58B0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Планове на главното разпределително табло, аварийното разпределително табло и разпределителните табла</w:t>
            </w:r>
          </w:p>
        </w:tc>
        <w:tc>
          <w:tcPr>
            <w:tcW w:w="6324" w:type="dxa"/>
            <w:shd w:val="clear" w:color="auto" w:fill="auto"/>
          </w:tcPr>
          <w:p w14:paraId="07D2C26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3B792B8F" w14:textId="468943C3"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.2024 г.</w:t>
            </w:r>
          </w:p>
        </w:tc>
      </w:tr>
      <w:tr w:rsidR="00271FA2" w:rsidRPr="00F06DE2" w14:paraId="5755D4C7" w14:textId="77777777" w:rsidTr="00C04891">
        <w:trPr>
          <w:cantSplit/>
          <w:jc w:val="center"/>
        </w:trPr>
        <w:tc>
          <w:tcPr>
            <w:tcW w:w="1342" w:type="dxa"/>
            <w:vMerge/>
            <w:shd w:val="clear" w:color="auto" w:fill="auto"/>
          </w:tcPr>
          <w:p w14:paraId="46EB5D7F"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4E6EB62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 буква “д”</w:t>
            </w:r>
          </w:p>
        </w:tc>
        <w:tc>
          <w:tcPr>
            <w:tcW w:w="3296" w:type="dxa"/>
            <w:shd w:val="clear" w:color="auto" w:fill="auto"/>
          </w:tcPr>
          <w:p w14:paraId="084E573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Планове на разпределителните табла, както и документация за електрическия задвижващ двигател</w:t>
            </w:r>
          </w:p>
        </w:tc>
        <w:tc>
          <w:tcPr>
            <w:tcW w:w="6324" w:type="dxa"/>
            <w:shd w:val="clear" w:color="auto" w:fill="auto"/>
          </w:tcPr>
          <w:p w14:paraId="4074FED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36290B1" w14:textId="6787AD4C"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0DEBF12F" w14:textId="77777777" w:rsidTr="00C04891">
        <w:trPr>
          <w:cantSplit/>
          <w:jc w:val="center"/>
        </w:trPr>
        <w:tc>
          <w:tcPr>
            <w:tcW w:w="1342" w:type="dxa"/>
            <w:vMerge/>
            <w:tcBorders>
              <w:bottom w:val="nil"/>
            </w:tcBorders>
            <w:shd w:val="clear" w:color="auto" w:fill="auto"/>
          </w:tcPr>
          <w:p w14:paraId="12D0C783"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6E82B1A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 буква “е”</w:t>
            </w:r>
          </w:p>
        </w:tc>
        <w:tc>
          <w:tcPr>
            <w:tcW w:w="3296" w:type="dxa"/>
            <w:shd w:val="clear" w:color="auto" w:fill="auto"/>
          </w:tcPr>
          <w:p w14:paraId="26E6FF7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Планове на електронни системи</w:t>
            </w:r>
          </w:p>
        </w:tc>
        <w:tc>
          <w:tcPr>
            <w:tcW w:w="6324" w:type="dxa"/>
            <w:shd w:val="clear" w:color="auto" w:fill="auto"/>
          </w:tcPr>
          <w:p w14:paraId="06E2FB9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4CDB2374" w14:textId="4B6B370A"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73BEAF0C" w14:textId="77777777" w:rsidTr="00C04891">
        <w:trPr>
          <w:cantSplit/>
          <w:jc w:val="center"/>
        </w:trPr>
        <w:tc>
          <w:tcPr>
            <w:tcW w:w="1342" w:type="dxa"/>
            <w:tcBorders>
              <w:top w:val="nil"/>
              <w:bottom w:val="nil"/>
            </w:tcBorders>
            <w:shd w:val="clear" w:color="auto" w:fill="auto"/>
          </w:tcPr>
          <w:p w14:paraId="2F905BF6"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024B59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 буква “ж”</w:t>
            </w:r>
          </w:p>
        </w:tc>
        <w:tc>
          <w:tcPr>
            <w:tcW w:w="3296" w:type="dxa"/>
            <w:shd w:val="clear" w:color="auto" w:fill="auto"/>
          </w:tcPr>
          <w:p w14:paraId="2B568DA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Планове на управляващи вериги</w:t>
            </w:r>
          </w:p>
        </w:tc>
        <w:tc>
          <w:tcPr>
            <w:tcW w:w="6324" w:type="dxa"/>
            <w:shd w:val="clear" w:color="auto" w:fill="auto"/>
          </w:tcPr>
          <w:p w14:paraId="328479C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F3FF5A0" w14:textId="52FF2485"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3B1A066A" w14:textId="77777777" w:rsidTr="00C04891">
        <w:trPr>
          <w:cantSplit/>
          <w:jc w:val="center"/>
        </w:trPr>
        <w:tc>
          <w:tcPr>
            <w:tcW w:w="1342" w:type="dxa"/>
            <w:tcBorders>
              <w:top w:val="nil"/>
            </w:tcBorders>
            <w:shd w:val="clear" w:color="auto" w:fill="auto"/>
          </w:tcPr>
          <w:p w14:paraId="754E5AD7"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9FFD12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4606D5E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Температура на околната среда в помещенията и на палубата</w:t>
            </w:r>
          </w:p>
        </w:tc>
        <w:tc>
          <w:tcPr>
            <w:tcW w:w="6324" w:type="dxa"/>
            <w:shd w:val="clear" w:color="auto" w:fill="auto"/>
          </w:tcPr>
          <w:p w14:paraId="0F48BC8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7474ACE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0100BCCD" w14:textId="77777777" w:rsidTr="00C04891">
        <w:trPr>
          <w:cantSplit/>
          <w:jc w:val="center"/>
        </w:trPr>
        <w:tc>
          <w:tcPr>
            <w:tcW w:w="1342" w:type="dxa"/>
            <w:shd w:val="clear" w:color="auto" w:fill="auto"/>
          </w:tcPr>
          <w:p w14:paraId="7074EAF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10.02</w:t>
            </w:r>
          </w:p>
        </w:tc>
        <w:tc>
          <w:tcPr>
            <w:tcW w:w="1458" w:type="dxa"/>
            <w:shd w:val="clear" w:color="auto" w:fill="auto"/>
          </w:tcPr>
          <w:p w14:paraId="506628F8"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A3E910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Електрозахранващи системи</w:t>
            </w:r>
          </w:p>
        </w:tc>
        <w:tc>
          <w:tcPr>
            <w:tcW w:w="6324" w:type="dxa"/>
            <w:shd w:val="clear" w:color="auto" w:fill="auto"/>
          </w:tcPr>
          <w:p w14:paraId="4D4E98B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5B44FF3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0605E1E4" w14:textId="77777777" w:rsidTr="00C04891">
        <w:trPr>
          <w:cantSplit/>
          <w:jc w:val="center"/>
        </w:trPr>
        <w:tc>
          <w:tcPr>
            <w:tcW w:w="1342" w:type="dxa"/>
            <w:shd w:val="clear" w:color="auto" w:fill="auto"/>
          </w:tcPr>
          <w:p w14:paraId="1457BEB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10.03</w:t>
            </w:r>
          </w:p>
        </w:tc>
        <w:tc>
          <w:tcPr>
            <w:tcW w:w="1458" w:type="dxa"/>
            <w:shd w:val="clear" w:color="auto" w:fill="auto"/>
          </w:tcPr>
          <w:p w14:paraId="053B6B51"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5390A75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Вид защита в зависимост от мястото на инсталиране</w:t>
            </w:r>
          </w:p>
        </w:tc>
        <w:tc>
          <w:tcPr>
            <w:tcW w:w="6324" w:type="dxa"/>
            <w:shd w:val="clear" w:color="auto" w:fill="auto"/>
          </w:tcPr>
          <w:p w14:paraId="6F7019B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3A98767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271AFDCC" w14:textId="77777777" w:rsidTr="00C04891">
        <w:trPr>
          <w:cantSplit/>
          <w:jc w:val="center"/>
        </w:trPr>
        <w:tc>
          <w:tcPr>
            <w:tcW w:w="1342" w:type="dxa"/>
            <w:shd w:val="clear" w:color="auto" w:fill="auto"/>
          </w:tcPr>
          <w:p w14:paraId="2AB7AAD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10.04</w:t>
            </w:r>
          </w:p>
        </w:tc>
        <w:tc>
          <w:tcPr>
            <w:tcW w:w="1458" w:type="dxa"/>
            <w:shd w:val="clear" w:color="auto" w:fill="auto"/>
          </w:tcPr>
          <w:p w14:paraId="6320D63C"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DC7B27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Защита от експлозия</w:t>
            </w:r>
          </w:p>
        </w:tc>
        <w:tc>
          <w:tcPr>
            <w:tcW w:w="6324" w:type="dxa"/>
            <w:shd w:val="clear" w:color="auto" w:fill="auto"/>
          </w:tcPr>
          <w:p w14:paraId="71170E1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C84A0D6" w14:textId="43301305"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405F1D60" w14:textId="77777777" w:rsidTr="00C04891">
        <w:trPr>
          <w:cantSplit/>
          <w:jc w:val="center"/>
        </w:trPr>
        <w:tc>
          <w:tcPr>
            <w:tcW w:w="1342" w:type="dxa"/>
            <w:shd w:val="clear" w:color="auto" w:fill="auto"/>
          </w:tcPr>
          <w:p w14:paraId="51873C9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10.05</w:t>
            </w:r>
          </w:p>
        </w:tc>
        <w:tc>
          <w:tcPr>
            <w:tcW w:w="1458" w:type="dxa"/>
            <w:shd w:val="clear" w:color="auto" w:fill="auto"/>
          </w:tcPr>
          <w:p w14:paraId="4C2C89F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63B6383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Сечение на заземяващите проводници</w:t>
            </w:r>
          </w:p>
        </w:tc>
        <w:tc>
          <w:tcPr>
            <w:tcW w:w="6324" w:type="dxa"/>
            <w:shd w:val="clear" w:color="auto" w:fill="auto"/>
          </w:tcPr>
          <w:p w14:paraId="6096EA7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18AD032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5BB8573B" w14:textId="77777777" w:rsidTr="00C04891">
        <w:trPr>
          <w:cantSplit/>
          <w:jc w:val="center"/>
        </w:trPr>
        <w:tc>
          <w:tcPr>
            <w:tcW w:w="1342" w:type="dxa"/>
            <w:tcBorders>
              <w:bottom w:val="single" w:sz="4" w:space="0" w:color="auto"/>
            </w:tcBorders>
            <w:shd w:val="clear" w:color="auto" w:fill="auto"/>
          </w:tcPr>
          <w:p w14:paraId="1BF6D1C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10.06 </w:t>
            </w:r>
          </w:p>
        </w:tc>
        <w:tc>
          <w:tcPr>
            <w:tcW w:w="1458" w:type="dxa"/>
            <w:shd w:val="clear" w:color="auto" w:fill="auto"/>
          </w:tcPr>
          <w:p w14:paraId="66DA9A5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таблица</w:t>
            </w:r>
          </w:p>
        </w:tc>
        <w:tc>
          <w:tcPr>
            <w:tcW w:w="3296" w:type="dxa"/>
            <w:shd w:val="clear" w:color="auto" w:fill="auto"/>
          </w:tcPr>
          <w:p w14:paraId="6B5F7CF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Трифазен променлив ток</w:t>
            </w:r>
          </w:p>
        </w:tc>
        <w:tc>
          <w:tcPr>
            <w:tcW w:w="6324" w:type="dxa"/>
            <w:shd w:val="clear" w:color="auto" w:fill="auto"/>
          </w:tcPr>
          <w:p w14:paraId="494980D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3DFCC96" w14:textId="1367EE33"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041C9CCF" w14:textId="77777777" w:rsidTr="00C04891">
        <w:trPr>
          <w:cantSplit/>
          <w:jc w:val="center"/>
        </w:trPr>
        <w:tc>
          <w:tcPr>
            <w:tcW w:w="1342" w:type="dxa"/>
            <w:vMerge w:val="restart"/>
            <w:shd w:val="clear" w:color="auto" w:fill="auto"/>
          </w:tcPr>
          <w:p w14:paraId="49F749E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10.08</w:t>
            </w:r>
          </w:p>
        </w:tc>
        <w:tc>
          <w:tcPr>
            <w:tcW w:w="1458" w:type="dxa"/>
            <w:shd w:val="clear" w:color="auto" w:fill="auto"/>
          </w:tcPr>
          <w:p w14:paraId="2ED9EF3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79BBE15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Съответствие с </w:t>
            </w:r>
            <w:r w:rsidRPr="00F06DE2">
              <w:rPr>
                <w:rFonts w:ascii="Times New Roman" w:hAnsi="Times New Roman" w:cs="Times New Roman"/>
              </w:rPr>
              <w:t>E</w:t>
            </w:r>
            <w:r w:rsidRPr="00F06DE2">
              <w:rPr>
                <w:rFonts w:ascii="Times New Roman" w:hAnsi="Times New Roman" w:cs="Times New Roman"/>
                <w:lang w:val="ru-RU"/>
              </w:rPr>
              <w:t xml:space="preserve">вропейските стандарти </w:t>
            </w:r>
            <w:r w:rsidRPr="00F06DE2">
              <w:rPr>
                <w:rFonts w:ascii="Times New Roman" w:hAnsi="Times New Roman" w:cs="Times New Roman"/>
              </w:rPr>
              <w:t>EN</w:t>
            </w:r>
            <w:r w:rsidRPr="00F06DE2">
              <w:rPr>
                <w:rFonts w:ascii="Times New Roman" w:hAnsi="Times New Roman" w:cs="Times New Roman"/>
                <w:lang w:val="ru-RU"/>
              </w:rPr>
              <w:t xml:space="preserve"> 15869-1, </w:t>
            </w:r>
            <w:r w:rsidRPr="00F06DE2">
              <w:rPr>
                <w:rFonts w:ascii="Times New Roman" w:hAnsi="Times New Roman" w:cs="Times New Roman"/>
              </w:rPr>
              <w:t>EN</w:t>
            </w:r>
            <w:r w:rsidRPr="00F06DE2">
              <w:rPr>
                <w:rFonts w:ascii="Times New Roman" w:hAnsi="Times New Roman" w:cs="Times New Roman"/>
                <w:lang w:val="ru-RU"/>
              </w:rPr>
              <w:t xml:space="preserve"> 15869-3 и </w:t>
            </w:r>
            <w:r w:rsidRPr="00F06DE2">
              <w:rPr>
                <w:rFonts w:ascii="Times New Roman" w:hAnsi="Times New Roman" w:cs="Times New Roman"/>
              </w:rPr>
              <w:t>EN</w:t>
            </w:r>
            <w:r w:rsidRPr="00F06DE2">
              <w:rPr>
                <w:rFonts w:ascii="Times New Roman" w:hAnsi="Times New Roman" w:cs="Times New Roman"/>
                <w:lang w:val="ru-RU"/>
              </w:rPr>
              <w:t xml:space="preserve"> 16840</w:t>
            </w:r>
          </w:p>
        </w:tc>
        <w:tc>
          <w:tcPr>
            <w:tcW w:w="6324" w:type="dxa"/>
            <w:shd w:val="clear" w:color="auto" w:fill="auto"/>
          </w:tcPr>
          <w:p w14:paraId="37C0627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A8ED209" w14:textId="61FC4A18"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67178150" w14:textId="77777777" w:rsidTr="00C04891">
        <w:trPr>
          <w:cantSplit/>
          <w:jc w:val="center"/>
        </w:trPr>
        <w:tc>
          <w:tcPr>
            <w:tcW w:w="1342" w:type="dxa"/>
            <w:vMerge/>
            <w:tcBorders>
              <w:bottom w:val="single" w:sz="4" w:space="0" w:color="auto"/>
            </w:tcBorders>
            <w:shd w:val="clear" w:color="auto" w:fill="auto"/>
          </w:tcPr>
          <w:p w14:paraId="58B85623"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32CD6B9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0DA612E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Включване и изключване, когато веригата не е под напрежение</w:t>
            </w:r>
          </w:p>
        </w:tc>
        <w:tc>
          <w:tcPr>
            <w:tcW w:w="6324" w:type="dxa"/>
            <w:shd w:val="clear" w:color="auto" w:fill="auto"/>
          </w:tcPr>
          <w:p w14:paraId="373093A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D9CE559" w14:textId="09D77B2C"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09B147CF" w14:textId="77777777" w:rsidTr="00C04891">
        <w:trPr>
          <w:cantSplit/>
          <w:jc w:val="center"/>
        </w:trPr>
        <w:tc>
          <w:tcPr>
            <w:tcW w:w="1342" w:type="dxa"/>
            <w:vMerge w:val="restart"/>
            <w:shd w:val="clear" w:color="auto" w:fill="auto"/>
          </w:tcPr>
          <w:p w14:paraId="0BC8CF2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10.10 </w:t>
            </w:r>
          </w:p>
        </w:tc>
        <w:tc>
          <w:tcPr>
            <w:tcW w:w="1458" w:type="dxa"/>
            <w:shd w:val="clear" w:color="auto" w:fill="auto"/>
          </w:tcPr>
          <w:p w14:paraId="31C0C78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4BB2E87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Инсталиране на трансформатори</w:t>
            </w:r>
          </w:p>
        </w:tc>
        <w:tc>
          <w:tcPr>
            <w:tcW w:w="6324" w:type="dxa"/>
            <w:shd w:val="clear" w:color="auto" w:fill="auto"/>
          </w:tcPr>
          <w:p w14:paraId="298C40E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04A3599B" w14:textId="31196B2C"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2787921E" w14:textId="77777777" w:rsidTr="00C04891">
        <w:trPr>
          <w:cantSplit/>
          <w:jc w:val="center"/>
        </w:trPr>
        <w:tc>
          <w:tcPr>
            <w:tcW w:w="1342" w:type="dxa"/>
            <w:vMerge/>
            <w:shd w:val="clear" w:color="auto" w:fill="auto"/>
          </w:tcPr>
          <w:p w14:paraId="711C8206"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6DB5185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57748F1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Отделни първични и вторични намотки на трансформатори</w:t>
            </w:r>
          </w:p>
        </w:tc>
        <w:tc>
          <w:tcPr>
            <w:tcW w:w="6324" w:type="dxa"/>
            <w:shd w:val="clear" w:color="auto" w:fill="auto"/>
          </w:tcPr>
          <w:p w14:paraId="2DA3119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3E6C7B0" w14:textId="0EC50CA0"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.2050 г.</w:t>
            </w:r>
          </w:p>
        </w:tc>
      </w:tr>
      <w:tr w:rsidR="00271FA2" w:rsidRPr="00F06DE2" w14:paraId="47C14B2C" w14:textId="77777777" w:rsidTr="00C04891">
        <w:trPr>
          <w:cantSplit/>
          <w:jc w:val="center"/>
        </w:trPr>
        <w:tc>
          <w:tcPr>
            <w:tcW w:w="1342" w:type="dxa"/>
            <w:vMerge/>
            <w:shd w:val="clear" w:color="auto" w:fill="auto"/>
          </w:tcPr>
          <w:p w14:paraId="16FD40F3"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0CB158A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0AA30F9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Изводи на вторичните намотки на трансформатори</w:t>
            </w:r>
          </w:p>
        </w:tc>
        <w:tc>
          <w:tcPr>
            <w:tcW w:w="6324" w:type="dxa"/>
            <w:shd w:val="clear" w:color="auto" w:fill="auto"/>
          </w:tcPr>
          <w:p w14:paraId="2C9985D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8B08A96" w14:textId="051A5C6F"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.2050 г.</w:t>
            </w:r>
          </w:p>
        </w:tc>
      </w:tr>
      <w:tr w:rsidR="00271FA2" w:rsidRPr="00F06DE2" w14:paraId="25582D74" w14:textId="77777777" w:rsidTr="00C04891">
        <w:trPr>
          <w:cantSplit/>
          <w:jc w:val="center"/>
        </w:trPr>
        <w:tc>
          <w:tcPr>
            <w:tcW w:w="1342" w:type="dxa"/>
            <w:vMerge/>
            <w:tcBorders>
              <w:bottom w:val="single" w:sz="4" w:space="0" w:color="auto"/>
            </w:tcBorders>
            <w:shd w:val="clear" w:color="auto" w:fill="auto"/>
          </w:tcPr>
          <w:p w14:paraId="5D6DB70A"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513F59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79C17E7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Табела, указваща производителя и мощността на двигатели, генератори, трансформатори</w:t>
            </w:r>
          </w:p>
        </w:tc>
        <w:tc>
          <w:tcPr>
            <w:tcW w:w="6324" w:type="dxa"/>
            <w:shd w:val="clear" w:color="auto" w:fill="auto"/>
          </w:tcPr>
          <w:p w14:paraId="0F1D888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с изключение на двигателите, които попадат в Глава 9 или Регламент (ЕС) 2016/1628 или Глава 8а от Рейнските правила за инспекция на корабите.</w:t>
            </w:r>
          </w:p>
        </w:tc>
        <w:tc>
          <w:tcPr>
            <w:tcW w:w="1609" w:type="dxa"/>
            <w:shd w:val="clear" w:color="auto" w:fill="auto"/>
          </w:tcPr>
          <w:p w14:paraId="7B0C63A8"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341694CF" w14:textId="77777777" w:rsidTr="00C04891">
        <w:trPr>
          <w:cantSplit/>
          <w:jc w:val="center"/>
        </w:trPr>
        <w:tc>
          <w:tcPr>
            <w:tcW w:w="1342" w:type="dxa"/>
            <w:vMerge w:val="restart"/>
            <w:shd w:val="clear" w:color="auto" w:fill="auto"/>
          </w:tcPr>
          <w:p w14:paraId="42D473B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10.11 </w:t>
            </w:r>
          </w:p>
        </w:tc>
        <w:tc>
          <w:tcPr>
            <w:tcW w:w="1458" w:type="dxa"/>
            <w:shd w:val="clear" w:color="auto" w:fill="auto"/>
          </w:tcPr>
          <w:p w14:paraId="6B67EC4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0CE02D7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Вентилация на сервизни помещения и шкафове към откритата палуба</w:t>
            </w:r>
          </w:p>
        </w:tc>
        <w:tc>
          <w:tcPr>
            <w:tcW w:w="6324" w:type="dxa"/>
            <w:shd w:val="clear" w:color="auto" w:fill="auto"/>
          </w:tcPr>
          <w:p w14:paraId="0F3E228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5DC044A7"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468E298F" w14:textId="77777777" w:rsidTr="00C04891">
        <w:trPr>
          <w:cantSplit/>
          <w:jc w:val="center"/>
        </w:trPr>
        <w:tc>
          <w:tcPr>
            <w:tcW w:w="1342" w:type="dxa"/>
            <w:vMerge/>
            <w:shd w:val="clear" w:color="auto" w:fill="auto"/>
          </w:tcPr>
          <w:p w14:paraId="61579061" w14:textId="77777777" w:rsidR="00271FA2" w:rsidRPr="00F06DE2" w:rsidRDefault="00271FA2">
            <w:pPr>
              <w:spacing w:line="240" w:lineRule="atLeast"/>
              <w:jc w:val="both"/>
              <w:rPr>
                <w:rFonts w:ascii="Times New Roman" w:hAnsi="Times New Roman" w:cs="Times New Roman"/>
                <w:lang w:val="ru-RU"/>
              </w:rPr>
            </w:pPr>
          </w:p>
        </w:tc>
        <w:tc>
          <w:tcPr>
            <w:tcW w:w="1458" w:type="dxa"/>
            <w:shd w:val="clear" w:color="auto" w:fill="auto"/>
          </w:tcPr>
          <w:p w14:paraId="774AC88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0AFAF2F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Вентилация на затворени помещения, шкафове или кутии, в които са монтирани акумулатори</w:t>
            </w:r>
          </w:p>
        </w:tc>
        <w:tc>
          <w:tcPr>
            <w:tcW w:w="6324" w:type="dxa"/>
            <w:shd w:val="clear" w:color="auto" w:fill="auto"/>
          </w:tcPr>
          <w:p w14:paraId="5847384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3F47F4FB"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7A0CFD93" w14:textId="77777777" w:rsidTr="00C04891">
        <w:trPr>
          <w:cantSplit/>
          <w:jc w:val="center"/>
        </w:trPr>
        <w:tc>
          <w:tcPr>
            <w:tcW w:w="1342" w:type="dxa"/>
            <w:vMerge/>
            <w:shd w:val="clear" w:color="auto" w:fill="auto"/>
          </w:tcPr>
          <w:p w14:paraId="56DD2DC3" w14:textId="77777777" w:rsidR="00271FA2" w:rsidRPr="00F06DE2" w:rsidRDefault="00271FA2">
            <w:pPr>
              <w:spacing w:line="240" w:lineRule="atLeast"/>
              <w:rPr>
                <w:rFonts w:ascii="Times New Roman" w:hAnsi="Times New Roman" w:cs="Times New Roman"/>
                <w:lang w:val="ru-RU"/>
              </w:rPr>
            </w:pPr>
          </w:p>
        </w:tc>
        <w:tc>
          <w:tcPr>
            <w:tcW w:w="1458" w:type="dxa"/>
            <w:shd w:val="clear" w:color="auto" w:fill="auto"/>
          </w:tcPr>
          <w:p w14:paraId="7E31715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12</w:t>
            </w:r>
          </w:p>
        </w:tc>
        <w:tc>
          <w:tcPr>
            <w:tcW w:w="3296" w:type="dxa"/>
            <w:shd w:val="clear" w:color="auto" w:fill="auto"/>
          </w:tcPr>
          <w:p w14:paraId="49D73A0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Измерване на зарядни устройства</w:t>
            </w:r>
          </w:p>
        </w:tc>
        <w:tc>
          <w:tcPr>
            <w:tcW w:w="6324" w:type="dxa"/>
            <w:shd w:val="clear" w:color="auto" w:fill="auto"/>
          </w:tcPr>
          <w:p w14:paraId="60DAFE5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4C5BD526" w14:textId="02AC9C3B"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2D66EE45" w14:textId="77777777" w:rsidTr="00C04891">
        <w:trPr>
          <w:cantSplit/>
          <w:jc w:val="center"/>
        </w:trPr>
        <w:tc>
          <w:tcPr>
            <w:tcW w:w="1342" w:type="dxa"/>
            <w:vMerge/>
            <w:shd w:val="clear" w:color="auto" w:fill="auto"/>
          </w:tcPr>
          <w:p w14:paraId="5F68EA62"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6F4A6B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02AC90A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Автоматични зарядни устройства</w:t>
            </w:r>
          </w:p>
        </w:tc>
        <w:tc>
          <w:tcPr>
            <w:tcW w:w="6324" w:type="dxa"/>
            <w:shd w:val="clear" w:color="auto" w:fill="auto"/>
          </w:tcPr>
          <w:p w14:paraId="313605C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0089469F" w14:textId="702F0A31"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481797BF" w14:textId="77777777" w:rsidTr="00C04891">
        <w:trPr>
          <w:cantSplit/>
          <w:jc w:val="center"/>
        </w:trPr>
        <w:tc>
          <w:tcPr>
            <w:tcW w:w="1342" w:type="dxa"/>
            <w:vMerge/>
            <w:shd w:val="clear" w:color="auto" w:fill="auto"/>
          </w:tcPr>
          <w:p w14:paraId="60CFA2DC"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18A7B67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14</w:t>
            </w:r>
          </w:p>
        </w:tc>
        <w:tc>
          <w:tcPr>
            <w:tcW w:w="3296" w:type="dxa"/>
            <w:shd w:val="clear" w:color="auto" w:fill="auto"/>
          </w:tcPr>
          <w:p w14:paraId="750EC70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Максимално напрежение на зареждане</w:t>
            </w:r>
          </w:p>
        </w:tc>
        <w:tc>
          <w:tcPr>
            <w:tcW w:w="6324" w:type="dxa"/>
            <w:shd w:val="clear" w:color="auto" w:fill="auto"/>
          </w:tcPr>
          <w:p w14:paraId="52F6E17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4345E6E" w14:textId="78B533DB"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63515848" w14:textId="77777777" w:rsidTr="00C04891">
        <w:trPr>
          <w:cantSplit/>
          <w:jc w:val="center"/>
        </w:trPr>
        <w:tc>
          <w:tcPr>
            <w:tcW w:w="1342" w:type="dxa"/>
            <w:vMerge w:val="restart"/>
            <w:shd w:val="clear" w:color="auto" w:fill="auto"/>
          </w:tcPr>
          <w:p w14:paraId="4C2568E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10.11</w:t>
            </w:r>
          </w:p>
          <w:p w14:paraId="5236630C" w14:textId="77777777" w:rsidR="00271FA2" w:rsidRPr="00F06DE2" w:rsidRDefault="00271FA2">
            <w:pPr>
              <w:spacing w:line="240" w:lineRule="atLeast"/>
              <w:jc w:val="both"/>
              <w:rPr>
                <w:rFonts w:ascii="Times New Roman" w:hAnsi="Times New Roman" w:cs="Times New Roman"/>
              </w:rPr>
            </w:pPr>
          </w:p>
          <w:p w14:paraId="0B82AA3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10.11</w:t>
            </w:r>
          </w:p>
          <w:p w14:paraId="2EC9A8B3" w14:textId="77777777" w:rsidR="00271FA2" w:rsidRPr="00F06DE2" w:rsidRDefault="00271FA2">
            <w:pPr>
              <w:spacing w:line="240" w:lineRule="atLeast"/>
              <w:jc w:val="both"/>
              <w:rPr>
                <w:rFonts w:ascii="Times New Roman" w:hAnsi="Times New Roman" w:cs="Times New Roman"/>
              </w:rPr>
            </w:pPr>
          </w:p>
          <w:p w14:paraId="095999E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10.12</w:t>
            </w:r>
          </w:p>
        </w:tc>
        <w:tc>
          <w:tcPr>
            <w:tcW w:w="1458" w:type="dxa"/>
            <w:shd w:val="clear" w:color="auto" w:fill="auto"/>
          </w:tcPr>
          <w:p w14:paraId="4D71A8E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15</w:t>
            </w:r>
          </w:p>
        </w:tc>
        <w:tc>
          <w:tcPr>
            <w:tcW w:w="3296" w:type="dxa"/>
            <w:shd w:val="clear" w:color="auto" w:fill="auto"/>
          </w:tcPr>
          <w:p w14:paraId="1C688C8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Стандарти </w:t>
            </w:r>
            <w:r w:rsidRPr="00F06DE2">
              <w:rPr>
                <w:rFonts w:ascii="Times New Roman" w:hAnsi="Times New Roman" w:cs="Times New Roman"/>
              </w:rPr>
              <w:t>EN</w:t>
            </w:r>
            <w:r w:rsidRPr="00F06DE2">
              <w:rPr>
                <w:rFonts w:ascii="Times New Roman" w:hAnsi="Times New Roman" w:cs="Times New Roman"/>
                <w:lang w:val="ru-RU"/>
              </w:rPr>
              <w:t xml:space="preserve"> 62619 и </w:t>
            </w:r>
            <w:r w:rsidRPr="00F06DE2">
              <w:rPr>
                <w:rFonts w:ascii="Times New Roman" w:hAnsi="Times New Roman" w:cs="Times New Roman"/>
              </w:rPr>
              <w:t>EN</w:t>
            </w:r>
            <w:r w:rsidRPr="00F06DE2">
              <w:rPr>
                <w:rFonts w:ascii="Times New Roman" w:hAnsi="Times New Roman" w:cs="Times New Roman"/>
                <w:lang w:val="ru-RU"/>
              </w:rPr>
              <w:t xml:space="preserve"> 62620 за литиево-йонни акумулатори</w:t>
            </w:r>
          </w:p>
        </w:tc>
        <w:tc>
          <w:tcPr>
            <w:tcW w:w="6324" w:type="dxa"/>
            <w:shd w:val="clear" w:color="auto" w:fill="auto"/>
          </w:tcPr>
          <w:p w14:paraId="71E46AF0" w14:textId="1C283225" w:rsidR="00271FA2" w:rsidRPr="00F06DE2" w:rsidRDefault="006D4FED" w:rsidP="00BF2ABC">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Литиево-йонните акумулатори, инсталирани преди </w:t>
            </w:r>
            <w:r w:rsidR="002931B7" w:rsidRPr="00F06DE2">
              <w:rPr>
                <w:rFonts w:ascii="Times New Roman" w:hAnsi="Times New Roman" w:cs="Times New Roman"/>
                <w:lang w:val="ru-RU"/>
              </w:rPr>
              <w:t>0</w:t>
            </w:r>
            <w:r w:rsidRPr="00F06DE2">
              <w:rPr>
                <w:rFonts w:ascii="Times New Roman" w:hAnsi="Times New Roman" w:cs="Times New Roman"/>
                <w:lang w:val="ru-RU"/>
              </w:rPr>
              <w:t xml:space="preserve">7.10.2018 г., трябва да отговарят на изискванията на европейските стандарти </w:t>
            </w:r>
            <w:r w:rsidRPr="00F06DE2">
              <w:rPr>
                <w:rFonts w:ascii="Times New Roman" w:hAnsi="Times New Roman" w:cs="Times New Roman"/>
              </w:rPr>
              <w:t>EN</w:t>
            </w:r>
            <w:r w:rsidRPr="00F06DE2">
              <w:rPr>
                <w:rFonts w:ascii="Times New Roman" w:hAnsi="Times New Roman" w:cs="Times New Roman"/>
                <w:lang w:val="ru-RU"/>
              </w:rPr>
              <w:t xml:space="preserve"> 62619 и </w:t>
            </w:r>
            <w:r w:rsidRPr="00F06DE2">
              <w:rPr>
                <w:rFonts w:ascii="Times New Roman" w:hAnsi="Times New Roman" w:cs="Times New Roman"/>
              </w:rPr>
              <w:t>EN</w:t>
            </w:r>
            <w:r w:rsidRPr="00F06DE2">
              <w:rPr>
                <w:rFonts w:ascii="Times New Roman" w:hAnsi="Times New Roman" w:cs="Times New Roman"/>
                <w:lang w:val="ru-RU"/>
              </w:rPr>
              <w:t xml:space="preserve"> 62620</w:t>
            </w:r>
            <w:r w:rsidR="00D35E51" w:rsidRPr="00F06DE2">
              <w:rPr>
                <w:rFonts w:ascii="Times New Roman" w:hAnsi="Times New Roman" w:cs="Times New Roman"/>
                <w:lang w:val="ru-RU"/>
              </w:rPr>
              <w:t>най-късно при подновяване на Корабното удостоверение за вътрешно корабоплаване след</w:t>
            </w:r>
          </w:p>
        </w:tc>
        <w:tc>
          <w:tcPr>
            <w:tcW w:w="1609" w:type="dxa"/>
            <w:shd w:val="clear" w:color="auto" w:fill="auto"/>
          </w:tcPr>
          <w:p w14:paraId="62E76D1A" w14:textId="5AA290F5" w:rsidR="00271FA2" w:rsidRPr="00F06DE2" w:rsidRDefault="002931B7" w:rsidP="00BF2ABC">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w:t>
            </w:r>
            <w:r w:rsidR="00F07988" w:rsidRPr="00F06DE2">
              <w:rPr>
                <w:rFonts w:ascii="Times New Roman" w:hAnsi="Times New Roman" w:cs="Times New Roman"/>
              </w:rPr>
              <w:t xml:space="preserve">2028 </w:t>
            </w:r>
            <w:r w:rsidR="00D35E51" w:rsidRPr="00F06DE2">
              <w:rPr>
                <w:rFonts w:ascii="Times New Roman" w:hAnsi="Times New Roman" w:cs="Times New Roman"/>
              </w:rPr>
              <w:t>г.</w:t>
            </w:r>
          </w:p>
        </w:tc>
      </w:tr>
      <w:tr w:rsidR="00271FA2" w:rsidRPr="00F06DE2" w14:paraId="006CF787" w14:textId="77777777" w:rsidTr="00C04891">
        <w:trPr>
          <w:cantSplit/>
          <w:jc w:val="center"/>
        </w:trPr>
        <w:tc>
          <w:tcPr>
            <w:tcW w:w="1342" w:type="dxa"/>
            <w:vMerge/>
            <w:shd w:val="clear" w:color="auto" w:fill="auto"/>
          </w:tcPr>
          <w:p w14:paraId="42B4BA31" w14:textId="77777777" w:rsidR="00271FA2" w:rsidRPr="00F06DE2" w:rsidRDefault="00271FA2">
            <w:pPr>
              <w:spacing w:line="240" w:lineRule="atLeast"/>
              <w:rPr>
                <w:rFonts w:ascii="Times New Roman" w:hAnsi="Times New Roman" w:cs="Times New Roman"/>
              </w:rPr>
            </w:pPr>
          </w:p>
        </w:tc>
        <w:tc>
          <w:tcPr>
            <w:tcW w:w="1458" w:type="dxa"/>
            <w:shd w:val="clear" w:color="auto" w:fill="auto"/>
            <w:vAlign w:val="center"/>
          </w:tcPr>
          <w:p w14:paraId="2A57C33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16</w:t>
            </w:r>
          </w:p>
        </w:tc>
        <w:tc>
          <w:tcPr>
            <w:tcW w:w="3296" w:type="dxa"/>
            <w:shd w:val="clear" w:color="auto" w:fill="auto"/>
          </w:tcPr>
          <w:p w14:paraId="03E7FD0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Система за управление на акумулатор</w:t>
            </w:r>
          </w:p>
        </w:tc>
        <w:tc>
          <w:tcPr>
            <w:tcW w:w="6324" w:type="dxa"/>
            <w:shd w:val="clear" w:color="auto" w:fill="auto"/>
          </w:tcPr>
          <w:p w14:paraId="75E2C14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71E4C97" w14:textId="6E57097F"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672798D7" w14:textId="77777777" w:rsidTr="00C04891">
        <w:trPr>
          <w:cantSplit/>
          <w:jc w:val="center"/>
        </w:trPr>
        <w:tc>
          <w:tcPr>
            <w:tcW w:w="1342" w:type="dxa"/>
            <w:vMerge/>
            <w:shd w:val="clear" w:color="auto" w:fill="auto"/>
          </w:tcPr>
          <w:p w14:paraId="6F60B222"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6B9EB61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1, 2, 3 буква “а”, 4 - 10</w:t>
            </w:r>
          </w:p>
        </w:tc>
        <w:tc>
          <w:tcPr>
            <w:tcW w:w="3296" w:type="dxa"/>
            <w:shd w:val="clear" w:color="auto" w:fill="auto"/>
          </w:tcPr>
          <w:p w14:paraId="42BD745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Комутационни и контролни устройства</w:t>
            </w:r>
          </w:p>
        </w:tc>
        <w:tc>
          <w:tcPr>
            <w:tcW w:w="6324" w:type="dxa"/>
            <w:shd w:val="clear" w:color="auto" w:fill="auto"/>
          </w:tcPr>
          <w:p w14:paraId="7925068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1C78F3A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1659AE0F" w14:textId="77777777" w:rsidTr="00C04891">
        <w:trPr>
          <w:cantSplit/>
          <w:jc w:val="center"/>
        </w:trPr>
        <w:tc>
          <w:tcPr>
            <w:tcW w:w="1342" w:type="dxa"/>
            <w:vMerge/>
            <w:shd w:val="clear" w:color="auto" w:fill="auto"/>
          </w:tcPr>
          <w:p w14:paraId="751F6E22"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1D0FC1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буква “б”</w:t>
            </w:r>
          </w:p>
        </w:tc>
        <w:tc>
          <w:tcPr>
            <w:tcW w:w="3296" w:type="dxa"/>
            <w:shd w:val="clear" w:color="auto" w:fill="auto"/>
          </w:tcPr>
          <w:p w14:paraId="59650F2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Устройство за следене на изолацията, оборудвано с оптична и звукова аларма</w:t>
            </w:r>
          </w:p>
        </w:tc>
        <w:tc>
          <w:tcPr>
            <w:tcW w:w="6324" w:type="dxa"/>
            <w:shd w:val="clear" w:color="auto" w:fill="auto"/>
          </w:tcPr>
          <w:p w14:paraId="1502EF2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2C9CCC6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7B0D11C8" w14:textId="77777777" w:rsidTr="00C04891">
        <w:trPr>
          <w:cantSplit/>
          <w:jc w:val="center"/>
        </w:trPr>
        <w:tc>
          <w:tcPr>
            <w:tcW w:w="1342" w:type="dxa"/>
            <w:tcBorders>
              <w:bottom w:val="single" w:sz="4" w:space="0" w:color="auto"/>
            </w:tcBorders>
            <w:shd w:val="clear" w:color="auto" w:fill="auto"/>
          </w:tcPr>
          <w:p w14:paraId="097742D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10.13</w:t>
            </w:r>
          </w:p>
        </w:tc>
        <w:tc>
          <w:tcPr>
            <w:tcW w:w="1458" w:type="dxa"/>
            <w:shd w:val="clear" w:color="auto" w:fill="auto"/>
          </w:tcPr>
          <w:p w14:paraId="3F4C7106"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298C61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Аварийни прекъсвачи</w:t>
            </w:r>
          </w:p>
        </w:tc>
        <w:tc>
          <w:tcPr>
            <w:tcW w:w="6324" w:type="dxa"/>
            <w:shd w:val="clear" w:color="auto" w:fill="auto"/>
          </w:tcPr>
          <w:p w14:paraId="69F5966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0D97290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462F1D98" w14:textId="77777777" w:rsidTr="00C04891">
        <w:trPr>
          <w:cantSplit/>
          <w:jc w:val="center"/>
        </w:trPr>
        <w:tc>
          <w:tcPr>
            <w:tcW w:w="1342" w:type="dxa"/>
            <w:tcBorders>
              <w:bottom w:val="nil"/>
            </w:tcBorders>
            <w:shd w:val="clear" w:color="auto" w:fill="auto"/>
          </w:tcPr>
          <w:p w14:paraId="3F70209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10.14 </w:t>
            </w:r>
          </w:p>
        </w:tc>
        <w:tc>
          <w:tcPr>
            <w:tcW w:w="1458" w:type="dxa"/>
            <w:shd w:val="clear" w:color="auto" w:fill="auto"/>
          </w:tcPr>
          <w:p w14:paraId="4BA003B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2-ро изречение</w:t>
            </w:r>
          </w:p>
        </w:tc>
        <w:tc>
          <w:tcPr>
            <w:tcW w:w="3296" w:type="dxa"/>
            <w:shd w:val="clear" w:color="auto" w:fill="auto"/>
          </w:tcPr>
          <w:p w14:paraId="54BB9E22" w14:textId="58795A61" w:rsidR="00271FA2" w:rsidRPr="00F06DE2" w:rsidRDefault="00A71FC1">
            <w:pPr>
              <w:spacing w:line="240" w:lineRule="atLeast"/>
              <w:jc w:val="both"/>
              <w:rPr>
                <w:rFonts w:ascii="Times New Roman" w:hAnsi="Times New Roman" w:cs="Times New Roman"/>
                <w:lang w:val="ru-RU"/>
              </w:rPr>
            </w:pPr>
            <w:r w:rsidRPr="00F06DE2">
              <w:rPr>
                <w:rFonts w:ascii="Times New Roman" w:hAnsi="Times New Roman" w:cs="Times New Roman"/>
                <w:lang w:val="ru-RU"/>
              </w:rPr>
              <w:t>Забрана за еднополюсни прекъсвачи в перални, тоалетни и други помещения с мокри съоръжения</w:t>
            </w:r>
          </w:p>
        </w:tc>
        <w:tc>
          <w:tcPr>
            <w:tcW w:w="6324" w:type="dxa"/>
            <w:shd w:val="clear" w:color="auto" w:fill="auto"/>
          </w:tcPr>
          <w:p w14:paraId="3CAE549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06F027A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38B77CF2" w14:textId="77777777" w:rsidTr="00C04891">
        <w:trPr>
          <w:cantSplit/>
          <w:jc w:val="center"/>
        </w:trPr>
        <w:tc>
          <w:tcPr>
            <w:tcW w:w="1342" w:type="dxa"/>
            <w:vMerge w:val="restart"/>
            <w:shd w:val="clear" w:color="auto" w:fill="auto"/>
          </w:tcPr>
          <w:p w14:paraId="188F32D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10.15 </w:t>
            </w:r>
          </w:p>
        </w:tc>
        <w:tc>
          <w:tcPr>
            <w:tcW w:w="1458" w:type="dxa"/>
            <w:shd w:val="clear" w:color="auto" w:fill="auto"/>
          </w:tcPr>
          <w:p w14:paraId="489DA3F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62A90AD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Минимално напречно сечение от 1,5 </w:t>
            </w:r>
            <w:r w:rsidRPr="00F06DE2">
              <w:rPr>
                <w:rFonts w:ascii="Times New Roman" w:hAnsi="Times New Roman" w:cs="Times New Roman"/>
              </w:rPr>
              <w:t>mm</w:t>
            </w:r>
            <w:r w:rsidRPr="00F06DE2">
              <w:rPr>
                <w:rFonts w:ascii="Times New Roman" w:hAnsi="Times New Roman" w:cs="Times New Roman"/>
                <w:vertAlign w:val="superscript"/>
                <w:lang w:val="ru-RU"/>
              </w:rPr>
              <w:t>2</w:t>
            </w:r>
            <w:r w:rsidRPr="00F06DE2">
              <w:rPr>
                <w:rFonts w:ascii="Times New Roman" w:hAnsi="Times New Roman" w:cs="Times New Roman"/>
                <w:lang w:val="ru-RU"/>
              </w:rPr>
              <w:t xml:space="preserve"> на проводник</w:t>
            </w:r>
          </w:p>
        </w:tc>
        <w:tc>
          <w:tcPr>
            <w:tcW w:w="6324" w:type="dxa"/>
            <w:shd w:val="clear" w:color="auto" w:fill="auto"/>
          </w:tcPr>
          <w:p w14:paraId="0A126D9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00041C1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342FC262" w14:textId="77777777" w:rsidTr="00C04891">
        <w:trPr>
          <w:cantSplit/>
          <w:jc w:val="center"/>
        </w:trPr>
        <w:tc>
          <w:tcPr>
            <w:tcW w:w="1342" w:type="dxa"/>
            <w:vMerge/>
            <w:shd w:val="clear" w:color="auto" w:fill="auto"/>
          </w:tcPr>
          <w:p w14:paraId="724125C8"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4853578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10</w:t>
            </w:r>
          </w:p>
        </w:tc>
        <w:tc>
          <w:tcPr>
            <w:tcW w:w="3296" w:type="dxa"/>
            <w:shd w:val="clear" w:color="auto" w:fill="auto"/>
          </w:tcPr>
          <w:p w14:paraId="4050AE6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Кабели, свързани с издигащи се рулеви рубки</w:t>
            </w:r>
          </w:p>
        </w:tc>
        <w:tc>
          <w:tcPr>
            <w:tcW w:w="6324" w:type="dxa"/>
            <w:shd w:val="clear" w:color="auto" w:fill="auto"/>
          </w:tcPr>
          <w:p w14:paraId="72407F2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2F5A3F0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119DB4AD" w14:textId="77777777" w:rsidTr="00C04891">
        <w:trPr>
          <w:cantSplit/>
          <w:jc w:val="center"/>
        </w:trPr>
        <w:tc>
          <w:tcPr>
            <w:tcW w:w="1342" w:type="dxa"/>
            <w:vMerge/>
            <w:shd w:val="clear" w:color="auto" w:fill="auto"/>
          </w:tcPr>
          <w:p w14:paraId="27410C36"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057E289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11</w:t>
            </w:r>
          </w:p>
        </w:tc>
        <w:tc>
          <w:tcPr>
            <w:tcW w:w="3296" w:type="dxa"/>
            <w:shd w:val="clear" w:color="auto" w:fill="auto"/>
          </w:tcPr>
          <w:p w14:paraId="53E812C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Oтвори за кабелния сноп</w:t>
            </w:r>
          </w:p>
        </w:tc>
        <w:tc>
          <w:tcPr>
            <w:tcW w:w="6324" w:type="dxa"/>
            <w:shd w:val="clear" w:color="auto" w:fill="auto"/>
          </w:tcPr>
          <w:p w14:paraId="09263C8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AED0320" w14:textId="1991502C" w:rsidR="00271FA2" w:rsidRPr="00F06DE2" w:rsidRDefault="002931B7" w:rsidP="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4AC2EFAC" w14:textId="77777777" w:rsidTr="00C04891">
        <w:trPr>
          <w:cantSplit/>
          <w:jc w:val="center"/>
        </w:trPr>
        <w:tc>
          <w:tcPr>
            <w:tcW w:w="1342" w:type="dxa"/>
            <w:vMerge/>
            <w:shd w:val="clear" w:color="auto" w:fill="auto"/>
          </w:tcPr>
          <w:p w14:paraId="6A29005A"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41FF5CA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12</w:t>
            </w:r>
          </w:p>
        </w:tc>
        <w:tc>
          <w:tcPr>
            <w:tcW w:w="3296" w:type="dxa"/>
            <w:shd w:val="clear" w:color="auto" w:fill="auto"/>
          </w:tcPr>
          <w:p w14:paraId="7C934CD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Кабели от авариен източник на електроенергия до потребителско оборудване</w:t>
            </w:r>
          </w:p>
        </w:tc>
        <w:tc>
          <w:tcPr>
            <w:tcW w:w="6324" w:type="dxa"/>
            <w:shd w:val="clear" w:color="auto" w:fill="auto"/>
          </w:tcPr>
          <w:p w14:paraId="39F78E7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921A4FA" w14:textId="0F982EA9"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775C0374" w14:textId="77777777" w:rsidTr="00C04891">
        <w:trPr>
          <w:cantSplit/>
          <w:jc w:val="center"/>
        </w:trPr>
        <w:tc>
          <w:tcPr>
            <w:tcW w:w="1342" w:type="dxa"/>
            <w:vMerge/>
            <w:shd w:val="clear" w:color="auto" w:fill="auto"/>
          </w:tcPr>
          <w:p w14:paraId="3371860E"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2530A87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56BCC8B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Кабел в области с високи температури на околната среда</w:t>
            </w:r>
          </w:p>
        </w:tc>
        <w:tc>
          <w:tcPr>
            <w:tcW w:w="6324" w:type="dxa"/>
            <w:shd w:val="clear" w:color="auto" w:fill="auto"/>
          </w:tcPr>
          <w:p w14:paraId="236CA6E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A4C2CB6" w14:textId="7B68D33E"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3BF417E7" w14:textId="77777777" w:rsidTr="00C04891">
        <w:trPr>
          <w:cantSplit/>
          <w:jc w:val="center"/>
        </w:trPr>
        <w:tc>
          <w:tcPr>
            <w:tcW w:w="1342" w:type="dxa"/>
            <w:vMerge/>
            <w:shd w:val="clear" w:color="auto" w:fill="auto"/>
          </w:tcPr>
          <w:p w14:paraId="1FFD61F8"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6A41F1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14</w:t>
            </w:r>
          </w:p>
        </w:tc>
        <w:tc>
          <w:tcPr>
            <w:tcW w:w="3296" w:type="dxa"/>
            <w:shd w:val="clear" w:color="auto" w:fill="auto"/>
          </w:tcPr>
          <w:p w14:paraId="71489CF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Монтаж на основни и аварийни захранващи кабели</w:t>
            </w:r>
          </w:p>
        </w:tc>
        <w:tc>
          <w:tcPr>
            <w:tcW w:w="6324" w:type="dxa"/>
            <w:shd w:val="clear" w:color="auto" w:fill="auto"/>
          </w:tcPr>
          <w:p w14:paraId="09BA04F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405C9CB1" w14:textId="3F436B16"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3939B9E7" w14:textId="77777777" w:rsidTr="00C04891">
        <w:trPr>
          <w:cantSplit/>
          <w:jc w:val="center"/>
        </w:trPr>
        <w:tc>
          <w:tcPr>
            <w:tcW w:w="1342" w:type="dxa"/>
            <w:shd w:val="clear" w:color="auto" w:fill="auto"/>
          </w:tcPr>
          <w:p w14:paraId="1E45DE7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10.16 </w:t>
            </w:r>
          </w:p>
        </w:tc>
        <w:tc>
          <w:tcPr>
            <w:tcW w:w="1458" w:type="dxa"/>
            <w:shd w:val="clear" w:color="auto" w:fill="auto"/>
          </w:tcPr>
          <w:p w14:paraId="797399F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2-ро изречение</w:t>
            </w:r>
          </w:p>
        </w:tc>
        <w:tc>
          <w:tcPr>
            <w:tcW w:w="3296" w:type="dxa"/>
            <w:shd w:val="clear" w:color="auto" w:fill="auto"/>
          </w:tcPr>
          <w:p w14:paraId="62E6C82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Втора верига</w:t>
            </w:r>
          </w:p>
        </w:tc>
        <w:tc>
          <w:tcPr>
            <w:tcW w:w="6324" w:type="dxa"/>
            <w:shd w:val="clear" w:color="auto" w:fill="auto"/>
          </w:tcPr>
          <w:p w14:paraId="4A98C91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62678A8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1A248FBB" w14:textId="77777777" w:rsidTr="00C04891">
        <w:trPr>
          <w:cantSplit/>
          <w:jc w:val="center"/>
        </w:trPr>
        <w:tc>
          <w:tcPr>
            <w:tcW w:w="1342" w:type="dxa"/>
            <w:vMerge w:val="restart"/>
            <w:shd w:val="clear" w:color="auto" w:fill="auto"/>
          </w:tcPr>
          <w:p w14:paraId="769DA57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10.18 </w:t>
            </w:r>
          </w:p>
        </w:tc>
        <w:tc>
          <w:tcPr>
            <w:tcW w:w="1458" w:type="dxa"/>
            <w:shd w:val="clear" w:color="auto" w:fill="auto"/>
          </w:tcPr>
          <w:p w14:paraId="18E28CB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463C4BE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Устройство за изключване от електрическата мрежа</w:t>
            </w:r>
          </w:p>
        </w:tc>
        <w:tc>
          <w:tcPr>
            <w:tcW w:w="6324" w:type="dxa"/>
            <w:shd w:val="clear" w:color="auto" w:fill="auto"/>
          </w:tcPr>
          <w:p w14:paraId="1237A79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7C25362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Наследените системи за защита могат да останат в употреба, ако бъде потвърдено от експерт, че те предлагат сравнима защита.</w:t>
            </w:r>
          </w:p>
        </w:tc>
        <w:tc>
          <w:tcPr>
            <w:tcW w:w="1609" w:type="dxa"/>
            <w:shd w:val="clear" w:color="auto" w:fill="auto"/>
          </w:tcPr>
          <w:p w14:paraId="3A9C52E3" w14:textId="43FD718A"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6816A533" w14:textId="77777777" w:rsidTr="00C04891">
        <w:trPr>
          <w:cantSplit/>
          <w:jc w:val="center"/>
        </w:trPr>
        <w:tc>
          <w:tcPr>
            <w:tcW w:w="1342" w:type="dxa"/>
            <w:vMerge/>
            <w:shd w:val="clear" w:color="auto" w:fill="auto"/>
          </w:tcPr>
          <w:p w14:paraId="07AAB46E"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3AD89BF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22E4B29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Достъпност</w:t>
            </w:r>
          </w:p>
        </w:tc>
        <w:tc>
          <w:tcPr>
            <w:tcW w:w="6324" w:type="dxa"/>
            <w:shd w:val="clear" w:color="auto" w:fill="auto"/>
          </w:tcPr>
          <w:p w14:paraId="3AA5275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CE353E7" w14:textId="50CB910D" w:rsidR="00271FA2" w:rsidRPr="00F06DE2" w:rsidRDefault="002931B7">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.2050 г.</w:t>
            </w:r>
          </w:p>
        </w:tc>
      </w:tr>
      <w:tr w:rsidR="00271FA2" w:rsidRPr="00F06DE2" w14:paraId="6B2EF961" w14:textId="77777777" w:rsidTr="00C04891">
        <w:trPr>
          <w:cantSplit/>
          <w:jc w:val="center"/>
        </w:trPr>
        <w:tc>
          <w:tcPr>
            <w:tcW w:w="1342" w:type="dxa"/>
            <w:vMerge/>
            <w:shd w:val="clear" w:color="auto" w:fill="auto"/>
          </w:tcPr>
          <w:p w14:paraId="47CC7F1A"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0B34DFA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067540B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Галванично разделяне на управляващи и силови вериги</w:t>
            </w:r>
          </w:p>
        </w:tc>
        <w:tc>
          <w:tcPr>
            <w:tcW w:w="6324" w:type="dxa"/>
            <w:shd w:val="clear" w:color="auto" w:fill="auto"/>
          </w:tcPr>
          <w:p w14:paraId="5B40A30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9BAB7EE" w14:textId="2CCBD528"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.2025 г.</w:t>
            </w:r>
          </w:p>
        </w:tc>
      </w:tr>
      <w:tr w:rsidR="00271FA2" w:rsidRPr="00F06DE2" w14:paraId="5D1311EE" w14:textId="77777777" w:rsidTr="00C04891">
        <w:trPr>
          <w:cantSplit/>
          <w:jc w:val="center"/>
        </w:trPr>
        <w:tc>
          <w:tcPr>
            <w:tcW w:w="1342" w:type="dxa"/>
            <w:vMerge/>
            <w:shd w:val="clear" w:color="auto" w:fill="auto"/>
          </w:tcPr>
          <w:p w14:paraId="0421E8DD"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23EF2C0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29797FF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Работа при колебания в напрежението и честотата</w:t>
            </w:r>
          </w:p>
        </w:tc>
        <w:tc>
          <w:tcPr>
            <w:tcW w:w="6324" w:type="dxa"/>
            <w:shd w:val="clear" w:color="auto" w:fill="auto"/>
          </w:tcPr>
          <w:p w14:paraId="352EAB4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A6E85E2" w14:textId="1F4F0C19"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1CE1CA51" w14:textId="77777777" w:rsidTr="00C04891">
        <w:trPr>
          <w:cantSplit/>
          <w:jc w:val="center"/>
        </w:trPr>
        <w:tc>
          <w:tcPr>
            <w:tcW w:w="1342" w:type="dxa"/>
            <w:vMerge/>
            <w:shd w:val="clear" w:color="auto" w:fill="auto"/>
          </w:tcPr>
          <w:p w14:paraId="3FA3C7B4"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093121F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3CF148A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Време за разреждане при изключване от електрическата мрежа</w:t>
            </w:r>
          </w:p>
        </w:tc>
        <w:tc>
          <w:tcPr>
            <w:tcW w:w="6324" w:type="dxa"/>
            <w:shd w:val="clear" w:color="auto" w:fill="auto"/>
          </w:tcPr>
          <w:p w14:paraId="0F7C86B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374994E4"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098CF438" w14:textId="77777777" w:rsidTr="00C04891">
        <w:trPr>
          <w:cantSplit/>
          <w:jc w:val="center"/>
        </w:trPr>
        <w:tc>
          <w:tcPr>
            <w:tcW w:w="1342" w:type="dxa"/>
            <w:vMerge/>
            <w:shd w:val="clear" w:color="auto" w:fill="auto"/>
          </w:tcPr>
          <w:p w14:paraId="1D1B56F3" w14:textId="77777777" w:rsidR="00271FA2" w:rsidRPr="00F06DE2" w:rsidRDefault="00271FA2">
            <w:pPr>
              <w:spacing w:line="240" w:lineRule="atLeast"/>
              <w:rPr>
                <w:rFonts w:ascii="Times New Roman" w:hAnsi="Times New Roman" w:cs="Times New Roman"/>
                <w:lang w:val="ru-RU"/>
              </w:rPr>
            </w:pPr>
          </w:p>
        </w:tc>
        <w:tc>
          <w:tcPr>
            <w:tcW w:w="1458" w:type="dxa"/>
            <w:shd w:val="clear" w:color="auto" w:fill="auto"/>
          </w:tcPr>
          <w:p w14:paraId="3CE373B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7CDBA36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Реакция при отказ на сигналите за външен контрол</w:t>
            </w:r>
          </w:p>
        </w:tc>
        <w:tc>
          <w:tcPr>
            <w:tcW w:w="6324" w:type="dxa"/>
            <w:shd w:val="clear" w:color="auto" w:fill="auto"/>
          </w:tcPr>
          <w:p w14:paraId="1118716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71C40F54" w14:textId="1D05A0F3"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696BAF4A" w14:textId="77777777" w:rsidTr="00C04891">
        <w:trPr>
          <w:cantSplit/>
          <w:jc w:val="center"/>
        </w:trPr>
        <w:tc>
          <w:tcPr>
            <w:tcW w:w="1342" w:type="dxa"/>
            <w:vMerge/>
            <w:shd w:val="clear" w:color="auto" w:fill="auto"/>
          </w:tcPr>
          <w:p w14:paraId="7F81AEA1"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2D154FB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25A0422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Реакция при отказ на контролни напрежения</w:t>
            </w:r>
          </w:p>
        </w:tc>
        <w:tc>
          <w:tcPr>
            <w:tcW w:w="6324" w:type="dxa"/>
            <w:shd w:val="clear" w:color="auto" w:fill="auto"/>
          </w:tcPr>
          <w:p w14:paraId="101692C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4D08E5FB" w14:textId="37A270D8"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25D61FD1" w14:textId="77777777" w:rsidTr="00C04891">
        <w:trPr>
          <w:cantSplit/>
          <w:jc w:val="center"/>
        </w:trPr>
        <w:tc>
          <w:tcPr>
            <w:tcW w:w="1342" w:type="dxa"/>
            <w:vMerge/>
            <w:shd w:val="clear" w:color="auto" w:fill="auto"/>
          </w:tcPr>
          <w:p w14:paraId="6330934E"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99006F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8</w:t>
            </w:r>
          </w:p>
        </w:tc>
        <w:tc>
          <w:tcPr>
            <w:tcW w:w="3296" w:type="dxa"/>
            <w:shd w:val="clear" w:color="auto" w:fill="auto"/>
          </w:tcPr>
          <w:p w14:paraId="0568976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Откриване на грешки и предотвратяване на неоткрити грешки</w:t>
            </w:r>
          </w:p>
        </w:tc>
        <w:tc>
          <w:tcPr>
            <w:tcW w:w="6324" w:type="dxa"/>
            <w:shd w:val="clear" w:color="auto" w:fill="auto"/>
          </w:tcPr>
          <w:p w14:paraId="1884806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E3E447C" w14:textId="5BC94FF0"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15F783F9" w14:textId="77777777" w:rsidTr="00C04891">
        <w:trPr>
          <w:cantSplit/>
          <w:jc w:val="center"/>
        </w:trPr>
        <w:tc>
          <w:tcPr>
            <w:tcW w:w="1342" w:type="dxa"/>
            <w:vMerge/>
            <w:shd w:val="clear" w:color="auto" w:fill="auto"/>
          </w:tcPr>
          <w:p w14:paraId="228F5571"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6FCD929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3C7D69B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Следене</w:t>
            </w:r>
          </w:p>
        </w:tc>
        <w:tc>
          <w:tcPr>
            <w:tcW w:w="6324" w:type="dxa"/>
            <w:shd w:val="clear" w:color="auto" w:fill="auto"/>
          </w:tcPr>
          <w:p w14:paraId="324DA0F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7251DDD" w14:textId="1B8532BE"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.2022 г.</w:t>
            </w:r>
          </w:p>
        </w:tc>
      </w:tr>
      <w:tr w:rsidR="00271FA2" w:rsidRPr="00F06DE2" w14:paraId="449D2A3D" w14:textId="77777777" w:rsidTr="00C04891">
        <w:trPr>
          <w:cantSplit/>
          <w:jc w:val="center"/>
        </w:trPr>
        <w:tc>
          <w:tcPr>
            <w:tcW w:w="1342" w:type="dxa"/>
            <w:vMerge/>
            <w:shd w:val="clear" w:color="auto" w:fill="auto"/>
          </w:tcPr>
          <w:p w14:paraId="538EB562"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24D146D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10</w:t>
            </w:r>
          </w:p>
        </w:tc>
        <w:tc>
          <w:tcPr>
            <w:tcW w:w="3296" w:type="dxa"/>
            <w:shd w:val="clear" w:color="auto" w:fill="auto"/>
          </w:tcPr>
          <w:p w14:paraId="0B97A8E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Проверка на типа</w:t>
            </w:r>
          </w:p>
        </w:tc>
        <w:tc>
          <w:tcPr>
            <w:tcW w:w="6324" w:type="dxa"/>
            <w:shd w:val="clear" w:color="auto" w:fill="auto"/>
          </w:tcPr>
          <w:p w14:paraId="543891D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609" w:type="dxa"/>
            <w:shd w:val="clear" w:color="auto" w:fill="auto"/>
          </w:tcPr>
          <w:p w14:paraId="193FEE14" w14:textId="77777777" w:rsidR="00271FA2" w:rsidRPr="00F06DE2" w:rsidRDefault="00271FA2">
            <w:pPr>
              <w:spacing w:line="240" w:lineRule="atLeast"/>
              <w:jc w:val="both"/>
              <w:rPr>
                <w:rFonts w:ascii="Times New Roman" w:hAnsi="Times New Roman" w:cs="Times New Roman"/>
              </w:rPr>
            </w:pPr>
          </w:p>
        </w:tc>
      </w:tr>
      <w:tr w:rsidR="00271FA2" w:rsidRPr="00F06DE2" w14:paraId="409B65E4" w14:textId="77777777" w:rsidTr="00C04891">
        <w:trPr>
          <w:cantSplit/>
          <w:jc w:val="center"/>
        </w:trPr>
        <w:tc>
          <w:tcPr>
            <w:tcW w:w="1342" w:type="dxa"/>
            <w:shd w:val="clear" w:color="auto" w:fill="auto"/>
          </w:tcPr>
          <w:p w14:paraId="5C6A501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10.19</w:t>
            </w:r>
          </w:p>
        </w:tc>
        <w:tc>
          <w:tcPr>
            <w:tcW w:w="1458" w:type="dxa"/>
            <w:shd w:val="clear" w:color="auto" w:fill="auto"/>
          </w:tcPr>
          <w:p w14:paraId="759015DD"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33A3BB5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Алармени системи и системи за безопасност за механични инсталации </w:t>
            </w:r>
          </w:p>
        </w:tc>
        <w:tc>
          <w:tcPr>
            <w:tcW w:w="6324" w:type="dxa"/>
            <w:shd w:val="clear" w:color="auto" w:fill="auto"/>
          </w:tcPr>
          <w:p w14:paraId="2B57D73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63E76F0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17AB1E91" w14:textId="77777777" w:rsidTr="00C04891">
        <w:trPr>
          <w:cantSplit/>
          <w:jc w:val="center"/>
        </w:trPr>
        <w:tc>
          <w:tcPr>
            <w:tcW w:w="1342" w:type="dxa"/>
            <w:shd w:val="clear" w:color="auto" w:fill="auto"/>
          </w:tcPr>
          <w:p w14:paraId="24A0A97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10.20</w:t>
            </w:r>
          </w:p>
        </w:tc>
        <w:tc>
          <w:tcPr>
            <w:tcW w:w="1458" w:type="dxa"/>
            <w:shd w:val="clear" w:color="auto" w:fill="auto"/>
          </w:tcPr>
          <w:p w14:paraId="4291A7E0"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68E202F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Условия за изпитване на електронни съоръжения</w:t>
            </w:r>
          </w:p>
        </w:tc>
        <w:tc>
          <w:tcPr>
            <w:tcW w:w="6324" w:type="dxa"/>
            <w:shd w:val="clear" w:color="auto" w:fill="auto"/>
          </w:tcPr>
          <w:p w14:paraId="41984EE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след </w:t>
            </w:r>
          </w:p>
        </w:tc>
        <w:tc>
          <w:tcPr>
            <w:tcW w:w="1609" w:type="dxa"/>
            <w:shd w:val="clear" w:color="auto" w:fill="auto"/>
          </w:tcPr>
          <w:p w14:paraId="0B174B2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7EA88F59" w14:textId="77777777" w:rsidTr="00C04891">
        <w:trPr>
          <w:cantSplit/>
          <w:jc w:val="center"/>
        </w:trPr>
        <w:tc>
          <w:tcPr>
            <w:tcW w:w="1342" w:type="dxa"/>
            <w:shd w:val="clear" w:color="auto" w:fill="auto"/>
          </w:tcPr>
          <w:p w14:paraId="1AC05CC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10.21</w:t>
            </w:r>
          </w:p>
        </w:tc>
        <w:tc>
          <w:tcPr>
            <w:tcW w:w="1458" w:type="dxa"/>
            <w:shd w:val="clear" w:color="auto" w:fill="auto"/>
          </w:tcPr>
          <w:p w14:paraId="60B3BEF7"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6AB1FBE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Електромагнитна съвместимост</w:t>
            </w:r>
          </w:p>
        </w:tc>
        <w:tc>
          <w:tcPr>
            <w:tcW w:w="6324" w:type="dxa"/>
            <w:shd w:val="clear" w:color="auto" w:fill="auto"/>
          </w:tcPr>
          <w:p w14:paraId="491A5FA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3D572F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75A86E8A" w14:textId="77777777" w:rsidTr="00C04891">
        <w:trPr>
          <w:cantSplit/>
          <w:jc w:val="center"/>
        </w:trPr>
        <w:tc>
          <w:tcPr>
            <w:tcW w:w="6096" w:type="dxa"/>
            <w:gridSpan w:val="3"/>
            <w:shd w:val="clear" w:color="auto" w:fill="auto"/>
          </w:tcPr>
          <w:p w14:paraId="239041D2"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lastRenderedPageBreak/>
              <w:t>ГЛАВА 11</w:t>
            </w:r>
          </w:p>
        </w:tc>
        <w:tc>
          <w:tcPr>
            <w:tcW w:w="6324" w:type="dxa"/>
            <w:shd w:val="clear" w:color="auto" w:fill="auto"/>
          </w:tcPr>
          <w:p w14:paraId="6F386D7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НРЗ</w:t>
            </w:r>
          </w:p>
          <w:p w14:paraId="7039CBC2" w14:textId="5AD20C21" w:rsidR="00A71FC1" w:rsidRPr="00F06DE2" w:rsidRDefault="00A71FC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Въпреки това, електрическите задвижващи системи, инсталирани между 1.1.2020 г. и 1.1.2026 г., трябва да отговарят поне на Глава 11 от </w:t>
            </w:r>
            <w:r w:rsidRPr="00F06DE2">
              <w:rPr>
                <w:rFonts w:ascii="Times New Roman" w:hAnsi="Times New Roman" w:cs="Times New Roman"/>
              </w:rPr>
              <w:t>ES</w:t>
            </w:r>
            <w:r w:rsidRPr="00F06DE2">
              <w:rPr>
                <w:rFonts w:ascii="Times New Roman" w:hAnsi="Times New Roman" w:cs="Times New Roman"/>
                <w:lang w:val="ru-RU"/>
              </w:rPr>
              <w:t>-</w:t>
            </w:r>
            <w:r w:rsidRPr="00F06DE2">
              <w:rPr>
                <w:rFonts w:ascii="Times New Roman" w:hAnsi="Times New Roman" w:cs="Times New Roman"/>
              </w:rPr>
              <w:t>TRIN</w:t>
            </w:r>
            <w:r w:rsidRPr="00F06DE2">
              <w:rPr>
                <w:rFonts w:ascii="Times New Roman" w:hAnsi="Times New Roman" w:cs="Times New Roman"/>
                <w:lang w:val="ru-RU"/>
              </w:rPr>
              <w:t xml:space="preserve"> 2019/1.</w:t>
            </w:r>
          </w:p>
        </w:tc>
        <w:tc>
          <w:tcPr>
            <w:tcW w:w="1609" w:type="dxa"/>
            <w:shd w:val="clear" w:color="auto" w:fill="auto"/>
          </w:tcPr>
          <w:p w14:paraId="744AD3B3" w14:textId="77777777" w:rsidR="00271FA2" w:rsidRPr="00F06DE2" w:rsidRDefault="00271FA2">
            <w:pPr>
              <w:spacing w:line="240" w:lineRule="atLeast"/>
              <w:rPr>
                <w:rFonts w:ascii="Times New Roman" w:hAnsi="Times New Roman" w:cs="Times New Roman"/>
                <w:lang w:val="ru-RU"/>
              </w:rPr>
            </w:pPr>
          </w:p>
        </w:tc>
      </w:tr>
      <w:tr w:rsidR="00271FA2" w:rsidRPr="00F06DE2" w14:paraId="4C7D5265" w14:textId="77777777" w:rsidTr="00C04891">
        <w:trPr>
          <w:cantSplit/>
          <w:jc w:val="center"/>
        </w:trPr>
        <w:tc>
          <w:tcPr>
            <w:tcW w:w="6096" w:type="dxa"/>
            <w:gridSpan w:val="3"/>
            <w:shd w:val="clear" w:color="auto" w:fill="auto"/>
          </w:tcPr>
          <w:p w14:paraId="59A58F5B"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13</w:t>
            </w:r>
          </w:p>
        </w:tc>
        <w:tc>
          <w:tcPr>
            <w:tcW w:w="6324" w:type="dxa"/>
            <w:shd w:val="clear" w:color="auto" w:fill="auto"/>
          </w:tcPr>
          <w:p w14:paraId="3F796D33"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305F20E2" w14:textId="77777777" w:rsidR="00271FA2" w:rsidRPr="00F06DE2" w:rsidRDefault="00271FA2">
            <w:pPr>
              <w:spacing w:line="240" w:lineRule="atLeast"/>
              <w:rPr>
                <w:rFonts w:ascii="Times New Roman" w:hAnsi="Times New Roman" w:cs="Times New Roman"/>
              </w:rPr>
            </w:pPr>
          </w:p>
        </w:tc>
      </w:tr>
      <w:tr w:rsidR="00271FA2" w:rsidRPr="00F06DE2" w14:paraId="2706338E" w14:textId="77777777" w:rsidTr="00C04891">
        <w:trPr>
          <w:cantSplit/>
          <w:jc w:val="center"/>
        </w:trPr>
        <w:tc>
          <w:tcPr>
            <w:tcW w:w="1342" w:type="dxa"/>
            <w:tcBorders>
              <w:bottom w:val="single" w:sz="4" w:space="0" w:color="auto"/>
            </w:tcBorders>
            <w:shd w:val="clear" w:color="auto" w:fill="auto"/>
          </w:tcPr>
          <w:p w14:paraId="7ECED3C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13.01</w:t>
            </w:r>
          </w:p>
        </w:tc>
        <w:tc>
          <w:tcPr>
            <w:tcW w:w="1458" w:type="dxa"/>
            <w:tcBorders>
              <w:bottom w:val="single" w:sz="4" w:space="0" w:color="auto"/>
            </w:tcBorders>
            <w:shd w:val="clear" w:color="auto" w:fill="auto"/>
          </w:tcPr>
          <w:p w14:paraId="5F9FEA30" w14:textId="77777777" w:rsidR="00271FA2" w:rsidRPr="00F06DE2" w:rsidRDefault="00271FA2">
            <w:pPr>
              <w:spacing w:line="240" w:lineRule="atLeast"/>
              <w:jc w:val="both"/>
              <w:rPr>
                <w:rFonts w:ascii="Times New Roman" w:hAnsi="Times New Roman" w:cs="Times New Roman"/>
              </w:rPr>
            </w:pPr>
          </w:p>
        </w:tc>
        <w:tc>
          <w:tcPr>
            <w:tcW w:w="3296" w:type="dxa"/>
            <w:tcBorders>
              <w:bottom w:val="single" w:sz="4" w:space="0" w:color="auto"/>
            </w:tcBorders>
            <w:shd w:val="clear" w:color="auto" w:fill="auto"/>
          </w:tcPr>
          <w:p w14:paraId="14E80C6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Котвено оборудване</w:t>
            </w:r>
          </w:p>
        </w:tc>
        <w:tc>
          <w:tcPr>
            <w:tcW w:w="6324" w:type="dxa"/>
            <w:shd w:val="clear" w:color="auto" w:fill="auto"/>
          </w:tcPr>
          <w:p w14:paraId="252FB00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31806DE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534E62A3" w14:textId="77777777" w:rsidTr="00C04891">
        <w:trPr>
          <w:cantSplit/>
          <w:jc w:val="center"/>
        </w:trPr>
        <w:tc>
          <w:tcPr>
            <w:tcW w:w="1342" w:type="dxa"/>
            <w:tcBorders>
              <w:bottom w:val="nil"/>
            </w:tcBorders>
            <w:shd w:val="clear" w:color="auto" w:fill="auto"/>
          </w:tcPr>
          <w:p w14:paraId="33F49E3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13.02</w:t>
            </w:r>
          </w:p>
        </w:tc>
        <w:tc>
          <w:tcPr>
            <w:tcW w:w="1458" w:type="dxa"/>
            <w:vMerge w:val="restart"/>
            <w:shd w:val="clear" w:color="auto" w:fill="auto"/>
          </w:tcPr>
          <w:p w14:paraId="4A6740D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буква “a”</w:t>
            </w:r>
          </w:p>
        </w:tc>
        <w:tc>
          <w:tcPr>
            <w:tcW w:w="3296" w:type="dxa"/>
            <w:vMerge w:val="restart"/>
            <w:shd w:val="clear" w:color="auto" w:fill="auto"/>
          </w:tcPr>
          <w:p w14:paraId="7630025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Удостоверение за швартови и други въжета</w:t>
            </w:r>
          </w:p>
        </w:tc>
        <w:tc>
          <w:tcPr>
            <w:tcW w:w="6324" w:type="dxa"/>
            <w:shd w:val="clear" w:color="auto" w:fill="auto"/>
          </w:tcPr>
          <w:p w14:paraId="2AD6122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Първото въже, което следва да се замени на плавателния съд: НЗР, най-късно след</w:t>
            </w:r>
          </w:p>
        </w:tc>
        <w:tc>
          <w:tcPr>
            <w:tcW w:w="1609" w:type="dxa"/>
            <w:shd w:val="clear" w:color="auto" w:fill="auto"/>
          </w:tcPr>
          <w:p w14:paraId="7183408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0CC70E0B" w14:textId="77777777" w:rsidTr="00C04891">
        <w:trPr>
          <w:cantSplit/>
          <w:jc w:val="center"/>
        </w:trPr>
        <w:tc>
          <w:tcPr>
            <w:tcW w:w="1342" w:type="dxa"/>
            <w:tcBorders>
              <w:top w:val="nil"/>
              <w:bottom w:val="single" w:sz="4" w:space="0" w:color="auto"/>
            </w:tcBorders>
            <w:shd w:val="clear" w:color="auto" w:fill="auto"/>
          </w:tcPr>
          <w:p w14:paraId="012AF60A" w14:textId="77777777" w:rsidR="00271FA2" w:rsidRPr="00F06DE2" w:rsidRDefault="00271FA2">
            <w:pPr>
              <w:spacing w:line="240" w:lineRule="atLeast"/>
              <w:jc w:val="both"/>
              <w:rPr>
                <w:rFonts w:ascii="Times New Roman" w:hAnsi="Times New Roman" w:cs="Times New Roman"/>
              </w:rPr>
            </w:pPr>
          </w:p>
        </w:tc>
        <w:tc>
          <w:tcPr>
            <w:tcW w:w="1458" w:type="dxa"/>
            <w:vMerge/>
            <w:shd w:val="clear" w:color="auto" w:fill="auto"/>
          </w:tcPr>
          <w:p w14:paraId="682D838B" w14:textId="77777777" w:rsidR="00271FA2" w:rsidRPr="00F06DE2" w:rsidRDefault="00271FA2">
            <w:pPr>
              <w:spacing w:line="240" w:lineRule="atLeast"/>
              <w:jc w:val="both"/>
              <w:rPr>
                <w:rFonts w:ascii="Times New Roman" w:hAnsi="Times New Roman" w:cs="Times New Roman"/>
              </w:rPr>
            </w:pPr>
          </w:p>
        </w:tc>
        <w:tc>
          <w:tcPr>
            <w:tcW w:w="3296" w:type="dxa"/>
            <w:vMerge/>
            <w:shd w:val="clear" w:color="auto" w:fill="auto"/>
          </w:tcPr>
          <w:p w14:paraId="351C6841" w14:textId="77777777" w:rsidR="00271FA2" w:rsidRPr="00F06DE2" w:rsidRDefault="00271FA2">
            <w:pPr>
              <w:spacing w:line="240" w:lineRule="atLeast"/>
              <w:jc w:val="both"/>
              <w:rPr>
                <w:rFonts w:ascii="Times New Roman" w:hAnsi="Times New Roman" w:cs="Times New Roman"/>
              </w:rPr>
            </w:pPr>
          </w:p>
        </w:tc>
        <w:tc>
          <w:tcPr>
            <w:tcW w:w="6324" w:type="dxa"/>
            <w:shd w:val="clear" w:color="auto" w:fill="auto"/>
          </w:tcPr>
          <w:p w14:paraId="1DD8551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Второто и третото въже, които следва да се заменят на плавателния съд: НЗР, най-късно след</w:t>
            </w:r>
          </w:p>
        </w:tc>
        <w:tc>
          <w:tcPr>
            <w:tcW w:w="1609" w:type="dxa"/>
            <w:shd w:val="clear" w:color="auto" w:fill="auto"/>
          </w:tcPr>
          <w:p w14:paraId="0F4608A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605B4493" w14:textId="77777777" w:rsidTr="00C04891">
        <w:trPr>
          <w:cantSplit/>
          <w:jc w:val="center"/>
        </w:trPr>
        <w:tc>
          <w:tcPr>
            <w:tcW w:w="1342" w:type="dxa"/>
            <w:tcBorders>
              <w:bottom w:val="nil"/>
            </w:tcBorders>
            <w:shd w:val="clear" w:color="auto" w:fill="auto"/>
          </w:tcPr>
          <w:p w14:paraId="4B727CE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13.03</w:t>
            </w:r>
          </w:p>
        </w:tc>
        <w:tc>
          <w:tcPr>
            <w:tcW w:w="1458" w:type="dxa"/>
            <w:shd w:val="clear" w:color="auto" w:fill="auto"/>
          </w:tcPr>
          <w:p w14:paraId="022DCF7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327D724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Европейски стандарт</w:t>
            </w:r>
          </w:p>
        </w:tc>
        <w:tc>
          <w:tcPr>
            <w:tcW w:w="6324" w:type="dxa"/>
            <w:shd w:val="clear" w:color="auto" w:fill="auto"/>
          </w:tcPr>
          <w:p w14:paraId="1197054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9B1AD8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692E5605" w14:textId="77777777" w:rsidTr="00C04891">
        <w:trPr>
          <w:cantSplit/>
          <w:jc w:val="center"/>
        </w:trPr>
        <w:tc>
          <w:tcPr>
            <w:tcW w:w="1342" w:type="dxa"/>
            <w:tcBorders>
              <w:top w:val="nil"/>
              <w:bottom w:val="nil"/>
            </w:tcBorders>
            <w:shd w:val="clear" w:color="auto" w:fill="auto"/>
          </w:tcPr>
          <w:p w14:paraId="28629325"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68B3C0D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52F8EB9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Пригодност за пожари от клас А, В и С</w:t>
            </w:r>
          </w:p>
        </w:tc>
        <w:tc>
          <w:tcPr>
            <w:tcW w:w="6324" w:type="dxa"/>
            <w:shd w:val="clear" w:color="auto" w:fill="auto"/>
          </w:tcPr>
          <w:p w14:paraId="3273D02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00489F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3CA0A452" w14:textId="77777777" w:rsidTr="00C04891">
        <w:trPr>
          <w:cantSplit/>
          <w:jc w:val="center"/>
        </w:trPr>
        <w:tc>
          <w:tcPr>
            <w:tcW w:w="1342" w:type="dxa"/>
            <w:tcBorders>
              <w:top w:val="nil"/>
            </w:tcBorders>
            <w:shd w:val="clear" w:color="auto" w:fill="auto"/>
          </w:tcPr>
          <w:p w14:paraId="31A6F6FA"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6D5DA3A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3C5BCE1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Съотношение на съдържанието на СО</w:t>
            </w:r>
            <w:r w:rsidRPr="00F06DE2">
              <w:rPr>
                <w:rFonts w:ascii="Times New Roman" w:hAnsi="Times New Roman" w:cs="Times New Roman"/>
                <w:vertAlign w:val="subscript"/>
                <w:lang w:val="ru-RU"/>
              </w:rPr>
              <w:t>2</w:t>
            </w:r>
            <w:r w:rsidRPr="00F06DE2">
              <w:rPr>
                <w:rFonts w:ascii="Times New Roman" w:hAnsi="Times New Roman" w:cs="Times New Roman"/>
                <w:lang w:val="ru-RU"/>
              </w:rPr>
              <w:t xml:space="preserve"> и размера на помещението</w:t>
            </w:r>
          </w:p>
        </w:tc>
        <w:tc>
          <w:tcPr>
            <w:tcW w:w="6324" w:type="dxa"/>
            <w:shd w:val="clear" w:color="auto" w:fill="auto"/>
          </w:tcPr>
          <w:p w14:paraId="28FDA6B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5F17EF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415F7353" w14:textId="77777777" w:rsidTr="00C04891">
        <w:trPr>
          <w:cantSplit/>
          <w:jc w:val="center"/>
        </w:trPr>
        <w:tc>
          <w:tcPr>
            <w:tcW w:w="1342" w:type="dxa"/>
            <w:shd w:val="clear" w:color="auto" w:fill="auto"/>
          </w:tcPr>
          <w:p w14:paraId="79CCA86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13.04</w:t>
            </w:r>
          </w:p>
        </w:tc>
        <w:tc>
          <w:tcPr>
            <w:tcW w:w="1458" w:type="dxa"/>
            <w:shd w:val="clear" w:color="auto" w:fill="auto"/>
          </w:tcPr>
          <w:p w14:paraId="3B65E76A"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4F6B9F8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Постоянно монтирани противопожарни системи в жилищните помещения, рулевите рубки и помещенията за пътници</w:t>
            </w:r>
          </w:p>
        </w:tc>
        <w:tc>
          <w:tcPr>
            <w:tcW w:w="6324" w:type="dxa"/>
            <w:shd w:val="clear" w:color="auto" w:fill="auto"/>
          </w:tcPr>
          <w:p w14:paraId="6ED4E07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77B3A21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17CED4C1" w14:textId="77777777" w:rsidTr="00C04891">
        <w:trPr>
          <w:cantSplit/>
          <w:jc w:val="center"/>
        </w:trPr>
        <w:tc>
          <w:tcPr>
            <w:tcW w:w="1342" w:type="dxa"/>
            <w:shd w:val="clear" w:color="auto" w:fill="auto"/>
          </w:tcPr>
          <w:p w14:paraId="05D81EE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13.05</w:t>
            </w:r>
          </w:p>
        </w:tc>
        <w:tc>
          <w:tcPr>
            <w:tcW w:w="1458" w:type="dxa"/>
            <w:shd w:val="clear" w:color="auto" w:fill="auto"/>
          </w:tcPr>
          <w:p w14:paraId="4F2759E4"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33B059F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Постоянно монтирани противопожарни системи в машинните, котелните и помпените отделения</w:t>
            </w:r>
          </w:p>
        </w:tc>
        <w:tc>
          <w:tcPr>
            <w:tcW w:w="6324" w:type="dxa"/>
            <w:shd w:val="clear" w:color="auto" w:fill="auto"/>
          </w:tcPr>
          <w:p w14:paraId="0F784647" w14:textId="77777777" w:rsidR="00271FA2" w:rsidRPr="00F06DE2" w:rsidRDefault="00D35E51">
            <w:pPr>
              <w:spacing w:line="240" w:lineRule="atLeast"/>
              <w:ind w:right="49"/>
              <w:jc w:val="both"/>
              <w:rPr>
                <w:rFonts w:ascii="Times New Roman" w:hAnsi="Times New Roman" w:cs="Times New Roman"/>
                <w:color w:val="FF0000"/>
                <w:lang w:val="ru-RU"/>
              </w:rPr>
            </w:pPr>
            <w:r w:rsidRPr="00F06DE2">
              <w:rPr>
                <w:rFonts w:ascii="Times New Roman" w:hAnsi="Times New Roman" w:cs="Times New Roman"/>
                <w:lang w:val="ru-RU"/>
              </w:rPr>
              <w:t xml:space="preserve">Противопожарните системи с </w:t>
            </w:r>
            <w:r w:rsidRPr="00F06DE2">
              <w:rPr>
                <w:rFonts w:ascii="Times New Roman" w:hAnsi="Times New Roman" w:cs="Times New Roman"/>
              </w:rPr>
              <w:t>CO</w:t>
            </w:r>
            <w:r w:rsidRPr="00F06DE2">
              <w:rPr>
                <w:rFonts w:ascii="Times New Roman" w:hAnsi="Times New Roman" w:cs="Times New Roman"/>
                <w:vertAlign w:val="subscript"/>
                <w:lang w:val="ru-RU"/>
              </w:rPr>
              <w:t>2</w:t>
            </w:r>
            <w:r w:rsidRPr="00F06DE2">
              <w:rPr>
                <w:rFonts w:ascii="Times New Roman" w:hAnsi="Times New Roman" w:cs="Times New Roman"/>
                <w:lang w:val="ru-RU"/>
              </w:rPr>
              <w:t>, постоянно инсталирани преди 1 януари 1985 г., ако отговарят на изискванията на член 13.03 от Директива 82/714/ЕИО, изменена на 30.12.2006 г., могат да останат в употреба до подновяването на Корабното удостоверение за вътрешно корабоплаване след</w:t>
            </w:r>
          </w:p>
        </w:tc>
        <w:tc>
          <w:tcPr>
            <w:tcW w:w="1609" w:type="dxa"/>
            <w:shd w:val="clear" w:color="auto" w:fill="auto"/>
          </w:tcPr>
          <w:p w14:paraId="142CDAB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6418777A" w14:textId="77777777" w:rsidTr="00C04891">
        <w:trPr>
          <w:cantSplit/>
          <w:jc w:val="center"/>
        </w:trPr>
        <w:tc>
          <w:tcPr>
            <w:tcW w:w="1342" w:type="dxa"/>
            <w:shd w:val="clear" w:color="auto" w:fill="auto"/>
          </w:tcPr>
          <w:p w14:paraId="74C4ADC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13.06</w:t>
            </w:r>
          </w:p>
        </w:tc>
        <w:tc>
          <w:tcPr>
            <w:tcW w:w="1458" w:type="dxa"/>
            <w:shd w:val="clear" w:color="auto" w:fill="auto"/>
          </w:tcPr>
          <w:p w14:paraId="384B97F1"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4710BAB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Постоянно монтирана противопожарна система за защита на обекти</w:t>
            </w:r>
          </w:p>
        </w:tc>
        <w:tc>
          <w:tcPr>
            <w:tcW w:w="6324" w:type="dxa"/>
            <w:shd w:val="clear" w:color="auto" w:fill="auto"/>
          </w:tcPr>
          <w:p w14:paraId="67D7C0DD" w14:textId="77777777" w:rsidR="00271FA2" w:rsidRPr="00F06DE2" w:rsidRDefault="00D35E51">
            <w:pPr>
              <w:spacing w:line="240" w:lineRule="atLeast"/>
              <w:ind w:right="49"/>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5B0EDBF0"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7E3F83DB" w14:textId="77777777" w:rsidTr="00C04891">
        <w:trPr>
          <w:cantSplit/>
          <w:jc w:val="center"/>
        </w:trPr>
        <w:tc>
          <w:tcPr>
            <w:tcW w:w="1342" w:type="dxa"/>
            <w:tcBorders>
              <w:bottom w:val="single" w:sz="4" w:space="0" w:color="auto"/>
            </w:tcBorders>
            <w:shd w:val="clear" w:color="auto" w:fill="auto"/>
          </w:tcPr>
          <w:p w14:paraId="19AC75B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13.07</w:t>
            </w:r>
          </w:p>
        </w:tc>
        <w:tc>
          <w:tcPr>
            <w:tcW w:w="1458" w:type="dxa"/>
            <w:tcBorders>
              <w:bottom w:val="single" w:sz="4" w:space="0" w:color="auto"/>
            </w:tcBorders>
            <w:shd w:val="clear" w:color="auto" w:fill="auto"/>
          </w:tcPr>
          <w:p w14:paraId="082D952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tcBorders>
              <w:bottom w:val="single" w:sz="4" w:space="0" w:color="auto"/>
            </w:tcBorders>
            <w:shd w:val="clear" w:color="auto" w:fill="auto"/>
          </w:tcPr>
          <w:p w14:paraId="57BFA33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Прилагане на </w:t>
            </w:r>
            <w:r w:rsidRPr="00F06DE2">
              <w:rPr>
                <w:rFonts w:ascii="Times New Roman" w:hAnsi="Times New Roman" w:cs="Times New Roman"/>
              </w:rPr>
              <w:t>E</w:t>
            </w:r>
            <w:r w:rsidRPr="00F06DE2">
              <w:rPr>
                <w:rFonts w:ascii="Times New Roman" w:hAnsi="Times New Roman" w:cs="Times New Roman"/>
                <w:lang w:val="ru-RU"/>
              </w:rPr>
              <w:t>вропейския стандарт за корабни лодки</w:t>
            </w:r>
          </w:p>
        </w:tc>
        <w:tc>
          <w:tcPr>
            <w:tcW w:w="6324" w:type="dxa"/>
            <w:shd w:val="clear" w:color="auto" w:fill="auto"/>
          </w:tcPr>
          <w:p w14:paraId="6DE4D7E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7F3BCD33" w14:textId="18708119"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корабните лодки, които са били на борда преди </w:t>
            </w:r>
            <w:r w:rsidR="00DF1C47" w:rsidRPr="00F06DE2">
              <w:rPr>
                <w:rFonts w:ascii="Times New Roman" w:hAnsi="Times New Roman" w:cs="Times New Roman"/>
                <w:lang w:val="ru-RU"/>
              </w:rPr>
              <w:t>0</w:t>
            </w:r>
            <w:r w:rsidRPr="00F06DE2">
              <w:rPr>
                <w:rFonts w:ascii="Times New Roman" w:hAnsi="Times New Roman" w:cs="Times New Roman"/>
                <w:lang w:val="ru-RU"/>
              </w:rPr>
              <w:t>1.</w:t>
            </w:r>
            <w:r w:rsidR="00DF1C47" w:rsidRPr="00F06DE2">
              <w:rPr>
                <w:rFonts w:ascii="Times New Roman" w:hAnsi="Times New Roman" w:cs="Times New Roman"/>
                <w:lang w:val="ru-RU"/>
              </w:rPr>
              <w:t>0</w:t>
            </w:r>
            <w:r w:rsidRPr="00F06DE2">
              <w:rPr>
                <w:rFonts w:ascii="Times New Roman" w:hAnsi="Times New Roman" w:cs="Times New Roman"/>
                <w:lang w:val="ru-RU"/>
              </w:rPr>
              <w:t>1.2009 г., може да се представи алтернативно доказателство, че те отговарят на изискванията за безопасност на член 33.04.</w:t>
            </w:r>
          </w:p>
        </w:tc>
        <w:tc>
          <w:tcPr>
            <w:tcW w:w="1609" w:type="dxa"/>
            <w:shd w:val="clear" w:color="auto" w:fill="auto"/>
          </w:tcPr>
          <w:p w14:paraId="343C095A" w14:textId="2F4D0448"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.2029 г.</w:t>
            </w:r>
          </w:p>
        </w:tc>
      </w:tr>
      <w:tr w:rsidR="00271FA2" w:rsidRPr="00F06DE2" w14:paraId="483A068E" w14:textId="77777777" w:rsidTr="00C04891">
        <w:trPr>
          <w:cantSplit/>
          <w:jc w:val="center"/>
        </w:trPr>
        <w:tc>
          <w:tcPr>
            <w:tcW w:w="1342" w:type="dxa"/>
            <w:tcBorders>
              <w:bottom w:val="nil"/>
            </w:tcBorders>
            <w:shd w:val="clear" w:color="auto" w:fill="auto"/>
          </w:tcPr>
          <w:p w14:paraId="65B2514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13.08</w:t>
            </w:r>
          </w:p>
        </w:tc>
        <w:tc>
          <w:tcPr>
            <w:tcW w:w="1458" w:type="dxa"/>
            <w:vMerge w:val="restart"/>
            <w:shd w:val="clear" w:color="auto" w:fill="auto"/>
          </w:tcPr>
          <w:p w14:paraId="04E61B2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vMerge w:val="restart"/>
            <w:shd w:val="clear" w:color="auto" w:fill="auto"/>
          </w:tcPr>
          <w:p w14:paraId="0AAC0CF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Надуваеми спасителни жилетки</w:t>
            </w:r>
          </w:p>
        </w:tc>
        <w:tc>
          <w:tcPr>
            <w:tcW w:w="6324" w:type="dxa"/>
            <w:shd w:val="clear" w:color="auto" w:fill="auto"/>
          </w:tcPr>
          <w:p w14:paraId="057963B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CF398C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19E09672" w14:textId="77777777" w:rsidTr="00C04891">
        <w:trPr>
          <w:cantSplit/>
          <w:jc w:val="center"/>
        </w:trPr>
        <w:tc>
          <w:tcPr>
            <w:tcW w:w="1342" w:type="dxa"/>
            <w:tcBorders>
              <w:top w:val="nil"/>
            </w:tcBorders>
            <w:shd w:val="clear" w:color="auto" w:fill="auto"/>
          </w:tcPr>
          <w:p w14:paraId="751A48C1" w14:textId="77777777" w:rsidR="00271FA2" w:rsidRPr="00F06DE2" w:rsidRDefault="00271FA2">
            <w:pPr>
              <w:spacing w:line="240" w:lineRule="atLeast"/>
              <w:rPr>
                <w:rFonts w:ascii="Times New Roman" w:hAnsi="Times New Roman" w:cs="Times New Roman"/>
              </w:rPr>
            </w:pPr>
          </w:p>
        </w:tc>
        <w:tc>
          <w:tcPr>
            <w:tcW w:w="1458" w:type="dxa"/>
            <w:vMerge/>
            <w:shd w:val="clear" w:color="auto" w:fill="auto"/>
          </w:tcPr>
          <w:p w14:paraId="0C6605C8" w14:textId="77777777" w:rsidR="00271FA2" w:rsidRPr="00F06DE2" w:rsidRDefault="00271FA2">
            <w:pPr>
              <w:spacing w:line="240" w:lineRule="atLeast"/>
              <w:rPr>
                <w:rFonts w:ascii="Times New Roman" w:hAnsi="Times New Roman" w:cs="Times New Roman"/>
              </w:rPr>
            </w:pPr>
          </w:p>
        </w:tc>
        <w:tc>
          <w:tcPr>
            <w:tcW w:w="3296" w:type="dxa"/>
            <w:vMerge/>
            <w:shd w:val="clear" w:color="auto" w:fill="auto"/>
          </w:tcPr>
          <w:p w14:paraId="40F89243" w14:textId="77777777" w:rsidR="00271FA2" w:rsidRPr="00F06DE2" w:rsidRDefault="00271FA2">
            <w:pPr>
              <w:spacing w:line="240" w:lineRule="atLeast"/>
              <w:rPr>
                <w:rFonts w:ascii="Times New Roman" w:hAnsi="Times New Roman" w:cs="Times New Roman"/>
              </w:rPr>
            </w:pPr>
          </w:p>
        </w:tc>
        <w:tc>
          <w:tcPr>
            <w:tcW w:w="6324" w:type="dxa"/>
            <w:shd w:val="clear" w:color="auto" w:fill="auto"/>
          </w:tcPr>
          <w:p w14:paraId="1B0FEE8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Спасителните жилетки, които са се намирали на борда на 29.12.2008</w:t>
            </w:r>
            <w:r w:rsidRPr="00F06DE2">
              <w:rPr>
                <w:rFonts w:ascii="Times New Roman" w:hAnsi="Times New Roman" w:cs="Times New Roman"/>
              </w:rPr>
              <w:t> </w:t>
            </w:r>
            <w:r w:rsidRPr="00F06DE2">
              <w:rPr>
                <w:rFonts w:ascii="Times New Roman" w:hAnsi="Times New Roman" w:cs="Times New Roman"/>
                <w:lang w:val="ru-RU"/>
              </w:rPr>
              <w:t>г., могат да се използват до подновяване на Корабното удостоверение за вътрешно корабоплаване след</w:t>
            </w:r>
          </w:p>
        </w:tc>
        <w:tc>
          <w:tcPr>
            <w:tcW w:w="1609" w:type="dxa"/>
            <w:shd w:val="clear" w:color="auto" w:fill="auto"/>
          </w:tcPr>
          <w:p w14:paraId="4D3F8BB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0F346B97" w14:textId="77777777" w:rsidTr="00C04891">
        <w:trPr>
          <w:cantSplit/>
          <w:jc w:val="center"/>
        </w:trPr>
        <w:tc>
          <w:tcPr>
            <w:tcW w:w="6096" w:type="dxa"/>
            <w:gridSpan w:val="3"/>
            <w:shd w:val="clear" w:color="auto" w:fill="auto"/>
          </w:tcPr>
          <w:p w14:paraId="57F86383"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14</w:t>
            </w:r>
          </w:p>
        </w:tc>
        <w:tc>
          <w:tcPr>
            <w:tcW w:w="6324" w:type="dxa"/>
            <w:shd w:val="clear" w:color="auto" w:fill="auto"/>
          </w:tcPr>
          <w:p w14:paraId="6F0E7918"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19488C20" w14:textId="77777777" w:rsidR="00271FA2" w:rsidRPr="00F06DE2" w:rsidRDefault="00271FA2">
            <w:pPr>
              <w:spacing w:line="240" w:lineRule="atLeast"/>
              <w:rPr>
                <w:rFonts w:ascii="Times New Roman" w:hAnsi="Times New Roman" w:cs="Times New Roman"/>
              </w:rPr>
            </w:pPr>
          </w:p>
        </w:tc>
      </w:tr>
      <w:tr w:rsidR="00271FA2" w:rsidRPr="00F06DE2" w14:paraId="044C2FC5" w14:textId="77777777" w:rsidTr="00C04891">
        <w:trPr>
          <w:cantSplit/>
          <w:jc w:val="center"/>
        </w:trPr>
        <w:tc>
          <w:tcPr>
            <w:tcW w:w="1342" w:type="dxa"/>
            <w:tcBorders>
              <w:bottom w:val="nil"/>
            </w:tcBorders>
            <w:shd w:val="clear" w:color="auto" w:fill="auto"/>
          </w:tcPr>
          <w:p w14:paraId="691029A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14.02</w:t>
            </w:r>
          </w:p>
        </w:tc>
        <w:tc>
          <w:tcPr>
            <w:tcW w:w="1458" w:type="dxa"/>
            <w:shd w:val="clear" w:color="auto" w:fill="auto"/>
          </w:tcPr>
          <w:p w14:paraId="2C1B463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2D623FB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Оборудване на външните краища на палуби, палубните проходи и други работни места</w:t>
            </w:r>
          </w:p>
        </w:tc>
        <w:tc>
          <w:tcPr>
            <w:tcW w:w="6324" w:type="dxa"/>
            <w:shd w:val="clear" w:color="auto" w:fill="auto"/>
          </w:tcPr>
          <w:p w14:paraId="2D333A1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r w:rsidRPr="00F06DE2">
              <w:rPr>
                <w:rStyle w:val="FootnoteReference"/>
                <w:rFonts w:ascii="Times New Roman" w:hAnsi="Times New Roman" w:cs="Times New Roman"/>
              </w:rPr>
              <w:t xml:space="preserve"> </w:t>
            </w:r>
            <w:r w:rsidRPr="00F06DE2">
              <w:rPr>
                <w:rStyle w:val="FootnoteReference"/>
                <w:rFonts w:ascii="Times New Roman" w:hAnsi="Times New Roman" w:cs="Times New Roman"/>
              </w:rPr>
              <w:footnoteReference w:id="31"/>
            </w:r>
          </w:p>
        </w:tc>
        <w:tc>
          <w:tcPr>
            <w:tcW w:w="1609" w:type="dxa"/>
            <w:shd w:val="clear" w:color="auto" w:fill="auto"/>
          </w:tcPr>
          <w:p w14:paraId="2148E37E" w14:textId="77777777" w:rsidR="00271FA2" w:rsidRPr="00F06DE2" w:rsidRDefault="00271FA2">
            <w:pPr>
              <w:spacing w:line="240" w:lineRule="atLeast"/>
              <w:rPr>
                <w:rFonts w:ascii="Times New Roman" w:hAnsi="Times New Roman" w:cs="Times New Roman"/>
              </w:rPr>
            </w:pPr>
          </w:p>
        </w:tc>
      </w:tr>
      <w:tr w:rsidR="00271FA2" w:rsidRPr="00F06DE2" w14:paraId="1472BDCE" w14:textId="77777777" w:rsidTr="00C04891">
        <w:trPr>
          <w:cantSplit/>
          <w:jc w:val="center"/>
        </w:trPr>
        <w:tc>
          <w:tcPr>
            <w:tcW w:w="1342" w:type="dxa"/>
            <w:vMerge w:val="restart"/>
            <w:shd w:val="clear" w:color="auto" w:fill="auto"/>
          </w:tcPr>
          <w:p w14:paraId="79D1479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14.04</w:t>
            </w:r>
          </w:p>
        </w:tc>
        <w:tc>
          <w:tcPr>
            <w:tcW w:w="1458" w:type="dxa"/>
            <w:vMerge w:val="restart"/>
            <w:shd w:val="clear" w:color="auto" w:fill="auto"/>
          </w:tcPr>
          <w:p w14:paraId="6CB57B4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vMerge w:val="restart"/>
            <w:shd w:val="clear" w:color="auto" w:fill="auto"/>
          </w:tcPr>
          <w:p w14:paraId="0947F90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Чиста широчина на палубните проходи</w:t>
            </w:r>
          </w:p>
        </w:tc>
        <w:tc>
          <w:tcPr>
            <w:tcW w:w="6324" w:type="dxa"/>
            <w:shd w:val="clear" w:color="auto" w:fill="auto"/>
          </w:tcPr>
          <w:p w14:paraId="2929B3C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с </w:t>
            </w:r>
            <m:oMath>
              <m:r>
                <w:rPr>
                  <w:rFonts w:ascii="Cambria Math" w:hAnsi="Cambria Math" w:cs="Times New Roman"/>
                </w:rPr>
                <m:t>B</m:t>
              </m:r>
              <m:r>
                <w:rPr>
                  <w:rFonts w:ascii="Cambria Math" w:hAnsi="Cambria Math" w:cs="Times New Roman"/>
                  <w:lang w:val="ru-RU"/>
                </w:rPr>
                <m:t xml:space="preserve"> &gt; 7,30 </m:t>
              </m:r>
              <m:r>
                <w:rPr>
                  <w:rFonts w:ascii="Cambria Math" w:hAnsi="Cambria Math" w:cs="Times New Roman"/>
                </w:rPr>
                <m:t>m</m:t>
              </m:r>
            </m:oMath>
            <w:r w:rsidRPr="00F06DE2">
              <w:rPr>
                <w:rFonts w:ascii="Times New Roman" w:hAnsi="Times New Roman" w:cs="Times New Roman"/>
                <w:lang w:val="ru-RU"/>
              </w:rPr>
              <w:t>, НЗР</w:t>
            </w:r>
            <w:r w:rsidRPr="00F06DE2">
              <w:rPr>
                <w:rStyle w:val="FootnoteReference"/>
                <w:rFonts w:ascii="Times New Roman" w:hAnsi="Times New Roman" w:cs="Times New Roman"/>
              </w:rPr>
              <w:footnoteReference w:id="32"/>
            </w:r>
            <w:r w:rsidRPr="00F06DE2">
              <w:rPr>
                <w:rFonts w:ascii="Times New Roman" w:hAnsi="Times New Roman" w:cs="Times New Roman"/>
                <w:lang w:val="ru-RU"/>
              </w:rPr>
              <w:t>.</w:t>
            </w:r>
          </w:p>
        </w:tc>
        <w:tc>
          <w:tcPr>
            <w:tcW w:w="1609" w:type="dxa"/>
            <w:shd w:val="clear" w:color="auto" w:fill="auto"/>
          </w:tcPr>
          <w:p w14:paraId="3FE377AB" w14:textId="77777777" w:rsidR="00271FA2" w:rsidRPr="00F06DE2" w:rsidRDefault="00271FA2">
            <w:pPr>
              <w:spacing w:line="240" w:lineRule="atLeast"/>
              <w:rPr>
                <w:rFonts w:ascii="Times New Roman" w:hAnsi="Times New Roman" w:cs="Times New Roman"/>
                <w:lang w:val="ru-RU"/>
              </w:rPr>
            </w:pPr>
          </w:p>
        </w:tc>
      </w:tr>
      <w:tr w:rsidR="00271FA2" w:rsidRPr="00F06DE2" w14:paraId="256D267F" w14:textId="77777777" w:rsidTr="00C04891">
        <w:trPr>
          <w:cantSplit/>
          <w:jc w:val="center"/>
        </w:trPr>
        <w:tc>
          <w:tcPr>
            <w:tcW w:w="1342" w:type="dxa"/>
            <w:vMerge/>
            <w:shd w:val="clear" w:color="auto" w:fill="auto"/>
          </w:tcPr>
          <w:p w14:paraId="10E843C8" w14:textId="77777777" w:rsidR="00271FA2" w:rsidRPr="00F06DE2" w:rsidRDefault="00271FA2">
            <w:pPr>
              <w:spacing w:line="240" w:lineRule="atLeast"/>
              <w:rPr>
                <w:rFonts w:ascii="Times New Roman" w:hAnsi="Times New Roman" w:cs="Times New Roman"/>
                <w:lang w:val="ru-RU"/>
              </w:rPr>
            </w:pPr>
          </w:p>
        </w:tc>
        <w:tc>
          <w:tcPr>
            <w:tcW w:w="1458" w:type="dxa"/>
            <w:vMerge/>
            <w:shd w:val="clear" w:color="auto" w:fill="auto"/>
          </w:tcPr>
          <w:p w14:paraId="397D0F1F" w14:textId="77777777" w:rsidR="00271FA2" w:rsidRPr="00F06DE2" w:rsidRDefault="00271FA2">
            <w:pPr>
              <w:spacing w:line="240" w:lineRule="atLeast"/>
              <w:rPr>
                <w:rFonts w:ascii="Times New Roman" w:hAnsi="Times New Roman" w:cs="Times New Roman"/>
                <w:lang w:val="ru-RU"/>
              </w:rPr>
            </w:pPr>
          </w:p>
        </w:tc>
        <w:tc>
          <w:tcPr>
            <w:tcW w:w="3296" w:type="dxa"/>
            <w:vMerge/>
            <w:shd w:val="clear" w:color="auto" w:fill="auto"/>
          </w:tcPr>
          <w:p w14:paraId="0DB9EC56" w14:textId="77777777" w:rsidR="00271FA2" w:rsidRPr="00F06DE2" w:rsidRDefault="00271FA2">
            <w:pPr>
              <w:spacing w:line="240" w:lineRule="atLeast"/>
              <w:rPr>
                <w:rFonts w:ascii="Times New Roman" w:hAnsi="Times New Roman" w:cs="Times New Roman"/>
                <w:lang w:val="ru-RU"/>
              </w:rPr>
            </w:pPr>
          </w:p>
        </w:tc>
        <w:tc>
          <w:tcPr>
            <w:tcW w:w="6324" w:type="dxa"/>
            <w:shd w:val="clear" w:color="auto" w:fill="auto"/>
          </w:tcPr>
          <w:p w14:paraId="30AC4B1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За плавателни съдове с дължина </w:t>
            </w:r>
            <m:oMath>
              <m:r>
                <w:rPr>
                  <w:rFonts w:ascii="Cambria Math" w:hAnsi="Cambria Math" w:cs="Times New Roman"/>
                </w:rPr>
                <m:t>L</m:t>
              </m:r>
              <m:r>
                <w:rPr>
                  <w:rFonts w:ascii="Cambria Math" w:hAnsi="Cambria Math" w:cs="Times New Roman"/>
                  <w:lang w:val="ru-RU"/>
                </w:rPr>
                <m:t xml:space="preserve"> &lt;55 </m:t>
              </m:r>
              <m:r>
                <w:rPr>
                  <w:rFonts w:ascii="Cambria Math" w:hAnsi="Cambria Math" w:cs="Times New Roman"/>
                </w:rPr>
                <m:t>m</m:t>
              </m:r>
            </m:oMath>
            <w:r w:rsidRPr="00F06DE2">
              <w:rPr>
                <w:rFonts w:ascii="Times New Roman" w:eastAsiaTheme="minorEastAsia" w:hAnsi="Times New Roman" w:cs="Times New Roman"/>
                <w:lang w:val="ru-RU"/>
              </w:rPr>
              <w:t xml:space="preserve"> само с кърмови жилищни помещения </w:t>
            </w:r>
            <w:r w:rsidRPr="00F06DE2">
              <w:rPr>
                <w:rFonts w:ascii="Times New Roman" w:hAnsi="Times New Roman" w:cs="Times New Roman"/>
                <w:lang w:val="ru-RU"/>
              </w:rPr>
              <w:t>НЗР</w:t>
            </w:r>
            <w:r w:rsidRPr="00F06DE2">
              <w:rPr>
                <w:rFonts w:ascii="Times New Roman" w:hAnsi="Times New Roman" w:cs="Times New Roman"/>
                <w:vertAlign w:val="superscript"/>
                <w:lang w:val="ru-RU"/>
              </w:rPr>
              <w:t>1</w:t>
            </w:r>
          </w:p>
        </w:tc>
        <w:tc>
          <w:tcPr>
            <w:tcW w:w="1609" w:type="dxa"/>
            <w:shd w:val="clear" w:color="auto" w:fill="auto"/>
          </w:tcPr>
          <w:p w14:paraId="5CC8FBB5"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28EE6E42" w14:textId="77777777" w:rsidTr="00C04891">
        <w:trPr>
          <w:cantSplit/>
          <w:jc w:val="center"/>
        </w:trPr>
        <w:tc>
          <w:tcPr>
            <w:tcW w:w="1342" w:type="dxa"/>
            <w:vMerge/>
            <w:shd w:val="clear" w:color="auto" w:fill="auto"/>
          </w:tcPr>
          <w:p w14:paraId="676AA482" w14:textId="77777777" w:rsidR="00271FA2" w:rsidRPr="00F06DE2" w:rsidRDefault="00271FA2">
            <w:pPr>
              <w:spacing w:line="240" w:lineRule="atLeast"/>
              <w:rPr>
                <w:rFonts w:ascii="Times New Roman" w:hAnsi="Times New Roman" w:cs="Times New Roman"/>
                <w:lang w:val="ru-RU"/>
              </w:rPr>
            </w:pPr>
          </w:p>
        </w:tc>
        <w:tc>
          <w:tcPr>
            <w:tcW w:w="1458" w:type="dxa"/>
            <w:vMerge/>
            <w:shd w:val="clear" w:color="auto" w:fill="auto"/>
          </w:tcPr>
          <w:p w14:paraId="01360F48" w14:textId="77777777" w:rsidR="00271FA2" w:rsidRPr="00F06DE2" w:rsidRDefault="00271FA2">
            <w:pPr>
              <w:spacing w:line="240" w:lineRule="atLeast"/>
              <w:rPr>
                <w:rFonts w:ascii="Times New Roman" w:hAnsi="Times New Roman" w:cs="Times New Roman"/>
                <w:lang w:val="ru-RU"/>
              </w:rPr>
            </w:pPr>
          </w:p>
        </w:tc>
        <w:tc>
          <w:tcPr>
            <w:tcW w:w="3296" w:type="dxa"/>
            <w:vMerge/>
            <w:shd w:val="clear" w:color="auto" w:fill="auto"/>
          </w:tcPr>
          <w:p w14:paraId="11F500E5" w14:textId="77777777" w:rsidR="00271FA2" w:rsidRPr="00F06DE2" w:rsidRDefault="00271FA2">
            <w:pPr>
              <w:spacing w:line="240" w:lineRule="atLeast"/>
              <w:rPr>
                <w:rFonts w:ascii="Times New Roman" w:hAnsi="Times New Roman" w:cs="Times New Roman"/>
                <w:lang w:val="ru-RU"/>
              </w:rPr>
            </w:pPr>
          </w:p>
        </w:tc>
        <w:tc>
          <w:tcPr>
            <w:tcW w:w="6324" w:type="dxa"/>
            <w:shd w:val="clear" w:color="auto" w:fill="auto"/>
          </w:tcPr>
          <w:p w14:paraId="7F300C7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всички други кораби:</w:t>
            </w:r>
          </w:p>
          <w:p w14:paraId="715AE3D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46E3B6F3" w14:textId="3DFFFC71"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.2035 г.</w:t>
            </w:r>
          </w:p>
        </w:tc>
      </w:tr>
      <w:tr w:rsidR="00271FA2" w:rsidRPr="00F06DE2" w14:paraId="1F8A9633" w14:textId="77777777" w:rsidTr="00C04891">
        <w:trPr>
          <w:cantSplit/>
          <w:jc w:val="center"/>
        </w:trPr>
        <w:tc>
          <w:tcPr>
            <w:tcW w:w="1342" w:type="dxa"/>
            <w:tcBorders>
              <w:bottom w:val="nil"/>
            </w:tcBorders>
            <w:shd w:val="clear" w:color="auto" w:fill="auto"/>
          </w:tcPr>
          <w:p w14:paraId="5E08959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14.05</w:t>
            </w:r>
          </w:p>
        </w:tc>
        <w:tc>
          <w:tcPr>
            <w:tcW w:w="1458" w:type="dxa"/>
            <w:shd w:val="clear" w:color="auto" w:fill="auto"/>
          </w:tcPr>
          <w:p w14:paraId="0A60BEB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3C81570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Достъп до работните места</w:t>
            </w:r>
          </w:p>
        </w:tc>
        <w:tc>
          <w:tcPr>
            <w:tcW w:w="6324" w:type="dxa"/>
            <w:shd w:val="clear" w:color="auto" w:fill="auto"/>
          </w:tcPr>
          <w:p w14:paraId="48F4C4F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7135299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040B2D80" w14:textId="77777777" w:rsidTr="00C04891">
        <w:trPr>
          <w:cantSplit/>
          <w:jc w:val="center"/>
        </w:trPr>
        <w:tc>
          <w:tcPr>
            <w:tcW w:w="1342" w:type="dxa"/>
            <w:tcBorders>
              <w:top w:val="nil"/>
              <w:bottom w:val="nil"/>
            </w:tcBorders>
            <w:shd w:val="clear" w:color="auto" w:fill="auto"/>
          </w:tcPr>
          <w:p w14:paraId="22B0E97D"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77FA146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2 и 3</w:t>
            </w:r>
          </w:p>
        </w:tc>
        <w:tc>
          <w:tcPr>
            <w:tcW w:w="3296" w:type="dxa"/>
            <w:shd w:val="clear" w:color="auto" w:fill="auto"/>
          </w:tcPr>
          <w:p w14:paraId="4FEDDC3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Врати и входове, изходи и проходи, където има повече от 0,50</w:t>
            </w:r>
            <w:r w:rsidRPr="00F06DE2">
              <w:rPr>
                <w:rFonts w:ascii="Times New Roman" w:hAnsi="Times New Roman" w:cs="Times New Roman"/>
              </w:rPr>
              <w:t> m</w:t>
            </w:r>
            <w:r w:rsidRPr="00F06DE2">
              <w:rPr>
                <w:rFonts w:ascii="Times New Roman" w:hAnsi="Times New Roman" w:cs="Times New Roman"/>
                <w:lang w:val="ru-RU"/>
              </w:rPr>
              <w:t xml:space="preserve"> разлика в равнището на пода</w:t>
            </w:r>
          </w:p>
        </w:tc>
        <w:tc>
          <w:tcPr>
            <w:tcW w:w="6324" w:type="dxa"/>
            <w:shd w:val="clear" w:color="auto" w:fill="auto"/>
          </w:tcPr>
          <w:p w14:paraId="7326A66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2CCB0853"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31A520BB" w14:textId="77777777" w:rsidTr="00C04891">
        <w:trPr>
          <w:cantSplit/>
          <w:jc w:val="center"/>
        </w:trPr>
        <w:tc>
          <w:tcPr>
            <w:tcW w:w="1342" w:type="dxa"/>
            <w:tcBorders>
              <w:top w:val="nil"/>
            </w:tcBorders>
            <w:shd w:val="clear" w:color="auto" w:fill="auto"/>
          </w:tcPr>
          <w:p w14:paraId="3BDD36B5" w14:textId="77777777" w:rsidR="00271FA2" w:rsidRPr="00F06DE2" w:rsidRDefault="00271FA2">
            <w:pPr>
              <w:spacing w:line="240" w:lineRule="atLeast"/>
              <w:rPr>
                <w:rFonts w:ascii="Times New Roman" w:hAnsi="Times New Roman" w:cs="Times New Roman"/>
                <w:lang w:val="ru-RU"/>
              </w:rPr>
            </w:pPr>
          </w:p>
        </w:tc>
        <w:tc>
          <w:tcPr>
            <w:tcW w:w="1458" w:type="dxa"/>
            <w:shd w:val="clear" w:color="auto" w:fill="auto"/>
          </w:tcPr>
          <w:p w14:paraId="308881D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7FEAD96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Стълбища на работните места, където постоянно има хора</w:t>
            </w:r>
          </w:p>
        </w:tc>
        <w:tc>
          <w:tcPr>
            <w:tcW w:w="6324" w:type="dxa"/>
            <w:shd w:val="clear" w:color="auto" w:fill="auto"/>
          </w:tcPr>
          <w:p w14:paraId="6FA2D6E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51C16D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74C85979" w14:textId="77777777" w:rsidTr="00C04891">
        <w:trPr>
          <w:cantSplit/>
          <w:jc w:val="center"/>
        </w:trPr>
        <w:tc>
          <w:tcPr>
            <w:tcW w:w="1342" w:type="dxa"/>
            <w:tcBorders>
              <w:bottom w:val="single" w:sz="4" w:space="0" w:color="auto"/>
            </w:tcBorders>
            <w:shd w:val="clear" w:color="auto" w:fill="auto"/>
          </w:tcPr>
          <w:p w14:paraId="26E56B9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14.06</w:t>
            </w:r>
          </w:p>
        </w:tc>
        <w:tc>
          <w:tcPr>
            <w:tcW w:w="1458" w:type="dxa"/>
            <w:shd w:val="clear" w:color="auto" w:fill="auto"/>
          </w:tcPr>
          <w:p w14:paraId="4A5E636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2217C8C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Изходи и аварийни изходи</w:t>
            </w:r>
          </w:p>
        </w:tc>
        <w:tc>
          <w:tcPr>
            <w:tcW w:w="6324" w:type="dxa"/>
            <w:shd w:val="clear" w:color="auto" w:fill="auto"/>
          </w:tcPr>
          <w:p w14:paraId="057D23E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CD7FB1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75FFEA9F" w14:textId="77777777" w:rsidTr="00C04891">
        <w:trPr>
          <w:cantSplit/>
          <w:jc w:val="center"/>
        </w:trPr>
        <w:tc>
          <w:tcPr>
            <w:tcW w:w="1342" w:type="dxa"/>
            <w:tcBorders>
              <w:bottom w:val="nil"/>
            </w:tcBorders>
            <w:shd w:val="clear" w:color="auto" w:fill="auto"/>
          </w:tcPr>
          <w:p w14:paraId="451D790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14.07</w:t>
            </w:r>
          </w:p>
        </w:tc>
        <w:tc>
          <w:tcPr>
            <w:tcW w:w="1458" w:type="dxa"/>
            <w:shd w:val="clear" w:color="auto" w:fill="auto"/>
          </w:tcPr>
          <w:p w14:paraId="16B90E5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2-ро изречение</w:t>
            </w:r>
          </w:p>
        </w:tc>
        <w:tc>
          <w:tcPr>
            <w:tcW w:w="3296" w:type="dxa"/>
            <w:vMerge w:val="restart"/>
            <w:shd w:val="clear" w:color="auto" w:fill="auto"/>
          </w:tcPr>
          <w:p w14:paraId="5467B85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Подвижни стълби, стъпала и подобни приспособления</w:t>
            </w:r>
          </w:p>
        </w:tc>
        <w:tc>
          <w:tcPr>
            <w:tcW w:w="6324" w:type="dxa"/>
            <w:shd w:val="clear" w:color="auto" w:fill="auto"/>
          </w:tcPr>
          <w:p w14:paraId="2A176C7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FA91E6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27D5B727" w14:textId="77777777" w:rsidTr="00C04891">
        <w:trPr>
          <w:cantSplit/>
          <w:jc w:val="center"/>
        </w:trPr>
        <w:tc>
          <w:tcPr>
            <w:tcW w:w="1342" w:type="dxa"/>
            <w:tcBorders>
              <w:top w:val="nil"/>
            </w:tcBorders>
            <w:shd w:val="clear" w:color="auto" w:fill="auto"/>
          </w:tcPr>
          <w:p w14:paraId="75D8BF1C"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17287E0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2 и 3</w:t>
            </w:r>
          </w:p>
        </w:tc>
        <w:tc>
          <w:tcPr>
            <w:tcW w:w="3296" w:type="dxa"/>
            <w:vMerge/>
            <w:shd w:val="clear" w:color="auto" w:fill="auto"/>
          </w:tcPr>
          <w:p w14:paraId="07767DFA" w14:textId="77777777" w:rsidR="00271FA2" w:rsidRPr="00F06DE2" w:rsidRDefault="00271FA2">
            <w:pPr>
              <w:spacing w:line="240" w:lineRule="atLeast"/>
              <w:jc w:val="both"/>
              <w:rPr>
                <w:rFonts w:ascii="Times New Roman" w:hAnsi="Times New Roman" w:cs="Times New Roman"/>
              </w:rPr>
            </w:pPr>
          </w:p>
        </w:tc>
        <w:tc>
          <w:tcPr>
            <w:tcW w:w="6324" w:type="dxa"/>
            <w:shd w:val="clear" w:color="auto" w:fill="auto"/>
          </w:tcPr>
          <w:p w14:paraId="67CB873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060FD11B"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105A01C6" w14:textId="77777777" w:rsidTr="00C04891">
        <w:trPr>
          <w:cantSplit/>
          <w:jc w:val="center"/>
        </w:trPr>
        <w:tc>
          <w:tcPr>
            <w:tcW w:w="1342" w:type="dxa"/>
            <w:shd w:val="clear" w:color="auto" w:fill="auto"/>
          </w:tcPr>
          <w:p w14:paraId="4CE00B7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14.10</w:t>
            </w:r>
          </w:p>
        </w:tc>
        <w:tc>
          <w:tcPr>
            <w:tcW w:w="1458" w:type="dxa"/>
            <w:shd w:val="clear" w:color="auto" w:fill="auto"/>
          </w:tcPr>
          <w:p w14:paraId="4A23B156"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56570E6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Капаци на люковете</w:t>
            </w:r>
          </w:p>
        </w:tc>
        <w:tc>
          <w:tcPr>
            <w:tcW w:w="6324" w:type="dxa"/>
            <w:shd w:val="clear" w:color="auto" w:fill="auto"/>
          </w:tcPr>
          <w:p w14:paraId="64D151C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4D3BF60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500E0C81" w14:textId="77777777" w:rsidTr="00C04891">
        <w:trPr>
          <w:cantSplit/>
          <w:jc w:val="center"/>
        </w:trPr>
        <w:tc>
          <w:tcPr>
            <w:tcW w:w="1342" w:type="dxa"/>
            <w:shd w:val="clear" w:color="auto" w:fill="auto"/>
          </w:tcPr>
          <w:p w14:paraId="6802C83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14.11</w:t>
            </w:r>
          </w:p>
        </w:tc>
        <w:tc>
          <w:tcPr>
            <w:tcW w:w="1458" w:type="dxa"/>
            <w:shd w:val="clear" w:color="auto" w:fill="auto"/>
          </w:tcPr>
          <w:p w14:paraId="4DC8DF05"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2E209D4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Лебедки</w:t>
            </w:r>
          </w:p>
        </w:tc>
        <w:tc>
          <w:tcPr>
            <w:tcW w:w="6324" w:type="dxa"/>
            <w:shd w:val="clear" w:color="auto" w:fill="auto"/>
          </w:tcPr>
          <w:p w14:paraId="343DA9A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3CA2E3E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30.12.2024 г.</w:t>
            </w:r>
          </w:p>
        </w:tc>
      </w:tr>
      <w:tr w:rsidR="00271FA2" w:rsidRPr="00F06DE2" w14:paraId="5124F682" w14:textId="77777777" w:rsidTr="00C04891">
        <w:trPr>
          <w:cantSplit/>
          <w:jc w:val="center"/>
        </w:trPr>
        <w:tc>
          <w:tcPr>
            <w:tcW w:w="1342" w:type="dxa"/>
            <w:shd w:val="clear" w:color="auto" w:fill="auto"/>
          </w:tcPr>
          <w:p w14:paraId="460286C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14.12</w:t>
            </w:r>
          </w:p>
        </w:tc>
        <w:tc>
          <w:tcPr>
            <w:tcW w:w="1458" w:type="dxa"/>
            <w:shd w:val="clear" w:color="auto" w:fill="auto"/>
          </w:tcPr>
          <w:p w14:paraId="69FA73C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2-6 и точки 8 и 9</w:t>
            </w:r>
          </w:p>
        </w:tc>
        <w:tc>
          <w:tcPr>
            <w:tcW w:w="3296" w:type="dxa"/>
            <w:shd w:val="clear" w:color="auto" w:fill="auto"/>
          </w:tcPr>
          <w:p w14:paraId="4838D5E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Кранове: Табелка на производителя, максимална товароподемност, защитни устройства, доказване чрез изчисления, проверка от експерт, документи на борда на кораба</w:t>
            </w:r>
          </w:p>
        </w:tc>
        <w:tc>
          <w:tcPr>
            <w:tcW w:w="6324" w:type="dxa"/>
            <w:shd w:val="clear" w:color="auto" w:fill="auto"/>
          </w:tcPr>
          <w:p w14:paraId="4772469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060A387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719F76DE" w14:textId="77777777" w:rsidTr="00C04891">
        <w:trPr>
          <w:cantSplit/>
          <w:jc w:val="center"/>
        </w:trPr>
        <w:tc>
          <w:tcPr>
            <w:tcW w:w="1342" w:type="dxa"/>
            <w:shd w:val="clear" w:color="auto" w:fill="auto"/>
          </w:tcPr>
          <w:p w14:paraId="1211CBC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14.13</w:t>
            </w:r>
          </w:p>
        </w:tc>
        <w:tc>
          <w:tcPr>
            <w:tcW w:w="1458" w:type="dxa"/>
            <w:shd w:val="clear" w:color="auto" w:fill="auto"/>
          </w:tcPr>
          <w:p w14:paraId="4FC3FA2B"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2C61322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Съхранение на запалими течности</w:t>
            </w:r>
          </w:p>
        </w:tc>
        <w:tc>
          <w:tcPr>
            <w:tcW w:w="6324" w:type="dxa"/>
            <w:shd w:val="clear" w:color="auto" w:fill="auto"/>
          </w:tcPr>
          <w:p w14:paraId="27CD65D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0DC8F659"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722BDAC0" w14:textId="77777777" w:rsidTr="00C04891">
        <w:trPr>
          <w:cantSplit/>
          <w:jc w:val="center"/>
        </w:trPr>
        <w:tc>
          <w:tcPr>
            <w:tcW w:w="6096" w:type="dxa"/>
            <w:gridSpan w:val="3"/>
            <w:shd w:val="clear" w:color="auto" w:fill="auto"/>
          </w:tcPr>
          <w:p w14:paraId="0DA007E1"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15</w:t>
            </w:r>
          </w:p>
        </w:tc>
        <w:tc>
          <w:tcPr>
            <w:tcW w:w="6324" w:type="dxa"/>
            <w:shd w:val="clear" w:color="auto" w:fill="auto"/>
          </w:tcPr>
          <w:p w14:paraId="4F5B0580"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71EED344" w14:textId="77777777" w:rsidR="00271FA2" w:rsidRPr="00F06DE2" w:rsidRDefault="00271FA2">
            <w:pPr>
              <w:spacing w:line="240" w:lineRule="atLeast"/>
              <w:rPr>
                <w:rFonts w:ascii="Times New Roman" w:hAnsi="Times New Roman" w:cs="Times New Roman"/>
              </w:rPr>
            </w:pPr>
          </w:p>
        </w:tc>
      </w:tr>
      <w:tr w:rsidR="00271FA2" w:rsidRPr="00F06DE2" w14:paraId="112B3E0D" w14:textId="77777777" w:rsidTr="00C04891">
        <w:trPr>
          <w:cantSplit/>
          <w:jc w:val="center"/>
        </w:trPr>
        <w:tc>
          <w:tcPr>
            <w:tcW w:w="1342" w:type="dxa"/>
            <w:tcBorders>
              <w:bottom w:val="single" w:sz="4" w:space="0" w:color="auto"/>
            </w:tcBorders>
            <w:shd w:val="clear" w:color="auto" w:fill="auto"/>
          </w:tcPr>
          <w:p w14:paraId="1773EC1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15.01</w:t>
            </w:r>
          </w:p>
        </w:tc>
        <w:tc>
          <w:tcPr>
            <w:tcW w:w="1458" w:type="dxa"/>
            <w:shd w:val="clear" w:color="auto" w:fill="auto"/>
          </w:tcPr>
          <w:p w14:paraId="5535F1D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118AE49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Жилищни помещения за лицата, обичайно настанени на борда</w:t>
            </w:r>
          </w:p>
        </w:tc>
        <w:tc>
          <w:tcPr>
            <w:tcW w:w="6324" w:type="dxa"/>
            <w:shd w:val="clear" w:color="auto" w:fill="auto"/>
          </w:tcPr>
          <w:p w14:paraId="18709D3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334C4CC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35412E7F" w14:textId="77777777" w:rsidTr="00C04891">
        <w:trPr>
          <w:cantSplit/>
          <w:jc w:val="center"/>
        </w:trPr>
        <w:tc>
          <w:tcPr>
            <w:tcW w:w="1342" w:type="dxa"/>
            <w:tcBorders>
              <w:bottom w:val="nil"/>
            </w:tcBorders>
            <w:shd w:val="clear" w:color="auto" w:fill="auto"/>
          </w:tcPr>
          <w:p w14:paraId="42F8299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15.02</w:t>
            </w:r>
          </w:p>
        </w:tc>
        <w:tc>
          <w:tcPr>
            <w:tcW w:w="1458" w:type="dxa"/>
            <w:shd w:val="clear" w:color="auto" w:fill="auto"/>
          </w:tcPr>
          <w:p w14:paraId="455FD6B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08BD6DB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Разположение на етажите</w:t>
            </w:r>
          </w:p>
        </w:tc>
        <w:tc>
          <w:tcPr>
            <w:tcW w:w="6324" w:type="dxa"/>
            <w:shd w:val="clear" w:color="auto" w:fill="auto"/>
          </w:tcPr>
          <w:p w14:paraId="6627F97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69B776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7108F19D" w14:textId="77777777" w:rsidTr="00C04891">
        <w:trPr>
          <w:cantSplit/>
          <w:jc w:val="center"/>
        </w:trPr>
        <w:tc>
          <w:tcPr>
            <w:tcW w:w="1342" w:type="dxa"/>
            <w:tcBorders>
              <w:top w:val="nil"/>
              <w:bottom w:val="nil"/>
            </w:tcBorders>
            <w:shd w:val="clear" w:color="auto" w:fill="auto"/>
          </w:tcPr>
          <w:p w14:paraId="20A183D3"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6F4AE64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27712D9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Жилищни помещения за общо ползване и спални каюти</w:t>
            </w:r>
          </w:p>
        </w:tc>
        <w:tc>
          <w:tcPr>
            <w:tcW w:w="6324" w:type="dxa"/>
            <w:shd w:val="clear" w:color="auto" w:fill="auto"/>
          </w:tcPr>
          <w:p w14:paraId="3BEE3CF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3DA4A98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51EC5657" w14:textId="77777777" w:rsidTr="00C04891">
        <w:trPr>
          <w:cantSplit/>
          <w:jc w:val="center"/>
        </w:trPr>
        <w:tc>
          <w:tcPr>
            <w:tcW w:w="1342" w:type="dxa"/>
            <w:tcBorders>
              <w:top w:val="nil"/>
              <w:bottom w:val="nil"/>
            </w:tcBorders>
            <w:shd w:val="clear" w:color="auto" w:fill="auto"/>
          </w:tcPr>
          <w:p w14:paraId="7F2A161B"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0C9F169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4E32D11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Шум и вибрации в жилищните помещения</w:t>
            </w:r>
          </w:p>
        </w:tc>
        <w:tc>
          <w:tcPr>
            <w:tcW w:w="6324" w:type="dxa"/>
            <w:shd w:val="clear" w:color="auto" w:fill="auto"/>
          </w:tcPr>
          <w:p w14:paraId="0E8CFDB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1EED19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7B4E14FA" w14:textId="77777777" w:rsidTr="00C04891">
        <w:trPr>
          <w:cantSplit/>
          <w:jc w:val="center"/>
        </w:trPr>
        <w:tc>
          <w:tcPr>
            <w:tcW w:w="1342" w:type="dxa"/>
            <w:tcBorders>
              <w:top w:val="nil"/>
              <w:bottom w:val="nil"/>
            </w:tcBorders>
            <w:shd w:val="clear" w:color="auto" w:fill="auto"/>
          </w:tcPr>
          <w:p w14:paraId="72B92D6E"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4510CF6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30F1280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Височина на таваните в жилищните помещения</w:t>
            </w:r>
          </w:p>
        </w:tc>
        <w:tc>
          <w:tcPr>
            <w:tcW w:w="6324" w:type="dxa"/>
            <w:shd w:val="clear" w:color="auto" w:fill="auto"/>
          </w:tcPr>
          <w:p w14:paraId="2E99D30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E40E99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49049230" w14:textId="77777777" w:rsidTr="00C04891">
        <w:trPr>
          <w:cantSplit/>
          <w:jc w:val="center"/>
        </w:trPr>
        <w:tc>
          <w:tcPr>
            <w:tcW w:w="1342" w:type="dxa"/>
            <w:tcBorders>
              <w:top w:val="nil"/>
              <w:bottom w:val="nil"/>
            </w:tcBorders>
            <w:shd w:val="clear" w:color="auto" w:fill="auto"/>
          </w:tcPr>
          <w:p w14:paraId="7D87B3D3"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A0AB35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8</w:t>
            </w:r>
          </w:p>
        </w:tc>
        <w:tc>
          <w:tcPr>
            <w:tcW w:w="3296" w:type="dxa"/>
            <w:shd w:val="clear" w:color="auto" w:fill="auto"/>
          </w:tcPr>
          <w:p w14:paraId="678EFD0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Свободна площ в жилищните помещения за общо ползване</w:t>
            </w:r>
          </w:p>
        </w:tc>
        <w:tc>
          <w:tcPr>
            <w:tcW w:w="6324" w:type="dxa"/>
            <w:shd w:val="clear" w:color="auto" w:fill="auto"/>
          </w:tcPr>
          <w:p w14:paraId="738DC90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1655F4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1C835466" w14:textId="77777777" w:rsidTr="00C04891">
        <w:trPr>
          <w:cantSplit/>
          <w:jc w:val="center"/>
        </w:trPr>
        <w:tc>
          <w:tcPr>
            <w:tcW w:w="1342" w:type="dxa"/>
            <w:tcBorders>
              <w:top w:val="nil"/>
              <w:bottom w:val="nil"/>
            </w:tcBorders>
            <w:shd w:val="clear" w:color="auto" w:fill="auto"/>
          </w:tcPr>
          <w:p w14:paraId="4F691726"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0DA9F33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4BE503E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Кубатура на помещенията</w:t>
            </w:r>
          </w:p>
        </w:tc>
        <w:tc>
          <w:tcPr>
            <w:tcW w:w="6324" w:type="dxa"/>
            <w:shd w:val="clear" w:color="auto" w:fill="auto"/>
          </w:tcPr>
          <w:p w14:paraId="2BD2F30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6C346E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5F383CBF" w14:textId="77777777" w:rsidTr="00C04891">
        <w:trPr>
          <w:cantSplit/>
          <w:jc w:val="center"/>
        </w:trPr>
        <w:tc>
          <w:tcPr>
            <w:tcW w:w="1342" w:type="dxa"/>
            <w:tcBorders>
              <w:top w:val="nil"/>
              <w:bottom w:val="nil"/>
            </w:tcBorders>
            <w:shd w:val="clear" w:color="auto" w:fill="auto"/>
          </w:tcPr>
          <w:p w14:paraId="7549900A"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2227B84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10</w:t>
            </w:r>
          </w:p>
        </w:tc>
        <w:tc>
          <w:tcPr>
            <w:tcW w:w="3296" w:type="dxa"/>
            <w:shd w:val="clear" w:color="auto" w:fill="auto"/>
          </w:tcPr>
          <w:p w14:paraId="68D67F1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Обем въздух на човек</w:t>
            </w:r>
          </w:p>
        </w:tc>
        <w:tc>
          <w:tcPr>
            <w:tcW w:w="6324" w:type="dxa"/>
            <w:shd w:val="clear" w:color="auto" w:fill="auto"/>
          </w:tcPr>
          <w:p w14:paraId="07D6B81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361850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28ED9D65" w14:textId="77777777" w:rsidTr="00C04891">
        <w:trPr>
          <w:cantSplit/>
          <w:jc w:val="center"/>
        </w:trPr>
        <w:tc>
          <w:tcPr>
            <w:tcW w:w="1342" w:type="dxa"/>
            <w:tcBorders>
              <w:top w:val="nil"/>
              <w:bottom w:val="nil"/>
            </w:tcBorders>
            <w:shd w:val="clear" w:color="auto" w:fill="auto"/>
          </w:tcPr>
          <w:p w14:paraId="0B7F4CDF"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2DB4C68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11, буква “а”</w:t>
            </w:r>
          </w:p>
          <w:p w14:paraId="0B31EA4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11, буква “в”</w:t>
            </w:r>
          </w:p>
          <w:p w14:paraId="14F4DA6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11, буква “г”</w:t>
            </w:r>
          </w:p>
        </w:tc>
        <w:tc>
          <w:tcPr>
            <w:tcW w:w="3296" w:type="dxa"/>
            <w:shd w:val="clear" w:color="auto" w:fill="auto"/>
          </w:tcPr>
          <w:p w14:paraId="106BF8B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Размери на вратите</w:t>
            </w:r>
          </w:p>
          <w:p w14:paraId="19304C29" w14:textId="77777777" w:rsidR="00271FA2" w:rsidRPr="00F06DE2" w:rsidRDefault="00D35E51">
            <w:pPr>
              <w:spacing w:line="240" w:lineRule="atLeast"/>
              <w:ind w:left="2"/>
              <w:jc w:val="both"/>
              <w:rPr>
                <w:rFonts w:ascii="Times New Roman" w:hAnsi="Times New Roman" w:cs="Times New Roman"/>
                <w:lang w:val="ru-RU"/>
              </w:rPr>
            </w:pPr>
            <w:r w:rsidRPr="00F06DE2">
              <w:rPr>
                <w:rFonts w:ascii="Times New Roman" w:hAnsi="Times New Roman" w:cs="Times New Roman"/>
                <w:lang w:val="ru-RU"/>
              </w:rPr>
              <w:t>Врати, които са разположени по пътищата за евакуация</w:t>
            </w:r>
          </w:p>
          <w:p w14:paraId="6CE67AA9" w14:textId="77777777" w:rsidR="00271FA2" w:rsidRPr="00F06DE2" w:rsidRDefault="00271FA2">
            <w:pPr>
              <w:spacing w:line="240" w:lineRule="atLeast"/>
              <w:jc w:val="both"/>
              <w:rPr>
                <w:rFonts w:ascii="Times New Roman" w:hAnsi="Times New Roman" w:cs="Times New Roman"/>
                <w:lang w:val="ru-RU"/>
              </w:rPr>
            </w:pPr>
          </w:p>
          <w:p w14:paraId="60FCA752" w14:textId="77777777" w:rsidR="00271FA2" w:rsidRPr="00F06DE2" w:rsidRDefault="00D35E51">
            <w:pPr>
              <w:spacing w:line="240" w:lineRule="atLeast"/>
              <w:ind w:left="2"/>
              <w:jc w:val="both"/>
              <w:rPr>
                <w:rFonts w:ascii="Times New Roman" w:hAnsi="Times New Roman" w:cs="Times New Roman"/>
              </w:rPr>
            </w:pPr>
            <w:r w:rsidRPr="00F06DE2">
              <w:rPr>
                <w:rFonts w:ascii="Times New Roman" w:hAnsi="Times New Roman" w:cs="Times New Roman"/>
              </w:rPr>
              <w:t>Врати, които са заключени отвътре</w:t>
            </w:r>
          </w:p>
          <w:p w14:paraId="57ABCD6E" w14:textId="77777777" w:rsidR="00271FA2" w:rsidRPr="00F06DE2" w:rsidRDefault="00271FA2">
            <w:pPr>
              <w:spacing w:line="240" w:lineRule="atLeast"/>
              <w:jc w:val="both"/>
              <w:rPr>
                <w:rFonts w:ascii="Times New Roman" w:hAnsi="Times New Roman" w:cs="Times New Roman"/>
              </w:rPr>
            </w:pPr>
          </w:p>
        </w:tc>
        <w:tc>
          <w:tcPr>
            <w:tcW w:w="6324" w:type="dxa"/>
            <w:shd w:val="clear" w:color="auto" w:fill="auto"/>
          </w:tcPr>
          <w:p w14:paraId="74F4CA3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6DFF080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6BE40993"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2650312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p w14:paraId="6D7B9763" w14:textId="77777777" w:rsidR="00271FA2" w:rsidRPr="00F06DE2" w:rsidRDefault="00271FA2">
            <w:pPr>
              <w:spacing w:line="240" w:lineRule="atLeast"/>
              <w:jc w:val="both"/>
              <w:rPr>
                <w:rFonts w:ascii="Times New Roman" w:hAnsi="Times New Roman" w:cs="Times New Roman"/>
              </w:rPr>
            </w:pPr>
          </w:p>
          <w:p w14:paraId="396B9D76" w14:textId="6F2A341B"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A71FC1" w:rsidRPr="00F06DE2">
              <w:rPr>
                <w:rFonts w:ascii="Times New Roman" w:hAnsi="Times New Roman" w:cs="Times New Roman"/>
              </w:rPr>
              <w:t>.</w:t>
            </w:r>
            <w:r w:rsidR="00D35E51" w:rsidRPr="00F06DE2">
              <w:rPr>
                <w:rFonts w:ascii="Times New Roman" w:hAnsi="Times New Roman" w:cs="Times New Roman"/>
              </w:rPr>
              <w:t>2052 г.</w:t>
            </w:r>
          </w:p>
          <w:p w14:paraId="7084924E" w14:textId="5919D85E" w:rsidR="00271FA2" w:rsidRPr="00F06DE2" w:rsidRDefault="00800C61">
            <w:pPr>
              <w:spacing w:line="240" w:lineRule="atLeast"/>
              <w:jc w:val="both"/>
              <w:rPr>
                <w:rFonts w:ascii="Times New Roman" w:hAnsi="Times New Roman" w:cs="Times New Roman"/>
              </w:rPr>
            </w:pPr>
            <w:r w:rsidRPr="00F06DE2">
              <w:rPr>
                <w:rFonts w:ascii="Times New Roman" w:hAnsi="Times New Roman" w:cs="Times New Roman"/>
              </w:rPr>
              <w:t>01.01</w:t>
            </w:r>
            <w:r w:rsidR="00596907" w:rsidRPr="00F06DE2">
              <w:rPr>
                <w:rFonts w:ascii="Times New Roman" w:hAnsi="Times New Roman" w:cs="Times New Roman"/>
              </w:rPr>
              <w:t>.</w:t>
            </w:r>
            <w:r w:rsidR="00D35E51" w:rsidRPr="00F06DE2">
              <w:rPr>
                <w:rFonts w:ascii="Times New Roman" w:hAnsi="Times New Roman" w:cs="Times New Roman"/>
              </w:rPr>
              <w:t>2027 г.</w:t>
            </w:r>
          </w:p>
        </w:tc>
      </w:tr>
      <w:tr w:rsidR="00271FA2" w:rsidRPr="00F06DE2" w14:paraId="3E90E974" w14:textId="77777777" w:rsidTr="00C04891">
        <w:trPr>
          <w:cantSplit/>
          <w:jc w:val="center"/>
        </w:trPr>
        <w:tc>
          <w:tcPr>
            <w:tcW w:w="1342" w:type="dxa"/>
            <w:tcBorders>
              <w:top w:val="nil"/>
              <w:bottom w:val="nil"/>
            </w:tcBorders>
            <w:shd w:val="clear" w:color="auto" w:fill="auto"/>
          </w:tcPr>
          <w:p w14:paraId="3EBBE443"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4930BD8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Точка 12, букви “</w:t>
            </w:r>
            <w:r w:rsidRPr="00F06DE2">
              <w:rPr>
                <w:rFonts w:ascii="Times New Roman" w:hAnsi="Times New Roman" w:cs="Times New Roman"/>
              </w:rPr>
              <w:t>a</w:t>
            </w:r>
            <w:r w:rsidRPr="00F06DE2">
              <w:rPr>
                <w:rFonts w:ascii="Times New Roman" w:hAnsi="Times New Roman" w:cs="Times New Roman"/>
                <w:lang w:val="ru-RU"/>
              </w:rPr>
              <w:t>” и” б”</w:t>
            </w:r>
          </w:p>
        </w:tc>
        <w:tc>
          <w:tcPr>
            <w:tcW w:w="3296" w:type="dxa"/>
            <w:shd w:val="clear" w:color="auto" w:fill="auto"/>
          </w:tcPr>
          <w:p w14:paraId="6DE2A533"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Разположение на стълбищата</w:t>
            </w:r>
          </w:p>
        </w:tc>
        <w:tc>
          <w:tcPr>
            <w:tcW w:w="6324" w:type="dxa"/>
            <w:shd w:val="clear" w:color="auto" w:fill="auto"/>
          </w:tcPr>
          <w:p w14:paraId="2AE87D3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341902E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3D002F37" w14:textId="77777777" w:rsidTr="00C04891">
        <w:trPr>
          <w:cantSplit/>
          <w:jc w:val="center"/>
        </w:trPr>
        <w:tc>
          <w:tcPr>
            <w:tcW w:w="1342" w:type="dxa"/>
            <w:tcBorders>
              <w:top w:val="nil"/>
            </w:tcBorders>
            <w:shd w:val="clear" w:color="auto" w:fill="auto"/>
          </w:tcPr>
          <w:p w14:paraId="5858CDF2"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61E1AFB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2A1E70B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Тръби, пренасящи опасни газове или течности</w:t>
            </w:r>
          </w:p>
        </w:tc>
        <w:tc>
          <w:tcPr>
            <w:tcW w:w="6324" w:type="dxa"/>
            <w:shd w:val="clear" w:color="auto" w:fill="auto"/>
          </w:tcPr>
          <w:p w14:paraId="6CD724F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4B348E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16BDBA12" w14:textId="77777777" w:rsidTr="00C04891">
        <w:trPr>
          <w:cantSplit/>
          <w:jc w:val="center"/>
        </w:trPr>
        <w:tc>
          <w:tcPr>
            <w:tcW w:w="1342" w:type="dxa"/>
            <w:shd w:val="clear" w:color="auto" w:fill="auto"/>
          </w:tcPr>
          <w:p w14:paraId="4B20296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15.03</w:t>
            </w:r>
          </w:p>
        </w:tc>
        <w:tc>
          <w:tcPr>
            <w:tcW w:w="1458" w:type="dxa"/>
            <w:shd w:val="clear" w:color="auto" w:fill="auto"/>
          </w:tcPr>
          <w:p w14:paraId="2BE0EE6B"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6F2759D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Санитарни съоръжения</w:t>
            </w:r>
          </w:p>
        </w:tc>
        <w:tc>
          <w:tcPr>
            <w:tcW w:w="6324" w:type="dxa"/>
            <w:shd w:val="clear" w:color="auto" w:fill="auto"/>
          </w:tcPr>
          <w:p w14:paraId="53AE2DD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C21C63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0289C77E" w14:textId="77777777" w:rsidTr="00C04891">
        <w:trPr>
          <w:cantSplit/>
          <w:jc w:val="center"/>
        </w:trPr>
        <w:tc>
          <w:tcPr>
            <w:tcW w:w="1342" w:type="dxa"/>
            <w:shd w:val="clear" w:color="auto" w:fill="auto"/>
          </w:tcPr>
          <w:p w14:paraId="0797FDB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15.04</w:t>
            </w:r>
          </w:p>
        </w:tc>
        <w:tc>
          <w:tcPr>
            <w:tcW w:w="1458" w:type="dxa"/>
            <w:shd w:val="clear" w:color="auto" w:fill="auto"/>
          </w:tcPr>
          <w:p w14:paraId="6CECF94B"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5A24ABB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Камбузи</w:t>
            </w:r>
          </w:p>
        </w:tc>
        <w:tc>
          <w:tcPr>
            <w:tcW w:w="6324" w:type="dxa"/>
            <w:shd w:val="clear" w:color="auto" w:fill="auto"/>
          </w:tcPr>
          <w:p w14:paraId="4BDC032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527235E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1B1304" w:rsidRPr="00F06DE2" w14:paraId="3B4BB153" w14:textId="77777777" w:rsidTr="00C04891">
        <w:trPr>
          <w:cantSplit/>
          <w:jc w:val="center"/>
        </w:trPr>
        <w:tc>
          <w:tcPr>
            <w:tcW w:w="1342" w:type="dxa"/>
            <w:shd w:val="clear" w:color="auto" w:fill="auto"/>
          </w:tcPr>
          <w:p w14:paraId="45450AAC" w14:textId="7A38D0FA" w:rsidR="001B1304" w:rsidRPr="00F06DE2" w:rsidDel="001B1304" w:rsidRDefault="001B1304">
            <w:pPr>
              <w:spacing w:line="240" w:lineRule="atLeast"/>
              <w:jc w:val="both"/>
              <w:rPr>
                <w:rFonts w:ascii="Times New Roman" w:hAnsi="Times New Roman" w:cs="Times New Roman"/>
              </w:rPr>
            </w:pPr>
            <w:r w:rsidRPr="00F06DE2">
              <w:rPr>
                <w:rFonts w:ascii="Times New Roman" w:hAnsi="Times New Roman" w:cs="Times New Roman"/>
              </w:rPr>
              <w:t>15.05</w:t>
            </w:r>
          </w:p>
        </w:tc>
        <w:tc>
          <w:tcPr>
            <w:tcW w:w="1458" w:type="dxa"/>
            <w:shd w:val="clear" w:color="auto" w:fill="auto"/>
          </w:tcPr>
          <w:p w14:paraId="04B74BD8" w14:textId="2C260B58" w:rsidR="001B1304" w:rsidRPr="00F06DE2" w:rsidRDefault="001B1304">
            <w:pPr>
              <w:spacing w:line="240" w:lineRule="atLeast"/>
              <w:jc w:val="both"/>
              <w:rPr>
                <w:rFonts w:ascii="Times New Roman" w:hAnsi="Times New Roman" w:cs="Times New Roman"/>
              </w:rPr>
            </w:pPr>
            <w:r w:rsidRPr="00F06DE2">
              <w:rPr>
                <w:rFonts w:ascii="Times New Roman" w:hAnsi="Times New Roman" w:cs="Times New Roman"/>
              </w:rPr>
              <w:t>Точка (1), 2-ро изречение</w:t>
            </w:r>
          </w:p>
        </w:tc>
        <w:tc>
          <w:tcPr>
            <w:tcW w:w="3296" w:type="dxa"/>
            <w:shd w:val="clear" w:color="auto" w:fill="auto"/>
          </w:tcPr>
          <w:p w14:paraId="06E54B67" w14:textId="2E2AD61A" w:rsidR="001B1304" w:rsidRPr="00F06DE2" w:rsidDel="001B1304" w:rsidRDefault="001B1304">
            <w:pPr>
              <w:spacing w:line="240" w:lineRule="atLeast"/>
              <w:jc w:val="both"/>
              <w:rPr>
                <w:rFonts w:ascii="Times New Roman" w:hAnsi="Times New Roman" w:cs="Times New Roman"/>
                <w:color w:val="000000"/>
                <w:lang w:val="ru-RU"/>
              </w:rPr>
            </w:pPr>
            <w:r w:rsidRPr="00F06DE2">
              <w:rPr>
                <w:rFonts w:ascii="Times New Roman" w:hAnsi="Times New Roman" w:cs="Times New Roman"/>
                <w:color w:val="000000"/>
                <w:lang w:val="ru-RU"/>
              </w:rPr>
              <w:t>Пълнителен отвор на резервоарите за питейна вода</w:t>
            </w:r>
          </w:p>
        </w:tc>
        <w:tc>
          <w:tcPr>
            <w:tcW w:w="6324" w:type="dxa"/>
            <w:shd w:val="clear" w:color="auto" w:fill="auto"/>
          </w:tcPr>
          <w:p w14:paraId="258A6F28" w14:textId="6241761D" w:rsidR="001B1304" w:rsidRPr="00F06DE2" w:rsidDel="001B1304" w:rsidRDefault="001B1304">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НЗР, най-късно при подновяване на Корабното удостоверение за вътрешно корабоплаване </w:t>
            </w:r>
          </w:p>
        </w:tc>
        <w:tc>
          <w:tcPr>
            <w:tcW w:w="1609" w:type="dxa"/>
            <w:shd w:val="clear" w:color="auto" w:fill="auto"/>
          </w:tcPr>
          <w:p w14:paraId="4AD728F9" w14:textId="77777777" w:rsidR="001B1304" w:rsidRPr="00F06DE2" w:rsidRDefault="001B1304">
            <w:pPr>
              <w:spacing w:line="240" w:lineRule="atLeast"/>
              <w:jc w:val="both"/>
              <w:rPr>
                <w:rFonts w:ascii="Times New Roman" w:hAnsi="Times New Roman" w:cs="Times New Roman"/>
                <w:lang w:val="ru-RU"/>
              </w:rPr>
            </w:pPr>
          </w:p>
        </w:tc>
      </w:tr>
      <w:tr w:rsidR="00271FA2" w:rsidRPr="00F06DE2" w14:paraId="07376202" w14:textId="77777777" w:rsidTr="00C04891">
        <w:trPr>
          <w:cantSplit/>
          <w:jc w:val="center"/>
        </w:trPr>
        <w:tc>
          <w:tcPr>
            <w:tcW w:w="1342" w:type="dxa"/>
            <w:shd w:val="clear" w:color="auto" w:fill="auto"/>
          </w:tcPr>
          <w:p w14:paraId="230C6D3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15.06</w:t>
            </w:r>
          </w:p>
        </w:tc>
        <w:tc>
          <w:tcPr>
            <w:tcW w:w="1458" w:type="dxa"/>
            <w:shd w:val="clear" w:color="auto" w:fill="auto"/>
          </w:tcPr>
          <w:p w14:paraId="2EC675B4"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0E9E4001" w14:textId="77777777" w:rsidR="00271FA2" w:rsidRPr="00F06DE2" w:rsidRDefault="00D35E51">
            <w:pPr>
              <w:spacing w:line="240" w:lineRule="atLeast"/>
              <w:jc w:val="both"/>
              <w:rPr>
                <w:rFonts w:ascii="Times New Roman" w:hAnsi="Times New Roman" w:cs="Times New Roman"/>
                <w:color w:val="000000"/>
              </w:rPr>
            </w:pPr>
            <w:r w:rsidRPr="00F06DE2">
              <w:rPr>
                <w:rFonts w:ascii="Times New Roman" w:hAnsi="Times New Roman" w:cs="Times New Roman"/>
              </w:rPr>
              <w:t>Отопление и вентилация</w:t>
            </w:r>
          </w:p>
        </w:tc>
        <w:tc>
          <w:tcPr>
            <w:tcW w:w="6324" w:type="dxa"/>
            <w:shd w:val="clear" w:color="auto" w:fill="auto"/>
          </w:tcPr>
          <w:p w14:paraId="680A100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5158FB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6F67D51F" w14:textId="77777777" w:rsidTr="00C04891">
        <w:trPr>
          <w:cantSplit/>
          <w:jc w:val="center"/>
        </w:trPr>
        <w:tc>
          <w:tcPr>
            <w:tcW w:w="1342" w:type="dxa"/>
            <w:shd w:val="clear" w:color="auto" w:fill="auto"/>
          </w:tcPr>
          <w:p w14:paraId="72B7AA3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15.07</w:t>
            </w:r>
          </w:p>
        </w:tc>
        <w:tc>
          <w:tcPr>
            <w:tcW w:w="1458" w:type="dxa"/>
            <w:shd w:val="clear" w:color="auto" w:fill="auto"/>
          </w:tcPr>
          <w:p w14:paraId="0B0AB2E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 2-ро изречение</w:t>
            </w:r>
          </w:p>
        </w:tc>
        <w:tc>
          <w:tcPr>
            <w:tcW w:w="3296" w:type="dxa"/>
            <w:shd w:val="clear" w:color="auto" w:fill="auto"/>
          </w:tcPr>
          <w:p w14:paraId="347D884E" w14:textId="77777777" w:rsidR="00271FA2" w:rsidRPr="00F06DE2" w:rsidRDefault="00D35E51">
            <w:pPr>
              <w:spacing w:line="240" w:lineRule="atLeast"/>
              <w:jc w:val="both"/>
              <w:rPr>
                <w:rFonts w:ascii="Times New Roman" w:hAnsi="Times New Roman" w:cs="Times New Roman"/>
                <w:color w:val="000000"/>
                <w:lang w:val="ru-RU"/>
              </w:rPr>
            </w:pPr>
            <w:r w:rsidRPr="00F06DE2">
              <w:rPr>
                <w:rFonts w:ascii="Times New Roman" w:hAnsi="Times New Roman" w:cs="Times New Roman"/>
                <w:lang w:val="ru-RU"/>
              </w:rPr>
              <w:t>Други съоръжения в жилищните помещения</w:t>
            </w:r>
          </w:p>
        </w:tc>
        <w:tc>
          <w:tcPr>
            <w:tcW w:w="6324" w:type="dxa"/>
            <w:shd w:val="clear" w:color="auto" w:fill="auto"/>
          </w:tcPr>
          <w:p w14:paraId="71F2AFE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p w14:paraId="7CEFEC40" w14:textId="77777777" w:rsidR="001F7070" w:rsidRPr="00F06DE2" w:rsidRDefault="001F7070">
            <w:pPr>
              <w:spacing w:line="240" w:lineRule="atLeast"/>
              <w:jc w:val="both"/>
              <w:rPr>
                <w:rFonts w:ascii="Times New Roman" w:hAnsi="Times New Roman" w:cs="Times New Roman"/>
                <w:lang w:val="ru-RU"/>
              </w:rPr>
            </w:pPr>
          </w:p>
          <w:p w14:paraId="20459780" w14:textId="77777777" w:rsidR="001F7070" w:rsidRPr="00F06DE2" w:rsidRDefault="001F7070">
            <w:pPr>
              <w:spacing w:line="240" w:lineRule="atLeast"/>
              <w:jc w:val="both"/>
              <w:rPr>
                <w:rFonts w:ascii="Times New Roman" w:hAnsi="Times New Roman" w:cs="Times New Roman"/>
                <w:lang w:val="ru-RU"/>
              </w:rPr>
            </w:pPr>
          </w:p>
          <w:p w14:paraId="4EE2EA02" w14:textId="267CE40D" w:rsidR="001F7070" w:rsidRPr="00F06DE2" w:rsidRDefault="001F7070">
            <w:pPr>
              <w:spacing w:line="240" w:lineRule="atLeast"/>
              <w:jc w:val="both"/>
              <w:rPr>
                <w:rFonts w:ascii="Times New Roman" w:hAnsi="Times New Roman" w:cs="Times New Roman"/>
                <w:lang w:val="ru-RU"/>
              </w:rPr>
            </w:pPr>
          </w:p>
        </w:tc>
        <w:tc>
          <w:tcPr>
            <w:tcW w:w="1609" w:type="dxa"/>
            <w:shd w:val="clear" w:color="auto" w:fill="auto"/>
          </w:tcPr>
          <w:p w14:paraId="7238281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7895B790" w14:textId="77777777" w:rsidTr="00C04891">
        <w:trPr>
          <w:cantSplit/>
          <w:trHeight w:val="70"/>
          <w:jc w:val="center"/>
        </w:trPr>
        <w:tc>
          <w:tcPr>
            <w:tcW w:w="6096" w:type="dxa"/>
            <w:gridSpan w:val="3"/>
            <w:shd w:val="clear" w:color="auto" w:fill="auto"/>
          </w:tcPr>
          <w:p w14:paraId="7D67F860"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lastRenderedPageBreak/>
              <w:t>ГЛАВА 18</w:t>
            </w:r>
          </w:p>
        </w:tc>
        <w:tc>
          <w:tcPr>
            <w:tcW w:w="6324" w:type="dxa"/>
            <w:shd w:val="clear" w:color="auto" w:fill="auto"/>
          </w:tcPr>
          <w:p w14:paraId="18B06D4B"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435D97CF" w14:textId="77777777" w:rsidR="00271FA2" w:rsidRPr="00F06DE2" w:rsidRDefault="00271FA2">
            <w:pPr>
              <w:spacing w:line="240" w:lineRule="atLeast"/>
              <w:rPr>
                <w:rFonts w:ascii="Times New Roman" w:hAnsi="Times New Roman" w:cs="Times New Roman"/>
              </w:rPr>
            </w:pPr>
          </w:p>
        </w:tc>
      </w:tr>
      <w:tr w:rsidR="001B1304" w:rsidRPr="00F06DE2" w14:paraId="61586CCB" w14:textId="77777777" w:rsidTr="00C04891">
        <w:trPr>
          <w:cantSplit/>
          <w:jc w:val="center"/>
        </w:trPr>
        <w:tc>
          <w:tcPr>
            <w:tcW w:w="1342" w:type="dxa"/>
            <w:vMerge w:val="restart"/>
            <w:shd w:val="clear" w:color="auto" w:fill="auto"/>
          </w:tcPr>
          <w:p w14:paraId="22B00793" w14:textId="77777777" w:rsidR="001B1304" w:rsidRPr="00F06DE2" w:rsidRDefault="001B1304">
            <w:pPr>
              <w:spacing w:line="240" w:lineRule="atLeast"/>
              <w:jc w:val="both"/>
              <w:rPr>
                <w:rFonts w:ascii="Times New Roman" w:hAnsi="Times New Roman" w:cs="Times New Roman"/>
              </w:rPr>
            </w:pPr>
            <w:r w:rsidRPr="00F06DE2">
              <w:rPr>
                <w:rFonts w:ascii="Times New Roman" w:hAnsi="Times New Roman" w:cs="Times New Roman"/>
              </w:rPr>
              <w:t>18.01</w:t>
            </w:r>
          </w:p>
        </w:tc>
        <w:tc>
          <w:tcPr>
            <w:tcW w:w="1458" w:type="dxa"/>
            <w:vMerge w:val="restart"/>
            <w:shd w:val="clear" w:color="auto" w:fill="auto"/>
          </w:tcPr>
          <w:p w14:paraId="561F5A68" w14:textId="052F2A49" w:rsidR="001B1304" w:rsidRPr="00F06DE2" w:rsidRDefault="0056012F" w:rsidP="0056012F">
            <w:pPr>
              <w:adjustRightInd w:val="0"/>
              <w:spacing w:line="240" w:lineRule="atLeast"/>
              <w:ind w:right="-108"/>
              <w:jc w:val="both"/>
              <w:rPr>
                <w:rFonts w:ascii="Times New Roman" w:hAnsi="Times New Roman" w:cs="Times New Roman"/>
                <w:lang w:val="ru-RU"/>
              </w:rPr>
            </w:pPr>
            <w:r w:rsidRPr="00F06DE2">
              <w:rPr>
                <w:rFonts w:ascii="Times New Roman" w:hAnsi="Times New Roman" w:cs="Times New Roman"/>
                <w:lang w:val="ru-RU"/>
              </w:rPr>
              <w:t>т.</w:t>
            </w:r>
            <w:r w:rsidR="001B1304" w:rsidRPr="00F06DE2">
              <w:rPr>
                <w:rFonts w:ascii="Times New Roman" w:hAnsi="Times New Roman" w:cs="Times New Roman"/>
                <w:lang w:val="ru-RU"/>
              </w:rPr>
              <w:t xml:space="preserve">2, таблици 1 и 2, и </w:t>
            </w:r>
            <w:r w:rsidRPr="00F06DE2">
              <w:rPr>
                <w:rFonts w:ascii="Times New Roman" w:hAnsi="Times New Roman" w:cs="Times New Roman"/>
                <w:lang w:val="ru-RU"/>
              </w:rPr>
              <w:t xml:space="preserve">т. </w:t>
            </w:r>
            <w:r w:rsidR="001B1304" w:rsidRPr="00F06DE2">
              <w:rPr>
                <w:rFonts w:ascii="Times New Roman" w:hAnsi="Times New Roman" w:cs="Times New Roman"/>
                <w:lang w:val="ru-RU"/>
              </w:rPr>
              <w:t>7</w:t>
            </w:r>
          </w:p>
        </w:tc>
        <w:tc>
          <w:tcPr>
            <w:tcW w:w="3296" w:type="dxa"/>
            <w:tcBorders>
              <w:bottom w:val="nil"/>
            </w:tcBorders>
            <w:shd w:val="clear" w:color="auto" w:fill="auto"/>
          </w:tcPr>
          <w:p w14:paraId="0BDC36FA" w14:textId="7D75E5C4" w:rsidR="001B1304" w:rsidRPr="00F06DE2" w:rsidRDefault="001B1304" w:rsidP="00BF2ABC">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Пределни/контролни стойности и одобрение на типа</w:t>
            </w:r>
          </w:p>
        </w:tc>
        <w:tc>
          <w:tcPr>
            <w:tcW w:w="6324" w:type="dxa"/>
            <w:shd w:val="clear" w:color="auto" w:fill="auto"/>
          </w:tcPr>
          <w:p w14:paraId="1A35DD94" w14:textId="77777777" w:rsidR="001B1304" w:rsidRPr="00F06DE2" w:rsidRDefault="001B1304">
            <w:pPr>
              <w:spacing w:line="240" w:lineRule="atLeast"/>
              <w:jc w:val="both"/>
              <w:rPr>
                <w:rFonts w:ascii="Times New Roman" w:hAnsi="Times New Roman" w:cs="Times New Roman"/>
              </w:rPr>
            </w:pPr>
            <w:r w:rsidRPr="00F06DE2">
              <w:rPr>
                <w:rFonts w:ascii="Times New Roman" w:hAnsi="Times New Roman" w:cs="Times New Roman"/>
              </w:rPr>
              <w:t>НЗР, при условие че</w:t>
            </w:r>
          </w:p>
          <w:p w14:paraId="1F82388E" w14:textId="2BA1277E" w:rsidR="001B1304" w:rsidRPr="00F06DE2" w:rsidRDefault="001B1304">
            <w:pPr>
              <w:numPr>
                <w:ilvl w:val="0"/>
                <w:numId w:val="39"/>
              </w:num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 xml:space="preserve">пределните и контролните стойности не надвишават двойно стойностите съгласно етап </w:t>
            </w:r>
            <w:r w:rsidRPr="00F06DE2">
              <w:rPr>
                <w:rFonts w:ascii="Times New Roman" w:hAnsi="Times New Roman" w:cs="Times New Roman"/>
              </w:rPr>
              <w:t>II</w:t>
            </w:r>
            <w:r w:rsidRPr="00F06DE2">
              <w:rPr>
                <w:rFonts w:ascii="Times New Roman" w:hAnsi="Times New Roman" w:cs="Times New Roman"/>
                <w:lang w:val="ru-RU"/>
              </w:rPr>
              <w:t>,</w:t>
            </w:r>
          </w:p>
          <w:p w14:paraId="61C0657E" w14:textId="7EE290A9" w:rsidR="001B1304" w:rsidRPr="00F06DE2" w:rsidRDefault="001B1304">
            <w:pPr>
              <w:spacing w:line="240" w:lineRule="atLeast"/>
              <w:ind w:left="317" w:hanging="317"/>
              <w:jc w:val="both"/>
              <w:rPr>
                <w:rFonts w:ascii="Times New Roman" w:hAnsi="Times New Roman" w:cs="Times New Roman"/>
                <w:lang w:val="ru-RU"/>
              </w:rPr>
            </w:pPr>
            <w:r w:rsidRPr="00F06DE2">
              <w:rPr>
                <w:rFonts w:ascii="Times New Roman" w:hAnsi="Times New Roman" w:cs="Times New Roman"/>
                <w:lang w:val="ru-RU"/>
              </w:rPr>
              <w:t xml:space="preserve">б) бордовата станция за пречистване на отпадъчни води има сертификат от производителя или от експерт, който потвърждава, че тя може да се справи с обичайните видове натоварване на </w:t>
            </w:r>
            <w:r w:rsidR="0056012F" w:rsidRPr="00F06DE2">
              <w:rPr>
                <w:rFonts w:ascii="Times New Roman" w:hAnsi="Times New Roman" w:cs="Times New Roman"/>
                <w:lang w:val="ru-RU"/>
              </w:rPr>
              <w:t>тази станция</w:t>
            </w:r>
            <w:r w:rsidRPr="00F06DE2">
              <w:rPr>
                <w:rFonts w:ascii="Times New Roman" w:hAnsi="Times New Roman" w:cs="Times New Roman"/>
                <w:lang w:val="ru-RU"/>
              </w:rPr>
              <w:t xml:space="preserve"> </w:t>
            </w:r>
          </w:p>
          <w:p w14:paraId="2D027EAC" w14:textId="7E13450D" w:rsidR="001B1304" w:rsidRPr="00F06DE2" w:rsidRDefault="001B1304">
            <w:pPr>
              <w:tabs>
                <w:tab w:val="left" w:pos="317"/>
              </w:tabs>
              <w:adjustRightInd w:val="0"/>
              <w:spacing w:line="240" w:lineRule="atLeast"/>
              <w:ind w:left="317" w:hanging="317"/>
              <w:jc w:val="both"/>
              <w:rPr>
                <w:rFonts w:ascii="Times New Roman" w:hAnsi="Times New Roman" w:cs="Times New Roman"/>
                <w:lang w:val="ru-RU"/>
              </w:rPr>
            </w:pPr>
          </w:p>
        </w:tc>
        <w:tc>
          <w:tcPr>
            <w:tcW w:w="1609" w:type="dxa"/>
            <w:shd w:val="clear" w:color="auto" w:fill="auto"/>
          </w:tcPr>
          <w:p w14:paraId="53C2558A" w14:textId="77777777" w:rsidR="001B1304" w:rsidRPr="00F06DE2" w:rsidRDefault="001B1304">
            <w:pPr>
              <w:spacing w:line="240" w:lineRule="atLeast"/>
              <w:rPr>
                <w:rFonts w:ascii="Times New Roman" w:hAnsi="Times New Roman" w:cs="Times New Roman"/>
                <w:lang w:val="ru-RU"/>
              </w:rPr>
            </w:pPr>
          </w:p>
        </w:tc>
      </w:tr>
      <w:tr w:rsidR="001B1304" w:rsidRPr="00F06DE2" w14:paraId="7D3EE083" w14:textId="77777777" w:rsidTr="00C04891">
        <w:trPr>
          <w:cantSplit/>
          <w:jc w:val="center"/>
        </w:trPr>
        <w:tc>
          <w:tcPr>
            <w:tcW w:w="1342" w:type="dxa"/>
            <w:vMerge/>
            <w:shd w:val="clear" w:color="auto" w:fill="auto"/>
          </w:tcPr>
          <w:p w14:paraId="18528389" w14:textId="77777777" w:rsidR="001B1304" w:rsidRPr="00F06DE2" w:rsidRDefault="001B1304">
            <w:pPr>
              <w:spacing w:line="240" w:lineRule="atLeast"/>
              <w:rPr>
                <w:rFonts w:ascii="Times New Roman" w:hAnsi="Times New Roman" w:cs="Times New Roman"/>
                <w:lang w:val="ru-RU"/>
              </w:rPr>
            </w:pPr>
          </w:p>
        </w:tc>
        <w:tc>
          <w:tcPr>
            <w:tcW w:w="1458" w:type="dxa"/>
            <w:vMerge/>
            <w:shd w:val="clear" w:color="auto" w:fill="auto"/>
          </w:tcPr>
          <w:p w14:paraId="308CE5CE" w14:textId="77777777" w:rsidR="001B1304" w:rsidRPr="00F06DE2" w:rsidRDefault="001B1304">
            <w:pPr>
              <w:spacing w:line="240" w:lineRule="atLeast"/>
              <w:rPr>
                <w:rFonts w:ascii="Times New Roman" w:hAnsi="Times New Roman" w:cs="Times New Roman"/>
                <w:lang w:val="ru-RU"/>
              </w:rPr>
            </w:pPr>
          </w:p>
        </w:tc>
        <w:tc>
          <w:tcPr>
            <w:tcW w:w="3296" w:type="dxa"/>
            <w:tcBorders>
              <w:top w:val="nil"/>
              <w:bottom w:val="nil"/>
            </w:tcBorders>
            <w:shd w:val="clear" w:color="auto" w:fill="auto"/>
          </w:tcPr>
          <w:p w14:paraId="2858CACE" w14:textId="77777777" w:rsidR="001B1304" w:rsidRPr="00F06DE2" w:rsidRDefault="001B1304">
            <w:pPr>
              <w:tabs>
                <w:tab w:val="left" w:pos="1080"/>
              </w:tabs>
              <w:spacing w:line="240" w:lineRule="atLeast"/>
              <w:rPr>
                <w:rFonts w:ascii="Times New Roman" w:hAnsi="Times New Roman" w:cs="Times New Roman"/>
                <w:lang w:val="ru-RU"/>
              </w:rPr>
            </w:pPr>
          </w:p>
        </w:tc>
        <w:tc>
          <w:tcPr>
            <w:tcW w:w="6324" w:type="dxa"/>
            <w:shd w:val="clear" w:color="auto" w:fill="auto"/>
          </w:tcPr>
          <w:p w14:paraId="716918CD" w14:textId="77777777" w:rsidR="001B1304" w:rsidRPr="00F06DE2" w:rsidRDefault="001B1304">
            <w:pPr>
              <w:spacing w:line="240" w:lineRule="atLeast"/>
              <w:jc w:val="both"/>
              <w:rPr>
                <w:rFonts w:ascii="Times New Roman" w:hAnsi="Times New Roman" w:cs="Times New Roman"/>
                <w:lang w:val="ru-RU"/>
              </w:rPr>
            </w:pPr>
            <w:r w:rsidRPr="00F06DE2">
              <w:rPr>
                <w:rFonts w:ascii="Times New Roman" w:hAnsi="Times New Roman" w:cs="Times New Roman"/>
                <w:lang w:val="ru-RU"/>
              </w:rPr>
              <w:t>Бордови станции за пречистване на отпадъчни води, които са одобрени на или след 1 декември 2011</w:t>
            </w:r>
            <w:r w:rsidRPr="00F06DE2">
              <w:rPr>
                <w:rFonts w:ascii="Times New Roman" w:hAnsi="Times New Roman" w:cs="Times New Roman"/>
              </w:rPr>
              <w:t> </w:t>
            </w:r>
            <w:r w:rsidRPr="00F06DE2">
              <w:rPr>
                <w:rFonts w:ascii="Times New Roman" w:hAnsi="Times New Roman" w:cs="Times New Roman"/>
                <w:lang w:val="ru-RU"/>
              </w:rPr>
              <w:t>г. съгласно изискванията на Резолюция 2010-</w:t>
            </w:r>
            <w:r w:rsidRPr="00F06DE2">
              <w:rPr>
                <w:rFonts w:ascii="Times New Roman" w:hAnsi="Times New Roman" w:cs="Times New Roman"/>
              </w:rPr>
              <w:t>II</w:t>
            </w:r>
            <w:r w:rsidRPr="00F06DE2">
              <w:rPr>
                <w:rFonts w:ascii="Times New Roman" w:hAnsi="Times New Roman" w:cs="Times New Roman"/>
                <w:lang w:val="ru-RU"/>
              </w:rPr>
              <w:t xml:space="preserve">-27 на ЦККР (етап </w:t>
            </w:r>
            <w:r w:rsidRPr="00F06DE2">
              <w:rPr>
                <w:rFonts w:ascii="Times New Roman" w:hAnsi="Times New Roman" w:cs="Times New Roman"/>
              </w:rPr>
              <w:t>II</w:t>
            </w:r>
            <w:r w:rsidRPr="00F06DE2">
              <w:rPr>
                <w:rFonts w:ascii="Times New Roman" w:hAnsi="Times New Roman" w:cs="Times New Roman"/>
                <w:lang w:val="ru-RU"/>
              </w:rPr>
              <w:t>), могат да продължат да бъдат монтирани и използвани.</w:t>
            </w:r>
          </w:p>
        </w:tc>
        <w:tc>
          <w:tcPr>
            <w:tcW w:w="1609" w:type="dxa"/>
            <w:shd w:val="clear" w:color="auto" w:fill="auto"/>
          </w:tcPr>
          <w:p w14:paraId="67E953C0" w14:textId="77777777" w:rsidR="001B1304" w:rsidRPr="00F06DE2" w:rsidRDefault="001B1304">
            <w:pPr>
              <w:spacing w:line="240" w:lineRule="atLeast"/>
              <w:rPr>
                <w:rFonts w:ascii="Times New Roman" w:hAnsi="Times New Roman" w:cs="Times New Roman"/>
                <w:lang w:val="ru-RU"/>
              </w:rPr>
            </w:pPr>
          </w:p>
        </w:tc>
      </w:tr>
      <w:tr w:rsidR="001B1304" w:rsidRPr="00F06DE2" w14:paraId="461A22A3" w14:textId="77777777" w:rsidTr="00C04891">
        <w:trPr>
          <w:cantSplit/>
          <w:jc w:val="center"/>
        </w:trPr>
        <w:tc>
          <w:tcPr>
            <w:tcW w:w="1342" w:type="dxa"/>
            <w:vMerge/>
            <w:shd w:val="clear" w:color="auto" w:fill="auto"/>
          </w:tcPr>
          <w:p w14:paraId="7037F3C7" w14:textId="77777777" w:rsidR="001B1304" w:rsidRPr="00F06DE2" w:rsidRDefault="001B1304">
            <w:pPr>
              <w:spacing w:line="240" w:lineRule="atLeast"/>
              <w:rPr>
                <w:rFonts w:ascii="Times New Roman" w:hAnsi="Times New Roman" w:cs="Times New Roman"/>
                <w:lang w:val="ru-RU"/>
              </w:rPr>
            </w:pPr>
          </w:p>
        </w:tc>
        <w:tc>
          <w:tcPr>
            <w:tcW w:w="1458" w:type="dxa"/>
            <w:vMerge/>
            <w:shd w:val="clear" w:color="auto" w:fill="auto"/>
          </w:tcPr>
          <w:p w14:paraId="2D90129A" w14:textId="77777777" w:rsidR="001B1304" w:rsidRPr="00F06DE2" w:rsidRDefault="001B1304">
            <w:pPr>
              <w:spacing w:line="240" w:lineRule="atLeast"/>
              <w:rPr>
                <w:rFonts w:ascii="Times New Roman" w:hAnsi="Times New Roman" w:cs="Times New Roman"/>
                <w:lang w:val="ru-RU"/>
              </w:rPr>
            </w:pPr>
          </w:p>
        </w:tc>
        <w:tc>
          <w:tcPr>
            <w:tcW w:w="3296" w:type="dxa"/>
            <w:tcBorders>
              <w:top w:val="nil"/>
            </w:tcBorders>
            <w:shd w:val="clear" w:color="auto" w:fill="auto"/>
          </w:tcPr>
          <w:p w14:paraId="0B267AC9" w14:textId="77777777" w:rsidR="001B1304" w:rsidRPr="00F06DE2" w:rsidRDefault="001B1304">
            <w:pPr>
              <w:tabs>
                <w:tab w:val="left" w:pos="1080"/>
              </w:tabs>
              <w:spacing w:line="240" w:lineRule="atLeast"/>
              <w:rPr>
                <w:rFonts w:ascii="Times New Roman" w:hAnsi="Times New Roman" w:cs="Times New Roman"/>
                <w:lang w:val="ru-RU"/>
              </w:rPr>
            </w:pPr>
          </w:p>
        </w:tc>
        <w:tc>
          <w:tcPr>
            <w:tcW w:w="6324" w:type="dxa"/>
            <w:shd w:val="clear" w:color="auto" w:fill="auto"/>
          </w:tcPr>
          <w:p w14:paraId="5E412684" w14:textId="77777777" w:rsidR="001B1304" w:rsidRPr="00F06DE2" w:rsidRDefault="001B1304">
            <w:pPr>
              <w:spacing w:line="240" w:lineRule="atLeast"/>
              <w:jc w:val="both"/>
              <w:rPr>
                <w:rFonts w:ascii="Times New Roman" w:hAnsi="Times New Roman" w:cs="Times New Roman"/>
                <w:lang w:val="ru-RU"/>
              </w:rPr>
            </w:pPr>
            <w:r w:rsidRPr="00F06DE2">
              <w:rPr>
                <w:rFonts w:ascii="Times New Roman" w:hAnsi="Times New Roman" w:cs="Times New Roman"/>
                <w:lang w:val="ru-RU"/>
              </w:rPr>
              <w:t>Бордови станции за пречистване на отпадъчни води, които са одобрени на или след 10 януари 2013</w:t>
            </w:r>
            <w:r w:rsidRPr="00F06DE2">
              <w:rPr>
                <w:rFonts w:ascii="Times New Roman" w:hAnsi="Times New Roman" w:cs="Times New Roman"/>
              </w:rPr>
              <w:t> </w:t>
            </w:r>
            <w:r w:rsidRPr="00F06DE2">
              <w:rPr>
                <w:rFonts w:ascii="Times New Roman" w:hAnsi="Times New Roman" w:cs="Times New Roman"/>
                <w:lang w:val="ru-RU"/>
              </w:rPr>
              <w:t xml:space="preserve">г. съгласно изискванията на Директива 2012/49/ЕС (етап </w:t>
            </w:r>
            <w:r w:rsidRPr="00F06DE2">
              <w:rPr>
                <w:rFonts w:ascii="Times New Roman" w:hAnsi="Times New Roman" w:cs="Times New Roman"/>
              </w:rPr>
              <w:t>II</w:t>
            </w:r>
            <w:r w:rsidRPr="00F06DE2">
              <w:rPr>
                <w:rFonts w:ascii="Times New Roman" w:hAnsi="Times New Roman" w:cs="Times New Roman"/>
                <w:lang w:val="ru-RU"/>
              </w:rPr>
              <w:t>), могат да продължат да бъдат монтирани и използвани.</w:t>
            </w:r>
          </w:p>
        </w:tc>
        <w:tc>
          <w:tcPr>
            <w:tcW w:w="1609" w:type="dxa"/>
            <w:shd w:val="clear" w:color="auto" w:fill="auto"/>
          </w:tcPr>
          <w:p w14:paraId="046F8A52" w14:textId="77777777" w:rsidR="001B1304" w:rsidRPr="00F06DE2" w:rsidRDefault="001B1304">
            <w:pPr>
              <w:spacing w:line="240" w:lineRule="atLeast"/>
              <w:rPr>
                <w:rFonts w:ascii="Times New Roman" w:hAnsi="Times New Roman" w:cs="Times New Roman"/>
                <w:lang w:val="ru-RU"/>
              </w:rPr>
            </w:pPr>
          </w:p>
        </w:tc>
      </w:tr>
      <w:tr w:rsidR="001B1304" w:rsidRPr="00F06DE2" w14:paraId="0587A789" w14:textId="77777777" w:rsidTr="00C04891">
        <w:trPr>
          <w:cantSplit/>
          <w:jc w:val="center"/>
        </w:trPr>
        <w:tc>
          <w:tcPr>
            <w:tcW w:w="1342" w:type="dxa"/>
            <w:vMerge/>
            <w:shd w:val="clear" w:color="auto" w:fill="auto"/>
          </w:tcPr>
          <w:p w14:paraId="01C321C4" w14:textId="77777777" w:rsidR="001B1304" w:rsidRPr="00F06DE2" w:rsidRDefault="001B1304">
            <w:pPr>
              <w:spacing w:line="240" w:lineRule="atLeast"/>
              <w:rPr>
                <w:rFonts w:ascii="Times New Roman" w:hAnsi="Times New Roman" w:cs="Times New Roman"/>
                <w:lang w:val="ru-RU"/>
              </w:rPr>
            </w:pPr>
          </w:p>
        </w:tc>
        <w:tc>
          <w:tcPr>
            <w:tcW w:w="1458" w:type="dxa"/>
            <w:shd w:val="clear" w:color="auto" w:fill="auto"/>
          </w:tcPr>
          <w:p w14:paraId="35F2FEE5" w14:textId="3C09AFF7" w:rsidR="001B1304" w:rsidRPr="00F06DE2" w:rsidRDefault="001B1304">
            <w:pPr>
              <w:spacing w:line="240" w:lineRule="atLeast"/>
              <w:rPr>
                <w:rFonts w:ascii="Times New Roman" w:hAnsi="Times New Roman" w:cs="Times New Roman"/>
              </w:rPr>
            </w:pPr>
            <w:r w:rsidRPr="00F06DE2">
              <w:rPr>
                <w:rFonts w:ascii="Times New Roman" w:hAnsi="Times New Roman" w:cs="Times New Roman"/>
              </w:rPr>
              <w:t>Точка (9)</w:t>
            </w:r>
          </w:p>
        </w:tc>
        <w:tc>
          <w:tcPr>
            <w:tcW w:w="3296" w:type="dxa"/>
            <w:tcBorders>
              <w:top w:val="nil"/>
            </w:tcBorders>
            <w:shd w:val="clear" w:color="auto" w:fill="auto"/>
          </w:tcPr>
          <w:p w14:paraId="462974DB" w14:textId="662022DC" w:rsidR="001B1304" w:rsidRPr="00F06DE2" w:rsidRDefault="001B1304">
            <w:pPr>
              <w:tabs>
                <w:tab w:val="left" w:pos="1080"/>
              </w:tabs>
              <w:spacing w:line="240" w:lineRule="atLeast"/>
              <w:rPr>
                <w:rFonts w:ascii="Times New Roman" w:hAnsi="Times New Roman" w:cs="Times New Roman"/>
                <w:lang w:val="ru-RU"/>
              </w:rPr>
            </w:pPr>
            <w:r w:rsidRPr="00F06DE2">
              <w:rPr>
                <w:rFonts w:ascii="Times New Roman" w:hAnsi="Times New Roman" w:cs="Times New Roman"/>
                <w:lang w:val="ru-RU"/>
              </w:rPr>
              <w:t>Точка за вземане на проби</w:t>
            </w:r>
          </w:p>
        </w:tc>
        <w:tc>
          <w:tcPr>
            <w:tcW w:w="6324" w:type="dxa"/>
            <w:shd w:val="clear" w:color="auto" w:fill="auto"/>
          </w:tcPr>
          <w:p w14:paraId="3F74C1FC" w14:textId="4E5098B6" w:rsidR="001B1304" w:rsidRPr="00F06DE2" w:rsidRDefault="001B1304">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7D42C4DF" w14:textId="77777777" w:rsidR="001B1304" w:rsidRPr="00F06DE2" w:rsidRDefault="001B1304">
            <w:pPr>
              <w:spacing w:line="240" w:lineRule="atLeast"/>
              <w:rPr>
                <w:rFonts w:ascii="Times New Roman" w:hAnsi="Times New Roman" w:cs="Times New Roman"/>
                <w:lang w:val="ru-RU"/>
              </w:rPr>
            </w:pPr>
          </w:p>
        </w:tc>
      </w:tr>
      <w:tr w:rsidR="001B1304" w:rsidRPr="00F06DE2" w14:paraId="4BCA05D8" w14:textId="77777777" w:rsidTr="00C04891">
        <w:trPr>
          <w:cantSplit/>
          <w:jc w:val="center"/>
        </w:trPr>
        <w:tc>
          <w:tcPr>
            <w:tcW w:w="1342" w:type="dxa"/>
            <w:shd w:val="clear" w:color="auto" w:fill="auto"/>
          </w:tcPr>
          <w:p w14:paraId="0B6F2A02" w14:textId="6640C3FD" w:rsidR="001B1304" w:rsidRPr="00F06DE2" w:rsidRDefault="001B1304">
            <w:pPr>
              <w:spacing w:line="240" w:lineRule="atLeast"/>
              <w:rPr>
                <w:rFonts w:ascii="Times New Roman" w:hAnsi="Times New Roman" w:cs="Times New Roman"/>
              </w:rPr>
            </w:pPr>
            <w:r w:rsidRPr="00F06DE2">
              <w:rPr>
                <w:rFonts w:ascii="Times New Roman" w:hAnsi="Times New Roman" w:cs="Times New Roman"/>
              </w:rPr>
              <w:t>18.11</w:t>
            </w:r>
          </w:p>
        </w:tc>
        <w:tc>
          <w:tcPr>
            <w:tcW w:w="1458" w:type="dxa"/>
            <w:shd w:val="clear" w:color="auto" w:fill="auto"/>
          </w:tcPr>
          <w:p w14:paraId="42AB3CA8" w14:textId="77777777" w:rsidR="001B1304" w:rsidRPr="00F06DE2" w:rsidRDefault="001B1304">
            <w:pPr>
              <w:spacing w:line="240" w:lineRule="atLeast"/>
              <w:rPr>
                <w:rFonts w:ascii="Times New Roman" w:hAnsi="Times New Roman" w:cs="Times New Roman"/>
              </w:rPr>
            </w:pPr>
          </w:p>
        </w:tc>
        <w:tc>
          <w:tcPr>
            <w:tcW w:w="3296" w:type="dxa"/>
            <w:tcBorders>
              <w:top w:val="nil"/>
            </w:tcBorders>
            <w:shd w:val="clear" w:color="auto" w:fill="auto"/>
          </w:tcPr>
          <w:p w14:paraId="3E42E022" w14:textId="1C128E54" w:rsidR="001B1304" w:rsidRPr="00F06DE2" w:rsidRDefault="001B1304">
            <w:pPr>
              <w:tabs>
                <w:tab w:val="left" w:pos="1080"/>
              </w:tabs>
              <w:spacing w:line="240" w:lineRule="atLeast"/>
              <w:rPr>
                <w:rFonts w:ascii="Times New Roman" w:hAnsi="Times New Roman" w:cs="Times New Roman"/>
              </w:rPr>
            </w:pPr>
            <w:r w:rsidRPr="00F06DE2">
              <w:rPr>
                <w:rFonts w:ascii="Times New Roman" w:hAnsi="Times New Roman" w:cs="Times New Roman"/>
              </w:rPr>
              <w:t>Ръководство за експлоатация</w:t>
            </w:r>
          </w:p>
        </w:tc>
        <w:tc>
          <w:tcPr>
            <w:tcW w:w="6324" w:type="dxa"/>
            <w:shd w:val="clear" w:color="auto" w:fill="auto"/>
          </w:tcPr>
          <w:p w14:paraId="269D4FCB" w14:textId="4B09F35F" w:rsidR="001B1304" w:rsidRPr="00F06DE2" w:rsidRDefault="001B1304">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7C0AF79C" w14:textId="77777777" w:rsidR="001B1304" w:rsidRPr="00F06DE2" w:rsidRDefault="001B1304">
            <w:pPr>
              <w:spacing w:line="240" w:lineRule="atLeast"/>
              <w:rPr>
                <w:rFonts w:ascii="Times New Roman" w:hAnsi="Times New Roman" w:cs="Times New Roman"/>
                <w:lang w:val="ru-RU"/>
              </w:rPr>
            </w:pPr>
          </w:p>
        </w:tc>
      </w:tr>
      <w:tr w:rsidR="00271FA2" w:rsidRPr="00F06DE2" w14:paraId="7307CC8F" w14:textId="77777777" w:rsidTr="00C04891">
        <w:trPr>
          <w:cantSplit/>
          <w:jc w:val="center"/>
        </w:trPr>
        <w:tc>
          <w:tcPr>
            <w:tcW w:w="6096" w:type="dxa"/>
            <w:gridSpan w:val="3"/>
            <w:shd w:val="clear" w:color="auto" w:fill="auto"/>
          </w:tcPr>
          <w:p w14:paraId="73AF9F8D"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19</w:t>
            </w:r>
          </w:p>
        </w:tc>
        <w:tc>
          <w:tcPr>
            <w:tcW w:w="6324" w:type="dxa"/>
            <w:shd w:val="clear" w:color="auto" w:fill="auto"/>
          </w:tcPr>
          <w:p w14:paraId="3388EA58"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26931134" w14:textId="77777777" w:rsidR="00271FA2" w:rsidRPr="00F06DE2" w:rsidRDefault="00271FA2">
            <w:pPr>
              <w:spacing w:line="240" w:lineRule="atLeast"/>
              <w:rPr>
                <w:rFonts w:ascii="Times New Roman" w:hAnsi="Times New Roman" w:cs="Times New Roman"/>
              </w:rPr>
            </w:pPr>
          </w:p>
        </w:tc>
      </w:tr>
      <w:tr w:rsidR="00271FA2" w:rsidRPr="00F06DE2" w14:paraId="1631602B" w14:textId="77777777" w:rsidTr="00C04891">
        <w:trPr>
          <w:cantSplit/>
          <w:trHeight w:val="1133"/>
          <w:jc w:val="center"/>
        </w:trPr>
        <w:tc>
          <w:tcPr>
            <w:tcW w:w="1342" w:type="dxa"/>
            <w:shd w:val="clear" w:color="auto" w:fill="auto"/>
          </w:tcPr>
          <w:p w14:paraId="0D3F6D88"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559BD51"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6EC0AE21"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Пътнически плавателни съдове</w:t>
            </w:r>
          </w:p>
        </w:tc>
        <w:tc>
          <w:tcPr>
            <w:tcW w:w="6324" w:type="dxa"/>
            <w:shd w:val="clear" w:color="auto" w:fill="auto"/>
          </w:tcPr>
          <w:p w14:paraId="70E522CB" w14:textId="77777777" w:rsidR="00271FA2" w:rsidRPr="00F06DE2" w:rsidRDefault="00D35E51">
            <w:pPr>
              <w:adjustRightInd w:val="0"/>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Виж разпоредбите, залегнали в регламентите за плавателни съдове, изключени от обхвата на Директива 82/714/ЕИО: „Липса на </w:t>
            </w:r>
            <w:r w:rsidRPr="00F06DE2">
              <w:rPr>
                <w:rFonts w:ascii="Times New Roman" w:hAnsi="Times New Roman" w:cs="Times New Roman"/>
                <w:color w:val="000000"/>
                <w:lang w:val="ru-RU"/>
              </w:rPr>
              <w:t>явна</w:t>
            </w:r>
            <w:r w:rsidRPr="00F06DE2">
              <w:rPr>
                <w:rFonts w:ascii="Times New Roman" w:hAnsi="Times New Roman" w:cs="Times New Roman"/>
                <w:lang w:val="ru-RU"/>
              </w:rPr>
              <w:t xml:space="preserve"> опасност“</w:t>
            </w:r>
            <w:r w:rsidRPr="00F06DE2">
              <w:rPr>
                <w:rFonts w:ascii="Times New Roman" w:hAnsi="Times New Roman" w:cs="Times New Roman"/>
                <w:color w:val="000000"/>
                <w:lang w:val="ru-RU"/>
              </w:rPr>
              <w:t xml:space="preserve"> </w:t>
            </w:r>
            <w:r w:rsidRPr="00F06DE2">
              <w:rPr>
                <w:rFonts w:ascii="Times New Roman" w:hAnsi="Times New Roman" w:cs="Times New Roman"/>
                <w:lang w:val="ru-RU"/>
              </w:rPr>
              <w:t>Отнася се до всички разпоредби на Глава 19, с изключение на посочените по-долу.</w:t>
            </w:r>
          </w:p>
        </w:tc>
        <w:tc>
          <w:tcPr>
            <w:tcW w:w="1609" w:type="dxa"/>
            <w:shd w:val="clear" w:color="auto" w:fill="auto"/>
          </w:tcPr>
          <w:p w14:paraId="2174BADC" w14:textId="77777777" w:rsidR="00271FA2" w:rsidRPr="00F06DE2" w:rsidRDefault="00271FA2">
            <w:pPr>
              <w:spacing w:line="240" w:lineRule="atLeast"/>
              <w:jc w:val="both"/>
              <w:rPr>
                <w:rFonts w:ascii="Times New Roman" w:hAnsi="Times New Roman" w:cs="Times New Roman"/>
                <w:lang w:val="ru-RU"/>
              </w:rPr>
            </w:pPr>
          </w:p>
        </w:tc>
      </w:tr>
      <w:tr w:rsidR="00271FA2" w:rsidRPr="00F06DE2" w14:paraId="1F6B7F15" w14:textId="77777777" w:rsidTr="00C04891">
        <w:trPr>
          <w:cantSplit/>
          <w:jc w:val="center"/>
        </w:trPr>
        <w:tc>
          <w:tcPr>
            <w:tcW w:w="1342" w:type="dxa"/>
            <w:shd w:val="clear" w:color="auto" w:fill="auto"/>
          </w:tcPr>
          <w:p w14:paraId="7F4307B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19.01</w:t>
            </w:r>
          </w:p>
        </w:tc>
        <w:tc>
          <w:tcPr>
            <w:tcW w:w="1458" w:type="dxa"/>
            <w:shd w:val="clear" w:color="auto" w:fill="auto"/>
          </w:tcPr>
          <w:p w14:paraId="498BFD3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5 и 6</w:t>
            </w:r>
          </w:p>
        </w:tc>
        <w:tc>
          <w:tcPr>
            <w:tcW w:w="3296" w:type="dxa"/>
            <w:shd w:val="clear" w:color="auto" w:fill="auto"/>
          </w:tcPr>
          <w:p w14:paraId="1A7E7CC1" w14:textId="77777777" w:rsidR="00271FA2" w:rsidRPr="00F06DE2" w:rsidRDefault="00D35E51">
            <w:pPr>
              <w:tabs>
                <w:tab w:val="right" w:pos="3856"/>
                <w:tab w:val="center" w:pos="4536"/>
                <w:tab w:val="left" w:pos="6521"/>
                <w:tab w:val="right" w:pos="9072"/>
              </w:tabs>
              <w:spacing w:line="240" w:lineRule="atLeast"/>
              <w:jc w:val="both"/>
              <w:rPr>
                <w:rFonts w:ascii="Times New Roman" w:hAnsi="Times New Roman" w:cs="Times New Roman"/>
                <w:lang w:val="ru-RU"/>
              </w:rPr>
            </w:pPr>
            <w:r w:rsidRPr="00F06DE2">
              <w:rPr>
                <w:rFonts w:ascii="Times New Roman" w:hAnsi="Times New Roman" w:cs="Times New Roman"/>
                <w:color w:val="000000"/>
                <w:lang w:val="ru-RU"/>
              </w:rPr>
              <w:t xml:space="preserve">Мъртва зона пред плавателния съд на две дължини на плавателния съд, ако дължината е под 250 </w:t>
            </w:r>
            <w:r w:rsidRPr="00F06DE2">
              <w:rPr>
                <w:rFonts w:ascii="Times New Roman" w:hAnsi="Times New Roman" w:cs="Times New Roman"/>
                <w:color w:val="000000"/>
              </w:rPr>
              <w:t>m</w:t>
            </w:r>
            <w:r w:rsidRPr="00F06DE2">
              <w:rPr>
                <w:rFonts w:ascii="Times New Roman" w:hAnsi="Times New Roman" w:cs="Times New Roman"/>
                <w:color w:val="000000"/>
                <w:lang w:val="ru-RU"/>
              </w:rPr>
              <w:t xml:space="preserve"> </w:t>
            </w:r>
            <w:r w:rsidRPr="00F06DE2">
              <w:rPr>
                <w:rFonts w:ascii="Times New Roman" w:hAnsi="Times New Roman" w:cs="Times New Roman"/>
                <w:color w:val="000000"/>
                <w:lang w:val="ru-RU"/>
              </w:rPr>
              <w:br/>
            </w:r>
            <w:r w:rsidRPr="00F06DE2">
              <w:rPr>
                <w:rFonts w:ascii="Times New Roman" w:hAnsi="Times New Roman" w:cs="Times New Roman"/>
                <w:lang w:val="ru-RU"/>
              </w:rPr>
              <w:t>Достатъчна видимост назад</w:t>
            </w:r>
          </w:p>
        </w:tc>
        <w:tc>
          <w:tcPr>
            <w:tcW w:w="6324" w:type="dxa"/>
            <w:shd w:val="clear" w:color="auto" w:fill="auto"/>
          </w:tcPr>
          <w:p w14:paraId="0184B40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5AFC62EA" w14:textId="20358AB9" w:rsidR="00271FA2" w:rsidRPr="00F06DE2" w:rsidRDefault="001E424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.2049 г.</w:t>
            </w:r>
          </w:p>
        </w:tc>
      </w:tr>
      <w:tr w:rsidR="00F81765" w:rsidRPr="00F06DE2" w14:paraId="3527821A" w14:textId="77777777" w:rsidTr="00C04891">
        <w:trPr>
          <w:cantSplit/>
          <w:jc w:val="center"/>
        </w:trPr>
        <w:tc>
          <w:tcPr>
            <w:tcW w:w="1342" w:type="dxa"/>
            <w:shd w:val="clear" w:color="auto" w:fill="auto"/>
          </w:tcPr>
          <w:p w14:paraId="38FAB7E8" w14:textId="61A49673" w:rsidR="00F81765" w:rsidRPr="00F06DE2" w:rsidRDefault="00F81765">
            <w:pPr>
              <w:spacing w:line="240" w:lineRule="atLeast"/>
              <w:jc w:val="both"/>
              <w:rPr>
                <w:rFonts w:ascii="Times New Roman" w:hAnsi="Times New Roman" w:cs="Times New Roman"/>
              </w:rPr>
            </w:pPr>
            <w:r w:rsidRPr="00F06DE2">
              <w:rPr>
                <w:rFonts w:ascii="Times New Roman" w:hAnsi="Times New Roman" w:cs="Times New Roman"/>
              </w:rPr>
              <w:t>19.02</w:t>
            </w:r>
          </w:p>
        </w:tc>
        <w:tc>
          <w:tcPr>
            <w:tcW w:w="1458" w:type="dxa"/>
            <w:shd w:val="clear" w:color="auto" w:fill="auto"/>
          </w:tcPr>
          <w:p w14:paraId="056E09EA" w14:textId="29B878FE" w:rsidR="00F81765" w:rsidRPr="00F06DE2" w:rsidRDefault="00F81765">
            <w:pPr>
              <w:spacing w:line="240" w:lineRule="atLeast"/>
              <w:jc w:val="both"/>
              <w:rPr>
                <w:rFonts w:ascii="Times New Roman" w:hAnsi="Times New Roman" w:cs="Times New Roman"/>
              </w:rPr>
            </w:pPr>
            <w:r w:rsidRPr="00F06DE2">
              <w:rPr>
                <w:rFonts w:ascii="Times New Roman" w:hAnsi="Times New Roman" w:cs="Times New Roman"/>
              </w:rPr>
              <w:t>Точка (1а)</w:t>
            </w:r>
          </w:p>
        </w:tc>
        <w:tc>
          <w:tcPr>
            <w:tcW w:w="3296" w:type="dxa"/>
            <w:shd w:val="clear" w:color="auto" w:fill="auto"/>
          </w:tcPr>
          <w:p w14:paraId="697F062F" w14:textId="4F6D0727" w:rsidR="00F81765" w:rsidRPr="00F06DE2" w:rsidRDefault="00F81765" w:rsidP="00F81765">
            <w:pPr>
              <w:tabs>
                <w:tab w:val="right" w:pos="3856"/>
                <w:tab w:val="center" w:pos="4536"/>
                <w:tab w:val="left" w:pos="6521"/>
                <w:tab w:val="right" w:pos="9072"/>
              </w:tabs>
              <w:spacing w:line="240" w:lineRule="atLeast"/>
              <w:jc w:val="both"/>
              <w:rPr>
                <w:rFonts w:ascii="Times New Roman" w:hAnsi="Times New Roman" w:cs="Times New Roman"/>
                <w:color w:val="000000"/>
                <w:lang w:val="ru-RU"/>
              </w:rPr>
            </w:pPr>
            <w:r w:rsidRPr="00F06DE2">
              <w:rPr>
                <w:rFonts w:ascii="Times New Roman" w:hAnsi="Times New Roman" w:cs="Times New Roman"/>
                <w:color w:val="000000"/>
                <w:lang w:val="ru-RU"/>
              </w:rPr>
              <w:t>Материали, различни от стомана, като напримералуминиева сплав или влакнести пластмасови композити</w:t>
            </w:r>
          </w:p>
        </w:tc>
        <w:tc>
          <w:tcPr>
            <w:tcW w:w="6324" w:type="dxa"/>
            <w:shd w:val="clear" w:color="auto" w:fill="auto"/>
          </w:tcPr>
          <w:p w14:paraId="491D3169" w14:textId="098FDA3D" w:rsidR="00F81765" w:rsidRPr="00F06DE2" w:rsidRDefault="00F81765">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609" w:type="dxa"/>
            <w:shd w:val="clear" w:color="auto" w:fill="auto"/>
          </w:tcPr>
          <w:p w14:paraId="7FFD580A" w14:textId="77777777" w:rsidR="00F81765" w:rsidRPr="00F06DE2" w:rsidRDefault="00F81765">
            <w:pPr>
              <w:spacing w:line="240" w:lineRule="atLeast"/>
              <w:jc w:val="both"/>
              <w:rPr>
                <w:rFonts w:ascii="Times New Roman" w:hAnsi="Times New Roman" w:cs="Times New Roman"/>
              </w:rPr>
            </w:pPr>
          </w:p>
        </w:tc>
      </w:tr>
      <w:tr w:rsidR="00271FA2" w:rsidRPr="00F06DE2" w14:paraId="4D2CD26E" w14:textId="77777777" w:rsidTr="00C04891">
        <w:trPr>
          <w:cantSplit/>
          <w:jc w:val="center"/>
        </w:trPr>
        <w:tc>
          <w:tcPr>
            <w:tcW w:w="1342" w:type="dxa"/>
            <w:shd w:val="clear" w:color="auto" w:fill="auto"/>
          </w:tcPr>
          <w:p w14:paraId="79F6FFE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19.05</w:t>
            </w:r>
          </w:p>
        </w:tc>
        <w:tc>
          <w:tcPr>
            <w:tcW w:w="1458" w:type="dxa"/>
            <w:shd w:val="clear" w:color="auto" w:fill="auto"/>
          </w:tcPr>
          <w:p w14:paraId="13C502E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4</w:t>
            </w:r>
          </w:p>
        </w:tc>
        <w:tc>
          <w:tcPr>
            <w:tcW w:w="3296" w:type="dxa"/>
            <w:shd w:val="clear" w:color="auto" w:fill="auto"/>
          </w:tcPr>
          <w:p w14:paraId="080C8593" w14:textId="77777777" w:rsidR="00271FA2" w:rsidRPr="00F06DE2" w:rsidRDefault="00D35E51">
            <w:pPr>
              <w:tabs>
                <w:tab w:val="right" w:pos="3856"/>
                <w:tab w:val="center" w:pos="4536"/>
                <w:tab w:val="left" w:pos="6521"/>
                <w:tab w:val="right" w:pos="9072"/>
              </w:tabs>
              <w:spacing w:line="240" w:lineRule="atLeast"/>
              <w:jc w:val="both"/>
              <w:rPr>
                <w:rFonts w:ascii="Times New Roman" w:hAnsi="Times New Roman" w:cs="Times New Roman"/>
                <w:color w:val="000000"/>
                <w:lang w:val="ru-RU"/>
              </w:rPr>
            </w:pPr>
            <w:r w:rsidRPr="00F06DE2">
              <w:rPr>
                <w:rFonts w:ascii="Times New Roman" w:hAnsi="Times New Roman" w:cs="Times New Roman"/>
                <w:color w:val="000000"/>
                <w:lang w:val="ru-RU"/>
              </w:rPr>
              <w:t>Броят на пътниците, показан на плана за безопасност</w:t>
            </w:r>
          </w:p>
        </w:tc>
        <w:tc>
          <w:tcPr>
            <w:tcW w:w="6324" w:type="dxa"/>
            <w:shd w:val="clear" w:color="auto" w:fill="auto"/>
          </w:tcPr>
          <w:p w14:paraId="636D1A5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6B984F73" w14:textId="77777777" w:rsidR="00271FA2" w:rsidRPr="00F06DE2" w:rsidRDefault="00271FA2">
            <w:pPr>
              <w:spacing w:line="240" w:lineRule="atLeast"/>
              <w:rPr>
                <w:rFonts w:ascii="Times New Roman" w:hAnsi="Times New Roman" w:cs="Times New Roman"/>
                <w:lang w:val="ru-RU"/>
              </w:rPr>
            </w:pPr>
          </w:p>
        </w:tc>
      </w:tr>
      <w:tr w:rsidR="00271FA2" w:rsidRPr="00F06DE2" w14:paraId="46B3D9B9" w14:textId="77777777" w:rsidTr="00C04891">
        <w:trPr>
          <w:cantSplit/>
          <w:trHeight w:val="1061"/>
          <w:jc w:val="center"/>
        </w:trPr>
        <w:tc>
          <w:tcPr>
            <w:tcW w:w="1342" w:type="dxa"/>
            <w:shd w:val="clear" w:color="auto" w:fill="auto"/>
          </w:tcPr>
          <w:p w14:paraId="4B91B64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19.08</w:t>
            </w:r>
          </w:p>
        </w:tc>
        <w:tc>
          <w:tcPr>
            <w:tcW w:w="1458" w:type="dxa"/>
            <w:shd w:val="clear" w:color="auto" w:fill="auto"/>
          </w:tcPr>
          <w:p w14:paraId="300AA65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10</w:t>
            </w:r>
          </w:p>
        </w:tc>
        <w:tc>
          <w:tcPr>
            <w:tcW w:w="3296" w:type="dxa"/>
            <w:shd w:val="clear" w:color="auto" w:fill="auto"/>
          </w:tcPr>
          <w:p w14:paraId="239C7508" w14:textId="77777777" w:rsidR="00271FA2" w:rsidRPr="00F06DE2" w:rsidRDefault="00D35E51">
            <w:pPr>
              <w:tabs>
                <w:tab w:val="left" w:pos="1080"/>
              </w:tabs>
              <w:spacing w:line="240" w:lineRule="atLeast"/>
              <w:ind w:left="15" w:hanging="15"/>
              <w:jc w:val="both"/>
              <w:rPr>
                <w:rFonts w:ascii="Times New Roman" w:hAnsi="Times New Roman" w:cs="Times New Roman"/>
              </w:rPr>
            </w:pPr>
            <w:r w:rsidRPr="00F06DE2">
              <w:rPr>
                <w:rFonts w:ascii="Times New Roman" w:hAnsi="Times New Roman" w:cs="Times New Roman"/>
              </w:rPr>
              <w:t>Автоматизиран външен дефибрилатор</w:t>
            </w:r>
          </w:p>
        </w:tc>
        <w:tc>
          <w:tcPr>
            <w:tcW w:w="6324" w:type="dxa"/>
            <w:shd w:val="clear" w:color="auto" w:fill="auto"/>
          </w:tcPr>
          <w:p w14:paraId="44427F6F" w14:textId="77777777" w:rsidR="00271FA2" w:rsidRPr="00F06DE2" w:rsidRDefault="00D35E51">
            <w:pPr>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461FA2C2" w14:textId="77777777" w:rsidR="00271FA2" w:rsidRPr="00F06DE2" w:rsidRDefault="00271FA2">
            <w:pPr>
              <w:spacing w:line="240" w:lineRule="atLeast"/>
              <w:rPr>
                <w:rFonts w:ascii="Times New Roman" w:hAnsi="Times New Roman" w:cs="Times New Roman"/>
                <w:lang w:val="ru-RU"/>
              </w:rPr>
            </w:pPr>
          </w:p>
        </w:tc>
      </w:tr>
      <w:tr w:rsidR="00271FA2" w:rsidRPr="00F06DE2" w14:paraId="3E969E3C" w14:textId="77777777" w:rsidTr="00C04891">
        <w:trPr>
          <w:cantSplit/>
          <w:trHeight w:val="1061"/>
          <w:jc w:val="center"/>
        </w:trPr>
        <w:tc>
          <w:tcPr>
            <w:tcW w:w="1342" w:type="dxa"/>
            <w:shd w:val="clear" w:color="auto" w:fill="auto"/>
          </w:tcPr>
          <w:p w14:paraId="7CB4619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19.11</w:t>
            </w:r>
          </w:p>
        </w:tc>
        <w:tc>
          <w:tcPr>
            <w:tcW w:w="1458" w:type="dxa"/>
            <w:shd w:val="clear" w:color="auto" w:fill="auto"/>
          </w:tcPr>
          <w:p w14:paraId="2F11312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419787B3" w14:textId="77777777" w:rsidR="00271FA2" w:rsidRPr="00F06DE2" w:rsidRDefault="00D35E51">
            <w:pPr>
              <w:tabs>
                <w:tab w:val="left" w:pos="1080"/>
              </w:tabs>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Годност на материалите и компонентите за противопожарна защита</w:t>
            </w:r>
          </w:p>
        </w:tc>
        <w:tc>
          <w:tcPr>
            <w:tcW w:w="6324" w:type="dxa"/>
            <w:shd w:val="clear" w:color="auto" w:fill="auto"/>
          </w:tcPr>
          <w:p w14:paraId="6D3DB265" w14:textId="77777777" w:rsidR="00271FA2" w:rsidRPr="00F06DE2" w:rsidRDefault="00D35E51">
            <w:pPr>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 xml:space="preserve">За материали и компоненти, одобрени съгласно Международния кодекс за прилагане на процедури за пожарни изпитвания (кодекс </w:t>
            </w:r>
            <w:r w:rsidRPr="00F06DE2">
              <w:rPr>
                <w:rFonts w:ascii="Times New Roman" w:hAnsi="Times New Roman" w:cs="Times New Roman"/>
              </w:rPr>
              <w:t>FTP</w:t>
            </w:r>
            <w:r w:rsidRPr="00F06DE2">
              <w:rPr>
                <w:rFonts w:ascii="Times New Roman" w:hAnsi="Times New Roman" w:cs="Times New Roman"/>
                <w:lang w:val="ru-RU"/>
              </w:rPr>
              <w:t xml:space="preserve">), приет с Резолюция </w:t>
            </w:r>
            <w:r w:rsidRPr="00F06DE2">
              <w:rPr>
                <w:rFonts w:ascii="Times New Roman" w:hAnsi="Times New Roman" w:cs="Times New Roman"/>
              </w:rPr>
              <w:t>MSC</w:t>
            </w:r>
            <w:r w:rsidRPr="00F06DE2">
              <w:rPr>
                <w:rFonts w:ascii="Times New Roman" w:hAnsi="Times New Roman" w:cs="Times New Roman"/>
                <w:lang w:val="ru-RU"/>
              </w:rPr>
              <w:t>.61(67)</w:t>
            </w:r>
            <w:r w:rsidRPr="00F06DE2">
              <w:rPr>
                <w:rStyle w:val="FootnoteReference"/>
                <w:rFonts w:ascii="Times New Roman" w:hAnsi="Times New Roman" w:cs="Times New Roman"/>
              </w:rPr>
              <w:footnoteReference w:id="33"/>
            </w:r>
            <w:r w:rsidRPr="00F06DE2">
              <w:rPr>
                <w:rFonts w:ascii="Times New Roman" w:hAnsi="Times New Roman" w:cs="Times New Roman"/>
                <w:lang w:val="ru-RU"/>
              </w:rPr>
              <w:t xml:space="preserve"> на ИМО: НЗР</w:t>
            </w:r>
          </w:p>
        </w:tc>
        <w:tc>
          <w:tcPr>
            <w:tcW w:w="1609" w:type="dxa"/>
            <w:shd w:val="clear" w:color="auto" w:fill="auto"/>
          </w:tcPr>
          <w:p w14:paraId="72F1BAC2" w14:textId="77777777" w:rsidR="00271FA2" w:rsidRPr="00F06DE2" w:rsidRDefault="00271FA2">
            <w:pPr>
              <w:spacing w:line="240" w:lineRule="atLeast"/>
              <w:rPr>
                <w:rFonts w:ascii="Times New Roman" w:hAnsi="Times New Roman" w:cs="Times New Roman"/>
                <w:lang w:val="ru-RU"/>
              </w:rPr>
            </w:pPr>
          </w:p>
        </w:tc>
      </w:tr>
      <w:tr w:rsidR="00271FA2" w:rsidRPr="00F06DE2" w14:paraId="542FF29A" w14:textId="77777777" w:rsidTr="00C04891">
        <w:trPr>
          <w:cantSplit/>
          <w:trHeight w:val="1061"/>
          <w:jc w:val="center"/>
        </w:trPr>
        <w:tc>
          <w:tcPr>
            <w:tcW w:w="1342" w:type="dxa"/>
            <w:shd w:val="clear" w:color="auto" w:fill="auto"/>
          </w:tcPr>
          <w:p w14:paraId="3341441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19.13</w:t>
            </w:r>
          </w:p>
        </w:tc>
        <w:tc>
          <w:tcPr>
            <w:tcW w:w="1458" w:type="dxa"/>
            <w:shd w:val="clear" w:color="auto" w:fill="auto"/>
          </w:tcPr>
          <w:p w14:paraId="69DD9CC3"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5D3DB73" w14:textId="77777777" w:rsidR="00271FA2" w:rsidRPr="00F06DE2" w:rsidRDefault="00D35E51">
            <w:pPr>
              <w:tabs>
                <w:tab w:val="left" w:pos="1080"/>
              </w:tabs>
              <w:spacing w:line="240" w:lineRule="atLeast"/>
              <w:ind w:left="15" w:hanging="15"/>
              <w:jc w:val="both"/>
              <w:rPr>
                <w:rFonts w:ascii="Times New Roman" w:hAnsi="Times New Roman" w:cs="Times New Roman"/>
              </w:rPr>
            </w:pPr>
            <w:r w:rsidRPr="00F06DE2">
              <w:rPr>
                <w:rFonts w:ascii="Times New Roman" w:hAnsi="Times New Roman" w:cs="Times New Roman"/>
              </w:rPr>
              <w:t>Организация на безопасността</w:t>
            </w:r>
          </w:p>
        </w:tc>
        <w:tc>
          <w:tcPr>
            <w:tcW w:w="6324" w:type="dxa"/>
            <w:shd w:val="clear" w:color="auto" w:fill="auto"/>
          </w:tcPr>
          <w:p w14:paraId="5B96B938" w14:textId="77777777" w:rsidR="00271FA2" w:rsidRPr="00F06DE2" w:rsidRDefault="00D35E51">
            <w:pPr>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404C8FA8" w14:textId="77777777" w:rsidR="00271FA2" w:rsidRPr="00F06DE2" w:rsidRDefault="00271FA2">
            <w:pPr>
              <w:spacing w:line="240" w:lineRule="atLeast"/>
              <w:rPr>
                <w:rFonts w:ascii="Times New Roman" w:hAnsi="Times New Roman" w:cs="Times New Roman"/>
                <w:lang w:val="ru-RU"/>
              </w:rPr>
            </w:pPr>
          </w:p>
        </w:tc>
      </w:tr>
      <w:tr w:rsidR="00271FA2" w:rsidRPr="00F06DE2" w14:paraId="458AF828" w14:textId="77777777" w:rsidTr="00C04891">
        <w:trPr>
          <w:cantSplit/>
          <w:trHeight w:val="1061"/>
          <w:jc w:val="center"/>
        </w:trPr>
        <w:tc>
          <w:tcPr>
            <w:tcW w:w="1342" w:type="dxa"/>
            <w:shd w:val="clear" w:color="auto" w:fill="auto"/>
          </w:tcPr>
          <w:p w14:paraId="4E7ADE3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19.14</w:t>
            </w:r>
          </w:p>
        </w:tc>
        <w:tc>
          <w:tcPr>
            <w:tcW w:w="1458" w:type="dxa"/>
            <w:shd w:val="clear" w:color="auto" w:fill="auto"/>
          </w:tcPr>
          <w:p w14:paraId="5AAC409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1 и 2</w:t>
            </w:r>
          </w:p>
        </w:tc>
        <w:tc>
          <w:tcPr>
            <w:tcW w:w="3296" w:type="dxa"/>
            <w:shd w:val="clear" w:color="auto" w:fill="auto"/>
          </w:tcPr>
          <w:p w14:paraId="1D35F14A" w14:textId="77777777" w:rsidR="00271FA2" w:rsidRPr="00F06DE2" w:rsidRDefault="00D35E51">
            <w:pPr>
              <w:tabs>
                <w:tab w:val="left" w:pos="1080"/>
              </w:tabs>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 xml:space="preserve">Оборудване за събиране на отпадъчни води, резервоари или уредби за преработка на отпадъчни води на борда </w:t>
            </w:r>
          </w:p>
          <w:p w14:paraId="39766BF7" w14:textId="77777777" w:rsidR="00271FA2" w:rsidRPr="00F06DE2" w:rsidRDefault="00D35E51">
            <w:pPr>
              <w:tabs>
                <w:tab w:val="left" w:pos="1080"/>
              </w:tabs>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 xml:space="preserve">Изисквания към събирателни резервоари за отпадъчни води </w:t>
            </w:r>
          </w:p>
        </w:tc>
        <w:tc>
          <w:tcPr>
            <w:tcW w:w="6324" w:type="dxa"/>
            <w:shd w:val="clear" w:color="auto" w:fill="auto"/>
          </w:tcPr>
          <w:p w14:paraId="0F18B288" w14:textId="77777777" w:rsidR="00271FA2" w:rsidRPr="00F06DE2" w:rsidRDefault="00D35E51">
            <w:pPr>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w:t>
            </w:r>
          </w:p>
        </w:tc>
        <w:tc>
          <w:tcPr>
            <w:tcW w:w="1609" w:type="dxa"/>
            <w:shd w:val="clear" w:color="auto" w:fill="auto"/>
          </w:tcPr>
          <w:p w14:paraId="4185D00A" w14:textId="17A882B5" w:rsidR="00271FA2" w:rsidRPr="00F06DE2" w:rsidRDefault="001E4243">
            <w:pPr>
              <w:spacing w:line="240" w:lineRule="atLeast"/>
              <w:jc w:val="both"/>
              <w:rPr>
                <w:rFonts w:ascii="Times New Roman" w:hAnsi="Times New Roman" w:cs="Times New Roman"/>
              </w:rPr>
            </w:pPr>
            <w:r w:rsidRPr="00F06DE2">
              <w:rPr>
                <w:rFonts w:ascii="Times New Roman" w:hAnsi="Times New Roman" w:cs="Times New Roman"/>
              </w:rPr>
              <w:t>01.01</w:t>
            </w:r>
            <w:r w:rsidR="00D35E51" w:rsidRPr="00F06DE2">
              <w:rPr>
                <w:rFonts w:ascii="Times New Roman" w:hAnsi="Times New Roman" w:cs="Times New Roman"/>
              </w:rPr>
              <w:t>.2030 г.</w:t>
            </w:r>
          </w:p>
        </w:tc>
      </w:tr>
      <w:tr w:rsidR="00271FA2" w:rsidRPr="00F06DE2" w14:paraId="21745DC1" w14:textId="77777777" w:rsidTr="00C04891">
        <w:trPr>
          <w:cantSplit/>
          <w:jc w:val="center"/>
        </w:trPr>
        <w:tc>
          <w:tcPr>
            <w:tcW w:w="6096" w:type="dxa"/>
            <w:gridSpan w:val="3"/>
            <w:shd w:val="clear" w:color="auto" w:fill="auto"/>
          </w:tcPr>
          <w:p w14:paraId="7F5EFF47"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20</w:t>
            </w:r>
          </w:p>
        </w:tc>
        <w:tc>
          <w:tcPr>
            <w:tcW w:w="6324" w:type="dxa"/>
            <w:shd w:val="clear" w:color="auto" w:fill="auto"/>
          </w:tcPr>
          <w:p w14:paraId="7A744472" w14:textId="77777777" w:rsidR="00271FA2" w:rsidRPr="00F06DE2" w:rsidRDefault="00271FA2">
            <w:pPr>
              <w:adjustRightInd w:val="0"/>
              <w:spacing w:line="240" w:lineRule="atLeast"/>
              <w:jc w:val="center"/>
              <w:rPr>
                <w:rFonts w:ascii="Times New Roman" w:hAnsi="Times New Roman" w:cs="Times New Roman"/>
              </w:rPr>
            </w:pPr>
          </w:p>
        </w:tc>
        <w:tc>
          <w:tcPr>
            <w:tcW w:w="1609" w:type="dxa"/>
            <w:shd w:val="clear" w:color="auto" w:fill="auto"/>
          </w:tcPr>
          <w:p w14:paraId="5972BAC8" w14:textId="77777777" w:rsidR="00271FA2" w:rsidRPr="00F06DE2" w:rsidRDefault="00271FA2">
            <w:pPr>
              <w:spacing w:line="240" w:lineRule="atLeast"/>
              <w:rPr>
                <w:rFonts w:ascii="Times New Roman" w:hAnsi="Times New Roman" w:cs="Times New Roman"/>
              </w:rPr>
            </w:pPr>
          </w:p>
        </w:tc>
      </w:tr>
      <w:tr w:rsidR="00271FA2" w:rsidRPr="00F06DE2" w14:paraId="26877AC0" w14:textId="77777777" w:rsidTr="00C04891">
        <w:trPr>
          <w:cantSplit/>
          <w:trHeight w:val="896"/>
          <w:jc w:val="center"/>
        </w:trPr>
        <w:tc>
          <w:tcPr>
            <w:tcW w:w="1342" w:type="dxa"/>
            <w:shd w:val="clear" w:color="auto" w:fill="auto"/>
          </w:tcPr>
          <w:p w14:paraId="083D7974"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3968FD6E"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0BCF37D6"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Пътнически ветроходни плавателни съдове</w:t>
            </w:r>
          </w:p>
        </w:tc>
        <w:tc>
          <w:tcPr>
            <w:tcW w:w="6324" w:type="dxa"/>
            <w:shd w:val="clear" w:color="auto" w:fill="auto"/>
          </w:tcPr>
          <w:p w14:paraId="279DBC2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Виж разпоредбите, залегнали в регламентите за плавателни съдове, изключени от обхвата на Директива 82/714/ЕИО: „Липса на явна опасност“.</w:t>
            </w:r>
          </w:p>
        </w:tc>
        <w:tc>
          <w:tcPr>
            <w:tcW w:w="1609" w:type="dxa"/>
            <w:shd w:val="clear" w:color="auto" w:fill="auto"/>
          </w:tcPr>
          <w:p w14:paraId="6948BCFF" w14:textId="77777777" w:rsidR="00271FA2" w:rsidRPr="00F06DE2" w:rsidRDefault="00271FA2">
            <w:pPr>
              <w:spacing w:line="240" w:lineRule="atLeast"/>
              <w:rPr>
                <w:rFonts w:ascii="Times New Roman" w:hAnsi="Times New Roman" w:cs="Times New Roman"/>
                <w:lang w:val="ru-RU"/>
              </w:rPr>
            </w:pPr>
          </w:p>
        </w:tc>
      </w:tr>
      <w:tr w:rsidR="00271FA2" w:rsidRPr="00F06DE2" w14:paraId="3D1FC560" w14:textId="77777777" w:rsidTr="00C04891">
        <w:trPr>
          <w:cantSplit/>
          <w:jc w:val="center"/>
        </w:trPr>
        <w:tc>
          <w:tcPr>
            <w:tcW w:w="6096" w:type="dxa"/>
            <w:gridSpan w:val="3"/>
            <w:shd w:val="clear" w:color="auto" w:fill="auto"/>
          </w:tcPr>
          <w:p w14:paraId="367CD1BF"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21</w:t>
            </w:r>
          </w:p>
        </w:tc>
        <w:tc>
          <w:tcPr>
            <w:tcW w:w="6324" w:type="dxa"/>
            <w:shd w:val="clear" w:color="auto" w:fill="auto"/>
          </w:tcPr>
          <w:p w14:paraId="6D87567D"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7C0DEBE6" w14:textId="77777777" w:rsidR="00271FA2" w:rsidRPr="00F06DE2" w:rsidRDefault="00271FA2">
            <w:pPr>
              <w:spacing w:line="240" w:lineRule="atLeast"/>
              <w:rPr>
                <w:rFonts w:ascii="Times New Roman" w:hAnsi="Times New Roman" w:cs="Times New Roman"/>
              </w:rPr>
            </w:pPr>
          </w:p>
        </w:tc>
      </w:tr>
      <w:tr w:rsidR="00271FA2" w:rsidRPr="00F06DE2" w14:paraId="6ACEC043" w14:textId="77777777" w:rsidTr="00C04891">
        <w:trPr>
          <w:cantSplit/>
          <w:trHeight w:val="1262"/>
          <w:jc w:val="center"/>
        </w:trPr>
        <w:tc>
          <w:tcPr>
            <w:tcW w:w="1342" w:type="dxa"/>
            <w:tcBorders>
              <w:bottom w:val="nil"/>
            </w:tcBorders>
            <w:shd w:val="clear" w:color="auto" w:fill="auto"/>
          </w:tcPr>
          <w:p w14:paraId="06E3C03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21.01</w:t>
            </w:r>
          </w:p>
        </w:tc>
        <w:tc>
          <w:tcPr>
            <w:tcW w:w="1458" w:type="dxa"/>
            <w:shd w:val="clear" w:color="auto" w:fill="auto"/>
          </w:tcPr>
          <w:p w14:paraId="6A524E6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7297B83C"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Специални лебедки или равностойни свързващи устройства, които се използват за тласкане</w:t>
            </w:r>
          </w:p>
        </w:tc>
        <w:tc>
          <w:tcPr>
            <w:tcW w:w="6324" w:type="dxa"/>
            <w:shd w:val="clear" w:color="auto" w:fill="auto"/>
          </w:tcPr>
          <w:p w14:paraId="4183D3AD"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795C73A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68B1E3DF" w14:textId="77777777" w:rsidTr="00C04891">
        <w:trPr>
          <w:cantSplit/>
          <w:trHeight w:val="854"/>
          <w:jc w:val="center"/>
        </w:trPr>
        <w:tc>
          <w:tcPr>
            <w:tcW w:w="1342" w:type="dxa"/>
            <w:tcBorders>
              <w:top w:val="nil"/>
            </w:tcBorders>
            <w:shd w:val="clear" w:color="auto" w:fill="auto"/>
          </w:tcPr>
          <w:p w14:paraId="18B2B378"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1A9BB01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 последно изречение</w:t>
            </w:r>
          </w:p>
        </w:tc>
        <w:tc>
          <w:tcPr>
            <w:tcW w:w="3296" w:type="dxa"/>
            <w:shd w:val="clear" w:color="auto" w:fill="auto"/>
          </w:tcPr>
          <w:p w14:paraId="61BEAC8E"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Изисквания към задвижващите звена</w:t>
            </w:r>
          </w:p>
        </w:tc>
        <w:tc>
          <w:tcPr>
            <w:tcW w:w="6324" w:type="dxa"/>
            <w:shd w:val="clear" w:color="auto" w:fill="auto"/>
          </w:tcPr>
          <w:p w14:paraId="6AEEB3C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6272C9B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30.12.2049 г.</w:t>
            </w:r>
          </w:p>
        </w:tc>
      </w:tr>
      <w:tr w:rsidR="00271FA2" w:rsidRPr="00F06DE2" w14:paraId="68D1A5EB" w14:textId="77777777" w:rsidTr="00C04891">
        <w:trPr>
          <w:cantSplit/>
          <w:jc w:val="center"/>
        </w:trPr>
        <w:tc>
          <w:tcPr>
            <w:tcW w:w="6096" w:type="dxa"/>
            <w:gridSpan w:val="3"/>
            <w:shd w:val="clear" w:color="auto" w:fill="auto"/>
          </w:tcPr>
          <w:p w14:paraId="0B7FD328"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22</w:t>
            </w:r>
          </w:p>
        </w:tc>
        <w:tc>
          <w:tcPr>
            <w:tcW w:w="6324" w:type="dxa"/>
            <w:shd w:val="clear" w:color="auto" w:fill="auto"/>
          </w:tcPr>
          <w:p w14:paraId="41D463A6"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0BFFA10A" w14:textId="77777777" w:rsidR="00271FA2" w:rsidRPr="00F06DE2" w:rsidRDefault="00271FA2">
            <w:pPr>
              <w:spacing w:line="240" w:lineRule="atLeast"/>
              <w:rPr>
                <w:rFonts w:ascii="Times New Roman" w:hAnsi="Times New Roman" w:cs="Times New Roman"/>
              </w:rPr>
            </w:pPr>
          </w:p>
        </w:tc>
      </w:tr>
      <w:tr w:rsidR="00271FA2" w:rsidRPr="00F06DE2" w14:paraId="32E9E5FA" w14:textId="77777777" w:rsidTr="00C04891">
        <w:trPr>
          <w:cantSplit/>
          <w:jc w:val="center"/>
        </w:trPr>
        <w:tc>
          <w:tcPr>
            <w:tcW w:w="1342" w:type="dxa"/>
            <w:shd w:val="clear" w:color="auto" w:fill="auto"/>
          </w:tcPr>
          <w:p w14:paraId="4DD7056E"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4CF83DBA"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6A64F092"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Плаващо съоръжение</w:t>
            </w:r>
          </w:p>
        </w:tc>
        <w:tc>
          <w:tcPr>
            <w:tcW w:w="6324" w:type="dxa"/>
            <w:shd w:val="clear" w:color="auto" w:fill="auto"/>
          </w:tcPr>
          <w:p w14:paraId="3D6DEF6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Виж разпоредбите, залегнали в регламентите за плавателни съдове, изключени от обхвата на Директива 82/714/ЕИО: „Липса на явна опасност“.</w:t>
            </w:r>
          </w:p>
        </w:tc>
        <w:tc>
          <w:tcPr>
            <w:tcW w:w="1609" w:type="dxa"/>
            <w:shd w:val="clear" w:color="auto" w:fill="auto"/>
          </w:tcPr>
          <w:p w14:paraId="3D8503A7" w14:textId="77777777" w:rsidR="00271FA2" w:rsidRPr="00F06DE2" w:rsidRDefault="00271FA2">
            <w:pPr>
              <w:spacing w:line="240" w:lineRule="atLeast"/>
              <w:rPr>
                <w:rFonts w:ascii="Times New Roman" w:hAnsi="Times New Roman" w:cs="Times New Roman"/>
                <w:lang w:val="ru-RU"/>
              </w:rPr>
            </w:pPr>
          </w:p>
        </w:tc>
      </w:tr>
      <w:tr w:rsidR="00271FA2" w:rsidRPr="00F06DE2" w14:paraId="2627D1A3" w14:textId="77777777" w:rsidTr="00C04891">
        <w:trPr>
          <w:cantSplit/>
          <w:jc w:val="center"/>
        </w:trPr>
        <w:tc>
          <w:tcPr>
            <w:tcW w:w="6096" w:type="dxa"/>
            <w:gridSpan w:val="3"/>
            <w:shd w:val="clear" w:color="auto" w:fill="auto"/>
          </w:tcPr>
          <w:p w14:paraId="52286629"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26</w:t>
            </w:r>
          </w:p>
        </w:tc>
        <w:tc>
          <w:tcPr>
            <w:tcW w:w="6324" w:type="dxa"/>
            <w:shd w:val="clear" w:color="auto" w:fill="auto"/>
          </w:tcPr>
          <w:p w14:paraId="72E41187"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328151B1" w14:textId="77777777" w:rsidR="00271FA2" w:rsidRPr="00F06DE2" w:rsidRDefault="00271FA2">
            <w:pPr>
              <w:spacing w:line="240" w:lineRule="atLeast"/>
              <w:rPr>
                <w:rFonts w:ascii="Times New Roman" w:hAnsi="Times New Roman" w:cs="Times New Roman"/>
              </w:rPr>
            </w:pPr>
          </w:p>
        </w:tc>
      </w:tr>
      <w:tr w:rsidR="00271FA2" w:rsidRPr="00F06DE2" w14:paraId="58F45A2D" w14:textId="77777777" w:rsidTr="00C04891">
        <w:trPr>
          <w:cantSplit/>
          <w:jc w:val="center"/>
        </w:trPr>
        <w:tc>
          <w:tcPr>
            <w:tcW w:w="1342" w:type="dxa"/>
            <w:shd w:val="clear" w:color="auto" w:fill="auto"/>
          </w:tcPr>
          <w:p w14:paraId="60A227FD"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47E50394" w14:textId="77777777" w:rsidR="00271FA2" w:rsidRPr="00F06DE2" w:rsidRDefault="00271FA2">
            <w:pPr>
              <w:spacing w:line="240" w:lineRule="atLeast"/>
              <w:rPr>
                <w:rFonts w:ascii="Times New Roman" w:hAnsi="Times New Roman" w:cs="Times New Roman"/>
              </w:rPr>
            </w:pPr>
          </w:p>
        </w:tc>
        <w:tc>
          <w:tcPr>
            <w:tcW w:w="3296" w:type="dxa"/>
            <w:shd w:val="clear" w:color="auto" w:fill="auto"/>
          </w:tcPr>
          <w:p w14:paraId="37C72978" w14:textId="77777777" w:rsidR="00271FA2" w:rsidRPr="00F06DE2" w:rsidRDefault="00D35E51">
            <w:pPr>
              <w:tabs>
                <w:tab w:val="left" w:pos="1080"/>
              </w:tabs>
              <w:spacing w:line="240" w:lineRule="atLeast"/>
              <w:jc w:val="both"/>
              <w:rPr>
                <w:rFonts w:ascii="Times New Roman" w:hAnsi="Times New Roman" w:cs="Times New Roman"/>
              </w:rPr>
            </w:pPr>
            <w:r w:rsidRPr="00F06DE2">
              <w:rPr>
                <w:rFonts w:ascii="Times New Roman" w:hAnsi="Times New Roman" w:cs="Times New Roman"/>
              </w:rPr>
              <w:t>Плавателни средства за отдих</w:t>
            </w:r>
          </w:p>
        </w:tc>
        <w:tc>
          <w:tcPr>
            <w:tcW w:w="6324" w:type="dxa"/>
            <w:shd w:val="clear" w:color="auto" w:fill="auto"/>
          </w:tcPr>
          <w:p w14:paraId="6E8EBF3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Виж разпоредбите, залегнали в регламентите за плавателни съдове, изключени от обхвата на Директива 82/714/ЕИО: „Липса на явна опасност“.</w:t>
            </w:r>
          </w:p>
        </w:tc>
        <w:tc>
          <w:tcPr>
            <w:tcW w:w="1609" w:type="dxa"/>
            <w:shd w:val="clear" w:color="auto" w:fill="auto"/>
          </w:tcPr>
          <w:p w14:paraId="754AFDB7" w14:textId="77777777" w:rsidR="00271FA2" w:rsidRPr="00F06DE2" w:rsidRDefault="00271FA2">
            <w:pPr>
              <w:spacing w:line="240" w:lineRule="atLeast"/>
              <w:rPr>
                <w:rFonts w:ascii="Times New Roman" w:hAnsi="Times New Roman" w:cs="Times New Roman"/>
                <w:lang w:val="ru-RU"/>
              </w:rPr>
            </w:pPr>
          </w:p>
        </w:tc>
      </w:tr>
      <w:tr w:rsidR="00271FA2" w:rsidRPr="00F06DE2" w14:paraId="14A675EA" w14:textId="77777777" w:rsidTr="00C04891">
        <w:trPr>
          <w:cantSplit/>
          <w:jc w:val="center"/>
        </w:trPr>
        <w:tc>
          <w:tcPr>
            <w:tcW w:w="6096" w:type="dxa"/>
            <w:gridSpan w:val="3"/>
            <w:shd w:val="clear" w:color="auto" w:fill="auto"/>
          </w:tcPr>
          <w:p w14:paraId="31346490" w14:textId="77777777" w:rsidR="00271FA2" w:rsidRPr="00F06DE2" w:rsidRDefault="00D35E51">
            <w:pPr>
              <w:tabs>
                <w:tab w:val="left" w:pos="1080"/>
              </w:tabs>
              <w:spacing w:line="240" w:lineRule="atLeast"/>
              <w:jc w:val="center"/>
              <w:rPr>
                <w:rFonts w:ascii="Times New Roman" w:hAnsi="Times New Roman" w:cs="Times New Roman"/>
              </w:rPr>
            </w:pPr>
            <w:r w:rsidRPr="00F06DE2">
              <w:rPr>
                <w:rFonts w:ascii="Times New Roman" w:hAnsi="Times New Roman" w:cs="Times New Roman"/>
                <w:b/>
              </w:rPr>
              <w:t>ГЛАВА 29</w:t>
            </w:r>
          </w:p>
        </w:tc>
        <w:tc>
          <w:tcPr>
            <w:tcW w:w="6324" w:type="dxa"/>
            <w:shd w:val="clear" w:color="auto" w:fill="auto"/>
          </w:tcPr>
          <w:p w14:paraId="4202B796" w14:textId="77777777" w:rsidR="00271FA2" w:rsidRPr="00F06DE2" w:rsidRDefault="00271FA2">
            <w:pPr>
              <w:adjustRightInd w:val="0"/>
              <w:spacing w:line="240" w:lineRule="atLeast"/>
              <w:jc w:val="center"/>
              <w:rPr>
                <w:rFonts w:ascii="Times New Roman" w:hAnsi="Times New Roman" w:cs="Times New Roman"/>
              </w:rPr>
            </w:pPr>
          </w:p>
        </w:tc>
        <w:tc>
          <w:tcPr>
            <w:tcW w:w="1609" w:type="dxa"/>
            <w:shd w:val="clear" w:color="auto" w:fill="auto"/>
          </w:tcPr>
          <w:p w14:paraId="7D49D612" w14:textId="77777777" w:rsidR="00271FA2" w:rsidRPr="00F06DE2" w:rsidRDefault="00271FA2">
            <w:pPr>
              <w:spacing w:line="240" w:lineRule="atLeast"/>
              <w:rPr>
                <w:rFonts w:ascii="Times New Roman" w:hAnsi="Times New Roman" w:cs="Times New Roman"/>
              </w:rPr>
            </w:pPr>
          </w:p>
        </w:tc>
      </w:tr>
      <w:tr w:rsidR="00271FA2" w:rsidRPr="00F06DE2" w14:paraId="01457F39" w14:textId="77777777" w:rsidTr="00C04891">
        <w:trPr>
          <w:cantSplit/>
          <w:jc w:val="center"/>
        </w:trPr>
        <w:tc>
          <w:tcPr>
            <w:tcW w:w="1342" w:type="dxa"/>
            <w:shd w:val="clear" w:color="auto" w:fill="auto"/>
          </w:tcPr>
          <w:p w14:paraId="510651C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 xml:space="preserve">29.02 </w:t>
            </w:r>
          </w:p>
        </w:tc>
        <w:tc>
          <w:tcPr>
            <w:tcW w:w="1458" w:type="dxa"/>
            <w:shd w:val="clear" w:color="auto" w:fill="auto"/>
          </w:tcPr>
          <w:p w14:paraId="7A7BE28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7DAD7D4C"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В експлоатация влиза второ независимо задвижващо звено на рулевия апарат или ръчно задвижващо звено</w:t>
            </w:r>
          </w:p>
        </w:tc>
        <w:tc>
          <w:tcPr>
            <w:tcW w:w="6324" w:type="dxa"/>
            <w:shd w:val="clear" w:color="auto" w:fill="auto"/>
          </w:tcPr>
          <w:p w14:paraId="03ACD85B"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609" w:type="dxa"/>
            <w:shd w:val="clear" w:color="auto" w:fill="auto"/>
          </w:tcPr>
          <w:p w14:paraId="18F4C56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30.12.2029 г.</w:t>
            </w:r>
          </w:p>
        </w:tc>
      </w:tr>
      <w:tr w:rsidR="00271FA2" w:rsidRPr="00F06DE2" w14:paraId="6AC5AF76" w14:textId="77777777" w:rsidTr="00C04891">
        <w:trPr>
          <w:cantSplit/>
          <w:jc w:val="center"/>
        </w:trPr>
        <w:tc>
          <w:tcPr>
            <w:tcW w:w="6096" w:type="dxa"/>
            <w:gridSpan w:val="3"/>
            <w:shd w:val="clear" w:color="auto" w:fill="auto"/>
          </w:tcPr>
          <w:p w14:paraId="622E64C7" w14:textId="77777777" w:rsidR="00271FA2" w:rsidRPr="00F06DE2" w:rsidRDefault="00D35E51">
            <w:pPr>
              <w:tabs>
                <w:tab w:val="left" w:pos="1080"/>
              </w:tabs>
              <w:spacing w:line="240" w:lineRule="atLeast"/>
              <w:jc w:val="center"/>
              <w:rPr>
                <w:rFonts w:ascii="Times New Roman" w:hAnsi="Times New Roman" w:cs="Times New Roman"/>
                <w:b/>
              </w:rPr>
            </w:pPr>
            <w:r w:rsidRPr="00F06DE2">
              <w:rPr>
                <w:rFonts w:ascii="Times New Roman" w:hAnsi="Times New Roman" w:cs="Times New Roman"/>
                <w:b/>
              </w:rPr>
              <w:t>ГЛАВА 30</w:t>
            </w:r>
          </w:p>
        </w:tc>
        <w:tc>
          <w:tcPr>
            <w:tcW w:w="6324" w:type="dxa"/>
            <w:shd w:val="clear" w:color="auto" w:fill="auto"/>
          </w:tcPr>
          <w:p w14:paraId="28DD138B" w14:textId="77777777" w:rsidR="00271FA2" w:rsidRPr="00F06DE2" w:rsidRDefault="00271FA2">
            <w:pPr>
              <w:spacing w:line="240" w:lineRule="atLeast"/>
              <w:rPr>
                <w:rFonts w:ascii="Times New Roman" w:hAnsi="Times New Roman" w:cs="Times New Roman"/>
              </w:rPr>
            </w:pPr>
          </w:p>
        </w:tc>
        <w:tc>
          <w:tcPr>
            <w:tcW w:w="1609" w:type="dxa"/>
            <w:shd w:val="clear" w:color="auto" w:fill="auto"/>
          </w:tcPr>
          <w:p w14:paraId="444373FE" w14:textId="77777777" w:rsidR="00271FA2" w:rsidRPr="00F06DE2" w:rsidRDefault="00271FA2">
            <w:pPr>
              <w:spacing w:line="240" w:lineRule="atLeast"/>
              <w:rPr>
                <w:rFonts w:ascii="Times New Roman" w:hAnsi="Times New Roman" w:cs="Times New Roman"/>
              </w:rPr>
            </w:pPr>
          </w:p>
        </w:tc>
      </w:tr>
      <w:tr w:rsidR="00271FA2" w:rsidRPr="00F06DE2" w14:paraId="4554408D" w14:textId="77777777" w:rsidTr="00C04891">
        <w:trPr>
          <w:cantSplit/>
          <w:jc w:val="center"/>
        </w:trPr>
        <w:tc>
          <w:tcPr>
            <w:tcW w:w="1342" w:type="dxa"/>
            <w:shd w:val="clear" w:color="auto" w:fill="auto"/>
          </w:tcPr>
          <w:p w14:paraId="3CE93A0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30.02</w:t>
            </w:r>
          </w:p>
        </w:tc>
        <w:tc>
          <w:tcPr>
            <w:tcW w:w="1458" w:type="dxa"/>
            <w:shd w:val="clear" w:color="auto" w:fill="auto"/>
          </w:tcPr>
          <w:p w14:paraId="5A64EC0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6CC074B4" w14:textId="77777777" w:rsidR="00271FA2" w:rsidRPr="00F06DE2" w:rsidRDefault="00D35E51">
            <w:pPr>
              <w:tabs>
                <w:tab w:val="left" w:pos="1080"/>
              </w:tabs>
              <w:spacing w:line="240" w:lineRule="atLeast"/>
              <w:jc w:val="both"/>
              <w:rPr>
                <w:rFonts w:ascii="Times New Roman" w:hAnsi="Times New Roman" w:cs="Times New Roman"/>
                <w:lang w:val="ru-RU"/>
              </w:rPr>
            </w:pPr>
            <w:r w:rsidRPr="00F06DE2">
              <w:rPr>
                <w:rFonts w:ascii="Times New Roman" w:hAnsi="Times New Roman" w:cs="Times New Roman"/>
                <w:lang w:val="ru-RU"/>
              </w:rPr>
              <w:t>Газообразни или прахови замърсители на двигатели с горива с ниска точка на запалване</w:t>
            </w:r>
          </w:p>
        </w:tc>
        <w:tc>
          <w:tcPr>
            <w:tcW w:w="6324" w:type="dxa"/>
            <w:shd w:val="clear" w:color="auto" w:fill="auto"/>
          </w:tcPr>
          <w:p w14:paraId="2E4A104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За двигатели, отговарящи на разпоредбите за типово одобрение и монтаж, които са в сила към датата на монтаж: Н.З.Р.</w:t>
            </w:r>
          </w:p>
        </w:tc>
        <w:tc>
          <w:tcPr>
            <w:tcW w:w="1609" w:type="dxa"/>
            <w:shd w:val="clear" w:color="auto" w:fill="auto"/>
          </w:tcPr>
          <w:p w14:paraId="6A5E78FC" w14:textId="77777777" w:rsidR="00271FA2" w:rsidRPr="00F06DE2" w:rsidRDefault="00271FA2">
            <w:pPr>
              <w:spacing w:line="240" w:lineRule="atLeast"/>
              <w:rPr>
                <w:rFonts w:ascii="Times New Roman" w:hAnsi="Times New Roman" w:cs="Times New Roman"/>
                <w:lang w:val="ru-RU"/>
              </w:rPr>
            </w:pPr>
          </w:p>
        </w:tc>
      </w:tr>
    </w:tbl>
    <w:p w14:paraId="54115100" w14:textId="77777777" w:rsidR="00EF1EE9" w:rsidRPr="00F06DE2" w:rsidRDefault="00EF1EE9" w:rsidP="00EF1EE9">
      <w:pPr>
        <w:spacing w:after="0" w:line="240" w:lineRule="auto"/>
        <w:jc w:val="both"/>
        <w:rPr>
          <w:rFonts w:ascii="Times New Roman" w:hAnsi="Times New Roman" w:cs="Times New Roman"/>
          <w:sz w:val="20"/>
          <w:szCs w:val="20"/>
          <w:lang w:val="ru-RU"/>
        </w:rPr>
        <w:sectPr w:rsidR="00EF1EE9" w:rsidRPr="00F06DE2" w:rsidSect="00DB7663">
          <w:headerReference w:type="default" r:id="rId97"/>
          <w:headerReference w:type="first" r:id="rId98"/>
          <w:footerReference w:type="first" r:id="rId99"/>
          <w:footnotePr>
            <w:numRestart w:val="eachPage"/>
          </w:footnotePr>
          <w:pgSz w:w="16838" w:h="11906" w:orient="landscape"/>
          <w:pgMar w:top="1134" w:right="1134" w:bottom="1134" w:left="1134" w:header="709" w:footer="709" w:gutter="0"/>
          <w:cols w:space="709"/>
          <w:titlePg/>
          <w:docGrid w:linePitch="272"/>
        </w:sectPr>
      </w:pPr>
    </w:p>
    <w:p w14:paraId="0EA16BD9" w14:textId="77777777" w:rsidR="001E4243" w:rsidRPr="00F06DE2" w:rsidRDefault="001E4243" w:rsidP="001E4243">
      <w:pPr>
        <w:pStyle w:val="ES-Titre3"/>
        <w:spacing w:after="0" w:line="240" w:lineRule="atLeast"/>
        <w:rPr>
          <w:rFonts w:ascii="Times New Roman" w:hAnsi="Times New Roman" w:cs="Times New Roman"/>
          <w:sz w:val="24"/>
          <w:szCs w:val="24"/>
          <w:lang w:val="ru-RU"/>
        </w:rPr>
      </w:pPr>
      <w:bookmarkStart w:id="577" w:name="_Toc535827729"/>
      <w:bookmarkStart w:id="578" w:name="_Toc491854288"/>
    </w:p>
    <w:p w14:paraId="0A8B4CC0" w14:textId="67A3B69C" w:rsidR="00271FA2" w:rsidRPr="00F06DE2" w:rsidRDefault="00D35E51" w:rsidP="001E4243">
      <w:pPr>
        <w:pStyle w:val="ES-Titre3"/>
        <w:spacing w:after="0" w:line="240" w:lineRule="atLeast"/>
        <w:rPr>
          <w:rFonts w:ascii="Times New Roman" w:hAnsi="Times New Roman" w:cs="Times New Roman"/>
          <w:sz w:val="24"/>
          <w:szCs w:val="24"/>
          <w:lang w:val="ru-RU"/>
        </w:rPr>
      </w:pPr>
      <w:r w:rsidRPr="00F06DE2">
        <w:rPr>
          <w:rFonts w:ascii="Times New Roman" w:hAnsi="Times New Roman" w:cs="Times New Roman"/>
          <w:sz w:val="24"/>
          <w:szCs w:val="24"/>
          <w:lang w:val="ru-RU"/>
        </w:rPr>
        <w:t>Член 33.03</w:t>
      </w:r>
      <w:bookmarkEnd w:id="577"/>
      <w:bookmarkEnd w:id="578"/>
    </w:p>
    <w:p w14:paraId="1D0C1381" w14:textId="77777777" w:rsidR="00271FA2" w:rsidRPr="00F06DE2" w:rsidRDefault="00D35E51">
      <w:pPr>
        <w:pStyle w:val="ES-Titre3a"/>
        <w:spacing w:line="240" w:lineRule="atLeast"/>
        <w:rPr>
          <w:rFonts w:ascii="Times New Roman" w:hAnsi="Times New Roman" w:cs="Times New Roman"/>
          <w:sz w:val="24"/>
          <w:szCs w:val="24"/>
          <w:lang w:val="ru-RU"/>
        </w:rPr>
      </w:pPr>
      <w:bookmarkStart w:id="579" w:name="_Toc535827730"/>
      <w:bookmarkStart w:id="580" w:name="_Toc491854289"/>
      <w:bookmarkStart w:id="581" w:name="_Toc421775899"/>
      <w:r w:rsidRPr="00F06DE2">
        <w:rPr>
          <w:rFonts w:ascii="Times New Roman" w:hAnsi="Times New Roman" w:cs="Times New Roman"/>
          <w:sz w:val="24"/>
          <w:szCs w:val="24"/>
          <w:lang w:val="ru-RU"/>
        </w:rPr>
        <w:t>Допълнителни преходни разпоредби относно плавателните средства, които са заложени за строеж преди 1 януари 1985 г.</w:t>
      </w:r>
      <w:bookmarkEnd w:id="579"/>
      <w:bookmarkEnd w:id="580"/>
      <w:bookmarkEnd w:id="581"/>
    </w:p>
    <w:p w14:paraId="735506B7" w14:textId="77777777" w:rsidR="00271FA2" w:rsidRPr="00F06DE2" w:rsidRDefault="00D35E51">
      <w:pPr>
        <w:spacing w:line="240" w:lineRule="atLeast"/>
        <w:ind w:left="567" w:hanging="567"/>
        <w:jc w:val="both"/>
        <w:rPr>
          <w:rFonts w:ascii="Times New Roman" w:hAnsi="Times New Roman" w:cs="Times New Roman"/>
          <w:lang w:val="ru-RU"/>
        </w:rPr>
      </w:pPr>
      <w:r w:rsidRPr="00F06DE2">
        <w:rPr>
          <w:rFonts w:ascii="Times New Roman" w:hAnsi="Times New Roman" w:cs="Times New Roman"/>
          <w:lang w:val="ru-RU"/>
        </w:rPr>
        <w:t xml:space="preserve">1. </w:t>
      </w:r>
      <w:r w:rsidRPr="00F06DE2">
        <w:rPr>
          <w:rFonts w:ascii="Times New Roman" w:hAnsi="Times New Roman" w:cs="Times New Roman"/>
          <w:lang w:val="ru-RU"/>
        </w:rPr>
        <w:tab/>
        <w:t>В допълнение към преходните разпоредби на член 33.02 следните разпоредби могат да бъдат прилагани по отношение на плавателни средства, които са били заложени за строеж преди 1 януари 1985 г., при условие че са налице подходящи гаранции за безопасността на плавателното средство и екипажа.</w:t>
      </w:r>
    </w:p>
    <w:p w14:paraId="1FEF85EE" w14:textId="77777777" w:rsidR="00271FA2" w:rsidRPr="00F06DE2" w:rsidRDefault="00D35E51">
      <w:pPr>
        <w:spacing w:line="240" w:lineRule="atLeast"/>
        <w:ind w:left="567" w:hanging="567"/>
        <w:rPr>
          <w:rFonts w:ascii="Times New Roman" w:hAnsi="Times New Roman" w:cs="Times New Roman"/>
          <w:lang w:val="ru-RU"/>
        </w:rPr>
      </w:pPr>
      <w:r w:rsidRPr="00F06DE2">
        <w:rPr>
          <w:rFonts w:ascii="Times New Roman" w:hAnsi="Times New Roman" w:cs="Times New Roman"/>
          <w:lang w:val="ru-RU"/>
        </w:rPr>
        <w:t>2.</w:t>
      </w:r>
      <w:r w:rsidRPr="00F06DE2">
        <w:rPr>
          <w:rFonts w:ascii="Times New Roman" w:hAnsi="Times New Roman" w:cs="Times New Roman"/>
          <w:lang w:val="ru-RU"/>
        </w:rPr>
        <w:tab/>
        <w:t>За таблицата по-долу важат следните определения:</w:t>
      </w:r>
    </w:p>
    <w:p w14:paraId="42F1C138" w14:textId="77777777" w:rsidR="00271FA2" w:rsidRPr="00F06DE2" w:rsidRDefault="00D35E51">
      <w:pPr>
        <w:spacing w:line="240" w:lineRule="atLeast"/>
        <w:ind w:left="567"/>
        <w:jc w:val="both"/>
        <w:rPr>
          <w:rFonts w:ascii="Times New Roman" w:hAnsi="Times New Roman" w:cs="Times New Roman"/>
          <w:lang w:val="ru-RU"/>
        </w:rPr>
      </w:pPr>
      <w:r w:rsidRPr="00F06DE2">
        <w:rPr>
          <w:rFonts w:ascii="Times New Roman" w:hAnsi="Times New Roman" w:cs="Times New Roman"/>
          <w:lang w:val="ru-RU"/>
        </w:rPr>
        <w:t xml:space="preserve">„НЗР“: разпоредбата не се прилага за плавателни средства, които вече са в експлоатация, освен ако въпросните части не бъдат заменени или преустроени, т.е. разпоредбата важи само по отношение на </w:t>
      </w:r>
      <w:r w:rsidRPr="00F06DE2">
        <w:rPr>
          <w:rFonts w:ascii="Times New Roman" w:hAnsi="Times New Roman" w:cs="Times New Roman"/>
          <w:u w:val="single"/>
          <w:lang w:val="ru-RU"/>
        </w:rPr>
        <w:t>Н</w:t>
      </w:r>
      <w:r w:rsidRPr="00F06DE2">
        <w:rPr>
          <w:rFonts w:ascii="Times New Roman" w:hAnsi="Times New Roman" w:cs="Times New Roman"/>
          <w:lang w:val="ru-RU"/>
        </w:rPr>
        <w:t xml:space="preserve">овоизградени плавателни средства и на </w:t>
      </w:r>
      <w:r w:rsidRPr="00F06DE2">
        <w:rPr>
          <w:rFonts w:ascii="Times New Roman" w:hAnsi="Times New Roman" w:cs="Times New Roman"/>
          <w:u w:val="single"/>
          <w:lang w:val="ru-RU"/>
        </w:rPr>
        <w:t>З</w:t>
      </w:r>
      <w:r w:rsidRPr="00F06DE2">
        <w:rPr>
          <w:rFonts w:ascii="Times New Roman" w:hAnsi="Times New Roman" w:cs="Times New Roman"/>
          <w:lang w:val="ru-RU"/>
        </w:rPr>
        <w:t xml:space="preserve">амяната или </w:t>
      </w:r>
      <w:r w:rsidRPr="00F06DE2">
        <w:rPr>
          <w:rFonts w:ascii="Times New Roman" w:hAnsi="Times New Roman" w:cs="Times New Roman"/>
          <w:u w:val="single"/>
          <w:lang w:val="ru-RU"/>
        </w:rPr>
        <w:t>Р</w:t>
      </w:r>
      <w:r w:rsidRPr="00F06DE2">
        <w:rPr>
          <w:rFonts w:ascii="Times New Roman" w:hAnsi="Times New Roman" w:cs="Times New Roman"/>
          <w:lang w:val="ru-RU"/>
        </w:rPr>
        <w:t xml:space="preserve">еконструкцията (преустройството) на въпросните части или пространства. В случай, че съществуващи части се заменят от заместващи части от същия вид при използване на същата технология, това не съставлява замяна „З“ по смисъла на преходните разпоредби. </w:t>
      </w:r>
    </w:p>
    <w:p w14:paraId="4F8E5F4E" w14:textId="77777777" w:rsidR="00271FA2" w:rsidRPr="00F06DE2" w:rsidRDefault="00D35E51" w:rsidP="001E4243">
      <w:pPr>
        <w:tabs>
          <w:tab w:val="left" w:pos="4678"/>
        </w:tabs>
        <w:spacing w:after="240" w:line="240" w:lineRule="atLeast"/>
        <w:ind w:left="567"/>
        <w:jc w:val="both"/>
        <w:rPr>
          <w:rFonts w:ascii="Times New Roman" w:hAnsi="Times New Roman" w:cs="Times New Roman"/>
          <w:lang w:val="ru-RU"/>
        </w:rPr>
      </w:pPr>
      <w:r w:rsidRPr="00F06DE2">
        <w:rPr>
          <w:rFonts w:ascii="Times New Roman" w:hAnsi="Times New Roman" w:cs="Times New Roman"/>
          <w:lang w:val="ru-RU"/>
        </w:rPr>
        <w:t>„Издаване или подновяване на Корабното удостоверение за вътрешно корабоплаване “: разпоредбата трябва да бъде спазена при следващото издаване или подновяване на Корабното удостоверение за вътрешно корабоплаване след посочената дата.</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2"/>
        <w:gridCol w:w="1458"/>
        <w:gridCol w:w="3296"/>
        <w:gridCol w:w="6521"/>
        <w:gridCol w:w="1553"/>
      </w:tblGrid>
      <w:tr w:rsidR="00271FA2" w:rsidRPr="00F06DE2" w14:paraId="2C2AEE5D" w14:textId="77777777" w:rsidTr="00E7558D">
        <w:trPr>
          <w:cantSplit/>
          <w:trHeight w:val="550"/>
          <w:tblHeader/>
          <w:jc w:val="center"/>
        </w:trPr>
        <w:tc>
          <w:tcPr>
            <w:tcW w:w="2800" w:type="dxa"/>
            <w:gridSpan w:val="2"/>
            <w:tcBorders>
              <w:bottom w:val="nil"/>
            </w:tcBorders>
            <w:shd w:val="clear" w:color="auto" w:fill="auto"/>
            <w:vAlign w:val="center"/>
          </w:tcPr>
          <w:p w14:paraId="23EB04A3"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Член и точка</w:t>
            </w:r>
          </w:p>
        </w:tc>
        <w:tc>
          <w:tcPr>
            <w:tcW w:w="3296" w:type="dxa"/>
            <w:shd w:val="clear" w:color="auto" w:fill="auto"/>
            <w:vAlign w:val="center"/>
          </w:tcPr>
          <w:p w14:paraId="0A1D97C4"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Съдържание</w:t>
            </w:r>
          </w:p>
        </w:tc>
        <w:tc>
          <w:tcPr>
            <w:tcW w:w="8074" w:type="dxa"/>
            <w:gridSpan w:val="2"/>
            <w:shd w:val="clear" w:color="auto" w:fill="auto"/>
            <w:vAlign w:val="center"/>
          </w:tcPr>
          <w:p w14:paraId="2C53F6AC"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i/>
              </w:rPr>
              <w:t>Краен срок и бележки</w:t>
            </w:r>
          </w:p>
        </w:tc>
      </w:tr>
      <w:tr w:rsidR="00271FA2" w:rsidRPr="00F06DE2" w14:paraId="33CE23DD" w14:textId="77777777" w:rsidTr="00E7558D">
        <w:trPr>
          <w:cantSplit/>
          <w:jc w:val="center"/>
        </w:trPr>
        <w:tc>
          <w:tcPr>
            <w:tcW w:w="6096" w:type="dxa"/>
            <w:gridSpan w:val="3"/>
            <w:shd w:val="clear" w:color="auto" w:fill="auto"/>
          </w:tcPr>
          <w:p w14:paraId="06074360" w14:textId="77777777" w:rsidR="00271FA2" w:rsidRPr="00F06DE2" w:rsidRDefault="00D35E51">
            <w:pPr>
              <w:spacing w:line="240" w:lineRule="atLeast"/>
              <w:jc w:val="center"/>
              <w:rPr>
                <w:rFonts w:ascii="Times New Roman" w:hAnsi="Times New Roman" w:cs="Times New Roman"/>
                <w:b/>
              </w:rPr>
            </w:pPr>
            <w:r w:rsidRPr="00F06DE2">
              <w:rPr>
                <w:rFonts w:ascii="Times New Roman" w:hAnsi="Times New Roman" w:cs="Times New Roman"/>
                <w:b/>
              </w:rPr>
              <w:t>ГЛАВА 3</w:t>
            </w:r>
          </w:p>
        </w:tc>
        <w:tc>
          <w:tcPr>
            <w:tcW w:w="6521" w:type="dxa"/>
            <w:shd w:val="clear" w:color="auto" w:fill="auto"/>
          </w:tcPr>
          <w:p w14:paraId="5FB06854" w14:textId="77777777" w:rsidR="00271FA2" w:rsidRPr="00F06DE2" w:rsidRDefault="00271FA2">
            <w:pPr>
              <w:spacing w:line="240" w:lineRule="atLeast"/>
              <w:rPr>
                <w:rFonts w:ascii="Times New Roman" w:hAnsi="Times New Roman" w:cs="Times New Roman"/>
              </w:rPr>
            </w:pPr>
          </w:p>
        </w:tc>
        <w:tc>
          <w:tcPr>
            <w:tcW w:w="1553" w:type="dxa"/>
            <w:shd w:val="clear" w:color="auto" w:fill="auto"/>
          </w:tcPr>
          <w:p w14:paraId="0D9F5009" w14:textId="77777777" w:rsidR="00271FA2" w:rsidRPr="00F06DE2" w:rsidRDefault="00271FA2">
            <w:pPr>
              <w:spacing w:line="240" w:lineRule="atLeast"/>
              <w:rPr>
                <w:rFonts w:ascii="Times New Roman" w:hAnsi="Times New Roman" w:cs="Times New Roman"/>
              </w:rPr>
            </w:pPr>
          </w:p>
        </w:tc>
      </w:tr>
      <w:tr w:rsidR="00271FA2" w:rsidRPr="00F06DE2" w14:paraId="023D5593" w14:textId="77777777" w:rsidTr="00E7558D">
        <w:trPr>
          <w:cantSplit/>
          <w:jc w:val="center"/>
        </w:trPr>
        <w:tc>
          <w:tcPr>
            <w:tcW w:w="1342" w:type="dxa"/>
            <w:tcBorders>
              <w:bottom w:val="nil"/>
            </w:tcBorders>
            <w:shd w:val="clear" w:color="auto" w:fill="auto"/>
          </w:tcPr>
          <w:p w14:paraId="0642B0C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3.03</w:t>
            </w:r>
          </w:p>
        </w:tc>
        <w:tc>
          <w:tcPr>
            <w:tcW w:w="1458" w:type="dxa"/>
            <w:shd w:val="clear" w:color="auto" w:fill="auto"/>
          </w:tcPr>
          <w:p w14:paraId="47846D7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Точка 1 </w:t>
            </w:r>
          </w:p>
        </w:tc>
        <w:tc>
          <w:tcPr>
            <w:tcW w:w="3296" w:type="dxa"/>
            <w:shd w:val="clear" w:color="auto" w:fill="auto"/>
          </w:tcPr>
          <w:p w14:paraId="3E67C69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Водонепроницаеми първи носови прегради</w:t>
            </w:r>
          </w:p>
        </w:tc>
        <w:tc>
          <w:tcPr>
            <w:tcW w:w="6521" w:type="dxa"/>
            <w:shd w:val="clear" w:color="auto" w:fill="auto"/>
          </w:tcPr>
          <w:p w14:paraId="2E3A8BB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170DA9F2" w14:textId="77777777" w:rsidR="00271FA2" w:rsidRPr="00F06DE2" w:rsidRDefault="00271FA2">
            <w:pPr>
              <w:spacing w:line="240" w:lineRule="atLeast"/>
              <w:rPr>
                <w:rFonts w:ascii="Times New Roman" w:hAnsi="Times New Roman" w:cs="Times New Roman"/>
              </w:rPr>
            </w:pPr>
          </w:p>
        </w:tc>
      </w:tr>
      <w:tr w:rsidR="00271FA2" w:rsidRPr="00F06DE2" w14:paraId="605AE16D" w14:textId="77777777" w:rsidTr="00E7558D">
        <w:trPr>
          <w:cantSplit/>
          <w:jc w:val="center"/>
        </w:trPr>
        <w:tc>
          <w:tcPr>
            <w:tcW w:w="1342" w:type="dxa"/>
            <w:tcBorders>
              <w:top w:val="nil"/>
              <w:bottom w:val="nil"/>
            </w:tcBorders>
            <w:shd w:val="clear" w:color="auto" w:fill="auto"/>
          </w:tcPr>
          <w:p w14:paraId="0608A5C6"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14CC475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7BD9BE1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Жилищни помещения, оборудване за безопасност</w:t>
            </w:r>
          </w:p>
        </w:tc>
        <w:tc>
          <w:tcPr>
            <w:tcW w:w="6521" w:type="dxa"/>
            <w:shd w:val="clear" w:color="auto" w:fill="auto"/>
          </w:tcPr>
          <w:p w14:paraId="6B5E861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244AB051" w14:textId="77777777" w:rsidR="00271FA2" w:rsidRPr="00F06DE2" w:rsidRDefault="00271FA2">
            <w:pPr>
              <w:spacing w:line="240" w:lineRule="atLeast"/>
              <w:rPr>
                <w:rFonts w:ascii="Times New Roman" w:hAnsi="Times New Roman" w:cs="Times New Roman"/>
              </w:rPr>
            </w:pPr>
          </w:p>
        </w:tc>
      </w:tr>
      <w:tr w:rsidR="00271FA2" w:rsidRPr="00F06DE2" w14:paraId="7303BB6D" w14:textId="77777777" w:rsidTr="00E7558D">
        <w:trPr>
          <w:cantSplit/>
          <w:jc w:val="center"/>
        </w:trPr>
        <w:tc>
          <w:tcPr>
            <w:tcW w:w="1342" w:type="dxa"/>
            <w:tcBorders>
              <w:top w:val="nil"/>
              <w:bottom w:val="single" w:sz="4" w:space="0" w:color="auto"/>
            </w:tcBorders>
            <w:shd w:val="clear" w:color="auto" w:fill="auto"/>
          </w:tcPr>
          <w:p w14:paraId="1986EFD0" w14:textId="77777777" w:rsidR="00271FA2" w:rsidRPr="00F06DE2" w:rsidRDefault="00271FA2">
            <w:pPr>
              <w:spacing w:line="240" w:lineRule="atLeast"/>
              <w:jc w:val="both"/>
              <w:rPr>
                <w:rFonts w:ascii="Times New Roman" w:hAnsi="Times New Roman" w:cs="Times New Roman"/>
              </w:rPr>
            </w:pPr>
          </w:p>
        </w:tc>
        <w:tc>
          <w:tcPr>
            <w:tcW w:w="1458" w:type="dxa"/>
            <w:shd w:val="clear" w:color="auto" w:fill="auto"/>
          </w:tcPr>
          <w:p w14:paraId="68AAB08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77437DE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Отвори във водонепроницаемите прегради</w:t>
            </w:r>
          </w:p>
        </w:tc>
        <w:tc>
          <w:tcPr>
            <w:tcW w:w="6521" w:type="dxa"/>
            <w:shd w:val="clear" w:color="auto" w:fill="auto"/>
          </w:tcPr>
          <w:p w14:paraId="734172E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30E241D1" w14:textId="77777777" w:rsidR="00271FA2" w:rsidRPr="00F06DE2" w:rsidRDefault="00271FA2">
            <w:pPr>
              <w:spacing w:line="240" w:lineRule="atLeast"/>
              <w:rPr>
                <w:rFonts w:ascii="Times New Roman" w:hAnsi="Times New Roman" w:cs="Times New Roman"/>
              </w:rPr>
            </w:pPr>
          </w:p>
        </w:tc>
      </w:tr>
      <w:tr w:rsidR="00271FA2" w:rsidRPr="00F06DE2" w14:paraId="67039818" w14:textId="77777777" w:rsidTr="00E7558D">
        <w:trPr>
          <w:cantSplit/>
          <w:jc w:val="center"/>
        </w:trPr>
        <w:tc>
          <w:tcPr>
            <w:tcW w:w="1342" w:type="dxa"/>
            <w:tcBorders>
              <w:bottom w:val="nil"/>
            </w:tcBorders>
            <w:shd w:val="clear" w:color="auto" w:fill="auto"/>
          </w:tcPr>
          <w:p w14:paraId="713A2FE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3.04</w:t>
            </w:r>
          </w:p>
        </w:tc>
        <w:tc>
          <w:tcPr>
            <w:tcW w:w="1458" w:type="dxa"/>
            <w:shd w:val="clear" w:color="auto" w:fill="auto"/>
          </w:tcPr>
          <w:p w14:paraId="604C423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6895836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Общи стени на бункерите, жилищните помещения и помещенията за пътници</w:t>
            </w:r>
          </w:p>
        </w:tc>
        <w:tc>
          <w:tcPr>
            <w:tcW w:w="6521" w:type="dxa"/>
            <w:shd w:val="clear" w:color="auto" w:fill="auto"/>
          </w:tcPr>
          <w:p w14:paraId="4ADF32E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6FB0A700" w14:textId="77777777" w:rsidR="00271FA2" w:rsidRPr="00F06DE2" w:rsidRDefault="00271FA2">
            <w:pPr>
              <w:spacing w:line="240" w:lineRule="atLeast"/>
              <w:rPr>
                <w:rFonts w:ascii="Times New Roman" w:hAnsi="Times New Roman" w:cs="Times New Roman"/>
              </w:rPr>
            </w:pPr>
          </w:p>
        </w:tc>
      </w:tr>
      <w:tr w:rsidR="00271FA2" w:rsidRPr="00F06DE2" w14:paraId="7EA19902" w14:textId="77777777" w:rsidTr="00E7558D">
        <w:trPr>
          <w:cantSplit/>
          <w:jc w:val="center"/>
        </w:trPr>
        <w:tc>
          <w:tcPr>
            <w:tcW w:w="1342" w:type="dxa"/>
            <w:tcBorders>
              <w:top w:val="nil"/>
            </w:tcBorders>
            <w:shd w:val="clear" w:color="auto" w:fill="auto"/>
          </w:tcPr>
          <w:p w14:paraId="0FEEBC8B"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54C3E29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79D84FE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Максимално допустимо ниво на звуковото налягане в машинното отделение</w:t>
            </w:r>
          </w:p>
        </w:tc>
        <w:tc>
          <w:tcPr>
            <w:tcW w:w="6521" w:type="dxa"/>
            <w:shd w:val="clear" w:color="auto" w:fill="auto"/>
          </w:tcPr>
          <w:p w14:paraId="7A7E790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60F6FF00" w14:textId="77777777" w:rsidR="00271FA2" w:rsidRPr="00F06DE2" w:rsidRDefault="00271FA2">
            <w:pPr>
              <w:spacing w:line="240" w:lineRule="atLeast"/>
              <w:rPr>
                <w:rFonts w:ascii="Times New Roman" w:hAnsi="Times New Roman" w:cs="Times New Roman"/>
              </w:rPr>
            </w:pPr>
          </w:p>
        </w:tc>
      </w:tr>
      <w:tr w:rsidR="00271FA2" w:rsidRPr="00F06DE2" w14:paraId="428EE1C0" w14:textId="77777777" w:rsidTr="00E7558D">
        <w:trPr>
          <w:cantSplit/>
          <w:jc w:val="center"/>
        </w:trPr>
        <w:tc>
          <w:tcPr>
            <w:tcW w:w="6096" w:type="dxa"/>
            <w:gridSpan w:val="3"/>
            <w:shd w:val="clear" w:color="auto" w:fill="auto"/>
          </w:tcPr>
          <w:p w14:paraId="1877E527"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4</w:t>
            </w:r>
          </w:p>
        </w:tc>
        <w:tc>
          <w:tcPr>
            <w:tcW w:w="6521" w:type="dxa"/>
            <w:shd w:val="clear" w:color="auto" w:fill="auto"/>
          </w:tcPr>
          <w:p w14:paraId="4A9ED3B9" w14:textId="77777777" w:rsidR="00271FA2" w:rsidRPr="00F06DE2" w:rsidRDefault="00271FA2">
            <w:pPr>
              <w:spacing w:line="240" w:lineRule="atLeast"/>
              <w:rPr>
                <w:rFonts w:ascii="Times New Roman" w:hAnsi="Times New Roman" w:cs="Times New Roman"/>
                <w:b/>
              </w:rPr>
            </w:pPr>
          </w:p>
        </w:tc>
        <w:tc>
          <w:tcPr>
            <w:tcW w:w="1553" w:type="dxa"/>
            <w:shd w:val="clear" w:color="auto" w:fill="auto"/>
          </w:tcPr>
          <w:p w14:paraId="4A2D2FC8" w14:textId="77777777" w:rsidR="00271FA2" w:rsidRPr="00F06DE2" w:rsidRDefault="00271FA2">
            <w:pPr>
              <w:spacing w:line="240" w:lineRule="atLeast"/>
              <w:rPr>
                <w:rFonts w:ascii="Times New Roman" w:hAnsi="Times New Roman" w:cs="Times New Roman"/>
              </w:rPr>
            </w:pPr>
          </w:p>
        </w:tc>
      </w:tr>
      <w:tr w:rsidR="00271FA2" w:rsidRPr="00F06DE2" w14:paraId="2E786A21" w14:textId="77777777" w:rsidTr="00E7558D">
        <w:trPr>
          <w:cantSplit/>
          <w:jc w:val="center"/>
        </w:trPr>
        <w:tc>
          <w:tcPr>
            <w:tcW w:w="1342" w:type="dxa"/>
            <w:shd w:val="clear" w:color="auto" w:fill="auto"/>
          </w:tcPr>
          <w:p w14:paraId="7E77514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4.01</w:t>
            </w:r>
          </w:p>
        </w:tc>
        <w:tc>
          <w:tcPr>
            <w:tcW w:w="1458" w:type="dxa"/>
            <w:shd w:val="clear" w:color="auto" w:fill="auto"/>
          </w:tcPr>
          <w:p w14:paraId="4275D20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3D08450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Безопасно разстояние</w:t>
            </w:r>
          </w:p>
        </w:tc>
        <w:tc>
          <w:tcPr>
            <w:tcW w:w="6521" w:type="dxa"/>
            <w:shd w:val="clear" w:color="auto" w:fill="auto"/>
          </w:tcPr>
          <w:p w14:paraId="014C93CE"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 най-късно при подновяване на Корабното удостоверение за вътрешно корабоплаване след</w:t>
            </w:r>
          </w:p>
        </w:tc>
        <w:tc>
          <w:tcPr>
            <w:tcW w:w="1553" w:type="dxa"/>
            <w:shd w:val="clear" w:color="auto" w:fill="auto"/>
          </w:tcPr>
          <w:p w14:paraId="71CF082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30.12.2019 г.</w:t>
            </w:r>
          </w:p>
        </w:tc>
      </w:tr>
      <w:tr w:rsidR="00271FA2" w:rsidRPr="00F06DE2" w14:paraId="227E4F69" w14:textId="77777777" w:rsidTr="00E7558D">
        <w:trPr>
          <w:cantSplit/>
          <w:jc w:val="center"/>
        </w:trPr>
        <w:tc>
          <w:tcPr>
            <w:tcW w:w="1342" w:type="dxa"/>
            <w:shd w:val="clear" w:color="auto" w:fill="auto"/>
          </w:tcPr>
          <w:p w14:paraId="5C8C4E9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4.02</w:t>
            </w:r>
          </w:p>
        </w:tc>
        <w:tc>
          <w:tcPr>
            <w:tcW w:w="1458" w:type="dxa"/>
            <w:shd w:val="clear" w:color="auto" w:fill="auto"/>
          </w:tcPr>
          <w:p w14:paraId="0DAF4E66"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195F4F3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Надводен борд</w:t>
            </w:r>
          </w:p>
        </w:tc>
        <w:tc>
          <w:tcPr>
            <w:tcW w:w="6521" w:type="dxa"/>
            <w:shd w:val="clear" w:color="auto" w:fill="auto"/>
          </w:tcPr>
          <w:p w14:paraId="786F82C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68F88E77" w14:textId="77777777" w:rsidR="00271FA2" w:rsidRPr="00F06DE2" w:rsidRDefault="00271FA2">
            <w:pPr>
              <w:spacing w:line="240" w:lineRule="atLeast"/>
              <w:jc w:val="both"/>
              <w:rPr>
                <w:rFonts w:ascii="Times New Roman" w:hAnsi="Times New Roman" w:cs="Times New Roman"/>
              </w:rPr>
            </w:pPr>
          </w:p>
        </w:tc>
      </w:tr>
      <w:tr w:rsidR="00271FA2" w:rsidRPr="00F06DE2" w14:paraId="05290978" w14:textId="77777777" w:rsidTr="00E7558D">
        <w:trPr>
          <w:cantSplit/>
          <w:jc w:val="center"/>
        </w:trPr>
        <w:tc>
          <w:tcPr>
            <w:tcW w:w="6096" w:type="dxa"/>
            <w:gridSpan w:val="3"/>
            <w:shd w:val="clear" w:color="auto" w:fill="auto"/>
          </w:tcPr>
          <w:p w14:paraId="62B9435D"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6</w:t>
            </w:r>
          </w:p>
        </w:tc>
        <w:tc>
          <w:tcPr>
            <w:tcW w:w="6521" w:type="dxa"/>
            <w:shd w:val="clear" w:color="auto" w:fill="auto"/>
          </w:tcPr>
          <w:p w14:paraId="785A26EA" w14:textId="77777777" w:rsidR="00271FA2" w:rsidRPr="00F06DE2" w:rsidRDefault="00271FA2">
            <w:pPr>
              <w:spacing w:line="240" w:lineRule="atLeast"/>
              <w:rPr>
                <w:rFonts w:ascii="Times New Roman" w:hAnsi="Times New Roman" w:cs="Times New Roman"/>
              </w:rPr>
            </w:pPr>
          </w:p>
        </w:tc>
        <w:tc>
          <w:tcPr>
            <w:tcW w:w="1553" w:type="dxa"/>
            <w:shd w:val="clear" w:color="auto" w:fill="auto"/>
          </w:tcPr>
          <w:p w14:paraId="3593E0EF" w14:textId="77777777" w:rsidR="00271FA2" w:rsidRPr="00F06DE2" w:rsidRDefault="00271FA2">
            <w:pPr>
              <w:spacing w:line="240" w:lineRule="atLeast"/>
              <w:rPr>
                <w:rFonts w:ascii="Times New Roman" w:hAnsi="Times New Roman" w:cs="Times New Roman"/>
              </w:rPr>
            </w:pPr>
          </w:p>
        </w:tc>
      </w:tr>
      <w:tr w:rsidR="00271FA2" w:rsidRPr="00F06DE2" w14:paraId="56853060" w14:textId="77777777" w:rsidTr="00E7558D">
        <w:trPr>
          <w:cantSplit/>
          <w:jc w:val="center"/>
        </w:trPr>
        <w:tc>
          <w:tcPr>
            <w:tcW w:w="1342" w:type="dxa"/>
            <w:shd w:val="clear" w:color="auto" w:fill="auto"/>
          </w:tcPr>
          <w:p w14:paraId="125CEF8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6.01</w:t>
            </w:r>
          </w:p>
        </w:tc>
        <w:tc>
          <w:tcPr>
            <w:tcW w:w="1458" w:type="dxa"/>
            <w:shd w:val="clear" w:color="auto" w:fill="auto"/>
          </w:tcPr>
          <w:p w14:paraId="125CD01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0DA83DA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Изисквания към рулевата система</w:t>
            </w:r>
          </w:p>
        </w:tc>
        <w:tc>
          <w:tcPr>
            <w:tcW w:w="6521" w:type="dxa"/>
            <w:shd w:val="clear" w:color="auto" w:fill="auto"/>
          </w:tcPr>
          <w:p w14:paraId="0A52F39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2B577DE3" w14:textId="77777777" w:rsidR="00271FA2" w:rsidRPr="00F06DE2" w:rsidRDefault="00271FA2">
            <w:pPr>
              <w:spacing w:line="240" w:lineRule="atLeast"/>
              <w:rPr>
                <w:rFonts w:ascii="Times New Roman" w:hAnsi="Times New Roman" w:cs="Times New Roman"/>
              </w:rPr>
            </w:pPr>
          </w:p>
        </w:tc>
      </w:tr>
      <w:tr w:rsidR="00271FA2" w:rsidRPr="00F06DE2" w14:paraId="57527877" w14:textId="77777777" w:rsidTr="00E7558D">
        <w:trPr>
          <w:cantSplit/>
          <w:jc w:val="center"/>
        </w:trPr>
        <w:tc>
          <w:tcPr>
            <w:tcW w:w="6096" w:type="dxa"/>
            <w:gridSpan w:val="3"/>
            <w:shd w:val="clear" w:color="auto" w:fill="auto"/>
          </w:tcPr>
          <w:p w14:paraId="4E9DB495"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7</w:t>
            </w:r>
          </w:p>
        </w:tc>
        <w:tc>
          <w:tcPr>
            <w:tcW w:w="6521" w:type="dxa"/>
            <w:shd w:val="clear" w:color="auto" w:fill="auto"/>
          </w:tcPr>
          <w:p w14:paraId="13258C93" w14:textId="77777777" w:rsidR="00271FA2" w:rsidRPr="00F06DE2" w:rsidRDefault="00271FA2">
            <w:pPr>
              <w:spacing w:line="240" w:lineRule="atLeast"/>
              <w:rPr>
                <w:rFonts w:ascii="Times New Roman" w:hAnsi="Times New Roman" w:cs="Times New Roman"/>
              </w:rPr>
            </w:pPr>
          </w:p>
        </w:tc>
        <w:tc>
          <w:tcPr>
            <w:tcW w:w="1553" w:type="dxa"/>
            <w:shd w:val="clear" w:color="auto" w:fill="auto"/>
          </w:tcPr>
          <w:p w14:paraId="228EB214" w14:textId="77777777" w:rsidR="00271FA2" w:rsidRPr="00F06DE2" w:rsidRDefault="00271FA2">
            <w:pPr>
              <w:spacing w:line="240" w:lineRule="atLeast"/>
              <w:rPr>
                <w:rFonts w:ascii="Times New Roman" w:hAnsi="Times New Roman" w:cs="Times New Roman"/>
              </w:rPr>
            </w:pPr>
          </w:p>
        </w:tc>
      </w:tr>
      <w:tr w:rsidR="00271FA2" w:rsidRPr="00F06DE2" w14:paraId="7579121D" w14:textId="77777777" w:rsidTr="00E7558D">
        <w:trPr>
          <w:cantSplit/>
          <w:jc w:val="center"/>
        </w:trPr>
        <w:tc>
          <w:tcPr>
            <w:tcW w:w="1342" w:type="dxa"/>
            <w:shd w:val="clear" w:color="auto" w:fill="auto"/>
          </w:tcPr>
          <w:p w14:paraId="11E446D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7.01</w:t>
            </w:r>
          </w:p>
        </w:tc>
        <w:tc>
          <w:tcPr>
            <w:tcW w:w="1458" w:type="dxa"/>
            <w:shd w:val="clear" w:color="auto" w:fill="auto"/>
          </w:tcPr>
          <w:p w14:paraId="7D7EAF9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00236657"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Звуково налягане, създавано от плавателния съд</w:t>
            </w:r>
          </w:p>
        </w:tc>
        <w:tc>
          <w:tcPr>
            <w:tcW w:w="6521" w:type="dxa"/>
            <w:shd w:val="clear" w:color="auto" w:fill="auto"/>
          </w:tcPr>
          <w:p w14:paraId="6919BE7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1BADCC08" w14:textId="77777777" w:rsidR="00271FA2" w:rsidRPr="00F06DE2" w:rsidRDefault="00271FA2">
            <w:pPr>
              <w:spacing w:line="240" w:lineRule="atLeast"/>
              <w:rPr>
                <w:rFonts w:ascii="Times New Roman" w:hAnsi="Times New Roman" w:cs="Times New Roman"/>
              </w:rPr>
            </w:pPr>
          </w:p>
        </w:tc>
      </w:tr>
      <w:tr w:rsidR="00271FA2" w:rsidRPr="00F06DE2" w14:paraId="130A9E7D" w14:textId="77777777" w:rsidTr="00E7558D">
        <w:trPr>
          <w:cantSplit/>
          <w:jc w:val="center"/>
        </w:trPr>
        <w:tc>
          <w:tcPr>
            <w:tcW w:w="1342" w:type="dxa"/>
            <w:shd w:val="clear" w:color="auto" w:fill="auto"/>
          </w:tcPr>
          <w:p w14:paraId="38BBE13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7.12</w:t>
            </w:r>
          </w:p>
        </w:tc>
        <w:tc>
          <w:tcPr>
            <w:tcW w:w="1458" w:type="dxa"/>
            <w:shd w:val="clear" w:color="auto" w:fill="auto"/>
          </w:tcPr>
          <w:p w14:paraId="1ABAC5CE"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0A4341B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Спускаеми рулеви рубки</w:t>
            </w:r>
          </w:p>
        </w:tc>
        <w:tc>
          <w:tcPr>
            <w:tcW w:w="6521" w:type="dxa"/>
            <w:shd w:val="clear" w:color="auto" w:fill="auto"/>
          </w:tcPr>
          <w:p w14:paraId="513D913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41F9464C" w14:textId="77777777" w:rsidR="00271FA2" w:rsidRPr="00F06DE2" w:rsidRDefault="00271FA2">
            <w:pPr>
              <w:spacing w:line="240" w:lineRule="atLeast"/>
              <w:rPr>
                <w:rFonts w:ascii="Times New Roman" w:hAnsi="Times New Roman" w:cs="Times New Roman"/>
              </w:rPr>
            </w:pPr>
          </w:p>
        </w:tc>
      </w:tr>
      <w:tr w:rsidR="00271FA2" w:rsidRPr="00F06DE2" w14:paraId="6C3401BF" w14:textId="77777777" w:rsidTr="00E7558D">
        <w:trPr>
          <w:cantSplit/>
          <w:jc w:val="center"/>
        </w:trPr>
        <w:tc>
          <w:tcPr>
            <w:tcW w:w="6096" w:type="dxa"/>
            <w:gridSpan w:val="3"/>
            <w:shd w:val="clear" w:color="auto" w:fill="auto"/>
          </w:tcPr>
          <w:p w14:paraId="196EE2D3"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8</w:t>
            </w:r>
          </w:p>
        </w:tc>
        <w:tc>
          <w:tcPr>
            <w:tcW w:w="6521" w:type="dxa"/>
            <w:shd w:val="clear" w:color="auto" w:fill="auto"/>
          </w:tcPr>
          <w:p w14:paraId="4E008215" w14:textId="77777777" w:rsidR="00271FA2" w:rsidRPr="00F06DE2" w:rsidRDefault="00271FA2">
            <w:pPr>
              <w:spacing w:line="240" w:lineRule="atLeast"/>
              <w:rPr>
                <w:rFonts w:ascii="Times New Roman" w:hAnsi="Times New Roman" w:cs="Times New Roman"/>
              </w:rPr>
            </w:pPr>
          </w:p>
        </w:tc>
        <w:tc>
          <w:tcPr>
            <w:tcW w:w="1553" w:type="dxa"/>
            <w:shd w:val="clear" w:color="auto" w:fill="auto"/>
          </w:tcPr>
          <w:p w14:paraId="048B39C6" w14:textId="77777777" w:rsidR="00271FA2" w:rsidRPr="00F06DE2" w:rsidRDefault="00271FA2">
            <w:pPr>
              <w:spacing w:line="240" w:lineRule="atLeast"/>
              <w:rPr>
                <w:rFonts w:ascii="Times New Roman" w:hAnsi="Times New Roman" w:cs="Times New Roman"/>
              </w:rPr>
            </w:pPr>
          </w:p>
        </w:tc>
      </w:tr>
      <w:tr w:rsidR="00271FA2" w:rsidRPr="00F06DE2" w14:paraId="56F7774F" w14:textId="77777777" w:rsidTr="00E7558D">
        <w:trPr>
          <w:cantSplit/>
          <w:jc w:val="center"/>
        </w:trPr>
        <w:tc>
          <w:tcPr>
            <w:tcW w:w="1342" w:type="dxa"/>
            <w:shd w:val="clear" w:color="auto" w:fill="auto"/>
          </w:tcPr>
          <w:p w14:paraId="2233EBA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8.01</w:t>
            </w:r>
          </w:p>
        </w:tc>
        <w:tc>
          <w:tcPr>
            <w:tcW w:w="1458" w:type="dxa"/>
            <w:shd w:val="clear" w:color="auto" w:fill="auto"/>
          </w:tcPr>
          <w:p w14:paraId="3CE45BD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1FA3BF04"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Забрана на определени течни горива</w:t>
            </w:r>
          </w:p>
        </w:tc>
        <w:tc>
          <w:tcPr>
            <w:tcW w:w="6521" w:type="dxa"/>
            <w:shd w:val="clear" w:color="auto" w:fill="auto"/>
          </w:tcPr>
          <w:p w14:paraId="67E3BE9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271475C9" w14:textId="77777777" w:rsidR="00271FA2" w:rsidRPr="00F06DE2" w:rsidRDefault="00271FA2">
            <w:pPr>
              <w:spacing w:line="240" w:lineRule="atLeast"/>
              <w:rPr>
                <w:rFonts w:ascii="Times New Roman" w:hAnsi="Times New Roman" w:cs="Times New Roman"/>
              </w:rPr>
            </w:pPr>
          </w:p>
        </w:tc>
      </w:tr>
      <w:tr w:rsidR="00271FA2" w:rsidRPr="00F06DE2" w14:paraId="57A45EF7" w14:textId="77777777" w:rsidTr="00E7558D">
        <w:trPr>
          <w:cantSplit/>
          <w:jc w:val="center"/>
        </w:trPr>
        <w:tc>
          <w:tcPr>
            <w:tcW w:w="1342" w:type="dxa"/>
            <w:shd w:val="clear" w:color="auto" w:fill="auto"/>
          </w:tcPr>
          <w:p w14:paraId="1363F07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8.05</w:t>
            </w:r>
          </w:p>
        </w:tc>
        <w:tc>
          <w:tcPr>
            <w:tcW w:w="1458" w:type="dxa"/>
            <w:shd w:val="clear" w:color="auto" w:fill="auto"/>
          </w:tcPr>
          <w:p w14:paraId="7C0BC59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13</w:t>
            </w:r>
          </w:p>
        </w:tc>
        <w:tc>
          <w:tcPr>
            <w:tcW w:w="3296" w:type="dxa"/>
            <w:shd w:val="clear" w:color="auto" w:fill="auto"/>
          </w:tcPr>
          <w:p w14:paraId="6AA70D16" w14:textId="77777777" w:rsidR="00271FA2" w:rsidRPr="00F06DE2" w:rsidRDefault="00D35E51">
            <w:pPr>
              <w:spacing w:line="240" w:lineRule="atLeast"/>
              <w:ind w:left="15" w:hanging="15"/>
              <w:jc w:val="both"/>
              <w:rPr>
                <w:rFonts w:ascii="Times New Roman" w:hAnsi="Times New Roman" w:cs="Times New Roman"/>
                <w:lang w:val="ru-RU"/>
              </w:rPr>
            </w:pPr>
            <w:r w:rsidRPr="00F06DE2">
              <w:rPr>
                <w:rFonts w:ascii="Times New Roman" w:hAnsi="Times New Roman" w:cs="Times New Roman"/>
                <w:lang w:val="ru-RU"/>
              </w:rPr>
              <w:t>Контрол на равнището на напълване не само за главните двигатели, а също и за другите двигатели, необходими за безопасна експлоатация на плавателния съд</w:t>
            </w:r>
          </w:p>
        </w:tc>
        <w:tc>
          <w:tcPr>
            <w:tcW w:w="6521" w:type="dxa"/>
            <w:shd w:val="clear" w:color="auto" w:fill="auto"/>
          </w:tcPr>
          <w:p w14:paraId="25ADF4D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1D977D08" w14:textId="77777777" w:rsidR="00271FA2" w:rsidRPr="00F06DE2" w:rsidRDefault="00271FA2">
            <w:pPr>
              <w:spacing w:line="240" w:lineRule="atLeast"/>
              <w:rPr>
                <w:rFonts w:ascii="Times New Roman" w:hAnsi="Times New Roman" w:cs="Times New Roman"/>
              </w:rPr>
            </w:pPr>
          </w:p>
        </w:tc>
      </w:tr>
      <w:tr w:rsidR="00271FA2" w:rsidRPr="00F06DE2" w14:paraId="12248919" w14:textId="77777777" w:rsidTr="00E7558D">
        <w:trPr>
          <w:cantSplit/>
          <w:jc w:val="center"/>
        </w:trPr>
        <w:tc>
          <w:tcPr>
            <w:tcW w:w="1342" w:type="dxa"/>
            <w:shd w:val="clear" w:color="auto" w:fill="auto"/>
          </w:tcPr>
          <w:p w14:paraId="57DC195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8.08</w:t>
            </w:r>
          </w:p>
        </w:tc>
        <w:tc>
          <w:tcPr>
            <w:tcW w:w="1458" w:type="dxa"/>
            <w:shd w:val="clear" w:color="auto" w:fill="auto"/>
          </w:tcPr>
          <w:p w14:paraId="31C6441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1E2E82B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Оборудване с осушителни помпи</w:t>
            </w:r>
          </w:p>
        </w:tc>
        <w:tc>
          <w:tcPr>
            <w:tcW w:w="6521" w:type="dxa"/>
            <w:shd w:val="clear" w:color="auto" w:fill="auto"/>
          </w:tcPr>
          <w:p w14:paraId="7958887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5477C745" w14:textId="77777777" w:rsidR="00271FA2" w:rsidRPr="00F06DE2" w:rsidRDefault="00271FA2">
            <w:pPr>
              <w:spacing w:line="240" w:lineRule="atLeast"/>
              <w:rPr>
                <w:rFonts w:ascii="Times New Roman" w:hAnsi="Times New Roman" w:cs="Times New Roman"/>
              </w:rPr>
            </w:pPr>
          </w:p>
        </w:tc>
      </w:tr>
      <w:tr w:rsidR="00271FA2" w:rsidRPr="00F06DE2" w14:paraId="73DE9CF4" w14:textId="77777777" w:rsidTr="00E7558D">
        <w:trPr>
          <w:cantSplit/>
          <w:jc w:val="center"/>
        </w:trPr>
        <w:tc>
          <w:tcPr>
            <w:tcW w:w="1342" w:type="dxa"/>
            <w:shd w:val="clear" w:color="auto" w:fill="auto"/>
          </w:tcPr>
          <w:p w14:paraId="1EAC2E3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8.08</w:t>
            </w:r>
          </w:p>
        </w:tc>
        <w:tc>
          <w:tcPr>
            <w:tcW w:w="1458" w:type="dxa"/>
            <w:shd w:val="clear" w:color="auto" w:fill="auto"/>
          </w:tcPr>
          <w:p w14:paraId="4E74EAC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3 и 4</w:t>
            </w:r>
          </w:p>
        </w:tc>
        <w:tc>
          <w:tcPr>
            <w:tcW w:w="3296" w:type="dxa"/>
            <w:shd w:val="clear" w:color="auto" w:fill="auto"/>
          </w:tcPr>
          <w:p w14:paraId="76600AD1"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Диаметър и минимален капацитет на осушителните помпи</w:t>
            </w:r>
          </w:p>
        </w:tc>
        <w:tc>
          <w:tcPr>
            <w:tcW w:w="6521" w:type="dxa"/>
            <w:shd w:val="clear" w:color="auto" w:fill="auto"/>
          </w:tcPr>
          <w:p w14:paraId="5D8BE00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5A1F0A65" w14:textId="77777777" w:rsidR="00271FA2" w:rsidRPr="00F06DE2" w:rsidRDefault="00271FA2">
            <w:pPr>
              <w:spacing w:line="240" w:lineRule="atLeast"/>
              <w:rPr>
                <w:rFonts w:ascii="Times New Roman" w:hAnsi="Times New Roman" w:cs="Times New Roman"/>
              </w:rPr>
            </w:pPr>
          </w:p>
        </w:tc>
      </w:tr>
      <w:tr w:rsidR="00271FA2" w:rsidRPr="00F06DE2" w14:paraId="07F417A9" w14:textId="77777777" w:rsidTr="00E7558D">
        <w:trPr>
          <w:cantSplit/>
          <w:jc w:val="center"/>
        </w:trPr>
        <w:tc>
          <w:tcPr>
            <w:tcW w:w="1342" w:type="dxa"/>
            <w:shd w:val="clear" w:color="auto" w:fill="auto"/>
          </w:tcPr>
          <w:p w14:paraId="3E383BC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8.08</w:t>
            </w:r>
          </w:p>
        </w:tc>
        <w:tc>
          <w:tcPr>
            <w:tcW w:w="1458" w:type="dxa"/>
            <w:shd w:val="clear" w:color="auto" w:fill="auto"/>
          </w:tcPr>
          <w:p w14:paraId="0E5ABE0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5</w:t>
            </w:r>
          </w:p>
        </w:tc>
        <w:tc>
          <w:tcPr>
            <w:tcW w:w="3296" w:type="dxa"/>
            <w:shd w:val="clear" w:color="auto" w:fill="auto"/>
          </w:tcPr>
          <w:p w14:paraId="4A38DFD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Самозасмукващи осушителни помпи</w:t>
            </w:r>
          </w:p>
        </w:tc>
        <w:tc>
          <w:tcPr>
            <w:tcW w:w="6521" w:type="dxa"/>
            <w:shd w:val="clear" w:color="auto" w:fill="auto"/>
          </w:tcPr>
          <w:p w14:paraId="02F132E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7A396C13" w14:textId="77777777" w:rsidR="00271FA2" w:rsidRPr="00F06DE2" w:rsidRDefault="00271FA2">
            <w:pPr>
              <w:spacing w:line="240" w:lineRule="atLeast"/>
              <w:rPr>
                <w:rFonts w:ascii="Times New Roman" w:hAnsi="Times New Roman" w:cs="Times New Roman"/>
              </w:rPr>
            </w:pPr>
          </w:p>
        </w:tc>
      </w:tr>
      <w:tr w:rsidR="00271FA2" w:rsidRPr="00F06DE2" w14:paraId="6A39C969" w14:textId="77777777" w:rsidTr="00E7558D">
        <w:trPr>
          <w:cantSplit/>
          <w:jc w:val="center"/>
        </w:trPr>
        <w:tc>
          <w:tcPr>
            <w:tcW w:w="1342" w:type="dxa"/>
            <w:shd w:val="clear" w:color="auto" w:fill="auto"/>
          </w:tcPr>
          <w:p w14:paraId="3A3C511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lastRenderedPageBreak/>
              <w:t>8.08</w:t>
            </w:r>
          </w:p>
        </w:tc>
        <w:tc>
          <w:tcPr>
            <w:tcW w:w="1458" w:type="dxa"/>
            <w:shd w:val="clear" w:color="auto" w:fill="auto"/>
          </w:tcPr>
          <w:p w14:paraId="36FF96A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6</w:t>
            </w:r>
          </w:p>
        </w:tc>
        <w:tc>
          <w:tcPr>
            <w:tcW w:w="3296" w:type="dxa"/>
            <w:shd w:val="clear" w:color="auto" w:fill="auto"/>
          </w:tcPr>
          <w:p w14:paraId="0643607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Оборудване с филтри</w:t>
            </w:r>
          </w:p>
        </w:tc>
        <w:tc>
          <w:tcPr>
            <w:tcW w:w="6521" w:type="dxa"/>
            <w:shd w:val="clear" w:color="auto" w:fill="auto"/>
          </w:tcPr>
          <w:p w14:paraId="61D82F8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3DA47C1A" w14:textId="77777777" w:rsidR="00271FA2" w:rsidRPr="00F06DE2" w:rsidRDefault="00271FA2">
            <w:pPr>
              <w:spacing w:line="240" w:lineRule="atLeast"/>
              <w:rPr>
                <w:rFonts w:ascii="Times New Roman" w:hAnsi="Times New Roman" w:cs="Times New Roman"/>
              </w:rPr>
            </w:pPr>
          </w:p>
        </w:tc>
      </w:tr>
      <w:tr w:rsidR="00271FA2" w:rsidRPr="00F06DE2" w14:paraId="44896E83" w14:textId="77777777" w:rsidTr="00E7558D">
        <w:trPr>
          <w:cantSplit/>
          <w:jc w:val="center"/>
        </w:trPr>
        <w:tc>
          <w:tcPr>
            <w:tcW w:w="1342" w:type="dxa"/>
            <w:shd w:val="clear" w:color="auto" w:fill="auto"/>
          </w:tcPr>
          <w:p w14:paraId="45F0A46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8.08</w:t>
            </w:r>
          </w:p>
        </w:tc>
        <w:tc>
          <w:tcPr>
            <w:tcW w:w="1458" w:type="dxa"/>
            <w:shd w:val="clear" w:color="auto" w:fill="auto"/>
          </w:tcPr>
          <w:p w14:paraId="3BE0B6E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7</w:t>
            </w:r>
          </w:p>
        </w:tc>
        <w:tc>
          <w:tcPr>
            <w:tcW w:w="3296" w:type="dxa"/>
            <w:shd w:val="clear" w:color="auto" w:fill="auto"/>
          </w:tcPr>
          <w:p w14:paraId="36D666F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Автоматично затваряща се арматура</w:t>
            </w:r>
          </w:p>
        </w:tc>
        <w:tc>
          <w:tcPr>
            <w:tcW w:w="6521" w:type="dxa"/>
            <w:shd w:val="clear" w:color="auto" w:fill="auto"/>
          </w:tcPr>
          <w:p w14:paraId="5A389C1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48C83AED" w14:textId="77777777" w:rsidR="00271FA2" w:rsidRPr="00F06DE2" w:rsidRDefault="00271FA2">
            <w:pPr>
              <w:spacing w:line="240" w:lineRule="atLeast"/>
              <w:rPr>
                <w:rFonts w:ascii="Times New Roman" w:hAnsi="Times New Roman" w:cs="Times New Roman"/>
              </w:rPr>
            </w:pPr>
          </w:p>
        </w:tc>
      </w:tr>
      <w:tr w:rsidR="00271FA2" w:rsidRPr="00F06DE2" w14:paraId="2A779C34" w14:textId="77777777" w:rsidTr="00E7558D">
        <w:trPr>
          <w:cantSplit/>
          <w:jc w:val="center"/>
        </w:trPr>
        <w:tc>
          <w:tcPr>
            <w:tcW w:w="1342" w:type="dxa"/>
            <w:shd w:val="clear" w:color="auto" w:fill="auto"/>
          </w:tcPr>
          <w:p w14:paraId="67617E50"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8.10</w:t>
            </w:r>
          </w:p>
        </w:tc>
        <w:tc>
          <w:tcPr>
            <w:tcW w:w="1458" w:type="dxa"/>
            <w:shd w:val="clear" w:color="auto" w:fill="auto"/>
          </w:tcPr>
          <w:p w14:paraId="2237C46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5075F76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Шум, създаван от плавателния съд в движение</w:t>
            </w:r>
          </w:p>
        </w:tc>
        <w:tc>
          <w:tcPr>
            <w:tcW w:w="6521" w:type="dxa"/>
            <w:shd w:val="clear" w:color="auto" w:fill="auto"/>
          </w:tcPr>
          <w:p w14:paraId="58A245A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НЗР</w:t>
            </w:r>
          </w:p>
          <w:p w14:paraId="6455DEF8"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В случай на подмяна или преобразуване, съдовете трябва да отговарят на следните условия:</w:t>
            </w:r>
          </w:p>
          <w:p w14:paraId="4D57B3BF"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нивото на звуковото налягане на шума, генериран от плавателния съд, когато е спрял, не надвишава 75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на странично разстояние от 25 </w:t>
            </w:r>
            <w:r w:rsidRPr="00F06DE2">
              <w:rPr>
                <w:rFonts w:ascii="Times New Roman" w:hAnsi="Times New Roman" w:cs="Times New Roman"/>
              </w:rPr>
              <w:t>m</w:t>
            </w:r>
            <w:r w:rsidRPr="00F06DE2">
              <w:rPr>
                <w:rFonts w:ascii="Times New Roman" w:hAnsi="Times New Roman" w:cs="Times New Roman"/>
                <w:lang w:val="ru-RU"/>
              </w:rPr>
              <w:t xml:space="preserve"> от борда на кораба.</w:t>
            </w:r>
          </w:p>
        </w:tc>
        <w:tc>
          <w:tcPr>
            <w:tcW w:w="1553" w:type="dxa"/>
            <w:shd w:val="clear" w:color="auto" w:fill="auto"/>
          </w:tcPr>
          <w:p w14:paraId="3897968E" w14:textId="77777777" w:rsidR="00271FA2" w:rsidRPr="00F06DE2" w:rsidRDefault="00271FA2">
            <w:pPr>
              <w:spacing w:line="240" w:lineRule="atLeast"/>
              <w:rPr>
                <w:rFonts w:ascii="Times New Roman" w:hAnsi="Times New Roman" w:cs="Times New Roman"/>
                <w:lang w:val="ru-RU"/>
              </w:rPr>
            </w:pPr>
          </w:p>
        </w:tc>
      </w:tr>
      <w:tr w:rsidR="00271FA2" w:rsidRPr="00F06DE2" w14:paraId="4FD0D8A7" w14:textId="77777777" w:rsidTr="00E7558D">
        <w:trPr>
          <w:cantSplit/>
          <w:jc w:val="center"/>
        </w:trPr>
        <w:tc>
          <w:tcPr>
            <w:tcW w:w="1342" w:type="dxa"/>
            <w:shd w:val="clear" w:color="auto" w:fill="auto"/>
          </w:tcPr>
          <w:p w14:paraId="49B04FD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8.10</w:t>
            </w:r>
          </w:p>
        </w:tc>
        <w:tc>
          <w:tcPr>
            <w:tcW w:w="1458" w:type="dxa"/>
            <w:shd w:val="clear" w:color="auto" w:fill="auto"/>
          </w:tcPr>
          <w:p w14:paraId="0BF3692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14160803" w14:textId="77777777" w:rsidR="00271FA2" w:rsidRPr="00F06DE2" w:rsidRDefault="00D35E51">
            <w:pPr>
              <w:spacing w:line="240" w:lineRule="atLeast"/>
              <w:jc w:val="both"/>
              <w:rPr>
                <w:rFonts w:ascii="Times New Roman" w:hAnsi="Times New Roman" w:cs="Times New Roman"/>
                <w:color w:val="FF0000"/>
                <w:lang w:val="ru-RU"/>
              </w:rPr>
            </w:pPr>
            <w:r w:rsidRPr="00F06DE2">
              <w:rPr>
                <w:rFonts w:ascii="Times New Roman" w:hAnsi="Times New Roman" w:cs="Times New Roman"/>
                <w:lang w:val="ru-RU"/>
              </w:rPr>
              <w:t>Шум, генериран от плавателен съд, когато е неподвижен</w:t>
            </w:r>
          </w:p>
        </w:tc>
        <w:tc>
          <w:tcPr>
            <w:tcW w:w="6521" w:type="dxa"/>
            <w:shd w:val="clear" w:color="auto" w:fill="auto"/>
          </w:tcPr>
          <w:p w14:paraId="2C3E24D2"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Най-късно при подновяване на Корабното удостоверение за вътрешно корабоплаване след 30.12.2029 г., корабите трябва да отговарят на следните условия:</w:t>
            </w:r>
          </w:p>
          <w:p w14:paraId="67175BF0"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 xml:space="preserve">нивото на звуковото налягане на шума, генериран от плавателен съд, когато е неподвижен, не надвишава 65 </w:t>
            </w:r>
            <w:r w:rsidRPr="00F06DE2">
              <w:rPr>
                <w:rFonts w:ascii="Times New Roman" w:hAnsi="Times New Roman" w:cs="Times New Roman"/>
              </w:rPr>
              <w:t>dB</w:t>
            </w:r>
            <w:r w:rsidRPr="00F06DE2">
              <w:rPr>
                <w:rFonts w:ascii="Times New Roman" w:hAnsi="Times New Roman" w:cs="Times New Roman"/>
                <w:lang w:val="ru-RU"/>
              </w:rPr>
              <w:t>(</w:t>
            </w:r>
            <w:r w:rsidRPr="00F06DE2">
              <w:rPr>
                <w:rFonts w:ascii="Times New Roman" w:hAnsi="Times New Roman" w:cs="Times New Roman"/>
              </w:rPr>
              <w:t>A</w:t>
            </w:r>
            <w:r w:rsidRPr="00F06DE2">
              <w:rPr>
                <w:rFonts w:ascii="Times New Roman" w:hAnsi="Times New Roman" w:cs="Times New Roman"/>
                <w:lang w:val="ru-RU"/>
              </w:rPr>
              <w:t xml:space="preserve">) на странично разстояние от 25 </w:t>
            </w:r>
            <w:r w:rsidRPr="00F06DE2">
              <w:rPr>
                <w:rFonts w:ascii="Times New Roman" w:hAnsi="Times New Roman" w:cs="Times New Roman"/>
              </w:rPr>
              <w:t>m</w:t>
            </w:r>
            <w:r w:rsidRPr="00F06DE2">
              <w:rPr>
                <w:rFonts w:ascii="Times New Roman" w:hAnsi="Times New Roman" w:cs="Times New Roman"/>
                <w:lang w:val="ru-RU"/>
              </w:rPr>
              <w:t xml:space="preserve"> от борда на кораба.</w:t>
            </w:r>
          </w:p>
        </w:tc>
        <w:tc>
          <w:tcPr>
            <w:tcW w:w="1553" w:type="dxa"/>
            <w:shd w:val="clear" w:color="auto" w:fill="auto"/>
          </w:tcPr>
          <w:p w14:paraId="062EE341" w14:textId="77777777" w:rsidR="00271FA2" w:rsidRPr="00F06DE2" w:rsidRDefault="00271FA2">
            <w:pPr>
              <w:spacing w:line="240" w:lineRule="atLeast"/>
              <w:rPr>
                <w:rFonts w:ascii="Times New Roman" w:hAnsi="Times New Roman" w:cs="Times New Roman"/>
                <w:lang w:val="ru-RU"/>
              </w:rPr>
            </w:pPr>
          </w:p>
        </w:tc>
      </w:tr>
      <w:tr w:rsidR="00271FA2" w:rsidRPr="00F06DE2" w14:paraId="3835BC76" w14:textId="77777777" w:rsidTr="00E7558D">
        <w:trPr>
          <w:cantSplit/>
          <w:jc w:val="center"/>
        </w:trPr>
        <w:tc>
          <w:tcPr>
            <w:tcW w:w="6096" w:type="dxa"/>
            <w:gridSpan w:val="3"/>
            <w:shd w:val="clear" w:color="auto" w:fill="auto"/>
          </w:tcPr>
          <w:p w14:paraId="1A1466AC"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10</w:t>
            </w:r>
          </w:p>
        </w:tc>
        <w:tc>
          <w:tcPr>
            <w:tcW w:w="6521" w:type="dxa"/>
            <w:shd w:val="clear" w:color="auto" w:fill="auto"/>
          </w:tcPr>
          <w:p w14:paraId="1BB38C75" w14:textId="77777777" w:rsidR="00271FA2" w:rsidRPr="00F06DE2" w:rsidRDefault="00271FA2">
            <w:pPr>
              <w:spacing w:line="240" w:lineRule="atLeast"/>
              <w:jc w:val="both"/>
              <w:rPr>
                <w:rFonts w:ascii="Times New Roman" w:hAnsi="Times New Roman" w:cs="Times New Roman"/>
              </w:rPr>
            </w:pPr>
          </w:p>
        </w:tc>
        <w:tc>
          <w:tcPr>
            <w:tcW w:w="1553" w:type="dxa"/>
            <w:shd w:val="clear" w:color="auto" w:fill="auto"/>
          </w:tcPr>
          <w:p w14:paraId="52203247" w14:textId="77777777" w:rsidR="00271FA2" w:rsidRPr="00F06DE2" w:rsidRDefault="00271FA2">
            <w:pPr>
              <w:spacing w:line="240" w:lineRule="atLeast"/>
              <w:rPr>
                <w:rFonts w:ascii="Times New Roman" w:hAnsi="Times New Roman" w:cs="Times New Roman"/>
              </w:rPr>
            </w:pPr>
          </w:p>
        </w:tc>
      </w:tr>
      <w:tr w:rsidR="00271FA2" w:rsidRPr="00F06DE2" w14:paraId="382F302F" w14:textId="77777777" w:rsidTr="00E7558D">
        <w:trPr>
          <w:cantSplit/>
          <w:jc w:val="center"/>
        </w:trPr>
        <w:tc>
          <w:tcPr>
            <w:tcW w:w="1342" w:type="dxa"/>
            <w:vMerge w:val="restart"/>
            <w:shd w:val="clear" w:color="auto" w:fill="auto"/>
          </w:tcPr>
          <w:p w14:paraId="008BDF9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10.01</w:t>
            </w:r>
          </w:p>
        </w:tc>
        <w:tc>
          <w:tcPr>
            <w:tcW w:w="1458" w:type="dxa"/>
            <w:shd w:val="clear" w:color="auto" w:fill="auto"/>
          </w:tcPr>
          <w:p w14:paraId="110CC2A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31952A2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Документи за електрически инсталации</w:t>
            </w:r>
          </w:p>
        </w:tc>
        <w:tc>
          <w:tcPr>
            <w:tcW w:w="6521" w:type="dxa"/>
            <w:shd w:val="clear" w:color="auto" w:fill="auto"/>
          </w:tcPr>
          <w:p w14:paraId="427E440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01050220" w14:textId="77777777" w:rsidR="00271FA2" w:rsidRPr="00F06DE2" w:rsidRDefault="00271FA2">
            <w:pPr>
              <w:spacing w:line="240" w:lineRule="atLeast"/>
              <w:rPr>
                <w:rFonts w:ascii="Times New Roman" w:hAnsi="Times New Roman" w:cs="Times New Roman"/>
              </w:rPr>
            </w:pPr>
          </w:p>
        </w:tc>
      </w:tr>
      <w:tr w:rsidR="00271FA2" w:rsidRPr="00F06DE2" w14:paraId="28D220DD" w14:textId="77777777" w:rsidTr="00E7558D">
        <w:trPr>
          <w:cantSplit/>
          <w:jc w:val="center"/>
        </w:trPr>
        <w:tc>
          <w:tcPr>
            <w:tcW w:w="1342" w:type="dxa"/>
            <w:vMerge/>
            <w:shd w:val="clear" w:color="auto" w:fill="auto"/>
          </w:tcPr>
          <w:p w14:paraId="05585B83" w14:textId="77777777" w:rsidR="00271FA2" w:rsidRPr="00F06DE2" w:rsidRDefault="00271FA2">
            <w:pPr>
              <w:spacing w:line="240" w:lineRule="atLeast"/>
              <w:rPr>
                <w:rFonts w:ascii="Times New Roman" w:hAnsi="Times New Roman" w:cs="Times New Roman"/>
              </w:rPr>
            </w:pPr>
          </w:p>
        </w:tc>
        <w:tc>
          <w:tcPr>
            <w:tcW w:w="1458" w:type="dxa"/>
            <w:shd w:val="clear" w:color="auto" w:fill="auto"/>
          </w:tcPr>
          <w:p w14:paraId="29BB66C4"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15622D3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Проектиране на електрическа инсталация</w:t>
            </w:r>
          </w:p>
        </w:tc>
        <w:tc>
          <w:tcPr>
            <w:tcW w:w="6521" w:type="dxa"/>
            <w:shd w:val="clear" w:color="auto" w:fill="auto"/>
          </w:tcPr>
          <w:p w14:paraId="726C8F4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49C1BF3B" w14:textId="77777777" w:rsidR="00271FA2" w:rsidRPr="00F06DE2" w:rsidRDefault="00271FA2">
            <w:pPr>
              <w:spacing w:line="240" w:lineRule="atLeast"/>
              <w:jc w:val="both"/>
              <w:rPr>
                <w:rFonts w:ascii="Times New Roman" w:hAnsi="Times New Roman" w:cs="Times New Roman"/>
              </w:rPr>
            </w:pPr>
          </w:p>
        </w:tc>
      </w:tr>
      <w:tr w:rsidR="00271FA2" w:rsidRPr="00F06DE2" w14:paraId="6ECBFD07" w14:textId="77777777" w:rsidTr="00E7558D">
        <w:trPr>
          <w:cantSplit/>
          <w:jc w:val="center"/>
        </w:trPr>
        <w:tc>
          <w:tcPr>
            <w:tcW w:w="1342" w:type="dxa"/>
            <w:shd w:val="clear" w:color="auto" w:fill="auto"/>
          </w:tcPr>
          <w:p w14:paraId="20437D6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10.06</w:t>
            </w:r>
          </w:p>
        </w:tc>
        <w:tc>
          <w:tcPr>
            <w:tcW w:w="1458" w:type="dxa"/>
            <w:shd w:val="clear" w:color="auto" w:fill="auto"/>
          </w:tcPr>
          <w:p w14:paraId="582DA377"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69E4F308"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Максимално допустимо напрежение</w:t>
            </w:r>
          </w:p>
        </w:tc>
        <w:tc>
          <w:tcPr>
            <w:tcW w:w="6521" w:type="dxa"/>
            <w:shd w:val="clear" w:color="auto" w:fill="auto"/>
          </w:tcPr>
          <w:p w14:paraId="0F4C5BD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7F6C0A16" w14:textId="77777777" w:rsidR="00271FA2" w:rsidRPr="00F06DE2" w:rsidRDefault="00271FA2">
            <w:pPr>
              <w:spacing w:line="240" w:lineRule="atLeast"/>
              <w:rPr>
                <w:rFonts w:ascii="Times New Roman" w:hAnsi="Times New Roman" w:cs="Times New Roman"/>
              </w:rPr>
            </w:pPr>
          </w:p>
        </w:tc>
      </w:tr>
      <w:tr w:rsidR="00271FA2" w:rsidRPr="00F06DE2" w14:paraId="485683DB" w14:textId="77777777" w:rsidTr="00E7558D">
        <w:trPr>
          <w:cantSplit/>
          <w:jc w:val="center"/>
        </w:trPr>
        <w:tc>
          <w:tcPr>
            <w:tcW w:w="1342" w:type="dxa"/>
            <w:shd w:val="clear" w:color="auto" w:fill="auto"/>
          </w:tcPr>
          <w:p w14:paraId="22B6EC4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10.10</w:t>
            </w:r>
          </w:p>
        </w:tc>
        <w:tc>
          <w:tcPr>
            <w:tcW w:w="1458" w:type="dxa"/>
            <w:shd w:val="clear" w:color="auto" w:fill="auto"/>
          </w:tcPr>
          <w:p w14:paraId="5E94426D"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8C5447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Генератори, двигатели и трансформатори</w:t>
            </w:r>
          </w:p>
        </w:tc>
        <w:tc>
          <w:tcPr>
            <w:tcW w:w="6521" w:type="dxa"/>
            <w:shd w:val="clear" w:color="auto" w:fill="auto"/>
          </w:tcPr>
          <w:p w14:paraId="42E130A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5415186A" w14:textId="77777777" w:rsidR="00271FA2" w:rsidRPr="00F06DE2" w:rsidRDefault="00271FA2">
            <w:pPr>
              <w:spacing w:line="240" w:lineRule="atLeast"/>
              <w:rPr>
                <w:rFonts w:ascii="Times New Roman" w:hAnsi="Times New Roman" w:cs="Times New Roman"/>
              </w:rPr>
            </w:pPr>
          </w:p>
        </w:tc>
      </w:tr>
      <w:tr w:rsidR="00271FA2" w:rsidRPr="00F06DE2" w14:paraId="5ED114E8" w14:textId="77777777" w:rsidTr="00E7558D">
        <w:trPr>
          <w:cantSplit/>
          <w:jc w:val="center"/>
        </w:trPr>
        <w:tc>
          <w:tcPr>
            <w:tcW w:w="1342" w:type="dxa"/>
            <w:shd w:val="clear" w:color="auto" w:fill="auto"/>
          </w:tcPr>
          <w:p w14:paraId="3A0D513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10.11</w:t>
            </w:r>
          </w:p>
        </w:tc>
        <w:tc>
          <w:tcPr>
            <w:tcW w:w="1458" w:type="dxa"/>
            <w:shd w:val="clear" w:color="auto" w:fill="auto"/>
          </w:tcPr>
          <w:p w14:paraId="2BF23B1F"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Точки 3 и 5</w:t>
            </w:r>
          </w:p>
        </w:tc>
        <w:tc>
          <w:tcPr>
            <w:tcW w:w="3296" w:type="dxa"/>
            <w:shd w:val="clear" w:color="auto" w:fill="auto"/>
          </w:tcPr>
          <w:p w14:paraId="06D2E35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Монтаж на акумулатори</w:t>
            </w:r>
          </w:p>
        </w:tc>
        <w:tc>
          <w:tcPr>
            <w:tcW w:w="6521" w:type="dxa"/>
            <w:shd w:val="clear" w:color="auto" w:fill="auto"/>
          </w:tcPr>
          <w:p w14:paraId="63673FB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0B052109" w14:textId="77777777" w:rsidR="00271FA2" w:rsidRPr="00F06DE2" w:rsidRDefault="00271FA2">
            <w:pPr>
              <w:spacing w:line="240" w:lineRule="atLeast"/>
              <w:jc w:val="both"/>
              <w:rPr>
                <w:rFonts w:ascii="Times New Roman" w:hAnsi="Times New Roman" w:cs="Times New Roman"/>
              </w:rPr>
            </w:pPr>
          </w:p>
        </w:tc>
      </w:tr>
      <w:tr w:rsidR="001F7070" w:rsidRPr="00F06DE2" w14:paraId="2D7702FD" w14:textId="77777777" w:rsidTr="00E7558D">
        <w:trPr>
          <w:cantSplit/>
          <w:jc w:val="center"/>
        </w:trPr>
        <w:tc>
          <w:tcPr>
            <w:tcW w:w="1342" w:type="dxa"/>
            <w:vMerge w:val="restart"/>
            <w:shd w:val="clear" w:color="auto" w:fill="auto"/>
          </w:tcPr>
          <w:p w14:paraId="73B260C8" w14:textId="77777777" w:rsidR="001F7070" w:rsidRPr="00F06DE2" w:rsidRDefault="001F7070">
            <w:pPr>
              <w:spacing w:line="240" w:lineRule="atLeast"/>
              <w:rPr>
                <w:rFonts w:ascii="Times New Roman" w:hAnsi="Times New Roman" w:cs="Times New Roman"/>
              </w:rPr>
            </w:pPr>
            <w:r w:rsidRPr="00F06DE2">
              <w:rPr>
                <w:rFonts w:ascii="Times New Roman" w:hAnsi="Times New Roman" w:cs="Times New Roman"/>
              </w:rPr>
              <w:lastRenderedPageBreak/>
              <w:t>10.12</w:t>
            </w:r>
          </w:p>
          <w:p w14:paraId="161C02CB" w14:textId="444CF876" w:rsidR="001F7070" w:rsidRPr="00F06DE2" w:rsidRDefault="001F7070" w:rsidP="00AD4722">
            <w:pPr>
              <w:spacing w:line="240" w:lineRule="atLeast"/>
              <w:jc w:val="both"/>
              <w:rPr>
                <w:rFonts w:ascii="Times New Roman" w:hAnsi="Times New Roman" w:cs="Times New Roman"/>
              </w:rPr>
            </w:pPr>
          </w:p>
        </w:tc>
        <w:tc>
          <w:tcPr>
            <w:tcW w:w="1458" w:type="dxa"/>
            <w:shd w:val="clear" w:color="auto" w:fill="auto"/>
          </w:tcPr>
          <w:p w14:paraId="4BA3D88C" w14:textId="77777777" w:rsidR="001F7070" w:rsidRPr="00F06DE2" w:rsidRDefault="001F7070">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67B7528A" w14:textId="77777777" w:rsidR="001F7070" w:rsidRPr="00F06DE2" w:rsidRDefault="001F7070">
            <w:pPr>
              <w:spacing w:line="240" w:lineRule="atLeast"/>
              <w:jc w:val="both"/>
              <w:rPr>
                <w:rFonts w:ascii="Times New Roman" w:hAnsi="Times New Roman" w:cs="Times New Roman"/>
              </w:rPr>
            </w:pPr>
            <w:r w:rsidRPr="00F06DE2">
              <w:rPr>
                <w:rFonts w:ascii="Times New Roman" w:hAnsi="Times New Roman" w:cs="Times New Roman"/>
              </w:rPr>
              <w:t>Превключватели, защитни устройства</w:t>
            </w:r>
          </w:p>
        </w:tc>
        <w:tc>
          <w:tcPr>
            <w:tcW w:w="6521" w:type="dxa"/>
            <w:shd w:val="clear" w:color="auto" w:fill="auto"/>
          </w:tcPr>
          <w:p w14:paraId="7EE6769C" w14:textId="77777777" w:rsidR="001F7070" w:rsidRPr="00F06DE2" w:rsidRDefault="001F7070">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6A612FE3" w14:textId="77777777" w:rsidR="001F7070" w:rsidRPr="00F06DE2" w:rsidRDefault="001F7070">
            <w:pPr>
              <w:spacing w:line="240" w:lineRule="atLeast"/>
              <w:jc w:val="both"/>
              <w:rPr>
                <w:rFonts w:ascii="Times New Roman" w:hAnsi="Times New Roman" w:cs="Times New Roman"/>
              </w:rPr>
            </w:pPr>
          </w:p>
        </w:tc>
      </w:tr>
      <w:tr w:rsidR="001F7070" w:rsidRPr="00F06DE2" w14:paraId="1136C6F3" w14:textId="77777777" w:rsidTr="00E7558D">
        <w:trPr>
          <w:cantSplit/>
          <w:jc w:val="center"/>
        </w:trPr>
        <w:tc>
          <w:tcPr>
            <w:tcW w:w="1342" w:type="dxa"/>
            <w:vMerge/>
            <w:shd w:val="clear" w:color="auto" w:fill="auto"/>
          </w:tcPr>
          <w:p w14:paraId="209C74A9" w14:textId="77777777" w:rsidR="001F7070" w:rsidRPr="00F06DE2" w:rsidRDefault="001F7070">
            <w:pPr>
              <w:spacing w:line="240" w:lineRule="atLeast"/>
              <w:rPr>
                <w:rFonts w:ascii="Times New Roman" w:hAnsi="Times New Roman" w:cs="Times New Roman"/>
              </w:rPr>
            </w:pPr>
          </w:p>
        </w:tc>
        <w:tc>
          <w:tcPr>
            <w:tcW w:w="1458" w:type="dxa"/>
            <w:shd w:val="clear" w:color="auto" w:fill="auto"/>
          </w:tcPr>
          <w:p w14:paraId="2D342EC5" w14:textId="77777777" w:rsidR="001F7070" w:rsidRPr="00F06DE2" w:rsidRDefault="001F7070">
            <w:pPr>
              <w:spacing w:line="240" w:lineRule="atLeast"/>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45F2F7F5" w14:textId="77777777" w:rsidR="001F7070" w:rsidRPr="00F06DE2" w:rsidRDefault="001F7070">
            <w:pPr>
              <w:spacing w:line="240" w:lineRule="atLeast"/>
              <w:jc w:val="both"/>
              <w:rPr>
                <w:rFonts w:ascii="Times New Roman" w:hAnsi="Times New Roman" w:cs="Times New Roman"/>
              </w:rPr>
            </w:pPr>
            <w:r w:rsidRPr="00F06DE2">
              <w:rPr>
                <w:rFonts w:ascii="Times New Roman" w:hAnsi="Times New Roman" w:cs="Times New Roman"/>
              </w:rPr>
              <w:t>Едновременно превключване</w:t>
            </w:r>
          </w:p>
        </w:tc>
        <w:tc>
          <w:tcPr>
            <w:tcW w:w="6521" w:type="dxa"/>
            <w:shd w:val="clear" w:color="auto" w:fill="auto"/>
          </w:tcPr>
          <w:p w14:paraId="151F5B48" w14:textId="77777777" w:rsidR="001F7070" w:rsidRPr="00F06DE2" w:rsidRDefault="001F7070">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6EFD947F" w14:textId="77777777" w:rsidR="001F7070" w:rsidRPr="00F06DE2" w:rsidRDefault="001F7070">
            <w:pPr>
              <w:spacing w:line="240" w:lineRule="atLeast"/>
              <w:rPr>
                <w:rFonts w:ascii="Times New Roman" w:hAnsi="Times New Roman" w:cs="Times New Roman"/>
              </w:rPr>
            </w:pPr>
          </w:p>
        </w:tc>
      </w:tr>
      <w:tr w:rsidR="00271FA2" w:rsidRPr="00F06DE2" w14:paraId="7CD8CEB1" w14:textId="77777777" w:rsidTr="00E7558D">
        <w:trPr>
          <w:cantSplit/>
          <w:jc w:val="center"/>
        </w:trPr>
        <w:tc>
          <w:tcPr>
            <w:tcW w:w="1342" w:type="dxa"/>
            <w:shd w:val="clear" w:color="auto" w:fill="auto"/>
          </w:tcPr>
          <w:p w14:paraId="7D7B00A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10.15</w:t>
            </w:r>
          </w:p>
        </w:tc>
        <w:tc>
          <w:tcPr>
            <w:tcW w:w="1458" w:type="dxa"/>
            <w:shd w:val="clear" w:color="auto" w:fill="auto"/>
          </w:tcPr>
          <w:p w14:paraId="72D54FEC" w14:textId="77777777" w:rsidR="00271FA2" w:rsidRPr="00F06DE2" w:rsidRDefault="00271FA2">
            <w:pPr>
              <w:spacing w:line="240" w:lineRule="atLeast"/>
              <w:jc w:val="both"/>
              <w:rPr>
                <w:rFonts w:ascii="Times New Roman" w:hAnsi="Times New Roman" w:cs="Times New Roman"/>
              </w:rPr>
            </w:pPr>
          </w:p>
        </w:tc>
        <w:tc>
          <w:tcPr>
            <w:tcW w:w="3296" w:type="dxa"/>
            <w:shd w:val="clear" w:color="auto" w:fill="auto"/>
          </w:tcPr>
          <w:p w14:paraId="7C680CB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Кабели</w:t>
            </w:r>
          </w:p>
        </w:tc>
        <w:tc>
          <w:tcPr>
            <w:tcW w:w="6521" w:type="dxa"/>
            <w:shd w:val="clear" w:color="auto" w:fill="auto"/>
          </w:tcPr>
          <w:p w14:paraId="3EBDA02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0BB6BF62" w14:textId="77777777" w:rsidR="00271FA2" w:rsidRPr="00F06DE2" w:rsidRDefault="00271FA2">
            <w:pPr>
              <w:spacing w:line="240" w:lineRule="atLeast"/>
              <w:rPr>
                <w:rFonts w:ascii="Times New Roman" w:hAnsi="Times New Roman" w:cs="Times New Roman"/>
              </w:rPr>
            </w:pPr>
          </w:p>
        </w:tc>
      </w:tr>
      <w:tr w:rsidR="00271FA2" w:rsidRPr="00F06DE2" w14:paraId="2745C955" w14:textId="77777777" w:rsidTr="00E7558D">
        <w:trPr>
          <w:cantSplit/>
          <w:jc w:val="center"/>
        </w:trPr>
        <w:tc>
          <w:tcPr>
            <w:tcW w:w="1342" w:type="dxa"/>
            <w:shd w:val="clear" w:color="auto" w:fill="auto"/>
          </w:tcPr>
          <w:p w14:paraId="247E5011"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 xml:space="preserve">10.16 </w:t>
            </w:r>
          </w:p>
        </w:tc>
        <w:tc>
          <w:tcPr>
            <w:tcW w:w="1458" w:type="dxa"/>
            <w:shd w:val="clear" w:color="auto" w:fill="auto"/>
          </w:tcPr>
          <w:p w14:paraId="1CD2681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4EEFA12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Осветление в машинните отделения</w:t>
            </w:r>
          </w:p>
        </w:tc>
        <w:tc>
          <w:tcPr>
            <w:tcW w:w="6521" w:type="dxa"/>
            <w:shd w:val="clear" w:color="auto" w:fill="auto"/>
          </w:tcPr>
          <w:p w14:paraId="5A073A5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625663F6" w14:textId="77777777" w:rsidR="00271FA2" w:rsidRPr="00F06DE2" w:rsidRDefault="00271FA2">
            <w:pPr>
              <w:spacing w:line="240" w:lineRule="atLeast"/>
              <w:rPr>
                <w:rFonts w:ascii="Times New Roman" w:hAnsi="Times New Roman" w:cs="Times New Roman"/>
              </w:rPr>
            </w:pPr>
          </w:p>
        </w:tc>
      </w:tr>
      <w:tr w:rsidR="00271FA2" w:rsidRPr="00F06DE2" w14:paraId="680CD355" w14:textId="77777777" w:rsidTr="00E7558D">
        <w:trPr>
          <w:cantSplit/>
          <w:jc w:val="center"/>
        </w:trPr>
        <w:tc>
          <w:tcPr>
            <w:tcW w:w="1342" w:type="dxa"/>
            <w:shd w:val="clear" w:color="auto" w:fill="auto"/>
          </w:tcPr>
          <w:p w14:paraId="3B498A1C"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10.17</w:t>
            </w:r>
          </w:p>
        </w:tc>
        <w:tc>
          <w:tcPr>
            <w:tcW w:w="1458" w:type="dxa"/>
            <w:shd w:val="clear" w:color="auto" w:fill="auto"/>
          </w:tcPr>
          <w:p w14:paraId="0F4431E9" w14:textId="77777777" w:rsidR="00271FA2" w:rsidRPr="00F06DE2" w:rsidRDefault="00271FA2">
            <w:pPr>
              <w:spacing w:line="240" w:lineRule="atLeast"/>
              <w:jc w:val="both"/>
              <w:rPr>
                <w:rFonts w:ascii="Times New Roman" w:hAnsi="Times New Roman" w:cs="Times New Roman"/>
                <w:strike/>
              </w:rPr>
            </w:pPr>
          </w:p>
        </w:tc>
        <w:tc>
          <w:tcPr>
            <w:tcW w:w="3296" w:type="dxa"/>
            <w:shd w:val="clear" w:color="auto" w:fill="auto"/>
          </w:tcPr>
          <w:p w14:paraId="463B740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Навигационни светлини</w:t>
            </w:r>
          </w:p>
        </w:tc>
        <w:tc>
          <w:tcPr>
            <w:tcW w:w="6521" w:type="dxa"/>
            <w:shd w:val="clear" w:color="auto" w:fill="auto"/>
          </w:tcPr>
          <w:p w14:paraId="71DF668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226DC434" w14:textId="77777777" w:rsidR="00271FA2" w:rsidRPr="00F06DE2" w:rsidRDefault="00271FA2">
            <w:pPr>
              <w:spacing w:line="240" w:lineRule="atLeast"/>
              <w:rPr>
                <w:rFonts w:ascii="Times New Roman" w:hAnsi="Times New Roman" w:cs="Times New Roman"/>
              </w:rPr>
            </w:pPr>
          </w:p>
        </w:tc>
      </w:tr>
      <w:tr w:rsidR="00271FA2" w:rsidRPr="00F06DE2" w14:paraId="5DA7E9CC" w14:textId="77777777" w:rsidTr="00E7558D">
        <w:trPr>
          <w:cantSplit/>
          <w:jc w:val="center"/>
        </w:trPr>
        <w:tc>
          <w:tcPr>
            <w:tcW w:w="6096" w:type="dxa"/>
            <w:gridSpan w:val="3"/>
            <w:shd w:val="clear" w:color="auto" w:fill="auto"/>
          </w:tcPr>
          <w:p w14:paraId="4F1458EB"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13</w:t>
            </w:r>
          </w:p>
        </w:tc>
        <w:tc>
          <w:tcPr>
            <w:tcW w:w="6521" w:type="dxa"/>
            <w:shd w:val="clear" w:color="auto" w:fill="auto"/>
          </w:tcPr>
          <w:p w14:paraId="5AA3FE92" w14:textId="77777777" w:rsidR="00271FA2" w:rsidRPr="00F06DE2" w:rsidRDefault="00271FA2">
            <w:pPr>
              <w:spacing w:line="240" w:lineRule="atLeast"/>
              <w:rPr>
                <w:rFonts w:ascii="Times New Roman" w:hAnsi="Times New Roman" w:cs="Times New Roman"/>
              </w:rPr>
            </w:pPr>
          </w:p>
        </w:tc>
        <w:tc>
          <w:tcPr>
            <w:tcW w:w="1553" w:type="dxa"/>
            <w:shd w:val="clear" w:color="auto" w:fill="auto"/>
          </w:tcPr>
          <w:p w14:paraId="606A00A7" w14:textId="77777777" w:rsidR="00271FA2" w:rsidRPr="00F06DE2" w:rsidRDefault="00271FA2">
            <w:pPr>
              <w:spacing w:line="240" w:lineRule="atLeast"/>
              <w:rPr>
                <w:rFonts w:ascii="Times New Roman" w:hAnsi="Times New Roman" w:cs="Times New Roman"/>
              </w:rPr>
            </w:pPr>
          </w:p>
        </w:tc>
      </w:tr>
      <w:tr w:rsidR="00271FA2" w:rsidRPr="00F06DE2" w14:paraId="1138A819" w14:textId="77777777" w:rsidTr="00E7558D">
        <w:trPr>
          <w:cantSplit/>
          <w:jc w:val="center"/>
        </w:trPr>
        <w:tc>
          <w:tcPr>
            <w:tcW w:w="1342" w:type="dxa"/>
            <w:shd w:val="clear" w:color="auto" w:fill="auto"/>
          </w:tcPr>
          <w:p w14:paraId="0DC11CD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13.01</w:t>
            </w:r>
          </w:p>
        </w:tc>
        <w:tc>
          <w:tcPr>
            <w:tcW w:w="1458" w:type="dxa"/>
            <w:shd w:val="clear" w:color="auto" w:fill="auto"/>
          </w:tcPr>
          <w:p w14:paraId="447D176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9</w:t>
            </w:r>
          </w:p>
        </w:tc>
        <w:tc>
          <w:tcPr>
            <w:tcW w:w="3296" w:type="dxa"/>
            <w:shd w:val="clear" w:color="auto" w:fill="auto"/>
          </w:tcPr>
          <w:p w14:paraId="0DF70749"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Котвени брашпили за котви с маса над 50</w:t>
            </w:r>
            <w:r w:rsidRPr="00F06DE2">
              <w:rPr>
                <w:rFonts w:ascii="Times New Roman" w:hAnsi="Times New Roman" w:cs="Times New Roman"/>
              </w:rPr>
              <w:t> kg</w:t>
            </w:r>
          </w:p>
        </w:tc>
        <w:tc>
          <w:tcPr>
            <w:tcW w:w="6521" w:type="dxa"/>
            <w:shd w:val="clear" w:color="auto" w:fill="auto"/>
          </w:tcPr>
          <w:p w14:paraId="58DF3896"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068AADC2" w14:textId="77777777" w:rsidR="00271FA2" w:rsidRPr="00F06DE2" w:rsidRDefault="00271FA2">
            <w:pPr>
              <w:spacing w:line="240" w:lineRule="atLeast"/>
              <w:rPr>
                <w:rFonts w:ascii="Times New Roman" w:hAnsi="Times New Roman" w:cs="Times New Roman"/>
              </w:rPr>
            </w:pPr>
          </w:p>
        </w:tc>
      </w:tr>
      <w:tr w:rsidR="00271FA2" w:rsidRPr="00F06DE2" w14:paraId="082B40CB" w14:textId="77777777" w:rsidTr="00E7558D">
        <w:trPr>
          <w:cantSplit/>
          <w:jc w:val="center"/>
        </w:trPr>
        <w:tc>
          <w:tcPr>
            <w:tcW w:w="1342" w:type="dxa"/>
            <w:shd w:val="clear" w:color="auto" w:fill="auto"/>
          </w:tcPr>
          <w:p w14:paraId="4595788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13.07</w:t>
            </w:r>
          </w:p>
        </w:tc>
        <w:tc>
          <w:tcPr>
            <w:tcW w:w="1458" w:type="dxa"/>
            <w:shd w:val="clear" w:color="auto" w:fill="auto"/>
          </w:tcPr>
          <w:p w14:paraId="123DF51E"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6DF12F1A"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Прилагане на Европейския стандарт за корабна лодка</w:t>
            </w:r>
          </w:p>
        </w:tc>
        <w:tc>
          <w:tcPr>
            <w:tcW w:w="6521" w:type="dxa"/>
            <w:shd w:val="clear" w:color="auto" w:fill="auto"/>
          </w:tcPr>
          <w:p w14:paraId="58A8E2EB"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62162F8E" w14:textId="77777777" w:rsidR="00271FA2" w:rsidRPr="00F06DE2" w:rsidRDefault="00271FA2">
            <w:pPr>
              <w:spacing w:line="240" w:lineRule="atLeast"/>
              <w:rPr>
                <w:rFonts w:ascii="Times New Roman" w:hAnsi="Times New Roman" w:cs="Times New Roman"/>
              </w:rPr>
            </w:pPr>
          </w:p>
        </w:tc>
      </w:tr>
      <w:tr w:rsidR="00271FA2" w:rsidRPr="00F06DE2" w14:paraId="74839AD2" w14:textId="77777777" w:rsidTr="00E7558D">
        <w:trPr>
          <w:cantSplit/>
          <w:jc w:val="center"/>
        </w:trPr>
        <w:tc>
          <w:tcPr>
            <w:tcW w:w="1342" w:type="dxa"/>
            <w:shd w:val="clear" w:color="auto" w:fill="auto"/>
          </w:tcPr>
          <w:p w14:paraId="7E6155E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13.08</w:t>
            </w:r>
          </w:p>
        </w:tc>
        <w:tc>
          <w:tcPr>
            <w:tcW w:w="1458" w:type="dxa"/>
            <w:shd w:val="clear" w:color="auto" w:fill="auto"/>
          </w:tcPr>
          <w:p w14:paraId="772A6F6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1</w:t>
            </w:r>
          </w:p>
        </w:tc>
        <w:tc>
          <w:tcPr>
            <w:tcW w:w="3296" w:type="dxa"/>
            <w:shd w:val="clear" w:color="auto" w:fill="auto"/>
          </w:tcPr>
          <w:p w14:paraId="32011B56"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Прилагане на Стандарта за спасителни кръгове</w:t>
            </w:r>
          </w:p>
        </w:tc>
        <w:tc>
          <w:tcPr>
            <w:tcW w:w="6521" w:type="dxa"/>
            <w:shd w:val="clear" w:color="auto" w:fill="auto"/>
          </w:tcPr>
          <w:p w14:paraId="6F82866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7D6A5D20" w14:textId="77777777" w:rsidR="00271FA2" w:rsidRPr="00F06DE2" w:rsidRDefault="00271FA2">
            <w:pPr>
              <w:spacing w:line="240" w:lineRule="atLeast"/>
              <w:rPr>
                <w:rFonts w:ascii="Times New Roman" w:hAnsi="Times New Roman" w:cs="Times New Roman"/>
              </w:rPr>
            </w:pPr>
          </w:p>
        </w:tc>
      </w:tr>
      <w:tr w:rsidR="00271FA2" w:rsidRPr="00F06DE2" w14:paraId="00920787" w14:textId="77777777" w:rsidTr="00E7558D">
        <w:trPr>
          <w:cantSplit/>
          <w:jc w:val="center"/>
        </w:trPr>
        <w:tc>
          <w:tcPr>
            <w:tcW w:w="1342" w:type="dxa"/>
            <w:shd w:val="clear" w:color="auto" w:fill="auto"/>
          </w:tcPr>
          <w:p w14:paraId="77D7506A"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13.08</w:t>
            </w:r>
          </w:p>
        </w:tc>
        <w:tc>
          <w:tcPr>
            <w:tcW w:w="1458" w:type="dxa"/>
            <w:shd w:val="clear" w:color="auto" w:fill="auto"/>
          </w:tcPr>
          <w:p w14:paraId="1A34E287"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79E31DCC"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Прилагане на Стандарта за спасителни жилетки</w:t>
            </w:r>
          </w:p>
        </w:tc>
        <w:tc>
          <w:tcPr>
            <w:tcW w:w="6521" w:type="dxa"/>
            <w:shd w:val="clear" w:color="auto" w:fill="auto"/>
          </w:tcPr>
          <w:p w14:paraId="18FB034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70B8E765" w14:textId="77777777" w:rsidR="00271FA2" w:rsidRPr="00F06DE2" w:rsidRDefault="00271FA2">
            <w:pPr>
              <w:spacing w:line="240" w:lineRule="atLeast"/>
              <w:rPr>
                <w:rFonts w:ascii="Times New Roman" w:hAnsi="Times New Roman" w:cs="Times New Roman"/>
              </w:rPr>
            </w:pPr>
          </w:p>
        </w:tc>
      </w:tr>
      <w:tr w:rsidR="00271FA2" w:rsidRPr="00F06DE2" w14:paraId="573493C7" w14:textId="77777777" w:rsidTr="00E7558D">
        <w:trPr>
          <w:cantSplit/>
          <w:jc w:val="center"/>
        </w:trPr>
        <w:tc>
          <w:tcPr>
            <w:tcW w:w="6096" w:type="dxa"/>
            <w:gridSpan w:val="3"/>
            <w:shd w:val="clear" w:color="auto" w:fill="auto"/>
          </w:tcPr>
          <w:p w14:paraId="7D378701"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14</w:t>
            </w:r>
          </w:p>
        </w:tc>
        <w:tc>
          <w:tcPr>
            <w:tcW w:w="6521" w:type="dxa"/>
            <w:shd w:val="clear" w:color="auto" w:fill="auto"/>
          </w:tcPr>
          <w:p w14:paraId="56431DB6" w14:textId="77777777" w:rsidR="00271FA2" w:rsidRPr="00F06DE2" w:rsidRDefault="00271FA2">
            <w:pPr>
              <w:spacing w:line="240" w:lineRule="atLeast"/>
              <w:rPr>
                <w:rFonts w:ascii="Times New Roman" w:hAnsi="Times New Roman" w:cs="Times New Roman"/>
              </w:rPr>
            </w:pPr>
          </w:p>
        </w:tc>
        <w:tc>
          <w:tcPr>
            <w:tcW w:w="1553" w:type="dxa"/>
            <w:shd w:val="clear" w:color="auto" w:fill="auto"/>
          </w:tcPr>
          <w:p w14:paraId="67D7A728" w14:textId="77777777" w:rsidR="00271FA2" w:rsidRPr="00F06DE2" w:rsidRDefault="00271FA2">
            <w:pPr>
              <w:spacing w:line="240" w:lineRule="atLeast"/>
              <w:rPr>
                <w:rFonts w:ascii="Times New Roman" w:hAnsi="Times New Roman" w:cs="Times New Roman"/>
              </w:rPr>
            </w:pPr>
          </w:p>
        </w:tc>
      </w:tr>
      <w:tr w:rsidR="00271FA2" w:rsidRPr="00F06DE2" w14:paraId="19CC6E5A" w14:textId="77777777" w:rsidTr="00E7558D">
        <w:trPr>
          <w:cantSplit/>
          <w:jc w:val="center"/>
        </w:trPr>
        <w:tc>
          <w:tcPr>
            <w:tcW w:w="1342" w:type="dxa"/>
            <w:shd w:val="clear" w:color="auto" w:fill="auto"/>
          </w:tcPr>
          <w:p w14:paraId="171628D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14.11</w:t>
            </w:r>
          </w:p>
        </w:tc>
        <w:tc>
          <w:tcPr>
            <w:tcW w:w="1458" w:type="dxa"/>
            <w:shd w:val="clear" w:color="auto" w:fill="auto"/>
          </w:tcPr>
          <w:p w14:paraId="482A6B85"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2</w:t>
            </w:r>
          </w:p>
        </w:tc>
        <w:tc>
          <w:tcPr>
            <w:tcW w:w="3296" w:type="dxa"/>
            <w:shd w:val="clear" w:color="auto" w:fill="auto"/>
          </w:tcPr>
          <w:p w14:paraId="1E6BA0D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Обезопасяване на лебедките</w:t>
            </w:r>
          </w:p>
        </w:tc>
        <w:tc>
          <w:tcPr>
            <w:tcW w:w="6521" w:type="dxa"/>
            <w:shd w:val="clear" w:color="auto" w:fill="auto"/>
          </w:tcPr>
          <w:p w14:paraId="22070612"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02809478" w14:textId="77777777" w:rsidR="00271FA2" w:rsidRPr="00F06DE2" w:rsidRDefault="00271FA2">
            <w:pPr>
              <w:spacing w:line="240" w:lineRule="atLeast"/>
              <w:rPr>
                <w:rFonts w:ascii="Times New Roman" w:hAnsi="Times New Roman" w:cs="Times New Roman"/>
              </w:rPr>
            </w:pPr>
          </w:p>
        </w:tc>
      </w:tr>
      <w:tr w:rsidR="00271FA2" w:rsidRPr="00F06DE2" w14:paraId="2AA67A95" w14:textId="77777777" w:rsidTr="00E7558D">
        <w:trPr>
          <w:cantSplit/>
          <w:jc w:val="center"/>
        </w:trPr>
        <w:tc>
          <w:tcPr>
            <w:tcW w:w="6096" w:type="dxa"/>
            <w:gridSpan w:val="3"/>
            <w:shd w:val="clear" w:color="auto" w:fill="auto"/>
          </w:tcPr>
          <w:p w14:paraId="52B2335C" w14:textId="77777777" w:rsidR="00271FA2" w:rsidRPr="00F06DE2" w:rsidRDefault="00D35E51">
            <w:pPr>
              <w:spacing w:line="240" w:lineRule="atLeast"/>
              <w:jc w:val="center"/>
              <w:rPr>
                <w:rFonts w:ascii="Times New Roman" w:hAnsi="Times New Roman" w:cs="Times New Roman"/>
              </w:rPr>
            </w:pPr>
            <w:r w:rsidRPr="00F06DE2">
              <w:rPr>
                <w:rFonts w:ascii="Times New Roman" w:hAnsi="Times New Roman" w:cs="Times New Roman"/>
                <w:b/>
              </w:rPr>
              <w:t>ГЛАВА 15</w:t>
            </w:r>
          </w:p>
        </w:tc>
        <w:tc>
          <w:tcPr>
            <w:tcW w:w="6521" w:type="dxa"/>
            <w:shd w:val="clear" w:color="auto" w:fill="auto"/>
          </w:tcPr>
          <w:p w14:paraId="196937E7" w14:textId="77777777" w:rsidR="00271FA2" w:rsidRPr="00F06DE2" w:rsidRDefault="00271FA2">
            <w:pPr>
              <w:spacing w:line="240" w:lineRule="atLeast"/>
              <w:rPr>
                <w:rFonts w:ascii="Times New Roman" w:hAnsi="Times New Roman" w:cs="Times New Roman"/>
              </w:rPr>
            </w:pPr>
          </w:p>
        </w:tc>
        <w:tc>
          <w:tcPr>
            <w:tcW w:w="1553" w:type="dxa"/>
            <w:shd w:val="clear" w:color="auto" w:fill="auto"/>
          </w:tcPr>
          <w:p w14:paraId="74924679" w14:textId="77777777" w:rsidR="00271FA2" w:rsidRPr="00F06DE2" w:rsidRDefault="00271FA2">
            <w:pPr>
              <w:spacing w:line="240" w:lineRule="atLeast"/>
              <w:rPr>
                <w:rFonts w:ascii="Times New Roman" w:hAnsi="Times New Roman" w:cs="Times New Roman"/>
              </w:rPr>
            </w:pPr>
          </w:p>
        </w:tc>
      </w:tr>
      <w:tr w:rsidR="00271FA2" w:rsidRPr="00F06DE2" w14:paraId="0D9382C0" w14:textId="77777777" w:rsidTr="00E7558D">
        <w:trPr>
          <w:cantSplit/>
          <w:jc w:val="center"/>
        </w:trPr>
        <w:tc>
          <w:tcPr>
            <w:tcW w:w="1342" w:type="dxa"/>
            <w:shd w:val="clear" w:color="auto" w:fill="auto"/>
          </w:tcPr>
          <w:p w14:paraId="4FB96BE3"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15.02</w:t>
            </w:r>
          </w:p>
        </w:tc>
        <w:tc>
          <w:tcPr>
            <w:tcW w:w="1458" w:type="dxa"/>
            <w:shd w:val="clear" w:color="auto" w:fill="auto"/>
          </w:tcPr>
          <w:p w14:paraId="176CC16D"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Точка 3</w:t>
            </w:r>
          </w:p>
        </w:tc>
        <w:tc>
          <w:tcPr>
            <w:tcW w:w="3296" w:type="dxa"/>
            <w:shd w:val="clear" w:color="auto" w:fill="auto"/>
          </w:tcPr>
          <w:p w14:paraId="424543E5" w14:textId="77777777" w:rsidR="00271FA2" w:rsidRPr="00F06DE2" w:rsidRDefault="00D35E51">
            <w:pPr>
              <w:spacing w:line="240" w:lineRule="atLeast"/>
              <w:jc w:val="both"/>
              <w:rPr>
                <w:rFonts w:ascii="Times New Roman" w:hAnsi="Times New Roman" w:cs="Times New Roman"/>
                <w:lang w:val="ru-RU"/>
              </w:rPr>
            </w:pPr>
            <w:r w:rsidRPr="00F06DE2">
              <w:rPr>
                <w:rFonts w:ascii="Times New Roman" w:hAnsi="Times New Roman" w:cs="Times New Roman"/>
                <w:lang w:val="ru-RU"/>
              </w:rPr>
              <w:t>Тръби, пренасящи опасни газове или течности</w:t>
            </w:r>
          </w:p>
        </w:tc>
        <w:tc>
          <w:tcPr>
            <w:tcW w:w="6521" w:type="dxa"/>
            <w:shd w:val="clear" w:color="auto" w:fill="auto"/>
          </w:tcPr>
          <w:p w14:paraId="764A8519" w14:textId="77777777" w:rsidR="00271FA2" w:rsidRPr="00F06DE2" w:rsidRDefault="00D35E51">
            <w:pPr>
              <w:spacing w:line="240" w:lineRule="atLeast"/>
              <w:jc w:val="both"/>
              <w:rPr>
                <w:rFonts w:ascii="Times New Roman" w:hAnsi="Times New Roman" w:cs="Times New Roman"/>
              </w:rPr>
            </w:pPr>
            <w:r w:rsidRPr="00F06DE2">
              <w:rPr>
                <w:rFonts w:ascii="Times New Roman" w:hAnsi="Times New Roman" w:cs="Times New Roman"/>
              </w:rPr>
              <w:t>НЗР</w:t>
            </w:r>
          </w:p>
        </w:tc>
        <w:tc>
          <w:tcPr>
            <w:tcW w:w="1553" w:type="dxa"/>
            <w:shd w:val="clear" w:color="auto" w:fill="auto"/>
          </w:tcPr>
          <w:p w14:paraId="23E11947" w14:textId="77777777" w:rsidR="00271FA2" w:rsidRPr="00F06DE2" w:rsidRDefault="00271FA2">
            <w:pPr>
              <w:spacing w:line="240" w:lineRule="atLeast"/>
              <w:rPr>
                <w:rFonts w:ascii="Times New Roman" w:hAnsi="Times New Roman" w:cs="Times New Roman"/>
              </w:rPr>
            </w:pPr>
          </w:p>
        </w:tc>
      </w:tr>
    </w:tbl>
    <w:p w14:paraId="28897AF5" w14:textId="77777777" w:rsidR="00A81C4B" w:rsidRPr="00F06DE2" w:rsidRDefault="00A81C4B">
      <w:pPr>
        <w:pStyle w:val="ES-Titre3a"/>
        <w:spacing w:line="240" w:lineRule="atLeast"/>
        <w:rPr>
          <w:rFonts w:ascii="Times New Roman" w:hAnsi="Times New Roman" w:cs="Times New Roman"/>
          <w:i w:val="0"/>
          <w:sz w:val="24"/>
          <w:szCs w:val="24"/>
          <w:lang w:val="ru-RU"/>
        </w:rPr>
        <w:sectPr w:rsidR="00A81C4B" w:rsidRPr="00F06DE2" w:rsidSect="00DB7663">
          <w:headerReference w:type="first" r:id="rId100"/>
          <w:footnotePr>
            <w:numRestart w:val="eachPage"/>
          </w:footnotePr>
          <w:pgSz w:w="16838" w:h="11906" w:orient="landscape"/>
          <w:pgMar w:top="1134" w:right="1134" w:bottom="1134" w:left="1134" w:header="709" w:footer="709" w:gutter="0"/>
          <w:cols w:space="709"/>
          <w:titlePg/>
          <w:docGrid w:linePitch="272"/>
        </w:sectPr>
      </w:pPr>
    </w:p>
    <w:p w14:paraId="30829740" w14:textId="77777777" w:rsidR="00271FA2" w:rsidRPr="00F06DE2" w:rsidRDefault="00D35E51">
      <w:pPr>
        <w:pStyle w:val="ES-Titre3a"/>
        <w:spacing w:line="240" w:lineRule="atLeast"/>
        <w:rPr>
          <w:rFonts w:ascii="Times New Roman" w:hAnsi="Times New Roman" w:cs="Times New Roman"/>
          <w:sz w:val="24"/>
          <w:szCs w:val="24"/>
          <w:lang w:val="ru-RU"/>
        </w:rPr>
      </w:pPr>
      <w:r w:rsidRPr="00F06DE2">
        <w:rPr>
          <w:rFonts w:ascii="Times New Roman" w:hAnsi="Times New Roman" w:cs="Times New Roman"/>
          <w:i w:val="0"/>
          <w:sz w:val="24"/>
          <w:szCs w:val="24"/>
          <w:lang w:val="ru-RU"/>
        </w:rPr>
        <w:lastRenderedPageBreak/>
        <w:t>Член 33.04</w:t>
      </w:r>
      <w:r w:rsidRPr="00F06DE2">
        <w:rPr>
          <w:rFonts w:ascii="Times New Roman" w:hAnsi="Times New Roman" w:cs="Times New Roman"/>
          <w:i w:val="0"/>
          <w:sz w:val="24"/>
          <w:szCs w:val="24"/>
          <w:lang w:val="ru-RU"/>
        </w:rPr>
        <w:br/>
      </w:r>
      <w:r w:rsidRPr="00F06DE2">
        <w:rPr>
          <w:rFonts w:ascii="Times New Roman" w:hAnsi="Times New Roman" w:cs="Times New Roman"/>
          <w:sz w:val="24"/>
          <w:szCs w:val="24"/>
          <w:lang w:val="ru-RU"/>
        </w:rPr>
        <w:t>Корабни лодки, които са били на борда на плавателното средство преди 1.1.2009 г.</w:t>
      </w:r>
    </w:p>
    <w:p w14:paraId="1CF13DDB" w14:textId="77777777" w:rsidR="00271FA2" w:rsidRPr="00F06DE2" w:rsidRDefault="00D35E51" w:rsidP="00E7558D">
      <w:pPr>
        <w:pStyle w:val="ES-Titre3a"/>
        <w:spacing w:after="0" w:line="240" w:lineRule="atLeast"/>
        <w:ind w:left="567"/>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1. Корабните лодки, които са били на борда преди 1.1.2009 г., трябва да:</w:t>
      </w:r>
    </w:p>
    <w:p w14:paraId="6DDEB899" w14:textId="77777777" w:rsidR="00271FA2" w:rsidRPr="00F06DE2" w:rsidRDefault="00D35E51" w:rsidP="00E7558D">
      <w:pPr>
        <w:pStyle w:val="ES-Titre3a"/>
        <w:spacing w:after="0" w:line="240" w:lineRule="atLeast"/>
        <w:ind w:left="567"/>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 xml:space="preserve">а) са включени в списъка на корабните лодки за вътрешно корабоплаване, публикуван от </w:t>
      </w:r>
      <w:r w:rsidRPr="00F06DE2">
        <w:rPr>
          <w:rFonts w:ascii="Times New Roman" w:hAnsi="Times New Roman" w:cs="Times New Roman"/>
          <w:b w:val="0"/>
          <w:i w:val="0"/>
          <w:sz w:val="24"/>
          <w:szCs w:val="24"/>
        </w:rPr>
        <w:t>CESNI</w:t>
      </w:r>
      <w:r w:rsidRPr="00F06DE2">
        <w:rPr>
          <w:rFonts w:ascii="Times New Roman" w:hAnsi="Times New Roman" w:cs="Times New Roman"/>
          <w:b w:val="0"/>
          <w:i w:val="0"/>
          <w:sz w:val="24"/>
          <w:szCs w:val="24"/>
          <w:lang w:val="ru-RU"/>
        </w:rPr>
        <w:t>; или</w:t>
      </w:r>
    </w:p>
    <w:p w14:paraId="145CAEB6" w14:textId="77777777" w:rsidR="00271FA2" w:rsidRPr="00F06DE2" w:rsidRDefault="00D35E51" w:rsidP="00E7558D">
      <w:pPr>
        <w:pStyle w:val="ES-Titre3a"/>
        <w:spacing w:after="0" w:line="240" w:lineRule="atLeast"/>
        <w:ind w:left="567"/>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б) отговарят на условията, посочени в член 32.06, точка 2.</w:t>
      </w:r>
    </w:p>
    <w:p w14:paraId="42A72999" w14:textId="56901B9A" w:rsidR="00271FA2" w:rsidRPr="00F06DE2" w:rsidRDefault="00D35E51" w:rsidP="00E7558D">
      <w:pPr>
        <w:pStyle w:val="ES-Titre3a"/>
        <w:spacing w:after="0" w:line="240" w:lineRule="atLeast"/>
        <w:ind w:left="567"/>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2. Корабните лодки съгласно точка 1 трябва да бъдат маркирани с метална табела съгласно следния образец:</w:t>
      </w:r>
    </w:p>
    <w:p w14:paraId="717FB49D" w14:textId="77777777" w:rsidR="00E7558D" w:rsidRPr="00F06DE2" w:rsidRDefault="00E7558D" w:rsidP="00E7558D">
      <w:pPr>
        <w:pStyle w:val="ES-Titre3a"/>
        <w:spacing w:after="0" w:line="240" w:lineRule="atLeast"/>
        <w:ind w:left="567"/>
        <w:jc w:val="both"/>
        <w:rPr>
          <w:rFonts w:ascii="Times New Roman" w:hAnsi="Times New Roman" w:cs="Times New Roman"/>
          <w:b w:val="0"/>
          <w:i w:val="0"/>
          <w:sz w:val="24"/>
          <w:szCs w:val="24"/>
          <w:lang w:val="ru-RU"/>
        </w:rPr>
      </w:pPr>
    </w:p>
    <w:tbl>
      <w:tblPr>
        <w:tblStyle w:val="TableGrid"/>
        <w:tblW w:w="0" w:type="auto"/>
        <w:jc w:val="center"/>
        <w:tblLook w:val="04A0" w:firstRow="1" w:lastRow="0" w:firstColumn="1" w:lastColumn="0" w:noHBand="0" w:noVBand="1"/>
      </w:tblPr>
      <w:tblGrid>
        <w:gridCol w:w="4605"/>
        <w:gridCol w:w="7176"/>
      </w:tblGrid>
      <w:tr w:rsidR="00271FA2" w:rsidRPr="00F06DE2" w14:paraId="39A612F0" w14:textId="77777777" w:rsidTr="00E7558D">
        <w:trPr>
          <w:jc w:val="center"/>
        </w:trPr>
        <w:tc>
          <w:tcPr>
            <w:tcW w:w="4605" w:type="dxa"/>
          </w:tcPr>
          <w:p w14:paraId="21F3B63D" w14:textId="77777777" w:rsidR="00271FA2" w:rsidRPr="00F06DE2" w:rsidRDefault="00D35E51">
            <w:pPr>
              <w:pStyle w:val="ES-Titre3a"/>
              <w:spacing w:line="240" w:lineRule="atLeast"/>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Корабна лодка:</w:t>
            </w:r>
          </w:p>
          <w:p w14:paraId="1DA30BF8" w14:textId="77777777" w:rsidR="00271FA2" w:rsidRPr="00F06DE2" w:rsidRDefault="00D35E51">
            <w:pPr>
              <w:spacing w:line="240" w:lineRule="atLeast"/>
              <w:rPr>
                <w:rFonts w:ascii="Times New Roman" w:hAnsi="Times New Roman" w:cs="Times New Roman"/>
                <w:lang w:val="ru-RU"/>
              </w:rPr>
            </w:pPr>
            <w:r w:rsidRPr="00F06DE2">
              <w:rPr>
                <w:rFonts w:ascii="Times New Roman" w:hAnsi="Times New Roman" w:cs="Times New Roman"/>
                <w:lang w:val="ru-RU"/>
              </w:rPr>
              <w:t>УНИКАЛЕН ЕВРОПЕЙСКИ ИДЕНТИФИКАЦИОНЕН НОМЕР НА КОРАБА:</w:t>
            </w:r>
          </w:p>
          <w:p w14:paraId="130ED95A" w14:textId="77777777" w:rsidR="00271FA2" w:rsidRPr="00F06DE2" w:rsidRDefault="00D35E51">
            <w:pPr>
              <w:pStyle w:val="ES-Titre3a"/>
              <w:spacing w:line="240" w:lineRule="atLeast"/>
              <w:jc w:val="both"/>
              <w:rPr>
                <w:rFonts w:ascii="Times New Roman" w:hAnsi="Times New Roman" w:cs="Times New Roman"/>
                <w:b w:val="0"/>
                <w:i w:val="0"/>
                <w:sz w:val="24"/>
                <w:szCs w:val="24"/>
                <w:lang w:val="ru-RU"/>
              </w:rPr>
            </w:pPr>
            <w:r w:rsidRPr="00F06DE2">
              <w:rPr>
                <w:rFonts w:ascii="Times New Roman" w:hAnsi="Times New Roman" w:cs="Times New Roman"/>
                <w:b w:val="0"/>
                <w:i w:val="0"/>
                <w:sz w:val="24"/>
                <w:szCs w:val="24"/>
                <w:lang w:val="ru-RU"/>
              </w:rPr>
              <w:t>НОМЕР НА КОРАБНОТО УДОСТОВЕРЕНИЕ ЗА ВЪТРЕШНО КОРАБОПЛАВАНЕ</w:t>
            </w:r>
          </w:p>
          <w:p w14:paraId="3BB50446" w14:textId="77777777" w:rsidR="00271FA2" w:rsidRPr="00F06DE2" w:rsidRDefault="00D35E51">
            <w:pPr>
              <w:pStyle w:val="ES-Titre3a"/>
              <w:spacing w:line="240" w:lineRule="atLeast"/>
              <w:jc w:val="both"/>
              <w:rPr>
                <w:rFonts w:ascii="Times New Roman" w:hAnsi="Times New Roman" w:cs="Times New Roman"/>
                <w:b w:val="0"/>
                <w:i w:val="0"/>
                <w:sz w:val="24"/>
                <w:szCs w:val="24"/>
              </w:rPr>
            </w:pPr>
            <w:r w:rsidRPr="00F06DE2">
              <w:rPr>
                <w:rFonts w:ascii="Times New Roman" w:hAnsi="Times New Roman" w:cs="Times New Roman"/>
                <w:b w:val="0"/>
                <w:i w:val="0"/>
                <w:sz w:val="24"/>
                <w:szCs w:val="24"/>
              </w:rPr>
              <w:t>КОНТРОЛЕН ОРГАН:</w:t>
            </w:r>
          </w:p>
        </w:tc>
        <w:tc>
          <w:tcPr>
            <w:tcW w:w="4621" w:type="dxa"/>
          </w:tcPr>
          <w:p w14:paraId="2A71BC36" w14:textId="77777777" w:rsidR="00271FA2" w:rsidRPr="00F06DE2" w:rsidRDefault="00271FA2">
            <w:pPr>
              <w:pStyle w:val="ES-Titre3a"/>
              <w:spacing w:line="240" w:lineRule="atLeast"/>
              <w:jc w:val="both"/>
              <w:rPr>
                <w:rFonts w:ascii="Times New Roman" w:hAnsi="Times New Roman" w:cs="Times New Roman"/>
                <w:b w:val="0"/>
                <w:i w:val="0"/>
                <w:sz w:val="24"/>
                <w:szCs w:val="24"/>
              </w:rPr>
            </w:pPr>
          </w:p>
          <w:p w14:paraId="684E21BB" w14:textId="77777777" w:rsidR="00271FA2" w:rsidRPr="00F06DE2" w:rsidRDefault="00D35E51">
            <w:pPr>
              <w:pStyle w:val="ES-Titre3a"/>
              <w:spacing w:line="240" w:lineRule="atLeast"/>
              <w:jc w:val="both"/>
              <w:rPr>
                <w:rFonts w:ascii="Times New Roman" w:hAnsi="Times New Roman" w:cs="Times New Roman"/>
                <w:b w:val="0"/>
                <w:i w:val="0"/>
                <w:sz w:val="24"/>
                <w:szCs w:val="24"/>
              </w:rPr>
            </w:pPr>
            <w:r w:rsidRPr="00F06DE2">
              <w:rPr>
                <w:rFonts w:ascii="Times New Roman" w:hAnsi="Times New Roman" w:cs="Times New Roman"/>
                <w:b w:val="0"/>
                <w:i w:val="0"/>
                <w:sz w:val="24"/>
                <w:szCs w:val="24"/>
              </w:rPr>
              <w:t>……………………………………………………………………………</w:t>
            </w:r>
          </w:p>
          <w:p w14:paraId="1870F307" w14:textId="77777777" w:rsidR="00271FA2" w:rsidRPr="00F06DE2" w:rsidRDefault="00271FA2">
            <w:pPr>
              <w:pStyle w:val="ES-Titre3a"/>
              <w:spacing w:line="240" w:lineRule="atLeast"/>
              <w:jc w:val="both"/>
              <w:rPr>
                <w:rFonts w:ascii="Times New Roman" w:hAnsi="Times New Roman" w:cs="Times New Roman"/>
                <w:b w:val="0"/>
                <w:i w:val="0"/>
                <w:sz w:val="24"/>
                <w:szCs w:val="24"/>
              </w:rPr>
            </w:pPr>
          </w:p>
          <w:p w14:paraId="40282331" w14:textId="77777777" w:rsidR="00271FA2" w:rsidRPr="00F06DE2" w:rsidRDefault="00D35E51">
            <w:pPr>
              <w:pStyle w:val="ES-Titre3a"/>
              <w:spacing w:line="240" w:lineRule="atLeast"/>
              <w:jc w:val="both"/>
              <w:rPr>
                <w:rFonts w:ascii="Times New Roman" w:hAnsi="Times New Roman" w:cs="Times New Roman"/>
                <w:b w:val="0"/>
                <w:i w:val="0"/>
                <w:sz w:val="24"/>
                <w:szCs w:val="24"/>
              </w:rPr>
            </w:pPr>
            <w:r w:rsidRPr="00F06DE2">
              <w:rPr>
                <w:rFonts w:ascii="Times New Roman" w:hAnsi="Times New Roman" w:cs="Times New Roman"/>
                <w:b w:val="0"/>
                <w:i w:val="0"/>
                <w:sz w:val="24"/>
                <w:szCs w:val="24"/>
              </w:rPr>
              <w:t>……………………………………………………………………………</w:t>
            </w:r>
          </w:p>
          <w:p w14:paraId="5EDAEBDC" w14:textId="77777777" w:rsidR="00271FA2" w:rsidRPr="00F06DE2" w:rsidRDefault="00271FA2">
            <w:pPr>
              <w:pStyle w:val="ES-Titre3a"/>
              <w:spacing w:line="240" w:lineRule="atLeast"/>
              <w:jc w:val="both"/>
              <w:rPr>
                <w:rFonts w:ascii="Times New Roman" w:hAnsi="Times New Roman" w:cs="Times New Roman"/>
                <w:b w:val="0"/>
                <w:i w:val="0"/>
                <w:sz w:val="24"/>
                <w:szCs w:val="24"/>
              </w:rPr>
            </w:pPr>
          </w:p>
          <w:p w14:paraId="0F9747B1" w14:textId="77777777" w:rsidR="00271FA2" w:rsidRPr="00F06DE2" w:rsidRDefault="00D35E51">
            <w:pPr>
              <w:pStyle w:val="ES-Titre3a"/>
              <w:spacing w:line="240" w:lineRule="atLeast"/>
              <w:jc w:val="both"/>
              <w:rPr>
                <w:rFonts w:ascii="Times New Roman" w:hAnsi="Times New Roman" w:cs="Times New Roman"/>
                <w:b w:val="0"/>
                <w:i w:val="0"/>
                <w:sz w:val="24"/>
                <w:szCs w:val="24"/>
              </w:rPr>
            </w:pPr>
            <w:r w:rsidRPr="00F06DE2">
              <w:rPr>
                <w:rFonts w:ascii="Times New Roman" w:hAnsi="Times New Roman" w:cs="Times New Roman"/>
                <w:b w:val="0"/>
                <w:i w:val="0"/>
                <w:sz w:val="24"/>
                <w:szCs w:val="24"/>
              </w:rPr>
              <w:t>……………………………………………………………………………</w:t>
            </w:r>
          </w:p>
        </w:tc>
      </w:tr>
    </w:tbl>
    <w:p w14:paraId="33315F86" w14:textId="77777777" w:rsidR="00271FA2" w:rsidRPr="00F06DE2" w:rsidRDefault="00D35E51" w:rsidP="00E7558D">
      <w:pPr>
        <w:spacing w:after="240" w:line="240" w:lineRule="atLeast"/>
        <w:ind w:left="567" w:hanging="567"/>
        <w:rPr>
          <w:rFonts w:ascii="Times New Roman" w:hAnsi="Times New Roman" w:cs="Times New Roman"/>
          <w:lang w:val="ru-RU"/>
        </w:rPr>
      </w:pPr>
      <w:r w:rsidRPr="00F06DE2">
        <w:rPr>
          <w:rFonts w:ascii="Times New Roman" w:hAnsi="Times New Roman" w:cs="Times New Roman"/>
          <w:lang w:val="ru-RU"/>
        </w:rPr>
        <w:t>Показанията на металната пластина трябва да бъдат потвърдени от компетентния орган, чрез печат върху металната табела.</w:t>
      </w:r>
    </w:p>
    <w:p w14:paraId="082A6576" w14:textId="77777777" w:rsidR="00271FA2" w:rsidRPr="00F06DE2" w:rsidRDefault="00D35E51" w:rsidP="00E7558D">
      <w:pPr>
        <w:pStyle w:val="Heading1"/>
        <w:spacing w:before="0" w:after="0" w:line="240" w:lineRule="atLeast"/>
        <w:ind w:right="34"/>
        <w:jc w:val="center"/>
        <w:rPr>
          <w:rFonts w:ascii="Times New Roman" w:hAnsi="Times New Roman" w:cs="Times New Roman"/>
          <w:sz w:val="24"/>
          <w:szCs w:val="24"/>
          <w:lang w:val="ru-RU"/>
        </w:rPr>
      </w:pPr>
      <w:r w:rsidRPr="00F06DE2">
        <w:rPr>
          <w:rFonts w:ascii="Times New Roman" w:hAnsi="Times New Roman" w:cs="Times New Roman"/>
          <w:sz w:val="24"/>
          <w:szCs w:val="24"/>
          <w:lang w:val="ru-RU"/>
        </w:rPr>
        <w:t>Член 33.05</w:t>
      </w:r>
    </w:p>
    <w:p w14:paraId="5D8301CF" w14:textId="77777777" w:rsidR="00271FA2" w:rsidRPr="00F06DE2" w:rsidRDefault="00D35E51">
      <w:pPr>
        <w:pStyle w:val="Heading1"/>
        <w:spacing w:before="0" w:line="240" w:lineRule="atLeast"/>
        <w:ind w:right="34"/>
        <w:jc w:val="center"/>
        <w:rPr>
          <w:rFonts w:ascii="Times New Roman" w:hAnsi="Times New Roman" w:cs="Times New Roman"/>
          <w:sz w:val="24"/>
          <w:szCs w:val="24"/>
          <w:lang w:val="ru-RU"/>
        </w:rPr>
      </w:pPr>
      <w:r w:rsidRPr="00F06DE2">
        <w:rPr>
          <w:rFonts w:ascii="Times New Roman" w:hAnsi="Times New Roman" w:cs="Times New Roman"/>
          <w:sz w:val="24"/>
          <w:szCs w:val="24"/>
          <w:lang w:val="ru-RU"/>
        </w:rPr>
        <w:t>Други преходни разпоредби</w:t>
      </w:r>
    </w:p>
    <w:p w14:paraId="05E946E8" w14:textId="77777777" w:rsidR="00271FA2" w:rsidRPr="00F06DE2" w:rsidRDefault="00D35E51">
      <w:pPr>
        <w:spacing w:line="240" w:lineRule="atLeast"/>
        <w:ind w:right="110"/>
        <w:jc w:val="both"/>
        <w:rPr>
          <w:rFonts w:ascii="Times New Roman" w:hAnsi="Times New Roman" w:cs="Times New Roman"/>
          <w:lang w:val="ru-RU"/>
        </w:rPr>
      </w:pPr>
      <w:r w:rsidRPr="00F06DE2">
        <w:rPr>
          <w:rFonts w:ascii="Times New Roman" w:hAnsi="Times New Roman" w:cs="Times New Roman"/>
          <w:lang w:val="ru-RU"/>
        </w:rPr>
        <w:t>Разпоредбите на член 32.04, точка 5 се прилагат и за плавателни средства, опериращи изключително по водни пътища извън река Рейн.</w:t>
      </w:r>
    </w:p>
    <w:p w14:paraId="6151EA8D" w14:textId="77777777" w:rsidR="00271FA2" w:rsidRPr="00F06DE2" w:rsidRDefault="00271FA2">
      <w:pPr>
        <w:pStyle w:val="ESch"/>
        <w:ind w:left="0" w:firstLine="0"/>
        <w:rPr>
          <w:rFonts w:ascii="Times New Roman" w:hAnsi="Times New Roman" w:cs="Times New Roman"/>
          <w:lang w:val="ru-RU"/>
        </w:rPr>
      </w:pPr>
    </w:p>
    <w:p w14:paraId="1EA00CE0" w14:textId="77777777" w:rsidR="00271FA2" w:rsidRPr="002F5B9C" w:rsidRDefault="00271FA2">
      <w:pPr>
        <w:pStyle w:val="ESch"/>
        <w:rPr>
          <w:lang w:val="ru-RU"/>
        </w:rPr>
        <w:sectPr w:rsidR="00271FA2" w:rsidRPr="002F5B9C" w:rsidSect="00DB7663">
          <w:headerReference w:type="first" r:id="rId101"/>
          <w:footnotePr>
            <w:numRestart w:val="eachPage"/>
          </w:footnotePr>
          <w:pgSz w:w="16838" w:h="11906" w:orient="landscape"/>
          <w:pgMar w:top="1134" w:right="1134" w:bottom="1134" w:left="1134" w:header="709" w:footer="709" w:gutter="0"/>
          <w:cols w:space="709"/>
          <w:titlePg/>
          <w:docGrid w:linePitch="272"/>
        </w:sectPr>
      </w:pPr>
    </w:p>
    <w:p w14:paraId="7D1AA531" w14:textId="77777777" w:rsidR="00271FA2" w:rsidRPr="00A013E1" w:rsidRDefault="00271FA2" w:rsidP="00E22AA8">
      <w:pPr>
        <w:pStyle w:val="ES-Titre3a"/>
        <w:spacing w:after="0" w:line="360" w:lineRule="auto"/>
        <w:rPr>
          <w:rFonts w:ascii="Times New Roman" w:hAnsi="Times New Roman" w:cs="Times New Roman"/>
          <w:b w:val="0"/>
          <w:i w:val="0"/>
          <w:sz w:val="24"/>
          <w:szCs w:val="24"/>
          <w:lang w:val="ru-RU"/>
        </w:rPr>
      </w:pPr>
    </w:p>
    <w:p w14:paraId="277FF535" w14:textId="77777777" w:rsidR="00E25618" w:rsidRPr="00A013E1" w:rsidRDefault="00E25618" w:rsidP="00E22AA8">
      <w:pPr>
        <w:pStyle w:val="ES-Titre3a"/>
        <w:spacing w:after="0" w:line="360" w:lineRule="auto"/>
        <w:rPr>
          <w:rFonts w:ascii="Times New Roman" w:hAnsi="Times New Roman" w:cs="Times New Roman"/>
          <w:b w:val="0"/>
          <w:i w:val="0"/>
          <w:sz w:val="24"/>
          <w:szCs w:val="24"/>
          <w:lang w:val="ru-RU"/>
        </w:rPr>
      </w:pPr>
    </w:p>
    <w:p w14:paraId="72EEBEC1" w14:textId="77777777" w:rsidR="00E25618" w:rsidRPr="00A013E1" w:rsidRDefault="00E25618" w:rsidP="00E22AA8">
      <w:pPr>
        <w:pStyle w:val="ES-Titre3a"/>
        <w:spacing w:after="0" w:line="360" w:lineRule="auto"/>
        <w:rPr>
          <w:rFonts w:ascii="Times New Roman" w:hAnsi="Times New Roman" w:cs="Times New Roman"/>
          <w:b w:val="0"/>
          <w:i w:val="0"/>
          <w:sz w:val="24"/>
          <w:szCs w:val="24"/>
          <w:lang w:val="ru-RU"/>
        </w:rPr>
      </w:pPr>
    </w:p>
    <w:p w14:paraId="4C18DD69" w14:textId="77777777" w:rsidR="00E25618" w:rsidRPr="00A013E1" w:rsidRDefault="00E25618" w:rsidP="00E22AA8">
      <w:pPr>
        <w:pStyle w:val="ES-Titre3a"/>
        <w:spacing w:after="0" w:line="360" w:lineRule="auto"/>
        <w:rPr>
          <w:rFonts w:ascii="Times New Roman" w:hAnsi="Times New Roman" w:cs="Times New Roman"/>
          <w:b w:val="0"/>
          <w:i w:val="0"/>
          <w:sz w:val="24"/>
          <w:szCs w:val="24"/>
          <w:lang w:val="ru-RU"/>
        </w:rPr>
      </w:pPr>
    </w:p>
    <w:p w14:paraId="70F2E32D" w14:textId="77777777" w:rsidR="00E25618" w:rsidRPr="00A013E1" w:rsidRDefault="00E25618" w:rsidP="00E22AA8">
      <w:pPr>
        <w:pStyle w:val="ES-Titre3a"/>
        <w:spacing w:after="0" w:line="360" w:lineRule="auto"/>
        <w:rPr>
          <w:rFonts w:ascii="Times New Roman" w:hAnsi="Times New Roman" w:cs="Times New Roman"/>
          <w:b w:val="0"/>
          <w:i w:val="0"/>
          <w:sz w:val="24"/>
          <w:szCs w:val="24"/>
          <w:lang w:val="ru-RU"/>
        </w:rPr>
      </w:pPr>
    </w:p>
    <w:p w14:paraId="310233FA" w14:textId="77777777" w:rsidR="00E25618" w:rsidRPr="00A013E1" w:rsidRDefault="00E25618" w:rsidP="00E22AA8">
      <w:pPr>
        <w:pStyle w:val="ES-Titre3a"/>
        <w:spacing w:after="0" w:line="360" w:lineRule="auto"/>
        <w:rPr>
          <w:rFonts w:ascii="Times New Roman" w:hAnsi="Times New Roman" w:cs="Times New Roman"/>
          <w:b w:val="0"/>
          <w:i w:val="0"/>
          <w:sz w:val="24"/>
          <w:szCs w:val="24"/>
          <w:lang w:val="ru-RU"/>
        </w:rPr>
      </w:pPr>
    </w:p>
    <w:p w14:paraId="3C90D6C3" w14:textId="77777777" w:rsidR="00E25618" w:rsidRPr="00A013E1" w:rsidRDefault="00E25618" w:rsidP="00E22AA8">
      <w:pPr>
        <w:pStyle w:val="ES-Titre3a"/>
        <w:spacing w:after="0" w:line="360" w:lineRule="auto"/>
        <w:rPr>
          <w:rFonts w:ascii="Times New Roman" w:hAnsi="Times New Roman" w:cs="Times New Roman"/>
          <w:b w:val="0"/>
          <w:i w:val="0"/>
          <w:sz w:val="24"/>
          <w:szCs w:val="24"/>
          <w:lang w:val="ru-RU"/>
        </w:rPr>
      </w:pPr>
    </w:p>
    <w:p w14:paraId="0240555F" w14:textId="77777777" w:rsidR="00271FA2" w:rsidRPr="00A013E1" w:rsidRDefault="00D35E51" w:rsidP="00E22AA8">
      <w:pPr>
        <w:spacing w:after="0" w:line="360" w:lineRule="auto"/>
        <w:jc w:val="center"/>
        <w:rPr>
          <w:rFonts w:ascii="Times New Roman" w:eastAsia="Calibri" w:hAnsi="Times New Roman" w:cs="Times New Roman"/>
          <w:b/>
          <w:bCs/>
          <w:sz w:val="48"/>
          <w:szCs w:val="48"/>
          <w:lang w:val="ru-RU"/>
        </w:rPr>
      </w:pPr>
      <w:r w:rsidRPr="00A013E1">
        <w:rPr>
          <w:rFonts w:ascii="Times New Roman" w:eastAsia="Calibri" w:hAnsi="Times New Roman" w:cs="Times New Roman"/>
          <w:b/>
          <w:bCs/>
          <w:sz w:val="48"/>
          <w:szCs w:val="48"/>
          <w:lang w:val="ru-RU"/>
        </w:rPr>
        <w:t>ЕВРОПЕЙСКИ СТАНДАРТ</w:t>
      </w:r>
    </w:p>
    <w:p w14:paraId="7917C7B1" w14:textId="51E091FE" w:rsidR="00271FA2" w:rsidRPr="00A013E1" w:rsidRDefault="00D35E51" w:rsidP="00E22AA8">
      <w:pPr>
        <w:pStyle w:val="Es-Titreannexes"/>
        <w:spacing w:before="0" w:after="0" w:line="360" w:lineRule="auto"/>
        <w:rPr>
          <w:rFonts w:ascii="Times New Roman" w:hAnsi="Times New Roman" w:cs="Times New Roman"/>
          <w:sz w:val="48"/>
          <w:szCs w:val="48"/>
          <w:lang w:val="ru-RU"/>
        </w:rPr>
      </w:pPr>
      <w:bookmarkStart w:id="582" w:name="_Toc535827731"/>
      <w:bookmarkStart w:id="583" w:name="_Toc491854290"/>
      <w:r w:rsidRPr="00A013E1">
        <w:rPr>
          <w:rFonts w:ascii="Times New Roman" w:hAnsi="Times New Roman" w:cs="Times New Roman"/>
          <w:sz w:val="48"/>
          <w:szCs w:val="48"/>
          <w:lang w:val="ru-RU"/>
        </w:rPr>
        <w:t>Приложения</w:t>
      </w:r>
      <w:bookmarkEnd w:id="582"/>
      <w:bookmarkEnd w:id="583"/>
    </w:p>
    <w:p w14:paraId="2054DB9F" w14:textId="77777777" w:rsidR="00271FA2" w:rsidRPr="00A013E1" w:rsidRDefault="00271FA2" w:rsidP="00E22AA8">
      <w:pPr>
        <w:pStyle w:val="ES-Titre3a"/>
        <w:spacing w:after="0" w:line="360" w:lineRule="auto"/>
        <w:rPr>
          <w:rFonts w:ascii="Times New Roman" w:hAnsi="Times New Roman" w:cs="Times New Roman"/>
          <w:b w:val="0"/>
          <w:i w:val="0"/>
          <w:sz w:val="24"/>
          <w:szCs w:val="24"/>
          <w:lang w:val="ru-RU"/>
        </w:rPr>
      </w:pPr>
    </w:p>
    <w:p w14:paraId="727A3927" w14:textId="77777777" w:rsidR="00271FA2" w:rsidRPr="00A013E1" w:rsidRDefault="00271FA2" w:rsidP="00E22AA8">
      <w:pPr>
        <w:pStyle w:val="ESch"/>
        <w:spacing w:after="0" w:line="360" w:lineRule="auto"/>
        <w:ind w:left="0" w:firstLine="0"/>
        <w:jc w:val="center"/>
        <w:rPr>
          <w:rFonts w:ascii="Times New Roman" w:hAnsi="Times New Roman" w:cs="Times New Roman"/>
          <w:sz w:val="24"/>
          <w:szCs w:val="24"/>
          <w:lang w:val="ru-RU"/>
        </w:rPr>
      </w:pPr>
    </w:p>
    <w:p w14:paraId="55EF7791" w14:textId="77777777" w:rsidR="00271FA2" w:rsidRPr="00A013E1" w:rsidRDefault="00271FA2" w:rsidP="00E22AA8">
      <w:pPr>
        <w:pStyle w:val="ESch"/>
        <w:spacing w:after="0" w:line="360" w:lineRule="auto"/>
        <w:ind w:left="0" w:firstLine="0"/>
        <w:jc w:val="center"/>
        <w:rPr>
          <w:rFonts w:ascii="Times New Roman" w:hAnsi="Times New Roman" w:cs="Times New Roman"/>
          <w:sz w:val="24"/>
          <w:szCs w:val="24"/>
          <w:lang w:val="ru-RU"/>
        </w:rPr>
      </w:pPr>
    </w:p>
    <w:p w14:paraId="5ECACCD1" w14:textId="77777777" w:rsidR="00271FA2" w:rsidRPr="00A013E1" w:rsidRDefault="00271FA2" w:rsidP="00E22AA8">
      <w:pPr>
        <w:pStyle w:val="ESch"/>
        <w:spacing w:after="0" w:line="360" w:lineRule="auto"/>
        <w:ind w:left="0" w:firstLine="0"/>
        <w:jc w:val="center"/>
        <w:rPr>
          <w:rFonts w:ascii="Times New Roman" w:hAnsi="Times New Roman" w:cs="Times New Roman"/>
          <w:sz w:val="24"/>
          <w:szCs w:val="24"/>
          <w:lang w:val="ru-RU"/>
        </w:rPr>
      </w:pPr>
    </w:p>
    <w:p w14:paraId="1FFF3BE6" w14:textId="77777777" w:rsidR="00485283" w:rsidRPr="00A013E1" w:rsidRDefault="00485283">
      <w:pPr>
        <w:pStyle w:val="ESch"/>
        <w:rPr>
          <w:rFonts w:ascii="Times New Roman" w:hAnsi="Times New Roman" w:cs="Times New Roman"/>
          <w:lang w:val="ru-RU"/>
        </w:rPr>
        <w:sectPr w:rsidR="00485283" w:rsidRPr="00A013E1" w:rsidSect="00A013E1">
          <w:headerReference w:type="default" r:id="rId102"/>
          <w:footerReference w:type="default" r:id="rId103"/>
          <w:pgSz w:w="12240" w:h="15840"/>
          <w:pgMar w:top="1134" w:right="1134" w:bottom="1134" w:left="1134" w:header="709" w:footer="709" w:gutter="0"/>
          <w:cols w:space="708"/>
          <w:docGrid w:linePitch="299"/>
        </w:sectPr>
      </w:pPr>
    </w:p>
    <w:p w14:paraId="70D99993" w14:textId="77777777" w:rsidR="00271FA2" w:rsidRPr="00A013E1" w:rsidRDefault="00D35E51">
      <w:pPr>
        <w:pStyle w:val="ES-Titre1"/>
        <w:rPr>
          <w:rFonts w:ascii="Times New Roman" w:hAnsi="Times New Roman" w:cs="Times New Roman"/>
          <w:lang w:val="ru-RU"/>
        </w:rPr>
      </w:pPr>
      <w:bookmarkStart w:id="584" w:name="_Toc395775413"/>
      <w:bookmarkStart w:id="585" w:name="_Toc491854291"/>
      <w:bookmarkStart w:id="586" w:name="_Toc535827732"/>
      <w:r w:rsidRPr="00A013E1">
        <w:rPr>
          <w:rFonts w:ascii="Times New Roman" w:hAnsi="Times New Roman" w:cs="Times New Roman"/>
          <w:lang w:val="ru-RU"/>
        </w:rPr>
        <w:lastRenderedPageBreak/>
        <w:t xml:space="preserve">ЧАСТ </w:t>
      </w:r>
      <w:r w:rsidRPr="00A013E1">
        <w:rPr>
          <w:rFonts w:ascii="Times New Roman" w:hAnsi="Times New Roman" w:cs="Times New Roman"/>
        </w:rPr>
        <w:t>I</w:t>
      </w:r>
      <w:r w:rsidRPr="00A013E1">
        <w:rPr>
          <w:rFonts w:ascii="Times New Roman" w:hAnsi="Times New Roman" w:cs="Times New Roman"/>
          <w:lang w:val="ru-RU"/>
        </w:rPr>
        <w:br/>
      </w:r>
      <w:bookmarkEnd w:id="584"/>
      <w:r w:rsidRPr="00A013E1">
        <w:rPr>
          <w:rFonts w:ascii="Times New Roman" w:hAnsi="Times New Roman" w:cs="Times New Roman"/>
          <w:lang w:val="ru-RU"/>
        </w:rPr>
        <w:t xml:space="preserve">ИДЕНТИФИКАЦИЯ НА КОРАБА И РЕГИСТЪР </w:t>
      </w:r>
      <w:bookmarkEnd w:id="585"/>
      <w:bookmarkEnd w:id="586"/>
    </w:p>
    <w:p w14:paraId="66E58693" w14:textId="77777777" w:rsidR="00271FA2" w:rsidRPr="00A013E1" w:rsidRDefault="00D35E51">
      <w:pPr>
        <w:pStyle w:val="ES-Titre2"/>
        <w:pageBreakBefore w:val="0"/>
        <w:rPr>
          <w:rFonts w:ascii="Times New Roman" w:hAnsi="Times New Roman" w:cs="Times New Roman"/>
          <w:lang w:val="ru-RU"/>
        </w:rPr>
      </w:pPr>
      <w:bookmarkStart w:id="587" w:name="_Toc395775414"/>
      <w:bookmarkStart w:id="588" w:name="_Toc491854292"/>
      <w:bookmarkStart w:id="589" w:name="_Toc535827733"/>
      <w:r w:rsidRPr="00A013E1">
        <w:rPr>
          <w:rFonts w:ascii="Times New Roman" w:hAnsi="Times New Roman" w:cs="Times New Roman"/>
          <w:lang w:val="ru-RU"/>
        </w:rPr>
        <w:t>Приложение 1</w:t>
      </w:r>
      <w:r w:rsidRPr="00A013E1">
        <w:rPr>
          <w:rFonts w:ascii="Times New Roman" w:hAnsi="Times New Roman" w:cs="Times New Roman"/>
          <w:lang w:val="ru-RU"/>
        </w:rPr>
        <w:br/>
      </w:r>
      <w:bookmarkEnd w:id="587"/>
      <w:r w:rsidRPr="00A013E1">
        <w:rPr>
          <w:rFonts w:ascii="Times New Roman" w:hAnsi="Times New Roman" w:cs="Times New Roman"/>
          <w:lang w:val="ru-RU"/>
        </w:rPr>
        <w:t>Образец на уникалния Европейски идентификационен номер на плавателния съд (УЕИН)</w:t>
      </w:r>
      <w:bookmarkEnd w:id="588"/>
      <w:bookmarkEnd w:id="589"/>
    </w:p>
    <w:p w14:paraId="0E689E15" w14:textId="77777777" w:rsidR="00271FA2" w:rsidRPr="00A013E1" w:rsidRDefault="00271FA2">
      <w:pPr>
        <w:overflowPunct w:val="0"/>
        <w:adjustRightInd w:val="0"/>
        <w:spacing w:line="240" w:lineRule="atLeast"/>
        <w:textAlignment w:val="baseline"/>
        <w:rPr>
          <w:rFonts w:ascii="Times New Roman" w:hAnsi="Times New Roman" w:cs="Times New Roman"/>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0"/>
        <w:gridCol w:w="789"/>
        <w:gridCol w:w="1965"/>
        <w:gridCol w:w="564"/>
        <w:gridCol w:w="564"/>
        <w:gridCol w:w="564"/>
        <w:gridCol w:w="564"/>
        <w:gridCol w:w="2369"/>
      </w:tblGrid>
      <w:tr w:rsidR="00271FA2" w:rsidRPr="00A013E1" w14:paraId="6C633C14" w14:textId="77777777" w:rsidTr="00E7558D">
        <w:trPr>
          <w:cantSplit/>
          <w:jc w:val="center"/>
        </w:trPr>
        <w:tc>
          <w:tcPr>
            <w:tcW w:w="790" w:type="dxa"/>
            <w:tcBorders>
              <w:top w:val="single" w:sz="4" w:space="0" w:color="auto"/>
              <w:left w:val="single" w:sz="4" w:space="0" w:color="auto"/>
              <w:bottom w:val="single" w:sz="4" w:space="0" w:color="auto"/>
              <w:right w:val="single" w:sz="4" w:space="0" w:color="auto"/>
            </w:tcBorders>
          </w:tcPr>
          <w:p w14:paraId="5E853596" w14:textId="77777777" w:rsidR="00271FA2" w:rsidRPr="00A013E1" w:rsidRDefault="00D35E51">
            <w:pPr>
              <w:adjustRightInd w:val="0"/>
              <w:spacing w:line="240" w:lineRule="atLeast"/>
              <w:jc w:val="center"/>
              <w:rPr>
                <w:rFonts w:ascii="Times New Roman" w:hAnsi="Times New Roman" w:cs="Times New Roman"/>
                <w:snapToGrid w:val="0"/>
              </w:rPr>
            </w:pPr>
            <w:r w:rsidRPr="00A013E1">
              <w:rPr>
                <w:rFonts w:ascii="Times New Roman" w:hAnsi="Times New Roman" w:cs="Times New Roman"/>
                <w:snapToGrid w:val="0"/>
              </w:rPr>
              <w:t>A</w:t>
            </w:r>
          </w:p>
        </w:tc>
        <w:tc>
          <w:tcPr>
            <w:tcW w:w="789" w:type="dxa"/>
            <w:tcBorders>
              <w:top w:val="single" w:sz="4" w:space="0" w:color="auto"/>
              <w:left w:val="single" w:sz="4" w:space="0" w:color="auto"/>
              <w:bottom w:val="single" w:sz="4" w:space="0" w:color="auto"/>
              <w:right w:val="single" w:sz="4" w:space="0" w:color="auto"/>
            </w:tcBorders>
          </w:tcPr>
          <w:p w14:paraId="3765B0E8" w14:textId="77777777" w:rsidR="00271FA2" w:rsidRPr="00A013E1" w:rsidRDefault="00D35E51">
            <w:pPr>
              <w:overflowPunct w:val="0"/>
              <w:adjustRightInd w:val="0"/>
              <w:spacing w:line="240" w:lineRule="atLeast"/>
              <w:jc w:val="center"/>
              <w:textAlignment w:val="baseline"/>
              <w:rPr>
                <w:rFonts w:ascii="Times New Roman" w:hAnsi="Times New Roman" w:cs="Times New Roman"/>
              </w:rPr>
            </w:pPr>
            <w:r w:rsidRPr="00A013E1">
              <w:rPr>
                <w:rFonts w:ascii="Times New Roman" w:hAnsi="Times New Roman" w:cs="Times New Roman"/>
              </w:rPr>
              <w:t>A</w:t>
            </w:r>
          </w:p>
        </w:tc>
        <w:tc>
          <w:tcPr>
            <w:tcW w:w="1965" w:type="dxa"/>
            <w:tcBorders>
              <w:top w:val="single" w:sz="4" w:space="0" w:color="auto"/>
              <w:left w:val="single" w:sz="4" w:space="0" w:color="auto"/>
              <w:bottom w:val="single" w:sz="4" w:space="0" w:color="auto"/>
              <w:right w:val="single" w:sz="4" w:space="0" w:color="auto"/>
            </w:tcBorders>
          </w:tcPr>
          <w:p w14:paraId="53407FF5" w14:textId="77777777" w:rsidR="00271FA2" w:rsidRPr="00A013E1" w:rsidRDefault="00D35E51">
            <w:pPr>
              <w:overflowPunct w:val="0"/>
              <w:adjustRightInd w:val="0"/>
              <w:spacing w:line="240" w:lineRule="atLeast"/>
              <w:jc w:val="center"/>
              <w:textAlignment w:val="baseline"/>
              <w:rPr>
                <w:rFonts w:ascii="Times New Roman" w:hAnsi="Times New Roman" w:cs="Times New Roman"/>
              </w:rPr>
            </w:pPr>
            <w:r w:rsidRPr="00A013E1">
              <w:rPr>
                <w:rFonts w:ascii="Times New Roman" w:hAnsi="Times New Roman" w:cs="Times New Roman"/>
              </w:rPr>
              <w:t>A</w:t>
            </w:r>
          </w:p>
        </w:tc>
        <w:tc>
          <w:tcPr>
            <w:tcW w:w="564" w:type="dxa"/>
            <w:tcBorders>
              <w:top w:val="single" w:sz="4" w:space="0" w:color="auto"/>
              <w:left w:val="single" w:sz="4" w:space="0" w:color="auto"/>
              <w:bottom w:val="single" w:sz="4" w:space="0" w:color="auto"/>
              <w:right w:val="single" w:sz="4" w:space="0" w:color="auto"/>
            </w:tcBorders>
          </w:tcPr>
          <w:p w14:paraId="6C79C560" w14:textId="77777777" w:rsidR="00271FA2" w:rsidRPr="00A013E1" w:rsidRDefault="00D35E51">
            <w:pPr>
              <w:overflowPunct w:val="0"/>
              <w:adjustRightInd w:val="0"/>
              <w:spacing w:line="240" w:lineRule="atLeast"/>
              <w:jc w:val="center"/>
              <w:textAlignment w:val="baseline"/>
              <w:rPr>
                <w:rFonts w:ascii="Times New Roman" w:hAnsi="Times New Roman" w:cs="Times New Roman"/>
              </w:rPr>
            </w:pPr>
            <w:r w:rsidRPr="00A013E1">
              <w:rPr>
                <w:rFonts w:ascii="Times New Roman" w:hAnsi="Times New Roman" w:cs="Times New Roman"/>
              </w:rPr>
              <w:t>x</w:t>
            </w:r>
          </w:p>
        </w:tc>
        <w:tc>
          <w:tcPr>
            <w:tcW w:w="564" w:type="dxa"/>
            <w:tcBorders>
              <w:top w:val="single" w:sz="4" w:space="0" w:color="auto"/>
              <w:left w:val="single" w:sz="4" w:space="0" w:color="auto"/>
              <w:bottom w:val="single" w:sz="4" w:space="0" w:color="auto"/>
              <w:right w:val="single" w:sz="4" w:space="0" w:color="auto"/>
            </w:tcBorders>
          </w:tcPr>
          <w:p w14:paraId="1695D8E2" w14:textId="77777777" w:rsidR="00271FA2" w:rsidRPr="00A013E1" w:rsidRDefault="00D35E51">
            <w:pPr>
              <w:overflowPunct w:val="0"/>
              <w:adjustRightInd w:val="0"/>
              <w:spacing w:line="240" w:lineRule="atLeast"/>
              <w:jc w:val="center"/>
              <w:textAlignment w:val="baseline"/>
              <w:rPr>
                <w:rFonts w:ascii="Times New Roman" w:hAnsi="Times New Roman" w:cs="Times New Roman"/>
              </w:rPr>
            </w:pPr>
            <w:r w:rsidRPr="00A013E1">
              <w:rPr>
                <w:rFonts w:ascii="Times New Roman" w:hAnsi="Times New Roman" w:cs="Times New Roman"/>
              </w:rPr>
              <w:t>x</w:t>
            </w:r>
          </w:p>
        </w:tc>
        <w:tc>
          <w:tcPr>
            <w:tcW w:w="564" w:type="dxa"/>
            <w:tcBorders>
              <w:top w:val="single" w:sz="4" w:space="0" w:color="auto"/>
              <w:left w:val="single" w:sz="4" w:space="0" w:color="auto"/>
              <w:bottom w:val="single" w:sz="4" w:space="0" w:color="auto"/>
              <w:right w:val="single" w:sz="4" w:space="0" w:color="auto"/>
            </w:tcBorders>
          </w:tcPr>
          <w:p w14:paraId="0DAE03E3" w14:textId="77777777" w:rsidR="00271FA2" w:rsidRPr="00A013E1" w:rsidRDefault="00D35E51">
            <w:pPr>
              <w:overflowPunct w:val="0"/>
              <w:adjustRightInd w:val="0"/>
              <w:spacing w:line="240" w:lineRule="atLeast"/>
              <w:jc w:val="center"/>
              <w:textAlignment w:val="baseline"/>
              <w:rPr>
                <w:rFonts w:ascii="Times New Roman" w:hAnsi="Times New Roman" w:cs="Times New Roman"/>
              </w:rPr>
            </w:pPr>
            <w:r w:rsidRPr="00A013E1">
              <w:rPr>
                <w:rFonts w:ascii="Times New Roman" w:hAnsi="Times New Roman" w:cs="Times New Roman"/>
              </w:rPr>
              <w:t>x</w:t>
            </w:r>
          </w:p>
        </w:tc>
        <w:tc>
          <w:tcPr>
            <w:tcW w:w="564" w:type="dxa"/>
            <w:tcBorders>
              <w:top w:val="single" w:sz="4" w:space="0" w:color="auto"/>
              <w:left w:val="single" w:sz="4" w:space="0" w:color="auto"/>
              <w:bottom w:val="single" w:sz="4" w:space="0" w:color="auto"/>
              <w:right w:val="single" w:sz="4" w:space="0" w:color="auto"/>
            </w:tcBorders>
          </w:tcPr>
          <w:p w14:paraId="67D7CE44" w14:textId="77777777" w:rsidR="00271FA2" w:rsidRPr="00A013E1" w:rsidRDefault="00D35E51">
            <w:pPr>
              <w:overflowPunct w:val="0"/>
              <w:adjustRightInd w:val="0"/>
              <w:spacing w:line="240" w:lineRule="atLeast"/>
              <w:jc w:val="center"/>
              <w:textAlignment w:val="baseline"/>
              <w:rPr>
                <w:rFonts w:ascii="Times New Roman" w:hAnsi="Times New Roman" w:cs="Times New Roman"/>
              </w:rPr>
            </w:pPr>
            <w:r w:rsidRPr="00A013E1">
              <w:rPr>
                <w:rFonts w:ascii="Times New Roman" w:hAnsi="Times New Roman" w:cs="Times New Roman"/>
              </w:rPr>
              <w:t>x</w:t>
            </w:r>
          </w:p>
        </w:tc>
        <w:tc>
          <w:tcPr>
            <w:tcW w:w="2369" w:type="dxa"/>
            <w:tcBorders>
              <w:top w:val="single" w:sz="4" w:space="0" w:color="auto"/>
              <w:left w:val="single" w:sz="4" w:space="0" w:color="auto"/>
              <w:bottom w:val="single" w:sz="4" w:space="0" w:color="auto"/>
              <w:right w:val="single" w:sz="4" w:space="0" w:color="auto"/>
            </w:tcBorders>
          </w:tcPr>
          <w:p w14:paraId="5D10E663" w14:textId="77777777" w:rsidR="00271FA2" w:rsidRPr="00A013E1" w:rsidRDefault="00D35E51">
            <w:pPr>
              <w:overflowPunct w:val="0"/>
              <w:adjustRightInd w:val="0"/>
              <w:spacing w:line="240" w:lineRule="atLeast"/>
              <w:jc w:val="center"/>
              <w:textAlignment w:val="baseline"/>
              <w:rPr>
                <w:rFonts w:ascii="Times New Roman" w:hAnsi="Times New Roman" w:cs="Times New Roman"/>
              </w:rPr>
            </w:pPr>
            <w:r w:rsidRPr="00A013E1">
              <w:rPr>
                <w:rFonts w:ascii="Times New Roman" w:hAnsi="Times New Roman" w:cs="Times New Roman"/>
              </w:rPr>
              <w:t>x</w:t>
            </w:r>
          </w:p>
        </w:tc>
      </w:tr>
      <w:tr w:rsidR="00271FA2" w:rsidRPr="00A013E1" w14:paraId="49580BD5" w14:textId="77777777" w:rsidTr="00E7558D">
        <w:trPr>
          <w:cantSplit/>
          <w:jc w:val="center"/>
        </w:trPr>
        <w:tc>
          <w:tcPr>
            <w:tcW w:w="3544" w:type="dxa"/>
            <w:gridSpan w:val="3"/>
            <w:tcBorders>
              <w:top w:val="single" w:sz="4" w:space="0" w:color="auto"/>
              <w:left w:val="single" w:sz="4" w:space="0" w:color="auto"/>
              <w:bottom w:val="single" w:sz="4" w:space="0" w:color="auto"/>
              <w:right w:val="single" w:sz="4" w:space="0" w:color="auto"/>
            </w:tcBorders>
          </w:tcPr>
          <w:p w14:paraId="3604BC7C" w14:textId="77777777" w:rsidR="00271FA2" w:rsidRPr="00A013E1" w:rsidRDefault="00D35E51">
            <w:pPr>
              <w:overflowPunct w:val="0"/>
              <w:adjustRightInd w:val="0"/>
              <w:spacing w:line="240" w:lineRule="atLeast"/>
              <w:jc w:val="center"/>
              <w:textAlignment w:val="baseline"/>
              <w:rPr>
                <w:rFonts w:ascii="Times New Roman" w:hAnsi="Times New Roman" w:cs="Times New Roman"/>
                <w:lang w:val="ru-RU"/>
              </w:rPr>
            </w:pPr>
            <w:r w:rsidRPr="00A013E1">
              <w:rPr>
                <w:rFonts w:ascii="Times New Roman" w:hAnsi="Times New Roman" w:cs="Times New Roman"/>
                <w:lang w:val="ru-RU"/>
              </w:rPr>
              <w:t>Код на компетентния орган, който определя уникалния европейски идентификационен номер на плавателния съд</w:t>
            </w:r>
          </w:p>
        </w:tc>
        <w:tc>
          <w:tcPr>
            <w:tcW w:w="4625" w:type="dxa"/>
            <w:gridSpan w:val="5"/>
            <w:tcBorders>
              <w:top w:val="single" w:sz="4" w:space="0" w:color="auto"/>
              <w:left w:val="single" w:sz="4" w:space="0" w:color="auto"/>
              <w:bottom w:val="single" w:sz="4" w:space="0" w:color="auto"/>
              <w:right w:val="single" w:sz="4" w:space="0" w:color="auto"/>
            </w:tcBorders>
            <w:vAlign w:val="center"/>
          </w:tcPr>
          <w:p w14:paraId="6EBFA634" w14:textId="77777777" w:rsidR="00271FA2" w:rsidRPr="00A013E1" w:rsidRDefault="00D35E51">
            <w:pPr>
              <w:overflowPunct w:val="0"/>
              <w:adjustRightInd w:val="0"/>
              <w:spacing w:line="240" w:lineRule="atLeast"/>
              <w:jc w:val="center"/>
              <w:textAlignment w:val="baseline"/>
              <w:rPr>
                <w:rFonts w:ascii="Times New Roman" w:hAnsi="Times New Roman" w:cs="Times New Roman"/>
              </w:rPr>
            </w:pPr>
            <w:r w:rsidRPr="00A013E1">
              <w:rPr>
                <w:rFonts w:ascii="Times New Roman" w:hAnsi="Times New Roman" w:cs="Times New Roman"/>
              </w:rPr>
              <w:t>Сериен номер</w:t>
            </w:r>
          </w:p>
        </w:tc>
      </w:tr>
    </w:tbl>
    <w:p w14:paraId="51CAB66E"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p w14:paraId="68C581CF" w14:textId="77777777" w:rsidR="00271FA2" w:rsidRPr="00A013E1" w:rsidRDefault="00D35E51">
      <w:pPr>
        <w:overflowPunct w:val="0"/>
        <w:adjustRightInd w:val="0"/>
        <w:spacing w:line="240" w:lineRule="atLeast"/>
        <w:jc w:val="both"/>
        <w:textAlignment w:val="baseline"/>
        <w:rPr>
          <w:rFonts w:ascii="Times New Roman" w:hAnsi="Times New Roman" w:cs="Times New Roman"/>
          <w:szCs w:val="20"/>
          <w:lang w:val="ru-RU"/>
        </w:rPr>
      </w:pPr>
      <w:r w:rsidRPr="00A013E1">
        <w:rPr>
          <w:rFonts w:ascii="Times New Roman" w:hAnsi="Times New Roman" w:cs="Times New Roman"/>
          <w:lang w:val="ru-RU"/>
        </w:rPr>
        <w:t>В образеца „ААА“ представлява трицифрения код, даден от компетентния орган, който определя уникалния европейски идентификационен номер на плавателния съд в съответствие със следните обхвати:</w:t>
      </w:r>
    </w:p>
    <w:p w14:paraId="7C11D8F5"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001 – 019</w:t>
      </w:r>
      <w:r w:rsidRPr="00A013E1">
        <w:rPr>
          <w:rFonts w:ascii="Times New Roman" w:hAnsi="Times New Roman" w:cs="Times New Roman"/>
          <w:lang w:val="ru-RU"/>
        </w:rPr>
        <w:tab/>
        <w:t>Франция</w:t>
      </w:r>
    </w:p>
    <w:p w14:paraId="53BD2B62"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020 – 039</w:t>
      </w:r>
      <w:r w:rsidRPr="00A013E1">
        <w:rPr>
          <w:rFonts w:ascii="Times New Roman" w:hAnsi="Times New Roman" w:cs="Times New Roman"/>
          <w:lang w:val="ru-RU"/>
        </w:rPr>
        <w:tab/>
        <w:t>Нидерландия</w:t>
      </w:r>
    </w:p>
    <w:p w14:paraId="1B363C86"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040 – 059</w:t>
      </w:r>
      <w:r w:rsidRPr="00A013E1">
        <w:rPr>
          <w:rFonts w:ascii="Times New Roman" w:hAnsi="Times New Roman" w:cs="Times New Roman"/>
          <w:lang w:val="ru-RU"/>
        </w:rPr>
        <w:tab/>
        <w:t>Германия</w:t>
      </w:r>
    </w:p>
    <w:p w14:paraId="0ABCA611"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060 – 069</w:t>
      </w:r>
      <w:r w:rsidRPr="00A013E1">
        <w:rPr>
          <w:rFonts w:ascii="Times New Roman" w:hAnsi="Times New Roman" w:cs="Times New Roman"/>
          <w:lang w:val="ru-RU"/>
        </w:rPr>
        <w:tab/>
        <w:t>Белгия</w:t>
      </w:r>
    </w:p>
    <w:p w14:paraId="023B954C"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070 – 079</w:t>
      </w:r>
      <w:r w:rsidRPr="00A013E1">
        <w:rPr>
          <w:rFonts w:ascii="Times New Roman" w:hAnsi="Times New Roman" w:cs="Times New Roman"/>
          <w:lang w:val="ru-RU"/>
        </w:rPr>
        <w:tab/>
        <w:t>Швейцария</w:t>
      </w:r>
    </w:p>
    <w:p w14:paraId="42DB4426" w14:textId="77777777" w:rsidR="00271FA2" w:rsidRPr="00A013E1" w:rsidRDefault="00D35E51">
      <w:pPr>
        <w:tabs>
          <w:tab w:val="left" w:pos="1418"/>
        </w:tabs>
        <w:overflowPunct w:val="0"/>
        <w:adjustRightInd w:val="0"/>
        <w:spacing w:line="240" w:lineRule="atLeast"/>
        <w:ind w:left="1418" w:hanging="1418"/>
        <w:jc w:val="both"/>
        <w:textAlignment w:val="baseline"/>
        <w:rPr>
          <w:rFonts w:ascii="Times New Roman" w:hAnsi="Times New Roman" w:cs="Times New Roman"/>
          <w:snapToGrid w:val="0"/>
          <w:szCs w:val="20"/>
          <w:lang w:val="ru-RU"/>
        </w:rPr>
      </w:pPr>
      <w:r w:rsidRPr="00A013E1">
        <w:rPr>
          <w:rFonts w:ascii="Times New Roman" w:hAnsi="Times New Roman" w:cs="Times New Roman"/>
          <w:lang w:val="ru-RU"/>
        </w:rPr>
        <w:t>080 – 099</w:t>
      </w:r>
      <w:r w:rsidRPr="00A013E1">
        <w:rPr>
          <w:rFonts w:ascii="Times New Roman" w:hAnsi="Times New Roman" w:cs="Times New Roman"/>
          <w:lang w:val="ru-RU"/>
        </w:rPr>
        <w:tab/>
        <w:t xml:space="preserve">запазени за плавателни средства от държави, които не са страни по Конвенцията от Манхайм, и за които има издаден сертификат съгласно за проверка на плавателните съдове по река Рейн преди 1 април 2007 г. </w:t>
      </w:r>
    </w:p>
    <w:p w14:paraId="70D240D8"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100 – 119</w:t>
      </w:r>
      <w:r w:rsidRPr="00A013E1">
        <w:rPr>
          <w:rFonts w:ascii="Times New Roman" w:hAnsi="Times New Roman" w:cs="Times New Roman"/>
          <w:lang w:val="ru-RU"/>
        </w:rPr>
        <w:tab/>
        <w:t>Норвегия</w:t>
      </w:r>
    </w:p>
    <w:p w14:paraId="4D0E838C"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120 – 139</w:t>
      </w:r>
      <w:r w:rsidRPr="00A013E1">
        <w:rPr>
          <w:rFonts w:ascii="Times New Roman" w:hAnsi="Times New Roman" w:cs="Times New Roman"/>
          <w:lang w:val="ru-RU"/>
        </w:rPr>
        <w:tab/>
        <w:t>Дания</w:t>
      </w:r>
    </w:p>
    <w:p w14:paraId="40D96D0C"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140 – 159</w:t>
      </w:r>
      <w:r w:rsidRPr="00A013E1">
        <w:rPr>
          <w:rFonts w:ascii="Times New Roman" w:hAnsi="Times New Roman" w:cs="Times New Roman"/>
          <w:lang w:val="ru-RU"/>
        </w:rPr>
        <w:tab/>
        <w:t>Обединено кралство</w:t>
      </w:r>
    </w:p>
    <w:p w14:paraId="7039415E"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160 – 169</w:t>
      </w:r>
      <w:r w:rsidRPr="00A013E1">
        <w:rPr>
          <w:rFonts w:ascii="Times New Roman" w:hAnsi="Times New Roman" w:cs="Times New Roman"/>
          <w:lang w:val="ru-RU"/>
        </w:rPr>
        <w:tab/>
        <w:t>Исландия</w:t>
      </w:r>
    </w:p>
    <w:p w14:paraId="5F8DB572"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170 – 179</w:t>
      </w:r>
      <w:r w:rsidRPr="00A013E1">
        <w:rPr>
          <w:rFonts w:ascii="Times New Roman" w:hAnsi="Times New Roman" w:cs="Times New Roman"/>
          <w:lang w:val="ru-RU"/>
        </w:rPr>
        <w:tab/>
        <w:t>Ирландия</w:t>
      </w:r>
    </w:p>
    <w:p w14:paraId="5A76D1D2"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180 – 189</w:t>
      </w:r>
      <w:r w:rsidRPr="00A013E1">
        <w:rPr>
          <w:rFonts w:ascii="Times New Roman" w:hAnsi="Times New Roman" w:cs="Times New Roman"/>
          <w:lang w:val="ru-RU"/>
        </w:rPr>
        <w:tab/>
        <w:t>Португалия</w:t>
      </w:r>
    </w:p>
    <w:p w14:paraId="1B5C455A"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190 – 199</w:t>
      </w:r>
      <w:r w:rsidRPr="00A013E1">
        <w:rPr>
          <w:rFonts w:ascii="Times New Roman" w:hAnsi="Times New Roman" w:cs="Times New Roman"/>
          <w:lang w:val="ru-RU"/>
        </w:rPr>
        <w:tab/>
        <w:t>запазено</w:t>
      </w:r>
    </w:p>
    <w:p w14:paraId="3DDD3BED"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200 – 219</w:t>
      </w:r>
      <w:r w:rsidRPr="00A013E1">
        <w:rPr>
          <w:rFonts w:ascii="Times New Roman" w:hAnsi="Times New Roman" w:cs="Times New Roman"/>
          <w:lang w:val="ru-RU"/>
        </w:rPr>
        <w:tab/>
        <w:t>Люксембург</w:t>
      </w:r>
    </w:p>
    <w:p w14:paraId="6B50CFB5"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220 – 239</w:t>
      </w:r>
      <w:r w:rsidRPr="00A013E1">
        <w:rPr>
          <w:rFonts w:ascii="Times New Roman" w:hAnsi="Times New Roman" w:cs="Times New Roman"/>
          <w:lang w:val="ru-RU"/>
        </w:rPr>
        <w:tab/>
        <w:t>Финландия</w:t>
      </w:r>
    </w:p>
    <w:p w14:paraId="163D4014"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240 – 259</w:t>
      </w:r>
      <w:r w:rsidRPr="00A013E1">
        <w:rPr>
          <w:rFonts w:ascii="Times New Roman" w:hAnsi="Times New Roman" w:cs="Times New Roman"/>
          <w:lang w:val="ru-RU"/>
        </w:rPr>
        <w:tab/>
        <w:t>Полша</w:t>
      </w:r>
    </w:p>
    <w:p w14:paraId="46CFF357"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260 – 269</w:t>
      </w:r>
      <w:r w:rsidRPr="00A013E1">
        <w:rPr>
          <w:rFonts w:ascii="Times New Roman" w:hAnsi="Times New Roman" w:cs="Times New Roman"/>
          <w:lang w:val="ru-RU"/>
        </w:rPr>
        <w:tab/>
        <w:t>Естония</w:t>
      </w:r>
    </w:p>
    <w:p w14:paraId="32B733A9"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270 – 279</w:t>
      </w:r>
      <w:r w:rsidRPr="00A013E1">
        <w:rPr>
          <w:rFonts w:ascii="Times New Roman" w:hAnsi="Times New Roman" w:cs="Times New Roman"/>
          <w:lang w:val="ru-RU"/>
        </w:rPr>
        <w:tab/>
        <w:t>Литва</w:t>
      </w:r>
    </w:p>
    <w:p w14:paraId="3945B92E"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280 – 289</w:t>
      </w:r>
      <w:r w:rsidRPr="00A013E1">
        <w:rPr>
          <w:rFonts w:ascii="Times New Roman" w:hAnsi="Times New Roman" w:cs="Times New Roman"/>
          <w:lang w:val="ru-RU"/>
        </w:rPr>
        <w:tab/>
        <w:t>Латвия</w:t>
      </w:r>
    </w:p>
    <w:p w14:paraId="42DDEAEF"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290 – 299</w:t>
      </w:r>
      <w:r w:rsidRPr="00A013E1">
        <w:rPr>
          <w:rFonts w:ascii="Times New Roman" w:hAnsi="Times New Roman" w:cs="Times New Roman"/>
          <w:lang w:val="ru-RU"/>
        </w:rPr>
        <w:tab/>
        <w:t>запазено</w:t>
      </w:r>
    </w:p>
    <w:p w14:paraId="568AA8C4"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lastRenderedPageBreak/>
        <w:t>300 – 309</w:t>
      </w:r>
      <w:r w:rsidRPr="00A013E1">
        <w:rPr>
          <w:rFonts w:ascii="Times New Roman" w:hAnsi="Times New Roman" w:cs="Times New Roman"/>
          <w:lang w:val="ru-RU"/>
        </w:rPr>
        <w:tab/>
        <w:t>Австрия</w:t>
      </w:r>
    </w:p>
    <w:p w14:paraId="20794E28"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310 – 319</w:t>
      </w:r>
      <w:r w:rsidRPr="00A013E1">
        <w:rPr>
          <w:rFonts w:ascii="Times New Roman" w:hAnsi="Times New Roman" w:cs="Times New Roman"/>
          <w:lang w:val="ru-RU"/>
        </w:rPr>
        <w:tab/>
        <w:t>Лихтенщайн</w:t>
      </w:r>
    </w:p>
    <w:p w14:paraId="68B81E09"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320 – 329</w:t>
      </w:r>
      <w:r w:rsidRPr="00A013E1">
        <w:rPr>
          <w:rFonts w:ascii="Times New Roman" w:hAnsi="Times New Roman" w:cs="Times New Roman"/>
          <w:lang w:val="ru-RU"/>
        </w:rPr>
        <w:tab/>
        <w:t>Чешка република</w:t>
      </w:r>
    </w:p>
    <w:p w14:paraId="7A652060"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330 – 339</w:t>
      </w:r>
      <w:r w:rsidRPr="00A013E1">
        <w:rPr>
          <w:rFonts w:ascii="Times New Roman" w:hAnsi="Times New Roman" w:cs="Times New Roman"/>
          <w:lang w:val="ru-RU"/>
        </w:rPr>
        <w:tab/>
        <w:t>Словакия</w:t>
      </w:r>
    </w:p>
    <w:p w14:paraId="1497EC4D"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340 – 349</w:t>
      </w:r>
      <w:r w:rsidRPr="00A013E1">
        <w:rPr>
          <w:rFonts w:ascii="Times New Roman" w:hAnsi="Times New Roman" w:cs="Times New Roman"/>
          <w:lang w:val="ru-RU"/>
        </w:rPr>
        <w:tab/>
        <w:t>запазено</w:t>
      </w:r>
    </w:p>
    <w:p w14:paraId="23510F54"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350 – 359</w:t>
      </w:r>
      <w:r w:rsidRPr="00A013E1">
        <w:rPr>
          <w:rFonts w:ascii="Times New Roman" w:hAnsi="Times New Roman" w:cs="Times New Roman"/>
          <w:lang w:val="ru-RU"/>
        </w:rPr>
        <w:tab/>
        <w:t>Хърватия</w:t>
      </w:r>
    </w:p>
    <w:p w14:paraId="77C5DCAF"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360 – 369</w:t>
      </w:r>
      <w:r w:rsidRPr="00A013E1">
        <w:rPr>
          <w:rFonts w:ascii="Times New Roman" w:hAnsi="Times New Roman" w:cs="Times New Roman"/>
          <w:lang w:val="ru-RU"/>
        </w:rPr>
        <w:tab/>
        <w:t>Сърбия</w:t>
      </w:r>
    </w:p>
    <w:p w14:paraId="7CB0173D"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370 – 379</w:t>
      </w:r>
      <w:r w:rsidRPr="00A013E1">
        <w:rPr>
          <w:rFonts w:ascii="Times New Roman" w:hAnsi="Times New Roman" w:cs="Times New Roman"/>
          <w:lang w:val="ru-RU"/>
        </w:rPr>
        <w:tab/>
        <w:t>Босна и Херцеговина</w:t>
      </w:r>
    </w:p>
    <w:p w14:paraId="0A786E22"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380 – 399</w:t>
      </w:r>
      <w:r w:rsidRPr="00A013E1">
        <w:rPr>
          <w:rFonts w:ascii="Times New Roman" w:hAnsi="Times New Roman" w:cs="Times New Roman"/>
          <w:lang w:val="ru-RU"/>
        </w:rPr>
        <w:tab/>
        <w:t>Унгария</w:t>
      </w:r>
    </w:p>
    <w:p w14:paraId="4925C247"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400 – 419</w:t>
      </w:r>
      <w:r w:rsidRPr="00A013E1">
        <w:rPr>
          <w:rFonts w:ascii="Times New Roman" w:hAnsi="Times New Roman" w:cs="Times New Roman"/>
          <w:lang w:val="ru-RU"/>
        </w:rPr>
        <w:tab/>
        <w:t>Руска федерация</w:t>
      </w:r>
    </w:p>
    <w:p w14:paraId="489AF2E9"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420 – 439</w:t>
      </w:r>
      <w:r w:rsidRPr="00A013E1">
        <w:rPr>
          <w:rFonts w:ascii="Times New Roman" w:hAnsi="Times New Roman" w:cs="Times New Roman"/>
          <w:lang w:val="ru-RU"/>
        </w:rPr>
        <w:tab/>
        <w:t>Украйна</w:t>
      </w:r>
    </w:p>
    <w:p w14:paraId="7B65BBAB"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440 – 449</w:t>
      </w:r>
      <w:r w:rsidRPr="00A013E1">
        <w:rPr>
          <w:rFonts w:ascii="Times New Roman" w:hAnsi="Times New Roman" w:cs="Times New Roman"/>
          <w:lang w:val="ru-RU"/>
        </w:rPr>
        <w:tab/>
        <w:t>Беларус</w:t>
      </w:r>
    </w:p>
    <w:p w14:paraId="08DD85F6"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450 – 459</w:t>
      </w:r>
      <w:r w:rsidRPr="00A013E1">
        <w:rPr>
          <w:rFonts w:ascii="Times New Roman" w:hAnsi="Times New Roman" w:cs="Times New Roman"/>
          <w:lang w:val="ru-RU"/>
        </w:rPr>
        <w:tab/>
        <w:t>Република Молдова</w:t>
      </w:r>
    </w:p>
    <w:p w14:paraId="3568E524"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460 – 469</w:t>
      </w:r>
      <w:r w:rsidRPr="00A013E1">
        <w:rPr>
          <w:rFonts w:ascii="Times New Roman" w:hAnsi="Times New Roman" w:cs="Times New Roman"/>
          <w:lang w:val="ru-RU"/>
        </w:rPr>
        <w:tab/>
        <w:t>Румъния</w:t>
      </w:r>
    </w:p>
    <w:p w14:paraId="142B6774"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470 – 479</w:t>
      </w:r>
      <w:r w:rsidRPr="00A013E1">
        <w:rPr>
          <w:rFonts w:ascii="Times New Roman" w:hAnsi="Times New Roman" w:cs="Times New Roman"/>
          <w:lang w:val="ru-RU"/>
        </w:rPr>
        <w:tab/>
        <w:t>България</w:t>
      </w:r>
    </w:p>
    <w:p w14:paraId="602C8AA8"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480 – 489</w:t>
      </w:r>
      <w:r w:rsidRPr="00A013E1">
        <w:rPr>
          <w:rFonts w:ascii="Times New Roman" w:hAnsi="Times New Roman" w:cs="Times New Roman"/>
          <w:lang w:val="ru-RU"/>
        </w:rPr>
        <w:tab/>
        <w:t>Грузия</w:t>
      </w:r>
    </w:p>
    <w:p w14:paraId="27D02DBE"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490 – 499</w:t>
      </w:r>
      <w:r w:rsidRPr="00A013E1">
        <w:rPr>
          <w:rFonts w:ascii="Times New Roman" w:hAnsi="Times New Roman" w:cs="Times New Roman"/>
          <w:lang w:val="ru-RU"/>
        </w:rPr>
        <w:tab/>
        <w:t>запазено</w:t>
      </w:r>
    </w:p>
    <w:p w14:paraId="78779C46"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500 – 519</w:t>
      </w:r>
      <w:r w:rsidRPr="00A013E1">
        <w:rPr>
          <w:rFonts w:ascii="Times New Roman" w:hAnsi="Times New Roman" w:cs="Times New Roman"/>
          <w:lang w:val="ru-RU"/>
        </w:rPr>
        <w:tab/>
        <w:t>Турция</w:t>
      </w:r>
    </w:p>
    <w:p w14:paraId="1FB329DC"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520 – 539</w:t>
      </w:r>
      <w:r w:rsidRPr="00A013E1">
        <w:rPr>
          <w:rFonts w:ascii="Times New Roman" w:hAnsi="Times New Roman" w:cs="Times New Roman"/>
          <w:lang w:val="ru-RU"/>
        </w:rPr>
        <w:tab/>
        <w:t xml:space="preserve">Гърция </w:t>
      </w:r>
    </w:p>
    <w:p w14:paraId="37599D49"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540 – 549</w:t>
      </w:r>
      <w:r w:rsidRPr="00A013E1">
        <w:rPr>
          <w:rFonts w:ascii="Times New Roman" w:hAnsi="Times New Roman" w:cs="Times New Roman"/>
          <w:lang w:val="ru-RU"/>
        </w:rPr>
        <w:tab/>
        <w:t>Кипър</w:t>
      </w:r>
    </w:p>
    <w:p w14:paraId="03F3D47D"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550 – 559</w:t>
      </w:r>
      <w:r w:rsidRPr="00A013E1">
        <w:rPr>
          <w:rFonts w:ascii="Times New Roman" w:hAnsi="Times New Roman" w:cs="Times New Roman"/>
          <w:lang w:val="ru-RU"/>
        </w:rPr>
        <w:tab/>
        <w:t xml:space="preserve">Албания </w:t>
      </w:r>
    </w:p>
    <w:p w14:paraId="3C2B6028"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560 – 569</w:t>
      </w:r>
      <w:r w:rsidRPr="00A013E1">
        <w:rPr>
          <w:rFonts w:ascii="Times New Roman" w:hAnsi="Times New Roman" w:cs="Times New Roman"/>
          <w:lang w:val="ru-RU"/>
        </w:rPr>
        <w:tab/>
        <w:t xml:space="preserve">Северна Македония </w:t>
      </w:r>
    </w:p>
    <w:p w14:paraId="6714A077"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570 – 579</w:t>
      </w:r>
      <w:r w:rsidRPr="00A013E1">
        <w:rPr>
          <w:rFonts w:ascii="Times New Roman" w:hAnsi="Times New Roman" w:cs="Times New Roman"/>
          <w:lang w:val="ru-RU"/>
        </w:rPr>
        <w:tab/>
        <w:t>Словения</w:t>
      </w:r>
    </w:p>
    <w:p w14:paraId="1D5CEF71"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580 – 589</w:t>
      </w:r>
      <w:r w:rsidRPr="00A013E1">
        <w:rPr>
          <w:rFonts w:ascii="Times New Roman" w:hAnsi="Times New Roman" w:cs="Times New Roman"/>
          <w:lang w:val="ru-RU"/>
        </w:rPr>
        <w:tab/>
        <w:t>Черна гора</w:t>
      </w:r>
    </w:p>
    <w:p w14:paraId="115A7F58"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590 – 599</w:t>
      </w:r>
      <w:r w:rsidRPr="00A013E1">
        <w:rPr>
          <w:rFonts w:ascii="Times New Roman" w:hAnsi="Times New Roman" w:cs="Times New Roman"/>
          <w:lang w:val="ru-RU"/>
        </w:rPr>
        <w:tab/>
        <w:t>запазено</w:t>
      </w:r>
    </w:p>
    <w:p w14:paraId="57D41CC6"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600 – 619</w:t>
      </w:r>
      <w:r w:rsidRPr="00A013E1">
        <w:rPr>
          <w:rFonts w:ascii="Times New Roman" w:hAnsi="Times New Roman" w:cs="Times New Roman"/>
          <w:lang w:val="ru-RU"/>
        </w:rPr>
        <w:tab/>
        <w:t>Италия</w:t>
      </w:r>
    </w:p>
    <w:p w14:paraId="7F60AE8B"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620 – 639</w:t>
      </w:r>
      <w:r w:rsidRPr="00A013E1">
        <w:rPr>
          <w:rFonts w:ascii="Times New Roman" w:hAnsi="Times New Roman" w:cs="Times New Roman"/>
          <w:lang w:val="ru-RU"/>
        </w:rPr>
        <w:tab/>
        <w:t>Испания</w:t>
      </w:r>
    </w:p>
    <w:p w14:paraId="3B1509CD"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640 – 649</w:t>
      </w:r>
      <w:r w:rsidRPr="00A013E1">
        <w:rPr>
          <w:rFonts w:ascii="Times New Roman" w:hAnsi="Times New Roman" w:cs="Times New Roman"/>
          <w:lang w:val="ru-RU"/>
        </w:rPr>
        <w:tab/>
        <w:t>Андора</w:t>
      </w:r>
    </w:p>
    <w:p w14:paraId="3125C854"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650 – 659</w:t>
      </w:r>
      <w:r w:rsidRPr="00A013E1">
        <w:rPr>
          <w:rFonts w:ascii="Times New Roman" w:hAnsi="Times New Roman" w:cs="Times New Roman"/>
          <w:lang w:val="ru-RU"/>
        </w:rPr>
        <w:tab/>
        <w:t>Малта</w:t>
      </w:r>
    </w:p>
    <w:p w14:paraId="1183039A"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660 – 669</w:t>
      </w:r>
      <w:r w:rsidRPr="00A013E1">
        <w:rPr>
          <w:rFonts w:ascii="Times New Roman" w:hAnsi="Times New Roman" w:cs="Times New Roman"/>
          <w:lang w:val="ru-RU"/>
        </w:rPr>
        <w:tab/>
        <w:t>Монако</w:t>
      </w:r>
    </w:p>
    <w:p w14:paraId="6A2DF08D"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670 – 679</w:t>
      </w:r>
      <w:r w:rsidRPr="00A013E1">
        <w:rPr>
          <w:rFonts w:ascii="Times New Roman" w:hAnsi="Times New Roman" w:cs="Times New Roman"/>
          <w:lang w:val="ru-RU"/>
        </w:rPr>
        <w:tab/>
        <w:t>Сан Марино</w:t>
      </w:r>
    </w:p>
    <w:p w14:paraId="7F72479B"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680 – 699</w:t>
      </w:r>
      <w:r w:rsidRPr="00A013E1">
        <w:rPr>
          <w:rFonts w:ascii="Times New Roman" w:hAnsi="Times New Roman" w:cs="Times New Roman"/>
          <w:lang w:val="ru-RU"/>
        </w:rPr>
        <w:tab/>
        <w:t>запазено</w:t>
      </w:r>
    </w:p>
    <w:p w14:paraId="5E320536"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700 – 719</w:t>
      </w:r>
      <w:r w:rsidRPr="00A013E1">
        <w:rPr>
          <w:rFonts w:ascii="Times New Roman" w:hAnsi="Times New Roman" w:cs="Times New Roman"/>
          <w:lang w:val="ru-RU"/>
        </w:rPr>
        <w:tab/>
        <w:t>Швеция</w:t>
      </w:r>
    </w:p>
    <w:p w14:paraId="3FFEC4DB"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lastRenderedPageBreak/>
        <w:t>720 – 739</w:t>
      </w:r>
      <w:r w:rsidRPr="00A013E1">
        <w:rPr>
          <w:rFonts w:ascii="Times New Roman" w:hAnsi="Times New Roman" w:cs="Times New Roman"/>
          <w:lang w:val="ru-RU"/>
        </w:rPr>
        <w:tab/>
        <w:t>Канада</w:t>
      </w:r>
    </w:p>
    <w:p w14:paraId="2BD2D00A"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740 – 759</w:t>
      </w:r>
      <w:r w:rsidRPr="00A013E1">
        <w:rPr>
          <w:rFonts w:ascii="Times New Roman" w:hAnsi="Times New Roman" w:cs="Times New Roman"/>
          <w:lang w:val="ru-RU"/>
        </w:rPr>
        <w:tab/>
        <w:t>САЩ</w:t>
      </w:r>
    </w:p>
    <w:p w14:paraId="5183D83D"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760 – 769</w:t>
      </w:r>
      <w:r w:rsidRPr="00A013E1">
        <w:rPr>
          <w:rFonts w:ascii="Times New Roman" w:hAnsi="Times New Roman" w:cs="Times New Roman"/>
          <w:lang w:val="ru-RU"/>
        </w:rPr>
        <w:tab/>
        <w:t>Израел</w:t>
      </w:r>
    </w:p>
    <w:p w14:paraId="4A0B7660"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770 – 799</w:t>
      </w:r>
      <w:r w:rsidRPr="00A013E1">
        <w:rPr>
          <w:rFonts w:ascii="Times New Roman" w:hAnsi="Times New Roman" w:cs="Times New Roman"/>
          <w:lang w:val="ru-RU"/>
        </w:rPr>
        <w:tab/>
        <w:t>запазено</w:t>
      </w:r>
    </w:p>
    <w:p w14:paraId="34C90F07"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800 – 809</w:t>
      </w:r>
      <w:r w:rsidRPr="00A013E1">
        <w:rPr>
          <w:rFonts w:ascii="Times New Roman" w:hAnsi="Times New Roman" w:cs="Times New Roman"/>
          <w:lang w:val="ru-RU"/>
        </w:rPr>
        <w:tab/>
        <w:t>Азербайджан</w:t>
      </w:r>
    </w:p>
    <w:p w14:paraId="20524454"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810 – 819</w:t>
      </w:r>
      <w:r w:rsidRPr="00A013E1">
        <w:rPr>
          <w:rFonts w:ascii="Times New Roman" w:hAnsi="Times New Roman" w:cs="Times New Roman"/>
          <w:lang w:val="ru-RU"/>
        </w:rPr>
        <w:tab/>
        <w:t>Казахстан</w:t>
      </w:r>
    </w:p>
    <w:p w14:paraId="0F141A9E"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820 – 829</w:t>
      </w:r>
      <w:r w:rsidRPr="00A013E1">
        <w:rPr>
          <w:rFonts w:ascii="Times New Roman" w:hAnsi="Times New Roman" w:cs="Times New Roman"/>
          <w:lang w:val="ru-RU"/>
        </w:rPr>
        <w:tab/>
        <w:t>Киргизстан</w:t>
      </w:r>
    </w:p>
    <w:p w14:paraId="114DD98C"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830 – 839</w:t>
      </w:r>
      <w:r w:rsidRPr="00A013E1">
        <w:rPr>
          <w:rFonts w:ascii="Times New Roman" w:hAnsi="Times New Roman" w:cs="Times New Roman"/>
          <w:lang w:val="ru-RU"/>
        </w:rPr>
        <w:tab/>
        <w:t>Таджикистан</w:t>
      </w:r>
    </w:p>
    <w:p w14:paraId="729F8189"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840 – 849</w:t>
      </w:r>
      <w:r w:rsidRPr="00A013E1">
        <w:rPr>
          <w:rFonts w:ascii="Times New Roman" w:hAnsi="Times New Roman" w:cs="Times New Roman"/>
          <w:lang w:val="ru-RU"/>
        </w:rPr>
        <w:tab/>
        <w:t>Туркменистан</w:t>
      </w:r>
    </w:p>
    <w:p w14:paraId="6C394F04"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850 – 859</w:t>
      </w:r>
      <w:r w:rsidRPr="00A013E1">
        <w:rPr>
          <w:rFonts w:ascii="Times New Roman" w:hAnsi="Times New Roman" w:cs="Times New Roman"/>
          <w:lang w:val="ru-RU"/>
        </w:rPr>
        <w:tab/>
        <w:t>Узбекистан</w:t>
      </w:r>
    </w:p>
    <w:p w14:paraId="6D993C2B"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860 – 869</w:t>
      </w:r>
      <w:r w:rsidRPr="00A013E1">
        <w:rPr>
          <w:rFonts w:ascii="Times New Roman" w:hAnsi="Times New Roman" w:cs="Times New Roman"/>
          <w:lang w:val="ru-RU"/>
        </w:rPr>
        <w:tab/>
        <w:t>Иран</w:t>
      </w:r>
    </w:p>
    <w:p w14:paraId="2AA6373B" w14:textId="77777777" w:rsidR="00271FA2" w:rsidRPr="00A013E1" w:rsidRDefault="00D35E51">
      <w:pPr>
        <w:tabs>
          <w:tab w:val="left" w:pos="1418"/>
        </w:tabs>
        <w:overflowPunct w:val="0"/>
        <w:adjustRightInd w:val="0"/>
        <w:spacing w:line="240" w:lineRule="atLeast"/>
        <w:ind w:left="1418" w:hanging="1418"/>
        <w:textAlignment w:val="baseline"/>
        <w:rPr>
          <w:rFonts w:ascii="Times New Roman" w:hAnsi="Times New Roman" w:cs="Times New Roman"/>
          <w:snapToGrid w:val="0"/>
          <w:szCs w:val="20"/>
          <w:lang w:val="ru-RU"/>
        </w:rPr>
      </w:pPr>
      <w:r w:rsidRPr="00A013E1">
        <w:rPr>
          <w:rFonts w:ascii="Times New Roman" w:hAnsi="Times New Roman" w:cs="Times New Roman"/>
          <w:lang w:val="ru-RU"/>
        </w:rPr>
        <w:t>870 – 999</w:t>
      </w:r>
      <w:r w:rsidRPr="00A013E1">
        <w:rPr>
          <w:rFonts w:ascii="Times New Roman" w:hAnsi="Times New Roman" w:cs="Times New Roman"/>
          <w:lang w:val="ru-RU"/>
        </w:rPr>
        <w:tab/>
        <w:t>запазено</w:t>
      </w:r>
    </w:p>
    <w:p w14:paraId="45A1A4C8" w14:textId="77777777" w:rsidR="00271FA2" w:rsidRPr="00A013E1" w:rsidRDefault="00D35E51">
      <w:pPr>
        <w:spacing w:line="240" w:lineRule="atLeast"/>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rPr>
        <w:t>xxxxx</w:t>
      </w:r>
      <w:r w:rsidRPr="00A013E1">
        <w:rPr>
          <w:rFonts w:ascii="Times New Roman" w:hAnsi="Times New Roman" w:cs="Times New Roman"/>
          <w:lang w:val="ru-RU"/>
        </w:rPr>
        <w:t>“ представлява петцифреният сериен номер, даден от компетентния орган.</w:t>
      </w:r>
    </w:p>
    <w:p w14:paraId="332E4409" w14:textId="77777777" w:rsidR="003A4DBF" w:rsidRPr="00A013E1" w:rsidRDefault="003A4DBF">
      <w:pPr>
        <w:pBdr>
          <w:bottom w:val="single" w:sz="4" w:space="1" w:color="auto"/>
        </w:pBdr>
        <w:spacing w:line="240" w:lineRule="atLeast"/>
        <w:jc w:val="right"/>
        <w:rPr>
          <w:rFonts w:ascii="Times New Roman" w:hAnsi="Times New Roman" w:cs="Times New Roman"/>
          <w:bCs/>
          <w:lang w:val="ru-RU"/>
        </w:rPr>
        <w:sectPr w:rsidR="003A4DBF" w:rsidRPr="00A013E1" w:rsidSect="00A013E1">
          <w:headerReference w:type="default" r:id="rId104"/>
          <w:pgSz w:w="12240" w:h="15840"/>
          <w:pgMar w:top="1134" w:right="1134" w:bottom="1134" w:left="1134" w:header="709" w:footer="709" w:gutter="0"/>
          <w:cols w:space="708"/>
          <w:docGrid w:linePitch="299"/>
        </w:sectPr>
      </w:pPr>
      <w:bookmarkStart w:id="590" w:name="_Toc491854293"/>
      <w:bookmarkStart w:id="591" w:name="_Toc535827734"/>
    </w:p>
    <w:p w14:paraId="2A8DFCF3" w14:textId="77777777" w:rsidR="00271FA2" w:rsidRPr="00A013E1" w:rsidRDefault="00D35E51" w:rsidP="00B91523">
      <w:pPr>
        <w:pStyle w:val="ES-Titre2"/>
        <w:pageBreakBefore w:val="0"/>
        <w:spacing w:after="240"/>
        <w:rPr>
          <w:rFonts w:ascii="Times New Roman" w:hAnsi="Times New Roman" w:cs="Times New Roman"/>
          <w:lang w:val="ru-RU"/>
        </w:rPr>
      </w:pPr>
      <w:r w:rsidRPr="00A013E1">
        <w:rPr>
          <w:rFonts w:ascii="Times New Roman" w:hAnsi="Times New Roman" w:cs="Times New Roman"/>
          <w:lang w:val="ru-RU"/>
        </w:rPr>
        <w:lastRenderedPageBreak/>
        <w:t>Приложение 2</w:t>
      </w:r>
      <w:r w:rsidRPr="00A013E1">
        <w:rPr>
          <w:rFonts w:ascii="Times New Roman" w:hAnsi="Times New Roman" w:cs="Times New Roman"/>
          <w:lang w:val="ru-RU"/>
        </w:rPr>
        <w:br/>
        <w:t xml:space="preserve">Данни за идентифицирането на </w:t>
      </w:r>
      <w:bookmarkEnd w:id="590"/>
      <w:bookmarkEnd w:id="591"/>
      <w:r w:rsidRPr="00A013E1">
        <w:rPr>
          <w:rFonts w:ascii="Times New Roman" w:hAnsi="Times New Roman" w:cs="Times New Roman"/>
          <w:lang w:val="ru-RU"/>
        </w:rPr>
        <w:t>КОРАБА</w:t>
      </w:r>
    </w:p>
    <w:p w14:paraId="242DB73E" w14:textId="77777777" w:rsidR="00271FA2" w:rsidRPr="00A013E1" w:rsidRDefault="00D35E51">
      <w:pPr>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rPr>
        <w:t>A</w:t>
      </w:r>
      <w:r w:rsidRPr="00A013E1">
        <w:rPr>
          <w:rFonts w:ascii="Times New Roman" w:hAnsi="Times New Roman" w:cs="Times New Roman"/>
          <w:color w:val="000000"/>
          <w:lang w:val="ru-RU"/>
        </w:rPr>
        <w:t>.</w:t>
      </w:r>
      <w:r w:rsidRPr="00A013E1">
        <w:rPr>
          <w:rFonts w:ascii="Times New Roman" w:hAnsi="Times New Roman" w:cs="Times New Roman"/>
          <w:lang w:val="ru-RU"/>
        </w:rPr>
        <w:tab/>
      </w:r>
      <w:r w:rsidRPr="00A013E1">
        <w:rPr>
          <w:rFonts w:ascii="Times New Roman" w:hAnsi="Times New Roman" w:cs="Times New Roman"/>
          <w:color w:val="000000"/>
          <w:lang w:val="ru-RU"/>
        </w:rPr>
        <w:t>Всички плавателни съдове:</w:t>
      </w:r>
    </w:p>
    <w:p w14:paraId="08DB8B83"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1.</w:t>
      </w:r>
      <w:r w:rsidRPr="00A013E1">
        <w:rPr>
          <w:rFonts w:ascii="Times New Roman" w:hAnsi="Times New Roman" w:cs="Times New Roman"/>
          <w:lang w:val="ru-RU"/>
        </w:rPr>
        <w:tab/>
        <w:t>Уникален европейски идентификационен номер на плавателен съд (Приложение 3, раздел</w:t>
      </w:r>
      <w:r w:rsidRPr="00A013E1">
        <w:rPr>
          <w:rFonts w:ascii="Times New Roman" w:hAnsi="Times New Roman" w:cs="Times New Roman"/>
        </w:rPr>
        <w:t> I</w:t>
      </w:r>
      <w:r w:rsidRPr="00A013E1">
        <w:rPr>
          <w:rFonts w:ascii="Times New Roman" w:hAnsi="Times New Roman" w:cs="Times New Roman"/>
          <w:lang w:val="ru-RU"/>
        </w:rPr>
        <w:t xml:space="preserve">, точка 3 от образеца и раздел </w:t>
      </w:r>
      <w:r w:rsidRPr="00A013E1">
        <w:rPr>
          <w:rFonts w:ascii="Times New Roman" w:hAnsi="Times New Roman" w:cs="Times New Roman"/>
        </w:rPr>
        <w:t>VI</w:t>
      </w:r>
      <w:r w:rsidRPr="00A013E1">
        <w:rPr>
          <w:rFonts w:ascii="Times New Roman" w:hAnsi="Times New Roman" w:cs="Times New Roman"/>
          <w:lang w:val="ru-RU"/>
        </w:rPr>
        <w:t>, петата колона)</w:t>
      </w:r>
    </w:p>
    <w:p w14:paraId="6983C6BA"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2.</w:t>
      </w:r>
      <w:r w:rsidRPr="00A013E1">
        <w:rPr>
          <w:rFonts w:ascii="Times New Roman" w:hAnsi="Times New Roman" w:cs="Times New Roman"/>
          <w:lang w:val="ru-RU"/>
        </w:rPr>
        <w:tab/>
        <w:t>Наименование на плавателното средство/плавателния съд (Приложение 3, раздел</w:t>
      </w:r>
      <w:r w:rsidRPr="00A013E1">
        <w:rPr>
          <w:rFonts w:ascii="Times New Roman" w:hAnsi="Times New Roman" w:cs="Times New Roman"/>
        </w:rPr>
        <w:t> I</w:t>
      </w:r>
      <w:r w:rsidRPr="00A013E1">
        <w:rPr>
          <w:rFonts w:ascii="Times New Roman" w:hAnsi="Times New Roman" w:cs="Times New Roman"/>
          <w:lang w:val="ru-RU"/>
        </w:rPr>
        <w:t xml:space="preserve">, точка 1 от образеца и раздел </w:t>
      </w:r>
      <w:r w:rsidRPr="00A013E1">
        <w:rPr>
          <w:rFonts w:ascii="Times New Roman" w:hAnsi="Times New Roman" w:cs="Times New Roman"/>
        </w:rPr>
        <w:t>VI</w:t>
      </w:r>
      <w:r w:rsidRPr="00A013E1">
        <w:rPr>
          <w:rFonts w:ascii="Times New Roman" w:hAnsi="Times New Roman" w:cs="Times New Roman"/>
          <w:lang w:val="ru-RU"/>
        </w:rPr>
        <w:t>, четвърта колона)</w:t>
      </w:r>
    </w:p>
    <w:p w14:paraId="7F6BB8DD"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3.</w:t>
      </w:r>
      <w:r w:rsidRPr="00A013E1">
        <w:rPr>
          <w:rFonts w:ascii="Times New Roman" w:hAnsi="Times New Roman" w:cs="Times New Roman"/>
          <w:lang w:val="ru-RU"/>
        </w:rPr>
        <w:tab/>
        <w:t xml:space="preserve">Вид на плавателното средство съгласно определението по член 1.01, точки 1.1 - 1.28 (Приложение 3, раздел </w:t>
      </w:r>
      <w:r w:rsidRPr="00A013E1">
        <w:rPr>
          <w:rFonts w:ascii="Times New Roman" w:hAnsi="Times New Roman" w:cs="Times New Roman"/>
        </w:rPr>
        <w:t>I</w:t>
      </w:r>
      <w:r w:rsidRPr="00A013E1">
        <w:rPr>
          <w:rFonts w:ascii="Times New Roman" w:hAnsi="Times New Roman" w:cs="Times New Roman"/>
          <w:lang w:val="ru-RU"/>
        </w:rPr>
        <w:t>, точка 2 от образеца)</w:t>
      </w:r>
    </w:p>
    <w:p w14:paraId="629FFAAF"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4.</w:t>
      </w:r>
      <w:r w:rsidRPr="00A013E1">
        <w:rPr>
          <w:rFonts w:ascii="Times New Roman" w:hAnsi="Times New Roman" w:cs="Times New Roman"/>
          <w:lang w:val="ru-RU"/>
        </w:rPr>
        <w:tab/>
        <w:t xml:space="preserve">Габаритна дължина съгласно определението в член 1.01, точка 4.17 (Приложение 3, раздел </w:t>
      </w:r>
      <w:r w:rsidRPr="00A013E1">
        <w:rPr>
          <w:rFonts w:ascii="Times New Roman" w:hAnsi="Times New Roman" w:cs="Times New Roman"/>
        </w:rPr>
        <w:t>I</w:t>
      </w:r>
      <w:r w:rsidRPr="00A013E1">
        <w:rPr>
          <w:rFonts w:ascii="Times New Roman" w:hAnsi="Times New Roman" w:cs="Times New Roman"/>
          <w:lang w:val="ru-RU"/>
        </w:rPr>
        <w:t>, точка 17</w:t>
      </w:r>
      <w:r w:rsidRPr="00A013E1">
        <w:rPr>
          <w:rFonts w:ascii="Times New Roman" w:hAnsi="Times New Roman" w:cs="Times New Roman"/>
        </w:rPr>
        <w:t>a</w:t>
      </w:r>
      <w:r w:rsidRPr="00A013E1">
        <w:rPr>
          <w:rFonts w:ascii="Times New Roman" w:hAnsi="Times New Roman" w:cs="Times New Roman"/>
          <w:lang w:val="ru-RU"/>
        </w:rPr>
        <w:t>)</w:t>
      </w:r>
    </w:p>
    <w:p w14:paraId="2E60E3EB"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5.</w:t>
      </w:r>
      <w:r w:rsidRPr="00A013E1">
        <w:rPr>
          <w:rFonts w:ascii="Times New Roman" w:hAnsi="Times New Roman" w:cs="Times New Roman"/>
          <w:lang w:val="ru-RU"/>
        </w:rPr>
        <w:tab/>
        <w:t xml:space="preserve">Габаритна ширина съгласно определението в член 1.01, точка 4.20 (Приложение 3, раздел </w:t>
      </w:r>
      <w:r w:rsidRPr="00A013E1">
        <w:rPr>
          <w:rFonts w:ascii="Times New Roman" w:hAnsi="Times New Roman" w:cs="Times New Roman"/>
        </w:rPr>
        <w:t>I</w:t>
      </w:r>
      <w:r w:rsidRPr="00A013E1">
        <w:rPr>
          <w:rFonts w:ascii="Times New Roman" w:hAnsi="Times New Roman" w:cs="Times New Roman"/>
          <w:lang w:val="ru-RU"/>
        </w:rPr>
        <w:t>, точка 18</w:t>
      </w:r>
      <w:r w:rsidRPr="00A013E1">
        <w:rPr>
          <w:rFonts w:ascii="Times New Roman" w:hAnsi="Times New Roman" w:cs="Times New Roman"/>
        </w:rPr>
        <w:t>a</w:t>
      </w:r>
      <w:r w:rsidRPr="00A013E1">
        <w:rPr>
          <w:rFonts w:ascii="Times New Roman" w:hAnsi="Times New Roman" w:cs="Times New Roman"/>
          <w:lang w:val="ru-RU"/>
        </w:rPr>
        <w:t>)</w:t>
      </w:r>
    </w:p>
    <w:p w14:paraId="561467C4"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6.</w:t>
      </w:r>
      <w:r w:rsidRPr="00A013E1">
        <w:rPr>
          <w:rFonts w:ascii="Times New Roman" w:hAnsi="Times New Roman" w:cs="Times New Roman"/>
          <w:lang w:val="ru-RU"/>
        </w:rPr>
        <w:tab/>
        <w:t xml:space="preserve">Газене съгласно определението в член 1.01, точка 4.23 (Приложение 3, раздел </w:t>
      </w:r>
      <w:r w:rsidRPr="00A013E1">
        <w:rPr>
          <w:rFonts w:ascii="Times New Roman" w:hAnsi="Times New Roman" w:cs="Times New Roman"/>
        </w:rPr>
        <w:t>I</w:t>
      </w:r>
      <w:r w:rsidRPr="00A013E1">
        <w:rPr>
          <w:rFonts w:ascii="Times New Roman" w:hAnsi="Times New Roman" w:cs="Times New Roman"/>
          <w:lang w:val="ru-RU"/>
        </w:rPr>
        <w:t>, точка 19</w:t>
      </w:r>
      <w:r w:rsidRPr="00A013E1">
        <w:rPr>
          <w:rFonts w:ascii="Times New Roman" w:hAnsi="Times New Roman" w:cs="Times New Roman"/>
        </w:rPr>
        <w:t>a</w:t>
      </w:r>
      <w:r w:rsidRPr="00A013E1">
        <w:rPr>
          <w:rFonts w:ascii="Times New Roman" w:hAnsi="Times New Roman" w:cs="Times New Roman"/>
          <w:lang w:val="ru-RU"/>
        </w:rPr>
        <w:t>)</w:t>
      </w:r>
    </w:p>
    <w:p w14:paraId="67DDA949"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7.</w:t>
      </w:r>
      <w:r w:rsidRPr="00A013E1">
        <w:rPr>
          <w:rFonts w:ascii="Times New Roman" w:hAnsi="Times New Roman" w:cs="Times New Roman"/>
          <w:lang w:val="ru-RU"/>
        </w:rPr>
        <w:tab/>
        <w:t>Източник на данни (= Корабното удостоверение за вътрешно корабоплаване.)</w:t>
      </w:r>
    </w:p>
    <w:p w14:paraId="3DB4429E"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8.</w:t>
      </w:r>
      <w:r w:rsidRPr="00A013E1">
        <w:rPr>
          <w:rFonts w:ascii="Times New Roman" w:hAnsi="Times New Roman" w:cs="Times New Roman"/>
          <w:lang w:val="ru-RU"/>
        </w:rPr>
        <w:tab/>
        <w:t>Товароподемност (Приложение 3, раздел</w:t>
      </w:r>
      <w:r w:rsidRPr="00A013E1">
        <w:rPr>
          <w:rFonts w:ascii="Times New Roman" w:hAnsi="Times New Roman" w:cs="Times New Roman"/>
        </w:rPr>
        <w:t> I</w:t>
      </w:r>
      <w:r w:rsidRPr="00A013E1">
        <w:rPr>
          <w:rFonts w:ascii="Times New Roman" w:hAnsi="Times New Roman" w:cs="Times New Roman"/>
          <w:lang w:val="ru-RU"/>
        </w:rPr>
        <w:t xml:space="preserve">, точка 21 и раздел </w:t>
      </w:r>
      <w:r w:rsidRPr="00A013E1">
        <w:rPr>
          <w:rFonts w:ascii="Times New Roman" w:hAnsi="Times New Roman" w:cs="Times New Roman"/>
        </w:rPr>
        <w:t>VI</w:t>
      </w:r>
      <w:r w:rsidRPr="00A013E1">
        <w:rPr>
          <w:rFonts w:ascii="Times New Roman" w:hAnsi="Times New Roman" w:cs="Times New Roman"/>
          <w:lang w:val="ru-RU"/>
        </w:rPr>
        <w:t>, 13-а колона) за товарни плавателни съдове</w:t>
      </w:r>
    </w:p>
    <w:p w14:paraId="476C6CDB"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9.</w:t>
      </w:r>
      <w:r w:rsidRPr="00A013E1">
        <w:rPr>
          <w:rFonts w:ascii="Times New Roman" w:hAnsi="Times New Roman" w:cs="Times New Roman"/>
          <w:lang w:val="ru-RU"/>
        </w:rPr>
        <w:tab/>
        <w:t xml:space="preserve">Водоизместване съгласно определението в член 1.01, точка 4.7 (Приложение 3, раздел </w:t>
      </w:r>
      <w:r w:rsidRPr="00A013E1">
        <w:rPr>
          <w:rFonts w:ascii="Times New Roman" w:hAnsi="Times New Roman" w:cs="Times New Roman"/>
        </w:rPr>
        <w:t>I</w:t>
      </w:r>
      <w:r w:rsidRPr="00A013E1">
        <w:rPr>
          <w:rFonts w:ascii="Times New Roman" w:hAnsi="Times New Roman" w:cs="Times New Roman"/>
          <w:lang w:val="ru-RU"/>
        </w:rPr>
        <w:t xml:space="preserve">, точка 21 и раздел </w:t>
      </w:r>
      <w:r w:rsidRPr="00A013E1">
        <w:rPr>
          <w:rFonts w:ascii="Times New Roman" w:hAnsi="Times New Roman" w:cs="Times New Roman"/>
        </w:rPr>
        <w:t>VI</w:t>
      </w:r>
      <w:r w:rsidRPr="00A013E1">
        <w:rPr>
          <w:rFonts w:ascii="Times New Roman" w:hAnsi="Times New Roman" w:cs="Times New Roman"/>
          <w:lang w:val="ru-RU"/>
        </w:rPr>
        <w:t>, 13-та колона) за плавателни съдове, различни от товарните</w:t>
      </w:r>
    </w:p>
    <w:p w14:paraId="2598F603"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10.</w:t>
      </w:r>
      <w:r w:rsidRPr="00A013E1">
        <w:rPr>
          <w:rFonts w:ascii="Times New Roman" w:hAnsi="Times New Roman" w:cs="Times New Roman"/>
          <w:lang w:val="ru-RU"/>
        </w:rPr>
        <w:tab/>
        <w:t>Оператор (собственик или негов представител)</w:t>
      </w:r>
    </w:p>
    <w:p w14:paraId="78228C81"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11.</w:t>
      </w:r>
      <w:r w:rsidRPr="00A013E1">
        <w:rPr>
          <w:rFonts w:ascii="Times New Roman" w:hAnsi="Times New Roman" w:cs="Times New Roman"/>
          <w:lang w:val="ru-RU"/>
        </w:rPr>
        <w:tab/>
        <w:t xml:space="preserve">Контролен орган/Издаващ орган (Приложение 3, раздели </w:t>
      </w:r>
      <w:r w:rsidRPr="00A013E1">
        <w:rPr>
          <w:rFonts w:ascii="Times New Roman" w:hAnsi="Times New Roman" w:cs="Times New Roman"/>
        </w:rPr>
        <w:t>I</w:t>
      </w:r>
      <w:r w:rsidRPr="00A013E1">
        <w:rPr>
          <w:rFonts w:ascii="Times New Roman" w:hAnsi="Times New Roman" w:cs="Times New Roman"/>
          <w:lang w:val="ru-RU"/>
        </w:rPr>
        <w:t xml:space="preserve"> и </w:t>
      </w:r>
      <w:r w:rsidRPr="00A013E1">
        <w:rPr>
          <w:rFonts w:ascii="Times New Roman" w:hAnsi="Times New Roman" w:cs="Times New Roman"/>
        </w:rPr>
        <w:t>VI</w:t>
      </w:r>
      <w:r w:rsidRPr="00A013E1">
        <w:rPr>
          <w:rFonts w:ascii="Times New Roman" w:hAnsi="Times New Roman" w:cs="Times New Roman"/>
          <w:lang w:val="ru-RU"/>
        </w:rPr>
        <w:t>)</w:t>
      </w:r>
    </w:p>
    <w:p w14:paraId="607532A3" w14:textId="77777777" w:rsidR="00271FA2" w:rsidRPr="00A013E1" w:rsidRDefault="00D35E51">
      <w:pPr>
        <w:spacing w:line="240" w:lineRule="atLeast"/>
        <w:ind w:left="992" w:hanging="567"/>
        <w:jc w:val="both"/>
        <w:rPr>
          <w:rFonts w:ascii="Times New Roman" w:hAnsi="Times New Roman" w:cs="Times New Roman"/>
          <w:szCs w:val="20"/>
          <w:lang w:val="ru-RU"/>
        </w:rPr>
      </w:pPr>
      <w:r w:rsidRPr="00A013E1">
        <w:rPr>
          <w:rFonts w:ascii="Times New Roman" w:hAnsi="Times New Roman" w:cs="Times New Roman"/>
          <w:lang w:val="ru-RU"/>
        </w:rPr>
        <w:t>12.</w:t>
      </w:r>
      <w:r w:rsidRPr="00A013E1">
        <w:rPr>
          <w:rFonts w:ascii="Times New Roman" w:hAnsi="Times New Roman" w:cs="Times New Roman"/>
          <w:lang w:val="ru-RU"/>
        </w:rPr>
        <w:tab/>
        <w:t xml:space="preserve">Номер на Корабното удостоверение за вътрешно корабоплаване (Приложение 3, раздел </w:t>
      </w:r>
      <w:r w:rsidRPr="00A013E1">
        <w:rPr>
          <w:rFonts w:ascii="Times New Roman" w:hAnsi="Times New Roman" w:cs="Times New Roman"/>
        </w:rPr>
        <w:t>I</w:t>
      </w:r>
      <w:r w:rsidRPr="00A013E1">
        <w:rPr>
          <w:rFonts w:ascii="Times New Roman" w:hAnsi="Times New Roman" w:cs="Times New Roman"/>
          <w:lang w:val="ru-RU"/>
        </w:rPr>
        <w:t xml:space="preserve"> и раздел </w:t>
      </w:r>
      <w:r w:rsidRPr="00A013E1">
        <w:rPr>
          <w:rFonts w:ascii="Times New Roman" w:hAnsi="Times New Roman" w:cs="Times New Roman"/>
        </w:rPr>
        <w:t>VI</w:t>
      </w:r>
      <w:r w:rsidRPr="00A013E1">
        <w:rPr>
          <w:rFonts w:ascii="Times New Roman" w:hAnsi="Times New Roman" w:cs="Times New Roman"/>
          <w:lang w:val="ru-RU"/>
        </w:rPr>
        <w:t>, първа колона)</w:t>
      </w:r>
    </w:p>
    <w:p w14:paraId="0B248823" w14:textId="77777777" w:rsidR="00271FA2" w:rsidRPr="00A013E1" w:rsidRDefault="00D35E51">
      <w:pPr>
        <w:spacing w:line="240" w:lineRule="atLeast"/>
        <w:ind w:left="992" w:hanging="567"/>
        <w:rPr>
          <w:rFonts w:ascii="Times New Roman" w:hAnsi="Times New Roman" w:cs="Times New Roman"/>
          <w:szCs w:val="20"/>
          <w:lang w:val="ru-RU"/>
        </w:rPr>
      </w:pPr>
      <w:r w:rsidRPr="00A013E1">
        <w:rPr>
          <w:rFonts w:ascii="Times New Roman" w:hAnsi="Times New Roman" w:cs="Times New Roman"/>
          <w:lang w:val="ru-RU"/>
        </w:rPr>
        <w:t>13.</w:t>
      </w:r>
      <w:r w:rsidRPr="00A013E1">
        <w:rPr>
          <w:rFonts w:ascii="Times New Roman" w:hAnsi="Times New Roman" w:cs="Times New Roman"/>
          <w:lang w:val="ru-RU"/>
        </w:rPr>
        <w:tab/>
        <w:t xml:space="preserve">Дата на изтичане (Приложение 3, раздел </w:t>
      </w:r>
      <w:r w:rsidRPr="00A013E1">
        <w:rPr>
          <w:rFonts w:ascii="Times New Roman" w:hAnsi="Times New Roman" w:cs="Times New Roman"/>
        </w:rPr>
        <w:t>I</w:t>
      </w:r>
      <w:r w:rsidRPr="00A013E1">
        <w:rPr>
          <w:rFonts w:ascii="Times New Roman" w:hAnsi="Times New Roman" w:cs="Times New Roman"/>
          <w:lang w:val="ru-RU"/>
        </w:rPr>
        <w:t xml:space="preserve">, точка 11 от образеца и раздел </w:t>
      </w:r>
      <w:r w:rsidRPr="00A013E1">
        <w:rPr>
          <w:rFonts w:ascii="Times New Roman" w:hAnsi="Times New Roman" w:cs="Times New Roman"/>
        </w:rPr>
        <w:t>VI</w:t>
      </w:r>
      <w:r w:rsidRPr="00A013E1">
        <w:rPr>
          <w:rFonts w:ascii="Times New Roman" w:hAnsi="Times New Roman" w:cs="Times New Roman"/>
          <w:lang w:val="ru-RU"/>
        </w:rPr>
        <w:t>, 17-та колона)</w:t>
      </w:r>
    </w:p>
    <w:p w14:paraId="13874FEE" w14:textId="77777777" w:rsidR="00271FA2" w:rsidRPr="00A013E1" w:rsidRDefault="00D35E51">
      <w:pPr>
        <w:spacing w:line="240" w:lineRule="atLeast"/>
        <w:ind w:left="992" w:hanging="567"/>
        <w:rPr>
          <w:rFonts w:ascii="Times New Roman" w:hAnsi="Times New Roman" w:cs="Times New Roman"/>
          <w:lang w:val="ru-RU"/>
        </w:rPr>
      </w:pPr>
      <w:r w:rsidRPr="00A013E1">
        <w:rPr>
          <w:rFonts w:ascii="Times New Roman" w:hAnsi="Times New Roman" w:cs="Times New Roman"/>
          <w:lang w:val="ru-RU"/>
        </w:rPr>
        <w:t>14.</w:t>
      </w:r>
      <w:r w:rsidRPr="00A013E1">
        <w:rPr>
          <w:rFonts w:ascii="Times New Roman" w:hAnsi="Times New Roman" w:cs="Times New Roman"/>
          <w:lang w:val="ru-RU"/>
        </w:rPr>
        <w:tab/>
        <w:t>Автор на набора от данни.</w:t>
      </w:r>
    </w:p>
    <w:p w14:paraId="49120D31" w14:textId="77777777" w:rsidR="00271FA2" w:rsidRPr="00A013E1" w:rsidRDefault="00D35E51">
      <w:pPr>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Б.</w:t>
      </w:r>
      <w:r w:rsidRPr="00A013E1">
        <w:rPr>
          <w:rFonts w:ascii="Times New Roman" w:hAnsi="Times New Roman" w:cs="Times New Roman"/>
          <w:color w:val="000000"/>
          <w:lang w:val="ru-RU"/>
        </w:rPr>
        <w:tab/>
        <w:t>Където са налични:</w:t>
      </w:r>
    </w:p>
    <w:p w14:paraId="5490DF53"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t>1.</w:t>
      </w:r>
      <w:r w:rsidRPr="00A013E1">
        <w:rPr>
          <w:rFonts w:ascii="Times New Roman" w:hAnsi="Times New Roman" w:cs="Times New Roman"/>
          <w:lang w:val="ru-RU"/>
        </w:rPr>
        <w:tab/>
        <w:t>Национален номер</w:t>
      </w:r>
    </w:p>
    <w:p w14:paraId="54D45AC7"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t>2.</w:t>
      </w:r>
      <w:r w:rsidRPr="00A013E1">
        <w:rPr>
          <w:rFonts w:ascii="Times New Roman" w:hAnsi="Times New Roman" w:cs="Times New Roman"/>
          <w:lang w:val="ru-RU"/>
        </w:rPr>
        <w:tab/>
        <w:t>Вид на плавателното средство съгласно техническата спецификация за електронната система за докладване при вътрешното корабоплаване</w:t>
      </w:r>
    </w:p>
    <w:p w14:paraId="71AB6626"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t>3.</w:t>
      </w:r>
      <w:r w:rsidRPr="00A013E1">
        <w:rPr>
          <w:rFonts w:ascii="Times New Roman" w:hAnsi="Times New Roman" w:cs="Times New Roman"/>
          <w:lang w:val="ru-RU"/>
        </w:rPr>
        <w:tab/>
        <w:t xml:space="preserve">Единичен или двоен корпус съгласно </w:t>
      </w:r>
      <w:r w:rsidRPr="00A013E1">
        <w:rPr>
          <w:rFonts w:ascii="Times New Roman" w:hAnsi="Times New Roman" w:cs="Times New Roman"/>
        </w:rPr>
        <w:t>ADN</w:t>
      </w:r>
      <w:r w:rsidRPr="00A013E1">
        <w:rPr>
          <w:rFonts w:ascii="Times New Roman" w:hAnsi="Times New Roman" w:cs="Times New Roman"/>
          <w:lang w:val="ru-RU"/>
        </w:rPr>
        <w:t>/</w:t>
      </w:r>
      <w:r w:rsidRPr="00A013E1">
        <w:rPr>
          <w:rFonts w:ascii="Times New Roman" w:hAnsi="Times New Roman" w:cs="Times New Roman"/>
        </w:rPr>
        <w:t>ADNR</w:t>
      </w:r>
      <w:r w:rsidRPr="00A013E1">
        <w:rPr>
          <w:rFonts w:ascii="Times New Roman" w:hAnsi="Times New Roman" w:cs="Times New Roman"/>
          <w:lang w:val="ru-RU"/>
        </w:rPr>
        <w:t xml:space="preserve"> (Европейско споразумение за международен превоз на опасни товари по вътрешни водни пътища/Споразумение за превоз на опасни товари по река Рейн)</w:t>
      </w:r>
    </w:p>
    <w:p w14:paraId="577AA22F"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t>4.</w:t>
      </w:r>
      <w:r w:rsidRPr="00A013E1">
        <w:rPr>
          <w:rFonts w:ascii="Times New Roman" w:hAnsi="Times New Roman" w:cs="Times New Roman"/>
          <w:lang w:val="ru-RU"/>
        </w:rPr>
        <w:tab/>
        <w:t>Височина съгласно определението в член 1.01, точка 4.22</w:t>
      </w:r>
    </w:p>
    <w:p w14:paraId="16ACD1F3"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t>5.</w:t>
      </w:r>
      <w:r w:rsidRPr="00A013E1">
        <w:rPr>
          <w:rFonts w:ascii="Times New Roman" w:hAnsi="Times New Roman" w:cs="Times New Roman"/>
          <w:lang w:val="ru-RU"/>
        </w:rPr>
        <w:tab/>
        <w:t>Брутен тонаж (за морските плавателни съдове)</w:t>
      </w:r>
    </w:p>
    <w:p w14:paraId="7EFF07D4"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t>6.</w:t>
      </w:r>
      <w:r w:rsidRPr="00A013E1">
        <w:rPr>
          <w:rFonts w:ascii="Times New Roman" w:hAnsi="Times New Roman" w:cs="Times New Roman"/>
          <w:lang w:val="ru-RU"/>
        </w:rPr>
        <w:tab/>
        <w:t>Номер, издаден от Международната морска организация (за морските плавателни съдове)</w:t>
      </w:r>
    </w:p>
    <w:p w14:paraId="18DC44D5"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t>7.</w:t>
      </w:r>
      <w:r w:rsidRPr="00A013E1">
        <w:rPr>
          <w:rFonts w:ascii="Times New Roman" w:hAnsi="Times New Roman" w:cs="Times New Roman"/>
          <w:lang w:val="ru-RU"/>
        </w:rPr>
        <w:tab/>
        <w:t>Повиквателен сигнал (за морските плавателни съдове)</w:t>
      </w:r>
    </w:p>
    <w:p w14:paraId="554959BF"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t>8.</w:t>
      </w:r>
      <w:r w:rsidRPr="00A013E1">
        <w:rPr>
          <w:rFonts w:ascii="Times New Roman" w:hAnsi="Times New Roman" w:cs="Times New Roman"/>
          <w:lang w:val="ru-RU"/>
        </w:rPr>
        <w:tab/>
      </w:r>
      <w:r w:rsidRPr="00A013E1">
        <w:rPr>
          <w:rFonts w:ascii="Times New Roman" w:hAnsi="Times New Roman" w:cs="Times New Roman"/>
        </w:rPr>
        <w:t>MMSI</w:t>
      </w:r>
      <w:r w:rsidRPr="00A013E1">
        <w:rPr>
          <w:rFonts w:ascii="Times New Roman" w:hAnsi="Times New Roman" w:cs="Times New Roman"/>
          <w:lang w:val="ru-RU"/>
        </w:rPr>
        <w:t xml:space="preserve"> номер</w:t>
      </w:r>
    </w:p>
    <w:p w14:paraId="7A04E154"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lastRenderedPageBreak/>
        <w:t>9.</w:t>
      </w:r>
      <w:r w:rsidRPr="00A013E1">
        <w:rPr>
          <w:rFonts w:ascii="Times New Roman" w:hAnsi="Times New Roman" w:cs="Times New Roman"/>
          <w:lang w:val="ru-RU"/>
        </w:rPr>
        <w:tab/>
        <w:t xml:space="preserve">Код по </w:t>
      </w:r>
      <w:r w:rsidRPr="00A013E1">
        <w:rPr>
          <w:rFonts w:ascii="Times New Roman" w:hAnsi="Times New Roman" w:cs="Times New Roman"/>
        </w:rPr>
        <w:t>ATIS</w:t>
      </w:r>
      <w:r w:rsidRPr="00A013E1">
        <w:rPr>
          <w:rFonts w:ascii="Times New Roman" w:hAnsi="Times New Roman" w:cs="Times New Roman"/>
          <w:lang w:val="ru-RU"/>
        </w:rPr>
        <w:t xml:space="preserve"> (автоматичната система за идентификация на предаватели)</w:t>
      </w:r>
    </w:p>
    <w:p w14:paraId="284557C4" w14:textId="77777777" w:rsidR="00271FA2" w:rsidRPr="00A013E1" w:rsidRDefault="00D35E51">
      <w:pPr>
        <w:spacing w:line="240" w:lineRule="atLeast"/>
        <w:ind w:left="992" w:hanging="567"/>
        <w:jc w:val="both"/>
        <w:rPr>
          <w:rFonts w:ascii="Times New Roman" w:hAnsi="Times New Roman" w:cs="Times New Roman"/>
          <w:lang w:val="ru-RU"/>
        </w:rPr>
      </w:pPr>
      <w:r w:rsidRPr="00A013E1">
        <w:rPr>
          <w:rFonts w:ascii="Times New Roman" w:hAnsi="Times New Roman" w:cs="Times New Roman"/>
          <w:lang w:val="ru-RU"/>
        </w:rPr>
        <w:t>10.</w:t>
      </w:r>
      <w:r w:rsidRPr="00A013E1">
        <w:rPr>
          <w:rFonts w:ascii="Times New Roman" w:hAnsi="Times New Roman" w:cs="Times New Roman"/>
          <w:lang w:val="ru-RU"/>
        </w:rPr>
        <w:tab/>
        <w:t>Вид, номер, издаващ орган и срок на валидност на други удостоверения.</w:t>
      </w:r>
    </w:p>
    <w:p w14:paraId="34BD9C8F" w14:textId="77777777" w:rsidR="00C87FD5" w:rsidRPr="00A013E1" w:rsidRDefault="00C87FD5">
      <w:pPr>
        <w:spacing w:line="240" w:lineRule="atLeast"/>
        <w:ind w:left="992" w:hanging="567"/>
        <w:jc w:val="both"/>
        <w:rPr>
          <w:rFonts w:ascii="Times New Roman" w:hAnsi="Times New Roman" w:cs="Times New Roman"/>
          <w:szCs w:val="20"/>
          <w:lang w:val="ru-RU"/>
        </w:rPr>
        <w:sectPr w:rsidR="00C87FD5" w:rsidRPr="00A013E1" w:rsidSect="00A013E1">
          <w:headerReference w:type="default" r:id="rId105"/>
          <w:pgSz w:w="12240" w:h="15840"/>
          <w:pgMar w:top="1134" w:right="1134" w:bottom="1134" w:left="1134" w:header="709" w:footer="709" w:gutter="0"/>
          <w:cols w:space="708"/>
          <w:docGrid w:linePitch="299"/>
        </w:sectPr>
      </w:pPr>
    </w:p>
    <w:p w14:paraId="7A4B6A88" w14:textId="77777777" w:rsidR="00271FA2" w:rsidRPr="00A013E1" w:rsidRDefault="00D35E51">
      <w:pPr>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lastRenderedPageBreak/>
        <w:t>ПРИЛОЖЕНИЕ 3</w:t>
      </w:r>
    </w:p>
    <w:p w14:paraId="3A42EA5A" w14:textId="77777777" w:rsidR="00271FA2" w:rsidRPr="00A013E1" w:rsidRDefault="00D35E51">
      <w:pPr>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 xml:space="preserve">ОБРАЗЦИ НА КОРАБНИ УДОСТОВЕРЕНИЯ ЗА ВЪТРЕШНО КОРАБОПЛАВАНЕ И ОБРАЗЕЦ НА РЕГИСТЪРА НА КОРАБНИТЕ УДОСТОВЕРЕНИЯ ЗА ВЪТРЕШНО КОРАБОПЛАВАНЕ </w:t>
      </w:r>
    </w:p>
    <w:p w14:paraId="34255DC8" w14:textId="77777777" w:rsidR="00271FA2" w:rsidRPr="00A013E1" w:rsidRDefault="00D35E51">
      <w:pPr>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 xml:space="preserve">РАЗДЕЛ </w:t>
      </w:r>
      <w:r w:rsidRPr="00A013E1">
        <w:rPr>
          <w:rFonts w:ascii="Times New Roman" w:hAnsi="Times New Roman" w:cs="Times New Roman"/>
          <w:b/>
          <w:bCs/>
        </w:rPr>
        <w:t>I</w:t>
      </w:r>
    </w:p>
    <w:p w14:paraId="188B8864" w14:textId="77777777" w:rsidR="00271FA2" w:rsidRPr="00A013E1" w:rsidRDefault="00D35E51">
      <w:pPr>
        <w:tabs>
          <w:tab w:val="left" w:pos="9072"/>
        </w:tabs>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Образец на Корабно удостоверение за вътрешно корабоплаване</w:t>
      </w:r>
    </w:p>
    <w:p w14:paraId="3BFC29CA" w14:textId="77777777" w:rsidR="00271FA2" w:rsidRPr="00A013E1" w:rsidRDefault="00D35E51">
      <w:pPr>
        <w:tabs>
          <w:tab w:val="left" w:pos="9072"/>
        </w:tabs>
        <w:spacing w:line="240" w:lineRule="atLeast"/>
        <w:jc w:val="center"/>
        <w:rPr>
          <w:rFonts w:ascii="Times New Roman" w:hAnsi="Times New Roman" w:cs="Times New Roman"/>
          <w:sz w:val="36"/>
          <w:szCs w:val="36"/>
          <w:lang w:val="ru-RU"/>
        </w:rPr>
      </w:pPr>
      <w:r w:rsidRPr="00A013E1">
        <w:rPr>
          <w:rFonts w:ascii="Times New Roman" w:hAnsi="Times New Roman" w:cs="Times New Roman"/>
          <w:b/>
          <w:lang w:val="ru-RU"/>
        </w:rPr>
        <w:t>Република България/Герб</w:t>
      </w:r>
    </w:p>
    <w:p w14:paraId="53DBEC78" w14:textId="77777777" w:rsidR="00271FA2" w:rsidRPr="00A013E1" w:rsidRDefault="00D35E51">
      <w:pPr>
        <w:tabs>
          <w:tab w:val="left" w:pos="3094"/>
          <w:tab w:val="left" w:pos="9072"/>
        </w:tabs>
        <w:spacing w:line="240" w:lineRule="atLeast"/>
        <w:jc w:val="center"/>
        <w:rPr>
          <w:rFonts w:ascii="Times New Roman" w:hAnsi="Times New Roman" w:cs="Times New Roman"/>
          <w:b/>
          <w:lang w:val="ru-RU"/>
        </w:rPr>
      </w:pPr>
      <w:r w:rsidRPr="00A013E1">
        <w:rPr>
          <w:rFonts w:ascii="Times New Roman" w:hAnsi="Times New Roman" w:cs="Times New Roman"/>
          <w:b/>
          <w:lang w:val="ru-RU"/>
        </w:rPr>
        <w:t xml:space="preserve">КОРАБНО УДОСТОВЕРЕНИЕ ЗА ВЪТРЕШНО КОРАБОПЛАВАНЕ </w:t>
      </w:r>
    </w:p>
    <w:p w14:paraId="370B9960" w14:textId="77777777" w:rsidR="00271FA2" w:rsidRPr="00A013E1" w:rsidRDefault="00271FA2">
      <w:pPr>
        <w:tabs>
          <w:tab w:val="left" w:pos="3094"/>
        </w:tabs>
        <w:spacing w:line="240" w:lineRule="atLeast"/>
        <w:jc w:val="center"/>
        <w:rPr>
          <w:rFonts w:ascii="Times New Roman" w:hAnsi="Times New Roman" w:cs="Times New Roman"/>
          <w:b/>
          <w:lang w:val="ru-RU"/>
        </w:rPr>
      </w:pPr>
    </w:p>
    <w:p w14:paraId="5307D349" w14:textId="77777777" w:rsidR="00271FA2" w:rsidRPr="00A013E1" w:rsidRDefault="00D35E51">
      <w:pPr>
        <w:tabs>
          <w:tab w:val="left" w:pos="3094"/>
        </w:tabs>
        <w:spacing w:line="240" w:lineRule="atLeast"/>
        <w:jc w:val="center"/>
        <w:rPr>
          <w:rFonts w:ascii="Times New Roman" w:hAnsi="Times New Roman" w:cs="Times New Roman"/>
          <w:b/>
          <w:lang w:val="ru-RU"/>
        </w:rPr>
      </w:pPr>
      <w:r w:rsidRPr="00A013E1">
        <w:rPr>
          <w:rFonts w:ascii="Times New Roman" w:hAnsi="Times New Roman" w:cs="Times New Roman"/>
          <w:b/>
          <w:lang w:val="ru-RU"/>
        </w:rPr>
        <w:t>№………………….</w:t>
      </w:r>
    </w:p>
    <w:p w14:paraId="6E41886F" w14:textId="5601AEC6" w:rsidR="00271FA2" w:rsidRPr="00A013E1" w:rsidRDefault="00271FA2">
      <w:pPr>
        <w:tabs>
          <w:tab w:val="left" w:pos="3094"/>
        </w:tabs>
        <w:spacing w:line="240" w:lineRule="atLeast"/>
        <w:jc w:val="center"/>
        <w:rPr>
          <w:rFonts w:ascii="Times New Roman" w:hAnsi="Times New Roman" w:cs="Times New Roman"/>
          <w:lang w:val="ru-RU"/>
        </w:rPr>
      </w:pPr>
    </w:p>
    <w:p w14:paraId="199AC54A" w14:textId="77777777" w:rsidR="00491BD9" w:rsidRPr="00A013E1" w:rsidRDefault="00491BD9">
      <w:pPr>
        <w:tabs>
          <w:tab w:val="left" w:pos="3094"/>
        </w:tabs>
        <w:spacing w:line="240" w:lineRule="atLeast"/>
        <w:jc w:val="center"/>
        <w:rPr>
          <w:rFonts w:ascii="Times New Roman" w:hAnsi="Times New Roman" w:cs="Times New Roman"/>
          <w:lang w:val="ru-RU"/>
        </w:rPr>
      </w:pPr>
    </w:p>
    <w:p w14:paraId="631C0042"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дата</w:t>
      </w:r>
    </w:p>
    <w:p w14:paraId="4442E095"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47EDD03D"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095A96C5"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7356B88A"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t>Печат</w:t>
      </w:r>
    </w:p>
    <w:p w14:paraId="4FC2A979"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4822681D" w14:textId="77777777" w:rsidR="00491BD9" w:rsidRPr="00A013E1" w:rsidRDefault="00491BD9">
      <w:pPr>
        <w:tabs>
          <w:tab w:val="left" w:pos="3094"/>
        </w:tabs>
        <w:spacing w:line="240" w:lineRule="atLeast"/>
        <w:jc w:val="both"/>
        <w:rPr>
          <w:rFonts w:ascii="Times New Roman" w:hAnsi="Times New Roman" w:cs="Times New Roman"/>
          <w:lang w:val="ru-RU"/>
        </w:rPr>
      </w:pPr>
    </w:p>
    <w:p w14:paraId="6C5903B3" w14:textId="77777777" w:rsidR="00491BD9" w:rsidRPr="00A013E1" w:rsidRDefault="00491BD9">
      <w:pPr>
        <w:tabs>
          <w:tab w:val="left" w:pos="3094"/>
        </w:tabs>
        <w:spacing w:line="240" w:lineRule="atLeast"/>
        <w:jc w:val="both"/>
        <w:rPr>
          <w:rFonts w:ascii="Times New Roman" w:hAnsi="Times New Roman" w:cs="Times New Roman"/>
          <w:lang w:val="ru-RU"/>
        </w:rPr>
      </w:pPr>
    </w:p>
    <w:p w14:paraId="65F47F20" w14:textId="77777777" w:rsidR="00491BD9" w:rsidRPr="00A013E1" w:rsidRDefault="00491BD9">
      <w:pPr>
        <w:tabs>
          <w:tab w:val="left" w:pos="3094"/>
        </w:tabs>
        <w:spacing w:line="240" w:lineRule="atLeast"/>
        <w:jc w:val="both"/>
        <w:rPr>
          <w:rFonts w:ascii="Times New Roman" w:hAnsi="Times New Roman" w:cs="Times New Roman"/>
          <w:lang w:val="ru-RU"/>
        </w:rPr>
      </w:pPr>
    </w:p>
    <w:p w14:paraId="79EC6A9C" w14:textId="0AE3F32B"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(Подпис)</w:t>
      </w:r>
    </w:p>
    <w:p w14:paraId="361F58CC"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Забележки:</w:t>
      </w:r>
    </w:p>
    <w:p w14:paraId="6B9E6A17"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Това плаващо средство може да се използва за плаване по силата на настоящето удостоверение само, когато е в описаното състояние.</w:t>
      </w:r>
    </w:p>
    <w:p w14:paraId="3758E858"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В случай на големи промени или ремонти, плаващото средство трябва да премине специален преглед преди влизане в експлоатация.</w:t>
      </w:r>
    </w:p>
    <w:p w14:paraId="68D658B3" w14:textId="7688AD1E"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Корабопритежателят или негов представител, трябва да информират контролния орган за всяка промяна в името или собствеността на плаващото средство, за всяко повторно измерване, за всяка промяна в регистрацията или пристанището на домуване и трябва да изпратят Корабното удостоверение за вътрешно корабоплаване на контролния орган за отразяване на промените.</w:t>
      </w:r>
    </w:p>
    <w:p w14:paraId="27CAC553" w14:textId="43A1D32A" w:rsidR="00B91523" w:rsidRPr="00A013E1" w:rsidRDefault="00B91523">
      <w:pPr>
        <w:rPr>
          <w:rFonts w:ascii="Times New Roman" w:hAnsi="Times New Roman" w:cs="Times New Roman"/>
          <w:lang w:val="ru-RU"/>
        </w:rPr>
      </w:pPr>
      <w:r w:rsidRPr="00A013E1">
        <w:rPr>
          <w:rFonts w:ascii="Times New Roman" w:hAnsi="Times New Roman" w:cs="Times New Roman"/>
          <w:lang w:val="ru-RU"/>
        </w:rPr>
        <w:br w:type="page"/>
      </w:r>
    </w:p>
    <w:p w14:paraId="322ECBCC" w14:textId="77777777" w:rsidR="00A1220C" w:rsidRPr="00A013E1" w:rsidRDefault="00A1220C">
      <w:pPr>
        <w:pBdr>
          <w:top w:val="single" w:sz="4" w:space="1" w:color="auto"/>
        </w:pBdr>
        <w:tabs>
          <w:tab w:val="left" w:pos="3094"/>
        </w:tabs>
        <w:jc w:val="both"/>
        <w:rPr>
          <w:rFonts w:ascii="Times New Roman" w:hAnsi="Times New Roman" w:cs="Times New Roman"/>
          <w:lang w:val="ru-RU"/>
        </w:rPr>
      </w:pPr>
    </w:p>
    <w:p w14:paraId="0215B7FA" w14:textId="15779639" w:rsidR="00271FA2" w:rsidRPr="00A013E1" w:rsidRDefault="00D35E51">
      <w:pPr>
        <w:pBdr>
          <w:top w:val="single" w:sz="4" w:space="1" w:color="auto"/>
        </w:pBdr>
        <w:tabs>
          <w:tab w:val="left" w:pos="3094"/>
        </w:tabs>
        <w:jc w:val="both"/>
        <w:rPr>
          <w:rFonts w:ascii="Times New Roman" w:hAnsi="Times New Roman" w:cs="Times New Roman"/>
          <w:lang w:val="ru-RU"/>
        </w:rPr>
      </w:pPr>
      <w:r w:rsidRPr="00A013E1">
        <w:rPr>
          <w:rFonts w:ascii="Times New Roman" w:hAnsi="Times New Roman" w:cs="Times New Roman"/>
          <w:lang w:val="ru-RU"/>
        </w:rPr>
        <w:t>Корабно удостоверение № .................. издадено от Дирекция „Речен надзор – ...........................”</w:t>
      </w:r>
    </w:p>
    <w:tbl>
      <w:tblPr>
        <w:tblW w:w="0" w:type="auto"/>
        <w:tblInd w:w="137" w:type="dxa"/>
        <w:tblLook w:val="04A0" w:firstRow="1" w:lastRow="0" w:firstColumn="1" w:lastColumn="0" w:noHBand="0" w:noVBand="1"/>
      </w:tblPr>
      <w:tblGrid>
        <w:gridCol w:w="3260"/>
        <w:gridCol w:w="113"/>
        <w:gridCol w:w="1622"/>
        <w:gridCol w:w="1036"/>
        <w:gridCol w:w="3608"/>
      </w:tblGrid>
      <w:tr w:rsidR="00271FA2" w:rsidRPr="00A013E1" w14:paraId="01BE3956" w14:textId="77777777" w:rsidTr="00B91523">
        <w:trPr>
          <w:trHeight w:val="956"/>
        </w:trPr>
        <w:tc>
          <w:tcPr>
            <w:tcW w:w="3260" w:type="dxa"/>
            <w:tcBorders>
              <w:top w:val="single" w:sz="4" w:space="0" w:color="auto"/>
              <w:left w:val="single" w:sz="4" w:space="0" w:color="auto"/>
              <w:bottom w:val="single" w:sz="4" w:space="0" w:color="auto"/>
              <w:right w:val="single" w:sz="4" w:space="0" w:color="auto"/>
            </w:tcBorders>
          </w:tcPr>
          <w:p w14:paraId="163FA958" w14:textId="77777777" w:rsidR="00271FA2" w:rsidRPr="00A013E1" w:rsidRDefault="00D35E51">
            <w:pPr>
              <w:tabs>
                <w:tab w:val="left" w:pos="3094"/>
              </w:tabs>
              <w:jc w:val="both"/>
              <w:rPr>
                <w:rFonts w:ascii="Times New Roman" w:hAnsi="Times New Roman" w:cs="Times New Roman"/>
              </w:rPr>
            </w:pPr>
            <w:r w:rsidRPr="00A013E1">
              <w:rPr>
                <w:rFonts w:ascii="Times New Roman" w:hAnsi="Times New Roman" w:cs="Times New Roman"/>
              </w:rPr>
              <w:t>1. Име на плаващото средство</w:t>
            </w:r>
          </w:p>
        </w:tc>
        <w:tc>
          <w:tcPr>
            <w:tcW w:w="2771" w:type="dxa"/>
            <w:gridSpan w:val="3"/>
            <w:tcBorders>
              <w:top w:val="single" w:sz="4" w:space="0" w:color="auto"/>
              <w:left w:val="single" w:sz="4" w:space="0" w:color="auto"/>
              <w:bottom w:val="single" w:sz="4" w:space="0" w:color="auto"/>
              <w:right w:val="single" w:sz="4" w:space="0" w:color="auto"/>
            </w:tcBorders>
          </w:tcPr>
          <w:p w14:paraId="23505F4D" w14:textId="77777777" w:rsidR="00271FA2" w:rsidRPr="00A013E1" w:rsidRDefault="00D35E51" w:rsidP="00A1220C">
            <w:pPr>
              <w:tabs>
                <w:tab w:val="left" w:pos="3094"/>
              </w:tabs>
              <w:rPr>
                <w:rFonts w:ascii="Times New Roman" w:hAnsi="Times New Roman" w:cs="Times New Roman"/>
              </w:rPr>
            </w:pPr>
            <w:r w:rsidRPr="00A013E1">
              <w:rPr>
                <w:rFonts w:ascii="Times New Roman" w:hAnsi="Times New Roman" w:cs="Times New Roman"/>
              </w:rPr>
              <w:t>2. Тип на плаващото средство</w:t>
            </w:r>
          </w:p>
        </w:tc>
        <w:tc>
          <w:tcPr>
            <w:tcW w:w="3608" w:type="dxa"/>
            <w:tcBorders>
              <w:top w:val="single" w:sz="4" w:space="0" w:color="auto"/>
              <w:left w:val="single" w:sz="4" w:space="0" w:color="auto"/>
              <w:bottom w:val="single" w:sz="4" w:space="0" w:color="auto"/>
              <w:right w:val="single" w:sz="4" w:space="0" w:color="auto"/>
            </w:tcBorders>
          </w:tcPr>
          <w:p w14:paraId="5D64DEA5" w14:textId="77777777" w:rsidR="00271FA2" w:rsidRPr="00A013E1" w:rsidRDefault="00D35E51" w:rsidP="00A1220C">
            <w:pPr>
              <w:tabs>
                <w:tab w:val="left" w:pos="3094"/>
              </w:tabs>
              <w:rPr>
                <w:rFonts w:ascii="Times New Roman" w:hAnsi="Times New Roman" w:cs="Times New Roman"/>
                <w:lang w:val="ru-RU"/>
              </w:rPr>
            </w:pPr>
            <w:r w:rsidRPr="00A013E1">
              <w:rPr>
                <w:rFonts w:ascii="Times New Roman" w:hAnsi="Times New Roman" w:cs="Times New Roman"/>
                <w:lang w:val="ru-RU"/>
              </w:rPr>
              <w:t>3. Уникален европейски идентификационнен номер на кораба</w:t>
            </w:r>
          </w:p>
        </w:tc>
      </w:tr>
      <w:tr w:rsidR="00271FA2" w:rsidRPr="00A013E1" w14:paraId="136A1791" w14:textId="77777777" w:rsidTr="00B91523">
        <w:tc>
          <w:tcPr>
            <w:tcW w:w="9639" w:type="dxa"/>
            <w:gridSpan w:val="5"/>
            <w:tcBorders>
              <w:top w:val="single" w:sz="4" w:space="0" w:color="auto"/>
              <w:left w:val="single" w:sz="4" w:space="0" w:color="auto"/>
              <w:bottom w:val="single" w:sz="4" w:space="0" w:color="auto"/>
              <w:right w:val="single" w:sz="4" w:space="0" w:color="auto"/>
            </w:tcBorders>
          </w:tcPr>
          <w:p w14:paraId="5D3B9BEB" w14:textId="77777777" w:rsidR="00271FA2" w:rsidRPr="00A013E1" w:rsidRDefault="00D35E51" w:rsidP="00A1220C">
            <w:pPr>
              <w:tabs>
                <w:tab w:val="left" w:pos="3094"/>
              </w:tabs>
              <w:spacing w:line="240" w:lineRule="atLeast"/>
              <w:jc w:val="both"/>
              <w:rPr>
                <w:rFonts w:ascii="Times New Roman" w:hAnsi="Times New Roman" w:cs="Times New Roman"/>
              </w:rPr>
            </w:pPr>
            <w:r w:rsidRPr="00A013E1">
              <w:rPr>
                <w:rFonts w:ascii="Times New Roman" w:hAnsi="Times New Roman" w:cs="Times New Roman"/>
              </w:rPr>
              <w:t>4. Име и адрес на собственика</w:t>
            </w:r>
          </w:p>
          <w:p w14:paraId="79AA401A" w14:textId="040C0C2C" w:rsidR="00A1220C" w:rsidRPr="00A013E1" w:rsidRDefault="00A1220C" w:rsidP="00A1220C">
            <w:pPr>
              <w:tabs>
                <w:tab w:val="left" w:pos="3094"/>
              </w:tabs>
              <w:spacing w:line="240" w:lineRule="atLeast"/>
              <w:jc w:val="both"/>
              <w:rPr>
                <w:rFonts w:ascii="Times New Roman" w:hAnsi="Times New Roman" w:cs="Times New Roman"/>
              </w:rPr>
            </w:pPr>
          </w:p>
        </w:tc>
      </w:tr>
      <w:tr w:rsidR="00271FA2" w:rsidRPr="00A013E1" w14:paraId="46E1BE28" w14:textId="77777777" w:rsidTr="00B91523">
        <w:tc>
          <w:tcPr>
            <w:tcW w:w="4995" w:type="dxa"/>
            <w:gridSpan w:val="3"/>
            <w:tcBorders>
              <w:top w:val="single" w:sz="4" w:space="0" w:color="auto"/>
              <w:left w:val="single" w:sz="4" w:space="0" w:color="auto"/>
              <w:bottom w:val="single" w:sz="4" w:space="0" w:color="auto"/>
              <w:right w:val="single" w:sz="4" w:space="0" w:color="auto"/>
            </w:tcBorders>
          </w:tcPr>
          <w:p w14:paraId="6816D24A" w14:textId="77777777" w:rsidR="00271FA2" w:rsidRPr="00A013E1" w:rsidRDefault="00D35E51" w:rsidP="00A1220C">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5. Място на регистрация и регистрационен номер</w:t>
            </w:r>
          </w:p>
        </w:tc>
        <w:tc>
          <w:tcPr>
            <w:tcW w:w="4644" w:type="dxa"/>
            <w:gridSpan w:val="2"/>
            <w:tcBorders>
              <w:top w:val="single" w:sz="4" w:space="0" w:color="auto"/>
              <w:left w:val="single" w:sz="4" w:space="0" w:color="auto"/>
              <w:bottom w:val="single" w:sz="4" w:space="0" w:color="auto"/>
              <w:right w:val="single" w:sz="4" w:space="0" w:color="auto"/>
            </w:tcBorders>
          </w:tcPr>
          <w:p w14:paraId="4E8E5F10" w14:textId="77777777" w:rsidR="00271FA2" w:rsidRPr="00A013E1" w:rsidRDefault="00D35E51" w:rsidP="00A1220C">
            <w:pPr>
              <w:tabs>
                <w:tab w:val="left" w:pos="3094"/>
              </w:tabs>
              <w:spacing w:line="240" w:lineRule="atLeast"/>
              <w:jc w:val="both"/>
              <w:rPr>
                <w:rFonts w:ascii="Times New Roman" w:hAnsi="Times New Roman" w:cs="Times New Roman"/>
              </w:rPr>
            </w:pPr>
            <w:r w:rsidRPr="00A013E1">
              <w:rPr>
                <w:rFonts w:ascii="Times New Roman" w:hAnsi="Times New Roman" w:cs="Times New Roman"/>
              </w:rPr>
              <w:t>6. Пристанище на домуване</w:t>
            </w:r>
          </w:p>
        </w:tc>
      </w:tr>
      <w:tr w:rsidR="00271FA2" w:rsidRPr="00A013E1" w14:paraId="166AB4B3" w14:textId="77777777" w:rsidTr="00B91523">
        <w:tc>
          <w:tcPr>
            <w:tcW w:w="3373" w:type="dxa"/>
            <w:gridSpan w:val="2"/>
            <w:tcBorders>
              <w:top w:val="single" w:sz="4" w:space="0" w:color="auto"/>
              <w:left w:val="single" w:sz="4" w:space="0" w:color="auto"/>
              <w:bottom w:val="single" w:sz="4" w:space="0" w:color="auto"/>
              <w:right w:val="single" w:sz="4" w:space="0" w:color="auto"/>
            </w:tcBorders>
          </w:tcPr>
          <w:p w14:paraId="0293E3EA" w14:textId="77777777" w:rsidR="00B91523" w:rsidRPr="00A013E1" w:rsidRDefault="00D35E51">
            <w:pPr>
              <w:tabs>
                <w:tab w:val="left" w:pos="3094"/>
              </w:tabs>
              <w:spacing w:line="240" w:lineRule="atLeast"/>
              <w:jc w:val="both"/>
              <w:rPr>
                <w:rFonts w:ascii="Times New Roman" w:hAnsi="Times New Roman" w:cs="Times New Roman"/>
              </w:rPr>
            </w:pPr>
            <w:r w:rsidRPr="00A013E1">
              <w:rPr>
                <w:rFonts w:ascii="Times New Roman" w:hAnsi="Times New Roman" w:cs="Times New Roman"/>
              </w:rPr>
              <w:t>7. Год</w:t>
            </w:r>
          </w:p>
          <w:p w14:paraId="5D48DA19" w14:textId="29036705" w:rsidR="00271FA2" w:rsidRPr="00A013E1" w:rsidRDefault="00D35E51">
            <w:pPr>
              <w:tabs>
                <w:tab w:val="left" w:pos="3094"/>
              </w:tabs>
              <w:spacing w:line="240" w:lineRule="atLeast"/>
              <w:jc w:val="both"/>
              <w:rPr>
                <w:rFonts w:ascii="Times New Roman" w:hAnsi="Times New Roman" w:cs="Times New Roman"/>
              </w:rPr>
            </w:pPr>
            <w:r w:rsidRPr="00A013E1">
              <w:rPr>
                <w:rFonts w:ascii="Times New Roman" w:hAnsi="Times New Roman" w:cs="Times New Roman"/>
              </w:rPr>
              <w:t>ина на построяване</w:t>
            </w:r>
          </w:p>
        </w:tc>
        <w:tc>
          <w:tcPr>
            <w:tcW w:w="6266" w:type="dxa"/>
            <w:gridSpan w:val="3"/>
            <w:tcBorders>
              <w:top w:val="single" w:sz="4" w:space="0" w:color="auto"/>
              <w:left w:val="single" w:sz="4" w:space="0" w:color="auto"/>
              <w:bottom w:val="single" w:sz="4" w:space="0" w:color="auto"/>
              <w:right w:val="single" w:sz="4" w:space="0" w:color="auto"/>
            </w:tcBorders>
          </w:tcPr>
          <w:p w14:paraId="4EE3DB8E"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8. Име и място на корабострителницата</w:t>
            </w:r>
          </w:p>
        </w:tc>
      </w:tr>
      <w:tr w:rsidR="00271FA2" w:rsidRPr="00A013E1" w14:paraId="03DA1F3A" w14:textId="77777777" w:rsidTr="00B91523">
        <w:tc>
          <w:tcPr>
            <w:tcW w:w="9639" w:type="dxa"/>
            <w:gridSpan w:val="5"/>
            <w:tcBorders>
              <w:top w:val="single" w:sz="4" w:space="0" w:color="auto"/>
              <w:left w:val="single" w:sz="4" w:space="0" w:color="auto"/>
              <w:bottom w:val="single" w:sz="4" w:space="0" w:color="auto"/>
              <w:right w:val="single" w:sz="4" w:space="0" w:color="auto"/>
            </w:tcBorders>
          </w:tcPr>
          <w:p w14:paraId="16A2EFE7" w14:textId="2BD644A6" w:rsidR="00271FA2" w:rsidRPr="00A013E1" w:rsidRDefault="00D35E51" w:rsidP="00A1220C">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9. Настоящото удостоверение заменя удостоверение № ……………………………………. издадено на ………..…………………… от ………………………………… контролен орган</w:t>
            </w:r>
          </w:p>
        </w:tc>
      </w:tr>
      <w:tr w:rsidR="00271FA2" w:rsidRPr="00A013E1" w14:paraId="2E0D4AFC" w14:textId="77777777" w:rsidTr="00B91523">
        <w:tc>
          <w:tcPr>
            <w:tcW w:w="9639" w:type="dxa"/>
            <w:gridSpan w:val="5"/>
            <w:tcBorders>
              <w:top w:val="single" w:sz="4" w:space="0" w:color="auto"/>
              <w:left w:val="single" w:sz="4" w:space="0" w:color="auto"/>
              <w:bottom w:val="single" w:sz="4" w:space="0" w:color="auto"/>
              <w:right w:val="single" w:sz="4" w:space="0" w:color="auto"/>
            </w:tcBorders>
          </w:tcPr>
          <w:p w14:paraId="61ECB149" w14:textId="64B082B4" w:rsidR="00271FA2" w:rsidRPr="00A013E1" w:rsidRDefault="00D35E51" w:rsidP="00A1220C">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10. Гореспоменатото плаващо средство, вследствие на прегледа, извършен на *)</w:t>
            </w:r>
            <w:r w:rsidRPr="00A013E1">
              <w:rPr>
                <w:rFonts w:ascii="Times New Roman" w:hAnsi="Times New Roman" w:cs="Times New Roman"/>
                <w:sz w:val="20"/>
                <w:szCs w:val="20"/>
                <w:lang w:val="ru-RU"/>
              </w:rPr>
              <w:t xml:space="preserve"> </w:t>
            </w:r>
            <w:r w:rsidR="00A1220C" w:rsidRPr="00A013E1">
              <w:rPr>
                <w:rFonts w:ascii="Times New Roman" w:hAnsi="Times New Roman" w:cs="Times New Roman"/>
                <w:sz w:val="20"/>
                <w:szCs w:val="20"/>
                <w:lang w:val="ru-RU"/>
              </w:rPr>
              <w:t>………….</w:t>
            </w:r>
          </w:p>
          <w:p w14:paraId="505A26B8" w14:textId="28B81DD6" w:rsidR="00271FA2" w:rsidRPr="00A013E1" w:rsidRDefault="00D35E51" w:rsidP="00A1220C">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xml:space="preserve">и представянето на сертификата, издаден на *) </w:t>
            </w:r>
            <w:r w:rsidRPr="00A013E1">
              <w:rPr>
                <w:rFonts w:ascii="Times New Roman" w:hAnsi="Times New Roman" w:cs="Times New Roman"/>
                <w:sz w:val="20"/>
                <w:szCs w:val="20"/>
                <w:lang w:val="ru-RU"/>
              </w:rPr>
              <w:t>……………………………………………………</w:t>
            </w:r>
            <w:r w:rsidR="00A1220C" w:rsidRPr="00A013E1">
              <w:rPr>
                <w:rFonts w:ascii="Times New Roman" w:hAnsi="Times New Roman" w:cs="Times New Roman"/>
                <w:sz w:val="20"/>
                <w:szCs w:val="20"/>
                <w:lang w:val="ru-RU"/>
              </w:rPr>
              <w:t>….</w:t>
            </w:r>
          </w:p>
          <w:p w14:paraId="2D8C3B95" w14:textId="09528686" w:rsidR="00271FA2" w:rsidRPr="00A013E1" w:rsidRDefault="00D35E51" w:rsidP="00A1220C">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от призната класификационна организация</w:t>
            </w:r>
            <w:r w:rsidRPr="00A013E1">
              <w:rPr>
                <w:rFonts w:ascii="Times New Roman" w:hAnsi="Times New Roman" w:cs="Times New Roman"/>
                <w:sz w:val="20"/>
                <w:szCs w:val="20"/>
                <w:lang w:val="ru-RU"/>
              </w:rPr>
              <w:t>…………………………………………………………</w:t>
            </w:r>
            <w:r w:rsidR="00A1220C" w:rsidRPr="00A013E1">
              <w:rPr>
                <w:rFonts w:ascii="Times New Roman" w:hAnsi="Times New Roman" w:cs="Times New Roman"/>
                <w:sz w:val="20"/>
                <w:szCs w:val="20"/>
                <w:lang w:val="ru-RU"/>
              </w:rPr>
              <w:t>….</w:t>
            </w:r>
          </w:p>
          <w:p w14:paraId="77D69BB1" w14:textId="0DEEEB45" w:rsidR="00271FA2" w:rsidRPr="00A013E1" w:rsidRDefault="00D35E51" w:rsidP="00A1220C">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се признава за годно плаване:</w:t>
            </w:r>
          </w:p>
          <w:p w14:paraId="7F1FC9F6" w14:textId="77777777" w:rsidR="00271FA2" w:rsidRPr="00A013E1" w:rsidRDefault="00D35E51" w:rsidP="00A1220C">
            <w:pPr>
              <w:tabs>
                <w:tab w:val="left" w:pos="0"/>
              </w:tabs>
              <w:spacing w:line="240" w:lineRule="atLeast"/>
              <w:rPr>
                <w:rFonts w:ascii="Times New Roman" w:hAnsi="Times New Roman" w:cs="Times New Roman"/>
              </w:rPr>
            </w:pPr>
            <w:r w:rsidRPr="00A013E1">
              <w:rPr>
                <w:rFonts w:ascii="Times New Roman" w:hAnsi="Times New Roman" w:cs="Times New Roman"/>
              </w:rPr>
              <w:t xml:space="preserve">по Рейн*) </w:t>
            </w:r>
          </w:p>
          <w:p w14:paraId="0193DB88" w14:textId="62932129" w:rsidR="00271FA2" w:rsidRPr="00A013E1" w:rsidRDefault="00D35E51" w:rsidP="00A1220C">
            <w:pPr>
              <w:tabs>
                <w:tab w:val="left" w:pos="3094"/>
              </w:tabs>
              <w:spacing w:line="240" w:lineRule="atLeast"/>
              <w:rPr>
                <w:rFonts w:ascii="Times New Roman" w:hAnsi="Times New Roman" w:cs="Times New Roman"/>
              </w:rPr>
            </w:pPr>
            <w:r w:rsidRPr="00A013E1">
              <w:rPr>
                <w:rFonts w:ascii="Times New Roman" w:hAnsi="Times New Roman" w:cs="Times New Roman"/>
              </w:rPr>
              <w:t>между ………………………………………… и ……………………………………………..*)</w:t>
            </w:r>
          </w:p>
          <w:p w14:paraId="205998F2" w14:textId="416BFFB4" w:rsidR="00271FA2" w:rsidRPr="00A013E1" w:rsidRDefault="00D35E51" w:rsidP="00182087">
            <w:pPr>
              <w:pStyle w:val="ListParagraph"/>
              <w:numPr>
                <w:ilvl w:val="0"/>
                <w:numId w:val="40"/>
              </w:numPr>
              <w:spacing w:line="240" w:lineRule="atLeast"/>
              <w:ind w:left="0" w:firstLine="0"/>
              <w:rPr>
                <w:rFonts w:ascii="Times New Roman" w:hAnsi="Times New Roman" w:cs="Times New Roman"/>
                <w:lang w:val="ru-RU"/>
              </w:rPr>
            </w:pPr>
            <w:r w:rsidRPr="00A013E1">
              <w:rPr>
                <w:rFonts w:ascii="Times New Roman" w:hAnsi="Times New Roman" w:cs="Times New Roman"/>
                <w:lang w:val="ru-RU"/>
              </w:rPr>
              <w:t>по водни пътища на Европейския съюз в Зона (и)*) ………………..........................</w:t>
            </w:r>
          </w:p>
          <w:p w14:paraId="284D39A8" w14:textId="673D861D" w:rsidR="00271FA2" w:rsidRPr="00A013E1" w:rsidRDefault="00D35E51" w:rsidP="00A1220C">
            <w:pPr>
              <w:tabs>
                <w:tab w:val="left" w:pos="3094"/>
              </w:tabs>
              <w:spacing w:line="240" w:lineRule="atLeast"/>
              <w:rPr>
                <w:rFonts w:ascii="Times New Roman" w:hAnsi="Times New Roman" w:cs="Times New Roman"/>
                <w:sz w:val="20"/>
                <w:szCs w:val="20"/>
              </w:rPr>
            </w:pPr>
            <w:r w:rsidRPr="00A013E1">
              <w:rPr>
                <w:rFonts w:ascii="Times New Roman" w:hAnsi="Times New Roman" w:cs="Times New Roman"/>
                <w:sz w:val="20"/>
                <w:szCs w:val="20"/>
              </w:rPr>
              <w:t>………………………………………………………………………………………………………………………</w:t>
            </w:r>
          </w:p>
          <w:p w14:paraId="35A9BAC9" w14:textId="77777777" w:rsidR="00271FA2" w:rsidRPr="00A013E1" w:rsidRDefault="00D35E51" w:rsidP="00182087">
            <w:pPr>
              <w:pStyle w:val="ListParagraph"/>
              <w:numPr>
                <w:ilvl w:val="0"/>
                <w:numId w:val="40"/>
              </w:numPr>
              <w:tabs>
                <w:tab w:val="left" w:pos="0"/>
              </w:tabs>
              <w:ind w:left="0" w:firstLine="0"/>
              <w:rPr>
                <w:rFonts w:ascii="Times New Roman" w:hAnsi="Times New Roman" w:cs="Times New Roman"/>
                <w:sz w:val="20"/>
                <w:szCs w:val="20"/>
                <w:lang w:val="ru-RU"/>
              </w:rPr>
            </w:pPr>
            <w:r w:rsidRPr="00A013E1">
              <w:rPr>
                <w:rFonts w:ascii="Times New Roman" w:hAnsi="Times New Roman" w:cs="Times New Roman"/>
                <w:lang w:val="ru-RU"/>
              </w:rPr>
              <w:t xml:space="preserve">по водните пътища Зона (и)*) </w:t>
            </w:r>
            <w:r w:rsidRPr="00A013E1">
              <w:rPr>
                <w:rFonts w:ascii="Times New Roman" w:hAnsi="Times New Roman" w:cs="Times New Roman"/>
                <w:sz w:val="20"/>
                <w:szCs w:val="20"/>
                <w:lang w:val="ru-RU"/>
              </w:rPr>
              <w:t>…………………..................................................................</w:t>
            </w:r>
          </w:p>
          <w:p w14:paraId="0F30B284" w14:textId="0E25EC19" w:rsidR="00271FA2" w:rsidRPr="00A013E1" w:rsidRDefault="00D35E51" w:rsidP="00A1220C">
            <w:pPr>
              <w:tabs>
                <w:tab w:val="left" w:pos="3094"/>
              </w:tabs>
              <w:rPr>
                <w:rFonts w:ascii="Times New Roman" w:hAnsi="Times New Roman" w:cs="Times New Roman"/>
                <w:sz w:val="20"/>
                <w:szCs w:val="20"/>
                <w:lang w:val="ru-RU"/>
              </w:rPr>
            </w:pPr>
            <w:r w:rsidRPr="00A013E1">
              <w:rPr>
                <w:rFonts w:ascii="Times New Roman" w:hAnsi="Times New Roman" w:cs="Times New Roman"/>
                <w:lang w:val="ru-RU"/>
              </w:rPr>
              <w:t>в ………………………………</w:t>
            </w:r>
            <w:r w:rsidR="00182087" w:rsidRPr="00A013E1">
              <w:rPr>
                <w:rFonts w:ascii="Times New Roman" w:hAnsi="Times New Roman" w:cs="Times New Roman"/>
                <w:lang w:val="ru-RU"/>
              </w:rPr>
              <w:t>……………………………………….</w:t>
            </w:r>
            <w:r w:rsidRPr="00A013E1">
              <w:rPr>
                <w:rFonts w:ascii="Times New Roman" w:hAnsi="Times New Roman" w:cs="Times New Roman"/>
                <w:lang w:val="ru-RU"/>
              </w:rPr>
              <w:t xml:space="preserve"> [име на държавата*)]</w:t>
            </w:r>
          </w:p>
          <w:p w14:paraId="769E00F5" w14:textId="02F248F3" w:rsidR="00271FA2" w:rsidRPr="00A013E1" w:rsidRDefault="00D35E51" w:rsidP="00182087">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с изключение на ……………………………………………………………………………….</w:t>
            </w:r>
          </w:p>
          <w:p w14:paraId="24E9432D" w14:textId="2B226C46" w:rsidR="00271FA2" w:rsidRPr="00A013E1" w:rsidRDefault="00D35E51" w:rsidP="00182087">
            <w:pPr>
              <w:tabs>
                <w:tab w:val="left" w:pos="3094"/>
              </w:tabs>
              <w:spacing w:line="240" w:lineRule="atLeast"/>
              <w:rPr>
                <w:rFonts w:ascii="Times New Roman" w:hAnsi="Times New Roman" w:cs="Times New Roman"/>
                <w:sz w:val="20"/>
                <w:szCs w:val="20"/>
              </w:rPr>
            </w:pPr>
            <w:r w:rsidRPr="00A013E1">
              <w:rPr>
                <w:rFonts w:ascii="Times New Roman" w:hAnsi="Times New Roman" w:cs="Times New Roman"/>
                <w:sz w:val="20"/>
                <w:szCs w:val="20"/>
              </w:rPr>
              <w:t>…………………………………………………………………………………………………………..</w:t>
            </w:r>
          </w:p>
          <w:p w14:paraId="23C2DABC" w14:textId="62A09657" w:rsidR="00271FA2" w:rsidRPr="00A013E1" w:rsidRDefault="00D35E51" w:rsidP="00A1220C">
            <w:pPr>
              <w:pStyle w:val="ListParagraph"/>
              <w:numPr>
                <w:ilvl w:val="0"/>
                <w:numId w:val="40"/>
              </w:numPr>
              <w:tabs>
                <w:tab w:val="left" w:pos="0"/>
              </w:tabs>
              <w:spacing w:line="240" w:lineRule="atLeast"/>
              <w:ind w:left="0" w:firstLine="0"/>
              <w:rPr>
                <w:rFonts w:ascii="Times New Roman" w:hAnsi="Times New Roman" w:cs="Times New Roman"/>
                <w:lang w:val="ru-RU"/>
              </w:rPr>
            </w:pPr>
            <w:r w:rsidRPr="00A013E1">
              <w:rPr>
                <w:rFonts w:ascii="Times New Roman" w:hAnsi="Times New Roman" w:cs="Times New Roman"/>
                <w:lang w:val="ru-RU"/>
              </w:rPr>
              <w:t xml:space="preserve">по следните водни пътища в </w:t>
            </w:r>
            <w:r w:rsidR="00182087" w:rsidRPr="00A013E1">
              <w:rPr>
                <w:rFonts w:ascii="Times New Roman" w:hAnsi="Times New Roman" w:cs="Times New Roman"/>
                <w:lang w:val="ru-RU"/>
              </w:rPr>
              <w:t>………………………………..</w:t>
            </w:r>
            <w:r w:rsidRPr="00A013E1">
              <w:rPr>
                <w:rFonts w:ascii="Times New Roman" w:hAnsi="Times New Roman" w:cs="Times New Roman"/>
                <w:lang w:val="ru-RU"/>
              </w:rPr>
              <w:t xml:space="preserve">[име на държавата(*)] </w:t>
            </w:r>
          </w:p>
          <w:p w14:paraId="054E196B" w14:textId="77777777" w:rsidR="00271FA2" w:rsidRPr="00A013E1" w:rsidRDefault="00D35E51" w:rsidP="00182087">
            <w:pPr>
              <w:tabs>
                <w:tab w:val="left" w:pos="3094"/>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2D303927" w14:textId="77777777" w:rsidR="00271FA2" w:rsidRPr="00A013E1" w:rsidRDefault="00D35E51" w:rsidP="00A1220C">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при максимално разрешено газене и с оборудване и екипаж, както е определено по-долу</w:t>
            </w:r>
          </w:p>
        </w:tc>
      </w:tr>
      <w:tr w:rsidR="00271FA2" w:rsidRPr="00A013E1" w14:paraId="2D063456" w14:textId="77777777" w:rsidTr="00B91523">
        <w:tc>
          <w:tcPr>
            <w:tcW w:w="9639" w:type="dxa"/>
            <w:gridSpan w:val="5"/>
            <w:tcBorders>
              <w:top w:val="single" w:sz="4" w:space="0" w:color="auto"/>
              <w:left w:val="single" w:sz="4" w:space="0" w:color="auto"/>
              <w:bottom w:val="single" w:sz="4" w:space="0" w:color="auto"/>
              <w:right w:val="single" w:sz="4" w:space="0" w:color="auto"/>
            </w:tcBorders>
          </w:tcPr>
          <w:p w14:paraId="4F0279C4"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11. Валидността на настоящето Корабно свидетелство изтича на </w:t>
            </w:r>
            <w:r w:rsidRPr="00A013E1">
              <w:rPr>
                <w:rFonts w:ascii="Times New Roman" w:hAnsi="Times New Roman" w:cs="Times New Roman"/>
                <w:sz w:val="20"/>
                <w:szCs w:val="20"/>
                <w:lang w:val="ru-RU"/>
              </w:rPr>
              <w:t>………………………………</w:t>
            </w:r>
          </w:p>
        </w:tc>
      </w:tr>
      <w:tr w:rsidR="00271FA2" w:rsidRPr="00A013E1" w14:paraId="78E4221B" w14:textId="77777777" w:rsidTr="00B91523">
        <w:tc>
          <w:tcPr>
            <w:tcW w:w="9639" w:type="dxa"/>
            <w:gridSpan w:val="5"/>
            <w:tcBorders>
              <w:top w:val="single" w:sz="4" w:space="0" w:color="auto"/>
              <w:left w:val="single" w:sz="4" w:space="0" w:color="auto"/>
              <w:bottom w:val="single" w:sz="4" w:space="0" w:color="auto"/>
              <w:right w:val="single" w:sz="4" w:space="0" w:color="auto"/>
            </w:tcBorders>
          </w:tcPr>
          <w:p w14:paraId="6212A2CE" w14:textId="632B8687" w:rsidR="00271FA2" w:rsidRPr="00A013E1" w:rsidRDefault="00D35E51" w:rsidP="00182087">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lang w:val="ru-RU"/>
              </w:rPr>
              <w:t xml:space="preserve">*) Изменена е позиция(и): </w:t>
            </w:r>
            <w:r w:rsidRPr="00A013E1">
              <w:rPr>
                <w:rFonts w:ascii="Times New Roman" w:hAnsi="Times New Roman" w:cs="Times New Roman"/>
                <w:sz w:val="20"/>
                <w:szCs w:val="20"/>
                <w:lang w:val="ru-RU"/>
              </w:rPr>
              <w:t>…………………………………………………………………………</w:t>
            </w:r>
          </w:p>
          <w:p w14:paraId="17D4CBCD" w14:textId="0A94462F" w:rsidR="00182087" w:rsidRPr="00A013E1" w:rsidRDefault="00182087" w:rsidP="00182087">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7FFC9153" w14:textId="77777777" w:rsidR="00271FA2" w:rsidRPr="00A013E1" w:rsidRDefault="00D35E51" w:rsidP="00182087">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Нов текст: </w:t>
            </w:r>
            <w:r w:rsidRPr="00A013E1">
              <w:rPr>
                <w:rFonts w:ascii="Times New Roman" w:hAnsi="Times New Roman" w:cs="Times New Roman"/>
                <w:sz w:val="20"/>
                <w:szCs w:val="20"/>
                <w:lang w:val="ru-RU"/>
              </w:rPr>
              <w:t>……………………………………………………………………..……………………….</w:t>
            </w:r>
          </w:p>
          <w:p w14:paraId="17600ADA" w14:textId="77777777" w:rsidR="00271FA2" w:rsidRPr="00A013E1" w:rsidRDefault="00D35E51" w:rsidP="00182087">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5A8CFDAC" w14:textId="77777777" w:rsidR="00271FA2" w:rsidRPr="00A013E1" w:rsidRDefault="00D35E51" w:rsidP="00182087">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lastRenderedPageBreak/>
              <w:t>………………………………………………………………………..…………………………………</w:t>
            </w:r>
          </w:p>
          <w:p w14:paraId="6DEC9D54"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Тази страница е била заменена.</w:t>
            </w:r>
          </w:p>
          <w:p w14:paraId="295C844C"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5D4C16EC"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4B18483B"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7D97D9DE" w14:textId="77777777" w:rsidR="00271FA2" w:rsidRPr="00A013E1" w:rsidRDefault="00D35E51">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r w:rsidRPr="00A013E1">
              <w:rPr>
                <w:rFonts w:ascii="Times New Roman" w:hAnsi="Times New Roman" w:cs="Times New Roman"/>
                <w:noProof/>
                <w:lang w:eastAsia="bg-BG"/>
              </w:rPr>
              <mc:AlternateContent>
                <mc:Choice Requires="wps">
                  <w:drawing>
                    <wp:anchor distT="0" distB="0" distL="114300" distR="114300" simplePos="0" relativeHeight="251691008" behindDoc="0" locked="0" layoutInCell="1" allowOverlap="1" wp14:anchorId="5385751F" wp14:editId="41EB1741">
                      <wp:simplePos x="0" y="0"/>
                      <wp:positionH relativeFrom="column">
                        <wp:posOffset>19685</wp:posOffset>
                      </wp:positionH>
                      <wp:positionV relativeFrom="paragraph">
                        <wp:posOffset>132080</wp:posOffset>
                      </wp:positionV>
                      <wp:extent cx="1634490" cy="0"/>
                      <wp:effectExtent l="0" t="0" r="3810" b="0"/>
                      <wp:wrapNone/>
                      <wp:docPr id="198" name="Straight Connector 198"/>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1.55pt;margin-top:10.4pt;height:0pt;width:128.7pt;z-index:251691008;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Bo3upp9AEAAPsDAAAOAAAAAAAAAAEAIAAAACMBAABkcnMvZTJvRG9jLnhtbFBLBQYA&#10;AAAABgAGAFkBAACJBQAAAAA=&#10;">
                      <v:fill on="f" focussize="0,0"/>
                      <v:stroke color="#000000" joinstyle="round"/>
                      <v:imagedata o:title=""/>
                      <o:lock v:ext="edit" aspectratio="f"/>
                    </v:line>
                  </w:pict>
                </mc:Fallback>
              </mc:AlternateContent>
            </w:r>
          </w:p>
          <w:p w14:paraId="458E2311" w14:textId="77777777" w:rsidR="00271FA2" w:rsidRPr="00A013E1" w:rsidRDefault="00D35E51">
            <w:pPr>
              <w:tabs>
                <w:tab w:val="left" w:pos="3094"/>
              </w:tabs>
              <w:spacing w:line="240" w:lineRule="atLeast"/>
              <w:jc w:val="both"/>
              <w:rPr>
                <w:rFonts w:ascii="Times New Roman" w:hAnsi="Times New Roman" w:cs="Times New Roman"/>
                <w:sz w:val="18"/>
                <w:szCs w:val="18"/>
              </w:rPr>
            </w:pPr>
            <w:r w:rsidRPr="00A013E1">
              <w:rPr>
                <w:rFonts w:ascii="Times New Roman" w:hAnsi="Times New Roman" w:cs="Times New Roman"/>
              </w:rPr>
              <w:t>*) Неприложимото се зачерква</w:t>
            </w:r>
          </w:p>
        </w:tc>
      </w:tr>
    </w:tbl>
    <w:p w14:paraId="62FD6B54" w14:textId="622650E6" w:rsidR="000D23CA" w:rsidRPr="00A013E1" w:rsidRDefault="000D23CA">
      <w:pPr>
        <w:spacing w:line="240" w:lineRule="atLeast"/>
        <w:jc w:val="center"/>
        <w:rPr>
          <w:rFonts w:ascii="Times New Roman" w:hAnsi="Times New Roman" w:cs="Times New Roman"/>
        </w:rPr>
      </w:pPr>
    </w:p>
    <w:p w14:paraId="2721D99D" w14:textId="77777777" w:rsidR="00B91523" w:rsidRPr="00A013E1" w:rsidRDefault="00B91523">
      <w:pPr>
        <w:rPr>
          <w:rFonts w:ascii="Times New Roman" w:hAnsi="Times New Roman" w:cs="Times New Roman"/>
          <w:lang w:val="ru-RU"/>
        </w:rPr>
      </w:pPr>
      <w:r w:rsidRPr="00A013E1">
        <w:rPr>
          <w:rFonts w:ascii="Times New Roman" w:hAnsi="Times New Roman" w:cs="Times New Roman"/>
          <w:lang w:val="ru-RU"/>
        </w:rPr>
        <w:br w:type="page"/>
      </w:r>
    </w:p>
    <w:p w14:paraId="68E97C1B" w14:textId="3A9F9E02" w:rsidR="00271FA2" w:rsidRPr="00A013E1" w:rsidRDefault="00D35E51" w:rsidP="00B91523">
      <w:pPr>
        <w:spacing w:line="240" w:lineRule="atLeast"/>
        <w:ind w:left="142"/>
        <w:rPr>
          <w:rFonts w:ascii="Times New Roman" w:hAnsi="Times New Roman" w:cs="Times New Roman"/>
          <w:lang w:val="ru-RU"/>
        </w:rPr>
      </w:pPr>
      <w:r w:rsidRPr="00A013E1">
        <w:rPr>
          <w:rFonts w:ascii="Times New Roman" w:hAnsi="Times New Roman" w:cs="Times New Roman"/>
          <w:lang w:val="ru-RU"/>
        </w:rPr>
        <w:lastRenderedPageBreak/>
        <w:t>Корабно удостоверение № .................. издадено от Дирекция „Речен надзор –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5"/>
      </w:tblGrid>
      <w:tr w:rsidR="00271FA2" w:rsidRPr="00A013E1" w14:paraId="50913F51" w14:textId="77777777">
        <w:tc>
          <w:tcPr>
            <w:tcW w:w="9185" w:type="dxa"/>
            <w:tcBorders>
              <w:top w:val="single" w:sz="4" w:space="0" w:color="auto"/>
              <w:left w:val="single" w:sz="4" w:space="0" w:color="auto"/>
              <w:bottom w:val="single" w:sz="4" w:space="0" w:color="auto"/>
              <w:right w:val="single" w:sz="4" w:space="0" w:color="auto"/>
            </w:tcBorders>
          </w:tcPr>
          <w:p w14:paraId="2F0B69BB"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12. Номерът на свидетелството (1), уникалният европейски идентификационен номер на кораба (2), номерът на регистрация (3) и номерът на измерването са поставени със съответните знаци на следните места на плаващото средство:</w:t>
            </w:r>
          </w:p>
          <w:p w14:paraId="63E3FA35" w14:textId="7A554050"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1 …………………………………………………………………………………………………</w:t>
            </w:r>
          </w:p>
          <w:p w14:paraId="3C02A3D6" w14:textId="33913EEA"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2 …………………………………………………………………………………………………</w:t>
            </w:r>
          </w:p>
          <w:p w14:paraId="4C5427C0" w14:textId="6627689A"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3 …………………………………………………………………………………………………</w:t>
            </w:r>
          </w:p>
          <w:p w14:paraId="5385D6E0" w14:textId="10E4D4BC"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4 …………………………………………………………………………………………………</w:t>
            </w:r>
          </w:p>
        </w:tc>
      </w:tr>
      <w:tr w:rsidR="00271FA2" w:rsidRPr="00A013E1" w14:paraId="0DF92C2F" w14:textId="77777777">
        <w:tc>
          <w:tcPr>
            <w:tcW w:w="9185" w:type="dxa"/>
            <w:tcBorders>
              <w:top w:val="single" w:sz="4" w:space="0" w:color="auto"/>
              <w:left w:val="single" w:sz="4" w:space="0" w:color="auto"/>
              <w:bottom w:val="single" w:sz="4" w:space="0" w:color="auto"/>
              <w:right w:val="single" w:sz="4" w:space="0" w:color="auto"/>
            </w:tcBorders>
          </w:tcPr>
          <w:p w14:paraId="6F36EE80" w14:textId="77777777"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13. Максимално разрешеното газене е обозначено на всеки борд на плаващото средство</w:t>
            </w:r>
          </w:p>
          <w:p w14:paraId="296889CE" w14:textId="77777777"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с две -…………………………………….. - марки за газене*).</w:t>
            </w:r>
          </w:p>
          <w:p w14:paraId="2A7B6D7E" w14:textId="77777777"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с горните мерителни планки*).</w:t>
            </w:r>
          </w:p>
          <w:p w14:paraId="5C244374" w14:textId="77777777"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Нанесени са две скали за газене*).</w:t>
            </w:r>
          </w:p>
          <w:p w14:paraId="763C9A52" w14:textId="77777777"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Задните скали за измерване служат като скали за газене: за тази цел те са допълнени с цифри, посочващи газенията*).</w:t>
            </w:r>
          </w:p>
        </w:tc>
      </w:tr>
      <w:tr w:rsidR="00271FA2" w:rsidRPr="00A013E1" w14:paraId="24A57A33" w14:textId="77777777">
        <w:tc>
          <w:tcPr>
            <w:tcW w:w="9185" w:type="dxa"/>
            <w:tcBorders>
              <w:top w:val="single" w:sz="4" w:space="0" w:color="auto"/>
              <w:left w:val="single" w:sz="4" w:space="0" w:color="auto"/>
              <w:bottom w:val="single" w:sz="4" w:space="0" w:color="auto"/>
              <w:right w:val="single" w:sz="4" w:space="0" w:color="auto"/>
            </w:tcBorders>
          </w:tcPr>
          <w:p w14:paraId="2B20CC3C" w14:textId="77777777"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14. Без да се накърняват ограниченията*), указани в точки 15 и 52, плаващото средство е годно да</w:t>
            </w: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3660"/>
              <w:gridCol w:w="491"/>
              <w:gridCol w:w="4572"/>
            </w:tblGrid>
            <w:tr w:rsidR="00271FA2" w:rsidRPr="00A013E1" w14:paraId="2AC3E376" w14:textId="77777777" w:rsidTr="009C2B92">
              <w:tc>
                <w:tcPr>
                  <w:tcW w:w="516" w:type="dxa"/>
                  <w:tcBorders>
                    <w:top w:val="single" w:sz="4" w:space="0" w:color="auto"/>
                    <w:left w:val="single" w:sz="4" w:space="0" w:color="auto"/>
                    <w:bottom w:val="single" w:sz="4" w:space="0" w:color="auto"/>
                    <w:right w:val="single" w:sz="4" w:space="0" w:color="auto"/>
                  </w:tcBorders>
                </w:tcPr>
                <w:p w14:paraId="2447E660"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1.</w:t>
                  </w:r>
                </w:p>
              </w:tc>
              <w:tc>
                <w:tcPr>
                  <w:tcW w:w="3760" w:type="dxa"/>
                  <w:tcBorders>
                    <w:top w:val="single" w:sz="4" w:space="0" w:color="auto"/>
                    <w:left w:val="single" w:sz="4" w:space="0" w:color="auto"/>
                    <w:bottom w:val="single" w:sz="4" w:space="0" w:color="auto"/>
                    <w:right w:val="single" w:sz="4" w:space="0" w:color="auto"/>
                  </w:tcBorders>
                </w:tcPr>
                <w:p w14:paraId="755DBCC6"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 xml:space="preserve">тласка (*) </w:t>
                  </w:r>
                </w:p>
              </w:tc>
              <w:tc>
                <w:tcPr>
                  <w:tcW w:w="252" w:type="dxa"/>
                  <w:tcBorders>
                    <w:top w:val="single" w:sz="4" w:space="0" w:color="auto"/>
                    <w:left w:val="single" w:sz="4" w:space="0" w:color="auto"/>
                    <w:bottom w:val="single" w:sz="4" w:space="0" w:color="auto"/>
                    <w:right w:val="single" w:sz="4" w:space="0" w:color="auto"/>
                  </w:tcBorders>
                </w:tcPr>
                <w:p w14:paraId="281FF835"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4.</w:t>
                  </w:r>
                </w:p>
              </w:tc>
              <w:tc>
                <w:tcPr>
                  <w:tcW w:w="4710" w:type="dxa"/>
                  <w:tcBorders>
                    <w:top w:val="single" w:sz="4" w:space="0" w:color="auto"/>
                    <w:left w:val="single" w:sz="4" w:space="0" w:color="auto"/>
                    <w:bottom w:val="single" w:sz="4" w:space="0" w:color="auto"/>
                    <w:right w:val="single" w:sz="4" w:space="0" w:color="auto"/>
                  </w:tcBorders>
                </w:tcPr>
                <w:p w14:paraId="6D81E1E4" w14:textId="77777777" w:rsidR="00271FA2" w:rsidRPr="00A013E1" w:rsidRDefault="00D35E51" w:rsidP="009C2B92">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xml:space="preserve">бъде задвижвано в бордово свързана група*) </w:t>
                  </w:r>
                </w:p>
              </w:tc>
            </w:tr>
            <w:tr w:rsidR="00271FA2" w:rsidRPr="00A013E1" w14:paraId="5D7361DB" w14:textId="77777777" w:rsidTr="009C2B92">
              <w:tc>
                <w:tcPr>
                  <w:tcW w:w="516" w:type="dxa"/>
                  <w:tcBorders>
                    <w:top w:val="single" w:sz="4" w:space="0" w:color="auto"/>
                    <w:left w:val="single" w:sz="4" w:space="0" w:color="auto"/>
                    <w:bottom w:val="single" w:sz="4" w:space="0" w:color="auto"/>
                    <w:right w:val="single" w:sz="4" w:space="0" w:color="auto"/>
                  </w:tcBorders>
                </w:tcPr>
                <w:p w14:paraId="37F9F49E"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1.1</w:t>
                  </w:r>
                </w:p>
              </w:tc>
              <w:tc>
                <w:tcPr>
                  <w:tcW w:w="3760" w:type="dxa"/>
                  <w:tcBorders>
                    <w:top w:val="single" w:sz="4" w:space="0" w:color="auto"/>
                    <w:left w:val="single" w:sz="4" w:space="0" w:color="auto"/>
                    <w:bottom w:val="single" w:sz="4" w:space="0" w:color="auto"/>
                    <w:right w:val="single" w:sz="4" w:space="0" w:color="auto"/>
                  </w:tcBorders>
                </w:tcPr>
                <w:p w14:paraId="0B2A2792"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в твърдо свързан състав*)</w:t>
                  </w:r>
                </w:p>
              </w:tc>
              <w:tc>
                <w:tcPr>
                  <w:tcW w:w="252" w:type="dxa"/>
                  <w:tcBorders>
                    <w:top w:val="single" w:sz="4" w:space="0" w:color="auto"/>
                    <w:left w:val="single" w:sz="4" w:space="0" w:color="auto"/>
                    <w:bottom w:val="single" w:sz="4" w:space="0" w:color="auto"/>
                    <w:right w:val="single" w:sz="4" w:space="0" w:color="auto"/>
                  </w:tcBorders>
                </w:tcPr>
                <w:p w14:paraId="6B3CBB2B"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5.</w:t>
                  </w:r>
                </w:p>
              </w:tc>
              <w:tc>
                <w:tcPr>
                  <w:tcW w:w="4710" w:type="dxa"/>
                  <w:tcBorders>
                    <w:top w:val="single" w:sz="4" w:space="0" w:color="auto"/>
                    <w:left w:val="single" w:sz="4" w:space="0" w:color="auto"/>
                    <w:bottom w:val="single" w:sz="4" w:space="0" w:color="auto"/>
                    <w:right w:val="single" w:sz="4" w:space="0" w:color="auto"/>
                  </w:tcBorders>
                </w:tcPr>
                <w:p w14:paraId="13E54421" w14:textId="77777777" w:rsidR="00271FA2" w:rsidRPr="00A013E1" w:rsidRDefault="00D35E51" w:rsidP="009C2B92">
                  <w:pPr>
                    <w:tabs>
                      <w:tab w:val="left" w:pos="3094"/>
                    </w:tabs>
                    <w:spacing w:line="240" w:lineRule="atLeast"/>
                    <w:rPr>
                      <w:rFonts w:ascii="Times New Roman" w:hAnsi="Times New Roman" w:cs="Times New Roman"/>
                    </w:rPr>
                  </w:pPr>
                  <w:r w:rsidRPr="00A013E1">
                    <w:rPr>
                      <w:rFonts w:ascii="Times New Roman" w:hAnsi="Times New Roman" w:cs="Times New Roman"/>
                    </w:rPr>
                    <w:t xml:space="preserve">влачи*) </w:t>
                  </w:r>
                </w:p>
              </w:tc>
            </w:tr>
            <w:tr w:rsidR="00271FA2" w:rsidRPr="00A013E1" w14:paraId="497871B2" w14:textId="77777777" w:rsidTr="009C2B92">
              <w:tc>
                <w:tcPr>
                  <w:tcW w:w="516" w:type="dxa"/>
                  <w:tcBorders>
                    <w:top w:val="single" w:sz="4" w:space="0" w:color="auto"/>
                    <w:left w:val="single" w:sz="4" w:space="0" w:color="auto"/>
                    <w:bottom w:val="single" w:sz="4" w:space="0" w:color="auto"/>
                    <w:right w:val="single" w:sz="4" w:space="0" w:color="auto"/>
                  </w:tcBorders>
                </w:tcPr>
                <w:p w14:paraId="2E7DED6B"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1.2</w:t>
                  </w:r>
                </w:p>
              </w:tc>
              <w:tc>
                <w:tcPr>
                  <w:tcW w:w="3760" w:type="dxa"/>
                  <w:tcBorders>
                    <w:top w:val="single" w:sz="4" w:space="0" w:color="auto"/>
                    <w:left w:val="single" w:sz="4" w:space="0" w:color="auto"/>
                    <w:bottom w:val="single" w:sz="4" w:space="0" w:color="auto"/>
                    <w:right w:val="single" w:sz="4" w:space="0" w:color="auto"/>
                  </w:tcBorders>
                </w:tcPr>
                <w:p w14:paraId="3009FA10" w14:textId="77777777"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чрез твърда връзка с управлявано изменение на ъгъла*) </w:t>
                  </w:r>
                </w:p>
              </w:tc>
              <w:tc>
                <w:tcPr>
                  <w:tcW w:w="252" w:type="dxa"/>
                  <w:tcBorders>
                    <w:top w:val="single" w:sz="4" w:space="0" w:color="auto"/>
                    <w:left w:val="single" w:sz="4" w:space="0" w:color="auto"/>
                    <w:bottom w:val="single" w:sz="4" w:space="0" w:color="auto"/>
                    <w:right w:val="single" w:sz="4" w:space="0" w:color="auto"/>
                  </w:tcBorders>
                </w:tcPr>
                <w:p w14:paraId="09CB09A3"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5.1</w:t>
                  </w:r>
                </w:p>
              </w:tc>
              <w:tc>
                <w:tcPr>
                  <w:tcW w:w="4710" w:type="dxa"/>
                  <w:tcBorders>
                    <w:top w:val="single" w:sz="4" w:space="0" w:color="auto"/>
                    <w:left w:val="single" w:sz="4" w:space="0" w:color="auto"/>
                    <w:bottom w:val="single" w:sz="4" w:space="0" w:color="auto"/>
                    <w:right w:val="single" w:sz="4" w:space="0" w:color="auto"/>
                  </w:tcBorders>
                </w:tcPr>
                <w:p w14:paraId="4D3D732D" w14:textId="77777777" w:rsidR="00271FA2" w:rsidRPr="00A013E1" w:rsidRDefault="00D35E51" w:rsidP="009C2B92">
                  <w:pPr>
                    <w:tabs>
                      <w:tab w:val="left" w:pos="3094"/>
                    </w:tabs>
                    <w:spacing w:line="240" w:lineRule="atLeast"/>
                    <w:rPr>
                      <w:rFonts w:ascii="Times New Roman" w:hAnsi="Times New Roman" w:cs="Times New Roman"/>
                    </w:rPr>
                  </w:pPr>
                  <w:r w:rsidRPr="00A013E1">
                    <w:rPr>
                      <w:rFonts w:ascii="Times New Roman" w:hAnsi="Times New Roman" w:cs="Times New Roman"/>
                    </w:rPr>
                    <w:t xml:space="preserve">несамоходни плаващи средства*) </w:t>
                  </w:r>
                </w:p>
              </w:tc>
            </w:tr>
            <w:tr w:rsidR="00271FA2" w:rsidRPr="00A013E1" w14:paraId="04FDE256" w14:textId="77777777" w:rsidTr="009C2B92">
              <w:tc>
                <w:tcPr>
                  <w:tcW w:w="516" w:type="dxa"/>
                  <w:tcBorders>
                    <w:top w:val="single" w:sz="4" w:space="0" w:color="auto"/>
                    <w:left w:val="single" w:sz="4" w:space="0" w:color="auto"/>
                    <w:bottom w:val="single" w:sz="4" w:space="0" w:color="auto"/>
                    <w:right w:val="single" w:sz="4" w:space="0" w:color="auto"/>
                  </w:tcBorders>
                </w:tcPr>
                <w:p w14:paraId="2CAE862B"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2.</w:t>
                  </w:r>
                </w:p>
              </w:tc>
              <w:tc>
                <w:tcPr>
                  <w:tcW w:w="3760" w:type="dxa"/>
                  <w:tcBorders>
                    <w:top w:val="single" w:sz="4" w:space="0" w:color="auto"/>
                    <w:left w:val="single" w:sz="4" w:space="0" w:color="auto"/>
                    <w:bottom w:val="single" w:sz="4" w:space="0" w:color="auto"/>
                    <w:right w:val="single" w:sz="4" w:space="0" w:color="auto"/>
                  </w:tcBorders>
                </w:tcPr>
                <w:p w14:paraId="3E5DE48E"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 xml:space="preserve">бъде тласкано*) </w:t>
                  </w:r>
                </w:p>
              </w:tc>
              <w:tc>
                <w:tcPr>
                  <w:tcW w:w="252" w:type="dxa"/>
                  <w:tcBorders>
                    <w:top w:val="single" w:sz="4" w:space="0" w:color="auto"/>
                    <w:left w:val="single" w:sz="4" w:space="0" w:color="auto"/>
                    <w:bottom w:val="single" w:sz="4" w:space="0" w:color="auto"/>
                    <w:right w:val="single" w:sz="4" w:space="0" w:color="auto"/>
                  </w:tcBorders>
                </w:tcPr>
                <w:p w14:paraId="3315F99F"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5.2</w:t>
                  </w:r>
                </w:p>
              </w:tc>
              <w:tc>
                <w:tcPr>
                  <w:tcW w:w="4710" w:type="dxa"/>
                  <w:tcBorders>
                    <w:top w:val="single" w:sz="4" w:space="0" w:color="auto"/>
                    <w:left w:val="single" w:sz="4" w:space="0" w:color="auto"/>
                    <w:bottom w:val="single" w:sz="4" w:space="0" w:color="auto"/>
                    <w:right w:val="single" w:sz="4" w:space="0" w:color="auto"/>
                  </w:tcBorders>
                </w:tcPr>
                <w:p w14:paraId="6D162106" w14:textId="77777777" w:rsidR="00271FA2" w:rsidRPr="00A013E1" w:rsidRDefault="00D35E51" w:rsidP="009C2B92">
                  <w:pPr>
                    <w:tabs>
                      <w:tab w:val="left" w:pos="3094"/>
                    </w:tabs>
                    <w:spacing w:line="240" w:lineRule="atLeast"/>
                    <w:rPr>
                      <w:rFonts w:ascii="Times New Roman" w:hAnsi="Times New Roman" w:cs="Times New Roman"/>
                    </w:rPr>
                  </w:pPr>
                  <w:r w:rsidRPr="00A013E1">
                    <w:rPr>
                      <w:rFonts w:ascii="Times New Roman" w:hAnsi="Times New Roman" w:cs="Times New Roman"/>
                    </w:rPr>
                    <w:t xml:space="preserve">самоходни плавателни средства*) </w:t>
                  </w:r>
                </w:p>
              </w:tc>
            </w:tr>
            <w:tr w:rsidR="00271FA2" w:rsidRPr="00A013E1" w14:paraId="6F089D68" w14:textId="77777777" w:rsidTr="009C2B92">
              <w:tc>
                <w:tcPr>
                  <w:tcW w:w="516" w:type="dxa"/>
                  <w:tcBorders>
                    <w:top w:val="single" w:sz="4" w:space="0" w:color="auto"/>
                    <w:left w:val="single" w:sz="4" w:space="0" w:color="auto"/>
                    <w:bottom w:val="single" w:sz="4" w:space="0" w:color="auto"/>
                    <w:right w:val="single" w:sz="4" w:space="0" w:color="auto"/>
                  </w:tcBorders>
                </w:tcPr>
                <w:p w14:paraId="1AE0BA29"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2.1</w:t>
                  </w:r>
                </w:p>
              </w:tc>
              <w:tc>
                <w:tcPr>
                  <w:tcW w:w="3760" w:type="dxa"/>
                  <w:tcBorders>
                    <w:top w:val="single" w:sz="4" w:space="0" w:color="auto"/>
                    <w:left w:val="single" w:sz="4" w:space="0" w:color="auto"/>
                    <w:bottom w:val="single" w:sz="4" w:space="0" w:color="auto"/>
                    <w:right w:val="single" w:sz="4" w:space="0" w:color="auto"/>
                  </w:tcBorders>
                </w:tcPr>
                <w:p w14:paraId="3A528439"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 xml:space="preserve">в твърдо свързан състав*) </w:t>
                  </w:r>
                </w:p>
              </w:tc>
              <w:tc>
                <w:tcPr>
                  <w:tcW w:w="252" w:type="dxa"/>
                  <w:tcBorders>
                    <w:top w:val="single" w:sz="4" w:space="0" w:color="auto"/>
                    <w:left w:val="single" w:sz="4" w:space="0" w:color="auto"/>
                    <w:bottom w:val="single" w:sz="4" w:space="0" w:color="auto"/>
                    <w:right w:val="single" w:sz="4" w:space="0" w:color="auto"/>
                  </w:tcBorders>
                </w:tcPr>
                <w:p w14:paraId="0AA74392"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5.3</w:t>
                  </w:r>
                </w:p>
              </w:tc>
              <w:tc>
                <w:tcPr>
                  <w:tcW w:w="4710" w:type="dxa"/>
                  <w:tcBorders>
                    <w:top w:val="single" w:sz="4" w:space="0" w:color="auto"/>
                    <w:left w:val="single" w:sz="4" w:space="0" w:color="auto"/>
                    <w:bottom w:val="single" w:sz="4" w:space="0" w:color="auto"/>
                    <w:right w:val="single" w:sz="4" w:space="0" w:color="auto"/>
                  </w:tcBorders>
                </w:tcPr>
                <w:p w14:paraId="4DD7E8BE" w14:textId="77777777" w:rsidR="00271FA2" w:rsidRPr="00A013E1" w:rsidRDefault="00D35E51" w:rsidP="009C2B92">
                  <w:pPr>
                    <w:tabs>
                      <w:tab w:val="left" w:pos="3094"/>
                    </w:tabs>
                    <w:spacing w:line="240" w:lineRule="atLeast"/>
                    <w:rPr>
                      <w:rFonts w:ascii="Times New Roman" w:hAnsi="Times New Roman" w:cs="Times New Roman"/>
                    </w:rPr>
                  </w:pPr>
                  <w:r w:rsidRPr="00A013E1">
                    <w:rPr>
                      <w:rFonts w:ascii="Times New Roman" w:hAnsi="Times New Roman" w:cs="Times New Roman"/>
                    </w:rPr>
                    <w:t xml:space="preserve">плава само срещу течението*) </w:t>
                  </w:r>
                </w:p>
              </w:tc>
            </w:tr>
            <w:tr w:rsidR="00271FA2" w:rsidRPr="00A013E1" w14:paraId="76D8826B" w14:textId="77777777" w:rsidTr="009C2B92">
              <w:tc>
                <w:tcPr>
                  <w:tcW w:w="516" w:type="dxa"/>
                  <w:tcBorders>
                    <w:top w:val="single" w:sz="4" w:space="0" w:color="auto"/>
                    <w:left w:val="single" w:sz="4" w:space="0" w:color="auto"/>
                    <w:bottom w:val="single" w:sz="4" w:space="0" w:color="auto"/>
                    <w:right w:val="single" w:sz="4" w:space="0" w:color="auto"/>
                  </w:tcBorders>
                </w:tcPr>
                <w:p w14:paraId="388B9D90"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2.2</w:t>
                  </w:r>
                </w:p>
              </w:tc>
              <w:tc>
                <w:tcPr>
                  <w:tcW w:w="3760" w:type="dxa"/>
                  <w:tcBorders>
                    <w:top w:val="single" w:sz="4" w:space="0" w:color="auto"/>
                    <w:left w:val="single" w:sz="4" w:space="0" w:color="auto"/>
                    <w:bottom w:val="single" w:sz="4" w:space="0" w:color="auto"/>
                    <w:right w:val="single" w:sz="4" w:space="0" w:color="auto"/>
                  </w:tcBorders>
                </w:tcPr>
                <w:p w14:paraId="5F285DAD" w14:textId="77777777"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в челото на твърдо свързан състав*) </w:t>
                  </w:r>
                </w:p>
              </w:tc>
              <w:tc>
                <w:tcPr>
                  <w:tcW w:w="252" w:type="dxa"/>
                  <w:tcBorders>
                    <w:top w:val="single" w:sz="4" w:space="0" w:color="auto"/>
                    <w:left w:val="single" w:sz="4" w:space="0" w:color="auto"/>
                    <w:bottom w:val="single" w:sz="4" w:space="0" w:color="auto"/>
                    <w:right w:val="single" w:sz="4" w:space="0" w:color="auto"/>
                  </w:tcBorders>
                </w:tcPr>
                <w:p w14:paraId="2A9E90D0"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6.</w:t>
                  </w:r>
                </w:p>
              </w:tc>
              <w:tc>
                <w:tcPr>
                  <w:tcW w:w="4710" w:type="dxa"/>
                  <w:tcBorders>
                    <w:top w:val="single" w:sz="4" w:space="0" w:color="auto"/>
                    <w:left w:val="single" w:sz="4" w:space="0" w:color="auto"/>
                    <w:bottom w:val="single" w:sz="4" w:space="0" w:color="auto"/>
                    <w:right w:val="single" w:sz="4" w:space="0" w:color="auto"/>
                  </w:tcBorders>
                </w:tcPr>
                <w:p w14:paraId="202642AC" w14:textId="77777777" w:rsidR="00271FA2" w:rsidRPr="00A013E1" w:rsidRDefault="00D35E51" w:rsidP="009C2B92">
                  <w:pPr>
                    <w:tabs>
                      <w:tab w:val="left" w:pos="3094"/>
                    </w:tabs>
                    <w:spacing w:line="240" w:lineRule="atLeast"/>
                    <w:rPr>
                      <w:rFonts w:ascii="Times New Roman" w:hAnsi="Times New Roman" w:cs="Times New Roman"/>
                    </w:rPr>
                  </w:pPr>
                  <w:r w:rsidRPr="00A013E1">
                    <w:rPr>
                      <w:rFonts w:ascii="Times New Roman" w:hAnsi="Times New Roman" w:cs="Times New Roman"/>
                    </w:rPr>
                    <w:t>бъде влачено*)</w:t>
                  </w:r>
                </w:p>
              </w:tc>
            </w:tr>
            <w:tr w:rsidR="00271FA2" w:rsidRPr="00A013E1" w14:paraId="26C722C9" w14:textId="77777777" w:rsidTr="009C2B92">
              <w:tc>
                <w:tcPr>
                  <w:tcW w:w="516" w:type="dxa"/>
                  <w:tcBorders>
                    <w:top w:val="single" w:sz="4" w:space="0" w:color="auto"/>
                    <w:left w:val="single" w:sz="4" w:space="0" w:color="auto"/>
                    <w:bottom w:val="single" w:sz="4" w:space="0" w:color="auto"/>
                    <w:right w:val="single" w:sz="4" w:space="0" w:color="auto"/>
                  </w:tcBorders>
                </w:tcPr>
                <w:p w14:paraId="6B103D14"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2.3</w:t>
                  </w:r>
                </w:p>
              </w:tc>
              <w:tc>
                <w:tcPr>
                  <w:tcW w:w="3760" w:type="dxa"/>
                  <w:tcBorders>
                    <w:top w:val="single" w:sz="4" w:space="0" w:color="auto"/>
                    <w:left w:val="single" w:sz="4" w:space="0" w:color="auto"/>
                    <w:bottom w:val="single" w:sz="4" w:space="0" w:color="auto"/>
                    <w:right w:val="single" w:sz="4" w:space="0" w:color="auto"/>
                  </w:tcBorders>
                </w:tcPr>
                <w:p w14:paraId="69040BFE" w14:textId="77777777"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чрез твърда връзка с управлявано изменение на ъгъла*) </w:t>
                  </w:r>
                </w:p>
              </w:tc>
              <w:tc>
                <w:tcPr>
                  <w:tcW w:w="252" w:type="dxa"/>
                  <w:tcBorders>
                    <w:top w:val="single" w:sz="4" w:space="0" w:color="auto"/>
                    <w:left w:val="single" w:sz="4" w:space="0" w:color="auto"/>
                    <w:bottom w:val="single" w:sz="4" w:space="0" w:color="auto"/>
                    <w:right w:val="single" w:sz="4" w:space="0" w:color="auto"/>
                  </w:tcBorders>
                </w:tcPr>
                <w:p w14:paraId="5B4D067C"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6.1</w:t>
                  </w:r>
                </w:p>
              </w:tc>
              <w:tc>
                <w:tcPr>
                  <w:tcW w:w="4710" w:type="dxa"/>
                  <w:tcBorders>
                    <w:top w:val="single" w:sz="4" w:space="0" w:color="auto"/>
                    <w:left w:val="single" w:sz="4" w:space="0" w:color="auto"/>
                    <w:bottom w:val="single" w:sz="4" w:space="0" w:color="auto"/>
                    <w:right w:val="single" w:sz="4" w:space="0" w:color="auto"/>
                  </w:tcBorders>
                </w:tcPr>
                <w:p w14:paraId="34FE9C83" w14:textId="77777777" w:rsidR="00271FA2" w:rsidRPr="00A013E1" w:rsidRDefault="00D35E51" w:rsidP="009C2B92">
                  <w:pPr>
                    <w:tabs>
                      <w:tab w:val="left" w:pos="3094"/>
                    </w:tabs>
                    <w:spacing w:line="240" w:lineRule="atLeast"/>
                    <w:rPr>
                      <w:rFonts w:ascii="Times New Roman" w:hAnsi="Times New Roman" w:cs="Times New Roman"/>
                    </w:rPr>
                  </w:pPr>
                  <w:r w:rsidRPr="00A013E1">
                    <w:rPr>
                      <w:rFonts w:ascii="Times New Roman" w:hAnsi="Times New Roman" w:cs="Times New Roman"/>
                    </w:rPr>
                    <w:t xml:space="preserve">като самоходно плаващо средство*) </w:t>
                  </w:r>
                </w:p>
              </w:tc>
            </w:tr>
            <w:tr w:rsidR="00271FA2" w:rsidRPr="00A013E1" w14:paraId="36B009A4" w14:textId="77777777" w:rsidTr="009C2B92">
              <w:tc>
                <w:tcPr>
                  <w:tcW w:w="516" w:type="dxa"/>
                  <w:tcBorders>
                    <w:top w:val="single" w:sz="4" w:space="0" w:color="auto"/>
                    <w:left w:val="single" w:sz="4" w:space="0" w:color="auto"/>
                    <w:bottom w:val="single" w:sz="4" w:space="0" w:color="auto"/>
                    <w:right w:val="single" w:sz="4" w:space="0" w:color="auto"/>
                  </w:tcBorders>
                </w:tcPr>
                <w:p w14:paraId="408E40A7"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3.</w:t>
                  </w:r>
                </w:p>
              </w:tc>
              <w:tc>
                <w:tcPr>
                  <w:tcW w:w="3760" w:type="dxa"/>
                  <w:tcBorders>
                    <w:top w:val="single" w:sz="4" w:space="0" w:color="auto"/>
                    <w:left w:val="single" w:sz="4" w:space="0" w:color="auto"/>
                    <w:bottom w:val="single" w:sz="4" w:space="0" w:color="auto"/>
                    <w:right w:val="single" w:sz="4" w:space="0" w:color="auto"/>
                  </w:tcBorders>
                </w:tcPr>
                <w:p w14:paraId="2C531305"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 xml:space="preserve">задвижва бордово свързана група*) </w:t>
                  </w:r>
                </w:p>
              </w:tc>
              <w:tc>
                <w:tcPr>
                  <w:tcW w:w="252" w:type="dxa"/>
                  <w:tcBorders>
                    <w:top w:val="single" w:sz="4" w:space="0" w:color="auto"/>
                    <w:left w:val="single" w:sz="4" w:space="0" w:color="auto"/>
                    <w:bottom w:val="single" w:sz="4" w:space="0" w:color="auto"/>
                    <w:right w:val="single" w:sz="4" w:space="0" w:color="auto"/>
                  </w:tcBorders>
                </w:tcPr>
                <w:p w14:paraId="0A0D842E" w14:textId="77777777" w:rsidR="00271FA2" w:rsidRPr="00A013E1" w:rsidRDefault="00D35E51" w:rsidP="009C2B92">
                  <w:pPr>
                    <w:tabs>
                      <w:tab w:val="left" w:pos="3094"/>
                    </w:tabs>
                    <w:spacing w:line="240" w:lineRule="atLeast"/>
                    <w:jc w:val="both"/>
                    <w:rPr>
                      <w:rFonts w:ascii="Times New Roman" w:hAnsi="Times New Roman" w:cs="Times New Roman"/>
                    </w:rPr>
                  </w:pPr>
                  <w:r w:rsidRPr="00A013E1">
                    <w:rPr>
                      <w:rFonts w:ascii="Times New Roman" w:hAnsi="Times New Roman" w:cs="Times New Roman"/>
                    </w:rPr>
                    <w:t>6.2</w:t>
                  </w:r>
                </w:p>
              </w:tc>
              <w:tc>
                <w:tcPr>
                  <w:tcW w:w="4710" w:type="dxa"/>
                  <w:tcBorders>
                    <w:top w:val="single" w:sz="4" w:space="0" w:color="auto"/>
                    <w:left w:val="single" w:sz="4" w:space="0" w:color="auto"/>
                    <w:bottom w:val="single" w:sz="4" w:space="0" w:color="auto"/>
                    <w:right w:val="single" w:sz="4" w:space="0" w:color="auto"/>
                  </w:tcBorders>
                </w:tcPr>
                <w:p w14:paraId="439498A0" w14:textId="77777777" w:rsidR="00271FA2" w:rsidRPr="00A013E1" w:rsidRDefault="00D35E51" w:rsidP="009C2B92">
                  <w:pPr>
                    <w:tabs>
                      <w:tab w:val="left" w:pos="3094"/>
                    </w:tabs>
                    <w:spacing w:line="240" w:lineRule="atLeast"/>
                    <w:rPr>
                      <w:rFonts w:ascii="Times New Roman" w:hAnsi="Times New Roman" w:cs="Times New Roman"/>
                    </w:rPr>
                  </w:pPr>
                  <w:r w:rsidRPr="00A013E1">
                    <w:rPr>
                      <w:rFonts w:ascii="Times New Roman" w:hAnsi="Times New Roman" w:cs="Times New Roman"/>
                    </w:rPr>
                    <w:t xml:space="preserve">като несамоходно плаващо средство*) </w:t>
                  </w:r>
                </w:p>
              </w:tc>
            </w:tr>
          </w:tbl>
          <w:p w14:paraId="1A6EB86A" w14:textId="77777777" w:rsidR="00271FA2" w:rsidRPr="00A013E1" w:rsidRDefault="00271FA2">
            <w:pPr>
              <w:tabs>
                <w:tab w:val="left" w:pos="3094"/>
              </w:tabs>
              <w:spacing w:line="240" w:lineRule="atLeast"/>
              <w:jc w:val="both"/>
              <w:rPr>
                <w:rFonts w:ascii="Times New Roman" w:hAnsi="Times New Roman" w:cs="Times New Roman"/>
              </w:rPr>
            </w:pPr>
          </w:p>
        </w:tc>
      </w:tr>
      <w:tr w:rsidR="00271FA2" w:rsidRPr="00A013E1" w14:paraId="3495F862" w14:textId="77777777">
        <w:tc>
          <w:tcPr>
            <w:tcW w:w="9185" w:type="dxa"/>
            <w:tcBorders>
              <w:top w:val="single" w:sz="4" w:space="0" w:color="auto"/>
              <w:left w:val="single" w:sz="4" w:space="0" w:color="auto"/>
              <w:bottom w:val="single" w:sz="4" w:space="0" w:color="auto"/>
              <w:right w:val="single" w:sz="4" w:space="0" w:color="auto"/>
            </w:tcBorders>
          </w:tcPr>
          <w:p w14:paraId="7B4DB923" w14:textId="77777777" w:rsidR="00271FA2" w:rsidRPr="00A013E1" w:rsidRDefault="00D35E51" w:rsidP="009C2B92">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Изменена е позиция (и): …………………………………………………………………………</w:t>
            </w:r>
          </w:p>
          <w:p w14:paraId="6FC45FE9" w14:textId="35C1DC48" w:rsidR="00271FA2" w:rsidRPr="00A013E1" w:rsidRDefault="00D35E51" w:rsidP="009C2B92">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Нов текст: ………………………………………………………………..……………………….</w:t>
            </w:r>
          </w:p>
          <w:p w14:paraId="5BA05292" w14:textId="692C8188"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308C9EA8" w14:textId="17B13DAB" w:rsidR="00271FA2" w:rsidRPr="00A013E1" w:rsidRDefault="00D35E51" w:rsidP="009C2B9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r w:rsidR="009C2B92" w:rsidRPr="00A013E1">
              <w:rPr>
                <w:rFonts w:ascii="Times New Roman" w:hAnsi="Times New Roman" w:cs="Times New Roman"/>
                <w:lang w:val="ru-RU"/>
              </w:rPr>
              <w:t>……………………………………………………………………………………………….</w:t>
            </w:r>
          </w:p>
          <w:p w14:paraId="1DAF50ED"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Тази страница е била заменена.</w:t>
            </w:r>
          </w:p>
          <w:p w14:paraId="69C048EB" w14:textId="77777777" w:rsidR="00271FA2" w:rsidRPr="00A013E1" w:rsidRDefault="00D35E51" w:rsidP="009C2B92">
            <w:pPr>
              <w:tabs>
                <w:tab w:val="left" w:pos="3094"/>
              </w:tabs>
              <w:spacing w:before="240" w:line="240" w:lineRule="atLeast"/>
              <w:jc w:val="both"/>
              <w:rPr>
                <w:rFonts w:ascii="Times New Roman" w:hAnsi="Times New Roman" w:cs="Times New Roman"/>
                <w:lang w:val="ru-RU"/>
              </w:rPr>
            </w:pPr>
            <w:r w:rsidRPr="00A013E1">
              <w:rPr>
                <w:rFonts w:ascii="Times New Roman" w:hAnsi="Times New Roman" w:cs="Times New Roman"/>
                <w:lang w:val="ru-RU"/>
              </w:rPr>
              <w:t>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10BA61C0"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5944B853"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p>
          <w:p w14:paraId="3C601D1F"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4E4A075A" w14:textId="77777777" w:rsidR="00271FA2" w:rsidRPr="00A013E1" w:rsidRDefault="00D35E51">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r w:rsidRPr="00A013E1">
              <w:rPr>
                <w:rFonts w:ascii="Times New Roman" w:hAnsi="Times New Roman" w:cs="Times New Roman"/>
                <w:noProof/>
                <w:lang w:eastAsia="bg-BG"/>
              </w:rPr>
              <mc:AlternateContent>
                <mc:Choice Requires="wps">
                  <w:drawing>
                    <wp:anchor distT="0" distB="0" distL="114300" distR="114300" simplePos="0" relativeHeight="251697152" behindDoc="0" locked="0" layoutInCell="1" allowOverlap="1" wp14:anchorId="72E7EF27" wp14:editId="46CEA381">
                      <wp:simplePos x="0" y="0"/>
                      <wp:positionH relativeFrom="column">
                        <wp:posOffset>19685</wp:posOffset>
                      </wp:positionH>
                      <wp:positionV relativeFrom="paragraph">
                        <wp:posOffset>132080</wp:posOffset>
                      </wp:positionV>
                      <wp:extent cx="1634490" cy="0"/>
                      <wp:effectExtent l="0" t="0" r="3810" b="0"/>
                      <wp:wrapNone/>
                      <wp:docPr id="455" name="Straight Connector 9"/>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9" o:spid="_x0000_s1026" o:spt="20" style="position:absolute;left:0pt;margin-left:1.55pt;margin-top:10.4pt;height:0pt;width:128.7pt;z-index:251697152;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AGzAdQAAAAHAQAADwAAAAAAAAABACAAAAAiAAAAZHJzL2Rvd25yZXYueG1sUEsBAhQAFAAA&#10;AAgAh07iQE6w57zzAQAA+QMAAA4AAAAAAAAAAQAgAAAAIwEAAGRycy9lMm9Eb2MueG1sUEsFBgAA&#10;AAAGAAYAWQEAAIgFAAAAAA==&#10;">
                      <v:fill on="f" focussize="0,0"/>
                      <v:stroke color="#000000" joinstyle="round"/>
                      <v:imagedata o:title=""/>
                      <o:lock v:ext="edit" aspectratio="f"/>
                    </v:line>
                  </w:pict>
                </mc:Fallback>
              </mc:AlternateContent>
            </w:r>
          </w:p>
          <w:p w14:paraId="0908E06A" w14:textId="77777777" w:rsidR="00271FA2" w:rsidRPr="00A013E1" w:rsidRDefault="00D35E51">
            <w:pPr>
              <w:tabs>
                <w:tab w:val="left" w:pos="3094"/>
              </w:tabs>
              <w:spacing w:line="240" w:lineRule="atLeast"/>
              <w:jc w:val="both"/>
              <w:rPr>
                <w:rFonts w:ascii="Times New Roman" w:hAnsi="Times New Roman" w:cs="Times New Roman"/>
              </w:rPr>
            </w:pPr>
            <w:r w:rsidRPr="00A013E1">
              <w:rPr>
                <w:rFonts w:ascii="Times New Roman" w:hAnsi="Times New Roman" w:cs="Times New Roman"/>
              </w:rPr>
              <w:t>*) Неприложимото се зачерква</w:t>
            </w:r>
          </w:p>
        </w:tc>
      </w:tr>
    </w:tbl>
    <w:p w14:paraId="5F728432" w14:textId="049F0D28" w:rsidR="00DF176D" w:rsidRPr="00A013E1" w:rsidRDefault="00DF176D" w:rsidP="008E1C28">
      <w:pPr>
        <w:pBdr>
          <w:top w:val="single" w:sz="4" w:space="0" w:color="auto"/>
        </w:pBdr>
        <w:tabs>
          <w:tab w:val="left" w:pos="3094"/>
        </w:tabs>
        <w:spacing w:line="240" w:lineRule="atLeast"/>
        <w:rPr>
          <w:rFonts w:ascii="Times New Roman" w:hAnsi="Times New Roman" w:cs="Times New Roman"/>
        </w:rPr>
      </w:pPr>
    </w:p>
    <w:p w14:paraId="64C86D54" w14:textId="77777777" w:rsidR="00DF176D" w:rsidRPr="00A013E1" w:rsidRDefault="00DF176D">
      <w:pPr>
        <w:rPr>
          <w:rFonts w:ascii="Times New Roman" w:hAnsi="Times New Roman" w:cs="Times New Roman"/>
        </w:rPr>
      </w:pPr>
      <w:r w:rsidRPr="00A013E1">
        <w:rPr>
          <w:rFonts w:ascii="Times New Roman" w:hAnsi="Times New Roman" w:cs="Times New Roman"/>
        </w:rPr>
        <w:br w:type="page"/>
      </w:r>
    </w:p>
    <w:p w14:paraId="78669214" w14:textId="6B723444" w:rsidR="00271FA2" w:rsidRPr="00A013E1" w:rsidRDefault="00D35E51" w:rsidP="00DF176D">
      <w:pPr>
        <w:pBdr>
          <w:top w:val="single" w:sz="4" w:space="0" w:color="auto"/>
        </w:pBdr>
        <w:tabs>
          <w:tab w:val="left" w:pos="3094"/>
        </w:tabs>
        <w:spacing w:line="240" w:lineRule="atLeast"/>
        <w:ind w:left="142"/>
        <w:rPr>
          <w:rFonts w:ascii="Times New Roman" w:hAnsi="Times New Roman" w:cs="Times New Roman"/>
          <w:lang w:val="ru-RU"/>
        </w:rPr>
      </w:pPr>
      <w:r w:rsidRPr="00A013E1">
        <w:rPr>
          <w:rFonts w:ascii="Times New Roman" w:hAnsi="Times New Roman" w:cs="Times New Roman"/>
          <w:lang w:val="ru-RU"/>
        </w:rPr>
        <w:lastRenderedPageBreak/>
        <w:t>Корабно удостоверение № .................. издадено от Дирекция „Речен надзор – ..........................”</w:t>
      </w:r>
    </w:p>
    <w:tbl>
      <w:tblPr>
        <w:tblW w:w="0" w:type="auto"/>
        <w:tblInd w:w="137" w:type="dxa"/>
        <w:tblLook w:val="04A0" w:firstRow="1" w:lastRow="0" w:firstColumn="1" w:lastColumn="0" w:noHBand="0" w:noVBand="1"/>
      </w:tblPr>
      <w:tblGrid>
        <w:gridCol w:w="9774"/>
      </w:tblGrid>
      <w:tr w:rsidR="00271FA2" w:rsidRPr="00A013E1" w14:paraId="5513290A" w14:textId="77777777">
        <w:tc>
          <w:tcPr>
            <w:tcW w:w="9774" w:type="dxa"/>
            <w:tcBorders>
              <w:top w:val="single" w:sz="4" w:space="0" w:color="auto"/>
              <w:left w:val="single" w:sz="4" w:space="0" w:color="auto"/>
              <w:bottom w:val="single" w:sz="4" w:space="0" w:color="auto"/>
              <w:right w:val="single" w:sz="4" w:space="0" w:color="auto"/>
            </w:tcBorders>
          </w:tcPr>
          <w:p w14:paraId="11FEF83D"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15. Разрешени състави</w:t>
            </w:r>
          </w:p>
          <w:p w14:paraId="7D85F015" w14:textId="77777777"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1. На плаващото средство е разрешено да задвижва следните състави: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843"/>
              <w:gridCol w:w="942"/>
              <w:gridCol w:w="940"/>
              <w:gridCol w:w="695"/>
              <w:gridCol w:w="940"/>
              <w:gridCol w:w="695"/>
              <w:gridCol w:w="987"/>
              <w:gridCol w:w="987"/>
              <w:gridCol w:w="1036"/>
            </w:tblGrid>
            <w:tr w:rsidR="00271FA2" w:rsidRPr="00A013E1" w14:paraId="28252301" w14:textId="77777777">
              <w:tc>
                <w:tcPr>
                  <w:tcW w:w="1037" w:type="dxa"/>
                  <w:vMerge w:val="restart"/>
                  <w:tcBorders>
                    <w:top w:val="single" w:sz="4" w:space="0" w:color="auto"/>
                    <w:left w:val="single" w:sz="4" w:space="0" w:color="auto"/>
                    <w:bottom w:val="single" w:sz="4" w:space="0" w:color="auto"/>
                    <w:right w:val="single" w:sz="4" w:space="0" w:color="auto"/>
                  </w:tcBorders>
                </w:tcPr>
                <w:p w14:paraId="1658511D" w14:textId="77777777" w:rsidR="00271FA2" w:rsidRPr="00A013E1" w:rsidRDefault="00D35E51" w:rsidP="008E1C28">
                  <w:pPr>
                    <w:tabs>
                      <w:tab w:val="left" w:pos="3094"/>
                    </w:tabs>
                    <w:spacing w:line="240" w:lineRule="atLeast"/>
                    <w:jc w:val="center"/>
                    <w:rPr>
                      <w:rFonts w:ascii="Times New Roman" w:hAnsi="Times New Roman" w:cs="Times New Roman"/>
                      <w:sz w:val="18"/>
                      <w:szCs w:val="18"/>
                    </w:rPr>
                  </w:pPr>
                  <w:r w:rsidRPr="00A013E1">
                    <w:rPr>
                      <w:rFonts w:ascii="Times New Roman" w:hAnsi="Times New Roman" w:cs="Times New Roman"/>
                      <w:sz w:val="18"/>
                      <w:szCs w:val="18"/>
                    </w:rPr>
                    <w:t>Форма на състава №</w:t>
                  </w:r>
                </w:p>
              </w:tc>
              <w:tc>
                <w:tcPr>
                  <w:tcW w:w="7888" w:type="dxa"/>
                  <w:gridSpan w:val="9"/>
                  <w:tcBorders>
                    <w:top w:val="single" w:sz="4" w:space="0" w:color="auto"/>
                    <w:left w:val="single" w:sz="4" w:space="0" w:color="auto"/>
                    <w:bottom w:val="single" w:sz="4" w:space="0" w:color="auto"/>
                    <w:right w:val="single" w:sz="4" w:space="0" w:color="auto"/>
                  </w:tcBorders>
                </w:tcPr>
                <w:p w14:paraId="552C8633" w14:textId="77777777" w:rsidR="00271FA2" w:rsidRPr="00A013E1" w:rsidRDefault="00D35E51" w:rsidP="008E1C28">
                  <w:pPr>
                    <w:tabs>
                      <w:tab w:val="left" w:pos="3094"/>
                    </w:tabs>
                    <w:spacing w:line="240" w:lineRule="atLeast"/>
                    <w:jc w:val="center"/>
                    <w:rPr>
                      <w:rFonts w:ascii="Times New Roman" w:hAnsi="Times New Roman" w:cs="Times New Roman"/>
                      <w:sz w:val="18"/>
                      <w:szCs w:val="18"/>
                      <w:lang w:val="ru-RU"/>
                    </w:rPr>
                  </w:pPr>
                  <w:r w:rsidRPr="00A013E1">
                    <w:rPr>
                      <w:rFonts w:ascii="Times New Roman" w:hAnsi="Times New Roman" w:cs="Times New Roman"/>
                      <w:sz w:val="18"/>
                      <w:szCs w:val="18"/>
                      <w:lang w:val="ru-RU"/>
                    </w:rPr>
                    <w:t>Ограничения, произтичащи от Глави 5 и 21</w:t>
                  </w:r>
                </w:p>
              </w:tc>
            </w:tr>
            <w:tr w:rsidR="00271FA2" w:rsidRPr="00A013E1" w14:paraId="340663B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3BC93FD" w14:textId="77777777" w:rsidR="00271FA2" w:rsidRPr="00A013E1" w:rsidRDefault="00271FA2" w:rsidP="008E1C28">
                  <w:pPr>
                    <w:spacing w:line="240" w:lineRule="atLeast"/>
                    <w:rPr>
                      <w:rFonts w:ascii="Times New Roman" w:hAnsi="Times New Roman" w:cs="Times New Roman"/>
                      <w:sz w:val="18"/>
                      <w:szCs w:val="18"/>
                      <w:lang w:val="ru-RU"/>
                    </w:rPr>
                  </w:pPr>
                </w:p>
              </w:tc>
              <w:tc>
                <w:tcPr>
                  <w:tcW w:w="1785" w:type="dxa"/>
                  <w:gridSpan w:val="2"/>
                  <w:vMerge w:val="restart"/>
                  <w:tcBorders>
                    <w:top w:val="single" w:sz="4" w:space="0" w:color="auto"/>
                    <w:left w:val="single" w:sz="4" w:space="0" w:color="auto"/>
                    <w:bottom w:val="single" w:sz="4" w:space="0" w:color="auto"/>
                    <w:right w:val="single" w:sz="4" w:space="0" w:color="auto"/>
                  </w:tcBorders>
                </w:tcPr>
                <w:p w14:paraId="64861458" w14:textId="77777777" w:rsidR="00271FA2" w:rsidRPr="00A013E1" w:rsidRDefault="00D35E51" w:rsidP="008E1C28">
                  <w:pPr>
                    <w:tabs>
                      <w:tab w:val="left" w:pos="3094"/>
                    </w:tabs>
                    <w:spacing w:line="240" w:lineRule="atLeast"/>
                    <w:jc w:val="center"/>
                    <w:rPr>
                      <w:rFonts w:ascii="Times New Roman" w:hAnsi="Times New Roman" w:cs="Times New Roman"/>
                      <w:sz w:val="18"/>
                      <w:szCs w:val="18"/>
                    </w:rPr>
                  </w:pPr>
                  <w:r w:rsidRPr="00A013E1">
                    <w:rPr>
                      <w:rFonts w:ascii="Times New Roman" w:hAnsi="Times New Roman" w:cs="Times New Roman"/>
                      <w:sz w:val="18"/>
                      <w:szCs w:val="18"/>
                    </w:rPr>
                    <w:t>Максимални размери</w:t>
                  </w:r>
                </w:p>
                <w:p w14:paraId="06C76018" w14:textId="77777777" w:rsidR="00271FA2" w:rsidRPr="00A013E1" w:rsidRDefault="00D35E51" w:rsidP="008E1C28">
                  <w:pPr>
                    <w:tabs>
                      <w:tab w:val="left" w:pos="3094"/>
                    </w:tabs>
                    <w:spacing w:line="240" w:lineRule="atLeast"/>
                    <w:jc w:val="center"/>
                    <w:rPr>
                      <w:rFonts w:ascii="Times New Roman" w:hAnsi="Times New Roman" w:cs="Times New Roman"/>
                      <w:sz w:val="18"/>
                      <w:szCs w:val="18"/>
                    </w:rPr>
                  </w:pPr>
                  <w:r w:rsidRPr="00A013E1">
                    <w:rPr>
                      <w:rFonts w:ascii="Times New Roman" w:hAnsi="Times New Roman" w:cs="Times New Roman"/>
                      <w:sz w:val="18"/>
                      <w:szCs w:val="18"/>
                    </w:rPr>
                    <w:t>m</w:t>
                  </w:r>
                </w:p>
              </w:tc>
              <w:tc>
                <w:tcPr>
                  <w:tcW w:w="3270" w:type="dxa"/>
                  <w:gridSpan w:val="4"/>
                  <w:tcBorders>
                    <w:top w:val="single" w:sz="4" w:space="0" w:color="auto"/>
                    <w:left w:val="single" w:sz="4" w:space="0" w:color="auto"/>
                    <w:bottom w:val="single" w:sz="4" w:space="0" w:color="auto"/>
                    <w:right w:val="single" w:sz="4" w:space="0" w:color="auto"/>
                  </w:tcBorders>
                </w:tcPr>
                <w:p w14:paraId="29BE3051" w14:textId="77777777" w:rsidR="00271FA2" w:rsidRPr="00A013E1" w:rsidRDefault="00D35E51" w:rsidP="008E1C28">
                  <w:pPr>
                    <w:tabs>
                      <w:tab w:val="left" w:pos="3094"/>
                    </w:tabs>
                    <w:spacing w:line="240" w:lineRule="atLeast"/>
                    <w:jc w:val="center"/>
                    <w:rPr>
                      <w:rFonts w:ascii="Times New Roman" w:hAnsi="Times New Roman" w:cs="Times New Roman"/>
                      <w:sz w:val="18"/>
                      <w:szCs w:val="18"/>
                      <w:lang w:val="ru-RU"/>
                    </w:rPr>
                  </w:pPr>
                  <w:r w:rsidRPr="00A013E1">
                    <w:rPr>
                      <w:rFonts w:ascii="Times New Roman" w:hAnsi="Times New Roman" w:cs="Times New Roman"/>
                      <w:sz w:val="18"/>
                      <w:szCs w:val="18"/>
                      <w:lang w:val="ru-RU"/>
                    </w:rPr>
                    <w:t>Посока на плаване спрямо течението и състояние на натоварването</w:t>
                  </w:r>
                </w:p>
              </w:tc>
              <w:tc>
                <w:tcPr>
                  <w:tcW w:w="1870" w:type="dxa"/>
                  <w:gridSpan w:val="2"/>
                  <w:tcBorders>
                    <w:top w:val="single" w:sz="4" w:space="0" w:color="auto"/>
                    <w:left w:val="single" w:sz="4" w:space="0" w:color="auto"/>
                    <w:bottom w:val="single" w:sz="4" w:space="0" w:color="auto"/>
                    <w:right w:val="single" w:sz="4" w:space="0" w:color="auto"/>
                  </w:tcBorders>
                </w:tcPr>
                <w:p w14:paraId="005064BA" w14:textId="77777777" w:rsidR="00271FA2" w:rsidRPr="00A013E1" w:rsidRDefault="00D35E51" w:rsidP="008E1C28">
                  <w:pPr>
                    <w:tabs>
                      <w:tab w:val="left" w:pos="3094"/>
                    </w:tabs>
                    <w:spacing w:line="240" w:lineRule="atLeast"/>
                    <w:jc w:val="center"/>
                    <w:rPr>
                      <w:rFonts w:ascii="Times New Roman" w:hAnsi="Times New Roman" w:cs="Times New Roman"/>
                      <w:sz w:val="18"/>
                      <w:szCs w:val="18"/>
                      <w:vertAlign w:val="superscript"/>
                      <w:lang w:val="ru-RU"/>
                    </w:rPr>
                  </w:pPr>
                  <w:r w:rsidRPr="00A013E1">
                    <w:rPr>
                      <w:rFonts w:ascii="Times New Roman" w:hAnsi="Times New Roman" w:cs="Times New Roman"/>
                      <w:sz w:val="18"/>
                      <w:szCs w:val="18"/>
                      <w:lang w:val="ru-RU"/>
                    </w:rPr>
                    <w:t xml:space="preserve">Максимално потопено </w:t>
                  </w:r>
                  <w:r w:rsidR="00392E80" w:rsidRPr="00A013E1">
                    <w:rPr>
                      <w:rFonts w:ascii="Times New Roman" w:hAnsi="Times New Roman" w:cs="Times New Roman"/>
                      <w:sz w:val="18"/>
                      <w:szCs w:val="18"/>
                      <w:lang w:val="ru-RU"/>
                    </w:rPr>
                    <w:t xml:space="preserve">напречно </w:t>
                  </w:r>
                  <w:r w:rsidRPr="00A013E1">
                    <w:rPr>
                      <w:rFonts w:ascii="Times New Roman" w:hAnsi="Times New Roman" w:cs="Times New Roman"/>
                      <w:sz w:val="18"/>
                      <w:szCs w:val="18"/>
                      <w:lang w:val="ru-RU"/>
                    </w:rPr>
                    <w:t xml:space="preserve">сечение в </w:t>
                  </w:r>
                  <w:r w:rsidRPr="00A013E1">
                    <w:rPr>
                      <w:rFonts w:ascii="Times New Roman" w:hAnsi="Times New Roman" w:cs="Times New Roman"/>
                      <w:sz w:val="18"/>
                      <w:szCs w:val="18"/>
                    </w:rPr>
                    <w:t>m</w:t>
                  </w:r>
                  <w:r w:rsidRPr="00A013E1">
                    <w:rPr>
                      <w:rFonts w:ascii="Times New Roman" w:hAnsi="Times New Roman" w:cs="Times New Roman"/>
                      <w:sz w:val="18"/>
                      <w:szCs w:val="18"/>
                      <w:vertAlign w:val="superscript"/>
                      <w:lang w:val="ru-RU"/>
                    </w:rPr>
                    <w:t>2</w:t>
                  </w:r>
                </w:p>
              </w:tc>
              <w:tc>
                <w:tcPr>
                  <w:tcW w:w="963" w:type="dxa"/>
                  <w:tcBorders>
                    <w:top w:val="single" w:sz="4" w:space="0" w:color="auto"/>
                    <w:left w:val="single" w:sz="4" w:space="0" w:color="auto"/>
                    <w:bottom w:val="single" w:sz="4" w:space="0" w:color="auto"/>
                    <w:right w:val="single" w:sz="4" w:space="0" w:color="auto"/>
                  </w:tcBorders>
                </w:tcPr>
                <w:p w14:paraId="2734EA1F" w14:textId="77777777" w:rsidR="00271FA2" w:rsidRPr="00A013E1" w:rsidRDefault="00D35E51" w:rsidP="008E1C28">
                  <w:pPr>
                    <w:tabs>
                      <w:tab w:val="left" w:pos="3094"/>
                    </w:tabs>
                    <w:spacing w:line="240" w:lineRule="atLeast"/>
                    <w:jc w:val="center"/>
                    <w:rPr>
                      <w:rFonts w:ascii="Times New Roman" w:hAnsi="Times New Roman" w:cs="Times New Roman"/>
                      <w:sz w:val="18"/>
                      <w:szCs w:val="18"/>
                      <w:lang w:val="ru-RU"/>
                    </w:rPr>
                  </w:pPr>
                  <w:r w:rsidRPr="00A013E1">
                    <w:rPr>
                      <w:rFonts w:ascii="Times New Roman" w:hAnsi="Times New Roman" w:cs="Times New Roman"/>
                      <w:sz w:val="18"/>
                      <w:szCs w:val="18"/>
                      <w:lang w:val="ru-RU"/>
                    </w:rPr>
                    <w:t>Забележки</w:t>
                  </w:r>
                </w:p>
              </w:tc>
            </w:tr>
            <w:tr w:rsidR="00271FA2" w:rsidRPr="00A013E1" w14:paraId="77A2D08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42CD532" w14:textId="77777777" w:rsidR="00271FA2" w:rsidRPr="00A013E1" w:rsidRDefault="00271FA2" w:rsidP="008E1C28">
                  <w:pPr>
                    <w:spacing w:line="240" w:lineRule="atLeast"/>
                    <w:rPr>
                      <w:rFonts w:ascii="Times New Roman" w:hAnsi="Times New Roman" w:cs="Times New Roman"/>
                      <w:sz w:val="18"/>
                      <w:szCs w:val="18"/>
                      <w:lang w:val="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6FBDE50" w14:textId="77777777" w:rsidR="00271FA2" w:rsidRPr="00A013E1" w:rsidRDefault="00271FA2" w:rsidP="008E1C28">
                  <w:pPr>
                    <w:spacing w:line="240" w:lineRule="atLeast"/>
                    <w:rPr>
                      <w:rFonts w:ascii="Times New Roman" w:hAnsi="Times New Roman" w:cs="Times New Roman"/>
                      <w:sz w:val="18"/>
                      <w:szCs w:val="18"/>
                      <w:lang w:val="ru-RU"/>
                    </w:rPr>
                  </w:pPr>
                </w:p>
              </w:tc>
              <w:tc>
                <w:tcPr>
                  <w:tcW w:w="1635" w:type="dxa"/>
                  <w:gridSpan w:val="2"/>
                  <w:tcBorders>
                    <w:top w:val="single" w:sz="4" w:space="0" w:color="auto"/>
                    <w:left w:val="single" w:sz="4" w:space="0" w:color="auto"/>
                    <w:bottom w:val="single" w:sz="4" w:space="0" w:color="auto"/>
                    <w:right w:val="single" w:sz="4" w:space="0" w:color="auto"/>
                  </w:tcBorders>
                </w:tcPr>
                <w:p w14:paraId="378CACB5" w14:textId="77777777" w:rsidR="00271FA2" w:rsidRPr="00A013E1" w:rsidRDefault="00D35E51" w:rsidP="008E1C28">
                  <w:pPr>
                    <w:tabs>
                      <w:tab w:val="left" w:pos="3094"/>
                    </w:tabs>
                    <w:spacing w:line="240" w:lineRule="atLeast"/>
                    <w:jc w:val="center"/>
                    <w:rPr>
                      <w:rFonts w:ascii="Times New Roman" w:hAnsi="Times New Roman" w:cs="Times New Roman"/>
                      <w:sz w:val="18"/>
                      <w:szCs w:val="18"/>
                      <w:lang w:val="ru-RU"/>
                    </w:rPr>
                  </w:pPr>
                  <w:r w:rsidRPr="00A013E1">
                    <w:rPr>
                      <w:rFonts w:ascii="Times New Roman" w:hAnsi="Times New Roman" w:cs="Times New Roman"/>
                      <w:sz w:val="18"/>
                      <w:szCs w:val="18"/>
                      <w:lang w:val="ru-RU"/>
                    </w:rPr>
                    <w:t>Срещу течението</w:t>
                  </w:r>
                </w:p>
              </w:tc>
              <w:tc>
                <w:tcPr>
                  <w:tcW w:w="1635" w:type="dxa"/>
                  <w:gridSpan w:val="2"/>
                  <w:tcBorders>
                    <w:top w:val="single" w:sz="4" w:space="0" w:color="auto"/>
                    <w:left w:val="single" w:sz="4" w:space="0" w:color="auto"/>
                    <w:bottom w:val="single" w:sz="4" w:space="0" w:color="auto"/>
                    <w:right w:val="single" w:sz="4" w:space="0" w:color="auto"/>
                  </w:tcBorders>
                </w:tcPr>
                <w:p w14:paraId="2ACA6928" w14:textId="77777777" w:rsidR="00271FA2" w:rsidRPr="00A013E1" w:rsidRDefault="00D35E51" w:rsidP="008E1C28">
                  <w:pPr>
                    <w:tabs>
                      <w:tab w:val="left" w:pos="3094"/>
                    </w:tabs>
                    <w:spacing w:line="240" w:lineRule="atLeast"/>
                    <w:jc w:val="center"/>
                    <w:rPr>
                      <w:rFonts w:ascii="Times New Roman" w:hAnsi="Times New Roman" w:cs="Times New Roman"/>
                      <w:sz w:val="18"/>
                      <w:szCs w:val="18"/>
                      <w:lang w:val="ru-RU"/>
                    </w:rPr>
                  </w:pPr>
                  <w:r w:rsidRPr="00A013E1">
                    <w:rPr>
                      <w:rFonts w:ascii="Times New Roman" w:hAnsi="Times New Roman" w:cs="Times New Roman"/>
                      <w:sz w:val="18"/>
                      <w:szCs w:val="18"/>
                      <w:lang w:val="ru-RU"/>
                    </w:rPr>
                    <w:t>По течението</w:t>
                  </w:r>
                </w:p>
              </w:tc>
              <w:tc>
                <w:tcPr>
                  <w:tcW w:w="935" w:type="dxa"/>
                  <w:tcBorders>
                    <w:top w:val="single" w:sz="4" w:space="0" w:color="auto"/>
                    <w:left w:val="single" w:sz="4" w:space="0" w:color="auto"/>
                    <w:bottom w:val="single" w:sz="4" w:space="0" w:color="auto"/>
                    <w:right w:val="single" w:sz="4" w:space="0" w:color="auto"/>
                  </w:tcBorders>
                </w:tcPr>
                <w:p w14:paraId="3230EF5C" w14:textId="77777777" w:rsidR="00271FA2" w:rsidRPr="00A013E1" w:rsidRDefault="00D35E51" w:rsidP="008E1C28">
                  <w:pPr>
                    <w:tabs>
                      <w:tab w:val="left" w:pos="3094"/>
                    </w:tabs>
                    <w:spacing w:line="240" w:lineRule="atLeast"/>
                    <w:jc w:val="center"/>
                    <w:rPr>
                      <w:rFonts w:ascii="Times New Roman" w:hAnsi="Times New Roman" w:cs="Times New Roman"/>
                      <w:sz w:val="18"/>
                      <w:szCs w:val="18"/>
                      <w:lang w:val="ru-RU"/>
                    </w:rPr>
                  </w:pPr>
                  <w:r w:rsidRPr="00A013E1">
                    <w:rPr>
                      <w:rFonts w:ascii="Times New Roman" w:hAnsi="Times New Roman" w:cs="Times New Roman"/>
                      <w:sz w:val="18"/>
                      <w:szCs w:val="18"/>
                      <w:lang w:val="ru-RU"/>
                    </w:rPr>
                    <w:t>Срещу течението</w:t>
                  </w:r>
                </w:p>
              </w:tc>
              <w:tc>
                <w:tcPr>
                  <w:tcW w:w="935" w:type="dxa"/>
                  <w:tcBorders>
                    <w:top w:val="single" w:sz="4" w:space="0" w:color="auto"/>
                    <w:left w:val="single" w:sz="4" w:space="0" w:color="auto"/>
                    <w:bottom w:val="single" w:sz="4" w:space="0" w:color="auto"/>
                    <w:right w:val="single" w:sz="4" w:space="0" w:color="auto"/>
                  </w:tcBorders>
                </w:tcPr>
                <w:p w14:paraId="1A5B6F5F" w14:textId="77777777" w:rsidR="00271FA2" w:rsidRPr="00A013E1" w:rsidRDefault="00D35E51" w:rsidP="008E1C28">
                  <w:pPr>
                    <w:tabs>
                      <w:tab w:val="left" w:pos="3094"/>
                    </w:tabs>
                    <w:spacing w:line="240" w:lineRule="atLeast"/>
                    <w:jc w:val="center"/>
                    <w:rPr>
                      <w:rFonts w:ascii="Times New Roman" w:hAnsi="Times New Roman" w:cs="Times New Roman"/>
                      <w:sz w:val="18"/>
                      <w:szCs w:val="18"/>
                      <w:lang w:val="ru-RU"/>
                    </w:rPr>
                  </w:pPr>
                  <w:r w:rsidRPr="00A013E1">
                    <w:rPr>
                      <w:rFonts w:ascii="Times New Roman" w:hAnsi="Times New Roman" w:cs="Times New Roman"/>
                      <w:sz w:val="18"/>
                      <w:szCs w:val="18"/>
                      <w:lang w:val="ru-RU"/>
                    </w:rPr>
                    <w:t>По течението</w:t>
                  </w:r>
                </w:p>
              </w:tc>
              <w:tc>
                <w:tcPr>
                  <w:tcW w:w="963" w:type="dxa"/>
                  <w:tcBorders>
                    <w:top w:val="single" w:sz="4" w:space="0" w:color="auto"/>
                    <w:left w:val="single" w:sz="4" w:space="0" w:color="auto"/>
                    <w:bottom w:val="single" w:sz="4" w:space="0" w:color="auto"/>
                    <w:right w:val="single" w:sz="4" w:space="0" w:color="auto"/>
                  </w:tcBorders>
                </w:tcPr>
                <w:p w14:paraId="40CC45E9" w14:textId="77777777" w:rsidR="00271FA2" w:rsidRPr="00A013E1" w:rsidRDefault="00271FA2" w:rsidP="008E1C28">
                  <w:pPr>
                    <w:tabs>
                      <w:tab w:val="left" w:pos="3094"/>
                    </w:tabs>
                    <w:spacing w:line="240" w:lineRule="atLeast"/>
                    <w:jc w:val="center"/>
                    <w:rPr>
                      <w:rFonts w:ascii="Times New Roman" w:hAnsi="Times New Roman" w:cs="Times New Roman"/>
                      <w:sz w:val="18"/>
                      <w:szCs w:val="18"/>
                      <w:lang w:val="ru-RU"/>
                    </w:rPr>
                  </w:pPr>
                </w:p>
              </w:tc>
            </w:tr>
            <w:tr w:rsidR="00271FA2" w:rsidRPr="00A013E1" w14:paraId="199CAB6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C271041" w14:textId="77777777" w:rsidR="00271FA2" w:rsidRPr="00A013E1" w:rsidRDefault="00271FA2" w:rsidP="008E1C28">
                  <w:pPr>
                    <w:spacing w:line="240" w:lineRule="atLeast"/>
                    <w:rPr>
                      <w:rFonts w:ascii="Times New Roman" w:hAnsi="Times New Roman" w:cs="Times New Roman"/>
                      <w:sz w:val="18"/>
                      <w:szCs w:val="18"/>
                      <w:lang w:val="ru-RU"/>
                    </w:rPr>
                  </w:pPr>
                </w:p>
              </w:tc>
              <w:tc>
                <w:tcPr>
                  <w:tcW w:w="843" w:type="dxa"/>
                  <w:tcBorders>
                    <w:top w:val="single" w:sz="4" w:space="0" w:color="auto"/>
                    <w:left w:val="single" w:sz="4" w:space="0" w:color="auto"/>
                    <w:bottom w:val="single" w:sz="4" w:space="0" w:color="auto"/>
                    <w:right w:val="single" w:sz="4" w:space="0" w:color="auto"/>
                  </w:tcBorders>
                </w:tcPr>
                <w:p w14:paraId="41A76A73" w14:textId="77777777" w:rsidR="00271FA2" w:rsidRPr="00A013E1" w:rsidRDefault="00D35E51" w:rsidP="008E1C28">
                  <w:pPr>
                    <w:tabs>
                      <w:tab w:val="left" w:pos="3094"/>
                    </w:tabs>
                    <w:spacing w:line="240" w:lineRule="atLeast"/>
                    <w:jc w:val="center"/>
                    <w:rPr>
                      <w:rFonts w:ascii="Times New Roman" w:hAnsi="Times New Roman" w:cs="Times New Roman"/>
                      <w:sz w:val="16"/>
                      <w:szCs w:val="16"/>
                      <w:lang w:val="ru-RU"/>
                    </w:rPr>
                  </w:pPr>
                  <w:r w:rsidRPr="00A013E1">
                    <w:rPr>
                      <w:rFonts w:ascii="Times New Roman" w:hAnsi="Times New Roman" w:cs="Times New Roman"/>
                      <w:sz w:val="16"/>
                      <w:szCs w:val="16"/>
                      <w:lang w:val="ru-RU"/>
                    </w:rPr>
                    <w:t>дължина</w:t>
                  </w:r>
                </w:p>
              </w:tc>
              <w:tc>
                <w:tcPr>
                  <w:tcW w:w="942" w:type="dxa"/>
                  <w:tcBorders>
                    <w:top w:val="single" w:sz="4" w:space="0" w:color="auto"/>
                    <w:left w:val="single" w:sz="4" w:space="0" w:color="auto"/>
                    <w:bottom w:val="single" w:sz="4" w:space="0" w:color="auto"/>
                    <w:right w:val="single" w:sz="4" w:space="0" w:color="auto"/>
                  </w:tcBorders>
                </w:tcPr>
                <w:p w14:paraId="4EAB99A4" w14:textId="77777777" w:rsidR="00271FA2" w:rsidRPr="00A013E1" w:rsidRDefault="00D35E51" w:rsidP="008E1C28">
                  <w:pPr>
                    <w:tabs>
                      <w:tab w:val="left" w:pos="3094"/>
                    </w:tabs>
                    <w:spacing w:line="240" w:lineRule="atLeast"/>
                    <w:jc w:val="center"/>
                    <w:rPr>
                      <w:rFonts w:ascii="Times New Roman" w:hAnsi="Times New Roman" w:cs="Times New Roman"/>
                      <w:sz w:val="16"/>
                      <w:szCs w:val="16"/>
                      <w:lang w:val="ru-RU"/>
                    </w:rPr>
                  </w:pPr>
                  <w:r w:rsidRPr="00A013E1">
                    <w:rPr>
                      <w:rFonts w:ascii="Times New Roman" w:hAnsi="Times New Roman" w:cs="Times New Roman"/>
                      <w:sz w:val="16"/>
                      <w:szCs w:val="16"/>
                      <w:lang w:val="ru-RU"/>
                    </w:rPr>
                    <w:t>широчина</w:t>
                  </w:r>
                </w:p>
              </w:tc>
              <w:tc>
                <w:tcPr>
                  <w:tcW w:w="940" w:type="dxa"/>
                  <w:tcBorders>
                    <w:top w:val="single" w:sz="4" w:space="0" w:color="auto"/>
                    <w:left w:val="single" w:sz="4" w:space="0" w:color="auto"/>
                    <w:bottom w:val="single" w:sz="4" w:space="0" w:color="auto"/>
                    <w:right w:val="single" w:sz="4" w:space="0" w:color="auto"/>
                  </w:tcBorders>
                </w:tcPr>
                <w:p w14:paraId="2831F695" w14:textId="77777777" w:rsidR="00271FA2" w:rsidRPr="00A013E1" w:rsidRDefault="00D35E51" w:rsidP="008E1C28">
                  <w:pPr>
                    <w:tabs>
                      <w:tab w:val="left" w:pos="3094"/>
                    </w:tabs>
                    <w:spacing w:line="240" w:lineRule="atLeast"/>
                    <w:jc w:val="center"/>
                    <w:rPr>
                      <w:rFonts w:ascii="Times New Roman" w:hAnsi="Times New Roman" w:cs="Times New Roman"/>
                      <w:sz w:val="16"/>
                      <w:szCs w:val="16"/>
                      <w:lang w:val="ru-RU"/>
                    </w:rPr>
                  </w:pPr>
                  <w:r w:rsidRPr="00A013E1">
                    <w:rPr>
                      <w:rFonts w:ascii="Times New Roman" w:hAnsi="Times New Roman" w:cs="Times New Roman"/>
                      <w:sz w:val="16"/>
                      <w:szCs w:val="16"/>
                      <w:lang w:val="ru-RU"/>
                    </w:rPr>
                    <w:t xml:space="preserve">натоварен </w:t>
                  </w:r>
                  <w:r w:rsidRPr="00A013E1">
                    <w:rPr>
                      <w:rFonts w:ascii="Times New Roman" w:hAnsi="Times New Roman" w:cs="Times New Roman"/>
                      <w:sz w:val="16"/>
                      <w:szCs w:val="16"/>
                    </w:rPr>
                    <w:t>t</w:t>
                  </w:r>
                </w:p>
              </w:tc>
              <w:tc>
                <w:tcPr>
                  <w:tcW w:w="695" w:type="dxa"/>
                  <w:tcBorders>
                    <w:top w:val="single" w:sz="4" w:space="0" w:color="auto"/>
                    <w:left w:val="single" w:sz="4" w:space="0" w:color="auto"/>
                    <w:bottom w:val="single" w:sz="4" w:space="0" w:color="auto"/>
                    <w:right w:val="single" w:sz="4" w:space="0" w:color="auto"/>
                  </w:tcBorders>
                </w:tcPr>
                <w:p w14:paraId="1FCD68FB" w14:textId="77777777" w:rsidR="00271FA2" w:rsidRPr="00A013E1" w:rsidRDefault="00D35E51" w:rsidP="008E1C28">
                  <w:pPr>
                    <w:tabs>
                      <w:tab w:val="left" w:pos="3094"/>
                    </w:tabs>
                    <w:spacing w:line="240" w:lineRule="atLeast"/>
                    <w:jc w:val="center"/>
                    <w:rPr>
                      <w:rFonts w:ascii="Times New Roman" w:hAnsi="Times New Roman" w:cs="Times New Roman"/>
                      <w:sz w:val="16"/>
                      <w:szCs w:val="16"/>
                      <w:lang w:val="ru-RU"/>
                    </w:rPr>
                  </w:pPr>
                  <w:r w:rsidRPr="00A013E1">
                    <w:rPr>
                      <w:rFonts w:ascii="Times New Roman" w:hAnsi="Times New Roman" w:cs="Times New Roman"/>
                      <w:sz w:val="16"/>
                      <w:szCs w:val="16"/>
                      <w:lang w:val="ru-RU"/>
                    </w:rPr>
                    <w:t>празен</w:t>
                  </w:r>
                </w:p>
              </w:tc>
              <w:tc>
                <w:tcPr>
                  <w:tcW w:w="940" w:type="dxa"/>
                  <w:tcBorders>
                    <w:top w:val="single" w:sz="4" w:space="0" w:color="auto"/>
                    <w:left w:val="single" w:sz="4" w:space="0" w:color="auto"/>
                    <w:bottom w:val="single" w:sz="4" w:space="0" w:color="auto"/>
                    <w:right w:val="single" w:sz="4" w:space="0" w:color="auto"/>
                  </w:tcBorders>
                </w:tcPr>
                <w:p w14:paraId="2641172A" w14:textId="77777777" w:rsidR="00271FA2" w:rsidRPr="00A013E1" w:rsidRDefault="00D35E51" w:rsidP="008E1C28">
                  <w:pPr>
                    <w:tabs>
                      <w:tab w:val="left" w:pos="3094"/>
                    </w:tabs>
                    <w:spacing w:line="240" w:lineRule="atLeast"/>
                    <w:jc w:val="center"/>
                    <w:rPr>
                      <w:rFonts w:ascii="Times New Roman" w:hAnsi="Times New Roman" w:cs="Times New Roman"/>
                      <w:sz w:val="16"/>
                      <w:szCs w:val="16"/>
                      <w:lang w:val="ru-RU"/>
                    </w:rPr>
                  </w:pPr>
                  <w:r w:rsidRPr="00A013E1">
                    <w:rPr>
                      <w:rFonts w:ascii="Times New Roman" w:hAnsi="Times New Roman" w:cs="Times New Roman"/>
                      <w:sz w:val="16"/>
                      <w:szCs w:val="16"/>
                      <w:lang w:val="ru-RU"/>
                    </w:rPr>
                    <w:t xml:space="preserve">натоварен </w:t>
                  </w:r>
                  <w:r w:rsidRPr="00A013E1">
                    <w:rPr>
                      <w:rFonts w:ascii="Times New Roman" w:hAnsi="Times New Roman" w:cs="Times New Roman"/>
                      <w:sz w:val="16"/>
                      <w:szCs w:val="16"/>
                    </w:rPr>
                    <w:t>t</w:t>
                  </w:r>
                </w:p>
              </w:tc>
              <w:tc>
                <w:tcPr>
                  <w:tcW w:w="695" w:type="dxa"/>
                  <w:tcBorders>
                    <w:top w:val="single" w:sz="4" w:space="0" w:color="auto"/>
                    <w:left w:val="single" w:sz="4" w:space="0" w:color="auto"/>
                    <w:bottom w:val="single" w:sz="4" w:space="0" w:color="auto"/>
                    <w:right w:val="single" w:sz="4" w:space="0" w:color="auto"/>
                  </w:tcBorders>
                </w:tcPr>
                <w:p w14:paraId="2A225FA8" w14:textId="77777777" w:rsidR="00271FA2" w:rsidRPr="00A013E1" w:rsidRDefault="00D35E51" w:rsidP="008E1C28">
                  <w:pPr>
                    <w:tabs>
                      <w:tab w:val="left" w:pos="3094"/>
                    </w:tabs>
                    <w:spacing w:line="240" w:lineRule="atLeast"/>
                    <w:jc w:val="center"/>
                    <w:rPr>
                      <w:rFonts w:ascii="Times New Roman" w:hAnsi="Times New Roman" w:cs="Times New Roman"/>
                      <w:sz w:val="16"/>
                      <w:szCs w:val="16"/>
                      <w:lang w:val="ru-RU"/>
                    </w:rPr>
                  </w:pPr>
                  <w:r w:rsidRPr="00A013E1">
                    <w:rPr>
                      <w:rFonts w:ascii="Times New Roman" w:hAnsi="Times New Roman" w:cs="Times New Roman"/>
                      <w:sz w:val="16"/>
                      <w:szCs w:val="16"/>
                      <w:lang w:val="ru-RU"/>
                    </w:rPr>
                    <w:t>празен</w:t>
                  </w:r>
                </w:p>
              </w:tc>
              <w:tc>
                <w:tcPr>
                  <w:tcW w:w="935" w:type="dxa"/>
                  <w:tcBorders>
                    <w:top w:val="single" w:sz="4" w:space="0" w:color="auto"/>
                    <w:left w:val="single" w:sz="4" w:space="0" w:color="auto"/>
                    <w:bottom w:val="single" w:sz="4" w:space="0" w:color="auto"/>
                    <w:right w:val="single" w:sz="4" w:space="0" w:color="auto"/>
                  </w:tcBorders>
                </w:tcPr>
                <w:p w14:paraId="03BC68C2" w14:textId="77777777" w:rsidR="00271FA2" w:rsidRPr="00A013E1" w:rsidRDefault="00271FA2" w:rsidP="008E1C28">
                  <w:pPr>
                    <w:tabs>
                      <w:tab w:val="left" w:pos="3094"/>
                    </w:tabs>
                    <w:spacing w:line="240" w:lineRule="atLeast"/>
                    <w:jc w:val="center"/>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6E0B7AD8" w14:textId="77777777" w:rsidR="00271FA2" w:rsidRPr="00A013E1" w:rsidRDefault="00271FA2" w:rsidP="008E1C28">
                  <w:pPr>
                    <w:tabs>
                      <w:tab w:val="left" w:pos="3094"/>
                    </w:tabs>
                    <w:spacing w:line="240" w:lineRule="atLeast"/>
                    <w:jc w:val="center"/>
                    <w:rPr>
                      <w:rFonts w:ascii="Times New Roman" w:hAnsi="Times New Roman" w:cs="Times New Roman"/>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14:paraId="49749C4A" w14:textId="77777777" w:rsidR="00271FA2" w:rsidRPr="00A013E1" w:rsidRDefault="00271FA2" w:rsidP="008E1C28">
                  <w:pPr>
                    <w:tabs>
                      <w:tab w:val="left" w:pos="3094"/>
                    </w:tabs>
                    <w:spacing w:line="240" w:lineRule="atLeast"/>
                    <w:jc w:val="center"/>
                    <w:rPr>
                      <w:rFonts w:ascii="Times New Roman" w:hAnsi="Times New Roman" w:cs="Times New Roman"/>
                      <w:sz w:val="18"/>
                      <w:szCs w:val="18"/>
                      <w:lang w:val="ru-RU"/>
                    </w:rPr>
                  </w:pPr>
                </w:p>
              </w:tc>
            </w:tr>
            <w:tr w:rsidR="00271FA2" w:rsidRPr="00A013E1" w14:paraId="689E0D7D" w14:textId="77777777">
              <w:tc>
                <w:tcPr>
                  <w:tcW w:w="1037" w:type="dxa"/>
                  <w:tcBorders>
                    <w:top w:val="single" w:sz="4" w:space="0" w:color="auto"/>
                    <w:left w:val="single" w:sz="4" w:space="0" w:color="auto"/>
                    <w:bottom w:val="single" w:sz="4" w:space="0" w:color="auto"/>
                    <w:right w:val="single" w:sz="4" w:space="0" w:color="auto"/>
                  </w:tcBorders>
                </w:tcPr>
                <w:p w14:paraId="2A689D88"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843" w:type="dxa"/>
                  <w:tcBorders>
                    <w:top w:val="single" w:sz="4" w:space="0" w:color="auto"/>
                    <w:left w:val="single" w:sz="4" w:space="0" w:color="auto"/>
                    <w:bottom w:val="single" w:sz="4" w:space="0" w:color="auto"/>
                    <w:right w:val="single" w:sz="4" w:space="0" w:color="auto"/>
                  </w:tcBorders>
                </w:tcPr>
                <w:p w14:paraId="0A7041B4"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2" w:type="dxa"/>
                  <w:tcBorders>
                    <w:top w:val="single" w:sz="4" w:space="0" w:color="auto"/>
                    <w:left w:val="single" w:sz="4" w:space="0" w:color="auto"/>
                    <w:bottom w:val="single" w:sz="4" w:space="0" w:color="auto"/>
                    <w:right w:val="single" w:sz="4" w:space="0" w:color="auto"/>
                  </w:tcBorders>
                </w:tcPr>
                <w:p w14:paraId="0F953AF5"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6B03950E"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037A21F1"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7F74C4BB"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3DAC4440"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14C33115"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1F3EA056"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14:paraId="4099D570"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r>
            <w:tr w:rsidR="00271FA2" w:rsidRPr="00A013E1" w14:paraId="75566A0E" w14:textId="77777777">
              <w:tc>
                <w:tcPr>
                  <w:tcW w:w="1037" w:type="dxa"/>
                  <w:tcBorders>
                    <w:top w:val="single" w:sz="4" w:space="0" w:color="auto"/>
                    <w:left w:val="single" w:sz="4" w:space="0" w:color="auto"/>
                    <w:bottom w:val="single" w:sz="4" w:space="0" w:color="auto"/>
                    <w:right w:val="single" w:sz="4" w:space="0" w:color="auto"/>
                  </w:tcBorders>
                </w:tcPr>
                <w:p w14:paraId="12787284"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843" w:type="dxa"/>
                  <w:tcBorders>
                    <w:top w:val="single" w:sz="4" w:space="0" w:color="auto"/>
                    <w:left w:val="single" w:sz="4" w:space="0" w:color="auto"/>
                    <w:bottom w:val="single" w:sz="4" w:space="0" w:color="auto"/>
                    <w:right w:val="single" w:sz="4" w:space="0" w:color="auto"/>
                  </w:tcBorders>
                </w:tcPr>
                <w:p w14:paraId="31CE0054"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2" w:type="dxa"/>
                  <w:tcBorders>
                    <w:top w:val="single" w:sz="4" w:space="0" w:color="auto"/>
                    <w:left w:val="single" w:sz="4" w:space="0" w:color="auto"/>
                    <w:bottom w:val="single" w:sz="4" w:space="0" w:color="auto"/>
                    <w:right w:val="single" w:sz="4" w:space="0" w:color="auto"/>
                  </w:tcBorders>
                </w:tcPr>
                <w:p w14:paraId="46EF7034"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6AB064FD"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0C1F1F8C"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2109E4F9"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13A1F741"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47974770"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119C70D4"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14:paraId="39A12006"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r>
            <w:tr w:rsidR="00271FA2" w:rsidRPr="00A013E1" w14:paraId="558AD396" w14:textId="77777777">
              <w:tc>
                <w:tcPr>
                  <w:tcW w:w="1037" w:type="dxa"/>
                  <w:tcBorders>
                    <w:top w:val="single" w:sz="4" w:space="0" w:color="auto"/>
                    <w:left w:val="single" w:sz="4" w:space="0" w:color="auto"/>
                    <w:bottom w:val="single" w:sz="4" w:space="0" w:color="auto"/>
                    <w:right w:val="single" w:sz="4" w:space="0" w:color="auto"/>
                  </w:tcBorders>
                </w:tcPr>
                <w:p w14:paraId="0F2FA029"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843" w:type="dxa"/>
                  <w:tcBorders>
                    <w:top w:val="single" w:sz="4" w:space="0" w:color="auto"/>
                    <w:left w:val="single" w:sz="4" w:space="0" w:color="auto"/>
                    <w:bottom w:val="single" w:sz="4" w:space="0" w:color="auto"/>
                    <w:right w:val="single" w:sz="4" w:space="0" w:color="auto"/>
                  </w:tcBorders>
                </w:tcPr>
                <w:p w14:paraId="31200F26"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2" w:type="dxa"/>
                  <w:tcBorders>
                    <w:top w:val="single" w:sz="4" w:space="0" w:color="auto"/>
                    <w:left w:val="single" w:sz="4" w:space="0" w:color="auto"/>
                    <w:bottom w:val="single" w:sz="4" w:space="0" w:color="auto"/>
                    <w:right w:val="single" w:sz="4" w:space="0" w:color="auto"/>
                  </w:tcBorders>
                </w:tcPr>
                <w:p w14:paraId="35F1FEDF"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1FCB713A"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5AC38B18"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1ABC0D6F"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3B5C1C83"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57BEA87A"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485236D2"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14:paraId="150E02B7"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r>
            <w:tr w:rsidR="00271FA2" w:rsidRPr="00A013E1" w14:paraId="58A1BB4B" w14:textId="77777777">
              <w:tc>
                <w:tcPr>
                  <w:tcW w:w="1037" w:type="dxa"/>
                  <w:tcBorders>
                    <w:top w:val="single" w:sz="4" w:space="0" w:color="auto"/>
                    <w:left w:val="single" w:sz="4" w:space="0" w:color="auto"/>
                    <w:bottom w:val="single" w:sz="4" w:space="0" w:color="auto"/>
                    <w:right w:val="single" w:sz="4" w:space="0" w:color="auto"/>
                  </w:tcBorders>
                </w:tcPr>
                <w:p w14:paraId="49E408AB"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843" w:type="dxa"/>
                  <w:tcBorders>
                    <w:top w:val="single" w:sz="4" w:space="0" w:color="auto"/>
                    <w:left w:val="single" w:sz="4" w:space="0" w:color="auto"/>
                    <w:bottom w:val="single" w:sz="4" w:space="0" w:color="auto"/>
                    <w:right w:val="single" w:sz="4" w:space="0" w:color="auto"/>
                  </w:tcBorders>
                </w:tcPr>
                <w:p w14:paraId="4C2D6688"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2" w:type="dxa"/>
                  <w:tcBorders>
                    <w:top w:val="single" w:sz="4" w:space="0" w:color="auto"/>
                    <w:left w:val="single" w:sz="4" w:space="0" w:color="auto"/>
                    <w:bottom w:val="single" w:sz="4" w:space="0" w:color="auto"/>
                    <w:right w:val="single" w:sz="4" w:space="0" w:color="auto"/>
                  </w:tcBorders>
                </w:tcPr>
                <w:p w14:paraId="04C34427"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521A505A"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568971C6"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71DE940A"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02E23F0B"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3C9942C4"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5EA334C4"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14:paraId="362C32B3"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r>
            <w:tr w:rsidR="00271FA2" w:rsidRPr="00A013E1" w14:paraId="103E96AF" w14:textId="77777777">
              <w:tc>
                <w:tcPr>
                  <w:tcW w:w="1037" w:type="dxa"/>
                  <w:tcBorders>
                    <w:top w:val="single" w:sz="4" w:space="0" w:color="auto"/>
                    <w:left w:val="single" w:sz="4" w:space="0" w:color="auto"/>
                    <w:bottom w:val="single" w:sz="4" w:space="0" w:color="auto"/>
                    <w:right w:val="single" w:sz="4" w:space="0" w:color="auto"/>
                  </w:tcBorders>
                </w:tcPr>
                <w:p w14:paraId="4F9B03E9"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843" w:type="dxa"/>
                  <w:tcBorders>
                    <w:top w:val="single" w:sz="4" w:space="0" w:color="auto"/>
                    <w:left w:val="single" w:sz="4" w:space="0" w:color="auto"/>
                    <w:bottom w:val="single" w:sz="4" w:space="0" w:color="auto"/>
                    <w:right w:val="single" w:sz="4" w:space="0" w:color="auto"/>
                  </w:tcBorders>
                </w:tcPr>
                <w:p w14:paraId="08F1EF6B"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2" w:type="dxa"/>
                  <w:tcBorders>
                    <w:top w:val="single" w:sz="4" w:space="0" w:color="auto"/>
                    <w:left w:val="single" w:sz="4" w:space="0" w:color="auto"/>
                    <w:bottom w:val="single" w:sz="4" w:space="0" w:color="auto"/>
                    <w:right w:val="single" w:sz="4" w:space="0" w:color="auto"/>
                  </w:tcBorders>
                </w:tcPr>
                <w:p w14:paraId="447A9351"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2D727427"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1ADEBAF6"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40" w:type="dxa"/>
                  <w:tcBorders>
                    <w:top w:val="single" w:sz="4" w:space="0" w:color="auto"/>
                    <w:left w:val="single" w:sz="4" w:space="0" w:color="auto"/>
                    <w:bottom w:val="single" w:sz="4" w:space="0" w:color="auto"/>
                    <w:right w:val="single" w:sz="4" w:space="0" w:color="auto"/>
                  </w:tcBorders>
                </w:tcPr>
                <w:p w14:paraId="6DB72B15"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695" w:type="dxa"/>
                  <w:tcBorders>
                    <w:top w:val="single" w:sz="4" w:space="0" w:color="auto"/>
                    <w:left w:val="single" w:sz="4" w:space="0" w:color="auto"/>
                    <w:bottom w:val="single" w:sz="4" w:space="0" w:color="auto"/>
                    <w:right w:val="single" w:sz="4" w:space="0" w:color="auto"/>
                  </w:tcBorders>
                </w:tcPr>
                <w:p w14:paraId="26FCBBEB"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48C1E071"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35" w:type="dxa"/>
                  <w:tcBorders>
                    <w:top w:val="single" w:sz="4" w:space="0" w:color="auto"/>
                    <w:left w:val="single" w:sz="4" w:space="0" w:color="auto"/>
                    <w:bottom w:val="single" w:sz="4" w:space="0" w:color="auto"/>
                    <w:right w:val="single" w:sz="4" w:space="0" w:color="auto"/>
                  </w:tcBorders>
                </w:tcPr>
                <w:p w14:paraId="50CC201F"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14:paraId="41F933A2" w14:textId="77777777" w:rsidR="00271FA2" w:rsidRPr="00A013E1" w:rsidRDefault="00271FA2" w:rsidP="008E1C28">
                  <w:pPr>
                    <w:tabs>
                      <w:tab w:val="left" w:pos="3094"/>
                    </w:tabs>
                    <w:spacing w:line="240" w:lineRule="atLeast"/>
                    <w:jc w:val="both"/>
                    <w:rPr>
                      <w:rFonts w:ascii="Times New Roman" w:hAnsi="Times New Roman" w:cs="Times New Roman"/>
                      <w:sz w:val="18"/>
                      <w:szCs w:val="18"/>
                      <w:lang w:val="ru-RU"/>
                    </w:rPr>
                  </w:pPr>
                </w:p>
              </w:tc>
            </w:tr>
          </w:tbl>
          <w:p w14:paraId="4C278054"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               </w:t>
            </w:r>
            <w:r w:rsidRPr="00A013E1">
              <w:rPr>
                <w:rFonts w:ascii="Times New Roman" w:hAnsi="Times New Roman" w:cs="Times New Roman"/>
                <w:noProof/>
                <w:lang w:eastAsia="bg-BG"/>
              </w:rPr>
              <w:drawing>
                <wp:inline distT="0" distB="0" distL="0" distR="0" wp14:anchorId="00635AEB" wp14:editId="25F46CAA">
                  <wp:extent cx="4197096" cy="1628775"/>
                  <wp:effectExtent l="0" t="0" r="0" b="0"/>
                  <wp:docPr id="16"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27"/>
                          <pic:cNvPicPr>
                            <a:picLocks noChangeAspect="1" noChangeArrowheads="1"/>
                          </pic:cNvPicPr>
                        </pic:nvPicPr>
                        <pic:blipFill>
                          <a:blip r:embed="rId106"/>
                          <a:srcRect/>
                          <a:stretch>
                            <a:fillRect/>
                          </a:stretch>
                        </pic:blipFill>
                        <pic:spPr>
                          <a:xfrm>
                            <a:off x="0" y="0"/>
                            <a:ext cx="4208038" cy="1633021"/>
                          </a:xfrm>
                          <a:prstGeom prst="rect">
                            <a:avLst/>
                          </a:prstGeom>
                          <a:noFill/>
                          <a:ln w="9525">
                            <a:noFill/>
                            <a:miter lim="800000"/>
                            <a:headEnd/>
                            <a:tailEnd/>
                          </a:ln>
                        </pic:spPr>
                      </pic:pic>
                    </a:graphicData>
                  </a:graphic>
                </wp:inline>
              </w:drawing>
            </w:r>
            <w:r w:rsidRPr="00A013E1">
              <w:rPr>
                <w:rFonts w:ascii="Times New Roman" w:hAnsi="Times New Roman" w:cs="Times New Roman"/>
                <w:lang w:val="ru-RU"/>
              </w:rPr>
              <w:t xml:space="preserve"> </w:t>
            </w:r>
          </w:p>
          <w:p w14:paraId="2272FEAB" w14:textId="77777777"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Други състави :</w:t>
            </w:r>
          </w:p>
          <w:p w14:paraId="30A0AC08" w14:textId="77777777" w:rsidR="00271FA2" w:rsidRPr="00A013E1" w:rsidRDefault="00D35E51" w:rsidP="008E1C28">
            <w:pPr>
              <w:tabs>
                <w:tab w:val="left" w:pos="3094"/>
              </w:tabs>
              <w:spacing w:line="240" w:lineRule="atLeast"/>
              <w:jc w:val="both"/>
              <w:rPr>
                <w:rFonts w:ascii="Times New Roman" w:hAnsi="Times New Roman" w:cs="Times New Roman"/>
                <w:sz w:val="16"/>
                <w:szCs w:val="16"/>
                <w:lang w:val="ru-RU"/>
              </w:rPr>
            </w:pPr>
            <w:r w:rsidRPr="00A013E1">
              <w:rPr>
                <w:rFonts w:ascii="Times New Roman" w:hAnsi="Times New Roman" w:cs="Times New Roman"/>
                <w:lang w:val="ru-RU"/>
              </w:rPr>
              <w:t>Значение на символите :</w:t>
            </w:r>
            <w:r w:rsidRPr="00A013E1">
              <w:rPr>
                <w:rFonts w:ascii="Times New Roman" w:hAnsi="Times New Roman" w:cs="Times New Roman"/>
                <w:lang w:val="ru-RU"/>
              </w:rPr>
              <w:tab/>
            </w:r>
            <w:r w:rsidRPr="00A013E1">
              <w:rPr>
                <w:rFonts w:ascii="Times New Roman" w:hAnsi="Times New Roman" w:cs="Times New Roman"/>
                <w:noProof/>
                <w:lang w:eastAsia="bg-BG"/>
              </w:rPr>
              <w:drawing>
                <wp:inline distT="0" distB="0" distL="0" distR="0" wp14:anchorId="63A5BAF2" wp14:editId="6801C960">
                  <wp:extent cx="220980" cy="182880"/>
                  <wp:effectExtent l="19050" t="0" r="7620" b="0"/>
                  <wp:docPr id="14"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8"/>
                          <pic:cNvPicPr>
                            <a:picLocks noChangeAspect="1" noChangeArrowheads="1"/>
                          </pic:cNvPicPr>
                        </pic:nvPicPr>
                        <pic:blipFill>
                          <a:blip r:embed="rId107"/>
                          <a:srcRect/>
                          <a:stretch>
                            <a:fillRect/>
                          </a:stretch>
                        </pic:blipFill>
                        <pic:spPr>
                          <a:xfrm>
                            <a:off x="0" y="0"/>
                            <a:ext cx="220980" cy="182880"/>
                          </a:xfrm>
                          <a:prstGeom prst="rect">
                            <a:avLst/>
                          </a:prstGeom>
                          <a:noFill/>
                          <a:ln w="9525">
                            <a:noFill/>
                            <a:miter lim="800000"/>
                            <a:headEnd/>
                            <a:tailEnd/>
                          </a:ln>
                        </pic:spPr>
                      </pic:pic>
                    </a:graphicData>
                  </a:graphic>
                </wp:inline>
              </w:drawing>
            </w:r>
            <w:r w:rsidRPr="00A013E1">
              <w:rPr>
                <w:rFonts w:ascii="Times New Roman" w:hAnsi="Times New Roman" w:cs="Times New Roman"/>
                <w:lang w:val="ru-RU"/>
              </w:rPr>
              <w:tab/>
            </w:r>
            <w:r w:rsidRPr="00A013E1">
              <w:rPr>
                <w:rFonts w:ascii="Times New Roman" w:hAnsi="Times New Roman" w:cs="Times New Roman"/>
                <w:sz w:val="16"/>
                <w:szCs w:val="16"/>
                <w:lang w:val="ru-RU"/>
              </w:rPr>
              <w:t>Тласкач</w:t>
            </w:r>
            <w:r w:rsidRPr="00A013E1">
              <w:rPr>
                <w:rFonts w:ascii="Times New Roman" w:hAnsi="Times New Roman" w:cs="Times New Roman"/>
                <w:lang w:val="ru-RU"/>
              </w:rPr>
              <w:tab/>
            </w:r>
            <w:r w:rsidRPr="00A013E1">
              <w:rPr>
                <w:rFonts w:ascii="Times New Roman" w:hAnsi="Times New Roman" w:cs="Times New Roman"/>
                <w:noProof/>
                <w:lang w:eastAsia="bg-BG"/>
              </w:rPr>
              <w:drawing>
                <wp:inline distT="0" distB="0" distL="0" distR="0" wp14:anchorId="2797648F" wp14:editId="75F97F03">
                  <wp:extent cx="487680" cy="175260"/>
                  <wp:effectExtent l="19050" t="0" r="7620" b="0"/>
                  <wp:docPr id="18"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30"/>
                          <pic:cNvPicPr>
                            <a:picLocks noChangeAspect="1" noChangeArrowheads="1"/>
                          </pic:cNvPicPr>
                        </pic:nvPicPr>
                        <pic:blipFill>
                          <a:blip r:embed="rId108"/>
                          <a:srcRect/>
                          <a:stretch>
                            <a:fillRect/>
                          </a:stretch>
                        </pic:blipFill>
                        <pic:spPr>
                          <a:xfrm>
                            <a:off x="0" y="0"/>
                            <a:ext cx="487680" cy="175260"/>
                          </a:xfrm>
                          <a:prstGeom prst="rect">
                            <a:avLst/>
                          </a:prstGeom>
                          <a:noFill/>
                          <a:ln w="9525">
                            <a:noFill/>
                            <a:miter lim="800000"/>
                            <a:headEnd/>
                            <a:tailEnd/>
                          </a:ln>
                        </pic:spPr>
                      </pic:pic>
                    </a:graphicData>
                  </a:graphic>
                </wp:inline>
              </w:drawing>
            </w:r>
            <w:r w:rsidRPr="00A013E1">
              <w:rPr>
                <w:rFonts w:ascii="Times New Roman" w:hAnsi="Times New Roman" w:cs="Times New Roman"/>
                <w:sz w:val="16"/>
                <w:szCs w:val="16"/>
                <w:lang w:val="ru-RU"/>
              </w:rPr>
              <w:t>Самоходен кораб</w:t>
            </w:r>
            <w:r w:rsidRPr="00A013E1">
              <w:rPr>
                <w:rFonts w:ascii="Times New Roman" w:hAnsi="Times New Roman" w:cs="Times New Roman"/>
                <w:lang w:val="ru-RU"/>
              </w:rPr>
              <w:tab/>
            </w:r>
            <w:r w:rsidRPr="00A013E1">
              <w:rPr>
                <w:rFonts w:ascii="Times New Roman" w:hAnsi="Times New Roman" w:cs="Times New Roman"/>
                <w:noProof/>
                <w:lang w:eastAsia="bg-BG"/>
              </w:rPr>
              <w:drawing>
                <wp:inline distT="0" distB="0" distL="0" distR="0" wp14:anchorId="7F8A97B6" wp14:editId="02EB2A9D">
                  <wp:extent cx="487680" cy="182880"/>
                  <wp:effectExtent l="19050" t="0" r="7620" b="0"/>
                  <wp:docPr id="1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1"/>
                          <pic:cNvPicPr>
                            <a:picLocks noChangeAspect="1" noChangeArrowheads="1"/>
                          </pic:cNvPicPr>
                        </pic:nvPicPr>
                        <pic:blipFill>
                          <a:blip r:embed="rId109"/>
                          <a:srcRect/>
                          <a:stretch>
                            <a:fillRect/>
                          </a:stretch>
                        </pic:blipFill>
                        <pic:spPr>
                          <a:xfrm>
                            <a:off x="0" y="0"/>
                            <a:ext cx="487680" cy="182880"/>
                          </a:xfrm>
                          <a:prstGeom prst="rect">
                            <a:avLst/>
                          </a:prstGeom>
                          <a:noFill/>
                          <a:ln w="9525">
                            <a:noFill/>
                            <a:miter lim="800000"/>
                            <a:headEnd/>
                            <a:tailEnd/>
                          </a:ln>
                        </pic:spPr>
                      </pic:pic>
                    </a:graphicData>
                  </a:graphic>
                </wp:inline>
              </w:drawing>
            </w:r>
            <w:r w:rsidRPr="00A013E1">
              <w:rPr>
                <w:rFonts w:ascii="Times New Roman" w:hAnsi="Times New Roman" w:cs="Times New Roman"/>
                <w:sz w:val="16"/>
                <w:szCs w:val="16"/>
                <w:lang w:val="ru-RU"/>
              </w:rPr>
              <w:t>Баржа</w:t>
            </w:r>
          </w:p>
          <w:p w14:paraId="1EF47471" w14:textId="77777777"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2. Връзки:</w:t>
            </w:r>
          </w:p>
          <w:p w14:paraId="2323DC1C" w14:textId="77777777"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Тип на връзките: …………………………</w:t>
            </w:r>
            <w:r w:rsidRPr="00A013E1">
              <w:rPr>
                <w:rFonts w:ascii="Times New Roman" w:hAnsi="Times New Roman" w:cs="Times New Roman"/>
                <w:lang w:val="ru-RU"/>
              </w:rPr>
              <w:tab/>
              <w:t>Брой на връзките на всеки борд: ……………</w:t>
            </w:r>
          </w:p>
          <w:p w14:paraId="31BFD578" w14:textId="174C0A32"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Брой на свързващите въжета: …….</w:t>
            </w:r>
            <w:r w:rsidRPr="00A013E1">
              <w:rPr>
                <w:rFonts w:ascii="Times New Roman" w:hAnsi="Times New Roman" w:cs="Times New Roman"/>
                <w:lang w:val="ru-RU"/>
              </w:rPr>
              <w:tab/>
              <w:t>Дължина на всяко свързващо въже: …………</w:t>
            </w:r>
          </w:p>
          <w:p w14:paraId="276D3862" w14:textId="77777777"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Якост на опън при надлъжно свързване: …….……………………………….</w:t>
            </w:r>
            <w:r w:rsidRPr="00A013E1">
              <w:rPr>
                <w:rFonts w:ascii="Times New Roman" w:hAnsi="Times New Roman" w:cs="Times New Roman"/>
              </w:rPr>
              <w:t>kN</w:t>
            </w:r>
          </w:p>
          <w:p w14:paraId="2418CEA3" w14:textId="77777777"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Якост на опън за всяко въже: ………………………………………………….</w:t>
            </w:r>
            <w:r w:rsidRPr="00A013E1">
              <w:rPr>
                <w:rFonts w:ascii="Times New Roman" w:hAnsi="Times New Roman" w:cs="Times New Roman"/>
              </w:rPr>
              <w:t>kN</w:t>
            </w:r>
          </w:p>
          <w:p w14:paraId="66BBFE2E" w14:textId="77777777"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Брой на намотките на въжето: …………..</w:t>
            </w:r>
          </w:p>
        </w:tc>
      </w:tr>
      <w:tr w:rsidR="00271FA2" w:rsidRPr="00A013E1" w14:paraId="58505237" w14:textId="77777777">
        <w:trPr>
          <w:trHeight w:val="557"/>
        </w:trPr>
        <w:tc>
          <w:tcPr>
            <w:tcW w:w="9774" w:type="dxa"/>
            <w:tcBorders>
              <w:top w:val="single" w:sz="4" w:space="0" w:color="auto"/>
              <w:left w:val="single" w:sz="4" w:space="0" w:color="auto"/>
              <w:bottom w:val="single" w:sz="4" w:space="0" w:color="auto"/>
              <w:right w:val="single" w:sz="4" w:space="0" w:color="auto"/>
            </w:tcBorders>
          </w:tcPr>
          <w:p w14:paraId="5B1A47E9" w14:textId="5B2FCC72" w:rsidR="00271FA2" w:rsidRPr="00A013E1" w:rsidRDefault="00D35E51" w:rsidP="008E1C2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Изменена е позиция (и): ……………………………………………………………………</w:t>
            </w:r>
          </w:p>
          <w:p w14:paraId="1A45A956" w14:textId="53C318AA" w:rsidR="00271FA2" w:rsidRPr="00A013E1" w:rsidRDefault="00D35E51" w:rsidP="008E1C2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Нов текст: ………………………………………………………………………………………...</w:t>
            </w:r>
          </w:p>
          <w:p w14:paraId="7D7E0D19" w14:textId="7E961722"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w:t>
            </w:r>
            <w:r w:rsidR="008E1C28" w:rsidRPr="00A013E1">
              <w:rPr>
                <w:rFonts w:ascii="Times New Roman" w:hAnsi="Times New Roman" w:cs="Times New Roman"/>
                <w:lang w:val="ru-RU"/>
              </w:rPr>
              <w:t>….</w:t>
            </w:r>
          </w:p>
          <w:p w14:paraId="67C97583" w14:textId="5F026A56"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022E610D" w14:textId="4B6BE5E7" w:rsidR="00271FA2" w:rsidRPr="00A013E1" w:rsidRDefault="00271FA2" w:rsidP="008E1C28">
            <w:pPr>
              <w:tabs>
                <w:tab w:val="left" w:pos="3094"/>
              </w:tabs>
              <w:spacing w:line="240" w:lineRule="atLeast"/>
              <w:jc w:val="both"/>
              <w:rPr>
                <w:rFonts w:ascii="Times New Roman" w:hAnsi="Times New Roman" w:cs="Times New Roman"/>
                <w:lang w:val="ru-RU"/>
              </w:rPr>
            </w:pPr>
          </w:p>
          <w:p w14:paraId="484DEFC9" w14:textId="77777777" w:rsidR="00271FA2" w:rsidRPr="00A013E1" w:rsidRDefault="00D35E51" w:rsidP="008E1C2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Тази страница е била заменена.</w:t>
            </w:r>
          </w:p>
          <w:p w14:paraId="70F4D779"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7BFB2B8C"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6DC29DF5"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5E32A2D5" w14:textId="77777777" w:rsidR="00271FA2" w:rsidRPr="00A013E1" w:rsidRDefault="00D35E51">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r w:rsidRPr="00A013E1">
              <w:rPr>
                <w:rFonts w:ascii="Times New Roman" w:hAnsi="Times New Roman" w:cs="Times New Roman"/>
                <w:noProof/>
                <w:lang w:eastAsia="bg-BG"/>
              </w:rPr>
              <mc:AlternateContent>
                <mc:Choice Requires="wps">
                  <w:drawing>
                    <wp:anchor distT="0" distB="0" distL="114300" distR="114300" simplePos="0" relativeHeight="251698176" behindDoc="0" locked="0" layoutInCell="1" allowOverlap="1" wp14:anchorId="12CE8881" wp14:editId="18576A93">
                      <wp:simplePos x="0" y="0"/>
                      <wp:positionH relativeFrom="column">
                        <wp:posOffset>19685</wp:posOffset>
                      </wp:positionH>
                      <wp:positionV relativeFrom="paragraph">
                        <wp:posOffset>132080</wp:posOffset>
                      </wp:positionV>
                      <wp:extent cx="1634490" cy="0"/>
                      <wp:effectExtent l="0" t="0" r="3810" b="0"/>
                      <wp:wrapNone/>
                      <wp:docPr id="454" name="Straight Connector 18"/>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18" o:spid="_x0000_s1026" o:spt="20" style="position:absolute;left:0pt;margin-left:1.55pt;margin-top:10.4pt;height:0pt;width:128.7pt;z-index:251698176;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BivcCQ9AEAAPoDAAAOAAAAAAAAAAEAIAAAACMBAABkcnMvZTJvRG9jLnhtbFBLBQYA&#10;AAAABgAGAFkBAACJBQAAAAA=&#10;">
                      <v:fill on="f" focussize="0,0"/>
                      <v:stroke color="#000000" joinstyle="round"/>
                      <v:imagedata o:title=""/>
                      <o:lock v:ext="edit" aspectratio="f"/>
                    </v:line>
                  </w:pict>
                </mc:Fallback>
              </mc:AlternateContent>
            </w:r>
          </w:p>
          <w:p w14:paraId="579DB5B2"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 Неприложимото се зачерква</w:t>
            </w:r>
          </w:p>
        </w:tc>
      </w:tr>
    </w:tbl>
    <w:p w14:paraId="7DD16306" w14:textId="77777777" w:rsidR="00DF176D" w:rsidRPr="00A013E1" w:rsidRDefault="00DF176D" w:rsidP="008E1C28">
      <w:pPr>
        <w:pBdr>
          <w:top w:val="single" w:sz="4" w:space="1" w:color="auto"/>
        </w:pBdr>
        <w:tabs>
          <w:tab w:val="left" w:pos="3094"/>
        </w:tabs>
        <w:spacing w:line="240" w:lineRule="atLeast"/>
        <w:rPr>
          <w:rFonts w:ascii="Times New Roman" w:hAnsi="Times New Roman" w:cs="Times New Roman"/>
          <w:lang w:val="ru-RU"/>
        </w:rPr>
      </w:pPr>
    </w:p>
    <w:p w14:paraId="3B14B26C" w14:textId="77777777" w:rsidR="00DF176D" w:rsidRPr="00A013E1" w:rsidRDefault="00DF176D">
      <w:pPr>
        <w:rPr>
          <w:rFonts w:ascii="Times New Roman" w:hAnsi="Times New Roman" w:cs="Times New Roman"/>
          <w:lang w:val="ru-RU"/>
        </w:rPr>
      </w:pPr>
      <w:r w:rsidRPr="00A013E1">
        <w:rPr>
          <w:rFonts w:ascii="Times New Roman" w:hAnsi="Times New Roman" w:cs="Times New Roman"/>
          <w:lang w:val="ru-RU"/>
        </w:rPr>
        <w:br w:type="page"/>
      </w:r>
    </w:p>
    <w:p w14:paraId="693B1486" w14:textId="64D0D8A9" w:rsidR="00271FA2" w:rsidRPr="00A013E1" w:rsidRDefault="00D35E51" w:rsidP="00DF176D">
      <w:pPr>
        <w:pBdr>
          <w:top w:val="single" w:sz="4" w:space="1" w:color="auto"/>
        </w:pBdr>
        <w:tabs>
          <w:tab w:val="left" w:pos="3094"/>
        </w:tabs>
        <w:spacing w:line="240" w:lineRule="atLeast"/>
        <w:ind w:left="142"/>
        <w:rPr>
          <w:rFonts w:ascii="Times New Roman" w:hAnsi="Times New Roman" w:cs="Times New Roman"/>
          <w:lang w:val="ru-RU"/>
        </w:rPr>
      </w:pPr>
      <w:r w:rsidRPr="00A013E1">
        <w:rPr>
          <w:rFonts w:ascii="Times New Roman" w:hAnsi="Times New Roman" w:cs="Times New Roman"/>
          <w:lang w:val="ru-RU"/>
        </w:rPr>
        <w:lastRenderedPageBreak/>
        <w:t>Корабно удостоверение № .................. издадено от Дирекция „Речен надзор – ..........................”</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29"/>
        <w:gridCol w:w="30"/>
        <w:gridCol w:w="851"/>
        <w:gridCol w:w="425"/>
        <w:gridCol w:w="992"/>
        <w:gridCol w:w="567"/>
        <w:gridCol w:w="426"/>
        <w:gridCol w:w="961"/>
        <w:gridCol w:w="2299"/>
      </w:tblGrid>
      <w:tr w:rsidR="00271FA2" w:rsidRPr="00A013E1" w14:paraId="031BE3C9" w14:textId="77777777" w:rsidTr="00DF176D">
        <w:tc>
          <w:tcPr>
            <w:tcW w:w="9781" w:type="dxa"/>
            <w:gridSpan w:val="10"/>
            <w:tcBorders>
              <w:top w:val="single" w:sz="4" w:space="0" w:color="auto"/>
              <w:left w:val="single" w:sz="4" w:space="0" w:color="auto"/>
              <w:bottom w:val="single" w:sz="4" w:space="0" w:color="auto"/>
              <w:right w:val="single" w:sz="4" w:space="0" w:color="auto"/>
            </w:tcBorders>
          </w:tcPr>
          <w:p w14:paraId="1A8F361E" w14:textId="0F570196" w:rsidR="00271FA2" w:rsidRPr="00A013E1" w:rsidRDefault="00D35E51" w:rsidP="008E1C28">
            <w:pPr>
              <w:tabs>
                <w:tab w:val="left" w:pos="3094"/>
              </w:tabs>
              <w:spacing w:line="240" w:lineRule="atLeast"/>
              <w:ind w:right="-64"/>
              <w:rPr>
                <w:rFonts w:ascii="Times New Roman" w:hAnsi="Times New Roman" w:cs="Times New Roman"/>
                <w:lang w:val="ru-RU"/>
              </w:rPr>
            </w:pPr>
            <w:r w:rsidRPr="00A013E1">
              <w:rPr>
                <w:rFonts w:ascii="Times New Roman" w:hAnsi="Times New Roman" w:cs="Times New Roman"/>
                <w:lang w:val="ru-RU"/>
              </w:rPr>
              <w:t>16. Мерително свидетелство № ………..издадено от ………………… Бюро за</w:t>
            </w:r>
            <w:r w:rsidR="008E1C28" w:rsidRPr="00A013E1">
              <w:rPr>
                <w:rFonts w:ascii="Times New Roman" w:hAnsi="Times New Roman" w:cs="Times New Roman"/>
                <w:lang w:val="ru-RU"/>
              </w:rPr>
              <w:t xml:space="preserve"> </w:t>
            </w:r>
            <w:r w:rsidRPr="00A013E1">
              <w:rPr>
                <w:rFonts w:ascii="Times New Roman" w:hAnsi="Times New Roman" w:cs="Times New Roman"/>
                <w:lang w:val="ru-RU"/>
              </w:rPr>
              <w:t>измерване на дата ………………….</w:t>
            </w:r>
          </w:p>
        </w:tc>
      </w:tr>
      <w:tr w:rsidR="00271FA2" w:rsidRPr="00A013E1" w14:paraId="64588AB6" w14:textId="77777777" w:rsidTr="00DF176D">
        <w:tc>
          <w:tcPr>
            <w:tcW w:w="3260" w:type="dxa"/>
            <w:gridSpan w:val="3"/>
            <w:tcBorders>
              <w:top w:val="single" w:sz="4" w:space="0" w:color="auto"/>
              <w:left w:val="single" w:sz="4" w:space="0" w:color="auto"/>
              <w:bottom w:val="single" w:sz="4" w:space="0" w:color="auto"/>
              <w:right w:val="single" w:sz="4" w:space="0" w:color="auto"/>
            </w:tcBorders>
          </w:tcPr>
          <w:p w14:paraId="5FFE430D" w14:textId="77777777" w:rsidR="00271FA2" w:rsidRPr="00A013E1" w:rsidRDefault="00D35E51" w:rsidP="008E1C28">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17а Максимална дължина .…….</w:t>
            </w:r>
            <w:r w:rsidRPr="00A013E1">
              <w:rPr>
                <w:rFonts w:ascii="Times New Roman" w:hAnsi="Times New Roman" w:cs="Times New Roman"/>
              </w:rPr>
              <w:t>m</w:t>
            </w:r>
          </w:p>
          <w:p w14:paraId="385F29EF" w14:textId="77777777" w:rsidR="00271FA2" w:rsidRPr="00A013E1" w:rsidRDefault="00D35E51" w:rsidP="008E1C28">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17</w:t>
            </w:r>
            <w:r w:rsidRPr="00A013E1">
              <w:rPr>
                <w:rFonts w:ascii="Times New Roman" w:hAnsi="Times New Roman" w:cs="Times New Roman"/>
              </w:rPr>
              <w:t>b</w:t>
            </w:r>
            <w:r w:rsidRPr="00A013E1">
              <w:rPr>
                <w:rFonts w:ascii="Times New Roman" w:hAnsi="Times New Roman" w:cs="Times New Roman"/>
                <w:lang w:val="ru-RU"/>
              </w:rPr>
              <w:t xml:space="preserve"> Дължина…………</w:t>
            </w:r>
            <w:r w:rsidRPr="00A013E1">
              <w:rPr>
                <w:rFonts w:ascii="Times New Roman" w:hAnsi="Times New Roman" w:cs="Times New Roman"/>
              </w:rPr>
              <w:t>m</w:t>
            </w:r>
          </w:p>
        </w:tc>
        <w:tc>
          <w:tcPr>
            <w:tcW w:w="2268" w:type="dxa"/>
            <w:gridSpan w:val="3"/>
            <w:tcBorders>
              <w:top w:val="single" w:sz="4" w:space="0" w:color="auto"/>
              <w:left w:val="single" w:sz="4" w:space="0" w:color="auto"/>
              <w:bottom w:val="single" w:sz="4" w:space="0" w:color="auto"/>
              <w:right w:val="single" w:sz="4" w:space="0" w:color="auto"/>
            </w:tcBorders>
          </w:tcPr>
          <w:p w14:paraId="35D888FF" w14:textId="77777777" w:rsidR="00271FA2" w:rsidRPr="00A013E1" w:rsidRDefault="00D35E51" w:rsidP="008E1C28">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 xml:space="preserve">18а Максимална широчина …… </w:t>
            </w:r>
            <w:r w:rsidRPr="00A013E1">
              <w:rPr>
                <w:rFonts w:ascii="Times New Roman" w:hAnsi="Times New Roman" w:cs="Times New Roman"/>
              </w:rPr>
              <w:t>m</w:t>
            </w:r>
          </w:p>
          <w:p w14:paraId="4F0C69F0" w14:textId="17E495FD" w:rsidR="00271FA2" w:rsidRPr="00A013E1" w:rsidRDefault="00D35E51" w:rsidP="00B044B3">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18</w:t>
            </w:r>
            <w:r w:rsidRPr="00A013E1">
              <w:rPr>
                <w:rFonts w:ascii="Times New Roman" w:hAnsi="Times New Roman" w:cs="Times New Roman"/>
              </w:rPr>
              <w:t>b</w:t>
            </w:r>
            <w:r w:rsidRPr="00A013E1">
              <w:rPr>
                <w:rFonts w:ascii="Times New Roman" w:hAnsi="Times New Roman" w:cs="Times New Roman"/>
                <w:lang w:val="ru-RU"/>
              </w:rPr>
              <w:t xml:space="preserve"> Широчина …</w:t>
            </w:r>
            <w:r w:rsidRPr="00A013E1">
              <w:rPr>
                <w:rFonts w:ascii="Times New Roman" w:hAnsi="Times New Roman" w:cs="Times New Roman"/>
              </w:rPr>
              <w:t>m</w:t>
            </w:r>
          </w:p>
        </w:tc>
        <w:tc>
          <w:tcPr>
            <w:tcW w:w="1954" w:type="dxa"/>
            <w:gridSpan w:val="3"/>
            <w:tcBorders>
              <w:top w:val="single" w:sz="4" w:space="0" w:color="auto"/>
              <w:left w:val="single" w:sz="4" w:space="0" w:color="auto"/>
              <w:bottom w:val="single" w:sz="4" w:space="0" w:color="auto"/>
              <w:right w:val="single" w:sz="4" w:space="0" w:color="auto"/>
            </w:tcBorders>
          </w:tcPr>
          <w:p w14:paraId="2A490B15" w14:textId="77777777" w:rsidR="00271FA2" w:rsidRPr="00A013E1" w:rsidRDefault="00D35E51" w:rsidP="008E1C28">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19а Максимално газене ………..</w:t>
            </w:r>
            <w:r w:rsidRPr="00A013E1">
              <w:rPr>
                <w:rFonts w:ascii="Times New Roman" w:hAnsi="Times New Roman" w:cs="Times New Roman"/>
              </w:rPr>
              <w:t>m</w:t>
            </w:r>
          </w:p>
          <w:p w14:paraId="4F3AF7E0" w14:textId="375AB642" w:rsidR="00271FA2" w:rsidRPr="00A013E1" w:rsidRDefault="00D35E51" w:rsidP="008E1C28">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19</w:t>
            </w:r>
            <w:r w:rsidRPr="00A013E1">
              <w:rPr>
                <w:rFonts w:ascii="Times New Roman" w:hAnsi="Times New Roman" w:cs="Times New Roman"/>
              </w:rPr>
              <w:t>b</w:t>
            </w:r>
            <w:r w:rsidRPr="00A013E1">
              <w:rPr>
                <w:rFonts w:ascii="Times New Roman" w:hAnsi="Times New Roman" w:cs="Times New Roman"/>
                <w:lang w:val="ru-RU"/>
              </w:rPr>
              <w:t xml:space="preserve"> Газене ….. </w:t>
            </w:r>
            <w:r w:rsidRPr="00A013E1">
              <w:rPr>
                <w:rFonts w:ascii="Times New Roman" w:hAnsi="Times New Roman" w:cs="Times New Roman"/>
              </w:rPr>
              <w:t>m</w:t>
            </w:r>
          </w:p>
        </w:tc>
        <w:tc>
          <w:tcPr>
            <w:tcW w:w="2299" w:type="dxa"/>
            <w:tcBorders>
              <w:top w:val="single" w:sz="4" w:space="0" w:color="auto"/>
              <w:left w:val="single" w:sz="4" w:space="0" w:color="auto"/>
              <w:bottom w:val="single" w:sz="4" w:space="0" w:color="auto"/>
              <w:right w:val="single" w:sz="4" w:space="0" w:color="auto"/>
            </w:tcBorders>
          </w:tcPr>
          <w:p w14:paraId="24441EA6" w14:textId="77777777" w:rsidR="00271FA2" w:rsidRPr="00A013E1" w:rsidRDefault="00D35E51" w:rsidP="008E1C28">
            <w:pPr>
              <w:tabs>
                <w:tab w:val="left" w:pos="3094"/>
              </w:tabs>
              <w:spacing w:line="240" w:lineRule="atLeast"/>
              <w:ind w:right="-108"/>
              <w:rPr>
                <w:rFonts w:ascii="Times New Roman" w:hAnsi="Times New Roman" w:cs="Times New Roman"/>
              </w:rPr>
            </w:pPr>
            <w:r w:rsidRPr="00A013E1">
              <w:rPr>
                <w:rFonts w:ascii="Times New Roman" w:hAnsi="Times New Roman" w:cs="Times New Roman"/>
              </w:rPr>
              <w:t>20. Надводен борд ……… cm</w:t>
            </w:r>
          </w:p>
        </w:tc>
      </w:tr>
      <w:tr w:rsidR="00271FA2" w:rsidRPr="00A013E1" w14:paraId="34EAA404" w14:textId="77777777" w:rsidTr="00DF176D">
        <w:tc>
          <w:tcPr>
            <w:tcW w:w="3230" w:type="dxa"/>
            <w:gridSpan w:val="2"/>
            <w:tcBorders>
              <w:top w:val="single" w:sz="4" w:space="0" w:color="auto"/>
              <w:left w:val="single" w:sz="4" w:space="0" w:color="auto"/>
              <w:bottom w:val="single" w:sz="4" w:space="0" w:color="auto"/>
              <w:right w:val="single" w:sz="4" w:space="0" w:color="auto"/>
            </w:tcBorders>
          </w:tcPr>
          <w:p w14:paraId="33CE621A" w14:textId="77777777" w:rsidR="00271FA2" w:rsidRPr="00A013E1" w:rsidRDefault="00D35E51" w:rsidP="008E1C28">
            <w:pPr>
              <w:tabs>
                <w:tab w:val="left" w:pos="3094"/>
              </w:tabs>
              <w:spacing w:line="240" w:lineRule="atLeast"/>
              <w:ind w:right="-108"/>
              <w:jc w:val="both"/>
              <w:rPr>
                <w:rFonts w:ascii="Times New Roman" w:hAnsi="Times New Roman" w:cs="Times New Roman"/>
              </w:rPr>
            </w:pPr>
            <w:r w:rsidRPr="00A013E1">
              <w:rPr>
                <w:rFonts w:ascii="Times New Roman" w:hAnsi="Times New Roman" w:cs="Times New Roman"/>
              </w:rPr>
              <w:t>21. Дедуйд/Водоизместване*)</w:t>
            </w:r>
          </w:p>
          <w:p w14:paraId="0F964E33" w14:textId="2E0ECBAC" w:rsidR="00271FA2" w:rsidRPr="00A013E1" w:rsidRDefault="00D35E51" w:rsidP="008E1C28">
            <w:pPr>
              <w:tabs>
                <w:tab w:val="left" w:pos="3094"/>
              </w:tabs>
              <w:spacing w:line="240" w:lineRule="atLeast"/>
              <w:ind w:right="-108"/>
              <w:jc w:val="both"/>
              <w:rPr>
                <w:rFonts w:ascii="Times New Roman" w:hAnsi="Times New Roman" w:cs="Times New Roman"/>
              </w:rPr>
            </w:pPr>
            <w:r w:rsidRPr="00A013E1">
              <w:rPr>
                <w:rFonts w:ascii="Times New Roman" w:hAnsi="Times New Roman" w:cs="Times New Roman"/>
              </w:rPr>
              <w:t>…………………………..t/m</w:t>
            </w:r>
            <w:r w:rsidRPr="00A013E1">
              <w:rPr>
                <w:rFonts w:ascii="Times New Roman" w:hAnsi="Times New Roman" w:cs="Times New Roman"/>
                <w:vertAlign w:val="superscript"/>
              </w:rPr>
              <w:t>3</w:t>
            </w:r>
            <w:r w:rsidRPr="00A013E1">
              <w:rPr>
                <w:rFonts w:ascii="Times New Roman" w:hAnsi="Times New Roman" w:cs="Times New Roman"/>
              </w:rPr>
              <w:t>*)</w:t>
            </w:r>
          </w:p>
        </w:tc>
        <w:tc>
          <w:tcPr>
            <w:tcW w:w="2298" w:type="dxa"/>
            <w:gridSpan w:val="4"/>
            <w:tcBorders>
              <w:top w:val="single" w:sz="4" w:space="0" w:color="auto"/>
              <w:left w:val="single" w:sz="4" w:space="0" w:color="auto"/>
              <w:bottom w:val="single" w:sz="4" w:space="0" w:color="auto"/>
              <w:right w:val="single" w:sz="4" w:space="0" w:color="auto"/>
            </w:tcBorders>
          </w:tcPr>
          <w:p w14:paraId="1442AA56" w14:textId="08A83E6F" w:rsidR="00271FA2" w:rsidRPr="00A013E1" w:rsidRDefault="00D35E51" w:rsidP="008E1C28">
            <w:pPr>
              <w:tabs>
                <w:tab w:val="left" w:pos="3094"/>
              </w:tabs>
              <w:spacing w:line="240" w:lineRule="atLeast"/>
              <w:ind w:right="-108"/>
              <w:jc w:val="both"/>
              <w:rPr>
                <w:rFonts w:ascii="Times New Roman" w:hAnsi="Times New Roman" w:cs="Times New Roman"/>
              </w:rPr>
            </w:pPr>
            <w:r w:rsidRPr="00A013E1">
              <w:rPr>
                <w:rFonts w:ascii="Times New Roman" w:hAnsi="Times New Roman" w:cs="Times New Roman"/>
              </w:rPr>
              <w:t xml:space="preserve">22. Брой на </w:t>
            </w:r>
            <w:r w:rsidR="008E1C28" w:rsidRPr="00A013E1">
              <w:rPr>
                <w:rFonts w:ascii="Times New Roman" w:hAnsi="Times New Roman" w:cs="Times New Roman"/>
              </w:rPr>
              <w:t>п</w:t>
            </w:r>
            <w:r w:rsidRPr="00A013E1">
              <w:rPr>
                <w:rFonts w:ascii="Times New Roman" w:hAnsi="Times New Roman" w:cs="Times New Roman"/>
              </w:rPr>
              <w:t>ътниците</w:t>
            </w:r>
          </w:p>
        </w:tc>
        <w:tc>
          <w:tcPr>
            <w:tcW w:w="4253" w:type="dxa"/>
            <w:gridSpan w:val="4"/>
            <w:tcBorders>
              <w:top w:val="single" w:sz="4" w:space="0" w:color="auto"/>
              <w:left w:val="single" w:sz="4" w:space="0" w:color="auto"/>
              <w:bottom w:val="single" w:sz="4" w:space="0" w:color="auto"/>
              <w:right w:val="single" w:sz="4" w:space="0" w:color="auto"/>
            </w:tcBorders>
          </w:tcPr>
          <w:p w14:paraId="5C8D545F" w14:textId="77777777" w:rsidR="00271FA2" w:rsidRPr="00A013E1" w:rsidRDefault="00D35E51" w:rsidP="008E1C28">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23. Брой на спалните места за пътници:</w:t>
            </w:r>
          </w:p>
        </w:tc>
      </w:tr>
      <w:tr w:rsidR="00271FA2" w:rsidRPr="00A013E1" w14:paraId="77430EC6" w14:textId="77777777" w:rsidTr="00DF176D">
        <w:tc>
          <w:tcPr>
            <w:tcW w:w="3230" w:type="dxa"/>
            <w:gridSpan w:val="2"/>
            <w:tcBorders>
              <w:top w:val="single" w:sz="4" w:space="0" w:color="auto"/>
              <w:left w:val="single" w:sz="4" w:space="0" w:color="auto"/>
              <w:bottom w:val="single" w:sz="4" w:space="0" w:color="auto"/>
              <w:right w:val="single" w:sz="4" w:space="0" w:color="auto"/>
            </w:tcBorders>
          </w:tcPr>
          <w:p w14:paraId="28A30FB0" w14:textId="77777777" w:rsidR="00271FA2" w:rsidRPr="00A013E1" w:rsidRDefault="00D35E51" w:rsidP="008E1C28">
            <w:pPr>
              <w:tabs>
                <w:tab w:val="left" w:pos="3094"/>
              </w:tabs>
              <w:spacing w:line="240" w:lineRule="atLeast"/>
              <w:ind w:right="-108"/>
              <w:rPr>
                <w:rFonts w:ascii="Times New Roman" w:hAnsi="Times New Roman" w:cs="Times New Roman"/>
              </w:rPr>
            </w:pPr>
            <w:r w:rsidRPr="00A013E1">
              <w:rPr>
                <w:rFonts w:ascii="Times New Roman" w:hAnsi="Times New Roman" w:cs="Times New Roman"/>
              </w:rPr>
              <w:t>24. Брой водонепроницаеми прегради</w:t>
            </w:r>
          </w:p>
        </w:tc>
        <w:tc>
          <w:tcPr>
            <w:tcW w:w="2298" w:type="dxa"/>
            <w:gridSpan w:val="4"/>
            <w:tcBorders>
              <w:top w:val="single" w:sz="4" w:space="0" w:color="auto"/>
              <w:left w:val="single" w:sz="4" w:space="0" w:color="auto"/>
              <w:bottom w:val="single" w:sz="4" w:space="0" w:color="auto"/>
              <w:right w:val="single" w:sz="4" w:space="0" w:color="auto"/>
            </w:tcBorders>
          </w:tcPr>
          <w:p w14:paraId="129D8B70" w14:textId="77777777" w:rsidR="00271FA2" w:rsidRPr="00A013E1" w:rsidRDefault="00D35E51" w:rsidP="008E1C28">
            <w:pPr>
              <w:tabs>
                <w:tab w:val="left" w:pos="3094"/>
              </w:tabs>
              <w:spacing w:line="240" w:lineRule="atLeast"/>
              <w:ind w:right="-108"/>
              <w:jc w:val="both"/>
              <w:rPr>
                <w:rFonts w:ascii="Times New Roman" w:hAnsi="Times New Roman" w:cs="Times New Roman"/>
              </w:rPr>
            </w:pPr>
            <w:r w:rsidRPr="00A013E1">
              <w:rPr>
                <w:rFonts w:ascii="Times New Roman" w:hAnsi="Times New Roman" w:cs="Times New Roman"/>
              </w:rPr>
              <w:t>25. Брой трюмове</w:t>
            </w:r>
          </w:p>
        </w:tc>
        <w:tc>
          <w:tcPr>
            <w:tcW w:w="4253" w:type="dxa"/>
            <w:gridSpan w:val="4"/>
            <w:tcBorders>
              <w:top w:val="single" w:sz="4" w:space="0" w:color="auto"/>
              <w:left w:val="single" w:sz="4" w:space="0" w:color="auto"/>
              <w:bottom w:val="single" w:sz="4" w:space="0" w:color="auto"/>
              <w:right w:val="single" w:sz="4" w:space="0" w:color="auto"/>
            </w:tcBorders>
          </w:tcPr>
          <w:p w14:paraId="40FAF984" w14:textId="77777777" w:rsidR="00271FA2" w:rsidRPr="00A013E1" w:rsidRDefault="00D35E51" w:rsidP="008E1C28">
            <w:pPr>
              <w:tabs>
                <w:tab w:val="left" w:pos="3094"/>
              </w:tabs>
              <w:spacing w:line="240" w:lineRule="atLeast"/>
              <w:ind w:right="-108"/>
              <w:jc w:val="both"/>
              <w:rPr>
                <w:rFonts w:ascii="Times New Roman" w:hAnsi="Times New Roman" w:cs="Times New Roman"/>
              </w:rPr>
            </w:pPr>
            <w:r w:rsidRPr="00A013E1">
              <w:rPr>
                <w:rFonts w:ascii="Times New Roman" w:hAnsi="Times New Roman" w:cs="Times New Roman"/>
              </w:rPr>
              <w:t>26. Тип на трюмните закрития</w:t>
            </w:r>
          </w:p>
        </w:tc>
      </w:tr>
      <w:tr w:rsidR="00271FA2" w:rsidRPr="00A013E1" w14:paraId="6C31FCD6" w14:textId="77777777" w:rsidTr="00DF176D">
        <w:tc>
          <w:tcPr>
            <w:tcW w:w="3230" w:type="dxa"/>
            <w:gridSpan w:val="2"/>
            <w:tcBorders>
              <w:top w:val="single" w:sz="4" w:space="0" w:color="auto"/>
              <w:left w:val="single" w:sz="4" w:space="0" w:color="auto"/>
              <w:bottom w:val="single" w:sz="4" w:space="0" w:color="auto"/>
              <w:right w:val="single" w:sz="4" w:space="0" w:color="auto"/>
            </w:tcBorders>
          </w:tcPr>
          <w:p w14:paraId="629AA941" w14:textId="77777777" w:rsidR="00271FA2" w:rsidRPr="00A013E1" w:rsidRDefault="00D35E51" w:rsidP="008E1C28">
            <w:pPr>
              <w:tabs>
                <w:tab w:val="left" w:pos="3094"/>
              </w:tabs>
              <w:spacing w:line="240" w:lineRule="atLeast"/>
              <w:ind w:right="-108"/>
              <w:rPr>
                <w:rFonts w:ascii="Times New Roman" w:hAnsi="Times New Roman" w:cs="Times New Roman"/>
              </w:rPr>
            </w:pPr>
            <w:r w:rsidRPr="00A013E1">
              <w:rPr>
                <w:rFonts w:ascii="Times New Roman" w:hAnsi="Times New Roman" w:cs="Times New Roman"/>
              </w:rPr>
              <w:t>27. Брой главни задвижващи двигатели</w:t>
            </w:r>
          </w:p>
        </w:tc>
        <w:tc>
          <w:tcPr>
            <w:tcW w:w="2298" w:type="dxa"/>
            <w:gridSpan w:val="4"/>
            <w:tcBorders>
              <w:top w:val="single" w:sz="4" w:space="0" w:color="auto"/>
              <w:left w:val="single" w:sz="4" w:space="0" w:color="auto"/>
              <w:bottom w:val="single" w:sz="4" w:space="0" w:color="auto"/>
              <w:right w:val="single" w:sz="4" w:space="0" w:color="auto"/>
            </w:tcBorders>
          </w:tcPr>
          <w:p w14:paraId="625C0F08" w14:textId="396FDD99" w:rsidR="00271FA2" w:rsidRPr="00A013E1" w:rsidRDefault="00D35E51" w:rsidP="00B044B3">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 xml:space="preserve">28. Обща номинална мощност на задвижващите двигатели …… </w:t>
            </w:r>
            <w:r w:rsidRPr="00A013E1">
              <w:rPr>
                <w:rFonts w:ascii="Times New Roman" w:hAnsi="Times New Roman" w:cs="Times New Roman"/>
              </w:rPr>
              <w:t>kW</w:t>
            </w:r>
          </w:p>
        </w:tc>
        <w:tc>
          <w:tcPr>
            <w:tcW w:w="4253" w:type="dxa"/>
            <w:gridSpan w:val="4"/>
            <w:tcBorders>
              <w:top w:val="single" w:sz="4" w:space="0" w:color="auto"/>
              <w:left w:val="single" w:sz="4" w:space="0" w:color="auto"/>
              <w:bottom w:val="single" w:sz="4" w:space="0" w:color="auto"/>
              <w:right w:val="single" w:sz="4" w:space="0" w:color="auto"/>
            </w:tcBorders>
          </w:tcPr>
          <w:p w14:paraId="00B99FBE" w14:textId="77777777" w:rsidR="00271FA2" w:rsidRPr="00A013E1" w:rsidRDefault="00D35E51" w:rsidP="008E1C28">
            <w:pPr>
              <w:tabs>
                <w:tab w:val="left" w:pos="3094"/>
              </w:tabs>
              <w:spacing w:line="240" w:lineRule="atLeast"/>
              <w:ind w:right="-108"/>
              <w:jc w:val="both"/>
              <w:rPr>
                <w:rFonts w:ascii="Times New Roman" w:hAnsi="Times New Roman" w:cs="Times New Roman"/>
              </w:rPr>
            </w:pPr>
            <w:r w:rsidRPr="00A013E1">
              <w:rPr>
                <w:rFonts w:ascii="Times New Roman" w:hAnsi="Times New Roman" w:cs="Times New Roman"/>
              </w:rPr>
              <w:t>29. Брой на гребните винтове</w:t>
            </w:r>
          </w:p>
        </w:tc>
      </w:tr>
      <w:tr w:rsidR="00271FA2" w:rsidRPr="00A013E1" w14:paraId="298D5947" w14:textId="77777777" w:rsidTr="00DF176D">
        <w:tc>
          <w:tcPr>
            <w:tcW w:w="4536" w:type="dxa"/>
            <w:gridSpan w:val="5"/>
            <w:tcBorders>
              <w:top w:val="single" w:sz="4" w:space="0" w:color="auto"/>
              <w:left w:val="single" w:sz="4" w:space="0" w:color="auto"/>
              <w:bottom w:val="single" w:sz="4" w:space="0" w:color="auto"/>
              <w:right w:val="single" w:sz="4" w:space="0" w:color="auto"/>
            </w:tcBorders>
          </w:tcPr>
          <w:p w14:paraId="54BD7C27" w14:textId="1395160B" w:rsidR="00271FA2" w:rsidRPr="00A013E1" w:rsidRDefault="00D35E51" w:rsidP="00B044B3">
            <w:pPr>
              <w:tabs>
                <w:tab w:val="left" w:pos="0"/>
              </w:tabs>
              <w:spacing w:line="240" w:lineRule="atLeast"/>
              <w:ind w:right="-108"/>
              <w:rPr>
                <w:rFonts w:ascii="Times New Roman" w:hAnsi="Times New Roman" w:cs="Times New Roman"/>
                <w:lang w:val="ru-RU"/>
              </w:rPr>
            </w:pPr>
            <w:r w:rsidRPr="00A013E1">
              <w:rPr>
                <w:rFonts w:ascii="Times New Roman" w:hAnsi="Times New Roman" w:cs="Times New Roman"/>
                <w:lang w:val="ru-RU"/>
              </w:rPr>
              <w:t>30. Брой носови брашпили ……,от които ……. с двигател</w:t>
            </w:r>
          </w:p>
        </w:tc>
        <w:tc>
          <w:tcPr>
            <w:tcW w:w="5245" w:type="dxa"/>
            <w:gridSpan w:val="5"/>
            <w:tcBorders>
              <w:top w:val="single" w:sz="4" w:space="0" w:color="auto"/>
              <w:left w:val="single" w:sz="4" w:space="0" w:color="auto"/>
              <w:bottom w:val="single" w:sz="4" w:space="0" w:color="auto"/>
              <w:right w:val="single" w:sz="4" w:space="0" w:color="auto"/>
            </w:tcBorders>
          </w:tcPr>
          <w:p w14:paraId="0450C474" w14:textId="597B6735" w:rsidR="00271FA2" w:rsidRPr="00A013E1" w:rsidRDefault="00D35E51" w:rsidP="00B044B3">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31. Брой кърмови брашпили………..,от които ………… с двигател</w:t>
            </w:r>
          </w:p>
        </w:tc>
      </w:tr>
      <w:tr w:rsidR="00271FA2" w:rsidRPr="00A013E1" w14:paraId="4DFA9610" w14:textId="77777777" w:rsidTr="00DF176D">
        <w:tc>
          <w:tcPr>
            <w:tcW w:w="3260" w:type="dxa"/>
            <w:gridSpan w:val="3"/>
            <w:tcBorders>
              <w:top w:val="single" w:sz="4" w:space="0" w:color="auto"/>
              <w:left w:val="single" w:sz="4" w:space="0" w:color="auto"/>
              <w:bottom w:val="single" w:sz="4" w:space="0" w:color="auto"/>
              <w:right w:val="single" w:sz="4" w:space="0" w:color="auto"/>
            </w:tcBorders>
          </w:tcPr>
          <w:p w14:paraId="2EA6C90B" w14:textId="77777777" w:rsidR="00271FA2" w:rsidRPr="00A013E1" w:rsidRDefault="00D35E51" w:rsidP="00B044B3">
            <w:pPr>
              <w:tabs>
                <w:tab w:val="left" w:pos="3094"/>
              </w:tabs>
              <w:spacing w:line="240" w:lineRule="atLeast"/>
              <w:ind w:right="-108"/>
              <w:rPr>
                <w:rFonts w:ascii="Times New Roman" w:hAnsi="Times New Roman" w:cs="Times New Roman"/>
              </w:rPr>
            </w:pPr>
            <w:r w:rsidRPr="00A013E1">
              <w:rPr>
                <w:rFonts w:ascii="Times New Roman" w:hAnsi="Times New Roman" w:cs="Times New Roman"/>
              </w:rPr>
              <w:t>32. Брой куки за влачене ……</w:t>
            </w:r>
          </w:p>
        </w:tc>
        <w:tc>
          <w:tcPr>
            <w:tcW w:w="6521" w:type="dxa"/>
            <w:gridSpan w:val="7"/>
            <w:tcBorders>
              <w:top w:val="single" w:sz="4" w:space="0" w:color="auto"/>
              <w:left w:val="single" w:sz="4" w:space="0" w:color="auto"/>
              <w:bottom w:val="single" w:sz="4" w:space="0" w:color="auto"/>
              <w:right w:val="single" w:sz="4" w:space="0" w:color="auto"/>
            </w:tcBorders>
          </w:tcPr>
          <w:p w14:paraId="4AA9C163" w14:textId="77777777" w:rsidR="00B044B3" w:rsidRPr="00A013E1" w:rsidRDefault="00D35E51" w:rsidP="00B044B3">
            <w:pPr>
              <w:tabs>
                <w:tab w:val="left" w:pos="3094"/>
              </w:tabs>
              <w:spacing w:line="240" w:lineRule="atLeast"/>
              <w:ind w:right="-108"/>
              <w:rPr>
                <w:rFonts w:ascii="Times New Roman" w:hAnsi="Times New Roman" w:cs="Times New Roman"/>
                <w:lang w:val="ru-RU"/>
              </w:rPr>
            </w:pPr>
            <w:r w:rsidRPr="00A013E1">
              <w:rPr>
                <w:rFonts w:ascii="Times New Roman" w:hAnsi="Times New Roman" w:cs="Times New Roman"/>
                <w:lang w:val="ru-RU"/>
              </w:rPr>
              <w:t xml:space="preserve">33. Брой буксирни лебедки………, от които </w:t>
            </w:r>
          </w:p>
          <w:p w14:paraId="4F7B7314" w14:textId="631D8FE0" w:rsidR="00271FA2" w:rsidRPr="00A013E1" w:rsidRDefault="00D35E51" w:rsidP="00B044B3">
            <w:pPr>
              <w:tabs>
                <w:tab w:val="left" w:pos="3094"/>
              </w:tabs>
              <w:spacing w:line="240" w:lineRule="atLeast"/>
              <w:ind w:right="-108"/>
              <w:rPr>
                <w:rFonts w:ascii="Times New Roman" w:hAnsi="Times New Roman" w:cs="Times New Roman"/>
              </w:rPr>
            </w:pPr>
            <w:r w:rsidRPr="00A013E1">
              <w:rPr>
                <w:rFonts w:ascii="Times New Roman" w:hAnsi="Times New Roman" w:cs="Times New Roman"/>
                <w:lang w:val="ru-RU"/>
              </w:rPr>
              <w:t xml:space="preserve">………….. </w:t>
            </w:r>
            <w:r w:rsidRPr="00A013E1">
              <w:rPr>
                <w:rFonts w:ascii="Times New Roman" w:hAnsi="Times New Roman" w:cs="Times New Roman"/>
              </w:rPr>
              <w:t>с двигател</w:t>
            </w:r>
          </w:p>
        </w:tc>
      </w:tr>
      <w:tr w:rsidR="00271FA2" w:rsidRPr="00A013E1" w14:paraId="5A19C3B9" w14:textId="77777777" w:rsidTr="00DF176D">
        <w:tc>
          <w:tcPr>
            <w:tcW w:w="9781" w:type="dxa"/>
            <w:gridSpan w:val="10"/>
            <w:tcBorders>
              <w:top w:val="single" w:sz="4" w:space="0" w:color="auto"/>
              <w:left w:val="single" w:sz="4" w:space="0" w:color="auto"/>
              <w:bottom w:val="single" w:sz="4" w:space="0" w:color="auto"/>
              <w:right w:val="single" w:sz="4" w:space="0" w:color="auto"/>
            </w:tcBorders>
          </w:tcPr>
          <w:p w14:paraId="215BCED0" w14:textId="77777777" w:rsidR="00271FA2" w:rsidRPr="00A013E1" w:rsidRDefault="00D35E51" w:rsidP="00B044B3">
            <w:pPr>
              <w:tabs>
                <w:tab w:val="left" w:pos="3094"/>
              </w:tabs>
              <w:spacing w:line="240" w:lineRule="atLeast"/>
              <w:jc w:val="both"/>
              <w:rPr>
                <w:rFonts w:ascii="Times New Roman" w:hAnsi="Times New Roman" w:cs="Times New Roman"/>
              </w:rPr>
            </w:pPr>
            <w:r w:rsidRPr="00A013E1">
              <w:rPr>
                <w:rFonts w:ascii="Times New Roman" w:hAnsi="Times New Roman" w:cs="Times New Roman"/>
              </w:rPr>
              <w:t>34. Рулева система</w:t>
            </w:r>
          </w:p>
        </w:tc>
      </w:tr>
      <w:tr w:rsidR="00271FA2" w:rsidRPr="00A013E1" w14:paraId="43EA8228" w14:textId="77777777" w:rsidTr="00DF176D">
        <w:tc>
          <w:tcPr>
            <w:tcW w:w="1701" w:type="dxa"/>
            <w:tcBorders>
              <w:top w:val="single" w:sz="4" w:space="0" w:color="auto"/>
              <w:left w:val="single" w:sz="4" w:space="0" w:color="auto"/>
              <w:bottom w:val="single" w:sz="4" w:space="0" w:color="auto"/>
              <w:right w:val="single" w:sz="4" w:space="0" w:color="auto"/>
            </w:tcBorders>
          </w:tcPr>
          <w:p w14:paraId="297678F5" w14:textId="77777777" w:rsidR="00271FA2" w:rsidRPr="00A013E1" w:rsidRDefault="00D35E51" w:rsidP="00B044B3">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Брой пера на основния рул</w:t>
            </w:r>
          </w:p>
        </w:tc>
        <w:tc>
          <w:tcPr>
            <w:tcW w:w="2835" w:type="dxa"/>
            <w:gridSpan w:val="4"/>
            <w:tcBorders>
              <w:top w:val="single" w:sz="4" w:space="0" w:color="auto"/>
              <w:left w:val="single" w:sz="4" w:space="0" w:color="auto"/>
              <w:bottom w:val="single" w:sz="4" w:space="0" w:color="auto"/>
              <w:right w:val="single" w:sz="4" w:space="0" w:color="auto"/>
            </w:tcBorders>
          </w:tcPr>
          <w:p w14:paraId="410B264C" w14:textId="6E333378" w:rsidR="00271FA2" w:rsidRPr="00A013E1" w:rsidRDefault="00D35E51" w:rsidP="00B044B3">
            <w:pPr>
              <w:tabs>
                <w:tab w:val="left" w:pos="3094"/>
              </w:tabs>
              <w:spacing w:line="240" w:lineRule="atLeast"/>
              <w:rPr>
                <w:rFonts w:ascii="Times New Roman" w:hAnsi="Times New Roman" w:cs="Times New Roman"/>
              </w:rPr>
            </w:pPr>
            <w:r w:rsidRPr="00A013E1">
              <w:rPr>
                <w:rFonts w:ascii="Times New Roman" w:hAnsi="Times New Roman" w:cs="Times New Roman"/>
              </w:rPr>
              <w:t>Задвижване</w:t>
            </w:r>
            <w:r w:rsidR="00B044B3" w:rsidRPr="00A013E1">
              <w:rPr>
                <w:rFonts w:ascii="Times New Roman" w:hAnsi="Times New Roman" w:cs="Times New Roman"/>
              </w:rPr>
              <w:t xml:space="preserve"> </w:t>
            </w:r>
            <w:r w:rsidRPr="00A013E1">
              <w:rPr>
                <w:rFonts w:ascii="Times New Roman" w:hAnsi="Times New Roman" w:cs="Times New Roman"/>
              </w:rPr>
              <w:t>на основния рул</w:t>
            </w:r>
          </w:p>
        </w:tc>
        <w:tc>
          <w:tcPr>
            <w:tcW w:w="1985" w:type="dxa"/>
            <w:gridSpan w:val="3"/>
            <w:tcBorders>
              <w:top w:val="single" w:sz="4" w:space="0" w:color="auto"/>
              <w:left w:val="single" w:sz="4" w:space="0" w:color="auto"/>
              <w:bottom w:val="single" w:sz="4" w:space="0" w:color="auto"/>
              <w:right w:val="single" w:sz="4" w:space="0" w:color="auto"/>
            </w:tcBorders>
          </w:tcPr>
          <w:p w14:paraId="63C8FC89" w14:textId="77777777" w:rsidR="00271FA2" w:rsidRPr="00A013E1" w:rsidRDefault="00D35E51" w:rsidP="00B044B3">
            <w:pPr>
              <w:tabs>
                <w:tab w:val="left" w:pos="3094"/>
              </w:tabs>
              <w:spacing w:line="240" w:lineRule="atLeast"/>
              <w:jc w:val="both"/>
              <w:rPr>
                <w:rFonts w:ascii="Times New Roman" w:hAnsi="Times New Roman" w:cs="Times New Roman"/>
              </w:rPr>
            </w:pPr>
            <w:r w:rsidRPr="00A013E1">
              <w:rPr>
                <w:rFonts w:ascii="Times New Roman" w:hAnsi="Times New Roman" w:cs="Times New Roman"/>
              </w:rPr>
              <w:t>- ръчно*)</w:t>
            </w:r>
          </w:p>
          <w:p w14:paraId="308D0630" w14:textId="3D4A6CEB" w:rsidR="00271FA2" w:rsidRPr="00A013E1" w:rsidRDefault="00D35E51" w:rsidP="00B044B3">
            <w:pPr>
              <w:tabs>
                <w:tab w:val="left" w:pos="3094"/>
              </w:tabs>
              <w:spacing w:line="240" w:lineRule="atLeast"/>
              <w:jc w:val="both"/>
              <w:rPr>
                <w:rFonts w:ascii="Times New Roman" w:hAnsi="Times New Roman" w:cs="Times New Roman"/>
              </w:rPr>
            </w:pPr>
            <w:r w:rsidRPr="00A013E1">
              <w:rPr>
                <w:rFonts w:ascii="Times New Roman" w:hAnsi="Times New Roman" w:cs="Times New Roman"/>
              </w:rPr>
              <w:t xml:space="preserve">- </w:t>
            </w:r>
            <w:r w:rsidR="00B044B3" w:rsidRPr="00A013E1">
              <w:rPr>
                <w:rFonts w:ascii="Times New Roman" w:hAnsi="Times New Roman" w:cs="Times New Roman"/>
              </w:rPr>
              <w:t>e</w:t>
            </w:r>
            <w:r w:rsidRPr="00A013E1">
              <w:rPr>
                <w:rFonts w:ascii="Times New Roman" w:hAnsi="Times New Roman" w:cs="Times New Roman"/>
              </w:rPr>
              <w:t>лектрическо*)</w:t>
            </w:r>
          </w:p>
        </w:tc>
        <w:tc>
          <w:tcPr>
            <w:tcW w:w="3260" w:type="dxa"/>
            <w:gridSpan w:val="2"/>
            <w:tcBorders>
              <w:top w:val="single" w:sz="4" w:space="0" w:color="auto"/>
              <w:left w:val="single" w:sz="4" w:space="0" w:color="auto"/>
              <w:bottom w:val="single" w:sz="4" w:space="0" w:color="auto"/>
              <w:right w:val="single" w:sz="4" w:space="0" w:color="auto"/>
            </w:tcBorders>
          </w:tcPr>
          <w:p w14:paraId="2D3320ED" w14:textId="6B41439E" w:rsidR="00271FA2" w:rsidRPr="00A013E1" w:rsidRDefault="00D35E51" w:rsidP="00B044B3">
            <w:pPr>
              <w:tabs>
                <w:tab w:val="left" w:pos="3094"/>
              </w:tabs>
              <w:spacing w:line="240" w:lineRule="atLeast"/>
              <w:jc w:val="both"/>
              <w:rPr>
                <w:rFonts w:ascii="Times New Roman" w:hAnsi="Times New Roman" w:cs="Times New Roman"/>
              </w:rPr>
            </w:pPr>
            <w:r w:rsidRPr="00A013E1">
              <w:rPr>
                <w:rFonts w:ascii="Times New Roman" w:hAnsi="Times New Roman" w:cs="Times New Roman"/>
              </w:rPr>
              <w:t xml:space="preserve">- </w:t>
            </w:r>
            <w:r w:rsidR="00B044B3" w:rsidRPr="00A013E1">
              <w:rPr>
                <w:rFonts w:ascii="Times New Roman" w:hAnsi="Times New Roman" w:cs="Times New Roman"/>
              </w:rPr>
              <w:t>e</w:t>
            </w:r>
            <w:r w:rsidRPr="00A013E1">
              <w:rPr>
                <w:rFonts w:ascii="Times New Roman" w:hAnsi="Times New Roman" w:cs="Times New Roman"/>
              </w:rPr>
              <w:t>лектрохидравлично*)</w:t>
            </w:r>
          </w:p>
          <w:p w14:paraId="1D82F480" w14:textId="77777777" w:rsidR="00271FA2" w:rsidRPr="00A013E1" w:rsidRDefault="00D35E51" w:rsidP="00B044B3">
            <w:pPr>
              <w:tabs>
                <w:tab w:val="left" w:pos="3094"/>
              </w:tabs>
              <w:spacing w:line="240" w:lineRule="atLeast"/>
              <w:jc w:val="both"/>
              <w:rPr>
                <w:rFonts w:ascii="Times New Roman" w:hAnsi="Times New Roman" w:cs="Times New Roman"/>
              </w:rPr>
            </w:pPr>
            <w:r w:rsidRPr="00A013E1">
              <w:rPr>
                <w:rFonts w:ascii="Times New Roman" w:hAnsi="Times New Roman" w:cs="Times New Roman"/>
              </w:rPr>
              <w:t>- хидравлично*)</w:t>
            </w:r>
          </w:p>
        </w:tc>
      </w:tr>
      <w:tr w:rsidR="00271FA2" w:rsidRPr="00A013E1" w14:paraId="2D6037BE" w14:textId="77777777" w:rsidTr="00DF176D">
        <w:trPr>
          <w:trHeight w:val="362"/>
        </w:trPr>
        <w:tc>
          <w:tcPr>
            <w:tcW w:w="9781" w:type="dxa"/>
            <w:gridSpan w:val="10"/>
            <w:tcBorders>
              <w:top w:val="single" w:sz="4" w:space="0" w:color="auto"/>
              <w:left w:val="single" w:sz="4" w:space="0" w:color="auto"/>
              <w:bottom w:val="single" w:sz="4" w:space="0" w:color="auto"/>
              <w:right w:val="single" w:sz="4" w:space="0" w:color="auto"/>
            </w:tcBorders>
          </w:tcPr>
          <w:p w14:paraId="16900017" w14:textId="77777777" w:rsidR="00271FA2" w:rsidRPr="00A013E1" w:rsidRDefault="00D35E51" w:rsidP="00B044B3">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Други инсталации: да/не*) Тип:</w:t>
            </w:r>
          </w:p>
        </w:tc>
      </w:tr>
      <w:tr w:rsidR="00271FA2" w:rsidRPr="00A013E1" w14:paraId="59A27380" w14:textId="77777777" w:rsidTr="00DF176D">
        <w:tc>
          <w:tcPr>
            <w:tcW w:w="1701" w:type="dxa"/>
            <w:tcBorders>
              <w:top w:val="single" w:sz="4" w:space="0" w:color="auto"/>
              <w:left w:val="single" w:sz="4" w:space="0" w:color="auto"/>
              <w:bottom w:val="single" w:sz="4" w:space="0" w:color="auto"/>
              <w:right w:val="single" w:sz="4" w:space="0" w:color="auto"/>
            </w:tcBorders>
          </w:tcPr>
          <w:p w14:paraId="5F472F24" w14:textId="77777777" w:rsidR="00271FA2" w:rsidRPr="00A013E1" w:rsidRDefault="00D35E51" w:rsidP="00B044B3">
            <w:pPr>
              <w:tabs>
                <w:tab w:val="left" w:pos="3094"/>
              </w:tabs>
              <w:spacing w:line="240" w:lineRule="atLeast"/>
              <w:jc w:val="both"/>
              <w:rPr>
                <w:rFonts w:ascii="Times New Roman" w:hAnsi="Times New Roman" w:cs="Times New Roman"/>
              </w:rPr>
            </w:pPr>
            <w:r w:rsidRPr="00A013E1">
              <w:rPr>
                <w:rFonts w:ascii="Times New Roman" w:hAnsi="Times New Roman" w:cs="Times New Roman"/>
              </w:rPr>
              <w:t xml:space="preserve">Фланкиращи пера да/не*) </w:t>
            </w:r>
          </w:p>
        </w:tc>
        <w:tc>
          <w:tcPr>
            <w:tcW w:w="2410" w:type="dxa"/>
            <w:gridSpan w:val="3"/>
            <w:tcBorders>
              <w:top w:val="single" w:sz="4" w:space="0" w:color="auto"/>
              <w:left w:val="single" w:sz="4" w:space="0" w:color="auto"/>
              <w:bottom w:val="single" w:sz="4" w:space="0" w:color="auto"/>
              <w:right w:val="single" w:sz="4" w:space="0" w:color="auto"/>
            </w:tcBorders>
          </w:tcPr>
          <w:p w14:paraId="48E85DFB" w14:textId="41CBF2D8" w:rsidR="00271FA2" w:rsidRPr="00A013E1" w:rsidRDefault="00D35E51" w:rsidP="00B044B3">
            <w:pPr>
              <w:tabs>
                <w:tab w:val="left" w:pos="3094"/>
              </w:tabs>
              <w:spacing w:line="240" w:lineRule="atLeast"/>
              <w:rPr>
                <w:rFonts w:ascii="Times New Roman" w:hAnsi="Times New Roman" w:cs="Times New Roman"/>
              </w:rPr>
            </w:pPr>
            <w:r w:rsidRPr="00A013E1">
              <w:rPr>
                <w:rFonts w:ascii="Times New Roman" w:hAnsi="Times New Roman" w:cs="Times New Roman"/>
              </w:rPr>
              <w:t xml:space="preserve">Задвижване на фланкиращите </w:t>
            </w:r>
            <w:r w:rsidR="00B044B3" w:rsidRPr="00A013E1">
              <w:rPr>
                <w:rFonts w:ascii="Times New Roman" w:hAnsi="Times New Roman" w:cs="Times New Roman"/>
              </w:rPr>
              <w:t>пе</w:t>
            </w:r>
            <w:r w:rsidRPr="00A013E1">
              <w:rPr>
                <w:rFonts w:ascii="Times New Roman" w:hAnsi="Times New Roman" w:cs="Times New Roman"/>
              </w:rPr>
              <w:t xml:space="preserve">ра*) </w:t>
            </w:r>
          </w:p>
        </w:tc>
        <w:tc>
          <w:tcPr>
            <w:tcW w:w="1984" w:type="dxa"/>
            <w:gridSpan w:val="3"/>
            <w:tcBorders>
              <w:top w:val="single" w:sz="4" w:space="0" w:color="auto"/>
              <w:left w:val="single" w:sz="4" w:space="0" w:color="auto"/>
              <w:bottom w:val="single" w:sz="4" w:space="0" w:color="auto"/>
              <w:right w:val="single" w:sz="4" w:space="0" w:color="auto"/>
            </w:tcBorders>
          </w:tcPr>
          <w:p w14:paraId="156A4139" w14:textId="77777777" w:rsidR="00271FA2" w:rsidRPr="00A013E1" w:rsidRDefault="00D35E51" w:rsidP="00B044B3">
            <w:pPr>
              <w:tabs>
                <w:tab w:val="left" w:pos="3094"/>
              </w:tabs>
              <w:spacing w:line="240" w:lineRule="atLeast"/>
              <w:rPr>
                <w:rFonts w:ascii="Times New Roman" w:hAnsi="Times New Roman" w:cs="Times New Roman"/>
              </w:rPr>
            </w:pPr>
            <w:r w:rsidRPr="00A013E1">
              <w:rPr>
                <w:rFonts w:ascii="Times New Roman" w:hAnsi="Times New Roman" w:cs="Times New Roman"/>
              </w:rPr>
              <w:t xml:space="preserve">- ръчно*) </w:t>
            </w:r>
          </w:p>
          <w:p w14:paraId="2854F5C9" w14:textId="4830186B" w:rsidR="00271FA2" w:rsidRPr="00A013E1" w:rsidRDefault="00D35E51" w:rsidP="00B044B3">
            <w:pPr>
              <w:tabs>
                <w:tab w:val="left" w:pos="3094"/>
              </w:tabs>
              <w:spacing w:line="240" w:lineRule="atLeast"/>
              <w:rPr>
                <w:rFonts w:ascii="Times New Roman" w:hAnsi="Times New Roman" w:cs="Times New Roman"/>
              </w:rPr>
            </w:pPr>
            <w:r w:rsidRPr="00A013E1">
              <w:rPr>
                <w:rFonts w:ascii="Times New Roman" w:hAnsi="Times New Roman" w:cs="Times New Roman"/>
              </w:rPr>
              <w:t xml:space="preserve">- </w:t>
            </w:r>
            <w:r w:rsidR="00B044B3" w:rsidRPr="00A013E1">
              <w:rPr>
                <w:rFonts w:ascii="Times New Roman" w:hAnsi="Times New Roman" w:cs="Times New Roman"/>
              </w:rPr>
              <w:t>e</w:t>
            </w:r>
            <w:r w:rsidRPr="00A013E1">
              <w:rPr>
                <w:rFonts w:ascii="Times New Roman" w:hAnsi="Times New Roman" w:cs="Times New Roman"/>
              </w:rPr>
              <w:t>лектрическо*)</w:t>
            </w:r>
          </w:p>
        </w:tc>
        <w:tc>
          <w:tcPr>
            <w:tcW w:w="3686" w:type="dxa"/>
            <w:gridSpan w:val="3"/>
            <w:tcBorders>
              <w:top w:val="single" w:sz="4" w:space="0" w:color="auto"/>
              <w:left w:val="single" w:sz="4" w:space="0" w:color="auto"/>
              <w:bottom w:val="single" w:sz="4" w:space="0" w:color="auto"/>
              <w:right w:val="single" w:sz="4" w:space="0" w:color="auto"/>
            </w:tcBorders>
          </w:tcPr>
          <w:p w14:paraId="5E65DDD5" w14:textId="77777777" w:rsidR="00271FA2" w:rsidRPr="00A013E1" w:rsidRDefault="00D35E51" w:rsidP="00B044B3">
            <w:pPr>
              <w:tabs>
                <w:tab w:val="left" w:pos="3094"/>
              </w:tabs>
              <w:spacing w:line="240" w:lineRule="atLeast"/>
              <w:rPr>
                <w:rFonts w:ascii="Times New Roman" w:hAnsi="Times New Roman" w:cs="Times New Roman"/>
              </w:rPr>
            </w:pPr>
            <w:r w:rsidRPr="00A013E1">
              <w:rPr>
                <w:rFonts w:ascii="Times New Roman" w:hAnsi="Times New Roman" w:cs="Times New Roman"/>
              </w:rPr>
              <w:t>електрическо/хидравлично*)</w:t>
            </w:r>
          </w:p>
          <w:p w14:paraId="04FC2EF7" w14:textId="77777777" w:rsidR="00271FA2" w:rsidRPr="00A013E1" w:rsidRDefault="00D35E51" w:rsidP="00B044B3">
            <w:pPr>
              <w:tabs>
                <w:tab w:val="left" w:pos="3094"/>
              </w:tabs>
              <w:spacing w:line="240" w:lineRule="atLeast"/>
              <w:rPr>
                <w:rFonts w:ascii="Times New Roman" w:hAnsi="Times New Roman" w:cs="Times New Roman"/>
              </w:rPr>
            </w:pPr>
            <w:r w:rsidRPr="00A013E1">
              <w:rPr>
                <w:rFonts w:ascii="Times New Roman" w:hAnsi="Times New Roman" w:cs="Times New Roman"/>
              </w:rPr>
              <w:t>хидравлично*)</w:t>
            </w:r>
          </w:p>
        </w:tc>
      </w:tr>
      <w:tr w:rsidR="00271FA2" w:rsidRPr="00A013E1" w14:paraId="0C9B3B4C" w14:textId="77777777" w:rsidTr="00DF176D">
        <w:tc>
          <w:tcPr>
            <w:tcW w:w="1701" w:type="dxa"/>
            <w:tcBorders>
              <w:top w:val="single" w:sz="4" w:space="0" w:color="auto"/>
              <w:left w:val="single" w:sz="4" w:space="0" w:color="auto"/>
              <w:bottom w:val="single" w:sz="4" w:space="0" w:color="auto"/>
              <w:right w:val="single" w:sz="4" w:space="0" w:color="auto"/>
            </w:tcBorders>
          </w:tcPr>
          <w:p w14:paraId="4835D110" w14:textId="77777777" w:rsidR="00271FA2" w:rsidRPr="00A013E1" w:rsidRDefault="00D35E51" w:rsidP="00B044B3">
            <w:pPr>
              <w:tabs>
                <w:tab w:val="left" w:pos="3094"/>
              </w:tabs>
              <w:spacing w:line="240" w:lineRule="atLeast"/>
              <w:rPr>
                <w:rFonts w:ascii="Times New Roman" w:hAnsi="Times New Roman" w:cs="Times New Roman"/>
                <w:u w:val="single"/>
                <w:lang w:val="ru-RU"/>
              </w:rPr>
            </w:pPr>
            <w:r w:rsidRPr="00A013E1">
              <w:rPr>
                <w:rFonts w:ascii="Times New Roman" w:hAnsi="Times New Roman" w:cs="Times New Roman"/>
                <w:lang w:val="ru-RU"/>
              </w:rPr>
              <w:t>Оборудване на носови рул да/не*)</w:t>
            </w:r>
          </w:p>
        </w:tc>
        <w:tc>
          <w:tcPr>
            <w:tcW w:w="2410" w:type="dxa"/>
            <w:gridSpan w:val="3"/>
            <w:tcBorders>
              <w:top w:val="single" w:sz="4" w:space="0" w:color="auto"/>
              <w:left w:val="single" w:sz="4" w:space="0" w:color="auto"/>
              <w:bottom w:val="single" w:sz="4" w:space="0" w:color="auto"/>
              <w:right w:val="single" w:sz="4" w:space="0" w:color="auto"/>
            </w:tcBorders>
          </w:tcPr>
          <w:p w14:paraId="53A22B4D" w14:textId="77777777" w:rsidR="00271FA2" w:rsidRPr="00A013E1" w:rsidRDefault="00D35E51" w:rsidP="00B044B3">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носови рул*)</w:t>
            </w:r>
          </w:p>
          <w:p w14:paraId="0F6416AC" w14:textId="78259370" w:rsidR="00271FA2" w:rsidRPr="00A013E1" w:rsidRDefault="00D35E51" w:rsidP="00B044B3">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xml:space="preserve">- носово </w:t>
            </w:r>
            <w:r w:rsidR="00B044B3" w:rsidRPr="00A013E1">
              <w:rPr>
                <w:rFonts w:ascii="Times New Roman" w:hAnsi="Times New Roman" w:cs="Times New Roman"/>
                <w:lang w:val="ru-RU"/>
              </w:rPr>
              <w:t>по</w:t>
            </w:r>
            <w:r w:rsidRPr="00A013E1">
              <w:rPr>
                <w:rFonts w:ascii="Times New Roman" w:hAnsi="Times New Roman" w:cs="Times New Roman"/>
                <w:lang w:val="ru-RU"/>
              </w:rPr>
              <w:t>друлващо*)</w:t>
            </w:r>
          </w:p>
          <w:p w14:paraId="0DC674F7" w14:textId="54963655" w:rsidR="00271FA2" w:rsidRPr="00A013E1" w:rsidRDefault="00D35E51" w:rsidP="00B044B3">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xml:space="preserve">- друго </w:t>
            </w:r>
            <w:r w:rsidR="00B044B3" w:rsidRPr="00A013E1">
              <w:rPr>
                <w:rFonts w:ascii="Times New Roman" w:hAnsi="Times New Roman" w:cs="Times New Roman"/>
                <w:lang w:val="ru-RU"/>
              </w:rPr>
              <w:t>о</w:t>
            </w:r>
            <w:r w:rsidRPr="00A013E1">
              <w:rPr>
                <w:rFonts w:ascii="Times New Roman" w:hAnsi="Times New Roman" w:cs="Times New Roman"/>
                <w:lang w:val="ru-RU"/>
              </w:rPr>
              <w:t>борудване*)</w:t>
            </w:r>
          </w:p>
        </w:tc>
        <w:tc>
          <w:tcPr>
            <w:tcW w:w="1984" w:type="dxa"/>
            <w:gridSpan w:val="3"/>
            <w:tcBorders>
              <w:top w:val="single" w:sz="4" w:space="0" w:color="auto"/>
              <w:left w:val="single" w:sz="4" w:space="0" w:color="auto"/>
              <w:bottom w:val="single" w:sz="4" w:space="0" w:color="auto"/>
              <w:right w:val="single" w:sz="4" w:space="0" w:color="auto"/>
            </w:tcBorders>
          </w:tcPr>
          <w:p w14:paraId="1181EF37" w14:textId="77777777" w:rsidR="00271FA2" w:rsidRPr="00A013E1" w:rsidRDefault="00D35E51" w:rsidP="00B044B3">
            <w:pPr>
              <w:tabs>
                <w:tab w:val="left" w:pos="3094"/>
              </w:tabs>
              <w:spacing w:line="240" w:lineRule="atLeast"/>
              <w:jc w:val="both"/>
              <w:rPr>
                <w:rFonts w:ascii="Times New Roman" w:hAnsi="Times New Roman" w:cs="Times New Roman"/>
                <w:u w:val="single"/>
              </w:rPr>
            </w:pPr>
            <w:r w:rsidRPr="00A013E1">
              <w:rPr>
                <w:rFonts w:ascii="Times New Roman" w:hAnsi="Times New Roman" w:cs="Times New Roman"/>
              </w:rPr>
              <w:t>Дистанционно управление да/не*)</w:t>
            </w:r>
          </w:p>
        </w:tc>
        <w:tc>
          <w:tcPr>
            <w:tcW w:w="3686" w:type="dxa"/>
            <w:gridSpan w:val="3"/>
            <w:tcBorders>
              <w:top w:val="single" w:sz="4" w:space="0" w:color="auto"/>
              <w:left w:val="single" w:sz="4" w:space="0" w:color="auto"/>
              <w:bottom w:val="single" w:sz="4" w:space="0" w:color="auto"/>
              <w:right w:val="single" w:sz="4" w:space="0" w:color="auto"/>
            </w:tcBorders>
          </w:tcPr>
          <w:p w14:paraId="40C2CF65" w14:textId="77777777" w:rsidR="00271FA2" w:rsidRPr="00A013E1" w:rsidRDefault="00D35E51" w:rsidP="00B044B3">
            <w:pPr>
              <w:tabs>
                <w:tab w:val="left" w:pos="3094"/>
              </w:tabs>
              <w:spacing w:line="240" w:lineRule="atLeast"/>
              <w:jc w:val="both"/>
              <w:rPr>
                <w:rFonts w:ascii="Times New Roman" w:hAnsi="Times New Roman" w:cs="Times New Roman"/>
                <w:u w:val="single"/>
              </w:rPr>
            </w:pPr>
            <w:r w:rsidRPr="00A013E1">
              <w:rPr>
                <w:rFonts w:ascii="Times New Roman" w:hAnsi="Times New Roman" w:cs="Times New Roman"/>
              </w:rPr>
              <w:t>Дистанционно задвижване да/не*)</w:t>
            </w:r>
          </w:p>
        </w:tc>
      </w:tr>
      <w:tr w:rsidR="00271FA2" w:rsidRPr="00A013E1" w14:paraId="3D15DE39" w14:textId="77777777" w:rsidTr="00DF176D">
        <w:tc>
          <w:tcPr>
            <w:tcW w:w="9781" w:type="dxa"/>
            <w:gridSpan w:val="10"/>
            <w:tcBorders>
              <w:top w:val="single" w:sz="4" w:space="0" w:color="auto"/>
              <w:left w:val="single" w:sz="4" w:space="0" w:color="auto"/>
              <w:bottom w:val="single" w:sz="4" w:space="0" w:color="auto"/>
              <w:right w:val="single" w:sz="4" w:space="0" w:color="auto"/>
            </w:tcBorders>
          </w:tcPr>
          <w:p w14:paraId="3A3E91C6" w14:textId="77777777" w:rsidR="00271FA2" w:rsidRPr="00A013E1" w:rsidRDefault="00D35E51" w:rsidP="00B044B3">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35. Осушителна система</w:t>
            </w:r>
          </w:p>
          <w:p w14:paraId="0D6B377E" w14:textId="77777777" w:rsidR="00271FA2" w:rsidRPr="00A013E1" w:rsidRDefault="00D35E51" w:rsidP="00B044B3">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Брой на осушителните помпи</w:t>
            </w:r>
            <w:r w:rsidRPr="00A013E1">
              <w:rPr>
                <w:rFonts w:ascii="Times New Roman" w:hAnsi="Times New Roman" w:cs="Times New Roman"/>
                <w:lang w:val="ru-RU"/>
              </w:rPr>
              <w:tab/>
              <w:t>………………, от които механизирани ………….</w:t>
            </w:r>
          </w:p>
          <w:p w14:paraId="653C9917" w14:textId="77777777" w:rsidR="00271FA2" w:rsidRPr="00A013E1" w:rsidRDefault="00D35E51" w:rsidP="00B044B3">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Минимален дебит</w:t>
            </w:r>
            <w:r w:rsidRPr="00A013E1">
              <w:rPr>
                <w:rFonts w:ascii="Times New Roman" w:hAnsi="Times New Roman" w:cs="Times New Roman"/>
                <w:lang w:val="ru-RU"/>
              </w:rPr>
              <w:tab/>
            </w:r>
            <w:r w:rsidRPr="00A013E1">
              <w:rPr>
                <w:rFonts w:ascii="Times New Roman" w:hAnsi="Times New Roman" w:cs="Times New Roman"/>
                <w:lang w:val="ru-RU"/>
              </w:rPr>
              <w:tab/>
              <w:t xml:space="preserve">първа помпа ………………… </w:t>
            </w:r>
            <w:r w:rsidRPr="00A013E1">
              <w:rPr>
                <w:rFonts w:ascii="Times New Roman" w:hAnsi="Times New Roman" w:cs="Times New Roman"/>
              </w:rPr>
              <w:t>l</w:t>
            </w:r>
            <w:r w:rsidRPr="00A013E1">
              <w:rPr>
                <w:rFonts w:ascii="Times New Roman" w:hAnsi="Times New Roman" w:cs="Times New Roman"/>
                <w:lang w:val="ru-RU"/>
              </w:rPr>
              <w:t>/</w:t>
            </w:r>
            <w:r w:rsidRPr="00A013E1">
              <w:rPr>
                <w:rFonts w:ascii="Times New Roman" w:hAnsi="Times New Roman" w:cs="Times New Roman"/>
              </w:rPr>
              <w:t>min</w:t>
            </w:r>
          </w:p>
          <w:p w14:paraId="60C9E9A9" w14:textId="77777777" w:rsidR="00271FA2" w:rsidRPr="00A013E1" w:rsidRDefault="00D35E51" w:rsidP="00B044B3">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 xml:space="preserve">втора помпа …………………. l/min </w:t>
            </w:r>
          </w:p>
        </w:tc>
      </w:tr>
      <w:tr w:rsidR="00271FA2" w:rsidRPr="00A013E1" w14:paraId="39A90376" w14:textId="77777777" w:rsidTr="00DF176D">
        <w:tc>
          <w:tcPr>
            <w:tcW w:w="9781" w:type="dxa"/>
            <w:gridSpan w:val="10"/>
            <w:tcBorders>
              <w:top w:val="single" w:sz="4" w:space="0" w:color="auto"/>
              <w:left w:val="single" w:sz="4" w:space="0" w:color="auto"/>
              <w:bottom w:val="single" w:sz="4" w:space="0" w:color="auto"/>
              <w:right w:val="single" w:sz="4" w:space="0" w:color="auto"/>
            </w:tcBorders>
          </w:tcPr>
          <w:p w14:paraId="0AFB04C8" w14:textId="21AF4474" w:rsidR="00271FA2" w:rsidRPr="00A013E1" w:rsidRDefault="00D35E51" w:rsidP="00B044B3">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Изменена е позиция(и): ……………………………………………………………………</w:t>
            </w:r>
          </w:p>
          <w:p w14:paraId="5AED6C44" w14:textId="2D94A36B" w:rsidR="00F11222" w:rsidRPr="00A013E1" w:rsidRDefault="00F11222" w:rsidP="00B044B3">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w:t>
            </w:r>
          </w:p>
          <w:p w14:paraId="5AF3187D" w14:textId="055BA663" w:rsidR="00271FA2" w:rsidRPr="00A013E1" w:rsidRDefault="00D35E51" w:rsidP="00B044B3">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lastRenderedPageBreak/>
              <w:t xml:space="preserve">Нов </w:t>
            </w:r>
            <w:r w:rsidR="00B044B3" w:rsidRPr="00A013E1">
              <w:rPr>
                <w:rFonts w:ascii="Times New Roman" w:hAnsi="Times New Roman" w:cs="Times New Roman"/>
                <w:lang w:val="ru-RU"/>
              </w:rPr>
              <w:t xml:space="preserve">текст : </w:t>
            </w:r>
            <w:r w:rsidRPr="00A013E1">
              <w:rPr>
                <w:rFonts w:ascii="Times New Roman" w:hAnsi="Times New Roman" w:cs="Times New Roman"/>
                <w:lang w:val="ru-RU"/>
              </w:rPr>
              <w:t>……………………………………………………………………………………...</w:t>
            </w:r>
          </w:p>
          <w:p w14:paraId="3AFF5737" w14:textId="280ACDC7" w:rsidR="00271FA2" w:rsidRPr="00A013E1" w:rsidRDefault="00D35E51" w:rsidP="00B044B3">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70C1B0B8" w14:textId="41850C68" w:rsidR="00271FA2" w:rsidRPr="00A013E1" w:rsidRDefault="00D35E51" w:rsidP="00B044B3">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78260871" w14:textId="77777777" w:rsidR="00271FA2" w:rsidRPr="00A013E1" w:rsidRDefault="00D35E51" w:rsidP="00F1122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Тази страница е била заменена.</w:t>
            </w:r>
          </w:p>
          <w:p w14:paraId="661EC92A" w14:textId="77777777" w:rsidR="00271FA2" w:rsidRPr="00A013E1" w:rsidRDefault="00D35E51" w:rsidP="00F1122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461842AC" w14:textId="77777777" w:rsidR="00271FA2" w:rsidRPr="00A013E1" w:rsidRDefault="00D35E51" w:rsidP="00F11222">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2BC2A856" w14:textId="77777777" w:rsidR="00271FA2" w:rsidRPr="00A013E1" w:rsidRDefault="00D35E51" w:rsidP="00F11222">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p>
          <w:p w14:paraId="65C0BBA3" w14:textId="77777777" w:rsidR="00271FA2" w:rsidRPr="00A013E1" w:rsidRDefault="00D35E51" w:rsidP="00F11222">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2DEB5899" w14:textId="77777777" w:rsidR="00271FA2" w:rsidRPr="00A013E1" w:rsidRDefault="00D35E51">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r w:rsidRPr="00A013E1">
              <w:rPr>
                <w:rFonts w:ascii="Times New Roman" w:hAnsi="Times New Roman" w:cs="Times New Roman"/>
                <w:noProof/>
                <w:lang w:eastAsia="bg-BG"/>
              </w:rPr>
              <mc:AlternateContent>
                <mc:Choice Requires="wps">
                  <w:drawing>
                    <wp:anchor distT="0" distB="0" distL="114300" distR="114300" simplePos="0" relativeHeight="251699200" behindDoc="0" locked="0" layoutInCell="1" allowOverlap="1" wp14:anchorId="6CA04C3C" wp14:editId="5C999AE6">
                      <wp:simplePos x="0" y="0"/>
                      <wp:positionH relativeFrom="column">
                        <wp:posOffset>19685</wp:posOffset>
                      </wp:positionH>
                      <wp:positionV relativeFrom="paragraph">
                        <wp:posOffset>132080</wp:posOffset>
                      </wp:positionV>
                      <wp:extent cx="1634490" cy="0"/>
                      <wp:effectExtent l="0" t="0" r="3810" b="0"/>
                      <wp:wrapNone/>
                      <wp:docPr id="453" name="Straight Connector 22"/>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22" o:spid="_x0000_s1026" o:spt="20" style="position:absolute;left:0pt;margin-left:1.55pt;margin-top:10.4pt;height:0pt;width:128.7pt;z-index:251699200;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DK+j+49AEAAPoDAAAOAAAAAAAAAAEAIAAAACMBAABkcnMvZTJvRG9jLnhtbFBLBQYA&#10;AAAABgAGAFkBAACJBQAAAAA=&#10;">
                      <v:fill on="f" focussize="0,0"/>
                      <v:stroke color="#000000" joinstyle="round"/>
                      <v:imagedata o:title=""/>
                      <o:lock v:ext="edit" aspectratio="f"/>
                    </v:line>
                  </w:pict>
                </mc:Fallback>
              </mc:AlternateContent>
            </w:r>
          </w:p>
          <w:p w14:paraId="38B2AD24" w14:textId="77777777" w:rsidR="00271FA2" w:rsidRPr="00A013E1" w:rsidRDefault="00D35E51" w:rsidP="00F11222">
            <w:pPr>
              <w:tabs>
                <w:tab w:val="left" w:pos="3094"/>
              </w:tabs>
              <w:spacing w:line="240" w:lineRule="atLeast"/>
              <w:jc w:val="both"/>
              <w:rPr>
                <w:rFonts w:ascii="Times New Roman" w:hAnsi="Times New Roman" w:cs="Times New Roman"/>
              </w:rPr>
            </w:pPr>
            <w:r w:rsidRPr="00A013E1">
              <w:rPr>
                <w:rFonts w:ascii="Times New Roman" w:hAnsi="Times New Roman" w:cs="Times New Roman"/>
              </w:rPr>
              <w:t>*) Неприложимото се зачерква</w:t>
            </w:r>
          </w:p>
        </w:tc>
      </w:tr>
    </w:tbl>
    <w:p w14:paraId="77BF728D" w14:textId="780A6505" w:rsidR="00DF176D" w:rsidRPr="00A013E1" w:rsidRDefault="00DF176D" w:rsidP="00CB6C78">
      <w:pPr>
        <w:pBdr>
          <w:top w:val="single" w:sz="4" w:space="1" w:color="auto"/>
        </w:pBdr>
        <w:tabs>
          <w:tab w:val="left" w:pos="3094"/>
        </w:tabs>
        <w:spacing w:line="240" w:lineRule="atLeast"/>
        <w:rPr>
          <w:rFonts w:ascii="Times New Roman" w:hAnsi="Times New Roman" w:cs="Times New Roman"/>
        </w:rPr>
      </w:pPr>
    </w:p>
    <w:p w14:paraId="41D2645B" w14:textId="77777777" w:rsidR="00DF176D" w:rsidRPr="00A013E1" w:rsidRDefault="00DF176D">
      <w:pPr>
        <w:rPr>
          <w:rFonts w:ascii="Times New Roman" w:hAnsi="Times New Roman" w:cs="Times New Roman"/>
        </w:rPr>
      </w:pPr>
      <w:r w:rsidRPr="00A013E1">
        <w:rPr>
          <w:rFonts w:ascii="Times New Roman" w:hAnsi="Times New Roman" w:cs="Times New Roman"/>
        </w:rPr>
        <w:br w:type="page"/>
      </w:r>
    </w:p>
    <w:p w14:paraId="23F6A75A" w14:textId="582E0E5B" w:rsidR="00271FA2" w:rsidRPr="00A013E1" w:rsidRDefault="00D35E51" w:rsidP="00DF176D">
      <w:pPr>
        <w:pBdr>
          <w:top w:val="single" w:sz="4" w:space="1" w:color="auto"/>
        </w:pBdr>
        <w:tabs>
          <w:tab w:val="left" w:pos="3094"/>
        </w:tabs>
        <w:spacing w:line="240" w:lineRule="atLeast"/>
        <w:ind w:left="142"/>
        <w:rPr>
          <w:rFonts w:ascii="Times New Roman" w:hAnsi="Times New Roman" w:cs="Times New Roman"/>
          <w:lang w:val="ru-RU"/>
        </w:rPr>
      </w:pPr>
      <w:r w:rsidRPr="00A013E1">
        <w:rPr>
          <w:rFonts w:ascii="Times New Roman" w:hAnsi="Times New Roman" w:cs="Times New Roman"/>
          <w:lang w:val="ru-RU"/>
        </w:rPr>
        <w:lastRenderedPageBreak/>
        <w:t>Корабно удостоверение № .................. издадено от Дирекция „Речен надзор – ..........................”</w:t>
      </w:r>
    </w:p>
    <w:tbl>
      <w:tblPr>
        <w:tblW w:w="9781" w:type="dxa"/>
        <w:tblInd w:w="137" w:type="dxa"/>
        <w:tblLayout w:type="fixed"/>
        <w:tblLook w:val="04A0" w:firstRow="1" w:lastRow="0" w:firstColumn="1" w:lastColumn="0" w:noHBand="0" w:noVBand="1"/>
      </w:tblPr>
      <w:tblGrid>
        <w:gridCol w:w="2098"/>
        <w:gridCol w:w="1274"/>
        <w:gridCol w:w="1356"/>
        <w:gridCol w:w="1509"/>
        <w:gridCol w:w="546"/>
        <w:gridCol w:w="2998"/>
      </w:tblGrid>
      <w:tr w:rsidR="00271FA2" w:rsidRPr="00A013E1" w14:paraId="4FF940AD" w14:textId="77777777" w:rsidTr="00DF176D">
        <w:tc>
          <w:tcPr>
            <w:tcW w:w="9781" w:type="dxa"/>
            <w:gridSpan w:val="6"/>
            <w:tcBorders>
              <w:top w:val="single" w:sz="4" w:space="0" w:color="auto"/>
              <w:left w:val="single" w:sz="4" w:space="0" w:color="auto"/>
              <w:bottom w:val="single" w:sz="4" w:space="0" w:color="auto"/>
              <w:right w:val="single" w:sz="4" w:space="0" w:color="auto"/>
            </w:tcBorders>
          </w:tcPr>
          <w:p w14:paraId="487EE73C"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36. Брой и разположение на затварящите устройства, указани в член 8.08, раздели 10 и 11</w:t>
            </w:r>
          </w:p>
          <w:p w14:paraId="15E963EA" w14:textId="77777777" w:rsidR="00CB6C78" w:rsidRPr="00A013E1" w:rsidRDefault="00CB6C78" w:rsidP="00CB6C78">
            <w:pPr>
              <w:tabs>
                <w:tab w:val="left" w:pos="3094"/>
              </w:tabs>
              <w:spacing w:line="240" w:lineRule="atLeast"/>
              <w:jc w:val="both"/>
              <w:rPr>
                <w:rFonts w:ascii="Times New Roman" w:hAnsi="Times New Roman" w:cs="Times New Roman"/>
                <w:lang w:val="ru-RU"/>
              </w:rPr>
            </w:pPr>
          </w:p>
          <w:p w14:paraId="20BB6408" w14:textId="77777777" w:rsidR="00271FA2" w:rsidRPr="00A013E1" w:rsidRDefault="00271FA2">
            <w:pPr>
              <w:tabs>
                <w:tab w:val="left" w:pos="3094"/>
              </w:tabs>
              <w:spacing w:line="240" w:lineRule="atLeast"/>
              <w:jc w:val="both"/>
              <w:rPr>
                <w:rFonts w:ascii="Times New Roman" w:hAnsi="Times New Roman" w:cs="Times New Roman"/>
                <w:lang w:val="ru-RU"/>
              </w:rPr>
            </w:pPr>
          </w:p>
        </w:tc>
      </w:tr>
      <w:tr w:rsidR="00271FA2" w:rsidRPr="00A013E1" w14:paraId="48D67CA2" w14:textId="77777777" w:rsidTr="00DF176D">
        <w:tc>
          <w:tcPr>
            <w:tcW w:w="9781" w:type="dxa"/>
            <w:gridSpan w:val="6"/>
            <w:tcBorders>
              <w:top w:val="single" w:sz="4" w:space="0" w:color="auto"/>
              <w:left w:val="single" w:sz="4" w:space="0" w:color="auto"/>
              <w:bottom w:val="single" w:sz="4" w:space="0" w:color="auto"/>
              <w:right w:val="single" w:sz="4" w:space="0" w:color="auto"/>
            </w:tcBorders>
          </w:tcPr>
          <w:p w14:paraId="28330869" w14:textId="77777777" w:rsidR="00271FA2" w:rsidRPr="00A013E1" w:rsidRDefault="00D35E51" w:rsidP="00CB6C78">
            <w:pPr>
              <w:tabs>
                <w:tab w:val="left" w:pos="3094"/>
              </w:tabs>
              <w:spacing w:line="240" w:lineRule="atLeast"/>
              <w:jc w:val="both"/>
              <w:rPr>
                <w:rFonts w:ascii="Times New Roman" w:hAnsi="Times New Roman" w:cs="Times New Roman"/>
              </w:rPr>
            </w:pPr>
            <w:r w:rsidRPr="00A013E1">
              <w:rPr>
                <w:rFonts w:ascii="Times New Roman" w:hAnsi="Times New Roman" w:cs="Times New Roman"/>
              </w:rPr>
              <w:t>37. Котви</w:t>
            </w:r>
          </w:p>
        </w:tc>
      </w:tr>
      <w:tr w:rsidR="00271FA2" w:rsidRPr="00A013E1" w14:paraId="568AF2FC" w14:textId="77777777" w:rsidTr="00DF176D">
        <w:tc>
          <w:tcPr>
            <w:tcW w:w="2098" w:type="dxa"/>
            <w:tcBorders>
              <w:top w:val="single" w:sz="4" w:space="0" w:color="auto"/>
              <w:left w:val="single" w:sz="4" w:space="0" w:color="auto"/>
              <w:bottom w:val="single" w:sz="4" w:space="0" w:color="auto"/>
              <w:right w:val="single" w:sz="4" w:space="0" w:color="auto"/>
            </w:tcBorders>
          </w:tcPr>
          <w:p w14:paraId="6778408B" w14:textId="77777777"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Брой носови котви</w:t>
            </w:r>
          </w:p>
        </w:tc>
        <w:tc>
          <w:tcPr>
            <w:tcW w:w="2630" w:type="dxa"/>
            <w:gridSpan w:val="2"/>
            <w:tcBorders>
              <w:top w:val="single" w:sz="4" w:space="0" w:color="auto"/>
              <w:left w:val="single" w:sz="4" w:space="0" w:color="auto"/>
              <w:bottom w:val="single" w:sz="4" w:space="0" w:color="auto"/>
              <w:right w:val="single" w:sz="4" w:space="0" w:color="auto"/>
            </w:tcBorders>
          </w:tcPr>
          <w:p w14:paraId="0B5111B4" w14:textId="77777777" w:rsidR="00271FA2" w:rsidRPr="00A013E1" w:rsidRDefault="00D35E51" w:rsidP="00CB6C78">
            <w:pPr>
              <w:tabs>
                <w:tab w:val="left" w:pos="3094"/>
              </w:tabs>
              <w:spacing w:line="240" w:lineRule="atLeast"/>
              <w:rPr>
                <w:rFonts w:ascii="Times New Roman" w:hAnsi="Times New Roman" w:cs="Times New Roman"/>
                <w:b/>
                <w:lang w:val="ru-RU"/>
              </w:rPr>
            </w:pPr>
            <w:r w:rsidRPr="00A013E1">
              <w:rPr>
                <w:rFonts w:ascii="Times New Roman" w:hAnsi="Times New Roman" w:cs="Times New Roman"/>
                <w:lang w:val="ru-RU"/>
              </w:rPr>
              <w:t>Обща маса на носовите котви</w:t>
            </w:r>
          </w:p>
        </w:tc>
        <w:tc>
          <w:tcPr>
            <w:tcW w:w="2055" w:type="dxa"/>
            <w:gridSpan w:val="2"/>
            <w:tcBorders>
              <w:top w:val="single" w:sz="4" w:space="0" w:color="auto"/>
              <w:left w:val="single" w:sz="4" w:space="0" w:color="auto"/>
              <w:bottom w:val="single" w:sz="4" w:space="0" w:color="auto"/>
              <w:right w:val="single" w:sz="4" w:space="0" w:color="auto"/>
            </w:tcBorders>
          </w:tcPr>
          <w:p w14:paraId="4020EDDF" w14:textId="77777777" w:rsidR="00271FA2" w:rsidRPr="00A013E1" w:rsidRDefault="00D35E51" w:rsidP="00CB6C78">
            <w:pPr>
              <w:tabs>
                <w:tab w:val="left" w:pos="-4865"/>
              </w:tabs>
              <w:spacing w:line="240" w:lineRule="atLeast"/>
              <w:ind w:right="-97"/>
              <w:rPr>
                <w:rFonts w:ascii="Times New Roman" w:hAnsi="Times New Roman" w:cs="Times New Roman"/>
              </w:rPr>
            </w:pPr>
            <w:r w:rsidRPr="00A013E1">
              <w:rPr>
                <w:rFonts w:ascii="Times New Roman" w:hAnsi="Times New Roman" w:cs="Times New Roman"/>
              </w:rPr>
              <w:t xml:space="preserve">Брой кърмови котви </w:t>
            </w:r>
          </w:p>
        </w:tc>
        <w:tc>
          <w:tcPr>
            <w:tcW w:w="2998" w:type="dxa"/>
            <w:tcBorders>
              <w:top w:val="single" w:sz="4" w:space="0" w:color="auto"/>
              <w:left w:val="single" w:sz="4" w:space="0" w:color="auto"/>
              <w:bottom w:val="single" w:sz="4" w:space="0" w:color="auto"/>
              <w:right w:val="single" w:sz="4" w:space="0" w:color="auto"/>
            </w:tcBorders>
          </w:tcPr>
          <w:p w14:paraId="4A5268CA" w14:textId="77777777" w:rsidR="00271FA2" w:rsidRPr="00A013E1" w:rsidRDefault="00D35E51" w:rsidP="00CB6C7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Обща маса на кърмовите котви</w:t>
            </w:r>
          </w:p>
        </w:tc>
      </w:tr>
      <w:tr w:rsidR="00271FA2" w:rsidRPr="00A013E1" w14:paraId="0636E917" w14:textId="77777777" w:rsidTr="00DF176D">
        <w:trPr>
          <w:trHeight w:val="355"/>
        </w:trPr>
        <w:tc>
          <w:tcPr>
            <w:tcW w:w="2098" w:type="dxa"/>
            <w:tcBorders>
              <w:top w:val="single" w:sz="4" w:space="0" w:color="auto"/>
              <w:left w:val="single" w:sz="4" w:space="0" w:color="auto"/>
              <w:bottom w:val="single" w:sz="4" w:space="0" w:color="auto"/>
              <w:right w:val="single" w:sz="4" w:space="0" w:color="auto"/>
            </w:tcBorders>
          </w:tcPr>
          <w:p w14:paraId="2B989314" w14:textId="79E99598" w:rsidR="00271FA2" w:rsidRPr="00A013E1" w:rsidRDefault="00D35E51" w:rsidP="00CB6C78">
            <w:pPr>
              <w:tabs>
                <w:tab w:val="left" w:pos="3094"/>
              </w:tabs>
              <w:spacing w:line="240" w:lineRule="atLeast"/>
              <w:jc w:val="both"/>
              <w:rPr>
                <w:rFonts w:ascii="Times New Roman" w:hAnsi="Times New Roman" w:cs="Times New Roman"/>
              </w:rPr>
            </w:pPr>
            <w:r w:rsidRPr="00A013E1">
              <w:rPr>
                <w:rFonts w:ascii="Times New Roman" w:hAnsi="Times New Roman" w:cs="Times New Roman"/>
              </w:rPr>
              <w:t>…………………</w:t>
            </w:r>
          </w:p>
        </w:tc>
        <w:tc>
          <w:tcPr>
            <w:tcW w:w="2630" w:type="dxa"/>
            <w:gridSpan w:val="2"/>
            <w:tcBorders>
              <w:top w:val="single" w:sz="4" w:space="0" w:color="auto"/>
              <w:left w:val="single" w:sz="4" w:space="0" w:color="auto"/>
              <w:bottom w:val="single" w:sz="4" w:space="0" w:color="auto"/>
              <w:right w:val="single" w:sz="4" w:space="0" w:color="auto"/>
            </w:tcBorders>
          </w:tcPr>
          <w:p w14:paraId="174F1E77" w14:textId="111CCE93" w:rsidR="00271FA2" w:rsidRPr="00A013E1" w:rsidRDefault="00D35E51" w:rsidP="00CB6C78">
            <w:pPr>
              <w:tabs>
                <w:tab w:val="left" w:pos="3094"/>
              </w:tabs>
              <w:spacing w:line="240" w:lineRule="atLeast"/>
              <w:jc w:val="both"/>
              <w:rPr>
                <w:rFonts w:ascii="Times New Roman" w:hAnsi="Times New Roman" w:cs="Times New Roman"/>
              </w:rPr>
            </w:pPr>
            <w:r w:rsidRPr="00A013E1">
              <w:rPr>
                <w:rFonts w:ascii="Times New Roman" w:hAnsi="Times New Roman" w:cs="Times New Roman"/>
              </w:rPr>
              <w:t>………………………kg</w:t>
            </w:r>
          </w:p>
        </w:tc>
        <w:tc>
          <w:tcPr>
            <w:tcW w:w="2055" w:type="dxa"/>
            <w:gridSpan w:val="2"/>
            <w:tcBorders>
              <w:top w:val="single" w:sz="4" w:space="0" w:color="auto"/>
              <w:left w:val="single" w:sz="4" w:space="0" w:color="auto"/>
              <w:bottom w:val="single" w:sz="4" w:space="0" w:color="auto"/>
              <w:right w:val="single" w:sz="4" w:space="0" w:color="auto"/>
            </w:tcBorders>
          </w:tcPr>
          <w:p w14:paraId="5150778C" w14:textId="77777777" w:rsidR="00271FA2" w:rsidRPr="00A013E1" w:rsidRDefault="00D35E51" w:rsidP="00CB6C78">
            <w:pPr>
              <w:tabs>
                <w:tab w:val="left" w:pos="3094"/>
              </w:tabs>
              <w:spacing w:line="240" w:lineRule="atLeast"/>
              <w:jc w:val="both"/>
              <w:rPr>
                <w:rFonts w:ascii="Times New Roman" w:hAnsi="Times New Roman" w:cs="Times New Roman"/>
              </w:rPr>
            </w:pPr>
            <w:r w:rsidRPr="00A013E1">
              <w:rPr>
                <w:rFonts w:ascii="Times New Roman" w:hAnsi="Times New Roman" w:cs="Times New Roman"/>
              </w:rPr>
              <w:t>…………………..</w:t>
            </w:r>
          </w:p>
        </w:tc>
        <w:tc>
          <w:tcPr>
            <w:tcW w:w="2998" w:type="dxa"/>
            <w:tcBorders>
              <w:top w:val="single" w:sz="4" w:space="0" w:color="auto"/>
              <w:left w:val="single" w:sz="4" w:space="0" w:color="auto"/>
              <w:bottom w:val="single" w:sz="4" w:space="0" w:color="auto"/>
              <w:right w:val="single" w:sz="4" w:space="0" w:color="auto"/>
            </w:tcBorders>
          </w:tcPr>
          <w:p w14:paraId="1707182B" w14:textId="77777777" w:rsidR="00271FA2" w:rsidRPr="00A013E1" w:rsidRDefault="00D35E51" w:rsidP="00CB6C78">
            <w:pPr>
              <w:tabs>
                <w:tab w:val="left" w:pos="3094"/>
              </w:tabs>
              <w:spacing w:line="240" w:lineRule="atLeast"/>
              <w:jc w:val="both"/>
              <w:rPr>
                <w:rFonts w:ascii="Times New Roman" w:hAnsi="Times New Roman" w:cs="Times New Roman"/>
              </w:rPr>
            </w:pPr>
            <w:r w:rsidRPr="00A013E1">
              <w:rPr>
                <w:rFonts w:ascii="Times New Roman" w:hAnsi="Times New Roman" w:cs="Times New Roman"/>
              </w:rPr>
              <w:t>………………………… kg</w:t>
            </w:r>
          </w:p>
        </w:tc>
      </w:tr>
      <w:tr w:rsidR="00271FA2" w:rsidRPr="00A013E1" w14:paraId="16CCC903" w14:textId="77777777" w:rsidTr="00DF176D">
        <w:tc>
          <w:tcPr>
            <w:tcW w:w="9781" w:type="dxa"/>
            <w:gridSpan w:val="6"/>
            <w:tcBorders>
              <w:top w:val="single" w:sz="4" w:space="0" w:color="auto"/>
              <w:left w:val="single" w:sz="4" w:space="0" w:color="auto"/>
              <w:bottom w:val="single" w:sz="4" w:space="0" w:color="auto"/>
              <w:right w:val="single" w:sz="4" w:space="0" w:color="auto"/>
            </w:tcBorders>
          </w:tcPr>
          <w:p w14:paraId="0398C511" w14:textId="77777777" w:rsidR="00271FA2" w:rsidRPr="00A013E1" w:rsidRDefault="00D35E51" w:rsidP="00CB6C78">
            <w:pPr>
              <w:tabs>
                <w:tab w:val="left" w:pos="3094"/>
              </w:tabs>
              <w:spacing w:line="240" w:lineRule="atLeast"/>
              <w:jc w:val="both"/>
              <w:rPr>
                <w:rFonts w:ascii="Times New Roman" w:hAnsi="Times New Roman" w:cs="Times New Roman"/>
              </w:rPr>
            </w:pPr>
            <w:r w:rsidRPr="00A013E1">
              <w:rPr>
                <w:rFonts w:ascii="Times New Roman" w:hAnsi="Times New Roman" w:cs="Times New Roman"/>
              </w:rPr>
              <w:t>38. Котвени вериги</w:t>
            </w:r>
          </w:p>
        </w:tc>
      </w:tr>
      <w:tr w:rsidR="00271FA2" w:rsidRPr="00A013E1" w14:paraId="11C8088E" w14:textId="77777777" w:rsidTr="00DF176D">
        <w:tc>
          <w:tcPr>
            <w:tcW w:w="3372" w:type="dxa"/>
            <w:gridSpan w:val="2"/>
            <w:tcBorders>
              <w:top w:val="single" w:sz="4" w:space="0" w:color="auto"/>
              <w:left w:val="single" w:sz="4" w:space="0" w:color="auto"/>
              <w:bottom w:val="single" w:sz="4" w:space="0" w:color="auto"/>
              <w:right w:val="single" w:sz="4" w:space="0" w:color="auto"/>
            </w:tcBorders>
          </w:tcPr>
          <w:p w14:paraId="49483588" w14:textId="77777777"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Брой носови котвени вериги</w:t>
            </w:r>
          </w:p>
        </w:tc>
        <w:tc>
          <w:tcPr>
            <w:tcW w:w="2865" w:type="dxa"/>
            <w:gridSpan w:val="2"/>
            <w:tcBorders>
              <w:top w:val="single" w:sz="4" w:space="0" w:color="auto"/>
              <w:left w:val="single" w:sz="4" w:space="0" w:color="auto"/>
              <w:bottom w:val="single" w:sz="4" w:space="0" w:color="auto"/>
              <w:right w:val="single" w:sz="4" w:space="0" w:color="auto"/>
            </w:tcBorders>
          </w:tcPr>
          <w:p w14:paraId="723A7A25" w14:textId="77777777"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Дължина на всяка верига</w:t>
            </w:r>
          </w:p>
        </w:tc>
        <w:tc>
          <w:tcPr>
            <w:tcW w:w="3544" w:type="dxa"/>
            <w:gridSpan w:val="2"/>
            <w:tcBorders>
              <w:top w:val="single" w:sz="4" w:space="0" w:color="auto"/>
              <w:left w:val="single" w:sz="4" w:space="0" w:color="auto"/>
              <w:bottom w:val="single" w:sz="4" w:space="0" w:color="auto"/>
              <w:right w:val="single" w:sz="4" w:space="0" w:color="auto"/>
            </w:tcBorders>
          </w:tcPr>
          <w:p w14:paraId="486CD22E" w14:textId="77777777" w:rsidR="00271FA2" w:rsidRPr="00A013E1" w:rsidRDefault="00D35E51" w:rsidP="00CB6C7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Якост на опън на всяка верига</w:t>
            </w:r>
          </w:p>
        </w:tc>
      </w:tr>
      <w:tr w:rsidR="00271FA2" w:rsidRPr="00A013E1" w14:paraId="303404D0" w14:textId="77777777" w:rsidTr="00DF176D">
        <w:tc>
          <w:tcPr>
            <w:tcW w:w="3372" w:type="dxa"/>
            <w:gridSpan w:val="2"/>
            <w:tcBorders>
              <w:top w:val="single" w:sz="4" w:space="0" w:color="auto"/>
              <w:left w:val="single" w:sz="4" w:space="0" w:color="auto"/>
              <w:bottom w:val="single" w:sz="4" w:space="0" w:color="auto"/>
              <w:right w:val="single" w:sz="4" w:space="0" w:color="auto"/>
            </w:tcBorders>
          </w:tcPr>
          <w:p w14:paraId="41FCDAE5" w14:textId="192D95AD"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w:t>
            </w:r>
          </w:p>
        </w:tc>
        <w:tc>
          <w:tcPr>
            <w:tcW w:w="2865" w:type="dxa"/>
            <w:gridSpan w:val="2"/>
            <w:tcBorders>
              <w:top w:val="single" w:sz="4" w:space="0" w:color="auto"/>
              <w:left w:val="single" w:sz="4" w:space="0" w:color="auto"/>
              <w:bottom w:val="single" w:sz="4" w:space="0" w:color="auto"/>
              <w:right w:val="single" w:sz="4" w:space="0" w:color="auto"/>
            </w:tcBorders>
          </w:tcPr>
          <w:p w14:paraId="1C665C95" w14:textId="77777777"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 m</w:t>
            </w:r>
          </w:p>
        </w:tc>
        <w:tc>
          <w:tcPr>
            <w:tcW w:w="3544" w:type="dxa"/>
            <w:gridSpan w:val="2"/>
            <w:tcBorders>
              <w:top w:val="single" w:sz="4" w:space="0" w:color="auto"/>
              <w:left w:val="single" w:sz="4" w:space="0" w:color="auto"/>
              <w:bottom w:val="single" w:sz="4" w:space="0" w:color="auto"/>
              <w:right w:val="single" w:sz="4" w:space="0" w:color="auto"/>
            </w:tcBorders>
          </w:tcPr>
          <w:p w14:paraId="1DFA8E5B" w14:textId="04D3D123"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 kN</w:t>
            </w:r>
          </w:p>
        </w:tc>
      </w:tr>
      <w:tr w:rsidR="00271FA2" w:rsidRPr="00A013E1" w14:paraId="70141D19" w14:textId="77777777" w:rsidTr="00DF176D">
        <w:tc>
          <w:tcPr>
            <w:tcW w:w="3372" w:type="dxa"/>
            <w:gridSpan w:val="2"/>
            <w:tcBorders>
              <w:top w:val="single" w:sz="4" w:space="0" w:color="auto"/>
              <w:left w:val="single" w:sz="4" w:space="0" w:color="auto"/>
              <w:bottom w:val="single" w:sz="4" w:space="0" w:color="auto"/>
              <w:right w:val="single" w:sz="4" w:space="0" w:color="auto"/>
            </w:tcBorders>
          </w:tcPr>
          <w:p w14:paraId="56A96B8A" w14:textId="77777777"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Брой кърмови котвени вериги</w:t>
            </w:r>
          </w:p>
        </w:tc>
        <w:tc>
          <w:tcPr>
            <w:tcW w:w="2865" w:type="dxa"/>
            <w:gridSpan w:val="2"/>
            <w:tcBorders>
              <w:top w:val="single" w:sz="4" w:space="0" w:color="auto"/>
              <w:left w:val="single" w:sz="4" w:space="0" w:color="auto"/>
              <w:bottom w:val="single" w:sz="4" w:space="0" w:color="auto"/>
              <w:right w:val="single" w:sz="4" w:space="0" w:color="auto"/>
            </w:tcBorders>
          </w:tcPr>
          <w:p w14:paraId="3C8F6E04" w14:textId="77777777"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Дължина на всяка верига</w:t>
            </w:r>
          </w:p>
        </w:tc>
        <w:tc>
          <w:tcPr>
            <w:tcW w:w="3544" w:type="dxa"/>
            <w:gridSpan w:val="2"/>
            <w:tcBorders>
              <w:top w:val="single" w:sz="4" w:space="0" w:color="auto"/>
              <w:left w:val="single" w:sz="4" w:space="0" w:color="auto"/>
              <w:bottom w:val="single" w:sz="4" w:space="0" w:color="auto"/>
              <w:right w:val="single" w:sz="4" w:space="0" w:color="auto"/>
            </w:tcBorders>
          </w:tcPr>
          <w:p w14:paraId="657C63F8" w14:textId="77777777" w:rsidR="00271FA2" w:rsidRPr="00A013E1" w:rsidRDefault="00D35E51" w:rsidP="00CB6C7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Якост на опън на всяка верига</w:t>
            </w:r>
          </w:p>
        </w:tc>
      </w:tr>
      <w:tr w:rsidR="00271FA2" w:rsidRPr="00A013E1" w14:paraId="1306C8DE" w14:textId="77777777" w:rsidTr="00DF176D">
        <w:tc>
          <w:tcPr>
            <w:tcW w:w="3372" w:type="dxa"/>
            <w:gridSpan w:val="2"/>
            <w:tcBorders>
              <w:top w:val="single" w:sz="4" w:space="0" w:color="auto"/>
              <w:left w:val="single" w:sz="4" w:space="0" w:color="auto"/>
              <w:bottom w:val="single" w:sz="4" w:space="0" w:color="auto"/>
              <w:right w:val="single" w:sz="4" w:space="0" w:color="auto"/>
            </w:tcBorders>
          </w:tcPr>
          <w:p w14:paraId="4EAD3986" w14:textId="4D0AE389"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w:t>
            </w:r>
          </w:p>
        </w:tc>
        <w:tc>
          <w:tcPr>
            <w:tcW w:w="2865" w:type="dxa"/>
            <w:gridSpan w:val="2"/>
            <w:tcBorders>
              <w:top w:val="single" w:sz="4" w:space="0" w:color="auto"/>
              <w:left w:val="single" w:sz="4" w:space="0" w:color="auto"/>
              <w:bottom w:val="single" w:sz="4" w:space="0" w:color="auto"/>
              <w:right w:val="single" w:sz="4" w:space="0" w:color="auto"/>
            </w:tcBorders>
          </w:tcPr>
          <w:p w14:paraId="6684A3D1" w14:textId="77777777"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 m</w:t>
            </w:r>
          </w:p>
        </w:tc>
        <w:tc>
          <w:tcPr>
            <w:tcW w:w="3544" w:type="dxa"/>
            <w:gridSpan w:val="2"/>
            <w:tcBorders>
              <w:top w:val="single" w:sz="4" w:space="0" w:color="auto"/>
              <w:left w:val="single" w:sz="4" w:space="0" w:color="auto"/>
              <w:bottom w:val="single" w:sz="4" w:space="0" w:color="auto"/>
              <w:right w:val="single" w:sz="4" w:space="0" w:color="auto"/>
            </w:tcBorders>
          </w:tcPr>
          <w:p w14:paraId="098D7679" w14:textId="35C7E4F9" w:rsidR="00271FA2" w:rsidRPr="00A013E1" w:rsidRDefault="00D35E51" w:rsidP="00CB6C78">
            <w:pPr>
              <w:tabs>
                <w:tab w:val="left" w:pos="3094"/>
              </w:tabs>
              <w:spacing w:line="240" w:lineRule="atLeast"/>
              <w:rPr>
                <w:rFonts w:ascii="Times New Roman" w:hAnsi="Times New Roman" w:cs="Times New Roman"/>
              </w:rPr>
            </w:pPr>
            <w:r w:rsidRPr="00A013E1">
              <w:rPr>
                <w:rFonts w:ascii="Times New Roman" w:hAnsi="Times New Roman" w:cs="Times New Roman"/>
              </w:rPr>
              <w:t>…………………………… kN</w:t>
            </w:r>
          </w:p>
        </w:tc>
      </w:tr>
      <w:tr w:rsidR="00271FA2" w:rsidRPr="00A013E1" w14:paraId="6D0C15BF" w14:textId="77777777" w:rsidTr="00DF176D">
        <w:tc>
          <w:tcPr>
            <w:tcW w:w="9781" w:type="dxa"/>
            <w:gridSpan w:val="6"/>
            <w:tcBorders>
              <w:top w:val="single" w:sz="4" w:space="0" w:color="auto"/>
              <w:left w:val="single" w:sz="4" w:space="0" w:color="auto"/>
              <w:bottom w:val="single" w:sz="4" w:space="0" w:color="auto"/>
              <w:right w:val="single" w:sz="4" w:space="0" w:color="auto"/>
            </w:tcBorders>
          </w:tcPr>
          <w:p w14:paraId="06549603"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39. Въжета за обвързване</w:t>
            </w:r>
          </w:p>
          <w:p w14:paraId="760BAEC1"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1-</w:t>
            </w:r>
            <w:r w:rsidRPr="00A013E1">
              <w:rPr>
                <w:rFonts w:ascii="Times New Roman" w:hAnsi="Times New Roman" w:cs="Times New Roman"/>
                <w:vertAlign w:val="superscript"/>
                <w:lang w:val="ru-RU"/>
              </w:rPr>
              <w:t>во</w:t>
            </w:r>
            <w:r w:rsidRPr="00A013E1">
              <w:rPr>
                <w:rFonts w:ascii="Times New Roman" w:hAnsi="Times New Roman" w:cs="Times New Roman"/>
                <w:lang w:val="ru-RU"/>
              </w:rPr>
              <w:t xml:space="preserve"> въже с дължина ………… </w:t>
            </w:r>
            <w:r w:rsidRPr="00A013E1">
              <w:rPr>
                <w:rFonts w:ascii="Times New Roman" w:hAnsi="Times New Roman" w:cs="Times New Roman"/>
              </w:rPr>
              <w:t>m</w:t>
            </w:r>
            <w:r w:rsidRPr="00A013E1">
              <w:rPr>
                <w:rFonts w:ascii="Times New Roman" w:hAnsi="Times New Roman" w:cs="Times New Roman"/>
                <w:lang w:val="ru-RU"/>
              </w:rPr>
              <w:t xml:space="preserve"> и якост на опън ……………………… </w:t>
            </w:r>
            <w:r w:rsidRPr="00A013E1">
              <w:rPr>
                <w:rFonts w:ascii="Times New Roman" w:hAnsi="Times New Roman" w:cs="Times New Roman"/>
              </w:rPr>
              <w:t>kN</w:t>
            </w:r>
          </w:p>
          <w:p w14:paraId="393C0EC3"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2-</w:t>
            </w:r>
            <w:r w:rsidRPr="00A013E1">
              <w:rPr>
                <w:rFonts w:ascii="Times New Roman" w:hAnsi="Times New Roman" w:cs="Times New Roman"/>
                <w:vertAlign w:val="superscript"/>
                <w:lang w:val="ru-RU"/>
              </w:rPr>
              <w:t>ро</w:t>
            </w:r>
            <w:r w:rsidRPr="00A013E1">
              <w:rPr>
                <w:rFonts w:ascii="Times New Roman" w:hAnsi="Times New Roman" w:cs="Times New Roman"/>
                <w:lang w:val="ru-RU"/>
              </w:rPr>
              <w:t xml:space="preserve"> въже с дължина ………… </w:t>
            </w:r>
            <w:r w:rsidRPr="00A013E1">
              <w:rPr>
                <w:rFonts w:ascii="Times New Roman" w:hAnsi="Times New Roman" w:cs="Times New Roman"/>
              </w:rPr>
              <w:t>m</w:t>
            </w:r>
            <w:r w:rsidRPr="00A013E1">
              <w:rPr>
                <w:rFonts w:ascii="Times New Roman" w:hAnsi="Times New Roman" w:cs="Times New Roman"/>
                <w:lang w:val="ru-RU"/>
              </w:rPr>
              <w:t xml:space="preserve"> и якост на опън ……………………… </w:t>
            </w:r>
            <w:r w:rsidRPr="00A013E1">
              <w:rPr>
                <w:rFonts w:ascii="Times New Roman" w:hAnsi="Times New Roman" w:cs="Times New Roman"/>
              </w:rPr>
              <w:t>kN</w:t>
            </w:r>
          </w:p>
          <w:p w14:paraId="500F1100"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3-</w:t>
            </w:r>
            <w:r w:rsidRPr="00A013E1">
              <w:rPr>
                <w:rFonts w:ascii="Times New Roman" w:hAnsi="Times New Roman" w:cs="Times New Roman"/>
                <w:vertAlign w:val="superscript"/>
                <w:lang w:val="ru-RU"/>
              </w:rPr>
              <w:t>то</w:t>
            </w:r>
            <w:r w:rsidRPr="00A013E1">
              <w:rPr>
                <w:rFonts w:ascii="Times New Roman" w:hAnsi="Times New Roman" w:cs="Times New Roman"/>
                <w:lang w:val="ru-RU"/>
              </w:rPr>
              <w:t xml:space="preserve"> въже с дължина ………… </w:t>
            </w:r>
            <w:r w:rsidRPr="00A013E1">
              <w:rPr>
                <w:rFonts w:ascii="Times New Roman" w:hAnsi="Times New Roman" w:cs="Times New Roman"/>
              </w:rPr>
              <w:t>m</w:t>
            </w:r>
            <w:r w:rsidRPr="00A013E1">
              <w:rPr>
                <w:rFonts w:ascii="Times New Roman" w:hAnsi="Times New Roman" w:cs="Times New Roman"/>
                <w:lang w:val="ru-RU"/>
              </w:rPr>
              <w:t xml:space="preserve"> и якост на опън ……………………… </w:t>
            </w:r>
            <w:r w:rsidRPr="00A013E1">
              <w:rPr>
                <w:rFonts w:ascii="Times New Roman" w:hAnsi="Times New Roman" w:cs="Times New Roman"/>
              </w:rPr>
              <w:t>kN</w:t>
            </w:r>
          </w:p>
        </w:tc>
      </w:tr>
      <w:tr w:rsidR="00271FA2" w:rsidRPr="00A013E1" w14:paraId="0194398D" w14:textId="77777777" w:rsidTr="00DF176D">
        <w:tc>
          <w:tcPr>
            <w:tcW w:w="9781" w:type="dxa"/>
            <w:gridSpan w:val="6"/>
            <w:tcBorders>
              <w:top w:val="single" w:sz="4" w:space="0" w:color="auto"/>
              <w:left w:val="single" w:sz="4" w:space="0" w:color="auto"/>
              <w:bottom w:val="single" w:sz="4" w:space="0" w:color="auto"/>
              <w:right w:val="single" w:sz="4" w:space="0" w:color="auto"/>
            </w:tcBorders>
          </w:tcPr>
          <w:p w14:paraId="03AB3E0C"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40. Буксирни въжета</w:t>
            </w:r>
          </w:p>
          <w:p w14:paraId="5B77F6FF"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……….бр. с дължина……………..</w:t>
            </w:r>
            <w:r w:rsidRPr="00A013E1">
              <w:rPr>
                <w:rFonts w:ascii="Times New Roman" w:hAnsi="Times New Roman" w:cs="Times New Roman"/>
              </w:rPr>
              <w:t>m</w:t>
            </w:r>
            <w:r w:rsidRPr="00A013E1">
              <w:rPr>
                <w:rFonts w:ascii="Times New Roman" w:hAnsi="Times New Roman" w:cs="Times New Roman"/>
                <w:lang w:val="ru-RU"/>
              </w:rPr>
              <w:t xml:space="preserve"> и якост на опън ……………………… </w:t>
            </w:r>
            <w:r w:rsidRPr="00A013E1">
              <w:rPr>
                <w:rFonts w:ascii="Times New Roman" w:hAnsi="Times New Roman" w:cs="Times New Roman"/>
              </w:rPr>
              <w:t>kN</w:t>
            </w:r>
          </w:p>
          <w:p w14:paraId="244B8E06"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……….бр. с дължина……………..</w:t>
            </w:r>
            <w:r w:rsidRPr="00A013E1">
              <w:rPr>
                <w:rFonts w:ascii="Times New Roman" w:hAnsi="Times New Roman" w:cs="Times New Roman"/>
              </w:rPr>
              <w:t>m</w:t>
            </w:r>
            <w:r w:rsidRPr="00A013E1">
              <w:rPr>
                <w:rFonts w:ascii="Times New Roman" w:hAnsi="Times New Roman" w:cs="Times New Roman"/>
                <w:lang w:val="ru-RU"/>
              </w:rPr>
              <w:t xml:space="preserve"> и якост на опън ……………………… </w:t>
            </w:r>
            <w:r w:rsidRPr="00A013E1">
              <w:rPr>
                <w:rFonts w:ascii="Times New Roman" w:hAnsi="Times New Roman" w:cs="Times New Roman"/>
              </w:rPr>
              <w:t>kN</w:t>
            </w:r>
          </w:p>
        </w:tc>
      </w:tr>
      <w:tr w:rsidR="00271FA2" w:rsidRPr="00A013E1" w14:paraId="7E1ED025" w14:textId="77777777" w:rsidTr="00DF176D">
        <w:tc>
          <w:tcPr>
            <w:tcW w:w="9781" w:type="dxa"/>
            <w:gridSpan w:val="6"/>
            <w:tcBorders>
              <w:top w:val="single" w:sz="4" w:space="0" w:color="auto"/>
              <w:left w:val="single" w:sz="4" w:space="0" w:color="auto"/>
              <w:bottom w:val="single" w:sz="4" w:space="0" w:color="auto"/>
              <w:right w:val="single" w:sz="4" w:space="0" w:color="auto"/>
            </w:tcBorders>
          </w:tcPr>
          <w:p w14:paraId="2E7080A2"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41. Визуални и звукови сигнали</w:t>
            </w:r>
          </w:p>
          <w:p w14:paraId="2D03995A" w14:textId="77777777" w:rsidR="00271FA2" w:rsidRPr="00A013E1" w:rsidRDefault="00D35E51" w:rsidP="00CB6C78">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Светлините, флаговете, сферите, плаващите и звуковите предупредителни устройства, използвани за сигнализация и излъчване на визуалните и звукови сигнали, предписани от [Рейнските полицейски правила/приложимите изисквания на навигационните органи на държава членка], следва да се носят на борда, както и светлини за престой на аварийна стоянка, предписани от [Рейнските полицейски правила/приложимите изисквания на навигационните органи на държава членка]</w:t>
            </w:r>
          </w:p>
        </w:tc>
      </w:tr>
      <w:tr w:rsidR="00271FA2" w:rsidRPr="00A013E1" w14:paraId="4554EA48" w14:textId="77777777" w:rsidTr="00DF176D">
        <w:tc>
          <w:tcPr>
            <w:tcW w:w="9781" w:type="dxa"/>
            <w:gridSpan w:val="6"/>
            <w:tcBorders>
              <w:top w:val="single" w:sz="4" w:space="0" w:color="auto"/>
              <w:left w:val="single" w:sz="4" w:space="0" w:color="auto"/>
              <w:bottom w:val="single" w:sz="4" w:space="0" w:color="auto"/>
              <w:right w:val="single" w:sz="4" w:space="0" w:color="auto"/>
            </w:tcBorders>
          </w:tcPr>
          <w:p w14:paraId="7F2417B5" w14:textId="50A7F501" w:rsidR="00271FA2" w:rsidRPr="00A013E1" w:rsidRDefault="00D35E51" w:rsidP="00CB6C7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Изменена е позиция(и): …………………………………………………………………………</w:t>
            </w:r>
          </w:p>
          <w:p w14:paraId="5311556C" w14:textId="7FA01536" w:rsidR="00CB6C78" w:rsidRPr="00A013E1" w:rsidRDefault="00CB6C78" w:rsidP="00CB6C7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w:t>
            </w:r>
          </w:p>
          <w:p w14:paraId="26AE7184" w14:textId="566F0B51" w:rsidR="00271FA2" w:rsidRPr="00A013E1" w:rsidRDefault="00D35E51" w:rsidP="00CB6C7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Нов текст: ………………………………………………………………………………………...</w:t>
            </w:r>
          </w:p>
          <w:p w14:paraId="0D45AB0D" w14:textId="7D12081A" w:rsidR="00271FA2" w:rsidRPr="00A013E1" w:rsidRDefault="00D35E51" w:rsidP="00CB6C7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w:t>
            </w:r>
          </w:p>
          <w:p w14:paraId="44BFB9E2" w14:textId="37CDB9F1" w:rsidR="00271FA2" w:rsidRPr="00A013E1" w:rsidRDefault="00D35E51" w:rsidP="00CB6C78">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w:t>
            </w:r>
          </w:p>
          <w:p w14:paraId="1F12624B"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Тази страница е била заменена.</w:t>
            </w:r>
          </w:p>
          <w:p w14:paraId="1F51ACAB"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1B59D24C"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5FE56D99"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p>
          <w:p w14:paraId="7FAA6510"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46F418E3" w14:textId="77777777" w:rsidR="00271FA2" w:rsidRPr="00A013E1" w:rsidRDefault="00D35E51">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r w:rsidRPr="00A013E1">
              <w:rPr>
                <w:rFonts w:ascii="Times New Roman" w:hAnsi="Times New Roman" w:cs="Times New Roman"/>
                <w:noProof/>
                <w:lang w:eastAsia="bg-BG"/>
              </w:rPr>
              <mc:AlternateContent>
                <mc:Choice Requires="wps">
                  <w:drawing>
                    <wp:anchor distT="0" distB="0" distL="114300" distR="114300" simplePos="0" relativeHeight="251700224" behindDoc="0" locked="0" layoutInCell="1" allowOverlap="1" wp14:anchorId="0BD84233" wp14:editId="02704D70">
                      <wp:simplePos x="0" y="0"/>
                      <wp:positionH relativeFrom="column">
                        <wp:posOffset>19685</wp:posOffset>
                      </wp:positionH>
                      <wp:positionV relativeFrom="paragraph">
                        <wp:posOffset>132080</wp:posOffset>
                      </wp:positionV>
                      <wp:extent cx="1634490" cy="0"/>
                      <wp:effectExtent l="0" t="0" r="3810" b="0"/>
                      <wp:wrapNone/>
                      <wp:docPr id="452" name="Straight Connector 23"/>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23" o:spid="_x0000_s1026" o:spt="20" style="position:absolute;left:0pt;margin-left:1.55pt;margin-top:10.4pt;height:0pt;width:128.7pt;z-index:251700224;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ABokvJ9AEAAPoDAAAOAAAAAAAAAAEAIAAAACMBAABkcnMvZTJvRG9jLnhtbFBLBQYA&#10;AAAABgAGAFkBAACJBQAAAAA=&#10;">
                      <v:fill on="f" focussize="0,0"/>
                      <v:stroke color="#000000" joinstyle="round"/>
                      <v:imagedata o:title=""/>
                      <o:lock v:ext="edit" aspectratio="f"/>
                    </v:line>
                  </w:pict>
                </mc:Fallback>
              </mc:AlternateContent>
            </w:r>
          </w:p>
          <w:p w14:paraId="1D6BA2E5" w14:textId="77777777" w:rsidR="00271FA2" w:rsidRPr="00A013E1" w:rsidRDefault="00D35E51">
            <w:pPr>
              <w:tabs>
                <w:tab w:val="left" w:pos="3094"/>
              </w:tabs>
              <w:spacing w:line="240" w:lineRule="atLeast"/>
              <w:jc w:val="both"/>
              <w:rPr>
                <w:rFonts w:ascii="Times New Roman" w:hAnsi="Times New Roman" w:cs="Times New Roman"/>
              </w:rPr>
            </w:pPr>
            <w:r w:rsidRPr="00A013E1">
              <w:rPr>
                <w:rFonts w:ascii="Times New Roman" w:hAnsi="Times New Roman" w:cs="Times New Roman"/>
              </w:rPr>
              <w:t>*) Неприложимото се зачерква</w:t>
            </w:r>
          </w:p>
        </w:tc>
      </w:tr>
    </w:tbl>
    <w:p w14:paraId="4B4411CF" w14:textId="61DD3548" w:rsidR="00DF176D" w:rsidRPr="00A013E1" w:rsidRDefault="00DF176D">
      <w:pPr>
        <w:spacing w:line="240" w:lineRule="atLeast"/>
        <w:jc w:val="both"/>
        <w:rPr>
          <w:rFonts w:ascii="Times New Roman" w:hAnsi="Times New Roman" w:cs="Times New Roman"/>
        </w:rPr>
      </w:pPr>
    </w:p>
    <w:p w14:paraId="7E51FB06" w14:textId="77777777" w:rsidR="00DF176D" w:rsidRPr="00A013E1" w:rsidRDefault="00DF176D">
      <w:pPr>
        <w:rPr>
          <w:rFonts w:ascii="Times New Roman" w:hAnsi="Times New Roman" w:cs="Times New Roman"/>
        </w:rPr>
      </w:pPr>
      <w:r w:rsidRPr="00A013E1">
        <w:rPr>
          <w:rFonts w:ascii="Times New Roman" w:hAnsi="Times New Roman" w:cs="Times New Roman"/>
        </w:rPr>
        <w:br w:type="page"/>
      </w:r>
    </w:p>
    <w:p w14:paraId="2B12BD31" w14:textId="03E93997" w:rsidR="00271FA2" w:rsidRPr="00A013E1" w:rsidRDefault="00D35E51" w:rsidP="00DF176D">
      <w:pPr>
        <w:pBdr>
          <w:top w:val="single" w:sz="4" w:space="1" w:color="auto"/>
        </w:pBdr>
        <w:tabs>
          <w:tab w:val="left" w:pos="3094"/>
        </w:tabs>
        <w:spacing w:line="240" w:lineRule="atLeast"/>
        <w:ind w:left="142"/>
        <w:rPr>
          <w:rFonts w:ascii="Times New Roman" w:hAnsi="Times New Roman" w:cs="Times New Roman"/>
          <w:lang w:val="ru-RU"/>
        </w:rPr>
      </w:pPr>
      <w:r w:rsidRPr="00A013E1">
        <w:rPr>
          <w:rFonts w:ascii="Times New Roman" w:hAnsi="Times New Roman" w:cs="Times New Roman"/>
          <w:lang w:val="ru-RU"/>
        </w:rPr>
        <w:lastRenderedPageBreak/>
        <w:t>Корабно удостоверение № .................. издадено от Дирекция „Речен надзор – .........................”</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271FA2" w:rsidRPr="00A013E1" w14:paraId="325F3CE0" w14:textId="77777777" w:rsidTr="00DF176D">
        <w:tc>
          <w:tcPr>
            <w:tcW w:w="9781" w:type="dxa"/>
            <w:tcBorders>
              <w:top w:val="single" w:sz="4" w:space="0" w:color="auto"/>
              <w:left w:val="single" w:sz="4" w:space="0" w:color="auto"/>
              <w:bottom w:val="single" w:sz="4" w:space="0" w:color="auto"/>
              <w:right w:val="single" w:sz="4" w:space="0" w:color="auto"/>
            </w:tcBorders>
          </w:tcPr>
          <w:p w14:paraId="08F0BC5F" w14:textId="43E3EC83" w:rsidR="00271FA2" w:rsidRPr="00A013E1" w:rsidRDefault="00D35E51" w:rsidP="00DB1367">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42. Друго оборудване</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Система за гласова</w:t>
            </w:r>
            <w:r w:rsidRPr="00A013E1">
              <w:rPr>
                <w:rFonts w:ascii="Times New Roman" w:hAnsi="Times New Roman" w:cs="Times New Roman"/>
                <w:lang w:val="ru-RU"/>
              </w:rPr>
              <w:tab/>
              <w:t>полудуплекс*)</w:t>
            </w:r>
          </w:p>
          <w:p w14:paraId="16774B80" w14:textId="77777777" w:rsidR="00271FA2" w:rsidRPr="00A013E1" w:rsidRDefault="00D35E51" w:rsidP="00DB1367">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Хвъргало</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комуникация</w:t>
            </w:r>
            <w:r w:rsidRPr="00A013E1">
              <w:rPr>
                <w:rFonts w:ascii="Times New Roman" w:hAnsi="Times New Roman" w:cs="Times New Roman"/>
                <w:lang w:val="ru-RU"/>
              </w:rPr>
              <w:tab/>
            </w:r>
            <w:r w:rsidRPr="00A013E1">
              <w:rPr>
                <w:rFonts w:ascii="Times New Roman" w:hAnsi="Times New Roman" w:cs="Times New Roman"/>
                <w:lang w:val="ru-RU"/>
              </w:rPr>
              <w:tab/>
              <w:t>пълен дуплекс/телефон*)</w:t>
            </w:r>
          </w:p>
          <w:p w14:paraId="79982FCF" w14:textId="00759783" w:rsidR="00271FA2" w:rsidRPr="00A013E1" w:rsidRDefault="00D35E51" w:rsidP="00DB1367">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Сходня в съответствие с чл. 13.02, т. 3,</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вътрешна радиотелефонна</w:t>
            </w:r>
          </w:p>
          <w:p w14:paraId="5E6F0EE2" w14:textId="70B2593E" w:rsidR="00271FA2" w:rsidRPr="00A013E1" w:rsidRDefault="00D35E51" w:rsidP="00396EE6">
            <w:pPr>
              <w:tabs>
                <w:tab w:val="left" w:pos="0"/>
              </w:tabs>
              <w:spacing w:line="240" w:lineRule="atLeast"/>
              <w:rPr>
                <w:rFonts w:ascii="Times New Roman" w:hAnsi="Times New Roman" w:cs="Times New Roman"/>
                <w:lang w:val="ru-RU"/>
              </w:rPr>
            </w:pPr>
            <w:r w:rsidRPr="00A013E1">
              <w:rPr>
                <w:rFonts w:ascii="Times New Roman" w:hAnsi="Times New Roman" w:cs="Times New Roman"/>
                <w:lang w:val="ru-RU"/>
              </w:rPr>
              <w:t>бук. „д“*)/чл. 19.06, т. 12*)</w:t>
            </w:r>
            <w:r w:rsidRPr="00A013E1">
              <w:rPr>
                <w:rFonts w:ascii="Times New Roman" w:hAnsi="Times New Roman" w:cs="Times New Roman"/>
                <w:lang w:val="ru-RU"/>
              </w:rPr>
              <w:tab/>
            </w:r>
            <w:r w:rsidR="00F80621" w:rsidRPr="00A013E1">
              <w:rPr>
                <w:rFonts w:ascii="Times New Roman" w:hAnsi="Times New Roman" w:cs="Times New Roman"/>
                <w:lang w:val="ru-RU"/>
              </w:rPr>
              <w:t xml:space="preserve">Дължина ……………… </w:t>
            </w:r>
            <w:r w:rsidR="00F80621" w:rsidRPr="00A013E1">
              <w:rPr>
                <w:rFonts w:ascii="Times New Roman" w:hAnsi="Times New Roman" w:cs="Times New Roman"/>
              </w:rPr>
              <w:t>m</w:t>
            </w:r>
            <w:r w:rsidRPr="00A013E1">
              <w:rPr>
                <w:rFonts w:ascii="Times New Roman" w:hAnsi="Times New Roman" w:cs="Times New Roman"/>
                <w:lang w:val="ru-RU"/>
              </w:rPr>
              <w:tab/>
            </w:r>
            <w:r w:rsidRPr="00A013E1">
              <w:rPr>
                <w:rFonts w:ascii="Times New Roman" w:hAnsi="Times New Roman" w:cs="Times New Roman"/>
                <w:lang w:val="ru-RU"/>
              </w:rPr>
              <w:tab/>
              <w:t>връзка*)</w:t>
            </w:r>
          </w:p>
          <w:p w14:paraId="02FD38A2" w14:textId="4B6888E1" w:rsidR="00271FA2" w:rsidRPr="00A013E1" w:rsidRDefault="00D35E51" w:rsidP="00DB1367">
            <w:pPr>
              <w:tabs>
                <w:tab w:val="left" w:pos="0"/>
              </w:tabs>
              <w:spacing w:line="240" w:lineRule="atLeast"/>
              <w:rPr>
                <w:rFonts w:ascii="Times New Roman" w:hAnsi="Times New Roman" w:cs="Times New Roman"/>
                <w:lang w:val="ru-RU"/>
              </w:rPr>
            </w:pPr>
            <w:r w:rsidRPr="00A013E1">
              <w:rPr>
                <w:rFonts w:ascii="Times New Roman" w:hAnsi="Times New Roman" w:cs="Times New Roman"/>
                <w:lang w:val="ru-RU"/>
              </w:rPr>
              <w:t>Канджа с кука</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Радиотелефонни</w:t>
            </w:r>
            <w:r w:rsidRPr="00A013E1">
              <w:rPr>
                <w:rFonts w:ascii="Times New Roman" w:hAnsi="Times New Roman" w:cs="Times New Roman"/>
                <w:lang w:val="ru-RU"/>
              </w:rPr>
              <w:tab/>
              <w:t>връзка кораб-кораб</w:t>
            </w:r>
          </w:p>
          <w:p w14:paraId="477263DC" w14:textId="77777777" w:rsidR="00271FA2" w:rsidRPr="00A013E1" w:rsidRDefault="00D35E51" w:rsidP="00DB1367">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Брой комплекти за първа помощ</w:t>
            </w:r>
            <w:r w:rsidRPr="00A013E1">
              <w:rPr>
                <w:rFonts w:ascii="Times New Roman" w:hAnsi="Times New Roman" w:cs="Times New Roman"/>
                <w:lang w:val="ru-RU"/>
              </w:rPr>
              <w:tab/>
            </w:r>
            <w:r w:rsidRPr="00A013E1">
              <w:rPr>
                <w:rFonts w:ascii="Times New Roman" w:hAnsi="Times New Roman" w:cs="Times New Roman"/>
                <w:lang w:val="ru-RU"/>
              </w:rPr>
              <w:tab/>
              <w:t>системи</w:t>
            </w:r>
            <w:r w:rsidRPr="00A013E1">
              <w:rPr>
                <w:rFonts w:ascii="Times New Roman" w:hAnsi="Times New Roman" w:cs="Times New Roman"/>
                <w:lang w:val="ru-RU"/>
              </w:rPr>
              <w:tab/>
            </w:r>
            <w:r w:rsidRPr="00A013E1">
              <w:rPr>
                <w:rFonts w:ascii="Times New Roman" w:hAnsi="Times New Roman" w:cs="Times New Roman"/>
                <w:lang w:val="ru-RU"/>
              </w:rPr>
              <w:tab/>
              <w:t>навигационна информация</w:t>
            </w:r>
          </w:p>
          <w:p w14:paraId="0A6DD3EE" w14:textId="77777777" w:rsidR="00271FA2" w:rsidRPr="00A013E1" w:rsidRDefault="00D35E51" w:rsidP="00DB1367">
            <w:pPr>
              <w:tabs>
                <w:tab w:val="left" w:pos="0"/>
              </w:tabs>
              <w:spacing w:line="240" w:lineRule="atLeast"/>
              <w:rPr>
                <w:rFonts w:ascii="Times New Roman" w:hAnsi="Times New Roman" w:cs="Times New Roman"/>
                <w:lang w:val="ru-RU"/>
              </w:rPr>
            </w:pPr>
            <w:r w:rsidRPr="00A013E1">
              <w:rPr>
                <w:rFonts w:ascii="Times New Roman" w:hAnsi="Times New Roman" w:cs="Times New Roman"/>
                <w:lang w:val="ru-RU"/>
              </w:rPr>
              <w:t>Бинокъл</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връзка кораб-пристанищни Инструкция за спасяване на давещи се</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власти</w:t>
            </w:r>
          </w:p>
          <w:p w14:paraId="3268163F" w14:textId="0457EE6B" w:rsidR="00271FA2" w:rsidRPr="00A013E1" w:rsidRDefault="00D35E51" w:rsidP="00DB1367">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Прожектор, управляван от рулевата рубка</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пристанищни услуги</w:t>
            </w:r>
          </w:p>
          <w:p w14:paraId="5E2A3EFC" w14:textId="3C6227B5" w:rsidR="00271FA2" w:rsidRPr="00A013E1" w:rsidRDefault="00D35E51" w:rsidP="00DB1367">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Огнеустойчиви приемни съдове</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Кранове</w:t>
            </w:r>
            <w:r w:rsidRPr="00A013E1">
              <w:rPr>
                <w:rFonts w:ascii="Times New Roman" w:hAnsi="Times New Roman" w:cs="Times New Roman"/>
                <w:lang w:val="ru-RU"/>
              </w:rPr>
              <w:tab/>
              <w:t xml:space="preserve">в съответствие с чл. 14.12, </w:t>
            </w:r>
          </w:p>
          <w:p w14:paraId="15BF2A0F" w14:textId="77777777" w:rsidR="00271FA2" w:rsidRPr="00A013E1" w:rsidRDefault="00D35E51" w:rsidP="00DB1367">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Трап/стълба*)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т. 8*), други кранове с</w:t>
            </w:r>
          </w:p>
          <w:p w14:paraId="61BD3320" w14:textId="77777777" w:rsidR="00271FA2" w:rsidRPr="00A013E1" w:rsidRDefault="00D35E51" w:rsidP="00DB1367">
            <w:pPr>
              <w:tabs>
                <w:tab w:val="left" w:pos="3094"/>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 xml:space="preserve">работен товар до 2000 kg*) </w:t>
            </w:r>
          </w:p>
        </w:tc>
      </w:tr>
      <w:tr w:rsidR="00271FA2" w:rsidRPr="00A013E1" w14:paraId="1218DB96" w14:textId="77777777" w:rsidTr="00DF176D">
        <w:tc>
          <w:tcPr>
            <w:tcW w:w="9781" w:type="dxa"/>
            <w:tcBorders>
              <w:top w:val="single" w:sz="4" w:space="0" w:color="auto"/>
              <w:left w:val="single" w:sz="4" w:space="0" w:color="auto"/>
              <w:bottom w:val="single" w:sz="4" w:space="0" w:color="auto"/>
              <w:right w:val="single" w:sz="4" w:space="0" w:color="auto"/>
            </w:tcBorders>
          </w:tcPr>
          <w:p w14:paraId="0AAF2695" w14:textId="77777777" w:rsidR="00271FA2" w:rsidRPr="00A013E1" w:rsidRDefault="00D35E51" w:rsidP="00832D6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43. Противопожарни средства</w:t>
            </w:r>
          </w:p>
          <w:p w14:paraId="7C67E75C" w14:textId="60720D47" w:rsidR="00271FA2" w:rsidRPr="00A013E1" w:rsidRDefault="00D35E51" w:rsidP="00832D61">
            <w:pPr>
              <w:tabs>
                <w:tab w:val="left" w:pos="0"/>
              </w:tabs>
              <w:spacing w:line="240" w:lineRule="atLeast"/>
              <w:rPr>
                <w:rFonts w:ascii="Times New Roman" w:hAnsi="Times New Roman" w:cs="Times New Roman"/>
                <w:lang w:val="ru-RU"/>
              </w:rPr>
            </w:pPr>
            <w:r w:rsidRPr="00A013E1">
              <w:rPr>
                <w:rFonts w:ascii="Times New Roman" w:hAnsi="Times New Roman" w:cs="Times New Roman"/>
                <w:lang w:val="ru-RU"/>
              </w:rPr>
              <w:t>Брой преносими пожарогасители ……… пожарни помпи ………… хидранти ..…………</w:t>
            </w:r>
          </w:p>
          <w:p w14:paraId="3923AE55" w14:textId="77777777"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Стационарни противопожарни системи в жилищни помещения и т.н.</w:t>
            </w:r>
            <w:r w:rsidRPr="00A013E1">
              <w:rPr>
                <w:rFonts w:ascii="Times New Roman" w:hAnsi="Times New Roman" w:cs="Times New Roman"/>
                <w:lang w:val="ru-RU"/>
              </w:rPr>
              <w:tab/>
              <w:t>Не/Брой………*)</w:t>
            </w:r>
          </w:p>
          <w:p w14:paraId="28E3BABD" w14:textId="77777777"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Стационарни противопожарни системи в машинни помещения и т.н.</w:t>
            </w:r>
            <w:r w:rsidRPr="00A013E1">
              <w:rPr>
                <w:rFonts w:ascii="Times New Roman" w:hAnsi="Times New Roman" w:cs="Times New Roman"/>
                <w:lang w:val="ru-RU"/>
              </w:rPr>
              <w:tab/>
              <w:t>Не/Брой………*)</w:t>
            </w:r>
          </w:p>
          <w:p w14:paraId="437F9F8E" w14:textId="77777777"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Механизирана осушителна помпа заместваща пожарната помпа</w:t>
            </w:r>
            <w:r w:rsidRPr="00A013E1">
              <w:rPr>
                <w:rFonts w:ascii="Times New Roman" w:hAnsi="Times New Roman" w:cs="Times New Roman"/>
                <w:lang w:val="ru-RU"/>
              </w:rPr>
              <w:tab/>
            </w:r>
            <w:r w:rsidRPr="00A013E1">
              <w:rPr>
                <w:rFonts w:ascii="Times New Roman" w:hAnsi="Times New Roman" w:cs="Times New Roman"/>
                <w:lang w:val="ru-RU"/>
              </w:rPr>
              <w:tab/>
              <w:t>Да/Не*)</w:t>
            </w:r>
          </w:p>
        </w:tc>
      </w:tr>
      <w:tr w:rsidR="00271FA2" w:rsidRPr="00A013E1" w14:paraId="59CB3306" w14:textId="77777777" w:rsidTr="00DF176D">
        <w:tc>
          <w:tcPr>
            <w:tcW w:w="9781" w:type="dxa"/>
            <w:tcBorders>
              <w:top w:val="single" w:sz="4" w:space="0" w:color="auto"/>
              <w:left w:val="single" w:sz="4" w:space="0" w:color="auto"/>
              <w:bottom w:val="single" w:sz="4" w:space="0" w:color="auto"/>
              <w:right w:val="single" w:sz="4" w:space="0" w:color="auto"/>
            </w:tcBorders>
          </w:tcPr>
          <w:p w14:paraId="5EACCA87" w14:textId="77777777"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44. Спасителни средства</w:t>
            </w:r>
          </w:p>
          <w:p w14:paraId="25E2905C" w14:textId="77777777"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Брой спасителни пояси………………, от които със светлина…….., с въже………..*)</w:t>
            </w:r>
          </w:p>
          <w:p w14:paraId="7FC8E1CD" w14:textId="0A02D0B0"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Една спасителна жилетка за всяко лице обичайно на борда/в съответствие с чл.13.08</w:t>
            </w:r>
            <w:r w:rsidR="002745A2" w:rsidRPr="00A013E1">
              <w:rPr>
                <w:rFonts w:ascii="Times New Roman" w:hAnsi="Times New Roman" w:cs="Times New Roman"/>
                <w:lang w:val="ru-RU"/>
              </w:rPr>
              <w:t>, т</w:t>
            </w:r>
            <w:r w:rsidR="00F80621" w:rsidRPr="00A013E1">
              <w:rPr>
                <w:rFonts w:ascii="Times New Roman" w:hAnsi="Times New Roman" w:cs="Times New Roman"/>
                <w:lang w:val="ru-RU"/>
              </w:rPr>
              <w:t>.2</w:t>
            </w:r>
            <w:r w:rsidRPr="00A013E1">
              <w:rPr>
                <w:rFonts w:ascii="Times New Roman" w:hAnsi="Times New Roman" w:cs="Times New Roman"/>
                <w:lang w:val="ru-RU"/>
              </w:rPr>
              <w:t xml:space="preserve"> *)</w:t>
            </w:r>
          </w:p>
          <w:p w14:paraId="588B6125" w14:textId="77777777"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Корабна лодка с гребла, въже за обвързване и черпак/в съответствие с европейски стандарт*)</w:t>
            </w:r>
          </w:p>
          <w:p w14:paraId="761AA307" w14:textId="77777777"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Платформа или съоръжение в съответствие с чл. 19.15, т. 4 или т. 5*)</w:t>
            </w:r>
          </w:p>
          <w:p w14:paraId="76ED3488" w14:textId="6655DAA0"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Брой, тип и размер(и) на оборудването, позволяващо на лица да бъдат прехвърлени безопасно в плитки води, на брега или на друго плаващо средство в съответствие с чл. 19.09, т. 3 …………………………………………………………………………………………</w:t>
            </w:r>
          </w:p>
          <w:p w14:paraId="05054251" w14:textId="77777777"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Брой индивидуални спасителни средства за персонала на борда…….., от които в съответствие с чл. 13.08, т. 2 …………….*)</w:t>
            </w:r>
          </w:p>
          <w:p w14:paraId="35CDC91C" w14:textId="06B10F1C"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lastRenderedPageBreak/>
              <w:t>Колективни спасителни средства в зависимост от броя, равностойни на ……………… индивидуалните спасителни средства*)</w:t>
            </w:r>
          </w:p>
          <w:p w14:paraId="32A90D0A" w14:textId="77777777"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Два комплекта дихателни апарати, два комплекта оборудване, брой……….................. димозащитни качулки*)</w:t>
            </w:r>
          </w:p>
          <w:p w14:paraId="1A66189E" w14:textId="519D56A0"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Разписанието по безопасност и планът по безопасност са изложени на: ……………………</w:t>
            </w:r>
          </w:p>
        </w:tc>
      </w:tr>
      <w:tr w:rsidR="00271FA2" w:rsidRPr="00A013E1" w14:paraId="423D0EBE" w14:textId="77777777" w:rsidTr="00DF176D">
        <w:tc>
          <w:tcPr>
            <w:tcW w:w="9781" w:type="dxa"/>
            <w:tcBorders>
              <w:top w:val="single" w:sz="4" w:space="0" w:color="auto"/>
              <w:left w:val="single" w:sz="4" w:space="0" w:color="auto"/>
              <w:bottom w:val="single" w:sz="4" w:space="0" w:color="auto"/>
              <w:right w:val="single" w:sz="4" w:space="0" w:color="auto"/>
            </w:tcBorders>
          </w:tcPr>
          <w:p w14:paraId="63714DE9" w14:textId="77777777" w:rsidR="00271FA2" w:rsidRPr="00A013E1" w:rsidRDefault="00D35E51" w:rsidP="00832D6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45. Специално оборудване на рулевата рубка за управление от едно лице с радиолокатор:</w:t>
            </w:r>
          </w:p>
          <w:p w14:paraId="0CC6D098" w14:textId="188C701A" w:rsidR="00271FA2" w:rsidRPr="00A013E1" w:rsidRDefault="00E76CEB" w:rsidP="00832D6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Плавателният съд </w:t>
            </w:r>
            <w:r w:rsidR="00D21619" w:rsidRPr="00A013E1">
              <w:rPr>
                <w:rFonts w:ascii="Times New Roman" w:hAnsi="Times New Roman" w:cs="Times New Roman"/>
              </w:rPr>
              <w:t>e</w:t>
            </w:r>
            <w:r w:rsidRPr="00A013E1">
              <w:rPr>
                <w:rFonts w:ascii="Times New Roman" w:hAnsi="Times New Roman" w:cs="Times New Roman"/>
                <w:lang w:val="ru-RU"/>
              </w:rPr>
              <w:t xml:space="preserve"> </w:t>
            </w:r>
            <w:r w:rsidR="00596BD5" w:rsidRPr="00A013E1">
              <w:rPr>
                <w:rFonts w:ascii="Times New Roman" w:hAnsi="Times New Roman" w:cs="Times New Roman"/>
                <w:lang w:val="ru-RU"/>
              </w:rPr>
              <w:t>проектиран</w:t>
            </w:r>
            <w:r w:rsidR="00D21619" w:rsidRPr="00A013E1">
              <w:rPr>
                <w:rFonts w:ascii="Times New Roman" w:hAnsi="Times New Roman" w:cs="Times New Roman"/>
                <w:lang w:val="ru-RU"/>
              </w:rPr>
              <w:t xml:space="preserve"> </w:t>
            </w:r>
            <w:r w:rsidR="00B9679D" w:rsidRPr="00A013E1">
              <w:rPr>
                <w:rFonts w:ascii="Times New Roman" w:hAnsi="Times New Roman" w:cs="Times New Roman"/>
                <w:lang w:val="ru-RU"/>
              </w:rPr>
              <w:t xml:space="preserve"> с</w:t>
            </w:r>
            <w:r w:rsidR="00D21619" w:rsidRPr="00A013E1">
              <w:rPr>
                <w:rFonts w:ascii="Times New Roman" w:hAnsi="Times New Roman" w:cs="Times New Roman"/>
                <w:lang w:val="ru-RU"/>
              </w:rPr>
              <w:t xml:space="preserve"> </w:t>
            </w:r>
            <w:r w:rsidR="00596BD5" w:rsidRPr="00A013E1">
              <w:rPr>
                <w:rFonts w:ascii="Times New Roman" w:hAnsi="Times New Roman" w:cs="Times New Roman"/>
                <w:lang w:val="ru-RU"/>
              </w:rPr>
              <w:t>място за</w:t>
            </w:r>
            <w:r w:rsidRPr="00A013E1">
              <w:rPr>
                <w:rFonts w:ascii="Times New Roman" w:hAnsi="Times New Roman" w:cs="Times New Roman"/>
                <w:lang w:val="ru-RU"/>
              </w:rPr>
              <w:t xml:space="preserve"> управление </w:t>
            </w:r>
            <w:r w:rsidR="00596BD5" w:rsidRPr="00A013E1">
              <w:rPr>
                <w:rFonts w:ascii="Times New Roman" w:hAnsi="Times New Roman" w:cs="Times New Roman"/>
                <w:lang w:val="ru-RU"/>
              </w:rPr>
              <w:t xml:space="preserve"> от едно лице с помощта на радиолокатор</w:t>
            </w:r>
            <w:r w:rsidRPr="00A013E1">
              <w:rPr>
                <w:rFonts w:ascii="Times New Roman" w:hAnsi="Times New Roman" w:cs="Times New Roman"/>
                <w:lang w:val="ru-RU"/>
              </w:rPr>
              <w:t>*).</w:t>
            </w:r>
          </w:p>
        </w:tc>
      </w:tr>
      <w:tr w:rsidR="00271FA2" w:rsidRPr="00A013E1" w14:paraId="6E9A1D0A" w14:textId="77777777" w:rsidTr="00DF176D">
        <w:tc>
          <w:tcPr>
            <w:tcW w:w="9781" w:type="dxa"/>
            <w:tcBorders>
              <w:top w:val="single" w:sz="4" w:space="0" w:color="auto"/>
              <w:left w:val="single" w:sz="4" w:space="0" w:color="auto"/>
              <w:bottom w:val="single" w:sz="4" w:space="0" w:color="auto"/>
              <w:right w:val="single" w:sz="4" w:space="0" w:color="auto"/>
            </w:tcBorders>
          </w:tcPr>
          <w:p w14:paraId="3B6B595A" w14:textId="6E089CE4"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*)Изменена е позиция(и): ……………………………………………………………………</w:t>
            </w:r>
          </w:p>
          <w:p w14:paraId="0416E044" w14:textId="44320A2D" w:rsidR="00832D61" w:rsidRPr="00A013E1" w:rsidRDefault="00832D6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w:t>
            </w:r>
          </w:p>
          <w:p w14:paraId="204FB2BB" w14:textId="5B77D5C1" w:rsidR="00271FA2" w:rsidRPr="00A013E1" w:rsidRDefault="00D35E51" w:rsidP="00832D61">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Нов текст: ………………………………………………………………………………………...</w:t>
            </w:r>
          </w:p>
          <w:p w14:paraId="2C886C07" w14:textId="1F5041EE" w:rsidR="00271FA2" w:rsidRPr="00A013E1" w:rsidRDefault="00D35E51" w:rsidP="00832D6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71C95F42"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Тази страница е била заменена.</w:t>
            </w:r>
          </w:p>
          <w:p w14:paraId="55586A2D" w14:textId="77777777" w:rsidR="00271FA2" w:rsidRPr="00A013E1" w:rsidRDefault="00D35E51" w:rsidP="00396EE6">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3BEE27D3" w14:textId="77777777" w:rsidR="00271FA2" w:rsidRPr="00A013E1" w:rsidRDefault="00D35E51" w:rsidP="00396EE6">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3A7A9D93" w14:textId="77777777" w:rsidR="00271FA2" w:rsidRPr="00A013E1" w:rsidRDefault="00D35E51" w:rsidP="00396EE6">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0CFBD4AA" w14:textId="77777777" w:rsidR="00271FA2" w:rsidRPr="00A013E1" w:rsidRDefault="00D35E51" w:rsidP="00396EE6">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r w:rsidRPr="00A013E1">
              <w:rPr>
                <w:rFonts w:ascii="Times New Roman" w:hAnsi="Times New Roman" w:cs="Times New Roman"/>
                <w:noProof/>
                <w:lang w:eastAsia="bg-BG"/>
              </w:rPr>
              <mc:AlternateContent>
                <mc:Choice Requires="wps">
                  <w:drawing>
                    <wp:anchor distT="0" distB="0" distL="114300" distR="114300" simplePos="0" relativeHeight="251701248" behindDoc="0" locked="0" layoutInCell="1" allowOverlap="1" wp14:anchorId="295769ED" wp14:editId="19877155">
                      <wp:simplePos x="0" y="0"/>
                      <wp:positionH relativeFrom="column">
                        <wp:posOffset>19685</wp:posOffset>
                      </wp:positionH>
                      <wp:positionV relativeFrom="paragraph">
                        <wp:posOffset>132080</wp:posOffset>
                      </wp:positionV>
                      <wp:extent cx="1634490" cy="0"/>
                      <wp:effectExtent l="0" t="0" r="3810" b="0"/>
                      <wp:wrapNone/>
                      <wp:docPr id="451" name="Straight Connector 24"/>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24" o:spid="_x0000_s1026" o:spt="20" style="position:absolute;left:0pt;margin-left:1.55pt;margin-top:10.4pt;height:0pt;width:128.7pt;z-index:251701248;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DBLJho9AEAAPoDAAAOAAAAAAAAAAEAIAAAACMBAABkcnMvZTJvRG9jLnhtbFBLBQYA&#10;AAAABgAGAFkBAACJBQAAAAA=&#10;">
                      <v:fill on="f" focussize="0,0"/>
                      <v:stroke color="#000000" joinstyle="round"/>
                      <v:imagedata o:title=""/>
                      <o:lock v:ext="edit" aspectratio="f"/>
                    </v:line>
                  </w:pict>
                </mc:Fallback>
              </mc:AlternateContent>
            </w:r>
          </w:p>
          <w:p w14:paraId="341A4371" w14:textId="18058376" w:rsidR="00271FA2" w:rsidRPr="00A013E1" w:rsidRDefault="00D35E51" w:rsidP="00396EE6">
            <w:pPr>
              <w:tabs>
                <w:tab w:val="left" w:pos="3094"/>
              </w:tabs>
              <w:spacing w:line="240" w:lineRule="atLeast"/>
              <w:jc w:val="both"/>
              <w:rPr>
                <w:rFonts w:ascii="Times New Roman" w:hAnsi="Times New Roman" w:cs="Times New Roman"/>
              </w:rPr>
            </w:pPr>
            <w:r w:rsidRPr="00A013E1">
              <w:rPr>
                <w:rFonts w:ascii="Times New Roman" w:hAnsi="Times New Roman" w:cs="Times New Roman"/>
              </w:rPr>
              <w:t>*) Неприложимото се зачерква</w:t>
            </w:r>
          </w:p>
        </w:tc>
      </w:tr>
    </w:tbl>
    <w:p w14:paraId="0635B63C" w14:textId="77777777" w:rsidR="002658FD" w:rsidRPr="00A013E1" w:rsidRDefault="002658FD">
      <w:pPr>
        <w:rPr>
          <w:rFonts w:ascii="Times New Roman" w:hAnsi="Times New Roman" w:cs="Times New Roman"/>
        </w:rPr>
      </w:pPr>
      <w:r w:rsidRPr="00A013E1">
        <w:rPr>
          <w:rFonts w:ascii="Times New Roman" w:hAnsi="Times New Roman" w:cs="Times New Roman"/>
        </w:rPr>
        <w:br w:type="page"/>
      </w:r>
    </w:p>
    <w:p w14:paraId="65D8DC9A" w14:textId="77777777" w:rsidR="004E7707" w:rsidRPr="00A013E1" w:rsidRDefault="004E7707" w:rsidP="00A007D4">
      <w:pPr>
        <w:pBdr>
          <w:top w:val="single" w:sz="4" w:space="1" w:color="auto"/>
        </w:pBdr>
        <w:tabs>
          <w:tab w:val="left" w:pos="3094"/>
        </w:tabs>
        <w:spacing w:line="240" w:lineRule="atLeast"/>
        <w:rPr>
          <w:rFonts w:ascii="Times New Roman" w:hAnsi="Times New Roman" w:cs="Times New Roman"/>
        </w:rPr>
      </w:pPr>
    </w:p>
    <w:p w14:paraId="2959046B" w14:textId="4399978E" w:rsidR="00271FA2" w:rsidRPr="00A013E1" w:rsidRDefault="00D35E51" w:rsidP="002658FD">
      <w:pPr>
        <w:pBdr>
          <w:top w:val="single" w:sz="4" w:space="1" w:color="auto"/>
        </w:pBdr>
        <w:tabs>
          <w:tab w:val="left" w:pos="3094"/>
        </w:tabs>
        <w:spacing w:line="240" w:lineRule="atLeast"/>
        <w:ind w:left="142"/>
        <w:rPr>
          <w:rFonts w:ascii="Times New Roman" w:hAnsi="Times New Roman" w:cs="Times New Roman"/>
          <w:lang w:val="ru-RU"/>
        </w:rPr>
      </w:pPr>
      <w:r w:rsidRPr="00A013E1">
        <w:rPr>
          <w:rFonts w:ascii="Times New Roman" w:hAnsi="Times New Roman" w:cs="Times New Roman"/>
          <w:lang w:val="ru-RU"/>
        </w:rPr>
        <w:t>Корабно удостоверение № .................. издадено от Дирекция „Речен надзор –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271FA2" w:rsidRPr="00A013E1" w14:paraId="63B21359" w14:textId="77777777">
        <w:tc>
          <w:tcPr>
            <w:tcW w:w="9146" w:type="dxa"/>
            <w:tcBorders>
              <w:top w:val="single" w:sz="4" w:space="0" w:color="auto"/>
              <w:left w:val="single" w:sz="4" w:space="0" w:color="auto"/>
              <w:bottom w:val="single" w:sz="4" w:space="0" w:color="auto"/>
              <w:right w:val="single" w:sz="4" w:space="0" w:color="auto"/>
            </w:tcBorders>
          </w:tcPr>
          <w:p w14:paraId="570B330B"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46. Режимът на работа отговаря на [</w:t>
            </w:r>
            <w:r w:rsidRPr="00A013E1">
              <w:rPr>
                <w:rFonts w:ascii="Times New Roman" w:hAnsi="Times New Roman" w:cs="Times New Roman"/>
              </w:rPr>
              <w:t>A</w:t>
            </w:r>
            <w:r w:rsidRPr="00A013E1">
              <w:rPr>
                <w:rFonts w:ascii="Times New Roman" w:hAnsi="Times New Roman" w:cs="Times New Roman"/>
                <w:lang w:val="ru-RU"/>
              </w:rPr>
              <w:t xml:space="preserve">1*), </w:t>
            </w:r>
            <w:r w:rsidRPr="00A013E1">
              <w:rPr>
                <w:rFonts w:ascii="Times New Roman" w:hAnsi="Times New Roman" w:cs="Times New Roman"/>
              </w:rPr>
              <w:t>A</w:t>
            </w:r>
            <w:r w:rsidRPr="00A013E1">
              <w:rPr>
                <w:rFonts w:ascii="Times New Roman" w:hAnsi="Times New Roman" w:cs="Times New Roman"/>
                <w:lang w:val="ru-RU"/>
              </w:rPr>
              <w:t xml:space="preserve">2*), </w:t>
            </w:r>
            <w:r w:rsidRPr="00A013E1">
              <w:rPr>
                <w:rFonts w:ascii="Times New Roman" w:hAnsi="Times New Roman" w:cs="Times New Roman"/>
              </w:rPr>
              <w:t>B</w:t>
            </w:r>
            <w:r w:rsidRPr="00A013E1">
              <w:rPr>
                <w:rFonts w:ascii="Times New Roman" w:hAnsi="Times New Roman" w:cs="Times New Roman"/>
                <w:lang w:val="ru-RU"/>
              </w:rPr>
              <w:t>*)/изисквания на националното и международното законодателство относно екипажа]</w:t>
            </w:r>
          </w:p>
        </w:tc>
      </w:tr>
      <w:tr w:rsidR="00271FA2" w:rsidRPr="00A013E1" w14:paraId="7FD32B43" w14:textId="77777777">
        <w:tc>
          <w:tcPr>
            <w:tcW w:w="9146" w:type="dxa"/>
            <w:tcBorders>
              <w:top w:val="single" w:sz="4" w:space="0" w:color="auto"/>
              <w:left w:val="single" w:sz="4" w:space="0" w:color="auto"/>
              <w:bottom w:val="single" w:sz="4" w:space="0" w:color="auto"/>
              <w:right w:val="single" w:sz="4" w:space="0" w:color="auto"/>
            </w:tcBorders>
          </w:tcPr>
          <w:p w14:paraId="419D1BD1"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47. Оборудване на кораба в съответствие с чл. 31.01.</w:t>
            </w:r>
          </w:p>
          <w:p w14:paraId="4340FCA3" w14:textId="7657FEBF"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Корабът съответства*)/не съответства*) на чл. 31.02 (Стандарт </w:t>
            </w:r>
            <w:r w:rsidRPr="00A013E1">
              <w:rPr>
                <w:rFonts w:ascii="Times New Roman" w:hAnsi="Times New Roman" w:cs="Times New Roman"/>
              </w:rPr>
              <w:t>S</w:t>
            </w:r>
            <w:r w:rsidRPr="00A013E1">
              <w:rPr>
                <w:rFonts w:ascii="Times New Roman" w:hAnsi="Times New Roman" w:cs="Times New Roman"/>
                <w:lang w:val="ru-RU"/>
              </w:rPr>
              <w:t xml:space="preserve">1)*)/на чл. 31.03 (Стандарт </w:t>
            </w:r>
            <w:r w:rsidRPr="00A013E1">
              <w:rPr>
                <w:rFonts w:ascii="Times New Roman" w:hAnsi="Times New Roman" w:cs="Times New Roman"/>
              </w:rPr>
              <w:t>S</w:t>
            </w:r>
            <w:r w:rsidRPr="00A013E1">
              <w:rPr>
                <w:rFonts w:ascii="Times New Roman" w:hAnsi="Times New Roman" w:cs="Times New Roman"/>
                <w:lang w:val="ru-RU"/>
              </w:rPr>
              <w:t xml:space="preserve">2)*). [В съответствие с чл. </w:t>
            </w:r>
            <w:r w:rsidR="00E76CEB" w:rsidRPr="00A013E1">
              <w:rPr>
                <w:rFonts w:ascii="Times New Roman" w:hAnsi="Times New Roman" w:cs="Times New Roman"/>
                <w:lang w:val="ru-RU"/>
              </w:rPr>
              <w:t>19.05</w:t>
            </w:r>
            <w:r w:rsidRPr="00A013E1">
              <w:rPr>
                <w:rFonts w:ascii="Times New Roman" w:hAnsi="Times New Roman" w:cs="Times New Roman"/>
                <w:lang w:val="ru-RU"/>
              </w:rPr>
              <w:t xml:space="preserve"> от Правилата за персонала плаващ на Рейн/В съответствие с националните или международните изисквания], минималният екипаж трябва да се увеличи както следва*)</w:t>
            </w:r>
            <w:r w:rsidR="00E76CEB" w:rsidRPr="00A013E1">
              <w:rPr>
                <w:rFonts w:ascii="Times New Roman" w:hAnsi="Times New Roman" w:cs="Times New Roman"/>
                <w:lang w:val="ru-RU"/>
              </w:rPr>
              <w:t>/</w:t>
            </w:r>
            <w:r w:rsidRPr="00A013E1">
              <w:rPr>
                <w:rFonts w:ascii="Times New Roman" w:hAnsi="Times New Roman" w:cs="Times New Roman"/>
                <w:lang w:val="ru-RU"/>
              </w:rPr>
              <w:t xml:space="preserve"> не трябва да се увеличава*):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6"/>
              <w:gridCol w:w="1976"/>
              <w:gridCol w:w="1976"/>
              <w:gridCol w:w="1976"/>
            </w:tblGrid>
            <w:tr w:rsidR="00271FA2" w:rsidRPr="00A013E1" w14:paraId="1C5B1680" w14:textId="77777777">
              <w:tc>
                <w:tcPr>
                  <w:tcW w:w="4771" w:type="dxa"/>
                  <w:tcBorders>
                    <w:top w:val="single" w:sz="4" w:space="0" w:color="auto"/>
                    <w:left w:val="single" w:sz="4" w:space="0" w:color="auto"/>
                    <w:bottom w:val="single" w:sz="4" w:space="0" w:color="auto"/>
                    <w:right w:val="single" w:sz="4" w:space="0" w:color="auto"/>
                  </w:tcBorders>
                </w:tcPr>
                <w:p w14:paraId="2F28DFA5" w14:textId="77777777" w:rsidR="00271FA2" w:rsidRPr="00A013E1" w:rsidRDefault="00271FA2" w:rsidP="00A007D4">
                  <w:pPr>
                    <w:tabs>
                      <w:tab w:val="left" w:pos="3094"/>
                    </w:tabs>
                    <w:spacing w:line="240" w:lineRule="atLeast"/>
                    <w:jc w:val="both"/>
                    <w:rPr>
                      <w:rFonts w:ascii="Times New Roman" w:hAnsi="Times New Roman" w:cs="Times New Roman"/>
                      <w:lang w:val="ru-RU"/>
                    </w:rPr>
                  </w:pPr>
                </w:p>
              </w:tc>
              <w:tc>
                <w:tcPr>
                  <w:tcW w:w="4772" w:type="dxa"/>
                  <w:gridSpan w:val="3"/>
                  <w:tcBorders>
                    <w:top w:val="single" w:sz="4" w:space="0" w:color="auto"/>
                    <w:left w:val="single" w:sz="4" w:space="0" w:color="auto"/>
                    <w:bottom w:val="single" w:sz="4" w:space="0" w:color="auto"/>
                    <w:right w:val="single" w:sz="4" w:space="0" w:color="auto"/>
                  </w:tcBorders>
                </w:tcPr>
                <w:p w14:paraId="4E187C08" w14:textId="77777777" w:rsidR="00271FA2" w:rsidRPr="00A013E1" w:rsidRDefault="00D35E51" w:rsidP="00A007D4">
                  <w:pPr>
                    <w:tabs>
                      <w:tab w:val="left" w:pos="3094"/>
                    </w:tabs>
                    <w:spacing w:line="240" w:lineRule="atLeast"/>
                    <w:jc w:val="center"/>
                    <w:rPr>
                      <w:rFonts w:ascii="Times New Roman" w:hAnsi="Times New Roman" w:cs="Times New Roman"/>
                      <w:vertAlign w:val="superscript"/>
                      <w:lang w:val="ru-RU"/>
                    </w:rPr>
                  </w:pPr>
                  <w:r w:rsidRPr="00A013E1">
                    <w:rPr>
                      <w:rFonts w:ascii="Times New Roman" w:hAnsi="Times New Roman" w:cs="Times New Roman"/>
                      <w:lang w:val="ru-RU"/>
                    </w:rPr>
                    <w:t>Режими на работа</w:t>
                  </w:r>
                  <w:r w:rsidRPr="00A013E1">
                    <w:rPr>
                      <w:rStyle w:val="FootnoteReference"/>
                      <w:rFonts w:ascii="Times New Roman" w:hAnsi="Times New Roman" w:cs="Times New Roman"/>
                    </w:rPr>
                    <w:footnoteReference w:id="34"/>
                  </w:r>
                </w:p>
              </w:tc>
            </w:tr>
            <w:tr w:rsidR="00271FA2" w:rsidRPr="00A013E1" w14:paraId="46FAB487" w14:textId="77777777">
              <w:tc>
                <w:tcPr>
                  <w:tcW w:w="4771" w:type="dxa"/>
                  <w:vMerge w:val="restart"/>
                  <w:tcBorders>
                    <w:top w:val="single" w:sz="4" w:space="0" w:color="auto"/>
                    <w:left w:val="single" w:sz="4" w:space="0" w:color="auto"/>
                    <w:bottom w:val="single" w:sz="4" w:space="0" w:color="auto"/>
                    <w:right w:val="single" w:sz="4" w:space="0" w:color="auto"/>
                  </w:tcBorders>
                </w:tcPr>
                <w:p w14:paraId="6D7AECF0" w14:textId="77777777" w:rsidR="00271FA2" w:rsidRPr="00A013E1" w:rsidRDefault="00271FA2" w:rsidP="00A007D4">
                  <w:pPr>
                    <w:tabs>
                      <w:tab w:val="left" w:pos="3094"/>
                    </w:tabs>
                    <w:spacing w:line="240" w:lineRule="atLeast"/>
                    <w:jc w:val="both"/>
                    <w:rPr>
                      <w:rFonts w:ascii="Times New Roman" w:hAnsi="Times New Roman" w:cs="Times New Roman"/>
                      <w:lang w:val="ru-RU"/>
                    </w:rPr>
                  </w:pPr>
                </w:p>
              </w:tc>
              <w:tc>
                <w:tcPr>
                  <w:tcW w:w="1590" w:type="dxa"/>
                  <w:tcBorders>
                    <w:top w:val="single" w:sz="4" w:space="0" w:color="auto"/>
                    <w:left w:val="single" w:sz="4" w:space="0" w:color="auto"/>
                    <w:bottom w:val="single" w:sz="4" w:space="0" w:color="auto"/>
                    <w:right w:val="single" w:sz="4" w:space="0" w:color="auto"/>
                  </w:tcBorders>
                </w:tcPr>
                <w:p w14:paraId="1FE0951F" w14:textId="77777777" w:rsidR="00271FA2" w:rsidRPr="00A013E1" w:rsidRDefault="00271FA2" w:rsidP="00A007D4">
                  <w:pPr>
                    <w:tabs>
                      <w:tab w:val="left" w:pos="3094"/>
                    </w:tabs>
                    <w:spacing w:line="240" w:lineRule="atLeast"/>
                    <w:jc w:val="both"/>
                    <w:rPr>
                      <w:rFonts w:ascii="Times New Roman" w:hAnsi="Times New Roman" w:cs="Times New Roman"/>
                      <w:lang w:val="ru-RU"/>
                    </w:rPr>
                  </w:pPr>
                </w:p>
              </w:tc>
              <w:tc>
                <w:tcPr>
                  <w:tcW w:w="1591" w:type="dxa"/>
                  <w:tcBorders>
                    <w:top w:val="single" w:sz="4" w:space="0" w:color="auto"/>
                    <w:left w:val="single" w:sz="4" w:space="0" w:color="auto"/>
                    <w:bottom w:val="single" w:sz="4" w:space="0" w:color="auto"/>
                    <w:right w:val="single" w:sz="4" w:space="0" w:color="auto"/>
                  </w:tcBorders>
                </w:tcPr>
                <w:p w14:paraId="05C58954" w14:textId="77777777" w:rsidR="00271FA2" w:rsidRPr="00A013E1" w:rsidRDefault="00271FA2" w:rsidP="00A007D4">
                  <w:pPr>
                    <w:tabs>
                      <w:tab w:val="left" w:pos="3094"/>
                    </w:tabs>
                    <w:spacing w:line="240" w:lineRule="atLeast"/>
                    <w:jc w:val="both"/>
                    <w:rPr>
                      <w:rFonts w:ascii="Times New Roman" w:hAnsi="Times New Roman" w:cs="Times New Roman"/>
                      <w:lang w:val="ru-RU"/>
                    </w:rPr>
                  </w:pPr>
                </w:p>
              </w:tc>
              <w:tc>
                <w:tcPr>
                  <w:tcW w:w="1591" w:type="dxa"/>
                  <w:tcBorders>
                    <w:top w:val="single" w:sz="4" w:space="0" w:color="auto"/>
                    <w:left w:val="single" w:sz="4" w:space="0" w:color="auto"/>
                    <w:bottom w:val="single" w:sz="4" w:space="0" w:color="auto"/>
                    <w:right w:val="single" w:sz="4" w:space="0" w:color="auto"/>
                  </w:tcBorders>
                </w:tcPr>
                <w:p w14:paraId="0631FE70" w14:textId="77777777" w:rsidR="00271FA2" w:rsidRPr="00A013E1" w:rsidRDefault="00271FA2" w:rsidP="00A007D4">
                  <w:pPr>
                    <w:tabs>
                      <w:tab w:val="left" w:pos="3094"/>
                    </w:tabs>
                    <w:spacing w:line="240" w:lineRule="atLeast"/>
                    <w:jc w:val="both"/>
                    <w:rPr>
                      <w:rFonts w:ascii="Times New Roman" w:hAnsi="Times New Roman" w:cs="Times New Roman"/>
                      <w:lang w:val="ru-RU"/>
                    </w:rPr>
                  </w:pPr>
                </w:p>
              </w:tc>
            </w:tr>
            <w:tr w:rsidR="00271FA2" w:rsidRPr="00A013E1" w14:paraId="7762A05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AEC6E78" w14:textId="77777777" w:rsidR="00271FA2" w:rsidRPr="00A013E1" w:rsidRDefault="00271FA2" w:rsidP="00A007D4">
                  <w:pPr>
                    <w:spacing w:line="240" w:lineRule="atLeast"/>
                    <w:rPr>
                      <w:rFonts w:ascii="Times New Roman" w:hAnsi="Times New Roman" w:cs="Times New Roman"/>
                      <w:lang w:val="ru-RU"/>
                    </w:rPr>
                  </w:pPr>
                </w:p>
              </w:tc>
              <w:tc>
                <w:tcPr>
                  <w:tcW w:w="1590" w:type="dxa"/>
                  <w:tcBorders>
                    <w:top w:val="single" w:sz="4" w:space="0" w:color="auto"/>
                    <w:left w:val="single" w:sz="4" w:space="0" w:color="auto"/>
                    <w:bottom w:val="single" w:sz="4" w:space="0" w:color="auto"/>
                    <w:right w:val="single" w:sz="4" w:space="0" w:color="auto"/>
                  </w:tcBorders>
                </w:tcPr>
                <w:p w14:paraId="7B56B9BF"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4920D184"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91" w:type="dxa"/>
                  <w:tcBorders>
                    <w:top w:val="single" w:sz="4" w:space="0" w:color="auto"/>
                    <w:left w:val="single" w:sz="4" w:space="0" w:color="auto"/>
                    <w:bottom w:val="single" w:sz="4" w:space="0" w:color="auto"/>
                    <w:right w:val="single" w:sz="4" w:space="0" w:color="auto"/>
                  </w:tcBorders>
                </w:tcPr>
                <w:p w14:paraId="0B129BFC"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63F6BCA8"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91" w:type="dxa"/>
                  <w:tcBorders>
                    <w:top w:val="single" w:sz="4" w:space="0" w:color="auto"/>
                    <w:left w:val="single" w:sz="4" w:space="0" w:color="auto"/>
                    <w:bottom w:val="single" w:sz="4" w:space="0" w:color="auto"/>
                    <w:right w:val="single" w:sz="4" w:space="0" w:color="auto"/>
                  </w:tcBorders>
                </w:tcPr>
                <w:p w14:paraId="0BB05605"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06E0C141"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r>
          </w:tbl>
          <w:p w14:paraId="1DAF3A79" w14:textId="046D2FF2"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Забележки и специфични условия :</w:t>
            </w:r>
            <w:r w:rsidR="00A007D4" w:rsidRPr="00A013E1">
              <w:rPr>
                <w:rFonts w:ascii="Times New Roman" w:hAnsi="Times New Roman" w:cs="Times New Roman"/>
                <w:lang w:val="ru-RU"/>
              </w:rPr>
              <w:t xml:space="preserve"> …………………………………………………………..</w:t>
            </w:r>
          </w:p>
          <w:p w14:paraId="66630567" w14:textId="28D4CF43" w:rsidR="00271FA2" w:rsidRPr="00A013E1" w:rsidRDefault="00D35E51" w:rsidP="00A007D4">
            <w:pPr>
              <w:tabs>
                <w:tab w:val="left" w:pos="3094"/>
              </w:tabs>
              <w:spacing w:line="240" w:lineRule="atLeast"/>
              <w:jc w:val="both"/>
              <w:rPr>
                <w:rFonts w:ascii="Times New Roman" w:hAnsi="Times New Roman" w:cs="Times New Roman"/>
              </w:rPr>
            </w:pPr>
            <w:r w:rsidRPr="00A013E1">
              <w:rPr>
                <w:rFonts w:ascii="Times New Roman" w:hAnsi="Times New Roman" w:cs="Times New Roman"/>
              </w:rPr>
              <w:t>………………………………………………………………………………………………………...………………………………………………………………………………………………</w:t>
            </w:r>
          </w:p>
        </w:tc>
      </w:tr>
      <w:tr w:rsidR="00271FA2" w:rsidRPr="00A013E1" w14:paraId="138644C0" w14:textId="77777777">
        <w:tc>
          <w:tcPr>
            <w:tcW w:w="9146" w:type="dxa"/>
            <w:tcBorders>
              <w:top w:val="single" w:sz="4" w:space="0" w:color="auto"/>
              <w:left w:val="single" w:sz="4" w:space="0" w:color="auto"/>
              <w:bottom w:val="single" w:sz="4" w:space="0" w:color="auto"/>
              <w:right w:val="single" w:sz="4" w:space="0" w:color="auto"/>
            </w:tcBorders>
          </w:tcPr>
          <w:p w14:paraId="36A4C9F3" w14:textId="5C99BD04"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48. Минимален екипаж [в съответствие с чл. </w:t>
            </w:r>
            <w:r w:rsidR="00E76CEB" w:rsidRPr="00A013E1">
              <w:rPr>
                <w:rFonts w:ascii="Times New Roman" w:hAnsi="Times New Roman" w:cs="Times New Roman"/>
                <w:lang w:val="ru-RU"/>
              </w:rPr>
              <w:t>19.06</w:t>
            </w:r>
            <w:r w:rsidRPr="00A013E1">
              <w:rPr>
                <w:rFonts w:ascii="Times New Roman" w:hAnsi="Times New Roman" w:cs="Times New Roman"/>
                <w:lang w:val="ru-RU"/>
              </w:rPr>
              <w:t xml:space="preserve"> от Правилата за персонала плаващ на Рейн/</w:t>
            </w:r>
            <w:r w:rsidR="00A007D4" w:rsidRPr="00A013E1">
              <w:rPr>
                <w:rFonts w:ascii="Times New Roman" w:hAnsi="Times New Roman" w:cs="Times New Roman"/>
                <w:lang w:val="ru-RU"/>
              </w:rPr>
              <w:t xml:space="preserve"> </w:t>
            </w:r>
            <w:r w:rsidRPr="00A013E1">
              <w:rPr>
                <w:rFonts w:ascii="Times New Roman" w:hAnsi="Times New Roman" w:cs="Times New Roman"/>
                <w:lang w:val="ru-RU"/>
              </w:rPr>
              <w:t>В съответствие с национални или международни изисквания ]</w:t>
            </w:r>
            <w:r w:rsidRPr="00A013E1">
              <w:rPr>
                <w:rStyle w:val="FootnoteReference"/>
                <w:rFonts w:ascii="Times New Roman" w:hAnsi="Times New Roman" w:cs="Times New Roman"/>
              </w:rPr>
              <w:footnoteReference w:id="3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6"/>
              <w:gridCol w:w="1976"/>
              <w:gridCol w:w="1976"/>
              <w:gridCol w:w="1976"/>
            </w:tblGrid>
            <w:tr w:rsidR="00271FA2" w:rsidRPr="00A013E1" w14:paraId="0BE96026" w14:textId="77777777">
              <w:tc>
                <w:tcPr>
                  <w:tcW w:w="4202" w:type="dxa"/>
                  <w:tcBorders>
                    <w:top w:val="single" w:sz="4" w:space="0" w:color="auto"/>
                    <w:left w:val="single" w:sz="4" w:space="0" w:color="auto"/>
                    <w:bottom w:val="single" w:sz="4" w:space="0" w:color="auto"/>
                    <w:right w:val="single" w:sz="4" w:space="0" w:color="auto"/>
                  </w:tcBorders>
                </w:tcPr>
                <w:p w14:paraId="6AE44CC9" w14:textId="77777777" w:rsidR="00271FA2" w:rsidRPr="00A013E1" w:rsidRDefault="00271FA2" w:rsidP="00A007D4">
                  <w:pPr>
                    <w:tabs>
                      <w:tab w:val="left" w:pos="3094"/>
                    </w:tabs>
                    <w:spacing w:line="240" w:lineRule="atLeast"/>
                    <w:jc w:val="both"/>
                    <w:rPr>
                      <w:rFonts w:ascii="Times New Roman" w:hAnsi="Times New Roman" w:cs="Times New Roman"/>
                      <w:lang w:val="ru-RU"/>
                    </w:rPr>
                  </w:pPr>
                </w:p>
              </w:tc>
              <w:tc>
                <w:tcPr>
                  <w:tcW w:w="4718" w:type="dxa"/>
                  <w:gridSpan w:val="3"/>
                  <w:tcBorders>
                    <w:top w:val="single" w:sz="4" w:space="0" w:color="auto"/>
                    <w:left w:val="single" w:sz="4" w:space="0" w:color="auto"/>
                    <w:bottom w:val="single" w:sz="4" w:space="0" w:color="auto"/>
                    <w:right w:val="single" w:sz="4" w:space="0" w:color="auto"/>
                  </w:tcBorders>
                </w:tcPr>
                <w:p w14:paraId="5362AF3C" w14:textId="77777777" w:rsidR="00271FA2" w:rsidRPr="00A013E1" w:rsidRDefault="00D35E51" w:rsidP="00A007D4">
                  <w:pPr>
                    <w:tabs>
                      <w:tab w:val="left" w:pos="3094"/>
                    </w:tabs>
                    <w:spacing w:line="240" w:lineRule="atLeast"/>
                    <w:jc w:val="center"/>
                    <w:rPr>
                      <w:rFonts w:ascii="Times New Roman" w:hAnsi="Times New Roman" w:cs="Times New Roman"/>
                      <w:vertAlign w:val="superscript"/>
                      <w:lang w:val="ru-RU"/>
                    </w:rPr>
                  </w:pPr>
                  <w:r w:rsidRPr="00A013E1">
                    <w:rPr>
                      <w:rFonts w:ascii="Times New Roman" w:hAnsi="Times New Roman" w:cs="Times New Roman"/>
                      <w:lang w:val="ru-RU"/>
                    </w:rPr>
                    <w:t>Режими на работа</w:t>
                  </w:r>
                </w:p>
              </w:tc>
            </w:tr>
            <w:tr w:rsidR="00271FA2" w:rsidRPr="00A013E1" w14:paraId="14A0CB02" w14:textId="77777777">
              <w:tc>
                <w:tcPr>
                  <w:tcW w:w="4202" w:type="dxa"/>
                  <w:vMerge w:val="restart"/>
                  <w:tcBorders>
                    <w:top w:val="single" w:sz="4" w:space="0" w:color="auto"/>
                    <w:left w:val="single" w:sz="4" w:space="0" w:color="auto"/>
                    <w:bottom w:val="single" w:sz="4" w:space="0" w:color="auto"/>
                    <w:right w:val="single" w:sz="4" w:space="0" w:color="auto"/>
                  </w:tcBorders>
                </w:tcPr>
                <w:p w14:paraId="131A52FF" w14:textId="77777777" w:rsidR="00271FA2" w:rsidRPr="00A013E1" w:rsidRDefault="00271FA2" w:rsidP="00A007D4">
                  <w:pPr>
                    <w:tabs>
                      <w:tab w:val="left" w:pos="3094"/>
                    </w:tabs>
                    <w:spacing w:line="240" w:lineRule="atLeast"/>
                    <w:jc w:val="both"/>
                    <w:rPr>
                      <w:rFonts w:ascii="Times New Roman" w:hAnsi="Times New Roman" w:cs="Times New Roman"/>
                      <w:lang w:val="ru-RU"/>
                    </w:rPr>
                  </w:pPr>
                </w:p>
              </w:tc>
              <w:tc>
                <w:tcPr>
                  <w:tcW w:w="1572" w:type="dxa"/>
                  <w:tcBorders>
                    <w:top w:val="single" w:sz="4" w:space="0" w:color="auto"/>
                    <w:left w:val="single" w:sz="4" w:space="0" w:color="auto"/>
                    <w:bottom w:val="single" w:sz="4" w:space="0" w:color="auto"/>
                    <w:right w:val="single" w:sz="4" w:space="0" w:color="auto"/>
                  </w:tcBorders>
                </w:tcPr>
                <w:p w14:paraId="73EEB529"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27A8CC66"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11B62B1E"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r>
            <w:tr w:rsidR="00271FA2" w:rsidRPr="00A013E1" w14:paraId="354C13D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798CC89" w14:textId="77777777" w:rsidR="00271FA2" w:rsidRPr="00A013E1" w:rsidRDefault="00271FA2" w:rsidP="00A007D4">
                  <w:pPr>
                    <w:spacing w:line="240" w:lineRule="atLeast"/>
                    <w:rPr>
                      <w:rFonts w:ascii="Times New Roman" w:hAnsi="Times New Roman" w:cs="Times New Roman"/>
                      <w:lang w:val="ru-RU"/>
                    </w:rPr>
                  </w:pPr>
                </w:p>
              </w:tc>
              <w:tc>
                <w:tcPr>
                  <w:tcW w:w="1572" w:type="dxa"/>
                  <w:tcBorders>
                    <w:top w:val="single" w:sz="4" w:space="0" w:color="auto"/>
                    <w:left w:val="single" w:sz="4" w:space="0" w:color="auto"/>
                    <w:bottom w:val="single" w:sz="4" w:space="0" w:color="auto"/>
                    <w:right w:val="single" w:sz="4" w:space="0" w:color="auto"/>
                  </w:tcBorders>
                </w:tcPr>
                <w:p w14:paraId="3BEBA88B"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5AADB13D"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54755BB5"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r>
            <w:tr w:rsidR="00271FA2" w:rsidRPr="00A013E1" w14:paraId="664ABDC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2A1AD7E" w14:textId="77777777" w:rsidR="00271FA2" w:rsidRPr="00A013E1" w:rsidRDefault="00271FA2" w:rsidP="00A007D4">
                  <w:pPr>
                    <w:spacing w:line="240" w:lineRule="atLeast"/>
                    <w:rPr>
                      <w:rFonts w:ascii="Times New Roman" w:hAnsi="Times New Roman" w:cs="Times New Roman"/>
                      <w:lang w:val="ru-RU"/>
                    </w:rPr>
                  </w:pPr>
                </w:p>
              </w:tc>
              <w:tc>
                <w:tcPr>
                  <w:tcW w:w="1572" w:type="dxa"/>
                  <w:tcBorders>
                    <w:top w:val="single" w:sz="4" w:space="0" w:color="auto"/>
                    <w:left w:val="single" w:sz="4" w:space="0" w:color="auto"/>
                    <w:bottom w:val="single" w:sz="4" w:space="0" w:color="auto"/>
                    <w:right w:val="single" w:sz="4" w:space="0" w:color="auto"/>
                  </w:tcBorders>
                </w:tcPr>
                <w:p w14:paraId="4F898FD1"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6B5F24FB"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3C1AAC24"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r>
            <w:tr w:rsidR="00271FA2" w:rsidRPr="00A013E1" w14:paraId="67B7830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C5ED621" w14:textId="77777777" w:rsidR="00271FA2" w:rsidRPr="00A013E1" w:rsidRDefault="00271FA2" w:rsidP="00A007D4">
                  <w:pPr>
                    <w:spacing w:line="240" w:lineRule="atLeast"/>
                    <w:rPr>
                      <w:rFonts w:ascii="Times New Roman" w:hAnsi="Times New Roman" w:cs="Times New Roman"/>
                      <w:lang w:val="ru-RU"/>
                    </w:rPr>
                  </w:pPr>
                </w:p>
              </w:tc>
              <w:tc>
                <w:tcPr>
                  <w:tcW w:w="1572" w:type="dxa"/>
                  <w:tcBorders>
                    <w:top w:val="single" w:sz="4" w:space="0" w:color="auto"/>
                    <w:left w:val="single" w:sz="4" w:space="0" w:color="auto"/>
                    <w:bottom w:val="single" w:sz="4" w:space="0" w:color="auto"/>
                    <w:right w:val="single" w:sz="4" w:space="0" w:color="auto"/>
                  </w:tcBorders>
                </w:tcPr>
                <w:p w14:paraId="3D49863B"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48AF61E5"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0B4B6D94"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r>
            <w:tr w:rsidR="00271FA2" w:rsidRPr="00A013E1" w14:paraId="0ADE3C7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629BF11" w14:textId="77777777" w:rsidR="00271FA2" w:rsidRPr="00A013E1" w:rsidRDefault="00271FA2" w:rsidP="00A007D4">
                  <w:pPr>
                    <w:spacing w:line="240" w:lineRule="atLeast"/>
                    <w:rPr>
                      <w:rFonts w:ascii="Times New Roman" w:hAnsi="Times New Roman" w:cs="Times New Roman"/>
                      <w:lang w:val="ru-RU"/>
                    </w:rPr>
                  </w:pPr>
                </w:p>
              </w:tc>
              <w:tc>
                <w:tcPr>
                  <w:tcW w:w="1572" w:type="dxa"/>
                  <w:tcBorders>
                    <w:top w:val="single" w:sz="4" w:space="0" w:color="auto"/>
                    <w:left w:val="single" w:sz="4" w:space="0" w:color="auto"/>
                    <w:bottom w:val="single" w:sz="4" w:space="0" w:color="auto"/>
                    <w:right w:val="single" w:sz="4" w:space="0" w:color="auto"/>
                  </w:tcBorders>
                </w:tcPr>
                <w:p w14:paraId="0A93B2C4"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5F3DB688"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5D907B7C"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r>
            <w:tr w:rsidR="00271FA2" w:rsidRPr="00A013E1" w14:paraId="6134F5F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AC22A60" w14:textId="77777777" w:rsidR="00271FA2" w:rsidRPr="00A013E1" w:rsidRDefault="00271FA2" w:rsidP="00A007D4">
                  <w:pPr>
                    <w:spacing w:line="240" w:lineRule="atLeast"/>
                    <w:rPr>
                      <w:rFonts w:ascii="Times New Roman" w:hAnsi="Times New Roman" w:cs="Times New Roman"/>
                      <w:lang w:val="ru-RU"/>
                    </w:rPr>
                  </w:pPr>
                </w:p>
              </w:tc>
              <w:tc>
                <w:tcPr>
                  <w:tcW w:w="1572" w:type="dxa"/>
                  <w:tcBorders>
                    <w:top w:val="single" w:sz="4" w:space="0" w:color="auto"/>
                    <w:left w:val="single" w:sz="4" w:space="0" w:color="auto"/>
                    <w:bottom w:val="single" w:sz="4" w:space="0" w:color="auto"/>
                    <w:right w:val="single" w:sz="4" w:space="0" w:color="auto"/>
                  </w:tcBorders>
                </w:tcPr>
                <w:p w14:paraId="55E05E7E"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1B95FBC4"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63E84892"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r>
            <w:tr w:rsidR="00271FA2" w:rsidRPr="00A013E1" w14:paraId="25B9E07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7CDA26F" w14:textId="77777777" w:rsidR="00271FA2" w:rsidRPr="00A013E1" w:rsidRDefault="00271FA2" w:rsidP="00A007D4">
                  <w:pPr>
                    <w:spacing w:line="240" w:lineRule="atLeast"/>
                    <w:rPr>
                      <w:rFonts w:ascii="Times New Roman" w:hAnsi="Times New Roman" w:cs="Times New Roman"/>
                      <w:lang w:val="ru-RU"/>
                    </w:rPr>
                  </w:pPr>
                </w:p>
              </w:tc>
              <w:tc>
                <w:tcPr>
                  <w:tcW w:w="1572" w:type="dxa"/>
                  <w:tcBorders>
                    <w:top w:val="single" w:sz="4" w:space="0" w:color="auto"/>
                    <w:left w:val="single" w:sz="4" w:space="0" w:color="auto"/>
                    <w:bottom w:val="single" w:sz="4" w:space="0" w:color="auto"/>
                    <w:right w:val="single" w:sz="4" w:space="0" w:color="auto"/>
                  </w:tcBorders>
                </w:tcPr>
                <w:p w14:paraId="36DD46A7"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61EC55B3"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42A0967C"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r>
            <w:tr w:rsidR="00271FA2" w:rsidRPr="00A013E1" w14:paraId="076D94B1" w14:textId="77777777">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14:paraId="66E4679A" w14:textId="77777777" w:rsidR="00271FA2" w:rsidRPr="00A013E1" w:rsidRDefault="00271FA2" w:rsidP="00A007D4">
                  <w:pPr>
                    <w:spacing w:line="240" w:lineRule="atLeast"/>
                    <w:rPr>
                      <w:rFonts w:ascii="Times New Roman" w:hAnsi="Times New Roman" w:cs="Times New Roman"/>
                      <w:lang w:val="ru-RU"/>
                    </w:rPr>
                  </w:pPr>
                </w:p>
              </w:tc>
              <w:tc>
                <w:tcPr>
                  <w:tcW w:w="1572" w:type="dxa"/>
                  <w:tcBorders>
                    <w:top w:val="single" w:sz="4" w:space="0" w:color="auto"/>
                    <w:left w:val="single" w:sz="4" w:space="0" w:color="auto"/>
                    <w:bottom w:val="single" w:sz="4" w:space="0" w:color="auto"/>
                    <w:right w:val="single" w:sz="4" w:space="0" w:color="auto"/>
                  </w:tcBorders>
                </w:tcPr>
                <w:p w14:paraId="63677841"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137D3261"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c>
                <w:tcPr>
                  <w:tcW w:w="1573" w:type="dxa"/>
                  <w:tcBorders>
                    <w:top w:val="single" w:sz="4" w:space="0" w:color="auto"/>
                    <w:left w:val="single" w:sz="4" w:space="0" w:color="auto"/>
                    <w:bottom w:val="single" w:sz="4" w:space="0" w:color="auto"/>
                    <w:right w:val="single" w:sz="4" w:space="0" w:color="auto"/>
                  </w:tcBorders>
                </w:tcPr>
                <w:p w14:paraId="450261C5"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tc>
            </w:tr>
          </w:tbl>
          <w:p w14:paraId="11EE00C7"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Забележки и специфични условия :</w:t>
            </w:r>
          </w:p>
          <w:p w14:paraId="6D698415" w14:textId="77777777" w:rsidR="00271FA2" w:rsidRPr="00A013E1" w:rsidRDefault="00D35E51" w:rsidP="00A007D4">
            <w:pPr>
              <w:tabs>
                <w:tab w:val="left" w:pos="3094"/>
              </w:tabs>
              <w:spacing w:line="240" w:lineRule="atLeast"/>
              <w:jc w:val="both"/>
              <w:rPr>
                <w:rFonts w:ascii="Times New Roman" w:hAnsi="Times New Roman" w:cs="Times New Roman"/>
              </w:rPr>
            </w:pPr>
            <w:r w:rsidRPr="00A013E1">
              <w:rPr>
                <w:rFonts w:ascii="Times New Roman" w:hAnsi="Times New Roman" w:cs="Times New Roman"/>
              </w:rPr>
              <w:lastRenderedPageBreak/>
              <w:t>………………………………………………………………………………………………………...…………………………………………………………………………………………………………</w:t>
            </w:r>
            <w:r w:rsidR="00A007D4" w:rsidRPr="00A013E1">
              <w:rPr>
                <w:rFonts w:ascii="Times New Roman" w:hAnsi="Times New Roman" w:cs="Times New Roman"/>
              </w:rPr>
              <w:t>…………………………………………………………………………………………</w:t>
            </w:r>
          </w:p>
          <w:p w14:paraId="72A087CA" w14:textId="29D5CE22" w:rsidR="00A007D4" w:rsidRPr="00A013E1" w:rsidRDefault="00A007D4" w:rsidP="00A007D4">
            <w:pPr>
              <w:tabs>
                <w:tab w:val="left" w:pos="3094"/>
              </w:tabs>
              <w:spacing w:line="240" w:lineRule="atLeast"/>
              <w:jc w:val="both"/>
              <w:rPr>
                <w:rFonts w:ascii="Times New Roman" w:hAnsi="Times New Roman" w:cs="Times New Roman"/>
              </w:rPr>
            </w:pPr>
            <w:r w:rsidRPr="00A013E1">
              <w:rPr>
                <w:rFonts w:ascii="Times New Roman" w:hAnsi="Times New Roman" w:cs="Times New Roman"/>
              </w:rPr>
              <w:t>……………………………………………………………………………………………………</w:t>
            </w:r>
          </w:p>
        </w:tc>
      </w:tr>
      <w:tr w:rsidR="00271FA2" w:rsidRPr="00A013E1" w14:paraId="73825C9F" w14:textId="77777777">
        <w:tc>
          <w:tcPr>
            <w:tcW w:w="9146" w:type="dxa"/>
            <w:tcBorders>
              <w:top w:val="single" w:sz="4" w:space="0" w:color="auto"/>
              <w:left w:val="single" w:sz="4" w:space="0" w:color="auto"/>
              <w:bottom w:val="single" w:sz="4" w:space="0" w:color="auto"/>
              <w:right w:val="single" w:sz="4" w:space="0" w:color="auto"/>
            </w:tcBorders>
          </w:tcPr>
          <w:p w14:paraId="210830AD" w14:textId="10F51C4C" w:rsidR="00271FA2" w:rsidRPr="00A013E1" w:rsidRDefault="00D35E51" w:rsidP="00A007D4">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lastRenderedPageBreak/>
              <w:t>*) Изменена е позиция(и): ………………………………………………………………………</w:t>
            </w:r>
          </w:p>
          <w:p w14:paraId="524015CB" w14:textId="264B3AEB" w:rsidR="00271FA2" w:rsidRPr="00A013E1" w:rsidRDefault="00D35E51" w:rsidP="00A007D4">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Нов текст: ………………………………………………………………………………………...</w:t>
            </w:r>
          </w:p>
          <w:p w14:paraId="7F90E861" w14:textId="2F2022C3"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r w:rsidR="00A007D4" w:rsidRPr="00A013E1">
              <w:rPr>
                <w:rFonts w:ascii="Times New Roman" w:hAnsi="Times New Roman" w:cs="Times New Roman"/>
                <w:lang w:val="ru-RU"/>
              </w:rPr>
              <w:t>….</w:t>
            </w:r>
          </w:p>
          <w:p w14:paraId="752FD70F" w14:textId="7EE26110"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4AC72F48"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Тази страница е била заменена.</w:t>
            </w:r>
          </w:p>
          <w:p w14:paraId="566DC8FA" w14:textId="77777777" w:rsidR="00271FA2" w:rsidRPr="00A013E1" w:rsidRDefault="00D35E51" w:rsidP="00A007D4">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4CC40745" w14:textId="77777777" w:rsidR="00271FA2" w:rsidRPr="00A013E1" w:rsidRDefault="00D35E51" w:rsidP="00A007D4">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1757C3DA" w14:textId="77777777" w:rsidR="00271FA2" w:rsidRPr="00A013E1" w:rsidRDefault="00D35E51" w:rsidP="00A007D4">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1D01373F" w14:textId="77777777" w:rsidR="00271FA2" w:rsidRPr="00A013E1" w:rsidRDefault="00D35E51" w:rsidP="00A007D4">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r w:rsidRPr="00A013E1">
              <w:rPr>
                <w:rFonts w:ascii="Times New Roman" w:hAnsi="Times New Roman" w:cs="Times New Roman"/>
                <w:noProof/>
                <w:lang w:eastAsia="bg-BG"/>
              </w:rPr>
              <mc:AlternateContent>
                <mc:Choice Requires="wps">
                  <w:drawing>
                    <wp:anchor distT="0" distB="0" distL="114300" distR="114300" simplePos="0" relativeHeight="251702272" behindDoc="0" locked="0" layoutInCell="1" allowOverlap="1" wp14:anchorId="7C139840" wp14:editId="16C4CF4E">
                      <wp:simplePos x="0" y="0"/>
                      <wp:positionH relativeFrom="column">
                        <wp:posOffset>19685</wp:posOffset>
                      </wp:positionH>
                      <wp:positionV relativeFrom="paragraph">
                        <wp:posOffset>132080</wp:posOffset>
                      </wp:positionV>
                      <wp:extent cx="1634490" cy="0"/>
                      <wp:effectExtent l="0" t="0" r="3810" b="0"/>
                      <wp:wrapNone/>
                      <wp:docPr id="450" name="Straight Connector 27"/>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27" o:spid="_x0000_s1026" o:spt="20" style="position:absolute;left:0pt;margin-left:1.55pt;margin-top:10.4pt;height:0pt;width:128.7pt;z-index:251702272;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DkRHPt9AEAAPoDAAAOAAAAAAAAAAEAIAAAACMBAABkcnMvZTJvRG9jLnhtbFBLBQYA&#10;AAAABgAGAFkBAACJBQAAAAA=&#10;">
                      <v:fill on="f" focussize="0,0"/>
                      <v:stroke color="#000000" joinstyle="round"/>
                      <v:imagedata o:title=""/>
                      <o:lock v:ext="edit" aspectratio="f"/>
                    </v:line>
                  </w:pict>
                </mc:Fallback>
              </mc:AlternateContent>
            </w:r>
          </w:p>
          <w:p w14:paraId="4DABDD5B" w14:textId="77777777" w:rsidR="00AA59E8" w:rsidRPr="00A013E1" w:rsidRDefault="00AA59E8">
            <w:pPr>
              <w:tabs>
                <w:tab w:val="left" w:pos="3094"/>
              </w:tabs>
              <w:spacing w:line="240" w:lineRule="atLeast"/>
              <w:jc w:val="both"/>
              <w:rPr>
                <w:rFonts w:ascii="Times New Roman" w:hAnsi="Times New Roman" w:cs="Times New Roman"/>
              </w:rPr>
            </w:pPr>
          </w:p>
          <w:p w14:paraId="52B13671" w14:textId="179CD854" w:rsidR="00271FA2" w:rsidRPr="00A013E1" w:rsidRDefault="00D35E51">
            <w:pPr>
              <w:tabs>
                <w:tab w:val="left" w:pos="3094"/>
              </w:tabs>
              <w:spacing w:line="240" w:lineRule="atLeast"/>
              <w:jc w:val="both"/>
              <w:rPr>
                <w:rFonts w:ascii="Times New Roman" w:hAnsi="Times New Roman" w:cs="Times New Roman"/>
              </w:rPr>
            </w:pPr>
            <w:r w:rsidRPr="00A013E1">
              <w:rPr>
                <w:rFonts w:ascii="Times New Roman" w:hAnsi="Times New Roman" w:cs="Times New Roman"/>
              </w:rPr>
              <w:t>*) Неприложимото се зачерква</w:t>
            </w:r>
          </w:p>
        </w:tc>
      </w:tr>
    </w:tbl>
    <w:p w14:paraId="05157B08" w14:textId="77777777" w:rsidR="002658FD" w:rsidRPr="00A013E1" w:rsidRDefault="002658FD">
      <w:pPr>
        <w:rPr>
          <w:rFonts w:ascii="Times New Roman" w:hAnsi="Times New Roman" w:cs="Times New Roman"/>
          <w:lang w:val="ru-RU"/>
        </w:rPr>
      </w:pPr>
      <w:r w:rsidRPr="00A013E1">
        <w:rPr>
          <w:rFonts w:ascii="Times New Roman" w:hAnsi="Times New Roman" w:cs="Times New Roman"/>
          <w:lang w:val="ru-RU"/>
        </w:rPr>
        <w:br w:type="page"/>
      </w:r>
    </w:p>
    <w:p w14:paraId="6B283C37" w14:textId="369B7648" w:rsidR="00271FA2" w:rsidRPr="00A013E1" w:rsidRDefault="00D35E51" w:rsidP="00FD60A6">
      <w:pPr>
        <w:pBdr>
          <w:top w:val="single" w:sz="4" w:space="1" w:color="auto"/>
        </w:pBd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lastRenderedPageBreak/>
        <w:t>Корабно удостоверение № .................. издадено от Дирекция „Речен надзор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271FA2" w:rsidRPr="00A013E1" w14:paraId="69705367" w14:textId="77777777">
        <w:trPr>
          <w:trHeight w:val="3950"/>
        </w:trPr>
        <w:tc>
          <w:tcPr>
            <w:tcW w:w="9911" w:type="dxa"/>
            <w:tcBorders>
              <w:top w:val="single" w:sz="4" w:space="0" w:color="auto"/>
              <w:left w:val="single" w:sz="4" w:space="0" w:color="auto"/>
              <w:bottom w:val="single" w:sz="4" w:space="0" w:color="auto"/>
              <w:right w:val="single" w:sz="4" w:space="0" w:color="auto"/>
            </w:tcBorders>
          </w:tcPr>
          <w:p w14:paraId="019AFEF3" w14:textId="77777777" w:rsidR="00271FA2" w:rsidRPr="00A013E1" w:rsidRDefault="00D35E51" w:rsidP="00FD60A6">
            <w:pPr>
              <w:tabs>
                <w:tab w:val="left" w:pos="3094"/>
              </w:tabs>
              <w:spacing w:line="240" w:lineRule="atLeast"/>
              <w:jc w:val="both"/>
              <w:rPr>
                <w:rFonts w:ascii="Times New Roman" w:hAnsi="Times New Roman" w:cs="Times New Roman"/>
                <w:b/>
                <w:sz w:val="20"/>
                <w:szCs w:val="20"/>
                <w:lang w:val="ru-RU"/>
              </w:rPr>
            </w:pPr>
            <w:r w:rsidRPr="00A013E1">
              <w:rPr>
                <w:rFonts w:ascii="Times New Roman" w:hAnsi="Times New Roman" w:cs="Times New Roman"/>
                <w:sz w:val="20"/>
                <w:szCs w:val="20"/>
                <w:lang w:val="ru-RU"/>
              </w:rPr>
              <w:t xml:space="preserve">49. </w:t>
            </w:r>
            <w:r w:rsidRPr="00A013E1">
              <w:rPr>
                <w:rFonts w:ascii="Times New Roman" w:hAnsi="Times New Roman" w:cs="Times New Roman"/>
                <w:b/>
                <w:sz w:val="20"/>
                <w:szCs w:val="20"/>
                <w:lang w:val="ru-RU"/>
              </w:rPr>
              <w:t>Продължаване/Потвърждаване*) на валидността на Корабното удостоверение*) Периодичен – извънреден*) преглед</w:t>
            </w:r>
          </w:p>
          <w:p w14:paraId="32335239" w14:textId="77777777" w:rsidR="00271FA2" w:rsidRPr="00A013E1" w:rsidRDefault="00D35E51" w:rsidP="00FD60A6">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Контролният орган извърши преглед на кораба на ………………………………………*)</w:t>
            </w:r>
          </w:p>
          <w:p w14:paraId="75E6130C" w14:textId="77777777" w:rsidR="00271FA2" w:rsidRPr="00A013E1" w:rsidRDefault="00D35E51" w:rsidP="00FD60A6">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Издадено удостоверение на …………………..от призната класификационна организация</w:t>
            </w:r>
          </w:p>
          <w:p w14:paraId="16759D80" w14:textId="1B3EA345" w:rsidR="00271FA2" w:rsidRPr="00A013E1" w:rsidRDefault="00D35E51" w:rsidP="00FD60A6">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3927E32F" w14:textId="77777777" w:rsidR="00271FA2" w:rsidRPr="00A013E1" w:rsidRDefault="00D35E51" w:rsidP="00FD60A6">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е представено на контролния орган*).</w:t>
            </w:r>
          </w:p>
          <w:p w14:paraId="4A4357F1" w14:textId="1E16BC72" w:rsidR="00271FA2" w:rsidRPr="00A013E1" w:rsidRDefault="00D35E51" w:rsidP="00FD60A6">
            <w:pPr>
              <w:tabs>
                <w:tab w:val="left" w:pos="3094"/>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Причина за прегледа/освидетелстването*): ………</w:t>
            </w:r>
            <w:r w:rsidR="00FD60A6" w:rsidRPr="00A013E1">
              <w:rPr>
                <w:rFonts w:ascii="Times New Roman" w:hAnsi="Times New Roman" w:cs="Times New Roman"/>
                <w:sz w:val="20"/>
                <w:szCs w:val="20"/>
                <w:lang w:val="ru-RU"/>
              </w:rPr>
              <w:t>……………………………………………</w:t>
            </w:r>
          </w:p>
          <w:p w14:paraId="14919889" w14:textId="69482453" w:rsidR="00271FA2" w:rsidRPr="00A013E1" w:rsidRDefault="00D35E51" w:rsidP="00FD60A6">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30958D66" w14:textId="77777777" w:rsidR="00271FA2" w:rsidRPr="00A013E1" w:rsidRDefault="00D35E51" w:rsidP="00FD60A6">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Предвид резултата от прегледа/освидетелстването*), срокът на валидност на Корабното удостоверение се запазва - продължава*)до …………………………………….</w:t>
            </w:r>
          </w:p>
          <w:p w14:paraId="745E3C6C" w14:textId="77777777" w:rsidR="00271FA2" w:rsidRPr="00A013E1" w:rsidRDefault="00D35E51" w:rsidP="00FD60A6">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r w:rsidRPr="00A013E1">
              <w:rPr>
                <w:rFonts w:ascii="Times New Roman" w:hAnsi="Times New Roman" w:cs="Times New Roman"/>
                <w:sz w:val="20"/>
                <w:szCs w:val="20"/>
                <w:lang w:val="ru-RU"/>
              </w:rPr>
              <w:tab/>
              <w:t>………………………………</w:t>
            </w:r>
          </w:p>
          <w:p w14:paraId="5E40E82E" w14:textId="77777777" w:rsidR="00271FA2" w:rsidRPr="00A013E1" w:rsidRDefault="00D35E51" w:rsidP="00FD60A6">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(Място)</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 xml:space="preserve">(Дата) </w:t>
            </w:r>
          </w:p>
          <w:p w14:paraId="7B180ABE" w14:textId="77777777" w:rsidR="00271FA2" w:rsidRPr="00A013E1" w:rsidRDefault="00D35E51" w:rsidP="00FD60A6">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Печат</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(Контролен орган)</w:t>
            </w:r>
          </w:p>
          <w:p w14:paraId="646119A6" w14:textId="77777777" w:rsidR="00271FA2" w:rsidRPr="00A013E1" w:rsidRDefault="00D35E51" w:rsidP="00FD60A6">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rPr>
              <w:t>…………………………………………………</w:t>
            </w:r>
          </w:p>
          <w:p w14:paraId="7C21F49B" w14:textId="77777777" w:rsidR="00271FA2" w:rsidRPr="00A013E1" w:rsidRDefault="00D35E51" w:rsidP="00FD60A6">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t>(Подпис)</w:t>
            </w:r>
            <w:r w:rsidRPr="00A013E1">
              <w:rPr>
                <w:rFonts w:ascii="Times New Roman" w:hAnsi="Times New Roman" w:cs="Times New Roman"/>
                <w:noProof/>
                <w:sz w:val="20"/>
                <w:szCs w:val="20"/>
                <w:lang w:eastAsia="bg-BG"/>
              </w:rPr>
              <mc:AlternateContent>
                <mc:Choice Requires="wps">
                  <w:drawing>
                    <wp:anchor distT="0" distB="0" distL="114300" distR="114300" simplePos="0" relativeHeight="251692032" behindDoc="0" locked="0" layoutInCell="1" allowOverlap="1" wp14:anchorId="1751A726" wp14:editId="32861F0B">
                      <wp:simplePos x="0" y="0"/>
                      <wp:positionH relativeFrom="column">
                        <wp:posOffset>19685</wp:posOffset>
                      </wp:positionH>
                      <wp:positionV relativeFrom="paragraph">
                        <wp:posOffset>132080</wp:posOffset>
                      </wp:positionV>
                      <wp:extent cx="1634490" cy="0"/>
                      <wp:effectExtent l="0" t="0" r="3810" b="0"/>
                      <wp:wrapNone/>
                      <wp:docPr id="204" name="Straight Connector 204"/>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1.55pt;margin-top:10.4pt;height:0pt;width:128.7pt;z-index:251692032;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BzFKqv9AEAAPsDAAAOAAAAAAAAAAEAIAAAACMBAABkcnMvZTJvRG9jLnhtbFBLBQYA&#10;AAAABgAGAFkBAACJBQAAAAA=&#10;">
                      <v:fill on="f" focussize="0,0"/>
                      <v:stroke color="#000000" joinstyle="round"/>
                      <v:imagedata o:title=""/>
                      <o:lock v:ext="edit" aspectratio="f"/>
                    </v:line>
                  </w:pict>
                </mc:Fallback>
              </mc:AlternateContent>
            </w:r>
          </w:p>
          <w:p w14:paraId="3DB1CF73" w14:textId="77777777" w:rsidR="00271FA2" w:rsidRPr="00A013E1" w:rsidRDefault="00D35E51" w:rsidP="00FD60A6">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 Неприложимото се зачерква</w:t>
            </w:r>
          </w:p>
        </w:tc>
      </w:tr>
      <w:tr w:rsidR="00271FA2" w:rsidRPr="00A013E1" w14:paraId="7793D698" w14:textId="77777777">
        <w:trPr>
          <w:trHeight w:val="4248"/>
        </w:trPr>
        <w:tc>
          <w:tcPr>
            <w:tcW w:w="9911" w:type="dxa"/>
            <w:tcBorders>
              <w:top w:val="single" w:sz="4" w:space="0" w:color="auto"/>
              <w:left w:val="single" w:sz="4" w:space="0" w:color="auto"/>
              <w:bottom w:val="single" w:sz="4" w:space="0" w:color="auto"/>
              <w:right w:val="single" w:sz="4" w:space="0" w:color="auto"/>
            </w:tcBorders>
          </w:tcPr>
          <w:p w14:paraId="153C9473" w14:textId="77777777" w:rsidR="00271FA2" w:rsidRPr="00A013E1" w:rsidRDefault="00D35E51" w:rsidP="004A4E00">
            <w:pPr>
              <w:tabs>
                <w:tab w:val="left" w:pos="3094"/>
              </w:tabs>
              <w:spacing w:line="240" w:lineRule="atLeast"/>
              <w:jc w:val="both"/>
              <w:rPr>
                <w:rFonts w:ascii="Times New Roman" w:hAnsi="Times New Roman" w:cs="Times New Roman"/>
                <w:b/>
                <w:sz w:val="20"/>
                <w:szCs w:val="20"/>
                <w:lang w:val="ru-RU"/>
              </w:rPr>
            </w:pPr>
            <w:r w:rsidRPr="00A013E1">
              <w:rPr>
                <w:rFonts w:ascii="Times New Roman" w:hAnsi="Times New Roman" w:cs="Times New Roman"/>
                <w:sz w:val="20"/>
                <w:szCs w:val="20"/>
                <w:lang w:val="ru-RU"/>
              </w:rPr>
              <w:t xml:space="preserve">49. </w:t>
            </w:r>
            <w:r w:rsidRPr="00A013E1">
              <w:rPr>
                <w:rFonts w:ascii="Times New Roman" w:hAnsi="Times New Roman" w:cs="Times New Roman"/>
                <w:b/>
                <w:sz w:val="20"/>
                <w:szCs w:val="20"/>
                <w:lang w:val="ru-RU"/>
              </w:rPr>
              <w:t>Продължаване/Потвърждаване*) на валидността на Корабното удостоверение*) Периодичен – извънреден*) преглед</w:t>
            </w:r>
          </w:p>
          <w:p w14:paraId="5017C72F"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Контролният орган извърши преглед на кораба на ………………………………………*)</w:t>
            </w:r>
          </w:p>
          <w:p w14:paraId="3B4133E3"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Издадено удостоверение на …………………..от призната класификационна организация</w:t>
            </w:r>
          </w:p>
          <w:p w14:paraId="4F704ED3" w14:textId="0FA665DD"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228CD9CF"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е представено на контролния орган*).</w:t>
            </w:r>
          </w:p>
          <w:p w14:paraId="108C95EC" w14:textId="58826700" w:rsidR="00271FA2" w:rsidRPr="00A013E1" w:rsidRDefault="00D35E51" w:rsidP="004A4E00">
            <w:pPr>
              <w:tabs>
                <w:tab w:val="left" w:pos="3094"/>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Причина за прегледа/освидетелстването*): ……</w:t>
            </w:r>
            <w:r w:rsidR="004A4E00" w:rsidRPr="00A013E1">
              <w:rPr>
                <w:rFonts w:ascii="Times New Roman" w:hAnsi="Times New Roman" w:cs="Times New Roman"/>
                <w:sz w:val="20"/>
                <w:szCs w:val="20"/>
                <w:lang w:val="ru-RU"/>
              </w:rPr>
              <w:t>……………………………………………</w:t>
            </w:r>
          </w:p>
          <w:p w14:paraId="7C60294A" w14:textId="1DB6528E"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101D02AF"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Предвид резултата от прегледа/освидетелстването*), срокът на валидност на Корабното удостоверение се запазва - продължава*) до …………………………………….</w:t>
            </w:r>
          </w:p>
          <w:p w14:paraId="43FC9E5C"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r w:rsidRPr="00A013E1">
              <w:rPr>
                <w:rFonts w:ascii="Times New Roman" w:hAnsi="Times New Roman" w:cs="Times New Roman"/>
                <w:sz w:val="20"/>
                <w:szCs w:val="20"/>
                <w:lang w:val="ru-RU"/>
              </w:rPr>
              <w:tab/>
              <w:t>………………………………</w:t>
            </w:r>
          </w:p>
          <w:p w14:paraId="4D53FE65" w14:textId="77777777" w:rsidR="00271FA2" w:rsidRPr="00A013E1" w:rsidRDefault="00D35E51" w:rsidP="004A4E00">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(Място)</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 xml:space="preserve">(Дата) </w:t>
            </w:r>
          </w:p>
          <w:p w14:paraId="2A5353C4" w14:textId="77777777" w:rsidR="00271FA2" w:rsidRPr="00A013E1" w:rsidRDefault="00D35E51" w:rsidP="004A4E00">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Печат</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(Контролен орган)</w:t>
            </w:r>
          </w:p>
          <w:p w14:paraId="59C14F55" w14:textId="77777777" w:rsidR="00271FA2" w:rsidRPr="00A013E1" w:rsidRDefault="00D35E51" w:rsidP="004A4E00">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lang w:val="ru-RU"/>
              </w:rPr>
              <w:lastRenderedPageBreak/>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rPr>
              <w:t>…………………………………………………</w:t>
            </w:r>
          </w:p>
          <w:p w14:paraId="680D5481" w14:textId="77777777" w:rsidR="00271FA2" w:rsidRPr="00A013E1" w:rsidRDefault="00D35E51" w:rsidP="004A4E00">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t>(Подпис)</w:t>
            </w:r>
            <w:r w:rsidRPr="00A013E1">
              <w:rPr>
                <w:rFonts w:ascii="Times New Roman" w:hAnsi="Times New Roman" w:cs="Times New Roman"/>
                <w:noProof/>
                <w:sz w:val="20"/>
                <w:szCs w:val="20"/>
                <w:lang w:eastAsia="bg-BG"/>
              </w:rPr>
              <mc:AlternateContent>
                <mc:Choice Requires="wps">
                  <w:drawing>
                    <wp:anchor distT="0" distB="0" distL="114300" distR="114300" simplePos="0" relativeHeight="251703296" behindDoc="0" locked="0" layoutInCell="1" allowOverlap="1" wp14:anchorId="5E61B259" wp14:editId="6503F9DD">
                      <wp:simplePos x="0" y="0"/>
                      <wp:positionH relativeFrom="column">
                        <wp:posOffset>19685</wp:posOffset>
                      </wp:positionH>
                      <wp:positionV relativeFrom="paragraph">
                        <wp:posOffset>132080</wp:posOffset>
                      </wp:positionV>
                      <wp:extent cx="1634490" cy="0"/>
                      <wp:effectExtent l="0" t="0" r="3810" b="0"/>
                      <wp:wrapNone/>
                      <wp:docPr id="449" name="Straight Connector 30"/>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30" o:spid="_x0000_s1026" o:spt="20" style="position:absolute;left:0pt;margin-left:1.55pt;margin-top:10.4pt;height:0pt;width:128.7pt;z-index:251703296;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wAbMB1AAAAAcBAAAPAAAAAAAAAAEAIAAAACIAAABkcnMvZG93bnJldi54bWxQSwECFAAUAAAA&#10;CACHTuJA3CHOD/IBAAD6AwAADgAAAAAAAAABACAAAAAjAQAAZHJzL2Uyb0RvYy54bWxQSwUGAAAA&#10;AAYABgBZAQAAhwUAAAAA&#10;">
                      <v:fill on="f" focussize="0,0"/>
                      <v:stroke color="#000000" joinstyle="round"/>
                      <v:imagedata o:title=""/>
                      <o:lock v:ext="edit" aspectratio="f"/>
                    </v:line>
                  </w:pict>
                </mc:Fallback>
              </mc:AlternateContent>
            </w:r>
          </w:p>
          <w:p w14:paraId="626FD6E4" w14:textId="77777777" w:rsidR="00271FA2" w:rsidRPr="00A013E1" w:rsidRDefault="00D35E51" w:rsidP="00E52B02">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 Неприложимото се зачерква</w:t>
            </w:r>
          </w:p>
        </w:tc>
      </w:tr>
      <w:tr w:rsidR="00271FA2" w:rsidRPr="00A013E1" w14:paraId="283DF9C4" w14:textId="77777777">
        <w:trPr>
          <w:trHeight w:val="70"/>
        </w:trPr>
        <w:tc>
          <w:tcPr>
            <w:tcW w:w="9911" w:type="dxa"/>
            <w:tcBorders>
              <w:top w:val="single" w:sz="4" w:space="0" w:color="auto"/>
              <w:left w:val="single" w:sz="4" w:space="0" w:color="auto"/>
              <w:bottom w:val="single" w:sz="4" w:space="0" w:color="auto"/>
              <w:right w:val="single" w:sz="4" w:space="0" w:color="auto"/>
            </w:tcBorders>
          </w:tcPr>
          <w:p w14:paraId="7D9C8964" w14:textId="77777777" w:rsidR="00271FA2" w:rsidRPr="00A013E1" w:rsidRDefault="00D35E51" w:rsidP="004A4E00">
            <w:pPr>
              <w:tabs>
                <w:tab w:val="left" w:pos="3094"/>
              </w:tabs>
              <w:spacing w:line="240" w:lineRule="atLeast"/>
              <w:jc w:val="both"/>
              <w:rPr>
                <w:rFonts w:ascii="Times New Roman" w:hAnsi="Times New Roman" w:cs="Times New Roman"/>
                <w:b/>
                <w:sz w:val="20"/>
                <w:szCs w:val="20"/>
                <w:lang w:val="ru-RU"/>
              </w:rPr>
            </w:pPr>
            <w:r w:rsidRPr="00A013E1">
              <w:rPr>
                <w:rFonts w:ascii="Times New Roman" w:hAnsi="Times New Roman" w:cs="Times New Roman"/>
                <w:sz w:val="20"/>
                <w:szCs w:val="20"/>
                <w:lang w:val="ru-RU"/>
              </w:rPr>
              <w:lastRenderedPageBreak/>
              <w:t xml:space="preserve">49. </w:t>
            </w:r>
            <w:r w:rsidRPr="00A013E1">
              <w:rPr>
                <w:rFonts w:ascii="Times New Roman" w:hAnsi="Times New Roman" w:cs="Times New Roman"/>
                <w:b/>
                <w:sz w:val="20"/>
                <w:szCs w:val="20"/>
                <w:lang w:val="ru-RU"/>
              </w:rPr>
              <w:t>Продължаване/Потвърждаване*) на валидността на Корабното удостоверение*) Периодичен – извънреден*) преглед</w:t>
            </w:r>
          </w:p>
          <w:p w14:paraId="794FAB0C"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Контролният орган извърши преглед на кораба на ………………………………………*)</w:t>
            </w:r>
          </w:p>
          <w:p w14:paraId="0061F6F4"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Издадено удостоверение на …………………..от призната класификационна организация</w:t>
            </w:r>
          </w:p>
          <w:p w14:paraId="494BB167" w14:textId="7689C61C"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77E19030"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е представено на контролния орган*).</w:t>
            </w:r>
          </w:p>
          <w:p w14:paraId="23656C83" w14:textId="1E8206AD" w:rsidR="00271FA2" w:rsidRPr="00A013E1" w:rsidRDefault="00D35E51" w:rsidP="004A4E00">
            <w:pPr>
              <w:tabs>
                <w:tab w:val="left" w:pos="3094"/>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Причина за прегледа/освидетелстването*): …………………………………………………..</w:t>
            </w:r>
          </w:p>
          <w:p w14:paraId="0500A6CC" w14:textId="7D46E0E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050BA559"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Предвид резултата от прегледа/освидетелстването*), срокът на валидност на Корабното удостоверение се запазва - продължава*) до …………………………………….</w:t>
            </w:r>
          </w:p>
          <w:p w14:paraId="2AD2F484" w14:textId="77777777" w:rsidR="00271FA2" w:rsidRPr="00A013E1" w:rsidRDefault="00D35E51" w:rsidP="004A4E00">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r w:rsidRPr="00A013E1">
              <w:rPr>
                <w:rFonts w:ascii="Times New Roman" w:hAnsi="Times New Roman" w:cs="Times New Roman"/>
                <w:sz w:val="20"/>
                <w:szCs w:val="20"/>
                <w:lang w:val="ru-RU"/>
              </w:rPr>
              <w:tab/>
              <w:t>………………………………</w:t>
            </w:r>
          </w:p>
          <w:p w14:paraId="79FB33BB" w14:textId="77777777" w:rsidR="00271FA2" w:rsidRPr="00A013E1" w:rsidRDefault="00D35E51" w:rsidP="004A4E00">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(Място)</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 xml:space="preserve">(Дата) </w:t>
            </w:r>
          </w:p>
          <w:p w14:paraId="34FC8D96" w14:textId="77777777" w:rsidR="00271FA2" w:rsidRPr="00A013E1" w:rsidRDefault="00D35E51" w:rsidP="004A4E00">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Печат</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(Контролен орган)</w:t>
            </w:r>
          </w:p>
          <w:p w14:paraId="57D088AF" w14:textId="77777777" w:rsidR="00271FA2" w:rsidRPr="00A013E1" w:rsidRDefault="00D35E51" w:rsidP="004A4E00">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rPr>
              <w:t>…………………………………………………</w:t>
            </w:r>
          </w:p>
          <w:p w14:paraId="76188F91" w14:textId="232EF7C1" w:rsidR="00271FA2" w:rsidRPr="00A013E1" w:rsidRDefault="00D35E51" w:rsidP="004A4E00">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t>(Подпис)</w:t>
            </w:r>
            <w:r w:rsidRPr="00A013E1">
              <w:rPr>
                <w:rFonts w:ascii="Times New Roman" w:hAnsi="Times New Roman" w:cs="Times New Roman"/>
                <w:noProof/>
                <w:sz w:val="20"/>
                <w:szCs w:val="20"/>
                <w:lang w:eastAsia="bg-BG"/>
              </w:rPr>
              <mc:AlternateContent>
                <mc:Choice Requires="wps">
                  <w:drawing>
                    <wp:anchor distT="0" distB="0" distL="114300" distR="114300" simplePos="0" relativeHeight="251704320" behindDoc="0" locked="0" layoutInCell="1" allowOverlap="1" wp14:anchorId="649584F3" wp14:editId="571A4D2C">
                      <wp:simplePos x="0" y="0"/>
                      <wp:positionH relativeFrom="column">
                        <wp:posOffset>19685</wp:posOffset>
                      </wp:positionH>
                      <wp:positionV relativeFrom="paragraph">
                        <wp:posOffset>132080</wp:posOffset>
                      </wp:positionV>
                      <wp:extent cx="1634490" cy="0"/>
                      <wp:effectExtent l="0" t="0" r="3810" b="0"/>
                      <wp:wrapNone/>
                      <wp:docPr id="448" name="Straight Connector 31"/>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31" o:spid="_x0000_s1026" o:spt="20" style="position:absolute;left:0pt;margin-left:1.55pt;margin-top:10.4pt;height:0pt;width:128.7pt;z-index:251704320;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AXebp+9AEAAPoDAAAOAAAAAAAAAAEAIAAAACMBAABkcnMvZTJvRG9jLnhtbFBLBQYA&#10;AAAABgAGAFkBAACJBQAAAAA=&#10;">
                      <v:fill on="f" focussize="0,0"/>
                      <v:stroke color="#000000" joinstyle="round"/>
                      <v:imagedata o:title=""/>
                      <o:lock v:ext="edit" aspectratio="f"/>
                    </v:line>
                  </w:pict>
                </mc:Fallback>
              </mc:AlternateContent>
            </w:r>
          </w:p>
          <w:p w14:paraId="2748A065" w14:textId="77777777" w:rsidR="00271FA2" w:rsidRPr="00A013E1" w:rsidRDefault="00D35E51" w:rsidP="004A4E00">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 Неприложимото се зачерква</w:t>
            </w:r>
          </w:p>
        </w:tc>
      </w:tr>
    </w:tbl>
    <w:p w14:paraId="6ADB18C5" w14:textId="6BE07081" w:rsidR="002658FD" w:rsidRPr="00A013E1" w:rsidRDefault="002658FD" w:rsidP="009E2B9A">
      <w:pPr>
        <w:pBdr>
          <w:top w:val="single" w:sz="4" w:space="1" w:color="auto"/>
        </w:pBdr>
        <w:tabs>
          <w:tab w:val="left" w:pos="3094"/>
        </w:tabs>
        <w:spacing w:line="240" w:lineRule="atLeast"/>
        <w:rPr>
          <w:rFonts w:ascii="Times New Roman" w:hAnsi="Times New Roman" w:cs="Times New Roman"/>
        </w:rPr>
      </w:pPr>
    </w:p>
    <w:p w14:paraId="1C490345" w14:textId="77777777" w:rsidR="002658FD" w:rsidRPr="00A013E1" w:rsidRDefault="002658FD">
      <w:pPr>
        <w:rPr>
          <w:rFonts w:ascii="Times New Roman" w:hAnsi="Times New Roman" w:cs="Times New Roman"/>
        </w:rPr>
      </w:pPr>
      <w:r w:rsidRPr="00A013E1">
        <w:rPr>
          <w:rFonts w:ascii="Times New Roman" w:hAnsi="Times New Roman" w:cs="Times New Roman"/>
        </w:rPr>
        <w:br w:type="page"/>
      </w:r>
    </w:p>
    <w:p w14:paraId="0DC8D001" w14:textId="77777777" w:rsidR="004B204F" w:rsidRPr="00A013E1" w:rsidRDefault="004B204F" w:rsidP="009E2B9A">
      <w:pPr>
        <w:pBdr>
          <w:top w:val="single" w:sz="4" w:space="1" w:color="auto"/>
        </w:pBdr>
        <w:tabs>
          <w:tab w:val="left" w:pos="3094"/>
        </w:tabs>
        <w:spacing w:line="240" w:lineRule="atLeast"/>
        <w:rPr>
          <w:rFonts w:ascii="Times New Roman" w:hAnsi="Times New Roman" w:cs="Times New Roman"/>
        </w:rPr>
      </w:pPr>
    </w:p>
    <w:p w14:paraId="6CA39B15" w14:textId="5BE36813" w:rsidR="00271FA2" w:rsidRPr="00A013E1" w:rsidRDefault="00D35E51" w:rsidP="009E2B9A">
      <w:pPr>
        <w:pBdr>
          <w:top w:val="single" w:sz="4" w:space="1" w:color="auto"/>
        </w:pBd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Корабно удостоверение № .................. издадено от Дирекция „Речен надзор –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271FA2" w:rsidRPr="00A013E1" w14:paraId="7DC87383" w14:textId="77777777" w:rsidTr="002658FD">
        <w:tc>
          <w:tcPr>
            <w:tcW w:w="9918" w:type="dxa"/>
            <w:tcBorders>
              <w:top w:val="single" w:sz="4" w:space="0" w:color="auto"/>
              <w:left w:val="single" w:sz="4" w:space="0" w:color="auto"/>
              <w:bottom w:val="single" w:sz="4" w:space="0" w:color="auto"/>
              <w:right w:val="single" w:sz="4" w:space="0" w:color="auto"/>
            </w:tcBorders>
          </w:tcPr>
          <w:p w14:paraId="5B816E63" w14:textId="77777777" w:rsidR="00271FA2" w:rsidRPr="00A013E1" w:rsidRDefault="00D35E51" w:rsidP="009E2B9A">
            <w:pPr>
              <w:tabs>
                <w:tab w:val="left" w:pos="3094"/>
              </w:tabs>
              <w:spacing w:line="240" w:lineRule="atLeast"/>
              <w:jc w:val="both"/>
              <w:rPr>
                <w:rFonts w:ascii="Times New Roman" w:hAnsi="Times New Roman" w:cs="Times New Roman"/>
                <w:b/>
                <w:sz w:val="20"/>
                <w:szCs w:val="20"/>
                <w:lang w:val="ru-RU"/>
              </w:rPr>
            </w:pPr>
            <w:r w:rsidRPr="00A013E1">
              <w:rPr>
                <w:rFonts w:ascii="Times New Roman" w:hAnsi="Times New Roman" w:cs="Times New Roman"/>
                <w:sz w:val="20"/>
                <w:szCs w:val="20"/>
                <w:lang w:val="ru-RU"/>
              </w:rPr>
              <w:t xml:space="preserve">49. </w:t>
            </w:r>
            <w:r w:rsidRPr="00A013E1">
              <w:rPr>
                <w:rFonts w:ascii="Times New Roman" w:hAnsi="Times New Roman" w:cs="Times New Roman"/>
                <w:b/>
                <w:sz w:val="20"/>
                <w:szCs w:val="20"/>
                <w:lang w:val="ru-RU"/>
              </w:rPr>
              <w:t>Продължаване/Потвърждаване*) на валидността на Корабното удостоверение*) Периодичен – извънреден*) преглед</w:t>
            </w:r>
          </w:p>
          <w:p w14:paraId="0F74AC40"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Контролният орган извърши преглед на кораба на ………………………………………*)</w:t>
            </w:r>
          </w:p>
          <w:p w14:paraId="0A00D664"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Издадено удостоверение на …………………..от призната класификационна организация</w:t>
            </w:r>
          </w:p>
          <w:p w14:paraId="5D2D6436" w14:textId="3E1C8D40"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316A5A10"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е представено на контролния орган*).</w:t>
            </w:r>
          </w:p>
          <w:p w14:paraId="580DE79C" w14:textId="68639CC0" w:rsidR="00271FA2" w:rsidRPr="00A013E1" w:rsidRDefault="00D35E51" w:rsidP="009E2B9A">
            <w:pPr>
              <w:tabs>
                <w:tab w:val="left" w:pos="3094"/>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Причина за прегледа/освидетелстването*): ……………………………………………………..</w:t>
            </w:r>
          </w:p>
          <w:p w14:paraId="287B36AC" w14:textId="50815D0C"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19ED26A6"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Предвид резултата от прегледа/освидетелстването*), срокът на валидност на Корабното удостоверение се запазва - продължава*) до …………………………………….</w:t>
            </w:r>
          </w:p>
          <w:p w14:paraId="39F070B1"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r w:rsidRPr="00A013E1">
              <w:rPr>
                <w:rFonts w:ascii="Times New Roman" w:hAnsi="Times New Roman" w:cs="Times New Roman"/>
                <w:sz w:val="20"/>
                <w:szCs w:val="20"/>
                <w:lang w:val="ru-RU"/>
              </w:rPr>
              <w:tab/>
              <w:t>………………………………</w:t>
            </w:r>
          </w:p>
          <w:p w14:paraId="58200D97" w14:textId="77777777" w:rsidR="00271FA2" w:rsidRPr="00A013E1" w:rsidRDefault="00D35E51" w:rsidP="009E2B9A">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(Място)</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 xml:space="preserve">(Дата) </w:t>
            </w:r>
          </w:p>
          <w:p w14:paraId="60B64B25" w14:textId="77777777" w:rsidR="00271FA2" w:rsidRPr="00A013E1" w:rsidRDefault="00D35E51" w:rsidP="009E2B9A">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Печат</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(Контролен орган)</w:t>
            </w:r>
          </w:p>
          <w:p w14:paraId="4C6DBCDB" w14:textId="77777777" w:rsidR="00271FA2" w:rsidRPr="00A013E1" w:rsidRDefault="00D35E51" w:rsidP="009E2B9A">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rPr>
              <w:t>…………………………………………………</w:t>
            </w:r>
          </w:p>
          <w:p w14:paraId="28F30569" w14:textId="77777777" w:rsidR="00271FA2" w:rsidRPr="00A013E1" w:rsidRDefault="00D35E51" w:rsidP="009E2B9A">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t>(Подпис)</w:t>
            </w:r>
            <w:r w:rsidRPr="00A013E1">
              <w:rPr>
                <w:rFonts w:ascii="Times New Roman" w:hAnsi="Times New Roman" w:cs="Times New Roman"/>
                <w:noProof/>
                <w:sz w:val="20"/>
                <w:szCs w:val="20"/>
                <w:lang w:eastAsia="bg-BG"/>
              </w:rPr>
              <mc:AlternateContent>
                <mc:Choice Requires="wps">
                  <w:drawing>
                    <wp:anchor distT="0" distB="0" distL="114300" distR="114300" simplePos="0" relativeHeight="251705344" behindDoc="0" locked="0" layoutInCell="1" allowOverlap="1" wp14:anchorId="270F643B" wp14:editId="1484FDB5">
                      <wp:simplePos x="0" y="0"/>
                      <wp:positionH relativeFrom="column">
                        <wp:posOffset>19685</wp:posOffset>
                      </wp:positionH>
                      <wp:positionV relativeFrom="paragraph">
                        <wp:posOffset>132080</wp:posOffset>
                      </wp:positionV>
                      <wp:extent cx="1634490" cy="0"/>
                      <wp:effectExtent l="0" t="0" r="3810" b="0"/>
                      <wp:wrapNone/>
                      <wp:docPr id="63" name="Straight Connector 32"/>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32" o:spid="_x0000_s1026" o:spt="20" style="position:absolute;left:0pt;margin-left:1.55pt;margin-top:10.4pt;height:0pt;width:128.7pt;z-index:251705344;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AGzAdQAAAAHAQAADwAAAAAAAAABACAAAAAiAAAAZHJzL2Rvd25yZXYueG1sUEsBAhQAFAAA&#10;AAgAh07iQCWZd9XzAQAA+QMAAA4AAAAAAAAAAQAgAAAAIwEAAGRycy9lMm9Eb2MueG1sUEsFBgAA&#10;AAAGAAYAWQEAAIgFAAAAAA==&#10;">
                      <v:fill on="f" focussize="0,0"/>
                      <v:stroke color="#000000" joinstyle="round"/>
                      <v:imagedata o:title=""/>
                      <o:lock v:ext="edit" aspectratio="f"/>
                    </v:line>
                  </w:pict>
                </mc:Fallback>
              </mc:AlternateContent>
            </w:r>
          </w:p>
          <w:p w14:paraId="0E235D8C" w14:textId="77777777" w:rsidR="00271FA2" w:rsidRPr="00A013E1" w:rsidRDefault="00D35E51" w:rsidP="009E2B9A">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 Неприложимото се зачерква</w:t>
            </w:r>
          </w:p>
        </w:tc>
      </w:tr>
      <w:tr w:rsidR="00271FA2" w:rsidRPr="00A013E1" w14:paraId="13272E6E" w14:textId="77777777" w:rsidTr="002658FD">
        <w:tc>
          <w:tcPr>
            <w:tcW w:w="9918" w:type="dxa"/>
            <w:tcBorders>
              <w:top w:val="single" w:sz="4" w:space="0" w:color="auto"/>
              <w:left w:val="single" w:sz="4" w:space="0" w:color="auto"/>
              <w:bottom w:val="single" w:sz="4" w:space="0" w:color="auto"/>
              <w:right w:val="single" w:sz="4" w:space="0" w:color="auto"/>
            </w:tcBorders>
          </w:tcPr>
          <w:p w14:paraId="0E045683" w14:textId="77777777" w:rsidR="00271FA2" w:rsidRPr="00A013E1" w:rsidRDefault="00D35E51" w:rsidP="009E2B9A">
            <w:pPr>
              <w:tabs>
                <w:tab w:val="left" w:pos="3094"/>
              </w:tabs>
              <w:spacing w:line="240" w:lineRule="atLeast"/>
              <w:jc w:val="both"/>
              <w:rPr>
                <w:rFonts w:ascii="Times New Roman" w:hAnsi="Times New Roman" w:cs="Times New Roman"/>
                <w:b/>
                <w:sz w:val="20"/>
                <w:szCs w:val="20"/>
                <w:lang w:val="ru-RU"/>
              </w:rPr>
            </w:pPr>
            <w:r w:rsidRPr="00A013E1">
              <w:rPr>
                <w:rFonts w:ascii="Times New Roman" w:hAnsi="Times New Roman" w:cs="Times New Roman"/>
                <w:sz w:val="20"/>
                <w:szCs w:val="20"/>
                <w:lang w:val="ru-RU"/>
              </w:rPr>
              <w:t xml:space="preserve">49. </w:t>
            </w:r>
            <w:r w:rsidRPr="00A013E1">
              <w:rPr>
                <w:rFonts w:ascii="Times New Roman" w:hAnsi="Times New Roman" w:cs="Times New Roman"/>
                <w:b/>
                <w:sz w:val="20"/>
                <w:szCs w:val="20"/>
                <w:lang w:val="ru-RU"/>
              </w:rPr>
              <w:t>Продължаване/Потвърждаване*) на валидността на Корабното удостоверение*) Периодичен – извънреден*) преглед</w:t>
            </w:r>
          </w:p>
          <w:p w14:paraId="5777A50C"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Контролният орган извърши преглед на кораба на ………………………………………*)</w:t>
            </w:r>
          </w:p>
          <w:p w14:paraId="2403A5D0"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Издадено удостоверение на …………………..от призната класификационна организация</w:t>
            </w:r>
          </w:p>
          <w:p w14:paraId="3AFCD7FB" w14:textId="0DDB7366"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10F69399"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е представено на контролния орган*).</w:t>
            </w:r>
          </w:p>
          <w:p w14:paraId="5E891F22" w14:textId="36E6C1F5" w:rsidR="00271FA2" w:rsidRPr="00A013E1" w:rsidRDefault="00D35E51" w:rsidP="009E2B9A">
            <w:pPr>
              <w:tabs>
                <w:tab w:val="left" w:pos="3094"/>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Причина за прегледа/освидетелстването*): ……………………………………………………..</w:t>
            </w:r>
          </w:p>
          <w:p w14:paraId="4D7C514A" w14:textId="4DABACCB"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354759FA"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Предвид резултата от прегледа/освидетелстването*), срокът на валидност на Корабното удостоверение се запазва - продължава*) до …………………………………….</w:t>
            </w:r>
          </w:p>
          <w:p w14:paraId="0D539A59"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r w:rsidRPr="00A013E1">
              <w:rPr>
                <w:rFonts w:ascii="Times New Roman" w:hAnsi="Times New Roman" w:cs="Times New Roman"/>
                <w:sz w:val="20"/>
                <w:szCs w:val="20"/>
                <w:lang w:val="ru-RU"/>
              </w:rPr>
              <w:tab/>
              <w:t>………………………………</w:t>
            </w:r>
          </w:p>
          <w:p w14:paraId="5B550998" w14:textId="77777777" w:rsidR="00271FA2" w:rsidRPr="00A013E1" w:rsidRDefault="00D35E51" w:rsidP="009E2B9A">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(Място)</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 xml:space="preserve">(Дата) </w:t>
            </w:r>
          </w:p>
          <w:p w14:paraId="685DEE13" w14:textId="77777777" w:rsidR="00271FA2" w:rsidRPr="00A013E1" w:rsidRDefault="00D35E51" w:rsidP="009E2B9A">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lastRenderedPageBreak/>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Печат</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(Контролен орган)</w:t>
            </w:r>
          </w:p>
          <w:p w14:paraId="76833148" w14:textId="77777777" w:rsidR="00271FA2" w:rsidRPr="00A013E1" w:rsidRDefault="00D35E51" w:rsidP="009E2B9A">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rPr>
              <w:t>…………………………………………………</w:t>
            </w:r>
          </w:p>
          <w:p w14:paraId="220683F4" w14:textId="77777777" w:rsidR="00271FA2" w:rsidRPr="00A013E1" w:rsidRDefault="00D35E51" w:rsidP="009E2B9A">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t>(Подпис)</w:t>
            </w:r>
            <w:r w:rsidRPr="00A013E1">
              <w:rPr>
                <w:rFonts w:ascii="Times New Roman" w:hAnsi="Times New Roman" w:cs="Times New Roman"/>
                <w:noProof/>
                <w:sz w:val="20"/>
                <w:szCs w:val="20"/>
                <w:lang w:eastAsia="bg-BG"/>
              </w:rPr>
              <mc:AlternateContent>
                <mc:Choice Requires="wps">
                  <w:drawing>
                    <wp:anchor distT="0" distB="0" distL="114300" distR="114300" simplePos="0" relativeHeight="251706368" behindDoc="0" locked="0" layoutInCell="1" allowOverlap="1" wp14:anchorId="4D05CD2A" wp14:editId="729C97E0">
                      <wp:simplePos x="0" y="0"/>
                      <wp:positionH relativeFrom="column">
                        <wp:posOffset>19685</wp:posOffset>
                      </wp:positionH>
                      <wp:positionV relativeFrom="paragraph">
                        <wp:posOffset>132080</wp:posOffset>
                      </wp:positionV>
                      <wp:extent cx="1634490" cy="0"/>
                      <wp:effectExtent l="0" t="0" r="3810" b="0"/>
                      <wp:wrapNone/>
                      <wp:docPr id="62" name="Straight Connector 33"/>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33" o:spid="_x0000_s1026" o:spt="20" style="position:absolute;left:0pt;margin-left:1.55pt;margin-top:10.4pt;height:0pt;width:128.7pt;z-index:251706368;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AGzAdQAAAAHAQAADwAAAAAAAAABACAAAAAiAAAAZHJzL2Rvd25yZXYueG1sUEsBAhQAFAAA&#10;AAgAh07iQO7BA6TzAQAA+QMAAA4AAAAAAAAAAQAgAAAAIwEAAGRycy9lMm9Eb2MueG1sUEsFBgAA&#10;AAAGAAYAWQEAAIgFAAAAAA==&#10;">
                      <v:fill on="f" focussize="0,0"/>
                      <v:stroke color="#000000" joinstyle="round"/>
                      <v:imagedata o:title=""/>
                      <o:lock v:ext="edit" aspectratio="f"/>
                    </v:line>
                  </w:pict>
                </mc:Fallback>
              </mc:AlternateContent>
            </w:r>
          </w:p>
          <w:p w14:paraId="6F00F796" w14:textId="77777777" w:rsidR="00271FA2" w:rsidRPr="00A013E1" w:rsidRDefault="00D35E51" w:rsidP="009E2B9A">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 Неприложимото се зачерква</w:t>
            </w:r>
          </w:p>
        </w:tc>
      </w:tr>
      <w:tr w:rsidR="00271FA2" w:rsidRPr="00A013E1" w14:paraId="7C3BA93C" w14:textId="77777777" w:rsidTr="002658FD">
        <w:tc>
          <w:tcPr>
            <w:tcW w:w="9918" w:type="dxa"/>
            <w:tcBorders>
              <w:top w:val="single" w:sz="4" w:space="0" w:color="auto"/>
              <w:left w:val="single" w:sz="4" w:space="0" w:color="auto"/>
              <w:bottom w:val="single" w:sz="4" w:space="0" w:color="auto"/>
              <w:right w:val="single" w:sz="4" w:space="0" w:color="auto"/>
            </w:tcBorders>
          </w:tcPr>
          <w:p w14:paraId="612CEC07" w14:textId="77777777" w:rsidR="00271FA2" w:rsidRPr="00A013E1" w:rsidRDefault="00D35E51" w:rsidP="009E2B9A">
            <w:pPr>
              <w:tabs>
                <w:tab w:val="left" w:pos="3094"/>
              </w:tabs>
              <w:spacing w:line="240" w:lineRule="atLeast"/>
              <w:jc w:val="both"/>
              <w:rPr>
                <w:rFonts w:ascii="Times New Roman" w:hAnsi="Times New Roman" w:cs="Times New Roman"/>
                <w:b/>
                <w:sz w:val="20"/>
                <w:szCs w:val="20"/>
                <w:lang w:val="ru-RU"/>
              </w:rPr>
            </w:pPr>
            <w:r w:rsidRPr="00A013E1">
              <w:rPr>
                <w:rFonts w:ascii="Times New Roman" w:hAnsi="Times New Roman" w:cs="Times New Roman"/>
                <w:sz w:val="20"/>
                <w:szCs w:val="20"/>
                <w:lang w:val="ru-RU"/>
              </w:rPr>
              <w:lastRenderedPageBreak/>
              <w:t xml:space="preserve">49. </w:t>
            </w:r>
            <w:r w:rsidRPr="00A013E1">
              <w:rPr>
                <w:rFonts w:ascii="Times New Roman" w:hAnsi="Times New Roman" w:cs="Times New Roman"/>
                <w:b/>
                <w:sz w:val="20"/>
                <w:szCs w:val="20"/>
                <w:lang w:val="ru-RU"/>
              </w:rPr>
              <w:t>Продължаване/Потвърждаване*) на валидността на Корабното удостоверение*) Периодичен – извънреден*) преглед</w:t>
            </w:r>
          </w:p>
          <w:p w14:paraId="1367BFFB"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Контролният орган извърши преглед на кораба на ………………………………………*)</w:t>
            </w:r>
          </w:p>
          <w:p w14:paraId="0E3CC831"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Издадено удостоверение на …………………..от призната класификационна организация</w:t>
            </w:r>
          </w:p>
          <w:p w14:paraId="4CD8C8A1"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3395B79C"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е представено на контролния орган*).</w:t>
            </w:r>
          </w:p>
          <w:p w14:paraId="11B19D76"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Причина за прегледа/освидетелстването*): …………………………………………………………..</w:t>
            </w:r>
          </w:p>
          <w:p w14:paraId="65F27DC6"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22D000D4"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Предвид резултата от прегледа/освидетелстването*), срокът на валидност на Корабното удостоверение се запазва - продължава*) до …………………………………….</w:t>
            </w:r>
          </w:p>
          <w:p w14:paraId="20BC8E13" w14:textId="77777777" w:rsidR="00271FA2" w:rsidRPr="00A013E1" w:rsidRDefault="00D35E51" w:rsidP="009E2B9A">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r w:rsidRPr="00A013E1">
              <w:rPr>
                <w:rFonts w:ascii="Times New Roman" w:hAnsi="Times New Roman" w:cs="Times New Roman"/>
                <w:sz w:val="20"/>
                <w:szCs w:val="20"/>
                <w:lang w:val="ru-RU"/>
              </w:rPr>
              <w:tab/>
              <w:t>………………………………</w:t>
            </w:r>
          </w:p>
          <w:p w14:paraId="7CA32632" w14:textId="77777777" w:rsidR="00271FA2" w:rsidRPr="00A013E1" w:rsidRDefault="00D35E51" w:rsidP="009E2B9A">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(Място)</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 xml:space="preserve">(Дата) </w:t>
            </w:r>
          </w:p>
          <w:p w14:paraId="19FD4E51" w14:textId="77777777" w:rsidR="00271FA2" w:rsidRPr="00A013E1" w:rsidRDefault="00D35E51" w:rsidP="009E2B9A">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Печат</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(Контролен орган)</w:t>
            </w:r>
          </w:p>
          <w:p w14:paraId="25B24089" w14:textId="77777777" w:rsidR="00271FA2" w:rsidRPr="00A013E1" w:rsidRDefault="00D35E51" w:rsidP="009E2B9A">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rPr>
              <w:t>…………………………………………………</w:t>
            </w:r>
          </w:p>
          <w:p w14:paraId="426289B5" w14:textId="77777777" w:rsidR="00271FA2" w:rsidRPr="00A013E1" w:rsidRDefault="00D35E51" w:rsidP="009E2B9A">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r>
            <w:r w:rsidRPr="00A013E1">
              <w:rPr>
                <w:rFonts w:ascii="Times New Roman" w:hAnsi="Times New Roman" w:cs="Times New Roman"/>
                <w:sz w:val="20"/>
                <w:szCs w:val="20"/>
              </w:rPr>
              <w:tab/>
              <w:t>(Подпис)</w:t>
            </w:r>
            <w:r w:rsidRPr="00A013E1">
              <w:rPr>
                <w:rFonts w:ascii="Times New Roman" w:hAnsi="Times New Roman" w:cs="Times New Roman"/>
                <w:noProof/>
                <w:sz w:val="20"/>
                <w:szCs w:val="20"/>
                <w:lang w:eastAsia="bg-BG"/>
              </w:rPr>
              <mc:AlternateContent>
                <mc:Choice Requires="wps">
                  <w:drawing>
                    <wp:anchor distT="0" distB="0" distL="114300" distR="114300" simplePos="0" relativeHeight="251707392" behindDoc="0" locked="0" layoutInCell="1" allowOverlap="1" wp14:anchorId="7C7B617C" wp14:editId="2457CEA8">
                      <wp:simplePos x="0" y="0"/>
                      <wp:positionH relativeFrom="column">
                        <wp:posOffset>19685</wp:posOffset>
                      </wp:positionH>
                      <wp:positionV relativeFrom="paragraph">
                        <wp:posOffset>132080</wp:posOffset>
                      </wp:positionV>
                      <wp:extent cx="1634490" cy="0"/>
                      <wp:effectExtent l="0" t="0" r="3810" b="0"/>
                      <wp:wrapNone/>
                      <wp:docPr id="61" name="Straight Connector 35"/>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35" o:spid="_x0000_s1026" o:spt="20" style="position:absolute;left:0pt;margin-left:1.55pt;margin-top:10.4pt;height:0pt;width:128.7pt;z-index:251707392;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BZ159/9AEAAPkDAAAOAAAAAAAAAAEAIAAAACMBAABkcnMvZTJvRG9jLnhtbFBLBQYA&#10;AAAABgAGAFkBAACJBQAAAAA=&#10;">
                      <v:fill on="f" focussize="0,0"/>
                      <v:stroke color="#000000" joinstyle="round"/>
                      <v:imagedata o:title=""/>
                      <o:lock v:ext="edit" aspectratio="f"/>
                    </v:line>
                  </w:pict>
                </mc:Fallback>
              </mc:AlternateContent>
            </w:r>
          </w:p>
          <w:p w14:paraId="5949B899" w14:textId="77777777" w:rsidR="00271FA2" w:rsidRPr="00A013E1" w:rsidRDefault="00D35E51" w:rsidP="009E2B9A">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 Неприложимото се зачерква</w:t>
            </w:r>
          </w:p>
        </w:tc>
      </w:tr>
    </w:tbl>
    <w:p w14:paraId="41AF98D9" w14:textId="5743FCBB" w:rsidR="002658FD" w:rsidRPr="00A013E1" w:rsidRDefault="002658FD" w:rsidP="00B7599E">
      <w:pPr>
        <w:pBdr>
          <w:top w:val="single" w:sz="4" w:space="1" w:color="auto"/>
        </w:pBdr>
        <w:tabs>
          <w:tab w:val="left" w:pos="3094"/>
        </w:tabs>
        <w:spacing w:line="240" w:lineRule="atLeast"/>
        <w:rPr>
          <w:rFonts w:ascii="Times New Roman" w:hAnsi="Times New Roman" w:cs="Times New Roman"/>
        </w:rPr>
      </w:pPr>
    </w:p>
    <w:p w14:paraId="664383BF" w14:textId="77777777" w:rsidR="002658FD" w:rsidRPr="00A013E1" w:rsidRDefault="002658FD">
      <w:pPr>
        <w:rPr>
          <w:rFonts w:ascii="Times New Roman" w:hAnsi="Times New Roman" w:cs="Times New Roman"/>
        </w:rPr>
      </w:pPr>
      <w:r w:rsidRPr="00A013E1">
        <w:rPr>
          <w:rFonts w:ascii="Times New Roman" w:hAnsi="Times New Roman" w:cs="Times New Roman"/>
        </w:rPr>
        <w:br w:type="page"/>
      </w:r>
    </w:p>
    <w:p w14:paraId="3D8FF8AE" w14:textId="77777777" w:rsidR="00060254" w:rsidRPr="00A013E1" w:rsidRDefault="00060254" w:rsidP="00B7599E">
      <w:pPr>
        <w:pBdr>
          <w:top w:val="single" w:sz="4" w:space="1" w:color="auto"/>
        </w:pBdr>
        <w:tabs>
          <w:tab w:val="left" w:pos="3094"/>
        </w:tabs>
        <w:spacing w:line="240" w:lineRule="atLeast"/>
        <w:rPr>
          <w:rFonts w:ascii="Times New Roman" w:hAnsi="Times New Roman" w:cs="Times New Roman"/>
        </w:rPr>
      </w:pPr>
    </w:p>
    <w:p w14:paraId="17D852F8" w14:textId="4E10CAF3" w:rsidR="00271FA2" w:rsidRPr="00A013E1" w:rsidRDefault="00D35E51" w:rsidP="00B7599E">
      <w:pPr>
        <w:pBdr>
          <w:top w:val="single" w:sz="4" w:space="1" w:color="auto"/>
        </w:pBd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Корабно удостоверение № .................. издадено от Дирекция „Речен надзор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271FA2" w:rsidRPr="00A013E1" w14:paraId="34546C16" w14:textId="77777777">
        <w:tc>
          <w:tcPr>
            <w:tcW w:w="9911" w:type="dxa"/>
            <w:tcBorders>
              <w:top w:val="single" w:sz="4" w:space="0" w:color="auto"/>
              <w:left w:val="single" w:sz="4" w:space="0" w:color="auto"/>
              <w:bottom w:val="single" w:sz="4" w:space="0" w:color="auto"/>
              <w:right w:val="single" w:sz="4" w:space="0" w:color="auto"/>
            </w:tcBorders>
          </w:tcPr>
          <w:p w14:paraId="60F3A46C" w14:textId="77777777"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50. </w:t>
            </w:r>
            <w:r w:rsidRPr="00A013E1">
              <w:rPr>
                <w:rFonts w:ascii="Times New Roman" w:hAnsi="Times New Roman" w:cs="Times New Roman"/>
                <w:b/>
                <w:lang w:val="ru-RU"/>
              </w:rPr>
              <w:t>Разрешително, отнасящо се до инсталацията(ите) за втечнен газ</w:t>
            </w:r>
          </w:p>
          <w:p w14:paraId="7DF7A324" w14:textId="7546B8FF"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Инсталацията(ите) за втечнен газ на борда на кораба е проверена/са проверени от експерт*) ………………………………………………………………………………………………………</w:t>
            </w:r>
          </w:p>
          <w:p w14:paraId="203A891A" w14:textId="77777777"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и съгласно неговия доклад от дата …………………….отговаря/т на следните условия:</w:t>
            </w:r>
          </w:p>
          <w:p w14:paraId="00AA6904" w14:textId="77777777"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Инсталацията(ите) включват следните консуматори на газ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614"/>
              <w:gridCol w:w="1614"/>
              <w:gridCol w:w="1614"/>
              <w:gridCol w:w="1614"/>
              <w:gridCol w:w="1615"/>
            </w:tblGrid>
            <w:tr w:rsidR="00271FA2" w:rsidRPr="00A013E1" w14:paraId="528A0678" w14:textId="77777777">
              <w:tc>
                <w:tcPr>
                  <w:tcW w:w="1614" w:type="dxa"/>
                  <w:tcBorders>
                    <w:top w:val="single" w:sz="4" w:space="0" w:color="auto"/>
                    <w:left w:val="single" w:sz="4" w:space="0" w:color="auto"/>
                    <w:bottom w:val="single" w:sz="4" w:space="0" w:color="auto"/>
                    <w:right w:val="single" w:sz="4" w:space="0" w:color="auto"/>
                  </w:tcBorders>
                </w:tcPr>
                <w:p w14:paraId="248B6545" w14:textId="77777777" w:rsidR="00271FA2" w:rsidRPr="00A013E1" w:rsidRDefault="00D35E51" w:rsidP="00B7599E">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Инсталация</w:t>
                  </w:r>
                </w:p>
              </w:tc>
              <w:tc>
                <w:tcPr>
                  <w:tcW w:w="1614" w:type="dxa"/>
                  <w:tcBorders>
                    <w:top w:val="single" w:sz="4" w:space="0" w:color="auto"/>
                    <w:left w:val="single" w:sz="4" w:space="0" w:color="auto"/>
                    <w:bottom w:val="single" w:sz="4" w:space="0" w:color="auto"/>
                    <w:right w:val="single" w:sz="4" w:space="0" w:color="auto"/>
                  </w:tcBorders>
                </w:tcPr>
                <w:p w14:paraId="12B8BEFE" w14:textId="77777777" w:rsidR="00271FA2" w:rsidRPr="00A013E1" w:rsidRDefault="00D35E51" w:rsidP="00B7599E">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Сериен №</w:t>
                  </w:r>
                </w:p>
              </w:tc>
              <w:tc>
                <w:tcPr>
                  <w:tcW w:w="1614" w:type="dxa"/>
                  <w:tcBorders>
                    <w:top w:val="single" w:sz="4" w:space="0" w:color="auto"/>
                    <w:left w:val="single" w:sz="4" w:space="0" w:color="auto"/>
                    <w:bottom w:val="single" w:sz="4" w:space="0" w:color="auto"/>
                    <w:right w:val="single" w:sz="4" w:space="0" w:color="auto"/>
                  </w:tcBorders>
                </w:tcPr>
                <w:p w14:paraId="5483DAB8" w14:textId="77777777" w:rsidR="00271FA2" w:rsidRPr="00A013E1" w:rsidRDefault="00D35E51" w:rsidP="00B7599E">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Модел</w:t>
                  </w:r>
                </w:p>
              </w:tc>
              <w:tc>
                <w:tcPr>
                  <w:tcW w:w="1614" w:type="dxa"/>
                  <w:tcBorders>
                    <w:top w:val="single" w:sz="4" w:space="0" w:color="auto"/>
                    <w:left w:val="single" w:sz="4" w:space="0" w:color="auto"/>
                    <w:bottom w:val="single" w:sz="4" w:space="0" w:color="auto"/>
                    <w:right w:val="single" w:sz="4" w:space="0" w:color="auto"/>
                  </w:tcBorders>
                </w:tcPr>
                <w:p w14:paraId="616AAF21" w14:textId="77777777" w:rsidR="00271FA2" w:rsidRPr="00A013E1" w:rsidRDefault="00D35E51" w:rsidP="00B7599E">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Марка</w:t>
                  </w:r>
                </w:p>
              </w:tc>
              <w:tc>
                <w:tcPr>
                  <w:tcW w:w="1614" w:type="dxa"/>
                  <w:tcBorders>
                    <w:top w:val="single" w:sz="4" w:space="0" w:color="auto"/>
                    <w:left w:val="single" w:sz="4" w:space="0" w:color="auto"/>
                    <w:bottom w:val="single" w:sz="4" w:space="0" w:color="auto"/>
                    <w:right w:val="single" w:sz="4" w:space="0" w:color="auto"/>
                  </w:tcBorders>
                </w:tcPr>
                <w:p w14:paraId="54CD64E5" w14:textId="77777777" w:rsidR="00271FA2" w:rsidRPr="00A013E1" w:rsidRDefault="00D35E51" w:rsidP="00B7599E">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Тип</w:t>
                  </w:r>
                </w:p>
              </w:tc>
              <w:tc>
                <w:tcPr>
                  <w:tcW w:w="1615" w:type="dxa"/>
                  <w:tcBorders>
                    <w:top w:val="single" w:sz="4" w:space="0" w:color="auto"/>
                    <w:left w:val="single" w:sz="4" w:space="0" w:color="auto"/>
                    <w:bottom w:val="single" w:sz="4" w:space="0" w:color="auto"/>
                    <w:right w:val="single" w:sz="4" w:space="0" w:color="auto"/>
                  </w:tcBorders>
                </w:tcPr>
                <w:p w14:paraId="66A49236" w14:textId="77777777" w:rsidR="00271FA2" w:rsidRPr="00A013E1" w:rsidRDefault="00D35E51" w:rsidP="00B7599E">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Разположение</w:t>
                  </w:r>
                </w:p>
              </w:tc>
            </w:tr>
            <w:tr w:rsidR="00271FA2" w:rsidRPr="00A013E1" w14:paraId="455E1492" w14:textId="77777777">
              <w:tc>
                <w:tcPr>
                  <w:tcW w:w="1614" w:type="dxa"/>
                  <w:tcBorders>
                    <w:top w:val="single" w:sz="4" w:space="0" w:color="auto"/>
                    <w:left w:val="single" w:sz="4" w:space="0" w:color="auto"/>
                    <w:bottom w:val="single" w:sz="4" w:space="0" w:color="auto"/>
                    <w:right w:val="single" w:sz="4" w:space="0" w:color="auto"/>
                  </w:tcBorders>
                </w:tcPr>
                <w:p w14:paraId="1427162B"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3A8A2AAA"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61939AB1"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76A25775"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4D021791"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644EFD73"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15760D0B" w14:textId="77777777">
              <w:tc>
                <w:tcPr>
                  <w:tcW w:w="1614" w:type="dxa"/>
                  <w:tcBorders>
                    <w:top w:val="single" w:sz="4" w:space="0" w:color="auto"/>
                    <w:left w:val="single" w:sz="4" w:space="0" w:color="auto"/>
                    <w:bottom w:val="single" w:sz="4" w:space="0" w:color="auto"/>
                    <w:right w:val="single" w:sz="4" w:space="0" w:color="auto"/>
                  </w:tcBorders>
                </w:tcPr>
                <w:p w14:paraId="4547FF2E"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76154EE4"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2A807019"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1C593EE2"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26CE28BD"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4DFD9CD2"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3A72DCEC" w14:textId="77777777">
              <w:tc>
                <w:tcPr>
                  <w:tcW w:w="1614" w:type="dxa"/>
                  <w:tcBorders>
                    <w:top w:val="single" w:sz="4" w:space="0" w:color="auto"/>
                    <w:left w:val="single" w:sz="4" w:space="0" w:color="auto"/>
                    <w:bottom w:val="single" w:sz="4" w:space="0" w:color="auto"/>
                    <w:right w:val="single" w:sz="4" w:space="0" w:color="auto"/>
                  </w:tcBorders>
                </w:tcPr>
                <w:p w14:paraId="6CDF0FEC"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4472C207"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018A5299"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328F7912"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452477F0"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231A13B5"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61F7B8D8" w14:textId="77777777">
              <w:tc>
                <w:tcPr>
                  <w:tcW w:w="1614" w:type="dxa"/>
                  <w:tcBorders>
                    <w:top w:val="single" w:sz="4" w:space="0" w:color="auto"/>
                    <w:left w:val="single" w:sz="4" w:space="0" w:color="auto"/>
                    <w:bottom w:val="single" w:sz="4" w:space="0" w:color="auto"/>
                    <w:right w:val="single" w:sz="4" w:space="0" w:color="auto"/>
                  </w:tcBorders>
                </w:tcPr>
                <w:p w14:paraId="63921F3A"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77C4D792"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558F04A2"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6AB199C9"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3A65932E"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65CC1969"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769A9D96" w14:textId="77777777">
              <w:tc>
                <w:tcPr>
                  <w:tcW w:w="1614" w:type="dxa"/>
                  <w:tcBorders>
                    <w:top w:val="single" w:sz="4" w:space="0" w:color="auto"/>
                    <w:left w:val="single" w:sz="4" w:space="0" w:color="auto"/>
                    <w:bottom w:val="single" w:sz="4" w:space="0" w:color="auto"/>
                    <w:right w:val="single" w:sz="4" w:space="0" w:color="auto"/>
                  </w:tcBorders>
                </w:tcPr>
                <w:p w14:paraId="777B1F4A"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496C5E81"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5D72682F"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0913AD71"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52F17DC6"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1572F7D7"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56FB49AB" w14:textId="77777777">
              <w:tc>
                <w:tcPr>
                  <w:tcW w:w="1614" w:type="dxa"/>
                  <w:tcBorders>
                    <w:top w:val="single" w:sz="4" w:space="0" w:color="auto"/>
                    <w:left w:val="single" w:sz="4" w:space="0" w:color="auto"/>
                    <w:bottom w:val="single" w:sz="4" w:space="0" w:color="auto"/>
                    <w:right w:val="single" w:sz="4" w:space="0" w:color="auto"/>
                  </w:tcBorders>
                </w:tcPr>
                <w:p w14:paraId="249C8352"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2366B622"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36660BEC"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03E420D9"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61CCDC94"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0B36F901"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285CF1C7" w14:textId="77777777">
              <w:tc>
                <w:tcPr>
                  <w:tcW w:w="1614" w:type="dxa"/>
                  <w:tcBorders>
                    <w:top w:val="single" w:sz="4" w:space="0" w:color="auto"/>
                    <w:left w:val="single" w:sz="4" w:space="0" w:color="auto"/>
                    <w:bottom w:val="single" w:sz="4" w:space="0" w:color="auto"/>
                    <w:right w:val="single" w:sz="4" w:space="0" w:color="auto"/>
                  </w:tcBorders>
                </w:tcPr>
                <w:p w14:paraId="014608B4"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76C8A439"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0A511FD0"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653E2C60"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1D395976"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3C29BDA3"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5E5909FD" w14:textId="77777777">
              <w:tc>
                <w:tcPr>
                  <w:tcW w:w="1614" w:type="dxa"/>
                  <w:tcBorders>
                    <w:top w:val="single" w:sz="4" w:space="0" w:color="auto"/>
                    <w:left w:val="single" w:sz="4" w:space="0" w:color="auto"/>
                    <w:bottom w:val="single" w:sz="4" w:space="0" w:color="auto"/>
                    <w:right w:val="single" w:sz="4" w:space="0" w:color="auto"/>
                  </w:tcBorders>
                </w:tcPr>
                <w:p w14:paraId="10B437C9"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6CCCE159"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0AEE108A"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69FD45B0"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34675CAF"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7C5B870D"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2DF4E578" w14:textId="77777777">
              <w:tc>
                <w:tcPr>
                  <w:tcW w:w="1614" w:type="dxa"/>
                  <w:tcBorders>
                    <w:top w:val="single" w:sz="4" w:space="0" w:color="auto"/>
                    <w:left w:val="single" w:sz="4" w:space="0" w:color="auto"/>
                    <w:bottom w:val="single" w:sz="4" w:space="0" w:color="auto"/>
                    <w:right w:val="single" w:sz="4" w:space="0" w:color="auto"/>
                  </w:tcBorders>
                </w:tcPr>
                <w:p w14:paraId="18E109F3"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0C477D5B"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2DA0C9E0"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0C6D6A99"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5C9F295A"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61023D42"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4CA772EF" w14:textId="77777777">
              <w:tc>
                <w:tcPr>
                  <w:tcW w:w="1614" w:type="dxa"/>
                  <w:tcBorders>
                    <w:top w:val="single" w:sz="4" w:space="0" w:color="auto"/>
                    <w:left w:val="single" w:sz="4" w:space="0" w:color="auto"/>
                    <w:bottom w:val="single" w:sz="4" w:space="0" w:color="auto"/>
                    <w:right w:val="single" w:sz="4" w:space="0" w:color="auto"/>
                  </w:tcBorders>
                </w:tcPr>
                <w:p w14:paraId="2713F3ED"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4381A1F1"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5F2E6208"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1173B1B0"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1E746C2E"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7366DFDF"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r w:rsidR="00271FA2" w:rsidRPr="00A013E1" w14:paraId="28343F62" w14:textId="77777777">
              <w:tc>
                <w:tcPr>
                  <w:tcW w:w="1614" w:type="dxa"/>
                  <w:tcBorders>
                    <w:top w:val="single" w:sz="4" w:space="0" w:color="auto"/>
                    <w:left w:val="single" w:sz="4" w:space="0" w:color="auto"/>
                    <w:bottom w:val="single" w:sz="4" w:space="0" w:color="auto"/>
                    <w:right w:val="single" w:sz="4" w:space="0" w:color="auto"/>
                  </w:tcBorders>
                </w:tcPr>
                <w:p w14:paraId="4EF11DA7"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130B7FEA"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3B36EB3B"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44EB0B41"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4" w:type="dxa"/>
                  <w:tcBorders>
                    <w:top w:val="single" w:sz="4" w:space="0" w:color="auto"/>
                    <w:left w:val="single" w:sz="4" w:space="0" w:color="auto"/>
                    <w:bottom w:val="single" w:sz="4" w:space="0" w:color="auto"/>
                    <w:right w:val="single" w:sz="4" w:space="0" w:color="auto"/>
                  </w:tcBorders>
                </w:tcPr>
                <w:p w14:paraId="081B87C5"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c>
                <w:tcPr>
                  <w:tcW w:w="1615" w:type="dxa"/>
                  <w:tcBorders>
                    <w:top w:val="single" w:sz="4" w:space="0" w:color="auto"/>
                    <w:left w:val="single" w:sz="4" w:space="0" w:color="auto"/>
                    <w:bottom w:val="single" w:sz="4" w:space="0" w:color="auto"/>
                    <w:right w:val="single" w:sz="4" w:space="0" w:color="auto"/>
                  </w:tcBorders>
                </w:tcPr>
                <w:p w14:paraId="23344B2A" w14:textId="77777777" w:rsidR="00271FA2" w:rsidRPr="00A013E1" w:rsidRDefault="00271FA2" w:rsidP="00B7599E">
                  <w:pPr>
                    <w:tabs>
                      <w:tab w:val="left" w:pos="3094"/>
                    </w:tabs>
                    <w:spacing w:line="240" w:lineRule="atLeast"/>
                    <w:jc w:val="both"/>
                    <w:rPr>
                      <w:rFonts w:ascii="Times New Roman" w:hAnsi="Times New Roman" w:cs="Times New Roman"/>
                      <w:lang w:val="ru-RU"/>
                    </w:rPr>
                  </w:pPr>
                </w:p>
              </w:tc>
            </w:tr>
          </w:tbl>
          <w:p w14:paraId="7770641F" w14:textId="3533FDFB" w:rsidR="00271FA2" w:rsidRPr="00A013E1" w:rsidRDefault="00D35E51" w:rsidP="00B7599E">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Разрешителното е валидно до …………………………………………………………………….</w:t>
            </w:r>
          </w:p>
          <w:p w14:paraId="2DBDEB14" w14:textId="77777777"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w:t>
            </w:r>
          </w:p>
          <w:p w14:paraId="69F034CE" w14:textId="77777777" w:rsidR="00271FA2" w:rsidRPr="00A013E1" w:rsidRDefault="00D35E51" w:rsidP="00B7599E">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(Дата)</w:t>
            </w:r>
          </w:p>
          <w:p w14:paraId="3F26BB2C" w14:textId="77777777" w:rsidR="00271FA2" w:rsidRPr="00A013E1" w:rsidRDefault="00271FA2" w:rsidP="00B7599E">
            <w:pPr>
              <w:tabs>
                <w:tab w:val="left" w:pos="0"/>
              </w:tabs>
              <w:spacing w:line="240" w:lineRule="atLeast"/>
              <w:jc w:val="both"/>
              <w:rPr>
                <w:rFonts w:ascii="Times New Roman" w:hAnsi="Times New Roman" w:cs="Times New Roman"/>
                <w:lang w:val="ru-RU"/>
              </w:rPr>
            </w:pPr>
          </w:p>
          <w:p w14:paraId="4BE755E2" w14:textId="77777777" w:rsidR="00271FA2" w:rsidRPr="00A013E1" w:rsidRDefault="00D35E51" w:rsidP="00B7599E">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04D6A336" w14:textId="77777777"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393FF581" w14:textId="77777777" w:rsidR="00271FA2" w:rsidRPr="00A013E1" w:rsidRDefault="00D35E51" w:rsidP="00B7599E">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65BA3A1E" w14:textId="77777777" w:rsidR="00271FA2" w:rsidRPr="00A013E1" w:rsidRDefault="00D35E51" w:rsidP="00B7599E">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p>
        </w:tc>
      </w:tr>
      <w:tr w:rsidR="00271FA2" w:rsidRPr="00A013E1" w14:paraId="70772F3E" w14:textId="77777777">
        <w:tc>
          <w:tcPr>
            <w:tcW w:w="9911" w:type="dxa"/>
            <w:tcBorders>
              <w:top w:val="single" w:sz="4" w:space="0" w:color="auto"/>
              <w:left w:val="single" w:sz="4" w:space="0" w:color="auto"/>
              <w:bottom w:val="single" w:sz="4" w:space="0" w:color="auto"/>
              <w:right w:val="single" w:sz="4" w:space="0" w:color="auto"/>
            </w:tcBorders>
          </w:tcPr>
          <w:p w14:paraId="25C36402" w14:textId="26A35D07" w:rsidR="00271FA2" w:rsidRPr="00A013E1" w:rsidRDefault="00D35E51" w:rsidP="00B7599E">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Изменена е позиция(и): ……………………………………………………………………………</w:t>
            </w:r>
            <w:r w:rsidR="00B7599E" w:rsidRPr="00A013E1">
              <w:rPr>
                <w:rFonts w:ascii="Times New Roman" w:hAnsi="Times New Roman" w:cs="Times New Roman"/>
                <w:lang w:val="ru-RU"/>
              </w:rPr>
              <w:t>………………………..</w:t>
            </w:r>
          </w:p>
          <w:p w14:paraId="53E0564D" w14:textId="64349D06" w:rsidR="00271FA2" w:rsidRPr="00A013E1" w:rsidRDefault="00D35E51" w:rsidP="00B7599E">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Нов текст: ………………………………………………………………………………………….</w:t>
            </w:r>
          </w:p>
          <w:p w14:paraId="605B9CF1" w14:textId="5178D3F5"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w:t>
            </w:r>
          </w:p>
          <w:p w14:paraId="35A0A2A4" w14:textId="2368439C"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6E8C464A" w14:textId="77777777"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Тази страница е била заменена.</w:t>
            </w:r>
          </w:p>
          <w:p w14:paraId="1671877C" w14:textId="77777777" w:rsidR="00271FA2" w:rsidRPr="00A013E1" w:rsidRDefault="00D35E51" w:rsidP="00B7599E">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1C676A9A" w14:textId="77777777" w:rsidR="00271FA2" w:rsidRPr="00A013E1" w:rsidRDefault="00D35E51" w:rsidP="00B7599E">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46716585" w14:textId="77777777" w:rsidR="00271FA2" w:rsidRPr="00A013E1" w:rsidRDefault="00271FA2" w:rsidP="00B7599E">
            <w:pPr>
              <w:tabs>
                <w:tab w:val="left" w:pos="0"/>
              </w:tabs>
              <w:spacing w:line="240" w:lineRule="atLeast"/>
              <w:jc w:val="both"/>
              <w:rPr>
                <w:rFonts w:ascii="Times New Roman" w:hAnsi="Times New Roman" w:cs="Times New Roman"/>
                <w:lang w:val="ru-RU"/>
              </w:rPr>
            </w:pPr>
          </w:p>
          <w:p w14:paraId="0750756A" w14:textId="77777777" w:rsidR="00271FA2" w:rsidRPr="00A013E1" w:rsidRDefault="00D35E51" w:rsidP="00B7599E">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t>Печат</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p>
          <w:p w14:paraId="34B50BAC" w14:textId="77777777" w:rsidR="00271FA2" w:rsidRPr="00A013E1" w:rsidRDefault="00D35E51" w:rsidP="00B7599E">
            <w:pPr>
              <w:tabs>
                <w:tab w:val="left" w:pos="3094"/>
              </w:tabs>
              <w:spacing w:line="240" w:lineRule="atLeast"/>
              <w:jc w:val="both"/>
              <w:rPr>
                <w:rFonts w:ascii="Times New Roman" w:hAnsi="Times New Roman" w:cs="Times New Roman"/>
              </w:rPr>
            </w:pPr>
            <w:r w:rsidRPr="00A013E1">
              <w:rPr>
                <w:rFonts w:ascii="Times New Roman" w:hAnsi="Times New Roman" w:cs="Times New Roman"/>
                <w:noProof/>
                <w:lang w:eastAsia="bg-BG"/>
              </w:rPr>
              <mc:AlternateContent>
                <mc:Choice Requires="wps">
                  <w:drawing>
                    <wp:anchor distT="0" distB="0" distL="114300" distR="114300" simplePos="0" relativeHeight="251693056" behindDoc="0" locked="0" layoutInCell="1" allowOverlap="1" wp14:anchorId="579FB934" wp14:editId="2590E63F">
                      <wp:simplePos x="0" y="0"/>
                      <wp:positionH relativeFrom="column">
                        <wp:posOffset>19685</wp:posOffset>
                      </wp:positionH>
                      <wp:positionV relativeFrom="paragraph">
                        <wp:posOffset>132080</wp:posOffset>
                      </wp:positionV>
                      <wp:extent cx="1634490" cy="0"/>
                      <wp:effectExtent l="0" t="0" r="3810" b="0"/>
                      <wp:wrapNone/>
                      <wp:docPr id="490" name="Straight Connector 490"/>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1.55pt;margin-top:10.4pt;height:0pt;width:128.7pt;z-index:251693056;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AGzAdQAAAAHAQAADwAAAAAAAAABACAAAAAiAAAAZHJzL2Rvd25yZXYueG1sUEsBAhQAFAAA&#10;AAgAh07iQEZGRiXzAQAA+wMAAA4AAAAAAAAAAQAgAAAAIwEAAGRycy9lMm9Eb2MueG1sUEsFBgAA&#10;AAAGAAYAWQEAAIgFAAAAAA==&#10;">
                      <v:fill on="f" focussize="0,0"/>
                      <v:stroke color="#000000" joinstyle="round"/>
                      <v:imagedata o:title=""/>
                      <o:lock v:ext="edit" aspectratio="f"/>
                    </v:line>
                  </w:pict>
                </mc:Fallback>
              </mc:AlternateContent>
            </w:r>
          </w:p>
          <w:p w14:paraId="208D86C0" w14:textId="77777777" w:rsidR="00271FA2" w:rsidRPr="00A013E1" w:rsidRDefault="00D35E51">
            <w:pPr>
              <w:tabs>
                <w:tab w:val="left" w:pos="3094"/>
              </w:tabs>
              <w:spacing w:line="240" w:lineRule="atLeast"/>
              <w:jc w:val="both"/>
              <w:rPr>
                <w:rFonts w:ascii="Times New Roman" w:hAnsi="Times New Roman" w:cs="Times New Roman"/>
              </w:rPr>
            </w:pPr>
            <w:r w:rsidRPr="00A013E1">
              <w:rPr>
                <w:rFonts w:ascii="Times New Roman" w:hAnsi="Times New Roman" w:cs="Times New Roman"/>
              </w:rPr>
              <w:t>*) Неприложимото се зачертава</w:t>
            </w:r>
          </w:p>
        </w:tc>
      </w:tr>
    </w:tbl>
    <w:p w14:paraId="275C3FE8" w14:textId="77777777" w:rsidR="00271FA2" w:rsidRPr="00A013E1" w:rsidRDefault="00271FA2">
      <w:pPr>
        <w:spacing w:line="240" w:lineRule="atLeast"/>
        <w:jc w:val="both"/>
        <w:rPr>
          <w:rFonts w:ascii="Times New Roman" w:hAnsi="Times New Roman" w:cs="Times New Roman"/>
        </w:rPr>
      </w:pPr>
    </w:p>
    <w:p w14:paraId="190C6DCB"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br w:type="page"/>
      </w:r>
    </w:p>
    <w:p w14:paraId="0CDCB54E" w14:textId="71F676D5" w:rsidR="00271FA2" w:rsidRPr="00A013E1" w:rsidRDefault="00D35E51" w:rsidP="00E0693F">
      <w:pPr>
        <w:pBdr>
          <w:top w:val="single" w:sz="4" w:space="1" w:color="auto"/>
        </w:pBd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lastRenderedPageBreak/>
        <w:t>Корабно удостоверение № .................. издадено от Дирекция „Речен надзор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271FA2" w:rsidRPr="00A013E1" w14:paraId="1383A164" w14:textId="77777777">
        <w:tc>
          <w:tcPr>
            <w:tcW w:w="9911" w:type="dxa"/>
            <w:tcBorders>
              <w:top w:val="single" w:sz="4" w:space="0" w:color="auto"/>
              <w:left w:val="single" w:sz="4" w:space="0" w:color="auto"/>
              <w:bottom w:val="single" w:sz="4" w:space="0" w:color="auto"/>
              <w:right w:val="single" w:sz="4" w:space="0" w:color="auto"/>
            </w:tcBorders>
          </w:tcPr>
          <w:p w14:paraId="0A24196D"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51. </w:t>
            </w:r>
            <w:r w:rsidRPr="00A013E1">
              <w:rPr>
                <w:rFonts w:ascii="Times New Roman" w:hAnsi="Times New Roman" w:cs="Times New Roman"/>
                <w:b/>
                <w:lang w:val="ru-RU"/>
              </w:rPr>
              <w:t>Продължаване на разрешителното отнасящо се до инсталацията(ите) за втечнен газ</w:t>
            </w:r>
          </w:p>
          <w:p w14:paraId="25F024E5"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Срокът на разрешението за инсталацията(ите) за втечнен газ</w:t>
            </w:r>
          </w:p>
          <w:p w14:paraId="08C424CF" w14:textId="1739CE4E" w:rsidR="00271FA2" w:rsidRPr="00A013E1" w:rsidRDefault="00D35E51" w:rsidP="00E0693F">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от дата ……………………………………………..валидно до ………………………………..</w:t>
            </w:r>
          </w:p>
          <w:p w14:paraId="67C4D4D7"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се продължава</w:t>
            </w:r>
          </w:p>
          <w:p w14:paraId="05262C6D" w14:textId="77777777" w:rsidR="00271FA2" w:rsidRPr="00A013E1" w:rsidRDefault="00D35E51" w:rsidP="00E0693F">
            <w:pPr>
              <w:pStyle w:val="ListParagraph"/>
              <w:tabs>
                <w:tab w:val="left" w:pos="0"/>
              </w:tabs>
              <w:spacing w:line="240" w:lineRule="atLeast"/>
              <w:ind w:left="0"/>
              <w:jc w:val="both"/>
              <w:rPr>
                <w:rFonts w:ascii="Times New Roman" w:hAnsi="Times New Roman" w:cs="Times New Roman"/>
                <w:lang w:val="ru-RU"/>
              </w:rPr>
            </w:pPr>
            <w:r w:rsidRPr="00A013E1">
              <w:rPr>
                <w:rFonts w:ascii="Times New Roman" w:hAnsi="Times New Roman" w:cs="Times New Roman"/>
                <w:lang w:val="ru-RU"/>
              </w:rPr>
              <w:t>- след периодичен преглед от експерта ………………………………………………………</w:t>
            </w:r>
          </w:p>
          <w:p w14:paraId="24830FCA" w14:textId="77777777" w:rsidR="00271FA2" w:rsidRPr="00A013E1" w:rsidRDefault="00D35E51" w:rsidP="00E0693F">
            <w:pPr>
              <w:pStyle w:val="ListParagraph"/>
              <w:tabs>
                <w:tab w:val="left" w:pos="3094"/>
              </w:tabs>
              <w:spacing w:line="240" w:lineRule="atLeast"/>
              <w:ind w:left="0"/>
              <w:jc w:val="both"/>
              <w:rPr>
                <w:rFonts w:ascii="Times New Roman" w:hAnsi="Times New Roman" w:cs="Times New Roman"/>
                <w:lang w:val="ru-RU"/>
              </w:rPr>
            </w:pPr>
            <w:r w:rsidRPr="00A013E1">
              <w:rPr>
                <w:rFonts w:ascii="Times New Roman" w:hAnsi="Times New Roman" w:cs="Times New Roman"/>
                <w:lang w:val="ru-RU"/>
              </w:rPr>
              <w:t>- при представяне на доклада за преглед от дата ……………………………………………</w:t>
            </w:r>
          </w:p>
          <w:p w14:paraId="53018914"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до ……………………………………………………</w:t>
            </w:r>
          </w:p>
          <w:p w14:paraId="7CF4B627" w14:textId="77777777" w:rsidR="00271FA2" w:rsidRPr="00A013E1" w:rsidRDefault="00271FA2" w:rsidP="00E0693F">
            <w:pPr>
              <w:tabs>
                <w:tab w:val="left" w:pos="0"/>
              </w:tabs>
              <w:spacing w:line="240" w:lineRule="atLeast"/>
              <w:jc w:val="both"/>
              <w:rPr>
                <w:rFonts w:ascii="Times New Roman" w:hAnsi="Times New Roman" w:cs="Times New Roman"/>
                <w:lang w:val="ru-RU"/>
              </w:rPr>
            </w:pPr>
          </w:p>
          <w:p w14:paraId="52FCF9F7"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w:t>
            </w:r>
          </w:p>
          <w:p w14:paraId="4E0E660D"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(Дата)</w:t>
            </w:r>
          </w:p>
          <w:p w14:paraId="267AB715"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4CCE5D2C"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23D931D6"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p>
          <w:p w14:paraId="5E5991D7" w14:textId="77777777" w:rsidR="00271FA2" w:rsidRPr="00A013E1" w:rsidRDefault="00D35E51" w:rsidP="00E0693F">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w:t>
            </w:r>
          </w:p>
          <w:p w14:paraId="2D3CE0AA" w14:textId="77777777" w:rsidR="00271FA2" w:rsidRPr="00A013E1" w:rsidRDefault="00D35E51" w:rsidP="00E0693F">
            <w:pPr>
              <w:tabs>
                <w:tab w:val="left" w:pos="0"/>
              </w:tabs>
              <w:spacing w:line="240" w:lineRule="atLeast"/>
              <w:jc w:val="both"/>
              <w:rPr>
                <w:rFonts w:ascii="Times New Roman" w:hAnsi="Times New Roman" w:cs="Times New Roman"/>
              </w:rPr>
            </w:pP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t>(Подпис)</w:t>
            </w:r>
          </w:p>
        </w:tc>
      </w:tr>
      <w:tr w:rsidR="00271FA2" w:rsidRPr="00A013E1" w14:paraId="706223C3" w14:textId="77777777">
        <w:tc>
          <w:tcPr>
            <w:tcW w:w="9911" w:type="dxa"/>
            <w:tcBorders>
              <w:top w:val="single" w:sz="4" w:space="0" w:color="auto"/>
              <w:left w:val="single" w:sz="4" w:space="0" w:color="auto"/>
              <w:bottom w:val="single" w:sz="4" w:space="0" w:color="auto"/>
              <w:right w:val="single" w:sz="4" w:space="0" w:color="auto"/>
            </w:tcBorders>
          </w:tcPr>
          <w:p w14:paraId="3BD345AE"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51. </w:t>
            </w:r>
            <w:r w:rsidRPr="00A013E1">
              <w:rPr>
                <w:rFonts w:ascii="Times New Roman" w:hAnsi="Times New Roman" w:cs="Times New Roman"/>
                <w:b/>
                <w:lang w:val="ru-RU"/>
              </w:rPr>
              <w:t>Продължаване на разрешителното отнасящо се до инсталацията(ите) за втечнен газ</w:t>
            </w:r>
          </w:p>
          <w:p w14:paraId="33250193"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Срокът на разрешението за инсталацията(ите) за втечнен газ</w:t>
            </w:r>
          </w:p>
          <w:p w14:paraId="2DBA2451" w14:textId="1FAC42CE" w:rsidR="00271FA2" w:rsidRPr="00A013E1" w:rsidRDefault="00D35E51" w:rsidP="00E0693F">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от дата ……………………………………………..валидно до ………………………………..</w:t>
            </w:r>
          </w:p>
          <w:p w14:paraId="59100EF1"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се продължава</w:t>
            </w:r>
          </w:p>
          <w:p w14:paraId="581A1362" w14:textId="77777777" w:rsidR="00271FA2" w:rsidRPr="00A013E1" w:rsidRDefault="00D35E51" w:rsidP="00E0693F">
            <w:pPr>
              <w:pStyle w:val="ListParagraph"/>
              <w:tabs>
                <w:tab w:val="left" w:pos="0"/>
              </w:tabs>
              <w:spacing w:line="240" w:lineRule="atLeast"/>
              <w:ind w:left="0"/>
              <w:jc w:val="both"/>
              <w:rPr>
                <w:rFonts w:ascii="Times New Roman" w:hAnsi="Times New Roman" w:cs="Times New Roman"/>
                <w:lang w:val="ru-RU"/>
              </w:rPr>
            </w:pPr>
            <w:r w:rsidRPr="00A013E1">
              <w:rPr>
                <w:rFonts w:ascii="Times New Roman" w:hAnsi="Times New Roman" w:cs="Times New Roman"/>
                <w:lang w:val="ru-RU"/>
              </w:rPr>
              <w:t>- след периодичен преглед от експерта ………………………………………………………</w:t>
            </w:r>
          </w:p>
          <w:p w14:paraId="7B667CA7" w14:textId="77777777" w:rsidR="00271FA2" w:rsidRPr="00A013E1" w:rsidRDefault="00D35E51" w:rsidP="00E0693F">
            <w:pPr>
              <w:pStyle w:val="ListParagraph"/>
              <w:tabs>
                <w:tab w:val="left" w:pos="3094"/>
              </w:tabs>
              <w:spacing w:line="240" w:lineRule="atLeast"/>
              <w:ind w:left="0"/>
              <w:jc w:val="both"/>
              <w:rPr>
                <w:rFonts w:ascii="Times New Roman" w:hAnsi="Times New Roman" w:cs="Times New Roman"/>
                <w:lang w:val="ru-RU"/>
              </w:rPr>
            </w:pPr>
            <w:r w:rsidRPr="00A013E1">
              <w:rPr>
                <w:rFonts w:ascii="Times New Roman" w:hAnsi="Times New Roman" w:cs="Times New Roman"/>
                <w:lang w:val="ru-RU"/>
              </w:rPr>
              <w:t>- при представяне на доклада за преглед от дата ……………………………………………</w:t>
            </w:r>
          </w:p>
          <w:p w14:paraId="25C8FBA5"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до ……………………………………………………</w:t>
            </w:r>
          </w:p>
          <w:p w14:paraId="2A6AAEDA" w14:textId="77777777" w:rsidR="00271FA2" w:rsidRPr="00A013E1" w:rsidRDefault="00271FA2" w:rsidP="00E0693F">
            <w:pPr>
              <w:tabs>
                <w:tab w:val="left" w:pos="0"/>
              </w:tabs>
              <w:spacing w:line="240" w:lineRule="atLeast"/>
              <w:jc w:val="both"/>
              <w:rPr>
                <w:rFonts w:ascii="Times New Roman" w:hAnsi="Times New Roman" w:cs="Times New Roman"/>
                <w:lang w:val="ru-RU"/>
              </w:rPr>
            </w:pPr>
          </w:p>
          <w:p w14:paraId="59C2A6BA"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w:t>
            </w:r>
          </w:p>
          <w:p w14:paraId="1B831CFE"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(Дата)</w:t>
            </w:r>
          </w:p>
          <w:p w14:paraId="4FBC03D3"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7AEBA30B"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3CDAE4B1"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ab/>
            </w:r>
            <w:r w:rsidRPr="00A013E1">
              <w:rPr>
                <w:rFonts w:ascii="Times New Roman" w:hAnsi="Times New Roman" w:cs="Times New Roman"/>
                <w:lang w:val="ru-RU"/>
              </w:rPr>
              <w:tab/>
              <w:t>Печат</w:t>
            </w:r>
          </w:p>
          <w:p w14:paraId="34843258" w14:textId="77777777" w:rsidR="00271FA2" w:rsidRPr="00A013E1" w:rsidRDefault="00D35E51" w:rsidP="00E0693F">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w:t>
            </w:r>
          </w:p>
          <w:p w14:paraId="4E8C1DDA" w14:textId="77777777" w:rsidR="00271FA2" w:rsidRPr="00A013E1" w:rsidRDefault="00D35E51" w:rsidP="00E0693F">
            <w:pPr>
              <w:tabs>
                <w:tab w:val="left" w:pos="3094"/>
              </w:tabs>
              <w:spacing w:line="240" w:lineRule="atLeast"/>
              <w:jc w:val="both"/>
              <w:rPr>
                <w:rFonts w:ascii="Times New Roman" w:hAnsi="Times New Roman" w:cs="Times New Roman"/>
              </w:rPr>
            </w:pP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t>(Подпис)</w:t>
            </w:r>
          </w:p>
        </w:tc>
      </w:tr>
      <w:tr w:rsidR="00271FA2" w:rsidRPr="00A013E1" w14:paraId="033F762A" w14:textId="77777777">
        <w:tc>
          <w:tcPr>
            <w:tcW w:w="9911" w:type="dxa"/>
            <w:tcBorders>
              <w:top w:val="single" w:sz="4" w:space="0" w:color="auto"/>
              <w:left w:val="single" w:sz="4" w:space="0" w:color="auto"/>
              <w:bottom w:val="single" w:sz="4" w:space="0" w:color="auto"/>
              <w:right w:val="single" w:sz="4" w:space="0" w:color="auto"/>
            </w:tcBorders>
          </w:tcPr>
          <w:p w14:paraId="0002DB71"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 xml:space="preserve">51. </w:t>
            </w:r>
            <w:r w:rsidRPr="00A013E1">
              <w:rPr>
                <w:rFonts w:ascii="Times New Roman" w:hAnsi="Times New Roman" w:cs="Times New Roman"/>
                <w:b/>
                <w:lang w:val="ru-RU"/>
              </w:rPr>
              <w:t>Продължаване на разрешителното отнасящо се до инсталацията(ите) за втечнен газ</w:t>
            </w:r>
          </w:p>
          <w:p w14:paraId="08A92B3C"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Срокът на разрешението за инсталацията(ите) за втечнен газ</w:t>
            </w:r>
          </w:p>
          <w:p w14:paraId="5CEC6494" w14:textId="2E8BA2B7" w:rsidR="00271FA2" w:rsidRPr="00A013E1" w:rsidRDefault="00D35E51" w:rsidP="00E0693F">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от дата …………………………………………….. валидно до ………………………………..</w:t>
            </w:r>
          </w:p>
          <w:p w14:paraId="73DB69E3"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се продължава</w:t>
            </w:r>
          </w:p>
          <w:p w14:paraId="437A0E52" w14:textId="77777777" w:rsidR="00271FA2" w:rsidRPr="00A013E1" w:rsidRDefault="00D35E51" w:rsidP="00E0693F">
            <w:pPr>
              <w:pStyle w:val="ListParagraph"/>
              <w:tabs>
                <w:tab w:val="left" w:pos="0"/>
              </w:tabs>
              <w:spacing w:line="240" w:lineRule="atLeast"/>
              <w:ind w:left="0"/>
              <w:jc w:val="both"/>
              <w:rPr>
                <w:rFonts w:ascii="Times New Roman" w:hAnsi="Times New Roman" w:cs="Times New Roman"/>
                <w:lang w:val="ru-RU"/>
              </w:rPr>
            </w:pPr>
            <w:r w:rsidRPr="00A013E1">
              <w:rPr>
                <w:rFonts w:ascii="Times New Roman" w:hAnsi="Times New Roman" w:cs="Times New Roman"/>
                <w:lang w:val="ru-RU"/>
              </w:rPr>
              <w:t>- след периодичен преглед от експерта ………………………………………………………</w:t>
            </w:r>
          </w:p>
          <w:p w14:paraId="3C842626" w14:textId="77777777" w:rsidR="00271FA2" w:rsidRPr="00A013E1" w:rsidRDefault="00D35E51" w:rsidP="00E0693F">
            <w:pPr>
              <w:pStyle w:val="ListParagraph"/>
              <w:tabs>
                <w:tab w:val="left" w:pos="3094"/>
              </w:tabs>
              <w:spacing w:line="240" w:lineRule="atLeast"/>
              <w:ind w:left="0"/>
              <w:jc w:val="both"/>
              <w:rPr>
                <w:rFonts w:ascii="Times New Roman" w:hAnsi="Times New Roman" w:cs="Times New Roman"/>
                <w:lang w:val="ru-RU"/>
              </w:rPr>
            </w:pPr>
            <w:r w:rsidRPr="00A013E1">
              <w:rPr>
                <w:rFonts w:ascii="Times New Roman" w:hAnsi="Times New Roman" w:cs="Times New Roman"/>
                <w:lang w:val="ru-RU"/>
              </w:rPr>
              <w:t>- при представяне на доклада за преглед от дата ……………………………………………</w:t>
            </w:r>
          </w:p>
          <w:p w14:paraId="34B848C9"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до ……………………………………………………</w:t>
            </w:r>
          </w:p>
          <w:p w14:paraId="1CCD1DB7" w14:textId="77777777" w:rsidR="00271FA2" w:rsidRPr="00A013E1" w:rsidRDefault="00271FA2" w:rsidP="00E0693F">
            <w:pPr>
              <w:tabs>
                <w:tab w:val="left" w:pos="0"/>
              </w:tabs>
              <w:spacing w:line="240" w:lineRule="atLeast"/>
              <w:jc w:val="both"/>
              <w:rPr>
                <w:rFonts w:ascii="Times New Roman" w:hAnsi="Times New Roman" w:cs="Times New Roman"/>
                <w:lang w:val="ru-RU"/>
              </w:rPr>
            </w:pPr>
          </w:p>
          <w:p w14:paraId="03F9AF08"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w:t>
            </w:r>
          </w:p>
          <w:p w14:paraId="1CBC6634"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(Дата)</w:t>
            </w:r>
          </w:p>
          <w:p w14:paraId="02A99763" w14:textId="77777777" w:rsidR="00271FA2" w:rsidRPr="00A013E1" w:rsidRDefault="00271FA2" w:rsidP="00E0693F">
            <w:pPr>
              <w:tabs>
                <w:tab w:val="left" w:pos="3094"/>
              </w:tabs>
              <w:spacing w:line="240" w:lineRule="atLeast"/>
              <w:jc w:val="both"/>
              <w:rPr>
                <w:rFonts w:ascii="Times New Roman" w:hAnsi="Times New Roman" w:cs="Times New Roman"/>
                <w:lang w:val="ru-RU"/>
              </w:rPr>
            </w:pPr>
          </w:p>
          <w:p w14:paraId="3F2150CF"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7C25F69B" w14:textId="77777777" w:rsidR="00271FA2" w:rsidRPr="00A013E1" w:rsidRDefault="00D35E51" w:rsidP="00E0693F">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57728E3F" w14:textId="77777777" w:rsidR="00271FA2" w:rsidRPr="00A013E1" w:rsidRDefault="00D35E51" w:rsidP="00E0693F">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p>
          <w:p w14:paraId="60C7DD21" w14:textId="77777777" w:rsidR="00271FA2" w:rsidRPr="00A013E1" w:rsidRDefault="00D35E51" w:rsidP="00E0693F">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w:t>
            </w:r>
          </w:p>
          <w:p w14:paraId="6E7B1773" w14:textId="77777777" w:rsidR="00271FA2" w:rsidRPr="00A013E1" w:rsidRDefault="00D35E51" w:rsidP="00E0693F">
            <w:pPr>
              <w:tabs>
                <w:tab w:val="left" w:pos="3094"/>
              </w:tabs>
              <w:spacing w:line="240" w:lineRule="atLeast"/>
              <w:jc w:val="both"/>
              <w:rPr>
                <w:rFonts w:ascii="Times New Roman" w:hAnsi="Times New Roman" w:cs="Times New Roman"/>
              </w:rPr>
            </w:pP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r>
            <w:r w:rsidRPr="00A013E1">
              <w:rPr>
                <w:rFonts w:ascii="Times New Roman" w:hAnsi="Times New Roman" w:cs="Times New Roman"/>
              </w:rPr>
              <w:tab/>
              <w:t>(Подпис)</w:t>
            </w:r>
          </w:p>
        </w:tc>
      </w:tr>
    </w:tbl>
    <w:p w14:paraId="7CEDBFD9" w14:textId="77777777" w:rsidR="007C771B" w:rsidRPr="00A013E1" w:rsidRDefault="007C771B">
      <w:pPr>
        <w:rPr>
          <w:rFonts w:ascii="Times New Roman" w:hAnsi="Times New Roman" w:cs="Times New Roman"/>
        </w:rPr>
      </w:pPr>
      <w:r w:rsidRPr="00A013E1">
        <w:rPr>
          <w:rFonts w:ascii="Times New Roman" w:hAnsi="Times New Roman" w:cs="Times New Roman"/>
        </w:rPr>
        <w:br w:type="page"/>
      </w:r>
    </w:p>
    <w:p w14:paraId="35081AB6" w14:textId="25AC9F18" w:rsidR="00271FA2" w:rsidRPr="00A013E1" w:rsidRDefault="007C771B" w:rsidP="009303B5">
      <w:pPr>
        <w:spacing w:line="240" w:lineRule="atLeast"/>
        <w:rPr>
          <w:rFonts w:ascii="Times New Roman" w:hAnsi="Times New Roman" w:cs="Times New Roman"/>
          <w:lang w:val="ru-RU"/>
        </w:rPr>
      </w:pPr>
      <w:r w:rsidRPr="00A013E1">
        <w:rPr>
          <w:rFonts w:ascii="Times New Roman" w:hAnsi="Times New Roman" w:cs="Times New Roman"/>
        </w:rPr>
        <w:lastRenderedPageBreak/>
        <w:t>.</w:t>
      </w:r>
      <w:r w:rsidR="00D35E51" w:rsidRPr="00A013E1">
        <w:rPr>
          <w:rFonts w:ascii="Times New Roman" w:hAnsi="Times New Roman" w:cs="Times New Roman"/>
          <w:lang w:val="ru-RU"/>
        </w:rPr>
        <w:t>Корабно удостоверение № .................. издадено от Дирекция „Речен надзор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271FA2" w:rsidRPr="00A013E1" w14:paraId="32F0F14E" w14:textId="77777777">
        <w:tc>
          <w:tcPr>
            <w:tcW w:w="9911" w:type="dxa"/>
            <w:tcBorders>
              <w:top w:val="single" w:sz="4" w:space="0" w:color="auto"/>
              <w:left w:val="single" w:sz="4" w:space="0" w:color="auto"/>
              <w:bottom w:val="single" w:sz="4" w:space="0" w:color="auto"/>
              <w:right w:val="single" w:sz="4" w:space="0" w:color="auto"/>
            </w:tcBorders>
          </w:tcPr>
          <w:p w14:paraId="12F58E96" w14:textId="049725CB" w:rsidR="00271FA2" w:rsidRPr="00A013E1" w:rsidRDefault="00D35E51" w:rsidP="009303B5">
            <w:pPr>
              <w:tabs>
                <w:tab w:val="left" w:pos="3094"/>
              </w:tabs>
              <w:spacing w:line="240" w:lineRule="atLeast"/>
              <w:rPr>
                <w:rFonts w:ascii="Times New Roman" w:hAnsi="Times New Roman" w:cs="Times New Roman"/>
              </w:rPr>
            </w:pPr>
            <w:r w:rsidRPr="00A013E1">
              <w:rPr>
                <w:rFonts w:ascii="Times New Roman" w:hAnsi="Times New Roman" w:cs="Times New Roman"/>
              </w:rPr>
              <w:t>52. Приложение към Корабно удостоверение № ………………………………………………..</w:t>
            </w:r>
          </w:p>
          <w:p w14:paraId="4BF28BFB" w14:textId="6028F9FB" w:rsidR="00271FA2" w:rsidRPr="00A013E1" w:rsidRDefault="00D35E51" w:rsidP="007C771B">
            <w:pPr>
              <w:tabs>
                <w:tab w:val="left" w:pos="3094"/>
              </w:tabs>
              <w:spacing w:line="240" w:lineRule="atLeast"/>
              <w:rPr>
                <w:rFonts w:ascii="Times New Roman" w:hAnsi="Times New Roman" w:cs="Times New Roman"/>
              </w:rPr>
            </w:pPr>
            <w:r w:rsidRPr="00A013E1">
              <w:rPr>
                <w:rFonts w:ascii="Times New Roman" w:hAnsi="Times New Roman" w:cs="Times New Roman"/>
              </w:rPr>
              <w:t>….…………………………………………………………………………………………………….…………………………………………………………………………………………………….…………………………………………………………………………………………………….…………………………………………………………………………………………………….………………………………………………………………………………………………………...………………</w:t>
            </w:r>
            <w:r w:rsidR="007C771B" w:rsidRPr="00A013E1">
              <w:rPr>
                <w:rFonts w:ascii="Times New Roman" w:hAnsi="Times New Roman" w:cs="Times New Roman"/>
              </w:rPr>
              <w:t>.</w:t>
            </w:r>
            <w:r w:rsidRPr="00A013E1">
              <w:rPr>
                <w:rFonts w:ascii="Times New Roman" w:hAnsi="Times New Roman" w:cs="Times New Roman"/>
              </w:rPr>
              <w:t>……………………………………………………………………………...….……………………………………………………………………………………………………...…………………………….………………………………………………………………………………………………………...……………………………………………………………………………………………...….………………………………………………………………………………………………………...……………………………………………………………………………………………...….………………………………………………………………………………………………………...……………………………………………………………………………………………...….………………………………………………………………………………………………………...……………………………………………………………………………………………...….………………………………………………………………………………………………………...……………………………………………………………………………………………...….………………………………………………………………………………………………………...……………………………………………………………………………………………...….………………………………………………………………………………………………………...……………………………………………………………………………………………...….………………………………………………………………………………………………………...……………………………………………………………………………………………...….………………………………………………………………………………………………………...……………………………………………………….…………………………………………………………………………………………………</w:t>
            </w:r>
            <w:r w:rsidR="00632154" w:rsidRPr="00A013E1">
              <w:rPr>
                <w:rFonts w:ascii="Times New Roman" w:hAnsi="Times New Roman" w:cs="Times New Roman"/>
              </w:rPr>
              <w:t>………………………………………………………………………………...….………………………………………………………………………………………………………...……………………………………………………………………………………………...….………………………………………………………………………………………………………...……………………………………………………………………………………………...….………………………………………………………………………………………………………...……………………………………………………………………………………………...….………………………………………………………………………………………………………...……………………………………………………………………………………………...….…………………………………………………………………………………………………………………………………………………...….………………………………………………………………………………………………………...……………………………………………………………………………………………...….………………………………………………………………………………………………………...……………………………………………………………………………………………...….………………………………………………………………………………………………………...……………………………………………………………………………………………...….………………………………………………………………………………………………………...……………………………………………………………………………………………...….………………………………………………………………………………………………………………………………...……………………………………………………………………………………………...….………………………………………………………………………………………………………...………………………………………………………</w:t>
            </w:r>
          </w:p>
        </w:tc>
      </w:tr>
      <w:tr w:rsidR="00271FA2" w:rsidRPr="00A013E1" w14:paraId="48FCF941" w14:textId="77777777">
        <w:tc>
          <w:tcPr>
            <w:tcW w:w="9911" w:type="dxa"/>
            <w:tcBorders>
              <w:top w:val="single" w:sz="4" w:space="0" w:color="auto"/>
              <w:left w:val="single" w:sz="4" w:space="0" w:color="auto"/>
              <w:bottom w:val="single" w:sz="4" w:space="0" w:color="auto"/>
              <w:right w:val="single" w:sz="4" w:space="0" w:color="auto"/>
            </w:tcBorders>
          </w:tcPr>
          <w:p w14:paraId="6065FDFF" w14:textId="788E3A89" w:rsidR="00271FA2" w:rsidRPr="00A013E1" w:rsidRDefault="00D35E51" w:rsidP="009303B5">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 Изменена е позиция (и): ………………………………………………………………………..</w:t>
            </w:r>
          </w:p>
          <w:p w14:paraId="43CE1679" w14:textId="03688A17" w:rsidR="00271FA2" w:rsidRPr="00A013E1" w:rsidRDefault="00D35E51" w:rsidP="009303B5">
            <w:pPr>
              <w:tabs>
                <w:tab w:val="left" w:pos="3094"/>
              </w:tabs>
              <w:spacing w:line="240" w:lineRule="atLeast"/>
              <w:rPr>
                <w:rFonts w:ascii="Times New Roman" w:hAnsi="Times New Roman" w:cs="Times New Roman"/>
                <w:lang w:val="ru-RU"/>
              </w:rPr>
            </w:pPr>
            <w:r w:rsidRPr="00A013E1">
              <w:rPr>
                <w:rFonts w:ascii="Times New Roman" w:hAnsi="Times New Roman" w:cs="Times New Roman"/>
                <w:lang w:val="ru-RU"/>
              </w:rPr>
              <w:t>Нов текст: ………………………………………………………………………………………….</w:t>
            </w:r>
          </w:p>
          <w:p w14:paraId="5C349359" w14:textId="281C756E" w:rsidR="00271FA2" w:rsidRPr="00A013E1" w:rsidRDefault="00D35E51" w:rsidP="009303B5">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w:t>
            </w:r>
          </w:p>
          <w:p w14:paraId="6805A974" w14:textId="77777777" w:rsidR="00271FA2" w:rsidRPr="00A013E1" w:rsidRDefault="00D35E51" w:rsidP="009303B5">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Тази страница е била заменена.</w:t>
            </w:r>
          </w:p>
          <w:p w14:paraId="3C42A51A" w14:textId="77777777" w:rsidR="00271FA2" w:rsidRPr="00A013E1" w:rsidRDefault="00D35E51" w:rsidP="009303B5">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63C4A7BE" w14:textId="77777777" w:rsidR="00271FA2" w:rsidRPr="00A013E1" w:rsidRDefault="00D35E51" w:rsidP="009303B5">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0A6400F0" w14:textId="77777777" w:rsidR="00271FA2" w:rsidRPr="00A013E1" w:rsidRDefault="00271FA2" w:rsidP="009303B5">
            <w:pPr>
              <w:tabs>
                <w:tab w:val="left" w:pos="0"/>
              </w:tabs>
              <w:spacing w:line="240" w:lineRule="atLeast"/>
              <w:jc w:val="both"/>
              <w:rPr>
                <w:rFonts w:ascii="Times New Roman" w:hAnsi="Times New Roman" w:cs="Times New Roman"/>
                <w:lang w:val="ru-RU"/>
              </w:rPr>
            </w:pPr>
          </w:p>
          <w:p w14:paraId="3984B3A8" w14:textId="77777777" w:rsidR="00271FA2" w:rsidRPr="00A013E1" w:rsidRDefault="00D35E51" w:rsidP="009303B5">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t>Печат</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p>
          <w:p w14:paraId="32ECFDE9" w14:textId="77777777" w:rsidR="00271FA2" w:rsidRPr="00A013E1" w:rsidRDefault="00D35E51" w:rsidP="009303B5">
            <w:pPr>
              <w:tabs>
                <w:tab w:val="left" w:pos="3094"/>
              </w:tabs>
              <w:spacing w:line="240" w:lineRule="atLeast"/>
              <w:jc w:val="both"/>
              <w:rPr>
                <w:rFonts w:ascii="Times New Roman" w:hAnsi="Times New Roman" w:cs="Times New Roman"/>
              </w:rPr>
            </w:pPr>
            <w:r w:rsidRPr="00A013E1">
              <w:rPr>
                <w:rFonts w:ascii="Times New Roman" w:hAnsi="Times New Roman" w:cs="Times New Roman"/>
                <w:noProof/>
                <w:lang w:eastAsia="bg-BG"/>
              </w:rPr>
              <mc:AlternateContent>
                <mc:Choice Requires="wps">
                  <w:drawing>
                    <wp:anchor distT="0" distB="0" distL="114300" distR="114300" simplePos="0" relativeHeight="251708416" behindDoc="0" locked="0" layoutInCell="1" allowOverlap="1" wp14:anchorId="42DDB702" wp14:editId="4EC2A370">
                      <wp:simplePos x="0" y="0"/>
                      <wp:positionH relativeFrom="column">
                        <wp:posOffset>19685</wp:posOffset>
                      </wp:positionH>
                      <wp:positionV relativeFrom="paragraph">
                        <wp:posOffset>132080</wp:posOffset>
                      </wp:positionV>
                      <wp:extent cx="1634490" cy="0"/>
                      <wp:effectExtent l="0" t="0" r="3810" b="0"/>
                      <wp:wrapNone/>
                      <wp:docPr id="60" name="Straight Connector 36"/>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36" o:spid="_x0000_s1026" o:spt="20" style="position:absolute;left:0pt;margin-left:1.55pt;margin-top:10.4pt;height:0pt;width:128.7pt;z-index:251708416;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AGzAdQAAAAHAQAADwAAAAAAAAABACAAAAAiAAAAZHJzL2Rvd25yZXYueG1sUEsBAhQAFAAA&#10;AAgAh07iQHy/dPrzAQAA+QMAAA4AAAAAAAAAAQAgAAAAIwEAAGRycy9lMm9Eb2MueG1sUEsFBgAA&#10;AAAGAAYAWQEAAIgFAAAAAA==&#10;">
                      <v:fill on="f" focussize="0,0"/>
                      <v:stroke color="#000000" joinstyle="round"/>
                      <v:imagedata o:title=""/>
                      <o:lock v:ext="edit" aspectratio="f"/>
                    </v:line>
                  </w:pict>
                </mc:Fallback>
              </mc:AlternateContent>
            </w:r>
          </w:p>
          <w:p w14:paraId="48D5B13B" w14:textId="77777777" w:rsidR="00271FA2" w:rsidRPr="00A013E1" w:rsidRDefault="00D35E51" w:rsidP="009303B5">
            <w:pPr>
              <w:tabs>
                <w:tab w:val="left" w:pos="3094"/>
              </w:tabs>
              <w:spacing w:line="240" w:lineRule="atLeast"/>
              <w:jc w:val="both"/>
              <w:rPr>
                <w:rFonts w:ascii="Times New Roman" w:hAnsi="Times New Roman" w:cs="Times New Roman"/>
              </w:rPr>
            </w:pPr>
            <w:r w:rsidRPr="00A013E1">
              <w:rPr>
                <w:rFonts w:ascii="Times New Roman" w:hAnsi="Times New Roman" w:cs="Times New Roman"/>
              </w:rPr>
              <w:t>*) Неприложимото се зачертава</w:t>
            </w:r>
          </w:p>
        </w:tc>
      </w:tr>
      <w:tr w:rsidR="00271FA2" w:rsidRPr="00A013E1" w14:paraId="23FE292A" w14:textId="77777777">
        <w:tc>
          <w:tcPr>
            <w:tcW w:w="9911" w:type="dxa"/>
            <w:tcBorders>
              <w:top w:val="single" w:sz="4" w:space="0" w:color="auto"/>
              <w:left w:val="single" w:sz="4" w:space="0" w:color="auto"/>
              <w:bottom w:val="single" w:sz="4" w:space="0" w:color="auto"/>
              <w:right w:val="single" w:sz="4" w:space="0" w:color="auto"/>
            </w:tcBorders>
          </w:tcPr>
          <w:p w14:paraId="2BF2FDC5"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Продължава на страница*)</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Край на удостоверението*)</w:t>
            </w:r>
          </w:p>
        </w:tc>
      </w:tr>
    </w:tbl>
    <w:p w14:paraId="687DE561" w14:textId="77777777" w:rsidR="00271FA2" w:rsidRPr="00A013E1" w:rsidRDefault="00271FA2">
      <w:pPr>
        <w:spacing w:line="240" w:lineRule="atLeast"/>
        <w:jc w:val="both"/>
        <w:rPr>
          <w:rFonts w:ascii="Times New Roman" w:hAnsi="Times New Roman" w:cs="Times New Roman"/>
          <w:lang w:val="ru-RU"/>
        </w:rPr>
      </w:pPr>
    </w:p>
    <w:p w14:paraId="79873068" w14:textId="77777777" w:rsidR="007252C0" w:rsidRPr="00A013E1" w:rsidRDefault="007252C0" w:rsidP="00A37A76">
      <w:pPr>
        <w:spacing w:line="240" w:lineRule="atLeast"/>
        <w:rPr>
          <w:rFonts w:ascii="Times New Roman" w:hAnsi="Times New Roman" w:cs="Times New Roman"/>
          <w:lang w:val="ru-RU"/>
        </w:rPr>
        <w:sectPr w:rsidR="007252C0" w:rsidRPr="00A013E1" w:rsidSect="00A013E1">
          <w:headerReference w:type="default" r:id="rId110"/>
          <w:pgSz w:w="12240" w:h="15840"/>
          <w:pgMar w:top="1134" w:right="1134" w:bottom="1134" w:left="1134" w:header="709" w:footer="709" w:gutter="0"/>
          <w:cols w:space="708"/>
          <w:docGrid w:linePitch="299"/>
        </w:sectPr>
      </w:pPr>
    </w:p>
    <w:p w14:paraId="1D0E614D" w14:textId="77777777" w:rsidR="00271FA2" w:rsidRPr="00A013E1" w:rsidRDefault="00D35E51">
      <w:pPr>
        <w:spacing w:line="240" w:lineRule="atLeast"/>
        <w:jc w:val="center"/>
        <w:rPr>
          <w:rFonts w:ascii="Times New Roman" w:hAnsi="Times New Roman" w:cs="Times New Roman"/>
          <w:b/>
          <w:lang w:val="ru-RU"/>
        </w:rPr>
      </w:pPr>
      <w:r w:rsidRPr="00A013E1">
        <w:rPr>
          <w:rFonts w:ascii="Times New Roman" w:hAnsi="Times New Roman" w:cs="Times New Roman"/>
          <w:b/>
          <w:lang w:val="ru-RU"/>
        </w:rPr>
        <w:lastRenderedPageBreak/>
        <w:t xml:space="preserve">Раздел </w:t>
      </w:r>
      <w:r w:rsidRPr="00A013E1">
        <w:rPr>
          <w:rFonts w:ascii="Times New Roman" w:hAnsi="Times New Roman" w:cs="Times New Roman"/>
          <w:b/>
        </w:rPr>
        <w:t>II</w:t>
      </w:r>
    </w:p>
    <w:p w14:paraId="4BB799FE" w14:textId="77777777" w:rsidR="00271FA2" w:rsidRPr="00A013E1" w:rsidRDefault="00D35E51">
      <w:pPr>
        <w:tabs>
          <w:tab w:val="left" w:pos="3094"/>
        </w:tabs>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Образец на временно Корабно удостоверение за вътрешно корабоплаване</w:t>
      </w:r>
    </w:p>
    <w:p w14:paraId="5D9B8900" w14:textId="77777777" w:rsidR="00271FA2" w:rsidRPr="00A013E1" w:rsidRDefault="00D35E51">
      <w:pPr>
        <w:tabs>
          <w:tab w:val="left" w:pos="3094"/>
        </w:tabs>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Република България/Герб</w:t>
      </w:r>
    </w:p>
    <w:p w14:paraId="32E3BC23" w14:textId="77777777" w:rsidR="00271FA2" w:rsidRPr="00A013E1" w:rsidRDefault="00D35E51">
      <w:pPr>
        <w:tabs>
          <w:tab w:val="left" w:pos="3094"/>
        </w:tabs>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Временно Корабно удостоверение за вътрешно корабоплаване №</w:t>
      </w:r>
    </w:p>
    <w:tbl>
      <w:tblPr>
        <w:tblW w:w="9918" w:type="dxa"/>
        <w:tblLayout w:type="fixed"/>
        <w:tblLook w:val="04A0" w:firstRow="1" w:lastRow="0" w:firstColumn="1" w:lastColumn="0" w:noHBand="0" w:noVBand="1"/>
      </w:tblPr>
      <w:tblGrid>
        <w:gridCol w:w="361"/>
        <w:gridCol w:w="2185"/>
        <w:gridCol w:w="539"/>
        <w:gridCol w:w="1876"/>
        <w:gridCol w:w="119"/>
        <w:gridCol w:w="1908"/>
        <w:gridCol w:w="1919"/>
        <w:gridCol w:w="1011"/>
      </w:tblGrid>
      <w:tr w:rsidR="00271FA2" w:rsidRPr="00A013E1" w14:paraId="4F1A6E94" w14:textId="77777777" w:rsidTr="0099107E">
        <w:trPr>
          <w:trHeight w:val="607"/>
        </w:trPr>
        <w:tc>
          <w:tcPr>
            <w:tcW w:w="2546" w:type="dxa"/>
            <w:gridSpan w:val="2"/>
            <w:tcBorders>
              <w:top w:val="single" w:sz="4" w:space="0" w:color="auto"/>
              <w:left w:val="single" w:sz="4" w:space="0" w:color="auto"/>
              <w:bottom w:val="single" w:sz="4" w:space="0" w:color="auto"/>
              <w:right w:val="single" w:sz="4" w:space="0" w:color="auto"/>
            </w:tcBorders>
          </w:tcPr>
          <w:p w14:paraId="65B55D35"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1. Име на плаващото средство</w:t>
            </w:r>
          </w:p>
        </w:tc>
        <w:tc>
          <w:tcPr>
            <w:tcW w:w="2534" w:type="dxa"/>
            <w:gridSpan w:val="3"/>
            <w:tcBorders>
              <w:top w:val="single" w:sz="4" w:space="0" w:color="auto"/>
              <w:left w:val="single" w:sz="4" w:space="0" w:color="auto"/>
              <w:bottom w:val="single" w:sz="4" w:space="0" w:color="auto"/>
              <w:right w:val="single" w:sz="4" w:space="0" w:color="auto"/>
            </w:tcBorders>
          </w:tcPr>
          <w:p w14:paraId="79C5B9EE"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2. Тип на плаващото средство</w:t>
            </w:r>
          </w:p>
        </w:tc>
        <w:tc>
          <w:tcPr>
            <w:tcW w:w="4838" w:type="dxa"/>
            <w:gridSpan w:val="3"/>
            <w:tcBorders>
              <w:top w:val="single" w:sz="4" w:space="0" w:color="auto"/>
              <w:left w:val="single" w:sz="4" w:space="0" w:color="auto"/>
              <w:bottom w:val="single" w:sz="4" w:space="0" w:color="auto"/>
              <w:right w:val="single" w:sz="4" w:space="0" w:color="auto"/>
            </w:tcBorders>
          </w:tcPr>
          <w:p w14:paraId="317ACD15" w14:textId="77777777" w:rsidR="00271FA2" w:rsidRPr="00A013E1" w:rsidRDefault="00D35E51">
            <w:pPr>
              <w:tabs>
                <w:tab w:val="left" w:pos="276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3. Уникален европейски идентификационен номер на кораба</w:t>
            </w:r>
          </w:p>
        </w:tc>
      </w:tr>
      <w:tr w:rsidR="00271FA2" w:rsidRPr="00A013E1" w14:paraId="59C72186" w14:textId="77777777" w:rsidTr="0099107E">
        <w:tc>
          <w:tcPr>
            <w:tcW w:w="9918" w:type="dxa"/>
            <w:gridSpan w:val="8"/>
            <w:tcBorders>
              <w:top w:val="single" w:sz="4" w:space="0" w:color="auto"/>
              <w:left w:val="single" w:sz="4" w:space="0" w:color="auto"/>
              <w:bottom w:val="single" w:sz="4" w:space="0" w:color="auto"/>
              <w:right w:val="single" w:sz="4" w:space="0" w:color="auto"/>
            </w:tcBorders>
          </w:tcPr>
          <w:p w14:paraId="4410F656"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4. Име и адрес на корабособственика</w:t>
            </w:r>
          </w:p>
        </w:tc>
      </w:tr>
      <w:tr w:rsidR="00271FA2" w:rsidRPr="00A013E1" w14:paraId="0E2B1C74" w14:textId="77777777" w:rsidTr="0099107E">
        <w:tc>
          <w:tcPr>
            <w:tcW w:w="9918" w:type="dxa"/>
            <w:gridSpan w:val="8"/>
            <w:tcBorders>
              <w:top w:val="single" w:sz="4" w:space="0" w:color="auto"/>
              <w:left w:val="single" w:sz="4" w:space="0" w:color="auto"/>
              <w:bottom w:val="single" w:sz="4" w:space="0" w:color="auto"/>
              <w:right w:val="single" w:sz="4" w:space="0" w:color="auto"/>
            </w:tcBorders>
          </w:tcPr>
          <w:p w14:paraId="475DFB2E"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5. Дължина </w:t>
            </w:r>
            <w:r w:rsidRPr="00A013E1">
              <w:rPr>
                <w:rFonts w:ascii="Times New Roman" w:hAnsi="Times New Roman" w:cs="Times New Roman"/>
                <w:sz w:val="20"/>
                <w:szCs w:val="20"/>
              </w:rPr>
              <w:t>L</w:t>
            </w:r>
            <w:r w:rsidRPr="00A013E1">
              <w:rPr>
                <w:rFonts w:ascii="Times New Roman" w:hAnsi="Times New Roman" w:cs="Times New Roman"/>
                <w:sz w:val="20"/>
                <w:szCs w:val="20"/>
                <w:lang w:val="ru-RU"/>
              </w:rPr>
              <w:t>/</w:t>
            </w:r>
            <w:r w:rsidRPr="00A013E1">
              <w:rPr>
                <w:rFonts w:ascii="Times New Roman" w:hAnsi="Times New Roman" w:cs="Times New Roman"/>
                <w:sz w:val="20"/>
                <w:szCs w:val="20"/>
              </w:rPr>
              <w:t>L</w:t>
            </w:r>
            <w:r w:rsidRPr="00A013E1">
              <w:rPr>
                <w:rFonts w:ascii="Times New Roman" w:hAnsi="Times New Roman" w:cs="Times New Roman"/>
                <w:sz w:val="20"/>
                <w:szCs w:val="20"/>
                <w:vertAlign w:val="subscript"/>
              </w:rPr>
              <w:t>WL</w:t>
            </w:r>
            <w:r w:rsidRPr="00A013E1">
              <w:rPr>
                <w:rFonts w:ascii="Times New Roman" w:hAnsi="Times New Roman" w:cs="Times New Roman"/>
                <w:sz w:val="20"/>
                <w:szCs w:val="20"/>
                <w:lang w:val="ru-RU"/>
              </w:rPr>
              <w:t xml:space="preserve"> *) …………………………….</w:t>
            </w:r>
            <w:r w:rsidRPr="00A013E1">
              <w:rPr>
                <w:rFonts w:ascii="Times New Roman" w:hAnsi="Times New Roman" w:cs="Times New Roman"/>
                <w:sz w:val="20"/>
                <w:szCs w:val="20"/>
                <w:lang w:val="ru-RU"/>
              </w:rPr>
              <w:tab/>
              <w:t>Брой на пътниците ……………………….</w:t>
            </w:r>
          </w:p>
          <w:p w14:paraId="7B79E3F5"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Брой на спалните места за пътници*) …………………………</w:t>
            </w:r>
          </w:p>
        </w:tc>
      </w:tr>
      <w:tr w:rsidR="00271FA2" w:rsidRPr="00A013E1" w14:paraId="4239AD24" w14:textId="77777777" w:rsidTr="0099107E">
        <w:tc>
          <w:tcPr>
            <w:tcW w:w="9918" w:type="dxa"/>
            <w:gridSpan w:val="8"/>
            <w:tcBorders>
              <w:top w:val="single" w:sz="4" w:space="0" w:color="auto"/>
              <w:left w:val="single" w:sz="4" w:space="0" w:color="auto"/>
              <w:bottom w:val="single" w:sz="4" w:space="0" w:color="auto"/>
              <w:right w:val="single" w:sz="4" w:space="0" w:color="auto"/>
            </w:tcBorders>
          </w:tcPr>
          <w:p w14:paraId="26EF37BA"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6. Екипаж …………………………………………………………………………………………………………</w:t>
            </w:r>
          </w:p>
        </w:tc>
      </w:tr>
      <w:tr w:rsidR="00271FA2" w:rsidRPr="00A013E1" w14:paraId="4DFD98EC" w14:textId="77777777" w:rsidTr="0099107E">
        <w:tc>
          <w:tcPr>
            <w:tcW w:w="9918" w:type="dxa"/>
            <w:gridSpan w:val="8"/>
            <w:tcBorders>
              <w:top w:val="single" w:sz="4" w:space="0" w:color="auto"/>
              <w:left w:val="single" w:sz="4" w:space="0" w:color="auto"/>
              <w:bottom w:val="single" w:sz="4" w:space="0" w:color="auto"/>
              <w:right w:val="single" w:sz="4" w:space="0" w:color="auto"/>
            </w:tcBorders>
          </w:tcPr>
          <w:p w14:paraId="39B41E5D"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6.1 [Корабът се експлоатира в режими на работа </w:t>
            </w:r>
            <w:r w:rsidRPr="00A013E1">
              <w:rPr>
                <w:rFonts w:ascii="Times New Roman" w:hAnsi="Times New Roman" w:cs="Times New Roman"/>
                <w:sz w:val="20"/>
                <w:szCs w:val="20"/>
              </w:rPr>
              <w:t>A</w:t>
            </w:r>
            <w:r w:rsidRPr="00A013E1">
              <w:rPr>
                <w:rFonts w:ascii="Times New Roman" w:hAnsi="Times New Roman" w:cs="Times New Roman"/>
                <w:sz w:val="20"/>
                <w:szCs w:val="20"/>
                <w:lang w:val="ru-RU"/>
              </w:rPr>
              <w:t xml:space="preserve">1*), </w:t>
            </w:r>
            <w:r w:rsidRPr="00A013E1">
              <w:rPr>
                <w:rFonts w:ascii="Times New Roman" w:hAnsi="Times New Roman" w:cs="Times New Roman"/>
                <w:sz w:val="20"/>
                <w:szCs w:val="20"/>
              </w:rPr>
              <w:t>A</w:t>
            </w:r>
            <w:r w:rsidRPr="00A013E1">
              <w:rPr>
                <w:rFonts w:ascii="Times New Roman" w:hAnsi="Times New Roman" w:cs="Times New Roman"/>
                <w:sz w:val="20"/>
                <w:szCs w:val="20"/>
                <w:lang w:val="ru-RU"/>
              </w:rPr>
              <w:t xml:space="preserve">2*), </w:t>
            </w:r>
            <w:r w:rsidRPr="00A013E1">
              <w:rPr>
                <w:rFonts w:ascii="Times New Roman" w:hAnsi="Times New Roman" w:cs="Times New Roman"/>
                <w:sz w:val="20"/>
                <w:szCs w:val="20"/>
              </w:rPr>
              <w:t>B</w:t>
            </w:r>
            <w:r w:rsidRPr="00A013E1">
              <w:rPr>
                <w:rFonts w:ascii="Times New Roman" w:hAnsi="Times New Roman" w:cs="Times New Roman"/>
                <w:sz w:val="20"/>
                <w:szCs w:val="20"/>
                <w:lang w:val="ru-RU"/>
              </w:rPr>
              <w:t>*)/Съгласно режимите на работа в съответствие с изисквания на националното и международното право]</w:t>
            </w:r>
          </w:p>
        </w:tc>
      </w:tr>
      <w:tr w:rsidR="00271FA2" w:rsidRPr="00A013E1" w14:paraId="49BB2797" w14:textId="77777777" w:rsidTr="0099107E">
        <w:trPr>
          <w:trHeight w:val="1615"/>
        </w:trPr>
        <w:tc>
          <w:tcPr>
            <w:tcW w:w="9918" w:type="dxa"/>
            <w:gridSpan w:val="8"/>
            <w:tcBorders>
              <w:top w:val="single" w:sz="4" w:space="0" w:color="auto"/>
              <w:left w:val="single" w:sz="4" w:space="0" w:color="auto"/>
              <w:bottom w:val="single" w:sz="4" w:space="0" w:color="auto"/>
              <w:right w:val="single" w:sz="4" w:space="0" w:color="auto"/>
            </w:tcBorders>
          </w:tcPr>
          <w:p w14:paraId="14E065FC"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6.2 Оборудване на кораба в съответствие с чл. 31.01.</w:t>
            </w:r>
          </w:p>
          <w:p w14:paraId="7FB53CA0"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Корабът съответства*)/не съответства*) на чл. 31.02 (Стандарт </w:t>
            </w:r>
            <w:r w:rsidRPr="00A013E1">
              <w:rPr>
                <w:rFonts w:ascii="Times New Roman" w:hAnsi="Times New Roman" w:cs="Times New Roman"/>
                <w:sz w:val="20"/>
                <w:szCs w:val="20"/>
              </w:rPr>
              <w:t>S</w:t>
            </w:r>
            <w:r w:rsidRPr="00A013E1">
              <w:rPr>
                <w:rFonts w:ascii="Times New Roman" w:hAnsi="Times New Roman" w:cs="Times New Roman"/>
                <w:sz w:val="20"/>
                <w:szCs w:val="20"/>
                <w:lang w:val="ru-RU"/>
              </w:rPr>
              <w:t xml:space="preserve">1)*)/чл. 31.03 (Стандарт </w:t>
            </w:r>
            <w:r w:rsidRPr="00A013E1">
              <w:rPr>
                <w:rFonts w:ascii="Times New Roman" w:hAnsi="Times New Roman" w:cs="Times New Roman"/>
                <w:sz w:val="20"/>
                <w:szCs w:val="20"/>
              </w:rPr>
              <w:t>S</w:t>
            </w:r>
            <w:r w:rsidRPr="00A013E1">
              <w:rPr>
                <w:rFonts w:ascii="Times New Roman" w:hAnsi="Times New Roman" w:cs="Times New Roman"/>
                <w:sz w:val="20"/>
                <w:szCs w:val="20"/>
                <w:lang w:val="ru-RU"/>
              </w:rPr>
              <w:t>2)*).</w:t>
            </w:r>
          </w:p>
          <w:p w14:paraId="66E3BC49" w14:textId="186727F6" w:rsidR="00271FA2" w:rsidRPr="00A013E1" w:rsidRDefault="00D35E51" w:rsidP="00E76CEB">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[В съответствие с чл. </w:t>
            </w:r>
            <w:r w:rsidR="00E76CEB" w:rsidRPr="00A013E1">
              <w:rPr>
                <w:rFonts w:ascii="Times New Roman" w:hAnsi="Times New Roman" w:cs="Times New Roman"/>
                <w:sz w:val="20"/>
                <w:szCs w:val="20"/>
                <w:lang w:val="ru-RU"/>
              </w:rPr>
              <w:t>19.05</w:t>
            </w:r>
            <w:r w:rsidRPr="00A013E1">
              <w:rPr>
                <w:rFonts w:ascii="Times New Roman" w:hAnsi="Times New Roman" w:cs="Times New Roman"/>
                <w:sz w:val="20"/>
                <w:szCs w:val="20"/>
                <w:lang w:val="ru-RU"/>
              </w:rPr>
              <w:t xml:space="preserve"> от Рейнските правила за инспекция на корабите/В съответствие с националните или международните изисквания], минималният екипаж трябва да се увеличи както следва*)/не трябва да се увеличава*)</w:t>
            </w:r>
            <w:r w:rsidRPr="00A013E1">
              <w:rPr>
                <w:rStyle w:val="FootnoteReference"/>
                <w:rFonts w:ascii="Times New Roman" w:hAnsi="Times New Roman" w:cs="Times New Roman"/>
                <w:sz w:val="20"/>
                <w:szCs w:val="20"/>
              </w:rPr>
              <w:footnoteReference w:id="36"/>
            </w:r>
          </w:p>
        </w:tc>
      </w:tr>
      <w:tr w:rsidR="00271FA2" w:rsidRPr="00A013E1" w14:paraId="7C44C343" w14:textId="77777777" w:rsidTr="0099107E">
        <w:tc>
          <w:tcPr>
            <w:tcW w:w="361" w:type="dxa"/>
            <w:vMerge w:val="restart"/>
            <w:tcBorders>
              <w:top w:val="single" w:sz="4" w:space="0" w:color="auto"/>
              <w:left w:val="single" w:sz="4" w:space="0" w:color="auto"/>
              <w:bottom w:val="single" w:sz="4" w:space="0" w:color="auto"/>
              <w:right w:val="single" w:sz="4" w:space="0" w:color="auto"/>
            </w:tcBorders>
          </w:tcPr>
          <w:p w14:paraId="24B09A09" w14:textId="77777777" w:rsidR="00271FA2" w:rsidRPr="00A013E1" w:rsidRDefault="00271FA2">
            <w:pPr>
              <w:tabs>
                <w:tab w:val="left" w:pos="3094"/>
              </w:tabs>
              <w:spacing w:line="240" w:lineRule="atLeast"/>
              <w:jc w:val="both"/>
              <w:rPr>
                <w:rFonts w:ascii="Times New Roman" w:hAnsi="Times New Roman" w:cs="Times New Roman"/>
                <w:sz w:val="20"/>
                <w:szCs w:val="20"/>
                <w:lang w:val="ru-RU"/>
              </w:rPr>
            </w:pPr>
          </w:p>
        </w:tc>
        <w:tc>
          <w:tcPr>
            <w:tcW w:w="2724" w:type="dxa"/>
            <w:gridSpan w:val="2"/>
            <w:tcBorders>
              <w:top w:val="single" w:sz="4" w:space="0" w:color="auto"/>
              <w:left w:val="single" w:sz="4" w:space="0" w:color="auto"/>
              <w:bottom w:val="single" w:sz="4" w:space="0" w:color="auto"/>
              <w:right w:val="single" w:sz="4" w:space="0" w:color="auto"/>
            </w:tcBorders>
          </w:tcPr>
          <w:p w14:paraId="261212AE" w14:textId="77777777" w:rsidR="00271FA2" w:rsidRPr="00A013E1" w:rsidRDefault="00271FA2">
            <w:pPr>
              <w:tabs>
                <w:tab w:val="left" w:pos="3094"/>
              </w:tabs>
              <w:spacing w:line="240" w:lineRule="atLeast"/>
              <w:jc w:val="both"/>
              <w:rPr>
                <w:rFonts w:ascii="Times New Roman" w:hAnsi="Times New Roman" w:cs="Times New Roman"/>
                <w:sz w:val="20"/>
                <w:szCs w:val="20"/>
                <w:lang w:val="ru-RU"/>
              </w:rPr>
            </w:pPr>
          </w:p>
        </w:tc>
        <w:tc>
          <w:tcPr>
            <w:tcW w:w="5822" w:type="dxa"/>
            <w:gridSpan w:val="4"/>
            <w:tcBorders>
              <w:top w:val="single" w:sz="4" w:space="0" w:color="auto"/>
              <w:left w:val="single" w:sz="4" w:space="0" w:color="auto"/>
              <w:bottom w:val="single" w:sz="4" w:space="0" w:color="auto"/>
              <w:right w:val="single" w:sz="4" w:space="0" w:color="auto"/>
            </w:tcBorders>
          </w:tcPr>
          <w:p w14:paraId="1E6354A9" w14:textId="77777777" w:rsidR="00271FA2" w:rsidRPr="00A013E1" w:rsidRDefault="00D35E51">
            <w:pPr>
              <w:tabs>
                <w:tab w:val="left" w:pos="3094"/>
              </w:tabs>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Режими на работа</w:t>
            </w:r>
          </w:p>
        </w:tc>
        <w:tc>
          <w:tcPr>
            <w:tcW w:w="1011" w:type="dxa"/>
            <w:vMerge w:val="restart"/>
            <w:tcBorders>
              <w:top w:val="single" w:sz="4" w:space="0" w:color="auto"/>
              <w:left w:val="single" w:sz="4" w:space="0" w:color="auto"/>
              <w:bottom w:val="single" w:sz="4" w:space="0" w:color="auto"/>
              <w:right w:val="single" w:sz="4" w:space="0" w:color="auto"/>
            </w:tcBorders>
          </w:tcPr>
          <w:p w14:paraId="63B39AC1" w14:textId="77777777" w:rsidR="00271FA2" w:rsidRPr="00A013E1" w:rsidRDefault="00271FA2">
            <w:pPr>
              <w:tabs>
                <w:tab w:val="left" w:pos="3094"/>
              </w:tabs>
              <w:spacing w:line="240" w:lineRule="atLeast"/>
              <w:jc w:val="center"/>
              <w:rPr>
                <w:rFonts w:ascii="Times New Roman" w:hAnsi="Times New Roman" w:cs="Times New Roman"/>
                <w:sz w:val="20"/>
                <w:szCs w:val="20"/>
              </w:rPr>
            </w:pPr>
          </w:p>
        </w:tc>
      </w:tr>
      <w:tr w:rsidR="00271FA2" w:rsidRPr="00A013E1" w14:paraId="639DAA16" w14:textId="77777777" w:rsidTr="0099107E">
        <w:tc>
          <w:tcPr>
            <w:tcW w:w="361" w:type="dxa"/>
            <w:vMerge/>
            <w:tcBorders>
              <w:top w:val="single" w:sz="4" w:space="0" w:color="auto"/>
              <w:left w:val="single" w:sz="4" w:space="0" w:color="auto"/>
              <w:bottom w:val="single" w:sz="4" w:space="0" w:color="auto"/>
              <w:right w:val="single" w:sz="4" w:space="0" w:color="auto"/>
            </w:tcBorders>
            <w:vAlign w:val="center"/>
          </w:tcPr>
          <w:p w14:paraId="7503E9C8" w14:textId="77777777" w:rsidR="00271FA2" w:rsidRPr="00A013E1" w:rsidRDefault="00271FA2">
            <w:pPr>
              <w:spacing w:line="240" w:lineRule="atLeast"/>
              <w:rPr>
                <w:rFonts w:ascii="Times New Roman" w:hAnsi="Times New Roman" w:cs="Times New Roman"/>
                <w:sz w:val="20"/>
                <w:szCs w:val="20"/>
              </w:rPr>
            </w:pPr>
          </w:p>
        </w:tc>
        <w:tc>
          <w:tcPr>
            <w:tcW w:w="2724" w:type="dxa"/>
            <w:gridSpan w:val="2"/>
            <w:vMerge w:val="restart"/>
            <w:tcBorders>
              <w:top w:val="single" w:sz="4" w:space="0" w:color="auto"/>
              <w:left w:val="single" w:sz="4" w:space="0" w:color="auto"/>
              <w:bottom w:val="single" w:sz="4" w:space="0" w:color="auto"/>
              <w:right w:val="single" w:sz="4" w:space="0" w:color="auto"/>
            </w:tcBorders>
          </w:tcPr>
          <w:p w14:paraId="322C9505" w14:textId="77777777" w:rsidR="00271FA2" w:rsidRPr="00A013E1" w:rsidRDefault="00271FA2">
            <w:pPr>
              <w:tabs>
                <w:tab w:val="left" w:pos="3094"/>
              </w:tabs>
              <w:spacing w:line="240" w:lineRule="atLeast"/>
              <w:jc w:val="both"/>
              <w:rPr>
                <w:rFonts w:ascii="Times New Roman" w:hAnsi="Times New Roman" w:cs="Times New Roman"/>
                <w:sz w:val="20"/>
                <w:szCs w:val="20"/>
              </w:rPr>
            </w:pPr>
          </w:p>
        </w:tc>
        <w:tc>
          <w:tcPr>
            <w:tcW w:w="1876" w:type="dxa"/>
            <w:tcBorders>
              <w:top w:val="single" w:sz="4" w:space="0" w:color="auto"/>
              <w:left w:val="single" w:sz="4" w:space="0" w:color="auto"/>
              <w:bottom w:val="single" w:sz="4" w:space="0" w:color="auto"/>
              <w:right w:val="single" w:sz="4" w:space="0" w:color="auto"/>
            </w:tcBorders>
          </w:tcPr>
          <w:p w14:paraId="735DA1ED" w14:textId="77777777" w:rsidR="00271FA2" w:rsidRPr="00A013E1" w:rsidRDefault="00271FA2">
            <w:pPr>
              <w:tabs>
                <w:tab w:val="left" w:pos="3094"/>
              </w:tabs>
              <w:spacing w:line="240" w:lineRule="atLeast"/>
              <w:jc w:val="both"/>
              <w:rPr>
                <w:rFonts w:ascii="Times New Roman" w:hAnsi="Times New Roman" w:cs="Times New Roman"/>
                <w:sz w:val="20"/>
                <w:szCs w:val="20"/>
              </w:rPr>
            </w:pPr>
          </w:p>
        </w:tc>
        <w:tc>
          <w:tcPr>
            <w:tcW w:w="2027" w:type="dxa"/>
            <w:gridSpan w:val="2"/>
            <w:tcBorders>
              <w:top w:val="single" w:sz="4" w:space="0" w:color="auto"/>
              <w:left w:val="single" w:sz="4" w:space="0" w:color="auto"/>
              <w:bottom w:val="single" w:sz="4" w:space="0" w:color="auto"/>
              <w:right w:val="single" w:sz="4" w:space="0" w:color="auto"/>
            </w:tcBorders>
          </w:tcPr>
          <w:p w14:paraId="6A19FB61" w14:textId="77777777" w:rsidR="00271FA2" w:rsidRPr="00A013E1" w:rsidRDefault="00271FA2">
            <w:pPr>
              <w:tabs>
                <w:tab w:val="left" w:pos="3094"/>
              </w:tabs>
              <w:spacing w:line="240" w:lineRule="atLeast"/>
              <w:jc w:val="both"/>
              <w:rPr>
                <w:rFonts w:ascii="Times New Roman" w:hAnsi="Times New Roman" w:cs="Times New Roman"/>
                <w:sz w:val="20"/>
                <w:szCs w:val="20"/>
              </w:rPr>
            </w:pPr>
          </w:p>
        </w:tc>
        <w:tc>
          <w:tcPr>
            <w:tcW w:w="1919" w:type="dxa"/>
            <w:tcBorders>
              <w:top w:val="single" w:sz="4" w:space="0" w:color="auto"/>
              <w:left w:val="single" w:sz="4" w:space="0" w:color="auto"/>
              <w:bottom w:val="single" w:sz="4" w:space="0" w:color="auto"/>
              <w:right w:val="single" w:sz="4" w:space="0" w:color="auto"/>
            </w:tcBorders>
          </w:tcPr>
          <w:p w14:paraId="01CDA2DE" w14:textId="77777777" w:rsidR="00271FA2" w:rsidRPr="00A013E1" w:rsidRDefault="00271FA2">
            <w:pPr>
              <w:tabs>
                <w:tab w:val="left" w:pos="3094"/>
              </w:tabs>
              <w:spacing w:line="240" w:lineRule="atLeast"/>
              <w:jc w:val="both"/>
              <w:rPr>
                <w:rFonts w:ascii="Times New Roman" w:hAnsi="Times New Roman" w:cs="Times New Roman"/>
                <w:sz w:val="20"/>
                <w:szCs w:val="20"/>
              </w:rPr>
            </w:pPr>
          </w:p>
        </w:tc>
        <w:tc>
          <w:tcPr>
            <w:tcW w:w="1011" w:type="dxa"/>
            <w:vMerge/>
            <w:tcBorders>
              <w:top w:val="single" w:sz="4" w:space="0" w:color="auto"/>
              <w:left w:val="single" w:sz="4" w:space="0" w:color="auto"/>
              <w:bottom w:val="single" w:sz="4" w:space="0" w:color="auto"/>
              <w:right w:val="single" w:sz="4" w:space="0" w:color="auto"/>
            </w:tcBorders>
            <w:vAlign w:val="center"/>
          </w:tcPr>
          <w:p w14:paraId="48EDBDF8" w14:textId="77777777" w:rsidR="00271FA2" w:rsidRPr="00A013E1" w:rsidRDefault="00271FA2">
            <w:pPr>
              <w:spacing w:line="240" w:lineRule="atLeast"/>
              <w:rPr>
                <w:rFonts w:ascii="Times New Roman" w:hAnsi="Times New Roman" w:cs="Times New Roman"/>
                <w:sz w:val="20"/>
                <w:szCs w:val="20"/>
              </w:rPr>
            </w:pPr>
          </w:p>
        </w:tc>
      </w:tr>
      <w:tr w:rsidR="00271FA2" w:rsidRPr="00A013E1" w14:paraId="624BE25A" w14:textId="77777777" w:rsidTr="0099107E">
        <w:tc>
          <w:tcPr>
            <w:tcW w:w="361" w:type="dxa"/>
            <w:vMerge/>
            <w:tcBorders>
              <w:top w:val="single" w:sz="4" w:space="0" w:color="auto"/>
              <w:left w:val="single" w:sz="4" w:space="0" w:color="auto"/>
              <w:bottom w:val="single" w:sz="4" w:space="0" w:color="auto"/>
              <w:right w:val="single" w:sz="4" w:space="0" w:color="auto"/>
            </w:tcBorders>
            <w:vAlign w:val="center"/>
          </w:tcPr>
          <w:p w14:paraId="3292FA6A" w14:textId="77777777" w:rsidR="00271FA2" w:rsidRPr="00A013E1" w:rsidRDefault="00271FA2">
            <w:pPr>
              <w:spacing w:line="240" w:lineRule="atLeast"/>
              <w:rPr>
                <w:rFonts w:ascii="Times New Roman" w:hAnsi="Times New Roman" w:cs="Times New Roman"/>
                <w:sz w:val="20"/>
                <w:szCs w:val="20"/>
              </w:rPr>
            </w:pPr>
          </w:p>
        </w:tc>
        <w:tc>
          <w:tcPr>
            <w:tcW w:w="2724" w:type="dxa"/>
            <w:gridSpan w:val="2"/>
            <w:vMerge/>
            <w:tcBorders>
              <w:top w:val="single" w:sz="4" w:space="0" w:color="auto"/>
              <w:left w:val="single" w:sz="4" w:space="0" w:color="auto"/>
              <w:bottom w:val="single" w:sz="4" w:space="0" w:color="auto"/>
              <w:right w:val="single" w:sz="4" w:space="0" w:color="auto"/>
            </w:tcBorders>
            <w:vAlign w:val="center"/>
          </w:tcPr>
          <w:p w14:paraId="4B9D87FA" w14:textId="77777777" w:rsidR="00271FA2" w:rsidRPr="00A013E1" w:rsidRDefault="00271FA2">
            <w:pPr>
              <w:spacing w:line="240" w:lineRule="atLeast"/>
              <w:rPr>
                <w:rFonts w:ascii="Times New Roman" w:hAnsi="Times New Roman" w:cs="Times New Roman"/>
                <w:sz w:val="20"/>
                <w:szCs w:val="20"/>
              </w:rPr>
            </w:pPr>
          </w:p>
        </w:tc>
        <w:tc>
          <w:tcPr>
            <w:tcW w:w="1876" w:type="dxa"/>
            <w:tcBorders>
              <w:top w:val="single" w:sz="4" w:space="0" w:color="auto"/>
              <w:left w:val="single" w:sz="4" w:space="0" w:color="auto"/>
              <w:bottom w:val="single" w:sz="4" w:space="0" w:color="auto"/>
              <w:right w:val="single" w:sz="4" w:space="0" w:color="auto"/>
            </w:tcBorders>
          </w:tcPr>
          <w:p w14:paraId="757668FE"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tc>
        <w:tc>
          <w:tcPr>
            <w:tcW w:w="2027" w:type="dxa"/>
            <w:gridSpan w:val="2"/>
            <w:tcBorders>
              <w:top w:val="single" w:sz="4" w:space="0" w:color="auto"/>
              <w:left w:val="single" w:sz="4" w:space="0" w:color="auto"/>
              <w:bottom w:val="single" w:sz="4" w:space="0" w:color="auto"/>
              <w:right w:val="single" w:sz="4" w:space="0" w:color="auto"/>
            </w:tcBorders>
          </w:tcPr>
          <w:p w14:paraId="5AA6DD0C"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tc>
        <w:tc>
          <w:tcPr>
            <w:tcW w:w="1919" w:type="dxa"/>
            <w:tcBorders>
              <w:top w:val="single" w:sz="4" w:space="0" w:color="auto"/>
              <w:left w:val="single" w:sz="4" w:space="0" w:color="auto"/>
              <w:bottom w:val="single" w:sz="4" w:space="0" w:color="auto"/>
              <w:right w:val="single" w:sz="4" w:space="0" w:color="auto"/>
            </w:tcBorders>
          </w:tcPr>
          <w:p w14:paraId="4E7AEA1A"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tc>
        <w:tc>
          <w:tcPr>
            <w:tcW w:w="1011" w:type="dxa"/>
            <w:vMerge/>
            <w:tcBorders>
              <w:top w:val="single" w:sz="4" w:space="0" w:color="auto"/>
              <w:left w:val="single" w:sz="4" w:space="0" w:color="auto"/>
              <w:bottom w:val="single" w:sz="4" w:space="0" w:color="auto"/>
              <w:right w:val="single" w:sz="4" w:space="0" w:color="auto"/>
            </w:tcBorders>
            <w:vAlign w:val="center"/>
          </w:tcPr>
          <w:p w14:paraId="5C73D1FE" w14:textId="77777777" w:rsidR="00271FA2" w:rsidRPr="00A013E1" w:rsidRDefault="00271FA2">
            <w:pPr>
              <w:spacing w:line="240" w:lineRule="atLeast"/>
              <w:rPr>
                <w:rFonts w:ascii="Times New Roman" w:hAnsi="Times New Roman" w:cs="Times New Roman"/>
                <w:sz w:val="20"/>
                <w:szCs w:val="20"/>
              </w:rPr>
            </w:pPr>
          </w:p>
        </w:tc>
      </w:tr>
      <w:tr w:rsidR="00271FA2" w:rsidRPr="00A013E1" w14:paraId="003A1841" w14:textId="77777777" w:rsidTr="0099107E">
        <w:tc>
          <w:tcPr>
            <w:tcW w:w="361" w:type="dxa"/>
            <w:vMerge/>
            <w:tcBorders>
              <w:top w:val="single" w:sz="4" w:space="0" w:color="auto"/>
              <w:left w:val="single" w:sz="4" w:space="0" w:color="auto"/>
              <w:bottom w:val="single" w:sz="4" w:space="0" w:color="auto"/>
              <w:right w:val="single" w:sz="4" w:space="0" w:color="auto"/>
            </w:tcBorders>
            <w:vAlign w:val="center"/>
          </w:tcPr>
          <w:p w14:paraId="143771D0" w14:textId="77777777" w:rsidR="00271FA2" w:rsidRPr="00A013E1" w:rsidRDefault="00271FA2">
            <w:pPr>
              <w:spacing w:line="240" w:lineRule="atLeast"/>
              <w:rPr>
                <w:rFonts w:ascii="Times New Roman" w:hAnsi="Times New Roman" w:cs="Times New Roman"/>
                <w:sz w:val="20"/>
                <w:szCs w:val="20"/>
              </w:rPr>
            </w:pPr>
          </w:p>
        </w:tc>
        <w:tc>
          <w:tcPr>
            <w:tcW w:w="2724" w:type="dxa"/>
            <w:gridSpan w:val="2"/>
            <w:vMerge/>
            <w:tcBorders>
              <w:top w:val="single" w:sz="4" w:space="0" w:color="auto"/>
              <w:left w:val="single" w:sz="4" w:space="0" w:color="auto"/>
              <w:bottom w:val="single" w:sz="4" w:space="0" w:color="auto"/>
              <w:right w:val="single" w:sz="4" w:space="0" w:color="auto"/>
            </w:tcBorders>
            <w:vAlign w:val="center"/>
          </w:tcPr>
          <w:p w14:paraId="2E15E73F" w14:textId="77777777" w:rsidR="00271FA2" w:rsidRPr="00A013E1" w:rsidRDefault="00271FA2">
            <w:pPr>
              <w:spacing w:line="240" w:lineRule="atLeast"/>
              <w:rPr>
                <w:rFonts w:ascii="Times New Roman" w:hAnsi="Times New Roman" w:cs="Times New Roman"/>
                <w:sz w:val="20"/>
                <w:szCs w:val="20"/>
              </w:rPr>
            </w:pPr>
          </w:p>
        </w:tc>
        <w:tc>
          <w:tcPr>
            <w:tcW w:w="1876" w:type="dxa"/>
            <w:tcBorders>
              <w:top w:val="single" w:sz="4" w:space="0" w:color="auto"/>
              <w:left w:val="single" w:sz="4" w:space="0" w:color="auto"/>
              <w:bottom w:val="single" w:sz="4" w:space="0" w:color="auto"/>
              <w:right w:val="single" w:sz="4" w:space="0" w:color="auto"/>
            </w:tcBorders>
          </w:tcPr>
          <w:p w14:paraId="19551596"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tc>
        <w:tc>
          <w:tcPr>
            <w:tcW w:w="2027" w:type="dxa"/>
            <w:gridSpan w:val="2"/>
            <w:tcBorders>
              <w:top w:val="single" w:sz="4" w:space="0" w:color="auto"/>
              <w:left w:val="single" w:sz="4" w:space="0" w:color="auto"/>
              <w:bottom w:val="single" w:sz="4" w:space="0" w:color="auto"/>
              <w:right w:val="single" w:sz="4" w:space="0" w:color="auto"/>
            </w:tcBorders>
          </w:tcPr>
          <w:p w14:paraId="7029C9B8"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tc>
        <w:tc>
          <w:tcPr>
            <w:tcW w:w="1919" w:type="dxa"/>
            <w:tcBorders>
              <w:top w:val="single" w:sz="4" w:space="0" w:color="auto"/>
              <w:left w:val="single" w:sz="4" w:space="0" w:color="auto"/>
              <w:bottom w:val="single" w:sz="4" w:space="0" w:color="auto"/>
              <w:right w:val="single" w:sz="4" w:space="0" w:color="auto"/>
            </w:tcBorders>
          </w:tcPr>
          <w:p w14:paraId="0E2C9AD2"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tc>
        <w:tc>
          <w:tcPr>
            <w:tcW w:w="1011" w:type="dxa"/>
            <w:vMerge/>
            <w:tcBorders>
              <w:top w:val="single" w:sz="4" w:space="0" w:color="auto"/>
              <w:left w:val="single" w:sz="4" w:space="0" w:color="auto"/>
              <w:bottom w:val="single" w:sz="4" w:space="0" w:color="auto"/>
              <w:right w:val="single" w:sz="4" w:space="0" w:color="auto"/>
            </w:tcBorders>
            <w:vAlign w:val="center"/>
          </w:tcPr>
          <w:p w14:paraId="603C313F" w14:textId="77777777" w:rsidR="00271FA2" w:rsidRPr="00A013E1" w:rsidRDefault="00271FA2">
            <w:pPr>
              <w:spacing w:line="240" w:lineRule="atLeast"/>
              <w:rPr>
                <w:rFonts w:ascii="Times New Roman" w:hAnsi="Times New Roman" w:cs="Times New Roman"/>
                <w:sz w:val="20"/>
                <w:szCs w:val="20"/>
              </w:rPr>
            </w:pPr>
          </w:p>
        </w:tc>
      </w:tr>
      <w:tr w:rsidR="00271FA2" w:rsidRPr="00A013E1" w14:paraId="241B4E4E" w14:textId="77777777" w:rsidTr="0099107E">
        <w:trPr>
          <w:trHeight w:val="803"/>
        </w:trPr>
        <w:tc>
          <w:tcPr>
            <w:tcW w:w="9918" w:type="dxa"/>
            <w:gridSpan w:val="8"/>
            <w:tcBorders>
              <w:top w:val="single" w:sz="4" w:space="0" w:color="auto"/>
              <w:left w:val="single" w:sz="4" w:space="0" w:color="auto"/>
              <w:bottom w:val="single" w:sz="4" w:space="0" w:color="auto"/>
              <w:right w:val="single" w:sz="4" w:space="0" w:color="auto"/>
            </w:tcBorders>
          </w:tcPr>
          <w:p w14:paraId="4FC12B56"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 xml:space="preserve">Забележки и специфични условия: </w:t>
            </w:r>
          </w:p>
          <w:p w14:paraId="173D420B" w14:textId="6CEFAF1A"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tc>
      </w:tr>
      <w:tr w:rsidR="00271FA2" w:rsidRPr="00A013E1" w14:paraId="7915C6F8" w14:textId="77777777" w:rsidTr="0099107E">
        <w:tc>
          <w:tcPr>
            <w:tcW w:w="9918" w:type="dxa"/>
            <w:gridSpan w:val="8"/>
            <w:tcBorders>
              <w:top w:val="single" w:sz="4" w:space="0" w:color="auto"/>
              <w:left w:val="single" w:sz="4" w:space="0" w:color="auto"/>
              <w:bottom w:val="single" w:sz="4" w:space="0" w:color="auto"/>
              <w:right w:val="single" w:sz="4" w:space="0" w:color="auto"/>
            </w:tcBorders>
          </w:tcPr>
          <w:p w14:paraId="4697C38D" w14:textId="4874CBBA"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6.3 Минимален екипаж [в съответствие с чл. </w:t>
            </w:r>
            <w:r w:rsidR="00B632BC" w:rsidRPr="00A013E1">
              <w:rPr>
                <w:rFonts w:ascii="Times New Roman" w:hAnsi="Times New Roman" w:cs="Times New Roman"/>
                <w:sz w:val="20"/>
                <w:szCs w:val="20"/>
                <w:lang w:val="ru-RU"/>
              </w:rPr>
              <w:t xml:space="preserve"> </w:t>
            </w:r>
            <w:r w:rsidR="00E76CEB" w:rsidRPr="00A013E1">
              <w:rPr>
                <w:rFonts w:ascii="Times New Roman" w:hAnsi="Times New Roman" w:cs="Times New Roman"/>
                <w:sz w:val="20"/>
                <w:szCs w:val="20"/>
                <w:lang w:val="ru-RU"/>
              </w:rPr>
              <w:t>19.06</w:t>
            </w:r>
            <w:r w:rsidRPr="00A013E1">
              <w:rPr>
                <w:rFonts w:ascii="Times New Roman" w:hAnsi="Times New Roman" w:cs="Times New Roman"/>
                <w:sz w:val="20"/>
                <w:szCs w:val="20"/>
                <w:lang w:val="ru-RU"/>
              </w:rPr>
              <w:t xml:space="preserve"> от Правилата за персонала плаващ на Рейн/В съответствие с националните или международните изисквания]: ………………………………………………</w:t>
            </w:r>
          </w:p>
          <w:p w14:paraId="4735E16C"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tc>
      </w:tr>
      <w:tr w:rsidR="00271FA2" w:rsidRPr="00A013E1" w14:paraId="039B7426" w14:textId="77777777" w:rsidTr="0099107E">
        <w:tc>
          <w:tcPr>
            <w:tcW w:w="9918" w:type="dxa"/>
            <w:gridSpan w:val="8"/>
            <w:tcBorders>
              <w:top w:val="single" w:sz="4" w:space="0" w:color="auto"/>
              <w:left w:val="single" w:sz="4" w:space="0" w:color="auto"/>
              <w:bottom w:val="single" w:sz="4" w:space="0" w:color="auto"/>
              <w:right w:val="single" w:sz="4" w:space="0" w:color="auto"/>
            </w:tcBorders>
          </w:tcPr>
          <w:p w14:paraId="537F1705"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7. Инсталация(-и) за втечнен газ </w:t>
            </w:r>
          </w:p>
          <w:p w14:paraId="4DA30FA1"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    Разрешителното е валидно до ………………………………</w:t>
            </w:r>
          </w:p>
        </w:tc>
      </w:tr>
      <w:tr w:rsidR="00271FA2" w:rsidRPr="00A013E1" w14:paraId="53480BE0" w14:textId="77777777" w:rsidTr="0099107E">
        <w:tc>
          <w:tcPr>
            <w:tcW w:w="9918" w:type="dxa"/>
            <w:gridSpan w:val="8"/>
            <w:tcBorders>
              <w:top w:val="single" w:sz="4" w:space="0" w:color="auto"/>
              <w:left w:val="single" w:sz="4" w:space="0" w:color="auto"/>
              <w:bottom w:val="single" w:sz="4" w:space="0" w:color="auto"/>
              <w:right w:val="single" w:sz="4" w:space="0" w:color="auto"/>
            </w:tcBorders>
          </w:tcPr>
          <w:p w14:paraId="7DC3956A"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8. Специфични условия</w:t>
            </w:r>
          </w:p>
        </w:tc>
      </w:tr>
      <w:tr w:rsidR="00271FA2" w:rsidRPr="00A013E1" w14:paraId="2AE1EADB" w14:textId="77777777" w:rsidTr="0099107E">
        <w:tc>
          <w:tcPr>
            <w:tcW w:w="9918" w:type="dxa"/>
            <w:gridSpan w:val="8"/>
            <w:tcBorders>
              <w:top w:val="single" w:sz="4" w:space="0" w:color="auto"/>
              <w:left w:val="single" w:sz="4" w:space="0" w:color="auto"/>
              <w:bottom w:val="single" w:sz="4" w:space="0" w:color="auto"/>
              <w:right w:val="single" w:sz="4" w:space="0" w:color="auto"/>
            </w:tcBorders>
          </w:tcPr>
          <w:p w14:paraId="0DFC80B2"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[9. Превоз на опасни товари, виж Временното свидетелство за допуск*) ]</w:t>
            </w:r>
          </w:p>
        </w:tc>
      </w:tr>
    </w:tbl>
    <w:p w14:paraId="68FF894C" w14:textId="0742A51E" w:rsidR="00271FA2" w:rsidRPr="00A013E1" w:rsidRDefault="00D35E51" w:rsidP="00155A9D">
      <w:pPr>
        <w:pBdr>
          <w:bottom w:val="single" w:sz="4" w:space="1" w:color="auto"/>
        </w:pBdr>
        <w:spacing w:line="240" w:lineRule="atLeast"/>
        <w:rPr>
          <w:rFonts w:ascii="Times New Roman" w:hAnsi="Times New Roman" w:cs="Times New Roman"/>
          <w:bCs/>
          <w:lang w:val="ru-RU"/>
        </w:rPr>
      </w:pPr>
      <w:r w:rsidRPr="00A013E1">
        <w:rPr>
          <w:rFonts w:ascii="Times New Roman" w:hAnsi="Times New Roman" w:cs="Times New Roman"/>
          <w:bCs/>
          <w:lang w:val="ru-RU"/>
        </w:rPr>
        <w:tab/>
      </w:r>
      <w:r w:rsidRPr="00A013E1">
        <w:rPr>
          <w:rFonts w:ascii="Times New Roman" w:hAnsi="Times New Roman" w:cs="Times New Roman"/>
          <w:bCs/>
          <w:lang w:val="ru-RU"/>
        </w:rPr>
        <w:tab/>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271FA2" w:rsidRPr="00A013E1" w14:paraId="3D08027B" w14:textId="77777777" w:rsidTr="00DD13BE">
        <w:tc>
          <w:tcPr>
            <w:tcW w:w="9918" w:type="dxa"/>
            <w:tcBorders>
              <w:top w:val="single" w:sz="4" w:space="0" w:color="auto"/>
              <w:left w:val="single" w:sz="4" w:space="0" w:color="auto"/>
              <w:bottom w:val="single" w:sz="4" w:space="0" w:color="auto"/>
              <w:right w:val="single" w:sz="4" w:space="0" w:color="auto"/>
            </w:tcBorders>
          </w:tcPr>
          <w:p w14:paraId="2E4315DB"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lastRenderedPageBreak/>
              <w:t>10. Валидност</w:t>
            </w:r>
          </w:p>
          <w:p w14:paraId="5EAA45F4"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Временното свидетелство за вътрешно корабоплаване е валидно до ……………………</w:t>
            </w:r>
          </w:p>
          <w:p w14:paraId="454A81D9"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за плаване*)/за еднократен рейс*)</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(Дата)</w:t>
            </w:r>
          </w:p>
          <w:p w14:paraId="5664445D" w14:textId="77777777" w:rsidR="00271FA2" w:rsidRPr="00A013E1" w:rsidRDefault="00D35E51">
            <w:pPr>
              <w:pStyle w:val="ListParagraph"/>
              <w:tabs>
                <w:tab w:val="left" w:pos="0"/>
              </w:tabs>
              <w:spacing w:line="240" w:lineRule="atLeast"/>
              <w:ind w:left="0"/>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по Рейн*)</w:t>
            </w:r>
          </w:p>
          <w:p w14:paraId="5F9F7827"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между  ………………………………………………………            ………………………………*)</w:t>
            </w:r>
          </w:p>
          <w:p w14:paraId="03D15E3E" w14:textId="77777777" w:rsidR="00271FA2" w:rsidRPr="00A013E1" w:rsidRDefault="00D35E51">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по вътрешните водни пътища на Европа в Зона(и)*) ……………………………………………</w:t>
            </w:r>
          </w:p>
          <w:p w14:paraId="12191D7C" w14:textId="77777777" w:rsidR="00271FA2" w:rsidRPr="00A013E1" w:rsidRDefault="00D35E51">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688CD0EC" w14:textId="77777777" w:rsidR="00271FA2" w:rsidRPr="00A013E1" w:rsidRDefault="00D35E51">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по вътрешните водни пътища в Зона (и) (*) ………………………………………………...…….</w:t>
            </w:r>
          </w:p>
          <w:p w14:paraId="7D37D462"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61DBADF5"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в [име на държавите*)]</w:t>
            </w:r>
          </w:p>
          <w:p w14:paraId="43AD81AC"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72546C03"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2BC0A8B3"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с изключение на: …..…………………………………………………………………………………</w:t>
            </w:r>
          </w:p>
          <w:p w14:paraId="1914AD60"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494C0741"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w:t>
            </w:r>
          </w:p>
          <w:p w14:paraId="04BF181E" w14:textId="77777777" w:rsidR="00271FA2" w:rsidRPr="00A013E1" w:rsidRDefault="00D35E51">
            <w:pPr>
              <w:pStyle w:val="ListParagraph"/>
              <w:spacing w:line="240" w:lineRule="atLeast"/>
              <w:ind w:left="0"/>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 по следните водни пътища на [име на държавата*)] ………………………………………………</w:t>
            </w:r>
          </w:p>
          <w:p w14:paraId="320CDFA9"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p w14:paraId="32ED290B"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p w14:paraId="4F4C4BE2" w14:textId="77777777" w:rsidR="00271FA2" w:rsidRPr="00A013E1" w:rsidRDefault="00D35E51">
            <w:pPr>
              <w:tabs>
                <w:tab w:val="left" w:pos="3094"/>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rPr>
              <w:t>……………………………………………………………………………………………………………</w:t>
            </w:r>
          </w:p>
        </w:tc>
      </w:tr>
      <w:tr w:rsidR="00271FA2" w:rsidRPr="00A013E1" w14:paraId="081AC123" w14:textId="77777777" w:rsidTr="00DD13BE">
        <w:tc>
          <w:tcPr>
            <w:tcW w:w="9918" w:type="dxa"/>
            <w:tcBorders>
              <w:top w:val="single" w:sz="4" w:space="0" w:color="auto"/>
              <w:left w:val="single" w:sz="4" w:space="0" w:color="auto"/>
              <w:bottom w:val="single" w:sz="4" w:space="0" w:color="auto"/>
              <w:right w:val="single" w:sz="4" w:space="0" w:color="auto"/>
            </w:tcBorders>
          </w:tcPr>
          <w:p w14:paraId="7753F94E" w14:textId="77777777" w:rsidR="00271FA2" w:rsidRPr="00A013E1" w:rsidRDefault="00D35E51">
            <w:pPr>
              <w:tabs>
                <w:tab w:val="left" w:pos="3094"/>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11. Място, дата…………………………………………………</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Контролен орган</w:t>
            </w:r>
          </w:p>
          <w:p w14:paraId="6B901042" w14:textId="77777777" w:rsidR="00271FA2" w:rsidRPr="00A013E1" w:rsidRDefault="00D35E51">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w:t>
            </w:r>
          </w:p>
          <w:p w14:paraId="10CC959D" w14:textId="77777777" w:rsidR="00271FA2" w:rsidRPr="00A013E1" w:rsidRDefault="00D35E51">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Печат</w:t>
            </w:r>
          </w:p>
          <w:p w14:paraId="13944F3A" w14:textId="77777777" w:rsidR="00271FA2" w:rsidRPr="00A013E1" w:rsidRDefault="00D35E51">
            <w:pPr>
              <w:tabs>
                <w:tab w:val="left" w:pos="0"/>
              </w:tabs>
              <w:spacing w:line="240" w:lineRule="atLeast"/>
              <w:jc w:val="both"/>
              <w:rPr>
                <w:rFonts w:ascii="Times New Roman" w:hAnsi="Times New Roman" w:cs="Times New Roman"/>
                <w:sz w:val="20"/>
                <w:szCs w:val="20"/>
                <w:lang w:val="ru-RU"/>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t>……………………………………………………….</w:t>
            </w:r>
          </w:p>
          <w:p w14:paraId="3BB01779" w14:textId="77777777" w:rsidR="00271FA2" w:rsidRPr="00A013E1" w:rsidRDefault="00D35E51">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tab/>
            </w:r>
            <w:r w:rsidRPr="00A013E1">
              <w:rPr>
                <w:rFonts w:ascii="Times New Roman" w:hAnsi="Times New Roman" w:cs="Times New Roman"/>
                <w:sz w:val="20"/>
                <w:szCs w:val="20"/>
              </w:rPr>
              <w:t>(Подпис)</w:t>
            </w:r>
          </w:p>
          <w:p w14:paraId="13A6FBE8" w14:textId="24DFE424" w:rsidR="00271FA2" w:rsidRPr="00A013E1" w:rsidRDefault="00D35E51" w:rsidP="00D905A0">
            <w:pPr>
              <w:tabs>
                <w:tab w:val="left" w:pos="0"/>
              </w:tabs>
              <w:spacing w:line="240" w:lineRule="atLeast"/>
              <w:jc w:val="both"/>
              <w:rPr>
                <w:rFonts w:ascii="Times New Roman" w:hAnsi="Times New Roman" w:cs="Times New Roman"/>
                <w:sz w:val="20"/>
                <w:szCs w:val="20"/>
              </w:rPr>
            </w:pPr>
            <w:r w:rsidRPr="00A013E1">
              <w:rPr>
                <w:rFonts w:ascii="Times New Roman" w:hAnsi="Times New Roman" w:cs="Times New Roman"/>
                <w:noProof/>
                <w:sz w:val="20"/>
                <w:szCs w:val="20"/>
                <w:lang w:eastAsia="bg-BG"/>
              </w:rPr>
              <mc:AlternateContent>
                <mc:Choice Requires="wps">
                  <w:drawing>
                    <wp:anchor distT="0" distB="0" distL="114300" distR="114300" simplePos="0" relativeHeight="251694080" behindDoc="0" locked="0" layoutInCell="1" allowOverlap="1" wp14:anchorId="1C04E61E" wp14:editId="02FCCBFE">
                      <wp:simplePos x="0" y="0"/>
                      <wp:positionH relativeFrom="column">
                        <wp:posOffset>19685</wp:posOffset>
                      </wp:positionH>
                      <wp:positionV relativeFrom="paragraph">
                        <wp:posOffset>132080</wp:posOffset>
                      </wp:positionV>
                      <wp:extent cx="1634490" cy="0"/>
                      <wp:effectExtent l="0" t="0" r="3810" b="0"/>
                      <wp:wrapNone/>
                      <wp:docPr id="492" name="Straight Connector 492"/>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1.55pt;margin-top:10.4pt;height:0pt;width:128.7pt;z-index:251694080;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An+BGP9AEAAPsDAAAOAAAAAAAAAAEAIAAAACMBAABkcnMvZTJvRG9jLnhtbFBLBQYA&#10;AAAABgAGAFkBAACJBQAAAAA=&#10;">
                      <v:fill on="f" focussize="0,0"/>
                      <v:stroke color="#000000" joinstyle="round"/>
                      <v:imagedata o:title=""/>
                      <o:lock v:ext="edit" aspectratio="f"/>
                    </v:line>
                  </w:pict>
                </mc:Fallback>
              </mc:AlternateContent>
            </w:r>
            <w:r w:rsidRPr="00A013E1">
              <w:rPr>
                <w:rFonts w:ascii="Times New Roman" w:hAnsi="Times New Roman" w:cs="Times New Roman"/>
                <w:sz w:val="20"/>
                <w:szCs w:val="20"/>
              </w:rPr>
              <w:t>*) Неприложимото се зачертава</w:t>
            </w:r>
          </w:p>
        </w:tc>
      </w:tr>
    </w:tbl>
    <w:p w14:paraId="057004A1" w14:textId="77777777" w:rsidR="00271FA2" w:rsidRPr="00A013E1" w:rsidRDefault="00271FA2">
      <w:pPr>
        <w:tabs>
          <w:tab w:val="left" w:pos="3094"/>
        </w:tabs>
        <w:spacing w:line="240" w:lineRule="atLeast"/>
        <w:jc w:val="both"/>
        <w:rPr>
          <w:rFonts w:ascii="Times New Roman" w:hAnsi="Times New Roman" w:cs="Times New Roman"/>
          <w:b/>
          <w:bCs/>
        </w:rPr>
      </w:pPr>
    </w:p>
    <w:p w14:paraId="49C56C3C" w14:textId="77777777" w:rsidR="004225FD" w:rsidRPr="00A013E1" w:rsidRDefault="004225FD">
      <w:pPr>
        <w:spacing w:line="240" w:lineRule="atLeast"/>
        <w:rPr>
          <w:rFonts w:ascii="Times New Roman" w:hAnsi="Times New Roman" w:cs="Times New Roman"/>
          <w:b/>
          <w:bCs/>
        </w:rPr>
        <w:sectPr w:rsidR="004225FD" w:rsidRPr="00A013E1" w:rsidSect="00A013E1">
          <w:headerReference w:type="default" r:id="rId111"/>
          <w:pgSz w:w="12240" w:h="15840"/>
          <w:pgMar w:top="1134" w:right="1134" w:bottom="1134" w:left="1134" w:header="709" w:footer="709" w:gutter="0"/>
          <w:cols w:space="708"/>
          <w:docGrid w:linePitch="299"/>
        </w:sectPr>
      </w:pPr>
    </w:p>
    <w:p w14:paraId="16F6CDAD" w14:textId="77777777" w:rsidR="00271FA2" w:rsidRPr="00A013E1" w:rsidRDefault="00D35E51">
      <w:pPr>
        <w:spacing w:line="240" w:lineRule="atLeast"/>
        <w:jc w:val="center"/>
        <w:rPr>
          <w:rFonts w:ascii="Times New Roman" w:hAnsi="Times New Roman" w:cs="Times New Roman"/>
          <w:b/>
          <w:lang w:val="ru-RU"/>
        </w:rPr>
      </w:pPr>
      <w:r w:rsidRPr="00A013E1">
        <w:rPr>
          <w:rFonts w:ascii="Times New Roman" w:hAnsi="Times New Roman" w:cs="Times New Roman"/>
          <w:b/>
          <w:lang w:val="ru-RU"/>
        </w:rPr>
        <w:lastRenderedPageBreak/>
        <w:t xml:space="preserve">Раздел </w:t>
      </w:r>
      <w:r w:rsidRPr="00A013E1">
        <w:rPr>
          <w:rFonts w:ascii="Times New Roman" w:hAnsi="Times New Roman" w:cs="Times New Roman"/>
          <w:b/>
        </w:rPr>
        <w:t>III</w:t>
      </w:r>
    </w:p>
    <w:p w14:paraId="153D27B6" w14:textId="77777777" w:rsidR="00271FA2" w:rsidRPr="00A013E1" w:rsidRDefault="00D35E51">
      <w:pPr>
        <w:tabs>
          <w:tab w:val="left" w:pos="0"/>
        </w:tabs>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Образец на допълнително Корабно удостоверение за вътрешно корабоплаване на Съюза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271FA2" w:rsidRPr="00A013E1" w14:paraId="573C210C" w14:textId="77777777" w:rsidTr="00DD13BE">
        <w:tc>
          <w:tcPr>
            <w:tcW w:w="9918" w:type="dxa"/>
            <w:tcBorders>
              <w:top w:val="single" w:sz="4" w:space="0" w:color="auto"/>
              <w:left w:val="single" w:sz="4" w:space="0" w:color="auto"/>
              <w:bottom w:val="single" w:sz="4" w:space="0" w:color="auto"/>
              <w:right w:val="single" w:sz="4" w:space="0" w:color="auto"/>
            </w:tcBorders>
          </w:tcPr>
          <w:p w14:paraId="66293DFE" w14:textId="3C400116" w:rsidR="00271FA2" w:rsidRPr="00A013E1" w:rsidRDefault="00D35E51" w:rsidP="00106115">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Приложение към Корабно </w:t>
            </w:r>
            <w:r w:rsidR="00106115" w:rsidRPr="00A013E1">
              <w:rPr>
                <w:rFonts w:ascii="Times New Roman" w:hAnsi="Times New Roman" w:cs="Times New Roman"/>
                <w:lang w:val="ru-RU"/>
              </w:rPr>
              <w:t xml:space="preserve">удостоверение </w:t>
            </w:r>
            <w:r w:rsidRPr="00A013E1">
              <w:rPr>
                <w:rFonts w:ascii="Times New Roman" w:hAnsi="Times New Roman" w:cs="Times New Roman"/>
                <w:lang w:val="ru-RU"/>
              </w:rPr>
              <w:t>за вътрешно корабоплаване № …………….</w:t>
            </w:r>
          </w:p>
        </w:tc>
      </w:tr>
      <w:tr w:rsidR="00271FA2" w:rsidRPr="00A013E1" w14:paraId="2D02C235" w14:textId="77777777" w:rsidTr="00DD13BE">
        <w:tc>
          <w:tcPr>
            <w:tcW w:w="9918" w:type="dxa"/>
            <w:tcBorders>
              <w:top w:val="single" w:sz="4" w:space="0" w:color="auto"/>
              <w:left w:val="single" w:sz="4" w:space="0" w:color="auto"/>
              <w:bottom w:val="single" w:sz="4" w:space="0" w:color="auto"/>
              <w:right w:val="single" w:sz="4" w:space="0" w:color="auto"/>
            </w:tcBorders>
          </w:tcPr>
          <w:p w14:paraId="38CCB927" w14:textId="7E7671D2" w:rsidR="00271FA2" w:rsidRPr="00A013E1" w:rsidRDefault="00D35E51">
            <w:pPr>
              <w:tabs>
                <w:tab w:val="left" w:pos="3094"/>
              </w:tabs>
              <w:spacing w:line="240" w:lineRule="atLeast"/>
              <w:jc w:val="center"/>
              <w:rPr>
                <w:rFonts w:ascii="Times New Roman" w:hAnsi="Times New Roman" w:cs="Times New Roman"/>
                <w:b/>
                <w:lang w:val="ru-RU"/>
              </w:rPr>
            </w:pPr>
            <w:r w:rsidRPr="00A013E1">
              <w:rPr>
                <w:rFonts w:ascii="Times New Roman" w:hAnsi="Times New Roman" w:cs="Times New Roman"/>
                <w:b/>
                <w:lang w:val="ru-RU"/>
              </w:rPr>
              <w:t xml:space="preserve">Допълнително Корабно </w:t>
            </w:r>
            <w:r w:rsidR="00563D57" w:rsidRPr="00A013E1">
              <w:rPr>
                <w:rFonts w:ascii="Times New Roman" w:hAnsi="Times New Roman" w:cs="Times New Roman"/>
                <w:b/>
                <w:lang w:val="ru-RU"/>
              </w:rPr>
              <w:t xml:space="preserve">удостоверение </w:t>
            </w:r>
            <w:r w:rsidRPr="00A013E1">
              <w:rPr>
                <w:rFonts w:ascii="Times New Roman" w:hAnsi="Times New Roman" w:cs="Times New Roman"/>
                <w:b/>
                <w:lang w:val="ru-RU"/>
              </w:rPr>
              <w:t>за вътрешно корабоплаване на Съюза</w:t>
            </w:r>
          </w:p>
          <w:p w14:paraId="20E7E74F" w14:textId="77777777" w:rsidR="00271FA2" w:rsidRPr="00A013E1" w:rsidRDefault="00271FA2">
            <w:pPr>
              <w:tabs>
                <w:tab w:val="left" w:pos="3094"/>
              </w:tabs>
              <w:spacing w:line="240" w:lineRule="atLeast"/>
              <w:rPr>
                <w:rFonts w:ascii="Times New Roman" w:hAnsi="Times New Roman" w:cs="Times New Roman"/>
                <w:b/>
                <w:lang w:val="ru-RU"/>
              </w:rPr>
            </w:pPr>
          </w:p>
          <w:p w14:paraId="7BA188E1" w14:textId="77777777" w:rsidR="00271FA2" w:rsidRPr="00A013E1" w:rsidRDefault="00D35E51">
            <w:pPr>
              <w:tabs>
                <w:tab w:val="left" w:pos="3094"/>
              </w:tabs>
              <w:spacing w:line="240" w:lineRule="atLeast"/>
              <w:jc w:val="center"/>
              <w:rPr>
                <w:rFonts w:ascii="Times New Roman" w:hAnsi="Times New Roman" w:cs="Times New Roman"/>
                <w:b/>
                <w:lang w:val="ru-RU"/>
              </w:rPr>
            </w:pPr>
            <w:r w:rsidRPr="00A013E1">
              <w:rPr>
                <w:rFonts w:ascii="Times New Roman" w:hAnsi="Times New Roman" w:cs="Times New Roman"/>
                <w:b/>
                <w:lang w:val="ru-RU"/>
              </w:rPr>
              <w:t>Република България /Герб</w:t>
            </w:r>
          </w:p>
          <w:p w14:paraId="7F0D0F01" w14:textId="77777777" w:rsidR="00271FA2" w:rsidRPr="00A013E1" w:rsidRDefault="00271FA2">
            <w:pPr>
              <w:tabs>
                <w:tab w:val="left" w:pos="3094"/>
              </w:tabs>
              <w:spacing w:line="240" w:lineRule="atLeast"/>
              <w:rPr>
                <w:rFonts w:ascii="Times New Roman" w:hAnsi="Times New Roman" w:cs="Times New Roman"/>
                <w:b/>
                <w:lang w:val="ru-RU"/>
              </w:rPr>
            </w:pPr>
          </w:p>
          <w:p w14:paraId="33058F87" w14:textId="20F97469" w:rsidR="00271FA2" w:rsidRPr="00A013E1" w:rsidRDefault="00D35E51">
            <w:pPr>
              <w:tabs>
                <w:tab w:val="left" w:pos="3094"/>
              </w:tabs>
              <w:spacing w:line="240" w:lineRule="atLeast"/>
              <w:jc w:val="center"/>
              <w:rPr>
                <w:rFonts w:ascii="Times New Roman" w:hAnsi="Times New Roman" w:cs="Times New Roman"/>
                <w:b/>
                <w:lang w:val="ru-RU"/>
              </w:rPr>
            </w:pPr>
            <w:r w:rsidRPr="00A013E1">
              <w:rPr>
                <w:rFonts w:ascii="Times New Roman" w:hAnsi="Times New Roman" w:cs="Times New Roman"/>
                <w:b/>
                <w:lang w:val="ru-RU"/>
              </w:rPr>
              <w:t xml:space="preserve">Наименование и адрес на компетентния орган издал допълнителното </w:t>
            </w:r>
            <w:r w:rsidR="00563D57" w:rsidRPr="00A013E1">
              <w:rPr>
                <w:rFonts w:ascii="Times New Roman" w:hAnsi="Times New Roman" w:cs="Times New Roman"/>
                <w:b/>
                <w:lang w:val="ru-RU"/>
              </w:rPr>
              <w:t xml:space="preserve">удостоверение </w:t>
            </w:r>
          </w:p>
          <w:p w14:paraId="775FF2C0"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1.</w:t>
            </w:r>
            <w:r w:rsidRPr="00A013E1">
              <w:rPr>
                <w:rFonts w:ascii="Times New Roman" w:hAnsi="Times New Roman" w:cs="Times New Roman"/>
                <w:b/>
                <w:lang w:val="ru-RU"/>
              </w:rPr>
              <w:t xml:space="preserve"> </w:t>
            </w:r>
            <w:r w:rsidRPr="00A013E1">
              <w:rPr>
                <w:rFonts w:ascii="Times New Roman" w:hAnsi="Times New Roman" w:cs="Times New Roman"/>
                <w:lang w:val="ru-RU"/>
              </w:rPr>
              <w:t>Име на кораба: ………………………………………………………………………………………</w:t>
            </w:r>
          </w:p>
          <w:p w14:paraId="36F09F3F"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2. Уникален европейски идентификационен номер на кораба: ……………………………………</w:t>
            </w:r>
          </w:p>
          <w:p w14:paraId="4819F227"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3. Място на регистрация и регистрационен номер: …………………………………………………</w:t>
            </w:r>
          </w:p>
          <w:p w14:paraId="266B99D6"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4. Страна на регистрация и/или пристанище на регистрация</w:t>
            </w:r>
            <w:r w:rsidRPr="00A013E1">
              <w:rPr>
                <w:rFonts w:ascii="Times New Roman" w:hAnsi="Times New Roman" w:cs="Times New Roman"/>
                <w:vertAlign w:val="superscript"/>
                <w:lang w:val="ru-RU"/>
              </w:rPr>
              <w:t>1</w:t>
            </w:r>
            <w:r w:rsidRPr="00A013E1">
              <w:rPr>
                <w:rFonts w:ascii="Times New Roman" w:hAnsi="Times New Roman" w:cs="Times New Roman"/>
                <w:lang w:val="ru-RU"/>
              </w:rPr>
              <w:t>)………………………………..…</w:t>
            </w:r>
          </w:p>
          <w:p w14:paraId="08F96E27"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5. Като взе предвид Корабното удостоверение за вътрешно корабоплаване № ………………...</w:t>
            </w:r>
          </w:p>
          <w:p w14:paraId="6403859D"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издадено на …………………………... валидно до ………………………………………………….</w:t>
            </w:r>
          </w:p>
          <w:p w14:paraId="7629C1C2"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6. Като взе предвид резултата от прегледа …………………………………………………………..</w:t>
            </w:r>
          </w:p>
          <w:p w14:paraId="3AFB14A1"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на ……………………………………………………….</w:t>
            </w:r>
          </w:p>
          <w:p w14:paraId="4D5346B8"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7. Гореспоменатият кораб се счита годен за експлоатация по вътрешните водни пътища на Европа в Зона(и) ………………………………………………………………………………….……</w:t>
            </w:r>
          </w:p>
          <w:p w14:paraId="0ECCDFB5"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8. Това допълнително удостоверение е валидно до ………………………………………………...</w:t>
            </w:r>
          </w:p>
          <w:p w14:paraId="64AED494"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9. Издадено в ………………………………………., на ……………………………………………..</w:t>
            </w:r>
          </w:p>
          <w:p w14:paraId="221E29F4"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10. </w:t>
            </w:r>
          </w:p>
          <w:p w14:paraId="7A3C369A"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73079E4A"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06506FE7"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p>
          <w:p w14:paraId="56E19D80"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28641443" w14:textId="77777777" w:rsidR="00271FA2" w:rsidRPr="00A013E1" w:rsidRDefault="00D35E51">
            <w:pPr>
              <w:tabs>
                <w:tab w:val="left" w:pos="0"/>
              </w:tabs>
              <w:spacing w:line="240" w:lineRule="atLeast"/>
              <w:jc w:val="both"/>
              <w:rPr>
                <w:rFonts w:ascii="Times New Roman" w:hAnsi="Times New Roman" w:cs="Times New Roman"/>
                <w:lang w:val="ru-RU" w:eastAsia="bg-BG"/>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(Подпис)</w:t>
            </w:r>
          </w:p>
          <w:p w14:paraId="226A233C"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noProof/>
                <w:lang w:eastAsia="bg-BG"/>
              </w:rPr>
              <mc:AlternateContent>
                <mc:Choice Requires="wps">
                  <w:drawing>
                    <wp:anchor distT="0" distB="0" distL="114300" distR="114300" simplePos="0" relativeHeight="251695104" behindDoc="0" locked="0" layoutInCell="1" allowOverlap="1" wp14:anchorId="372A8081" wp14:editId="7490954D">
                      <wp:simplePos x="0" y="0"/>
                      <wp:positionH relativeFrom="column">
                        <wp:posOffset>19685</wp:posOffset>
                      </wp:positionH>
                      <wp:positionV relativeFrom="paragraph">
                        <wp:posOffset>132080</wp:posOffset>
                      </wp:positionV>
                      <wp:extent cx="1634490" cy="0"/>
                      <wp:effectExtent l="0" t="0" r="3810" b="0"/>
                      <wp:wrapNone/>
                      <wp:docPr id="132" name="Straight Connector 132"/>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1.55pt;margin-top:10.4pt;height:0pt;width:128.7pt;z-index:251695104;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ABswHUAAAABwEAAA8AAAAAAAAAAQAgAAAAIgAAAGRycy9kb3ducmV2LnhtbFBLAQIUABQA&#10;AAAIAIdO4kD+jBPV9AEAAPsDAAAOAAAAAAAAAAEAIAAAACMBAABkcnMvZTJvRG9jLnhtbFBLBQYA&#10;AAAABgAGAFkBAACJBQAAAAA=&#10;">
                      <v:fill on="f" focussize="0,0"/>
                      <v:stroke color="#000000" joinstyle="round"/>
                      <v:imagedata o:title=""/>
                      <o:lock v:ext="edit" aspectratio="f"/>
                    </v:line>
                  </w:pict>
                </mc:Fallback>
              </mc:AlternateContent>
            </w:r>
            <w:r w:rsidRPr="00A013E1">
              <w:rPr>
                <w:rFonts w:ascii="Times New Roman" w:hAnsi="Times New Roman" w:cs="Times New Roman"/>
                <w:lang w:val="ru-RU"/>
              </w:rPr>
              <w:tab/>
            </w:r>
          </w:p>
          <w:p w14:paraId="5CD686EB"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vertAlign w:val="superscript"/>
                <w:lang w:val="ru-RU"/>
              </w:rPr>
              <w:t>1</w:t>
            </w:r>
            <w:r w:rsidRPr="00A013E1">
              <w:rPr>
                <w:rFonts w:ascii="Times New Roman" w:hAnsi="Times New Roman" w:cs="Times New Roman"/>
                <w:lang w:val="ru-RU"/>
              </w:rPr>
              <w:t>) Неприложимото се зачертава</w:t>
            </w:r>
          </w:p>
        </w:tc>
      </w:tr>
    </w:tbl>
    <w:p w14:paraId="0BB2A853" w14:textId="77777777" w:rsidR="00DD13BE" w:rsidRPr="00A013E1" w:rsidRDefault="00DD13BE">
      <w:pPr>
        <w:rPr>
          <w:rFonts w:ascii="Times New Roman" w:hAnsi="Times New Roman" w:cs="Times New Roman"/>
          <w:bCs/>
          <w:lang w:val="ru-RU"/>
        </w:rPr>
      </w:pPr>
      <w:r w:rsidRPr="00A013E1">
        <w:rPr>
          <w:rFonts w:ascii="Times New Roman" w:hAnsi="Times New Roman" w:cs="Times New Roman"/>
          <w:bCs/>
          <w:lang w:val="ru-RU"/>
        </w:rPr>
        <w:br w:type="page"/>
      </w:r>
    </w:p>
    <w:p w14:paraId="1562CA8C" w14:textId="77777777" w:rsidR="00271FA2" w:rsidRPr="00A013E1" w:rsidRDefault="00271FA2">
      <w:pPr>
        <w:tabs>
          <w:tab w:val="left" w:pos="3094"/>
        </w:tabs>
        <w:spacing w:line="240" w:lineRule="atLeast"/>
        <w:jc w:val="center"/>
        <w:rPr>
          <w:rFonts w:ascii="Times New Roman" w:hAnsi="Times New Roman" w:cs="Times New Roman"/>
          <w:b/>
          <w:bCs/>
          <w:lang w:val="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271FA2" w:rsidRPr="00A013E1" w14:paraId="66BFB1B3" w14:textId="77777777" w:rsidTr="009A49C4">
        <w:tc>
          <w:tcPr>
            <w:tcW w:w="10201" w:type="dxa"/>
            <w:tcBorders>
              <w:top w:val="single" w:sz="4" w:space="0" w:color="auto"/>
              <w:left w:val="single" w:sz="4" w:space="0" w:color="auto"/>
              <w:bottom w:val="single" w:sz="4" w:space="0" w:color="auto"/>
              <w:right w:val="single" w:sz="4" w:space="0" w:color="auto"/>
            </w:tcBorders>
          </w:tcPr>
          <w:p w14:paraId="0A011643"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Приложение към Корабно удостоверение за вътрешно корабоплаване № …………….</w:t>
            </w:r>
          </w:p>
        </w:tc>
      </w:tr>
      <w:tr w:rsidR="00271FA2" w:rsidRPr="00A013E1" w14:paraId="39FB4171" w14:textId="77777777" w:rsidTr="009A49C4">
        <w:tc>
          <w:tcPr>
            <w:tcW w:w="10201" w:type="dxa"/>
            <w:tcBorders>
              <w:top w:val="single" w:sz="4" w:space="0" w:color="auto"/>
              <w:left w:val="single" w:sz="4" w:space="0" w:color="auto"/>
              <w:bottom w:val="single" w:sz="4" w:space="0" w:color="auto"/>
              <w:right w:val="single" w:sz="4" w:space="0" w:color="auto"/>
            </w:tcBorders>
          </w:tcPr>
          <w:p w14:paraId="6311040E" w14:textId="77777777" w:rsidR="00271FA2" w:rsidRPr="00A013E1" w:rsidRDefault="00D35E51">
            <w:pPr>
              <w:tabs>
                <w:tab w:val="left" w:pos="3094"/>
              </w:tabs>
              <w:spacing w:line="240" w:lineRule="atLeast"/>
              <w:jc w:val="both"/>
              <w:rPr>
                <w:rFonts w:ascii="Times New Roman" w:hAnsi="Times New Roman" w:cs="Times New Roman"/>
              </w:rPr>
            </w:pPr>
            <w:r w:rsidRPr="00A013E1">
              <w:rPr>
                <w:rFonts w:ascii="Times New Roman" w:hAnsi="Times New Roman" w:cs="Times New Roman"/>
              </w:rPr>
              <w:t xml:space="preserve">11. </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785"/>
              <w:gridCol w:w="1134"/>
              <w:gridCol w:w="1134"/>
              <w:gridCol w:w="1134"/>
              <w:gridCol w:w="1134"/>
              <w:gridCol w:w="1605"/>
            </w:tblGrid>
            <w:tr w:rsidR="00271FA2" w:rsidRPr="00A013E1" w14:paraId="233C2884" w14:textId="77777777">
              <w:tc>
                <w:tcPr>
                  <w:tcW w:w="3544" w:type="dxa"/>
                  <w:gridSpan w:val="2"/>
                  <w:vMerge w:val="restart"/>
                  <w:tcBorders>
                    <w:top w:val="single" w:sz="4" w:space="0" w:color="auto"/>
                    <w:left w:val="single" w:sz="4" w:space="0" w:color="auto"/>
                    <w:bottom w:val="single" w:sz="4" w:space="0" w:color="auto"/>
                    <w:right w:val="single" w:sz="4" w:space="0" w:color="auto"/>
                  </w:tcBorders>
                  <w:vAlign w:val="center"/>
                </w:tcPr>
                <w:p w14:paraId="1ED579BC" w14:textId="77777777" w:rsidR="00271FA2" w:rsidRPr="00A013E1" w:rsidRDefault="00271FA2">
                  <w:pPr>
                    <w:tabs>
                      <w:tab w:val="left" w:pos="3094"/>
                    </w:tabs>
                    <w:spacing w:line="240" w:lineRule="atLeast"/>
                    <w:jc w:val="both"/>
                    <w:rPr>
                      <w:rFonts w:ascii="Times New Roman" w:hAnsi="Times New Roman" w:cs="Times New Roman"/>
                    </w:rPr>
                  </w:pPr>
                </w:p>
              </w:tc>
              <w:tc>
                <w:tcPr>
                  <w:tcW w:w="6141" w:type="dxa"/>
                  <w:gridSpan w:val="5"/>
                  <w:tcBorders>
                    <w:top w:val="single" w:sz="4" w:space="0" w:color="auto"/>
                    <w:left w:val="single" w:sz="4" w:space="0" w:color="auto"/>
                    <w:bottom w:val="single" w:sz="4" w:space="0" w:color="auto"/>
                    <w:right w:val="single" w:sz="4" w:space="0" w:color="auto"/>
                  </w:tcBorders>
                  <w:vAlign w:val="center"/>
                </w:tcPr>
                <w:p w14:paraId="7EABE34E" w14:textId="77777777" w:rsidR="00271FA2" w:rsidRPr="00A013E1" w:rsidRDefault="00D35E51">
                  <w:pPr>
                    <w:tabs>
                      <w:tab w:val="left" w:pos="3094"/>
                    </w:tabs>
                    <w:spacing w:line="240" w:lineRule="atLeast"/>
                    <w:jc w:val="center"/>
                    <w:rPr>
                      <w:rFonts w:ascii="Times New Roman" w:hAnsi="Times New Roman" w:cs="Times New Roman"/>
                      <w:vertAlign w:val="superscript"/>
                      <w:lang w:val="ru-RU"/>
                    </w:rPr>
                  </w:pPr>
                  <w:r w:rsidRPr="00A013E1">
                    <w:rPr>
                      <w:rFonts w:ascii="Times New Roman" w:hAnsi="Times New Roman" w:cs="Times New Roman"/>
                      <w:lang w:val="ru-RU"/>
                    </w:rPr>
                    <w:t>Зона и/или воден път</w:t>
                  </w:r>
                  <w:r w:rsidRPr="00A013E1">
                    <w:rPr>
                      <w:rFonts w:ascii="Times New Roman" w:hAnsi="Times New Roman" w:cs="Times New Roman"/>
                      <w:vertAlign w:val="superscript"/>
                      <w:lang w:val="ru-RU"/>
                    </w:rPr>
                    <w:t>1)</w:t>
                  </w:r>
                </w:p>
              </w:tc>
            </w:tr>
            <w:tr w:rsidR="00271FA2" w:rsidRPr="00A013E1" w14:paraId="7CDEC9B9" w14:textId="77777777">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5EB091F" w14:textId="77777777" w:rsidR="00271FA2" w:rsidRPr="00A013E1" w:rsidRDefault="00271FA2">
                  <w:pPr>
                    <w:spacing w:line="240" w:lineRule="atLeast"/>
                    <w:rPr>
                      <w:rFonts w:ascii="Times New Roman" w:hAnsi="Times New Roman" w:cs="Times New Roman"/>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34C9DACE"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4</w:t>
                  </w:r>
                </w:p>
              </w:tc>
              <w:tc>
                <w:tcPr>
                  <w:tcW w:w="1134" w:type="dxa"/>
                  <w:tcBorders>
                    <w:top w:val="single" w:sz="4" w:space="0" w:color="auto"/>
                    <w:left w:val="single" w:sz="4" w:space="0" w:color="auto"/>
                    <w:bottom w:val="single" w:sz="4" w:space="0" w:color="auto"/>
                    <w:right w:val="single" w:sz="4" w:space="0" w:color="auto"/>
                  </w:tcBorders>
                  <w:vAlign w:val="center"/>
                </w:tcPr>
                <w:p w14:paraId="3EDBE3EF"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14C40C29"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2</w:t>
                  </w:r>
                </w:p>
              </w:tc>
              <w:tc>
                <w:tcPr>
                  <w:tcW w:w="1134" w:type="dxa"/>
                  <w:tcBorders>
                    <w:top w:val="single" w:sz="4" w:space="0" w:color="auto"/>
                    <w:left w:val="single" w:sz="4" w:space="0" w:color="auto"/>
                    <w:bottom w:val="single" w:sz="4" w:space="0" w:color="auto"/>
                    <w:right w:val="single" w:sz="4" w:space="0" w:color="auto"/>
                  </w:tcBorders>
                  <w:vAlign w:val="center"/>
                </w:tcPr>
                <w:p w14:paraId="40134D8C"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1</w:t>
                  </w:r>
                </w:p>
              </w:tc>
              <w:tc>
                <w:tcPr>
                  <w:tcW w:w="1605" w:type="dxa"/>
                  <w:tcBorders>
                    <w:top w:val="single" w:sz="4" w:space="0" w:color="auto"/>
                    <w:left w:val="single" w:sz="4" w:space="0" w:color="auto"/>
                    <w:bottom w:val="single" w:sz="4" w:space="0" w:color="auto"/>
                    <w:right w:val="single" w:sz="4" w:space="0" w:color="auto"/>
                  </w:tcBorders>
                  <w:vAlign w:val="center"/>
                </w:tcPr>
                <w:p w14:paraId="3F92C6BB" w14:textId="77777777" w:rsidR="00271FA2" w:rsidRPr="00A013E1" w:rsidRDefault="00271FA2">
                  <w:pPr>
                    <w:tabs>
                      <w:tab w:val="left" w:pos="3094"/>
                    </w:tabs>
                    <w:spacing w:line="240" w:lineRule="atLeast"/>
                    <w:jc w:val="both"/>
                    <w:rPr>
                      <w:rFonts w:ascii="Times New Roman" w:hAnsi="Times New Roman" w:cs="Times New Roman"/>
                      <w:lang w:val="ru-RU"/>
                    </w:rPr>
                  </w:pPr>
                </w:p>
              </w:tc>
            </w:tr>
            <w:tr w:rsidR="00271FA2" w:rsidRPr="00A013E1" w14:paraId="456EF0CE" w14:textId="77777777">
              <w:tc>
                <w:tcPr>
                  <w:tcW w:w="1759" w:type="dxa"/>
                  <w:vMerge w:val="restart"/>
                  <w:tcBorders>
                    <w:top w:val="single" w:sz="4" w:space="0" w:color="auto"/>
                    <w:left w:val="single" w:sz="4" w:space="0" w:color="auto"/>
                    <w:bottom w:val="single" w:sz="4" w:space="0" w:color="auto"/>
                    <w:right w:val="single" w:sz="4" w:space="0" w:color="auto"/>
                  </w:tcBorders>
                  <w:vAlign w:val="center"/>
                </w:tcPr>
                <w:p w14:paraId="09EDBD97"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Надводен борд (с</w:t>
                  </w:r>
                  <w:r w:rsidRPr="00A013E1">
                    <w:rPr>
                      <w:rFonts w:ascii="Times New Roman" w:hAnsi="Times New Roman" w:cs="Times New Roman"/>
                    </w:rPr>
                    <w:t>m</w:t>
                  </w:r>
                  <w:r w:rsidRPr="00A013E1">
                    <w:rPr>
                      <w:rFonts w:ascii="Times New Roman" w:hAnsi="Times New Roman" w:cs="Times New Roman"/>
                      <w:lang w:val="ru-RU"/>
                    </w:rPr>
                    <w:t>)</w:t>
                  </w:r>
                </w:p>
              </w:tc>
              <w:tc>
                <w:tcPr>
                  <w:tcW w:w="1785" w:type="dxa"/>
                  <w:tcBorders>
                    <w:top w:val="single" w:sz="4" w:space="0" w:color="auto"/>
                    <w:left w:val="single" w:sz="4" w:space="0" w:color="auto"/>
                    <w:bottom w:val="single" w:sz="4" w:space="0" w:color="auto"/>
                    <w:right w:val="single" w:sz="4" w:space="0" w:color="auto"/>
                  </w:tcBorders>
                  <w:vAlign w:val="center"/>
                </w:tcPr>
                <w:p w14:paraId="008EF53E"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Със затворени трюмове</w:t>
                  </w:r>
                </w:p>
              </w:tc>
              <w:tc>
                <w:tcPr>
                  <w:tcW w:w="1134" w:type="dxa"/>
                  <w:tcBorders>
                    <w:top w:val="single" w:sz="4" w:space="0" w:color="auto"/>
                    <w:left w:val="single" w:sz="4" w:space="0" w:color="auto"/>
                    <w:bottom w:val="single" w:sz="4" w:space="0" w:color="auto"/>
                    <w:right w:val="single" w:sz="4" w:space="0" w:color="auto"/>
                  </w:tcBorders>
                  <w:vAlign w:val="center"/>
                </w:tcPr>
                <w:p w14:paraId="07630586" w14:textId="77777777" w:rsidR="00271FA2" w:rsidRPr="00A013E1" w:rsidRDefault="00271FA2">
                  <w:pPr>
                    <w:tabs>
                      <w:tab w:val="left" w:pos="3094"/>
                    </w:tabs>
                    <w:spacing w:line="240" w:lineRule="atLeast"/>
                    <w:jc w:val="both"/>
                    <w:rPr>
                      <w:rFonts w:ascii="Times New Roman" w:hAnsi="Times New Roman" w:cs="Times New Roman"/>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7CD7896B" w14:textId="77777777" w:rsidR="00271FA2" w:rsidRPr="00A013E1" w:rsidRDefault="00271FA2">
                  <w:pPr>
                    <w:tabs>
                      <w:tab w:val="left" w:pos="3094"/>
                    </w:tabs>
                    <w:spacing w:line="240" w:lineRule="atLeast"/>
                    <w:jc w:val="both"/>
                    <w:rPr>
                      <w:rFonts w:ascii="Times New Roman" w:hAnsi="Times New Roman" w:cs="Times New Roman"/>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73BFCBDC" w14:textId="77777777" w:rsidR="00271FA2" w:rsidRPr="00A013E1" w:rsidRDefault="00271FA2">
                  <w:pPr>
                    <w:tabs>
                      <w:tab w:val="left" w:pos="3094"/>
                    </w:tabs>
                    <w:spacing w:line="240" w:lineRule="atLeast"/>
                    <w:jc w:val="both"/>
                    <w:rPr>
                      <w:rFonts w:ascii="Times New Roman" w:hAnsi="Times New Roman" w:cs="Times New Roman"/>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1FFCB46E" w14:textId="77777777" w:rsidR="00271FA2" w:rsidRPr="00A013E1" w:rsidRDefault="00271FA2">
                  <w:pPr>
                    <w:tabs>
                      <w:tab w:val="left" w:pos="3094"/>
                    </w:tabs>
                    <w:spacing w:line="240" w:lineRule="atLeast"/>
                    <w:jc w:val="both"/>
                    <w:rPr>
                      <w:rFonts w:ascii="Times New Roman" w:hAnsi="Times New Roman" w:cs="Times New Roman"/>
                      <w:lang w:val="ru-RU"/>
                    </w:rPr>
                  </w:pPr>
                </w:p>
              </w:tc>
              <w:tc>
                <w:tcPr>
                  <w:tcW w:w="1605" w:type="dxa"/>
                  <w:tcBorders>
                    <w:top w:val="single" w:sz="4" w:space="0" w:color="auto"/>
                    <w:left w:val="single" w:sz="4" w:space="0" w:color="auto"/>
                    <w:bottom w:val="single" w:sz="4" w:space="0" w:color="auto"/>
                    <w:right w:val="single" w:sz="4" w:space="0" w:color="auto"/>
                  </w:tcBorders>
                  <w:vAlign w:val="center"/>
                </w:tcPr>
                <w:p w14:paraId="3CA29D07" w14:textId="77777777" w:rsidR="00271FA2" w:rsidRPr="00A013E1" w:rsidRDefault="00271FA2">
                  <w:pPr>
                    <w:tabs>
                      <w:tab w:val="left" w:pos="3094"/>
                    </w:tabs>
                    <w:spacing w:line="240" w:lineRule="atLeast"/>
                    <w:jc w:val="both"/>
                    <w:rPr>
                      <w:rFonts w:ascii="Times New Roman" w:hAnsi="Times New Roman" w:cs="Times New Roman"/>
                      <w:lang w:val="ru-RU"/>
                    </w:rPr>
                  </w:pPr>
                </w:p>
              </w:tc>
            </w:tr>
            <w:tr w:rsidR="00271FA2" w:rsidRPr="00A013E1" w14:paraId="07772FD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C18F1D1" w14:textId="77777777" w:rsidR="00271FA2" w:rsidRPr="00A013E1" w:rsidRDefault="00271FA2">
                  <w:pPr>
                    <w:spacing w:line="240" w:lineRule="atLeast"/>
                    <w:rPr>
                      <w:rFonts w:ascii="Times New Roman" w:hAnsi="Times New Roman" w:cs="Times New Roman"/>
                      <w:lang w:val="ru-RU"/>
                    </w:rPr>
                  </w:pPr>
                </w:p>
              </w:tc>
              <w:tc>
                <w:tcPr>
                  <w:tcW w:w="1785" w:type="dxa"/>
                  <w:tcBorders>
                    <w:top w:val="single" w:sz="4" w:space="0" w:color="auto"/>
                    <w:left w:val="single" w:sz="4" w:space="0" w:color="auto"/>
                    <w:bottom w:val="single" w:sz="4" w:space="0" w:color="auto"/>
                    <w:right w:val="single" w:sz="4" w:space="0" w:color="auto"/>
                  </w:tcBorders>
                  <w:vAlign w:val="center"/>
                </w:tcPr>
                <w:p w14:paraId="7401B6BD"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С отворени трюмове</w:t>
                  </w:r>
                </w:p>
              </w:tc>
              <w:tc>
                <w:tcPr>
                  <w:tcW w:w="1134" w:type="dxa"/>
                  <w:tcBorders>
                    <w:top w:val="single" w:sz="4" w:space="0" w:color="auto"/>
                    <w:left w:val="single" w:sz="4" w:space="0" w:color="auto"/>
                    <w:bottom w:val="single" w:sz="4" w:space="0" w:color="auto"/>
                    <w:right w:val="single" w:sz="4" w:space="0" w:color="auto"/>
                  </w:tcBorders>
                  <w:vAlign w:val="center"/>
                </w:tcPr>
                <w:p w14:paraId="00CC6C5F" w14:textId="77777777" w:rsidR="00271FA2" w:rsidRPr="00A013E1" w:rsidRDefault="00271FA2">
                  <w:pPr>
                    <w:tabs>
                      <w:tab w:val="left" w:pos="3094"/>
                    </w:tabs>
                    <w:spacing w:line="240" w:lineRule="atLeast"/>
                    <w:jc w:val="both"/>
                    <w:rPr>
                      <w:rFonts w:ascii="Times New Roman" w:hAnsi="Times New Roman" w:cs="Times New Roman"/>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6627CB" w14:textId="77777777" w:rsidR="00271FA2" w:rsidRPr="00A013E1" w:rsidRDefault="00271FA2">
                  <w:pPr>
                    <w:tabs>
                      <w:tab w:val="left" w:pos="3094"/>
                    </w:tabs>
                    <w:spacing w:line="240" w:lineRule="atLeast"/>
                    <w:jc w:val="both"/>
                    <w:rPr>
                      <w:rFonts w:ascii="Times New Roman" w:hAnsi="Times New Roman" w:cs="Times New Roman"/>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131161D4" w14:textId="77777777" w:rsidR="00271FA2" w:rsidRPr="00A013E1" w:rsidRDefault="00271FA2">
                  <w:pPr>
                    <w:tabs>
                      <w:tab w:val="left" w:pos="3094"/>
                    </w:tabs>
                    <w:spacing w:line="240" w:lineRule="atLeast"/>
                    <w:jc w:val="both"/>
                    <w:rPr>
                      <w:rFonts w:ascii="Times New Roman" w:hAnsi="Times New Roman" w:cs="Times New Roman"/>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1CE2C11C" w14:textId="77777777" w:rsidR="00271FA2" w:rsidRPr="00A013E1" w:rsidRDefault="00271FA2">
                  <w:pPr>
                    <w:tabs>
                      <w:tab w:val="left" w:pos="3094"/>
                    </w:tabs>
                    <w:spacing w:line="240" w:lineRule="atLeast"/>
                    <w:jc w:val="both"/>
                    <w:rPr>
                      <w:rFonts w:ascii="Times New Roman" w:hAnsi="Times New Roman" w:cs="Times New Roman"/>
                      <w:lang w:val="ru-RU"/>
                    </w:rPr>
                  </w:pPr>
                </w:p>
              </w:tc>
              <w:tc>
                <w:tcPr>
                  <w:tcW w:w="1605" w:type="dxa"/>
                  <w:tcBorders>
                    <w:top w:val="single" w:sz="4" w:space="0" w:color="auto"/>
                    <w:left w:val="single" w:sz="4" w:space="0" w:color="auto"/>
                    <w:bottom w:val="single" w:sz="4" w:space="0" w:color="auto"/>
                    <w:right w:val="single" w:sz="4" w:space="0" w:color="auto"/>
                  </w:tcBorders>
                  <w:vAlign w:val="center"/>
                </w:tcPr>
                <w:p w14:paraId="42170066" w14:textId="77777777" w:rsidR="00271FA2" w:rsidRPr="00A013E1" w:rsidRDefault="00271FA2">
                  <w:pPr>
                    <w:tabs>
                      <w:tab w:val="left" w:pos="3094"/>
                    </w:tabs>
                    <w:spacing w:line="240" w:lineRule="atLeast"/>
                    <w:jc w:val="both"/>
                    <w:rPr>
                      <w:rFonts w:ascii="Times New Roman" w:hAnsi="Times New Roman" w:cs="Times New Roman"/>
                      <w:lang w:val="ru-RU"/>
                    </w:rPr>
                  </w:pPr>
                </w:p>
              </w:tc>
            </w:tr>
          </w:tbl>
          <w:p w14:paraId="0273C67E"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12. Отклонения от </w:t>
            </w:r>
            <w:r w:rsidRPr="00A013E1">
              <w:rPr>
                <w:rFonts w:ascii="Times New Roman" w:hAnsi="Times New Roman" w:cs="Times New Roman"/>
                <w:bCs/>
                <w:lang w:val="ru-RU"/>
              </w:rPr>
              <w:t xml:space="preserve">Корабно удостоверение за вътрешно корабоплаване </w:t>
            </w:r>
            <w:r w:rsidRPr="00A013E1">
              <w:rPr>
                <w:rFonts w:ascii="Times New Roman" w:hAnsi="Times New Roman" w:cs="Times New Roman"/>
                <w:lang w:val="ru-RU"/>
              </w:rPr>
              <w:t>№ ………………</w:t>
            </w:r>
          </w:p>
          <w:p w14:paraId="2E9292C3"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48150527"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6973907E"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117B1E1F"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13. Записите по отношение на членовете на екипажа в </w:t>
            </w:r>
            <w:r w:rsidRPr="00A013E1">
              <w:rPr>
                <w:rFonts w:ascii="Times New Roman" w:hAnsi="Times New Roman" w:cs="Times New Roman"/>
                <w:bCs/>
                <w:lang w:val="ru-RU"/>
              </w:rPr>
              <w:t xml:space="preserve">Корабно удостоверение за вътрешно корабоплаване </w:t>
            </w:r>
            <w:r w:rsidRPr="00A013E1">
              <w:rPr>
                <w:rFonts w:ascii="Times New Roman" w:hAnsi="Times New Roman" w:cs="Times New Roman"/>
                <w:lang w:val="ru-RU"/>
              </w:rPr>
              <w:t>не се прилагат</w:t>
            </w:r>
            <w:r w:rsidRPr="00A013E1">
              <w:rPr>
                <w:rFonts w:ascii="Times New Roman" w:hAnsi="Times New Roman" w:cs="Times New Roman"/>
                <w:vertAlign w:val="superscript"/>
                <w:lang w:val="ru-RU"/>
              </w:rPr>
              <w:t>1</w:t>
            </w:r>
            <w:r w:rsidRPr="00A013E1">
              <w:rPr>
                <w:rFonts w:ascii="Times New Roman" w:hAnsi="Times New Roman" w:cs="Times New Roman"/>
                <w:lang w:val="ru-RU"/>
              </w:rPr>
              <w:t>.</w:t>
            </w:r>
          </w:p>
          <w:p w14:paraId="3B3F57C4" w14:textId="1CF3A202"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14. Като взе предвид Корабно </w:t>
            </w:r>
            <w:r w:rsidR="00563D57" w:rsidRPr="00A013E1">
              <w:rPr>
                <w:rFonts w:ascii="Times New Roman" w:hAnsi="Times New Roman" w:cs="Times New Roman"/>
                <w:lang w:val="ru-RU"/>
              </w:rPr>
              <w:t xml:space="preserve">удостоверение </w:t>
            </w:r>
            <w:r w:rsidRPr="00A013E1">
              <w:rPr>
                <w:rFonts w:ascii="Times New Roman" w:hAnsi="Times New Roman" w:cs="Times New Roman"/>
                <w:lang w:val="ru-RU"/>
              </w:rPr>
              <w:t>за вътрешно корабоплаване № ……............................</w:t>
            </w:r>
          </w:p>
          <w:p w14:paraId="0816BF24"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Издадено на .………………………………… валидно до ……………………………………………</w:t>
            </w:r>
          </w:p>
          <w:p w14:paraId="6BAF7FBF"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Като взе предвид резултата от прегледа ………………………………………………………………</w:t>
            </w:r>
          </w:p>
          <w:p w14:paraId="46C4C104"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на …………………………………………….,</w:t>
            </w:r>
          </w:p>
          <w:p w14:paraId="052D8F66"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Това допълнително удостоверение се продължава/се подновява (</w:t>
            </w:r>
            <w:r w:rsidRPr="00A013E1">
              <w:rPr>
                <w:rFonts w:ascii="Times New Roman" w:hAnsi="Times New Roman" w:cs="Times New Roman"/>
                <w:vertAlign w:val="superscript"/>
                <w:lang w:val="ru-RU"/>
              </w:rPr>
              <w:t>1</w:t>
            </w:r>
            <w:r w:rsidRPr="00A013E1">
              <w:rPr>
                <w:rFonts w:ascii="Times New Roman" w:hAnsi="Times New Roman" w:cs="Times New Roman"/>
                <w:lang w:val="ru-RU"/>
              </w:rPr>
              <w:t>) до ……………………………</w:t>
            </w:r>
          </w:p>
          <w:p w14:paraId="3FE2E078"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7DCA4012" w14:textId="77777777" w:rsidR="00271FA2" w:rsidRPr="00A013E1" w:rsidRDefault="00271FA2">
            <w:pPr>
              <w:tabs>
                <w:tab w:val="left" w:pos="0"/>
                <w:tab w:val="left" w:pos="2977"/>
              </w:tabs>
              <w:spacing w:line="240" w:lineRule="atLeast"/>
              <w:jc w:val="both"/>
              <w:rPr>
                <w:rFonts w:ascii="Times New Roman" w:hAnsi="Times New Roman" w:cs="Times New Roman"/>
                <w:lang w:val="ru-RU"/>
              </w:rPr>
            </w:pPr>
          </w:p>
          <w:p w14:paraId="5308E2A2"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16EB3081"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(Място) (Дата)</w:t>
            </w:r>
          </w:p>
          <w:p w14:paraId="57B07B8F" w14:textId="77777777" w:rsidR="00271FA2" w:rsidRPr="00A013E1" w:rsidRDefault="00271FA2">
            <w:pPr>
              <w:tabs>
                <w:tab w:val="left" w:pos="0"/>
              </w:tabs>
              <w:spacing w:line="240" w:lineRule="atLeast"/>
              <w:jc w:val="both"/>
              <w:rPr>
                <w:rFonts w:ascii="Times New Roman" w:hAnsi="Times New Roman" w:cs="Times New Roman"/>
                <w:lang w:val="ru-RU"/>
              </w:rPr>
            </w:pPr>
          </w:p>
          <w:p w14:paraId="28810DB8"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79F80D7A"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3C2A0605"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t>Печат</w:t>
            </w:r>
          </w:p>
          <w:p w14:paraId="3335BBAB" w14:textId="77777777" w:rsidR="00271FA2" w:rsidRPr="00A013E1" w:rsidRDefault="00D35E51">
            <w:pPr>
              <w:tabs>
                <w:tab w:val="left" w:pos="0"/>
              </w:tabs>
              <w:spacing w:line="240" w:lineRule="atLeast"/>
              <w:jc w:val="both"/>
              <w:rPr>
                <w:rFonts w:ascii="Times New Roman" w:hAnsi="Times New Roman" w:cs="Times New Roman"/>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rPr>
              <w:t>(Подпис)</w:t>
            </w:r>
          </w:p>
          <w:p w14:paraId="2F6D5E66" w14:textId="77777777" w:rsidR="00271FA2" w:rsidRPr="00A013E1" w:rsidRDefault="00D35E51">
            <w:pPr>
              <w:tabs>
                <w:tab w:val="left" w:pos="0"/>
              </w:tabs>
              <w:spacing w:line="240" w:lineRule="atLeast"/>
              <w:jc w:val="both"/>
              <w:rPr>
                <w:rFonts w:ascii="Times New Roman" w:hAnsi="Times New Roman" w:cs="Times New Roman"/>
              </w:rPr>
            </w:pPr>
            <w:r w:rsidRPr="00A013E1">
              <w:rPr>
                <w:rFonts w:ascii="Times New Roman" w:hAnsi="Times New Roman" w:cs="Times New Roman"/>
                <w:noProof/>
                <w:lang w:eastAsia="bg-BG"/>
              </w:rPr>
              <w:lastRenderedPageBreak/>
              <mc:AlternateContent>
                <mc:Choice Requires="wps">
                  <w:drawing>
                    <wp:anchor distT="0" distB="0" distL="114300" distR="114300" simplePos="0" relativeHeight="251696128" behindDoc="0" locked="0" layoutInCell="1" allowOverlap="1" wp14:anchorId="69BCA3E8" wp14:editId="04E8DBB8">
                      <wp:simplePos x="0" y="0"/>
                      <wp:positionH relativeFrom="column">
                        <wp:posOffset>19685</wp:posOffset>
                      </wp:positionH>
                      <wp:positionV relativeFrom="paragraph">
                        <wp:posOffset>132080</wp:posOffset>
                      </wp:positionV>
                      <wp:extent cx="1634490" cy="0"/>
                      <wp:effectExtent l="0" t="0" r="3810" b="0"/>
                      <wp:wrapNone/>
                      <wp:docPr id="59" name="Straight Connector 7"/>
                      <wp:cNvGraphicFramePr/>
                      <a:graphic xmlns:a="http://schemas.openxmlformats.org/drawingml/2006/main">
                        <a:graphicData uri="http://schemas.microsoft.com/office/word/2010/wordprocessingShape">
                          <wps:wsp>
                            <wps:cNvCnPr/>
                            <wps:spPr>
                              <a:xfrm>
                                <a:off x="0" y="0"/>
                                <a:ext cx="16344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Straight Connector 7" o:spid="_x0000_s1026" o:spt="20" style="position:absolute;left:0pt;margin-left:1.55pt;margin-top:10.4pt;height:0pt;width:128.7pt;z-index:251696128;mso-width-relative:page;mso-height-relative:page;" filled="f" stroked="t" coordsize="21600,21600" o:gfxdata="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AGzAdQAAAAHAQAADwAAAAAAAAABACAAAAAiAAAAZHJzL2Rvd25yZXYueG1sUEsBAhQAFAAA&#10;AAgAh07iQGN5ibfzAQAA+AMAAA4AAAAAAAAAAQAgAAAAIwEAAGRycy9lMm9Eb2MueG1sUEsFBgAA&#10;AAAGAAYAWQEAAIgFAAAAAA==&#10;">
                      <v:fill on="f" focussize="0,0"/>
                      <v:stroke color="#000000" joinstyle="round"/>
                      <v:imagedata o:title=""/>
                      <o:lock v:ext="edit" aspectratio="f"/>
                    </v:line>
                  </w:pict>
                </mc:Fallback>
              </mc:AlternateContent>
            </w:r>
          </w:p>
          <w:p w14:paraId="11CB2947" w14:textId="77777777" w:rsidR="00271FA2" w:rsidRPr="00A013E1" w:rsidRDefault="00D35E51">
            <w:pPr>
              <w:tabs>
                <w:tab w:val="left" w:pos="3094"/>
              </w:tabs>
              <w:spacing w:line="240" w:lineRule="atLeast"/>
              <w:jc w:val="both"/>
              <w:rPr>
                <w:rFonts w:ascii="Times New Roman" w:hAnsi="Times New Roman" w:cs="Times New Roman"/>
              </w:rPr>
            </w:pPr>
            <w:r w:rsidRPr="00A013E1">
              <w:rPr>
                <w:rFonts w:ascii="Times New Roman" w:hAnsi="Times New Roman" w:cs="Times New Roman"/>
                <w:vertAlign w:val="superscript"/>
              </w:rPr>
              <w:t>1</w:t>
            </w:r>
            <w:r w:rsidRPr="00A013E1">
              <w:rPr>
                <w:rFonts w:ascii="Times New Roman" w:hAnsi="Times New Roman" w:cs="Times New Roman"/>
              </w:rPr>
              <w:t>) Неприложимото се зачертава</w:t>
            </w:r>
          </w:p>
        </w:tc>
      </w:tr>
    </w:tbl>
    <w:p w14:paraId="348780C5" w14:textId="5CFEE985" w:rsidR="009A49C4" w:rsidRPr="00A013E1" w:rsidRDefault="009A49C4">
      <w:pPr>
        <w:spacing w:line="240" w:lineRule="atLeast"/>
        <w:rPr>
          <w:rFonts w:ascii="Times New Roman" w:hAnsi="Times New Roman" w:cs="Times New Roman"/>
          <w:bCs/>
        </w:rPr>
      </w:pPr>
    </w:p>
    <w:p w14:paraId="2089A2ED" w14:textId="77777777" w:rsidR="00020214" w:rsidRPr="00A013E1" w:rsidRDefault="00020214">
      <w:pPr>
        <w:rPr>
          <w:rFonts w:ascii="Times New Roman" w:hAnsi="Times New Roman" w:cs="Times New Roman"/>
          <w:bCs/>
        </w:rPr>
        <w:sectPr w:rsidR="00020214" w:rsidRPr="00A013E1" w:rsidSect="00A013E1">
          <w:headerReference w:type="default" r:id="rId112"/>
          <w:pgSz w:w="12240" w:h="15840"/>
          <w:pgMar w:top="1134" w:right="1134" w:bottom="1134" w:left="1134" w:header="709" w:footer="709" w:gutter="0"/>
          <w:cols w:space="708"/>
          <w:docGrid w:linePitch="299"/>
        </w:sectPr>
      </w:pPr>
    </w:p>
    <w:p w14:paraId="7830123B" w14:textId="77777777" w:rsidR="00271FA2" w:rsidRPr="00A013E1" w:rsidRDefault="00D35E51">
      <w:pPr>
        <w:spacing w:line="240" w:lineRule="atLeast"/>
        <w:jc w:val="center"/>
        <w:rPr>
          <w:rFonts w:ascii="Times New Roman" w:hAnsi="Times New Roman" w:cs="Times New Roman"/>
          <w:b/>
          <w:lang w:val="ru-RU"/>
        </w:rPr>
      </w:pPr>
      <w:r w:rsidRPr="00A013E1">
        <w:rPr>
          <w:rFonts w:ascii="Times New Roman" w:hAnsi="Times New Roman" w:cs="Times New Roman"/>
          <w:b/>
          <w:lang w:val="ru-RU"/>
        </w:rPr>
        <w:lastRenderedPageBreak/>
        <w:t xml:space="preserve">Раздел </w:t>
      </w:r>
      <w:r w:rsidRPr="00A013E1">
        <w:rPr>
          <w:rFonts w:ascii="Times New Roman" w:hAnsi="Times New Roman" w:cs="Times New Roman"/>
          <w:b/>
        </w:rPr>
        <w:t>IV</w:t>
      </w:r>
    </w:p>
    <w:p w14:paraId="67384935" w14:textId="77777777" w:rsidR="00271FA2" w:rsidRPr="00A013E1" w:rsidRDefault="00D35E51">
      <w:pPr>
        <w:tabs>
          <w:tab w:val="left" w:pos="3094"/>
        </w:tabs>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Образец на Сертификат за морски кораби плаващи на Рейн</w:t>
      </w:r>
    </w:p>
    <w:p w14:paraId="755D661E" w14:textId="77777777" w:rsidR="00271FA2" w:rsidRPr="00A013E1" w:rsidRDefault="00D35E51">
      <w:pPr>
        <w:tabs>
          <w:tab w:val="left" w:pos="3094"/>
        </w:tabs>
        <w:spacing w:line="240" w:lineRule="atLeast"/>
        <w:jc w:val="center"/>
        <w:rPr>
          <w:rFonts w:ascii="Times New Roman" w:hAnsi="Times New Roman" w:cs="Times New Roman"/>
          <w:b/>
          <w:lang w:val="ru-RU"/>
        </w:rPr>
      </w:pPr>
      <w:r w:rsidRPr="00A013E1">
        <w:rPr>
          <w:rFonts w:ascii="Times New Roman" w:hAnsi="Times New Roman" w:cs="Times New Roman"/>
          <w:b/>
          <w:lang w:val="ru-RU"/>
        </w:rPr>
        <w:t>Име на държавата/Герб</w:t>
      </w:r>
    </w:p>
    <w:p w14:paraId="1B23945F" w14:textId="77777777" w:rsidR="00271FA2" w:rsidRPr="00A013E1" w:rsidRDefault="00D35E51">
      <w:pPr>
        <w:tabs>
          <w:tab w:val="left" w:pos="3094"/>
        </w:tabs>
        <w:spacing w:line="240" w:lineRule="atLeast"/>
        <w:jc w:val="center"/>
        <w:rPr>
          <w:rFonts w:ascii="Times New Roman" w:hAnsi="Times New Roman" w:cs="Times New Roman"/>
          <w:b/>
          <w:lang w:val="ru-RU"/>
        </w:rPr>
      </w:pPr>
      <w:r w:rsidRPr="00A013E1">
        <w:rPr>
          <w:rFonts w:ascii="Times New Roman" w:hAnsi="Times New Roman" w:cs="Times New Roman"/>
          <w:b/>
          <w:lang w:val="ru-RU"/>
        </w:rPr>
        <w:t>Сертификат за морски кораб плаващ по Рейн</w:t>
      </w:r>
    </w:p>
    <w:p w14:paraId="3EFFC393" w14:textId="77777777" w:rsidR="00271FA2" w:rsidRPr="00A013E1" w:rsidRDefault="00D35E51">
      <w:pPr>
        <w:tabs>
          <w:tab w:val="left" w:pos="3094"/>
        </w:tabs>
        <w:spacing w:line="240" w:lineRule="atLeast"/>
        <w:jc w:val="center"/>
        <w:rPr>
          <w:rFonts w:ascii="Times New Roman" w:hAnsi="Times New Roman" w:cs="Times New Roman"/>
          <w:b/>
          <w:lang w:val="ru-RU"/>
        </w:rPr>
      </w:pPr>
      <w:r w:rsidRPr="00A013E1">
        <w:rPr>
          <w:rFonts w:ascii="Times New Roman" w:hAnsi="Times New Roman" w:cs="Times New Roman"/>
          <w:b/>
          <w:lang w:val="ru-RU"/>
        </w:rPr>
        <w:t>№ …………………….</w:t>
      </w:r>
    </w:p>
    <w:p w14:paraId="74FEA7AE"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Контролният орган …………………………………………………………………. удостоверява, че морския кораб</w:t>
      </w:r>
    </w:p>
    <w:p w14:paraId="6873B0C6"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Име: ……………………………………………………………………………………………………..</w:t>
      </w:r>
    </w:p>
    <w:p w14:paraId="395191CB"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Корабен регистрационен номер или инициали: ……………………………………………………..</w:t>
      </w:r>
    </w:p>
    <w:p w14:paraId="0952E7E0"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Място на регистрация: …………………………………………………………………………………</w:t>
      </w:r>
    </w:p>
    <w:p w14:paraId="4C9628A8"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Година на постройка: …………………………………………………………………………………..</w:t>
      </w:r>
    </w:p>
    <w:p w14:paraId="37A29C49"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Дължина на кораба: ……………………………………………………………………………….……</w:t>
      </w:r>
    </w:p>
    <w:p w14:paraId="74525B88"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след приключване на прегледа, …………………………………. е признат за годен да плава по Рейн и му се разрешава да плава при следните специални условия изложени по-долу.</w:t>
      </w:r>
    </w:p>
    <w:p w14:paraId="168E6765"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Специални условия: ……………………………………………………………………………………</w:t>
      </w:r>
    </w:p>
    <w:p w14:paraId="70215240"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495D42CE"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19D8C5DC"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w:t>
      </w:r>
    </w:p>
    <w:p w14:paraId="2C2B476A"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Този сертификат е валиден само при условие, че корабът има валиден сертификат за плаване по море или за крайбрежно плаване и валидността му е до ……………………………………………</w:t>
      </w:r>
    </w:p>
    <w:p w14:paraId="135F73B8" w14:textId="77777777" w:rsidR="00271FA2" w:rsidRPr="00A013E1" w:rsidRDefault="00271FA2">
      <w:pPr>
        <w:tabs>
          <w:tab w:val="left" w:pos="3094"/>
        </w:tabs>
        <w:spacing w:line="240" w:lineRule="atLeast"/>
        <w:jc w:val="both"/>
        <w:rPr>
          <w:rFonts w:ascii="Times New Roman" w:hAnsi="Times New Roman" w:cs="Times New Roman"/>
          <w:lang w:val="ru-RU"/>
        </w:rPr>
      </w:pPr>
    </w:p>
    <w:p w14:paraId="4FE714E3"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r w:rsidRPr="00A013E1">
        <w:rPr>
          <w:rFonts w:ascii="Times New Roman" w:hAnsi="Times New Roman" w:cs="Times New Roman"/>
          <w:lang w:val="ru-RU"/>
        </w:rPr>
        <w:tab/>
        <w:t>……………………..</w:t>
      </w:r>
    </w:p>
    <w:p w14:paraId="6F192765"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(Място)</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(Дата)</w:t>
      </w:r>
    </w:p>
    <w:p w14:paraId="33095337"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07CA32D6" w14:textId="77777777" w:rsidR="00271FA2" w:rsidRPr="00A013E1" w:rsidRDefault="00D35E51">
      <w:pPr>
        <w:tabs>
          <w:tab w:val="left" w:pos="0"/>
        </w:tabs>
        <w:spacing w:line="240" w:lineRule="atLeast"/>
        <w:jc w:val="both"/>
        <w:rPr>
          <w:rFonts w:ascii="Times New Roman" w:hAnsi="Times New Roman" w:cs="Times New Roman"/>
          <w:lang w:val="ru-RU"/>
        </w:rPr>
      </w:pPr>
      <w:r w:rsidRPr="00A013E1">
        <w:rPr>
          <w:rFonts w:ascii="Times New Roman" w:hAnsi="Times New Roman" w:cs="Times New Roman"/>
          <w:lang w:val="ru-RU"/>
        </w:rPr>
        <w:tab/>
        <w:t>Печат</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(Контролен орган)</w:t>
      </w:r>
    </w:p>
    <w:p w14:paraId="730CE4A6" w14:textId="77777777" w:rsidR="00271FA2" w:rsidRPr="00A013E1" w:rsidRDefault="00D35E51">
      <w:pPr>
        <w:tabs>
          <w:tab w:val="left" w:pos="3094"/>
        </w:tabs>
        <w:spacing w:line="240" w:lineRule="atLeast"/>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w:t>
      </w:r>
    </w:p>
    <w:p w14:paraId="50ACBB40" w14:textId="77777777" w:rsidR="00271FA2" w:rsidRPr="00A013E1" w:rsidRDefault="00D35E51">
      <w:pPr>
        <w:tabs>
          <w:tab w:val="left" w:pos="0"/>
        </w:tabs>
        <w:spacing w:line="240" w:lineRule="atLeast"/>
        <w:jc w:val="both"/>
        <w:rPr>
          <w:rFonts w:ascii="Times New Roman" w:hAnsi="Times New Roman" w:cs="Times New Roman"/>
          <w:b/>
          <w:bCs/>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lang w:val="ru-RU"/>
        </w:rPr>
        <w:tab/>
        <w:t>(Подпис)</w:t>
      </w:r>
    </w:p>
    <w:p w14:paraId="3FFF9EA3" w14:textId="77777777" w:rsidR="00B164A4" w:rsidRPr="00A013E1" w:rsidRDefault="00B164A4">
      <w:pPr>
        <w:spacing w:line="240" w:lineRule="atLeast"/>
        <w:rPr>
          <w:rFonts w:ascii="Times New Roman" w:hAnsi="Times New Roman" w:cs="Times New Roman"/>
          <w:b/>
          <w:bCs/>
          <w:lang w:val="ru-RU"/>
        </w:rPr>
        <w:sectPr w:rsidR="00B164A4" w:rsidRPr="00A013E1" w:rsidSect="00A013E1">
          <w:headerReference w:type="default" r:id="rId113"/>
          <w:pgSz w:w="12240" w:h="15840"/>
          <w:pgMar w:top="1134" w:right="1134" w:bottom="1134" w:left="1134" w:header="709" w:footer="709" w:gutter="0"/>
          <w:cols w:space="708"/>
          <w:docGrid w:linePitch="299"/>
        </w:sectPr>
      </w:pPr>
    </w:p>
    <w:p w14:paraId="530C023E" w14:textId="77777777" w:rsidR="00271FA2" w:rsidRPr="00A013E1" w:rsidRDefault="00D35E51">
      <w:pPr>
        <w:spacing w:line="240" w:lineRule="atLeast"/>
        <w:jc w:val="center"/>
        <w:rPr>
          <w:rFonts w:ascii="Times New Roman" w:hAnsi="Times New Roman" w:cs="Times New Roman"/>
          <w:b/>
          <w:bCs/>
          <w:lang w:val="ru-RU"/>
        </w:rPr>
      </w:pPr>
      <w:r w:rsidRPr="00A013E1">
        <w:rPr>
          <w:rFonts w:ascii="Times New Roman" w:hAnsi="Times New Roman" w:cs="Times New Roman"/>
          <w:b/>
          <w:lang w:val="ru-RU"/>
        </w:rPr>
        <w:lastRenderedPageBreak/>
        <w:t xml:space="preserve">Раздел </w:t>
      </w:r>
      <w:r w:rsidRPr="00A013E1">
        <w:rPr>
          <w:rFonts w:ascii="Times New Roman" w:hAnsi="Times New Roman" w:cs="Times New Roman"/>
          <w:b/>
        </w:rPr>
        <w:t>V</w:t>
      </w:r>
    </w:p>
    <w:p w14:paraId="0EBEE64F" w14:textId="77777777" w:rsidR="00271FA2" w:rsidRPr="00A013E1" w:rsidRDefault="00D35E51">
      <w:pPr>
        <w:tabs>
          <w:tab w:val="left" w:pos="3094"/>
        </w:tabs>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Образец на Приложение „Традиционно плавателно средство“ към Корабното удостоверение за вътрешно корабоплаване съгласно Глава 24</w:t>
      </w:r>
    </w:p>
    <w:tbl>
      <w:tblPr>
        <w:tblW w:w="9918" w:type="dxa"/>
        <w:tblLayout w:type="fixed"/>
        <w:tblLook w:val="04A0" w:firstRow="1" w:lastRow="0" w:firstColumn="1" w:lastColumn="0" w:noHBand="0" w:noVBand="1"/>
      </w:tblPr>
      <w:tblGrid>
        <w:gridCol w:w="4381"/>
        <w:gridCol w:w="5537"/>
      </w:tblGrid>
      <w:tr w:rsidR="00271FA2" w:rsidRPr="00A013E1" w14:paraId="3566A54E" w14:textId="77777777" w:rsidTr="00F45D2D">
        <w:trPr>
          <w:trHeight w:val="139"/>
        </w:trPr>
        <w:tc>
          <w:tcPr>
            <w:tcW w:w="9918" w:type="dxa"/>
            <w:gridSpan w:val="2"/>
            <w:tcBorders>
              <w:top w:val="single" w:sz="4" w:space="0" w:color="auto"/>
              <w:left w:val="single" w:sz="4" w:space="0" w:color="auto"/>
              <w:bottom w:val="single" w:sz="4" w:space="0" w:color="auto"/>
              <w:right w:val="single" w:sz="4" w:space="0" w:color="auto"/>
            </w:tcBorders>
          </w:tcPr>
          <w:p w14:paraId="4C9619BF" w14:textId="77777777" w:rsidR="00271FA2" w:rsidRPr="00A013E1" w:rsidRDefault="00D35E51">
            <w:pPr>
              <w:autoSpaceDE w:val="0"/>
              <w:autoSpaceDN w:val="0"/>
              <w:adjustRightInd w:val="0"/>
              <w:spacing w:line="240" w:lineRule="atLeast"/>
              <w:jc w:val="center"/>
              <w:rPr>
                <w:rFonts w:ascii="Times New Roman" w:hAnsi="Times New Roman" w:cs="Times New Roman"/>
                <w:color w:val="000000"/>
              </w:rPr>
            </w:pPr>
            <w:r w:rsidRPr="00A013E1">
              <w:rPr>
                <w:rFonts w:ascii="Times New Roman" w:hAnsi="Times New Roman" w:cs="Times New Roman"/>
                <w:b/>
                <w:bCs/>
                <w:color w:val="000000"/>
              </w:rPr>
              <w:t>Приложение Традиционно плавателно средство</w:t>
            </w:r>
          </w:p>
        </w:tc>
      </w:tr>
      <w:tr w:rsidR="00271FA2" w:rsidRPr="00A013E1" w14:paraId="665870BC" w14:textId="77777777" w:rsidTr="00F45D2D">
        <w:trPr>
          <w:trHeight w:val="153"/>
        </w:trPr>
        <w:tc>
          <w:tcPr>
            <w:tcW w:w="9918" w:type="dxa"/>
            <w:gridSpan w:val="2"/>
            <w:tcBorders>
              <w:top w:val="single" w:sz="4" w:space="0" w:color="auto"/>
              <w:left w:val="single" w:sz="4" w:space="0" w:color="auto"/>
              <w:bottom w:val="single" w:sz="4" w:space="0" w:color="auto"/>
              <w:right w:val="single" w:sz="4" w:space="0" w:color="auto"/>
            </w:tcBorders>
          </w:tcPr>
          <w:p w14:paraId="3DE070E9" w14:textId="77777777" w:rsidR="00271FA2" w:rsidRPr="00A013E1" w:rsidRDefault="00D35E51">
            <w:pPr>
              <w:autoSpaceDE w:val="0"/>
              <w:autoSpaceDN w:val="0"/>
              <w:adjustRightInd w:val="0"/>
              <w:spacing w:line="240" w:lineRule="atLeast"/>
              <w:jc w:val="center"/>
              <w:rPr>
                <w:rFonts w:ascii="Times New Roman" w:hAnsi="Times New Roman" w:cs="Times New Roman"/>
                <w:color w:val="000000"/>
              </w:rPr>
            </w:pPr>
            <w:r w:rsidRPr="00A013E1">
              <w:rPr>
                <w:rFonts w:ascii="Times New Roman" w:hAnsi="Times New Roman" w:cs="Times New Roman"/>
                <w:b/>
                <w:bCs/>
                <w:color w:val="000000"/>
              </w:rPr>
              <w:t>Име на държавата/Герб</w:t>
            </w:r>
          </w:p>
        </w:tc>
      </w:tr>
      <w:tr w:rsidR="00271FA2" w:rsidRPr="00A013E1" w14:paraId="4A0ADFB3" w14:textId="77777777" w:rsidTr="00F45D2D">
        <w:trPr>
          <w:trHeight w:val="139"/>
        </w:trPr>
        <w:tc>
          <w:tcPr>
            <w:tcW w:w="9918" w:type="dxa"/>
            <w:gridSpan w:val="2"/>
            <w:tcBorders>
              <w:top w:val="single" w:sz="4" w:space="0" w:color="auto"/>
              <w:left w:val="single" w:sz="4" w:space="0" w:color="auto"/>
              <w:bottom w:val="single" w:sz="4" w:space="0" w:color="auto"/>
              <w:right w:val="single" w:sz="4" w:space="0" w:color="auto"/>
            </w:tcBorders>
          </w:tcPr>
          <w:p w14:paraId="69E9D12F" w14:textId="77777777" w:rsidR="00271FA2" w:rsidRPr="00A013E1" w:rsidRDefault="00D35E51">
            <w:pPr>
              <w:autoSpaceDE w:val="0"/>
              <w:autoSpaceDN w:val="0"/>
              <w:adjustRightInd w:val="0"/>
              <w:spacing w:line="240" w:lineRule="atLeast"/>
              <w:jc w:val="center"/>
              <w:rPr>
                <w:rFonts w:ascii="Times New Roman" w:hAnsi="Times New Roman" w:cs="Times New Roman"/>
                <w:color w:val="000000"/>
                <w:lang w:val="ru-RU"/>
              </w:rPr>
            </w:pPr>
            <w:r w:rsidRPr="00A013E1">
              <w:rPr>
                <w:rFonts w:ascii="Times New Roman" w:hAnsi="Times New Roman" w:cs="Times New Roman"/>
                <w:b/>
                <w:bCs/>
                <w:lang w:val="ru-RU"/>
              </w:rPr>
              <w:t xml:space="preserve">Приложение към Корабното удостоверение за вътрешно корабоплаване </w:t>
            </w:r>
            <w:r w:rsidRPr="00A013E1">
              <w:rPr>
                <w:rFonts w:ascii="Times New Roman" w:hAnsi="Times New Roman" w:cs="Times New Roman"/>
                <w:b/>
                <w:bCs/>
                <w:color w:val="000000"/>
                <w:lang w:val="ru-RU"/>
              </w:rPr>
              <w:t xml:space="preserve">№ </w:t>
            </w:r>
          </w:p>
        </w:tc>
      </w:tr>
      <w:tr w:rsidR="00271FA2" w:rsidRPr="00A013E1" w14:paraId="5379A0A2" w14:textId="77777777" w:rsidTr="00F45D2D">
        <w:trPr>
          <w:trHeight w:val="283"/>
        </w:trPr>
        <w:tc>
          <w:tcPr>
            <w:tcW w:w="4381" w:type="dxa"/>
            <w:tcBorders>
              <w:top w:val="single" w:sz="4" w:space="0" w:color="auto"/>
              <w:left w:val="single" w:sz="4" w:space="0" w:color="auto"/>
              <w:bottom w:val="single" w:sz="4" w:space="0" w:color="auto"/>
              <w:right w:val="single" w:sz="4" w:space="0" w:color="auto"/>
            </w:tcBorders>
          </w:tcPr>
          <w:p w14:paraId="1E34B7E3"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1. Име на традиционното плавателно средство</w:t>
            </w:r>
          </w:p>
          <w:p w14:paraId="677F3B7B"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 xml:space="preserve">…………………………................................... </w:t>
            </w:r>
          </w:p>
        </w:tc>
        <w:tc>
          <w:tcPr>
            <w:tcW w:w="5537" w:type="dxa"/>
            <w:tcBorders>
              <w:top w:val="single" w:sz="4" w:space="0" w:color="auto"/>
              <w:left w:val="single" w:sz="4" w:space="0" w:color="auto"/>
              <w:bottom w:val="single" w:sz="4" w:space="0" w:color="auto"/>
              <w:right w:val="single" w:sz="4" w:space="0" w:color="auto"/>
            </w:tcBorders>
          </w:tcPr>
          <w:p w14:paraId="1719CA7B"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2. Уникален европейски идентификационен номер на кораба (</w:t>
            </w:r>
            <w:r w:rsidRPr="00A013E1">
              <w:rPr>
                <w:rFonts w:ascii="Times New Roman" w:hAnsi="Times New Roman" w:cs="Times New Roman"/>
                <w:color w:val="000000"/>
              </w:rPr>
              <w:t>ENI</w:t>
            </w:r>
            <w:r w:rsidRPr="00A013E1">
              <w:rPr>
                <w:rFonts w:ascii="Times New Roman" w:hAnsi="Times New Roman" w:cs="Times New Roman"/>
                <w:color w:val="000000"/>
                <w:lang w:val="ru-RU"/>
              </w:rPr>
              <w:t>) .....................................................................</w:t>
            </w:r>
          </w:p>
        </w:tc>
      </w:tr>
      <w:tr w:rsidR="00271FA2" w:rsidRPr="00A013E1" w14:paraId="73184342" w14:textId="77777777" w:rsidTr="00F45D2D">
        <w:trPr>
          <w:trHeight w:val="274"/>
        </w:trPr>
        <w:tc>
          <w:tcPr>
            <w:tcW w:w="4381" w:type="dxa"/>
            <w:tcBorders>
              <w:top w:val="single" w:sz="4" w:space="0" w:color="auto"/>
              <w:left w:val="single" w:sz="4" w:space="0" w:color="auto"/>
              <w:bottom w:val="single" w:sz="4" w:space="0" w:color="auto"/>
              <w:right w:val="single" w:sz="4" w:space="0" w:color="auto"/>
            </w:tcBorders>
          </w:tcPr>
          <w:p w14:paraId="7C14396B"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3. Тип на плавателното средство преди признаването ..........................................................................</w:t>
            </w:r>
          </w:p>
        </w:tc>
        <w:tc>
          <w:tcPr>
            <w:tcW w:w="5537" w:type="dxa"/>
            <w:tcBorders>
              <w:top w:val="single" w:sz="4" w:space="0" w:color="auto"/>
              <w:left w:val="single" w:sz="4" w:space="0" w:color="auto"/>
              <w:bottom w:val="single" w:sz="4" w:space="0" w:color="auto"/>
              <w:right w:val="single" w:sz="4" w:space="0" w:color="auto"/>
            </w:tcBorders>
          </w:tcPr>
          <w:p w14:paraId="2EEBC485"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4. Исторически период от време</w:t>
            </w:r>
          </w:p>
          <w:p w14:paraId="25DEE587"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 xml:space="preserve">…………….............................................................. </w:t>
            </w:r>
          </w:p>
        </w:tc>
      </w:tr>
      <w:tr w:rsidR="00271FA2" w:rsidRPr="00A013E1" w14:paraId="1B38BCCA" w14:textId="77777777" w:rsidTr="00F45D2D">
        <w:trPr>
          <w:trHeight w:val="1283"/>
        </w:trPr>
        <w:tc>
          <w:tcPr>
            <w:tcW w:w="9918" w:type="dxa"/>
            <w:gridSpan w:val="2"/>
            <w:tcBorders>
              <w:top w:val="single" w:sz="4" w:space="0" w:color="auto"/>
              <w:left w:val="single" w:sz="4" w:space="0" w:color="auto"/>
              <w:bottom w:val="single" w:sz="4" w:space="0" w:color="auto"/>
              <w:right w:val="single" w:sz="4" w:space="0" w:color="auto"/>
            </w:tcBorders>
          </w:tcPr>
          <w:p w14:paraId="04D9254E"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5. Съответствието на традиционното плавателно средство, описано по - горе, е установено въз основа на преглед от ...............................................................,</w:t>
            </w:r>
          </w:p>
          <w:p w14:paraId="1978CB39"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както и експертния доклад на органа по опазване на културното наследство/на експерта по традиционните плавателни средства*)</w:t>
            </w:r>
          </w:p>
          <w:p w14:paraId="4A1911CA"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 xml:space="preserve">..................................................................................................... от дата ............................................ </w:t>
            </w:r>
          </w:p>
          <w:p w14:paraId="3ECC422F"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с</w:t>
            </w:r>
          </w:p>
          <w:p w14:paraId="3D13C9B6"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 отклоненията, изброени в точка 6, и</w:t>
            </w:r>
          </w:p>
          <w:p w14:paraId="3B2E0D48"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 допълнителните изисквания, указани в точка 7</w:t>
            </w:r>
          </w:p>
          <w:p w14:paraId="70C0458A"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считани за подходящи.</w:t>
            </w:r>
          </w:p>
        </w:tc>
      </w:tr>
      <w:tr w:rsidR="00271FA2" w:rsidRPr="00A013E1" w14:paraId="7A9192A4" w14:textId="77777777" w:rsidTr="00F45D2D">
        <w:trPr>
          <w:trHeight w:val="1735"/>
        </w:trPr>
        <w:tc>
          <w:tcPr>
            <w:tcW w:w="9918" w:type="dxa"/>
            <w:gridSpan w:val="2"/>
            <w:tcBorders>
              <w:top w:val="single" w:sz="4" w:space="0" w:color="auto"/>
              <w:left w:val="single" w:sz="4" w:space="0" w:color="auto"/>
              <w:bottom w:val="single" w:sz="4" w:space="0" w:color="auto"/>
              <w:right w:val="single" w:sz="4" w:space="0" w:color="auto"/>
            </w:tcBorders>
          </w:tcPr>
          <w:p w14:paraId="6AAF5C62" w14:textId="77777777" w:rsidR="00271FA2" w:rsidRPr="00A013E1" w:rsidRDefault="00D35E51">
            <w:pPr>
              <w:autoSpaceDE w:val="0"/>
              <w:autoSpaceDN w:val="0"/>
              <w:adjustRightInd w:val="0"/>
              <w:spacing w:line="240" w:lineRule="atLeast"/>
              <w:rPr>
                <w:rFonts w:ascii="Times New Roman" w:hAnsi="Times New Roman" w:cs="Times New Roman"/>
                <w:color w:val="000000"/>
                <w:lang w:val="ru-RU"/>
              </w:rPr>
            </w:pPr>
            <w:r w:rsidRPr="00A013E1">
              <w:rPr>
                <w:rFonts w:ascii="Times New Roman" w:hAnsi="Times New Roman" w:cs="Times New Roman"/>
                <w:color w:val="000000"/>
                <w:lang w:val="ru-RU"/>
              </w:rPr>
              <w:t xml:space="preserve">.................................................................., ...................................... </w:t>
            </w:r>
          </w:p>
          <w:p w14:paraId="647814FC"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t>(Място)</w:t>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t xml:space="preserve">(Дата) </w:t>
            </w:r>
          </w:p>
          <w:p w14:paraId="6DC9EB46" w14:textId="77777777" w:rsidR="00271FA2" w:rsidRPr="00A013E1" w:rsidRDefault="00D35E51">
            <w:pPr>
              <w:autoSpaceDE w:val="0"/>
              <w:autoSpaceDN w:val="0"/>
              <w:adjustRightInd w:val="0"/>
              <w:spacing w:line="240" w:lineRule="atLeast"/>
              <w:jc w:val="right"/>
              <w:rPr>
                <w:rFonts w:ascii="Times New Roman" w:hAnsi="Times New Roman" w:cs="Times New Roman"/>
                <w:color w:val="000000"/>
                <w:lang w:val="ru-RU"/>
              </w:rPr>
            </w:pPr>
            <w:r w:rsidRPr="00A013E1">
              <w:rPr>
                <w:rFonts w:ascii="Times New Roman" w:hAnsi="Times New Roman" w:cs="Times New Roman"/>
                <w:color w:val="000000"/>
                <w:lang w:val="ru-RU"/>
              </w:rPr>
              <w:t>......................................................................</w:t>
            </w:r>
          </w:p>
          <w:p w14:paraId="7653D390"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t>Контролен орган</w:t>
            </w:r>
          </w:p>
          <w:p w14:paraId="08E83453"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t xml:space="preserve">Печат </w:t>
            </w:r>
          </w:p>
          <w:p w14:paraId="4F2C151D" w14:textId="77777777" w:rsidR="00271FA2" w:rsidRPr="00A013E1" w:rsidRDefault="00D35E51">
            <w:pPr>
              <w:autoSpaceDE w:val="0"/>
              <w:autoSpaceDN w:val="0"/>
              <w:adjustRightInd w:val="0"/>
              <w:spacing w:line="240" w:lineRule="atLeast"/>
              <w:jc w:val="right"/>
              <w:rPr>
                <w:rFonts w:ascii="Times New Roman" w:hAnsi="Times New Roman" w:cs="Times New Roman"/>
                <w:color w:val="000000"/>
                <w:lang w:val="ru-RU"/>
              </w:rPr>
            </w:pPr>
            <w:r w:rsidRPr="00A013E1">
              <w:rPr>
                <w:rFonts w:ascii="Times New Roman" w:hAnsi="Times New Roman" w:cs="Times New Roman"/>
                <w:color w:val="000000"/>
                <w:lang w:val="ru-RU"/>
              </w:rPr>
              <w:t>......................................................................</w:t>
            </w:r>
          </w:p>
          <w:p w14:paraId="6932E5E1"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t xml:space="preserve">(Подпис) </w:t>
            </w:r>
          </w:p>
          <w:p w14:paraId="60A9DB9A" w14:textId="77777777" w:rsidR="00271FA2" w:rsidRPr="00A013E1" w:rsidRDefault="00D35E51">
            <w:pPr>
              <w:autoSpaceDE w:val="0"/>
              <w:autoSpaceDN w:val="0"/>
              <w:adjustRightInd w:val="0"/>
              <w:spacing w:line="240" w:lineRule="atLeast"/>
              <w:jc w:val="right"/>
              <w:rPr>
                <w:rFonts w:ascii="Times New Roman" w:hAnsi="Times New Roman" w:cs="Times New Roman"/>
                <w:color w:val="000000"/>
                <w:lang w:val="ru-RU"/>
              </w:rPr>
            </w:pPr>
            <w:r w:rsidRPr="00A013E1">
              <w:rPr>
                <w:rFonts w:ascii="Times New Roman" w:hAnsi="Times New Roman" w:cs="Times New Roman"/>
                <w:color w:val="000000"/>
                <w:lang w:val="ru-RU"/>
              </w:rPr>
              <w:t>...........................................................................................................................</w:t>
            </w:r>
          </w:p>
          <w:p w14:paraId="6F5A8E3D"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t>Име/адрес на експерта по традиционни плавателни средства</w:t>
            </w:r>
          </w:p>
          <w:p w14:paraId="000FBE90"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_________________________</w:t>
            </w:r>
          </w:p>
          <w:p w14:paraId="770E4C49" w14:textId="77777777" w:rsidR="00271FA2" w:rsidRPr="00A013E1" w:rsidRDefault="00D35E51">
            <w:pPr>
              <w:autoSpaceDE w:val="0"/>
              <w:autoSpaceDN w:val="0"/>
              <w:adjustRightInd w:val="0"/>
              <w:spacing w:line="240" w:lineRule="atLeast"/>
              <w:rPr>
                <w:rFonts w:ascii="Times New Roman" w:hAnsi="Times New Roman" w:cs="Times New Roman"/>
                <w:color w:val="000000"/>
              </w:rPr>
            </w:pPr>
            <w:r w:rsidRPr="00A013E1">
              <w:rPr>
                <w:rFonts w:ascii="Times New Roman" w:hAnsi="Times New Roman" w:cs="Times New Roman"/>
                <w:color w:val="000000"/>
              </w:rPr>
              <w:lastRenderedPageBreak/>
              <w:t xml:space="preserve">*) </w:t>
            </w:r>
            <w:r w:rsidRPr="00A013E1">
              <w:rPr>
                <w:rFonts w:ascii="Times New Roman" w:hAnsi="Times New Roman" w:cs="Times New Roman"/>
              </w:rPr>
              <w:t>Неприложимото се зачертава</w:t>
            </w:r>
            <w:r w:rsidRPr="00A013E1">
              <w:rPr>
                <w:rFonts w:ascii="Times New Roman" w:hAnsi="Times New Roman" w:cs="Times New Roman"/>
                <w:color w:val="000000"/>
              </w:rPr>
              <w:t xml:space="preserve"> </w:t>
            </w:r>
          </w:p>
        </w:tc>
      </w:tr>
    </w:tbl>
    <w:p w14:paraId="3DB38A73" w14:textId="77777777" w:rsidR="00271FA2" w:rsidRPr="00A013E1" w:rsidRDefault="00271FA2">
      <w:pPr>
        <w:tabs>
          <w:tab w:val="left" w:pos="3094"/>
        </w:tabs>
        <w:spacing w:line="240" w:lineRule="atLeast"/>
        <w:jc w:val="center"/>
        <w:rPr>
          <w:rFonts w:ascii="Times New Roman" w:hAnsi="Times New Roman" w:cs="Times New Roman"/>
          <w:b/>
          <w:bCs/>
        </w:rPr>
      </w:pPr>
    </w:p>
    <w:p w14:paraId="2BD334C5" w14:textId="77777777" w:rsidR="00271FA2" w:rsidRPr="00A013E1" w:rsidRDefault="00D35E51">
      <w:pPr>
        <w:spacing w:line="240" w:lineRule="atLeast"/>
        <w:rPr>
          <w:rFonts w:ascii="Times New Roman" w:hAnsi="Times New Roman" w:cs="Times New Roman"/>
          <w:b/>
          <w:bCs/>
        </w:rPr>
      </w:pPr>
      <w:r w:rsidRPr="00A013E1">
        <w:rPr>
          <w:rFonts w:ascii="Times New Roman" w:hAnsi="Times New Roman" w:cs="Times New Roman"/>
          <w:b/>
          <w:bCs/>
        </w:rPr>
        <w:br w:type="page"/>
      </w:r>
    </w:p>
    <w:p w14:paraId="76A6D9FA" w14:textId="77777777" w:rsidR="00271FA2" w:rsidRPr="00A013E1" w:rsidRDefault="00D35E51">
      <w:pPr>
        <w:tabs>
          <w:tab w:val="left" w:pos="3094"/>
        </w:tabs>
        <w:spacing w:line="240" w:lineRule="atLeast"/>
        <w:jc w:val="both"/>
        <w:rPr>
          <w:rFonts w:ascii="Times New Roman" w:hAnsi="Times New Roman" w:cs="Times New Roman"/>
          <w:b/>
          <w:bCs/>
          <w:lang w:val="ru-RU"/>
        </w:rPr>
      </w:pPr>
      <w:r w:rsidRPr="00A013E1">
        <w:rPr>
          <w:rFonts w:ascii="Times New Roman" w:hAnsi="Times New Roman" w:cs="Times New Roman"/>
          <w:b/>
          <w:bCs/>
          <w:lang w:val="ru-RU"/>
        </w:rPr>
        <w:lastRenderedPageBreak/>
        <w:t xml:space="preserve">Приложение към Корабното удостоверение за вътрешно корабоплаване </w:t>
      </w:r>
      <w:r w:rsidRPr="00A013E1">
        <w:rPr>
          <w:rFonts w:ascii="Times New Roman" w:hAnsi="Times New Roman" w:cs="Times New Roman"/>
          <w:b/>
          <w:bCs/>
          <w:color w:val="000000"/>
          <w:lang w:val="ru-RU"/>
        </w:rPr>
        <w:t>№ ………..</w:t>
      </w:r>
    </w:p>
    <w:tbl>
      <w:tblPr>
        <w:tblW w:w="9918" w:type="dxa"/>
        <w:tblLayout w:type="fixed"/>
        <w:tblLook w:val="04A0" w:firstRow="1" w:lastRow="0" w:firstColumn="1" w:lastColumn="0" w:noHBand="0" w:noVBand="1"/>
      </w:tblPr>
      <w:tblGrid>
        <w:gridCol w:w="4959"/>
        <w:gridCol w:w="4959"/>
      </w:tblGrid>
      <w:tr w:rsidR="00271FA2" w:rsidRPr="00A013E1" w14:paraId="3F83249D" w14:textId="77777777" w:rsidTr="00F45D2D">
        <w:trPr>
          <w:trHeight w:val="6781"/>
        </w:trPr>
        <w:tc>
          <w:tcPr>
            <w:tcW w:w="4366" w:type="dxa"/>
            <w:tcBorders>
              <w:top w:val="single" w:sz="4" w:space="0" w:color="auto"/>
              <w:left w:val="single" w:sz="4" w:space="0" w:color="auto"/>
              <w:bottom w:val="single" w:sz="4" w:space="0" w:color="auto"/>
              <w:right w:val="single" w:sz="4" w:space="0" w:color="auto"/>
            </w:tcBorders>
          </w:tcPr>
          <w:p w14:paraId="7A0550AA"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6. Списък на отклоненията в техническото състояние от условието на приложимия стандарт за избрания исторически период от време в момента на признаването:</w:t>
            </w:r>
          </w:p>
          <w:p w14:paraId="38F48BE9"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18A830C1"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07631E0E"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0084AC92"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7CDD1A54"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4947F8AF"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691C33CE"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79FC44B1"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5DE438DA"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1765FB75"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3E6C7F6F" w14:textId="77777777" w:rsidR="00271FA2" w:rsidRPr="00A013E1" w:rsidRDefault="00D35E51" w:rsidP="002C0F30">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6361AD8C"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354BC71A"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3721F1DC"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2C484E5A"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6CF2ACD5" w14:textId="77777777" w:rsidR="00271FA2" w:rsidRPr="00A013E1" w:rsidRDefault="00D35E51" w:rsidP="002C0F30">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34DD54ED" w14:textId="77777777" w:rsidR="00271FA2" w:rsidRPr="00A013E1" w:rsidRDefault="00D35E51" w:rsidP="002C0F30">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2A0FD128" w14:textId="12E1CD29" w:rsidR="00271FA2" w:rsidRPr="00A013E1" w:rsidRDefault="00D35E51" w:rsidP="00F45D2D">
            <w:pPr>
              <w:autoSpaceDE w:val="0"/>
              <w:autoSpaceDN w:val="0"/>
              <w:adjustRightInd w:val="0"/>
              <w:spacing w:line="240" w:lineRule="atLeast"/>
              <w:jc w:val="right"/>
              <w:rPr>
                <w:rFonts w:ascii="Times New Roman" w:hAnsi="Times New Roman" w:cs="Times New Roman"/>
                <w:color w:val="000000"/>
              </w:rPr>
            </w:pPr>
            <w:r w:rsidRPr="00A013E1">
              <w:rPr>
                <w:rFonts w:ascii="Times New Roman" w:hAnsi="Times New Roman" w:cs="Times New Roman"/>
                <w:color w:val="000000"/>
              </w:rPr>
              <w:t>..........................................................................</w:t>
            </w:r>
          </w:p>
        </w:tc>
        <w:tc>
          <w:tcPr>
            <w:tcW w:w="4366" w:type="dxa"/>
            <w:tcBorders>
              <w:top w:val="single" w:sz="4" w:space="0" w:color="auto"/>
              <w:left w:val="single" w:sz="4" w:space="0" w:color="auto"/>
              <w:bottom w:val="single" w:sz="4" w:space="0" w:color="auto"/>
              <w:right w:val="single" w:sz="4" w:space="0" w:color="auto"/>
            </w:tcBorders>
          </w:tcPr>
          <w:p w14:paraId="3BD7A2D4"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 xml:space="preserve">7. Допълнителни изисквания, произтичащи от точка 6: </w:t>
            </w:r>
          </w:p>
          <w:p w14:paraId="5A8E7ACD" w14:textId="77777777" w:rsidR="00271FA2" w:rsidRPr="00A013E1" w:rsidRDefault="00271FA2">
            <w:pPr>
              <w:autoSpaceDE w:val="0"/>
              <w:autoSpaceDN w:val="0"/>
              <w:adjustRightInd w:val="0"/>
              <w:spacing w:line="240" w:lineRule="atLeast"/>
              <w:jc w:val="both"/>
              <w:rPr>
                <w:rFonts w:ascii="Times New Roman" w:hAnsi="Times New Roman" w:cs="Times New Roman"/>
                <w:color w:val="000000"/>
                <w:lang w:val="ru-RU"/>
              </w:rPr>
            </w:pPr>
          </w:p>
          <w:p w14:paraId="2709F7DF" w14:textId="70A0C9E8"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4476E0FB" w14:textId="501FDE8B"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1FA1D527" w14:textId="63642033"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r w:rsidR="00F45D2D" w:rsidRPr="00A013E1">
              <w:rPr>
                <w:rFonts w:ascii="Times New Roman" w:hAnsi="Times New Roman" w:cs="Times New Roman"/>
                <w:color w:val="000000"/>
              </w:rPr>
              <w:t>............................</w:t>
            </w:r>
          </w:p>
          <w:p w14:paraId="1E7AF616" w14:textId="652E4A65"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r w:rsidR="00F45D2D" w:rsidRPr="00A013E1">
              <w:rPr>
                <w:rFonts w:ascii="Times New Roman" w:hAnsi="Times New Roman" w:cs="Times New Roman"/>
                <w:color w:val="000000"/>
              </w:rPr>
              <w:t>...............................</w:t>
            </w:r>
          </w:p>
          <w:p w14:paraId="6E3F7751" w14:textId="1ED01796"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13D149A7" w14:textId="7B33C4B4"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24948E7A"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722A96BD"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3828D9CC"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1238467F"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5CD3323E"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2D3B6F42"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4DFCB2FB"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726B15EE"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2A6BAB1B"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7F8FF296"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36113019"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4C6F0BC5" w14:textId="77777777" w:rsidR="00F45D2D" w:rsidRPr="00A013E1" w:rsidRDefault="00F45D2D" w:rsidP="00F45D2D">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51658A9A" w14:textId="74B37B78" w:rsidR="00271FA2" w:rsidRPr="00A013E1" w:rsidRDefault="00271FA2">
            <w:pPr>
              <w:autoSpaceDE w:val="0"/>
              <w:autoSpaceDN w:val="0"/>
              <w:adjustRightInd w:val="0"/>
              <w:spacing w:line="240" w:lineRule="atLeast"/>
              <w:jc w:val="both"/>
              <w:rPr>
                <w:rFonts w:ascii="Times New Roman" w:hAnsi="Times New Roman" w:cs="Times New Roman"/>
                <w:color w:val="000000"/>
              </w:rPr>
            </w:pPr>
          </w:p>
        </w:tc>
      </w:tr>
      <w:tr w:rsidR="00271FA2" w:rsidRPr="00A013E1" w14:paraId="1DF7F187" w14:textId="77777777" w:rsidTr="00F45D2D">
        <w:trPr>
          <w:trHeight w:val="419"/>
        </w:trPr>
        <w:tc>
          <w:tcPr>
            <w:tcW w:w="4366" w:type="dxa"/>
            <w:gridSpan w:val="2"/>
            <w:tcBorders>
              <w:top w:val="single" w:sz="4" w:space="0" w:color="auto"/>
              <w:left w:val="single" w:sz="4" w:space="0" w:color="auto"/>
              <w:bottom w:val="single" w:sz="4" w:space="0" w:color="auto"/>
              <w:right w:val="single" w:sz="4" w:space="0" w:color="auto"/>
            </w:tcBorders>
          </w:tcPr>
          <w:p w14:paraId="25207FBE"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 xml:space="preserve">8. Други условия: </w:t>
            </w:r>
          </w:p>
          <w:p w14:paraId="6AD1544B"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7B9BAAE4"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tc>
      </w:tr>
      <w:tr w:rsidR="00271FA2" w:rsidRPr="00A013E1" w14:paraId="4E19D492" w14:textId="77777777" w:rsidTr="00F45D2D">
        <w:trPr>
          <w:trHeight w:val="418"/>
        </w:trPr>
        <w:tc>
          <w:tcPr>
            <w:tcW w:w="4366" w:type="dxa"/>
            <w:gridSpan w:val="2"/>
            <w:tcBorders>
              <w:top w:val="single" w:sz="4" w:space="0" w:color="auto"/>
              <w:left w:val="single" w:sz="4" w:space="0" w:color="auto"/>
              <w:bottom w:val="single" w:sz="4" w:space="0" w:color="auto"/>
              <w:right w:val="single" w:sz="4" w:space="0" w:color="auto"/>
            </w:tcBorders>
          </w:tcPr>
          <w:p w14:paraId="4BF995E5"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 xml:space="preserve">9. Забележки: </w:t>
            </w:r>
          </w:p>
          <w:p w14:paraId="40F84177"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p w14:paraId="0EF452D1"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w:t>
            </w:r>
          </w:p>
        </w:tc>
      </w:tr>
      <w:tr w:rsidR="00271FA2" w:rsidRPr="00A013E1" w14:paraId="781E0C40" w14:textId="77777777" w:rsidTr="00F45D2D">
        <w:trPr>
          <w:trHeight w:val="1222"/>
        </w:trPr>
        <w:tc>
          <w:tcPr>
            <w:tcW w:w="4366" w:type="dxa"/>
            <w:gridSpan w:val="2"/>
            <w:tcBorders>
              <w:top w:val="single" w:sz="4" w:space="0" w:color="auto"/>
              <w:left w:val="single" w:sz="4" w:space="0" w:color="auto"/>
              <w:bottom w:val="single" w:sz="4" w:space="0" w:color="auto"/>
              <w:right w:val="single" w:sz="4" w:space="0" w:color="auto"/>
            </w:tcBorders>
          </w:tcPr>
          <w:p w14:paraId="4FFCCB2A"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lastRenderedPageBreak/>
              <w:t>Тази страница е издадена/заменена*)</w:t>
            </w:r>
          </w:p>
          <w:p w14:paraId="300AFA34"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Място, дата .......................................................................</w:t>
            </w:r>
            <w:r w:rsidRPr="00A013E1">
              <w:rPr>
                <w:rFonts w:ascii="Times New Roman" w:hAnsi="Times New Roman" w:cs="Times New Roman"/>
                <w:color w:val="000000"/>
                <w:lang w:val="ru-RU"/>
              </w:rPr>
              <w:tab/>
              <w:t>Контролен орган</w:t>
            </w:r>
          </w:p>
          <w:p w14:paraId="302D5E9B"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ab/>
              <w:t>Печат</w:t>
            </w:r>
          </w:p>
          <w:p w14:paraId="57931F3F"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t xml:space="preserve">................................................................ </w:t>
            </w:r>
          </w:p>
          <w:p w14:paraId="4222A3E8"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lang w:val="ru-RU"/>
              </w:rPr>
              <w:tab/>
            </w:r>
            <w:r w:rsidRPr="00A013E1">
              <w:rPr>
                <w:rFonts w:ascii="Times New Roman" w:hAnsi="Times New Roman" w:cs="Times New Roman"/>
                <w:color w:val="000000"/>
              </w:rPr>
              <w:t xml:space="preserve">(Подпис) </w:t>
            </w:r>
          </w:p>
          <w:p w14:paraId="45F6C3F6" w14:textId="77777777" w:rsidR="00271FA2" w:rsidRPr="00A013E1" w:rsidRDefault="00D35E51">
            <w:pPr>
              <w:autoSpaceDE w:val="0"/>
              <w:autoSpaceDN w:val="0"/>
              <w:adjustRightInd w:val="0"/>
              <w:spacing w:line="240" w:lineRule="atLeast"/>
              <w:jc w:val="both"/>
              <w:rPr>
                <w:rFonts w:ascii="Times New Roman" w:hAnsi="Times New Roman" w:cs="Times New Roman"/>
                <w:color w:val="000000"/>
              </w:rPr>
            </w:pPr>
            <w:r w:rsidRPr="00A013E1">
              <w:rPr>
                <w:rFonts w:ascii="Times New Roman" w:hAnsi="Times New Roman" w:cs="Times New Roman"/>
                <w:color w:val="000000"/>
              </w:rPr>
              <w:t xml:space="preserve">___________________________________ </w:t>
            </w:r>
          </w:p>
          <w:p w14:paraId="26C8958D" w14:textId="77777777" w:rsidR="00271FA2" w:rsidRPr="00A013E1" w:rsidRDefault="00D35E51">
            <w:pPr>
              <w:autoSpaceDE w:val="0"/>
              <w:autoSpaceDN w:val="0"/>
              <w:adjustRightInd w:val="0"/>
              <w:spacing w:line="240" w:lineRule="atLeast"/>
              <w:rPr>
                <w:rFonts w:ascii="Times New Roman" w:hAnsi="Times New Roman" w:cs="Times New Roman"/>
                <w:color w:val="000000"/>
              </w:rPr>
            </w:pPr>
            <w:r w:rsidRPr="00A013E1">
              <w:rPr>
                <w:rFonts w:ascii="Times New Roman" w:hAnsi="Times New Roman" w:cs="Times New Roman"/>
                <w:color w:val="000000"/>
              </w:rPr>
              <w:t xml:space="preserve">*) Неприложимото се зачертава. </w:t>
            </w:r>
          </w:p>
        </w:tc>
      </w:tr>
      <w:tr w:rsidR="00271FA2" w:rsidRPr="00A013E1" w14:paraId="5DFD0D00" w14:textId="77777777" w:rsidTr="00F45D2D">
        <w:trPr>
          <w:trHeight w:val="223"/>
        </w:trPr>
        <w:tc>
          <w:tcPr>
            <w:tcW w:w="4366" w:type="dxa"/>
            <w:gridSpan w:val="2"/>
            <w:tcBorders>
              <w:top w:val="single" w:sz="4" w:space="0" w:color="auto"/>
              <w:left w:val="single" w:sz="4" w:space="0" w:color="auto"/>
              <w:bottom w:val="single" w:sz="4" w:space="0" w:color="auto"/>
              <w:right w:val="single" w:sz="4" w:space="0" w:color="auto"/>
            </w:tcBorders>
          </w:tcPr>
          <w:p w14:paraId="33C8DEC6" w14:textId="77777777" w:rsidR="00271FA2" w:rsidRPr="00A013E1" w:rsidRDefault="00D35E51">
            <w:pPr>
              <w:autoSpaceDE w:val="0"/>
              <w:autoSpaceDN w:val="0"/>
              <w:adjustRightInd w:val="0"/>
              <w:spacing w:line="240" w:lineRule="atLeast"/>
              <w:jc w:val="right"/>
              <w:rPr>
                <w:rFonts w:ascii="Times New Roman" w:hAnsi="Times New Roman" w:cs="Times New Roman"/>
                <w:color w:val="000000"/>
                <w:lang w:val="ru-RU"/>
              </w:rPr>
            </w:pPr>
            <w:r w:rsidRPr="00A013E1">
              <w:rPr>
                <w:rFonts w:ascii="Times New Roman" w:hAnsi="Times New Roman" w:cs="Times New Roman"/>
                <w:color w:val="000000"/>
                <w:lang w:val="ru-RU"/>
              </w:rPr>
              <w:t>Продължава на страница*) ..............................</w:t>
            </w:r>
          </w:p>
          <w:p w14:paraId="3C171E95" w14:textId="77777777" w:rsidR="00271FA2" w:rsidRPr="00A013E1" w:rsidRDefault="00D35E51">
            <w:pPr>
              <w:autoSpaceDE w:val="0"/>
              <w:autoSpaceDN w:val="0"/>
              <w:adjustRightInd w:val="0"/>
              <w:spacing w:line="240" w:lineRule="atLeast"/>
              <w:jc w:val="right"/>
              <w:rPr>
                <w:rFonts w:ascii="Times New Roman" w:hAnsi="Times New Roman" w:cs="Times New Roman"/>
                <w:color w:val="000000"/>
                <w:lang w:val="ru-RU"/>
              </w:rPr>
            </w:pPr>
            <w:r w:rsidRPr="00A013E1">
              <w:rPr>
                <w:rFonts w:ascii="Times New Roman" w:hAnsi="Times New Roman" w:cs="Times New Roman"/>
                <w:color w:val="000000"/>
                <w:lang w:val="ru-RU"/>
              </w:rPr>
              <w:t xml:space="preserve">Край на Приложението Традиционно плавателно средство*) </w:t>
            </w:r>
          </w:p>
        </w:tc>
      </w:tr>
    </w:tbl>
    <w:p w14:paraId="1FAB3E25" w14:textId="77777777" w:rsidR="00C02020" w:rsidRPr="00A013E1" w:rsidRDefault="00C02020">
      <w:pPr>
        <w:rPr>
          <w:rFonts w:ascii="Times New Roman" w:hAnsi="Times New Roman" w:cs="Times New Roman"/>
          <w:bCs/>
          <w:lang w:val="ru-RU"/>
        </w:rPr>
        <w:sectPr w:rsidR="00C02020" w:rsidRPr="00A013E1" w:rsidSect="00A013E1">
          <w:headerReference w:type="default" r:id="rId114"/>
          <w:pgSz w:w="12240" w:h="15840"/>
          <w:pgMar w:top="1134" w:right="1134" w:bottom="1134" w:left="1134" w:header="709" w:footer="709" w:gutter="0"/>
          <w:cols w:space="708"/>
          <w:docGrid w:linePitch="299"/>
        </w:sectPr>
      </w:pPr>
    </w:p>
    <w:p w14:paraId="27BADAC3" w14:textId="77777777" w:rsidR="00271FA2" w:rsidRPr="00A013E1" w:rsidRDefault="00D35E51">
      <w:pPr>
        <w:tabs>
          <w:tab w:val="left" w:pos="3094"/>
        </w:tabs>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lastRenderedPageBreak/>
        <w:t xml:space="preserve">Раздел </w:t>
      </w:r>
      <w:r w:rsidRPr="00A013E1">
        <w:rPr>
          <w:rFonts w:ascii="Times New Roman" w:hAnsi="Times New Roman" w:cs="Times New Roman"/>
          <w:b/>
          <w:bCs/>
        </w:rPr>
        <w:t>VI</w:t>
      </w:r>
    </w:p>
    <w:p w14:paraId="46673C96" w14:textId="77777777" w:rsidR="00271FA2" w:rsidRPr="00A013E1" w:rsidRDefault="00D35E51">
      <w:pPr>
        <w:tabs>
          <w:tab w:val="left" w:pos="3094"/>
        </w:tabs>
        <w:spacing w:line="240" w:lineRule="atLeast"/>
        <w:jc w:val="center"/>
        <w:rPr>
          <w:rFonts w:ascii="Times New Roman" w:hAnsi="Times New Roman" w:cs="Times New Roman"/>
          <w:b/>
          <w:bCs/>
          <w:lang w:val="ru-RU"/>
        </w:rPr>
      </w:pPr>
      <w:r w:rsidRPr="00A013E1">
        <w:rPr>
          <w:rFonts w:ascii="Times New Roman" w:hAnsi="Times New Roman" w:cs="Times New Roman"/>
          <w:b/>
          <w:bCs/>
          <w:lang w:val="ru-RU"/>
        </w:rPr>
        <w:t>Образец на регистър на Корабните удостоверения за вътрешно корабоплаване</w:t>
      </w:r>
    </w:p>
    <w:p w14:paraId="018C26DB" w14:textId="77777777" w:rsidR="00271FA2" w:rsidRPr="00A013E1" w:rsidRDefault="00271FA2">
      <w:pPr>
        <w:tabs>
          <w:tab w:val="left" w:pos="3094"/>
        </w:tabs>
        <w:spacing w:line="240" w:lineRule="atLeast"/>
        <w:rPr>
          <w:rFonts w:ascii="Times New Roman" w:hAnsi="Times New Roman" w:cs="Times New Roman"/>
          <w:lang w:val="ru-RU"/>
        </w:rPr>
      </w:pPr>
    </w:p>
    <w:p w14:paraId="78BB434C" w14:textId="77777777" w:rsidR="00271FA2" w:rsidRPr="00A013E1" w:rsidRDefault="00D35E51">
      <w:pPr>
        <w:tabs>
          <w:tab w:val="left" w:pos="3094"/>
        </w:tabs>
        <w:spacing w:line="240" w:lineRule="atLeast"/>
        <w:jc w:val="center"/>
        <w:rPr>
          <w:rFonts w:ascii="Times New Roman" w:hAnsi="Times New Roman" w:cs="Times New Roman"/>
          <w:b/>
          <w:sz w:val="32"/>
          <w:szCs w:val="32"/>
          <w:lang w:val="ru-RU"/>
        </w:rPr>
      </w:pPr>
      <w:r w:rsidRPr="00A013E1">
        <w:rPr>
          <w:rFonts w:ascii="Times New Roman" w:hAnsi="Times New Roman" w:cs="Times New Roman"/>
          <w:b/>
          <w:sz w:val="32"/>
          <w:szCs w:val="32"/>
          <w:lang w:val="ru-RU"/>
        </w:rPr>
        <w:t>Регистър на Корабните удостоверения за вътрешно корабоплаване</w:t>
      </w:r>
    </w:p>
    <w:p w14:paraId="4311AD1A" w14:textId="77777777" w:rsidR="00271FA2" w:rsidRPr="00A013E1" w:rsidRDefault="00271FA2">
      <w:pPr>
        <w:tabs>
          <w:tab w:val="left" w:pos="3094"/>
        </w:tabs>
        <w:spacing w:line="240" w:lineRule="atLeast"/>
        <w:jc w:val="center"/>
        <w:rPr>
          <w:rFonts w:ascii="Times New Roman" w:hAnsi="Times New Roman" w:cs="Times New Roman"/>
          <w:b/>
          <w:lang w:val="ru-RU"/>
        </w:rPr>
      </w:pPr>
    </w:p>
    <w:p w14:paraId="182A9271"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Компетентен орган/Контролен орган</w:t>
      </w:r>
    </w:p>
    <w:p w14:paraId="3440C448" w14:textId="77777777" w:rsidR="00271FA2" w:rsidRPr="00A013E1" w:rsidRDefault="00271FA2">
      <w:pPr>
        <w:tabs>
          <w:tab w:val="left" w:pos="3094"/>
        </w:tabs>
        <w:spacing w:line="240" w:lineRule="atLeast"/>
        <w:jc w:val="center"/>
        <w:rPr>
          <w:rFonts w:ascii="Times New Roman" w:hAnsi="Times New Roman" w:cs="Times New Roman"/>
          <w:lang w:val="ru-RU"/>
        </w:rPr>
      </w:pPr>
    </w:p>
    <w:p w14:paraId="33B6BFB8"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Регистър на удостоверенията</w:t>
      </w:r>
    </w:p>
    <w:p w14:paraId="04E5CD37" w14:textId="77777777" w:rsidR="00271FA2" w:rsidRPr="00A013E1" w:rsidRDefault="00271FA2">
      <w:pPr>
        <w:tabs>
          <w:tab w:val="left" w:pos="3094"/>
        </w:tabs>
        <w:spacing w:line="240" w:lineRule="atLeast"/>
        <w:jc w:val="center"/>
        <w:rPr>
          <w:rFonts w:ascii="Times New Roman" w:hAnsi="Times New Roman" w:cs="Times New Roman"/>
          <w:sz w:val="28"/>
          <w:szCs w:val="28"/>
          <w:lang w:val="ru-RU"/>
        </w:rPr>
      </w:pPr>
    </w:p>
    <w:p w14:paraId="7EFE6283" w14:textId="77777777" w:rsidR="00271FA2" w:rsidRPr="00A013E1" w:rsidRDefault="00D35E51">
      <w:pPr>
        <w:tabs>
          <w:tab w:val="left" w:pos="3094"/>
        </w:tabs>
        <w:spacing w:line="240" w:lineRule="atLeast"/>
        <w:jc w:val="center"/>
        <w:rPr>
          <w:rFonts w:ascii="Times New Roman" w:hAnsi="Times New Roman" w:cs="Times New Roman"/>
          <w:lang w:val="ru-RU"/>
        </w:rPr>
      </w:pPr>
      <w:r w:rsidRPr="00A013E1">
        <w:rPr>
          <w:rFonts w:ascii="Times New Roman" w:hAnsi="Times New Roman" w:cs="Times New Roman"/>
          <w:lang w:val="ru-RU"/>
        </w:rPr>
        <w:t>Година ………………..</w:t>
      </w:r>
    </w:p>
    <w:p w14:paraId="001629E3" w14:textId="77777777" w:rsidR="00271FA2" w:rsidRPr="00A013E1" w:rsidRDefault="00271FA2">
      <w:pPr>
        <w:spacing w:line="240" w:lineRule="atLeast"/>
        <w:rPr>
          <w:rFonts w:ascii="Times New Roman" w:hAnsi="Times New Roman" w:cs="Times New Roman"/>
          <w:lang w:val="ru-RU"/>
        </w:rPr>
        <w:sectPr w:rsidR="00271FA2" w:rsidRPr="00A013E1" w:rsidSect="00A013E1">
          <w:headerReference w:type="default" r:id="rId115"/>
          <w:pgSz w:w="12240" w:h="15840"/>
          <w:pgMar w:top="1134" w:right="1134" w:bottom="1134" w:left="1134" w:header="709" w:footer="709" w:gutter="0"/>
          <w:cols w:space="708"/>
          <w:docGrid w:linePitch="299"/>
        </w:sectPr>
      </w:pPr>
    </w:p>
    <w:p w14:paraId="6D652BE3"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lastRenderedPageBreak/>
        <w:t>Лява страница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850"/>
        <w:gridCol w:w="2410"/>
        <w:gridCol w:w="2504"/>
        <w:gridCol w:w="1392"/>
        <w:gridCol w:w="1407"/>
        <w:gridCol w:w="1374"/>
        <w:gridCol w:w="1257"/>
        <w:gridCol w:w="1370"/>
      </w:tblGrid>
      <w:tr w:rsidR="00271FA2" w:rsidRPr="00A013E1" w14:paraId="2A212096" w14:textId="77777777">
        <w:trPr>
          <w:trHeight w:val="1120"/>
        </w:trPr>
        <w:tc>
          <w:tcPr>
            <w:tcW w:w="2518" w:type="dxa"/>
            <w:gridSpan w:val="3"/>
            <w:tcBorders>
              <w:top w:val="single" w:sz="4" w:space="0" w:color="auto"/>
              <w:left w:val="single" w:sz="4" w:space="0" w:color="auto"/>
              <w:bottom w:val="single" w:sz="4" w:space="0" w:color="auto"/>
              <w:right w:val="single" w:sz="4" w:space="0" w:color="auto"/>
            </w:tcBorders>
            <w:vAlign w:val="center"/>
          </w:tcPr>
          <w:p w14:paraId="5D51A384"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Корабно удостоверение за вътрешно корабоплаване</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FFAE921"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Име на кораба</w:t>
            </w:r>
          </w:p>
        </w:tc>
        <w:tc>
          <w:tcPr>
            <w:tcW w:w="2504" w:type="dxa"/>
            <w:vMerge w:val="restart"/>
            <w:tcBorders>
              <w:top w:val="single" w:sz="4" w:space="0" w:color="auto"/>
              <w:left w:val="single" w:sz="4" w:space="0" w:color="auto"/>
              <w:bottom w:val="single" w:sz="4" w:space="0" w:color="auto"/>
              <w:right w:val="single" w:sz="4" w:space="0" w:color="auto"/>
            </w:tcBorders>
            <w:vAlign w:val="center"/>
          </w:tcPr>
          <w:p w14:paraId="77CE5939"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Уникален европейски идентификационен номер на кораба</w:t>
            </w:r>
          </w:p>
        </w:tc>
        <w:tc>
          <w:tcPr>
            <w:tcW w:w="2799" w:type="dxa"/>
            <w:gridSpan w:val="2"/>
            <w:tcBorders>
              <w:top w:val="single" w:sz="4" w:space="0" w:color="auto"/>
              <w:left w:val="single" w:sz="4" w:space="0" w:color="auto"/>
              <w:bottom w:val="single" w:sz="4" w:space="0" w:color="auto"/>
              <w:right w:val="single" w:sz="4" w:space="0" w:color="auto"/>
            </w:tcBorders>
            <w:vAlign w:val="center"/>
          </w:tcPr>
          <w:p w14:paraId="4241CF6D"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Корабособственик</w:t>
            </w:r>
          </w:p>
        </w:tc>
        <w:tc>
          <w:tcPr>
            <w:tcW w:w="2631" w:type="dxa"/>
            <w:gridSpan w:val="2"/>
            <w:tcBorders>
              <w:top w:val="single" w:sz="4" w:space="0" w:color="auto"/>
              <w:left w:val="single" w:sz="4" w:space="0" w:color="auto"/>
              <w:bottom w:val="single" w:sz="4" w:space="0" w:color="auto"/>
              <w:right w:val="single" w:sz="4" w:space="0" w:color="auto"/>
            </w:tcBorders>
            <w:vAlign w:val="center"/>
          </w:tcPr>
          <w:p w14:paraId="71BF5BD7"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Регистрация на кораба</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14:paraId="55333FBD"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Тип на кораба</w:t>
            </w:r>
          </w:p>
        </w:tc>
      </w:tr>
      <w:tr w:rsidR="00271FA2" w:rsidRPr="00A013E1" w14:paraId="75C5FD2F" w14:textId="77777777">
        <w:trPr>
          <w:trHeight w:val="407"/>
        </w:trPr>
        <w:tc>
          <w:tcPr>
            <w:tcW w:w="817" w:type="dxa"/>
            <w:tcBorders>
              <w:top w:val="single" w:sz="4" w:space="0" w:color="auto"/>
              <w:left w:val="single" w:sz="4" w:space="0" w:color="auto"/>
              <w:bottom w:val="single" w:sz="4" w:space="0" w:color="auto"/>
              <w:right w:val="single" w:sz="4" w:space="0" w:color="auto"/>
            </w:tcBorders>
            <w:vAlign w:val="center"/>
          </w:tcPr>
          <w:p w14:paraId="53EBD5AF"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14:paraId="19718773"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Ден</w:t>
            </w:r>
          </w:p>
        </w:tc>
        <w:tc>
          <w:tcPr>
            <w:tcW w:w="850" w:type="dxa"/>
            <w:tcBorders>
              <w:top w:val="single" w:sz="4" w:space="0" w:color="auto"/>
              <w:left w:val="single" w:sz="4" w:space="0" w:color="auto"/>
              <w:bottom w:val="single" w:sz="4" w:space="0" w:color="auto"/>
              <w:right w:val="single" w:sz="4" w:space="0" w:color="auto"/>
            </w:tcBorders>
            <w:vAlign w:val="center"/>
          </w:tcPr>
          <w:p w14:paraId="3365F755"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Месец</w:t>
            </w:r>
          </w:p>
        </w:tc>
        <w:tc>
          <w:tcPr>
            <w:tcW w:w="2410" w:type="dxa"/>
            <w:vMerge/>
            <w:tcBorders>
              <w:top w:val="single" w:sz="4" w:space="0" w:color="auto"/>
              <w:left w:val="single" w:sz="4" w:space="0" w:color="auto"/>
              <w:bottom w:val="single" w:sz="4" w:space="0" w:color="auto"/>
              <w:right w:val="single" w:sz="4" w:space="0" w:color="auto"/>
            </w:tcBorders>
            <w:vAlign w:val="center"/>
          </w:tcPr>
          <w:p w14:paraId="69CE4654" w14:textId="77777777" w:rsidR="00271FA2" w:rsidRPr="00A013E1" w:rsidRDefault="00271FA2">
            <w:pPr>
              <w:spacing w:line="240" w:lineRule="atLeast"/>
              <w:rPr>
                <w:rFonts w:ascii="Times New Roman" w:hAnsi="Times New Roman" w:cs="Times New Roman"/>
              </w:rPr>
            </w:pPr>
          </w:p>
        </w:tc>
        <w:tc>
          <w:tcPr>
            <w:tcW w:w="2504" w:type="dxa"/>
            <w:vMerge/>
            <w:tcBorders>
              <w:top w:val="single" w:sz="4" w:space="0" w:color="auto"/>
              <w:left w:val="single" w:sz="4" w:space="0" w:color="auto"/>
              <w:bottom w:val="single" w:sz="4" w:space="0" w:color="auto"/>
              <w:right w:val="single" w:sz="4" w:space="0" w:color="auto"/>
            </w:tcBorders>
            <w:vAlign w:val="center"/>
          </w:tcPr>
          <w:p w14:paraId="296CE52D" w14:textId="77777777" w:rsidR="00271FA2" w:rsidRPr="00A013E1" w:rsidRDefault="00271FA2">
            <w:pPr>
              <w:spacing w:line="240" w:lineRule="atLeast"/>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vAlign w:val="center"/>
          </w:tcPr>
          <w:p w14:paraId="51A0AEF6"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Име</w:t>
            </w:r>
          </w:p>
        </w:tc>
        <w:tc>
          <w:tcPr>
            <w:tcW w:w="1407" w:type="dxa"/>
            <w:tcBorders>
              <w:top w:val="single" w:sz="4" w:space="0" w:color="auto"/>
              <w:left w:val="single" w:sz="4" w:space="0" w:color="auto"/>
              <w:bottom w:val="single" w:sz="4" w:space="0" w:color="auto"/>
              <w:right w:val="single" w:sz="4" w:space="0" w:color="auto"/>
            </w:tcBorders>
            <w:vAlign w:val="center"/>
          </w:tcPr>
          <w:p w14:paraId="1C64F560"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Адрес</w:t>
            </w:r>
          </w:p>
        </w:tc>
        <w:tc>
          <w:tcPr>
            <w:tcW w:w="1374" w:type="dxa"/>
            <w:tcBorders>
              <w:top w:val="single" w:sz="4" w:space="0" w:color="auto"/>
              <w:left w:val="single" w:sz="4" w:space="0" w:color="auto"/>
              <w:bottom w:val="single" w:sz="4" w:space="0" w:color="auto"/>
              <w:right w:val="single" w:sz="4" w:space="0" w:color="auto"/>
            </w:tcBorders>
            <w:vAlign w:val="center"/>
          </w:tcPr>
          <w:p w14:paraId="68262DD4"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Място</w:t>
            </w:r>
          </w:p>
        </w:tc>
        <w:tc>
          <w:tcPr>
            <w:tcW w:w="1257" w:type="dxa"/>
            <w:tcBorders>
              <w:top w:val="single" w:sz="4" w:space="0" w:color="auto"/>
              <w:left w:val="single" w:sz="4" w:space="0" w:color="auto"/>
              <w:bottom w:val="single" w:sz="4" w:space="0" w:color="auto"/>
              <w:right w:val="single" w:sz="4" w:space="0" w:color="auto"/>
            </w:tcBorders>
            <w:vAlign w:val="center"/>
          </w:tcPr>
          <w:p w14:paraId="1BB90292"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1370" w:type="dxa"/>
            <w:vMerge/>
            <w:tcBorders>
              <w:top w:val="single" w:sz="4" w:space="0" w:color="auto"/>
              <w:left w:val="single" w:sz="4" w:space="0" w:color="auto"/>
              <w:bottom w:val="single" w:sz="4" w:space="0" w:color="auto"/>
              <w:right w:val="single" w:sz="4" w:space="0" w:color="auto"/>
            </w:tcBorders>
            <w:vAlign w:val="center"/>
          </w:tcPr>
          <w:p w14:paraId="23A46BBD" w14:textId="77777777" w:rsidR="00271FA2" w:rsidRPr="00A013E1" w:rsidRDefault="00271FA2">
            <w:pPr>
              <w:spacing w:line="240" w:lineRule="atLeast"/>
              <w:rPr>
                <w:rFonts w:ascii="Times New Roman" w:hAnsi="Times New Roman" w:cs="Times New Roman"/>
              </w:rPr>
            </w:pPr>
          </w:p>
        </w:tc>
      </w:tr>
      <w:tr w:rsidR="00271FA2" w:rsidRPr="00A013E1" w14:paraId="30C95DCE" w14:textId="77777777">
        <w:tc>
          <w:tcPr>
            <w:tcW w:w="817" w:type="dxa"/>
            <w:tcBorders>
              <w:top w:val="single" w:sz="4" w:space="0" w:color="auto"/>
              <w:left w:val="single" w:sz="4" w:space="0" w:color="auto"/>
              <w:bottom w:val="single" w:sz="4" w:space="0" w:color="auto"/>
              <w:right w:val="single" w:sz="4" w:space="0" w:color="auto"/>
            </w:tcBorders>
          </w:tcPr>
          <w:p w14:paraId="478EF7DF"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2C81355"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609A7E3E"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21E9EC9D"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2626FF94"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4127A19D"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286FDD80"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66914CB1"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6F38104B"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54D5FFF6" w14:textId="77777777" w:rsidR="00271FA2" w:rsidRPr="00A013E1" w:rsidRDefault="00271FA2">
            <w:pPr>
              <w:spacing w:line="240" w:lineRule="atLeast"/>
              <w:jc w:val="center"/>
              <w:rPr>
                <w:rFonts w:ascii="Times New Roman" w:hAnsi="Times New Roman" w:cs="Times New Roman"/>
              </w:rPr>
            </w:pPr>
          </w:p>
        </w:tc>
      </w:tr>
      <w:tr w:rsidR="00271FA2" w:rsidRPr="00A013E1" w14:paraId="2908BB3E" w14:textId="77777777">
        <w:tc>
          <w:tcPr>
            <w:tcW w:w="817" w:type="dxa"/>
            <w:tcBorders>
              <w:top w:val="single" w:sz="4" w:space="0" w:color="auto"/>
              <w:left w:val="single" w:sz="4" w:space="0" w:color="auto"/>
              <w:bottom w:val="single" w:sz="4" w:space="0" w:color="auto"/>
              <w:right w:val="single" w:sz="4" w:space="0" w:color="auto"/>
            </w:tcBorders>
          </w:tcPr>
          <w:p w14:paraId="38206EB8"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4F445C3D"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0C93705F"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0F4AA8AF"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3E35EF95"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3634EED6"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27BB5B10"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59A14E0D"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1C3C2F60"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4BF249DF" w14:textId="77777777" w:rsidR="00271FA2" w:rsidRPr="00A013E1" w:rsidRDefault="00271FA2">
            <w:pPr>
              <w:spacing w:line="240" w:lineRule="atLeast"/>
              <w:jc w:val="center"/>
              <w:rPr>
                <w:rFonts w:ascii="Times New Roman" w:hAnsi="Times New Roman" w:cs="Times New Roman"/>
              </w:rPr>
            </w:pPr>
          </w:p>
        </w:tc>
      </w:tr>
      <w:tr w:rsidR="00271FA2" w:rsidRPr="00A013E1" w14:paraId="00EBDCFF" w14:textId="77777777">
        <w:tc>
          <w:tcPr>
            <w:tcW w:w="817" w:type="dxa"/>
            <w:tcBorders>
              <w:top w:val="single" w:sz="4" w:space="0" w:color="auto"/>
              <w:left w:val="single" w:sz="4" w:space="0" w:color="auto"/>
              <w:bottom w:val="single" w:sz="4" w:space="0" w:color="auto"/>
              <w:right w:val="single" w:sz="4" w:space="0" w:color="auto"/>
            </w:tcBorders>
          </w:tcPr>
          <w:p w14:paraId="4F03FB16"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6C4525B"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4986552"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3573C2B9"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3501F512"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2723806B"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18024A49"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2AE89BF3"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38B3936B"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5C2B370D" w14:textId="77777777" w:rsidR="00271FA2" w:rsidRPr="00A013E1" w:rsidRDefault="00271FA2">
            <w:pPr>
              <w:spacing w:line="240" w:lineRule="atLeast"/>
              <w:jc w:val="center"/>
              <w:rPr>
                <w:rFonts w:ascii="Times New Roman" w:hAnsi="Times New Roman" w:cs="Times New Roman"/>
              </w:rPr>
            </w:pPr>
          </w:p>
        </w:tc>
      </w:tr>
      <w:tr w:rsidR="00271FA2" w:rsidRPr="00A013E1" w14:paraId="06CCD692" w14:textId="77777777">
        <w:tc>
          <w:tcPr>
            <w:tcW w:w="817" w:type="dxa"/>
            <w:tcBorders>
              <w:top w:val="single" w:sz="4" w:space="0" w:color="auto"/>
              <w:left w:val="single" w:sz="4" w:space="0" w:color="auto"/>
              <w:bottom w:val="single" w:sz="4" w:space="0" w:color="auto"/>
              <w:right w:val="single" w:sz="4" w:space="0" w:color="auto"/>
            </w:tcBorders>
          </w:tcPr>
          <w:p w14:paraId="7389CBFF"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863D9AC"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79A24704"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618B52BF"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38F2519D"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4331C0E9"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66C2926B"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517802AA"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040B0DE7"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3720F7BD" w14:textId="77777777" w:rsidR="00271FA2" w:rsidRPr="00A013E1" w:rsidRDefault="00271FA2">
            <w:pPr>
              <w:spacing w:line="240" w:lineRule="atLeast"/>
              <w:jc w:val="center"/>
              <w:rPr>
                <w:rFonts w:ascii="Times New Roman" w:hAnsi="Times New Roman" w:cs="Times New Roman"/>
              </w:rPr>
            </w:pPr>
          </w:p>
        </w:tc>
      </w:tr>
      <w:tr w:rsidR="00271FA2" w:rsidRPr="00A013E1" w14:paraId="12FACD79" w14:textId="77777777">
        <w:tc>
          <w:tcPr>
            <w:tcW w:w="817" w:type="dxa"/>
            <w:tcBorders>
              <w:top w:val="single" w:sz="4" w:space="0" w:color="auto"/>
              <w:left w:val="single" w:sz="4" w:space="0" w:color="auto"/>
              <w:bottom w:val="single" w:sz="4" w:space="0" w:color="auto"/>
              <w:right w:val="single" w:sz="4" w:space="0" w:color="auto"/>
            </w:tcBorders>
          </w:tcPr>
          <w:p w14:paraId="7B504865"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1F65515"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722AF359"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74C68CAC"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000F9FB2"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726E10DB"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03898D50"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4EFED89B"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21C88209"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243150F0" w14:textId="77777777" w:rsidR="00271FA2" w:rsidRPr="00A013E1" w:rsidRDefault="00271FA2">
            <w:pPr>
              <w:spacing w:line="240" w:lineRule="atLeast"/>
              <w:jc w:val="center"/>
              <w:rPr>
                <w:rFonts w:ascii="Times New Roman" w:hAnsi="Times New Roman" w:cs="Times New Roman"/>
              </w:rPr>
            </w:pPr>
          </w:p>
        </w:tc>
      </w:tr>
      <w:tr w:rsidR="00271FA2" w:rsidRPr="00A013E1" w14:paraId="1DE61A57" w14:textId="77777777">
        <w:tc>
          <w:tcPr>
            <w:tcW w:w="817" w:type="dxa"/>
            <w:tcBorders>
              <w:top w:val="single" w:sz="4" w:space="0" w:color="auto"/>
              <w:left w:val="single" w:sz="4" w:space="0" w:color="auto"/>
              <w:bottom w:val="single" w:sz="4" w:space="0" w:color="auto"/>
              <w:right w:val="single" w:sz="4" w:space="0" w:color="auto"/>
            </w:tcBorders>
          </w:tcPr>
          <w:p w14:paraId="3AA95CF8"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E6070E9"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4D853D1"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1A14431C"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165F35E8"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5DA3C99D"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6F7A7F0C"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4968E898"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58AFE529"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6EF73CD8" w14:textId="77777777" w:rsidR="00271FA2" w:rsidRPr="00A013E1" w:rsidRDefault="00271FA2">
            <w:pPr>
              <w:spacing w:line="240" w:lineRule="atLeast"/>
              <w:jc w:val="center"/>
              <w:rPr>
                <w:rFonts w:ascii="Times New Roman" w:hAnsi="Times New Roman" w:cs="Times New Roman"/>
              </w:rPr>
            </w:pPr>
          </w:p>
        </w:tc>
      </w:tr>
      <w:tr w:rsidR="00271FA2" w:rsidRPr="00A013E1" w14:paraId="4A5C9C0D" w14:textId="77777777">
        <w:tc>
          <w:tcPr>
            <w:tcW w:w="817" w:type="dxa"/>
            <w:tcBorders>
              <w:top w:val="single" w:sz="4" w:space="0" w:color="auto"/>
              <w:left w:val="single" w:sz="4" w:space="0" w:color="auto"/>
              <w:bottom w:val="single" w:sz="4" w:space="0" w:color="auto"/>
              <w:right w:val="single" w:sz="4" w:space="0" w:color="auto"/>
            </w:tcBorders>
          </w:tcPr>
          <w:p w14:paraId="1F8D366D"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76DBDA1"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8108EA6"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4E3D42E2"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1F3BA402"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4E0F9447"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46B8406F"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258CB798"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226C10D2"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26CE1086" w14:textId="77777777" w:rsidR="00271FA2" w:rsidRPr="00A013E1" w:rsidRDefault="00271FA2">
            <w:pPr>
              <w:spacing w:line="240" w:lineRule="atLeast"/>
              <w:jc w:val="center"/>
              <w:rPr>
                <w:rFonts w:ascii="Times New Roman" w:hAnsi="Times New Roman" w:cs="Times New Roman"/>
              </w:rPr>
            </w:pPr>
          </w:p>
        </w:tc>
      </w:tr>
      <w:tr w:rsidR="00271FA2" w:rsidRPr="00A013E1" w14:paraId="7417A4FF" w14:textId="77777777">
        <w:tc>
          <w:tcPr>
            <w:tcW w:w="817" w:type="dxa"/>
            <w:tcBorders>
              <w:top w:val="single" w:sz="4" w:space="0" w:color="auto"/>
              <w:left w:val="single" w:sz="4" w:space="0" w:color="auto"/>
              <w:bottom w:val="single" w:sz="4" w:space="0" w:color="auto"/>
              <w:right w:val="single" w:sz="4" w:space="0" w:color="auto"/>
            </w:tcBorders>
          </w:tcPr>
          <w:p w14:paraId="5DDB817A"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49030E98"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553BEEE"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48D05E8B"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7CC7C92B"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177D6C30"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41AC20C3"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0371C2F1"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3E5052D2"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2A860FC4" w14:textId="77777777" w:rsidR="00271FA2" w:rsidRPr="00A013E1" w:rsidRDefault="00271FA2">
            <w:pPr>
              <w:spacing w:line="240" w:lineRule="atLeast"/>
              <w:jc w:val="center"/>
              <w:rPr>
                <w:rFonts w:ascii="Times New Roman" w:hAnsi="Times New Roman" w:cs="Times New Roman"/>
              </w:rPr>
            </w:pPr>
          </w:p>
        </w:tc>
      </w:tr>
      <w:tr w:rsidR="00271FA2" w:rsidRPr="00A013E1" w14:paraId="7635761D" w14:textId="77777777">
        <w:tc>
          <w:tcPr>
            <w:tcW w:w="817" w:type="dxa"/>
            <w:tcBorders>
              <w:top w:val="single" w:sz="4" w:space="0" w:color="auto"/>
              <w:left w:val="single" w:sz="4" w:space="0" w:color="auto"/>
              <w:bottom w:val="single" w:sz="4" w:space="0" w:color="auto"/>
              <w:right w:val="single" w:sz="4" w:space="0" w:color="auto"/>
            </w:tcBorders>
          </w:tcPr>
          <w:p w14:paraId="4A21BFD3"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BC8DECB"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3417BCC2"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0DB11BFF"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5E8BBDFB"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320436CD"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66B73089"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1CCDDE59"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20D7C95C"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11549DC6" w14:textId="77777777" w:rsidR="00271FA2" w:rsidRPr="00A013E1" w:rsidRDefault="00271FA2">
            <w:pPr>
              <w:spacing w:line="240" w:lineRule="atLeast"/>
              <w:jc w:val="center"/>
              <w:rPr>
                <w:rFonts w:ascii="Times New Roman" w:hAnsi="Times New Roman" w:cs="Times New Roman"/>
              </w:rPr>
            </w:pPr>
          </w:p>
        </w:tc>
      </w:tr>
      <w:tr w:rsidR="00271FA2" w:rsidRPr="00A013E1" w14:paraId="5C57B5DD" w14:textId="77777777">
        <w:tc>
          <w:tcPr>
            <w:tcW w:w="817" w:type="dxa"/>
            <w:tcBorders>
              <w:top w:val="single" w:sz="4" w:space="0" w:color="auto"/>
              <w:left w:val="single" w:sz="4" w:space="0" w:color="auto"/>
              <w:bottom w:val="single" w:sz="4" w:space="0" w:color="auto"/>
              <w:right w:val="single" w:sz="4" w:space="0" w:color="auto"/>
            </w:tcBorders>
          </w:tcPr>
          <w:p w14:paraId="7C0137C8"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5C60098"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811BAAF"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4B33A1E4"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16D68B43"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3FA93E3D"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5AC58D24"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67C475E4"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76EBA788"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49870856" w14:textId="77777777" w:rsidR="00271FA2" w:rsidRPr="00A013E1" w:rsidRDefault="00271FA2">
            <w:pPr>
              <w:spacing w:line="240" w:lineRule="atLeast"/>
              <w:jc w:val="center"/>
              <w:rPr>
                <w:rFonts w:ascii="Times New Roman" w:hAnsi="Times New Roman" w:cs="Times New Roman"/>
              </w:rPr>
            </w:pPr>
          </w:p>
        </w:tc>
      </w:tr>
      <w:tr w:rsidR="00271FA2" w:rsidRPr="00A013E1" w14:paraId="478E1574" w14:textId="77777777">
        <w:tc>
          <w:tcPr>
            <w:tcW w:w="817" w:type="dxa"/>
            <w:tcBorders>
              <w:top w:val="single" w:sz="4" w:space="0" w:color="auto"/>
              <w:left w:val="single" w:sz="4" w:space="0" w:color="auto"/>
              <w:bottom w:val="single" w:sz="4" w:space="0" w:color="auto"/>
              <w:right w:val="single" w:sz="4" w:space="0" w:color="auto"/>
            </w:tcBorders>
          </w:tcPr>
          <w:p w14:paraId="2BE8CB55"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1CCD52E0"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0BF10A6F"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3929FA80"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1A7BC07E"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189459E6"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0E4981E8"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35096159"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43E8526C"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42AED0D3" w14:textId="77777777" w:rsidR="00271FA2" w:rsidRPr="00A013E1" w:rsidRDefault="00271FA2">
            <w:pPr>
              <w:spacing w:line="240" w:lineRule="atLeast"/>
              <w:jc w:val="center"/>
              <w:rPr>
                <w:rFonts w:ascii="Times New Roman" w:hAnsi="Times New Roman" w:cs="Times New Roman"/>
              </w:rPr>
            </w:pPr>
          </w:p>
        </w:tc>
      </w:tr>
      <w:tr w:rsidR="00271FA2" w:rsidRPr="00A013E1" w14:paraId="5E759B65" w14:textId="77777777">
        <w:tc>
          <w:tcPr>
            <w:tcW w:w="817" w:type="dxa"/>
            <w:tcBorders>
              <w:top w:val="single" w:sz="4" w:space="0" w:color="auto"/>
              <w:left w:val="single" w:sz="4" w:space="0" w:color="auto"/>
              <w:bottom w:val="single" w:sz="4" w:space="0" w:color="auto"/>
              <w:right w:val="single" w:sz="4" w:space="0" w:color="auto"/>
            </w:tcBorders>
          </w:tcPr>
          <w:p w14:paraId="30D9E513"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235CCE4"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5020924"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4A257A67"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1AD59078"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0E141746"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33CD9D71"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721DB6B0"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78F67871"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227786A8" w14:textId="77777777" w:rsidR="00271FA2" w:rsidRPr="00A013E1" w:rsidRDefault="00271FA2">
            <w:pPr>
              <w:spacing w:line="240" w:lineRule="atLeast"/>
              <w:jc w:val="center"/>
              <w:rPr>
                <w:rFonts w:ascii="Times New Roman" w:hAnsi="Times New Roman" w:cs="Times New Roman"/>
              </w:rPr>
            </w:pPr>
          </w:p>
        </w:tc>
      </w:tr>
      <w:tr w:rsidR="00271FA2" w:rsidRPr="00A013E1" w14:paraId="4E6594B6" w14:textId="77777777">
        <w:tc>
          <w:tcPr>
            <w:tcW w:w="817" w:type="dxa"/>
            <w:tcBorders>
              <w:top w:val="single" w:sz="4" w:space="0" w:color="auto"/>
              <w:left w:val="single" w:sz="4" w:space="0" w:color="auto"/>
              <w:bottom w:val="single" w:sz="4" w:space="0" w:color="auto"/>
              <w:right w:val="single" w:sz="4" w:space="0" w:color="auto"/>
            </w:tcBorders>
          </w:tcPr>
          <w:p w14:paraId="60D74CA7"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EA49023"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4A3A7704"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3FF4A84C"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27E94F44"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3C92AD82"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62172AD8"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2DD37969"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24E57BED"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12CFF137" w14:textId="77777777" w:rsidR="00271FA2" w:rsidRPr="00A013E1" w:rsidRDefault="00271FA2">
            <w:pPr>
              <w:spacing w:line="240" w:lineRule="atLeast"/>
              <w:jc w:val="center"/>
              <w:rPr>
                <w:rFonts w:ascii="Times New Roman" w:hAnsi="Times New Roman" w:cs="Times New Roman"/>
              </w:rPr>
            </w:pPr>
          </w:p>
        </w:tc>
      </w:tr>
      <w:tr w:rsidR="00271FA2" w:rsidRPr="00A013E1" w14:paraId="4D09107D" w14:textId="77777777">
        <w:tc>
          <w:tcPr>
            <w:tcW w:w="817" w:type="dxa"/>
            <w:tcBorders>
              <w:top w:val="single" w:sz="4" w:space="0" w:color="auto"/>
              <w:left w:val="single" w:sz="4" w:space="0" w:color="auto"/>
              <w:bottom w:val="single" w:sz="4" w:space="0" w:color="auto"/>
              <w:right w:val="single" w:sz="4" w:space="0" w:color="auto"/>
            </w:tcBorders>
          </w:tcPr>
          <w:p w14:paraId="2A06D9C5"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3DD1143"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32EC281C"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28CB7BD0"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21599289"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04575F8D"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26F9462B"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44059DF6"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2689C501"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0E577AA7" w14:textId="77777777" w:rsidR="00271FA2" w:rsidRPr="00A013E1" w:rsidRDefault="00271FA2">
            <w:pPr>
              <w:spacing w:line="240" w:lineRule="atLeast"/>
              <w:jc w:val="center"/>
              <w:rPr>
                <w:rFonts w:ascii="Times New Roman" w:hAnsi="Times New Roman" w:cs="Times New Roman"/>
              </w:rPr>
            </w:pPr>
          </w:p>
        </w:tc>
      </w:tr>
      <w:tr w:rsidR="00271FA2" w:rsidRPr="00A013E1" w14:paraId="6BC4A9AD" w14:textId="77777777">
        <w:tc>
          <w:tcPr>
            <w:tcW w:w="817" w:type="dxa"/>
            <w:tcBorders>
              <w:top w:val="single" w:sz="4" w:space="0" w:color="auto"/>
              <w:left w:val="single" w:sz="4" w:space="0" w:color="auto"/>
              <w:bottom w:val="single" w:sz="4" w:space="0" w:color="auto"/>
              <w:right w:val="single" w:sz="4" w:space="0" w:color="auto"/>
            </w:tcBorders>
          </w:tcPr>
          <w:p w14:paraId="6FCA719C"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44756495"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66A08C28"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382DC72E"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4F3EF1B9"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3CCC2105"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7E1B9C59"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0449F2E1"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23F74E9F"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618FFC08" w14:textId="77777777" w:rsidR="00271FA2" w:rsidRPr="00A013E1" w:rsidRDefault="00271FA2">
            <w:pPr>
              <w:spacing w:line="240" w:lineRule="atLeast"/>
              <w:jc w:val="center"/>
              <w:rPr>
                <w:rFonts w:ascii="Times New Roman" w:hAnsi="Times New Roman" w:cs="Times New Roman"/>
              </w:rPr>
            </w:pPr>
          </w:p>
        </w:tc>
      </w:tr>
      <w:tr w:rsidR="00271FA2" w:rsidRPr="00A013E1" w14:paraId="0BDA965E" w14:textId="77777777">
        <w:tc>
          <w:tcPr>
            <w:tcW w:w="817" w:type="dxa"/>
            <w:tcBorders>
              <w:top w:val="single" w:sz="4" w:space="0" w:color="auto"/>
              <w:left w:val="single" w:sz="4" w:space="0" w:color="auto"/>
              <w:bottom w:val="single" w:sz="4" w:space="0" w:color="auto"/>
              <w:right w:val="single" w:sz="4" w:space="0" w:color="auto"/>
            </w:tcBorders>
          </w:tcPr>
          <w:p w14:paraId="72AE4BD4"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39FF921"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4B253D3B"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6EAADCE5"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2BE91C94"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28FA1616"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1D2E05F0"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09A687A8"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54AEE5BD"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54B055DB" w14:textId="77777777" w:rsidR="00271FA2" w:rsidRPr="00A013E1" w:rsidRDefault="00271FA2">
            <w:pPr>
              <w:spacing w:line="240" w:lineRule="atLeast"/>
              <w:jc w:val="center"/>
              <w:rPr>
                <w:rFonts w:ascii="Times New Roman" w:hAnsi="Times New Roman" w:cs="Times New Roman"/>
              </w:rPr>
            </w:pPr>
          </w:p>
        </w:tc>
      </w:tr>
      <w:tr w:rsidR="00271FA2" w:rsidRPr="00A013E1" w14:paraId="10251233" w14:textId="77777777">
        <w:tc>
          <w:tcPr>
            <w:tcW w:w="817" w:type="dxa"/>
            <w:tcBorders>
              <w:top w:val="single" w:sz="4" w:space="0" w:color="auto"/>
              <w:left w:val="single" w:sz="4" w:space="0" w:color="auto"/>
              <w:bottom w:val="single" w:sz="4" w:space="0" w:color="auto"/>
              <w:right w:val="single" w:sz="4" w:space="0" w:color="auto"/>
            </w:tcBorders>
          </w:tcPr>
          <w:p w14:paraId="5BC74586"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6C31A6C"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05D95490"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7D8DDC0B"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463F99FE"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110372D4"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4C58E26A"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08F2ED94"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6A90FDE9"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5769C7DB" w14:textId="77777777" w:rsidR="00271FA2" w:rsidRPr="00A013E1" w:rsidRDefault="00271FA2">
            <w:pPr>
              <w:spacing w:line="240" w:lineRule="atLeast"/>
              <w:jc w:val="center"/>
              <w:rPr>
                <w:rFonts w:ascii="Times New Roman" w:hAnsi="Times New Roman" w:cs="Times New Roman"/>
              </w:rPr>
            </w:pPr>
          </w:p>
        </w:tc>
      </w:tr>
      <w:tr w:rsidR="00271FA2" w:rsidRPr="00A013E1" w14:paraId="1ACAE7BA" w14:textId="77777777">
        <w:tc>
          <w:tcPr>
            <w:tcW w:w="817" w:type="dxa"/>
            <w:tcBorders>
              <w:top w:val="single" w:sz="4" w:space="0" w:color="auto"/>
              <w:left w:val="single" w:sz="4" w:space="0" w:color="auto"/>
              <w:bottom w:val="single" w:sz="4" w:space="0" w:color="auto"/>
              <w:right w:val="single" w:sz="4" w:space="0" w:color="auto"/>
            </w:tcBorders>
          </w:tcPr>
          <w:p w14:paraId="7937E8BE"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70E8C665"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D0FF6D2"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587C9FF1"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4010CF98"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5FF8DB66"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6905C872"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1DE7A8F0"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5B48CBC3"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12BDEA1C" w14:textId="77777777" w:rsidR="00271FA2" w:rsidRPr="00A013E1" w:rsidRDefault="00271FA2">
            <w:pPr>
              <w:spacing w:line="240" w:lineRule="atLeast"/>
              <w:jc w:val="center"/>
              <w:rPr>
                <w:rFonts w:ascii="Times New Roman" w:hAnsi="Times New Roman" w:cs="Times New Roman"/>
              </w:rPr>
            </w:pPr>
          </w:p>
        </w:tc>
      </w:tr>
      <w:tr w:rsidR="00271FA2" w:rsidRPr="00A013E1" w14:paraId="7F4A2C14" w14:textId="77777777">
        <w:tc>
          <w:tcPr>
            <w:tcW w:w="817" w:type="dxa"/>
            <w:tcBorders>
              <w:top w:val="single" w:sz="4" w:space="0" w:color="auto"/>
              <w:left w:val="single" w:sz="4" w:space="0" w:color="auto"/>
              <w:bottom w:val="single" w:sz="4" w:space="0" w:color="auto"/>
              <w:right w:val="single" w:sz="4" w:space="0" w:color="auto"/>
            </w:tcBorders>
          </w:tcPr>
          <w:p w14:paraId="75287CD8"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D4A661A"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A3BC233"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0195CE56"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6B19685F"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48C5E804"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6B62CF39"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48B49B84"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53BF00AD"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6189D200" w14:textId="77777777" w:rsidR="00271FA2" w:rsidRPr="00A013E1" w:rsidRDefault="00271FA2">
            <w:pPr>
              <w:spacing w:line="240" w:lineRule="atLeast"/>
              <w:jc w:val="center"/>
              <w:rPr>
                <w:rFonts w:ascii="Times New Roman" w:hAnsi="Times New Roman" w:cs="Times New Roman"/>
              </w:rPr>
            </w:pPr>
          </w:p>
        </w:tc>
      </w:tr>
      <w:tr w:rsidR="00271FA2" w:rsidRPr="00A013E1" w14:paraId="405002D4" w14:textId="77777777">
        <w:tc>
          <w:tcPr>
            <w:tcW w:w="817" w:type="dxa"/>
            <w:tcBorders>
              <w:top w:val="single" w:sz="4" w:space="0" w:color="auto"/>
              <w:left w:val="single" w:sz="4" w:space="0" w:color="auto"/>
              <w:bottom w:val="single" w:sz="4" w:space="0" w:color="auto"/>
              <w:right w:val="single" w:sz="4" w:space="0" w:color="auto"/>
            </w:tcBorders>
          </w:tcPr>
          <w:p w14:paraId="5B89F28D"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62AEBA8"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479F5D1B"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47C39CD1"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3663C6C2"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2CCCC93C"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4750C495"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00927468"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0D8858F4"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42C951B2" w14:textId="77777777" w:rsidR="00271FA2" w:rsidRPr="00A013E1" w:rsidRDefault="00271FA2">
            <w:pPr>
              <w:spacing w:line="240" w:lineRule="atLeast"/>
              <w:jc w:val="center"/>
              <w:rPr>
                <w:rFonts w:ascii="Times New Roman" w:hAnsi="Times New Roman" w:cs="Times New Roman"/>
              </w:rPr>
            </w:pPr>
          </w:p>
        </w:tc>
      </w:tr>
      <w:tr w:rsidR="00271FA2" w:rsidRPr="00A013E1" w14:paraId="470F3107" w14:textId="77777777">
        <w:tc>
          <w:tcPr>
            <w:tcW w:w="817" w:type="dxa"/>
            <w:tcBorders>
              <w:top w:val="single" w:sz="4" w:space="0" w:color="auto"/>
              <w:left w:val="single" w:sz="4" w:space="0" w:color="auto"/>
              <w:bottom w:val="single" w:sz="4" w:space="0" w:color="auto"/>
              <w:right w:val="single" w:sz="4" w:space="0" w:color="auto"/>
            </w:tcBorders>
          </w:tcPr>
          <w:p w14:paraId="5889430D" w14:textId="77777777" w:rsidR="00271FA2" w:rsidRPr="00A013E1" w:rsidRDefault="00271FA2">
            <w:pPr>
              <w:spacing w:line="240" w:lineRule="atLeast"/>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4DE20DE" w14:textId="77777777" w:rsidR="00271FA2" w:rsidRPr="00A013E1" w:rsidRDefault="00271FA2">
            <w:pPr>
              <w:spacing w:line="240" w:lineRule="atLeast"/>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789FA1A3" w14:textId="77777777" w:rsidR="00271FA2" w:rsidRPr="00A013E1" w:rsidRDefault="00271FA2">
            <w:pPr>
              <w:spacing w:line="240" w:lineRule="atLeast"/>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1F08E4E0" w14:textId="77777777" w:rsidR="00271FA2" w:rsidRPr="00A013E1" w:rsidRDefault="00271FA2">
            <w:pPr>
              <w:spacing w:line="240" w:lineRule="atLeast"/>
              <w:jc w:val="center"/>
              <w:rPr>
                <w:rFonts w:ascii="Times New Roman" w:hAnsi="Times New Roman" w:cs="Times New Roman"/>
              </w:rPr>
            </w:pPr>
          </w:p>
        </w:tc>
        <w:tc>
          <w:tcPr>
            <w:tcW w:w="2504" w:type="dxa"/>
            <w:tcBorders>
              <w:top w:val="single" w:sz="4" w:space="0" w:color="auto"/>
              <w:left w:val="single" w:sz="4" w:space="0" w:color="auto"/>
              <w:bottom w:val="single" w:sz="4" w:space="0" w:color="auto"/>
              <w:right w:val="single" w:sz="4" w:space="0" w:color="auto"/>
            </w:tcBorders>
          </w:tcPr>
          <w:p w14:paraId="33412630" w14:textId="77777777" w:rsidR="00271FA2" w:rsidRPr="00A013E1" w:rsidRDefault="00271FA2">
            <w:pPr>
              <w:spacing w:line="240" w:lineRule="atLeast"/>
              <w:jc w:val="center"/>
              <w:rPr>
                <w:rFonts w:ascii="Times New Roman" w:hAnsi="Times New Roman" w:cs="Times New Roman"/>
              </w:rPr>
            </w:pPr>
          </w:p>
        </w:tc>
        <w:tc>
          <w:tcPr>
            <w:tcW w:w="1392" w:type="dxa"/>
            <w:tcBorders>
              <w:top w:val="single" w:sz="4" w:space="0" w:color="auto"/>
              <w:left w:val="single" w:sz="4" w:space="0" w:color="auto"/>
              <w:bottom w:val="single" w:sz="4" w:space="0" w:color="auto"/>
              <w:right w:val="single" w:sz="4" w:space="0" w:color="auto"/>
            </w:tcBorders>
          </w:tcPr>
          <w:p w14:paraId="6562DDD8" w14:textId="77777777" w:rsidR="00271FA2" w:rsidRPr="00A013E1" w:rsidRDefault="00271FA2">
            <w:pPr>
              <w:spacing w:line="240" w:lineRule="atLeast"/>
              <w:jc w:val="cente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tcPr>
          <w:p w14:paraId="1CE5A294" w14:textId="77777777" w:rsidR="00271FA2" w:rsidRPr="00A013E1" w:rsidRDefault="00271FA2">
            <w:pPr>
              <w:spacing w:line="240" w:lineRule="atLeast"/>
              <w:jc w:val="center"/>
              <w:rPr>
                <w:rFonts w:ascii="Times New Roman" w:hAnsi="Times New Roman" w:cs="Times New Roman"/>
              </w:rPr>
            </w:pPr>
          </w:p>
        </w:tc>
        <w:tc>
          <w:tcPr>
            <w:tcW w:w="1374" w:type="dxa"/>
            <w:tcBorders>
              <w:top w:val="single" w:sz="4" w:space="0" w:color="auto"/>
              <w:left w:val="single" w:sz="4" w:space="0" w:color="auto"/>
              <w:bottom w:val="single" w:sz="4" w:space="0" w:color="auto"/>
              <w:right w:val="single" w:sz="4" w:space="0" w:color="auto"/>
            </w:tcBorders>
          </w:tcPr>
          <w:p w14:paraId="309ACBF4" w14:textId="77777777" w:rsidR="00271FA2" w:rsidRPr="00A013E1" w:rsidRDefault="00271FA2">
            <w:pPr>
              <w:spacing w:line="240" w:lineRule="atLeast"/>
              <w:jc w:val="center"/>
              <w:rPr>
                <w:rFonts w:ascii="Times New Roman" w:hAnsi="Times New Roman" w:cs="Times New Roman"/>
              </w:rPr>
            </w:pPr>
          </w:p>
        </w:tc>
        <w:tc>
          <w:tcPr>
            <w:tcW w:w="1257" w:type="dxa"/>
            <w:tcBorders>
              <w:top w:val="single" w:sz="4" w:space="0" w:color="auto"/>
              <w:left w:val="single" w:sz="4" w:space="0" w:color="auto"/>
              <w:bottom w:val="single" w:sz="4" w:space="0" w:color="auto"/>
              <w:right w:val="single" w:sz="4" w:space="0" w:color="auto"/>
            </w:tcBorders>
          </w:tcPr>
          <w:p w14:paraId="3D8F0E5B" w14:textId="77777777" w:rsidR="00271FA2" w:rsidRPr="00A013E1" w:rsidRDefault="00271FA2">
            <w:pPr>
              <w:spacing w:line="240" w:lineRule="atLeast"/>
              <w:jc w:val="center"/>
              <w:rPr>
                <w:rFonts w:ascii="Times New Roman" w:hAnsi="Times New Roman" w:cs="Times New Roman"/>
              </w:rPr>
            </w:pPr>
          </w:p>
        </w:tc>
        <w:tc>
          <w:tcPr>
            <w:tcW w:w="1370" w:type="dxa"/>
            <w:tcBorders>
              <w:top w:val="single" w:sz="4" w:space="0" w:color="auto"/>
              <w:left w:val="single" w:sz="4" w:space="0" w:color="auto"/>
              <w:bottom w:val="single" w:sz="4" w:space="0" w:color="auto"/>
              <w:right w:val="single" w:sz="4" w:space="0" w:color="auto"/>
            </w:tcBorders>
          </w:tcPr>
          <w:p w14:paraId="3426942C" w14:textId="77777777" w:rsidR="00271FA2" w:rsidRPr="00A013E1" w:rsidRDefault="00271FA2">
            <w:pPr>
              <w:spacing w:line="240" w:lineRule="atLeast"/>
              <w:jc w:val="center"/>
              <w:rPr>
                <w:rFonts w:ascii="Times New Roman" w:hAnsi="Times New Roman" w:cs="Times New Roman"/>
              </w:rPr>
            </w:pPr>
          </w:p>
        </w:tc>
      </w:tr>
    </w:tbl>
    <w:p w14:paraId="2D791E5E" w14:textId="77777777" w:rsidR="000D023D" w:rsidRPr="00A013E1" w:rsidRDefault="000D023D">
      <w:pPr>
        <w:rPr>
          <w:rFonts w:ascii="Times New Roman" w:hAnsi="Times New Roman" w:cs="Times New Roman"/>
          <w:bCs/>
        </w:rPr>
      </w:pPr>
      <w:r w:rsidRPr="00A013E1">
        <w:rPr>
          <w:rFonts w:ascii="Times New Roman" w:hAnsi="Times New Roman" w:cs="Times New Roman"/>
          <w:bCs/>
        </w:rPr>
        <w:br w:type="page"/>
      </w:r>
    </w:p>
    <w:p w14:paraId="06114D59"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lastRenderedPageBreak/>
        <w:t>Дясна страница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255"/>
        <w:gridCol w:w="1177"/>
        <w:gridCol w:w="1236"/>
        <w:gridCol w:w="1553"/>
        <w:gridCol w:w="1345"/>
        <w:gridCol w:w="1230"/>
        <w:gridCol w:w="1344"/>
        <w:gridCol w:w="1204"/>
        <w:gridCol w:w="1412"/>
      </w:tblGrid>
      <w:tr w:rsidR="00271FA2" w:rsidRPr="00A013E1" w14:paraId="6F6966FC" w14:textId="77777777">
        <w:tc>
          <w:tcPr>
            <w:tcW w:w="4342" w:type="dxa"/>
            <w:gridSpan w:val="3"/>
            <w:tcBorders>
              <w:top w:val="single" w:sz="4" w:space="0" w:color="auto"/>
              <w:left w:val="single" w:sz="4" w:space="0" w:color="auto"/>
              <w:bottom w:val="single" w:sz="4" w:space="0" w:color="auto"/>
              <w:right w:val="single" w:sz="4" w:space="0" w:color="auto"/>
            </w:tcBorders>
            <w:vAlign w:val="center"/>
          </w:tcPr>
          <w:p w14:paraId="60D10355"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Дедуейд съгласно мерителното свидетелство или водоизместване*)</w:t>
            </w:r>
          </w:p>
        </w:tc>
        <w:tc>
          <w:tcPr>
            <w:tcW w:w="2972" w:type="dxa"/>
            <w:gridSpan w:val="2"/>
            <w:vMerge w:val="restart"/>
            <w:tcBorders>
              <w:top w:val="single" w:sz="4" w:space="0" w:color="auto"/>
              <w:left w:val="single" w:sz="4" w:space="0" w:color="auto"/>
              <w:bottom w:val="single" w:sz="4" w:space="0" w:color="auto"/>
              <w:right w:val="single" w:sz="4" w:space="0" w:color="auto"/>
            </w:tcBorders>
            <w:vAlign w:val="center"/>
          </w:tcPr>
          <w:p w14:paraId="4D79AFF7"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Зони или участъци от вътрешните водни пътища</w:t>
            </w:r>
          </w:p>
        </w:tc>
        <w:tc>
          <w:tcPr>
            <w:tcW w:w="2673" w:type="dxa"/>
            <w:gridSpan w:val="2"/>
            <w:vMerge w:val="restart"/>
            <w:tcBorders>
              <w:top w:val="single" w:sz="4" w:space="0" w:color="auto"/>
              <w:left w:val="single" w:sz="4" w:space="0" w:color="auto"/>
              <w:bottom w:val="single" w:sz="4" w:space="0" w:color="auto"/>
              <w:right w:val="single" w:sz="4" w:space="0" w:color="auto"/>
            </w:tcBorders>
            <w:vAlign w:val="center"/>
          </w:tcPr>
          <w:p w14:paraId="506079A3" w14:textId="499AF39A" w:rsidR="00271FA2" w:rsidRPr="00A013E1" w:rsidRDefault="00D35E51" w:rsidP="00563D57">
            <w:pPr>
              <w:spacing w:line="240" w:lineRule="atLeast"/>
              <w:jc w:val="center"/>
              <w:rPr>
                <w:rFonts w:ascii="Times New Roman" w:hAnsi="Times New Roman" w:cs="Times New Roman"/>
                <w:lang w:val="ru-RU"/>
              </w:rPr>
            </w:pPr>
            <w:r w:rsidRPr="00A013E1">
              <w:rPr>
                <w:rFonts w:ascii="Times New Roman" w:hAnsi="Times New Roman" w:cs="Times New Roman"/>
                <w:lang w:val="ru-RU"/>
              </w:rPr>
              <w:t xml:space="preserve">Потвърждения, свързани с периодични или специални прегледи, оттегляне и отмяна на </w:t>
            </w:r>
            <w:r w:rsidR="00563D57" w:rsidRPr="00A013E1">
              <w:rPr>
                <w:rFonts w:ascii="Times New Roman" w:hAnsi="Times New Roman" w:cs="Times New Roman"/>
                <w:lang w:val="ru-RU"/>
              </w:rPr>
              <w:t>удостоверението</w:t>
            </w:r>
          </w:p>
        </w:tc>
        <w:tc>
          <w:tcPr>
            <w:tcW w:w="2643" w:type="dxa"/>
            <w:gridSpan w:val="2"/>
            <w:vMerge w:val="restart"/>
            <w:tcBorders>
              <w:top w:val="single" w:sz="4" w:space="0" w:color="auto"/>
              <w:left w:val="single" w:sz="4" w:space="0" w:color="auto"/>
              <w:bottom w:val="single" w:sz="4" w:space="0" w:color="auto"/>
              <w:right w:val="single" w:sz="4" w:space="0" w:color="auto"/>
            </w:tcBorders>
            <w:vAlign w:val="center"/>
          </w:tcPr>
          <w:p w14:paraId="20273311" w14:textId="588042B8" w:rsidR="00271FA2" w:rsidRPr="00A013E1" w:rsidRDefault="00D35E51" w:rsidP="00563D57">
            <w:pPr>
              <w:spacing w:line="240" w:lineRule="atLeast"/>
              <w:jc w:val="center"/>
              <w:rPr>
                <w:rFonts w:ascii="Times New Roman" w:hAnsi="Times New Roman" w:cs="Times New Roman"/>
              </w:rPr>
            </w:pPr>
            <w:r w:rsidRPr="00A013E1">
              <w:rPr>
                <w:rFonts w:ascii="Times New Roman" w:hAnsi="Times New Roman" w:cs="Times New Roman"/>
              </w:rPr>
              <w:t xml:space="preserve">Валидност на </w:t>
            </w:r>
            <w:r w:rsidR="00563D57" w:rsidRPr="00A013E1">
              <w:rPr>
                <w:rFonts w:ascii="Times New Roman" w:hAnsi="Times New Roman" w:cs="Times New Roman"/>
              </w:rPr>
              <w:t xml:space="preserve">удостоверението </w:t>
            </w:r>
            <w:r w:rsidRPr="00A013E1">
              <w:rPr>
                <w:rFonts w:ascii="Times New Roman" w:hAnsi="Times New Roman" w:cs="Times New Roman"/>
              </w:rPr>
              <w:t>до</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1ADEC648"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Други забележки</w:t>
            </w:r>
          </w:p>
        </w:tc>
      </w:tr>
      <w:tr w:rsidR="00563D57" w:rsidRPr="00A013E1" w14:paraId="14FA7DD8" w14:textId="77777777">
        <w:tc>
          <w:tcPr>
            <w:tcW w:w="1823" w:type="dxa"/>
            <w:tcBorders>
              <w:top w:val="single" w:sz="4" w:space="0" w:color="auto"/>
              <w:left w:val="single" w:sz="4" w:space="0" w:color="auto"/>
              <w:bottom w:val="single" w:sz="4" w:space="0" w:color="auto"/>
              <w:right w:val="single" w:sz="4" w:space="0" w:color="auto"/>
            </w:tcBorders>
            <w:vAlign w:val="center"/>
          </w:tcPr>
          <w:p w14:paraId="39A0BF8B"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 xml:space="preserve">Дата на издаване на свидетелството </w:t>
            </w:r>
          </w:p>
        </w:tc>
        <w:tc>
          <w:tcPr>
            <w:tcW w:w="1264" w:type="dxa"/>
            <w:tcBorders>
              <w:top w:val="single" w:sz="4" w:space="0" w:color="auto"/>
              <w:left w:val="single" w:sz="4" w:space="0" w:color="auto"/>
              <w:bottom w:val="single" w:sz="4" w:space="0" w:color="auto"/>
              <w:right w:val="single" w:sz="4" w:space="0" w:color="auto"/>
            </w:tcBorders>
            <w:vAlign w:val="center"/>
          </w:tcPr>
          <w:p w14:paraId="66E103D9"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Знак за измерване</w:t>
            </w:r>
          </w:p>
        </w:tc>
        <w:tc>
          <w:tcPr>
            <w:tcW w:w="1255" w:type="dxa"/>
            <w:tcBorders>
              <w:top w:val="single" w:sz="4" w:space="0" w:color="auto"/>
              <w:left w:val="single" w:sz="4" w:space="0" w:color="auto"/>
              <w:bottom w:val="single" w:sz="4" w:space="0" w:color="auto"/>
              <w:right w:val="single" w:sz="4" w:space="0" w:color="auto"/>
            </w:tcBorders>
            <w:vAlign w:val="center"/>
          </w:tcPr>
          <w:p w14:paraId="615D7931" w14:textId="77777777" w:rsidR="00271FA2" w:rsidRPr="00A013E1" w:rsidRDefault="00D35E51">
            <w:pPr>
              <w:spacing w:line="240" w:lineRule="atLeast"/>
              <w:jc w:val="center"/>
              <w:rPr>
                <w:rFonts w:ascii="Times New Roman" w:hAnsi="Times New Roman" w:cs="Times New Roman"/>
                <w:vertAlign w:val="superscript"/>
              </w:rPr>
            </w:pPr>
            <w:r w:rsidRPr="00A013E1">
              <w:rPr>
                <w:rFonts w:ascii="Times New Roman" w:hAnsi="Times New Roman" w:cs="Times New Roman"/>
              </w:rPr>
              <w:t>t или m</w:t>
            </w:r>
            <w:r w:rsidRPr="00A013E1">
              <w:rPr>
                <w:rFonts w:ascii="Times New Roman" w:hAnsi="Times New Roman" w:cs="Times New Roman"/>
                <w:vertAlign w:val="superscript"/>
              </w:rPr>
              <w:t>3</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9FF3314" w14:textId="77777777" w:rsidR="00271FA2" w:rsidRPr="00A013E1" w:rsidRDefault="00271FA2">
            <w:pPr>
              <w:spacing w:line="240" w:lineRule="atLeast"/>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2E575DC9" w14:textId="77777777" w:rsidR="00271FA2" w:rsidRPr="00A013E1" w:rsidRDefault="00271FA2">
            <w:pPr>
              <w:spacing w:line="240" w:lineRule="atLeast"/>
              <w:rPr>
                <w:rFonts w:ascii="Times New Roman" w:hAnsi="Times New Roman" w:cs="Times New Roma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8B5A17D" w14:textId="77777777" w:rsidR="00271FA2" w:rsidRPr="00A013E1" w:rsidRDefault="00271FA2">
            <w:pPr>
              <w:spacing w:line="240" w:lineRule="atLeast"/>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011E77" w14:textId="77777777" w:rsidR="00271FA2" w:rsidRPr="00A013E1" w:rsidRDefault="00271FA2">
            <w:pPr>
              <w:spacing w:line="240" w:lineRule="atLeast"/>
              <w:rPr>
                <w:rFonts w:ascii="Times New Roman" w:hAnsi="Times New Roman" w:cs="Times New Roman"/>
              </w:rPr>
            </w:pPr>
          </w:p>
        </w:tc>
      </w:tr>
      <w:tr w:rsidR="00563D57" w:rsidRPr="00A013E1" w14:paraId="43EE067E" w14:textId="77777777">
        <w:tc>
          <w:tcPr>
            <w:tcW w:w="1823" w:type="dxa"/>
            <w:tcBorders>
              <w:top w:val="single" w:sz="4" w:space="0" w:color="auto"/>
              <w:left w:val="single" w:sz="4" w:space="0" w:color="auto"/>
              <w:bottom w:val="single" w:sz="4" w:space="0" w:color="auto"/>
              <w:right w:val="single" w:sz="4" w:space="0" w:color="auto"/>
            </w:tcBorders>
          </w:tcPr>
          <w:p w14:paraId="68BA8D4D"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57CBA7E6"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3AF51618"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675D7401"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073829AD"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10A38720"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6C838FB8"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0E2D6F6C"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0018332B"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3B6F9D30" w14:textId="77777777" w:rsidR="00271FA2" w:rsidRPr="00A013E1" w:rsidRDefault="00271FA2">
            <w:pPr>
              <w:spacing w:line="240" w:lineRule="atLeast"/>
              <w:jc w:val="center"/>
              <w:rPr>
                <w:rFonts w:ascii="Times New Roman" w:hAnsi="Times New Roman" w:cs="Times New Roman"/>
              </w:rPr>
            </w:pPr>
          </w:p>
        </w:tc>
      </w:tr>
      <w:tr w:rsidR="00563D57" w:rsidRPr="00A013E1" w14:paraId="0C05D53F" w14:textId="77777777">
        <w:tc>
          <w:tcPr>
            <w:tcW w:w="1823" w:type="dxa"/>
            <w:tcBorders>
              <w:top w:val="single" w:sz="4" w:space="0" w:color="auto"/>
              <w:left w:val="single" w:sz="4" w:space="0" w:color="auto"/>
              <w:bottom w:val="single" w:sz="4" w:space="0" w:color="auto"/>
              <w:right w:val="single" w:sz="4" w:space="0" w:color="auto"/>
            </w:tcBorders>
          </w:tcPr>
          <w:p w14:paraId="1D7BDEE6"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3422F034"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3B65BBC7"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48E1A6AC"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13C3E51C"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5D3927BB"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74B6127D"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07F03249"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24C5CB26"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530F4639" w14:textId="77777777" w:rsidR="00271FA2" w:rsidRPr="00A013E1" w:rsidRDefault="00271FA2">
            <w:pPr>
              <w:spacing w:line="240" w:lineRule="atLeast"/>
              <w:jc w:val="center"/>
              <w:rPr>
                <w:rFonts w:ascii="Times New Roman" w:hAnsi="Times New Roman" w:cs="Times New Roman"/>
              </w:rPr>
            </w:pPr>
          </w:p>
        </w:tc>
      </w:tr>
      <w:tr w:rsidR="00563D57" w:rsidRPr="00A013E1" w14:paraId="1B16DAD2" w14:textId="77777777">
        <w:tc>
          <w:tcPr>
            <w:tcW w:w="1823" w:type="dxa"/>
            <w:tcBorders>
              <w:top w:val="single" w:sz="4" w:space="0" w:color="auto"/>
              <w:left w:val="single" w:sz="4" w:space="0" w:color="auto"/>
              <w:bottom w:val="single" w:sz="4" w:space="0" w:color="auto"/>
              <w:right w:val="single" w:sz="4" w:space="0" w:color="auto"/>
            </w:tcBorders>
          </w:tcPr>
          <w:p w14:paraId="56D291E0"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67331CDC"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2EE6FFA3"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6EE9D047"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1AE81940"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551D5DA0"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629DB7DD"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57A372F9"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347EA48E"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797BBD37" w14:textId="77777777" w:rsidR="00271FA2" w:rsidRPr="00A013E1" w:rsidRDefault="00271FA2">
            <w:pPr>
              <w:spacing w:line="240" w:lineRule="atLeast"/>
              <w:jc w:val="center"/>
              <w:rPr>
                <w:rFonts w:ascii="Times New Roman" w:hAnsi="Times New Roman" w:cs="Times New Roman"/>
              </w:rPr>
            </w:pPr>
          </w:p>
        </w:tc>
      </w:tr>
      <w:tr w:rsidR="00563D57" w:rsidRPr="00A013E1" w14:paraId="1AC5D2CF" w14:textId="77777777">
        <w:tc>
          <w:tcPr>
            <w:tcW w:w="1823" w:type="dxa"/>
            <w:tcBorders>
              <w:top w:val="single" w:sz="4" w:space="0" w:color="auto"/>
              <w:left w:val="single" w:sz="4" w:space="0" w:color="auto"/>
              <w:bottom w:val="single" w:sz="4" w:space="0" w:color="auto"/>
              <w:right w:val="single" w:sz="4" w:space="0" w:color="auto"/>
            </w:tcBorders>
          </w:tcPr>
          <w:p w14:paraId="56D57D3C"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5732438F"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3E5699D8"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1B58C598"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37A10EB1"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38BD782A"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57B7B142"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3D180E30"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5EE51FC7"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1700F50E" w14:textId="77777777" w:rsidR="00271FA2" w:rsidRPr="00A013E1" w:rsidRDefault="00271FA2">
            <w:pPr>
              <w:spacing w:line="240" w:lineRule="atLeast"/>
              <w:jc w:val="center"/>
              <w:rPr>
                <w:rFonts w:ascii="Times New Roman" w:hAnsi="Times New Roman" w:cs="Times New Roman"/>
              </w:rPr>
            </w:pPr>
          </w:p>
        </w:tc>
      </w:tr>
      <w:tr w:rsidR="00563D57" w:rsidRPr="00A013E1" w14:paraId="5D44B586" w14:textId="77777777">
        <w:tc>
          <w:tcPr>
            <w:tcW w:w="1823" w:type="dxa"/>
            <w:tcBorders>
              <w:top w:val="single" w:sz="4" w:space="0" w:color="auto"/>
              <w:left w:val="single" w:sz="4" w:space="0" w:color="auto"/>
              <w:bottom w:val="single" w:sz="4" w:space="0" w:color="auto"/>
              <w:right w:val="single" w:sz="4" w:space="0" w:color="auto"/>
            </w:tcBorders>
          </w:tcPr>
          <w:p w14:paraId="323515EF"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39973749"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7930AD9A"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5B80F517"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7D474ED7"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33A885FE"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63292CB9"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3DA5B20A"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18ABF4A4"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17D4E43D" w14:textId="77777777" w:rsidR="00271FA2" w:rsidRPr="00A013E1" w:rsidRDefault="00271FA2">
            <w:pPr>
              <w:spacing w:line="240" w:lineRule="atLeast"/>
              <w:jc w:val="center"/>
              <w:rPr>
                <w:rFonts w:ascii="Times New Roman" w:hAnsi="Times New Roman" w:cs="Times New Roman"/>
              </w:rPr>
            </w:pPr>
          </w:p>
        </w:tc>
      </w:tr>
      <w:tr w:rsidR="00563D57" w:rsidRPr="00A013E1" w14:paraId="74053887" w14:textId="77777777">
        <w:tc>
          <w:tcPr>
            <w:tcW w:w="1823" w:type="dxa"/>
            <w:tcBorders>
              <w:top w:val="single" w:sz="4" w:space="0" w:color="auto"/>
              <w:left w:val="single" w:sz="4" w:space="0" w:color="auto"/>
              <w:bottom w:val="single" w:sz="4" w:space="0" w:color="auto"/>
              <w:right w:val="single" w:sz="4" w:space="0" w:color="auto"/>
            </w:tcBorders>
          </w:tcPr>
          <w:p w14:paraId="2FF4CCD1"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5D62406C"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1D4E488D"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5F42107A"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047F0E90"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195E4F8E"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521EB8A0"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7F9DBB3F"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61255A05"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70FB4EA6" w14:textId="77777777" w:rsidR="00271FA2" w:rsidRPr="00A013E1" w:rsidRDefault="00271FA2">
            <w:pPr>
              <w:spacing w:line="240" w:lineRule="atLeast"/>
              <w:jc w:val="center"/>
              <w:rPr>
                <w:rFonts w:ascii="Times New Roman" w:hAnsi="Times New Roman" w:cs="Times New Roman"/>
              </w:rPr>
            </w:pPr>
          </w:p>
        </w:tc>
      </w:tr>
      <w:tr w:rsidR="00563D57" w:rsidRPr="00A013E1" w14:paraId="43E40C32" w14:textId="77777777">
        <w:tc>
          <w:tcPr>
            <w:tcW w:w="1823" w:type="dxa"/>
            <w:tcBorders>
              <w:top w:val="single" w:sz="4" w:space="0" w:color="auto"/>
              <w:left w:val="single" w:sz="4" w:space="0" w:color="auto"/>
              <w:bottom w:val="single" w:sz="4" w:space="0" w:color="auto"/>
              <w:right w:val="single" w:sz="4" w:space="0" w:color="auto"/>
            </w:tcBorders>
          </w:tcPr>
          <w:p w14:paraId="0756878F"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1D9B3DD0"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679F0544"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5A99DE17"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5BE9F0C5"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38C69C4B"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3666C436"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1F8212BA"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5C152B81"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3332EE13" w14:textId="77777777" w:rsidR="00271FA2" w:rsidRPr="00A013E1" w:rsidRDefault="00271FA2">
            <w:pPr>
              <w:spacing w:line="240" w:lineRule="atLeast"/>
              <w:jc w:val="center"/>
              <w:rPr>
                <w:rFonts w:ascii="Times New Roman" w:hAnsi="Times New Roman" w:cs="Times New Roman"/>
              </w:rPr>
            </w:pPr>
          </w:p>
        </w:tc>
      </w:tr>
      <w:tr w:rsidR="00563D57" w:rsidRPr="00A013E1" w14:paraId="51B4D9FB" w14:textId="77777777">
        <w:tc>
          <w:tcPr>
            <w:tcW w:w="1823" w:type="dxa"/>
            <w:tcBorders>
              <w:top w:val="single" w:sz="4" w:space="0" w:color="auto"/>
              <w:left w:val="single" w:sz="4" w:space="0" w:color="auto"/>
              <w:bottom w:val="single" w:sz="4" w:space="0" w:color="auto"/>
              <w:right w:val="single" w:sz="4" w:space="0" w:color="auto"/>
            </w:tcBorders>
          </w:tcPr>
          <w:p w14:paraId="1EB4A3F9"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130337B7"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7D7D1A0E"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435D7C3A"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7473A1B2"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130F27B2"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47729F38"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13531318"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75103AD6"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0AAE09A6" w14:textId="77777777" w:rsidR="00271FA2" w:rsidRPr="00A013E1" w:rsidRDefault="00271FA2">
            <w:pPr>
              <w:spacing w:line="240" w:lineRule="atLeast"/>
              <w:jc w:val="center"/>
              <w:rPr>
                <w:rFonts w:ascii="Times New Roman" w:hAnsi="Times New Roman" w:cs="Times New Roman"/>
              </w:rPr>
            </w:pPr>
          </w:p>
        </w:tc>
      </w:tr>
      <w:tr w:rsidR="00563D57" w:rsidRPr="00A013E1" w14:paraId="2E68043A" w14:textId="77777777">
        <w:tc>
          <w:tcPr>
            <w:tcW w:w="1823" w:type="dxa"/>
            <w:tcBorders>
              <w:top w:val="single" w:sz="4" w:space="0" w:color="auto"/>
              <w:left w:val="single" w:sz="4" w:space="0" w:color="auto"/>
              <w:bottom w:val="single" w:sz="4" w:space="0" w:color="auto"/>
              <w:right w:val="single" w:sz="4" w:space="0" w:color="auto"/>
            </w:tcBorders>
          </w:tcPr>
          <w:p w14:paraId="221B4043"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0A7D0829"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79AEBABF"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3F3F37E2"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774FB4BC"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47D5961E"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67ECE69F"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065846EB"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03A56118"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7A8A8046" w14:textId="77777777" w:rsidR="00271FA2" w:rsidRPr="00A013E1" w:rsidRDefault="00271FA2">
            <w:pPr>
              <w:spacing w:line="240" w:lineRule="atLeast"/>
              <w:jc w:val="center"/>
              <w:rPr>
                <w:rFonts w:ascii="Times New Roman" w:hAnsi="Times New Roman" w:cs="Times New Roman"/>
              </w:rPr>
            </w:pPr>
          </w:p>
        </w:tc>
      </w:tr>
      <w:tr w:rsidR="00563D57" w:rsidRPr="00A013E1" w14:paraId="667CAEB0" w14:textId="77777777">
        <w:tc>
          <w:tcPr>
            <w:tcW w:w="1823" w:type="dxa"/>
            <w:tcBorders>
              <w:top w:val="single" w:sz="4" w:space="0" w:color="auto"/>
              <w:left w:val="single" w:sz="4" w:space="0" w:color="auto"/>
              <w:bottom w:val="single" w:sz="4" w:space="0" w:color="auto"/>
              <w:right w:val="single" w:sz="4" w:space="0" w:color="auto"/>
            </w:tcBorders>
          </w:tcPr>
          <w:p w14:paraId="6776F637"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59D09151"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3163BB80"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5A1CE6A1"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21C8931F"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26C0BD91"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4B352B15"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51C2A270"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32DE8C6A"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1EBD7D4D" w14:textId="77777777" w:rsidR="00271FA2" w:rsidRPr="00A013E1" w:rsidRDefault="00271FA2">
            <w:pPr>
              <w:spacing w:line="240" w:lineRule="atLeast"/>
              <w:jc w:val="center"/>
              <w:rPr>
                <w:rFonts w:ascii="Times New Roman" w:hAnsi="Times New Roman" w:cs="Times New Roman"/>
              </w:rPr>
            </w:pPr>
          </w:p>
        </w:tc>
      </w:tr>
      <w:tr w:rsidR="00563D57" w:rsidRPr="00A013E1" w14:paraId="41354C47" w14:textId="77777777">
        <w:tc>
          <w:tcPr>
            <w:tcW w:w="1823" w:type="dxa"/>
            <w:tcBorders>
              <w:top w:val="single" w:sz="4" w:space="0" w:color="auto"/>
              <w:left w:val="single" w:sz="4" w:space="0" w:color="auto"/>
              <w:bottom w:val="single" w:sz="4" w:space="0" w:color="auto"/>
              <w:right w:val="single" w:sz="4" w:space="0" w:color="auto"/>
            </w:tcBorders>
          </w:tcPr>
          <w:p w14:paraId="58468D39"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25A4A424"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3839CA27"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1C0D022D"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3A19412E"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75E64A77"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1EC39F62"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51C638A9"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3C787EDD"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75A7CB75" w14:textId="77777777" w:rsidR="00271FA2" w:rsidRPr="00A013E1" w:rsidRDefault="00271FA2">
            <w:pPr>
              <w:spacing w:line="240" w:lineRule="atLeast"/>
              <w:jc w:val="center"/>
              <w:rPr>
                <w:rFonts w:ascii="Times New Roman" w:hAnsi="Times New Roman" w:cs="Times New Roman"/>
              </w:rPr>
            </w:pPr>
          </w:p>
        </w:tc>
      </w:tr>
      <w:tr w:rsidR="00563D57" w:rsidRPr="00A013E1" w14:paraId="26AAEFDE" w14:textId="77777777">
        <w:tc>
          <w:tcPr>
            <w:tcW w:w="1823" w:type="dxa"/>
            <w:tcBorders>
              <w:top w:val="single" w:sz="4" w:space="0" w:color="auto"/>
              <w:left w:val="single" w:sz="4" w:space="0" w:color="auto"/>
              <w:bottom w:val="single" w:sz="4" w:space="0" w:color="auto"/>
              <w:right w:val="single" w:sz="4" w:space="0" w:color="auto"/>
            </w:tcBorders>
          </w:tcPr>
          <w:p w14:paraId="34BC148A"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2E6CB652"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1B9B2682"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2A20FDFA"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4EBC34DD"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2544E258"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5EAC1E90"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0C1D56ED"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5C9C890E"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7C42B872" w14:textId="77777777" w:rsidR="00271FA2" w:rsidRPr="00A013E1" w:rsidRDefault="00271FA2">
            <w:pPr>
              <w:spacing w:line="240" w:lineRule="atLeast"/>
              <w:jc w:val="center"/>
              <w:rPr>
                <w:rFonts w:ascii="Times New Roman" w:hAnsi="Times New Roman" w:cs="Times New Roman"/>
              </w:rPr>
            </w:pPr>
          </w:p>
        </w:tc>
      </w:tr>
      <w:tr w:rsidR="00563D57" w:rsidRPr="00A013E1" w14:paraId="4BFE65B6" w14:textId="77777777">
        <w:tc>
          <w:tcPr>
            <w:tcW w:w="1823" w:type="dxa"/>
            <w:tcBorders>
              <w:top w:val="single" w:sz="4" w:space="0" w:color="auto"/>
              <w:left w:val="single" w:sz="4" w:space="0" w:color="auto"/>
              <w:bottom w:val="single" w:sz="4" w:space="0" w:color="auto"/>
              <w:right w:val="single" w:sz="4" w:space="0" w:color="auto"/>
            </w:tcBorders>
          </w:tcPr>
          <w:p w14:paraId="06C0D445"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2E9C0C85"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33991FA9"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14606BF7"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521AA6D7"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637F6437"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29347137"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5BE81FA6"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731306E2"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3BFBF54D" w14:textId="77777777" w:rsidR="00271FA2" w:rsidRPr="00A013E1" w:rsidRDefault="00271FA2">
            <w:pPr>
              <w:spacing w:line="240" w:lineRule="atLeast"/>
              <w:jc w:val="center"/>
              <w:rPr>
                <w:rFonts w:ascii="Times New Roman" w:hAnsi="Times New Roman" w:cs="Times New Roman"/>
              </w:rPr>
            </w:pPr>
          </w:p>
        </w:tc>
      </w:tr>
      <w:tr w:rsidR="00563D57" w:rsidRPr="00A013E1" w14:paraId="61CD8B04" w14:textId="77777777">
        <w:tc>
          <w:tcPr>
            <w:tcW w:w="1823" w:type="dxa"/>
            <w:tcBorders>
              <w:top w:val="single" w:sz="4" w:space="0" w:color="auto"/>
              <w:left w:val="single" w:sz="4" w:space="0" w:color="auto"/>
              <w:bottom w:val="single" w:sz="4" w:space="0" w:color="auto"/>
              <w:right w:val="single" w:sz="4" w:space="0" w:color="auto"/>
            </w:tcBorders>
          </w:tcPr>
          <w:p w14:paraId="7990CFAE"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437C3AE0"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0FEB762D"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572144CF"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32599656"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31E9329E"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5A4794EA"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0728B3B9"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3F836419"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2EA3ED26" w14:textId="77777777" w:rsidR="00271FA2" w:rsidRPr="00A013E1" w:rsidRDefault="00271FA2">
            <w:pPr>
              <w:spacing w:line="240" w:lineRule="atLeast"/>
              <w:jc w:val="center"/>
              <w:rPr>
                <w:rFonts w:ascii="Times New Roman" w:hAnsi="Times New Roman" w:cs="Times New Roman"/>
              </w:rPr>
            </w:pPr>
          </w:p>
        </w:tc>
      </w:tr>
      <w:tr w:rsidR="00563D57" w:rsidRPr="00A013E1" w14:paraId="23745A2C" w14:textId="77777777">
        <w:tc>
          <w:tcPr>
            <w:tcW w:w="1823" w:type="dxa"/>
            <w:tcBorders>
              <w:top w:val="single" w:sz="4" w:space="0" w:color="auto"/>
              <w:left w:val="single" w:sz="4" w:space="0" w:color="auto"/>
              <w:bottom w:val="single" w:sz="4" w:space="0" w:color="auto"/>
              <w:right w:val="single" w:sz="4" w:space="0" w:color="auto"/>
            </w:tcBorders>
          </w:tcPr>
          <w:p w14:paraId="255B0BD8"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30E22CD2"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6FDE3579"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3AB66436"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022F2BD6"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66B15767"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3C730022"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22D8F08B"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7790D651"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0A7AC8C1" w14:textId="77777777" w:rsidR="00271FA2" w:rsidRPr="00A013E1" w:rsidRDefault="00271FA2">
            <w:pPr>
              <w:spacing w:line="240" w:lineRule="atLeast"/>
              <w:jc w:val="center"/>
              <w:rPr>
                <w:rFonts w:ascii="Times New Roman" w:hAnsi="Times New Roman" w:cs="Times New Roman"/>
              </w:rPr>
            </w:pPr>
          </w:p>
        </w:tc>
      </w:tr>
      <w:tr w:rsidR="00563D57" w:rsidRPr="00A013E1" w14:paraId="63C2B7DB" w14:textId="77777777">
        <w:tc>
          <w:tcPr>
            <w:tcW w:w="1823" w:type="dxa"/>
            <w:tcBorders>
              <w:top w:val="single" w:sz="4" w:space="0" w:color="auto"/>
              <w:left w:val="single" w:sz="4" w:space="0" w:color="auto"/>
              <w:bottom w:val="single" w:sz="4" w:space="0" w:color="auto"/>
              <w:right w:val="single" w:sz="4" w:space="0" w:color="auto"/>
            </w:tcBorders>
          </w:tcPr>
          <w:p w14:paraId="41B41D74"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35DAD251"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26C34BD6"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2D41257D"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3747F099"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5DE5DC4C"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56412AB9"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1D10D041"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2912074F"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33AF364B" w14:textId="77777777" w:rsidR="00271FA2" w:rsidRPr="00A013E1" w:rsidRDefault="00271FA2">
            <w:pPr>
              <w:spacing w:line="240" w:lineRule="atLeast"/>
              <w:jc w:val="center"/>
              <w:rPr>
                <w:rFonts w:ascii="Times New Roman" w:hAnsi="Times New Roman" w:cs="Times New Roman"/>
              </w:rPr>
            </w:pPr>
          </w:p>
        </w:tc>
      </w:tr>
      <w:tr w:rsidR="00563D57" w:rsidRPr="00A013E1" w14:paraId="4C104245" w14:textId="77777777">
        <w:tc>
          <w:tcPr>
            <w:tcW w:w="1823" w:type="dxa"/>
            <w:tcBorders>
              <w:top w:val="single" w:sz="4" w:space="0" w:color="auto"/>
              <w:left w:val="single" w:sz="4" w:space="0" w:color="auto"/>
              <w:bottom w:val="single" w:sz="4" w:space="0" w:color="auto"/>
              <w:right w:val="single" w:sz="4" w:space="0" w:color="auto"/>
            </w:tcBorders>
          </w:tcPr>
          <w:p w14:paraId="401439E1"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62FD471A"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299D8C89"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1C252050"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57556DE9"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03665D1D"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090ED05E"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185C6DC8"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2CEC5E02"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02DF5017" w14:textId="77777777" w:rsidR="00271FA2" w:rsidRPr="00A013E1" w:rsidRDefault="00271FA2">
            <w:pPr>
              <w:spacing w:line="240" w:lineRule="atLeast"/>
              <w:jc w:val="center"/>
              <w:rPr>
                <w:rFonts w:ascii="Times New Roman" w:hAnsi="Times New Roman" w:cs="Times New Roman"/>
              </w:rPr>
            </w:pPr>
          </w:p>
        </w:tc>
      </w:tr>
      <w:tr w:rsidR="00563D57" w:rsidRPr="00A013E1" w14:paraId="32D08AC1" w14:textId="77777777">
        <w:tc>
          <w:tcPr>
            <w:tcW w:w="1823" w:type="dxa"/>
            <w:tcBorders>
              <w:top w:val="single" w:sz="4" w:space="0" w:color="auto"/>
              <w:left w:val="single" w:sz="4" w:space="0" w:color="auto"/>
              <w:bottom w:val="single" w:sz="4" w:space="0" w:color="auto"/>
              <w:right w:val="single" w:sz="4" w:space="0" w:color="auto"/>
            </w:tcBorders>
          </w:tcPr>
          <w:p w14:paraId="26CB2896"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5AE0D2F7"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7E0A2AB7"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67159847"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427FC7EA"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3B2539F8"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1E2DB065"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59D4C93D"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53390BFD"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4E8DD927" w14:textId="77777777" w:rsidR="00271FA2" w:rsidRPr="00A013E1" w:rsidRDefault="00271FA2">
            <w:pPr>
              <w:spacing w:line="240" w:lineRule="atLeast"/>
              <w:jc w:val="center"/>
              <w:rPr>
                <w:rFonts w:ascii="Times New Roman" w:hAnsi="Times New Roman" w:cs="Times New Roman"/>
              </w:rPr>
            </w:pPr>
          </w:p>
        </w:tc>
      </w:tr>
      <w:tr w:rsidR="00563D57" w:rsidRPr="00A013E1" w14:paraId="349DEFB8" w14:textId="77777777">
        <w:tc>
          <w:tcPr>
            <w:tcW w:w="1823" w:type="dxa"/>
            <w:tcBorders>
              <w:top w:val="single" w:sz="4" w:space="0" w:color="auto"/>
              <w:left w:val="single" w:sz="4" w:space="0" w:color="auto"/>
              <w:bottom w:val="single" w:sz="4" w:space="0" w:color="auto"/>
              <w:right w:val="single" w:sz="4" w:space="0" w:color="auto"/>
            </w:tcBorders>
          </w:tcPr>
          <w:p w14:paraId="0567E2F0"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7D79B5F9"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414718C7"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5F8E65EE"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74E93AEB"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328632F2"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615D4534"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5234CD2E"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4EB05020"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5CFEC379" w14:textId="77777777" w:rsidR="00271FA2" w:rsidRPr="00A013E1" w:rsidRDefault="00271FA2">
            <w:pPr>
              <w:spacing w:line="240" w:lineRule="atLeast"/>
              <w:jc w:val="center"/>
              <w:rPr>
                <w:rFonts w:ascii="Times New Roman" w:hAnsi="Times New Roman" w:cs="Times New Roman"/>
              </w:rPr>
            </w:pPr>
          </w:p>
        </w:tc>
      </w:tr>
      <w:tr w:rsidR="00563D57" w:rsidRPr="00A013E1" w14:paraId="172ACE5D" w14:textId="77777777">
        <w:tc>
          <w:tcPr>
            <w:tcW w:w="1823" w:type="dxa"/>
            <w:tcBorders>
              <w:top w:val="single" w:sz="4" w:space="0" w:color="auto"/>
              <w:left w:val="single" w:sz="4" w:space="0" w:color="auto"/>
              <w:bottom w:val="single" w:sz="4" w:space="0" w:color="auto"/>
              <w:right w:val="single" w:sz="4" w:space="0" w:color="auto"/>
            </w:tcBorders>
          </w:tcPr>
          <w:p w14:paraId="2A023BDD"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32BF54D8"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7126A7DA"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730237AD"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371ECDD3"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33CAF9BC"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0CDB7239"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59B9AEC6"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4372D95E"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2809B328" w14:textId="77777777" w:rsidR="00271FA2" w:rsidRPr="00A013E1" w:rsidRDefault="00271FA2">
            <w:pPr>
              <w:spacing w:line="240" w:lineRule="atLeast"/>
              <w:jc w:val="center"/>
              <w:rPr>
                <w:rFonts w:ascii="Times New Roman" w:hAnsi="Times New Roman" w:cs="Times New Roman"/>
              </w:rPr>
            </w:pPr>
          </w:p>
        </w:tc>
      </w:tr>
      <w:tr w:rsidR="00563D57" w:rsidRPr="00A013E1" w14:paraId="7347A10A" w14:textId="77777777">
        <w:tc>
          <w:tcPr>
            <w:tcW w:w="1823" w:type="dxa"/>
            <w:tcBorders>
              <w:top w:val="single" w:sz="4" w:space="0" w:color="auto"/>
              <w:left w:val="single" w:sz="4" w:space="0" w:color="auto"/>
              <w:bottom w:val="single" w:sz="4" w:space="0" w:color="auto"/>
              <w:right w:val="single" w:sz="4" w:space="0" w:color="auto"/>
            </w:tcBorders>
          </w:tcPr>
          <w:p w14:paraId="603B8E8A"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67D82C48"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6B27B26D"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6CF4EB7E"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0AFB3032"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6174A589"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52FF5B86"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29670CF5"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7168CE58"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5CC100C6" w14:textId="77777777" w:rsidR="00271FA2" w:rsidRPr="00A013E1" w:rsidRDefault="00271FA2">
            <w:pPr>
              <w:spacing w:line="240" w:lineRule="atLeast"/>
              <w:jc w:val="center"/>
              <w:rPr>
                <w:rFonts w:ascii="Times New Roman" w:hAnsi="Times New Roman" w:cs="Times New Roman"/>
              </w:rPr>
            </w:pPr>
          </w:p>
        </w:tc>
      </w:tr>
      <w:tr w:rsidR="00563D57" w:rsidRPr="00A013E1" w14:paraId="531EB055" w14:textId="77777777">
        <w:tc>
          <w:tcPr>
            <w:tcW w:w="1823" w:type="dxa"/>
            <w:tcBorders>
              <w:top w:val="single" w:sz="4" w:space="0" w:color="auto"/>
              <w:left w:val="single" w:sz="4" w:space="0" w:color="auto"/>
              <w:bottom w:val="single" w:sz="4" w:space="0" w:color="auto"/>
              <w:right w:val="single" w:sz="4" w:space="0" w:color="auto"/>
            </w:tcBorders>
          </w:tcPr>
          <w:p w14:paraId="1DF9F92B"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19D895E7"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24FB8A00"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60E9D5A0"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05B53ABD"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149B0F72"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1BAC5764"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3DA15C0A"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7254B4C3"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36A78178" w14:textId="77777777" w:rsidR="00271FA2" w:rsidRPr="00A013E1" w:rsidRDefault="00271FA2">
            <w:pPr>
              <w:spacing w:line="240" w:lineRule="atLeast"/>
              <w:jc w:val="center"/>
              <w:rPr>
                <w:rFonts w:ascii="Times New Roman" w:hAnsi="Times New Roman" w:cs="Times New Roman"/>
              </w:rPr>
            </w:pPr>
          </w:p>
        </w:tc>
      </w:tr>
      <w:tr w:rsidR="00563D57" w:rsidRPr="00A013E1" w14:paraId="703A6F66" w14:textId="77777777">
        <w:tc>
          <w:tcPr>
            <w:tcW w:w="1823" w:type="dxa"/>
            <w:tcBorders>
              <w:top w:val="single" w:sz="4" w:space="0" w:color="auto"/>
              <w:left w:val="single" w:sz="4" w:space="0" w:color="auto"/>
              <w:bottom w:val="single" w:sz="4" w:space="0" w:color="auto"/>
              <w:right w:val="single" w:sz="4" w:space="0" w:color="auto"/>
            </w:tcBorders>
          </w:tcPr>
          <w:p w14:paraId="5B5FA19E" w14:textId="77777777" w:rsidR="00271FA2" w:rsidRPr="00A013E1" w:rsidRDefault="00271FA2">
            <w:pPr>
              <w:spacing w:line="240" w:lineRule="atLeast"/>
              <w:jc w:val="center"/>
              <w:rPr>
                <w:rFonts w:ascii="Times New Roman" w:hAnsi="Times New Roman" w:cs="Times New Roman"/>
              </w:rPr>
            </w:pPr>
          </w:p>
        </w:tc>
        <w:tc>
          <w:tcPr>
            <w:tcW w:w="1264" w:type="dxa"/>
            <w:tcBorders>
              <w:top w:val="single" w:sz="4" w:space="0" w:color="auto"/>
              <w:left w:val="single" w:sz="4" w:space="0" w:color="auto"/>
              <w:bottom w:val="single" w:sz="4" w:space="0" w:color="auto"/>
              <w:right w:val="single" w:sz="4" w:space="0" w:color="auto"/>
            </w:tcBorders>
          </w:tcPr>
          <w:p w14:paraId="7EC80416" w14:textId="77777777" w:rsidR="00271FA2" w:rsidRPr="00A013E1" w:rsidRDefault="00271FA2">
            <w:pPr>
              <w:spacing w:line="240" w:lineRule="atLeast"/>
              <w:jc w:val="center"/>
              <w:rPr>
                <w:rFonts w:ascii="Times New Roman" w:hAnsi="Times New Roman" w:cs="Times New Roman"/>
              </w:rPr>
            </w:pPr>
          </w:p>
        </w:tc>
        <w:tc>
          <w:tcPr>
            <w:tcW w:w="1255" w:type="dxa"/>
            <w:tcBorders>
              <w:top w:val="single" w:sz="4" w:space="0" w:color="auto"/>
              <w:left w:val="single" w:sz="4" w:space="0" w:color="auto"/>
              <w:bottom w:val="single" w:sz="4" w:space="0" w:color="auto"/>
              <w:right w:val="single" w:sz="4" w:space="0" w:color="auto"/>
            </w:tcBorders>
          </w:tcPr>
          <w:p w14:paraId="5A51AA17" w14:textId="77777777" w:rsidR="00271FA2" w:rsidRPr="00A013E1" w:rsidRDefault="00271FA2">
            <w:pPr>
              <w:spacing w:line="240" w:lineRule="atLeast"/>
              <w:jc w:val="center"/>
              <w:rPr>
                <w:rFonts w:ascii="Times New Roman" w:hAnsi="Times New Roman" w:cs="Times New Roman"/>
              </w:rPr>
            </w:pPr>
          </w:p>
        </w:tc>
        <w:tc>
          <w:tcPr>
            <w:tcW w:w="1300" w:type="dxa"/>
            <w:tcBorders>
              <w:top w:val="single" w:sz="4" w:space="0" w:color="auto"/>
              <w:left w:val="single" w:sz="4" w:space="0" w:color="auto"/>
              <w:bottom w:val="single" w:sz="4" w:space="0" w:color="auto"/>
              <w:right w:val="single" w:sz="4" w:space="0" w:color="auto"/>
            </w:tcBorders>
          </w:tcPr>
          <w:p w14:paraId="09F715FE" w14:textId="77777777" w:rsidR="00271FA2" w:rsidRPr="00A013E1" w:rsidRDefault="00271FA2">
            <w:pPr>
              <w:spacing w:line="240" w:lineRule="atLeast"/>
              <w:jc w:val="center"/>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tcPr>
          <w:p w14:paraId="67135862" w14:textId="77777777" w:rsidR="00271FA2" w:rsidRPr="00A013E1" w:rsidRDefault="00271FA2">
            <w:pPr>
              <w:spacing w:line="240" w:lineRule="atLeast"/>
              <w:jc w:val="center"/>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6C32A0C2" w14:textId="77777777" w:rsidR="00271FA2" w:rsidRPr="00A013E1" w:rsidRDefault="00271FA2">
            <w:pPr>
              <w:spacing w:line="240" w:lineRule="atLeast"/>
              <w:jc w:val="center"/>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14:paraId="6D4E27A9" w14:textId="77777777" w:rsidR="00271FA2" w:rsidRPr="00A013E1" w:rsidRDefault="00271FA2">
            <w:pPr>
              <w:spacing w:line="240" w:lineRule="atLeast"/>
              <w:jc w:val="center"/>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tcPr>
          <w:p w14:paraId="6A5481E4" w14:textId="77777777" w:rsidR="00271FA2" w:rsidRPr="00A013E1" w:rsidRDefault="00271FA2">
            <w:pPr>
              <w:spacing w:line="240" w:lineRule="atLeast"/>
              <w:jc w:val="center"/>
              <w:rPr>
                <w:rFonts w:ascii="Times New Roman" w:hAnsi="Times New Roman" w:cs="Times New Roman"/>
              </w:rPr>
            </w:pPr>
          </w:p>
        </w:tc>
        <w:tc>
          <w:tcPr>
            <w:tcW w:w="1267" w:type="dxa"/>
            <w:tcBorders>
              <w:top w:val="single" w:sz="4" w:space="0" w:color="auto"/>
              <w:left w:val="single" w:sz="4" w:space="0" w:color="auto"/>
              <w:bottom w:val="single" w:sz="4" w:space="0" w:color="auto"/>
              <w:right w:val="single" w:sz="4" w:space="0" w:color="auto"/>
            </w:tcBorders>
          </w:tcPr>
          <w:p w14:paraId="4707FFA3" w14:textId="77777777" w:rsidR="00271FA2" w:rsidRPr="00A013E1" w:rsidRDefault="00271FA2">
            <w:pPr>
              <w:spacing w:line="240" w:lineRule="atLeast"/>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tcPr>
          <w:p w14:paraId="18E6FB11" w14:textId="77777777" w:rsidR="00271FA2" w:rsidRPr="00A013E1" w:rsidRDefault="00271FA2">
            <w:pPr>
              <w:spacing w:line="240" w:lineRule="atLeast"/>
              <w:jc w:val="center"/>
              <w:rPr>
                <w:rFonts w:ascii="Times New Roman" w:hAnsi="Times New Roman" w:cs="Times New Roman"/>
              </w:rPr>
            </w:pPr>
          </w:p>
        </w:tc>
      </w:tr>
    </w:tbl>
    <w:p w14:paraId="1E187EF8" w14:textId="77777777" w:rsidR="00C46490" w:rsidRPr="00A013E1" w:rsidRDefault="00D35E51">
      <w:pPr>
        <w:spacing w:line="240" w:lineRule="atLeast"/>
        <w:rPr>
          <w:rFonts w:ascii="Times New Roman" w:hAnsi="Times New Roman" w:cs="Times New Roman"/>
          <w:lang w:val="ru-RU"/>
        </w:rPr>
        <w:sectPr w:rsidR="00C46490" w:rsidRPr="00A013E1" w:rsidSect="00A013E1">
          <w:footerReference w:type="default" r:id="rId116"/>
          <w:pgSz w:w="15840" w:h="12240" w:orient="landscape"/>
          <w:pgMar w:top="1134" w:right="1134" w:bottom="1134" w:left="1134" w:header="709" w:footer="709" w:gutter="0"/>
          <w:cols w:space="708"/>
          <w:docGrid w:linePitch="299"/>
        </w:sectPr>
      </w:pPr>
      <w:r w:rsidRPr="00A013E1">
        <w:rPr>
          <w:rFonts w:ascii="Times New Roman" w:hAnsi="Times New Roman" w:cs="Times New Roman"/>
          <w:lang w:val="ru-RU"/>
        </w:rPr>
        <w:t>*) Ако липсва мерително свидетелство дедуейдът или водоизместването се изчисляват.</w:t>
      </w:r>
      <w:r w:rsidRPr="00A013E1">
        <w:rPr>
          <w:rFonts w:ascii="Times New Roman" w:hAnsi="Times New Roman" w:cs="Times New Roman"/>
          <w:lang w:val="ru-RU"/>
        </w:rPr>
        <w:br w:type="page"/>
      </w:r>
    </w:p>
    <w:p w14:paraId="1D37A6AD" w14:textId="77777777" w:rsidR="00271FA2" w:rsidRPr="00A013E1" w:rsidRDefault="00D35E51">
      <w:pPr>
        <w:pStyle w:val="ES-Titre1"/>
        <w:rPr>
          <w:rFonts w:ascii="Times New Roman" w:hAnsi="Times New Roman" w:cs="Times New Roman"/>
          <w:lang w:val="ru-RU"/>
        </w:rPr>
      </w:pPr>
      <w:bookmarkStart w:id="592" w:name="_Toc491854307"/>
      <w:bookmarkStart w:id="593" w:name="_Toc535827748"/>
      <w:r w:rsidRPr="00A013E1">
        <w:rPr>
          <w:rFonts w:ascii="Times New Roman" w:hAnsi="Times New Roman" w:cs="Times New Roman"/>
          <w:lang w:val="ru-RU"/>
        </w:rPr>
        <w:lastRenderedPageBreak/>
        <w:t xml:space="preserve">ЧАСТ </w:t>
      </w:r>
      <w:r w:rsidRPr="00A013E1">
        <w:rPr>
          <w:rFonts w:ascii="Times New Roman" w:hAnsi="Times New Roman" w:cs="Times New Roman"/>
        </w:rPr>
        <w:t>II</w:t>
      </w:r>
      <w:r w:rsidRPr="00A013E1">
        <w:rPr>
          <w:rFonts w:ascii="Times New Roman" w:hAnsi="Times New Roman" w:cs="Times New Roman"/>
          <w:lang w:val="ru-RU"/>
        </w:rPr>
        <w:br/>
        <w:t>ДОПЪЛНИТЕЛНИ ИЗИСКВАНИЯ ЗА СПЕЦИФИЧНО ОБОРУДВАНЕ, ИЗПОЛЗВАНО НА БОРДА</w:t>
      </w:r>
      <w:bookmarkEnd w:id="592"/>
      <w:bookmarkEnd w:id="593"/>
    </w:p>
    <w:p w14:paraId="7B020818" w14:textId="77777777" w:rsidR="00271FA2" w:rsidRPr="00A013E1" w:rsidRDefault="00D35E51">
      <w:pPr>
        <w:pStyle w:val="ES-Titre2"/>
        <w:pageBreakBefore w:val="0"/>
        <w:rPr>
          <w:rFonts w:ascii="Times New Roman" w:hAnsi="Times New Roman" w:cs="Times New Roman"/>
        </w:rPr>
      </w:pPr>
      <w:bookmarkStart w:id="594" w:name="_Toc491854308"/>
      <w:bookmarkStart w:id="595" w:name="_Toc535827749"/>
      <w:r w:rsidRPr="00A013E1">
        <w:rPr>
          <w:rFonts w:ascii="Times New Roman" w:hAnsi="Times New Roman" w:cs="Times New Roman"/>
        </w:rPr>
        <w:t>Приложение 4</w:t>
      </w:r>
      <w:r w:rsidRPr="00A013E1">
        <w:rPr>
          <w:rFonts w:ascii="Times New Roman" w:hAnsi="Times New Roman" w:cs="Times New Roman"/>
        </w:rPr>
        <w:br/>
        <w:t>Знаци за безопасност</w:t>
      </w:r>
      <w:bookmarkEnd w:id="594"/>
      <w:bookmarkEnd w:id="595"/>
    </w:p>
    <w:tbl>
      <w:tblPr>
        <w:tblW w:w="92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331"/>
        <w:gridCol w:w="2551"/>
        <w:gridCol w:w="3328"/>
      </w:tblGrid>
      <w:tr w:rsidR="00271FA2" w:rsidRPr="00A013E1" w14:paraId="74C1C226" w14:textId="77777777" w:rsidTr="00BF3B3B">
        <w:tc>
          <w:tcPr>
            <w:tcW w:w="3331" w:type="dxa"/>
            <w:vAlign w:val="center"/>
          </w:tcPr>
          <w:p w14:paraId="17FD8B57"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Фигура 1</w:t>
            </w:r>
          </w:p>
          <w:p w14:paraId="74D73D94" w14:textId="77777777" w:rsidR="00271FA2" w:rsidRPr="00A013E1" w:rsidRDefault="00D35E51">
            <w:pPr>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Вход за външни лица забранен</w:t>
            </w:r>
          </w:p>
        </w:tc>
        <w:tc>
          <w:tcPr>
            <w:tcW w:w="2551" w:type="dxa"/>
          </w:tcPr>
          <w:p w14:paraId="006240B8"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lang w:val="ru-RU"/>
              </w:rPr>
            </w:pPr>
          </w:p>
          <w:p w14:paraId="54598053"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rPr>
            </w:pPr>
            <w:r w:rsidRPr="00A013E1">
              <w:rPr>
                <w:rFonts w:ascii="Times New Roman" w:hAnsi="Times New Roman" w:cs="Times New Roman"/>
                <w:b/>
                <w:noProof/>
                <w:szCs w:val="20"/>
                <w:lang w:eastAsia="bg-BG"/>
              </w:rPr>
              <w:drawing>
                <wp:inline distT="0" distB="0" distL="0" distR="0" wp14:anchorId="7441CC8D" wp14:editId="1B512B98">
                  <wp:extent cx="1282700" cy="1282700"/>
                  <wp:effectExtent l="19050" t="0" r="0"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1282700" cy="1282700"/>
                          </a:xfrm>
                          <a:prstGeom prst="rect">
                            <a:avLst/>
                          </a:prstGeom>
                          <a:noFill/>
                          <a:ln>
                            <a:noFill/>
                          </a:ln>
                        </pic:spPr>
                      </pic:pic>
                    </a:graphicData>
                  </a:graphic>
                </wp:inline>
              </w:drawing>
            </w:r>
          </w:p>
          <w:p w14:paraId="089CD3D0"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tc>
        <w:tc>
          <w:tcPr>
            <w:tcW w:w="3328" w:type="dxa"/>
            <w:vAlign w:val="center"/>
          </w:tcPr>
          <w:p w14:paraId="03768465"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Цвят: червено/бяло/черно</w:t>
            </w:r>
          </w:p>
        </w:tc>
      </w:tr>
      <w:tr w:rsidR="00271FA2" w:rsidRPr="00A013E1" w14:paraId="1C920412" w14:textId="77777777" w:rsidTr="00BF3B3B">
        <w:tc>
          <w:tcPr>
            <w:tcW w:w="3331" w:type="dxa"/>
            <w:vAlign w:val="center"/>
          </w:tcPr>
          <w:p w14:paraId="48421321" w14:textId="77777777" w:rsidR="00271FA2" w:rsidRPr="00A013E1" w:rsidRDefault="00D35E51">
            <w:pPr>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Фигура 2</w:t>
            </w:r>
          </w:p>
          <w:p w14:paraId="29E4C569" w14:textId="77777777" w:rsidR="00271FA2" w:rsidRPr="00A013E1" w:rsidRDefault="00D35E51">
            <w:pPr>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Забранено паленето на огън и пушенето</w:t>
            </w:r>
          </w:p>
        </w:tc>
        <w:tc>
          <w:tcPr>
            <w:tcW w:w="2551" w:type="dxa"/>
          </w:tcPr>
          <w:p w14:paraId="4876209D"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lang w:val="ru-RU"/>
              </w:rPr>
            </w:pPr>
          </w:p>
          <w:p w14:paraId="76CE0E35"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rPr>
            </w:pPr>
            <w:r w:rsidRPr="00A013E1">
              <w:rPr>
                <w:rFonts w:ascii="Times New Roman" w:hAnsi="Times New Roman" w:cs="Times New Roman"/>
                <w:noProof/>
                <w:szCs w:val="20"/>
                <w:lang w:eastAsia="bg-BG"/>
              </w:rPr>
              <w:drawing>
                <wp:inline distT="0" distB="0" distL="0" distR="0" wp14:anchorId="14022F21" wp14:editId="32D6AE5A">
                  <wp:extent cx="1282700" cy="12827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1282700" cy="1282700"/>
                          </a:xfrm>
                          <a:prstGeom prst="rect">
                            <a:avLst/>
                          </a:prstGeom>
                          <a:noFill/>
                          <a:ln>
                            <a:noFill/>
                          </a:ln>
                        </pic:spPr>
                      </pic:pic>
                    </a:graphicData>
                  </a:graphic>
                </wp:inline>
              </w:drawing>
            </w:r>
          </w:p>
          <w:p w14:paraId="5A040C07"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tc>
        <w:tc>
          <w:tcPr>
            <w:tcW w:w="3328" w:type="dxa"/>
            <w:vAlign w:val="center"/>
          </w:tcPr>
          <w:p w14:paraId="684E3D49"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Цвят: червено/бяло/черно</w:t>
            </w:r>
          </w:p>
        </w:tc>
      </w:tr>
      <w:tr w:rsidR="00271FA2" w:rsidRPr="00A013E1" w14:paraId="0BF67A03" w14:textId="77777777" w:rsidTr="00BF3B3B">
        <w:tc>
          <w:tcPr>
            <w:tcW w:w="3331" w:type="dxa"/>
            <w:vAlign w:val="center"/>
          </w:tcPr>
          <w:p w14:paraId="28B2E541"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Фигура 3</w:t>
            </w:r>
          </w:p>
          <w:p w14:paraId="7211C9B9"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Пожарогасител</w:t>
            </w:r>
          </w:p>
        </w:tc>
        <w:tc>
          <w:tcPr>
            <w:tcW w:w="2551" w:type="dxa"/>
          </w:tcPr>
          <w:p w14:paraId="2F74B99E"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p w14:paraId="2C019C2B"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rPr>
            </w:pPr>
            <w:r w:rsidRPr="00A013E1">
              <w:rPr>
                <w:rFonts w:ascii="Times New Roman" w:hAnsi="Times New Roman" w:cs="Times New Roman"/>
                <w:noProof/>
                <w:szCs w:val="20"/>
                <w:lang w:eastAsia="bg-BG"/>
              </w:rPr>
              <w:drawing>
                <wp:inline distT="0" distB="0" distL="0" distR="0" wp14:anchorId="70EB705C" wp14:editId="13426612">
                  <wp:extent cx="1282700" cy="1282700"/>
                  <wp:effectExtent l="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1282700" cy="1282700"/>
                          </a:xfrm>
                          <a:prstGeom prst="rect">
                            <a:avLst/>
                          </a:prstGeom>
                          <a:noFill/>
                          <a:ln>
                            <a:noFill/>
                          </a:ln>
                        </pic:spPr>
                      </pic:pic>
                    </a:graphicData>
                  </a:graphic>
                </wp:inline>
              </w:drawing>
            </w:r>
          </w:p>
          <w:p w14:paraId="54D0F92F"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tc>
        <w:tc>
          <w:tcPr>
            <w:tcW w:w="3328" w:type="dxa"/>
            <w:vAlign w:val="center"/>
          </w:tcPr>
          <w:p w14:paraId="6FF45890"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Цвят: червено/бяло</w:t>
            </w:r>
          </w:p>
        </w:tc>
      </w:tr>
      <w:tr w:rsidR="00271FA2" w:rsidRPr="00A013E1" w14:paraId="67D91086" w14:textId="77777777" w:rsidTr="00BF3B3B">
        <w:tc>
          <w:tcPr>
            <w:tcW w:w="3331" w:type="dxa"/>
            <w:vAlign w:val="center"/>
          </w:tcPr>
          <w:p w14:paraId="09B37592"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Фигура 4</w:t>
            </w:r>
          </w:p>
          <w:p w14:paraId="44B22985" w14:textId="77777777" w:rsidR="00271FA2" w:rsidRPr="00A013E1" w:rsidRDefault="00D35E51">
            <w:pPr>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Предупреждение за обща опасност</w:t>
            </w:r>
          </w:p>
        </w:tc>
        <w:tc>
          <w:tcPr>
            <w:tcW w:w="2551" w:type="dxa"/>
          </w:tcPr>
          <w:p w14:paraId="01EFB819"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lang w:val="ru-RU"/>
              </w:rPr>
            </w:pPr>
          </w:p>
          <w:p w14:paraId="64765652"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rPr>
            </w:pPr>
            <w:r w:rsidRPr="00A013E1">
              <w:rPr>
                <w:rFonts w:ascii="Times New Roman" w:hAnsi="Times New Roman" w:cs="Times New Roman"/>
                <w:noProof/>
                <w:szCs w:val="20"/>
                <w:lang w:eastAsia="bg-BG"/>
              </w:rPr>
              <w:drawing>
                <wp:inline distT="0" distB="0" distL="0" distR="0" wp14:anchorId="755282B3" wp14:editId="796CF5C6">
                  <wp:extent cx="1460500" cy="1282700"/>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1460500" cy="1282700"/>
                          </a:xfrm>
                          <a:prstGeom prst="rect">
                            <a:avLst/>
                          </a:prstGeom>
                          <a:noFill/>
                          <a:ln>
                            <a:noFill/>
                          </a:ln>
                        </pic:spPr>
                      </pic:pic>
                    </a:graphicData>
                  </a:graphic>
                </wp:inline>
              </w:drawing>
            </w:r>
          </w:p>
          <w:p w14:paraId="2ADA6D52"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tc>
        <w:tc>
          <w:tcPr>
            <w:tcW w:w="3328" w:type="dxa"/>
            <w:vAlign w:val="center"/>
          </w:tcPr>
          <w:p w14:paraId="18A0B1FE"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Цвят: черно/жълто</w:t>
            </w:r>
          </w:p>
        </w:tc>
      </w:tr>
      <w:tr w:rsidR="00271FA2" w:rsidRPr="00A013E1" w14:paraId="19BAC664" w14:textId="77777777" w:rsidTr="00BF3B3B">
        <w:tc>
          <w:tcPr>
            <w:tcW w:w="3331" w:type="dxa"/>
            <w:vAlign w:val="center"/>
          </w:tcPr>
          <w:p w14:paraId="0D5BC7D0"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Фигура 5</w:t>
            </w:r>
          </w:p>
          <w:p w14:paraId="150D35F4" w14:textId="77777777" w:rsidR="00271FA2" w:rsidRPr="00A013E1" w:rsidRDefault="00D35E51">
            <w:pPr>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lastRenderedPageBreak/>
              <w:t>Маркуч за гасене на пожар</w:t>
            </w:r>
          </w:p>
        </w:tc>
        <w:tc>
          <w:tcPr>
            <w:tcW w:w="2551" w:type="dxa"/>
          </w:tcPr>
          <w:p w14:paraId="36DB9EBE"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lang w:val="ru-RU"/>
              </w:rPr>
            </w:pPr>
          </w:p>
          <w:p w14:paraId="2265B558"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rPr>
            </w:pPr>
            <w:r w:rsidRPr="00A013E1">
              <w:rPr>
                <w:rFonts w:ascii="Times New Roman" w:hAnsi="Times New Roman" w:cs="Times New Roman"/>
                <w:noProof/>
                <w:szCs w:val="20"/>
                <w:lang w:eastAsia="bg-BG"/>
              </w:rPr>
              <w:lastRenderedPageBreak/>
              <w:drawing>
                <wp:inline distT="0" distB="0" distL="0" distR="0" wp14:anchorId="641DAABB" wp14:editId="612BC73C">
                  <wp:extent cx="1282700" cy="12827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a:xfrm>
                            <a:off x="0" y="0"/>
                            <a:ext cx="1282700" cy="1282700"/>
                          </a:xfrm>
                          <a:prstGeom prst="rect">
                            <a:avLst/>
                          </a:prstGeom>
                          <a:noFill/>
                          <a:ln>
                            <a:noFill/>
                          </a:ln>
                        </pic:spPr>
                      </pic:pic>
                    </a:graphicData>
                  </a:graphic>
                </wp:inline>
              </w:drawing>
            </w:r>
          </w:p>
          <w:p w14:paraId="32EAAE09"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tc>
        <w:tc>
          <w:tcPr>
            <w:tcW w:w="3328" w:type="dxa"/>
            <w:vAlign w:val="center"/>
          </w:tcPr>
          <w:p w14:paraId="70236A88"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lastRenderedPageBreak/>
              <w:t>Цвят: червено/бяло</w:t>
            </w:r>
          </w:p>
        </w:tc>
      </w:tr>
      <w:tr w:rsidR="00271FA2" w:rsidRPr="00A013E1" w14:paraId="0DB54D5A" w14:textId="77777777" w:rsidTr="00BF3B3B">
        <w:tc>
          <w:tcPr>
            <w:tcW w:w="3331" w:type="dxa"/>
            <w:vAlign w:val="center"/>
          </w:tcPr>
          <w:p w14:paraId="2D599BDB"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Фигура 6</w:t>
            </w:r>
          </w:p>
          <w:p w14:paraId="61BCFCDE"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Противопожарна инсталация</w:t>
            </w:r>
          </w:p>
        </w:tc>
        <w:tc>
          <w:tcPr>
            <w:tcW w:w="2551" w:type="dxa"/>
          </w:tcPr>
          <w:p w14:paraId="2A3DC876"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p w14:paraId="1F401B5B"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rPr>
            </w:pPr>
            <w:r w:rsidRPr="00A013E1">
              <w:rPr>
                <w:rFonts w:ascii="Times New Roman" w:hAnsi="Times New Roman" w:cs="Times New Roman"/>
                <w:noProof/>
                <w:szCs w:val="20"/>
                <w:lang w:eastAsia="bg-BG"/>
              </w:rPr>
              <w:drawing>
                <wp:inline distT="0" distB="0" distL="0" distR="0" wp14:anchorId="678739F0" wp14:editId="49C690AB">
                  <wp:extent cx="1282700" cy="12827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1282700" cy="1282700"/>
                          </a:xfrm>
                          <a:prstGeom prst="rect">
                            <a:avLst/>
                          </a:prstGeom>
                          <a:noFill/>
                          <a:ln>
                            <a:noFill/>
                          </a:ln>
                        </pic:spPr>
                      </pic:pic>
                    </a:graphicData>
                  </a:graphic>
                </wp:inline>
              </w:drawing>
            </w:r>
          </w:p>
          <w:p w14:paraId="79662648"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tc>
        <w:tc>
          <w:tcPr>
            <w:tcW w:w="3328" w:type="dxa"/>
            <w:vAlign w:val="center"/>
          </w:tcPr>
          <w:p w14:paraId="5ED78926"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Цвят: червено/бяло</w:t>
            </w:r>
          </w:p>
        </w:tc>
      </w:tr>
      <w:tr w:rsidR="00271FA2" w:rsidRPr="00A013E1" w14:paraId="4D21E314" w14:textId="77777777" w:rsidTr="00BF3B3B">
        <w:tc>
          <w:tcPr>
            <w:tcW w:w="3331" w:type="dxa"/>
            <w:vAlign w:val="center"/>
          </w:tcPr>
          <w:p w14:paraId="7F65214D"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Фигура 7</w:t>
            </w:r>
          </w:p>
          <w:p w14:paraId="65BB7C3C" w14:textId="77777777" w:rsidR="00271FA2" w:rsidRPr="00A013E1" w:rsidRDefault="00D35E51">
            <w:pPr>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Да се носят предпазни средства против шум</w:t>
            </w:r>
          </w:p>
        </w:tc>
        <w:tc>
          <w:tcPr>
            <w:tcW w:w="2551" w:type="dxa"/>
          </w:tcPr>
          <w:p w14:paraId="6499EDF9"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lang w:val="ru-RU"/>
              </w:rPr>
            </w:pPr>
          </w:p>
          <w:p w14:paraId="004B640B"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rPr>
            </w:pPr>
            <w:r w:rsidRPr="00A013E1">
              <w:rPr>
                <w:rFonts w:ascii="Times New Roman" w:hAnsi="Times New Roman" w:cs="Times New Roman"/>
                <w:noProof/>
                <w:szCs w:val="20"/>
                <w:lang w:eastAsia="bg-BG"/>
              </w:rPr>
              <w:drawing>
                <wp:inline distT="0" distB="0" distL="0" distR="0" wp14:anchorId="61A8B9D9" wp14:editId="20EEAFD9">
                  <wp:extent cx="1282700" cy="12827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1282700" cy="1282700"/>
                          </a:xfrm>
                          <a:prstGeom prst="rect">
                            <a:avLst/>
                          </a:prstGeom>
                          <a:noFill/>
                          <a:ln>
                            <a:noFill/>
                          </a:ln>
                        </pic:spPr>
                      </pic:pic>
                    </a:graphicData>
                  </a:graphic>
                </wp:inline>
              </w:drawing>
            </w:r>
          </w:p>
          <w:p w14:paraId="6749B3C4" w14:textId="77777777" w:rsidR="00271FA2" w:rsidRPr="00A013E1" w:rsidRDefault="00271FA2">
            <w:pPr>
              <w:overflowPunct w:val="0"/>
              <w:adjustRightInd w:val="0"/>
              <w:spacing w:line="240" w:lineRule="atLeast"/>
              <w:textAlignment w:val="baseline"/>
              <w:rPr>
                <w:rFonts w:ascii="Times New Roman" w:hAnsi="Times New Roman" w:cs="Times New Roman"/>
                <w:sz w:val="18"/>
                <w:szCs w:val="20"/>
              </w:rPr>
            </w:pPr>
          </w:p>
        </w:tc>
        <w:tc>
          <w:tcPr>
            <w:tcW w:w="3328" w:type="dxa"/>
            <w:vAlign w:val="center"/>
          </w:tcPr>
          <w:p w14:paraId="118241C5"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Цвят: синьо/бяло</w:t>
            </w:r>
          </w:p>
        </w:tc>
      </w:tr>
      <w:tr w:rsidR="00271FA2" w:rsidRPr="00A013E1" w14:paraId="02793224" w14:textId="77777777" w:rsidTr="00BF3B3B">
        <w:trPr>
          <w:trHeight w:val="2530"/>
        </w:trPr>
        <w:tc>
          <w:tcPr>
            <w:tcW w:w="3331" w:type="dxa"/>
            <w:vAlign w:val="center"/>
          </w:tcPr>
          <w:p w14:paraId="28115F2B"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Фигура 8</w:t>
            </w:r>
          </w:p>
          <w:p w14:paraId="3D7CB37D" w14:textId="77777777" w:rsidR="00271FA2" w:rsidRPr="00A013E1" w:rsidRDefault="00D35E51">
            <w:pPr>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Комплект за оказване на първа помощ</w:t>
            </w:r>
          </w:p>
          <w:p w14:paraId="73FE8518" w14:textId="77777777" w:rsidR="00271FA2" w:rsidRPr="00A013E1" w:rsidRDefault="00271FA2">
            <w:pPr>
              <w:spacing w:line="240" w:lineRule="atLeast"/>
              <w:rPr>
                <w:rFonts w:ascii="Times New Roman" w:hAnsi="Times New Roman" w:cs="Times New Roman"/>
                <w:lang w:val="ru-RU"/>
              </w:rPr>
            </w:pPr>
          </w:p>
          <w:p w14:paraId="0644DCE3" w14:textId="77777777" w:rsidR="00271FA2" w:rsidRPr="00A013E1" w:rsidRDefault="00271FA2">
            <w:pPr>
              <w:spacing w:line="240" w:lineRule="atLeast"/>
              <w:rPr>
                <w:rFonts w:ascii="Times New Roman" w:hAnsi="Times New Roman" w:cs="Times New Roman"/>
                <w:lang w:val="ru-RU"/>
              </w:rPr>
            </w:pPr>
          </w:p>
          <w:p w14:paraId="1ADAAAFD" w14:textId="77777777" w:rsidR="00271FA2" w:rsidRPr="00A013E1" w:rsidRDefault="00271FA2">
            <w:pPr>
              <w:spacing w:line="240" w:lineRule="atLeast"/>
              <w:rPr>
                <w:rFonts w:ascii="Times New Roman" w:hAnsi="Times New Roman" w:cs="Times New Roman"/>
                <w:lang w:val="ru-RU"/>
              </w:rPr>
            </w:pPr>
          </w:p>
          <w:p w14:paraId="51DE5A11" w14:textId="77777777" w:rsidR="00271FA2" w:rsidRPr="00A013E1" w:rsidRDefault="00271FA2">
            <w:pPr>
              <w:spacing w:line="240" w:lineRule="atLeast"/>
              <w:rPr>
                <w:rFonts w:ascii="Times New Roman" w:hAnsi="Times New Roman" w:cs="Times New Roman"/>
                <w:lang w:val="ru-RU"/>
              </w:rPr>
            </w:pPr>
          </w:p>
        </w:tc>
        <w:tc>
          <w:tcPr>
            <w:tcW w:w="2551" w:type="dxa"/>
            <w:vAlign w:val="center"/>
          </w:tcPr>
          <w:p w14:paraId="5A3213D1"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rPr>
            </w:pPr>
            <w:r w:rsidRPr="00A013E1">
              <w:rPr>
                <w:rFonts w:ascii="Times New Roman" w:hAnsi="Times New Roman" w:cs="Times New Roman"/>
                <w:noProof/>
                <w:sz w:val="18"/>
                <w:szCs w:val="20"/>
                <w:lang w:eastAsia="bg-BG"/>
              </w:rPr>
              <w:drawing>
                <wp:inline distT="0" distB="0" distL="0" distR="0" wp14:anchorId="7FDCCE87" wp14:editId="54EC01CF">
                  <wp:extent cx="1438275" cy="1438275"/>
                  <wp:effectExtent l="19050" t="0" r="9525" b="0"/>
                  <wp:docPr id="32" name="Image 70" descr="Verbandska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70" descr="Verbandskasten"/>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1438275" cy="1438275"/>
                          </a:xfrm>
                          <a:prstGeom prst="rect">
                            <a:avLst/>
                          </a:prstGeom>
                          <a:noFill/>
                          <a:ln>
                            <a:noFill/>
                          </a:ln>
                        </pic:spPr>
                      </pic:pic>
                    </a:graphicData>
                  </a:graphic>
                </wp:inline>
              </w:drawing>
            </w:r>
          </w:p>
        </w:tc>
        <w:tc>
          <w:tcPr>
            <w:tcW w:w="3328" w:type="dxa"/>
            <w:vAlign w:val="center"/>
          </w:tcPr>
          <w:p w14:paraId="4E2F2A5E"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Цвят: зелено/бяло</w:t>
            </w:r>
          </w:p>
        </w:tc>
      </w:tr>
      <w:tr w:rsidR="00271FA2" w:rsidRPr="00A013E1" w14:paraId="2E788A7A" w14:textId="77777777" w:rsidTr="00BF3B3B">
        <w:trPr>
          <w:trHeight w:val="3076"/>
        </w:trPr>
        <w:tc>
          <w:tcPr>
            <w:tcW w:w="3331" w:type="dxa"/>
            <w:vAlign w:val="center"/>
          </w:tcPr>
          <w:p w14:paraId="7E854852"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Фигура 9</w:t>
            </w:r>
          </w:p>
          <w:p w14:paraId="5A34694D"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Бързозатварящ се клапан на резервоара</w:t>
            </w:r>
            <w:r w:rsidRPr="00A013E1">
              <w:rPr>
                <w:rFonts w:ascii="Times New Roman" w:hAnsi="Times New Roman" w:cs="Times New Roman"/>
              </w:rPr>
              <w:t> </w:t>
            </w:r>
          </w:p>
        </w:tc>
        <w:tc>
          <w:tcPr>
            <w:tcW w:w="2551" w:type="dxa"/>
            <w:vAlign w:val="center"/>
          </w:tcPr>
          <w:p w14:paraId="27B894F4"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lang w:val="ru-RU"/>
              </w:rPr>
            </w:pPr>
            <w:r w:rsidRPr="00A013E1">
              <w:rPr>
                <w:rFonts w:ascii="Times New Roman" w:hAnsi="Times New Roman" w:cs="Times New Roman"/>
                <w:noProof/>
                <w:sz w:val="18"/>
                <w:szCs w:val="20"/>
                <w:lang w:eastAsia="bg-BG"/>
              </w:rPr>
              <w:drawing>
                <wp:anchor distT="0" distB="0" distL="0" distR="0" simplePos="0" relativeHeight="251709440" behindDoc="0" locked="0" layoutInCell="1" allowOverlap="1" wp14:anchorId="7D0E4A45" wp14:editId="284444BC">
                  <wp:simplePos x="0" y="0"/>
                  <wp:positionH relativeFrom="column">
                    <wp:posOffset>20955</wp:posOffset>
                  </wp:positionH>
                  <wp:positionV relativeFrom="paragraph">
                    <wp:posOffset>3175</wp:posOffset>
                  </wp:positionV>
                  <wp:extent cx="1440815" cy="1150620"/>
                  <wp:effectExtent l="19050" t="0" r="6985" b="0"/>
                  <wp:wrapTopAndBottom/>
                  <wp:docPr id="2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1440815" cy="1150620"/>
                          </a:xfrm>
                          <a:prstGeom prst="rect">
                            <a:avLst/>
                          </a:prstGeom>
                          <a:noFill/>
                          <a:ln>
                            <a:noFill/>
                          </a:ln>
                        </pic:spPr>
                      </pic:pic>
                    </a:graphicData>
                  </a:graphic>
                </wp:anchor>
              </w:drawing>
            </w:r>
          </w:p>
        </w:tc>
        <w:tc>
          <w:tcPr>
            <w:tcW w:w="3328" w:type="dxa"/>
            <w:vAlign w:val="center"/>
          </w:tcPr>
          <w:p w14:paraId="6F371048"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Цвят: кафяво/бяло</w:t>
            </w:r>
          </w:p>
        </w:tc>
      </w:tr>
      <w:tr w:rsidR="00271FA2" w:rsidRPr="00A013E1" w14:paraId="4CD7E6E2" w14:textId="77777777" w:rsidTr="00BF3B3B">
        <w:trPr>
          <w:trHeight w:val="5119"/>
        </w:trPr>
        <w:tc>
          <w:tcPr>
            <w:tcW w:w="3331" w:type="dxa"/>
            <w:tcBorders>
              <w:top w:val="single" w:sz="6" w:space="0" w:color="auto"/>
              <w:left w:val="single" w:sz="6" w:space="0" w:color="auto"/>
              <w:right w:val="single" w:sz="6" w:space="0" w:color="auto"/>
            </w:tcBorders>
            <w:vAlign w:val="center"/>
          </w:tcPr>
          <w:p w14:paraId="61652896"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lastRenderedPageBreak/>
              <w:t>Фигура 10</w:t>
            </w:r>
          </w:p>
          <w:p w14:paraId="00D2DA2A"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t>Носете спасителна жилетка</w:t>
            </w:r>
          </w:p>
        </w:tc>
        <w:tc>
          <w:tcPr>
            <w:tcW w:w="2551" w:type="dxa"/>
            <w:tcBorders>
              <w:top w:val="single" w:sz="6" w:space="0" w:color="auto"/>
              <w:left w:val="single" w:sz="6" w:space="0" w:color="auto"/>
              <w:right w:val="single" w:sz="6" w:space="0" w:color="auto"/>
            </w:tcBorders>
            <w:vAlign w:val="center"/>
          </w:tcPr>
          <w:p w14:paraId="34081E4D" w14:textId="77777777" w:rsidR="00271FA2" w:rsidRPr="00A013E1" w:rsidRDefault="00D35E51">
            <w:pPr>
              <w:overflowPunct w:val="0"/>
              <w:adjustRightInd w:val="0"/>
              <w:spacing w:line="240" w:lineRule="atLeast"/>
              <w:jc w:val="center"/>
              <w:textAlignment w:val="baseline"/>
              <w:rPr>
                <w:rFonts w:ascii="Times New Roman" w:hAnsi="Times New Roman" w:cs="Times New Roman"/>
                <w:sz w:val="18"/>
                <w:szCs w:val="20"/>
              </w:rPr>
            </w:pPr>
            <w:r w:rsidRPr="00A013E1">
              <w:rPr>
                <w:rFonts w:ascii="Times New Roman" w:hAnsi="Times New Roman" w:cs="Times New Roman"/>
                <w:noProof/>
                <w:sz w:val="18"/>
                <w:szCs w:val="20"/>
                <w:lang w:eastAsia="bg-BG"/>
              </w:rPr>
              <w:drawing>
                <wp:anchor distT="0" distB="0" distL="114300" distR="114300" simplePos="0" relativeHeight="251710464" behindDoc="0" locked="0" layoutInCell="1" allowOverlap="1" wp14:anchorId="5E0DA9F3" wp14:editId="4D3DBE52">
                  <wp:simplePos x="0" y="0"/>
                  <wp:positionH relativeFrom="column">
                    <wp:posOffset>-3810</wp:posOffset>
                  </wp:positionH>
                  <wp:positionV relativeFrom="paragraph">
                    <wp:posOffset>51435</wp:posOffset>
                  </wp:positionV>
                  <wp:extent cx="1530985" cy="1530985"/>
                  <wp:effectExtent l="0" t="0" r="0" b="0"/>
                  <wp:wrapNone/>
                  <wp:docPr id="3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1530985" cy="1530985"/>
                          </a:xfrm>
                          <a:prstGeom prst="rect">
                            <a:avLst/>
                          </a:prstGeom>
                          <a:noFill/>
                          <a:ln>
                            <a:noFill/>
                          </a:ln>
                        </pic:spPr>
                      </pic:pic>
                    </a:graphicData>
                  </a:graphic>
                </wp:anchor>
              </w:drawing>
            </w:r>
          </w:p>
        </w:tc>
        <w:tc>
          <w:tcPr>
            <w:tcW w:w="3328" w:type="dxa"/>
            <w:tcBorders>
              <w:top w:val="single" w:sz="6" w:space="0" w:color="auto"/>
              <w:left w:val="single" w:sz="6" w:space="0" w:color="auto"/>
              <w:right w:val="single" w:sz="6" w:space="0" w:color="auto"/>
            </w:tcBorders>
            <w:vAlign w:val="center"/>
          </w:tcPr>
          <w:p w14:paraId="367F4DC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Цвят: синьо/бяло</w:t>
            </w:r>
          </w:p>
        </w:tc>
      </w:tr>
      <w:tr w:rsidR="00271FA2" w:rsidRPr="00A013E1" w14:paraId="6C6306CB" w14:textId="77777777" w:rsidTr="00BF3B3B">
        <w:trPr>
          <w:trHeight w:val="5119"/>
        </w:trPr>
        <w:tc>
          <w:tcPr>
            <w:tcW w:w="3331" w:type="dxa"/>
            <w:tcBorders>
              <w:top w:val="single" w:sz="6" w:space="0" w:color="auto"/>
              <w:left w:val="single" w:sz="6" w:space="0" w:color="auto"/>
              <w:right w:val="single" w:sz="6" w:space="0" w:color="auto"/>
            </w:tcBorders>
            <w:vAlign w:val="center"/>
          </w:tcPr>
          <w:p w14:paraId="11C13995" w14:textId="77777777" w:rsidR="00271FA2" w:rsidRPr="00A013E1" w:rsidRDefault="00271FA2">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p>
          <w:p w14:paraId="3CCAB590" w14:textId="77777777" w:rsidR="00271FA2" w:rsidRPr="00A013E1" w:rsidRDefault="00271FA2">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p>
          <w:p w14:paraId="47A42423" w14:textId="77777777" w:rsidR="00271FA2" w:rsidRPr="00A013E1" w:rsidRDefault="00271FA2">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p>
          <w:p w14:paraId="7F0B2FD9" w14:textId="77777777" w:rsidR="00271FA2" w:rsidRPr="00A013E1" w:rsidRDefault="00271FA2">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p>
          <w:p w14:paraId="6B378F91"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Фигура 11</w:t>
            </w:r>
          </w:p>
          <w:p w14:paraId="4D8B91B4" w14:textId="77777777" w:rsidR="00271FA2" w:rsidRPr="00A013E1" w:rsidRDefault="00D35E51">
            <w:pPr>
              <w:overflowPunct w:val="0"/>
              <w:adjustRightInd w:val="0"/>
              <w:spacing w:line="240" w:lineRule="atLeast"/>
              <w:textAlignment w:val="baseline"/>
              <w:rPr>
                <w:rFonts w:ascii="Times New Roman" w:hAnsi="Times New Roman" w:cs="Times New Roman"/>
                <w:szCs w:val="20"/>
                <w:lang w:val="ru-RU"/>
              </w:rPr>
            </w:pPr>
            <w:r w:rsidRPr="00A013E1">
              <w:rPr>
                <w:rFonts w:ascii="Times New Roman" w:hAnsi="Times New Roman" w:cs="Times New Roman"/>
                <w:lang w:val="ru-RU"/>
              </w:rPr>
              <w:t>Предупреждение за втечнен природен газ</w:t>
            </w:r>
          </w:p>
        </w:tc>
        <w:tc>
          <w:tcPr>
            <w:tcW w:w="2551" w:type="dxa"/>
            <w:tcBorders>
              <w:top w:val="single" w:sz="6" w:space="0" w:color="auto"/>
              <w:left w:val="single" w:sz="6" w:space="0" w:color="auto"/>
              <w:right w:val="single" w:sz="6" w:space="0" w:color="auto"/>
            </w:tcBorders>
            <w:vAlign w:val="center"/>
          </w:tcPr>
          <w:p w14:paraId="7E61931C" w14:textId="77777777" w:rsidR="00271FA2" w:rsidRPr="00A013E1" w:rsidRDefault="00D35E51">
            <w:pPr>
              <w:overflowPunct w:val="0"/>
              <w:adjustRightInd w:val="0"/>
              <w:spacing w:line="240" w:lineRule="atLeast"/>
              <w:jc w:val="center"/>
              <w:textAlignment w:val="baseline"/>
              <w:rPr>
                <w:rFonts w:ascii="Times New Roman" w:hAnsi="Times New Roman" w:cs="Times New Roman"/>
                <w:szCs w:val="20"/>
              </w:rPr>
            </w:pPr>
            <w:r w:rsidRPr="00A013E1">
              <w:rPr>
                <w:rFonts w:ascii="Times New Roman" w:hAnsi="Times New Roman" w:cs="Times New Roman"/>
                <w:noProof/>
                <w:szCs w:val="20"/>
                <w:lang w:eastAsia="bg-BG"/>
              </w:rPr>
              <w:drawing>
                <wp:inline distT="0" distB="0" distL="0" distR="0" wp14:anchorId="54BB30F8" wp14:editId="2C528A7D">
                  <wp:extent cx="1584960" cy="1457325"/>
                  <wp:effectExtent l="0" t="0" r="0" b="0"/>
                  <wp:docPr id="39" name="Image 4" descr="panneau L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4" descr="panneau L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1593290" cy="1464725"/>
                          </a:xfrm>
                          <a:prstGeom prst="rect">
                            <a:avLst/>
                          </a:prstGeom>
                          <a:noFill/>
                          <a:ln>
                            <a:noFill/>
                          </a:ln>
                        </pic:spPr>
                      </pic:pic>
                    </a:graphicData>
                  </a:graphic>
                </wp:inline>
              </w:drawing>
            </w:r>
          </w:p>
        </w:tc>
        <w:tc>
          <w:tcPr>
            <w:tcW w:w="3328" w:type="dxa"/>
            <w:tcBorders>
              <w:top w:val="single" w:sz="6" w:space="0" w:color="auto"/>
              <w:left w:val="single" w:sz="6" w:space="0" w:color="auto"/>
              <w:right w:val="single" w:sz="6" w:space="0" w:color="auto"/>
            </w:tcBorders>
            <w:vAlign w:val="center"/>
          </w:tcPr>
          <w:p w14:paraId="00558885" w14:textId="77777777" w:rsidR="00271FA2" w:rsidRPr="00A013E1" w:rsidRDefault="00D35E51">
            <w:pPr>
              <w:overflowPunct w:val="0"/>
              <w:adjustRightInd w:val="0"/>
              <w:spacing w:line="240" w:lineRule="atLeast"/>
              <w:textAlignment w:val="baseline"/>
              <w:rPr>
                <w:rFonts w:ascii="Times New Roman" w:hAnsi="Times New Roman" w:cs="Times New Roman"/>
                <w:szCs w:val="20"/>
              </w:rPr>
            </w:pPr>
            <w:r w:rsidRPr="00A013E1">
              <w:rPr>
                <w:rFonts w:ascii="Times New Roman" w:hAnsi="Times New Roman" w:cs="Times New Roman"/>
              </w:rPr>
              <w:t>Цвят: черно/жълто</w:t>
            </w:r>
          </w:p>
        </w:tc>
      </w:tr>
      <w:tr w:rsidR="00271FA2" w:rsidRPr="00A013E1" w14:paraId="4C78CC9C" w14:textId="77777777" w:rsidTr="00BF3B3B">
        <w:trPr>
          <w:trHeight w:val="2552"/>
        </w:trPr>
        <w:tc>
          <w:tcPr>
            <w:tcW w:w="3331" w:type="dxa"/>
            <w:tcBorders>
              <w:top w:val="single" w:sz="6" w:space="0" w:color="auto"/>
              <w:left w:val="single" w:sz="6" w:space="0" w:color="auto"/>
              <w:bottom w:val="single" w:sz="6" w:space="0" w:color="auto"/>
              <w:right w:val="single" w:sz="6" w:space="0" w:color="auto"/>
            </w:tcBorders>
            <w:vAlign w:val="center"/>
          </w:tcPr>
          <w:p w14:paraId="2E088798"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t>Фигура 12</w:t>
            </w:r>
          </w:p>
          <w:p w14:paraId="18469F06" w14:textId="77777777" w:rsidR="00271FA2" w:rsidRPr="00A013E1" w:rsidRDefault="00D35E51">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t>Автоматизиран външен дефибрилатор</w:t>
            </w:r>
          </w:p>
        </w:tc>
        <w:tc>
          <w:tcPr>
            <w:tcW w:w="2551" w:type="dxa"/>
            <w:tcBorders>
              <w:top w:val="single" w:sz="6" w:space="0" w:color="auto"/>
              <w:left w:val="single" w:sz="6" w:space="0" w:color="auto"/>
              <w:bottom w:val="single" w:sz="6" w:space="0" w:color="auto"/>
              <w:right w:val="single" w:sz="6" w:space="0" w:color="auto"/>
            </w:tcBorders>
            <w:vAlign w:val="center"/>
          </w:tcPr>
          <w:p w14:paraId="684F639F" w14:textId="77777777" w:rsidR="00271FA2" w:rsidRPr="00A013E1" w:rsidRDefault="00D35E51">
            <w:pPr>
              <w:overflowPunct w:val="0"/>
              <w:adjustRightInd w:val="0"/>
              <w:spacing w:line="240" w:lineRule="atLeast"/>
              <w:jc w:val="center"/>
              <w:textAlignment w:val="baseline"/>
              <w:rPr>
                <w:rFonts w:ascii="Times New Roman" w:hAnsi="Times New Roman" w:cs="Times New Roman"/>
                <w:szCs w:val="20"/>
                <w:lang w:eastAsia="bg-BG"/>
              </w:rPr>
            </w:pPr>
            <w:r w:rsidRPr="00A013E1">
              <w:rPr>
                <w:rFonts w:ascii="Times New Roman" w:hAnsi="Times New Roman" w:cs="Times New Roman"/>
                <w:noProof/>
                <w:szCs w:val="20"/>
                <w:lang w:eastAsia="bg-BG"/>
              </w:rPr>
              <w:drawing>
                <wp:inline distT="0" distB="0" distL="0" distR="0" wp14:anchorId="7597A291" wp14:editId="5544879D">
                  <wp:extent cx="1438275" cy="14097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1438275" cy="1409700"/>
                          </a:xfrm>
                          <a:prstGeom prst="rect">
                            <a:avLst/>
                          </a:prstGeom>
                          <a:noFill/>
                          <a:ln>
                            <a:noFill/>
                          </a:ln>
                        </pic:spPr>
                      </pic:pic>
                    </a:graphicData>
                  </a:graphic>
                </wp:inline>
              </w:drawing>
            </w:r>
            <w:r w:rsidRPr="00A013E1">
              <w:rPr>
                <w:rFonts w:ascii="Times New Roman" w:hAnsi="Times New Roman" w:cs="Times New Roman"/>
                <w:szCs w:val="20"/>
                <w:lang w:eastAsia="bg-BG"/>
              </w:rPr>
              <w:br/>
            </w:r>
          </w:p>
        </w:tc>
        <w:tc>
          <w:tcPr>
            <w:tcW w:w="3328" w:type="dxa"/>
            <w:tcBorders>
              <w:top w:val="single" w:sz="6" w:space="0" w:color="auto"/>
              <w:left w:val="single" w:sz="6" w:space="0" w:color="auto"/>
              <w:bottom w:val="single" w:sz="6" w:space="0" w:color="auto"/>
              <w:right w:val="single" w:sz="6" w:space="0" w:color="auto"/>
            </w:tcBorders>
            <w:vAlign w:val="center"/>
          </w:tcPr>
          <w:p w14:paraId="48ADBEAD" w14:textId="77777777" w:rsidR="00271FA2" w:rsidRPr="00A013E1" w:rsidRDefault="00D35E51">
            <w:pPr>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t>Цвят: бял/зелен</w:t>
            </w:r>
          </w:p>
        </w:tc>
      </w:tr>
      <w:tr w:rsidR="00BF3B3B" w:rsidRPr="00A013E1" w14:paraId="7834D5A2" w14:textId="77777777" w:rsidTr="00BF3B3B">
        <w:trPr>
          <w:trHeight w:val="2552"/>
        </w:trPr>
        <w:tc>
          <w:tcPr>
            <w:tcW w:w="3331" w:type="dxa"/>
            <w:tcBorders>
              <w:top w:val="single" w:sz="6" w:space="0" w:color="auto"/>
              <w:left w:val="single" w:sz="6" w:space="0" w:color="auto"/>
              <w:bottom w:val="single" w:sz="6" w:space="0" w:color="auto"/>
              <w:right w:val="single" w:sz="6" w:space="0" w:color="auto"/>
            </w:tcBorders>
            <w:vAlign w:val="center"/>
          </w:tcPr>
          <w:p w14:paraId="514E6DBD"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p>
          <w:p w14:paraId="48D4C92C"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p>
          <w:p w14:paraId="26366AD6"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p>
          <w:p w14:paraId="10AD6305"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Фигура 13</w:t>
            </w:r>
          </w:p>
          <w:p w14:paraId="66BC7109"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Предупреждение за зони, където може да възникне експлозивна атмосфера</w:t>
            </w:r>
          </w:p>
        </w:tc>
        <w:tc>
          <w:tcPr>
            <w:tcW w:w="2551" w:type="dxa"/>
            <w:tcBorders>
              <w:top w:val="single" w:sz="6" w:space="0" w:color="auto"/>
              <w:left w:val="single" w:sz="6" w:space="0" w:color="auto"/>
              <w:bottom w:val="single" w:sz="6" w:space="0" w:color="auto"/>
              <w:right w:val="single" w:sz="6" w:space="0" w:color="auto"/>
            </w:tcBorders>
            <w:vAlign w:val="center"/>
          </w:tcPr>
          <w:p w14:paraId="66494547" w14:textId="6676F1DB" w:rsidR="00BF3B3B" w:rsidRPr="00A013E1" w:rsidRDefault="00D419A8" w:rsidP="00BF3B3B">
            <w:pPr>
              <w:overflowPunct w:val="0"/>
              <w:adjustRightInd w:val="0"/>
              <w:spacing w:line="240" w:lineRule="atLeast"/>
              <w:textAlignment w:val="baseline"/>
              <w:rPr>
                <w:rFonts w:ascii="Times New Roman" w:hAnsi="Times New Roman" w:cs="Times New Roman"/>
                <w:noProof/>
                <w:szCs w:val="20"/>
                <w:lang w:val="ru-RU"/>
              </w:rPr>
            </w:pPr>
            <w:r w:rsidRPr="00A013E1">
              <w:rPr>
                <w:rFonts w:ascii="Times New Roman" w:hAnsi="Times New Roman" w:cs="Times New Roman"/>
                <w:noProof/>
                <w:lang w:eastAsia="bg-BG"/>
              </w:rPr>
              <w:drawing>
                <wp:anchor distT="0" distB="0" distL="114300" distR="114300" simplePos="0" relativeHeight="251736064" behindDoc="0" locked="0" layoutInCell="1" allowOverlap="1" wp14:anchorId="41138473" wp14:editId="1DA9450A">
                  <wp:simplePos x="0" y="0"/>
                  <wp:positionH relativeFrom="column">
                    <wp:posOffset>-3810</wp:posOffset>
                  </wp:positionH>
                  <wp:positionV relativeFrom="paragraph">
                    <wp:posOffset>-6985</wp:posOffset>
                  </wp:positionV>
                  <wp:extent cx="1496060" cy="4673600"/>
                  <wp:effectExtent l="0" t="0" r="8890" b="0"/>
                  <wp:wrapNone/>
                  <wp:docPr id="239" name="Image 238"/>
                  <wp:cNvGraphicFramePr/>
                  <a:graphic xmlns:a="http://schemas.openxmlformats.org/drawingml/2006/main">
                    <a:graphicData uri="http://schemas.openxmlformats.org/drawingml/2006/picture">
                      <pic:pic xmlns:pic="http://schemas.openxmlformats.org/drawingml/2006/picture">
                        <pic:nvPicPr>
                          <pic:cNvPr id="239" name="Image 238"/>
                          <pic:cNvPicPr/>
                        </pic:nvPicPr>
                        <pic:blipFill>
                          <a:blip r:embed="rId129" cstate="print"/>
                          <a:stretch>
                            <a:fillRect/>
                          </a:stretch>
                        </pic:blipFill>
                        <pic:spPr>
                          <a:xfrm>
                            <a:off x="0" y="0"/>
                            <a:ext cx="1496060" cy="4673600"/>
                          </a:xfrm>
                          <a:prstGeom prst="rect">
                            <a:avLst/>
                          </a:prstGeom>
                        </pic:spPr>
                      </pic:pic>
                    </a:graphicData>
                  </a:graphic>
                  <wp14:sizeRelH relativeFrom="margin">
                    <wp14:pctWidth>0</wp14:pctWidth>
                  </wp14:sizeRelH>
                  <wp14:sizeRelV relativeFrom="margin">
                    <wp14:pctHeight>0</wp14:pctHeight>
                  </wp14:sizeRelV>
                </wp:anchor>
              </w:drawing>
            </w:r>
          </w:p>
        </w:tc>
        <w:tc>
          <w:tcPr>
            <w:tcW w:w="3328" w:type="dxa"/>
            <w:tcBorders>
              <w:top w:val="single" w:sz="6" w:space="0" w:color="auto"/>
              <w:left w:val="single" w:sz="6" w:space="0" w:color="auto"/>
              <w:bottom w:val="single" w:sz="6" w:space="0" w:color="auto"/>
              <w:right w:val="single" w:sz="6" w:space="0" w:color="auto"/>
            </w:tcBorders>
            <w:vAlign w:val="center"/>
          </w:tcPr>
          <w:p w14:paraId="23F39AEC" w14:textId="77777777" w:rsidR="00BF3B3B" w:rsidRPr="00A013E1" w:rsidRDefault="00BF3B3B" w:rsidP="00BF3B3B">
            <w:pPr>
              <w:overflowPunct w:val="0"/>
              <w:adjustRightInd w:val="0"/>
              <w:spacing w:line="240" w:lineRule="atLeast"/>
              <w:textAlignment w:val="baseline"/>
              <w:rPr>
                <w:rFonts w:ascii="Times New Roman" w:hAnsi="Times New Roman" w:cs="Times New Roman"/>
                <w:lang w:val="ru-RU"/>
              </w:rPr>
            </w:pPr>
          </w:p>
          <w:p w14:paraId="538B1950" w14:textId="77777777" w:rsidR="00BF3B3B" w:rsidRPr="00A013E1" w:rsidRDefault="00BF3B3B" w:rsidP="00BF3B3B">
            <w:pPr>
              <w:overflowPunct w:val="0"/>
              <w:adjustRightInd w:val="0"/>
              <w:spacing w:line="240" w:lineRule="atLeast"/>
              <w:textAlignment w:val="baseline"/>
              <w:rPr>
                <w:rFonts w:ascii="Times New Roman" w:hAnsi="Times New Roman" w:cs="Times New Roman"/>
                <w:lang w:val="ru-RU"/>
              </w:rPr>
            </w:pPr>
          </w:p>
          <w:p w14:paraId="1A56FA24" w14:textId="77777777" w:rsidR="00BF3B3B" w:rsidRPr="00A013E1" w:rsidRDefault="00BF3B3B" w:rsidP="00BF3B3B">
            <w:pPr>
              <w:overflowPunct w:val="0"/>
              <w:adjustRightInd w:val="0"/>
              <w:spacing w:line="240" w:lineRule="atLeast"/>
              <w:textAlignment w:val="baseline"/>
              <w:rPr>
                <w:rFonts w:ascii="Times New Roman" w:hAnsi="Times New Roman" w:cs="Times New Roman"/>
                <w:lang w:val="ru-RU"/>
              </w:rPr>
            </w:pPr>
          </w:p>
          <w:p w14:paraId="15C6F605" w14:textId="77777777" w:rsidR="00BF3B3B" w:rsidRPr="00A013E1" w:rsidRDefault="00BF3B3B" w:rsidP="00BF3B3B">
            <w:pPr>
              <w:overflowPunct w:val="0"/>
              <w:adjustRightInd w:val="0"/>
              <w:spacing w:line="240" w:lineRule="atLeast"/>
              <w:textAlignment w:val="baseline"/>
              <w:rPr>
                <w:rFonts w:ascii="Times New Roman" w:hAnsi="Times New Roman" w:cs="Times New Roman"/>
                <w:lang w:val="ru-RU"/>
              </w:rPr>
            </w:pPr>
          </w:p>
          <w:p w14:paraId="0CD8E779"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t>Цвят: черен / жълт</w:t>
            </w:r>
          </w:p>
        </w:tc>
      </w:tr>
      <w:tr w:rsidR="00BF3B3B" w:rsidRPr="00A013E1" w14:paraId="6221E78B" w14:textId="77777777" w:rsidTr="00BF3B3B">
        <w:trPr>
          <w:trHeight w:val="2552"/>
        </w:trPr>
        <w:tc>
          <w:tcPr>
            <w:tcW w:w="3331" w:type="dxa"/>
            <w:tcBorders>
              <w:top w:val="single" w:sz="6" w:space="0" w:color="auto"/>
              <w:left w:val="single" w:sz="6" w:space="0" w:color="auto"/>
              <w:bottom w:val="single" w:sz="6" w:space="0" w:color="auto"/>
              <w:right w:val="single" w:sz="6" w:space="0" w:color="auto"/>
            </w:tcBorders>
            <w:vAlign w:val="center"/>
          </w:tcPr>
          <w:p w14:paraId="1DF4AF66"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p>
          <w:p w14:paraId="4EF9A628"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p>
          <w:p w14:paraId="5A683F05"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p>
          <w:p w14:paraId="6C4691A2"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t>Фигура 14 Предупреждение за водород</w:t>
            </w:r>
          </w:p>
        </w:tc>
        <w:tc>
          <w:tcPr>
            <w:tcW w:w="2551" w:type="dxa"/>
            <w:tcBorders>
              <w:top w:val="single" w:sz="6" w:space="0" w:color="auto"/>
              <w:left w:val="single" w:sz="6" w:space="0" w:color="auto"/>
              <w:bottom w:val="single" w:sz="6" w:space="0" w:color="auto"/>
              <w:right w:val="single" w:sz="6" w:space="0" w:color="auto"/>
            </w:tcBorders>
            <w:vAlign w:val="center"/>
          </w:tcPr>
          <w:p w14:paraId="6A4DE67D" w14:textId="221108D6" w:rsidR="00BF3B3B" w:rsidRPr="00A013E1" w:rsidRDefault="00BF3B3B" w:rsidP="00BF3B3B">
            <w:pPr>
              <w:overflowPunct w:val="0"/>
              <w:adjustRightInd w:val="0"/>
              <w:spacing w:line="240" w:lineRule="atLeast"/>
              <w:textAlignment w:val="baseline"/>
              <w:rPr>
                <w:rFonts w:ascii="Times New Roman" w:hAnsi="Times New Roman" w:cs="Times New Roman"/>
                <w:noProof/>
                <w:szCs w:val="20"/>
              </w:rPr>
            </w:pPr>
          </w:p>
        </w:tc>
        <w:tc>
          <w:tcPr>
            <w:tcW w:w="3328" w:type="dxa"/>
            <w:tcBorders>
              <w:top w:val="single" w:sz="6" w:space="0" w:color="auto"/>
              <w:left w:val="single" w:sz="6" w:space="0" w:color="auto"/>
              <w:bottom w:val="single" w:sz="6" w:space="0" w:color="auto"/>
              <w:right w:val="single" w:sz="6" w:space="0" w:color="auto"/>
            </w:tcBorders>
            <w:vAlign w:val="center"/>
          </w:tcPr>
          <w:p w14:paraId="49904651"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p>
          <w:p w14:paraId="3EE66366"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p>
          <w:p w14:paraId="27800EF5"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p>
          <w:p w14:paraId="76CA8ABE"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p>
          <w:p w14:paraId="53398EA3"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t>Цвят: черен / жълт</w:t>
            </w:r>
          </w:p>
        </w:tc>
      </w:tr>
      <w:tr w:rsidR="00BF3B3B" w:rsidRPr="00A013E1" w14:paraId="3C4EA5D8" w14:textId="77777777" w:rsidTr="00BF3B3B">
        <w:trPr>
          <w:trHeight w:val="1433"/>
        </w:trPr>
        <w:tc>
          <w:tcPr>
            <w:tcW w:w="3331" w:type="dxa"/>
            <w:tcBorders>
              <w:top w:val="single" w:sz="6" w:space="0" w:color="auto"/>
              <w:left w:val="single" w:sz="6" w:space="0" w:color="auto"/>
              <w:bottom w:val="single" w:sz="6" w:space="0" w:color="auto"/>
              <w:right w:val="single" w:sz="6" w:space="0" w:color="auto"/>
            </w:tcBorders>
            <w:vAlign w:val="center"/>
          </w:tcPr>
          <w:p w14:paraId="49BCA1A7"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p>
          <w:p w14:paraId="64925B8F"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p>
          <w:p w14:paraId="5DCF5942"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p>
          <w:p w14:paraId="76A030C9" w14:textId="77777777" w:rsidR="00BF3B3B" w:rsidRPr="00A013E1" w:rsidRDefault="00BF3B3B" w:rsidP="00BF3B3B">
            <w:pPr>
              <w:tabs>
                <w:tab w:val="left" w:pos="454"/>
                <w:tab w:val="left" w:pos="907"/>
                <w:tab w:val="left" w:pos="1361"/>
                <w:tab w:val="left" w:pos="1814"/>
              </w:tabs>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t>Фигура 15 Предупреждение за метанол</w:t>
            </w:r>
          </w:p>
        </w:tc>
        <w:tc>
          <w:tcPr>
            <w:tcW w:w="2551" w:type="dxa"/>
            <w:tcBorders>
              <w:top w:val="single" w:sz="6" w:space="0" w:color="auto"/>
              <w:left w:val="single" w:sz="6" w:space="0" w:color="auto"/>
              <w:bottom w:val="single" w:sz="6" w:space="0" w:color="auto"/>
              <w:right w:val="single" w:sz="6" w:space="0" w:color="auto"/>
            </w:tcBorders>
            <w:vAlign w:val="center"/>
          </w:tcPr>
          <w:p w14:paraId="7A7C79DD" w14:textId="342E120B" w:rsidR="00BF3B3B" w:rsidRPr="00A013E1" w:rsidRDefault="00BF3B3B" w:rsidP="00BF3B3B">
            <w:pPr>
              <w:overflowPunct w:val="0"/>
              <w:adjustRightInd w:val="0"/>
              <w:spacing w:line="240" w:lineRule="atLeast"/>
              <w:textAlignment w:val="baseline"/>
              <w:rPr>
                <w:rFonts w:ascii="Times New Roman" w:hAnsi="Times New Roman" w:cs="Times New Roman"/>
                <w:noProof/>
                <w:szCs w:val="20"/>
              </w:rPr>
            </w:pPr>
          </w:p>
        </w:tc>
        <w:tc>
          <w:tcPr>
            <w:tcW w:w="3328" w:type="dxa"/>
            <w:tcBorders>
              <w:top w:val="single" w:sz="6" w:space="0" w:color="auto"/>
              <w:left w:val="single" w:sz="6" w:space="0" w:color="auto"/>
              <w:bottom w:val="single" w:sz="6" w:space="0" w:color="auto"/>
              <w:right w:val="single" w:sz="6" w:space="0" w:color="auto"/>
            </w:tcBorders>
            <w:vAlign w:val="center"/>
          </w:tcPr>
          <w:p w14:paraId="145C1464"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p>
          <w:p w14:paraId="2B86F29B"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p>
          <w:p w14:paraId="7315F993"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p>
          <w:p w14:paraId="2D14715E"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p>
          <w:p w14:paraId="044DEB75" w14:textId="77777777" w:rsidR="00BF3B3B" w:rsidRPr="00A013E1" w:rsidRDefault="00BF3B3B" w:rsidP="00BF3B3B">
            <w:pPr>
              <w:overflowPunct w:val="0"/>
              <w:adjustRightInd w:val="0"/>
              <w:spacing w:line="240" w:lineRule="atLeast"/>
              <w:textAlignment w:val="baseline"/>
              <w:rPr>
                <w:rFonts w:ascii="Times New Roman" w:hAnsi="Times New Roman" w:cs="Times New Roman"/>
              </w:rPr>
            </w:pPr>
            <w:r w:rsidRPr="00A013E1">
              <w:rPr>
                <w:rFonts w:ascii="Times New Roman" w:hAnsi="Times New Roman" w:cs="Times New Roman"/>
              </w:rPr>
              <w:t>Цвят: черен / жълт</w:t>
            </w:r>
          </w:p>
        </w:tc>
      </w:tr>
    </w:tbl>
    <w:p w14:paraId="303D2E1B" w14:textId="5B134ECF" w:rsidR="00271FA2" w:rsidRPr="00A013E1" w:rsidRDefault="00271FA2">
      <w:pPr>
        <w:tabs>
          <w:tab w:val="left" w:pos="284"/>
          <w:tab w:val="left" w:leader="dot" w:pos="3402"/>
          <w:tab w:val="left" w:pos="4536"/>
          <w:tab w:val="left" w:leader="dot" w:pos="8505"/>
        </w:tabs>
        <w:overflowPunct w:val="0"/>
        <w:adjustRightInd w:val="0"/>
        <w:spacing w:line="240" w:lineRule="atLeast"/>
        <w:textAlignment w:val="baseline"/>
        <w:rPr>
          <w:rFonts w:ascii="Times New Roman" w:hAnsi="Times New Roman" w:cs="Times New Roman"/>
        </w:rPr>
      </w:pPr>
    </w:p>
    <w:p w14:paraId="361E8518" w14:textId="77777777" w:rsidR="00BF3B3B" w:rsidRPr="00A013E1" w:rsidRDefault="00BF3B3B">
      <w:pPr>
        <w:tabs>
          <w:tab w:val="left" w:pos="284"/>
          <w:tab w:val="left" w:leader="dot" w:pos="3402"/>
          <w:tab w:val="left" w:pos="4536"/>
          <w:tab w:val="left" w:leader="dot" w:pos="8505"/>
        </w:tabs>
        <w:overflowPunct w:val="0"/>
        <w:adjustRightInd w:val="0"/>
        <w:spacing w:line="240" w:lineRule="atLeast"/>
        <w:textAlignment w:val="baseline"/>
        <w:rPr>
          <w:rFonts w:ascii="Times New Roman" w:hAnsi="Times New Roman" w:cs="Times New Roman"/>
        </w:rPr>
      </w:pPr>
    </w:p>
    <w:p w14:paraId="4BE4C7E7" w14:textId="77777777" w:rsidR="00271FA2" w:rsidRPr="00A013E1" w:rsidRDefault="00D35E51">
      <w:pPr>
        <w:tabs>
          <w:tab w:val="left" w:pos="284"/>
          <w:tab w:val="left" w:leader="dot" w:pos="3402"/>
          <w:tab w:val="left" w:pos="4536"/>
          <w:tab w:val="left" w:leader="dot" w:pos="8505"/>
        </w:tabs>
        <w:overflowPunct w:val="0"/>
        <w:adjustRightInd w:val="0"/>
        <w:spacing w:line="240" w:lineRule="atLeast"/>
        <w:jc w:val="both"/>
        <w:textAlignment w:val="baseline"/>
        <w:rPr>
          <w:rFonts w:ascii="Times New Roman" w:hAnsi="Times New Roman" w:cs="Times New Roman"/>
          <w:szCs w:val="20"/>
          <w:lang w:val="ru-RU"/>
        </w:rPr>
      </w:pPr>
      <w:r w:rsidRPr="00A013E1">
        <w:rPr>
          <w:rFonts w:ascii="Times New Roman" w:hAnsi="Times New Roman" w:cs="Times New Roman"/>
          <w:lang w:val="ru-RU"/>
        </w:rPr>
        <w:t>Реално използваните символи може леко да се различават или да бъдат по-подробни от графичните изображения в настоящото приложение, стига значението да не бъде променено и разликите и промените да не го правят неразбираемо.</w:t>
      </w:r>
    </w:p>
    <w:p w14:paraId="22D5CF1F" w14:textId="77777777" w:rsidR="00271FA2" w:rsidRPr="00A013E1" w:rsidRDefault="00271FA2">
      <w:pPr>
        <w:tabs>
          <w:tab w:val="left" w:pos="284"/>
          <w:tab w:val="left" w:leader="dot" w:pos="3402"/>
          <w:tab w:val="left" w:pos="4536"/>
          <w:tab w:val="left" w:leader="dot" w:pos="8505"/>
        </w:tabs>
        <w:overflowPunct w:val="0"/>
        <w:adjustRightInd w:val="0"/>
        <w:spacing w:line="240" w:lineRule="atLeast"/>
        <w:jc w:val="both"/>
        <w:textAlignment w:val="baseline"/>
        <w:rPr>
          <w:rFonts w:ascii="Times New Roman" w:hAnsi="Times New Roman" w:cs="Times New Roman"/>
          <w:szCs w:val="20"/>
          <w:lang w:val="ru-RU"/>
        </w:rPr>
      </w:pPr>
    </w:p>
    <w:p w14:paraId="4638A3BE" w14:textId="77777777" w:rsidR="00A81E0B" w:rsidRPr="00A013E1" w:rsidRDefault="00A81E0B">
      <w:pPr>
        <w:tabs>
          <w:tab w:val="left" w:pos="284"/>
          <w:tab w:val="left" w:leader="dot" w:pos="3402"/>
          <w:tab w:val="left" w:pos="4536"/>
          <w:tab w:val="left" w:leader="dot" w:pos="8505"/>
        </w:tabs>
        <w:overflowPunct w:val="0"/>
        <w:adjustRightInd w:val="0"/>
        <w:spacing w:line="240" w:lineRule="atLeast"/>
        <w:textAlignment w:val="baseline"/>
        <w:rPr>
          <w:rFonts w:ascii="Times New Roman" w:hAnsi="Times New Roman" w:cs="Times New Roman"/>
          <w:lang w:val="ru-RU"/>
        </w:rPr>
        <w:sectPr w:rsidR="00A81E0B" w:rsidRPr="00A013E1" w:rsidSect="00A013E1">
          <w:headerReference w:type="default" r:id="rId130"/>
          <w:footerReference w:type="default" r:id="rId131"/>
          <w:footnotePr>
            <w:numRestart w:val="eachPage"/>
          </w:footnotePr>
          <w:pgSz w:w="11907" w:h="16840"/>
          <w:pgMar w:top="1134" w:right="1134" w:bottom="1134" w:left="1134" w:header="709" w:footer="709" w:gutter="0"/>
          <w:cols w:space="720"/>
          <w:docGrid w:linePitch="326"/>
        </w:sectPr>
      </w:pPr>
    </w:p>
    <w:p w14:paraId="2C93F128" w14:textId="77777777" w:rsidR="00271FA2" w:rsidRPr="00A013E1" w:rsidRDefault="00D35E51">
      <w:pPr>
        <w:pStyle w:val="ES-Titre2"/>
        <w:rPr>
          <w:rFonts w:ascii="Times New Roman" w:hAnsi="Times New Roman" w:cs="Times New Roman"/>
          <w:szCs w:val="20"/>
          <w:lang w:val="ru-RU"/>
        </w:rPr>
      </w:pPr>
      <w:bookmarkStart w:id="596" w:name="_Toc491854309"/>
      <w:bookmarkStart w:id="597" w:name="_Toc535827750"/>
      <w:r w:rsidRPr="00A013E1">
        <w:rPr>
          <w:rFonts w:ascii="Times New Roman" w:hAnsi="Times New Roman" w:cs="Times New Roman"/>
          <w:lang w:val="ru-RU"/>
        </w:rPr>
        <w:lastRenderedPageBreak/>
        <w:t>Приложение 5</w:t>
      </w:r>
      <w:r w:rsidRPr="00A013E1">
        <w:rPr>
          <w:rFonts w:ascii="Times New Roman" w:hAnsi="Times New Roman" w:cs="Times New Roman"/>
          <w:lang w:val="ru-RU"/>
        </w:rPr>
        <w:br/>
        <w:t>Навигационни и информационни устройства</w:t>
      </w:r>
      <w:bookmarkEnd w:id="596"/>
      <w:bookmarkEnd w:id="597"/>
    </w:p>
    <w:p w14:paraId="42974AFF" w14:textId="77777777" w:rsidR="00271FA2" w:rsidRPr="00A013E1" w:rsidRDefault="00D35E51">
      <w:pPr>
        <w:overflowPunct w:val="0"/>
        <w:adjustRightInd w:val="0"/>
        <w:spacing w:line="240" w:lineRule="atLeast"/>
        <w:jc w:val="center"/>
        <w:textAlignment w:val="baseline"/>
        <w:rPr>
          <w:rFonts w:ascii="Times New Roman" w:hAnsi="Times New Roman" w:cs="Times New Roman"/>
          <w:lang w:val="ru-RU"/>
        </w:rPr>
      </w:pPr>
      <w:r w:rsidRPr="00A013E1">
        <w:rPr>
          <w:rFonts w:ascii="Times New Roman" w:hAnsi="Times New Roman" w:cs="Times New Roman"/>
          <w:b/>
          <w:lang w:val="ru-RU"/>
        </w:rPr>
        <w:t>Съдържание</w:t>
      </w:r>
    </w:p>
    <w:p w14:paraId="4124ECB5" w14:textId="77777777" w:rsidR="00271FA2" w:rsidRPr="00A013E1" w:rsidRDefault="00D35E51">
      <w:pPr>
        <w:overflowPunct w:val="0"/>
        <w:adjustRightInd w:val="0"/>
        <w:spacing w:line="240" w:lineRule="atLeast"/>
        <w:ind w:left="1134" w:hanging="1134"/>
        <w:textAlignment w:val="baseline"/>
        <w:rPr>
          <w:rFonts w:ascii="Times New Roman" w:hAnsi="Times New Roman" w:cs="Times New Roman"/>
          <w:b/>
          <w:lang w:val="ru-RU"/>
        </w:rPr>
      </w:pPr>
      <w:r w:rsidRPr="00A013E1">
        <w:rPr>
          <w:rFonts w:ascii="Times New Roman" w:hAnsi="Times New Roman" w:cs="Times New Roman"/>
          <w:b/>
          <w:lang w:val="ru-RU"/>
        </w:rPr>
        <w:t>Определения</w:t>
      </w:r>
    </w:p>
    <w:p w14:paraId="4099ADF3" w14:textId="77777777" w:rsidR="00271FA2" w:rsidRPr="00A013E1" w:rsidRDefault="00D35E51">
      <w:pPr>
        <w:overflowPunct w:val="0"/>
        <w:adjustRightInd w:val="0"/>
        <w:spacing w:line="240" w:lineRule="atLeast"/>
        <w:ind w:left="1134" w:hanging="1134"/>
        <w:jc w:val="both"/>
        <w:textAlignment w:val="baseline"/>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w:t>
      </w:r>
      <w:r w:rsidRPr="00A013E1">
        <w:rPr>
          <w:rFonts w:ascii="Times New Roman" w:hAnsi="Times New Roman" w:cs="Times New Roman"/>
          <w:lang w:val="ru-RU"/>
        </w:rPr>
        <w:tab/>
        <w:t>Минимални изисквания и условия на изпитване на навигационното радиолокационно оборудване, използвано при плаване по вътрешните водни пътища</w:t>
      </w:r>
    </w:p>
    <w:p w14:paraId="62B32714" w14:textId="77777777" w:rsidR="00271FA2" w:rsidRPr="00A013E1" w:rsidRDefault="00D35E51">
      <w:pPr>
        <w:overflowPunct w:val="0"/>
        <w:adjustRightInd w:val="0"/>
        <w:spacing w:line="240" w:lineRule="atLeast"/>
        <w:ind w:left="2410" w:hanging="1276"/>
        <w:jc w:val="both"/>
        <w:textAlignment w:val="baseline"/>
        <w:rPr>
          <w:rFonts w:ascii="Times New Roman" w:hAnsi="Times New Roman" w:cs="Times New Roman"/>
          <w:szCs w:val="20"/>
          <w:lang w:val="ru-RU"/>
        </w:rPr>
      </w:pPr>
      <w:r w:rsidRPr="00A013E1">
        <w:rPr>
          <w:rFonts w:ascii="Times New Roman" w:hAnsi="Times New Roman" w:cs="Times New Roman"/>
          <w:lang w:val="ru-RU"/>
        </w:rPr>
        <w:t>Допълнение:</w:t>
      </w:r>
      <w:r w:rsidRPr="00A013E1">
        <w:rPr>
          <w:rFonts w:ascii="Times New Roman" w:hAnsi="Times New Roman" w:cs="Times New Roman"/>
          <w:lang w:val="ru-RU"/>
        </w:rPr>
        <w:tab/>
      </w:r>
      <w:r w:rsidRPr="00A013E1">
        <w:rPr>
          <w:rFonts w:ascii="Times New Roman" w:hAnsi="Times New Roman" w:cs="Times New Roman"/>
        </w:rPr>
        <w:t>ECDIS</w:t>
      </w:r>
      <w:r w:rsidRPr="00A013E1">
        <w:rPr>
          <w:rFonts w:ascii="Times New Roman" w:hAnsi="Times New Roman" w:cs="Times New Roman"/>
          <w:lang w:val="ru-RU"/>
        </w:rPr>
        <w:t xml:space="preserve"> оборудване за вътрешно корабоплаване, самостоятелно оборудване, свързано с радиолокационно оборудване</w:t>
      </w:r>
    </w:p>
    <w:p w14:paraId="0DEF2860" w14:textId="6F12C8E5" w:rsidR="00271FA2" w:rsidRPr="00A013E1" w:rsidRDefault="00D35E51">
      <w:pPr>
        <w:overflowPunct w:val="0"/>
        <w:adjustRightInd w:val="0"/>
        <w:spacing w:line="240" w:lineRule="atLeast"/>
        <w:ind w:left="1134" w:hanging="1134"/>
        <w:jc w:val="both"/>
        <w:textAlignment w:val="baseline"/>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II</w:t>
      </w:r>
      <w:r w:rsidRPr="00A013E1">
        <w:rPr>
          <w:rFonts w:ascii="Times New Roman" w:hAnsi="Times New Roman" w:cs="Times New Roman"/>
          <w:lang w:val="ru-RU"/>
        </w:rPr>
        <w:tab/>
        <w:t>Минимални изисквания и условия на изпитване на индикаторите на ъгловата скорост</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използвани при плаване по вътрешните водни пътища</w:t>
      </w:r>
    </w:p>
    <w:p w14:paraId="2AEC92E3" w14:textId="77777777" w:rsidR="00271FA2" w:rsidRPr="00A013E1" w:rsidRDefault="00D35E51">
      <w:pPr>
        <w:overflowPunct w:val="0"/>
        <w:adjustRightInd w:val="0"/>
        <w:spacing w:line="240" w:lineRule="atLeast"/>
        <w:ind w:left="2410" w:hanging="1276"/>
        <w:jc w:val="both"/>
        <w:textAlignment w:val="baseline"/>
        <w:rPr>
          <w:rFonts w:ascii="Times New Roman" w:hAnsi="Times New Roman" w:cs="Times New Roman"/>
          <w:szCs w:val="20"/>
          <w:lang w:val="ru-RU"/>
        </w:rPr>
      </w:pPr>
      <w:r w:rsidRPr="00A013E1">
        <w:rPr>
          <w:rFonts w:ascii="Times New Roman" w:hAnsi="Times New Roman" w:cs="Times New Roman"/>
          <w:lang w:val="ru-RU"/>
        </w:rPr>
        <w:t>Глава 1</w:t>
      </w:r>
      <w:r w:rsidRPr="00A013E1">
        <w:rPr>
          <w:rFonts w:ascii="Times New Roman" w:hAnsi="Times New Roman" w:cs="Times New Roman"/>
          <w:lang w:val="ru-RU"/>
        </w:rPr>
        <w:tab/>
        <w:t>Общи положения</w:t>
      </w:r>
    </w:p>
    <w:p w14:paraId="50CBE827" w14:textId="3EB1D9D9" w:rsidR="00271FA2" w:rsidRPr="00A013E1" w:rsidRDefault="00D35E51">
      <w:pPr>
        <w:tabs>
          <w:tab w:val="left" w:pos="2410"/>
        </w:tabs>
        <w:overflowPunct w:val="0"/>
        <w:adjustRightInd w:val="0"/>
        <w:spacing w:line="240" w:lineRule="atLeast"/>
        <w:ind w:left="2410" w:hanging="1276"/>
        <w:jc w:val="both"/>
        <w:textAlignment w:val="baseline"/>
        <w:rPr>
          <w:rFonts w:ascii="Times New Roman" w:hAnsi="Times New Roman" w:cs="Times New Roman"/>
          <w:szCs w:val="20"/>
          <w:lang w:val="ru-RU"/>
        </w:rPr>
      </w:pPr>
      <w:r w:rsidRPr="00A013E1">
        <w:rPr>
          <w:rFonts w:ascii="Times New Roman" w:hAnsi="Times New Roman" w:cs="Times New Roman"/>
          <w:lang w:val="ru-RU"/>
        </w:rPr>
        <w:t xml:space="preserve">Глава 2 </w:t>
      </w:r>
      <w:r w:rsidRPr="00A013E1">
        <w:rPr>
          <w:rFonts w:ascii="Times New Roman" w:hAnsi="Times New Roman" w:cs="Times New Roman"/>
          <w:lang w:val="ru-RU"/>
        </w:rPr>
        <w:tab/>
        <w:t>Общи минимални изисквания за индикатори на ъгловата скорост</w:t>
      </w:r>
      <w:r w:rsidR="0078218A" w:rsidRPr="00A013E1">
        <w:rPr>
          <w:rFonts w:ascii="Times New Roman" w:hAnsi="Times New Roman" w:cs="Times New Roman"/>
          <w:lang w:val="ru-RU"/>
        </w:rPr>
        <w:t>на завиване</w:t>
      </w:r>
    </w:p>
    <w:p w14:paraId="39960A44" w14:textId="47FF3FF6" w:rsidR="00271FA2" w:rsidRPr="00A013E1" w:rsidRDefault="00D35E51">
      <w:pPr>
        <w:tabs>
          <w:tab w:val="left" w:pos="2410"/>
        </w:tabs>
        <w:overflowPunct w:val="0"/>
        <w:adjustRightInd w:val="0"/>
        <w:spacing w:line="240" w:lineRule="atLeast"/>
        <w:ind w:left="2410" w:hanging="1276"/>
        <w:jc w:val="both"/>
        <w:textAlignment w:val="baseline"/>
        <w:rPr>
          <w:rFonts w:ascii="Times New Roman" w:hAnsi="Times New Roman" w:cs="Times New Roman"/>
          <w:szCs w:val="20"/>
          <w:lang w:val="ru-RU"/>
        </w:rPr>
      </w:pPr>
      <w:r w:rsidRPr="00A013E1">
        <w:rPr>
          <w:rFonts w:ascii="Times New Roman" w:hAnsi="Times New Roman" w:cs="Times New Roman"/>
          <w:lang w:val="ru-RU"/>
        </w:rPr>
        <w:t xml:space="preserve">Глава 3 </w:t>
      </w:r>
      <w:r w:rsidRPr="00A013E1">
        <w:rPr>
          <w:rFonts w:ascii="Times New Roman" w:hAnsi="Times New Roman" w:cs="Times New Roman"/>
          <w:lang w:val="ru-RU"/>
        </w:rPr>
        <w:tab/>
        <w:t>Минимални оперативни изисквания за индикатори на ъгловата скорост</w:t>
      </w:r>
      <w:r w:rsidR="001005CA" w:rsidRPr="00A013E1">
        <w:rPr>
          <w:rFonts w:ascii="Times New Roman" w:hAnsi="Times New Roman" w:cs="Times New Roman"/>
          <w:lang w:val="ru-RU"/>
        </w:rPr>
        <w:t xml:space="preserve"> </w:t>
      </w:r>
      <w:r w:rsidR="0078218A" w:rsidRPr="00A013E1">
        <w:rPr>
          <w:rFonts w:ascii="Times New Roman" w:hAnsi="Times New Roman" w:cs="Times New Roman"/>
          <w:lang w:val="ru-RU"/>
        </w:rPr>
        <w:t>на завиване</w:t>
      </w:r>
    </w:p>
    <w:p w14:paraId="4C14B456" w14:textId="264589F3" w:rsidR="00271FA2" w:rsidRPr="00A013E1" w:rsidRDefault="00D35E51">
      <w:pPr>
        <w:tabs>
          <w:tab w:val="left" w:pos="2410"/>
        </w:tabs>
        <w:overflowPunct w:val="0"/>
        <w:adjustRightInd w:val="0"/>
        <w:spacing w:line="240" w:lineRule="atLeast"/>
        <w:ind w:left="2410" w:hanging="1276"/>
        <w:jc w:val="both"/>
        <w:textAlignment w:val="baseline"/>
        <w:rPr>
          <w:rFonts w:ascii="Times New Roman" w:hAnsi="Times New Roman" w:cs="Times New Roman"/>
          <w:szCs w:val="20"/>
          <w:lang w:val="ru-RU"/>
        </w:rPr>
      </w:pPr>
      <w:r w:rsidRPr="00A013E1">
        <w:rPr>
          <w:rFonts w:ascii="Times New Roman" w:hAnsi="Times New Roman" w:cs="Times New Roman"/>
          <w:lang w:val="ru-RU"/>
        </w:rPr>
        <w:t xml:space="preserve">Глава 4 </w:t>
      </w:r>
      <w:r w:rsidRPr="00A013E1">
        <w:rPr>
          <w:rFonts w:ascii="Times New Roman" w:hAnsi="Times New Roman" w:cs="Times New Roman"/>
          <w:lang w:val="ru-RU"/>
        </w:rPr>
        <w:tab/>
        <w:t>Минимални технически изисквания за индикатори на ъгловата скорост</w:t>
      </w:r>
      <w:r w:rsidR="001005CA" w:rsidRPr="00A013E1">
        <w:rPr>
          <w:rFonts w:ascii="Times New Roman" w:hAnsi="Times New Roman" w:cs="Times New Roman"/>
          <w:lang w:val="ru-RU"/>
        </w:rPr>
        <w:t xml:space="preserve">  </w:t>
      </w:r>
      <w:r w:rsidR="0078218A" w:rsidRPr="00A013E1">
        <w:rPr>
          <w:rFonts w:ascii="Times New Roman" w:hAnsi="Times New Roman" w:cs="Times New Roman"/>
          <w:lang w:val="ru-RU"/>
        </w:rPr>
        <w:t>на завиване</w:t>
      </w:r>
    </w:p>
    <w:p w14:paraId="515714B8" w14:textId="54C9F0FD" w:rsidR="00271FA2" w:rsidRPr="00A013E1" w:rsidRDefault="00D35E51">
      <w:pPr>
        <w:tabs>
          <w:tab w:val="left" w:pos="2410"/>
        </w:tabs>
        <w:overflowPunct w:val="0"/>
        <w:adjustRightInd w:val="0"/>
        <w:spacing w:line="240" w:lineRule="atLeast"/>
        <w:ind w:left="2410" w:hanging="1276"/>
        <w:jc w:val="both"/>
        <w:textAlignment w:val="baseline"/>
        <w:rPr>
          <w:rFonts w:ascii="Times New Roman" w:hAnsi="Times New Roman" w:cs="Times New Roman"/>
          <w:szCs w:val="20"/>
          <w:lang w:val="ru-RU"/>
        </w:rPr>
      </w:pPr>
      <w:r w:rsidRPr="00A013E1">
        <w:rPr>
          <w:rFonts w:ascii="Times New Roman" w:hAnsi="Times New Roman" w:cs="Times New Roman"/>
          <w:lang w:val="ru-RU"/>
        </w:rPr>
        <w:t xml:space="preserve">Глава 5 </w:t>
      </w:r>
      <w:r w:rsidRPr="00A013E1">
        <w:rPr>
          <w:rFonts w:ascii="Times New Roman" w:hAnsi="Times New Roman" w:cs="Times New Roman"/>
          <w:lang w:val="ru-RU"/>
        </w:rPr>
        <w:tab/>
        <w:t>Условия и процедури на изпитване на индикаторите на ъгловата скорост</w:t>
      </w:r>
      <w:r w:rsidR="004C7C67"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p>
    <w:p w14:paraId="14C2A9A4" w14:textId="622EFF36" w:rsidR="00271FA2" w:rsidRPr="00A013E1" w:rsidRDefault="00D35E51">
      <w:pPr>
        <w:tabs>
          <w:tab w:val="left" w:pos="1418"/>
          <w:tab w:val="left" w:pos="3544"/>
        </w:tabs>
        <w:overflowPunct w:val="0"/>
        <w:adjustRightInd w:val="0"/>
        <w:spacing w:line="240" w:lineRule="atLeast"/>
        <w:ind w:left="3544" w:hanging="1134"/>
        <w:jc w:val="both"/>
        <w:textAlignment w:val="baseline"/>
        <w:rPr>
          <w:rFonts w:ascii="Times New Roman" w:hAnsi="Times New Roman" w:cs="Times New Roman"/>
          <w:lang w:val="ru-RU"/>
        </w:rPr>
      </w:pPr>
      <w:r w:rsidRPr="00A013E1">
        <w:rPr>
          <w:rFonts w:ascii="Times New Roman" w:hAnsi="Times New Roman" w:cs="Times New Roman"/>
          <w:lang w:val="ru-RU"/>
        </w:rPr>
        <w:t>Допълнение: Максимални допустими отклонения в показанията на индикаторите на ъгловата скорост</w:t>
      </w:r>
      <w:r w:rsidR="00F513AA"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p>
    <w:p w14:paraId="0AF2C768" w14:textId="4001AAA3" w:rsidR="00271FA2" w:rsidRPr="00A013E1" w:rsidRDefault="00D35E51">
      <w:pPr>
        <w:overflowPunct w:val="0"/>
        <w:adjustRightInd w:val="0"/>
        <w:spacing w:line="240" w:lineRule="atLeast"/>
        <w:ind w:left="1134" w:hanging="1134"/>
        <w:jc w:val="both"/>
        <w:textAlignment w:val="baseline"/>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III</w:t>
      </w:r>
      <w:r w:rsidRPr="00A013E1">
        <w:rPr>
          <w:rFonts w:ascii="Times New Roman" w:hAnsi="Times New Roman" w:cs="Times New Roman"/>
          <w:lang w:val="ru-RU"/>
        </w:rPr>
        <w:tab/>
        <w:t>Изисквания по отношение на монтажа и изпитванията на показателите на навигационното радиолокационно оборудване и индикаторите на ъгловата скорост</w:t>
      </w:r>
      <w:r w:rsidR="00F513AA"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използвани при плаване по вътрешните водни пътища</w:t>
      </w:r>
    </w:p>
    <w:p w14:paraId="1ED8978E" w14:textId="77777777" w:rsidR="00271FA2" w:rsidRPr="00A013E1" w:rsidRDefault="00D35E51">
      <w:pPr>
        <w:overflowPunct w:val="0"/>
        <w:adjustRightInd w:val="0"/>
        <w:spacing w:line="240" w:lineRule="atLeast"/>
        <w:ind w:left="1134" w:hanging="1134"/>
        <w:jc w:val="both"/>
        <w:textAlignment w:val="baseline"/>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IV</w:t>
      </w:r>
      <w:r w:rsidRPr="00A013E1">
        <w:rPr>
          <w:rFonts w:ascii="Times New Roman" w:hAnsi="Times New Roman" w:cs="Times New Roman"/>
          <w:lang w:val="ru-RU"/>
        </w:rPr>
        <w:tab/>
        <w:t xml:space="preserve">Минимални изисквания, изисквания по отношение на монтажа и изпитванията на показателите на оборудване за </w:t>
      </w:r>
      <w:r w:rsidRPr="00A013E1">
        <w:rPr>
          <w:rFonts w:ascii="Times New Roman" w:hAnsi="Times New Roman" w:cs="Times New Roman"/>
        </w:rPr>
        <w:t>AIS</w:t>
      </w:r>
      <w:r w:rsidRPr="00A013E1">
        <w:rPr>
          <w:rFonts w:ascii="Times New Roman" w:hAnsi="Times New Roman" w:cs="Times New Roman"/>
          <w:lang w:val="ru-RU"/>
        </w:rPr>
        <w:t>, използвано при вътрешно корабоплаване</w:t>
      </w:r>
    </w:p>
    <w:p w14:paraId="763AF3F5" w14:textId="77777777" w:rsidR="00271FA2" w:rsidRPr="00A013E1" w:rsidRDefault="00D35E51">
      <w:pPr>
        <w:tabs>
          <w:tab w:val="left" w:pos="284"/>
        </w:tabs>
        <w:overflowPunct w:val="0"/>
        <w:adjustRightInd w:val="0"/>
        <w:spacing w:line="240" w:lineRule="atLeast"/>
        <w:ind w:left="1134" w:hanging="1134"/>
        <w:jc w:val="both"/>
        <w:textAlignment w:val="baseline"/>
        <w:rPr>
          <w:rFonts w:ascii="Times New Roman" w:hAnsi="Times New Roman" w:cs="Times New Roman"/>
          <w:szCs w:val="20"/>
          <w:lang w:val="ru-RU"/>
        </w:rPr>
      </w:pPr>
      <w:r w:rsidRPr="00A013E1">
        <w:rPr>
          <w:rFonts w:ascii="Times New Roman" w:hAnsi="Times New Roman" w:cs="Times New Roman"/>
          <w:b/>
          <w:color w:val="000000"/>
          <w:lang w:val="ru-RU"/>
        </w:rPr>
        <w:t xml:space="preserve">Раздел </w:t>
      </w:r>
      <w:r w:rsidRPr="00A013E1">
        <w:rPr>
          <w:rFonts w:ascii="Times New Roman" w:hAnsi="Times New Roman" w:cs="Times New Roman"/>
          <w:b/>
          <w:color w:val="000000"/>
        </w:rPr>
        <w:t>V</w:t>
      </w:r>
      <w:r w:rsidRPr="00A013E1">
        <w:rPr>
          <w:rFonts w:ascii="Times New Roman" w:hAnsi="Times New Roman" w:cs="Times New Roman"/>
          <w:lang w:val="ru-RU"/>
        </w:rPr>
        <w:tab/>
        <w:t>Минимални изисквания, изисквания по отношение на монтажа и изпитванията на показателите на тахографи, използвани при плаване по вътрешните водни пътища</w:t>
      </w:r>
    </w:p>
    <w:p w14:paraId="4EADE1E2" w14:textId="1AFBF7E6" w:rsidR="00271FA2" w:rsidRPr="00A013E1" w:rsidRDefault="00D35E51" w:rsidP="00EC33AA">
      <w:pPr>
        <w:overflowPunct w:val="0"/>
        <w:adjustRightInd w:val="0"/>
        <w:spacing w:after="240" w:line="240" w:lineRule="atLeast"/>
        <w:ind w:left="1134" w:hanging="1134"/>
        <w:jc w:val="both"/>
        <w:textAlignment w:val="baseline"/>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VI</w:t>
      </w:r>
      <w:r w:rsidRPr="00A013E1">
        <w:rPr>
          <w:rFonts w:ascii="Times New Roman" w:hAnsi="Times New Roman" w:cs="Times New Roman"/>
          <w:lang w:val="ru-RU"/>
        </w:rPr>
        <w:tab/>
        <w:t>Удостоверение за монтажа и показателите на навигационно радиолокационно оборудване и индикатори на ъгловата скорост</w:t>
      </w:r>
      <w:r w:rsidR="00180A72"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оборудване за </w:t>
      </w:r>
      <w:r w:rsidRPr="00A013E1">
        <w:rPr>
          <w:rFonts w:ascii="Times New Roman" w:hAnsi="Times New Roman" w:cs="Times New Roman"/>
        </w:rPr>
        <w:t>AIS</w:t>
      </w:r>
      <w:r w:rsidRPr="00A013E1">
        <w:rPr>
          <w:rFonts w:ascii="Times New Roman" w:hAnsi="Times New Roman" w:cs="Times New Roman"/>
          <w:lang w:val="ru-RU"/>
        </w:rPr>
        <w:t xml:space="preserve"> за вътрешно корабоплаване и тахографи при вътрешното корабоплаване</w:t>
      </w:r>
    </w:p>
    <w:p w14:paraId="7FBF79E2" w14:textId="77777777" w:rsidR="00271FA2" w:rsidRPr="00A013E1" w:rsidRDefault="00D35E51">
      <w:pPr>
        <w:overflowPunct w:val="0"/>
        <w:adjustRightInd w:val="0"/>
        <w:spacing w:line="240" w:lineRule="atLeast"/>
        <w:jc w:val="center"/>
        <w:textAlignment w:val="baseline"/>
        <w:rPr>
          <w:rFonts w:ascii="Times New Roman" w:eastAsia="Calibri" w:hAnsi="Times New Roman" w:cs="Times New Roman"/>
          <w:b/>
          <w:lang w:val="ru-RU"/>
        </w:rPr>
      </w:pPr>
      <w:r w:rsidRPr="00A013E1">
        <w:rPr>
          <w:rFonts w:ascii="Times New Roman" w:hAnsi="Times New Roman" w:cs="Times New Roman"/>
          <w:b/>
          <w:lang w:val="ru-RU"/>
        </w:rPr>
        <w:t>Определения</w:t>
      </w:r>
    </w:p>
    <w:p w14:paraId="6FB3CAAF" w14:textId="77777777" w:rsidR="00271FA2" w:rsidRPr="00A013E1" w:rsidRDefault="00D35E51" w:rsidP="00EC33A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„Изпитване на типа“ означава процедурата на изпитване, посочена в раздел </w:t>
      </w:r>
      <w:r w:rsidRPr="00A013E1">
        <w:rPr>
          <w:rFonts w:ascii="Times New Roman" w:hAnsi="Times New Roman" w:cs="Times New Roman"/>
          <w:color w:val="000000"/>
        </w:rPr>
        <w:t>I</w:t>
      </w:r>
      <w:r w:rsidRPr="00A013E1">
        <w:rPr>
          <w:rFonts w:ascii="Times New Roman" w:hAnsi="Times New Roman" w:cs="Times New Roman"/>
          <w:color w:val="000000"/>
          <w:lang w:val="ru-RU"/>
        </w:rPr>
        <w:t xml:space="preserve">, член 4 или раздел </w:t>
      </w:r>
      <w:r w:rsidRPr="00A013E1">
        <w:rPr>
          <w:rFonts w:ascii="Times New Roman" w:hAnsi="Times New Roman" w:cs="Times New Roman"/>
          <w:color w:val="000000"/>
        </w:rPr>
        <w:t>II</w:t>
      </w:r>
      <w:r w:rsidRPr="00A013E1">
        <w:rPr>
          <w:rFonts w:ascii="Times New Roman" w:hAnsi="Times New Roman" w:cs="Times New Roman"/>
          <w:color w:val="000000"/>
          <w:lang w:val="ru-RU"/>
        </w:rPr>
        <w:t>, член 1.03, която техническата служба използва, за да провери съответствието с изискванията по настоящото приложение. Изпитването на типа представлява неразделна част от одобряването на типа.</w:t>
      </w:r>
    </w:p>
    <w:p w14:paraId="5F7397E1" w14:textId="77777777" w:rsidR="00271FA2" w:rsidRPr="00A013E1" w:rsidRDefault="00D35E51" w:rsidP="00EC33A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„Одобряване на типа“ означава административната процедура, чрез която държава членка потвърждава, че оборудването отговаря на изискванията на настоящото приложение.</w:t>
      </w:r>
    </w:p>
    <w:p w14:paraId="709679C3" w14:textId="77777777" w:rsidR="00271FA2" w:rsidRPr="00A013E1" w:rsidRDefault="00D35E51" w:rsidP="00EC33A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„Удостоверение за изпитване“ означава документа, в който са вписани резултатите от изпитването на типа.</w:t>
      </w:r>
    </w:p>
    <w:p w14:paraId="57CA24AD" w14:textId="77777777" w:rsidR="00271FA2" w:rsidRPr="00A013E1" w:rsidRDefault="00D35E51" w:rsidP="00EC33A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4.</w:t>
      </w:r>
      <w:r w:rsidRPr="00A013E1">
        <w:rPr>
          <w:rFonts w:ascii="Times New Roman" w:hAnsi="Times New Roman" w:cs="Times New Roman"/>
          <w:lang w:val="ru-RU"/>
        </w:rPr>
        <w:tab/>
      </w:r>
      <w:r w:rsidRPr="00A013E1">
        <w:rPr>
          <w:rFonts w:ascii="Times New Roman" w:hAnsi="Times New Roman" w:cs="Times New Roman"/>
          <w:color w:val="000000"/>
          <w:lang w:val="ru-RU"/>
        </w:rPr>
        <w:t>„Заявител“ или „производител“ означава всяко юридическо или физическо лице, под чието име, търговска марка или друга форма на идентификация се произвежда или продава оборудването, представено за изпитване, и което е отговорно за всички въпроси, свързани с изпитването на типа и процедурата за одобряване на типа, по отношение на техническата служба и одобряващия орган.</w:t>
      </w:r>
    </w:p>
    <w:p w14:paraId="00EDDDFD" w14:textId="77777777" w:rsidR="00271FA2" w:rsidRPr="00A013E1" w:rsidRDefault="00D35E51" w:rsidP="00EC33A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lastRenderedPageBreak/>
        <w:t>5.</w:t>
      </w:r>
      <w:r w:rsidRPr="00A013E1">
        <w:rPr>
          <w:rFonts w:ascii="Times New Roman" w:hAnsi="Times New Roman" w:cs="Times New Roman"/>
          <w:lang w:val="ru-RU"/>
        </w:rPr>
        <w:tab/>
      </w:r>
      <w:r w:rsidRPr="00A013E1">
        <w:rPr>
          <w:rFonts w:ascii="Times New Roman" w:hAnsi="Times New Roman" w:cs="Times New Roman"/>
          <w:color w:val="000000"/>
          <w:lang w:val="ru-RU"/>
        </w:rPr>
        <w:t>„Техническа служба“ означава институция, орган или организация, която извършва изпитването на типа.</w:t>
      </w:r>
    </w:p>
    <w:p w14:paraId="4069DDEB" w14:textId="77777777" w:rsidR="00271FA2" w:rsidRPr="00A013E1" w:rsidRDefault="00D35E51" w:rsidP="00EC33A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6.</w:t>
      </w:r>
      <w:r w:rsidRPr="00A013E1">
        <w:rPr>
          <w:rFonts w:ascii="Times New Roman" w:hAnsi="Times New Roman" w:cs="Times New Roman"/>
          <w:lang w:val="ru-RU"/>
        </w:rPr>
        <w:tab/>
      </w:r>
      <w:r w:rsidRPr="00A013E1">
        <w:rPr>
          <w:rFonts w:ascii="Times New Roman" w:hAnsi="Times New Roman" w:cs="Times New Roman"/>
          <w:color w:val="000000"/>
          <w:lang w:val="ru-RU"/>
        </w:rPr>
        <w:t>„Декларация на производителя“ означава декларацията, с която производителят удостоверява, че оборудването отговаря на приетите минимални изисквания и че във всяко отношение е идентично с типа, предоставен за изпитване.</w:t>
      </w:r>
    </w:p>
    <w:p w14:paraId="38736441" w14:textId="77777777" w:rsidR="00271FA2" w:rsidRPr="00A013E1" w:rsidRDefault="00D35E51" w:rsidP="00EC33A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7.</w:t>
      </w:r>
      <w:r w:rsidRPr="00A013E1">
        <w:rPr>
          <w:rFonts w:ascii="Times New Roman" w:hAnsi="Times New Roman" w:cs="Times New Roman"/>
          <w:lang w:val="ru-RU"/>
        </w:rPr>
        <w:tab/>
      </w:r>
      <w:r w:rsidRPr="00A013E1">
        <w:rPr>
          <w:rFonts w:ascii="Times New Roman" w:hAnsi="Times New Roman" w:cs="Times New Roman"/>
          <w:color w:val="000000"/>
          <w:lang w:val="ru-RU"/>
        </w:rPr>
        <w:t>„Декларация за съответствие съгласно Директива 2014/53/ЕС</w:t>
      </w:r>
      <w:r w:rsidRPr="00A013E1">
        <w:rPr>
          <w:rFonts w:ascii="Times New Roman" w:hAnsi="Times New Roman" w:cs="Times New Roman"/>
          <w:vertAlign w:val="superscript"/>
        </w:rPr>
        <w:footnoteReference w:id="37"/>
      </w:r>
      <w:r w:rsidRPr="00A013E1">
        <w:rPr>
          <w:rFonts w:ascii="Times New Roman" w:hAnsi="Times New Roman" w:cs="Times New Roman"/>
          <w:color w:val="000000"/>
          <w:lang w:val="ru-RU"/>
        </w:rPr>
        <w:t>“ означава декларацията в съответствие с Директива 2014/53/ЕС, Приложение</w:t>
      </w:r>
      <w:r w:rsidRPr="00A013E1">
        <w:rPr>
          <w:rFonts w:ascii="Times New Roman" w:hAnsi="Times New Roman" w:cs="Times New Roman"/>
          <w:color w:val="000000"/>
        </w:rPr>
        <w:t> II</w:t>
      </w:r>
      <w:r w:rsidRPr="00A013E1">
        <w:rPr>
          <w:rFonts w:ascii="Times New Roman" w:hAnsi="Times New Roman" w:cs="Times New Roman"/>
          <w:color w:val="000000"/>
          <w:lang w:val="ru-RU"/>
        </w:rPr>
        <w:t>, точка 4, чрез която производителят потвърждава, че въпросните продукти отговарят на приложимите изисквания на директивата.</w:t>
      </w:r>
    </w:p>
    <w:p w14:paraId="3DD9D56D" w14:textId="77777777" w:rsidR="00271FA2" w:rsidRPr="00A013E1" w:rsidRDefault="00271FA2" w:rsidP="00EC33AA">
      <w:pPr>
        <w:overflowPunct w:val="0"/>
        <w:adjustRightInd w:val="0"/>
        <w:spacing w:line="240" w:lineRule="atLeast"/>
        <w:ind w:left="567" w:hanging="567"/>
        <w:textAlignment w:val="baseline"/>
        <w:rPr>
          <w:rFonts w:ascii="Times New Roman" w:hAnsi="Times New Roman" w:cs="Times New Roman"/>
          <w:szCs w:val="20"/>
          <w:lang w:val="ru-RU"/>
        </w:rPr>
        <w:sectPr w:rsidR="00271FA2" w:rsidRPr="00A013E1" w:rsidSect="00A013E1">
          <w:headerReference w:type="default" r:id="rId132"/>
          <w:footnotePr>
            <w:numRestart w:val="eachPage"/>
          </w:footnotePr>
          <w:pgSz w:w="11907" w:h="16840"/>
          <w:pgMar w:top="1134" w:right="1134" w:bottom="1134" w:left="1134" w:header="709" w:footer="709" w:gutter="0"/>
          <w:cols w:space="720"/>
          <w:docGrid w:linePitch="326"/>
        </w:sectPr>
      </w:pPr>
    </w:p>
    <w:p w14:paraId="68DD78D5" w14:textId="77777777" w:rsidR="00271FA2" w:rsidRPr="00A013E1" w:rsidRDefault="00D35E51" w:rsidP="00D419A8">
      <w:pPr>
        <w:pStyle w:val="ES-Titre3"/>
        <w:spacing w:after="0" w:line="240" w:lineRule="atLeast"/>
        <w:rPr>
          <w:rFonts w:ascii="Times New Roman" w:hAnsi="Times New Roman" w:cs="Times New Roman"/>
          <w:sz w:val="24"/>
          <w:szCs w:val="24"/>
          <w:lang w:val="ru-RU"/>
        </w:rPr>
      </w:pPr>
      <w:bookmarkStart w:id="598" w:name="_Toc491854310"/>
      <w:bookmarkStart w:id="599" w:name="_Toc535827751"/>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I</w:t>
      </w:r>
      <w:bookmarkEnd w:id="598"/>
      <w:bookmarkEnd w:id="599"/>
    </w:p>
    <w:p w14:paraId="1371731A" w14:textId="77777777" w:rsidR="00271FA2" w:rsidRPr="00A013E1" w:rsidRDefault="00D35E51">
      <w:pPr>
        <w:pStyle w:val="ES-Titre3a"/>
        <w:spacing w:line="240" w:lineRule="atLeast"/>
        <w:rPr>
          <w:rFonts w:ascii="Times New Roman" w:hAnsi="Times New Roman" w:cs="Times New Roman"/>
          <w:sz w:val="24"/>
          <w:szCs w:val="24"/>
          <w:lang w:val="ru-RU"/>
        </w:rPr>
      </w:pPr>
      <w:bookmarkStart w:id="600" w:name="_Toc491854311"/>
      <w:bookmarkStart w:id="601" w:name="_Toc535827752"/>
      <w:r w:rsidRPr="00A013E1">
        <w:rPr>
          <w:rFonts w:ascii="Times New Roman" w:hAnsi="Times New Roman" w:cs="Times New Roman"/>
          <w:sz w:val="24"/>
          <w:szCs w:val="24"/>
          <w:lang w:val="ru-RU"/>
        </w:rPr>
        <w:t>Минимални изисквания и условия на изпитване на навигационното радиолокационно оборудване, използвано за вътрешното корабоплаване</w:t>
      </w:r>
      <w:bookmarkEnd w:id="600"/>
      <w:bookmarkEnd w:id="601"/>
    </w:p>
    <w:p w14:paraId="02595942" w14:textId="77777777" w:rsidR="00271FA2" w:rsidRPr="00A013E1" w:rsidRDefault="00D35E51" w:rsidP="00D419A8">
      <w:pPr>
        <w:spacing w:after="240" w:line="240" w:lineRule="atLeast"/>
        <w:jc w:val="center"/>
        <w:rPr>
          <w:rFonts w:ascii="Times New Roman" w:hAnsi="Times New Roman" w:cs="Times New Roman"/>
          <w:i/>
          <w:lang w:val="ru-RU"/>
        </w:rPr>
      </w:pPr>
      <w:r w:rsidRPr="00A013E1">
        <w:rPr>
          <w:rFonts w:ascii="Times New Roman" w:hAnsi="Times New Roman" w:cs="Times New Roman"/>
          <w:b/>
          <w:lang w:val="ru-RU"/>
        </w:rPr>
        <w:t>Член 1</w:t>
      </w:r>
      <w:r w:rsidRPr="00A013E1">
        <w:rPr>
          <w:rFonts w:ascii="Times New Roman" w:hAnsi="Times New Roman" w:cs="Times New Roman"/>
          <w:b/>
          <w:lang w:val="ru-RU"/>
        </w:rPr>
        <w:br/>
      </w:r>
      <w:r w:rsidRPr="00A013E1">
        <w:rPr>
          <w:rFonts w:ascii="Times New Roman" w:hAnsi="Times New Roman" w:cs="Times New Roman"/>
          <w:i/>
          <w:lang w:val="ru-RU"/>
        </w:rPr>
        <w:t>Обхват</w:t>
      </w:r>
    </w:p>
    <w:p w14:paraId="38C1DDEB" w14:textId="77777777"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Настоящите разпоредби определят минималните изисквания към навигационното радиолокационно оборудване, използвано във вътрешното корабоплаване, както и условията за проверка на съответствието с тези минимални изисквания. </w:t>
      </w:r>
    </w:p>
    <w:p w14:paraId="006B48E9" w14:textId="77777777" w:rsidR="00271FA2" w:rsidRPr="00A013E1" w:rsidRDefault="00D35E51" w:rsidP="00D419A8">
      <w:pPr>
        <w:spacing w:after="240" w:line="240" w:lineRule="atLeast"/>
        <w:jc w:val="center"/>
        <w:rPr>
          <w:rFonts w:ascii="Times New Roman" w:hAnsi="Times New Roman" w:cs="Times New Roman"/>
          <w:i/>
          <w:lang w:val="ru-RU"/>
        </w:rPr>
      </w:pPr>
      <w:r w:rsidRPr="00A013E1">
        <w:rPr>
          <w:rFonts w:ascii="Times New Roman" w:hAnsi="Times New Roman" w:cs="Times New Roman"/>
          <w:b/>
          <w:lang w:val="ru-RU"/>
        </w:rPr>
        <w:t>Член 2</w:t>
      </w:r>
      <w:r w:rsidRPr="00A013E1">
        <w:rPr>
          <w:rFonts w:ascii="Times New Roman" w:hAnsi="Times New Roman" w:cs="Times New Roman"/>
          <w:b/>
          <w:lang w:val="ru-RU"/>
        </w:rPr>
        <w:br/>
      </w:r>
      <w:r w:rsidRPr="00A013E1">
        <w:rPr>
          <w:rFonts w:ascii="Times New Roman" w:hAnsi="Times New Roman" w:cs="Times New Roman"/>
          <w:i/>
          <w:lang w:val="ru-RU"/>
        </w:rPr>
        <w:t>Предназначение на навигационното радиолокационно оборудване</w:t>
      </w:r>
    </w:p>
    <w:p w14:paraId="2ED8B02B" w14:textId="77777777"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Навигационното радиолокационно оборудване улеснява навигацията на плавателния съд, като подава разбираемо радиолокационно изображение за местоположението му спрямо шамандури, брегови линии и навигационни съоръжения, както и като позволява надеждно и своевременно разпознаване на други плавателни съдове и препятствия, подаващи се над повърхността на водния път.</w:t>
      </w:r>
    </w:p>
    <w:p w14:paraId="49EB2AD4" w14:textId="77777777" w:rsidR="00271FA2" w:rsidRPr="00A013E1" w:rsidRDefault="00D35E51" w:rsidP="00D419A8">
      <w:pPr>
        <w:spacing w:after="240" w:line="240" w:lineRule="atLeast"/>
        <w:jc w:val="center"/>
        <w:rPr>
          <w:rFonts w:ascii="Times New Roman" w:hAnsi="Times New Roman" w:cs="Times New Roman"/>
          <w:i/>
          <w:lang w:val="ru-RU"/>
        </w:rPr>
      </w:pPr>
      <w:r w:rsidRPr="00A013E1">
        <w:rPr>
          <w:rFonts w:ascii="Times New Roman" w:hAnsi="Times New Roman" w:cs="Times New Roman"/>
          <w:b/>
          <w:lang w:val="ru-RU"/>
        </w:rPr>
        <w:t>Член 3</w:t>
      </w:r>
      <w:r w:rsidRPr="00A013E1">
        <w:rPr>
          <w:rFonts w:ascii="Times New Roman" w:hAnsi="Times New Roman" w:cs="Times New Roman"/>
          <w:b/>
          <w:lang w:val="ru-RU"/>
        </w:rPr>
        <w:br/>
      </w:r>
      <w:r w:rsidRPr="00A013E1">
        <w:rPr>
          <w:rFonts w:ascii="Times New Roman" w:hAnsi="Times New Roman" w:cs="Times New Roman"/>
          <w:i/>
          <w:lang w:val="ru-RU"/>
        </w:rPr>
        <w:t>Минимални изисквания</w:t>
      </w:r>
    </w:p>
    <w:p w14:paraId="5DD6D7C0" w14:textId="77777777" w:rsidR="00271FA2" w:rsidRPr="00A013E1" w:rsidRDefault="00D35E51" w:rsidP="00D419A8">
      <w:pPr>
        <w:tabs>
          <w:tab w:val="left" w:pos="567"/>
        </w:tabs>
        <w:spacing w:line="240" w:lineRule="atLeast"/>
        <w:ind w:left="567" w:hanging="567"/>
        <w:jc w:val="both"/>
        <w:rPr>
          <w:rFonts w:ascii="Times New Roman" w:eastAsia="Batang"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Навигационното радиолокационно оборудване трябва да отговаря на изискванията на Директива </w:t>
      </w:r>
      <w:r w:rsidRPr="00A013E1">
        <w:rPr>
          <w:rFonts w:ascii="Times New Roman" w:hAnsi="Times New Roman" w:cs="Times New Roman"/>
          <w:lang w:val="ru-RU"/>
        </w:rPr>
        <w:t>2014/53/ЕС</w:t>
      </w:r>
      <w:r w:rsidRPr="00A013E1">
        <w:rPr>
          <w:rFonts w:ascii="Times New Roman" w:hAnsi="Times New Roman" w:cs="Times New Roman"/>
          <w:color w:val="000000"/>
          <w:lang w:val="ru-RU"/>
        </w:rPr>
        <w:t>.</w:t>
      </w:r>
    </w:p>
    <w:p w14:paraId="161FC2E9" w14:textId="77777777" w:rsidR="00271FA2" w:rsidRPr="00A013E1" w:rsidRDefault="00D35E51" w:rsidP="00D419A8">
      <w:pPr>
        <w:tabs>
          <w:tab w:val="left" w:pos="567"/>
        </w:tabs>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Навигационното радиолокационно оборудване трябва да отговаря също на изискванията на Европейски стандарт </w:t>
      </w:r>
      <w:r w:rsidRPr="00A013E1">
        <w:rPr>
          <w:rFonts w:ascii="Times New Roman" w:hAnsi="Times New Roman" w:cs="Times New Roman"/>
          <w:color w:val="000000"/>
        </w:rPr>
        <w:t>EN</w:t>
      </w:r>
      <w:r w:rsidRPr="00A013E1">
        <w:rPr>
          <w:rFonts w:ascii="Times New Roman" w:hAnsi="Times New Roman" w:cs="Times New Roman"/>
          <w:color w:val="000000"/>
          <w:lang w:val="ru-RU"/>
        </w:rPr>
        <w:t xml:space="preserve"> 303 676:2021.</w:t>
      </w:r>
    </w:p>
    <w:p w14:paraId="1BB0724C" w14:textId="081241EC" w:rsidR="00802E08" w:rsidRPr="00A013E1" w:rsidRDefault="00D35E51" w:rsidP="00D419A8">
      <w:pPr>
        <w:tabs>
          <w:tab w:val="left" w:pos="567"/>
        </w:tabs>
        <w:ind w:left="567" w:hanging="567"/>
        <w:rPr>
          <w:rFonts w:ascii="Times New Roman" w:hAnsi="Times New Roman" w:cs="Times New Roman"/>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00421A3F" w:rsidRPr="00A013E1">
        <w:rPr>
          <w:rFonts w:ascii="Times New Roman" w:hAnsi="Times New Roman" w:cs="Times New Roman"/>
          <w:color w:val="000000"/>
          <w:lang w:val="ru-RU"/>
        </w:rPr>
        <w:t xml:space="preserve">Точка 2 </w:t>
      </w:r>
      <w:r w:rsidR="00802E08" w:rsidRPr="00A013E1">
        <w:rPr>
          <w:rFonts w:ascii="Times New Roman" w:hAnsi="Times New Roman" w:cs="Times New Roman"/>
          <w:lang w:val="ru-RU"/>
        </w:rPr>
        <w:t xml:space="preserve">не се прилага за хардуера на оборудване за </w:t>
      </w:r>
      <w:r w:rsidR="00802E08" w:rsidRPr="00A013E1">
        <w:rPr>
          <w:rFonts w:ascii="Times New Roman" w:hAnsi="Times New Roman" w:cs="Times New Roman"/>
        </w:rPr>
        <w:t>Inland</w:t>
      </w:r>
      <w:r w:rsidR="00802E08" w:rsidRPr="00A013E1">
        <w:rPr>
          <w:rFonts w:ascii="Times New Roman" w:hAnsi="Times New Roman" w:cs="Times New Roman"/>
          <w:lang w:val="ru-RU"/>
        </w:rPr>
        <w:t xml:space="preserve"> </w:t>
      </w:r>
      <w:r w:rsidR="00802E08" w:rsidRPr="00A013E1">
        <w:rPr>
          <w:rFonts w:ascii="Times New Roman" w:hAnsi="Times New Roman" w:cs="Times New Roman"/>
        </w:rPr>
        <w:t>ECDIS</w:t>
      </w:r>
      <w:r w:rsidR="00802E08" w:rsidRPr="00A013E1">
        <w:rPr>
          <w:rFonts w:ascii="Times New Roman" w:hAnsi="Times New Roman" w:cs="Times New Roman"/>
          <w:lang w:val="ru-RU"/>
        </w:rPr>
        <w:t xml:space="preserve">, работещ в режим на навигация в </w:t>
      </w:r>
      <w:r w:rsidR="00560A1C" w:rsidRPr="00A013E1">
        <w:rPr>
          <w:rFonts w:ascii="Times New Roman" w:hAnsi="Times New Roman" w:cs="Times New Roman"/>
          <w:lang w:val="ru-RU"/>
        </w:rPr>
        <w:t xml:space="preserve">системна конфигурация </w:t>
      </w:r>
      <w:r w:rsidR="00802E08" w:rsidRPr="00A013E1">
        <w:rPr>
          <w:rFonts w:ascii="Times New Roman" w:hAnsi="Times New Roman" w:cs="Times New Roman"/>
          <w:lang w:val="ru-RU"/>
        </w:rPr>
        <w:t xml:space="preserve">2 или 3 в съответствие с </w:t>
      </w:r>
      <w:r w:rsidR="00802E08" w:rsidRPr="00A013E1">
        <w:rPr>
          <w:rFonts w:ascii="Times New Roman" w:hAnsi="Times New Roman" w:cs="Times New Roman"/>
        </w:rPr>
        <w:t>ES</w:t>
      </w:r>
      <w:r w:rsidR="00802E08" w:rsidRPr="00A013E1">
        <w:rPr>
          <w:rFonts w:ascii="Times New Roman" w:hAnsi="Times New Roman" w:cs="Times New Roman"/>
          <w:lang w:val="ru-RU"/>
        </w:rPr>
        <w:t>-</w:t>
      </w:r>
      <w:r w:rsidR="00802E08" w:rsidRPr="00A013E1">
        <w:rPr>
          <w:rFonts w:ascii="Times New Roman" w:hAnsi="Times New Roman" w:cs="Times New Roman"/>
        </w:rPr>
        <w:t>RIS</w:t>
      </w:r>
      <w:r w:rsidR="00802E08" w:rsidRPr="00A013E1">
        <w:rPr>
          <w:rFonts w:ascii="Times New Roman" w:hAnsi="Times New Roman" w:cs="Times New Roman"/>
          <w:lang w:val="ru-RU"/>
        </w:rPr>
        <w:t xml:space="preserve">, част </w:t>
      </w:r>
      <w:r w:rsidR="00802E08" w:rsidRPr="00A013E1">
        <w:rPr>
          <w:rFonts w:ascii="Times New Roman" w:hAnsi="Times New Roman" w:cs="Times New Roman"/>
        </w:rPr>
        <w:t>I</w:t>
      </w:r>
      <w:r w:rsidR="00802E08" w:rsidRPr="00A013E1">
        <w:rPr>
          <w:rFonts w:ascii="Times New Roman" w:hAnsi="Times New Roman" w:cs="Times New Roman"/>
          <w:lang w:val="ru-RU"/>
        </w:rPr>
        <w:t>, глави 1 и 2, , ако е представен сертификат за съответствие от производителя. Този сертификат за съответствие трябва да потвърди, че хардуерът:</w:t>
      </w:r>
    </w:p>
    <w:p w14:paraId="5B1D9F0E" w14:textId="77777777" w:rsidR="00802E08" w:rsidRPr="00A013E1" w:rsidRDefault="00802E08" w:rsidP="00D419A8">
      <w:pPr>
        <w:tabs>
          <w:tab w:val="left" w:pos="567"/>
        </w:tabs>
        <w:ind w:left="567" w:hanging="567"/>
        <w:jc w:val="both"/>
        <w:rPr>
          <w:rFonts w:ascii="Times New Roman" w:hAnsi="Times New Roman" w:cs="Times New Roman"/>
          <w:lang w:val="ru-RU"/>
        </w:rPr>
      </w:pPr>
      <w:r w:rsidRPr="00A013E1">
        <w:rPr>
          <w:rFonts w:ascii="Times New Roman" w:hAnsi="Times New Roman" w:cs="Times New Roman"/>
          <w:lang w:val="ru-RU"/>
        </w:rPr>
        <w:t>а) е проектиран и произведен така, че да издържа на типичните натоварвания и условия на околната среда, преобладаващи на борда на плавателния съд, без загуба на качество или надеждност и</w:t>
      </w:r>
    </w:p>
    <w:p w14:paraId="1A6BC6F0" w14:textId="3F77B03C" w:rsidR="00802E08" w:rsidRPr="00A013E1" w:rsidRDefault="00802E08" w:rsidP="00D419A8">
      <w:pPr>
        <w:tabs>
          <w:tab w:val="left" w:pos="567"/>
        </w:tabs>
        <w:ind w:left="567" w:hanging="567"/>
        <w:jc w:val="both"/>
        <w:rPr>
          <w:rFonts w:ascii="Times New Roman" w:hAnsi="Times New Roman" w:cs="Times New Roman"/>
          <w:lang w:val="ru-RU"/>
        </w:rPr>
      </w:pPr>
      <w:r w:rsidRPr="00A013E1">
        <w:rPr>
          <w:rFonts w:ascii="Times New Roman" w:hAnsi="Times New Roman" w:cs="Times New Roman"/>
          <w:lang w:val="ru-RU"/>
        </w:rPr>
        <w:t xml:space="preserve">б) не </w:t>
      </w:r>
      <w:r w:rsidR="00D5626C" w:rsidRPr="00A013E1">
        <w:rPr>
          <w:rFonts w:ascii="Times New Roman" w:hAnsi="Times New Roman" w:cs="Times New Roman"/>
          <w:lang w:val="ru-RU"/>
        </w:rPr>
        <w:t xml:space="preserve"> нарушава</w:t>
      </w:r>
      <w:r w:rsidRPr="00A013E1">
        <w:rPr>
          <w:rFonts w:ascii="Times New Roman" w:hAnsi="Times New Roman" w:cs="Times New Roman"/>
          <w:lang w:val="ru-RU"/>
        </w:rPr>
        <w:t xml:space="preserve"> работата на друго бордово комуникационно и навигационно оборудване.</w:t>
      </w:r>
    </w:p>
    <w:p w14:paraId="33BB996A" w14:textId="77777777" w:rsidR="00802E08" w:rsidRPr="00A013E1" w:rsidRDefault="00802E08" w:rsidP="00D419A8">
      <w:pPr>
        <w:tabs>
          <w:tab w:val="left" w:pos="567"/>
        </w:tabs>
        <w:ind w:left="567" w:hanging="567"/>
        <w:jc w:val="both"/>
        <w:rPr>
          <w:rFonts w:ascii="Times New Roman" w:hAnsi="Times New Roman" w:cs="Times New Roman"/>
          <w:lang w:val="ru-RU"/>
        </w:rPr>
      </w:pPr>
      <w:r w:rsidRPr="00A013E1">
        <w:rPr>
          <w:rFonts w:ascii="Times New Roman" w:hAnsi="Times New Roman" w:cs="Times New Roman"/>
          <w:lang w:val="ru-RU"/>
        </w:rPr>
        <w:t xml:space="preserve">Първото изречение не се прилага за визуални дисплеи, работещи в навигационен режим в системна конфигурация 3, нито за хардуерни компоненти, използвани за предоставяне на радарна информация от радарния процесор за показване на екрана на оборудването за вътрешна </w:t>
      </w:r>
      <w:r w:rsidRPr="00A013E1">
        <w:rPr>
          <w:rFonts w:ascii="Times New Roman" w:hAnsi="Times New Roman" w:cs="Times New Roman"/>
        </w:rPr>
        <w:t>ECDIS</w:t>
      </w:r>
      <w:r w:rsidRPr="00A013E1">
        <w:rPr>
          <w:rFonts w:ascii="Times New Roman" w:hAnsi="Times New Roman" w:cs="Times New Roman"/>
          <w:lang w:val="ru-RU"/>
        </w:rPr>
        <w:t>.“</w:t>
      </w:r>
    </w:p>
    <w:p w14:paraId="465EB3D6" w14:textId="4916630E" w:rsidR="00271FA2" w:rsidRPr="00A013E1" w:rsidRDefault="00271FA2" w:rsidP="00802E08">
      <w:pPr>
        <w:spacing w:line="240" w:lineRule="atLeast"/>
        <w:ind w:left="426" w:hanging="426"/>
        <w:jc w:val="both"/>
        <w:rPr>
          <w:rFonts w:ascii="Times New Roman" w:hAnsi="Times New Roman" w:cs="Times New Roman"/>
          <w:color w:val="000000"/>
          <w:lang w:val="ru-RU"/>
        </w:rPr>
      </w:pPr>
    </w:p>
    <w:p w14:paraId="57E13AF7" w14:textId="77777777" w:rsidR="00271FA2" w:rsidRPr="00A013E1" w:rsidRDefault="00D35E51" w:rsidP="00D419A8">
      <w:pPr>
        <w:spacing w:after="240" w:line="240" w:lineRule="atLeast"/>
        <w:jc w:val="center"/>
        <w:rPr>
          <w:rFonts w:ascii="Times New Roman" w:hAnsi="Times New Roman" w:cs="Times New Roman"/>
          <w:i/>
          <w:lang w:val="ru-RU"/>
        </w:rPr>
      </w:pPr>
      <w:r w:rsidRPr="00A013E1">
        <w:rPr>
          <w:rFonts w:ascii="Times New Roman" w:hAnsi="Times New Roman" w:cs="Times New Roman"/>
          <w:b/>
          <w:lang w:val="ru-RU"/>
        </w:rPr>
        <w:t>Член 4</w:t>
      </w:r>
      <w:r w:rsidRPr="00A013E1">
        <w:rPr>
          <w:rFonts w:ascii="Times New Roman" w:hAnsi="Times New Roman" w:cs="Times New Roman"/>
          <w:b/>
          <w:lang w:val="ru-RU"/>
        </w:rPr>
        <w:br/>
      </w:r>
      <w:r w:rsidRPr="00A013E1">
        <w:rPr>
          <w:rFonts w:ascii="Times New Roman" w:hAnsi="Times New Roman" w:cs="Times New Roman"/>
          <w:i/>
          <w:lang w:val="ru-RU"/>
        </w:rPr>
        <w:t>Изпитвания на типа</w:t>
      </w:r>
    </w:p>
    <w:p w14:paraId="769FF9FB" w14:textId="77777777"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Спазването на минималните изисквания, определени в член</w:t>
      </w:r>
      <w:r w:rsidRPr="00A013E1">
        <w:rPr>
          <w:rFonts w:ascii="Times New Roman" w:hAnsi="Times New Roman" w:cs="Times New Roman"/>
        </w:rPr>
        <w:t> </w:t>
      </w:r>
      <w:r w:rsidRPr="00A013E1">
        <w:rPr>
          <w:rFonts w:ascii="Times New Roman" w:hAnsi="Times New Roman" w:cs="Times New Roman"/>
          <w:lang w:val="ru-RU"/>
        </w:rPr>
        <w:t>3, точка 2, се установява чрез изпитване на типа.</w:t>
      </w:r>
    </w:p>
    <w:p w14:paraId="724613BB" w14:textId="77777777" w:rsidR="00271FA2" w:rsidRPr="00A013E1" w:rsidRDefault="00D35E51" w:rsidP="00D419A8">
      <w:pPr>
        <w:tabs>
          <w:tab w:val="left" w:leader="dot" w:pos="9072"/>
        </w:tabs>
        <w:spacing w:after="240" w:line="240" w:lineRule="atLeast"/>
        <w:jc w:val="both"/>
        <w:rPr>
          <w:rFonts w:ascii="Times New Roman" w:hAnsi="Times New Roman" w:cs="Times New Roman"/>
          <w:lang w:val="ru-RU"/>
        </w:rPr>
      </w:pPr>
      <w:r w:rsidRPr="00A013E1">
        <w:rPr>
          <w:rFonts w:ascii="Times New Roman" w:hAnsi="Times New Roman" w:cs="Times New Roman"/>
          <w:lang w:val="ru-RU"/>
        </w:rPr>
        <w:t>Ако оборудването премине изпитване на типа, техническата служба издава удостоверение за изпитването. Ако оборудването не покрива минималните изисквания, заявителят се уведомява писмено за причините за отказа на одобрение.</w:t>
      </w:r>
    </w:p>
    <w:p w14:paraId="056FEF63" w14:textId="77777777" w:rsidR="00271FA2" w:rsidRPr="00A013E1" w:rsidRDefault="00D35E51" w:rsidP="00D419A8">
      <w:pPr>
        <w:jc w:val="center"/>
        <w:rPr>
          <w:rFonts w:ascii="Times New Roman" w:hAnsi="Times New Roman" w:cs="Times New Roman"/>
          <w:i/>
          <w:lang w:val="ru-RU"/>
        </w:rPr>
      </w:pPr>
      <w:r w:rsidRPr="00A013E1">
        <w:rPr>
          <w:rFonts w:ascii="Times New Roman" w:hAnsi="Times New Roman" w:cs="Times New Roman"/>
          <w:b/>
          <w:lang w:val="ru-RU"/>
        </w:rPr>
        <w:t>Член 5</w:t>
      </w:r>
      <w:r w:rsidRPr="00A013E1">
        <w:rPr>
          <w:rFonts w:ascii="Times New Roman" w:hAnsi="Times New Roman" w:cs="Times New Roman"/>
          <w:b/>
          <w:lang w:val="ru-RU"/>
        </w:rPr>
        <w:br/>
      </w:r>
      <w:r w:rsidRPr="00A013E1">
        <w:rPr>
          <w:rFonts w:ascii="Times New Roman" w:hAnsi="Times New Roman" w:cs="Times New Roman"/>
          <w:i/>
          <w:lang w:val="ru-RU"/>
        </w:rPr>
        <w:t>Заявление за изпитване на типа</w:t>
      </w:r>
    </w:p>
    <w:p w14:paraId="323F6595" w14:textId="77777777" w:rsidR="00271FA2" w:rsidRPr="00A013E1" w:rsidRDefault="00D35E51" w:rsidP="00D419A8">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Заявленията за изпитване на типа на навигационно радиолокационно оборудване се подават до компетентната техническа служба.</w:t>
      </w:r>
    </w:p>
    <w:p w14:paraId="4528DCF2" w14:textId="77777777" w:rsidR="00271FA2" w:rsidRPr="00A013E1" w:rsidRDefault="00D35E51" w:rsidP="00D419A8">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lastRenderedPageBreak/>
        <w:t>2.</w:t>
      </w:r>
      <w:r w:rsidRPr="00A013E1">
        <w:rPr>
          <w:rFonts w:ascii="Times New Roman" w:hAnsi="Times New Roman" w:cs="Times New Roman"/>
          <w:lang w:val="ru-RU"/>
        </w:rPr>
        <w:tab/>
      </w:r>
      <w:r w:rsidRPr="00A013E1">
        <w:rPr>
          <w:rFonts w:ascii="Times New Roman" w:hAnsi="Times New Roman" w:cs="Times New Roman"/>
          <w:color w:val="000000"/>
          <w:lang w:val="ru-RU"/>
        </w:rPr>
        <w:t>Всяко заявление трябва да бъде придружено от следните документи:</w:t>
      </w:r>
    </w:p>
    <w:p w14:paraId="4BB10542" w14:textId="77777777" w:rsidR="00271FA2" w:rsidRPr="00A013E1" w:rsidRDefault="00D35E51" w:rsidP="00D419A8">
      <w:pPr>
        <w:spacing w:line="240" w:lineRule="atLeast"/>
        <w:ind w:left="567"/>
        <w:jc w:val="both"/>
        <w:rPr>
          <w:rFonts w:ascii="Times New Roman" w:hAnsi="Times New Roman" w:cs="Times New Roman"/>
          <w:lang w:val="ru-RU"/>
        </w:rPr>
      </w:pPr>
      <w:r w:rsidRPr="00A013E1">
        <w:rPr>
          <w:rFonts w:ascii="Times New Roman" w:hAnsi="Times New Roman" w:cs="Times New Roman"/>
        </w:rPr>
        <w:t>a</w:t>
      </w:r>
      <w:r w:rsidRPr="00A013E1">
        <w:rPr>
          <w:rFonts w:ascii="Times New Roman" w:hAnsi="Times New Roman" w:cs="Times New Roman"/>
          <w:lang w:val="ru-RU"/>
        </w:rPr>
        <w:t>) две подробни технически описания;</w:t>
      </w:r>
    </w:p>
    <w:p w14:paraId="61238A8B" w14:textId="77777777" w:rsidR="00271FA2" w:rsidRPr="00A013E1" w:rsidRDefault="00D35E51" w:rsidP="00D419A8">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б) два пълни комплекта документи за монтаж и обслужване;</w:t>
      </w:r>
    </w:p>
    <w:p w14:paraId="2B86E0F9" w14:textId="77777777" w:rsidR="00271FA2" w:rsidRPr="00A013E1" w:rsidRDefault="00D35E51" w:rsidP="00D419A8">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в) два подробни наръчника за експлоатация; </w:t>
      </w:r>
    </w:p>
    <w:p w14:paraId="70716833" w14:textId="77777777" w:rsidR="00271FA2" w:rsidRPr="00A013E1" w:rsidRDefault="00D35E51" w:rsidP="00D419A8">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г) два кратки наръчника за експлоатация; и</w:t>
      </w:r>
    </w:p>
    <w:p w14:paraId="49B77220" w14:textId="77777777" w:rsidR="00271FA2" w:rsidRPr="00A013E1" w:rsidRDefault="00D35E51" w:rsidP="00D419A8">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д) когато е приложимо, доказателство за предходни преминати изпитвания.</w:t>
      </w:r>
    </w:p>
    <w:p w14:paraId="3CD8E1D8" w14:textId="77777777" w:rsidR="0060681E" w:rsidRPr="00A013E1" w:rsidRDefault="00D35E51" w:rsidP="0060681E">
      <w:pPr>
        <w:spacing w:after="240"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В случай, че заявителят не предвижда да притежава декларация за съответствие съгласно Директива 2014/53/ЕС, изготвена едновременно с одобрението на типа, декларацията за съответствие трябва да бъде подадена заедно със заявлението за изпитване на типа.</w:t>
      </w:r>
    </w:p>
    <w:p w14:paraId="6C74A2B2" w14:textId="0411E05C" w:rsidR="00271FA2" w:rsidRPr="00A013E1" w:rsidRDefault="00D35E51" w:rsidP="0060681E">
      <w:pPr>
        <w:spacing w:after="240" w:line="240" w:lineRule="atLeast"/>
        <w:ind w:left="567" w:hanging="567"/>
        <w:jc w:val="center"/>
        <w:rPr>
          <w:rFonts w:ascii="Times New Roman" w:hAnsi="Times New Roman" w:cs="Times New Roman"/>
          <w:i/>
          <w:lang w:val="ru-RU"/>
        </w:rPr>
      </w:pPr>
      <w:r w:rsidRPr="00A013E1">
        <w:rPr>
          <w:rFonts w:ascii="Times New Roman" w:hAnsi="Times New Roman" w:cs="Times New Roman"/>
          <w:b/>
          <w:lang w:val="ru-RU"/>
        </w:rPr>
        <w:t>Член 6</w:t>
      </w:r>
      <w:r w:rsidRPr="00A013E1">
        <w:rPr>
          <w:rFonts w:ascii="Times New Roman" w:hAnsi="Times New Roman" w:cs="Times New Roman"/>
          <w:b/>
          <w:lang w:val="ru-RU"/>
        </w:rPr>
        <w:br/>
      </w:r>
      <w:r w:rsidRPr="00A013E1">
        <w:rPr>
          <w:rFonts w:ascii="Times New Roman" w:hAnsi="Times New Roman" w:cs="Times New Roman"/>
          <w:i/>
          <w:lang w:val="ru-RU"/>
        </w:rPr>
        <w:t>Одобрение на типа</w:t>
      </w:r>
    </w:p>
    <w:p w14:paraId="51926BBE" w14:textId="77777777"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Одобрението на типа се издава от компетентния орган в съответствие с удостоверението за изпитване. </w:t>
      </w:r>
    </w:p>
    <w:p w14:paraId="793C3335" w14:textId="77777777"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Всеки компетентен орган или техническата служба, определена от компетентния орган, има право да избира оборудване от производствената серия за проверка по всяко време.</w:t>
      </w:r>
    </w:p>
    <w:p w14:paraId="15857AA2" w14:textId="77777777" w:rsidR="00271FA2" w:rsidRPr="00A013E1" w:rsidRDefault="00D35E5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Ако при проверката се установят дефекти в оборудването, одобрението на типа може да бъде оттеглено.</w:t>
      </w:r>
    </w:p>
    <w:p w14:paraId="3CBE4E6D" w14:textId="77777777" w:rsidR="00271FA2" w:rsidRPr="00A013E1" w:rsidRDefault="00D35E5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Одобрението на типа се оттегля от органа, който го е издал.</w:t>
      </w:r>
    </w:p>
    <w:p w14:paraId="6BD38090" w14:textId="77777777" w:rsidR="00271FA2" w:rsidRPr="00A013E1" w:rsidRDefault="00D35E51">
      <w:pPr>
        <w:spacing w:line="240" w:lineRule="atLeast"/>
        <w:rPr>
          <w:rFonts w:ascii="Times New Roman" w:hAnsi="Times New Roman" w:cs="Times New Roman"/>
          <w:lang w:val="ru-RU"/>
        </w:rPr>
      </w:pPr>
      <w:r w:rsidRPr="00A013E1">
        <w:rPr>
          <w:rFonts w:ascii="Times New Roman" w:hAnsi="Times New Roman" w:cs="Times New Roman"/>
          <w:lang w:val="ru-RU"/>
        </w:rPr>
        <w:br w:type="page"/>
      </w:r>
    </w:p>
    <w:p w14:paraId="2BF813C4" w14:textId="77777777" w:rsidR="00271FA2" w:rsidRPr="00A013E1" w:rsidRDefault="00D35E51" w:rsidP="007E1BE1">
      <w:pPr>
        <w:spacing w:after="240" w:line="240" w:lineRule="atLeast"/>
        <w:jc w:val="center"/>
        <w:rPr>
          <w:rFonts w:ascii="Times New Roman" w:hAnsi="Times New Roman" w:cs="Times New Roman"/>
          <w:i/>
          <w:lang w:val="ru-RU"/>
        </w:rPr>
      </w:pPr>
      <w:r w:rsidRPr="00A013E1">
        <w:rPr>
          <w:rFonts w:ascii="Times New Roman" w:hAnsi="Times New Roman" w:cs="Times New Roman"/>
          <w:b/>
          <w:lang w:val="ru-RU"/>
        </w:rPr>
        <w:lastRenderedPageBreak/>
        <w:t>Член 7</w:t>
      </w:r>
      <w:r w:rsidRPr="00A013E1">
        <w:rPr>
          <w:rFonts w:ascii="Times New Roman" w:hAnsi="Times New Roman" w:cs="Times New Roman"/>
          <w:b/>
          <w:lang w:val="ru-RU"/>
        </w:rPr>
        <w:br/>
      </w:r>
      <w:r w:rsidRPr="00A013E1">
        <w:rPr>
          <w:rFonts w:ascii="Times New Roman" w:hAnsi="Times New Roman" w:cs="Times New Roman"/>
          <w:i/>
          <w:lang w:val="ru-RU"/>
        </w:rPr>
        <w:t>Маркиране на оборудването и номер на одобрението на типа</w:t>
      </w:r>
    </w:p>
    <w:p w14:paraId="671B1EFE" w14:textId="77777777" w:rsidR="00271FA2" w:rsidRPr="00A013E1" w:rsidRDefault="00D35E51" w:rsidP="007E1BE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Всеки компонент на оборудването се маркира неизличимо с името на производителя, търговското обозначение на оборудването, типа оборудване и серийния номер.</w:t>
      </w:r>
    </w:p>
    <w:p w14:paraId="1680D97B" w14:textId="77777777" w:rsidR="00271FA2" w:rsidRPr="00A013E1" w:rsidRDefault="00D35E51" w:rsidP="007E1BE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Номерът на одобрението на типа, определен от компетентния орган, се поставя по траен начин върху устройството за показване, така че да остава ясно видим, след като оборудването бъде монтирано.</w:t>
      </w:r>
    </w:p>
    <w:p w14:paraId="68240A0A" w14:textId="77777777" w:rsidR="00271FA2" w:rsidRPr="00A013E1" w:rsidRDefault="00D35E51" w:rsidP="007E1BE1">
      <w:pPr>
        <w:spacing w:line="240" w:lineRule="atLeast"/>
        <w:ind w:left="567"/>
        <w:rPr>
          <w:rFonts w:ascii="Times New Roman" w:hAnsi="Times New Roman" w:cs="Times New Roman"/>
          <w:lang w:val="ru-RU"/>
        </w:rPr>
      </w:pPr>
      <w:r w:rsidRPr="00A013E1">
        <w:rPr>
          <w:rFonts w:ascii="Times New Roman" w:hAnsi="Times New Roman" w:cs="Times New Roman"/>
          <w:lang w:val="ru-RU"/>
        </w:rPr>
        <w:t xml:space="preserve">Състав на номера на одобрение на типа: </w:t>
      </w:r>
      <w:r w:rsidRPr="00A013E1">
        <w:rPr>
          <w:rFonts w:ascii="Times New Roman" w:hAnsi="Times New Roman" w:cs="Times New Roman"/>
        </w:rPr>
        <w:t>R</w:t>
      </w:r>
      <w:r w:rsidRPr="00A013E1">
        <w:rPr>
          <w:rFonts w:ascii="Times New Roman" w:hAnsi="Times New Roman" w:cs="Times New Roman"/>
          <w:lang w:val="ru-RU"/>
        </w:rPr>
        <w:t>-</w:t>
      </w:r>
      <w:r w:rsidRPr="00A013E1">
        <w:rPr>
          <w:rFonts w:ascii="Times New Roman" w:hAnsi="Times New Roman" w:cs="Times New Roman"/>
        </w:rPr>
        <w:t>NN</w:t>
      </w:r>
      <w:r w:rsidRPr="00A013E1">
        <w:rPr>
          <w:rFonts w:ascii="Times New Roman" w:hAnsi="Times New Roman" w:cs="Times New Roman"/>
          <w:lang w:val="ru-RU"/>
        </w:rPr>
        <w:t>-</w:t>
      </w:r>
      <w:r w:rsidRPr="00A013E1">
        <w:rPr>
          <w:rFonts w:ascii="Times New Roman" w:hAnsi="Times New Roman" w:cs="Times New Roman"/>
        </w:rPr>
        <w:t>NNN</w:t>
      </w:r>
      <w:r w:rsidRPr="00A013E1">
        <w:rPr>
          <w:rFonts w:ascii="Times New Roman" w:hAnsi="Times New Roman" w:cs="Times New Roman"/>
          <w:lang w:val="ru-RU"/>
        </w:rPr>
        <w:t xml:space="preserve"> или </w:t>
      </w:r>
      <w:r w:rsidRPr="00A013E1">
        <w:rPr>
          <w:rFonts w:ascii="Times New Roman" w:hAnsi="Times New Roman" w:cs="Times New Roman"/>
        </w:rPr>
        <w:t>e</w:t>
      </w:r>
      <w:r w:rsidRPr="00A013E1">
        <w:rPr>
          <w:rFonts w:ascii="Times New Roman" w:hAnsi="Times New Roman" w:cs="Times New Roman"/>
          <w:lang w:val="ru-RU"/>
        </w:rPr>
        <w:t>-</w:t>
      </w:r>
      <w:r w:rsidRPr="00A013E1">
        <w:rPr>
          <w:rFonts w:ascii="Times New Roman" w:hAnsi="Times New Roman" w:cs="Times New Roman"/>
        </w:rPr>
        <w:t>NN</w:t>
      </w:r>
      <w:r w:rsidRPr="00A013E1">
        <w:rPr>
          <w:rFonts w:ascii="Times New Roman" w:hAnsi="Times New Roman" w:cs="Times New Roman"/>
          <w:lang w:val="ru-RU"/>
        </w:rPr>
        <w:t>-</w:t>
      </w:r>
      <w:r w:rsidRPr="00A013E1">
        <w:rPr>
          <w:rFonts w:ascii="Times New Roman" w:hAnsi="Times New Roman" w:cs="Times New Roman"/>
        </w:rPr>
        <w:t>NNN</w:t>
      </w:r>
    </w:p>
    <w:p w14:paraId="49A210FA" w14:textId="77777777" w:rsidR="00271FA2" w:rsidRPr="00A013E1" w:rsidRDefault="00D35E51" w:rsidP="007E1BE1">
      <w:pPr>
        <w:tabs>
          <w:tab w:val="left" w:pos="993"/>
        </w:tabs>
        <w:spacing w:line="240" w:lineRule="atLeast"/>
        <w:ind w:left="567"/>
        <w:rPr>
          <w:rFonts w:ascii="Times New Roman" w:hAnsi="Times New Roman" w:cs="Times New Roman"/>
          <w:szCs w:val="20"/>
          <w:lang w:val="ru-RU"/>
        </w:rPr>
      </w:pPr>
      <w:r w:rsidRPr="00A013E1">
        <w:rPr>
          <w:rFonts w:ascii="Times New Roman" w:hAnsi="Times New Roman" w:cs="Times New Roman"/>
        </w:rPr>
        <w:t>R</w:t>
      </w:r>
      <w:r w:rsidRPr="00A013E1">
        <w:rPr>
          <w:rFonts w:ascii="Times New Roman" w:hAnsi="Times New Roman" w:cs="Times New Roman"/>
          <w:lang w:val="ru-RU"/>
        </w:rPr>
        <w:tab/>
        <w:t>=</w:t>
      </w:r>
      <w:r w:rsidRPr="00A013E1">
        <w:rPr>
          <w:rFonts w:ascii="Times New Roman" w:hAnsi="Times New Roman" w:cs="Times New Roman"/>
          <w:lang w:val="ru-RU"/>
        </w:rPr>
        <w:tab/>
        <w:t>Рейн</w:t>
      </w:r>
    </w:p>
    <w:p w14:paraId="69721D83" w14:textId="77777777" w:rsidR="00271FA2" w:rsidRPr="00A013E1" w:rsidRDefault="00D35E51" w:rsidP="007E1BE1">
      <w:pPr>
        <w:tabs>
          <w:tab w:val="left" w:pos="993"/>
        </w:tabs>
        <w:spacing w:line="240" w:lineRule="atLeast"/>
        <w:ind w:left="567"/>
        <w:rPr>
          <w:rFonts w:ascii="Times New Roman" w:hAnsi="Times New Roman" w:cs="Times New Roman"/>
          <w:lang w:val="ru-RU"/>
        </w:rPr>
      </w:pPr>
      <w:r w:rsidRPr="00A013E1">
        <w:rPr>
          <w:rFonts w:ascii="Times New Roman" w:hAnsi="Times New Roman" w:cs="Times New Roman"/>
        </w:rPr>
        <w:t>e</w:t>
      </w:r>
      <w:r w:rsidRPr="00A013E1">
        <w:rPr>
          <w:rFonts w:ascii="Times New Roman" w:hAnsi="Times New Roman" w:cs="Times New Roman"/>
          <w:lang w:val="ru-RU"/>
        </w:rPr>
        <w:tab/>
        <w:t>=</w:t>
      </w:r>
      <w:r w:rsidRPr="00A013E1">
        <w:rPr>
          <w:rFonts w:ascii="Times New Roman" w:hAnsi="Times New Roman" w:cs="Times New Roman"/>
          <w:lang w:val="ru-RU"/>
        </w:rPr>
        <w:tab/>
        <w:t>Европейски съюз</w:t>
      </w:r>
    </w:p>
    <w:p w14:paraId="59E30A7F" w14:textId="77777777" w:rsidR="00271FA2" w:rsidRPr="00A013E1" w:rsidRDefault="00D35E51" w:rsidP="007E1BE1">
      <w:pPr>
        <w:tabs>
          <w:tab w:val="left" w:pos="993"/>
        </w:tabs>
        <w:spacing w:line="240" w:lineRule="atLeast"/>
        <w:ind w:left="567"/>
        <w:rPr>
          <w:rFonts w:ascii="Times New Roman" w:hAnsi="Times New Roman" w:cs="Times New Roman"/>
          <w:lang w:val="ru-RU"/>
        </w:rPr>
      </w:pPr>
      <w:r w:rsidRPr="00A013E1">
        <w:rPr>
          <w:rFonts w:ascii="Times New Roman" w:hAnsi="Times New Roman" w:cs="Times New Roman"/>
        </w:rPr>
        <w:t>NN</w:t>
      </w:r>
      <w:r w:rsidRPr="00A013E1">
        <w:rPr>
          <w:rFonts w:ascii="Times New Roman" w:hAnsi="Times New Roman" w:cs="Times New Roman"/>
          <w:lang w:val="ru-RU"/>
        </w:rPr>
        <w:tab/>
        <w:t>=</w:t>
      </w:r>
      <w:r w:rsidRPr="00A013E1">
        <w:rPr>
          <w:rFonts w:ascii="Times New Roman" w:hAnsi="Times New Roman" w:cs="Times New Roman"/>
          <w:lang w:val="ru-RU"/>
        </w:rPr>
        <w:tab/>
        <w:t>номер на държавата, издала одобрението на типа, където</w:t>
      </w:r>
    </w:p>
    <w:tbl>
      <w:tblPr>
        <w:tblW w:w="7587" w:type="dxa"/>
        <w:jc w:val="center"/>
        <w:tblLayout w:type="fixed"/>
        <w:tblLook w:val="04A0" w:firstRow="1" w:lastRow="0" w:firstColumn="1" w:lastColumn="0" w:noHBand="0" w:noVBand="1"/>
      </w:tblPr>
      <w:tblGrid>
        <w:gridCol w:w="720"/>
        <w:gridCol w:w="360"/>
        <w:gridCol w:w="3162"/>
        <w:gridCol w:w="724"/>
        <w:gridCol w:w="416"/>
        <w:gridCol w:w="2205"/>
      </w:tblGrid>
      <w:tr w:rsidR="00271FA2" w:rsidRPr="00A013E1" w14:paraId="6A24E1F0" w14:textId="77777777">
        <w:trPr>
          <w:jc w:val="center"/>
        </w:trPr>
        <w:tc>
          <w:tcPr>
            <w:tcW w:w="720" w:type="dxa"/>
          </w:tcPr>
          <w:p w14:paraId="7616972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01 </w:t>
            </w:r>
          </w:p>
        </w:tc>
        <w:tc>
          <w:tcPr>
            <w:tcW w:w="360" w:type="dxa"/>
          </w:tcPr>
          <w:p w14:paraId="5BB1BE6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4CE1A25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Германия</w:t>
            </w:r>
          </w:p>
        </w:tc>
        <w:tc>
          <w:tcPr>
            <w:tcW w:w="724" w:type="dxa"/>
          </w:tcPr>
          <w:p w14:paraId="071D132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19</w:t>
            </w:r>
          </w:p>
        </w:tc>
        <w:tc>
          <w:tcPr>
            <w:tcW w:w="416" w:type="dxa"/>
          </w:tcPr>
          <w:p w14:paraId="0173D60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w:t>
            </w:r>
          </w:p>
        </w:tc>
        <w:tc>
          <w:tcPr>
            <w:tcW w:w="2205" w:type="dxa"/>
          </w:tcPr>
          <w:p w14:paraId="53E743E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Румъния</w:t>
            </w:r>
          </w:p>
        </w:tc>
      </w:tr>
      <w:tr w:rsidR="00271FA2" w:rsidRPr="00A013E1" w14:paraId="7CD6C543" w14:textId="77777777">
        <w:trPr>
          <w:jc w:val="center"/>
        </w:trPr>
        <w:tc>
          <w:tcPr>
            <w:tcW w:w="720" w:type="dxa"/>
          </w:tcPr>
          <w:p w14:paraId="23FCA48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02 </w:t>
            </w:r>
          </w:p>
        </w:tc>
        <w:tc>
          <w:tcPr>
            <w:tcW w:w="360" w:type="dxa"/>
          </w:tcPr>
          <w:p w14:paraId="2E3FCD6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60B8529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Франция </w:t>
            </w:r>
          </w:p>
        </w:tc>
        <w:tc>
          <w:tcPr>
            <w:tcW w:w="724" w:type="dxa"/>
          </w:tcPr>
          <w:p w14:paraId="1A44769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20 </w:t>
            </w:r>
          </w:p>
        </w:tc>
        <w:tc>
          <w:tcPr>
            <w:tcW w:w="416" w:type="dxa"/>
          </w:tcPr>
          <w:p w14:paraId="4F85761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4E10FD6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Полша </w:t>
            </w:r>
          </w:p>
        </w:tc>
      </w:tr>
      <w:tr w:rsidR="00271FA2" w:rsidRPr="00A013E1" w14:paraId="30C0965B" w14:textId="77777777">
        <w:trPr>
          <w:jc w:val="center"/>
        </w:trPr>
        <w:tc>
          <w:tcPr>
            <w:tcW w:w="720" w:type="dxa"/>
          </w:tcPr>
          <w:p w14:paraId="565AA1E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03 </w:t>
            </w:r>
          </w:p>
        </w:tc>
        <w:tc>
          <w:tcPr>
            <w:tcW w:w="360" w:type="dxa"/>
          </w:tcPr>
          <w:p w14:paraId="6E024A2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68E474B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Италия</w:t>
            </w:r>
          </w:p>
        </w:tc>
        <w:tc>
          <w:tcPr>
            <w:tcW w:w="724" w:type="dxa"/>
          </w:tcPr>
          <w:p w14:paraId="1F5E7EB4"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21 </w:t>
            </w:r>
          </w:p>
        </w:tc>
        <w:tc>
          <w:tcPr>
            <w:tcW w:w="416" w:type="dxa"/>
          </w:tcPr>
          <w:p w14:paraId="072F7A4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43731384"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Португалия </w:t>
            </w:r>
          </w:p>
        </w:tc>
      </w:tr>
      <w:tr w:rsidR="00271FA2" w:rsidRPr="00A013E1" w14:paraId="3E874E24" w14:textId="77777777">
        <w:trPr>
          <w:jc w:val="center"/>
        </w:trPr>
        <w:tc>
          <w:tcPr>
            <w:tcW w:w="720" w:type="dxa"/>
          </w:tcPr>
          <w:p w14:paraId="6754EE0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04 </w:t>
            </w:r>
          </w:p>
        </w:tc>
        <w:tc>
          <w:tcPr>
            <w:tcW w:w="360" w:type="dxa"/>
          </w:tcPr>
          <w:p w14:paraId="403BB17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4D143444"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Нидерландия </w:t>
            </w:r>
          </w:p>
        </w:tc>
        <w:tc>
          <w:tcPr>
            <w:tcW w:w="724" w:type="dxa"/>
          </w:tcPr>
          <w:p w14:paraId="1B25EF3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23 </w:t>
            </w:r>
          </w:p>
        </w:tc>
        <w:tc>
          <w:tcPr>
            <w:tcW w:w="416" w:type="dxa"/>
          </w:tcPr>
          <w:p w14:paraId="1956FB0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38E8300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Гърция</w:t>
            </w:r>
          </w:p>
        </w:tc>
      </w:tr>
      <w:tr w:rsidR="00271FA2" w:rsidRPr="00A013E1" w14:paraId="60F633E7" w14:textId="77777777">
        <w:trPr>
          <w:jc w:val="center"/>
        </w:trPr>
        <w:tc>
          <w:tcPr>
            <w:tcW w:w="720" w:type="dxa"/>
          </w:tcPr>
          <w:p w14:paraId="67CD8D7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05 </w:t>
            </w:r>
          </w:p>
        </w:tc>
        <w:tc>
          <w:tcPr>
            <w:tcW w:w="360" w:type="dxa"/>
          </w:tcPr>
          <w:p w14:paraId="53BA39D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2A4A0536"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Швеция</w:t>
            </w:r>
          </w:p>
        </w:tc>
        <w:tc>
          <w:tcPr>
            <w:tcW w:w="724" w:type="dxa"/>
          </w:tcPr>
          <w:p w14:paraId="74B6B81D"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24 </w:t>
            </w:r>
          </w:p>
        </w:tc>
        <w:tc>
          <w:tcPr>
            <w:tcW w:w="416" w:type="dxa"/>
          </w:tcPr>
          <w:p w14:paraId="20C22606"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533986D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Ирландия</w:t>
            </w:r>
          </w:p>
        </w:tc>
      </w:tr>
      <w:tr w:rsidR="00271FA2" w:rsidRPr="00A013E1" w14:paraId="1E8ADB13" w14:textId="77777777">
        <w:trPr>
          <w:jc w:val="center"/>
        </w:trPr>
        <w:tc>
          <w:tcPr>
            <w:tcW w:w="720" w:type="dxa"/>
          </w:tcPr>
          <w:p w14:paraId="60320A4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06 </w:t>
            </w:r>
          </w:p>
        </w:tc>
        <w:tc>
          <w:tcPr>
            <w:tcW w:w="360" w:type="dxa"/>
          </w:tcPr>
          <w:p w14:paraId="7AC1D63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7944805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Белгия </w:t>
            </w:r>
          </w:p>
        </w:tc>
        <w:tc>
          <w:tcPr>
            <w:tcW w:w="724" w:type="dxa"/>
            <w:vAlign w:val="center"/>
          </w:tcPr>
          <w:p w14:paraId="53FD04B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color w:val="000000"/>
              </w:rPr>
              <w:t>25</w:t>
            </w:r>
          </w:p>
        </w:tc>
        <w:tc>
          <w:tcPr>
            <w:tcW w:w="416" w:type="dxa"/>
            <w:vAlign w:val="center"/>
          </w:tcPr>
          <w:p w14:paraId="2CA9C7D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color w:val="000000"/>
              </w:rPr>
              <w:t>=</w:t>
            </w:r>
          </w:p>
        </w:tc>
        <w:tc>
          <w:tcPr>
            <w:tcW w:w="2205" w:type="dxa"/>
            <w:vAlign w:val="center"/>
          </w:tcPr>
          <w:p w14:paraId="0864CFF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Хърватия</w:t>
            </w:r>
          </w:p>
        </w:tc>
      </w:tr>
      <w:tr w:rsidR="00271FA2" w:rsidRPr="00A013E1" w14:paraId="16BD4C4A" w14:textId="77777777">
        <w:trPr>
          <w:jc w:val="center"/>
        </w:trPr>
        <w:tc>
          <w:tcPr>
            <w:tcW w:w="720" w:type="dxa"/>
          </w:tcPr>
          <w:p w14:paraId="50031F0D"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07 </w:t>
            </w:r>
          </w:p>
        </w:tc>
        <w:tc>
          <w:tcPr>
            <w:tcW w:w="360" w:type="dxa"/>
          </w:tcPr>
          <w:p w14:paraId="22CB039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6154EDAD"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Унгария</w:t>
            </w:r>
          </w:p>
        </w:tc>
        <w:tc>
          <w:tcPr>
            <w:tcW w:w="724" w:type="dxa"/>
          </w:tcPr>
          <w:p w14:paraId="122EE66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26 </w:t>
            </w:r>
          </w:p>
        </w:tc>
        <w:tc>
          <w:tcPr>
            <w:tcW w:w="416" w:type="dxa"/>
          </w:tcPr>
          <w:p w14:paraId="2C4AE8F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50D8583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Словения</w:t>
            </w:r>
          </w:p>
        </w:tc>
      </w:tr>
      <w:tr w:rsidR="00271FA2" w:rsidRPr="00A013E1" w14:paraId="38BE6494" w14:textId="77777777">
        <w:trPr>
          <w:jc w:val="center"/>
        </w:trPr>
        <w:tc>
          <w:tcPr>
            <w:tcW w:w="720" w:type="dxa"/>
          </w:tcPr>
          <w:p w14:paraId="7724749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08 </w:t>
            </w:r>
          </w:p>
        </w:tc>
        <w:tc>
          <w:tcPr>
            <w:tcW w:w="360" w:type="dxa"/>
          </w:tcPr>
          <w:p w14:paraId="4C99D085"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43E16E56"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Чешка република</w:t>
            </w:r>
          </w:p>
        </w:tc>
        <w:tc>
          <w:tcPr>
            <w:tcW w:w="724" w:type="dxa"/>
          </w:tcPr>
          <w:p w14:paraId="3A52A1E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27 </w:t>
            </w:r>
          </w:p>
        </w:tc>
        <w:tc>
          <w:tcPr>
            <w:tcW w:w="416" w:type="dxa"/>
          </w:tcPr>
          <w:p w14:paraId="0F1ABBE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0FA7F06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Словакия</w:t>
            </w:r>
          </w:p>
        </w:tc>
      </w:tr>
      <w:tr w:rsidR="00271FA2" w:rsidRPr="00A013E1" w14:paraId="15B5E66A" w14:textId="77777777">
        <w:trPr>
          <w:jc w:val="center"/>
        </w:trPr>
        <w:tc>
          <w:tcPr>
            <w:tcW w:w="720" w:type="dxa"/>
          </w:tcPr>
          <w:p w14:paraId="7B254E5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09 </w:t>
            </w:r>
          </w:p>
        </w:tc>
        <w:tc>
          <w:tcPr>
            <w:tcW w:w="360" w:type="dxa"/>
          </w:tcPr>
          <w:p w14:paraId="613B51D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3BC0B20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Испания </w:t>
            </w:r>
          </w:p>
        </w:tc>
        <w:tc>
          <w:tcPr>
            <w:tcW w:w="724" w:type="dxa"/>
          </w:tcPr>
          <w:p w14:paraId="6A79899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29 </w:t>
            </w:r>
          </w:p>
        </w:tc>
        <w:tc>
          <w:tcPr>
            <w:tcW w:w="416" w:type="dxa"/>
          </w:tcPr>
          <w:p w14:paraId="53A0F6D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6129A54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Естония</w:t>
            </w:r>
          </w:p>
        </w:tc>
      </w:tr>
      <w:tr w:rsidR="00271FA2" w:rsidRPr="00A013E1" w14:paraId="2A5A0FDD" w14:textId="77777777">
        <w:trPr>
          <w:jc w:val="center"/>
        </w:trPr>
        <w:tc>
          <w:tcPr>
            <w:tcW w:w="720" w:type="dxa"/>
          </w:tcPr>
          <w:p w14:paraId="7E5539A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11 </w:t>
            </w:r>
          </w:p>
        </w:tc>
        <w:tc>
          <w:tcPr>
            <w:tcW w:w="360" w:type="dxa"/>
          </w:tcPr>
          <w:p w14:paraId="269106D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24C06436"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Обединено кралство</w:t>
            </w:r>
          </w:p>
        </w:tc>
        <w:tc>
          <w:tcPr>
            <w:tcW w:w="724" w:type="dxa"/>
          </w:tcPr>
          <w:p w14:paraId="03D139F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32 </w:t>
            </w:r>
          </w:p>
        </w:tc>
        <w:tc>
          <w:tcPr>
            <w:tcW w:w="416" w:type="dxa"/>
          </w:tcPr>
          <w:p w14:paraId="0CAA9EF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08A12D7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Латвия</w:t>
            </w:r>
          </w:p>
        </w:tc>
      </w:tr>
      <w:tr w:rsidR="00271FA2" w:rsidRPr="00A013E1" w14:paraId="052EA4E4" w14:textId="77777777">
        <w:trPr>
          <w:jc w:val="center"/>
        </w:trPr>
        <w:tc>
          <w:tcPr>
            <w:tcW w:w="720" w:type="dxa"/>
          </w:tcPr>
          <w:p w14:paraId="5C1F5EC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12 </w:t>
            </w:r>
          </w:p>
        </w:tc>
        <w:tc>
          <w:tcPr>
            <w:tcW w:w="360" w:type="dxa"/>
          </w:tcPr>
          <w:p w14:paraId="3A8331A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5614090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Австрия</w:t>
            </w:r>
          </w:p>
        </w:tc>
        <w:tc>
          <w:tcPr>
            <w:tcW w:w="724" w:type="dxa"/>
          </w:tcPr>
          <w:p w14:paraId="59ABA1C4"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34</w:t>
            </w:r>
          </w:p>
        </w:tc>
        <w:tc>
          <w:tcPr>
            <w:tcW w:w="416" w:type="dxa"/>
          </w:tcPr>
          <w:p w14:paraId="2869D3F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w:t>
            </w:r>
          </w:p>
        </w:tc>
        <w:tc>
          <w:tcPr>
            <w:tcW w:w="2205" w:type="dxa"/>
          </w:tcPr>
          <w:p w14:paraId="7EF4821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България</w:t>
            </w:r>
          </w:p>
        </w:tc>
      </w:tr>
      <w:tr w:rsidR="00271FA2" w:rsidRPr="00A013E1" w14:paraId="5F1F71BC" w14:textId="77777777">
        <w:trPr>
          <w:jc w:val="center"/>
        </w:trPr>
        <w:tc>
          <w:tcPr>
            <w:tcW w:w="720" w:type="dxa"/>
          </w:tcPr>
          <w:p w14:paraId="697862B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13 </w:t>
            </w:r>
          </w:p>
        </w:tc>
        <w:tc>
          <w:tcPr>
            <w:tcW w:w="360" w:type="dxa"/>
          </w:tcPr>
          <w:p w14:paraId="4A7006E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46C5D8D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Люксембург </w:t>
            </w:r>
          </w:p>
        </w:tc>
        <w:tc>
          <w:tcPr>
            <w:tcW w:w="724" w:type="dxa"/>
          </w:tcPr>
          <w:p w14:paraId="2F1D3CF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36 </w:t>
            </w:r>
          </w:p>
        </w:tc>
        <w:tc>
          <w:tcPr>
            <w:tcW w:w="416" w:type="dxa"/>
          </w:tcPr>
          <w:p w14:paraId="0FB805A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21BCB2AE"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Литва</w:t>
            </w:r>
          </w:p>
        </w:tc>
      </w:tr>
      <w:tr w:rsidR="00271FA2" w:rsidRPr="00A013E1" w14:paraId="7E2630C3" w14:textId="77777777">
        <w:trPr>
          <w:jc w:val="center"/>
        </w:trPr>
        <w:tc>
          <w:tcPr>
            <w:tcW w:w="720" w:type="dxa"/>
          </w:tcPr>
          <w:p w14:paraId="545B1FC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14</w:t>
            </w:r>
          </w:p>
        </w:tc>
        <w:tc>
          <w:tcPr>
            <w:tcW w:w="360" w:type="dxa"/>
          </w:tcPr>
          <w:p w14:paraId="46DFC18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111051E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Швейцария</w:t>
            </w:r>
          </w:p>
        </w:tc>
        <w:tc>
          <w:tcPr>
            <w:tcW w:w="724" w:type="dxa"/>
          </w:tcPr>
          <w:p w14:paraId="3A21E58D"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49 </w:t>
            </w:r>
          </w:p>
        </w:tc>
        <w:tc>
          <w:tcPr>
            <w:tcW w:w="416" w:type="dxa"/>
          </w:tcPr>
          <w:p w14:paraId="417030A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08068B9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Кипър</w:t>
            </w:r>
          </w:p>
        </w:tc>
      </w:tr>
      <w:tr w:rsidR="00271FA2" w:rsidRPr="00A013E1" w14:paraId="10835466" w14:textId="77777777">
        <w:trPr>
          <w:jc w:val="center"/>
        </w:trPr>
        <w:tc>
          <w:tcPr>
            <w:tcW w:w="720" w:type="dxa"/>
          </w:tcPr>
          <w:p w14:paraId="1A29B44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17 </w:t>
            </w:r>
          </w:p>
        </w:tc>
        <w:tc>
          <w:tcPr>
            <w:tcW w:w="360" w:type="dxa"/>
          </w:tcPr>
          <w:p w14:paraId="4CF6095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15D150F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Финландия</w:t>
            </w:r>
          </w:p>
        </w:tc>
        <w:tc>
          <w:tcPr>
            <w:tcW w:w="724" w:type="dxa"/>
          </w:tcPr>
          <w:p w14:paraId="1A1C892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50 </w:t>
            </w:r>
          </w:p>
        </w:tc>
        <w:tc>
          <w:tcPr>
            <w:tcW w:w="416" w:type="dxa"/>
          </w:tcPr>
          <w:p w14:paraId="53C53F3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51179386"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Малта</w:t>
            </w:r>
          </w:p>
        </w:tc>
      </w:tr>
      <w:tr w:rsidR="00271FA2" w:rsidRPr="00A013E1" w14:paraId="65B1FA57" w14:textId="77777777">
        <w:trPr>
          <w:jc w:val="center"/>
        </w:trPr>
        <w:tc>
          <w:tcPr>
            <w:tcW w:w="720" w:type="dxa"/>
          </w:tcPr>
          <w:p w14:paraId="194982EE"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18 </w:t>
            </w:r>
          </w:p>
        </w:tc>
        <w:tc>
          <w:tcPr>
            <w:tcW w:w="360" w:type="dxa"/>
          </w:tcPr>
          <w:p w14:paraId="3430AEF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4AB41C2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Дания </w:t>
            </w:r>
          </w:p>
        </w:tc>
        <w:tc>
          <w:tcPr>
            <w:tcW w:w="724" w:type="dxa"/>
          </w:tcPr>
          <w:p w14:paraId="7AA904BE" w14:textId="77777777" w:rsidR="00271FA2" w:rsidRPr="00A013E1" w:rsidRDefault="00271FA2">
            <w:pPr>
              <w:spacing w:line="240" w:lineRule="atLeast"/>
              <w:rPr>
                <w:rFonts w:ascii="Times New Roman" w:hAnsi="Times New Roman" w:cs="Times New Roman"/>
                <w:szCs w:val="20"/>
              </w:rPr>
            </w:pPr>
          </w:p>
        </w:tc>
        <w:tc>
          <w:tcPr>
            <w:tcW w:w="416" w:type="dxa"/>
          </w:tcPr>
          <w:p w14:paraId="4127E18A" w14:textId="77777777" w:rsidR="00271FA2" w:rsidRPr="00A013E1" w:rsidRDefault="00271FA2">
            <w:pPr>
              <w:spacing w:line="240" w:lineRule="atLeast"/>
              <w:rPr>
                <w:rFonts w:ascii="Times New Roman" w:hAnsi="Times New Roman" w:cs="Times New Roman"/>
                <w:szCs w:val="20"/>
              </w:rPr>
            </w:pPr>
          </w:p>
        </w:tc>
        <w:tc>
          <w:tcPr>
            <w:tcW w:w="2205" w:type="dxa"/>
          </w:tcPr>
          <w:p w14:paraId="32042FFE" w14:textId="77777777" w:rsidR="00271FA2" w:rsidRPr="00A013E1" w:rsidRDefault="00271FA2">
            <w:pPr>
              <w:spacing w:line="240" w:lineRule="atLeast"/>
              <w:rPr>
                <w:rFonts w:ascii="Times New Roman" w:hAnsi="Times New Roman" w:cs="Times New Roman"/>
                <w:szCs w:val="20"/>
              </w:rPr>
            </w:pPr>
          </w:p>
        </w:tc>
      </w:tr>
    </w:tbl>
    <w:p w14:paraId="77DDB7FD" w14:textId="77777777" w:rsidR="00271FA2" w:rsidRPr="00A013E1" w:rsidRDefault="00271FA2">
      <w:pPr>
        <w:tabs>
          <w:tab w:val="left" w:pos="993"/>
        </w:tabs>
        <w:spacing w:line="240" w:lineRule="atLeast"/>
        <w:rPr>
          <w:rFonts w:ascii="Times New Roman" w:hAnsi="Times New Roman" w:cs="Times New Roman"/>
        </w:rPr>
      </w:pPr>
    </w:p>
    <w:p w14:paraId="0FE863B1" w14:textId="77777777" w:rsidR="00271FA2" w:rsidRPr="00A013E1" w:rsidRDefault="00D35E51" w:rsidP="007E1BE1">
      <w:pPr>
        <w:tabs>
          <w:tab w:val="left" w:pos="993"/>
        </w:tabs>
        <w:spacing w:line="240" w:lineRule="atLeast"/>
        <w:ind w:left="1418" w:hanging="851"/>
        <w:rPr>
          <w:rFonts w:ascii="Times New Roman" w:hAnsi="Times New Roman" w:cs="Times New Roman"/>
          <w:lang w:val="ru-RU"/>
        </w:rPr>
      </w:pPr>
      <w:r w:rsidRPr="00A013E1">
        <w:rPr>
          <w:rFonts w:ascii="Times New Roman" w:hAnsi="Times New Roman" w:cs="Times New Roman"/>
        </w:rPr>
        <w:t>NNN</w:t>
      </w:r>
      <w:r w:rsidRPr="00A013E1">
        <w:rPr>
          <w:rFonts w:ascii="Times New Roman" w:hAnsi="Times New Roman" w:cs="Times New Roman"/>
          <w:lang w:val="ru-RU"/>
        </w:rPr>
        <w:tab/>
        <w:t>=</w:t>
      </w:r>
      <w:r w:rsidRPr="00A013E1">
        <w:rPr>
          <w:rFonts w:ascii="Times New Roman" w:hAnsi="Times New Roman" w:cs="Times New Roman"/>
          <w:lang w:val="ru-RU"/>
        </w:rPr>
        <w:tab/>
        <w:t>трицифрен номер, който се определя от компетентния орган.</w:t>
      </w:r>
    </w:p>
    <w:p w14:paraId="61453DAA" w14:textId="77777777" w:rsidR="00271FA2" w:rsidRPr="00A013E1" w:rsidRDefault="00D35E51" w:rsidP="00362CF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Номерът на одобрението на типа се използва само във връзка със съответното одобрение на типа. </w:t>
      </w:r>
    </w:p>
    <w:p w14:paraId="385B7DB9" w14:textId="77777777" w:rsidR="00271FA2" w:rsidRPr="00A013E1" w:rsidRDefault="00D35E51" w:rsidP="00362CF1">
      <w:pPr>
        <w:spacing w:after="240" w:line="240" w:lineRule="atLeast"/>
        <w:ind w:left="426" w:firstLine="141"/>
        <w:jc w:val="both"/>
        <w:rPr>
          <w:rFonts w:ascii="Times New Roman" w:hAnsi="Times New Roman" w:cs="Times New Roman"/>
          <w:lang w:val="ru-RU"/>
        </w:rPr>
      </w:pPr>
      <w:r w:rsidRPr="00A013E1">
        <w:rPr>
          <w:rFonts w:ascii="Times New Roman" w:hAnsi="Times New Roman" w:cs="Times New Roman"/>
          <w:lang w:val="ru-RU"/>
        </w:rPr>
        <w:t>Задължение на заявителя е да произведе и прикрепи номера на одобрение на типа.</w:t>
      </w:r>
    </w:p>
    <w:p w14:paraId="28F2E951" w14:textId="77777777" w:rsidR="00271FA2" w:rsidRPr="00A013E1" w:rsidRDefault="00D35E51" w:rsidP="00362CF1">
      <w:pPr>
        <w:spacing w:after="240" w:line="240" w:lineRule="atLeast"/>
        <w:ind w:hanging="851"/>
        <w:jc w:val="center"/>
        <w:rPr>
          <w:rFonts w:ascii="Times New Roman" w:hAnsi="Times New Roman" w:cs="Times New Roman"/>
          <w:i/>
          <w:lang w:val="ru-RU"/>
        </w:rPr>
      </w:pPr>
      <w:r w:rsidRPr="00A013E1">
        <w:rPr>
          <w:rFonts w:ascii="Times New Roman" w:hAnsi="Times New Roman" w:cs="Times New Roman"/>
          <w:b/>
          <w:lang w:val="ru-RU"/>
        </w:rPr>
        <w:t>Член 8</w:t>
      </w:r>
      <w:r w:rsidRPr="00A013E1">
        <w:rPr>
          <w:rFonts w:ascii="Times New Roman" w:hAnsi="Times New Roman" w:cs="Times New Roman"/>
          <w:b/>
          <w:lang w:val="ru-RU"/>
        </w:rPr>
        <w:br/>
      </w:r>
      <w:r w:rsidRPr="00A013E1">
        <w:rPr>
          <w:rFonts w:ascii="Times New Roman" w:hAnsi="Times New Roman" w:cs="Times New Roman"/>
          <w:i/>
          <w:lang w:val="ru-RU"/>
        </w:rPr>
        <w:t>Декларация на производителя</w:t>
      </w:r>
    </w:p>
    <w:p w14:paraId="09ED8A5E" w14:textId="77777777" w:rsidR="00271FA2" w:rsidRPr="00A013E1" w:rsidRDefault="00D35E51" w:rsidP="00362CF1">
      <w:pPr>
        <w:tabs>
          <w:tab w:val="left" w:leader="dot" w:pos="9072"/>
        </w:tabs>
        <w:spacing w:after="240" w:line="240" w:lineRule="atLeast"/>
        <w:rPr>
          <w:rFonts w:ascii="Times New Roman" w:hAnsi="Times New Roman" w:cs="Times New Roman"/>
          <w:lang w:val="ru-RU"/>
        </w:rPr>
      </w:pPr>
      <w:r w:rsidRPr="00A013E1">
        <w:rPr>
          <w:rFonts w:ascii="Times New Roman" w:hAnsi="Times New Roman" w:cs="Times New Roman"/>
          <w:lang w:val="ru-RU"/>
        </w:rPr>
        <w:t>Всяка единица оборудване се придружава от декларация на производителя.</w:t>
      </w:r>
    </w:p>
    <w:p w14:paraId="78E1E5A0" w14:textId="77777777" w:rsidR="00271FA2" w:rsidRPr="00A013E1" w:rsidRDefault="00D35E51" w:rsidP="00362CF1">
      <w:pPr>
        <w:spacing w:after="240" w:line="240" w:lineRule="atLeast"/>
        <w:jc w:val="center"/>
        <w:rPr>
          <w:rFonts w:ascii="Times New Roman" w:hAnsi="Times New Roman" w:cs="Times New Roman"/>
          <w:i/>
          <w:lang w:val="ru-RU"/>
        </w:rPr>
      </w:pPr>
      <w:r w:rsidRPr="00A013E1">
        <w:rPr>
          <w:rFonts w:ascii="Times New Roman" w:hAnsi="Times New Roman" w:cs="Times New Roman"/>
          <w:b/>
          <w:lang w:val="ru-RU"/>
        </w:rPr>
        <w:t>Член 9</w:t>
      </w:r>
      <w:r w:rsidRPr="00A013E1">
        <w:rPr>
          <w:rFonts w:ascii="Times New Roman" w:hAnsi="Times New Roman" w:cs="Times New Roman"/>
          <w:b/>
          <w:lang w:val="ru-RU"/>
        </w:rPr>
        <w:br/>
      </w:r>
      <w:r w:rsidRPr="00A013E1">
        <w:rPr>
          <w:rFonts w:ascii="Times New Roman" w:hAnsi="Times New Roman" w:cs="Times New Roman"/>
          <w:i/>
          <w:lang w:val="ru-RU"/>
        </w:rPr>
        <w:t>Изменения на оборудване с одобрен тип</w:t>
      </w:r>
    </w:p>
    <w:p w14:paraId="0D333525" w14:textId="77777777" w:rsidR="00271FA2" w:rsidRPr="00A013E1" w:rsidRDefault="00D35E51" w:rsidP="00362CF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lastRenderedPageBreak/>
        <w:t>1.</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Всякакви изменения, внесени в оборудване, което вече е одобрено, водят до анулиране на одобрението на типа. </w:t>
      </w:r>
    </w:p>
    <w:p w14:paraId="008A9666" w14:textId="77777777" w:rsidR="00271FA2" w:rsidRPr="00A013E1" w:rsidRDefault="00D35E51" w:rsidP="009B656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Когато се планират изменения, данните се представят в писмена форма на компетентната техническа служба.</w:t>
      </w:r>
    </w:p>
    <w:p w14:paraId="5FB8853E" w14:textId="68185708" w:rsidR="00271FA2" w:rsidRPr="00A013E1" w:rsidRDefault="00D35E51" w:rsidP="00362CF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Компетентният орган </w:t>
      </w:r>
      <w:r w:rsidR="0033395A" w:rsidRPr="00A013E1">
        <w:rPr>
          <w:rFonts w:ascii="Times New Roman" w:hAnsi="Times New Roman" w:cs="Times New Roman"/>
          <w:color w:val="000000"/>
          <w:lang w:val="ru-RU"/>
        </w:rPr>
        <w:t xml:space="preserve">за типовото одобрение </w:t>
      </w:r>
      <w:r w:rsidRPr="00A013E1">
        <w:rPr>
          <w:rFonts w:ascii="Times New Roman" w:hAnsi="Times New Roman" w:cs="Times New Roman"/>
          <w:color w:val="000000"/>
          <w:lang w:val="ru-RU"/>
        </w:rPr>
        <w:t xml:space="preserve">решава, след консултации с техническата служба, дали одобрението на типа остава валидно, или </w:t>
      </w:r>
      <w:r w:rsidR="0033395A" w:rsidRPr="00A013E1">
        <w:rPr>
          <w:rFonts w:ascii="Times New Roman" w:hAnsi="Times New Roman" w:cs="Times New Roman"/>
          <w:color w:val="000000"/>
          <w:lang w:val="ru-RU"/>
        </w:rPr>
        <w:t>е не</w:t>
      </w:r>
      <w:r w:rsidR="000A46C2" w:rsidRPr="00A013E1">
        <w:rPr>
          <w:rFonts w:ascii="Times New Roman" w:hAnsi="Times New Roman" w:cs="Times New Roman"/>
          <w:color w:val="000000"/>
          <w:lang w:val="ru-RU"/>
        </w:rPr>
        <w:t>о</w:t>
      </w:r>
      <w:r w:rsidR="0033395A" w:rsidRPr="00A013E1">
        <w:rPr>
          <w:rFonts w:ascii="Times New Roman" w:hAnsi="Times New Roman" w:cs="Times New Roman"/>
          <w:color w:val="000000"/>
          <w:lang w:val="ru-RU"/>
        </w:rPr>
        <w:t>ходима</w:t>
      </w:r>
      <w:r w:rsidRPr="00A013E1">
        <w:rPr>
          <w:rFonts w:ascii="Times New Roman" w:hAnsi="Times New Roman" w:cs="Times New Roman"/>
          <w:color w:val="000000"/>
          <w:lang w:val="ru-RU"/>
        </w:rPr>
        <w:t xml:space="preserve"> проверка или </w:t>
      </w:r>
      <w:r w:rsidR="004C52FF" w:rsidRPr="00A013E1">
        <w:rPr>
          <w:rFonts w:ascii="Times New Roman" w:hAnsi="Times New Roman" w:cs="Times New Roman"/>
          <w:color w:val="000000"/>
          <w:lang w:val="ru-RU"/>
        </w:rPr>
        <w:t xml:space="preserve"> </w:t>
      </w:r>
      <w:r w:rsidR="0033395A" w:rsidRPr="00A013E1">
        <w:rPr>
          <w:rFonts w:ascii="Times New Roman" w:hAnsi="Times New Roman" w:cs="Times New Roman"/>
          <w:color w:val="000000"/>
          <w:lang w:val="ru-RU"/>
        </w:rPr>
        <w:t>ново типово одобрение</w:t>
      </w:r>
    </w:p>
    <w:p w14:paraId="702AA6C4" w14:textId="660C18AC" w:rsidR="00271FA2" w:rsidRPr="00A013E1" w:rsidRDefault="00300D77" w:rsidP="00362CF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Ако бъде предоставено ново типово одобрение, се присвоява нов номер на типово одобрение.</w:t>
      </w:r>
      <w:r w:rsidR="00D35E51" w:rsidRPr="00A013E1">
        <w:rPr>
          <w:rFonts w:ascii="Times New Roman" w:hAnsi="Times New Roman" w:cs="Times New Roman"/>
          <w:lang w:val="ru-RU"/>
        </w:rPr>
        <w:br w:type="page"/>
      </w:r>
    </w:p>
    <w:p w14:paraId="2F4C938E" w14:textId="77777777" w:rsidR="00271FA2" w:rsidRPr="00A013E1" w:rsidRDefault="00D35E51" w:rsidP="004605A6">
      <w:pPr>
        <w:overflowPunct w:val="0"/>
        <w:adjustRightInd w:val="0"/>
        <w:spacing w:after="240"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lastRenderedPageBreak/>
        <w:t>Допълнение</w:t>
      </w:r>
    </w:p>
    <w:p w14:paraId="27C58D39" w14:textId="440C4849" w:rsidR="00271FA2" w:rsidRPr="00A013E1" w:rsidRDefault="00D35E51" w:rsidP="00362CF1">
      <w:pPr>
        <w:tabs>
          <w:tab w:val="left" w:pos="0"/>
          <w:tab w:val="left" w:pos="1560"/>
        </w:tabs>
        <w:suppressAutoHyphens/>
        <w:spacing w:line="240" w:lineRule="atLeast"/>
        <w:ind w:left="1560" w:hanging="1276"/>
        <w:jc w:val="both"/>
        <w:rPr>
          <w:rFonts w:ascii="Times New Roman" w:hAnsi="Times New Roman" w:cs="Times New Roman"/>
          <w:b/>
          <w:szCs w:val="20"/>
          <w:lang w:val="ru-RU"/>
        </w:rPr>
      </w:pPr>
      <w:r w:rsidRPr="00A013E1">
        <w:rPr>
          <w:rFonts w:ascii="Times New Roman" w:hAnsi="Times New Roman" w:cs="Times New Roman"/>
          <w:b/>
          <w:lang w:val="ru-RU"/>
        </w:rPr>
        <w:t>Фигура1:</w:t>
      </w:r>
      <w:r w:rsidR="00362CF1" w:rsidRPr="00A013E1">
        <w:rPr>
          <w:rFonts w:ascii="Times New Roman" w:hAnsi="Times New Roman" w:cs="Times New Roman"/>
          <w:b/>
          <w:lang w:val="ru-RU"/>
        </w:rPr>
        <w:t xml:space="preserve"> </w:t>
      </w:r>
      <w:r w:rsidRPr="00A013E1">
        <w:rPr>
          <w:rFonts w:ascii="Times New Roman" w:hAnsi="Times New Roman" w:cs="Times New Roman"/>
          <w:b/>
        </w:rPr>
        <w:t>ECDIS</w:t>
      </w:r>
      <w:r w:rsidRPr="00A013E1">
        <w:rPr>
          <w:rFonts w:ascii="Times New Roman" w:hAnsi="Times New Roman" w:cs="Times New Roman"/>
          <w:b/>
          <w:lang w:val="ru-RU"/>
        </w:rPr>
        <w:t xml:space="preserve"> оборудване за вътрешно корабоплаване, самостоятелно оборудване, свързано с радиолокационно оборудване (конфигурация на системата</w:t>
      </w:r>
      <w:r w:rsidRPr="00A013E1">
        <w:rPr>
          <w:rFonts w:ascii="Times New Roman" w:hAnsi="Times New Roman" w:cs="Times New Roman"/>
          <w:b/>
        </w:rPr>
        <w:t> </w:t>
      </w:r>
      <w:r w:rsidRPr="00A013E1">
        <w:rPr>
          <w:rFonts w:ascii="Times New Roman" w:hAnsi="Times New Roman" w:cs="Times New Roman"/>
          <w:b/>
          <w:lang w:val="ru-RU"/>
        </w:rPr>
        <w:t>2)</w:t>
      </w:r>
    </w:p>
    <w:p w14:paraId="61929C75" w14:textId="77777777" w:rsidR="00271FA2" w:rsidRPr="00A013E1" w:rsidRDefault="00D35E51">
      <w:pPr>
        <w:tabs>
          <w:tab w:val="left" w:pos="0"/>
        </w:tabs>
        <w:suppressAutoHyphens/>
        <w:spacing w:line="240" w:lineRule="atLeast"/>
        <w:ind w:left="993" w:hanging="709"/>
        <w:rPr>
          <w:rFonts w:ascii="Times New Roman" w:hAnsi="Times New Roman" w:cs="Times New Roman"/>
          <w:b/>
          <w:i/>
          <w:sz w:val="18"/>
        </w:rPr>
      </w:pPr>
      <w:r w:rsidRPr="00A013E1">
        <w:rPr>
          <w:rFonts w:ascii="Times New Roman" w:hAnsi="Times New Roman" w:cs="Times New Roman"/>
          <w:noProof/>
          <w:lang w:eastAsia="bg-BG"/>
        </w:rPr>
        <mc:AlternateContent>
          <mc:Choice Requires="wps">
            <w:drawing>
              <wp:anchor distT="0" distB="0" distL="114300" distR="114300" simplePos="0" relativeHeight="251679744" behindDoc="0" locked="0" layoutInCell="1" allowOverlap="1" wp14:anchorId="6B104BE2" wp14:editId="6B3C197B">
                <wp:simplePos x="0" y="0"/>
                <wp:positionH relativeFrom="column">
                  <wp:posOffset>252095</wp:posOffset>
                </wp:positionH>
                <wp:positionV relativeFrom="paragraph">
                  <wp:posOffset>130175</wp:posOffset>
                </wp:positionV>
                <wp:extent cx="2333625" cy="3438525"/>
                <wp:effectExtent l="0" t="0" r="9525" b="9525"/>
                <wp:wrapNone/>
                <wp:docPr id="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3438525"/>
                        </a:xfrm>
                        <a:prstGeom prst="rect">
                          <a:avLst/>
                        </a:prstGeom>
                        <a:noFill/>
                        <a:ln w="25400">
                          <a:solidFill>
                            <a:srgbClr val="F79646"/>
                          </a:solidFill>
                          <a:prstDash val="dash"/>
                          <a:miter lim="800000"/>
                        </a:ln>
                      </wps:spPr>
                      <wps:bodyPr rot="0" vert="horz" wrap="square" lIns="91440" tIns="45720" rIns="91440" bIns="45720" anchor="ctr" anchorCtr="0" upright="1">
                        <a:noAutofit/>
                      </wps:bodyPr>
                    </wps:wsp>
                  </a:graphicData>
                </a:graphic>
              </wp:anchor>
            </w:drawing>
          </mc:Choice>
          <mc:Fallback xmlns:wpsCustomData="http://www.wps.cn/officeDocument/2013/wpsCustomData">
            <w:pict>
              <v:rect id="Rectangle 4" o:spid="_x0000_s1026" o:spt="1" style="position:absolute;left:0pt;margin-left:19.85pt;margin-top:10.25pt;height:270.75pt;width:183.75pt;z-index:251679744;v-text-anchor:middle;mso-width-relative:page;mso-height-relative:page;" filled="f" stroked="t" coordsize="21600,21600" o:gfxdata="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B6sat2gAAAAkBAAAPAAAAAAAAAAEAIAAAACIAAABkcnMvZG93&#10;bnJldi54bWxQSwECFAAUAAAACACHTuJAyJE7JDcCAABmBAAADgAAAAAAAAABACAAAAApAQAAZHJz&#10;L2Uyb0RvYy54bWxQSwUGAAAAAAYABgBZAQAA0gUAAAAA&#10;">
                <v:fill on="f" focussize="0,0"/>
                <v:stroke weight="2pt" color="#F79646" miterlimit="8" joinstyle="miter" dashstyle="dash"/>
                <v:imagedata o:title=""/>
                <o:lock v:ext="edit" aspectratio="f"/>
              </v:rect>
            </w:pict>
          </mc:Fallback>
        </mc:AlternateContent>
      </w:r>
      <w:r w:rsidRPr="00A013E1">
        <w:rPr>
          <w:rFonts w:ascii="Times New Roman" w:hAnsi="Times New Roman" w:cs="Times New Roman"/>
          <w:b/>
          <w:i/>
          <w:noProof/>
          <w:sz w:val="18"/>
          <w:lang w:eastAsia="bg-BG"/>
        </w:rPr>
        <w:drawing>
          <wp:inline distT="0" distB="0" distL="0" distR="0" wp14:anchorId="7BAA719A" wp14:editId="54D50CC4">
            <wp:extent cx="5362575" cy="3912870"/>
            <wp:effectExtent l="0" t="0" r="0" b="0"/>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 29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5367317" cy="3916769"/>
                    </a:xfrm>
                    <a:prstGeom prst="rect">
                      <a:avLst/>
                    </a:prstGeom>
                    <a:noFill/>
                  </pic:spPr>
                </pic:pic>
              </a:graphicData>
            </a:graphic>
          </wp:inline>
        </w:drawing>
      </w:r>
    </w:p>
    <w:p w14:paraId="50891AB5" w14:textId="7CA51DB6" w:rsidR="00271FA2" w:rsidRPr="00A013E1" w:rsidRDefault="00D35E51" w:rsidP="004605A6">
      <w:pPr>
        <w:tabs>
          <w:tab w:val="left" w:pos="0"/>
        </w:tabs>
        <w:suppressAutoHyphens/>
        <w:spacing w:line="240" w:lineRule="atLeast"/>
        <w:ind w:left="1560" w:hanging="1276"/>
        <w:jc w:val="both"/>
        <w:rPr>
          <w:rFonts w:ascii="Times New Roman" w:hAnsi="Times New Roman" w:cs="Times New Roman"/>
          <w:b/>
          <w:szCs w:val="20"/>
          <w:lang w:val="ru-RU"/>
        </w:rPr>
      </w:pPr>
      <w:r w:rsidRPr="00A013E1">
        <w:rPr>
          <w:rFonts w:ascii="Times New Roman" w:hAnsi="Times New Roman" w:cs="Times New Roman"/>
          <w:b/>
          <w:lang w:val="ru-RU"/>
        </w:rPr>
        <w:t>Фигура2:</w:t>
      </w:r>
      <w:r w:rsidR="004605A6" w:rsidRPr="00A013E1">
        <w:rPr>
          <w:rFonts w:ascii="Times New Roman" w:hAnsi="Times New Roman" w:cs="Times New Roman"/>
          <w:b/>
          <w:lang w:val="ru-RU"/>
        </w:rPr>
        <w:tab/>
      </w:r>
      <w:r w:rsidRPr="00A013E1">
        <w:rPr>
          <w:rFonts w:ascii="Times New Roman" w:hAnsi="Times New Roman" w:cs="Times New Roman"/>
          <w:b/>
        </w:rPr>
        <w:t>ECDIS</w:t>
      </w:r>
      <w:r w:rsidRPr="00A013E1">
        <w:rPr>
          <w:rFonts w:ascii="Times New Roman" w:hAnsi="Times New Roman" w:cs="Times New Roman"/>
          <w:b/>
          <w:lang w:val="ru-RU"/>
        </w:rPr>
        <w:t xml:space="preserve"> оборудване за вътрешно корабоплаване, самостоятелно оборудване, свързано с радиолокатор и общ монитор (конфигурация на системата 3)</w:t>
      </w:r>
    </w:p>
    <w:p w14:paraId="401207ED" w14:textId="77777777" w:rsidR="00271FA2" w:rsidRPr="00A013E1" w:rsidRDefault="00D35E51">
      <w:pPr>
        <w:tabs>
          <w:tab w:val="left" w:pos="0"/>
        </w:tabs>
        <w:suppressAutoHyphens/>
        <w:spacing w:line="240" w:lineRule="atLeast"/>
        <w:ind w:left="993" w:hanging="709"/>
        <w:rPr>
          <w:rFonts w:ascii="Times New Roman" w:hAnsi="Times New Roman" w:cs="Times New Roman"/>
          <w:b/>
          <w:i/>
          <w:sz w:val="18"/>
          <w:szCs w:val="18"/>
        </w:rPr>
      </w:pPr>
      <w:r w:rsidRPr="00A013E1">
        <w:rPr>
          <w:rFonts w:ascii="Times New Roman" w:hAnsi="Times New Roman" w:cs="Times New Roman"/>
          <w:noProof/>
          <w:lang w:eastAsia="bg-BG"/>
        </w:rPr>
        <mc:AlternateContent>
          <mc:Choice Requires="wps">
            <w:drawing>
              <wp:anchor distT="0" distB="0" distL="114300" distR="114300" simplePos="0" relativeHeight="251680768" behindDoc="0" locked="0" layoutInCell="1" allowOverlap="1" wp14:anchorId="0C57A3BB" wp14:editId="1930FF53">
                <wp:simplePos x="0" y="0"/>
                <wp:positionH relativeFrom="column">
                  <wp:posOffset>213995</wp:posOffset>
                </wp:positionH>
                <wp:positionV relativeFrom="paragraph">
                  <wp:posOffset>84455</wp:posOffset>
                </wp:positionV>
                <wp:extent cx="2133600" cy="2867025"/>
                <wp:effectExtent l="0" t="0" r="0" b="9525"/>
                <wp:wrapNone/>
                <wp:docPr id="57" name="Rectangle 5"/>
                <wp:cNvGraphicFramePr/>
                <a:graphic xmlns:a="http://schemas.openxmlformats.org/drawingml/2006/main">
                  <a:graphicData uri="http://schemas.microsoft.com/office/word/2010/wordprocessingShape">
                    <wps:wsp>
                      <wps:cNvSpPr/>
                      <wps:spPr bwMode="auto">
                        <a:xfrm>
                          <a:off x="0" y="0"/>
                          <a:ext cx="2133600" cy="2867025"/>
                        </a:xfrm>
                        <a:custGeom>
                          <a:avLst/>
                          <a:gdLst>
                            <a:gd name="T0" fmla="*/ 0 w 2019300"/>
                            <a:gd name="T1" fmla="*/ 1466850 h 2867025"/>
                            <a:gd name="T2" fmla="*/ 0 w 2019300"/>
                            <a:gd name="T3" fmla="*/ 0 h 2867025"/>
                            <a:gd name="T4" fmla="*/ 781050 w 2019300"/>
                            <a:gd name="T5" fmla="*/ 0 h 2867025"/>
                            <a:gd name="T6" fmla="*/ 771525 w 2019300"/>
                            <a:gd name="T7" fmla="*/ 1457325 h 2867025"/>
                            <a:gd name="T8" fmla="*/ 2019300 w 2019300"/>
                            <a:gd name="T9" fmla="*/ 1466850 h 2867025"/>
                            <a:gd name="T10" fmla="*/ 2019300 w 2019300"/>
                            <a:gd name="T11" fmla="*/ 2867025 h 2867025"/>
                            <a:gd name="T12" fmla="*/ 0 w 2019300"/>
                            <a:gd name="T13" fmla="*/ 2867025 h 2867025"/>
                            <a:gd name="T14" fmla="*/ 0 w 2019300"/>
                            <a:gd name="T15" fmla="*/ 1466850 h 286702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019300" h="2867025">
                              <a:moveTo>
                                <a:pt x="0" y="1466850"/>
                              </a:moveTo>
                              <a:lnTo>
                                <a:pt x="0" y="0"/>
                              </a:lnTo>
                              <a:lnTo>
                                <a:pt x="781050" y="0"/>
                              </a:lnTo>
                              <a:lnTo>
                                <a:pt x="771525" y="1457325"/>
                              </a:lnTo>
                              <a:lnTo>
                                <a:pt x="2019300" y="1466850"/>
                              </a:lnTo>
                              <a:lnTo>
                                <a:pt x="2019300" y="2867025"/>
                              </a:lnTo>
                              <a:lnTo>
                                <a:pt x="0" y="2867025"/>
                              </a:lnTo>
                              <a:lnTo>
                                <a:pt x="0" y="1466850"/>
                              </a:lnTo>
                              <a:close/>
                            </a:path>
                          </a:pathLst>
                        </a:custGeom>
                        <a:noFill/>
                        <a:ln w="25400">
                          <a:solidFill>
                            <a:srgbClr val="F79646"/>
                          </a:solidFill>
                          <a:prstDash val="dash"/>
                          <a:round/>
                        </a:ln>
                      </wps:spPr>
                      <wps:bodyPr rot="0" vert="horz" wrap="square" lIns="91440" tIns="45720" rIns="91440" bIns="45720" anchor="ctr" anchorCtr="0" upright="1">
                        <a:noAutofit/>
                      </wps:bodyPr>
                    </wps:wsp>
                  </a:graphicData>
                </a:graphic>
              </wp:anchor>
            </w:drawing>
          </mc:Choice>
          <mc:Fallback xmlns:wpsCustomData="http://www.wps.cn/officeDocument/2013/wpsCustomData">
            <w:pict>
              <v:shape id="Rectangle 5" o:spid="_x0000_s1026" o:spt="100" style="position:absolute;left:0pt;margin-left:16.85pt;margin-top:6.65pt;height:225.75pt;width:168pt;z-index:251680768;v-text-anchor:middle;mso-width-relative:page;mso-height-relative:page;" filled="f" stroked="t" coordsize="2019300,2867025" o:gfxdata="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" path="m0,1466850l0,0,781050,0,771525,1457325,2019300,1466850,2019300,2867025,0,2867025,0,1466850xe">
                <v:path o:connectlocs="0,1466850;0,0;825260,0;815196,1457325;2133600,1466850;2133600,2867025;0,2867025;0,1466850" o:connectangles="0,0,0,0,0,0,0,0"/>
                <v:fill on="f" focussize="0,0"/>
                <v:stroke weight="2pt" color="#F79646" joinstyle="round" dashstyle="dash"/>
                <v:imagedata o:title=""/>
                <o:lock v:ext="edit" aspectratio="f"/>
              </v:shape>
            </w:pict>
          </mc:Fallback>
        </mc:AlternateContent>
      </w:r>
      <w:r w:rsidRPr="00A013E1">
        <w:rPr>
          <w:rFonts w:ascii="Times New Roman" w:hAnsi="Times New Roman" w:cs="Times New Roman"/>
          <w:b/>
          <w:i/>
          <w:noProof/>
          <w:sz w:val="18"/>
          <w:szCs w:val="18"/>
          <w:lang w:eastAsia="bg-BG"/>
        </w:rPr>
        <w:drawing>
          <wp:inline distT="0" distB="0" distL="0" distR="0" wp14:anchorId="07BFC416" wp14:editId="62D2248E">
            <wp:extent cx="5362575" cy="3005455"/>
            <wp:effectExtent l="0" t="0" r="0" b="4445"/>
            <wp:docPr id="292" name="Ima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 29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5362939" cy="3006111"/>
                    </a:xfrm>
                    <a:prstGeom prst="rect">
                      <a:avLst/>
                    </a:prstGeom>
                    <a:noFill/>
                  </pic:spPr>
                </pic:pic>
              </a:graphicData>
            </a:graphic>
          </wp:inline>
        </w:drawing>
      </w:r>
    </w:p>
    <w:p w14:paraId="01A93C6E" w14:textId="4134F71C" w:rsidR="00271FA2" w:rsidRPr="00A013E1" w:rsidRDefault="00D35E51" w:rsidP="000767C8">
      <w:pPr>
        <w:adjustRightInd w:val="0"/>
        <w:spacing w:line="240" w:lineRule="atLeast"/>
        <w:jc w:val="center"/>
        <w:rPr>
          <w:rFonts w:ascii="Times New Roman" w:hAnsi="Times New Roman" w:cs="Times New Roman"/>
        </w:rPr>
      </w:pPr>
      <w:r w:rsidRPr="00A013E1">
        <w:rPr>
          <w:rFonts w:ascii="Times New Roman" w:hAnsi="Times New Roman" w:cs="Times New Roman"/>
          <w:noProof/>
          <w:lang w:eastAsia="bg-BG"/>
        </w:rPr>
        <mc:AlternateContent>
          <mc:Choice Requires="wps">
            <w:drawing>
              <wp:anchor distT="0" distB="0" distL="114300" distR="114300" simplePos="0" relativeHeight="251678720" behindDoc="0" locked="0" layoutInCell="1" allowOverlap="1" wp14:anchorId="32D14E01" wp14:editId="22AA3DDA">
                <wp:simplePos x="0" y="0"/>
                <wp:positionH relativeFrom="column">
                  <wp:posOffset>193040</wp:posOffset>
                </wp:positionH>
                <wp:positionV relativeFrom="paragraph">
                  <wp:posOffset>122555</wp:posOffset>
                </wp:positionV>
                <wp:extent cx="1943100" cy="421005"/>
                <wp:effectExtent l="0" t="0" r="19050" b="17780"/>
                <wp:wrapNone/>
                <wp:docPr id="29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20736"/>
                        </a:xfrm>
                        <a:prstGeom prst="rect">
                          <a:avLst/>
                        </a:prstGeom>
                        <a:noFill/>
                        <a:ln w="25400">
                          <a:solidFill>
                            <a:srgbClr val="F79646"/>
                          </a:solidFill>
                          <a:prstDash val="dash"/>
                          <a:miter lim="800000"/>
                        </a:ln>
                      </wps:spPr>
                      <wps:txbx>
                        <w:txbxContent>
                          <w:p w14:paraId="5335AE20" w14:textId="77777777" w:rsidR="005551B9" w:rsidRPr="002F5B9C" w:rsidRDefault="005551B9">
                            <w:pPr>
                              <w:jc w:val="both"/>
                              <w:rPr>
                                <w:sz w:val="16"/>
                                <w:szCs w:val="16"/>
                                <w:lang w:val="ru-RU"/>
                              </w:rPr>
                            </w:pPr>
                            <w:r w:rsidRPr="002F5B9C">
                              <w:rPr>
                                <w:sz w:val="16"/>
                                <w:szCs w:val="16"/>
                                <w:lang w:val="ru-RU"/>
                              </w:rPr>
                              <w:t xml:space="preserve">Апаратна част на оборудване за </w:t>
                            </w:r>
                            <w:r>
                              <w:rPr>
                                <w:sz w:val="16"/>
                                <w:szCs w:val="16"/>
                              </w:rPr>
                              <w:t>AIS</w:t>
                            </w:r>
                            <w:r w:rsidRPr="002F5B9C">
                              <w:rPr>
                                <w:sz w:val="16"/>
                                <w:szCs w:val="16"/>
                                <w:lang w:val="ru-RU"/>
                              </w:rPr>
                              <w:t xml:space="preserve"> за вътрешно корабоплаване</w:t>
                            </w:r>
                          </w:p>
                        </w:txbxContent>
                      </wps:txbx>
                      <wps:bodyPr rot="0" vert="horz" wrap="square" lIns="91440" tIns="45720" rIns="91440" bIns="45720" anchor="ctr" anchorCtr="0" upright="1">
                        <a:noAutofit/>
                      </wps:bodyPr>
                    </wps:wsp>
                  </a:graphicData>
                </a:graphic>
              </wp:anchor>
            </w:drawing>
          </mc:Choice>
          <mc:Fallback>
            <w:pict>
              <v:rect w14:anchorId="32D14E01" id="Rectangle 7" o:spid="_x0000_s1026" style="position:absolute;left:0;text-align:left;margin-left:15.2pt;margin-top:9.65pt;width:153pt;height:33.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" filled="f" strokecolor="#f79646" strokeweight="2pt">
                <v:stroke dashstyle="dash"/>
                <v:textbox>
                  <w:txbxContent>
                    <w:p w14:paraId="5335AE20" w14:textId="77777777" w:rsidR="005551B9" w:rsidRPr="002F5B9C" w:rsidRDefault="005551B9">
                      <w:pPr>
                        <w:jc w:val="both"/>
                        <w:rPr>
                          <w:sz w:val="16"/>
                          <w:szCs w:val="16"/>
                          <w:lang w:val="ru-RU"/>
                        </w:rPr>
                      </w:pPr>
                      <w:r w:rsidRPr="002F5B9C">
                        <w:rPr>
                          <w:sz w:val="16"/>
                          <w:szCs w:val="16"/>
                          <w:lang w:val="ru-RU"/>
                        </w:rPr>
                        <w:t xml:space="preserve">Апаратна част на оборудване за </w:t>
                      </w:r>
                      <w:r>
                        <w:rPr>
                          <w:sz w:val="16"/>
                          <w:szCs w:val="16"/>
                        </w:rPr>
                        <w:t>AIS</w:t>
                      </w:r>
                      <w:r w:rsidRPr="002F5B9C">
                        <w:rPr>
                          <w:sz w:val="16"/>
                          <w:szCs w:val="16"/>
                          <w:lang w:val="ru-RU"/>
                        </w:rPr>
                        <w:t xml:space="preserve"> за вътрешно корабоплаване</w:t>
                      </w:r>
                    </w:p>
                  </w:txbxContent>
                </v:textbox>
              </v:rect>
            </w:pict>
          </mc:Fallback>
        </mc:AlternateContent>
      </w:r>
    </w:p>
    <w:p w14:paraId="547FFC09" w14:textId="77777777" w:rsidR="00271FA2" w:rsidRPr="00A013E1" w:rsidRDefault="00271FA2">
      <w:pPr>
        <w:spacing w:line="240" w:lineRule="atLeast"/>
        <w:ind w:left="851"/>
        <w:rPr>
          <w:rFonts w:ascii="Times New Roman" w:hAnsi="Times New Roman" w:cs="Times New Roman"/>
          <w:bCs/>
          <w:i/>
        </w:rPr>
      </w:pPr>
    </w:p>
    <w:p w14:paraId="4CF4C85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br w:type="page"/>
      </w:r>
    </w:p>
    <w:p w14:paraId="792A5F4A" w14:textId="77777777" w:rsidR="007D054D" w:rsidRPr="00A013E1" w:rsidRDefault="007D054D">
      <w:pPr>
        <w:spacing w:line="240" w:lineRule="atLeast"/>
        <w:rPr>
          <w:rFonts w:ascii="Times New Roman" w:hAnsi="Times New Roman" w:cs="Times New Roman"/>
          <w:b/>
          <w:bCs/>
          <w:szCs w:val="20"/>
        </w:rPr>
        <w:sectPr w:rsidR="007D054D" w:rsidRPr="00A013E1" w:rsidSect="00A013E1">
          <w:headerReference w:type="default" r:id="rId135"/>
          <w:footerReference w:type="default" r:id="rId136"/>
          <w:footnotePr>
            <w:numRestart w:val="eachPage"/>
          </w:footnotePr>
          <w:pgSz w:w="11907" w:h="16840"/>
          <w:pgMar w:top="1134" w:right="1134" w:bottom="1134" w:left="1134" w:header="709" w:footer="709" w:gutter="0"/>
          <w:cols w:space="720"/>
          <w:docGrid w:linePitch="326"/>
        </w:sectPr>
      </w:pPr>
    </w:p>
    <w:p w14:paraId="65B60266" w14:textId="77777777" w:rsidR="00271FA2" w:rsidRPr="00A013E1" w:rsidRDefault="00D35E51" w:rsidP="00322449">
      <w:pPr>
        <w:pStyle w:val="ES-Titre3"/>
        <w:spacing w:after="0" w:line="240" w:lineRule="atLeast"/>
        <w:rPr>
          <w:rFonts w:ascii="Times New Roman" w:hAnsi="Times New Roman" w:cs="Times New Roman"/>
          <w:sz w:val="24"/>
          <w:szCs w:val="24"/>
          <w:lang w:val="ru-RU"/>
        </w:rPr>
      </w:pPr>
      <w:bookmarkStart w:id="602" w:name="_Toc535827753"/>
      <w:bookmarkStart w:id="603" w:name="_Toc491854312"/>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II</w:t>
      </w:r>
      <w:bookmarkEnd w:id="602"/>
      <w:bookmarkEnd w:id="603"/>
      <w:r w:rsidRPr="00A013E1">
        <w:rPr>
          <w:rFonts w:ascii="Times New Roman" w:hAnsi="Times New Roman" w:cs="Times New Roman"/>
          <w:sz w:val="24"/>
          <w:szCs w:val="24"/>
          <w:lang w:val="ru-RU"/>
        </w:rPr>
        <w:t xml:space="preserve"> </w:t>
      </w:r>
    </w:p>
    <w:p w14:paraId="1286F2A0" w14:textId="22CFD73D" w:rsidR="00271FA2" w:rsidRPr="00A013E1" w:rsidRDefault="00D35E51">
      <w:pPr>
        <w:pStyle w:val="ES-Titre3a"/>
        <w:spacing w:line="240" w:lineRule="atLeast"/>
        <w:rPr>
          <w:rFonts w:ascii="Times New Roman" w:hAnsi="Times New Roman" w:cs="Times New Roman"/>
          <w:sz w:val="24"/>
          <w:szCs w:val="24"/>
          <w:lang w:val="ru-RU"/>
        </w:rPr>
      </w:pPr>
      <w:bookmarkStart w:id="604" w:name="_Toc535827754"/>
      <w:bookmarkStart w:id="605" w:name="_Toc491854313"/>
      <w:r w:rsidRPr="00A013E1">
        <w:rPr>
          <w:rFonts w:ascii="Times New Roman" w:hAnsi="Times New Roman" w:cs="Times New Roman"/>
          <w:sz w:val="24"/>
          <w:szCs w:val="24"/>
          <w:lang w:val="ru-RU"/>
        </w:rPr>
        <w:t>Минимални изисквания и условия на изпитване на индикаторите на ъгловата скорост</w:t>
      </w:r>
      <w:r w:rsidR="0078218A" w:rsidRPr="00A013E1">
        <w:rPr>
          <w:rFonts w:ascii="Times New Roman" w:hAnsi="Times New Roman" w:cs="Times New Roman"/>
          <w:sz w:val="24"/>
          <w:szCs w:val="24"/>
          <w:lang w:val="ru-RU"/>
        </w:rPr>
        <w:t>на завиване</w:t>
      </w:r>
      <w:r w:rsidRPr="00A013E1">
        <w:rPr>
          <w:rFonts w:ascii="Times New Roman" w:hAnsi="Times New Roman" w:cs="Times New Roman"/>
          <w:sz w:val="24"/>
          <w:szCs w:val="24"/>
          <w:lang w:val="ru-RU"/>
        </w:rPr>
        <w:t>, използвани във вътрешното корабоплаване</w:t>
      </w:r>
      <w:bookmarkEnd w:id="604"/>
      <w:bookmarkEnd w:id="605"/>
    </w:p>
    <w:p w14:paraId="5E16A95B" w14:textId="77777777" w:rsidR="00271FA2" w:rsidRPr="00A013E1" w:rsidRDefault="00D35E51">
      <w:pPr>
        <w:spacing w:line="240" w:lineRule="atLeast"/>
        <w:jc w:val="center"/>
        <w:rPr>
          <w:rFonts w:ascii="Times New Roman" w:hAnsi="Times New Roman" w:cs="Times New Roman"/>
          <w:b/>
          <w:lang w:val="ru-RU"/>
        </w:rPr>
      </w:pPr>
      <w:r w:rsidRPr="00A013E1">
        <w:rPr>
          <w:rFonts w:ascii="Times New Roman" w:hAnsi="Times New Roman" w:cs="Times New Roman"/>
          <w:b/>
          <w:lang w:val="ru-RU"/>
        </w:rPr>
        <w:t>Глава 1</w:t>
      </w:r>
    </w:p>
    <w:p w14:paraId="266C01F8" w14:textId="77777777" w:rsidR="00271FA2" w:rsidRPr="00A013E1" w:rsidRDefault="00D35E51" w:rsidP="00C06F1D">
      <w:pPr>
        <w:spacing w:after="240" w:line="240" w:lineRule="atLeast"/>
        <w:jc w:val="center"/>
        <w:rPr>
          <w:rFonts w:ascii="Times New Roman" w:hAnsi="Times New Roman" w:cs="Times New Roman"/>
          <w:lang w:val="ru-RU"/>
        </w:rPr>
      </w:pPr>
      <w:r w:rsidRPr="00A013E1">
        <w:rPr>
          <w:rFonts w:ascii="Times New Roman" w:hAnsi="Times New Roman" w:cs="Times New Roman"/>
          <w:b/>
          <w:lang w:val="ru-RU"/>
        </w:rPr>
        <w:t>Общи положения</w:t>
      </w:r>
    </w:p>
    <w:p w14:paraId="18944EE1" w14:textId="77777777" w:rsidR="00271FA2" w:rsidRPr="00A013E1" w:rsidRDefault="00D35E51">
      <w:pPr>
        <w:spacing w:line="240" w:lineRule="atLeast"/>
        <w:jc w:val="center"/>
        <w:rPr>
          <w:rFonts w:ascii="Times New Roman" w:hAnsi="Times New Roman" w:cs="Times New Roman"/>
          <w:b/>
          <w:lang w:val="ru-RU"/>
        </w:rPr>
      </w:pPr>
      <w:r w:rsidRPr="00A013E1">
        <w:rPr>
          <w:rFonts w:ascii="Times New Roman" w:hAnsi="Times New Roman" w:cs="Times New Roman"/>
          <w:b/>
          <w:lang w:val="ru-RU"/>
        </w:rPr>
        <w:t>Член 1.01</w:t>
      </w:r>
    </w:p>
    <w:p w14:paraId="0CA2C1AB" w14:textId="77777777" w:rsidR="00271FA2" w:rsidRPr="00A013E1" w:rsidRDefault="00D35E51" w:rsidP="00C06F1D">
      <w:pPr>
        <w:spacing w:after="240" w:line="240" w:lineRule="atLeast"/>
        <w:jc w:val="center"/>
        <w:rPr>
          <w:rFonts w:ascii="Times New Roman" w:hAnsi="Times New Roman" w:cs="Times New Roman"/>
          <w:i/>
          <w:lang w:val="ru-RU"/>
        </w:rPr>
      </w:pPr>
      <w:r w:rsidRPr="00A013E1">
        <w:rPr>
          <w:rFonts w:ascii="Times New Roman" w:hAnsi="Times New Roman" w:cs="Times New Roman"/>
          <w:i/>
          <w:lang w:val="ru-RU"/>
        </w:rPr>
        <w:t>Обхват</w:t>
      </w:r>
    </w:p>
    <w:p w14:paraId="5AEC6BE0" w14:textId="59B81907" w:rsidR="00271FA2" w:rsidRPr="00A013E1" w:rsidRDefault="00D35E51" w:rsidP="00C06F1D">
      <w:pPr>
        <w:tabs>
          <w:tab w:val="left" w:leader="dot" w:pos="9072"/>
        </w:tabs>
        <w:spacing w:after="240" w:line="240" w:lineRule="atLeast"/>
        <w:jc w:val="both"/>
        <w:rPr>
          <w:rFonts w:ascii="Times New Roman" w:hAnsi="Times New Roman" w:cs="Times New Roman"/>
          <w:lang w:val="ru-RU"/>
        </w:rPr>
      </w:pPr>
      <w:r w:rsidRPr="00A013E1">
        <w:rPr>
          <w:rFonts w:ascii="Times New Roman" w:hAnsi="Times New Roman" w:cs="Times New Roman"/>
          <w:lang w:val="ru-RU"/>
        </w:rPr>
        <w:t>Настоящите разпоредби излагат минималните изисквания към индикаторите на ъгловата скорост</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използвани във вътрешното корабоплаване, както и условията за проверка на съответствието с тези минимални изисквания.</w:t>
      </w:r>
    </w:p>
    <w:p w14:paraId="3AF35767" w14:textId="77777777" w:rsidR="00271FA2" w:rsidRPr="00A013E1" w:rsidRDefault="00D35E51">
      <w:pPr>
        <w:spacing w:line="240" w:lineRule="atLeast"/>
        <w:jc w:val="center"/>
        <w:rPr>
          <w:rFonts w:ascii="Times New Roman" w:hAnsi="Times New Roman" w:cs="Times New Roman"/>
          <w:b/>
          <w:lang w:val="ru-RU"/>
        </w:rPr>
      </w:pPr>
      <w:r w:rsidRPr="00A013E1">
        <w:rPr>
          <w:rFonts w:ascii="Times New Roman" w:hAnsi="Times New Roman" w:cs="Times New Roman"/>
          <w:b/>
          <w:lang w:val="ru-RU"/>
        </w:rPr>
        <w:t>Член 1.02</w:t>
      </w:r>
    </w:p>
    <w:p w14:paraId="246CDAE5" w14:textId="06A4FF6F" w:rsidR="00271FA2" w:rsidRPr="00A013E1" w:rsidRDefault="00D35E51" w:rsidP="00C06F1D">
      <w:pPr>
        <w:overflowPunct w:val="0"/>
        <w:adjustRightInd w:val="0"/>
        <w:spacing w:after="240" w:line="240" w:lineRule="atLeast"/>
        <w:jc w:val="center"/>
        <w:textAlignment w:val="baseline"/>
        <w:rPr>
          <w:rFonts w:ascii="Times New Roman" w:hAnsi="Times New Roman" w:cs="Times New Roman"/>
          <w:lang w:val="ru-RU"/>
        </w:rPr>
      </w:pPr>
      <w:r w:rsidRPr="00A013E1">
        <w:rPr>
          <w:rFonts w:ascii="Times New Roman" w:hAnsi="Times New Roman" w:cs="Times New Roman"/>
          <w:i/>
          <w:lang w:val="ru-RU"/>
        </w:rPr>
        <w:t>Предназначение на индикатора на ъгловата скорост</w:t>
      </w:r>
      <w:r w:rsidR="0078218A" w:rsidRPr="00A013E1">
        <w:rPr>
          <w:rFonts w:ascii="Times New Roman" w:hAnsi="Times New Roman" w:cs="Times New Roman"/>
          <w:i/>
          <w:lang w:val="ru-RU"/>
        </w:rPr>
        <w:t>на завиване</w:t>
      </w:r>
    </w:p>
    <w:p w14:paraId="7F1639D0" w14:textId="15ED9CEB" w:rsidR="00271FA2" w:rsidRPr="00A013E1" w:rsidRDefault="00D35E51" w:rsidP="00C06F1D">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Индикаторът на ъгловата скорост</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е предназначен да улеснява плаването с радиолокатор и да измерва и показва ъгловата скорост</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на плавателния съд към левия или десния борд.</w:t>
      </w:r>
    </w:p>
    <w:p w14:paraId="12B4CA5D" w14:textId="77777777" w:rsidR="00271FA2" w:rsidRPr="00A013E1" w:rsidRDefault="00D35E51">
      <w:pPr>
        <w:spacing w:line="240" w:lineRule="atLeast"/>
        <w:jc w:val="center"/>
        <w:rPr>
          <w:rFonts w:ascii="Times New Roman" w:hAnsi="Times New Roman" w:cs="Times New Roman"/>
          <w:b/>
          <w:lang w:val="ru-RU"/>
        </w:rPr>
      </w:pPr>
      <w:r w:rsidRPr="00A013E1">
        <w:rPr>
          <w:rFonts w:ascii="Times New Roman" w:hAnsi="Times New Roman" w:cs="Times New Roman"/>
          <w:b/>
          <w:lang w:val="ru-RU"/>
        </w:rPr>
        <w:t>Член 1.03</w:t>
      </w:r>
    </w:p>
    <w:p w14:paraId="3CC4178B" w14:textId="77777777" w:rsidR="00271FA2" w:rsidRPr="00A013E1" w:rsidRDefault="00D35E51" w:rsidP="00C06F1D">
      <w:pPr>
        <w:spacing w:after="240" w:line="240" w:lineRule="atLeast"/>
        <w:jc w:val="center"/>
        <w:rPr>
          <w:rFonts w:ascii="Times New Roman" w:hAnsi="Times New Roman" w:cs="Times New Roman"/>
          <w:lang w:val="ru-RU"/>
        </w:rPr>
      </w:pPr>
      <w:r w:rsidRPr="00A013E1">
        <w:rPr>
          <w:rFonts w:ascii="Times New Roman" w:hAnsi="Times New Roman" w:cs="Times New Roman"/>
          <w:i/>
          <w:lang w:val="ru-RU"/>
        </w:rPr>
        <w:t>Изпитване на типа</w:t>
      </w:r>
    </w:p>
    <w:p w14:paraId="49C80D75" w14:textId="57A99F77" w:rsidR="00271FA2" w:rsidRPr="00A013E1" w:rsidRDefault="00D35E51">
      <w:pPr>
        <w:spacing w:line="240" w:lineRule="atLeast"/>
        <w:ind w:left="426" w:hanging="426"/>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Спазването на минималните изисквания към индикаторите на ъгловата скорост</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съгласно Глави 2 - 4 се установява чрез изпитване на типа.</w:t>
      </w:r>
    </w:p>
    <w:p w14:paraId="1AB912CE" w14:textId="77777777" w:rsidR="00271FA2" w:rsidRPr="00A013E1" w:rsidRDefault="00D35E51">
      <w:pPr>
        <w:spacing w:line="240" w:lineRule="atLeast"/>
        <w:ind w:left="426" w:hanging="426"/>
        <w:jc w:val="both"/>
        <w:rPr>
          <w:rFonts w:ascii="Times New Roman" w:hAnsi="Times New Roman" w:cs="Times New Roman"/>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Ако оборудването премине изпитването на типа, техническата служба издава удостоверение за изпитването. Ако оборудването не покрива минималните изисквания, заявителят се уведомява писмено за причините за отказа на одобрение.</w:t>
      </w:r>
    </w:p>
    <w:p w14:paraId="49131F62" w14:textId="77777777" w:rsidR="00271FA2" w:rsidRPr="00A013E1" w:rsidRDefault="00D35E51" w:rsidP="00C06F1D">
      <w:pPr>
        <w:spacing w:before="240" w:line="240" w:lineRule="atLeast"/>
        <w:jc w:val="center"/>
        <w:rPr>
          <w:rFonts w:ascii="Times New Roman" w:hAnsi="Times New Roman" w:cs="Times New Roman"/>
          <w:b/>
          <w:lang w:val="ru-RU"/>
        </w:rPr>
      </w:pPr>
      <w:r w:rsidRPr="00A013E1">
        <w:rPr>
          <w:rFonts w:ascii="Times New Roman" w:hAnsi="Times New Roman" w:cs="Times New Roman"/>
          <w:b/>
          <w:lang w:val="ru-RU"/>
        </w:rPr>
        <w:t>Член 1.04</w:t>
      </w:r>
    </w:p>
    <w:p w14:paraId="7DA7D56E" w14:textId="77777777" w:rsidR="00271FA2" w:rsidRPr="00A013E1" w:rsidRDefault="00D35E51" w:rsidP="00C06F1D">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lang w:val="ru-RU"/>
        </w:rPr>
      </w:pPr>
      <w:r w:rsidRPr="00A013E1">
        <w:rPr>
          <w:rFonts w:ascii="Times New Roman" w:hAnsi="Times New Roman" w:cs="Times New Roman"/>
          <w:i/>
          <w:lang w:val="ru-RU"/>
        </w:rPr>
        <w:t>Заявление за изпитване на типа</w:t>
      </w:r>
    </w:p>
    <w:p w14:paraId="2AB3CD35" w14:textId="21577CA3" w:rsidR="00271FA2" w:rsidRPr="00A013E1" w:rsidRDefault="00D35E51" w:rsidP="00947A5C">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Заявленията за изпитване на типа на индикатора на ъгловата скорост</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се подават до компетентната техническа служба.</w:t>
      </w:r>
    </w:p>
    <w:p w14:paraId="4ED421A0" w14:textId="77777777" w:rsidR="00271FA2" w:rsidRPr="00A013E1" w:rsidRDefault="00D35E51" w:rsidP="00947A5C">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Всяко заявление трябва да бъде придружено от следните документи:</w:t>
      </w:r>
    </w:p>
    <w:p w14:paraId="3B1AD9E2" w14:textId="77777777" w:rsidR="00271FA2" w:rsidRPr="00A013E1" w:rsidRDefault="00D35E51" w:rsidP="00947A5C">
      <w:pPr>
        <w:spacing w:line="240" w:lineRule="atLeast"/>
        <w:ind w:left="567"/>
        <w:jc w:val="both"/>
        <w:rPr>
          <w:rFonts w:ascii="Times New Roman" w:hAnsi="Times New Roman" w:cs="Times New Roman"/>
          <w:lang w:val="ru-RU"/>
        </w:rPr>
      </w:pPr>
      <w:r w:rsidRPr="00A013E1">
        <w:rPr>
          <w:rFonts w:ascii="Times New Roman" w:hAnsi="Times New Roman" w:cs="Times New Roman"/>
        </w:rPr>
        <w:t>a</w:t>
      </w:r>
      <w:r w:rsidRPr="00A013E1">
        <w:rPr>
          <w:rFonts w:ascii="Times New Roman" w:hAnsi="Times New Roman" w:cs="Times New Roman"/>
          <w:lang w:val="ru-RU"/>
        </w:rPr>
        <w:t>) две подробни технически описания;</w:t>
      </w:r>
    </w:p>
    <w:p w14:paraId="10257604" w14:textId="77777777" w:rsidR="00271FA2" w:rsidRPr="00A013E1" w:rsidRDefault="00D35E51" w:rsidP="00947A5C">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б) два пълни комплекта документи за монтаж и обслужване;</w:t>
      </w:r>
    </w:p>
    <w:p w14:paraId="082D32CD" w14:textId="77777777" w:rsidR="00271FA2" w:rsidRPr="00A013E1" w:rsidRDefault="00D35E51" w:rsidP="00947A5C">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 две инструкции за експлоатация.</w:t>
      </w:r>
    </w:p>
    <w:p w14:paraId="4902908E" w14:textId="77777777" w:rsidR="00271FA2" w:rsidRPr="00A013E1" w:rsidRDefault="00D35E51" w:rsidP="00947A5C">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Чрез изпитвания заявителят доказва или дава възможност да бъде доказано, че оборудването отговаря на минималните изисквания на настоящите разпоредби.</w:t>
      </w:r>
    </w:p>
    <w:p w14:paraId="02706644" w14:textId="77777777" w:rsidR="00271FA2" w:rsidRPr="00A013E1" w:rsidRDefault="00D35E51" w:rsidP="00947A5C">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Резултатите от изпитването и докладите от измерването се прилагат към заявлението.</w:t>
      </w:r>
    </w:p>
    <w:p w14:paraId="2D0FE78A" w14:textId="77777777" w:rsidR="00271FA2" w:rsidRPr="00A013E1" w:rsidRDefault="00D35E51" w:rsidP="00947A5C">
      <w:pPr>
        <w:spacing w:after="240" w:line="240" w:lineRule="atLeast"/>
        <w:ind w:left="567"/>
        <w:jc w:val="both"/>
        <w:rPr>
          <w:rFonts w:ascii="Times New Roman" w:hAnsi="Times New Roman" w:cs="Times New Roman"/>
          <w:lang w:val="ru-RU"/>
        </w:rPr>
      </w:pPr>
      <w:r w:rsidRPr="00A013E1">
        <w:rPr>
          <w:rFonts w:ascii="Times New Roman" w:hAnsi="Times New Roman" w:cs="Times New Roman"/>
          <w:lang w:val="ru-RU"/>
        </w:rPr>
        <w:t>Тези документи и информацията, получена при изпитванията, се съхраняват от компетентния орган.</w:t>
      </w:r>
    </w:p>
    <w:p w14:paraId="563272C0" w14:textId="77777777" w:rsidR="00271FA2" w:rsidRPr="00A013E1" w:rsidRDefault="00D35E51" w:rsidP="00947A5C">
      <w:pPr>
        <w:tabs>
          <w:tab w:val="left" w:pos="284"/>
          <w:tab w:val="left" w:pos="454"/>
          <w:tab w:val="left" w:pos="680"/>
          <w:tab w:val="left" w:pos="1021"/>
        </w:tabs>
        <w:overflowPunct w:val="0"/>
        <w:adjustRightInd w:val="0"/>
        <w:spacing w:line="240" w:lineRule="atLeast"/>
        <w:ind w:left="567" w:hanging="567"/>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1.05</w:t>
      </w:r>
    </w:p>
    <w:p w14:paraId="68690385" w14:textId="77777777" w:rsidR="00271FA2" w:rsidRPr="00A013E1" w:rsidRDefault="00D35E51" w:rsidP="00947A5C">
      <w:pPr>
        <w:tabs>
          <w:tab w:val="left" w:pos="284"/>
          <w:tab w:val="left" w:pos="454"/>
          <w:tab w:val="left" w:pos="680"/>
          <w:tab w:val="left" w:pos="1021"/>
        </w:tabs>
        <w:overflowPunct w:val="0"/>
        <w:adjustRightInd w:val="0"/>
        <w:spacing w:after="240" w:line="240" w:lineRule="atLeast"/>
        <w:ind w:left="567" w:hanging="567"/>
        <w:jc w:val="center"/>
        <w:textAlignment w:val="baseline"/>
        <w:rPr>
          <w:rFonts w:ascii="Times New Roman" w:hAnsi="Times New Roman" w:cs="Times New Roman"/>
          <w:lang w:val="ru-RU"/>
        </w:rPr>
      </w:pPr>
      <w:r w:rsidRPr="00A013E1">
        <w:rPr>
          <w:rFonts w:ascii="Times New Roman" w:hAnsi="Times New Roman" w:cs="Times New Roman"/>
          <w:i/>
          <w:lang w:val="ru-RU"/>
        </w:rPr>
        <w:t>Одобрение на типа</w:t>
      </w:r>
    </w:p>
    <w:p w14:paraId="1FB8E201" w14:textId="77777777" w:rsidR="00271FA2" w:rsidRPr="00A013E1" w:rsidRDefault="00D35E51" w:rsidP="00947A5C">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lastRenderedPageBreak/>
        <w:t>1.</w:t>
      </w:r>
      <w:r w:rsidRPr="00A013E1">
        <w:rPr>
          <w:rFonts w:ascii="Times New Roman" w:hAnsi="Times New Roman" w:cs="Times New Roman"/>
          <w:lang w:val="ru-RU"/>
        </w:rPr>
        <w:tab/>
      </w:r>
      <w:r w:rsidRPr="00A013E1">
        <w:rPr>
          <w:rFonts w:ascii="Times New Roman" w:hAnsi="Times New Roman" w:cs="Times New Roman"/>
          <w:color w:val="000000"/>
          <w:lang w:val="ru-RU"/>
        </w:rPr>
        <w:t>Одобрението на типа се издава от компетентния орган в съответствие с удостоверението за изпитване.</w:t>
      </w:r>
    </w:p>
    <w:p w14:paraId="12C30E4B" w14:textId="77777777" w:rsidR="00271FA2" w:rsidRPr="00A013E1" w:rsidRDefault="00D35E51" w:rsidP="00947A5C">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Всеки компетентен орган или техническата служба, определена от компетентния орган, има право да избира оборудване от производствената серия за проверка по всяко време.</w:t>
      </w:r>
    </w:p>
    <w:p w14:paraId="60080320" w14:textId="77777777" w:rsidR="00271FA2" w:rsidRPr="00A013E1" w:rsidRDefault="00D35E51" w:rsidP="009B656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Ако при проверката се установят дефекти в оборудването, одобрението на типа може да бъде оттеглено.</w:t>
      </w:r>
    </w:p>
    <w:p w14:paraId="2E6CBF17" w14:textId="77777777" w:rsidR="00271FA2" w:rsidRPr="00A013E1" w:rsidRDefault="00D35E51" w:rsidP="00947A5C">
      <w:pPr>
        <w:spacing w:after="240" w:line="240" w:lineRule="atLeast"/>
        <w:ind w:left="426"/>
        <w:jc w:val="both"/>
        <w:rPr>
          <w:rFonts w:ascii="Times New Roman" w:hAnsi="Times New Roman" w:cs="Times New Roman"/>
          <w:lang w:val="ru-RU"/>
        </w:rPr>
      </w:pPr>
      <w:r w:rsidRPr="00A013E1">
        <w:rPr>
          <w:rFonts w:ascii="Times New Roman" w:hAnsi="Times New Roman" w:cs="Times New Roman"/>
          <w:lang w:val="ru-RU"/>
        </w:rPr>
        <w:t>Одобрението на типа се оттегля от органа, който го е издал.</w:t>
      </w:r>
    </w:p>
    <w:p w14:paraId="1CEB8E61"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1.06</w:t>
      </w:r>
    </w:p>
    <w:p w14:paraId="13C1DB7C" w14:textId="77777777" w:rsidR="00271FA2" w:rsidRPr="00A013E1" w:rsidRDefault="00D35E51" w:rsidP="00947A5C">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lang w:val="ru-RU"/>
        </w:rPr>
      </w:pPr>
      <w:r w:rsidRPr="00A013E1">
        <w:rPr>
          <w:rFonts w:ascii="Times New Roman" w:hAnsi="Times New Roman" w:cs="Times New Roman"/>
          <w:i/>
          <w:lang w:val="ru-RU"/>
        </w:rPr>
        <w:t>Маркиране на оборудването и номер на одобрението на типа</w:t>
      </w:r>
    </w:p>
    <w:p w14:paraId="0F0DD906" w14:textId="77777777" w:rsidR="00271FA2" w:rsidRPr="00A013E1" w:rsidRDefault="00D35E51" w:rsidP="00947A5C">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Всеки компонент на оборудването се маркира незаличимо с името на производителя, търговското обозначение на оборудването, типа на оборудването и серийния номер.</w:t>
      </w:r>
    </w:p>
    <w:p w14:paraId="214B7EC4" w14:textId="77777777" w:rsidR="00271FA2" w:rsidRPr="00A013E1" w:rsidRDefault="00D35E51" w:rsidP="00947A5C">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Номерът на одобрението на типа, определен от компетентния орган, се поставя по траен начин върху уреда за управление, така че да остава ясно видим, след като оборудването бъде монтирано.</w:t>
      </w:r>
    </w:p>
    <w:p w14:paraId="684AF8E5" w14:textId="77777777" w:rsidR="00271FA2" w:rsidRPr="00A013E1" w:rsidRDefault="00D35E51" w:rsidP="00947A5C">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Състав на номера на одобрение на типа: </w:t>
      </w:r>
      <w:r w:rsidRPr="00A013E1">
        <w:rPr>
          <w:rFonts w:ascii="Times New Roman" w:hAnsi="Times New Roman" w:cs="Times New Roman"/>
        </w:rPr>
        <w:t>R</w:t>
      </w:r>
      <w:r w:rsidRPr="00A013E1">
        <w:rPr>
          <w:rFonts w:ascii="Times New Roman" w:hAnsi="Times New Roman" w:cs="Times New Roman"/>
          <w:lang w:val="ru-RU"/>
        </w:rPr>
        <w:t>-</w:t>
      </w:r>
      <w:r w:rsidRPr="00A013E1">
        <w:rPr>
          <w:rFonts w:ascii="Times New Roman" w:hAnsi="Times New Roman" w:cs="Times New Roman"/>
        </w:rPr>
        <w:t>NN</w:t>
      </w:r>
      <w:r w:rsidRPr="00A013E1">
        <w:rPr>
          <w:rFonts w:ascii="Times New Roman" w:hAnsi="Times New Roman" w:cs="Times New Roman"/>
          <w:lang w:val="ru-RU"/>
        </w:rPr>
        <w:t>-</w:t>
      </w:r>
      <w:r w:rsidRPr="00A013E1">
        <w:rPr>
          <w:rFonts w:ascii="Times New Roman" w:hAnsi="Times New Roman" w:cs="Times New Roman"/>
        </w:rPr>
        <w:t>NNN</w:t>
      </w:r>
      <w:r w:rsidRPr="00A013E1">
        <w:rPr>
          <w:rFonts w:ascii="Times New Roman" w:hAnsi="Times New Roman" w:cs="Times New Roman"/>
          <w:lang w:val="ru-RU"/>
        </w:rPr>
        <w:t xml:space="preserve"> или </w:t>
      </w:r>
      <w:r w:rsidRPr="00A013E1">
        <w:rPr>
          <w:rFonts w:ascii="Times New Roman" w:hAnsi="Times New Roman" w:cs="Times New Roman"/>
        </w:rPr>
        <w:t>e</w:t>
      </w:r>
      <w:r w:rsidRPr="00A013E1">
        <w:rPr>
          <w:rFonts w:ascii="Times New Roman" w:hAnsi="Times New Roman" w:cs="Times New Roman"/>
          <w:lang w:val="ru-RU"/>
        </w:rPr>
        <w:t>-</w:t>
      </w:r>
      <w:r w:rsidRPr="00A013E1">
        <w:rPr>
          <w:rFonts w:ascii="Times New Roman" w:hAnsi="Times New Roman" w:cs="Times New Roman"/>
        </w:rPr>
        <w:t>NN</w:t>
      </w:r>
      <w:r w:rsidRPr="00A013E1">
        <w:rPr>
          <w:rFonts w:ascii="Times New Roman" w:hAnsi="Times New Roman" w:cs="Times New Roman"/>
          <w:lang w:val="ru-RU"/>
        </w:rPr>
        <w:t>-</w:t>
      </w:r>
      <w:r w:rsidRPr="00A013E1">
        <w:rPr>
          <w:rFonts w:ascii="Times New Roman" w:hAnsi="Times New Roman" w:cs="Times New Roman"/>
        </w:rPr>
        <w:t>NNN</w:t>
      </w:r>
    </w:p>
    <w:p w14:paraId="1F3B6546" w14:textId="77777777" w:rsidR="00271FA2" w:rsidRPr="00A013E1" w:rsidRDefault="00D35E51" w:rsidP="00947A5C">
      <w:pPr>
        <w:tabs>
          <w:tab w:val="left" w:pos="425"/>
          <w:tab w:val="left" w:pos="993"/>
          <w:tab w:val="left" w:pos="1418"/>
        </w:tabs>
        <w:overflowPunct w:val="0"/>
        <w:adjustRightInd w:val="0"/>
        <w:spacing w:line="240" w:lineRule="atLeast"/>
        <w:ind w:left="992" w:hanging="425"/>
        <w:jc w:val="both"/>
        <w:textAlignment w:val="baseline"/>
        <w:rPr>
          <w:rFonts w:ascii="Times New Roman" w:hAnsi="Times New Roman" w:cs="Times New Roman"/>
          <w:lang w:val="ru-RU"/>
        </w:rPr>
      </w:pPr>
      <w:r w:rsidRPr="00A013E1">
        <w:rPr>
          <w:rFonts w:ascii="Times New Roman" w:hAnsi="Times New Roman" w:cs="Times New Roman"/>
        </w:rPr>
        <w:t>R</w:t>
      </w:r>
      <w:r w:rsidRPr="00A013E1">
        <w:rPr>
          <w:rFonts w:ascii="Times New Roman" w:hAnsi="Times New Roman" w:cs="Times New Roman"/>
          <w:lang w:val="ru-RU"/>
        </w:rPr>
        <w:tab/>
        <w:t>=</w:t>
      </w:r>
      <w:r w:rsidRPr="00A013E1">
        <w:rPr>
          <w:rFonts w:ascii="Times New Roman" w:hAnsi="Times New Roman" w:cs="Times New Roman"/>
          <w:lang w:val="ru-RU"/>
        </w:rPr>
        <w:tab/>
        <w:t>Рейн</w:t>
      </w:r>
    </w:p>
    <w:p w14:paraId="44A9007A" w14:textId="77777777" w:rsidR="00271FA2" w:rsidRPr="00A013E1" w:rsidRDefault="00D35E51" w:rsidP="00947A5C">
      <w:pPr>
        <w:tabs>
          <w:tab w:val="left" w:pos="993"/>
          <w:tab w:val="left" w:pos="1418"/>
        </w:tabs>
        <w:spacing w:line="240" w:lineRule="atLeast"/>
        <w:ind w:left="992" w:hanging="425"/>
        <w:jc w:val="both"/>
        <w:rPr>
          <w:rFonts w:ascii="Times New Roman" w:hAnsi="Times New Roman" w:cs="Times New Roman"/>
          <w:lang w:val="ru-RU"/>
        </w:rPr>
      </w:pPr>
      <w:r w:rsidRPr="00A013E1">
        <w:rPr>
          <w:rFonts w:ascii="Times New Roman" w:hAnsi="Times New Roman" w:cs="Times New Roman"/>
        </w:rPr>
        <w:t>e</w:t>
      </w:r>
      <w:r w:rsidRPr="00A013E1">
        <w:rPr>
          <w:rFonts w:ascii="Times New Roman" w:hAnsi="Times New Roman" w:cs="Times New Roman"/>
          <w:lang w:val="ru-RU"/>
        </w:rPr>
        <w:tab/>
        <w:t>=</w:t>
      </w:r>
      <w:r w:rsidRPr="00A013E1">
        <w:rPr>
          <w:rFonts w:ascii="Times New Roman" w:hAnsi="Times New Roman" w:cs="Times New Roman"/>
          <w:lang w:val="ru-RU"/>
        </w:rPr>
        <w:tab/>
        <w:t>Европейски съюз</w:t>
      </w:r>
    </w:p>
    <w:p w14:paraId="22841E31" w14:textId="77777777" w:rsidR="00271FA2" w:rsidRPr="00A013E1" w:rsidRDefault="00D35E51" w:rsidP="00947A5C">
      <w:pPr>
        <w:tabs>
          <w:tab w:val="left" w:pos="993"/>
          <w:tab w:val="left" w:pos="1418"/>
        </w:tabs>
        <w:spacing w:line="240" w:lineRule="atLeast"/>
        <w:ind w:left="992" w:hanging="425"/>
        <w:rPr>
          <w:rFonts w:ascii="Times New Roman" w:hAnsi="Times New Roman" w:cs="Times New Roman"/>
          <w:lang w:val="ru-RU"/>
        </w:rPr>
      </w:pPr>
      <w:r w:rsidRPr="00A013E1">
        <w:rPr>
          <w:rFonts w:ascii="Times New Roman" w:hAnsi="Times New Roman" w:cs="Times New Roman"/>
        </w:rPr>
        <w:t>NN</w:t>
      </w:r>
      <w:r w:rsidRPr="00A013E1">
        <w:rPr>
          <w:rFonts w:ascii="Times New Roman" w:hAnsi="Times New Roman" w:cs="Times New Roman"/>
          <w:lang w:val="ru-RU"/>
        </w:rPr>
        <w:tab/>
        <w:t>=</w:t>
      </w:r>
      <w:r w:rsidRPr="00A013E1">
        <w:rPr>
          <w:rFonts w:ascii="Times New Roman" w:hAnsi="Times New Roman" w:cs="Times New Roman"/>
          <w:lang w:val="ru-RU"/>
        </w:rPr>
        <w:tab/>
        <w:t>номер на държавата, издала одобрението на типа, където</w:t>
      </w:r>
    </w:p>
    <w:tbl>
      <w:tblPr>
        <w:tblW w:w="7587" w:type="dxa"/>
        <w:jc w:val="center"/>
        <w:tblLayout w:type="fixed"/>
        <w:tblLook w:val="04A0" w:firstRow="1" w:lastRow="0" w:firstColumn="1" w:lastColumn="0" w:noHBand="0" w:noVBand="1"/>
      </w:tblPr>
      <w:tblGrid>
        <w:gridCol w:w="720"/>
        <w:gridCol w:w="360"/>
        <w:gridCol w:w="3162"/>
        <w:gridCol w:w="724"/>
        <w:gridCol w:w="416"/>
        <w:gridCol w:w="2205"/>
      </w:tblGrid>
      <w:tr w:rsidR="00271FA2" w:rsidRPr="00A013E1" w14:paraId="13DF2520" w14:textId="77777777">
        <w:trPr>
          <w:jc w:val="center"/>
        </w:trPr>
        <w:tc>
          <w:tcPr>
            <w:tcW w:w="720" w:type="dxa"/>
          </w:tcPr>
          <w:p w14:paraId="4186F76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01 </w:t>
            </w:r>
          </w:p>
        </w:tc>
        <w:tc>
          <w:tcPr>
            <w:tcW w:w="360" w:type="dxa"/>
          </w:tcPr>
          <w:p w14:paraId="71CEB7D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227053A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Германия</w:t>
            </w:r>
          </w:p>
        </w:tc>
        <w:tc>
          <w:tcPr>
            <w:tcW w:w="724" w:type="dxa"/>
          </w:tcPr>
          <w:p w14:paraId="4A461AB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19</w:t>
            </w:r>
          </w:p>
        </w:tc>
        <w:tc>
          <w:tcPr>
            <w:tcW w:w="416" w:type="dxa"/>
          </w:tcPr>
          <w:p w14:paraId="7E7AB6C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w:t>
            </w:r>
          </w:p>
        </w:tc>
        <w:tc>
          <w:tcPr>
            <w:tcW w:w="2205" w:type="dxa"/>
          </w:tcPr>
          <w:p w14:paraId="44C34FF4"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Румъния</w:t>
            </w:r>
          </w:p>
        </w:tc>
      </w:tr>
      <w:tr w:rsidR="00271FA2" w:rsidRPr="00A013E1" w14:paraId="38029B3A" w14:textId="77777777">
        <w:trPr>
          <w:jc w:val="center"/>
        </w:trPr>
        <w:tc>
          <w:tcPr>
            <w:tcW w:w="720" w:type="dxa"/>
          </w:tcPr>
          <w:p w14:paraId="729FFC2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02 </w:t>
            </w:r>
          </w:p>
        </w:tc>
        <w:tc>
          <w:tcPr>
            <w:tcW w:w="360" w:type="dxa"/>
          </w:tcPr>
          <w:p w14:paraId="7E99B24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6959DBC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Франция </w:t>
            </w:r>
          </w:p>
        </w:tc>
        <w:tc>
          <w:tcPr>
            <w:tcW w:w="724" w:type="dxa"/>
          </w:tcPr>
          <w:p w14:paraId="37508CB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20 </w:t>
            </w:r>
          </w:p>
        </w:tc>
        <w:tc>
          <w:tcPr>
            <w:tcW w:w="416" w:type="dxa"/>
          </w:tcPr>
          <w:p w14:paraId="2832861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354F231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Полша </w:t>
            </w:r>
          </w:p>
        </w:tc>
      </w:tr>
      <w:tr w:rsidR="00271FA2" w:rsidRPr="00A013E1" w14:paraId="17546B7D" w14:textId="77777777">
        <w:trPr>
          <w:jc w:val="center"/>
        </w:trPr>
        <w:tc>
          <w:tcPr>
            <w:tcW w:w="720" w:type="dxa"/>
          </w:tcPr>
          <w:p w14:paraId="5709C06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03 </w:t>
            </w:r>
          </w:p>
        </w:tc>
        <w:tc>
          <w:tcPr>
            <w:tcW w:w="360" w:type="dxa"/>
          </w:tcPr>
          <w:p w14:paraId="2C283D4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1EC406FE"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Италия</w:t>
            </w:r>
          </w:p>
        </w:tc>
        <w:tc>
          <w:tcPr>
            <w:tcW w:w="724" w:type="dxa"/>
          </w:tcPr>
          <w:p w14:paraId="614D0035"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21 </w:t>
            </w:r>
          </w:p>
        </w:tc>
        <w:tc>
          <w:tcPr>
            <w:tcW w:w="416" w:type="dxa"/>
          </w:tcPr>
          <w:p w14:paraId="620DEB76"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4B0EF185"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Португалия </w:t>
            </w:r>
          </w:p>
        </w:tc>
      </w:tr>
      <w:tr w:rsidR="00271FA2" w:rsidRPr="00A013E1" w14:paraId="2661CCC6" w14:textId="77777777">
        <w:trPr>
          <w:jc w:val="center"/>
        </w:trPr>
        <w:tc>
          <w:tcPr>
            <w:tcW w:w="720" w:type="dxa"/>
          </w:tcPr>
          <w:p w14:paraId="1CAC4AA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04 </w:t>
            </w:r>
          </w:p>
        </w:tc>
        <w:tc>
          <w:tcPr>
            <w:tcW w:w="360" w:type="dxa"/>
          </w:tcPr>
          <w:p w14:paraId="18B934B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142781C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Нидерландия </w:t>
            </w:r>
          </w:p>
        </w:tc>
        <w:tc>
          <w:tcPr>
            <w:tcW w:w="724" w:type="dxa"/>
          </w:tcPr>
          <w:p w14:paraId="4AABA05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23 </w:t>
            </w:r>
          </w:p>
        </w:tc>
        <w:tc>
          <w:tcPr>
            <w:tcW w:w="416" w:type="dxa"/>
          </w:tcPr>
          <w:p w14:paraId="35320D2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5C2F872E"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Гърция</w:t>
            </w:r>
          </w:p>
        </w:tc>
      </w:tr>
      <w:tr w:rsidR="00271FA2" w:rsidRPr="00A013E1" w14:paraId="244A44AB" w14:textId="77777777">
        <w:trPr>
          <w:jc w:val="center"/>
        </w:trPr>
        <w:tc>
          <w:tcPr>
            <w:tcW w:w="720" w:type="dxa"/>
          </w:tcPr>
          <w:p w14:paraId="10F99256"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05 </w:t>
            </w:r>
          </w:p>
        </w:tc>
        <w:tc>
          <w:tcPr>
            <w:tcW w:w="360" w:type="dxa"/>
          </w:tcPr>
          <w:p w14:paraId="516FAEE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4494CC1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Швеция</w:t>
            </w:r>
          </w:p>
        </w:tc>
        <w:tc>
          <w:tcPr>
            <w:tcW w:w="724" w:type="dxa"/>
          </w:tcPr>
          <w:p w14:paraId="1B65C2AE"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24 </w:t>
            </w:r>
          </w:p>
        </w:tc>
        <w:tc>
          <w:tcPr>
            <w:tcW w:w="416" w:type="dxa"/>
          </w:tcPr>
          <w:p w14:paraId="29EA5585"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1DDF8DA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Ирландия</w:t>
            </w:r>
          </w:p>
        </w:tc>
      </w:tr>
      <w:tr w:rsidR="00271FA2" w:rsidRPr="00A013E1" w14:paraId="166EE0AC" w14:textId="77777777">
        <w:trPr>
          <w:jc w:val="center"/>
        </w:trPr>
        <w:tc>
          <w:tcPr>
            <w:tcW w:w="720" w:type="dxa"/>
          </w:tcPr>
          <w:p w14:paraId="5039176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06 </w:t>
            </w:r>
          </w:p>
        </w:tc>
        <w:tc>
          <w:tcPr>
            <w:tcW w:w="360" w:type="dxa"/>
          </w:tcPr>
          <w:p w14:paraId="3943CEF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7967BFEE"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Белгия </w:t>
            </w:r>
          </w:p>
        </w:tc>
        <w:tc>
          <w:tcPr>
            <w:tcW w:w="724" w:type="dxa"/>
            <w:vAlign w:val="center"/>
          </w:tcPr>
          <w:p w14:paraId="1C3B046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color w:val="000000"/>
              </w:rPr>
              <w:t>25</w:t>
            </w:r>
          </w:p>
        </w:tc>
        <w:tc>
          <w:tcPr>
            <w:tcW w:w="416" w:type="dxa"/>
            <w:vAlign w:val="center"/>
          </w:tcPr>
          <w:p w14:paraId="1F23948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color w:val="000000"/>
              </w:rPr>
              <w:t>=</w:t>
            </w:r>
          </w:p>
        </w:tc>
        <w:tc>
          <w:tcPr>
            <w:tcW w:w="2205" w:type="dxa"/>
            <w:vAlign w:val="center"/>
          </w:tcPr>
          <w:p w14:paraId="33065EC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Хърватия</w:t>
            </w:r>
          </w:p>
        </w:tc>
      </w:tr>
      <w:tr w:rsidR="00271FA2" w:rsidRPr="00A013E1" w14:paraId="48C0F347" w14:textId="77777777">
        <w:trPr>
          <w:jc w:val="center"/>
        </w:trPr>
        <w:tc>
          <w:tcPr>
            <w:tcW w:w="720" w:type="dxa"/>
          </w:tcPr>
          <w:p w14:paraId="36ADDAE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07 </w:t>
            </w:r>
          </w:p>
        </w:tc>
        <w:tc>
          <w:tcPr>
            <w:tcW w:w="360" w:type="dxa"/>
          </w:tcPr>
          <w:p w14:paraId="46B4E25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245CAD9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Унгария</w:t>
            </w:r>
          </w:p>
        </w:tc>
        <w:tc>
          <w:tcPr>
            <w:tcW w:w="724" w:type="dxa"/>
          </w:tcPr>
          <w:p w14:paraId="127CC00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26 </w:t>
            </w:r>
          </w:p>
        </w:tc>
        <w:tc>
          <w:tcPr>
            <w:tcW w:w="416" w:type="dxa"/>
          </w:tcPr>
          <w:p w14:paraId="56E02A54"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70C4CB8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Словения</w:t>
            </w:r>
          </w:p>
        </w:tc>
      </w:tr>
      <w:tr w:rsidR="00271FA2" w:rsidRPr="00A013E1" w14:paraId="46F5D409" w14:textId="77777777">
        <w:trPr>
          <w:jc w:val="center"/>
        </w:trPr>
        <w:tc>
          <w:tcPr>
            <w:tcW w:w="720" w:type="dxa"/>
          </w:tcPr>
          <w:p w14:paraId="2D41C0BD"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08 </w:t>
            </w:r>
          </w:p>
        </w:tc>
        <w:tc>
          <w:tcPr>
            <w:tcW w:w="360" w:type="dxa"/>
          </w:tcPr>
          <w:p w14:paraId="4E8BD33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653407C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Чешка република</w:t>
            </w:r>
          </w:p>
        </w:tc>
        <w:tc>
          <w:tcPr>
            <w:tcW w:w="724" w:type="dxa"/>
          </w:tcPr>
          <w:p w14:paraId="181A583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27 </w:t>
            </w:r>
          </w:p>
        </w:tc>
        <w:tc>
          <w:tcPr>
            <w:tcW w:w="416" w:type="dxa"/>
          </w:tcPr>
          <w:p w14:paraId="45B745C5"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22FC5FD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Словакия</w:t>
            </w:r>
          </w:p>
        </w:tc>
      </w:tr>
      <w:tr w:rsidR="00271FA2" w:rsidRPr="00A013E1" w14:paraId="119AD483" w14:textId="77777777">
        <w:trPr>
          <w:jc w:val="center"/>
        </w:trPr>
        <w:tc>
          <w:tcPr>
            <w:tcW w:w="720" w:type="dxa"/>
          </w:tcPr>
          <w:p w14:paraId="5FD42CB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09 </w:t>
            </w:r>
          </w:p>
        </w:tc>
        <w:tc>
          <w:tcPr>
            <w:tcW w:w="360" w:type="dxa"/>
          </w:tcPr>
          <w:p w14:paraId="69C370D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09CBFF0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Испания </w:t>
            </w:r>
          </w:p>
        </w:tc>
        <w:tc>
          <w:tcPr>
            <w:tcW w:w="724" w:type="dxa"/>
          </w:tcPr>
          <w:p w14:paraId="7204A2F6"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29 </w:t>
            </w:r>
          </w:p>
        </w:tc>
        <w:tc>
          <w:tcPr>
            <w:tcW w:w="416" w:type="dxa"/>
          </w:tcPr>
          <w:p w14:paraId="36ECA045"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2ECD35E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Естония</w:t>
            </w:r>
          </w:p>
        </w:tc>
      </w:tr>
      <w:tr w:rsidR="00271FA2" w:rsidRPr="00A013E1" w14:paraId="6C0012E4" w14:textId="77777777">
        <w:trPr>
          <w:jc w:val="center"/>
        </w:trPr>
        <w:tc>
          <w:tcPr>
            <w:tcW w:w="720" w:type="dxa"/>
          </w:tcPr>
          <w:p w14:paraId="7BD7726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11 </w:t>
            </w:r>
          </w:p>
        </w:tc>
        <w:tc>
          <w:tcPr>
            <w:tcW w:w="360" w:type="dxa"/>
          </w:tcPr>
          <w:p w14:paraId="134C472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7051D74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Обединено кралство</w:t>
            </w:r>
          </w:p>
        </w:tc>
        <w:tc>
          <w:tcPr>
            <w:tcW w:w="724" w:type="dxa"/>
          </w:tcPr>
          <w:p w14:paraId="0EBC257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32 </w:t>
            </w:r>
          </w:p>
        </w:tc>
        <w:tc>
          <w:tcPr>
            <w:tcW w:w="416" w:type="dxa"/>
          </w:tcPr>
          <w:p w14:paraId="62F6377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1AB9FBDD"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Латвия</w:t>
            </w:r>
          </w:p>
        </w:tc>
      </w:tr>
      <w:tr w:rsidR="00271FA2" w:rsidRPr="00A013E1" w14:paraId="477DE1CB" w14:textId="77777777">
        <w:trPr>
          <w:jc w:val="center"/>
        </w:trPr>
        <w:tc>
          <w:tcPr>
            <w:tcW w:w="720" w:type="dxa"/>
          </w:tcPr>
          <w:p w14:paraId="59E1AB3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12 </w:t>
            </w:r>
          </w:p>
        </w:tc>
        <w:tc>
          <w:tcPr>
            <w:tcW w:w="360" w:type="dxa"/>
          </w:tcPr>
          <w:p w14:paraId="41723685"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55A2687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Австрия</w:t>
            </w:r>
          </w:p>
        </w:tc>
        <w:tc>
          <w:tcPr>
            <w:tcW w:w="724" w:type="dxa"/>
          </w:tcPr>
          <w:p w14:paraId="528EFA3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34</w:t>
            </w:r>
          </w:p>
        </w:tc>
        <w:tc>
          <w:tcPr>
            <w:tcW w:w="416" w:type="dxa"/>
          </w:tcPr>
          <w:p w14:paraId="52211CE4"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w:t>
            </w:r>
          </w:p>
        </w:tc>
        <w:tc>
          <w:tcPr>
            <w:tcW w:w="2205" w:type="dxa"/>
          </w:tcPr>
          <w:p w14:paraId="5B5E30A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България</w:t>
            </w:r>
          </w:p>
        </w:tc>
      </w:tr>
      <w:tr w:rsidR="00271FA2" w:rsidRPr="00A013E1" w14:paraId="7DCAA7F7" w14:textId="77777777">
        <w:trPr>
          <w:jc w:val="center"/>
        </w:trPr>
        <w:tc>
          <w:tcPr>
            <w:tcW w:w="720" w:type="dxa"/>
          </w:tcPr>
          <w:p w14:paraId="434C0223"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13 </w:t>
            </w:r>
          </w:p>
        </w:tc>
        <w:tc>
          <w:tcPr>
            <w:tcW w:w="360" w:type="dxa"/>
          </w:tcPr>
          <w:p w14:paraId="55FAC6F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10AED74E"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Люксембург </w:t>
            </w:r>
          </w:p>
        </w:tc>
        <w:tc>
          <w:tcPr>
            <w:tcW w:w="724" w:type="dxa"/>
          </w:tcPr>
          <w:p w14:paraId="1E86975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36 </w:t>
            </w:r>
          </w:p>
        </w:tc>
        <w:tc>
          <w:tcPr>
            <w:tcW w:w="416" w:type="dxa"/>
          </w:tcPr>
          <w:p w14:paraId="2C67B8F2"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222EF06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Литва</w:t>
            </w:r>
          </w:p>
        </w:tc>
      </w:tr>
      <w:tr w:rsidR="00271FA2" w:rsidRPr="00A013E1" w14:paraId="2B0FF4F9" w14:textId="77777777">
        <w:trPr>
          <w:jc w:val="center"/>
        </w:trPr>
        <w:tc>
          <w:tcPr>
            <w:tcW w:w="720" w:type="dxa"/>
          </w:tcPr>
          <w:p w14:paraId="629AA02C"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14</w:t>
            </w:r>
          </w:p>
        </w:tc>
        <w:tc>
          <w:tcPr>
            <w:tcW w:w="360" w:type="dxa"/>
          </w:tcPr>
          <w:p w14:paraId="60FF921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47959CC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Швейцария</w:t>
            </w:r>
          </w:p>
        </w:tc>
        <w:tc>
          <w:tcPr>
            <w:tcW w:w="724" w:type="dxa"/>
          </w:tcPr>
          <w:p w14:paraId="51AD7A1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49 </w:t>
            </w:r>
          </w:p>
        </w:tc>
        <w:tc>
          <w:tcPr>
            <w:tcW w:w="416" w:type="dxa"/>
          </w:tcPr>
          <w:p w14:paraId="07322D8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2B099E7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Кипър</w:t>
            </w:r>
          </w:p>
        </w:tc>
      </w:tr>
      <w:tr w:rsidR="00271FA2" w:rsidRPr="00A013E1" w14:paraId="306A1C6C" w14:textId="77777777">
        <w:trPr>
          <w:jc w:val="center"/>
        </w:trPr>
        <w:tc>
          <w:tcPr>
            <w:tcW w:w="720" w:type="dxa"/>
          </w:tcPr>
          <w:p w14:paraId="1E35B67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17 </w:t>
            </w:r>
          </w:p>
        </w:tc>
        <w:tc>
          <w:tcPr>
            <w:tcW w:w="360" w:type="dxa"/>
          </w:tcPr>
          <w:p w14:paraId="0DA5F469"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329E1951"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Финландия</w:t>
            </w:r>
          </w:p>
        </w:tc>
        <w:tc>
          <w:tcPr>
            <w:tcW w:w="724" w:type="dxa"/>
          </w:tcPr>
          <w:p w14:paraId="763E029A"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50 </w:t>
            </w:r>
          </w:p>
        </w:tc>
        <w:tc>
          <w:tcPr>
            <w:tcW w:w="416" w:type="dxa"/>
          </w:tcPr>
          <w:p w14:paraId="43F6C767"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2205" w:type="dxa"/>
          </w:tcPr>
          <w:p w14:paraId="6D4CA530"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Малта</w:t>
            </w:r>
          </w:p>
        </w:tc>
      </w:tr>
      <w:tr w:rsidR="00271FA2" w:rsidRPr="00A013E1" w14:paraId="1551A9FD" w14:textId="77777777">
        <w:trPr>
          <w:jc w:val="center"/>
        </w:trPr>
        <w:tc>
          <w:tcPr>
            <w:tcW w:w="720" w:type="dxa"/>
          </w:tcPr>
          <w:p w14:paraId="71D129FB"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18 </w:t>
            </w:r>
          </w:p>
        </w:tc>
        <w:tc>
          <w:tcPr>
            <w:tcW w:w="360" w:type="dxa"/>
          </w:tcPr>
          <w:p w14:paraId="00447EB8"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 </w:t>
            </w:r>
          </w:p>
        </w:tc>
        <w:tc>
          <w:tcPr>
            <w:tcW w:w="3162" w:type="dxa"/>
          </w:tcPr>
          <w:p w14:paraId="5EBE081F" w14:textId="77777777" w:rsidR="00271FA2" w:rsidRPr="00A013E1" w:rsidRDefault="00D35E51">
            <w:pPr>
              <w:spacing w:line="240" w:lineRule="atLeast"/>
              <w:rPr>
                <w:rFonts w:ascii="Times New Roman" w:hAnsi="Times New Roman" w:cs="Times New Roman"/>
                <w:szCs w:val="20"/>
              </w:rPr>
            </w:pPr>
            <w:r w:rsidRPr="00A013E1">
              <w:rPr>
                <w:rFonts w:ascii="Times New Roman" w:hAnsi="Times New Roman" w:cs="Times New Roman"/>
              </w:rPr>
              <w:t xml:space="preserve">Дания </w:t>
            </w:r>
          </w:p>
        </w:tc>
        <w:tc>
          <w:tcPr>
            <w:tcW w:w="724" w:type="dxa"/>
          </w:tcPr>
          <w:p w14:paraId="3B4A7EB5" w14:textId="77777777" w:rsidR="00271FA2" w:rsidRPr="00A013E1" w:rsidRDefault="00271FA2">
            <w:pPr>
              <w:spacing w:line="240" w:lineRule="atLeast"/>
              <w:rPr>
                <w:rFonts w:ascii="Times New Roman" w:hAnsi="Times New Roman" w:cs="Times New Roman"/>
                <w:szCs w:val="20"/>
              </w:rPr>
            </w:pPr>
          </w:p>
        </w:tc>
        <w:tc>
          <w:tcPr>
            <w:tcW w:w="416" w:type="dxa"/>
          </w:tcPr>
          <w:p w14:paraId="33EBA7C4" w14:textId="77777777" w:rsidR="00271FA2" w:rsidRPr="00A013E1" w:rsidRDefault="00271FA2">
            <w:pPr>
              <w:spacing w:line="240" w:lineRule="atLeast"/>
              <w:rPr>
                <w:rFonts w:ascii="Times New Roman" w:hAnsi="Times New Roman" w:cs="Times New Roman"/>
                <w:szCs w:val="20"/>
              </w:rPr>
            </w:pPr>
          </w:p>
        </w:tc>
        <w:tc>
          <w:tcPr>
            <w:tcW w:w="2205" w:type="dxa"/>
          </w:tcPr>
          <w:p w14:paraId="728FE503" w14:textId="77777777" w:rsidR="00271FA2" w:rsidRPr="00A013E1" w:rsidRDefault="00271FA2">
            <w:pPr>
              <w:spacing w:line="240" w:lineRule="atLeast"/>
              <w:rPr>
                <w:rFonts w:ascii="Times New Roman" w:hAnsi="Times New Roman" w:cs="Times New Roman"/>
                <w:szCs w:val="20"/>
              </w:rPr>
            </w:pPr>
          </w:p>
        </w:tc>
      </w:tr>
    </w:tbl>
    <w:p w14:paraId="78F31929" w14:textId="77777777" w:rsidR="00271FA2" w:rsidRPr="00A013E1" w:rsidRDefault="00D35E51" w:rsidP="00947A5C">
      <w:pPr>
        <w:tabs>
          <w:tab w:val="left" w:pos="567"/>
          <w:tab w:val="left" w:pos="993"/>
        </w:tabs>
        <w:spacing w:line="240" w:lineRule="atLeast"/>
        <w:ind w:left="1418" w:hanging="1418"/>
        <w:rPr>
          <w:rFonts w:ascii="Times New Roman" w:hAnsi="Times New Roman" w:cs="Times New Roman"/>
          <w:lang w:val="ru-RU"/>
        </w:rPr>
      </w:pPr>
      <w:r w:rsidRPr="00A013E1">
        <w:rPr>
          <w:rFonts w:ascii="Times New Roman" w:hAnsi="Times New Roman" w:cs="Times New Roman"/>
        </w:rPr>
        <w:t>NNN</w:t>
      </w:r>
      <w:r w:rsidRPr="00A013E1">
        <w:rPr>
          <w:rFonts w:ascii="Times New Roman" w:hAnsi="Times New Roman" w:cs="Times New Roman"/>
          <w:lang w:val="ru-RU"/>
        </w:rPr>
        <w:tab/>
        <w:t>=</w:t>
      </w:r>
      <w:r w:rsidRPr="00A013E1">
        <w:rPr>
          <w:rFonts w:ascii="Times New Roman" w:hAnsi="Times New Roman" w:cs="Times New Roman"/>
          <w:lang w:val="ru-RU"/>
        </w:rPr>
        <w:tab/>
        <w:t>трицифрен номер, който се определя от компетентния орган</w:t>
      </w:r>
    </w:p>
    <w:p w14:paraId="21193A53" w14:textId="77777777" w:rsidR="00271FA2" w:rsidRPr="00A013E1" w:rsidRDefault="00D35E51" w:rsidP="00947A5C">
      <w:pPr>
        <w:pStyle w:val="Esannch"/>
        <w:ind w:left="567" w:hanging="567"/>
        <w:jc w:val="both"/>
        <w:rPr>
          <w:rFonts w:ascii="Times New Roman" w:hAnsi="Times New Roman" w:cs="Times New Roman"/>
          <w:lang w:val="ru-RU"/>
        </w:rPr>
      </w:pPr>
      <w:r w:rsidRPr="00A013E1">
        <w:rPr>
          <w:rFonts w:ascii="Times New Roman" w:hAnsi="Times New Roman" w:cs="Times New Roman"/>
          <w:lang w:val="ru-RU"/>
        </w:rPr>
        <w:t>3.</w:t>
      </w:r>
      <w:r w:rsidRPr="00A013E1">
        <w:rPr>
          <w:rFonts w:ascii="Times New Roman" w:hAnsi="Times New Roman" w:cs="Times New Roman"/>
          <w:lang w:val="ru-RU"/>
        </w:rPr>
        <w:tab/>
        <w:t xml:space="preserve">Номерът на одобрението на типа се използва само във връзка със съответното одобрение на типа. </w:t>
      </w:r>
    </w:p>
    <w:p w14:paraId="13079CEB" w14:textId="44EAB997" w:rsidR="00271FA2" w:rsidRPr="00A013E1" w:rsidRDefault="00D35E51" w:rsidP="00947A5C">
      <w:pPr>
        <w:tabs>
          <w:tab w:val="left" w:pos="567"/>
        </w:tabs>
        <w:spacing w:after="240" w:line="240" w:lineRule="atLeast"/>
        <w:ind w:left="426" w:firstLine="141"/>
        <w:jc w:val="both"/>
        <w:rPr>
          <w:rFonts w:ascii="Times New Roman" w:hAnsi="Times New Roman" w:cs="Times New Roman"/>
          <w:szCs w:val="20"/>
          <w:lang w:val="ru-RU"/>
        </w:rPr>
      </w:pPr>
      <w:r w:rsidRPr="00A013E1">
        <w:rPr>
          <w:rFonts w:ascii="Times New Roman" w:hAnsi="Times New Roman" w:cs="Times New Roman"/>
          <w:lang w:val="ru-RU"/>
        </w:rPr>
        <w:t>Задължение на заявителя е да представи и постави номера на одобрението на типа.</w:t>
      </w:r>
    </w:p>
    <w:p w14:paraId="261BAA7B"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lastRenderedPageBreak/>
        <w:t>Член 1.07</w:t>
      </w:r>
    </w:p>
    <w:p w14:paraId="0E67F2A0" w14:textId="77777777" w:rsidR="00271FA2" w:rsidRPr="00A013E1" w:rsidRDefault="00D35E51" w:rsidP="00322449">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szCs w:val="20"/>
          <w:lang w:val="ru-RU"/>
        </w:rPr>
      </w:pPr>
      <w:r w:rsidRPr="00A013E1">
        <w:rPr>
          <w:rFonts w:ascii="Times New Roman" w:hAnsi="Times New Roman" w:cs="Times New Roman"/>
          <w:i/>
          <w:lang w:val="ru-RU"/>
        </w:rPr>
        <w:t>Декларация на производителя</w:t>
      </w:r>
    </w:p>
    <w:p w14:paraId="44D3919B" w14:textId="77777777"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Всяка единица оборудване се придружава от декларация на производителя.</w:t>
      </w:r>
    </w:p>
    <w:p w14:paraId="0385CAF8" w14:textId="77777777" w:rsidR="00271FA2" w:rsidRPr="00A013E1" w:rsidRDefault="00D35E51" w:rsidP="00947A5C">
      <w:pPr>
        <w:tabs>
          <w:tab w:val="left" w:pos="284"/>
          <w:tab w:val="left" w:pos="454"/>
          <w:tab w:val="left" w:pos="680"/>
          <w:tab w:val="left" w:pos="1021"/>
        </w:tabs>
        <w:overflowPunct w:val="0"/>
        <w:adjustRightInd w:val="0"/>
        <w:spacing w:before="240"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Член 1.08</w:t>
      </w:r>
    </w:p>
    <w:p w14:paraId="3EC82F89" w14:textId="77777777" w:rsidR="00271FA2" w:rsidRPr="00A013E1" w:rsidRDefault="00D35E51" w:rsidP="00947A5C">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szCs w:val="20"/>
          <w:lang w:val="ru-RU"/>
        </w:rPr>
      </w:pPr>
      <w:r w:rsidRPr="00A013E1">
        <w:rPr>
          <w:rFonts w:ascii="Times New Roman" w:hAnsi="Times New Roman" w:cs="Times New Roman"/>
          <w:i/>
          <w:lang w:val="ru-RU"/>
        </w:rPr>
        <w:t>Изменения на оборудване с одобрен тип</w:t>
      </w:r>
    </w:p>
    <w:p w14:paraId="20D47164" w14:textId="77777777" w:rsidR="00271FA2" w:rsidRPr="00A013E1" w:rsidRDefault="00D35E51" w:rsidP="00947A5C">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Всякакви изменения, внесени в оборудване, което вече е одобрено, водят до анулиране на одобрението на типа. </w:t>
      </w:r>
    </w:p>
    <w:p w14:paraId="110EBBE8" w14:textId="77777777" w:rsidR="00271FA2" w:rsidRPr="00A013E1" w:rsidRDefault="00D35E51" w:rsidP="00947A5C">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Когато се планират изменения, данните се представят в писмена форма на компетентната техническа служба.</w:t>
      </w:r>
    </w:p>
    <w:p w14:paraId="7D4B7E0E" w14:textId="77777777" w:rsidR="00271FA2" w:rsidRPr="00A013E1" w:rsidRDefault="00D35E51" w:rsidP="00947A5C">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Компетентният орган решава след консултации с техническата служба дали одобрението на типа остава валидно, или се налага нова проверка или изпитване на типа.</w:t>
      </w:r>
    </w:p>
    <w:p w14:paraId="542FE9ED" w14:textId="0CE86D25" w:rsidR="00322449" w:rsidRPr="00A013E1" w:rsidRDefault="00D35E51" w:rsidP="00947A5C">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 случай на ново изпитване на типа се определя нов номер на одобрение на типа.</w:t>
      </w:r>
    </w:p>
    <w:p w14:paraId="4BAFD5D2" w14:textId="77777777" w:rsidR="00322449" w:rsidRPr="00A013E1" w:rsidRDefault="00322449">
      <w:pPr>
        <w:rPr>
          <w:rFonts w:ascii="Times New Roman" w:hAnsi="Times New Roman" w:cs="Times New Roman"/>
          <w:lang w:val="ru-RU"/>
        </w:rPr>
      </w:pPr>
      <w:r w:rsidRPr="00A013E1">
        <w:rPr>
          <w:rFonts w:ascii="Times New Roman" w:hAnsi="Times New Roman" w:cs="Times New Roman"/>
          <w:lang w:val="ru-RU"/>
        </w:rPr>
        <w:br w:type="page"/>
      </w:r>
    </w:p>
    <w:p w14:paraId="4D2E1944" w14:textId="08E84CCA" w:rsidR="00271FA2" w:rsidRPr="00A013E1" w:rsidRDefault="00271FA2">
      <w:pPr>
        <w:spacing w:line="240" w:lineRule="atLeast"/>
        <w:rPr>
          <w:rFonts w:ascii="Times New Roman" w:hAnsi="Times New Roman" w:cs="Times New Roman"/>
          <w:szCs w:val="20"/>
          <w:lang w:val="ru-RU"/>
        </w:rPr>
      </w:pPr>
    </w:p>
    <w:p w14:paraId="7C8C1C51"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Глава 2</w:t>
      </w:r>
    </w:p>
    <w:p w14:paraId="26274EBB" w14:textId="7BDEB28A" w:rsidR="00271FA2" w:rsidRPr="00A013E1" w:rsidRDefault="00D35E51" w:rsidP="00322449">
      <w:pPr>
        <w:overflowPunct w:val="0"/>
        <w:adjustRightInd w:val="0"/>
        <w:spacing w:after="240" w:line="240" w:lineRule="atLeast"/>
        <w:jc w:val="center"/>
        <w:textAlignment w:val="baseline"/>
        <w:rPr>
          <w:rFonts w:ascii="Times New Roman" w:hAnsi="Times New Roman" w:cs="Times New Roman"/>
          <w:szCs w:val="20"/>
          <w:lang w:val="ru-RU"/>
        </w:rPr>
      </w:pPr>
      <w:r w:rsidRPr="00A013E1">
        <w:rPr>
          <w:rFonts w:ascii="Times New Roman" w:hAnsi="Times New Roman" w:cs="Times New Roman"/>
          <w:b/>
          <w:lang w:val="ru-RU"/>
        </w:rPr>
        <w:t>Общи минимални изисквания за индикатори на ъгловата скорост</w:t>
      </w:r>
      <w:r w:rsidR="0089161D" w:rsidRPr="00A013E1">
        <w:rPr>
          <w:rFonts w:ascii="Times New Roman" w:hAnsi="Times New Roman" w:cs="Times New Roman"/>
          <w:b/>
        </w:rPr>
        <w:t xml:space="preserve"> </w:t>
      </w:r>
      <w:r w:rsidR="0078218A" w:rsidRPr="00A013E1">
        <w:rPr>
          <w:rFonts w:ascii="Times New Roman" w:hAnsi="Times New Roman" w:cs="Times New Roman"/>
          <w:b/>
          <w:lang w:val="ru-RU"/>
        </w:rPr>
        <w:t>на завиване</w:t>
      </w:r>
    </w:p>
    <w:p w14:paraId="4D0426C9"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Член 2.01</w:t>
      </w:r>
    </w:p>
    <w:p w14:paraId="3350D878" w14:textId="77777777" w:rsidR="00271FA2" w:rsidRPr="00A013E1" w:rsidRDefault="00D35E51" w:rsidP="00322449">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szCs w:val="20"/>
          <w:lang w:val="ru-RU"/>
        </w:rPr>
      </w:pPr>
      <w:r w:rsidRPr="00A013E1">
        <w:rPr>
          <w:rFonts w:ascii="Times New Roman" w:hAnsi="Times New Roman" w:cs="Times New Roman"/>
          <w:i/>
          <w:lang w:val="ru-RU"/>
        </w:rPr>
        <w:t>Изграждане, проектиране</w:t>
      </w:r>
    </w:p>
    <w:p w14:paraId="3F8D3934" w14:textId="29744C6C" w:rsidR="00271FA2" w:rsidRPr="00A013E1" w:rsidRDefault="00D35E51" w:rsidP="00322449">
      <w:pPr>
        <w:spacing w:line="240" w:lineRule="atLeast"/>
        <w:ind w:left="567" w:hanging="567"/>
        <w:jc w:val="both"/>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1.</w:t>
      </w:r>
      <w:r w:rsidRPr="00A013E1">
        <w:rPr>
          <w:rFonts w:ascii="Times New Roman" w:hAnsi="Times New Roman" w:cs="Times New Roman"/>
          <w:lang w:val="ru-RU"/>
        </w:rPr>
        <w:tab/>
      </w:r>
      <w:r w:rsidRPr="00A013E1">
        <w:rPr>
          <w:rFonts w:ascii="Times New Roman" w:hAnsi="Times New Roman" w:cs="Times New Roman"/>
          <w:snapToGrid w:val="0"/>
          <w:color w:val="000000"/>
          <w:lang w:val="ru-RU"/>
        </w:rPr>
        <w:t>Индикаторите на ъгловата скорост</w:t>
      </w:r>
      <w:r w:rsidR="0078218A" w:rsidRPr="00A013E1">
        <w:rPr>
          <w:rFonts w:ascii="Times New Roman" w:hAnsi="Times New Roman" w:cs="Times New Roman"/>
          <w:snapToGrid w:val="0"/>
          <w:color w:val="000000"/>
          <w:lang w:val="ru-RU"/>
        </w:rPr>
        <w:t>на завиване</w:t>
      </w:r>
      <w:r w:rsidRPr="00A013E1">
        <w:rPr>
          <w:rFonts w:ascii="Times New Roman" w:hAnsi="Times New Roman" w:cs="Times New Roman"/>
          <w:snapToGrid w:val="0"/>
          <w:color w:val="000000"/>
          <w:lang w:val="ru-RU"/>
        </w:rPr>
        <w:t xml:space="preserve"> трябва да бъдат годни за експлоатация на борда на плавателни съдове за вътрешно корабоплаване.</w:t>
      </w:r>
    </w:p>
    <w:p w14:paraId="27D84FEA" w14:textId="77777777" w:rsidR="00271FA2" w:rsidRPr="00A013E1" w:rsidRDefault="00D35E51" w:rsidP="00322449">
      <w:pPr>
        <w:spacing w:line="240" w:lineRule="atLeast"/>
        <w:ind w:left="567" w:hanging="567"/>
        <w:jc w:val="both"/>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2.</w:t>
      </w:r>
      <w:r w:rsidRPr="00A013E1">
        <w:rPr>
          <w:rFonts w:ascii="Times New Roman" w:hAnsi="Times New Roman" w:cs="Times New Roman"/>
          <w:lang w:val="ru-RU"/>
        </w:rPr>
        <w:tab/>
      </w:r>
      <w:r w:rsidRPr="00A013E1">
        <w:rPr>
          <w:rFonts w:ascii="Times New Roman" w:hAnsi="Times New Roman" w:cs="Times New Roman"/>
          <w:snapToGrid w:val="0"/>
          <w:color w:val="000000"/>
          <w:lang w:val="ru-RU"/>
        </w:rPr>
        <w:t>Изграждането и проектирането на оборудването трябва да отговарят на действащата добра инженерна практика от механична и електротехническа гледна точка.</w:t>
      </w:r>
    </w:p>
    <w:p w14:paraId="307E9D8C" w14:textId="77777777" w:rsidR="00271FA2" w:rsidRPr="00A013E1" w:rsidRDefault="00D35E51" w:rsidP="00322449">
      <w:pPr>
        <w:spacing w:line="240" w:lineRule="atLeast"/>
        <w:ind w:left="567" w:hanging="567"/>
        <w:jc w:val="both"/>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При отсъствие на конкретна разпоредба в настоящия стандарт, по отношение на електрозахранването, безопасността, взаимните смущения на бордовото оборудване, разстоянието на безопасност от компаса, устойчивостта на климатични въздействия, механичната якост, влиянието върху околната среда, излъчването на шум в звуковата област и маркировката на оборудването се прилагат изискванията и методите за изпитване, съдържащи се в Европейски стандарт </w:t>
      </w:r>
      <w:r w:rsidRPr="00A013E1">
        <w:rPr>
          <w:rFonts w:ascii="Times New Roman" w:hAnsi="Times New Roman" w:cs="Times New Roman"/>
          <w:color w:val="000000"/>
        </w:rPr>
        <w:t>EN</w:t>
      </w:r>
      <w:r w:rsidRPr="00A013E1">
        <w:rPr>
          <w:rFonts w:ascii="Times New Roman" w:hAnsi="Times New Roman" w:cs="Times New Roman"/>
          <w:color w:val="000000"/>
          <w:lang w:val="ru-RU"/>
        </w:rPr>
        <w:t xml:space="preserve"> 60945:2002.</w:t>
      </w:r>
    </w:p>
    <w:p w14:paraId="046EE006" w14:textId="77777777" w:rsidR="00271FA2" w:rsidRPr="00A013E1" w:rsidRDefault="00D35E51" w:rsidP="00322449">
      <w:pPr>
        <w:spacing w:after="240" w:line="240" w:lineRule="atLeast"/>
        <w:ind w:left="567"/>
        <w:jc w:val="both"/>
        <w:rPr>
          <w:rFonts w:ascii="Times New Roman" w:hAnsi="Times New Roman" w:cs="Times New Roman"/>
          <w:snapToGrid w:val="0"/>
          <w:lang w:val="ru-RU"/>
        </w:rPr>
      </w:pPr>
      <w:r w:rsidRPr="00A013E1">
        <w:rPr>
          <w:rFonts w:ascii="Times New Roman" w:hAnsi="Times New Roman" w:cs="Times New Roman"/>
          <w:lang w:val="ru-RU"/>
        </w:rPr>
        <w:t>Оборудването трябва да съответства на всички изисквания на настоящото приложение при температури на околната среда между 0°</w:t>
      </w:r>
      <w:r w:rsidRPr="00A013E1">
        <w:rPr>
          <w:rFonts w:ascii="Times New Roman" w:hAnsi="Times New Roman" w:cs="Times New Roman"/>
        </w:rPr>
        <w:t>C</w:t>
      </w:r>
      <w:r w:rsidRPr="00A013E1">
        <w:rPr>
          <w:rFonts w:ascii="Times New Roman" w:hAnsi="Times New Roman" w:cs="Times New Roman"/>
          <w:lang w:val="ru-RU"/>
        </w:rPr>
        <w:t xml:space="preserve"> и +40°</w:t>
      </w:r>
      <w:r w:rsidRPr="00A013E1">
        <w:rPr>
          <w:rFonts w:ascii="Times New Roman" w:hAnsi="Times New Roman" w:cs="Times New Roman"/>
        </w:rPr>
        <w:t>C</w:t>
      </w:r>
      <w:r w:rsidRPr="00A013E1">
        <w:rPr>
          <w:rFonts w:ascii="Times New Roman" w:hAnsi="Times New Roman" w:cs="Times New Roman"/>
          <w:lang w:val="ru-RU"/>
        </w:rPr>
        <w:t>.</w:t>
      </w:r>
    </w:p>
    <w:p w14:paraId="2C9509B1"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Член 2.02</w:t>
      </w:r>
    </w:p>
    <w:p w14:paraId="6CA19806" w14:textId="77777777" w:rsidR="00271FA2" w:rsidRPr="00A013E1" w:rsidRDefault="00D35E51" w:rsidP="00322449">
      <w:pPr>
        <w:tabs>
          <w:tab w:val="left" w:pos="284"/>
          <w:tab w:val="left" w:pos="454"/>
          <w:tab w:val="left" w:pos="680"/>
          <w:tab w:val="left" w:pos="1021"/>
        </w:tabs>
        <w:overflowPunct w:val="0"/>
        <w:adjustRightInd w:val="0"/>
        <w:spacing w:after="240" w:line="240" w:lineRule="atLeast"/>
        <w:ind w:left="567" w:hanging="567"/>
        <w:jc w:val="center"/>
        <w:textAlignment w:val="baseline"/>
        <w:rPr>
          <w:rFonts w:ascii="Times New Roman" w:hAnsi="Times New Roman" w:cs="Times New Roman"/>
          <w:szCs w:val="20"/>
          <w:lang w:val="ru-RU"/>
        </w:rPr>
      </w:pPr>
      <w:r w:rsidRPr="00A013E1">
        <w:rPr>
          <w:rFonts w:ascii="Times New Roman" w:hAnsi="Times New Roman" w:cs="Times New Roman"/>
          <w:i/>
          <w:lang w:val="ru-RU"/>
        </w:rPr>
        <w:t>Паразитни излъчвания и електромагнитна съвместимост</w:t>
      </w:r>
    </w:p>
    <w:p w14:paraId="0E521E63" w14:textId="77777777" w:rsidR="00271FA2" w:rsidRPr="00A013E1" w:rsidRDefault="00D35E51" w:rsidP="00322449">
      <w:pPr>
        <w:spacing w:line="240" w:lineRule="atLeast"/>
        <w:ind w:left="567" w:hanging="567"/>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w w:val="103"/>
          <w:lang w:val="ru-RU"/>
        </w:rPr>
        <w:t>Общи изисквания</w:t>
      </w:r>
    </w:p>
    <w:p w14:paraId="7F646758" w14:textId="6DA4A179" w:rsidR="00271FA2" w:rsidRPr="00A013E1" w:rsidRDefault="00D35E51" w:rsidP="00322449">
      <w:pPr>
        <w:spacing w:line="240" w:lineRule="atLeast"/>
        <w:ind w:left="567"/>
        <w:jc w:val="both"/>
        <w:rPr>
          <w:rFonts w:ascii="Times New Roman" w:hAnsi="Times New Roman" w:cs="Times New Roman"/>
          <w:szCs w:val="20"/>
          <w:lang w:val="ru-RU"/>
        </w:rPr>
      </w:pPr>
      <w:r w:rsidRPr="00A013E1">
        <w:rPr>
          <w:rFonts w:ascii="Times New Roman" w:hAnsi="Times New Roman" w:cs="Times New Roman"/>
          <w:lang w:val="ru-RU"/>
        </w:rPr>
        <w:t>Индикаторите на ъгловата скорост</w:t>
      </w:r>
      <w:r w:rsidR="0089161D"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трябва да отговарят на изискванията на Директива 2014/30/ЕС</w:t>
      </w:r>
      <w:r w:rsidRPr="00A013E1">
        <w:rPr>
          <w:rFonts w:ascii="Times New Roman" w:hAnsi="Times New Roman" w:cs="Times New Roman"/>
          <w:vertAlign w:val="superscript"/>
        </w:rPr>
        <w:footnoteReference w:id="38"/>
      </w:r>
      <w:r w:rsidRPr="00A013E1">
        <w:rPr>
          <w:rFonts w:ascii="Times New Roman" w:hAnsi="Times New Roman" w:cs="Times New Roman"/>
          <w:lang w:val="ru-RU"/>
        </w:rPr>
        <w:t>.</w:t>
      </w:r>
    </w:p>
    <w:p w14:paraId="49DDA1B1" w14:textId="77777777" w:rsidR="00271FA2" w:rsidRPr="00A013E1" w:rsidRDefault="00D35E51" w:rsidP="00322449">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Паразитни излъчвания</w:t>
      </w:r>
    </w:p>
    <w:p w14:paraId="5690CD8E" w14:textId="77777777" w:rsidR="00271FA2" w:rsidRPr="00A013E1" w:rsidRDefault="00D35E51" w:rsidP="00322449">
      <w:pPr>
        <w:spacing w:after="240" w:line="240" w:lineRule="atLeast"/>
        <w:ind w:left="567"/>
        <w:jc w:val="both"/>
        <w:rPr>
          <w:rFonts w:ascii="Times New Roman" w:hAnsi="Times New Roman" w:cs="Times New Roman"/>
          <w:szCs w:val="20"/>
          <w:lang w:val="ru-RU"/>
        </w:rPr>
      </w:pPr>
      <w:r w:rsidRPr="00A013E1">
        <w:rPr>
          <w:rFonts w:ascii="Times New Roman" w:hAnsi="Times New Roman" w:cs="Times New Roman"/>
          <w:lang w:val="ru-RU"/>
        </w:rPr>
        <w:t xml:space="preserve">В честотните обхвати от 156 до 165 </w:t>
      </w:r>
      <w:r w:rsidRPr="00A013E1">
        <w:rPr>
          <w:rFonts w:ascii="Times New Roman" w:hAnsi="Times New Roman" w:cs="Times New Roman"/>
        </w:rPr>
        <w:t>mHz</w:t>
      </w:r>
      <w:r w:rsidRPr="00A013E1">
        <w:rPr>
          <w:rFonts w:ascii="Times New Roman" w:hAnsi="Times New Roman" w:cs="Times New Roman"/>
          <w:lang w:val="ru-RU"/>
        </w:rPr>
        <w:t xml:space="preserve">, от 450 до 470 </w:t>
      </w:r>
      <w:r w:rsidRPr="00A013E1">
        <w:rPr>
          <w:rFonts w:ascii="Times New Roman" w:hAnsi="Times New Roman" w:cs="Times New Roman"/>
        </w:rPr>
        <w:t>mHz</w:t>
      </w:r>
      <w:r w:rsidRPr="00A013E1">
        <w:rPr>
          <w:rFonts w:ascii="Times New Roman" w:hAnsi="Times New Roman" w:cs="Times New Roman"/>
          <w:lang w:val="ru-RU"/>
        </w:rPr>
        <w:t xml:space="preserve"> и от 1,53 до 1,544 </w:t>
      </w:r>
      <w:r w:rsidRPr="00A013E1">
        <w:rPr>
          <w:rFonts w:ascii="Times New Roman" w:hAnsi="Times New Roman" w:cs="Times New Roman"/>
        </w:rPr>
        <w:t>GHz</w:t>
      </w:r>
      <w:r w:rsidRPr="00A013E1">
        <w:rPr>
          <w:rFonts w:ascii="Times New Roman" w:hAnsi="Times New Roman" w:cs="Times New Roman"/>
          <w:lang w:val="ru-RU"/>
        </w:rPr>
        <w:t xml:space="preserve"> интензитетът на полето не трябва да превишава 15 µ</w:t>
      </w:r>
      <w:r w:rsidRPr="00A013E1">
        <w:rPr>
          <w:rFonts w:ascii="Times New Roman" w:hAnsi="Times New Roman" w:cs="Times New Roman"/>
        </w:rPr>
        <w:t>V</w:t>
      </w:r>
      <w:r w:rsidRPr="00A013E1">
        <w:rPr>
          <w:rFonts w:ascii="Times New Roman" w:hAnsi="Times New Roman" w:cs="Times New Roman"/>
          <w:lang w:val="ru-RU"/>
        </w:rPr>
        <w:t>/</w:t>
      </w:r>
      <w:r w:rsidRPr="00A013E1">
        <w:rPr>
          <w:rFonts w:ascii="Times New Roman" w:hAnsi="Times New Roman" w:cs="Times New Roman"/>
        </w:rPr>
        <w:t>m</w:t>
      </w:r>
      <w:r w:rsidRPr="00A013E1">
        <w:rPr>
          <w:rFonts w:ascii="Times New Roman" w:hAnsi="Times New Roman" w:cs="Times New Roman"/>
          <w:lang w:val="ru-RU"/>
        </w:rPr>
        <w:t xml:space="preserve">. Тези интензитети на полето са валидни за разстояние на изпитване 3 </w:t>
      </w:r>
      <w:r w:rsidRPr="00A013E1">
        <w:rPr>
          <w:rFonts w:ascii="Times New Roman" w:hAnsi="Times New Roman" w:cs="Times New Roman"/>
        </w:rPr>
        <w:t>m</w:t>
      </w:r>
      <w:r w:rsidRPr="00A013E1">
        <w:rPr>
          <w:rFonts w:ascii="Times New Roman" w:hAnsi="Times New Roman" w:cs="Times New Roman"/>
          <w:lang w:val="ru-RU"/>
        </w:rPr>
        <w:t xml:space="preserve"> от оборудването, което се изпитва.</w:t>
      </w:r>
    </w:p>
    <w:p w14:paraId="0C2A9AA7" w14:textId="77777777" w:rsidR="00271FA2" w:rsidRPr="00A013E1" w:rsidRDefault="00D35E51" w:rsidP="00322449">
      <w:pPr>
        <w:tabs>
          <w:tab w:val="left" w:pos="284"/>
          <w:tab w:val="left" w:pos="454"/>
          <w:tab w:val="left" w:pos="680"/>
          <w:tab w:val="left" w:pos="1021"/>
        </w:tabs>
        <w:overflowPunct w:val="0"/>
        <w:adjustRightInd w:val="0"/>
        <w:spacing w:line="240" w:lineRule="atLeast"/>
        <w:ind w:left="567" w:hanging="567"/>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Член 2.03</w:t>
      </w:r>
    </w:p>
    <w:p w14:paraId="597BB8E1" w14:textId="77777777" w:rsidR="00271FA2" w:rsidRPr="00A013E1" w:rsidRDefault="00D35E51" w:rsidP="00322449">
      <w:pPr>
        <w:tabs>
          <w:tab w:val="left" w:pos="284"/>
          <w:tab w:val="left" w:pos="454"/>
          <w:tab w:val="left" w:pos="680"/>
          <w:tab w:val="left" w:pos="1021"/>
        </w:tabs>
        <w:overflowPunct w:val="0"/>
        <w:adjustRightInd w:val="0"/>
        <w:spacing w:after="240" w:line="240" w:lineRule="atLeast"/>
        <w:ind w:left="567" w:hanging="567"/>
        <w:jc w:val="center"/>
        <w:textAlignment w:val="baseline"/>
        <w:rPr>
          <w:rFonts w:ascii="Times New Roman" w:hAnsi="Times New Roman" w:cs="Times New Roman"/>
          <w:szCs w:val="20"/>
          <w:lang w:val="ru-RU"/>
        </w:rPr>
      </w:pPr>
      <w:r w:rsidRPr="00A013E1">
        <w:rPr>
          <w:rFonts w:ascii="Times New Roman" w:hAnsi="Times New Roman" w:cs="Times New Roman"/>
          <w:i/>
          <w:lang w:val="ru-RU"/>
        </w:rPr>
        <w:t>Експлоатация</w:t>
      </w:r>
    </w:p>
    <w:p w14:paraId="7A708320" w14:textId="77777777" w:rsidR="00271FA2" w:rsidRPr="00A013E1" w:rsidRDefault="00D35E51" w:rsidP="00322449">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Оборудването не трябва да има повече устройства за управление, отколкото са необходими за правилната му експлоатация.</w:t>
      </w:r>
    </w:p>
    <w:p w14:paraId="49635856" w14:textId="77777777" w:rsidR="00271FA2" w:rsidRPr="00A013E1" w:rsidRDefault="00D35E51" w:rsidP="0032244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Конструкцията, маркировката и боравенето с устройствата за управление трябва да са такива, че да позволяват използването им по прост, еднозначен и бърз начин.  </w:t>
      </w:r>
    </w:p>
    <w:p w14:paraId="0340C2DF" w14:textId="77777777" w:rsidR="00271FA2" w:rsidRPr="00A013E1" w:rsidRDefault="00D35E51" w:rsidP="0032244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Разположението им трябва да е такова, че доколкото е възможно, да се предотвратяват грешките при работа.</w:t>
      </w:r>
    </w:p>
    <w:p w14:paraId="6680A081" w14:textId="77777777" w:rsidR="00271FA2" w:rsidRPr="00A013E1" w:rsidRDefault="00D35E51" w:rsidP="0032244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Устройствата за управление, които не са необходими за нормална работа, не следва да са леснодостъпни.</w:t>
      </w:r>
    </w:p>
    <w:p w14:paraId="6F9A573E" w14:textId="77777777" w:rsidR="00271FA2" w:rsidRPr="00A013E1" w:rsidRDefault="00D35E51" w:rsidP="00322449">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lastRenderedPageBreak/>
        <w:t>2.</w:t>
      </w:r>
      <w:r w:rsidRPr="00A013E1">
        <w:rPr>
          <w:rFonts w:ascii="Times New Roman" w:hAnsi="Times New Roman" w:cs="Times New Roman"/>
          <w:lang w:val="ru-RU"/>
        </w:rPr>
        <w:tab/>
        <w:t xml:space="preserve">Всички устройства за управление и индикатори са оборудвани със символи и/или маркировки на английски език. Символите трябва да отговарят на изискванията на Европейски стандарт </w:t>
      </w:r>
      <w:r w:rsidRPr="00A013E1">
        <w:rPr>
          <w:rFonts w:ascii="Times New Roman" w:hAnsi="Times New Roman" w:cs="Times New Roman"/>
        </w:rPr>
        <w:t>EN</w:t>
      </w:r>
      <w:r w:rsidRPr="00A013E1">
        <w:rPr>
          <w:rFonts w:ascii="Times New Roman" w:hAnsi="Times New Roman" w:cs="Times New Roman"/>
          <w:lang w:val="ru-RU"/>
        </w:rPr>
        <w:t xml:space="preserve"> 60417:2002 </w:t>
      </w:r>
      <w:r w:rsidRPr="00A013E1">
        <w:rPr>
          <w:rFonts w:ascii="Times New Roman" w:hAnsi="Times New Roman" w:cs="Times New Roman"/>
        </w:rPr>
        <w:t>DB</w:t>
      </w:r>
      <w:r w:rsidRPr="00A013E1">
        <w:rPr>
          <w:rFonts w:ascii="Times New Roman" w:hAnsi="Times New Roman" w:cs="Times New Roman"/>
          <w:lang w:val="ru-RU"/>
        </w:rPr>
        <w:t xml:space="preserve"> (графични символи, които се поставят върху електрическите съоръжения).</w:t>
      </w:r>
    </w:p>
    <w:p w14:paraId="0F11E953" w14:textId="77777777" w:rsidR="00271FA2" w:rsidRPr="00A013E1" w:rsidRDefault="00D35E51" w:rsidP="0032244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Всички цифри и букви имат височина не по-малко от 4 </w:t>
      </w:r>
      <w:r w:rsidRPr="00A013E1">
        <w:rPr>
          <w:rFonts w:ascii="Times New Roman" w:hAnsi="Times New Roman" w:cs="Times New Roman"/>
        </w:rPr>
        <w:t>mm</w:t>
      </w:r>
      <w:r w:rsidRPr="00A013E1">
        <w:rPr>
          <w:rFonts w:ascii="Times New Roman" w:hAnsi="Times New Roman" w:cs="Times New Roman"/>
          <w:lang w:val="ru-RU"/>
        </w:rPr>
        <w:t xml:space="preserve">. Ако може да бъде доказано, че поради технически причини цифри и букви с височина 4 </w:t>
      </w:r>
      <w:r w:rsidRPr="00A013E1">
        <w:rPr>
          <w:rFonts w:ascii="Times New Roman" w:hAnsi="Times New Roman" w:cs="Times New Roman"/>
        </w:rPr>
        <w:t>mm</w:t>
      </w:r>
      <w:r w:rsidRPr="00A013E1">
        <w:rPr>
          <w:rFonts w:ascii="Times New Roman" w:hAnsi="Times New Roman" w:cs="Times New Roman"/>
          <w:lang w:val="ru-RU"/>
        </w:rPr>
        <w:t xml:space="preserve"> не са възможни и ако за целите на експлоатацията са приемливи по-малки цифри и букви, се допуска намаляване до 3 </w:t>
      </w:r>
      <w:r w:rsidRPr="00A013E1">
        <w:rPr>
          <w:rFonts w:ascii="Times New Roman" w:hAnsi="Times New Roman" w:cs="Times New Roman"/>
        </w:rPr>
        <w:t>mm</w:t>
      </w:r>
      <w:r w:rsidRPr="00A013E1">
        <w:rPr>
          <w:rFonts w:ascii="Times New Roman" w:hAnsi="Times New Roman" w:cs="Times New Roman"/>
          <w:lang w:val="ru-RU"/>
        </w:rPr>
        <w:t>.</w:t>
      </w:r>
    </w:p>
    <w:p w14:paraId="3D30DC1C" w14:textId="77777777" w:rsidR="00271FA2" w:rsidRPr="00A013E1" w:rsidRDefault="00D35E51" w:rsidP="00322449">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Оборудването се проектира, така че грешки при обслужването му да не могат да доведат до отказ.</w:t>
      </w:r>
    </w:p>
    <w:p w14:paraId="1678F88A" w14:textId="77777777" w:rsidR="00271FA2" w:rsidRPr="00A013E1" w:rsidRDefault="00D35E51" w:rsidP="00322449">
      <w:pPr>
        <w:spacing w:after="240"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4.</w:t>
      </w:r>
      <w:r w:rsidRPr="00A013E1">
        <w:rPr>
          <w:rFonts w:ascii="Times New Roman" w:hAnsi="Times New Roman" w:cs="Times New Roman"/>
          <w:lang w:val="ru-RU"/>
        </w:rPr>
        <w:tab/>
      </w:r>
      <w:r w:rsidRPr="00A013E1">
        <w:rPr>
          <w:rFonts w:ascii="Times New Roman" w:hAnsi="Times New Roman" w:cs="Times New Roman"/>
          <w:color w:val="000000"/>
          <w:lang w:val="ru-RU"/>
        </w:rPr>
        <w:t>Всякакви функции над и свръх минималните изисквания, каквито са съоръженията за свързване с друго оборудване, се подсигуряват по такъв начин, че оборудването да отговаря на минималните изисквания при всякакви условия.</w:t>
      </w:r>
    </w:p>
    <w:p w14:paraId="39E37BDB"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Член 2.04</w:t>
      </w:r>
    </w:p>
    <w:p w14:paraId="67136376" w14:textId="77777777" w:rsidR="00271FA2" w:rsidRPr="00A013E1" w:rsidRDefault="00D35E51" w:rsidP="00322449">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szCs w:val="20"/>
          <w:lang w:val="ru-RU"/>
        </w:rPr>
      </w:pPr>
      <w:r w:rsidRPr="00A013E1">
        <w:rPr>
          <w:rFonts w:ascii="Times New Roman" w:hAnsi="Times New Roman" w:cs="Times New Roman"/>
          <w:i/>
          <w:lang w:val="ru-RU"/>
        </w:rPr>
        <w:t>Ръководство за работа за оператора</w:t>
      </w:r>
    </w:p>
    <w:p w14:paraId="6DDB9D13" w14:textId="77777777" w:rsidR="00271FA2" w:rsidRPr="00A013E1" w:rsidRDefault="00D35E51" w:rsidP="00322449">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За всяка единица обо</w:t>
      </w:r>
      <w:r w:rsidR="008C4C87" w:rsidRPr="00A013E1">
        <w:rPr>
          <w:rFonts w:ascii="Times New Roman" w:hAnsi="Times New Roman" w:cs="Times New Roman"/>
          <w:lang w:val="ru-RU"/>
        </w:rPr>
        <w:t>рудване се предоставя подробна И</w:t>
      </w:r>
      <w:r w:rsidRPr="00A013E1">
        <w:rPr>
          <w:rFonts w:ascii="Times New Roman" w:hAnsi="Times New Roman" w:cs="Times New Roman"/>
          <w:lang w:val="ru-RU"/>
        </w:rPr>
        <w:t>нструкция за експлоатация. Тя трябва да бъде на разположение на английски, немски, нидерландски и френски език и да съдържа най-малко следната информация:</w:t>
      </w:r>
    </w:p>
    <w:p w14:paraId="1D25E1BC" w14:textId="77777777" w:rsidR="00271FA2" w:rsidRPr="00A013E1" w:rsidRDefault="00D35E51" w:rsidP="00322449">
      <w:pPr>
        <w:numPr>
          <w:ilvl w:val="0"/>
          <w:numId w:val="41"/>
        </w:numPr>
        <w:spacing w:line="240" w:lineRule="atLeast"/>
        <w:ind w:left="567"/>
        <w:jc w:val="both"/>
        <w:rPr>
          <w:rFonts w:ascii="Times New Roman" w:hAnsi="Times New Roman" w:cs="Times New Roman"/>
        </w:rPr>
      </w:pPr>
      <w:r w:rsidRPr="00A013E1">
        <w:rPr>
          <w:rFonts w:ascii="Times New Roman" w:hAnsi="Times New Roman" w:cs="Times New Roman"/>
        </w:rPr>
        <w:t>задействане и експлоатация;</w:t>
      </w:r>
    </w:p>
    <w:p w14:paraId="51519847" w14:textId="77777777" w:rsidR="00271FA2" w:rsidRPr="00A013E1" w:rsidRDefault="00D35E51" w:rsidP="00322449">
      <w:pPr>
        <w:spacing w:line="240" w:lineRule="atLeast"/>
        <w:ind w:left="567"/>
        <w:jc w:val="both"/>
        <w:rPr>
          <w:rFonts w:ascii="Times New Roman" w:hAnsi="Times New Roman" w:cs="Times New Roman"/>
        </w:rPr>
      </w:pPr>
      <w:r w:rsidRPr="00A013E1">
        <w:rPr>
          <w:rFonts w:ascii="Times New Roman" w:hAnsi="Times New Roman" w:cs="Times New Roman"/>
        </w:rPr>
        <w:t>б) поддръжка и обслужване;</w:t>
      </w:r>
    </w:p>
    <w:p w14:paraId="424BB15C" w14:textId="77777777" w:rsidR="00271FA2" w:rsidRPr="00A013E1" w:rsidRDefault="00D35E51" w:rsidP="00322449">
      <w:pPr>
        <w:spacing w:after="240" w:line="240" w:lineRule="atLeast"/>
        <w:ind w:left="567"/>
        <w:jc w:val="both"/>
        <w:rPr>
          <w:rFonts w:ascii="Times New Roman" w:hAnsi="Times New Roman" w:cs="Times New Roman"/>
          <w:szCs w:val="20"/>
          <w:lang w:val="ru-RU"/>
        </w:rPr>
      </w:pPr>
      <w:r w:rsidRPr="00A013E1">
        <w:rPr>
          <w:rFonts w:ascii="Times New Roman" w:hAnsi="Times New Roman" w:cs="Times New Roman"/>
          <w:lang w:val="ru-RU"/>
        </w:rPr>
        <w:t>в) общи указания за безопасността.</w:t>
      </w:r>
    </w:p>
    <w:p w14:paraId="6CE000E4" w14:textId="77777777" w:rsidR="00271FA2" w:rsidRPr="00A013E1" w:rsidRDefault="00D35E51">
      <w:pPr>
        <w:spacing w:line="240" w:lineRule="atLeast"/>
        <w:jc w:val="center"/>
        <w:rPr>
          <w:rFonts w:ascii="Times New Roman" w:hAnsi="Times New Roman" w:cs="Times New Roman"/>
          <w:b/>
          <w:bCs/>
          <w:szCs w:val="20"/>
          <w:lang w:val="ru-RU"/>
        </w:rPr>
      </w:pPr>
      <w:r w:rsidRPr="00A013E1">
        <w:rPr>
          <w:rFonts w:ascii="Times New Roman" w:hAnsi="Times New Roman" w:cs="Times New Roman"/>
          <w:b/>
          <w:lang w:val="ru-RU"/>
        </w:rPr>
        <w:t>Член 2.05</w:t>
      </w:r>
    </w:p>
    <w:p w14:paraId="688F2F4D" w14:textId="77777777" w:rsidR="00271FA2" w:rsidRPr="00A013E1" w:rsidRDefault="00D35E51" w:rsidP="00322449">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szCs w:val="20"/>
          <w:lang w:val="ru-RU"/>
        </w:rPr>
      </w:pPr>
      <w:r w:rsidRPr="00A013E1">
        <w:rPr>
          <w:rFonts w:ascii="Times New Roman" w:hAnsi="Times New Roman" w:cs="Times New Roman"/>
          <w:i/>
          <w:lang w:val="ru-RU"/>
        </w:rPr>
        <w:t>Монтаж на датчика</w:t>
      </w:r>
    </w:p>
    <w:p w14:paraId="58167C35" w14:textId="5FD3A1C8" w:rsidR="00271FA2" w:rsidRPr="00A013E1" w:rsidRDefault="00D35E51">
      <w:pPr>
        <w:tabs>
          <w:tab w:val="left" w:leader="dot" w:pos="9072"/>
        </w:tabs>
        <w:spacing w:line="240" w:lineRule="atLeast"/>
        <w:jc w:val="both"/>
        <w:rPr>
          <w:rFonts w:ascii="Times New Roman" w:hAnsi="Times New Roman" w:cs="Times New Roman"/>
          <w:szCs w:val="20"/>
          <w:lang w:val="ru-RU"/>
        </w:rPr>
      </w:pPr>
      <w:r w:rsidRPr="00A013E1">
        <w:rPr>
          <w:rFonts w:ascii="Times New Roman" w:hAnsi="Times New Roman" w:cs="Times New Roman"/>
          <w:lang w:val="ru-RU"/>
        </w:rPr>
        <w:t>Ориентацията на монтажа спрямо линията на кила е означена върху сензорната част на индикатора на ъгловата скорост</w:t>
      </w:r>
      <w:r w:rsidR="0089161D"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Предоставят се инструкции за монтаж за осигуряване на максимална нечувствителност към другите нормални движения на плавателния съд.</w:t>
      </w:r>
    </w:p>
    <w:p w14:paraId="71A7D1EC" w14:textId="77777777" w:rsidR="00271FA2" w:rsidRPr="00A013E1" w:rsidRDefault="00D35E51">
      <w:pPr>
        <w:spacing w:line="240" w:lineRule="atLeast"/>
        <w:rPr>
          <w:rFonts w:ascii="Times New Roman" w:hAnsi="Times New Roman" w:cs="Times New Roman"/>
          <w:szCs w:val="20"/>
          <w:lang w:val="ru-RU"/>
        </w:rPr>
      </w:pPr>
      <w:r w:rsidRPr="00A013E1">
        <w:rPr>
          <w:rFonts w:ascii="Times New Roman" w:hAnsi="Times New Roman" w:cs="Times New Roman"/>
          <w:szCs w:val="20"/>
          <w:lang w:val="ru-RU"/>
        </w:rPr>
        <w:br w:type="page"/>
      </w:r>
    </w:p>
    <w:p w14:paraId="4E2D2E50"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lastRenderedPageBreak/>
        <w:t>Глава 3</w:t>
      </w:r>
    </w:p>
    <w:p w14:paraId="36569C56" w14:textId="54F25530" w:rsidR="00271FA2" w:rsidRPr="00A013E1" w:rsidRDefault="00D35E51" w:rsidP="009375D3">
      <w:pPr>
        <w:overflowPunct w:val="0"/>
        <w:adjustRightInd w:val="0"/>
        <w:spacing w:after="240" w:line="240" w:lineRule="atLeast"/>
        <w:jc w:val="center"/>
        <w:textAlignment w:val="baseline"/>
        <w:rPr>
          <w:rFonts w:ascii="Times New Roman" w:hAnsi="Times New Roman" w:cs="Times New Roman"/>
          <w:lang w:val="ru-RU"/>
        </w:rPr>
      </w:pPr>
      <w:r w:rsidRPr="00A013E1">
        <w:rPr>
          <w:rFonts w:ascii="Times New Roman" w:hAnsi="Times New Roman" w:cs="Times New Roman"/>
          <w:b/>
          <w:lang w:val="ru-RU"/>
        </w:rPr>
        <w:t>Минимални оперативни изисквания за индикатори на ъгловата скорост</w:t>
      </w:r>
      <w:r w:rsidR="00A61CE0" w:rsidRPr="00A013E1">
        <w:rPr>
          <w:rFonts w:ascii="Times New Roman" w:hAnsi="Times New Roman" w:cs="Times New Roman"/>
          <w:b/>
          <w:lang w:val="ru-RU"/>
        </w:rPr>
        <w:t xml:space="preserve"> </w:t>
      </w:r>
      <w:r w:rsidR="0078218A" w:rsidRPr="00A013E1">
        <w:rPr>
          <w:rFonts w:ascii="Times New Roman" w:hAnsi="Times New Roman" w:cs="Times New Roman"/>
          <w:b/>
          <w:lang w:val="ru-RU"/>
        </w:rPr>
        <w:t>на завиване</w:t>
      </w:r>
    </w:p>
    <w:p w14:paraId="33B870F3"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3.01</w:t>
      </w:r>
    </w:p>
    <w:p w14:paraId="45D1EEB9" w14:textId="6FBB02FA" w:rsidR="00271FA2" w:rsidRPr="00A013E1" w:rsidRDefault="00D35E51" w:rsidP="009375D3">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lang w:val="ru-RU"/>
        </w:rPr>
      </w:pPr>
      <w:r w:rsidRPr="00A013E1">
        <w:rPr>
          <w:rFonts w:ascii="Times New Roman" w:hAnsi="Times New Roman" w:cs="Times New Roman"/>
          <w:i/>
          <w:lang w:val="ru-RU"/>
        </w:rPr>
        <w:t>Експлоатационна готовност на индикатора на ъгловата скорост</w:t>
      </w:r>
      <w:r w:rsidR="0089161D" w:rsidRPr="00A013E1">
        <w:rPr>
          <w:rFonts w:ascii="Times New Roman" w:hAnsi="Times New Roman" w:cs="Times New Roman"/>
          <w:i/>
        </w:rPr>
        <w:t xml:space="preserve"> </w:t>
      </w:r>
      <w:r w:rsidR="0078218A" w:rsidRPr="00A013E1">
        <w:rPr>
          <w:rFonts w:ascii="Times New Roman" w:hAnsi="Times New Roman" w:cs="Times New Roman"/>
          <w:i/>
          <w:lang w:val="ru-RU"/>
        </w:rPr>
        <w:t>на завиване</w:t>
      </w:r>
    </w:p>
    <w:p w14:paraId="21BFFDE2" w14:textId="746E2A47"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При задействане от студено състояние индикаторът на ъгловата скорост</w:t>
      </w:r>
      <w:r w:rsidR="0089161D"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трябва да е напълно готов за работа в рамките на 4 минути и да работи в рамките на допустимите отклонения на изискваната точност.</w:t>
      </w:r>
    </w:p>
    <w:p w14:paraId="5D7B964D" w14:textId="4158D091"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При задействане на индикатора се включва предупредителен сигнал. Трябва да бъде възможно едновременното наблюдаване и боравене с индикатора на ъгловата скорост</w:t>
      </w:r>
      <w:r w:rsidR="0089161D"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w:t>
      </w:r>
    </w:p>
    <w:p w14:paraId="6941E196" w14:textId="77777777" w:rsidR="00271FA2" w:rsidRPr="00A013E1" w:rsidRDefault="00D35E51" w:rsidP="009375D3">
      <w:pPr>
        <w:spacing w:after="240"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Безжични устройства за дистанционно управление не се допускат.</w:t>
      </w:r>
    </w:p>
    <w:p w14:paraId="1F781AA0"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3.02</w:t>
      </w:r>
    </w:p>
    <w:p w14:paraId="5DA22B83" w14:textId="07461E60" w:rsidR="00271FA2" w:rsidRPr="00A013E1" w:rsidRDefault="00D35E51" w:rsidP="009375D3">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lang w:val="ru-RU"/>
        </w:rPr>
      </w:pPr>
      <w:r w:rsidRPr="00A013E1">
        <w:rPr>
          <w:rFonts w:ascii="Times New Roman" w:hAnsi="Times New Roman" w:cs="Times New Roman"/>
          <w:i/>
          <w:lang w:val="ru-RU"/>
        </w:rPr>
        <w:t>Показване на скоростта на извършване</w:t>
      </w:r>
      <w:r w:rsidR="00673297" w:rsidRPr="00A013E1">
        <w:rPr>
          <w:rFonts w:ascii="Times New Roman" w:hAnsi="Times New Roman" w:cs="Times New Roman"/>
          <w:i/>
        </w:rPr>
        <w:t xml:space="preserve"> </w:t>
      </w:r>
      <w:r w:rsidR="0078218A" w:rsidRPr="00A013E1">
        <w:rPr>
          <w:rFonts w:ascii="Times New Roman" w:hAnsi="Times New Roman" w:cs="Times New Roman"/>
          <w:i/>
          <w:lang w:val="ru-RU"/>
        </w:rPr>
        <w:t>на завиване</w:t>
      </w:r>
    </w:p>
    <w:p w14:paraId="316C340E" w14:textId="54CAC17B"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Скоростта на извършване</w:t>
      </w:r>
      <w:r w:rsidR="00673297"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се показва върху градуирана скала, чиято нулева точка е разположена в средата. Посоката и степента</w:t>
      </w:r>
      <w:r w:rsidR="00673297"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а трябва да могат да бъдат разчитани с необходимата точност. Индикатори, различни от тези с формата на стрелки и хистограми, не се допускат.</w:t>
      </w:r>
    </w:p>
    <w:p w14:paraId="1F15D368" w14:textId="77777777" w:rsidR="00271FA2" w:rsidRPr="00A013E1" w:rsidRDefault="00D35E51">
      <w:pPr>
        <w:spacing w:line="240" w:lineRule="atLeast"/>
        <w:ind w:left="567" w:hanging="567"/>
        <w:jc w:val="both"/>
        <w:rPr>
          <w:rFonts w:ascii="Times New Roman" w:hAnsi="Times New Roman" w:cs="Times New Roman"/>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Скалата на индикатора има дължина не по-малко от 20 с</w:t>
      </w:r>
      <w:r w:rsidRPr="00A013E1">
        <w:rPr>
          <w:rFonts w:ascii="Times New Roman" w:hAnsi="Times New Roman" w:cs="Times New Roman"/>
          <w:color w:val="000000"/>
        </w:rPr>
        <w:t>m</w:t>
      </w:r>
      <w:r w:rsidRPr="00A013E1">
        <w:rPr>
          <w:rFonts w:ascii="Times New Roman" w:hAnsi="Times New Roman" w:cs="Times New Roman"/>
          <w:color w:val="000000"/>
          <w:lang w:val="ru-RU"/>
        </w:rPr>
        <w:t xml:space="preserve"> и може да бъде кръгла или праволинейна.</w:t>
      </w:r>
    </w:p>
    <w:p w14:paraId="235BF9DA" w14:textId="77777777" w:rsidR="00271FA2" w:rsidRPr="00A013E1" w:rsidRDefault="00D35E5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Праволинейните скали могат да бъдат разположени само хоризонтално.</w:t>
      </w:r>
    </w:p>
    <w:p w14:paraId="1A8CD519" w14:textId="77777777" w:rsidR="00271FA2" w:rsidRPr="00A013E1" w:rsidRDefault="00D35E51" w:rsidP="009375D3">
      <w:pPr>
        <w:spacing w:after="240" w:line="240" w:lineRule="atLeast"/>
        <w:ind w:left="567" w:hanging="567"/>
        <w:jc w:val="both"/>
        <w:rPr>
          <w:rFonts w:ascii="Times New Roman" w:hAnsi="Times New Roman" w:cs="Times New Roman"/>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Не се допускат индикатори, които са само цифрови.</w:t>
      </w:r>
    </w:p>
    <w:p w14:paraId="27D7DCB3"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3.03</w:t>
      </w:r>
    </w:p>
    <w:p w14:paraId="1F3A96D8" w14:textId="77777777" w:rsidR="00271FA2" w:rsidRPr="00A013E1" w:rsidRDefault="00D35E51" w:rsidP="009375D3">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lang w:val="ru-RU"/>
        </w:rPr>
      </w:pPr>
      <w:r w:rsidRPr="00A013E1">
        <w:rPr>
          <w:rFonts w:ascii="Times New Roman" w:hAnsi="Times New Roman" w:cs="Times New Roman"/>
          <w:i/>
          <w:lang w:val="ru-RU"/>
        </w:rPr>
        <w:t>Измервателни обхвати</w:t>
      </w:r>
    </w:p>
    <w:p w14:paraId="25B9B1D0" w14:textId="016D618E"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Индикаторите на ъгловата скорост</w:t>
      </w:r>
      <w:r w:rsidR="00893592"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могат да бъдат снабдени с един или повече измервателни обхвати. Препоръчват се следните измервателни обхвати:</w:t>
      </w:r>
    </w:p>
    <w:p w14:paraId="5FE74E21" w14:textId="77777777" w:rsidR="00271FA2" w:rsidRPr="00A013E1" w:rsidRDefault="00D35E51">
      <w:pPr>
        <w:tabs>
          <w:tab w:val="left" w:pos="-340"/>
          <w:tab w:val="decimal" w:pos="709"/>
          <w:tab w:val="left" w:pos="851"/>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ab/>
        <w:t>30°/</w:t>
      </w:r>
      <w:r w:rsidRPr="00A013E1">
        <w:rPr>
          <w:rFonts w:ascii="Times New Roman" w:hAnsi="Times New Roman" w:cs="Times New Roman"/>
        </w:rPr>
        <w:t>min</w:t>
      </w:r>
    </w:p>
    <w:p w14:paraId="47AD3276" w14:textId="77777777" w:rsidR="00271FA2" w:rsidRPr="00A013E1" w:rsidRDefault="00D35E51">
      <w:pPr>
        <w:tabs>
          <w:tab w:val="left" w:pos="-340"/>
          <w:tab w:val="decimal" w:pos="709"/>
          <w:tab w:val="left" w:pos="851"/>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ab/>
        <w:t>60°/</w:t>
      </w:r>
      <w:r w:rsidRPr="00A013E1">
        <w:rPr>
          <w:rFonts w:ascii="Times New Roman" w:hAnsi="Times New Roman" w:cs="Times New Roman"/>
        </w:rPr>
        <w:t>min</w:t>
      </w:r>
    </w:p>
    <w:p w14:paraId="5A75B6FA" w14:textId="77777777" w:rsidR="00271FA2" w:rsidRPr="00A013E1" w:rsidRDefault="00D35E51">
      <w:pPr>
        <w:tabs>
          <w:tab w:val="left" w:pos="-340"/>
          <w:tab w:val="decimal" w:pos="709"/>
          <w:tab w:val="left" w:pos="851"/>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ab/>
        <w:t>90°/</w:t>
      </w:r>
      <w:r w:rsidRPr="00A013E1">
        <w:rPr>
          <w:rFonts w:ascii="Times New Roman" w:hAnsi="Times New Roman" w:cs="Times New Roman"/>
        </w:rPr>
        <w:t>min</w:t>
      </w:r>
    </w:p>
    <w:p w14:paraId="70F9740D" w14:textId="77777777" w:rsidR="00271FA2" w:rsidRPr="00A013E1" w:rsidRDefault="00D35E51">
      <w:pPr>
        <w:tabs>
          <w:tab w:val="left" w:pos="-340"/>
          <w:tab w:val="decimal" w:pos="709"/>
          <w:tab w:val="left" w:pos="851"/>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ab/>
        <w:t>180°/</w:t>
      </w:r>
      <w:r w:rsidRPr="00A013E1">
        <w:rPr>
          <w:rFonts w:ascii="Times New Roman" w:hAnsi="Times New Roman" w:cs="Times New Roman"/>
        </w:rPr>
        <w:t>min</w:t>
      </w:r>
    </w:p>
    <w:p w14:paraId="2CE611C2" w14:textId="77777777" w:rsidR="00271FA2" w:rsidRPr="00A013E1" w:rsidRDefault="00D35E51">
      <w:pPr>
        <w:tabs>
          <w:tab w:val="left" w:pos="-340"/>
          <w:tab w:val="decimal" w:pos="709"/>
          <w:tab w:val="left" w:pos="851"/>
        </w:tabs>
        <w:overflowPunct w:val="0"/>
        <w:adjustRightInd w:val="0"/>
        <w:spacing w:line="240" w:lineRule="atLeast"/>
        <w:textAlignment w:val="baseline"/>
        <w:rPr>
          <w:rFonts w:ascii="Times New Roman" w:hAnsi="Times New Roman" w:cs="Times New Roman"/>
          <w:lang w:val="ru-RU"/>
        </w:rPr>
      </w:pPr>
      <w:r w:rsidRPr="00A013E1">
        <w:rPr>
          <w:rFonts w:ascii="Times New Roman" w:hAnsi="Times New Roman" w:cs="Times New Roman"/>
          <w:lang w:val="ru-RU"/>
        </w:rPr>
        <w:tab/>
        <w:t>300°/</w:t>
      </w:r>
      <w:r w:rsidRPr="00A013E1">
        <w:rPr>
          <w:rFonts w:ascii="Times New Roman" w:hAnsi="Times New Roman" w:cs="Times New Roman"/>
        </w:rPr>
        <w:t>min</w:t>
      </w:r>
      <w:r w:rsidRPr="00A013E1">
        <w:rPr>
          <w:rFonts w:ascii="Times New Roman" w:hAnsi="Times New Roman" w:cs="Times New Roman"/>
          <w:lang w:val="ru-RU"/>
        </w:rPr>
        <w:t>.</w:t>
      </w:r>
    </w:p>
    <w:p w14:paraId="1143FCD9"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3.04</w:t>
      </w:r>
    </w:p>
    <w:p w14:paraId="7847BB3D" w14:textId="5C443E34" w:rsidR="00271FA2" w:rsidRPr="00A013E1" w:rsidRDefault="00D35E51" w:rsidP="009375D3">
      <w:pPr>
        <w:tabs>
          <w:tab w:val="left" w:leader="dot" w:pos="9072"/>
        </w:tabs>
        <w:spacing w:after="240" w:line="240" w:lineRule="atLeast"/>
        <w:jc w:val="center"/>
        <w:rPr>
          <w:rFonts w:ascii="Times New Roman" w:hAnsi="Times New Roman" w:cs="Times New Roman"/>
          <w:i/>
          <w:iCs/>
          <w:lang w:val="ru-RU"/>
        </w:rPr>
      </w:pPr>
      <w:r w:rsidRPr="00A013E1">
        <w:rPr>
          <w:rFonts w:ascii="Times New Roman" w:hAnsi="Times New Roman" w:cs="Times New Roman"/>
          <w:i/>
          <w:lang w:val="ru-RU"/>
        </w:rPr>
        <w:t>Точност на показваната скорост на извършване</w:t>
      </w:r>
      <w:r w:rsidR="0078218A" w:rsidRPr="00A013E1">
        <w:rPr>
          <w:rFonts w:ascii="Times New Roman" w:hAnsi="Times New Roman" w:cs="Times New Roman"/>
          <w:i/>
          <w:lang w:val="ru-RU"/>
        </w:rPr>
        <w:t>на завиване</w:t>
      </w:r>
    </w:p>
    <w:p w14:paraId="72E70C04" w14:textId="411344E2" w:rsidR="00271FA2" w:rsidRPr="00A013E1" w:rsidRDefault="00D35E51" w:rsidP="009375D3">
      <w:pPr>
        <w:tabs>
          <w:tab w:val="left" w:leader="dot" w:pos="9072"/>
        </w:tabs>
        <w:spacing w:after="240" w:line="240" w:lineRule="atLeast"/>
        <w:jc w:val="both"/>
        <w:rPr>
          <w:rFonts w:ascii="Times New Roman" w:hAnsi="Times New Roman" w:cs="Times New Roman"/>
          <w:lang w:val="ru-RU"/>
        </w:rPr>
      </w:pPr>
      <w:r w:rsidRPr="00A013E1">
        <w:rPr>
          <w:rFonts w:ascii="Times New Roman" w:hAnsi="Times New Roman" w:cs="Times New Roman"/>
          <w:lang w:val="ru-RU"/>
        </w:rPr>
        <w:t>Показваната скорост на извършване</w:t>
      </w:r>
      <w:r w:rsidR="00273EDF"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не може да се отклонява с повече от 2 % от измеримата максимална стойност или с повече от 10</w:t>
      </w:r>
      <w:r w:rsidRPr="00A013E1">
        <w:rPr>
          <w:rFonts w:ascii="Times New Roman" w:hAnsi="Times New Roman" w:cs="Times New Roman"/>
        </w:rPr>
        <w:t> </w:t>
      </w:r>
      <w:r w:rsidRPr="00A013E1">
        <w:rPr>
          <w:rFonts w:ascii="Times New Roman" w:hAnsi="Times New Roman" w:cs="Times New Roman"/>
          <w:lang w:val="ru-RU"/>
        </w:rPr>
        <w:t>% от действителната стойност; според това коя е по-голяма (виж допълнението).</w:t>
      </w:r>
    </w:p>
    <w:p w14:paraId="24C4F535"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3.05</w:t>
      </w:r>
    </w:p>
    <w:p w14:paraId="32FFC08E" w14:textId="77777777" w:rsidR="00271FA2" w:rsidRPr="00A013E1" w:rsidRDefault="00D35E51">
      <w:pPr>
        <w:tabs>
          <w:tab w:val="left" w:leader="dot" w:pos="9072"/>
        </w:tabs>
        <w:spacing w:line="240" w:lineRule="atLeast"/>
        <w:jc w:val="center"/>
        <w:rPr>
          <w:rFonts w:ascii="Times New Roman" w:hAnsi="Times New Roman" w:cs="Times New Roman"/>
          <w:lang w:val="ru-RU"/>
        </w:rPr>
      </w:pPr>
      <w:r w:rsidRPr="00A013E1">
        <w:rPr>
          <w:rFonts w:ascii="Times New Roman" w:hAnsi="Times New Roman" w:cs="Times New Roman"/>
          <w:i/>
          <w:lang w:val="ru-RU"/>
        </w:rPr>
        <w:t>Чувствителност</w:t>
      </w:r>
    </w:p>
    <w:p w14:paraId="188ADA4F" w14:textId="77777777" w:rsidR="00271FA2" w:rsidRPr="00A013E1" w:rsidRDefault="00D35E51" w:rsidP="009375D3">
      <w:pPr>
        <w:tabs>
          <w:tab w:val="left" w:leader="dot" w:pos="9072"/>
        </w:tabs>
        <w:spacing w:after="240" w:line="240" w:lineRule="atLeast"/>
        <w:jc w:val="both"/>
        <w:rPr>
          <w:rFonts w:ascii="Times New Roman" w:hAnsi="Times New Roman" w:cs="Times New Roman"/>
          <w:lang w:val="ru-RU"/>
        </w:rPr>
      </w:pPr>
      <w:r w:rsidRPr="00A013E1">
        <w:rPr>
          <w:rFonts w:ascii="Times New Roman" w:hAnsi="Times New Roman" w:cs="Times New Roman"/>
          <w:lang w:val="ru-RU"/>
        </w:rPr>
        <w:lastRenderedPageBreak/>
        <w:t>Работният праг следва да бъде по-нисък или равен на промяната в ъгловата скорост, еквивалентна на 1</w:t>
      </w:r>
      <w:r w:rsidRPr="00A013E1">
        <w:rPr>
          <w:rFonts w:ascii="Times New Roman" w:hAnsi="Times New Roman" w:cs="Times New Roman"/>
        </w:rPr>
        <w:t> </w:t>
      </w:r>
      <w:r w:rsidRPr="00A013E1">
        <w:rPr>
          <w:rFonts w:ascii="Times New Roman" w:hAnsi="Times New Roman" w:cs="Times New Roman"/>
          <w:lang w:val="ru-RU"/>
        </w:rPr>
        <w:t>% от показваната стойност.</w:t>
      </w:r>
    </w:p>
    <w:p w14:paraId="21E5D08F"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3.06</w:t>
      </w:r>
    </w:p>
    <w:p w14:paraId="087EB8D9"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lang w:val="ru-RU"/>
        </w:rPr>
      </w:pPr>
      <w:r w:rsidRPr="00A013E1">
        <w:rPr>
          <w:rFonts w:ascii="Times New Roman" w:hAnsi="Times New Roman" w:cs="Times New Roman"/>
          <w:i/>
          <w:lang w:val="ru-RU"/>
        </w:rPr>
        <w:t>Следене на работата</w:t>
      </w:r>
    </w:p>
    <w:p w14:paraId="00860778" w14:textId="1B4657F0"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Ако индикаторът на ъгловата скорост</w:t>
      </w:r>
      <w:r w:rsidR="00273EDF"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не работи в изисквания обхват на точност, това трябва да бъде посочено.</w:t>
      </w:r>
    </w:p>
    <w:p w14:paraId="30D947A2" w14:textId="77777777" w:rsidR="00271FA2" w:rsidRPr="00A013E1" w:rsidRDefault="00D35E51" w:rsidP="006974A7">
      <w:pPr>
        <w:spacing w:after="240" w:line="240" w:lineRule="atLeast"/>
        <w:ind w:left="567" w:hanging="567"/>
        <w:jc w:val="both"/>
        <w:rPr>
          <w:rFonts w:ascii="Times New Roman" w:hAnsi="Times New Roman" w:cs="Times New Roman"/>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Ако се използва жироскоп, всеки критичен спад в ъгловата скорост на жироскопа се сигнализира от индикатор. Критичен спад в ъгловата скорост на жироскопа е налице, когато точността спадне с 10</w:t>
      </w:r>
      <w:r w:rsidRPr="00A013E1">
        <w:rPr>
          <w:rFonts w:ascii="Times New Roman" w:hAnsi="Times New Roman" w:cs="Times New Roman"/>
          <w:color w:val="000000"/>
        </w:rPr>
        <w:t> </w:t>
      </w:r>
      <w:r w:rsidRPr="00A013E1">
        <w:rPr>
          <w:rFonts w:ascii="Times New Roman" w:hAnsi="Times New Roman" w:cs="Times New Roman"/>
          <w:color w:val="000000"/>
          <w:lang w:val="ru-RU"/>
        </w:rPr>
        <w:t>%.</w:t>
      </w:r>
    </w:p>
    <w:p w14:paraId="1A9DDECF"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3.07</w:t>
      </w:r>
    </w:p>
    <w:p w14:paraId="357958B8" w14:textId="77777777"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lang w:val="ru-RU"/>
        </w:rPr>
      </w:pPr>
      <w:r w:rsidRPr="00A013E1">
        <w:rPr>
          <w:rFonts w:ascii="Times New Roman" w:hAnsi="Times New Roman" w:cs="Times New Roman"/>
          <w:i/>
          <w:lang w:val="ru-RU"/>
        </w:rPr>
        <w:t>Нечувствителност към нормалните движения на плавателния съд</w:t>
      </w:r>
    </w:p>
    <w:p w14:paraId="0B4D5ECE" w14:textId="74A850C0"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Напречното бордово клатене на плавателния съд до 10° при скорост</w:t>
      </w:r>
      <w:r w:rsidR="00273EDF"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а от 4°/</w:t>
      </w:r>
      <w:r w:rsidRPr="00A013E1">
        <w:rPr>
          <w:rFonts w:ascii="Times New Roman" w:hAnsi="Times New Roman" w:cs="Times New Roman"/>
          <w:color w:val="000000"/>
        </w:rPr>
        <w:t>s</w:t>
      </w:r>
      <w:r w:rsidRPr="00A013E1">
        <w:rPr>
          <w:rFonts w:ascii="Times New Roman" w:hAnsi="Times New Roman" w:cs="Times New Roman"/>
          <w:color w:val="000000"/>
          <w:lang w:val="ru-RU"/>
        </w:rPr>
        <w:t xml:space="preserve"> не трябва да води до грешки при измерванията извън определените толеранси.</w:t>
      </w:r>
    </w:p>
    <w:p w14:paraId="323AB970" w14:textId="77777777" w:rsidR="00271FA2" w:rsidRPr="00A013E1" w:rsidRDefault="00D35E51" w:rsidP="006974A7">
      <w:pPr>
        <w:spacing w:after="240"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Въздействия като тези, които могат да се получат при швартоване, не трябва да водят до грешки при измерванията извън определените толеранси.</w:t>
      </w:r>
    </w:p>
    <w:p w14:paraId="11E8C4CC"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3.08</w:t>
      </w:r>
    </w:p>
    <w:p w14:paraId="29D2880C" w14:textId="77777777"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lang w:val="ru-RU"/>
        </w:rPr>
      </w:pPr>
      <w:r w:rsidRPr="00A013E1">
        <w:rPr>
          <w:rFonts w:ascii="Times New Roman" w:hAnsi="Times New Roman" w:cs="Times New Roman"/>
          <w:i/>
          <w:lang w:val="ru-RU"/>
        </w:rPr>
        <w:t>Нечувствителност към магнитни полета</w:t>
      </w:r>
    </w:p>
    <w:p w14:paraId="0CBA0835" w14:textId="782EC949" w:rsidR="00271FA2" w:rsidRPr="00A013E1" w:rsidRDefault="00D35E51" w:rsidP="006974A7">
      <w:pPr>
        <w:tabs>
          <w:tab w:val="left" w:leader="dot" w:pos="9072"/>
        </w:tabs>
        <w:spacing w:after="240" w:line="240" w:lineRule="atLeast"/>
        <w:jc w:val="both"/>
        <w:rPr>
          <w:rFonts w:ascii="Times New Roman" w:hAnsi="Times New Roman" w:cs="Times New Roman"/>
          <w:b/>
          <w:lang w:val="ru-RU"/>
        </w:rPr>
      </w:pPr>
      <w:r w:rsidRPr="00A013E1">
        <w:rPr>
          <w:rFonts w:ascii="Times New Roman" w:hAnsi="Times New Roman" w:cs="Times New Roman"/>
          <w:lang w:val="ru-RU"/>
        </w:rPr>
        <w:t>Индикаторът на ъгловата скорост</w:t>
      </w:r>
      <w:r w:rsidR="00273EDF"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трябва да бъде нечувствителен към магнитните полета, които обичайно се наблюдават на борда на плавателния съд.</w:t>
      </w:r>
    </w:p>
    <w:p w14:paraId="57D9968B"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3.09</w:t>
      </w:r>
    </w:p>
    <w:p w14:paraId="517142AA" w14:textId="77777777"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lang w:val="ru-RU"/>
        </w:rPr>
      </w:pPr>
      <w:r w:rsidRPr="00A013E1">
        <w:rPr>
          <w:rFonts w:ascii="Times New Roman" w:hAnsi="Times New Roman" w:cs="Times New Roman"/>
          <w:i/>
          <w:lang w:val="ru-RU"/>
        </w:rPr>
        <w:t>Спомагателни индикатори</w:t>
      </w:r>
    </w:p>
    <w:p w14:paraId="01174A61" w14:textId="35ECF952" w:rsidR="00271FA2" w:rsidRPr="00A013E1" w:rsidRDefault="00D35E51" w:rsidP="006974A7">
      <w:pPr>
        <w:tabs>
          <w:tab w:val="left" w:leader="dot" w:pos="9072"/>
        </w:tabs>
        <w:spacing w:after="240" w:line="240" w:lineRule="atLeast"/>
        <w:jc w:val="both"/>
        <w:rPr>
          <w:rFonts w:ascii="Times New Roman" w:hAnsi="Times New Roman" w:cs="Times New Roman"/>
          <w:lang w:val="ru-RU"/>
        </w:rPr>
      </w:pPr>
      <w:r w:rsidRPr="00A013E1">
        <w:rPr>
          <w:rFonts w:ascii="Times New Roman" w:hAnsi="Times New Roman" w:cs="Times New Roman"/>
          <w:lang w:val="ru-RU"/>
        </w:rPr>
        <w:t>Спомагателните индикатори трябва да отговарят на всички изисквания, приложими към индикаторите на ъгловата скорост</w:t>
      </w:r>
      <w:r w:rsidR="00A61CE0" w:rsidRPr="00A013E1">
        <w:rPr>
          <w:rFonts w:ascii="Times New Roman" w:hAnsi="Times New Roman" w:cs="Times New Roman"/>
          <w:lang w:val="ru-RU"/>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w:t>
      </w:r>
    </w:p>
    <w:p w14:paraId="758D1DD0"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Глава 4</w:t>
      </w:r>
    </w:p>
    <w:p w14:paraId="41BDA5B5" w14:textId="5F2585BF"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Минимални технически изисквания за индикатори на ъгловата скорост</w:t>
      </w:r>
      <w:r w:rsidR="00A61CE0" w:rsidRPr="00A013E1">
        <w:rPr>
          <w:rFonts w:ascii="Times New Roman" w:hAnsi="Times New Roman" w:cs="Times New Roman"/>
          <w:b/>
          <w:lang w:val="ru-RU"/>
        </w:rPr>
        <w:t xml:space="preserve"> </w:t>
      </w:r>
      <w:r w:rsidR="0078218A" w:rsidRPr="00A013E1">
        <w:rPr>
          <w:rFonts w:ascii="Times New Roman" w:hAnsi="Times New Roman" w:cs="Times New Roman"/>
          <w:b/>
          <w:lang w:val="ru-RU"/>
        </w:rPr>
        <w:t>на завиване</w:t>
      </w:r>
    </w:p>
    <w:p w14:paraId="238ADA69"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4.01</w:t>
      </w:r>
    </w:p>
    <w:p w14:paraId="20E9B6D4" w14:textId="77777777"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iCs/>
          <w:lang w:val="ru-RU"/>
        </w:rPr>
      </w:pPr>
      <w:r w:rsidRPr="00A013E1">
        <w:rPr>
          <w:rFonts w:ascii="Times New Roman" w:hAnsi="Times New Roman" w:cs="Times New Roman"/>
          <w:i/>
          <w:lang w:val="ru-RU"/>
        </w:rPr>
        <w:t>Експлоатация</w:t>
      </w:r>
    </w:p>
    <w:p w14:paraId="41179DD6" w14:textId="77777777" w:rsidR="00271FA2" w:rsidRPr="00A013E1" w:rsidRDefault="00D35E51" w:rsidP="006974A7">
      <w:pPr>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1.</w:t>
      </w:r>
      <w:r w:rsidRPr="00A013E1">
        <w:rPr>
          <w:rFonts w:ascii="Times New Roman" w:hAnsi="Times New Roman" w:cs="Times New Roman"/>
          <w:lang w:val="ru-RU"/>
        </w:rPr>
        <w:tab/>
        <w:t>Всички устройства за управление следва да бъдат разположени, така че при използването им никоя информация да не остава извън полезрението и плаването с радиолокатор да не бъде затруднявано.</w:t>
      </w:r>
    </w:p>
    <w:p w14:paraId="420EE4C6" w14:textId="77777777" w:rsidR="00271FA2" w:rsidRPr="00A013E1" w:rsidRDefault="00D35E51" w:rsidP="006974A7">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Всички устройства за управление и индикатори трябва да са оборудвани с незаслепяващ източник на светлина, съобразен с околните условия на осветление и пригоден за намаляване до нула посредством независимо устройство за управление.</w:t>
      </w:r>
    </w:p>
    <w:p w14:paraId="506B4516" w14:textId="77777777" w:rsidR="00271FA2" w:rsidRPr="00A013E1" w:rsidRDefault="00D35E51" w:rsidP="006974A7">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Настройката на устройствата за управление трябва да е такава, че движението надясно или нагоре да има положителен ефект върху променливата, а движенията наляво и надолу да имат отрицателен ефект.</w:t>
      </w:r>
    </w:p>
    <w:p w14:paraId="3E464FEF" w14:textId="77777777" w:rsidR="00271FA2" w:rsidRPr="00A013E1" w:rsidRDefault="00D35E51" w:rsidP="006974A7">
      <w:pPr>
        <w:spacing w:line="240" w:lineRule="atLeast"/>
        <w:ind w:left="567" w:hanging="567"/>
        <w:jc w:val="both"/>
        <w:rPr>
          <w:rFonts w:ascii="Times New Roman" w:hAnsi="Times New Roman" w:cs="Times New Roman"/>
          <w:lang w:val="ru-RU"/>
        </w:rPr>
      </w:pPr>
      <w:r w:rsidRPr="00A013E1">
        <w:rPr>
          <w:rFonts w:ascii="Times New Roman" w:hAnsi="Times New Roman" w:cs="Times New Roman"/>
          <w:color w:val="000000"/>
          <w:lang w:val="ru-RU"/>
        </w:rPr>
        <w:t>4.</w:t>
      </w:r>
      <w:r w:rsidRPr="00A013E1">
        <w:rPr>
          <w:rFonts w:ascii="Times New Roman" w:hAnsi="Times New Roman" w:cs="Times New Roman"/>
          <w:lang w:val="ru-RU"/>
        </w:rPr>
        <w:tab/>
      </w:r>
      <w:r w:rsidRPr="00A013E1">
        <w:rPr>
          <w:rFonts w:ascii="Times New Roman" w:hAnsi="Times New Roman" w:cs="Times New Roman"/>
          <w:color w:val="000000"/>
          <w:lang w:val="ru-RU"/>
        </w:rPr>
        <w:t>Ако се използват бутони, те трябва да могат да бъдат откривани и задействани чрез допир. Те трябва да имат също така ясно осезаемо прекъсване на контакта. При наличие на многофункционални бутони трябва да бъде очевидно кое йерархично равнище е активно.</w:t>
      </w:r>
    </w:p>
    <w:p w14:paraId="2A754FBA"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lastRenderedPageBreak/>
        <w:t>Член 4.02</w:t>
      </w:r>
    </w:p>
    <w:p w14:paraId="71806C7B" w14:textId="77777777"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lang w:val="ru-RU"/>
        </w:rPr>
      </w:pPr>
      <w:r w:rsidRPr="00A013E1">
        <w:rPr>
          <w:rFonts w:ascii="Times New Roman" w:hAnsi="Times New Roman" w:cs="Times New Roman"/>
          <w:i/>
          <w:lang w:val="ru-RU"/>
        </w:rPr>
        <w:t>Демпфериращи устройства</w:t>
      </w:r>
    </w:p>
    <w:p w14:paraId="66CEA9AF" w14:textId="77777777" w:rsidR="00271FA2" w:rsidRPr="00A013E1" w:rsidRDefault="00D35E51" w:rsidP="006974A7">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Сензорната система трябва да бъде защитена с демпфериращи устройства срещу критични стойности. Коефициентът на затихване (63 % от пределната стойност) не трябва да превишава 0,4 </w:t>
      </w:r>
      <w:r w:rsidRPr="00A013E1">
        <w:rPr>
          <w:rFonts w:ascii="Times New Roman" w:hAnsi="Times New Roman" w:cs="Times New Roman"/>
          <w:color w:val="000000"/>
        </w:rPr>
        <w:t>s</w:t>
      </w:r>
      <w:r w:rsidRPr="00A013E1">
        <w:rPr>
          <w:rFonts w:ascii="Times New Roman" w:hAnsi="Times New Roman" w:cs="Times New Roman"/>
          <w:color w:val="000000"/>
          <w:lang w:val="ru-RU"/>
        </w:rPr>
        <w:t>.</w:t>
      </w:r>
    </w:p>
    <w:p w14:paraId="21509A48" w14:textId="77777777" w:rsidR="00271FA2" w:rsidRPr="00A013E1" w:rsidRDefault="00D35E51" w:rsidP="006974A7">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Индикаторът трябва да бъде защитен с демпфериращи устройства срещу критични стойности.</w:t>
      </w:r>
    </w:p>
    <w:p w14:paraId="2C3B91BA" w14:textId="77777777" w:rsidR="00271FA2" w:rsidRPr="00A013E1" w:rsidRDefault="00D35E51" w:rsidP="009B656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Допускат се уреди за управление за засилване на демпферирането.</w:t>
      </w:r>
    </w:p>
    <w:p w14:paraId="045250AF" w14:textId="77777777" w:rsidR="00271FA2" w:rsidRPr="00A013E1" w:rsidRDefault="00D35E51" w:rsidP="009B6561">
      <w:pPr>
        <w:spacing w:after="240"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Коефициентът на затихване при никакви обстоятелства не трябва да превишава 5 </w:t>
      </w:r>
      <w:r w:rsidRPr="00A013E1">
        <w:rPr>
          <w:rFonts w:ascii="Times New Roman" w:hAnsi="Times New Roman" w:cs="Times New Roman"/>
        </w:rPr>
        <w:t>s</w:t>
      </w:r>
      <w:r w:rsidRPr="00A013E1">
        <w:rPr>
          <w:rFonts w:ascii="Times New Roman" w:hAnsi="Times New Roman" w:cs="Times New Roman"/>
          <w:lang w:val="ru-RU"/>
        </w:rPr>
        <w:t>.</w:t>
      </w:r>
    </w:p>
    <w:p w14:paraId="64EE0152"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Член 4.03</w:t>
      </w:r>
    </w:p>
    <w:p w14:paraId="19B58607" w14:textId="77777777"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i/>
          <w:lang w:val="ru-RU"/>
        </w:rPr>
      </w:pPr>
      <w:r w:rsidRPr="00A013E1">
        <w:rPr>
          <w:rFonts w:ascii="Times New Roman" w:hAnsi="Times New Roman" w:cs="Times New Roman"/>
          <w:i/>
          <w:lang w:val="ru-RU"/>
        </w:rPr>
        <w:t>Свързване на допълнително оборудване</w:t>
      </w:r>
    </w:p>
    <w:p w14:paraId="63E368D9" w14:textId="2ABB0BA6" w:rsidR="00271FA2" w:rsidRPr="00A013E1" w:rsidRDefault="00D35E51" w:rsidP="006974A7">
      <w:pPr>
        <w:spacing w:line="240" w:lineRule="atLeast"/>
        <w:ind w:left="567" w:hanging="567"/>
        <w:jc w:val="both"/>
        <w:rPr>
          <w:rFonts w:ascii="Times New Roman" w:hAnsi="Times New Roman" w:cs="Times New Roman"/>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Ако индикаторът на ъгловата скорост</w:t>
      </w:r>
      <w:r w:rsidR="004A6878"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може да бъде свързан със спомагателни индикатори или подобно оборудване, показването на промяната на ъгловата скорост</w:t>
      </w:r>
      <w:r w:rsidR="004A6878"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трябва да остава използваемо като аналогов или цифров електрически сигнал. Цифровите интерфейси трябва да бъдат конструирани съгласно точка 2. .</w:t>
      </w:r>
      <w:r w:rsidRPr="00A013E1">
        <w:rPr>
          <w:rFonts w:ascii="Times New Roman" w:hAnsi="Times New Roman" w:cs="Times New Roman"/>
          <w:lang w:val="ru-RU"/>
        </w:rPr>
        <w:t>Аналоговият сигнал на скоростта на извършване</w:t>
      </w:r>
      <w:r w:rsidR="004A6878"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трябва да продължава да бъде показвана при галванично разделяне спрямо земя и еквивалент на аналогово напрежение 20 </w:t>
      </w:r>
      <w:r w:rsidRPr="00A013E1">
        <w:rPr>
          <w:rFonts w:ascii="Times New Roman" w:hAnsi="Times New Roman" w:cs="Times New Roman"/>
        </w:rPr>
        <w:t>mV</w:t>
      </w:r>
      <w:r w:rsidRPr="00A013E1">
        <w:rPr>
          <w:rFonts w:ascii="Times New Roman" w:hAnsi="Times New Roman" w:cs="Times New Roman"/>
          <w:lang w:val="ru-RU"/>
        </w:rPr>
        <w:t>/°/</w:t>
      </w:r>
      <w:r w:rsidRPr="00A013E1">
        <w:rPr>
          <w:rFonts w:ascii="Times New Roman" w:hAnsi="Times New Roman" w:cs="Times New Roman"/>
        </w:rPr>
        <w:t>min</w:t>
      </w:r>
      <w:r w:rsidRPr="00A013E1">
        <w:rPr>
          <w:rFonts w:ascii="Times New Roman" w:hAnsi="Times New Roman" w:cs="Times New Roman"/>
          <w:lang w:val="ru-RU"/>
        </w:rPr>
        <w:t xml:space="preserve"> ± 5 % и максимално вътрешно съпротивление 100 </w:t>
      </w:r>
      <w:r w:rsidRPr="00A013E1">
        <w:rPr>
          <w:rFonts w:ascii="Times New Roman" w:eastAsia="TimesNewRoman" w:hAnsi="Times New Roman" w:cs="Times New Roman"/>
        </w:rPr>
        <w:sym w:font="Symbol" w:char="F057"/>
      </w:r>
      <w:r w:rsidRPr="00A013E1">
        <w:rPr>
          <w:rFonts w:ascii="Times New Roman" w:hAnsi="Times New Roman" w:cs="Times New Roman"/>
          <w:lang w:val="ru-RU"/>
        </w:rPr>
        <w:t>.</w:t>
      </w:r>
    </w:p>
    <w:p w14:paraId="263A306A" w14:textId="77777777"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Полярността трябва да е положителна, когато плавателният съд завива дясно на борд, и отрицателна, когато той завива ляво на борд.</w:t>
      </w:r>
    </w:p>
    <w:p w14:paraId="21601559" w14:textId="77777777"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Работният праг не трябва да превишава 0,3°/</w:t>
      </w:r>
      <w:r w:rsidRPr="00A013E1">
        <w:rPr>
          <w:rFonts w:ascii="Times New Roman" w:hAnsi="Times New Roman" w:cs="Times New Roman"/>
        </w:rPr>
        <w:t>min</w:t>
      </w:r>
      <w:r w:rsidRPr="00A013E1">
        <w:rPr>
          <w:rFonts w:ascii="Times New Roman" w:hAnsi="Times New Roman" w:cs="Times New Roman"/>
          <w:lang w:val="ru-RU"/>
        </w:rPr>
        <w:t>.</w:t>
      </w:r>
    </w:p>
    <w:p w14:paraId="7E1FABB4" w14:textId="77777777"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Нулевата грешка не трябва да превишава 1°/</w:t>
      </w:r>
      <w:r w:rsidRPr="00A013E1">
        <w:rPr>
          <w:rFonts w:ascii="Times New Roman" w:hAnsi="Times New Roman" w:cs="Times New Roman"/>
        </w:rPr>
        <w:t>min</w:t>
      </w:r>
      <w:r w:rsidRPr="00A013E1">
        <w:rPr>
          <w:rFonts w:ascii="Times New Roman" w:hAnsi="Times New Roman" w:cs="Times New Roman"/>
          <w:lang w:val="ru-RU"/>
        </w:rPr>
        <w:t xml:space="preserve"> при температури от 0 до 40° С.</w:t>
      </w:r>
    </w:p>
    <w:p w14:paraId="200B1752" w14:textId="77777777"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Когато индикаторът е включен, а датчикът не е изложен на влиянието на движението, паразитното напрежение в изходящия сигнал, измерено с нискочестотен филтър с лента на пропускане 10 </w:t>
      </w:r>
      <w:r w:rsidRPr="00A013E1">
        <w:rPr>
          <w:rFonts w:ascii="Times New Roman" w:hAnsi="Times New Roman" w:cs="Times New Roman"/>
        </w:rPr>
        <w:t>Hz</w:t>
      </w:r>
      <w:r w:rsidRPr="00A013E1">
        <w:rPr>
          <w:rFonts w:ascii="Times New Roman" w:hAnsi="Times New Roman" w:cs="Times New Roman"/>
          <w:lang w:val="ru-RU"/>
        </w:rPr>
        <w:t xml:space="preserve">, не трябва да превишава 10 </w:t>
      </w:r>
      <w:r w:rsidRPr="00A013E1">
        <w:rPr>
          <w:rFonts w:ascii="Times New Roman" w:hAnsi="Times New Roman" w:cs="Times New Roman"/>
        </w:rPr>
        <w:t>mV</w:t>
      </w:r>
      <w:r w:rsidRPr="00A013E1">
        <w:rPr>
          <w:rFonts w:ascii="Times New Roman" w:hAnsi="Times New Roman" w:cs="Times New Roman"/>
          <w:lang w:val="ru-RU"/>
        </w:rPr>
        <w:t>.</w:t>
      </w:r>
    </w:p>
    <w:p w14:paraId="648A733D" w14:textId="1CFC3560"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 успокояване извън границите, посочени в член 4.02, точка 1.</w:t>
      </w:r>
    </w:p>
    <w:p w14:paraId="2E73CBD2" w14:textId="77777777" w:rsidR="00271FA2" w:rsidRPr="00A013E1" w:rsidRDefault="00D35E51" w:rsidP="006974A7">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Цифров интерфейс трябва да бъде проектиран в съответствие с Европейски стандарти </w:t>
      </w:r>
      <w:r w:rsidRPr="00A013E1">
        <w:rPr>
          <w:rFonts w:ascii="Times New Roman" w:hAnsi="Times New Roman" w:cs="Times New Roman"/>
          <w:color w:val="000000"/>
        </w:rPr>
        <w:t>EN</w:t>
      </w:r>
      <w:r w:rsidRPr="00A013E1">
        <w:rPr>
          <w:rFonts w:ascii="Times New Roman" w:hAnsi="Times New Roman" w:cs="Times New Roman"/>
          <w:color w:val="000000"/>
          <w:lang w:val="ru-RU"/>
        </w:rPr>
        <w:t xml:space="preserve"> 61162</w:t>
      </w:r>
      <w:r w:rsidRPr="00A013E1">
        <w:rPr>
          <w:rFonts w:ascii="Times New Roman" w:hAnsi="Times New Roman" w:cs="Times New Roman"/>
          <w:lang w:val="ru-RU"/>
        </w:rPr>
        <w:softHyphen/>
      </w:r>
      <w:r w:rsidRPr="00A013E1">
        <w:rPr>
          <w:rFonts w:ascii="Times New Roman" w:hAnsi="Times New Roman" w:cs="Times New Roman"/>
          <w:color w:val="000000"/>
          <w:lang w:val="ru-RU"/>
        </w:rPr>
        <w:t xml:space="preserve">1:2016, </w:t>
      </w:r>
      <w:r w:rsidRPr="00A013E1">
        <w:rPr>
          <w:rFonts w:ascii="Times New Roman" w:hAnsi="Times New Roman" w:cs="Times New Roman"/>
          <w:color w:val="000000"/>
        </w:rPr>
        <w:t>EN</w:t>
      </w:r>
      <w:r w:rsidRPr="00A013E1">
        <w:rPr>
          <w:rFonts w:ascii="Times New Roman" w:hAnsi="Times New Roman" w:cs="Times New Roman"/>
          <w:color w:val="000000"/>
          <w:lang w:val="ru-RU"/>
        </w:rPr>
        <w:t xml:space="preserve"> 61162-2:1998 и </w:t>
      </w:r>
      <w:r w:rsidRPr="00A013E1">
        <w:rPr>
          <w:rFonts w:ascii="Times New Roman" w:hAnsi="Times New Roman" w:cs="Times New Roman"/>
          <w:color w:val="000000"/>
        </w:rPr>
        <w:t>EN</w:t>
      </w:r>
      <w:r w:rsidRPr="00A013E1">
        <w:rPr>
          <w:rFonts w:ascii="Times New Roman" w:hAnsi="Times New Roman" w:cs="Times New Roman"/>
          <w:color w:val="000000"/>
          <w:lang w:val="ru-RU"/>
        </w:rPr>
        <w:t xml:space="preserve"> 61162-3:2009.</w:t>
      </w:r>
    </w:p>
    <w:p w14:paraId="2B5EF6E8" w14:textId="77777777" w:rsidR="00271FA2" w:rsidRPr="00A013E1" w:rsidRDefault="00D35E51" w:rsidP="006974A7">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Трябва да има външен превключвател за подаване на алармен сигнал. Превключвателят се инсталира като галванично изолиран изключвател за индикатора.</w:t>
      </w:r>
    </w:p>
    <w:p w14:paraId="7532DDEC" w14:textId="77777777"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Външният алармен сигнал се включва при затваряне на контакта в един от следните случаи:</w:t>
      </w:r>
    </w:p>
    <w:p w14:paraId="3B78970D" w14:textId="6904A1A1" w:rsidR="00271FA2" w:rsidRPr="00A013E1" w:rsidRDefault="00D35E51" w:rsidP="006974A7">
      <w:pPr>
        <w:numPr>
          <w:ilvl w:val="0"/>
          <w:numId w:val="42"/>
        </w:numPr>
        <w:spacing w:line="240" w:lineRule="atLeast"/>
        <w:ind w:left="1134" w:hanging="567"/>
        <w:jc w:val="both"/>
        <w:rPr>
          <w:rFonts w:ascii="Times New Roman" w:hAnsi="Times New Roman" w:cs="Times New Roman"/>
          <w:lang w:val="ru-RU"/>
        </w:rPr>
      </w:pPr>
      <w:r w:rsidRPr="00A013E1">
        <w:rPr>
          <w:rFonts w:ascii="Times New Roman" w:hAnsi="Times New Roman" w:cs="Times New Roman"/>
          <w:lang w:val="ru-RU"/>
        </w:rPr>
        <w:t>ако индикаторът на ъгловата скорост</w:t>
      </w:r>
      <w:r w:rsidR="006C15AE" w:rsidRPr="00A013E1">
        <w:rPr>
          <w:rFonts w:ascii="Times New Roman" w:hAnsi="Times New Roman" w:cs="Times New Roman"/>
          <w:lang w:val="ru-RU"/>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бъде изключен; или</w:t>
      </w:r>
    </w:p>
    <w:p w14:paraId="1C47B25B" w14:textId="71B9990B"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б) ако индикаторът на ъгловата скорост</w:t>
      </w:r>
      <w:r w:rsidR="006C15AE" w:rsidRPr="00A013E1">
        <w:rPr>
          <w:rFonts w:ascii="Times New Roman" w:hAnsi="Times New Roman" w:cs="Times New Roman"/>
          <w:lang w:val="ru-RU"/>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не работи; или</w:t>
      </w:r>
    </w:p>
    <w:p w14:paraId="0591FE5E" w14:textId="77777777"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 ако уредът за управление е реагирал на прекомерна грешка (член</w:t>
      </w:r>
      <w:r w:rsidRPr="00A013E1">
        <w:rPr>
          <w:rFonts w:ascii="Times New Roman" w:hAnsi="Times New Roman" w:cs="Times New Roman"/>
        </w:rPr>
        <w:t> </w:t>
      </w:r>
      <w:r w:rsidRPr="00A013E1">
        <w:rPr>
          <w:rFonts w:ascii="Times New Roman" w:hAnsi="Times New Roman" w:cs="Times New Roman"/>
          <w:lang w:val="ru-RU"/>
        </w:rPr>
        <w:t>3.06).</w:t>
      </w:r>
    </w:p>
    <w:p w14:paraId="4CD7FD31" w14:textId="77777777" w:rsidR="00271FA2" w:rsidRPr="00A013E1" w:rsidRDefault="00D35E51">
      <w:pPr>
        <w:spacing w:line="240" w:lineRule="atLeast"/>
        <w:rPr>
          <w:rFonts w:ascii="Times New Roman" w:hAnsi="Times New Roman" w:cs="Times New Roman"/>
          <w:szCs w:val="20"/>
          <w:lang w:val="ru-RU"/>
        </w:rPr>
      </w:pPr>
      <w:r w:rsidRPr="00A013E1">
        <w:rPr>
          <w:rFonts w:ascii="Times New Roman" w:hAnsi="Times New Roman" w:cs="Times New Roman"/>
          <w:szCs w:val="20"/>
          <w:lang w:val="ru-RU"/>
        </w:rPr>
        <w:br w:type="page"/>
      </w:r>
    </w:p>
    <w:p w14:paraId="15191E9D"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lastRenderedPageBreak/>
        <w:t>Глава 5</w:t>
      </w:r>
    </w:p>
    <w:p w14:paraId="7FB83064" w14:textId="783128FD"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color w:val="000000"/>
          <w:lang w:val="ru-RU"/>
        </w:rPr>
      </w:pPr>
      <w:r w:rsidRPr="00A013E1">
        <w:rPr>
          <w:rFonts w:ascii="Times New Roman" w:hAnsi="Times New Roman" w:cs="Times New Roman"/>
          <w:b/>
          <w:lang w:val="ru-RU"/>
        </w:rPr>
        <w:t>Условия и процедури на изпитване на индикаторите на ъгловата скорост</w:t>
      </w:r>
      <w:r w:rsidR="0078218A" w:rsidRPr="00A013E1">
        <w:rPr>
          <w:rFonts w:ascii="Times New Roman" w:hAnsi="Times New Roman" w:cs="Times New Roman"/>
          <w:b/>
          <w:lang w:val="ru-RU"/>
        </w:rPr>
        <w:t>на завиване</w:t>
      </w:r>
    </w:p>
    <w:p w14:paraId="582577D8"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Член 5.01</w:t>
      </w:r>
    </w:p>
    <w:p w14:paraId="30737BB3" w14:textId="77777777"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szCs w:val="20"/>
          <w:lang w:val="ru-RU"/>
        </w:rPr>
      </w:pPr>
      <w:r w:rsidRPr="00A013E1">
        <w:rPr>
          <w:rFonts w:ascii="Times New Roman" w:hAnsi="Times New Roman" w:cs="Times New Roman"/>
          <w:i/>
          <w:lang w:val="ru-RU"/>
        </w:rPr>
        <w:t>Безопасност, капацитет на натоварване и електромагнитна съвместимост</w:t>
      </w:r>
    </w:p>
    <w:p w14:paraId="595D60E3" w14:textId="77777777" w:rsidR="00271FA2" w:rsidRPr="00A013E1" w:rsidRDefault="00D35E51" w:rsidP="006974A7">
      <w:pPr>
        <w:tabs>
          <w:tab w:val="left" w:leader="dot" w:pos="9072"/>
        </w:tabs>
        <w:spacing w:after="240" w:line="240" w:lineRule="atLeast"/>
        <w:jc w:val="both"/>
        <w:rPr>
          <w:rFonts w:ascii="Times New Roman" w:hAnsi="Times New Roman" w:cs="Times New Roman"/>
          <w:szCs w:val="20"/>
          <w:lang w:val="ru-RU"/>
        </w:rPr>
      </w:pPr>
      <w:r w:rsidRPr="00A013E1">
        <w:rPr>
          <w:rFonts w:ascii="Times New Roman" w:hAnsi="Times New Roman" w:cs="Times New Roman"/>
          <w:lang w:val="ru-RU"/>
        </w:rPr>
        <w:t xml:space="preserve">Електрозахранването, безопасността, взаимните смущения на бордовото оборудване, безопасно разстояние от компаса, устойчивостта на климатични въздействия, механичната якост, отражението върху околната среда, излъчването на шум в звуковата област и електромагнитната съвместимост се изпитват в съответствие с Европейски стандарт </w:t>
      </w:r>
      <w:r w:rsidRPr="00A013E1">
        <w:rPr>
          <w:rFonts w:ascii="Times New Roman" w:hAnsi="Times New Roman" w:cs="Times New Roman"/>
        </w:rPr>
        <w:t>EN</w:t>
      </w:r>
      <w:r w:rsidRPr="00A013E1">
        <w:rPr>
          <w:rFonts w:ascii="Times New Roman" w:hAnsi="Times New Roman" w:cs="Times New Roman"/>
          <w:lang w:val="ru-RU"/>
        </w:rPr>
        <w:t xml:space="preserve"> 60945:2002. </w:t>
      </w:r>
    </w:p>
    <w:p w14:paraId="6E5ABCA7" w14:textId="77777777" w:rsidR="00271FA2" w:rsidRPr="00A013E1" w:rsidRDefault="00D35E51">
      <w:pPr>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Член 5.02</w:t>
      </w:r>
    </w:p>
    <w:p w14:paraId="2A044ADB" w14:textId="77777777"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szCs w:val="20"/>
          <w:lang w:val="ru-RU"/>
        </w:rPr>
      </w:pPr>
      <w:r w:rsidRPr="00A013E1">
        <w:rPr>
          <w:rFonts w:ascii="Times New Roman" w:hAnsi="Times New Roman" w:cs="Times New Roman"/>
          <w:i/>
          <w:lang w:val="ru-RU"/>
        </w:rPr>
        <w:t>Паразитни излъчвания</w:t>
      </w:r>
    </w:p>
    <w:p w14:paraId="01B87487" w14:textId="77777777"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Паразитните излъчвания се измерват в съответствие с Европейски стандарт </w:t>
      </w:r>
      <w:r w:rsidRPr="00A013E1">
        <w:rPr>
          <w:rFonts w:ascii="Times New Roman" w:hAnsi="Times New Roman" w:cs="Times New Roman"/>
        </w:rPr>
        <w:t>EN</w:t>
      </w:r>
      <w:r w:rsidRPr="00A013E1">
        <w:rPr>
          <w:rFonts w:ascii="Times New Roman" w:hAnsi="Times New Roman" w:cs="Times New Roman"/>
          <w:lang w:val="ru-RU"/>
        </w:rPr>
        <w:t xml:space="preserve"> 60945:2002 в честотния диапазон от 30 до 2000 </w:t>
      </w:r>
      <w:r w:rsidRPr="00A013E1">
        <w:rPr>
          <w:rFonts w:ascii="Times New Roman" w:hAnsi="Times New Roman" w:cs="Times New Roman"/>
        </w:rPr>
        <w:t>MHz</w:t>
      </w:r>
      <w:r w:rsidRPr="00A013E1">
        <w:rPr>
          <w:rFonts w:ascii="Times New Roman" w:hAnsi="Times New Roman" w:cs="Times New Roman"/>
          <w:lang w:val="ru-RU"/>
        </w:rPr>
        <w:t xml:space="preserve">. </w:t>
      </w:r>
    </w:p>
    <w:p w14:paraId="1C5AFEAA" w14:textId="77777777" w:rsidR="00271FA2" w:rsidRPr="00A013E1" w:rsidRDefault="00D35E51" w:rsidP="006974A7">
      <w:pPr>
        <w:tabs>
          <w:tab w:val="left" w:leader="dot" w:pos="9072"/>
        </w:tabs>
        <w:spacing w:after="240" w:line="240" w:lineRule="atLeast"/>
        <w:jc w:val="both"/>
        <w:rPr>
          <w:rFonts w:ascii="Times New Roman" w:hAnsi="Times New Roman" w:cs="Times New Roman"/>
          <w:szCs w:val="20"/>
          <w:lang w:val="ru-RU"/>
        </w:rPr>
      </w:pPr>
      <w:r w:rsidRPr="00A013E1">
        <w:rPr>
          <w:rFonts w:ascii="Times New Roman" w:hAnsi="Times New Roman" w:cs="Times New Roman"/>
          <w:lang w:val="ru-RU"/>
        </w:rPr>
        <w:t>Изискванията на член 2.02, точка 2 трябва да бъдат изпълнени.</w:t>
      </w:r>
    </w:p>
    <w:p w14:paraId="69E88C42" w14:textId="77777777" w:rsidR="00271FA2" w:rsidRPr="00A013E1" w:rsidRDefault="00D35E51">
      <w:pPr>
        <w:tabs>
          <w:tab w:val="left" w:pos="284"/>
          <w:tab w:val="left" w:pos="454"/>
          <w:tab w:val="left" w:pos="680"/>
          <w:tab w:val="left" w:pos="1021"/>
        </w:tabs>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Член 5.03</w:t>
      </w:r>
    </w:p>
    <w:p w14:paraId="1959C248" w14:textId="77777777" w:rsidR="00271FA2" w:rsidRPr="00A013E1" w:rsidRDefault="00D35E51" w:rsidP="006974A7">
      <w:pPr>
        <w:tabs>
          <w:tab w:val="left" w:pos="284"/>
          <w:tab w:val="left" w:pos="454"/>
          <w:tab w:val="left" w:pos="680"/>
          <w:tab w:val="left" w:pos="1021"/>
        </w:tabs>
        <w:overflowPunct w:val="0"/>
        <w:adjustRightInd w:val="0"/>
        <w:spacing w:after="240" w:line="240" w:lineRule="atLeast"/>
        <w:jc w:val="center"/>
        <w:textAlignment w:val="baseline"/>
        <w:rPr>
          <w:rFonts w:ascii="Times New Roman" w:hAnsi="Times New Roman" w:cs="Times New Roman"/>
          <w:szCs w:val="20"/>
          <w:lang w:val="ru-RU"/>
        </w:rPr>
      </w:pPr>
      <w:r w:rsidRPr="00A013E1">
        <w:rPr>
          <w:rFonts w:ascii="Times New Roman" w:hAnsi="Times New Roman" w:cs="Times New Roman"/>
          <w:i/>
          <w:lang w:val="ru-RU"/>
        </w:rPr>
        <w:t>Процедура на изпитване</w:t>
      </w:r>
    </w:p>
    <w:p w14:paraId="237EF2C4" w14:textId="10FE64A1" w:rsidR="00271FA2" w:rsidRPr="00A013E1" w:rsidRDefault="00D35E51" w:rsidP="006974A7">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snapToGrid w:val="0"/>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Индикаторите на ъгловата скорост</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се изпитват при номинални и гранични условия. В тази връзка влиянието на работното напрежение и на околната температура се изпитва до предписаната пределна стойност.</w:t>
      </w:r>
    </w:p>
    <w:p w14:paraId="5833FBEE" w14:textId="77777777"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Освен това с помощта на радиопредаватели трябва да се създават максимални магнитни полета в близост до индикаторите.</w:t>
      </w:r>
    </w:p>
    <w:p w14:paraId="5D54B22D" w14:textId="77777777" w:rsidR="00271FA2" w:rsidRPr="00A013E1" w:rsidRDefault="00D35E51" w:rsidP="006974A7">
      <w:pPr>
        <w:spacing w:line="240" w:lineRule="atLeast"/>
        <w:ind w:left="567" w:hanging="567"/>
        <w:jc w:val="both"/>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При условията, описани в точка 1, грешките на индикаторите трябва да остават в рамките на допустимите отклонения, посочени в допълнението.</w:t>
      </w:r>
    </w:p>
    <w:p w14:paraId="15444496" w14:textId="77777777" w:rsidR="00271FA2" w:rsidRPr="00A013E1" w:rsidRDefault="00D35E51" w:rsidP="006974A7">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Всички минимални изисквания на Глави 2—4 трябва да бъдат изпълнени.</w:t>
      </w:r>
    </w:p>
    <w:p w14:paraId="7707F8F8" w14:textId="77777777" w:rsidR="00271FA2" w:rsidRPr="00A013E1" w:rsidRDefault="00D35E51">
      <w:pPr>
        <w:spacing w:line="240" w:lineRule="atLeast"/>
        <w:rPr>
          <w:rFonts w:ascii="Times New Roman" w:hAnsi="Times New Roman" w:cs="Times New Roman"/>
          <w:lang w:val="ru-RU"/>
        </w:rPr>
      </w:pPr>
      <w:r w:rsidRPr="00A013E1">
        <w:rPr>
          <w:rFonts w:ascii="Times New Roman" w:hAnsi="Times New Roman" w:cs="Times New Roman"/>
          <w:lang w:val="ru-RU"/>
        </w:rPr>
        <w:br w:type="page"/>
      </w:r>
    </w:p>
    <w:p w14:paraId="07E73111" w14:textId="77777777" w:rsidR="00271FA2" w:rsidRPr="00A013E1" w:rsidRDefault="00D35E51">
      <w:pPr>
        <w:tabs>
          <w:tab w:val="right" w:pos="9072"/>
        </w:tabs>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lastRenderedPageBreak/>
        <w:t>Допълнение</w:t>
      </w:r>
    </w:p>
    <w:p w14:paraId="4B520D1A" w14:textId="0A672B90" w:rsidR="00271FA2" w:rsidRPr="00A013E1" w:rsidRDefault="00D35E51">
      <w:pPr>
        <w:tabs>
          <w:tab w:val="decimal" w:pos="7056"/>
          <w:tab w:val="decimal" w:pos="9504"/>
        </w:tabs>
        <w:overflowPunct w:val="0"/>
        <w:adjustRightInd w:val="0"/>
        <w:spacing w:line="240" w:lineRule="atLeast"/>
        <w:jc w:val="center"/>
        <w:textAlignment w:val="baseline"/>
        <w:rPr>
          <w:rFonts w:ascii="Times New Roman" w:hAnsi="Times New Roman" w:cs="Times New Roman"/>
          <w:b/>
          <w:bCs/>
          <w:szCs w:val="20"/>
          <w:lang w:val="ru-RU"/>
        </w:rPr>
      </w:pPr>
      <w:r w:rsidRPr="00A013E1">
        <w:rPr>
          <w:rFonts w:ascii="Times New Roman" w:hAnsi="Times New Roman" w:cs="Times New Roman"/>
          <w:b/>
          <w:lang w:val="ru-RU"/>
        </w:rPr>
        <w:t>Фигура 1: Максимални допустими отклонения за грешки при индикаторите на ъгловата скорост</w:t>
      </w:r>
      <w:r w:rsidR="0078218A" w:rsidRPr="00A013E1">
        <w:rPr>
          <w:rFonts w:ascii="Times New Roman" w:hAnsi="Times New Roman" w:cs="Times New Roman"/>
          <w:b/>
          <w:lang w:val="ru-RU"/>
        </w:rPr>
        <w:t>на завиване</w:t>
      </w:r>
    </w:p>
    <w:p w14:paraId="25CD7391" w14:textId="77777777" w:rsidR="00271FA2" w:rsidRPr="00A013E1" w:rsidRDefault="00271FA2">
      <w:pPr>
        <w:tabs>
          <w:tab w:val="decimal" w:pos="7056"/>
          <w:tab w:val="decimal" w:pos="9504"/>
        </w:tabs>
        <w:overflowPunct w:val="0"/>
        <w:adjustRightInd w:val="0"/>
        <w:spacing w:line="240" w:lineRule="atLeast"/>
        <w:jc w:val="center"/>
        <w:textAlignment w:val="baseline"/>
        <w:rPr>
          <w:rFonts w:ascii="Times New Roman" w:hAnsi="Times New Roman" w:cs="Times New Roman"/>
          <w:b/>
          <w:bCs/>
          <w:szCs w:val="20"/>
          <w:lang w:val="ru-RU"/>
        </w:rPr>
      </w:pPr>
    </w:p>
    <w:p w14:paraId="55D74257" w14:textId="77777777" w:rsidR="00271FA2" w:rsidRPr="00A013E1" w:rsidRDefault="00D35E51">
      <w:pPr>
        <w:tabs>
          <w:tab w:val="decimal" w:pos="7056"/>
          <w:tab w:val="decimal" w:pos="9504"/>
        </w:tabs>
        <w:overflowPunct w:val="0"/>
        <w:adjustRightInd w:val="0"/>
        <w:spacing w:line="240" w:lineRule="atLeast"/>
        <w:jc w:val="center"/>
        <w:textAlignment w:val="baseline"/>
        <w:rPr>
          <w:rFonts w:ascii="Times New Roman" w:hAnsi="Times New Roman" w:cs="Times New Roman"/>
        </w:rPr>
      </w:pPr>
      <w:r w:rsidRPr="00A013E1">
        <w:rPr>
          <w:rFonts w:ascii="Times New Roman" w:hAnsi="Times New Roman" w:cs="Times New Roman"/>
          <w:noProof/>
          <w:lang w:eastAsia="bg-BG"/>
        </w:rPr>
        <w:drawing>
          <wp:inline distT="0" distB="0" distL="0" distR="0" wp14:anchorId="7813A497" wp14:editId="249E313D">
            <wp:extent cx="4507230" cy="6560820"/>
            <wp:effectExtent l="19050" t="0" r="7481"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7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4505029" cy="6557413"/>
                    </a:xfrm>
                    <a:prstGeom prst="rect">
                      <a:avLst/>
                    </a:prstGeom>
                    <a:noFill/>
                    <a:ln>
                      <a:noFill/>
                    </a:ln>
                  </pic:spPr>
                </pic:pic>
              </a:graphicData>
            </a:graphic>
          </wp:inline>
        </w:drawing>
      </w:r>
      <w:bookmarkStart w:id="606" w:name="_Toc491854314"/>
      <w:bookmarkStart w:id="607" w:name="_Toc535827755"/>
    </w:p>
    <w:p w14:paraId="18A2B2CD" w14:textId="77777777" w:rsidR="00000D4E" w:rsidRPr="00A013E1" w:rsidRDefault="00000D4E">
      <w:pPr>
        <w:rPr>
          <w:rFonts w:ascii="Times New Roman" w:hAnsi="Times New Roman" w:cs="Times New Roman"/>
          <w:lang w:val="ru-RU"/>
        </w:rPr>
        <w:sectPr w:rsidR="00000D4E" w:rsidRPr="00A013E1" w:rsidSect="00A013E1">
          <w:headerReference w:type="default" r:id="rId138"/>
          <w:footnotePr>
            <w:numRestart w:val="eachPage"/>
          </w:footnotePr>
          <w:pgSz w:w="11907" w:h="16840"/>
          <w:pgMar w:top="1134" w:right="1134" w:bottom="1134" w:left="1134" w:header="709" w:footer="709" w:gutter="0"/>
          <w:cols w:space="720"/>
          <w:docGrid w:linePitch="326"/>
        </w:sectPr>
      </w:pPr>
    </w:p>
    <w:p w14:paraId="3A5D757B" w14:textId="3DCC77EE" w:rsidR="00271FA2" w:rsidRPr="00A013E1" w:rsidRDefault="00D35E51" w:rsidP="00E63CFF">
      <w:pPr>
        <w:pStyle w:val="ES-Titre3"/>
        <w:spacing w:after="0" w:line="240" w:lineRule="atLeast"/>
        <w:rPr>
          <w:rFonts w:ascii="Times New Roman" w:hAnsi="Times New Roman" w:cs="Times New Roman"/>
          <w:sz w:val="24"/>
          <w:szCs w:val="24"/>
          <w:lang w:val="ru-RU"/>
        </w:rPr>
      </w:pPr>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III</w:t>
      </w:r>
      <w:bookmarkEnd w:id="606"/>
      <w:bookmarkEnd w:id="607"/>
      <w:r w:rsidRPr="00A013E1">
        <w:rPr>
          <w:rFonts w:ascii="Times New Roman" w:hAnsi="Times New Roman" w:cs="Times New Roman"/>
          <w:sz w:val="24"/>
          <w:szCs w:val="24"/>
          <w:lang w:val="ru-RU"/>
        </w:rPr>
        <w:t xml:space="preserve"> </w:t>
      </w:r>
    </w:p>
    <w:p w14:paraId="2E70CDA5" w14:textId="32FEFA32" w:rsidR="00271FA2" w:rsidRPr="00A013E1" w:rsidRDefault="00D35E51">
      <w:pPr>
        <w:pStyle w:val="ES-Titre3a"/>
        <w:spacing w:line="240" w:lineRule="atLeast"/>
        <w:rPr>
          <w:rFonts w:ascii="Times New Roman" w:hAnsi="Times New Roman" w:cs="Times New Roman"/>
          <w:sz w:val="24"/>
          <w:szCs w:val="24"/>
          <w:lang w:val="ru-RU"/>
        </w:rPr>
      </w:pPr>
      <w:bookmarkStart w:id="608" w:name="_Toc535827756"/>
      <w:bookmarkStart w:id="609" w:name="_Toc491854315"/>
      <w:r w:rsidRPr="00A013E1">
        <w:rPr>
          <w:rFonts w:ascii="Times New Roman" w:hAnsi="Times New Roman" w:cs="Times New Roman"/>
          <w:sz w:val="24"/>
          <w:szCs w:val="24"/>
          <w:lang w:val="ru-RU"/>
        </w:rPr>
        <w:t>Изисквания по отношение на монтажа и изпитванията на показателите на навигационното радиолокационно оборудване и индикаторите на ъгловата скорост</w:t>
      </w:r>
      <w:r w:rsidR="006C15AE" w:rsidRPr="00A013E1">
        <w:rPr>
          <w:rFonts w:ascii="Times New Roman" w:hAnsi="Times New Roman" w:cs="Times New Roman"/>
          <w:sz w:val="24"/>
          <w:szCs w:val="24"/>
          <w:lang w:val="ru-RU"/>
        </w:rPr>
        <w:t xml:space="preserve"> </w:t>
      </w:r>
      <w:r w:rsidR="0078218A" w:rsidRPr="00A013E1">
        <w:rPr>
          <w:rFonts w:ascii="Times New Roman" w:hAnsi="Times New Roman" w:cs="Times New Roman"/>
          <w:sz w:val="24"/>
          <w:szCs w:val="24"/>
          <w:lang w:val="ru-RU"/>
        </w:rPr>
        <w:t>на завиване</w:t>
      </w:r>
      <w:r w:rsidRPr="00A013E1">
        <w:rPr>
          <w:rFonts w:ascii="Times New Roman" w:hAnsi="Times New Roman" w:cs="Times New Roman"/>
          <w:sz w:val="24"/>
          <w:szCs w:val="24"/>
          <w:lang w:val="ru-RU"/>
        </w:rPr>
        <w:t>, използвани за вътрешното корабоплаване</w:t>
      </w:r>
      <w:bookmarkEnd w:id="608"/>
      <w:bookmarkEnd w:id="609"/>
    </w:p>
    <w:p w14:paraId="388E043D" w14:textId="77777777" w:rsidR="00271FA2" w:rsidRPr="00A013E1" w:rsidRDefault="00D35E51" w:rsidP="00E63CFF">
      <w:pPr>
        <w:spacing w:after="240" w:line="240" w:lineRule="atLeast"/>
        <w:jc w:val="center"/>
        <w:rPr>
          <w:rFonts w:ascii="Times New Roman" w:hAnsi="Times New Roman" w:cs="Times New Roman"/>
          <w:i/>
          <w:lang w:val="ru-RU"/>
        </w:rPr>
      </w:pPr>
      <w:r w:rsidRPr="00A013E1">
        <w:rPr>
          <w:rFonts w:ascii="Times New Roman" w:hAnsi="Times New Roman" w:cs="Times New Roman"/>
          <w:b/>
          <w:lang w:val="ru-RU"/>
        </w:rPr>
        <w:t>Член 1</w:t>
      </w:r>
      <w:r w:rsidRPr="00A013E1">
        <w:rPr>
          <w:rFonts w:ascii="Times New Roman" w:hAnsi="Times New Roman" w:cs="Times New Roman"/>
          <w:b/>
          <w:lang w:val="ru-RU"/>
        </w:rPr>
        <w:br/>
      </w:r>
      <w:r w:rsidRPr="00A013E1">
        <w:rPr>
          <w:rFonts w:ascii="Times New Roman" w:hAnsi="Times New Roman" w:cs="Times New Roman"/>
          <w:i/>
          <w:lang w:val="ru-RU"/>
        </w:rPr>
        <w:t>Общи положения</w:t>
      </w:r>
    </w:p>
    <w:p w14:paraId="3B457512" w14:textId="04C71B44"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Монтажът и изпитванията на показателите на навигационното радиолокационно оборудване и на системите за индикация на ъгловата скорост</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се извършват съобразно следните разпоредби.</w:t>
      </w:r>
    </w:p>
    <w:p w14:paraId="72A9165E" w14:textId="77777777"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Допуска се монтирането единствено на оборудване с одобрение на типа съгласно раздел </w:t>
      </w:r>
      <w:r w:rsidRPr="00A013E1">
        <w:rPr>
          <w:rFonts w:ascii="Times New Roman" w:hAnsi="Times New Roman" w:cs="Times New Roman"/>
          <w:color w:val="000000"/>
        </w:rPr>
        <w:t>I</w:t>
      </w:r>
      <w:r w:rsidRPr="00A013E1">
        <w:rPr>
          <w:rFonts w:ascii="Times New Roman" w:hAnsi="Times New Roman" w:cs="Times New Roman"/>
          <w:color w:val="000000"/>
          <w:lang w:val="ru-RU"/>
        </w:rPr>
        <w:t xml:space="preserve">, член 6 или раздел </w:t>
      </w:r>
      <w:r w:rsidRPr="00A013E1">
        <w:rPr>
          <w:rFonts w:ascii="Times New Roman" w:hAnsi="Times New Roman" w:cs="Times New Roman"/>
          <w:color w:val="000000"/>
        </w:rPr>
        <w:t>II</w:t>
      </w:r>
      <w:r w:rsidRPr="00A013E1">
        <w:rPr>
          <w:rFonts w:ascii="Times New Roman" w:hAnsi="Times New Roman" w:cs="Times New Roman"/>
          <w:color w:val="000000"/>
          <w:lang w:val="ru-RU"/>
        </w:rPr>
        <w:t>, член 1.05, или с одобрение на типа, признато за еквивалентно.</w:t>
      </w:r>
    </w:p>
    <w:p w14:paraId="5BCC0464" w14:textId="3BDEC4A0" w:rsidR="006132D7" w:rsidRPr="00A013E1" w:rsidRDefault="00D35E51" w:rsidP="00E63CFF">
      <w:pPr>
        <w:spacing w:after="240"/>
        <w:ind w:left="567" w:hanging="567"/>
        <w:rPr>
          <w:rFonts w:ascii="Times New Roman" w:hAnsi="Times New Roman" w:cs="Times New Roman"/>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006132D7" w:rsidRPr="00A013E1">
        <w:rPr>
          <w:rFonts w:ascii="Times New Roman" w:hAnsi="Times New Roman" w:cs="Times New Roman"/>
          <w:lang w:val="ru-RU"/>
        </w:rPr>
        <w:t>Ако данни от външни сензори за геопространствено позициониране или определяне на посоката се използват от навигационн</w:t>
      </w:r>
      <w:r w:rsidR="007029AF" w:rsidRPr="00A013E1">
        <w:rPr>
          <w:rFonts w:ascii="Times New Roman" w:hAnsi="Times New Roman" w:cs="Times New Roman"/>
          <w:lang w:val="ru-RU"/>
        </w:rPr>
        <w:t>о</w:t>
      </w:r>
      <w:r w:rsidR="006132D7" w:rsidRPr="00A013E1">
        <w:rPr>
          <w:rFonts w:ascii="Times New Roman" w:hAnsi="Times New Roman" w:cs="Times New Roman"/>
          <w:lang w:val="ru-RU"/>
        </w:rPr>
        <w:t xml:space="preserve"> </w:t>
      </w:r>
      <w:r w:rsidR="007029AF" w:rsidRPr="00A013E1">
        <w:rPr>
          <w:rFonts w:ascii="Times New Roman" w:hAnsi="Times New Roman" w:cs="Times New Roman"/>
          <w:lang w:val="ru-RU"/>
        </w:rPr>
        <w:t xml:space="preserve">радиолокационно оборудване </w:t>
      </w:r>
      <w:r w:rsidR="006132D7" w:rsidRPr="00A013E1">
        <w:rPr>
          <w:rFonts w:ascii="Times New Roman" w:hAnsi="Times New Roman" w:cs="Times New Roman"/>
          <w:lang w:val="ru-RU"/>
        </w:rPr>
        <w:t>, тези сензори трябва да бъдат типово одобрени в съответствие със следните морски стандарти: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3305"/>
        <w:gridCol w:w="3226"/>
      </w:tblGrid>
      <w:tr w:rsidR="006132D7" w:rsidRPr="00A013E1" w14:paraId="7177E32F" w14:textId="77777777" w:rsidTr="00E63CFF">
        <w:trPr>
          <w:trHeight w:val="429"/>
          <w:jc w:val="center"/>
        </w:trPr>
        <w:tc>
          <w:tcPr>
            <w:tcW w:w="2225" w:type="dxa"/>
            <w:vMerge w:val="restart"/>
          </w:tcPr>
          <w:p w14:paraId="07BFE88A" w14:textId="77777777" w:rsidR="006132D7" w:rsidRPr="00A013E1" w:rsidRDefault="006132D7" w:rsidP="006132D7">
            <w:pPr>
              <w:widowControl w:val="0"/>
              <w:autoSpaceDE w:val="0"/>
              <w:autoSpaceDN w:val="0"/>
              <w:spacing w:before="174"/>
              <w:rPr>
                <w:rFonts w:ascii="Times New Roman" w:eastAsia="Arial MT" w:hAnsi="Times New Roman" w:cs="Times New Roman"/>
                <w:lang w:val="ru-RU"/>
              </w:rPr>
            </w:pPr>
          </w:p>
          <w:p w14:paraId="6848ABC8" w14:textId="77777777" w:rsidR="006132D7" w:rsidRPr="00A013E1" w:rsidRDefault="006132D7" w:rsidP="006132D7">
            <w:pPr>
              <w:widowControl w:val="0"/>
              <w:autoSpaceDE w:val="0"/>
              <w:autoSpaceDN w:val="0"/>
              <w:jc w:val="center"/>
              <w:rPr>
                <w:rFonts w:ascii="Times New Roman" w:eastAsia="Arial MT" w:hAnsi="Times New Roman" w:cs="Times New Roman"/>
                <w:b/>
              </w:rPr>
            </w:pPr>
            <w:r w:rsidRPr="00A013E1">
              <w:rPr>
                <w:rFonts w:ascii="Times New Roman" w:eastAsia="Arial MT" w:hAnsi="Times New Roman" w:cs="Times New Roman"/>
                <w:b/>
                <w:spacing w:val="-2"/>
              </w:rPr>
              <w:t>Сензор</w:t>
            </w:r>
          </w:p>
        </w:tc>
        <w:tc>
          <w:tcPr>
            <w:tcW w:w="6531" w:type="dxa"/>
            <w:gridSpan w:val="2"/>
          </w:tcPr>
          <w:p w14:paraId="46F2F398" w14:textId="77777777" w:rsidR="006132D7" w:rsidRPr="00A013E1" w:rsidRDefault="006132D7" w:rsidP="006132D7">
            <w:pPr>
              <w:widowControl w:val="0"/>
              <w:autoSpaceDE w:val="0"/>
              <w:autoSpaceDN w:val="0"/>
              <w:spacing w:before="162"/>
              <w:ind w:left="1435"/>
              <w:rPr>
                <w:rFonts w:ascii="Times New Roman" w:eastAsia="Arial MT" w:hAnsi="Times New Roman" w:cs="Times New Roman"/>
                <w:b/>
                <w:lang w:val="ru-RU"/>
              </w:rPr>
            </w:pPr>
            <w:r w:rsidRPr="00A013E1">
              <w:rPr>
                <w:rFonts w:ascii="Times New Roman" w:eastAsia="Arial MT" w:hAnsi="Times New Roman" w:cs="Times New Roman"/>
                <w:b/>
                <w:spacing w:val="-2"/>
                <w:lang w:val="ru-RU"/>
              </w:rPr>
              <w:t>Минимални изисквания в съответствие с</w:t>
            </w:r>
          </w:p>
        </w:tc>
      </w:tr>
      <w:tr w:rsidR="006132D7" w:rsidRPr="00A013E1" w14:paraId="326686DA" w14:textId="77777777" w:rsidTr="00E63CFF">
        <w:trPr>
          <w:trHeight w:val="429"/>
          <w:jc w:val="center"/>
        </w:trPr>
        <w:tc>
          <w:tcPr>
            <w:tcW w:w="2225" w:type="dxa"/>
            <w:vMerge/>
            <w:tcBorders>
              <w:top w:val="nil"/>
            </w:tcBorders>
          </w:tcPr>
          <w:p w14:paraId="1F538188" w14:textId="77777777" w:rsidR="006132D7" w:rsidRPr="00A013E1" w:rsidRDefault="006132D7" w:rsidP="006132D7">
            <w:pPr>
              <w:rPr>
                <w:rFonts w:ascii="Times New Roman" w:eastAsia="Calibri" w:hAnsi="Times New Roman" w:cs="Times New Roman"/>
                <w:lang w:val="ru-RU"/>
              </w:rPr>
            </w:pPr>
          </w:p>
        </w:tc>
        <w:tc>
          <w:tcPr>
            <w:tcW w:w="3305" w:type="dxa"/>
          </w:tcPr>
          <w:p w14:paraId="619CF0D5" w14:textId="77777777" w:rsidR="006132D7" w:rsidRPr="00A013E1" w:rsidRDefault="006132D7" w:rsidP="006132D7">
            <w:pPr>
              <w:widowControl w:val="0"/>
              <w:autoSpaceDE w:val="0"/>
              <w:autoSpaceDN w:val="0"/>
              <w:spacing w:before="162"/>
              <w:ind w:left="1" w:right="1"/>
              <w:jc w:val="center"/>
              <w:rPr>
                <w:rFonts w:ascii="Times New Roman" w:eastAsia="Arial MT" w:hAnsi="Times New Roman" w:cs="Times New Roman"/>
                <w:b/>
              </w:rPr>
            </w:pPr>
            <w:r w:rsidRPr="00A013E1">
              <w:rPr>
                <w:rFonts w:ascii="Times New Roman" w:eastAsia="Arial MT" w:hAnsi="Times New Roman" w:cs="Times New Roman"/>
                <w:b/>
              </w:rPr>
              <w:t xml:space="preserve">IMO </w:t>
            </w:r>
            <w:r w:rsidRPr="00A013E1">
              <w:rPr>
                <w:rFonts w:ascii="Times New Roman" w:eastAsia="Arial MT" w:hAnsi="Times New Roman" w:cs="Times New Roman"/>
                <w:b/>
                <w:spacing w:val="-2"/>
              </w:rPr>
              <w:t>стандарт</w:t>
            </w:r>
          </w:p>
        </w:tc>
        <w:tc>
          <w:tcPr>
            <w:tcW w:w="3226" w:type="dxa"/>
          </w:tcPr>
          <w:p w14:paraId="5CCFFE95" w14:textId="77777777" w:rsidR="006132D7" w:rsidRPr="00A013E1" w:rsidRDefault="006132D7" w:rsidP="006132D7">
            <w:pPr>
              <w:widowControl w:val="0"/>
              <w:autoSpaceDE w:val="0"/>
              <w:autoSpaceDN w:val="0"/>
              <w:spacing w:before="162"/>
              <w:ind w:left="1"/>
              <w:jc w:val="center"/>
              <w:rPr>
                <w:rFonts w:ascii="Times New Roman" w:eastAsia="Arial MT" w:hAnsi="Times New Roman" w:cs="Times New Roman"/>
                <w:b/>
              </w:rPr>
            </w:pPr>
            <w:r w:rsidRPr="00A013E1">
              <w:rPr>
                <w:rFonts w:ascii="Times New Roman" w:eastAsia="Arial MT" w:hAnsi="Times New Roman" w:cs="Times New Roman"/>
                <w:b/>
              </w:rPr>
              <w:t>ISO/IEC</w:t>
            </w:r>
            <w:r w:rsidRPr="00A013E1">
              <w:rPr>
                <w:rFonts w:ascii="Times New Roman" w:eastAsia="Arial MT" w:hAnsi="Times New Roman" w:cs="Times New Roman"/>
                <w:b/>
                <w:spacing w:val="-4"/>
              </w:rPr>
              <w:t xml:space="preserve"> </w:t>
            </w:r>
            <w:r w:rsidRPr="00A013E1">
              <w:rPr>
                <w:rFonts w:ascii="Times New Roman" w:eastAsia="Arial MT" w:hAnsi="Times New Roman" w:cs="Times New Roman"/>
                <w:b/>
                <w:spacing w:val="-2"/>
              </w:rPr>
              <w:t>стандарт</w:t>
            </w:r>
          </w:p>
        </w:tc>
      </w:tr>
      <w:tr w:rsidR="006132D7" w:rsidRPr="00A013E1" w14:paraId="3FF5C527" w14:textId="77777777" w:rsidTr="00E63CFF">
        <w:trPr>
          <w:trHeight w:val="431"/>
          <w:jc w:val="center"/>
        </w:trPr>
        <w:tc>
          <w:tcPr>
            <w:tcW w:w="2225" w:type="dxa"/>
          </w:tcPr>
          <w:p w14:paraId="2250222D" w14:textId="77777777" w:rsidR="006132D7" w:rsidRPr="00A013E1" w:rsidRDefault="006132D7" w:rsidP="006132D7">
            <w:pPr>
              <w:widowControl w:val="0"/>
              <w:autoSpaceDE w:val="0"/>
              <w:autoSpaceDN w:val="0"/>
              <w:spacing w:before="162"/>
              <w:ind w:left="107"/>
              <w:rPr>
                <w:rFonts w:ascii="Times New Roman" w:eastAsia="Arial MT" w:hAnsi="Times New Roman" w:cs="Times New Roman"/>
              </w:rPr>
            </w:pPr>
            <w:r w:rsidRPr="00A013E1">
              <w:rPr>
                <w:rFonts w:ascii="Times New Roman" w:eastAsia="Arial MT" w:hAnsi="Times New Roman" w:cs="Times New Roman"/>
                <w:spacing w:val="-5"/>
              </w:rPr>
              <w:t>GPS</w:t>
            </w:r>
          </w:p>
        </w:tc>
        <w:tc>
          <w:tcPr>
            <w:tcW w:w="3305" w:type="dxa"/>
          </w:tcPr>
          <w:p w14:paraId="773BEF09" w14:textId="42B500AC" w:rsidR="006132D7" w:rsidRPr="00A013E1" w:rsidRDefault="006132D7" w:rsidP="00A9168B">
            <w:pPr>
              <w:widowControl w:val="0"/>
              <w:autoSpaceDE w:val="0"/>
              <w:autoSpaceDN w:val="0"/>
              <w:spacing w:before="158"/>
              <w:ind w:right="1"/>
              <w:jc w:val="center"/>
              <w:rPr>
                <w:rFonts w:ascii="Times New Roman" w:eastAsia="Arial MT" w:hAnsi="Times New Roman" w:cs="Times New Roman"/>
                <w:position w:val="6"/>
              </w:rPr>
            </w:pPr>
            <w:r w:rsidRPr="00A013E1">
              <w:rPr>
                <w:rFonts w:ascii="Times New Roman" w:eastAsia="Arial MT" w:hAnsi="Times New Roman" w:cs="Times New Roman"/>
                <w:spacing w:val="-2"/>
              </w:rPr>
              <w:t>MSC.112(73</w:t>
            </w:r>
            <w:r w:rsidR="00A9168B" w:rsidRPr="00A013E1">
              <w:rPr>
                <w:rFonts w:ascii="Times New Roman" w:eastAsia="Arial MT" w:hAnsi="Times New Roman" w:cs="Times New Roman"/>
                <w:spacing w:val="-2"/>
              </w:rPr>
              <w:t>)</w:t>
            </w:r>
            <w:r w:rsidR="00415DE8" w:rsidRPr="00A013E1">
              <w:rPr>
                <w:rFonts w:ascii="Times New Roman" w:eastAsia="Arial MT" w:hAnsi="Times New Roman" w:cs="Times New Roman"/>
                <w:spacing w:val="-2"/>
              </w:rPr>
              <w:t xml:space="preserve"> </w:t>
            </w:r>
            <w:r w:rsidR="00415DE8" w:rsidRPr="00A013E1">
              <w:rPr>
                <w:rStyle w:val="FootnoteReference"/>
                <w:rFonts w:ascii="Times New Roman" w:eastAsia="Arial MT" w:hAnsi="Times New Roman" w:cs="Times New Roman"/>
                <w:spacing w:val="-2"/>
              </w:rPr>
              <w:footnoteReference w:id="39"/>
            </w:r>
          </w:p>
        </w:tc>
        <w:tc>
          <w:tcPr>
            <w:tcW w:w="3226" w:type="dxa"/>
          </w:tcPr>
          <w:p w14:paraId="514E328A" w14:textId="77777777" w:rsidR="006132D7" w:rsidRPr="00A013E1" w:rsidRDefault="006132D7" w:rsidP="006132D7">
            <w:pPr>
              <w:widowControl w:val="0"/>
              <w:autoSpaceDE w:val="0"/>
              <w:autoSpaceDN w:val="0"/>
              <w:spacing w:before="162"/>
              <w:ind w:left="1" w:right="1"/>
              <w:jc w:val="center"/>
              <w:rPr>
                <w:rFonts w:ascii="Times New Roman" w:eastAsia="Arial MT" w:hAnsi="Times New Roman" w:cs="Times New Roman"/>
              </w:rPr>
            </w:pPr>
            <w:r w:rsidRPr="00A013E1">
              <w:rPr>
                <w:rFonts w:ascii="Times New Roman" w:eastAsia="Arial MT" w:hAnsi="Times New Roman" w:cs="Times New Roman"/>
              </w:rPr>
              <w:t>IEC</w:t>
            </w:r>
            <w:r w:rsidRPr="00A013E1">
              <w:rPr>
                <w:rFonts w:ascii="Times New Roman" w:eastAsia="Arial MT" w:hAnsi="Times New Roman" w:cs="Times New Roman"/>
                <w:spacing w:val="-3"/>
              </w:rPr>
              <w:t xml:space="preserve"> </w:t>
            </w:r>
            <w:r w:rsidRPr="00A013E1">
              <w:rPr>
                <w:rFonts w:ascii="Times New Roman" w:eastAsia="Arial MT" w:hAnsi="Times New Roman" w:cs="Times New Roman"/>
              </w:rPr>
              <w:t>61108-1</w:t>
            </w:r>
            <w:r w:rsidRPr="00A013E1">
              <w:rPr>
                <w:rFonts w:ascii="Times New Roman" w:eastAsia="Arial MT" w:hAnsi="Times New Roman" w:cs="Times New Roman"/>
                <w:spacing w:val="-2"/>
              </w:rPr>
              <w:t xml:space="preserve"> </w:t>
            </w:r>
            <w:r w:rsidRPr="00A013E1">
              <w:rPr>
                <w:rFonts w:ascii="Times New Roman" w:eastAsia="Arial MT" w:hAnsi="Times New Roman" w:cs="Times New Roman"/>
              </w:rPr>
              <w:t>:</w:t>
            </w:r>
            <w:r w:rsidRPr="00A013E1">
              <w:rPr>
                <w:rFonts w:ascii="Times New Roman" w:eastAsia="Arial MT" w:hAnsi="Times New Roman" w:cs="Times New Roman"/>
                <w:spacing w:val="-4"/>
              </w:rPr>
              <w:t xml:space="preserve"> 2003</w:t>
            </w:r>
          </w:p>
        </w:tc>
      </w:tr>
      <w:tr w:rsidR="006132D7" w:rsidRPr="00A013E1" w14:paraId="66FD2872" w14:textId="77777777" w:rsidTr="00E63CFF">
        <w:trPr>
          <w:trHeight w:val="429"/>
          <w:jc w:val="center"/>
        </w:trPr>
        <w:tc>
          <w:tcPr>
            <w:tcW w:w="2225" w:type="dxa"/>
          </w:tcPr>
          <w:p w14:paraId="52994E05" w14:textId="77777777" w:rsidR="006132D7" w:rsidRPr="00A013E1" w:rsidRDefault="006132D7" w:rsidP="006132D7">
            <w:pPr>
              <w:widowControl w:val="0"/>
              <w:autoSpaceDE w:val="0"/>
              <w:autoSpaceDN w:val="0"/>
              <w:spacing w:before="162"/>
              <w:ind w:left="107"/>
              <w:rPr>
                <w:rFonts w:ascii="Times New Roman" w:eastAsia="Arial MT" w:hAnsi="Times New Roman" w:cs="Times New Roman"/>
              </w:rPr>
            </w:pPr>
            <w:r w:rsidRPr="00A013E1">
              <w:rPr>
                <w:rFonts w:ascii="Times New Roman" w:eastAsia="Arial MT" w:hAnsi="Times New Roman" w:cs="Times New Roman"/>
                <w:spacing w:val="-2"/>
              </w:rPr>
              <w:t>DGPS/DGLONASS</w:t>
            </w:r>
          </w:p>
        </w:tc>
        <w:tc>
          <w:tcPr>
            <w:tcW w:w="3305" w:type="dxa"/>
          </w:tcPr>
          <w:p w14:paraId="5E530263" w14:textId="51F4DAB1" w:rsidR="006132D7" w:rsidRPr="00A013E1" w:rsidRDefault="006132D7" w:rsidP="00415DE8">
            <w:pPr>
              <w:widowControl w:val="0"/>
              <w:autoSpaceDE w:val="0"/>
              <w:autoSpaceDN w:val="0"/>
              <w:spacing w:before="158"/>
              <w:ind w:right="1"/>
              <w:jc w:val="center"/>
              <w:rPr>
                <w:rFonts w:ascii="Times New Roman" w:eastAsia="Arial MT" w:hAnsi="Times New Roman" w:cs="Times New Roman"/>
                <w:position w:val="6"/>
              </w:rPr>
            </w:pPr>
            <w:r w:rsidRPr="00A013E1">
              <w:rPr>
                <w:rFonts w:ascii="Times New Roman" w:eastAsia="Arial MT" w:hAnsi="Times New Roman" w:cs="Times New Roman"/>
                <w:spacing w:val="-2"/>
              </w:rPr>
              <w:t>MSC.114(73</w:t>
            </w:r>
            <w:hyperlink w:anchor="_bookmark4" w:history="1">
              <w:r w:rsidRPr="00A013E1">
                <w:rPr>
                  <w:rFonts w:ascii="Times New Roman" w:eastAsia="Arial MT" w:hAnsi="Times New Roman" w:cs="Times New Roman"/>
                  <w:spacing w:val="-2"/>
                </w:rPr>
                <w:t>)</w:t>
              </w:r>
              <w:r w:rsidR="00415DE8" w:rsidRPr="00A013E1">
                <w:rPr>
                  <w:rFonts w:ascii="Times New Roman" w:eastAsia="Arial MT" w:hAnsi="Times New Roman" w:cs="Times New Roman"/>
                  <w:spacing w:val="-2"/>
                </w:rPr>
                <w:t xml:space="preserve"> </w:t>
              </w:r>
              <w:r w:rsidR="00415DE8" w:rsidRPr="00A013E1">
                <w:rPr>
                  <w:rStyle w:val="FootnoteReference"/>
                  <w:rFonts w:ascii="Times New Roman" w:eastAsia="Arial MT" w:hAnsi="Times New Roman" w:cs="Times New Roman"/>
                  <w:spacing w:val="-2"/>
                  <w:position w:val="6"/>
                </w:rPr>
                <w:footnoteReference w:id="40"/>
              </w:r>
            </w:hyperlink>
          </w:p>
        </w:tc>
        <w:tc>
          <w:tcPr>
            <w:tcW w:w="3226" w:type="dxa"/>
          </w:tcPr>
          <w:p w14:paraId="318F715F" w14:textId="77777777" w:rsidR="006132D7" w:rsidRPr="00A013E1" w:rsidRDefault="006132D7" w:rsidP="006132D7">
            <w:pPr>
              <w:widowControl w:val="0"/>
              <w:autoSpaceDE w:val="0"/>
              <w:autoSpaceDN w:val="0"/>
              <w:spacing w:before="162"/>
              <w:ind w:left="1" w:right="1"/>
              <w:jc w:val="center"/>
              <w:rPr>
                <w:rFonts w:ascii="Times New Roman" w:eastAsia="Arial MT" w:hAnsi="Times New Roman" w:cs="Times New Roman"/>
              </w:rPr>
            </w:pPr>
            <w:r w:rsidRPr="00A013E1">
              <w:rPr>
                <w:rFonts w:ascii="Times New Roman" w:eastAsia="Arial MT" w:hAnsi="Times New Roman" w:cs="Times New Roman"/>
              </w:rPr>
              <w:t>IEC</w:t>
            </w:r>
            <w:r w:rsidRPr="00A013E1">
              <w:rPr>
                <w:rFonts w:ascii="Times New Roman" w:eastAsia="Arial MT" w:hAnsi="Times New Roman" w:cs="Times New Roman"/>
                <w:spacing w:val="-3"/>
              </w:rPr>
              <w:t xml:space="preserve"> </w:t>
            </w:r>
            <w:r w:rsidRPr="00A013E1">
              <w:rPr>
                <w:rFonts w:ascii="Times New Roman" w:eastAsia="Arial MT" w:hAnsi="Times New Roman" w:cs="Times New Roman"/>
              </w:rPr>
              <w:t>61108-4</w:t>
            </w:r>
            <w:r w:rsidRPr="00A013E1">
              <w:rPr>
                <w:rFonts w:ascii="Times New Roman" w:eastAsia="Arial MT" w:hAnsi="Times New Roman" w:cs="Times New Roman"/>
                <w:spacing w:val="-2"/>
              </w:rPr>
              <w:t xml:space="preserve"> </w:t>
            </w:r>
            <w:r w:rsidRPr="00A013E1">
              <w:rPr>
                <w:rFonts w:ascii="Times New Roman" w:eastAsia="Arial MT" w:hAnsi="Times New Roman" w:cs="Times New Roman"/>
              </w:rPr>
              <w:t>:</w:t>
            </w:r>
            <w:r w:rsidRPr="00A013E1">
              <w:rPr>
                <w:rFonts w:ascii="Times New Roman" w:eastAsia="Arial MT" w:hAnsi="Times New Roman" w:cs="Times New Roman"/>
                <w:spacing w:val="-4"/>
              </w:rPr>
              <w:t xml:space="preserve"> 2004</w:t>
            </w:r>
          </w:p>
        </w:tc>
      </w:tr>
      <w:tr w:rsidR="006132D7" w:rsidRPr="00A013E1" w14:paraId="59309644" w14:textId="77777777" w:rsidTr="00E63CFF">
        <w:trPr>
          <w:trHeight w:val="429"/>
          <w:jc w:val="center"/>
        </w:trPr>
        <w:tc>
          <w:tcPr>
            <w:tcW w:w="2225" w:type="dxa"/>
          </w:tcPr>
          <w:p w14:paraId="19057C93" w14:textId="77777777" w:rsidR="006132D7" w:rsidRPr="00A013E1" w:rsidRDefault="006132D7" w:rsidP="006132D7">
            <w:pPr>
              <w:widowControl w:val="0"/>
              <w:autoSpaceDE w:val="0"/>
              <w:autoSpaceDN w:val="0"/>
              <w:spacing w:before="162"/>
              <w:ind w:left="107"/>
              <w:rPr>
                <w:rFonts w:ascii="Times New Roman" w:eastAsia="Arial MT" w:hAnsi="Times New Roman" w:cs="Times New Roman"/>
              </w:rPr>
            </w:pPr>
            <w:r w:rsidRPr="00A013E1">
              <w:rPr>
                <w:rFonts w:ascii="Times New Roman" w:eastAsia="Arial MT" w:hAnsi="Times New Roman" w:cs="Times New Roman"/>
                <w:spacing w:val="-2"/>
              </w:rPr>
              <w:t>Galileo</w:t>
            </w:r>
          </w:p>
        </w:tc>
        <w:tc>
          <w:tcPr>
            <w:tcW w:w="3305" w:type="dxa"/>
          </w:tcPr>
          <w:p w14:paraId="0288E11B" w14:textId="4C9FBDC3" w:rsidR="006132D7" w:rsidRPr="00A013E1" w:rsidRDefault="006132D7" w:rsidP="00CD113F">
            <w:pPr>
              <w:widowControl w:val="0"/>
              <w:autoSpaceDE w:val="0"/>
              <w:autoSpaceDN w:val="0"/>
              <w:spacing w:before="158"/>
              <w:ind w:right="1"/>
              <w:jc w:val="center"/>
              <w:rPr>
                <w:rFonts w:ascii="Times New Roman" w:eastAsia="Arial MT" w:hAnsi="Times New Roman" w:cs="Times New Roman"/>
                <w:position w:val="6"/>
              </w:rPr>
            </w:pPr>
            <w:r w:rsidRPr="00A013E1">
              <w:rPr>
                <w:rFonts w:ascii="Times New Roman" w:eastAsia="Arial MT" w:hAnsi="Times New Roman" w:cs="Times New Roman"/>
                <w:spacing w:val="-2"/>
              </w:rPr>
              <w:t>MSC.233(82</w:t>
            </w:r>
            <w:hyperlink w:anchor="_bookmark5" w:history="1">
              <w:r w:rsidRPr="00A013E1">
                <w:rPr>
                  <w:rFonts w:ascii="Times New Roman" w:eastAsia="Arial MT" w:hAnsi="Times New Roman" w:cs="Times New Roman"/>
                  <w:spacing w:val="-2"/>
                </w:rPr>
                <w:t>)</w:t>
              </w:r>
              <w:r w:rsidR="00CD113F" w:rsidRPr="00A013E1">
                <w:rPr>
                  <w:rStyle w:val="FootnoteReference"/>
                  <w:rFonts w:ascii="Times New Roman" w:eastAsia="Arial MT" w:hAnsi="Times New Roman" w:cs="Times New Roman"/>
                  <w:spacing w:val="-2"/>
                  <w:position w:val="6"/>
                </w:rPr>
                <w:footnoteReference w:id="41"/>
              </w:r>
            </w:hyperlink>
          </w:p>
        </w:tc>
        <w:tc>
          <w:tcPr>
            <w:tcW w:w="3226" w:type="dxa"/>
          </w:tcPr>
          <w:p w14:paraId="58308A25" w14:textId="77777777" w:rsidR="006132D7" w:rsidRPr="00A013E1" w:rsidRDefault="006132D7" w:rsidP="006132D7">
            <w:pPr>
              <w:widowControl w:val="0"/>
              <w:autoSpaceDE w:val="0"/>
              <w:autoSpaceDN w:val="0"/>
              <w:spacing w:before="162"/>
              <w:ind w:left="1" w:right="1"/>
              <w:jc w:val="center"/>
              <w:rPr>
                <w:rFonts w:ascii="Times New Roman" w:eastAsia="Arial MT" w:hAnsi="Times New Roman" w:cs="Times New Roman"/>
              </w:rPr>
            </w:pPr>
            <w:r w:rsidRPr="00A013E1">
              <w:rPr>
                <w:rFonts w:ascii="Times New Roman" w:eastAsia="Arial MT" w:hAnsi="Times New Roman" w:cs="Times New Roman"/>
              </w:rPr>
              <w:t>IEC</w:t>
            </w:r>
            <w:r w:rsidRPr="00A013E1">
              <w:rPr>
                <w:rFonts w:ascii="Times New Roman" w:eastAsia="Arial MT" w:hAnsi="Times New Roman" w:cs="Times New Roman"/>
                <w:spacing w:val="-3"/>
              </w:rPr>
              <w:t xml:space="preserve"> </w:t>
            </w:r>
            <w:r w:rsidRPr="00A013E1">
              <w:rPr>
                <w:rFonts w:ascii="Times New Roman" w:eastAsia="Arial MT" w:hAnsi="Times New Roman" w:cs="Times New Roman"/>
              </w:rPr>
              <w:t>61108-3</w:t>
            </w:r>
            <w:r w:rsidRPr="00A013E1">
              <w:rPr>
                <w:rFonts w:ascii="Times New Roman" w:eastAsia="Arial MT" w:hAnsi="Times New Roman" w:cs="Times New Roman"/>
                <w:spacing w:val="-2"/>
              </w:rPr>
              <w:t xml:space="preserve"> </w:t>
            </w:r>
            <w:r w:rsidRPr="00A013E1">
              <w:rPr>
                <w:rFonts w:ascii="Times New Roman" w:eastAsia="Arial MT" w:hAnsi="Times New Roman" w:cs="Times New Roman"/>
              </w:rPr>
              <w:t>:</w:t>
            </w:r>
            <w:r w:rsidRPr="00A013E1">
              <w:rPr>
                <w:rFonts w:ascii="Times New Roman" w:eastAsia="Arial MT" w:hAnsi="Times New Roman" w:cs="Times New Roman"/>
                <w:spacing w:val="-4"/>
              </w:rPr>
              <w:t xml:space="preserve"> 2010</w:t>
            </w:r>
          </w:p>
        </w:tc>
      </w:tr>
      <w:tr w:rsidR="006132D7" w:rsidRPr="00A013E1" w14:paraId="0ECC065B" w14:textId="77777777" w:rsidTr="00E63CFF">
        <w:trPr>
          <w:trHeight w:val="637"/>
          <w:jc w:val="center"/>
        </w:trPr>
        <w:tc>
          <w:tcPr>
            <w:tcW w:w="2225" w:type="dxa"/>
          </w:tcPr>
          <w:p w14:paraId="3801A3F7" w14:textId="77777777" w:rsidR="006132D7" w:rsidRPr="00A013E1" w:rsidRDefault="006132D7" w:rsidP="006132D7">
            <w:pPr>
              <w:widowControl w:val="0"/>
              <w:autoSpaceDE w:val="0"/>
              <w:autoSpaceDN w:val="0"/>
              <w:spacing w:before="58"/>
              <w:rPr>
                <w:rFonts w:ascii="Times New Roman" w:eastAsia="Arial MT" w:hAnsi="Times New Roman" w:cs="Times New Roman"/>
              </w:rPr>
            </w:pPr>
          </w:p>
          <w:p w14:paraId="31FC1ED6" w14:textId="77777777" w:rsidR="006132D7" w:rsidRPr="00A013E1" w:rsidRDefault="006132D7" w:rsidP="006132D7">
            <w:pPr>
              <w:widowControl w:val="0"/>
              <w:autoSpaceDE w:val="0"/>
              <w:autoSpaceDN w:val="0"/>
              <w:ind w:left="107"/>
              <w:rPr>
                <w:rFonts w:ascii="Times New Roman" w:eastAsia="Arial MT" w:hAnsi="Times New Roman" w:cs="Times New Roman"/>
              </w:rPr>
            </w:pPr>
            <w:r w:rsidRPr="00A013E1">
              <w:rPr>
                <w:rFonts w:ascii="Times New Roman" w:eastAsia="Arial MT" w:hAnsi="Times New Roman" w:cs="Times New Roman"/>
              </w:rPr>
              <w:t>Курс/GPS компас</w:t>
            </w:r>
          </w:p>
        </w:tc>
        <w:tc>
          <w:tcPr>
            <w:tcW w:w="3305" w:type="dxa"/>
          </w:tcPr>
          <w:p w14:paraId="3037C4FF" w14:textId="77777777" w:rsidR="006132D7" w:rsidRPr="00A013E1" w:rsidRDefault="006132D7" w:rsidP="006132D7">
            <w:pPr>
              <w:widowControl w:val="0"/>
              <w:autoSpaceDE w:val="0"/>
              <w:autoSpaceDN w:val="0"/>
              <w:spacing w:before="54"/>
              <w:rPr>
                <w:rFonts w:ascii="Times New Roman" w:eastAsia="Arial MT" w:hAnsi="Times New Roman" w:cs="Times New Roman"/>
              </w:rPr>
            </w:pPr>
          </w:p>
          <w:p w14:paraId="668D2887" w14:textId="41872790" w:rsidR="006132D7" w:rsidRPr="00A013E1" w:rsidRDefault="006132D7" w:rsidP="00CD113F">
            <w:pPr>
              <w:widowControl w:val="0"/>
              <w:autoSpaceDE w:val="0"/>
              <w:autoSpaceDN w:val="0"/>
              <w:ind w:right="1"/>
              <w:jc w:val="center"/>
              <w:rPr>
                <w:rFonts w:ascii="Times New Roman" w:eastAsia="Arial MT" w:hAnsi="Times New Roman" w:cs="Times New Roman"/>
                <w:position w:val="6"/>
              </w:rPr>
            </w:pPr>
            <w:r w:rsidRPr="00A013E1">
              <w:rPr>
                <w:rFonts w:ascii="Times New Roman" w:eastAsia="Arial MT" w:hAnsi="Times New Roman" w:cs="Times New Roman"/>
                <w:spacing w:val="-2"/>
              </w:rPr>
              <w:t>MSC.116(73</w:t>
            </w:r>
            <w:hyperlink w:anchor="_bookmark6" w:history="1">
              <w:r w:rsidRPr="00A013E1">
                <w:rPr>
                  <w:rFonts w:ascii="Times New Roman" w:eastAsia="Arial MT" w:hAnsi="Times New Roman" w:cs="Times New Roman"/>
                  <w:spacing w:val="-2"/>
                </w:rPr>
                <w:t>)</w:t>
              </w:r>
              <w:r w:rsidR="00CD113F" w:rsidRPr="00A013E1">
                <w:rPr>
                  <w:rStyle w:val="FootnoteReference"/>
                  <w:rFonts w:ascii="Times New Roman" w:eastAsia="Arial MT" w:hAnsi="Times New Roman" w:cs="Times New Roman"/>
                  <w:spacing w:val="-2"/>
                  <w:position w:val="6"/>
                </w:rPr>
                <w:footnoteReference w:id="42"/>
              </w:r>
            </w:hyperlink>
          </w:p>
        </w:tc>
        <w:tc>
          <w:tcPr>
            <w:tcW w:w="3226" w:type="dxa"/>
          </w:tcPr>
          <w:p w14:paraId="50589E3B" w14:textId="77777777" w:rsidR="006132D7" w:rsidRPr="00A013E1" w:rsidRDefault="006132D7" w:rsidP="006132D7">
            <w:pPr>
              <w:widowControl w:val="0"/>
              <w:autoSpaceDE w:val="0"/>
              <w:autoSpaceDN w:val="0"/>
              <w:spacing w:before="162"/>
              <w:ind w:left="1" w:right="1"/>
              <w:jc w:val="center"/>
              <w:rPr>
                <w:rFonts w:ascii="Times New Roman" w:eastAsia="Arial MT" w:hAnsi="Times New Roman" w:cs="Times New Roman"/>
                <w:lang w:val="ru-RU"/>
              </w:rPr>
            </w:pPr>
            <w:r w:rsidRPr="00A013E1">
              <w:rPr>
                <w:rFonts w:ascii="Times New Roman" w:eastAsia="Arial MT" w:hAnsi="Times New Roman" w:cs="Times New Roman"/>
              </w:rPr>
              <w:t>ISO</w:t>
            </w:r>
            <w:r w:rsidRPr="00A013E1">
              <w:rPr>
                <w:rFonts w:ascii="Times New Roman" w:eastAsia="Arial MT" w:hAnsi="Times New Roman" w:cs="Times New Roman"/>
                <w:lang w:val="ru-RU"/>
              </w:rPr>
              <w:t xml:space="preserve"> 22090-3: 2014</w:t>
            </w:r>
          </w:p>
          <w:p w14:paraId="72BB1971" w14:textId="77777777" w:rsidR="006132D7" w:rsidRPr="00A013E1" w:rsidRDefault="006132D7" w:rsidP="006132D7">
            <w:pPr>
              <w:widowControl w:val="0"/>
              <w:autoSpaceDE w:val="0"/>
              <w:autoSpaceDN w:val="0"/>
              <w:spacing w:before="2"/>
              <w:ind w:left="1" w:right="1"/>
              <w:jc w:val="center"/>
              <w:rPr>
                <w:rFonts w:ascii="Times New Roman" w:eastAsia="Arial MT" w:hAnsi="Times New Roman" w:cs="Times New Roman"/>
                <w:lang w:val="ru-RU"/>
              </w:rPr>
            </w:pPr>
            <w:r w:rsidRPr="00A013E1">
              <w:rPr>
                <w:rFonts w:ascii="Times New Roman" w:eastAsia="Arial MT" w:hAnsi="Times New Roman" w:cs="Times New Roman"/>
                <w:lang w:val="ru-RU"/>
              </w:rPr>
              <w:t xml:space="preserve">Част 3: Принципи на </w:t>
            </w:r>
            <w:r w:rsidRPr="00A013E1">
              <w:rPr>
                <w:rFonts w:ascii="Times New Roman" w:eastAsia="Arial MT" w:hAnsi="Times New Roman" w:cs="Times New Roman"/>
              </w:rPr>
              <w:t>GNSS</w:t>
            </w:r>
          </w:p>
        </w:tc>
      </w:tr>
    </w:tbl>
    <w:p w14:paraId="441C7FBD" w14:textId="77777777" w:rsidR="006132D7" w:rsidRPr="00A013E1" w:rsidRDefault="006132D7">
      <w:pPr>
        <w:spacing w:line="240" w:lineRule="atLeast"/>
        <w:ind w:left="426" w:hanging="426"/>
        <w:jc w:val="both"/>
        <w:rPr>
          <w:rFonts w:ascii="Times New Roman" w:hAnsi="Times New Roman" w:cs="Times New Roman"/>
          <w:color w:val="000000"/>
          <w:lang w:val="ru-RU"/>
        </w:rPr>
      </w:pPr>
    </w:p>
    <w:p w14:paraId="145D55B9" w14:textId="4E9CB0AC" w:rsidR="00271FA2" w:rsidRPr="00A013E1" w:rsidRDefault="00D35E51" w:rsidP="00CD113F">
      <w:pPr>
        <w:spacing w:after="240"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4.</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Ако оборудване за </w:t>
      </w:r>
      <w:r w:rsidRPr="00A013E1">
        <w:rPr>
          <w:rFonts w:ascii="Times New Roman" w:hAnsi="Times New Roman" w:cs="Times New Roman"/>
          <w:color w:val="000000"/>
        </w:rPr>
        <w:t>AIS</w:t>
      </w:r>
      <w:r w:rsidRPr="00A013E1">
        <w:rPr>
          <w:rFonts w:ascii="Times New Roman" w:hAnsi="Times New Roman" w:cs="Times New Roman"/>
          <w:color w:val="000000"/>
          <w:lang w:val="ru-RU"/>
        </w:rPr>
        <w:t xml:space="preserve"> за вътрешно корабоплаване е свързано с навигационното радиолокационно оборудване, което не е съоръжено с електронна карта за вътрешно корабоплаване за показване на символи от </w:t>
      </w:r>
      <w:r w:rsidRPr="00A013E1">
        <w:rPr>
          <w:rFonts w:ascii="Times New Roman" w:hAnsi="Times New Roman" w:cs="Times New Roman"/>
          <w:color w:val="000000"/>
        </w:rPr>
        <w:t>AIS</w:t>
      </w:r>
      <w:r w:rsidRPr="00A013E1">
        <w:rPr>
          <w:rFonts w:ascii="Times New Roman" w:hAnsi="Times New Roman" w:cs="Times New Roman"/>
          <w:color w:val="000000"/>
          <w:lang w:val="ru-RU"/>
        </w:rPr>
        <w:t xml:space="preserve">, към него трябва да е свързан също одобрен компас, за да бъде спазено изискването в Приложение 5, раздел </w:t>
      </w:r>
      <w:r w:rsidRPr="00A013E1">
        <w:rPr>
          <w:rFonts w:ascii="Times New Roman" w:hAnsi="Times New Roman" w:cs="Times New Roman"/>
          <w:color w:val="000000"/>
        </w:rPr>
        <w:t>I</w:t>
      </w:r>
      <w:r w:rsidRPr="00A013E1">
        <w:rPr>
          <w:rFonts w:ascii="Times New Roman" w:hAnsi="Times New Roman" w:cs="Times New Roman"/>
          <w:color w:val="000000"/>
          <w:lang w:val="ru-RU"/>
        </w:rPr>
        <w:t xml:space="preserve"> точка 2.</w:t>
      </w:r>
    </w:p>
    <w:p w14:paraId="5BAE4870" w14:textId="71772493" w:rsidR="00271FA2" w:rsidRPr="00A013E1" w:rsidRDefault="00D35E51" w:rsidP="00CD113F">
      <w:pPr>
        <w:spacing w:after="240" w:line="240" w:lineRule="atLeast"/>
        <w:jc w:val="center"/>
        <w:rPr>
          <w:rFonts w:ascii="Times New Roman" w:hAnsi="Times New Roman" w:cs="Times New Roman"/>
          <w:i/>
          <w:lang w:val="ru-RU"/>
        </w:rPr>
      </w:pPr>
      <w:r w:rsidRPr="00A013E1">
        <w:rPr>
          <w:rFonts w:ascii="Times New Roman" w:hAnsi="Times New Roman" w:cs="Times New Roman"/>
          <w:b/>
          <w:lang w:val="ru-RU"/>
        </w:rPr>
        <w:lastRenderedPageBreak/>
        <w:t>Член 2</w:t>
      </w:r>
      <w:r w:rsidRPr="00A013E1">
        <w:rPr>
          <w:rFonts w:ascii="Times New Roman" w:hAnsi="Times New Roman" w:cs="Times New Roman"/>
          <w:b/>
          <w:lang w:val="ru-RU"/>
        </w:rPr>
        <w:br/>
      </w:r>
      <w:r w:rsidRPr="00A013E1">
        <w:rPr>
          <w:rFonts w:ascii="Times New Roman" w:hAnsi="Times New Roman" w:cs="Times New Roman"/>
          <w:i/>
          <w:lang w:val="ru-RU"/>
        </w:rPr>
        <w:t>Одобрени специализирани фирми</w:t>
      </w:r>
    </w:p>
    <w:p w14:paraId="481DCD4C" w14:textId="23862025" w:rsidR="00271FA2" w:rsidRPr="00A013E1" w:rsidRDefault="00D35E5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Монтажът, замяната, ремонтът или поддръжката на навигационно радиолокационно оборудване и индикатори на ъгловата скорост</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се извършват само от специализирани фирми, одобрени от компетентния орган. </w:t>
      </w:r>
    </w:p>
    <w:p w14:paraId="3A59C9EE" w14:textId="77777777" w:rsidR="00271FA2" w:rsidRPr="00A013E1" w:rsidRDefault="00D35E51">
      <w:pPr>
        <w:spacing w:line="240" w:lineRule="atLeast"/>
        <w:ind w:left="567" w:hanging="567"/>
        <w:jc w:val="both"/>
        <w:rPr>
          <w:rFonts w:ascii="Times New Roman" w:hAnsi="Times New Roman" w:cs="Times New Roman"/>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Одобрението може да бъде оттеглено от компетентния орган.</w:t>
      </w:r>
    </w:p>
    <w:p w14:paraId="21A489D4" w14:textId="77777777" w:rsidR="00271FA2" w:rsidRPr="00A013E1" w:rsidRDefault="00D35E51" w:rsidP="00730EED">
      <w:pPr>
        <w:spacing w:after="240" w:line="240" w:lineRule="atLeast"/>
        <w:jc w:val="center"/>
        <w:rPr>
          <w:rFonts w:ascii="Times New Roman" w:hAnsi="Times New Roman" w:cs="Times New Roman"/>
          <w:i/>
          <w:lang w:val="ru-RU"/>
        </w:rPr>
      </w:pPr>
      <w:r w:rsidRPr="00A013E1">
        <w:rPr>
          <w:rFonts w:ascii="Times New Roman" w:hAnsi="Times New Roman" w:cs="Times New Roman"/>
          <w:b/>
          <w:lang w:val="ru-RU"/>
        </w:rPr>
        <w:t>Член 3</w:t>
      </w:r>
      <w:r w:rsidRPr="00A013E1">
        <w:rPr>
          <w:rFonts w:ascii="Times New Roman" w:hAnsi="Times New Roman" w:cs="Times New Roman"/>
          <w:b/>
          <w:lang w:val="ru-RU"/>
        </w:rPr>
        <w:br/>
      </w:r>
      <w:r w:rsidRPr="00A013E1">
        <w:rPr>
          <w:rFonts w:ascii="Times New Roman" w:hAnsi="Times New Roman" w:cs="Times New Roman"/>
          <w:i/>
          <w:lang w:val="ru-RU"/>
        </w:rPr>
        <w:t>Монтиране на радиолокационната антена</w:t>
      </w:r>
    </w:p>
    <w:p w14:paraId="40483FBD" w14:textId="77777777" w:rsidR="00271FA2" w:rsidRPr="00A013E1" w:rsidRDefault="00D35E51" w:rsidP="00730EED">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Радиолокационната антена се монтира възможно най-близо до надлъжната линия от носа до кърмата. В близост до антената не трябва да има пречки, създаващи фалшиво ехо или нежелателни засенчвания. При необходимост антената се монтира на бака. Монтажът и укрепването на радиолокационната антена в работното ѝ положение трябва да са достатъчно стабилни, за да позволят на навигационното радиолокационно оборудване да работи в рамките на изискваните граници на точност.</w:t>
      </w:r>
    </w:p>
    <w:p w14:paraId="2EC21891" w14:textId="77777777" w:rsidR="00271FA2" w:rsidRPr="00A013E1" w:rsidRDefault="00D35E51" w:rsidP="00730EED">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След като ъгловата грешка при монтажа бъде коригирана и оборудването бъде включено, разликата между курсовата черта и линията от носа до кърмата не трябва да превишава 1°.</w:t>
      </w:r>
    </w:p>
    <w:p w14:paraId="67354385" w14:textId="77777777" w:rsidR="00271FA2" w:rsidRPr="00A013E1" w:rsidRDefault="00D35E51" w:rsidP="00730EED">
      <w:pPr>
        <w:spacing w:after="240" w:line="240" w:lineRule="atLeast"/>
        <w:ind w:hanging="567"/>
        <w:jc w:val="center"/>
        <w:rPr>
          <w:rFonts w:ascii="Times New Roman" w:hAnsi="Times New Roman" w:cs="Times New Roman"/>
          <w:i/>
          <w:lang w:val="ru-RU"/>
        </w:rPr>
      </w:pPr>
      <w:r w:rsidRPr="00A013E1">
        <w:rPr>
          <w:rFonts w:ascii="Times New Roman" w:hAnsi="Times New Roman" w:cs="Times New Roman"/>
          <w:b/>
          <w:lang w:val="ru-RU"/>
        </w:rPr>
        <w:t>Член 4</w:t>
      </w:r>
      <w:r w:rsidRPr="00A013E1">
        <w:rPr>
          <w:rFonts w:ascii="Times New Roman" w:hAnsi="Times New Roman" w:cs="Times New Roman"/>
          <w:b/>
          <w:lang w:val="ru-RU"/>
        </w:rPr>
        <w:br/>
      </w:r>
      <w:r w:rsidRPr="00A013E1">
        <w:rPr>
          <w:rFonts w:ascii="Times New Roman" w:hAnsi="Times New Roman" w:cs="Times New Roman"/>
          <w:i/>
          <w:lang w:val="ru-RU"/>
        </w:rPr>
        <w:t>Монтиране на модула за показване и модула за управление</w:t>
      </w:r>
    </w:p>
    <w:p w14:paraId="016C4526" w14:textId="77777777" w:rsidR="00271FA2" w:rsidRPr="00A013E1" w:rsidRDefault="00D35E51" w:rsidP="00730EED">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Модулът за показване и модулът за управление се монтират в рулевата рубка по такъв начин, че оценката на радиолокационното изображение и работата на навигационното радиолокационно оборудване да не представляват трудност. Азимутната ориентация на радиолокационното изображение трябва да бъде в съответствие с нормалното разположение на околните обекти. Държателите и регулируемите конзоли се конструират по такъв начин, че да могат да бъдат фиксирани във всяко положение без вибрации.</w:t>
      </w:r>
    </w:p>
    <w:p w14:paraId="31A571A3" w14:textId="77777777" w:rsidR="00271FA2" w:rsidRPr="00A013E1" w:rsidRDefault="00D35E51" w:rsidP="00730EED">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По време на плаване с радиолокатор изкуственото осветление не трябва да се отразява в посоката на оператора на радиолокатора.</w:t>
      </w:r>
    </w:p>
    <w:p w14:paraId="330541D9" w14:textId="77777777" w:rsidR="00271FA2" w:rsidRPr="00A013E1" w:rsidRDefault="00D35E51" w:rsidP="00730EED">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Когато устройството за управление не е част от устройството за показване, то трябва да е поместено в кутия на разстояние до 1 метър от устройството за показване. Безжични устройства за дистанционно управление не се допускат.</w:t>
      </w:r>
    </w:p>
    <w:p w14:paraId="6BBBF9AF" w14:textId="77777777" w:rsidR="00271FA2" w:rsidRPr="00A013E1" w:rsidRDefault="00D35E51" w:rsidP="00730EED">
      <w:pPr>
        <w:spacing w:after="240"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4.</w:t>
      </w:r>
      <w:r w:rsidRPr="00A013E1">
        <w:rPr>
          <w:rFonts w:ascii="Times New Roman" w:hAnsi="Times New Roman" w:cs="Times New Roman"/>
          <w:lang w:val="ru-RU"/>
        </w:rPr>
        <w:tab/>
      </w:r>
      <w:r w:rsidRPr="00A013E1">
        <w:rPr>
          <w:rFonts w:ascii="Times New Roman" w:hAnsi="Times New Roman" w:cs="Times New Roman"/>
          <w:color w:val="000000"/>
          <w:lang w:val="ru-RU"/>
        </w:rPr>
        <w:t>Ако се монтират спомагателни индикатори, те трябва да съответстват на изискванията, приложими към навигационното радиолокационно оборудване.</w:t>
      </w:r>
    </w:p>
    <w:p w14:paraId="25669A96" w14:textId="7465FBD4" w:rsidR="00271FA2" w:rsidRPr="00A013E1" w:rsidRDefault="00D35E51" w:rsidP="00730EED">
      <w:pPr>
        <w:spacing w:after="240" w:line="240" w:lineRule="atLeast"/>
        <w:ind w:hanging="567"/>
        <w:jc w:val="center"/>
        <w:rPr>
          <w:rFonts w:ascii="Times New Roman" w:hAnsi="Times New Roman" w:cs="Times New Roman"/>
          <w:i/>
          <w:lang w:val="ru-RU"/>
        </w:rPr>
      </w:pPr>
      <w:r w:rsidRPr="00A013E1">
        <w:rPr>
          <w:rFonts w:ascii="Times New Roman" w:hAnsi="Times New Roman" w:cs="Times New Roman"/>
          <w:b/>
          <w:lang w:val="ru-RU"/>
        </w:rPr>
        <w:t>Член 5</w:t>
      </w:r>
      <w:r w:rsidRPr="00A013E1">
        <w:rPr>
          <w:rFonts w:ascii="Times New Roman" w:hAnsi="Times New Roman" w:cs="Times New Roman"/>
          <w:b/>
          <w:lang w:val="ru-RU"/>
        </w:rPr>
        <w:br/>
      </w:r>
      <w:r w:rsidRPr="00A013E1">
        <w:rPr>
          <w:rFonts w:ascii="Times New Roman" w:hAnsi="Times New Roman" w:cs="Times New Roman"/>
          <w:i/>
          <w:lang w:val="ru-RU"/>
        </w:rPr>
        <w:t>Монтаж на индикатора на ъгловата скорост</w:t>
      </w:r>
      <w:r w:rsidR="00FE1E15" w:rsidRPr="00A013E1">
        <w:rPr>
          <w:rFonts w:ascii="Times New Roman" w:hAnsi="Times New Roman" w:cs="Times New Roman"/>
          <w:i/>
        </w:rPr>
        <w:t xml:space="preserve"> </w:t>
      </w:r>
      <w:r w:rsidR="0078218A" w:rsidRPr="00A013E1">
        <w:rPr>
          <w:rFonts w:ascii="Times New Roman" w:hAnsi="Times New Roman" w:cs="Times New Roman"/>
          <w:i/>
          <w:lang w:val="ru-RU"/>
        </w:rPr>
        <w:t>на завиване</w:t>
      </w:r>
    </w:p>
    <w:p w14:paraId="6C452CDA" w14:textId="077ADF3E" w:rsidR="00271FA2" w:rsidRPr="00A013E1" w:rsidRDefault="00D35E51" w:rsidP="00730EED">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Индикаторът на ъгловата скорост</w:t>
      </w:r>
      <w:r w:rsidR="00FE1E15"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 xml:space="preserve"> се разполага пред рулевия и в неговото полезрение.</w:t>
      </w:r>
    </w:p>
    <w:p w14:paraId="34D6A886" w14:textId="77777777" w:rsidR="00271FA2" w:rsidRPr="00A013E1" w:rsidRDefault="00D35E51" w:rsidP="00730EED">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Сензорната система се монтира по възможност в средата на плавателния съд, хоризонтално и успоредно на линията на диаметралната равнина на кораба. Доколкото е възможно, инсталацията не трябва да има вибрации и трябва да е изложена само на умерени изменения на температурата. При възможност индикаторното устройство се монтира над дисплея на радиолокатора.</w:t>
      </w:r>
    </w:p>
    <w:p w14:paraId="2A0BE3F0" w14:textId="0FD2FE4E" w:rsidR="00271FA2" w:rsidRPr="00A013E1" w:rsidRDefault="00D35E51" w:rsidP="004D2879">
      <w:pPr>
        <w:spacing w:after="240" w:line="240" w:lineRule="atLeast"/>
        <w:ind w:left="567" w:hanging="567"/>
        <w:jc w:val="both"/>
        <w:rPr>
          <w:rFonts w:ascii="Times New Roman" w:hAnsi="Times New Roman" w:cs="Times New Roman"/>
          <w:b/>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Ако се монтират спомагателни индикатори, те трябва да съответстват на изискванията, приложими към индикатора на ъгловата скорост</w:t>
      </w:r>
      <w:r w:rsidR="00E27001" w:rsidRPr="00A013E1">
        <w:rPr>
          <w:rFonts w:ascii="Times New Roman" w:hAnsi="Times New Roman" w:cs="Times New Roman"/>
          <w:color w:val="000000"/>
        </w:rPr>
        <w:t xml:space="preserve"> </w:t>
      </w:r>
      <w:r w:rsidR="0078218A" w:rsidRPr="00A013E1">
        <w:rPr>
          <w:rFonts w:ascii="Times New Roman" w:hAnsi="Times New Roman" w:cs="Times New Roman"/>
          <w:color w:val="000000"/>
          <w:lang w:val="ru-RU"/>
        </w:rPr>
        <w:t>на завиване</w:t>
      </w:r>
      <w:r w:rsidRPr="00A013E1">
        <w:rPr>
          <w:rFonts w:ascii="Times New Roman" w:hAnsi="Times New Roman" w:cs="Times New Roman"/>
          <w:color w:val="000000"/>
          <w:lang w:val="ru-RU"/>
        </w:rPr>
        <w:t>.</w:t>
      </w:r>
    </w:p>
    <w:p w14:paraId="25343E10" w14:textId="77777777" w:rsidR="00271FA2" w:rsidRPr="00A013E1" w:rsidRDefault="00D35E51" w:rsidP="004D2879">
      <w:pPr>
        <w:tabs>
          <w:tab w:val="left" w:pos="567"/>
        </w:tabs>
        <w:spacing w:after="240" w:line="240" w:lineRule="atLeast"/>
        <w:ind w:hanging="567"/>
        <w:jc w:val="center"/>
        <w:rPr>
          <w:rFonts w:ascii="Times New Roman" w:hAnsi="Times New Roman" w:cs="Times New Roman"/>
          <w:i/>
          <w:lang w:val="ru-RU"/>
        </w:rPr>
      </w:pPr>
      <w:r w:rsidRPr="00A013E1">
        <w:rPr>
          <w:rFonts w:ascii="Times New Roman" w:hAnsi="Times New Roman" w:cs="Times New Roman"/>
          <w:b/>
          <w:lang w:val="ru-RU"/>
        </w:rPr>
        <w:t>Член 6</w:t>
      </w:r>
      <w:r w:rsidRPr="00A013E1">
        <w:rPr>
          <w:rFonts w:ascii="Times New Roman" w:hAnsi="Times New Roman" w:cs="Times New Roman"/>
          <w:b/>
          <w:lang w:val="ru-RU"/>
        </w:rPr>
        <w:br/>
      </w:r>
      <w:r w:rsidRPr="00A013E1">
        <w:rPr>
          <w:rFonts w:ascii="Times New Roman" w:hAnsi="Times New Roman" w:cs="Times New Roman"/>
          <w:i/>
          <w:lang w:val="ru-RU"/>
        </w:rPr>
        <w:t>Монтаж на датчик за местоположение</w:t>
      </w:r>
    </w:p>
    <w:p w14:paraId="603DB76A" w14:textId="18AD368E" w:rsidR="00271FA2" w:rsidRPr="00A013E1" w:rsidRDefault="00730EED" w:rsidP="004D2879">
      <w:pPr>
        <w:tabs>
          <w:tab w:val="left" w:leader="dot" w:pos="9072"/>
        </w:tabs>
        <w:spacing w:after="240" w:line="240" w:lineRule="atLeast"/>
        <w:ind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 xml:space="preserve">За </w:t>
      </w:r>
      <w:r w:rsidR="00D35E51" w:rsidRPr="00A013E1">
        <w:rPr>
          <w:rFonts w:ascii="Times New Roman" w:hAnsi="Times New Roman" w:cs="Times New Roman"/>
        </w:rPr>
        <w:t>ECDIS</w:t>
      </w:r>
      <w:r w:rsidR="00D35E51" w:rsidRPr="00A013E1">
        <w:rPr>
          <w:rFonts w:ascii="Times New Roman" w:hAnsi="Times New Roman" w:cs="Times New Roman"/>
          <w:lang w:val="ru-RU"/>
        </w:rPr>
        <w:t xml:space="preserve"> оборудване за вътрешно корабоплаване, което работи в навигационен режим, датчикът за местоположение </w:t>
      </w:r>
      <w:r w:rsidR="00436A4B" w:rsidRPr="00A013E1">
        <w:rPr>
          <w:rFonts w:ascii="Times New Roman" w:hAnsi="Times New Roman" w:cs="Times New Roman"/>
          <w:lang w:val="ru-RU"/>
        </w:rPr>
        <w:t xml:space="preserve">(напр. </w:t>
      </w:r>
      <w:r w:rsidR="00436A4B" w:rsidRPr="00A013E1">
        <w:rPr>
          <w:rFonts w:ascii="Times New Roman" w:hAnsi="Times New Roman" w:cs="Times New Roman"/>
        </w:rPr>
        <w:t>DGNSS</w:t>
      </w:r>
      <w:r w:rsidR="00436A4B" w:rsidRPr="00A013E1">
        <w:rPr>
          <w:rFonts w:ascii="Times New Roman" w:hAnsi="Times New Roman" w:cs="Times New Roman"/>
          <w:lang w:val="ru-RU"/>
        </w:rPr>
        <w:t xml:space="preserve"> антена) трябва да бъде инсталиран по такъв начин, че да гарантира, </w:t>
      </w:r>
      <w:r w:rsidR="00436A4B" w:rsidRPr="00A013E1">
        <w:rPr>
          <w:rFonts w:ascii="Times New Roman" w:hAnsi="Times New Roman" w:cs="Times New Roman"/>
          <w:lang w:val="ru-RU"/>
        </w:rPr>
        <w:lastRenderedPageBreak/>
        <w:t>работ</w:t>
      </w:r>
      <w:r w:rsidR="000F0041" w:rsidRPr="00A013E1">
        <w:rPr>
          <w:rFonts w:ascii="Times New Roman" w:hAnsi="Times New Roman" w:cs="Times New Roman"/>
          <w:lang w:val="ru-RU"/>
        </w:rPr>
        <w:t>а</w:t>
      </w:r>
      <w:r w:rsidR="00436A4B" w:rsidRPr="00A013E1">
        <w:rPr>
          <w:rFonts w:ascii="Times New Roman" w:hAnsi="Times New Roman" w:cs="Times New Roman"/>
          <w:lang w:val="ru-RU"/>
        </w:rPr>
        <w:t xml:space="preserve"> с възможно най-голяма степен на точност и не се влияе неблагоприятно от надстройки и предавателно оборудване на борда на кораба.</w:t>
      </w:r>
      <w:r w:rsidR="000F0041" w:rsidRPr="00A013E1">
        <w:rPr>
          <w:rFonts w:ascii="Times New Roman" w:hAnsi="Times New Roman" w:cs="Times New Roman"/>
          <w:lang w:val="ru-RU"/>
        </w:rPr>
        <w:t xml:space="preserve"> </w:t>
      </w:r>
    </w:p>
    <w:p w14:paraId="2CCF6835" w14:textId="77777777" w:rsidR="00271FA2" w:rsidRPr="00A013E1" w:rsidRDefault="00D35E51" w:rsidP="004D2879">
      <w:pPr>
        <w:spacing w:after="240" w:line="240" w:lineRule="atLeast"/>
        <w:ind w:hanging="567"/>
        <w:jc w:val="center"/>
        <w:rPr>
          <w:rFonts w:ascii="Times New Roman" w:hAnsi="Times New Roman" w:cs="Times New Roman"/>
          <w:i/>
          <w:lang w:val="ru-RU"/>
        </w:rPr>
      </w:pPr>
      <w:r w:rsidRPr="00A013E1">
        <w:rPr>
          <w:rFonts w:ascii="Times New Roman" w:hAnsi="Times New Roman" w:cs="Times New Roman"/>
          <w:b/>
          <w:lang w:val="ru-RU"/>
        </w:rPr>
        <w:t>Член 7</w:t>
      </w:r>
      <w:r w:rsidRPr="00A013E1">
        <w:rPr>
          <w:rFonts w:ascii="Times New Roman" w:hAnsi="Times New Roman" w:cs="Times New Roman"/>
          <w:b/>
          <w:lang w:val="ru-RU"/>
        </w:rPr>
        <w:br/>
      </w:r>
      <w:r w:rsidRPr="00A013E1">
        <w:rPr>
          <w:rFonts w:ascii="Times New Roman" w:hAnsi="Times New Roman" w:cs="Times New Roman"/>
          <w:i/>
          <w:lang w:val="ru-RU"/>
        </w:rPr>
        <w:t>Изпитване на монтажа и показателите</w:t>
      </w:r>
    </w:p>
    <w:p w14:paraId="2BDD95B8" w14:textId="2B1F8085" w:rsidR="00271FA2" w:rsidRPr="00A013E1" w:rsidRDefault="00730EED" w:rsidP="00730EED">
      <w:pPr>
        <w:tabs>
          <w:tab w:val="left" w:leader="dot" w:pos="9072"/>
        </w:tabs>
        <w:spacing w:line="240" w:lineRule="atLeast"/>
        <w:ind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Преди оборудването да бъде включено за първи път след монтажа, в случай на периодична проверка за удължаване на срока на валидност на Корабното удостоверение за вътрешно корабоплаване, както и след всяко изменение на плавателния съд, което е вероятно да засегне експлоатационните условия на оборудването, се извършва изпитване на монтажа и показателите от компетентния орган или специализирана фирма, оправомощена съгласно член 2. Следните условия трябва да се спазват при инсталиране на навигационно радарно оборудване и индикатори за скорост на завой:</w:t>
      </w:r>
    </w:p>
    <w:p w14:paraId="6EC56CDD" w14:textId="77777777" w:rsidR="00271FA2" w:rsidRPr="00A013E1" w:rsidRDefault="00D35E51" w:rsidP="004D2879">
      <w:pPr>
        <w:numPr>
          <w:ilvl w:val="0"/>
          <w:numId w:val="43"/>
        </w:num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устройството трябва да бъде свързано директно към захранваща система в съответствие с член 10.02. Устройството трябва да включва захранваща верига със собствено предпазно устройство, като се има предвид към член 10.12, точка 2, буква “а”;</w:t>
      </w:r>
    </w:p>
    <w:p w14:paraId="26EE3CE5"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б) работното напрежение да бъде в рамките на допустимите отклонения;</w:t>
      </w:r>
    </w:p>
    <w:p w14:paraId="1CA2D22B"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в) кабелите и монтажът им да съответстват на разпоредбите на настоящия стандарт и, ако е приложимо, на Европейското споразумение за международен превоз на опасни товари по вътрешните водни пътища; </w:t>
      </w:r>
    </w:p>
    <w:p w14:paraId="2D657F35"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г) оборотите на антената да достигат най-малко 24 оборота в минута;</w:t>
      </w:r>
    </w:p>
    <w:p w14:paraId="29CDE7F3"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д) не трябва да има препятствие в близост до антената, затрудняващо навигацията;</w:t>
      </w:r>
    </w:p>
    <w:p w14:paraId="5B482AFE"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е) автоматичният изключвател на антената, ако има такъв, да бъде в изправност;</w:t>
      </w:r>
    </w:p>
    <w:p w14:paraId="7AA64AAE" w14:textId="702E2C18"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ж) разположението на екраните, индикаторите на ъгловата скорост</w:t>
      </w:r>
      <w:r w:rsidR="008A493D"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и уредите за управление да бъде ергономично и лесно за ползване;</w:t>
      </w:r>
    </w:p>
    <w:p w14:paraId="588BF171"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з) разликата между курсовата черта на оборудването за плаване с радиолокатор и линията на диаметралната равнина на кораба да не превишава 1°;</w:t>
      </w:r>
    </w:p>
    <w:p w14:paraId="0BBA5C30"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и) точността на обхвата и азимутните изписвания да съответстват на изискванията (измерване с използване на известни цели);</w:t>
      </w:r>
    </w:p>
    <w:p w14:paraId="076F52A4"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й) линейността на кратки разстояния да бъде правилна (за тласкане и влачене);</w:t>
      </w:r>
    </w:p>
    <w:p w14:paraId="54C20FB4"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к) минималният извеждан обсег да е 15 метра или по-малко;</w:t>
      </w:r>
    </w:p>
    <w:p w14:paraId="33E15A16"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л) центърът на изображението да </w:t>
      </w:r>
      <w:r w:rsidRPr="00A013E1">
        <w:rPr>
          <w:rFonts w:ascii="Times New Roman" w:hAnsi="Times New Roman" w:cs="Times New Roman"/>
        </w:rPr>
        <w:t>e</w:t>
      </w:r>
      <w:r w:rsidRPr="00A013E1">
        <w:rPr>
          <w:rFonts w:ascii="Times New Roman" w:hAnsi="Times New Roman" w:cs="Times New Roman"/>
          <w:lang w:val="ru-RU"/>
        </w:rPr>
        <w:t xml:space="preserve"> видим, а диаметърът му да не превишава 1 </w:t>
      </w:r>
      <w:r w:rsidRPr="00A013E1">
        <w:rPr>
          <w:rFonts w:ascii="Times New Roman" w:hAnsi="Times New Roman" w:cs="Times New Roman"/>
        </w:rPr>
        <w:t>mm</w:t>
      </w:r>
      <w:r w:rsidRPr="00A013E1">
        <w:rPr>
          <w:rFonts w:ascii="Times New Roman" w:hAnsi="Times New Roman" w:cs="Times New Roman"/>
          <w:lang w:val="ru-RU"/>
        </w:rPr>
        <w:t>;</w:t>
      </w:r>
    </w:p>
    <w:p w14:paraId="6749D4D5"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м) да не се наблюдава фалшиво ехо вследствие на отразяване и нежелателни засенчвания при курсовата черта или най-малкото такова ехо да не застрашава безопасността на навигацията;</w:t>
      </w:r>
    </w:p>
    <w:p w14:paraId="1676DD3A"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н) устройствата за потискане на смущаващи отражения от водната повърхност или дъжда (УВЧ и КМИ) и механизмите за управлението им да работят правилно;</w:t>
      </w:r>
    </w:p>
    <w:p w14:paraId="6911B87C"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о) регулаторът на коефициента на усилване да бъде в изправност;</w:t>
      </w:r>
    </w:p>
    <w:p w14:paraId="67DF52A6"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п) фокусът и разделителната способност на изображението да са правилни;</w:t>
      </w:r>
    </w:p>
    <w:p w14:paraId="7D728FD4" w14:textId="63508CD4"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р) посоката</w:t>
      </w:r>
      <w:r w:rsidR="008A493D"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на кораба да се показва от индикатора на ъгловата скорост</w:t>
      </w:r>
      <w:r w:rsidR="008A493D"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а нулевата позиция при движение право напред да е правилна;</w:t>
      </w:r>
    </w:p>
    <w:p w14:paraId="2F04BCF1"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с) навигационното радиолокационно оборудване да не е чувствително към предавания на корабното радиооборудване или към смущения от други бордови източници;</w:t>
      </w:r>
    </w:p>
    <w:p w14:paraId="63D12604" w14:textId="24378379"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т) навигационното радиолокационно оборудване и индикаторът на ъгловата скорост</w:t>
      </w:r>
      <w:r w:rsidR="008A493D" w:rsidRPr="00A013E1">
        <w:rPr>
          <w:rFonts w:ascii="Times New Roman" w:hAnsi="Times New Roman" w:cs="Times New Roman"/>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да не смущават друго бордово оборудване.</w:t>
      </w:r>
    </w:p>
    <w:p w14:paraId="69AC57B2"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lastRenderedPageBreak/>
        <w:t xml:space="preserve">Освен това, в случай на </w:t>
      </w:r>
      <w:r w:rsidRPr="00A013E1">
        <w:rPr>
          <w:rFonts w:ascii="Times New Roman" w:hAnsi="Times New Roman" w:cs="Times New Roman"/>
        </w:rPr>
        <w:t>ECDIS</w:t>
      </w:r>
      <w:r w:rsidRPr="00A013E1">
        <w:rPr>
          <w:rFonts w:ascii="Times New Roman" w:hAnsi="Times New Roman" w:cs="Times New Roman"/>
          <w:lang w:val="ru-RU"/>
        </w:rPr>
        <w:t xml:space="preserve"> оборудване за вътрешно корабоплаване:</w:t>
      </w:r>
    </w:p>
    <w:p w14:paraId="13AD2541" w14:textId="77777777" w:rsidR="00271FA2" w:rsidRPr="00A013E1" w:rsidRDefault="00D35E51" w:rsidP="004D287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у) статистическата грешка за местоположението, която влияе на картата, да не превишава 2 </w:t>
      </w:r>
      <w:r w:rsidRPr="00A013E1">
        <w:rPr>
          <w:rFonts w:ascii="Times New Roman" w:hAnsi="Times New Roman" w:cs="Times New Roman"/>
        </w:rPr>
        <w:t>m</w:t>
      </w:r>
      <w:r w:rsidRPr="00A013E1">
        <w:rPr>
          <w:rFonts w:ascii="Times New Roman" w:hAnsi="Times New Roman" w:cs="Times New Roman"/>
          <w:lang w:val="ru-RU"/>
        </w:rPr>
        <w:t>;</w:t>
      </w:r>
    </w:p>
    <w:p w14:paraId="747ADD11" w14:textId="77777777" w:rsidR="00271FA2" w:rsidRPr="00A013E1" w:rsidRDefault="00D35E51" w:rsidP="004D2879">
      <w:pPr>
        <w:spacing w:after="240" w:line="240" w:lineRule="atLeast"/>
        <w:ind w:left="567"/>
        <w:jc w:val="both"/>
        <w:rPr>
          <w:rFonts w:ascii="Times New Roman" w:hAnsi="Times New Roman" w:cs="Times New Roman"/>
          <w:lang w:val="ru-RU"/>
        </w:rPr>
      </w:pPr>
      <w:r w:rsidRPr="00A013E1">
        <w:rPr>
          <w:rFonts w:ascii="Times New Roman" w:hAnsi="Times New Roman" w:cs="Times New Roman"/>
          <w:lang w:val="ru-RU"/>
        </w:rPr>
        <w:t>ф) статистическата грешка за фазовия ъгъл, която влияе на картата, да не превишава 1°.</w:t>
      </w:r>
    </w:p>
    <w:p w14:paraId="48F65555" w14:textId="345337A5" w:rsidR="00436A4B" w:rsidRPr="00A013E1" w:rsidRDefault="00D35E51" w:rsidP="004D2879">
      <w:pPr>
        <w:spacing w:after="240"/>
        <w:ind w:hanging="567"/>
        <w:jc w:val="center"/>
        <w:rPr>
          <w:rFonts w:ascii="Times New Roman" w:hAnsi="Times New Roman" w:cs="Times New Roman"/>
          <w:b/>
          <w:i/>
          <w:lang w:val="ru-RU"/>
        </w:rPr>
      </w:pPr>
      <w:r w:rsidRPr="00A013E1">
        <w:rPr>
          <w:rFonts w:ascii="Times New Roman" w:hAnsi="Times New Roman" w:cs="Times New Roman"/>
          <w:b/>
          <w:lang w:val="ru-RU"/>
        </w:rPr>
        <w:t>Член 8</w:t>
      </w:r>
      <w:r w:rsidRPr="00A013E1">
        <w:rPr>
          <w:rFonts w:ascii="Times New Roman" w:hAnsi="Times New Roman" w:cs="Times New Roman"/>
          <w:b/>
          <w:lang w:val="ru-RU"/>
        </w:rPr>
        <w:br/>
      </w:r>
      <w:r w:rsidR="00436A4B" w:rsidRPr="00A013E1">
        <w:rPr>
          <w:rFonts w:ascii="Times New Roman" w:hAnsi="Times New Roman" w:cs="Times New Roman"/>
          <w:b/>
          <w:i/>
          <w:lang w:val="ru-RU"/>
        </w:rPr>
        <w:t xml:space="preserve">Сертификат за монтаж и </w:t>
      </w:r>
      <w:r w:rsidR="000A1BB0" w:rsidRPr="00A013E1">
        <w:rPr>
          <w:rFonts w:ascii="Times New Roman" w:hAnsi="Times New Roman" w:cs="Times New Roman"/>
          <w:b/>
          <w:i/>
          <w:lang w:val="ru-RU"/>
        </w:rPr>
        <w:t xml:space="preserve"> експлоатация</w:t>
      </w:r>
    </w:p>
    <w:p w14:paraId="2D348056" w14:textId="6506C132" w:rsidR="00436A4B" w:rsidRPr="00A013E1" w:rsidRDefault="00436A4B" w:rsidP="004D2879">
      <w:pPr>
        <w:jc w:val="both"/>
        <w:rPr>
          <w:rFonts w:ascii="Times New Roman" w:hAnsi="Times New Roman" w:cs="Times New Roman"/>
          <w:lang w:val="ru-RU"/>
        </w:rPr>
      </w:pPr>
      <w:r w:rsidRPr="00A013E1">
        <w:rPr>
          <w:rFonts w:ascii="Times New Roman" w:hAnsi="Times New Roman" w:cs="Times New Roman"/>
          <w:lang w:val="ru-RU"/>
        </w:rPr>
        <w:t xml:space="preserve">След успешно </w:t>
      </w:r>
      <w:r w:rsidR="00AC3542" w:rsidRPr="00A013E1">
        <w:rPr>
          <w:rFonts w:ascii="Times New Roman" w:hAnsi="Times New Roman" w:cs="Times New Roman"/>
          <w:lang w:val="ru-RU"/>
        </w:rPr>
        <w:t xml:space="preserve"> приключване</w:t>
      </w:r>
      <w:r w:rsidRPr="00A013E1">
        <w:rPr>
          <w:rFonts w:ascii="Times New Roman" w:hAnsi="Times New Roman" w:cs="Times New Roman"/>
          <w:lang w:val="ru-RU"/>
        </w:rPr>
        <w:t xml:space="preserve"> на изпитване в съответствие с член 7, компетентният орган или одобрената специализирана фирма издава сертификат въз основа на образеца съгласно приложение 5, раздел </w:t>
      </w:r>
      <w:r w:rsidRPr="00A013E1">
        <w:rPr>
          <w:rFonts w:ascii="Times New Roman" w:hAnsi="Times New Roman" w:cs="Times New Roman"/>
        </w:rPr>
        <w:t>VI</w:t>
      </w:r>
      <w:r w:rsidRPr="00A013E1">
        <w:rPr>
          <w:rFonts w:ascii="Times New Roman" w:hAnsi="Times New Roman" w:cs="Times New Roman"/>
          <w:lang w:val="ru-RU"/>
        </w:rPr>
        <w:t>. Този сертификат се съхранява постоянно на борда.</w:t>
      </w:r>
    </w:p>
    <w:p w14:paraId="3195D35A" w14:textId="06F046AD" w:rsidR="00271FA2" w:rsidRPr="00A013E1" w:rsidRDefault="00436A4B" w:rsidP="004D2879">
      <w:pPr>
        <w:tabs>
          <w:tab w:val="left" w:pos="170"/>
        </w:tabs>
        <w:overflowPunct w:val="0"/>
        <w:adjustRightInd w:val="0"/>
        <w:spacing w:line="240" w:lineRule="atLeast"/>
        <w:jc w:val="both"/>
        <w:textAlignment w:val="baseline"/>
        <w:rPr>
          <w:rFonts w:ascii="Times New Roman" w:hAnsi="Times New Roman" w:cs="Times New Roman"/>
          <w:lang w:val="ru-RU"/>
        </w:rPr>
      </w:pPr>
      <w:r w:rsidRPr="00A013E1">
        <w:rPr>
          <w:rFonts w:ascii="Times New Roman" w:hAnsi="Times New Roman" w:cs="Times New Roman"/>
          <w:lang w:val="ru-RU"/>
        </w:rPr>
        <w:t xml:space="preserve">Ако условията за изпитване не са изпълнени, се съставя списък </w:t>
      </w:r>
      <w:r w:rsidR="001D4F7B" w:rsidRPr="00A013E1">
        <w:rPr>
          <w:rFonts w:ascii="Times New Roman" w:hAnsi="Times New Roman" w:cs="Times New Roman"/>
          <w:lang w:val="ru-RU"/>
        </w:rPr>
        <w:t>с</w:t>
      </w:r>
      <w:r w:rsidRPr="00A013E1">
        <w:rPr>
          <w:rFonts w:ascii="Times New Roman" w:hAnsi="Times New Roman" w:cs="Times New Roman"/>
          <w:lang w:val="ru-RU"/>
        </w:rPr>
        <w:t xml:space="preserve"> дефектите. Всеки съществуващ сертификат се оттегля или изпраща на компетентния орган </w:t>
      </w:r>
      <w:r w:rsidR="001D4F7B" w:rsidRPr="00A013E1">
        <w:rPr>
          <w:rFonts w:ascii="Times New Roman" w:hAnsi="Times New Roman" w:cs="Times New Roman"/>
          <w:lang w:val="ru-RU"/>
        </w:rPr>
        <w:t xml:space="preserve"> одобрил </w:t>
      </w:r>
      <w:r w:rsidRPr="00A013E1">
        <w:rPr>
          <w:rFonts w:ascii="Times New Roman" w:hAnsi="Times New Roman" w:cs="Times New Roman"/>
          <w:lang w:val="ru-RU"/>
        </w:rPr>
        <w:t xml:space="preserve"> специализирана</w:t>
      </w:r>
      <w:r w:rsidR="001D4F7B" w:rsidRPr="00A013E1">
        <w:rPr>
          <w:rFonts w:ascii="Times New Roman" w:hAnsi="Times New Roman" w:cs="Times New Roman"/>
          <w:lang w:val="ru-RU"/>
        </w:rPr>
        <w:t>та</w:t>
      </w:r>
      <w:r w:rsidRPr="00A013E1">
        <w:rPr>
          <w:rFonts w:ascii="Times New Roman" w:hAnsi="Times New Roman" w:cs="Times New Roman"/>
          <w:lang w:val="ru-RU"/>
        </w:rPr>
        <w:t xml:space="preserve"> фирма.</w:t>
      </w:r>
    </w:p>
    <w:p w14:paraId="3DF2256B" w14:textId="77777777" w:rsidR="00155FAC" w:rsidRPr="00A013E1" w:rsidRDefault="00155FAC" w:rsidP="004D2879">
      <w:pPr>
        <w:tabs>
          <w:tab w:val="left" w:pos="170"/>
        </w:tabs>
        <w:overflowPunct w:val="0"/>
        <w:adjustRightInd w:val="0"/>
        <w:spacing w:line="240" w:lineRule="atLeast"/>
        <w:jc w:val="both"/>
        <w:textAlignment w:val="baseline"/>
        <w:rPr>
          <w:rFonts w:ascii="Times New Roman" w:hAnsi="Times New Roman" w:cs="Times New Roman"/>
          <w:lang w:val="ru-RU"/>
        </w:rPr>
        <w:sectPr w:rsidR="00155FAC" w:rsidRPr="00A013E1" w:rsidSect="00A013E1">
          <w:headerReference w:type="default" r:id="rId139"/>
          <w:footnotePr>
            <w:numRestart w:val="eachPage"/>
          </w:footnotePr>
          <w:pgSz w:w="11907" w:h="16840"/>
          <w:pgMar w:top="1134" w:right="1134" w:bottom="1134" w:left="1134" w:header="709" w:footer="709" w:gutter="0"/>
          <w:cols w:space="720"/>
          <w:docGrid w:linePitch="326"/>
        </w:sectPr>
      </w:pPr>
    </w:p>
    <w:p w14:paraId="54284AB8" w14:textId="77777777" w:rsidR="003C6646" w:rsidRPr="00A013E1" w:rsidRDefault="003C6646" w:rsidP="003C6646">
      <w:pPr>
        <w:jc w:val="center"/>
        <w:rPr>
          <w:rFonts w:ascii="Times New Roman" w:hAnsi="Times New Roman" w:cs="Times New Roman"/>
          <w:lang w:val="ru-RU"/>
        </w:rPr>
      </w:pPr>
      <w:bookmarkStart w:id="610" w:name="_Toc491854316"/>
      <w:bookmarkStart w:id="611" w:name="_Toc535827757"/>
      <w:r w:rsidRPr="00A013E1">
        <w:rPr>
          <w:rFonts w:ascii="Times New Roman" w:hAnsi="Times New Roman" w:cs="Times New Roman"/>
          <w:b/>
          <w:lang w:val="ru-RU"/>
        </w:rPr>
        <w:lastRenderedPageBreak/>
        <w:t xml:space="preserve">Раздел </w:t>
      </w:r>
      <w:r w:rsidRPr="00A013E1">
        <w:rPr>
          <w:rFonts w:ascii="Times New Roman" w:hAnsi="Times New Roman" w:cs="Times New Roman"/>
          <w:b/>
        </w:rPr>
        <w:t>IV</w:t>
      </w:r>
    </w:p>
    <w:p w14:paraId="28C74971" w14:textId="3F3992F9" w:rsidR="003C6646" w:rsidRPr="00A013E1" w:rsidRDefault="003C6646" w:rsidP="003C6646">
      <w:pPr>
        <w:jc w:val="center"/>
        <w:rPr>
          <w:rFonts w:ascii="Times New Roman" w:hAnsi="Times New Roman" w:cs="Times New Roman"/>
          <w:b/>
          <w:lang w:val="ru-RU"/>
        </w:rPr>
      </w:pPr>
      <w:r w:rsidRPr="00A013E1">
        <w:rPr>
          <w:rFonts w:ascii="Times New Roman" w:hAnsi="Times New Roman" w:cs="Times New Roman"/>
          <w:b/>
          <w:lang w:val="ru-RU"/>
        </w:rPr>
        <w:t xml:space="preserve">Минимални изисквания, изисквания за инсталиране и тестове за ефективност на оборудването за вътрешна </w:t>
      </w:r>
      <w:r w:rsidRPr="00A013E1">
        <w:rPr>
          <w:rFonts w:ascii="Times New Roman" w:hAnsi="Times New Roman" w:cs="Times New Roman"/>
          <w:b/>
        </w:rPr>
        <w:t>AIS</w:t>
      </w:r>
      <w:r w:rsidRPr="00A013E1">
        <w:rPr>
          <w:rFonts w:ascii="Times New Roman" w:hAnsi="Times New Roman" w:cs="Times New Roman"/>
          <w:b/>
          <w:lang w:val="ru-RU"/>
        </w:rPr>
        <w:t xml:space="preserve"> във вътрешното корабоплаване</w:t>
      </w:r>
    </w:p>
    <w:p w14:paraId="00592A4E" w14:textId="77777777" w:rsidR="003C6646" w:rsidRPr="00A013E1" w:rsidRDefault="003C6646" w:rsidP="003C6646">
      <w:pPr>
        <w:rPr>
          <w:rFonts w:ascii="Times New Roman" w:hAnsi="Times New Roman" w:cs="Times New Roman"/>
          <w:lang w:val="ru-RU"/>
        </w:rPr>
      </w:pPr>
    </w:p>
    <w:p w14:paraId="77B892ED" w14:textId="77777777" w:rsidR="003C6646" w:rsidRPr="00A013E1" w:rsidRDefault="003C6646" w:rsidP="003C6646">
      <w:pPr>
        <w:jc w:val="center"/>
        <w:rPr>
          <w:rFonts w:ascii="Times New Roman" w:hAnsi="Times New Roman" w:cs="Times New Roman"/>
          <w:lang w:val="ru-RU"/>
        </w:rPr>
      </w:pPr>
      <w:r w:rsidRPr="00A013E1">
        <w:rPr>
          <w:rFonts w:ascii="Times New Roman" w:hAnsi="Times New Roman" w:cs="Times New Roman"/>
          <w:b/>
          <w:lang w:val="ru-RU"/>
        </w:rPr>
        <w:t>Член 1</w:t>
      </w:r>
    </w:p>
    <w:p w14:paraId="7EE98ED3" w14:textId="4AD412E5" w:rsidR="003C6646" w:rsidRPr="00A013E1" w:rsidRDefault="003C6646" w:rsidP="004D2879">
      <w:pPr>
        <w:spacing w:after="240"/>
        <w:jc w:val="center"/>
        <w:rPr>
          <w:rFonts w:ascii="Times New Roman" w:hAnsi="Times New Roman" w:cs="Times New Roman"/>
          <w:i/>
          <w:lang w:val="ru-RU"/>
        </w:rPr>
      </w:pPr>
      <w:r w:rsidRPr="00A013E1">
        <w:rPr>
          <w:rFonts w:ascii="Times New Roman" w:hAnsi="Times New Roman" w:cs="Times New Roman"/>
          <w:b/>
          <w:i/>
          <w:lang w:val="ru-RU"/>
        </w:rPr>
        <w:t xml:space="preserve">Одобрение на </w:t>
      </w:r>
      <w:r w:rsidRPr="00A013E1">
        <w:rPr>
          <w:rFonts w:ascii="Times New Roman" w:hAnsi="Times New Roman" w:cs="Times New Roman"/>
          <w:b/>
          <w:i/>
        </w:rPr>
        <w:t>AIS</w:t>
      </w:r>
      <w:r w:rsidRPr="00A013E1">
        <w:rPr>
          <w:rFonts w:ascii="Times New Roman" w:hAnsi="Times New Roman" w:cs="Times New Roman"/>
          <w:b/>
          <w:i/>
          <w:lang w:val="ru-RU"/>
        </w:rPr>
        <w:t xml:space="preserve"> оборудване за </w:t>
      </w:r>
      <w:r w:rsidR="009E5E3E" w:rsidRPr="00A013E1">
        <w:rPr>
          <w:rFonts w:ascii="Times New Roman" w:hAnsi="Times New Roman" w:cs="Times New Roman"/>
          <w:b/>
          <w:i/>
          <w:lang w:val="ru-RU"/>
        </w:rPr>
        <w:t xml:space="preserve"> </w:t>
      </w:r>
      <w:r w:rsidR="00257C59" w:rsidRPr="00A013E1">
        <w:rPr>
          <w:rFonts w:ascii="Times New Roman" w:hAnsi="Times New Roman" w:cs="Times New Roman"/>
          <w:b/>
          <w:i/>
          <w:lang w:val="ru-RU"/>
        </w:rPr>
        <w:t>вътрешно корабоплаване</w:t>
      </w:r>
    </w:p>
    <w:p w14:paraId="61191F20" w14:textId="0B52C9AA" w:rsidR="003C6646" w:rsidRPr="00A013E1" w:rsidRDefault="00257C59" w:rsidP="009F3F6E">
      <w:pPr>
        <w:jc w:val="both"/>
        <w:rPr>
          <w:rFonts w:ascii="Times New Roman" w:hAnsi="Times New Roman" w:cs="Times New Roman"/>
          <w:lang w:val="ru-RU"/>
        </w:rPr>
      </w:pPr>
      <w:r w:rsidRPr="00A013E1">
        <w:rPr>
          <w:rFonts w:ascii="Times New Roman" w:hAnsi="Times New Roman" w:cs="Times New Roman"/>
        </w:rPr>
        <w:t>AIS</w:t>
      </w:r>
      <w:r w:rsidRPr="00A013E1">
        <w:rPr>
          <w:rFonts w:ascii="Times New Roman" w:hAnsi="Times New Roman" w:cs="Times New Roman"/>
          <w:lang w:val="ru-RU"/>
        </w:rPr>
        <w:t xml:space="preserve"> о</w:t>
      </w:r>
      <w:r w:rsidR="003C6646" w:rsidRPr="00A013E1">
        <w:rPr>
          <w:rFonts w:ascii="Times New Roman" w:hAnsi="Times New Roman" w:cs="Times New Roman"/>
          <w:lang w:val="ru-RU"/>
        </w:rPr>
        <w:t xml:space="preserve">борудването за </w:t>
      </w:r>
      <w:r w:rsidR="00B70EB4" w:rsidRPr="00A013E1">
        <w:rPr>
          <w:rFonts w:ascii="Times New Roman" w:hAnsi="Times New Roman" w:cs="Times New Roman"/>
          <w:lang w:val="ru-RU"/>
        </w:rPr>
        <w:t xml:space="preserve"> </w:t>
      </w:r>
      <w:r w:rsidRPr="00A013E1">
        <w:rPr>
          <w:rFonts w:ascii="Times New Roman" w:hAnsi="Times New Roman" w:cs="Times New Roman"/>
          <w:lang w:val="ru-RU"/>
        </w:rPr>
        <w:t>вътрешно корабоплаване</w:t>
      </w:r>
      <w:r w:rsidR="003C6646" w:rsidRPr="00A013E1">
        <w:rPr>
          <w:rFonts w:ascii="Times New Roman" w:hAnsi="Times New Roman" w:cs="Times New Roman"/>
          <w:lang w:val="ru-RU"/>
        </w:rPr>
        <w:t xml:space="preserve"> трябва да отговаря на изискванията на </w:t>
      </w:r>
      <w:r w:rsidR="003C6646" w:rsidRPr="00A013E1">
        <w:rPr>
          <w:rFonts w:ascii="Times New Roman" w:hAnsi="Times New Roman" w:cs="Times New Roman"/>
        </w:rPr>
        <w:t>ES</w:t>
      </w:r>
      <w:r w:rsidR="003C6646" w:rsidRPr="00A013E1">
        <w:rPr>
          <w:rFonts w:ascii="Times New Roman" w:hAnsi="Times New Roman" w:cs="Times New Roman"/>
          <w:lang w:val="ru-RU"/>
        </w:rPr>
        <w:t>-</w:t>
      </w:r>
      <w:r w:rsidR="003C6646" w:rsidRPr="00A013E1">
        <w:rPr>
          <w:rFonts w:ascii="Times New Roman" w:hAnsi="Times New Roman" w:cs="Times New Roman"/>
        </w:rPr>
        <w:t>RIS</w:t>
      </w:r>
      <w:r w:rsidR="003C6646" w:rsidRPr="00A013E1">
        <w:rPr>
          <w:rFonts w:ascii="Times New Roman" w:hAnsi="Times New Roman" w:cs="Times New Roman"/>
          <w:lang w:val="ru-RU"/>
        </w:rPr>
        <w:t xml:space="preserve">, части </w:t>
      </w:r>
      <w:r w:rsidR="003C6646" w:rsidRPr="00A013E1">
        <w:rPr>
          <w:rFonts w:ascii="Times New Roman" w:hAnsi="Times New Roman" w:cs="Times New Roman"/>
        </w:rPr>
        <w:t>II</w:t>
      </w:r>
      <w:r w:rsidR="003C6646" w:rsidRPr="00A013E1">
        <w:rPr>
          <w:rFonts w:ascii="Times New Roman" w:hAnsi="Times New Roman" w:cs="Times New Roman"/>
          <w:lang w:val="ru-RU"/>
        </w:rPr>
        <w:t xml:space="preserve"> и </w:t>
      </w:r>
      <w:r w:rsidR="003C6646" w:rsidRPr="00A013E1">
        <w:rPr>
          <w:rFonts w:ascii="Times New Roman" w:hAnsi="Times New Roman" w:cs="Times New Roman"/>
        </w:rPr>
        <w:t>VI</w:t>
      </w:r>
      <w:r w:rsidR="003C6646" w:rsidRPr="00A013E1">
        <w:rPr>
          <w:rFonts w:ascii="Times New Roman" w:hAnsi="Times New Roman" w:cs="Times New Roman"/>
          <w:lang w:val="ru-RU"/>
        </w:rPr>
        <w:t xml:space="preserve">. </w:t>
      </w:r>
      <w:r w:rsidR="00B70EB4" w:rsidRPr="00A013E1">
        <w:rPr>
          <w:rFonts w:ascii="Times New Roman" w:hAnsi="Times New Roman" w:cs="Times New Roman"/>
          <w:lang w:val="ru-RU"/>
        </w:rPr>
        <w:t>.</w:t>
      </w:r>
      <w:r w:rsidR="003C6646" w:rsidRPr="00A013E1">
        <w:rPr>
          <w:rFonts w:ascii="Times New Roman" w:hAnsi="Times New Roman" w:cs="Times New Roman"/>
          <w:lang w:val="ru-RU"/>
        </w:rPr>
        <w:t xml:space="preserve"> Съответствието се доказва чрез типово одобрение, издадено от компетентен орган.</w:t>
      </w:r>
    </w:p>
    <w:p w14:paraId="1BCBECD0" w14:textId="77777777" w:rsidR="003C6646" w:rsidRPr="00A013E1" w:rsidRDefault="003C6646" w:rsidP="009F3F6E">
      <w:pPr>
        <w:jc w:val="both"/>
        <w:rPr>
          <w:rFonts w:ascii="Times New Roman" w:hAnsi="Times New Roman" w:cs="Times New Roman"/>
          <w:lang w:val="ru-RU"/>
        </w:rPr>
      </w:pPr>
    </w:p>
    <w:p w14:paraId="7948A766" w14:textId="77777777" w:rsidR="003C6646" w:rsidRPr="00A013E1" w:rsidRDefault="003C6646" w:rsidP="003C6646">
      <w:pPr>
        <w:jc w:val="center"/>
        <w:rPr>
          <w:rFonts w:ascii="Times New Roman" w:hAnsi="Times New Roman" w:cs="Times New Roman"/>
          <w:b/>
          <w:lang w:val="ru-RU"/>
        </w:rPr>
      </w:pPr>
      <w:r w:rsidRPr="00A013E1">
        <w:rPr>
          <w:rFonts w:ascii="Times New Roman" w:hAnsi="Times New Roman" w:cs="Times New Roman"/>
          <w:b/>
          <w:lang w:val="ru-RU"/>
        </w:rPr>
        <w:t>Член 2</w:t>
      </w:r>
    </w:p>
    <w:p w14:paraId="734AEAF7" w14:textId="020F2D71" w:rsidR="003C6646" w:rsidRPr="00A013E1" w:rsidRDefault="003C6646" w:rsidP="003C6646">
      <w:pPr>
        <w:jc w:val="center"/>
        <w:rPr>
          <w:rFonts w:ascii="Times New Roman" w:hAnsi="Times New Roman" w:cs="Times New Roman"/>
          <w:b/>
          <w:i/>
          <w:lang w:val="ru-RU"/>
        </w:rPr>
      </w:pPr>
      <w:r w:rsidRPr="00A013E1">
        <w:rPr>
          <w:rFonts w:ascii="Times New Roman" w:hAnsi="Times New Roman" w:cs="Times New Roman"/>
          <w:b/>
          <w:i/>
          <w:lang w:val="ru-RU"/>
        </w:rPr>
        <w:t xml:space="preserve">Инсталиране и тестове за работа на </w:t>
      </w:r>
      <w:r w:rsidRPr="00A013E1">
        <w:rPr>
          <w:rFonts w:ascii="Times New Roman" w:hAnsi="Times New Roman" w:cs="Times New Roman"/>
          <w:b/>
          <w:i/>
        </w:rPr>
        <w:t>AIS</w:t>
      </w:r>
      <w:r w:rsidRPr="00A013E1">
        <w:rPr>
          <w:rFonts w:ascii="Times New Roman" w:hAnsi="Times New Roman" w:cs="Times New Roman"/>
          <w:b/>
          <w:i/>
          <w:lang w:val="ru-RU"/>
        </w:rPr>
        <w:t xml:space="preserve"> оборудване</w:t>
      </w:r>
      <w:r w:rsidR="00B122EA" w:rsidRPr="00A013E1">
        <w:rPr>
          <w:rFonts w:ascii="Times New Roman" w:hAnsi="Times New Roman" w:cs="Times New Roman"/>
          <w:b/>
          <w:i/>
          <w:lang w:val="ru-RU"/>
        </w:rPr>
        <w:t xml:space="preserve"> за вътрешно корабоплаване</w:t>
      </w:r>
    </w:p>
    <w:p w14:paraId="1C24E9C3" w14:textId="77777777" w:rsidR="003C6646" w:rsidRPr="00A013E1" w:rsidRDefault="003C6646" w:rsidP="003C6646">
      <w:pPr>
        <w:rPr>
          <w:rFonts w:ascii="Times New Roman" w:hAnsi="Times New Roman" w:cs="Times New Roman"/>
          <w:lang w:val="ru-RU"/>
        </w:rPr>
      </w:pPr>
    </w:p>
    <w:p w14:paraId="4F28A432" w14:textId="1B4F01C0" w:rsidR="003C6646" w:rsidRPr="00A013E1" w:rsidRDefault="003C6646" w:rsidP="009F3F6E">
      <w:pPr>
        <w:jc w:val="both"/>
        <w:rPr>
          <w:rFonts w:ascii="Times New Roman" w:hAnsi="Times New Roman" w:cs="Times New Roman"/>
          <w:lang w:val="ru-RU"/>
        </w:rPr>
      </w:pPr>
      <w:r w:rsidRPr="00A013E1">
        <w:rPr>
          <w:rFonts w:ascii="Times New Roman" w:hAnsi="Times New Roman" w:cs="Times New Roman"/>
          <w:lang w:val="ru-RU"/>
        </w:rPr>
        <w:t xml:space="preserve">Следните условия трябва да бъдат спазени при инсталиране на </w:t>
      </w:r>
      <w:r w:rsidR="00B122EA" w:rsidRPr="00A013E1">
        <w:rPr>
          <w:rFonts w:ascii="Times New Roman" w:hAnsi="Times New Roman" w:cs="Times New Roman"/>
        </w:rPr>
        <w:t>AIS</w:t>
      </w:r>
      <w:r w:rsidR="00B122EA" w:rsidRPr="00A013E1">
        <w:rPr>
          <w:rFonts w:ascii="Times New Roman" w:hAnsi="Times New Roman" w:cs="Times New Roman"/>
          <w:lang w:val="ru-RU"/>
        </w:rPr>
        <w:t xml:space="preserve"> оборудване за вътрешно корабоплаване </w:t>
      </w:r>
      <w:r w:rsidRPr="00A013E1">
        <w:rPr>
          <w:rFonts w:ascii="Times New Roman" w:hAnsi="Times New Roman" w:cs="Times New Roman"/>
          <w:lang w:val="ru-RU"/>
        </w:rPr>
        <w:t>:</w:t>
      </w:r>
    </w:p>
    <w:p w14:paraId="65300181" w14:textId="77777777" w:rsidR="003C6646" w:rsidRPr="00A013E1" w:rsidRDefault="003C6646" w:rsidP="003C6646">
      <w:pPr>
        <w:rPr>
          <w:rFonts w:ascii="Times New Roman" w:hAnsi="Times New Roman" w:cs="Times New Roman"/>
          <w:lang w:val="ru-RU"/>
        </w:rPr>
      </w:pPr>
    </w:p>
    <w:p w14:paraId="74BCABA1" w14:textId="77777777" w:rsidR="00CC01F3" w:rsidRPr="00A013E1" w:rsidRDefault="003C6646" w:rsidP="00CC01F3">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1. </w:t>
      </w:r>
      <w:r w:rsidRPr="00A013E1">
        <w:rPr>
          <w:rFonts w:ascii="Times New Roman" w:hAnsi="Times New Roman" w:cs="Times New Roman"/>
          <w:lang w:val="ru-RU"/>
        </w:rPr>
        <w:tab/>
      </w:r>
      <w:r w:rsidR="003D6E78" w:rsidRPr="00A013E1">
        <w:rPr>
          <w:rFonts w:ascii="Times New Roman" w:hAnsi="Times New Roman" w:cs="Times New Roman"/>
        </w:rPr>
        <w:t>AIS</w:t>
      </w:r>
      <w:r w:rsidR="003D6E78" w:rsidRPr="00A013E1">
        <w:rPr>
          <w:rFonts w:ascii="Times New Roman" w:hAnsi="Times New Roman" w:cs="Times New Roman"/>
          <w:lang w:val="ru-RU"/>
        </w:rPr>
        <w:t xml:space="preserve"> оборудване за вътрешно корабоплаване</w:t>
      </w:r>
      <w:r w:rsidRPr="00A013E1">
        <w:rPr>
          <w:rFonts w:ascii="Times New Roman" w:hAnsi="Times New Roman" w:cs="Times New Roman"/>
          <w:lang w:val="ru-RU"/>
        </w:rPr>
        <w:t>се инсталира само от специализирани фирми, одобрени от компетентния орган.</w:t>
      </w:r>
    </w:p>
    <w:p w14:paraId="03DE89D1" w14:textId="387B7ECF" w:rsidR="003C6646" w:rsidRPr="00A013E1" w:rsidRDefault="003C6646" w:rsidP="00CC01F3">
      <w:pPr>
        <w:ind w:left="567" w:hanging="567"/>
        <w:jc w:val="both"/>
        <w:rPr>
          <w:rFonts w:ascii="Times New Roman" w:hAnsi="Times New Roman" w:cs="Times New Roman"/>
          <w:lang w:val="ru-RU"/>
        </w:rPr>
      </w:pPr>
      <w:r w:rsidRPr="00A013E1">
        <w:rPr>
          <w:rFonts w:ascii="Times New Roman" w:hAnsi="Times New Roman" w:cs="Times New Roman"/>
          <w:lang w:val="ru-RU"/>
        </w:rPr>
        <w:t>2.</w:t>
      </w:r>
      <w:r w:rsidRPr="00A013E1">
        <w:rPr>
          <w:rFonts w:ascii="Times New Roman" w:hAnsi="Times New Roman" w:cs="Times New Roman"/>
          <w:lang w:val="ru-RU"/>
        </w:rPr>
        <w:tab/>
        <w:t xml:space="preserve"> </w:t>
      </w:r>
      <w:r w:rsidR="003D6E78" w:rsidRPr="00A013E1">
        <w:rPr>
          <w:rFonts w:ascii="Times New Roman" w:hAnsi="Times New Roman" w:cs="Times New Roman"/>
        </w:rPr>
        <w:t>AIS</w:t>
      </w:r>
      <w:r w:rsidR="003D6E78" w:rsidRPr="00A013E1">
        <w:rPr>
          <w:rFonts w:ascii="Times New Roman" w:hAnsi="Times New Roman" w:cs="Times New Roman"/>
          <w:lang w:val="ru-RU"/>
        </w:rPr>
        <w:t xml:space="preserve"> оборудване за вътрешно корабоплаване </w:t>
      </w:r>
      <w:r w:rsidR="00D94F43" w:rsidRPr="00A013E1">
        <w:rPr>
          <w:rFonts w:ascii="Times New Roman" w:hAnsi="Times New Roman" w:cs="Times New Roman"/>
          <w:lang w:val="ru-RU"/>
        </w:rPr>
        <w:t xml:space="preserve"> се </w:t>
      </w:r>
      <w:r w:rsidRPr="00A013E1">
        <w:rPr>
          <w:rFonts w:ascii="Times New Roman" w:hAnsi="Times New Roman" w:cs="Times New Roman"/>
          <w:lang w:val="ru-RU"/>
        </w:rPr>
        <w:t xml:space="preserve">инсталира </w:t>
      </w:r>
      <w:r w:rsidR="00D94F43" w:rsidRPr="00A013E1">
        <w:rPr>
          <w:rFonts w:ascii="Times New Roman" w:hAnsi="Times New Roman" w:cs="Times New Roman"/>
          <w:lang w:val="ru-RU"/>
        </w:rPr>
        <w:t xml:space="preserve"> </w:t>
      </w:r>
      <w:r w:rsidRPr="00A013E1">
        <w:rPr>
          <w:rFonts w:ascii="Times New Roman" w:hAnsi="Times New Roman" w:cs="Times New Roman"/>
          <w:lang w:val="ru-RU"/>
        </w:rPr>
        <w:t>на подходящо място по такъв начин, че</w:t>
      </w:r>
    </w:p>
    <w:p w14:paraId="0B59D56B" w14:textId="2C943278" w:rsidR="003C6646" w:rsidRPr="00A013E1" w:rsidRDefault="003C6646" w:rsidP="00CC01F3">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а) не пречи на работата на друго навигационно оборудване като навигационни </w:t>
      </w:r>
      <w:r w:rsidR="00D94F43" w:rsidRPr="00A013E1">
        <w:rPr>
          <w:rFonts w:ascii="Times New Roman" w:hAnsi="Times New Roman" w:cs="Times New Roman"/>
          <w:lang w:val="ru-RU"/>
        </w:rPr>
        <w:t xml:space="preserve">радиолокационно оборудване </w:t>
      </w:r>
      <w:r w:rsidRPr="00A013E1">
        <w:rPr>
          <w:rFonts w:ascii="Times New Roman" w:hAnsi="Times New Roman" w:cs="Times New Roman"/>
          <w:lang w:val="ru-RU"/>
        </w:rPr>
        <w:t xml:space="preserve">или радиотелефонни </w:t>
      </w:r>
      <w:r w:rsidR="00D94F43" w:rsidRPr="00A013E1">
        <w:rPr>
          <w:rFonts w:ascii="Times New Roman" w:hAnsi="Times New Roman" w:cs="Times New Roman"/>
          <w:lang w:val="ru-RU"/>
        </w:rPr>
        <w:t>оборудване</w:t>
      </w:r>
      <w:r w:rsidRPr="00A013E1">
        <w:rPr>
          <w:rFonts w:ascii="Times New Roman" w:hAnsi="Times New Roman" w:cs="Times New Roman"/>
          <w:lang w:val="ru-RU"/>
        </w:rPr>
        <w:t xml:space="preserve"> и</w:t>
      </w:r>
    </w:p>
    <w:p w14:paraId="105D3015" w14:textId="4C61038E" w:rsidR="003C6646" w:rsidRPr="00A013E1" w:rsidRDefault="003C6646" w:rsidP="00CC01F3">
      <w:pPr>
        <w:ind w:left="567" w:hanging="567"/>
        <w:jc w:val="both"/>
        <w:rPr>
          <w:rFonts w:ascii="Times New Roman" w:hAnsi="Times New Roman" w:cs="Times New Roman"/>
          <w:lang w:val="ru-RU"/>
        </w:rPr>
      </w:pPr>
      <w:r w:rsidRPr="00A013E1">
        <w:rPr>
          <w:rFonts w:ascii="Times New Roman" w:hAnsi="Times New Roman" w:cs="Times New Roman"/>
          <w:lang w:val="ru-RU"/>
        </w:rPr>
        <w:t>б) обратно</w:t>
      </w:r>
      <w:r w:rsidR="00E67F14" w:rsidRPr="00A013E1">
        <w:rPr>
          <w:rFonts w:ascii="Times New Roman" w:hAnsi="Times New Roman" w:cs="Times New Roman"/>
          <w:lang w:val="ru-RU"/>
        </w:rPr>
        <w:t>то</w:t>
      </w:r>
      <w:r w:rsidRPr="00A013E1">
        <w:rPr>
          <w:rFonts w:ascii="Times New Roman" w:hAnsi="Times New Roman" w:cs="Times New Roman"/>
          <w:lang w:val="ru-RU"/>
        </w:rPr>
        <w:t xml:space="preserve">, другото навигационно оборудване не нарушава правилната работа на </w:t>
      </w:r>
      <w:r w:rsidR="00E67F14" w:rsidRPr="00A013E1">
        <w:rPr>
          <w:rFonts w:ascii="Times New Roman" w:hAnsi="Times New Roman" w:cs="Times New Roman"/>
        </w:rPr>
        <w:t>AIS</w:t>
      </w:r>
      <w:r w:rsidR="00E67F14" w:rsidRPr="00A013E1">
        <w:rPr>
          <w:rFonts w:ascii="Times New Roman" w:hAnsi="Times New Roman" w:cs="Times New Roman"/>
          <w:lang w:val="ru-RU"/>
        </w:rPr>
        <w:t xml:space="preserve"> оборудване за вътрешно корабоплаване </w:t>
      </w:r>
      <w:r w:rsidRPr="00A013E1">
        <w:rPr>
          <w:rFonts w:ascii="Times New Roman" w:hAnsi="Times New Roman" w:cs="Times New Roman"/>
          <w:lang w:val="ru-RU"/>
        </w:rPr>
        <w:t>.</w:t>
      </w:r>
    </w:p>
    <w:p w14:paraId="40C5B56B" w14:textId="24AB03B6" w:rsidR="003C6646" w:rsidRPr="00A013E1" w:rsidRDefault="003C6646" w:rsidP="00CC01F3">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3. </w:t>
      </w:r>
      <w:r w:rsidRPr="00A013E1">
        <w:rPr>
          <w:rFonts w:ascii="Times New Roman" w:hAnsi="Times New Roman" w:cs="Times New Roman"/>
          <w:lang w:val="ru-RU"/>
        </w:rPr>
        <w:tab/>
      </w:r>
      <w:r w:rsidR="00AD487A" w:rsidRPr="00A013E1">
        <w:rPr>
          <w:rFonts w:ascii="Times New Roman" w:hAnsi="Times New Roman" w:cs="Times New Roman"/>
        </w:rPr>
        <w:t>MKD</w:t>
      </w:r>
      <w:r w:rsidR="00AD487A" w:rsidRPr="00A013E1">
        <w:rPr>
          <w:rFonts w:ascii="Times New Roman" w:hAnsi="Times New Roman" w:cs="Times New Roman"/>
          <w:lang w:val="ru-RU"/>
        </w:rPr>
        <w:t xml:space="preserve"> (Минимална Клавиатура и Д</w:t>
      </w:r>
      <w:r w:rsidR="009732DD" w:rsidRPr="00A013E1">
        <w:rPr>
          <w:rFonts w:ascii="Times New Roman" w:hAnsi="Times New Roman" w:cs="Times New Roman"/>
          <w:lang w:val="ru-RU"/>
        </w:rPr>
        <w:t xml:space="preserve">исплей) трябва да е достъпна за водача. Информацията от </w:t>
      </w:r>
      <w:r w:rsidR="009732DD" w:rsidRPr="00A013E1">
        <w:rPr>
          <w:rFonts w:ascii="Times New Roman" w:hAnsi="Times New Roman" w:cs="Times New Roman"/>
        </w:rPr>
        <w:t>MKD</w:t>
      </w:r>
      <w:r w:rsidR="009732DD" w:rsidRPr="00A013E1">
        <w:rPr>
          <w:rFonts w:ascii="Times New Roman" w:hAnsi="Times New Roman" w:cs="Times New Roman"/>
          <w:lang w:val="ru-RU"/>
        </w:rPr>
        <w:t xml:space="preserve"> трябва да е разположена в прякото поле на видимост на </w:t>
      </w:r>
      <w:r w:rsidR="004A23D5" w:rsidRPr="00A013E1">
        <w:rPr>
          <w:rFonts w:ascii="Times New Roman" w:hAnsi="Times New Roman" w:cs="Times New Roman"/>
          <w:lang w:val="ru-RU"/>
        </w:rPr>
        <w:t>водача</w:t>
      </w:r>
      <w:r w:rsidR="009732DD" w:rsidRPr="00A013E1">
        <w:rPr>
          <w:rFonts w:ascii="Times New Roman" w:hAnsi="Times New Roman" w:cs="Times New Roman"/>
          <w:lang w:val="ru-RU"/>
        </w:rPr>
        <w:t>. Други устройства, използвани за навигационни цели, обаче могат да имат приоритет по отношение на пряката им видимост. Трябва да е възможно визуално да се установи дали оборудването работи. Всички предупредителни индикаторни светлини трябва да останат видими след монтажа.</w:t>
      </w:r>
    </w:p>
    <w:p w14:paraId="7BCDA907" w14:textId="2928529F" w:rsidR="003C6646" w:rsidRPr="00A013E1" w:rsidRDefault="003C6646" w:rsidP="00CC01F3">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4. </w:t>
      </w:r>
      <w:r w:rsidRPr="00A013E1">
        <w:rPr>
          <w:rFonts w:ascii="Times New Roman" w:hAnsi="Times New Roman" w:cs="Times New Roman"/>
          <w:lang w:val="ru-RU"/>
        </w:rPr>
        <w:tab/>
        <w:t xml:space="preserve">Оборудването трябва да бъде свързано директно към захранваща система в съответствие с член 10.02. Оборудването трябва да включва захранваща верига със собствен прекъсвач на защитното устройство, като се има предвид член 10.12, </w:t>
      </w:r>
      <w:r w:rsidR="0097711D" w:rsidRPr="00A013E1">
        <w:rPr>
          <w:rFonts w:ascii="Times New Roman" w:hAnsi="Times New Roman" w:cs="Times New Roman"/>
          <w:lang w:val="ru-RU"/>
        </w:rPr>
        <w:t>т.</w:t>
      </w:r>
      <w:r w:rsidRPr="00A013E1">
        <w:rPr>
          <w:rFonts w:ascii="Times New Roman" w:hAnsi="Times New Roman" w:cs="Times New Roman"/>
          <w:lang w:val="ru-RU"/>
        </w:rPr>
        <w:t xml:space="preserve"> 2, буква </w:t>
      </w:r>
      <w:r w:rsidR="002745A2" w:rsidRPr="00A013E1">
        <w:rPr>
          <w:rFonts w:ascii="Times New Roman" w:hAnsi="Times New Roman" w:cs="Times New Roman"/>
          <w:lang w:val="ru-RU"/>
        </w:rPr>
        <w:t>“</w:t>
      </w:r>
      <w:r w:rsidRPr="00A013E1">
        <w:rPr>
          <w:rFonts w:ascii="Times New Roman" w:hAnsi="Times New Roman" w:cs="Times New Roman"/>
          <w:lang w:val="ru-RU"/>
        </w:rPr>
        <w:t>а</w:t>
      </w:r>
      <w:r w:rsidR="002745A2" w:rsidRPr="00A013E1">
        <w:rPr>
          <w:rFonts w:ascii="Times New Roman" w:hAnsi="Times New Roman" w:cs="Times New Roman"/>
          <w:lang w:val="ru-RU"/>
        </w:rPr>
        <w:t>“</w:t>
      </w:r>
      <w:r w:rsidRPr="00A013E1">
        <w:rPr>
          <w:rFonts w:ascii="Times New Roman" w:hAnsi="Times New Roman" w:cs="Times New Roman"/>
          <w:lang w:val="ru-RU"/>
        </w:rPr>
        <w:t xml:space="preserve">, и </w:t>
      </w:r>
      <w:r w:rsidR="008029F0" w:rsidRPr="00A013E1">
        <w:rPr>
          <w:rFonts w:ascii="Times New Roman" w:hAnsi="Times New Roman" w:cs="Times New Roman"/>
          <w:lang w:val="ru-RU"/>
        </w:rPr>
        <w:t xml:space="preserve">трябва </w:t>
      </w:r>
      <w:r w:rsidRPr="00A013E1">
        <w:rPr>
          <w:rFonts w:ascii="Times New Roman" w:hAnsi="Times New Roman" w:cs="Times New Roman"/>
          <w:lang w:val="ru-RU"/>
        </w:rPr>
        <w:t>да бъде захранвано с електричество по всяко време.</w:t>
      </w:r>
    </w:p>
    <w:p w14:paraId="1BDA659C" w14:textId="0CAF343B" w:rsidR="003C6646" w:rsidRPr="00A013E1" w:rsidRDefault="003C6646" w:rsidP="00CC01F3">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5. </w:t>
      </w:r>
      <w:r w:rsidRPr="00A013E1">
        <w:rPr>
          <w:rFonts w:ascii="Times New Roman" w:hAnsi="Times New Roman" w:cs="Times New Roman"/>
          <w:lang w:val="ru-RU"/>
        </w:rPr>
        <w:tab/>
        <w:t xml:space="preserve">Антените на </w:t>
      </w:r>
      <w:r w:rsidRPr="00A013E1">
        <w:rPr>
          <w:rFonts w:ascii="Times New Roman" w:hAnsi="Times New Roman" w:cs="Times New Roman"/>
        </w:rPr>
        <w:t>AIS</w:t>
      </w:r>
      <w:r w:rsidRPr="00A013E1">
        <w:rPr>
          <w:rFonts w:ascii="Times New Roman" w:hAnsi="Times New Roman" w:cs="Times New Roman"/>
          <w:lang w:val="ru-RU"/>
        </w:rPr>
        <w:t xml:space="preserve"> оборудване</w:t>
      </w:r>
      <w:r w:rsidR="008029F0" w:rsidRPr="00A013E1">
        <w:rPr>
          <w:rFonts w:ascii="Times New Roman" w:hAnsi="Times New Roman" w:cs="Times New Roman"/>
          <w:lang w:val="ru-RU"/>
        </w:rPr>
        <w:t>то за вътрешно корабоплаване</w:t>
      </w:r>
      <w:r w:rsidRPr="00A013E1">
        <w:rPr>
          <w:rFonts w:ascii="Times New Roman" w:hAnsi="Times New Roman" w:cs="Times New Roman"/>
          <w:lang w:val="ru-RU"/>
        </w:rPr>
        <w:t xml:space="preserve"> трябва да бъдат инсталирани и правилно свързани към станциите на оборудването, следвайки инструкциите на производителя, така че да се гарантира, че това оборудване работи надеждно при всички нормални условия на употреба. За свързване на антените трябва да се използват подходящи видове кабели, като се вземат предвид условията на околната среда.</w:t>
      </w:r>
    </w:p>
    <w:p w14:paraId="2478D316" w14:textId="38736312" w:rsidR="003C6646" w:rsidRPr="00A013E1" w:rsidRDefault="003C6646" w:rsidP="00CC01F3">
      <w:pPr>
        <w:ind w:left="567"/>
        <w:jc w:val="both"/>
        <w:rPr>
          <w:rFonts w:ascii="Times New Roman" w:hAnsi="Times New Roman" w:cs="Times New Roman"/>
          <w:lang w:val="ru-RU"/>
        </w:rPr>
      </w:pPr>
      <w:r w:rsidRPr="00A013E1">
        <w:rPr>
          <w:rFonts w:ascii="Times New Roman" w:hAnsi="Times New Roman" w:cs="Times New Roman"/>
        </w:rPr>
        <w:t>VHF</w:t>
      </w:r>
      <w:r w:rsidRPr="00A013E1">
        <w:rPr>
          <w:rFonts w:ascii="Times New Roman" w:hAnsi="Times New Roman" w:cs="Times New Roman"/>
          <w:lang w:val="ru-RU"/>
        </w:rPr>
        <w:t xml:space="preserve"> антената на </w:t>
      </w:r>
      <w:r w:rsidR="000E35EA" w:rsidRPr="00A013E1">
        <w:rPr>
          <w:rFonts w:ascii="Times New Roman" w:hAnsi="Times New Roman" w:cs="Times New Roman"/>
        </w:rPr>
        <w:t>AIS</w:t>
      </w:r>
      <w:r w:rsidR="000E35EA" w:rsidRPr="00A013E1">
        <w:rPr>
          <w:rFonts w:ascii="Times New Roman" w:hAnsi="Times New Roman" w:cs="Times New Roman"/>
          <w:lang w:val="ru-RU"/>
        </w:rPr>
        <w:t xml:space="preserve"> оборудването за вътрешно корабоплаване</w:t>
      </w:r>
      <w:r w:rsidR="00CE6131" w:rsidRPr="00A013E1">
        <w:rPr>
          <w:rFonts w:ascii="Times New Roman" w:hAnsi="Times New Roman" w:cs="Times New Roman"/>
          <w:lang w:val="ru-RU"/>
        </w:rPr>
        <w:t xml:space="preserve"> </w:t>
      </w:r>
      <w:r w:rsidRPr="00A013E1">
        <w:rPr>
          <w:rFonts w:ascii="Times New Roman" w:hAnsi="Times New Roman" w:cs="Times New Roman"/>
          <w:lang w:val="ru-RU"/>
        </w:rPr>
        <w:t>:</w:t>
      </w:r>
    </w:p>
    <w:p w14:paraId="4A46BC6C" w14:textId="100FF651" w:rsidR="003C6646" w:rsidRPr="00A013E1" w:rsidRDefault="00CC01F3" w:rsidP="00CC01F3">
      <w:pPr>
        <w:ind w:left="567"/>
        <w:jc w:val="both"/>
        <w:rPr>
          <w:rFonts w:ascii="Times New Roman" w:hAnsi="Times New Roman" w:cs="Times New Roman"/>
          <w:lang w:val="ru-RU"/>
        </w:rPr>
      </w:pPr>
      <w:r w:rsidRPr="00A013E1">
        <w:rPr>
          <w:rFonts w:ascii="Times New Roman" w:hAnsi="Times New Roman" w:cs="Times New Roman"/>
          <w:lang w:val="ru-RU"/>
        </w:rPr>
        <w:t>а</w:t>
      </w:r>
      <w:r w:rsidR="003C6646" w:rsidRPr="00A013E1">
        <w:rPr>
          <w:rFonts w:ascii="Times New Roman" w:hAnsi="Times New Roman" w:cs="Times New Roman"/>
          <w:lang w:val="ru-RU"/>
        </w:rPr>
        <w:t>) да бъде всепосочен с вертикална поляризация;</w:t>
      </w:r>
    </w:p>
    <w:p w14:paraId="16B75560" w14:textId="37C2349E" w:rsidR="003C6646" w:rsidRPr="00A013E1" w:rsidRDefault="00CC01F3" w:rsidP="00CC01F3">
      <w:pPr>
        <w:ind w:left="567"/>
        <w:jc w:val="both"/>
        <w:rPr>
          <w:rFonts w:ascii="Times New Roman" w:hAnsi="Times New Roman" w:cs="Times New Roman"/>
          <w:lang w:val="ru-RU"/>
        </w:rPr>
      </w:pPr>
      <w:r w:rsidRPr="00A013E1">
        <w:rPr>
          <w:rFonts w:ascii="Times New Roman" w:hAnsi="Times New Roman" w:cs="Times New Roman"/>
          <w:lang w:val="ru-RU"/>
        </w:rPr>
        <w:lastRenderedPageBreak/>
        <w:t>б</w:t>
      </w:r>
      <w:r w:rsidR="003C6646" w:rsidRPr="00A013E1">
        <w:rPr>
          <w:rFonts w:ascii="Times New Roman" w:hAnsi="Times New Roman" w:cs="Times New Roman"/>
          <w:lang w:val="ru-RU"/>
        </w:rPr>
        <w:t>) да бъдат инсталирани по такъв начин, че потенциалните електромагнитни смущения с други енергийни източници с висока мощност, като навигационн</w:t>
      </w:r>
      <w:r w:rsidR="00BF6E5F" w:rsidRPr="00A013E1">
        <w:rPr>
          <w:rFonts w:ascii="Times New Roman" w:hAnsi="Times New Roman" w:cs="Times New Roman"/>
          <w:lang w:val="ru-RU"/>
        </w:rPr>
        <w:t>о</w:t>
      </w:r>
      <w:r w:rsidR="003C6646" w:rsidRPr="00A013E1">
        <w:rPr>
          <w:rFonts w:ascii="Times New Roman" w:hAnsi="Times New Roman" w:cs="Times New Roman"/>
          <w:lang w:val="ru-RU"/>
        </w:rPr>
        <w:t xml:space="preserve"> </w:t>
      </w:r>
      <w:r w:rsidR="00BF6E5F" w:rsidRPr="00A013E1">
        <w:rPr>
          <w:rFonts w:ascii="Times New Roman" w:hAnsi="Times New Roman" w:cs="Times New Roman"/>
          <w:lang w:val="ru-RU"/>
        </w:rPr>
        <w:t>радиолокационно оборудване</w:t>
      </w:r>
      <w:r w:rsidR="003C6646" w:rsidRPr="00A013E1">
        <w:rPr>
          <w:rFonts w:ascii="Times New Roman" w:hAnsi="Times New Roman" w:cs="Times New Roman"/>
          <w:lang w:val="ru-RU"/>
        </w:rPr>
        <w:t xml:space="preserve"> и други </w:t>
      </w:r>
      <w:r w:rsidR="003C6646" w:rsidRPr="00A013E1">
        <w:rPr>
          <w:rFonts w:ascii="Times New Roman" w:hAnsi="Times New Roman" w:cs="Times New Roman"/>
        </w:rPr>
        <w:t>VHF</w:t>
      </w:r>
      <w:r w:rsidR="003C6646" w:rsidRPr="00A013E1">
        <w:rPr>
          <w:rFonts w:ascii="Times New Roman" w:hAnsi="Times New Roman" w:cs="Times New Roman"/>
          <w:lang w:val="ru-RU"/>
        </w:rPr>
        <w:t xml:space="preserve"> антени, да са възможно най-ниски от техническа и физическа гледна точка.</w:t>
      </w:r>
    </w:p>
    <w:p w14:paraId="12530B0F" w14:textId="3A8CAD9F" w:rsidR="003C6646" w:rsidRPr="00A013E1" w:rsidRDefault="003C6646" w:rsidP="00CC01F3">
      <w:pPr>
        <w:ind w:left="567"/>
        <w:jc w:val="both"/>
        <w:rPr>
          <w:rFonts w:ascii="Times New Roman" w:hAnsi="Times New Roman" w:cs="Times New Roman"/>
          <w:lang w:val="ru-RU"/>
        </w:rPr>
      </w:pPr>
      <w:r w:rsidRPr="00A013E1">
        <w:rPr>
          <w:rFonts w:ascii="Times New Roman" w:hAnsi="Times New Roman" w:cs="Times New Roman"/>
          <w:lang w:val="ru-RU"/>
        </w:rPr>
        <w:t xml:space="preserve">Всяко </w:t>
      </w:r>
      <w:r w:rsidR="00311021" w:rsidRPr="00A013E1">
        <w:rPr>
          <w:rFonts w:ascii="Times New Roman" w:hAnsi="Times New Roman" w:cs="Times New Roman"/>
        </w:rPr>
        <w:t>AIS</w:t>
      </w:r>
      <w:r w:rsidR="00311021" w:rsidRPr="00A013E1">
        <w:rPr>
          <w:rFonts w:ascii="Times New Roman" w:hAnsi="Times New Roman" w:cs="Times New Roman"/>
          <w:lang w:val="ru-RU"/>
        </w:rPr>
        <w:t xml:space="preserve"> оборудването за вътрешно корабоплаване</w:t>
      </w:r>
      <w:r w:rsidRPr="00A013E1">
        <w:rPr>
          <w:rFonts w:ascii="Times New Roman" w:hAnsi="Times New Roman" w:cs="Times New Roman"/>
          <w:lang w:val="ru-RU"/>
        </w:rPr>
        <w:t xml:space="preserve"> трябва да бъде свързано към собствена </w:t>
      </w:r>
      <w:r w:rsidRPr="00A013E1">
        <w:rPr>
          <w:rFonts w:ascii="Times New Roman" w:hAnsi="Times New Roman" w:cs="Times New Roman"/>
        </w:rPr>
        <w:t>VHF</w:t>
      </w:r>
      <w:r w:rsidRPr="00A013E1">
        <w:rPr>
          <w:rFonts w:ascii="Times New Roman" w:hAnsi="Times New Roman" w:cs="Times New Roman"/>
          <w:lang w:val="ru-RU"/>
        </w:rPr>
        <w:t xml:space="preserve"> антена. Не се разрешава съвместно използване на кабелите на </w:t>
      </w:r>
      <w:r w:rsidRPr="00A013E1">
        <w:rPr>
          <w:rFonts w:ascii="Times New Roman" w:hAnsi="Times New Roman" w:cs="Times New Roman"/>
        </w:rPr>
        <w:t>VHF</w:t>
      </w:r>
      <w:r w:rsidRPr="00A013E1">
        <w:rPr>
          <w:rFonts w:ascii="Times New Roman" w:hAnsi="Times New Roman" w:cs="Times New Roman"/>
          <w:lang w:val="ru-RU"/>
        </w:rPr>
        <w:t xml:space="preserve"> антени за радиотелефонни инсталации и </w:t>
      </w:r>
      <w:r w:rsidR="00311021" w:rsidRPr="00A013E1">
        <w:rPr>
          <w:rFonts w:ascii="Times New Roman" w:hAnsi="Times New Roman" w:cs="Times New Roman"/>
        </w:rPr>
        <w:t>AIS</w:t>
      </w:r>
      <w:r w:rsidR="00311021" w:rsidRPr="00A013E1">
        <w:rPr>
          <w:rFonts w:ascii="Times New Roman" w:hAnsi="Times New Roman" w:cs="Times New Roman"/>
          <w:lang w:val="ru-RU"/>
        </w:rPr>
        <w:t xml:space="preserve"> оборудването за вътрешно корабоплаване</w:t>
      </w:r>
      <w:r w:rsidRPr="00A013E1">
        <w:rPr>
          <w:rFonts w:ascii="Times New Roman" w:hAnsi="Times New Roman" w:cs="Times New Roman"/>
          <w:lang w:val="ru-RU"/>
        </w:rPr>
        <w:t>.</w:t>
      </w:r>
    </w:p>
    <w:p w14:paraId="16DC075B" w14:textId="41ED7392" w:rsidR="003C6646" w:rsidRPr="00A013E1" w:rsidRDefault="003C6646" w:rsidP="00CC01F3">
      <w:pPr>
        <w:ind w:left="567"/>
        <w:jc w:val="both"/>
        <w:rPr>
          <w:rFonts w:ascii="Times New Roman" w:hAnsi="Times New Roman" w:cs="Times New Roman"/>
          <w:lang w:val="ru-RU"/>
        </w:rPr>
      </w:pPr>
      <w:r w:rsidRPr="00A013E1">
        <w:rPr>
          <w:rFonts w:ascii="Times New Roman" w:hAnsi="Times New Roman" w:cs="Times New Roman"/>
          <w:lang w:val="ru-RU"/>
        </w:rPr>
        <w:t xml:space="preserve">Вътрешният </w:t>
      </w:r>
      <w:r w:rsidRPr="00A013E1">
        <w:rPr>
          <w:rFonts w:ascii="Times New Roman" w:hAnsi="Times New Roman" w:cs="Times New Roman"/>
        </w:rPr>
        <w:t>GNSS</w:t>
      </w:r>
      <w:r w:rsidRPr="00A013E1">
        <w:rPr>
          <w:rFonts w:ascii="Times New Roman" w:hAnsi="Times New Roman" w:cs="Times New Roman"/>
          <w:lang w:val="ru-RU"/>
        </w:rPr>
        <w:t xml:space="preserve"> сензор на </w:t>
      </w:r>
      <w:r w:rsidR="0081101C" w:rsidRPr="00A013E1">
        <w:rPr>
          <w:rFonts w:ascii="Times New Roman" w:hAnsi="Times New Roman" w:cs="Times New Roman"/>
        </w:rPr>
        <w:t>AIS</w:t>
      </w:r>
      <w:r w:rsidR="0081101C" w:rsidRPr="00A013E1">
        <w:rPr>
          <w:rFonts w:ascii="Times New Roman" w:hAnsi="Times New Roman" w:cs="Times New Roman"/>
          <w:lang w:val="ru-RU"/>
        </w:rPr>
        <w:t xml:space="preserve"> оборудването за вътрешно корабоплаване </w:t>
      </w:r>
      <w:r w:rsidRPr="00A013E1">
        <w:rPr>
          <w:rFonts w:ascii="Times New Roman" w:hAnsi="Times New Roman" w:cs="Times New Roman"/>
          <w:lang w:val="ru-RU"/>
        </w:rPr>
        <w:t xml:space="preserve">трябва да бъде свързан към подходяща </w:t>
      </w:r>
      <w:r w:rsidRPr="00A013E1">
        <w:rPr>
          <w:rFonts w:ascii="Times New Roman" w:hAnsi="Times New Roman" w:cs="Times New Roman"/>
        </w:rPr>
        <w:t>GNSS</w:t>
      </w:r>
      <w:r w:rsidRPr="00A013E1">
        <w:rPr>
          <w:rFonts w:ascii="Times New Roman" w:hAnsi="Times New Roman" w:cs="Times New Roman"/>
          <w:lang w:val="ru-RU"/>
        </w:rPr>
        <w:t xml:space="preserve"> антена, дори ако вътрешното </w:t>
      </w:r>
      <w:r w:rsidRPr="00A013E1">
        <w:rPr>
          <w:rFonts w:ascii="Times New Roman" w:hAnsi="Times New Roman" w:cs="Times New Roman"/>
        </w:rPr>
        <w:t>AIS</w:t>
      </w:r>
      <w:r w:rsidRPr="00A013E1">
        <w:rPr>
          <w:rFonts w:ascii="Times New Roman" w:hAnsi="Times New Roman" w:cs="Times New Roman"/>
          <w:lang w:val="ru-RU"/>
        </w:rPr>
        <w:t xml:space="preserve"> оборудване е свързано към външен </w:t>
      </w:r>
      <w:r w:rsidRPr="00A013E1">
        <w:rPr>
          <w:rFonts w:ascii="Times New Roman" w:hAnsi="Times New Roman" w:cs="Times New Roman"/>
        </w:rPr>
        <w:t>GNSS</w:t>
      </w:r>
      <w:r w:rsidRPr="00A013E1">
        <w:rPr>
          <w:rFonts w:ascii="Times New Roman" w:hAnsi="Times New Roman" w:cs="Times New Roman"/>
          <w:lang w:val="ru-RU"/>
        </w:rPr>
        <w:t xml:space="preserve"> сензор за местоположение.</w:t>
      </w:r>
    </w:p>
    <w:p w14:paraId="4F12B738" w14:textId="3777B8C9" w:rsidR="003C6646" w:rsidRPr="00A013E1" w:rsidRDefault="00CC01F3" w:rsidP="00CC01F3">
      <w:pPr>
        <w:spacing w:after="240"/>
        <w:ind w:left="567" w:hanging="567"/>
        <w:rPr>
          <w:rFonts w:ascii="Times New Roman" w:hAnsi="Times New Roman" w:cs="Times New Roman"/>
          <w:lang w:val="ru-RU"/>
        </w:rPr>
      </w:pPr>
      <w:r w:rsidRPr="00A013E1">
        <w:rPr>
          <w:rFonts w:ascii="Times New Roman" w:hAnsi="Times New Roman" w:cs="Times New Roman"/>
          <w:lang w:val="ru-RU"/>
        </w:rPr>
        <w:t>6.</w:t>
      </w:r>
      <w:r w:rsidRPr="00A013E1">
        <w:rPr>
          <w:rFonts w:ascii="Times New Roman" w:hAnsi="Times New Roman" w:cs="Times New Roman"/>
          <w:lang w:val="ru-RU"/>
        </w:rPr>
        <w:tab/>
      </w:r>
      <w:r w:rsidR="003C6646" w:rsidRPr="00A013E1">
        <w:rPr>
          <w:rFonts w:ascii="Times New Roman" w:hAnsi="Times New Roman" w:cs="Times New Roman"/>
          <w:lang w:val="ru-RU"/>
        </w:rPr>
        <w:t xml:space="preserve">Ако данните от външни сензори за геопространствено позициониране или определяне на курса се използват от </w:t>
      </w:r>
      <w:r w:rsidR="0023038B" w:rsidRPr="00A013E1">
        <w:rPr>
          <w:rFonts w:ascii="Times New Roman" w:hAnsi="Times New Roman" w:cs="Times New Roman"/>
        </w:rPr>
        <w:t>AIS</w:t>
      </w:r>
      <w:r w:rsidR="0023038B" w:rsidRPr="00A013E1">
        <w:rPr>
          <w:rFonts w:ascii="Times New Roman" w:hAnsi="Times New Roman" w:cs="Times New Roman"/>
          <w:lang w:val="ru-RU"/>
        </w:rPr>
        <w:t xml:space="preserve"> оборудването за вътрешно корабоплаване</w:t>
      </w:r>
      <w:r w:rsidR="003C6646" w:rsidRPr="00A013E1">
        <w:rPr>
          <w:rFonts w:ascii="Times New Roman" w:hAnsi="Times New Roman" w:cs="Times New Roman"/>
          <w:lang w:val="ru-RU"/>
        </w:rPr>
        <w:t>, тези сензори трябва да бъдат типово одобрени в съответствие със следните морски стандарти:</w:t>
      </w:r>
      <w:r w:rsidR="003C6646" w:rsidRPr="00A013E1">
        <w:rPr>
          <w:rFonts w:ascii="Times New Roman" w:hAnsi="Times New Roman" w:cs="Times New Roman"/>
          <w:lang w:val="ru-RU"/>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3"/>
        <w:gridCol w:w="3116"/>
        <w:gridCol w:w="3227"/>
      </w:tblGrid>
      <w:tr w:rsidR="003C6646" w:rsidRPr="00A013E1" w14:paraId="673EF942" w14:textId="77777777" w:rsidTr="00CC01F3">
        <w:trPr>
          <w:trHeight w:val="321"/>
          <w:jc w:val="center"/>
        </w:trPr>
        <w:tc>
          <w:tcPr>
            <w:tcW w:w="2413" w:type="dxa"/>
            <w:vMerge w:val="restart"/>
          </w:tcPr>
          <w:p w14:paraId="1C0BC7DF" w14:textId="77777777" w:rsidR="003C6646" w:rsidRPr="00A013E1" w:rsidRDefault="003C6646" w:rsidP="00A42C9B">
            <w:pPr>
              <w:pStyle w:val="TableParagraph"/>
              <w:spacing w:before="29"/>
              <w:rPr>
                <w:rFonts w:ascii="Times New Roman" w:hAnsi="Times New Roman" w:cs="Times New Roman"/>
                <w:sz w:val="18"/>
                <w:lang w:val="ru-RU"/>
              </w:rPr>
            </w:pPr>
          </w:p>
          <w:p w14:paraId="0AFF7867" w14:textId="77777777" w:rsidR="003C6646" w:rsidRPr="00A013E1" w:rsidRDefault="003C6646" w:rsidP="00A42C9B">
            <w:pPr>
              <w:pStyle w:val="TableParagraph"/>
              <w:ind w:left="7"/>
              <w:jc w:val="center"/>
              <w:rPr>
                <w:rFonts w:ascii="Times New Roman" w:hAnsi="Times New Roman" w:cs="Times New Roman"/>
                <w:b/>
                <w:sz w:val="18"/>
              </w:rPr>
            </w:pPr>
            <w:r w:rsidRPr="00A013E1">
              <w:rPr>
                <w:rFonts w:ascii="Times New Roman" w:hAnsi="Times New Roman" w:cs="Times New Roman"/>
                <w:b/>
                <w:spacing w:val="-2"/>
                <w:sz w:val="18"/>
              </w:rPr>
              <w:t>Сензор</w:t>
            </w:r>
          </w:p>
        </w:tc>
        <w:tc>
          <w:tcPr>
            <w:tcW w:w="6343" w:type="dxa"/>
            <w:gridSpan w:val="2"/>
          </w:tcPr>
          <w:p w14:paraId="05BAB85A" w14:textId="77777777" w:rsidR="003C6646" w:rsidRPr="00A013E1" w:rsidRDefault="003C6646" w:rsidP="00A42C9B">
            <w:pPr>
              <w:pStyle w:val="TableParagraph"/>
              <w:spacing w:before="73"/>
              <w:ind w:left="1343"/>
              <w:rPr>
                <w:rFonts w:ascii="Times New Roman" w:hAnsi="Times New Roman" w:cs="Times New Roman"/>
                <w:b/>
                <w:sz w:val="18"/>
                <w:lang w:val="ru-RU"/>
              </w:rPr>
            </w:pPr>
            <w:r w:rsidRPr="00A013E1">
              <w:rPr>
                <w:rFonts w:ascii="Times New Roman" w:hAnsi="Times New Roman" w:cs="Times New Roman"/>
                <w:b/>
                <w:spacing w:val="-2"/>
                <w:sz w:val="18"/>
                <w:lang w:val="ru-RU"/>
              </w:rPr>
              <w:t>Минимални изисквания в съответствие с</w:t>
            </w:r>
          </w:p>
        </w:tc>
      </w:tr>
      <w:tr w:rsidR="003C6646" w:rsidRPr="00A013E1" w14:paraId="5B9203EE" w14:textId="77777777" w:rsidTr="00CC01F3">
        <w:trPr>
          <w:trHeight w:val="318"/>
          <w:jc w:val="center"/>
        </w:trPr>
        <w:tc>
          <w:tcPr>
            <w:tcW w:w="2413" w:type="dxa"/>
            <w:vMerge/>
            <w:tcBorders>
              <w:top w:val="nil"/>
            </w:tcBorders>
          </w:tcPr>
          <w:p w14:paraId="75ED4B64" w14:textId="77777777" w:rsidR="003C6646" w:rsidRPr="00A013E1" w:rsidRDefault="003C6646" w:rsidP="00A42C9B">
            <w:pPr>
              <w:rPr>
                <w:rFonts w:ascii="Times New Roman" w:hAnsi="Times New Roman" w:cs="Times New Roman"/>
                <w:sz w:val="2"/>
                <w:szCs w:val="2"/>
                <w:lang w:val="ru-RU"/>
              </w:rPr>
            </w:pPr>
          </w:p>
        </w:tc>
        <w:tc>
          <w:tcPr>
            <w:tcW w:w="3116" w:type="dxa"/>
          </w:tcPr>
          <w:p w14:paraId="2B72232E" w14:textId="77777777" w:rsidR="003C6646" w:rsidRPr="00A013E1" w:rsidRDefault="003C6646" w:rsidP="00A42C9B">
            <w:pPr>
              <w:pStyle w:val="TableParagraph"/>
              <w:spacing w:before="71"/>
              <w:ind w:left="7"/>
              <w:jc w:val="center"/>
              <w:rPr>
                <w:rFonts w:ascii="Times New Roman" w:hAnsi="Times New Roman" w:cs="Times New Roman"/>
                <w:b/>
                <w:sz w:val="18"/>
              </w:rPr>
            </w:pPr>
            <w:r w:rsidRPr="00A013E1">
              <w:rPr>
                <w:rFonts w:ascii="Times New Roman" w:hAnsi="Times New Roman" w:cs="Times New Roman"/>
                <w:b/>
                <w:sz w:val="18"/>
              </w:rPr>
              <w:t xml:space="preserve">Стандарт </w:t>
            </w:r>
            <w:r w:rsidRPr="00A013E1">
              <w:rPr>
                <w:rFonts w:ascii="Times New Roman" w:hAnsi="Times New Roman" w:cs="Times New Roman"/>
                <w:b/>
                <w:spacing w:val="-2"/>
                <w:sz w:val="18"/>
              </w:rPr>
              <w:t>(IMO)</w:t>
            </w:r>
          </w:p>
        </w:tc>
        <w:tc>
          <w:tcPr>
            <w:tcW w:w="3227" w:type="dxa"/>
          </w:tcPr>
          <w:p w14:paraId="54BC6C42" w14:textId="77777777" w:rsidR="003C6646" w:rsidRPr="00A013E1" w:rsidRDefault="003C6646" w:rsidP="00A42C9B">
            <w:pPr>
              <w:pStyle w:val="TableParagraph"/>
              <w:spacing w:before="71"/>
              <w:ind w:left="44" w:right="34"/>
              <w:jc w:val="center"/>
              <w:rPr>
                <w:rFonts w:ascii="Times New Roman" w:hAnsi="Times New Roman" w:cs="Times New Roman"/>
                <w:b/>
                <w:sz w:val="18"/>
              </w:rPr>
            </w:pPr>
            <w:r w:rsidRPr="00A013E1">
              <w:rPr>
                <w:rFonts w:ascii="Times New Roman" w:hAnsi="Times New Roman" w:cs="Times New Roman"/>
                <w:b/>
                <w:sz w:val="18"/>
              </w:rPr>
              <w:t>ISO/IEC</w:t>
            </w:r>
            <w:r w:rsidRPr="00A013E1">
              <w:rPr>
                <w:rFonts w:ascii="Times New Roman" w:hAnsi="Times New Roman" w:cs="Times New Roman"/>
                <w:b/>
                <w:spacing w:val="-4"/>
                <w:sz w:val="18"/>
              </w:rPr>
              <w:t xml:space="preserve"> </w:t>
            </w:r>
            <w:r w:rsidRPr="00A013E1">
              <w:rPr>
                <w:rFonts w:ascii="Times New Roman" w:hAnsi="Times New Roman" w:cs="Times New Roman"/>
                <w:b/>
                <w:spacing w:val="-2"/>
                <w:sz w:val="18"/>
              </w:rPr>
              <w:t>Стандарт</w:t>
            </w:r>
          </w:p>
        </w:tc>
      </w:tr>
      <w:tr w:rsidR="003C6646" w:rsidRPr="00A013E1" w14:paraId="5775EC24" w14:textId="77777777" w:rsidTr="00CC01F3">
        <w:trPr>
          <w:trHeight w:val="321"/>
          <w:jc w:val="center"/>
        </w:trPr>
        <w:tc>
          <w:tcPr>
            <w:tcW w:w="2413" w:type="dxa"/>
          </w:tcPr>
          <w:p w14:paraId="0BADA724" w14:textId="77777777" w:rsidR="003C6646" w:rsidRPr="00A013E1" w:rsidRDefault="003C6646" w:rsidP="00A42C9B">
            <w:pPr>
              <w:pStyle w:val="TableParagraph"/>
              <w:spacing w:before="73"/>
              <w:ind w:left="107"/>
              <w:rPr>
                <w:rFonts w:ascii="Times New Roman" w:hAnsi="Times New Roman" w:cs="Times New Roman"/>
                <w:sz w:val="18"/>
              </w:rPr>
            </w:pPr>
            <w:r w:rsidRPr="00A013E1">
              <w:rPr>
                <w:rFonts w:ascii="Times New Roman" w:hAnsi="Times New Roman" w:cs="Times New Roman"/>
                <w:spacing w:val="-5"/>
                <w:sz w:val="18"/>
              </w:rPr>
              <w:t>GPS</w:t>
            </w:r>
          </w:p>
        </w:tc>
        <w:tc>
          <w:tcPr>
            <w:tcW w:w="3116" w:type="dxa"/>
          </w:tcPr>
          <w:p w14:paraId="1FF1D637" w14:textId="77777777" w:rsidR="003C6646" w:rsidRPr="00A013E1" w:rsidRDefault="003C6646" w:rsidP="00A42C9B">
            <w:pPr>
              <w:pStyle w:val="TableParagraph"/>
              <w:spacing w:before="69"/>
              <w:ind w:left="7"/>
              <w:jc w:val="center"/>
              <w:rPr>
                <w:rFonts w:ascii="Times New Roman" w:hAnsi="Times New Roman" w:cs="Times New Roman"/>
                <w:position w:val="6"/>
                <w:sz w:val="12"/>
              </w:rPr>
            </w:pPr>
            <w:r w:rsidRPr="00A013E1">
              <w:rPr>
                <w:rFonts w:ascii="Times New Roman" w:hAnsi="Times New Roman" w:cs="Times New Roman"/>
                <w:spacing w:val="-2"/>
                <w:sz w:val="18"/>
              </w:rPr>
              <w:t>MSC.112(73</w:t>
            </w:r>
            <w:hyperlink w:anchor="_bookmark7" w:history="1">
              <w:r w:rsidRPr="00A013E1">
                <w:rPr>
                  <w:rFonts w:ascii="Times New Roman" w:hAnsi="Times New Roman" w:cs="Times New Roman"/>
                  <w:spacing w:val="-2"/>
                  <w:sz w:val="18"/>
                </w:rPr>
                <w:t>)</w:t>
              </w:r>
              <w:r w:rsidRPr="00A013E1">
                <w:rPr>
                  <w:rFonts w:ascii="Times New Roman" w:hAnsi="Times New Roman" w:cs="Times New Roman"/>
                  <w:spacing w:val="-2"/>
                  <w:position w:val="6"/>
                  <w:sz w:val="12"/>
                </w:rPr>
                <w:t>7</w:t>
              </w:r>
            </w:hyperlink>
          </w:p>
        </w:tc>
        <w:tc>
          <w:tcPr>
            <w:tcW w:w="3227" w:type="dxa"/>
          </w:tcPr>
          <w:p w14:paraId="1BB3B00F" w14:textId="77777777" w:rsidR="003C6646" w:rsidRPr="00A013E1" w:rsidRDefault="003C6646" w:rsidP="00A42C9B">
            <w:pPr>
              <w:pStyle w:val="TableParagraph"/>
              <w:spacing w:before="73"/>
              <w:ind w:left="44" w:right="34"/>
              <w:jc w:val="center"/>
              <w:rPr>
                <w:rFonts w:ascii="Times New Roman" w:hAnsi="Times New Roman" w:cs="Times New Roman"/>
                <w:sz w:val="18"/>
              </w:rPr>
            </w:pPr>
            <w:r w:rsidRPr="00A013E1">
              <w:rPr>
                <w:rFonts w:ascii="Times New Roman" w:hAnsi="Times New Roman" w:cs="Times New Roman"/>
                <w:sz w:val="18"/>
              </w:rPr>
              <w:t>IEC</w:t>
            </w:r>
            <w:r w:rsidRPr="00A013E1">
              <w:rPr>
                <w:rFonts w:ascii="Times New Roman" w:hAnsi="Times New Roman" w:cs="Times New Roman"/>
                <w:spacing w:val="-3"/>
                <w:sz w:val="18"/>
              </w:rPr>
              <w:t xml:space="preserve"> </w:t>
            </w:r>
            <w:r w:rsidRPr="00A013E1">
              <w:rPr>
                <w:rFonts w:ascii="Times New Roman" w:hAnsi="Times New Roman" w:cs="Times New Roman"/>
                <w:sz w:val="18"/>
              </w:rPr>
              <w:t>61108-1</w:t>
            </w:r>
            <w:r w:rsidRPr="00A013E1">
              <w:rPr>
                <w:rFonts w:ascii="Times New Roman" w:hAnsi="Times New Roman" w:cs="Times New Roman"/>
                <w:spacing w:val="-2"/>
                <w:sz w:val="18"/>
              </w:rPr>
              <w:t xml:space="preserve"> </w:t>
            </w:r>
            <w:r w:rsidRPr="00A013E1">
              <w:rPr>
                <w:rFonts w:ascii="Times New Roman" w:hAnsi="Times New Roman" w:cs="Times New Roman"/>
                <w:sz w:val="18"/>
              </w:rPr>
              <w:t>:</w:t>
            </w:r>
            <w:r w:rsidRPr="00A013E1">
              <w:rPr>
                <w:rFonts w:ascii="Times New Roman" w:hAnsi="Times New Roman" w:cs="Times New Roman"/>
                <w:spacing w:val="-4"/>
                <w:sz w:val="18"/>
              </w:rPr>
              <w:t xml:space="preserve"> 2003</w:t>
            </w:r>
          </w:p>
        </w:tc>
      </w:tr>
      <w:tr w:rsidR="003C6646" w:rsidRPr="00A013E1" w14:paraId="314767A6" w14:textId="77777777" w:rsidTr="00CC01F3">
        <w:trPr>
          <w:trHeight w:val="318"/>
          <w:jc w:val="center"/>
        </w:trPr>
        <w:tc>
          <w:tcPr>
            <w:tcW w:w="2413" w:type="dxa"/>
          </w:tcPr>
          <w:p w14:paraId="61F0FFDC" w14:textId="77777777" w:rsidR="003C6646" w:rsidRPr="00A013E1" w:rsidRDefault="003C6646" w:rsidP="00A42C9B">
            <w:pPr>
              <w:pStyle w:val="TableParagraph"/>
              <w:spacing w:before="71"/>
              <w:ind w:left="107"/>
              <w:rPr>
                <w:rFonts w:ascii="Times New Roman" w:hAnsi="Times New Roman" w:cs="Times New Roman"/>
                <w:sz w:val="18"/>
              </w:rPr>
            </w:pPr>
            <w:r w:rsidRPr="00A013E1">
              <w:rPr>
                <w:rFonts w:ascii="Times New Roman" w:hAnsi="Times New Roman" w:cs="Times New Roman"/>
                <w:spacing w:val="-2"/>
                <w:sz w:val="18"/>
              </w:rPr>
              <w:t>DGPS/DGLONASS</w:t>
            </w:r>
          </w:p>
        </w:tc>
        <w:tc>
          <w:tcPr>
            <w:tcW w:w="3116" w:type="dxa"/>
          </w:tcPr>
          <w:p w14:paraId="75949281" w14:textId="77777777" w:rsidR="003C6646" w:rsidRPr="00A013E1" w:rsidRDefault="003C6646" w:rsidP="00A42C9B">
            <w:pPr>
              <w:pStyle w:val="TableParagraph"/>
              <w:spacing w:before="67"/>
              <w:ind w:left="7"/>
              <w:jc w:val="center"/>
              <w:rPr>
                <w:rFonts w:ascii="Times New Roman" w:hAnsi="Times New Roman" w:cs="Times New Roman"/>
                <w:position w:val="6"/>
                <w:sz w:val="12"/>
              </w:rPr>
            </w:pPr>
            <w:r w:rsidRPr="00A013E1">
              <w:rPr>
                <w:rFonts w:ascii="Times New Roman" w:hAnsi="Times New Roman" w:cs="Times New Roman"/>
                <w:spacing w:val="-2"/>
                <w:sz w:val="18"/>
              </w:rPr>
              <w:t>MSC.114(73</w:t>
            </w:r>
            <w:hyperlink w:anchor="_bookmark8" w:history="1">
              <w:r w:rsidRPr="00A013E1">
                <w:rPr>
                  <w:rFonts w:ascii="Times New Roman" w:hAnsi="Times New Roman" w:cs="Times New Roman"/>
                  <w:spacing w:val="-2"/>
                  <w:sz w:val="18"/>
                </w:rPr>
                <w:t>)</w:t>
              </w:r>
              <w:r w:rsidRPr="00A013E1">
                <w:rPr>
                  <w:rFonts w:ascii="Times New Roman" w:hAnsi="Times New Roman" w:cs="Times New Roman"/>
                  <w:spacing w:val="-2"/>
                  <w:position w:val="6"/>
                  <w:sz w:val="12"/>
                </w:rPr>
                <w:t>8</w:t>
              </w:r>
            </w:hyperlink>
          </w:p>
        </w:tc>
        <w:tc>
          <w:tcPr>
            <w:tcW w:w="3227" w:type="dxa"/>
          </w:tcPr>
          <w:p w14:paraId="5FC55B2B" w14:textId="77777777" w:rsidR="003C6646" w:rsidRPr="00A013E1" w:rsidRDefault="003C6646" w:rsidP="00A42C9B">
            <w:pPr>
              <w:pStyle w:val="TableParagraph"/>
              <w:spacing w:before="71"/>
              <w:ind w:left="44" w:right="34"/>
              <w:jc w:val="center"/>
              <w:rPr>
                <w:rFonts w:ascii="Times New Roman" w:hAnsi="Times New Roman" w:cs="Times New Roman"/>
                <w:sz w:val="18"/>
              </w:rPr>
            </w:pPr>
            <w:r w:rsidRPr="00A013E1">
              <w:rPr>
                <w:rFonts w:ascii="Times New Roman" w:hAnsi="Times New Roman" w:cs="Times New Roman"/>
                <w:sz w:val="18"/>
              </w:rPr>
              <w:t>IEC</w:t>
            </w:r>
            <w:r w:rsidRPr="00A013E1">
              <w:rPr>
                <w:rFonts w:ascii="Times New Roman" w:hAnsi="Times New Roman" w:cs="Times New Roman"/>
                <w:spacing w:val="-3"/>
                <w:sz w:val="18"/>
              </w:rPr>
              <w:t xml:space="preserve"> </w:t>
            </w:r>
            <w:r w:rsidRPr="00A013E1">
              <w:rPr>
                <w:rFonts w:ascii="Times New Roman" w:hAnsi="Times New Roman" w:cs="Times New Roman"/>
                <w:sz w:val="18"/>
              </w:rPr>
              <w:t>61108-4</w:t>
            </w:r>
            <w:r w:rsidRPr="00A013E1">
              <w:rPr>
                <w:rFonts w:ascii="Times New Roman" w:hAnsi="Times New Roman" w:cs="Times New Roman"/>
                <w:spacing w:val="-2"/>
                <w:sz w:val="18"/>
              </w:rPr>
              <w:t xml:space="preserve"> </w:t>
            </w:r>
            <w:r w:rsidRPr="00A013E1">
              <w:rPr>
                <w:rFonts w:ascii="Times New Roman" w:hAnsi="Times New Roman" w:cs="Times New Roman"/>
                <w:sz w:val="18"/>
              </w:rPr>
              <w:t>:</w:t>
            </w:r>
            <w:r w:rsidRPr="00A013E1">
              <w:rPr>
                <w:rFonts w:ascii="Times New Roman" w:hAnsi="Times New Roman" w:cs="Times New Roman"/>
                <w:spacing w:val="-4"/>
                <w:sz w:val="18"/>
              </w:rPr>
              <w:t xml:space="preserve"> 2004</w:t>
            </w:r>
          </w:p>
        </w:tc>
      </w:tr>
      <w:tr w:rsidR="003C6646" w:rsidRPr="00A013E1" w14:paraId="394EB3FA" w14:textId="77777777" w:rsidTr="00CC01F3">
        <w:trPr>
          <w:trHeight w:val="321"/>
          <w:jc w:val="center"/>
        </w:trPr>
        <w:tc>
          <w:tcPr>
            <w:tcW w:w="2413" w:type="dxa"/>
          </w:tcPr>
          <w:p w14:paraId="1B601BC8" w14:textId="77777777" w:rsidR="003C6646" w:rsidRPr="00A013E1" w:rsidRDefault="003C6646" w:rsidP="00A42C9B">
            <w:pPr>
              <w:pStyle w:val="TableParagraph"/>
              <w:spacing w:before="73"/>
              <w:ind w:left="107"/>
              <w:rPr>
                <w:rFonts w:ascii="Times New Roman" w:hAnsi="Times New Roman" w:cs="Times New Roman"/>
                <w:sz w:val="18"/>
              </w:rPr>
            </w:pPr>
            <w:r w:rsidRPr="00A013E1">
              <w:rPr>
                <w:rFonts w:ascii="Times New Roman" w:hAnsi="Times New Roman" w:cs="Times New Roman"/>
                <w:spacing w:val="-2"/>
                <w:sz w:val="18"/>
              </w:rPr>
              <w:t>Galileo</w:t>
            </w:r>
          </w:p>
        </w:tc>
        <w:tc>
          <w:tcPr>
            <w:tcW w:w="3116" w:type="dxa"/>
          </w:tcPr>
          <w:p w14:paraId="51167E47" w14:textId="77777777" w:rsidR="003C6646" w:rsidRPr="00A013E1" w:rsidRDefault="003C6646" w:rsidP="00A42C9B">
            <w:pPr>
              <w:pStyle w:val="TableParagraph"/>
              <w:spacing w:before="69"/>
              <w:ind w:left="7"/>
              <w:jc w:val="center"/>
              <w:rPr>
                <w:rFonts w:ascii="Times New Roman" w:hAnsi="Times New Roman" w:cs="Times New Roman"/>
                <w:position w:val="6"/>
                <w:sz w:val="12"/>
              </w:rPr>
            </w:pPr>
            <w:r w:rsidRPr="00A013E1">
              <w:rPr>
                <w:rFonts w:ascii="Times New Roman" w:hAnsi="Times New Roman" w:cs="Times New Roman"/>
                <w:spacing w:val="-2"/>
                <w:sz w:val="18"/>
              </w:rPr>
              <w:t>MSC.233(82</w:t>
            </w:r>
            <w:hyperlink w:anchor="_bookmark9" w:history="1">
              <w:r w:rsidRPr="00A013E1">
                <w:rPr>
                  <w:rFonts w:ascii="Times New Roman" w:hAnsi="Times New Roman" w:cs="Times New Roman"/>
                  <w:spacing w:val="-2"/>
                  <w:sz w:val="18"/>
                </w:rPr>
                <w:t>)</w:t>
              </w:r>
              <w:r w:rsidRPr="00A013E1">
                <w:rPr>
                  <w:rFonts w:ascii="Times New Roman" w:hAnsi="Times New Roman" w:cs="Times New Roman"/>
                  <w:spacing w:val="-2"/>
                  <w:position w:val="6"/>
                  <w:sz w:val="12"/>
                </w:rPr>
                <w:t>9</w:t>
              </w:r>
            </w:hyperlink>
          </w:p>
        </w:tc>
        <w:tc>
          <w:tcPr>
            <w:tcW w:w="3227" w:type="dxa"/>
          </w:tcPr>
          <w:p w14:paraId="66F75397" w14:textId="77777777" w:rsidR="003C6646" w:rsidRPr="00A013E1" w:rsidRDefault="003C6646" w:rsidP="00A42C9B">
            <w:pPr>
              <w:pStyle w:val="TableParagraph"/>
              <w:spacing w:before="73"/>
              <w:ind w:left="44" w:right="34"/>
              <w:jc w:val="center"/>
              <w:rPr>
                <w:rFonts w:ascii="Times New Roman" w:hAnsi="Times New Roman" w:cs="Times New Roman"/>
                <w:sz w:val="18"/>
              </w:rPr>
            </w:pPr>
            <w:r w:rsidRPr="00A013E1">
              <w:rPr>
                <w:rFonts w:ascii="Times New Roman" w:hAnsi="Times New Roman" w:cs="Times New Roman"/>
                <w:sz w:val="18"/>
              </w:rPr>
              <w:t>IEC</w:t>
            </w:r>
            <w:r w:rsidRPr="00A013E1">
              <w:rPr>
                <w:rFonts w:ascii="Times New Roman" w:hAnsi="Times New Roman" w:cs="Times New Roman"/>
                <w:spacing w:val="-3"/>
                <w:sz w:val="18"/>
              </w:rPr>
              <w:t xml:space="preserve"> </w:t>
            </w:r>
            <w:r w:rsidRPr="00A013E1">
              <w:rPr>
                <w:rFonts w:ascii="Times New Roman" w:hAnsi="Times New Roman" w:cs="Times New Roman"/>
                <w:sz w:val="18"/>
              </w:rPr>
              <w:t>61108-3</w:t>
            </w:r>
            <w:r w:rsidRPr="00A013E1">
              <w:rPr>
                <w:rFonts w:ascii="Times New Roman" w:hAnsi="Times New Roman" w:cs="Times New Roman"/>
                <w:spacing w:val="-2"/>
                <w:sz w:val="18"/>
              </w:rPr>
              <w:t xml:space="preserve"> </w:t>
            </w:r>
            <w:r w:rsidRPr="00A013E1">
              <w:rPr>
                <w:rFonts w:ascii="Times New Roman" w:hAnsi="Times New Roman" w:cs="Times New Roman"/>
                <w:sz w:val="18"/>
              </w:rPr>
              <w:t>:</w:t>
            </w:r>
            <w:r w:rsidRPr="00A013E1">
              <w:rPr>
                <w:rFonts w:ascii="Times New Roman" w:hAnsi="Times New Roman" w:cs="Times New Roman"/>
                <w:spacing w:val="-4"/>
                <w:sz w:val="18"/>
              </w:rPr>
              <w:t xml:space="preserve"> 2010</w:t>
            </w:r>
          </w:p>
        </w:tc>
      </w:tr>
      <w:tr w:rsidR="003C6646" w:rsidRPr="00A013E1" w14:paraId="445A23F7" w14:textId="77777777" w:rsidTr="00CC01F3">
        <w:trPr>
          <w:trHeight w:val="561"/>
          <w:jc w:val="center"/>
        </w:trPr>
        <w:tc>
          <w:tcPr>
            <w:tcW w:w="2413" w:type="dxa"/>
          </w:tcPr>
          <w:p w14:paraId="1B5B5BC8" w14:textId="77777777" w:rsidR="003C6646" w:rsidRPr="00A013E1" w:rsidRDefault="003C6646" w:rsidP="00A42C9B">
            <w:pPr>
              <w:pStyle w:val="TableParagraph"/>
              <w:spacing w:before="71"/>
              <w:ind w:left="107"/>
              <w:rPr>
                <w:rFonts w:ascii="Times New Roman" w:hAnsi="Times New Roman" w:cs="Times New Roman"/>
                <w:sz w:val="18"/>
              </w:rPr>
            </w:pPr>
            <w:r w:rsidRPr="00A013E1">
              <w:rPr>
                <w:rFonts w:ascii="Times New Roman" w:hAnsi="Times New Roman" w:cs="Times New Roman"/>
                <w:sz w:val="18"/>
              </w:rPr>
              <w:t>Курс/GPS компас</w:t>
            </w:r>
          </w:p>
        </w:tc>
        <w:tc>
          <w:tcPr>
            <w:tcW w:w="3116" w:type="dxa"/>
          </w:tcPr>
          <w:p w14:paraId="1ADCD8F5" w14:textId="77777777" w:rsidR="003C6646" w:rsidRPr="00A013E1" w:rsidRDefault="003C6646" w:rsidP="00A42C9B">
            <w:pPr>
              <w:pStyle w:val="TableParagraph"/>
              <w:spacing w:before="67"/>
              <w:ind w:left="7"/>
              <w:jc w:val="center"/>
              <w:rPr>
                <w:rFonts w:ascii="Times New Roman" w:hAnsi="Times New Roman" w:cs="Times New Roman"/>
                <w:position w:val="6"/>
                <w:sz w:val="12"/>
              </w:rPr>
            </w:pPr>
            <w:r w:rsidRPr="00A013E1">
              <w:rPr>
                <w:rFonts w:ascii="Times New Roman" w:hAnsi="Times New Roman" w:cs="Times New Roman"/>
                <w:spacing w:val="-2"/>
                <w:sz w:val="18"/>
              </w:rPr>
              <w:t>MSC.116(73</w:t>
            </w:r>
            <w:hyperlink w:anchor="_bookmark10" w:history="1">
              <w:r w:rsidRPr="00A013E1">
                <w:rPr>
                  <w:rFonts w:ascii="Times New Roman" w:hAnsi="Times New Roman" w:cs="Times New Roman"/>
                  <w:spacing w:val="-2"/>
                  <w:sz w:val="18"/>
                </w:rPr>
                <w:t>)</w:t>
              </w:r>
              <w:r w:rsidRPr="00A013E1">
                <w:rPr>
                  <w:rFonts w:ascii="Times New Roman" w:hAnsi="Times New Roman" w:cs="Times New Roman"/>
                  <w:spacing w:val="-2"/>
                  <w:position w:val="6"/>
                  <w:sz w:val="12"/>
                </w:rPr>
                <w:t>10</w:t>
              </w:r>
            </w:hyperlink>
          </w:p>
        </w:tc>
        <w:tc>
          <w:tcPr>
            <w:tcW w:w="3227" w:type="dxa"/>
          </w:tcPr>
          <w:p w14:paraId="257BE58E" w14:textId="77777777" w:rsidR="003C6646" w:rsidRPr="00A013E1" w:rsidRDefault="003C6646" w:rsidP="00A42C9B">
            <w:pPr>
              <w:pStyle w:val="TableParagraph"/>
              <w:spacing w:before="73"/>
              <w:ind w:left="44" w:right="34"/>
              <w:jc w:val="center"/>
              <w:rPr>
                <w:rFonts w:ascii="Times New Roman" w:hAnsi="Times New Roman" w:cs="Times New Roman"/>
                <w:sz w:val="18"/>
                <w:lang w:val="ru-RU"/>
              </w:rPr>
            </w:pPr>
            <w:r w:rsidRPr="00A013E1">
              <w:rPr>
                <w:rFonts w:ascii="Times New Roman" w:hAnsi="Times New Roman" w:cs="Times New Roman"/>
                <w:sz w:val="18"/>
              </w:rPr>
              <w:t>ISO</w:t>
            </w:r>
            <w:r w:rsidRPr="00A013E1">
              <w:rPr>
                <w:rFonts w:ascii="Times New Roman" w:hAnsi="Times New Roman" w:cs="Times New Roman"/>
                <w:spacing w:val="-4"/>
                <w:sz w:val="18"/>
                <w:lang w:val="ru-RU"/>
              </w:rPr>
              <w:t xml:space="preserve"> </w:t>
            </w:r>
            <w:r w:rsidRPr="00A013E1">
              <w:rPr>
                <w:rFonts w:ascii="Times New Roman" w:hAnsi="Times New Roman" w:cs="Times New Roman"/>
                <w:sz w:val="18"/>
                <w:lang w:val="ru-RU"/>
              </w:rPr>
              <w:t>22090-3</w:t>
            </w:r>
            <w:r w:rsidRPr="00A013E1">
              <w:rPr>
                <w:rFonts w:ascii="Times New Roman" w:hAnsi="Times New Roman" w:cs="Times New Roman"/>
                <w:spacing w:val="-2"/>
                <w:sz w:val="18"/>
                <w:lang w:val="ru-RU"/>
              </w:rPr>
              <w:t xml:space="preserve"> </w:t>
            </w:r>
            <w:r w:rsidRPr="00A013E1">
              <w:rPr>
                <w:rFonts w:ascii="Times New Roman" w:hAnsi="Times New Roman" w:cs="Times New Roman"/>
                <w:sz w:val="18"/>
                <w:lang w:val="ru-RU"/>
              </w:rPr>
              <w:t>:</w:t>
            </w:r>
            <w:r w:rsidRPr="00A013E1">
              <w:rPr>
                <w:rFonts w:ascii="Times New Roman" w:hAnsi="Times New Roman" w:cs="Times New Roman"/>
                <w:spacing w:val="-2"/>
                <w:sz w:val="18"/>
                <w:lang w:val="ru-RU"/>
              </w:rPr>
              <w:t xml:space="preserve"> </w:t>
            </w:r>
            <w:r w:rsidRPr="00A013E1">
              <w:rPr>
                <w:rFonts w:ascii="Times New Roman" w:hAnsi="Times New Roman" w:cs="Times New Roman"/>
                <w:spacing w:val="-4"/>
                <w:sz w:val="18"/>
                <w:lang w:val="ru-RU"/>
              </w:rPr>
              <w:t>2014</w:t>
            </w:r>
          </w:p>
          <w:p w14:paraId="1D22350E" w14:textId="77777777" w:rsidR="003C6646" w:rsidRPr="00A013E1" w:rsidRDefault="003C6646" w:rsidP="00A42C9B">
            <w:pPr>
              <w:pStyle w:val="TableParagraph"/>
              <w:spacing w:before="33"/>
              <w:ind w:left="44"/>
              <w:jc w:val="center"/>
              <w:rPr>
                <w:rFonts w:ascii="Times New Roman" w:hAnsi="Times New Roman" w:cs="Times New Roman"/>
                <w:sz w:val="18"/>
                <w:lang w:val="ru-RU"/>
              </w:rPr>
            </w:pPr>
            <w:r w:rsidRPr="00A013E1">
              <w:rPr>
                <w:rFonts w:ascii="Times New Roman" w:hAnsi="Times New Roman" w:cs="Times New Roman"/>
                <w:sz w:val="18"/>
                <w:lang w:val="ru-RU"/>
              </w:rPr>
              <w:t xml:space="preserve">Част 3: Принципи на </w:t>
            </w:r>
            <w:r w:rsidRPr="00A013E1">
              <w:rPr>
                <w:rFonts w:ascii="Times New Roman" w:hAnsi="Times New Roman" w:cs="Times New Roman"/>
                <w:sz w:val="18"/>
              </w:rPr>
              <w:t>GNSS</w:t>
            </w:r>
          </w:p>
        </w:tc>
      </w:tr>
    </w:tbl>
    <w:p w14:paraId="51229851" w14:textId="5035BC30" w:rsidR="003C6646" w:rsidRPr="00A013E1" w:rsidRDefault="003C6646" w:rsidP="003C6646">
      <w:pPr>
        <w:pBdr>
          <w:bottom w:val="single" w:sz="6" w:space="1" w:color="auto"/>
        </w:pBdr>
        <w:ind w:left="720" w:hanging="720"/>
        <w:rPr>
          <w:rFonts w:ascii="Times New Roman" w:hAnsi="Times New Roman" w:cs="Times New Roman"/>
          <w:lang w:val="ru-RU"/>
        </w:rPr>
      </w:pPr>
    </w:p>
    <w:p w14:paraId="373A303F" w14:textId="77777777" w:rsidR="003C6646" w:rsidRPr="00A013E1" w:rsidRDefault="003C6646" w:rsidP="00B05DC2">
      <w:pPr>
        <w:ind w:left="720" w:hanging="720"/>
        <w:jc w:val="both"/>
        <w:rPr>
          <w:rFonts w:ascii="Times New Roman" w:hAnsi="Times New Roman" w:cs="Times New Roman"/>
          <w:sz w:val="16"/>
          <w:szCs w:val="16"/>
          <w:lang w:val="ru-RU"/>
        </w:rPr>
      </w:pPr>
      <w:r w:rsidRPr="00A013E1">
        <w:rPr>
          <w:rFonts w:ascii="Times New Roman" w:hAnsi="Times New Roman" w:cs="Times New Roman"/>
          <w:sz w:val="16"/>
          <w:szCs w:val="16"/>
          <w:lang w:val="ru-RU"/>
        </w:rPr>
        <w:t xml:space="preserve">7 </w:t>
      </w:r>
      <w:r w:rsidRPr="00A013E1">
        <w:rPr>
          <w:rFonts w:ascii="Times New Roman" w:hAnsi="Times New Roman" w:cs="Times New Roman"/>
          <w:sz w:val="16"/>
          <w:szCs w:val="16"/>
        </w:rPr>
        <w:t>MSC</w:t>
      </w:r>
      <w:r w:rsidRPr="00A013E1">
        <w:rPr>
          <w:rFonts w:ascii="Times New Roman" w:hAnsi="Times New Roman" w:cs="Times New Roman"/>
          <w:sz w:val="16"/>
          <w:szCs w:val="16"/>
          <w:lang w:val="ru-RU"/>
        </w:rPr>
        <w:t>.112(73), приет на 1 декември 2000 г. - Ревизирани стандарти за работа на корабно приемно оборудване за глобална система за позициониране (</w:t>
      </w:r>
      <w:r w:rsidRPr="00A013E1">
        <w:rPr>
          <w:rFonts w:ascii="Times New Roman" w:hAnsi="Times New Roman" w:cs="Times New Roman"/>
          <w:sz w:val="16"/>
          <w:szCs w:val="16"/>
        </w:rPr>
        <w:t>GPS</w:t>
      </w:r>
      <w:r w:rsidRPr="00A013E1">
        <w:rPr>
          <w:rFonts w:ascii="Times New Roman" w:hAnsi="Times New Roman" w:cs="Times New Roman"/>
          <w:sz w:val="16"/>
          <w:szCs w:val="16"/>
          <w:lang w:val="ru-RU"/>
        </w:rPr>
        <w:t>).</w:t>
      </w:r>
    </w:p>
    <w:p w14:paraId="4E59AC0A" w14:textId="77777777" w:rsidR="003C6646" w:rsidRPr="00A013E1" w:rsidRDefault="003C6646" w:rsidP="00B05DC2">
      <w:pPr>
        <w:ind w:left="720" w:hanging="720"/>
        <w:jc w:val="both"/>
        <w:rPr>
          <w:rFonts w:ascii="Times New Roman" w:hAnsi="Times New Roman" w:cs="Times New Roman"/>
          <w:sz w:val="16"/>
          <w:szCs w:val="16"/>
          <w:lang w:val="ru-RU"/>
        </w:rPr>
      </w:pPr>
      <w:r w:rsidRPr="00A013E1">
        <w:rPr>
          <w:rFonts w:ascii="Times New Roman" w:hAnsi="Times New Roman" w:cs="Times New Roman"/>
          <w:sz w:val="16"/>
          <w:szCs w:val="16"/>
          <w:lang w:val="ru-RU"/>
        </w:rPr>
        <w:t xml:space="preserve">8 </w:t>
      </w:r>
      <w:r w:rsidRPr="00A013E1">
        <w:rPr>
          <w:rFonts w:ascii="Times New Roman" w:hAnsi="Times New Roman" w:cs="Times New Roman"/>
          <w:sz w:val="16"/>
          <w:szCs w:val="16"/>
        </w:rPr>
        <w:t>MSC</w:t>
      </w:r>
      <w:r w:rsidRPr="00A013E1">
        <w:rPr>
          <w:rFonts w:ascii="Times New Roman" w:hAnsi="Times New Roman" w:cs="Times New Roman"/>
          <w:sz w:val="16"/>
          <w:szCs w:val="16"/>
          <w:lang w:val="ru-RU"/>
        </w:rPr>
        <w:t xml:space="preserve">.114(73), приет на 1 декември 2000 г. - Ревизирани стандарти за работа на бордовото </w:t>
      </w:r>
      <w:r w:rsidRPr="00A013E1">
        <w:rPr>
          <w:rFonts w:ascii="Times New Roman" w:hAnsi="Times New Roman" w:cs="Times New Roman"/>
          <w:sz w:val="16"/>
          <w:szCs w:val="16"/>
        </w:rPr>
        <w:t>DGPS</w:t>
      </w:r>
      <w:r w:rsidRPr="00A013E1">
        <w:rPr>
          <w:rFonts w:ascii="Times New Roman" w:hAnsi="Times New Roman" w:cs="Times New Roman"/>
          <w:sz w:val="16"/>
          <w:szCs w:val="16"/>
          <w:lang w:val="ru-RU"/>
        </w:rPr>
        <w:t xml:space="preserve"> и </w:t>
      </w:r>
      <w:r w:rsidRPr="00A013E1">
        <w:rPr>
          <w:rFonts w:ascii="Times New Roman" w:hAnsi="Times New Roman" w:cs="Times New Roman"/>
          <w:sz w:val="16"/>
          <w:szCs w:val="16"/>
        </w:rPr>
        <w:t>DGLONASS</w:t>
      </w:r>
      <w:r w:rsidRPr="00A013E1">
        <w:rPr>
          <w:rFonts w:ascii="Times New Roman" w:hAnsi="Times New Roman" w:cs="Times New Roman"/>
          <w:sz w:val="16"/>
          <w:szCs w:val="16"/>
          <w:lang w:val="ru-RU"/>
        </w:rPr>
        <w:t xml:space="preserve"> оборудване за морски радиомаяци.</w:t>
      </w:r>
    </w:p>
    <w:p w14:paraId="6129DC97" w14:textId="77777777" w:rsidR="003C6646" w:rsidRPr="00A013E1" w:rsidRDefault="003C6646" w:rsidP="00B05DC2">
      <w:pPr>
        <w:ind w:left="720" w:hanging="720"/>
        <w:jc w:val="both"/>
        <w:rPr>
          <w:rFonts w:ascii="Times New Roman" w:hAnsi="Times New Roman" w:cs="Times New Roman"/>
          <w:sz w:val="16"/>
          <w:szCs w:val="16"/>
          <w:lang w:val="ru-RU"/>
        </w:rPr>
      </w:pPr>
      <w:r w:rsidRPr="00A013E1">
        <w:rPr>
          <w:rFonts w:ascii="Times New Roman" w:hAnsi="Times New Roman" w:cs="Times New Roman"/>
          <w:sz w:val="16"/>
          <w:szCs w:val="16"/>
          <w:lang w:val="ru-RU"/>
        </w:rPr>
        <w:t xml:space="preserve">9 </w:t>
      </w:r>
      <w:r w:rsidRPr="00A013E1">
        <w:rPr>
          <w:rFonts w:ascii="Times New Roman" w:hAnsi="Times New Roman" w:cs="Times New Roman"/>
          <w:sz w:val="16"/>
          <w:szCs w:val="16"/>
        </w:rPr>
        <w:t>MSC</w:t>
      </w:r>
      <w:r w:rsidRPr="00A013E1">
        <w:rPr>
          <w:rFonts w:ascii="Times New Roman" w:hAnsi="Times New Roman" w:cs="Times New Roman"/>
          <w:sz w:val="16"/>
          <w:szCs w:val="16"/>
          <w:lang w:val="ru-RU"/>
        </w:rPr>
        <w:t xml:space="preserve">.233(82), приет на 5 декември 2006 г. - Стандарти за работа на корабно приемно оборудване </w:t>
      </w:r>
      <w:r w:rsidRPr="00A013E1">
        <w:rPr>
          <w:rFonts w:ascii="Times New Roman" w:hAnsi="Times New Roman" w:cs="Times New Roman"/>
          <w:sz w:val="16"/>
          <w:szCs w:val="16"/>
        </w:rPr>
        <w:t>Galileo</w:t>
      </w:r>
      <w:r w:rsidRPr="00A013E1">
        <w:rPr>
          <w:rFonts w:ascii="Times New Roman" w:hAnsi="Times New Roman" w:cs="Times New Roman"/>
          <w:sz w:val="16"/>
          <w:szCs w:val="16"/>
          <w:lang w:val="ru-RU"/>
        </w:rPr>
        <w:t>.</w:t>
      </w:r>
    </w:p>
    <w:p w14:paraId="1E006858" w14:textId="77777777" w:rsidR="003C6646" w:rsidRPr="00A013E1" w:rsidRDefault="003C6646" w:rsidP="00B05DC2">
      <w:pPr>
        <w:ind w:left="720" w:hanging="720"/>
        <w:jc w:val="both"/>
        <w:rPr>
          <w:rFonts w:ascii="Times New Roman" w:hAnsi="Times New Roman" w:cs="Times New Roman"/>
          <w:sz w:val="16"/>
          <w:szCs w:val="16"/>
          <w:lang w:val="ru-RU"/>
        </w:rPr>
      </w:pPr>
      <w:r w:rsidRPr="00A013E1">
        <w:rPr>
          <w:rFonts w:ascii="Times New Roman" w:hAnsi="Times New Roman" w:cs="Times New Roman"/>
          <w:sz w:val="16"/>
          <w:szCs w:val="16"/>
          <w:lang w:val="ru-RU"/>
        </w:rPr>
        <w:t xml:space="preserve">10 </w:t>
      </w:r>
      <w:r w:rsidRPr="00A013E1">
        <w:rPr>
          <w:rFonts w:ascii="Times New Roman" w:hAnsi="Times New Roman" w:cs="Times New Roman"/>
          <w:sz w:val="16"/>
          <w:szCs w:val="16"/>
        </w:rPr>
        <w:t>MSC</w:t>
      </w:r>
      <w:r w:rsidRPr="00A013E1">
        <w:rPr>
          <w:rFonts w:ascii="Times New Roman" w:hAnsi="Times New Roman" w:cs="Times New Roman"/>
          <w:sz w:val="16"/>
          <w:szCs w:val="16"/>
          <w:lang w:val="ru-RU"/>
        </w:rPr>
        <w:t>.116(73), приет на 1 декември 2000 г. - Стандарти за работа на морски предавателни насочващи устройства (</w:t>
      </w:r>
      <w:r w:rsidRPr="00A013E1">
        <w:rPr>
          <w:rFonts w:ascii="Times New Roman" w:hAnsi="Times New Roman" w:cs="Times New Roman"/>
          <w:sz w:val="16"/>
          <w:szCs w:val="16"/>
        </w:rPr>
        <w:t>THD</w:t>
      </w:r>
      <w:r w:rsidRPr="00A013E1">
        <w:rPr>
          <w:rFonts w:ascii="Times New Roman" w:hAnsi="Times New Roman" w:cs="Times New Roman"/>
          <w:sz w:val="16"/>
          <w:szCs w:val="16"/>
          <w:lang w:val="ru-RU"/>
        </w:rPr>
        <w:t>).</w:t>
      </w:r>
    </w:p>
    <w:p w14:paraId="1C9F276F" w14:textId="5637307B" w:rsidR="00B05DC2" w:rsidRPr="00A013E1" w:rsidRDefault="00B05DC2" w:rsidP="00B05DC2">
      <w:pPr>
        <w:rPr>
          <w:rFonts w:ascii="Times New Roman" w:hAnsi="Times New Roman" w:cs="Times New Roman"/>
          <w:lang w:val="ru-RU"/>
        </w:rPr>
      </w:pPr>
    </w:p>
    <w:p w14:paraId="01AF318B" w14:textId="1300D77B" w:rsidR="003C6646" w:rsidRPr="00A013E1" w:rsidRDefault="003C6646" w:rsidP="00060291">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7. </w:t>
      </w:r>
      <w:r w:rsidRPr="00A013E1">
        <w:rPr>
          <w:rFonts w:ascii="Times New Roman" w:hAnsi="Times New Roman" w:cs="Times New Roman"/>
          <w:lang w:val="ru-RU"/>
        </w:rPr>
        <w:tab/>
        <w:t xml:space="preserve">Ако </w:t>
      </w:r>
      <w:r w:rsidR="0038555E" w:rsidRPr="00A013E1">
        <w:rPr>
          <w:rFonts w:ascii="Times New Roman" w:hAnsi="Times New Roman" w:cs="Times New Roman"/>
        </w:rPr>
        <w:t>AIS</w:t>
      </w:r>
      <w:r w:rsidR="0038555E" w:rsidRPr="00A013E1">
        <w:rPr>
          <w:rFonts w:ascii="Times New Roman" w:hAnsi="Times New Roman" w:cs="Times New Roman"/>
          <w:lang w:val="ru-RU"/>
        </w:rPr>
        <w:t xml:space="preserve"> оборудването за вътрешно корабоплаване </w:t>
      </w:r>
      <w:r w:rsidRPr="00A013E1">
        <w:rPr>
          <w:rFonts w:ascii="Times New Roman" w:hAnsi="Times New Roman" w:cs="Times New Roman"/>
          <w:lang w:val="ru-RU"/>
        </w:rPr>
        <w:t>е свързано към синия панел, предписан от приложимите разпоредби на навигационния орган на държавите-членки, реалното състояние на синия панел се определя и показва при всички нормални условия на употреба.</w:t>
      </w:r>
    </w:p>
    <w:p w14:paraId="390C4623" w14:textId="2257458E" w:rsidR="003C6646" w:rsidRPr="00A013E1" w:rsidRDefault="003C6646" w:rsidP="00060291">
      <w:pPr>
        <w:ind w:left="567"/>
        <w:jc w:val="both"/>
        <w:rPr>
          <w:rFonts w:ascii="Times New Roman" w:hAnsi="Times New Roman" w:cs="Times New Roman"/>
          <w:lang w:val="ru-RU"/>
        </w:rPr>
      </w:pPr>
      <w:r w:rsidRPr="00A013E1">
        <w:rPr>
          <w:rFonts w:ascii="Times New Roman" w:hAnsi="Times New Roman" w:cs="Times New Roman"/>
          <w:lang w:val="ru-RU"/>
        </w:rPr>
        <w:t xml:space="preserve">Състоянието „недостъпно“ се използва, ако синият панел не е свързан към </w:t>
      </w:r>
      <w:r w:rsidR="0038555E" w:rsidRPr="00A013E1">
        <w:rPr>
          <w:rFonts w:ascii="Times New Roman" w:hAnsi="Times New Roman" w:cs="Times New Roman"/>
        </w:rPr>
        <w:t>AIS</w:t>
      </w:r>
      <w:r w:rsidR="0038555E" w:rsidRPr="00A013E1">
        <w:rPr>
          <w:rFonts w:ascii="Times New Roman" w:hAnsi="Times New Roman" w:cs="Times New Roman"/>
          <w:lang w:val="ru-RU"/>
        </w:rPr>
        <w:t xml:space="preserve"> оборудването за вътрешно корабоплаване </w:t>
      </w:r>
      <w:r w:rsidRPr="00A013E1">
        <w:rPr>
          <w:rFonts w:ascii="Times New Roman" w:hAnsi="Times New Roman" w:cs="Times New Roman"/>
          <w:lang w:val="ru-RU"/>
        </w:rPr>
        <w:t>.</w:t>
      </w:r>
    </w:p>
    <w:p w14:paraId="33904A08" w14:textId="760DB51C" w:rsidR="003C6646" w:rsidRPr="00A013E1" w:rsidRDefault="003C6646" w:rsidP="00060291">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8. </w:t>
      </w:r>
      <w:r w:rsidRPr="00A013E1">
        <w:rPr>
          <w:rFonts w:ascii="Times New Roman" w:hAnsi="Times New Roman" w:cs="Times New Roman"/>
          <w:lang w:val="ru-RU"/>
        </w:rPr>
        <w:tab/>
        <w:t xml:space="preserve">Преди пускане в експлоатация след инсталирането, в случай на периодична инспекция с цел удължаване на валидността на сертификата за вътрешно корабоплаване, както и след всяка модификация в случай на </w:t>
      </w:r>
      <w:r w:rsidR="00804F45" w:rsidRPr="00A013E1">
        <w:rPr>
          <w:rFonts w:ascii="Times New Roman" w:hAnsi="Times New Roman" w:cs="Times New Roman"/>
          <w:lang w:val="ru-RU"/>
        </w:rPr>
        <w:t xml:space="preserve">продължаване на валидността </w:t>
      </w:r>
      <w:r w:rsidRPr="00A013E1">
        <w:rPr>
          <w:rFonts w:ascii="Times New Roman" w:hAnsi="Times New Roman" w:cs="Times New Roman"/>
          <w:lang w:val="ru-RU"/>
        </w:rPr>
        <w:t xml:space="preserve"> на сертификата </w:t>
      </w:r>
      <w:r w:rsidR="00AC1D53" w:rsidRPr="00A013E1">
        <w:rPr>
          <w:rFonts w:ascii="Times New Roman" w:hAnsi="Times New Roman" w:cs="Times New Roman"/>
          <w:lang w:val="ru-RU"/>
        </w:rPr>
        <w:t>н</w:t>
      </w:r>
      <w:r w:rsidRPr="00A013E1">
        <w:rPr>
          <w:rFonts w:ascii="Times New Roman" w:hAnsi="Times New Roman" w:cs="Times New Roman"/>
          <w:lang w:val="ru-RU"/>
        </w:rPr>
        <w:t>а кораб за вътрешно корабоплаване и всяко преустройство на плавателния съд, което е вероятно да повлияе на работните условия, при които работи това оборудване, трябва да се извърши</w:t>
      </w:r>
      <w:r w:rsidR="0029586C" w:rsidRPr="00A013E1">
        <w:rPr>
          <w:rFonts w:ascii="Times New Roman" w:hAnsi="Times New Roman" w:cs="Times New Roman"/>
          <w:lang w:val="ru-RU"/>
        </w:rPr>
        <w:t xml:space="preserve"> проверка на правилността на монтажа иработатат на оборудването </w:t>
      </w:r>
      <w:r w:rsidRPr="00A013E1">
        <w:rPr>
          <w:rFonts w:ascii="Times New Roman" w:hAnsi="Times New Roman" w:cs="Times New Roman"/>
          <w:lang w:val="ru-RU"/>
        </w:rPr>
        <w:t xml:space="preserve"> от компетентен орган или одобрена специализирана фирма</w:t>
      </w:r>
    </w:p>
    <w:p w14:paraId="6E8F87B9" w14:textId="77777777" w:rsidR="00296AC4" w:rsidRPr="00A013E1" w:rsidRDefault="003C6646" w:rsidP="00060291">
      <w:pPr>
        <w:ind w:left="567" w:hanging="567"/>
        <w:jc w:val="both"/>
        <w:rPr>
          <w:rFonts w:ascii="Times New Roman" w:hAnsi="Times New Roman" w:cs="Times New Roman"/>
          <w:lang w:val="ru-RU"/>
        </w:rPr>
      </w:pPr>
      <w:r w:rsidRPr="00A013E1">
        <w:rPr>
          <w:rFonts w:ascii="Times New Roman" w:hAnsi="Times New Roman" w:cs="Times New Roman"/>
          <w:lang w:val="ru-RU"/>
        </w:rPr>
        <w:lastRenderedPageBreak/>
        <w:t xml:space="preserve">9. </w:t>
      </w:r>
      <w:r w:rsidRPr="00A013E1">
        <w:rPr>
          <w:rFonts w:ascii="Times New Roman" w:hAnsi="Times New Roman" w:cs="Times New Roman"/>
          <w:lang w:val="ru-RU"/>
        </w:rPr>
        <w:tab/>
        <w:t xml:space="preserve">Одобрената специализирана фирма, извършила инсталационния и експлоатационния тест, издава сертификат съгласно приложение 5, раздел </w:t>
      </w:r>
      <w:r w:rsidRPr="00A013E1">
        <w:rPr>
          <w:rFonts w:ascii="Times New Roman" w:hAnsi="Times New Roman" w:cs="Times New Roman"/>
        </w:rPr>
        <w:t>VI</w:t>
      </w:r>
      <w:r w:rsidRPr="00A013E1">
        <w:rPr>
          <w:rFonts w:ascii="Times New Roman" w:hAnsi="Times New Roman" w:cs="Times New Roman"/>
          <w:lang w:val="ru-RU"/>
        </w:rPr>
        <w:t xml:space="preserve"> относно специфичните характеристики и правилната работа на </w:t>
      </w:r>
      <w:r w:rsidR="00AF3914" w:rsidRPr="00A013E1">
        <w:rPr>
          <w:rFonts w:ascii="Times New Roman" w:hAnsi="Times New Roman" w:cs="Times New Roman"/>
        </w:rPr>
        <w:t>AIS</w:t>
      </w:r>
      <w:r w:rsidR="00AF3914" w:rsidRPr="00A013E1">
        <w:rPr>
          <w:rFonts w:ascii="Times New Roman" w:hAnsi="Times New Roman" w:cs="Times New Roman"/>
          <w:lang w:val="ru-RU"/>
        </w:rPr>
        <w:t xml:space="preserve"> оборудването за вътрешно корабоплаване</w:t>
      </w:r>
    </w:p>
    <w:p w14:paraId="3B40465B" w14:textId="77777777" w:rsidR="003C6646" w:rsidRPr="00A013E1" w:rsidRDefault="003C6646" w:rsidP="00060291">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10. </w:t>
      </w:r>
      <w:r w:rsidRPr="00A013E1">
        <w:rPr>
          <w:rFonts w:ascii="Times New Roman" w:hAnsi="Times New Roman" w:cs="Times New Roman"/>
          <w:lang w:val="ru-RU"/>
        </w:rPr>
        <w:tab/>
        <w:t>Сертификатът трябва да се съхранява постоянно на борда.</w:t>
      </w:r>
    </w:p>
    <w:p w14:paraId="2BD7EA4D" w14:textId="7F6A04EB" w:rsidR="003C6646" w:rsidRPr="00A013E1" w:rsidRDefault="003C6646" w:rsidP="00060291">
      <w:pPr>
        <w:ind w:left="567" w:hanging="567"/>
        <w:jc w:val="both"/>
        <w:rPr>
          <w:rFonts w:ascii="Times New Roman" w:hAnsi="Times New Roman" w:cs="Times New Roman"/>
          <w:lang w:val="ru-RU"/>
        </w:rPr>
      </w:pPr>
      <w:r w:rsidRPr="00A013E1">
        <w:rPr>
          <w:rFonts w:ascii="Times New Roman" w:hAnsi="Times New Roman" w:cs="Times New Roman"/>
          <w:lang w:val="ru-RU"/>
        </w:rPr>
        <w:t>11.</w:t>
      </w:r>
      <w:r w:rsidRPr="00A013E1">
        <w:rPr>
          <w:rFonts w:ascii="Times New Roman" w:hAnsi="Times New Roman" w:cs="Times New Roman"/>
          <w:lang w:val="ru-RU"/>
        </w:rPr>
        <w:tab/>
        <w:t xml:space="preserve"> Инструкциите за потребителя трябва да бъдат предадени за съхранение на борда. Това трябва да бъде отбелязано в сертификата за </w:t>
      </w:r>
      <w:r w:rsidR="00E41896" w:rsidRPr="00A013E1">
        <w:rPr>
          <w:rFonts w:ascii="Times New Roman" w:hAnsi="Times New Roman" w:cs="Times New Roman"/>
          <w:lang w:val="ru-RU"/>
        </w:rPr>
        <w:t xml:space="preserve">правилност на монтажа </w:t>
      </w:r>
      <w:r w:rsidRPr="00A013E1">
        <w:rPr>
          <w:rFonts w:ascii="Times New Roman" w:hAnsi="Times New Roman" w:cs="Times New Roman"/>
          <w:lang w:val="ru-RU"/>
        </w:rPr>
        <w:t xml:space="preserve">на </w:t>
      </w:r>
      <w:r w:rsidR="00E41896" w:rsidRPr="00A013E1">
        <w:rPr>
          <w:rFonts w:ascii="Times New Roman" w:hAnsi="Times New Roman" w:cs="Times New Roman"/>
          <w:lang w:val="ru-RU"/>
        </w:rPr>
        <w:t>оборудването .</w:t>
      </w:r>
    </w:p>
    <w:p w14:paraId="15444C44" w14:textId="214B99F8" w:rsidR="003C6646" w:rsidRPr="00A013E1" w:rsidRDefault="003C6646" w:rsidP="00060291">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12. </w:t>
      </w:r>
      <w:r w:rsidRPr="00A013E1">
        <w:rPr>
          <w:rFonts w:ascii="Times New Roman" w:hAnsi="Times New Roman" w:cs="Times New Roman"/>
          <w:lang w:val="ru-RU"/>
        </w:rPr>
        <w:tab/>
        <w:t xml:space="preserve">Когато на един и същи плавателен съд са инсталирани две </w:t>
      </w:r>
      <w:r w:rsidR="00ED1FD2" w:rsidRPr="00A013E1">
        <w:rPr>
          <w:rFonts w:ascii="Times New Roman" w:hAnsi="Times New Roman" w:cs="Times New Roman"/>
        </w:rPr>
        <w:t>AIS</w:t>
      </w:r>
      <w:r w:rsidR="00ED1FD2" w:rsidRPr="00A013E1">
        <w:rPr>
          <w:rFonts w:ascii="Times New Roman" w:hAnsi="Times New Roman" w:cs="Times New Roman"/>
          <w:lang w:val="ru-RU"/>
        </w:rPr>
        <w:t xml:space="preserve"> оборудване за вътрешно корабоплаване</w:t>
      </w:r>
      <w:r w:rsidRPr="00A013E1">
        <w:rPr>
          <w:rFonts w:ascii="Times New Roman" w:hAnsi="Times New Roman" w:cs="Times New Roman"/>
          <w:lang w:val="ru-RU"/>
        </w:rPr>
        <w:t>, те трябва да имат съответните конфигурации.</w:t>
      </w:r>
    </w:p>
    <w:p w14:paraId="782E7A55" w14:textId="6C5E7677" w:rsidR="003C6646" w:rsidRPr="00A013E1" w:rsidRDefault="003C6646" w:rsidP="00060291">
      <w:pPr>
        <w:ind w:left="567" w:hanging="567"/>
        <w:jc w:val="both"/>
        <w:rPr>
          <w:rFonts w:ascii="Times New Roman" w:hAnsi="Times New Roman" w:cs="Times New Roman"/>
          <w:lang w:val="ru-RU"/>
        </w:rPr>
      </w:pPr>
      <w:r w:rsidRPr="00A013E1">
        <w:rPr>
          <w:rFonts w:ascii="Times New Roman" w:hAnsi="Times New Roman" w:cs="Times New Roman"/>
          <w:lang w:val="ru-RU"/>
        </w:rPr>
        <w:t xml:space="preserve">13. </w:t>
      </w:r>
      <w:r w:rsidRPr="00A013E1">
        <w:rPr>
          <w:rFonts w:ascii="Times New Roman" w:hAnsi="Times New Roman" w:cs="Times New Roman"/>
          <w:lang w:val="ru-RU"/>
        </w:rPr>
        <w:tab/>
        <w:t xml:space="preserve">Изискванията, посочени в (2), (5), (7) и (12), се прилагат само за </w:t>
      </w:r>
      <w:r w:rsidR="0093600B" w:rsidRPr="00A013E1">
        <w:rPr>
          <w:rFonts w:ascii="Times New Roman" w:hAnsi="Times New Roman" w:cs="Times New Roman"/>
        </w:rPr>
        <w:t>AIS</w:t>
      </w:r>
      <w:r w:rsidR="0093600B" w:rsidRPr="00A013E1">
        <w:rPr>
          <w:rFonts w:ascii="Times New Roman" w:hAnsi="Times New Roman" w:cs="Times New Roman"/>
          <w:lang w:val="ru-RU"/>
        </w:rPr>
        <w:t xml:space="preserve"> оборудването за вътрешно корабоплаване </w:t>
      </w:r>
      <w:r w:rsidRPr="00A013E1">
        <w:rPr>
          <w:rFonts w:ascii="Times New Roman" w:hAnsi="Times New Roman" w:cs="Times New Roman"/>
          <w:lang w:val="ru-RU"/>
        </w:rPr>
        <w:t>, инсталирано след 1 януари 2026 г., освен ако контролният орган открие неизправности в оборудването, което вече е инсталирано преди тази дата.“</w:t>
      </w:r>
    </w:p>
    <w:p w14:paraId="525C5E15" w14:textId="77777777" w:rsidR="00AA1CA9" w:rsidRPr="00A013E1" w:rsidRDefault="00AA1CA9" w:rsidP="004769B0">
      <w:pPr>
        <w:ind w:left="720" w:hanging="720"/>
        <w:jc w:val="both"/>
        <w:rPr>
          <w:rFonts w:ascii="Times New Roman" w:hAnsi="Times New Roman" w:cs="Times New Roman"/>
          <w:lang w:val="ru-RU"/>
        </w:rPr>
        <w:sectPr w:rsidR="00AA1CA9" w:rsidRPr="00A013E1" w:rsidSect="00A013E1">
          <w:footnotePr>
            <w:numRestart w:val="eachPage"/>
          </w:footnotePr>
          <w:pgSz w:w="11907" w:h="16840"/>
          <w:pgMar w:top="1134" w:right="1134" w:bottom="1134" w:left="1134" w:header="709" w:footer="709" w:gutter="0"/>
          <w:cols w:space="720"/>
          <w:docGrid w:linePitch="326"/>
        </w:sectPr>
      </w:pPr>
    </w:p>
    <w:p w14:paraId="2766182D" w14:textId="77777777" w:rsidR="00271FA2" w:rsidRPr="00A013E1" w:rsidRDefault="00D35E51" w:rsidP="00060291">
      <w:pPr>
        <w:pStyle w:val="ES-Titre3"/>
        <w:spacing w:after="0" w:line="240" w:lineRule="atLeast"/>
        <w:rPr>
          <w:rFonts w:ascii="Times New Roman" w:hAnsi="Times New Roman" w:cs="Times New Roman"/>
          <w:sz w:val="24"/>
          <w:szCs w:val="24"/>
          <w:lang w:val="ru-RU"/>
        </w:rPr>
      </w:pPr>
      <w:bookmarkStart w:id="612" w:name="_Toc491854318"/>
      <w:bookmarkStart w:id="613" w:name="_Toc535827759"/>
      <w:bookmarkEnd w:id="610"/>
      <w:bookmarkEnd w:id="611"/>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V</w:t>
      </w:r>
      <w:bookmarkEnd w:id="612"/>
      <w:bookmarkEnd w:id="613"/>
    </w:p>
    <w:p w14:paraId="12BA4E77" w14:textId="77777777" w:rsidR="00271FA2" w:rsidRPr="00A013E1" w:rsidRDefault="00D35E51">
      <w:pPr>
        <w:pStyle w:val="ES-Titre3a"/>
        <w:spacing w:line="240" w:lineRule="atLeast"/>
        <w:rPr>
          <w:rFonts w:ascii="Times New Roman" w:hAnsi="Times New Roman" w:cs="Times New Roman"/>
          <w:sz w:val="24"/>
          <w:szCs w:val="24"/>
          <w:lang w:val="ru-RU"/>
        </w:rPr>
      </w:pPr>
      <w:bookmarkStart w:id="614" w:name="_Toc535827760"/>
      <w:bookmarkStart w:id="615" w:name="_Toc491854319"/>
      <w:r w:rsidRPr="00A013E1">
        <w:rPr>
          <w:rFonts w:ascii="Times New Roman" w:hAnsi="Times New Roman" w:cs="Times New Roman"/>
          <w:sz w:val="24"/>
          <w:szCs w:val="24"/>
          <w:lang w:val="ru-RU"/>
        </w:rPr>
        <w:t>Минимални изисквания, изисквания по отношение на монтажа и изпитванията на показателите на тахографи за вътрешно корабоплаване</w:t>
      </w:r>
      <w:bookmarkEnd w:id="614"/>
      <w:bookmarkEnd w:id="615"/>
    </w:p>
    <w:p w14:paraId="1060F616" w14:textId="77777777" w:rsidR="00271FA2" w:rsidRPr="00A013E1" w:rsidRDefault="00D35E51">
      <w:pPr>
        <w:tabs>
          <w:tab w:val="left" w:leader="dot" w:pos="9072"/>
        </w:tabs>
        <w:spacing w:line="240" w:lineRule="atLeast"/>
        <w:jc w:val="center"/>
        <w:rPr>
          <w:rFonts w:ascii="Times New Roman" w:hAnsi="Times New Roman" w:cs="Times New Roman"/>
          <w:b/>
          <w:lang w:val="ru-RU"/>
        </w:rPr>
      </w:pPr>
      <w:r w:rsidRPr="00A013E1">
        <w:rPr>
          <w:rFonts w:ascii="Times New Roman" w:hAnsi="Times New Roman" w:cs="Times New Roman"/>
          <w:b/>
          <w:lang w:val="ru-RU"/>
        </w:rPr>
        <w:t>Член 1</w:t>
      </w:r>
    </w:p>
    <w:p w14:paraId="72CD6F13" w14:textId="77777777" w:rsidR="00271FA2" w:rsidRPr="00A013E1" w:rsidRDefault="00D35E51" w:rsidP="00060291">
      <w:pPr>
        <w:tabs>
          <w:tab w:val="left" w:leader="dot" w:pos="9072"/>
        </w:tabs>
        <w:spacing w:after="240" w:line="240" w:lineRule="atLeast"/>
        <w:jc w:val="center"/>
        <w:rPr>
          <w:rFonts w:ascii="Times New Roman" w:hAnsi="Times New Roman" w:cs="Times New Roman"/>
          <w:b/>
          <w:lang w:val="ru-RU"/>
        </w:rPr>
      </w:pPr>
      <w:r w:rsidRPr="00A013E1">
        <w:rPr>
          <w:rFonts w:ascii="Times New Roman" w:hAnsi="Times New Roman" w:cs="Times New Roman"/>
          <w:b/>
          <w:i/>
          <w:lang w:val="ru-RU"/>
        </w:rPr>
        <w:t>Одобряване на тахографи</w:t>
      </w:r>
    </w:p>
    <w:p w14:paraId="4E2B17E0" w14:textId="77777777" w:rsidR="00271FA2" w:rsidRPr="00A013E1" w:rsidRDefault="00D35E51" w:rsidP="00060291">
      <w:pPr>
        <w:pStyle w:val="ESgauche"/>
        <w:spacing w:after="240"/>
        <w:jc w:val="both"/>
        <w:rPr>
          <w:rFonts w:ascii="Times New Roman" w:hAnsi="Times New Roman" w:cs="Times New Roman"/>
          <w:lang w:val="ru-RU"/>
        </w:rPr>
      </w:pPr>
      <w:r w:rsidRPr="00A013E1">
        <w:rPr>
          <w:rFonts w:ascii="Times New Roman" w:hAnsi="Times New Roman" w:cs="Times New Roman"/>
          <w:lang w:val="ru-RU"/>
        </w:rPr>
        <w:t>Тахографите трябва да отговарят на изискванията по настоящия раздел. Съответствието се удостоверява чрез проверка на одобрението на типа от компетентен орган.</w:t>
      </w:r>
    </w:p>
    <w:p w14:paraId="663FBC79" w14:textId="77777777" w:rsidR="00271FA2" w:rsidRPr="00A013E1" w:rsidRDefault="00D35E51">
      <w:pPr>
        <w:spacing w:line="240" w:lineRule="atLeast"/>
        <w:jc w:val="center"/>
        <w:rPr>
          <w:rFonts w:ascii="Times New Roman" w:hAnsi="Times New Roman" w:cs="Times New Roman"/>
          <w:b/>
          <w:lang w:val="ru-RU"/>
        </w:rPr>
      </w:pPr>
      <w:r w:rsidRPr="00A013E1">
        <w:rPr>
          <w:rFonts w:ascii="Times New Roman" w:hAnsi="Times New Roman" w:cs="Times New Roman"/>
          <w:b/>
          <w:lang w:val="ru-RU"/>
        </w:rPr>
        <w:t>Член 2</w:t>
      </w:r>
    </w:p>
    <w:p w14:paraId="362E4E77" w14:textId="77777777" w:rsidR="00271FA2" w:rsidRPr="00A013E1" w:rsidRDefault="00D35E51" w:rsidP="00060291">
      <w:pPr>
        <w:spacing w:after="240" w:line="240" w:lineRule="atLeast"/>
        <w:jc w:val="center"/>
        <w:rPr>
          <w:rFonts w:ascii="Times New Roman" w:hAnsi="Times New Roman" w:cs="Times New Roman"/>
          <w:b/>
          <w:i/>
          <w:lang w:val="ru-RU"/>
        </w:rPr>
      </w:pPr>
      <w:r w:rsidRPr="00A013E1">
        <w:rPr>
          <w:rFonts w:ascii="Times New Roman" w:hAnsi="Times New Roman" w:cs="Times New Roman"/>
          <w:b/>
          <w:i/>
          <w:lang w:val="ru-RU"/>
        </w:rPr>
        <w:t>Изисквания, на които трябва да отговарят тахографите</w:t>
      </w:r>
    </w:p>
    <w:p w14:paraId="29850346" w14:textId="77777777" w:rsidR="00271FA2" w:rsidRPr="00A013E1" w:rsidRDefault="00D35E51" w:rsidP="00060291">
      <w:pPr>
        <w:spacing w:line="240" w:lineRule="atLeast"/>
        <w:ind w:left="567" w:hanging="567"/>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Регистриране на времето за плаване на плавателния съд</w:t>
      </w:r>
    </w:p>
    <w:p w14:paraId="6EDB5850"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За определяне на плаването според критерия „да/не“ трябва да се измерват в подходяща точка завъртанията на гребния винт. Когато задвижването не е чрез гребен винт, придвижването на плавателния съд трябва да бъде установено по равностоен начин на подходящо място. Когато са налице два или повече двигателни вала, трябва да се гарантира, че записването ще се извършва, дори ако само един от валовете се върти.</w:t>
      </w:r>
    </w:p>
    <w:p w14:paraId="6FD7E4A1"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Идентификация на плавателния съд</w:t>
      </w:r>
    </w:p>
    <w:p w14:paraId="486AE029"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Уникалният европейски идентификационен номер на плавателния съд или официалният номер на плавателния съд трябва да бъде незаличимо записан върху носителя на данни и да може да бъде четен от него.</w:t>
      </w:r>
    </w:p>
    <w:p w14:paraId="47265F7C"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r>
      <w:r w:rsidRPr="00A013E1">
        <w:rPr>
          <w:rFonts w:ascii="Times New Roman" w:hAnsi="Times New Roman" w:cs="Times New Roman"/>
          <w:color w:val="000000"/>
          <w:lang w:val="ru-RU"/>
        </w:rPr>
        <w:t>Записване върху носителя на данни</w:t>
      </w:r>
    </w:p>
    <w:p w14:paraId="2629E2AD"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Следната информация се записва върху носителя на данни, така че да бъде защитена от подправяне и да може да бъде прочитана от него: работният режим на плавателния съд, датата и часа, когато тахографът е работил и престанал да работи, поставянето и отстраняването на носителя на данни и други действия, извършени по отношение на устройството. Тахографът трябва автоматично да регистрира времето, поставянето и отстраняването на носителя на данни, отварянето и затварянето на устройството, както и всяко прекъсване на неговото захранване.</w:t>
      </w:r>
    </w:p>
    <w:p w14:paraId="2FE9DD64" w14:textId="77777777" w:rsidR="00271FA2" w:rsidRPr="00A013E1" w:rsidRDefault="00D35E51" w:rsidP="00060291">
      <w:pPr>
        <w:spacing w:line="240" w:lineRule="atLeast"/>
        <w:ind w:left="567" w:hanging="426"/>
        <w:jc w:val="both"/>
        <w:rPr>
          <w:rFonts w:ascii="Times New Roman" w:hAnsi="Times New Roman" w:cs="Times New Roman"/>
          <w:color w:val="000000"/>
          <w:lang w:val="ru-RU"/>
        </w:rPr>
      </w:pPr>
      <w:r w:rsidRPr="00A013E1">
        <w:rPr>
          <w:rFonts w:ascii="Times New Roman" w:hAnsi="Times New Roman" w:cs="Times New Roman"/>
          <w:color w:val="000000"/>
          <w:lang w:val="ru-RU"/>
        </w:rPr>
        <w:t>4.</w:t>
      </w:r>
      <w:r w:rsidRPr="00A013E1">
        <w:rPr>
          <w:rFonts w:ascii="Times New Roman" w:hAnsi="Times New Roman" w:cs="Times New Roman"/>
          <w:lang w:val="ru-RU"/>
        </w:rPr>
        <w:tab/>
      </w:r>
      <w:r w:rsidRPr="00A013E1">
        <w:rPr>
          <w:rFonts w:ascii="Times New Roman" w:hAnsi="Times New Roman" w:cs="Times New Roman"/>
          <w:color w:val="000000"/>
          <w:lang w:val="ru-RU"/>
        </w:rPr>
        <w:t>Период на записване в рамките на денонощието</w:t>
      </w:r>
    </w:p>
    <w:p w14:paraId="39DF174D"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Датата и часът, в които валът започва и спира въртенето си, трябва да се записват непрекъснато всеки ден между 00.00 часа и 24.00 часа.</w:t>
      </w:r>
    </w:p>
    <w:p w14:paraId="3E8DB3DF" w14:textId="77777777" w:rsidR="00271FA2" w:rsidRPr="00A013E1" w:rsidRDefault="00D35E51" w:rsidP="00060291">
      <w:pPr>
        <w:spacing w:line="240" w:lineRule="atLeast"/>
        <w:ind w:left="567" w:hanging="426"/>
        <w:jc w:val="both"/>
        <w:rPr>
          <w:rFonts w:ascii="Times New Roman" w:hAnsi="Times New Roman" w:cs="Times New Roman"/>
          <w:color w:val="000000"/>
          <w:lang w:val="ru-RU"/>
        </w:rPr>
      </w:pPr>
      <w:r w:rsidRPr="00A013E1">
        <w:rPr>
          <w:rFonts w:ascii="Times New Roman" w:hAnsi="Times New Roman" w:cs="Times New Roman"/>
          <w:color w:val="000000"/>
          <w:lang w:val="ru-RU"/>
        </w:rPr>
        <w:t>5.</w:t>
      </w:r>
      <w:r w:rsidRPr="00A013E1">
        <w:rPr>
          <w:rFonts w:ascii="Times New Roman" w:hAnsi="Times New Roman" w:cs="Times New Roman"/>
          <w:lang w:val="ru-RU"/>
        </w:rPr>
        <w:tab/>
      </w:r>
      <w:r w:rsidRPr="00A013E1">
        <w:rPr>
          <w:rFonts w:ascii="Times New Roman" w:hAnsi="Times New Roman" w:cs="Times New Roman"/>
          <w:color w:val="000000"/>
          <w:lang w:val="ru-RU"/>
        </w:rPr>
        <w:t>Прочитане на записа</w:t>
      </w:r>
    </w:p>
    <w:p w14:paraId="5D3A561D"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Записът трябва да бъде недвусмислен, лесен за разчитане и ясно разбираем. Трябва да е възможно записът да бъде разчетен във всеки момент без специални спомагателни устройства.</w:t>
      </w:r>
    </w:p>
    <w:p w14:paraId="22068A27"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6.</w:t>
      </w:r>
      <w:r w:rsidRPr="00A013E1">
        <w:rPr>
          <w:rFonts w:ascii="Times New Roman" w:hAnsi="Times New Roman" w:cs="Times New Roman"/>
          <w:lang w:val="ru-RU"/>
        </w:rPr>
        <w:tab/>
      </w:r>
      <w:r w:rsidRPr="00A013E1">
        <w:rPr>
          <w:rFonts w:ascii="Times New Roman" w:hAnsi="Times New Roman" w:cs="Times New Roman"/>
          <w:color w:val="000000"/>
          <w:lang w:val="ru-RU"/>
        </w:rPr>
        <w:t>Отпечатване на записа</w:t>
      </w:r>
    </w:p>
    <w:p w14:paraId="6FEEB80E"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Трябва да е възможно записите да бъдат предоставени по всяко време под формата на лесно разбираема разпечатка.</w:t>
      </w:r>
    </w:p>
    <w:p w14:paraId="3417F2A3"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7.</w:t>
      </w:r>
      <w:r w:rsidRPr="00A013E1">
        <w:rPr>
          <w:rFonts w:ascii="Times New Roman" w:hAnsi="Times New Roman" w:cs="Times New Roman"/>
          <w:lang w:val="ru-RU"/>
        </w:rPr>
        <w:tab/>
      </w:r>
      <w:r w:rsidRPr="00A013E1">
        <w:rPr>
          <w:rFonts w:ascii="Times New Roman" w:hAnsi="Times New Roman" w:cs="Times New Roman"/>
          <w:color w:val="000000"/>
          <w:lang w:val="ru-RU"/>
        </w:rPr>
        <w:t>Сигурност на записването</w:t>
      </w:r>
    </w:p>
    <w:p w14:paraId="15C4334E"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Въртенето на гребния винт трябва да бъде записвано по такъв начин, че да не може да бъде манипулирано.</w:t>
      </w:r>
    </w:p>
    <w:p w14:paraId="22F0F3E1"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8.</w:t>
      </w:r>
      <w:r w:rsidRPr="00A013E1">
        <w:rPr>
          <w:rFonts w:ascii="Times New Roman" w:hAnsi="Times New Roman" w:cs="Times New Roman"/>
          <w:lang w:val="ru-RU"/>
        </w:rPr>
        <w:tab/>
      </w:r>
      <w:r w:rsidRPr="00A013E1">
        <w:rPr>
          <w:rFonts w:ascii="Times New Roman" w:hAnsi="Times New Roman" w:cs="Times New Roman"/>
          <w:color w:val="000000"/>
          <w:lang w:val="ru-RU"/>
        </w:rPr>
        <w:t>Точност на записването</w:t>
      </w:r>
    </w:p>
    <w:p w14:paraId="10C8CF97"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Въртенето на гребния винт трябва да бъде записвано по начин, който е точен във времето. Записването трябва да се позволява разчитане с точност от 5 минути.</w:t>
      </w:r>
    </w:p>
    <w:p w14:paraId="02D086F6"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lastRenderedPageBreak/>
        <w:t>9.</w:t>
      </w:r>
      <w:r w:rsidRPr="00A013E1">
        <w:rPr>
          <w:rFonts w:ascii="Times New Roman" w:hAnsi="Times New Roman" w:cs="Times New Roman"/>
          <w:lang w:val="ru-RU"/>
        </w:rPr>
        <w:tab/>
      </w:r>
      <w:r w:rsidRPr="00A013E1">
        <w:rPr>
          <w:rFonts w:ascii="Times New Roman" w:hAnsi="Times New Roman" w:cs="Times New Roman"/>
          <w:color w:val="000000"/>
          <w:lang w:val="ru-RU"/>
        </w:rPr>
        <w:t>Оперативни напрежения</w:t>
      </w:r>
    </w:p>
    <w:p w14:paraId="14D63A33"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Колебанията на напрежението до </w:t>
      </w:r>
      <w:r w:rsidRPr="00A013E1">
        <w:rPr>
          <w:rFonts w:ascii="Times New Roman" w:hAnsi="Times New Roman" w:cs="Times New Roman"/>
        </w:rPr>
        <w:sym w:font="Symbol" w:char="F0B1"/>
      </w:r>
      <w:r w:rsidRPr="00A013E1">
        <w:rPr>
          <w:rFonts w:ascii="Times New Roman" w:hAnsi="Times New Roman" w:cs="Times New Roman"/>
          <w:lang w:val="ru-RU"/>
        </w:rPr>
        <w:t xml:space="preserve"> 10</w:t>
      </w:r>
      <w:r w:rsidRPr="00A013E1">
        <w:rPr>
          <w:rFonts w:ascii="Times New Roman" w:hAnsi="Times New Roman" w:cs="Times New Roman"/>
        </w:rPr>
        <w:t> </w:t>
      </w:r>
      <w:r w:rsidRPr="00A013E1">
        <w:rPr>
          <w:rFonts w:ascii="Times New Roman" w:hAnsi="Times New Roman" w:cs="Times New Roman"/>
          <w:lang w:val="ru-RU"/>
        </w:rPr>
        <w:t>% от номиналната стойност не трябва да пречат на правилното функциониране на устройството. Също така, инсталацията трябва да може да издържа увеличение на подаваното напрежение с 25</w:t>
      </w:r>
      <w:r w:rsidRPr="00A013E1">
        <w:rPr>
          <w:rFonts w:ascii="Times New Roman" w:hAnsi="Times New Roman" w:cs="Times New Roman"/>
        </w:rPr>
        <w:t> </w:t>
      </w:r>
      <w:r w:rsidRPr="00A013E1">
        <w:rPr>
          <w:rFonts w:ascii="Times New Roman" w:hAnsi="Times New Roman" w:cs="Times New Roman"/>
          <w:lang w:val="ru-RU"/>
        </w:rPr>
        <w:t>% спрямо номиналното напрежение без нейната годност да бъде нарушена по какъвто и да било начин.</w:t>
      </w:r>
    </w:p>
    <w:p w14:paraId="79837E28"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10.</w:t>
      </w:r>
      <w:r w:rsidRPr="00A013E1">
        <w:rPr>
          <w:rFonts w:ascii="Times New Roman" w:hAnsi="Times New Roman" w:cs="Times New Roman"/>
          <w:lang w:val="ru-RU"/>
        </w:rPr>
        <w:tab/>
      </w:r>
      <w:r w:rsidRPr="00A013E1">
        <w:rPr>
          <w:rFonts w:ascii="Times New Roman" w:hAnsi="Times New Roman" w:cs="Times New Roman"/>
          <w:color w:val="000000"/>
          <w:lang w:val="ru-RU"/>
        </w:rPr>
        <w:t>Условия за експлоатация</w:t>
      </w:r>
    </w:p>
    <w:p w14:paraId="448BCE40"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Устройствата или техните компоненти трябва да функционират без грешки при следните условия:</w:t>
      </w:r>
    </w:p>
    <w:p w14:paraId="427441B2" w14:textId="77777777" w:rsidR="00271FA2" w:rsidRPr="00A013E1" w:rsidRDefault="00D35E51" w:rsidP="00060291">
      <w:pPr>
        <w:tabs>
          <w:tab w:val="left" w:pos="851"/>
        </w:tabs>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температура на околната среда:</w:t>
      </w:r>
      <w:r w:rsidRPr="00A013E1">
        <w:rPr>
          <w:rFonts w:ascii="Times New Roman" w:hAnsi="Times New Roman" w:cs="Times New Roman"/>
          <w:lang w:val="ru-RU"/>
        </w:rPr>
        <w:tab/>
        <w:t xml:space="preserve">от 0 </w:t>
      </w:r>
      <w:r w:rsidRPr="00A013E1">
        <w:rPr>
          <w:rFonts w:ascii="Times New Roman" w:hAnsi="Times New Roman" w:cs="Times New Roman"/>
        </w:rPr>
        <w:sym w:font="Symbol" w:char="F0B0"/>
      </w:r>
      <w:r w:rsidRPr="00A013E1">
        <w:rPr>
          <w:rFonts w:ascii="Times New Roman" w:hAnsi="Times New Roman" w:cs="Times New Roman"/>
        </w:rPr>
        <w:t>C</w:t>
      </w:r>
      <w:r w:rsidRPr="00A013E1">
        <w:rPr>
          <w:rFonts w:ascii="Times New Roman" w:hAnsi="Times New Roman" w:cs="Times New Roman"/>
          <w:lang w:val="ru-RU"/>
        </w:rPr>
        <w:t xml:space="preserve"> до + 40 </w:t>
      </w:r>
      <w:r w:rsidRPr="00A013E1">
        <w:rPr>
          <w:rFonts w:ascii="Times New Roman" w:hAnsi="Times New Roman" w:cs="Times New Roman"/>
        </w:rPr>
        <w:sym w:font="Symbol" w:char="F0B0"/>
      </w:r>
      <w:r w:rsidRPr="00A013E1">
        <w:rPr>
          <w:rFonts w:ascii="Times New Roman" w:hAnsi="Times New Roman" w:cs="Times New Roman"/>
        </w:rPr>
        <w:t>C</w:t>
      </w:r>
    </w:p>
    <w:p w14:paraId="01091858" w14:textId="77777777" w:rsidR="00271FA2" w:rsidRPr="00A013E1" w:rsidRDefault="00D35E51" w:rsidP="00060291">
      <w:pPr>
        <w:tabs>
          <w:tab w:val="left" w:pos="851"/>
        </w:tabs>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влажност:</w:t>
      </w:r>
      <w:r w:rsidRPr="00A013E1">
        <w:rPr>
          <w:rFonts w:ascii="Times New Roman" w:hAnsi="Times New Roman" w:cs="Times New Roman"/>
          <w:lang w:val="ru-RU"/>
        </w:rPr>
        <w:tab/>
        <w:t>до 85</w:t>
      </w:r>
      <w:r w:rsidRPr="00A013E1">
        <w:rPr>
          <w:rFonts w:ascii="Times New Roman" w:hAnsi="Times New Roman" w:cs="Times New Roman"/>
        </w:rPr>
        <w:t> </w:t>
      </w:r>
      <w:r w:rsidRPr="00A013E1">
        <w:rPr>
          <w:rFonts w:ascii="Times New Roman" w:hAnsi="Times New Roman" w:cs="Times New Roman"/>
          <w:lang w:val="ru-RU"/>
        </w:rPr>
        <w:t>% относителна влажност на въздуха</w:t>
      </w:r>
    </w:p>
    <w:p w14:paraId="54F790CE" w14:textId="77777777" w:rsidR="00271FA2" w:rsidRPr="00A013E1" w:rsidRDefault="00D35E51" w:rsidP="00060291">
      <w:pPr>
        <w:tabs>
          <w:tab w:val="left" w:pos="851"/>
        </w:tabs>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вид на електрическата защита:</w:t>
      </w:r>
      <w:r w:rsidRPr="00A013E1">
        <w:rPr>
          <w:rFonts w:ascii="Times New Roman" w:hAnsi="Times New Roman" w:cs="Times New Roman"/>
          <w:lang w:val="ru-RU"/>
        </w:rPr>
        <w:tab/>
      </w:r>
      <w:r w:rsidRPr="00A013E1">
        <w:rPr>
          <w:rFonts w:ascii="Times New Roman" w:hAnsi="Times New Roman" w:cs="Times New Roman"/>
        </w:rPr>
        <w:t>IP</w:t>
      </w:r>
      <w:r w:rsidRPr="00A013E1">
        <w:rPr>
          <w:rFonts w:ascii="Times New Roman" w:hAnsi="Times New Roman" w:cs="Times New Roman"/>
          <w:lang w:val="ru-RU"/>
        </w:rPr>
        <w:t xml:space="preserve"> 54 в съответствие с Европейски стандарт </w:t>
      </w:r>
      <w:r w:rsidRPr="00A013E1">
        <w:rPr>
          <w:rFonts w:ascii="Times New Roman" w:hAnsi="Times New Roman" w:cs="Times New Roman"/>
        </w:rPr>
        <w:t>EN</w:t>
      </w:r>
      <w:r w:rsidRPr="00A013E1">
        <w:rPr>
          <w:rFonts w:ascii="Times New Roman" w:hAnsi="Times New Roman" w:cs="Times New Roman"/>
          <w:lang w:val="ru-RU"/>
        </w:rPr>
        <w:t xml:space="preserve"> 60529:2014</w:t>
      </w:r>
    </w:p>
    <w:p w14:paraId="387B0874" w14:textId="77777777" w:rsidR="00271FA2" w:rsidRPr="00A013E1" w:rsidRDefault="00D35E51" w:rsidP="00060291">
      <w:pPr>
        <w:tabs>
          <w:tab w:val="left" w:pos="851"/>
        </w:tabs>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маслоустойчивост:</w:t>
      </w:r>
      <w:r w:rsidRPr="00A013E1">
        <w:rPr>
          <w:rFonts w:ascii="Times New Roman" w:hAnsi="Times New Roman" w:cs="Times New Roman"/>
          <w:lang w:val="ru-RU"/>
        </w:rPr>
        <w:tab/>
        <w:t>въпреки, че са предназначени да бъдат инсталирани в машинното отделение, устройствата или компонентите им трябва да бъдат маслоустойчиви</w:t>
      </w:r>
    </w:p>
    <w:p w14:paraId="6300125F" w14:textId="77777777" w:rsidR="00271FA2" w:rsidRPr="00A013E1" w:rsidRDefault="00D35E51" w:rsidP="00060291">
      <w:pPr>
        <w:tabs>
          <w:tab w:val="left" w:pos="851"/>
        </w:tabs>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разрешено отчитане на време</w:t>
      </w:r>
    </w:p>
    <w:p w14:paraId="14CDA440" w14:textId="77777777" w:rsidR="00271FA2" w:rsidRPr="00A013E1" w:rsidRDefault="00D35E51" w:rsidP="00060291">
      <w:pPr>
        <w:tabs>
          <w:tab w:val="left" w:pos="851"/>
        </w:tabs>
        <w:spacing w:after="240" w:line="240" w:lineRule="atLeast"/>
        <w:ind w:left="567"/>
        <w:jc w:val="both"/>
        <w:rPr>
          <w:rFonts w:ascii="Times New Roman" w:hAnsi="Times New Roman" w:cs="Times New Roman"/>
          <w:lang w:val="ru-RU"/>
        </w:rPr>
      </w:pPr>
      <w:r w:rsidRPr="00A013E1">
        <w:rPr>
          <w:rFonts w:ascii="Times New Roman" w:hAnsi="Times New Roman" w:cs="Times New Roman"/>
          <w:lang w:val="ru-RU"/>
        </w:rPr>
        <w:t>допустими отклонения:</w:t>
      </w:r>
      <w:r w:rsidRPr="00A013E1">
        <w:rPr>
          <w:rFonts w:ascii="Times New Roman" w:hAnsi="Times New Roman" w:cs="Times New Roman"/>
          <w:lang w:val="ru-RU"/>
        </w:rPr>
        <w:tab/>
      </w:r>
      <w:r w:rsidRPr="00A013E1">
        <w:rPr>
          <w:rFonts w:ascii="Times New Roman" w:hAnsi="Times New Roman" w:cs="Times New Roman"/>
        </w:rPr>
        <w:sym w:font="Symbol" w:char="F0B1"/>
      </w:r>
      <w:r w:rsidRPr="00A013E1">
        <w:rPr>
          <w:rFonts w:ascii="Times New Roman" w:hAnsi="Times New Roman" w:cs="Times New Roman"/>
          <w:lang w:val="ru-RU"/>
        </w:rPr>
        <w:t xml:space="preserve"> 2 минути на всеки 24 часа.</w:t>
      </w:r>
    </w:p>
    <w:p w14:paraId="3022E7A5" w14:textId="77777777" w:rsidR="00271FA2" w:rsidRPr="00A013E1" w:rsidRDefault="00D35E51">
      <w:pPr>
        <w:spacing w:line="240" w:lineRule="atLeast"/>
        <w:jc w:val="center"/>
        <w:rPr>
          <w:rFonts w:ascii="Times New Roman" w:hAnsi="Times New Roman" w:cs="Times New Roman"/>
          <w:b/>
          <w:lang w:val="ru-RU"/>
        </w:rPr>
      </w:pPr>
      <w:r w:rsidRPr="00A013E1">
        <w:rPr>
          <w:rFonts w:ascii="Times New Roman" w:hAnsi="Times New Roman" w:cs="Times New Roman"/>
          <w:b/>
          <w:lang w:val="ru-RU"/>
        </w:rPr>
        <w:t>Член 3</w:t>
      </w:r>
    </w:p>
    <w:p w14:paraId="461D67DA" w14:textId="77777777" w:rsidR="00271FA2" w:rsidRPr="00A013E1" w:rsidRDefault="00D35E51" w:rsidP="00060291">
      <w:pPr>
        <w:spacing w:after="240" w:line="240" w:lineRule="atLeast"/>
        <w:jc w:val="center"/>
        <w:rPr>
          <w:rFonts w:ascii="Times New Roman" w:hAnsi="Times New Roman" w:cs="Times New Roman"/>
          <w:b/>
          <w:i/>
          <w:lang w:val="ru-RU"/>
        </w:rPr>
      </w:pPr>
      <w:r w:rsidRPr="00A013E1">
        <w:rPr>
          <w:rFonts w:ascii="Times New Roman" w:hAnsi="Times New Roman" w:cs="Times New Roman"/>
          <w:b/>
          <w:i/>
          <w:lang w:val="ru-RU"/>
        </w:rPr>
        <w:t xml:space="preserve">Изисквания относно монтирането на тахографи на борда </w:t>
      </w:r>
    </w:p>
    <w:p w14:paraId="7125F7E6" w14:textId="3C3B9B19" w:rsidR="00271FA2" w:rsidRPr="00A013E1" w:rsidRDefault="00060291" w:rsidP="00060291">
      <w:pPr>
        <w:tabs>
          <w:tab w:val="left" w:leader="dot" w:pos="8505"/>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Следните условия трябва да бъдат спазени при монтирането на тахографи на борда:</w:t>
      </w:r>
    </w:p>
    <w:p w14:paraId="58A42D5C"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Бордовите тахографи могат да бъдат монтирани само от специализирани фирми, одобрени от компетентния орган.</w:t>
      </w:r>
    </w:p>
    <w:p w14:paraId="2D6D1789"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Тахографът трябва да бъде монтиран в рулевата рубка или на друго лесно достъпно място.</w:t>
      </w:r>
    </w:p>
    <w:p w14:paraId="4D2CB8F0" w14:textId="77777777" w:rsidR="00271FA2" w:rsidRPr="00A013E1" w:rsidRDefault="00D35E51" w:rsidP="00060291">
      <w:pPr>
        <w:spacing w:line="240" w:lineRule="atLeast"/>
        <w:ind w:left="567" w:hanging="567"/>
        <w:jc w:val="both"/>
        <w:rPr>
          <w:rFonts w:ascii="Times New Roman" w:hAnsi="Times New Roman" w:cs="Times New Roman"/>
          <w:lang w:val="ru-RU"/>
        </w:rPr>
      </w:pPr>
      <w:r w:rsidRPr="00A013E1">
        <w:rPr>
          <w:rFonts w:ascii="Times New Roman" w:hAnsi="Times New Roman" w:cs="Times New Roman"/>
          <w:color w:val="000000"/>
          <w:lang w:val="ru-RU"/>
        </w:rPr>
        <w:t>3.</w:t>
      </w:r>
      <w:r w:rsidRPr="00A013E1">
        <w:rPr>
          <w:rFonts w:ascii="Times New Roman" w:hAnsi="Times New Roman" w:cs="Times New Roman"/>
          <w:lang w:val="ru-RU"/>
        </w:rPr>
        <w:tab/>
        <w:t>Трябва да е възможно визуално да се установи дали оборудването работи. Оборудването трябва да бъде свързано директно към електрозахранваща система в съответствие с член 10.02. Оборудването трябва да има захранваща верига със собствено предпазно устройство, като се има предвид член 10.12, точка 2, буква “а” и да може да бъде захранвано по всяко време. Тахографът трябва да се провери веднага след включване, за да се уверите, че работи правилно.</w:t>
      </w:r>
    </w:p>
    <w:p w14:paraId="47BFA4AE"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4.</w:t>
      </w:r>
      <w:r w:rsidRPr="00A013E1">
        <w:rPr>
          <w:rFonts w:ascii="Times New Roman" w:hAnsi="Times New Roman" w:cs="Times New Roman"/>
          <w:lang w:val="ru-RU"/>
        </w:rPr>
        <w:tab/>
      </w:r>
      <w:r w:rsidRPr="00A013E1">
        <w:rPr>
          <w:rFonts w:ascii="Times New Roman" w:hAnsi="Times New Roman" w:cs="Times New Roman"/>
          <w:color w:val="000000"/>
          <w:lang w:val="ru-RU"/>
        </w:rPr>
        <w:t>Информация относно придвижването на плавателния съд, а именно дали той е „в движение“ или „не е в движение“ се извлича от движението на задвижващата система. Съответният сигнал трябва да се извлича от въртенето на гребния винт, двигателния вал или от експлоатацията на задвижващия механизъм. В случай на различни системи за задвижване, трябва да се намери друго равностойно решение.</w:t>
      </w:r>
    </w:p>
    <w:p w14:paraId="1E1D8AB8"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5.</w:t>
      </w:r>
      <w:r w:rsidRPr="00A013E1">
        <w:rPr>
          <w:rFonts w:ascii="Times New Roman" w:hAnsi="Times New Roman" w:cs="Times New Roman"/>
          <w:lang w:val="ru-RU"/>
        </w:rPr>
        <w:tab/>
      </w:r>
      <w:r w:rsidRPr="00A013E1">
        <w:rPr>
          <w:rFonts w:ascii="Times New Roman" w:hAnsi="Times New Roman" w:cs="Times New Roman"/>
          <w:color w:val="000000"/>
          <w:lang w:val="ru-RU"/>
        </w:rPr>
        <w:t>Техническото оборудване за установяване на движението на плавателния съд трябва да бъде монтирано, така че да е оперативно надеждно и защитено от неразрешена намеса. За тази цел веригата за предаване на сигнали (включително генератора на сигнал и сигналния вход на устройството), от системата за задвижване до устройството, трябва да бъде защитена с подходящи средства, като се следи за всяко прекъсване на веригата. Подходящи за тази цел са например пломбиращи печати с идентификационни маркировки, видими кабелни канали или вериги за следене.</w:t>
      </w:r>
    </w:p>
    <w:p w14:paraId="6E5F70B5" w14:textId="77777777" w:rsidR="00271FA2" w:rsidRPr="00A013E1" w:rsidRDefault="00D35E51" w:rsidP="00060291">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6.</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След приключване на монтажа специализираната фирма, която е осъществила или контролирала монтажа, извършва работно изпитване. Тя издава удостоверение за характеристиките на монтажа (по-специално местоположението и вида на печатите и маркировките по тях, местоположението и вида на оборудването за следене) и удостоверява също, че то функционира правилно; удостоверението трябва също така да предоставя информация относно вида на одобреното </w:t>
      </w:r>
      <w:r w:rsidRPr="00A013E1">
        <w:rPr>
          <w:rFonts w:ascii="Times New Roman" w:hAnsi="Times New Roman" w:cs="Times New Roman"/>
          <w:color w:val="000000"/>
          <w:lang w:val="ru-RU"/>
        </w:rPr>
        <w:lastRenderedPageBreak/>
        <w:t>устройство. Ново работно изпитване е необходимо след всяка замяна, изменение или ремонт; това изпитване трябва да бъде посочено в удостоверението.</w:t>
      </w:r>
    </w:p>
    <w:p w14:paraId="5E73D4FA"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Удостоверението трябва да съдържа минимум следните данни:</w:t>
      </w:r>
    </w:p>
    <w:p w14:paraId="1CBE532A"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наименование, адрес и уникален референтен номер на одобрена специализирана фирма, която е извършила или контролирала монтажа;</w:t>
      </w:r>
    </w:p>
    <w:p w14:paraId="4C892BA7"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наименование, адрес и телефонен номер на компетентния орган, който е одобрил фирмата;</w:t>
      </w:r>
    </w:p>
    <w:p w14:paraId="455C84C1"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уникален европейски идентификационен номер на плавателните съдове или официален номер на плавателния съд;</w:t>
      </w:r>
    </w:p>
    <w:p w14:paraId="095DA6D9"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тип и сериен номер на тахографа;</w:t>
      </w:r>
    </w:p>
    <w:p w14:paraId="68D6984A"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дата на работното изпитване.</w:t>
      </w:r>
    </w:p>
    <w:p w14:paraId="0B9D3756"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Удостоверението е валидно 5 години.</w:t>
      </w:r>
    </w:p>
    <w:p w14:paraId="296099A9" w14:textId="77777777" w:rsidR="00271FA2" w:rsidRPr="00A013E1" w:rsidRDefault="00D35E51" w:rsidP="00060291">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Целта на удостоверението е да докаже, че устройството е одобрено, монтирано от одобрена специализирана фирма и е било изпитано за надеждна работа.</w:t>
      </w:r>
    </w:p>
    <w:p w14:paraId="79F3C3CE" w14:textId="77777777" w:rsidR="00271FA2" w:rsidRPr="00A013E1" w:rsidRDefault="00D35E51" w:rsidP="00060291">
      <w:pPr>
        <w:tabs>
          <w:tab w:val="left" w:pos="567"/>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7.</w:t>
      </w:r>
      <w:r w:rsidRPr="00A013E1">
        <w:rPr>
          <w:rFonts w:ascii="Times New Roman" w:hAnsi="Times New Roman" w:cs="Times New Roman"/>
          <w:lang w:val="ru-RU"/>
        </w:rPr>
        <w:tab/>
        <w:t>Екипажът на плавателния съд трябва да е обучен за използване на устройството от одобрената фирма и инструкциите за потребителите трябва да бъдат предадени за пазене на борда. Това трябва да се посочи в удостоверението за монтаж на борда.</w:t>
      </w:r>
    </w:p>
    <w:p w14:paraId="39DCF76E" w14:textId="77777777" w:rsidR="00196983" w:rsidRPr="00A013E1" w:rsidRDefault="00196983" w:rsidP="00060291">
      <w:pPr>
        <w:tabs>
          <w:tab w:val="left" w:pos="284"/>
          <w:tab w:val="left" w:pos="567"/>
        </w:tabs>
        <w:spacing w:line="240" w:lineRule="atLeast"/>
        <w:ind w:left="567" w:hanging="567"/>
        <w:rPr>
          <w:rFonts w:ascii="Times New Roman" w:hAnsi="Times New Roman" w:cs="Times New Roman"/>
          <w:lang w:val="ru-RU"/>
        </w:rPr>
        <w:sectPr w:rsidR="00196983" w:rsidRPr="00A013E1" w:rsidSect="00A013E1">
          <w:headerReference w:type="default" r:id="rId140"/>
          <w:footnotePr>
            <w:numRestart w:val="eachPage"/>
          </w:footnotePr>
          <w:pgSz w:w="11907" w:h="16840"/>
          <w:pgMar w:top="1134" w:right="1134" w:bottom="1134" w:left="1134" w:header="709" w:footer="709" w:gutter="0"/>
          <w:cols w:space="720"/>
          <w:docGrid w:linePitch="326"/>
        </w:sectPr>
      </w:pPr>
    </w:p>
    <w:p w14:paraId="7B22A3C9" w14:textId="77777777" w:rsidR="00271FA2" w:rsidRPr="00A013E1" w:rsidRDefault="00D35E51" w:rsidP="00060291">
      <w:pPr>
        <w:pStyle w:val="ES-Titre3"/>
        <w:spacing w:after="0" w:line="240" w:lineRule="atLeast"/>
        <w:rPr>
          <w:rFonts w:ascii="Times New Roman" w:hAnsi="Times New Roman" w:cs="Times New Roman"/>
          <w:lang w:val="ru-RU"/>
        </w:rPr>
      </w:pPr>
      <w:bookmarkStart w:id="616" w:name="_Toc491854320"/>
      <w:bookmarkStart w:id="617" w:name="_Toc535827761"/>
      <w:r w:rsidRPr="00A013E1">
        <w:rPr>
          <w:rFonts w:ascii="Times New Roman" w:hAnsi="Times New Roman" w:cs="Times New Roman"/>
          <w:lang w:val="ru-RU"/>
        </w:rPr>
        <w:lastRenderedPageBreak/>
        <w:t xml:space="preserve">Раздел </w:t>
      </w:r>
      <w:r w:rsidRPr="00A013E1">
        <w:rPr>
          <w:rFonts w:ascii="Times New Roman" w:hAnsi="Times New Roman" w:cs="Times New Roman"/>
        </w:rPr>
        <w:t>VI</w:t>
      </w:r>
      <w:bookmarkEnd w:id="616"/>
      <w:bookmarkEnd w:id="617"/>
    </w:p>
    <w:p w14:paraId="7AF25AB7" w14:textId="670E7649" w:rsidR="00271FA2" w:rsidRPr="00A013E1" w:rsidRDefault="00D35E51" w:rsidP="00060291">
      <w:pPr>
        <w:pStyle w:val="ES-Titre3a"/>
        <w:spacing w:after="0" w:line="240" w:lineRule="atLeast"/>
        <w:rPr>
          <w:rFonts w:ascii="Times New Roman" w:hAnsi="Times New Roman" w:cs="Times New Roman"/>
          <w:lang w:val="ru-RU"/>
        </w:rPr>
      </w:pPr>
      <w:bookmarkStart w:id="618" w:name="_Toc535827762"/>
      <w:bookmarkStart w:id="619" w:name="_Toc491854321"/>
      <w:r w:rsidRPr="00A013E1">
        <w:rPr>
          <w:rFonts w:ascii="Times New Roman" w:hAnsi="Times New Roman" w:cs="Times New Roman"/>
          <w:lang w:val="ru-RU"/>
        </w:rPr>
        <w:t>Удостоверение за монтажа и показателите за навигационно радиолокационно оборудване, индикатори на ъгловата скорост</w:t>
      </w:r>
      <w:r w:rsidR="00F166BA" w:rsidRPr="00A013E1">
        <w:rPr>
          <w:rFonts w:ascii="Times New Roman" w:hAnsi="Times New Roman" w:cs="Times New Roman"/>
        </w:rPr>
        <w:t xml:space="preserve"> </w:t>
      </w:r>
      <w:r w:rsidR="0078218A" w:rsidRPr="00A013E1">
        <w:rPr>
          <w:rFonts w:ascii="Times New Roman" w:hAnsi="Times New Roman" w:cs="Times New Roman"/>
          <w:lang w:val="ru-RU"/>
        </w:rPr>
        <w:t>на</w:t>
      </w:r>
      <w:r w:rsidR="00F05FF1" w:rsidRPr="00A013E1">
        <w:rPr>
          <w:rFonts w:ascii="Times New Roman" w:hAnsi="Times New Roman" w:cs="Times New Roman"/>
          <w:lang w:val="ru-RU"/>
        </w:rPr>
        <w:t xml:space="preserve"> </w:t>
      </w:r>
      <w:r w:rsidR="0078218A" w:rsidRPr="00A013E1">
        <w:rPr>
          <w:rFonts w:ascii="Times New Roman" w:hAnsi="Times New Roman" w:cs="Times New Roman"/>
          <w:lang w:val="ru-RU"/>
        </w:rPr>
        <w:t xml:space="preserve"> завиване</w:t>
      </w:r>
      <w:r w:rsidRPr="00A013E1">
        <w:rPr>
          <w:rFonts w:ascii="Times New Roman" w:hAnsi="Times New Roman" w:cs="Times New Roman"/>
          <w:lang w:val="ru-RU"/>
        </w:rPr>
        <w:t xml:space="preserve">, оборудване за </w:t>
      </w:r>
      <w:r w:rsidRPr="00A013E1">
        <w:rPr>
          <w:rFonts w:ascii="Times New Roman" w:hAnsi="Times New Roman" w:cs="Times New Roman"/>
        </w:rPr>
        <w:t>AIS</w:t>
      </w:r>
      <w:r w:rsidRPr="00A013E1">
        <w:rPr>
          <w:rFonts w:ascii="Times New Roman" w:hAnsi="Times New Roman" w:cs="Times New Roman"/>
          <w:lang w:val="ru-RU"/>
        </w:rPr>
        <w:t xml:space="preserve"> за вътрешно корабоплаване</w:t>
      </w:r>
      <w:bookmarkEnd w:id="618"/>
      <w:bookmarkEnd w:id="619"/>
    </w:p>
    <w:p w14:paraId="3E8F12B2" w14:textId="77777777" w:rsidR="00271FA2" w:rsidRPr="00A013E1" w:rsidRDefault="00D35E51">
      <w:pPr>
        <w:overflowPunct w:val="0"/>
        <w:adjustRightInd w:val="0"/>
        <w:spacing w:line="240" w:lineRule="atLeast"/>
        <w:jc w:val="center"/>
        <w:textAlignment w:val="baseline"/>
        <w:rPr>
          <w:rFonts w:ascii="Times New Roman" w:eastAsia="Calibri" w:hAnsi="Times New Roman" w:cs="Times New Roman"/>
          <w:lang w:val="ru-RU"/>
        </w:rPr>
      </w:pPr>
      <w:r w:rsidRPr="00A013E1">
        <w:rPr>
          <w:rFonts w:ascii="Times New Roman" w:hAnsi="Times New Roman" w:cs="Times New Roman"/>
          <w:lang w:val="ru-RU"/>
        </w:rPr>
        <w:t>(Образец)</w:t>
      </w:r>
    </w:p>
    <w:p w14:paraId="016C88A5" w14:textId="77777777" w:rsidR="00271FA2" w:rsidRPr="00A013E1" w:rsidRDefault="00D35E51">
      <w:pPr>
        <w:tabs>
          <w:tab w:val="left" w:leader="dot" w:pos="9072"/>
        </w:tabs>
        <w:spacing w:line="240" w:lineRule="atLeast"/>
        <w:rPr>
          <w:rFonts w:ascii="Times New Roman" w:hAnsi="Times New Roman" w:cs="Times New Roman"/>
          <w:lang w:val="ru-RU"/>
        </w:rPr>
      </w:pPr>
      <w:r w:rsidRPr="00A013E1">
        <w:rPr>
          <w:rFonts w:ascii="Times New Roman" w:hAnsi="Times New Roman" w:cs="Times New Roman"/>
          <w:lang w:val="ru-RU"/>
        </w:rPr>
        <w:t xml:space="preserve">Име/тип на плавателния съд: </w:t>
      </w:r>
      <w:r w:rsidRPr="00A013E1">
        <w:rPr>
          <w:rFonts w:ascii="Times New Roman" w:hAnsi="Times New Roman" w:cs="Times New Roman"/>
          <w:lang w:val="ru-RU"/>
        </w:rPr>
        <w:tab/>
      </w:r>
    </w:p>
    <w:p w14:paraId="3BC2D677" w14:textId="77777777" w:rsidR="00271FA2" w:rsidRPr="00A013E1" w:rsidRDefault="00D35E51">
      <w:pPr>
        <w:tabs>
          <w:tab w:val="left" w:leader="dot" w:pos="9072"/>
        </w:tabs>
        <w:spacing w:line="240" w:lineRule="atLeast"/>
        <w:rPr>
          <w:rFonts w:ascii="Times New Roman" w:hAnsi="Times New Roman" w:cs="Times New Roman"/>
          <w:lang w:val="ru-RU"/>
        </w:rPr>
      </w:pPr>
      <w:r w:rsidRPr="00A013E1">
        <w:rPr>
          <w:rFonts w:ascii="Times New Roman" w:hAnsi="Times New Roman" w:cs="Times New Roman"/>
          <w:lang w:val="ru-RU"/>
        </w:rPr>
        <w:t>Уникален европейски</w:t>
      </w:r>
      <w:r w:rsidRPr="00A013E1">
        <w:rPr>
          <w:rFonts w:ascii="Times New Roman" w:hAnsi="Times New Roman" w:cs="Times New Roman"/>
          <w:i/>
          <w:lang w:val="ru-RU"/>
        </w:rPr>
        <w:t xml:space="preserve"> </w:t>
      </w:r>
      <w:r w:rsidRPr="00A013E1">
        <w:rPr>
          <w:rFonts w:ascii="Times New Roman" w:hAnsi="Times New Roman" w:cs="Times New Roman"/>
          <w:lang w:val="ru-RU"/>
        </w:rPr>
        <w:t xml:space="preserve">идентификационен номер на плавателния съд: </w:t>
      </w:r>
      <w:r w:rsidRPr="00A013E1">
        <w:rPr>
          <w:rFonts w:ascii="Times New Roman" w:hAnsi="Times New Roman" w:cs="Times New Roman"/>
          <w:lang w:val="ru-RU"/>
        </w:rPr>
        <w:tab/>
      </w:r>
    </w:p>
    <w:p w14:paraId="3CAA79BC" w14:textId="77777777" w:rsidR="00271FA2" w:rsidRPr="00A013E1" w:rsidRDefault="00D35E51">
      <w:pPr>
        <w:tabs>
          <w:tab w:val="left" w:leader="dot" w:pos="9072"/>
        </w:tabs>
        <w:spacing w:line="240" w:lineRule="atLeast"/>
        <w:rPr>
          <w:rFonts w:ascii="Times New Roman" w:hAnsi="Times New Roman" w:cs="Times New Roman"/>
          <w:lang w:val="ru-RU"/>
        </w:rPr>
      </w:pPr>
      <w:r w:rsidRPr="00A013E1">
        <w:rPr>
          <w:rFonts w:ascii="Times New Roman" w:hAnsi="Times New Roman" w:cs="Times New Roman"/>
          <w:b/>
          <w:lang w:val="ru-RU"/>
        </w:rPr>
        <w:t>Собственик на плавателния съд:</w:t>
      </w:r>
      <w:r w:rsidRPr="00A013E1">
        <w:rPr>
          <w:rFonts w:ascii="Times New Roman" w:hAnsi="Times New Roman" w:cs="Times New Roman"/>
          <w:lang w:val="ru-RU"/>
        </w:rPr>
        <w:t xml:space="preserve"> </w:t>
      </w:r>
    </w:p>
    <w:p w14:paraId="730CF2D1" w14:textId="77777777" w:rsidR="00271FA2" w:rsidRPr="00A013E1" w:rsidRDefault="00D35E51">
      <w:pPr>
        <w:tabs>
          <w:tab w:val="left" w:leader="dot" w:pos="4536"/>
        </w:tabs>
        <w:spacing w:line="240" w:lineRule="atLeast"/>
        <w:rPr>
          <w:rFonts w:ascii="Times New Roman" w:hAnsi="Times New Roman" w:cs="Times New Roman"/>
          <w:lang w:val="ru-RU"/>
        </w:rPr>
      </w:pPr>
      <w:r w:rsidRPr="00A013E1">
        <w:rPr>
          <w:rFonts w:ascii="Times New Roman" w:hAnsi="Times New Roman" w:cs="Times New Roman"/>
          <w:lang w:val="ru-RU"/>
        </w:rPr>
        <w:t xml:space="preserve">Име: </w:t>
      </w:r>
      <w:r w:rsidRPr="00A013E1">
        <w:rPr>
          <w:rFonts w:ascii="Times New Roman" w:hAnsi="Times New Roman" w:cs="Times New Roman"/>
          <w:lang w:val="ru-RU"/>
        </w:rPr>
        <w:tab/>
      </w:r>
    </w:p>
    <w:p w14:paraId="52CC2DBE" w14:textId="77777777" w:rsidR="00271FA2" w:rsidRPr="00A013E1" w:rsidRDefault="00D35E51">
      <w:pPr>
        <w:tabs>
          <w:tab w:val="left" w:leader="dot" w:pos="9072"/>
        </w:tabs>
        <w:spacing w:line="240" w:lineRule="atLeast"/>
        <w:rPr>
          <w:rFonts w:ascii="Times New Roman" w:hAnsi="Times New Roman" w:cs="Times New Roman"/>
          <w:lang w:val="ru-RU"/>
        </w:rPr>
      </w:pPr>
      <w:r w:rsidRPr="00A013E1">
        <w:rPr>
          <w:rFonts w:ascii="Times New Roman" w:hAnsi="Times New Roman" w:cs="Times New Roman"/>
          <w:lang w:val="ru-RU"/>
        </w:rPr>
        <w:t xml:space="preserve">Адрес: </w:t>
      </w:r>
      <w:r w:rsidRPr="00A013E1">
        <w:rPr>
          <w:rFonts w:ascii="Times New Roman" w:hAnsi="Times New Roman" w:cs="Times New Roman"/>
          <w:lang w:val="ru-RU"/>
        </w:rPr>
        <w:tab/>
      </w:r>
    </w:p>
    <w:p w14:paraId="7E03A890" w14:textId="77777777" w:rsidR="00271FA2" w:rsidRPr="00A013E1" w:rsidRDefault="00D35E51">
      <w:pPr>
        <w:tabs>
          <w:tab w:val="left" w:leader="dot" w:pos="3119"/>
        </w:tabs>
        <w:spacing w:line="240" w:lineRule="atLeast"/>
        <w:rPr>
          <w:rFonts w:ascii="Times New Roman" w:hAnsi="Times New Roman" w:cs="Times New Roman"/>
          <w:lang w:val="ru-RU"/>
        </w:rPr>
      </w:pPr>
      <w:r w:rsidRPr="00A013E1">
        <w:rPr>
          <w:rFonts w:ascii="Times New Roman" w:hAnsi="Times New Roman" w:cs="Times New Roman"/>
          <w:lang w:val="ru-RU"/>
        </w:rPr>
        <w:t xml:space="preserve">Телефон: </w:t>
      </w:r>
      <w:r w:rsidRPr="00A013E1">
        <w:rPr>
          <w:rFonts w:ascii="Times New Roman" w:hAnsi="Times New Roman" w:cs="Times New Roman"/>
          <w:lang w:val="ru-RU"/>
        </w:rPr>
        <w:tab/>
      </w:r>
    </w:p>
    <w:p w14:paraId="6D6694A5" w14:textId="77777777" w:rsidR="00271FA2" w:rsidRPr="00A013E1" w:rsidRDefault="00271FA2">
      <w:pPr>
        <w:tabs>
          <w:tab w:val="left" w:leader="dot" w:pos="9072"/>
        </w:tabs>
        <w:spacing w:line="240" w:lineRule="atLeast"/>
        <w:rPr>
          <w:rFonts w:ascii="Times New Roman" w:hAnsi="Times New Roman" w:cs="Times New Roman"/>
          <w:snapToGrid w:val="0"/>
          <w:lang w:val="ru-RU"/>
        </w:rPr>
      </w:pPr>
    </w:p>
    <w:p w14:paraId="1361735B" w14:textId="5A1C55C0" w:rsidR="00271FA2" w:rsidRPr="00A013E1" w:rsidRDefault="00D35E51">
      <w:pPr>
        <w:tabs>
          <w:tab w:val="left" w:pos="284"/>
          <w:tab w:val="left" w:pos="5670"/>
          <w:tab w:val="left" w:leader="dot" w:pos="7655"/>
        </w:tabs>
        <w:overflowPunct w:val="0"/>
        <w:adjustRightInd w:val="0"/>
        <w:spacing w:line="240" w:lineRule="atLeast"/>
        <w:textAlignment w:val="baseline"/>
        <w:rPr>
          <w:rFonts w:ascii="Times New Roman" w:hAnsi="Times New Roman" w:cs="Times New Roman"/>
          <w:snapToGrid w:val="0"/>
          <w:lang w:val="ru-RU"/>
        </w:rPr>
      </w:pPr>
      <w:r w:rsidRPr="00A013E1">
        <w:rPr>
          <w:rFonts w:ascii="Times New Roman" w:hAnsi="Times New Roman" w:cs="Times New Roman"/>
          <w:b/>
          <w:snapToGrid w:val="0"/>
          <w:lang w:val="ru-RU"/>
        </w:rPr>
        <w:t>Навигационно радиолокационно оборудване:</w:t>
      </w:r>
      <w:r w:rsidRPr="00A013E1">
        <w:rPr>
          <w:rFonts w:ascii="Times New Roman" w:hAnsi="Times New Roman" w:cs="Times New Roman"/>
          <w:lang w:val="ru-RU"/>
        </w:rPr>
        <w:tab/>
      </w:r>
      <w:r w:rsidR="00085B2F" w:rsidRPr="00A013E1">
        <w:rPr>
          <w:rFonts w:ascii="Times New Roman" w:hAnsi="Times New Roman" w:cs="Times New Roman"/>
          <w:lang w:val="ru-RU"/>
        </w:rPr>
        <w:t>Брой</w:t>
      </w:r>
      <w:r w:rsidRPr="00A013E1">
        <w:rPr>
          <w:rFonts w:ascii="Times New Roman" w:hAnsi="Times New Roman" w:cs="Times New Roman"/>
          <w:lang w:val="ru-RU"/>
        </w:rPr>
        <w:t xml:space="preserve">: </w:t>
      </w:r>
      <w:r w:rsidRPr="00A013E1">
        <w:rPr>
          <w:rFonts w:ascii="Times New Roman" w:hAnsi="Times New Roman" w:cs="Times New Roman"/>
          <w:lang w:val="ru-RU"/>
        </w:rPr>
        <w:tab/>
      </w:r>
    </w:p>
    <w:p w14:paraId="1C9335D0" w14:textId="77777777" w:rsidR="00271FA2" w:rsidRPr="00A013E1" w:rsidRDefault="00271FA2">
      <w:pPr>
        <w:tabs>
          <w:tab w:val="left" w:leader="dot" w:pos="9072"/>
        </w:tabs>
        <w:spacing w:line="240" w:lineRule="atLeast"/>
        <w:rPr>
          <w:rFonts w:ascii="Times New Roman" w:hAnsi="Times New Roman" w:cs="Times New Roman"/>
          <w:snapToGrid w:val="0"/>
          <w:lang w:val="ru-RU"/>
        </w:rPr>
      </w:pPr>
    </w:p>
    <w:tbl>
      <w:tblPr>
        <w:tblW w:w="0" w:type="auto"/>
        <w:tblLayout w:type="fixed"/>
        <w:tblCellMar>
          <w:left w:w="70" w:type="dxa"/>
          <w:right w:w="70" w:type="dxa"/>
        </w:tblCellMar>
        <w:tblLook w:val="04A0" w:firstRow="1" w:lastRow="0" w:firstColumn="1" w:lastColumn="0" w:noHBand="0" w:noVBand="1"/>
      </w:tblPr>
      <w:tblGrid>
        <w:gridCol w:w="1814"/>
        <w:gridCol w:w="1814"/>
        <w:gridCol w:w="1814"/>
        <w:gridCol w:w="1814"/>
        <w:gridCol w:w="1814"/>
      </w:tblGrid>
      <w:tr w:rsidR="00271FA2" w:rsidRPr="00A013E1" w14:paraId="48A06CAB" w14:textId="77777777">
        <w:trPr>
          <w:cantSplit/>
        </w:trPr>
        <w:tc>
          <w:tcPr>
            <w:tcW w:w="1814" w:type="dxa"/>
            <w:tcBorders>
              <w:bottom w:val="single" w:sz="6" w:space="0" w:color="auto"/>
              <w:right w:val="single" w:sz="6" w:space="0" w:color="auto"/>
            </w:tcBorders>
          </w:tcPr>
          <w:p w14:paraId="5684388A" w14:textId="0C129593" w:rsidR="00271FA2" w:rsidRPr="00A013E1" w:rsidRDefault="0078218A">
            <w:pPr>
              <w:spacing w:line="240" w:lineRule="atLeast"/>
              <w:jc w:val="center"/>
              <w:rPr>
                <w:rFonts w:ascii="Times New Roman" w:hAnsi="Times New Roman" w:cs="Times New Roman"/>
              </w:rPr>
            </w:pPr>
            <w:r w:rsidRPr="00A013E1">
              <w:rPr>
                <w:rFonts w:ascii="Times New Roman" w:hAnsi="Times New Roman" w:cs="Times New Roman"/>
              </w:rPr>
              <w:t>Пореден номер</w:t>
            </w:r>
          </w:p>
        </w:tc>
        <w:tc>
          <w:tcPr>
            <w:tcW w:w="1814" w:type="dxa"/>
            <w:tcBorders>
              <w:left w:val="single" w:sz="6" w:space="0" w:color="auto"/>
              <w:bottom w:val="single" w:sz="6" w:space="0" w:color="auto"/>
              <w:right w:val="single" w:sz="6" w:space="0" w:color="auto"/>
            </w:tcBorders>
          </w:tcPr>
          <w:p w14:paraId="2979E704"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Тип</w:t>
            </w:r>
          </w:p>
        </w:tc>
        <w:tc>
          <w:tcPr>
            <w:tcW w:w="1814" w:type="dxa"/>
            <w:tcBorders>
              <w:left w:val="single" w:sz="6" w:space="0" w:color="auto"/>
              <w:bottom w:val="single" w:sz="6" w:space="0" w:color="auto"/>
              <w:right w:val="single" w:sz="6" w:space="0" w:color="auto"/>
            </w:tcBorders>
          </w:tcPr>
          <w:p w14:paraId="44A058F9"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Производител</w:t>
            </w:r>
          </w:p>
        </w:tc>
        <w:tc>
          <w:tcPr>
            <w:tcW w:w="1814" w:type="dxa"/>
            <w:tcBorders>
              <w:left w:val="single" w:sz="6" w:space="0" w:color="auto"/>
              <w:bottom w:val="single" w:sz="6" w:space="0" w:color="auto"/>
              <w:right w:val="single" w:sz="6" w:space="0" w:color="auto"/>
            </w:tcBorders>
          </w:tcPr>
          <w:p w14:paraId="56821E19"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Номер на одобрението на типа</w:t>
            </w:r>
          </w:p>
        </w:tc>
        <w:tc>
          <w:tcPr>
            <w:tcW w:w="1814" w:type="dxa"/>
            <w:tcBorders>
              <w:left w:val="single" w:sz="6" w:space="0" w:color="auto"/>
              <w:bottom w:val="single" w:sz="6" w:space="0" w:color="auto"/>
            </w:tcBorders>
          </w:tcPr>
          <w:p w14:paraId="58C99686"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Сериен номер</w:t>
            </w:r>
          </w:p>
        </w:tc>
      </w:tr>
      <w:tr w:rsidR="00271FA2" w:rsidRPr="00A013E1" w14:paraId="6EEC318A" w14:textId="77777777">
        <w:trPr>
          <w:cantSplit/>
        </w:trPr>
        <w:tc>
          <w:tcPr>
            <w:tcW w:w="1814" w:type="dxa"/>
            <w:tcBorders>
              <w:top w:val="single" w:sz="6" w:space="0" w:color="auto"/>
              <w:right w:val="single" w:sz="6" w:space="0" w:color="auto"/>
            </w:tcBorders>
          </w:tcPr>
          <w:p w14:paraId="4D75BBBB"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right w:val="single" w:sz="6" w:space="0" w:color="auto"/>
            </w:tcBorders>
          </w:tcPr>
          <w:p w14:paraId="38AFC615"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right w:val="single" w:sz="6" w:space="0" w:color="auto"/>
            </w:tcBorders>
          </w:tcPr>
          <w:p w14:paraId="4A4EE29A"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right w:val="single" w:sz="6" w:space="0" w:color="auto"/>
            </w:tcBorders>
          </w:tcPr>
          <w:p w14:paraId="4F581904"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tcBorders>
          </w:tcPr>
          <w:p w14:paraId="01C49DF3"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r>
    </w:tbl>
    <w:p w14:paraId="76357929" w14:textId="77777777" w:rsidR="00271FA2" w:rsidRPr="00A013E1" w:rsidRDefault="00271FA2">
      <w:pPr>
        <w:tabs>
          <w:tab w:val="left" w:leader="dot" w:pos="9072"/>
        </w:tabs>
        <w:spacing w:line="240" w:lineRule="atLeast"/>
        <w:rPr>
          <w:rFonts w:ascii="Times New Roman" w:hAnsi="Times New Roman" w:cs="Times New Roman"/>
        </w:rPr>
      </w:pPr>
    </w:p>
    <w:p w14:paraId="7C761EBD" w14:textId="32EC6F53" w:rsidR="00271FA2" w:rsidRPr="00A013E1" w:rsidRDefault="00D35E51">
      <w:pPr>
        <w:tabs>
          <w:tab w:val="left" w:pos="284"/>
          <w:tab w:val="left" w:pos="5670"/>
          <w:tab w:val="left" w:leader="dot" w:pos="7655"/>
        </w:tabs>
        <w:overflowPunct w:val="0"/>
        <w:adjustRightInd w:val="0"/>
        <w:spacing w:line="240" w:lineRule="atLeast"/>
        <w:textAlignment w:val="baseline"/>
        <w:rPr>
          <w:rFonts w:ascii="Times New Roman" w:hAnsi="Times New Roman" w:cs="Times New Roman"/>
          <w:snapToGrid w:val="0"/>
          <w:lang w:val="ru-RU"/>
        </w:rPr>
      </w:pPr>
      <w:r w:rsidRPr="00A013E1">
        <w:rPr>
          <w:rFonts w:ascii="Times New Roman" w:hAnsi="Times New Roman" w:cs="Times New Roman"/>
          <w:b/>
          <w:snapToGrid w:val="0"/>
          <w:lang w:val="ru-RU"/>
        </w:rPr>
        <w:t>Индикатори на ъгловата скорост</w:t>
      </w:r>
      <w:r w:rsidR="001C38E2" w:rsidRPr="00A013E1">
        <w:rPr>
          <w:rFonts w:ascii="Times New Roman" w:hAnsi="Times New Roman" w:cs="Times New Roman"/>
          <w:b/>
          <w:snapToGrid w:val="0"/>
          <w:lang w:val="ru-RU"/>
        </w:rPr>
        <w:t xml:space="preserve"> </w:t>
      </w:r>
      <w:r w:rsidR="0078218A" w:rsidRPr="00A013E1">
        <w:rPr>
          <w:rFonts w:ascii="Times New Roman" w:hAnsi="Times New Roman" w:cs="Times New Roman"/>
          <w:b/>
          <w:snapToGrid w:val="0"/>
          <w:lang w:val="ru-RU"/>
        </w:rPr>
        <w:t>на завиване</w:t>
      </w:r>
      <w:r w:rsidRPr="00A013E1">
        <w:rPr>
          <w:rFonts w:ascii="Times New Roman" w:hAnsi="Times New Roman" w:cs="Times New Roman"/>
          <w:lang w:val="ru-RU"/>
        </w:rPr>
        <w:t>:</w:t>
      </w:r>
      <w:r w:rsidRPr="00A013E1">
        <w:rPr>
          <w:rFonts w:ascii="Times New Roman" w:hAnsi="Times New Roman" w:cs="Times New Roman"/>
          <w:lang w:val="ru-RU"/>
        </w:rPr>
        <w:tab/>
      </w:r>
      <w:r w:rsidR="00085B2F" w:rsidRPr="00A013E1">
        <w:rPr>
          <w:rFonts w:ascii="Times New Roman" w:hAnsi="Times New Roman" w:cs="Times New Roman"/>
          <w:lang w:val="ru-RU"/>
        </w:rPr>
        <w:t>Брой</w:t>
      </w:r>
      <w:r w:rsidRPr="00A013E1">
        <w:rPr>
          <w:rFonts w:ascii="Times New Roman" w:hAnsi="Times New Roman" w:cs="Times New Roman"/>
          <w:lang w:val="ru-RU"/>
        </w:rPr>
        <w:t xml:space="preserve">: </w:t>
      </w:r>
      <w:r w:rsidRPr="00A013E1">
        <w:rPr>
          <w:rFonts w:ascii="Times New Roman" w:hAnsi="Times New Roman" w:cs="Times New Roman"/>
          <w:lang w:val="ru-RU"/>
        </w:rPr>
        <w:tab/>
      </w:r>
    </w:p>
    <w:p w14:paraId="5A863ACF" w14:textId="77777777" w:rsidR="00271FA2" w:rsidRPr="00A013E1" w:rsidRDefault="00271FA2">
      <w:pPr>
        <w:tabs>
          <w:tab w:val="left" w:leader="dot" w:pos="9072"/>
        </w:tabs>
        <w:spacing w:line="240" w:lineRule="atLeast"/>
        <w:rPr>
          <w:rFonts w:ascii="Times New Roman" w:hAnsi="Times New Roman" w:cs="Times New Roman"/>
          <w:snapToGrid w:val="0"/>
          <w:lang w:val="ru-RU"/>
        </w:rPr>
      </w:pPr>
    </w:p>
    <w:tbl>
      <w:tblPr>
        <w:tblW w:w="0" w:type="auto"/>
        <w:tblLayout w:type="fixed"/>
        <w:tblCellMar>
          <w:left w:w="70" w:type="dxa"/>
          <w:right w:w="70" w:type="dxa"/>
        </w:tblCellMar>
        <w:tblLook w:val="04A0" w:firstRow="1" w:lastRow="0" w:firstColumn="1" w:lastColumn="0" w:noHBand="0" w:noVBand="1"/>
      </w:tblPr>
      <w:tblGrid>
        <w:gridCol w:w="1814"/>
        <w:gridCol w:w="1814"/>
        <w:gridCol w:w="1814"/>
        <w:gridCol w:w="1814"/>
        <w:gridCol w:w="1814"/>
      </w:tblGrid>
      <w:tr w:rsidR="00271FA2" w:rsidRPr="00A013E1" w14:paraId="6EBE3695" w14:textId="77777777">
        <w:trPr>
          <w:cantSplit/>
        </w:trPr>
        <w:tc>
          <w:tcPr>
            <w:tcW w:w="1814" w:type="dxa"/>
            <w:tcBorders>
              <w:bottom w:val="single" w:sz="6" w:space="0" w:color="auto"/>
              <w:right w:val="single" w:sz="6" w:space="0" w:color="auto"/>
            </w:tcBorders>
          </w:tcPr>
          <w:p w14:paraId="6A8B04AB" w14:textId="33779A4C" w:rsidR="00271FA2" w:rsidRPr="00A013E1" w:rsidRDefault="0078218A">
            <w:pPr>
              <w:spacing w:line="240" w:lineRule="atLeast"/>
              <w:jc w:val="center"/>
              <w:rPr>
                <w:rFonts w:ascii="Times New Roman" w:hAnsi="Times New Roman" w:cs="Times New Roman"/>
              </w:rPr>
            </w:pPr>
            <w:r w:rsidRPr="00A013E1">
              <w:rPr>
                <w:rFonts w:ascii="Times New Roman" w:hAnsi="Times New Roman" w:cs="Times New Roman"/>
              </w:rPr>
              <w:t>Пореден номер</w:t>
            </w:r>
          </w:p>
        </w:tc>
        <w:tc>
          <w:tcPr>
            <w:tcW w:w="1814" w:type="dxa"/>
            <w:tcBorders>
              <w:left w:val="single" w:sz="6" w:space="0" w:color="auto"/>
              <w:bottom w:val="single" w:sz="6" w:space="0" w:color="auto"/>
              <w:right w:val="single" w:sz="6" w:space="0" w:color="auto"/>
            </w:tcBorders>
          </w:tcPr>
          <w:p w14:paraId="723EFC6B"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Тип</w:t>
            </w:r>
          </w:p>
        </w:tc>
        <w:tc>
          <w:tcPr>
            <w:tcW w:w="1814" w:type="dxa"/>
            <w:tcBorders>
              <w:left w:val="single" w:sz="6" w:space="0" w:color="auto"/>
              <w:bottom w:val="single" w:sz="6" w:space="0" w:color="auto"/>
              <w:right w:val="single" w:sz="6" w:space="0" w:color="auto"/>
            </w:tcBorders>
          </w:tcPr>
          <w:p w14:paraId="75668F14"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Производител</w:t>
            </w:r>
          </w:p>
        </w:tc>
        <w:tc>
          <w:tcPr>
            <w:tcW w:w="1814" w:type="dxa"/>
            <w:tcBorders>
              <w:left w:val="single" w:sz="6" w:space="0" w:color="auto"/>
              <w:bottom w:val="single" w:sz="6" w:space="0" w:color="auto"/>
              <w:right w:val="single" w:sz="6" w:space="0" w:color="auto"/>
            </w:tcBorders>
          </w:tcPr>
          <w:p w14:paraId="7A8BD5FE"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Номер на одобрението на типа</w:t>
            </w:r>
          </w:p>
        </w:tc>
        <w:tc>
          <w:tcPr>
            <w:tcW w:w="1814" w:type="dxa"/>
            <w:tcBorders>
              <w:left w:val="single" w:sz="6" w:space="0" w:color="auto"/>
              <w:bottom w:val="single" w:sz="6" w:space="0" w:color="auto"/>
            </w:tcBorders>
          </w:tcPr>
          <w:p w14:paraId="619D687C"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Сериен номер</w:t>
            </w:r>
          </w:p>
        </w:tc>
      </w:tr>
      <w:tr w:rsidR="00271FA2" w:rsidRPr="00A013E1" w14:paraId="11DF6268" w14:textId="77777777">
        <w:trPr>
          <w:cantSplit/>
        </w:trPr>
        <w:tc>
          <w:tcPr>
            <w:tcW w:w="1814" w:type="dxa"/>
            <w:tcBorders>
              <w:top w:val="single" w:sz="6" w:space="0" w:color="auto"/>
              <w:right w:val="single" w:sz="6" w:space="0" w:color="auto"/>
            </w:tcBorders>
          </w:tcPr>
          <w:p w14:paraId="1240F4A8"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right w:val="single" w:sz="6" w:space="0" w:color="auto"/>
            </w:tcBorders>
          </w:tcPr>
          <w:p w14:paraId="60F694B1"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right w:val="single" w:sz="6" w:space="0" w:color="auto"/>
            </w:tcBorders>
          </w:tcPr>
          <w:p w14:paraId="6EB324F6"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right w:val="single" w:sz="6" w:space="0" w:color="auto"/>
            </w:tcBorders>
          </w:tcPr>
          <w:p w14:paraId="699DE953"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tcBorders>
          </w:tcPr>
          <w:p w14:paraId="6A0D0E02"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r>
    </w:tbl>
    <w:p w14:paraId="41CEF70A" w14:textId="77777777" w:rsidR="00271FA2" w:rsidRPr="00A013E1" w:rsidRDefault="00271FA2">
      <w:pPr>
        <w:tabs>
          <w:tab w:val="left" w:leader="dot" w:pos="9072"/>
        </w:tabs>
        <w:spacing w:line="240" w:lineRule="atLeast"/>
        <w:rPr>
          <w:rFonts w:ascii="Times New Roman" w:hAnsi="Times New Roman" w:cs="Times New Roman"/>
          <w:snapToGrid w:val="0"/>
        </w:rPr>
      </w:pPr>
    </w:p>
    <w:p w14:paraId="3BE80A82" w14:textId="77777777" w:rsidR="00271FA2" w:rsidRPr="00A013E1" w:rsidRDefault="00D35E51">
      <w:pPr>
        <w:tabs>
          <w:tab w:val="left" w:pos="284"/>
          <w:tab w:val="left" w:pos="5670"/>
          <w:tab w:val="left" w:leader="dot" w:pos="7655"/>
        </w:tabs>
        <w:overflowPunct w:val="0"/>
        <w:adjustRightInd w:val="0"/>
        <w:spacing w:line="240" w:lineRule="atLeast"/>
        <w:textAlignment w:val="baseline"/>
        <w:rPr>
          <w:rFonts w:ascii="Times New Roman" w:hAnsi="Times New Roman" w:cs="Times New Roman"/>
          <w:snapToGrid w:val="0"/>
          <w:color w:val="000000"/>
          <w:lang w:val="ru-RU"/>
        </w:rPr>
      </w:pPr>
      <w:r w:rsidRPr="00A013E1">
        <w:rPr>
          <w:rFonts w:ascii="Times New Roman" w:hAnsi="Times New Roman" w:cs="Times New Roman"/>
          <w:b/>
          <w:snapToGrid w:val="0"/>
          <w:color w:val="000000"/>
          <w:lang w:val="ru-RU"/>
        </w:rPr>
        <w:t xml:space="preserve">Оборудване за </w:t>
      </w:r>
      <w:r w:rsidRPr="00A013E1">
        <w:rPr>
          <w:rFonts w:ascii="Times New Roman" w:hAnsi="Times New Roman" w:cs="Times New Roman"/>
          <w:b/>
          <w:snapToGrid w:val="0"/>
          <w:color w:val="000000"/>
        </w:rPr>
        <w:t>AIS</w:t>
      </w:r>
      <w:r w:rsidRPr="00A013E1">
        <w:rPr>
          <w:rFonts w:ascii="Times New Roman" w:hAnsi="Times New Roman" w:cs="Times New Roman"/>
          <w:b/>
          <w:snapToGrid w:val="0"/>
          <w:color w:val="000000"/>
          <w:lang w:val="ru-RU"/>
        </w:rPr>
        <w:t xml:space="preserve"> за вътрешно корабоплаване:</w:t>
      </w:r>
    </w:p>
    <w:p w14:paraId="4FE7E8D4" w14:textId="77777777" w:rsidR="00271FA2" w:rsidRPr="00A013E1" w:rsidRDefault="00271FA2">
      <w:pPr>
        <w:tabs>
          <w:tab w:val="left" w:pos="284"/>
        </w:tabs>
        <w:overflowPunct w:val="0"/>
        <w:adjustRightInd w:val="0"/>
        <w:spacing w:line="240" w:lineRule="atLeast"/>
        <w:textAlignment w:val="baseline"/>
        <w:rPr>
          <w:rFonts w:ascii="Times New Roman" w:hAnsi="Times New Roman" w:cs="Times New Roman"/>
          <w:snapToGrid w:val="0"/>
          <w:color w:val="000000"/>
          <w:lang w:val="ru-RU"/>
        </w:rPr>
      </w:pPr>
    </w:p>
    <w:tbl>
      <w:tblPr>
        <w:tblW w:w="0" w:type="auto"/>
        <w:tblLayout w:type="fixed"/>
        <w:tblCellMar>
          <w:left w:w="70" w:type="dxa"/>
          <w:right w:w="70" w:type="dxa"/>
        </w:tblCellMar>
        <w:tblLook w:val="04A0" w:firstRow="1" w:lastRow="0" w:firstColumn="1" w:lastColumn="0" w:noHBand="0" w:noVBand="1"/>
      </w:tblPr>
      <w:tblGrid>
        <w:gridCol w:w="1814"/>
        <w:gridCol w:w="1814"/>
        <w:gridCol w:w="1814"/>
        <w:gridCol w:w="1814"/>
        <w:gridCol w:w="1814"/>
      </w:tblGrid>
      <w:tr w:rsidR="00271FA2" w:rsidRPr="00A013E1" w14:paraId="00A65B90" w14:textId="77777777">
        <w:trPr>
          <w:cantSplit/>
        </w:trPr>
        <w:tc>
          <w:tcPr>
            <w:tcW w:w="1814" w:type="dxa"/>
            <w:tcBorders>
              <w:bottom w:val="single" w:sz="6" w:space="0" w:color="auto"/>
              <w:right w:val="single" w:sz="6" w:space="0" w:color="auto"/>
            </w:tcBorders>
          </w:tcPr>
          <w:p w14:paraId="0EDBF16C" w14:textId="0E67129B" w:rsidR="00271FA2" w:rsidRPr="00A013E1" w:rsidRDefault="0078218A">
            <w:pPr>
              <w:spacing w:line="240" w:lineRule="atLeast"/>
              <w:jc w:val="center"/>
              <w:rPr>
                <w:rFonts w:ascii="Times New Roman" w:hAnsi="Times New Roman" w:cs="Times New Roman"/>
              </w:rPr>
            </w:pPr>
            <w:r w:rsidRPr="00A013E1">
              <w:rPr>
                <w:rFonts w:ascii="Times New Roman" w:hAnsi="Times New Roman" w:cs="Times New Roman"/>
              </w:rPr>
              <w:t>Пореден номер</w:t>
            </w:r>
          </w:p>
        </w:tc>
        <w:tc>
          <w:tcPr>
            <w:tcW w:w="1814" w:type="dxa"/>
            <w:tcBorders>
              <w:left w:val="single" w:sz="6" w:space="0" w:color="auto"/>
              <w:bottom w:val="single" w:sz="6" w:space="0" w:color="auto"/>
              <w:right w:val="single" w:sz="6" w:space="0" w:color="auto"/>
            </w:tcBorders>
          </w:tcPr>
          <w:p w14:paraId="26C97EFF"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Тип</w:t>
            </w:r>
          </w:p>
        </w:tc>
        <w:tc>
          <w:tcPr>
            <w:tcW w:w="1814" w:type="dxa"/>
            <w:tcBorders>
              <w:left w:val="single" w:sz="6" w:space="0" w:color="auto"/>
              <w:bottom w:val="single" w:sz="6" w:space="0" w:color="auto"/>
              <w:right w:val="single" w:sz="6" w:space="0" w:color="auto"/>
            </w:tcBorders>
          </w:tcPr>
          <w:p w14:paraId="1B19D069"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Производител</w:t>
            </w:r>
          </w:p>
        </w:tc>
        <w:tc>
          <w:tcPr>
            <w:tcW w:w="1814" w:type="dxa"/>
            <w:tcBorders>
              <w:left w:val="single" w:sz="6" w:space="0" w:color="auto"/>
              <w:bottom w:val="single" w:sz="6" w:space="0" w:color="auto"/>
              <w:right w:val="single" w:sz="6" w:space="0" w:color="auto"/>
            </w:tcBorders>
          </w:tcPr>
          <w:p w14:paraId="485D0278"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Номер на одобрението на типа</w:t>
            </w:r>
          </w:p>
        </w:tc>
        <w:tc>
          <w:tcPr>
            <w:tcW w:w="1814" w:type="dxa"/>
            <w:tcBorders>
              <w:left w:val="single" w:sz="6" w:space="0" w:color="auto"/>
              <w:bottom w:val="single" w:sz="6" w:space="0" w:color="auto"/>
            </w:tcBorders>
          </w:tcPr>
          <w:p w14:paraId="33348385"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Сериен номер</w:t>
            </w:r>
          </w:p>
        </w:tc>
      </w:tr>
      <w:tr w:rsidR="00271FA2" w:rsidRPr="00A013E1" w14:paraId="2865ADEB" w14:textId="77777777">
        <w:trPr>
          <w:cantSplit/>
        </w:trPr>
        <w:tc>
          <w:tcPr>
            <w:tcW w:w="1814" w:type="dxa"/>
            <w:tcBorders>
              <w:top w:val="single" w:sz="6" w:space="0" w:color="auto"/>
              <w:right w:val="single" w:sz="6" w:space="0" w:color="auto"/>
            </w:tcBorders>
          </w:tcPr>
          <w:p w14:paraId="0913596A"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right w:val="single" w:sz="6" w:space="0" w:color="auto"/>
            </w:tcBorders>
          </w:tcPr>
          <w:p w14:paraId="4659F088"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right w:val="single" w:sz="6" w:space="0" w:color="auto"/>
            </w:tcBorders>
          </w:tcPr>
          <w:p w14:paraId="036D5927"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right w:val="single" w:sz="6" w:space="0" w:color="auto"/>
            </w:tcBorders>
          </w:tcPr>
          <w:p w14:paraId="1501F0C2"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c>
          <w:tcPr>
            <w:tcW w:w="1814" w:type="dxa"/>
            <w:tcBorders>
              <w:top w:val="single" w:sz="6" w:space="0" w:color="auto"/>
              <w:left w:val="single" w:sz="6" w:space="0" w:color="auto"/>
            </w:tcBorders>
          </w:tcPr>
          <w:p w14:paraId="067DEFD0" w14:textId="77777777" w:rsidR="00271FA2" w:rsidRPr="00A013E1" w:rsidRDefault="00271FA2">
            <w:pPr>
              <w:tabs>
                <w:tab w:val="left" w:pos="284"/>
              </w:tabs>
              <w:overflowPunct w:val="0"/>
              <w:adjustRightInd w:val="0"/>
              <w:spacing w:line="240" w:lineRule="atLeast"/>
              <w:ind w:hanging="397"/>
              <w:jc w:val="center"/>
              <w:textAlignment w:val="baseline"/>
              <w:rPr>
                <w:rFonts w:ascii="Times New Roman" w:hAnsi="Times New Roman" w:cs="Times New Roman"/>
                <w:snapToGrid w:val="0"/>
              </w:rPr>
            </w:pPr>
          </w:p>
        </w:tc>
      </w:tr>
    </w:tbl>
    <w:p w14:paraId="5FCDE26A" w14:textId="77777777" w:rsidR="00271FA2" w:rsidRPr="00A013E1" w:rsidRDefault="00271FA2">
      <w:pPr>
        <w:tabs>
          <w:tab w:val="left" w:pos="284"/>
        </w:tabs>
        <w:overflowPunct w:val="0"/>
        <w:adjustRightInd w:val="0"/>
        <w:spacing w:line="240" w:lineRule="atLeast"/>
        <w:textAlignment w:val="baseline"/>
        <w:rPr>
          <w:rFonts w:ascii="Times New Roman" w:hAnsi="Times New Roman" w:cs="Times New Roman"/>
          <w:snapToGrid w:val="0"/>
          <w:color w:val="000000"/>
        </w:rPr>
      </w:pPr>
    </w:p>
    <w:p w14:paraId="7873F8BC" w14:textId="77777777" w:rsidR="00271FA2" w:rsidRPr="00A013E1" w:rsidRDefault="00D35E51">
      <w:pPr>
        <w:tabs>
          <w:tab w:val="left" w:leader="dot" w:pos="9072"/>
        </w:tabs>
        <w:spacing w:line="240" w:lineRule="atLeast"/>
        <w:rPr>
          <w:rFonts w:ascii="Times New Roman" w:hAnsi="Times New Roman" w:cs="Times New Roman"/>
        </w:rPr>
      </w:pPr>
      <w:r w:rsidRPr="00A013E1">
        <w:rPr>
          <w:rFonts w:ascii="Times New Roman" w:hAnsi="Times New Roman" w:cs="Times New Roman"/>
          <w:b/>
        </w:rPr>
        <w:t>Тахографи</w:t>
      </w:r>
    </w:p>
    <w:p w14:paraId="141A4AA5" w14:textId="77777777" w:rsidR="00271FA2" w:rsidRPr="00A013E1" w:rsidRDefault="00D35E51">
      <w:pPr>
        <w:tabs>
          <w:tab w:val="left" w:leader="dot" w:pos="9072"/>
        </w:tabs>
        <w:spacing w:line="240" w:lineRule="atLeast"/>
        <w:rPr>
          <w:rFonts w:ascii="Times New Roman" w:hAnsi="Times New Roman" w:cs="Times New Roman"/>
        </w:rPr>
      </w:pPr>
      <w:r w:rsidRPr="00A013E1">
        <w:rPr>
          <w:rFonts w:ascii="Times New Roman" w:hAnsi="Times New Roman" w:cs="Times New Roman"/>
        </w:rPr>
        <w:t>…</w:t>
      </w:r>
    </w:p>
    <w:p w14:paraId="4FAE69A4" w14:textId="20C87544" w:rsidR="00271FA2" w:rsidRPr="00A013E1" w:rsidRDefault="00D35E51" w:rsidP="00E51691">
      <w:pPr>
        <w:spacing w:line="240" w:lineRule="atLeast"/>
        <w:jc w:val="both"/>
        <w:rPr>
          <w:rFonts w:ascii="Times New Roman" w:hAnsi="Times New Roman" w:cs="Times New Roman"/>
          <w:lang w:val="ru-RU"/>
        </w:rPr>
      </w:pPr>
      <w:r w:rsidRPr="00A013E1">
        <w:rPr>
          <w:rFonts w:ascii="Times New Roman" w:hAnsi="Times New Roman" w:cs="Times New Roman"/>
          <w:lang w:val="ru-RU"/>
        </w:rPr>
        <w:t>С настоящото се удостоверява, че навигационното радиолокационно оборудване, индикаторите на ъгловата скорост</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и оборудването за </w:t>
      </w:r>
      <w:r w:rsidRPr="00A013E1">
        <w:rPr>
          <w:rFonts w:ascii="Times New Roman" w:hAnsi="Times New Roman" w:cs="Times New Roman"/>
        </w:rPr>
        <w:t>AIS</w:t>
      </w:r>
      <w:r w:rsidRPr="00A013E1">
        <w:rPr>
          <w:rFonts w:ascii="Times New Roman" w:hAnsi="Times New Roman" w:cs="Times New Roman"/>
          <w:lang w:val="ru-RU"/>
        </w:rPr>
        <w:t xml:space="preserve"> за вътрешно корабоплаване на плавателния съд, посочени по-горе, са в съответствие с изискванията на Приложение 5 към Европейския стандарт за определяне на технически изисквания за плавателните съдове за вътрешно корабоплаване (</w:t>
      </w:r>
      <w:r w:rsidRPr="00A013E1">
        <w:rPr>
          <w:rFonts w:ascii="Times New Roman" w:hAnsi="Times New Roman" w:cs="Times New Roman"/>
        </w:rPr>
        <w:t>ES</w:t>
      </w:r>
      <w:r w:rsidRPr="00A013E1">
        <w:rPr>
          <w:rFonts w:ascii="Times New Roman" w:hAnsi="Times New Roman" w:cs="Times New Roman"/>
          <w:lang w:val="ru-RU"/>
        </w:rPr>
        <w:t>-</w:t>
      </w:r>
      <w:r w:rsidRPr="00A013E1">
        <w:rPr>
          <w:rFonts w:ascii="Times New Roman" w:hAnsi="Times New Roman" w:cs="Times New Roman"/>
        </w:rPr>
        <w:t>TRIN</w:t>
      </w:r>
      <w:r w:rsidRPr="00A013E1">
        <w:rPr>
          <w:rFonts w:ascii="Times New Roman" w:hAnsi="Times New Roman" w:cs="Times New Roman"/>
          <w:lang w:val="ru-RU"/>
        </w:rPr>
        <w:t xml:space="preserve">) по отношение на монтажа и изпитванията на показателите на навигационно радиолокационно </w:t>
      </w:r>
      <w:r w:rsidRPr="00A013E1">
        <w:rPr>
          <w:rFonts w:ascii="Times New Roman" w:hAnsi="Times New Roman" w:cs="Times New Roman"/>
          <w:lang w:val="ru-RU"/>
        </w:rPr>
        <w:lastRenderedPageBreak/>
        <w:t>оборудване, индикатори на ъгловата скорост</w:t>
      </w:r>
      <w:r w:rsidR="00DC3351" w:rsidRPr="00A013E1">
        <w:rPr>
          <w:rFonts w:ascii="Times New Roman" w:hAnsi="Times New Roman" w:cs="Times New Roman"/>
          <w:lang w:val="ru-RU"/>
        </w:rPr>
        <w:t xml:space="preserve"> </w:t>
      </w:r>
      <w:r w:rsidR="0078218A" w:rsidRPr="00A013E1">
        <w:rPr>
          <w:rFonts w:ascii="Times New Roman" w:hAnsi="Times New Roman" w:cs="Times New Roman"/>
          <w:lang w:val="ru-RU"/>
        </w:rPr>
        <w:t>на завиване</w:t>
      </w:r>
      <w:r w:rsidRPr="00A013E1">
        <w:rPr>
          <w:rFonts w:ascii="Times New Roman" w:hAnsi="Times New Roman" w:cs="Times New Roman"/>
          <w:lang w:val="ru-RU"/>
        </w:rPr>
        <w:t xml:space="preserve"> и оборудване за </w:t>
      </w:r>
      <w:r w:rsidRPr="00A013E1">
        <w:rPr>
          <w:rFonts w:ascii="Times New Roman" w:hAnsi="Times New Roman" w:cs="Times New Roman"/>
        </w:rPr>
        <w:t>AIS</w:t>
      </w:r>
      <w:r w:rsidRPr="00A013E1">
        <w:rPr>
          <w:rFonts w:ascii="Times New Roman" w:hAnsi="Times New Roman" w:cs="Times New Roman"/>
          <w:lang w:val="ru-RU"/>
        </w:rPr>
        <w:t xml:space="preserve"> за вътрешно корабоплаване </w:t>
      </w:r>
    </w:p>
    <w:p w14:paraId="7117A047" w14:textId="77777777" w:rsidR="00271FA2" w:rsidRPr="00A013E1" w:rsidRDefault="00271FA2">
      <w:pPr>
        <w:tabs>
          <w:tab w:val="left" w:leader="dot" w:pos="9072"/>
        </w:tabs>
        <w:spacing w:line="240" w:lineRule="atLeast"/>
        <w:rPr>
          <w:rFonts w:ascii="Times New Roman" w:hAnsi="Times New Roman" w:cs="Times New Roman"/>
          <w:lang w:val="ru-RU"/>
        </w:rPr>
      </w:pPr>
    </w:p>
    <w:p w14:paraId="326CAC9E" w14:textId="77777777" w:rsidR="00271FA2" w:rsidRPr="00A013E1" w:rsidRDefault="00D35E51">
      <w:pPr>
        <w:tabs>
          <w:tab w:val="left" w:pos="284"/>
          <w:tab w:val="left" w:pos="5670"/>
        </w:tabs>
        <w:overflowPunct w:val="0"/>
        <w:adjustRightInd w:val="0"/>
        <w:spacing w:line="240" w:lineRule="atLeast"/>
        <w:textAlignment w:val="baseline"/>
        <w:rPr>
          <w:rFonts w:ascii="Times New Roman" w:hAnsi="Times New Roman" w:cs="Times New Roman"/>
          <w:b/>
          <w:snapToGrid w:val="0"/>
          <w:color w:val="000000"/>
          <w:lang w:val="ru-RU"/>
        </w:rPr>
      </w:pPr>
      <w:r w:rsidRPr="00A013E1">
        <w:rPr>
          <w:rFonts w:ascii="Times New Roman" w:hAnsi="Times New Roman" w:cs="Times New Roman"/>
          <w:b/>
          <w:snapToGrid w:val="0"/>
          <w:color w:val="000000"/>
          <w:lang w:val="ru-RU"/>
        </w:rPr>
        <w:t>Одобрена специализирана фирма</w:t>
      </w:r>
    </w:p>
    <w:p w14:paraId="0E2707BD" w14:textId="77777777" w:rsidR="00271FA2" w:rsidRPr="00A013E1" w:rsidRDefault="00D35E51">
      <w:pPr>
        <w:tabs>
          <w:tab w:val="left" w:leader="dot" w:pos="5103"/>
        </w:tabs>
        <w:overflowPunct w:val="0"/>
        <w:adjustRightInd w:val="0"/>
        <w:spacing w:line="240" w:lineRule="atLeast"/>
        <w:textAlignment w:val="baseline"/>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 xml:space="preserve">Име: </w:t>
      </w:r>
      <w:r w:rsidRPr="00A013E1">
        <w:rPr>
          <w:rFonts w:ascii="Times New Roman" w:hAnsi="Times New Roman" w:cs="Times New Roman"/>
          <w:lang w:val="ru-RU"/>
        </w:rPr>
        <w:tab/>
      </w:r>
    </w:p>
    <w:p w14:paraId="0A608513" w14:textId="77777777" w:rsidR="00271FA2" w:rsidRPr="00A013E1" w:rsidRDefault="00D35E51">
      <w:pPr>
        <w:tabs>
          <w:tab w:val="left" w:leader="dot" w:pos="9072"/>
        </w:tabs>
        <w:overflowPunct w:val="0"/>
        <w:adjustRightInd w:val="0"/>
        <w:spacing w:line="240" w:lineRule="atLeast"/>
        <w:textAlignment w:val="baseline"/>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 xml:space="preserve">Адрес: </w:t>
      </w:r>
      <w:r w:rsidRPr="00A013E1">
        <w:rPr>
          <w:rFonts w:ascii="Times New Roman" w:hAnsi="Times New Roman" w:cs="Times New Roman"/>
          <w:lang w:val="ru-RU"/>
        </w:rPr>
        <w:tab/>
      </w:r>
    </w:p>
    <w:p w14:paraId="33DDF236" w14:textId="77777777" w:rsidR="00271FA2" w:rsidRPr="00A013E1" w:rsidRDefault="00D35E51">
      <w:pPr>
        <w:tabs>
          <w:tab w:val="left" w:leader="dot" w:pos="3402"/>
        </w:tabs>
        <w:overflowPunct w:val="0"/>
        <w:adjustRightInd w:val="0"/>
        <w:spacing w:line="240" w:lineRule="atLeast"/>
        <w:textAlignment w:val="baseline"/>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 xml:space="preserve">Телефон: </w:t>
      </w:r>
      <w:r w:rsidRPr="00A013E1">
        <w:rPr>
          <w:rFonts w:ascii="Times New Roman" w:hAnsi="Times New Roman" w:cs="Times New Roman"/>
          <w:lang w:val="ru-RU"/>
        </w:rPr>
        <w:tab/>
      </w:r>
    </w:p>
    <w:p w14:paraId="64A1BFF5" w14:textId="77777777" w:rsidR="00271FA2" w:rsidRPr="00A013E1" w:rsidRDefault="00271FA2">
      <w:pPr>
        <w:tabs>
          <w:tab w:val="left" w:pos="284"/>
        </w:tabs>
        <w:overflowPunct w:val="0"/>
        <w:adjustRightInd w:val="0"/>
        <w:spacing w:line="240" w:lineRule="atLeast"/>
        <w:textAlignment w:val="baseline"/>
        <w:rPr>
          <w:rFonts w:ascii="Times New Roman" w:hAnsi="Times New Roman" w:cs="Times New Roman"/>
          <w:snapToGrid w:val="0"/>
          <w:color w:val="000000"/>
          <w:lang w:val="ru-RU"/>
        </w:rPr>
      </w:pPr>
    </w:p>
    <w:p w14:paraId="2C4DF8A4" w14:textId="77777777" w:rsidR="00271FA2" w:rsidRPr="00A013E1" w:rsidRDefault="00D35E51">
      <w:pPr>
        <w:tabs>
          <w:tab w:val="center" w:pos="1134"/>
          <w:tab w:val="left" w:pos="3969"/>
          <w:tab w:val="left" w:leader="dot" w:pos="6237"/>
          <w:tab w:val="left" w:pos="6521"/>
          <w:tab w:val="left" w:leader="dot" w:pos="9072"/>
        </w:tabs>
        <w:overflowPunct w:val="0"/>
        <w:adjustRightInd w:val="0"/>
        <w:spacing w:line="240" w:lineRule="atLeast"/>
        <w:textAlignment w:val="baseline"/>
        <w:rPr>
          <w:rFonts w:ascii="Times New Roman" w:hAnsi="Times New Roman" w:cs="Times New Roman"/>
          <w:snapToGrid w:val="0"/>
          <w:color w:val="000000"/>
          <w:lang w:val="ru-RU"/>
        </w:rPr>
      </w:pPr>
      <w:r w:rsidRPr="00A013E1">
        <w:rPr>
          <w:rFonts w:ascii="Times New Roman" w:hAnsi="Times New Roman" w:cs="Times New Roman"/>
          <w:lang w:val="ru-RU"/>
        </w:rPr>
        <w:tab/>
      </w:r>
      <w:r w:rsidRPr="00A013E1">
        <w:rPr>
          <w:rFonts w:ascii="Times New Roman" w:hAnsi="Times New Roman" w:cs="Times New Roman"/>
          <w:snapToGrid w:val="0"/>
          <w:color w:val="000000"/>
          <w:lang w:val="ru-RU"/>
        </w:rPr>
        <w:t>Печат</w:t>
      </w:r>
      <w:r w:rsidRPr="00A013E1">
        <w:rPr>
          <w:rFonts w:ascii="Times New Roman" w:hAnsi="Times New Roman" w:cs="Times New Roman"/>
          <w:lang w:val="ru-RU"/>
        </w:rPr>
        <w:tab/>
      </w:r>
      <w:r w:rsidRPr="00A013E1">
        <w:rPr>
          <w:rFonts w:ascii="Times New Roman" w:hAnsi="Times New Roman" w:cs="Times New Roman"/>
          <w:snapToGrid w:val="0"/>
          <w:color w:val="000000"/>
          <w:lang w:val="ru-RU"/>
        </w:rPr>
        <w:t xml:space="preserve">Място </w:t>
      </w:r>
      <w:r w:rsidRPr="00A013E1">
        <w:rPr>
          <w:rFonts w:ascii="Times New Roman" w:hAnsi="Times New Roman" w:cs="Times New Roman"/>
          <w:lang w:val="ru-RU"/>
        </w:rPr>
        <w:tab/>
      </w:r>
      <w:r w:rsidRPr="00A013E1">
        <w:rPr>
          <w:rFonts w:ascii="Times New Roman" w:hAnsi="Times New Roman" w:cs="Times New Roman"/>
          <w:snapToGrid w:val="0"/>
          <w:color w:val="000000"/>
          <w:lang w:val="ru-RU"/>
        </w:rPr>
        <w:t xml:space="preserve"> </w:t>
      </w:r>
      <w:r w:rsidRPr="00A013E1">
        <w:rPr>
          <w:rFonts w:ascii="Times New Roman" w:hAnsi="Times New Roman" w:cs="Times New Roman"/>
          <w:lang w:val="ru-RU"/>
        </w:rPr>
        <w:tab/>
      </w:r>
      <w:r w:rsidRPr="00A013E1">
        <w:rPr>
          <w:rFonts w:ascii="Times New Roman" w:hAnsi="Times New Roman" w:cs="Times New Roman"/>
          <w:snapToGrid w:val="0"/>
          <w:color w:val="000000"/>
          <w:lang w:val="ru-RU"/>
        </w:rPr>
        <w:t xml:space="preserve">Дата </w:t>
      </w:r>
      <w:r w:rsidRPr="00A013E1">
        <w:rPr>
          <w:rFonts w:ascii="Times New Roman" w:hAnsi="Times New Roman" w:cs="Times New Roman"/>
          <w:lang w:val="ru-RU"/>
        </w:rPr>
        <w:tab/>
      </w:r>
    </w:p>
    <w:p w14:paraId="46486EDD" w14:textId="77777777" w:rsidR="00271FA2" w:rsidRPr="00A013E1" w:rsidRDefault="00D35E51">
      <w:pPr>
        <w:tabs>
          <w:tab w:val="center" w:pos="1134"/>
          <w:tab w:val="left" w:pos="6521"/>
        </w:tabs>
        <w:overflowPunct w:val="0"/>
        <w:adjustRightInd w:val="0"/>
        <w:spacing w:line="240" w:lineRule="atLeast"/>
        <w:textAlignment w:val="baseline"/>
        <w:rPr>
          <w:rFonts w:ascii="Times New Roman" w:hAnsi="Times New Roman" w:cs="Times New Roman"/>
          <w:snapToGrid w:val="0"/>
          <w:color w:val="000000"/>
          <w:lang w:val="ru-RU"/>
        </w:rPr>
      </w:pPr>
      <w:r w:rsidRPr="00A013E1">
        <w:rPr>
          <w:rFonts w:ascii="Times New Roman" w:hAnsi="Times New Roman" w:cs="Times New Roman"/>
          <w:lang w:val="ru-RU"/>
        </w:rPr>
        <w:tab/>
      </w:r>
      <w:r w:rsidRPr="00A013E1">
        <w:rPr>
          <w:rFonts w:ascii="Times New Roman" w:hAnsi="Times New Roman" w:cs="Times New Roman"/>
          <w:snapToGrid w:val="0"/>
          <w:color w:val="000000"/>
          <w:lang w:val="ru-RU"/>
        </w:rPr>
        <w:t>Подпис</w:t>
      </w:r>
    </w:p>
    <w:p w14:paraId="63D1F278" w14:textId="77777777" w:rsidR="00271FA2" w:rsidRPr="00A013E1" w:rsidRDefault="00271FA2">
      <w:pPr>
        <w:tabs>
          <w:tab w:val="left" w:pos="284"/>
          <w:tab w:val="left" w:pos="4536"/>
          <w:tab w:val="left" w:pos="6521"/>
        </w:tabs>
        <w:overflowPunct w:val="0"/>
        <w:adjustRightInd w:val="0"/>
        <w:spacing w:line="240" w:lineRule="atLeast"/>
        <w:textAlignment w:val="baseline"/>
        <w:rPr>
          <w:rFonts w:ascii="Times New Roman" w:hAnsi="Times New Roman" w:cs="Times New Roman"/>
          <w:snapToGrid w:val="0"/>
          <w:color w:val="000000"/>
          <w:lang w:val="ru-RU"/>
        </w:rPr>
      </w:pPr>
    </w:p>
    <w:p w14:paraId="084FCBCD" w14:textId="454762C8" w:rsidR="00271FA2" w:rsidRPr="00A013E1" w:rsidRDefault="00D35E51">
      <w:pPr>
        <w:tabs>
          <w:tab w:val="left" w:pos="284"/>
          <w:tab w:val="left" w:pos="4536"/>
          <w:tab w:val="left" w:pos="6521"/>
        </w:tabs>
        <w:overflowPunct w:val="0"/>
        <w:adjustRightInd w:val="0"/>
        <w:spacing w:line="240" w:lineRule="atLeast"/>
        <w:textAlignment w:val="baseline"/>
        <w:rPr>
          <w:rFonts w:ascii="Times New Roman" w:hAnsi="Times New Roman" w:cs="Times New Roman"/>
          <w:b/>
          <w:snapToGrid w:val="0"/>
          <w:color w:val="000000"/>
          <w:lang w:val="ru-RU"/>
        </w:rPr>
      </w:pPr>
      <w:r w:rsidRPr="00A013E1">
        <w:rPr>
          <w:rFonts w:ascii="Times New Roman" w:hAnsi="Times New Roman" w:cs="Times New Roman"/>
          <w:b/>
          <w:snapToGrid w:val="0"/>
          <w:color w:val="000000"/>
          <w:lang w:val="ru-RU"/>
        </w:rPr>
        <w:t xml:space="preserve">Компетентен орган </w:t>
      </w:r>
    </w:p>
    <w:p w14:paraId="784A21A7" w14:textId="77777777" w:rsidR="00271FA2" w:rsidRPr="00A013E1" w:rsidRDefault="00D35E51">
      <w:pPr>
        <w:tabs>
          <w:tab w:val="left" w:leader="dot" w:pos="5103"/>
        </w:tabs>
        <w:overflowPunct w:val="0"/>
        <w:adjustRightInd w:val="0"/>
        <w:spacing w:line="240" w:lineRule="atLeast"/>
        <w:textAlignment w:val="baseline"/>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 xml:space="preserve">Име: </w:t>
      </w:r>
      <w:r w:rsidRPr="00A013E1">
        <w:rPr>
          <w:rFonts w:ascii="Times New Roman" w:hAnsi="Times New Roman" w:cs="Times New Roman"/>
          <w:lang w:val="ru-RU"/>
        </w:rPr>
        <w:tab/>
      </w:r>
    </w:p>
    <w:p w14:paraId="4EFA0DFC" w14:textId="77777777" w:rsidR="00271FA2" w:rsidRPr="00A013E1" w:rsidRDefault="00D35E51">
      <w:pPr>
        <w:tabs>
          <w:tab w:val="left" w:leader="dot" w:pos="9072"/>
        </w:tabs>
        <w:overflowPunct w:val="0"/>
        <w:adjustRightInd w:val="0"/>
        <w:spacing w:line="240" w:lineRule="atLeast"/>
        <w:textAlignment w:val="baseline"/>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 xml:space="preserve">Адрес: </w:t>
      </w:r>
      <w:r w:rsidRPr="00A013E1">
        <w:rPr>
          <w:rFonts w:ascii="Times New Roman" w:hAnsi="Times New Roman" w:cs="Times New Roman"/>
          <w:lang w:val="ru-RU"/>
        </w:rPr>
        <w:tab/>
      </w:r>
    </w:p>
    <w:p w14:paraId="69F7625F" w14:textId="77777777" w:rsidR="00271FA2" w:rsidRPr="00A013E1" w:rsidRDefault="00D35E51">
      <w:pPr>
        <w:tabs>
          <w:tab w:val="left" w:leader="dot" w:pos="3402"/>
        </w:tabs>
        <w:overflowPunct w:val="0"/>
        <w:adjustRightInd w:val="0"/>
        <w:spacing w:line="240" w:lineRule="atLeast"/>
        <w:textAlignment w:val="baseline"/>
        <w:rPr>
          <w:rFonts w:ascii="Times New Roman" w:hAnsi="Times New Roman" w:cs="Times New Roman"/>
          <w:snapToGrid w:val="0"/>
          <w:color w:val="000000"/>
          <w:lang w:val="ru-RU"/>
        </w:rPr>
      </w:pPr>
      <w:r w:rsidRPr="00A013E1">
        <w:rPr>
          <w:rFonts w:ascii="Times New Roman" w:hAnsi="Times New Roman" w:cs="Times New Roman"/>
          <w:snapToGrid w:val="0"/>
          <w:color w:val="000000"/>
          <w:lang w:val="ru-RU"/>
        </w:rPr>
        <w:t xml:space="preserve">Телефон: </w:t>
      </w:r>
      <w:r w:rsidRPr="00A013E1">
        <w:rPr>
          <w:rFonts w:ascii="Times New Roman" w:hAnsi="Times New Roman" w:cs="Times New Roman"/>
          <w:lang w:val="ru-RU"/>
        </w:rPr>
        <w:tab/>
      </w:r>
    </w:p>
    <w:p w14:paraId="5285D0F2" w14:textId="77777777" w:rsidR="00271FA2" w:rsidRPr="00A013E1" w:rsidRDefault="00D35E51">
      <w:pPr>
        <w:tabs>
          <w:tab w:val="right" w:pos="9072"/>
        </w:tabs>
        <w:spacing w:line="240" w:lineRule="atLeast"/>
        <w:rPr>
          <w:rFonts w:ascii="Times New Roman" w:hAnsi="Times New Roman" w:cs="Times New Roman"/>
          <w:lang w:val="ru-RU"/>
        </w:rPr>
      </w:pPr>
      <w:r w:rsidRPr="00A013E1">
        <w:rPr>
          <w:rFonts w:ascii="Times New Roman" w:hAnsi="Times New Roman" w:cs="Times New Roman"/>
          <w:lang w:val="ru-RU"/>
        </w:rPr>
        <w:br w:type="page"/>
      </w:r>
    </w:p>
    <w:p w14:paraId="72ADA61C" w14:textId="77777777" w:rsidR="00271FA2" w:rsidRPr="00A013E1" w:rsidRDefault="00271FA2">
      <w:pPr>
        <w:tabs>
          <w:tab w:val="center" w:pos="7797"/>
        </w:tabs>
        <w:spacing w:line="240" w:lineRule="atLeast"/>
        <w:ind w:right="288"/>
        <w:rPr>
          <w:rFonts w:ascii="Times New Roman" w:hAnsi="Times New Roman" w:cs="Times New Roman"/>
          <w:lang w:val="ru-RU"/>
        </w:rPr>
        <w:sectPr w:rsidR="00271FA2" w:rsidRPr="00A013E1" w:rsidSect="00A013E1">
          <w:headerReference w:type="default" r:id="rId141"/>
          <w:footnotePr>
            <w:numRestart w:val="eachPage"/>
          </w:footnotePr>
          <w:pgSz w:w="11907" w:h="16840"/>
          <w:pgMar w:top="1134" w:right="1134" w:bottom="1134" w:left="1134" w:header="709" w:footer="709" w:gutter="0"/>
          <w:cols w:space="720"/>
          <w:docGrid w:linePitch="326"/>
        </w:sectPr>
      </w:pPr>
    </w:p>
    <w:p w14:paraId="5928486F" w14:textId="5EA56B85" w:rsidR="00B31965" w:rsidRPr="00A013E1" w:rsidRDefault="00D35E51">
      <w:pPr>
        <w:pStyle w:val="ES-Titre2"/>
        <w:pageBreakBefore w:val="0"/>
        <w:rPr>
          <w:rFonts w:ascii="Times New Roman" w:hAnsi="Times New Roman" w:cs="Times New Roman"/>
          <w:sz w:val="24"/>
          <w:szCs w:val="24"/>
          <w:lang w:val="ru-RU"/>
        </w:rPr>
      </w:pPr>
      <w:bookmarkStart w:id="620" w:name="_Toc535827763"/>
      <w:bookmarkStart w:id="621" w:name="_Toc491854322"/>
      <w:r w:rsidRPr="00A013E1">
        <w:rPr>
          <w:rFonts w:ascii="Times New Roman" w:hAnsi="Times New Roman" w:cs="Times New Roman"/>
          <w:sz w:val="24"/>
          <w:szCs w:val="24"/>
          <w:lang w:val="ru-RU"/>
        </w:rPr>
        <w:lastRenderedPageBreak/>
        <w:t>Приложение 6</w:t>
      </w:r>
      <w:r w:rsidR="00F10008" w:rsidRPr="00A013E1">
        <w:rPr>
          <w:rFonts w:ascii="Times New Roman" w:hAnsi="Times New Roman" w:cs="Times New Roman"/>
          <w:sz w:val="24"/>
          <w:szCs w:val="24"/>
          <w:lang w:val="ru-RU"/>
        </w:rPr>
        <w:t xml:space="preserve">  </w:t>
      </w:r>
    </w:p>
    <w:p w14:paraId="76F12C72" w14:textId="77777777" w:rsidR="002F25D8" w:rsidRPr="00A013E1" w:rsidRDefault="00F10008" w:rsidP="003E6A0D">
      <w:pPr>
        <w:tabs>
          <w:tab w:val="left" w:leader="dot" w:pos="9072"/>
        </w:tabs>
        <w:spacing w:line="240" w:lineRule="atLeast"/>
        <w:jc w:val="center"/>
        <w:rPr>
          <w:rFonts w:ascii="Times New Roman" w:hAnsi="Times New Roman" w:cs="Times New Roman"/>
          <w:sz w:val="24"/>
          <w:szCs w:val="24"/>
          <w:lang w:val="ru-RU"/>
        </w:rPr>
      </w:pPr>
      <w:r w:rsidRPr="00A013E1">
        <w:rPr>
          <w:rFonts w:ascii="Times New Roman" w:hAnsi="Times New Roman" w:cs="Times New Roman"/>
          <w:sz w:val="24"/>
          <w:szCs w:val="24"/>
          <w:lang w:val="ru-RU"/>
        </w:rPr>
        <w:t xml:space="preserve">(ОСТАВЕНО </w:t>
      </w:r>
      <w:r w:rsidR="00DC3351" w:rsidRPr="00A013E1">
        <w:rPr>
          <w:rFonts w:ascii="Times New Roman" w:hAnsi="Times New Roman" w:cs="Times New Roman"/>
          <w:sz w:val="24"/>
          <w:szCs w:val="24"/>
          <w:lang w:val="ru-RU"/>
        </w:rPr>
        <w:t>непопълнено</w:t>
      </w:r>
      <w:r w:rsidRPr="00A013E1">
        <w:rPr>
          <w:rFonts w:ascii="Times New Roman" w:hAnsi="Times New Roman" w:cs="Times New Roman"/>
          <w:sz w:val="24"/>
          <w:szCs w:val="24"/>
          <w:lang w:val="ru-RU"/>
        </w:rPr>
        <w:t>)</w:t>
      </w:r>
    </w:p>
    <w:bookmarkEnd w:id="620"/>
    <w:bookmarkEnd w:id="621"/>
    <w:p w14:paraId="28EB0681" w14:textId="77777777" w:rsidR="002F25D8" w:rsidRPr="00A013E1" w:rsidRDefault="002F25D8" w:rsidP="003E6A0D">
      <w:pPr>
        <w:tabs>
          <w:tab w:val="left" w:leader="dot" w:pos="9072"/>
        </w:tabs>
        <w:spacing w:line="240" w:lineRule="atLeast"/>
        <w:jc w:val="center"/>
        <w:rPr>
          <w:rFonts w:ascii="Times New Roman" w:hAnsi="Times New Roman" w:cs="Times New Roman"/>
          <w:sz w:val="24"/>
          <w:szCs w:val="24"/>
          <w:lang w:val="ru-RU"/>
        </w:rPr>
        <w:sectPr w:rsidR="002F25D8" w:rsidRPr="00A013E1" w:rsidSect="00A013E1">
          <w:headerReference w:type="default" r:id="rId142"/>
          <w:footerReference w:type="default" r:id="rId143"/>
          <w:footnotePr>
            <w:numRestart w:val="eachPage"/>
          </w:footnotePr>
          <w:pgSz w:w="11907" w:h="16840"/>
          <w:pgMar w:top="1134" w:right="1134" w:bottom="1134" w:left="1134" w:header="709" w:footer="709" w:gutter="0"/>
          <w:cols w:space="720"/>
          <w:docGrid w:linePitch="326"/>
        </w:sectPr>
      </w:pPr>
    </w:p>
    <w:p w14:paraId="7C898887" w14:textId="5B655BCD" w:rsidR="00271FA2" w:rsidRPr="00A013E1" w:rsidRDefault="00710726" w:rsidP="003E6A0D">
      <w:pPr>
        <w:tabs>
          <w:tab w:val="left" w:leader="dot" w:pos="9072"/>
        </w:tabs>
        <w:spacing w:line="240" w:lineRule="atLeast"/>
        <w:jc w:val="center"/>
        <w:rPr>
          <w:rFonts w:ascii="Times New Roman" w:hAnsi="Times New Roman" w:cs="Times New Roman"/>
          <w:b/>
          <w:i/>
          <w:szCs w:val="20"/>
          <w:lang w:val="ru-RU"/>
        </w:rPr>
      </w:pPr>
      <w:bookmarkStart w:id="622" w:name="_Toc491854323"/>
      <w:bookmarkStart w:id="623" w:name="_Toc535827764"/>
      <w:r w:rsidRPr="00A013E1">
        <w:rPr>
          <w:rFonts w:ascii="Times New Roman" w:hAnsi="Times New Roman" w:cs="Times New Roman"/>
          <w:b/>
          <w:i/>
          <w:lang w:val="ru-RU"/>
        </w:rPr>
        <w:lastRenderedPageBreak/>
        <w:t>ПРИЛОЖЕНИЕ 7</w:t>
      </w:r>
      <w:r w:rsidRPr="00A013E1">
        <w:rPr>
          <w:rFonts w:ascii="Times New Roman" w:hAnsi="Times New Roman" w:cs="Times New Roman"/>
          <w:b/>
          <w:i/>
          <w:lang w:val="ru-RU"/>
        </w:rPr>
        <w:br/>
        <w:t>БОРДОВИ СТАНЦИИ ЗА ПРЕЧИСТВАНЕ НА ОТПАДЪЧНИ ВОДИ</w:t>
      </w:r>
      <w:bookmarkEnd w:id="622"/>
      <w:bookmarkEnd w:id="623"/>
      <w:r w:rsidRPr="00A013E1">
        <w:rPr>
          <w:rFonts w:ascii="Times New Roman" w:hAnsi="Times New Roman" w:cs="Times New Roman"/>
          <w:b/>
          <w:i/>
          <w:lang w:val="ru-RU"/>
        </w:rPr>
        <w:t xml:space="preserve"> </w:t>
      </w:r>
    </w:p>
    <w:p w14:paraId="279C15FC" w14:textId="77777777" w:rsidR="008860C6" w:rsidRPr="00A013E1" w:rsidRDefault="008860C6">
      <w:pPr>
        <w:overflowPunct w:val="0"/>
        <w:adjustRightInd w:val="0"/>
        <w:spacing w:line="240" w:lineRule="atLeast"/>
        <w:jc w:val="center"/>
        <w:textAlignment w:val="baseline"/>
        <w:rPr>
          <w:rFonts w:ascii="Times New Roman" w:hAnsi="Times New Roman" w:cs="Times New Roman"/>
          <w:b/>
          <w:lang w:val="ru-RU"/>
        </w:rPr>
      </w:pPr>
    </w:p>
    <w:p w14:paraId="43479CBA" w14:textId="596C378E" w:rsidR="00271FA2" w:rsidRPr="00A013E1" w:rsidRDefault="00D35E51">
      <w:pPr>
        <w:overflowPunct w:val="0"/>
        <w:adjustRightInd w:val="0"/>
        <w:spacing w:line="240" w:lineRule="atLeast"/>
        <w:jc w:val="center"/>
        <w:textAlignment w:val="baseline"/>
        <w:rPr>
          <w:rFonts w:ascii="Times New Roman" w:hAnsi="Times New Roman" w:cs="Times New Roman"/>
          <w:b/>
          <w:bCs/>
          <w:lang w:val="ru-RU"/>
        </w:rPr>
      </w:pPr>
      <w:r w:rsidRPr="00A013E1">
        <w:rPr>
          <w:rFonts w:ascii="Times New Roman" w:hAnsi="Times New Roman" w:cs="Times New Roman"/>
          <w:b/>
          <w:lang w:val="ru-RU"/>
        </w:rPr>
        <w:t>Съдържание</w:t>
      </w:r>
    </w:p>
    <w:p w14:paraId="2D5464D0" w14:textId="77777777" w:rsidR="00271FA2" w:rsidRPr="00A013E1" w:rsidRDefault="00271FA2">
      <w:pPr>
        <w:tabs>
          <w:tab w:val="left" w:pos="284"/>
          <w:tab w:val="left" w:pos="1134"/>
          <w:tab w:val="left" w:pos="1701"/>
        </w:tabs>
        <w:suppressAutoHyphens/>
        <w:spacing w:line="240" w:lineRule="atLeast"/>
        <w:rPr>
          <w:rFonts w:ascii="Times New Roman" w:hAnsi="Times New Roman" w:cs="Times New Roman"/>
          <w:szCs w:val="20"/>
          <w:lang w:val="ru-RU"/>
        </w:rPr>
      </w:pPr>
    </w:p>
    <w:p w14:paraId="19AC3FDB" w14:textId="77777777" w:rsidR="00271FA2" w:rsidRPr="00A013E1" w:rsidRDefault="00D35E51" w:rsidP="008860C6">
      <w:pPr>
        <w:tabs>
          <w:tab w:val="left" w:pos="1701"/>
        </w:tabs>
        <w:suppressAutoHyphens/>
        <w:spacing w:line="240" w:lineRule="atLeast"/>
        <w:ind w:left="1418" w:hanging="1418"/>
        <w:jc w:val="both"/>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w:t>
      </w:r>
      <w:r w:rsidRPr="00A013E1">
        <w:rPr>
          <w:rFonts w:ascii="Times New Roman" w:hAnsi="Times New Roman" w:cs="Times New Roman"/>
          <w:lang w:val="ru-RU"/>
        </w:rPr>
        <w:tab/>
        <w:t>Допълнителни разпоредби</w:t>
      </w:r>
    </w:p>
    <w:p w14:paraId="001A6232" w14:textId="77777777" w:rsidR="00271FA2" w:rsidRPr="00A013E1" w:rsidRDefault="00D35E51" w:rsidP="008860C6">
      <w:pPr>
        <w:suppressAutoHyphens/>
        <w:overflowPunct w:val="0"/>
        <w:spacing w:line="240" w:lineRule="atLeast"/>
        <w:ind w:left="1418" w:hanging="1418"/>
        <w:jc w:val="both"/>
        <w:textAlignment w:val="baseline"/>
        <w:rPr>
          <w:rFonts w:ascii="Times New Roman" w:hAnsi="Times New Roman" w:cs="Times New Roman"/>
          <w:szCs w:val="20"/>
          <w:lang w:val="ru-RU"/>
        </w:rPr>
      </w:pPr>
      <w:r w:rsidRPr="00A013E1">
        <w:rPr>
          <w:rFonts w:ascii="Times New Roman" w:hAnsi="Times New Roman" w:cs="Times New Roman"/>
          <w:lang w:val="ru-RU"/>
        </w:rPr>
        <w:t>1.</w:t>
      </w:r>
      <w:r w:rsidRPr="00A013E1">
        <w:rPr>
          <w:rFonts w:ascii="Times New Roman" w:hAnsi="Times New Roman" w:cs="Times New Roman"/>
          <w:lang w:val="ru-RU"/>
        </w:rPr>
        <w:tab/>
        <w:t>Маркировка на бордови станции за пречистване на отпадъчни води</w:t>
      </w:r>
    </w:p>
    <w:p w14:paraId="0F35BD08" w14:textId="77777777" w:rsidR="00271FA2" w:rsidRPr="00A013E1" w:rsidRDefault="00D35E51" w:rsidP="008860C6">
      <w:pPr>
        <w:suppressAutoHyphens/>
        <w:overflowPunct w:val="0"/>
        <w:spacing w:line="240" w:lineRule="atLeast"/>
        <w:ind w:left="1418" w:hanging="1418"/>
        <w:jc w:val="both"/>
        <w:textAlignment w:val="baseline"/>
        <w:rPr>
          <w:rFonts w:ascii="Times New Roman" w:hAnsi="Times New Roman" w:cs="Times New Roman"/>
          <w:szCs w:val="20"/>
          <w:lang w:val="ru-RU"/>
        </w:rPr>
      </w:pPr>
      <w:r w:rsidRPr="00A013E1">
        <w:rPr>
          <w:rFonts w:ascii="Times New Roman" w:hAnsi="Times New Roman" w:cs="Times New Roman"/>
          <w:lang w:val="ru-RU"/>
        </w:rPr>
        <w:t>2.</w:t>
      </w:r>
      <w:r w:rsidRPr="00A013E1">
        <w:rPr>
          <w:rFonts w:ascii="Times New Roman" w:hAnsi="Times New Roman" w:cs="Times New Roman"/>
          <w:lang w:val="ru-RU"/>
        </w:rPr>
        <w:tab/>
        <w:t>Изпитване</w:t>
      </w:r>
    </w:p>
    <w:p w14:paraId="1BA19D79" w14:textId="77777777" w:rsidR="00271FA2" w:rsidRPr="00A013E1" w:rsidRDefault="00D35E51" w:rsidP="008860C6">
      <w:pPr>
        <w:suppressAutoHyphens/>
        <w:overflowPunct w:val="0"/>
        <w:spacing w:line="240" w:lineRule="atLeast"/>
        <w:ind w:left="1418" w:hanging="1418"/>
        <w:jc w:val="both"/>
        <w:textAlignment w:val="baseline"/>
        <w:rPr>
          <w:rFonts w:ascii="Times New Roman" w:hAnsi="Times New Roman" w:cs="Times New Roman"/>
          <w:szCs w:val="20"/>
          <w:lang w:val="ru-RU"/>
        </w:rPr>
      </w:pPr>
      <w:r w:rsidRPr="00A013E1">
        <w:rPr>
          <w:rFonts w:ascii="Times New Roman" w:hAnsi="Times New Roman" w:cs="Times New Roman"/>
          <w:lang w:val="ru-RU"/>
        </w:rPr>
        <w:t>3.</w:t>
      </w:r>
      <w:r w:rsidRPr="00A013E1">
        <w:rPr>
          <w:rFonts w:ascii="Times New Roman" w:hAnsi="Times New Roman" w:cs="Times New Roman"/>
          <w:lang w:val="ru-RU"/>
        </w:rPr>
        <w:tab/>
        <w:t>Оценка на съответствието на производството</w:t>
      </w:r>
    </w:p>
    <w:p w14:paraId="2222EA54" w14:textId="77777777" w:rsidR="00271FA2" w:rsidRPr="00A013E1" w:rsidRDefault="00271FA2" w:rsidP="008860C6">
      <w:pPr>
        <w:suppressAutoHyphens/>
        <w:spacing w:line="240" w:lineRule="atLeast"/>
        <w:ind w:left="1418" w:hanging="1418"/>
        <w:rPr>
          <w:rFonts w:ascii="Times New Roman" w:hAnsi="Times New Roman" w:cs="Times New Roman"/>
          <w:szCs w:val="20"/>
          <w:lang w:val="ru-RU"/>
        </w:rPr>
      </w:pPr>
    </w:p>
    <w:p w14:paraId="30846D7C" w14:textId="77777777" w:rsidR="00271FA2" w:rsidRPr="00A013E1" w:rsidRDefault="00D35E51" w:rsidP="008860C6">
      <w:pPr>
        <w:suppressAutoHyphens/>
        <w:spacing w:line="240" w:lineRule="atLeast"/>
        <w:ind w:left="1418" w:hanging="1418"/>
        <w:jc w:val="both"/>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II</w:t>
      </w:r>
      <w:r w:rsidRPr="00A013E1">
        <w:rPr>
          <w:rFonts w:ascii="Times New Roman" w:hAnsi="Times New Roman" w:cs="Times New Roman"/>
          <w:lang w:val="ru-RU"/>
        </w:rPr>
        <w:tab/>
        <w:t>Информационен документ №... във връзка с одобрение на типа на бордовите станции за пречистване на отпадъчни води, предназначени за инсталиране на плавателните съдове по вътрешните водни пътища (образец)</w:t>
      </w:r>
    </w:p>
    <w:p w14:paraId="63690723" w14:textId="77777777" w:rsidR="00271FA2" w:rsidRPr="00A013E1" w:rsidRDefault="00D35E51" w:rsidP="008860C6">
      <w:pPr>
        <w:suppressAutoHyphens/>
        <w:overflowPunct w:val="0"/>
        <w:spacing w:line="240" w:lineRule="atLeast"/>
        <w:ind w:left="1418" w:hanging="1418"/>
        <w:jc w:val="both"/>
        <w:textAlignment w:val="baseline"/>
        <w:rPr>
          <w:rFonts w:ascii="Times New Roman" w:hAnsi="Times New Roman" w:cs="Times New Roman"/>
          <w:szCs w:val="20"/>
          <w:lang w:val="ru-RU"/>
        </w:rPr>
      </w:pPr>
      <w:r w:rsidRPr="00A013E1">
        <w:rPr>
          <w:rFonts w:ascii="Times New Roman" w:hAnsi="Times New Roman" w:cs="Times New Roman"/>
          <w:lang w:val="ru-RU"/>
        </w:rPr>
        <w:t>Допълнение 1 — Основни характеристики на типа на бордовата станция за пречистване на отпадъчни води (образец)</w:t>
      </w:r>
    </w:p>
    <w:p w14:paraId="4F43A26E" w14:textId="77777777" w:rsidR="00271FA2" w:rsidRPr="00A013E1" w:rsidRDefault="00271FA2" w:rsidP="008860C6">
      <w:pPr>
        <w:suppressAutoHyphens/>
        <w:spacing w:line="240" w:lineRule="atLeast"/>
        <w:ind w:left="1418" w:hanging="1418"/>
        <w:rPr>
          <w:rFonts w:ascii="Times New Roman" w:hAnsi="Times New Roman" w:cs="Times New Roman"/>
          <w:szCs w:val="20"/>
          <w:lang w:val="ru-RU"/>
        </w:rPr>
      </w:pPr>
    </w:p>
    <w:p w14:paraId="70BB3232" w14:textId="77777777" w:rsidR="00271FA2" w:rsidRPr="00A013E1" w:rsidRDefault="00D35E51" w:rsidP="008860C6">
      <w:pPr>
        <w:suppressAutoHyphens/>
        <w:spacing w:line="240" w:lineRule="atLeast"/>
        <w:ind w:left="1418" w:hanging="1418"/>
        <w:jc w:val="both"/>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III</w:t>
      </w:r>
      <w:r w:rsidRPr="00A013E1">
        <w:rPr>
          <w:rFonts w:ascii="Times New Roman" w:hAnsi="Times New Roman" w:cs="Times New Roman"/>
          <w:lang w:val="ru-RU"/>
        </w:rPr>
        <w:tab/>
        <w:t>Удостоверение за одобрение на типа (образец)</w:t>
      </w:r>
    </w:p>
    <w:p w14:paraId="58819901" w14:textId="77777777" w:rsidR="00271FA2" w:rsidRPr="00A013E1" w:rsidRDefault="00D35E51" w:rsidP="008860C6">
      <w:pPr>
        <w:suppressAutoHyphens/>
        <w:overflowPunct w:val="0"/>
        <w:spacing w:line="240" w:lineRule="atLeast"/>
        <w:ind w:left="1418" w:hanging="1418"/>
        <w:jc w:val="both"/>
        <w:textAlignment w:val="baseline"/>
        <w:rPr>
          <w:rFonts w:ascii="Times New Roman" w:hAnsi="Times New Roman" w:cs="Times New Roman"/>
          <w:szCs w:val="20"/>
          <w:lang w:val="ru-RU"/>
        </w:rPr>
      </w:pPr>
      <w:r w:rsidRPr="00A013E1">
        <w:rPr>
          <w:rFonts w:ascii="Times New Roman" w:hAnsi="Times New Roman" w:cs="Times New Roman"/>
          <w:lang w:val="ru-RU"/>
        </w:rPr>
        <w:t>Допълнение 1 — Резултати от изпитването за одобрение на типа (образец)</w:t>
      </w:r>
    </w:p>
    <w:p w14:paraId="7ED7AA7A" w14:textId="77777777" w:rsidR="00271FA2" w:rsidRPr="00A013E1" w:rsidRDefault="00271FA2" w:rsidP="008860C6">
      <w:pPr>
        <w:suppressAutoHyphens/>
        <w:spacing w:line="240" w:lineRule="atLeast"/>
        <w:ind w:left="1418" w:hanging="1418"/>
        <w:rPr>
          <w:rFonts w:ascii="Times New Roman" w:hAnsi="Times New Roman" w:cs="Times New Roman"/>
          <w:szCs w:val="20"/>
          <w:lang w:val="ru-RU"/>
        </w:rPr>
      </w:pPr>
    </w:p>
    <w:p w14:paraId="32B418D6" w14:textId="77777777" w:rsidR="00271FA2" w:rsidRPr="00A013E1" w:rsidRDefault="00D35E51" w:rsidP="008860C6">
      <w:pPr>
        <w:suppressAutoHyphens/>
        <w:spacing w:line="240" w:lineRule="atLeast"/>
        <w:ind w:left="1418" w:hanging="1418"/>
        <w:jc w:val="both"/>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IV</w:t>
      </w:r>
      <w:r w:rsidRPr="00A013E1">
        <w:rPr>
          <w:rFonts w:ascii="Times New Roman" w:hAnsi="Times New Roman" w:cs="Times New Roman"/>
          <w:lang w:val="ru-RU"/>
        </w:rPr>
        <w:tab/>
        <w:t>Система за номериране на одобренията на типа</w:t>
      </w:r>
    </w:p>
    <w:p w14:paraId="42298FCD" w14:textId="77777777" w:rsidR="00271FA2" w:rsidRPr="00A013E1" w:rsidRDefault="00271FA2" w:rsidP="008860C6">
      <w:pPr>
        <w:suppressAutoHyphens/>
        <w:spacing w:line="240" w:lineRule="atLeast"/>
        <w:ind w:left="1418" w:hanging="1418"/>
        <w:jc w:val="both"/>
        <w:rPr>
          <w:rFonts w:ascii="Times New Roman" w:hAnsi="Times New Roman" w:cs="Times New Roman"/>
          <w:szCs w:val="20"/>
          <w:lang w:val="ru-RU"/>
        </w:rPr>
      </w:pPr>
    </w:p>
    <w:p w14:paraId="4F7E7EF1" w14:textId="77777777" w:rsidR="00271FA2" w:rsidRPr="00A013E1" w:rsidRDefault="00D35E51" w:rsidP="008860C6">
      <w:pPr>
        <w:suppressAutoHyphens/>
        <w:spacing w:line="240" w:lineRule="atLeast"/>
        <w:ind w:left="1418" w:hanging="1418"/>
        <w:jc w:val="both"/>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V</w:t>
      </w:r>
      <w:r w:rsidRPr="00A013E1">
        <w:rPr>
          <w:rFonts w:ascii="Times New Roman" w:hAnsi="Times New Roman" w:cs="Times New Roman"/>
          <w:lang w:val="ru-RU"/>
        </w:rPr>
        <w:tab/>
        <w:t>Обобщение на одобренията на типа за типовете бордови станции за пречистване на отпадъчни води</w:t>
      </w:r>
    </w:p>
    <w:p w14:paraId="42D8CABA" w14:textId="77777777" w:rsidR="00271FA2" w:rsidRPr="00A013E1" w:rsidRDefault="00271FA2" w:rsidP="008860C6">
      <w:pPr>
        <w:suppressAutoHyphens/>
        <w:spacing w:line="240" w:lineRule="atLeast"/>
        <w:ind w:left="1418" w:hanging="1418"/>
        <w:jc w:val="both"/>
        <w:rPr>
          <w:rFonts w:ascii="Times New Roman" w:hAnsi="Times New Roman" w:cs="Times New Roman"/>
          <w:szCs w:val="20"/>
          <w:lang w:val="ru-RU"/>
        </w:rPr>
      </w:pPr>
    </w:p>
    <w:p w14:paraId="11E61FFC" w14:textId="77777777" w:rsidR="00271FA2" w:rsidRPr="00A013E1" w:rsidRDefault="00D35E51" w:rsidP="008860C6">
      <w:pPr>
        <w:suppressAutoHyphens/>
        <w:spacing w:line="240" w:lineRule="atLeast"/>
        <w:ind w:left="1418" w:hanging="1418"/>
        <w:jc w:val="both"/>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VI</w:t>
      </w:r>
      <w:r w:rsidRPr="00A013E1">
        <w:rPr>
          <w:rFonts w:ascii="Times New Roman" w:hAnsi="Times New Roman" w:cs="Times New Roman"/>
          <w:lang w:val="ru-RU"/>
        </w:rPr>
        <w:tab/>
        <w:t>Обобщение на произведените бордови станции за пречистване на отпадъчни води (образец)</w:t>
      </w:r>
    </w:p>
    <w:p w14:paraId="4465B4ED" w14:textId="77777777" w:rsidR="00271FA2" w:rsidRPr="00A013E1" w:rsidRDefault="00271FA2" w:rsidP="008860C6">
      <w:pPr>
        <w:suppressAutoHyphens/>
        <w:spacing w:line="240" w:lineRule="atLeast"/>
        <w:ind w:left="1418" w:hanging="1418"/>
        <w:rPr>
          <w:rFonts w:ascii="Times New Roman" w:hAnsi="Times New Roman" w:cs="Times New Roman"/>
          <w:szCs w:val="20"/>
          <w:lang w:val="ru-RU"/>
        </w:rPr>
      </w:pPr>
    </w:p>
    <w:p w14:paraId="0CDAD2A6" w14:textId="77777777" w:rsidR="00271FA2" w:rsidRPr="00A013E1" w:rsidRDefault="00D35E51" w:rsidP="008860C6">
      <w:pPr>
        <w:suppressAutoHyphens/>
        <w:spacing w:line="240" w:lineRule="atLeast"/>
        <w:ind w:left="1418" w:hanging="1418"/>
        <w:rPr>
          <w:rFonts w:ascii="Times New Roman" w:hAnsi="Times New Roman" w:cs="Times New Roman"/>
          <w:szCs w:val="20"/>
          <w:lang w:val="ru-RU"/>
        </w:rPr>
      </w:pPr>
      <w:r w:rsidRPr="00A013E1">
        <w:rPr>
          <w:rFonts w:ascii="Times New Roman" w:hAnsi="Times New Roman" w:cs="Times New Roman"/>
          <w:b/>
          <w:lang w:val="ru-RU"/>
        </w:rPr>
        <w:t>Раздел</w:t>
      </w:r>
      <w:r w:rsidRPr="00A013E1">
        <w:rPr>
          <w:rFonts w:ascii="Times New Roman" w:hAnsi="Times New Roman" w:cs="Times New Roman"/>
          <w:b/>
        </w:rPr>
        <w:t> VII</w:t>
      </w:r>
      <w:r w:rsidRPr="00A013E1">
        <w:rPr>
          <w:rFonts w:ascii="Times New Roman" w:hAnsi="Times New Roman" w:cs="Times New Roman"/>
          <w:lang w:val="ru-RU"/>
        </w:rPr>
        <w:tab/>
        <w:t>Спецификация за бордови станции за пречистване на отпадъчни води с одобрение на типа (образец)</w:t>
      </w:r>
    </w:p>
    <w:p w14:paraId="41CFE905" w14:textId="77777777" w:rsidR="00271FA2" w:rsidRPr="00A013E1" w:rsidRDefault="00271FA2" w:rsidP="008860C6">
      <w:pPr>
        <w:suppressAutoHyphens/>
        <w:spacing w:line="240" w:lineRule="atLeast"/>
        <w:ind w:left="1418" w:hanging="1418"/>
        <w:rPr>
          <w:rFonts w:ascii="Times New Roman" w:hAnsi="Times New Roman" w:cs="Times New Roman"/>
          <w:szCs w:val="20"/>
          <w:lang w:val="ru-RU"/>
        </w:rPr>
      </w:pPr>
    </w:p>
    <w:p w14:paraId="602B3FED" w14:textId="73961638" w:rsidR="00271FA2" w:rsidRPr="00A013E1" w:rsidRDefault="00D35E51" w:rsidP="008860C6">
      <w:pPr>
        <w:suppressAutoHyphens/>
        <w:spacing w:line="240" w:lineRule="atLeast"/>
        <w:ind w:left="1418" w:hanging="1418"/>
        <w:jc w:val="both"/>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VIII</w:t>
      </w:r>
      <w:r w:rsidRPr="00A013E1">
        <w:rPr>
          <w:rFonts w:ascii="Times New Roman" w:hAnsi="Times New Roman" w:cs="Times New Roman"/>
          <w:lang w:val="ru-RU"/>
        </w:rPr>
        <w:tab/>
        <w:t>Протокол за бордовата станция за пречистване на отпадъчни води (образец)</w:t>
      </w:r>
    </w:p>
    <w:p w14:paraId="1F0FCEEC" w14:textId="77777777" w:rsidR="00271FA2" w:rsidRPr="00A013E1" w:rsidRDefault="00271FA2" w:rsidP="008860C6">
      <w:pPr>
        <w:suppressAutoHyphens/>
        <w:overflowPunct w:val="0"/>
        <w:spacing w:line="240" w:lineRule="atLeast"/>
        <w:ind w:left="1418" w:hanging="1418"/>
        <w:textAlignment w:val="baseline"/>
        <w:rPr>
          <w:rFonts w:ascii="Times New Roman" w:hAnsi="Times New Roman" w:cs="Times New Roman"/>
          <w:szCs w:val="20"/>
          <w:lang w:val="ru-RU"/>
        </w:rPr>
      </w:pPr>
    </w:p>
    <w:p w14:paraId="3C82087B" w14:textId="77777777" w:rsidR="00271FA2" w:rsidRPr="00A013E1" w:rsidRDefault="00D35E51" w:rsidP="008860C6">
      <w:pPr>
        <w:suppressAutoHyphens/>
        <w:spacing w:line="240" w:lineRule="atLeast"/>
        <w:ind w:left="1418" w:hanging="1418"/>
        <w:jc w:val="both"/>
        <w:rPr>
          <w:rFonts w:ascii="Times New Roman" w:hAnsi="Times New Roman" w:cs="Times New Roman"/>
          <w:szCs w:val="20"/>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IX</w:t>
      </w:r>
      <w:r w:rsidRPr="00A013E1">
        <w:rPr>
          <w:rFonts w:ascii="Times New Roman" w:hAnsi="Times New Roman" w:cs="Times New Roman"/>
          <w:lang w:val="ru-RU"/>
        </w:rPr>
        <w:tab/>
      </w:r>
      <w:r w:rsidRPr="00A013E1">
        <w:rPr>
          <w:rFonts w:ascii="Times New Roman" w:hAnsi="Times New Roman" w:cs="Times New Roman"/>
          <w:color w:val="000000"/>
          <w:lang w:val="ru-RU"/>
        </w:rPr>
        <w:t>Процедура на изпитване</w:t>
      </w:r>
    </w:p>
    <w:p w14:paraId="638C1ADE" w14:textId="77777777" w:rsidR="00271FA2" w:rsidRPr="00A013E1" w:rsidRDefault="00271FA2" w:rsidP="008860C6">
      <w:pPr>
        <w:tabs>
          <w:tab w:val="center" w:pos="7956"/>
        </w:tabs>
        <w:suppressAutoHyphens/>
        <w:spacing w:line="240" w:lineRule="atLeast"/>
        <w:ind w:left="1418" w:hanging="1418"/>
        <w:jc w:val="both"/>
        <w:rPr>
          <w:rFonts w:ascii="Times New Roman" w:hAnsi="Times New Roman" w:cs="Times New Roman"/>
          <w:b/>
          <w:szCs w:val="20"/>
          <w:lang w:val="ru-RU"/>
        </w:rPr>
        <w:sectPr w:rsidR="00271FA2" w:rsidRPr="00A013E1" w:rsidSect="00A013E1">
          <w:headerReference w:type="default" r:id="rId144"/>
          <w:footnotePr>
            <w:numRestart w:val="eachPage"/>
          </w:footnotePr>
          <w:pgSz w:w="11907" w:h="16840"/>
          <w:pgMar w:top="1134" w:right="1134" w:bottom="1134" w:left="1134" w:header="709" w:footer="709" w:gutter="0"/>
          <w:cols w:space="720"/>
          <w:docGrid w:linePitch="326"/>
        </w:sectPr>
      </w:pPr>
    </w:p>
    <w:p w14:paraId="10EF9BBB" w14:textId="77777777" w:rsidR="00271FA2" w:rsidRPr="00A013E1" w:rsidRDefault="00D35E51">
      <w:pPr>
        <w:pStyle w:val="ES-Titre3"/>
        <w:spacing w:line="240" w:lineRule="atLeast"/>
        <w:rPr>
          <w:rFonts w:ascii="Times New Roman" w:hAnsi="Times New Roman" w:cs="Times New Roman"/>
          <w:sz w:val="24"/>
          <w:szCs w:val="24"/>
          <w:lang w:val="ru-RU"/>
        </w:rPr>
      </w:pPr>
      <w:bookmarkStart w:id="624" w:name="_Toc491854324"/>
      <w:bookmarkStart w:id="625" w:name="_Toc535827765"/>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I</w:t>
      </w:r>
      <w:bookmarkEnd w:id="624"/>
      <w:bookmarkEnd w:id="625"/>
    </w:p>
    <w:p w14:paraId="533609AF" w14:textId="77777777" w:rsidR="00271FA2" w:rsidRPr="00A013E1" w:rsidRDefault="00D35E51">
      <w:pPr>
        <w:pStyle w:val="ES-Titre3a"/>
        <w:spacing w:line="240" w:lineRule="atLeast"/>
        <w:rPr>
          <w:rFonts w:ascii="Times New Roman" w:hAnsi="Times New Roman" w:cs="Times New Roman"/>
          <w:sz w:val="24"/>
          <w:szCs w:val="24"/>
          <w:lang w:val="ru-RU"/>
        </w:rPr>
      </w:pPr>
      <w:bookmarkStart w:id="626" w:name="_Toc491854325"/>
      <w:bookmarkStart w:id="627" w:name="_Toc535827766"/>
      <w:r w:rsidRPr="00A013E1">
        <w:rPr>
          <w:rFonts w:ascii="Times New Roman" w:hAnsi="Times New Roman" w:cs="Times New Roman"/>
          <w:sz w:val="24"/>
          <w:szCs w:val="24"/>
          <w:lang w:val="ru-RU"/>
        </w:rPr>
        <w:t>Допълнителни разпоредби</w:t>
      </w:r>
      <w:bookmarkEnd w:id="626"/>
      <w:bookmarkEnd w:id="627"/>
    </w:p>
    <w:p w14:paraId="5B1E539E" w14:textId="77777777" w:rsidR="00271FA2" w:rsidRPr="00A013E1" w:rsidRDefault="00D35E51" w:rsidP="008860C6">
      <w:pPr>
        <w:spacing w:line="240" w:lineRule="atLeast"/>
        <w:ind w:left="851" w:hanging="851"/>
        <w:rPr>
          <w:rFonts w:ascii="Times New Roman" w:hAnsi="Times New Roman" w:cs="Times New Roman"/>
          <w:b/>
          <w:lang w:val="ru-RU"/>
        </w:rPr>
      </w:pPr>
      <w:r w:rsidRPr="00A013E1">
        <w:rPr>
          <w:rFonts w:ascii="Times New Roman" w:hAnsi="Times New Roman" w:cs="Times New Roman"/>
          <w:b/>
          <w:lang w:val="ru-RU"/>
        </w:rPr>
        <w:t>1.</w:t>
      </w:r>
      <w:r w:rsidRPr="00A013E1">
        <w:rPr>
          <w:rFonts w:ascii="Times New Roman" w:hAnsi="Times New Roman" w:cs="Times New Roman"/>
          <w:lang w:val="ru-RU"/>
        </w:rPr>
        <w:tab/>
      </w:r>
      <w:r w:rsidRPr="00A013E1">
        <w:rPr>
          <w:rFonts w:ascii="Times New Roman" w:hAnsi="Times New Roman" w:cs="Times New Roman"/>
          <w:b/>
          <w:lang w:val="ru-RU"/>
        </w:rPr>
        <w:t>Маркировка на бордови станции за пречистване на отпадъчни води</w:t>
      </w:r>
    </w:p>
    <w:p w14:paraId="357AB475"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1.1</w:t>
      </w:r>
      <w:r w:rsidRPr="00A013E1">
        <w:rPr>
          <w:rFonts w:ascii="Times New Roman" w:hAnsi="Times New Roman" w:cs="Times New Roman"/>
          <w:lang w:val="ru-RU"/>
        </w:rPr>
        <w:tab/>
        <w:t>Изпитваните за одобряване на типа бордови станции за пречистване на отпадъчни води трябва да са означени със следната информация (маркировка):</w:t>
      </w:r>
    </w:p>
    <w:p w14:paraId="3F69C119"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1.1.1</w:t>
      </w:r>
      <w:r w:rsidRPr="00A013E1">
        <w:rPr>
          <w:rFonts w:ascii="Times New Roman" w:hAnsi="Times New Roman" w:cs="Times New Roman"/>
          <w:lang w:val="ru-RU"/>
        </w:rPr>
        <w:tab/>
        <w:t>търговска марка или търговско наименование на производителя;</w:t>
      </w:r>
    </w:p>
    <w:p w14:paraId="5721B8B1"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1.1.2</w:t>
      </w:r>
      <w:r w:rsidRPr="00A013E1">
        <w:rPr>
          <w:rFonts w:ascii="Times New Roman" w:hAnsi="Times New Roman" w:cs="Times New Roman"/>
          <w:lang w:val="ru-RU"/>
        </w:rPr>
        <w:tab/>
        <w:t>тип и сериен номер на бордовата станция за пречистване на отпадъчни води;</w:t>
      </w:r>
    </w:p>
    <w:p w14:paraId="43B74B9F"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1.1.3</w:t>
      </w:r>
      <w:r w:rsidRPr="00A013E1">
        <w:rPr>
          <w:rFonts w:ascii="Times New Roman" w:hAnsi="Times New Roman" w:cs="Times New Roman"/>
          <w:lang w:val="ru-RU"/>
        </w:rPr>
        <w:tab/>
        <w:t>номер на одобрението на типа в съответствие с раздел</w:t>
      </w:r>
      <w:r w:rsidRPr="00A013E1">
        <w:rPr>
          <w:rFonts w:ascii="Times New Roman" w:hAnsi="Times New Roman" w:cs="Times New Roman"/>
        </w:rPr>
        <w:t> IV</w:t>
      </w:r>
      <w:r w:rsidRPr="00A013E1">
        <w:rPr>
          <w:rFonts w:ascii="Times New Roman" w:hAnsi="Times New Roman" w:cs="Times New Roman"/>
          <w:lang w:val="ru-RU"/>
        </w:rPr>
        <w:t xml:space="preserve"> от настоящото приложение;</w:t>
      </w:r>
    </w:p>
    <w:p w14:paraId="69DCED1F"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1.1.4</w:t>
      </w:r>
      <w:r w:rsidRPr="00A013E1">
        <w:rPr>
          <w:rFonts w:ascii="Times New Roman" w:hAnsi="Times New Roman" w:cs="Times New Roman"/>
          <w:lang w:val="ru-RU"/>
        </w:rPr>
        <w:tab/>
        <w:t>година на производство на бордовата станция за пречистване на отпадъчни води.</w:t>
      </w:r>
    </w:p>
    <w:p w14:paraId="5B81C0B6"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1.2</w:t>
      </w:r>
      <w:r w:rsidRPr="00A013E1">
        <w:rPr>
          <w:rFonts w:ascii="Times New Roman" w:hAnsi="Times New Roman" w:cs="Times New Roman"/>
          <w:lang w:val="ru-RU"/>
        </w:rPr>
        <w:tab/>
        <w:t>Маркировката в съответствие с точка 1.1 трябва да бъде устойчива, лесночетима и незаличима през целия срок на експлоатация на бордовата станция за пречистване на отпадъчни води. Ако са използвани лепящи етикети или табелки, те трябва да бъдат закрепени по такъв начин, че да остават през целия срок на експлоатация върху бордовата станция за пречистване на отпадъчни води и да не могат да бъдат отстранени, без да бъдат разрушени или направени нечетими.</w:t>
      </w:r>
    </w:p>
    <w:p w14:paraId="1BCAE906"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1.3</w:t>
      </w:r>
      <w:r w:rsidRPr="00A013E1">
        <w:rPr>
          <w:rFonts w:ascii="Times New Roman" w:hAnsi="Times New Roman" w:cs="Times New Roman"/>
          <w:lang w:val="ru-RU"/>
        </w:rPr>
        <w:tab/>
        <w:t>Маркировката трябва да бъде поставена върху такава част от бордовата станция за пречистване на отпадъчни води, която е необходима за нормална работа на станцията и която по принцип не се заменя по време на срока на експлоатация на последната.</w:t>
      </w:r>
    </w:p>
    <w:p w14:paraId="525A5C07"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1.3.1</w:t>
      </w:r>
      <w:r w:rsidRPr="00A013E1">
        <w:rPr>
          <w:rFonts w:ascii="Times New Roman" w:hAnsi="Times New Roman" w:cs="Times New Roman"/>
          <w:lang w:val="ru-RU"/>
        </w:rPr>
        <w:tab/>
        <w:t>Маркировката трябва да бъде поставена по такъв начин, че да е ясно видима, след като към бордовата станция за пречистване на отпадъчни води бъде монтирано цялото спомагателно оборудване, необходимо за работата ѝ.</w:t>
      </w:r>
    </w:p>
    <w:p w14:paraId="6F895201"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1.3.2</w:t>
      </w:r>
      <w:r w:rsidRPr="00A013E1">
        <w:rPr>
          <w:rFonts w:ascii="Times New Roman" w:hAnsi="Times New Roman" w:cs="Times New Roman"/>
          <w:lang w:val="ru-RU"/>
        </w:rPr>
        <w:tab/>
        <w:t>Ако е необходимо, върху бордовата станция за пречистване на отпадъчни води трябва да има допълнителна подвижна табела, изработена от траен материал, която да съдържа цялата информация, посочена в точка 1.1, и да е поставена по такъв начин, че споменатата информация да е ясночетима и леснодостъпна след монтирането на бордовата станция за пречистване на отпадъчни води на борда на плавателното средство.</w:t>
      </w:r>
    </w:p>
    <w:p w14:paraId="021BEBED"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1.4</w:t>
      </w:r>
      <w:r w:rsidRPr="00A013E1">
        <w:rPr>
          <w:rFonts w:ascii="Times New Roman" w:hAnsi="Times New Roman" w:cs="Times New Roman"/>
          <w:lang w:val="ru-RU"/>
        </w:rPr>
        <w:tab/>
        <w:t>Всички части на бордовата станция за пречистване на отпадъчни води, които могат да повлияят на пречистването на отпадъчните води, трябва да бъдат ясно маркирани и идентифицирани.</w:t>
      </w:r>
    </w:p>
    <w:p w14:paraId="04368472" w14:textId="77777777" w:rsidR="00271FA2" w:rsidRPr="00A013E1" w:rsidRDefault="00D35E51" w:rsidP="001C0B55">
      <w:pPr>
        <w:spacing w:after="240"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1.5</w:t>
      </w:r>
      <w:r w:rsidRPr="00A013E1">
        <w:rPr>
          <w:rFonts w:ascii="Times New Roman" w:hAnsi="Times New Roman" w:cs="Times New Roman"/>
          <w:lang w:val="ru-RU"/>
        </w:rPr>
        <w:tab/>
        <w:t xml:space="preserve">Точното местоположение на маркировката, посочена в точка 1.1, се посочва в раздел </w:t>
      </w:r>
      <w:r w:rsidRPr="00A013E1">
        <w:rPr>
          <w:rFonts w:ascii="Times New Roman" w:hAnsi="Times New Roman" w:cs="Times New Roman"/>
        </w:rPr>
        <w:t>I</w:t>
      </w:r>
      <w:r w:rsidRPr="00A013E1">
        <w:rPr>
          <w:rFonts w:ascii="Times New Roman" w:hAnsi="Times New Roman" w:cs="Times New Roman"/>
          <w:lang w:val="ru-RU"/>
        </w:rPr>
        <w:t xml:space="preserve"> на удостоверението за одобрение на типа.</w:t>
      </w:r>
    </w:p>
    <w:p w14:paraId="3A83B660" w14:textId="77777777" w:rsidR="00271FA2" w:rsidRPr="00A013E1" w:rsidRDefault="00D35E51" w:rsidP="008860C6">
      <w:pPr>
        <w:spacing w:line="240" w:lineRule="atLeast"/>
        <w:ind w:left="851" w:hanging="851"/>
        <w:jc w:val="both"/>
        <w:rPr>
          <w:rFonts w:ascii="Times New Roman" w:hAnsi="Times New Roman" w:cs="Times New Roman"/>
          <w:b/>
          <w:lang w:val="ru-RU"/>
        </w:rPr>
      </w:pPr>
      <w:r w:rsidRPr="00A013E1">
        <w:rPr>
          <w:rFonts w:ascii="Times New Roman" w:hAnsi="Times New Roman" w:cs="Times New Roman"/>
          <w:b/>
          <w:lang w:val="ru-RU"/>
        </w:rPr>
        <w:t>2.</w:t>
      </w:r>
      <w:r w:rsidRPr="00A013E1">
        <w:rPr>
          <w:rFonts w:ascii="Times New Roman" w:hAnsi="Times New Roman" w:cs="Times New Roman"/>
          <w:b/>
          <w:lang w:val="ru-RU"/>
        </w:rPr>
        <w:tab/>
        <w:t>Изпитване</w:t>
      </w:r>
    </w:p>
    <w:p w14:paraId="69F84ABE" w14:textId="77777777" w:rsidR="00271FA2" w:rsidRPr="00A013E1" w:rsidRDefault="00D35E51" w:rsidP="005509BB">
      <w:pPr>
        <w:spacing w:after="240"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ab/>
        <w:t xml:space="preserve">Процедурата за изпитване на бордовата станция за пречистване на отпадъчни води е посочена в Раздел </w:t>
      </w:r>
      <w:r w:rsidRPr="00A013E1">
        <w:rPr>
          <w:rFonts w:ascii="Times New Roman" w:hAnsi="Times New Roman" w:cs="Times New Roman"/>
        </w:rPr>
        <w:t>IX</w:t>
      </w:r>
      <w:r w:rsidRPr="00A013E1">
        <w:rPr>
          <w:rFonts w:ascii="Times New Roman" w:hAnsi="Times New Roman" w:cs="Times New Roman"/>
          <w:lang w:val="ru-RU"/>
        </w:rPr>
        <w:t>.</w:t>
      </w:r>
    </w:p>
    <w:p w14:paraId="75584FAF" w14:textId="77777777" w:rsidR="00271FA2" w:rsidRPr="00A013E1" w:rsidRDefault="00D35E51" w:rsidP="008860C6">
      <w:pPr>
        <w:spacing w:line="240" w:lineRule="atLeast"/>
        <w:ind w:left="851" w:hanging="851"/>
        <w:jc w:val="both"/>
        <w:outlineLvl w:val="0"/>
        <w:rPr>
          <w:rFonts w:ascii="Times New Roman" w:hAnsi="Times New Roman" w:cs="Times New Roman"/>
          <w:b/>
          <w:lang w:val="ru-RU"/>
        </w:rPr>
      </w:pPr>
      <w:r w:rsidRPr="00A013E1">
        <w:rPr>
          <w:rFonts w:ascii="Times New Roman" w:hAnsi="Times New Roman" w:cs="Times New Roman"/>
          <w:b/>
          <w:lang w:val="ru-RU"/>
        </w:rPr>
        <w:t>3.</w:t>
      </w:r>
      <w:r w:rsidRPr="00A013E1">
        <w:rPr>
          <w:rFonts w:ascii="Times New Roman" w:hAnsi="Times New Roman" w:cs="Times New Roman"/>
          <w:lang w:val="ru-RU"/>
        </w:rPr>
        <w:tab/>
      </w:r>
      <w:r w:rsidRPr="00A013E1">
        <w:rPr>
          <w:rFonts w:ascii="Times New Roman" w:hAnsi="Times New Roman" w:cs="Times New Roman"/>
          <w:b/>
          <w:lang w:val="ru-RU"/>
        </w:rPr>
        <w:t>Оценка на съответствието на производството</w:t>
      </w:r>
    </w:p>
    <w:p w14:paraId="57F5E5A8" w14:textId="77777777" w:rsidR="00271FA2" w:rsidRPr="00A013E1" w:rsidRDefault="00D35E51" w:rsidP="008860C6">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3.1</w:t>
      </w:r>
      <w:r w:rsidRPr="00A013E1">
        <w:rPr>
          <w:rFonts w:ascii="Times New Roman" w:hAnsi="Times New Roman" w:cs="Times New Roman"/>
          <w:lang w:val="ru-RU"/>
        </w:rPr>
        <w:tab/>
        <w:t>По отношение на проверката на наличието на задоволителни мерки и процедури за осигуряване на ефективен контрол на съответствието на производството, преди да издаде одобрение на типа, компетентният орган трябва да приеме регистрацията на</w:t>
      </w:r>
      <w:r w:rsidR="00DD41AC" w:rsidRPr="00A013E1">
        <w:rPr>
          <w:rFonts w:ascii="Times New Roman" w:hAnsi="Times New Roman" w:cs="Times New Roman"/>
          <w:lang w:val="ru-RU"/>
        </w:rPr>
        <w:t xml:space="preserve"> производителя по хармонизиран С</w:t>
      </w:r>
      <w:r w:rsidRPr="00A013E1">
        <w:rPr>
          <w:rFonts w:ascii="Times New Roman" w:hAnsi="Times New Roman" w:cs="Times New Roman"/>
          <w:lang w:val="ru-RU"/>
        </w:rPr>
        <w:t xml:space="preserve">тандарт </w:t>
      </w:r>
      <w:r w:rsidRPr="00A013E1">
        <w:rPr>
          <w:rFonts w:ascii="Times New Roman" w:hAnsi="Times New Roman" w:cs="Times New Roman"/>
        </w:rPr>
        <w:t>EN</w:t>
      </w:r>
      <w:r w:rsidRPr="00A013E1">
        <w:rPr>
          <w:rFonts w:ascii="Times New Roman" w:hAnsi="Times New Roman" w:cs="Times New Roman"/>
          <w:lang w:val="ru-RU"/>
        </w:rPr>
        <w:t xml:space="preserve"> </w:t>
      </w:r>
      <w:r w:rsidRPr="00A013E1">
        <w:rPr>
          <w:rFonts w:ascii="Times New Roman" w:hAnsi="Times New Roman" w:cs="Times New Roman"/>
        </w:rPr>
        <w:t>ISO</w:t>
      </w:r>
      <w:r w:rsidRPr="00A013E1">
        <w:rPr>
          <w:rFonts w:ascii="Times New Roman" w:hAnsi="Times New Roman" w:cs="Times New Roman"/>
          <w:lang w:val="ru-RU"/>
        </w:rPr>
        <w:t xml:space="preserve"> 9001:2015 (в чийто обхват влиза производството на въпросните бордови станции за пречистване на отпадъчни води) или еквивалентен стандарт за акредитиране като изпълняваща изискванията. Производителят трябва да представи подробна информация за регистрацията и се задължава да информира компетентния орган за всякакви промени на валидността или обхвата ѝ. Провеждат се подходящи проверки на </w:t>
      </w:r>
      <w:r w:rsidRPr="00A013E1">
        <w:rPr>
          <w:rFonts w:ascii="Times New Roman" w:hAnsi="Times New Roman" w:cs="Times New Roman"/>
          <w:lang w:val="ru-RU"/>
        </w:rPr>
        <w:lastRenderedPageBreak/>
        <w:t xml:space="preserve">производството с цел да се гарантира, че изискванията на член 18.01, точки 2 - 5 се спазват системно. </w:t>
      </w:r>
    </w:p>
    <w:p w14:paraId="0F784C41"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3.2</w:t>
      </w:r>
      <w:r w:rsidRPr="00A013E1">
        <w:rPr>
          <w:rFonts w:ascii="Times New Roman" w:hAnsi="Times New Roman" w:cs="Times New Roman"/>
          <w:lang w:val="ru-RU"/>
        </w:rPr>
        <w:tab/>
        <w:t>Притежателят на одобрението на типа трябва:</w:t>
      </w:r>
    </w:p>
    <w:p w14:paraId="15121483"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3.2.1</w:t>
      </w:r>
      <w:r w:rsidRPr="00A013E1">
        <w:rPr>
          <w:rFonts w:ascii="Times New Roman" w:hAnsi="Times New Roman" w:cs="Times New Roman"/>
          <w:lang w:val="ru-RU"/>
        </w:rPr>
        <w:tab/>
        <w:t xml:space="preserve">да гарантира, че са въведени процедури за ефикасен контрол на качеството на продукта; </w:t>
      </w:r>
    </w:p>
    <w:p w14:paraId="71A99039"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3.2.2</w:t>
      </w:r>
      <w:r w:rsidRPr="00A013E1">
        <w:rPr>
          <w:rFonts w:ascii="Times New Roman" w:hAnsi="Times New Roman" w:cs="Times New Roman"/>
          <w:lang w:val="ru-RU"/>
        </w:rPr>
        <w:tab/>
        <w:t xml:space="preserve">да има достъп до оборудването за изпитване, необходимо за проверка на съответствието с всеки тип с одобрение на типа; </w:t>
      </w:r>
    </w:p>
    <w:p w14:paraId="110EC21C"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3.2.3</w:t>
      </w:r>
      <w:r w:rsidRPr="00A013E1">
        <w:rPr>
          <w:rFonts w:ascii="Times New Roman" w:hAnsi="Times New Roman" w:cs="Times New Roman"/>
          <w:lang w:val="ru-RU"/>
        </w:rPr>
        <w:tab/>
        <w:t xml:space="preserve">да гарантира, че резултатите от изпитванията са записани и че тези записи и съответните документи остават на разположение за период, който се определя съвместно с компетентния орган; </w:t>
      </w:r>
    </w:p>
    <w:p w14:paraId="7E39791F"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3.2.4</w:t>
      </w:r>
      <w:r w:rsidRPr="00A013E1">
        <w:rPr>
          <w:rFonts w:ascii="Times New Roman" w:hAnsi="Times New Roman" w:cs="Times New Roman"/>
          <w:lang w:val="ru-RU"/>
        </w:rPr>
        <w:tab/>
        <w:t xml:space="preserve">да анализира подробно резултатите от всеки вид изпитване, за да провери и гарантира съответствието на характеристиките на бордовата станция за пречистване на отпадъчни води, като предвижда възможност за стандартни отклонения при серийното производство; </w:t>
      </w:r>
    </w:p>
    <w:p w14:paraId="7DE88901"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3.2.5</w:t>
      </w:r>
      <w:r w:rsidRPr="00A013E1">
        <w:rPr>
          <w:rFonts w:ascii="Times New Roman" w:hAnsi="Times New Roman" w:cs="Times New Roman"/>
          <w:lang w:val="ru-RU"/>
        </w:rPr>
        <w:tab/>
        <w:t>да гарантира, че всички проби от бордови станции за пречистване на отпадъчни води или изпитвателни образци, които показват явно несъответствие при въпросния тип изпитване, водят до допълнително вземане на проби и изпитване, като се вземат всички необходими мерки за възстановяване на съответствието на производството.</w:t>
      </w:r>
    </w:p>
    <w:p w14:paraId="5CDCD72F"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3.3</w:t>
      </w:r>
      <w:r w:rsidRPr="00A013E1">
        <w:rPr>
          <w:rFonts w:ascii="Times New Roman" w:hAnsi="Times New Roman" w:cs="Times New Roman"/>
          <w:lang w:val="ru-RU"/>
        </w:rPr>
        <w:tab/>
        <w:t>Компетентният орган, издал одобрението на типа, може по всяко време да проверява методите за контрол на съответствието, прилагани във всяка производствена база.</w:t>
      </w:r>
    </w:p>
    <w:p w14:paraId="1F380E9A"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3.3.1</w:t>
      </w:r>
      <w:r w:rsidRPr="00A013E1">
        <w:rPr>
          <w:rFonts w:ascii="Times New Roman" w:hAnsi="Times New Roman" w:cs="Times New Roman"/>
          <w:lang w:val="ru-RU"/>
        </w:rPr>
        <w:tab/>
        <w:t>Документацията за изпитването и производството трябва да бъде на разположение на изпитващия при всяко изпитване.</w:t>
      </w:r>
    </w:p>
    <w:p w14:paraId="4494EC55"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3.3.2</w:t>
      </w:r>
      <w:r w:rsidRPr="00A013E1">
        <w:rPr>
          <w:rFonts w:ascii="Times New Roman" w:hAnsi="Times New Roman" w:cs="Times New Roman"/>
          <w:lang w:val="ru-RU"/>
        </w:rPr>
        <w:tab/>
        <w:t>Ако качеството на изпитванията изглежда незадоволително, се прилага следната процедура:</w:t>
      </w:r>
    </w:p>
    <w:p w14:paraId="203B502C" w14:textId="77777777" w:rsidR="00271FA2" w:rsidRPr="00A013E1" w:rsidRDefault="00D35E51" w:rsidP="001C0B55">
      <w:pPr>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3.3.2.1</w:t>
      </w:r>
      <w:r w:rsidRPr="00A013E1">
        <w:rPr>
          <w:rFonts w:ascii="Times New Roman" w:hAnsi="Times New Roman" w:cs="Times New Roman"/>
          <w:lang w:val="ru-RU"/>
        </w:rPr>
        <w:tab/>
        <w:t>От серията се взема една бордова станция за пречистване на отпадъчни води и се изпитва чрез измервания на случайна проба при условията на нормално натоварване от раздел</w:t>
      </w:r>
      <w:r w:rsidRPr="00A013E1">
        <w:rPr>
          <w:rFonts w:ascii="Times New Roman" w:hAnsi="Times New Roman" w:cs="Times New Roman"/>
        </w:rPr>
        <w:t> IX</w:t>
      </w:r>
      <w:r w:rsidRPr="00A013E1">
        <w:rPr>
          <w:rFonts w:ascii="Times New Roman" w:hAnsi="Times New Roman" w:cs="Times New Roman"/>
          <w:lang w:val="ru-RU"/>
        </w:rPr>
        <w:t xml:space="preserve"> след един ден работа. Съгласно методите за изпитване в раздел</w:t>
      </w:r>
      <w:r w:rsidRPr="00A013E1">
        <w:rPr>
          <w:rFonts w:ascii="Times New Roman" w:hAnsi="Times New Roman" w:cs="Times New Roman"/>
        </w:rPr>
        <w:t> IX</w:t>
      </w:r>
      <w:r w:rsidRPr="00A013E1">
        <w:rPr>
          <w:rFonts w:ascii="Times New Roman" w:hAnsi="Times New Roman" w:cs="Times New Roman"/>
          <w:lang w:val="ru-RU"/>
        </w:rPr>
        <w:t>, пречистените отпадъчни води не трябва да надвишават стойностите, дадени в член 18.01, точка 2, таблица 2.</w:t>
      </w:r>
    </w:p>
    <w:p w14:paraId="1E7F72EA" w14:textId="7467E0B3" w:rsidR="00271FA2" w:rsidRPr="00A013E1" w:rsidRDefault="00D35E51" w:rsidP="001C0B55">
      <w:pPr>
        <w:tabs>
          <w:tab w:val="left" w:pos="709"/>
          <w:tab w:val="left" w:pos="851"/>
        </w:tabs>
        <w:suppressAutoHyphens/>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3.3.2.2</w:t>
      </w:r>
      <w:r w:rsidRPr="00A013E1">
        <w:rPr>
          <w:rFonts w:ascii="Times New Roman" w:hAnsi="Times New Roman" w:cs="Times New Roman"/>
          <w:lang w:val="ru-RU"/>
        </w:rPr>
        <w:tab/>
      </w:r>
      <w:r w:rsidR="001C0B55" w:rsidRPr="00A013E1">
        <w:rPr>
          <w:rFonts w:ascii="Times New Roman" w:hAnsi="Times New Roman" w:cs="Times New Roman"/>
          <w:lang w:val="ru-RU"/>
        </w:rPr>
        <w:tab/>
      </w:r>
      <w:r w:rsidRPr="00A013E1">
        <w:rPr>
          <w:rFonts w:ascii="Times New Roman" w:hAnsi="Times New Roman" w:cs="Times New Roman"/>
          <w:lang w:val="ru-RU"/>
        </w:rPr>
        <w:t xml:space="preserve">Ако бордова станция за пречистване на отпадъчни води, взета от серията, не отговаря на изискванията, формулирани в (3.3.2.1), производителят може да поиска да бъдат проведени измервания на случайна проба от няколко бордови станции за пречистване на отпадъчни води със същата спецификация, които се вземат от серията. Тази нова проба трябва да включва бордовата станция за пречистване на отпадъчни води, която е била взета първоначално. </w:t>
      </w:r>
    </w:p>
    <w:p w14:paraId="1A684710" w14:textId="55EB5A16" w:rsidR="00271FA2" w:rsidRPr="00A013E1" w:rsidRDefault="001C0B55" w:rsidP="001C0B55">
      <w:pPr>
        <w:tabs>
          <w:tab w:val="left" w:pos="709"/>
        </w:tabs>
        <w:suppressAutoHyphens/>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ab/>
      </w:r>
      <w:r w:rsidRPr="00A013E1">
        <w:rPr>
          <w:rFonts w:ascii="Times New Roman" w:hAnsi="Times New Roman" w:cs="Times New Roman"/>
          <w:lang w:val="ru-RU"/>
        </w:rPr>
        <w:tab/>
      </w:r>
      <w:r w:rsidR="00D35E51" w:rsidRPr="00A013E1">
        <w:rPr>
          <w:rFonts w:ascii="Times New Roman" w:hAnsi="Times New Roman" w:cs="Times New Roman"/>
          <w:lang w:val="ru-RU"/>
        </w:rPr>
        <w:t xml:space="preserve">Производителят определя обхвата </w:t>
      </w:r>
      <m:oMath>
        <m:r>
          <w:rPr>
            <w:rFonts w:ascii="Cambria Math" w:hAnsi="Cambria Math" w:cs="Times New Roman"/>
            <w:lang w:val="ru-RU"/>
          </w:rPr>
          <m:t>'</m:t>
        </m:r>
        <m:r>
          <w:rPr>
            <w:rFonts w:ascii="Cambria Math" w:hAnsi="Cambria Math" w:cs="Times New Roman"/>
          </w:rPr>
          <m:t>n</m:t>
        </m:r>
        <m:r>
          <w:rPr>
            <w:rFonts w:ascii="Cambria Math" w:hAnsi="Cambria Math" w:cs="Times New Roman"/>
            <w:lang w:val="ru-RU"/>
          </w:rPr>
          <m:t>'</m:t>
        </m:r>
      </m:oMath>
      <w:r w:rsidR="00D35E51" w:rsidRPr="00A013E1">
        <w:rPr>
          <w:rFonts w:ascii="Times New Roman" w:hAnsi="Times New Roman" w:cs="Times New Roman"/>
          <w:lang w:val="ru-RU"/>
        </w:rPr>
        <w:t xml:space="preserve"> на серията като се консултира с компетентния орган. Бордовите станции за пречистване на отпадъчни води се подлагат на изпитване чрез измерване на случайна проба, с изключение на първоначално изпитваната пречиствателна станция. След това трябва да бъде определена средната аритметична стойност </w:t>
      </w:r>
      <m:oMath>
        <m:r>
          <w:rPr>
            <w:rFonts w:ascii="Cambria Math" w:hAnsi="Cambria Math" w:cs="Times New Roman"/>
            <w:lang w:val="ru-RU"/>
          </w:rPr>
          <m:t>(</m:t>
        </m:r>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lang w:val="ru-RU"/>
          </w:rPr>
          <m:t>)</m:t>
        </m:r>
      </m:oMath>
      <w:r w:rsidR="00D35E51" w:rsidRPr="00A013E1">
        <w:rPr>
          <w:rFonts w:ascii="Times New Roman" w:hAnsi="Times New Roman" w:cs="Times New Roman"/>
          <w:lang w:val="ru-RU"/>
        </w:rPr>
        <w:t xml:space="preserve"> на резултатите, получени за произволната проба от бордовата станция за пречистване на отпадъчни води. Серийното производство се счита за съответстващо на изискванията, ако е изпълнено следното условие:</w:t>
      </w:r>
    </w:p>
    <w:p w14:paraId="2D7AF24D" w14:textId="77777777" w:rsidR="00271FA2" w:rsidRPr="00A013E1" w:rsidRDefault="002C62EC">
      <w:pPr>
        <w:suppressAutoHyphens/>
        <w:spacing w:line="240" w:lineRule="atLeast"/>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 xml:space="preserve">+k ∙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r>
            <w:rPr>
              <w:rFonts w:ascii="Cambria Math" w:hAnsi="Cambria Math" w:cs="Times New Roman"/>
            </w:rPr>
            <m:t xml:space="preserve"> ≤L</m:t>
          </m:r>
        </m:oMath>
      </m:oMathPara>
    </w:p>
    <w:p w14:paraId="60AE445E" w14:textId="77777777" w:rsidR="00271FA2" w:rsidRPr="00A013E1" w:rsidRDefault="00D35E51">
      <w:pPr>
        <w:tabs>
          <w:tab w:val="left" w:pos="709"/>
        </w:tabs>
        <w:suppressAutoHyphens/>
        <w:overflowPunct w:val="0"/>
        <w:spacing w:line="240" w:lineRule="atLeast"/>
        <w:ind w:left="709"/>
        <w:textAlignment w:val="baseline"/>
        <w:rPr>
          <w:rFonts w:ascii="Times New Roman" w:hAnsi="Times New Roman" w:cs="Times New Roman"/>
          <w:lang w:val="ru-RU"/>
        </w:rPr>
      </w:pPr>
      <w:r w:rsidRPr="00A013E1">
        <w:rPr>
          <w:rFonts w:ascii="Times New Roman" w:hAnsi="Times New Roman" w:cs="Times New Roman"/>
          <w:lang w:val="ru-RU"/>
        </w:rPr>
        <w:t>Където:</w:t>
      </w:r>
    </w:p>
    <w:p w14:paraId="1881C688" w14:textId="77777777" w:rsidR="00271FA2" w:rsidRPr="00A013E1" w:rsidRDefault="00D35E51">
      <w:pPr>
        <w:tabs>
          <w:tab w:val="left" w:pos="709"/>
          <w:tab w:val="left" w:pos="851"/>
        </w:tabs>
        <w:suppressAutoHyphens/>
        <w:spacing w:line="240" w:lineRule="atLeast"/>
        <w:ind w:left="709" w:hanging="709"/>
        <w:rPr>
          <w:rFonts w:ascii="Times New Roman" w:hAnsi="Times New Roman" w:cs="Times New Roman"/>
          <w:lang w:val="ru-RU"/>
        </w:rPr>
      </w:pPr>
      <w:r w:rsidRPr="00A013E1">
        <w:rPr>
          <w:rFonts w:ascii="Times New Roman" w:hAnsi="Times New Roman" w:cs="Times New Roman"/>
          <w:lang w:val="ru-RU"/>
        </w:rPr>
        <w:tab/>
      </w:r>
      <m:oMath>
        <m:r>
          <w:rPr>
            <w:rFonts w:ascii="Cambria Math" w:hAnsi="Cambria Math" w:cs="Times New Roman"/>
          </w:rPr>
          <m:t>k</m:t>
        </m:r>
      </m:oMath>
      <w:r w:rsidRPr="00A013E1">
        <w:rPr>
          <w:rFonts w:ascii="Times New Roman" w:hAnsi="Times New Roman" w:cs="Times New Roman"/>
          <w:lang w:val="ru-RU"/>
        </w:rPr>
        <w:t>:</w:t>
      </w:r>
      <w:r w:rsidRPr="00A013E1">
        <w:rPr>
          <w:rFonts w:ascii="Times New Roman" w:hAnsi="Times New Roman" w:cs="Times New Roman"/>
          <w:lang w:val="ru-RU"/>
        </w:rPr>
        <w:tab/>
        <w:t xml:space="preserve">е статистически множител, който зависи от </w:t>
      </w:r>
      <m:oMath>
        <m:r>
          <w:rPr>
            <w:rFonts w:ascii="Cambria Math" w:hAnsi="Cambria Math" w:cs="Times New Roman"/>
            <w:lang w:val="ru-RU"/>
          </w:rPr>
          <m:t>'</m:t>
        </m:r>
        <m:r>
          <w:rPr>
            <w:rFonts w:ascii="Cambria Math" w:hAnsi="Cambria Math" w:cs="Times New Roman"/>
          </w:rPr>
          <m:t>n</m:t>
        </m:r>
        <m:r>
          <w:rPr>
            <w:rFonts w:ascii="Cambria Math" w:hAnsi="Cambria Math" w:cs="Times New Roman"/>
            <w:lang w:val="ru-RU"/>
          </w:rPr>
          <m:t>'</m:t>
        </m:r>
      </m:oMath>
      <w:r w:rsidRPr="00A013E1">
        <w:rPr>
          <w:rFonts w:ascii="Times New Roman" w:hAnsi="Times New Roman" w:cs="Times New Roman"/>
          <w:lang w:val="ru-RU"/>
        </w:rPr>
        <w:t xml:space="preserve"> и е даден в следната таблица:</w:t>
      </w:r>
    </w:p>
    <w:tbl>
      <w:tblPr>
        <w:tblW w:w="0" w:type="auto"/>
        <w:jc w:val="center"/>
        <w:tblLayout w:type="fixed"/>
        <w:tblCellMar>
          <w:left w:w="70" w:type="dxa"/>
          <w:right w:w="70" w:type="dxa"/>
        </w:tblCellMar>
        <w:tblLook w:val="04A0" w:firstRow="1" w:lastRow="0" w:firstColumn="1" w:lastColumn="0" w:noHBand="0" w:noVBand="1"/>
      </w:tblPr>
      <w:tblGrid>
        <w:gridCol w:w="709"/>
        <w:gridCol w:w="850"/>
        <w:gridCol w:w="851"/>
        <w:gridCol w:w="850"/>
        <w:gridCol w:w="851"/>
        <w:gridCol w:w="850"/>
        <w:gridCol w:w="851"/>
        <w:gridCol w:w="850"/>
        <w:gridCol w:w="851"/>
        <w:gridCol w:w="975"/>
      </w:tblGrid>
      <w:tr w:rsidR="00271FA2" w:rsidRPr="00A013E1" w14:paraId="66727015" w14:textId="77777777">
        <w:trPr>
          <w:jc w:val="center"/>
        </w:trPr>
        <w:tc>
          <w:tcPr>
            <w:tcW w:w="709" w:type="dxa"/>
            <w:tcBorders>
              <w:top w:val="single" w:sz="4" w:space="0" w:color="000000"/>
              <w:left w:val="single" w:sz="4" w:space="0" w:color="000000"/>
              <w:bottom w:val="single" w:sz="4" w:space="0" w:color="000000"/>
            </w:tcBorders>
          </w:tcPr>
          <w:p w14:paraId="45AA16F6" w14:textId="77777777" w:rsidR="00271FA2" w:rsidRPr="00A013E1" w:rsidRDefault="00D35E51">
            <w:pPr>
              <w:suppressAutoHyphens/>
              <w:snapToGrid w:val="0"/>
              <w:spacing w:line="240" w:lineRule="atLeast"/>
              <w:jc w:val="center"/>
              <w:rPr>
                <w:rFonts w:ascii="Times New Roman" w:hAnsi="Times New Roman" w:cs="Times New Roman"/>
              </w:rPr>
            </w:pPr>
            <m:oMathPara>
              <m:oMath>
                <m:r>
                  <w:rPr>
                    <w:rFonts w:ascii="Cambria Math" w:hAnsi="Cambria Math" w:cs="Times New Roman"/>
                  </w:rPr>
                  <m:t>n</m:t>
                </m:r>
              </m:oMath>
            </m:oMathPara>
          </w:p>
        </w:tc>
        <w:tc>
          <w:tcPr>
            <w:tcW w:w="850" w:type="dxa"/>
            <w:tcBorders>
              <w:top w:val="single" w:sz="4" w:space="0" w:color="000000"/>
              <w:left w:val="single" w:sz="4" w:space="0" w:color="000000"/>
              <w:bottom w:val="single" w:sz="4" w:space="0" w:color="000000"/>
            </w:tcBorders>
          </w:tcPr>
          <w:p w14:paraId="293FC71E"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2</w:t>
            </w:r>
          </w:p>
        </w:tc>
        <w:tc>
          <w:tcPr>
            <w:tcW w:w="851" w:type="dxa"/>
            <w:tcBorders>
              <w:top w:val="single" w:sz="4" w:space="0" w:color="000000"/>
              <w:left w:val="single" w:sz="4" w:space="0" w:color="000000"/>
              <w:bottom w:val="single" w:sz="4" w:space="0" w:color="000000"/>
            </w:tcBorders>
          </w:tcPr>
          <w:p w14:paraId="0EC68505"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3</w:t>
            </w:r>
          </w:p>
        </w:tc>
        <w:tc>
          <w:tcPr>
            <w:tcW w:w="850" w:type="dxa"/>
            <w:tcBorders>
              <w:top w:val="single" w:sz="4" w:space="0" w:color="000000"/>
              <w:left w:val="single" w:sz="4" w:space="0" w:color="000000"/>
              <w:bottom w:val="single" w:sz="4" w:space="0" w:color="000000"/>
            </w:tcBorders>
          </w:tcPr>
          <w:p w14:paraId="70E9D05A"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4</w:t>
            </w:r>
          </w:p>
        </w:tc>
        <w:tc>
          <w:tcPr>
            <w:tcW w:w="851" w:type="dxa"/>
            <w:tcBorders>
              <w:top w:val="single" w:sz="4" w:space="0" w:color="000000"/>
              <w:left w:val="single" w:sz="4" w:space="0" w:color="000000"/>
              <w:bottom w:val="single" w:sz="4" w:space="0" w:color="000000"/>
            </w:tcBorders>
          </w:tcPr>
          <w:p w14:paraId="54EB0E18"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5</w:t>
            </w:r>
          </w:p>
        </w:tc>
        <w:tc>
          <w:tcPr>
            <w:tcW w:w="850" w:type="dxa"/>
            <w:tcBorders>
              <w:top w:val="single" w:sz="4" w:space="0" w:color="000000"/>
              <w:left w:val="single" w:sz="4" w:space="0" w:color="000000"/>
              <w:bottom w:val="single" w:sz="4" w:space="0" w:color="000000"/>
            </w:tcBorders>
          </w:tcPr>
          <w:p w14:paraId="5888A33B"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6</w:t>
            </w:r>
          </w:p>
        </w:tc>
        <w:tc>
          <w:tcPr>
            <w:tcW w:w="851" w:type="dxa"/>
            <w:tcBorders>
              <w:top w:val="single" w:sz="4" w:space="0" w:color="000000"/>
              <w:left w:val="single" w:sz="4" w:space="0" w:color="000000"/>
              <w:bottom w:val="single" w:sz="4" w:space="0" w:color="000000"/>
            </w:tcBorders>
          </w:tcPr>
          <w:p w14:paraId="0CEAF996"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7</w:t>
            </w:r>
          </w:p>
        </w:tc>
        <w:tc>
          <w:tcPr>
            <w:tcW w:w="850" w:type="dxa"/>
            <w:tcBorders>
              <w:top w:val="single" w:sz="4" w:space="0" w:color="000000"/>
              <w:left w:val="single" w:sz="4" w:space="0" w:color="000000"/>
              <w:bottom w:val="single" w:sz="4" w:space="0" w:color="000000"/>
            </w:tcBorders>
          </w:tcPr>
          <w:p w14:paraId="2D75993B"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8</w:t>
            </w:r>
          </w:p>
        </w:tc>
        <w:tc>
          <w:tcPr>
            <w:tcW w:w="851" w:type="dxa"/>
            <w:tcBorders>
              <w:top w:val="single" w:sz="4" w:space="0" w:color="000000"/>
              <w:left w:val="single" w:sz="4" w:space="0" w:color="000000"/>
              <w:bottom w:val="single" w:sz="4" w:space="0" w:color="000000"/>
            </w:tcBorders>
          </w:tcPr>
          <w:p w14:paraId="13842695"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9</w:t>
            </w:r>
          </w:p>
        </w:tc>
        <w:tc>
          <w:tcPr>
            <w:tcW w:w="975" w:type="dxa"/>
            <w:tcBorders>
              <w:top w:val="single" w:sz="4" w:space="0" w:color="000000"/>
              <w:left w:val="single" w:sz="4" w:space="0" w:color="000000"/>
              <w:bottom w:val="single" w:sz="4" w:space="0" w:color="000000"/>
              <w:right w:val="single" w:sz="4" w:space="0" w:color="000000"/>
            </w:tcBorders>
          </w:tcPr>
          <w:p w14:paraId="4FC8D3CE"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10</w:t>
            </w:r>
          </w:p>
        </w:tc>
      </w:tr>
      <w:tr w:rsidR="00271FA2" w:rsidRPr="00A013E1" w14:paraId="501F6275" w14:textId="77777777">
        <w:trPr>
          <w:jc w:val="center"/>
        </w:trPr>
        <w:tc>
          <w:tcPr>
            <w:tcW w:w="709" w:type="dxa"/>
            <w:tcBorders>
              <w:top w:val="single" w:sz="4" w:space="0" w:color="000000"/>
              <w:left w:val="single" w:sz="4" w:space="0" w:color="000000"/>
              <w:bottom w:val="double" w:sz="4" w:space="0" w:color="auto"/>
              <w:right w:val="single" w:sz="4" w:space="0" w:color="000000"/>
            </w:tcBorders>
          </w:tcPr>
          <w:p w14:paraId="4F42C532" w14:textId="77777777" w:rsidR="00271FA2" w:rsidRPr="00A013E1" w:rsidRDefault="00D35E51">
            <w:pPr>
              <w:suppressAutoHyphens/>
              <w:snapToGrid w:val="0"/>
              <w:spacing w:line="240" w:lineRule="atLeast"/>
              <w:jc w:val="center"/>
              <w:rPr>
                <w:rFonts w:ascii="Times New Roman" w:hAnsi="Times New Roman" w:cs="Times New Roman"/>
              </w:rPr>
            </w:pPr>
            <m:oMathPara>
              <m:oMath>
                <m:r>
                  <w:rPr>
                    <w:rFonts w:ascii="Cambria Math" w:hAnsi="Cambria Math" w:cs="Times New Roman"/>
                  </w:rPr>
                  <m:t>k</m:t>
                </m:r>
              </m:oMath>
            </m:oMathPara>
          </w:p>
        </w:tc>
        <w:tc>
          <w:tcPr>
            <w:tcW w:w="850" w:type="dxa"/>
            <w:tcBorders>
              <w:top w:val="single" w:sz="4" w:space="0" w:color="000000"/>
              <w:left w:val="single" w:sz="4" w:space="0" w:color="000000"/>
              <w:bottom w:val="double" w:sz="4" w:space="0" w:color="auto"/>
              <w:right w:val="single" w:sz="4" w:space="0" w:color="000000"/>
            </w:tcBorders>
          </w:tcPr>
          <w:p w14:paraId="4F93FAC3"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0,973</w:t>
            </w:r>
          </w:p>
        </w:tc>
        <w:tc>
          <w:tcPr>
            <w:tcW w:w="851" w:type="dxa"/>
            <w:tcBorders>
              <w:top w:val="single" w:sz="4" w:space="0" w:color="000000"/>
              <w:left w:val="single" w:sz="4" w:space="0" w:color="000000"/>
              <w:bottom w:val="double" w:sz="4" w:space="0" w:color="auto"/>
              <w:right w:val="single" w:sz="4" w:space="0" w:color="000000"/>
            </w:tcBorders>
          </w:tcPr>
          <w:p w14:paraId="7B07DE62"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0,613</w:t>
            </w:r>
          </w:p>
        </w:tc>
        <w:tc>
          <w:tcPr>
            <w:tcW w:w="850" w:type="dxa"/>
            <w:tcBorders>
              <w:top w:val="single" w:sz="4" w:space="0" w:color="000000"/>
              <w:left w:val="single" w:sz="4" w:space="0" w:color="000000"/>
              <w:bottom w:val="double" w:sz="4" w:space="0" w:color="auto"/>
              <w:right w:val="single" w:sz="4" w:space="0" w:color="000000"/>
            </w:tcBorders>
          </w:tcPr>
          <w:p w14:paraId="77EB43BE"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0,489</w:t>
            </w:r>
          </w:p>
        </w:tc>
        <w:tc>
          <w:tcPr>
            <w:tcW w:w="851" w:type="dxa"/>
            <w:tcBorders>
              <w:top w:val="single" w:sz="4" w:space="0" w:color="000000"/>
              <w:left w:val="single" w:sz="4" w:space="0" w:color="000000"/>
              <w:bottom w:val="double" w:sz="4" w:space="0" w:color="auto"/>
              <w:right w:val="single" w:sz="4" w:space="0" w:color="000000"/>
            </w:tcBorders>
          </w:tcPr>
          <w:p w14:paraId="1792D0D4"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0,421</w:t>
            </w:r>
          </w:p>
        </w:tc>
        <w:tc>
          <w:tcPr>
            <w:tcW w:w="850" w:type="dxa"/>
            <w:tcBorders>
              <w:top w:val="single" w:sz="4" w:space="0" w:color="000000"/>
              <w:left w:val="single" w:sz="4" w:space="0" w:color="000000"/>
              <w:bottom w:val="double" w:sz="4" w:space="0" w:color="auto"/>
              <w:right w:val="single" w:sz="4" w:space="0" w:color="000000"/>
            </w:tcBorders>
          </w:tcPr>
          <w:p w14:paraId="766211C8"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0,376</w:t>
            </w:r>
          </w:p>
        </w:tc>
        <w:tc>
          <w:tcPr>
            <w:tcW w:w="851" w:type="dxa"/>
            <w:tcBorders>
              <w:top w:val="single" w:sz="4" w:space="0" w:color="000000"/>
              <w:left w:val="single" w:sz="4" w:space="0" w:color="000000"/>
              <w:bottom w:val="double" w:sz="4" w:space="0" w:color="auto"/>
              <w:right w:val="single" w:sz="4" w:space="0" w:color="000000"/>
            </w:tcBorders>
          </w:tcPr>
          <w:p w14:paraId="2B510B69"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0,342</w:t>
            </w:r>
          </w:p>
        </w:tc>
        <w:tc>
          <w:tcPr>
            <w:tcW w:w="850" w:type="dxa"/>
            <w:tcBorders>
              <w:top w:val="single" w:sz="4" w:space="0" w:color="000000"/>
              <w:left w:val="single" w:sz="4" w:space="0" w:color="000000"/>
              <w:bottom w:val="double" w:sz="4" w:space="0" w:color="auto"/>
              <w:right w:val="single" w:sz="4" w:space="0" w:color="000000"/>
            </w:tcBorders>
          </w:tcPr>
          <w:p w14:paraId="5F2F8865"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0,317</w:t>
            </w:r>
          </w:p>
        </w:tc>
        <w:tc>
          <w:tcPr>
            <w:tcW w:w="851" w:type="dxa"/>
            <w:tcBorders>
              <w:top w:val="single" w:sz="4" w:space="0" w:color="000000"/>
              <w:left w:val="single" w:sz="4" w:space="0" w:color="000000"/>
              <w:bottom w:val="double" w:sz="4" w:space="0" w:color="auto"/>
              <w:right w:val="single" w:sz="4" w:space="0" w:color="000000"/>
            </w:tcBorders>
          </w:tcPr>
          <w:p w14:paraId="3D906EF2"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0,296</w:t>
            </w:r>
          </w:p>
        </w:tc>
        <w:tc>
          <w:tcPr>
            <w:tcW w:w="975" w:type="dxa"/>
            <w:tcBorders>
              <w:top w:val="single" w:sz="4" w:space="0" w:color="000000"/>
              <w:left w:val="single" w:sz="4" w:space="0" w:color="000000"/>
              <w:bottom w:val="double" w:sz="4" w:space="0" w:color="auto"/>
              <w:right w:val="single" w:sz="4" w:space="0" w:color="000000"/>
            </w:tcBorders>
          </w:tcPr>
          <w:p w14:paraId="68FD151A"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0,279</w:t>
            </w:r>
          </w:p>
        </w:tc>
      </w:tr>
      <w:tr w:rsidR="00271FA2" w:rsidRPr="00A013E1" w14:paraId="36ACBBE6" w14:textId="77777777">
        <w:trPr>
          <w:jc w:val="center"/>
        </w:trPr>
        <w:tc>
          <w:tcPr>
            <w:tcW w:w="709" w:type="dxa"/>
            <w:tcBorders>
              <w:top w:val="double" w:sz="4" w:space="0" w:color="auto"/>
              <w:left w:val="single" w:sz="4" w:space="0" w:color="000000"/>
              <w:bottom w:val="single" w:sz="4" w:space="0" w:color="000000"/>
              <w:right w:val="single" w:sz="4" w:space="0" w:color="000000"/>
            </w:tcBorders>
          </w:tcPr>
          <w:p w14:paraId="5F10FE70" w14:textId="77777777" w:rsidR="00271FA2" w:rsidRPr="00A013E1" w:rsidRDefault="00D35E51">
            <w:pPr>
              <w:suppressAutoHyphens/>
              <w:snapToGrid w:val="0"/>
              <w:spacing w:line="240" w:lineRule="atLeast"/>
              <w:jc w:val="center"/>
              <w:rPr>
                <w:rFonts w:ascii="Times New Roman" w:hAnsi="Times New Roman" w:cs="Times New Roman"/>
              </w:rPr>
            </w:pPr>
            <m:oMathPara>
              <m:oMath>
                <m:r>
                  <w:rPr>
                    <w:rFonts w:ascii="Cambria Math" w:hAnsi="Cambria Math" w:cs="Times New Roman"/>
                  </w:rPr>
                  <m:t>n</m:t>
                </m:r>
              </m:oMath>
            </m:oMathPara>
          </w:p>
        </w:tc>
        <w:tc>
          <w:tcPr>
            <w:tcW w:w="850" w:type="dxa"/>
            <w:tcBorders>
              <w:top w:val="double" w:sz="4" w:space="0" w:color="auto"/>
              <w:left w:val="single" w:sz="4" w:space="0" w:color="000000"/>
              <w:bottom w:val="single" w:sz="4" w:space="0" w:color="000000"/>
              <w:right w:val="single" w:sz="4" w:space="0" w:color="000000"/>
            </w:tcBorders>
          </w:tcPr>
          <w:p w14:paraId="29FE0A05"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11</w:t>
            </w:r>
          </w:p>
        </w:tc>
        <w:tc>
          <w:tcPr>
            <w:tcW w:w="851" w:type="dxa"/>
            <w:tcBorders>
              <w:top w:val="double" w:sz="4" w:space="0" w:color="auto"/>
              <w:left w:val="single" w:sz="4" w:space="0" w:color="000000"/>
              <w:bottom w:val="single" w:sz="4" w:space="0" w:color="000000"/>
              <w:right w:val="single" w:sz="4" w:space="0" w:color="000000"/>
            </w:tcBorders>
          </w:tcPr>
          <w:p w14:paraId="11D33AE9"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12</w:t>
            </w:r>
          </w:p>
        </w:tc>
        <w:tc>
          <w:tcPr>
            <w:tcW w:w="850" w:type="dxa"/>
            <w:tcBorders>
              <w:top w:val="double" w:sz="4" w:space="0" w:color="auto"/>
              <w:left w:val="single" w:sz="4" w:space="0" w:color="000000"/>
              <w:bottom w:val="single" w:sz="4" w:space="0" w:color="000000"/>
              <w:right w:val="single" w:sz="4" w:space="0" w:color="000000"/>
            </w:tcBorders>
          </w:tcPr>
          <w:p w14:paraId="6F87AEFE"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13</w:t>
            </w:r>
          </w:p>
        </w:tc>
        <w:tc>
          <w:tcPr>
            <w:tcW w:w="851" w:type="dxa"/>
            <w:tcBorders>
              <w:top w:val="double" w:sz="4" w:space="0" w:color="auto"/>
              <w:left w:val="single" w:sz="4" w:space="0" w:color="000000"/>
              <w:bottom w:val="single" w:sz="4" w:space="0" w:color="000000"/>
              <w:right w:val="single" w:sz="4" w:space="0" w:color="000000"/>
            </w:tcBorders>
          </w:tcPr>
          <w:p w14:paraId="435148E0"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14</w:t>
            </w:r>
          </w:p>
        </w:tc>
        <w:tc>
          <w:tcPr>
            <w:tcW w:w="850" w:type="dxa"/>
            <w:tcBorders>
              <w:top w:val="double" w:sz="4" w:space="0" w:color="auto"/>
              <w:left w:val="single" w:sz="4" w:space="0" w:color="000000"/>
              <w:bottom w:val="single" w:sz="4" w:space="0" w:color="000000"/>
              <w:right w:val="single" w:sz="4" w:space="0" w:color="000000"/>
            </w:tcBorders>
          </w:tcPr>
          <w:p w14:paraId="206583EE"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15</w:t>
            </w:r>
          </w:p>
        </w:tc>
        <w:tc>
          <w:tcPr>
            <w:tcW w:w="851" w:type="dxa"/>
            <w:tcBorders>
              <w:top w:val="double" w:sz="4" w:space="0" w:color="auto"/>
              <w:left w:val="single" w:sz="4" w:space="0" w:color="000000"/>
              <w:bottom w:val="single" w:sz="4" w:space="0" w:color="000000"/>
              <w:right w:val="single" w:sz="4" w:space="0" w:color="000000"/>
            </w:tcBorders>
          </w:tcPr>
          <w:p w14:paraId="71831108"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16</w:t>
            </w:r>
          </w:p>
        </w:tc>
        <w:tc>
          <w:tcPr>
            <w:tcW w:w="850" w:type="dxa"/>
            <w:tcBorders>
              <w:top w:val="double" w:sz="4" w:space="0" w:color="auto"/>
              <w:left w:val="single" w:sz="4" w:space="0" w:color="000000"/>
              <w:bottom w:val="single" w:sz="4" w:space="0" w:color="000000"/>
              <w:right w:val="single" w:sz="4" w:space="0" w:color="000000"/>
            </w:tcBorders>
          </w:tcPr>
          <w:p w14:paraId="4C315C5D"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17</w:t>
            </w:r>
          </w:p>
        </w:tc>
        <w:tc>
          <w:tcPr>
            <w:tcW w:w="851" w:type="dxa"/>
            <w:tcBorders>
              <w:top w:val="double" w:sz="4" w:space="0" w:color="auto"/>
              <w:left w:val="single" w:sz="4" w:space="0" w:color="000000"/>
              <w:bottom w:val="single" w:sz="4" w:space="0" w:color="000000"/>
              <w:right w:val="single" w:sz="4" w:space="0" w:color="000000"/>
            </w:tcBorders>
          </w:tcPr>
          <w:p w14:paraId="1CB12A63"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18</w:t>
            </w:r>
          </w:p>
        </w:tc>
        <w:tc>
          <w:tcPr>
            <w:tcW w:w="975" w:type="dxa"/>
            <w:tcBorders>
              <w:top w:val="double" w:sz="4" w:space="0" w:color="auto"/>
              <w:left w:val="single" w:sz="4" w:space="0" w:color="000000"/>
              <w:bottom w:val="single" w:sz="4" w:space="0" w:color="000000"/>
              <w:right w:val="single" w:sz="4" w:space="0" w:color="000000"/>
            </w:tcBorders>
          </w:tcPr>
          <w:p w14:paraId="53B3E032"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19</w:t>
            </w:r>
          </w:p>
        </w:tc>
      </w:tr>
      <w:tr w:rsidR="00271FA2" w:rsidRPr="00A013E1" w14:paraId="204CF2FF" w14:textId="77777777">
        <w:trPr>
          <w:jc w:val="center"/>
        </w:trPr>
        <w:tc>
          <w:tcPr>
            <w:tcW w:w="709" w:type="dxa"/>
            <w:tcBorders>
              <w:top w:val="single" w:sz="4" w:space="0" w:color="000000"/>
              <w:left w:val="single" w:sz="4" w:space="0" w:color="000000"/>
              <w:bottom w:val="single" w:sz="4" w:space="0" w:color="000000"/>
            </w:tcBorders>
          </w:tcPr>
          <w:p w14:paraId="1BB14950" w14:textId="77777777" w:rsidR="00271FA2" w:rsidRPr="00A013E1" w:rsidRDefault="00D35E51">
            <w:pPr>
              <w:suppressAutoHyphens/>
              <w:snapToGrid w:val="0"/>
              <w:spacing w:line="240" w:lineRule="atLeast"/>
              <w:jc w:val="center"/>
              <w:rPr>
                <w:rFonts w:ascii="Times New Roman" w:hAnsi="Times New Roman" w:cs="Times New Roman"/>
              </w:rPr>
            </w:pPr>
            <m:oMathPara>
              <m:oMath>
                <m:r>
                  <w:rPr>
                    <w:rFonts w:ascii="Cambria Math" w:hAnsi="Cambria Math" w:cs="Times New Roman"/>
                  </w:rPr>
                  <w:lastRenderedPageBreak/>
                  <m:t>k</m:t>
                </m:r>
              </m:oMath>
            </m:oMathPara>
          </w:p>
        </w:tc>
        <w:tc>
          <w:tcPr>
            <w:tcW w:w="850" w:type="dxa"/>
            <w:tcBorders>
              <w:top w:val="single" w:sz="4" w:space="0" w:color="000000"/>
              <w:left w:val="single" w:sz="4" w:space="0" w:color="000000"/>
              <w:bottom w:val="single" w:sz="4" w:space="0" w:color="000000"/>
            </w:tcBorders>
          </w:tcPr>
          <w:p w14:paraId="7B5644F8"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0,265</w:t>
            </w:r>
          </w:p>
        </w:tc>
        <w:tc>
          <w:tcPr>
            <w:tcW w:w="851" w:type="dxa"/>
            <w:tcBorders>
              <w:top w:val="single" w:sz="4" w:space="0" w:color="000000"/>
              <w:left w:val="single" w:sz="4" w:space="0" w:color="000000"/>
              <w:bottom w:val="single" w:sz="4" w:space="0" w:color="000000"/>
            </w:tcBorders>
          </w:tcPr>
          <w:p w14:paraId="37A0E62A"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0,253</w:t>
            </w:r>
          </w:p>
        </w:tc>
        <w:tc>
          <w:tcPr>
            <w:tcW w:w="850" w:type="dxa"/>
            <w:tcBorders>
              <w:top w:val="single" w:sz="4" w:space="0" w:color="000000"/>
              <w:left w:val="single" w:sz="4" w:space="0" w:color="000000"/>
              <w:bottom w:val="single" w:sz="4" w:space="0" w:color="000000"/>
            </w:tcBorders>
          </w:tcPr>
          <w:p w14:paraId="32AAADB4"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0,242</w:t>
            </w:r>
          </w:p>
        </w:tc>
        <w:tc>
          <w:tcPr>
            <w:tcW w:w="851" w:type="dxa"/>
            <w:tcBorders>
              <w:top w:val="single" w:sz="4" w:space="0" w:color="000000"/>
              <w:left w:val="single" w:sz="4" w:space="0" w:color="000000"/>
              <w:bottom w:val="single" w:sz="4" w:space="0" w:color="000000"/>
            </w:tcBorders>
          </w:tcPr>
          <w:p w14:paraId="58D6A110"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0,233</w:t>
            </w:r>
          </w:p>
        </w:tc>
        <w:tc>
          <w:tcPr>
            <w:tcW w:w="850" w:type="dxa"/>
            <w:tcBorders>
              <w:top w:val="single" w:sz="4" w:space="0" w:color="000000"/>
              <w:left w:val="single" w:sz="4" w:space="0" w:color="000000"/>
              <w:bottom w:val="single" w:sz="4" w:space="0" w:color="000000"/>
            </w:tcBorders>
          </w:tcPr>
          <w:p w14:paraId="3CEDD860"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0,224</w:t>
            </w:r>
          </w:p>
        </w:tc>
        <w:tc>
          <w:tcPr>
            <w:tcW w:w="851" w:type="dxa"/>
            <w:tcBorders>
              <w:top w:val="single" w:sz="4" w:space="0" w:color="000000"/>
              <w:left w:val="single" w:sz="4" w:space="0" w:color="000000"/>
              <w:bottom w:val="single" w:sz="4" w:space="0" w:color="000000"/>
            </w:tcBorders>
          </w:tcPr>
          <w:p w14:paraId="0B92B47E"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0,216</w:t>
            </w:r>
          </w:p>
        </w:tc>
        <w:tc>
          <w:tcPr>
            <w:tcW w:w="850" w:type="dxa"/>
            <w:tcBorders>
              <w:top w:val="single" w:sz="4" w:space="0" w:color="000000"/>
              <w:left w:val="single" w:sz="4" w:space="0" w:color="000000"/>
              <w:bottom w:val="single" w:sz="4" w:space="0" w:color="000000"/>
            </w:tcBorders>
          </w:tcPr>
          <w:p w14:paraId="1623028B"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0,210</w:t>
            </w:r>
          </w:p>
        </w:tc>
        <w:tc>
          <w:tcPr>
            <w:tcW w:w="851" w:type="dxa"/>
            <w:tcBorders>
              <w:top w:val="single" w:sz="4" w:space="0" w:color="000000"/>
              <w:left w:val="single" w:sz="4" w:space="0" w:color="000000"/>
              <w:bottom w:val="single" w:sz="4" w:space="0" w:color="000000"/>
            </w:tcBorders>
          </w:tcPr>
          <w:p w14:paraId="58254DE2"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0,203</w:t>
            </w:r>
          </w:p>
        </w:tc>
        <w:tc>
          <w:tcPr>
            <w:tcW w:w="975" w:type="dxa"/>
            <w:tcBorders>
              <w:top w:val="single" w:sz="4" w:space="0" w:color="000000"/>
              <w:left w:val="single" w:sz="4" w:space="0" w:color="000000"/>
              <w:bottom w:val="single" w:sz="4" w:space="0" w:color="000000"/>
              <w:right w:val="single" w:sz="4" w:space="0" w:color="000000"/>
            </w:tcBorders>
          </w:tcPr>
          <w:p w14:paraId="2A29CA91"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0,198</w:t>
            </w:r>
          </w:p>
        </w:tc>
      </w:tr>
    </w:tbl>
    <w:p w14:paraId="4312DDB4" w14:textId="77777777" w:rsidR="00271FA2" w:rsidRPr="00A013E1" w:rsidRDefault="00271FA2">
      <w:pPr>
        <w:suppressAutoHyphens/>
        <w:spacing w:line="240" w:lineRule="atLeast"/>
        <w:ind w:left="851" w:hanging="851"/>
        <w:rPr>
          <w:rFonts w:ascii="Times New Roman" w:hAnsi="Times New Roman" w:cs="Times New Roman"/>
        </w:rPr>
      </w:pPr>
    </w:p>
    <w:p w14:paraId="45D01DA7" w14:textId="77777777" w:rsidR="00271FA2" w:rsidRPr="00A013E1" w:rsidRDefault="002C62EC">
      <w:pPr>
        <w:suppressAutoHyphens/>
        <w:spacing w:line="240" w:lineRule="atLeast"/>
        <w:ind w:left="851" w:hanging="851"/>
        <w:jc w:val="center"/>
        <w:rPr>
          <w:rFonts w:ascii="Times New Roman" w:hAnsi="Times New Roman" w:cs="Times New Roman"/>
        </w:rPr>
      </w:pPr>
      <m:oMath>
        <m:func>
          <m:funcPr>
            <m:ctrlPr>
              <w:rPr>
                <w:rFonts w:ascii="Cambria Math" w:hAnsi="Cambria Math" w:cs="Times New Roman"/>
                <w:i/>
              </w:rPr>
            </m:ctrlPr>
          </m:funcPr>
          <m:fName>
            <m:r>
              <m:rPr>
                <m:sty m:val="p"/>
              </m:rPr>
              <w:rPr>
                <w:rFonts w:ascii="Cambria Math" w:hAnsi="Cambria Math" w:cs="Times New Roman"/>
              </w:rPr>
              <m:t>ako n</m:t>
            </m:r>
          </m:fName>
          <m:e>
            <m:r>
              <w:rPr>
                <w:rFonts w:ascii="Cambria Math" w:hAnsi="Cambria Math" w:cs="Times New Roman"/>
              </w:rPr>
              <m:t>≥</m:t>
            </m:r>
          </m:e>
        </m:func>
        <m:r>
          <w:rPr>
            <w:rFonts w:ascii="Cambria Math" w:hAnsi="Cambria Math" w:cs="Times New Roman"/>
          </w:rPr>
          <m:t xml:space="preserve"> 20</m:t>
        </m:r>
      </m:oMath>
      <w:r w:rsidR="00D35E51" w:rsidRPr="00A013E1">
        <w:rPr>
          <w:rFonts w:ascii="Times New Roman" w:hAnsi="Times New Roman" w:cs="Times New Roman"/>
        </w:rPr>
        <w:t xml:space="preserve">, </w:t>
      </w:r>
      <m:oMath>
        <m:r>
          <w:rPr>
            <w:rFonts w:ascii="Cambria Math" w:hAnsi="Cambria Math" w:cs="Times New Roman"/>
          </w:rPr>
          <m:t xml:space="preserve">k= </m:t>
        </m:r>
        <m:f>
          <m:fPr>
            <m:ctrlPr>
              <w:rPr>
                <w:rFonts w:ascii="Cambria Math" w:hAnsi="Cambria Math" w:cs="Times New Roman"/>
                <w:i/>
              </w:rPr>
            </m:ctrlPr>
          </m:fPr>
          <m:num>
            <m:r>
              <w:rPr>
                <w:rFonts w:ascii="Cambria Math" w:hAnsi="Cambria Math" w:cs="Times New Roman"/>
              </w:rPr>
              <m:t>0,860</m:t>
            </m:r>
          </m:num>
          <m:den>
            <m:rad>
              <m:radPr>
                <m:degHide m:val="1"/>
                <m:ctrlPr>
                  <w:rPr>
                    <w:rFonts w:ascii="Cambria Math" w:hAnsi="Cambria Math" w:cs="Times New Roman"/>
                    <w:i/>
                  </w:rPr>
                </m:ctrlPr>
              </m:radPr>
              <m:deg/>
              <m:e>
                <m:r>
                  <w:rPr>
                    <w:rFonts w:ascii="Cambria Math" w:hAnsi="Cambria Math" w:cs="Times New Roman"/>
                  </w:rPr>
                  <m:t>n</m:t>
                </m:r>
              </m:e>
            </m:rad>
          </m:den>
        </m:f>
      </m:oMath>
    </w:p>
    <w:p w14:paraId="5C0E72A6" w14:textId="77777777" w:rsidR="00271FA2" w:rsidRPr="00A013E1" w:rsidRDefault="00271FA2">
      <w:pPr>
        <w:suppressAutoHyphens/>
        <w:spacing w:line="240" w:lineRule="atLeast"/>
        <w:ind w:left="851" w:hanging="851"/>
        <w:jc w:val="center"/>
        <w:rPr>
          <w:rFonts w:ascii="Times New Roman" w:hAnsi="Times New Roman" w:cs="Times New Roman"/>
        </w:rPr>
      </w:pPr>
    </w:p>
    <w:p w14:paraId="3151221F" w14:textId="77777777" w:rsidR="00271FA2" w:rsidRPr="00A013E1" w:rsidRDefault="002C62EC" w:rsidP="005509BB">
      <w:pPr>
        <w:tabs>
          <w:tab w:val="left" w:pos="1276"/>
        </w:tabs>
        <w:suppressAutoHyphens/>
        <w:overflowPunct w:val="0"/>
        <w:spacing w:line="240" w:lineRule="atLeast"/>
        <w:ind w:left="851" w:hanging="851"/>
        <w:textAlignment w:val="baseline"/>
        <w:rPr>
          <w:rFonts w:ascii="Times New Roman" w:hAnsi="Times New Roman" w:cs="Times New Roman"/>
          <w:lang w:val="ru-RU"/>
        </w:rPr>
      </w:pPr>
      <m:oMathPara>
        <m:oMathParaPr>
          <m:jc m:val="center"/>
        </m:oMathPara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r>
            <w:rPr>
              <w:rFonts w:ascii="Cambria Math" w:hAnsi="Cambria Math" w:cs="Times New Roman"/>
              <w:lang w:val="ru-RU"/>
            </w:rPr>
            <m:t xml:space="preserve"> : </m:t>
          </m:r>
          <m:rad>
            <m:radPr>
              <m:degHide m:val="1"/>
              <m:ctrlPr>
                <w:rPr>
                  <w:rFonts w:ascii="Cambria Math" w:hAnsi="Cambria Math" w:cs="Times New Roman"/>
                  <w:i/>
                </w:rPr>
              </m:ctrlPr>
            </m:radPr>
            <m:deg/>
            <m:e>
              <m:nary>
                <m:naryPr>
                  <m:chr m:val="∑"/>
                  <m:limLoc m:val="undOvr"/>
                  <m:ctrlPr>
                    <w:rPr>
                      <w:rFonts w:ascii="Cambria Math" w:hAnsi="Cambria Math" w:cs="Times New Roman"/>
                      <w:i/>
                    </w:rPr>
                  </m:ctrlPr>
                </m:naryPr>
                <m:sub>
                  <m:r>
                    <w:rPr>
                      <w:rFonts w:ascii="Cambria Math" w:hAnsi="Cambria Math" w:cs="Times New Roman"/>
                    </w:rPr>
                    <m:t>i</m:t>
                  </m:r>
                  <m:r>
                    <w:rPr>
                      <w:rFonts w:ascii="Cambria Math" w:hAnsi="Cambria Math" w:cs="Times New Roman"/>
                      <w:lang w:val="ru-RU"/>
                    </w:rPr>
                    <m:t>=1</m:t>
                  </m:r>
                </m:sub>
                <m:sup>
                  <m:r>
                    <w:rPr>
                      <w:rFonts w:ascii="Cambria Math" w:hAnsi="Cambria Math" w:cs="Times New Roman"/>
                    </w:rPr>
                    <m:t>n</m:t>
                  </m:r>
                </m:sup>
                <m:e>
                  <m:f>
                    <m:fPr>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lang w:val="ru-RU"/>
                            </w:rPr>
                            <m:t xml:space="preserve">- </m:t>
                          </m:r>
                          <m:acc>
                            <m:accPr>
                              <m:chr m:val="̅"/>
                              <m:ctrlPr>
                                <w:rPr>
                                  <w:rFonts w:ascii="Cambria Math" w:hAnsi="Cambria Math" w:cs="Times New Roman"/>
                                  <w:i/>
                                </w:rPr>
                              </m:ctrlPr>
                            </m:accPr>
                            <m:e>
                              <m:r>
                                <w:rPr>
                                  <w:rFonts w:ascii="Cambria Math" w:hAnsi="Cambria Math" w:cs="Times New Roman"/>
                                </w:rPr>
                                <m:t>x</m:t>
                              </m:r>
                            </m:e>
                          </m:acc>
                        </m:e>
                      </m:d>
                    </m:num>
                    <m:den>
                      <m:r>
                        <w:rPr>
                          <w:rFonts w:ascii="Cambria Math" w:hAnsi="Cambria Math" w:cs="Times New Roman"/>
                        </w:rPr>
                        <m:t>n</m:t>
                      </m:r>
                      <m:r>
                        <w:rPr>
                          <w:rFonts w:ascii="Cambria Math" w:hAnsi="Cambria Math" w:cs="Times New Roman"/>
                          <w:lang w:val="ru-RU"/>
                        </w:rPr>
                        <m:t>-1</m:t>
                      </m:r>
                    </m:den>
                  </m:f>
                </m:e>
              </m:nary>
            </m:e>
          </m:rad>
          <m:r>
            <m:rPr>
              <m:sty m:val="p"/>
            </m:rPr>
            <w:rPr>
              <w:rFonts w:ascii="Cambria Math" w:hAnsi="Cambria Math" w:cs="Times New Roman"/>
              <w:lang w:val="ru-RU"/>
            </w:rPr>
            <w:br/>
          </m:r>
        </m:oMath>
      </m:oMathPara>
      <w:r w:rsidR="00D35E51" w:rsidRPr="00A013E1">
        <w:rPr>
          <w:rFonts w:ascii="Times New Roman" w:hAnsi="Times New Roman" w:cs="Times New Roman"/>
          <w:lang w:val="ru-RU"/>
        </w:rPr>
        <w:t xml:space="preserve">където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oMath>
      <w:r w:rsidR="00D35E51" w:rsidRPr="00A013E1">
        <w:rPr>
          <w:rFonts w:ascii="Times New Roman" w:hAnsi="Times New Roman" w:cs="Times New Roman"/>
          <w:lang w:val="ru-RU"/>
        </w:rPr>
        <w:t xml:space="preserve"> е всеки отделен резултат, получен от случайната проба </w:t>
      </w:r>
      <m:oMath>
        <m:r>
          <w:rPr>
            <w:rFonts w:ascii="Cambria Math" w:hAnsi="Cambria Math" w:cs="Times New Roman"/>
          </w:rPr>
          <m:t>n</m:t>
        </m:r>
      </m:oMath>
    </w:p>
    <w:p w14:paraId="1096D49C" w14:textId="7BE3236D" w:rsidR="00271FA2" w:rsidRPr="00A013E1" w:rsidRDefault="005509BB" w:rsidP="005509BB">
      <w:pPr>
        <w:tabs>
          <w:tab w:val="left" w:pos="1134"/>
        </w:tabs>
        <w:suppressAutoHyphens/>
        <w:overflowPunct w:val="0"/>
        <w:spacing w:line="240" w:lineRule="atLeast"/>
        <w:ind w:left="851" w:hanging="851"/>
        <w:textAlignment w:val="baseline"/>
        <w:rPr>
          <w:rFonts w:ascii="Times New Roman" w:hAnsi="Times New Roman" w:cs="Times New Roman"/>
          <w:lang w:val="ru-RU"/>
        </w:rPr>
      </w:pPr>
      <w:r w:rsidRPr="00A013E1">
        <w:rPr>
          <w:rFonts w:ascii="Times New Roman" w:hAnsi="Times New Roman" w:cs="Times New Roman"/>
          <w:lang w:val="ru-RU"/>
        </w:rPr>
        <w:tab/>
      </w:r>
      <m:oMath>
        <m:r>
          <w:rPr>
            <w:rFonts w:ascii="Cambria Math" w:hAnsi="Cambria Math" w:cs="Times New Roman"/>
          </w:rPr>
          <m:t>L</m:t>
        </m:r>
      </m:oMath>
      <w:r w:rsidR="00D35E51" w:rsidRPr="00A013E1">
        <w:rPr>
          <w:rFonts w:ascii="Times New Roman" w:hAnsi="Times New Roman" w:cs="Times New Roman"/>
          <w:lang w:val="ru-RU"/>
        </w:rPr>
        <w:t>:</w:t>
      </w:r>
      <w:r w:rsidR="00D35E51" w:rsidRPr="00A013E1">
        <w:rPr>
          <w:rFonts w:ascii="Times New Roman" w:hAnsi="Times New Roman" w:cs="Times New Roman"/>
          <w:lang w:val="ru-RU"/>
        </w:rPr>
        <w:tab/>
        <w:t>е допустимата пределна стойност, дадена в таблица 2 към член 18.01, точка 2, за всеки разглеждан замърсител;</w:t>
      </w:r>
    </w:p>
    <w:p w14:paraId="056713E1" w14:textId="77777777" w:rsidR="00271FA2" w:rsidRPr="00A013E1" w:rsidRDefault="00D35E51" w:rsidP="005509BB">
      <w:pPr>
        <w:tabs>
          <w:tab w:val="left" w:pos="709"/>
        </w:tabs>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3.3.3</w:t>
      </w:r>
      <w:r w:rsidRPr="00A013E1">
        <w:rPr>
          <w:rFonts w:ascii="Times New Roman" w:hAnsi="Times New Roman" w:cs="Times New Roman"/>
          <w:lang w:val="ru-RU"/>
        </w:rPr>
        <w:tab/>
        <w:t>Ако стойностите, дадени в таблица 2 към член 18.01, точка 2, не са спазени, се провежда ново изпитване съгласно точка 3.3.2.1 и в случай, че изпитването не покаже положителни резултати, в съответствие с точка 3.3.2.2 се провежда пълно изпитване, като се следва изпитвателната процедура, предвидена в Приложение 9. Пределните стойности, дадени в таблица 1 към член 18.01, точка 2, не могат да бъдат надвишавани както за комбинираната проба, така и за случайната.</w:t>
      </w:r>
    </w:p>
    <w:p w14:paraId="5E7262D9" w14:textId="77777777" w:rsidR="00271FA2" w:rsidRPr="00A013E1" w:rsidRDefault="00D35E51" w:rsidP="005509BB">
      <w:pPr>
        <w:tabs>
          <w:tab w:val="left" w:pos="709"/>
        </w:tabs>
        <w:spacing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3.3.4</w:t>
      </w:r>
      <w:r w:rsidRPr="00A013E1">
        <w:rPr>
          <w:rFonts w:ascii="Times New Roman" w:hAnsi="Times New Roman" w:cs="Times New Roman"/>
          <w:lang w:val="ru-RU"/>
        </w:rPr>
        <w:tab/>
        <w:t>Компетентният орган трябва да извършва изпитванията върху бордови станции за пречистване на отпадъчни води, които са с частични или пълни функционални възможности съгласно информацията, предоставена от производителя.</w:t>
      </w:r>
    </w:p>
    <w:p w14:paraId="6546FCF1" w14:textId="6C9D9461" w:rsidR="00A379BE" w:rsidRPr="00A013E1" w:rsidRDefault="00D35E51" w:rsidP="005509BB">
      <w:pPr>
        <w:tabs>
          <w:tab w:val="left" w:pos="709"/>
        </w:tabs>
        <w:spacing w:after="240" w:line="240" w:lineRule="atLeast"/>
        <w:ind w:left="851" w:hanging="851"/>
        <w:jc w:val="both"/>
        <w:rPr>
          <w:rFonts w:ascii="Times New Roman" w:hAnsi="Times New Roman" w:cs="Times New Roman"/>
          <w:lang w:val="ru-RU"/>
        </w:rPr>
      </w:pPr>
      <w:r w:rsidRPr="00A013E1">
        <w:rPr>
          <w:rFonts w:ascii="Times New Roman" w:hAnsi="Times New Roman" w:cs="Times New Roman"/>
          <w:lang w:val="ru-RU"/>
        </w:rPr>
        <w:t>3.3.5</w:t>
      </w:r>
      <w:r w:rsidRPr="00A013E1">
        <w:rPr>
          <w:rFonts w:ascii="Times New Roman" w:hAnsi="Times New Roman" w:cs="Times New Roman"/>
          <w:lang w:val="ru-RU"/>
        </w:rPr>
        <w:tab/>
        <w:t>Нормалната честота на изпитванията за съответствие на производството, които компетентният орган има право да провежда, е веднъж годишно. В случай на неспазване на изискванията по точка 3.3.3 компетентният орган трябва да гарантира, че се предприемат всички необходими стъпки, за да се възстанови съответствието на производството без забавяне.</w:t>
      </w:r>
    </w:p>
    <w:p w14:paraId="72B36DFD" w14:textId="77777777" w:rsidR="00C73916" w:rsidRPr="00A013E1" w:rsidRDefault="00C73916">
      <w:pPr>
        <w:rPr>
          <w:rFonts w:ascii="Times New Roman" w:hAnsi="Times New Roman" w:cs="Times New Roman"/>
          <w:lang w:val="ru-RU"/>
        </w:rPr>
        <w:sectPr w:rsidR="00C73916" w:rsidRPr="00A013E1" w:rsidSect="00A013E1">
          <w:headerReference w:type="default" r:id="rId145"/>
          <w:footerReference w:type="default" r:id="rId146"/>
          <w:footnotePr>
            <w:numRestart w:val="eachPage"/>
          </w:footnotePr>
          <w:pgSz w:w="11907" w:h="16840"/>
          <w:pgMar w:top="1134" w:right="1134" w:bottom="1134" w:left="1134" w:header="709" w:footer="709" w:gutter="0"/>
          <w:cols w:space="720"/>
          <w:docGrid w:linePitch="326"/>
        </w:sectPr>
      </w:pPr>
    </w:p>
    <w:p w14:paraId="6F6288C8" w14:textId="77777777" w:rsidR="00271FA2" w:rsidRPr="00A013E1" w:rsidRDefault="00D35E51" w:rsidP="005509BB">
      <w:pPr>
        <w:pStyle w:val="ES-Titre3"/>
        <w:spacing w:after="0" w:line="240" w:lineRule="atLeast"/>
        <w:rPr>
          <w:rFonts w:ascii="Times New Roman" w:hAnsi="Times New Roman" w:cs="Times New Roman"/>
          <w:sz w:val="24"/>
          <w:szCs w:val="24"/>
          <w:lang w:val="ru-RU"/>
        </w:rPr>
      </w:pPr>
      <w:bookmarkStart w:id="628" w:name="_Toc535827767"/>
      <w:bookmarkStart w:id="629" w:name="_Toc491854326"/>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II</w:t>
      </w:r>
      <w:bookmarkEnd w:id="628"/>
      <w:bookmarkEnd w:id="629"/>
    </w:p>
    <w:p w14:paraId="32265BB1" w14:textId="77777777" w:rsidR="00271FA2" w:rsidRPr="00A013E1" w:rsidRDefault="00D35E51" w:rsidP="005509BB">
      <w:pPr>
        <w:pStyle w:val="ES-Titre3a"/>
        <w:spacing w:after="0" w:line="240" w:lineRule="atLeast"/>
        <w:rPr>
          <w:rFonts w:ascii="Times New Roman" w:hAnsi="Times New Roman" w:cs="Times New Roman"/>
          <w:sz w:val="24"/>
          <w:szCs w:val="24"/>
          <w:lang w:val="ru-RU"/>
        </w:rPr>
      </w:pPr>
      <w:bookmarkStart w:id="630" w:name="_Toc535827768"/>
      <w:bookmarkStart w:id="631" w:name="_Toc491854327"/>
      <w:r w:rsidRPr="00A013E1">
        <w:rPr>
          <w:rFonts w:ascii="Times New Roman" w:hAnsi="Times New Roman" w:cs="Times New Roman"/>
          <w:sz w:val="24"/>
          <w:szCs w:val="24"/>
          <w:lang w:val="ru-RU"/>
        </w:rPr>
        <w:t>Информационен документ №...</w:t>
      </w:r>
      <w:r w:rsidRPr="00A013E1">
        <w:rPr>
          <w:rFonts w:ascii="Times New Roman" w:hAnsi="Times New Roman" w:cs="Times New Roman"/>
          <w:sz w:val="24"/>
          <w:szCs w:val="24"/>
          <w:vertAlign w:val="superscript"/>
        </w:rPr>
        <w:footnoteReference w:id="43"/>
      </w:r>
      <w:r w:rsidRPr="00A013E1">
        <w:rPr>
          <w:rFonts w:ascii="Times New Roman" w:hAnsi="Times New Roman" w:cs="Times New Roman"/>
          <w:sz w:val="24"/>
          <w:szCs w:val="24"/>
          <w:vertAlign w:val="superscript"/>
          <w:lang w:val="ru-RU"/>
        </w:rPr>
        <w:t xml:space="preserve"> </w:t>
      </w:r>
      <w:r w:rsidRPr="00A013E1">
        <w:rPr>
          <w:rFonts w:ascii="Times New Roman" w:hAnsi="Times New Roman" w:cs="Times New Roman"/>
          <w:sz w:val="24"/>
          <w:szCs w:val="24"/>
          <w:lang w:val="ru-RU"/>
        </w:rPr>
        <w:t>във връзка с одобрението на типа на бордовите станции за пречистване на отпадъчни води, предназначени за инсталиране на плавателните съдове по вътрешните водни пътища</w:t>
      </w:r>
      <w:bookmarkEnd w:id="630"/>
      <w:bookmarkEnd w:id="631"/>
    </w:p>
    <w:p w14:paraId="049852AC" w14:textId="77777777" w:rsidR="00271FA2" w:rsidRPr="00A013E1" w:rsidRDefault="00D35E51" w:rsidP="005509BB">
      <w:pPr>
        <w:overflowPunct w:val="0"/>
        <w:adjustRightInd w:val="0"/>
        <w:spacing w:after="240" w:line="240" w:lineRule="atLeast"/>
        <w:jc w:val="center"/>
        <w:textAlignment w:val="baseline"/>
        <w:rPr>
          <w:rFonts w:ascii="Times New Roman" w:eastAsia="Calibri" w:hAnsi="Times New Roman" w:cs="Times New Roman"/>
          <w:lang w:val="ru-RU"/>
        </w:rPr>
      </w:pPr>
      <w:r w:rsidRPr="00A013E1">
        <w:rPr>
          <w:rFonts w:ascii="Times New Roman" w:hAnsi="Times New Roman" w:cs="Times New Roman"/>
          <w:lang w:val="ru-RU"/>
        </w:rPr>
        <w:t>(Образец)</w:t>
      </w:r>
    </w:p>
    <w:p w14:paraId="62A83AE4" w14:textId="77777777" w:rsidR="00271FA2" w:rsidRPr="00A013E1" w:rsidRDefault="00D35E51" w:rsidP="005509BB">
      <w:pPr>
        <w:tabs>
          <w:tab w:val="left" w:leader="dot" w:pos="9072"/>
        </w:tabs>
        <w:spacing w:line="240" w:lineRule="atLeast"/>
        <w:ind w:left="850" w:hanging="850"/>
        <w:rPr>
          <w:rFonts w:ascii="Times New Roman" w:hAnsi="Times New Roman" w:cs="Times New Roman"/>
          <w:lang w:val="ru-RU"/>
        </w:rPr>
      </w:pPr>
      <w:r w:rsidRPr="00A013E1">
        <w:rPr>
          <w:rFonts w:ascii="Times New Roman" w:hAnsi="Times New Roman" w:cs="Times New Roman"/>
          <w:lang w:val="ru-RU"/>
        </w:rPr>
        <w:t xml:space="preserve">Тип бордова станция за пречистване на отпадъчни води: </w:t>
      </w:r>
      <w:r w:rsidRPr="00A013E1">
        <w:rPr>
          <w:rFonts w:ascii="Times New Roman" w:hAnsi="Times New Roman" w:cs="Times New Roman"/>
          <w:lang w:val="ru-RU"/>
        </w:rPr>
        <w:tab/>
      </w:r>
    </w:p>
    <w:p w14:paraId="6AE835AF" w14:textId="77777777" w:rsidR="00271FA2" w:rsidRPr="00A013E1" w:rsidRDefault="00D35E51" w:rsidP="005509BB">
      <w:pPr>
        <w:tabs>
          <w:tab w:val="left" w:leader="dot" w:pos="9072"/>
        </w:tabs>
        <w:spacing w:line="240" w:lineRule="atLeast"/>
        <w:ind w:left="850" w:hanging="850"/>
        <w:rPr>
          <w:rFonts w:ascii="Times New Roman" w:hAnsi="Times New Roman" w:cs="Times New Roman"/>
          <w:lang w:val="ru-RU"/>
        </w:rPr>
      </w:pPr>
      <w:r w:rsidRPr="00A013E1">
        <w:rPr>
          <w:rFonts w:ascii="Times New Roman" w:hAnsi="Times New Roman" w:cs="Times New Roman"/>
          <w:lang w:val="ru-RU"/>
        </w:rPr>
        <w:t>0.</w:t>
      </w:r>
      <w:r w:rsidRPr="00A013E1">
        <w:rPr>
          <w:rFonts w:ascii="Times New Roman" w:hAnsi="Times New Roman" w:cs="Times New Roman"/>
          <w:lang w:val="ru-RU"/>
        </w:rPr>
        <w:tab/>
        <w:t>Общи положения</w:t>
      </w:r>
    </w:p>
    <w:p w14:paraId="69607A40" w14:textId="77777777" w:rsidR="00271FA2" w:rsidRPr="00A013E1" w:rsidRDefault="00D35E51" w:rsidP="005509BB">
      <w:pPr>
        <w:tabs>
          <w:tab w:val="left" w:leader="dot" w:pos="9072"/>
        </w:tabs>
        <w:spacing w:line="240" w:lineRule="atLeast"/>
        <w:ind w:left="850" w:hanging="850"/>
        <w:rPr>
          <w:rFonts w:ascii="Times New Roman" w:hAnsi="Times New Roman" w:cs="Times New Roman"/>
          <w:lang w:val="ru-RU"/>
        </w:rPr>
      </w:pPr>
      <w:r w:rsidRPr="00A013E1">
        <w:rPr>
          <w:rFonts w:ascii="Times New Roman" w:hAnsi="Times New Roman" w:cs="Times New Roman"/>
          <w:lang w:val="ru-RU"/>
        </w:rPr>
        <w:t>0.1</w:t>
      </w:r>
      <w:r w:rsidRPr="00A013E1">
        <w:rPr>
          <w:rFonts w:ascii="Times New Roman" w:hAnsi="Times New Roman" w:cs="Times New Roman"/>
          <w:lang w:val="ru-RU"/>
        </w:rPr>
        <w:tab/>
        <w:t xml:space="preserve">Марка (наименование на дружеството производител): </w:t>
      </w:r>
      <w:r w:rsidRPr="00A013E1">
        <w:rPr>
          <w:rFonts w:ascii="Times New Roman" w:hAnsi="Times New Roman" w:cs="Times New Roman"/>
          <w:lang w:val="ru-RU"/>
        </w:rPr>
        <w:tab/>
      </w:r>
    </w:p>
    <w:p w14:paraId="353ED6DF" w14:textId="77777777" w:rsidR="00271FA2" w:rsidRPr="00A013E1" w:rsidRDefault="00D35E51" w:rsidP="005509BB">
      <w:pPr>
        <w:tabs>
          <w:tab w:val="left" w:leader="dot" w:pos="9072"/>
        </w:tabs>
        <w:spacing w:line="240" w:lineRule="atLeast"/>
        <w:ind w:left="850" w:hanging="850"/>
        <w:jc w:val="both"/>
        <w:rPr>
          <w:rFonts w:ascii="Times New Roman" w:hAnsi="Times New Roman" w:cs="Times New Roman"/>
          <w:lang w:val="ru-RU"/>
        </w:rPr>
      </w:pPr>
      <w:r w:rsidRPr="00A013E1">
        <w:rPr>
          <w:rFonts w:ascii="Times New Roman" w:hAnsi="Times New Roman" w:cs="Times New Roman"/>
          <w:lang w:val="ru-RU"/>
        </w:rPr>
        <w:t>0.2</w:t>
      </w:r>
      <w:r w:rsidRPr="00A013E1">
        <w:rPr>
          <w:rFonts w:ascii="Times New Roman" w:hAnsi="Times New Roman" w:cs="Times New Roman"/>
          <w:lang w:val="ru-RU"/>
        </w:rPr>
        <w:tab/>
        <w:t xml:space="preserve">Обозначение от производителя за типа на бордовата станция за пречистване на отпадъчни води: </w:t>
      </w:r>
      <w:r w:rsidRPr="00A013E1">
        <w:rPr>
          <w:rFonts w:ascii="Times New Roman" w:hAnsi="Times New Roman" w:cs="Times New Roman"/>
          <w:lang w:val="ru-RU"/>
        </w:rPr>
        <w:tab/>
      </w:r>
    </w:p>
    <w:p w14:paraId="46C5F8E3" w14:textId="77777777" w:rsidR="00271FA2" w:rsidRPr="00A013E1" w:rsidRDefault="00D35E51" w:rsidP="005509BB">
      <w:pPr>
        <w:tabs>
          <w:tab w:val="left" w:leader="dot" w:pos="9072"/>
        </w:tabs>
        <w:spacing w:line="240" w:lineRule="atLeast"/>
        <w:ind w:left="850" w:hanging="850"/>
        <w:rPr>
          <w:rFonts w:ascii="Times New Roman" w:hAnsi="Times New Roman" w:cs="Times New Roman"/>
          <w:lang w:val="ru-RU"/>
        </w:rPr>
      </w:pPr>
      <w:r w:rsidRPr="00A013E1">
        <w:rPr>
          <w:rFonts w:ascii="Times New Roman" w:hAnsi="Times New Roman" w:cs="Times New Roman"/>
          <w:lang w:val="ru-RU"/>
        </w:rPr>
        <w:tab/>
      </w:r>
    </w:p>
    <w:p w14:paraId="33E9E812" w14:textId="77777777" w:rsidR="00271FA2" w:rsidRPr="00A013E1" w:rsidRDefault="00D35E51" w:rsidP="005509BB">
      <w:pPr>
        <w:tabs>
          <w:tab w:val="left" w:leader="dot" w:pos="9072"/>
        </w:tabs>
        <w:spacing w:line="240" w:lineRule="atLeast"/>
        <w:ind w:left="850" w:hanging="850"/>
        <w:jc w:val="both"/>
        <w:rPr>
          <w:rFonts w:ascii="Times New Roman" w:hAnsi="Times New Roman" w:cs="Times New Roman"/>
          <w:lang w:val="ru-RU"/>
        </w:rPr>
      </w:pPr>
      <w:r w:rsidRPr="00A013E1">
        <w:rPr>
          <w:rFonts w:ascii="Times New Roman" w:hAnsi="Times New Roman" w:cs="Times New Roman"/>
          <w:lang w:val="ru-RU"/>
        </w:rPr>
        <w:t>0.3</w:t>
      </w:r>
      <w:r w:rsidRPr="00A013E1">
        <w:rPr>
          <w:rFonts w:ascii="Times New Roman" w:hAnsi="Times New Roman" w:cs="Times New Roman"/>
          <w:lang w:val="ru-RU"/>
        </w:rPr>
        <w:tab/>
        <w:t xml:space="preserve">Код на типа на производителя, съответстващ на информацията върху бордовата станция за пречистване на отпадъчни води: </w:t>
      </w:r>
      <w:r w:rsidRPr="00A013E1">
        <w:rPr>
          <w:rFonts w:ascii="Times New Roman" w:hAnsi="Times New Roman" w:cs="Times New Roman"/>
          <w:lang w:val="ru-RU"/>
        </w:rPr>
        <w:tab/>
      </w:r>
    </w:p>
    <w:p w14:paraId="2F78B895" w14:textId="77777777" w:rsidR="00271FA2" w:rsidRPr="00A013E1" w:rsidRDefault="00D35E51" w:rsidP="005509BB">
      <w:pPr>
        <w:tabs>
          <w:tab w:val="left" w:leader="dot" w:pos="9072"/>
        </w:tabs>
        <w:spacing w:line="240" w:lineRule="atLeast"/>
        <w:ind w:left="850" w:hanging="850"/>
        <w:jc w:val="both"/>
        <w:rPr>
          <w:rFonts w:ascii="Times New Roman" w:hAnsi="Times New Roman" w:cs="Times New Roman"/>
          <w:lang w:val="ru-RU"/>
        </w:rPr>
      </w:pPr>
      <w:r w:rsidRPr="00A013E1">
        <w:rPr>
          <w:rFonts w:ascii="Times New Roman" w:hAnsi="Times New Roman" w:cs="Times New Roman"/>
          <w:lang w:val="ru-RU"/>
        </w:rPr>
        <w:tab/>
      </w:r>
    </w:p>
    <w:p w14:paraId="454DEEE4" w14:textId="77777777" w:rsidR="00271FA2" w:rsidRPr="00A013E1" w:rsidRDefault="00D35E51" w:rsidP="005509BB">
      <w:pPr>
        <w:tabs>
          <w:tab w:val="left" w:leader="dot" w:pos="9072"/>
        </w:tabs>
        <w:spacing w:line="240" w:lineRule="atLeast"/>
        <w:ind w:left="850" w:hanging="850"/>
        <w:jc w:val="both"/>
        <w:rPr>
          <w:rFonts w:ascii="Times New Roman" w:hAnsi="Times New Roman" w:cs="Times New Roman"/>
          <w:lang w:val="ru-RU"/>
        </w:rPr>
      </w:pPr>
      <w:r w:rsidRPr="00A013E1">
        <w:rPr>
          <w:rFonts w:ascii="Times New Roman" w:hAnsi="Times New Roman" w:cs="Times New Roman"/>
          <w:lang w:val="ru-RU"/>
        </w:rPr>
        <w:t>0.4</w:t>
      </w:r>
      <w:r w:rsidRPr="00A013E1">
        <w:rPr>
          <w:rFonts w:ascii="Times New Roman" w:hAnsi="Times New Roman" w:cs="Times New Roman"/>
          <w:lang w:val="ru-RU"/>
        </w:rPr>
        <w:tab/>
        <w:t xml:space="preserve">Име и адрес на производителя: </w:t>
      </w:r>
      <w:r w:rsidRPr="00A013E1">
        <w:rPr>
          <w:rFonts w:ascii="Times New Roman" w:hAnsi="Times New Roman" w:cs="Times New Roman"/>
          <w:lang w:val="ru-RU"/>
        </w:rPr>
        <w:tab/>
      </w:r>
    </w:p>
    <w:p w14:paraId="59D27499" w14:textId="77777777" w:rsidR="00271FA2" w:rsidRPr="00A013E1" w:rsidRDefault="00D35E51" w:rsidP="005509BB">
      <w:pPr>
        <w:tabs>
          <w:tab w:val="left" w:leader="dot" w:pos="9072"/>
        </w:tabs>
        <w:spacing w:line="240" w:lineRule="atLeast"/>
        <w:ind w:left="850" w:hanging="850"/>
        <w:jc w:val="both"/>
        <w:rPr>
          <w:rFonts w:ascii="Times New Roman" w:hAnsi="Times New Roman" w:cs="Times New Roman"/>
          <w:lang w:val="ru-RU"/>
        </w:rPr>
      </w:pPr>
      <w:r w:rsidRPr="00A013E1">
        <w:rPr>
          <w:rFonts w:ascii="Times New Roman" w:hAnsi="Times New Roman" w:cs="Times New Roman"/>
          <w:lang w:val="ru-RU"/>
        </w:rPr>
        <w:t xml:space="preserve">Наименование и адрес на упълномощения представител на производителя, ако има такъв: </w:t>
      </w:r>
      <w:r w:rsidRPr="00A013E1">
        <w:rPr>
          <w:rFonts w:ascii="Times New Roman" w:hAnsi="Times New Roman" w:cs="Times New Roman"/>
          <w:lang w:val="ru-RU"/>
        </w:rPr>
        <w:tab/>
      </w:r>
    </w:p>
    <w:p w14:paraId="79CFEE44" w14:textId="77777777" w:rsidR="00271FA2" w:rsidRPr="00A013E1" w:rsidRDefault="00D35E51" w:rsidP="005509BB">
      <w:pPr>
        <w:tabs>
          <w:tab w:val="left" w:leader="dot" w:pos="9072"/>
        </w:tabs>
        <w:spacing w:line="240" w:lineRule="atLeast"/>
        <w:ind w:left="850" w:hanging="850"/>
        <w:jc w:val="both"/>
        <w:rPr>
          <w:rFonts w:ascii="Times New Roman" w:hAnsi="Times New Roman" w:cs="Times New Roman"/>
          <w:lang w:val="ru-RU"/>
        </w:rPr>
      </w:pPr>
      <w:r w:rsidRPr="00A013E1">
        <w:rPr>
          <w:rFonts w:ascii="Times New Roman" w:hAnsi="Times New Roman" w:cs="Times New Roman"/>
          <w:lang w:val="ru-RU"/>
        </w:rPr>
        <w:tab/>
      </w:r>
    </w:p>
    <w:p w14:paraId="38F49AFE" w14:textId="77777777" w:rsidR="00271FA2" w:rsidRPr="00A013E1" w:rsidRDefault="00D35E51">
      <w:pPr>
        <w:tabs>
          <w:tab w:val="left" w:leader="dot" w:pos="9072"/>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0.5</w:t>
      </w:r>
      <w:r w:rsidRPr="00A013E1">
        <w:rPr>
          <w:rFonts w:ascii="Times New Roman" w:hAnsi="Times New Roman" w:cs="Times New Roman"/>
          <w:lang w:val="ru-RU"/>
        </w:rPr>
        <w:tab/>
        <w:t xml:space="preserve">Разположение, легенда и начин на закрепване на серийния номер на бордовата станция за пречистване на отпадъчни води: </w:t>
      </w:r>
      <w:r w:rsidRPr="00A013E1">
        <w:rPr>
          <w:rFonts w:ascii="Times New Roman" w:hAnsi="Times New Roman" w:cs="Times New Roman"/>
          <w:lang w:val="ru-RU"/>
        </w:rPr>
        <w:tab/>
      </w:r>
    </w:p>
    <w:p w14:paraId="1AEAD885" w14:textId="77777777" w:rsidR="00271FA2" w:rsidRPr="00A013E1" w:rsidRDefault="00D35E51">
      <w:pPr>
        <w:tabs>
          <w:tab w:val="left" w:leader="dot" w:pos="9072"/>
        </w:tabs>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ab/>
      </w:r>
    </w:p>
    <w:p w14:paraId="3E811C6A" w14:textId="77777777" w:rsidR="00271FA2" w:rsidRPr="00A013E1" w:rsidRDefault="00D35E51">
      <w:pPr>
        <w:tabs>
          <w:tab w:val="left" w:leader="dot" w:pos="9072"/>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0.6</w:t>
      </w:r>
      <w:r w:rsidRPr="00A013E1">
        <w:rPr>
          <w:rFonts w:ascii="Times New Roman" w:hAnsi="Times New Roman" w:cs="Times New Roman"/>
          <w:lang w:val="ru-RU"/>
        </w:rPr>
        <w:tab/>
        <w:t xml:space="preserve">Разположение и начин на закрепване на номера на одобрението на типа: </w:t>
      </w:r>
      <w:r w:rsidRPr="00A013E1">
        <w:rPr>
          <w:rFonts w:ascii="Times New Roman" w:hAnsi="Times New Roman" w:cs="Times New Roman"/>
          <w:lang w:val="ru-RU"/>
        </w:rPr>
        <w:tab/>
      </w:r>
    </w:p>
    <w:p w14:paraId="7A2BEDE3" w14:textId="77777777" w:rsidR="00271FA2" w:rsidRPr="00A013E1" w:rsidRDefault="00D35E51">
      <w:pPr>
        <w:tabs>
          <w:tab w:val="left" w:leader="dot" w:pos="9072"/>
        </w:tabs>
        <w:spacing w:line="240" w:lineRule="atLeast"/>
        <w:ind w:left="567"/>
        <w:rPr>
          <w:rFonts w:ascii="Times New Roman" w:hAnsi="Times New Roman" w:cs="Times New Roman"/>
          <w:lang w:val="ru-RU"/>
        </w:rPr>
      </w:pPr>
      <w:r w:rsidRPr="00A013E1">
        <w:rPr>
          <w:rFonts w:ascii="Times New Roman" w:hAnsi="Times New Roman" w:cs="Times New Roman"/>
          <w:lang w:val="ru-RU"/>
        </w:rPr>
        <w:tab/>
      </w:r>
    </w:p>
    <w:p w14:paraId="02522670" w14:textId="77777777" w:rsidR="00271FA2" w:rsidRPr="00A013E1" w:rsidRDefault="00D35E51">
      <w:pPr>
        <w:tabs>
          <w:tab w:val="left" w:leader="dot" w:pos="9072"/>
        </w:tabs>
        <w:spacing w:line="240" w:lineRule="atLeast"/>
        <w:ind w:left="567" w:hanging="567"/>
        <w:rPr>
          <w:rFonts w:ascii="Times New Roman" w:hAnsi="Times New Roman" w:cs="Times New Roman"/>
          <w:lang w:val="ru-RU"/>
        </w:rPr>
      </w:pPr>
      <w:r w:rsidRPr="00A013E1">
        <w:rPr>
          <w:rFonts w:ascii="Times New Roman" w:hAnsi="Times New Roman" w:cs="Times New Roman"/>
          <w:lang w:val="ru-RU"/>
        </w:rPr>
        <w:t>0.7</w:t>
      </w:r>
      <w:r w:rsidRPr="00A013E1">
        <w:rPr>
          <w:rFonts w:ascii="Times New Roman" w:hAnsi="Times New Roman" w:cs="Times New Roman"/>
          <w:lang w:val="ru-RU"/>
        </w:rPr>
        <w:tab/>
        <w:t xml:space="preserve">Адрес(и) производствената база: </w:t>
      </w:r>
      <w:r w:rsidRPr="00A013E1">
        <w:rPr>
          <w:rFonts w:ascii="Times New Roman" w:hAnsi="Times New Roman" w:cs="Times New Roman"/>
          <w:lang w:val="ru-RU"/>
        </w:rPr>
        <w:tab/>
      </w:r>
    </w:p>
    <w:p w14:paraId="24994BAA" w14:textId="77777777" w:rsidR="00271FA2" w:rsidRPr="00A013E1" w:rsidRDefault="00D35E51">
      <w:pPr>
        <w:tabs>
          <w:tab w:val="left" w:leader="dot" w:pos="9072"/>
        </w:tabs>
        <w:spacing w:line="240" w:lineRule="atLeast"/>
        <w:ind w:left="567"/>
        <w:rPr>
          <w:rFonts w:ascii="Times New Roman" w:hAnsi="Times New Roman" w:cs="Times New Roman"/>
          <w:lang w:val="ru-RU"/>
        </w:rPr>
      </w:pPr>
      <w:r w:rsidRPr="00A013E1">
        <w:rPr>
          <w:rFonts w:ascii="Times New Roman" w:hAnsi="Times New Roman" w:cs="Times New Roman"/>
          <w:lang w:val="ru-RU"/>
        </w:rPr>
        <w:tab/>
      </w:r>
    </w:p>
    <w:p w14:paraId="27F87C59" w14:textId="77777777" w:rsidR="00271FA2" w:rsidRPr="00A013E1" w:rsidRDefault="00271FA2">
      <w:pPr>
        <w:spacing w:line="240" w:lineRule="atLeast"/>
        <w:ind w:left="850" w:hanging="850"/>
        <w:outlineLvl w:val="0"/>
        <w:rPr>
          <w:rFonts w:ascii="Times New Roman" w:hAnsi="Times New Roman" w:cs="Times New Roman"/>
          <w:lang w:val="ru-RU"/>
        </w:rPr>
      </w:pPr>
    </w:p>
    <w:p w14:paraId="02C726AC" w14:textId="77777777" w:rsidR="00271FA2" w:rsidRPr="00A013E1" w:rsidRDefault="00D35E51">
      <w:pPr>
        <w:spacing w:line="240" w:lineRule="atLeast"/>
        <w:ind w:left="850" w:hanging="850"/>
        <w:outlineLvl w:val="0"/>
        <w:rPr>
          <w:rFonts w:ascii="Times New Roman" w:hAnsi="Times New Roman" w:cs="Times New Roman"/>
          <w:b/>
          <w:lang w:val="ru-RU"/>
        </w:rPr>
      </w:pPr>
      <w:r w:rsidRPr="00A013E1">
        <w:rPr>
          <w:rFonts w:ascii="Times New Roman" w:hAnsi="Times New Roman" w:cs="Times New Roman"/>
          <w:b/>
          <w:lang w:val="ru-RU"/>
        </w:rPr>
        <w:t xml:space="preserve">Допълнения: </w:t>
      </w:r>
    </w:p>
    <w:p w14:paraId="2D233AC6" w14:textId="77777777" w:rsidR="00271FA2" w:rsidRPr="00A013E1" w:rsidRDefault="00D35E51">
      <w:pPr>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1.</w:t>
      </w:r>
      <w:r w:rsidRPr="00A013E1">
        <w:rPr>
          <w:rFonts w:ascii="Times New Roman" w:hAnsi="Times New Roman" w:cs="Times New Roman"/>
          <w:lang w:val="ru-RU"/>
        </w:rPr>
        <w:tab/>
        <w:t xml:space="preserve">Основни характеристики на бордовата станция за пречистване на отпадъчни води </w:t>
      </w:r>
    </w:p>
    <w:p w14:paraId="3B9290CE" w14:textId="77777777" w:rsidR="00271FA2" w:rsidRPr="00A013E1" w:rsidRDefault="00D35E51">
      <w:pPr>
        <w:spacing w:line="240" w:lineRule="atLeast"/>
        <w:ind w:left="562" w:hanging="562"/>
        <w:jc w:val="both"/>
        <w:rPr>
          <w:rFonts w:ascii="Times New Roman" w:hAnsi="Times New Roman" w:cs="Times New Roman"/>
          <w:lang w:val="ru-RU"/>
        </w:rPr>
      </w:pPr>
      <w:r w:rsidRPr="00A013E1">
        <w:rPr>
          <w:rFonts w:ascii="Times New Roman" w:hAnsi="Times New Roman" w:cs="Times New Roman"/>
          <w:lang w:val="ru-RU"/>
        </w:rPr>
        <w:t>2.</w:t>
      </w:r>
      <w:r w:rsidRPr="00A013E1">
        <w:rPr>
          <w:rFonts w:ascii="Times New Roman" w:hAnsi="Times New Roman" w:cs="Times New Roman"/>
          <w:lang w:val="ru-RU"/>
        </w:rPr>
        <w:tab/>
        <w:t xml:space="preserve">Прилаганите критерии за проектиране и оразмеряване, спецификации за оразмеряване и наредби </w:t>
      </w:r>
    </w:p>
    <w:p w14:paraId="00C9F546" w14:textId="77777777" w:rsidR="00271FA2" w:rsidRPr="00A013E1" w:rsidRDefault="00D35E51">
      <w:pPr>
        <w:spacing w:line="240" w:lineRule="atLeast"/>
        <w:ind w:left="562" w:hanging="562"/>
        <w:jc w:val="both"/>
        <w:rPr>
          <w:rFonts w:ascii="Times New Roman" w:hAnsi="Times New Roman" w:cs="Times New Roman"/>
          <w:lang w:val="ru-RU"/>
        </w:rPr>
      </w:pPr>
      <w:r w:rsidRPr="00A013E1">
        <w:rPr>
          <w:rFonts w:ascii="Times New Roman" w:hAnsi="Times New Roman" w:cs="Times New Roman"/>
          <w:lang w:val="ru-RU"/>
        </w:rPr>
        <w:t>3.</w:t>
      </w:r>
      <w:r w:rsidRPr="00A013E1">
        <w:rPr>
          <w:rFonts w:ascii="Times New Roman" w:hAnsi="Times New Roman" w:cs="Times New Roman"/>
          <w:lang w:val="ru-RU"/>
        </w:rPr>
        <w:tab/>
        <w:t>Схема на бордовата станция за пречистване на отпадъчни води със списък на частите</w:t>
      </w:r>
    </w:p>
    <w:p w14:paraId="5ED32803" w14:textId="77777777" w:rsidR="00271FA2" w:rsidRPr="00A013E1" w:rsidRDefault="00D35E51">
      <w:pPr>
        <w:spacing w:line="240" w:lineRule="atLeast"/>
        <w:ind w:left="562" w:hanging="562"/>
        <w:jc w:val="both"/>
        <w:rPr>
          <w:rFonts w:ascii="Times New Roman" w:hAnsi="Times New Roman" w:cs="Times New Roman"/>
          <w:lang w:val="ru-RU"/>
        </w:rPr>
      </w:pPr>
      <w:r w:rsidRPr="00A013E1">
        <w:rPr>
          <w:rFonts w:ascii="Times New Roman" w:hAnsi="Times New Roman" w:cs="Times New Roman"/>
          <w:lang w:val="ru-RU"/>
        </w:rPr>
        <w:t>4.</w:t>
      </w:r>
      <w:r w:rsidRPr="00A013E1">
        <w:rPr>
          <w:rFonts w:ascii="Times New Roman" w:hAnsi="Times New Roman" w:cs="Times New Roman"/>
          <w:lang w:val="ru-RU"/>
        </w:rPr>
        <w:tab/>
        <w:t xml:space="preserve">Схема на изпитваната пречиствателна станция със списък на частите </w:t>
      </w:r>
    </w:p>
    <w:p w14:paraId="65B2F406" w14:textId="77777777" w:rsidR="00271FA2" w:rsidRPr="00A013E1" w:rsidRDefault="00D35E51">
      <w:pPr>
        <w:spacing w:line="240" w:lineRule="atLeast"/>
        <w:ind w:left="562" w:hanging="562"/>
        <w:jc w:val="both"/>
        <w:rPr>
          <w:rFonts w:ascii="Times New Roman" w:hAnsi="Times New Roman" w:cs="Times New Roman"/>
          <w:lang w:val="ru-RU"/>
        </w:rPr>
      </w:pPr>
      <w:r w:rsidRPr="00A013E1">
        <w:rPr>
          <w:rFonts w:ascii="Times New Roman" w:hAnsi="Times New Roman" w:cs="Times New Roman"/>
          <w:lang w:val="ru-RU"/>
        </w:rPr>
        <w:t>5</w:t>
      </w:r>
      <w:r w:rsidRPr="00A013E1">
        <w:rPr>
          <w:rFonts w:ascii="Times New Roman" w:hAnsi="Times New Roman" w:cs="Times New Roman"/>
          <w:lang w:val="ru-RU"/>
        </w:rPr>
        <w:tab/>
        <w:t xml:space="preserve">Схеми на електрическата инсталация (схема на тръбопроводите и КИП) </w:t>
      </w:r>
    </w:p>
    <w:p w14:paraId="1D4875EE" w14:textId="77777777" w:rsidR="00271FA2" w:rsidRPr="00A013E1" w:rsidRDefault="00D35E51">
      <w:pPr>
        <w:spacing w:line="240" w:lineRule="atLeast"/>
        <w:ind w:left="562" w:hanging="562"/>
        <w:jc w:val="both"/>
        <w:rPr>
          <w:rFonts w:ascii="Times New Roman" w:hAnsi="Times New Roman" w:cs="Times New Roman"/>
          <w:lang w:val="ru-RU"/>
        </w:rPr>
      </w:pPr>
      <w:r w:rsidRPr="00A013E1">
        <w:rPr>
          <w:rFonts w:ascii="Times New Roman" w:hAnsi="Times New Roman" w:cs="Times New Roman"/>
          <w:lang w:val="ru-RU"/>
        </w:rPr>
        <w:t>6.</w:t>
      </w:r>
      <w:r w:rsidRPr="00A013E1">
        <w:rPr>
          <w:rFonts w:ascii="Times New Roman" w:hAnsi="Times New Roman" w:cs="Times New Roman"/>
          <w:lang w:val="ru-RU"/>
        </w:rPr>
        <w:tab/>
        <w:t xml:space="preserve">Декларация, че са спазени всички спецификации по отношение на механичната, електрическата и техническата безопасност на бордовите станции за пречистване на отпадъчни води, както и спецификациите за корабната безопасност </w:t>
      </w:r>
    </w:p>
    <w:p w14:paraId="7FE0E693" w14:textId="77777777" w:rsidR="00271FA2" w:rsidRPr="00A013E1" w:rsidRDefault="00D35E51">
      <w:pPr>
        <w:spacing w:line="240" w:lineRule="atLeast"/>
        <w:ind w:left="562" w:hanging="562"/>
        <w:jc w:val="both"/>
        <w:rPr>
          <w:rFonts w:ascii="Times New Roman" w:hAnsi="Times New Roman" w:cs="Times New Roman"/>
          <w:lang w:val="ru-RU"/>
        </w:rPr>
      </w:pPr>
      <w:r w:rsidRPr="00A013E1">
        <w:rPr>
          <w:rFonts w:ascii="Times New Roman" w:hAnsi="Times New Roman" w:cs="Times New Roman"/>
          <w:lang w:val="ru-RU"/>
        </w:rPr>
        <w:lastRenderedPageBreak/>
        <w:t>7.</w:t>
      </w:r>
      <w:r w:rsidRPr="00A013E1">
        <w:rPr>
          <w:rFonts w:ascii="Times New Roman" w:hAnsi="Times New Roman" w:cs="Times New Roman"/>
          <w:lang w:val="ru-RU"/>
        </w:rPr>
        <w:tab/>
        <w:t xml:space="preserve">Характеристики на всички части на плавателния съд, които са свързани с бордовата станция за пречистване на отпадъчни води </w:t>
      </w:r>
    </w:p>
    <w:p w14:paraId="71FAA1AA" w14:textId="77777777" w:rsidR="00271FA2" w:rsidRPr="00A013E1" w:rsidRDefault="00D35E51">
      <w:pPr>
        <w:spacing w:line="240" w:lineRule="atLeast"/>
        <w:ind w:left="562" w:hanging="562"/>
        <w:jc w:val="both"/>
        <w:rPr>
          <w:rFonts w:ascii="Times New Roman" w:hAnsi="Times New Roman" w:cs="Times New Roman"/>
          <w:lang w:val="ru-RU"/>
        </w:rPr>
      </w:pPr>
      <w:r w:rsidRPr="00A013E1">
        <w:rPr>
          <w:rFonts w:ascii="Times New Roman" w:hAnsi="Times New Roman" w:cs="Times New Roman"/>
          <w:lang w:val="ru-RU"/>
        </w:rPr>
        <w:t>8.</w:t>
      </w:r>
      <w:r w:rsidRPr="00A013E1">
        <w:rPr>
          <w:rFonts w:ascii="Times New Roman" w:hAnsi="Times New Roman" w:cs="Times New Roman"/>
          <w:lang w:val="ru-RU"/>
        </w:rPr>
        <w:tab/>
        <w:t>Ръководство на производителя за проверка на свързаните с пречистването компоненти и параметри на бордовата станция за пречистване на отпадъчни води в съответствие с член 1.01, точка 9.10</w:t>
      </w:r>
    </w:p>
    <w:p w14:paraId="53F50B0B" w14:textId="77777777" w:rsidR="00271FA2" w:rsidRPr="00A013E1" w:rsidRDefault="00D35E51">
      <w:pPr>
        <w:spacing w:line="240" w:lineRule="atLeast"/>
        <w:ind w:left="567" w:hanging="567"/>
        <w:rPr>
          <w:rFonts w:ascii="Times New Roman" w:hAnsi="Times New Roman" w:cs="Times New Roman"/>
          <w:lang w:val="ru-RU"/>
        </w:rPr>
      </w:pPr>
      <w:r w:rsidRPr="00A013E1">
        <w:rPr>
          <w:rFonts w:ascii="Times New Roman" w:hAnsi="Times New Roman" w:cs="Times New Roman"/>
          <w:lang w:val="ru-RU"/>
        </w:rPr>
        <w:t>9.</w:t>
      </w:r>
      <w:r w:rsidRPr="00A013E1">
        <w:rPr>
          <w:rFonts w:ascii="Times New Roman" w:hAnsi="Times New Roman" w:cs="Times New Roman"/>
          <w:lang w:val="ru-RU"/>
        </w:rPr>
        <w:tab/>
        <w:t>Снимки на бордовата станция за пречистване на отпадъчни води</w:t>
      </w:r>
    </w:p>
    <w:p w14:paraId="7AB59024" w14:textId="77777777" w:rsidR="00271FA2" w:rsidRPr="00A013E1" w:rsidRDefault="00D35E51">
      <w:pPr>
        <w:spacing w:line="240" w:lineRule="atLeast"/>
        <w:ind w:left="567" w:hanging="567"/>
        <w:rPr>
          <w:rFonts w:ascii="Times New Roman" w:hAnsi="Times New Roman" w:cs="Times New Roman"/>
          <w:lang w:val="ru-RU"/>
        </w:rPr>
      </w:pPr>
      <w:r w:rsidRPr="00A013E1">
        <w:rPr>
          <w:rFonts w:ascii="Times New Roman" w:hAnsi="Times New Roman" w:cs="Times New Roman"/>
          <w:lang w:val="ru-RU"/>
        </w:rPr>
        <w:t>10.</w:t>
      </w:r>
      <w:r w:rsidRPr="00A013E1">
        <w:rPr>
          <w:rFonts w:ascii="Times New Roman" w:hAnsi="Times New Roman" w:cs="Times New Roman"/>
          <w:lang w:val="ru-RU"/>
        </w:rPr>
        <w:tab/>
        <w:t>Принципи на работа</w:t>
      </w:r>
      <w:r w:rsidRPr="00A013E1">
        <w:rPr>
          <w:rFonts w:ascii="Times New Roman" w:hAnsi="Times New Roman" w:cs="Times New Roman"/>
          <w:vertAlign w:val="superscript"/>
          <w:lang w:val="ru-RU"/>
        </w:rPr>
        <w:t>(</w:t>
      </w:r>
      <w:r w:rsidRPr="00A013E1">
        <w:rPr>
          <w:rFonts w:ascii="Times New Roman" w:hAnsi="Times New Roman" w:cs="Times New Roman"/>
          <w:vertAlign w:val="superscript"/>
        </w:rPr>
        <w:footnoteReference w:id="44"/>
      </w:r>
      <w:r w:rsidRPr="00A013E1">
        <w:rPr>
          <w:rFonts w:ascii="Times New Roman" w:hAnsi="Times New Roman" w:cs="Times New Roman"/>
          <w:vertAlign w:val="superscript"/>
          <w:lang w:val="ru-RU"/>
        </w:rPr>
        <w:t>)</w:t>
      </w:r>
    </w:p>
    <w:p w14:paraId="2267AB8B" w14:textId="77777777" w:rsidR="00271FA2" w:rsidRPr="00A013E1" w:rsidRDefault="00D35E51">
      <w:pPr>
        <w:spacing w:line="240" w:lineRule="atLeast"/>
        <w:ind w:left="567" w:hanging="567"/>
        <w:rPr>
          <w:rFonts w:ascii="Times New Roman" w:hAnsi="Times New Roman" w:cs="Times New Roman"/>
          <w:lang w:val="ru-RU"/>
        </w:rPr>
      </w:pPr>
      <w:r w:rsidRPr="00A013E1">
        <w:rPr>
          <w:rFonts w:ascii="Times New Roman" w:hAnsi="Times New Roman" w:cs="Times New Roman"/>
          <w:lang w:val="ru-RU"/>
        </w:rPr>
        <w:t>10.1</w:t>
      </w:r>
      <w:r w:rsidRPr="00A013E1">
        <w:rPr>
          <w:rFonts w:ascii="Times New Roman" w:hAnsi="Times New Roman" w:cs="Times New Roman"/>
          <w:lang w:val="ru-RU"/>
        </w:rPr>
        <w:tab/>
        <w:t xml:space="preserve">Инструкции за ръчното обслужване на бордовата станция за пречистване на отпадъчни води </w:t>
      </w:r>
    </w:p>
    <w:p w14:paraId="7E2CADB6" w14:textId="77777777" w:rsidR="00271FA2" w:rsidRPr="00A013E1" w:rsidRDefault="00D35E51">
      <w:pPr>
        <w:spacing w:line="240" w:lineRule="atLeast"/>
        <w:ind w:left="567" w:hanging="567"/>
        <w:rPr>
          <w:rFonts w:ascii="Times New Roman" w:hAnsi="Times New Roman" w:cs="Times New Roman"/>
          <w:lang w:val="ru-RU"/>
        </w:rPr>
      </w:pPr>
      <w:r w:rsidRPr="00A013E1">
        <w:rPr>
          <w:rFonts w:ascii="Times New Roman" w:hAnsi="Times New Roman" w:cs="Times New Roman"/>
          <w:lang w:val="ru-RU"/>
        </w:rPr>
        <w:t>10.2</w:t>
      </w:r>
      <w:r w:rsidRPr="00A013E1">
        <w:rPr>
          <w:rFonts w:ascii="Times New Roman" w:hAnsi="Times New Roman" w:cs="Times New Roman"/>
          <w:lang w:val="ru-RU"/>
        </w:rPr>
        <w:tab/>
        <w:t>Бележки относно управлението на излишната утайка (интервали на изпразване)</w:t>
      </w:r>
    </w:p>
    <w:p w14:paraId="1311247E" w14:textId="77777777" w:rsidR="00271FA2" w:rsidRPr="00A013E1" w:rsidRDefault="00D35E51">
      <w:pPr>
        <w:spacing w:line="240" w:lineRule="atLeast"/>
        <w:ind w:left="567" w:hanging="567"/>
        <w:rPr>
          <w:rFonts w:ascii="Times New Roman" w:hAnsi="Times New Roman" w:cs="Times New Roman"/>
          <w:lang w:val="ru-RU"/>
        </w:rPr>
      </w:pPr>
      <w:r w:rsidRPr="00A013E1">
        <w:rPr>
          <w:rFonts w:ascii="Times New Roman" w:hAnsi="Times New Roman" w:cs="Times New Roman"/>
          <w:lang w:val="ru-RU"/>
        </w:rPr>
        <w:t>10.3</w:t>
      </w:r>
      <w:r w:rsidRPr="00A013E1">
        <w:rPr>
          <w:rFonts w:ascii="Times New Roman" w:hAnsi="Times New Roman" w:cs="Times New Roman"/>
          <w:lang w:val="ru-RU"/>
        </w:rPr>
        <w:tab/>
        <w:t>Бележки относно поддръжката и ремонта</w:t>
      </w:r>
    </w:p>
    <w:p w14:paraId="13B1B58A" w14:textId="77777777" w:rsidR="00271FA2" w:rsidRPr="00A013E1" w:rsidRDefault="00D35E51">
      <w:pPr>
        <w:spacing w:line="240" w:lineRule="atLeast"/>
        <w:ind w:left="567" w:hanging="567"/>
        <w:rPr>
          <w:rFonts w:ascii="Times New Roman" w:hAnsi="Times New Roman" w:cs="Times New Roman"/>
          <w:lang w:val="ru-RU"/>
        </w:rPr>
      </w:pPr>
      <w:r w:rsidRPr="00A013E1">
        <w:rPr>
          <w:rFonts w:ascii="Times New Roman" w:hAnsi="Times New Roman" w:cs="Times New Roman"/>
          <w:lang w:val="ru-RU"/>
        </w:rPr>
        <w:t>10.4</w:t>
      </w:r>
      <w:r w:rsidRPr="00A013E1">
        <w:rPr>
          <w:rFonts w:ascii="Times New Roman" w:hAnsi="Times New Roman" w:cs="Times New Roman"/>
          <w:lang w:val="ru-RU"/>
        </w:rPr>
        <w:tab/>
        <w:t>Бележки относно необходимите действия в случай на работа в режим на готовност на бордовата станция за пречистване на отпадъчни води</w:t>
      </w:r>
    </w:p>
    <w:p w14:paraId="238E38B7" w14:textId="77777777" w:rsidR="00271FA2" w:rsidRPr="00A013E1" w:rsidRDefault="00D35E51">
      <w:pPr>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10.5</w:t>
      </w:r>
      <w:r w:rsidRPr="00A013E1">
        <w:rPr>
          <w:rFonts w:ascii="Times New Roman" w:hAnsi="Times New Roman" w:cs="Times New Roman"/>
          <w:lang w:val="ru-RU"/>
        </w:rPr>
        <w:tab/>
        <w:t>Бележки относно необходимите действия в случай на работа в авариен режим на бордовата станция за пречистване на отпадъчни води</w:t>
      </w:r>
    </w:p>
    <w:p w14:paraId="22228632" w14:textId="77777777" w:rsidR="00271FA2" w:rsidRPr="00A013E1" w:rsidRDefault="00D35E51">
      <w:pPr>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10.6</w:t>
      </w:r>
      <w:r w:rsidRPr="00A013E1">
        <w:rPr>
          <w:rFonts w:ascii="Times New Roman" w:hAnsi="Times New Roman" w:cs="Times New Roman"/>
          <w:lang w:val="ru-RU"/>
        </w:rPr>
        <w:tab/>
        <w:t>Бележки относно действията по спиране, престой и пускане на бордовата станция за пречистване на отпадъчни води</w:t>
      </w:r>
    </w:p>
    <w:p w14:paraId="2182EB1B" w14:textId="77777777" w:rsidR="00271FA2" w:rsidRPr="00A013E1" w:rsidRDefault="00D35E51">
      <w:pPr>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10.7</w:t>
      </w:r>
      <w:r w:rsidRPr="00A013E1">
        <w:rPr>
          <w:rFonts w:ascii="Times New Roman" w:hAnsi="Times New Roman" w:cs="Times New Roman"/>
          <w:lang w:val="ru-RU"/>
        </w:rPr>
        <w:tab/>
        <w:t xml:space="preserve">Бележки относно изискванията за предварително пречистване на отпадъчни води от камбузи </w:t>
      </w:r>
    </w:p>
    <w:p w14:paraId="36823477" w14:textId="77777777" w:rsidR="00271FA2" w:rsidRPr="00A013E1" w:rsidRDefault="00D35E51">
      <w:pPr>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11.</w:t>
      </w:r>
      <w:r w:rsidRPr="00A013E1">
        <w:rPr>
          <w:rFonts w:ascii="Times New Roman" w:hAnsi="Times New Roman" w:cs="Times New Roman"/>
          <w:lang w:val="ru-RU"/>
        </w:rPr>
        <w:tab/>
        <w:t>Други съоръжения (списъкът е достъпен тук)</w:t>
      </w:r>
    </w:p>
    <w:p w14:paraId="3C2381E9" w14:textId="77777777" w:rsidR="00271FA2" w:rsidRPr="00A013E1" w:rsidRDefault="00271FA2">
      <w:pPr>
        <w:spacing w:line="240" w:lineRule="atLeast"/>
        <w:rPr>
          <w:rFonts w:ascii="Times New Roman" w:hAnsi="Times New Roman" w:cs="Times New Roman"/>
          <w:color w:val="000000"/>
          <w:lang w:val="ru-RU"/>
        </w:rPr>
      </w:pPr>
    </w:p>
    <w:p w14:paraId="393BA8D4" w14:textId="77777777" w:rsidR="00271FA2" w:rsidRPr="00A013E1" w:rsidRDefault="00D35E51">
      <w:pPr>
        <w:spacing w:line="240" w:lineRule="atLeast"/>
        <w:outlineLvl w:val="0"/>
        <w:rPr>
          <w:rFonts w:ascii="Times New Roman" w:hAnsi="Times New Roman" w:cs="Times New Roman"/>
          <w:b/>
          <w:lang w:val="ru-RU"/>
        </w:rPr>
      </w:pPr>
      <w:r w:rsidRPr="00A013E1">
        <w:rPr>
          <w:rFonts w:ascii="Times New Roman" w:hAnsi="Times New Roman" w:cs="Times New Roman"/>
          <w:b/>
          <w:lang w:val="ru-RU"/>
        </w:rPr>
        <w:t>Дата и подпис на производителя на бордовата станция за пречистване на отпадъчни води</w:t>
      </w:r>
    </w:p>
    <w:p w14:paraId="40C8970C" w14:textId="77777777" w:rsidR="00271FA2" w:rsidRPr="00A013E1" w:rsidRDefault="00271FA2">
      <w:pPr>
        <w:spacing w:line="240" w:lineRule="atLeast"/>
        <w:rPr>
          <w:rFonts w:ascii="Times New Roman" w:hAnsi="Times New Roman" w:cs="Times New Roman"/>
          <w:color w:val="000000"/>
          <w:lang w:val="ru-RU"/>
        </w:rPr>
      </w:pPr>
    </w:p>
    <w:p w14:paraId="36EAF6E5" w14:textId="77777777" w:rsidR="00271FA2" w:rsidRPr="00A013E1" w:rsidRDefault="00D35E51">
      <w:pPr>
        <w:tabs>
          <w:tab w:val="center" w:pos="7655"/>
        </w:tabs>
        <w:suppressAutoHyphens/>
        <w:spacing w:line="240" w:lineRule="atLeast"/>
        <w:jc w:val="center"/>
        <w:rPr>
          <w:rFonts w:ascii="Times New Roman" w:hAnsi="Times New Roman" w:cs="Times New Roman"/>
          <w:b/>
          <w:lang w:val="ru-RU"/>
        </w:rPr>
      </w:pPr>
      <w:r w:rsidRPr="00A013E1">
        <w:rPr>
          <w:rFonts w:ascii="Times New Roman" w:hAnsi="Times New Roman" w:cs="Times New Roman"/>
          <w:b/>
          <w:lang w:val="ru-RU"/>
        </w:rPr>
        <w:t>Допълнение 1</w:t>
      </w:r>
    </w:p>
    <w:p w14:paraId="6F0E7B17" w14:textId="77777777" w:rsidR="00271FA2" w:rsidRPr="00A013E1" w:rsidRDefault="00D35E51" w:rsidP="00287F0A">
      <w:pPr>
        <w:tabs>
          <w:tab w:val="center" w:pos="7655"/>
        </w:tabs>
        <w:suppressAutoHyphens/>
        <w:spacing w:after="240" w:line="240" w:lineRule="atLeast"/>
        <w:jc w:val="center"/>
        <w:rPr>
          <w:rFonts w:ascii="Times New Roman" w:hAnsi="Times New Roman" w:cs="Times New Roman"/>
          <w:szCs w:val="20"/>
          <w:lang w:val="ru-RU"/>
        </w:rPr>
      </w:pPr>
      <w:r w:rsidRPr="00A013E1">
        <w:rPr>
          <w:rFonts w:ascii="Times New Roman" w:hAnsi="Times New Roman" w:cs="Times New Roman"/>
          <w:b/>
          <w:lang w:val="ru-RU"/>
        </w:rPr>
        <w:t xml:space="preserve">Основни характеристики на бордовата станция за пречистване на отпадъчни води </w:t>
      </w:r>
      <w:r w:rsidRPr="00A013E1">
        <w:rPr>
          <w:rFonts w:ascii="Times New Roman" w:hAnsi="Times New Roman" w:cs="Times New Roman"/>
          <w:b/>
          <w:szCs w:val="20"/>
          <w:lang w:val="ru-RU"/>
        </w:rPr>
        <w:br/>
      </w:r>
      <w:r w:rsidRPr="00A013E1">
        <w:rPr>
          <w:rFonts w:ascii="Times New Roman" w:hAnsi="Times New Roman" w:cs="Times New Roman"/>
          <w:lang w:val="ru-RU"/>
        </w:rPr>
        <w:t>(Образец)</w:t>
      </w:r>
    </w:p>
    <w:p w14:paraId="199521A3" w14:textId="77777777" w:rsidR="00271FA2" w:rsidRPr="00A013E1" w:rsidRDefault="00D35E51">
      <w:pPr>
        <w:spacing w:line="240" w:lineRule="atLeast"/>
        <w:ind w:left="850" w:hanging="850"/>
        <w:outlineLvl w:val="0"/>
        <w:rPr>
          <w:rFonts w:ascii="Times New Roman" w:hAnsi="Times New Roman" w:cs="Times New Roman"/>
          <w:b/>
          <w:szCs w:val="20"/>
          <w:lang w:val="ru-RU"/>
        </w:rPr>
      </w:pPr>
      <w:r w:rsidRPr="00A013E1">
        <w:rPr>
          <w:rFonts w:ascii="Times New Roman" w:hAnsi="Times New Roman" w:cs="Times New Roman"/>
          <w:b/>
          <w:lang w:val="ru-RU"/>
        </w:rPr>
        <w:t>1.</w:t>
      </w:r>
      <w:r w:rsidRPr="00A013E1">
        <w:rPr>
          <w:rFonts w:ascii="Times New Roman" w:hAnsi="Times New Roman" w:cs="Times New Roman"/>
          <w:lang w:val="ru-RU"/>
        </w:rPr>
        <w:tab/>
      </w:r>
      <w:r w:rsidRPr="00A013E1">
        <w:rPr>
          <w:rFonts w:ascii="Times New Roman" w:hAnsi="Times New Roman" w:cs="Times New Roman"/>
          <w:b/>
          <w:lang w:val="ru-RU"/>
        </w:rPr>
        <w:t>Описание на бордовата станция за пречистване на отпадъчни води</w:t>
      </w:r>
    </w:p>
    <w:p w14:paraId="09381C7F" w14:textId="77777777" w:rsidR="00271FA2" w:rsidRPr="00A013E1" w:rsidRDefault="00D35E51">
      <w:pPr>
        <w:tabs>
          <w:tab w:val="left" w:leader="dot" w:pos="9072"/>
        </w:tabs>
        <w:spacing w:line="240" w:lineRule="atLeast"/>
        <w:ind w:left="851" w:hanging="851"/>
        <w:rPr>
          <w:rFonts w:ascii="Times New Roman" w:hAnsi="Times New Roman" w:cs="Times New Roman"/>
          <w:szCs w:val="20"/>
          <w:lang w:val="ru-RU"/>
        </w:rPr>
      </w:pPr>
      <w:r w:rsidRPr="00A013E1">
        <w:rPr>
          <w:rFonts w:ascii="Times New Roman" w:hAnsi="Times New Roman" w:cs="Times New Roman"/>
          <w:lang w:val="ru-RU"/>
        </w:rPr>
        <w:t>1.1</w:t>
      </w:r>
      <w:r w:rsidRPr="00A013E1">
        <w:rPr>
          <w:rFonts w:ascii="Times New Roman" w:hAnsi="Times New Roman" w:cs="Times New Roman"/>
          <w:lang w:val="ru-RU"/>
        </w:rPr>
        <w:tab/>
        <w:t xml:space="preserve">Производител: </w:t>
      </w:r>
      <w:r w:rsidRPr="00A013E1">
        <w:rPr>
          <w:rFonts w:ascii="Times New Roman" w:hAnsi="Times New Roman" w:cs="Times New Roman"/>
          <w:lang w:val="ru-RU"/>
        </w:rPr>
        <w:tab/>
      </w:r>
    </w:p>
    <w:p w14:paraId="48A9E30B" w14:textId="77777777" w:rsidR="00271FA2" w:rsidRPr="00A013E1" w:rsidRDefault="00D35E51">
      <w:pPr>
        <w:tabs>
          <w:tab w:val="left" w:leader="dot" w:pos="9072"/>
        </w:tabs>
        <w:spacing w:line="240" w:lineRule="atLeast"/>
        <w:ind w:left="851" w:hanging="851"/>
        <w:rPr>
          <w:rFonts w:ascii="Times New Roman" w:hAnsi="Times New Roman" w:cs="Times New Roman"/>
          <w:szCs w:val="20"/>
          <w:lang w:val="ru-RU"/>
        </w:rPr>
      </w:pPr>
      <w:r w:rsidRPr="00A013E1">
        <w:rPr>
          <w:rFonts w:ascii="Times New Roman" w:hAnsi="Times New Roman" w:cs="Times New Roman"/>
          <w:lang w:val="ru-RU"/>
        </w:rPr>
        <w:t>1.2</w:t>
      </w:r>
      <w:r w:rsidRPr="00A013E1">
        <w:rPr>
          <w:rFonts w:ascii="Times New Roman" w:hAnsi="Times New Roman" w:cs="Times New Roman"/>
          <w:lang w:val="ru-RU"/>
        </w:rPr>
        <w:tab/>
        <w:t xml:space="preserve">Сериен номер на пречиствателната станция: </w:t>
      </w:r>
      <w:r w:rsidRPr="00A013E1">
        <w:rPr>
          <w:rFonts w:ascii="Times New Roman" w:hAnsi="Times New Roman" w:cs="Times New Roman"/>
          <w:lang w:val="ru-RU"/>
        </w:rPr>
        <w:tab/>
      </w:r>
    </w:p>
    <w:p w14:paraId="3877EB99" w14:textId="77777777" w:rsidR="00271FA2" w:rsidRPr="00A013E1" w:rsidRDefault="00D35E51">
      <w:pPr>
        <w:spacing w:line="240" w:lineRule="atLeast"/>
        <w:ind w:left="850" w:hanging="850"/>
        <w:rPr>
          <w:rFonts w:ascii="Times New Roman" w:hAnsi="Times New Roman" w:cs="Times New Roman"/>
          <w:szCs w:val="20"/>
          <w:lang w:val="ru-RU"/>
        </w:rPr>
      </w:pPr>
      <w:r w:rsidRPr="00A013E1">
        <w:rPr>
          <w:rFonts w:ascii="Times New Roman" w:hAnsi="Times New Roman" w:cs="Times New Roman"/>
          <w:lang w:val="ru-RU"/>
        </w:rPr>
        <w:lastRenderedPageBreak/>
        <w:t>1.3</w:t>
      </w:r>
      <w:r w:rsidRPr="00A013E1">
        <w:rPr>
          <w:rFonts w:ascii="Times New Roman" w:hAnsi="Times New Roman" w:cs="Times New Roman"/>
          <w:lang w:val="ru-RU"/>
        </w:rPr>
        <w:tab/>
        <w:t xml:space="preserve">Начин на пречистване: биологичен или механичен/химически </w:t>
      </w:r>
      <w:r w:rsidRPr="00A013E1">
        <w:rPr>
          <w:rFonts w:ascii="Times New Roman" w:hAnsi="Times New Roman" w:cs="Times New Roman"/>
          <w:vertAlign w:val="superscript"/>
          <w:lang w:val="ru-RU"/>
        </w:rPr>
        <w:t>(</w:t>
      </w:r>
      <w:r w:rsidRPr="00A013E1">
        <w:rPr>
          <w:rFonts w:ascii="Times New Roman" w:hAnsi="Times New Roman" w:cs="Times New Roman"/>
          <w:vertAlign w:val="superscript"/>
        </w:rPr>
        <w:footnoteReference w:id="45"/>
      </w:r>
      <w:r w:rsidRPr="00A013E1">
        <w:rPr>
          <w:rFonts w:ascii="Times New Roman" w:hAnsi="Times New Roman" w:cs="Times New Roman"/>
          <w:vertAlign w:val="superscript"/>
          <w:lang w:val="ru-RU"/>
        </w:rPr>
        <w:t>)</w:t>
      </w:r>
    </w:p>
    <w:p w14:paraId="6B9614D0" w14:textId="77777777" w:rsidR="00271FA2" w:rsidRPr="00A013E1" w:rsidRDefault="00D35E51">
      <w:pPr>
        <w:spacing w:line="240" w:lineRule="atLeast"/>
        <w:ind w:left="850" w:hanging="850"/>
        <w:rPr>
          <w:rFonts w:ascii="Times New Roman" w:hAnsi="Times New Roman" w:cs="Times New Roman"/>
          <w:szCs w:val="20"/>
          <w:lang w:val="ru-RU"/>
        </w:rPr>
      </w:pPr>
      <w:r w:rsidRPr="00A013E1">
        <w:rPr>
          <w:rFonts w:ascii="Times New Roman" w:hAnsi="Times New Roman" w:cs="Times New Roman"/>
          <w:lang w:val="ru-RU"/>
        </w:rPr>
        <w:t>1.4</w:t>
      </w:r>
      <w:r w:rsidRPr="00A013E1">
        <w:rPr>
          <w:rFonts w:ascii="Times New Roman" w:hAnsi="Times New Roman" w:cs="Times New Roman"/>
          <w:lang w:val="ru-RU"/>
        </w:rPr>
        <w:tab/>
        <w:t xml:space="preserve">Резервоар за отпадъчни води преди пречиствателната станция? Да, … </w:t>
      </w:r>
      <w:r w:rsidRPr="00A013E1">
        <w:rPr>
          <w:rFonts w:ascii="Times New Roman" w:hAnsi="Times New Roman" w:cs="Times New Roman"/>
        </w:rPr>
        <w:t>m</w:t>
      </w:r>
      <w:r w:rsidRPr="00A013E1">
        <w:rPr>
          <w:rFonts w:ascii="Times New Roman" w:hAnsi="Times New Roman" w:cs="Times New Roman"/>
          <w:lang w:val="ru-RU"/>
        </w:rPr>
        <w:t>³ / Не</w:t>
      </w:r>
      <w:r w:rsidRPr="00A013E1">
        <w:rPr>
          <w:rFonts w:ascii="Times New Roman" w:hAnsi="Times New Roman" w:cs="Times New Roman"/>
          <w:vertAlign w:val="superscript"/>
          <w:lang w:val="ru-RU"/>
        </w:rPr>
        <w:t>(1)</w:t>
      </w:r>
    </w:p>
    <w:p w14:paraId="77A94D4B" w14:textId="77777777" w:rsidR="00271FA2" w:rsidRPr="00A013E1" w:rsidRDefault="00D35E51">
      <w:pPr>
        <w:spacing w:line="240" w:lineRule="atLeast"/>
        <w:ind w:left="850" w:hanging="850"/>
        <w:outlineLvl w:val="0"/>
        <w:rPr>
          <w:rFonts w:ascii="Times New Roman" w:hAnsi="Times New Roman" w:cs="Times New Roman"/>
          <w:b/>
          <w:bCs/>
          <w:szCs w:val="20"/>
          <w:lang w:val="ru-RU"/>
        </w:rPr>
      </w:pPr>
      <w:r w:rsidRPr="00A013E1">
        <w:rPr>
          <w:rFonts w:ascii="Times New Roman" w:hAnsi="Times New Roman" w:cs="Times New Roman"/>
          <w:b/>
          <w:lang w:val="ru-RU"/>
        </w:rPr>
        <w:t>2.</w:t>
      </w:r>
      <w:r w:rsidRPr="00A013E1">
        <w:rPr>
          <w:rFonts w:ascii="Times New Roman" w:hAnsi="Times New Roman" w:cs="Times New Roman"/>
          <w:lang w:val="ru-RU"/>
        </w:rPr>
        <w:tab/>
      </w:r>
      <w:r w:rsidRPr="00A013E1">
        <w:rPr>
          <w:rFonts w:ascii="Times New Roman" w:hAnsi="Times New Roman" w:cs="Times New Roman"/>
          <w:b/>
          <w:lang w:val="ru-RU"/>
        </w:rPr>
        <w:t xml:space="preserve">Критерии за проектиране и оразмеряване (включително всички специални указания за инсталиране или ограничения на използването) </w:t>
      </w:r>
    </w:p>
    <w:p w14:paraId="35073F71" w14:textId="77777777" w:rsidR="00271FA2" w:rsidRPr="00A013E1" w:rsidRDefault="00D35E51">
      <w:pPr>
        <w:tabs>
          <w:tab w:val="left" w:leader="dot" w:pos="9072"/>
        </w:tabs>
        <w:spacing w:line="240" w:lineRule="atLeast"/>
        <w:ind w:left="851" w:hanging="851"/>
        <w:rPr>
          <w:rFonts w:ascii="Times New Roman" w:hAnsi="Times New Roman" w:cs="Times New Roman"/>
          <w:szCs w:val="20"/>
          <w:lang w:val="ru-RU"/>
        </w:rPr>
      </w:pPr>
      <w:r w:rsidRPr="00A013E1">
        <w:rPr>
          <w:rFonts w:ascii="Times New Roman" w:hAnsi="Times New Roman" w:cs="Times New Roman"/>
          <w:lang w:val="ru-RU"/>
        </w:rPr>
        <w:t>2.1</w:t>
      </w:r>
      <w:r w:rsidRPr="00A013E1">
        <w:rPr>
          <w:rFonts w:ascii="Times New Roman" w:hAnsi="Times New Roman" w:cs="Times New Roman"/>
          <w:lang w:val="ru-RU"/>
        </w:rPr>
        <w:tab/>
      </w:r>
      <w:r w:rsidRPr="00A013E1">
        <w:rPr>
          <w:rFonts w:ascii="Times New Roman" w:hAnsi="Times New Roman" w:cs="Times New Roman"/>
          <w:lang w:val="ru-RU"/>
        </w:rPr>
        <w:tab/>
      </w:r>
    </w:p>
    <w:p w14:paraId="72199C01" w14:textId="77777777" w:rsidR="00271FA2" w:rsidRPr="00A013E1" w:rsidRDefault="00D35E51">
      <w:pPr>
        <w:tabs>
          <w:tab w:val="left" w:leader="dot" w:pos="9072"/>
        </w:tabs>
        <w:spacing w:line="240" w:lineRule="atLeast"/>
        <w:ind w:left="851" w:hanging="851"/>
        <w:rPr>
          <w:rFonts w:ascii="Times New Roman" w:hAnsi="Times New Roman" w:cs="Times New Roman"/>
          <w:szCs w:val="20"/>
          <w:lang w:val="ru-RU"/>
        </w:rPr>
      </w:pPr>
      <w:r w:rsidRPr="00A013E1">
        <w:rPr>
          <w:rFonts w:ascii="Times New Roman" w:hAnsi="Times New Roman" w:cs="Times New Roman"/>
          <w:lang w:val="ru-RU"/>
        </w:rPr>
        <w:t>2.2</w:t>
      </w:r>
      <w:r w:rsidRPr="00A013E1">
        <w:rPr>
          <w:rFonts w:ascii="Times New Roman" w:hAnsi="Times New Roman" w:cs="Times New Roman"/>
          <w:lang w:val="ru-RU"/>
        </w:rPr>
        <w:tab/>
      </w:r>
      <w:r w:rsidRPr="00A013E1">
        <w:rPr>
          <w:rFonts w:ascii="Times New Roman" w:hAnsi="Times New Roman" w:cs="Times New Roman"/>
          <w:lang w:val="ru-RU"/>
        </w:rPr>
        <w:tab/>
      </w:r>
    </w:p>
    <w:p w14:paraId="5B82B6EA" w14:textId="77777777" w:rsidR="00271FA2" w:rsidRPr="00A013E1" w:rsidRDefault="00D35E51">
      <w:pPr>
        <w:spacing w:line="240" w:lineRule="atLeast"/>
        <w:ind w:left="850" w:hanging="850"/>
        <w:outlineLvl w:val="0"/>
        <w:rPr>
          <w:rFonts w:ascii="Times New Roman" w:hAnsi="Times New Roman" w:cs="Times New Roman"/>
          <w:b/>
          <w:bCs/>
          <w:szCs w:val="20"/>
          <w:lang w:val="ru-RU"/>
        </w:rPr>
      </w:pPr>
      <w:r w:rsidRPr="00A013E1">
        <w:rPr>
          <w:rFonts w:ascii="Times New Roman" w:hAnsi="Times New Roman" w:cs="Times New Roman"/>
          <w:b/>
          <w:lang w:val="ru-RU"/>
        </w:rPr>
        <w:t>3.</w:t>
      </w:r>
      <w:r w:rsidRPr="00A013E1">
        <w:rPr>
          <w:rFonts w:ascii="Times New Roman" w:hAnsi="Times New Roman" w:cs="Times New Roman"/>
          <w:lang w:val="ru-RU"/>
        </w:rPr>
        <w:tab/>
      </w:r>
      <w:r w:rsidRPr="00A013E1">
        <w:rPr>
          <w:rFonts w:ascii="Times New Roman" w:hAnsi="Times New Roman" w:cs="Times New Roman"/>
          <w:b/>
          <w:lang w:val="ru-RU"/>
        </w:rPr>
        <w:t>Оразмеряване на бордовата станция за пречистване на отпадъчни води</w:t>
      </w:r>
    </w:p>
    <w:p w14:paraId="40B02638" w14:textId="77777777" w:rsidR="00271FA2" w:rsidRPr="00A013E1" w:rsidRDefault="00D35E51">
      <w:pPr>
        <w:tabs>
          <w:tab w:val="left" w:leader="dot" w:pos="9072"/>
        </w:tabs>
        <w:spacing w:line="240" w:lineRule="atLeast"/>
        <w:ind w:left="851" w:hanging="851"/>
        <w:rPr>
          <w:rFonts w:ascii="Times New Roman" w:hAnsi="Times New Roman" w:cs="Times New Roman"/>
          <w:szCs w:val="20"/>
          <w:lang w:val="ru-RU"/>
        </w:rPr>
      </w:pPr>
      <w:r w:rsidRPr="00A013E1">
        <w:rPr>
          <w:rFonts w:ascii="Times New Roman" w:hAnsi="Times New Roman" w:cs="Times New Roman"/>
          <w:lang w:val="ru-RU"/>
        </w:rPr>
        <w:t>3.1</w:t>
      </w:r>
      <w:r w:rsidRPr="00A013E1">
        <w:rPr>
          <w:rFonts w:ascii="Times New Roman" w:hAnsi="Times New Roman" w:cs="Times New Roman"/>
          <w:lang w:val="ru-RU"/>
        </w:rPr>
        <w:tab/>
        <w:t xml:space="preserve">Максимален дневен обемен дебит на отпадъчните води </w:t>
      </w:r>
      <m:oMath>
        <m:sSub>
          <m:sSubPr>
            <m:ctrlPr>
              <w:rPr>
                <w:rFonts w:ascii="Cambria Math" w:hAnsi="Cambria Math" w:cs="Times New Roman"/>
                <w:i/>
                <w:szCs w:val="20"/>
              </w:rPr>
            </m:ctrlPr>
          </m:sSubPr>
          <m:e>
            <m:r>
              <w:rPr>
                <w:rFonts w:ascii="Cambria Math" w:hAnsi="Cambria Math" w:cs="Times New Roman"/>
                <w:szCs w:val="20"/>
              </w:rPr>
              <m:t>Q</m:t>
            </m:r>
          </m:e>
          <m:sub>
            <m:r>
              <w:rPr>
                <w:rFonts w:ascii="Cambria Math" w:hAnsi="Cambria Math" w:cs="Times New Roman"/>
                <w:szCs w:val="20"/>
              </w:rPr>
              <m:t>d</m:t>
            </m:r>
          </m:sub>
        </m:sSub>
      </m:oMath>
      <w:r w:rsidRPr="00A013E1">
        <w:rPr>
          <w:rFonts w:ascii="Times New Roman" w:hAnsi="Times New Roman" w:cs="Times New Roman"/>
          <w:lang w:val="ru-RU"/>
        </w:rPr>
        <w:t xml:space="preserve"> (</w:t>
      </w:r>
      <w:r w:rsidRPr="00A013E1">
        <w:rPr>
          <w:rFonts w:ascii="Times New Roman" w:hAnsi="Times New Roman" w:cs="Times New Roman"/>
        </w:rPr>
        <w:t>m</w:t>
      </w:r>
      <w:r w:rsidRPr="00A013E1">
        <w:rPr>
          <w:rFonts w:ascii="Times New Roman" w:hAnsi="Times New Roman" w:cs="Times New Roman"/>
          <w:lang w:val="ru-RU"/>
        </w:rPr>
        <w:t xml:space="preserve">³/ден):  </w:t>
      </w:r>
      <w:r w:rsidRPr="00A013E1">
        <w:rPr>
          <w:rFonts w:ascii="Times New Roman" w:hAnsi="Times New Roman" w:cs="Times New Roman"/>
          <w:lang w:val="ru-RU"/>
        </w:rPr>
        <w:tab/>
      </w:r>
    </w:p>
    <w:p w14:paraId="40B70BCF" w14:textId="77777777" w:rsidR="00271FA2" w:rsidRPr="00A013E1" w:rsidRDefault="00D35E51">
      <w:pPr>
        <w:tabs>
          <w:tab w:val="left" w:leader="dot" w:pos="9072"/>
        </w:tabs>
        <w:spacing w:line="240" w:lineRule="atLeast"/>
        <w:ind w:left="851" w:hanging="851"/>
        <w:rPr>
          <w:rFonts w:ascii="Times New Roman" w:hAnsi="Times New Roman" w:cs="Times New Roman"/>
          <w:szCs w:val="20"/>
          <w:lang w:val="ru-RU"/>
        </w:rPr>
      </w:pPr>
      <w:r w:rsidRPr="00A013E1">
        <w:rPr>
          <w:rFonts w:ascii="Times New Roman" w:hAnsi="Times New Roman" w:cs="Times New Roman"/>
          <w:lang w:val="ru-RU"/>
        </w:rPr>
        <w:t>3.2</w:t>
      </w:r>
      <w:r w:rsidRPr="00A013E1">
        <w:rPr>
          <w:rFonts w:ascii="Times New Roman" w:hAnsi="Times New Roman" w:cs="Times New Roman"/>
          <w:lang w:val="ru-RU"/>
        </w:rPr>
        <w:tab/>
        <w:t xml:space="preserve">Дневно замърсяване по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Pr="00A013E1">
        <w:rPr>
          <w:rFonts w:ascii="Times New Roman" w:hAnsi="Times New Roman" w:cs="Times New Roman"/>
          <w:lang w:val="ru-RU"/>
        </w:rPr>
        <w:t xml:space="preserve"> (</w:t>
      </w:r>
      <w:r w:rsidRPr="00A013E1">
        <w:rPr>
          <w:rFonts w:ascii="Times New Roman" w:hAnsi="Times New Roman" w:cs="Times New Roman"/>
        </w:rPr>
        <w:t>kg</w:t>
      </w:r>
      <w:r w:rsidRPr="00A013E1">
        <w:rPr>
          <w:rFonts w:ascii="Times New Roman" w:hAnsi="Times New Roman" w:cs="Times New Roman"/>
          <w:lang w:val="ru-RU"/>
        </w:rPr>
        <w:t xml:space="preserve">/ден): </w:t>
      </w:r>
      <w:r w:rsidRPr="00A013E1">
        <w:rPr>
          <w:rFonts w:ascii="Times New Roman" w:hAnsi="Times New Roman" w:cs="Times New Roman"/>
          <w:lang w:val="ru-RU"/>
        </w:rPr>
        <w:tab/>
      </w:r>
    </w:p>
    <w:p w14:paraId="75BC1B2B" w14:textId="77777777" w:rsidR="00A1679F" w:rsidRPr="00A013E1" w:rsidRDefault="00A1679F">
      <w:pPr>
        <w:spacing w:line="240" w:lineRule="atLeast"/>
        <w:ind w:left="850" w:hanging="850"/>
        <w:rPr>
          <w:rFonts w:ascii="Times New Roman" w:hAnsi="Times New Roman" w:cs="Times New Roman"/>
          <w:szCs w:val="20"/>
          <w:lang w:val="ru-RU"/>
        </w:rPr>
        <w:sectPr w:rsidR="00A1679F" w:rsidRPr="00A013E1" w:rsidSect="00A013E1">
          <w:headerReference w:type="default" r:id="rId147"/>
          <w:footnotePr>
            <w:numRestart w:val="eachPage"/>
          </w:footnotePr>
          <w:pgSz w:w="11907" w:h="16840"/>
          <w:pgMar w:top="1134" w:right="1134" w:bottom="1134" w:left="1134" w:header="709" w:footer="709" w:gutter="0"/>
          <w:cols w:space="720"/>
          <w:docGrid w:linePitch="326"/>
        </w:sectPr>
      </w:pPr>
    </w:p>
    <w:p w14:paraId="00B771FD" w14:textId="77777777" w:rsidR="00271FA2" w:rsidRPr="00A013E1" w:rsidRDefault="00D35E51" w:rsidP="00A52D36">
      <w:pPr>
        <w:pStyle w:val="ES-Titre3"/>
        <w:spacing w:after="0" w:line="240" w:lineRule="atLeast"/>
        <w:rPr>
          <w:rFonts w:ascii="Times New Roman" w:hAnsi="Times New Roman" w:cs="Times New Roman"/>
          <w:sz w:val="24"/>
          <w:szCs w:val="24"/>
          <w:lang w:val="ru-RU"/>
        </w:rPr>
      </w:pPr>
      <w:bookmarkStart w:id="632" w:name="_Toc535827769"/>
      <w:bookmarkStart w:id="633" w:name="_Toc491854328"/>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III</w:t>
      </w:r>
      <w:bookmarkEnd w:id="632"/>
      <w:bookmarkEnd w:id="633"/>
    </w:p>
    <w:p w14:paraId="189CA824" w14:textId="77777777" w:rsidR="00271FA2" w:rsidRPr="00A013E1" w:rsidRDefault="00D35E51" w:rsidP="00A52D36">
      <w:pPr>
        <w:pStyle w:val="ES-Titre3a"/>
        <w:spacing w:after="0" w:line="240" w:lineRule="atLeast"/>
        <w:rPr>
          <w:rFonts w:ascii="Times New Roman" w:hAnsi="Times New Roman" w:cs="Times New Roman"/>
          <w:sz w:val="24"/>
          <w:szCs w:val="24"/>
          <w:lang w:val="ru-RU"/>
        </w:rPr>
      </w:pPr>
      <w:bookmarkStart w:id="634" w:name="_Toc535827770"/>
      <w:bookmarkStart w:id="635" w:name="_Toc491854329"/>
      <w:r w:rsidRPr="00A013E1">
        <w:rPr>
          <w:rFonts w:ascii="Times New Roman" w:hAnsi="Times New Roman" w:cs="Times New Roman"/>
          <w:sz w:val="24"/>
          <w:szCs w:val="24"/>
          <w:lang w:val="ru-RU"/>
        </w:rPr>
        <w:t>Удостоверение за одобрение на типа</w:t>
      </w:r>
      <w:bookmarkEnd w:id="634"/>
      <w:bookmarkEnd w:id="635"/>
      <w:r w:rsidRPr="00A013E1">
        <w:rPr>
          <w:rFonts w:ascii="Times New Roman" w:hAnsi="Times New Roman" w:cs="Times New Roman"/>
          <w:sz w:val="24"/>
          <w:szCs w:val="24"/>
          <w:lang w:val="ru-RU"/>
        </w:rPr>
        <w:t xml:space="preserve"> </w:t>
      </w:r>
    </w:p>
    <w:p w14:paraId="4CEB2D84" w14:textId="77777777" w:rsidR="00271FA2" w:rsidRPr="00A013E1" w:rsidRDefault="00D35E51" w:rsidP="00A52D36">
      <w:pPr>
        <w:overflowPunct w:val="0"/>
        <w:adjustRightInd w:val="0"/>
        <w:spacing w:line="240" w:lineRule="atLeast"/>
        <w:jc w:val="center"/>
        <w:textAlignment w:val="baseline"/>
        <w:rPr>
          <w:rFonts w:ascii="Times New Roman" w:eastAsia="Calibri" w:hAnsi="Times New Roman" w:cs="Times New Roman"/>
          <w:lang w:val="ru-RU"/>
        </w:rPr>
      </w:pPr>
      <w:r w:rsidRPr="00A013E1">
        <w:rPr>
          <w:rFonts w:ascii="Times New Roman" w:hAnsi="Times New Roman" w:cs="Times New Roman"/>
          <w:lang w:val="ru-RU"/>
        </w:rPr>
        <w:t>(Образец)</w:t>
      </w:r>
    </w:p>
    <w:p w14:paraId="753E0E62" w14:textId="77777777" w:rsidR="00271FA2" w:rsidRPr="00A013E1" w:rsidRDefault="00271FA2">
      <w:pPr>
        <w:suppressAutoHyphens/>
        <w:spacing w:line="240" w:lineRule="atLeast"/>
        <w:rPr>
          <w:rFonts w:ascii="Times New Roman" w:hAnsi="Times New Roman" w:cs="Times New Roman"/>
          <w:lang w:val="ru-RU"/>
        </w:rPr>
      </w:pPr>
    </w:p>
    <w:p w14:paraId="68BABDA2" w14:textId="77777777" w:rsidR="00271FA2" w:rsidRPr="00A013E1" w:rsidRDefault="00D35E51">
      <w:pPr>
        <w:spacing w:line="240" w:lineRule="atLeast"/>
        <w:jc w:val="right"/>
        <w:rPr>
          <w:rFonts w:ascii="Times New Roman" w:hAnsi="Times New Roman" w:cs="Times New Roman"/>
          <w:b/>
          <w:lang w:val="ru-RU"/>
        </w:rPr>
      </w:pPr>
      <w:r w:rsidRPr="00A013E1">
        <w:rPr>
          <w:rFonts w:ascii="Times New Roman" w:hAnsi="Times New Roman" w:cs="Times New Roman"/>
          <w:lang w:val="ru-RU"/>
        </w:rPr>
        <w:t>Печат на компетентния орган</w:t>
      </w:r>
    </w:p>
    <w:p w14:paraId="5F09EFC1" w14:textId="77777777" w:rsidR="00271FA2" w:rsidRPr="00A013E1" w:rsidRDefault="00271FA2">
      <w:pPr>
        <w:spacing w:line="240" w:lineRule="atLeast"/>
        <w:rPr>
          <w:rFonts w:ascii="Times New Roman" w:hAnsi="Times New Roman" w:cs="Times New Roman"/>
          <w:b/>
          <w:lang w:val="ru-RU"/>
        </w:rPr>
      </w:pPr>
    </w:p>
    <w:p w14:paraId="1B3F9B47" w14:textId="16339970" w:rsidR="00271FA2" w:rsidRPr="00A013E1" w:rsidRDefault="00D35E51">
      <w:pPr>
        <w:tabs>
          <w:tab w:val="left" w:leader="dot" w:pos="4253"/>
          <w:tab w:val="left" w:pos="4536"/>
          <w:tab w:val="left" w:leader="dot" w:pos="9072"/>
        </w:tabs>
        <w:spacing w:line="240" w:lineRule="atLeast"/>
        <w:ind w:left="851" w:hanging="851"/>
        <w:outlineLvl w:val="0"/>
        <w:rPr>
          <w:rFonts w:ascii="Times New Roman" w:hAnsi="Times New Roman" w:cs="Times New Roman"/>
          <w:lang w:val="ru-RU"/>
        </w:rPr>
      </w:pPr>
      <w:r w:rsidRPr="00A013E1">
        <w:rPr>
          <w:rFonts w:ascii="Times New Roman" w:hAnsi="Times New Roman" w:cs="Times New Roman"/>
          <w:lang w:val="ru-RU"/>
        </w:rPr>
        <w:t>Одобрение на типа</w:t>
      </w:r>
      <w:r w:rsidRPr="00A013E1">
        <w:rPr>
          <w:rFonts w:ascii="Times New Roman" w:hAnsi="Times New Roman" w:cs="Times New Roman"/>
          <w:b/>
          <w:lang w:val="ru-RU"/>
        </w:rPr>
        <w:t xml:space="preserve"> №</w:t>
      </w:r>
      <w:r w:rsidRPr="00A013E1">
        <w:rPr>
          <w:rFonts w:ascii="Times New Roman" w:hAnsi="Times New Roman" w:cs="Times New Roman"/>
          <w:lang w:val="ru-RU"/>
        </w:rPr>
        <w:t xml:space="preserve">: </w:t>
      </w:r>
      <w:r w:rsidRPr="00A013E1">
        <w:rPr>
          <w:rFonts w:ascii="Times New Roman" w:hAnsi="Times New Roman" w:cs="Times New Roman"/>
          <w:lang w:val="ru-RU"/>
        </w:rPr>
        <w:tab/>
      </w:r>
      <w:r w:rsidRPr="00A013E1">
        <w:rPr>
          <w:rFonts w:ascii="Times New Roman" w:hAnsi="Times New Roman" w:cs="Times New Roman"/>
          <w:lang w:val="ru-RU"/>
        </w:rPr>
        <w:tab/>
      </w:r>
      <w:r w:rsidR="00BB783E" w:rsidRPr="00A013E1">
        <w:rPr>
          <w:rFonts w:ascii="Times New Roman" w:hAnsi="Times New Roman" w:cs="Times New Roman"/>
          <w:lang w:val="ru-RU"/>
        </w:rPr>
        <w:t xml:space="preserve">            </w:t>
      </w:r>
      <w:r w:rsidRPr="00A013E1">
        <w:rPr>
          <w:rFonts w:ascii="Times New Roman" w:hAnsi="Times New Roman" w:cs="Times New Roman"/>
          <w:b/>
          <w:lang w:val="ru-RU"/>
        </w:rPr>
        <w:t>Удължаване №</w:t>
      </w:r>
      <w:r w:rsidRPr="00A013E1">
        <w:rPr>
          <w:rFonts w:ascii="Times New Roman" w:hAnsi="Times New Roman" w:cs="Times New Roman"/>
          <w:lang w:val="ru-RU"/>
        </w:rPr>
        <w:t xml:space="preserve">: </w:t>
      </w:r>
      <w:r w:rsidRPr="00A013E1">
        <w:rPr>
          <w:rFonts w:ascii="Times New Roman" w:hAnsi="Times New Roman" w:cs="Times New Roman"/>
          <w:lang w:val="ru-RU"/>
        </w:rPr>
        <w:tab/>
      </w:r>
    </w:p>
    <w:p w14:paraId="7234B64D" w14:textId="77777777" w:rsidR="00271FA2" w:rsidRPr="00A013E1" w:rsidRDefault="00271FA2">
      <w:pPr>
        <w:spacing w:line="240" w:lineRule="atLeast"/>
        <w:ind w:left="850" w:hanging="850"/>
        <w:rPr>
          <w:rFonts w:ascii="Times New Roman" w:hAnsi="Times New Roman" w:cs="Times New Roman"/>
          <w:lang w:val="ru-RU"/>
        </w:rPr>
      </w:pPr>
    </w:p>
    <w:p w14:paraId="6B429B0F" w14:textId="77777777" w:rsidR="00271FA2" w:rsidRPr="00A013E1" w:rsidRDefault="00D35E51">
      <w:pPr>
        <w:tabs>
          <w:tab w:val="left" w:leader="dot" w:pos="9072"/>
        </w:tabs>
        <w:spacing w:line="240" w:lineRule="atLeast"/>
        <w:rPr>
          <w:rFonts w:ascii="Times New Roman" w:hAnsi="Times New Roman" w:cs="Times New Roman"/>
          <w:lang w:val="ru-RU"/>
        </w:rPr>
      </w:pPr>
      <w:r w:rsidRPr="00A013E1">
        <w:rPr>
          <w:rFonts w:ascii="Times New Roman" w:hAnsi="Times New Roman" w:cs="Times New Roman"/>
          <w:lang w:val="ru-RU"/>
        </w:rPr>
        <w:t xml:space="preserve">Уведомление за </w:t>
      </w:r>
    </w:p>
    <w:p w14:paraId="75438EA6" w14:textId="77777777" w:rsidR="00271FA2" w:rsidRPr="00A013E1" w:rsidRDefault="00D35E51">
      <w:pPr>
        <w:spacing w:line="240" w:lineRule="atLeast"/>
        <w:rPr>
          <w:rFonts w:ascii="Times New Roman" w:hAnsi="Times New Roman" w:cs="Times New Roman"/>
          <w:color w:val="000000"/>
          <w:lang w:val="ru-RU"/>
        </w:rPr>
      </w:pPr>
      <w:r w:rsidRPr="00A013E1">
        <w:rPr>
          <w:rFonts w:ascii="Times New Roman" w:hAnsi="Times New Roman" w:cs="Times New Roman"/>
          <w:color w:val="000000"/>
          <w:lang w:val="ru-RU"/>
        </w:rPr>
        <w:t>-</w:t>
      </w:r>
      <w:r w:rsidRPr="00A013E1">
        <w:rPr>
          <w:rFonts w:ascii="Times New Roman" w:hAnsi="Times New Roman" w:cs="Times New Roman"/>
          <w:lang w:val="ru-RU"/>
        </w:rPr>
        <w:tab/>
      </w:r>
      <w:r w:rsidRPr="00A013E1">
        <w:rPr>
          <w:rFonts w:ascii="Times New Roman" w:hAnsi="Times New Roman" w:cs="Times New Roman"/>
          <w:color w:val="000000"/>
          <w:lang w:val="ru-RU"/>
        </w:rPr>
        <w:t>издаване/удължаване/отказ/отнемане</w:t>
      </w:r>
      <w:r w:rsidRPr="00A013E1">
        <w:rPr>
          <w:rFonts w:ascii="Times New Roman" w:hAnsi="Times New Roman" w:cs="Times New Roman"/>
          <w:color w:val="000000"/>
          <w:vertAlign w:val="superscript"/>
        </w:rPr>
        <w:footnoteReference w:id="46"/>
      </w:r>
      <w:r w:rsidRPr="00A013E1">
        <w:rPr>
          <w:rFonts w:ascii="Times New Roman" w:hAnsi="Times New Roman" w:cs="Times New Roman"/>
          <w:color w:val="000000"/>
          <w:lang w:val="ru-RU"/>
        </w:rPr>
        <w:t xml:space="preserve"> </w:t>
      </w:r>
    </w:p>
    <w:p w14:paraId="3BC46E6A" w14:textId="77777777"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на одобрение на типа за тип бордова станция за пречистване на отпадъчни води в съответствие с </w:t>
      </w:r>
      <w:r w:rsidRPr="00A013E1">
        <w:rPr>
          <w:rFonts w:ascii="Times New Roman" w:hAnsi="Times New Roman" w:cs="Times New Roman"/>
        </w:rPr>
        <w:t>E</w:t>
      </w:r>
      <w:r w:rsidRPr="00A013E1">
        <w:rPr>
          <w:rFonts w:ascii="Times New Roman" w:hAnsi="Times New Roman" w:cs="Times New Roman"/>
          <w:lang w:val="ru-RU"/>
        </w:rPr>
        <w:t>вропейския стандарт за определяне на техническите изисквания за плавателните съдове по вътрешните водни пътища (</w:t>
      </w:r>
      <w:r w:rsidRPr="00A013E1">
        <w:rPr>
          <w:rFonts w:ascii="Times New Roman" w:hAnsi="Times New Roman" w:cs="Times New Roman"/>
        </w:rPr>
        <w:t>ES</w:t>
      </w:r>
      <w:r w:rsidRPr="00A013E1">
        <w:rPr>
          <w:rFonts w:ascii="Times New Roman" w:hAnsi="Times New Roman" w:cs="Times New Roman"/>
          <w:lang w:val="ru-RU"/>
        </w:rPr>
        <w:t>-</w:t>
      </w:r>
      <w:r w:rsidRPr="00A013E1">
        <w:rPr>
          <w:rFonts w:ascii="Times New Roman" w:hAnsi="Times New Roman" w:cs="Times New Roman"/>
        </w:rPr>
        <w:t>TRIN</w:t>
      </w:r>
      <w:r w:rsidRPr="00A013E1">
        <w:rPr>
          <w:rFonts w:ascii="Times New Roman" w:hAnsi="Times New Roman" w:cs="Times New Roman"/>
          <w:lang w:val="ru-RU"/>
        </w:rPr>
        <w:t xml:space="preserve">) </w:t>
      </w:r>
    </w:p>
    <w:p w14:paraId="79CCB8F0" w14:textId="77777777" w:rsidR="00271FA2" w:rsidRPr="00A013E1" w:rsidRDefault="00271FA2">
      <w:pPr>
        <w:spacing w:line="240" w:lineRule="atLeast"/>
        <w:ind w:left="850" w:hanging="850"/>
        <w:rPr>
          <w:rFonts w:ascii="Times New Roman" w:hAnsi="Times New Roman" w:cs="Times New Roman"/>
          <w:lang w:val="ru-RU"/>
        </w:rPr>
      </w:pPr>
    </w:p>
    <w:p w14:paraId="3DDFC6A0" w14:textId="77777777" w:rsidR="00271FA2" w:rsidRPr="00A013E1" w:rsidRDefault="00D35E51">
      <w:pPr>
        <w:tabs>
          <w:tab w:val="left" w:leader="dot" w:pos="9072"/>
        </w:tabs>
        <w:spacing w:line="240" w:lineRule="atLeast"/>
        <w:ind w:left="851" w:hanging="851"/>
        <w:rPr>
          <w:rFonts w:ascii="Times New Roman" w:hAnsi="Times New Roman" w:cs="Times New Roman"/>
          <w:lang w:val="ru-RU"/>
        </w:rPr>
      </w:pPr>
      <w:r w:rsidRPr="00A013E1">
        <w:rPr>
          <w:rFonts w:ascii="Times New Roman" w:hAnsi="Times New Roman" w:cs="Times New Roman"/>
          <w:lang w:val="ru-RU"/>
        </w:rPr>
        <w:t xml:space="preserve">Причини за удължаването, ако е приложимо: </w:t>
      </w:r>
      <w:r w:rsidRPr="00A013E1">
        <w:rPr>
          <w:rFonts w:ascii="Times New Roman" w:hAnsi="Times New Roman" w:cs="Times New Roman"/>
          <w:lang w:val="ru-RU"/>
        </w:rPr>
        <w:tab/>
      </w:r>
    </w:p>
    <w:p w14:paraId="4CD3B048" w14:textId="77777777" w:rsidR="00271FA2" w:rsidRPr="00A013E1" w:rsidRDefault="00271FA2">
      <w:pPr>
        <w:spacing w:line="240" w:lineRule="atLeast"/>
        <w:ind w:left="850" w:hanging="850"/>
        <w:rPr>
          <w:rFonts w:ascii="Times New Roman" w:hAnsi="Times New Roman" w:cs="Times New Roman"/>
          <w:lang w:val="ru-RU"/>
        </w:rPr>
      </w:pPr>
    </w:p>
    <w:p w14:paraId="701E90EC" w14:textId="77777777" w:rsidR="00271FA2" w:rsidRPr="00A013E1" w:rsidRDefault="00D35E51">
      <w:pPr>
        <w:spacing w:line="240" w:lineRule="atLeast"/>
        <w:ind w:left="850" w:hanging="850"/>
        <w:outlineLvl w:val="0"/>
        <w:rPr>
          <w:rFonts w:ascii="Times New Roman" w:hAnsi="Times New Roman" w:cs="Times New Roman"/>
          <w:b/>
          <w:bCs/>
          <w:lang w:val="ru-RU"/>
        </w:rPr>
      </w:pPr>
      <w:r w:rsidRPr="00A013E1">
        <w:rPr>
          <w:rFonts w:ascii="Times New Roman" w:hAnsi="Times New Roman" w:cs="Times New Roman"/>
          <w:b/>
          <w:lang w:val="ru-RU"/>
        </w:rPr>
        <w:t xml:space="preserve">Раздел </w:t>
      </w:r>
      <w:r w:rsidRPr="00A013E1">
        <w:rPr>
          <w:rFonts w:ascii="Times New Roman" w:hAnsi="Times New Roman" w:cs="Times New Roman"/>
          <w:b/>
        </w:rPr>
        <w:t>I</w:t>
      </w:r>
    </w:p>
    <w:p w14:paraId="5FAA949C" w14:textId="77777777" w:rsidR="00271FA2" w:rsidRPr="00A013E1" w:rsidRDefault="00D35E51">
      <w:pPr>
        <w:tabs>
          <w:tab w:val="left" w:leader="dot" w:pos="9072"/>
        </w:tabs>
        <w:spacing w:line="240" w:lineRule="atLeast"/>
        <w:ind w:left="709" w:hanging="709"/>
        <w:rPr>
          <w:rFonts w:ascii="Times New Roman" w:hAnsi="Times New Roman" w:cs="Times New Roman"/>
          <w:lang w:val="ru-RU"/>
        </w:rPr>
      </w:pPr>
      <w:r w:rsidRPr="00A013E1">
        <w:rPr>
          <w:rFonts w:ascii="Times New Roman" w:hAnsi="Times New Roman" w:cs="Times New Roman"/>
          <w:lang w:val="ru-RU"/>
        </w:rPr>
        <w:t>0.</w:t>
      </w:r>
      <w:r w:rsidRPr="00A013E1">
        <w:rPr>
          <w:rFonts w:ascii="Times New Roman" w:hAnsi="Times New Roman" w:cs="Times New Roman"/>
          <w:lang w:val="ru-RU"/>
        </w:rPr>
        <w:tab/>
        <w:t>Общи положения</w:t>
      </w:r>
    </w:p>
    <w:p w14:paraId="2E140DA6" w14:textId="77777777" w:rsidR="00271FA2" w:rsidRPr="00A013E1" w:rsidRDefault="00D35E51">
      <w:pPr>
        <w:tabs>
          <w:tab w:val="left" w:leader="dot" w:pos="9072"/>
        </w:tabs>
        <w:spacing w:line="240" w:lineRule="atLeast"/>
        <w:ind w:left="709" w:hanging="709"/>
        <w:rPr>
          <w:rFonts w:ascii="Times New Roman" w:hAnsi="Times New Roman" w:cs="Times New Roman"/>
          <w:lang w:val="ru-RU"/>
        </w:rPr>
      </w:pPr>
      <w:r w:rsidRPr="00A013E1">
        <w:rPr>
          <w:rFonts w:ascii="Times New Roman" w:hAnsi="Times New Roman" w:cs="Times New Roman"/>
          <w:lang w:val="ru-RU"/>
        </w:rPr>
        <w:t>0.1</w:t>
      </w:r>
      <w:r w:rsidRPr="00A013E1">
        <w:rPr>
          <w:rFonts w:ascii="Times New Roman" w:hAnsi="Times New Roman" w:cs="Times New Roman"/>
          <w:lang w:val="ru-RU"/>
        </w:rPr>
        <w:tab/>
        <w:t xml:space="preserve">Марка (наименование на дружеството производител): </w:t>
      </w:r>
      <w:r w:rsidRPr="00A013E1">
        <w:rPr>
          <w:rFonts w:ascii="Times New Roman" w:hAnsi="Times New Roman" w:cs="Times New Roman"/>
          <w:lang w:val="ru-RU"/>
        </w:rPr>
        <w:tab/>
      </w:r>
    </w:p>
    <w:p w14:paraId="525C5F23" w14:textId="77777777" w:rsidR="00271FA2" w:rsidRPr="00A013E1" w:rsidRDefault="00D35E51">
      <w:pPr>
        <w:tabs>
          <w:tab w:val="left" w:leader="dot" w:pos="9072"/>
        </w:tabs>
        <w:spacing w:line="240" w:lineRule="atLeast"/>
        <w:ind w:left="720" w:hanging="709"/>
        <w:jc w:val="both"/>
        <w:rPr>
          <w:rFonts w:ascii="Times New Roman" w:hAnsi="Times New Roman" w:cs="Times New Roman"/>
          <w:lang w:val="ru-RU"/>
        </w:rPr>
      </w:pPr>
      <w:r w:rsidRPr="00A013E1">
        <w:rPr>
          <w:rFonts w:ascii="Times New Roman" w:hAnsi="Times New Roman" w:cs="Times New Roman"/>
          <w:lang w:val="ru-RU"/>
        </w:rPr>
        <w:t>0.2</w:t>
      </w:r>
      <w:r w:rsidRPr="00A013E1">
        <w:rPr>
          <w:rFonts w:ascii="Times New Roman" w:hAnsi="Times New Roman" w:cs="Times New Roman"/>
          <w:lang w:val="ru-RU"/>
        </w:rPr>
        <w:tab/>
        <w:t xml:space="preserve">Обозначение от производителя за типа на бордовата станция за пречистване на отпадъчни води: </w:t>
      </w:r>
      <w:r w:rsidRPr="00A013E1">
        <w:rPr>
          <w:rFonts w:ascii="Times New Roman" w:hAnsi="Times New Roman" w:cs="Times New Roman"/>
          <w:lang w:val="ru-RU"/>
        </w:rPr>
        <w:tab/>
      </w:r>
    </w:p>
    <w:p w14:paraId="3CBAA6A5" w14:textId="77777777" w:rsidR="00271FA2" w:rsidRPr="00A013E1" w:rsidRDefault="00D35E51">
      <w:pPr>
        <w:tabs>
          <w:tab w:val="left" w:leader="dot" w:pos="9072"/>
        </w:tabs>
        <w:spacing w:line="240" w:lineRule="atLeast"/>
        <w:ind w:left="709"/>
        <w:jc w:val="both"/>
        <w:rPr>
          <w:rFonts w:ascii="Times New Roman" w:hAnsi="Times New Roman" w:cs="Times New Roman"/>
          <w:lang w:val="ru-RU"/>
        </w:rPr>
      </w:pPr>
      <w:r w:rsidRPr="00A013E1">
        <w:rPr>
          <w:rFonts w:ascii="Times New Roman" w:hAnsi="Times New Roman" w:cs="Times New Roman"/>
          <w:lang w:val="ru-RU"/>
        </w:rPr>
        <w:tab/>
      </w:r>
    </w:p>
    <w:p w14:paraId="5F97D51E"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0.3</w:t>
      </w:r>
      <w:r w:rsidRPr="00A013E1">
        <w:rPr>
          <w:rFonts w:ascii="Times New Roman" w:hAnsi="Times New Roman" w:cs="Times New Roman"/>
          <w:lang w:val="ru-RU"/>
        </w:rPr>
        <w:tab/>
        <w:t xml:space="preserve">Код на производителя за типа, съответстващ на информацията върху бордовата станция за пречистване на отпадъчни води: </w:t>
      </w:r>
      <w:r w:rsidRPr="00A013E1">
        <w:rPr>
          <w:rFonts w:ascii="Times New Roman" w:hAnsi="Times New Roman" w:cs="Times New Roman"/>
          <w:lang w:val="ru-RU"/>
        </w:rPr>
        <w:tab/>
      </w:r>
    </w:p>
    <w:p w14:paraId="5ED7BD2F" w14:textId="77777777" w:rsidR="00271FA2" w:rsidRPr="00A013E1" w:rsidRDefault="00D35E51">
      <w:pPr>
        <w:tabs>
          <w:tab w:val="left" w:leader="dot" w:pos="9072"/>
        </w:tabs>
        <w:spacing w:line="240" w:lineRule="atLeast"/>
        <w:ind w:left="709"/>
        <w:rPr>
          <w:rFonts w:ascii="Times New Roman" w:hAnsi="Times New Roman" w:cs="Times New Roman"/>
          <w:lang w:val="ru-RU"/>
        </w:rPr>
      </w:pPr>
      <w:r w:rsidRPr="00A013E1">
        <w:rPr>
          <w:rFonts w:ascii="Times New Roman" w:hAnsi="Times New Roman" w:cs="Times New Roman"/>
          <w:lang w:val="ru-RU"/>
        </w:rPr>
        <w:tab/>
      </w:r>
    </w:p>
    <w:p w14:paraId="15819363" w14:textId="77777777" w:rsidR="00271FA2" w:rsidRPr="00A013E1" w:rsidRDefault="00D35E51">
      <w:pPr>
        <w:tabs>
          <w:tab w:val="left" w:leader="dot" w:pos="9072"/>
        </w:tabs>
        <w:spacing w:line="240" w:lineRule="atLeast"/>
        <w:ind w:left="709"/>
        <w:jc w:val="both"/>
        <w:rPr>
          <w:rFonts w:ascii="Times New Roman" w:hAnsi="Times New Roman" w:cs="Times New Roman"/>
          <w:lang w:val="ru-RU"/>
        </w:rPr>
      </w:pPr>
      <w:r w:rsidRPr="00A013E1">
        <w:rPr>
          <w:rFonts w:ascii="Times New Roman" w:hAnsi="Times New Roman" w:cs="Times New Roman"/>
          <w:lang w:val="ru-RU"/>
        </w:rPr>
        <w:t xml:space="preserve">Разположение: </w:t>
      </w:r>
      <w:r w:rsidRPr="00A013E1">
        <w:rPr>
          <w:rFonts w:ascii="Times New Roman" w:hAnsi="Times New Roman" w:cs="Times New Roman"/>
          <w:lang w:val="ru-RU"/>
        </w:rPr>
        <w:tab/>
      </w:r>
    </w:p>
    <w:p w14:paraId="26FFF23E" w14:textId="77777777" w:rsidR="00271FA2" w:rsidRPr="00A013E1" w:rsidRDefault="00D35E51">
      <w:pPr>
        <w:tabs>
          <w:tab w:val="left" w:leader="dot" w:pos="9072"/>
        </w:tabs>
        <w:spacing w:line="240" w:lineRule="atLeast"/>
        <w:ind w:left="709"/>
        <w:jc w:val="both"/>
        <w:rPr>
          <w:rFonts w:ascii="Times New Roman" w:hAnsi="Times New Roman" w:cs="Times New Roman"/>
          <w:lang w:val="ru-RU"/>
        </w:rPr>
      </w:pPr>
      <w:r w:rsidRPr="00A013E1">
        <w:rPr>
          <w:rFonts w:ascii="Times New Roman" w:hAnsi="Times New Roman" w:cs="Times New Roman"/>
          <w:lang w:val="ru-RU"/>
        </w:rPr>
        <w:t xml:space="preserve">Начин на закрепване: </w:t>
      </w:r>
      <w:r w:rsidRPr="00A013E1">
        <w:rPr>
          <w:rFonts w:ascii="Times New Roman" w:hAnsi="Times New Roman" w:cs="Times New Roman"/>
          <w:lang w:val="ru-RU"/>
        </w:rPr>
        <w:tab/>
      </w:r>
    </w:p>
    <w:p w14:paraId="43FCED9E"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0.4</w:t>
      </w:r>
      <w:r w:rsidRPr="00A013E1">
        <w:rPr>
          <w:rFonts w:ascii="Times New Roman" w:hAnsi="Times New Roman" w:cs="Times New Roman"/>
          <w:lang w:val="ru-RU"/>
        </w:rPr>
        <w:tab/>
        <w:t xml:space="preserve">Име и адрес на производителя: </w:t>
      </w:r>
      <w:r w:rsidRPr="00A013E1">
        <w:rPr>
          <w:rFonts w:ascii="Times New Roman" w:hAnsi="Times New Roman" w:cs="Times New Roman"/>
          <w:lang w:val="ru-RU"/>
        </w:rPr>
        <w:tab/>
      </w:r>
    </w:p>
    <w:p w14:paraId="5934AFF9" w14:textId="77777777" w:rsidR="00271FA2" w:rsidRPr="00A013E1" w:rsidRDefault="00D35E51">
      <w:pPr>
        <w:tabs>
          <w:tab w:val="left" w:leader="dot" w:pos="9072"/>
        </w:tabs>
        <w:spacing w:line="240" w:lineRule="atLeast"/>
        <w:ind w:left="709"/>
        <w:jc w:val="both"/>
        <w:rPr>
          <w:rFonts w:ascii="Times New Roman" w:hAnsi="Times New Roman" w:cs="Times New Roman"/>
          <w:lang w:val="ru-RU"/>
        </w:rPr>
      </w:pPr>
      <w:r w:rsidRPr="00A013E1">
        <w:rPr>
          <w:rFonts w:ascii="Times New Roman" w:hAnsi="Times New Roman" w:cs="Times New Roman"/>
          <w:lang w:val="ru-RU"/>
        </w:rPr>
        <w:tab/>
      </w:r>
    </w:p>
    <w:p w14:paraId="554FBAAC" w14:textId="77777777" w:rsidR="00271FA2" w:rsidRPr="00A013E1" w:rsidRDefault="00D35E51">
      <w:pPr>
        <w:tabs>
          <w:tab w:val="left" w:leader="dot" w:pos="9072"/>
        </w:tabs>
        <w:spacing w:line="240" w:lineRule="atLeast"/>
        <w:ind w:left="709"/>
        <w:jc w:val="both"/>
        <w:rPr>
          <w:rFonts w:ascii="Times New Roman" w:hAnsi="Times New Roman" w:cs="Times New Roman"/>
          <w:lang w:val="ru-RU"/>
        </w:rPr>
      </w:pPr>
      <w:r w:rsidRPr="00A013E1">
        <w:rPr>
          <w:rFonts w:ascii="Times New Roman" w:hAnsi="Times New Roman" w:cs="Times New Roman"/>
          <w:lang w:val="ru-RU"/>
        </w:rPr>
        <w:t xml:space="preserve">Наименование и адрес на упълномощения представител на производителя, ако има такъв: </w:t>
      </w:r>
      <w:r w:rsidRPr="00A013E1">
        <w:rPr>
          <w:rFonts w:ascii="Times New Roman" w:hAnsi="Times New Roman" w:cs="Times New Roman"/>
          <w:lang w:val="ru-RU"/>
        </w:rPr>
        <w:tab/>
      </w:r>
    </w:p>
    <w:p w14:paraId="6EB942CE" w14:textId="77777777" w:rsidR="00271FA2" w:rsidRPr="00A013E1" w:rsidRDefault="00D35E51">
      <w:pPr>
        <w:tabs>
          <w:tab w:val="left" w:leader="dot" w:pos="9072"/>
        </w:tabs>
        <w:spacing w:line="240" w:lineRule="atLeast"/>
        <w:ind w:left="709"/>
        <w:rPr>
          <w:rFonts w:ascii="Times New Roman" w:hAnsi="Times New Roman" w:cs="Times New Roman"/>
          <w:lang w:val="ru-RU"/>
        </w:rPr>
      </w:pPr>
      <w:r w:rsidRPr="00A013E1">
        <w:rPr>
          <w:rFonts w:ascii="Times New Roman" w:hAnsi="Times New Roman" w:cs="Times New Roman"/>
          <w:lang w:val="ru-RU"/>
        </w:rPr>
        <w:tab/>
      </w:r>
    </w:p>
    <w:p w14:paraId="5444CF5F"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0.5</w:t>
      </w:r>
      <w:r w:rsidRPr="00A013E1">
        <w:rPr>
          <w:rFonts w:ascii="Times New Roman" w:hAnsi="Times New Roman" w:cs="Times New Roman"/>
          <w:lang w:val="ru-RU"/>
        </w:rPr>
        <w:tab/>
        <w:t xml:space="preserve">Разположение, легенда и начин на закрепване на серийния номер на бордовата станция за пречистване на отпадъчни води: </w:t>
      </w:r>
      <w:r w:rsidRPr="00A013E1">
        <w:rPr>
          <w:rFonts w:ascii="Times New Roman" w:hAnsi="Times New Roman" w:cs="Times New Roman"/>
          <w:lang w:val="ru-RU"/>
        </w:rPr>
        <w:tab/>
      </w:r>
    </w:p>
    <w:p w14:paraId="6ED45723" w14:textId="77777777" w:rsidR="00271FA2" w:rsidRPr="00A013E1" w:rsidRDefault="00D35E51">
      <w:pPr>
        <w:tabs>
          <w:tab w:val="left" w:leader="dot" w:pos="9072"/>
        </w:tabs>
        <w:spacing w:line="240" w:lineRule="atLeast"/>
        <w:ind w:left="709"/>
        <w:jc w:val="both"/>
        <w:rPr>
          <w:rFonts w:ascii="Times New Roman" w:hAnsi="Times New Roman" w:cs="Times New Roman"/>
          <w:lang w:val="ru-RU"/>
        </w:rPr>
      </w:pPr>
      <w:r w:rsidRPr="00A013E1">
        <w:rPr>
          <w:rFonts w:ascii="Times New Roman" w:hAnsi="Times New Roman" w:cs="Times New Roman"/>
          <w:lang w:val="ru-RU"/>
        </w:rPr>
        <w:tab/>
      </w:r>
    </w:p>
    <w:p w14:paraId="631FBB92" w14:textId="77777777" w:rsidR="00271FA2" w:rsidRPr="00A013E1" w:rsidRDefault="00D35E51">
      <w:pPr>
        <w:tabs>
          <w:tab w:val="left" w:leader="dot" w:pos="9072"/>
        </w:tabs>
        <w:spacing w:line="240" w:lineRule="atLeast"/>
        <w:ind w:left="709"/>
        <w:jc w:val="both"/>
        <w:rPr>
          <w:rFonts w:ascii="Times New Roman" w:hAnsi="Times New Roman" w:cs="Times New Roman"/>
          <w:lang w:val="ru-RU"/>
        </w:rPr>
      </w:pPr>
      <w:r w:rsidRPr="00A013E1">
        <w:rPr>
          <w:rFonts w:ascii="Times New Roman" w:hAnsi="Times New Roman" w:cs="Times New Roman"/>
          <w:lang w:val="ru-RU"/>
        </w:rPr>
        <w:lastRenderedPageBreak/>
        <w:tab/>
      </w:r>
    </w:p>
    <w:p w14:paraId="536BB292"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0.6</w:t>
      </w:r>
      <w:r w:rsidRPr="00A013E1">
        <w:rPr>
          <w:rFonts w:ascii="Times New Roman" w:hAnsi="Times New Roman" w:cs="Times New Roman"/>
          <w:lang w:val="ru-RU"/>
        </w:rPr>
        <w:tab/>
        <w:t xml:space="preserve">Разположение и начин на закрепване на номера на одобрението на типа: </w:t>
      </w:r>
      <w:r w:rsidRPr="00A013E1">
        <w:rPr>
          <w:rFonts w:ascii="Times New Roman" w:hAnsi="Times New Roman" w:cs="Times New Roman"/>
          <w:lang w:val="ru-RU"/>
        </w:rPr>
        <w:tab/>
      </w:r>
    </w:p>
    <w:p w14:paraId="65AE5F68" w14:textId="77777777" w:rsidR="00271FA2" w:rsidRPr="00A013E1" w:rsidRDefault="00D35E51">
      <w:pPr>
        <w:tabs>
          <w:tab w:val="left" w:leader="dot" w:pos="9072"/>
        </w:tabs>
        <w:spacing w:line="240" w:lineRule="atLeast"/>
        <w:ind w:left="709"/>
        <w:jc w:val="both"/>
        <w:rPr>
          <w:rFonts w:ascii="Times New Roman" w:hAnsi="Times New Roman" w:cs="Times New Roman"/>
          <w:lang w:val="ru-RU"/>
        </w:rPr>
      </w:pPr>
      <w:r w:rsidRPr="00A013E1">
        <w:rPr>
          <w:rFonts w:ascii="Times New Roman" w:hAnsi="Times New Roman" w:cs="Times New Roman"/>
          <w:lang w:val="ru-RU"/>
        </w:rPr>
        <w:tab/>
      </w:r>
    </w:p>
    <w:p w14:paraId="6D8F06D9"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0.7</w:t>
      </w:r>
      <w:r w:rsidRPr="00A013E1">
        <w:rPr>
          <w:rFonts w:ascii="Times New Roman" w:hAnsi="Times New Roman" w:cs="Times New Roman"/>
          <w:lang w:val="ru-RU"/>
        </w:rPr>
        <w:tab/>
        <w:t xml:space="preserve">Адрес(и) на производствената база: </w:t>
      </w:r>
      <w:r w:rsidRPr="00A013E1">
        <w:rPr>
          <w:rFonts w:ascii="Times New Roman" w:hAnsi="Times New Roman" w:cs="Times New Roman"/>
          <w:lang w:val="ru-RU"/>
        </w:rPr>
        <w:tab/>
      </w:r>
    </w:p>
    <w:p w14:paraId="2306AC85" w14:textId="77777777" w:rsidR="00271FA2" w:rsidRPr="00A013E1" w:rsidRDefault="00D35E51">
      <w:pPr>
        <w:tabs>
          <w:tab w:val="left" w:leader="dot" w:pos="9072"/>
        </w:tabs>
        <w:spacing w:line="240" w:lineRule="atLeast"/>
        <w:ind w:left="709"/>
        <w:rPr>
          <w:rFonts w:ascii="Times New Roman" w:hAnsi="Times New Roman" w:cs="Times New Roman"/>
          <w:lang w:val="ru-RU"/>
        </w:rPr>
      </w:pPr>
      <w:r w:rsidRPr="00A013E1">
        <w:rPr>
          <w:rFonts w:ascii="Times New Roman" w:hAnsi="Times New Roman" w:cs="Times New Roman"/>
          <w:lang w:val="ru-RU"/>
        </w:rPr>
        <w:tab/>
      </w:r>
    </w:p>
    <w:p w14:paraId="52151D31" w14:textId="77777777" w:rsidR="00271FA2" w:rsidRPr="00A013E1" w:rsidRDefault="00271FA2">
      <w:pPr>
        <w:spacing w:line="240" w:lineRule="atLeast"/>
        <w:ind w:left="850" w:hanging="850"/>
        <w:outlineLvl w:val="0"/>
        <w:rPr>
          <w:rFonts w:ascii="Times New Roman" w:hAnsi="Times New Roman" w:cs="Times New Roman"/>
          <w:b/>
          <w:bCs/>
          <w:lang w:val="ru-RU"/>
        </w:rPr>
      </w:pPr>
    </w:p>
    <w:p w14:paraId="0F0DC775" w14:textId="77777777" w:rsidR="00271FA2" w:rsidRPr="00A013E1" w:rsidRDefault="00D35E51">
      <w:pPr>
        <w:spacing w:line="240" w:lineRule="atLeast"/>
        <w:ind w:left="850" w:hanging="850"/>
        <w:outlineLvl w:val="0"/>
        <w:rPr>
          <w:rFonts w:ascii="Times New Roman" w:hAnsi="Times New Roman" w:cs="Times New Roman"/>
          <w:b/>
          <w:bCs/>
          <w:lang w:val="ru-RU"/>
        </w:rPr>
      </w:pPr>
      <w:r w:rsidRPr="00A013E1">
        <w:rPr>
          <w:rFonts w:ascii="Times New Roman" w:hAnsi="Times New Roman" w:cs="Times New Roman"/>
          <w:lang w:val="ru-RU"/>
        </w:rPr>
        <w:br w:type="page"/>
      </w:r>
    </w:p>
    <w:p w14:paraId="1EA98123" w14:textId="77777777" w:rsidR="00271FA2" w:rsidRPr="00A013E1" w:rsidRDefault="00D35E51">
      <w:pPr>
        <w:spacing w:line="240" w:lineRule="atLeast"/>
        <w:ind w:left="850" w:hanging="850"/>
        <w:outlineLvl w:val="0"/>
        <w:rPr>
          <w:rFonts w:ascii="Times New Roman" w:hAnsi="Times New Roman" w:cs="Times New Roman"/>
          <w:b/>
          <w:bCs/>
          <w:lang w:val="ru-RU"/>
        </w:rPr>
      </w:pPr>
      <w:r w:rsidRPr="00A013E1">
        <w:rPr>
          <w:rFonts w:ascii="Times New Roman" w:hAnsi="Times New Roman" w:cs="Times New Roman"/>
          <w:b/>
          <w:lang w:val="ru-RU"/>
        </w:rPr>
        <w:lastRenderedPageBreak/>
        <w:t xml:space="preserve">Раздел </w:t>
      </w:r>
      <w:r w:rsidRPr="00A013E1">
        <w:rPr>
          <w:rFonts w:ascii="Times New Roman" w:hAnsi="Times New Roman" w:cs="Times New Roman"/>
          <w:b/>
        </w:rPr>
        <w:t>II</w:t>
      </w:r>
    </w:p>
    <w:p w14:paraId="67CBE6F1"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1.</w:t>
      </w:r>
      <w:r w:rsidRPr="00A013E1">
        <w:rPr>
          <w:rFonts w:ascii="Times New Roman" w:hAnsi="Times New Roman" w:cs="Times New Roman"/>
          <w:lang w:val="ru-RU"/>
        </w:rPr>
        <w:tab/>
        <w:t xml:space="preserve">Ограничения на използването: </w:t>
      </w:r>
      <w:r w:rsidRPr="00A013E1">
        <w:rPr>
          <w:rFonts w:ascii="Times New Roman" w:hAnsi="Times New Roman" w:cs="Times New Roman"/>
          <w:lang w:val="ru-RU"/>
        </w:rPr>
        <w:tab/>
      </w:r>
    </w:p>
    <w:p w14:paraId="1467937B"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1.1</w:t>
      </w:r>
      <w:r w:rsidRPr="00A013E1">
        <w:rPr>
          <w:rFonts w:ascii="Times New Roman" w:hAnsi="Times New Roman" w:cs="Times New Roman"/>
          <w:lang w:val="ru-RU"/>
        </w:rPr>
        <w:tab/>
        <w:t>Особености, които трябва да бъдат взети под внимание при инсталирането на бордова станция за пречистване на отпадъчни води на борда на плавателното средство:</w:t>
      </w:r>
    </w:p>
    <w:p w14:paraId="649186AF" w14:textId="77777777" w:rsidR="00271FA2" w:rsidRPr="00A013E1" w:rsidRDefault="00D35E51">
      <w:pPr>
        <w:tabs>
          <w:tab w:val="left" w:leader="dot" w:pos="9072"/>
        </w:tabs>
        <w:spacing w:line="240" w:lineRule="atLeast"/>
        <w:ind w:left="709"/>
        <w:jc w:val="both"/>
        <w:rPr>
          <w:rFonts w:ascii="Times New Roman" w:hAnsi="Times New Roman" w:cs="Times New Roman"/>
          <w:lang w:val="ru-RU"/>
        </w:rPr>
      </w:pPr>
      <w:r w:rsidRPr="00A013E1">
        <w:rPr>
          <w:rFonts w:ascii="Times New Roman" w:hAnsi="Times New Roman" w:cs="Times New Roman"/>
          <w:lang w:val="ru-RU"/>
        </w:rPr>
        <w:tab/>
      </w:r>
    </w:p>
    <w:p w14:paraId="3DE8DFD6"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 xml:space="preserve">1.1.1 </w:t>
      </w:r>
      <w:r w:rsidRPr="00A013E1">
        <w:rPr>
          <w:rFonts w:ascii="Times New Roman" w:hAnsi="Times New Roman" w:cs="Times New Roman"/>
          <w:lang w:val="ru-RU"/>
        </w:rPr>
        <w:tab/>
      </w:r>
      <w:r w:rsidRPr="00A013E1">
        <w:rPr>
          <w:rFonts w:ascii="Times New Roman" w:hAnsi="Times New Roman" w:cs="Times New Roman"/>
          <w:lang w:val="ru-RU"/>
        </w:rPr>
        <w:tab/>
      </w:r>
    </w:p>
    <w:p w14:paraId="29DFDCAD"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 xml:space="preserve">1.1.2 </w:t>
      </w:r>
      <w:r w:rsidRPr="00A013E1">
        <w:rPr>
          <w:rFonts w:ascii="Times New Roman" w:hAnsi="Times New Roman" w:cs="Times New Roman"/>
          <w:lang w:val="ru-RU"/>
        </w:rPr>
        <w:tab/>
      </w:r>
      <w:r w:rsidRPr="00A013E1">
        <w:rPr>
          <w:rFonts w:ascii="Times New Roman" w:hAnsi="Times New Roman" w:cs="Times New Roman"/>
          <w:lang w:val="ru-RU"/>
        </w:rPr>
        <w:tab/>
      </w:r>
    </w:p>
    <w:p w14:paraId="0C219AB7"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2.</w:t>
      </w:r>
      <w:r w:rsidRPr="00A013E1">
        <w:rPr>
          <w:rFonts w:ascii="Times New Roman" w:hAnsi="Times New Roman" w:cs="Times New Roman"/>
          <w:lang w:val="ru-RU"/>
        </w:rPr>
        <w:tab/>
        <w:t>Техническа служба, която отговаря за извършване на изпитванията</w:t>
      </w:r>
      <w:r w:rsidRPr="00A013E1">
        <w:rPr>
          <w:rFonts w:ascii="Times New Roman" w:hAnsi="Times New Roman" w:cs="Times New Roman"/>
          <w:vertAlign w:val="superscript"/>
        </w:rPr>
        <w:footnoteReference w:id="47"/>
      </w:r>
      <w:r w:rsidRPr="00A013E1">
        <w:rPr>
          <w:rFonts w:ascii="Times New Roman" w:hAnsi="Times New Roman" w:cs="Times New Roman"/>
          <w:lang w:val="ru-RU"/>
        </w:rPr>
        <w:t xml:space="preserve">: </w:t>
      </w:r>
      <w:r w:rsidRPr="00A013E1">
        <w:rPr>
          <w:rFonts w:ascii="Times New Roman" w:hAnsi="Times New Roman" w:cs="Times New Roman"/>
          <w:lang w:val="ru-RU"/>
        </w:rPr>
        <w:tab/>
      </w:r>
    </w:p>
    <w:p w14:paraId="003904FF" w14:textId="77777777" w:rsidR="00271FA2" w:rsidRPr="00A013E1" w:rsidRDefault="00D35E51">
      <w:pPr>
        <w:tabs>
          <w:tab w:val="left" w:leader="dot" w:pos="9072"/>
        </w:tabs>
        <w:spacing w:line="240" w:lineRule="atLeast"/>
        <w:ind w:left="709"/>
        <w:rPr>
          <w:rFonts w:ascii="Times New Roman" w:hAnsi="Times New Roman" w:cs="Times New Roman"/>
          <w:lang w:val="ru-RU"/>
        </w:rPr>
      </w:pPr>
      <w:r w:rsidRPr="00A013E1">
        <w:rPr>
          <w:rFonts w:ascii="Times New Roman" w:hAnsi="Times New Roman" w:cs="Times New Roman"/>
          <w:lang w:val="ru-RU"/>
        </w:rPr>
        <w:tab/>
      </w:r>
    </w:p>
    <w:p w14:paraId="26816C0D" w14:textId="77777777" w:rsidR="00271FA2" w:rsidRPr="00A013E1" w:rsidRDefault="00D35E51">
      <w:pPr>
        <w:tabs>
          <w:tab w:val="left" w:leader="dot" w:pos="9072"/>
        </w:tabs>
        <w:spacing w:line="240" w:lineRule="atLeast"/>
        <w:ind w:left="709"/>
        <w:rPr>
          <w:rFonts w:ascii="Times New Roman" w:hAnsi="Times New Roman" w:cs="Times New Roman"/>
          <w:lang w:val="ru-RU"/>
        </w:rPr>
      </w:pPr>
      <w:r w:rsidRPr="00A013E1">
        <w:rPr>
          <w:rFonts w:ascii="Times New Roman" w:hAnsi="Times New Roman" w:cs="Times New Roman"/>
          <w:lang w:val="ru-RU"/>
        </w:rPr>
        <w:tab/>
      </w:r>
    </w:p>
    <w:p w14:paraId="4E1AF827" w14:textId="77777777" w:rsidR="00271FA2" w:rsidRPr="00A013E1" w:rsidRDefault="00D35E51">
      <w:pPr>
        <w:tabs>
          <w:tab w:val="left" w:leader="dot" w:pos="9072"/>
        </w:tabs>
        <w:spacing w:line="240" w:lineRule="atLeast"/>
        <w:ind w:left="709" w:hanging="709"/>
        <w:rPr>
          <w:rFonts w:ascii="Times New Roman" w:hAnsi="Times New Roman" w:cs="Times New Roman"/>
          <w:lang w:val="ru-RU"/>
        </w:rPr>
      </w:pPr>
      <w:r w:rsidRPr="00A013E1">
        <w:rPr>
          <w:rFonts w:ascii="Times New Roman" w:hAnsi="Times New Roman" w:cs="Times New Roman"/>
          <w:lang w:val="ru-RU"/>
        </w:rPr>
        <w:t>3.</w:t>
      </w:r>
      <w:r w:rsidRPr="00A013E1">
        <w:rPr>
          <w:rFonts w:ascii="Times New Roman" w:hAnsi="Times New Roman" w:cs="Times New Roman"/>
          <w:lang w:val="ru-RU"/>
        </w:rPr>
        <w:tab/>
        <w:t xml:space="preserve">Дата на протокола от изпитването: </w:t>
      </w:r>
      <w:r w:rsidRPr="00A013E1">
        <w:rPr>
          <w:rFonts w:ascii="Times New Roman" w:hAnsi="Times New Roman" w:cs="Times New Roman"/>
          <w:lang w:val="ru-RU"/>
        </w:rPr>
        <w:tab/>
      </w:r>
    </w:p>
    <w:p w14:paraId="7BAED8B1" w14:textId="77777777" w:rsidR="00271FA2" w:rsidRPr="00A013E1" w:rsidRDefault="00D35E51">
      <w:pPr>
        <w:tabs>
          <w:tab w:val="left" w:leader="dot" w:pos="9072"/>
        </w:tabs>
        <w:spacing w:line="240" w:lineRule="atLeast"/>
        <w:ind w:left="709" w:hanging="709"/>
        <w:rPr>
          <w:rFonts w:ascii="Times New Roman" w:hAnsi="Times New Roman" w:cs="Times New Roman"/>
          <w:lang w:val="ru-RU"/>
        </w:rPr>
      </w:pPr>
      <w:r w:rsidRPr="00A013E1">
        <w:rPr>
          <w:rFonts w:ascii="Times New Roman" w:hAnsi="Times New Roman" w:cs="Times New Roman"/>
          <w:lang w:val="ru-RU"/>
        </w:rPr>
        <w:t>4.</w:t>
      </w:r>
      <w:r w:rsidRPr="00A013E1">
        <w:rPr>
          <w:rFonts w:ascii="Times New Roman" w:hAnsi="Times New Roman" w:cs="Times New Roman"/>
          <w:lang w:val="ru-RU"/>
        </w:rPr>
        <w:tab/>
        <w:t xml:space="preserve">Номер на протокола от изпитването: </w:t>
      </w:r>
      <w:r w:rsidRPr="00A013E1">
        <w:rPr>
          <w:rFonts w:ascii="Times New Roman" w:hAnsi="Times New Roman" w:cs="Times New Roman"/>
          <w:lang w:val="ru-RU"/>
        </w:rPr>
        <w:tab/>
      </w:r>
    </w:p>
    <w:p w14:paraId="7DBBE70C" w14:textId="77777777" w:rsidR="00271FA2" w:rsidRPr="00A013E1" w:rsidRDefault="00D35E51">
      <w:pPr>
        <w:tabs>
          <w:tab w:val="left" w:leader="dot" w:pos="9072"/>
        </w:tabs>
        <w:spacing w:line="240" w:lineRule="atLeast"/>
        <w:ind w:left="709" w:hanging="709"/>
        <w:jc w:val="both"/>
        <w:rPr>
          <w:rFonts w:ascii="Times New Roman" w:hAnsi="Times New Roman" w:cs="Times New Roman"/>
          <w:lang w:val="ru-RU"/>
        </w:rPr>
      </w:pPr>
      <w:r w:rsidRPr="00A013E1">
        <w:rPr>
          <w:rFonts w:ascii="Times New Roman" w:hAnsi="Times New Roman" w:cs="Times New Roman"/>
          <w:lang w:val="ru-RU"/>
        </w:rPr>
        <w:t>5.</w:t>
      </w:r>
      <w:r w:rsidRPr="00A013E1">
        <w:rPr>
          <w:rFonts w:ascii="Times New Roman" w:hAnsi="Times New Roman" w:cs="Times New Roman"/>
          <w:lang w:val="ru-RU"/>
        </w:rPr>
        <w:tab/>
        <w:t xml:space="preserve">С настоящото долуподписаният удостоверява точността на информацията от производителя, съдържаща се в приложения информационен документ за гореспоменатата бордова станция за пречистване на отпадъчни води в съответствие с Приложение 7, раздел </w:t>
      </w:r>
      <w:r w:rsidRPr="00A013E1">
        <w:rPr>
          <w:rFonts w:ascii="Times New Roman" w:hAnsi="Times New Roman" w:cs="Times New Roman"/>
        </w:rPr>
        <w:t>IX</w:t>
      </w:r>
      <w:r w:rsidRPr="00A013E1">
        <w:rPr>
          <w:rFonts w:ascii="Times New Roman" w:hAnsi="Times New Roman" w:cs="Times New Roman"/>
          <w:lang w:val="ru-RU"/>
        </w:rPr>
        <w:t xml:space="preserve"> към Европейския стандарт за определяне на технически изисквания за плавателните съдове по вътрешните водни пътища (</w:t>
      </w:r>
      <w:r w:rsidRPr="00A013E1">
        <w:rPr>
          <w:rFonts w:ascii="Times New Roman" w:hAnsi="Times New Roman" w:cs="Times New Roman"/>
        </w:rPr>
        <w:t>ES</w:t>
      </w:r>
      <w:r w:rsidRPr="00A013E1">
        <w:rPr>
          <w:rFonts w:ascii="Times New Roman" w:hAnsi="Times New Roman" w:cs="Times New Roman"/>
          <w:lang w:val="ru-RU"/>
        </w:rPr>
        <w:t>-</w:t>
      </w:r>
      <w:r w:rsidRPr="00A013E1">
        <w:rPr>
          <w:rFonts w:ascii="Times New Roman" w:hAnsi="Times New Roman" w:cs="Times New Roman"/>
        </w:rPr>
        <w:t>TRIN</w:t>
      </w:r>
      <w:r w:rsidRPr="00A013E1">
        <w:rPr>
          <w:rFonts w:ascii="Times New Roman" w:hAnsi="Times New Roman" w:cs="Times New Roman"/>
          <w:lang w:val="ru-RU"/>
        </w:rPr>
        <w:t>), както и валидността на приложените резултати от изпитванията във връзка с типа на бордовата станция за пречистване на отпадъчни води. Пробата(ите) е(са) избрана(и) от производителя със съгласието на компетентния орган и предоставена(и) от производителя като проектен тип на бордовата станция за пречистване на отпадъчни води:</w:t>
      </w:r>
    </w:p>
    <w:p w14:paraId="2C9BB52A" w14:textId="77777777" w:rsidR="00271FA2" w:rsidRPr="00A013E1" w:rsidRDefault="00D35E51">
      <w:pPr>
        <w:tabs>
          <w:tab w:val="left" w:leader="dot" w:pos="9072"/>
        </w:tabs>
        <w:spacing w:line="240" w:lineRule="atLeast"/>
        <w:ind w:left="709"/>
        <w:rPr>
          <w:rFonts w:ascii="Times New Roman" w:hAnsi="Times New Roman" w:cs="Times New Roman"/>
          <w:lang w:val="ru-RU"/>
        </w:rPr>
      </w:pPr>
      <w:r w:rsidRPr="00A013E1">
        <w:rPr>
          <w:rFonts w:ascii="Times New Roman" w:hAnsi="Times New Roman" w:cs="Times New Roman"/>
          <w:lang w:val="ru-RU"/>
        </w:rPr>
        <w:t>Одобрението на типа е издадено/удължено/отказано/отменено</w:t>
      </w:r>
      <w:r w:rsidRPr="00A013E1">
        <w:rPr>
          <w:rFonts w:ascii="Times New Roman" w:hAnsi="Times New Roman" w:cs="Times New Roman"/>
          <w:vertAlign w:val="superscript"/>
        </w:rPr>
        <w:footnoteReference w:id="48"/>
      </w:r>
      <w:r w:rsidRPr="00A013E1">
        <w:rPr>
          <w:rFonts w:ascii="Times New Roman" w:hAnsi="Times New Roman" w:cs="Times New Roman"/>
          <w:lang w:val="ru-RU"/>
        </w:rPr>
        <w:t xml:space="preserve">: </w:t>
      </w:r>
    </w:p>
    <w:p w14:paraId="6C81E532" w14:textId="77777777" w:rsidR="00271FA2" w:rsidRPr="00A013E1" w:rsidRDefault="00D35E51">
      <w:pPr>
        <w:tabs>
          <w:tab w:val="left" w:leader="dot" w:pos="9072"/>
        </w:tabs>
        <w:spacing w:line="240" w:lineRule="atLeast"/>
        <w:ind w:left="709"/>
        <w:rPr>
          <w:rFonts w:ascii="Times New Roman" w:hAnsi="Times New Roman" w:cs="Times New Roman"/>
          <w:lang w:val="ru-RU"/>
        </w:rPr>
      </w:pPr>
      <w:r w:rsidRPr="00A013E1">
        <w:rPr>
          <w:rFonts w:ascii="Times New Roman" w:hAnsi="Times New Roman" w:cs="Times New Roman"/>
          <w:lang w:val="ru-RU"/>
        </w:rPr>
        <w:t xml:space="preserve">Място: </w:t>
      </w:r>
      <w:r w:rsidRPr="00A013E1">
        <w:rPr>
          <w:rFonts w:ascii="Times New Roman" w:hAnsi="Times New Roman" w:cs="Times New Roman"/>
          <w:lang w:val="ru-RU"/>
        </w:rPr>
        <w:tab/>
      </w:r>
    </w:p>
    <w:p w14:paraId="4E42A04E" w14:textId="77777777" w:rsidR="00271FA2" w:rsidRPr="00A013E1" w:rsidRDefault="00D35E51">
      <w:pPr>
        <w:tabs>
          <w:tab w:val="left" w:leader="dot" w:pos="9072"/>
        </w:tabs>
        <w:spacing w:line="240" w:lineRule="atLeast"/>
        <w:ind w:left="709"/>
        <w:rPr>
          <w:rFonts w:ascii="Times New Roman" w:hAnsi="Times New Roman" w:cs="Times New Roman"/>
          <w:lang w:val="ru-RU"/>
        </w:rPr>
      </w:pPr>
      <w:r w:rsidRPr="00A013E1">
        <w:rPr>
          <w:rFonts w:ascii="Times New Roman" w:hAnsi="Times New Roman" w:cs="Times New Roman"/>
          <w:lang w:val="ru-RU"/>
        </w:rPr>
        <w:t xml:space="preserve">Дата: </w:t>
      </w:r>
      <w:r w:rsidRPr="00A013E1">
        <w:rPr>
          <w:rFonts w:ascii="Times New Roman" w:hAnsi="Times New Roman" w:cs="Times New Roman"/>
          <w:lang w:val="ru-RU"/>
        </w:rPr>
        <w:tab/>
      </w:r>
    </w:p>
    <w:p w14:paraId="6D0CB4F6" w14:textId="77777777" w:rsidR="00271FA2" w:rsidRPr="00A013E1" w:rsidRDefault="00D35E51">
      <w:pPr>
        <w:tabs>
          <w:tab w:val="left" w:leader="dot" w:pos="9072"/>
        </w:tabs>
        <w:spacing w:line="240" w:lineRule="atLeast"/>
        <w:ind w:left="709"/>
        <w:rPr>
          <w:rFonts w:ascii="Times New Roman" w:hAnsi="Times New Roman" w:cs="Times New Roman"/>
          <w:lang w:val="ru-RU"/>
        </w:rPr>
      </w:pPr>
      <w:r w:rsidRPr="00A013E1">
        <w:rPr>
          <w:rFonts w:ascii="Times New Roman" w:hAnsi="Times New Roman" w:cs="Times New Roman"/>
          <w:lang w:val="ru-RU"/>
        </w:rPr>
        <w:t xml:space="preserve">Подпис: </w:t>
      </w:r>
      <w:r w:rsidRPr="00A013E1">
        <w:rPr>
          <w:rFonts w:ascii="Times New Roman" w:hAnsi="Times New Roman" w:cs="Times New Roman"/>
          <w:lang w:val="ru-RU"/>
        </w:rPr>
        <w:tab/>
      </w:r>
    </w:p>
    <w:p w14:paraId="1B873F66" w14:textId="77777777" w:rsidR="00271FA2" w:rsidRPr="00A013E1" w:rsidRDefault="00271FA2">
      <w:pPr>
        <w:tabs>
          <w:tab w:val="left" w:leader="dot" w:pos="9072"/>
        </w:tabs>
        <w:spacing w:line="240" w:lineRule="atLeast"/>
        <w:rPr>
          <w:rFonts w:ascii="Times New Roman" w:hAnsi="Times New Roman" w:cs="Times New Roman"/>
          <w:lang w:val="ru-RU"/>
        </w:rPr>
      </w:pPr>
    </w:p>
    <w:p w14:paraId="2E97F39D" w14:textId="77777777" w:rsidR="00271FA2" w:rsidRPr="00A013E1" w:rsidRDefault="00D35E51">
      <w:pPr>
        <w:tabs>
          <w:tab w:val="left" w:pos="1276"/>
          <w:tab w:val="left" w:leader="dot" w:pos="9072"/>
        </w:tabs>
        <w:spacing w:line="240" w:lineRule="atLeast"/>
        <w:rPr>
          <w:rFonts w:ascii="Times New Roman" w:hAnsi="Times New Roman" w:cs="Times New Roman"/>
          <w:lang w:val="ru-RU"/>
        </w:rPr>
      </w:pPr>
      <w:r w:rsidRPr="00A013E1">
        <w:rPr>
          <w:rFonts w:ascii="Times New Roman" w:hAnsi="Times New Roman" w:cs="Times New Roman"/>
          <w:lang w:val="ru-RU"/>
        </w:rPr>
        <w:t>Допълнения:</w:t>
      </w:r>
      <w:r w:rsidRPr="00A013E1">
        <w:rPr>
          <w:rFonts w:ascii="Times New Roman" w:hAnsi="Times New Roman" w:cs="Times New Roman"/>
          <w:lang w:val="ru-RU"/>
        </w:rPr>
        <w:tab/>
        <w:t>Информационно досие</w:t>
      </w:r>
    </w:p>
    <w:p w14:paraId="1669936C" w14:textId="77777777" w:rsidR="00271FA2" w:rsidRPr="00A013E1" w:rsidRDefault="00D35E51">
      <w:pPr>
        <w:tabs>
          <w:tab w:val="left" w:leader="dot" w:pos="9072"/>
        </w:tabs>
        <w:spacing w:line="240" w:lineRule="atLeast"/>
        <w:ind w:left="1276"/>
        <w:rPr>
          <w:rFonts w:ascii="Times New Roman" w:hAnsi="Times New Roman" w:cs="Times New Roman"/>
          <w:lang w:val="ru-RU"/>
        </w:rPr>
      </w:pPr>
      <w:r w:rsidRPr="00A013E1">
        <w:rPr>
          <w:rFonts w:ascii="Times New Roman" w:hAnsi="Times New Roman" w:cs="Times New Roman"/>
          <w:lang w:val="ru-RU"/>
        </w:rPr>
        <w:t>Резултати от изпитването (виж допълнение 1)</w:t>
      </w:r>
    </w:p>
    <w:p w14:paraId="6B49515A" w14:textId="77777777" w:rsidR="00271FA2" w:rsidRPr="00A013E1" w:rsidRDefault="00D35E51">
      <w:pPr>
        <w:suppressAutoHyphens/>
        <w:spacing w:line="240" w:lineRule="atLeast"/>
        <w:jc w:val="center"/>
        <w:rPr>
          <w:rFonts w:ascii="Times New Roman" w:hAnsi="Times New Roman" w:cs="Times New Roman"/>
          <w:lang w:val="ru-RU"/>
        </w:rPr>
      </w:pPr>
      <w:r w:rsidRPr="00A013E1">
        <w:rPr>
          <w:rFonts w:ascii="Times New Roman" w:hAnsi="Times New Roman" w:cs="Times New Roman"/>
          <w:lang w:val="ru-RU"/>
        </w:rPr>
        <w:br w:type="page"/>
      </w:r>
    </w:p>
    <w:p w14:paraId="76C2CF98" w14:textId="77777777" w:rsidR="00271FA2" w:rsidRPr="00A013E1" w:rsidRDefault="00D35E51">
      <w:pPr>
        <w:suppressAutoHyphens/>
        <w:spacing w:line="240" w:lineRule="atLeast"/>
        <w:jc w:val="center"/>
        <w:rPr>
          <w:rFonts w:ascii="Times New Roman" w:hAnsi="Times New Roman" w:cs="Times New Roman"/>
          <w:b/>
          <w:lang w:val="ru-RU"/>
        </w:rPr>
      </w:pPr>
      <w:r w:rsidRPr="00A013E1">
        <w:rPr>
          <w:rFonts w:ascii="Times New Roman" w:hAnsi="Times New Roman" w:cs="Times New Roman"/>
          <w:b/>
          <w:lang w:val="ru-RU"/>
        </w:rPr>
        <w:lastRenderedPageBreak/>
        <w:t>Допълнение 1</w:t>
      </w:r>
    </w:p>
    <w:p w14:paraId="2AA2FB9F" w14:textId="77777777" w:rsidR="00271FA2" w:rsidRPr="00A013E1" w:rsidRDefault="00D35E51">
      <w:pPr>
        <w:tabs>
          <w:tab w:val="center" w:pos="7513"/>
          <w:tab w:val="center" w:pos="8222"/>
        </w:tabs>
        <w:suppressAutoHyphens/>
        <w:spacing w:line="240" w:lineRule="atLeast"/>
        <w:jc w:val="center"/>
        <w:rPr>
          <w:rFonts w:ascii="Times New Roman" w:hAnsi="Times New Roman" w:cs="Times New Roman"/>
          <w:lang w:val="ru-RU"/>
        </w:rPr>
      </w:pPr>
      <w:r w:rsidRPr="00A013E1">
        <w:rPr>
          <w:rFonts w:ascii="Times New Roman" w:hAnsi="Times New Roman" w:cs="Times New Roman"/>
          <w:b/>
          <w:lang w:val="ru-RU"/>
        </w:rPr>
        <w:t xml:space="preserve">Резултати от изпитването за одобряване на типа </w:t>
      </w:r>
      <w:r w:rsidRPr="00A013E1">
        <w:rPr>
          <w:rFonts w:ascii="Times New Roman" w:hAnsi="Times New Roman" w:cs="Times New Roman"/>
          <w:b/>
          <w:lang w:val="ru-RU"/>
        </w:rPr>
        <w:br/>
      </w:r>
      <w:r w:rsidRPr="00A013E1">
        <w:rPr>
          <w:rFonts w:ascii="Times New Roman" w:hAnsi="Times New Roman" w:cs="Times New Roman"/>
          <w:lang w:val="ru-RU"/>
        </w:rPr>
        <w:t>(Образец)</w:t>
      </w:r>
    </w:p>
    <w:p w14:paraId="499BD0E9" w14:textId="77777777" w:rsidR="00271FA2" w:rsidRPr="00A013E1" w:rsidRDefault="00271FA2">
      <w:pPr>
        <w:spacing w:line="240" w:lineRule="atLeast"/>
        <w:ind w:left="709" w:hanging="709"/>
        <w:rPr>
          <w:rFonts w:ascii="Times New Roman" w:hAnsi="Times New Roman" w:cs="Times New Roman"/>
          <w:color w:val="000000"/>
          <w:lang w:val="ru-RU"/>
        </w:rPr>
      </w:pPr>
    </w:p>
    <w:p w14:paraId="79AA65CA" w14:textId="77777777" w:rsidR="00271FA2" w:rsidRPr="00A013E1" w:rsidRDefault="00D35E51">
      <w:pPr>
        <w:spacing w:line="240" w:lineRule="atLeast"/>
        <w:ind w:left="709" w:hanging="709"/>
        <w:rPr>
          <w:rFonts w:ascii="Times New Roman" w:hAnsi="Times New Roman" w:cs="Times New Roman"/>
          <w:color w:val="000000"/>
          <w:lang w:val="ru-RU"/>
        </w:rPr>
      </w:pPr>
      <w:r w:rsidRPr="00A013E1">
        <w:rPr>
          <w:rFonts w:ascii="Times New Roman" w:hAnsi="Times New Roman" w:cs="Times New Roman"/>
          <w:color w:val="000000"/>
          <w:lang w:val="ru-RU"/>
        </w:rPr>
        <w:t>0.</w:t>
      </w:r>
      <w:r w:rsidRPr="00A013E1">
        <w:rPr>
          <w:rFonts w:ascii="Times New Roman" w:hAnsi="Times New Roman" w:cs="Times New Roman"/>
          <w:lang w:val="ru-RU"/>
        </w:rPr>
        <w:tab/>
      </w:r>
      <w:r w:rsidRPr="00A013E1">
        <w:rPr>
          <w:rFonts w:ascii="Times New Roman" w:hAnsi="Times New Roman" w:cs="Times New Roman"/>
          <w:color w:val="000000"/>
          <w:lang w:val="ru-RU"/>
        </w:rPr>
        <w:t>Общи положения</w:t>
      </w:r>
    </w:p>
    <w:p w14:paraId="190FECD9" w14:textId="77777777" w:rsidR="00271FA2" w:rsidRPr="00A013E1" w:rsidRDefault="00D35E51">
      <w:pPr>
        <w:tabs>
          <w:tab w:val="left" w:leader="dot" w:pos="9072"/>
        </w:tabs>
        <w:spacing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0.1</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Марка (наименование на дружеството производител): </w:t>
      </w:r>
      <w:r w:rsidRPr="00A013E1">
        <w:rPr>
          <w:rFonts w:ascii="Times New Roman" w:hAnsi="Times New Roman" w:cs="Times New Roman"/>
          <w:lang w:val="ru-RU"/>
        </w:rPr>
        <w:tab/>
      </w:r>
    </w:p>
    <w:p w14:paraId="12FDFB0E" w14:textId="77777777" w:rsidR="00271FA2" w:rsidRPr="00A013E1" w:rsidRDefault="00D35E51">
      <w:pPr>
        <w:tabs>
          <w:tab w:val="left" w:leader="dot" w:pos="9072"/>
        </w:tabs>
        <w:spacing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0.2</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Обозначение от производителя за типа на бордовата станция за пречистване на отпадъчни води: </w:t>
      </w:r>
      <w:r w:rsidRPr="00A013E1">
        <w:rPr>
          <w:rFonts w:ascii="Times New Roman" w:hAnsi="Times New Roman" w:cs="Times New Roman"/>
          <w:lang w:val="ru-RU"/>
        </w:rPr>
        <w:tab/>
      </w:r>
    </w:p>
    <w:p w14:paraId="349500BC" w14:textId="77777777" w:rsidR="00271FA2" w:rsidRPr="00A013E1" w:rsidRDefault="00D35E51">
      <w:pPr>
        <w:tabs>
          <w:tab w:val="left" w:leader="dot" w:pos="9072"/>
        </w:tabs>
        <w:spacing w:line="240" w:lineRule="atLeast"/>
        <w:ind w:left="709" w:hanging="709"/>
        <w:rPr>
          <w:rFonts w:ascii="Times New Roman" w:hAnsi="Times New Roman" w:cs="Times New Roman"/>
          <w:color w:val="000000"/>
          <w:vertAlign w:val="superscript"/>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b/>
          <w:color w:val="000000"/>
          <w:lang w:val="ru-RU"/>
        </w:rPr>
        <w:t>Информация относно провеждането на изпитването(ията).</w:t>
      </w:r>
      <w:r w:rsidRPr="00A013E1">
        <w:rPr>
          <w:rFonts w:ascii="Times New Roman" w:hAnsi="Times New Roman" w:cs="Times New Roman"/>
          <w:color w:val="000000"/>
          <w:vertAlign w:val="superscript"/>
        </w:rPr>
        <w:footnoteReference w:id="49"/>
      </w:r>
      <w:r w:rsidRPr="00A013E1">
        <w:rPr>
          <w:rFonts w:ascii="Times New Roman" w:hAnsi="Times New Roman" w:cs="Times New Roman"/>
          <w:color w:val="000000"/>
          <w:lang w:val="ru-RU"/>
        </w:rPr>
        <w:t>.</w:t>
      </w:r>
      <w:r w:rsidRPr="00A013E1">
        <w:rPr>
          <w:rFonts w:ascii="Times New Roman" w:hAnsi="Times New Roman" w:cs="Times New Roman"/>
          <w:color w:val="000000"/>
          <w:vertAlign w:val="superscript"/>
          <w:lang w:val="ru-RU"/>
        </w:rPr>
        <w:t xml:space="preserve"> </w:t>
      </w:r>
    </w:p>
    <w:p w14:paraId="5349EC0F" w14:textId="77777777" w:rsidR="00271FA2" w:rsidRPr="00A013E1" w:rsidRDefault="00D35E51">
      <w:pPr>
        <w:tabs>
          <w:tab w:val="left" w:leader="dot" w:pos="9072"/>
        </w:tabs>
        <w:spacing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1.1</w:t>
      </w:r>
      <w:r w:rsidRPr="00A013E1">
        <w:rPr>
          <w:rFonts w:ascii="Times New Roman" w:hAnsi="Times New Roman" w:cs="Times New Roman"/>
          <w:lang w:val="ru-RU"/>
        </w:rPr>
        <w:tab/>
      </w:r>
      <w:r w:rsidRPr="00A013E1">
        <w:rPr>
          <w:rFonts w:ascii="Times New Roman" w:hAnsi="Times New Roman" w:cs="Times New Roman"/>
          <w:color w:val="000000"/>
          <w:lang w:val="ru-RU"/>
        </w:rPr>
        <w:t>Стойности на входящия поток</w:t>
      </w:r>
    </w:p>
    <w:p w14:paraId="55F1EB64" w14:textId="77777777" w:rsidR="00271FA2" w:rsidRPr="00A013E1" w:rsidRDefault="00D35E51">
      <w:pPr>
        <w:tabs>
          <w:tab w:val="left" w:leader="dot" w:pos="9072"/>
        </w:tabs>
        <w:spacing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1.1.1</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Дневен обемен дебит на отпадъчните води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oMath>
      <w:r w:rsidRPr="00A013E1">
        <w:rPr>
          <w:rFonts w:ascii="Times New Roman" w:hAnsi="Times New Roman" w:cs="Times New Roman"/>
          <w:color w:val="000000"/>
          <w:lang w:val="ru-RU"/>
        </w:rPr>
        <w:t xml:space="preserve"> (</w:t>
      </w:r>
      <w:r w:rsidRPr="00A013E1">
        <w:rPr>
          <w:rFonts w:ascii="Times New Roman" w:hAnsi="Times New Roman" w:cs="Times New Roman"/>
          <w:color w:val="000000"/>
        </w:rPr>
        <w:t>m</w:t>
      </w:r>
      <w:r w:rsidRPr="00A013E1">
        <w:rPr>
          <w:rFonts w:ascii="Times New Roman" w:hAnsi="Times New Roman" w:cs="Times New Roman"/>
          <w:color w:val="000000"/>
          <w:lang w:val="ru-RU"/>
        </w:rPr>
        <w:t xml:space="preserve">³/ден): </w:t>
      </w:r>
      <w:r w:rsidRPr="00A013E1">
        <w:rPr>
          <w:rFonts w:ascii="Times New Roman" w:hAnsi="Times New Roman" w:cs="Times New Roman"/>
          <w:lang w:val="ru-RU"/>
        </w:rPr>
        <w:tab/>
      </w:r>
    </w:p>
    <w:p w14:paraId="3CE04367" w14:textId="77777777" w:rsidR="00271FA2" w:rsidRPr="00A013E1" w:rsidRDefault="00D35E51">
      <w:pPr>
        <w:tabs>
          <w:tab w:val="left" w:leader="dot" w:pos="9072"/>
        </w:tabs>
        <w:spacing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1.1.2</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Дневно замърсяване по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Pr="00A013E1">
        <w:rPr>
          <w:rFonts w:ascii="Times New Roman" w:hAnsi="Times New Roman" w:cs="Times New Roman"/>
          <w:color w:val="000000"/>
          <w:lang w:val="ru-RU"/>
        </w:rPr>
        <w:t xml:space="preserve"> (</w:t>
      </w:r>
      <w:r w:rsidRPr="00A013E1">
        <w:rPr>
          <w:rFonts w:ascii="Times New Roman" w:hAnsi="Times New Roman" w:cs="Times New Roman"/>
          <w:color w:val="000000"/>
        </w:rPr>
        <w:t>kg</w:t>
      </w:r>
      <w:r w:rsidRPr="00A013E1">
        <w:rPr>
          <w:rFonts w:ascii="Times New Roman" w:hAnsi="Times New Roman" w:cs="Times New Roman"/>
          <w:color w:val="000000"/>
          <w:lang w:val="ru-RU"/>
        </w:rPr>
        <w:t xml:space="preserve">/ден): </w:t>
      </w:r>
      <w:r w:rsidRPr="00A013E1">
        <w:rPr>
          <w:rFonts w:ascii="Times New Roman" w:hAnsi="Times New Roman" w:cs="Times New Roman"/>
          <w:lang w:val="ru-RU"/>
        </w:rPr>
        <w:tab/>
      </w:r>
    </w:p>
    <w:p w14:paraId="0286ABBA" w14:textId="77777777" w:rsidR="00271FA2" w:rsidRPr="00A013E1" w:rsidRDefault="00D35E51">
      <w:pPr>
        <w:spacing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1.2</w:t>
      </w:r>
      <w:r w:rsidRPr="00A013E1">
        <w:rPr>
          <w:rFonts w:ascii="Times New Roman" w:hAnsi="Times New Roman" w:cs="Times New Roman"/>
          <w:lang w:val="ru-RU"/>
        </w:rPr>
        <w:tab/>
      </w:r>
      <w:r w:rsidRPr="00A013E1">
        <w:rPr>
          <w:rFonts w:ascii="Times New Roman" w:hAnsi="Times New Roman" w:cs="Times New Roman"/>
          <w:color w:val="000000"/>
          <w:lang w:val="ru-RU"/>
        </w:rPr>
        <w:t>Ефективност на пречистването</w:t>
      </w:r>
    </w:p>
    <w:p w14:paraId="0376A1DE" w14:textId="77777777" w:rsidR="00271FA2" w:rsidRPr="00A013E1" w:rsidRDefault="00D35E51">
      <w:pPr>
        <w:spacing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1.2.1</w:t>
      </w:r>
      <w:r w:rsidRPr="00A013E1">
        <w:rPr>
          <w:rFonts w:ascii="Times New Roman" w:hAnsi="Times New Roman" w:cs="Times New Roman"/>
          <w:lang w:val="ru-RU"/>
        </w:rPr>
        <w:tab/>
      </w:r>
      <w:r w:rsidRPr="00A013E1">
        <w:rPr>
          <w:rFonts w:ascii="Times New Roman" w:hAnsi="Times New Roman" w:cs="Times New Roman"/>
          <w:color w:val="000000"/>
          <w:lang w:val="ru-RU"/>
        </w:rPr>
        <w:t>Оценка на стойностите за изходящия поток</w:t>
      </w:r>
    </w:p>
    <w:p w14:paraId="792C63F7" w14:textId="08450D5C"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Оценка на стойностите на </w:t>
      </w:r>
      <m:oMath>
        <m:sSub>
          <m:sSubPr>
            <m:ctrlPr>
              <w:rPr>
                <w:rFonts w:ascii="Cambria Math" w:hAnsi="Cambria Math" w:cs="Times New Roman"/>
                <w:b/>
                <w:i/>
              </w:rPr>
            </m:ctrlPr>
          </m:sSubPr>
          <m:e>
            <m:r>
              <m:rPr>
                <m:sty m:val="bi"/>
              </m:rPr>
              <w:rPr>
                <w:rFonts w:ascii="Cambria Math" w:hAnsi="Cambria Math" w:cs="Times New Roman"/>
              </w:rPr>
              <m:t>BOD</m:t>
            </m:r>
          </m:e>
          <m:sub>
            <m:r>
              <m:rPr>
                <m:sty m:val="bi"/>
              </m:rPr>
              <w:rPr>
                <w:rFonts w:ascii="Cambria Math" w:hAnsi="Cambria Math" w:cs="Times New Roman"/>
              </w:rPr>
              <m:t>5</m:t>
            </m:r>
          </m:sub>
        </m:sSub>
      </m:oMath>
      <w:r w:rsidRPr="00A013E1">
        <w:rPr>
          <w:rFonts w:ascii="Times New Roman" w:hAnsi="Times New Roman" w:cs="Times New Roman"/>
          <w:lang w:val="ru-RU"/>
        </w:rPr>
        <w:t xml:space="preserve"> за изходящия поток (</w:t>
      </w:r>
      <w:r w:rsidRPr="00A013E1">
        <w:rPr>
          <w:rFonts w:ascii="Times New Roman" w:hAnsi="Times New Roman" w:cs="Times New Roman"/>
        </w:rPr>
        <w:t>mg</w:t>
      </w:r>
      <w:r w:rsidRPr="00A013E1">
        <w:rPr>
          <w:rFonts w:ascii="Times New Roman" w:hAnsi="Times New Roman" w:cs="Times New Roman"/>
          <w:lang w:val="ru-RU"/>
        </w:rPr>
        <w:t>/</w:t>
      </w:r>
      <w:r w:rsidRPr="00A013E1">
        <w:rPr>
          <w:rFonts w:ascii="Times New Roman" w:hAnsi="Times New Roman" w:cs="Times New Roman"/>
        </w:rPr>
        <w:t>l</w:t>
      </w:r>
      <w:r w:rsidRPr="00A013E1">
        <w:rPr>
          <w:rFonts w:ascii="Times New Roman" w:hAnsi="Times New Roman" w:cs="Times New Roman"/>
          <w:lang w:val="ru-RU"/>
        </w:rPr>
        <w:t>)</w:t>
      </w:r>
    </w:p>
    <w:p w14:paraId="5C1E4748" w14:textId="7672BDC6" w:rsidR="00A52D36" w:rsidRPr="00A013E1" w:rsidRDefault="00A52D36">
      <w:pPr>
        <w:tabs>
          <w:tab w:val="left" w:leader="dot" w:pos="9072"/>
        </w:tabs>
        <w:spacing w:line="240" w:lineRule="atLeast"/>
        <w:jc w:val="both"/>
        <w:rPr>
          <w:rFonts w:ascii="Times New Roman" w:hAnsi="Times New Roman" w:cs="Times New Roman"/>
          <w:lang w:val="ru-RU"/>
        </w:rPr>
      </w:pPr>
    </w:p>
    <w:tbl>
      <w:tblPr>
        <w:tblW w:w="9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27"/>
        <w:gridCol w:w="1733"/>
        <w:gridCol w:w="745"/>
        <w:gridCol w:w="1248"/>
        <w:gridCol w:w="1136"/>
        <w:gridCol w:w="1134"/>
      </w:tblGrid>
      <w:tr w:rsidR="00271FA2" w:rsidRPr="00A013E1" w14:paraId="6DDAFDC2" w14:textId="77777777" w:rsidTr="00A52D36">
        <w:trPr>
          <w:trHeight w:val="300"/>
        </w:trPr>
        <w:tc>
          <w:tcPr>
            <w:tcW w:w="2014" w:type="dxa"/>
            <w:vMerge w:val="restart"/>
          </w:tcPr>
          <w:p w14:paraId="3703F2E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Местоположение</w:t>
            </w:r>
          </w:p>
        </w:tc>
        <w:tc>
          <w:tcPr>
            <w:tcW w:w="1527" w:type="dxa"/>
            <w:vMerge w:val="restart"/>
          </w:tcPr>
          <w:p w14:paraId="2D8A8679"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Вид на пробата</w:t>
            </w:r>
          </w:p>
        </w:tc>
        <w:tc>
          <w:tcPr>
            <w:tcW w:w="1733" w:type="dxa"/>
            <w:vMerge w:val="restart"/>
          </w:tcPr>
          <w:p w14:paraId="3655A1C8"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Брой на изпитванията, при които са спазени пределните стойности</w:t>
            </w:r>
          </w:p>
        </w:tc>
        <w:tc>
          <w:tcPr>
            <w:tcW w:w="745" w:type="dxa"/>
            <w:vMerge w:val="restart"/>
          </w:tcPr>
          <w:p w14:paraId="0E2C369F"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Мин.</w:t>
            </w:r>
          </w:p>
        </w:tc>
        <w:tc>
          <w:tcPr>
            <w:tcW w:w="2384" w:type="dxa"/>
            <w:gridSpan w:val="2"/>
          </w:tcPr>
          <w:p w14:paraId="513837BE"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Макс.</w:t>
            </w:r>
          </w:p>
        </w:tc>
        <w:tc>
          <w:tcPr>
            <w:tcW w:w="1134" w:type="dxa"/>
            <w:vMerge w:val="restart"/>
          </w:tcPr>
          <w:p w14:paraId="74BF66E3"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Средно</w:t>
            </w:r>
          </w:p>
        </w:tc>
      </w:tr>
      <w:tr w:rsidR="00271FA2" w:rsidRPr="00A013E1" w14:paraId="002768BC" w14:textId="77777777" w:rsidTr="004F1D54">
        <w:trPr>
          <w:trHeight w:val="300"/>
        </w:trPr>
        <w:tc>
          <w:tcPr>
            <w:tcW w:w="2014" w:type="dxa"/>
            <w:vMerge/>
          </w:tcPr>
          <w:p w14:paraId="0545FFE1" w14:textId="77777777" w:rsidR="00271FA2" w:rsidRPr="00A013E1" w:rsidRDefault="00271FA2">
            <w:pPr>
              <w:spacing w:line="240" w:lineRule="atLeast"/>
              <w:rPr>
                <w:rFonts w:ascii="Times New Roman" w:hAnsi="Times New Roman" w:cs="Times New Roman"/>
              </w:rPr>
            </w:pPr>
          </w:p>
        </w:tc>
        <w:tc>
          <w:tcPr>
            <w:tcW w:w="1527" w:type="dxa"/>
            <w:vMerge/>
          </w:tcPr>
          <w:p w14:paraId="69760CB7" w14:textId="77777777" w:rsidR="00271FA2" w:rsidRPr="00A013E1" w:rsidRDefault="00271FA2">
            <w:pPr>
              <w:spacing w:line="240" w:lineRule="atLeast"/>
              <w:rPr>
                <w:rFonts w:ascii="Times New Roman" w:hAnsi="Times New Roman" w:cs="Times New Roman"/>
              </w:rPr>
            </w:pPr>
          </w:p>
        </w:tc>
        <w:tc>
          <w:tcPr>
            <w:tcW w:w="1733" w:type="dxa"/>
            <w:vMerge/>
          </w:tcPr>
          <w:p w14:paraId="70D2A83C" w14:textId="77777777" w:rsidR="00271FA2" w:rsidRPr="00A013E1" w:rsidRDefault="00271FA2">
            <w:pPr>
              <w:spacing w:line="240" w:lineRule="atLeast"/>
              <w:rPr>
                <w:rFonts w:ascii="Times New Roman" w:hAnsi="Times New Roman" w:cs="Times New Roman"/>
              </w:rPr>
            </w:pPr>
          </w:p>
        </w:tc>
        <w:tc>
          <w:tcPr>
            <w:tcW w:w="745" w:type="dxa"/>
            <w:vMerge/>
          </w:tcPr>
          <w:p w14:paraId="5C8D0B3E" w14:textId="77777777" w:rsidR="00271FA2" w:rsidRPr="00A013E1" w:rsidRDefault="00271FA2">
            <w:pPr>
              <w:spacing w:line="240" w:lineRule="atLeast"/>
              <w:rPr>
                <w:rFonts w:ascii="Times New Roman" w:hAnsi="Times New Roman" w:cs="Times New Roman"/>
              </w:rPr>
            </w:pPr>
          </w:p>
        </w:tc>
        <w:tc>
          <w:tcPr>
            <w:tcW w:w="1248" w:type="dxa"/>
          </w:tcPr>
          <w:p w14:paraId="29F536B2"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Стойност</w:t>
            </w:r>
          </w:p>
        </w:tc>
        <w:tc>
          <w:tcPr>
            <w:tcW w:w="1136" w:type="dxa"/>
          </w:tcPr>
          <w:p w14:paraId="3F401717"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Фаза</w:t>
            </w:r>
          </w:p>
        </w:tc>
        <w:tc>
          <w:tcPr>
            <w:tcW w:w="1134" w:type="dxa"/>
            <w:vMerge/>
          </w:tcPr>
          <w:p w14:paraId="18C2B1B0" w14:textId="77777777" w:rsidR="00271FA2" w:rsidRPr="00A013E1" w:rsidRDefault="00271FA2">
            <w:pPr>
              <w:spacing w:line="240" w:lineRule="atLeast"/>
              <w:rPr>
                <w:rFonts w:ascii="Times New Roman" w:hAnsi="Times New Roman" w:cs="Times New Roman"/>
              </w:rPr>
            </w:pPr>
          </w:p>
        </w:tc>
      </w:tr>
      <w:tr w:rsidR="00271FA2" w:rsidRPr="00A013E1" w14:paraId="3CDC997B" w14:textId="77777777" w:rsidTr="004F1D54">
        <w:tc>
          <w:tcPr>
            <w:tcW w:w="2014" w:type="dxa"/>
            <w:vAlign w:val="center"/>
          </w:tcPr>
          <w:p w14:paraId="02E9A5D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Входящ поток</w:t>
            </w:r>
          </w:p>
        </w:tc>
        <w:tc>
          <w:tcPr>
            <w:tcW w:w="1527" w:type="dxa"/>
            <w:vAlign w:val="center"/>
          </w:tcPr>
          <w:p w14:paraId="588B6BF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733" w:type="dxa"/>
            <w:vAlign w:val="center"/>
          </w:tcPr>
          <w:p w14:paraId="77B9C28D"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745" w:type="dxa"/>
            <w:vAlign w:val="center"/>
          </w:tcPr>
          <w:p w14:paraId="2C69815A" w14:textId="77777777" w:rsidR="00271FA2" w:rsidRPr="00A013E1" w:rsidRDefault="00271FA2">
            <w:pPr>
              <w:spacing w:line="240" w:lineRule="atLeast"/>
              <w:rPr>
                <w:rFonts w:ascii="Times New Roman" w:hAnsi="Times New Roman" w:cs="Times New Roman"/>
              </w:rPr>
            </w:pPr>
          </w:p>
        </w:tc>
        <w:tc>
          <w:tcPr>
            <w:tcW w:w="1248" w:type="dxa"/>
            <w:vAlign w:val="center"/>
          </w:tcPr>
          <w:p w14:paraId="66942359" w14:textId="77777777" w:rsidR="00271FA2" w:rsidRPr="00A013E1" w:rsidRDefault="00271FA2">
            <w:pPr>
              <w:spacing w:line="240" w:lineRule="atLeast"/>
              <w:rPr>
                <w:rFonts w:ascii="Times New Roman" w:hAnsi="Times New Roman" w:cs="Times New Roman"/>
              </w:rPr>
            </w:pPr>
          </w:p>
        </w:tc>
        <w:tc>
          <w:tcPr>
            <w:tcW w:w="1136" w:type="dxa"/>
            <w:vAlign w:val="center"/>
          </w:tcPr>
          <w:p w14:paraId="5C1CFC60" w14:textId="77777777" w:rsidR="00271FA2" w:rsidRPr="00A013E1" w:rsidRDefault="00271FA2">
            <w:pPr>
              <w:spacing w:line="240" w:lineRule="atLeast"/>
              <w:rPr>
                <w:rFonts w:ascii="Times New Roman" w:hAnsi="Times New Roman" w:cs="Times New Roman"/>
              </w:rPr>
            </w:pPr>
          </w:p>
        </w:tc>
        <w:tc>
          <w:tcPr>
            <w:tcW w:w="1134" w:type="dxa"/>
            <w:vAlign w:val="center"/>
          </w:tcPr>
          <w:p w14:paraId="5F0AD00E" w14:textId="77777777" w:rsidR="00271FA2" w:rsidRPr="00A013E1" w:rsidRDefault="00271FA2">
            <w:pPr>
              <w:spacing w:line="240" w:lineRule="atLeast"/>
              <w:rPr>
                <w:rFonts w:ascii="Times New Roman" w:hAnsi="Times New Roman" w:cs="Times New Roman"/>
              </w:rPr>
            </w:pPr>
          </w:p>
        </w:tc>
      </w:tr>
      <w:tr w:rsidR="00271FA2" w:rsidRPr="00A013E1" w14:paraId="309CCA70" w14:textId="77777777" w:rsidTr="004F1D54">
        <w:tc>
          <w:tcPr>
            <w:tcW w:w="2014" w:type="dxa"/>
          </w:tcPr>
          <w:p w14:paraId="75F8C8D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Изходящ поток</w:t>
            </w:r>
          </w:p>
        </w:tc>
        <w:tc>
          <w:tcPr>
            <w:tcW w:w="1527" w:type="dxa"/>
            <w:vAlign w:val="center"/>
          </w:tcPr>
          <w:p w14:paraId="643DD30B"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733" w:type="dxa"/>
            <w:vAlign w:val="center"/>
          </w:tcPr>
          <w:p w14:paraId="32D63F6A" w14:textId="77777777" w:rsidR="00271FA2" w:rsidRPr="00A013E1" w:rsidRDefault="00271FA2">
            <w:pPr>
              <w:spacing w:line="240" w:lineRule="atLeast"/>
              <w:rPr>
                <w:rFonts w:ascii="Times New Roman" w:hAnsi="Times New Roman" w:cs="Times New Roman"/>
              </w:rPr>
            </w:pPr>
          </w:p>
        </w:tc>
        <w:tc>
          <w:tcPr>
            <w:tcW w:w="745" w:type="dxa"/>
            <w:vAlign w:val="center"/>
          </w:tcPr>
          <w:p w14:paraId="604B86FE" w14:textId="77777777" w:rsidR="00271FA2" w:rsidRPr="00A013E1" w:rsidRDefault="00271FA2">
            <w:pPr>
              <w:spacing w:line="240" w:lineRule="atLeast"/>
              <w:rPr>
                <w:rFonts w:ascii="Times New Roman" w:hAnsi="Times New Roman" w:cs="Times New Roman"/>
              </w:rPr>
            </w:pPr>
          </w:p>
        </w:tc>
        <w:tc>
          <w:tcPr>
            <w:tcW w:w="1248" w:type="dxa"/>
            <w:vAlign w:val="center"/>
          </w:tcPr>
          <w:p w14:paraId="4C86B509" w14:textId="77777777" w:rsidR="00271FA2" w:rsidRPr="00A013E1" w:rsidRDefault="00271FA2">
            <w:pPr>
              <w:spacing w:line="240" w:lineRule="atLeast"/>
              <w:rPr>
                <w:rFonts w:ascii="Times New Roman" w:hAnsi="Times New Roman" w:cs="Times New Roman"/>
              </w:rPr>
            </w:pPr>
          </w:p>
        </w:tc>
        <w:tc>
          <w:tcPr>
            <w:tcW w:w="1136" w:type="dxa"/>
            <w:vAlign w:val="center"/>
          </w:tcPr>
          <w:p w14:paraId="66DBF049" w14:textId="77777777" w:rsidR="00271FA2" w:rsidRPr="00A013E1" w:rsidRDefault="00271FA2">
            <w:pPr>
              <w:spacing w:line="240" w:lineRule="atLeast"/>
              <w:rPr>
                <w:rFonts w:ascii="Times New Roman" w:hAnsi="Times New Roman" w:cs="Times New Roman"/>
              </w:rPr>
            </w:pPr>
          </w:p>
        </w:tc>
        <w:tc>
          <w:tcPr>
            <w:tcW w:w="1134" w:type="dxa"/>
          </w:tcPr>
          <w:p w14:paraId="1E9E0E71" w14:textId="77777777" w:rsidR="00271FA2" w:rsidRPr="00A013E1" w:rsidRDefault="00271FA2">
            <w:pPr>
              <w:spacing w:line="240" w:lineRule="atLeast"/>
              <w:rPr>
                <w:rFonts w:ascii="Times New Roman" w:hAnsi="Times New Roman" w:cs="Times New Roman"/>
              </w:rPr>
            </w:pPr>
          </w:p>
        </w:tc>
      </w:tr>
      <w:tr w:rsidR="00271FA2" w:rsidRPr="00A013E1" w14:paraId="01971A61" w14:textId="77777777" w:rsidTr="004F1D54">
        <w:tc>
          <w:tcPr>
            <w:tcW w:w="2014" w:type="dxa"/>
            <w:vAlign w:val="center"/>
          </w:tcPr>
          <w:p w14:paraId="0A0EE5C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Входящ поток</w:t>
            </w:r>
          </w:p>
        </w:tc>
        <w:tc>
          <w:tcPr>
            <w:tcW w:w="1527" w:type="dxa"/>
            <w:vAlign w:val="center"/>
          </w:tcPr>
          <w:p w14:paraId="7892F5BC"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733" w:type="dxa"/>
            <w:vAlign w:val="center"/>
          </w:tcPr>
          <w:p w14:paraId="38EA2EB3"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745" w:type="dxa"/>
            <w:vAlign w:val="center"/>
          </w:tcPr>
          <w:p w14:paraId="0B0E572E" w14:textId="77777777" w:rsidR="00271FA2" w:rsidRPr="00A013E1" w:rsidRDefault="00271FA2">
            <w:pPr>
              <w:spacing w:line="240" w:lineRule="atLeast"/>
              <w:rPr>
                <w:rFonts w:ascii="Times New Roman" w:hAnsi="Times New Roman" w:cs="Times New Roman"/>
              </w:rPr>
            </w:pPr>
          </w:p>
        </w:tc>
        <w:tc>
          <w:tcPr>
            <w:tcW w:w="1248" w:type="dxa"/>
            <w:vAlign w:val="center"/>
          </w:tcPr>
          <w:p w14:paraId="4033447F" w14:textId="77777777" w:rsidR="00271FA2" w:rsidRPr="00A013E1" w:rsidRDefault="00271FA2">
            <w:pPr>
              <w:spacing w:line="240" w:lineRule="atLeast"/>
              <w:rPr>
                <w:rFonts w:ascii="Times New Roman" w:hAnsi="Times New Roman" w:cs="Times New Roman"/>
              </w:rPr>
            </w:pPr>
          </w:p>
        </w:tc>
        <w:tc>
          <w:tcPr>
            <w:tcW w:w="1136" w:type="dxa"/>
            <w:vAlign w:val="center"/>
          </w:tcPr>
          <w:p w14:paraId="09D78C3D" w14:textId="77777777" w:rsidR="00271FA2" w:rsidRPr="00A013E1" w:rsidRDefault="00271FA2">
            <w:pPr>
              <w:spacing w:line="240" w:lineRule="atLeast"/>
              <w:rPr>
                <w:rFonts w:ascii="Times New Roman" w:hAnsi="Times New Roman" w:cs="Times New Roman"/>
              </w:rPr>
            </w:pPr>
          </w:p>
        </w:tc>
        <w:tc>
          <w:tcPr>
            <w:tcW w:w="1134" w:type="dxa"/>
            <w:vAlign w:val="center"/>
          </w:tcPr>
          <w:p w14:paraId="2D2BBA4E" w14:textId="77777777" w:rsidR="00271FA2" w:rsidRPr="00A013E1" w:rsidRDefault="00271FA2">
            <w:pPr>
              <w:spacing w:line="240" w:lineRule="atLeast"/>
              <w:rPr>
                <w:rFonts w:ascii="Times New Roman" w:hAnsi="Times New Roman" w:cs="Times New Roman"/>
              </w:rPr>
            </w:pPr>
          </w:p>
        </w:tc>
      </w:tr>
      <w:tr w:rsidR="00271FA2" w:rsidRPr="00A013E1" w14:paraId="0052E9EA" w14:textId="77777777" w:rsidTr="004F1D54">
        <w:tc>
          <w:tcPr>
            <w:tcW w:w="2014" w:type="dxa"/>
          </w:tcPr>
          <w:p w14:paraId="1CDBBF2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Изходящ поток</w:t>
            </w:r>
          </w:p>
        </w:tc>
        <w:tc>
          <w:tcPr>
            <w:tcW w:w="1527" w:type="dxa"/>
            <w:vAlign w:val="center"/>
          </w:tcPr>
          <w:p w14:paraId="353FF7D5"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733" w:type="dxa"/>
            <w:vAlign w:val="center"/>
          </w:tcPr>
          <w:p w14:paraId="7213771D" w14:textId="77777777" w:rsidR="00271FA2" w:rsidRPr="00A013E1" w:rsidRDefault="00271FA2">
            <w:pPr>
              <w:spacing w:line="240" w:lineRule="atLeast"/>
              <w:rPr>
                <w:rFonts w:ascii="Times New Roman" w:hAnsi="Times New Roman" w:cs="Times New Roman"/>
              </w:rPr>
            </w:pPr>
          </w:p>
        </w:tc>
        <w:tc>
          <w:tcPr>
            <w:tcW w:w="745" w:type="dxa"/>
            <w:vAlign w:val="center"/>
          </w:tcPr>
          <w:p w14:paraId="6FCD75BA" w14:textId="77777777" w:rsidR="00271FA2" w:rsidRPr="00A013E1" w:rsidRDefault="00271FA2">
            <w:pPr>
              <w:spacing w:line="240" w:lineRule="atLeast"/>
              <w:rPr>
                <w:rFonts w:ascii="Times New Roman" w:hAnsi="Times New Roman" w:cs="Times New Roman"/>
              </w:rPr>
            </w:pPr>
          </w:p>
        </w:tc>
        <w:tc>
          <w:tcPr>
            <w:tcW w:w="1248" w:type="dxa"/>
            <w:vAlign w:val="center"/>
          </w:tcPr>
          <w:p w14:paraId="382A4F3D" w14:textId="77777777" w:rsidR="00271FA2" w:rsidRPr="00A013E1" w:rsidRDefault="00271FA2">
            <w:pPr>
              <w:spacing w:line="240" w:lineRule="atLeast"/>
              <w:rPr>
                <w:rFonts w:ascii="Times New Roman" w:hAnsi="Times New Roman" w:cs="Times New Roman"/>
              </w:rPr>
            </w:pPr>
          </w:p>
        </w:tc>
        <w:tc>
          <w:tcPr>
            <w:tcW w:w="1136" w:type="dxa"/>
            <w:vAlign w:val="center"/>
          </w:tcPr>
          <w:p w14:paraId="4A2EBBF0" w14:textId="77777777" w:rsidR="00271FA2" w:rsidRPr="00A013E1" w:rsidRDefault="00271FA2">
            <w:pPr>
              <w:spacing w:line="240" w:lineRule="atLeast"/>
              <w:rPr>
                <w:rFonts w:ascii="Times New Roman" w:hAnsi="Times New Roman" w:cs="Times New Roman"/>
              </w:rPr>
            </w:pPr>
          </w:p>
        </w:tc>
        <w:tc>
          <w:tcPr>
            <w:tcW w:w="1134" w:type="dxa"/>
          </w:tcPr>
          <w:p w14:paraId="7DECCBC9" w14:textId="77777777" w:rsidR="00271FA2" w:rsidRPr="00A013E1" w:rsidRDefault="00271FA2">
            <w:pPr>
              <w:spacing w:line="240" w:lineRule="atLeast"/>
              <w:rPr>
                <w:rFonts w:ascii="Times New Roman" w:hAnsi="Times New Roman" w:cs="Times New Roman"/>
              </w:rPr>
            </w:pPr>
          </w:p>
        </w:tc>
      </w:tr>
    </w:tbl>
    <w:p w14:paraId="61678371" w14:textId="77777777" w:rsidR="00271FA2" w:rsidRPr="00A013E1" w:rsidRDefault="00D35E51">
      <w:pPr>
        <w:spacing w:line="240" w:lineRule="atLeast"/>
        <w:rPr>
          <w:rFonts w:ascii="Times New Roman" w:hAnsi="Times New Roman" w:cs="Times New Roman"/>
          <w:color w:val="000000"/>
        </w:rPr>
      </w:pPr>
      <w:r w:rsidRPr="00A013E1">
        <w:rPr>
          <w:rFonts w:ascii="Times New Roman" w:hAnsi="Times New Roman" w:cs="Times New Roman"/>
          <w:color w:val="000000"/>
        </w:rPr>
        <w:br w:type="page"/>
      </w:r>
    </w:p>
    <w:p w14:paraId="5B2A729C" w14:textId="0F38E007" w:rsidR="00271FA2" w:rsidRPr="00A013E1" w:rsidRDefault="00271FA2">
      <w:pPr>
        <w:spacing w:line="240" w:lineRule="atLeast"/>
        <w:rPr>
          <w:rFonts w:ascii="Times New Roman" w:hAnsi="Times New Roman" w:cs="Times New Roman"/>
          <w:color w:val="000000"/>
        </w:rPr>
      </w:pPr>
    </w:p>
    <w:p w14:paraId="2808C7D1" w14:textId="77777777" w:rsidR="00700DBC" w:rsidRPr="00A013E1" w:rsidRDefault="00700DBC" w:rsidP="00700DBC">
      <w:pPr>
        <w:spacing w:line="240" w:lineRule="atLeast"/>
        <w:rPr>
          <w:rFonts w:ascii="Times New Roman" w:hAnsi="Times New Roman" w:cs="Times New Roman"/>
          <w:color w:val="000000"/>
          <w:lang w:val="ru-RU"/>
        </w:rPr>
      </w:pPr>
      <w:r w:rsidRPr="00A013E1">
        <w:rPr>
          <w:rFonts w:ascii="Times New Roman" w:hAnsi="Times New Roman" w:cs="Times New Roman"/>
          <w:color w:val="000000"/>
          <w:lang w:val="ru-RU"/>
        </w:rPr>
        <w:t xml:space="preserve">Оценка на стойностите за </w:t>
      </w:r>
      <w:r w:rsidRPr="00A013E1">
        <w:rPr>
          <w:rFonts w:ascii="Times New Roman" w:hAnsi="Times New Roman" w:cs="Times New Roman"/>
          <w:b/>
          <w:color w:val="000000"/>
        </w:rPr>
        <w:t>COD</w:t>
      </w:r>
      <w:r w:rsidRPr="00A013E1">
        <w:rPr>
          <w:rFonts w:ascii="Times New Roman" w:hAnsi="Times New Roman" w:cs="Times New Roman"/>
          <w:b/>
          <w:color w:val="000000"/>
          <w:lang w:val="ru-RU"/>
        </w:rPr>
        <w:t xml:space="preserve"> </w:t>
      </w:r>
      <w:r w:rsidRPr="00A013E1">
        <w:rPr>
          <w:rFonts w:ascii="Times New Roman" w:hAnsi="Times New Roman" w:cs="Times New Roman"/>
          <w:color w:val="000000"/>
          <w:lang w:val="ru-RU"/>
        </w:rPr>
        <w:t>за изходящия поток (</w:t>
      </w:r>
      <w:r w:rsidRPr="00A013E1">
        <w:rPr>
          <w:rFonts w:ascii="Times New Roman" w:hAnsi="Times New Roman" w:cs="Times New Roman"/>
          <w:color w:val="000000"/>
        </w:rPr>
        <w:t>mg</w:t>
      </w:r>
      <w:r w:rsidRPr="00A013E1">
        <w:rPr>
          <w:rFonts w:ascii="Times New Roman" w:hAnsi="Times New Roman" w:cs="Times New Roman"/>
          <w:color w:val="000000"/>
          <w:lang w:val="ru-RU"/>
        </w:rPr>
        <w:t>/</w:t>
      </w:r>
      <w:r w:rsidRPr="00A013E1">
        <w:rPr>
          <w:rFonts w:ascii="Times New Roman" w:hAnsi="Times New Roman" w:cs="Times New Roman"/>
          <w:color w:val="000000"/>
        </w:rPr>
        <w:t>l</w:t>
      </w:r>
      <w:r w:rsidRPr="00A013E1">
        <w:rPr>
          <w:rFonts w:ascii="Times New Roman" w:hAnsi="Times New Roman" w:cs="Times New Roman"/>
          <w:color w:val="000000"/>
          <w:lang w:val="ru-RU"/>
        </w:rPr>
        <w:t>)</w:t>
      </w:r>
    </w:p>
    <w:p w14:paraId="13F72950" w14:textId="77777777" w:rsidR="00700DBC" w:rsidRPr="00A013E1" w:rsidRDefault="00700DBC">
      <w:pPr>
        <w:spacing w:line="240" w:lineRule="atLeast"/>
        <w:rPr>
          <w:rFonts w:ascii="Times New Roman" w:hAnsi="Times New Roman" w:cs="Times New Roman"/>
          <w:color w:val="000000"/>
          <w:lang w:val="ru-RU"/>
        </w:rPr>
      </w:pPr>
    </w:p>
    <w:tbl>
      <w:tblPr>
        <w:tblW w:w="9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701"/>
        <w:gridCol w:w="745"/>
        <w:gridCol w:w="1239"/>
        <w:gridCol w:w="1135"/>
        <w:gridCol w:w="1134"/>
      </w:tblGrid>
      <w:tr w:rsidR="00271FA2" w:rsidRPr="00A013E1" w14:paraId="43C68836" w14:textId="77777777" w:rsidTr="00A52D36">
        <w:tc>
          <w:tcPr>
            <w:tcW w:w="2014" w:type="dxa"/>
            <w:vMerge w:val="restart"/>
          </w:tcPr>
          <w:p w14:paraId="067BC329"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Местоположение</w:t>
            </w:r>
          </w:p>
        </w:tc>
        <w:tc>
          <w:tcPr>
            <w:tcW w:w="1559" w:type="dxa"/>
            <w:vMerge w:val="restart"/>
          </w:tcPr>
          <w:p w14:paraId="54FAB25E"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Вид на пробата</w:t>
            </w:r>
          </w:p>
        </w:tc>
        <w:tc>
          <w:tcPr>
            <w:tcW w:w="1701" w:type="dxa"/>
            <w:vMerge w:val="restart"/>
          </w:tcPr>
          <w:p w14:paraId="30999C03"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Брой на изпитванията, при които са спазени пределните стойности</w:t>
            </w:r>
          </w:p>
        </w:tc>
        <w:tc>
          <w:tcPr>
            <w:tcW w:w="745" w:type="dxa"/>
            <w:vMerge w:val="restart"/>
          </w:tcPr>
          <w:p w14:paraId="1002ED18" w14:textId="77777777" w:rsidR="00271FA2" w:rsidRPr="00A013E1" w:rsidRDefault="00D35E51" w:rsidP="004F1D54">
            <w:pPr>
              <w:spacing w:line="240" w:lineRule="atLeast"/>
              <w:ind w:right="-66"/>
              <w:jc w:val="center"/>
              <w:rPr>
                <w:rFonts w:ascii="Times New Roman" w:hAnsi="Times New Roman" w:cs="Times New Roman"/>
              </w:rPr>
            </w:pPr>
            <w:r w:rsidRPr="00A013E1">
              <w:rPr>
                <w:rFonts w:ascii="Times New Roman" w:hAnsi="Times New Roman" w:cs="Times New Roman"/>
              </w:rPr>
              <w:t>Мин.</w:t>
            </w:r>
          </w:p>
        </w:tc>
        <w:tc>
          <w:tcPr>
            <w:tcW w:w="2374" w:type="dxa"/>
            <w:gridSpan w:val="2"/>
          </w:tcPr>
          <w:p w14:paraId="5B4E6891"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Макс.</w:t>
            </w:r>
          </w:p>
        </w:tc>
        <w:tc>
          <w:tcPr>
            <w:tcW w:w="1134" w:type="dxa"/>
            <w:vMerge w:val="restart"/>
          </w:tcPr>
          <w:p w14:paraId="6A0E5B04"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Средно</w:t>
            </w:r>
          </w:p>
        </w:tc>
      </w:tr>
      <w:tr w:rsidR="00271FA2" w:rsidRPr="00A013E1" w14:paraId="718FE79E" w14:textId="77777777" w:rsidTr="00A52D36">
        <w:tc>
          <w:tcPr>
            <w:tcW w:w="2014" w:type="dxa"/>
            <w:vMerge/>
          </w:tcPr>
          <w:p w14:paraId="32645EB4" w14:textId="77777777" w:rsidR="00271FA2" w:rsidRPr="00A013E1" w:rsidRDefault="00271FA2">
            <w:pPr>
              <w:spacing w:line="240" w:lineRule="atLeast"/>
              <w:rPr>
                <w:rFonts w:ascii="Times New Roman" w:hAnsi="Times New Roman" w:cs="Times New Roman"/>
              </w:rPr>
            </w:pPr>
          </w:p>
        </w:tc>
        <w:tc>
          <w:tcPr>
            <w:tcW w:w="1559" w:type="dxa"/>
            <w:vMerge/>
          </w:tcPr>
          <w:p w14:paraId="4F91E61F" w14:textId="77777777" w:rsidR="00271FA2" w:rsidRPr="00A013E1" w:rsidRDefault="00271FA2">
            <w:pPr>
              <w:spacing w:line="240" w:lineRule="atLeast"/>
              <w:rPr>
                <w:rFonts w:ascii="Times New Roman" w:hAnsi="Times New Roman" w:cs="Times New Roman"/>
              </w:rPr>
            </w:pPr>
          </w:p>
        </w:tc>
        <w:tc>
          <w:tcPr>
            <w:tcW w:w="1701" w:type="dxa"/>
            <w:vMerge/>
          </w:tcPr>
          <w:p w14:paraId="2B361F16" w14:textId="77777777" w:rsidR="00271FA2" w:rsidRPr="00A013E1" w:rsidRDefault="00271FA2">
            <w:pPr>
              <w:spacing w:line="240" w:lineRule="atLeast"/>
              <w:rPr>
                <w:rFonts w:ascii="Times New Roman" w:hAnsi="Times New Roman" w:cs="Times New Roman"/>
              </w:rPr>
            </w:pPr>
          </w:p>
        </w:tc>
        <w:tc>
          <w:tcPr>
            <w:tcW w:w="745" w:type="dxa"/>
            <w:vMerge/>
          </w:tcPr>
          <w:p w14:paraId="56535114" w14:textId="77777777" w:rsidR="00271FA2" w:rsidRPr="00A013E1" w:rsidRDefault="00271FA2">
            <w:pPr>
              <w:spacing w:line="240" w:lineRule="atLeast"/>
              <w:rPr>
                <w:rFonts w:ascii="Times New Roman" w:hAnsi="Times New Roman" w:cs="Times New Roman"/>
              </w:rPr>
            </w:pPr>
          </w:p>
        </w:tc>
        <w:tc>
          <w:tcPr>
            <w:tcW w:w="1239" w:type="dxa"/>
          </w:tcPr>
          <w:p w14:paraId="555A4E0C"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Стойност</w:t>
            </w:r>
          </w:p>
        </w:tc>
        <w:tc>
          <w:tcPr>
            <w:tcW w:w="1135" w:type="dxa"/>
          </w:tcPr>
          <w:p w14:paraId="0470FDC7"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Фаза</w:t>
            </w:r>
          </w:p>
        </w:tc>
        <w:tc>
          <w:tcPr>
            <w:tcW w:w="1134" w:type="dxa"/>
            <w:vMerge/>
          </w:tcPr>
          <w:p w14:paraId="7DC45F7B" w14:textId="77777777" w:rsidR="00271FA2" w:rsidRPr="00A013E1" w:rsidRDefault="00271FA2">
            <w:pPr>
              <w:spacing w:line="240" w:lineRule="atLeast"/>
              <w:rPr>
                <w:rFonts w:ascii="Times New Roman" w:hAnsi="Times New Roman" w:cs="Times New Roman"/>
              </w:rPr>
            </w:pPr>
          </w:p>
        </w:tc>
      </w:tr>
      <w:tr w:rsidR="00271FA2" w:rsidRPr="00A013E1" w14:paraId="6A118C08" w14:textId="77777777" w:rsidTr="00A52D36">
        <w:tc>
          <w:tcPr>
            <w:tcW w:w="2014" w:type="dxa"/>
            <w:vAlign w:val="center"/>
          </w:tcPr>
          <w:p w14:paraId="38B59501"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Входящ поток</w:t>
            </w:r>
          </w:p>
        </w:tc>
        <w:tc>
          <w:tcPr>
            <w:tcW w:w="1559" w:type="dxa"/>
            <w:vAlign w:val="center"/>
          </w:tcPr>
          <w:p w14:paraId="292223E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701" w:type="dxa"/>
            <w:vAlign w:val="center"/>
          </w:tcPr>
          <w:p w14:paraId="1DC814E9"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745" w:type="dxa"/>
            <w:vAlign w:val="center"/>
          </w:tcPr>
          <w:p w14:paraId="1FD6E6C5" w14:textId="77777777" w:rsidR="00271FA2" w:rsidRPr="00A013E1" w:rsidRDefault="00271FA2">
            <w:pPr>
              <w:spacing w:line="240" w:lineRule="atLeast"/>
              <w:rPr>
                <w:rFonts w:ascii="Times New Roman" w:hAnsi="Times New Roman" w:cs="Times New Roman"/>
              </w:rPr>
            </w:pPr>
          </w:p>
        </w:tc>
        <w:tc>
          <w:tcPr>
            <w:tcW w:w="1239" w:type="dxa"/>
            <w:vAlign w:val="center"/>
          </w:tcPr>
          <w:p w14:paraId="125FC8EB" w14:textId="77777777" w:rsidR="00271FA2" w:rsidRPr="00A013E1" w:rsidRDefault="00271FA2">
            <w:pPr>
              <w:spacing w:line="240" w:lineRule="atLeast"/>
              <w:rPr>
                <w:rFonts w:ascii="Times New Roman" w:hAnsi="Times New Roman" w:cs="Times New Roman"/>
              </w:rPr>
            </w:pPr>
          </w:p>
        </w:tc>
        <w:tc>
          <w:tcPr>
            <w:tcW w:w="1135" w:type="dxa"/>
            <w:vAlign w:val="center"/>
          </w:tcPr>
          <w:p w14:paraId="7FAB9F6E" w14:textId="77777777" w:rsidR="00271FA2" w:rsidRPr="00A013E1" w:rsidRDefault="00271FA2">
            <w:pPr>
              <w:spacing w:line="240" w:lineRule="atLeast"/>
              <w:rPr>
                <w:rFonts w:ascii="Times New Roman" w:hAnsi="Times New Roman" w:cs="Times New Roman"/>
              </w:rPr>
            </w:pPr>
          </w:p>
        </w:tc>
        <w:tc>
          <w:tcPr>
            <w:tcW w:w="1134" w:type="dxa"/>
            <w:vAlign w:val="center"/>
          </w:tcPr>
          <w:p w14:paraId="76104AC6" w14:textId="77777777" w:rsidR="00271FA2" w:rsidRPr="00A013E1" w:rsidRDefault="00271FA2">
            <w:pPr>
              <w:spacing w:line="240" w:lineRule="atLeast"/>
              <w:rPr>
                <w:rFonts w:ascii="Times New Roman" w:hAnsi="Times New Roman" w:cs="Times New Roman"/>
              </w:rPr>
            </w:pPr>
          </w:p>
        </w:tc>
      </w:tr>
      <w:tr w:rsidR="00271FA2" w:rsidRPr="00A013E1" w14:paraId="1BBA6265" w14:textId="77777777" w:rsidTr="00A52D36">
        <w:tc>
          <w:tcPr>
            <w:tcW w:w="2014" w:type="dxa"/>
          </w:tcPr>
          <w:p w14:paraId="3E3603B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Изходящ поток</w:t>
            </w:r>
          </w:p>
        </w:tc>
        <w:tc>
          <w:tcPr>
            <w:tcW w:w="1559" w:type="dxa"/>
            <w:vAlign w:val="center"/>
          </w:tcPr>
          <w:p w14:paraId="39398A81"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701" w:type="dxa"/>
            <w:vAlign w:val="center"/>
          </w:tcPr>
          <w:p w14:paraId="6F83367A" w14:textId="77777777" w:rsidR="00271FA2" w:rsidRPr="00A013E1" w:rsidRDefault="00271FA2">
            <w:pPr>
              <w:spacing w:line="240" w:lineRule="atLeast"/>
              <w:rPr>
                <w:rFonts w:ascii="Times New Roman" w:hAnsi="Times New Roman" w:cs="Times New Roman"/>
              </w:rPr>
            </w:pPr>
          </w:p>
        </w:tc>
        <w:tc>
          <w:tcPr>
            <w:tcW w:w="745" w:type="dxa"/>
            <w:vAlign w:val="center"/>
          </w:tcPr>
          <w:p w14:paraId="17CDC854" w14:textId="77777777" w:rsidR="00271FA2" w:rsidRPr="00A013E1" w:rsidRDefault="00271FA2">
            <w:pPr>
              <w:spacing w:line="240" w:lineRule="atLeast"/>
              <w:rPr>
                <w:rFonts w:ascii="Times New Roman" w:hAnsi="Times New Roman" w:cs="Times New Roman"/>
              </w:rPr>
            </w:pPr>
          </w:p>
        </w:tc>
        <w:tc>
          <w:tcPr>
            <w:tcW w:w="1239" w:type="dxa"/>
            <w:vAlign w:val="center"/>
          </w:tcPr>
          <w:p w14:paraId="4C8B0878" w14:textId="77777777" w:rsidR="00271FA2" w:rsidRPr="00A013E1" w:rsidRDefault="00271FA2">
            <w:pPr>
              <w:spacing w:line="240" w:lineRule="atLeast"/>
              <w:rPr>
                <w:rFonts w:ascii="Times New Roman" w:hAnsi="Times New Roman" w:cs="Times New Roman"/>
              </w:rPr>
            </w:pPr>
          </w:p>
        </w:tc>
        <w:tc>
          <w:tcPr>
            <w:tcW w:w="1135" w:type="dxa"/>
            <w:vAlign w:val="center"/>
          </w:tcPr>
          <w:p w14:paraId="0CD0C827" w14:textId="77777777" w:rsidR="00271FA2" w:rsidRPr="00A013E1" w:rsidRDefault="00271FA2">
            <w:pPr>
              <w:spacing w:line="240" w:lineRule="atLeast"/>
              <w:rPr>
                <w:rFonts w:ascii="Times New Roman" w:hAnsi="Times New Roman" w:cs="Times New Roman"/>
              </w:rPr>
            </w:pPr>
          </w:p>
        </w:tc>
        <w:tc>
          <w:tcPr>
            <w:tcW w:w="1134" w:type="dxa"/>
            <w:vAlign w:val="center"/>
          </w:tcPr>
          <w:p w14:paraId="409B2A81" w14:textId="77777777" w:rsidR="00271FA2" w:rsidRPr="00A013E1" w:rsidRDefault="00271FA2">
            <w:pPr>
              <w:spacing w:line="240" w:lineRule="atLeast"/>
              <w:rPr>
                <w:rFonts w:ascii="Times New Roman" w:hAnsi="Times New Roman" w:cs="Times New Roman"/>
              </w:rPr>
            </w:pPr>
          </w:p>
        </w:tc>
      </w:tr>
      <w:tr w:rsidR="00271FA2" w:rsidRPr="00A013E1" w14:paraId="7AA8123D" w14:textId="77777777" w:rsidTr="00A52D36">
        <w:tc>
          <w:tcPr>
            <w:tcW w:w="2014" w:type="dxa"/>
            <w:vAlign w:val="center"/>
          </w:tcPr>
          <w:p w14:paraId="585D73C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Входящ поток</w:t>
            </w:r>
          </w:p>
        </w:tc>
        <w:tc>
          <w:tcPr>
            <w:tcW w:w="1559" w:type="dxa"/>
            <w:vAlign w:val="center"/>
          </w:tcPr>
          <w:p w14:paraId="142EED1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701" w:type="dxa"/>
            <w:vAlign w:val="center"/>
          </w:tcPr>
          <w:p w14:paraId="674A3863"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745" w:type="dxa"/>
            <w:vAlign w:val="center"/>
          </w:tcPr>
          <w:p w14:paraId="25620E2D" w14:textId="77777777" w:rsidR="00271FA2" w:rsidRPr="00A013E1" w:rsidRDefault="00271FA2">
            <w:pPr>
              <w:spacing w:line="240" w:lineRule="atLeast"/>
              <w:rPr>
                <w:rFonts w:ascii="Times New Roman" w:hAnsi="Times New Roman" w:cs="Times New Roman"/>
              </w:rPr>
            </w:pPr>
          </w:p>
        </w:tc>
        <w:tc>
          <w:tcPr>
            <w:tcW w:w="1239" w:type="dxa"/>
            <w:vAlign w:val="center"/>
          </w:tcPr>
          <w:p w14:paraId="3DC69084" w14:textId="77777777" w:rsidR="00271FA2" w:rsidRPr="00A013E1" w:rsidRDefault="00271FA2">
            <w:pPr>
              <w:spacing w:line="240" w:lineRule="atLeast"/>
              <w:rPr>
                <w:rFonts w:ascii="Times New Roman" w:hAnsi="Times New Roman" w:cs="Times New Roman"/>
              </w:rPr>
            </w:pPr>
          </w:p>
        </w:tc>
        <w:tc>
          <w:tcPr>
            <w:tcW w:w="1135" w:type="dxa"/>
            <w:vAlign w:val="center"/>
          </w:tcPr>
          <w:p w14:paraId="05A2EC54" w14:textId="77777777" w:rsidR="00271FA2" w:rsidRPr="00A013E1" w:rsidRDefault="00271FA2">
            <w:pPr>
              <w:spacing w:line="240" w:lineRule="atLeast"/>
              <w:rPr>
                <w:rFonts w:ascii="Times New Roman" w:hAnsi="Times New Roman" w:cs="Times New Roman"/>
              </w:rPr>
            </w:pPr>
          </w:p>
        </w:tc>
        <w:tc>
          <w:tcPr>
            <w:tcW w:w="1134" w:type="dxa"/>
            <w:vAlign w:val="center"/>
          </w:tcPr>
          <w:p w14:paraId="5650F3DC" w14:textId="77777777" w:rsidR="00271FA2" w:rsidRPr="00A013E1" w:rsidRDefault="00271FA2">
            <w:pPr>
              <w:spacing w:line="240" w:lineRule="atLeast"/>
              <w:rPr>
                <w:rFonts w:ascii="Times New Roman" w:hAnsi="Times New Roman" w:cs="Times New Roman"/>
              </w:rPr>
            </w:pPr>
          </w:p>
        </w:tc>
      </w:tr>
      <w:tr w:rsidR="00271FA2" w:rsidRPr="00A013E1" w14:paraId="5640D702" w14:textId="77777777" w:rsidTr="00A52D36">
        <w:tc>
          <w:tcPr>
            <w:tcW w:w="2014" w:type="dxa"/>
          </w:tcPr>
          <w:p w14:paraId="1CD0ADC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Изходящ поток</w:t>
            </w:r>
          </w:p>
        </w:tc>
        <w:tc>
          <w:tcPr>
            <w:tcW w:w="1559" w:type="dxa"/>
            <w:vAlign w:val="center"/>
          </w:tcPr>
          <w:p w14:paraId="0CA6F892"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701" w:type="dxa"/>
            <w:vAlign w:val="center"/>
          </w:tcPr>
          <w:p w14:paraId="7C9AADA3" w14:textId="77777777" w:rsidR="00271FA2" w:rsidRPr="00A013E1" w:rsidRDefault="00271FA2">
            <w:pPr>
              <w:spacing w:line="240" w:lineRule="atLeast"/>
              <w:rPr>
                <w:rFonts w:ascii="Times New Roman" w:hAnsi="Times New Roman" w:cs="Times New Roman"/>
              </w:rPr>
            </w:pPr>
          </w:p>
        </w:tc>
        <w:tc>
          <w:tcPr>
            <w:tcW w:w="745" w:type="dxa"/>
            <w:vAlign w:val="center"/>
          </w:tcPr>
          <w:p w14:paraId="550433AF" w14:textId="77777777" w:rsidR="00271FA2" w:rsidRPr="00A013E1" w:rsidRDefault="00271FA2">
            <w:pPr>
              <w:spacing w:line="240" w:lineRule="atLeast"/>
              <w:rPr>
                <w:rFonts w:ascii="Times New Roman" w:hAnsi="Times New Roman" w:cs="Times New Roman"/>
              </w:rPr>
            </w:pPr>
          </w:p>
        </w:tc>
        <w:tc>
          <w:tcPr>
            <w:tcW w:w="1239" w:type="dxa"/>
            <w:vAlign w:val="center"/>
          </w:tcPr>
          <w:p w14:paraId="1D3FA8F4" w14:textId="77777777" w:rsidR="00271FA2" w:rsidRPr="00A013E1" w:rsidRDefault="00271FA2">
            <w:pPr>
              <w:spacing w:line="240" w:lineRule="atLeast"/>
              <w:rPr>
                <w:rFonts w:ascii="Times New Roman" w:hAnsi="Times New Roman" w:cs="Times New Roman"/>
              </w:rPr>
            </w:pPr>
          </w:p>
        </w:tc>
        <w:tc>
          <w:tcPr>
            <w:tcW w:w="1135" w:type="dxa"/>
            <w:vAlign w:val="center"/>
          </w:tcPr>
          <w:p w14:paraId="2E414D18" w14:textId="77777777" w:rsidR="00271FA2" w:rsidRPr="00A013E1" w:rsidRDefault="00271FA2">
            <w:pPr>
              <w:spacing w:line="240" w:lineRule="atLeast"/>
              <w:rPr>
                <w:rFonts w:ascii="Times New Roman" w:hAnsi="Times New Roman" w:cs="Times New Roman"/>
              </w:rPr>
            </w:pPr>
          </w:p>
        </w:tc>
        <w:tc>
          <w:tcPr>
            <w:tcW w:w="1134" w:type="dxa"/>
            <w:vAlign w:val="center"/>
          </w:tcPr>
          <w:p w14:paraId="1A374AE4" w14:textId="77777777" w:rsidR="00271FA2" w:rsidRPr="00A013E1" w:rsidRDefault="00271FA2">
            <w:pPr>
              <w:spacing w:line="240" w:lineRule="atLeast"/>
              <w:rPr>
                <w:rFonts w:ascii="Times New Roman" w:hAnsi="Times New Roman" w:cs="Times New Roman"/>
              </w:rPr>
            </w:pPr>
          </w:p>
        </w:tc>
      </w:tr>
    </w:tbl>
    <w:p w14:paraId="10853AD3" w14:textId="77777777" w:rsidR="00271FA2" w:rsidRPr="00A013E1" w:rsidRDefault="00D35E51" w:rsidP="004F1D54">
      <w:pPr>
        <w:spacing w:before="240" w:after="240" w:line="240" w:lineRule="atLeast"/>
        <w:ind w:left="142"/>
        <w:rPr>
          <w:rFonts w:ascii="Times New Roman" w:hAnsi="Times New Roman" w:cs="Times New Roman"/>
          <w:color w:val="000000"/>
          <w:lang w:val="ru-RU"/>
        </w:rPr>
      </w:pPr>
      <w:r w:rsidRPr="00A013E1">
        <w:rPr>
          <w:rFonts w:ascii="Times New Roman" w:hAnsi="Times New Roman" w:cs="Times New Roman"/>
          <w:color w:val="000000"/>
          <w:lang w:val="ru-RU"/>
        </w:rPr>
        <w:t xml:space="preserve">Оценка на стойностите за </w:t>
      </w:r>
      <w:r w:rsidRPr="00A013E1">
        <w:rPr>
          <w:rFonts w:ascii="Times New Roman" w:hAnsi="Times New Roman" w:cs="Times New Roman"/>
          <w:b/>
          <w:color w:val="000000"/>
        </w:rPr>
        <w:t>TOC</w:t>
      </w:r>
      <w:r w:rsidRPr="00A013E1">
        <w:rPr>
          <w:rFonts w:ascii="Times New Roman" w:hAnsi="Times New Roman" w:cs="Times New Roman"/>
          <w:color w:val="000000"/>
          <w:lang w:val="ru-RU"/>
        </w:rPr>
        <w:t xml:space="preserve"> за изходящия поток (</w:t>
      </w:r>
      <w:r w:rsidRPr="00A013E1">
        <w:rPr>
          <w:rFonts w:ascii="Times New Roman" w:hAnsi="Times New Roman" w:cs="Times New Roman"/>
          <w:color w:val="000000"/>
        </w:rPr>
        <w:t>mg</w:t>
      </w:r>
      <w:r w:rsidRPr="00A013E1">
        <w:rPr>
          <w:rFonts w:ascii="Times New Roman" w:hAnsi="Times New Roman" w:cs="Times New Roman"/>
          <w:color w:val="000000"/>
          <w:lang w:val="ru-RU"/>
        </w:rPr>
        <w:t>/</w:t>
      </w:r>
      <w:r w:rsidRPr="00A013E1">
        <w:rPr>
          <w:rFonts w:ascii="Times New Roman" w:hAnsi="Times New Roman" w:cs="Times New Roman"/>
          <w:color w:val="000000"/>
        </w:rPr>
        <w:t>l</w:t>
      </w:r>
      <w:r w:rsidRPr="00A013E1">
        <w:rPr>
          <w:rFonts w:ascii="Times New Roman" w:hAnsi="Times New Roman" w:cs="Times New Roman"/>
          <w:color w:val="000000"/>
          <w:lang w:val="ru-RU"/>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701"/>
        <w:gridCol w:w="745"/>
        <w:gridCol w:w="1239"/>
        <w:gridCol w:w="1134"/>
        <w:gridCol w:w="1134"/>
      </w:tblGrid>
      <w:tr w:rsidR="00271FA2" w:rsidRPr="00A013E1" w14:paraId="6060CC0E" w14:textId="77777777" w:rsidTr="004F1D54">
        <w:tc>
          <w:tcPr>
            <w:tcW w:w="2014" w:type="dxa"/>
            <w:vMerge w:val="restart"/>
          </w:tcPr>
          <w:p w14:paraId="622E74FC"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Местоположение</w:t>
            </w:r>
          </w:p>
        </w:tc>
        <w:tc>
          <w:tcPr>
            <w:tcW w:w="1559" w:type="dxa"/>
            <w:vMerge w:val="restart"/>
          </w:tcPr>
          <w:p w14:paraId="2B4ADA90"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Вид на пробата</w:t>
            </w:r>
          </w:p>
        </w:tc>
        <w:tc>
          <w:tcPr>
            <w:tcW w:w="1701" w:type="dxa"/>
            <w:vMerge w:val="restart"/>
          </w:tcPr>
          <w:p w14:paraId="71AF992E"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Брой на изпитванията, при които са спазени пределните стойности</w:t>
            </w:r>
          </w:p>
        </w:tc>
        <w:tc>
          <w:tcPr>
            <w:tcW w:w="745" w:type="dxa"/>
            <w:vMerge w:val="restart"/>
          </w:tcPr>
          <w:p w14:paraId="789475DD"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Мин.</w:t>
            </w:r>
          </w:p>
        </w:tc>
        <w:tc>
          <w:tcPr>
            <w:tcW w:w="2373" w:type="dxa"/>
            <w:gridSpan w:val="2"/>
          </w:tcPr>
          <w:p w14:paraId="727A9EBC"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Макс.</w:t>
            </w:r>
          </w:p>
        </w:tc>
        <w:tc>
          <w:tcPr>
            <w:tcW w:w="1134" w:type="dxa"/>
          </w:tcPr>
          <w:p w14:paraId="65289173"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Средно</w:t>
            </w:r>
          </w:p>
        </w:tc>
      </w:tr>
      <w:tr w:rsidR="00271FA2" w:rsidRPr="00A013E1" w14:paraId="34AC057A" w14:textId="77777777" w:rsidTr="004F1D54">
        <w:tc>
          <w:tcPr>
            <w:tcW w:w="2014" w:type="dxa"/>
            <w:vMerge/>
          </w:tcPr>
          <w:p w14:paraId="7C8128C6" w14:textId="77777777" w:rsidR="00271FA2" w:rsidRPr="00A013E1" w:rsidRDefault="00271FA2">
            <w:pPr>
              <w:spacing w:line="240" w:lineRule="atLeast"/>
              <w:rPr>
                <w:rFonts w:ascii="Times New Roman" w:hAnsi="Times New Roman" w:cs="Times New Roman"/>
              </w:rPr>
            </w:pPr>
          </w:p>
        </w:tc>
        <w:tc>
          <w:tcPr>
            <w:tcW w:w="1559" w:type="dxa"/>
            <w:vMerge/>
          </w:tcPr>
          <w:p w14:paraId="02061F28" w14:textId="77777777" w:rsidR="00271FA2" w:rsidRPr="00A013E1" w:rsidRDefault="00271FA2">
            <w:pPr>
              <w:spacing w:line="240" w:lineRule="atLeast"/>
              <w:rPr>
                <w:rFonts w:ascii="Times New Roman" w:hAnsi="Times New Roman" w:cs="Times New Roman"/>
              </w:rPr>
            </w:pPr>
          </w:p>
        </w:tc>
        <w:tc>
          <w:tcPr>
            <w:tcW w:w="1701" w:type="dxa"/>
            <w:vMerge/>
          </w:tcPr>
          <w:p w14:paraId="3FE5F24F" w14:textId="77777777" w:rsidR="00271FA2" w:rsidRPr="00A013E1" w:rsidRDefault="00271FA2">
            <w:pPr>
              <w:spacing w:line="240" w:lineRule="atLeast"/>
              <w:rPr>
                <w:rFonts w:ascii="Times New Roman" w:hAnsi="Times New Roman" w:cs="Times New Roman"/>
              </w:rPr>
            </w:pPr>
          </w:p>
        </w:tc>
        <w:tc>
          <w:tcPr>
            <w:tcW w:w="745" w:type="dxa"/>
            <w:vMerge/>
          </w:tcPr>
          <w:p w14:paraId="738DA40E" w14:textId="77777777" w:rsidR="00271FA2" w:rsidRPr="00A013E1" w:rsidRDefault="00271FA2">
            <w:pPr>
              <w:spacing w:line="240" w:lineRule="atLeast"/>
              <w:rPr>
                <w:rFonts w:ascii="Times New Roman" w:hAnsi="Times New Roman" w:cs="Times New Roman"/>
              </w:rPr>
            </w:pPr>
          </w:p>
        </w:tc>
        <w:tc>
          <w:tcPr>
            <w:tcW w:w="1239" w:type="dxa"/>
          </w:tcPr>
          <w:p w14:paraId="1BDB9863"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Стойност</w:t>
            </w:r>
          </w:p>
        </w:tc>
        <w:tc>
          <w:tcPr>
            <w:tcW w:w="1134" w:type="dxa"/>
          </w:tcPr>
          <w:p w14:paraId="5271C5A3"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Фаза</w:t>
            </w:r>
          </w:p>
        </w:tc>
        <w:tc>
          <w:tcPr>
            <w:tcW w:w="1134" w:type="dxa"/>
          </w:tcPr>
          <w:p w14:paraId="71B7D67A" w14:textId="77777777" w:rsidR="00271FA2" w:rsidRPr="00A013E1" w:rsidRDefault="00271FA2">
            <w:pPr>
              <w:spacing w:line="240" w:lineRule="atLeast"/>
              <w:rPr>
                <w:rFonts w:ascii="Times New Roman" w:hAnsi="Times New Roman" w:cs="Times New Roman"/>
              </w:rPr>
            </w:pPr>
          </w:p>
        </w:tc>
      </w:tr>
      <w:tr w:rsidR="00271FA2" w:rsidRPr="00A013E1" w14:paraId="284D0A74" w14:textId="77777777" w:rsidTr="004F1D54">
        <w:tc>
          <w:tcPr>
            <w:tcW w:w="2014" w:type="dxa"/>
            <w:vAlign w:val="center"/>
          </w:tcPr>
          <w:p w14:paraId="465AD63D"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Входящ поток</w:t>
            </w:r>
          </w:p>
        </w:tc>
        <w:tc>
          <w:tcPr>
            <w:tcW w:w="1559" w:type="dxa"/>
            <w:vAlign w:val="center"/>
          </w:tcPr>
          <w:p w14:paraId="25D9AF7D"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701" w:type="dxa"/>
            <w:vAlign w:val="center"/>
          </w:tcPr>
          <w:p w14:paraId="2B2E1345"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745" w:type="dxa"/>
            <w:vAlign w:val="center"/>
          </w:tcPr>
          <w:p w14:paraId="21A61523" w14:textId="77777777" w:rsidR="00271FA2" w:rsidRPr="00A013E1" w:rsidRDefault="00271FA2">
            <w:pPr>
              <w:spacing w:line="240" w:lineRule="atLeast"/>
              <w:rPr>
                <w:rFonts w:ascii="Times New Roman" w:hAnsi="Times New Roman" w:cs="Times New Roman"/>
              </w:rPr>
            </w:pPr>
          </w:p>
        </w:tc>
        <w:tc>
          <w:tcPr>
            <w:tcW w:w="1239" w:type="dxa"/>
            <w:vAlign w:val="center"/>
          </w:tcPr>
          <w:p w14:paraId="7B8595BC" w14:textId="77777777" w:rsidR="00271FA2" w:rsidRPr="00A013E1" w:rsidRDefault="00271FA2">
            <w:pPr>
              <w:spacing w:line="240" w:lineRule="atLeast"/>
              <w:rPr>
                <w:rFonts w:ascii="Times New Roman" w:hAnsi="Times New Roman" w:cs="Times New Roman"/>
              </w:rPr>
            </w:pPr>
          </w:p>
        </w:tc>
        <w:tc>
          <w:tcPr>
            <w:tcW w:w="1134" w:type="dxa"/>
            <w:vAlign w:val="center"/>
          </w:tcPr>
          <w:p w14:paraId="4ECE4C13" w14:textId="77777777" w:rsidR="00271FA2" w:rsidRPr="00A013E1" w:rsidRDefault="00271FA2">
            <w:pPr>
              <w:spacing w:line="240" w:lineRule="atLeast"/>
              <w:rPr>
                <w:rFonts w:ascii="Times New Roman" w:hAnsi="Times New Roman" w:cs="Times New Roman"/>
              </w:rPr>
            </w:pPr>
          </w:p>
        </w:tc>
        <w:tc>
          <w:tcPr>
            <w:tcW w:w="1134" w:type="dxa"/>
            <w:vAlign w:val="center"/>
          </w:tcPr>
          <w:p w14:paraId="5B495BA1" w14:textId="77777777" w:rsidR="00271FA2" w:rsidRPr="00A013E1" w:rsidRDefault="00271FA2">
            <w:pPr>
              <w:spacing w:line="240" w:lineRule="atLeast"/>
              <w:rPr>
                <w:rFonts w:ascii="Times New Roman" w:hAnsi="Times New Roman" w:cs="Times New Roman"/>
              </w:rPr>
            </w:pPr>
          </w:p>
        </w:tc>
      </w:tr>
      <w:tr w:rsidR="00271FA2" w:rsidRPr="00A013E1" w14:paraId="1E01F939" w14:textId="77777777" w:rsidTr="004F1D54">
        <w:tc>
          <w:tcPr>
            <w:tcW w:w="2014" w:type="dxa"/>
          </w:tcPr>
          <w:p w14:paraId="2E96CB4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Изходящ поток</w:t>
            </w:r>
          </w:p>
        </w:tc>
        <w:tc>
          <w:tcPr>
            <w:tcW w:w="1559" w:type="dxa"/>
            <w:vAlign w:val="center"/>
          </w:tcPr>
          <w:p w14:paraId="6A00182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701" w:type="dxa"/>
            <w:vAlign w:val="center"/>
          </w:tcPr>
          <w:p w14:paraId="20ACBD49" w14:textId="77777777" w:rsidR="00271FA2" w:rsidRPr="00A013E1" w:rsidRDefault="00271FA2">
            <w:pPr>
              <w:spacing w:line="240" w:lineRule="atLeast"/>
              <w:rPr>
                <w:rFonts w:ascii="Times New Roman" w:hAnsi="Times New Roman" w:cs="Times New Roman"/>
              </w:rPr>
            </w:pPr>
          </w:p>
        </w:tc>
        <w:tc>
          <w:tcPr>
            <w:tcW w:w="745" w:type="dxa"/>
            <w:vAlign w:val="center"/>
          </w:tcPr>
          <w:p w14:paraId="1DE656D0" w14:textId="77777777" w:rsidR="00271FA2" w:rsidRPr="00A013E1" w:rsidRDefault="00271FA2">
            <w:pPr>
              <w:spacing w:line="240" w:lineRule="atLeast"/>
              <w:rPr>
                <w:rFonts w:ascii="Times New Roman" w:hAnsi="Times New Roman" w:cs="Times New Roman"/>
              </w:rPr>
            </w:pPr>
          </w:p>
        </w:tc>
        <w:tc>
          <w:tcPr>
            <w:tcW w:w="1239" w:type="dxa"/>
            <w:vAlign w:val="center"/>
          </w:tcPr>
          <w:p w14:paraId="289D335E" w14:textId="77777777" w:rsidR="00271FA2" w:rsidRPr="00A013E1" w:rsidRDefault="00271FA2">
            <w:pPr>
              <w:spacing w:line="240" w:lineRule="atLeast"/>
              <w:rPr>
                <w:rFonts w:ascii="Times New Roman" w:hAnsi="Times New Roman" w:cs="Times New Roman"/>
              </w:rPr>
            </w:pPr>
          </w:p>
        </w:tc>
        <w:tc>
          <w:tcPr>
            <w:tcW w:w="1134" w:type="dxa"/>
            <w:vAlign w:val="center"/>
          </w:tcPr>
          <w:p w14:paraId="31C873C4" w14:textId="77777777" w:rsidR="00271FA2" w:rsidRPr="00A013E1" w:rsidRDefault="00271FA2">
            <w:pPr>
              <w:spacing w:line="240" w:lineRule="atLeast"/>
              <w:rPr>
                <w:rFonts w:ascii="Times New Roman" w:hAnsi="Times New Roman" w:cs="Times New Roman"/>
              </w:rPr>
            </w:pPr>
          </w:p>
        </w:tc>
        <w:tc>
          <w:tcPr>
            <w:tcW w:w="1134" w:type="dxa"/>
            <w:vAlign w:val="center"/>
          </w:tcPr>
          <w:p w14:paraId="720DFF24" w14:textId="77777777" w:rsidR="00271FA2" w:rsidRPr="00A013E1" w:rsidRDefault="00271FA2">
            <w:pPr>
              <w:spacing w:line="240" w:lineRule="atLeast"/>
              <w:rPr>
                <w:rFonts w:ascii="Times New Roman" w:hAnsi="Times New Roman" w:cs="Times New Roman"/>
              </w:rPr>
            </w:pPr>
          </w:p>
        </w:tc>
      </w:tr>
      <w:tr w:rsidR="00271FA2" w:rsidRPr="00A013E1" w14:paraId="1285A631" w14:textId="77777777" w:rsidTr="004F1D54">
        <w:tc>
          <w:tcPr>
            <w:tcW w:w="2014" w:type="dxa"/>
            <w:vAlign w:val="center"/>
          </w:tcPr>
          <w:p w14:paraId="4CC2BDF9"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Входящ поток</w:t>
            </w:r>
          </w:p>
        </w:tc>
        <w:tc>
          <w:tcPr>
            <w:tcW w:w="1559" w:type="dxa"/>
            <w:vAlign w:val="center"/>
          </w:tcPr>
          <w:p w14:paraId="65FED11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701" w:type="dxa"/>
            <w:vAlign w:val="center"/>
          </w:tcPr>
          <w:p w14:paraId="7BA98007"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745" w:type="dxa"/>
            <w:vAlign w:val="center"/>
          </w:tcPr>
          <w:p w14:paraId="30A190B8" w14:textId="77777777" w:rsidR="00271FA2" w:rsidRPr="00A013E1" w:rsidRDefault="00271FA2">
            <w:pPr>
              <w:spacing w:line="240" w:lineRule="atLeast"/>
              <w:rPr>
                <w:rFonts w:ascii="Times New Roman" w:hAnsi="Times New Roman" w:cs="Times New Roman"/>
              </w:rPr>
            </w:pPr>
          </w:p>
        </w:tc>
        <w:tc>
          <w:tcPr>
            <w:tcW w:w="1239" w:type="dxa"/>
            <w:vAlign w:val="center"/>
          </w:tcPr>
          <w:p w14:paraId="4139A634" w14:textId="77777777" w:rsidR="00271FA2" w:rsidRPr="00A013E1" w:rsidRDefault="00271FA2">
            <w:pPr>
              <w:spacing w:line="240" w:lineRule="atLeast"/>
              <w:rPr>
                <w:rFonts w:ascii="Times New Roman" w:hAnsi="Times New Roman" w:cs="Times New Roman"/>
              </w:rPr>
            </w:pPr>
          </w:p>
        </w:tc>
        <w:tc>
          <w:tcPr>
            <w:tcW w:w="1134" w:type="dxa"/>
            <w:vAlign w:val="center"/>
          </w:tcPr>
          <w:p w14:paraId="5BA9FE0B" w14:textId="77777777" w:rsidR="00271FA2" w:rsidRPr="00A013E1" w:rsidRDefault="00271FA2">
            <w:pPr>
              <w:spacing w:line="240" w:lineRule="atLeast"/>
              <w:rPr>
                <w:rFonts w:ascii="Times New Roman" w:hAnsi="Times New Roman" w:cs="Times New Roman"/>
              </w:rPr>
            </w:pPr>
          </w:p>
        </w:tc>
        <w:tc>
          <w:tcPr>
            <w:tcW w:w="1134" w:type="dxa"/>
            <w:vAlign w:val="center"/>
          </w:tcPr>
          <w:p w14:paraId="2383CE14" w14:textId="77777777" w:rsidR="00271FA2" w:rsidRPr="00A013E1" w:rsidRDefault="00271FA2">
            <w:pPr>
              <w:spacing w:line="240" w:lineRule="atLeast"/>
              <w:rPr>
                <w:rFonts w:ascii="Times New Roman" w:hAnsi="Times New Roman" w:cs="Times New Roman"/>
              </w:rPr>
            </w:pPr>
          </w:p>
        </w:tc>
      </w:tr>
      <w:tr w:rsidR="00271FA2" w:rsidRPr="00A013E1" w14:paraId="38B1B1D5" w14:textId="77777777" w:rsidTr="004F1D54">
        <w:tc>
          <w:tcPr>
            <w:tcW w:w="2014" w:type="dxa"/>
          </w:tcPr>
          <w:p w14:paraId="2C455FD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Изходящ поток</w:t>
            </w:r>
          </w:p>
        </w:tc>
        <w:tc>
          <w:tcPr>
            <w:tcW w:w="1559" w:type="dxa"/>
            <w:vAlign w:val="center"/>
          </w:tcPr>
          <w:p w14:paraId="7C7BBF15"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701" w:type="dxa"/>
            <w:vAlign w:val="center"/>
          </w:tcPr>
          <w:p w14:paraId="325E7700" w14:textId="77777777" w:rsidR="00271FA2" w:rsidRPr="00A013E1" w:rsidRDefault="00271FA2">
            <w:pPr>
              <w:spacing w:line="240" w:lineRule="atLeast"/>
              <w:rPr>
                <w:rFonts w:ascii="Times New Roman" w:hAnsi="Times New Roman" w:cs="Times New Roman"/>
              </w:rPr>
            </w:pPr>
          </w:p>
        </w:tc>
        <w:tc>
          <w:tcPr>
            <w:tcW w:w="745" w:type="dxa"/>
            <w:vAlign w:val="center"/>
          </w:tcPr>
          <w:p w14:paraId="6D0803E7" w14:textId="77777777" w:rsidR="00271FA2" w:rsidRPr="00A013E1" w:rsidRDefault="00271FA2">
            <w:pPr>
              <w:spacing w:line="240" w:lineRule="atLeast"/>
              <w:rPr>
                <w:rFonts w:ascii="Times New Roman" w:hAnsi="Times New Roman" w:cs="Times New Roman"/>
              </w:rPr>
            </w:pPr>
          </w:p>
        </w:tc>
        <w:tc>
          <w:tcPr>
            <w:tcW w:w="1239" w:type="dxa"/>
            <w:vAlign w:val="center"/>
          </w:tcPr>
          <w:p w14:paraId="678AAB01" w14:textId="77777777" w:rsidR="00271FA2" w:rsidRPr="00A013E1" w:rsidRDefault="00271FA2">
            <w:pPr>
              <w:spacing w:line="240" w:lineRule="atLeast"/>
              <w:rPr>
                <w:rFonts w:ascii="Times New Roman" w:hAnsi="Times New Roman" w:cs="Times New Roman"/>
              </w:rPr>
            </w:pPr>
          </w:p>
        </w:tc>
        <w:tc>
          <w:tcPr>
            <w:tcW w:w="1134" w:type="dxa"/>
            <w:vAlign w:val="center"/>
          </w:tcPr>
          <w:p w14:paraId="4DCF2964" w14:textId="77777777" w:rsidR="00271FA2" w:rsidRPr="00A013E1" w:rsidRDefault="00271FA2">
            <w:pPr>
              <w:spacing w:line="240" w:lineRule="atLeast"/>
              <w:rPr>
                <w:rFonts w:ascii="Times New Roman" w:hAnsi="Times New Roman" w:cs="Times New Roman"/>
              </w:rPr>
            </w:pPr>
          </w:p>
        </w:tc>
        <w:tc>
          <w:tcPr>
            <w:tcW w:w="1134" w:type="dxa"/>
            <w:vAlign w:val="center"/>
          </w:tcPr>
          <w:p w14:paraId="1F73CDFA" w14:textId="77777777" w:rsidR="00271FA2" w:rsidRPr="00A013E1" w:rsidRDefault="00271FA2">
            <w:pPr>
              <w:spacing w:line="240" w:lineRule="atLeast"/>
              <w:rPr>
                <w:rFonts w:ascii="Times New Roman" w:hAnsi="Times New Roman" w:cs="Times New Roman"/>
              </w:rPr>
            </w:pPr>
          </w:p>
        </w:tc>
      </w:tr>
    </w:tbl>
    <w:p w14:paraId="61ED1E55" w14:textId="77777777" w:rsidR="00271FA2" w:rsidRPr="00A013E1" w:rsidRDefault="00D35E51">
      <w:pPr>
        <w:spacing w:line="240" w:lineRule="atLeast"/>
        <w:rPr>
          <w:rFonts w:ascii="Times New Roman" w:hAnsi="Times New Roman" w:cs="Times New Roman"/>
          <w:color w:val="000000"/>
        </w:rPr>
      </w:pPr>
      <w:r w:rsidRPr="00A013E1">
        <w:rPr>
          <w:rFonts w:ascii="Times New Roman" w:hAnsi="Times New Roman" w:cs="Times New Roman"/>
          <w:color w:val="000000"/>
        </w:rPr>
        <w:br w:type="page"/>
      </w:r>
    </w:p>
    <w:p w14:paraId="60B1936B" w14:textId="2874F80C" w:rsidR="00271FA2" w:rsidRPr="00A013E1" w:rsidRDefault="00271FA2">
      <w:pPr>
        <w:spacing w:line="240" w:lineRule="atLeast"/>
        <w:rPr>
          <w:rFonts w:ascii="Times New Roman" w:hAnsi="Times New Roman" w:cs="Times New Roman"/>
          <w:color w:val="000000"/>
        </w:rPr>
      </w:pPr>
    </w:p>
    <w:p w14:paraId="782F7CA5" w14:textId="77777777" w:rsidR="00700DBC" w:rsidRPr="00A013E1" w:rsidRDefault="00700DBC" w:rsidP="00700DBC">
      <w:pPr>
        <w:spacing w:line="240" w:lineRule="atLeast"/>
        <w:rPr>
          <w:rFonts w:ascii="Times New Roman" w:hAnsi="Times New Roman" w:cs="Times New Roman"/>
          <w:color w:val="000000"/>
          <w:lang w:val="ru-RU"/>
        </w:rPr>
      </w:pPr>
      <w:r w:rsidRPr="00A013E1">
        <w:rPr>
          <w:rFonts w:ascii="Times New Roman" w:hAnsi="Times New Roman" w:cs="Times New Roman"/>
          <w:color w:val="000000"/>
          <w:lang w:val="ru-RU"/>
        </w:rPr>
        <w:t xml:space="preserve">Оценка на стойностите за </w:t>
      </w:r>
      <w:r w:rsidRPr="00A013E1">
        <w:rPr>
          <w:rFonts w:ascii="Times New Roman" w:hAnsi="Times New Roman" w:cs="Times New Roman"/>
          <w:b/>
          <w:color w:val="000000"/>
        </w:rPr>
        <w:t>SRF</w:t>
      </w:r>
      <w:r w:rsidRPr="00A013E1">
        <w:rPr>
          <w:rFonts w:ascii="Times New Roman" w:hAnsi="Times New Roman" w:cs="Times New Roman"/>
          <w:color w:val="000000"/>
          <w:lang w:val="ru-RU"/>
        </w:rPr>
        <w:t xml:space="preserve"> за изходящия поток (</w:t>
      </w:r>
      <w:r w:rsidRPr="00A013E1">
        <w:rPr>
          <w:rFonts w:ascii="Times New Roman" w:hAnsi="Times New Roman" w:cs="Times New Roman"/>
          <w:color w:val="000000"/>
        </w:rPr>
        <w:t>mg</w:t>
      </w:r>
      <w:r w:rsidRPr="00A013E1">
        <w:rPr>
          <w:rFonts w:ascii="Times New Roman" w:hAnsi="Times New Roman" w:cs="Times New Roman"/>
          <w:color w:val="000000"/>
          <w:lang w:val="ru-RU"/>
        </w:rPr>
        <w:t>/</w:t>
      </w:r>
      <w:r w:rsidRPr="00A013E1">
        <w:rPr>
          <w:rFonts w:ascii="Times New Roman" w:hAnsi="Times New Roman" w:cs="Times New Roman"/>
          <w:color w:val="000000"/>
        </w:rPr>
        <w:t>l</w:t>
      </w:r>
      <w:r w:rsidRPr="00A013E1">
        <w:rPr>
          <w:rFonts w:ascii="Times New Roman" w:hAnsi="Times New Roman" w:cs="Times New Roman"/>
          <w:color w:val="000000"/>
          <w:lang w:val="ru-RU"/>
        </w:rPr>
        <w:t>)</w:t>
      </w:r>
    </w:p>
    <w:p w14:paraId="2A5CA087" w14:textId="77777777" w:rsidR="00700DBC" w:rsidRPr="00A013E1" w:rsidRDefault="00700DBC">
      <w:pPr>
        <w:spacing w:line="240" w:lineRule="atLeast"/>
        <w:rPr>
          <w:rFonts w:ascii="Times New Roman" w:hAnsi="Times New Roman" w:cs="Times New Roman"/>
          <w:color w:val="000000"/>
          <w:lang w:val="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701"/>
        <w:gridCol w:w="795"/>
        <w:gridCol w:w="1189"/>
        <w:gridCol w:w="1134"/>
        <w:gridCol w:w="14"/>
        <w:gridCol w:w="1120"/>
        <w:gridCol w:w="14"/>
      </w:tblGrid>
      <w:tr w:rsidR="00271FA2" w:rsidRPr="00A013E1" w14:paraId="3CD62C67" w14:textId="77777777" w:rsidTr="004F1D54">
        <w:tc>
          <w:tcPr>
            <w:tcW w:w="2014" w:type="dxa"/>
            <w:vMerge w:val="restart"/>
          </w:tcPr>
          <w:p w14:paraId="17716955"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Местоположение</w:t>
            </w:r>
          </w:p>
        </w:tc>
        <w:tc>
          <w:tcPr>
            <w:tcW w:w="1559" w:type="dxa"/>
            <w:vMerge w:val="restart"/>
          </w:tcPr>
          <w:p w14:paraId="74E2A636"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Вид на пробата</w:t>
            </w:r>
          </w:p>
        </w:tc>
        <w:tc>
          <w:tcPr>
            <w:tcW w:w="1701" w:type="dxa"/>
            <w:vMerge w:val="restart"/>
          </w:tcPr>
          <w:p w14:paraId="360F58A2"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Брой на изпитванията, при които са спазени пределните стойности</w:t>
            </w:r>
          </w:p>
        </w:tc>
        <w:tc>
          <w:tcPr>
            <w:tcW w:w="795" w:type="dxa"/>
            <w:vMerge w:val="restart"/>
          </w:tcPr>
          <w:p w14:paraId="05C811CD"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Мин.</w:t>
            </w:r>
          </w:p>
        </w:tc>
        <w:tc>
          <w:tcPr>
            <w:tcW w:w="2337" w:type="dxa"/>
            <w:gridSpan w:val="3"/>
          </w:tcPr>
          <w:p w14:paraId="675F9BDE"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Макс.</w:t>
            </w:r>
          </w:p>
        </w:tc>
        <w:tc>
          <w:tcPr>
            <w:tcW w:w="1134" w:type="dxa"/>
            <w:gridSpan w:val="2"/>
          </w:tcPr>
          <w:p w14:paraId="59EB8EE7"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Средно</w:t>
            </w:r>
          </w:p>
        </w:tc>
      </w:tr>
      <w:tr w:rsidR="00271FA2" w:rsidRPr="00A013E1" w14:paraId="1687650A" w14:textId="77777777" w:rsidTr="004F1D54">
        <w:trPr>
          <w:gridAfter w:val="1"/>
          <w:wAfter w:w="14" w:type="dxa"/>
        </w:trPr>
        <w:tc>
          <w:tcPr>
            <w:tcW w:w="2014" w:type="dxa"/>
            <w:vMerge/>
          </w:tcPr>
          <w:p w14:paraId="7F724840" w14:textId="77777777" w:rsidR="00271FA2" w:rsidRPr="00A013E1" w:rsidRDefault="00271FA2">
            <w:pPr>
              <w:spacing w:line="240" w:lineRule="atLeast"/>
              <w:rPr>
                <w:rFonts w:ascii="Times New Roman" w:hAnsi="Times New Roman" w:cs="Times New Roman"/>
              </w:rPr>
            </w:pPr>
          </w:p>
        </w:tc>
        <w:tc>
          <w:tcPr>
            <w:tcW w:w="1559" w:type="dxa"/>
            <w:vMerge/>
          </w:tcPr>
          <w:p w14:paraId="5E4AC179" w14:textId="77777777" w:rsidR="00271FA2" w:rsidRPr="00A013E1" w:rsidRDefault="00271FA2">
            <w:pPr>
              <w:spacing w:line="240" w:lineRule="atLeast"/>
              <w:rPr>
                <w:rFonts w:ascii="Times New Roman" w:hAnsi="Times New Roman" w:cs="Times New Roman"/>
              </w:rPr>
            </w:pPr>
          </w:p>
        </w:tc>
        <w:tc>
          <w:tcPr>
            <w:tcW w:w="1701" w:type="dxa"/>
            <w:vMerge/>
          </w:tcPr>
          <w:p w14:paraId="74ED3378" w14:textId="77777777" w:rsidR="00271FA2" w:rsidRPr="00A013E1" w:rsidRDefault="00271FA2">
            <w:pPr>
              <w:spacing w:line="240" w:lineRule="atLeast"/>
              <w:rPr>
                <w:rFonts w:ascii="Times New Roman" w:hAnsi="Times New Roman" w:cs="Times New Roman"/>
              </w:rPr>
            </w:pPr>
          </w:p>
        </w:tc>
        <w:tc>
          <w:tcPr>
            <w:tcW w:w="795" w:type="dxa"/>
            <w:vMerge/>
          </w:tcPr>
          <w:p w14:paraId="4ADC6DBE" w14:textId="77777777" w:rsidR="00271FA2" w:rsidRPr="00A013E1" w:rsidRDefault="00271FA2">
            <w:pPr>
              <w:spacing w:line="240" w:lineRule="atLeast"/>
              <w:rPr>
                <w:rFonts w:ascii="Times New Roman" w:hAnsi="Times New Roman" w:cs="Times New Roman"/>
              </w:rPr>
            </w:pPr>
          </w:p>
        </w:tc>
        <w:tc>
          <w:tcPr>
            <w:tcW w:w="1189" w:type="dxa"/>
          </w:tcPr>
          <w:p w14:paraId="056AE247"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Стойност</w:t>
            </w:r>
          </w:p>
        </w:tc>
        <w:tc>
          <w:tcPr>
            <w:tcW w:w="1134" w:type="dxa"/>
          </w:tcPr>
          <w:p w14:paraId="70775F82"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Фаза</w:t>
            </w:r>
          </w:p>
        </w:tc>
        <w:tc>
          <w:tcPr>
            <w:tcW w:w="1134" w:type="dxa"/>
            <w:gridSpan w:val="2"/>
          </w:tcPr>
          <w:p w14:paraId="2E97F464" w14:textId="77777777" w:rsidR="00271FA2" w:rsidRPr="00A013E1" w:rsidRDefault="00271FA2">
            <w:pPr>
              <w:spacing w:line="240" w:lineRule="atLeast"/>
              <w:rPr>
                <w:rFonts w:ascii="Times New Roman" w:hAnsi="Times New Roman" w:cs="Times New Roman"/>
              </w:rPr>
            </w:pPr>
          </w:p>
        </w:tc>
      </w:tr>
      <w:tr w:rsidR="00271FA2" w:rsidRPr="00A013E1" w14:paraId="3FF0BE7B" w14:textId="77777777" w:rsidTr="004F1D54">
        <w:trPr>
          <w:gridAfter w:val="1"/>
          <w:wAfter w:w="14" w:type="dxa"/>
        </w:trPr>
        <w:tc>
          <w:tcPr>
            <w:tcW w:w="2014" w:type="dxa"/>
            <w:vAlign w:val="center"/>
          </w:tcPr>
          <w:p w14:paraId="633BF9C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Входящ поток</w:t>
            </w:r>
          </w:p>
        </w:tc>
        <w:tc>
          <w:tcPr>
            <w:tcW w:w="1559" w:type="dxa"/>
            <w:vAlign w:val="center"/>
          </w:tcPr>
          <w:p w14:paraId="0EE99279"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701" w:type="dxa"/>
            <w:vAlign w:val="center"/>
          </w:tcPr>
          <w:p w14:paraId="31A4DD43"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795" w:type="dxa"/>
            <w:vAlign w:val="center"/>
          </w:tcPr>
          <w:p w14:paraId="1CC91AC0" w14:textId="77777777" w:rsidR="00271FA2" w:rsidRPr="00A013E1" w:rsidRDefault="00271FA2">
            <w:pPr>
              <w:spacing w:line="240" w:lineRule="atLeast"/>
              <w:rPr>
                <w:rFonts w:ascii="Times New Roman" w:hAnsi="Times New Roman" w:cs="Times New Roman"/>
              </w:rPr>
            </w:pPr>
          </w:p>
        </w:tc>
        <w:tc>
          <w:tcPr>
            <w:tcW w:w="1189" w:type="dxa"/>
            <w:vAlign w:val="center"/>
          </w:tcPr>
          <w:p w14:paraId="6A13EF32" w14:textId="77777777" w:rsidR="00271FA2" w:rsidRPr="00A013E1" w:rsidRDefault="00271FA2">
            <w:pPr>
              <w:spacing w:line="240" w:lineRule="atLeast"/>
              <w:rPr>
                <w:rFonts w:ascii="Times New Roman" w:hAnsi="Times New Roman" w:cs="Times New Roman"/>
              </w:rPr>
            </w:pPr>
          </w:p>
        </w:tc>
        <w:tc>
          <w:tcPr>
            <w:tcW w:w="1134" w:type="dxa"/>
            <w:vAlign w:val="center"/>
          </w:tcPr>
          <w:p w14:paraId="19CC3AE4" w14:textId="77777777" w:rsidR="00271FA2" w:rsidRPr="00A013E1" w:rsidRDefault="00271FA2">
            <w:pPr>
              <w:spacing w:line="240" w:lineRule="atLeast"/>
              <w:rPr>
                <w:rFonts w:ascii="Times New Roman" w:hAnsi="Times New Roman" w:cs="Times New Roman"/>
              </w:rPr>
            </w:pPr>
          </w:p>
        </w:tc>
        <w:tc>
          <w:tcPr>
            <w:tcW w:w="1134" w:type="dxa"/>
            <w:gridSpan w:val="2"/>
            <w:vAlign w:val="center"/>
          </w:tcPr>
          <w:p w14:paraId="4AFBFB9E" w14:textId="77777777" w:rsidR="00271FA2" w:rsidRPr="00A013E1" w:rsidRDefault="00271FA2">
            <w:pPr>
              <w:spacing w:line="240" w:lineRule="atLeast"/>
              <w:rPr>
                <w:rFonts w:ascii="Times New Roman" w:hAnsi="Times New Roman" w:cs="Times New Roman"/>
              </w:rPr>
            </w:pPr>
          </w:p>
        </w:tc>
      </w:tr>
      <w:tr w:rsidR="00271FA2" w:rsidRPr="00A013E1" w14:paraId="7450968C" w14:textId="77777777" w:rsidTr="004F1D54">
        <w:trPr>
          <w:gridAfter w:val="1"/>
          <w:wAfter w:w="14" w:type="dxa"/>
        </w:trPr>
        <w:tc>
          <w:tcPr>
            <w:tcW w:w="2014" w:type="dxa"/>
          </w:tcPr>
          <w:p w14:paraId="11C8459C"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Изходящ поток</w:t>
            </w:r>
          </w:p>
        </w:tc>
        <w:tc>
          <w:tcPr>
            <w:tcW w:w="1559" w:type="dxa"/>
            <w:vAlign w:val="center"/>
          </w:tcPr>
          <w:p w14:paraId="4B232BBE"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701" w:type="dxa"/>
            <w:vAlign w:val="center"/>
          </w:tcPr>
          <w:p w14:paraId="1F51E919" w14:textId="77777777" w:rsidR="00271FA2" w:rsidRPr="00A013E1" w:rsidRDefault="00271FA2">
            <w:pPr>
              <w:spacing w:line="240" w:lineRule="atLeast"/>
              <w:rPr>
                <w:rFonts w:ascii="Times New Roman" w:hAnsi="Times New Roman" w:cs="Times New Roman"/>
              </w:rPr>
            </w:pPr>
          </w:p>
        </w:tc>
        <w:tc>
          <w:tcPr>
            <w:tcW w:w="795" w:type="dxa"/>
            <w:vAlign w:val="center"/>
          </w:tcPr>
          <w:p w14:paraId="24682C17" w14:textId="77777777" w:rsidR="00271FA2" w:rsidRPr="00A013E1" w:rsidRDefault="00271FA2">
            <w:pPr>
              <w:spacing w:line="240" w:lineRule="atLeast"/>
              <w:rPr>
                <w:rFonts w:ascii="Times New Roman" w:hAnsi="Times New Roman" w:cs="Times New Roman"/>
              </w:rPr>
            </w:pPr>
          </w:p>
        </w:tc>
        <w:tc>
          <w:tcPr>
            <w:tcW w:w="1189" w:type="dxa"/>
            <w:vAlign w:val="center"/>
          </w:tcPr>
          <w:p w14:paraId="4B70372F" w14:textId="77777777" w:rsidR="00271FA2" w:rsidRPr="00A013E1" w:rsidRDefault="00271FA2">
            <w:pPr>
              <w:spacing w:line="240" w:lineRule="atLeast"/>
              <w:rPr>
                <w:rFonts w:ascii="Times New Roman" w:hAnsi="Times New Roman" w:cs="Times New Roman"/>
              </w:rPr>
            </w:pPr>
          </w:p>
        </w:tc>
        <w:tc>
          <w:tcPr>
            <w:tcW w:w="1134" w:type="dxa"/>
            <w:vAlign w:val="center"/>
          </w:tcPr>
          <w:p w14:paraId="2B01F532" w14:textId="77777777" w:rsidR="00271FA2" w:rsidRPr="00A013E1" w:rsidRDefault="00271FA2">
            <w:pPr>
              <w:spacing w:line="240" w:lineRule="atLeast"/>
              <w:rPr>
                <w:rFonts w:ascii="Times New Roman" w:hAnsi="Times New Roman" w:cs="Times New Roman"/>
              </w:rPr>
            </w:pPr>
          </w:p>
        </w:tc>
        <w:tc>
          <w:tcPr>
            <w:tcW w:w="1134" w:type="dxa"/>
            <w:gridSpan w:val="2"/>
            <w:vAlign w:val="center"/>
          </w:tcPr>
          <w:p w14:paraId="052840F4" w14:textId="77777777" w:rsidR="00271FA2" w:rsidRPr="00A013E1" w:rsidRDefault="00271FA2">
            <w:pPr>
              <w:spacing w:line="240" w:lineRule="atLeast"/>
              <w:rPr>
                <w:rFonts w:ascii="Times New Roman" w:hAnsi="Times New Roman" w:cs="Times New Roman"/>
              </w:rPr>
            </w:pPr>
          </w:p>
        </w:tc>
      </w:tr>
      <w:tr w:rsidR="00271FA2" w:rsidRPr="00A013E1" w14:paraId="01264DC4" w14:textId="77777777" w:rsidTr="004F1D54">
        <w:trPr>
          <w:gridAfter w:val="1"/>
          <w:wAfter w:w="14" w:type="dxa"/>
        </w:trPr>
        <w:tc>
          <w:tcPr>
            <w:tcW w:w="2014" w:type="dxa"/>
            <w:vAlign w:val="center"/>
          </w:tcPr>
          <w:p w14:paraId="52AC64C1"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Входящ поток</w:t>
            </w:r>
          </w:p>
        </w:tc>
        <w:tc>
          <w:tcPr>
            <w:tcW w:w="1559" w:type="dxa"/>
            <w:vAlign w:val="center"/>
          </w:tcPr>
          <w:p w14:paraId="3AA22F8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701" w:type="dxa"/>
            <w:vAlign w:val="center"/>
          </w:tcPr>
          <w:p w14:paraId="7B065210"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w:t>
            </w:r>
          </w:p>
        </w:tc>
        <w:tc>
          <w:tcPr>
            <w:tcW w:w="795" w:type="dxa"/>
            <w:vAlign w:val="center"/>
          </w:tcPr>
          <w:p w14:paraId="3C8731F7" w14:textId="77777777" w:rsidR="00271FA2" w:rsidRPr="00A013E1" w:rsidRDefault="00271FA2">
            <w:pPr>
              <w:spacing w:line="240" w:lineRule="atLeast"/>
              <w:rPr>
                <w:rFonts w:ascii="Times New Roman" w:hAnsi="Times New Roman" w:cs="Times New Roman"/>
              </w:rPr>
            </w:pPr>
          </w:p>
        </w:tc>
        <w:tc>
          <w:tcPr>
            <w:tcW w:w="1189" w:type="dxa"/>
            <w:vAlign w:val="center"/>
          </w:tcPr>
          <w:p w14:paraId="299497D7" w14:textId="77777777" w:rsidR="00271FA2" w:rsidRPr="00A013E1" w:rsidRDefault="00271FA2">
            <w:pPr>
              <w:spacing w:line="240" w:lineRule="atLeast"/>
              <w:rPr>
                <w:rFonts w:ascii="Times New Roman" w:hAnsi="Times New Roman" w:cs="Times New Roman"/>
              </w:rPr>
            </w:pPr>
          </w:p>
        </w:tc>
        <w:tc>
          <w:tcPr>
            <w:tcW w:w="1134" w:type="dxa"/>
            <w:vAlign w:val="center"/>
          </w:tcPr>
          <w:p w14:paraId="4491D50B" w14:textId="77777777" w:rsidR="00271FA2" w:rsidRPr="00A013E1" w:rsidRDefault="00271FA2">
            <w:pPr>
              <w:spacing w:line="240" w:lineRule="atLeast"/>
              <w:rPr>
                <w:rFonts w:ascii="Times New Roman" w:hAnsi="Times New Roman" w:cs="Times New Roman"/>
              </w:rPr>
            </w:pPr>
          </w:p>
        </w:tc>
        <w:tc>
          <w:tcPr>
            <w:tcW w:w="1134" w:type="dxa"/>
            <w:gridSpan w:val="2"/>
            <w:vAlign w:val="center"/>
          </w:tcPr>
          <w:p w14:paraId="29A6DAD8" w14:textId="77777777" w:rsidR="00271FA2" w:rsidRPr="00A013E1" w:rsidRDefault="00271FA2">
            <w:pPr>
              <w:spacing w:line="240" w:lineRule="atLeast"/>
              <w:rPr>
                <w:rFonts w:ascii="Times New Roman" w:hAnsi="Times New Roman" w:cs="Times New Roman"/>
              </w:rPr>
            </w:pPr>
          </w:p>
        </w:tc>
      </w:tr>
      <w:tr w:rsidR="00271FA2" w:rsidRPr="00A013E1" w14:paraId="1DABBC32" w14:textId="77777777" w:rsidTr="004F1D54">
        <w:trPr>
          <w:gridAfter w:val="1"/>
          <w:wAfter w:w="14" w:type="dxa"/>
        </w:trPr>
        <w:tc>
          <w:tcPr>
            <w:tcW w:w="2014" w:type="dxa"/>
          </w:tcPr>
          <w:p w14:paraId="3581FBA5"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Изходящ поток</w:t>
            </w:r>
          </w:p>
        </w:tc>
        <w:tc>
          <w:tcPr>
            <w:tcW w:w="1559" w:type="dxa"/>
            <w:vAlign w:val="center"/>
          </w:tcPr>
          <w:p w14:paraId="569FBF8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701" w:type="dxa"/>
            <w:vAlign w:val="center"/>
          </w:tcPr>
          <w:p w14:paraId="4984B55A" w14:textId="77777777" w:rsidR="00271FA2" w:rsidRPr="00A013E1" w:rsidRDefault="00271FA2">
            <w:pPr>
              <w:spacing w:line="240" w:lineRule="atLeast"/>
              <w:rPr>
                <w:rFonts w:ascii="Times New Roman" w:hAnsi="Times New Roman" w:cs="Times New Roman"/>
              </w:rPr>
            </w:pPr>
          </w:p>
        </w:tc>
        <w:tc>
          <w:tcPr>
            <w:tcW w:w="795" w:type="dxa"/>
            <w:vAlign w:val="center"/>
          </w:tcPr>
          <w:p w14:paraId="032E26D3" w14:textId="77777777" w:rsidR="00271FA2" w:rsidRPr="00A013E1" w:rsidRDefault="00271FA2">
            <w:pPr>
              <w:spacing w:line="240" w:lineRule="atLeast"/>
              <w:rPr>
                <w:rFonts w:ascii="Times New Roman" w:hAnsi="Times New Roman" w:cs="Times New Roman"/>
              </w:rPr>
            </w:pPr>
          </w:p>
        </w:tc>
        <w:tc>
          <w:tcPr>
            <w:tcW w:w="1189" w:type="dxa"/>
            <w:vAlign w:val="center"/>
          </w:tcPr>
          <w:p w14:paraId="1C941A10" w14:textId="77777777" w:rsidR="00271FA2" w:rsidRPr="00A013E1" w:rsidRDefault="00271FA2">
            <w:pPr>
              <w:spacing w:line="240" w:lineRule="atLeast"/>
              <w:rPr>
                <w:rFonts w:ascii="Times New Roman" w:hAnsi="Times New Roman" w:cs="Times New Roman"/>
              </w:rPr>
            </w:pPr>
          </w:p>
        </w:tc>
        <w:tc>
          <w:tcPr>
            <w:tcW w:w="1134" w:type="dxa"/>
            <w:vAlign w:val="center"/>
          </w:tcPr>
          <w:p w14:paraId="78B88E22" w14:textId="77777777" w:rsidR="00271FA2" w:rsidRPr="00A013E1" w:rsidRDefault="00271FA2">
            <w:pPr>
              <w:spacing w:line="240" w:lineRule="atLeast"/>
              <w:rPr>
                <w:rFonts w:ascii="Times New Roman" w:hAnsi="Times New Roman" w:cs="Times New Roman"/>
              </w:rPr>
            </w:pPr>
          </w:p>
        </w:tc>
        <w:tc>
          <w:tcPr>
            <w:tcW w:w="1134" w:type="dxa"/>
            <w:gridSpan w:val="2"/>
            <w:vAlign w:val="center"/>
          </w:tcPr>
          <w:p w14:paraId="5B31B9A4" w14:textId="77777777" w:rsidR="00271FA2" w:rsidRPr="00A013E1" w:rsidRDefault="00271FA2">
            <w:pPr>
              <w:spacing w:line="240" w:lineRule="atLeast"/>
              <w:rPr>
                <w:rFonts w:ascii="Times New Roman" w:hAnsi="Times New Roman" w:cs="Times New Roman"/>
              </w:rPr>
            </w:pPr>
          </w:p>
        </w:tc>
      </w:tr>
    </w:tbl>
    <w:p w14:paraId="260A2A4A" w14:textId="77777777" w:rsidR="00700DBC" w:rsidRPr="00A013E1" w:rsidRDefault="00700DBC">
      <w:pPr>
        <w:spacing w:line="240" w:lineRule="atLeast"/>
        <w:ind w:left="709" w:hanging="709"/>
        <w:rPr>
          <w:rFonts w:ascii="Times New Roman" w:hAnsi="Times New Roman" w:cs="Times New Roman"/>
          <w:color w:val="000000"/>
        </w:rPr>
      </w:pPr>
    </w:p>
    <w:p w14:paraId="605F880E" w14:textId="41F318C6" w:rsidR="00271FA2" w:rsidRPr="00A013E1" w:rsidRDefault="00D35E51">
      <w:pPr>
        <w:spacing w:line="240" w:lineRule="atLeast"/>
        <w:ind w:left="709" w:hanging="709"/>
        <w:rPr>
          <w:rFonts w:ascii="Times New Roman" w:hAnsi="Times New Roman" w:cs="Times New Roman"/>
          <w:color w:val="000000"/>
          <w:lang w:val="ru-RU"/>
        </w:rPr>
      </w:pPr>
      <w:r w:rsidRPr="00A013E1">
        <w:rPr>
          <w:rFonts w:ascii="Times New Roman" w:hAnsi="Times New Roman" w:cs="Times New Roman"/>
          <w:color w:val="000000"/>
          <w:lang w:val="ru-RU"/>
        </w:rPr>
        <w:t>1.2.2</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Ефективност на пречистване (ефективност на отстраняване) </w:t>
      </w:r>
    </w:p>
    <w:tbl>
      <w:tblPr>
        <w:tblW w:w="6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76"/>
        <w:gridCol w:w="1046"/>
        <w:gridCol w:w="1065"/>
        <w:gridCol w:w="1134"/>
      </w:tblGrid>
      <w:tr w:rsidR="00271FA2" w:rsidRPr="00A013E1" w14:paraId="75B3E2BA" w14:textId="77777777">
        <w:trPr>
          <w:jc w:val="center"/>
        </w:trPr>
        <w:tc>
          <w:tcPr>
            <w:tcW w:w="1526" w:type="dxa"/>
            <w:vAlign w:val="center"/>
          </w:tcPr>
          <w:p w14:paraId="4BF35C46"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Параметър</w:t>
            </w:r>
          </w:p>
        </w:tc>
        <w:tc>
          <w:tcPr>
            <w:tcW w:w="1876" w:type="dxa"/>
            <w:vAlign w:val="center"/>
          </w:tcPr>
          <w:p w14:paraId="5227C571"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Вид на пробата</w:t>
            </w:r>
          </w:p>
        </w:tc>
        <w:tc>
          <w:tcPr>
            <w:tcW w:w="1046" w:type="dxa"/>
            <w:vAlign w:val="center"/>
          </w:tcPr>
          <w:p w14:paraId="5ACE5BFD"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Мин.</w:t>
            </w:r>
          </w:p>
        </w:tc>
        <w:tc>
          <w:tcPr>
            <w:tcW w:w="1065" w:type="dxa"/>
            <w:vAlign w:val="center"/>
          </w:tcPr>
          <w:p w14:paraId="39ABCDE1"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Макс.</w:t>
            </w:r>
          </w:p>
        </w:tc>
        <w:tc>
          <w:tcPr>
            <w:tcW w:w="1134" w:type="dxa"/>
            <w:vAlign w:val="center"/>
          </w:tcPr>
          <w:p w14:paraId="0F0609D5"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Средно</w:t>
            </w:r>
          </w:p>
        </w:tc>
      </w:tr>
      <w:tr w:rsidR="00271FA2" w:rsidRPr="00A013E1" w14:paraId="08B6CDB0" w14:textId="77777777">
        <w:trPr>
          <w:jc w:val="center"/>
        </w:trPr>
        <w:tc>
          <w:tcPr>
            <w:tcW w:w="1526" w:type="dxa"/>
            <w:vAlign w:val="center"/>
          </w:tcPr>
          <w:p w14:paraId="110DFC2C" w14:textId="77777777" w:rsidR="00271FA2" w:rsidRPr="00A013E1" w:rsidRDefault="002C62EC">
            <w:pPr>
              <w:spacing w:line="240" w:lineRule="atLeast"/>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rPr>
                      <m:t>5</m:t>
                    </m:r>
                  </m:sub>
                </m:sSub>
              </m:oMath>
            </m:oMathPara>
          </w:p>
        </w:tc>
        <w:tc>
          <w:tcPr>
            <w:tcW w:w="1876" w:type="dxa"/>
            <w:vAlign w:val="center"/>
          </w:tcPr>
          <w:p w14:paraId="608FEE89"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046" w:type="dxa"/>
            <w:vAlign w:val="center"/>
          </w:tcPr>
          <w:p w14:paraId="0CBEF3B6" w14:textId="77777777" w:rsidR="00271FA2" w:rsidRPr="00A013E1" w:rsidRDefault="00271FA2">
            <w:pPr>
              <w:spacing w:line="240" w:lineRule="atLeast"/>
              <w:rPr>
                <w:rFonts w:ascii="Times New Roman" w:hAnsi="Times New Roman" w:cs="Times New Roman"/>
              </w:rPr>
            </w:pPr>
          </w:p>
        </w:tc>
        <w:tc>
          <w:tcPr>
            <w:tcW w:w="1065" w:type="dxa"/>
            <w:vAlign w:val="center"/>
          </w:tcPr>
          <w:p w14:paraId="14983CD9" w14:textId="77777777" w:rsidR="00271FA2" w:rsidRPr="00A013E1" w:rsidRDefault="00271FA2">
            <w:pPr>
              <w:spacing w:line="240" w:lineRule="atLeast"/>
              <w:rPr>
                <w:rFonts w:ascii="Times New Roman" w:hAnsi="Times New Roman" w:cs="Times New Roman"/>
              </w:rPr>
            </w:pPr>
          </w:p>
        </w:tc>
        <w:tc>
          <w:tcPr>
            <w:tcW w:w="1134" w:type="dxa"/>
            <w:vAlign w:val="center"/>
          </w:tcPr>
          <w:p w14:paraId="2F631F5C" w14:textId="77777777" w:rsidR="00271FA2" w:rsidRPr="00A013E1" w:rsidRDefault="00271FA2">
            <w:pPr>
              <w:spacing w:line="240" w:lineRule="atLeast"/>
              <w:rPr>
                <w:rFonts w:ascii="Times New Roman" w:hAnsi="Times New Roman" w:cs="Times New Roman"/>
              </w:rPr>
            </w:pPr>
          </w:p>
        </w:tc>
      </w:tr>
      <w:tr w:rsidR="00271FA2" w:rsidRPr="00A013E1" w14:paraId="72FEC220" w14:textId="77777777">
        <w:trPr>
          <w:jc w:val="center"/>
        </w:trPr>
        <w:tc>
          <w:tcPr>
            <w:tcW w:w="1526" w:type="dxa"/>
            <w:vAlign w:val="center"/>
          </w:tcPr>
          <w:p w14:paraId="67FD946E" w14:textId="77777777" w:rsidR="00271FA2" w:rsidRPr="00A013E1" w:rsidRDefault="002C62EC">
            <w:pPr>
              <w:spacing w:line="240" w:lineRule="atLeast"/>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rPr>
                      <m:t>5</m:t>
                    </m:r>
                  </m:sub>
                </m:sSub>
              </m:oMath>
            </m:oMathPara>
          </w:p>
        </w:tc>
        <w:tc>
          <w:tcPr>
            <w:tcW w:w="1876" w:type="dxa"/>
            <w:vAlign w:val="center"/>
          </w:tcPr>
          <w:p w14:paraId="0634225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046" w:type="dxa"/>
            <w:vAlign w:val="center"/>
          </w:tcPr>
          <w:p w14:paraId="19165067" w14:textId="77777777" w:rsidR="00271FA2" w:rsidRPr="00A013E1" w:rsidRDefault="00271FA2">
            <w:pPr>
              <w:spacing w:line="240" w:lineRule="atLeast"/>
              <w:rPr>
                <w:rFonts w:ascii="Times New Roman" w:hAnsi="Times New Roman" w:cs="Times New Roman"/>
              </w:rPr>
            </w:pPr>
          </w:p>
        </w:tc>
        <w:tc>
          <w:tcPr>
            <w:tcW w:w="1065" w:type="dxa"/>
            <w:vAlign w:val="center"/>
          </w:tcPr>
          <w:p w14:paraId="08174F5F" w14:textId="77777777" w:rsidR="00271FA2" w:rsidRPr="00A013E1" w:rsidRDefault="00271FA2">
            <w:pPr>
              <w:spacing w:line="240" w:lineRule="atLeast"/>
              <w:rPr>
                <w:rFonts w:ascii="Times New Roman" w:hAnsi="Times New Roman" w:cs="Times New Roman"/>
              </w:rPr>
            </w:pPr>
          </w:p>
        </w:tc>
        <w:tc>
          <w:tcPr>
            <w:tcW w:w="1134" w:type="dxa"/>
            <w:vAlign w:val="center"/>
          </w:tcPr>
          <w:p w14:paraId="014C9BB9" w14:textId="77777777" w:rsidR="00271FA2" w:rsidRPr="00A013E1" w:rsidRDefault="00271FA2">
            <w:pPr>
              <w:spacing w:line="240" w:lineRule="atLeast"/>
              <w:rPr>
                <w:rFonts w:ascii="Times New Roman" w:hAnsi="Times New Roman" w:cs="Times New Roman"/>
              </w:rPr>
            </w:pPr>
          </w:p>
        </w:tc>
      </w:tr>
      <w:tr w:rsidR="00271FA2" w:rsidRPr="00A013E1" w14:paraId="2AD6A872" w14:textId="77777777">
        <w:trPr>
          <w:jc w:val="center"/>
        </w:trPr>
        <w:tc>
          <w:tcPr>
            <w:tcW w:w="1526" w:type="dxa"/>
          </w:tcPr>
          <w:p w14:paraId="326A2F2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COD</w:t>
            </w:r>
          </w:p>
        </w:tc>
        <w:tc>
          <w:tcPr>
            <w:tcW w:w="1876" w:type="dxa"/>
          </w:tcPr>
          <w:p w14:paraId="2E9EBA6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046" w:type="dxa"/>
          </w:tcPr>
          <w:p w14:paraId="1A623B8B" w14:textId="77777777" w:rsidR="00271FA2" w:rsidRPr="00A013E1" w:rsidRDefault="00271FA2">
            <w:pPr>
              <w:spacing w:line="240" w:lineRule="atLeast"/>
              <w:rPr>
                <w:rFonts w:ascii="Times New Roman" w:hAnsi="Times New Roman" w:cs="Times New Roman"/>
              </w:rPr>
            </w:pPr>
          </w:p>
        </w:tc>
        <w:tc>
          <w:tcPr>
            <w:tcW w:w="1065" w:type="dxa"/>
          </w:tcPr>
          <w:p w14:paraId="4592FE77" w14:textId="77777777" w:rsidR="00271FA2" w:rsidRPr="00A013E1" w:rsidRDefault="00271FA2">
            <w:pPr>
              <w:spacing w:line="240" w:lineRule="atLeast"/>
              <w:rPr>
                <w:rFonts w:ascii="Times New Roman" w:hAnsi="Times New Roman" w:cs="Times New Roman"/>
              </w:rPr>
            </w:pPr>
          </w:p>
        </w:tc>
        <w:tc>
          <w:tcPr>
            <w:tcW w:w="1134" w:type="dxa"/>
          </w:tcPr>
          <w:p w14:paraId="3338F333" w14:textId="77777777" w:rsidR="00271FA2" w:rsidRPr="00A013E1" w:rsidRDefault="00271FA2">
            <w:pPr>
              <w:spacing w:line="240" w:lineRule="atLeast"/>
              <w:rPr>
                <w:rFonts w:ascii="Times New Roman" w:hAnsi="Times New Roman" w:cs="Times New Roman"/>
              </w:rPr>
            </w:pPr>
          </w:p>
        </w:tc>
      </w:tr>
      <w:tr w:rsidR="00271FA2" w:rsidRPr="00A013E1" w14:paraId="37B4F2CE" w14:textId="77777777">
        <w:trPr>
          <w:jc w:val="center"/>
        </w:trPr>
        <w:tc>
          <w:tcPr>
            <w:tcW w:w="1526" w:type="dxa"/>
          </w:tcPr>
          <w:p w14:paraId="0808EABE"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COD</w:t>
            </w:r>
          </w:p>
        </w:tc>
        <w:tc>
          <w:tcPr>
            <w:tcW w:w="1876" w:type="dxa"/>
          </w:tcPr>
          <w:p w14:paraId="59223FE2"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046" w:type="dxa"/>
          </w:tcPr>
          <w:p w14:paraId="11F9982C" w14:textId="77777777" w:rsidR="00271FA2" w:rsidRPr="00A013E1" w:rsidRDefault="00271FA2">
            <w:pPr>
              <w:spacing w:line="240" w:lineRule="atLeast"/>
              <w:rPr>
                <w:rFonts w:ascii="Times New Roman" w:hAnsi="Times New Roman" w:cs="Times New Roman"/>
              </w:rPr>
            </w:pPr>
          </w:p>
        </w:tc>
        <w:tc>
          <w:tcPr>
            <w:tcW w:w="1065" w:type="dxa"/>
          </w:tcPr>
          <w:p w14:paraId="2F4F8602" w14:textId="77777777" w:rsidR="00271FA2" w:rsidRPr="00A013E1" w:rsidRDefault="00271FA2">
            <w:pPr>
              <w:spacing w:line="240" w:lineRule="atLeast"/>
              <w:rPr>
                <w:rFonts w:ascii="Times New Roman" w:hAnsi="Times New Roman" w:cs="Times New Roman"/>
              </w:rPr>
            </w:pPr>
          </w:p>
        </w:tc>
        <w:tc>
          <w:tcPr>
            <w:tcW w:w="1134" w:type="dxa"/>
          </w:tcPr>
          <w:p w14:paraId="18D4D325" w14:textId="77777777" w:rsidR="00271FA2" w:rsidRPr="00A013E1" w:rsidRDefault="00271FA2">
            <w:pPr>
              <w:spacing w:line="240" w:lineRule="atLeast"/>
              <w:rPr>
                <w:rFonts w:ascii="Times New Roman" w:hAnsi="Times New Roman" w:cs="Times New Roman"/>
              </w:rPr>
            </w:pPr>
          </w:p>
        </w:tc>
      </w:tr>
      <w:tr w:rsidR="00271FA2" w:rsidRPr="00A013E1" w14:paraId="005766A3" w14:textId="77777777">
        <w:trPr>
          <w:jc w:val="center"/>
        </w:trPr>
        <w:tc>
          <w:tcPr>
            <w:tcW w:w="1526" w:type="dxa"/>
          </w:tcPr>
          <w:p w14:paraId="33D3A3CD"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TOC</w:t>
            </w:r>
          </w:p>
        </w:tc>
        <w:tc>
          <w:tcPr>
            <w:tcW w:w="1876" w:type="dxa"/>
          </w:tcPr>
          <w:p w14:paraId="593FB69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046" w:type="dxa"/>
          </w:tcPr>
          <w:p w14:paraId="7C4C3410" w14:textId="77777777" w:rsidR="00271FA2" w:rsidRPr="00A013E1" w:rsidRDefault="00271FA2">
            <w:pPr>
              <w:spacing w:line="240" w:lineRule="atLeast"/>
              <w:rPr>
                <w:rFonts w:ascii="Times New Roman" w:hAnsi="Times New Roman" w:cs="Times New Roman"/>
              </w:rPr>
            </w:pPr>
          </w:p>
        </w:tc>
        <w:tc>
          <w:tcPr>
            <w:tcW w:w="1065" w:type="dxa"/>
          </w:tcPr>
          <w:p w14:paraId="12764406" w14:textId="77777777" w:rsidR="00271FA2" w:rsidRPr="00A013E1" w:rsidRDefault="00271FA2">
            <w:pPr>
              <w:spacing w:line="240" w:lineRule="atLeast"/>
              <w:rPr>
                <w:rFonts w:ascii="Times New Roman" w:hAnsi="Times New Roman" w:cs="Times New Roman"/>
              </w:rPr>
            </w:pPr>
          </w:p>
        </w:tc>
        <w:tc>
          <w:tcPr>
            <w:tcW w:w="1134" w:type="dxa"/>
          </w:tcPr>
          <w:p w14:paraId="5E1C578B" w14:textId="77777777" w:rsidR="00271FA2" w:rsidRPr="00A013E1" w:rsidRDefault="00271FA2">
            <w:pPr>
              <w:spacing w:line="240" w:lineRule="atLeast"/>
              <w:rPr>
                <w:rFonts w:ascii="Times New Roman" w:hAnsi="Times New Roman" w:cs="Times New Roman"/>
              </w:rPr>
            </w:pPr>
          </w:p>
        </w:tc>
      </w:tr>
      <w:tr w:rsidR="00271FA2" w:rsidRPr="00A013E1" w14:paraId="378AB4F8" w14:textId="77777777">
        <w:trPr>
          <w:jc w:val="center"/>
        </w:trPr>
        <w:tc>
          <w:tcPr>
            <w:tcW w:w="1526" w:type="dxa"/>
          </w:tcPr>
          <w:p w14:paraId="34092759"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TOC</w:t>
            </w:r>
          </w:p>
        </w:tc>
        <w:tc>
          <w:tcPr>
            <w:tcW w:w="1876" w:type="dxa"/>
          </w:tcPr>
          <w:p w14:paraId="5E375AA6"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046" w:type="dxa"/>
          </w:tcPr>
          <w:p w14:paraId="0C9D67F4" w14:textId="77777777" w:rsidR="00271FA2" w:rsidRPr="00A013E1" w:rsidRDefault="00271FA2">
            <w:pPr>
              <w:spacing w:line="240" w:lineRule="atLeast"/>
              <w:rPr>
                <w:rFonts w:ascii="Times New Roman" w:hAnsi="Times New Roman" w:cs="Times New Roman"/>
              </w:rPr>
            </w:pPr>
          </w:p>
        </w:tc>
        <w:tc>
          <w:tcPr>
            <w:tcW w:w="1065" w:type="dxa"/>
          </w:tcPr>
          <w:p w14:paraId="0DA9A05C" w14:textId="77777777" w:rsidR="00271FA2" w:rsidRPr="00A013E1" w:rsidRDefault="00271FA2">
            <w:pPr>
              <w:spacing w:line="240" w:lineRule="atLeast"/>
              <w:rPr>
                <w:rFonts w:ascii="Times New Roman" w:hAnsi="Times New Roman" w:cs="Times New Roman"/>
              </w:rPr>
            </w:pPr>
          </w:p>
        </w:tc>
        <w:tc>
          <w:tcPr>
            <w:tcW w:w="1134" w:type="dxa"/>
          </w:tcPr>
          <w:p w14:paraId="3F799D0C" w14:textId="77777777" w:rsidR="00271FA2" w:rsidRPr="00A013E1" w:rsidRDefault="00271FA2">
            <w:pPr>
              <w:spacing w:line="240" w:lineRule="atLeast"/>
              <w:rPr>
                <w:rFonts w:ascii="Times New Roman" w:hAnsi="Times New Roman" w:cs="Times New Roman"/>
              </w:rPr>
            </w:pPr>
          </w:p>
        </w:tc>
      </w:tr>
      <w:tr w:rsidR="00271FA2" w:rsidRPr="00A013E1" w14:paraId="7574601E" w14:textId="77777777">
        <w:trPr>
          <w:jc w:val="center"/>
        </w:trPr>
        <w:tc>
          <w:tcPr>
            <w:tcW w:w="1526" w:type="dxa"/>
          </w:tcPr>
          <w:p w14:paraId="5F4D5F3D"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SRF</w:t>
            </w:r>
          </w:p>
        </w:tc>
        <w:tc>
          <w:tcPr>
            <w:tcW w:w="1876" w:type="dxa"/>
          </w:tcPr>
          <w:p w14:paraId="364B9C8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24-часови комбинирани проби</w:t>
            </w:r>
          </w:p>
        </w:tc>
        <w:tc>
          <w:tcPr>
            <w:tcW w:w="1046" w:type="dxa"/>
          </w:tcPr>
          <w:p w14:paraId="0DBF9F36" w14:textId="77777777" w:rsidR="00271FA2" w:rsidRPr="00A013E1" w:rsidRDefault="00271FA2">
            <w:pPr>
              <w:spacing w:line="240" w:lineRule="atLeast"/>
              <w:rPr>
                <w:rFonts w:ascii="Times New Roman" w:hAnsi="Times New Roman" w:cs="Times New Roman"/>
              </w:rPr>
            </w:pPr>
          </w:p>
        </w:tc>
        <w:tc>
          <w:tcPr>
            <w:tcW w:w="1065" w:type="dxa"/>
          </w:tcPr>
          <w:p w14:paraId="0B4BA3C0" w14:textId="77777777" w:rsidR="00271FA2" w:rsidRPr="00A013E1" w:rsidRDefault="00271FA2">
            <w:pPr>
              <w:spacing w:line="240" w:lineRule="atLeast"/>
              <w:rPr>
                <w:rFonts w:ascii="Times New Roman" w:hAnsi="Times New Roman" w:cs="Times New Roman"/>
              </w:rPr>
            </w:pPr>
          </w:p>
        </w:tc>
        <w:tc>
          <w:tcPr>
            <w:tcW w:w="1134" w:type="dxa"/>
          </w:tcPr>
          <w:p w14:paraId="6FD5BB03" w14:textId="77777777" w:rsidR="00271FA2" w:rsidRPr="00A013E1" w:rsidRDefault="00271FA2">
            <w:pPr>
              <w:spacing w:line="240" w:lineRule="atLeast"/>
              <w:rPr>
                <w:rFonts w:ascii="Times New Roman" w:hAnsi="Times New Roman" w:cs="Times New Roman"/>
              </w:rPr>
            </w:pPr>
          </w:p>
        </w:tc>
      </w:tr>
      <w:tr w:rsidR="00271FA2" w:rsidRPr="00A013E1" w14:paraId="2F182A46" w14:textId="77777777">
        <w:trPr>
          <w:jc w:val="center"/>
        </w:trPr>
        <w:tc>
          <w:tcPr>
            <w:tcW w:w="1526" w:type="dxa"/>
          </w:tcPr>
          <w:p w14:paraId="0C984CD2"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SRF</w:t>
            </w:r>
          </w:p>
        </w:tc>
        <w:tc>
          <w:tcPr>
            <w:tcW w:w="1876" w:type="dxa"/>
          </w:tcPr>
          <w:p w14:paraId="49C7D9B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Случайни проби</w:t>
            </w:r>
          </w:p>
        </w:tc>
        <w:tc>
          <w:tcPr>
            <w:tcW w:w="1046" w:type="dxa"/>
          </w:tcPr>
          <w:p w14:paraId="12F95CD7" w14:textId="77777777" w:rsidR="00271FA2" w:rsidRPr="00A013E1" w:rsidRDefault="00271FA2">
            <w:pPr>
              <w:spacing w:line="240" w:lineRule="atLeast"/>
              <w:rPr>
                <w:rFonts w:ascii="Times New Roman" w:hAnsi="Times New Roman" w:cs="Times New Roman"/>
              </w:rPr>
            </w:pPr>
          </w:p>
        </w:tc>
        <w:tc>
          <w:tcPr>
            <w:tcW w:w="1065" w:type="dxa"/>
          </w:tcPr>
          <w:p w14:paraId="036B5F87" w14:textId="77777777" w:rsidR="00271FA2" w:rsidRPr="00A013E1" w:rsidRDefault="00271FA2">
            <w:pPr>
              <w:spacing w:line="240" w:lineRule="atLeast"/>
              <w:rPr>
                <w:rFonts w:ascii="Times New Roman" w:hAnsi="Times New Roman" w:cs="Times New Roman"/>
              </w:rPr>
            </w:pPr>
          </w:p>
        </w:tc>
        <w:tc>
          <w:tcPr>
            <w:tcW w:w="1134" w:type="dxa"/>
          </w:tcPr>
          <w:p w14:paraId="493C7318" w14:textId="77777777" w:rsidR="00271FA2" w:rsidRPr="00A013E1" w:rsidRDefault="00271FA2">
            <w:pPr>
              <w:spacing w:line="240" w:lineRule="atLeast"/>
              <w:rPr>
                <w:rFonts w:ascii="Times New Roman" w:hAnsi="Times New Roman" w:cs="Times New Roman"/>
              </w:rPr>
            </w:pPr>
          </w:p>
        </w:tc>
      </w:tr>
    </w:tbl>
    <w:p w14:paraId="4D1A8F01" w14:textId="7A32CAD7" w:rsidR="00271FA2" w:rsidRPr="00A013E1" w:rsidRDefault="00271FA2">
      <w:pPr>
        <w:spacing w:line="240" w:lineRule="atLeast"/>
        <w:ind w:left="709" w:hanging="709"/>
        <w:rPr>
          <w:rFonts w:ascii="Times New Roman" w:hAnsi="Times New Roman" w:cs="Times New Roman"/>
          <w:color w:val="000000"/>
        </w:rPr>
      </w:pPr>
    </w:p>
    <w:p w14:paraId="0EECEF76" w14:textId="77777777" w:rsidR="00271FA2" w:rsidRPr="00A013E1" w:rsidRDefault="00D35E51">
      <w:pPr>
        <w:spacing w:line="240" w:lineRule="atLeast"/>
        <w:rPr>
          <w:rFonts w:ascii="Times New Roman" w:hAnsi="Times New Roman" w:cs="Times New Roman"/>
          <w:color w:val="000000"/>
        </w:rPr>
      </w:pPr>
      <w:r w:rsidRPr="00A013E1">
        <w:rPr>
          <w:rFonts w:ascii="Times New Roman" w:hAnsi="Times New Roman" w:cs="Times New Roman"/>
          <w:color w:val="000000"/>
        </w:rPr>
        <w:br w:type="page"/>
      </w:r>
    </w:p>
    <w:p w14:paraId="1E62CD5A" w14:textId="7F2DAA11" w:rsidR="00A55E8C" w:rsidRPr="00A013E1" w:rsidRDefault="00A55E8C">
      <w:pPr>
        <w:spacing w:line="240" w:lineRule="atLeast"/>
        <w:ind w:left="709" w:hanging="709"/>
        <w:jc w:val="both"/>
        <w:rPr>
          <w:rFonts w:ascii="Times New Roman" w:hAnsi="Times New Roman" w:cs="Times New Roman"/>
          <w:color w:val="000000"/>
        </w:rPr>
      </w:pPr>
      <w:r w:rsidRPr="00A013E1">
        <w:rPr>
          <w:rFonts w:ascii="Times New Roman" w:hAnsi="Times New Roman" w:cs="Times New Roman"/>
          <w:color w:val="000000"/>
        </w:rPr>
        <w:lastRenderedPageBreak/>
        <w:t>1.3</w:t>
      </w:r>
      <w:r w:rsidRPr="00A013E1">
        <w:rPr>
          <w:rFonts w:ascii="Times New Roman" w:hAnsi="Times New Roman" w:cs="Times New Roman"/>
        </w:rPr>
        <w:tab/>
      </w:r>
      <w:r w:rsidRPr="00A013E1">
        <w:rPr>
          <w:rFonts w:ascii="Times New Roman" w:hAnsi="Times New Roman" w:cs="Times New Roman"/>
          <w:color w:val="000000"/>
        </w:rPr>
        <w:t>Допълнителни измерени параметри</w:t>
      </w:r>
    </w:p>
    <w:p w14:paraId="32AB2A08" w14:textId="24B3BCE8" w:rsidR="00271FA2" w:rsidRPr="00A013E1" w:rsidRDefault="00D35E51" w:rsidP="0036364E">
      <w:pPr>
        <w:spacing w:after="240"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1.3.1</w:t>
      </w:r>
      <w:r w:rsidRPr="00A013E1">
        <w:rPr>
          <w:rFonts w:ascii="Times New Roman" w:hAnsi="Times New Roman" w:cs="Times New Roman"/>
          <w:lang w:val="ru-RU"/>
        </w:rPr>
        <w:tab/>
      </w:r>
      <w:r w:rsidRPr="00A013E1">
        <w:rPr>
          <w:rFonts w:ascii="Times New Roman" w:hAnsi="Times New Roman" w:cs="Times New Roman"/>
          <w:color w:val="000000"/>
          <w:lang w:val="ru-RU"/>
        </w:rPr>
        <w:t>Допълнителни параметри на входящия и изходящия поток: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417"/>
        <w:gridCol w:w="1639"/>
      </w:tblGrid>
      <w:tr w:rsidR="00271FA2" w:rsidRPr="00A013E1" w14:paraId="0EB7FAA5" w14:textId="77777777">
        <w:trPr>
          <w:jc w:val="center"/>
        </w:trPr>
        <w:tc>
          <w:tcPr>
            <w:tcW w:w="5103" w:type="dxa"/>
            <w:shd w:val="clear" w:color="auto" w:fill="auto"/>
          </w:tcPr>
          <w:p w14:paraId="6B78362B"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Параметър</w:t>
            </w:r>
          </w:p>
        </w:tc>
        <w:tc>
          <w:tcPr>
            <w:tcW w:w="1417" w:type="dxa"/>
            <w:shd w:val="clear" w:color="auto" w:fill="auto"/>
          </w:tcPr>
          <w:p w14:paraId="7DC2F179"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Входящ поток</w:t>
            </w:r>
          </w:p>
        </w:tc>
        <w:tc>
          <w:tcPr>
            <w:tcW w:w="1639" w:type="dxa"/>
            <w:shd w:val="clear" w:color="auto" w:fill="auto"/>
          </w:tcPr>
          <w:p w14:paraId="3AB6B7DA"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Изходящ поток</w:t>
            </w:r>
          </w:p>
        </w:tc>
      </w:tr>
      <w:tr w:rsidR="00271FA2" w:rsidRPr="00A013E1" w14:paraId="2CF3627B" w14:textId="77777777">
        <w:trPr>
          <w:jc w:val="center"/>
        </w:trPr>
        <w:tc>
          <w:tcPr>
            <w:tcW w:w="5103" w:type="dxa"/>
            <w:shd w:val="clear" w:color="auto" w:fill="auto"/>
          </w:tcPr>
          <w:p w14:paraId="43173441"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pH</w:t>
            </w:r>
          </w:p>
        </w:tc>
        <w:tc>
          <w:tcPr>
            <w:tcW w:w="1417" w:type="dxa"/>
            <w:shd w:val="clear" w:color="auto" w:fill="auto"/>
          </w:tcPr>
          <w:p w14:paraId="6C3C70CF" w14:textId="77777777" w:rsidR="00271FA2" w:rsidRPr="00A013E1" w:rsidRDefault="00271FA2">
            <w:pPr>
              <w:spacing w:line="240" w:lineRule="atLeast"/>
              <w:rPr>
                <w:rFonts w:ascii="Times New Roman" w:hAnsi="Times New Roman" w:cs="Times New Roman"/>
              </w:rPr>
            </w:pPr>
          </w:p>
        </w:tc>
        <w:tc>
          <w:tcPr>
            <w:tcW w:w="1639" w:type="dxa"/>
            <w:shd w:val="clear" w:color="auto" w:fill="auto"/>
          </w:tcPr>
          <w:p w14:paraId="65C0B52D" w14:textId="77777777" w:rsidR="00271FA2" w:rsidRPr="00A013E1" w:rsidRDefault="00271FA2">
            <w:pPr>
              <w:spacing w:line="240" w:lineRule="atLeast"/>
              <w:rPr>
                <w:rFonts w:ascii="Times New Roman" w:hAnsi="Times New Roman" w:cs="Times New Roman"/>
              </w:rPr>
            </w:pPr>
          </w:p>
        </w:tc>
      </w:tr>
      <w:tr w:rsidR="00271FA2" w:rsidRPr="00A013E1" w14:paraId="2FCAC0A4" w14:textId="77777777">
        <w:trPr>
          <w:jc w:val="center"/>
        </w:trPr>
        <w:tc>
          <w:tcPr>
            <w:tcW w:w="5103" w:type="dxa"/>
            <w:shd w:val="clear" w:color="auto" w:fill="auto"/>
          </w:tcPr>
          <w:p w14:paraId="1015C81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Проводимост</w:t>
            </w:r>
          </w:p>
        </w:tc>
        <w:tc>
          <w:tcPr>
            <w:tcW w:w="1417" w:type="dxa"/>
            <w:shd w:val="clear" w:color="auto" w:fill="auto"/>
          </w:tcPr>
          <w:p w14:paraId="2EA94E01" w14:textId="77777777" w:rsidR="00271FA2" w:rsidRPr="00A013E1" w:rsidRDefault="00271FA2">
            <w:pPr>
              <w:spacing w:line="240" w:lineRule="atLeast"/>
              <w:rPr>
                <w:rFonts w:ascii="Times New Roman" w:hAnsi="Times New Roman" w:cs="Times New Roman"/>
              </w:rPr>
            </w:pPr>
          </w:p>
        </w:tc>
        <w:tc>
          <w:tcPr>
            <w:tcW w:w="1639" w:type="dxa"/>
            <w:shd w:val="clear" w:color="auto" w:fill="auto"/>
          </w:tcPr>
          <w:p w14:paraId="302252AF" w14:textId="77777777" w:rsidR="00271FA2" w:rsidRPr="00A013E1" w:rsidRDefault="00271FA2">
            <w:pPr>
              <w:spacing w:line="240" w:lineRule="atLeast"/>
              <w:rPr>
                <w:rFonts w:ascii="Times New Roman" w:hAnsi="Times New Roman" w:cs="Times New Roman"/>
              </w:rPr>
            </w:pPr>
          </w:p>
        </w:tc>
      </w:tr>
      <w:tr w:rsidR="00271FA2" w:rsidRPr="00A013E1" w14:paraId="2505AA8B" w14:textId="77777777">
        <w:trPr>
          <w:jc w:val="center"/>
        </w:trPr>
        <w:tc>
          <w:tcPr>
            <w:tcW w:w="5103" w:type="dxa"/>
            <w:shd w:val="clear" w:color="auto" w:fill="auto"/>
          </w:tcPr>
          <w:p w14:paraId="104D2ED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Температура на течните фази</w:t>
            </w:r>
          </w:p>
        </w:tc>
        <w:tc>
          <w:tcPr>
            <w:tcW w:w="1417" w:type="dxa"/>
            <w:shd w:val="clear" w:color="auto" w:fill="auto"/>
          </w:tcPr>
          <w:p w14:paraId="7C0AD115" w14:textId="77777777" w:rsidR="00271FA2" w:rsidRPr="00A013E1" w:rsidRDefault="00271FA2">
            <w:pPr>
              <w:spacing w:line="240" w:lineRule="atLeast"/>
              <w:rPr>
                <w:rFonts w:ascii="Times New Roman" w:hAnsi="Times New Roman" w:cs="Times New Roman"/>
              </w:rPr>
            </w:pPr>
          </w:p>
        </w:tc>
        <w:tc>
          <w:tcPr>
            <w:tcW w:w="1639" w:type="dxa"/>
            <w:shd w:val="clear" w:color="auto" w:fill="auto"/>
          </w:tcPr>
          <w:p w14:paraId="460410CF" w14:textId="77777777" w:rsidR="00271FA2" w:rsidRPr="00A013E1" w:rsidRDefault="00271FA2">
            <w:pPr>
              <w:spacing w:line="240" w:lineRule="atLeast"/>
              <w:rPr>
                <w:rFonts w:ascii="Times New Roman" w:hAnsi="Times New Roman" w:cs="Times New Roman"/>
              </w:rPr>
            </w:pPr>
          </w:p>
        </w:tc>
      </w:tr>
    </w:tbl>
    <w:p w14:paraId="656C6C10" w14:textId="77777777" w:rsidR="00271FA2" w:rsidRPr="00A013E1" w:rsidRDefault="00D35E51" w:rsidP="0036364E">
      <w:pPr>
        <w:spacing w:before="240" w:after="240"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1.3.2</w:t>
      </w:r>
      <w:r w:rsidRPr="00A013E1">
        <w:rPr>
          <w:rFonts w:ascii="Times New Roman" w:hAnsi="Times New Roman" w:cs="Times New Roman"/>
          <w:lang w:val="ru-RU"/>
        </w:rPr>
        <w:tab/>
      </w:r>
      <w:r w:rsidRPr="00A013E1">
        <w:rPr>
          <w:rFonts w:ascii="Times New Roman" w:hAnsi="Times New Roman" w:cs="Times New Roman"/>
          <w:color w:val="000000"/>
          <w:lang w:val="ru-RU"/>
        </w:rPr>
        <w:t>Следните работни параметри, ако има такива, трябва да бъдат записвани по време на вземането на проби: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417"/>
      </w:tblGrid>
      <w:tr w:rsidR="00271FA2" w:rsidRPr="00A013E1" w14:paraId="6BF2C1B8" w14:textId="77777777">
        <w:trPr>
          <w:jc w:val="center"/>
        </w:trPr>
        <w:tc>
          <w:tcPr>
            <w:tcW w:w="5103" w:type="dxa"/>
            <w:shd w:val="clear" w:color="auto" w:fill="auto"/>
          </w:tcPr>
          <w:p w14:paraId="0B7A8C4A" w14:textId="77777777" w:rsidR="00271FA2" w:rsidRPr="00A013E1" w:rsidRDefault="00D35E51">
            <w:pPr>
              <w:spacing w:line="240" w:lineRule="atLeast"/>
              <w:rPr>
                <w:rFonts w:ascii="Times New Roman" w:hAnsi="Times New Roman" w:cs="Times New Roman"/>
                <w:color w:val="000000"/>
                <w:lang w:val="ru-RU"/>
              </w:rPr>
            </w:pPr>
            <w:r w:rsidRPr="00A013E1">
              <w:rPr>
                <w:rFonts w:ascii="Times New Roman" w:hAnsi="Times New Roman" w:cs="Times New Roman"/>
                <w:color w:val="000000"/>
                <w:lang w:val="ru-RU"/>
              </w:rPr>
              <w:t>Концентрация на разтворен кислород в биобасейна</w:t>
            </w:r>
          </w:p>
        </w:tc>
        <w:tc>
          <w:tcPr>
            <w:tcW w:w="1417" w:type="dxa"/>
            <w:shd w:val="clear" w:color="auto" w:fill="auto"/>
          </w:tcPr>
          <w:p w14:paraId="7764AAA0" w14:textId="77777777" w:rsidR="00271FA2" w:rsidRPr="00A013E1" w:rsidRDefault="00271FA2">
            <w:pPr>
              <w:spacing w:line="240" w:lineRule="atLeast"/>
              <w:rPr>
                <w:rFonts w:ascii="Times New Roman" w:hAnsi="Times New Roman" w:cs="Times New Roman"/>
                <w:color w:val="000000"/>
                <w:lang w:val="ru-RU"/>
              </w:rPr>
            </w:pPr>
          </w:p>
        </w:tc>
      </w:tr>
      <w:tr w:rsidR="00271FA2" w:rsidRPr="00A013E1" w14:paraId="1A08619B" w14:textId="77777777">
        <w:trPr>
          <w:jc w:val="center"/>
        </w:trPr>
        <w:tc>
          <w:tcPr>
            <w:tcW w:w="5103" w:type="dxa"/>
            <w:shd w:val="clear" w:color="auto" w:fill="auto"/>
          </w:tcPr>
          <w:p w14:paraId="5AFEAAF3" w14:textId="77777777" w:rsidR="00271FA2" w:rsidRPr="00A013E1" w:rsidRDefault="00D35E51">
            <w:pPr>
              <w:spacing w:line="240" w:lineRule="atLeast"/>
              <w:rPr>
                <w:rFonts w:ascii="Times New Roman" w:hAnsi="Times New Roman" w:cs="Times New Roman"/>
                <w:color w:val="000000"/>
                <w:lang w:val="ru-RU"/>
              </w:rPr>
            </w:pPr>
            <w:r w:rsidRPr="00A013E1">
              <w:rPr>
                <w:rFonts w:ascii="Times New Roman" w:hAnsi="Times New Roman" w:cs="Times New Roman"/>
                <w:color w:val="000000"/>
                <w:lang w:val="ru-RU"/>
              </w:rPr>
              <w:t>Съдържание на сухо вещество в биобасейна</w:t>
            </w:r>
          </w:p>
        </w:tc>
        <w:tc>
          <w:tcPr>
            <w:tcW w:w="1417" w:type="dxa"/>
            <w:shd w:val="clear" w:color="auto" w:fill="auto"/>
          </w:tcPr>
          <w:p w14:paraId="76F116E6" w14:textId="77777777" w:rsidR="00271FA2" w:rsidRPr="00A013E1" w:rsidRDefault="00271FA2">
            <w:pPr>
              <w:spacing w:line="240" w:lineRule="atLeast"/>
              <w:rPr>
                <w:rFonts w:ascii="Times New Roman" w:hAnsi="Times New Roman" w:cs="Times New Roman"/>
                <w:color w:val="000000"/>
                <w:lang w:val="ru-RU"/>
              </w:rPr>
            </w:pPr>
          </w:p>
        </w:tc>
      </w:tr>
      <w:tr w:rsidR="00271FA2" w:rsidRPr="00A013E1" w14:paraId="0099A5A1" w14:textId="77777777">
        <w:trPr>
          <w:jc w:val="center"/>
        </w:trPr>
        <w:tc>
          <w:tcPr>
            <w:tcW w:w="5103" w:type="dxa"/>
            <w:shd w:val="clear" w:color="auto" w:fill="auto"/>
          </w:tcPr>
          <w:p w14:paraId="4E952816" w14:textId="77777777" w:rsidR="00271FA2" w:rsidRPr="00A013E1" w:rsidRDefault="00D35E51">
            <w:pPr>
              <w:spacing w:line="240" w:lineRule="atLeast"/>
              <w:rPr>
                <w:rFonts w:ascii="Times New Roman" w:hAnsi="Times New Roman" w:cs="Times New Roman"/>
                <w:color w:val="000000"/>
              </w:rPr>
            </w:pPr>
            <w:r w:rsidRPr="00A013E1">
              <w:rPr>
                <w:rFonts w:ascii="Times New Roman" w:hAnsi="Times New Roman" w:cs="Times New Roman"/>
                <w:color w:val="000000"/>
              </w:rPr>
              <w:t>Температура в биобасейна</w:t>
            </w:r>
          </w:p>
        </w:tc>
        <w:tc>
          <w:tcPr>
            <w:tcW w:w="1417" w:type="dxa"/>
            <w:shd w:val="clear" w:color="auto" w:fill="auto"/>
          </w:tcPr>
          <w:p w14:paraId="4B2FB759" w14:textId="77777777" w:rsidR="00271FA2" w:rsidRPr="00A013E1" w:rsidRDefault="00271FA2">
            <w:pPr>
              <w:spacing w:line="240" w:lineRule="atLeast"/>
              <w:rPr>
                <w:rFonts w:ascii="Times New Roman" w:hAnsi="Times New Roman" w:cs="Times New Roman"/>
                <w:color w:val="000000"/>
              </w:rPr>
            </w:pPr>
          </w:p>
        </w:tc>
      </w:tr>
      <w:tr w:rsidR="00271FA2" w:rsidRPr="00A013E1" w14:paraId="181CCFF6" w14:textId="77777777">
        <w:trPr>
          <w:jc w:val="center"/>
        </w:trPr>
        <w:tc>
          <w:tcPr>
            <w:tcW w:w="5103" w:type="dxa"/>
            <w:shd w:val="clear" w:color="auto" w:fill="auto"/>
          </w:tcPr>
          <w:p w14:paraId="2173D23B" w14:textId="77777777" w:rsidR="00271FA2" w:rsidRPr="00A013E1" w:rsidRDefault="00D35E51">
            <w:pPr>
              <w:spacing w:line="240" w:lineRule="atLeast"/>
              <w:rPr>
                <w:rFonts w:ascii="Times New Roman" w:hAnsi="Times New Roman" w:cs="Times New Roman"/>
                <w:color w:val="000000"/>
              </w:rPr>
            </w:pPr>
            <w:r w:rsidRPr="00A013E1">
              <w:rPr>
                <w:rFonts w:ascii="Times New Roman" w:hAnsi="Times New Roman" w:cs="Times New Roman"/>
                <w:color w:val="000000"/>
              </w:rPr>
              <w:t>Температура на околната среда</w:t>
            </w:r>
          </w:p>
        </w:tc>
        <w:tc>
          <w:tcPr>
            <w:tcW w:w="1417" w:type="dxa"/>
            <w:shd w:val="clear" w:color="auto" w:fill="auto"/>
          </w:tcPr>
          <w:p w14:paraId="7354D283" w14:textId="77777777" w:rsidR="00271FA2" w:rsidRPr="00A013E1" w:rsidRDefault="00271FA2">
            <w:pPr>
              <w:spacing w:line="240" w:lineRule="atLeast"/>
              <w:rPr>
                <w:rFonts w:ascii="Times New Roman" w:hAnsi="Times New Roman" w:cs="Times New Roman"/>
                <w:color w:val="000000"/>
              </w:rPr>
            </w:pPr>
          </w:p>
        </w:tc>
      </w:tr>
    </w:tbl>
    <w:p w14:paraId="2462BC81" w14:textId="77777777" w:rsidR="00271FA2" w:rsidRPr="00A013E1" w:rsidRDefault="00D35E51" w:rsidP="0036364E">
      <w:pPr>
        <w:spacing w:before="240"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1.3.3</w:t>
      </w:r>
      <w:r w:rsidRPr="00A013E1">
        <w:rPr>
          <w:rFonts w:ascii="Times New Roman" w:hAnsi="Times New Roman" w:cs="Times New Roman"/>
          <w:lang w:val="ru-RU"/>
        </w:rPr>
        <w:tab/>
      </w:r>
      <w:r w:rsidRPr="00A013E1">
        <w:rPr>
          <w:rFonts w:ascii="Times New Roman" w:hAnsi="Times New Roman" w:cs="Times New Roman"/>
          <w:color w:val="000000"/>
          <w:lang w:val="ru-RU"/>
        </w:rPr>
        <w:t>Други работни параметри в съответствие с ръководството за работа от производителя</w:t>
      </w:r>
    </w:p>
    <w:p w14:paraId="7AE653D0" w14:textId="77777777" w:rsidR="00271FA2" w:rsidRPr="00A013E1" w:rsidRDefault="00D35E51">
      <w:pPr>
        <w:tabs>
          <w:tab w:val="left" w:leader="dot" w:pos="9072"/>
        </w:tabs>
        <w:spacing w:line="240" w:lineRule="atLeast"/>
        <w:ind w:left="709"/>
        <w:rPr>
          <w:rFonts w:ascii="Times New Roman" w:hAnsi="Times New Roman" w:cs="Times New Roman"/>
          <w:color w:val="000000"/>
          <w:lang w:val="ru-RU"/>
        </w:rPr>
      </w:pPr>
      <w:r w:rsidRPr="00A013E1">
        <w:rPr>
          <w:rFonts w:ascii="Times New Roman" w:hAnsi="Times New Roman" w:cs="Times New Roman"/>
          <w:lang w:val="ru-RU"/>
        </w:rPr>
        <w:tab/>
      </w:r>
    </w:p>
    <w:p w14:paraId="712A402E" w14:textId="77777777" w:rsidR="00271FA2" w:rsidRPr="00A013E1" w:rsidRDefault="00D35E51">
      <w:pPr>
        <w:tabs>
          <w:tab w:val="left" w:leader="dot" w:pos="9072"/>
        </w:tabs>
        <w:spacing w:line="240" w:lineRule="atLeast"/>
        <w:ind w:left="709"/>
        <w:rPr>
          <w:rFonts w:ascii="Times New Roman" w:hAnsi="Times New Roman" w:cs="Times New Roman"/>
          <w:color w:val="000000"/>
          <w:lang w:val="ru-RU"/>
        </w:rPr>
      </w:pPr>
      <w:r w:rsidRPr="00A013E1">
        <w:rPr>
          <w:rFonts w:ascii="Times New Roman" w:hAnsi="Times New Roman" w:cs="Times New Roman"/>
          <w:lang w:val="ru-RU"/>
        </w:rPr>
        <w:tab/>
      </w:r>
    </w:p>
    <w:p w14:paraId="7CED1B05" w14:textId="77777777" w:rsidR="00271FA2" w:rsidRPr="00A013E1" w:rsidRDefault="00D35E51">
      <w:pPr>
        <w:tabs>
          <w:tab w:val="left" w:leader="dot" w:pos="9072"/>
        </w:tabs>
        <w:spacing w:line="240" w:lineRule="atLeast"/>
        <w:ind w:left="709"/>
        <w:rPr>
          <w:rFonts w:ascii="Times New Roman" w:hAnsi="Times New Roman" w:cs="Times New Roman"/>
          <w:color w:val="000000"/>
          <w:lang w:val="ru-RU"/>
        </w:rPr>
      </w:pPr>
      <w:r w:rsidRPr="00A013E1">
        <w:rPr>
          <w:rFonts w:ascii="Times New Roman" w:hAnsi="Times New Roman" w:cs="Times New Roman"/>
          <w:lang w:val="ru-RU"/>
        </w:rPr>
        <w:tab/>
      </w:r>
    </w:p>
    <w:p w14:paraId="2F3287D4" w14:textId="77777777" w:rsidR="00271FA2" w:rsidRPr="00A013E1" w:rsidRDefault="00D35E51">
      <w:pPr>
        <w:tabs>
          <w:tab w:val="left" w:leader="dot" w:pos="9072"/>
        </w:tabs>
        <w:spacing w:line="240" w:lineRule="atLeast"/>
        <w:ind w:left="709"/>
        <w:rPr>
          <w:rFonts w:ascii="Times New Roman" w:hAnsi="Times New Roman" w:cs="Times New Roman"/>
          <w:color w:val="000000"/>
          <w:lang w:val="ru-RU"/>
        </w:rPr>
      </w:pPr>
      <w:r w:rsidRPr="00A013E1">
        <w:rPr>
          <w:rFonts w:ascii="Times New Roman" w:hAnsi="Times New Roman" w:cs="Times New Roman"/>
          <w:lang w:val="ru-RU"/>
        </w:rPr>
        <w:tab/>
      </w:r>
    </w:p>
    <w:p w14:paraId="409190FB" w14:textId="77777777" w:rsidR="00271FA2" w:rsidRPr="00A013E1" w:rsidRDefault="00D35E51">
      <w:pPr>
        <w:spacing w:line="240" w:lineRule="atLeast"/>
        <w:ind w:left="709" w:hanging="709"/>
        <w:jc w:val="both"/>
        <w:rPr>
          <w:rFonts w:ascii="Times New Roman" w:hAnsi="Times New Roman" w:cs="Times New Roman"/>
          <w:color w:val="000000"/>
          <w:lang w:val="ru-RU"/>
        </w:rPr>
      </w:pPr>
      <w:r w:rsidRPr="00A013E1">
        <w:rPr>
          <w:rFonts w:ascii="Times New Roman" w:hAnsi="Times New Roman" w:cs="Times New Roman"/>
          <w:color w:val="000000"/>
          <w:lang w:val="ru-RU"/>
        </w:rPr>
        <w:t>1.4</w:t>
      </w:r>
      <w:r w:rsidRPr="00A013E1">
        <w:rPr>
          <w:rFonts w:ascii="Times New Roman" w:hAnsi="Times New Roman" w:cs="Times New Roman"/>
          <w:lang w:val="ru-RU"/>
        </w:rPr>
        <w:tab/>
      </w:r>
      <w:r w:rsidRPr="00A013E1">
        <w:rPr>
          <w:rFonts w:ascii="Times New Roman" w:hAnsi="Times New Roman" w:cs="Times New Roman"/>
          <w:color w:val="000000"/>
          <w:lang w:val="ru-RU"/>
        </w:rPr>
        <w:t>Компетентен орган или техническа служба:</w:t>
      </w:r>
    </w:p>
    <w:p w14:paraId="2B73B32B" w14:textId="77777777" w:rsidR="00271FA2" w:rsidRPr="00A013E1" w:rsidRDefault="00271FA2">
      <w:pPr>
        <w:spacing w:line="240" w:lineRule="atLeast"/>
        <w:ind w:left="709" w:hanging="709"/>
        <w:rPr>
          <w:rFonts w:ascii="Times New Roman" w:hAnsi="Times New Roman" w:cs="Times New Roman"/>
          <w:color w:val="000000"/>
          <w:lang w:val="ru-RU"/>
        </w:rPr>
      </w:pPr>
    </w:p>
    <w:p w14:paraId="10AD4520" w14:textId="77777777" w:rsidR="00271FA2" w:rsidRPr="00A013E1" w:rsidRDefault="00271FA2">
      <w:pPr>
        <w:spacing w:line="240" w:lineRule="atLeast"/>
        <w:ind w:left="709" w:hanging="709"/>
        <w:rPr>
          <w:rFonts w:ascii="Times New Roman" w:hAnsi="Times New Roman" w:cs="Times New Roman"/>
          <w:color w:val="000000"/>
          <w:lang w:val="ru-RU"/>
        </w:rPr>
      </w:pPr>
    </w:p>
    <w:p w14:paraId="6241A18F" w14:textId="77777777" w:rsidR="00271FA2" w:rsidRPr="00A013E1" w:rsidRDefault="00D35E51">
      <w:pPr>
        <w:tabs>
          <w:tab w:val="left" w:leader="dot" w:pos="3828"/>
          <w:tab w:val="left" w:pos="4111"/>
          <w:tab w:val="left" w:leader="dot" w:pos="9072"/>
        </w:tabs>
        <w:spacing w:line="240" w:lineRule="atLeast"/>
        <w:rPr>
          <w:rFonts w:ascii="Times New Roman" w:hAnsi="Times New Roman" w:cs="Times New Roman"/>
          <w:color w:val="000000"/>
          <w:lang w:val="ru-RU"/>
        </w:rPr>
      </w:pPr>
      <w:r w:rsidRPr="00A013E1">
        <w:rPr>
          <w:rFonts w:ascii="Times New Roman" w:hAnsi="Times New Roman" w:cs="Times New Roman"/>
          <w:color w:val="000000"/>
          <w:lang w:val="ru-RU"/>
        </w:rPr>
        <w:t xml:space="preserve">Място, дата: </w:t>
      </w:r>
      <w:r w:rsidRPr="00A013E1">
        <w:rPr>
          <w:rFonts w:ascii="Times New Roman" w:hAnsi="Times New Roman" w:cs="Times New Roman"/>
          <w:lang w:val="ru-RU"/>
        </w:rPr>
        <w:tab/>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Подпис: </w:t>
      </w:r>
      <w:r w:rsidRPr="00A013E1">
        <w:rPr>
          <w:rFonts w:ascii="Times New Roman" w:hAnsi="Times New Roman" w:cs="Times New Roman"/>
          <w:lang w:val="ru-RU"/>
        </w:rPr>
        <w:tab/>
      </w:r>
    </w:p>
    <w:p w14:paraId="1190EF2F" w14:textId="77777777" w:rsidR="00406F32" w:rsidRPr="00A013E1" w:rsidRDefault="00406F32">
      <w:pPr>
        <w:spacing w:line="240" w:lineRule="atLeast"/>
        <w:ind w:left="709" w:hanging="709"/>
        <w:rPr>
          <w:rFonts w:ascii="Times New Roman" w:hAnsi="Times New Roman" w:cs="Times New Roman"/>
          <w:color w:val="000000"/>
          <w:lang w:val="ru-RU"/>
        </w:rPr>
        <w:sectPr w:rsidR="00406F32" w:rsidRPr="00A013E1" w:rsidSect="00A013E1">
          <w:headerReference w:type="default" r:id="rId148"/>
          <w:footnotePr>
            <w:numRestart w:val="eachPage"/>
          </w:footnotePr>
          <w:pgSz w:w="11907" w:h="16840"/>
          <w:pgMar w:top="1134" w:right="1134" w:bottom="1134" w:left="1134" w:header="709" w:footer="709" w:gutter="0"/>
          <w:cols w:space="720"/>
          <w:docGrid w:linePitch="326"/>
        </w:sectPr>
      </w:pPr>
    </w:p>
    <w:p w14:paraId="6AA05A46" w14:textId="77777777" w:rsidR="00271FA2" w:rsidRPr="00A013E1" w:rsidRDefault="00D35E51">
      <w:pPr>
        <w:pStyle w:val="ES-Titre3"/>
        <w:spacing w:line="240" w:lineRule="atLeast"/>
        <w:rPr>
          <w:rFonts w:ascii="Times New Roman" w:hAnsi="Times New Roman" w:cs="Times New Roman"/>
          <w:sz w:val="24"/>
          <w:szCs w:val="24"/>
          <w:lang w:val="ru-RU"/>
        </w:rPr>
      </w:pPr>
      <w:bookmarkStart w:id="636" w:name="_Toc491854330"/>
      <w:bookmarkStart w:id="637" w:name="_Toc535827771"/>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IV</w:t>
      </w:r>
      <w:bookmarkEnd w:id="636"/>
      <w:bookmarkEnd w:id="637"/>
    </w:p>
    <w:p w14:paraId="24B41EC6" w14:textId="77777777" w:rsidR="00271FA2" w:rsidRPr="00A013E1" w:rsidRDefault="00D35E51">
      <w:pPr>
        <w:pStyle w:val="ES-Titre3a"/>
        <w:spacing w:line="240" w:lineRule="atLeast"/>
        <w:rPr>
          <w:rFonts w:ascii="Times New Roman" w:hAnsi="Times New Roman" w:cs="Times New Roman"/>
          <w:sz w:val="24"/>
          <w:szCs w:val="24"/>
          <w:lang w:val="ru-RU"/>
        </w:rPr>
      </w:pPr>
      <w:bookmarkStart w:id="638" w:name="_Toc535827772"/>
      <w:bookmarkStart w:id="639" w:name="_Toc491854331"/>
      <w:r w:rsidRPr="00A013E1">
        <w:rPr>
          <w:rFonts w:ascii="Times New Roman" w:hAnsi="Times New Roman" w:cs="Times New Roman"/>
          <w:sz w:val="24"/>
          <w:szCs w:val="24"/>
          <w:lang w:val="ru-RU"/>
        </w:rPr>
        <w:t>Система за номериране на одобренията на типа</w:t>
      </w:r>
      <w:bookmarkEnd w:id="638"/>
      <w:bookmarkEnd w:id="639"/>
    </w:p>
    <w:p w14:paraId="2D0D68A0" w14:textId="77777777" w:rsidR="00271FA2" w:rsidRPr="00A013E1" w:rsidRDefault="00D35E51">
      <w:pPr>
        <w:overflowPunct w:val="0"/>
        <w:adjustRightInd w:val="0"/>
        <w:spacing w:line="240" w:lineRule="atLeast"/>
        <w:jc w:val="center"/>
        <w:textAlignment w:val="baseline"/>
        <w:rPr>
          <w:rFonts w:ascii="Times New Roman" w:eastAsia="Calibri" w:hAnsi="Times New Roman" w:cs="Times New Roman"/>
          <w:lang w:val="ru-RU"/>
        </w:rPr>
      </w:pPr>
      <w:r w:rsidRPr="00A013E1">
        <w:rPr>
          <w:rFonts w:ascii="Times New Roman" w:hAnsi="Times New Roman" w:cs="Times New Roman"/>
          <w:lang w:val="ru-RU"/>
        </w:rPr>
        <w:t>(Образец)</w:t>
      </w:r>
    </w:p>
    <w:p w14:paraId="76737BAB" w14:textId="77777777" w:rsidR="00271FA2" w:rsidRPr="00A013E1" w:rsidRDefault="00D35E51" w:rsidP="0036364E">
      <w:pPr>
        <w:spacing w:line="240" w:lineRule="atLeast"/>
        <w:ind w:left="567" w:hanging="567"/>
        <w:rPr>
          <w:rFonts w:ascii="Times New Roman" w:hAnsi="Times New Roman" w:cs="Times New Roman"/>
          <w:color w:val="000000"/>
          <w:lang w:val="ru-RU"/>
        </w:rPr>
      </w:pPr>
      <w:r w:rsidRPr="00A013E1">
        <w:rPr>
          <w:rFonts w:ascii="Times New Roman" w:hAnsi="Times New Roman" w:cs="Times New Roman"/>
          <w:color w:val="000000"/>
          <w:lang w:val="ru-RU"/>
        </w:rPr>
        <w:t>1.</w:t>
      </w:r>
      <w:r w:rsidRPr="00A013E1">
        <w:rPr>
          <w:rFonts w:ascii="Times New Roman" w:hAnsi="Times New Roman" w:cs="Times New Roman"/>
          <w:lang w:val="ru-RU"/>
        </w:rPr>
        <w:tab/>
      </w:r>
      <w:r w:rsidRPr="00A013E1">
        <w:rPr>
          <w:rFonts w:ascii="Times New Roman" w:hAnsi="Times New Roman" w:cs="Times New Roman"/>
          <w:color w:val="000000"/>
          <w:lang w:val="ru-RU"/>
        </w:rPr>
        <w:t>Система</w:t>
      </w:r>
    </w:p>
    <w:p w14:paraId="475C3C24" w14:textId="77777777" w:rsidR="00271FA2" w:rsidRPr="00A013E1" w:rsidRDefault="00D35E51" w:rsidP="0036364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Номерът трябва да се състои от четири части, разделени от символа „*“.</w:t>
      </w:r>
    </w:p>
    <w:p w14:paraId="387C1602" w14:textId="77777777" w:rsidR="00271FA2" w:rsidRPr="00A013E1" w:rsidRDefault="00D35E51" w:rsidP="0036364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Раздел 1:</w:t>
      </w:r>
      <w:r w:rsidRPr="00A013E1">
        <w:rPr>
          <w:rFonts w:ascii="Times New Roman" w:hAnsi="Times New Roman" w:cs="Times New Roman"/>
          <w:lang w:val="ru-RU"/>
        </w:rPr>
        <w:tab/>
        <w:t>Малка буква “</w:t>
      </w:r>
      <w:r w:rsidRPr="00A013E1">
        <w:rPr>
          <w:rFonts w:ascii="Times New Roman" w:hAnsi="Times New Roman" w:cs="Times New Roman"/>
        </w:rPr>
        <w:t>e</w:t>
      </w:r>
      <w:r w:rsidRPr="00A013E1">
        <w:rPr>
          <w:rFonts w:ascii="Times New Roman" w:hAnsi="Times New Roman" w:cs="Times New Roman"/>
          <w:lang w:val="ru-RU"/>
        </w:rPr>
        <w:t>“ за ЕС или буквата “</w:t>
      </w:r>
      <w:r w:rsidRPr="00A013E1">
        <w:rPr>
          <w:rFonts w:ascii="Times New Roman" w:hAnsi="Times New Roman" w:cs="Times New Roman"/>
        </w:rPr>
        <w:t>R</w:t>
      </w:r>
      <w:r w:rsidRPr="00A013E1">
        <w:rPr>
          <w:rFonts w:ascii="Times New Roman" w:hAnsi="Times New Roman" w:cs="Times New Roman"/>
          <w:lang w:val="ru-RU"/>
        </w:rPr>
        <w:t>“, последвана от отличителния номер на държавата, която издава одобрението на типа:</w:t>
      </w:r>
    </w:p>
    <w:p w14:paraId="0B6517E8" w14:textId="77777777" w:rsidR="00271FA2" w:rsidRPr="00A013E1" w:rsidRDefault="00271FA2">
      <w:pPr>
        <w:spacing w:line="240" w:lineRule="atLeast"/>
        <w:ind w:left="850" w:hanging="850"/>
        <w:rPr>
          <w:rFonts w:ascii="Times New Roman" w:hAnsi="Times New Roman" w:cs="Times New Roman"/>
          <w:lang w:val="ru-RU"/>
        </w:rPr>
      </w:pPr>
    </w:p>
    <w:tbl>
      <w:tblPr>
        <w:tblW w:w="7587" w:type="dxa"/>
        <w:jc w:val="center"/>
        <w:tblLayout w:type="fixed"/>
        <w:tblLook w:val="04A0" w:firstRow="1" w:lastRow="0" w:firstColumn="1" w:lastColumn="0" w:noHBand="0" w:noVBand="1"/>
      </w:tblPr>
      <w:tblGrid>
        <w:gridCol w:w="720"/>
        <w:gridCol w:w="360"/>
        <w:gridCol w:w="3162"/>
        <w:gridCol w:w="724"/>
        <w:gridCol w:w="416"/>
        <w:gridCol w:w="2205"/>
      </w:tblGrid>
      <w:tr w:rsidR="00271FA2" w:rsidRPr="00A013E1" w14:paraId="73ABC44B" w14:textId="77777777">
        <w:trPr>
          <w:jc w:val="center"/>
        </w:trPr>
        <w:tc>
          <w:tcPr>
            <w:tcW w:w="720" w:type="dxa"/>
          </w:tcPr>
          <w:p w14:paraId="4052D63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01 </w:t>
            </w:r>
          </w:p>
        </w:tc>
        <w:tc>
          <w:tcPr>
            <w:tcW w:w="360" w:type="dxa"/>
          </w:tcPr>
          <w:p w14:paraId="44F0683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55DA482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Германия</w:t>
            </w:r>
          </w:p>
        </w:tc>
        <w:tc>
          <w:tcPr>
            <w:tcW w:w="724" w:type="dxa"/>
          </w:tcPr>
          <w:p w14:paraId="320F52B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19</w:t>
            </w:r>
          </w:p>
        </w:tc>
        <w:tc>
          <w:tcPr>
            <w:tcW w:w="416" w:type="dxa"/>
          </w:tcPr>
          <w:p w14:paraId="10E5200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w:t>
            </w:r>
          </w:p>
        </w:tc>
        <w:tc>
          <w:tcPr>
            <w:tcW w:w="2205" w:type="dxa"/>
          </w:tcPr>
          <w:p w14:paraId="410B904D"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Румъния</w:t>
            </w:r>
          </w:p>
        </w:tc>
      </w:tr>
      <w:tr w:rsidR="00271FA2" w:rsidRPr="00A013E1" w14:paraId="1DC83E5E" w14:textId="77777777">
        <w:trPr>
          <w:jc w:val="center"/>
        </w:trPr>
        <w:tc>
          <w:tcPr>
            <w:tcW w:w="720" w:type="dxa"/>
          </w:tcPr>
          <w:p w14:paraId="1F9667C9"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02 </w:t>
            </w:r>
          </w:p>
        </w:tc>
        <w:tc>
          <w:tcPr>
            <w:tcW w:w="360" w:type="dxa"/>
          </w:tcPr>
          <w:p w14:paraId="68184B4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070CEB0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Франция </w:t>
            </w:r>
          </w:p>
        </w:tc>
        <w:tc>
          <w:tcPr>
            <w:tcW w:w="724" w:type="dxa"/>
          </w:tcPr>
          <w:p w14:paraId="15A0B479"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20 </w:t>
            </w:r>
          </w:p>
        </w:tc>
        <w:tc>
          <w:tcPr>
            <w:tcW w:w="416" w:type="dxa"/>
          </w:tcPr>
          <w:p w14:paraId="51384C6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77D76846"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Полша </w:t>
            </w:r>
          </w:p>
        </w:tc>
      </w:tr>
      <w:tr w:rsidR="00271FA2" w:rsidRPr="00A013E1" w14:paraId="6113DC76" w14:textId="77777777">
        <w:trPr>
          <w:jc w:val="center"/>
        </w:trPr>
        <w:tc>
          <w:tcPr>
            <w:tcW w:w="720" w:type="dxa"/>
          </w:tcPr>
          <w:p w14:paraId="260D563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03 </w:t>
            </w:r>
          </w:p>
        </w:tc>
        <w:tc>
          <w:tcPr>
            <w:tcW w:w="360" w:type="dxa"/>
          </w:tcPr>
          <w:p w14:paraId="68B1736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7AA597E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Италия</w:t>
            </w:r>
          </w:p>
        </w:tc>
        <w:tc>
          <w:tcPr>
            <w:tcW w:w="724" w:type="dxa"/>
          </w:tcPr>
          <w:p w14:paraId="3DC05B92"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21 </w:t>
            </w:r>
          </w:p>
        </w:tc>
        <w:tc>
          <w:tcPr>
            <w:tcW w:w="416" w:type="dxa"/>
          </w:tcPr>
          <w:p w14:paraId="1785B8CC"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000F2BE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Португалия </w:t>
            </w:r>
          </w:p>
        </w:tc>
      </w:tr>
      <w:tr w:rsidR="00271FA2" w:rsidRPr="00A013E1" w14:paraId="51ABF41E" w14:textId="77777777">
        <w:trPr>
          <w:jc w:val="center"/>
        </w:trPr>
        <w:tc>
          <w:tcPr>
            <w:tcW w:w="720" w:type="dxa"/>
          </w:tcPr>
          <w:p w14:paraId="51FD86C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04 </w:t>
            </w:r>
          </w:p>
        </w:tc>
        <w:tc>
          <w:tcPr>
            <w:tcW w:w="360" w:type="dxa"/>
          </w:tcPr>
          <w:p w14:paraId="0627E3E6"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435EA81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Нидерландия </w:t>
            </w:r>
          </w:p>
        </w:tc>
        <w:tc>
          <w:tcPr>
            <w:tcW w:w="724" w:type="dxa"/>
          </w:tcPr>
          <w:p w14:paraId="2163B41B"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23 </w:t>
            </w:r>
          </w:p>
        </w:tc>
        <w:tc>
          <w:tcPr>
            <w:tcW w:w="416" w:type="dxa"/>
          </w:tcPr>
          <w:p w14:paraId="09012E4D"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0D5A062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Гърция</w:t>
            </w:r>
          </w:p>
        </w:tc>
      </w:tr>
      <w:tr w:rsidR="00271FA2" w:rsidRPr="00A013E1" w14:paraId="13B95135" w14:textId="77777777">
        <w:trPr>
          <w:jc w:val="center"/>
        </w:trPr>
        <w:tc>
          <w:tcPr>
            <w:tcW w:w="720" w:type="dxa"/>
          </w:tcPr>
          <w:p w14:paraId="4CC101D5"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05 </w:t>
            </w:r>
          </w:p>
        </w:tc>
        <w:tc>
          <w:tcPr>
            <w:tcW w:w="360" w:type="dxa"/>
          </w:tcPr>
          <w:p w14:paraId="2370278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20A9A6D6"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Швеция</w:t>
            </w:r>
          </w:p>
        </w:tc>
        <w:tc>
          <w:tcPr>
            <w:tcW w:w="724" w:type="dxa"/>
          </w:tcPr>
          <w:p w14:paraId="27722115"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24 </w:t>
            </w:r>
          </w:p>
        </w:tc>
        <w:tc>
          <w:tcPr>
            <w:tcW w:w="416" w:type="dxa"/>
          </w:tcPr>
          <w:p w14:paraId="606BE51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2640819E"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Ирландия</w:t>
            </w:r>
          </w:p>
        </w:tc>
      </w:tr>
      <w:tr w:rsidR="00271FA2" w:rsidRPr="00A013E1" w14:paraId="1806A6F2" w14:textId="77777777">
        <w:trPr>
          <w:jc w:val="center"/>
        </w:trPr>
        <w:tc>
          <w:tcPr>
            <w:tcW w:w="720" w:type="dxa"/>
          </w:tcPr>
          <w:p w14:paraId="476D2AAE"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06 </w:t>
            </w:r>
          </w:p>
        </w:tc>
        <w:tc>
          <w:tcPr>
            <w:tcW w:w="360" w:type="dxa"/>
          </w:tcPr>
          <w:p w14:paraId="420B398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43AB454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Белгия </w:t>
            </w:r>
          </w:p>
        </w:tc>
        <w:tc>
          <w:tcPr>
            <w:tcW w:w="724" w:type="dxa"/>
            <w:vAlign w:val="center"/>
          </w:tcPr>
          <w:p w14:paraId="1C8DFFC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color w:val="000000"/>
              </w:rPr>
              <w:t>25</w:t>
            </w:r>
          </w:p>
        </w:tc>
        <w:tc>
          <w:tcPr>
            <w:tcW w:w="416" w:type="dxa"/>
            <w:vAlign w:val="center"/>
          </w:tcPr>
          <w:p w14:paraId="0E9A2B3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color w:val="000000"/>
              </w:rPr>
              <w:t>=</w:t>
            </w:r>
          </w:p>
        </w:tc>
        <w:tc>
          <w:tcPr>
            <w:tcW w:w="2205" w:type="dxa"/>
            <w:vAlign w:val="center"/>
          </w:tcPr>
          <w:p w14:paraId="4B79BAF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Хърватия</w:t>
            </w:r>
          </w:p>
        </w:tc>
      </w:tr>
      <w:tr w:rsidR="00271FA2" w:rsidRPr="00A013E1" w14:paraId="2825908F" w14:textId="77777777">
        <w:trPr>
          <w:jc w:val="center"/>
        </w:trPr>
        <w:tc>
          <w:tcPr>
            <w:tcW w:w="720" w:type="dxa"/>
          </w:tcPr>
          <w:p w14:paraId="523F462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07 </w:t>
            </w:r>
          </w:p>
        </w:tc>
        <w:tc>
          <w:tcPr>
            <w:tcW w:w="360" w:type="dxa"/>
          </w:tcPr>
          <w:p w14:paraId="60729DB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2818FF4C"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Унгария</w:t>
            </w:r>
          </w:p>
        </w:tc>
        <w:tc>
          <w:tcPr>
            <w:tcW w:w="724" w:type="dxa"/>
          </w:tcPr>
          <w:p w14:paraId="6206D89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26 </w:t>
            </w:r>
          </w:p>
        </w:tc>
        <w:tc>
          <w:tcPr>
            <w:tcW w:w="416" w:type="dxa"/>
          </w:tcPr>
          <w:p w14:paraId="3BAF9B0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5ADB3FA5"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Словения</w:t>
            </w:r>
          </w:p>
        </w:tc>
      </w:tr>
      <w:tr w:rsidR="00271FA2" w:rsidRPr="00A013E1" w14:paraId="7DBB015B" w14:textId="77777777">
        <w:trPr>
          <w:jc w:val="center"/>
        </w:trPr>
        <w:tc>
          <w:tcPr>
            <w:tcW w:w="720" w:type="dxa"/>
          </w:tcPr>
          <w:p w14:paraId="44277BD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08 </w:t>
            </w:r>
          </w:p>
        </w:tc>
        <w:tc>
          <w:tcPr>
            <w:tcW w:w="360" w:type="dxa"/>
          </w:tcPr>
          <w:p w14:paraId="39C6C24B"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1918934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Чешка република</w:t>
            </w:r>
          </w:p>
        </w:tc>
        <w:tc>
          <w:tcPr>
            <w:tcW w:w="724" w:type="dxa"/>
          </w:tcPr>
          <w:p w14:paraId="5ED626E9"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27 </w:t>
            </w:r>
          </w:p>
        </w:tc>
        <w:tc>
          <w:tcPr>
            <w:tcW w:w="416" w:type="dxa"/>
          </w:tcPr>
          <w:p w14:paraId="589FB3F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01C856E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Словакия</w:t>
            </w:r>
          </w:p>
        </w:tc>
      </w:tr>
      <w:tr w:rsidR="00271FA2" w:rsidRPr="00A013E1" w14:paraId="66C2C015" w14:textId="77777777">
        <w:trPr>
          <w:jc w:val="center"/>
        </w:trPr>
        <w:tc>
          <w:tcPr>
            <w:tcW w:w="720" w:type="dxa"/>
          </w:tcPr>
          <w:p w14:paraId="0A3002A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09 </w:t>
            </w:r>
          </w:p>
        </w:tc>
        <w:tc>
          <w:tcPr>
            <w:tcW w:w="360" w:type="dxa"/>
          </w:tcPr>
          <w:p w14:paraId="6EE2EEE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12F2ED4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Испания </w:t>
            </w:r>
          </w:p>
        </w:tc>
        <w:tc>
          <w:tcPr>
            <w:tcW w:w="724" w:type="dxa"/>
          </w:tcPr>
          <w:p w14:paraId="0C8597D6"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29 </w:t>
            </w:r>
          </w:p>
        </w:tc>
        <w:tc>
          <w:tcPr>
            <w:tcW w:w="416" w:type="dxa"/>
          </w:tcPr>
          <w:p w14:paraId="7C1E947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3C320A52"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Естония</w:t>
            </w:r>
          </w:p>
        </w:tc>
      </w:tr>
      <w:tr w:rsidR="00271FA2" w:rsidRPr="00A013E1" w14:paraId="38258032" w14:textId="77777777">
        <w:trPr>
          <w:jc w:val="center"/>
        </w:trPr>
        <w:tc>
          <w:tcPr>
            <w:tcW w:w="720" w:type="dxa"/>
          </w:tcPr>
          <w:p w14:paraId="584FCCBB"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11 </w:t>
            </w:r>
          </w:p>
        </w:tc>
        <w:tc>
          <w:tcPr>
            <w:tcW w:w="360" w:type="dxa"/>
          </w:tcPr>
          <w:p w14:paraId="086DF961"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7E04B0BD"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Обединено кралство</w:t>
            </w:r>
          </w:p>
        </w:tc>
        <w:tc>
          <w:tcPr>
            <w:tcW w:w="724" w:type="dxa"/>
          </w:tcPr>
          <w:p w14:paraId="14FD2CD6"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32 </w:t>
            </w:r>
          </w:p>
        </w:tc>
        <w:tc>
          <w:tcPr>
            <w:tcW w:w="416" w:type="dxa"/>
          </w:tcPr>
          <w:p w14:paraId="4FADD00E"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5A13796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Латвия</w:t>
            </w:r>
          </w:p>
        </w:tc>
      </w:tr>
      <w:tr w:rsidR="00271FA2" w:rsidRPr="00A013E1" w14:paraId="2C171327" w14:textId="77777777">
        <w:trPr>
          <w:jc w:val="center"/>
        </w:trPr>
        <w:tc>
          <w:tcPr>
            <w:tcW w:w="720" w:type="dxa"/>
          </w:tcPr>
          <w:p w14:paraId="11B3C9D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12 </w:t>
            </w:r>
          </w:p>
        </w:tc>
        <w:tc>
          <w:tcPr>
            <w:tcW w:w="360" w:type="dxa"/>
          </w:tcPr>
          <w:p w14:paraId="3953287A"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4644B55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Австрия</w:t>
            </w:r>
          </w:p>
        </w:tc>
        <w:tc>
          <w:tcPr>
            <w:tcW w:w="724" w:type="dxa"/>
          </w:tcPr>
          <w:p w14:paraId="54ED054C"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34</w:t>
            </w:r>
          </w:p>
        </w:tc>
        <w:tc>
          <w:tcPr>
            <w:tcW w:w="416" w:type="dxa"/>
          </w:tcPr>
          <w:p w14:paraId="23F10DC7"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w:t>
            </w:r>
          </w:p>
        </w:tc>
        <w:tc>
          <w:tcPr>
            <w:tcW w:w="2205" w:type="dxa"/>
          </w:tcPr>
          <w:p w14:paraId="71AA449C"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България</w:t>
            </w:r>
          </w:p>
        </w:tc>
      </w:tr>
      <w:tr w:rsidR="00271FA2" w:rsidRPr="00A013E1" w14:paraId="28DD7A8D" w14:textId="77777777">
        <w:trPr>
          <w:jc w:val="center"/>
        </w:trPr>
        <w:tc>
          <w:tcPr>
            <w:tcW w:w="720" w:type="dxa"/>
          </w:tcPr>
          <w:p w14:paraId="0C468A06"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13 </w:t>
            </w:r>
          </w:p>
        </w:tc>
        <w:tc>
          <w:tcPr>
            <w:tcW w:w="360" w:type="dxa"/>
          </w:tcPr>
          <w:p w14:paraId="0929CD4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23B46F5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Люксембург </w:t>
            </w:r>
          </w:p>
        </w:tc>
        <w:tc>
          <w:tcPr>
            <w:tcW w:w="724" w:type="dxa"/>
          </w:tcPr>
          <w:p w14:paraId="5C1F2016"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36 </w:t>
            </w:r>
          </w:p>
        </w:tc>
        <w:tc>
          <w:tcPr>
            <w:tcW w:w="416" w:type="dxa"/>
          </w:tcPr>
          <w:p w14:paraId="311EC588"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048CCE92"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Литва</w:t>
            </w:r>
          </w:p>
        </w:tc>
      </w:tr>
      <w:tr w:rsidR="00271FA2" w:rsidRPr="00A013E1" w14:paraId="2D1333C8" w14:textId="77777777">
        <w:trPr>
          <w:jc w:val="center"/>
        </w:trPr>
        <w:tc>
          <w:tcPr>
            <w:tcW w:w="720" w:type="dxa"/>
          </w:tcPr>
          <w:p w14:paraId="53B33FF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14</w:t>
            </w:r>
          </w:p>
        </w:tc>
        <w:tc>
          <w:tcPr>
            <w:tcW w:w="360" w:type="dxa"/>
          </w:tcPr>
          <w:p w14:paraId="1EA9271E"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5A4E7B92"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Швейцария</w:t>
            </w:r>
          </w:p>
        </w:tc>
        <w:tc>
          <w:tcPr>
            <w:tcW w:w="724" w:type="dxa"/>
          </w:tcPr>
          <w:p w14:paraId="0FE7696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49 </w:t>
            </w:r>
          </w:p>
        </w:tc>
        <w:tc>
          <w:tcPr>
            <w:tcW w:w="416" w:type="dxa"/>
          </w:tcPr>
          <w:p w14:paraId="3BC46F3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79EA503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Кипър</w:t>
            </w:r>
          </w:p>
        </w:tc>
      </w:tr>
      <w:tr w:rsidR="00271FA2" w:rsidRPr="00A013E1" w14:paraId="4EE80599" w14:textId="77777777">
        <w:trPr>
          <w:jc w:val="center"/>
        </w:trPr>
        <w:tc>
          <w:tcPr>
            <w:tcW w:w="720" w:type="dxa"/>
          </w:tcPr>
          <w:p w14:paraId="54B63A53"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17 </w:t>
            </w:r>
          </w:p>
        </w:tc>
        <w:tc>
          <w:tcPr>
            <w:tcW w:w="360" w:type="dxa"/>
          </w:tcPr>
          <w:p w14:paraId="6DE8649B"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07688214"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Финландия</w:t>
            </w:r>
          </w:p>
        </w:tc>
        <w:tc>
          <w:tcPr>
            <w:tcW w:w="724" w:type="dxa"/>
          </w:tcPr>
          <w:p w14:paraId="4F52DECE"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50 </w:t>
            </w:r>
          </w:p>
        </w:tc>
        <w:tc>
          <w:tcPr>
            <w:tcW w:w="416" w:type="dxa"/>
          </w:tcPr>
          <w:p w14:paraId="393A5EC0"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2205" w:type="dxa"/>
          </w:tcPr>
          <w:p w14:paraId="0F51C465"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Малта</w:t>
            </w:r>
          </w:p>
        </w:tc>
      </w:tr>
      <w:tr w:rsidR="00271FA2" w:rsidRPr="00A013E1" w14:paraId="03E013A1" w14:textId="77777777">
        <w:trPr>
          <w:jc w:val="center"/>
        </w:trPr>
        <w:tc>
          <w:tcPr>
            <w:tcW w:w="720" w:type="dxa"/>
          </w:tcPr>
          <w:p w14:paraId="362B8D2F"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18 </w:t>
            </w:r>
          </w:p>
        </w:tc>
        <w:tc>
          <w:tcPr>
            <w:tcW w:w="360" w:type="dxa"/>
          </w:tcPr>
          <w:p w14:paraId="3FD40C4E"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 </w:t>
            </w:r>
          </w:p>
        </w:tc>
        <w:tc>
          <w:tcPr>
            <w:tcW w:w="3162" w:type="dxa"/>
          </w:tcPr>
          <w:p w14:paraId="44E8EA12" w14:textId="77777777" w:rsidR="00271FA2" w:rsidRPr="00A013E1" w:rsidRDefault="00D35E51">
            <w:pPr>
              <w:spacing w:line="240" w:lineRule="atLeast"/>
              <w:rPr>
                <w:rFonts w:ascii="Times New Roman" w:hAnsi="Times New Roman" w:cs="Times New Roman"/>
              </w:rPr>
            </w:pPr>
            <w:r w:rsidRPr="00A013E1">
              <w:rPr>
                <w:rFonts w:ascii="Times New Roman" w:hAnsi="Times New Roman" w:cs="Times New Roman"/>
              </w:rPr>
              <w:t xml:space="preserve">Дания </w:t>
            </w:r>
          </w:p>
        </w:tc>
        <w:tc>
          <w:tcPr>
            <w:tcW w:w="724" w:type="dxa"/>
          </w:tcPr>
          <w:p w14:paraId="3668974C" w14:textId="77777777" w:rsidR="00271FA2" w:rsidRPr="00A013E1" w:rsidRDefault="00271FA2">
            <w:pPr>
              <w:spacing w:line="240" w:lineRule="atLeast"/>
              <w:rPr>
                <w:rFonts w:ascii="Times New Roman" w:hAnsi="Times New Roman" w:cs="Times New Roman"/>
              </w:rPr>
            </w:pPr>
          </w:p>
        </w:tc>
        <w:tc>
          <w:tcPr>
            <w:tcW w:w="416" w:type="dxa"/>
          </w:tcPr>
          <w:p w14:paraId="65810185" w14:textId="77777777" w:rsidR="00271FA2" w:rsidRPr="00A013E1" w:rsidRDefault="00271FA2">
            <w:pPr>
              <w:spacing w:line="240" w:lineRule="atLeast"/>
              <w:rPr>
                <w:rFonts w:ascii="Times New Roman" w:hAnsi="Times New Roman" w:cs="Times New Roman"/>
              </w:rPr>
            </w:pPr>
          </w:p>
        </w:tc>
        <w:tc>
          <w:tcPr>
            <w:tcW w:w="2205" w:type="dxa"/>
          </w:tcPr>
          <w:p w14:paraId="21242D06" w14:textId="77777777" w:rsidR="00271FA2" w:rsidRPr="00A013E1" w:rsidRDefault="00271FA2">
            <w:pPr>
              <w:spacing w:line="240" w:lineRule="atLeast"/>
              <w:rPr>
                <w:rFonts w:ascii="Times New Roman" w:hAnsi="Times New Roman" w:cs="Times New Roman"/>
              </w:rPr>
            </w:pPr>
          </w:p>
        </w:tc>
      </w:tr>
    </w:tbl>
    <w:p w14:paraId="465DAFCD" w14:textId="77777777" w:rsidR="00271FA2" w:rsidRPr="00A013E1" w:rsidRDefault="00D35E51" w:rsidP="0036364E">
      <w:pPr>
        <w:spacing w:before="240" w:line="240" w:lineRule="atLeast"/>
        <w:ind w:left="567"/>
        <w:jc w:val="both"/>
        <w:rPr>
          <w:rFonts w:ascii="Times New Roman" w:hAnsi="Times New Roman" w:cs="Times New Roman"/>
          <w:lang w:val="ru-RU"/>
        </w:rPr>
      </w:pPr>
      <w:r w:rsidRPr="00A013E1">
        <w:rPr>
          <w:rFonts w:ascii="Times New Roman" w:hAnsi="Times New Roman" w:cs="Times New Roman"/>
          <w:lang w:val="ru-RU"/>
        </w:rPr>
        <w:t>Раздел 2:</w:t>
      </w:r>
      <w:r w:rsidRPr="00A013E1">
        <w:rPr>
          <w:rFonts w:ascii="Times New Roman" w:hAnsi="Times New Roman" w:cs="Times New Roman"/>
          <w:lang w:val="ru-RU"/>
        </w:rPr>
        <w:tab/>
        <w:t xml:space="preserve">Посочване на нивото на изискването. Изискванията относно ефективността на пречистване вероятно ще бъдат по-високи в бъдеще. Различните нива на изискванията са отбелязани с римски цифри, като започват от ниво </w:t>
      </w:r>
      <w:r w:rsidRPr="00A013E1">
        <w:rPr>
          <w:rFonts w:ascii="Times New Roman" w:hAnsi="Times New Roman" w:cs="Times New Roman"/>
        </w:rPr>
        <w:t>I</w:t>
      </w:r>
      <w:r w:rsidRPr="00A013E1">
        <w:rPr>
          <w:rFonts w:ascii="Times New Roman" w:hAnsi="Times New Roman" w:cs="Times New Roman"/>
          <w:lang w:val="ru-RU"/>
        </w:rPr>
        <w:t>.</w:t>
      </w:r>
    </w:p>
    <w:p w14:paraId="132E1AAD" w14:textId="77777777" w:rsidR="00271FA2" w:rsidRPr="00A013E1" w:rsidRDefault="00D35E51" w:rsidP="0036364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Раздел 3:</w:t>
      </w:r>
      <w:r w:rsidRPr="00A013E1">
        <w:rPr>
          <w:rFonts w:ascii="Times New Roman" w:hAnsi="Times New Roman" w:cs="Times New Roman"/>
          <w:lang w:val="ru-RU"/>
        </w:rPr>
        <w:tab/>
        <w:t>Четирицифрен последователен номер (при необходимост с начални нули) за обозначаване на базовия номер на одобрението на типа. Последователността започва от 0001.</w:t>
      </w:r>
    </w:p>
    <w:p w14:paraId="6AC21219" w14:textId="77777777" w:rsidR="00271FA2" w:rsidRPr="00A013E1" w:rsidRDefault="00D35E51" w:rsidP="0036364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Раздел 4:</w:t>
      </w:r>
      <w:r w:rsidRPr="00A013E1">
        <w:rPr>
          <w:rFonts w:ascii="Times New Roman" w:hAnsi="Times New Roman" w:cs="Times New Roman"/>
          <w:lang w:val="ru-RU"/>
        </w:rPr>
        <w:tab/>
        <w:t>Двуцифрен последователен номер (при необходимост с начална нула) за обозначаване на удължаването. Последователността започва от 01 за всеки номер.</w:t>
      </w:r>
    </w:p>
    <w:p w14:paraId="323D2C37" w14:textId="77777777" w:rsidR="00271FA2" w:rsidRPr="00A013E1" w:rsidRDefault="00D35E51" w:rsidP="00D30D61">
      <w:pPr>
        <w:tabs>
          <w:tab w:val="left" w:pos="567"/>
        </w:tabs>
        <w:spacing w:line="240" w:lineRule="atLeast"/>
        <w:jc w:val="both"/>
        <w:rPr>
          <w:rFonts w:ascii="Times New Roman" w:hAnsi="Times New Roman" w:cs="Times New Roman"/>
          <w:color w:val="000000"/>
          <w:lang w:val="ru-RU"/>
        </w:rPr>
      </w:pPr>
      <w:r w:rsidRPr="00A013E1">
        <w:rPr>
          <w:rFonts w:ascii="Times New Roman" w:hAnsi="Times New Roman" w:cs="Times New Roman"/>
          <w:color w:val="000000"/>
          <w:lang w:val="ru-RU"/>
        </w:rPr>
        <w:t>2.</w:t>
      </w:r>
      <w:r w:rsidRPr="00A013E1">
        <w:rPr>
          <w:rFonts w:ascii="Times New Roman" w:hAnsi="Times New Roman" w:cs="Times New Roman"/>
          <w:lang w:val="ru-RU"/>
        </w:rPr>
        <w:tab/>
      </w:r>
      <w:r w:rsidRPr="00A013E1">
        <w:rPr>
          <w:rFonts w:ascii="Times New Roman" w:hAnsi="Times New Roman" w:cs="Times New Roman"/>
          <w:color w:val="000000"/>
          <w:lang w:val="ru-RU"/>
        </w:rPr>
        <w:t>Примери</w:t>
      </w:r>
    </w:p>
    <w:p w14:paraId="6FD5F95E" w14:textId="77777777" w:rsidR="00271FA2" w:rsidRPr="00A013E1" w:rsidRDefault="00D35E51" w:rsidP="00D30D61">
      <w:pPr>
        <w:tabs>
          <w:tab w:val="left" w:pos="567"/>
        </w:tabs>
        <w:spacing w:line="240" w:lineRule="atLeast"/>
        <w:ind w:left="567"/>
        <w:jc w:val="both"/>
        <w:rPr>
          <w:rFonts w:ascii="Times New Roman" w:hAnsi="Times New Roman" w:cs="Times New Roman"/>
          <w:lang w:val="ru-RU"/>
        </w:rPr>
      </w:pPr>
      <w:r w:rsidRPr="00A013E1">
        <w:rPr>
          <w:rFonts w:ascii="Times New Roman" w:hAnsi="Times New Roman" w:cs="Times New Roman"/>
        </w:rPr>
        <w:t>a</w:t>
      </w:r>
      <w:r w:rsidRPr="00A013E1">
        <w:rPr>
          <w:rFonts w:ascii="Times New Roman" w:hAnsi="Times New Roman" w:cs="Times New Roman"/>
          <w:lang w:val="ru-RU"/>
        </w:rPr>
        <w:t xml:space="preserve">) трето одобрение на типа (досега без удължаване), издадено от Нидерландия, което съответства на ниво </w:t>
      </w:r>
      <w:r w:rsidRPr="00A013E1">
        <w:rPr>
          <w:rFonts w:ascii="Times New Roman" w:hAnsi="Times New Roman" w:cs="Times New Roman"/>
        </w:rPr>
        <w:t>I</w:t>
      </w:r>
      <w:r w:rsidRPr="00A013E1">
        <w:rPr>
          <w:rFonts w:ascii="Times New Roman" w:hAnsi="Times New Roman" w:cs="Times New Roman"/>
          <w:lang w:val="ru-RU"/>
        </w:rPr>
        <w:t>:</w:t>
      </w:r>
    </w:p>
    <w:p w14:paraId="7ECC7E9C" w14:textId="77777777" w:rsidR="00271FA2" w:rsidRPr="00A013E1" w:rsidRDefault="00D35E51" w:rsidP="00D30D61">
      <w:pPr>
        <w:tabs>
          <w:tab w:val="left" w:pos="567"/>
        </w:tabs>
        <w:spacing w:line="240" w:lineRule="atLeast"/>
        <w:ind w:left="851"/>
        <w:jc w:val="center"/>
        <w:rPr>
          <w:rFonts w:ascii="Times New Roman" w:hAnsi="Times New Roman" w:cs="Times New Roman"/>
          <w:lang w:val="ru-RU"/>
        </w:rPr>
      </w:pPr>
      <w:r w:rsidRPr="00A013E1">
        <w:rPr>
          <w:rFonts w:ascii="Times New Roman" w:hAnsi="Times New Roman" w:cs="Times New Roman"/>
        </w:rPr>
        <w:t>R</w:t>
      </w:r>
      <w:r w:rsidRPr="00A013E1">
        <w:rPr>
          <w:rFonts w:ascii="Times New Roman" w:hAnsi="Times New Roman" w:cs="Times New Roman"/>
          <w:lang w:val="ru-RU"/>
        </w:rPr>
        <w:t xml:space="preserve"> 4*</w:t>
      </w:r>
      <w:r w:rsidRPr="00A013E1">
        <w:rPr>
          <w:rFonts w:ascii="Times New Roman" w:hAnsi="Times New Roman" w:cs="Times New Roman"/>
        </w:rPr>
        <w:t>I</w:t>
      </w:r>
      <w:r w:rsidRPr="00A013E1">
        <w:rPr>
          <w:rFonts w:ascii="Times New Roman" w:hAnsi="Times New Roman" w:cs="Times New Roman"/>
          <w:lang w:val="ru-RU"/>
        </w:rPr>
        <w:t xml:space="preserve">*0003*00 или </w:t>
      </w:r>
      <w:r w:rsidRPr="00A013E1">
        <w:rPr>
          <w:rFonts w:ascii="Times New Roman" w:hAnsi="Times New Roman" w:cs="Times New Roman"/>
        </w:rPr>
        <w:t>e</w:t>
      </w:r>
      <w:r w:rsidRPr="00A013E1">
        <w:rPr>
          <w:rFonts w:ascii="Times New Roman" w:hAnsi="Times New Roman" w:cs="Times New Roman"/>
          <w:lang w:val="ru-RU"/>
        </w:rPr>
        <w:t xml:space="preserve"> 4*</w:t>
      </w:r>
      <w:r w:rsidRPr="00A013E1">
        <w:rPr>
          <w:rFonts w:ascii="Times New Roman" w:hAnsi="Times New Roman" w:cs="Times New Roman"/>
        </w:rPr>
        <w:t>I</w:t>
      </w:r>
      <w:r w:rsidRPr="00A013E1">
        <w:rPr>
          <w:rFonts w:ascii="Times New Roman" w:hAnsi="Times New Roman" w:cs="Times New Roman"/>
          <w:lang w:val="ru-RU"/>
        </w:rPr>
        <w:t>*0003*00</w:t>
      </w:r>
    </w:p>
    <w:p w14:paraId="0622236E" w14:textId="77777777" w:rsidR="00271FA2" w:rsidRPr="00A013E1" w:rsidRDefault="00D35E51" w:rsidP="00D30D61">
      <w:pPr>
        <w:tabs>
          <w:tab w:val="left" w:pos="567"/>
          <w:tab w:val="left" w:pos="993"/>
        </w:tabs>
        <w:spacing w:line="240" w:lineRule="atLeast"/>
        <w:ind w:left="567"/>
        <w:rPr>
          <w:rFonts w:ascii="Times New Roman" w:hAnsi="Times New Roman" w:cs="Times New Roman"/>
          <w:lang w:val="ru-RU"/>
        </w:rPr>
      </w:pPr>
      <w:r w:rsidRPr="00A013E1">
        <w:rPr>
          <w:rFonts w:ascii="Times New Roman" w:hAnsi="Times New Roman" w:cs="Times New Roman"/>
          <w:lang w:val="ru-RU"/>
        </w:rPr>
        <w:t xml:space="preserve">б) второ удължаване на четвъртото одобрение на типа, издадено от Германия, което съответства на ниво </w:t>
      </w:r>
      <w:r w:rsidRPr="00A013E1">
        <w:rPr>
          <w:rFonts w:ascii="Times New Roman" w:hAnsi="Times New Roman" w:cs="Times New Roman"/>
        </w:rPr>
        <w:t>II</w:t>
      </w:r>
      <w:r w:rsidRPr="00A013E1">
        <w:rPr>
          <w:rFonts w:ascii="Times New Roman" w:hAnsi="Times New Roman" w:cs="Times New Roman"/>
          <w:lang w:val="ru-RU"/>
        </w:rPr>
        <w:t>:</w:t>
      </w:r>
    </w:p>
    <w:p w14:paraId="66B5F712" w14:textId="77777777" w:rsidR="00271FA2" w:rsidRPr="00A013E1" w:rsidRDefault="00D35E51" w:rsidP="00D30D61">
      <w:pPr>
        <w:tabs>
          <w:tab w:val="left" w:pos="567"/>
        </w:tabs>
        <w:spacing w:line="240" w:lineRule="atLeast"/>
        <w:ind w:left="851"/>
        <w:jc w:val="center"/>
        <w:rPr>
          <w:rFonts w:ascii="Times New Roman" w:hAnsi="Times New Roman" w:cs="Times New Roman"/>
          <w:lang w:val="ru-RU"/>
        </w:rPr>
      </w:pPr>
      <w:r w:rsidRPr="00A013E1">
        <w:rPr>
          <w:rFonts w:ascii="Times New Roman" w:hAnsi="Times New Roman" w:cs="Times New Roman"/>
        </w:rPr>
        <w:lastRenderedPageBreak/>
        <w:t>R</w:t>
      </w:r>
      <w:r w:rsidRPr="00A013E1">
        <w:rPr>
          <w:rFonts w:ascii="Times New Roman" w:hAnsi="Times New Roman" w:cs="Times New Roman"/>
          <w:lang w:val="ru-RU"/>
        </w:rPr>
        <w:t xml:space="preserve"> 1*</w:t>
      </w:r>
      <w:r w:rsidRPr="00A013E1">
        <w:rPr>
          <w:rFonts w:ascii="Times New Roman" w:hAnsi="Times New Roman" w:cs="Times New Roman"/>
        </w:rPr>
        <w:t>II</w:t>
      </w:r>
      <w:r w:rsidRPr="00A013E1">
        <w:rPr>
          <w:rFonts w:ascii="Times New Roman" w:hAnsi="Times New Roman" w:cs="Times New Roman"/>
          <w:lang w:val="ru-RU"/>
        </w:rPr>
        <w:t xml:space="preserve">* 0004*02 или </w:t>
      </w:r>
      <w:r w:rsidRPr="00A013E1">
        <w:rPr>
          <w:rFonts w:ascii="Times New Roman" w:hAnsi="Times New Roman" w:cs="Times New Roman"/>
        </w:rPr>
        <w:t>e</w:t>
      </w:r>
      <w:r w:rsidRPr="00A013E1">
        <w:rPr>
          <w:rFonts w:ascii="Times New Roman" w:hAnsi="Times New Roman" w:cs="Times New Roman"/>
          <w:lang w:val="ru-RU"/>
        </w:rPr>
        <w:t xml:space="preserve"> 4*</w:t>
      </w:r>
      <w:r w:rsidRPr="00A013E1">
        <w:rPr>
          <w:rFonts w:ascii="Times New Roman" w:hAnsi="Times New Roman" w:cs="Times New Roman"/>
        </w:rPr>
        <w:t>I</w:t>
      </w:r>
      <w:r w:rsidRPr="00A013E1">
        <w:rPr>
          <w:rFonts w:ascii="Times New Roman" w:hAnsi="Times New Roman" w:cs="Times New Roman"/>
          <w:lang w:val="ru-RU"/>
        </w:rPr>
        <w:t>*0003*00</w:t>
      </w:r>
    </w:p>
    <w:p w14:paraId="6DD44BA6" w14:textId="77777777" w:rsidR="00271FA2" w:rsidRPr="00A013E1" w:rsidRDefault="00271FA2">
      <w:pPr>
        <w:spacing w:line="240" w:lineRule="atLeast"/>
        <w:ind w:left="851"/>
        <w:jc w:val="center"/>
        <w:rPr>
          <w:rFonts w:ascii="Times New Roman" w:hAnsi="Times New Roman" w:cs="Times New Roman"/>
          <w:lang w:val="ru-RU"/>
        </w:rPr>
      </w:pPr>
    </w:p>
    <w:p w14:paraId="463D49E4" w14:textId="77777777" w:rsidR="0078137D" w:rsidRPr="00A013E1" w:rsidRDefault="0078137D">
      <w:pPr>
        <w:spacing w:line="240" w:lineRule="atLeast"/>
        <w:rPr>
          <w:rFonts w:ascii="Times New Roman" w:hAnsi="Times New Roman" w:cs="Times New Roman"/>
          <w:color w:val="000000"/>
          <w:lang w:val="ru-RU"/>
        </w:rPr>
        <w:sectPr w:rsidR="0078137D" w:rsidRPr="00A013E1" w:rsidSect="00A013E1">
          <w:headerReference w:type="default" r:id="rId149"/>
          <w:footnotePr>
            <w:numRestart w:val="eachPage"/>
          </w:footnotePr>
          <w:pgSz w:w="11907" w:h="16840"/>
          <w:pgMar w:top="1134" w:right="1134" w:bottom="1134" w:left="1134" w:header="709" w:footer="709" w:gutter="0"/>
          <w:cols w:space="720"/>
          <w:docGrid w:linePitch="326"/>
        </w:sectPr>
      </w:pPr>
    </w:p>
    <w:p w14:paraId="0BC1248C" w14:textId="77777777" w:rsidR="00271FA2" w:rsidRPr="00A013E1" w:rsidRDefault="00D35E51" w:rsidP="00D30D61">
      <w:pPr>
        <w:pStyle w:val="ES-Titre3"/>
        <w:spacing w:after="0" w:line="240" w:lineRule="atLeast"/>
        <w:rPr>
          <w:rFonts w:ascii="Times New Roman" w:hAnsi="Times New Roman" w:cs="Times New Roman"/>
          <w:lang w:val="ru-RU"/>
        </w:rPr>
      </w:pPr>
      <w:bookmarkStart w:id="640" w:name="_Toc491854332"/>
      <w:bookmarkStart w:id="641" w:name="_Toc535827773"/>
      <w:r w:rsidRPr="00A013E1">
        <w:rPr>
          <w:rFonts w:ascii="Times New Roman" w:hAnsi="Times New Roman" w:cs="Times New Roman"/>
          <w:lang w:val="ru-RU"/>
        </w:rPr>
        <w:lastRenderedPageBreak/>
        <w:t xml:space="preserve">Раздел </w:t>
      </w:r>
      <w:r w:rsidRPr="00A013E1">
        <w:rPr>
          <w:rFonts w:ascii="Times New Roman" w:hAnsi="Times New Roman" w:cs="Times New Roman"/>
        </w:rPr>
        <w:t>V</w:t>
      </w:r>
      <w:bookmarkEnd w:id="640"/>
      <w:bookmarkEnd w:id="641"/>
    </w:p>
    <w:p w14:paraId="0BA3C530" w14:textId="77777777" w:rsidR="00271FA2" w:rsidRPr="00A013E1" w:rsidRDefault="00D35E51" w:rsidP="00D30D61">
      <w:pPr>
        <w:pStyle w:val="ES-Titre3a"/>
        <w:spacing w:after="0" w:line="240" w:lineRule="atLeast"/>
        <w:rPr>
          <w:rFonts w:ascii="Times New Roman" w:hAnsi="Times New Roman" w:cs="Times New Roman"/>
          <w:lang w:val="ru-RU"/>
        </w:rPr>
      </w:pPr>
      <w:bookmarkStart w:id="642" w:name="_Toc535827774"/>
      <w:bookmarkStart w:id="643" w:name="_Toc491854333"/>
      <w:r w:rsidRPr="00A013E1">
        <w:rPr>
          <w:rFonts w:ascii="Times New Roman" w:hAnsi="Times New Roman" w:cs="Times New Roman"/>
          <w:lang w:val="ru-RU"/>
        </w:rPr>
        <w:t>Обобщение на одобренията на типа за типовете бордови станции за пречистване на отпадъчни води</w:t>
      </w:r>
      <w:bookmarkEnd w:id="642"/>
      <w:bookmarkEnd w:id="643"/>
      <w:r w:rsidRPr="00A013E1">
        <w:rPr>
          <w:rFonts w:ascii="Times New Roman" w:hAnsi="Times New Roman" w:cs="Times New Roman"/>
          <w:lang w:val="ru-RU"/>
        </w:rPr>
        <w:t xml:space="preserve"> </w:t>
      </w:r>
    </w:p>
    <w:p w14:paraId="24D06A00" w14:textId="77777777" w:rsidR="00271FA2" w:rsidRPr="00A013E1" w:rsidRDefault="00D35E51" w:rsidP="00D30D61">
      <w:pPr>
        <w:overflowPunct w:val="0"/>
        <w:adjustRightInd w:val="0"/>
        <w:spacing w:line="240" w:lineRule="atLeast"/>
        <w:jc w:val="center"/>
        <w:textAlignment w:val="baseline"/>
        <w:rPr>
          <w:rFonts w:ascii="Times New Roman" w:hAnsi="Times New Roman" w:cs="Times New Roman"/>
          <w:szCs w:val="20"/>
          <w:lang w:val="ru-RU"/>
        </w:rPr>
      </w:pPr>
      <w:r w:rsidRPr="00A013E1">
        <w:rPr>
          <w:rFonts w:ascii="Times New Roman" w:hAnsi="Times New Roman" w:cs="Times New Roman"/>
          <w:lang w:val="ru-RU"/>
        </w:rPr>
        <w:t>(Образец)</w:t>
      </w:r>
      <w:r w:rsidRPr="00A013E1">
        <w:rPr>
          <w:rFonts w:ascii="Times New Roman" w:hAnsi="Times New Roman" w:cs="Times New Roman"/>
          <w:szCs w:val="20"/>
          <w:lang w:val="ru-RU"/>
        </w:rPr>
        <w:t xml:space="preserve"> </w:t>
      </w:r>
    </w:p>
    <w:p w14:paraId="6A7F583D" w14:textId="77777777" w:rsidR="00271FA2" w:rsidRPr="00A013E1" w:rsidRDefault="00D35E51">
      <w:pPr>
        <w:tabs>
          <w:tab w:val="left" w:pos="11057"/>
        </w:tabs>
        <w:suppressAutoHyphens/>
        <w:spacing w:line="240" w:lineRule="atLeast"/>
        <w:ind w:left="11057"/>
        <w:rPr>
          <w:rFonts w:ascii="Times New Roman" w:hAnsi="Times New Roman" w:cs="Times New Roman"/>
          <w:sz w:val="16"/>
          <w:lang w:val="ru-RU"/>
        </w:rPr>
      </w:pPr>
      <w:r w:rsidRPr="00A013E1">
        <w:rPr>
          <w:rFonts w:ascii="Times New Roman" w:hAnsi="Times New Roman" w:cs="Times New Roman"/>
          <w:sz w:val="16"/>
          <w:lang w:val="ru-RU"/>
        </w:rPr>
        <w:t>Печат на компетентния орган</w:t>
      </w:r>
    </w:p>
    <w:p w14:paraId="32691EFC" w14:textId="77777777" w:rsidR="00271FA2" w:rsidRPr="00A013E1" w:rsidRDefault="00D35E51">
      <w:pPr>
        <w:tabs>
          <w:tab w:val="left" w:leader="dot" w:pos="3402"/>
          <w:tab w:val="left" w:leader="dot" w:pos="4536"/>
          <w:tab w:val="left" w:leader="dot" w:pos="5670"/>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 xml:space="preserve">№ в списъка: </w:t>
      </w:r>
      <w:r w:rsidRPr="00A013E1">
        <w:rPr>
          <w:rFonts w:ascii="Times New Roman" w:hAnsi="Times New Roman" w:cs="Times New Roman"/>
          <w:lang w:val="ru-RU"/>
        </w:rPr>
        <w:tab/>
      </w:r>
    </w:p>
    <w:p w14:paraId="05D688EF" w14:textId="77777777" w:rsidR="00271FA2" w:rsidRPr="00A013E1" w:rsidRDefault="00D35E51" w:rsidP="00D30D61">
      <w:pPr>
        <w:tabs>
          <w:tab w:val="left" w:leader="dot" w:pos="3969"/>
          <w:tab w:val="left" w:pos="4111"/>
          <w:tab w:val="left" w:leader="dot" w:pos="7371"/>
        </w:tabs>
        <w:suppressAutoHyphens/>
        <w:spacing w:after="240" w:line="240" w:lineRule="atLeast"/>
        <w:rPr>
          <w:rFonts w:ascii="Times New Roman" w:hAnsi="Times New Roman" w:cs="Times New Roman"/>
        </w:rPr>
      </w:pPr>
      <w:r w:rsidRPr="00A013E1">
        <w:rPr>
          <w:rFonts w:ascii="Times New Roman" w:hAnsi="Times New Roman" w:cs="Times New Roman"/>
        </w:rPr>
        <w:t xml:space="preserve">Период от </w:t>
      </w:r>
      <w:r w:rsidRPr="00A013E1">
        <w:rPr>
          <w:rFonts w:ascii="Times New Roman" w:hAnsi="Times New Roman" w:cs="Times New Roman"/>
        </w:rPr>
        <w:tab/>
      </w:r>
      <w:r w:rsidRPr="00A013E1">
        <w:rPr>
          <w:rFonts w:ascii="Times New Roman" w:hAnsi="Times New Roman" w:cs="Times New Roman"/>
        </w:rPr>
        <w:tab/>
        <w:t xml:space="preserve">до </w:t>
      </w:r>
      <w:r w:rsidRPr="00A013E1">
        <w:rPr>
          <w:rFonts w:ascii="Times New Roman" w:hAnsi="Times New Roman" w:cs="Times New Roman"/>
        </w:rPr>
        <w:tab/>
      </w:r>
    </w:p>
    <w:tbl>
      <w:tblPr>
        <w:tblW w:w="14453" w:type="dxa"/>
        <w:tblInd w:w="136" w:type="dxa"/>
        <w:tblLayout w:type="fixed"/>
        <w:tblCellMar>
          <w:left w:w="56" w:type="dxa"/>
          <w:right w:w="56" w:type="dxa"/>
        </w:tblCellMar>
        <w:tblLook w:val="04A0" w:firstRow="1" w:lastRow="0" w:firstColumn="1" w:lastColumn="0" w:noHBand="0" w:noVBand="1"/>
      </w:tblPr>
      <w:tblGrid>
        <w:gridCol w:w="1560"/>
        <w:gridCol w:w="1843"/>
        <w:gridCol w:w="2552"/>
        <w:gridCol w:w="1984"/>
        <w:gridCol w:w="1701"/>
        <w:gridCol w:w="2835"/>
        <w:gridCol w:w="1978"/>
      </w:tblGrid>
      <w:tr w:rsidR="00271FA2" w:rsidRPr="00A013E1" w14:paraId="5160AAED" w14:textId="77777777">
        <w:tc>
          <w:tcPr>
            <w:tcW w:w="1560" w:type="dxa"/>
            <w:tcBorders>
              <w:top w:val="single" w:sz="4" w:space="0" w:color="000000"/>
              <w:left w:val="single" w:sz="4" w:space="0" w:color="000000"/>
              <w:bottom w:val="single" w:sz="4" w:space="0" w:color="000000"/>
            </w:tcBorders>
          </w:tcPr>
          <w:p w14:paraId="124FF512"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1</w:t>
            </w:r>
          </w:p>
        </w:tc>
        <w:tc>
          <w:tcPr>
            <w:tcW w:w="1843" w:type="dxa"/>
            <w:tcBorders>
              <w:top w:val="single" w:sz="4" w:space="0" w:color="000000"/>
              <w:left w:val="single" w:sz="4" w:space="0" w:color="000000"/>
              <w:bottom w:val="single" w:sz="4" w:space="0" w:color="000000"/>
            </w:tcBorders>
          </w:tcPr>
          <w:p w14:paraId="20796884"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2</w:t>
            </w:r>
          </w:p>
        </w:tc>
        <w:tc>
          <w:tcPr>
            <w:tcW w:w="2552" w:type="dxa"/>
            <w:tcBorders>
              <w:top w:val="single" w:sz="4" w:space="0" w:color="000000"/>
              <w:left w:val="single" w:sz="4" w:space="0" w:color="000000"/>
              <w:bottom w:val="single" w:sz="4" w:space="0" w:color="000000"/>
            </w:tcBorders>
          </w:tcPr>
          <w:p w14:paraId="6CAB5389"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3</w:t>
            </w:r>
          </w:p>
        </w:tc>
        <w:tc>
          <w:tcPr>
            <w:tcW w:w="1984" w:type="dxa"/>
            <w:tcBorders>
              <w:top w:val="single" w:sz="4" w:space="0" w:color="000000"/>
              <w:left w:val="single" w:sz="4" w:space="0" w:color="000000"/>
              <w:bottom w:val="single" w:sz="4" w:space="0" w:color="000000"/>
            </w:tcBorders>
          </w:tcPr>
          <w:p w14:paraId="03B0A8D5"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4</w:t>
            </w:r>
          </w:p>
        </w:tc>
        <w:tc>
          <w:tcPr>
            <w:tcW w:w="1701" w:type="dxa"/>
            <w:tcBorders>
              <w:top w:val="single" w:sz="4" w:space="0" w:color="000000"/>
              <w:left w:val="single" w:sz="4" w:space="0" w:color="000000"/>
              <w:bottom w:val="single" w:sz="4" w:space="0" w:color="000000"/>
            </w:tcBorders>
          </w:tcPr>
          <w:p w14:paraId="2B49A2CF"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5</w:t>
            </w:r>
          </w:p>
        </w:tc>
        <w:tc>
          <w:tcPr>
            <w:tcW w:w="2835" w:type="dxa"/>
            <w:tcBorders>
              <w:top w:val="single" w:sz="4" w:space="0" w:color="000000"/>
              <w:left w:val="single" w:sz="4" w:space="0" w:color="000000"/>
              <w:bottom w:val="single" w:sz="4" w:space="0" w:color="000000"/>
            </w:tcBorders>
          </w:tcPr>
          <w:p w14:paraId="42F7B837"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6</w:t>
            </w:r>
          </w:p>
        </w:tc>
        <w:tc>
          <w:tcPr>
            <w:tcW w:w="1978" w:type="dxa"/>
            <w:tcBorders>
              <w:top w:val="single" w:sz="4" w:space="0" w:color="000000"/>
              <w:left w:val="single" w:sz="4" w:space="0" w:color="000000"/>
              <w:bottom w:val="single" w:sz="4" w:space="0" w:color="000000"/>
              <w:right w:val="single" w:sz="4" w:space="0" w:color="000000"/>
            </w:tcBorders>
          </w:tcPr>
          <w:p w14:paraId="3462E7BA" w14:textId="77777777" w:rsidR="00271FA2" w:rsidRPr="00A013E1" w:rsidRDefault="00D35E51">
            <w:pPr>
              <w:suppressAutoHyphens/>
              <w:snapToGrid w:val="0"/>
              <w:spacing w:line="240" w:lineRule="atLeast"/>
              <w:jc w:val="center"/>
              <w:rPr>
                <w:rFonts w:ascii="Times New Roman" w:hAnsi="Times New Roman" w:cs="Times New Roman"/>
              </w:rPr>
            </w:pPr>
            <w:r w:rsidRPr="00A013E1">
              <w:rPr>
                <w:rFonts w:ascii="Times New Roman" w:hAnsi="Times New Roman" w:cs="Times New Roman"/>
              </w:rPr>
              <w:t>7</w:t>
            </w:r>
          </w:p>
        </w:tc>
      </w:tr>
      <w:tr w:rsidR="00271FA2" w:rsidRPr="00A013E1" w14:paraId="54367B46" w14:textId="77777777">
        <w:tc>
          <w:tcPr>
            <w:tcW w:w="1560" w:type="dxa"/>
            <w:tcBorders>
              <w:top w:val="single" w:sz="4" w:space="0" w:color="000000"/>
              <w:left w:val="single" w:sz="4" w:space="0" w:color="000000"/>
              <w:bottom w:val="single" w:sz="4" w:space="0" w:color="000000"/>
            </w:tcBorders>
            <w:vAlign w:val="center"/>
          </w:tcPr>
          <w:p w14:paraId="048A3692" w14:textId="77777777" w:rsidR="00271FA2" w:rsidRPr="00A013E1" w:rsidRDefault="00D35E51">
            <w:pPr>
              <w:suppressAutoHyphens/>
              <w:snapToGrid w:val="0"/>
              <w:spacing w:line="240" w:lineRule="atLeast"/>
              <w:jc w:val="center"/>
              <w:rPr>
                <w:rFonts w:ascii="Times New Roman" w:hAnsi="Times New Roman" w:cs="Times New Roman"/>
                <w:vertAlign w:val="superscript"/>
              </w:rPr>
            </w:pPr>
            <w:r w:rsidRPr="00A013E1">
              <w:rPr>
                <w:rFonts w:ascii="Times New Roman" w:hAnsi="Times New Roman" w:cs="Times New Roman"/>
              </w:rPr>
              <w:t>Марка</w:t>
            </w:r>
            <w:r w:rsidRPr="00A013E1">
              <w:rPr>
                <w:rFonts w:ascii="Times New Roman" w:hAnsi="Times New Roman" w:cs="Times New Roman"/>
                <w:vertAlign w:val="superscript"/>
              </w:rPr>
              <w:t>(</w:t>
            </w:r>
            <w:r w:rsidRPr="00A013E1">
              <w:rPr>
                <w:rStyle w:val="FootnoteReference"/>
                <w:rFonts w:ascii="Times New Roman" w:hAnsi="Times New Roman" w:cs="Times New Roman"/>
              </w:rPr>
              <w:footnoteReference w:id="50"/>
            </w:r>
            <w:r w:rsidRPr="00A013E1">
              <w:rPr>
                <w:rFonts w:ascii="Times New Roman" w:hAnsi="Times New Roman" w:cs="Times New Roman"/>
                <w:vertAlign w:val="superscript"/>
              </w:rPr>
              <w:t xml:space="preserve">) </w:t>
            </w:r>
          </w:p>
        </w:tc>
        <w:tc>
          <w:tcPr>
            <w:tcW w:w="1843" w:type="dxa"/>
            <w:tcBorders>
              <w:top w:val="single" w:sz="4" w:space="0" w:color="000000"/>
              <w:left w:val="single" w:sz="4" w:space="0" w:color="000000"/>
              <w:bottom w:val="single" w:sz="4" w:space="0" w:color="000000"/>
            </w:tcBorders>
            <w:vAlign w:val="center"/>
          </w:tcPr>
          <w:p w14:paraId="455C24CE" w14:textId="77777777" w:rsidR="00271FA2" w:rsidRPr="00A013E1" w:rsidRDefault="00D35E51">
            <w:pPr>
              <w:suppressAutoHyphens/>
              <w:snapToGrid w:val="0"/>
              <w:spacing w:line="240" w:lineRule="atLeast"/>
              <w:jc w:val="center"/>
              <w:rPr>
                <w:rFonts w:ascii="Times New Roman" w:hAnsi="Times New Roman" w:cs="Times New Roman"/>
                <w:vertAlign w:val="superscript"/>
              </w:rPr>
            </w:pPr>
            <w:r w:rsidRPr="00A013E1">
              <w:rPr>
                <w:rFonts w:ascii="Times New Roman" w:hAnsi="Times New Roman" w:cs="Times New Roman"/>
              </w:rPr>
              <w:t xml:space="preserve">Обозначение на производителя </w:t>
            </w:r>
            <w:r w:rsidRPr="00A013E1">
              <w:rPr>
                <w:rFonts w:ascii="Times New Roman" w:hAnsi="Times New Roman" w:cs="Times New Roman"/>
                <w:vertAlign w:val="superscript"/>
              </w:rPr>
              <w:t>(1)</w:t>
            </w:r>
          </w:p>
        </w:tc>
        <w:tc>
          <w:tcPr>
            <w:tcW w:w="2552" w:type="dxa"/>
            <w:tcBorders>
              <w:top w:val="single" w:sz="4" w:space="0" w:color="000000"/>
              <w:left w:val="single" w:sz="4" w:space="0" w:color="000000"/>
              <w:bottom w:val="single" w:sz="4" w:space="0" w:color="000000"/>
            </w:tcBorders>
            <w:vAlign w:val="center"/>
          </w:tcPr>
          <w:p w14:paraId="7AFCBB4A" w14:textId="77777777" w:rsidR="00271FA2" w:rsidRPr="00A013E1" w:rsidRDefault="00D35E51">
            <w:pPr>
              <w:suppressAutoHyphens/>
              <w:snapToGrid w:val="0"/>
              <w:spacing w:line="240" w:lineRule="atLeast"/>
              <w:jc w:val="center"/>
              <w:rPr>
                <w:rFonts w:ascii="Times New Roman" w:hAnsi="Times New Roman" w:cs="Times New Roman"/>
                <w:lang w:val="ru-RU"/>
              </w:rPr>
            </w:pPr>
            <w:r w:rsidRPr="00A013E1">
              <w:rPr>
                <w:rFonts w:ascii="Times New Roman" w:hAnsi="Times New Roman" w:cs="Times New Roman"/>
                <w:lang w:val="ru-RU"/>
              </w:rPr>
              <w:t>Номер на одобрението на типа</w:t>
            </w:r>
          </w:p>
        </w:tc>
        <w:tc>
          <w:tcPr>
            <w:tcW w:w="1984" w:type="dxa"/>
            <w:tcBorders>
              <w:top w:val="single" w:sz="4" w:space="0" w:color="000000"/>
              <w:left w:val="single" w:sz="4" w:space="0" w:color="000000"/>
              <w:bottom w:val="single" w:sz="4" w:space="0" w:color="000000"/>
            </w:tcBorders>
            <w:vAlign w:val="center"/>
          </w:tcPr>
          <w:p w14:paraId="4CA9F886" w14:textId="77777777" w:rsidR="00271FA2" w:rsidRPr="00A013E1" w:rsidRDefault="00D35E51">
            <w:pPr>
              <w:suppressAutoHyphens/>
              <w:snapToGrid w:val="0"/>
              <w:spacing w:line="240" w:lineRule="atLeast"/>
              <w:jc w:val="center"/>
              <w:rPr>
                <w:rFonts w:ascii="Times New Roman" w:hAnsi="Times New Roman" w:cs="Times New Roman"/>
                <w:lang w:val="ru-RU"/>
              </w:rPr>
            </w:pPr>
            <w:r w:rsidRPr="00A013E1">
              <w:rPr>
                <w:rFonts w:ascii="Times New Roman" w:hAnsi="Times New Roman" w:cs="Times New Roman"/>
                <w:lang w:val="ru-RU"/>
              </w:rPr>
              <w:t>Дата на одобрението на типа</w:t>
            </w:r>
          </w:p>
        </w:tc>
        <w:tc>
          <w:tcPr>
            <w:tcW w:w="1701" w:type="dxa"/>
            <w:tcBorders>
              <w:top w:val="single" w:sz="4" w:space="0" w:color="000000"/>
              <w:left w:val="single" w:sz="4" w:space="0" w:color="000000"/>
              <w:bottom w:val="single" w:sz="4" w:space="0" w:color="000000"/>
            </w:tcBorders>
            <w:vAlign w:val="center"/>
          </w:tcPr>
          <w:p w14:paraId="2FB00339" w14:textId="77777777" w:rsidR="00271FA2" w:rsidRPr="00A013E1" w:rsidRDefault="00D35E51">
            <w:pPr>
              <w:suppressAutoHyphens/>
              <w:snapToGrid w:val="0"/>
              <w:spacing w:line="240" w:lineRule="atLeast"/>
              <w:jc w:val="center"/>
              <w:rPr>
                <w:rFonts w:ascii="Times New Roman" w:hAnsi="Times New Roman" w:cs="Times New Roman"/>
                <w:vertAlign w:val="superscript"/>
              </w:rPr>
            </w:pPr>
            <w:r w:rsidRPr="00A013E1">
              <w:rPr>
                <w:rFonts w:ascii="Times New Roman" w:hAnsi="Times New Roman" w:cs="Times New Roman"/>
              </w:rPr>
              <w:t>Удължаване/отказ/отнемане</w:t>
            </w:r>
            <w:r w:rsidRPr="00A013E1">
              <w:rPr>
                <w:rFonts w:ascii="Times New Roman" w:hAnsi="Times New Roman" w:cs="Times New Roman"/>
                <w:vertAlign w:val="superscript"/>
              </w:rPr>
              <w:t xml:space="preserve"> </w:t>
            </w:r>
            <w:r w:rsidRPr="00A013E1">
              <w:rPr>
                <w:rStyle w:val="FootnoteReference"/>
                <w:rFonts w:ascii="Times New Roman" w:hAnsi="Times New Roman" w:cs="Times New Roman"/>
              </w:rPr>
              <w:footnoteReference w:id="51"/>
            </w:r>
            <w:r w:rsidRPr="00A013E1">
              <w:rPr>
                <w:rFonts w:ascii="Times New Roman" w:hAnsi="Times New Roman" w:cs="Times New Roman"/>
                <w:vertAlign w:val="superscript"/>
              </w:rPr>
              <w:t>)</w:t>
            </w:r>
          </w:p>
        </w:tc>
        <w:tc>
          <w:tcPr>
            <w:tcW w:w="2835" w:type="dxa"/>
            <w:tcBorders>
              <w:top w:val="single" w:sz="4" w:space="0" w:color="000000"/>
              <w:left w:val="single" w:sz="4" w:space="0" w:color="000000"/>
              <w:bottom w:val="single" w:sz="4" w:space="0" w:color="000000"/>
            </w:tcBorders>
            <w:vAlign w:val="center"/>
          </w:tcPr>
          <w:p w14:paraId="0E7873AF" w14:textId="77777777" w:rsidR="00271FA2" w:rsidRPr="00A013E1" w:rsidRDefault="00D35E51">
            <w:pPr>
              <w:suppressAutoHyphens/>
              <w:snapToGrid w:val="0"/>
              <w:spacing w:line="240" w:lineRule="atLeast"/>
              <w:jc w:val="center"/>
              <w:rPr>
                <w:rFonts w:ascii="Times New Roman" w:hAnsi="Times New Roman" w:cs="Times New Roman"/>
                <w:lang w:val="ru-RU"/>
              </w:rPr>
            </w:pPr>
            <w:r w:rsidRPr="00A013E1">
              <w:rPr>
                <w:rFonts w:ascii="Times New Roman" w:hAnsi="Times New Roman" w:cs="Times New Roman"/>
                <w:lang w:val="ru-RU"/>
              </w:rPr>
              <w:t>Основание за удължаването/отказа/отнемането</w:t>
            </w:r>
          </w:p>
        </w:tc>
        <w:tc>
          <w:tcPr>
            <w:tcW w:w="1978" w:type="dxa"/>
            <w:tcBorders>
              <w:top w:val="single" w:sz="4" w:space="0" w:color="000000"/>
              <w:left w:val="single" w:sz="4" w:space="0" w:color="000000"/>
              <w:bottom w:val="single" w:sz="4" w:space="0" w:color="000000"/>
              <w:right w:val="single" w:sz="4" w:space="0" w:color="000000"/>
            </w:tcBorders>
            <w:vAlign w:val="center"/>
          </w:tcPr>
          <w:p w14:paraId="3DFAA91C" w14:textId="77777777" w:rsidR="00271FA2" w:rsidRPr="00A013E1" w:rsidRDefault="00D35E51">
            <w:pPr>
              <w:suppressAutoHyphens/>
              <w:snapToGrid w:val="0"/>
              <w:spacing w:line="240" w:lineRule="atLeast"/>
              <w:jc w:val="center"/>
              <w:rPr>
                <w:rFonts w:ascii="Times New Roman" w:hAnsi="Times New Roman" w:cs="Times New Roman"/>
                <w:vertAlign w:val="superscript"/>
                <w:lang w:val="ru-RU"/>
              </w:rPr>
            </w:pPr>
            <w:r w:rsidRPr="00A013E1">
              <w:rPr>
                <w:rFonts w:ascii="Times New Roman" w:hAnsi="Times New Roman" w:cs="Times New Roman"/>
                <w:lang w:val="ru-RU"/>
              </w:rPr>
              <w:t>Дата на удължаването/отказа/</w:t>
            </w:r>
            <w:r w:rsidRPr="00A013E1">
              <w:rPr>
                <w:rFonts w:ascii="Times New Roman" w:hAnsi="Times New Roman" w:cs="Times New Roman"/>
                <w:lang w:val="ru-RU"/>
              </w:rPr>
              <w:br/>
              <w:t>отнемането</w:t>
            </w:r>
            <w:r w:rsidRPr="00A013E1">
              <w:rPr>
                <w:rFonts w:ascii="Times New Roman" w:hAnsi="Times New Roman" w:cs="Times New Roman"/>
                <w:vertAlign w:val="superscript"/>
                <w:lang w:val="ru-RU"/>
              </w:rPr>
              <w:t xml:space="preserve"> 2)</w:t>
            </w:r>
          </w:p>
        </w:tc>
      </w:tr>
      <w:tr w:rsidR="00271FA2" w:rsidRPr="00A013E1" w14:paraId="0464599E" w14:textId="77777777">
        <w:tc>
          <w:tcPr>
            <w:tcW w:w="1560" w:type="dxa"/>
            <w:tcBorders>
              <w:left w:val="single" w:sz="4" w:space="0" w:color="000000"/>
            </w:tcBorders>
          </w:tcPr>
          <w:p w14:paraId="4924200B" w14:textId="77777777" w:rsidR="00271FA2" w:rsidRPr="00A013E1" w:rsidRDefault="00271FA2">
            <w:pPr>
              <w:suppressAutoHyphens/>
              <w:snapToGrid w:val="0"/>
              <w:spacing w:line="240" w:lineRule="atLeast"/>
              <w:rPr>
                <w:rFonts w:ascii="Times New Roman" w:hAnsi="Times New Roman" w:cs="Times New Roman"/>
                <w:lang w:val="ru-RU"/>
              </w:rPr>
            </w:pPr>
          </w:p>
        </w:tc>
        <w:tc>
          <w:tcPr>
            <w:tcW w:w="1843" w:type="dxa"/>
            <w:tcBorders>
              <w:left w:val="single" w:sz="4" w:space="0" w:color="000000"/>
            </w:tcBorders>
          </w:tcPr>
          <w:p w14:paraId="09EE2A41" w14:textId="77777777" w:rsidR="00271FA2" w:rsidRPr="00A013E1" w:rsidRDefault="00271FA2">
            <w:pPr>
              <w:suppressAutoHyphens/>
              <w:snapToGrid w:val="0"/>
              <w:spacing w:line="240" w:lineRule="atLeast"/>
              <w:rPr>
                <w:rFonts w:ascii="Times New Roman" w:hAnsi="Times New Roman" w:cs="Times New Roman"/>
                <w:lang w:val="ru-RU"/>
              </w:rPr>
            </w:pPr>
          </w:p>
        </w:tc>
        <w:tc>
          <w:tcPr>
            <w:tcW w:w="2552" w:type="dxa"/>
            <w:tcBorders>
              <w:left w:val="single" w:sz="4" w:space="0" w:color="000000"/>
            </w:tcBorders>
          </w:tcPr>
          <w:p w14:paraId="10D7B471" w14:textId="77777777" w:rsidR="00271FA2" w:rsidRPr="00A013E1" w:rsidRDefault="00271FA2">
            <w:pPr>
              <w:suppressAutoHyphens/>
              <w:snapToGrid w:val="0"/>
              <w:spacing w:line="240" w:lineRule="atLeast"/>
              <w:rPr>
                <w:rFonts w:ascii="Times New Roman" w:hAnsi="Times New Roman" w:cs="Times New Roman"/>
                <w:lang w:val="ru-RU"/>
              </w:rPr>
            </w:pPr>
          </w:p>
        </w:tc>
        <w:tc>
          <w:tcPr>
            <w:tcW w:w="1984" w:type="dxa"/>
            <w:tcBorders>
              <w:left w:val="single" w:sz="4" w:space="0" w:color="000000"/>
            </w:tcBorders>
          </w:tcPr>
          <w:p w14:paraId="3E3208B3" w14:textId="77777777" w:rsidR="00271FA2" w:rsidRPr="00A013E1" w:rsidRDefault="00271FA2">
            <w:pPr>
              <w:suppressAutoHyphens/>
              <w:snapToGrid w:val="0"/>
              <w:spacing w:line="240" w:lineRule="atLeast"/>
              <w:rPr>
                <w:rFonts w:ascii="Times New Roman" w:hAnsi="Times New Roman" w:cs="Times New Roman"/>
                <w:lang w:val="ru-RU"/>
              </w:rPr>
            </w:pPr>
          </w:p>
        </w:tc>
        <w:tc>
          <w:tcPr>
            <w:tcW w:w="1701" w:type="dxa"/>
            <w:tcBorders>
              <w:left w:val="single" w:sz="4" w:space="0" w:color="000000"/>
            </w:tcBorders>
          </w:tcPr>
          <w:p w14:paraId="208496F7" w14:textId="77777777" w:rsidR="00271FA2" w:rsidRPr="00A013E1" w:rsidRDefault="00271FA2">
            <w:pPr>
              <w:suppressAutoHyphens/>
              <w:snapToGrid w:val="0"/>
              <w:spacing w:line="240" w:lineRule="atLeast"/>
              <w:rPr>
                <w:rFonts w:ascii="Times New Roman" w:hAnsi="Times New Roman" w:cs="Times New Roman"/>
                <w:lang w:val="ru-RU"/>
              </w:rPr>
            </w:pPr>
          </w:p>
        </w:tc>
        <w:tc>
          <w:tcPr>
            <w:tcW w:w="2835" w:type="dxa"/>
            <w:tcBorders>
              <w:left w:val="single" w:sz="4" w:space="0" w:color="000000"/>
            </w:tcBorders>
          </w:tcPr>
          <w:p w14:paraId="19A056B4" w14:textId="77777777" w:rsidR="00271FA2" w:rsidRPr="00A013E1" w:rsidRDefault="00271FA2">
            <w:pPr>
              <w:suppressAutoHyphens/>
              <w:snapToGrid w:val="0"/>
              <w:spacing w:line="240" w:lineRule="atLeast"/>
              <w:rPr>
                <w:rFonts w:ascii="Times New Roman" w:hAnsi="Times New Roman" w:cs="Times New Roman"/>
                <w:lang w:val="ru-RU"/>
              </w:rPr>
            </w:pPr>
          </w:p>
        </w:tc>
        <w:tc>
          <w:tcPr>
            <w:tcW w:w="1978" w:type="dxa"/>
            <w:tcBorders>
              <w:left w:val="single" w:sz="4" w:space="0" w:color="000000"/>
              <w:right w:val="single" w:sz="4" w:space="0" w:color="000000"/>
            </w:tcBorders>
          </w:tcPr>
          <w:p w14:paraId="372AEA1E" w14:textId="77777777" w:rsidR="00271FA2" w:rsidRPr="00A013E1" w:rsidRDefault="00271FA2">
            <w:pPr>
              <w:suppressAutoHyphens/>
              <w:snapToGrid w:val="0"/>
              <w:spacing w:line="240" w:lineRule="atLeast"/>
              <w:rPr>
                <w:rFonts w:ascii="Times New Roman" w:hAnsi="Times New Roman" w:cs="Times New Roman"/>
                <w:lang w:val="ru-RU"/>
              </w:rPr>
            </w:pPr>
          </w:p>
        </w:tc>
      </w:tr>
      <w:tr w:rsidR="00271FA2" w:rsidRPr="00A013E1" w14:paraId="5EFAD652" w14:textId="77777777">
        <w:tc>
          <w:tcPr>
            <w:tcW w:w="1560" w:type="dxa"/>
            <w:tcBorders>
              <w:left w:val="single" w:sz="4" w:space="0" w:color="000000"/>
            </w:tcBorders>
          </w:tcPr>
          <w:p w14:paraId="18CEB846" w14:textId="77777777" w:rsidR="00271FA2" w:rsidRPr="00A013E1" w:rsidRDefault="00271FA2">
            <w:pPr>
              <w:suppressAutoHyphens/>
              <w:snapToGrid w:val="0"/>
              <w:spacing w:line="240" w:lineRule="atLeast"/>
              <w:rPr>
                <w:rFonts w:ascii="Times New Roman" w:hAnsi="Times New Roman" w:cs="Times New Roman"/>
                <w:lang w:val="ru-RU"/>
              </w:rPr>
            </w:pPr>
          </w:p>
        </w:tc>
        <w:tc>
          <w:tcPr>
            <w:tcW w:w="1843" w:type="dxa"/>
            <w:tcBorders>
              <w:left w:val="single" w:sz="4" w:space="0" w:color="000000"/>
            </w:tcBorders>
          </w:tcPr>
          <w:p w14:paraId="4D801FE8" w14:textId="77777777" w:rsidR="00271FA2" w:rsidRPr="00A013E1" w:rsidRDefault="00271FA2">
            <w:pPr>
              <w:suppressAutoHyphens/>
              <w:snapToGrid w:val="0"/>
              <w:spacing w:line="240" w:lineRule="atLeast"/>
              <w:rPr>
                <w:rFonts w:ascii="Times New Roman" w:hAnsi="Times New Roman" w:cs="Times New Roman"/>
                <w:lang w:val="ru-RU"/>
              </w:rPr>
            </w:pPr>
          </w:p>
        </w:tc>
        <w:tc>
          <w:tcPr>
            <w:tcW w:w="2552" w:type="dxa"/>
            <w:tcBorders>
              <w:left w:val="single" w:sz="4" w:space="0" w:color="000000"/>
            </w:tcBorders>
          </w:tcPr>
          <w:p w14:paraId="4754F640" w14:textId="77777777" w:rsidR="00271FA2" w:rsidRPr="00A013E1" w:rsidRDefault="00271FA2">
            <w:pPr>
              <w:suppressAutoHyphens/>
              <w:snapToGrid w:val="0"/>
              <w:spacing w:line="240" w:lineRule="atLeast"/>
              <w:rPr>
                <w:rFonts w:ascii="Times New Roman" w:hAnsi="Times New Roman" w:cs="Times New Roman"/>
                <w:lang w:val="ru-RU"/>
              </w:rPr>
            </w:pPr>
          </w:p>
        </w:tc>
        <w:tc>
          <w:tcPr>
            <w:tcW w:w="1984" w:type="dxa"/>
            <w:tcBorders>
              <w:left w:val="single" w:sz="4" w:space="0" w:color="000000"/>
            </w:tcBorders>
          </w:tcPr>
          <w:p w14:paraId="2177CF77" w14:textId="77777777" w:rsidR="00271FA2" w:rsidRPr="00A013E1" w:rsidRDefault="00271FA2">
            <w:pPr>
              <w:suppressAutoHyphens/>
              <w:snapToGrid w:val="0"/>
              <w:spacing w:line="240" w:lineRule="atLeast"/>
              <w:rPr>
                <w:rFonts w:ascii="Times New Roman" w:hAnsi="Times New Roman" w:cs="Times New Roman"/>
                <w:lang w:val="ru-RU"/>
              </w:rPr>
            </w:pPr>
          </w:p>
        </w:tc>
        <w:tc>
          <w:tcPr>
            <w:tcW w:w="1701" w:type="dxa"/>
            <w:tcBorders>
              <w:left w:val="single" w:sz="4" w:space="0" w:color="000000"/>
            </w:tcBorders>
          </w:tcPr>
          <w:p w14:paraId="0C5ED662" w14:textId="77777777" w:rsidR="00271FA2" w:rsidRPr="00A013E1" w:rsidRDefault="00271FA2">
            <w:pPr>
              <w:suppressAutoHyphens/>
              <w:snapToGrid w:val="0"/>
              <w:spacing w:line="240" w:lineRule="atLeast"/>
              <w:rPr>
                <w:rFonts w:ascii="Times New Roman" w:hAnsi="Times New Roman" w:cs="Times New Roman"/>
                <w:lang w:val="ru-RU"/>
              </w:rPr>
            </w:pPr>
          </w:p>
        </w:tc>
        <w:tc>
          <w:tcPr>
            <w:tcW w:w="2835" w:type="dxa"/>
            <w:tcBorders>
              <w:left w:val="single" w:sz="4" w:space="0" w:color="000000"/>
            </w:tcBorders>
          </w:tcPr>
          <w:p w14:paraId="2D533263" w14:textId="77777777" w:rsidR="00271FA2" w:rsidRPr="00A013E1" w:rsidRDefault="00271FA2">
            <w:pPr>
              <w:suppressAutoHyphens/>
              <w:snapToGrid w:val="0"/>
              <w:spacing w:line="240" w:lineRule="atLeast"/>
              <w:rPr>
                <w:rFonts w:ascii="Times New Roman" w:hAnsi="Times New Roman" w:cs="Times New Roman"/>
                <w:lang w:val="ru-RU"/>
              </w:rPr>
            </w:pPr>
          </w:p>
        </w:tc>
        <w:tc>
          <w:tcPr>
            <w:tcW w:w="1978" w:type="dxa"/>
            <w:tcBorders>
              <w:left w:val="single" w:sz="4" w:space="0" w:color="000000"/>
              <w:right w:val="single" w:sz="4" w:space="0" w:color="000000"/>
            </w:tcBorders>
          </w:tcPr>
          <w:p w14:paraId="6BC0D010" w14:textId="77777777" w:rsidR="00271FA2" w:rsidRPr="00A013E1" w:rsidRDefault="00271FA2">
            <w:pPr>
              <w:suppressAutoHyphens/>
              <w:snapToGrid w:val="0"/>
              <w:spacing w:line="240" w:lineRule="atLeast"/>
              <w:rPr>
                <w:rFonts w:ascii="Times New Roman" w:hAnsi="Times New Roman" w:cs="Times New Roman"/>
                <w:lang w:val="ru-RU"/>
              </w:rPr>
            </w:pPr>
          </w:p>
        </w:tc>
      </w:tr>
      <w:tr w:rsidR="00271FA2" w:rsidRPr="00A013E1" w14:paraId="2B572889" w14:textId="77777777">
        <w:tc>
          <w:tcPr>
            <w:tcW w:w="1560" w:type="dxa"/>
            <w:tcBorders>
              <w:left w:val="single" w:sz="4" w:space="0" w:color="000000"/>
            </w:tcBorders>
          </w:tcPr>
          <w:p w14:paraId="57FCDFD4" w14:textId="77777777" w:rsidR="00271FA2" w:rsidRPr="00A013E1" w:rsidRDefault="00271FA2">
            <w:pPr>
              <w:suppressAutoHyphens/>
              <w:snapToGrid w:val="0"/>
              <w:spacing w:line="240" w:lineRule="atLeast"/>
              <w:rPr>
                <w:rFonts w:ascii="Times New Roman" w:hAnsi="Times New Roman" w:cs="Times New Roman"/>
                <w:lang w:val="ru-RU"/>
              </w:rPr>
            </w:pPr>
          </w:p>
        </w:tc>
        <w:tc>
          <w:tcPr>
            <w:tcW w:w="1843" w:type="dxa"/>
            <w:tcBorders>
              <w:left w:val="single" w:sz="4" w:space="0" w:color="000000"/>
            </w:tcBorders>
          </w:tcPr>
          <w:p w14:paraId="1B23B244" w14:textId="77777777" w:rsidR="00271FA2" w:rsidRPr="00A013E1" w:rsidRDefault="00271FA2">
            <w:pPr>
              <w:suppressAutoHyphens/>
              <w:snapToGrid w:val="0"/>
              <w:spacing w:line="240" w:lineRule="atLeast"/>
              <w:rPr>
                <w:rFonts w:ascii="Times New Roman" w:hAnsi="Times New Roman" w:cs="Times New Roman"/>
                <w:lang w:val="ru-RU"/>
              </w:rPr>
            </w:pPr>
          </w:p>
        </w:tc>
        <w:tc>
          <w:tcPr>
            <w:tcW w:w="2552" w:type="dxa"/>
            <w:tcBorders>
              <w:left w:val="single" w:sz="4" w:space="0" w:color="000000"/>
            </w:tcBorders>
          </w:tcPr>
          <w:p w14:paraId="437AA3E8" w14:textId="77777777" w:rsidR="00271FA2" w:rsidRPr="00A013E1" w:rsidRDefault="00271FA2">
            <w:pPr>
              <w:suppressAutoHyphens/>
              <w:snapToGrid w:val="0"/>
              <w:spacing w:line="240" w:lineRule="atLeast"/>
              <w:rPr>
                <w:rFonts w:ascii="Times New Roman" w:hAnsi="Times New Roman" w:cs="Times New Roman"/>
                <w:lang w:val="ru-RU"/>
              </w:rPr>
            </w:pPr>
          </w:p>
        </w:tc>
        <w:tc>
          <w:tcPr>
            <w:tcW w:w="1984" w:type="dxa"/>
            <w:tcBorders>
              <w:left w:val="single" w:sz="4" w:space="0" w:color="000000"/>
            </w:tcBorders>
          </w:tcPr>
          <w:p w14:paraId="52EEE6E1" w14:textId="77777777" w:rsidR="00271FA2" w:rsidRPr="00A013E1" w:rsidRDefault="00271FA2">
            <w:pPr>
              <w:suppressAutoHyphens/>
              <w:snapToGrid w:val="0"/>
              <w:spacing w:line="240" w:lineRule="atLeast"/>
              <w:rPr>
                <w:rFonts w:ascii="Times New Roman" w:hAnsi="Times New Roman" w:cs="Times New Roman"/>
                <w:lang w:val="ru-RU"/>
              </w:rPr>
            </w:pPr>
          </w:p>
        </w:tc>
        <w:tc>
          <w:tcPr>
            <w:tcW w:w="1701" w:type="dxa"/>
            <w:tcBorders>
              <w:left w:val="single" w:sz="4" w:space="0" w:color="000000"/>
            </w:tcBorders>
          </w:tcPr>
          <w:p w14:paraId="321C1949" w14:textId="77777777" w:rsidR="00271FA2" w:rsidRPr="00A013E1" w:rsidRDefault="00271FA2">
            <w:pPr>
              <w:suppressAutoHyphens/>
              <w:snapToGrid w:val="0"/>
              <w:spacing w:line="240" w:lineRule="atLeast"/>
              <w:rPr>
                <w:rFonts w:ascii="Times New Roman" w:hAnsi="Times New Roman" w:cs="Times New Roman"/>
                <w:lang w:val="ru-RU"/>
              </w:rPr>
            </w:pPr>
          </w:p>
        </w:tc>
        <w:tc>
          <w:tcPr>
            <w:tcW w:w="2835" w:type="dxa"/>
            <w:tcBorders>
              <w:left w:val="single" w:sz="4" w:space="0" w:color="000000"/>
            </w:tcBorders>
          </w:tcPr>
          <w:p w14:paraId="7B02CD4C" w14:textId="77777777" w:rsidR="00271FA2" w:rsidRPr="00A013E1" w:rsidRDefault="00271FA2">
            <w:pPr>
              <w:suppressAutoHyphens/>
              <w:snapToGrid w:val="0"/>
              <w:spacing w:line="240" w:lineRule="atLeast"/>
              <w:rPr>
                <w:rFonts w:ascii="Times New Roman" w:hAnsi="Times New Roman" w:cs="Times New Roman"/>
                <w:lang w:val="ru-RU"/>
              </w:rPr>
            </w:pPr>
          </w:p>
        </w:tc>
        <w:tc>
          <w:tcPr>
            <w:tcW w:w="1978" w:type="dxa"/>
            <w:tcBorders>
              <w:left w:val="single" w:sz="4" w:space="0" w:color="000000"/>
              <w:right w:val="single" w:sz="4" w:space="0" w:color="000000"/>
            </w:tcBorders>
          </w:tcPr>
          <w:p w14:paraId="358ADD43" w14:textId="77777777" w:rsidR="00271FA2" w:rsidRPr="00A013E1" w:rsidRDefault="00271FA2">
            <w:pPr>
              <w:suppressAutoHyphens/>
              <w:snapToGrid w:val="0"/>
              <w:spacing w:line="240" w:lineRule="atLeast"/>
              <w:rPr>
                <w:rFonts w:ascii="Times New Roman" w:hAnsi="Times New Roman" w:cs="Times New Roman"/>
                <w:lang w:val="ru-RU"/>
              </w:rPr>
            </w:pPr>
          </w:p>
        </w:tc>
      </w:tr>
      <w:tr w:rsidR="00271FA2" w:rsidRPr="00A013E1" w14:paraId="1E7B56E4" w14:textId="77777777">
        <w:tc>
          <w:tcPr>
            <w:tcW w:w="1560" w:type="dxa"/>
            <w:tcBorders>
              <w:left w:val="single" w:sz="4" w:space="0" w:color="000000"/>
            </w:tcBorders>
          </w:tcPr>
          <w:p w14:paraId="49BAD767" w14:textId="77777777" w:rsidR="00271FA2" w:rsidRPr="00A013E1" w:rsidRDefault="00271FA2">
            <w:pPr>
              <w:suppressAutoHyphens/>
              <w:snapToGrid w:val="0"/>
              <w:spacing w:line="240" w:lineRule="atLeast"/>
              <w:rPr>
                <w:rFonts w:ascii="Times New Roman" w:hAnsi="Times New Roman" w:cs="Times New Roman"/>
                <w:lang w:val="ru-RU"/>
              </w:rPr>
            </w:pPr>
          </w:p>
        </w:tc>
        <w:tc>
          <w:tcPr>
            <w:tcW w:w="1843" w:type="dxa"/>
            <w:tcBorders>
              <w:left w:val="single" w:sz="4" w:space="0" w:color="000000"/>
            </w:tcBorders>
          </w:tcPr>
          <w:p w14:paraId="1FE656C6" w14:textId="77777777" w:rsidR="00271FA2" w:rsidRPr="00A013E1" w:rsidRDefault="00271FA2">
            <w:pPr>
              <w:suppressAutoHyphens/>
              <w:snapToGrid w:val="0"/>
              <w:spacing w:line="240" w:lineRule="atLeast"/>
              <w:rPr>
                <w:rFonts w:ascii="Times New Roman" w:hAnsi="Times New Roman" w:cs="Times New Roman"/>
                <w:lang w:val="ru-RU"/>
              </w:rPr>
            </w:pPr>
          </w:p>
        </w:tc>
        <w:tc>
          <w:tcPr>
            <w:tcW w:w="2552" w:type="dxa"/>
            <w:tcBorders>
              <w:left w:val="single" w:sz="4" w:space="0" w:color="000000"/>
            </w:tcBorders>
          </w:tcPr>
          <w:p w14:paraId="629BA0ED" w14:textId="77777777" w:rsidR="00271FA2" w:rsidRPr="00A013E1" w:rsidRDefault="00271FA2">
            <w:pPr>
              <w:suppressAutoHyphens/>
              <w:snapToGrid w:val="0"/>
              <w:spacing w:line="240" w:lineRule="atLeast"/>
              <w:rPr>
                <w:rFonts w:ascii="Times New Roman" w:hAnsi="Times New Roman" w:cs="Times New Roman"/>
                <w:lang w:val="ru-RU"/>
              </w:rPr>
            </w:pPr>
          </w:p>
        </w:tc>
        <w:tc>
          <w:tcPr>
            <w:tcW w:w="1984" w:type="dxa"/>
            <w:tcBorders>
              <w:left w:val="single" w:sz="4" w:space="0" w:color="000000"/>
            </w:tcBorders>
          </w:tcPr>
          <w:p w14:paraId="07798A61" w14:textId="77777777" w:rsidR="00271FA2" w:rsidRPr="00A013E1" w:rsidRDefault="00271FA2">
            <w:pPr>
              <w:suppressAutoHyphens/>
              <w:snapToGrid w:val="0"/>
              <w:spacing w:line="240" w:lineRule="atLeast"/>
              <w:rPr>
                <w:rFonts w:ascii="Times New Roman" w:hAnsi="Times New Roman" w:cs="Times New Roman"/>
                <w:lang w:val="ru-RU"/>
              </w:rPr>
            </w:pPr>
          </w:p>
        </w:tc>
        <w:tc>
          <w:tcPr>
            <w:tcW w:w="1701" w:type="dxa"/>
            <w:tcBorders>
              <w:left w:val="single" w:sz="4" w:space="0" w:color="000000"/>
            </w:tcBorders>
          </w:tcPr>
          <w:p w14:paraId="5CBE5C64" w14:textId="77777777" w:rsidR="00271FA2" w:rsidRPr="00A013E1" w:rsidRDefault="00271FA2">
            <w:pPr>
              <w:suppressAutoHyphens/>
              <w:snapToGrid w:val="0"/>
              <w:spacing w:line="240" w:lineRule="atLeast"/>
              <w:rPr>
                <w:rFonts w:ascii="Times New Roman" w:hAnsi="Times New Roman" w:cs="Times New Roman"/>
                <w:lang w:val="ru-RU"/>
              </w:rPr>
            </w:pPr>
          </w:p>
        </w:tc>
        <w:tc>
          <w:tcPr>
            <w:tcW w:w="2835" w:type="dxa"/>
            <w:tcBorders>
              <w:left w:val="single" w:sz="4" w:space="0" w:color="000000"/>
            </w:tcBorders>
          </w:tcPr>
          <w:p w14:paraId="0DEB482A" w14:textId="77777777" w:rsidR="00271FA2" w:rsidRPr="00A013E1" w:rsidRDefault="00271FA2">
            <w:pPr>
              <w:suppressAutoHyphens/>
              <w:snapToGrid w:val="0"/>
              <w:spacing w:line="240" w:lineRule="atLeast"/>
              <w:rPr>
                <w:rFonts w:ascii="Times New Roman" w:hAnsi="Times New Roman" w:cs="Times New Roman"/>
                <w:lang w:val="ru-RU"/>
              </w:rPr>
            </w:pPr>
          </w:p>
        </w:tc>
        <w:tc>
          <w:tcPr>
            <w:tcW w:w="1978" w:type="dxa"/>
            <w:tcBorders>
              <w:left w:val="single" w:sz="4" w:space="0" w:color="000000"/>
              <w:right w:val="single" w:sz="4" w:space="0" w:color="000000"/>
            </w:tcBorders>
          </w:tcPr>
          <w:p w14:paraId="163C32F3" w14:textId="77777777" w:rsidR="00271FA2" w:rsidRPr="00A013E1" w:rsidRDefault="00271FA2">
            <w:pPr>
              <w:suppressAutoHyphens/>
              <w:snapToGrid w:val="0"/>
              <w:spacing w:line="240" w:lineRule="atLeast"/>
              <w:rPr>
                <w:rFonts w:ascii="Times New Roman" w:hAnsi="Times New Roman" w:cs="Times New Roman"/>
                <w:lang w:val="ru-RU"/>
              </w:rPr>
            </w:pPr>
          </w:p>
        </w:tc>
      </w:tr>
      <w:tr w:rsidR="00271FA2" w:rsidRPr="00A013E1" w14:paraId="70EA52DE" w14:textId="77777777">
        <w:tc>
          <w:tcPr>
            <w:tcW w:w="1560" w:type="dxa"/>
            <w:tcBorders>
              <w:left w:val="single" w:sz="4" w:space="0" w:color="000000"/>
            </w:tcBorders>
          </w:tcPr>
          <w:p w14:paraId="7CC12EA8" w14:textId="77777777" w:rsidR="00271FA2" w:rsidRPr="00A013E1" w:rsidRDefault="00271FA2">
            <w:pPr>
              <w:suppressAutoHyphens/>
              <w:snapToGrid w:val="0"/>
              <w:spacing w:line="240" w:lineRule="atLeast"/>
              <w:rPr>
                <w:rFonts w:ascii="Times New Roman" w:hAnsi="Times New Roman" w:cs="Times New Roman"/>
                <w:lang w:val="ru-RU"/>
              </w:rPr>
            </w:pPr>
          </w:p>
        </w:tc>
        <w:tc>
          <w:tcPr>
            <w:tcW w:w="1843" w:type="dxa"/>
            <w:tcBorders>
              <w:left w:val="single" w:sz="4" w:space="0" w:color="000000"/>
            </w:tcBorders>
          </w:tcPr>
          <w:p w14:paraId="1A27EE53" w14:textId="77777777" w:rsidR="00271FA2" w:rsidRPr="00A013E1" w:rsidRDefault="00271FA2">
            <w:pPr>
              <w:suppressAutoHyphens/>
              <w:snapToGrid w:val="0"/>
              <w:spacing w:line="240" w:lineRule="atLeast"/>
              <w:rPr>
                <w:rFonts w:ascii="Times New Roman" w:hAnsi="Times New Roman" w:cs="Times New Roman"/>
                <w:lang w:val="ru-RU"/>
              </w:rPr>
            </w:pPr>
          </w:p>
        </w:tc>
        <w:tc>
          <w:tcPr>
            <w:tcW w:w="2552" w:type="dxa"/>
            <w:tcBorders>
              <w:left w:val="single" w:sz="4" w:space="0" w:color="000000"/>
            </w:tcBorders>
          </w:tcPr>
          <w:p w14:paraId="08EEB368" w14:textId="77777777" w:rsidR="00271FA2" w:rsidRPr="00A013E1" w:rsidRDefault="00271FA2">
            <w:pPr>
              <w:suppressAutoHyphens/>
              <w:snapToGrid w:val="0"/>
              <w:spacing w:line="240" w:lineRule="atLeast"/>
              <w:rPr>
                <w:rFonts w:ascii="Times New Roman" w:hAnsi="Times New Roman" w:cs="Times New Roman"/>
                <w:lang w:val="ru-RU"/>
              </w:rPr>
            </w:pPr>
          </w:p>
        </w:tc>
        <w:tc>
          <w:tcPr>
            <w:tcW w:w="1984" w:type="dxa"/>
            <w:tcBorders>
              <w:left w:val="single" w:sz="4" w:space="0" w:color="000000"/>
            </w:tcBorders>
          </w:tcPr>
          <w:p w14:paraId="48655AAC" w14:textId="77777777" w:rsidR="00271FA2" w:rsidRPr="00A013E1" w:rsidRDefault="00271FA2">
            <w:pPr>
              <w:suppressAutoHyphens/>
              <w:snapToGrid w:val="0"/>
              <w:spacing w:line="240" w:lineRule="atLeast"/>
              <w:rPr>
                <w:rFonts w:ascii="Times New Roman" w:hAnsi="Times New Roman" w:cs="Times New Roman"/>
                <w:lang w:val="ru-RU"/>
              </w:rPr>
            </w:pPr>
          </w:p>
        </w:tc>
        <w:tc>
          <w:tcPr>
            <w:tcW w:w="1701" w:type="dxa"/>
            <w:tcBorders>
              <w:left w:val="single" w:sz="4" w:space="0" w:color="000000"/>
            </w:tcBorders>
          </w:tcPr>
          <w:p w14:paraId="735453AB" w14:textId="77777777" w:rsidR="00271FA2" w:rsidRPr="00A013E1" w:rsidRDefault="00271FA2">
            <w:pPr>
              <w:suppressAutoHyphens/>
              <w:snapToGrid w:val="0"/>
              <w:spacing w:line="240" w:lineRule="atLeast"/>
              <w:rPr>
                <w:rFonts w:ascii="Times New Roman" w:hAnsi="Times New Roman" w:cs="Times New Roman"/>
                <w:lang w:val="ru-RU"/>
              </w:rPr>
            </w:pPr>
          </w:p>
        </w:tc>
        <w:tc>
          <w:tcPr>
            <w:tcW w:w="2835" w:type="dxa"/>
            <w:tcBorders>
              <w:left w:val="single" w:sz="4" w:space="0" w:color="000000"/>
            </w:tcBorders>
          </w:tcPr>
          <w:p w14:paraId="051AC980" w14:textId="77777777" w:rsidR="00271FA2" w:rsidRPr="00A013E1" w:rsidRDefault="00271FA2">
            <w:pPr>
              <w:suppressAutoHyphens/>
              <w:snapToGrid w:val="0"/>
              <w:spacing w:line="240" w:lineRule="atLeast"/>
              <w:rPr>
                <w:rFonts w:ascii="Times New Roman" w:hAnsi="Times New Roman" w:cs="Times New Roman"/>
                <w:lang w:val="ru-RU"/>
              </w:rPr>
            </w:pPr>
          </w:p>
        </w:tc>
        <w:tc>
          <w:tcPr>
            <w:tcW w:w="1978" w:type="dxa"/>
            <w:tcBorders>
              <w:left w:val="single" w:sz="4" w:space="0" w:color="000000"/>
              <w:right w:val="single" w:sz="4" w:space="0" w:color="000000"/>
            </w:tcBorders>
          </w:tcPr>
          <w:p w14:paraId="6FB0E912" w14:textId="77777777" w:rsidR="00271FA2" w:rsidRPr="00A013E1" w:rsidRDefault="00271FA2">
            <w:pPr>
              <w:suppressAutoHyphens/>
              <w:snapToGrid w:val="0"/>
              <w:spacing w:line="240" w:lineRule="atLeast"/>
              <w:rPr>
                <w:rFonts w:ascii="Times New Roman" w:hAnsi="Times New Roman" w:cs="Times New Roman"/>
                <w:lang w:val="ru-RU"/>
              </w:rPr>
            </w:pPr>
          </w:p>
        </w:tc>
      </w:tr>
      <w:tr w:rsidR="00271FA2" w:rsidRPr="00A013E1" w14:paraId="10200436" w14:textId="77777777">
        <w:tc>
          <w:tcPr>
            <w:tcW w:w="1560" w:type="dxa"/>
            <w:tcBorders>
              <w:left w:val="single" w:sz="4" w:space="0" w:color="000000"/>
            </w:tcBorders>
          </w:tcPr>
          <w:p w14:paraId="687A0E40" w14:textId="77777777" w:rsidR="00271FA2" w:rsidRPr="00A013E1" w:rsidRDefault="00271FA2">
            <w:pPr>
              <w:suppressAutoHyphens/>
              <w:snapToGrid w:val="0"/>
              <w:spacing w:line="240" w:lineRule="atLeast"/>
              <w:rPr>
                <w:rFonts w:ascii="Times New Roman" w:hAnsi="Times New Roman" w:cs="Times New Roman"/>
                <w:lang w:val="ru-RU"/>
              </w:rPr>
            </w:pPr>
          </w:p>
        </w:tc>
        <w:tc>
          <w:tcPr>
            <w:tcW w:w="1843" w:type="dxa"/>
            <w:tcBorders>
              <w:left w:val="single" w:sz="4" w:space="0" w:color="000000"/>
            </w:tcBorders>
          </w:tcPr>
          <w:p w14:paraId="2D8193FA" w14:textId="77777777" w:rsidR="00271FA2" w:rsidRPr="00A013E1" w:rsidRDefault="00271FA2">
            <w:pPr>
              <w:suppressAutoHyphens/>
              <w:snapToGrid w:val="0"/>
              <w:spacing w:line="240" w:lineRule="atLeast"/>
              <w:rPr>
                <w:rFonts w:ascii="Times New Roman" w:hAnsi="Times New Roman" w:cs="Times New Roman"/>
                <w:lang w:val="ru-RU"/>
              </w:rPr>
            </w:pPr>
          </w:p>
        </w:tc>
        <w:tc>
          <w:tcPr>
            <w:tcW w:w="2552" w:type="dxa"/>
            <w:tcBorders>
              <w:left w:val="single" w:sz="4" w:space="0" w:color="000000"/>
            </w:tcBorders>
          </w:tcPr>
          <w:p w14:paraId="5F16B8C8" w14:textId="77777777" w:rsidR="00271FA2" w:rsidRPr="00A013E1" w:rsidRDefault="00271FA2">
            <w:pPr>
              <w:suppressAutoHyphens/>
              <w:snapToGrid w:val="0"/>
              <w:spacing w:line="240" w:lineRule="atLeast"/>
              <w:rPr>
                <w:rFonts w:ascii="Times New Roman" w:hAnsi="Times New Roman" w:cs="Times New Roman"/>
                <w:lang w:val="ru-RU"/>
              </w:rPr>
            </w:pPr>
          </w:p>
        </w:tc>
        <w:tc>
          <w:tcPr>
            <w:tcW w:w="1984" w:type="dxa"/>
            <w:tcBorders>
              <w:left w:val="single" w:sz="4" w:space="0" w:color="000000"/>
            </w:tcBorders>
          </w:tcPr>
          <w:p w14:paraId="05BBBE21" w14:textId="77777777" w:rsidR="00271FA2" w:rsidRPr="00A013E1" w:rsidRDefault="00271FA2">
            <w:pPr>
              <w:suppressAutoHyphens/>
              <w:snapToGrid w:val="0"/>
              <w:spacing w:line="240" w:lineRule="atLeast"/>
              <w:rPr>
                <w:rFonts w:ascii="Times New Roman" w:hAnsi="Times New Roman" w:cs="Times New Roman"/>
                <w:lang w:val="ru-RU"/>
              </w:rPr>
            </w:pPr>
          </w:p>
        </w:tc>
        <w:tc>
          <w:tcPr>
            <w:tcW w:w="1701" w:type="dxa"/>
            <w:tcBorders>
              <w:left w:val="single" w:sz="4" w:space="0" w:color="000000"/>
            </w:tcBorders>
          </w:tcPr>
          <w:p w14:paraId="0E79B9EE" w14:textId="77777777" w:rsidR="00271FA2" w:rsidRPr="00A013E1" w:rsidRDefault="00271FA2">
            <w:pPr>
              <w:suppressAutoHyphens/>
              <w:snapToGrid w:val="0"/>
              <w:spacing w:line="240" w:lineRule="atLeast"/>
              <w:rPr>
                <w:rFonts w:ascii="Times New Roman" w:hAnsi="Times New Roman" w:cs="Times New Roman"/>
                <w:lang w:val="ru-RU"/>
              </w:rPr>
            </w:pPr>
          </w:p>
        </w:tc>
        <w:tc>
          <w:tcPr>
            <w:tcW w:w="2835" w:type="dxa"/>
            <w:tcBorders>
              <w:left w:val="single" w:sz="4" w:space="0" w:color="000000"/>
            </w:tcBorders>
          </w:tcPr>
          <w:p w14:paraId="6EDE8CF1" w14:textId="77777777" w:rsidR="00271FA2" w:rsidRPr="00A013E1" w:rsidRDefault="00271FA2">
            <w:pPr>
              <w:suppressAutoHyphens/>
              <w:snapToGrid w:val="0"/>
              <w:spacing w:line="240" w:lineRule="atLeast"/>
              <w:rPr>
                <w:rFonts w:ascii="Times New Roman" w:hAnsi="Times New Roman" w:cs="Times New Roman"/>
                <w:lang w:val="ru-RU"/>
              </w:rPr>
            </w:pPr>
          </w:p>
        </w:tc>
        <w:tc>
          <w:tcPr>
            <w:tcW w:w="1978" w:type="dxa"/>
            <w:tcBorders>
              <w:left w:val="single" w:sz="4" w:space="0" w:color="000000"/>
              <w:right w:val="single" w:sz="4" w:space="0" w:color="000000"/>
            </w:tcBorders>
          </w:tcPr>
          <w:p w14:paraId="6AD1DD34" w14:textId="77777777" w:rsidR="00271FA2" w:rsidRPr="00A013E1" w:rsidRDefault="00271FA2">
            <w:pPr>
              <w:suppressAutoHyphens/>
              <w:snapToGrid w:val="0"/>
              <w:spacing w:line="240" w:lineRule="atLeast"/>
              <w:rPr>
                <w:rFonts w:ascii="Times New Roman" w:hAnsi="Times New Roman" w:cs="Times New Roman"/>
                <w:lang w:val="ru-RU"/>
              </w:rPr>
            </w:pPr>
          </w:p>
        </w:tc>
      </w:tr>
      <w:tr w:rsidR="00271FA2" w:rsidRPr="00A013E1" w14:paraId="25A5074E" w14:textId="77777777">
        <w:tc>
          <w:tcPr>
            <w:tcW w:w="1560" w:type="dxa"/>
            <w:tcBorders>
              <w:left w:val="single" w:sz="4" w:space="0" w:color="000000"/>
            </w:tcBorders>
          </w:tcPr>
          <w:p w14:paraId="374E49E2" w14:textId="77777777" w:rsidR="00271FA2" w:rsidRPr="00A013E1" w:rsidRDefault="00271FA2">
            <w:pPr>
              <w:suppressAutoHyphens/>
              <w:snapToGrid w:val="0"/>
              <w:spacing w:line="240" w:lineRule="atLeast"/>
              <w:rPr>
                <w:rFonts w:ascii="Times New Roman" w:hAnsi="Times New Roman" w:cs="Times New Roman"/>
                <w:lang w:val="ru-RU"/>
              </w:rPr>
            </w:pPr>
          </w:p>
        </w:tc>
        <w:tc>
          <w:tcPr>
            <w:tcW w:w="1843" w:type="dxa"/>
            <w:tcBorders>
              <w:left w:val="single" w:sz="4" w:space="0" w:color="000000"/>
            </w:tcBorders>
          </w:tcPr>
          <w:p w14:paraId="51753AC4" w14:textId="77777777" w:rsidR="00271FA2" w:rsidRPr="00A013E1" w:rsidRDefault="00271FA2">
            <w:pPr>
              <w:suppressAutoHyphens/>
              <w:snapToGrid w:val="0"/>
              <w:spacing w:line="240" w:lineRule="atLeast"/>
              <w:rPr>
                <w:rFonts w:ascii="Times New Roman" w:hAnsi="Times New Roman" w:cs="Times New Roman"/>
                <w:lang w:val="ru-RU"/>
              </w:rPr>
            </w:pPr>
          </w:p>
        </w:tc>
        <w:tc>
          <w:tcPr>
            <w:tcW w:w="2552" w:type="dxa"/>
            <w:tcBorders>
              <w:left w:val="single" w:sz="4" w:space="0" w:color="000000"/>
            </w:tcBorders>
          </w:tcPr>
          <w:p w14:paraId="195C5EFA" w14:textId="77777777" w:rsidR="00271FA2" w:rsidRPr="00A013E1" w:rsidRDefault="00271FA2">
            <w:pPr>
              <w:suppressAutoHyphens/>
              <w:snapToGrid w:val="0"/>
              <w:spacing w:line="240" w:lineRule="atLeast"/>
              <w:rPr>
                <w:rFonts w:ascii="Times New Roman" w:hAnsi="Times New Roman" w:cs="Times New Roman"/>
                <w:lang w:val="ru-RU"/>
              </w:rPr>
            </w:pPr>
          </w:p>
        </w:tc>
        <w:tc>
          <w:tcPr>
            <w:tcW w:w="1984" w:type="dxa"/>
            <w:tcBorders>
              <w:left w:val="single" w:sz="4" w:space="0" w:color="000000"/>
            </w:tcBorders>
          </w:tcPr>
          <w:p w14:paraId="07B45445" w14:textId="77777777" w:rsidR="00271FA2" w:rsidRPr="00A013E1" w:rsidRDefault="00271FA2">
            <w:pPr>
              <w:suppressAutoHyphens/>
              <w:snapToGrid w:val="0"/>
              <w:spacing w:line="240" w:lineRule="atLeast"/>
              <w:rPr>
                <w:rFonts w:ascii="Times New Roman" w:hAnsi="Times New Roman" w:cs="Times New Roman"/>
                <w:lang w:val="ru-RU"/>
              </w:rPr>
            </w:pPr>
          </w:p>
        </w:tc>
        <w:tc>
          <w:tcPr>
            <w:tcW w:w="1701" w:type="dxa"/>
            <w:tcBorders>
              <w:left w:val="single" w:sz="4" w:space="0" w:color="000000"/>
            </w:tcBorders>
          </w:tcPr>
          <w:p w14:paraId="2C119E6E" w14:textId="77777777" w:rsidR="00271FA2" w:rsidRPr="00A013E1" w:rsidRDefault="00271FA2">
            <w:pPr>
              <w:suppressAutoHyphens/>
              <w:snapToGrid w:val="0"/>
              <w:spacing w:line="240" w:lineRule="atLeast"/>
              <w:rPr>
                <w:rFonts w:ascii="Times New Roman" w:hAnsi="Times New Roman" w:cs="Times New Roman"/>
                <w:lang w:val="ru-RU"/>
              </w:rPr>
            </w:pPr>
          </w:p>
        </w:tc>
        <w:tc>
          <w:tcPr>
            <w:tcW w:w="2835" w:type="dxa"/>
            <w:tcBorders>
              <w:left w:val="single" w:sz="4" w:space="0" w:color="000000"/>
            </w:tcBorders>
          </w:tcPr>
          <w:p w14:paraId="3AF7A0C0" w14:textId="77777777" w:rsidR="00271FA2" w:rsidRPr="00A013E1" w:rsidRDefault="00271FA2">
            <w:pPr>
              <w:suppressAutoHyphens/>
              <w:snapToGrid w:val="0"/>
              <w:spacing w:line="240" w:lineRule="atLeast"/>
              <w:rPr>
                <w:rFonts w:ascii="Times New Roman" w:hAnsi="Times New Roman" w:cs="Times New Roman"/>
                <w:lang w:val="ru-RU"/>
              </w:rPr>
            </w:pPr>
          </w:p>
        </w:tc>
        <w:tc>
          <w:tcPr>
            <w:tcW w:w="1978" w:type="dxa"/>
            <w:tcBorders>
              <w:left w:val="single" w:sz="4" w:space="0" w:color="000000"/>
              <w:right w:val="single" w:sz="4" w:space="0" w:color="000000"/>
            </w:tcBorders>
          </w:tcPr>
          <w:p w14:paraId="48DEC7D5" w14:textId="77777777" w:rsidR="00271FA2" w:rsidRPr="00A013E1" w:rsidRDefault="00271FA2">
            <w:pPr>
              <w:suppressAutoHyphens/>
              <w:snapToGrid w:val="0"/>
              <w:spacing w:line="240" w:lineRule="atLeast"/>
              <w:rPr>
                <w:rFonts w:ascii="Times New Roman" w:hAnsi="Times New Roman" w:cs="Times New Roman"/>
                <w:lang w:val="ru-RU"/>
              </w:rPr>
            </w:pPr>
          </w:p>
        </w:tc>
      </w:tr>
    </w:tbl>
    <w:p w14:paraId="4715F568" w14:textId="77777777" w:rsidR="00271FA2" w:rsidRPr="00A013E1" w:rsidRDefault="00271FA2">
      <w:pPr>
        <w:suppressAutoHyphens/>
        <w:spacing w:line="240" w:lineRule="atLeast"/>
        <w:ind w:left="426" w:hanging="426"/>
        <w:rPr>
          <w:rFonts w:ascii="Times New Roman" w:hAnsi="Times New Roman" w:cs="Times New Roman"/>
          <w:lang w:val="ru-RU"/>
        </w:rPr>
      </w:pPr>
    </w:p>
    <w:p w14:paraId="307467DB" w14:textId="77777777" w:rsidR="00271FA2" w:rsidRPr="00A013E1" w:rsidRDefault="00271FA2">
      <w:pPr>
        <w:suppressAutoHyphens/>
        <w:spacing w:line="240" w:lineRule="atLeast"/>
        <w:rPr>
          <w:rFonts w:ascii="Times New Roman" w:hAnsi="Times New Roman" w:cs="Times New Roman"/>
          <w:lang w:val="ru-RU"/>
        </w:rPr>
        <w:sectPr w:rsidR="00271FA2" w:rsidRPr="00A013E1" w:rsidSect="00A013E1">
          <w:headerReference w:type="even" r:id="rId150"/>
          <w:headerReference w:type="default" r:id="rId151"/>
          <w:footerReference w:type="even" r:id="rId152"/>
          <w:footerReference w:type="default" r:id="rId153"/>
          <w:headerReference w:type="first" r:id="rId154"/>
          <w:footerReference w:type="first" r:id="rId155"/>
          <w:footnotePr>
            <w:numRestart w:val="eachPage"/>
          </w:footnotePr>
          <w:pgSz w:w="16840" w:h="11907" w:orient="landscape"/>
          <w:pgMar w:top="1134" w:right="1134" w:bottom="1134" w:left="1134" w:header="709" w:footer="709" w:gutter="0"/>
          <w:cols w:space="720"/>
          <w:docGrid w:linePitch="360"/>
        </w:sectPr>
      </w:pPr>
    </w:p>
    <w:p w14:paraId="7CC10490" w14:textId="77777777" w:rsidR="00271FA2" w:rsidRPr="00A013E1" w:rsidRDefault="00D35E51" w:rsidP="00D30D61">
      <w:pPr>
        <w:pStyle w:val="ES-Titre3"/>
        <w:spacing w:after="0" w:line="240" w:lineRule="atLeast"/>
        <w:rPr>
          <w:rFonts w:ascii="Times New Roman" w:hAnsi="Times New Roman" w:cs="Times New Roman"/>
          <w:sz w:val="24"/>
          <w:szCs w:val="24"/>
          <w:lang w:val="ru-RU"/>
        </w:rPr>
      </w:pPr>
      <w:bookmarkStart w:id="644" w:name="_Toc535827775"/>
      <w:bookmarkStart w:id="645" w:name="_Toc491854334"/>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VI</w:t>
      </w:r>
      <w:bookmarkEnd w:id="644"/>
      <w:bookmarkEnd w:id="645"/>
    </w:p>
    <w:p w14:paraId="13D8F782" w14:textId="77777777" w:rsidR="00271FA2" w:rsidRPr="00A013E1" w:rsidRDefault="00D35E51" w:rsidP="00D30D61">
      <w:pPr>
        <w:pStyle w:val="ES-Titre3a"/>
        <w:spacing w:after="0" w:line="240" w:lineRule="atLeast"/>
        <w:rPr>
          <w:rFonts w:ascii="Times New Roman" w:hAnsi="Times New Roman" w:cs="Times New Roman"/>
          <w:sz w:val="24"/>
          <w:szCs w:val="24"/>
          <w:lang w:val="ru-RU"/>
        </w:rPr>
      </w:pPr>
      <w:bookmarkStart w:id="646" w:name="_Toc535827776"/>
      <w:bookmarkStart w:id="647" w:name="_Toc491854335"/>
      <w:r w:rsidRPr="00A013E1">
        <w:rPr>
          <w:rFonts w:ascii="Times New Roman" w:hAnsi="Times New Roman" w:cs="Times New Roman"/>
          <w:sz w:val="24"/>
          <w:szCs w:val="24"/>
          <w:lang w:val="ru-RU"/>
        </w:rPr>
        <w:t>Обобщение на произведените бордови станции за пречистване на отпадъчни води</w:t>
      </w:r>
      <w:bookmarkEnd w:id="646"/>
      <w:r w:rsidRPr="00A013E1">
        <w:rPr>
          <w:rFonts w:ascii="Times New Roman" w:hAnsi="Times New Roman" w:cs="Times New Roman"/>
          <w:sz w:val="24"/>
          <w:szCs w:val="24"/>
          <w:lang w:val="ru-RU"/>
        </w:rPr>
        <w:t xml:space="preserve"> </w:t>
      </w:r>
      <w:bookmarkEnd w:id="647"/>
    </w:p>
    <w:p w14:paraId="059BFEFC" w14:textId="77777777" w:rsidR="00271FA2" w:rsidRPr="00A013E1" w:rsidRDefault="00D35E51" w:rsidP="00D30D61">
      <w:pPr>
        <w:overflowPunct w:val="0"/>
        <w:adjustRightInd w:val="0"/>
        <w:spacing w:line="240" w:lineRule="atLeast"/>
        <w:jc w:val="center"/>
        <w:textAlignment w:val="baseline"/>
        <w:rPr>
          <w:rFonts w:ascii="Times New Roman" w:eastAsia="Calibri" w:hAnsi="Times New Roman" w:cs="Times New Roman"/>
          <w:lang w:val="ru-RU"/>
        </w:rPr>
      </w:pPr>
      <w:r w:rsidRPr="00A013E1">
        <w:rPr>
          <w:rFonts w:ascii="Times New Roman" w:hAnsi="Times New Roman" w:cs="Times New Roman"/>
          <w:lang w:val="ru-RU"/>
        </w:rPr>
        <w:t>(Образец)</w:t>
      </w:r>
    </w:p>
    <w:p w14:paraId="4C91CB55" w14:textId="77777777" w:rsidR="00271FA2" w:rsidRPr="00A013E1" w:rsidRDefault="00271FA2">
      <w:pPr>
        <w:suppressAutoHyphens/>
        <w:spacing w:line="240" w:lineRule="atLeast"/>
        <w:rPr>
          <w:rFonts w:ascii="Times New Roman" w:hAnsi="Times New Roman" w:cs="Times New Roman"/>
          <w:lang w:val="ru-RU"/>
        </w:rPr>
      </w:pPr>
    </w:p>
    <w:p w14:paraId="10326827" w14:textId="77777777" w:rsidR="00271FA2" w:rsidRPr="00A013E1" w:rsidRDefault="00D35E51">
      <w:pPr>
        <w:suppressAutoHyphens/>
        <w:spacing w:line="240" w:lineRule="atLeast"/>
        <w:jc w:val="right"/>
        <w:rPr>
          <w:rFonts w:ascii="Times New Roman" w:hAnsi="Times New Roman" w:cs="Times New Roman"/>
          <w:lang w:val="ru-RU"/>
        </w:rPr>
      </w:pPr>
      <w:r w:rsidRPr="00A013E1">
        <w:rPr>
          <w:rFonts w:ascii="Times New Roman" w:hAnsi="Times New Roman" w:cs="Times New Roman"/>
          <w:lang w:val="ru-RU"/>
        </w:rPr>
        <w:t>Печат на компетентния орган</w:t>
      </w:r>
    </w:p>
    <w:p w14:paraId="78D265B3" w14:textId="77777777" w:rsidR="00271FA2" w:rsidRPr="00A013E1" w:rsidRDefault="00271FA2">
      <w:pPr>
        <w:tabs>
          <w:tab w:val="left" w:leader="dot" w:pos="9072"/>
        </w:tabs>
        <w:suppressAutoHyphens/>
        <w:spacing w:line="240" w:lineRule="atLeast"/>
        <w:rPr>
          <w:rFonts w:ascii="Times New Roman" w:hAnsi="Times New Roman" w:cs="Times New Roman"/>
          <w:lang w:val="ru-RU"/>
        </w:rPr>
      </w:pPr>
    </w:p>
    <w:p w14:paraId="3A947372" w14:textId="77777777" w:rsidR="00271FA2" w:rsidRPr="00A013E1" w:rsidRDefault="00D35E51">
      <w:pPr>
        <w:tabs>
          <w:tab w:val="left" w:leader="dot" w:pos="9072"/>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 xml:space="preserve">№ в списъка: </w:t>
      </w:r>
      <w:r w:rsidRPr="00A013E1">
        <w:rPr>
          <w:rFonts w:ascii="Times New Roman" w:hAnsi="Times New Roman" w:cs="Times New Roman"/>
          <w:lang w:val="ru-RU"/>
        </w:rPr>
        <w:tab/>
      </w:r>
    </w:p>
    <w:p w14:paraId="6C1DBA26" w14:textId="77777777" w:rsidR="00271FA2" w:rsidRPr="00A013E1" w:rsidRDefault="00271FA2">
      <w:pPr>
        <w:tabs>
          <w:tab w:val="left" w:leader="dot" w:pos="4536"/>
          <w:tab w:val="left" w:leader="dot" w:pos="8505"/>
          <w:tab w:val="left" w:leader="dot" w:pos="9072"/>
        </w:tabs>
        <w:suppressAutoHyphens/>
        <w:spacing w:line="240" w:lineRule="atLeast"/>
        <w:rPr>
          <w:rFonts w:ascii="Times New Roman" w:hAnsi="Times New Roman" w:cs="Times New Roman"/>
          <w:lang w:val="ru-RU"/>
        </w:rPr>
      </w:pPr>
    </w:p>
    <w:p w14:paraId="4B7B268F" w14:textId="77777777" w:rsidR="00271FA2" w:rsidRPr="00A013E1" w:rsidRDefault="00D35E51">
      <w:pPr>
        <w:tabs>
          <w:tab w:val="left" w:leader="dot" w:pos="4536"/>
          <w:tab w:val="left" w:pos="4678"/>
          <w:tab w:val="left" w:leader="dot" w:pos="9072"/>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 xml:space="preserve">За периода от: </w:t>
      </w:r>
      <w:r w:rsidRPr="00A013E1">
        <w:rPr>
          <w:rFonts w:ascii="Times New Roman" w:hAnsi="Times New Roman" w:cs="Times New Roman"/>
          <w:lang w:val="ru-RU"/>
        </w:rPr>
        <w:tab/>
        <w:t xml:space="preserve"> </w:t>
      </w:r>
      <w:r w:rsidRPr="00A013E1">
        <w:rPr>
          <w:rFonts w:ascii="Times New Roman" w:hAnsi="Times New Roman" w:cs="Times New Roman"/>
          <w:lang w:val="ru-RU"/>
        </w:rPr>
        <w:tab/>
        <w:t xml:space="preserve">до: </w:t>
      </w:r>
      <w:r w:rsidRPr="00A013E1">
        <w:rPr>
          <w:rFonts w:ascii="Times New Roman" w:hAnsi="Times New Roman" w:cs="Times New Roman"/>
          <w:lang w:val="ru-RU"/>
        </w:rPr>
        <w:tab/>
      </w:r>
    </w:p>
    <w:p w14:paraId="4E83255F" w14:textId="77777777" w:rsidR="00271FA2" w:rsidRPr="00A013E1" w:rsidRDefault="00D35E51">
      <w:pPr>
        <w:tabs>
          <w:tab w:val="left" w:leader="dot" w:pos="9072"/>
        </w:tabs>
        <w:suppressAutoHyphens/>
        <w:spacing w:line="240" w:lineRule="atLeast"/>
        <w:jc w:val="both"/>
        <w:rPr>
          <w:rFonts w:ascii="Times New Roman" w:hAnsi="Times New Roman" w:cs="Times New Roman"/>
          <w:lang w:val="ru-RU"/>
        </w:rPr>
      </w:pPr>
      <w:r w:rsidRPr="00A013E1">
        <w:rPr>
          <w:rFonts w:ascii="Times New Roman" w:hAnsi="Times New Roman" w:cs="Times New Roman"/>
          <w:lang w:val="ru-RU"/>
        </w:rPr>
        <w:t>Следната информация се предоставя относно типовете бордови станции за пречистване на отпадъчни води и номерата на одобренията на типа на бордовите станции за пречистване на отпадъчни води, произведени в рамките на горепосочения период в съответствие с разпоредбите на Европейския стандарт за определяне на технически изисквания за плавателните съдове за вътрешно корабоплаване (</w:t>
      </w:r>
      <w:r w:rsidRPr="00A013E1">
        <w:rPr>
          <w:rFonts w:ascii="Times New Roman" w:hAnsi="Times New Roman" w:cs="Times New Roman"/>
        </w:rPr>
        <w:t>ES</w:t>
      </w:r>
      <w:r w:rsidRPr="00A013E1">
        <w:rPr>
          <w:rFonts w:ascii="Times New Roman" w:hAnsi="Times New Roman" w:cs="Times New Roman"/>
          <w:lang w:val="ru-RU"/>
        </w:rPr>
        <w:t>-</w:t>
      </w:r>
      <w:r w:rsidRPr="00A013E1">
        <w:rPr>
          <w:rFonts w:ascii="Times New Roman" w:hAnsi="Times New Roman" w:cs="Times New Roman"/>
        </w:rPr>
        <w:t>TRIN</w:t>
      </w:r>
      <w:r w:rsidRPr="00A013E1">
        <w:rPr>
          <w:rFonts w:ascii="Times New Roman" w:hAnsi="Times New Roman" w:cs="Times New Roman"/>
          <w:lang w:val="ru-RU"/>
        </w:rPr>
        <w:t>):</w:t>
      </w:r>
    </w:p>
    <w:p w14:paraId="183D9D28" w14:textId="77777777" w:rsidR="00271FA2" w:rsidRPr="00A013E1" w:rsidRDefault="00D35E51" w:rsidP="00771CA0">
      <w:pPr>
        <w:tabs>
          <w:tab w:val="left" w:leader="dot" w:pos="9072"/>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 xml:space="preserve">Марка (наименование на дружеството производител): </w:t>
      </w:r>
      <w:r w:rsidRPr="00A013E1">
        <w:rPr>
          <w:rFonts w:ascii="Times New Roman" w:hAnsi="Times New Roman" w:cs="Times New Roman"/>
          <w:lang w:val="ru-RU"/>
        </w:rPr>
        <w:tab/>
      </w:r>
    </w:p>
    <w:p w14:paraId="0EC2D3BD" w14:textId="77777777" w:rsidR="00271FA2" w:rsidRPr="00A013E1" w:rsidRDefault="00D35E51" w:rsidP="00771CA0">
      <w:pPr>
        <w:tabs>
          <w:tab w:val="left" w:leader="dot" w:pos="9072"/>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 xml:space="preserve">Обозначение от производителя за типа на бордовата станция за пречистване на отпадъчни води: </w:t>
      </w:r>
      <w:r w:rsidRPr="00A013E1">
        <w:rPr>
          <w:rFonts w:ascii="Times New Roman" w:hAnsi="Times New Roman" w:cs="Times New Roman"/>
          <w:lang w:val="ru-RU"/>
        </w:rPr>
        <w:tab/>
      </w:r>
    </w:p>
    <w:p w14:paraId="6341A2B8" w14:textId="77777777" w:rsidR="00271FA2" w:rsidRPr="00A013E1" w:rsidRDefault="00D35E51">
      <w:pPr>
        <w:tabs>
          <w:tab w:val="left" w:leader="dot" w:pos="9072"/>
        </w:tabs>
        <w:suppressAutoHyphens/>
        <w:spacing w:line="240" w:lineRule="atLeast"/>
        <w:jc w:val="both"/>
        <w:rPr>
          <w:rFonts w:ascii="Times New Roman" w:hAnsi="Times New Roman" w:cs="Times New Roman"/>
          <w:lang w:val="ru-RU"/>
        </w:rPr>
      </w:pPr>
      <w:r w:rsidRPr="00A013E1">
        <w:rPr>
          <w:rFonts w:ascii="Times New Roman" w:hAnsi="Times New Roman" w:cs="Times New Roman"/>
          <w:lang w:val="ru-RU"/>
        </w:rPr>
        <w:tab/>
      </w:r>
    </w:p>
    <w:p w14:paraId="680C5B5C" w14:textId="77777777" w:rsidR="00271FA2" w:rsidRPr="00A013E1" w:rsidRDefault="00D35E51" w:rsidP="004C2E53">
      <w:pPr>
        <w:tabs>
          <w:tab w:val="left" w:leader="dot" w:pos="9072"/>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 xml:space="preserve">Номер на одобрението на типа: </w:t>
      </w:r>
      <w:r w:rsidRPr="00A013E1">
        <w:rPr>
          <w:rFonts w:ascii="Times New Roman" w:hAnsi="Times New Roman" w:cs="Times New Roman"/>
          <w:lang w:val="ru-RU"/>
        </w:rPr>
        <w:tab/>
      </w:r>
    </w:p>
    <w:p w14:paraId="3D19D58D" w14:textId="77777777" w:rsidR="00271FA2" w:rsidRPr="00A013E1" w:rsidRDefault="00D35E51" w:rsidP="004C2E53">
      <w:pPr>
        <w:tabs>
          <w:tab w:val="left" w:leader="dot" w:pos="9072"/>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 xml:space="preserve">Дата на първоначално издаване: </w:t>
      </w:r>
      <w:r w:rsidRPr="00A013E1">
        <w:rPr>
          <w:rFonts w:ascii="Times New Roman" w:hAnsi="Times New Roman" w:cs="Times New Roman"/>
          <w:lang w:val="ru-RU"/>
        </w:rPr>
        <w:tab/>
      </w:r>
    </w:p>
    <w:p w14:paraId="2322691A" w14:textId="5AE57A47" w:rsidR="00271FA2" w:rsidRPr="00A013E1" w:rsidRDefault="00D35E51" w:rsidP="004C2E53">
      <w:pPr>
        <w:suppressAutoHyphens/>
        <w:spacing w:line="240" w:lineRule="atLeast"/>
        <w:rPr>
          <w:rFonts w:ascii="Times New Roman" w:hAnsi="Times New Roman" w:cs="Times New Roman"/>
          <w:lang w:val="ru-RU"/>
        </w:rPr>
      </w:pPr>
      <w:r w:rsidRPr="00A013E1">
        <w:rPr>
          <w:rFonts w:ascii="Times New Roman" w:hAnsi="Times New Roman" w:cs="Times New Roman"/>
          <w:lang w:val="ru-RU"/>
        </w:rPr>
        <w:t>Дат</w:t>
      </w:r>
      <w:r w:rsidR="004C2E53" w:rsidRPr="00A013E1">
        <w:rPr>
          <w:rFonts w:ascii="Times New Roman" w:hAnsi="Times New Roman" w:cs="Times New Roman"/>
          <w:lang w:val="ru-RU"/>
        </w:rPr>
        <w:t>а на първоначално издаване (при у</w:t>
      </w:r>
      <w:r w:rsidRPr="00A013E1">
        <w:rPr>
          <w:rFonts w:ascii="Times New Roman" w:hAnsi="Times New Roman" w:cs="Times New Roman"/>
          <w:lang w:val="ru-RU"/>
        </w:rPr>
        <w:t>дължаване):</w:t>
      </w:r>
      <w:r w:rsidRPr="00A013E1">
        <w:rPr>
          <w:rFonts w:ascii="Times New Roman" w:hAnsi="Times New Roman" w:cs="Times New Roman"/>
          <w:lang w:val="ru-RU"/>
        </w:rPr>
        <w:tab/>
      </w:r>
    </w:p>
    <w:p w14:paraId="7A26CCFA" w14:textId="77777777" w:rsidR="00271FA2" w:rsidRPr="00A013E1" w:rsidRDefault="00D35E51">
      <w:pPr>
        <w:tabs>
          <w:tab w:val="left" w:pos="4111"/>
          <w:tab w:val="left" w:pos="5812"/>
          <w:tab w:val="left" w:pos="7938"/>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Сериен номер:</w:t>
      </w:r>
      <w:r w:rsidRPr="00A013E1">
        <w:rPr>
          <w:rFonts w:ascii="Times New Roman" w:hAnsi="Times New Roman" w:cs="Times New Roman"/>
          <w:lang w:val="ru-RU"/>
        </w:rPr>
        <w:tab/>
        <w:t>... 001</w:t>
      </w:r>
      <w:r w:rsidRPr="00A013E1">
        <w:rPr>
          <w:rFonts w:ascii="Times New Roman" w:hAnsi="Times New Roman" w:cs="Times New Roman"/>
          <w:lang w:val="ru-RU"/>
        </w:rPr>
        <w:tab/>
        <w:t>... 001</w:t>
      </w:r>
      <w:r w:rsidRPr="00A013E1">
        <w:rPr>
          <w:rFonts w:ascii="Times New Roman" w:hAnsi="Times New Roman" w:cs="Times New Roman"/>
          <w:lang w:val="ru-RU"/>
        </w:rPr>
        <w:tab/>
        <w:t>... 001</w:t>
      </w:r>
    </w:p>
    <w:p w14:paraId="3D929E6A" w14:textId="77777777" w:rsidR="00271FA2" w:rsidRPr="00A013E1" w:rsidRDefault="00D35E51">
      <w:pPr>
        <w:tabs>
          <w:tab w:val="left" w:pos="4111"/>
          <w:tab w:val="left" w:pos="5812"/>
          <w:tab w:val="left" w:pos="7938"/>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ab/>
        <w:t>... 002</w:t>
      </w:r>
      <w:r w:rsidRPr="00A013E1">
        <w:rPr>
          <w:rFonts w:ascii="Times New Roman" w:hAnsi="Times New Roman" w:cs="Times New Roman"/>
          <w:lang w:val="ru-RU"/>
        </w:rPr>
        <w:tab/>
        <w:t>... 002</w:t>
      </w:r>
      <w:r w:rsidRPr="00A013E1">
        <w:rPr>
          <w:rFonts w:ascii="Times New Roman" w:hAnsi="Times New Roman" w:cs="Times New Roman"/>
          <w:lang w:val="ru-RU"/>
        </w:rPr>
        <w:tab/>
        <w:t>... 002</w:t>
      </w:r>
    </w:p>
    <w:p w14:paraId="3CD40B45" w14:textId="77777777" w:rsidR="00271FA2" w:rsidRPr="00A013E1" w:rsidRDefault="00D35E51">
      <w:pPr>
        <w:tabs>
          <w:tab w:val="left" w:pos="4111"/>
          <w:tab w:val="left" w:pos="5812"/>
          <w:tab w:val="left" w:pos="7938"/>
        </w:tabs>
        <w:suppressAutoHyphens/>
        <w:spacing w:line="240" w:lineRule="atLeast"/>
        <w:ind w:left="4111"/>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w:t>
      </w:r>
      <w:r w:rsidRPr="00A013E1">
        <w:rPr>
          <w:rFonts w:ascii="Times New Roman" w:hAnsi="Times New Roman" w:cs="Times New Roman"/>
          <w:lang w:val="ru-RU"/>
        </w:rPr>
        <w:tab/>
        <w:t>.</w:t>
      </w:r>
    </w:p>
    <w:p w14:paraId="2DC129D6" w14:textId="77777777" w:rsidR="00271FA2" w:rsidRPr="00A013E1" w:rsidRDefault="00D35E51">
      <w:pPr>
        <w:tabs>
          <w:tab w:val="left" w:pos="4111"/>
          <w:tab w:val="left" w:pos="5812"/>
          <w:tab w:val="left" w:pos="7938"/>
        </w:tabs>
        <w:suppressAutoHyphens/>
        <w:spacing w:line="240" w:lineRule="atLeast"/>
        <w:ind w:left="4111"/>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w:t>
      </w:r>
      <w:r w:rsidRPr="00A013E1">
        <w:rPr>
          <w:rFonts w:ascii="Times New Roman" w:hAnsi="Times New Roman" w:cs="Times New Roman"/>
          <w:lang w:val="ru-RU"/>
        </w:rPr>
        <w:tab/>
        <w:t>.</w:t>
      </w:r>
    </w:p>
    <w:p w14:paraId="666ED36D" w14:textId="77777777" w:rsidR="00271FA2" w:rsidRPr="00A013E1" w:rsidRDefault="00D35E51">
      <w:pPr>
        <w:tabs>
          <w:tab w:val="left" w:pos="4111"/>
          <w:tab w:val="left" w:pos="5812"/>
          <w:tab w:val="left" w:pos="7938"/>
        </w:tabs>
        <w:suppressAutoHyphens/>
        <w:spacing w:line="240" w:lineRule="atLeast"/>
        <w:ind w:left="4111"/>
        <w:rPr>
          <w:rFonts w:ascii="Times New Roman" w:hAnsi="Times New Roman" w:cs="Times New Roman"/>
          <w:lang w:val="ru-RU"/>
        </w:rPr>
      </w:pPr>
      <w:r w:rsidRPr="00A013E1">
        <w:rPr>
          <w:rFonts w:ascii="Times New Roman" w:hAnsi="Times New Roman" w:cs="Times New Roman"/>
          <w:lang w:val="ru-RU"/>
        </w:rPr>
        <w:t>.</w:t>
      </w:r>
      <w:r w:rsidRPr="00A013E1">
        <w:rPr>
          <w:rFonts w:ascii="Times New Roman" w:hAnsi="Times New Roman" w:cs="Times New Roman"/>
          <w:lang w:val="ru-RU"/>
        </w:rPr>
        <w:tab/>
        <w:t>.</w:t>
      </w:r>
      <w:r w:rsidRPr="00A013E1">
        <w:rPr>
          <w:rFonts w:ascii="Times New Roman" w:hAnsi="Times New Roman" w:cs="Times New Roman"/>
          <w:lang w:val="ru-RU"/>
        </w:rPr>
        <w:tab/>
        <w:t>.</w:t>
      </w:r>
    </w:p>
    <w:p w14:paraId="44B1F0E3" w14:textId="77777777" w:rsidR="00271FA2" w:rsidRPr="00A013E1" w:rsidRDefault="00D35E51">
      <w:pPr>
        <w:tabs>
          <w:tab w:val="left" w:pos="4111"/>
          <w:tab w:val="left" w:pos="5812"/>
          <w:tab w:val="left" w:pos="7938"/>
        </w:tabs>
        <w:suppressAutoHyphens/>
        <w:spacing w:line="240" w:lineRule="atLeast"/>
        <w:ind w:left="4111"/>
        <w:rPr>
          <w:rFonts w:ascii="Times New Roman" w:hAnsi="Times New Roman" w:cs="Times New Roman"/>
          <w:lang w:val="ru-RU"/>
        </w:rPr>
      </w:pPr>
      <w:r w:rsidRPr="00A013E1">
        <w:rPr>
          <w:rFonts w:ascii="Times New Roman" w:hAnsi="Times New Roman" w:cs="Times New Roman"/>
          <w:lang w:val="ru-RU"/>
        </w:rPr>
        <w:t xml:space="preserve">..... </w:t>
      </w:r>
      <w:r w:rsidRPr="00A013E1">
        <w:rPr>
          <w:rFonts w:ascii="Times New Roman" w:hAnsi="Times New Roman" w:cs="Times New Roman"/>
        </w:rPr>
        <w:t>m</w:t>
      </w:r>
      <w:r w:rsidRPr="00A013E1">
        <w:rPr>
          <w:rFonts w:ascii="Times New Roman" w:hAnsi="Times New Roman" w:cs="Times New Roman"/>
          <w:lang w:val="ru-RU"/>
        </w:rPr>
        <w:tab/>
        <w:t xml:space="preserve">..... </w:t>
      </w:r>
      <w:r w:rsidRPr="00A013E1">
        <w:rPr>
          <w:rFonts w:ascii="Times New Roman" w:hAnsi="Times New Roman" w:cs="Times New Roman"/>
        </w:rPr>
        <w:t>p</w:t>
      </w:r>
      <w:r w:rsidRPr="00A013E1">
        <w:rPr>
          <w:rFonts w:ascii="Times New Roman" w:hAnsi="Times New Roman" w:cs="Times New Roman"/>
          <w:lang w:val="ru-RU"/>
        </w:rPr>
        <w:tab/>
        <w:t xml:space="preserve">..... </w:t>
      </w:r>
      <w:r w:rsidRPr="00A013E1">
        <w:rPr>
          <w:rFonts w:ascii="Times New Roman" w:hAnsi="Times New Roman" w:cs="Times New Roman"/>
        </w:rPr>
        <w:t>q</w:t>
      </w:r>
    </w:p>
    <w:p w14:paraId="79730AB4" w14:textId="16161CEC" w:rsidR="004C2E53" w:rsidRPr="00A013E1" w:rsidRDefault="004C2E53">
      <w:pPr>
        <w:rPr>
          <w:rFonts w:ascii="Times New Roman" w:hAnsi="Times New Roman" w:cs="Times New Roman"/>
          <w:lang w:val="ru-RU"/>
        </w:rPr>
      </w:pPr>
      <w:r w:rsidRPr="00A013E1">
        <w:rPr>
          <w:rFonts w:ascii="Times New Roman" w:hAnsi="Times New Roman" w:cs="Times New Roman"/>
          <w:lang w:val="ru-RU"/>
        </w:rPr>
        <w:br w:type="page"/>
      </w:r>
    </w:p>
    <w:p w14:paraId="696052B6" w14:textId="77777777" w:rsidR="00271FA2" w:rsidRPr="00A013E1" w:rsidRDefault="00271FA2">
      <w:pPr>
        <w:suppressAutoHyphens/>
        <w:spacing w:line="240" w:lineRule="atLeast"/>
        <w:rPr>
          <w:rFonts w:ascii="Times New Roman" w:hAnsi="Times New Roman" w:cs="Times New Roman"/>
          <w:lang w:val="ru-RU"/>
        </w:rPr>
        <w:sectPr w:rsidR="00271FA2" w:rsidRPr="00A013E1" w:rsidSect="00A013E1">
          <w:headerReference w:type="even" r:id="rId156"/>
          <w:headerReference w:type="default" r:id="rId157"/>
          <w:footerReference w:type="even" r:id="rId158"/>
          <w:footerReference w:type="default" r:id="rId159"/>
          <w:headerReference w:type="first" r:id="rId160"/>
          <w:footerReference w:type="first" r:id="rId161"/>
          <w:footnotePr>
            <w:numRestart w:val="eachPage"/>
          </w:footnotePr>
          <w:pgSz w:w="11907" w:h="16840" w:code="9"/>
          <w:pgMar w:top="1134" w:right="1134" w:bottom="1134" w:left="1134" w:header="709" w:footer="709" w:gutter="0"/>
          <w:cols w:space="720"/>
          <w:docGrid w:linePitch="360"/>
        </w:sectPr>
      </w:pPr>
    </w:p>
    <w:p w14:paraId="4D6E9E37" w14:textId="77777777" w:rsidR="00271FA2" w:rsidRPr="00A013E1" w:rsidRDefault="00D35E51" w:rsidP="004C2E53">
      <w:pPr>
        <w:pStyle w:val="ES-Titre3"/>
        <w:spacing w:after="0" w:line="240" w:lineRule="atLeast"/>
        <w:rPr>
          <w:rFonts w:ascii="Times New Roman" w:hAnsi="Times New Roman" w:cs="Times New Roman"/>
          <w:lang w:val="ru-RU"/>
        </w:rPr>
      </w:pPr>
      <w:bookmarkStart w:id="648" w:name="_Toc491854336"/>
      <w:bookmarkStart w:id="649" w:name="_Toc535827777"/>
      <w:r w:rsidRPr="00A013E1">
        <w:rPr>
          <w:rFonts w:ascii="Times New Roman" w:hAnsi="Times New Roman" w:cs="Times New Roman"/>
          <w:lang w:val="ru-RU"/>
        </w:rPr>
        <w:lastRenderedPageBreak/>
        <w:t xml:space="preserve">Раздел </w:t>
      </w:r>
      <w:r w:rsidRPr="00A013E1">
        <w:rPr>
          <w:rFonts w:ascii="Times New Roman" w:hAnsi="Times New Roman" w:cs="Times New Roman"/>
        </w:rPr>
        <w:t>VII</w:t>
      </w:r>
      <w:bookmarkEnd w:id="648"/>
      <w:bookmarkEnd w:id="649"/>
    </w:p>
    <w:p w14:paraId="27B88384" w14:textId="77777777" w:rsidR="00271FA2" w:rsidRPr="00A013E1" w:rsidRDefault="00D35E51" w:rsidP="004C2E53">
      <w:pPr>
        <w:pStyle w:val="ES-Titre3a"/>
        <w:spacing w:after="0" w:line="240" w:lineRule="atLeast"/>
        <w:rPr>
          <w:rFonts w:ascii="Times New Roman" w:hAnsi="Times New Roman" w:cs="Times New Roman"/>
          <w:lang w:val="ru-RU"/>
        </w:rPr>
      </w:pPr>
      <w:bookmarkStart w:id="650" w:name="_Toc535827778"/>
      <w:bookmarkStart w:id="651" w:name="_Toc491854337"/>
      <w:r w:rsidRPr="00A013E1">
        <w:rPr>
          <w:rFonts w:ascii="Times New Roman" w:hAnsi="Times New Roman" w:cs="Times New Roman"/>
          <w:lang w:val="ru-RU"/>
        </w:rPr>
        <w:t>Спецификация за бордови станции за пречистване на отпадъчни води с одобрение на типа</w:t>
      </w:r>
      <w:bookmarkEnd w:id="650"/>
      <w:bookmarkEnd w:id="651"/>
      <w:r w:rsidRPr="00A013E1">
        <w:rPr>
          <w:rFonts w:ascii="Times New Roman" w:hAnsi="Times New Roman" w:cs="Times New Roman"/>
          <w:lang w:val="ru-RU"/>
        </w:rPr>
        <w:t xml:space="preserve"> </w:t>
      </w:r>
    </w:p>
    <w:p w14:paraId="6C9A2921" w14:textId="77777777" w:rsidR="00271FA2" w:rsidRPr="00A013E1" w:rsidRDefault="00D35E51" w:rsidP="004C2E53">
      <w:pPr>
        <w:overflowPunct w:val="0"/>
        <w:adjustRightInd w:val="0"/>
        <w:spacing w:line="240" w:lineRule="atLeast"/>
        <w:jc w:val="center"/>
        <w:textAlignment w:val="baseline"/>
        <w:rPr>
          <w:rFonts w:ascii="Times New Roman" w:eastAsia="Calibri" w:hAnsi="Times New Roman" w:cs="Times New Roman"/>
          <w:szCs w:val="20"/>
        </w:rPr>
      </w:pPr>
      <w:r w:rsidRPr="00A013E1">
        <w:rPr>
          <w:rFonts w:ascii="Times New Roman" w:hAnsi="Times New Roman" w:cs="Times New Roman"/>
        </w:rPr>
        <w:t>(Образец)</w:t>
      </w:r>
    </w:p>
    <w:p w14:paraId="7128D072" w14:textId="77777777" w:rsidR="00271FA2" w:rsidRPr="00A013E1" w:rsidRDefault="00271FA2">
      <w:pPr>
        <w:suppressAutoHyphens/>
        <w:spacing w:line="240" w:lineRule="atLeast"/>
        <w:rPr>
          <w:rFonts w:ascii="Times New Roman" w:hAnsi="Times New Roman" w:cs="Times New Roman"/>
          <w:szCs w:val="20"/>
        </w:rPr>
      </w:pPr>
    </w:p>
    <w:p w14:paraId="45D19030" w14:textId="77777777" w:rsidR="00271FA2" w:rsidRPr="00A013E1" w:rsidRDefault="00D35E51">
      <w:pPr>
        <w:spacing w:line="240" w:lineRule="atLeast"/>
        <w:jc w:val="right"/>
        <w:outlineLvl w:val="0"/>
        <w:rPr>
          <w:rFonts w:ascii="Times New Roman" w:hAnsi="Times New Roman" w:cs="Times New Roman"/>
          <w:b/>
          <w:sz w:val="16"/>
        </w:rPr>
      </w:pPr>
      <w:r w:rsidRPr="00A013E1">
        <w:rPr>
          <w:rFonts w:ascii="Times New Roman" w:hAnsi="Times New Roman" w:cs="Times New Roman"/>
          <w:sz w:val="16"/>
        </w:rPr>
        <w:t>Печат на компетентния орган</w:t>
      </w:r>
    </w:p>
    <w:tbl>
      <w:tblPr>
        <w:tblW w:w="15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1134"/>
        <w:gridCol w:w="1134"/>
        <w:gridCol w:w="992"/>
        <w:gridCol w:w="1843"/>
        <w:gridCol w:w="1134"/>
        <w:gridCol w:w="1156"/>
        <w:gridCol w:w="296"/>
        <w:gridCol w:w="369"/>
        <w:gridCol w:w="7"/>
        <w:gridCol w:w="1288"/>
        <w:gridCol w:w="1017"/>
        <w:gridCol w:w="1150"/>
        <w:gridCol w:w="941"/>
        <w:gridCol w:w="1005"/>
        <w:gridCol w:w="1247"/>
        <w:gridCol w:w="9"/>
        <w:gridCol w:w="41"/>
      </w:tblGrid>
      <w:tr w:rsidR="00271FA2" w:rsidRPr="00A013E1" w14:paraId="687ACB5C" w14:textId="77777777" w:rsidTr="004764F3">
        <w:tc>
          <w:tcPr>
            <w:tcW w:w="5382" w:type="dxa"/>
            <w:gridSpan w:val="5"/>
            <w:shd w:val="clear" w:color="auto" w:fill="auto"/>
          </w:tcPr>
          <w:p w14:paraId="13955523" w14:textId="77777777" w:rsidR="00271FA2" w:rsidRPr="00A013E1" w:rsidRDefault="00271FA2">
            <w:pPr>
              <w:spacing w:line="240" w:lineRule="atLeast"/>
              <w:jc w:val="center"/>
              <w:rPr>
                <w:rFonts w:ascii="Times New Roman" w:hAnsi="Times New Roman" w:cs="Times New Roman"/>
                <w:b/>
                <w:bCs/>
              </w:rPr>
            </w:pPr>
          </w:p>
        </w:tc>
        <w:tc>
          <w:tcPr>
            <w:tcW w:w="2962" w:type="dxa"/>
            <w:gridSpan w:val="5"/>
            <w:shd w:val="clear" w:color="auto" w:fill="auto"/>
          </w:tcPr>
          <w:p w14:paraId="62EFCF11" w14:textId="77777777" w:rsidR="00271FA2" w:rsidRPr="00A013E1" w:rsidRDefault="00D35E51">
            <w:pPr>
              <w:spacing w:line="240" w:lineRule="atLeast"/>
              <w:jc w:val="center"/>
              <w:rPr>
                <w:rFonts w:ascii="Times New Roman" w:hAnsi="Times New Roman" w:cs="Times New Roman"/>
                <w:b/>
                <w:bCs/>
                <w:lang w:val="ru-RU"/>
              </w:rPr>
            </w:pPr>
            <w:r w:rsidRPr="00A013E1">
              <w:rPr>
                <w:rFonts w:ascii="Times New Roman" w:hAnsi="Times New Roman" w:cs="Times New Roman"/>
                <w:b/>
                <w:lang w:val="ru-RU"/>
              </w:rPr>
              <w:t>Характеристики на бордовата станция за пречистване на отпадъчни води</w:t>
            </w:r>
          </w:p>
        </w:tc>
        <w:tc>
          <w:tcPr>
            <w:tcW w:w="6698" w:type="dxa"/>
            <w:gridSpan w:val="8"/>
            <w:shd w:val="clear" w:color="auto" w:fill="auto"/>
          </w:tcPr>
          <w:p w14:paraId="24E7B796" w14:textId="77777777" w:rsidR="00271FA2" w:rsidRPr="00A013E1" w:rsidRDefault="00D35E51">
            <w:pPr>
              <w:spacing w:line="240" w:lineRule="atLeast"/>
              <w:jc w:val="center"/>
              <w:rPr>
                <w:rFonts w:ascii="Times New Roman" w:hAnsi="Times New Roman" w:cs="Times New Roman"/>
                <w:b/>
                <w:bCs/>
              </w:rPr>
            </w:pPr>
            <w:r w:rsidRPr="00A013E1">
              <w:rPr>
                <w:rFonts w:ascii="Times New Roman" w:hAnsi="Times New Roman" w:cs="Times New Roman"/>
                <w:b/>
              </w:rPr>
              <w:t>Ефективност на пречистването</w:t>
            </w:r>
          </w:p>
        </w:tc>
      </w:tr>
      <w:tr w:rsidR="00271FA2" w:rsidRPr="00A013E1" w14:paraId="0DB21186" w14:textId="77777777" w:rsidTr="004764F3">
        <w:trPr>
          <w:gridAfter w:val="1"/>
          <w:wAfter w:w="41" w:type="dxa"/>
        </w:trPr>
        <w:tc>
          <w:tcPr>
            <w:tcW w:w="279" w:type="dxa"/>
            <w:vMerge w:val="restart"/>
            <w:shd w:val="clear" w:color="auto" w:fill="auto"/>
          </w:tcPr>
          <w:p w14:paraId="49D86868" w14:textId="77777777" w:rsidR="00271FA2" w:rsidRPr="00A013E1" w:rsidRDefault="00D35E51" w:rsidP="004C2E53">
            <w:pPr>
              <w:spacing w:line="240" w:lineRule="atLeast"/>
              <w:ind w:left="-120"/>
              <w:jc w:val="center"/>
              <w:rPr>
                <w:rFonts w:ascii="Times New Roman" w:hAnsi="Times New Roman" w:cs="Times New Roman"/>
              </w:rPr>
            </w:pPr>
            <w:r w:rsidRPr="00A013E1">
              <w:rPr>
                <w:rFonts w:ascii="Times New Roman" w:hAnsi="Times New Roman" w:cs="Times New Roman"/>
              </w:rPr>
              <w:t>№</w:t>
            </w:r>
          </w:p>
        </w:tc>
        <w:tc>
          <w:tcPr>
            <w:tcW w:w="1134" w:type="dxa"/>
            <w:vMerge w:val="restart"/>
            <w:shd w:val="clear" w:color="auto" w:fill="auto"/>
          </w:tcPr>
          <w:p w14:paraId="0E2A2B69" w14:textId="01BCDBC6"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 xml:space="preserve">Дата на </w:t>
            </w:r>
            <w:r w:rsidRPr="00A013E1">
              <w:rPr>
                <w:rFonts w:ascii="Times New Roman" w:hAnsi="Times New Roman" w:cs="Times New Roman"/>
                <w:lang w:val="ru-RU"/>
              </w:rPr>
              <w:br/>
              <w:t>одобре</w:t>
            </w:r>
            <w:r w:rsidR="004C2E53" w:rsidRPr="00A013E1">
              <w:rPr>
                <w:rFonts w:ascii="Times New Roman" w:hAnsi="Times New Roman" w:cs="Times New Roman"/>
                <w:lang w:val="ru-RU"/>
              </w:rPr>
              <w:t>-</w:t>
            </w:r>
            <w:r w:rsidRPr="00A013E1">
              <w:rPr>
                <w:rFonts w:ascii="Times New Roman" w:hAnsi="Times New Roman" w:cs="Times New Roman"/>
                <w:lang w:val="ru-RU"/>
              </w:rPr>
              <w:t>нието на типа</w:t>
            </w:r>
          </w:p>
        </w:tc>
        <w:tc>
          <w:tcPr>
            <w:tcW w:w="1134" w:type="dxa"/>
            <w:vMerge w:val="restart"/>
            <w:shd w:val="clear" w:color="auto" w:fill="auto"/>
          </w:tcPr>
          <w:p w14:paraId="02D01585" w14:textId="6CE48EA8" w:rsidR="00271FA2" w:rsidRPr="00A013E1" w:rsidRDefault="00D35E51" w:rsidP="004764F3">
            <w:pPr>
              <w:spacing w:line="240" w:lineRule="atLeast"/>
              <w:jc w:val="center"/>
              <w:rPr>
                <w:rFonts w:ascii="Times New Roman" w:hAnsi="Times New Roman" w:cs="Times New Roman"/>
                <w:lang w:val="ru-RU"/>
              </w:rPr>
            </w:pPr>
            <w:r w:rsidRPr="00A013E1">
              <w:rPr>
                <w:rFonts w:ascii="Times New Roman" w:hAnsi="Times New Roman" w:cs="Times New Roman"/>
                <w:lang w:val="ru-RU"/>
              </w:rPr>
              <w:t>Номер на одобре</w:t>
            </w:r>
            <w:r w:rsidR="004764F3" w:rsidRPr="00A013E1">
              <w:rPr>
                <w:rFonts w:ascii="Times New Roman" w:hAnsi="Times New Roman" w:cs="Times New Roman"/>
                <w:lang w:val="ru-RU"/>
              </w:rPr>
              <w:t>-</w:t>
            </w:r>
            <w:r w:rsidRPr="00A013E1">
              <w:rPr>
                <w:rFonts w:ascii="Times New Roman" w:hAnsi="Times New Roman" w:cs="Times New Roman"/>
                <w:lang w:val="ru-RU"/>
              </w:rPr>
              <w:t>нието на типа</w:t>
            </w:r>
          </w:p>
        </w:tc>
        <w:tc>
          <w:tcPr>
            <w:tcW w:w="992" w:type="dxa"/>
            <w:vMerge w:val="restart"/>
            <w:shd w:val="clear" w:color="auto" w:fill="auto"/>
          </w:tcPr>
          <w:p w14:paraId="03D62F8A"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Марка</w:t>
            </w:r>
          </w:p>
        </w:tc>
        <w:tc>
          <w:tcPr>
            <w:tcW w:w="1843" w:type="dxa"/>
            <w:vMerge w:val="restart"/>
            <w:shd w:val="clear" w:color="auto" w:fill="auto"/>
          </w:tcPr>
          <w:p w14:paraId="4AEA78A8"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Тип на бордовата станция за пречистване на отпадъчни води</w:t>
            </w:r>
          </w:p>
        </w:tc>
        <w:tc>
          <w:tcPr>
            <w:tcW w:w="1134" w:type="dxa"/>
            <w:vMerge w:val="restart"/>
            <w:shd w:val="clear" w:color="auto" w:fill="auto"/>
          </w:tcPr>
          <w:p w14:paraId="2023A65B"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 xml:space="preserve">Дневен обемен дебит на отпадъчните води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oMath>
            <w:r w:rsidRPr="00A013E1">
              <w:rPr>
                <w:rFonts w:ascii="Times New Roman" w:hAnsi="Times New Roman" w:cs="Times New Roman"/>
                <w:lang w:val="ru-RU"/>
              </w:rPr>
              <w:t xml:space="preserve"> (</w:t>
            </w:r>
            <w:r w:rsidRPr="00A013E1">
              <w:rPr>
                <w:rFonts w:ascii="Times New Roman" w:hAnsi="Times New Roman" w:cs="Times New Roman"/>
              </w:rPr>
              <w:t>m</w:t>
            </w:r>
            <w:r w:rsidRPr="00A013E1">
              <w:rPr>
                <w:rFonts w:ascii="Times New Roman" w:hAnsi="Times New Roman" w:cs="Times New Roman"/>
                <w:lang w:val="ru-RU"/>
              </w:rPr>
              <w:t>³/ден)</w:t>
            </w:r>
          </w:p>
        </w:tc>
        <w:tc>
          <w:tcPr>
            <w:tcW w:w="1156" w:type="dxa"/>
            <w:vMerge w:val="restart"/>
            <w:shd w:val="clear" w:color="auto" w:fill="auto"/>
          </w:tcPr>
          <w:p w14:paraId="12B1B9BE" w14:textId="77777777" w:rsidR="00271FA2" w:rsidRPr="00A013E1" w:rsidRDefault="00D35E51">
            <w:pPr>
              <w:spacing w:line="240" w:lineRule="atLeast"/>
              <w:jc w:val="center"/>
              <w:rPr>
                <w:rFonts w:ascii="Times New Roman" w:hAnsi="Times New Roman" w:cs="Times New Roman"/>
                <w:lang w:val="ru-RU"/>
              </w:rPr>
            </w:pPr>
            <w:r w:rsidRPr="00A013E1">
              <w:rPr>
                <w:rFonts w:ascii="Times New Roman" w:hAnsi="Times New Roman" w:cs="Times New Roman"/>
                <w:lang w:val="ru-RU"/>
              </w:rPr>
              <w:t xml:space="preserve">Дневно замърсяване по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Pr="00A013E1">
              <w:rPr>
                <w:rFonts w:ascii="Times New Roman" w:hAnsi="Times New Roman" w:cs="Times New Roman"/>
                <w:lang w:val="ru-RU"/>
              </w:rPr>
              <w:t xml:space="preserve"> (</w:t>
            </w:r>
            <w:r w:rsidRPr="00A013E1">
              <w:rPr>
                <w:rFonts w:ascii="Times New Roman" w:hAnsi="Times New Roman" w:cs="Times New Roman"/>
              </w:rPr>
              <w:t>kg</w:t>
            </w:r>
            <w:r w:rsidRPr="00A013E1">
              <w:rPr>
                <w:rFonts w:ascii="Times New Roman" w:hAnsi="Times New Roman" w:cs="Times New Roman"/>
                <w:lang w:val="ru-RU"/>
              </w:rPr>
              <w:t>/ден)</w:t>
            </w:r>
          </w:p>
        </w:tc>
        <w:tc>
          <w:tcPr>
            <w:tcW w:w="296" w:type="dxa"/>
            <w:vMerge w:val="restart"/>
            <w:shd w:val="clear" w:color="auto" w:fill="auto"/>
          </w:tcPr>
          <w:p w14:paraId="472F68D8" w14:textId="77777777" w:rsidR="00271FA2" w:rsidRPr="00A013E1" w:rsidRDefault="00271FA2">
            <w:pPr>
              <w:spacing w:line="240" w:lineRule="atLeast"/>
              <w:jc w:val="center"/>
              <w:rPr>
                <w:rFonts w:ascii="Times New Roman" w:hAnsi="Times New Roman" w:cs="Times New Roman"/>
                <w:lang w:val="ru-RU"/>
              </w:rPr>
            </w:pPr>
          </w:p>
        </w:tc>
        <w:tc>
          <w:tcPr>
            <w:tcW w:w="369" w:type="dxa"/>
            <w:vMerge w:val="restart"/>
            <w:shd w:val="clear" w:color="auto" w:fill="auto"/>
          </w:tcPr>
          <w:p w14:paraId="00D5F081" w14:textId="77777777" w:rsidR="00271FA2" w:rsidRPr="00A013E1" w:rsidRDefault="00271FA2">
            <w:pPr>
              <w:spacing w:line="240" w:lineRule="atLeast"/>
              <w:jc w:val="center"/>
              <w:rPr>
                <w:rFonts w:ascii="Times New Roman" w:hAnsi="Times New Roman" w:cs="Times New Roman"/>
                <w:lang w:val="ru-RU"/>
              </w:rPr>
            </w:pPr>
          </w:p>
        </w:tc>
        <w:tc>
          <w:tcPr>
            <w:tcW w:w="2312" w:type="dxa"/>
            <w:gridSpan w:val="3"/>
            <w:shd w:val="clear" w:color="auto" w:fill="auto"/>
          </w:tcPr>
          <w:p w14:paraId="2A7823A9" w14:textId="77777777" w:rsidR="00271FA2" w:rsidRPr="00A013E1" w:rsidRDefault="002C62EC">
            <w:pPr>
              <w:spacing w:line="240" w:lineRule="atLeast"/>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rPr>
                      <m:t>5</m:t>
                    </m:r>
                  </m:sub>
                </m:sSub>
              </m:oMath>
            </m:oMathPara>
          </w:p>
        </w:tc>
        <w:tc>
          <w:tcPr>
            <w:tcW w:w="2091" w:type="dxa"/>
            <w:gridSpan w:val="2"/>
            <w:shd w:val="clear" w:color="auto" w:fill="auto"/>
          </w:tcPr>
          <w:p w14:paraId="5DFCD6F9"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ХПК</w:t>
            </w:r>
          </w:p>
        </w:tc>
        <w:tc>
          <w:tcPr>
            <w:tcW w:w="2261" w:type="dxa"/>
            <w:gridSpan w:val="3"/>
            <w:shd w:val="clear" w:color="auto" w:fill="auto"/>
          </w:tcPr>
          <w:p w14:paraId="47CFE5DC"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ОСОВ</w:t>
            </w:r>
          </w:p>
        </w:tc>
      </w:tr>
      <w:tr w:rsidR="00271FA2" w:rsidRPr="00A013E1" w14:paraId="5B4A30E6" w14:textId="77777777" w:rsidTr="004764F3">
        <w:trPr>
          <w:gridAfter w:val="2"/>
          <w:wAfter w:w="50" w:type="dxa"/>
        </w:trPr>
        <w:tc>
          <w:tcPr>
            <w:tcW w:w="279" w:type="dxa"/>
            <w:vMerge/>
            <w:shd w:val="clear" w:color="auto" w:fill="auto"/>
          </w:tcPr>
          <w:p w14:paraId="03570B0A" w14:textId="77777777" w:rsidR="00271FA2" w:rsidRPr="00A013E1" w:rsidRDefault="00271FA2">
            <w:pPr>
              <w:spacing w:line="240" w:lineRule="atLeast"/>
              <w:rPr>
                <w:rFonts w:ascii="Times New Roman" w:hAnsi="Times New Roman" w:cs="Times New Roman"/>
              </w:rPr>
            </w:pPr>
          </w:p>
        </w:tc>
        <w:tc>
          <w:tcPr>
            <w:tcW w:w="1134" w:type="dxa"/>
            <w:vMerge/>
            <w:shd w:val="clear" w:color="auto" w:fill="auto"/>
          </w:tcPr>
          <w:p w14:paraId="3D4F2B71" w14:textId="77777777" w:rsidR="00271FA2" w:rsidRPr="00A013E1" w:rsidRDefault="00271FA2">
            <w:pPr>
              <w:spacing w:line="240" w:lineRule="atLeast"/>
              <w:rPr>
                <w:rFonts w:ascii="Times New Roman" w:hAnsi="Times New Roman" w:cs="Times New Roman"/>
              </w:rPr>
            </w:pPr>
          </w:p>
        </w:tc>
        <w:tc>
          <w:tcPr>
            <w:tcW w:w="1134" w:type="dxa"/>
            <w:vMerge/>
            <w:shd w:val="clear" w:color="auto" w:fill="auto"/>
          </w:tcPr>
          <w:p w14:paraId="2142595B" w14:textId="77777777" w:rsidR="00271FA2" w:rsidRPr="00A013E1" w:rsidRDefault="00271FA2">
            <w:pPr>
              <w:spacing w:line="240" w:lineRule="atLeast"/>
              <w:rPr>
                <w:rFonts w:ascii="Times New Roman" w:hAnsi="Times New Roman" w:cs="Times New Roman"/>
              </w:rPr>
            </w:pPr>
          </w:p>
        </w:tc>
        <w:tc>
          <w:tcPr>
            <w:tcW w:w="992" w:type="dxa"/>
            <w:vMerge/>
            <w:shd w:val="clear" w:color="auto" w:fill="auto"/>
          </w:tcPr>
          <w:p w14:paraId="096AC098" w14:textId="77777777" w:rsidR="00271FA2" w:rsidRPr="00A013E1" w:rsidRDefault="00271FA2">
            <w:pPr>
              <w:spacing w:line="240" w:lineRule="atLeast"/>
              <w:rPr>
                <w:rFonts w:ascii="Times New Roman" w:hAnsi="Times New Roman" w:cs="Times New Roman"/>
              </w:rPr>
            </w:pPr>
          </w:p>
        </w:tc>
        <w:tc>
          <w:tcPr>
            <w:tcW w:w="1843" w:type="dxa"/>
            <w:vMerge/>
            <w:shd w:val="clear" w:color="auto" w:fill="auto"/>
          </w:tcPr>
          <w:p w14:paraId="5F6B3419" w14:textId="77777777" w:rsidR="00271FA2" w:rsidRPr="00A013E1" w:rsidRDefault="00271FA2">
            <w:pPr>
              <w:spacing w:line="240" w:lineRule="atLeast"/>
              <w:rPr>
                <w:rFonts w:ascii="Times New Roman" w:hAnsi="Times New Roman" w:cs="Times New Roman"/>
              </w:rPr>
            </w:pPr>
          </w:p>
        </w:tc>
        <w:tc>
          <w:tcPr>
            <w:tcW w:w="1134" w:type="dxa"/>
            <w:vMerge/>
            <w:shd w:val="clear" w:color="auto" w:fill="auto"/>
          </w:tcPr>
          <w:p w14:paraId="2EBA9BB8" w14:textId="77777777" w:rsidR="00271FA2" w:rsidRPr="00A013E1" w:rsidRDefault="00271FA2">
            <w:pPr>
              <w:spacing w:line="240" w:lineRule="atLeast"/>
              <w:rPr>
                <w:rFonts w:ascii="Times New Roman" w:hAnsi="Times New Roman" w:cs="Times New Roman"/>
              </w:rPr>
            </w:pPr>
          </w:p>
        </w:tc>
        <w:tc>
          <w:tcPr>
            <w:tcW w:w="1156" w:type="dxa"/>
            <w:vMerge/>
            <w:shd w:val="clear" w:color="auto" w:fill="auto"/>
          </w:tcPr>
          <w:p w14:paraId="47F4A641" w14:textId="77777777" w:rsidR="00271FA2" w:rsidRPr="00A013E1" w:rsidRDefault="00271FA2">
            <w:pPr>
              <w:spacing w:line="240" w:lineRule="atLeast"/>
              <w:rPr>
                <w:rFonts w:ascii="Times New Roman" w:hAnsi="Times New Roman" w:cs="Times New Roman"/>
              </w:rPr>
            </w:pPr>
          </w:p>
        </w:tc>
        <w:tc>
          <w:tcPr>
            <w:tcW w:w="296" w:type="dxa"/>
            <w:vMerge/>
            <w:shd w:val="clear" w:color="auto" w:fill="auto"/>
          </w:tcPr>
          <w:p w14:paraId="0F9ADF3D" w14:textId="77777777" w:rsidR="00271FA2" w:rsidRPr="00A013E1" w:rsidRDefault="00271FA2">
            <w:pPr>
              <w:spacing w:line="240" w:lineRule="atLeast"/>
              <w:rPr>
                <w:rFonts w:ascii="Times New Roman" w:hAnsi="Times New Roman" w:cs="Times New Roman"/>
              </w:rPr>
            </w:pPr>
          </w:p>
        </w:tc>
        <w:tc>
          <w:tcPr>
            <w:tcW w:w="369" w:type="dxa"/>
            <w:vMerge/>
            <w:shd w:val="clear" w:color="auto" w:fill="auto"/>
          </w:tcPr>
          <w:p w14:paraId="4372CF8C" w14:textId="77777777" w:rsidR="00271FA2" w:rsidRPr="00A013E1" w:rsidRDefault="00271FA2">
            <w:pPr>
              <w:spacing w:line="240" w:lineRule="atLeast"/>
              <w:rPr>
                <w:rFonts w:ascii="Times New Roman" w:hAnsi="Times New Roman" w:cs="Times New Roman"/>
              </w:rPr>
            </w:pPr>
          </w:p>
        </w:tc>
        <w:tc>
          <w:tcPr>
            <w:tcW w:w="1295" w:type="dxa"/>
            <w:gridSpan w:val="2"/>
            <w:shd w:val="clear" w:color="auto" w:fill="auto"/>
          </w:tcPr>
          <w:p w14:paraId="26910407"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24-часова комбинирана проба</w:t>
            </w:r>
          </w:p>
        </w:tc>
        <w:tc>
          <w:tcPr>
            <w:tcW w:w="1017" w:type="dxa"/>
            <w:shd w:val="clear" w:color="auto" w:fill="auto"/>
          </w:tcPr>
          <w:p w14:paraId="2454560A" w14:textId="77777777" w:rsidR="00271FA2" w:rsidRPr="00A013E1" w:rsidRDefault="00D35E51" w:rsidP="004764F3">
            <w:pPr>
              <w:spacing w:line="240" w:lineRule="atLeast"/>
              <w:ind w:left="-231" w:right="-115"/>
              <w:jc w:val="center"/>
              <w:rPr>
                <w:rFonts w:ascii="Times New Roman" w:hAnsi="Times New Roman" w:cs="Times New Roman"/>
              </w:rPr>
            </w:pPr>
            <w:r w:rsidRPr="00A013E1">
              <w:rPr>
                <w:rFonts w:ascii="Times New Roman" w:hAnsi="Times New Roman" w:cs="Times New Roman"/>
              </w:rPr>
              <w:t>Случайна проба</w:t>
            </w:r>
          </w:p>
        </w:tc>
        <w:tc>
          <w:tcPr>
            <w:tcW w:w="1150" w:type="dxa"/>
            <w:shd w:val="clear" w:color="auto" w:fill="auto"/>
          </w:tcPr>
          <w:p w14:paraId="52757AC6"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24-часова комбинирана проба</w:t>
            </w:r>
          </w:p>
        </w:tc>
        <w:tc>
          <w:tcPr>
            <w:tcW w:w="941" w:type="dxa"/>
            <w:shd w:val="clear" w:color="auto" w:fill="auto"/>
          </w:tcPr>
          <w:p w14:paraId="7FF3E028" w14:textId="77777777" w:rsidR="00271FA2" w:rsidRPr="00A013E1" w:rsidRDefault="00D35E51" w:rsidP="004764F3">
            <w:pPr>
              <w:spacing w:line="240" w:lineRule="atLeast"/>
              <w:ind w:left="-115" w:right="-156"/>
              <w:jc w:val="center"/>
              <w:rPr>
                <w:rFonts w:ascii="Times New Roman" w:hAnsi="Times New Roman" w:cs="Times New Roman"/>
              </w:rPr>
            </w:pPr>
            <w:r w:rsidRPr="00A013E1">
              <w:rPr>
                <w:rFonts w:ascii="Times New Roman" w:hAnsi="Times New Roman" w:cs="Times New Roman"/>
              </w:rPr>
              <w:t>Случайна проба</w:t>
            </w:r>
          </w:p>
        </w:tc>
        <w:tc>
          <w:tcPr>
            <w:tcW w:w="1005" w:type="dxa"/>
            <w:shd w:val="clear" w:color="auto" w:fill="auto"/>
          </w:tcPr>
          <w:p w14:paraId="49EB63C1" w14:textId="4F3BECCD"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24-часова комби</w:t>
            </w:r>
            <w:r w:rsidR="004764F3" w:rsidRPr="00A013E1">
              <w:rPr>
                <w:rFonts w:ascii="Times New Roman" w:hAnsi="Times New Roman" w:cs="Times New Roman"/>
              </w:rPr>
              <w:t>-</w:t>
            </w:r>
            <w:r w:rsidRPr="00A013E1">
              <w:rPr>
                <w:rFonts w:ascii="Times New Roman" w:hAnsi="Times New Roman" w:cs="Times New Roman"/>
              </w:rPr>
              <w:t>нирана проба</w:t>
            </w:r>
          </w:p>
        </w:tc>
        <w:tc>
          <w:tcPr>
            <w:tcW w:w="1247" w:type="dxa"/>
            <w:shd w:val="clear" w:color="auto" w:fill="auto"/>
          </w:tcPr>
          <w:p w14:paraId="665EBB74" w14:textId="77777777" w:rsidR="00271FA2" w:rsidRPr="00A013E1" w:rsidRDefault="00D35E51">
            <w:pPr>
              <w:spacing w:line="240" w:lineRule="atLeast"/>
              <w:jc w:val="center"/>
              <w:rPr>
                <w:rFonts w:ascii="Times New Roman" w:hAnsi="Times New Roman" w:cs="Times New Roman"/>
              </w:rPr>
            </w:pPr>
            <w:r w:rsidRPr="00A013E1">
              <w:rPr>
                <w:rFonts w:ascii="Times New Roman" w:hAnsi="Times New Roman" w:cs="Times New Roman"/>
              </w:rPr>
              <w:t>Случайна проба</w:t>
            </w:r>
          </w:p>
        </w:tc>
      </w:tr>
      <w:tr w:rsidR="00271FA2" w:rsidRPr="00A013E1" w14:paraId="32B50F94" w14:textId="77777777" w:rsidTr="004764F3">
        <w:trPr>
          <w:gridAfter w:val="2"/>
          <w:wAfter w:w="50" w:type="dxa"/>
        </w:trPr>
        <w:tc>
          <w:tcPr>
            <w:tcW w:w="279" w:type="dxa"/>
            <w:shd w:val="clear" w:color="auto" w:fill="auto"/>
          </w:tcPr>
          <w:p w14:paraId="4842C6A3"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44CB484F"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45A1EA85" w14:textId="77777777" w:rsidR="00271FA2" w:rsidRPr="00A013E1" w:rsidRDefault="00271FA2">
            <w:pPr>
              <w:spacing w:line="240" w:lineRule="atLeast"/>
              <w:rPr>
                <w:rFonts w:ascii="Times New Roman" w:hAnsi="Times New Roman" w:cs="Times New Roman"/>
              </w:rPr>
            </w:pPr>
          </w:p>
        </w:tc>
        <w:tc>
          <w:tcPr>
            <w:tcW w:w="992" w:type="dxa"/>
            <w:shd w:val="clear" w:color="auto" w:fill="auto"/>
          </w:tcPr>
          <w:p w14:paraId="6FAED8C4" w14:textId="77777777" w:rsidR="00271FA2" w:rsidRPr="00A013E1" w:rsidRDefault="00271FA2">
            <w:pPr>
              <w:spacing w:line="240" w:lineRule="atLeast"/>
              <w:rPr>
                <w:rFonts w:ascii="Times New Roman" w:hAnsi="Times New Roman" w:cs="Times New Roman"/>
              </w:rPr>
            </w:pPr>
          </w:p>
        </w:tc>
        <w:tc>
          <w:tcPr>
            <w:tcW w:w="1843" w:type="dxa"/>
            <w:shd w:val="clear" w:color="auto" w:fill="auto"/>
          </w:tcPr>
          <w:p w14:paraId="21BEB8FD"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2CCB7709" w14:textId="77777777" w:rsidR="00271FA2" w:rsidRPr="00A013E1" w:rsidRDefault="00271FA2">
            <w:pPr>
              <w:spacing w:line="240" w:lineRule="atLeast"/>
              <w:rPr>
                <w:rFonts w:ascii="Times New Roman" w:hAnsi="Times New Roman" w:cs="Times New Roman"/>
              </w:rPr>
            </w:pPr>
          </w:p>
        </w:tc>
        <w:tc>
          <w:tcPr>
            <w:tcW w:w="1156" w:type="dxa"/>
            <w:shd w:val="clear" w:color="auto" w:fill="auto"/>
          </w:tcPr>
          <w:p w14:paraId="14A265CB" w14:textId="77777777" w:rsidR="00271FA2" w:rsidRPr="00A013E1" w:rsidRDefault="00271FA2">
            <w:pPr>
              <w:spacing w:line="240" w:lineRule="atLeast"/>
              <w:rPr>
                <w:rFonts w:ascii="Times New Roman" w:hAnsi="Times New Roman" w:cs="Times New Roman"/>
              </w:rPr>
            </w:pPr>
          </w:p>
        </w:tc>
        <w:tc>
          <w:tcPr>
            <w:tcW w:w="296" w:type="dxa"/>
            <w:shd w:val="clear" w:color="auto" w:fill="auto"/>
          </w:tcPr>
          <w:p w14:paraId="3527E833" w14:textId="77777777" w:rsidR="00271FA2" w:rsidRPr="00A013E1" w:rsidRDefault="00271FA2">
            <w:pPr>
              <w:spacing w:line="240" w:lineRule="atLeast"/>
              <w:rPr>
                <w:rFonts w:ascii="Times New Roman" w:hAnsi="Times New Roman" w:cs="Times New Roman"/>
              </w:rPr>
            </w:pPr>
          </w:p>
        </w:tc>
        <w:tc>
          <w:tcPr>
            <w:tcW w:w="369" w:type="dxa"/>
            <w:shd w:val="clear" w:color="auto" w:fill="auto"/>
          </w:tcPr>
          <w:p w14:paraId="5703C2FE" w14:textId="77777777" w:rsidR="00271FA2" w:rsidRPr="00A013E1" w:rsidRDefault="00271FA2">
            <w:pPr>
              <w:spacing w:line="240" w:lineRule="atLeast"/>
              <w:rPr>
                <w:rFonts w:ascii="Times New Roman" w:hAnsi="Times New Roman" w:cs="Times New Roman"/>
              </w:rPr>
            </w:pPr>
          </w:p>
        </w:tc>
        <w:tc>
          <w:tcPr>
            <w:tcW w:w="1295" w:type="dxa"/>
            <w:gridSpan w:val="2"/>
            <w:shd w:val="clear" w:color="auto" w:fill="auto"/>
          </w:tcPr>
          <w:p w14:paraId="465C7BA4" w14:textId="77777777" w:rsidR="00271FA2" w:rsidRPr="00A013E1" w:rsidRDefault="00271FA2">
            <w:pPr>
              <w:spacing w:line="240" w:lineRule="atLeast"/>
              <w:rPr>
                <w:rFonts w:ascii="Times New Roman" w:hAnsi="Times New Roman" w:cs="Times New Roman"/>
              </w:rPr>
            </w:pPr>
          </w:p>
        </w:tc>
        <w:tc>
          <w:tcPr>
            <w:tcW w:w="1017" w:type="dxa"/>
            <w:shd w:val="clear" w:color="auto" w:fill="auto"/>
          </w:tcPr>
          <w:p w14:paraId="65001599" w14:textId="77777777" w:rsidR="00271FA2" w:rsidRPr="00A013E1" w:rsidRDefault="00271FA2">
            <w:pPr>
              <w:spacing w:line="240" w:lineRule="atLeast"/>
              <w:rPr>
                <w:rFonts w:ascii="Times New Roman" w:hAnsi="Times New Roman" w:cs="Times New Roman"/>
              </w:rPr>
            </w:pPr>
          </w:p>
        </w:tc>
        <w:tc>
          <w:tcPr>
            <w:tcW w:w="1150" w:type="dxa"/>
            <w:shd w:val="clear" w:color="auto" w:fill="auto"/>
          </w:tcPr>
          <w:p w14:paraId="4F497250" w14:textId="77777777" w:rsidR="00271FA2" w:rsidRPr="00A013E1" w:rsidRDefault="00271FA2">
            <w:pPr>
              <w:spacing w:line="240" w:lineRule="atLeast"/>
              <w:rPr>
                <w:rFonts w:ascii="Times New Roman" w:hAnsi="Times New Roman" w:cs="Times New Roman"/>
              </w:rPr>
            </w:pPr>
          </w:p>
        </w:tc>
        <w:tc>
          <w:tcPr>
            <w:tcW w:w="941" w:type="dxa"/>
            <w:shd w:val="clear" w:color="auto" w:fill="auto"/>
          </w:tcPr>
          <w:p w14:paraId="4FB337D6" w14:textId="77777777" w:rsidR="00271FA2" w:rsidRPr="00A013E1" w:rsidRDefault="00271FA2">
            <w:pPr>
              <w:spacing w:line="240" w:lineRule="atLeast"/>
              <w:rPr>
                <w:rFonts w:ascii="Times New Roman" w:hAnsi="Times New Roman" w:cs="Times New Roman"/>
              </w:rPr>
            </w:pPr>
          </w:p>
        </w:tc>
        <w:tc>
          <w:tcPr>
            <w:tcW w:w="1005" w:type="dxa"/>
            <w:shd w:val="clear" w:color="auto" w:fill="auto"/>
          </w:tcPr>
          <w:p w14:paraId="2971DF3D" w14:textId="77777777" w:rsidR="00271FA2" w:rsidRPr="00A013E1" w:rsidRDefault="00271FA2">
            <w:pPr>
              <w:spacing w:line="240" w:lineRule="atLeast"/>
              <w:rPr>
                <w:rFonts w:ascii="Times New Roman" w:hAnsi="Times New Roman" w:cs="Times New Roman"/>
              </w:rPr>
            </w:pPr>
          </w:p>
        </w:tc>
        <w:tc>
          <w:tcPr>
            <w:tcW w:w="1247" w:type="dxa"/>
            <w:shd w:val="clear" w:color="auto" w:fill="auto"/>
          </w:tcPr>
          <w:p w14:paraId="108E007A" w14:textId="77777777" w:rsidR="00271FA2" w:rsidRPr="00A013E1" w:rsidRDefault="00271FA2">
            <w:pPr>
              <w:spacing w:line="240" w:lineRule="atLeast"/>
              <w:rPr>
                <w:rFonts w:ascii="Times New Roman" w:hAnsi="Times New Roman" w:cs="Times New Roman"/>
              </w:rPr>
            </w:pPr>
          </w:p>
        </w:tc>
      </w:tr>
      <w:tr w:rsidR="00271FA2" w:rsidRPr="00A013E1" w14:paraId="0ADD163C" w14:textId="77777777" w:rsidTr="004764F3">
        <w:trPr>
          <w:gridAfter w:val="2"/>
          <w:wAfter w:w="50" w:type="dxa"/>
        </w:trPr>
        <w:tc>
          <w:tcPr>
            <w:tcW w:w="279" w:type="dxa"/>
            <w:shd w:val="clear" w:color="auto" w:fill="auto"/>
          </w:tcPr>
          <w:p w14:paraId="672370A3"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55A50F2E"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38443C1E" w14:textId="77777777" w:rsidR="00271FA2" w:rsidRPr="00A013E1" w:rsidRDefault="00271FA2">
            <w:pPr>
              <w:spacing w:line="240" w:lineRule="atLeast"/>
              <w:rPr>
                <w:rFonts w:ascii="Times New Roman" w:hAnsi="Times New Roman" w:cs="Times New Roman"/>
              </w:rPr>
            </w:pPr>
          </w:p>
        </w:tc>
        <w:tc>
          <w:tcPr>
            <w:tcW w:w="992" w:type="dxa"/>
            <w:shd w:val="clear" w:color="auto" w:fill="auto"/>
          </w:tcPr>
          <w:p w14:paraId="2CC30DA9" w14:textId="77777777" w:rsidR="00271FA2" w:rsidRPr="00A013E1" w:rsidRDefault="00271FA2">
            <w:pPr>
              <w:spacing w:line="240" w:lineRule="atLeast"/>
              <w:rPr>
                <w:rFonts w:ascii="Times New Roman" w:hAnsi="Times New Roman" w:cs="Times New Roman"/>
              </w:rPr>
            </w:pPr>
          </w:p>
        </w:tc>
        <w:tc>
          <w:tcPr>
            <w:tcW w:w="1843" w:type="dxa"/>
            <w:shd w:val="clear" w:color="auto" w:fill="auto"/>
          </w:tcPr>
          <w:p w14:paraId="51EFE02A"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7A7787F1" w14:textId="77777777" w:rsidR="00271FA2" w:rsidRPr="00A013E1" w:rsidRDefault="00271FA2">
            <w:pPr>
              <w:spacing w:line="240" w:lineRule="atLeast"/>
              <w:rPr>
                <w:rFonts w:ascii="Times New Roman" w:hAnsi="Times New Roman" w:cs="Times New Roman"/>
              </w:rPr>
            </w:pPr>
          </w:p>
        </w:tc>
        <w:tc>
          <w:tcPr>
            <w:tcW w:w="1156" w:type="dxa"/>
            <w:shd w:val="clear" w:color="auto" w:fill="auto"/>
          </w:tcPr>
          <w:p w14:paraId="56A71CD7" w14:textId="77777777" w:rsidR="00271FA2" w:rsidRPr="00A013E1" w:rsidRDefault="00271FA2">
            <w:pPr>
              <w:spacing w:line="240" w:lineRule="atLeast"/>
              <w:rPr>
                <w:rFonts w:ascii="Times New Roman" w:hAnsi="Times New Roman" w:cs="Times New Roman"/>
              </w:rPr>
            </w:pPr>
          </w:p>
        </w:tc>
        <w:tc>
          <w:tcPr>
            <w:tcW w:w="296" w:type="dxa"/>
            <w:shd w:val="clear" w:color="auto" w:fill="auto"/>
          </w:tcPr>
          <w:p w14:paraId="640A3A59" w14:textId="77777777" w:rsidR="00271FA2" w:rsidRPr="00A013E1" w:rsidRDefault="00271FA2">
            <w:pPr>
              <w:spacing w:line="240" w:lineRule="atLeast"/>
              <w:rPr>
                <w:rFonts w:ascii="Times New Roman" w:hAnsi="Times New Roman" w:cs="Times New Roman"/>
              </w:rPr>
            </w:pPr>
          </w:p>
        </w:tc>
        <w:tc>
          <w:tcPr>
            <w:tcW w:w="369" w:type="dxa"/>
            <w:shd w:val="clear" w:color="auto" w:fill="auto"/>
          </w:tcPr>
          <w:p w14:paraId="776D44CA" w14:textId="77777777" w:rsidR="00271FA2" w:rsidRPr="00A013E1" w:rsidRDefault="00271FA2">
            <w:pPr>
              <w:spacing w:line="240" w:lineRule="atLeast"/>
              <w:rPr>
                <w:rFonts w:ascii="Times New Roman" w:hAnsi="Times New Roman" w:cs="Times New Roman"/>
              </w:rPr>
            </w:pPr>
          </w:p>
        </w:tc>
        <w:tc>
          <w:tcPr>
            <w:tcW w:w="1295" w:type="dxa"/>
            <w:gridSpan w:val="2"/>
            <w:shd w:val="clear" w:color="auto" w:fill="auto"/>
          </w:tcPr>
          <w:p w14:paraId="35F4FF21" w14:textId="77777777" w:rsidR="00271FA2" w:rsidRPr="00A013E1" w:rsidRDefault="00271FA2">
            <w:pPr>
              <w:spacing w:line="240" w:lineRule="atLeast"/>
              <w:rPr>
                <w:rFonts w:ascii="Times New Roman" w:hAnsi="Times New Roman" w:cs="Times New Roman"/>
              </w:rPr>
            </w:pPr>
          </w:p>
        </w:tc>
        <w:tc>
          <w:tcPr>
            <w:tcW w:w="1017" w:type="dxa"/>
            <w:shd w:val="clear" w:color="auto" w:fill="auto"/>
          </w:tcPr>
          <w:p w14:paraId="12EC77AC" w14:textId="77777777" w:rsidR="00271FA2" w:rsidRPr="00A013E1" w:rsidRDefault="00271FA2">
            <w:pPr>
              <w:spacing w:line="240" w:lineRule="atLeast"/>
              <w:rPr>
                <w:rFonts w:ascii="Times New Roman" w:hAnsi="Times New Roman" w:cs="Times New Roman"/>
              </w:rPr>
            </w:pPr>
          </w:p>
        </w:tc>
        <w:tc>
          <w:tcPr>
            <w:tcW w:w="1150" w:type="dxa"/>
            <w:shd w:val="clear" w:color="auto" w:fill="auto"/>
          </w:tcPr>
          <w:p w14:paraId="14B7BD6E" w14:textId="77777777" w:rsidR="00271FA2" w:rsidRPr="00A013E1" w:rsidRDefault="00271FA2">
            <w:pPr>
              <w:spacing w:line="240" w:lineRule="atLeast"/>
              <w:rPr>
                <w:rFonts w:ascii="Times New Roman" w:hAnsi="Times New Roman" w:cs="Times New Roman"/>
              </w:rPr>
            </w:pPr>
          </w:p>
        </w:tc>
        <w:tc>
          <w:tcPr>
            <w:tcW w:w="941" w:type="dxa"/>
            <w:shd w:val="clear" w:color="auto" w:fill="auto"/>
          </w:tcPr>
          <w:p w14:paraId="67EAE46C" w14:textId="77777777" w:rsidR="00271FA2" w:rsidRPr="00A013E1" w:rsidRDefault="00271FA2">
            <w:pPr>
              <w:spacing w:line="240" w:lineRule="atLeast"/>
              <w:rPr>
                <w:rFonts w:ascii="Times New Roman" w:hAnsi="Times New Roman" w:cs="Times New Roman"/>
              </w:rPr>
            </w:pPr>
          </w:p>
        </w:tc>
        <w:tc>
          <w:tcPr>
            <w:tcW w:w="1005" w:type="dxa"/>
            <w:shd w:val="clear" w:color="auto" w:fill="auto"/>
          </w:tcPr>
          <w:p w14:paraId="3949FDAB" w14:textId="77777777" w:rsidR="00271FA2" w:rsidRPr="00A013E1" w:rsidRDefault="00271FA2">
            <w:pPr>
              <w:spacing w:line="240" w:lineRule="atLeast"/>
              <w:rPr>
                <w:rFonts w:ascii="Times New Roman" w:hAnsi="Times New Roman" w:cs="Times New Roman"/>
              </w:rPr>
            </w:pPr>
          </w:p>
        </w:tc>
        <w:tc>
          <w:tcPr>
            <w:tcW w:w="1247" w:type="dxa"/>
            <w:shd w:val="clear" w:color="auto" w:fill="auto"/>
          </w:tcPr>
          <w:p w14:paraId="66955B51" w14:textId="77777777" w:rsidR="00271FA2" w:rsidRPr="00A013E1" w:rsidRDefault="00271FA2">
            <w:pPr>
              <w:spacing w:line="240" w:lineRule="atLeast"/>
              <w:rPr>
                <w:rFonts w:ascii="Times New Roman" w:hAnsi="Times New Roman" w:cs="Times New Roman"/>
              </w:rPr>
            </w:pPr>
          </w:p>
        </w:tc>
      </w:tr>
      <w:tr w:rsidR="00271FA2" w:rsidRPr="00A013E1" w14:paraId="22059AEF" w14:textId="77777777" w:rsidTr="004764F3">
        <w:trPr>
          <w:gridAfter w:val="2"/>
          <w:wAfter w:w="50" w:type="dxa"/>
        </w:trPr>
        <w:tc>
          <w:tcPr>
            <w:tcW w:w="279" w:type="dxa"/>
            <w:shd w:val="clear" w:color="auto" w:fill="auto"/>
          </w:tcPr>
          <w:p w14:paraId="5EAAAD2C"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54C265B9"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40C543E5" w14:textId="77777777" w:rsidR="00271FA2" w:rsidRPr="00A013E1" w:rsidRDefault="00271FA2">
            <w:pPr>
              <w:spacing w:line="240" w:lineRule="atLeast"/>
              <w:rPr>
                <w:rFonts w:ascii="Times New Roman" w:hAnsi="Times New Roman" w:cs="Times New Roman"/>
              </w:rPr>
            </w:pPr>
          </w:p>
        </w:tc>
        <w:tc>
          <w:tcPr>
            <w:tcW w:w="992" w:type="dxa"/>
            <w:shd w:val="clear" w:color="auto" w:fill="auto"/>
          </w:tcPr>
          <w:p w14:paraId="6ACA924A" w14:textId="77777777" w:rsidR="00271FA2" w:rsidRPr="00A013E1" w:rsidRDefault="00271FA2">
            <w:pPr>
              <w:spacing w:line="240" w:lineRule="atLeast"/>
              <w:rPr>
                <w:rFonts w:ascii="Times New Roman" w:hAnsi="Times New Roman" w:cs="Times New Roman"/>
              </w:rPr>
            </w:pPr>
          </w:p>
        </w:tc>
        <w:tc>
          <w:tcPr>
            <w:tcW w:w="1843" w:type="dxa"/>
            <w:shd w:val="clear" w:color="auto" w:fill="auto"/>
          </w:tcPr>
          <w:p w14:paraId="785B0283"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567C4F81" w14:textId="77777777" w:rsidR="00271FA2" w:rsidRPr="00A013E1" w:rsidRDefault="00271FA2">
            <w:pPr>
              <w:spacing w:line="240" w:lineRule="atLeast"/>
              <w:rPr>
                <w:rFonts w:ascii="Times New Roman" w:hAnsi="Times New Roman" w:cs="Times New Roman"/>
              </w:rPr>
            </w:pPr>
          </w:p>
        </w:tc>
        <w:tc>
          <w:tcPr>
            <w:tcW w:w="1156" w:type="dxa"/>
            <w:shd w:val="clear" w:color="auto" w:fill="auto"/>
          </w:tcPr>
          <w:p w14:paraId="7A02E1B3" w14:textId="77777777" w:rsidR="00271FA2" w:rsidRPr="00A013E1" w:rsidRDefault="00271FA2">
            <w:pPr>
              <w:spacing w:line="240" w:lineRule="atLeast"/>
              <w:rPr>
                <w:rFonts w:ascii="Times New Roman" w:hAnsi="Times New Roman" w:cs="Times New Roman"/>
              </w:rPr>
            </w:pPr>
          </w:p>
        </w:tc>
        <w:tc>
          <w:tcPr>
            <w:tcW w:w="296" w:type="dxa"/>
            <w:shd w:val="clear" w:color="auto" w:fill="auto"/>
          </w:tcPr>
          <w:p w14:paraId="5B998810" w14:textId="77777777" w:rsidR="00271FA2" w:rsidRPr="00A013E1" w:rsidRDefault="00271FA2">
            <w:pPr>
              <w:spacing w:line="240" w:lineRule="atLeast"/>
              <w:rPr>
                <w:rFonts w:ascii="Times New Roman" w:hAnsi="Times New Roman" w:cs="Times New Roman"/>
              </w:rPr>
            </w:pPr>
          </w:p>
        </w:tc>
        <w:tc>
          <w:tcPr>
            <w:tcW w:w="369" w:type="dxa"/>
            <w:shd w:val="clear" w:color="auto" w:fill="auto"/>
          </w:tcPr>
          <w:p w14:paraId="2C05A75A" w14:textId="77777777" w:rsidR="00271FA2" w:rsidRPr="00A013E1" w:rsidRDefault="00271FA2">
            <w:pPr>
              <w:spacing w:line="240" w:lineRule="atLeast"/>
              <w:rPr>
                <w:rFonts w:ascii="Times New Roman" w:hAnsi="Times New Roman" w:cs="Times New Roman"/>
              </w:rPr>
            </w:pPr>
          </w:p>
        </w:tc>
        <w:tc>
          <w:tcPr>
            <w:tcW w:w="1295" w:type="dxa"/>
            <w:gridSpan w:val="2"/>
            <w:shd w:val="clear" w:color="auto" w:fill="auto"/>
          </w:tcPr>
          <w:p w14:paraId="6FF203DB" w14:textId="77777777" w:rsidR="00271FA2" w:rsidRPr="00A013E1" w:rsidRDefault="00271FA2">
            <w:pPr>
              <w:spacing w:line="240" w:lineRule="atLeast"/>
              <w:rPr>
                <w:rFonts w:ascii="Times New Roman" w:hAnsi="Times New Roman" w:cs="Times New Roman"/>
              </w:rPr>
            </w:pPr>
          </w:p>
        </w:tc>
        <w:tc>
          <w:tcPr>
            <w:tcW w:w="1017" w:type="dxa"/>
            <w:shd w:val="clear" w:color="auto" w:fill="auto"/>
          </w:tcPr>
          <w:p w14:paraId="328AD26F" w14:textId="77777777" w:rsidR="00271FA2" w:rsidRPr="00A013E1" w:rsidRDefault="00271FA2">
            <w:pPr>
              <w:spacing w:line="240" w:lineRule="atLeast"/>
              <w:rPr>
                <w:rFonts w:ascii="Times New Roman" w:hAnsi="Times New Roman" w:cs="Times New Roman"/>
              </w:rPr>
            </w:pPr>
          </w:p>
        </w:tc>
        <w:tc>
          <w:tcPr>
            <w:tcW w:w="1150" w:type="dxa"/>
            <w:shd w:val="clear" w:color="auto" w:fill="auto"/>
          </w:tcPr>
          <w:p w14:paraId="12B7B921" w14:textId="77777777" w:rsidR="00271FA2" w:rsidRPr="00A013E1" w:rsidRDefault="00271FA2">
            <w:pPr>
              <w:spacing w:line="240" w:lineRule="atLeast"/>
              <w:rPr>
                <w:rFonts w:ascii="Times New Roman" w:hAnsi="Times New Roman" w:cs="Times New Roman"/>
              </w:rPr>
            </w:pPr>
          </w:p>
        </w:tc>
        <w:tc>
          <w:tcPr>
            <w:tcW w:w="941" w:type="dxa"/>
            <w:shd w:val="clear" w:color="auto" w:fill="auto"/>
          </w:tcPr>
          <w:p w14:paraId="2D45E16F" w14:textId="77777777" w:rsidR="00271FA2" w:rsidRPr="00A013E1" w:rsidRDefault="00271FA2">
            <w:pPr>
              <w:spacing w:line="240" w:lineRule="atLeast"/>
              <w:rPr>
                <w:rFonts w:ascii="Times New Roman" w:hAnsi="Times New Roman" w:cs="Times New Roman"/>
              </w:rPr>
            </w:pPr>
          </w:p>
        </w:tc>
        <w:tc>
          <w:tcPr>
            <w:tcW w:w="1005" w:type="dxa"/>
            <w:shd w:val="clear" w:color="auto" w:fill="auto"/>
          </w:tcPr>
          <w:p w14:paraId="6CE62CDF" w14:textId="77777777" w:rsidR="00271FA2" w:rsidRPr="00A013E1" w:rsidRDefault="00271FA2">
            <w:pPr>
              <w:spacing w:line="240" w:lineRule="atLeast"/>
              <w:rPr>
                <w:rFonts w:ascii="Times New Roman" w:hAnsi="Times New Roman" w:cs="Times New Roman"/>
              </w:rPr>
            </w:pPr>
          </w:p>
        </w:tc>
        <w:tc>
          <w:tcPr>
            <w:tcW w:w="1247" w:type="dxa"/>
            <w:shd w:val="clear" w:color="auto" w:fill="auto"/>
          </w:tcPr>
          <w:p w14:paraId="55546723" w14:textId="77777777" w:rsidR="00271FA2" w:rsidRPr="00A013E1" w:rsidRDefault="00271FA2">
            <w:pPr>
              <w:spacing w:line="240" w:lineRule="atLeast"/>
              <w:rPr>
                <w:rFonts w:ascii="Times New Roman" w:hAnsi="Times New Roman" w:cs="Times New Roman"/>
              </w:rPr>
            </w:pPr>
          </w:p>
        </w:tc>
      </w:tr>
      <w:tr w:rsidR="00271FA2" w:rsidRPr="00A013E1" w14:paraId="7260EA3B" w14:textId="77777777" w:rsidTr="004764F3">
        <w:trPr>
          <w:gridAfter w:val="2"/>
          <w:wAfter w:w="50" w:type="dxa"/>
        </w:trPr>
        <w:tc>
          <w:tcPr>
            <w:tcW w:w="279" w:type="dxa"/>
            <w:shd w:val="clear" w:color="auto" w:fill="auto"/>
          </w:tcPr>
          <w:p w14:paraId="4C1587E8"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710BBB40"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6A1B7CA2" w14:textId="77777777" w:rsidR="00271FA2" w:rsidRPr="00A013E1" w:rsidRDefault="00271FA2">
            <w:pPr>
              <w:spacing w:line="240" w:lineRule="atLeast"/>
              <w:rPr>
                <w:rFonts w:ascii="Times New Roman" w:hAnsi="Times New Roman" w:cs="Times New Roman"/>
              </w:rPr>
            </w:pPr>
          </w:p>
        </w:tc>
        <w:tc>
          <w:tcPr>
            <w:tcW w:w="992" w:type="dxa"/>
            <w:shd w:val="clear" w:color="auto" w:fill="auto"/>
          </w:tcPr>
          <w:p w14:paraId="3B8952C1" w14:textId="77777777" w:rsidR="00271FA2" w:rsidRPr="00A013E1" w:rsidRDefault="00271FA2">
            <w:pPr>
              <w:spacing w:line="240" w:lineRule="atLeast"/>
              <w:rPr>
                <w:rFonts w:ascii="Times New Roman" w:hAnsi="Times New Roman" w:cs="Times New Roman"/>
              </w:rPr>
            </w:pPr>
          </w:p>
        </w:tc>
        <w:tc>
          <w:tcPr>
            <w:tcW w:w="1843" w:type="dxa"/>
            <w:shd w:val="clear" w:color="auto" w:fill="auto"/>
          </w:tcPr>
          <w:p w14:paraId="1E389247" w14:textId="77777777" w:rsidR="00271FA2" w:rsidRPr="00A013E1" w:rsidRDefault="00271FA2">
            <w:pPr>
              <w:spacing w:line="240" w:lineRule="atLeast"/>
              <w:rPr>
                <w:rFonts w:ascii="Times New Roman" w:hAnsi="Times New Roman" w:cs="Times New Roman"/>
              </w:rPr>
            </w:pPr>
          </w:p>
        </w:tc>
        <w:tc>
          <w:tcPr>
            <w:tcW w:w="1134" w:type="dxa"/>
            <w:shd w:val="clear" w:color="auto" w:fill="auto"/>
          </w:tcPr>
          <w:p w14:paraId="7B50714D" w14:textId="77777777" w:rsidR="00271FA2" w:rsidRPr="00A013E1" w:rsidRDefault="00271FA2">
            <w:pPr>
              <w:spacing w:line="240" w:lineRule="atLeast"/>
              <w:rPr>
                <w:rFonts w:ascii="Times New Roman" w:hAnsi="Times New Roman" w:cs="Times New Roman"/>
              </w:rPr>
            </w:pPr>
          </w:p>
        </w:tc>
        <w:tc>
          <w:tcPr>
            <w:tcW w:w="1156" w:type="dxa"/>
            <w:shd w:val="clear" w:color="auto" w:fill="auto"/>
          </w:tcPr>
          <w:p w14:paraId="58178A10" w14:textId="77777777" w:rsidR="00271FA2" w:rsidRPr="00A013E1" w:rsidRDefault="00271FA2">
            <w:pPr>
              <w:spacing w:line="240" w:lineRule="atLeast"/>
              <w:rPr>
                <w:rFonts w:ascii="Times New Roman" w:hAnsi="Times New Roman" w:cs="Times New Roman"/>
              </w:rPr>
            </w:pPr>
          </w:p>
        </w:tc>
        <w:tc>
          <w:tcPr>
            <w:tcW w:w="296" w:type="dxa"/>
            <w:shd w:val="clear" w:color="auto" w:fill="auto"/>
          </w:tcPr>
          <w:p w14:paraId="1A1861A7" w14:textId="77777777" w:rsidR="00271FA2" w:rsidRPr="00A013E1" w:rsidRDefault="00271FA2">
            <w:pPr>
              <w:spacing w:line="240" w:lineRule="atLeast"/>
              <w:rPr>
                <w:rFonts w:ascii="Times New Roman" w:hAnsi="Times New Roman" w:cs="Times New Roman"/>
              </w:rPr>
            </w:pPr>
          </w:p>
        </w:tc>
        <w:tc>
          <w:tcPr>
            <w:tcW w:w="369" w:type="dxa"/>
            <w:shd w:val="clear" w:color="auto" w:fill="auto"/>
          </w:tcPr>
          <w:p w14:paraId="34671557" w14:textId="77777777" w:rsidR="00271FA2" w:rsidRPr="00A013E1" w:rsidRDefault="00271FA2">
            <w:pPr>
              <w:spacing w:line="240" w:lineRule="atLeast"/>
              <w:rPr>
                <w:rFonts w:ascii="Times New Roman" w:hAnsi="Times New Roman" w:cs="Times New Roman"/>
              </w:rPr>
            </w:pPr>
          </w:p>
        </w:tc>
        <w:tc>
          <w:tcPr>
            <w:tcW w:w="1295" w:type="dxa"/>
            <w:gridSpan w:val="2"/>
            <w:shd w:val="clear" w:color="auto" w:fill="auto"/>
          </w:tcPr>
          <w:p w14:paraId="71AA83FE" w14:textId="77777777" w:rsidR="00271FA2" w:rsidRPr="00A013E1" w:rsidRDefault="00271FA2">
            <w:pPr>
              <w:spacing w:line="240" w:lineRule="atLeast"/>
              <w:rPr>
                <w:rFonts w:ascii="Times New Roman" w:hAnsi="Times New Roman" w:cs="Times New Roman"/>
              </w:rPr>
            </w:pPr>
          </w:p>
        </w:tc>
        <w:tc>
          <w:tcPr>
            <w:tcW w:w="1017" w:type="dxa"/>
            <w:shd w:val="clear" w:color="auto" w:fill="auto"/>
          </w:tcPr>
          <w:p w14:paraId="35969BDD" w14:textId="77777777" w:rsidR="00271FA2" w:rsidRPr="00A013E1" w:rsidRDefault="00271FA2">
            <w:pPr>
              <w:spacing w:line="240" w:lineRule="atLeast"/>
              <w:rPr>
                <w:rFonts w:ascii="Times New Roman" w:hAnsi="Times New Roman" w:cs="Times New Roman"/>
              </w:rPr>
            </w:pPr>
          </w:p>
        </w:tc>
        <w:tc>
          <w:tcPr>
            <w:tcW w:w="1150" w:type="dxa"/>
            <w:shd w:val="clear" w:color="auto" w:fill="auto"/>
          </w:tcPr>
          <w:p w14:paraId="6DE63909" w14:textId="77777777" w:rsidR="00271FA2" w:rsidRPr="00A013E1" w:rsidRDefault="00271FA2">
            <w:pPr>
              <w:spacing w:line="240" w:lineRule="atLeast"/>
              <w:rPr>
                <w:rFonts w:ascii="Times New Roman" w:hAnsi="Times New Roman" w:cs="Times New Roman"/>
              </w:rPr>
            </w:pPr>
          </w:p>
        </w:tc>
        <w:tc>
          <w:tcPr>
            <w:tcW w:w="941" w:type="dxa"/>
            <w:shd w:val="clear" w:color="auto" w:fill="auto"/>
          </w:tcPr>
          <w:p w14:paraId="3427009C" w14:textId="77777777" w:rsidR="00271FA2" w:rsidRPr="00A013E1" w:rsidRDefault="00271FA2">
            <w:pPr>
              <w:spacing w:line="240" w:lineRule="atLeast"/>
              <w:rPr>
                <w:rFonts w:ascii="Times New Roman" w:hAnsi="Times New Roman" w:cs="Times New Roman"/>
              </w:rPr>
            </w:pPr>
          </w:p>
        </w:tc>
        <w:tc>
          <w:tcPr>
            <w:tcW w:w="1005" w:type="dxa"/>
            <w:shd w:val="clear" w:color="auto" w:fill="auto"/>
          </w:tcPr>
          <w:p w14:paraId="574F41B4" w14:textId="77777777" w:rsidR="00271FA2" w:rsidRPr="00A013E1" w:rsidRDefault="00271FA2">
            <w:pPr>
              <w:spacing w:line="240" w:lineRule="atLeast"/>
              <w:rPr>
                <w:rFonts w:ascii="Times New Roman" w:hAnsi="Times New Roman" w:cs="Times New Roman"/>
              </w:rPr>
            </w:pPr>
          </w:p>
        </w:tc>
        <w:tc>
          <w:tcPr>
            <w:tcW w:w="1247" w:type="dxa"/>
            <w:shd w:val="clear" w:color="auto" w:fill="auto"/>
          </w:tcPr>
          <w:p w14:paraId="169878D9" w14:textId="77777777" w:rsidR="00271FA2" w:rsidRPr="00A013E1" w:rsidRDefault="00271FA2">
            <w:pPr>
              <w:spacing w:line="240" w:lineRule="atLeast"/>
              <w:rPr>
                <w:rFonts w:ascii="Times New Roman" w:hAnsi="Times New Roman" w:cs="Times New Roman"/>
              </w:rPr>
            </w:pPr>
          </w:p>
        </w:tc>
      </w:tr>
    </w:tbl>
    <w:p w14:paraId="0B06CBA1" w14:textId="77777777" w:rsidR="00271FA2" w:rsidRPr="00A013E1" w:rsidRDefault="00271FA2">
      <w:pPr>
        <w:spacing w:line="240" w:lineRule="atLeast"/>
        <w:rPr>
          <w:rFonts w:ascii="Times New Roman" w:hAnsi="Times New Roman" w:cs="Times New Roman"/>
          <w:color w:val="000000"/>
        </w:rPr>
      </w:pPr>
    </w:p>
    <w:p w14:paraId="1EBE8C13" w14:textId="77777777" w:rsidR="00271FA2" w:rsidRPr="00A013E1" w:rsidRDefault="00271FA2">
      <w:pPr>
        <w:spacing w:line="240" w:lineRule="atLeast"/>
        <w:rPr>
          <w:rFonts w:ascii="Times New Roman" w:hAnsi="Times New Roman" w:cs="Times New Roman"/>
          <w:color w:val="000000"/>
        </w:rPr>
      </w:pPr>
    </w:p>
    <w:p w14:paraId="0F106B4E" w14:textId="77777777" w:rsidR="00271FA2" w:rsidRPr="00A013E1" w:rsidRDefault="00D35E51">
      <w:pPr>
        <w:spacing w:line="240" w:lineRule="atLeast"/>
        <w:rPr>
          <w:rFonts w:ascii="Times New Roman" w:hAnsi="Times New Roman" w:cs="Times New Roman"/>
          <w:color w:val="000000"/>
        </w:rPr>
      </w:pPr>
      <w:r w:rsidRPr="00A013E1">
        <w:rPr>
          <w:rFonts w:ascii="Times New Roman" w:hAnsi="Times New Roman" w:cs="Times New Roman"/>
        </w:rPr>
        <w:br w:type="page"/>
      </w:r>
    </w:p>
    <w:p w14:paraId="03F13DDF" w14:textId="77777777" w:rsidR="00271FA2" w:rsidRPr="00A013E1" w:rsidRDefault="00271FA2">
      <w:pPr>
        <w:suppressAutoHyphens/>
        <w:spacing w:line="240" w:lineRule="atLeast"/>
        <w:rPr>
          <w:rFonts w:ascii="Times New Roman" w:hAnsi="Times New Roman" w:cs="Times New Roman"/>
        </w:rPr>
        <w:sectPr w:rsidR="00271FA2" w:rsidRPr="00A013E1" w:rsidSect="00A013E1">
          <w:headerReference w:type="even" r:id="rId162"/>
          <w:headerReference w:type="default" r:id="rId163"/>
          <w:footerReference w:type="even" r:id="rId164"/>
          <w:footerReference w:type="default" r:id="rId165"/>
          <w:headerReference w:type="first" r:id="rId166"/>
          <w:footerReference w:type="first" r:id="rId167"/>
          <w:footnotePr>
            <w:numRestart w:val="eachPage"/>
          </w:footnotePr>
          <w:pgSz w:w="16840" w:h="11907" w:orient="landscape"/>
          <w:pgMar w:top="1134" w:right="1134" w:bottom="1134" w:left="1134" w:header="709" w:footer="709" w:gutter="0"/>
          <w:cols w:space="720"/>
          <w:docGrid w:linePitch="360"/>
        </w:sectPr>
      </w:pPr>
    </w:p>
    <w:p w14:paraId="079E4568" w14:textId="7D7B3F9D" w:rsidR="00A42C9B" w:rsidRPr="00A013E1" w:rsidRDefault="00A42C9B" w:rsidP="00A42C9B">
      <w:pPr>
        <w:ind w:left="-1417" w:firstLine="720"/>
        <w:jc w:val="center"/>
        <w:rPr>
          <w:rFonts w:ascii="Times New Roman" w:hAnsi="Times New Roman" w:cs="Times New Roman"/>
          <w:b/>
        </w:rPr>
      </w:pPr>
      <w:bookmarkStart w:id="652" w:name="_Toc491854338"/>
      <w:bookmarkStart w:id="653" w:name="_Toc535827779"/>
      <w:r w:rsidRPr="00A013E1">
        <w:rPr>
          <w:rFonts w:ascii="Times New Roman" w:hAnsi="Times New Roman" w:cs="Times New Roman"/>
          <w:b/>
        </w:rPr>
        <w:lastRenderedPageBreak/>
        <w:t>Раздел VIII</w:t>
      </w:r>
    </w:p>
    <w:p w14:paraId="2FB9040B" w14:textId="77777777" w:rsidR="009D7AB1" w:rsidRPr="00A013E1" w:rsidRDefault="009D7AB1" w:rsidP="009D7AB1">
      <w:pPr>
        <w:tabs>
          <w:tab w:val="center" w:pos="7956"/>
        </w:tabs>
        <w:suppressAutoHyphens/>
        <w:spacing w:line="240" w:lineRule="atLeast"/>
        <w:jc w:val="center"/>
        <w:rPr>
          <w:rFonts w:ascii="Times New Roman" w:hAnsi="Times New Roman" w:cs="Times New Roman"/>
          <w:b/>
          <w:szCs w:val="20"/>
          <w:lang w:val="ru-RU"/>
        </w:rPr>
      </w:pPr>
      <w:r w:rsidRPr="00A013E1">
        <w:rPr>
          <w:rFonts w:ascii="Times New Roman" w:hAnsi="Times New Roman" w:cs="Times New Roman"/>
          <w:b/>
          <w:szCs w:val="20"/>
          <w:lang w:val="ru-RU"/>
        </w:rPr>
        <w:t>Протокол за бордова станция за пречистване на отпадъчни води.</w:t>
      </w:r>
    </w:p>
    <w:p w14:paraId="67DCE5AC" w14:textId="4CABF5B2" w:rsidR="009D7AB1" w:rsidRPr="00A013E1" w:rsidRDefault="009D7AB1" w:rsidP="004764F3">
      <w:pPr>
        <w:tabs>
          <w:tab w:val="center" w:pos="6237"/>
        </w:tabs>
        <w:suppressAutoHyphens/>
        <w:spacing w:before="240" w:line="240" w:lineRule="atLeast"/>
        <w:rPr>
          <w:rFonts w:ascii="Times New Roman" w:hAnsi="Times New Roman" w:cs="Times New Roman"/>
          <w:b/>
          <w:szCs w:val="20"/>
          <w:lang w:val="ru-RU"/>
        </w:rPr>
      </w:pPr>
      <w:r w:rsidRPr="00A013E1">
        <w:rPr>
          <w:rFonts w:ascii="Times New Roman" w:hAnsi="Times New Roman" w:cs="Times New Roman"/>
          <w:szCs w:val="20"/>
          <w:lang w:val="ru-RU"/>
        </w:rPr>
        <w:t xml:space="preserve">Име на  </w:t>
      </w:r>
      <w:r w:rsidR="004764F3" w:rsidRPr="00A013E1">
        <w:rPr>
          <w:rFonts w:ascii="Times New Roman" w:hAnsi="Times New Roman" w:cs="Times New Roman"/>
          <w:szCs w:val="20"/>
          <w:lang w:val="ru-RU"/>
        </w:rPr>
        <w:t>к</w:t>
      </w:r>
      <w:r w:rsidR="002F5624" w:rsidRPr="00A013E1">
        <w:rPr>
          <w:rFonts w:ascii="Times New Roman" w:hAnsi="Times New Roman" w:cs="Times New Roman"/>
          <w:szCs w:val="20"/>
          <w:lang w:val="ru-RU"/>
        </w:rPr>
        <w:t>ораба:…………………………</w:t>
      </w:r>
      <w:r w:rsidR="004764F3" w:rsidRPr="00A013E1">
        <w:rPr>
          <w:rFonts w:ascii="Times New Roman" w:hAnsi="Times New Roman" w:cs="Times New Roman"/>
          <w:szCs w:val="20"/>
          <w:lang w:val="ru-RU"/>
        </w:rPr>
        <w:t xml:space="preserve">      </w:t>
      </w:r>
      <w:r w:rsidRPr="00A013E1">
        <w:rPr>
          <w:rFonts w:ascii="Times New Roman" w:hAnsi="Times New Roman" w:cs="Times New Roman"/>
          <w:szCs w:val="20"/>
          <w:lang w:val="ru-RU"/>
        </w:rPr>
        <w:t>Уникален Европейски</w:t>
      </w:r>
    </w:p>
    <w:p w14:paraId="2063E2DC" w14:textId="32924B9C" w:rsidR="009D7AB1" w:rsidRPr="00A013E1" w:rsidRDefault="004764F3" w:rsidP="004764F3">
      <w:pPr>
        <w:tabs>
          <w:tab w:val="center" w:pos="6663"/>
        </w:tabs>
        <w:suppressAutoHyphens/>
        <w:spacing w:line="240" w:lineRule="atLeast"/>
        <w:rPr>
          <w:rFonts w:ascii="Times New Roman" w:hAnsi="Times New Roman" w:cs="Times New Roman"/>
          <w:szCs w:val="20"/>
          <w:lang w:val="ru-RU"/>
        </w:rPr>
      </w:pPr>
      <w:r w:rsidRPr="00A013E1">
        <w:rPr>
          <w:rFonts w:ascii="Times New Roman" w:hAnsi="Times New Roman" w:cs="Times New Roman"/>
          <w:szCs w:val="20"/>
          <w:lang w:val="ru-RU"/>
        </w:rPr>
        <w:tab/>
        <w:t>и</w:t>
      </w:r>
      <w:r w:rsidR="009D7AB1" w:rsidRPr="00A013E1">
        <w:rPr>
          <w:rFonts w:ascii="Times New Roman" w:hAnsi="Times New Roman" w:cs="Times New Roman"/>
          <w:szCs w:val="20"/>
          <w:lang w:val="ru-RU"/>
        </w:rPr>
        <w:t>дентификационен номер……</w:t>
      </w:r>
      <w:r w:rsidRPr="00A013E1">
        <w:rPr>
          <w:rFonts w:ascii="Times New Roman" w:hAnsi="Times New Roman" w:cs="Times New Roman"/>
          <w:szCs w:val="20"/>
          <w:lang w:val="ru-RU"/>
        </w:rPr>
        <w:t>……………..</w:t>
      </w:r>
    </w:p>
    <w:p w14:paraId="3302D090" w14:textId="77777777" w:rsidR="009D7AB1" w:rsidRPr="00A013E1" w:rsidRDefault="002C62EC" w:rsidP="009D7AB1">
      <w:pPr>
        <w:tabs>
          <w:tab w:val="center" w:pos="7956"/>
        </w:tabs>
        <w:suppressAutoHyphens/>
        <w:spacing w:line="240" w:lineRule="atLeast"/>
        <w:rPr>
          <w:rFonts w:ascii="Times New Roman" w:hAnsi="Times New Roman" w:cs="Times New Roman"/>
          <w:szCs w:val="20"/>
          <w:vertAlign w:val="subscript"/>
          <w:lang w:val="ru-RU"/>
        </w:rPr>
      </w:pPr>
      <w:sdt>
        <w:sdtPr>
          <w:rPr>
            <w:rFonts w:ascii="Times New Roman" w:hAnsi="Times New Roman" w:cs="Times New Roman"/>
            <w:b/>
            <w:sz w:val="32"/>
            <w:szCs w:val="32"/>
            <w:lang w:val="ru-RU"/>
          </w:rPr>
          <w:id w:val="-1930190052"/>
          <w14:checkbox>
            <w14:checked w14:val="0"/>
            <w14:checkedState w14:val="2612" w14:font="MS Gothic"/>
            <w14:uncheckedState w14:val="2610" w14:font="MS Gothic"/>
          </w14:checkbox>
        </w:sdtPr>
        <w:sdtEndPr/>
        <w:sdtContent>
          <w:r w:rsidR="009D7AB1" w:rsidRPr="00A013E1">
            <w:rPr>
              <w:rFonts w:ascii="Segoe UI Symbol" w:eastAsia="MS Gothic" w:hAnsi="Segoe UI Symbol" w:cs="Segoe UI Symbol"/>
              <w:b/>
              <w:sz w:val="32"/>
              <w:szCs w:val="32"/>
              <w:lang w:val="ru-RU"/>
            </w:rPr>
            <w:t>☐</w:t>
          </w:r>
        </w:sdtContent>
      </w:sdt>
      <w:r w:rsidR="009D7AB1" w:rsidRPr="00A013E1">
        <w:rPr>
          <w:rFonts w:ascii="Times New Roman" w:hAnsi="Times New Roman" w:cs="Times New Roman"/>
          <w:lang w:val="ru-RU"/>
        </w:rPr>
        <w:t>Тест</w:t>
      </w:r>
      <w:r w:rsidR="009D7AB1" w:rsidRPr="00A013E1">
        <w:rPr>
          <w:rFonts w:ascii="Times New Roman" w:hAnsi="Times New Roman" w:cs="Times New Roman"/>
          <w:b/>
          <w:lang w:val="ru-RU"/>
        </w:rPr>
        <w:t xml:space="preserve"> </w:t>
      </w:r>
      <w:r w:rsidR="009D7AB1" w:rsidRPr="00A013E1">
        <w:rPr>
          <w:rFonts w:ascii="Times New Roman" w:hAnsi="Times New Roman" w:cs="Times New Roman"/>
          <w:lang w:val="ru-RU"/>
        </w:rPr>
        <w:t>на инсталация</w:t>
      </w:r>
      <w:r w:rsidR="009D7AB1" w:rsidRPr="00A013E1">
        <w:rPr>
          <w:rFonts w:ascii="Times New Roman" w:hAnsi="Times New Roman" w:cs="Times New Roman"/>
          <w:vertAlign w:val="superscript"/>
          <w:lang w:val="ru-RU"/>
        </w:rPr>
        <w:t>(1)</w:t>
      </w:r>
      <w:r w:rsidR="009D7AB1" w:rsidRPr="00A013E1">
        <w:rPr>
          <w:rFonts w:ascii="Times New Roman" w:hAnsi="Times New Roman" w:cs="Times New Roman"/>
          <w:lang w:val="ru-RU"/>
        </w:rPr>
        <w:t xml:space="preserve">    </w:t>
      </w:r>
      <w:sdt>
        <w:sdtPr>
          <w:rPr>
            <w:rFonts w:ascii="Times New Roman" w:hAnsi="Times New Roman" w:cs="Times New Roman"/>
            <w:b/>
            <w:sz w:val="32"/>
            <w:szCs w:val="32"/>
            <w:lang w:val="ru-RU"/>
          </w:rPr>
          <w:id w:val="97925127"/>
          <w14:checkbox>
            <w14:checked w14:val="0"/>
            <w14:checkedState w14:val="2612" w14:font="MS Gothic"/>
            <w14:uncheckedState w14:val="2610" w14:font="MS Gothic"/>
          </w14:checkbox>
        </w:sdtPr>
        <w:sdtEndPr/>
        <w:sdtContent>
          <w:r w:rsidR="009D7AB1" w:rsidRPr="00A013E1">
            <w:rPr>
              <w:rFonts w:ascii="Segoe UI Symbol" w:eastAsia="MS Gothic" w:hAnsi="Segoe UI Symbol" w:cs="Segoe UI Symbol"/>
              <w:b/>
              <w:sz w:val="32"/>
              <w:szCs w:val="32"/>
              <w:lang w:val="ru-RU"/>
            </w:rPr>
            <w:t>☐</w:t>
          </w:r>
        </w:sdtContent>
      </w:sdt>
      <w:r w:rsidR="009D7AB1" w:rsidRPr="00A013E1">
        <w:rPr>
          <w:rFonts w:ascii="Times New Roman" w:hAnsi="Times New Roman" w:cs="Times New Roman"/>
          <w:szCs w:val="20"/>
          <w:lang w:val="ru-RU"/>
        </w:rPr>
        <w:t>Тест за производителност</w:t>
      </w:r>
      <w:r w:rsidR="009D7AB1" w:rsidRPr="00A013E1">
        <w:rPr>
          <w:rFonts w:ascii="Times New Roman" w:hAnsi="Times New Roman" w:cs="Times New Roman"/>
          <w:szCs w:val="20"/>
          <w:vertAlign w:val="superscript"/>
          <w:lang w:val="ru-RU"/>
        </w:rPr>
        <w:t>(1)</w:t>
      </w:r>
      <w:r w:rsidR="009D7AB1" w:rsidRPr="00A013E1">
        <w:rPr>
          <w:rFonts w:ascii="Times New Roman" w:hAnsi="Times New Roman" w:cs="Times New Roman"/>
          <w:szCs w:val="20"/>
          <w:vertAlign w:val="subscript"/>
          <w:lang w:val="ru-RU"/>
        </w:rPr>
        <w:t xml:space="preserve">      </w:t>
      </w:r>
      <w:sdt>
        <w:sdtPr>
          <w:rPr>
            <w:rFonts w:ascii="Times New Roman" w:hAnsi="Times New Roman" w:cs="Times New Roman"/>
            <w:b/>
            <w:sz w:val="32"/>
            <w:szCs w:val="32"/>
            <w:lang w:val="ru-RU"/>
          </w:rPr>
          <w:id w:val="13661063"/>
          <w14:checkbox>
            <w14:checked w14:val="0"/>
            <w14:checkedState w14:val="2612" w14:font="MS Gothic"/>
            <w14:uncheckedState w14:val="2610" w14:font="MS Gothic"/>
          </w14:checkbox>
        </w:sdtPr>
        <w:sdtEndPr/>
        <w:sdtContent>
          <w:r w:rsidR="009D7AB1" w:rsidRPr="00A013E1">
            <w:rPr>
              <w:rFonts w:ascii="Segoe UI Symbol" w:eastAsia="MS Gothic" w:hAnsi="Segoe UI Symbol" w:cs="Segoe UI Symbol"/>
              <w:b/>
              <w:sz w:val="32"/>
              <w:szCs w:val="32"/>
              <w:lang w:val="ru-RU"/>
            </w:rPr>
            <w:t>☐</w:t>
          </w:r>
        </w:sdtContent>
      </w:sdt>
      <w:r w:rsidR="009D7AB1" w:rsidRPr="00A013E1">
        <w:rPr>
          <w:rFonts w:ascii="Times New Roman" w:hAnsi="Times New Roman" w:cs="Times New Roman"/>
          <w:szCs w:val="20"/>
          <w:lang w:val="ru-RU"/>
        </w:rPr>
        <w:t>Специализиран тест</w:t>
      </w:r>
      <w:r w:rsidR="009D7AB1" w:rsidRPr="00A013E1">
        <w:rPr>
          <w:rFonts w:ascii="Times New Roman" w:hAnsi="Times New Roman" w:cs="Times New Roman"/>
          <w:szCs w:val="20"/>
          <w:vertAlign w:val="superscript"/>
          <w:lang w:val="ru-RU"/>
        </w:rPr>
        <w:t>(1)</w:t>
      </w:r>
      <w:r w:rsidR="009D7AB1" w:rsidRPr="00A013E1">
        <w:rPr>
          <w:rFonts w:ascii="Times New Roman" w:hAnsi="Times New Roman" w:cs="Times New Roman"/>
          <w:szCs w:val="20"/>
          <w:vertAlign w:val="subscript"/>
          <w:lang w:val="ru-RU"/>
        </w:rPr>
        <w:t xml:space="preserve">     </w:t>
      </w:r>
    </w:p>
    <w:p w14:paraId="0E07F876" w14:textId="77777777" w:rsidR="009D7AB1" w:rsidRPr="00A013E1" w:rsidRDefault="009D7AB1" w:rsidP="009D7AB1">
      <w:pPr>
        <w:tabs>
          <w:tab w:val="center" w:pos="7956"/>
        </w:tabs>
        <w:suppressAutoHyphens/>
        <w:spacing w:line="240" w:lineRule="atLeast"/>
        <w:rPr>
          <w:rFonts w:ascii="Times New Roman" w:hAnsi="Times New Roman" w:cs="Times New Roman"/>
          <w:sz w:val="20"/>
          <w:szCs w:val="20"/>
          <w:lang w:val="ru-RU"/>
        </w:rPr>
      </w:pPr>
    </w:p>
    <w:p w14:paraId="62D379AB" w14:textId="77777777" w:rsidR="009D7AB1" w:rsidRPr="00A013E1" w:rsidRDefault="009D7AB1" w:rsidP="009D7AB1">
      <w:pPr>
        <w:tabs>
          <w:tab w:val="center" w:pos="7956"/>
        </w:tabs>
        <w:suppressAutoHyphens/>
        <w:spacing w:line="240" w:lineRule="atLeast"/>
        <w:rPr>
          <w:rFonts w:ascii="Times New Roman" w:hAnsi="Times New Roman" w:cs="Times New Roman"/>
          <w:szCs w:val="20"/>
          <w:lang w:val="ru-RU"/>
        </w:rPr>
      </w:pPr>
      <w:r w:rsidRPr="00A013E1">
        <w:rPr>
          <w:rFonts w:ascii="Times New Roman" w:hAnsi="Times New Roman" w:cs="Times New Roman"/>
          <w:szCs w:val="20"/>
          <w:lang w:val="ru-RU"/>
        </w:rPr>
        <w:t>Производител на бордовата пречиствателна</w:t>
      </w:r>
    </w:p>
    <w:p w14:paraId="65EF74CD" w14:textId="305DE73E" w:rsidR="009D7AB1" w:rsidRPr="00A013E1" w:rsidRDefault="009D7AB1" w:rsidP="009D7AB1">
      <w:pPr>
        <w:tabs>
          <w:tab w:val="center" w:pos="7956"/>
        </w:tabs>
        <w:suppressAutoHyphens/>
        <w:spacing w:line="240" w:lineRule="atLeast"/>
        <w:rPr>
          <w:rFonts w:ascii="Times New Roman" w:hAnsi="Times New Roman" w:cs="Times New Roman"/>
          <w:szCs w:val="20"/>
          <w:lang w:val="ru-RU"/>
        </w:rPr>
      </w:pPr>
      <w:r w:rsidRPr="00A013E1">
        <w:rPr>
          <w:rFonts w:ascii="Times New Roman" w:hAnsi="Times New Roman" w:cs="Times New Roman"/>
          <w:szCs w:val="20"/>
          <w:lang w:val="ru-RU"/>
        </w:rPr>
        <w:t xml:space="preserve">станция за отпадни </w:t>
      </w:r>
      <w:r w:rsidR="000C2683" w:rsidRPr="00A013E1">
        <w:rPr>
          <w:rFonts w:ascii="Times New Roman" w:hAnsi="Times New Roman" w:cs="Times New Roman"/>
          <w:szCs w:val="20"/>
          <w:lang w:val="ru-RU"/>
        </w:rPr>
        <w:t xml:space="preserve">води:     </w:t>
      </w:r>
      <w:r w:rsidRPr="00A013E1">
        <w:rPr>
          <w:rFonts w:ascii="Times New Roman" w:hAnsi="Times New Roman" w:cs="Times New Roman"/>
          <w:szCs w:val="20"/>
          <w:lang w:val="ru-RU"/>
        </w:rPr>
        <w:t>…………………………………………………………………...</w:t>
      </w:r>
    </w:p>
    <w:p w14:paraId="2E60DAF4" w14:textId="77777777" w:rsidR="009D7AB1" w:rsidRPr="00A013E1" w:rsidRDefault="009D7AB1" w:rsidP="009D7AB1">
      <w:pPr>
        <w:tabs>
          <w:tab w:val="center" w:pos="7956"/>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ab/>
        <w:t>(Марка/ търговска марка/ търговско наименование на производителя)</w:t>
      </w:r>
    </w:p>
    <w:p w14:paraId="54BC8D7E" w14:textId="77777777" w:rsidR="009D7AB1" w:rsidRPr="00A013E1" w:rsidRDefault="009D7AB1" w:rsidP="009D7AB1">
      <w:pPr>
        <w:tabs>
          <w:tab w:val="center" w:pos="7956"/>
        </w:tabs>
        <w:suppressAutoHyphens/>
        <w:spacing w:line="240" w:lineRule="atLeast"/>
        <w:rPr>
          <w:rFonts w:ascii="Times New Roman" w:hAnsi="Times New Roman" w:cs="Times New Roman"/>
          <w:lang w:val="ru-RU"/>
        </w:rPr>
      </w:pPr>
      <w:r w:rsidRPr="00A013E1">
        <w:rPr>
          <w:rFonts w:ascii="Times New Roman" w:hAnsi="Times New Roman" w:cs="Times New Roman"/>
          <w:lang w:val="ru-RU"/>
        </w:rPr>
        <w:t>Тип пречиствателна станция за отпадъчни води:</w:t>
      </w:r>
    </w:p>
    <w:p w14:paraId="608D0638" w14:textId="379AC65A" w:rsidR="009D7AB1" w:rsidRPr="00A013E1" w:rsidRDefault="009D7AB1" w:rsidP="009D7AB1">
      <w:pPr>
        <w:tabs>
          <w:tab w:val="center" w:pos="7956"/>
        </w:tabs>
        <w:suppressAutoHyphens/>
        <w:spacing w:line="240" w:lineRule="atLeast"/>
        <w:jc w:val="center"/>
        <w:rPr>
          <w:rFonts w:ascii="Times New Roman" w:hAnsi="Times New Roman" w:cs="Times New Roman"/>
          <w:szCs w:val="20"/>
        </w:rPr>
      </w:pPr>
      <w:r w:rsidRPr="00A013E1">
        <w:rPr>
          <w:rFonts w:ascii="Times New Roman" w:hAnsi="Times New Roman" w:cs="Times New Roman"/>
          <w:lang w:val="ru-RU"/>
        </w:rPr>
        <w:t xml:space="preserve">                                                                      </w:t>
      </w:r>
      <w:r w:rsidRPr="00A013E1">
        <w:rPr>
          <w:rFonts w:ascii="Times New Roman" w:hAnsi="Times New Roman" w:cs="Times New Roman"/>
        </w:rPr>
        <w:t>(</w:t>
      </w:r>
      <w:r w:rsidR="00DB6E65" w:rsidRPr="00A013E1">
        <w:rPr>
          <w:rFonts w:ascii="Times New Roman" w:hAnsi="Times New Roman" w:cs="Times New Roman"/>
        </w:rPr>
        <w:t>Обозначение на производителя</w:t>
      </w:r>
      <w:r w:rsidRPr="00A013E1">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92"/>
        <w:gridCol w:w="3827"/>
        <w:gridCol w:w="1682"/>
      </w:tblGrid>
      <w:tr w:rsidR="009D7AB1" w:rsidRPr="00A013E1" w14:paraId="5166582C" w14:textId="77777777" w:rsidTr="00A1220C">
        <w:trPr>
          <w:trHeight w:val="710"/>
        </w:trPr>
        <w:tc>
          <w:tcPr>
            <w:tcW w:w="2547" w:type="dxa"/>
          </w:tcPr>
          <w:p w14:paraId="1D347E51" w14:textId="77777777" w:rsidR="009D7AB1" w:rsidRPr="00A013E1" w:rsidRDefault="009D7AB1" w:rsidP="00A1220C">
            <w:pPr>
              <w:tabs>
                <w:tab w:val="center" w:pos="7956"/>
              </w:tabs>
              <w:suppressAutoHyphens/>
              <w:spacing w:line="240" w:lineRule="atLeast"/>
              <w:rPr>
                <w:rFonts w:ascii="Times New Roman" w:hAnsi="Times New Roman" w:cs="Times New Roman"/>
                <w:szCs w:val="20"/>
              </w:rPr>
            </w:pPr>
            <w:r w:rsidRPr="00A013E1">
              <w:rPr>
                <w:rFonts w:ascii="Times New Roman" w:hAnsi="Times New Roman" w:cs="Times New Roman"/>
                <w:szCs w:val="20"/>
              </w:rPr>
              <w:t>Типово одобрение №:</w:t>
            </w:r>
          </w:p>
        </w:tc>
        <w:tc>
          <w:tcPr>
            <w:tcW w:w="992" w:type="dxa"/>
          </w:tcPr>
          <w:p w14:paraId="01DEB974" w14:textId="77777777" w:rsidR="009D7AB1" w:rsidRPr="00A013E1" w:rsidRDefault="009D7AB1" w:rsidP="00A1220C">
            <w:pPr>
              <w:tabs>
                <w:tab w:val="center" w:pos="7956"/>
              </w:tabs>
              <w:suppressAutoHyphens/>
              <w:spacing w:line="240" w:lineRule="atLeast"/>
              <w:rPr>
                <w:rFonts w:ascii="Times New Roman" w:hAnsi="Times New Roman" w:cs="Times New Roman"/>
                <w:szCs w:val="20"/>
              </w:rPr>
            </w:pPr>
          </w:p>
        </w:tc>
        <w:tc>
          <w:tcPr>
            <w:tcW w:w="3827" w:type="dxa"/>
          </w:tcPr>
          <w:p w14:paraId="587D4A51" w14:textId="77777777" w:rsidR="009D7AB1" w:rsidRPr="00A013E1" w:rsidRDefault="009D7AB1" w:rsidP="00A1220C">
            <w:pPr>
              <w:tabs>
                <w:tab w:val="center" w:pos="7956"/>
              </w:tabs>
              <w:suppressAutoHyphens/>
              <w:spacing w:line="240" w:lineRule="atLeast"/>
              <w:jc w:val="both"/>
              <w:rPr>
                <w:rFonts w:ascii="Times New Roman" w:hAnsi="Times New Roman" w:cs="Times New Roman"/>
                <w:szCs w:val="20"/>
                <w:lang w:val="ru-RU"/>
              </w:rPr>
            </w:pPr>
            <w:r w:rsidRPr="00A013E1">
              <w:rPr>
                <w:rFonts w:ascii="Times New Roman" w:hAnsi="Times New Roman" w:cs="Times New Roman"/>
                <w:szCs w:val="20"/>
                <w:lang w:val="ru-RU"/>
              </w:rPr>
              <w:t>Година на построяване на бордова</w:t>
            </w:r>
          </w:p>
          <w:p w14:paraId="5998E197" w14:textId="77777777" w:rsidR="009D7AB1" w:rsidRPr="00A013E1" w:rsidRDefault="009D7AB1" w:rsidP="00A1220C">
            <w:pPr>
              <w:tabs>
                <w:tab w:val="center" w:pos="7956"/>
              </w:tabs>
              <w:suppressAutoHyphens/>
              <w:spacing w:line="240" w:lineRule="atLeast"/>
              <w:rPr>
                <w:rFonts w:ascii="Times New Roman" w:hAnsi="Times New Roman" w:cs="Times New Roman"/>
                <w:szCs w:val="20"/>
                <w:lang w:val="ru-RU"/>
              </w:rPr>
            </w:pPr>
            <w:r w:rsidRPr="00A013E1">
              <w:rPr>
                <w:rFonts w:ascii="Times New Roman" w:hAnsi="Times New Roman" w:cs="Times New Roman"/>
                <w:szCs w:val="20"/>
                <w:lang w:val="ru-RU"/>
              </w:rPr>
              <w:t>пречиствателна станция за отпадни води:</w:t>
            </w:r>
          </w:p>
        </w:tc>
        <w:tc>
          <w:tcPr>
            <w:tcW w:w="1682" w:type="dxa"/>
          </w:tcPr>
          <w:p w14:paraId="5913385E" w14:textId="77777777" w:rsidR="009D7AB1" w:rsidRPr="00A013E1" w:rsidRDefault="009D7AB1" w:rsidP="00A1220C">
            <w:pPr>
              <w:tabs>
                <w:tab w:val="center" w:pos="7956"/>
              </w:tabs>
              <w:suppressAutoHyphens/>
              <w:spacing w:line="240" w:lineRule="atLeast"/>
              <w:rPr>
                <w:rFonts w:ascii="Times New Roman" w:hAnsi="Times New Roman" w:cs="Times New Roman"/>
                <w:szCs w:val="20"/>
                <w:lang w:val="ru-RU"/>
              </w:rPr>
            </w:pPr>
          </w:p>
        </w:tc>
      </w:tr>
      <w:tr w:rsidR="009D7AB1" w:rsidRPr="00A013E1" w14:paraId="4F54F757" w14:textId="77777777" w:rsidTr="00A1220C">
        <w:trPr>
          <w:trHeight w:val="318"/>
        </w:trPr>
        <w:tc>
          <w:tcPr>
            <w:tcW w:w="3539" w:type="dxa"/>
            <w:gridSpan w:val="2"/>
          </w:tcPr>
          <w:p w14:paraId="5E516AA5" w14:textId="77777777" w:rsidR="009D7AB1" w:rsidRPr="00A013E1" w:rsidRDefault="009D7AB1" w:rsidP="00A1220C">
            <w:pPr>
              <w:tabs>
                <w:tab w:val="center" w:pos="7956"/>
              </w:tabs>
              <w:suppressAutoHyphens/>
              <w:spacing w:line="240" w:lineRule="atLeast"/>
              <w:rPr>
                <w:rFonts w:ascii="Times New Roman" w:hAnsi="Times New Roman" w:cs="Times New Roman"/>
                <w:szCs w:val="20"/>
              </w:rPr>
            </w:pPr>
            <w:r w:rsidRPr="00A013E1">
              <w:rPr>
                <w:rFonts w:ascii="Times New Roman" w:hAnsi="Times New Roman" w:cs="Times New Roman"/>
                <w:szCs w:val="20"/>
                <w:lang w:val="ru-RU"/>
              </w:rPr>
              <w:t xml:space="preserve">             </w:t>
            </w:r>
            <w:r w:rsidRPr="00A013E1">
              <w:rPr>
                <w:rFonts w:ascii="Times New Roman" w:hAnsi="Times New Roman" w:cs="Times New Roman"/>
                <w:szCs w:val="20"/>
              </w:rPr>
              <w:t>…………………………..</w:t>
            </w:r>
          </w:p>
        </w:tc>
        <w:tc>
          <w:tcPr>
            <w:tcW w:w="5509" w:type="dxa"/>
            <w:gridSpan w:val="2"/>
          </w:tcPr>
          <w:p w14:paraId="747533E6" w14:textId="77777777" w:rsidR="009D7AB1" w:rsidRPr="00A013E1" w:rsidRDefault="009D7AB1" w:rsidP="00A1220C">
            <w:pPr>
              <w:tabs>
                <w:tab w:val="center" w:pos="7956"/>
              </w:tabs>
              <w:suppressAutoHyphens/>
              <w:spacing w:line="240" w:lineRule="atLeast"/>
              <w:rPr>
                <w:rFonts w:ascii="Times New Roman" w:hAnsi="Times New Roman" w:cs="Times New Roman"/>
                <w:szCs w:val="20"/>
              </w:rPr>
            </w:pPr>
            <w:r w:rsidRPr="00A013E1">
              <w:rPr>
                <w:rFonts w:ascii="Times New Roman" w:hAnsi="Times New Roman" w:cs="Times New Roman"/>
                <w:szCs w:val="20"/>
              </w:rPr>
              <w:t xml:space="preserve">                         ……...…………………………………</w:t>
            </w:r>
          </w:p>
        </w:tc>
      </w:tr>
      <w:tr w:rsidR="009D7AB1" w:rsidRPr="00A013E1" w14:paraId="1540C151" w14:textId="77777777" w:rsidTr="00A1220C">
        <w:trPr>
          <w:trHeight w:val="318"/>
        </w:trPr>
        <w:tc>
          <w:tcPr>
            <w:tcW w:w="3539" w:type="dxa"/>
            <w:gridSpan w:val="2"/>
          </w:tcPr>
          <w:p w14:paraId="09A196F5" w14:textId="77777777" w:rsidR="009D7AB1" w:rsidRPr="00A013E1" w:rsidRDefault="009D7AB1" w:rsidP="00A1220C">
            <w:pPr>
              <w:tabs>
                <w:tab w:val="center" w:pos="7956"/>
              </w:tabs>
              <w:suppressAutoHyphens/>
              <w:spacing w:line="240" w:lineRule="atLeast"/>
              <w:rPr>
                <w:rFonts w:ascii="Times New Roman" w:hAnsi="Times New Roman" w:cs="Times New Roman"/>
                <w:szCs w:val="20"/>
              </w:rPr>
            </w:pPr>
            <w:r w:rsidRPr="00A013E1">
              <w:rPr>
                <w:rFonts w:ascii="Times New Roman" w:hAnsi="Times New Roman" w:cs="Times New Roman"/>
                <w:szCs w:val="20"/>
              </w:rPr>
              <w:t>Сериен №</w:t>
            </w:r>
          </w:p>
        </w:tc>
        <w:tc>
          <w:tcPr>
            <w:tcW w:w="5509" w:type="dxa"/>
            <w:gridSpan w:val="2"/>
          </w:tcPr>
          <w:p w14:paraId="1728DA05" w14:textId="77777777" w:rsidR="009D7AB1" w:rsidRPr="00A013E1" w:rsidRDefault="009D7AB1" w:rsidP="00A1220C">
            <w:pPr>
              <w:tabs>
                <w:tab w:val="center" w:pos="7956"/>
              </w:tabs>
              <w:suppressAutoHyphens/>
              <w:spacing w:line="240" w:lineRule="atLeast"/>
              <w:rPr>
                <w:rFonts w:ascii="Times New Roman" w:hAnsi="Times New Roman" w:cs="Times New Roman"/>
                <w:szCs w:val="20"/>
              </w:rPr>
            </w:pPr>
            <w:r w:rsidRPr="00A013E1">
              <w:rPr>
                <w:rFonts w:ascii="Times New Roman" w:hAnsi="Times New Roman" w:cs="Times New Roman"/>
                <w:szCs w:val="20"/>
              </w:rPr>
              <w:t>Място на инсталиране:</w:t>
            </w:r>
          </w:p>
        </w:tc>
      </w:tr>
      <w:tr w:rsidR="009D7AB1" w:rsidRPr="00A013E1" w14:paraId="53E139F9" w14:textId="77777777" w:rsidTr="00A1220C">
        <w:trPr>
          <w:trHeight w:val="318"/>
        </w:trPr>
        <w:tc>
          <w:tcPr>
            <w:tcW w:w="3539" w:type="dxa"/>
            <w:gridSpan w:val="2"/>
          </w:tcPr>
          <w:p w14:paraId="70450F8C" w14:textId="77777777" w:rsidR="009D7AB1" w:rsidRPr="00A013E1" w:rsidRDefault="009D7AB1" w:rsidP="00A1220C">
            <w:pPr>
              <w:tabs>
                <w:tab w:val="center" w:pos="7956"/>
              </w:tabs>
              <w:suppressAutoHyphens/>
              <w:spacing w:line="240" w:lineRule="atLeast"/>
              <w:rPr>
                <w:rFonts w:ascii="Times New Roman" w:hAnsi="Times New Roman" w:cs="Times New Roman"/>
                <w:szCs w:val="20"/>
              </w:rPr>
            </w:pPr>
            <w:r w:rsidRPr="00A013E1">
              <w:rPr>
                <w:rFonts w:ascii="Times New Roman" w:hAnsi="Times New Roman" w:cs="Times New Roman"/>
                <w:szCs w:val="20"/>
              </w:rPr>
              <w:t xml:space="preserve">             …………………………..</w:t>
            </w:r>
          </w:p>
        </w:tc>
        <w:tc>
          <w:tcPr>
            <w:tcW w:w="5509" w:type="dxa"/>
            <w:gridSpan w:val="2"/>
          </w:tcPr>
          <w:p w14:paraId="247266DF" w14:textId="77777777" w:rsidR="009D7AB1" w:rsidRPr="00A013E1" w:rsidRDefault="009D7AB1" w:rsidP="00A1220C">
            <w:pPr>
              <w:tabs>
                <w:tab w:val="center" w:pos="7956"/>
              </w:tabs>
              <w:suppressAutoHyphens/>
              <w:spacing w:line="240" w:lineRule="atLeast"/>
              <w:rPr>
                <w:rFonts w:ascii="Times New Roman" w:hAnsi="Times New Roman" w:cs="Times New Roman"/>
                <w:szCs w:val="20"/>
              </w:rPr>
            </w:pPr>
            <w:r w:rsidRPr="00A013E1">
              <w:rPr>
                <w:rFonts w:ascii="Times New Roman" w:hAnsi="Times New Roman" w:cs="Times New Roman"/>
                <w:szCs w:val="20"/>
              </w:rPr>
              <w:t xml:space="preserve">                         ……...…………………………………</w:t>
            </w:r>
          </w:p>
        </w:tc>
      </w:tr>
    </w:tbl>
    <w:p w14:paraId="0279F1CF" w14:textId="77777777" w:rsidR="009D7AB1" w:rsidRPr="00A013E1" w:rsidRDefault="009D7AB1" w:rsidP="009D7AB1">
      <w:pPr>
        <w:spacing w:before="240"/>
        <w:jc w:val="both"/>
        <w:rPr>
          <w:rFonts w:ascii="Times New Roman" w:hAnsi="Times New Roman" w:cs="Times New Roman"/>
          <w:lang w:val="ru-RU"/>
        </w:rPr>
      </w:pPr>
      <w:r w:rsidRPr="00A013E1">
        <w:rPr>
          <w:rFonts w:ascii="Times New Roman" w:hAnsi="Times New Roman" w:cs="Times New Roman"/>
          <w:lang w:val="ru-RU"/>
        </w:rPr>
        <w:t>А. Обем на резервоарите, използвани от бордовата пречиствателна станция за отпадъчни води (вкл. отпадъчни води от горната част)</w:t>
      </w:r>
    </w:p>
    <w:p w14:paraId="1B3E3857" w14:textId="77777777" w:rsidR="009D7AB1" w:rsidRPr="00A013E1" w:rsidRDefault="009D7AB1" w:rsidP="009D7AB1">
      <w:pPr>
        <w:tabs>
          <w:tab w:val="left" w:pos="1125"/>
        </w:tabs>
        <w:jc w:val="both"/>
        <w:rPr>
          <w:rFonts w:ascii="Times New Roman" w:hAnsi="Times New Roman" w:cs="Times New Roman"/>
          <w:sz w:val="20"/>
          <w:szCs w:val="20"/>
          <w:lang w:val="ru-RU"/>
        </w:rPr>
      </w:pPr>
      <w:r w:rsidRPr="00A013E1">
        <w:rPr>
          <w:rFonts w:ascii="Times New Roman" w:hAnsi="Times New Roman" w:cs="Times New Roman"/>
          <w:lang w:val="ru-RU"/>
        </w:rPr>
        <w:tab/>
      </w:r>
    </w:p>
    <w:tbl>
      <w:tblPr>
        <w:tblStyle w:val="TableGrid"/>
        <w:tblW w:w="0" w:type="auto"/>
        <w:tblLook w:val="04A0" w:firstRow="1" w:lastRow="0" w:firstColumn="1" w:lastColumn="0" w:noHBand="0" w:noVBand="1"/>
      </w:tblPr>
      <w:tblGrid>
        <w:gridCol w:w="3020"/>
        <w:gridCol w:w="3020"/>
        <w:gridCol w:w="3021"/>
      </w:tblGrid>
      <w:tr w:rsidR="009D7AB1" w:rsidRPr="00A013E1" w14:paraId="52EF08B0" w14:textId="77777777" w:rsidTr="00A1220C">
        <w:tc>
          <w:tcPr>
            <w:tcW w:w="3020" w:type="dxa"/>
          </w:tcPr>
          <w:p w14:paraId="3D04268B" w14:textId="77777777" w:rsidR="009D7AB1" w:rsidRPr="00A013E1" w:rsidRDefault="009D7AB1" w:rsidP="00A1220C">
            <w:pPr>
              <w:jc w:val="center"/>
              <w:rPr>
                <w:rFonts w:ascii="Times New Roman" w:hAnsi="Times New Roman" w:cs="Times New Roman"/>
              </w:rPr>
            </w:pPr>
            <w:r w:rsidRPr="00A013E1">
              <w:rPr>
                <w:rFonts w:ascii="Times New Roman" w:hAnsi="Times New Roman" w:cs="Times New Roman"/>
              </w:rPr>
              <w:t>Име на танка</w:t>
            </w:r>
          </w:p>
        </w:tc>
        <w:tc>
          <w:tcPr>
            <w:tcW w:w="3020" w:type="dxa"/>
          </w:tcPr>
          <w:p w14:paraId="6347712B" w14:textId="77777777" w:rsidR="009D7AB1" w:rsidRPr="00A013E1" w:rsidRDefault="009D7AB1" w:rsidP="00A1220C">
            <w:pPr>
              <w:jc w:val="center"/>
              <w:rPr>
                <w:rFonts w:ascii="Times New Roman" w:hAnsi="Times New Roman" w:cs="Times New Roman"/>
                <w:lang w:val="ru-RU"/>
              </w:rPr>
            </w:pPr>
            <w:r w:rsidRPr="00A013E1">
              <w:rPr>
                <w:rFonts w:ascii="Times New Roman" w:hAnsi="Times New Roman" w:cs="Times New Roman"/>
                <w:lang w:val="ru-RU"/>
              </w:rPr>
              <w:t>Местоположение на танковете в кораба</w:t>
            </w:r>
          </w:p>
        </w:tc>
        <w:tc>
          <w:tcPr>
            <w:tcW w:w="3021" w:type="dxa"/>
          </w:tcPr>
          <w:p w14:paraId="46CD742F" w14:textId="77777777" w:rsidR="009D7AB1" w:rsidRPr="00A013E1" w:rsidRDefault="009D7AB1" w:rsidP="00A1220C">
            <w:pPr>
              <w:jc w:val="center"/>
              <w:rPr>
                <w:rFonts w:ascii="Times New Roman" w:hAnsi="Times New Roman" w:cs="Times New Roman"/>
              </w:rPr>
            </w:pPr>
            <w:r w:rsidRPr="00A013E1">
              <w:rPr>
                <w:rFonts w:ascii="Times New Roman" w:hAnsi="Times New Roman" w:cs="Times New Roman"/>
              </w:rPr>
              <w:t>Обем на танковете м</w:t>
            </w:r>
            <w:r w:rsidRPr="00A013E1">
              <w:rPr>
                <w:rFonts w:ascii="Times New Roman" w:hAnsi="Times New Roman" w:cs="Times New Roman"/>
                <w:vertAlign w:val="superscript"/>
              </w:rPr>
              <w:t>3</w:t>
            </w:r>
          </w:p>
        </w:tc>
      </w:tr>
      <w:tr w:rsidR="009D7AB1" w:rsidRPr="00A013E1" w14:paraId="706E35A1" w14:textId="77777777" w:rsidTr="00A1220C">
        <w:trPr>
          <w:trHeight w:val="113"/>
        </w:trPr>
        <w:tc>
          <w:tcPr>
            <w:tcW w:w="3020" w:type="dxa"/>
          </w:tcPr>
          <w:p w14:paraId="372D2B12" w14:textId="77777777" w:rsidR="009D7AB1" w:rsidRPr="00A013E1" w:rsidRDefault="009D7AB1" w:rsidP="00A1220C">
            <w:pPr>
              <w:rPr>
                <w:rFonts w:ascii="Times New Roman" w:hAnsi="Times New Roman" w:cs="Times New Roman"/>
                <w:sz w:val="20"/>
                <w:szCs w:val="20"/>
              </w:rPr>
            </w:pPr>
          </w:p>
        </w:tc>
        <w:tc>
          <w:tcPr>
            <w:tcW w:w="3020" w:type="dxa"/>
          </w:tcPr>
          <w:p w14:paraId="5ADA10ED" w14:textId="77777777" w:rsidR="009D7AB1" w:rsidRPr="00A013E1" w:rsidRDefault="009D7AB1" w:rsidP="00A1220C">
            <w:pPr>
              <w:rPr>
                <w:rFonts w:ascii="Times New Roman" w:hAnsi="Times New Roman" w:cs="Times New Roman"/>
                <w:sz w:val="20"/>
                <w:szCs w:val="20"/>
              </w:rPr>
            </w:pPr>
          </w:p>
        </w:tc>
        <w:tc>
          <w:tcPr>
            <w:tcW w:w="3021" w:type="dxa"/>
          </w:tcPr>
          <w:p w14:paraId="7AC8478F" w14:textId="77777777" w:rsidR="009D7AB1" w:rsidRPr="00A013E1" w:rsidRDefault="009D7AB1" w:rsidP="00A1220C">
            <w:pPr>
              <w:rPr>
                <w:rFonts w:ascii="Times New Roman" w:hAnsi="Times New Roman" w:cs="Times New Roman"/>
                <w:sz w:val="20"/>
                <w:szCs w:val="20"/>
              </w:rPr>
            </w:pPr>
          </w:p>
        </w:tc>
      </w:tr>
      <w:tr w:rsidR="009D7AB1" w:rsidRPr="00A013E1" w14:paraId="5A6E8816" w14:textId="77777777" w:rsidTr="00A1220C">
        <w:trPr>
          <w:trHeight w:val="113"/>
        </w:trPr>
        <w:tc>
          <w:tcPr>
            <w:tcW w:w="3020" w:type="dxa"/>
          </w:tcPr>
          <w:p w14:paraId="4F0C44EB" w14:textId="77777777" w:rsidR="009D7AB1" w:rsidRPr="00A013E1" w:rsidRDefault="009D7AB1" w:rsidP="00A1220C">
            <w:pPr>
              <w:rPr>
                <w:rFonts w:ascii="Times New Roman" w:hAnsi="Times New Roman" w:cs="Times New Roman"/>
                <w:sz w:val="20"/>
                <w:szCs w:val="20"/>
              </w:rPr>
            </w:pPr>
          </w:p>
        </w:tc>
        <w:tc>
          <w:tcPr>
            <w:tcW w:w="3020" w:type="dxa"/>
          </w:tcPr>
          <w:p w14:paraId="24BCC6B6" w14:textId="77777777" w:rsidR="009D7AB1" w:rsidRPr="00A013E1" w:rsidRDefault="009D7AB1" w:rsidP="00A1220C">
            <w:pPr>
              <w:rPr>
                <w:rFonts w:ascii="Times New Roman" w:hAnsi="Times New Roman" w:cs="Times New Roman"/>
                <w:sz w:val="20"/>
                <w:szCs w:val="20"/>
              </w:rPr>
            </w:pPr>
          </w:p>
        </w:tc>
        <w:tc>
          <w:tcPr>
            <w:tcW w:w="3021" w:type="dxa"/>
          </w:tcPr>
          <w:p w14:paraId="791FF7B3" w14:textId="77777777" w:rsidR="009D7AB1" w:rsidRPr="00A013E1" w:rsidRDefault="009D7AB1" w:rsidP="00A1220C">
            <w:pPr>
              <w:rPr>
                <w:rFonts w:ascii="Times New Roman" w:hAnsi="Times New Roman" w:cs="Times New Roman"/>
                <w:sz w:val="20"/>
                <w:szCs w:val="20"/>
              </w:rPr>
            </w:pPr>
          </w:p>
        </w:tc>
      </w:tr>
      <w:tr w:rsidR="009D7AB1" w:rsidRPr="00A013E1" w14:paraId="40777DD0" w14:textId="77777777" w:rsidTr="00A1220C">
        <w:trPr>
          <w:trHeight w:val="113"/>
        </w:trPr>
        <w:tc>
          <w:tcPr>
            <w:tcW w:w="3020" w:type="dxa"/>
          </w:tcPr>
          <w:p w14:paraId="5D6789C9" w14:textId="77777777" w:rsidR="009D7AB1" w:rsidRPr="00A013E1" w:rsidRDefault="009D7AB1" w:rsidP="00A1220C">
            <w:pPr>
              <w:rPr>
                <w:rFonts w:ascii="Times New Roman" w:hAnsi="Times New Roman" w:cs="Times New Roman"/>
                <w:sz w:val="20"/>
                <w:szCs w:val="20"/>
              </w:rPr>
            </w:pPr>
          </w:p>
        </w:tc>
        <w:tc>
          <w:tcPr>
            <w:tcW w:w="3020" w:type="dxa"/>
          </w:tcPr>
          <w:p w14:paraId="681DBD08" w14:textId="77777777" w:rsidR="009D7AB1" w:rsidRPr="00A013E1" w:rsidRDefault="009D7AB1" w:rsidP="00A1220C">
            <w:pPr>
              <w:rPr>
                <w:rFonts w:ascii="Times New Roman" w:hAnsi="Times New Roman" w:cs="Times New Roman"/>
                <w:sz w:val="20"/>
                <w:szCs w:val="20"/>
              </w:rPr>
            </w:pPr>
          </w:p>
        </w:tc>
        <w:tc>
          <w:tcPr>
            <w:tcW w:w="3021" w:type="dxa"/>
          </w:tcPr>
          <w:p w14:paraId="57E9D404" w14:textId="77777777" w:rsidR="009D7AB1" w:rsidRPr="00A013E1" w:rsidRDefault="009D7AB1" w:rsidP="00A1220C">
            <w:pPr>
              <w:rPr>
                <w:rFonts w:ascii="Times New Roman" w:hAnsi="Times New Roman" w:cs="Times New Roman"/>
                <w:sz w:val="20"/>
                <w:szCs w:val="20"/>
              </w:rPr>
            </w:pPr>
          </w:p>
        </w:tc>
      </w:tr>
      <w:tr w:rsidR="009D7AB1" w:rsidRPr="00A013E1" w14:paraId="2A651108" w14:textId="77777777" w:rsidTr="00A1220C">
        <w:trPr>
          <w:trHeight w:val="113"/>
        </w:trPr>
        <w:tc>
          <w:tcPr>
            <w:tcW w:w="3020" w:type="dxa"/>
          </w:tcPr>
          <w:p w14:paraId="43225EAB" w14:textId="77777777" w:rsidR="009D7AB1" w:rsidRPr="00A013E1" w:rsidRDefault="009D7AB1" w:rsidP="00A1220C">
            <w:pPr>
              <w:rPr>
                <w:rFonts w:ascii="Times New Roman" w:hAnsi="Times New Roman" w:cs="Times New Roman"/>
                <w:sz w:val="20"/>
                <w:szCs w:val="20"/>
              </w:rPr>
            </w:pPr>
          </w:p>
        </w:tc>
        <w:tc>
          <w:tcPr>
            <w:tcW w:w="3020" w:type="dxa"/>
          </w:tcPr>
          <w:p w14:paraId="18969240" w14:textId="77777777" w:rsidR="009D7AB1" w:rsidRPr="00A013E1" w:rsidRDefault="009D7AB1" w:rsidP="00A1220C">
            <w:pPr>
              <w:rPr>
                <w:rFonts w:ascii="Times New Roman" w:hAnsi="Times New Roman" w:cs="Times New Roman"/>
                <w:sz w:val="20"/>
                <w:szCs w:val="20"/>
              </w:rPr>
            </w:pPr>
          </w:p>
        </w:tc>
        <w:tc>
          <w:tcPr>
            <w:tcW w:w="3021" w:type="dxa"/>
          </w:tcPr>
          <w:p w14:paraId="637569B4" w14:textId="77777777" w:rsidR="009D7AB1" w:rsidRPr="00A013E1" w:rsidRDefault="009D7AB1" w:rsidP="00A1220C">
            <w:pPr>
              <w:rPr>
                <w:rFonts w:ascii="Times New Roman" w:hAnsi="Times New Roman" w:cs="Times New Roman"/>
                <w:sz w:val="20"/>
                <w:szCs w:val="20"/>
              </w:rPr>
            </w:pPr>
          </w:p>
        </w:tc>
      </w:tr>
      <w:tr w:rsidR="009D7AB1" w:rsidRPr="00A013E1" w14:paraId="1B794202" w14:textId="77777777" w:rsidTr="00A1220C">
        <w:trPr>
          <w:trHeight w:val="113"/>
        </w:trPr>
        <w:tc>
          <w:tcPr>
            <w:tcW w:w="3020" w:type="dxa"/>
          </w:tcPr>
          <w:p w14:paraId="024B364D" w14:textId="77777777" w:rsidR="009D7AB1" w:rsidRPr="00A013E1" w:rsidRDefault="009D7AB1" w:rsidP="00A1220C">
            <w:pPr>
              <w:rPr>
                <w:rFonts w:ascii="Times New Roman" w:hAnsi="Times New Roman" w:cs="Times New Roman"/>
                <w:sz w:val="20"/>
                <w:szCs w:val="20"/>
              </w:rPr>
            </w:pPr>
          </w:p>
        </w:tc>
        <w:tc>
          <w:tcPr>
            <w:tcW w:w="3020" w:type="dxa"/>
          </w:tcPr>
          <w:p w14:paraId="1A6EEC03" w14:textId="77777777" w:rsidR="009D7AB1" w:rsidRPr="00A013E1" w:rsidRDefault="009D7AB1" w:rsidP="00A1220C">
            <w:pPr>
              <w:rPr>
                <w:rFonts w:ascii="Times New Roman" w:hAnsi="Times New Roman" w:cs="Times New Roman"/>
                <w:sz w:val="20"/>
                <w:szCs w:val="20"/>
              </w:rPr>
            </w:pPr>
          </w:p>
        </w:tc>
        <w:tc>
          <w:tcPr>
            <w:tcW w:w="3021" w:type="dxa"/>
          </w:tcPr>
          <w:p w14:paraId="2C60DFDF" w14:textId="77777777" w:rsidR="009D7AB1" w:rsidRPr="00A013E1" w:rsidRDefault="009D7AB1" w:rsidP="00A1220C">
            <w:pPr>
              <w:rPr>
                <w:rFonts w:ascii="Times New Roman" w:hAnsi="Times New Roman" w:cs="Times New Roman"/>
                <w:sz w:val="20"/>
                <w:szCs w:val="20"/>
              </w:rPr>
            </w:pPr>
          </w:p>
        </w:tc>
      </w:tr>
    </w:tbl>
    <w:p w14:paraId="15E611F5" w14:textId="77777777" w:rsidR="009D7AB1" w:rsidRPr="00A013E1" w:rsidRDefault="009D7AB1" w:rsidP="009D7AB1">
      <w:pPr>
        <w:rPr>
          <w:rFonts w:ascii="Times New Roman" w:hAnsi="Times New Roman" w:cs="Times New Roman"/>
          <w:sz w:val="20"/>
          <w:szCs w:val="20"/>
        </w:rPr>
      </w:pPr>
    </w:p>
    <w:p w14:paraId="364BA591" w14:textId="77777777" w:rsidR="009D7AB1" w:rsidRPr="00A013E1" w:rsidRDefault="009D7AB1" w:rsidP="009D7AB1">
      <w:pPr>
        <w:rPr>
          <w:rFonts w:ascii="Times New Roman" w:hAnsi="Times New Roman" w:cs="Times New Roman"/>
        </w:rPr>
      </w:pPr>
      <w:r w:rsidRPr="00A013E1">
        <w:rPr>
          <w:rFonts w:ascii="Times New Roman" w:hAnsi="Times New Roman" w:cs="Times New Roman"/>
        </w:rPr>
        <w:t>Б. Тестване на компоненти</w:t>
      </w:r>
    </w:p>
    <w:p w14:paraId="0F1B830C" w14:textId="77777777" w:rsidR="009D7AB1" w:rsidRPr="00A013E1" w:rsidRDefault="009D7AB1" w:rsidP="009D7AB1">
      <w:pPr>
        <w:rPr>
          <w:rFonts w:ascii="Times New Roman" w:hAnsi="Times New Roman" w:cs="Times New Roman"/>
          <w:lang w:val="ru-RU"/>
        </w:rPr>
      </w:pPr>
      <w:r w:rsidRPr="00A013E1">
        <w:rPr>
          <w:rFonts w:ascii="Times New Roman" w:hAnsi="Times New Roman" w:cs="Times New Roman"/>
          <w:lang w:val="ru-RU"/>
        </w:rPr>
        <w:t>Следните части и компоненти на бордовата пречиствателна станция за отпадъчни води бяха идентифицирани и проверени за съответствие с указанията на производителя за проверка на компонентите и параметрите на бордовата пречиствателна станция, свързани с пречистването на отпадъчни води, и/ или сертификата за типово одобрение.</w:t>
      </w:r>
    </w:p>
    <w:tbl>
      <w:tblPr>
        <w:tblStyle w:val="TableGrid"/>
        <w:tblW w:w="0" w:type="auto"/>
        <w:tblLook w:val="04A0" w:firstRow="1" w:lastRow="0" w:firstColumn="1" w:lastColumn="0" w:noHBand="0" w:noVBand="1"/>
      </w:tblPr>
      <w:tblGrid>
        <w:gridCol w:w="2830"/>
        <w:gridCol w:w="3136"/>
        <w:gridCol w:w="496"/>
        <w:gridCol w:w="487"/>
        <w:gridCol w:w="561"/>
        <w:gridCol w:w="515"/>
        <w:gridCol w:w="496"/>
        <w:gridCol w:w="540"/>
      </w:tblGrid>
      <w:tr w:rsidR="009D7AB1" w:rsidRPr="00A013E1" w14:paraId="0048A85E" w14:textId="77777777" w:rsidTr="00A1220C">
        <w:tc>
          <w:tcPr>
            <w:tcW w:w="2830" w:type="dxa"/>
          </w:tcPr>
          <w:p w14:paraId="2D7F0EE5" w14:textId="77777777" w:rsidR="009D7AB1" w:rsidRPr="00A013E1" w:rsidRDefault="009D7AB1" w:rsidP="00A1220C">
            <w:pPr>
              <w:jc w:val="center"/>
              <w:rPr>
                <w:rFonts w:ascii="Times New Roman" w:hAnsi="Times New Roman" w:cs="Times New Roman"/>
              </w:rPr>
            </w:pPr>
            <w:r w:rsidRPr="00A013E1">
              <w:rPr>
                <w:rFonts w:ascii="Times New Roman" w:hAnsi="Times New Roman" w:cs="Times New Roman"/>
              </w:rPr>
              <w:t>Компонент</w:t>
            </w:r>
          </w:p>
        </w:tc>
        <w:tc>
          <w:tcPr>
            <w:tcW w:w="3136" w:type="dxa"/>
          </w:tcPr>
          <w:p w14:paraId="7E6B2F1E" w14:textId="4C928475" w:rsidR="009D7AB1" w:rsidRPr="00A013E1" w:rsidRDefault="00DB6E65" w:rsidP="000C2683">
            <w:pPr>
              <w:jc w:val="center"/>
              <w:rPr>
                <w:rFonts w:ascii="Times New Roman" w:hAnsi="Times New Roman" w:cs="Times New Roman"/>
              </w:rPr>
            </w:pPr>
            <w:r w:rsidRPr="00A013E1">
              <w:rPr>
                <w:rFonts w:ascii="Times New Roman" w:hAnsi="Times New Roman" w:cs="Times New Roman"/>
              </w:rPr>
              <w:t>Идентифи</w:t>
            </w:r>
            <w:r w:rsidR="000C2683" w:rsidRPr="00A013E1">
              <w:rPr>
                <w:rFonts w:ascii="Times New Roman" w:hAnsi="Times New Roman" w:cs="Times New Roman"/>
              </w:rPr>
              <w:t>ка</w:t>
            </w:r>
            <w:r w:rsidRPr="00A013E1">
              <w:rPr>
                <w:rFonts w:ascii="Times New Roman" w:hAnsi="Times New Roman" w:cs="Times New Roman"/>
              </w:rPr>
              <w:t>ц</w:t>
            </w:r>
            <w:r w:rsidR="000C2683" w:rsidRPr="00A013E1">
              <w:rPr>
                <w:rFonts w:ascii="Times New Roman" w:hAnsi="Times New Roman" w:cs="Times New Roman"/>
              </w:rPr>
              <w:t>ионен</w:t>
            </w:r>
            <w:r w:rsidRPr="00A013E1">
              <w:rPr>
                <w:rFonts w:ascii="Times New Roman" w:hAnsi="Times New Roman" w:cs="Times New Roman"/>
              </w:rPr>
              <w:t xml:space="preserve"> номер на компонент</w:t>
            </w:r>
          </w:p>
        </w:tc>
        <w:tc>
          <w:tcPr>
            <w:tcW w:w="3095" w:type="dxa"/>
            <w:gridSpan w:val="6"/>
          </w:tcPr>
          <w:p w14:paraId="70FBA07C" w14:textId="634AEBD9" w:rsidR="009D7AB1" w:rsidRPr="00A013E1" w:rsidRDefault="000C2683" w:rsidP="00A1220C">
            <w:pPr>
              <w:jc w:val="center"/>
              <w:rPr>
                <w:rFonts w:ascii="Times New Roman" w:hAnsi="Times New Roman" w:cs="Times New Roman"/>
              </w:rPr>
            </w:pPr>
            <w:r w:rsidRPr="00A013E1">
              <w:rPr>
                <w:rFonts w:ascii="Times New Roman" w:hAnsi="Times New Roman" w:cs="Times New Roman"/>
              </w:rPr>
              <w:t>Съответствие</w:t>
            </w:r>
            <w:r w:rsidR="009D7AB1" w:rsidRPr="00A013E1">
              <w:rPr>
                <w:rFonts w:ascii="Times New Roman" w:hAnsi="Times New Roman" w:cs="Times New Roman"/>
              </w:rPr>
              <w:t xml:space="preserve"> </w:t>
            </w:r>
            <w:r w:rsidR="009D7AB1" w:rsidRPr="00A013E1">
              <w:rPr>
                <w:rFonts w:ascii="Times New Roman" w:hAnsi="Times New Roman" w:cs="Times New Roman"/>
                <w:vertAlign w:val="superscript"/>
              </w:rPr>
              <w:t>(1)</w:t>
            </w:r>
          </w:p>
        </w:tc>
      </w:tr>
      <w:tr w:rsidR="009D7AB1" w:rsidRPr="00A013E1" w14:paraId="4A88D533" w14:textId="77777777" w:rsidTr="00A1220C">
        <w:tc>
          <w:tcPr>
            <w:tcW w:w="2830" w:type="dxa"/>
          </w:tcPr>
          <w:p w14:paraId="7E6FC03D" w14:textId="77777777" w:rsidR="009D7AB1" w:rsidRPr="00A013E1" w:rsidRDefault="009D7AB1" w:rsidP="00A1220C">
            <w:pPr>
              <w:rPr>
                <w:rFonts w:ascii="Times New Roman" w:hAnsi="Times New Roman" w:cs="Times New Roman"/>
              </w:rPr>
            </w:pPr>
          </w:p>
        </w:tc>
        <w:tc>
          <w:tcPr>
            <w:tcW w:w="3136" w:type="dxa"/>
          </w:tcPr>
          <w:p w14:paraId="202ED6CE"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174192177"/>
            <w14:checkbox>
              <w14:checked w14:val="0"/>
              <w14:checkedState w14:val="2612" w14:font="MS Gothic"/>
              <w14:uncheckedState w14:val="2610" w14:font="MS Gothic"/>
            </w14:checkbox>
          </w:sdtPr>
          <w:sdtEndPr/>
          <w:sdtContent>
            <w:tc>
              <w:tcPr>
                <w:tcW w:w="496" w:type="dxa"/>
              </w:tcPr>
              <w:p w14:paraId="3FF35B40"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76008BDA"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27225809"/>
            <w14:checkbox>
              <w14:checked w14:val="0"/>
              <w14:checkedState w14:val="2612" w14:font="MS Gothic"/>
              <w14:uncheckedState w14:val="2610" w14:font="MS Gothic"/>
            </w14:checkbox>
          </w:sdtPr>
          <w:sdtEndPr/>
          <w:sdtContent>
            <w:tc>
              <w:tcPr>
                <w:tcW w:w="561" w:type="dxa"/>
              </w:tcPr>
              <w:p w14:paraId="0E020FBA"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00220AD8"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102226242"/>
            <w14:checkbox>
              <w14:checked w14:val="0"/>
              <w14:checkedState w14:val="2612" w14:font="MS Gothic"/>
              <w14:uncheckedState w14:val="2610" w14:font="MS Gothic"/>
            </w14:checkbox>
          </w:sdtPr>
          <w:sdtEndPr/>
          <w:sdtContent>
            <w:tc>
              <w:tcPr>
                <w:tcW w:w="496" w:type="dxa"/>
              </w:tcPr>
              <w:p w14:paraId="3506C3C1"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5F90A14C"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r w:rsidR="009D7AB1" w:rsidRPr="00A013E1" w14:paraId="75DA8FC3" w14:textId="77777777" w:rsidTr="00A1220C">
        <w:tc>
          <w:tcPr>
            <w:tcW w:w="2830" w:type="dxa"/>
          </w:tcPr>
          <w:p w14:paraId="7E67D147" w14:textId="77777777" w:rsidR="009D7AB1" w:rsidRPr="00A013E1" w:rsidRDefault="009D7AB1" w:rsidP="00A1220C">
            <w:pPr>
              <w:rPr>
                <w:rFonts w:ascii="Times New Roman" w:hAnsi="Times New Roman" w:cs="Times New Roman"/>
              </w:rPr>
            </w:pPr>
          </w:p>
        </w:tc>
        <w:tc>
          <w:tcPr>
            <w:tcW w:w="3136" w:type="dxa"/>
          </w:tcPr>
          <w:p w14:paraId="6FD48322"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973681093"/>
            <w14:checkbox>
              <w14:checked w14:val="0"/>
              <w14:checkedState w14:val="2612" w14:font="MS Gothic"/>
              <w14:uncheckedState w14:val="2610" w14:font="MS Gothic"/>
            </w14:checkbox>
          </w:sdtPr>
          <w:sdtEndPr/>
          <w:sdtContent>
            <w:tc>
              <w:tcPr>
                <w:tcW w:w="496" w:type="dxa"/>
              </w:tcPr>
              <w:p w14:paraId="46B79062"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0B2AE223"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1185477933"/>
            <w14:checkbox>
              <w14:checked w14:val="0"/>
              <w14:checkedState w14:val="2612" w14:font="MS Gothic"/>
              <w14:uncheckedState w14:val="2610" w14:font="MS Gothic"/>
            </w14:checkbox>
          </w:sdtPr>
          <w:sdtEndPr/>
          <w:sdtContent>
            <w:tc>
              <w:tcPr>
                <w:tcW w:w="561" w:type="dxa"/>
              </w:tcPr>
              <w:p w14:paraId="073206BA"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2538AEEA"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227506837"/>
            <w14:checkbox>
              <w14:checked w14:val="0"/>
              <w14:checkedState w14:val="2612" w14:font="MS Gothic"/>
              <w14:uncheckedState w14:val="2610" w14:font="MS Gothic"/>
            </w14:checkbox>
          </w:sdtPr>
          <w:sdtEndPr/>
          <w:sdtContent>
            <w:tc>
              <w:tcPr>
                <w:tcW w:w="496" w:type="dxa"/>
              </w:tcPr>
              <w:p w14:paraId="0A9B1A55"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7B4DE1C0"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r w:rsidR="009D7AB1" w:rsidRPr="00A013E1" w14:paraId="12ADF360" w14:textId="77777777" w:rsidTr="00A1220C">
        <w:tc>
          <w:tcPr>
            <w:tcW w:w="2830" w:type="dxa"/>
          </w:tcPr>
          <w:p w14:paraId="5CCA2659" w14:textId="77777777" w:rsidR="009D7AB1" w:rsidRPr="00A013E1" w:rsidRDefault="009D7AB1" w:rsidP="00A1220C">
            <w:pPr>
              <w:rPr>
                <w:rFonts w:ascii="Times New Roman" w:hAnsi="Times New Roman" w:cs="Times New Roman"/>
              </w:rPr>
            </w:pPr>
          </w:p>
        </w:tc>
        <w:tc>
          <w:tcPr>
            <w:tcW w:w="3136" w:type="dxa"/>
          </w:tcPr>
          <w:p w14:paraId="522DFD92"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1031346128"/>
            <w14:checkbox>
              <w14:checked w14:val="0"/>
              <w14:checkedState w14:val="2612" w14:font="MS Gothic"/>
              <w14:uncheckedState w14:val="2610" w14:font="MS Gothic"/>
            </w14:checkbox>
          </w:sdtPr>
          <w:sdtEndPr/>
          <w:sdtContent>
            <w:tc>
              <w:tcPr>
                <w:tcW w:w="496" w:type="dxa"/>
              </w:tcPr>
              <w:p w14:paraId="4965B0B1"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5D384A4B"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1030766196"/>
            <w14:checkbox>
              <w14:checked w14:val="0"/>
              <w14:checkedState w14:val="2612" w14:font="MS Gothic"/>
              <w14:uncheckedState w14:val="2610" w14:font="MS Gothic"/>
            </w14:checkbox>
          </w:sdtPr>
          <w:sdtEndPr/>
          <w:sdtContent>
            <w:tc>
              <w:tcPr>
                <w:tcW w:w="561" w:type="dxa"/>
              </w:tcPr>
              <w:p w14:paraId="538710D6"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7F9DC9AA"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127827591"/>
            <w14:checkbox>
              <w14:checked w14:val="0"/>
              <w14:checkedState w14:val="2612" w14:font="MS Gothic"/>
              <w14:uncheckedState w14:val="2610" w14:font="MS Gothic"/>
            </w14:checkbox>
          </w:sdtPr>
          <w:sdtEndPr/>
          <w:sdtContent>
            <w:tc>
              <w:tcPr>
                <w:tcW w:w="496" w:type="dxa"/>
              </w:tcPr>
              <w:p w14:paraId="634E7C7C"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550A9975"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r w:rsidR="009D7AB1" w:rsidRPr="00A013E1" w14:paraId="7377940E" w14:textId="77777777" w:rsidTr="00A1220C">
        <w:tc>
          <w:tcPr>
            <w:tcW w:w="2830" w:type="dxa"/>
          </w:tcPr>
          <w:p w14:paraId="365E637F" w14:textId="77777777" w:rsidR="009D7AB1" w:rsidRPr="00A013E1" w:rsidRDefault="009D7AB1" w:rsidP="00A1220C">
            <w:pPr>
              <w:rPr>
                <w:rFonts w:ascii="Times New Roman" w:hAnsi="Times New Roman" w:cs="Times New Roman"/>
              </w:rPr>
            </w:pPr>
          </w:p>
        </w:tc>
        <w:tc>
          <w:tcPr>
            <w:tcW w:w="3136" w:type="dxa"/>
          </w:tcPr>
          <w:p w14:paraId="5E1BCCC3"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1273315414"/>
            <w14:checkbox>
              <w14:checked w14:val="0"/>
              <w14:checkedState w14:val="2612" w14:font="MS Gothic"/>
              <w14:uncheckedState w14:val="2610" w14:font="MS Gothic"/>
            </w14:checkbox>
          </w:sdtPr>
          <w:sdtEndPr/>
          <w:sdtContent>
            <w:tc>
              <w:tcPr>
                <w:tcW w:w="496" w:type="dxa"/>
              </w:tcPr>
              <w:p w14:paraId="6B8B3592"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56930EFC"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604008021"/>
            <w14:checkbox>
              <w14:checked w14:val="0"/>
              <w14:checkedState w14:val="2612" w14:font="MS Gothic"/>
              <w14:uncheckedState w14:val="2610" w14:font="MS Gothic"/>
            </w14:checkbox>
          </w:sdtPr>
          <w:sdtEndPr/>
          <w:sdtContent>
            <w:tc>
              <w:tcPr>
                <w:tcW w:w="561" w:type="dxa"/>
              </w:tcPr>
              <w:p w14:paraId="62B2B795"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7D39A764"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864054655"/>
            <w14:checkbox>
              <w14:checked w14:val="0"/>
              <w14:checkedState w14:val="2612" w14:font="MS Gothic"/>
              <w14:uncheckedState w14:val="2610" w14:font="MS Gothic"/>
            </w14:checkbox>
          </w:sdtPr>
          <w:sdtEndPr/>
          <w:sdtContent>
            <w:tc>
              <w:tcPr>
                <w:tcW w:w="496" w:type="dxa"/>
              </w:tcPr>
              <w:p w14:paraId="27D7A67C"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171A9FF7"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r w:rsidR="009D7AB1" w:rsidRPr="00A013E1" w14:paraId="5351B57E" w14:textId="77777777" w:rsidTr="00A1220C">
        <w:tc>
          <w:tcPr>
            <w:tcW w:w="2830" w:type="dxa"/>
          </w:tcPr>
          <w:p w14:paraId="4D77C84F" w14:textId="77777777" w:rsidR="009D7AB1" w:rsidRPr="00A013E1" w:rsidRDefault="009D7AB1" w:rsidP="00A1220C">
            <w:pPr>
              <w:rPr>
                <w:rFonts w:ascii="Times New Roman" w:hAnsi="Times New Roman" w:cs="Times New Roman"/>
              </w:rPr>
            </w:pPr>
          </w:p>
        </w:tc>
        <w:tc>
          <w:tcPr>
            <w:tcW w:w="3136" w:type="dxa"/>
          </w:tcPr>
          <w:p w14:paraId="074C55D8"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384150365"/>
            <w14:checkbox>
              <w14:checked w14:val="0"/>
              <w14:checkedState w14:val="2612" w14:font="MS Gothic"/>
              <w14:uncheckedState w14:val="2610" w14:font="MS Gothic"/>
            </w14:checkbox>
          </w:sdtPr>
          <w:sdtEndPr/>
          <w:sdtContent>
            <w:tc>
              <w:tcPr>
                <w:tcW w:w="496" w:type="dxa"/>
              </w:tcPr>
              <w:p w14:paraId="1685FC77"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2D330F2A"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339092074"/>
            <w14:checkbox>
              <w14:checked w14:val="0"/>
              <w14:checkedState w14:val="2612" w14:font="MS Gothic"/>
              <w14:uncheckedState w14:val="2610" w14:font="MS Gothic"/>
            </w14:checkbox>
          </w:sdtPr>
          <w:sdtEndPr/>
          <w:sdtContent>
            <w:tc>
              <w:tcPr>
                <w:tcW w:w="561" w:type="dxa"/>
              </w:tcPr>
              <w:p w14:paraId="1AD97F00"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24E9D414"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1636986638"/>
            <w14:checkbox>
              <w14:checked w14:val="0"/>
              <w14:checkedState w14:val="2612" w14:font="MS Gothic"/>
              <w14:uncheckedState w14:val="2610" w14:font="MS Gothic"/>
            </w14:checkbox>
          </w:sdtPr>
          <w:sdtEndPr/>
          <w:sdtContent>
            <w:tc>
              <w:tcPr>
                <w:tcW w:w="496" w:type="dxa"/>
              </w:tcPr>
              <w:p w14:paraId="3979DC22"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12FEC82A"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r w:rsidR="009D7AB1" w:rsidRPr="00A013E1" w14:paraId="5FB7DB08" w14:textId="77777777" w:rsidTr="00A1220C">
        <w:tc>
          <w:tcPr>
            <w:tcW w:w="2830" w:type="dxa"/>
          </w:tcPr>
          <w:p w14:paraId="00AC927F" w14:textId="77777777" w:rsidR="009D7AB1" w:rsidRPr="00A013E1" w:rsidRDefault="009D7AB1" w:rsidP="00A1220C">
            <w:pPr>
              <w:rPr>
                <w:rFonts w:ascii="Times New Roman" w:hAnsi="Times New Roman" w:cs="Times New Roman"/>
              </w:rPr>
            </w:pPr>
          </w:p>
        </w:tc>
        <w:tc>
          <w:tcPr>
            <w:tcW w:w="3136" w:type="dxa"/>
          </w:tcPr>
          <w:p w14:paraId="777CBEF1"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2064050647"/>
            <w14:checkbox>
              <w14:checked w14:val="0"/>
              <w14:checkedState w14:val="2612" w14:font="MS Gothic"/>
              <w14:uncheckedState w14:val="2610" w14:font="MS Gothic"/>
            </w14:checkbox>
          </w:sdtPr>
          <w:sdtEndPr/>
          <w:sdtContent>
            <w:tc>
              <w:tcPr>
                <w:tcW w:w="496" w:type="dxa"/>
              </w:tcPr>
              <w:p w14:paraId="07B61539"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6F58D97C"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1936970299"/>
            <w14:checkbox>
              <w14:checked w14:val="0"/>
              <w14:checkedState w14:val="2612" w14:font="MS Gothic"/>
              <w14:uncheckedState w14:val="2610" w14:font="MS Gothic"/>
            </w14:checkbox>
          </w:sdtPr>
          <w:sdtEndPr/>
          <w:sdtContent>
            <w:tc>
              <w:tcPr>
                <w:tcW w:w="561" w:type="dxa"/>
              </w:tcPr>
              <w:p w14:paraId="3E9C6993"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118B0C3D"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1639839781"/>
            <w14:checkbox>
              <w14:checked w14:val="0"/>
              <w14:checkedState w14:val="2612" w14:font="MS Gothic"/>
              <w14:uncheckedState w14:val="2610" w14:font="MS Gothic"/>
            </w14:checkbox>
          </w:sdtPr>
          <w:sdtEndPr/>
          <w:sdtContent>
            <w:tc>
              <w:tcPr>
                <w:tcW w:w="496" w:type="dxa"/>
              </w:tcPr>
              <w:p w14:paraId="1E613FDA"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13DB50CF"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r w:rsidR="009D7AB1" w:rsidRPr="00A013E1" w14:paraId="018BB9A1" w14:textId="77777777" w:rsidTr="00A1220C">
        <w:tc>
          <w:tcPr>
            <w:tcW w:w="2830" w:type="dxa"/>
          </w:tcPr>
          <w:p w14:paraId="2B5AA6D6" w14:textId="77777777" w:rsidR="009D7AB1" w:rsidRPr="00A013E1" w:rsidRDefault="009D7AB1" w:rsidP="00A1220C">
            <w:pPr>
              <w:rPr>
                <w:rFonts w:ascii="Times New Roman" w:hAnsi="Times New Roman" w:cs="Times New Roman"/>
              </w:rPr>
            </w:pPr>
          </w:p>
        </w:tc>
        <w:tc>
          <w:tcPr>
            <w:tcW w:w="3136" w:type="dxa"/>
          </w:tcPr>
          <w:p w14:paraId="4FBF2CEB"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477536866"/>
            <w14:checkbox>
              <w14:checked w14:val="0"/>
              <w14:checkedState w14:val="2612" w14:font="MS Gothic"/>
              <w14:uncheckedState w14:val="2610" w14:font="MS Gothic"/>
            </w14:checkbox>
          </w:sdtPr>
          <w:sdtEndPr/>
          <w:sdtContent>
            <w:tc>
              <w:tcPr>
                <w:tcW w:w="496" w:type="dxa"/>
              </w:tcPr>
              <w:p w14:paraId="742B10A7"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332ADC57"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48390096"/>
            <w14:checkbox>
              <w14:checked w14:val="0"/>
              <w14:checkedState w14:val="2612" w14:font="MS Gothic"/>
              <w14:uncheckedState w14:val="2610" w14:font="MS Gothic"/>
            </w14:checkbox>
          </w:sdtPr>
          <w:sdtEndPr/>
          <w:sdtContent>
            <w:tc>
              <w:tcPr>
                <w:tcW w:w="561" w:type="dxa"/>
              </w:tcPr>
              <w:p w14:paraId="0E53D13F"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408F16FB"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874299867"/>
            <w14:checkbox>
              <w14:checked w14:val="0"/>
              <w14:checkedState w14:val="2612" w14:font="MS Gothic"/>
              <w14:uncheckedState w14:val="2610" w14:font="MS Gothic"/>
            </w14:checkbox>
          </w:sdtPr>
          <w:sdtEndPr/>
          <w:sdtContent>
            <w:tc>
              <w:tcPr>
                <w:tcW w:w="496" w:type="dxa"/>
              </w:tcPr>
              <w:p w14:paraId="4C7184C2"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39FEDDB2"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r w:rsidR="009D7AB1" w:rsidRPr="00A013E1" w14:paraId="5F93DB79" w14:textId="77777777" w:rsidTr="00A1220C">
        <w:tc>
          <w:tcPr>
            <w:tcW w:w="2830" w:type="dxa"/>
          </w:tcPr>
          <w:p w14:paraId="685CFF4C" w14:textId="77777777" w:rsidR="009D7AB1" w:rsidRPr="00A013E1" w:rsidRDefault="009D7AB1" w:rsidP="00A1220C">
            <w:pPr>
              <w:rPr>
                <w:rFonts w:ascii="Times New Roman" w:hAnsi="Times New Roman" w:cs="Times New Roman"/>
              </w:rPr>
            </w:pPr>
          </w:p>
        </w:tc>
        <w:tc>
          <w:tcPr>
            <w:tcW w:w="3136" w:type="dxa"/>
          </w:tcPr>
          <w:p w14:paraId="52BAEE16"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854647971"/>
            <w14:checkbox>
              <w14:checked w14:val="0"/>
              <w14:checkedState w14:val="2612" w14:font="MS Gothic"/>
              <w14:uncheckedState w14:val="2610" w14:font="MS Gothic"/>
            </w14:checkbox>
          </w:sdtPr>
          <w:sdtEndPr/>
          <w:sdtContent>
            <w:tc>
              <w:tcPr>
                <w:tcW w:w="496" w:type="dxa"/>
              </w:tcPr>
              <w:p w14:paraId="684CA160"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5ED7C27B"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54292427"/>
            <w14:checkbox>
              <w14:checked w14:val="0"/>
              <w14:checkedState w14:val="2612" w14:font="MS Gothic"/>
              <w14:uncheckedState w14:val="2610" w14:font="MS Gothic"/>
            </w14:checkbox>
          </w:sdtPr>
          <w:sdtEndPr/>
          <w:sdtContent>
            <w:tc>
              <w:tcPr>
                <w:tcW w:w="561" w:type="dxa"/>
              </w:tcPr>
              <w:p w14:paraId="164CC406"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1A08DDC5"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607700034"/>
            <w14:checkbox>
              <w14:checked w14:val="0"/>
              <w14:checkedState w14:val="2612" w14:font="MS Gothic"/>
              <w14:uncheckedState w14:val="2610" w14:font="MS Gothic"/>
            </w14:checkbox>
          </w:sdtPr>
          <w:sdtEndPr/>
          <w:sdtContent>
            <w:tc>
              <w:tcPr>
                <w:tcW w:w="496" w:type="dxa"/>
              </w:tcPr>
              <w:p w14:paraId="61307BE5"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1C0DFC46"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r w:rsidR="009D7AB1" w:rsidRPr="00A013E1" w14:paraId="359E5B92" w14:textId="77777777" w:rsidTr="00A1220C">
        <w:tc>
          <w:tcPr>
            <w:tcW w:w="2830" w:type="dxa"/>
          </w:tcPr>
          <w:p w14:paraId="4657AD30" w14:textId="77777777" w:rsidR="009D7AB1" w:rsidRPr="00A013E1" w:rsidRDefault="009D7AB1" w:rsidP="00A1220C">
            <w:pPr>
              <w:rPr>
                <w:rFonts w:ascii="Times New Roman" w:hAnsi="Times New Roman" w:cs="Times New Roman"/>
              </w:rPr>
            </w:pPr>
          </w:p>
        </w:tc>
        <w:tc>
          <w:tcPr>
            <w:tcW w:w="3136" w:type="dxa"/>
          </w:tcPr>
          <w:p w14:paraId="2C9BEA6C"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845098741"/>
            <w14:checkbox>
              <w14:checked w14:val="0"/>
              <w14:checkedState w14:val="2612" w14:font="MS Gothic"/>
              <w14:uncheckedState w14:val="2610" w14:font="MS Gothic"/>
            </w14:checkbox>
          </w:sdtPr>
          <w:sdtEndPr/>
          <w:sdtContent>
            <w:tc>
              <w:tcPr>
                <w:tcW w:w="496" w:type="dxa"/>
              </w:tcPr>
              <w:p w14:paraId="747CFEDB"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7A4A1EA7"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34392480"/>
            <w14:checkbox>
              <w14:checked w14:val="0"/>
              <w14:checkedState w14:val="2612" w14:font="MS Gothic"/>
              <w14:uncheckedState w14:val="2610" w14:font="MS Gothic"/>
            </w14:checkbox>
          </w:sdtPr>
          <w:sdtEndPr/>
          <w:sdtContent>
            <w:tc>
              <w:tcPr>
                <w:tcW w:w="561" w:type="dxa"/>
              </w:tcPr>
              <w:p w14:paraId="0886D9B1"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385A19DE"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1760325828"/>
            <w14:checkbox>
              <w14:checked w14:val="0"/>
              <w14:checkedState w14:val="2612" w14:font="MS Gothic"/>
              <w14:uncheckedState w14:val="2610" w14:font="MS Gothic"/>
            </w14:checkbox>
          </w:sdtPr>
          <w:sdtEndPr/>
          <w:sdtContent>
            <w:tc>
              <w:tcPr>
                <w:tcW w:w="496" w:type="dxa"/>
              </w:tcPr>
              <w:p w14:paraId="739F26D2"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3BA149F0"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r w:rsidR="009D7AB1" w:rsidRPr="00A013E1" w14:paraId="71DF0350" w14:textId="77777777" w:rsidTr="00A1220C">
        <w:tc>
          <w:tcPr>
            <w:tcW w:w="2830" w:type="dxa"/>
          </w:tcPr>
          <w:p w14:paraId="172BD2A6" w14:textId="77777777" w:rsidR="009D7AB1" w:rsidRPr="00A013E1" w:rsidRDefault="009D7AB1" w:rsidP="00A1220C">
            <w:pPr>
              <w:rPr>
                <w:rFonts w:ascii="Times New Roman" w:hAnsi="Times New Roman" w:cs="Times New Roman"/>
              </w:rPr>
            </w:pPr>
          </w:p>
        </w:tc>
        <w:tc>
          <w:tcPr>
            <w:tcW w:w="3136" w:type="dxa"/>
          </w:tcPr>
          <w:p w14:paraId="073CDF48"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1560678304"/>
            <w14:checkbox>
              <w14:checked w14:val="0"/>
              <w14:checkedState w14:val="2612" w14:font="MS Gothic"/>
              <w14:uncheckedState w14:val="2610" w14:font="MS Gothic"/>
            </w14:checkbox>
          </w:sdtPr>
          <w:sdtEndPr/>
          <w:sdtContent>
            <w:tc>
              <w:tcPr>
                <w:tcW w:w="496" w:type="dxa"/>
              </w:tcPr>
              <w:p w14:paraId="454E90BE"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487" w:type="dxa"/>
          </w:tcPr>
          <w:p w14:paraId="72139CB7"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1165161638"/>
            <w14:checkbox>
              <w14:checked w14:val="0"/>
              <w14:checkedState w14:val="2612" w14:font="MS Gothic"/>
              <w14:uncheckedState w14:val="2610" w14:font="MS Gothic"/>
            </w14:checkbox>
          </w:sdtPr>
          <w:sdtEndPr/>
          <w:sdtContent>
            <w:tc>
              <w:tcPr>
                <w:tcW w:w="561" w:type="dxa"/>
              </w:tcPr>
              <w:p w14:paraId="7570148F"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15" w:type="dxa"/>
          </w:tcPr>
          <w:p w14:paraId="67D1AA5B"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sdt>
          <w:sdtPr>
            <w:rPr>
              <w:rFonts w:ascii="Times New Roman" w:hAnsi="Times New Roman" w:cs="Times New Roman"/>
            </w:rPr>
            <w:id w:val="-973057782"/>
            <w14:checkbox>
              <w14:checked w14:val="0"/>
              <w14:checkedState w14:val="2612" w14:font="MS Gothic"/>
              <w14:uncheckedState w14:val="2610" w14:font="MS Gothic"/>
            </w14:checkbox>
          </w:sdtPr>
          <w:sdtEndPr/>
          <w:sdtContent>
            <w:tc>
              <w:tcPr>
                <w:tcW w:w="496" w:type="dxa"/>
              </w:tcPr>
              <w:p w14:paraId="7181615D"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40" w:type="dxa"/>
          </w:tcPr>
          <w:p w14:paraId="0B8113BD"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н/п</w:t>
            </w:r>
          </w:p>
        </w:tc>
      </w:tr>
    </w:tbl>
    <w:p w14:paraId="138F031C" w14:textId="77777777" w:rsidR="009D7AB1" w:rsidRPr="00A013E1" w:rsidRDefault="009D7AB1" w:rsidP="009D7AB1">
      <w:pPr>
        <w:rPr>
          <w:rFonts w:ascii="Times New Roman" w:hAnsi="Times New Roman" w:cs="Times New Roman"/>
          <w:lang w:val="ru-RU"/>
        </w:rPr>
      </w:pPr>
      <w:r w:rsidRPr="00A013E1">
        <w:rPr>
          <w:rFonts w:ascii="Times New Roman" w:hAnsi="Times New Roman" w:cs="Times New Roman"/>
          <w:lang w:val="ru-RU"/>
        </w:rPr>
        <w:t>В. Резултати от измерване на произволна извадка</w:t>
      </w:r>
    </w:p>
    <w:p w14:paraId="70770423" w14:textId="77777777" w:rsidR="009D7AB1" w:rsidRPr="00A013E1" w:rsidRDefault="009D7AB1" w:rsidP="009D7AB1">
      <w:pPr>
        <w:rPr>
          <w:rFonts w:ascii="Times New Roman" w:hAnsi="Times New Roman" w:cs="Times New Roman"/>
          <w:sz w:val="20"/>
          <w:szCs w:val="20"/>
          <w:lang w:val="ru-RU"/>
        </w:rPr>
      </w:pPr>
      <w:r w:rsidRPr="00A013E1">
        <w:rPr>
          <w:rFonts w:ascii="Times New Roman" w:hAnsi="Times New Roman" w:cs="Times New Roman"/>
          <w:lang w:val="ru-RU"/>
        </w:rPr>
        <w:t xml:space="preserve"> </w:t>
      </w:r>
    </w:p>
    <w:tbl>
      <w:tblPr>
        <w:tblStyle w:val="TableGrid"/>
        <w:tblW w:w="9067" w:type="dxa"/>
        <w:tblLayout w:type="fixed"/>
        <w:tblLook w:val="04A0" w:firstRow="1" w:lastRow="0" w:firstColumn="1" w:lastColumn="0" w:noHBand="0" w:noVBand="1"/>
      </w:tblPr>
      <w:tblGrid>
        <w:gridCol w:w="2830"/>
        <w:gridCol w:w="4111"/>
        <w:gridCol w:w="567"/>
        <w:gridCol w:w="567"/>
        <w:gridCol w:w="425"/>
        <w:gridCol w:w="567"/>
      </w:tblGrid>
      <w:tr w:rsidR="009D7AB1" w:rsidRPr="00A013E1" w14:paraId="3C4050E7" w14:textId="77777777" w:rsidTr="00A1220C">
        <w:tc>
          <w:tcPr>
            <w:tcW w:w="2830" w:type="dxa"/>
          </w:tcPr>
          <w:p w14:paraId="20E6B10C" w14:textId="77777777" w:rsidR="009D7AB1" w:rsidRPr="00A013E1" w:rsidRDefault="009D7AB1" w:rsidP="00A1220C">
            <w:pPr>
              <w:jc w:val="center"/>
              <w:rPr>
                <w:rFonts w:ascii="Times New Roman" w:hAnsi="Times New Roman" w:cs="Times New Roman"/>
              </w:rPr>
            </w:pPr>
            <w:r w:rsidRPr="00A013E1">
              <w:rPr>
                <w:rFonts w:ascii="Times New Roman" w:hAnsi="Times New Roman" w:cs="Times New Roman"/>
              </w:rPr>
              <w:t>Параметри</w:t>
            </w:r>
          </w:p>
        </w:tc>
        <w:tc>
          <w:tcPr>
            <w:tcW w:w="4111" w:type="dxa"/>
          </w:tcPr>
          <w:p w14:paraId="4D22D66D" w14:textId="77777777" w:rsidR="009D7AB1" w:rsidRPr="00A013E1" w:rsidRDefault="009D7AB1" w:rsidP="00A1220C">
            <w:pPr>
              <w:jc w:val="center"/>
              <w:rPr>
                <w:rFonts w:ascii="Times New Roman" w:hAnsi="Times New Roman" w:cs="Times New Roman"/>
              </w:rPr>
            </w:pPr>
            <w:r w:rsidRPr="00A013E1">
              <w:rPr>
                <w:rFonts w:ascii="Times New Roman" w:hAnsi="Times New Roman" w:cs="Times New Roman"/>
              </w:rPr>
              <w:t>Получена стойност</w:t>
            </w:r>
          </w:p>
        </w:tc>
        <w:tc>
          <w:tcPr>
            <w:tcW w:w="2126" w:type="dxa"/>
            <w:gridSpan w:val="4"/>
          </w:tcPr>
          <w:p w14:paraId="4C88EEDC" w14:textId="77777777" w:rsidR="009D7AB1" w:rsidRPr="00A013E1" w:rsidRDefault="009D7AB1" w:rsidP="00A1220C">
            <w:pPr>
              <w:jc w:val="center"/>
              <w:rPr>
                <w:rFonts w:ascii="Times New Roman" w:hAnsi="Times New Roman" w:cs="Times New Roman"/>
              </w:rPr>
            </w:pPr>
            <w:r w:rsidRPr="00A013E1">
              <w:rPr>
                <w:rFonts w:ascii="Times New Roman" w:hAnsi="Times New Roman" w:cs="Times New Roman"/>
              </w:rPr>
              <w:t xml:space="preserve">Съответствие </w:t>
            </w:r>
            <w:r w:rsidRPr="00A013E1">
              <w:rPr>
                <w:rFonts w:ascii="Times New Roman" w:hAnsi="Times New Roman" w:cs="Times New Roman"/>
                <w:vertAlign w:val="superscript"/>
              </w:rPr>
              <w:t>(1)</w:t>
            </w:r>
          </w:p>
        </w:tc>
      </w:tr>
      <w:tr w:rsidR="009D7AB1" w:rsidRPr="00A013E1" w14:paraId="1C950E65" w14:textId="77777777" w:rsidTr="00A1220C">
        <w:tc>
          <w:tcPr>
            <w:tcW w:w="2830" w:type="dxa"/>
          </w:tcPr>
          <w:p w14:paraId="0A6C85BD" w14:textId="77777777" w:rsidR="009D7AB1" w:rsidRPr="00A013E1" w:rsidRDefault="009D7AB1" w:rsidP="00A1220C">
            <w:pPr>
              <w:rPr>
                <w:rFonts w:ascii="Times New Roman" w:hAnsi="Times New Roman" w:cs="Times New Roman"/>
              </w:rPr>
            </w:pPr>
          </w:p>
        </w:tc>
        <w:tc>
          <w:tcPr>
            <w:tcW w:w="4111" w:type="dxa"/>
          </w:tcPr>
          <w:p w14:paraId="005352A5"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1314060521"/>
            <w14:checkbox>
              <w14:checked w14:val="0"/>
              <w14:checkedState w14:val="2612" w14:font="MS Gothic"/>
              <w14:uncheckedState w14:val="2610" w14:font="MS Gothic"/>
            </w14:checkbox>
          </w:sdtPr>
          <w:sdtEndPr/>
          <w:sdtContent>
            <w:tc>
              <w:tcPr>
                <w:tcW w:w="567" w:type="dxa"/>
              </w:tcPr>
              <w:p w14:paraId="17963326"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67" w:type="dxa"/>
          </w:tcPr>
          <w:p w14:paraId="7834FCEA"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1940870257"/>
            <w14:checkbox>
              <w14:checked w14:val="0"/>
              <w14:checkedState w14:val="2612" w14:font="MS Gothic"/>
              <w14:uncheckedState w14:val="2610" w14:font="MS Gothic"/>
            </w14:checkbox>
          </w:sdtPr>
          <w:sdtEndPr/>
          <w:sdtContent>
            <w:tc>
              <w:tcPr>
                <w:tcW w:w="425" w:type="dxa"/>
              </w:tcPr>
              <w:p w14:paraId="23D7897D"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67" w:type="dxa"/>
          </w:tcPr>
          <w:p w14:paraId="1EC23C6E"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tr>
      <w:tr w:rsidR="009D7AB1" w:rsidRPr="00A013E1" w14:paraId="023E4324" w14:textId="77777777" w:rsidTr="00A1220C">
        <w:tc>
          <w:tcPr>
            <w:tcW w:w="2830" w:type="dxa"/>
          </w:tcPr>
          <w:p w14:paraId="1D5608A4" w14:textId="77777777" w:rsidR="009D7AB1" w:rsidRPr="00A013E1" w:rsidRDefault="009D7AB1" w:rsidP="00A1220C">
            <w:pPr>
              <w:rPr>
                <w:rFonts w:ascii="Times New Roman" w:hAnsi="Times New Roman" w:cs="Times New Roman"/>
              </w:rPr>
            </w:pPr>
          </w:p>
        </w:tc>
        <w:tc>
          <w:tcPr>
            <w:tcW w:w="4111" w:type="dxa"/>
          </w:tcPr>
          <w:p w14:paraId="08964E27"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1356107666"/>
            <w14:checkbox>
              <w14:checked w14:val="0"/>
              <w14:checkedState w14:val="2612" w14:font="MS Gothic"/>
              <w14:uncheckedState w14:val="2610" w14:font="MS Gothic"/>
            </w14:checkbox>
          </w:sdtPr>
          <w:sdtEndPr/>
          <w:sdtContent>
            <w:tc>
              <w:tcPr>
                <w:tcW w:w="567" w:type="dxa"/>
              </w:tcPr>
              <w:p w14:paraId="0940E817"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67" w:type="dxa"/>
          </w:tcPr>
          <w:p w14:paraId="1A147D7E"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1753267227"/>
            <w14:checkbox>
              <w14:checked w14:val="0"/>
              <w14:checkedState w14:val="2612" w14:font="MS Gothic"/>
              <w14:uncheckedState w14:val="2610" w14:font="MS Gothic"/>
            </w14:checkbox>
          </w:sdtPr>
          <w:sdtEndPr/>
          <w:sdtContent>
            <w:tc>
              <w:tcPr>
                <w:tcW w:w="425" w:type="dxa"/>
              </w:tcPr>
              <w:p w14:paraId="1F1F1B06"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67" w:type="dxa"/>
          </w:tcPr>
          <w:p w14:paraId="075C7D44"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tr>
      <w:tr w:rsidR="009D7AB1" w:rsidRPr="00A013E1" w14:paraId="608B76C3" w14:textId="77777777" w:rsidTr="00A1220C">
        <w:tc>
          <w:tcPr>
            <w:tcW w:w="2830" w:type="dxa"/>
          </w:tcPr>
          <w:p w14:paraId="29A280B7" w14:textId="77777777" w:rsidR="009D7AB1" w:rsidRPr="00A013E1" w:rsidRDefault="009D7AB1" w:rsidP="00A1220C">
            <w:pPr>
              <w:rPr>
                <w:rFonts w:ascii="Times New Roman" w:hAnsi="Times New Roman" w:cs="Times New Roman"/>
              </w:rPr>
            </w:pPr>
          </w:p>
        </w:tc>
        <w:tc>
          <w:tcPr>
            <w:tcW w:w="4111" w:type="dxa"/>
          </w:tcPr>
          <w:p w14:paraId="5A30AEA5" w14:textId="77777777" w:rsidR="009D7AB1" w:rsidRPr="00A013E1" w:rsidRDefault="009D7AB1" w:rsidP="00A1220C">
            <w:pPr>
              <w:rPr>
                <w:rFonts w:ascii="Times New Roman" w:hAnsi="Times New Roman" w:cs="Times New Roman"/>
              </w:rPr>
            </w:pPr>
          </w:p>
        </w:tc>
        <w:sdt>
          <w:sdtPr>
            <w:rPr>
              <w:rFonts w:ascii="Times New Roman" w:hAnsi="Times New Roman" w:cs="Times New Roman"/>
            </w:rPr>
            <w:id w:val="472411383"/>
            <w14:checkbox>
              <w14:checked w14:val="0"/>
              <w14:checkedState w14:val="2612" w14:font="MS Gothic"/>
              <w14:uncheckedState w14:val="2610" w14:font="MS Gothic"/>
            </w14:checkbox>
          </w:sdtPr>
          <w:sdtEndPr/>
          <w:sdtContent>
            <w:tc>
              <w:tcPr>
                <w:tcW w:w="567" w:type="dxa"/>
              </w:tcPr>
              <w:p w14:paraId="18A8C955"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67" w:type="dxa"/>
          </w:tcPr>
          <w:p w14:paraId="1E40901B"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Да</w:t>
            </w:r>
          </w:p>
        </w:tc>
        <w:sdt>
          <w:sdtPr>
            <w:rPr>
              <w:rFonts w:ascii="Times New Roman" w:hAnsi="Times New Roman" w:cs="Times New Roman"/>
            </w:rPr>
            <w:id w:val="-1419166884"/>
            <w14:checkbox>
              <w14:checked w14:val="0"/>
              <w14:checkedState w14:val="2612" w14:font="MS Gothic"/>
              <w14:uncheckedState w14:val="2610" w14:font="MS Gothic"/>
            </w14:checkbox>
          </w:sdtPr>
          <w:sdtEndPr/>
          <w:sdtContent>
            <w:tc>
              <w:tcPr>
                <w:tcW w:w="425" w:type="dxa"/>
              </w:tcPr>
              <w:p w14:paraId="2DE52790" w14:textId="77777777" w:rsidR="009D7AB1" w:rsidRPr="00A013E1" w:rsidRDefault="009D7AB1" w:rsidP="00A1220C">
                <w:pPr>
                  <w:rPr>
                    <w:rFonts w:ascii="Times New Roman" w:hAnsi="Times New Roman" w:cs="Times New Roman"/>
                  </w:rPr>
                </w:pPr>
                <w:r w:rsidRPr="00A013E1">
                  <w:rPr>
                    <w:rFonts w:ascii="Segoe UI Symbol" w:eastAsia="MS Gothic" w:hAnsi="Segoe UI Symbol" w:cs="Segoe UI Symbol"/>
                  </w:rPr>
                  <w:t>☐</w:t>
                </w:r>
              </w:p>
            </w:tc>
          </w:sdtContent>
        </w:sdt>
        <w:tc>
          <w:tcPr>
            <w:tcW w:w="567" w:type="dxa"/>
          </w:tcPr>
          <w:p w14:paraId="4B2B8B4A" w14:textId="77777777" w:rsidR="009D7AB1" w:rsidRPr="00A013E1" w:rsidRDefault="009D7AB1" w:rsidP="00A1220C">
            <w:pPr>
              <w:rPr>
                <w:rFonts w:ascii="Times New Roman" w:hAnsi="Times New Roman" w:cs="Times New Roman"/>
              </w:rPr>
            </w:pPr>
            <w:r w:rsidRPr="00A013E1">
              <w:rPr>
                <w:rFonts w:ascii="Times New Roman" w:hAnsi="Times New Roman" w:cs="Times New Roman"/>
              </w:rPr>
              <w:t>Не</w:t>
            </w:r>
          </w:p>
        </w:tc>
      </w:tr>
    </w:tbl>
    <w:p w14:paraId="615811B8" w14:textId="77777777" w:rsidR="009D7AB1" w:rsidRPr="00A013E1" w:rsidRDefault="009D7AB1" w:rsidP="009D7AB1">
      <w:pPr>
        <w:rPr>
          <w:rFonts w:ascii="Times New Roman" w:hAnsi="Times New Roman" w:cs="Times New Roman"/>
        </w:rPr>
      </w:pPr>
      <w:r w:rsidRPr="00A013E1">
        <w:rPr>
          <w:rFonts w:ascii="Times New Roman" w:hAnsi="Times New Roman" w:cs="Times New Roman"/>
          <w:noProof/>
          <w:lang w:eastAsia="bg-BG"/>
        </w:rPr>
        <mc:AlternateContent>
          <mc:Choice Requires="wps">
            <w:drawing>
              <wp:anchor distT="0" distB="0" distL="114300" distR="114300" simplePos="0" relativeHeight="251780096" behindDoc="0" locked="0" layoutInCell="1" allowOverlap="1" wp14:anchorId="4A93674B" wp14:editId="13EE7FEA">
                <wp:simplePos x="0" y="0"/>
                <wp:positionH relativeFrom="column">
                  <wp:posOffset>42545</wp:posOffset>
                </wp:positionH>
                <wp:positionV relativeFrom="paragraph">
                  <wp:posOffset>177165</wp:posOffset>
                </wp:positionV>
                <wp:extent cx="5686425" cy="0"/>
                <wp:effectExtent l="0" t="0" r="28575" b="19050"/>
                <wp:wrapNone/>
                <wp:docPr id="180" name="Straight Connector 180"/>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4F5756" id="Straight Connector 180"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3.95pt" to="451.1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" strokecolor="black [3040]"/>
            </w:pict>
          </mc:Fallback>
        </mc:AlternateContent>
      </w:r>
    </w:p>
    <w:p w14:paraId="0AACBBDB" w14:textId="77777777" w:rsidR="009D7AB1" w:rsidRPr="00A013E1" w:rsidRDefault="009D7AB1" w:rsidP="009D7AB1">
      <w:pPr>
        <w:tabs>
          <w:tab w:val="left" w:pos="3240"/>
        </w:tabs>
        <w:rPr>
          <w:rFonts w:ascii="Times New Roman" w:hAnsi="Times New Roman" w:cs="Times New Roman"/>
        </w:rPr>
      </w:pPr>
      <w:r w:rsidRPr="00A013E1">
        <w:rPr>
          <w:rFonts w:ascii="Times New Roman" w:hAnsi="Times New Roman" w:cs="Times New Roman"/>
        </w:rPr>
        <w:t>Г. Коментари: ………………………………………………………………………………….</w:t>
      </w:r>
    </w:p>
    <w:p w14:paraId="1FAF6547" w14:textId="77777777" w:rsidR="009D7AB1" w:rsidRPr="00A013E1" w:rsidRDefault="009D7AB1" w:rsidP="009D7AB1">
      <w:pPr>
        <w:tabs>
          <w:tab w:val="left" w:pos="3240"/>
        </w:tabs>
        <w:rPr>
          <w:rFonts w:ascii="Times New Roman" w:hAnsi="Times New Roman" w:cs="Times New Roman"/>
        </w:rPr>
      </w:pPr>
      <w:r w:rsidRPr="00A013E1">
        <w:rPr>
          <w:rFonts w:ascii="Times New Roman" w:hAnsi="Times New Roman" w:cs="Times New Roman"/>
        </w:rPr>
        <w:t xml:space="preserve">                         ………………………………………………………………………………….</w:t>
      </w:r>
    </w:p>
    <w:p w14:paraId="26CD086C" w14:textId="77777777" w:rsidR="009D7AB1" w:rsidRPr="00A013E1" w:rsidRDefault="009D7AB1" w:rsidP="009D7AB1">
      <w:pPr>
        <w:tabs>
          <w:tab w:val="left" w:pos="3240"/>
        </w:tabs>
        <w:rPr>
          <w:rFonts w:ascii="Times New Roman" w:hAnsi="Times New Roman" w:cs="Times New Roman"/>
        </w:rPr>
      </w:pPr>
      <w:r w:rsidRPr="00A013E1">
        <w:rPr>
          <w:rFonts w:ascii="Times New Roman" w:hAnsi="Times New Roman" w:cs="Times New Roman"/>
        </w:rPr>
        <w:t xml:space="preserve">                         ………………………………………………………………………………….</w:t>
      </w:r>
    </w:p>
    <w:p w14:paraId="22C8D07B" w14:textId="77777777" w:rsidR="009D7AB1" w:rsidRPr="00A013E1" w:rsidRDefault="009D7AB1" w:rsidP="009D7AB1">
      <w:pPr>
        <w:tabs>
          <w:tab w:val="left" w:pos="3240"/>
        </w:tabs>
        <w:rPr>
          <w:rFonts w:ascii="Times New Roman" w:hAnsi="Times New Roman" w:cs="Times New Roman"/>
        </w:rPr>
      </w:pPr>
      <w:r w:rsidRPr="00A013E1">
        <w:rPr>
          <w:rFonts w:ascii="Times New Roman" w:hAnsi="Times New Roman" w:cs="Times New Roman"/>
        </w:rPr>
        <w:t>Име на инспектора: ..………………………………………………………………………….</w:t>
      </w:r>
    </w:p>
    <w:p w14:paraId="0CF2CFD6" w14:textId="77777777" w:rsidR="009D7AB1" w:rsidRPr="00A013E1" w:rsidRDefault="009D7AB1" w:rsidP="009D7AB1">
      <w:pPr>
        <w:tabs>
          <w:tab w:val="left" w:pos="3240"/>
        </w:tabs>
        <w:rPr>
          <w:rFonts w:ascii="Times New Roman" w:hAnsi="Times New Roman" w:cs="Times New Roman"/>
        </w:rPr>
      </w:pPr>
      <w:r w:rsidRPr="00A013E1">
        <w:rPr>
          <w:rFonts w:ascii="Times New Roman" w:hAnsi="Times New Roman" w:cs="Times New Roman"/>
        </w:rPr>
        <w:t>Място и дата: .………………………………………………………………………………….</w:t>
      </w:r>
    </w:p>
    <w:p w14:paraId="5A1BED5A" w14:textId="77777777" w:rsidR="009D7AB1" w:rsidRPr="00A013E1" w:rsidRDefault="009D7AB1" w:rsidP="009D7AB1">
      <w:pPr>
        <w:tabs>
          <w:tab w:val="left" w:pos="3240"/>
        </w:tabs>
        <w:rPr>
          <w:rFonts w:ascii="Times New Roman" w:hAnsi="Times New Roman" w:cs="Times New Roman"/>
        </w:rPr>
      </w:pPr>
      <w:r w:rsidRPr="00A013E1">
        <w:rPr>
          <w:rFonts w:ascii="Times New Roman" w:hAnsi="Times New Roman" w:cs="Times New Roman"/>
        </w:rPr>
        <w:t>Печат/ подпис:  ..……………………………………………………………………………….</w:t>
      </w:r>
    </w:p>
    <w:p w14:paraId="7C6D80C4" w14:textId="77777777" w:rsidR="009D7AB1" w:rsidRPr="00A013E1" w:rsidRDefault="009D7AB1" w:rsidP="009D7AB1">
      <w:pPr>
        <w:tabs>
          <w:tab w:val="left" w:pos="3240"/>
        </w:tabs>
        <w:rPr>
          <w:rFonts w:ascii="Times New Roman" w:hAnsi="Times New Roman" w:cs="Times New Roman"/>
        </w:rPr>
      </w:pPr>
    </w:p>
    <w:p w14:paraId="0FF1CEB3" w14:textId="77777777" w:rsidR="009D7AB1" w:rsidRPr="00A013E1" w:rsidRDefault="009D7AB1" w:rsidP="009D7AB1">
      <w:pPr>
        <w:tabs>
          <w:tab w:val="left" w:pos="3240"/>
        </w:tabs>
        <w:rPr>
          <w:rFonts w:ascii="Times New Roman" w:hAnsi="Times New Roman" w:cs="Times New Roman"/>
        </w:rPr>
      </w:pPr>
      <w:r w:rsidRPr="00A013E1">
        <w:rPr>
          <w:rFonts w:ascii="Times New Roman" w:hAnsi="Times New Roman" w:cs="Times New Roman"/>
          <w:noProof/>
          <w:vertAlign w:val="superscript"/>
          <w:lang w:eastAsia="bg-BG"/>
        </w:rPr>
        <mc:AlternateContent>
          <mc:Choice Requires="wps">
            <w:drawing>
              <wp:anchor distT="0" distB="0" distL="114300" distR="114300" simplePos="0" relativeHeight="251781120" behindDoc="0" locked="0" layoutInCell="1" allowOverlap="1" wp14:anchorId="3FADFB6A" wp14:editId="1092EF52">
                <wp:simplePos x="0" y="0"/>
                <wp:positionH relativeFrom="column">
                  <wp:posOffset>0</wp:posOffset>
                </wp:positionH>
                <wp:positionV relativeFrom="paragraph">
                  <wp:posOffset>0</wp:posOffset>
                </wp:positionV>
                <wp:extent cx="5686425" cy="0"/>
                <wp:effectExtent l="0" t="0" r="28575" b="19050"/>
                <wp:wrapNone/>
                <wp:docPr id="181" name="Straight Connector 181"/>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7266E2" id="Straight Connector 181"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4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" strokecolor="black [3040]"/>
            </w:pict>
          </mc:Fallback>
        </mc:AlternateContent>
      </w:r>
      <w:r w:rsidRPr="00A013E1">
        <w:rPr>
          <w:rFonts w:ascii="Times New Roman" w:hAnsi="Times New Roman" w:cs="Times New Roman"/>
          <w:vertAlign w:val="superscript"/>
        </w:rPr>
        <w:t>(1)</w:t>
      </w:r>
      <w:r w:rsidRPr="00A013E1">
        <w:rPr>
          <w:rFonts w:ascii="Times New Roman" w:hAnsi="Times New Roman" w:cs="Times New Roman"/>
        </w:rPr>
        <w:t xml:space="preserve"> Уточнение според случая</w:t>
      </w:r>
    </w:p>
    <w:bookmarkEnd w:id="652"/>
    <w:bookmarkEnd w:id="653"/>
    <w:p w14:paraId="04E621A6" w14:textId="77777777" w:rsidR="00271FA2" w:rsidRPr="00A013E1" w:rsidRDefault="00271FA2" w:rsidP="008B6355">
      <w:pPr>
        <w:tabs>
          <w:tab w:val="left" w:pos="1021"/>
          <w:tab w:val="center" w:pos="8080"/>
        </w:tabs>
        <w:suppressAutoHyphens/>
        <w:spacing w:line="240" w:lineRule="atLeast"/>
        <w:ind w:left="-567"/>
        <w:rPr>
          <w:rFonts w:ascii="Times New Roman" w:hAnsi="Times New Roman" w:cs="Times New Roman"/>
        </w:rPr>
        <w:sectPr w:rsidR="00271FA2" w:rsidRPr="00A013E1" w:rsidSect="00A013E1">
          <w:headerReference w:type="default" r:id="rId168"/>
          <w:footerReference w:type="default" r:id="rId169"/>
          <w:headerReference w:type="first" r:id="rId170"/>
          <w:footerReference w:type="first" r:id="rId171"/>
          <w:footnotePr>
            <w:numRestart w:val="eachPage"/>
          </w:footnotePr>
          <w:pgSz w:w="11907" w:h="16840"/>
          <w:pgMar w:top="1134" w:right="1134" w:bottom="1134" w:left="1134" w:header="709" w:footer="709" w:gutter="0"/>
          <w:cols w:space="720"/>
          <w:docGrid w:linePitch="299"/>
        </w:sectPr>
      </w:pPr>
    </w:p>
    <w:p w14:paraId="0BA58CAA" w14:textId="77777777" w:rsidR="00271FA2" w:rsidRPr="00A013E1" w:rsidRDefault="00D35E51" w:rsidP="005477B0">
      <w:pPr>
        <w:pStyle w:val="ES-Titre3"/>
        <w:spacing w:after="0" w:line="240" w:lineRule="atLeast"/>
        <w:rPr>
          <w:rFonts w:ascii="Times New Roman" w:hAnsi="Times New Roman" w:cs="Times New Roman"/>
          <w:sz w:val="24"/>
          <w:szCs w:val="24"/>
        </w:rPr>
      </w:pPr>
      <w:bookmarkStart w:id="654" w:name="_Toc491854340"/>
      <w:bookmarkStart w:id="655" w:name="_Toc535827781"/>
      <w:r w:rsidRPr="00A013E1">
        <w:rPr>
          <w:rFonts w:ascii="Times New Roman" w:hAnsi="Times New Roman" w:cs="Times New Roman"/>
          <w:sz w:val="24"/>
          <w:szCs w:val="24"/>
        </w:rPr>
        <w:lastRenderedPageBreak/>
        <w:t>Раздел IX</w:t>
      </w:r>
      <w:bookmarkEnd w:id="654"/>
      <w:bookmarkEnd w:id="655"/>
    </w:p>
    <w:p w14:paraId="69120170" w14:textId="77777777" w:rsidR="00271FA2" w:rsidRPr="00A013E1" w:rsidRDefault="00D35E51" w:rsidP="005477B0">
      <w:pPr>
        <w:pStyle w:val="ES-Titre3a"/>
        <w:spacing w:line="240" w:lineRule="atLeast"/>
        <w:rPr>
          <w:rFonts w:ascii="Times New Roman" w:hAnsi="Times New Roman" w:cs="Times New Roman"/>
          <w:sz w:val="24"/>
          <w:szCs w:val="24"/>
        </w:rPr>
      </w:pPr>
      <w:bookmarkStart w:id="656" w:name="_Toc535827782"/>
      <w:bookmarkStart w:id="657" w:name="_Toc491854341"/>
      <w:r w:rsidRPr="00A013E1">
        <w:rPr>
          <w:rFonts w:ascii="Times New Roman" w:hAnsi="Times New Roman" w:cs="Times New Roman"/>
          <w:sz w:val="24"/>
          <w:szCs w:val="24"/>
        </w:rPr>
        <w:t>Процедура на изпитване</w:t>
      </w:r>
      <w:bookmarkEnd w:id="656"/>
      <w:bookmarkEnd w:id="657"/>
    </w:p>
    <w:p w14:paraId="72CE21EA" w14:textId="77777777" w:rsidR="00271FA2" w:rsidRPr="00A013E1" w:rsidRDefault="00D35E51" w:rsidP="005477B0">
      <w:pPr>
        <w:tabs>
          <w:tab w:val="left" w:pos="567"/>
        </w:tabs>
        <w:spacing w:line="240" w:lineRule="atLeast"/>
        <w:ind w:left="567" w:hanging="567"/>
        <w:rPr>
          <w:rFonts w:ascii="Times New Roman" w:hAnsi="Times New Roman" w:cs="Times New Roman"/>
          <w:b/>
          <w:color w:val="000000"/>
        </w:rPr>
      </w:pPr>
      <w:r w:rsidRPr="00A013E1">
        <w:rPr>
          <w:rFonts w:ascii="Times New Roman" w:hAnsi="Times New Roman" w:cs="Times New Roman"/>
          <w:b/>
          <w:color w:val="000000"/>
        </w:rPr>
        <w:t>1.</w:t>
      </w:r>
      <w:r w:rsidRPr="00A013E1">
        <w:rPr>
          <w:rFonts w:ascii="Times New Roman" w:hAnsi="Times New Roman" w:cs="Times New Roman"/>
        </w:rPr>
        <w:tab/>
      </w:r>
      <w:r w:rsidRPr="00A013E1">
        <w:rPr>
          <w:rFonts w:ascii="Times New Roman" w:hAnsi="Times New Roman" w:cs="Times New Roman"/>
          <w:b/>
          <w:color w:val="000000"/>
        </w:rPr>
        <w:t>Общи положения</w:t>
      </w:r>
    </w:p>
    <w:p w14:paraId="68F8145A" w14:textId="77777777" w:rsidR="00271FA2" w:rsidRPr="00A013E1" w:rsidRDefault="00D35E51" w:rsidP="005477B0">
      <w:pPr>
        <w:tabs>
          <w:tab w:val="left" w:pos="567"/>
        </w:tabs>
        <w:spacing w:line="240" w:lineRule="atLeast"/>
        <w:ind w:left="567" w:hanging="567"/>
        <w:rPr>
          <w:rFonts w:ascii="Times New Roman" w:hAnsi="Times New Roman" w:cs="Times New Roman"/>
          <w:color w:val="000000"/>
        </w:rPr>
      </w:pPr>
      <w:r w:rsidRPr="00A013E1">
        <w:rPr>
          <w:rFonts w:ascii="Times New Roman" w:hAnsi="Times New Roman" w:cs="Times New Roman"/>
          <w:color w:val="000000"/>
        </w:rPr>
        <w:t>1.1</w:t>
      </w:r>
      <w:r w:rsidRPr="00A013E1">
        <w:rPr>
          <w:rFonts w:ascii="Times New Roman" w:hAnsi="Times New Roman" w:cs="Times New Roman"/>
        </w:rPr>
        <w:tab/>
      </w:r>
      <w:r w:rsidRPr="00A013E1">
        <w:rPr>
          <w:rFonts w:ascii="Times New Roman" w:hAnsi="Times New Roman" w:cs="Times New Roman"/>
          <w:color w:val="000000"/>
        </w:rPr>
        <w:t>Основни положения</w:t>
      </w:r>
    </w:p>
    <w:p w14:paraId="1031B4C3" w14:textId="325A8BF7" w:rsidR="00271FA2" w:rsidRPr="00A013E1" w:rsidRDefault="005477B0" w:rsidP="005477B0">
      <w:pPr>
        <w:tabs>
          <w:tab w:val="left" w:pos="567"/>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 xml:space="preserve">За проверка на годността на бордовите станции за пречистване на отпадъчни води на пътническите плавателни съдове се използва спецификацията за изпитването. </w:t>
      </w:r>
    </w:p>
    <w:p w14:paraId="5DF05E2D" w14:textId="216BC1CA" w:rsidR="00271FA2" w:rsidRPr="00A013E1" w:rsidRDefault="005477B0" w:rsidP="005477B0">
      <w:pPr>
        <w:tabs>
          <w:tab w:val="left" w:pos="567"/>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В тази процедура използваната технология за обработка и пречистване се проверява и одобрява чрез изпитвателна пречиствателна станция. Съответствието на изпитвателната пречиствателна станция с изградените по-късно и пуснати в експлоатация пречиствателни станции се осигурява чрез прилагане на същите критерии за проектиране и оразмеряване.</w:t>
      </w:r>
    </w:p>
    <w:p w14:paraId="6959CD2C" w14:textId="77777777" w:rsidR="00271FA2" w:rsidRPr="00A013E1" w:rsidRDefault="00D35E51" w:rsidP="005477B0">
      <w:pPr>
        <w:tabs>
          <w:tab w:val="left" w:pos="567"/>
        </w:tabs>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1.2.</w:t>
      </w:r>
      <w:r w:rsidRPr="00A013E1">
        <w:rPr>
          <w:rFonts w:ascii="Times New Roman" w:hAnsi="Times New Roman" w:cs="Times New Roman"/>
          <w:lang w:val="ru-RU"/>
        </w:rPr>
        <w:tab/>
      </w:r>
      <w:r w:rsidRPr="00A013E1">
        <w:rPr>
          <w:rFonts w:ascii="Times New Roman" w:hAnsi="Times New Roman" w:cs="Times New Roman"/>
          <w:color w:val="000000"/>
          <w:lang w:val="ru-RU"/>
        </w:rPr>
        <w:t>Отговорност и място на изпитването</w:t>
      </w:r>
    </w:p>
    <w:p w14:paraId="3520EF3F" w14:textId="34CB0F3D" w:rsidR="00271FA2" w:rsidRPr="00A013E1" w:rsidRDefault="005477B0" w:rsidP="005477B0">
      <w:pPr>
        <w:tabs>
          <w:tab w:val="left" w:pos="567"/>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 xml:space="preserve">Изпитвателната станция за множество типове бордови станции за пречистване на отпадъчни води се изпитва от техническа служба. За условията на изпитване на изпитвателната площадка е отговорна техническата служба и те трябва да отговарят на специфицираните тук условия. </w:t>
      </w:r>
    </w:p>
    <w:p w14:paraId="4B870AB2" w14:textId="77777777" w:rsidR="00271FA2" w:rsidRPr="00A013E1" w:rsidRDefault="00D35E51" w:rsidP="005477B0">
      <w:pPr>
        <w:tabs>
          <w:tab w:val="left" w:pos="567"/>
        </w:tabs>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1.3</w:t>
      </w:r>
      <w:r w:rsidRPr="00A013E1">
        <w:rPr>
          <w:rFonts w:ascii="Times New Roman" w:hAnsi="Times New Roman" w:cs="Times New Roman"/>
          <w:lang w:val="ru-RU"/>
        </w:rPr>
        <w:tab/>
      </w:r>
      <w:r w:rsidRPr="00A013E1">
        <w:rPr>
          <w:rFonts w:ascii="Times New Roman" w:hAnsi="Times New Roman" w:cs="Times New Roman"/>
          <w:color w:val="000000"/>
          <w:lang w:val="ru-RU"/>
        </w:rPr>
        <w:t>Документи, които трябва да бъдат представени</w:t>
      </w:r>
    </w:p>
    <w:p w14:paraId="16B21B18" w14:textId="539505A4" w:rsidR="00271FA2" w:rsidRPr="00A013E1" w:rsidRDefault="005477B0" w:rsidP="005477B0">
      <w:pPr>
        <w:tabs>
          <w:tab w:val="left" w:pos="567"/>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Изпитването се провежда въз основа на информационния документ в съответствие с Приложение</w:t>
      </w:r>
      <w:r w:rsidR="00D35E51" w:rsidRPr="00A013E1">
        <w:rPr>
          <w:rFonts w:ascii="Times New Roman" w:hAnsi="Times New Roman" w:cs="Times New Roman"/>
        </w:rPr>
        <w:t> </w:t>
      </w:r>
      <w:r w:rsidR="00D35E51" w:rsidRPr="00A013E1">
        <w:rPr>
          <w:rFonts w:ascii="Times New Roman" w:hAnsi="Times New Roman" w:cs="Times New Roman"/>
          <w:lang w:val="ru-RU"/>
        </w:rPr>
        <w:t>7, раздел</w:t>
      </w:r>
      <w:r w:rsidR="00D35E51" w:rsidRPr="00A013E1">
        <w:rPr>
          <w:rFonts w:ascii="Times New Roman" w:hAnsi="Times New Roman" w:cs="Times New Roman"/>
        </w:rPr>
        <w:t> II</w:t>
      </w:r>
      <w:r w:rsidR="00D35E51" w:rsidRPr="00A013E1">
        <w:rPr>
          <w:rFonts w:ascii="Times New Roman" w:hAnsi="Times New Roman" w:cs="Times New Roman"/>
          <w:lang w:val="ru-RU"/>
        </w:rPr>
        <w:t xml:space="preserve">. </w:t>
      </w:r>
    </w:p>
    <w:p w14:paraId="49C625AF" w14:textId="77777777" w:rsidR="00271FA2" w:rsidRPr="00A013E1" w:rsidRDefault="00D35E51" w:rsidP="005477B0">
      <w:pPr>
        <w:tabs>
          <w:tab w:val="left" w:pos="567"/>
        </w:tabs>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1.4</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Спецификации за оразмеряване на пречиствателна станция </w:t>
      </w:r>
    </w:p>
    <w:p w14:paraId="51A08CBB" w14:textId="5C22C263" w:rsidR="00271FA2" w:rsidRPr="00A013E1" w:rsidRDefault="005477B0" w:rsidP="005477B0">
      <w:pPr>
        <w:tabs>
          <w:tab w:val="left" w:pos="567"/>
        </w:tabs>
        <w:spacing w:after="240"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Бордовите станции за пречистване на отпадъчни води се оразмеряват и проектират, така че пределните стойности в техния изходящ поток, специфицирани в таблици 1 и 2 от член 18.01, точка 2, да не бъдат надвишавани в хода на експлоатацията.</w:t>
      </w:r>
    </w:p>
    <w:p w14:paraId="1743B9D4" w14:textId="77777777" w:rsidR="00271FA2" w:rsidRPr="00A013E1" w:rsidRDefault="00D35E51" w:rsidP="005477B0">
      <w:pPr>
        <w:tabs>
          <w:tab w:val="left" w:pos="567"/>
        </w:tabs>
        <w:spacing w:line="240" w:lineRule="atLeast"/>
        <w:ind w:left="567" w:hanging="567"/>
        <w:rPr>
          <w:rFonts w:ascii="Times New Roman" w:hAnsi="Times New Roman" w:cs="Times New Roman"/>
          <w:b/>
          <w:color w:val="000000"/>
          <w:lang w:val="ru-RU"/>
        </w:rPr>
      </w:pPr>
      <w:r w:rsidRPr="00A013E1">
        <w:rPr>
          <w:rFonts w:ascii="Times New Roman" w:hAnsi="Times New Roman" w:cs="Times New Roman"/>
          <w:b/>
          <w:color w:val="000000"/>
          <w:lang w:val="ru-RU"/>
        </w:rPr>
        <w:t>2.</w:t>
      </w:r>
      <w:r w:rsidRPr="00A013E1">
        <w:rPr>
          <w:rFonts w:ascii="Times New Roman" w:hAnsi="Times New Roman" w:cs="Times New Roman"/>
          <w:lang w:val="ru-RU"/>
        </w:rPr>
        <w:tab/>
      </w:r>
      <w:r w:rsidRPr="00A013E1">
        <w:rPr>
          <w:rFonts w:ascii="Times New Roman" w:hAnsi="Times New Roman" w:cs="Times New Roman"/>
          <w:b/>
          <w:color w:val="000000"/>
          <w:lang w:val="ru-RU"/>
        </w:rPr>
        <w:t xml:space="preserve">Подготвителни мерки преди изпитване </w:t>
      </w:r>
    </w:p>
    <w:p w14:paraId="1C3CAFF7" w14:textId="77777777" w:rsidR="00271FA2" w:rsidRPr="00A013E1" w:rsidRDefault="00D35E51" w:rsidP="005477B0">
      <w:pPr>
        <w:tabs>
          <w:tab w:val="left" w:pos="567"/>
        </w:tabs>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2.1</w:t>
      </w:r>
      <w:r w:rsidRPr="00A013E1">
        <w:rPr>
          <w:rFonts w:ascii="Times New Roman" w:hAnsi="Times New Roman" w:cs="Times New Roman"/>
          <w:lang w:val="ru-RU"/>
        </w:rPr>
        <w:tab/>
      </w:r>
      <w:r w:rsidRPr="00A013E1">
        <w:rPr>
          <w:rFonts w:ascii="Times New Roman" w:hAnsi="Times New Roman" w:cs="Times New Roman"/>
          <w:color w:val="000000"/>
          <w:lang w:val="ru-RU"/>
        </w:rPr>
        <w:t>Общи положения</w:t>
      </w:r>
    </w:p>
    <w:p w14:paraId="5F37682D" w14:textId="3951B299" w:rsidR="00271FA2" w:rsidRPr="00A013E1" w:rsidRDefault="005477B0" w:rsidP="005477B0">
      <w:pPr>
        <w:tabs>
          <w:tab w:val="left" w:pos="567"/>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Преди началото на изпитването производителят предоставя на техническата служба конструктивни и технологични спецификации за изпитвателната пречиствателна станция, които включват пълен набор чертежи и съответни изчисления в съответствие с Приложение 7, раздел</w:t>
      </w:r>
      <w:r w:rsidR="00D35E51" w:rsidRPr="00A013E1">
        <w:rPr>
          <w:rFonts w:ascii="Times New Roman" w:hAnsi="Times New Roman" w:cs="Times New Roman"/>
        </w:rPr>
        <w:t> II</w:t>
      </w:r>
      <w:r w:rsidR="00D35E51" w:rsidRPr="00A013E1">
        <w:rPr>
          <w:rFonts w:ascii="Times New Roman" w:hAnsi="Times New Roman" w:cs="Times New Roman"/>
          <w:lang w:val="ru-RU"/>
        </w:rPr>
        <w:t>, и предоставя пълна информация относно изискванията, свързани с инсталирането, експлоатацията и поддръжката на бордовата станция за пречистване на отпадъчни води. Производителят предоставя на техническата служба информация за механичната, електрическата и техническата безопасност на бордовата станция за пречистване на отпадъчни води, която ще се изпитва.</w:t>
      </w:r>
    </w:p>
    <w:p w14:paraId="6BA47131" w14:textId="77777777" w:rsidR="00271FA2" w:rsidRPr="00A013E1" w:rsidRDefault="00D35E51" w:rsidP="005477B0">
      <w:pPr>
        <w:tabs>
          <w:tab w:val="left" w:pos="567"/>
        </w:tabs>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2.2</w:t>
      </w:r>
      <w:r w:rsidRPr="00A013E1">
        <w:rPr>
          <w:rFonts w:ascii="Times New Roman" w:hAnsi="Times New Roman" w:cs="Times New Roman"/>
          <w:lang w:val="ru-RU"/>
        </w:rPr>
        <w:tab/>
      </w:r>
      <w:r w:rsidRPr="00A013E1">
        <w:rPr>
          <w:rFonts w:ascii="Times New Roman" w:hAnsi="Times New Roman" w:cs="Times New Roman"/>
          <w:color w:val="000000"/>
          <w:lang w:val="ru-RU"/>
        </w:rPr>
        <w:t>Инсталиране и въвеждане в експлоатация</w:t>
      </w:r>
    </w:p>
    <w:p w14:paraId="1E9765C1" w14:textId="274417A5" w:rsidR="00271FA2" w:rsidRPr="00A013E1" w:rsidRDefault="005477B0" w:rsidP="005477B0">
      <w:pPr>
        <w:tabs>
          <w:tab w:val="left" w:pos="567"/>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 xml:space="preserve">За целта на изпитването производителят инсталира изпитвателната пречиствателна станция по такъв начин, че да отговаря на предвидените условия за инсталиране на борда на пътнически плавателни съдове. Преди изпитването производителят трябва да сглоби бордовата станция за пречистване на отпадъчни води и да я пусне в експлоатация. Началното пускане трябва да бъде в съответствие с ръководството за работа от производителя и се проверява от техническата служба. </w:t>
      </w:r>
    </w:p>
    <w:p w14:paraId="312767D1" w14:textId="77777777" w:rsidR="00271FA2" w:rsidRPr="00A013E1" w:rsidRDefault="00D35E51" w:rsidP="005477B0">
      <w:pPr>
        <w:tabs>
          <w:tab w:val="left" w:pos="567"/>
        </w:tabs>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2.3</w:t>
      </w:r>
      <w:r w:rsidRPr="00A013E1">
        <w:rPr>
          <w:rFonts w:ascii="Times New Roman" w:hAnsi="Times New Roman" w:cs="Times New Roman"/>
          <w:lang w:val="ru-RU"/>
        </w:rPr>
        <w:tab/>
      </w:r>
      <w:r w:rsidRPr="00A013E1">
        <w:rPr>
          <w:rFonts w:ascii="Times New Roman" w:hAnsi="Times New Roman" w:cs="Times New Roman"/>
          <w:color w:val="000000"/>
          <w:lang w:val="ru-RU"/>
        </w:rPr>
        <w:t>Етап на разработване</w:t>
      </w:r>
    </w:p>
    <w:p w14:paraId="4FC69A70" w14:textId="59E370E0" w:rsidR="00271FA2" w:rsidRPr="00A013E1" w:rsidRDefault="005477B0" w:rsidP="005477B0">
      <w:pPr>
        <w:tabs>
          <w:tab w:val="left" w:pos="567"/>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tab/>
      </w:r>
      <w:r w:rsidR="00D35E51" w:rsidRPr="00A013E1">
        <w:rPr>
          <w:rFonts w:ascii="Times New Roman" w:hAnsi="Times New Roman" w:cs="Times New Roman"/>
          <w:lang w:val="ru-RU"/>
        </w:rPr>
        <w:t>Производителят уведомява техническата служба за номиналната продължителност в седмици на етапа на разработване до достигане на нормална работа. Производителят указва точката, в която се счита, че етапът на разработване е завършен и може да започне изпитването.</w:t>
      </w:r>
    </w:p>
    <w:p w14:paraId="111F888B" w14:textId="77777777" w:rsidR="00271FA2" w:rsidRPr="00A013E1" w:rsidRDefault="00D35E51" w:rsidP="005477B0">
      <w:pPr>
        <w:tabs>
          <w:tab w:val="left" w:pos="567"/>
        </w:tabs>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2.4</w:t>
      </w:r>
      <w:r w:rsidRPr="00A013E1">
        <w:rPr>
          <w:rFonts w:ascii="Times New Roman" w:hAnsi="Times New Roman" w:cs="Times New Roman"/>
          <w:lang w:val="ru-RU"/>
        </w:rPr>
        <w:tab/>
      </w:r>
      <w:r w:rsidRPr="00A013E1">
        <w:rPr>
          <w:rFonts w:ascii="Times New Roman" w:hAnsi="Times New Roman" w:cs="Times New Roman"/>
          <w:color w:val="000000"/>
          <w:lang w:val="ru-RU"/>
        </w:rPr>
        <w:t>Характеристики на входящия поток</w:t>
      </w:r>
    </w:p>
    <w:p w14:paraId="01C5E569" w14:textId="67ECEDF4" w:rsidR="00271FA2" w:rsidRPr="00A013E1" w:rsidRDefault="005477B0" w:rsidP="005477B0">
      <w:pPr>
        <w:tabs>
          <w:tab w:val="left" w:pos="567"/>
        </w:tabs>
        <w:spacing w:line="240" w:lineRule="atLeast"/>
        <w:ind w:left="567" w:hanging="567"/>
        <w:jc w:val="both"/>
        <w:rPr>
          <w:rFonts w:ascii="Times New Roman" w:hAnsi="Times New Roman" w:cs="Times New Roman"/>
          <w:lang w:val="ru-RU"/>
        </w:rPr>
      </w:pPr>
      <w:r w:rsidRPr="00A013E1">
        <w:rPr>
          <w:rFonts w:ascii="Times New Roman" w:hAnsi="Times New Roman" w:cs="Times New Roman"/>
          <w:lang w:val="ru-RU"/>
        </w:rPr>
        <w:lastRenderedPageBreak/>
        <w:tab/>
      </w:r>
      <w:r w:rsidR="00D35E51" w:rsidRPr="00A013E1">
        <w:rPr>
          <w:rFonts w:ascii="Times New Roman" w:hAnsi="Times New Roman" w:cs="Times New Roman"/>
          <w:lang w:val="ru-RU"/>
        </w:rPr>
        <w:t xml:space="preserve">За изпитването на изпитвателната пречиствателна станция се използват непречистени битови отпадъчни води. Характеристиките на входящия поток по отношение на концентрациите на замърсители се получават от предоставената от производителя документация за оразмеряване на бордова станция за пречистване на отпадъчни води в съответствие с Приложение 7, раздел </w:t>
      </w:r>
      <w:r w:rsidR="00D35E51" w:rsidRPr="00A013E1">
        <w:rPr>
          <w:rFonts w:ascii="Times New Roman" w:hAnsi="Times New Roman" w:cs="Times New Roman"/>
        </w:rPr>
        <w:t>II</w:t>
      </w:r>
      <w:r w:rsidR="00D35E51" w:rsidRPr="00A013E1">
        <w:rPr>
          <w:rFonts w:ascii="Times New Roman" w:hAnsi="Times New Roman" w:cs="Times New Roman"/>
          <w:lang w:val="ru-RU"/>
        </w:rPr>
        <w:t xml:space="preserve">, като се образува частното на дебита на органичните вещества във вид на замърсяване по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00D35E51" w:rsidRPr="00A013E1">
        <w:rPr>
          <w:rFonts w:ascii="Times New Roman" w:hAnsi="Times New Roman" w:cs="Times New Roman"/>
          <w:lang w:val="ru-RU"/>
        </w:rPr>
        <w:t xml:space="preserve"> в </w:t>
      </w:r>
      <w:r w:rsidR="00D35E51" w:rsidRPr="00A013E1">
        <w:rPr>
          <w:rFonts w:ascii="Times New Roman" w:hAnsi="Times New Roman" w:cs="Times New Roman"/>
        </w:rPr>
        <w:t>kg</w:t>
      </w:r>
      <w:r w:rsidR="00D35E51" w:rsidRPr="00A013E1">
        <w:rPr>
          <w:rFonts w:ascii="Times New Roman" w:hAnsi="Times New Roman" w:cs="Times New Roman"/>
          <w:lang w:val="ru-RU"/>
        </w:rPr>
        <w:t xml:space="preserve">/ден и проектният дебит на отпадъчните води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oMath>
      <w:r w:rsidR="00D35E51" w:rsidRPr="00A013E1">
        <w:rPr>
          <w:rFonts w:ascii="Times New Roman" w:hAnsi="Times New Roman" w:cs="Times New Roman"/>
          <w:lang w:val="ru-RU"/>
        </w:rPr>
        <w:t xml:space="preserve"> в </w:t>
      </w:r>
      <w:r w:rsidR="00D35E51" w:rsidRPr="00A013E1">
        <w:rPr>
          <w:rFonts w:ascii="Times New Roman" w:hAnsi="Times New Roman" w:cs="Times New Roman"/>
        </w:rPr>
        <w:t>m</w:t>
      </w:r>
      <w:r w:rsidR="00D35E51" w:rsidRPr="00A013E1">
        <w:rPr>
          <w:rFonts w:ascii="Times New Roman" w:hAnsi="Times New Roman" w:cs="Times New Roman"/>
          <w:lang w:val="ru-RU"/>
        </w:rPr>
        <w:t>³/ден. Характеристиките на входящия поток трябва да бъдат съответно зададени от контролния орган.</w:t>
      </w:r>
    </w:p>
    <w:p w14:paraId="1FFEA75E" w14:textId="77777777" w:rsidR="00271FA2" w:rsidRPr="00A013E1" w:rsidRDefault="00D35E51" w:rsidP="005477B0">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Формула 1 — Изчисляване на характеристиките на входящия поток</w:t>
      </w:r>
    </w:p>
    <w:p w14:paraId="076779CD" w14:textId="77777777" w:rsidR="00271FA2" w:rsidRPr="00A013E1" w:rsidRDefault="002C62EC">
      <w:pPr>
        <w:spacing w:line="240" w:lineRule="atLeast"/>
        <w:ind w:left="426"/>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BOD5,mean</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rPr>
                    <m:t>5</m:t>
                  </m:r>
                </m:sub>
              </m:sSub>
            </m:num>
            <m:den>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d</m:t>
                  </m:r>
                </m:sub>
              </m:sSub>
            </m:den>
          </m:f>
          <m:r>
            <w:rPr>
              <w:rFonts w:ascii="Cambria Math" w:hAnsi="Cambria Math" w:cs="Times New Roman"/>
            </w:rPr>
            <m:t xml:space="preserve"> </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kg/d</m:t>
                  </m:r>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3</m:t>
                      </m:r>
                    </m:sup>
                  </m:sSup>
                  <m:r>
                    <w:rPr>
                      <w:rFonts w:ascii="Cambria Math" w:hAnsi="Cambria Math" w:cs="Times New Roman"/>
                    </w:rPr>
                    <m:t>/d</m:t>
                  </m:r>
                </m:den>
              </m:f>
            </m:e>
          </m:d>
        </m:oMath>
      </m:oMathPara>
    </w:p>
    <w:p w14:paraId="27B85DE1" w14:textId="77777777" w:rsidR="00271FA2" w:rsidRPr="00A013E1" w:rsidRDefault="00D35E51" w:rsidP="005477B0">
      <w:pPr>
        <w:spacing w:line="240" w:lineRule="atLeast"/>
        <w:ind w:leftChars="200" w:left="440"/>
        <w:jc w:val="both"/>
        <w:rPr>
          <w:rFonts w:ascii="Times New Roman" w:hAnsi="Times New Roman" w:cs="Times New Roman"/>
          <w:lang w:val="ru-RU"/>
        </w:rPr>
      </w:pPr>
      <w:r w:rsidRPr="00A013E1">
        <w:rPr>
          <w:rFonts w:ascii="Times New Roman" w:hAnsi="Times New Roman" w:cs="Times New Roman"/>
          <w:lang w:val="ru-RU"/>
        </w:rPr>
        <w:t xml:space="preserve">Ако изчислението, извършено в съответствие с формула 1, води до средна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Pr="00A013E1">
        <w:rPr>
          <w:rFonts w:ascii="Times New Roman" w:hAnsi="Times New Roman" w:cs="Times New Roman"/>
          <w:lang w:val="ru-RU"/>
        </w:rPr>
        <w:t xml:space="preserve"> концентрация от по-малко от </w:t>
      </w:r>
      <m:oMath>
        <m:sSub>
          <m:sSubPr>
            <m:ctrlPr>
              <w:rPr>
                <w:rFonts w:ascii="Cambria Math" w:hAnsi="Cambria Math" w:cs="Times New Roman"/>
                <w:i/>
                <w:color w:val="000000"/>
              </w:rPr>
            </m:ctrlPr>
          </m:sSubPr>
          <m:e>
            <m:r>
              <w:rPr>
                <w:rFonts w:ascii="Cambria Math" w:hAnsi="Cambria Math" w:cs="Times New Roman"/>
                <w:color w:val="000000"/>
              </w:rPr>
              <m:t>C</m:t>
            </m:r>
          </m:e>
          <m:sub>
            <m:sSub>
              <m:sSubPr>
                <m:ctrlPr>
                  <w:rPr>
                    <w:rFonts w:ascii="Cambria Math" w:hAnsi="Cambria Math" w:cs="Times New Roman"/>
                    <w:i/>
                    <w:color w:val="000000"/>
                  </w:rPr>
                </m:ctrlPr>
              </m:sSubPr>
              <m:e>
                <m:r>
                  <w:rPr>
                    <w:rFonts w:ascii="Cambria Math" w:hAnsi="Cambria Math" w:cs="Times New Roman"/>
                    <w:color w:val="000000"/>
                  </w:rPr>
                  <m:t>BOD</m:t>
                </m:r>
              </m:e>
              <m:sub>
                <m:r>
                  <w:rPr>
                    <w:rFonts w:ascii="Cambria Math" w:hAnsi="Cambria Math" w:cs="Times New Roman"/>
                    <w:color w:val="000000"/>
                    <w:lang w:val="ru-RU"/>
                  </w:rPr>
                  <m:t xml:space="preserve">5, </m:t>
                </m:r>
                <m:r>
                  <w:rPr>
                    <w:rFonts w:ascii="Cambria Math" w:hAnsi="Cambria Math" w:cs="Times New Roman"/>
                    <w:color w:val="000000"/>
                  </w:rPr>
                  <m:t>mean</m:t>
                </m:r>
              </m:sub>
            </m:sSub>
          </m:sub>
        </m:sSub>
        <m:r>
          <w:rPr>
            <w:rFonts w:ascii="Cambria Math" w:hAnsi="Cambria Math" w:cs="Times New Roman"/>
            <w:color w:val="000000"/>
            <w:lang w:val="ru-RU"/>
          </w:rPr>
          <m:t xml:space="preserve">=500 </m:t>
        </m:r>
        <m:r>
          <w:rPr>
            <w:rFonts w:ascii="Cambria Math" w:hAnsi="Cambria Math" w:cs="Times New Roman"/>
            <w:color w:val="000000"/>
          </w:rPr>
          <m:t>mg</m:t>
        </m:r>
        <m:r>
          <w:rPr>
            <w:rFonts w:ascii="Cambria Math" w:hAnsi="Cambria Math" w:cs="Times New Roman"/>
            <w:color w:val="000000"/>
            <w:lang w:val="ru-RU"/>
          </w:rPr>
          <m:t>/</m:t>
        </m:r>
        <m:r>
          <w:rPr>
            <w:rFonts w:ascii="Cambria Math" w:hAnsi="Cambria Math" w:cs="Times New Roman"/>
            <w:color w:val="000000"/>
          </w:rPr>
          <m:t>l</m:t>
        </m:r>
      </m:oMath>
      <w:r w:rsidRPr="00A013E1">
        <w:rPr>
          <w:rFonts w:ascii="Times New Roman" w:hAnsi="Times New Roman" w:cs="Times New Roman"/>
          <w:lang w:val="ru-RU"/>
        </w:rPr>
        <w:t xml:space="preserve">, трябва да се спазва минимална средна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Pr="00A013E1">
        <w:rPr>
          <w:rFonts w:ascii="Times New Roman" w:hAnsi="Times New Roman" w:cs="Times New Roman"/>
          <w:lang w:val="ru-RU"/>
        </w:rPr>
        <w:t xml:space="preserve"> концентрация във входящия поток от отпадъчни води от 500</w:t>
      </w:r>
      <w:r w:rsidRPr="00A013E1">
        <w:rPr>
          <w:rFonts w:ascii="Times New Roman" w:hAnsi="Times New Roman" w:cs="Times New Roman"/>
        </w:rPr>
        <w:t> mg</w:t>
      </w:r>
      <w:r w:rsidRPr="00A013E1">
        <w:rPr>
          <w:rFonts w:ascii="Times New Roman" w:hAnsi="Times New Roman" w:cs="Times New Roman"/>
          <w:lang w:val="ru-RU"/>
        </w:rPr>
        <w:t>/</w:t>
      </w:r>
      <w:r w:rsidRPr="00A013E1">
        <w:rPr>
          <w:rFonts w:ascii="Times New Roman" w:hAnsi="Times New Roman" w:cs="Times New Roman"/>
        </w:rPr>
        <w:t>l</w:t>
      </w:r>
      <w:r w:rsidRPr="00A013E1">
        <w:rPr>
          <w:rFonts w:ascii="Times New Roman" w:hAnsi="Times New Roman" w:cs="Times New Roman"/>
          <w:lang w:val="ru-RU"/>
        </w:rPr>
        <w:t>.</w:t>
      </w:r>
    </w:p>
    <w:p w14:paraId="66F64140" w14:textId="77777777" w:rsidR="00271FA2" w:rsidRPr="00A013E1" w:rsidRDefault="00D35E51" w:rsidP="005477B0">
      <w:pPr>
        <w:spacing w:after="240" w:line="240" w:lineRule="atLeast"/>
        <w:ind w:leftChars="236" w:left="519"/>
        <w:jc w:val="both"/>
        <w:rPr>
          <w:rFonts w:ascii="Times New Roman" w:hAnsi="Times New Roman" w:cs="Times New Roman"/>
          <w:lang w:val="ru-RU"/>
        </w:rPr>
      </w:pPr>
      <w:r w:rsidRPr="00A013E1">
        <w:rPr>
          <w:rFonts w:ascii="Times New Roman" w:hAnsi="Times New Roman" w:cs="Times New Roman"/>
          <w:lang w:val="ru-RU"/>
        </w:rPr>
        <w:t xml:space="preserve">Техническата служба не трябва да прекъсва постъпващите непречистени отпадъчни води в дробилна машина. Разрешава се отстраняване на пясъка (например чрез пресяване). </w:t>
      </w:r>
    </w:p>
    <w:p w14:paraId="10321D27" w14:textId="77777777" w:rsidR="00271FA2" w:rsidRPr="00A013E1" w:rsidRDefault="00D35E51" w:rsidP="005477B0">
      <w:pPr>
        <w:spacing w:line="240" w:lineRule="atLeast"/>
        <w:ind w:left="567" w:hanging="567"/>
        <w:jc w:val="both"/>
        <w:rPr>
          <w:rFonts w:ascii="Times New Roman" w:hAnsi="Times New Roman" w:cs="Times New Roman"/>
          <w:b/>
          <w:color w:val="000000"/>
          <w:lang w:val="ru-RU"/>
        </w:rPr>
      </w:pPr>
      <w:r w:rsidRPr="00A013E1">
        <w:rPr>
          <w:rFonts w:ascii="Times New Roman" w:hAnsi="Times New Roman" w:cs="Times New Roman"/>
          <w:b/>
          <w:color w:val="000000"/>
          <w:lang w:val="ru-RU"/>
        </w:rPr>
        <w:t>3.</w:t>
      </w:r>
      <w:r w:rsidRPr="00A013E1">
        <w:rPr>
          <w:rFonts w:ascii="Times New Roman" w:hAnsi="Times New Roman" w:cs="Times New Roman"/>
          <w:lang w:val="ru-RU"/>
        </w:rPr>
        <w:tab/>
      </w:r>
      <w:r w:rsidRPr="00A013E1">
        <w:rPr>
          <w:rFonts w:ascii="Times New Roman" w:hAnsi="Times New Roman" w:cs="Times New Roman"/>
          <w:b/>
          <w:color w:val="000000"/>
          <w:lang w:val="ru-RU"/>
        </w:rPr>
        <w:t>Процедура на изпитване</w:t>
      </w:r>
    </w:p>
    <w:p w14:paraId="6D952008" w14:textId="77777777" w:rsidR="00271FA2" w:rsidRPr="00A013E1" w:rsidRDefault="00D35E51" w:rsidP="005477B0">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3.1</w:t>
      </w:r>
      <w:r w:rsidRPr="00A013E1">
        <w:rPr>
          <w:rFonts w:ascii="Times New Roman" w:hAnsi="Times New Roman" w:cs="Times New Roman"/>
          <w:lang w:val="ru-RU"/>
        </w:rPr>
        <w:tab/>
      </w:r>
      <w:r w:rsidRPr="00A013E1">
        <w:rPr>
          <w:rFonts w:ascii="Times New Roman" w:hAnsi="Times New Roman" w:cs="Times New Roman"/>
          <w:color w:val="000000"/>
          <w:lang w:val="ru-RU"/>
        </w:rPr>
        <w:t>Етапи на натоварване и подаване на течност</w:t>
      </w:r>
    </w:p>
    <w:p w14:paraId="0CFABBF6" w14:textId="77777777" w:rsidR="00271FA2" w:rsidRPr="00A013E1" w:rsidRDefault="00D35E51" w:rsidP="005477B0">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Периодът на изпитване включва 30 дни на изпитване. Изпитвателната пречиствателна станция се захранва на изпитвателната площадка с битови отпадъчни води в съответствие със замърсяванията, посочени в таблица 1. Включват се различни етапи на натоварване, като за последователността на изпитване се отчитат нормалните и специални етапи на натоварване, като претоварване, недонатоварване и работа в режим на готовност. Продължителността на всеки етап на натоварване (брой дни) е дадена в таблица 1. Средният дневен хидравличен товар за всеки етап на натоварване се определя в съответствие с таблица 1. Средната концентрация на замърсители, която се определя в съответствие с точка 2.4, се поддържа постоянна.</w:t>
      </w:r>
    </w:p>
    <w:p w14:paraId="0A0972F5" w14:textId="5074BFC6" w:rsidR="00271FA2" w:rsidRPr="00A013E1" w:rsidRDefault="00271FA2">
      <w:pPr>
        <w:spacing w:line="240" w:lineRule="atLeast"/>
        <w:rPr>
          <w:rFonts w:ascii="Times New Roman" w:hAnsi="Times New Roman" w:cs="Times New Roman"/>
          <w:lang w:val="ru-RU"/>
        </w:rPr>
      </w:pPr>
    </w:p>
    <w:p w14:paraId="278BE963" w14:textId="77777777" w:rsidR="00271FA2" w:rsidRPr="00A013E1" w:rsidRDefault="00D35E51">
      <w:pPr>
        <w:tabs>
          <w:tab w:val="left" w:pos="1276"/>
        </w:tabs>
        <w:spacing w:line="240" w:lineRule="atLeast"/>
        <w:ind w:left="426"/>
        <w:jc w:val="both"/>
        <w:rPr>
          <w:rFonts w:ascii="Times New Roman" w:hAnsi="Times New Roman" w:cs="Times New Roman"/>
          <w:lang w:val="ru-RU"/>
        </w:rPr>
      </w:pPr>
      <w:r w:rsidRPr="00A013E1">
        <w:rPr>
          <w:rFonts w:ascii="Times New Roman" w:hAnsi="Times New Roman" w:cs="Times New Roman"/>
          <w:lang w:val="ru-RU"/>
        </w:rPr>
        <w:t>Таблица 1:</w:t>
      </w:r>
      <w:r w:rsidRPr="00A013E1">
        <w:rPr>
          <w:rFonts w:ascii="Times New Roman" w:hAnsi="Times New Roman" w:cs="Times New Roman"/>
          <w:lang w:val="ru-RU"/>
        </w:rPr>
        <w:tab/>
        <w:t>Настройки на натоварването за всеки етап на натоварване</w:t>
      </w:r>
    </w:p>
    <w:tbl>
      <w:tblPr>
        <w:tblW w:w="8920" w:type="dxa"/>
        <w:jc w:val="center"/>
        <w:tblLayout w:type="fixed"/>
        <w:tblLook w:val="04A0" w:firstRow="1" w:lastRow="0" w:firstColumn="1" w:lastColumn="0" w:noHBand="0" w:noVBand="1"/>
      </w:tblPr>
      <w:tblGrid>
        <w:gridCol w:w="1696"/>
        <w:gridCol w:w="1134"/>
        <w:gridCol w:w="2268"/>
        <w:gridCol w:w="3822"/>
      </w:tblGrid>
      <w:tr w:rsidR="00271FA2" w:rsidRPr="00A013E1" w14:paraId="37E6E9C6" w14:textId="77777777" w:rsidTr="004C0F58">
        <w:trPr>
          <w:jc w:val="center"/>
        </w:trPr>
        <w:tc>
          <w:tcPr>
            <w:tcW w:w="1696" w:type="dxa"/>
            <w:tcBorders>
              <w:top w:val="single" w:sz="4" w:space="0" w:color="000000"/>
              <w:left w:val="single" w:sz="4" w:space="0" w:color="000000"/>
              <w:bottom w:val="single" w:sz="4" w:space="0" w:color="000000"/>
            </w:tcBorders>
            <w:shd w:val="clear" w:color="auto" w:fill="auto"/>
          </w:tcPr>
          <w:p w14:paraId="3D854046"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Фаза</w:t>
            </w:r>
          </w:p>
        </w:tc>
        <w:tc>
          <w:tcPr>
            <w:tcW w:w="1134" w:type="dxa"/>
            <w:tcBorders>
              <w:top w:val="single" w:sz="4" w:space="0" w:color="000000"/>
              <w:left w:val="single" w:sz="4" w:space="0" w:color="000000"/>
              <w:bottom w:val="single" w:sz="4" w:space="0" w:color="000000"/>
            </w:tcBorders>
          </w:tcPr>
          <w:p w14:paraId="3BFF97F2"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Брой дни на изпитване</w:t>
            </w:r>
          </w:p>
        </w:tc>
        <w:tc>
          <w:tcPr>
            <w:tcW w:w="2268" w:type="dxa"/>
            <w:tcBorders>
              <w:top w:val="single" w:sz="4" w:space="0" w:color="000000"/>
              <w:left w:val="single" w:sz="4" w:space="0" w:color="000000"/>
              <w:bottom w:val="single" w:sz="4" w:space="0" w:color="000000"/>
            </w:tcBorders>
          </w:tcPr>
          <w:p w14:paraId="5774E293"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Дневен хидравличен товар</w:t>
            </w:r>
          </w:p>
        </w:tc>
        <w:tc>
          <w:tcPr>
            <w:tcW w:w="3822" w:type="dxa"/>
            <w:tcBorders>
              <w:top w:val="single" w:sz="4" w:space="0" w:color="000000"/>
              <w:left w:val="single" w:sz="4" w:space="0" w:color="000000"/>
              <w:bottom w:val="single" w:sz="4" w:space="0" w:color="000000"/>
              <w:right w:val="single" w:sz="4" w:space="0" w:color="000000"/>
            </w:tcBorders>
          </w:tcPr>
          <w:p w14:paraId="3A24FC11"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Концентрация на замърсителя</w:t>
            </w:r>
          </w:p>
        </w:tc>
      </w:tr>
      <w:tr w:rsidR="00271FA2" w:rsidRPr="00A013E1" w14:paraId="1EB1F2BE" w14:textId="77777777" w:rsidTr="004C0F58">
        <w:trPr>
          <w:jc w:val="center"/>
        </w:trPr>
        <w:tc>
          <w:tcPr>
            <w:tcW w:w="1696" w:type="dxa"/>
            <w:tcBorders>
              <w:top w:val="single" w:sz="4" w:space="0" w:color="000000"/>
              <w:left w:val="single" w:sz="4" w:space="0" w:color="000000"/>
              <w:bottom w:val="single" w:sz="4" w:space="0" w:color="000000"/>
            </w:tcBorders>
          </w:tcPr>
          <w:p w14:paraId="30A3235A"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Нормално натоварване</w:t>
            </w:r>
          </w:p>
        </w:tc>
        <w:tc>
          <w:tcPr>
            <w:tcW w:w="1134" w:type="dxa"/>
            <w:tcBorders>
              <w:top w:val="single" w:sz="4" w:space="0" w:color="000000"/>
              <w:left w:val="single" w:sz="4" w:space="0" w:color="000000"/>
              <w:bottom w:val="single" w:sz="4" w:space="0" w:color="000000"/>
            </w:tcBorders>
          </w:tcPr>
          <w:p w14:paraId="7D90060A"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20 дни</w:t>
            </w:r>
          </w:p>
        </w:tc>
        <w:tc>
          <w:tcPr>
            <w:tcW w:w="2268" w:type="dxa"/>
            <w:tcBorders>
              <w:top w:val="single" w:sz="4" w:space="0" w:color="000000"/>
              <w:left w:val="single" w:sz="4" w:space="0" w:color="000000"/>
              <w:bottom w:val="single" w:sz="4" w:space="0" w:color="000000"/>
            </w:tcBorders>
          </w:tcPr>
          <w:p w14:paraId="19449F60" w14:textId="77777777" w:rsidR="00271FA2" w:rsidRPr="00A013E1" w:rsidRDefault="002C62EC">
            <w:pPr>
              <w:spacing w:line="240" w:lineRule="atLeast"/>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d</m:t>
                    </m:r>
                  </m:sub>
                </m:sSub>
              </m:oMath>
            </m:oMathPara>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14:paraId="78A2F585" w14:textId="77777777" w:rsidR="00271FA2" w:rsidRPr="00A013E1" w:rsidRDefault="002C62EC">
            <w:pPr>
              <w:spacing w:line="240" w:lineRule="atLeast"/>
              <w:rPr>
                <w:rFonts w:ascii="Times New Roman" w:hAnsi="Times New Roman" w:cs="Times New Roman"/>
                <w:sz w:val="20"/>
                <w:szCs w:val="20"/>
                <w:lang w:val="ru-RU"/>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lang w:val="ru-RU"/>
                        </w:rPr>
                        <m:t>5</m:t>
                      </m:r>
                    </m:sub>
                  </m:sSub>
                </m:sub>
              </m:sSub>
            </m:oMath>
            <w:r w:rsidR="00D35E51" w:rsidRPr="00A013E1">
              <w:rPr>
                <w:rFonts w:ascii="Times New Roman" w:hAnsi="Times New Roman" w:cs="Times New Roman"/>
                <w:sz w:val="20"/>
                <w:szCs w:val="20"/>
                <w:lang w:val="ru-RU"/>
              </w:rPr>
              <w:t xml:space="preserve"> в съответствие с 2.4</w:t>
            </w:r>
          </w:p>
        </w:tc>
      </w:tr>
      <w:tr w:rsidR="00271FA2" w:rsidRPr="00A013E1" w14:paraId="3BD14AD9" w14:textId="77777777" w:rsidTr="004C0F58">
        <w:trPr>
          <w:jc w:val="center"/>
        </w:trPr>
        <w:tc>
          <w:tcPr>
            <w:tcW w:w="1696" w:type="dxa"/>
            <w:tcBorders>
              <w:top w:val="single" w:sz="4" w:space="0" w:color="000000"/>
              <w:left w:val="single" w:sz="4" w:space="0" w:color="000000"/>
              <w:bottom w:val="single" w:sz="4" w:space="0" w:color="000000"/>
            </w:tcBorders>
          </w:tcPr>
          <w:p w14:paraId="2BBA2D94"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Претоварване</w:t>
            </w:r>
          </w:p>
        </w:tc>
        <w:tc>
          <w:tcPr>
            <w:tcW w:w="1134" w:type="dxa"/>
            <w:tcBorders>
              <w:top w:val="single" w:sz="4" w:space="0" w:color="000000"/>
              <w:left w:val="single" w:sz="4" w:space="0" w:color="000000"/>
              <w:bottom w:val="single" w:sz="4" w:space="0" w:color="000000"/>
            </w:tcBorders>
          </w:tcPr>
          <w:p w14:paraId="20735657"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3 дни</w:t>
            </w:r>
          </w:p>
        </w:tc>
        <w:tc>
          <w:tcPr>
            <w:tcW w:w="2268" w:type="dxa"/>
            <w:tcBorders>
              <w:top w:val="single" w:sz="4" w:space="0" w:color="000000"/>
              <w:left w:val="single" w:sz="4" w:space="0" w:color="000000"/>
              <w:bottom w:val="single" w:sz="4" w:space="0" w:color="000000"/>
            </w:tcBorders>
          </w:tcPr>
          <w:p w14:paraId="03C41DB4" w14:textId="77777777" w:rsidR="00271FA2" w:rsidRPr="00A013E1" w:rsidRDefault="002C62EC">
            <w:pPr>
              <w:spacing w:line="240" w:lineRule="atLeast"/>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1,25 Q</m:t>
                    </m:r>
                  </m:e>
                  <m:sub>
                    <m:r>
                      <w:rPr>
                        <w:rFonts w:ascii="Cambria Math" w:hAnsi="Cambria Math" w:cs="Times New Roman"/>
                        <w:sz w:val="20"/>
                        <w:szCs w:val="20"/>
                      </w:rPr>
                      <m:t>d</m:t>
                    </m:r>
                  </m:sub>
                </m:sSub>
              </m:oMath>
            </m:oMathPara>
          </w:p>
        </w:tc>
        <w:tc>
          <w:tcPr>
            <w:tcW w:w="3822" w:type="dxa"/>
            <w:tcBorders>
              <w:top w:val="single" w:sz="4" w:space="0" w:color="000000"/>
              <w:left w:val="single" w:sz="4" w:space="0" w:color="000000"/>
              <w:bottom w:val="single" w:sz="4" w:space="0" w:color="000000"/>
              <w:right w:val="single" w:sz="4" w:space="0" w:color="000000"/>
            </w:tcBorders>
          </w:tcPr>
          <w:p w14:paraId="15B42A8E" w14:textId="77777777" w:rsidR="00271FA2" w:rsidRPr="00A013E1" w:rsidRDefault="002C62EC">
            <w:pPr>
              <w:spacing w:line="240" w:lineRule="atLeast"/>
              <w:rPr>
                <w:rFonts w:ascii="Times New Roman" w:hAnsi="Times New Roman" w:cs="Times New Roman"/>
                <w:sz w:val="20"/>
                <w:szCs w:val="20"/>
                <w:lang w:val="ru-RU"/>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lang w:val="ru-RU"/>
                        </w:rPr>
                        <m:t>5</m:t>
                      </m:r>
                    </m:sub>
                  </m:sSub>
                </m:sub>
              </m:sSub>
            </m:oMath>
            <w:r w:rsidR="00D35E51" w:rsidRPr="00A013E1">
              <w:rPr>
                <w:rFonts w:ascii="Times New Roman" w:hAnsi="Times New Roman" w:cs="Times New Roman"/>
                <w:sz w:val="20"/>
                <w:szCs w:val="20"/>
                <w:lang w:val="ru-RU"/>
              </w:rPr>
              <w:t xml:space="preserve"> в съответствие с 2.4</w:t>
            </w:r>
          </w:p>
        </w:tc>
      </w:tr>
      <w:tr w:rsidR="00271FA2" w:rsidRPr="00A013E1" w14:paraId="014953AE" w14:textId="77777777" w:rsidTr="004C0F58">
        <w:trPr>
          <w:jc w:val="center"/>
        </w:trPr>
        <w:tc>
          <w:tcPr>
            <w:tcW w:w="1696" w:type="dxa"/>
            <w:tcBorders>
              <w:top w:val="single" w:sz="4" w:space="0" w:color="000000"/>
              <w:left w:val="single" w:sz="4" w:space="0" w:color="000000"/>
              <w:bottom w:val="single" w:sz="4" w:space="0" w:color="000000"/>
            </w:tcBorders>
          </w:tcPr>
          <w:p w14:paraId="673148B0"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Недонатоварване</w:t>
            </w:r>
          </w:p>
        </w:tc>
        <w:tc>
          <w:tcPr>
            <w:tcW w:w="1134" w:type="dxa"/>
            <w:tcBorders>
              <w:top w:val="single" w:sz="4" w:space="0" w:color="000000"/>
              <w:left w:val="single" w:sz="4" w:space="0" w:color="000000"/>
              <w:bottom w:val="single" w:sz="4" w:space="0" w:color="000000"/>
            </w:tcBorders>
          </w:tcPr>
          <w:p w14:paraId="68BE6A51"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3 дни</w:t>
            </w:r>
          </w:p>
        </w:tc>
        <w:tc>
          <w:tcPr>
            <w:tcW w:w="2268" w:type="dxa"/>
            <w:tcBorders>
              <w:top w:val="single" w:sz="4" w:space="0" w:color="000000"/>
              <w:left w:val="single" w:sz="4" w:space="0" w:color="000000"/>
              <w:bottom w:val="single" w:sz="4" w:space="0" w:color="000000"/>
            </w:tcBorders>
          </w:tcPr>
          <w:p w14:paraId="6C019238" w14:textId="77777777" w:rsidR="00271FA2" w:rsidRPr="00A013E1" w:rsidRDefault="002C62EC">
            <w:pPr>
              <w:spacing w:line="240" w:lineRule="atLeast"/>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0,5 Q</m:t>
                    </m:r>
                  </m:e>
                  <m:sub>
                    <m:r>
                      <w:rPr>
                        <w:rFonts w:ascii="Cambria Math" w:hAnsi="Cambria Math" w:cs="Times New Roman"/>
                        <w:sz w:val="20"/>
                        <w:szCs w:val="20"/>
                      </w:rPr>
                      <m:t>d</m:t>
                    </m:r>
                  </m:sub>
                </m:sSub>
              </m:oMath>
            </m:oMathPara>
          </w:p>
        </w:tc>
        <w:tc>
          <w:tcPr>
            <w:tcW w:w="3822" w:type="dxa"/>
            <w:tcBorders>
              <w:top w:val="single" w:sz="4" w:space="0" w:color="000000"/>
              <w:left w:val="single" w:sz="4" w:space="0" w:color="000000"/>
              <w:bottom w:val="single" w:sz="4" w:space="0" w:color="000000"/>
              <w:right w:val="single" w:sz="4" w:space="0" w:color="000000"/>
            </w:tcBorders>
          </w:tcPr>
          <w:p w14:paraId="135364A9" w14:textId="77777777" w:rsidR="00271FA2" w:rsidRPr="00A013E1" w:rsidRDefault="002C62EC">
            <w:pPr>
              <w:spacing w:line="240" w:lineRule="atLeast"/>
              <w:rPr>
                <w:rFonts w:ascii="Times New Roman" w:hAnsi="Times New Roman" w:cs="Times New Roman"/>
                <w:sz w:val="20"/>
                <w:szCs w:val="20"/>
                <w:lang w:val="ru-RU"/>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lang w:val="ru-RU"/>
                        </w:rPr>
                        <m:t>5</m:t>
                      </m:r>
                    </m:sub>
                  </m:sSub>
                </m:sub>
              </m:sSub>
            </m:oMath>
            <w:r w:rsidR="00D35E51" w:rsidRPr="00A013E1">
              <w:rPr>
                <w:rFonts w:ascii="Times New Roman" w:hAnsi="Times New Roman" w:cs="Times New Roman"/>
                <w:sz w:val="20"/>
                <w:szCs w:val="20"/>
                <w:lang w:val="ru-RU"/>
              </w:rPr>
              <w:t xml:space="preserve"> в съответствие с 2.4</w:t>
            </w:r>
          </w:p>
        </w:tc>
      </w:tr>
      <w:tr w:rsidR="00271FA2" w:rsidRPr="00A013E1" w14:paraId="6DDBDF7C" w14:textId="77777777" w:rsidTr="004C0F58">
        <w:trPr>
          <w:jc w:val="center"/>
        </w:trPr>
        <w:tc>
          <w:tcPr>
            <w:tcW w:w="1696" w:type="dxa"/>
            <w:tcBorders>
              <w:top w:val="single" w:sz="4" w:space="0" w:color="000000"/>
              <w:left w:val="single" w:sz="4" w:space="0" w:color="000000"/>
              <w:bottom w:val="single" w:sz="4" w:space="0" w:color="000000"/>
            </w:tcBorders>
          </w:tcPr>
          <w:p w14:paraId="751BFB19"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В режим на готовност</w:t>
            </w:r>
          </w:p>
        </w:tc>
        <w:tc>
          <w:tcPr>
            <w:tcW w:w="1134" w:type="dxa"/>
            <w:tcBorders>
              <w:top w:val="single" w:sz="4" w:space="0" w:color="000000"/>
              <w:left w:val="single" w:sz="4" w:space="0" w:color="000000"/>
              <w:bottom w:val="single" w:sz="4" w:space="0" w:color="000000"/>
            </w:tcBorders>
          </w:tcPr>
          <w:p w14:paraId="4D7CD376"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4 дни</w:t>
            </w:r>
          </w:p>
        </w:tc>
        <w:tc>
          <w:tcPr>
            <w:tcW w:w="2268" w:type="dxa"/>
            <w:tcBorders>
              <w:top w:val="single" w:sz="4" w:space="0" w:color="000000"/>
              <w:left w:val="single" w:sz="4" w:space="0" w:color="000000"/>
              <w:bottom w:val="single" w:sz="4" w:space="0" w:color="000000"/>
            </w:tcBorders>
          </w:tcPr>
          <w:p w14:paraId="48C9321B"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Ден 1 и ден 2: </w:t>
            </w:r>
            <m:oMath>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d</m:t>
                  </m:r>
                </m:sub>
              </m:sSub>
              <m:r>
                <w:rPr>
                  <w:rFonts w:ascii="Cambria Math" w:hAnsi="Cambria Math" w:cs="Times New Roman"/>
                  <w:sz w:val="20"/>
                  <w:szCs w:val="20"/>
                  <w:lang w:val="ru-RU"/>
                </w:rPr>
                <m:t>=0</m:t>
              </m:r>
            </m:oMath>
            <w:r w:rsidRPr="00A013E1">
              <w:rPr>
                <w:rFonts w:ascii="Times New Roman" w:hAnsi="Times New Roman" w:cs="Times New Roman"/>
                <w:sz w:val="20"/>
                <w:szCs w:val="20"/>
                <w:lang w:val="ru-RU"/>
              </w:rPr>
              <w:br/>
              <w:t xml:space="preserve">Ден 3 и 4: </w:t>
            </w:r>
            <m:oMath>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d</m:t>
                  </m:r>
                </m:sub>
              </m:sSub>
            </m:oMath>
          </w:p>
        </w:tc>
        <w:tc>
          <w:tcPr>
            <w:tcW w:w="3822" w:type="dxa"/>
            <w:tcBorders>
              <w:top w:val="single" w:sz="4" w:space="0" w:color="000000"/>
              <w:left w:val="single" w:sz="4" w:space="0" w:color="000000"/>
              <w:bottom w:val="single" w:sz="4" w:space="0" w:color="000000"/>
              <w:right w:val="single" w:sz="4" w:space="0" w:color="000000"/>
            </w:tcBorders>
          </w:tcPr>
          <w:p w14:paraId="69940049" w14:textId="77777777" w:rsidR="00271FA2" w:rsidRPr="00A013E1" w:rsidRDefault="002C62EC">
            <w:pPr>
              <w:spacing w:line="240" w:lineRule="atLeast"/>
              <w:rPr>
                <w:rFonts w:ascii="Times New Roman" w:hAnsi="Times New Roman" w:cs="Times New Roman"/>
                <w:sz w:val="20"/>
                <w:szCs w:val="20"/>
                <w:lang w:val="ru-RU"/>
              </w:rPr>
            </w:pPr>
            <m:oMath>
              <m:sSub>
                <m:sSubPr>
                  <m:ctrlPr>
                    <w:rPr>
                      <w:rFonts w:ascii="Cambria Math" w:hAnsi="Cambria Math" w:cs="Times New Roman"/>
                      <w:i/>
                      <w:sz w:val="20"/>
                      <w:szCs w:val="20"/>
                    </w:rPr>
                  </m:ctrlPr>
                </m:sSubPr>
                <m:e>
                  <m:r>
                    <w:rPr>
                      <w:rFonts w:ascii="Cambria Math" w:hAnsi="Cambria Math" w:cs="Times New Roman"/>
                      <w:sz w:val="20"/>
                      <w:szCs w:val="20"/>
                    </w:rPr>
                    <m:t>C</m:t>
                  </m:r>
                </m:e>
                <m:sub>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lang w:val="ru-RU"/>
                        </w:rPr>
                        <m:t>5</m:t>
                      </m:r>
                    </m:sub>
                  </m:sSub>
                </m:sub>
              </m:sSub>
            </m:oMath>
            <w:r w:rsidR="00D35E51" w:rsidRPr="00A013E1">
              <w:rPr>
                <w:rFonts w:ascii="Times New Roman" w:hAnsi="Times New Roman" w:cs="Times New Roman"/>
                <w:sz w:val="20"/>
                <w:szCs w:val="20"/>
                <w:lang w:val="ru-RU"/>
              </w:rPr>
              <w:t xml:space="preserve"> в съответствие с точка 2.4</w:t>
            </w:r>
          </w:p>
        </w:tc>
      </w:tr>
    </w:tbl>
    <w:p w14:paraId="271998A0" w14:textId="77777777" w:rsidR="00271FA2" w:rsidRPr="00A013E1" w:rsidRDefault="00D35E51" w:rsidP="004C0F58">
      <w:pPr>
        <w:spacing w:before="240" w:line="240" w:lineRule="atLeast"/>
        <w:jc w:val="both"/>
        <w:rPr>
          <w:rFonts w:ascii="Times New Roman" w:hAnsi="Times New Roman" w:cs="Times New Roman"/>
          <w:lang w:val="ru-RU"/>
        </w:rPr>
      </w:pPr>
      <w:r w:rsidRPr="00A013E1">
        <w:rPr>
          <w:rFonts w:ascii="Times New Roman" w:hAnsi="Times New Roman" w:cs="Times New Roman"/>
          <w:lang w:val="ru-RU"/>
        </w:rPr>
        <w:t xml:space="preserve">Конкретните етапи на натоварване — претоварване, недонатоварване и режим на готовност, се осъществяват последователно без прекъсване; етапът на нормално натоварване се разделя на няколко подетапа. Изпитването трябва да започва и да завършва с етап на нормално натоварване с продължителност от поне пет дни във всеки един случай. </w:t>
      </w:r>
    </w:p>
    <w:p w14:paraId="1C010047" w14:textId="77777777" w:rsidR="00271FA2" w:rsidRPr="00A013E1" w:rsidRDefault="00D35E51" w:rsidP="004C0F58">
      <w:pPr>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Определя се дневен график на подаваните водни количества в зависимост от указаната работа на бордовата станция за пречистване на отпадъчни води. Дневният график на подаваните водни количества се избира в съответствие с концепцията за експлоатацията на бордовата станция за </w:t>
      </w:r>
      <w:r w:rsidRPr="00A013E1">
        <w:rPr>
          <w:rFonts w:ascii="Times New Roman" w:hAnsi="Times New Roman" w:cs="Times New Roman"/>
          <w:lang w:val="ru-RU"/>
        </w:rPr>
        <w:lastRenderedPageBreak/>
        <w:t xml:space="preserve">пречистване на отпадъчни води. Следва да се прави разлика в зависимост от това, дали бордовата станция за пречистване на отпадъчни води ще се експлоатира с или без резервоар за отпадъчни води преди пречиствателната станция. Графиците за подаваните водни количества (дневни графици) са показани на фигура 1 и фигура 2. </w:t>
      </w:r>
    </w:p>
    <w:p w14:paraId="6D746893" w14:textId="4350AF95" w:rsidR="00271FA2" w:rsidRPr="00A013E1" w:rsidRDefault="00D35E51" w:rsidP="004C0F58">
      <w:pPr>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През целия период на изпитване почасовият входящ поток трябва да остава постоянен.  Средният часов обемен дебит на отпадъчните води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lang w:val="ru-RU"/>
              </w:rPr>
              <m:t xml:space="preserve">h, </m:t>
            </m:r>
            <m:r>
              <w:rPr>
                <w:rFonts w:ascii="Cambria Math" w:hAnsi="Cambria Math" w:cs="Times New Roman"/>
              </w:rPr>
              <m:t>mean</m:t>
            </m:r>
          </m:sub>
        </m:sSub>
      </m:oMath>
      <w:r w:rsidRPr="00A013E1">
        <w:rPr>
          <w:rFonts w:ascii="Times New Roman" w:hAnsi="Times New Roman" w:cs="Times New Roman"/>
          <w:lang w:val="ru-RU"/>
        </w:rPr>
        <w:t xml:space="preserve"> е еквивалентен на 1/24 от дневния хидравличен товар съгласно таблица 1. Входящият поток се измерва постоянно от техническата служба. Дневният график за водните количества трябва да остава в рамките на отклонение ± 5</w:t>
      </w:r>
      <w:r w:rsidR="00395352" w:rsidRPr="00A013E1">
        <w:rPr>
          <w:rFonts w:ascii="Times New Roman" w:hAnsi="Times New Roman" w:cs="Times New Roman"/>
          <w:lang w:val="en-US"/>
        </w:rPr>
        <w:t> </w:t>
      </w:r>
      <w:r w:rsidRPr="00A013E1">
        <w:rPr>
          <w:rFonts w:ascii="Times New Roman" w:hAnsi="Times New Roman" w:cs="Times New Roman"/>
          <w:lang w:val="ru-RU"/>
        </w:rPr>
        <w:t>%.</w:t>
      </w:r>
    </w:p>
    <w:p w14:paraId="219F8FDF" w14:textId="77777777" w:rsidR="00271FA2" w:rsidRPr="00A013E1" w:rsidRDefault="00271FA2">
      <w:pPr>
        <w:spacing w:line="240" w:lineRule="atLeast"/>
        <w:ind w:left="426"/>
        <w:rPr>
          <w:rFonts w:ascii="Times New Roman" w:hAnsi="Times New Roman" w:cs="Times New Roman"/>
          <w:lang w:val="ru-RU"/>
        </w:rPr>
      </w:pPr>
    </w:p>
    <w:p w14:paraId="015F16A9" w14:textId="77777777" w:rsidR="00271FA2" w:rsidRPr="00A013E1" w:rsidRDefault="00D35E51">
      <w:pPr>
        <w:spacing w:line="240" w:lineRule="atLeast"/>
        <w:ind w:left="426"/>
        <w:jc w:val="center"/>
        <w:rPr>
          <w:rFonts w:ascii="Times New Roman" w:hAnsi="Times New Roman" w:cs="Times New Roman"/>
        </w:rPr>
      </w:pPr>
      <w:r w:rsidRPr="00A013E1">
        <w:rPr>
          <w:rFonts w:ascii="Times New Roman" w:hAnsi="Times New Roman" w:cs="Times New Roman"/>
          <w:noProof/>
          <w:lang w:eastAsia="bg-BG"/>
        </w:rPr>
        <w:drawing>
          <wp:inline distT="0" distB="0" distL="0" distR="0" wp14:anchorId="5B56BE34" wp14:editId="29CBBE96">
            <wp:extent cx="5358130" cy="3267075"/>
            <wp:effectExtent l="0" t="0" r="0" b="9525"/>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 308"/>
                    <pic:cNvPicPr>
                      <a:picLocks noChangeAspect="1"/>
                    </pic:cNvPicPr>
                  </pic:nvPicPr>
                  <pic:blipFill>
                    <a:blip r:embed="rId172">
                      <a:extLst>
                        <a:ext uri="{28A0092B-C50C-407E-A947-70E740481C1C}">
                          <a14:useLocalDpi xmlns:a14="http://schemas.microsoft.com/office/drawing/2010/main" val="0"/>
                        </a:ext>
                      </a:extLst>
                    </a:blip>
                    <a:stretch>
                      <a:fillRect/>
                    </a:stretch>
                  </pic:blipFill>
                  <pic:spPr>
                    <a:xfrm>
                      <a:off x="0" y="0"/>
                      <a:ext cx="5358384" cy="3267456"/>
                    </a:xfrm>
                    <a:prstGeom prst="rect">
                      <a:avLst/>
                    </a:prstGeom>
                  </pic:spPr>
                </pic:pic>
              </a:graphicData>
            </a:graphic>
          </wp:inline>
        </w:drawing>
      </w:r>
    </w:p>
    <w:p w14:paraId="37F51129" w14:textId="4698313A" w:rsidR="00271FA2" w:rsidRPr="00A013E1" w:rsidRDefault="00D35E51">
      <w:pPr>
        <w:spacing w:line="240" w:lineRule="atLeast"/>
        <w:ind w:left="1985" w:hanging="1276"/>
        <w:jc w:val="both"/>
        <w:rPr>
          <w:rFonts w:ascii="Times New Roman" w:hAnsi="Times New Roman" w:cs="Times New Roman"/>
          <w:i/>
          <w:szCs w:val="20"/>
          <w:lang w:val="ru-RU"/>
        </w:rPr>
      </w:pPr>
      <w:r w:rsidRPr="00A013E1">
        <w:rPr>
          <w:rFonts w:ascii="Times New Roman" w:hAnsi="Times New Roman" w:cs="Times New Roman"/>
          <w:i/>
          <w:lang w:val="ru-RU"/>
        </w:rPr>
        <w:t xml:space="preserve">Фигура </w:t>
      </w:r>
      <w:r w:rsidRPr="00A013E1">
        <w:rPr>
          <w:rFonts w:ascii="Times New Roman" w:hAnsi="Times New Roman" w:cs="Times New Roman"/>
          <w:i/>
          <w:szCs w:val="20"/>
        </w:rPr>
        <w:fldChar w:fldCharType="begin"/>
      </w:r>
      <w:r w:rsidRPr="00A013E1">
        <w:rPr>
          <w:rFonts w:ascii="Times New Roman" w:hAnsi="Times New Roman" w:cs="Times New Roman"/>
          <w:i/>
          <w:szCs w:val="20"/>
          <w:lang w:val="ru-RU"/>
        </w:rPr>
        <w:instrText xml:space="preserve"> </w:instrText>
      </w:r>
      <w:r w:rsidRPr="00A013E1">
        <w:rPr>
          <w:rFonts w:ascii="Times New Roman" w:hAnsi="Times New Roman" w:cs="Times New Roman"/>
          <w:i/>
          <w:szCs w:val="20"/>
        </w:rPr>
        <w:instrText>SEQ</w:instrText>
      </w:r>
      <w:r w:rsidRPr="00A013E1">
        <w:rPr>
          <w:rFonts w:ascii="Times New Roman" w:hAnsi="Times New Roman" w:cs="Times New Roman"/>
          <w:i/>
          <w:szCs w:val="20"/>
          <w:lang w:val="ru-RU"/>
        </w:rPr>
        <w:instrText xml:space="preserve"> </w:instrText>
      </w:r>
      <w:r w:rsidRPr="00A013E1">
        <w:rPr>
          <w:rFonts w:ascii="Times New Roman" w:hAnsi="Times New Roman" w:cs="Times New Roman"/>
          <w:i/>
          <w:szCs w:val="20"/>
        </w:rPr>
        <w:instrText>Abbildung</w:instrText>
      </w:r>
      <w:r w:rsidRPr="00A013E1">
        <w:rPr>
          <w:rFonts w:ascii="Times New Roman" w:hAnsi="Times New Roman" w:cs="Times New Roman"/>
          <w:i/>
          <w:szCs w:val="20"/>
          <w:lang w:val="ru-RU"/>
        </w:rPr>
        <w:instrText xml:space="preserve"> \* </w:instrText>
      </w:r>
      <w:r w:rsidRPr="00A013E1">
        <w:rPr>
          <w:rFonts w:ascii="Times New Roman" w:hAnsi="Times New Roman" w:cs="Times New Roman"/>
          <w:i/>
          <w:szCs w:val="20"/>
        </w:rPr>
        <w:instrText>ARABIC</w:instrText>
      </w:r>
      <w:r w:rsidRPr="00A013E1">
        <w:rPr>
          <w:rFonts w:ascii="Times New Roman" w:hAnsi="Times New Roman" w:cs="Times New Roman"/>
          <w:i/>
          <w:szCs w:val="20"/>
          <w:lang w:val="ru-RU"/>
        </w:rPr>
        <w:instrText xml:space="preserve"> </w:instrText>
      </w:r>
      <w:r w:rsidRPr="00A013E1">
        <w:rPr>
          <w:rFonts w:ascii="Times New Roman" w:hAnsi="Times New Roman" w:cs="Times New Roman"/>
          <w:i/>
          <w:szCs w:val="20"/>
        </w:rPr>
        <w:fldChar w:fldCharType="separate"/>
      </w:r>
      <w:r w:rsidR="00EE7B3C" w:rsidRPr="00A013E1">
        <w:rPr>
          <w:rFonts w:ascii="Times New Roman" w:hAnsi="Times New Roman" w:cs="Times New Roman"/>
          <w:i/>
          <w:noProof/>
          <w:szCs w:val="20"/>
        </w:rPr>
        <w:t>1</w:t>
      </w:r>
      <w:r w:rsidRPr="00A013E1">
        <w:rPr>
          <w:rFonts w:ascii="Times New Roman" w:hAnsi="Times New Roman" w:cs="Times New Roman"/>
          <w:i/>
          <w:szCs w:val="20"/>
        </w:rPr>
        <w:fldChar w:fldCharType="end"/>
      </w:r>
      <w:r w:rsidRPr="00A013E1">
        <w:rPr>
          <w:rFonts w:ascii="Times New Roman" w:hAnsi="Times New Roman" w:cs="Times New Roman"/>
          <w:i/>
          <w:lang w:val="ru-RU"/>
        </w:rPr>
        <w:t>:</w:t>
      </w:r>
      <w:r w:rsidRPr="00A013E1">
        <w:rPr>
          <w:rFonts w:ascii="Times New Roman" w:hAnsi="Times New Roman" w:cs="Times New Roman"/>
          <w:lang w:val="ru-RU"/>
        </w:rPr>
        <w:tab/>
      </w:r>
      <w:r w:rsidRPr="00A013E1">
        <w:rPr>
          <w:rFonts w:ascii="Times New Roman" w:hAnsi="Times New Roman" w:cs="Times New Roman"/>
          <w:i/>
          <w:lang w:val="ru-RU"/>
        </w:rPr>
        <w:t>Дневен график за подаване на отпадъчни води към бордова станция за пречистване с резервоар за отпадъчни води преди нея</w:t>
      </w:r>
    </w:p>
    <w:p w14:paraId="4FA01B7A" w14:textId="77777777" w:rsidR="00271FA2" w:rsidRPr="00A013E1" w:rsidRDefault="00271FA2">
      <w:pPr>
        <w:suppressAutoHyphens/>
        <w:spacing w:line="240" w:lineRule="atLeast"/>
        <w:rPr>
          <w:rFonts w:ascii="Times New Roman" w:hAnsi="Times New Roman" w:cs="Times New Roman"/>
          <w:lang w:val="ru-RU"/>
        </w:rPr>
      </w:pPr>
    </w:p>
    <w:p w14:paraId="4C4AE47F" w14:textId="77777777" w:rsidR="00271FA2" w:rsidRPr="00A013E1" w:rsidRDefault="00D35E51">
      <w:pPr>
        <w:spacing w:line="240" w:lineRule="atLeast"/>
        <w:rPr>
          <w:rFonts w:ascii="Times New Roman" w:hAnsi="Times New Roman" w:cs="Times New Roman"/>
          <w:color w:val="000000"/>
        </w:rPr>
      </w:pPr>
      <w:r w:rsidRPr="00A013E1">
        <w:rPr>
          <w:rFonts w:ascii="Times New Roman" w:hAnsi="Times New Roman" w:cs="Times New Roman"/>
          <w:noProof/>
          <w:color w:val="000000"/>
          <w:lang w:eastAsia="bg-BG"/>
        </w:rPr>
        <w:drawing>
          <wp:inline distT="0" distB="0" distL="0" distR="0" wp14:anchorId="085B5756" wp14:editId="333245BA">
            <wp:extent cx="5358130" cy="2950210"/>
            <wp:effectExtent l="0" t="0" r="0" b="2540"/>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 309"/>
                    <pic:cNvPicPr>
                      <a:picLocks noChangeAspect="1"/>
                    </pic:cNvPicPr>
                  </pic:nvPicPr>
                  <pic:blipFill>
                    <a:blip r:embed="rId173">
                      <a:extLst>
                        <a:ext uri="{28A0092B-C50C-407E-A947-70E740481C1C}">
                          <a14:useLocalDpi xmlns:a14="http://schemas.microsoft.com/office/drawing/2010/main" val="0"/>
                        </a:ext>
                      </a:extLst>
                    </a:blip>
                    <a:stretch>
                      <a:fillRect/>
                    </a:stretch>
                  </pic:blipFill>
                  <pic:spPr>
                    <a:xfrm>
                      <a:off x="0" y="0"/>
                      <a:ext cx="5358384" cy="2950464"/>
                    </a:xfrm>
                    <a:prstGeom prst="rect">
                      <a:avLst/>
                    </a:prstGeom>
                  </pic:spPr>
                </pic:pic>
              </a:graphicData>
            </a:graphic>
          </wp:inline>
        </w:drawing>
      </w:r>
    </w:p>
    <w:p w14:paraId="702CB96B" w14:textId="13135BA7" w:rsidR="00271FA2" w:rsidRPr="00A013E1" w:rsidRDefault="00D35E51">
      <w:pPr>
        <w:spacing w:line="240" w:lineRule="atLeast"/>
        <w:ind w:left="1985" w:hanging="1276"/>
        <w:jc w:val="both"/>
        <w:rPr>
          <w:rFonts w:ascii="Times New Roman" w:hAnsi="Times New Roman" w:cs="Times New Roman"/>
          <w:i/>
          <w:szCs w:val="20"/>
          <w:lang w:val="ru-RU"/>
        </w:rPr>
      </w:pPr>
      <w:r w:rsidRPr="00A013E1">
        <w:rPr>
          <w:rFonts w:ascii="Times New Roman" w:hAnsi="Times New Roman" w:cs="Times New Roman"/>
          <w:i/>
          <w:lang w:val="ru-RU"/>
        </w:rPr>
        <w:lastRenderedPageBreak/>
        <w:t xml:space="preserve">Фигура </w:t>
      </w:r>
      <w:r w:rsidRPr="00A013E1">
        <w:rPr>
          <w:rFonts w:ascii="Times New Roman" w:hAnsi="Times New Roman" w:cs="Times New Roman"/>
          <w:i/>
          <w:szCs w:val="20"/>
        </w:rPr>
        <w:fldChar w:fldCharType="begin"/>
      </w:r>
      <w:r w:rsidRPr="00A013E1">
        <w:rPr>
          <w:rFonts w:ascii="Times New Roman" w:hAnsi="Times New Roman" w:cs="Times New Roman"/>
          <w:i/>
          <w:szCs w:val="20"/>
          <w:lang w:val="ru-RU"/>
        </w:rPr>
        <w:instrText xml:space="preserve"> </w:instrText>
      </w:r>
      <w:r w:rsidRPr="00A013E1">
        <w:rPr>
          <w:rFonts w:ascii="Times New Roman" w:hAnsi="Times New Roman" w:cs="Times New Roman"/>
          <w:i/>
          <w:szCs w:val="20"/>
        </w:rPr>
        <w:instrText>SEQ</w:instrText>
      </w:r>
      <w:r w:rsidRPr="00A013E1">
        <w:rPr>
          <w:rFonts w:ascii="Times New Roman" w:hAnsi="Times New Roman" w:cs="Times New Roman"/>
          <w:i/>
          <w:szCs w:val="20"/>
          <w:lang w:val="ru-RU"/>
        </w:rPr>
        <w:instrText xml:space="preserve"> </w:instrText>
      </w:r>
      <w:r w:rsidRPr="00A013E1">
        <w:rPr>
          <w:rFonts w:ascii="Times New Roman" w:hAnsi="Times New Roman" w:cs="Times New Roman"/>
          <w:i/>
          <w:szCs w:val="20"/>
        </w:rPr>
        <w:instrText>Abbildung</w:instrText>
      </w:r>
      <w:r w:rsidRPr="00A013E1">
        <w:rPr>
          <w:rFonts w:ascii="Times New Roman" w:hAnsi="Times New Roman" w:cs="Times New Roman"/>
          <w:i/>
          <w:szCs w:val="20"/>
          <w:lang w:val="ru-RU"/>
        </w:rPr>
        <w:instrText xml:space="preserve"> \* </w:instrText>
      </w:r>
      <w:r w:rsidRPr="00A013E1">
        <w:rPr>
          <w:rFonts w:ascii="Times New Roman" w:hAnsi="Times New Roman" w:cs="Times New Roman"/>
          <w:i/>
          <w:szCs w:val="20"/>
        </w:rPr>
        <w:instrText>ARABIC</w:instrText>
      </w:r>
      <w:r w:rsidRPr="00A013E1">
        <w:rPr>
          <w:rFonts w:ascii="Times New Roman" w:hAnsi="Times New Roman" w:cs="Times New Roman"/>
          <w:i/>
          <w:szCs w:val="20"/>
          <w:lang w:val="ru-RU"/>
        </w:rPr>
        <w:instrText xml:space="preserve"> </w:instrText>
      </w:r>
      <w:r w:rsidRPr="00A013E1">
        <w:rPr>
          <w:rFonts w:ascii="Times New Roman" w:hAnsi="Times New Roman" w:cs="Times New Roman"/>
          <w:i/>
          <w:szCs w:val="20"/>
        </w:rPr>
        <w:fldChar w:fldCharType="separate"/>
      </w:r>
      <w:r w:rsidR="00EE7B3C" w:rsidRPr="00A013E1">
        <w:rPr>
          <w:rFonts w:ascii="Times New Roman" w:hAnsi="Times New Roman" w:cs="Times New Roman"/>
          <w:i/>
          <w:noProof/>
          <w:szCs w:val="20"/>
        </w:rPr>
        <w:t>2</w:t>
      </w:r>
      <w:r w:rsidRPr="00A013E1">
        <w:rPr>
          <w:rFonts w:ascii="Times New Roman" w:hAnsi="Times New Roman" w:cs="Times New Roman"/>
          <w:i/>
          <w:szCs w:val="20"/>
        </w:rPr>
        <w:fldChar w:fldCharType="end"/>
      </w:r>
      <w:r w:rsidRPr="00A013E1">
        <w:rPr>
          <w:rFonts w:ascii="Times New Roman" w:hAnsi="Times New Roman" w:cs="Times New Roman"/>
          <w:i/>
          <w:lang w:val="ru-RU"/>
        </w:rPr>
        <w:t>:</w:t>
      </w:r>
      <w:r w:rsidRPr="00A013E1">
        <w:rPr>
          <w:rFonts w:ascii="Times New Roman" w:hAnsi="Times New Roman" w:cs="Times New Roman"/>
          <w:lang w:val="ru-RU"/>
        </w:rPr>
        <w:tab/>
      </w:r>
      <w:r w:rsidRPr="00A013E1">
        <w:rPr>
          <w:rFonts w:ascii="Times New Roman" w:hAnsi="Times New Roman" w:cs="Times New Roman"/>
          <w:i/>
          <w:lang w:val="ru-RU"/>
        </w:rPr>
        <w:t>Дневен график за подаване на отпадъчни води към бордова станция за пречистване без резервоар за отпадъчни води преди нея</w:t>
      </w:r>
    </w:p>
    <w:p w14:paraId="7ED2438A" w14:textId="77777777" w:rsidR="00271FA2" w:rsidRPr="00A013E1" w:rsidRDefault="00D35E51">
      <w:pPr>
        <w:spacing w:line="240" w:lineRule="atLeast"/>
        <w:rPr>
          <w:rFonts w:ascii="Times New Roman" w:hAnsi="Times New Roman" w:cs="Times New Roman"/>
          <w:color w:val="000000"/>
          <w:lang w:val="ru-RU"/>
        </w:rPr>
      </w:pPr>
      <w:r w:rsidRPr="00A013E1">
        <w:rPr>
          <w:rFonts w:ascii="Times New Roman" w:hAnsi="Times New Roman" w:cs="Times New Roman"/>
          <w:color w:val="000000"/>
          <w:lang w:val="ru-RU"/>
        </w:rPr>
        <w:br w:type="page"/>
      </w:r>
    </w:p>
    <w:p w14:paraId="63760722" w14:textId="77777777" w:rsidR="00271FA2" w:rsidRPr="00A013E1" w:rsidRDefault="00D35E51" w:rsidP="00C45EE9">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lastRenderedPageBreak/>
        <w:t>3.2</w:t>
      </w:r>
      <w:r w:rsidRPr="00A013E1">
        <w:rPr>
          <w:rFonts w:ascii="Times New Roman" w:hAnsi="Times New Roman" w:cs="Times New Roman"/>
          <w:lang w:val="ru-RU"/>
        </w:rPr>
        <w:tab/>
      </w:r>
      <w:r w:rsidRPr="00A013E1">
        <w:rPr>
          <w:rFonts w:ascii="Times New Roman" w:hAnsi="Times New Roman" w:cs="Times New Roman"/>
          <w:color w:val="000000"/>
          <w:lang w:val="ru-RU"/>
        </w:rPr>
        <w:t>Прекъсване или анулиране на изпитването</w:t>
      </w:r>
    </w:p>
    <w:p w14:paraId="41FC82E3"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Може да е необходимо изпитването да бъде прекъснато, ако изпитвателната пречиствателна станция не може да продължи да работи правилно поради повреда в електрозахранването или неизправност на нейн възел. Изпитването може да бъде прекъснато за продължителността на ремонта. В такива случаи не е необходимо да се повтаря цялото изпитване, а само етапът на натоварване, през който е възникнала неизправността на възела.</w:t>
      </w:r>
    </w:p>
    <w:p w14:paraId="0F3608A6"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След повторно прекъсване на изпитването техническата служба решава дали то може да продължи, или трябва да бъде анулирано. Основанията за решението трябва да бъдат обявени и документирани в протокола от изпитването. Ако изпитването бъде анулирано, то трябва да бъде повторено изцяло.</w:t>
      </w:r>
    </w:p>
    <w:p w14:paraId="26F6750A" w14:textId="77777777" w:rsidR="00271FA2" w:rsidRPr="00A013E1" w:rsidRDefault="00D35E51" w:rsidP="00C45EE9">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3.3</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Проверки на ефективността на пречистване и съответствие с пределните стойности за изходящия поток. </w:t>
      </w:r>
    </w:p>
    <w:p w14:paraId="57F4C4F7"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Техническата служба взема проби от входящия поток на изпитвателната пречиствателна станция и ги анализира с цел да потвърди съответствието с характеристиките на входящия поток. Пробите от отпадъчните води се вземат от изходящия поток на изпитвателната пречиствателна станция и се анализират, за да се определи ефективността на пречистване и съответствието с изискваните пределни стойности за изходящия поток. Извършваното пробовземане включва както обикновени случайни проби, така и 24-часови комбинирани проби. В случай на 24-часови комбинирани проби може да бъде извършвано пробовземане пропорционално на времето или на потока. Видът на 24-часовата комбинирана проба се определя от контролния орган. Вземането на проби от входящия и изходящия поток се извършва едновременно и в една и съща степен. </w:t>
      </w:r>
    </w:p>
    <w:p w14:paraId="64352ABE"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Освен контролните параметри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Pr="00A013E1">
        <w:rPr>
          <w:rFonts w:ascii="Times New Roman" w:hAnsi="Times New Roman" w:cs="Times New Roman"/>
          <w:lang w:val="ru-RU"/>
        </w:rPr>
        <w:t xml:space="preserve">, </w:t>
      </w:r>
      <w:r w:rsidRPr="00A013E1">
        <w:rPr>
          <w:rFonts w:ascii="Times New Roman" w:hAnsi="Times New Roman" w:cs="Times New Roman"/>
        </w:rPr>
        <w:t>COD</w:t>
      </w:r>
      <w:r w:rsidRPr="00A013E1">
        <w:rPr>
          <w:rFonts w:ascii="Times New Roman" w:hAnsi="Times New Roman" w:cs="Times New Roman"/>
          <w:lang w:val="ru-RU"/>
        </w:rPr>
        <w:t xml:space="preserve"> и </w:t>
      </w:r>
      <w:r w:rsidRPr="00A013E1">
        <w:rPr>
          <w:rFonts w:ascii="Times New Roman" w:hAnsi="Times New Roman" w:cs="Times New Roman"/>
        </w:rPr>
        <w:t>TOC</w:t>
      </w:r>
      <w:r w:rsidRPr="00A013E1">
        <w:rPr>
          <w:rFonts w:ascii="Times New Roman" w:hAnsi="Times New Roman" w:cs="Times New Roman"/>
          <w:vertAlign w:val="superscript"/>
          <w:lang w:val="ru-RU"/>
        </w:rPr>
        <w:t>(</w:t>
      </w:r>
      <w:r w:rsidRPr="00A013E1">
        <w:rPr>
          <w:rFonts w:ascii="Times New Roman" w:hAnsi="Times New Roman" w:cs="Times New Roman"/>
          <w:vertAlign w:val="superscript"/>
        </w:rPr>
        <w:footnoteReference w:id="52"/>
      </w:r>
      <w:r w:rsidRPr="00A013E1">
        <w:rPr>
          <w:rFonts w:ascii="Times New Roman" w:hAnsi="Times New Roman" w:cs="Times New Roman"/>
          <w:vertAlign w:val="superscript"/>
          <w:lang w:val="ru-RU"/>
        </w:rPr>
        <w:t>)</w:t>
      </w:r>
      <w:r w:rsidRPr="00A013E1">
        <w:rPr>
          <w:rFonts w:ascii="Times New Roman" w:hAnsi="Times New Roman" w:cs="Times New Roman"/>
          <w:lang w:val="ru-RU"/>
        </w:rPr>
        <w:t xml:space="preserve"> се измерват следните параметри на входящия и изходящия поток, за да бъдат описани и представени условията на околната среда и условията на изпитване:</w:t>
      </w:r>
    </w:p>
    <w:p w14:paraId="66B5B441" w14:textId="77777777" w:rsidR="00271FA2" w:rsidRPr="00A013E1" w:rsidRDefault="00D35E51" w:rsidP="00C45EE9">
      <w:pPr>
        <w:numPr>
          <w:ilvl w:val="0"/>
          <w:numId w:val="44"/>
        </w:num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твърди вещества, отстраними чрез филтрация (</w:t>
      </w:r>
      <w:r w:rsidRPr="00A013E1">
        <w:rPr>
          <w:rFonts w:ascii="Times New Roman" w:hAnsi="Times New Roman" w:cs="Times New Roman"/>
        </w:rPr>
        <w:t>SRF</w:t>
      </w:r>
      <w:r w:rsidRPr="00A013E1">
        <w:rPr>
          <w:rFonts w:ascii="Times New Roman" w:hAnsi="Times New Roman" w:cs="Times New Roman"/>
          <w:lang w:val="ru-RU"/>
        </w:rPr>
        <w:t>);</w:t>
      </w:r>
    </w:p>
    <w:p w14:paraId="63D11DC5"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б) </w:t>
      </w:r>
      <w:r w:rsidRPr="00A013E1">
        <w:rPr>
          <w:rFonts w:ascii="Times New Roman" w:hAnsi="Times New Roman" w:cs="Times New Roman"/>
        </w:rPr>
        <w:t>pH</w:t>
      </w:r>
      <w:r w:rsidRPr="00A013E1">
        <w:rPr>
          <w:rFonts w:ascii="Times New Roman" w:hAnsi="Times New Roman" w:cs="Times New Roman"/>
          <w:lang w:val="ru-RU"/>
        </w:rPr>
        <w:t>;</w:t>
      </w:r>
    </w:p>
    <w:p w14:paraId="686FE794"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 проводимост;</w:t>
      </w:r>
    </w:p>
    <w:p w14:paraId="281410E1"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г) температура на течните фази. </w:t>
      </w:r>
    </w:p>
    <w:p w14:paraId="24D841BC"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Броят на проверките се мени в зависимост от съответния етап на натоварване и е даден в таблица 2. Броят на пробовземанията е свързан с входящия и изходящия поток на изпитвателната пречиствателна станция. </w:t>
      </w:r>
    </w:p>
    <w:p w14:paraId="175E9367" w14:textId="77777777" w:rsidR="00271FA2" w:rsidRPr="00A013E1" w:rsidRDefault="00D35E51">
      <w:pPr>
        <w:spacing w:line="240" w:lineRule="atLeast"/>
        <w:rPr>
          <w:rFonts w:ascii="Times New Roman" w:hAnsi="Times New Roman" w:cs="Times New Roman"/>
          <w:color w:val="000000"/>
          <w:lang w:val="ru-RU"/>
        </w:rPr>
      </w:pPr>
      <w:r w:rsidRPr="00A013E1">
        <w:rPr>
          <w:rFonts w:ascii="Times New Roman" w:hAnsi="Times New Roman" w:cs="Times New Roman"/>
          <w:color w:val="000000"/>
          <w:lang w:val="ru-RU"/>
        </w:rPr>
        <w:br w:type="page"/>
      </w:r>
    </w:p>
    <w:p w14:paraId="2249A28C" w14:textId="77777777" w:rsidR="00271FA2" w:rsidRPr="00A013E1" w:rsidRDefault="00D35E51">
      <w:pPr>
        <w:spacing w:line="240" w:lineRule="atLeast"/>
        <w:ind w:left="1560" w:hanging="851"/>
        <w:jc w:val="both"/>
        <w:rPr>
          <w:rFonts w:ascii="Times New Roman" w:hAnsi="Times New Roman" w:cs="Times New Roman"/>
          <w:color w:val="000000"/>
          <w:lang w:val="ru-RU"/>
        </w:rPr>
      </w:pPr>
      <w:r w:rsidRPr="00A013E1">
        <w:rPr>
          <w:rFonts w:ascii="Times New Roman" w:hAnsi="Times New Roman" w:cs="Times New Roman"/>
          <w:color w:val="000000"/>
          <w:lang w:val="ru-RU"/>
        </w:rPr>
        <w:lastRenderedPageBreak/>
        <w:t>Таблица 2:</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Спецификация за броя и графика на пробовземанията от входящия и изходящия поток на изпитвателната пречиствателна станция </w:t>
      </w:r>
    </w:p>
    <w:tbl>
      <w:tblPr>
        <w:tblW w:w="859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309"/>
        <w:gridCol w:w="2365"/>
        <w:gridCol w:w="3214"/>
        <w:gridCol w:w="14"/>
      </w:tblGrid>
      <w:tr w:rsidR="00271FA2" w:rsidRPr="00A013E1" w14:paraId="63539A02" w14:textId="77777777" w:rsidTr="00B71E3A">
        <w:trPr>
          <w:gridAfter w:val="1"/>
          <w:wAfter w:w="14" w:type="dxa"/>
        </w:trPr>
        <w:tc>
          <w:tcPr>
            <w:tcW w:w="1697" w:type="dxa"/>
          </w:tcPr>
          <w:p w14:paraId="7DED9D50"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Етап на натоварване</w:t>
            </w:r>
          </w:p>
        </w:tc>
        <w:tc>
          <w:tcPr>
            <w:tcW w:w="1309" w:type="dxa"/>
          </w:tcPr>
          <w:p w14:paraId="1FB8F8B5"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Брой дни на изпитване</w:t>
            </w:r>
          </w:p>
        </w:tc>
        <w:tc>
          <w:tcPr>
            <w:tcW w:w="2365" w:type="dxa"/>
          </w:tcPr>
          <w:p w14:paraId="1629E7F0"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Брой пробовземания</w:t>
            </w:r>
          </w:p>
        </w:tc>
        <w:tc>
          <w:tcPr>
            <w:tcW w:w="3214" w:type="dxa"/>
          </w:tcPr>
          <w:p w14:paraId="60B38DCB"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Спецификация за графика на пробовземанията</w:t>
            </w:r>
          </w:p>
        </w:tc>
      </w:tr>
      <w:tr w:rsidR="00271FA2" w:rsidRPr="00A013E1" w14:paraId="44CBB55F" w14:textId="77777777" w:rsidTr="00B71E3A">
        <w:trPr>
          <w:gridAfter w:val="1"/>
          <w:wAfter w:w="14" w:type="dxa"/>
        </w:trPr>
        <w:tc>
          <w:tcPr>
            <w:tcW w:w="1697" w:type="dxa"/>
          </w:tcPr>
          <w:p w14:paraId="194822D5"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Нормално натоварване</w:t>
            </w:r>
          </w:p>
        </w:tc>
        <w:tc>
          <w:tcPr>
            <w:tcW w:w="1309" w:type="dxa"/>
          </w:tcPr>
          <w:p w14:paraId="7F6D12A0"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20 дни</w:t>
            </w:r>
          </w:p>
        </w:tc>
        <w:tc>
          <w:tcPr>
            <w:tcW w:w="2365" w:type="dxa"/>
          </w:tcPr>
          <w:p w14:paraId="16708EBF" w14:textId="77777777" w:rsidR="00271FA2" w:rsidRPr="00A013E1" w:rsidRDefault="00D35E51">
            <w:pPr>
              <w:tabs>
                <w:tab w:val="left" w:pos="2081"/>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24-часови комбинирани проби: </w:t>
            </w:r>
            <w:r w:rsidRPr="00A013E1">
              <w:rPr>
                <w:rFonts w:ascii="Times New Roman" w:hAnsi="Times New Roman" w:cs="Times New Roman"/>
                <w:sz w:val="20"/>
                <w:szCs w:val="20"/>
                <w:lang w:val="ru-RU"/>
              </w:rPr>
              <w:tab/>
              <w:t>8</w:t>
            </w:r>
            <w:r w:rsidRPr="00A013E1">
              <w:rPr>
                <w:rFonts w:ascii="Times New Roman" w:hAnsi="Times New Roman" w:cs="Times New Roman"/>
                <w:sz w:val="20"/>
                <w:szCs w:val="20"/>
                <w:lang w:val="ru-RU"/>
              </w:rPr>
              <w:br/>
              <w:t xml:space="preserve">Случайни проби: </w:t>
            </w:r>
            <w:r w:rsidRPr="00A013E1">
              <w:rPr>
                <w:rFonts w:ascii="Times New Roman" w:hAnsi="Times New Roman" w:cs="Times New Roman"/>
                <w:sz w:val="20"/>
                <w:szCs w:val="20"/>
                <w:lang w:val="ru-RU"/>
              </w:rPr>
              <w:tab/>
              <w:t>8</w:t>
            </w:r>
          </w:p>
        </w:tc>
        <w:tc>
          <w:tcPr>
            <w:tcW w:w="3214" w:type="dxa"/>
          </w:tcPr>
          <w:p w14:paraId="7720EA5C"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Вземане на проби през равни интервали през целия период</w:t>
            </w:r>
          </w:p>
        </w:tc>
      </w:tr>
      <w:tr w:rsidR="00271FA2" w:rsidRPr="00A013E1" w14:paraId="4CF1E786" w14:textId="77777777" w:rsidTr="00B71E3A">
        <w:trPr>
          <w:gridAfter w:val="1"/>
          <w:wAfter w:w="14" w:type="dxa"/>
        </w:trPr>
        <w:tc>
          <w:tcPr>
            <w:tcW w:w="1697" w:type="dxa"/>
          </w:tcPr>
          <w:p w14:paraId="55F9D15B"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Претоварване</w:t>
            </w:r>
          </w:p>
        </w:tc>
        <w:tc>
          <w:tcPr>
            <w:tcW w:w="1309" w:type="dxa"/>
          </w:tcPr>
          <w:p w14:paraId="6BE173B6"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3 дни</w:t>
            </w:r>
          </w:p>
        </w:tc>
        <w:tc>
          <w:tcPr>
            <w:tcW w:w="2365" w:type="dxa"/>
          </w:tcPr>
          <w:p w14:paraId="4320FD49" w14:textId="77777777" w:rsidR="00271FA2" w:rsidRPr="00A013E1" w:rsidRDefault="00D35E51">
            <w:pPr>
              <w:tabs>
                <w:tab w:val="left" w:pos="2081"/>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24-часови комбинирани проби:</w:t>
            </w:r>
            <w:r w:rsidRPr="00A013E1">
              <w:rPr>
                <w:rFonts w:ascii="Times New Roman" w:hAnsi="Times New Roman" w:cs="Times New Roman"/>
                <w:sz w:val="20"/>
                <w:szCs w:val="20"/>
                <w:lang w:val="ru-RU"/>
              </w:rPr>
              <w:tab/>
              <w:t>2</w:t>
            </w:r>
            <w:r w:rsidRPr="00A013E1">
              <w:rPr>
                <w:rFonts w:ascii="Times New Roman" w:hAnsi="Times New Roman" w:cs="Times New Roman"/>
                <w:sz w:val="20"/>
                <w:szCs w:val="20"/>
                <w:lang w:val="ru-RU"/>
              </w:rPr>
              <w:br/>
              <w:t xml:space="preserve">Случайни проби: </w:t>
            </w:r>
            <w:r w:rsidRPr="00A013E1">
              <w:rPr>
                <w:rFonts w:ascii="Times New Roman" w:hAnsi="Times New Roman" w:cs="Times New Roman"/>
                <w:sz w:val="20"/>
                <w:szCs w:val="20"/>
                <w:lang w:val="ru-RU"/>
              </w:rPr>
              <w:tab/>
              <w:t>2</w:t>
            </w:r>
          </w:p>
        </w:tc>
        <w:tc>
          <w:tcPr>
            <w:tcW w:w="3214" w:type="dxa"/>
          </w:tcPr>
          <w:p w14:paraId="63A1B036"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Вземане на проби през равни интервали през целия период</w:t>
            </w:r>
          </w:p>
        </w:tc>
      </w:tr>
      <w:tr w:rsidR="00271FA2" w:rsidRPr="00A013E1" w14:paraId="72499985" w14:textId="77777777" w:rsidTr="00B71E3A">
        <w:trPr>
          <w:gridAfter w:val="1"/>
          <w:wAfter w:w="14" w:type="dxa"/>
        </w:trPr>
        <w:tc>
          <w:tcPr>
            <w:tcW w:w="1697" w:type="dxa"/>
          </w:tcPr>
          <w:p w14:paraId="774BECB3"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Недонатоварване</w:t>
            </w:r>
          </w:p>
        </w:tc>
        <w:tc>
          <w:tcPr>
            <w:tcW w:w="1309" w:type="dxa"/>
          </w:tcPr>
          <w:p w14:paraId="36C473E2"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3 дни</w:t>
            </w:r>
          </w:p>
        </w:tc>
        <w:tc>
          <w:tcPr>
            <w:tcW w:w="2365" w:type="dxa"/>
          </w:tcPr>
          <w:p w14:paraId="299E6B76" w14:textId="77777777" w:rsidR="00271FA2" w:rsidRPr="00A013E1" w:rsidRDefault="00D35E51">
            <w:pPr>
              <w:tabs>
                <w:tab w:val="left" w:pos="2081"/>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24-часови комбинирани проби: </w:t>
            </w:r>
            <w:r w:rsidRPr="00A013E1">
              <w:rPr>
                <w:rFonts w:ascii="Times New Roman" w:hAnsi="Times New Roman" w:cs="Times New Roman"/>
                <w:sz w:val="20"/>
                <w:szCs w:val="20"/>
                <w:lang w:val="ru-RU"/>
              </w:rPr>
              <w:tab/>
              <w:t>2</w:t>
            </w:r>
            <w:r w:rsidRPr="00A013E1">
              <w:rPr>
                <w:rFonts w:ascii="Times New Roman" w:hAnsi="Times New Roman" w:cs="Times New Roman"/>
                <w:sz w:val="20"/>
                <w:szCs w:val="20"/>
                <w:lang w:val="ru-RU"/>
              </w:rPr>
              <w:br/>
              <w:t xml:space="preserve">Случайни проби: </w:t>
            </w:r>
            <w:r w:rsidRPr="00A013E1">
              <w:rPr>
                <w:rFonts w:ascii="Times New Roman" w:hAnsi="Times New Roman" w:cs="Times New Roman"/>
                <w:sz w:val="20"/>
                <w:szCs w:val="20"/>
                <w:lang w:val="ru-RU"/>
              </w:rPr>
              <w:tab/>
              <w:t>2</w:t>
            </w:r>
          </w:p>
        </w:tc>
        <w:tc>
          <w:tcPr>
            <w:tcW w:w="3214" w:type="dxa"/>
          </w:tcPr>
          <w:p w14:paraId="3D8D56D9"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Вземане на проби през равни интервали през целия период</w:t>
            </w:r>
          </w:p>
        </w:tc>
      </w:tr>
      <w:tr w:rsidR="00271FA2" w:rsidRPr="00A013E1" w14:paraId="02B1562C" w14:textId="77777777" w:rsidTr="00B71E3A">
        <w:trPr>
          <w:gridAfter w:val="1"/>
          <w:wAfter w:w="14" w:type="dxa"/>
        </w:trPr>
        <w:tc>
          <w:tcPr>
            <w:tcW w:w="1697" w:type="dxa"/>
          </w:tcPr>
          <w:p w14:paraId="0C938997"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В режим на готовност</w:t>
            </w:r>
          </w:p>
        </w:tc>
        <w:tc>
          <w:tcPr>
            <w:tcW w:w="1309" w:type="dxa"/>
          </w:tcPr>
          <w:p w14:paraId="13122C84"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4 дни</w:t>
            </w:r>
          </w:p>
        </w:tc>
        <w:tc>
          <w:tcPr>
            <w:tcW w:w="2365" w:type="dxa"/>
          </w:tcPr>
          <w:p w14:paraId="3B428272" w14:textId="77777777" w:rsidR="00271FA2" w:rsidRPr="00A013E1" w:rsidRDefault="00D35E51">
            <w:pPr>
              <w:tabs>
                <w:tab w:val="left" w:pos="2081"/>
              </w:tabs>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24-часови комбинирани проби: </w:t>
            </w:r>
            <w:r w:rsidRPr="00A013E1">
              <w:rPr>
                <w:rFonts w:ascii="Times New Roman" w:hAnsi="Times New Roman" w:cs="Times New Roman"/>
                <w:sz w:val="20"/>
                <w:szCs w:val="20"/>
                <w:lang w:val="ru-RU"/>
              </w:rPr>
              <w:tab/>
              <w:t>2</w:t>
            </w:r>
            <w:r w:rsidRPr="00A013E1">
              <w:rPr>
                <w:rFonts w:ascii="Times New Roman" w:hAnsi="Times New Roman" w:cs="Times New Roman"/>
                <w:sz w:val="20"/>
                <w:szCs w:val="20"/>
                <w:lang w:val="ru-RU"/>
              </w:rPr>
              <w:br/>
              <w:t xml:space="preserve">Случайни проби: </w:t>
            </w:r>
            <w:r w:rsidRPr="00A013E1">
              <w:rPr>
                <w:rFonts w:ascii="Times New Roman" w:hAnsi="Times New Roman" w:cs="Times New Roman"/>
                <w:sz w:val="20"/>
                <w:szCs w:val="20"/>
                <w:lang w:val="ru-RU"/>
              </w:rPr>
              <w:tab/>
              <w:t>2</w:t>
            </w:r>
          </w:p>
        </w:tc>
        <w:tc>
          <w:tcPr>
            <w:tcW w:w="3214" w:type="dxa"/>
          </w:tcPr>
          <w:p w14:paraId="019315A0"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24-часови комбинирани проби: Вземане на проба след пускането на входящия поток и 24 часа по-късно.</w:t>
            </w:r>
            <w:r w:rsidRPr="00A013E1">
              <w:rPr>
                <w:rFonts w:ascii="Times New Roman" w:hAnsi="Times New Roman" w:cs="Times New Roman"/>
                <w:sz w:val="20"/>
                <w:szCs w:val="20"/>
                <w:lang w:val="ru-RU"/>
              </w:rPr>
              <w:br/>
              <w:t>Случайна проба: 1 час след пускането на входящия поток и 24 часа по-късно.</w:t>
            </w:r>
          </w:p>
        </w:tc>
      </w:tr>
      <w:tr w:rsidR="00271FA2" w:rsidRPr="00A013E1" w14:paraId="02C0C840" w14:textId="77777777" w:rsidTr="00B71E3A">
        <w:tc>
          <w:tcPr>
            <w:tcW w:w="8599" w:type="dxa"/>
            <w:gridSpan w:val="5"/>
          </w:tcPr>
          <w:p w14:paraId="68438E8E"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Общ брой на 24-часовите комбинирани проби: 14</w:t>
            </w:r>
            <w:r w:rsidRPr="00A013E1">
              <w:rPr>
                <w:rFonts w:ascii="Times New Roman" w:hAnsi="Times New Roman" w:cs="Times New Roman"/>
                <w:sz w:val="20"/>
                <w:szCs w:val="20"/>
                <w:lang w:val="ru-RU"/>
              </w:rPr>
              <w:tab/>
            </w:r>
            <w:r w:rsidRPr="00A013E1">
              <w:rPr>
                <w:rFonts w:ascii="Times New Roman" w:hAnsi="Times New Roman" w:cs="Times New Roman"/>
                <w:sz w:val="20"/>
                <w:szCs w:val="20"/>
                <w:lang w:val="ru-RU"/>
              </w:rPr>
              <w:br/>
              <w:t>Общ брой случайни проби: 14</w:t>
            </w:r>
          </w:p>
        </w:tc>
      </w:tr>
    </w:tbl>
    <w:p w14:paraId="38CEDE45" w14:textId="77777777" w:rsidR="00271FA2" w:rsidRPr="00A013E1" w:rsidRDefault="00D35E51" w:rsidP="00C45EE9">
      <w:pPr>
        <w:spacing w:before="240" w:line="240" w:lineRule="atLeast"/>
        <w:jc w:val="both"/>
        <w:rPr>
          <w:rFonts w:ascii="Times New Roman" w:hAnsi="Times New Roman" w:cs="Times New Roman"/>
          <w:lang w:val="ru-RU"/>
        </w:rPr>
      </w:pPr>
      <w:r w:rsidRPr="00A013E1">
        <w:rPr>
          <w:rFonts w:ascii="Times New Roman" w:hAnsi="Times New Roman" w:cs="Times New Roman"/>
          <w:lang w:val="ru-RU"/>
        </w:rPr>
        <w:t>Когато е приложимо, от взетите случайни проби се измерват и следните работни параметри:</w:t>
      </w:r>
    </w:p>
    <w:p w14:paraId="7331DE8C" w14:textId="77777777" w:rsidR="00271FA2" w:rsidRPr="00A013E1" w:rsidRDefault="00D35E51" w:rsidP="00C45EE9">
      <w:pPr>
        <w:numPr>
          <w:ilvl w:val="0"/>
          <w:numId w:val="45"/>
        </w:num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концентрация на разтворен кислород в биобасейна;</w:t>
      </w:r>
    </w:p>
    <w:p w14:paraId="5B339DC3"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б) съдържание на сухо вещество в биобасейна;</w:t>
      </w:r>
    </w:p>
    <w:p w14:paraId="66383A3F"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 температура в биобасейна;</w:t>
      </w:r>
    </w:p>
    <w:p w14:paraId="161F7F1F"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г) температура на околната среда;</w:t>
      </w:r>
    </w:p>
    <w:p w14:paraId="515C81E1"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д) други работни параметри в съответствие с ръководството за работа от производителя.</w:t>
      </w:r>
    </w:p>
    <w:p w14:paraId="64EF88BA" w14:textId="77777777" w:rsidR="00271FA2" w:rsidRPr="00A013E1" w:rsidRDefault="00D35E51" w:rsidP="00C45EE9">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3.4</w:t>
      </w:r>
      <w:r w:rsidRPr="00A013E1">
        <w:rPr>
          <w:rFonts w:ascii="Times New Roman" w:hAnsi="Times New Roman" w:cs="Times New Roman"/>
          <w:lang w:val="ru-RU"/>
        </w:rPr>
        <w:tab/>
      </w:r>
      <w:r w:rsidRPr="00A013E1">
        <w:rPr>
          <w:rFonts w:ascii="Times New Roman" w:hAnsi="Times New Roman" w:cs="Times New Roman"/>
          <w:color w:val="000000"/>
          <w:lang w:val="ru-RU"/>
        </w:rPr>
        <w:t>Оценка на проверките</w:t>
      </w:r>
    </w:p>
    <w:p w14:paraId="545D284D"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С цел да бъде документирана определената ефективност на пречистване и да се провери спазването на пределните стойности за процеса се посочват минималната стойност от пробите (Мин.), максималната стойност от пробите (Макс.) и средноаритметичната стойност (Средно), както и отделните резултати от измерванията за контролните параметри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Pr="00A013E1">
        <w:rPr>
          <w:rFonts w:ascii="Times New Roman" w:hAnsi="Times New Roman" w:cs="Times New Roman"/>
          <w:lang w:val="ru-RU"/>
        </w:rPr>
        <w:t xml:space="preserve">, </w:t>
      </w:r>
      <w:r w:rsidRPr="00A013E1">
        <w:rPr>
          <w:rFonts w:ascii="Times New Roman" w:hAnsi="Times New Roman" w:cs="Times New Roman"/>
        </w:rPr>
        <w:t>COD</w:t>
      </w:r>
      <w:r w:rsidRPr="00A013E1">
        <w:rPr>
          <w:rFonts w:ascii="Times New Roman" w:hAnsi="Times New Roman" w:cs="Times New Roman"/>
          <w:lang w:val="ru-RU"/>
        </w:rPr>
        <w:t xml:space="preserve"> и </w:t>
      </w:r>
      <w:r w:rsidRPr="00A013E1">
        <w:rPr>
          <w:rFonts w:ascii="Times New Roman" w:hAnsi="Times New Roman" w:cs="Times New Roman"/>
        </w:rPr>
        <w:t>TOC</w:t>
      </w:r>
      <w:r w:rsidRPr="00A013E1">
        <w:rPr>
          <w:rFonts w:ascii="Times New Roman" w:hAnsi="Times New Roman" w:cs="Times New Roman"/>
          <w:lang w:val="ru-RU"/>
        </w:rPr>
        <w:t>.</w:t>
      </w:r>
    </w:p>
    <w:p w14:paraId="14DFFEEC" w14:textId="77777777" w:rsidR="00271FA2" w:rsidRPr="00A013E1" w:rsidRDefault="00D35E51" w:rsidP="00C45EE9">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lastRenderedPageBreak/>
        <w:t>За максималната стойност от пробите се дава и етапът на натоварване. Оценките се правят за всички етапи на натоварване, взети заедно. Резултатите се обработват, както е показано в следната таблица:</w:t>
      </w:r>
    </w:p>
    <w:p w14:paraId="70435B41" w14:textId="77777777" w:rsidR="00271FA2" w:rsidRPr="00A013E1" w:rsidRDefault="00D35E51" w:rsidP="00C45EE9">
      <w:pPr>
        <w:spacing w:line="240" w:lineRule="atLeast"/>
        <w:ind w:left="567" w:hanging="567"/>
        <w:rPr>
          <w:rFonts w:ascii="Times New Roman" w:hAnsi="Times New Roman" w:cs="Times New Roman"/>
          <w:lang w:val="ru-RU"/>
        </w:rPr>
      </w:pPr>
      <w:r w:rsidRPr="00A013E1">
        <w:rPr>
          <w:rFonts w:ascii="Times New Roman" w:hAnsi="Times New Roman" w:cs="Times New Roman"/>
          <w:lang w:val="ru-RU"/>
        </w:rPr>
        <w:br w:type="page"/>
      </w:r>
    </w:p>
    <w:p w14:paraId="6310BD4E" w14:textId="77777777" w:rsidR="00271FA2" w:rsidRPr="00A013E1" w:rsidRDefault="00D35E51">
      <w:pPr>
        <w:tabs>
          <w:tab w:val="left" w:pos="0"/>
        </w:tabs>
        <w:suppressAutoHyphens/>
        <w:spacing w:line="240" w:lineRule="atLeast"/>
        <w:ind w:left="1701" w:hanging="1701"/>
        <w:jc w:val="both"/>
        <w:rPr>
          <w:rFonts w:ascii="Times New Roman" w:hAnsi="Times New Roman" w:cs="Times New Roman"/>
          <w:szCs w:val="20"/>
          <w:lang w:val="ru-RU"/>
        </w:rPr>
      </w:pPr>
      <w:r w:rsidRPr="00A013E1">
        <w:rPr>
          <w:rFonts w:ascii="Times New Roman" w:hAnsi="Times New Roman" w:cs="Times New Roman"/>
          <w:lang w:val="ru-RU"/>
        </w:rPr>
        <w:lastRenderedPageBreak/>
        <w:t>Таблица 3а:</w:t>
      </w:r>
      <w:r w:rsidRPr="00A013E1">
        <w:rPr>
          <w:rFonts w:ascii="Times New Roman" w:hAnsi="Times New Roman" w:cs="Times New Roman"/>
          <w:lang w:val="ru-RU"/>
        </w:rPr>
        <w:tab/>
        <w:t xml:space="preserve">Спецификация за статистическата обработка на събраните данни - оценяване с цел документиране на съответствието с пределните стойности за изходящия поток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2325"/>
        <w:gridCol w:w="1419"/>
        <w:gridCol w:w="927"/>
        <w:gridCol w:w="848"/>
        <w:gridCol w:w="1028"/>
        <w:gridCol w:w="903"/>
      </w:tblGrid>
      <w:tr w:rsidR="00271FA2" w:rsidRPr="00A013E1" w14:paraId="5958BD78" w14:textId="77777777">
        <w:trPr>
          <w:jc w:val="center"/>
        </w:trPr>
        <w:tc>
          <w:tcPr>
            <w:tcW w:w="1657" w:type="dxa"/>
            <w:vMerge w:val="restart"/>
            <w:vAlign w:val="center"/>
          </w:tcPr>
          <w:p w14:paraId="143B3A5F"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Параметър</w:t>
            </w:r>
          </w:p>
        </w:tc>
        <w:tc>
          <w:tcPr>
            <w:tcW w:w="2325" w:type="dxa"/>
            <w:vMerge w:val="restart"/>
            <w:vAlign w:val="center"/>
          </w:tcPr>
          <w:p w14:paraId="3F3B0A9B"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Вид на пробата</w:t>
            </w:r>
          </w:p>
        </w:tc>
        <w:tc>
          <w:tcPr>
            <w:tcW w:w="1303" w:type="dxa"/>
            <w:vMerge w:val="restart"/>
            <w:vAlign w:val="center"/>
          </w:tcPr>
          <w:p w14:paraId="5712A9B5" w14:textId="77777777" w:rsidR="00271FA2" w:rsidRPr="00A013E1" w:rsidRDefault="00D35E51">
            <w:pPr>
              <w:spacing w:line="240" w:lineRule="atLeast"/>
              <w:jc w:val="center"/>
              <w:rPr>
                <w:rFonts w:ascii="Times New Roman" w:hAnsi="Times New Roman" w:cs="Times New Roman"/>
                <w:sz w:val="20"/>
                <w:szCs w:val="20"/>
                <w:lang w:val="ru-RU"/>
              </w:rPr>
            </w:pPr>
            <w:r w:rsidRPr="00A013E1">
              <w:rPr>
                <w:rFonts w:ascii="Times New Roman" w:hAnsi="Times New Roman" w:cs="Times New Roman"/>
                <w:sz w:val="20"/>
                <w:szCs w:val="20"/>
                <w:lang w:val="ru-RU"/>
              </w:rPr>
              <w:t>Брой на изпитванията, при които са спазени пределните стойности</w:t>
            </w:r>
          </w:p>
        </w:tc>
        <w:tc>
          <w:tcPr>
            <w:tcW w:w="927" w:type="dxa"/>
            <w:vMerge w:val="restart"/>
            <w:vAlign w:val="center"/>
          </w:tcPr>
          <w:p w14:paraId="020576F3"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Средно</w:t>
            </w:r>
          </w:p>
        </w:tc>
        <w:tc>
          <w:tcPr>
            <w:tcW w:w="848" w:type="dxa"/>
            <w:vMerge w:val="restart"/>
            <w:vAlign w:val="center"/>
          </w:tcPr>
          <w:p w14:paraId="26B0F4DD"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Мин.</w:t>
            </w:r>
          </w:p>
        </w:tc>
        <w:tc>
          <w:tcPr>
            <w:tcW w:w="1814" w:type="dxa"/>
            <w:gridSpan w:val="2"/>
            <w:vAlign w:val="center"/>
          </w:tcPr>
          <w:p w14:paraId="6DAE78AF"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Макс.</w:t>
            </w:r>
          </w:p>
        </w:tc>
      </w:tr>
      <w:tr w:rsidR="00271FA2" w:rsidRPr="00A013E1" w14:paraId="4CBE575D" w14:textId="77777777">
        <w:trPr>
          <w:jc w:val="center"/>
        </w:trPr>
        <w:tc>
          <w:tcPr>
            <w:tcW w:w="1657" w:type="dxa"/>
            <w:vMerge/>
          </w:tcPr>
          <w:p w14:paraId="3C699403" w14:textId="77777777" w:rsidR="00271FA2" w:rsidRPr="00A013E1" w:rsidRDefault="00271FA2">
            <w:pPr>
              <w:spacing w:line="240" w:lineRule="atLeast"/>
              <w:rPr>
                <w:rFonts w:ascii="Times New Roman" w:hAnsi="Times New Roman" w:cs="Times New Roman"/>
                <w:sz w:val="20"/>
                <w:szCs w:val="20"/>
              </w:rPr>
            </w:pPr>
          </w:p>
        </w:tc>
        <w:tc>
          <w:tcPr>
            <w:tcW w:w="2325" w:type="dxa"/>
            <w:vMerge/>
          </w:tcPr>
          <w:p w14:paraId="396014C0" w14:textId="77777777" w:rsidR="00271FA2" w:rsidRPr="00A013E1" w:rsidRDefault="00271FA2">
            <w:pPr>
              <w:spacing w:line="240" w:lineRule="atLeast"/>
              <w:jc w:val="center"/>
              <w:rPr>
                <w:rFonts w:ascii="Times New Roman" w:hAnsi="Times New Roman" w:cs="Times New Roman"/>
                <w:sz w:val="20"/>
                <w:szCs w:val="20"/>
              </w:rPr>
            </w:pPr>
          </w:p>
        </w:tc>
        <w:tc>
          <w:tcPr>
            <w:tcW w:w="1303" w:type="dxa"/>
            <w:vMerge/>
          </w:tcPr>
          <w:p w14:paraId="3608E58A" w14:textId="77777777" w:rsidR="00271FA2" w:rsidRPr="00A013E1" w:rsidRDefault="00271FA2">
            <w:pPr>
              <w:spacing w:line="240" w:lineRule="atLeast"/>
              <w:jc w:val="center"/>
              <w:rPr>
                <w:rFonts w:ascii="Times New Roman" w:hAnsi="Times New Roman" w:cs="Times New Roman"/>
                <w:sz w:val="20"/>
                <w:szCs w:val="20"/>
              </w:rPr>
            </w:pPr>
          </w:p>
        </w:tc>
        <w:tc>
          <w:tcPr>
            <w:tcW w:w="927" w:type="dxa"/>
            <w:vMerge/>
          </w:tcPr>
          <w:p w14:paraId="0E5AA62B" w14:textId="77777777" w:rsidR="00271FA2" w:rsidRPr="00A013E1" w:rsidRDefault="00271FA2">
            <w:pPr>
              <w:spacing w:line="240" w:lineRule="atLeast"/>
              <w:jc w:val="center"/>
              <w:rPr>
                <w:rFonts w:ascii="Times New Roman" w:hAnsi="Times New Roman" w:cs="Times New Roman"/>
                <w:sz w:val="20"/>
                <w:szCs w:val="20"/>
              </w:rPr>
            </w:pPr>
          </w:p>
        </w:tc>
        <w:tc>
          <w:tcPr>
            <w:tcW w:w="848" w:type="dxa"/>
            <w:vMerge/>
          </w:tcPr>
          <w:p w14:paraId="46A57A97" w14:textId="77777777" w:rsidR="00271FA2" w:rsidRPr="00A013E1" w:rsidRDefault="00271FA2">
            <w:pPr>
              <w:spacing w:line="240" w:lineRule="atLeast"/>
              <w:jc w:val="center"/>
              <w:rPr>
                <w:rFonts w:ascii="Times New Roman" w:hAnsi="Times New Roman" w:cs="Times New Roman"/>
                <w:sz w:val="20"/>
                <w:szCs w:val="20"/>
              </w:rPr>
            </w:pPr>
          </w:p>
        </w:tc>
        <w:tc>
          <w:tcPr>
            <w:tcW w:w="911" w:type="dxa"/>
          </w:tcPr>
          <w:p w14:paraId="555CCAD2"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Стойност</w:t>
            </w:r>
          </w:p>
        </w:tc>
        <w:tc>
          <w:tcPr>
            <w:tcW w:w="903" w:type="dxa"/>
          </w:tcPr>
          <w:p w14:paraId="63DDBD91"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Фаза</w:t>
            </w:r>
          </w:p>
        </w:tc>
      </w:tr>
      <w:tr w:rsidR="00271FA2" w:rsidRPr="00A013E1" w14:paraId="69AC84B0" w14:textId="77777777">
        <w:trPr>
          <w:jc w:val="center"/>
        </w:trPr>
        <w:tc>
          <w:tcPr>
            <w:tcW w:w="1657" w:type="dxa"/>
            <w:vAlign w:val="center"/>
          </w:tcPr>
          <w:p w14:paraId="3D2A7602"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 xml:space="preserve">Входящ поток </w:t>
            </w:r>
            <m:oMath>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rPr>
                    <m:t>5</m:t>
                  </m:r>
                </m:sub>
              </m:sSub>
            </m:oMath>
          </w:p>
        </w:tc>
        <w:tc>
          <w:tcPr>
            <w:tcW w:w="2325" w:type="dxa"/>
            <w:vAlign w:val="center"/>
          </w:tcPr>
          <w:p w14:paraId="20FE01CC"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1303" w:type="dxa"/>
            <w:vAlign w:val="center"/>
          </w:tcPr>
          <w:p w14:paraId="4B97A522"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w:t>
            </w:r>
          </w:p>
        </w:tc>
        <w:tc>
          <w:tcPr>
            <w:tcW w:w="927" w:type="dxa"/>
            <w:vAlign w:val="center"/>
          </w:tcPr>
          <w:p w14:paraId="13A6E1C5" w14:textId="77777777" w:rsidR="00271FA2" w:rsidRPr="00A013E1" w:rsidRDefault="00271FA2">
            <w:pPr>
              <w:spacing w:line="240" w:lineRule="atLeast"/>
              <w:rPr>
                <w:rFonts w:ascii="Times New Roman" w:hAnsi="Times New Roman" w:cs="Times New Roman"/>
                <w:sz w:val="20"/>
                <w:szCs w:val="20"/>
              </w:rPr>
            </w:pPr>
          </w:p>
        </w:tc>
        <w:tc>
          <w:tcPr>
            <w:tcW w:w="848" w:type="dxa"/>
          </w:tcPr>
          <w:p w14:paraId="043002EF"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40ED3F6D"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68A6FFB4" w14:textId="77777777" w:rsidR="00271FA2" w:rsidRPr="00A013E1" w:rsidRDefault="00271FA2">
            <w:pPr>
              <w:spacing w:line="240" w:lineRule="atLeast"/>
              <w:rPr>
                <w:rFonts w:ascii="Times New Roman" w:hAnsi="Times New Roman" w:cs="Times New Roman"/>
                <w:sz w:val="20"/>
                <w:szCs w:val="20"/>
              </w:rPr>
            </w:pPr>
          </w:p>
        </w:tc>
      </w:tr>
      <w:tr w:rsidR="00271FA2" w:rsidRPr="00A013E1" w14:paraId="04CF2684" w14:textId="77777777">
        <w:trPr>
          <w:jc w:val="center"/>
        </w:trPr>
        <w:tc>
          <w:tcPr>
            <w:tcW w:w="1657" w:type="dxa"/>
          </w:tcPr>
          <w:p w14:paraId="1A6B4E26"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 xml:space="preserve">Изходящ поток </w:t>
            </w:r>
            <m:oMath>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rPr>
                    <m:t>5</m:t>
                  </m:r>
                </m:sub>
              </m:sSub>
            </m:oMath>
          </w:p>
        </w:tc>
        <w:tc>
          <w:tcPr>
            <w:tcW w:w="2325" w:type="dxa"/>
            <w:vAlign w:val="center"/>
          </w:tcPr>
          <w:p w14:paraId="21A1C519"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1303" w:type="dxa"/>
            <w:vAlign w:val="center"/>
          </w:tcPr>
          <w:p w14:paraId="561319E3" w14:textId="77777777" w:rsidR="00271FA2" w:rsidRPr="00A013E1" w:rsidRDefault="00271FA2">
            <w:pPr>
              <w:spacing w:line="240" w:lineRule="atLeast"/>
              <w:rPr>
                <w:rFonts w:ascii="Times New Roman" w:hAnsi="Times New Roman" w:cs="Times New Roman"/>
                <w:sz w:val="20"/>
                <w:szCs w:val="20"/>
              </w:rPr>
            </w:pPr>
          </w:p>
        </w:tc>
        <w:tc>
          <w:tcPr>
            <w:tcW w:w="927" w:type="dxa"/>
            <w:vAlign w:val="center"/>
          </w:tcPr>
          <w:p w14:paraId="35D4F015" w14:textId="77777777" w:rsidR="00271FA2" w:rsidRPr="00A013E1" w:rsidRDefault="00271FA2">
            <w:pPr>
              <w:spacing w:line="240" w:lineRule="atLeast"/>
              <w:rPr>
                <w:rFonts w:ascii="Times New Roman" w:hAnsi="Times New Roman" w:cs="Times New Roman"/>
                <w:sz w:val="20"/>
                <w:szCs w:val="20"/>
              </w:rPr>
            </w:pPr>
          </w:p>
        </w:tc>
        <w:tc>
          <w:tcPr>
            <w:tcW w:w="848" w:type="dxa"/>
          </w:tcPr>
          <w:p w14:paraId="450B2E92"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590661D1"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64E37367" w14:textId="77777777" w:rsidR="00271FA2" w:rsidRPr="00A013E1" w:rsidRDefault="00271FA2">
            <w:pPr>
              <w:spacing w:line="240" w:lineRule="atLeast"/>
              <w:rPr>
                <w:rFonts w:ascii="Times New Roman" w:hAnsi="Times New Roman" w:cs="Times New Roman"/>
                <w:sz w:val="20"/>
                <w:szCs w:val="20"/>
              </w:rPr>
            </w:pPr>
          </w:p>
        </w:tc>
      </w:tr>
      <w:tr w:rsidR="00271FA2" w:rsidRPr="00A013E1" w14:paraId="12B447E4" w14:textId="77777777">
        <w:trPr>
          <w:jc w:val="center"/>
        </w:trPr>
        <w:tc>
          <w:tcPr>
            <w:tcW w:w="1657" w:type="dxa"/>
            <w:vAlign w:val="center"/>
          </w:tcPr>
          <w:p w14:paraId="1A053F3E"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 xml:space="preserve">Входящ поток </w:t>
            </w:r>
            <m:oMath>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rPr>
                    <m:t>5</m:t>
                  </m:r>
                </m:sub>
              </m:sSub>
            </m:oMath>
          </w:p>
        </w:tc>
        <w:tc>
          <w:tcPr>
            <w:tcW w:w="2325" w:type="dxa"/>
            <w:vAlign w:val="center"/>
          </w:tcPr>
          <w:p w14:paraId="5657E438"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1303" w:type="dxa"/>
            <w:vAlign w:val="center"/>
          </w:tcPr>
          <w:p w14:paraId="04DB291D"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w:t>
            </w:r>
          </w:p>
        </w:tc>
        <w:tc>
          <w:tcPr>
            <w:tcW w:w="927" w:type="dxa"/>
            <w:vAlign w:val="center"/>
          </w:tcPr>
          <w:p w14:paraId="66C4FF2C" w14:textId="77777777" w:rsidR="00271FA2" w:rsidRPr="00A013E1" w:rsidRDefault="00271FA2">
            <w:pPr>
              <w:spacing w:line="240" w:lineRule="atLeast"/>
              <w:rPr>
                <w:rFonts w:ascii="Times New Roman" w:hAnsi="Times New Roman" w:cs="Times New Roman"/>
                <w:sz w:val="20"/>
                <w:szCs w:val="20"/>
              </w:rPr>
            </w:pPr>
          </w:p>
        </w:tc>
        <w:tc>
          <w:tcPr>
            <w:tcW w:w="848" w:type="dxa"/>
          </w:tcPr>
          <w:p w14:paraId="2E7E1952"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369E2C91"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6D207EFB" w14:textId="77777777" w:rsidR="00271FA2" w:rsidRPr="00A013E1" w:rsidRDefault="00271FA2">
            <w:pPr>
              <w:spacing w:line="240" w:lineRule="atLeast"/>
              <w:rPr>
                <w:rFonts w:ascii="Times New Roman" w:hAnsi="Times New Roman" w:cs="Times New Roman"/>
                <w:sz w:val="20"/>
                <w:szCs w:val="20"/>
              </w:rPr>
            </w:pPr>
          </w:p>
        </w:tc>
      </w:tr>
      <w:tr w:rsidR="00271FA2" w:rsidRPr="00A013E1" w14:paraId="02965DE3" w14:textId="77777777">
        <w:trPr>
          <w:jc w:val="center"/>
        </w:trPr>
        <w:tc>
          <w:tcPr>
            <w:tcW w:w="1657" w:type="dxa"/>
          </w:tcPr>
          <w:p w14:paraId="2936AE1A"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 xml:space="preserve">Изходящ поток </w:t>
            </w:r>
            <m:oMath>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rPr>
                    <m:t>5</m:t>
                  </m:r>
                </m:sub>
              </m:sSub>
            </m:oMath>
          </w:p>
        </w:tc>
        <w:tc>
          <w:tcPr>
            <w:tcW w:w="2325" w:type="dxa"/>
            <w:vAlign w:val="center"/>
          </w:tcPr>
          <w:p w14:paraId="31C1DEBB"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1303" w:type="dxa"/>
            <w:vAlign w:val="center"/>
          </w:tcPr>
          <w:p w14:paraId="758A8A1E" w14:textId="77777777" w:rsidR="00271FA2" w:rsidRPr="00A013E1" w:rsidRDefault="00271FA2">
            <w:pPr>
              <w:spacing w:line="240" w:lineRule="atLeast"/>
              <w:rPr>
                <w:rFonts w:ascii="Times New Roman" w:hAnsi="Times New Roman" w:cs="Times New Roman"/>
                <w:sz w:val="20"/>
                <w:szCs w:val="20"/>
              </w:rPr>
            </w:pPr>
          </w:p>
        </w:tc>
        <w:tc>
          <w:tcPr>
            <w:tcW w:w="927" w:type="dxa"/>
            <w:vAlign w:val="center"/>
          </w:tcPr>
          <w:p w14:paraId="5EE18719" w14:textId="77777777" w:rsidR="00271FA2" w:rsidRPr="00A013E1" w:rsidRDefault="00271FA2">
            <w:pPr>
              <w:spacing w:line="240" w:lineRule="atLeast"/>
              <w:rPr>
                <w:rFonts w:ascii="Times New Roman" w:hAnsi="Times New Roman" w:cs="Times New Roman"/>
                <w:sz w:val="20"/>
                <w:szCs w:val="20"/>
              </w:rPr>
            </w:pPr>
          </w:p>
        </w:tc>
        <w:tc>
          <w:tcPr>
            <w:tcW w:w="848" w:type="dxa"/>
          </w:tcPr>
          <w:p w14:paraId="0D08C0FF"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23E0B43B"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7E6EFABF" w14:textId="77777777" w:rsidR="00271FA2" w:rsidRPr="00A013E1" w:rsidRDefault="00271FA2">
            <w:pPr>
              <w:spacing w:line="240" w:lineRule="atLeast"/>
              <w:rPr>
                <w:rFonts w:ascii="Times New Roman" w:hAnsi="Times New Roman" w:cs="Times New Roman"/>
                <w:sz w:val="20"/>
                <w:szCs w:val="20"/>
              </w:rPr>
            </w:pPr>
          </w:p>
        </w:tc>
      </w:tr>
      <w:tr w:rsidR="00271FA2" w:rsidRPr="00A013E1" w14:paraId="1030C3D8" w14:textId="77777777">
        <w:trPr>
          <w:jc w:val="center"/>
        </w:trPr>
        <w:tc>
          <w:tcPr>
            <w:tcW w:w="1657" w:type="dxa"/>
            <w:vAlign w:val="center"/>
          </w:tcPr>
          <w:p w14:paraId="5D9C818A"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COD за входящия поток</w:t>
            </w:r>
          </w:p>
        </w:tc>
        <w:tc>
          <w:tcPr>
            <w:tcW w:w="2325" w:type="dxa"/>
            <w:vAlign w:val="center"/>
          </w:tcPr>
          <w:p w14:paraId="58226E30"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1303" w:type="dxa"/>
            <w:vAlign w:val="center"/>
          </w:tcPr>
          <w:p w14:paraId="3BEA1D3A"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w:t>
            </w:r>
          </w:p>
        </w:tc>
        <w:tc>
          <w:tcPr>
            <w:tcW w:w="927" w:type="dxa"/>
            <w:vAlign w:val="center"/>
          </w:tcPr>
          <w:p w14:paraId="1F70023B" w14:textId="77777777" w:rsidR="00271FA2" w:rsidRPr="00A013E1" w:rsidRDefault="00271FA2">
            <w:pPr>
              <w:spacing w:line="240" w:lineRule="atLeast"/>
              <w:rPr>
                <w:rFonts w:ascii="Times New Roman" w:hAnsi="Times New Roman" w:cs="Times New Roman"/>
                <w:sz w:val="20"/>
                <w:szCs w:val="20"/>
              </w:rPr>
            </w:pPr>
          </w:p>
        </w:tc>
        <w:tc>
          <w:tcPr>
            <w:tcW w:w="848" w:type="dxa"/>
          </w:tcPr>
          <w:p w14:paraId="271241D7"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0274959F"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4D9CB74C" w14:textId="77777777" w:rsidR="00271FA2" w:rsidRPr="00A013E1" w:rsidRDefault="00271FA2">
            <w:pPr>
              <w:spacing w:line="240" w:lineRule="atLeast"/>
              <w:rPr>
                <w:rFonts w:ascii="Times New Roman" w:hAnsi="Times New Roman" w:cs="Times New Roman"/>
                <w:sz w:val="20"/>
                <w:szCs w:val="20"/>
              </w:rPr>
            </w:pPr>
          </w:p>
        </w:tc>
      </w:tr>
      <w:tr w:rsidR="00271FA2" w:rsidRPr="00A013E1" w14:paraId="403F9D69" w14:textId="77777777">
        <w:trPr>
          <w:jc w:val="center"/>
        </w:trPr>
        <w:tc>
          <w:tcPr>
            <w:tcW w:w="1657" w:type="dxa"/>
          </w:tcPr>
          <w:p w14:paraId="39D5E8CC"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COD за изходящия поток</w:t>
            </w:r>
          </w:p>
        </w:tc>
        <w:tc>
          <w:tcPr>
            <w:tcW w:w="2325" w:type="dxa"/>
            <w:vAlign w:val="center"/>
          </w:tcPr>
          <w:p w14:paraId="5E509DD8"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1303" w:type="dxa"/>
            <w:vAlign w:val="center"/>
          </w:tcPr>
          <w:p w14:paraId="55C44919" w14:textId="77777777" w:rsidR="00271FA2" w:rsidRPr="00A013E1" w:rsidRDefault="00271FA2">
            <w:pPr>
              <w:spacing w:line="240" w:lineRule="atLeast"/>
              <w:rPr>
                <w:rFonts w:ascii="Times New Roman" w:hAnsi="Times New Roman" w:cs="Times New Roman"/>
                <w:sz w:val="20"/>
                <w:szCs w:val="20"/>
              </w:rPr>
            </w:pPr>
          </w:p>
        </w:tc>
        <w:tc>
          <w:tcPr>
            <w:tcW w:w="927" w:type="dxa"/>
            <w:vAlign w:val="center"/>
          </w:tcPr>
          <w:p w14:paraId="663537EB" w14:textId="77777777" w:rsidR="00271FA2" w:rsidRPr="00A013E1" w:rsidRDefault="00271FA2">
            <w:pPr>
              <w:spacing w:line="240" w:lineRule="atLeast"/>
              <w:rPr>
                <w:rFonts w:ascii="Times New Roman" w:hAnsi="Times New Roman" w:cs="Times New Roman"/>
                <w:sz w:val="20"/>
                <w:szCs w:val="20"/>
              </w:rPr>
            </w:pPr>
          </w:p>
        </w:tc>
        <w:tc>
          <w:tcPr>
            <w:tcW w:w="848" w:type="dxa"/>
          </w:tcPr>
          <w:p w14:paraId="22AF2B88"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3525CF3B"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068BE793" w14:textId="77777777" w:rsidR="00271FA2" w:rsidRPr="00A013E1" w:rsidRDefault="00271FA2">
            <w:pPr>
              <w:spacing w:line="240" w:lineRule="atLeast"/>
              <w:rPr>
                <w:rFonts w:ascii="Times New Roman" w:hAnsi="Times New Roman" w:cs="Times New Roman"/>
                <w:sz w:val="20"/>
                <w:szCs w:val="20"/>
              </w:rPr>
            </w:pPr>
          </w:p>
        </w:tc>
      </w:tr>
      <w:tr w:rsidR="00271FA2" w:rsidRPr="00A013E1" w14:paraId="333F8B3D" w14:textId="77777777">
        <w:trPr>
          <w:jc w:val="center"/>
        </w:trPr>
        <w:tc>
          <w:tcPr>
            <w:tcW w:w="1657" w:type="dxa"/>
            <w:vAlign w:val="center"/>
          </w:tcPr>
          <w:p w14:paraId="6386A906"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COD за входящия поток</w:t>
            </w:r>
          </w:p>
        </w:tc>
        <w:tc>
          <w:tcPr>
            <w:tcW w:w="2325" w:type="dxa"/>
            <w:vAlign w:val="center"/>
          </w:tcPr>
          <w:p w14:paraId="400F29E4"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1303" w:type="dxa"/>
            <w:vAlign w:val="center"/>
          </w:tcPr>
          <w:p w14:paraId="20C6DA16"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w:t>
            </w:r>
          </w:p>
        </w:tc>
        <w:tc>
          <w:tcPr>
            <w:tcW w:w="927" w:type="dxa"/>
            <w:vAlign w:val="center"/>
          </w:tcPr>
          <w:p w14:paraId="07A931B2" w14:textId="77777777" w:rsidR="00271FA2" w:rsidRPr="00A013E1" w:rsidRDefault="00271FA2">
            <w:pPr>
              <w:spacing w:line="240" w:lineRule="atLeast"/>
              <w:rPr>
                <w:rFonts w:ascii="Times New Roman" w:hAnsi="Times New Roman" w:cs="Times New Roman"/>
                <w:sz w:val="20"/>
                <w:szCs w:val="20"/>
              </w:rPr>
            </w:pPr>
          </w:p>
        </w:tc>
        <w:tc>
          <w:tcPr>
            <w:tcW w:w="848" w:type="dxa"/>
          </w:tcPr>
          <w:p w14:paraId="00E439E2"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4E8D39C4"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1AEDE38E" w14:textId="77777777" w:rsidR="00271FA2" w:rsidRPr="00A013E1" w:rsidRDefault="00271FA2">
            <w:pPr>
              <w:spacing w:line="240" w:lineRule="atLeast"/>
              <w:rPr>
                <w:rFonts w:ascii="Times New Roman" w:hAnsi="Times New Roman" w:cs="Times New Roman"/>
                <w:sz w:val="20"/>
                <w:szCs w:val="20"/>
              </w:rPr>
            </w:pPr>
          </w:p>
        </w:tc>
      </w:tr>
      <w:tr w:rsidR="00271FA2" w:rsidRPr="00A013E1" w14:paraId="343F56A7" w14:textId="77777777">
        <w:trPr>
          <w:jc w:val="center"/>
        </w:trPr>
        <w:tc>
          <w:tcPr>
            <w:tcW w:w="1657" w:type="dxa"/>
          </w:tcPr>
          <w:p w14:paraId="27CD7608"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COD за изходящия поток</w:t>
            </w:r>
          </w:p>
        </w:tc>
        <w:tc>
          <w:tcPr>
            <w:tcW w:w="2325" w:type="dxa"/>
            <w:vAlign w:val="center"/>
          </w:tcPr>
          <w:p w14:paraId="1035E6B4"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1303" w:type="dxa"/>
            <w:vAlign w:val="center"/>
          </w:tcPr>
          <w:p w14:paraId="7EE03A0A" w14:textId="77777777" w:rsidR="00271FA2" w:rsidRPr="00A013E1" w:rsidRDefault="00271FA2">
            <w:pPr>
              <w:spacing w:line="240" w:lineRule="atLeast"/>
              <w:rPr>
                <w:rFonts w:ascii="Times New Roman" w:hAnsi="Times New Roman" w:cs="Times New Roman"/>
                <w:sz w:val="20"/>
                <w:szCs w:val="20"/>
              </w:rPr>
            </w:pPr>
          </w:p>
        </w:tc>
        <w:tc>
          <w:tcPr>
            <w:tcW w:w="927" w:type="dxa"/>
            <w:vAlign w:val="center"/>
          </w:tcPr>
          <w:p w14:paraId="7B1F89BD" w14:textId="77777777" w:rsidR="00271FA2" w:rsidRPr="00A013E1" w:rsidRDefault="00271FA2">
            <w:pPr>
              <w:spacing w:line="240" w:lineRule="atLeast"/>
              <w:rPr>
                <w:rFonts w:ascii="Times New Roman" w:hAnsi="Times New Roman" w:cs="Times New Roman"/>
                <w:sz w:val="20"/>
                <w:szCs w:val="20"/>
              </w:rPr>
            </w:pPr>
          </w:p>
        </w:tc>
        <w:tc>
          <w:tcPr>
            <w:tcW w:w="848" w:type="dxa"/>
          </w:tcPr>
          <w:p w14:paraId="03F41E76"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47413FA7"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2D33B8A5" w14:textId="77777777" w:rsidR="00271FA2" w:rsidRPr="00A013E1" w:rsidRDefault="00271FA2">
            <w:pPr>
              <w:spacing w:line="240" w:lineRule="atLeast"/>
              <w:rPr>
                <w:rFonts w:ascii="Times New Roman" w:hAnsi="Times New Roman" w:cs="Times New Roman"/>
                <w:sz w:val="20"/>
                <w:szCs w:val="20"/>
              </w:rPr>
            </w:pPr>
          </w:p>
        </w:tc>
      </w:tr>
      <w:tr w:rsidR="00271FA2" w:rsidRPr="00A013E1" w14:paraId="76100D87" w14:textId="77777777">
        <w:trPr>
          <w:jc w:val="center"/>
        </w:trPr>
        <w:tc>
          <w:tcPr>
            <w:tcW w:w="1657" w:type="dxa"/>
            <w:vAlign w:val="center"/>
          </w:tcPr>
          <w:p w14:paraId="7CEC0DCB"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TOC за входящия поток</w:t>
            </w:r>
          </w:p>
        </w:tc>
        <w:tc>
          <w:tcPr>
            <w:tcW w:w="2325" w:type="dxa"/>
            <w:vAlign w:val="center"/>
          </w:tcPr>
          <w:p w14:paraId="06DA2FBE"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1303" w:type="dxa"/>
            <w:vAlign w:val="center"/>
          </w:tcPr>
          <w:p w14:paraId="7B663D66"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w:t>
            </w:r>
          </w:p>
        </w:tc>
        <w:tc>
          <w:tcPr>
            <w:tcW w:w="927" w:type="dxa"/>
            <w:vAlign w:val="center"/>
          </w:tcPr>
          <w:p w14:paraId="1C4E66CC" w14:textId="77777777" w:rsidR="00271FA2" w:rsidRPr="00A013E1" w:rsidRDefault="00271FA2">
            <w:pPr>
              <w:spacing w:line="240" w:lineRule="atLeast"/>
              <w:rPr>
                <w:rFonts w:ascii="Times New Roman" w:hAnsi="Times New Roman" w:cs="Times New Roman"/>
                <w:sz w:val="20"/>
                <w:szCs w:val="20"/>
              </w:rPr>
            </w:pPr>
          </w:p>
        </w:tc>
        <w:tc>
          <w:tcPr>
            <w:tcW w:w="848" w:type="dxa"/>
          </w:tcPr>
          <w:p w14:paraId="06CA5397"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1AF5732B"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554FEBA5" w14:textId="77777777" w:rsidR="00271FA2" w:rsidRPr="00A013E1" w:rsidRDefault="00271FA2">
            <w:pPr>
              <w:spacing w:line="240" w:lineRule="atLeast"/>
              <w:rPr>
                <w:rFonts w:ascii="Times New Roman" w:hAnsi="Times New Roman" w:cs="Times New Roman"/>
                <w:sz w:val="20"/>
                <w:szCs w:val="20"/>
              </w:rPr>
            </w:pPr>
          </w:p>
        </w:tc>
      </w:tr>
      <w:tr w:rsidR="00271FA2" w:rsidRPr="00A013E1" w14:paraId="37146A30" w14:textId="77777777">
        <w:trPr>
          <w:jc w:val="center"/>
        </w:trPr>
        <w:tc>
          <w:tcPr>
            <w:tcW w:w="1657" w:type="dxa"/>
          </w:tcPr>
          <w:p w14:paraId="60E3E628"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TOC за изходящия поток</w:t>
            </w:r>
          </w:p>
        </w:tc>
        <w:tc>
          <w:tcPr>
            <w:tcW w:w="2325" w:type="dxa"/>
            <w:vAlign w:val="center"/>
          </w:tcPr>
          <w:p w14:paraId="22017EF3"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1303" w:type="dxa"/>
            <w:vAlign w:val="center"/>
          </w:tcPr>
          <w:p w14:paraId="2E6FF1C4" w14:textId="77777777" w:rsidR="00271FA2" w:rsidRPr="00A013E1" w:rsidRDefault="00271FA2">
            <w:pPr>
              <w:spacing w:line="240" w:lineRule="atLeast"/>
              <w:rPr>
                <w:rFonts w:ascii="Times New Roman" w:hAnsi="Times New Roman" w:cs="Times New Roman"/>
                <w:sz w:val="20"/>
                <w:szCs w:val="20"/>
              </w:rPr>
            </w:pPr>
          </w:p>
        </w:tc>
        <w:tc>
          <w:tcPr>
            <w:tcW w:w="927" w:type="dxa"/>
            <w:vAlign w:val="center"/>
          </w:tcPr>
          <w:p w14:paraId="179ABC9B" w14:textId="77777777" w:rsidR="00271FA2" w:rsidRPr="00A013E1" w:rsidRDefault="00271FA2">
            <w:pPr>
              <w:spacing w:line="240" w:lineRule="atLeast"/>
              <w:rPr>
                <w:rFonts w:ascii="Times New Roman" w:hAnsi="Times New Roman" w:cs="Times New Roman"/>
                <w:sz w:val="20"/>
                <w:szCs w:val="20"/>
              </w:rPr>
            </w:pPr>
          </w:p>
        </w:tc>
        <w:tc>
          <w:tcPr>
            <w:tcW w:w="848" w:type="dxa"/>
          </w:tcPr>
          <w:p w14:paraId="264235F7"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551D0C49"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566D3844" w14:textId="77777777" w:rsidR="00271FA2" w:rsidRPr="00A013E1" w:rsidRDefault="00271FA2">
            <w:pPr>
              <w:spacing w:line="240" w:lineRule="atLeast"/>
              <w:rPr>
                <w:rFonts w:ascii="Times New Roman" w:hAnsi="Times New Roman" w:cs="Times New Roman"/>
                <w:sz w:val="20"/>
                <w:szCs w:val="20"/>
              </w:rPr>
            </w:pPr>
          </w:p>
        </w:tc>
      </w:tr>
      <w:tr w:rsidR="00271FA2" w:rsidRPr="00A013E1" w14:paraId="115B7518" w14:textId="77777777">
        <w:trPr>
          <w:jc w:val="center"/>
        </w:trPr>
        <w:tc>
          <w:tcPr>
            <w:tcW w:w="1657" w:type="dxa"/>
            <w:vAlign w:val="center"/>
          </w:tcPr>
          <w:p w14:paraId="253A72FB"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TOC за входящия поток</w:t>
            </w:r>
          </w:p>
        </w:tc>
        <w:tc>
          <w:tcPr>
            <w:tcW w:w="2325" w:type="dxa"/>
            <w:vAlign w:val="center"/>
          </w:tcPr>
          <w:p w14:paraId="4E59BBDC"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1303" w:type="dxa"/>
            <w:vAlign w:val="center"/>
          </w:tcPr>
          <w:p w14:paraId="6388B4FF"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w:t>
            </w:r>
          </w:p>
        </w:tc>
        <w:tc>
          <w:tcPr>
            <w:tcW w:w="927" w:type="dxa"/>
            <w:vAlign w:val="center"/>
          </w:tcPr>
          <w:p w14:paraId="0E947ED2" w14:textId="77777777" w:rsidR="00271FA2" w:rsidRPr="00A013E1" w:rsidRDefault="00271FA2">
            <w:pPr>
              <w:spacing w:line="240" w:lineRule="atLeast"/>
              <w:rPr>
                <w:rFonts w:ascii="Times New Roman" w:hAnsi="Times New Roman" w:cs="Times New Roman"/>
                <w:sz w:val="20"/>
                <w:szCs w:val="20"/>
              </w:rPr>
            </w:pPr>
          </w:p>
        </w:tc>
        <w:tc>
          <w:tcPr>
            <w:tcW w:w="848" w:type="dxa"/>
          </w:tcPr>
          <w:p w14:paraId="71D1EC24"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1D5D2794"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19C40E0B" w14:textId="77777777" w:rsidR="00271FA2" w:rsidRPr="00A013E1" w:rsidRDefault="00271FA2">
            <w:pPr>
              <w:spacing w:line="240" w:lineRule="atLeast"/>
              <w:rPr>
                <w:rFonts w:ascii="Times New Roman" w:hAnsi="Times New Roman" w:cs="Times New Roman"/>
                <w:sz w:val="20"/>
                <w:szCs w:val="20"/>
              </w:rPr>
            </w:pPr>
          </w:p>
        </w:tc>
      </w:tr>
      <w:tr w:rsidR="00271FA2" w:rsidRPr="00A013E1" w14:paraId="09E24A5D" w14:textId="77777777">
        <w:trPr>
          <w:jc w:val="center"/>
        </w:trPr>
        <w:tc>
          <w:tcPr>
            <w:tcW w:w="1657" w:type="dxa"/>
          </w:tcPr>
          <w:p w14:paraId="7CA7DCED"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TOC за изходящия поток</w:t>
            </w:r>
          </w:p>
        </w:tc>
        <w:tc>
          <w:tcPr>
            <w:tcW w:w="2325" w:type="dxa"/>
            <w:vAlign w:val="center"/>
          </w:tcPr>
          <w:p w14:paraId="4ED36DAD"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1303" w:type="dxa"/>
            <w:vAlign w:val="center"/>
          </w:tcPr>
          <w:p w14:paraId="2023702C" w14:textId="77777777" w:rsidR="00271FA2" w:rsidRPr="00A013E1" w:rsidRDefault="00271FA2">
            <w:pPr>
              <w:spacing w:line="240" w:lineRule="atLeast"/>
              <w:rPr>
                <w:rFonts w:ascii="Times New Roman" w:hAnsi="Times New Roman" w:cs="Times New Roman"/>
                <w:sz w:val="20"/>
                <w:szCs w:val="20"/>
              </w:rPr>
            </w:pPr>
          </w:p>
        </w:tc>
        <w:tc>
          <w:tcPr>
            <w:tcW w:w="927" w:type="dxa"/>
            <w:vAlign w:val="center"/>
          </w:tcPr>
          <w:p w14:paraId="0A931829" w14:textId="77777777" w:rsidR="00271FA2" w:rsidRPr="00A013E1" w:rsidRDefault="00271FA2">
            <w:pPr>
              <w:spacing w:line="240" w:lineRule="atLeast"/>
              <w:rPr>
                <w:rFonts w:ascii="Times New Roman" w:hAnsi="Times New Roman" w:cs="Times New Roman"/>
                <w:sz w:val="20"/>
                <w:szCs w:val="20"/>
              </w:rPr>
            </w:pPr>
          </w:p>
        </w:tc>
        <w:tc>
          <w:tcPr>
            <w:tcW w:w="848" w:type="dxa"/>
          </w:tcPr>
          <w:p w14:paraId="48129E02"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0D4486A6"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18EE5291" w14:textId="77777777" w:rsidR="00271FA2" w:rsidRPr="00A013E1" w:rsidRDefault="00271FA2">
            <w:pPr>
              <w:spacing w:line="240" w:lineRule="atLeast"/>
              <w:rPr>
                <w:rFonts w:ascii="Times New Roman" w:hAnsi="Times New Roman" w:cs="Times New Roman"/>
                <w:sz w:val="20"/>
                <w:szCs w:val="20"/>
              </w:rPr>
            </w:pPr>
          </w:p>
        </w:tc>
      </w:tr>
      <w:tr w:rsidR="00271FA2" w:rsidRPr="00A013E1" w14:paraId="5229FE48" w14:textId="77777777">
        <w:trPr>
          <w:jc w:val="center"/>
        </w:trPr>
        <w:tc>
          <w:tcPr>
            <w:tcW w:w="1657" w:type="dxa"/>
            <w:vAlign w:val="center"/>
          </w:tcPr>
          <w:p w14:paraId="494B826A"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SRF за входящия поток</w:t>
            </w:r>
          </w:p>
        </w:tc>
        <w:tc>
          <w:tcPr>
            <w:tcW w:w="2325" w:type="dxa"/>
            <w:vAlign w:val="center"/>
          </w:tcPr>
          <w:p w14:paraId="70D6F1EC"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1303" w:type="dxa"/>
            <w:vAlign w:val="center"/>
          </w:tcPr>
          <w:p w14:paraId="010BEDA3"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w:t>
            </w:r>
          </w:p>
        </w:tc>
        <w:tc>
          <w:tcPr>
            <w:tcW w:w="927" w:type="dxa"/>
            <w:vAlign w:val="center"/>
          </w:tcPr>
          <w:p w14:paraId="41A84647" w14:textId="77777777" w:rsidR="00271FA2" w:rsidRPr="00A013E1" w:rsidRDefault="00271FA2">
            <w:pPr>
              <w:spacing w:line="240" w:lineRule="atLeast"/>
              <w:rPr>
                <w:rFonts w:ascii="Times New Roman" w:hAnsi="Times New Roman" w:cs="Times New Roman"/>
                <w:sz w:val="20"/>
                <w:szCs w:val="20"/>
              </w:rPr>
            </w:pPr>
          </w:p>
        </w:tc>
        <w:tc>
          <w:tcPr>
            <w:tcW w:w="848" w:type="dxa"/>
          </w:tcPr>
          <w:p w14:paraId="6F9CF73F"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73C60EF0"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1038127D" w14:textId="77777777" w:rsidR="00271FA2" w:rsidRPr="00A013E1" w:rsidRDefault="00271FA2">
            <w:pPr>
              <w:spacing w:line="240" w:lineRule="atLeast"/>
              <w:rPr>
                <w:rFonts w:ascii="Times New Roman" w:hAnsi="Times New Roman" w:cs="Times New Roman"/>
                <w:sz w:val="20"/>
                <w:szCs w:val="20"/>
              </w:rPr>
            </w:pPr>
          </w:p>
        </w:tc>
      </w:tr>
      <w:tr w:rsidR="00271FA2" w:rsidRPr="00A013E1" w14:paraId="65CD8492" w14:textId="77777777">
        <w:trPr>
          <w:jc w:val="center"/>
        </w:trPr>
        <w:tc>
          <w:tcPr>
            <w:tcW w:w="1657" w:type="dxa"/>
          </w:tcPr>
          <w:p w14:paraId="300CE4D4"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SRF за изходящия поток</w:t>
            </w:r>
          </w:p>
        </w:tc>
        <w:tc>
          <w:tcPr>
            <w:tcW w:w="2325" w:type="dxa"/>
            <w:vAlign w:val="center"/>
          </w:tcPr>
          <w:p w14:paraId="79B3563B"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1303" w:type="dxa"/>
            <w:vAlign w:val="center"/>
          </w:tcPr>
          <w:p w14:paraId="6FFFFEA1" w14:textId="77777777" w:rsidR="00271FA2" w:rsidRPr="00A013E1" w:rsidRDefault="00271FA2">
            <w:pPr>
              <w:spacing w:line="240" w:lineRule="atLeast"/>
              <w:rPr>
                <w:rFonts w:ascii="Times New Roman" w:hAnsi="Times New Roman" w:cs="Times New Roman"/>
                <w:sz w:val="20"/>
                <w:szCs w:val="20"/>
              </w:rPr>
            </w:pPr>
          </w:p>
        </w:tc>
        <w:tc>
          <w:tcPr>
            <w:tcW w:w="927" w:type="dxa"/>
            <w:vAlign w:val="center"/>
          </w:tcPr>
          <w:p w14:paraId="4AD86797" w14:textId="77777777" w:rsidR="00271FA2" w:rsidRPr="00A013E1" w:rsidRDefault="00271FA2">
            <w:pPr>
              <w:spacing w:line="240" w:lineRule="atLeast"/>
              <w:rPr>
                <w:rFonts w:ascii="Times New Roman" w:hAnsi="Times New Roman" w:cs="Times New Roman"/>
                <w:sz w:val="20"/>
                <w:szCs w:val="20"/>
              </w:rPr>
            </w:pPr>
          </w:p>
        </w:tc>
        <w:tc>
          <w:tcPr>
            <w:tcW w:w="848" w:type="dxa"/>
          </w:tcPr>
          <w:p w14:paraId="6B0AE47E"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1BECB168"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625EB187" w14:textId="77777777" w:rsidR="00271FA2" w:rsidRPr="00A013E1" w:rsidRDefault="00271FA2">
            <w:pPr>
              <w:spacing w:line="240" w:lineRule="atLeast"/>
              <w:rPr>
                <w:rFonts w:ascii="Times New Roman" w:hAnsi="Times New Roman" w:cs="Times New Roman"/>
                <w:sz w:val="20"/>
                <w:szCs w:val="20"/>
              </w:rPr>
            </w:pPr>
          </w:p>
        </w:tc>
      </w:tr>
      <w:tr w:rsidR="00271FA2" w:rsidRPr="00A013E1" w14:paraId="34619FF4" w14:textId="77777777">
        <w:trPr>
          <w:jc w:val="center"/>
        </w:trPr>
        <w:tc>
          <w:tcPr>
            <w:tcW w:w="1657" w:type="dxa"/>
            <w:vAlign w:val="center"/>
          </w:tcPr>
          <w:p w14:paraId="1863D0E6"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SRF за входящия поток</w:t>
            </w:r>
          </w:p>
        </w:tc>
        <w:tc>
          <w:tcPr>
            <w:tcW w:w="2325" w:type="dxa"/>
            <w:vAlign w:val="center"/>
          </w:tcPr>
          <w:p w14:paraId="4851C4B2"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1303" w:type="dxa"/>
            <w:vAlign w:val="center"/>
          </w:tcPr>
          <w:p w14:paraId="03F3C2E6"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w:t>
            </w:r>
          </w:p>
        </w:tc>
        <w:tc>
          <w:tcPr>
            <w:tcW w:w="927" w:type="dxa"/>
            <w:vAlign w:val="center"/>
          </w:tcPr>
          <w:p w14:paraId="3988AA0D" w14:textId="77777777" w:rsidR="00271FA2" w:rsidRPr="00A013E1" w:rsidRDefault="00271FA2">
            <w:pPr>
              <w:spacing w:line="240" w:lineRule="atLeast"/>
              <w:rPr>
                <w:rFonts w:ascii="Times New Roman" w:hAnsi="Times New Roman" w:cs="Times New Roman"/>
                <w:sz w:val="20"/>
                <w:szCs w:val="20"/>
              </w:rPr>
            </w:pPr>
          </w:p>
        </w:tc>
        <w:tc>
          <w:tcPr>
            <w:tcW w:w="848" w:type="dxa"/>
          </w:tcPr>
          <w:p w14:paraId="4AF08CEA"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095ABED5"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7957B257" w14:textId="77777777" w:rsidR="00271FA2" w:rsidRPr="00A013E1" w:rsidRDefault="00271FA2">
            <w:pPr>
              <w:spacing w:line="240" w:lineRule="atLeast"/>
              <w:rPr>
                <w:rFonts w:ascii="Times New Roman" w:hAnsi="Times New Roman" w:cs="Times New Roman"/>
                <w:sz w:val="20"/>
                <w:szCs w:val="20"/>
              </w:rPr>
            </w:pPr>
          </w:p>
        </w:tc>
      </w:tr>
      <w:tr w:rsidR="00271FA2" w:rsidRPr="00A013E1" w14:paraId="4125BAC5" w14:textId="77777777">
        <w:trPr>
          <w:jc w:val="center"/>
        </w:trPr>
        <w:tc>
          <w:tcPr>
            <w:tcW w:w="1657" w:type="dxa"/>
          </w:tcPr>
          <w:p w14:paraId="2042204B"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SRF за изходящия поток</w:t>
            </w:r>
          </w:p>
        </w:tc>
        <w:tc>
          <w:tcPr>
            <w:tcW w:w="2325" w:type="dxa"/>
            <w:vAlign w:val="center"/>
          </w:tcPr>
          <w:p w14:paraId="23DDB01E"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1303" w:type="dxa"/>
            <w:vAlign w:val="center"/>
          </w:tcPr>
          <w:p w14:paraId="0ABA44B2" w14:textId="77777777" w:rsidR="00271FA2" w:rsidRPr="00A013E1" w:rsidRDefault="00271FA2">
            <w:pPr>
              <w:spacing w:line="240" w:lineRule="atLeast"/>
              <w:rPr>
                <w:rFonts w:ascii="Times New Roman" w:hAnsi="Times New Roman" w:cs="Times New Roman"/>
                <w:sz w:val="20"/>
                <w:szCs w:val="20"/>
              </w:rPr>
            </w:pPr>
          </w:p>
        </w:tc>
        <w:tc>
          <w:tcPr>
            <w:tcW w:w="927" w:type="dxa"/>
            <w:vAlign w:val="center"/>
          </w:tcPr>
          <w:p w14:paraId="26EA1351" w14:textId="77777777" w:rsidR="00271FA2" w:rsidRPr="00A013E1" w:rsidRDefault="00271FA2">
            <w:pPr>
              <w:spacing w:line="240" w:lineRule="atLeast"/>
              <w:rPr>
                <w:rFonts w:ascii="Times New Roman" w:hAnsi="Times New Roman" w:cs="Times New Roman"/>
                <w:sz w:val="20"/>
                <w:szCs w:val="20"/>
              </w:rPr>
            </w:pPr>
          </w:p>
        </w:tc>
        <w:tc>
          <w:tcPr>
            <w:tcW w:w="848" w:type="dxa"/>
          </w:tcPr>
          <w:p w14:paraId="7CF3DC2B" w14:textId="77777777" w:rsidR="00271FA2" w:rsidRPr="00A013E1" w:rsidRDefault="00271FA2">
            <w:pPr>
              <w:spacing w:line="240" w:lineRule="atLeast"/>
              <w:rPr>
                <w:rFonts w:ascii="Times New Roman" w:hAnsi="Times New Roman" w:cs="Times New Roman"/>
                <w:sz w:val="20"/>
                <w:szCs w:val="20"/>
              </w:rPr>
            </w:pPr>
          </w:p>
        </w:tc>
        <w:tc>
          <w:tcPr>
            <w:tcW w:w="911" w:type="dxa"/>
            <w:vAlign w:val="center"/>
          </w:tcPr>
          <w:p w14:paraId="32526458" w14:textId="77777777" w:rsidR="00271FA2" w:rsidRPr="00A013E1" w:rsidRDefault="00271FA2">
            <w:pPr>
              <w:spacing w:line="240" w:lineRule="atLeast"/>
              <w:rPr>
                <w:rFonts w:ascii="Times New Roman" w:hAnsi="Times New Roman" w:cs="Times New Roman"/>
                <w:sz w:val="20"/>
                <w:szCs w:val="20"/>
              </w:rPr>
            </w:pPr>
          </w:p>
        </w:tc>
        <w:tc>
          <w:tcPr>
            <w:tcW w:w="903" w:type="dxa"/>
            <w:vAlign w:val="center"/>
          </w:tcPr>
          <w:p w14:paraId="1DE04E3A" w14:textId="77777777" w:rsidR="00271FA2" w:rsidRPr="00A013E1" w:rsidRDefault="00271FA2">
            <w:pPr>
              <w:spacing w:line="240" w:lineRule="atLeast"/>
              <w:rPr>
                <w:rFonts w:ascii="Times New Roman" w:hAnsi="Times New Roman" w:cs="Times New Roman"/>
                <w:sz w:val="20"/>
                <w:szCs w:val="20"/>
              </w:rPr>
            </w:pPr>
          </w:p>
        </w:tc>
      </w:tr>
    </w:tbl>
    <w:p w14:paraId="5F7AFE24" w14:textId="77777777" w:rsidR="00271FA2" w:rsidRPr="00A013E1" w:rsidRDefault="00D35E51" w:rsidP="00B71E3A">
      <w:pPr>
        <w:tabs>
          <w:tab w:val="left" w:pos="709"/>
        </w:tabs>
        <w:suppressAutoHyphens/>
        <w:spacing w:before="240" w:line="240" w:lineRule="atLeast"/>
        <w:ind w:left="1701" w:hanging="992"/>
        <w:jc w:val="both"/>
        <w:rPr>
          <w:rFonts w:ascii="Times New Roman" w:hAnsi="Times New Roman" w:cs="Times New Roman"/>
          <w:szCs w:val="20"/>
          <w:lang w:val="ru-RU"/>
        </w:rPr>
      </w:pPr>
      <w:r w:rsidRPr="00A013E1">
        <w:rPr>
          <w:rFonts w:ascii="Times New Roman" w:hAnsi="Times New Roman" w:cs="Times New Roman"/>
          <w:lang w:val="ru-RU"/>
        </w:rPr>
        <w:lastRenderedPageBreak/>
        <w:t>Таблица 3б:</w:t>
      </w:r>
      <w:r w:rsidRPr="00A013E1">
        <w:rPr>
          <w:rFonts w:ascii="Times New Roman" w:hAnsi="Times New Roman" w:cs="Times New Roman"/>
          <w:lang w:val="ru-RU"/>
        </w:rPr>
        <w:tab/>
        <w:t xml:space="preserve">Спецификация за статистическата обработка на събраните данни - оценяване с цел документиране на ефективността на пречистване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2325"/>
        <w:gridCol w:w="936"/>
        <w:gridCol w:w="858"/>
        <w:gridCol w:w="858"/>
      </w:tblGrid>
      <w:tr w:rsidR="00271FA2" w:rsidRPr="00A013E1" w14:paraId="46558971" w14:textId="77777777">
        <w:trPr>
          <w:trHeight w:val="760"/>
          <w:jc w:val="center"/>
        </w:trPr>
        <w:tc>
          <w:tcPr>
            <w:tcW w:w="1588" w:type="dxa"/>
            <w:vAlign w:val="center"/>
          </w:tcPr>
          <w:p w14:paraId="0C749E79"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Параметър</w:t>
            </w:r>
          </w:p>
        </w:tc>
        <w:tc>
          <w:tcPr>
            <w:tcW w:w="2325" w:type="dxa"/>
            <w:vAlign w:val="center"/>
          </w:tcPr>
          <w:p w14:paraId="70F030F1"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Вид на пробата</w:t>
            </w:r>
          </w:p>
        </w:tc>
        <w:tc>
          <w:tcPr>
            <w:tcW w:w="936" w:type="dxa"/>
            <w:vAlign w:val="center"/>
          </w:tcPr>
          <w:p w14:paraId="4992751A"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Средно</w:t>
            </w:r>
          </w:p>
        </w:tc>
        <w:tc>
          <w:tcPr>
            <w:tcW w:w="858" w:type="dxa"/>
            <w:vAlign w:val="center"/>
          </w:tcPr>
          <w:p w14:paraId="12A3417C"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Мин.</w:t>
            </w:r>
          </w:p>
        </w:tc>
        <w:tc>
          <w:tcPr>
            <w:tcW w:w="858" w:type="dxa"/>
            <w:vAlign w:val="center"/>
          </w:tcPr>
          <w:p w14:paraId="1C140020" w14:textId="77777777" w:rsidR="00271FA2" w:rsidRPr="00A013E1" w:rsidRDefault="00D35E51">
            <w:pPr>
              <w:spacing w:line="240" w:lineRule="atLeast"/>
              <w:jc w:val="center"/>
              <w:rPr>
                <w:rFonts w:ascii="Times New Roman" w:hAnsi="Times New Roman" w:cs="Times New Roman"/>
                <w:sz w:val="20"/>
                <w:szCs w:val="20"/>
              </w:rPr>
            </w:pPr>
            <w:r w:rsidRPr="00A013E1">
              <w:rPr>
                <w:rFonts w:ascii="Times New Roman" w:hAnsi="Times New Roman" w:cs="Times New Roman"/>
                <w:sz w:val="20"/>
                <w:szCs w:val="20"/>
              </w:rPr>
              <w:t>Макс.</w:t>
            </w:r>
          </w:p>
        </w:tc>
      </w:tr>
      <w:tr w:rsidR="00271FA2" w:rsidRPr="00A013E1" w14:paraId="77AFFAE1" w14:textId="77777777">
        <w:trPr>
          <w:jc w:val="center"/>
        </w:trPr>
        <w:tc>
          <w:tcPr>
            <w:tcW w:w="1588" w:type="dxa"/>
          </w:tcPr>
          <w:p w14:paraId="5A868845"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 xml:space="preserve">Ефективност на отстраняване </w:t>
            </w:r>
            <m:oMath>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rPr>
                    <m:t>5</m:t>
                  </m:r>
                </m:sub>
              </m:sSub>
            </m:oMath>
          </w:p>
        </w:tc>
        <w:tc>
          <w:tcPr>
            <w:tcW w:w="2325" w:type="dxa"/>
            <w:vAlign w:val="center"/>
          </w:tcPr>
          <w:p w14:paraId="76269F32"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936" w:type="dxa"/>
          </w:tcPr>
          <w:p w14:paraId="42B64317" w14:textId="77777777" w:rsidR="00271FA2" w:rsidRPr="00A013E1" w:rsidRDefault="00271FA2">
            <w:pPr>
              <w:spacing w:line="240" w:lineRule="atLeast"/>
              <w:rPr>
                <w:rFonts w:ascii="Times New Roman" w:hAnsi="Times New Roman" w:cs="Times New Roman"/>
                <w:sz w:val="20"/>
                <w:szCs w:val="20"/>
              </w:rPr>
            </w:pPr>
          </w:p>
        </w:tc>
        <w:tc>
          <w:tcPr>
            <w:tcW w:w="858" w:type="dxa"/>
          </w:tcPr>
          <w:p w14:paraId="6538A1FE" w14:textId="77777777" w:rsidR="00271FA2" w:rsidRPr="00A013E1" w:rsidRDefault="00271FA2">
            <w:pPr>
              <w:spacing w:line="240" w:lineRule="atLeast"/>
              <w:rPr>
                <w:rFonts w:ascii="Times New Roman" w:hAnsi="Times New Roman" w:cs="Times New Roman"/>
                <w:sz w:val="20"/>
                <w:szCs w:val="20"/>
              </w:rPr>
            </w:pPr>
          </w:p>
        </w:tc>
        <w:tc>
          <w:tcPr>
            <w:tcW w:w="858" w:type="dxa"/>
          </w:tcPr>
          <w:p w14:paraId="48AB88E8" w14:textId="77777777" w:rsidR="00271FA2" w:rsidRPr="00A013E1" w:rsidRDefault="00271FA2">
            <w:pPr>
              <w:spacing w:line="240" w:lineRule="atLeast"/>
              <w:rPr>
                <w:rFonts w:ascii="Times New Roman" w:hAnsi="Times New Roman" w:cs="Times New Roman"/>
                <w:sz w:val="20"/>
                <w:szCs w:val="20"/>
              </w:rPr>
            </w:pPr>
          </w:p>
        </w:tc>
      </w:tr>
      <w:tr w:rsidR="00271FA2" w:rsidRPr="00A013E1" w14:paraId="24EF3A1C" w14:textId="77777777">
        <w:trPr>
          <w:jc w:val="center"/>
        </w:trPr>
        <w:tc>
          <w:tcPr>
            <w:tcW w:w="1588" w:type="dxa"/>
          </w:tcPr>
          <w:p w14:paraId="35387855"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 xml:space="preserve">Ефективност на отстраняване </w:t>
            </w:r>
            <m:oMath>
              <m:sSub>
                <m:sSubPr>
                  <m:ctrlPr>
                    <w:rPr>
                      <w:rFonts w:ascii="Cambria Math" w:hAnsi="Cambria Math" w:cs="Times New Roman"/>
                      <w:i/>
                      <w:sz w:val="20"/>
                      <w:szCs w:val="20"/>
                    </w:rPr>
                  </m:ctrlPr>
                </m:sSubPr>
                <m:e>
                  <m:r>
                    <w:rPr>
                      <w:rFonts w:ascii="Cambria Math" w:hAnsi="Cambria Math" w:cs="Times New Roman"/>
                      <w:sz w:val="20"/>
                      <w:szCs w:val="20"/>
                    </w:rPr>
                    <m:t>BOD</m:t>
                  </m:r>
                </m:e>
                <m:sub>
                  <m:r>
                    <w:rPr>
                      <w:rFonts w:ascii="Cambria Math" w:hAnsi="Cambria Math" w:cs="Times New Roman"/>
                      <w:sz w:val="20"/>
                      <w:szCs w:val="20"/>
                    </w:rPr>
                    <m:t>5</m:t>
                  </m:r>
                </m:sub>
              </m:sSub>
            </m:oMath>
          </w:p>
        </w:tc>
        <w:tc>
          <w:tcPr>
            <w:tcW w:w="2325" w:type="dxa"/>
            <w:vAlign w:val="center"/>
          </w:tcPr>
          <w:p w14:paraId="526D329D"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936" w:type="dxa"/>
          </w:tcPr>
          <w:p w14:paraId="423B93CA" w14:textId="77777777" w:rsidR="00271FA2" w:rsidRPr="00A013E1" w:rsidRDefault="00271FA2">
            <w:pPr>
              <w:spacing w:line="240" w:lineRule="atLeast"/>
              <w:rPr>
                <w:rFonts w:ascii="Times New Roman" w:hAnsi="Times New Roman" w:cs="Times New Roman"/>
                <w:sz w:val="20"/>
                <w:szCs w:val="20"/>
              </w:rPr>
            </w:pPr>
          </w:p>
        </w:tc>
        <w:tc>
          <w:tcPr>
            <w:tcW w:w="858" w:type="dxa"/>
          </w:tcPr>
          <w:p w14:paraId="02A195A9" w14:textId="77777777" w:rsidR="00271FA2" w:rsidRPr="00A013E1" w:rsidRDefault="00271FA2">
            <w:pPr>
              <w:spacing w:line="240" w:lineRule="atLeast"/>
              <w:rPr>
                <w:rFonts w:ascii="Times New Roman" w:hAnsi="Times New Roman" w:cs="Times New Roman"/>
                <w:sz w:val="20"/>
                <w:szCs w:val="20"/>
              </w:rPr>
            </w:pPr>
          </w:p>
        </w:tc>
        <w:tc>
          <w:tcPr>
            <w:tcW w:w="858" w:type="dxa"/>
          </w:tcPr>
          <w:p w14:paraId="0BF72FBE" w14:textId="77777777" w:rsidR="00271FA2" w:rsidRPr="00A013E1" w:rsidRDefault="00271FA2">
            <w:pPr>
              <w:spacing w:line="240" w:lineRule="atLeast"/>
              <w:rPr>
                <w:rFonts w:ascii="Times New Roman" w:hAnsi="Times New Roman" w:cs="Times New Roman"/>
                <w:sz w:val="20"/>
                <w:szCs w:val="20"/>
              </w:rPr>
            </w:pPr>
          </w:p>
        </w:tc>
      </w:tr>
      <w:tr w:rsidR="00271FA2" w:rsidRPr="00A013E1" w14:paraId="5DB88A83" w14:textId="77777777">
        <w:trPr>
          <w:jc w:val="center"/>
        </w:trPr>
        <w:tc>
          <w:tcPr>
            <w:tcW w:w="1588" w:type="dxa"/>
          </w:tcPr>
          <w:p w14:paraId="0895037B"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Ефективност на отстраняване по </w:t>
            </w:r>
            <w:r w:rsidRPr="00A013E1">
              <w:rPr>
                <w:rFonts w:ascii="Times New Roman" w:hAnsi="Times New Roman" w:cs="Times New Roman"/>
                <w:sz w:val="20"/>
                <w:szCs w:val="20"/>
              </w:rPr>
              <w:t>COD</w:t>
            </w:r>
          </w:p>
        </w:tc>
        <w:tc>
          <w:tcPr>
            <w:tcW w:w="2325" w:type="dxa"/>
          </w:tcPr>
          <w:p w14:paraId="57B33C91"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936" w:type="dxa"/>
          </w:tcPr>
          <w:p w14:paraId="122775AF" w14:textId="77777777" w:rsidR="00271FA2" w:rsidRPr="00A013E1" w:rsidRDefault="00271FA2">
            <w:pPr>
              <w:spacing w:line="240" w:lineRule="atLeast"/>
              <w:rPr>
                <w:rFonts w:ascii="Times New Roman" w:hAnsi="Times New Roman" w:cs="Times New Roman"/>
                <w:sz w:val="20"/>
                <w:szCs w:val="20"/>
              </w:rPr>
            </w:pPr>
          </w:p>
        </w:tc>
        <w:tc>
          <w:tcPr>
            <w:tcW w:w="858" w:type="dxa"/>
          </w:tcPr>
          <w:p w14:paraId="0EDA850E" w14:textId="77777777" w:rsidR="00271FA2" w:rsidRPr="00A013E1" w:rsidRDefault="00271FA2">
            <w:pPr>
              <w:spacing w:line="240" w:lineRule="atLeast"/>
              <w:rPr>
                <w:rFonts w:ascii="Times New Roman" w:hAnsi="Times New Roman" w:cs="Times New Roman"/>
                <w:sz w:val="20"/>
                <w:szCs w:val="20"/>
              </w:rPr>
            </w:pPr>
          </w:p>
        </w:tc>
        <w:tc>
          <w:tcPr>
            <w:tcW w:w="858" w:type="dxa"/>
          </w:tcPr>
          <w:p w14:paraId="702F32B0" w14:textId="77777777" w:rsidR="00271FA2" w:rsidRPr="00A013E1" w:rsidRDefault="00271FA2">
            <w:pPr>
              <w:spacing w:line="240" w:lineRule="atLeast"/>
              <w:rPr>
                <w:rFonts w:ascii="Times New Roman" w:hAnsi="Times New Roman" w:cs="Times New Roman"/>
                <w:sz w:val="20"/>
                <w:szCs w:val="20"/>
              </w:rPr>
            </w:pPr>
          </w:p>
        </w:tc>
      </w:tr>
      <w:tr w:rsidR="00271FA2" w:rsidRPr="00A013E1" w14:paraId="1F318689" w14:textId="77777777">
        <w:trPr>
          <w:jc w:val="center"/>
        </w:trPr>
        <w:tc>
          <w:tcPr>
            <w:tcW w:w="1588" w:type="dxa"/>
          </w:tcPr>
          <w:p w14:paraId="0BA6B81B"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Ефективност на отстраняване по </w:t>
            </w:r>
            <w:r w:rsidRPr="00A013E1">
              <w:rPr>
                <w:rFonts w:ascii="Times New Roman" w:hAnsi="Times New Roman" w:cs="Times New Roman"/>
                <w:sz w:val="20"/>
                <w:szCs w:val="20"/>
              </w:rPr>
              <w:t>COD</w:t>
            </w:r>
          </w:p>
        </w:tc>
        <w:tc>
          <w:tcPr>
            <w:tcW w:w="2325" w:type="dxa"/>
          </w:tcPr>
          <w:p w14:paraId="15F1A898"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936" w:type="dxa"/>
          </w:tcPr>
          <w:p w14:paraId="72DD9F50" w14:textId="77777777" w:rsidR="00271FA2" w:rsidRPr="00A013E1" w:rsidRDefault="00271FA2">
            <w:pPr>
              <w:spacing w:line="240" w:lineRule="atLeast"/>
              <w:rPr>
                <w:rFonts w:ascii="Times New Roman" w:hAnsi="Times New Roman" w:cs="Times New Roman"/>
                <w:sz w:val="20"/>
                <w:szCs w:val="20"/>
              </w:rPr>
            </w:pPr>
          </w:p>
        </w:tc>
        <w:tc>
          <w:tcPr>
            <w:tcW w:w="858" w:type="dxa"/>
          </w:tcPr>
          <w:p w14:paraId="3B35C6EF" w14:textId="77777777" w:rsidR="00271FA2" w:rsidRPr="00A013E1" w:rsidRDefault="00271FA2">
            <w:pPr>
              <w:spacing w:line="240" w:lineRule="atLeast"/>
              <w:rPr>
                <w:rFonts w:ascii="Times New Roman" w:hAnsi="Times New Roman" w:cs="Times New Roman"/>
                <w:sz w:val="20"/>
                <w:szCs w:val="20"/>
              </w:rPr>
            </w:pPr>
          </w:p>
        </w:tc>
        <w:tc>
          <w:tcPr>
            <w:tcW w:w="858" w:type="dxa"/>
          </w:tcPr>
          <w:p w14:paraId="191D96DE" w14:textId="77777777" w:rsidR="00271FA2" w:rsidRPr="00A013E1" w:rsidRDefault="00271FA2">
            <w:pPr>
              <w:spacing w:line="240" w:lineRule="atLeast"/>
              <w:rPr>
                <w:rFonts w:ascii="Times New Roman" w:hAnsi="Times New Roman" w:cs="Times New Roman"/>
                <w:sz w:val="20"/>
                <w:szCs w:val="20"/>
              </w:rPr>
            </w:pPr>
          </w:p>
        </w:tc>
      </w:tr>
      <w:tr w:rsidR="00271FA2" w:rsidRPr="00A013E1" w14:paraId="7F485D3C" w14:textId="77777777">
        <w:trPr>
          <w:jc w:val="center"/>
        </w:trPr>
        <w:tc>
          <w:tcPr>
            <w:tcW w:w="1588" w:type="dxa"/>
          </w:tcPr>
          <w:p w14:paraId="4A02FEF9"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Ефективност на отстраняване по </w:t>
            </w:r>
            <w:r w:rsidRPr="00A013E1">
              <w:rPr>
                <w:rFonts w:ascii="Times New Roman" w:hAnsi="Times New Roman" w:cs="Times New Roman"/>
                <w:sz w:val="20"/>
                <w:szCs w:val="20"/>
              </w:rPr>
              <w:t>TOC</w:t>
            </w:r>
          </w:p>
        </w:tc>
        <w:tc>
          <w:tcPr>
            <w:tcW w:w="2325" w:type="dxa"/>
          </w:tcPr>
          <w:p w14:paraId="6FFC820D"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936" w:type="dxa"/>
          </w:tcPr>
          <w:p w14:paraId="451626A2" w14:textId="77777777" w:rsidR="00271FA2" w:rsidRPr="00A013E1" w:rsidRDefault="00271FA2">
            <w:pPr>
              <w:spacing w:line="240" w:lineRule="atLeast"/>
              <w:rPr>
                <w:rFonts w:ascii="Times New Roman" w:hAnsi="Times New Roman" w:cs="Times New Roman"/>
                <w:sz w:val="20"/>
                <w:szCs w:val="20"/>
              </w:rPr>
            </w:pPr>
          </w:p>
        </w:tc>
        <w:tc>
          <w:tcPr>
            <w:tcW w:w="858" w:type="dxa"/>
          </w:tcPr>
          <w:p w14:paraId="7DD4DCB4" w14:textId="77777777" w:rsidR="00271FA2" w:rsidRPr="00A013E1" w:rsidRDefault="00271FA2">
            <w:pPr>
              <w:spacing w:line="240" w:lineRule="atLeast"/>
              <w:rPr>
                <w:rFonts w:ascii="Times New Roman" w:hAnsi="Times New Roman" w:cs="Times New Roman"/>
                <w:sz w:val="20"/>
                <w:szCs w:val="20"/>
              </w:rPr>
            </w:pPr>
          </w:p>
        </w:tc>
        <w:tc>
          <w:tcPr>
            <w:tcW w:w="858" w:type="dxa"/>
          </w:tcPr>
          <w:p w14:paraId="6A23ED02" w14:textId="77777777" w:rsidR="00271FA2" w:rsidRPr="00A013E1" w:rsidRDefault="00271FA2">
            <w:pPr>
              <w:spacing w:line="240" w:lineRule="atLeast"/>
              <w:rPr>
                <w:rFonts w:ascii="Times New Roman" w:hAnsi="Times New Roman" w:cs="Times New Roman"/>
                <w:sz w:val="20"/>
                <w:szCs w:val="20"/>
              </w:rPr>
            </w:pPr>
          </w:p>
        </w:tc>
      </w:tr>
      <w:tr w:rsidR="00271FA2" w:rsidRPr="00A013E1" w14:paraId="2DC3CD17" w14:textId="77777777">
        <w:trPr>
          <w:jc w:val="center"/>
        </w:trPr>
        <w:tc>
          <w:tcPr>
            <w:tcW w:w="1588" w:type="dxa"/>
          </w:tcPr>
          <w:p w14:paraId="162DBC23"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Ефективност на отстраняване по </w:t>
            </w:r>
            <w:r w:rsidRPr="00A013E1">
              <w:rPr>
                <w:rFonts w:ascii="Times New Roman" w:hAnsi="Times New Roman" w:cs="Times New Roman"/>
                <w:sz w:val="20"/>
                <w:szCs w:val="20"/>
              </w:rPr>
              <w:t>TOC</w:t>
            </w:r>
          </w:p>
        </w:tc>
        <w:tc>
          <w:tcPr>
            <w:tcW w:w="2325" w:type="dxa"/>
          </w:tcPr>
          <w:p w14:paraId="73974F92"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936" w:type="dxa"/>
          </w:tcPr>
          <w:p w14:paraId="0ED49179" w14:textId="77777777" w:rsidR="00271FA2" w:rsidRPr="00A013E1" w:rsidRDefault="00271FA2">
            <w:pPr>
              <w:spacing w:line="240" w:lineRule="atLeast"/>
              <w:rPr>
                <w:rFonts w:ascii="Times New Roman" w:hAnsi="Times New Roman" w:cs="Times New Roman"/>
                <w:sz w:val="20"/>
                <w:szCs w:val="20"/>
              </w:rPr>
            </w:pPr>
          </w:p>
        </w:tc>
        <w:tc>
          <w:tcPr>
            <w:tcW w:w="858" w:type="dxa"/>
          </w:tcPr>
          <w:p w14:paraId="0BDD8522" w14:textId="77777777" w:rsidR="00271FA2" w:rsidRPr="00A013E1" w:rsidRDefault="00271FA2">
            <w:pPr>
              <w:spacing w:line="240" w:lineRule="atLeast"/>
              <w:rPr>
                <w:rFonts w:ascii="Times New Roman" w:hAnsi="Times New Roman" w:cs="Times New Roman"/>
                <w:sz w:val="20"/>
                <w:szCs w:val="20"/>
              </w:rPr>
            </w:pPr>
          </w:p>
        </w:tc>
        <w:tc>
          <w:tcPr>
            <w:tcW w:w="858" w:type="dxa"/>
          </w:tcPr>
          <w:p w14:paraId="4C492957" w14:textId="77777777" w:rsidR="00271FA2" w:rsidRPr="00A013E1" w:rsidRDefault="00271FA2">
            <w:pPr>
              <w:spacing w:line="240" w:lineRule="atLeast"/>
              <w:rPr>
                <w:rFonts w:ascii="Times New Roman" w:hAnsi="Times New Roman" w:cs="Times New Roman"/>
                <w:sz w:val="20"/>
                <w:szCs w:val="20"/>
              </w:rPr>
            </w:pPr>
          </w:p>
        </w:tc>
      </w:tr>
      <w:tr w:rsidR="00271FA2" w:rsidRPr="00A013E1" w14:paraId="010EC4F5" w14:textId="77777777">
        <w:trPr>
          <w:jc w:val="center"/>
        </w:trPr>
        <w:tc>
          <w:tcPr>
            <w:tcW w:w="1588" w:type="dxa"/>
          </w:tcPr>
          <w:p w14:paraId="4B9FC711"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Ефективност на отстраняване по </w:t>
            </w:r>
            <w:r w:rsidRPr="00A013E1">
              <w:rPr>
                <w:rFonts w:ascii="Times New Roman" w:hAnsi="Times New Roman" w:cs="Times New Roman"/>
                <w:sz w:val="20"/>
                <w:szCs w:val="20"/>
              </w:rPr>
              <w:t>SRF</w:t>
            </w:r>
          </w:p>
        </w:tc>
        <w:tc>
          <w:tcPr>
            <w:tcW w:w="2325" w:type="dxa"/>
          </w:tcPr>
          <w:p w14:paraId="4BA4BD9A"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24-часови комбинирани проби</w:t>
            </w:r>
          </w:p>
        </w:tc>
        <w:tc>
          <w:tcPr>
            <w:tcW w:w="936" w:type="dxa"/>
          </w:tcPr>
          <w:p w14:paraId="0A0AA267" w14:textId="77777777" w:rsidR="00271FA2" w:rsidRPr="00A013E1" w:rsidRDefault="00271FA2">
            <w:pPr>
              <w:spacing w:line="240" w:lineRule="atLeast"/>
              <w:rPr>
                <w:rFonts w:ascii="Times New Roman" w:hAnsi="Times New Roman" w:cs="Times New Roman"/>
                <w:sz w:val="20"/>
                <w:szCs w:val="20"/>
              </w:rPr>
            </w:pPr>
          </w:p>
        </w:tc>
        <w:tc>
          <w:tcPr>
            <w:tcW w:w="858" w:type="dxa"/>
          </w:tcPr>
          <w:p w14:paraId="5504FAA5" w14:textId="77777777" w:rsidR="00271FA2" w:rsidRPr="00A013E1" w:rsidRDefault="00271FA2">
            <w:pPr>
              <w:spacing w:line="240" w:lineRule="atLeast"/>
              <w:rPr>
                <w:rFonts w:ascii="Times New Roman" w:hAnsi="Times New Roman" w:cs="Times New Roman"/>
                <w:sz w:val="20"/>
                <w:szCs w:val="20"/>
              </w:rPr>
            </w:pPr>
          </w:p>
        </w:tc>
        <w:tc>
          <w:tcPr>
            <w:tcW w:w="858" w:type="dxa"/>
          </w:tcPr>
          <w:p w14:paraId="3B1072BE" w14:textId="77777777" w:rsidR="00271FA2" w:rsidRPr="00A013E1" w:rsidRDefault="00271FA2">
            <w:pPr>
              <w:spacing w:line="240" w:lineRule="atLeast"/>
              <w:rPr>
                <w:rFonts w:ascii="Times New Roman" w:hAnsi="Times New Roman" w:cs="Times New Roman"/>
                <w:sz w:val="20"/>
                <w:szCs w:val="20"/>
              </w:rPr>
            </w:pPr>
          </w:p>
        </w:tc>
      </w:tr>
      <w:tr w:rsidR="00271FA2" w:rsidRPr="00A013E1" w14:paraId="6A67FCC3" w14:textId="77777777">
        <w:trPr>
          <w:jc w:val="center"/>
        </w:trPr>
        <w:tc>
          <w:tcPr>
            <w:tcW w:w="1588" w:type="dxa"/>
          </w:tcPr>
          <w:p w14:paraId="2EA6ADFE" w14:textId="77777777" w:rsidR="00271FA2" w:rsidRPr="00A013E1" w:rsidRDefault="00D35E51">
            <w:pPr>
              <w:spacing w:line="240" w:lineRule="atLeast"/>
              <w:rPr>
                <w:rFonts w:ascii="Times New Roman" w:hAnsi="Times New Roman" w:cs="Times New Roman"/>
                <w:sz w:val="20"/>
                <w:szCs w:val="20"/>
                <w:lang w:val="ru-RU"/>
              </w:rPr>
            </w:pPr>
            <w:r w:rsidRPr="00A013E1">
              <w:rPr>
                <w:rFonts w:ascii="Times New Roman" w:hAnsi="Times New Roman" w:cs="Times New Roman"/>
                <w:sz w:val="20"/>
                <w:szCs w:val="20"/>
                <w:lang w:val="ru-RU"/>
              </w:rPr>
              <w:t xml:space="preserve">Ефективност на отстраняване по </w:t>
            </w:r>
            <w:r w:rsidRPr="00A013E1">
              <w:rPr>
                <w:rFonts w:ascii="Times New Roman" w:hAnsi="Times New Roman" w:cs="Times New Roman"/>
                <w:sz w:val="20"/>
                <w:szCs w:val="20"/>
              </w:rPr>
              <w:t>SRF</w:t>
            </w:r>
          </w:p>
        </w:tc>
        <w:tc>
          <w:tcPr>
            <w:tcW w:w="2325" w:type="dxa"/>
          </w:tcPr>
          <w:p w14:paraId="4B6DAB96" w14:textId="77777777" w:rsidR="00271FA2" w:rsidRPr="00A013E1" w:rsidRDefault="00D35E51">
            <w:pPr>
              <w:spacing w:line="240" w:lineRule="atLeast"/>
              <w:rPr>
                <w:rFonts w:ascii="Times New Roman" w:hAnsi="Times New Roman" w:cs="Times New Roman"/>
                <w:sz w:val="20"/>
                <w:szCs w:val="20"/>
              </w:rPr>
            </w:pPr>
            <w:r w:rsidRPr="00A013E1">
              <w:rPr>
                <w:rFonts w:ascii="Times New Roman" w:hAnsi="Times New Roman" w:cs="Times New Roman"/>
                <w:sz w:val="20"/>
                <w:szCs w:val="20"/>
              </w:rPr>
              <w:t>Случайни проби</w:t>
            </w:r>
          </w:p>
        </w:tc>
        <w:tc>
          <w:tcPr>
            <w:tcW w:w="936" w:type="dxa"/>
          </w:tcPr>
          <w:p w14:paraId="495C7551" w14:textId="77777777" w:rsidR="00271FA2" w:rsidRPr="00A013E1" w:rsidRDefault="00271FA2">
            <w:pPr>
              <w:spacing w:line="240" w:lineRule="atLeast"/>
              <w:rPr>
                <w:rFonts w:ascii="Times New Roman" w:hAnsi="Times New Roman" w:cs="Times New Roman"/>
                <w:sz w:val="20"/>
                <w:szCs w:val="20"/>
              </w:rPr>
            </w:pPr>
          </w:p>
        </w:tc>
        <w:tc>
          <w:tcPr>
            <w:tcW w:w="858" w:type="dxa"/>
          </w:tcPr>
          <w:p w14:paraId="7B0D8215" w14:textId="77777777" w:rsidR="00271FA2" w:rsidRPr="00A013E1" w:rsidRDefault="00271FA2">
            <w:pPr>
              <w:spacing w:line="240" w:lineRule="atLeast"/>
              <w:rPr>
                <w:rFonts w:ascii="Times New Roman" w:hAnsi="Times New Roman" w:cs="Times New Roman"/>
                <w:sz w:val="20"/>
                <w:szCs w:val="20"/>
              </w:rPr>
            </w:pPr>
          </w:p>
        </w:tc>
        <w:tc>
          <w:tcPr>
            <w:tcW w:w="858" w:type="dxa"/>
          </w:tcPr>
          <w:p w14:paraId="504461C7" w14:textId="77777777" w:rsidR="00271FA2" w:rsidRPr="00A013E1" w:rsidRDefault="00271FA2">
            <w:pPr>
              <w:spacing w:line="240" w:lineRule="atLeast"/>
              <w:rPr>
                <w:rFonts w:ascii="Times New Roman" w:hAnsi="Times New Roman" w:cs="Times New Roman"/>
                <w:sz w:val="20"/>
                <w:szCs w:val="20"/>
              </w:rPr>
            </w:pPr>
          </w:p>
        </w:tc>
      </w:tr>
    </w:tbl>
    <w:p w14:paraId="3258AD24" w14:textId="77777777" w:rsidR="00271FA2" w:rsidRPr="00A013E1" w:rsidRDefault="00D35E51" w:rsidP="00F80F6E">
      <w:pPr>
        <w:spacing w:line="240" w:lineRule="atLeast"/>
        <w:jc w:val="both"/>
        <w:rPr>
          <w:rFonts w:ascii="Times New Roman" w:hAnsi="Times New Roman" w:cs="Times New Roman"/>
          <w:lang w:val="ru-RU"/>
        </w:rPr>
      </w:pPr>
      <w:r w:rsidRPr="00A013E1">
        <w:rPr>
          <w:rFonts w:ascii="Times New Roman" w:hAnsi="Times New Roman" w:cs="Times New Roman"/>
          <w:lang w:val="ru-RU"/>
        </w:rPr>
        <w:t xml:space="preserve">Останалите параметри съгласно 3.3, букви “б“ - “г“ и работните параметри съгласно 3.3 се обобщават в таблица, в която се посочва минималният резултат от пробите (Мин.), максималният резултат от пробите (Макс.) и средноаритметичната стойност (Средно). </w:t>
      </w:r>
    </w:p>
    <w:p w14:paraId="0EF711ED" w14:textId="77777777" w:rsidR="00271FA2" w:rsidRPr="00A013E1" w:rsidRDefault="00D35E51" w:rsidP="00B71E3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3.5</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Спазване на изискванията на Глава 18 </w:t>
      </w:r>
    </w:p>
    <w:p w14:paraId="37776E64"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Пределните стойности съгласно член</w:t>
      </w:r>
      <w:r w:rsidRPr="00A013E1">
        <w:rPr>
          <w:rFonts w:ascii="Times New Roman" w:hAnsi="Times New Roman" w:cs="Times New Roman"/>
        </w:rPr>
        <w:t> </w:t>
      </w:r>
      <w:r w:rsidRPr="00A013E1">
        <w:rPr>
          <w:rFonts w:ascii="Times New Roman" w:hAnsi="Times New Roman" w:cs="Times New Roman"/>
          <w:lang w:val="ru-RU"/>
        </w:rPr>
        <w:t xml:space="preserve">18.01, точка 2, таблици 1 и 2 се считат за спазени, когато за всяка стойност на параметрите </w:t>
      </w:r>
      <w:r w:rsidRPr="00A013E1">
        <w:rPr>
          <w:rFonts w:ascii="Times New Roman" w:hAnsi="Times New Roman" w:cs="Times New Roman"/>
        </w:rPr>
        <w:t>COD</w:t>
      </w:r>
      <w:r w:rsidRPr="00A013E1">
        <w:rPr>
          <w:rFonts w:ascii="Times New Roman" w:hAnsi="Times New Roman" w:cs="Times New Roman"/>
          <w:lang w:val="ru-RU"/>
        </w:rPr>
        <w:t xml:space="preserve">,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Pr="00A013E1">
        <w:rPr>
          <w:rFonts w:ascii="Times New Roman" w:hAnsi="Times New Roman" w:cs="Times New Roman"/>
          <w:lang w:val="ru-RU"/>
        </w:rPr>
        <w:t xml:space="preserve"> и </w:t>
      </w:r>
      <w:r w:rsidRPr="00A013E1">
        <w:rPr>
          <w:rFonts w:ascii="Times New Roman" w:hAnsi="Times New Roman" w:cs="Times New Roman"/>
        </w:rPr>
        <w:t>TOC</w:t>
      </w:r>
      <w:r w:rsidRPr="00A013E1">
        <w:rPr>
          <w:rFonts w:ascii="Times New Roman" w:hAnsi="Times New Roman" w:cs="Times New Roman"/>
          <w:lang w:val="ru-RU"/>
        </w:rPr>
        <w:t>:</w:t>
      </w:r>
    </w:p>
    <w:p w14:paraId="7BD2BC21" w14:textId="77777777" w:rsidR="00271FA2" w:rsidRPr="00A013E1" w:rsidRDefault="00D35E51" w:rsidP="00F80F6E">
      <w:pPr>
        <w:numPr>
          <w:ilvl w:val="0"/>
          <w:numId w:val="46"/>
        </w:num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средните стойности за всички 14 проби от изходящия поток; и </w:t>
      </w:r>
    </w:p>
    <w:p w14:paraId="5E883AF8"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б) поне 10 от всички 14 проби от изходящия поток не надвишават указаните пределни стойности за 24-часовите комбинирани проби и случайните проби.</w:t>
      </w:r>
    </w:p>
    <w:p w14:paraId="2B4B1509" w14:textId="77777777" w:rsidR="00271FA2" w:rsidRPr="00A013E1" w:rsidRDefault="00D35E51" w:rsidP="00B71E3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3.6</w:t>
      </w:r>
      <w:r w:rsidRPr="00A013E1">
        <w:rPr>
          <w:rFonts w:ascii="Times New Roman" w:hAnsi="Times New Roman" w:cs="Times New Roman"/>
          <w:lang w:val="ru-RU"/>
        </w:rPr>
        <w:tab/>
      </w:r>
      <w:r w:rsidRPr="00A013E1">
        <w:rPr>
          <w:rFonts w:ascii="Times New Roman" w:hAnsi="Times New Roman" w:cs="Times New Roman"/>
          <w:color w:val="000000"/>
          <w:lang w:val="ru-RU"/>
        </w:rPr>
        <w:t xml:space="preserve">Работа и поддръжка по време на изпитването </w:t>
      </w:r>
    </w:p>
    <w:p w14:paraId="7A72C50B"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 xml:space="preserve">По време на изпитването изпитвателната пречиствателна станция се използва в съответствие със спецификациите на производителя. Текущ контрол и поддръжка трябва да се извършват в съответствие с ръководството за експлоатация и поддръжка на производителя. Излишните утайки, образувани при процеса на биологично пречистване, могат да бъдат отстранявани от бордовата станция за пречистване на отпадъчни води, ако това е указано от производителя в неговото ръководство за експлоатация и поддръжка. Всички извършени дейности по поддръжката се записват от техническата служба и се документират в протокола от изпитването. </w:t>
      </w:r>
      <w:r w:rsidRPr="00A013E1">
        <w:rPr>
          <w:rFonts w:ascii="Times New Roman" w:hAnsi="Times New Roman" w:cs="Times New Roman"/>
          <w:lang w:val="ru-RU"/>
        </w:rPr>
        <w:lastRenderedPageBreak/>
        <w:t xml:space="preserve">По време на изпитването неупълномощени лица не могат да имат достъп до изпитвателната пречиствателна станция. </w:t>
      </w:r>
    </w:p>
    <w:p w14:paraId="1FFE41D7" w14:textId="77777777" w:rsidR="00271FA2" w:rsidRPr="00A013E1" w:rsidRDefault="00D35E51" w:rsidP="00B71E3A">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3.7</w:t>
      </w:r>
      <w:r w:rsidRPr="00A013E1">
        <w:rPr>
          <w:rFonts w:ascii="Times New Roman" w:hAnsi="Times New Roman" w:cs="Times New Roman"/>
          <w:lang w:val="ru-RU"/>
        </w:rPr>
        <w:tab/>
      </w:r>
      <w:r w:rsidRPr="00A013E1">
        <w:rPr>
          <w:rFonts w:ascii="Times New Roman" w:hAnsi="Times New Roman" w:cs="Times New Roman"/>
          <w:color w:val="000000"/>
          <w:lang w:val="ru-RU"/>
        </w:rPr>
        <w:t>Анализ на пробата/метод за анализ</w:t>
      </w:r>
    </w:p>
    <w:p w14:paraId="78309EE8" w14:textId="77777777" w:rsidR="00271FA2" w:rsidRPr="00A013E1" w:rsidRDefault="00D35E51" w:rsidP="00F80F6E">
      <w:pPr>
        <w:spacing w:after="240" w:line="240" w:lineRule="atLeast"/>
        <w:ind w:left="567"/>
        <w:jc w:val="both"/>
        <w:rPr>
          <w:rFonts w:ascii="Times New Roman" w:hAnsi="Times New Roman" w:cs="Times New Roman"/>
          <w:lang w:val="ru-RU"/>
        </w:rPr>
      </w:pPr>
      <w:r w:rsidRPr="00A013E1">
        <w:rPr>
          <w:rFonts w:ascii="Times New Roman" w:hAnsi="Times New Roman" w:cs="Times New Roman"/>
          <w:lang w:val="ru-RU"/>
        </w:rPr>
        <w:t>Параметрите, които трябва да бъдат изследвани, се анализират при използване на одобрени стандартни процедури. Прилаганата стандартна процедура трябва да бъде посочена.</w:t>
      </w:r>
    </w:p>
    <w:p w14:paraId="7C4D2742" w14:textId="77777777" w:rsidR="00271FA2" w:rsidRPr="00A013E1" w:rsidRDefault="00D35E51" w:rsidP="00F80F6E">
      <w:pPr>
        <w:tabs>
          <w:tab w:val="left" w:pos="567"/>
        </w:tabs>
        <w:spacing w:line="240" w:lineRule="atLeast"/>
        <w:jc w:val="both"/>
        <w:rPr>
          <w:rFonts w:ascii="Times New Roman" w:hAnsi="Times New Roman" w:cs="Times New Roman"/>
          <w:b/>
          <w:color w:val="000000"/>
          <w:lang w:val="ru-RU"/>
        </w:rPr>
      </w:pPr>
      <w:r w:rsidRPr="00A013E1">
        <w:rPr>
          <w:rFonts w:ascii="Times New Roman" w:hAnsi="Times New Roman" w:cs="Times New Roman"/>
          <w:b/>
          <w:color w:val="000000"/>
          <w:lang w:val="ru-RU"/>
        </w:rPr>
        <w:t>4</w:t>
      </w:r>
      <w:r w:rsidRPr="00A013E1">
        <w:rPr>
          <w:rFonts w:ascii="Times New Roman" w:hAnsi="Times New Roman" w:cs="Times New Roman"/>
          <w:lang w:val="ru-RU"/>
        </w:rPr>
        <w:tab/>
      </w:r>
      <w:r w:rsidRPr="00A013E1">
        <w:rPr>
          <w:rFonts w:ascii="Times New Roman" w:hAnsi="Times New Roman" w:cs="Times New Roman"/>
          <w:b/>
          <w:color w:val="000000"/>
          <w:lang w:val="ru-RU"/>
        </w:rPr>
        <w:t>Протокол от изпитването</w:t>
      </w:r>
    </w:p>
    <w:p w14:paraId="36E80E48" w14:textId="77777777" w:rsidR="00271FA2" w:rsidRPr="00A013E1" w:rsidRDefault="00D35E51" w:rsidP="00F80F6E">
      <w:pPr>
        <w:spacing w:line="240" w:lineRule="atLeast"/>
        <w:ind w:left="567" w:hanging="567"/>
        <w:jc w:val="both"/>
        <w:rPr>
          <w:rFonts w:ascii="Times New Roman" w:hAnsi="Times New Roman" w:cs="Times New Roman"/>
          <w:color w:val="000000"/>
          <w:lang w:val="ru-RU"/>
        </w:rPr>
      </w:pPr>
      <w:r w:rsidRPr="00A013E1">
        <w:rPr>
          <w:rFonts w:ascii="Times New Roman" w:hAnsi="Times New Roman" w:cs="Times New Roman"/>
          <w:color w:val="000000"/>
          <w:lang w:val="ru-RU"/>
        </w:rPr>
        <w:t>4.1</w:t>
      </w:r>
      <w:r w:rsidRPr="00A013E1">
        <w:rPr>
          <w:rFonts w:ascii="Times New Roman" w:hAnsi="Times New Roman" w:cs="Times New Roman"/>
          <w:lang w:val="ru-RU"/>
        </w:rPr>
        <w:tab/>
      </w:r>
      <w:r w:rsidRPr="00A013E1">
        <w:rPr>
          <w:rFonts w:ascii="Times New Roman" w:hAnsi="Times New Roman" w:cs="Times New Roman"/>
          <w:color w:val="000000"/>
          <w:lang w:val="ru-RU"/>
        </w:rPr>
        <w:t>От техническата служба се изисква да състави протокол относно проведеното изпитване на типа. Протоколът включва най-малко следната информация:</w:t>
      </w:r>
    </w:p>
    <w:p w14:paraId="7F78AB02"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rPr>
        <w:t>a</w:t>
      </w:r>
      <w:r w:rsidRPr="00A013E1">
        <w:rPr>
          <w:rFonts w:ascii="Times New Roman" w:hAnsi="Times New Roman" w:cs="Times New Roman"/>
          <w:lang w:val="ru-RU"/>
        </w:rPr>
        <w:t>) подробности за изпитваната пречиствателна станция, като например тип, информация за номиналното дневно замърсяване и за принципите на оразмеряване, приложени от производителя;</w:t>
      </w:r>
    </w:p>
    <w:p w14:paraId="5345572C"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б) информация относно съответствието на изпитваната бордова станция за пречистване на отпадъчни води с представената преди изпитването документация;</w:t>
      </w:r>
    </w:p>
    <w:p w14:paraId="262E1F1C"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в) информация за отделните резултати от измервания, както и за оценката на ефективността на пречистване на станцията и спазването на изискваните пределни стойности за изходящия поток;</w:t>
      </w:r>
    </w:p>
    <w:p w14:paraId="526C2CC5"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г) подробности за отстраняването на излишните утайки, като например отстранените количества и честотата на отстраняване;</w:t>
      </w:r>
    </w:p>
    <w:p w14:paraId="1AFE52DE"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д) информация за всички работи по експлоатацията, поддръжката и ремонта, извършени по време на изпитването;</w:t>
      </w:r>
    </w:p>
    <w:p w14:paraId="29BDC533"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е) информация за всяко влошаване в качествата на бордова станция за пречистване на отпадъчни води, което възниква по време на изпитването, както и за всякакви прекъсвания на изпитването;</w:t>
      </w:r>
    </w:p>
    <w:p w14:paraId="7042F1FE"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ж) информация за всякакви проблеми, възникващи по време на изпитването;</w:t>
      </w:r>
    </w:p>
    <w:p w14:paraId="534A8D84"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з) списък на отговорните лица, участващи в изпитването на типа на бордова станция за пречистване на отпадъчни води, с посочване на техните имена и длъжности;</w:t>
      </w:r>
    </w:p>
    <w:p w14:paraId="6E23DEB0"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и) име и адрес на лабораторията, която е извършила анализа на пробите от отпадъчни води;</w:t>
      </w:r>
    </w:p>
    <w:p w14:paraId="7122E8B1" w14:textId="77777777" w:rsidR="00271FA2" w:rsidRPr="00A013E1" w:rsidRDefault="00D35E51" w:rsidP="00F80F6E">
      <w:pPr>
        <w:spacing w:line="240" w:lineRule="atLeast"/>
        <w:ind w:left="567"/>
        <w:jc w:val="both"/>
        <w:rPr>
          <w:rFonts w:ascii="Times New Roman" w:hAnsi="Times New Roman" w:cs="Times New Roman"/>
          <w:lang w:val="ru-RU"/>
        </w:rPr>
      </w:pPr>
      <w:r w:rsidRPr="00A013E1">
        <w:rPr>
          <w:rFonts w:ascii="Times New Roman" w:hAnsi="Times New Roman" w:cs="Times New Roman"/>
          <w:lang w:val="ru-RU"/>
        </w:rPr>
        <w:t>й) прилагани методи за анализ.</w:t>
      </w:r>
    </w:p>
    <w:p w14:paraId="6345B7B9" w14:textId="77777777" w:rsidR="00271FA2" w:rsidRPr="00A013E1" w:rsidRDefault="00D35E51" w:rsidP="00F80F6E">
      <w:pPr>
        <w:tabs>
          <w:tab w:val="left" w:pos="1021"/>
          <w:tab w:val="center" w:pos="8080"/>
        </w:tabs>
        <w:suppressAutoHyphens/>
        <w:spacing w:line="240" w:lineRule="atLeast"/>
        <w:ind w:left="567"/>
        <w:rPr>
          <w:rFonts w:ascii="Times New Roman" w:hAnsi="Times New Roman" w:cs="Times New Roman"/>
          <w:szCs w:val="20"/>
          <w:lang w:val="ru-RU"/>
        </w:rPr>
      </w:pPr>
      <w:r w:rsidRPr="00A013E1">
        <w:rPr>
          <w:rFonts w:ascii="Times New Roman" w:hAnsi="Times New Roman" w:cs="Times New Roman"/>
          <w:lang w:val="ru-RU"/>
        </w:rPr>
        <w:br w:type="page"/>
      </w:r>
    </w:p>
    <w:p w14:paraId="04A623EE" w14:textId="77777777" w:rsidR="00271FA2" w:rsidRPr="00A013E1" w:rsidRDefault="00D35E51">
      <w:pPr>
        <w:suppressAutoHyphens/>
        <w:spacing w:line="240" w:lineRule="atLeast"/>
        <w:jc w:val="center"/>
        <w:rPr>
          <w:rFonts w:ascii="Times New Roman" w:hAnsi="Times New Roman" w:cs="Times New Roman"/>
          <w:b/>
          <w:lang w:val="ru-RU"/>
        </w:rPr>
      </w:pPr>
      <w:r w:rsidRPr="00A013E1">
        <w:rPr>
          <w:rFonts w:ascii="Times New Roman" w:hAnsi="Times New Roman" w:cs="Times New Roman"/>
          <w:b/>
          <w:lang w:val="ru-RU"/>
        </w:rPr>
        <w:lastRenderedPageBreak/>
        <w:t>Допълнение 1</w:t>
      </w:r>
    </w:p>
    <w:p w14:paraId="74BD0E44" w14:textId="77777777" w:rsidR="00271FA2" w:rsidRPr="00A013E1" w:rsidRDefault="00D35E51">
      <w:pPr>
        <w:tabs>
          <w:tab w:val="left" w:pos="1021"/>
          <w:tab w:val="center" w:pos="8080"/>
        </w:tabs>
        <w:suppressAutoHyphens/>
        <w:spacing w:line="240" w:lineRule="atLeast"/>
        <w:jc w:val="center"/>
        <w:rPr>
          <w:rFonts w:ascii="Times New Roman" w:hAnsi="Times New Roman" w:cs="Times New Roman"/>
          <w:b/>
          <w:lang w:val="ru-RU"/>
        </w:rPr>
      </w:pPr>
      <w:r w:rsidRPr="00A013E1">
        <w:rPr>
          <w:rFonts w:ascii="Times New Roman" w:hAnsi="Times New Roman" w:cs="Times New Roman"/>
          <w:b/>
          <w:lang w:val="ru-RU"/>
        </w:rPr>
        <w:t>Примери за последователности на изпитване</w:t>
      </w:r>
    </w:p>
    <w:p w14:paraId="13D9385F" w14:textId="77777777" w:rsidR="00271FA2" w:rsidRPr="00A013E1" w:rsidRDefault="00271FA2">
      <w:pPr>
        <w:tabs>
          <w:tab w:val="left" w:pos="1021"/>
          <w:tab w:val="center" w:pos="8080"/>
        </w:tabs>
        <w:suppressAutoHyphens/>
        <w:spacing w:line="240" w:lineRule="atLeast"/>
        <w:jc w:val="center"/>
        <w:rPr>
          <w:rFonts w:ascii="Times New Roman" w:hAnsi="Times New Roman" w:cs="Times New Roman"/>
          <w:b/>
          <w:lang w:val="ru-RU"/>
        </w:rPr>
      </w:pPr>
    </w:p>
    <w:p w14:paraId="0F545D1F" w14:textId="77777777" w:rsidR="00271FA2" w:rsidRPr="00A013E1" w:rsidRDefault="00D35E51">
      <w:pPr>
        <w:tabs>
          <w:tab w:val="left" w:leader="dot" w:pos="9072"/>
        </w:tabs>
        <w:spacing w:line="240" w:lineRule="atLeast"/>
        <w:rPr>
          <w:rFonts w:ascii="Times New Roman" w:hAnsi="Times New Roman" w:cs="Times New Roman"/>
          <w:lang w:val="ru-RU"/>
        </w:rPr>
      </w:pPr>
      <w:r w:rsidRPr="00A013E1">
        <w:rPr>
          <w:rFonts w:ascii="Times New Roman" w:hAnsi="Times New Roman" w:cs="Times New Roman"/>
          <w:b/>
          <w:noProof/>
          <w:lang w:eastAsia="bg-BG"/>
        </w:rPr>
        <mc:AlternateContent>
          <mc:Choice Requires="wps">
            <w:drawing>
              <wp:anchor distT="0" distB="0" distL="114300" distR="114300" simplePos="0" relativeHeight="251676672" behindDoc="0" locked="0" layoutInCell="1" allowOverlap="1" wp14:anchorId="2AA9AEFD" wp14:editId="4AAADF26">
                <wp:simplePos x="0" y="0"/>
                <wp:positionH relativeFrom="column">
                  <wp:posOffset>2734310</wp:posOffset>
                </wp:positionH>
                <wp:positionV relativeFrom="paragraph">
                  <wp:posOffset>575945</wp:posOffset>
                </wp:positionV>
                <wp:extent cx="655320" cy="349250"/>
                <wp:effectExtent l="0" t="0" r="0" b="0"/>
                <wp:wrapNone/>
                <wp:docPr id="55"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89" cy="349250"/>
                        </a:xfrm>
                        <a:prstGeom prst="rect">
                          <a:avLst/>
                        </a:prstGeom>
                        <a:solidFill>
                          <a:srgbClr val="37EB29"/>
                        </a:solidFill>
                        <a:ln>
                          <a:noFill/>
                        </a:ln>
                      </wps:spPr>
                      <wps:txbx>
                        <w:txbxContent>
                          <w:p w14:paraId="342DC016" w14:textId="77777777" w:rsidR="005551B9" w:rsidRDefault="005551B9">
                            <w:pPr>
                              <w:jc w:val="center"/>
                              <w:rPr>
                                <w:sz w:val="16"/>
                              </w:rPr>
                            </w:pPr>
                            <w:r>
                              <w:rPr>
                                <w:sz w:val="16"/>
                              </w:rPr>
                              <w:t>Недонатовар-ване</w:t>
                            </w:r>
                          </w:p>
                        </w:txbxContent>
                      </wps:txbx>
                      <wps:bodyPr rot="0" vert="horz" wrap="square" lIns="0" tIns="36000" rIns="0" bIns="0" anchor="t" anchorCtr="0" upright="1">
                        <a:noAutofit/>
                      </wps:bodyPr>
                    </wps:wsp>
                  </a:graphicData>
                </a:graphic>
              </wp:anchor>
            </w:drawing>
          </mc:Choice>
          <mc:Fallback>
            <w:pict>
              <v:shapetype w14:anchorId="2AA9AEFD" id="_x0000_t202" coordsize="21600,21600" o:spt="202" path="m,l,21600r21600,l21600,xe">
                <v:stroke joinstyle="miter"/>
                <v:path gradientshapeok="t" o:connecttype="rect"/>
              </v:shapetype>
              <v:shape id="Text Box 274" o:spid="_x0000_s1027" type="#_x0000_t202" style="position:absolute;margin-left:215.3pt;margin-top:45.35pt;width:51.6pt;height:2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" fillcolor="#37eb29" stroked="f">
                <v:textbox inset="0,1mm,0,0">
                  <w:txbxContent>
                    <w:p w14:paraId="342DC016" w14:textId="77777777" w:rsidR="005551B9" w:rsidRDefault="005551B9">
                      <w:pPr>
                        <w:jc w:val="center"/>
                        <w:rPr>
                          <w:sz w:val="16"/>
                        </w:rPr>
                      </w:pPr>
                      <w:r>
                        <w:rPr>
                          <w:sz w:val="16"/>
                        </w:rPr>
                        <w:t>Недонатовар-ване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672576" behindDoc="0" locked="0" layoutInCell="1" allowOverlap="1" wp14:anchorId="183F9A56" wp14:editId="5B108D70">
                <wp:simplePos x="0" y="0"/>
                <wp:positionH relativeFrom="column">
                  <wp:posOffset>3373755</wp:posOffset>
                </wp:positionH>
                <wp:positionV relativeFrom="paragraph">
                  <wp:posOffset>570230</wp:posOffset>
                </wp:positionV>
                <wp:extent cx="610870" cy="349250"/>
                <wp:effectExtent l="0" t="0" r="0" b="0"/>
                <wp:wrapNone/>
                <wp:docPr id="51"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61" cy="349250"/>
                        </a:xfrm>
                        <a:prstGeom prst="rect">
                          <a:avLst/>
                        </a:prstGeom>
                        <a:solidFill>
                          <a:srgbClr val="59BB9A"/>
                        </a:solidFill>
                        <a:ln>
                          <a:noFill/>
                        </a:ln>
                      </wps:spPr>
                      <wps:txbx>
                        <w:txbxContent>
                          <w:p w14:paraId="55815F0C" w14:textId="77777777" w:rsidR="005551B9" w:rsidRDefault="005551B9">
                            <w:pPr>
                              <w:jc w:val="center"/>
                              <w:rPr>
                                <w:sz w:val="16"/>
                              </w:rPr>
                            </w:pPr>
                            <w:r>
                              <w:rPr>
                                <w:sz w:val="16"/>
                              </w:rPr>
                              <w:t xml:space="preserve">Нормално </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183F9A56" id="Text Box 264" o:spid="_x0000_s1028" type="#_x0000_t202" style="position:absolute;margin-left:265.65pt;margin-top:44.9pt;width:48.1pt;height:2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" fillcolor="#59bb9a" stroked="f">
                <v:textbox inset="0,1mm,0,0">
                  <w:txbxContent>
                    <w:p w14:paraId="55815F0C" w14:textId="77777777" w:rsidR="005551B9" w:rsidRDefault="005551B9">
                      <w:pPr>
                        <w:jc w:val="center"/>
                        <w:rPr>
                          <w:sz w:val="16"/>
                        </w:rPr>
                      </w:pPr>
                      <w:r>
                        <w:rPr>
                          <w:sz w:val="16"/>
                        </w:rPr>
                        <w:t xml:space="preserve">Нормално </w:t>
                      </w:r>
                      <w:r>
                        <w:rPr>
                          <w:sz w:val="16"/>
                        </w:rPr>
                        <w:br/>
                        <w:t>натоварване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675648" behindDoc="0" locked="0" layoutInCell="1" allowOverlap="1" wp14:anchorId="250EE45F" wp14:editId="475BCC74">
                <wp:simplePos x="0" y="0"/>
                <wp:positionH relativeFrom="column">
                  <wp:posOffset>1505585</wp:posOffset>
                </wp:positionH>
                <wp:positionV relativeFrom="paragraph">
                  <wp:posOffset>575945</wp:posOffset>
                </wp:positionV>
                <wp:extent cx="549910" cy="349250"/>
                <wp:effectExtent l="0" t="0" r="3175" b="0"/>
                <wp:wrapNone/>
                <wp:docPr id="56"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762" cy="349250"/>
                        </a:xfrm>
                        <a:prstGeom prst="rect">
                          <a:avLst/>
                        </a:prstGeom>
                        <a:solidFill>
                          <a:srgbClr val="37EB29"/>
                        </a:solidFill>
                        <a:ln>
                          <a:noFill/>
                        </a:ln>
                      </wps:spPr>
                      <wps:txbx>
                        <w:txbxContent>
                          <w:p w14:paraId="25C97848" w14:textId="77777777" w:rsidR="005551B9" w:rsidRDefault="005551B9">
                            <w:pPr>
                              <w:jc w:val="center"/>
                              <w:rPr>
                                <w:sz w:val="16"/>
                              </w:rPr>
                            </w:pPr>
                            <w:r>
                              <w:rPr>
                                <w:sz w:val="16"/>
                              </w:rPr>
                              <w:t>Претоварва-не</w:t>
                            </w:r>
                          </w:p>
                        </w:txbxContent>
                      </wps:txbx>
                      <wps:bodyPr rot="0" vert="horz" wrap="square" lIns="0" tIns="36000" rIns="0" bIns="0" anchor="t" anchorCtr="0" upright="1">
                        <a:noAutofit/>
                      </wps:bodyPr>
                    </wps:wsp>
                  </a:graphicData>
                </a:graphic>
              </wp:anchor>
            </w:drawing>
          </mc:Choice>
          <mc:Fallback>
            <w:pict>
              <v:shape w14:anchorId="250EE45F" id="Text Box 273" o:spid="_x0000_s1029" type="#_x0000_t202" style="position:absolute;margin-left:118.55pt;margin-top:45.35pt;width:43.3pt;height:2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" fillcolor="#37eb29" stroked="f">
                <v:textbox inset="0,1mm,0,0">
                  <w:txbxContent>
                    <w:p w14:paraId="25C97848" w14:textId="77777777" w:rsidR="005551B9" w:rsidRDefault="005551B9">
                      <w:pPr>
                        <w:jc w:val="center"/>
                        <w:rPr>
                          <w:sz w:val="16"/>
                        </w:rPr>
                      </w:pPr>
                      <w:r>
                        <w:rPr>
                          <w:sz w:val="16"/>
                        </w:rPr>
                        <w:t>Претоварва-не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717632" behindDoc="0" locked="0" layoutInCell="1" allowOverlap="1" wp14:anchorId="27BF63F8" wp14:editId="746AF529">
                <wp:simplePos x="0" y="0"/>
                <wp:positionH relativeFrom="column">
                  <wp:posOffset>4103370</wp:posOffset>
                </wp:positionH>
                <wp:positionV relativeFrom="paragraph">
                  <wp:posOffset>570230</wp:posOffset>
                </wp:positionV>
                <wp:extent cx="448945" cy="349250"/>
                <wp:effectExtent l="0" t="0" r="8890" b="0"/>
                <wp:wrapNone/>
                <wp:docPr id="462"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723" cy="349250"/>
                        </a:xfrm>
                        <a:prstGeom prst="rect">
                          <a:avLst/>
                        </a:prstGeom>
                        <a:solidFill>
                          <a:srgbClr val="37EB29"/>
                        </a:solidFill>
                        <a:ln>
                          <a:noFill/>
                        </a:ln>
                      </wps:spPr>
                      <wps:txbx>
                        <w:txbxContent>
                          <w:p w14:paraId="65AB7857" w14:textId="77777777" w:rsidR="005551B9" w:rsidRDefault="005551B9">
                            <w:pPr>
                              <w:jc w:val="center"/>
                              <w:rPr>
                                <w:sz w:val="16"/>
                              </w:rPr>
                            </w:pPr>
                            <w:r>
                              <w:rPr>
                                <w:sz w:val="16"/>
                              </w:rPr>
                              <w:t>В готовност</w:t>
                            </w:r>
                          </w:p>
                        </w:txbxContent>
                      </wps:txbx>
                      <wps:bodyPr rot="0" vert="horz" wrap="square" lIns="0" tIns="36000" rIns="0" bIns="0" anchor="t" anchorCtr="0" upright="1">
                        <a:noAutofit/>
                      </wps:bodyPr>
                    </wps:wsp>
                  </a:graphicData>
                </a:graphic>
              </wp:anchor>
            </w:drawing>
          </mc:Choice>
          <mc:Fallback>
            <w:pict>
              <v:shape w14:anchorId="27BF63F8" id="_x0000_s1030" type="#_x0000_t202" style="position:absolute;margin-left:323.1pt;margin-top:44.9pt;width:35.35pt;height:27.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" fillcolor="#37eb29" stroked="f">
                <v:textbox inset="0,1mm,0,0">
                  <w:txbxContent>
                    <w:p w14:paraId="65AB7857" w14:textId="77777777" w:rsidR="005551B9" w:rsidRDefault="005551B9">
                      <w:pPr>
                        <w:jc w:val="center"/>
                        <w:rPr>
                          <w:sz w:val="16"/>
                        </w:rPr>
                      </w:pPr>
                      <w:r>
                        <w:rPr>
                          <w:sz w:val="16"/>
                        </w:rPr>
                        <w:t>В готовност</w:t>
                      </w:r>
                    </w:p>
                  </w:txbxContent>
                </v:textbox>
              </v:shape>
            </w:pict>
          </mc:Fallback>
        </mc:AlternateContent>
      </w:r>
      <w:r w:rsidRPr="00A013E1">
        <w:rPr>
          <w:rFonts w:ascii="Times New Roman" w:hAnsi="Times New Roman" w:cs="Times New Roman"/>
          <w:noProof/>
          <w:szCs w:val="20"/>
          <w:lang w:eastAsia="bg-BG"/>
        </w:rPr>
        <mc:AlternateContent>
          <mc:Choice Requires="wps">
            <w:drawing>
              <wp:anchor distT="0" distB="0" distL="114300" distR="114300" simplePos="0" relativeHeight="251670528" behindDoc="0" locked="0" layoutInCell="1" allowOverlap="1" wp14:anchorId="464C1E74" wp14:editId="71392C04">
                <wp:simplePos x="0" y="0"/>
                <wp:positionH relativeFrom="column">
                  <wp:posOffset>877570</wp:posOffset>
                </wp:positionH>
                <wp:positionV relativeFrom="paragraph">
                  <wp:posOffset>570230</wp:posOffset>
                </wp:positionV>
                <wp:extent cx="589915" cy="349250"/>
                <wp:effectExtent l="0" t="0" r="1270" b="0"/>
                <wp:wrapNone/>
                <wp:docPr id="49"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03" cy="349250"/>
                        </a:xfrm>
                        <a:prstGeom prst="rect">
                          <a:avLst/>
                        </a:prstGeom>
                        <a:solidFill>
                          <a:srgbClr val="59BB9A"/>
                        </a:solidFill>
                        <a:ln>
                          <a:noFill/>
                        </a:ln>
                      </wps:spPr>
                      <wps:txbx>
                        <w:txbxContent>
                          <w:p w14:paraId="43501DF5" w14:textId="77777777" w:rsidR="005551B9" w:rsidRDefault="005551B9">
                            <w:pPr>
                              <w:jc w:val="center"/>
                              <w:rPr>
                                <w:sz w:val="16"/>
                              </w:rPr>
                            </w:pPr>
                            <w:r>
                              <w:rPr>
                                <w:sz w:val="16"/>
                              </w:rPr>
                              <w:t>Нормално натоварване</w:t>
                            </w:r>
                          </w:p>
                        </w:txbxContent>
                      </wps:txbx>
                      <wps:bodyPr rot="0" vert="horz" wrap="square" lIns="0" tIns="36000" rIns="0" bIns="0" anchor="t" anchorCtr="0" upright="1">
                        <a:noAutofit/>
                      </wps:bodyPr>
                    </wps:wsp>
                  </a:graphicData>
                </a:graphic>
              </wp:anchor>
            </w:drawing>
          </mc:Choice>
          <mc:Fallback>
            <w:pict>
              <v:shape w14:anchorId="464C1E74" id="Text Box 262" o:spid="_x0000_s1031" type="#_x0000_t202" style="position:absolute;margin-left:69.1pt;margin-top:44.9pt;width:46.45pt;height:2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" fillcolor="#59bb9a" stroked="f">
                <v:textbox inset="0,1mm,0,0">
                  <w:txbxContent>
                    <w:p w14:paraId="43501DF5" w14:textId="77777777" w:rsidR="005551B9" w:rsidRDefault="005551B9">
                      <w:pPr>
                        <w:jc w:val="center"/>
                        <w:rPr>
                          <w:sz w:val="16"/>
                        </w:rPr>
                      </w:pPr>
                      <w:r>
                        <w:rPr>
                          <w:sz w:val="16"/>
                        </w:rPr>
                        <w:t>Нормално натоварване</w:t>
                      </w:r>
                    </w:p>
                  </w:txbxContent>
                </v:textbox>
              </v:shape>
            </w:pict>
          </mc:Fallback>
        </mc:AlternateContent>
      </w:r>
      <w:r w:rsidRPr="00A013E1">
        <w:rPr>
          <w:rFonts w:ascii="Times New Roman" w:hAnsi="Times New Roman" w:cs="Times New Roman"/>
          <w:noProof/>
          <w:szCs w:val="20"/>
          <w:lang w:eastAsia="bg-BG"/>
        </w:rPr>
        <mc:AlternateContent>
          <mc:Choice Requires="wps">
            <w:drawing>
              <wp:anchor distT="0" distB="0" distL="114300" distR="114300" simplePos="0" relativeHeight="251671552" behindDoc="0" locked="0" layoutInCell="1" allowOverlap="1" wp14:anchorId="395A9A87" wp14:editId="63E6F74C">
                <wp:simplePos x="0" y="0"/>
                <wp:positionH relativeFrom="column">
                  <wp:posOffset>2089150</wp:posOffset>
                </wp:positionH>
                <wp:positionV relativeFrom="paragraph">
                  <wp:posOffset>570230</wp:posOffset>
                </wp:positionV>
                <wp:extent cx="584200" cy="349250"/>
                <wp:effectExtent l="0" t="0" r="6985" b="0"/>
                <wp:wrapNone/>
                <wp:docPr id="5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93" cy="349250"/>
                        </a:xfrm>
                        <a:prstGeom prst="rect">
                          <a:avLst/>
                        </a:prstGeom>
                        <a:solidFill>
                          <a:srgbClr val="59BB9A"/>
                        </a:solidFill>
                        <a:ln>
                          <a:noFill/>
                        </a:ln>
                      </wps:spPr>
                      <wps:txbx>
                        <w:txbxContent>
                          <w:p w14:paraId="7BFAACD3" w14:textId="77777777" w:rsidR="005551B9" w:rsidRDefault="005551B9">
                            <w:pPr>
                              <w:jc w:val="center"/>
                              <w:rPr>
                                <w:sz w:val="16"/>
                              </w:rPr>
                            </w:pPr>
                            <w:r>
                              <w:rPr>
                                <w:sz w:val="16"/>
                              </w:rPr>
                              <w:t xml:space="preserve">Нормално </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395A9A87" id="Text Box 263" o:spid="_x0000_s1032" type="#_x0000_t202" style="position:absolute;margin-left:164.5pt;margin-top:44.9pt;width:46pt;height:2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" fillcolor="#59bb9a" stroked="f">
                <v:textbox inset="0,1mm,0,0">
                  <w:txbxContent>
                    <w:p w14:paraId="7BFAACD3" w14:textId="77777777" w:rsidR="005551B9" w:rsidRDefault="005551B9">
                      <w:pPr>
                        <w:jc w:val="center"/>
                        <w:rPr>
                          <w:sz w:val="16"/>
                        </w:rPr>
                      </w:pPr>
                      <w:r>
                        <w:rPr>
                          <w:sz w:val="16"/>
                        </w:rPr>
                        <w:t xml:space="preserve">Нормално </w:t>
                      </w:r>
                      <w:r>
                        <w:rPr>
                          <w:sz w:val="16"/>
                        </w:rPr>
                        <w:br/>
                        <w:t>натоварване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673600" behindDoc="0" locked="0" layoutInCell="1" allowOverlap="1" wp14:anchorId="2EA9F8AD" wp14:editId="49B5C510">
                <wp:simplePos x="0" y="0"/>
                <wp:positionH relativeFrom="column">
                  <wp:posOffset>4681220</wp:posOffset>
                </wp:positionH>
                <wp:positionV relativeFrom="paragraph">
                  <wp:posOffset>570230</wp:posOffset>
                </wp:positionV>
                <wp:extent cx="617220" cy="349250"/>
                <wp:effectExtent l="0" t="0" r="0" b="0"/>
                <wp:wrapNone/>
                <wp:docPr id="53"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80" cy="349250"/>
                        </a:xfrm>
                        <a:prstGeom prst="rect">
                          <a:avLst/>
                        </a:prstGeom>
                        <a:solidFill>
                          <a:srgbClr val="59BB9A"/>
                        </a:solidFill>
                        <a:ln>
                          <a:noFill/>
                        </a:ln>
                      </wps:spPr>
                      <wps:txbx>
                        <w:txbxContent>
                          <w:p w14:paraId="557922C1" w14:textId="77777777" w:rsidR="005551B9" w:rsidRDefault="005551B9">
                            <w:pPr>
                              <w:jc w:val="center"/>
                              <w:rPr>
                                <w:sz w:val="16"/>
                              </w:rPr>
                            </w:pPr>
                            <w:r>
                              <w:rPr>
                                <w:sz w:val="16"/>
                              </w:rPr>
                              <w:t xml:space="preserve">Нормално </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2EA9F8AD" id="Text Box 265" o:spid="_x0000_s1033" type="#_x0000_t202" style="position:absolute;margin-left:368.6pt;margin-top:44.9pt;width:48.6pt;height:2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" fillcolor="#59bb9a" stroked="f">
                <v:textbox inset="0,1mm,0,0">
                  <w:txbxContent>
                    <w:p w14:paraId="557922C1" w14:textId="77777777" w:rsidR="005551B9" w:rsidRDefault="005551B9">
                      <w:pPr>
                        <w:jc w:val="center"/>
                        <w:rPr>
                          <w:sz w:val="16"/>
                        </w:rPr>
                      </w:pPr>
                      <w:r>
                        <w:rPr>
                          <w:sz w:val="16"/>
                        </w:rPr>
                        <w:t xml:space="preserve">Нормално </w:t>
                      </w:r>
                      <w:r>
                        <w:rPr>
                          <w:sz w:val="16"/>
                        </w:rPr>
                        <w:br/>
                        <w:t>натоварване</w:t>
                      </w:r>
                    </w:p>
                  </w:txbxContent>
                </v:textbox>
              </v:shape>
            </w:pict>
          </mc:Fallback>
        </mc:AlternateContent>
      </w:r>
      <w:r w:rsidRPr="00A013E1">
        <w:rPr>
          <w:rFonts w:ascii="Times New Roman" w:hAnsi="Times New Roman" w:cs="Times New Roman"/>
          <w:noProof/>
          <w:lang w:eastAsia="bg-BG"/>
        </w:rPr>
        <w:drawing>
          <wp:anchor distT="0" distB="0" distL="0" distR="0" simplePos="0" relativeHeight="251669504" behindDoc="0" locked="0" layoutInCell="1" allowOverlap="1" wp14:anchorId="5D55C3D6" wp14:editId="3E46DE74">
            <wp:simplePos x="0" y="0"/>
            <wp:positionH relativeFrom="column">
              <wp:posOffset>9525</wp:posOffset>
            </wp:positionH>
            <wp:positionV relativeFrom="paragraph">
              <wp:posOffset>198120</wp:posOffset>
            </wp:positionV>
            <wp:extent cx="5732780" cy="3655695"/>
            <wp:effectExtent l="0" t="0" r="1270" b="1905"/>
            <wp:wrapTopAndBottom/>
            <wp:docPr id="4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0" y="0"/>
                      <a:ext cx="5732780" cy="3655695"/>
                    </a:xfrm>
                    <a:prstGeom prst="rect">
                      <a:avLst/>
                    </a:prstGeom>
                    <a:solidFill>
                      <a:srgbClr val="FFFFFF"/>
                    </a:solidFill>
                    <a:ln>
                      <a:noFill/>
                    </a:ln>
                  </pic:spPr>
                </pic:pic>
              </a:graphicData>
            </a:graphic>
          </wp:anchor>
        </w:drawing>
      </w:r>
      <w:r w:rsidRPr="00A013E1">
        <w:rPr>
          <w:rFonts w:ascii="Times New Roman" w:hAnsi="Times New Roman" w:cs="Times New Roman"/>
          <w:b/>
          <w:noProof/>
          <w:lang w:eastAsia="bg-BG"/>
        </w:rPr>
        <mc:AlternateContent>
          <mc:Choice Requires="wps">
            <w:drawing>
              <wp:anchor distT="0" distB="0" distL="114300" distR="114300" simplePos="0" relativeHeight="251674624" behindDoc="0" locked="0" layoutInCell="1" allowOverlap="1" wp14:anchorId="3FD0EFB1" wp14:editId="4D883430">
                <wp:simplePos x="0" y="0"/>
                <wp:positionH relativeFrom="column">
                  <wp:posOffset>213995</wp:posOffset>
                </wp:positionH>
                <wp:positionV relativeFrom="paragraph">
                  <wp:posOffset>813435</wp:posOffset>
                </wp:positionV>
                <wp:extent cx="300355" cy="2115820"/>
                <wp:effectExtent l="0" t="0" r="0" b="0"/>
                <wp:wrapNone/>
                <wp:docPr id="54"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115820"/>
                        </a:xfrm>
                        <a:prstGeom prst="rect">
                          <a:avLst/>
                        </a:prstGeom>
                        <a:solidFill>
                          <a:srgbClr val="FFFFFF"/>
                        </a:solidFill>
                        <a:ln>
                          <a:noFill/>
                        </a:ln>
                      </wps:spPr>
                      <wps:txbx>
                        <w:txbxContent>
                          <w:p w14:paraId="16C8AEAF" w14:textId="77777777" w:rsidR="005551B9" w:rsidRDefault="005551B9">
                            <w:pPr>
                              <w:jc w:val="center"/>
                              <w:rPr>
                                <w:b/>
                                <w:color w:val="0070C0"/>
                              </w:rPr>
                            </w:pPr>
                            <w:r>
                              <w:rPr>
                                <w:b/>
                                <w:color w:val="0070C0"/>
                              </w:rPr>
                              <w:t>Хидравличен товар Q</w:t>
                            </w:r>
                            <w:r>
                              <w:rPr>
                                <w:b/>
                                <w:color w:val="0070C0"/>
                                <w:vertAlign w:val="subscript"/>
                              </w:rPr>
                              <w:t>d</w:t>
                            </w:r>
                            <w:r>
                              <w:rPr>
                                <w:b/>
                                <w:color w:val="0070C0"/>
                              </w:rPr>
                              <w:t xml:space="preserve"> [%]</w:t>
                            </w:r>
                          </w:p>
                        </w:txbxContent>
                      </wps:txbx>
                      <wps:bodyPr rot="0" vert="vert270" wrap="square" lIns="0" tIns="0" rIns="0" bIns="0" anchor="t" anchorCtr="0" upright="1">
                        <a:noAutofit/>
                      </wps:bodyPr>
                    </wps:wsp>
                  </a:graphicData>
                </a:graphic>
              </wp:anchor>
            </w:drawing>
          </mc:Choice>
          <mc:Fallback>
            <w:pict>
              <v:shape w14:anchorId="3FD0EFB1" id="Text Box 266" o:spid="_x0000_s1034" type="#_x0000_t202" style="position:absolute;margin-left:16.85pt;margin-top:64.05pt;width:23.65pt;height:166.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" stroked="f">
                <v:textbox style="layout-flow:vertical;mso-layout-flow-alt:bottom-to-top" inset="0,0,0,0">
                  <w:txbxContent>
                    <w:p w14:paraId="16C8AEAF" w14:textId="77777777" w:rsidR="005551B9" w:rsidRDefault="005551B9">
                      <w:pPr>
                        <w:jc w:val="center"/>
                        <w:rPr>
                          <w:b/>
                          <w:color w:val="0070C0"/>
                        </w:rPr>
                      </w:pPr>
                      <w:r>
                        <w:rPr>
                          <w:b/>
                          <w:color w:val="0070C0"/>
                        </w:rPr>
                        <w:t>Хидравличен товар Q</w:t>
                      </w:r>
                      <w:r>
                        <w:rPr>
                          <w:b/>
                          <w:color w:val="0070C0"/>
                          <w:vertAlign w:val="subscript"/>
                        </w:rPr>
                        <w:t>d</w:t>
                      </w:r>
                      <w:r>
                        <w:rPr>
                          <w:b/>
                          <w:color w:val="0070C0"/>
                        </w:rPr>
                        <w:t xml:space="preserve"> [%]</w:t>
                      </w:r>
                    </w:p>
                  </w:txbxContent>
                </v:textbox>
              </v:shape>
            </w:pict>
          </mc:Fallback>
        </mc:AlternateContent>
      </w:r>
      <w:r w:rsidRPr="00A013E1">
        <w:rPr>
          <w:rFonts w:ascii="Times New Roman" w:hAnsi="Times New Roman" w:cs="Times New Roman"/>
          <w:lang w:val="ru-RU"/>
        </w:rPr>
        <w:t>Пример 1</w:t>
      </w:r>
    </w:p>
    <w:p w14:paraId="3285221D" w14:textId="77777777" w:rsidR="00271FA2" w:rsidRPr="00A013E1" w:rsidRDefault="00D35E51">
      <w:pPr>
        <w:spacing w:line="240" w:lineRule="atLeast"/>
        <w:rPr>
          <w:rFonts w:ascii="Times New Roman" w:hAnsi="Times New Roman" w:cs="Times New Roman"/>
          <w:lang w:val="ru-RU"/>
        </w:rPr>
      </w:pPr>
      <w:r w:rsidRPr="00A013E1">
        <w:rPr>
          <w:rFonts w:ascii="Times New Roman" w:hAnsi="Times New Roman" w:cs="Times New Roman"/>
          <w:lang w:val="ru-RU"/>
        </w:rPr>
        <w:br w:type="page"/>
      </w:r>
    </w:p>
    <w:p w14:paraId="387A80B0" w14:textId="77777777" w:rsidR="00271FA2" w:rsidRPr="00A013E1" w:rsidRDefault="00D35E51">
      <w:pPr>
        <w:tabs>
          <w:tab w:val="left" w:leader="dot" w:pos="9072"/>
        </w:tabs>
        <w:spacing w:line="240" w:lineRule="atLeast"/>
        <w:rPr>
          <w:rFonts w:ascii="Times New Roman" w:hAnsi="Times New Roman" w:cs="Times New Roman"/>
          <w:lang w:val="ru-RU"/>
        </w:rPr>
      </w:pPr>
      <w:r w:rsidRPr="00A013E1">
        <w:rPr>
          <w:rFonts w:ascii="Times New Roman" w:hAnsi="Times New Roman" w:cs="Times New Roman"/>
          <w:noProof/>
          <w:szCs w:val="20"/>
          <w:lang w:eastAsia="bg-BG"/>
        </w:rPr>
        <w:lastRenderedPageBreak/>
        <mc:AlternateContent>
          <mc:Choice Requires="wps">
            <w:drawing>
              <wp:anchor distT="0" distB="0" distL="114300" distR="114300" simplePos="0" relativeHeight="251719680" behindDoc="0" locked="0" layoutInCell="1" allowOverlap="1" wp14:anchorId="7D46FBF0" wp14:editId="273C129C">
                <wp:simplePos x="0" y="0"/>
                <wp:positionH relativeFrom="column">
                  <wp:posOffset>4170680</wp:posOffset>
                </wp:positionH>
                <wp:positionV relativeFrom="paragraph">
                  <wp:posOffset>573405</wp:posOffset>
                </wp:positionV>
                <wp:extent cx="717550" cy="400050"/>
                <wp:effectExtent l="0" t="0" r="6350" b="0"/>
                <wp:wrapNone/>
                <wp:docPr id="464"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7" cy="400050"/>
                        </a:xfrm>
                        <a:prstGeom prst="rect">
                          <a:avLst/>
                        </a:prstGeom>
                        <a:solidFill>
                          <a:srgbClr val="59BB9A"/>
                        </a:solidFill>
                        <a:ln>
                          <a:noFill/>
                        </a:ln>
                      </wps:spPr>
                      <wps:txbx>
                        <w:txbxContent>
                          <w:p w14:paraId="1E7E4EDA" w14:textId="77777777" w:rsidR="005551B9" w:rsidRDefault="005551B9">
                            <w:pPr>
                              <w:jc w:val="center"/>
                              <w:rPr>
                                <w:sz w:val="16"/>
                              </w:rPr>
                            </w:pPr>
                            <w:r>
                              <w:rPr>
                                <w:sz w:val="16"/>
                              </w:rPr>
                              <w:t xml:space="preserve">Нормално </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7D46FBF0" id="_x0000_s1035" type="#_x0000_t202" style="position:absolute;margin-left:328.4pt;margin-top:45.15pt;width:56.5pt;height:31.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" fillcolor="#59bb9a" stroked="f">
                <v:textbox inset="0,1mm,0,0">
                  <w:txbxContent>
                    <w:p w14:paraId="1E7E4EDA" w14:textId="77777777" w:rsidR="005551B9" w:rsidRDefault="005551B9">
                      <w:pPr>
                        <w:jc w:val="center"/>
                        <w:rPr>
                          <w:sz w:val="16"/>
                        </w:rPr>
                      </w:pPr>
                      <w:r>
                        <w:rPr>
                          <w:sz w:val="16"/>
                        </w:rPr>
                        <w:t xml:space="preserve">Нормално </w:t>
                      </w:r>
                      <w:r>
                        <w:rPr>
                          <w:sz w:val="16"/>
                        </w:rPr>
                        <w:br/>
                        <w:t>натоварване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718656" behindDoc="0" locked="0" layoutInCell="1" allowOverlap="1" wp14:anchorId="46A2BE38" wp14:editId="6C68321F">
                <wp:simplePos x="0" y="0"/>
                <wp:positionH relativeFrom="column">
                  <wp:posOffset>3536315</wp:posOffset>
                </wp:positionH>
                <wp:positionV relativeFrom="paragraph">
                  <wp:posOffset>573405</wp:posOffset>
                </wp:positionV>
                <wp:extent cx="496570" cy="400050"/>
                <wp:effectExtent l="0" t="0" r="0" b="0"/>
                <wp:wrapNone/>
                <wp:docPr id="463"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41" cy="400050"/>
                        </a:xfrm>
                        <a:prstGeom prst="rect">
                          <a:avLst/>
                        </a:prstGeom>
                        <a:solidFill>
                          <a:srgbClr val="37EB29"/>
                        </a:solidFill>
                        <a:ln>
                          <a:noFill/>
                        </a:ln>
                      </wps:spPr>
                      <wps:txbx>
                        <w:txbxContent>
                          <w:p w14:paraId="1C9B7686" w14:textId="77777777" w:rsidR="005551B9" w:rsidRDefault="005551B9">
                            <w:pPr>
                              <w:jc w:val="center"/>
                              <w:rPr>
                                <w:sz w:val="16"/>
                              </w:rPr>
                            </w:pPr>
                            <w:r>
                              <w:rPr>
                                <w:sz w:val="16"/>
                              </w:rPr>
                              <w:t>В готовност</w:t>
                            </w:r>
                          </w:p>
                        </w:txbxContent>
                      </wps:txbx>
                      <wps:bodyPr rot="0" vert="horz" wrap="square" lIns="0" tIns="36000" rIns="0" bIns="0" anchor="t" anchorCtr="0" upright="1">
                        <a:noAutofit/>
                      </wps:bodyPr>
                    </wps:wsp>
                  </a:graphicData>
                </a:graphic>
              </wp:anchor>
            </w:drawing>
          </mc:Choice>
          <mc:Fallback>
            <w:pict>
              <v:shape w14:anchorId="46A2BE38" id="_x0000_s1036" type="#_x0000_t202" style="position:absolute;margin-left:278.45pt;margin-top:45.15pt;width:39.1pt;height:31.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" fillcolor="#37eb29" stroked="f">
                <v:textbox inset="0,1mm,0,0">
                  <w:txbxContent>
                    <w:p w14:paraId="1C9B7686" w14:textId="77777777" w:rsidR="005551B9" w:rsidRDefault="005551B9">
                      <w:pPr>
                        <w:jc w:val="center"/>
                        <w:rPr>
                          <w:sz w:val="16"/>
                        </w:rPr>
                      </w:pPr>
                      <w:r>
                        <w:rPr>
                          <w:sz w:val="16"/>
                        </w:rPr>
                        <w:t>В готовност</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716608" behindDoc="0" locked="0" layoutInCell="1" allowOverlap="1" wp14:anchorId="7457CFE9" wp14:editId="67D01933">
                <wp:simplePos x="0" y="0"/>
                <wp:positionH relativeFrom="column">
                  <wp:posOffset>2987040</wp:posOffset>
                </wp:positionH>
                <wp:positionV relativeFrom="paragraph">
                  <wp:posOffset>573405</wp:posOffset>
                </wp:positionV>
                <wp:extent cx="549910" cy="400050"/>
                <wp:effectExtent l="0" t="0" r="3175" b="0"/>
                <wp:wrapNone/>
                <wp:docPr id="460"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762" cy="400050"/>
                        </a:xfrm>
                        <a:prstGeom prst="rect">
                          <a:avLst/>
                        </a:prstGeom>
                        <a:solidFill>
                          <a:srgbClr val="37EB29"/>
                        </a:solidFill>
                        <a:ln>
                          <a:noFill/>
                        </a:ln>
                      </wps:spPr>
                      <wps:txbx>
                        <w:txbxContent>
                          <w:p w14:paraId="1E0C2DD6" w14:textId="77777777" w:rsidR="005551B9" w:rsidRDefault="005551B9">
                            <w:pPr>
                              <w:jc w:val="center"/>
                              <w:rPr>
                                <w:sz w:val="16"/>
                              </w:rPr>
                            </w:pPr>
                            <w:r>
                              <w:rPr>
                                <w:sz w:val="16"/>
                              </w:rPr>
                              <w:t>Недо-</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7457CFE9" id="_x0000_s1037" type="#_x0000_t202" style="position:absolute;margin-left:235.2pt;margin-top:45.15pt;width:43.3pt;height:31.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" fillcolor="#37eb29" stroked="f">
                <v:textbox inset="0,1mm,0,0">
                  <w:txbxContent>
                    <w:p w14:paraId="1E0C2DD6" w14:textId="77777777" w:rsidR="005551B9" w:rsidRDefault="005551B9">
                      <w:pPr>
                        <w:jc w:val="center"/>
                        <w:rPr>
                          <w:sz w:val="16"/>
                        </w:rPr>
                      </w:pPr>
                      <w:r>
                        <w:rPr>
                          <w:sz w:val="16"/>
                        </w:rPr>
                        <w:t>Недо-</w:t>
                      </w:r>
                      <w:r>
                        <w:rPr>
                          <w:sz w:val="16"/>
                        </w:rPr>
                        <w:br/>
                        <w:t>натоварване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715584" behindDoc="0" locked="0" layoutInCell="1" allowOverlap="1" wp14:anchorId="3563A799" wp14:editId="4B216BE7">
                <wp:simplePos x="0" y="0"/>
                <wp:positionH relativeFrom="column">
                  <wp:posOffset>2425700</wp:posOffset>
                </wp:positionH>
                <wp:positionV relativeFrom="paragraph">
                  <wp:posOffset>573405</wp:posOffset>
                </wp:positionV>
                <wp:extent cx="510540" cy="400050"/>
                <wp:effectExtent l="0" t="0" r="4445" b="0"/>
                <wp:wrapNone/>
                <wp:docPr id="459"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42" cy="400050"/>
                        </a:xfrm>
                        <a:prstGeom prst="rect">
                          <a:avLst/>
                        </a:prstGeom>
                        <a:solidFill>
                          <a:srgbClr val="37EB29"/>
                        </a:solidFill>
                        <a:ln>
                          <a:noFill/>
                        </a:ln>
                      </wps:spPr>
                      <wps:txbx>
                        <w:txbxContent>
                          <w:p w14:paraId="4C0AE637" w14:textId="77777777" w:rsidR="005551B9" w:rsidRDefault="005551B9">
                            <w:pPr>
                              <w:jc w:val="center"/>
                              <w:rPr>
                                <w:sz w:val="16"/>
                              </w:rPr>
                            </w:pPr>
                            <w:r>
                              <w:rPr>
                                <w:sz w:val="16"/>
                              </w:rPr>
                              <w:t>Претоварване</w:t>
                            </w:r>
                          </w:p>
                        </w:txbxContent>
                      </wps:txbx>
                      <wps:bodyPr rot="0" vert="horz" wrap="square" lIns="0" tIns="36000" rIns="0" bIns="0" anchor="t" anchorCtr="0" upright="1">
                        <a:noAutofit/>
                      </wps:bodyPr>
                    </wps:wsp>
                  </a:graphicData>
                </a:graphic>
              </wp:anchor>
            </w:drawing>
          </mc:Choice>
          <mc:Fallback>
            <w:pict>
              <v:shape w14:anchorId="3563A799" id="_x0000_s1038" type="#_x0000_t202" style="position:absolute;margin-left:191pt;margin-top:45.15pt;width:40.2pt;height:31.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" fillcolor="#37eb29" stroked="f">
                <v:textbox inset="0,1mm,0,0">
                  <w:txbxContent>
                    <w:p w14:paraId="4C0AE637" w14:textId="77777777" w:rsidR="005551B9" w:rsidRDefault="005551B9">
                      <w:pPr>
                        <w:jc w:val="center"/>
                        <w:rPr>
                          <w:sz w:val="16"/>
                        </w:rPr>
                      </w:pPr>
                      <w:r>
                        <w:rPr>
                          <w:sz w:val="16"/>
                        </w:rPr>
                        <w:t>Претоварване</w:t>
                      </w:r>
                    </w:p>
                  </w:txbxContent>
                </v:textbox>
              </v:shape>
            </w:pict>
          </mc:Fallback>
        </mc:AlternateContent>
      </w:r>
      <w:r w:rsidRPr="00A013E1">
        <w:rPr>
          <w:rFonts w:ascii="Times New Roman" w:hAnsi="Times New Roman" w:cs="Times New Roman"/>
          <w:noProof/>
          <w:szCs w:val="20"/>
          <w:lang w:eastAsia="bg-BG"/>
        </w:rPr>
        <mc:AlternateContent>
          <mc:Choice Requires="wps">
            <w:drawing>
              <wp:anchor distT="0" distB="0" distL="114300" distR="114300" simplePos="0" relativeHeight="251714560" behindDoc="0" locked="0" layoutInCell="1" allowOverlap="1" wp14:anchorId="5C355628" wp14:editId="05372330">
                <wp:simplePos x="0" y="0"/>
                <wp:positionH relativeFrom="column">
                  <wp:posOffset>1718945</wp:posOffset>
                </wp:positionH>
                <wp:positionV relativeFrom="paragraph">
                  <wp:posOffset>573405</wp:posOffset>
                </wp:positionV>
                <wp:extent cx="661670" cy="400050"/>
                <wp:effectExtent l="0" t="0" r="5080" b="0"/>
                <wp:wrapNone/>
                <wp:docPr id="458"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58" cy="400050"/>
                        </a:xfrm>
                        <a:prstGeom prst="rect">
                          <a:avLst/>
                        </a:prstGeom>
                        <a:solidFill>
                          <a:srgbClr val="59BB9A"/>
                        </a:solidFill>
                        <a:ln>
                          <a:noFill/>
                        </a:ln>
                      </wps:spPr>
                      <wps:txbx>
                        <w:txbxContent>
                          <w:p w14:paraId="6F56E70B" w14:textId="77777777" w:rsidR="005551B9" w:rsidRDefault="005551B9">
                            <w:pPr>
                              <w:jc w:val="center"/>
                              <w:rPr>
                                <w:sz w:val="16"/>
                              </w:rPr>
                            </w:pPr>
                            <w:r>
                              <w:rPr>
                                <w:sz w:val="16"/>
                              </w:rPr>
                              <w:t>Нормално натоварване</w:t>
                            </w:r>
                          </w:p>
                        </w:txbxContent>
                      </wps:txbx>
                      <wps:bodyPr rot="0" vert="horz" wrap="square" lIns="0" tIns="36000" rIns="0" bIns="0" anchor="t" anchorCtr="0" upright="1">
                        <a:noAutofit/>
                      </wps:bodyPr>
                    </wps:wsp>
                  </a:graphicData>
                </a:graphic>
              </wp:anchor>
            </w:drawing>
          </mc:Choice>
          <mc:Fallback>
            <w:pict>
              <v:shape w14:anchorId="5C355628" id="_x0000_s1039" type="#_x0000_t202" style="position:absolute;margin-left:135.35pt;margin-top:45.15pt;width:52.1pt;height:31.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" fillcolor="#59bb9a" stroked="f">
                <v:textbox inset="0,1mm,0,0">
                  <w:txbxContent>
                    <w:p w14:paraId="6F56E70B" w14:textId="77777777" w:rsidR="005551B9" w:rsidRDefault="005551B9">
                      <w:pPr>
                        <w:jc w:val="center"/>
                        <w:rPr>
                          <w:sz w:val="16"/>
                        </w:rPr>
                      </w:pPr>
                      <w:r>
                        <w:rPr>
                          <w:sz w:val="16"/>
                        </w:rPr>
                        <w:t>Нормално натоварване</w:t>
                      </w:r>
                    </w:p>
                  </w:txbxContent>
                </v:textbox>
              </v:shape>
            </w:pict>
          </mc:Fallback>
        </mc:AlternateContent>
      </w:r>
      <w:r w:rsidRPr="00A013E1">
        <w:rPr>
          <w:rFonts w:ascii="Times New Roman" w:hAnsi="Times New Roman" w:cs="Times New Roman"/>
          <w:noProof/>
          <w:szCs w:val="20"/>
          <w:lang w:eastAsia="bg-BG"/>
        </w:rPr>
        <mc:AlternateContent>
          <mc:Choice Requires="wps">
            <w:drawing>
              <wp:anchor distT="0" distB="0" distL="114300" distR="114300" simplePos="0" relativeHeight="251720704" behindDoc="0" locked="0" layoutInCell="1" allowOverlap="1" wp14:anchorId="2F4D9612" wp14:editId="4E82FBC4">
                <wp:simplePos x="0" y="0"/>
                <wp:positionH relativeFrom="column">
                  <wp:posOffset>4947285</wp:posOffset>
                </wp:positionH>
                <wp:positionV relativeFrom="paragraph">
                  <wp:posOffset>525145</wp:posOffset>
                </wp:positionV>
                <wp:extent cx="695325" cy="495300"/>
                <wp:effectExtent l="0" t="0" r="9525" b="0"/>
                <wp:wrapNone/>
                <wp:docPr id="465"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95300"/>
                        </a:xfrm>
                        <a:prstGeom prst="rect">
                          <a:avLst/>
                        </a:prstGeom>
                        <a:solidFill>
                          <a:srgbClr val="59BB9A"/>
                        </a:solidFill>
                        <a:ln>
                          <a:noFill/>
                        </a:ln>
                      </wps:spPr>
                      <wps:txbx>
                        <w:txbxContent>
                          <w:p w14:paraId="05A0C802" w14:textId="77777777" w:rsidR="005551B9" w:rsidRDefault="005551B9">
                            <w:pPr>
                              <w:jc w:val="center"/>
                              <w:rPr>
                                <w:sz w:val="16"/>
                              </w:rPr>
                            </w:pPr>
                            <w:r>
                              <w:rPr>
                                <w:sz w:val="16"/>
                              </w:rPr>
                              <w:t>Нормално натоварване</w:t>
                            </w:r>
                          </w:p>
                        </w:txbxContent>
                      </wps:txbx>
                      <wps:bodyPr rot="0" vert="horz" wrap="square" lIns="0" tIns="36000" rIns="0" bIns="0" anchor="t" anchorCtr="0" upright="1">
                        <a:noAutofit/>
                      </wps:bodyPr>
                    </wps:wsp>
                  </a:graphicData>
                </a:graphic>
              </wp:anchor>
            </w:drawing>
          </mc:Choice>
          <mc:Fallback>
            <w:pict>
              <v:shape w14:anchorId="2F4D9612" id="_x0000_s1040" type="#_x0000_t202" style="position:absolute;margin-left:389.55pt;margin-top:41.35pt;width:54.75pt;height:39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" fillcolor="#59bb9a" stroked="f">
                <v:textbox inset="0,1mm,0,0">
                  <w:txbxContent>
                    <w:p w14:paraId="05A0C802" w14:textId="77777777" w:rsidR="005551B9" w:rsidRDefault="005551B9">
                      <w:pPr>
                        <w:jc w:val="center"/>
                        <w:rPr>
                          <w:sz w:val="16"/>
                        </w:rPr>
                      </w:pPr>
                      <w:r>
                        <w:rPr>
                          <w:sz w:val="16"/>
                        </w:rPr>
                        <w:t>Нормално натоварване</w:t>
                      </w:r>
                    </w:p>
                  </w:txbxContent>
                </v:textbox>
              </v:shape>
            </w:pict>
          </mc:Fallback>
        </mc:AlternateContent>
      </w:r>
      <w:r w:rsidRPr="00A013E1">
        <w:rPr>
          <w:rFonts w:ascii="Times New Roman" w:hAnsi="Times New Roman" w:cs="Times New Roman"/>
          <w:noProof/>
          <w:szCs w:val="20"/>
          <w:lang w:eastAsia="bg-BG"/>
        </w:rPr>
        <mc:AlternateContent>
          <mc:Choice Requires="wps">
            <w:drawing>
              <wp:anchor distT="0" distB="0" distL="114300" distR="114300" simplePos="0" relativeHeight="251713536" behindDoc="0" locked="0" layoutInCell="1" allowOverlap="1" wp14:anchorId="12017622" wp14:editId="5D1DA75A">
                <wp:simplePos x="0" y="0"/>
                <wp:positionH relativeFrom="column">
                  <wp:posOffset>928370</wp:posOffset>
                </wp:positionH>
                <wp:positionV relativeFrom="paragraph">
                  <wp:posOffset>572770</wp:posOffset>
                </wp:positionV>
                <wp:extent cx="723900" cy="400050"/>
                <wp:effectExtent l="0" t="0" r="0" b="0"/>
                <wp:wrapNone/>
                <wp:docPr id="457"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00050"/>
                        </a:xfrm>
                        <a:prstGeom prst="rect">
                          <a:avLst/>
                        </a:prstGeom>
                        <a:solidFill>
                          <a:srgbClr val="59BB9A"/>
                        </a:solidFill>
                        <a:ln>
                          <a:noFill/>
                        </a:ln>
                      </wps:spPr>
                      <wps:txbx>
                        <w:txbxContent>
                          <w:p w14:paraId="31DB39C6" w14:textId="77777777" w:rsidR="005551B9" w:rsidRDefault="005551B9">
                            <w:pPr>
                              <w:jc w:val="center"/>
                              <w:rPr>
                                <w:sz w:val="16"/>
                              </w:rPr>
                            </w:pPr>
                            <w:r>
                              <w:rPr>
                                <w:sz w:val="16"/>
                              </w:rPr>
                              <w:t>Нормално натоварване</w:t>
                            </w:r>
                          </w:p>
                        </w:txbxContent>
                      </wps:txbx>
                      <wps:bodyPr rot="0" vert="horz" wrap="square" lIns="0" tIns="36000" rIns="0" bIns="0" anchor="t" anchorCtr="0" upright="1">
                        <a:noAutofit/>
                      </wps:bodyPr>
                    </wps:wsp>
                  </a:graphicData>
                </a:graphic>
              </wp:anchor>
            </w:drawing>
          </mc:Choice>
          <mc:Fallback>
            <w:pict>
              <v:shape w14:anchorId="12017622" id="_x0000_s1041" type="#_x0000_t202" style="position:absolute;margin-left:73.1pt;margin-top:45.1pt;width:57pt;height:31.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" fillcolor="#59bb9a" stroked="f">
                <v:textbox inset="0,1mm,0,0">
                  <w:txbxContent>
                    <w:p w14:paraId="31DB39C6" w14:textId="77777777" w:rsidR="005551B9" w:rsidRDefault="005551B9">
                      <w:pPr>
                        <w:jc w:val="center"/>
                        <w:rPr>
                          <w:sz w:val="16"/>
                        </w:rPr>
                      </w:pPr>
                      <w:r>
                        <w:rPr>
                          <w:sz w:val="16"/>
                        </w:rPr>
                        <w:t>Нормално натоварване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712512" behindDoc="0" locked="0" layoutInCell="1" allowOverlap="1" wp14:anchorId="55AA1FF4" wp14:editId="7A98C1EF">
                <wp:simplePos x="0" y="0"/>
                <wp:positionH relativeFrom="column">
                  <wp:posOffset>242570</wp:posOffset>
                </wp:positionH>
                <wp:positionV relativeFrom="paragraph">
                  <wp:posOffset>658495</wp:posOffset>
                </wp:positionV>
                <wp:extent cx="295275" cy="2743200"/>
                <wp:effectExtent l="0" t="0" r="9525" b="0"/>
                <wp:wrapNone/>
                <wp:docPr id="45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43200"/>
                        </a:xfrm>
                        <a:prstGeom prst="rect">
                          <a:avLst/>
                        </a:prstGeom>
                        <a:solidFill>
                          <a:srgbClr val="FFFFFF"/>
                        </a:solidFill>
                        <a:ln>
                          <a:noFill/>
                        </a:ln>
                      </wps:spPr>
                      <wps:txbx>
                        <w:txbxContent>
                          <w:p w14:paraId="4C4AC35D" w14:textId="77777777" w:rsidR="005551B9" w:rsidRDefault="005551B9">
                            <w:pPr>
                              <w:jc w:val="center"/>
                              <w:rPr>
                                <w:b/>
                                <w:color w:val="0070C0"/>
                              </w:rPr>
                            </w:pPr>
                            <w:r>
                              <w:rPr>
                                <w:b/>
                                <w:color w:val="0070C0"/>
                              </w:rPr>
                              <w:t>Хидравличен товар Q</w:t>
                            </w:r>
                            <w:r>
                              <w:rPr>
                                <w:b/>
                                <w:color w:val="0070C0"/>
                                <w:vertAlign w:val="subscript"/>
                              </w:rPr>
                              <w:t>d</w:t>
                            </w:r>
                            <w:r>
                              <w:rPr>
                                <w:b/>
                                <w:color w:val="0070C0"/>
                              </w:rPr>
                              <w:t xml:space="preserve"> [%]</w:t>
                            </w:r>
                          </w:p>
                        </w:txbxContent>
                      </wps:txbx>
                      <wps:bodyPr rot="0" vert="vert270" wrap="square" lIns="0" tIns="0" rIns="0" bIns="0" anchor="t" anchorCtr="0" upright="1">
                        <a:noAutofit/>
                      </wps:bodyPr>
                    </wps:wsp>
                  </a:graphicData>
                </a:graphic>
              </wp:anchor>
            </w:drawing>
          </mc:Choice>
          <mc:Fallback>
            <w:pict>
              <v:shape w14:anchorId="55AA1FF4" id="_x0000_s1042" type="#_x0000_t202" style="position:absolute;margin-left:19.1pt;margin-top:51.85pt;width:23.25pt;height:3in;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" stroked="f">
                <v:textbox style="layout-flow:vertical;mso-layout-flow-alt:bottom-to-top" inset="0,0,0,0">
                  <w:txbxContent>
                    <w:p w14:paraId="4C4AC35D" w14:textId="77777777" w:rsidR="005551B9" w:rsidRDefault="005551B9">
                      <w:pPr>
                        <w:jc w:val="center"/>
                        <w:rPr>
                          <w:b/>
                          <w:color w:val="0070C0"/>
                        </w:rPr>
                      </w:pPr>
                      <w:r>
                        <w:rPr>
                          <w:b/>
                          <w:color w:val="0070C0"/>
                        </w:rPr>
                        <w:t>Хидравличен товар Q</w:t>
                      </w:r>
                      <w:r>
                        <w:rPr>
                          <w:b/>
                          <w:color w:val="0070C0"/>
                          <w:vertAlign w:val="subscript"/>
                        </w:rPr>
                        <w:t>d</w:t>
                      </w:r>
                      <w:r>
                        <w:rPr>
                          <w:b/>
                          <w:color w:val="0070C0"/>
                        </w:rPr>
                        <w:t xml:space="preserve"> [%]</w:t>
                      </w:r>
                    </w:p>
                  </w:txbxContent>
                </v:textbox>
              </v:shape>
            </w:pict>
          </mc:Fallback>
        </mc:AlternateContent>
      </w:r>
      <w:r w:rsidRPr="00A013E1">
        <w:rPr>
          <w:rFonts w:ascii="Times New Roman" w:hAnsi="Times New Roman" w:cs="Times New Roman"/>
          <w:noProof/>
          <w:lang w:eastAsia="bg-BG"/>
        </w:rPr>
        <w:drawing>
          <wp:anchor distT="0" distB="0" distL="0" distR="0" simplePos="0" relativeHeight="251677696" behindDoc="0" locked="0" layoutInCell="1" allowOverlap="1" wp14:anchorId="5154D60C" wp14:editId="3EA47DAD">
            <wp:simplePos x="0" y="0"/>
            <wp:positionH relativeFrom="column">
              <wp:posOffset>66675</wp:posOffset>
            </wp:positionH>
            <wp:positionV relativeFrom="paragraph">
              <wp:posOffset>307340</wp:posOffset>
            </wp:positionV>
            <wp:extent cx="5732780" cy="3558540"/>
            <wp:effectExtent l="0" t="0" r="1270" b="3810"/>
            <wp:wrapTopAndBottom/>
            <wp:docPr id="5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ild 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a:xfrm>
                      <a:off x="0" y="0"/>
                      <a:ext cx="5732780" cy="3558540"/>
                    </a:xfrm>
                    <a:prstGeom prst="rect">
                      <a:avLst/>
                    </a:prstGeom>
                    <a:solidFill>
                      <a:srgbClr val="FFFFFF"/>
                    </a:solidFill>
                    <a:ln>
                      <a:noFill/>
                    </a:ln>
                  </pic:spPr>
                </pic:pic>
              </a:graphicData>
            </a:graphic>
          </wp:anchor>
        </w:drawing>
      </w:r>
      <w:r w:rsidRPr="00A013E1">
        <w:rPr>
          <w:rFonts w:ascii="Times New Roman" w:hAnsi="Times New Roman" w:cs="Times New Roman"/>
          <w:b/>
          <w:noProof/>
          <w:lang w:eastAsia="bg-BG"/>
        </w:rPr>
        <mc:AlternateContent>
          <mc:Choice Requires="wps">
            <w:drawing>
              <wp:anchor distT="0" distB="0" distL="114300" distR="114300" simplePos="0" relativeHeight="251667456" behindDoc="0" locked="0" layoutInCell="1" allowOverlap="1" wp14:anchorId="47761E3A" wp14:editId="197282BF">
                <wp:simplePos x="0" y="0"/>
                <wp:positionH relativeFrom="column">
                  <wp:posOffset>2661285</wp:posOffset>
                </wp:positionH>
                <wp:positionV relativeFrom="paragraph">
                  <wp:posOffset>3399155</wp:posOffset>
                </wp:positionV>
                <wp:extent cx="539115" cy="211455"/>
                <wp:effectExtent l="0" t="0" r="0" b="0"/>
                <wp:wrapNone/>
                <wp:docPr id="4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11455"/>
                        </a:xfrm>
                        <a:prstGeom prst="rect">
                          <a:avLst/>
                        </a:prstGeom>
                        <a:solidFill>
                          <a:srgbClr val="FFFFFF"/>
                        </a:solidFill>
                        <a:ln>
                          <a:noFill/>
                        </a:ln>
                      </wps:spPr>
                      <wps:txbx>
                        <w:txbxContent>
                          <w:p w14:paraId="0194007E" w14:textId="77777777" w:rsidR="005551B9" w:rsidRDefault="005551B9">
                            <w:pPr>
                              <w:jc w:val="center"/>
                              <w:rPr>
                                <w:sz w:val="16"/>
                              </w:rPr>
                            </w:pPr>
                            <w:r>
                              <w:rPr>
                                <w:sz w:val="16"/>
                              </w:rPr>
                              <w:t>Ден</w:t>
                            </w:r>
                          </w:p>
                        </w:txbxContent>
                      </wps:txbx>
                      <wps:bodyPr rot="0" vert="horz" wrap="square" lIns="0" tIns="36000" rIns="0" bIns="0" anchor="t" anchorCtr="0" upright="1">
                        <a:noAutofit/>
                      </wps:bodyPr>
                    </wps:wsp>
                  </a:graphicData>
                </a:graphic>
              </wp:anchor>
            </w:drawing>
          </mc:Choice>
          <mc:Fallback>
            <w:pict>
              <v:shape w14:anchorId="47761E3A" id="Text Box 277" o:spid="_x0000_s1043" type="#_x0000_t202" style="position:absolute;margin-left:209.55pt;margin-top:267.65pt;width:42.45pt;height:16.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" stroked="f">
                <v:textbox inset="0,1mm,0,0">
                  <w:txbxContent>
                    <w:p w14:paraId="0194007E" w14:textId="77777777" w:rsidR="005551B9" w:rsidRDefault="005551B9">
                      <w:pPr>
                        <w:jc w:val="center"/>
                        <w:rPr>
                          <w:sz w:val="16"/>
                        </w:rPr>
                      </w:pPr>
                      <w:r>
                        <w:rPr>
                          <w:sz w:val="16"/>
                        </w:rPr>
                        <w:t>Ден</w:t>
                      </w:r>
                    </w:p>
                  </w:txbxContent>
                </v:textbox>
              </v:shape>
            </w:pict>
          </mc:Fallback>
        </mc:AlternateContent>
      </w:r>
      <w:r w:rsidRPr="00A013E1">
        <w:rPr>
          <w:rFonts w:ascii="Times New Roman" w:hAnsi="Times New Roman" w:cs="Times New Roman"/>
          <w:lang w:val="ru-RU"/>
        </w:rPr>
        <w:t>Пример 2</w:t>
      </w:r>
    </w:p>
    <w:p w14:paraId="4EA7A4B9" w14:textId="77777777" w:rsidR="00271FA2" w:rsidRPr="00A013E1" w:rsidRDefault="00D35E51">
      <w:pPr>
        <w:tabs>
          <w:tab w:val="left" w:leader="dot" w:pos="9072"/>
        </w:tabs>
        <w:spacing w:line="240" w:lineRule="atLeast"/>
        <w:rPr>
          <w:rFonts w:ascii="Times New Roman" w:hAnsi="Times New Roman" w:cs="Times New Roman"/>
          <w:lang w:val="ru-RU"/>
        </w:rPr>
      </w:pPr>
      <w:r w:rsidRPr="00A013E1">
        <w:rPr>
          <w:rFonts w:ascii="Times New Roman" w:hAnsi="Times New Roman" w:cs="Times New Roman"/>
          <w:noProof/>
          <w:lang w:eastAsia="bg-BG"/>
        </w:rPr>
        <mc:AlternateContent>
          <mc:Choice Requires="wps">
            <w:drawing>
              <wp:anchor distT="0" distB="0" distL="114300" distR="114300" simplePos="0" relativeHeight="251668480" behindDoc="0" locked="0" layoutInCell="1" allowOverlap="1" wp14:anchorId="590E8D89" wp14:editId="1E58AACC">
                <wp:simplePos x="0" y="0"/>
                <wp:positionH relativeFrom="column">
                  <wp:posOffset>2661285</wp:posOffset>
                </wp:positionH>
                <wp:positionV relativeFrom="paragraph">
                  <wp:posOffset>3549650</wp:posOffset>
                </wp:positionV>
                <wp:extent cx="539115" cy="211455"/>
                <wp:effectExtent l="0" t="0" r="0" b="0"/>
                <wp:wrapNone/>
                <wp:docPr id="46"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11455"/>
                        </a:xfrm>
                        <a:prstGeom prst="rect">
                          <a:avLst/>
                        </a:prstGeom>
                        <a:solidFill>
                          <a:srgbClr val="FFFFFF"/>
                        </a:solidFill>
                        <a:ln>
                          <a:noFill/>
                        </a:ln>
                      </wps:spPr>
                      <wps:txbx>
                        <w:txbxContent>
                          <w:p w14:paraId="27E9FE07" w14:textId="77777777" w:rsidR="005551B9" w:rsidRDefault="005551B9">
                            <w:pPr>
                              <w:jc w:val="center"/>
                              <w:rPr>
                                <w:sz w:val="16"/>
                              </w:rPr>
                            </w:pPr>
                            <w:r>
                              <w:rPr>
                                <w:sz w:val="16"/>
                              </w:rPr>
                              <w:t>Ден</w:t>
                            </w:r>
                          </w:p>
                        </w:txbxContent>
                      </wps:txbx>
                      <wps:bodyPr rot="0" vert="horz" wrap="square" lIns="0" tIns="36000" rIns="0" bIns="0" anchor="t" anchorCtr="0" upright="1">
                        <a:noAutofit/>
                      </wps:bodyPr>
                    </wps:wsp>
                  </a:graphicData>
                </a:graphic>
              </wp:anchor>
            </w:drawing>
          </mc:Choice>
          <mc:Fallback>
            <w:pict>
              <v:shape w14:anchorId="590E8D89" id="Text Box 278" o:spid="_x0000_s1044" type="#_x0000_t202" style="position:absolute;margin-left:209.55pt;margin-top:279.5pt;width:42.45pt;height:16.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" stroked="f">
                <v:textbox inset="0,1mm,0,0">
                  <w:txbxContent>
                    <w:p w14:paraId="27E9FE07" w14:textId="77777777" w:rsidR="005551B9" w:rsidRDefault="005551B9">
                      <w:pPr>
                        <w:jc w:val="center"/>
                        <w:rPr>
                          <w:sz w:val="16"/>
                        </w:rPr>
                      </w:pPr>
                      <w:r>
                        <w:rPr>
                          <w:sz w:val="16"/>
                        </w:rPr>
                        <w:t>Ден</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666432" behindDoc="0" locked="0" layoutInCell="1" allowOverlap="1" wp14:anchorId="4A9D0869" wp14:editId="055875BF">
                <wp:simplePos x="0" y="0"/>
                <wp:positionH relativeFrom="column">
                  <wp:posOffset>2904490</wp:posOffset>
                </wp:positionH>
                <wp:positionV relativeFrom="paragraph">
                  <wp:posOffset>431165</wp:posOffset>
                </wp:positionV>
                <wp:extent cx="386715" cy="349250"/>
                <wp:effectExtent l="0" t="0" r="0" b="0"/>
                <wp:wrapNone/>
                <wp:docPr id="45"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349250"/>
                        </a:xfrm>
                        <a:prstGeom prst="rect">
                          <a:avLst/>
                        </a:prstGeom>
                        <a:solidFill>
                          <a:srgbClr val="37EB29"/>
                        </a:solidFill>
                        <a:ln>
                          <a:noFill/>
                        </a:ln>
                      </wps:spPr>
                      <wps:txbx>
                        <w:txbxContent>
                          <w:p w14:paraId="151F34A8" w14:textId="77777777" w:rsidR="005551B9" w:rsidRDefault="005551B9">
                            <w:pPr>
                              <w:jc w:val="center"/>
                              <w:rPr>
                                <w:sz w:val="16"/>
                              </w:rPr>
                            </w:pPr>
                            <w:r>
                              <w:rPr>
                                <w:sz w:val="16"/>
                              </w:rPr>
                              <w:t>Недо-</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4A9D0869" id="Text Box 276" o:spid="_x0000_s1045" type="#_x0000_t202" style="position:absolute;margin-left:228.7pt;margin-top:33.95pt;width:30.45pt;height:2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" fillcolor="#37eb29" stroked="f">
                <v:textbox inset="0,1mm,0,0">
                  <w:txbxContent>
                    <w:p w14:paraId="151F34A8" w14:textId="77777777" w:rsidR="005551B9" w:rsidRDefault="005551B9">
                      <w:pPr>
                        <w:jc w:val="center"/>
                        <w:rPr>
                          <w:sz w:val="16"/>
                        </w:rPr>
                      </w:pPr>
                      <w:r>
                        <w:rPr>
                          <w:sz w:val="16"/>
                        </w:rPr>
                        <w:t>Недо-</w:t>
                      </w:r>
                      <w:r>
                        <w:rPr>
                          <w:sz w:val="16"/>
                        </w:rPr>
                        <w:br/>
                        <w:t>натоварване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665408" behindDoc="0" locked="0" layoutInCell="1" allowOverlap="1" wp14:anchorId="2DA9CC72" wp14:editId="661503C2">
                <wp:simplePos x="0" y="0"/>
                <wp:positionH relativeFrom="column">
                  <wp:posOffset>2426970</wp:posOffset>
                </wp:positionH>
                <wp:positionV relativeFrom="paragraph">
                  <wp:posOffset>431165</wp:posOffset>
                </wp:positionV>
                <wp:extent cx="386715" cy="349250"/>
                <wp:effectExtent l="0" t="0" r="0" b="0"/>
                <wp:wrapNone/>
                <wp:docPr id="44"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349250"/>
                        </a:xfrm>
                        <a:prstGeom prst="rect">
                          <a:avLst/>
                        </a:prstGeom>
                        <a:solidFill>
                          <a:srgbClr val="37EB29"/>
                        </a:solidFill>
                        <a:ln>
                          <a:noFill/>
                        </a:ln>
                      </wps:spPr>
                      <wps:txbx>
                        <w:txbxContent>
                          <w:p w14:paraId="0328D3D7" w14:textId="77777777" w:rsidR="005551B9" w:rsidRDefault="005551B9">
                            <w:pPr>
                              <w:jc w:val="center"/>
                              <w:rPr>
                                <w:sz w:val="16"/>
                              </w:rPr>
                            </w:pPr>
                            <w:r>
                              <w:rPr>
                                <w:sz w:val="16"/>
                              </w:rPr>
                              <w:t>Пре-</w:t>
                            </w:r>
                            <w:r>
                              <w:rPr>
                                <w:sz w:val="16"/>
                              </w:rPr>
                              <w:br/>
                              <w:t>товарване</w:t>
                            </w:r>
                          </w:p>
                        </w:txbxContent>
                      </wps:txbx>
                      <wps:bodyPr rot="0" vert="horz" wrap="square" lIns="0" tIns="36000" rIns="0" bIns="0" anchor="t" anchorCtr="0" upright="1">
                        <a:noAutofit/>
                      </wps:bodyPr>
                    </wps:wsp>
                  </a:graphicData>
                </a:graphic>
              </wp:anchor>
            </w:drawing>
          </mc:Choice>
          <mc:Fallback>
            <w:pict>
              <v:shape w14:anchorId="2DA9CC72" id="Text Box 275" o:spid="_x0000_s1046" type="#_x0000_t202" style="position:absolute;margin-left:191.1pt;margin-top:33.95pt;width:30.45pt;height:2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" fillcolor="#37eb29" stroked="f">
                <v:textbox inset="0,1mm,0,0">
                  <w:txbxContent>
                    <w:p w14:paraId="0328D3D7" w14:textId="77777777" w:rsidR="005551B9" w:rsidRDefault="005551B9">
                      <w:pPr>
                        <w:jc w:val="center"/>
                        <w:rPr>
                          <w:sz w:val="16"/>
                        </w:rPr>
                      </w:pPr>
                      <w:r>
                        <w:rPr>
                          <w:sz w:val="16"/>
                        </w:rPr>
                        <w:t>Пре-</w:t>
                      </w:r>
                      <w:r>
                        <w:rPr>
                          <w:sz w:val="16"/>
                        </w:rPr>
                        <w:br/>
                        <w:t>товарване</w:t>
                      </w:r>
                    </w:p>
                  </w:txbxContent>
                </v:textbox>
              </v:shape>
            </w:pict>
          </mc:Fallback>
        </mc:AlternateContent>
      </w:r>
      <w:r w:rsidRPr="00A013E1">
        <w:rPr>
          <w:rFonts w:ascii="Times New Roman" w:hAnsi="Times New Roman" w:cs="Times New Roman"/>
          <w:noProof/>
          <w:lang w:eastAsia="bg-BG"/>
        </w:rPr>
        <mc:AlternateContent>
          <mc:Choice Requires="wps">
            <w:drawing>
              <wp:anchor distT="0" distB="0" distL="114300" distR="114300" simplePos="0" relativeHeight="251664384" behindDoc="0" locked="0" layoutInCell="1" allowOverlap="1" wp14:anchorId="4F3E1B38" wp14:editId="1CA702D8">
                <wp:simplePos x="0" y="0"/>
                <wp:positionH relativeFrom="column">
                  <wp:posOffset>4888230</wp:posOffset>
                </wp:positionH>
                <wp:positionV relativeFrom="paragraph">
                  <wp:posOffset>431165</wp:posOffset>
                </wp:positionV>
                <wp:extent cx="539115" cy="349250"/>
                <wp:effectExtent l="0" t="0" r="0" b="0"/>
                <wp:wrapNone/>
                <wp:docPr id="43"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49250"/>
                        </a:xfrm>
                        <a:prstGeom prst="rect">
                          <a:avLst/>
                        </a:prstGeom>
                        <a:solidFill>
                          <a:srgbClr val="59BB9A"/>
                        </a:solidFill>
                        <a:ln>
                          <a:noFill/>
                        </a:ln>
                      </wps:spPr>
                      <wps:txbx>
                        <w:txbxContent>
                          <w:p w14:paraId="31F7469F" w14:textId="77777777" w:rsidR="005551B9" w:rsidRDefault="005551B9">
                            <w:pPr>
                              <w:jc w:val="center"/>
                              <w:rPr>
                                <w:sz w:val="16"/>
                              </w:rPr>
                            </w:pPr>
                            <w:r>
                              <w:rPr>
                                <w:sz w:val="16"/>
                              </w:rPr>
                              <w:t xml:space="preserve">Нормално </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4F3E1B38" id="Text Box 272" o:spid="_x0000_s1047" type="#_x0000_t202" style="position:absolute;margin-left:384.9pt;margin-top:33.95pt;width:42.45pt;height:2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" fillcolor="#59bb9a" stroked="f">
                <v:textbox inset="0,1mm,0,0">
                  <w:txbxContent>
                    <w:p w14:paraId="31F7469F" w14:textId="77777777" w:rsidR="005551B9" w:rsidRDefault="005551B9">
                      <w:pPr>
                        <w:jc w:val="center"/>
                        <w:rPr>
                          <w:sz w:val="16"/>
                        </w:rPr>
                      </w:pPr>
                      <w:r>
                        <w:rPr>
                          <w:sz w:val="16"/>
                        </w:rPr>
                        <w:t xml:space="preserve">Нормално </w:t>
                      </w:r>
                      <w:r>
                        <w:rPr>
                          <w:sz w:val="16"/>
                        </w:rPr>
                        <w:br/>
                        <w:t>натоварване</w:t>
                      </w:r>
                    </w:p>
                  </w:txbxContent>
                </v:textbox>
              </v:shape>
            </w:pict>
          </mc:Fallback>
        </mc:AlternateContent>
      </w:r>
      <w:r w:rsidRPr="00A013E1">
        <w:rPr>
          <w:rFonts w:ascii="Times New Roman" w:hAnsi="Times New Roman" w:cs="Times New Roman"/>
          <w:noProof/>
          <w:lang w:eastAsia="bg-BG"/>
        </w:rPr>
        <mc:AlternateContent>
          <mc:Choice Requires="wps">
            <w:drawing>
              <wp:anchor distT="0" distB="0" distL="114300" distR="114300" simplePos="0" relativeHeight="251663360" behindDoc="0" locked="0" layoutInCell="1" allowOverlap="1" wp14:anchorId="4E24E798" wp14:editId="78D584DD">
                <wp:simplePos x="0" y="0"/>
                <wp:positionH relativeFrom="column">
                  <wp:posOffset>4097020</wp:posOffset>
                </wp:positionH>
                <wp:positionV relativeFrom="paragraph">
                  <wp:posOffset>431165</wp:posOffset>
                </wp:positionV>
                <wp:extent cx="539115" cy="349250"/>
                <wp:effectExtent l="0" t="0" r="0" b="0"/>
                <wp:wrapNone/>
                <wp:docPr id="42"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49250"/>
                        </a:xfrm>
                        <a:prstGeom prst="rect">
                          <a:avLst/>
                        </a:prstGeom>
                        <a:solidFill>
                          <a:srgbClr val="59BB9A"/>
                        </a:solidFill>
                        <a:ln>
                          <a:noFill/>
                        </a:ln>
                      </wps:spPr>
                      <wps:txbx>
                        <w:txbxContent>
                          <w:p w14:paraId="6CBF3734" w14:textId="77777777" w:rsidR="005551B9" w:rsidRDefault="005551B9">
                            <w:pPr>
                              <w:jc w:val="center"/>
                              <w:rPr>
                                <w:sz w:val="16"/>
                              </w:rPr>
                            </w:pPr>
                            <w:r>
                              <w:rPr>
                                <w:sz w:val="16"/>
                              </w:rPr>
                              <w:t xml:space="preserve">Нормално </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4E24E798" id="Text Box 271" o:spid="_x0000_s1048" type="#_x0000_t202" style="position:absolute;margin-left:322.6pt;margin-top:33.95pt;width:42.45pt;height:2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" fillcolor="#59bb9a" stroked="f">
                <v:textbox inset="0,1mm,0,0">
                  <w:txbxContent>
                    <w:p w14:paraId="6CBF3734" w14:textId="77777777" w:rsidR="005551B9" w:rsidRDefault="005551B9">
                      <w:pPr>
                        <w:jc w:val="center"/>
                        <w:rPr>
                          <w:sz w:val="16"/>
                        </w:rPr>
                      </w:pPr>
                      <w:r>
                        <w:rPr>
                          <w:sz w:val="16"/>
                        </w:rPr>
                        <w:t xml:space="preserve">Нормално </w:t>
                      </w:r>
                      <w:r>
                        <w:rPr>
                          <w:sz w:val="16"/>
                        </w:rPr>
                        <w:br/>
                        <w:t>натоварване</w:t>
                      </w:r>
                    </w:p>
                  </w:txbxContent>
                </v:textbox>
              </v:shape>
            </w:pict>
          </mc:Fallback>
        </mc:AlternateContent>
      </w:r>
      <w:r w:rsidRPr="00A013E1">
        <w:rPr>
          <w:rFonts w:ascii="Times New Roman" w:hAnsi="Times New Roman" w:cs="Times New Roman"/>
          <w:noProof/>
          <w:lang w:eastAsia="bg-BG"/>
        </w:rPr>
        <mc:AlternateContent>
          <mc:Choice Requires="wps">
            <w:drawing>
              <wp:anchor distT="0" distB="0" distL="114300" distR="114300" simplePos="0" relativeHeight="251662336" behindDoc="0" locked="0" layoutInCell="1" allowOverlap="1" wp14:anchorId="3256F98A" wp14:editId="4DAFE24C">
                <wp:simplePos x="0" y="0"/>
                <wp:positionH relativeFrom="column">
                  <wp:posOffset>1722120</wp:posOffset>
                </wp:positionH>
                <wp:positionV relativeFrom="paragraph">
                  <wp:posOffset>431165</wp:posOffset>
                </wp:positionV>
                <wp:extent cx="539115" cy="349250"/>
                <wp:effectExtent l="0" t="0" r="0" b="0"/>
                <wp:wrapNone/>
                <wp:docPr id="41"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49250"/>
                        </a:xfrm>
                        <a:prstGeom prst="rect">
                          <a:avLst/>
                        </a:prstGeom>
                        <a:solidFill>
                          <a:srgbClr val="59BB9A"/>
                        </a:solidFill>
                        <a:ln>
                          <a:noFill/>
                        </a:ln>
                      </wps:spPr>
                      <wps:txbx>
                        <w:txbxContent>
                          <w:p w14:paraId="198C915F" w14:textId="77777777" w:rsidR="005551B9" w:rsidRDefault="005551B9">
                            <w:pPr>
                              <w:jc w:val="center"/>
                              <w:rPr>
                                <w:sz w:val="16"/>
                              </w:rPr>
                            </w:pPr>
                            <w:r>
                              <w:rPr>
                                <w:sz w:val="16"/>
                              </w:rPr>
                              <w:t xml:space="preserve">Нормално </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3256F98A" id="Text Box 270" o:spid="_x0000_s1049" type="#_x0000_t202" style="position:absolute;margin-left:135.6pt;margin-top:33.95pt;width:42.45pt;height:2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" fillcolor="#59bb9a" stroked="f">
                <v:textbox inset="0,1mm,0,0">
                  <w:txbxContent>
                    <w:p w14:paraId="198C915F" w14:textId="77777777" w:rsidR="005551B9" w:rsidRDefault="005551B9">
                      <w:pPr>
                        <w:jc w:val="center"/>
                        <w:rPr>
                          <w:sz w:val="16"/>
                        </w:rPr>
                      </w:pPr>
                      <w:r>
                        <w:rPr>
                          <w:sz w:val="16"/>
                        </w:rPr>
                        <w:t xml:space="preserve">Нормално </w:t>
                      </w:r>
                      <w:r>
                        <w:rPr>
                          <w:sz w:val="16"/>
                        </w:rPr>
                        <w:br/>
                        <w:t>натоварване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661312" behindDoc="0" locked="0" layoutInCell="1" allowOverlap="1" wp14:anchorId="6F895C2B" wp14:editId="03A1C04E">
                <wp:simplePos x="0" y="0"/>
                <wp:positionH relativeFrom="column">
                  <wp:posOffset>928370</wp:posOffset>
                </wp:positionH>
                <wp:positionV relativeFrom="paragraph">
                  <wp:posOffset>431165</wp:posOffset>
                </wp:positionV>
                <wp:extent cx="539115" cy="349250"/>
                <wp:effectExtent l="0" t="0" r="0" b="0"/>
                <wp:wrapNone/>
                <wp:docPr id="4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49250"/>
                        </a:xfrm>
                        <a:prstGeom prst="rect">
                          <a:avLst/>
                        </a:prstGeom>
                        <a:solidFill>
                          <a:srgbClr val="59BB9A"/>
                        </a:solidFill>
                        <a:ln>
                          <a:noFill/>
                        </a:ln>
                      </wps:spPr>
                      <wps:txbx>
                        <w:txbxContent>
                          <w:p w14:paraId="7B644A9C" w14:textId="77777777" w:rsidR="005551B9" w:rsidRDefault="005551B9">
                            <w:pPr>
                              <w:jc w:val="center"/>
                              <w:rPr>
                                <w:sz w:val="16"/>
                              </w:rPr>
                            </w:pPr>
                            <w:r>
                              <w:rPr>
                                <w:sz w:val="16"/>
                              </w:rPr>
                              <w:t xml:space="preserve">Нормално </w:t>
                            </w:r>
                            <w:r>
                              <w:rPr>
                                <w:sz w:val="16"/>
                              </w:rPr>
                              <w:br/>
                              <w:t>натоварване</w:t>
                            </w:r>
                          </w:p>
                        </w:txbxContent>
                      </wps:txbx>
                      <wps:bodyPr rot="0" vert="horz" wrap="square" lIns="0" tIns="36000" rIns="0" bIns="0" anchor="t" anchorCtr="0" upright="1">
                        <a:noAutofit/>
                      </wps:bodyPr>
                    </wps:wsp>
                  </a:graphicData>
                </a:graphic>
              </wp:anchor>
            </w:drawing>
          </mc:Choice>
          <mc:Fallback>
            <w:pict>
              <v:shape w14:anchorId="6F895C2B" id="Text Box 269" o:spid="_x0000_s1050" type="#_x0000_t202" style="position:absolute;margin-left:73.1pt;margin-top:33.95pt;width:42.45pt;height: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" fillcolor="#59bb9a" stroked="f">
                <v:textbox inset="0,1mm,0,0">
                  <w:txbxContent>
                    <w:p w14:paraId="7B644A9C" w14:textId="77777777" w:rsidR="005551B9" w:rsidRDefault="005551B9">
                      <w:pPr>
                        <w:jc w:val="center"/>
                        <w:rPr>
                          <w:sz w:val="16"/>
                        </w:rPr>
                      </w:pPr>
                      <w:r>
                        <w:rPr>
                          <w:sz w:val="16"/>
                        </w:rPr>
                        <w:t xml:space="preserve">Нормално </w:t>
                      </w:r>
                      <w:r>
                        <w:rPr>
                          <w:sz w:val="16"/>
                        </w:rPr>
                        <w:br/>
                        <w:t>натоварване</w:t>
                      </w:r>
                    </w:p>
                  </w:txbxContent>
                </v:textbox>
              </v:shape>
            </w:pict>
          </mc:Fallback>
        </mc:AlternateContent>
      </w:r>
      <w:r w:rsidRPr="00A013E1">
        <w:rPr>
          <w:rFonts w:ascii="Times New Roman" w:hAnsi="Times New Roman" w:cs="Times New Roman"/>
          <w:b/>
          <w:noProof/>
          <w:lang w:eastAsia="bg-BG"/>
        </w:rPr>
        <mc:AlternateContent>
          <mc:Choice Requires="wps">
            <w:drawing>
              <wp:anchor distT="0" distB="0" distL="114300" distR="114300" simplePos="0" relativeHeight="251660288" behindDoc="0" locked="0" layoutInCell="1" allowOverlap="1" wp14:anchorId="6F5B2C5A" wp14:editId="17C1657E">
                <wp:simplePos x="0" y="0"/>
                <wp:positionH relativeFrom="column">
                  <wp:posOffset>168910</wp:posOffset>
                </wp:positionH>
                <wp:positionV relativeFrom="paragraph">
                  <wp:posOffset>745490</wp:posOffset>
                </wp:positionV>
                <wp:extent cx="300355" cy="2115820"/>
                <wp:effectExtent l="0" t="0" r="0" b="0"/>
                <wp:wrapNone/>
                <wp:docPr id="3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115820"/>
                        </a:xfrm>
                        <a:prstGeom prst="rect">
                          <a:avLst/>
                        </a:prstGeom>
                        <a:solidFill>
                          <a:srgbClr val="FFFFFF"/>
                        </a:solidFill>
                        <a:ln>
                          <a:noFill/>
                        </a:ln>
                      </wps:spPr>
                      <wps:txbx>
                        <w:txbxContent>
                          <w:p w14:paraId="7F982208" w14:textId="77777777" w:rsidR="005551B9" w:rsidRDefault="005551B9">
                            <w:pPr>
                              <w:jc w:val="center"/>
                              <w:rPr>
                                <w:b/>
                                <w:color w:val="0070C0"/>
                              </w:rPr>
                            </w:pPr>
                            <w:r>
                              <w:rPr>
                                <w:b/>
                                <w:color w:val="0070C0"/>
                              </w:rPr>
                              <w:t>Хидравличен товар Q</w:t>
                            </w:r>
                            <w:r>
                              <w:rPr>
                                <w:b/>
                                <w:color w:val="0070C0"/>
                                <w:vertAlign w:val="subscript"/>
                              </w:rPr>
                              <w:t>d</w:t>
                            </w:r>
                            <w:r>
                              <w:rPr>
                                <w:b/>
                                <w:color w:val="0070C0"/>
                              </w:rPr>
                              <w:t xml:space="preserve"> [%]</w:t>
                            </w:r>
                          </w:p>
                        </w:txbxContent>
                      </wps:txbx>
                      <wps:bodyPr rot="0" vert="vert270" wrap="square" lIns="0" tIns="0" rIns="0" bIns="0" anchor="t" anchorCtr="0" upright="1">
                        <a:noAutofit/>
                      </wps:bodyPr>
                    </wps:wsp>
                  </a:graphicData>
                </a:graphic>
              </wp:anchor>
            </w:drawing>
          </mc:Choice>
          <mc:Fallback>
            <w:pict>
              <v:shape w14:anchorId="6F5B2C5A" id="Text Box 268" o:spid="_x0000_s1051" type="#_x0000_t202" style="position:absolute;margin-left:13.3pt;margin-top:58.7pt;width:23.65pt;height:166.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" stroked="f">
                <v:textbox style="layout-flow:vertical;mso-layout-flow-alt:bottom-to-top" inset="0,0,0,0">
                  <w:txbxContent>
                    <w:p w14:paraId="7F982208" w14:textId="77777777" w:rsidR="005551B9" w:rsidRDefault="005551B9">
                      <w:pPr>
                        <w:jc w:val="center"/>
                        <w:rPr>
                          <w:b/>
                          <w:color w:val="0070C0"/>
                        </w:rPr>
                      </w:pPr>
                      <w:r>
                        <w:rPr>
                          <w:b/>
                          <w:color w:val="0070C0"/>
                        </w:rPr>
                        <w:t>Хидравличен товар Q</w:t>
                      </w:r>
                      <w:r>
                        <w:rPr>
                          <w:b/>
                          <w:color w:val="0070C0"/>
                          <w:vertAlign w:val="subscript"/>
                        </w:rPr>
                        <w:t>d</w:t>
                      </w:r>
                      <w:r>
                        <w:rPr>
                          <w:b/>
                          <w:color w:val="0070C0"/>
                        </w:rPr>
                        <w:t xml:space="preserve"> [%]</w:t>
                      </w:r>
                    </w:p>
                  </w:txbxContent>
                </v:textbox>
              </v:shape>
            </w:pict>
          </mc:Fallback>
        </mc:AlternateContent>
      </w:r>
    </w:p>
    <w:p w14:paraId="10671D4F" w14:textId="77777777" w:rsidR="00271FA2" w:rsidRPr="00A013E1" w:rsidRDefault="00271FA2">
      <w:pPr>
        <w:tabs>
          <w:tab w:val="left" w:leader="dot" w:pos="9072"/>
        </w:tabs>
        <w:spacing w:line="240" w:lineRule="atLeast"/>
        <w:rPr>
          <w:rFonts w:ascii="Times New Roman" w:hAnsi="Times New Roman" w:cs="Times New Roman"/>
          <w:b/>
          <w:szCs w:val="20"/>
          <w:lang w:val="ru-RU"/>
        </w:rPr>
        <w:sectPr w:rsidR="00271FA2" w:rsidRPr="00A013E1" w:rsidSect="00A013E1">
          <w:headerReference w:type="default" r:id="rId176"/>
          <w:footerReference w:type="default" r:id="rId177"/>
          <w:headerReference w:type="first" r:id="rId178"/>
          <w:footerReference w:type="first" r:id="rId179"/>
          <w:footnotePr>
            <w:numRestart w:val="eachPage"/>
          </w:footnotePr>
          <w:pgSz w:w="11906" w:h="16838"/>
          <w:pgMar w:top="1134" w:right="1134" w:bottom="1134" w:left="1134" w:header="709" w:footer="709" w:gutter="0"/>
          <w:cols w:space="709"/>
          <w:titlePg/>
          <w:docGrid w:linePitch="299"/>
        </w:sectPr>
      </w:pPr>
    </w:p>
    <w:p w14:paraId="5EDC19D8" w14:textId="77777777" w:rsidR="00271FA2" w:rsidRPr="00A013E1" w:rsidRDefault="00D35E51">
      <w:pPr>
        <w:tabs>
          <w:tab w:val="left" w:pos="709"/>
        </w:tabs>
        <w:suppressAutoHyphens/>
        <w:spacing w:line="240" w:lineRule="atLeast"/>
        <w:ind w:left="709" w:hanging="709"/>
        <w:jc w:val="center"/>
        <w:rPr>
          <w:rFonts w:ascii="Times New Roman" w:hAnsi="Times New Roman" w:cs="Times New Roman"/>
          <w:b/>
          <w:szCs w:val="20"/>
          <w:lang w:val="ru-RU"/>
        </w:rPr>
      </w:pPr>
      <w:r w:rsidRPr="00A013E1">
        <w:rPr>
          <w:rFonts w:ascii="Times New Roman" w:hAnsi="Times New Roman" w:cs="Times New Roman"/>
          <w:b/>
          <w:lang w:val="ru-RU"/>
        </w:rPr>
        <w:lastRenderedPageBreak/>
        <w:t>Допълнение 2</w:t>
      </w:r>
    </w:p>
    <w:p w14:paraId="3CD84B83" w14:textId="77777777" w:rsidR="00271FA2" w:rsidRPr="00A013E1" w:rsidRDefault="00D35E51" w:rsidP="00F80F6E">
      <w:pPr>
        <w:tabs>
          <w:tab w:val="left" w:pos="1021"/>
          <w:tab w:val="center" w:pos="8080"/>
        </w:tabs>
        <w:suppressAutoHyphens/>
        <w:spacing w:after="240" w:line="240" w:lineRule="atLeast"/>
        <w:jc w:val="center"/>
        <w:rPr>
          <w:rFonts w:ascii="Times New Roman" w:hAnsi="Times New Roman" w:cs="Times New Roman"/>
          <w:szCs w:val="20"/>
          <w:lang w:val="ru-RU"/>
        </w:rPr>
      </w:pPr>
      <w:r w:rsidRPr="00A013E1">
        <w:rPr>
          <w:rFonts w:ascii="Times New Roman" w:hAnsi="Times New Roman" w:cs="Times New Roman"/>
          <w:b/>
          <w:lang w:val="ru-RU"/>
        </w:rPr>
        <w:t>Бележки относно определянето на биохимичната потребност от кислород след пет дни (</w:t>
      </w:r>
      <m:oMath>
        <m:sSub>
          <m:sSubPr>
            <m:ctrlPr>
              <w:rPr>
                <w:rFonts w:ascii="Cambria Math" w:hAnsi="Cambria Math" w:cs="Times New Roman"/>
                <w:b/>
                <w:i/>
              </w:rPr>
            </m:ctrlPr>
          </m:sSubPr>
          <m:e>
            <m:r>
              <m:rPr>
                <m:sty m:val="bi"/>
              </m:rPr>
              <w:rPr>
                <w:rFonts w:ascii="Cambria Math" w:hAnsi="Cambria Math" w:cs="Times New Roman"/>
              </w:rPr>
              <m:t>BOD</m:t>
            </m:r>
          </m:e>
          <m:sub>
            <m:r>
              <m:rPr>
                <m:sty m:val="bi"/>
              </m:rPr>
              <w:rPr>
                <w:rFonts w:ascii="Cambria Math" w:hAnsi="Cambria Math" w:cs="Times New Roman"/>
              </w:rPr>
              <m:t>5</m:t>
            </m:r>
          </m:sub>
        </m:sSub>
      </m:oMath>
      <w:r w:rsidRPr="00A013E1">
        <w:rPr>
          <w:rFonts w:ascii="Times New Roman" w:hAnsi="Times New Roman" w:cs="Times New Roman"/>
          <w:b/>
          <w:lang w:val="ru-RU"/>
        </w:rPr>
        <w:t>) в 24-часови комбинирани проби</w:t>
      </w:r>
    </w:p>
    <w:p w14:paraId="50D5A479" w14:textId="77777777" w:rsidR="00271FA2" w:rsidRPr="00A013E1" w:rsidRDefault="00DD41AC">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В М</w:t>
      </w:r>
      <w:r w:rsidR="00D35E51" w:rsidRPr="00A013E1">
        <w:rPr>
          <w:rFonts w:ascii="Times New Roman" w:hAnsi="Times New Roman" w:cs="Times New Roman"/>
          <w:lang w:val="ru-RU"/>
        </w:rPr>
        <w:t xml:space="preserve">еждународните стандарти </w:t>
      </w:r>
      <w:r w:rsidR="00D35E51" w:rsidRPr="00A013E1">
        <w:rPr>
          <w:rFonts w:ascii="Times New Roman" w:hAnsi="Times New Roman" w:cs="Times New Roman"/>
        </w:rPr>
        <w:t>ISO</w:t>
      </w:r>
      <w:r w:rsidR="00D35E51" w:rsidRPr="00A013E1">
        <w:rPr>
          <w:rFonts w:ascii="Times New Roman" w:hAnsi="Times New Roman" w:cs="Times New Roman"/>
          <w:lang w:val="ru-RU"/>
        </w:rPr>
        <w:t xml:space="preserve"> 5815:2019 и 5815-2:2003 се предвижда, че за провеждането на анализа за определяне на биохимичната потребност от кислород след пет дни, водните проби трябва да се съхраняват веднага след вземането им и до момента на анализ в пълна догоре, плътно затворена бутилка при температура 0 — 4 °</w:t>
      </w:r>
      <w:r w:rsidR="00D35E51" w:rsidRPr="00A013E1">
        <w:rPr>
          <w:rFonts w:ascii="Times New Roman" w:hAnsi="Times New Roman" w:cs="Times New Roman"/>
        </w:rPr>
        <w:t>C</w:t>
      </w:r>
      <w:r w:rsidR="00D35E51" w:rsidRPr="00A013E1">
        <w:rPr>
          <w:rFonts w:ascii="Times New Roman" w:hAnsi="Times New Roman" w:cs="Times New Roman"/>
          <w:lang w:val="ru-RU"/>
        </w:rPr>
        <w:t xml:space="preserve">. Процесът на определяне на </w:t>
      </w:r>
      <m:oMath>
        <m:sSub>
          <m:sSubPr>
            <m:ctrlPr>
              <w:rPr>
                <w:rFonts w:ascii="Cambria Math" w:hAnsi="Cambria Math" w:cs="Times New Roman"/>
                <w:i/>
              </w:rPr>
            </m:ctrlPr>
          </m:sSubPr>
          <m:e>
            <m:r>
              <w:rPr>
                <w:rFonts w:ascii="Cambria Math" w:hAnsi="Cambria Math" w:cs="Times New Roman"/>
              </w:rPr>
              <m:t>BOD</m:t>
            </m:r>
          </m:e>
          <m:sub>
            <m:r>
              <w:rPr>
                <w:rFonts w:ascii="Cambria Math" w:hAnsi="Cambria Math" w:cs="Times New Roman"/>
                <w:lang w:val="ru-RU"/>
              </w:rPr>
              <m:t>5</m:t>
            </m:r>
          </m:sub>
        </m:sSub>
      </m:oMath>
      <w:r w:rsidR="00D35E51" w:rsidRPr="00A013E1">
        <w:rPr>
          <w:rFonts w:ascii="Times New Roman" w:hAnsi="Times New Roman" w:cs="Times New Roman"/>
          <w:vertAlign w:val="subscript"/>
          <w:lang w:val="ru-RU"/>
        </w:rPr>
        <w:t xml:space="preserve"> </w:t>
      </w:r>
      <w:r w:rsidR="00D35E51" w:rsidRPr="00A013E1">
        <w:rPr>
          <w:rFonts w:ascii="Times New Roman" w:hAnsi="Times New Roman" w:cs="Times New Roman"/>
          <w:lang w:val="ru-RU"/>
        </w:rPr>
        <w:t>следва да започне възможно най-скоро или най-малкото в рамките на двадесет и четири часа от вземането на пробите.</w:t>
      </w:r>
    </w:p>
    <w:p w14:paraId="2F13A587" w14:textId="77777777"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С цел предотвратяване започването на процеси на биохимично разлагане в 24-часовата комбинирана проба, на практика докато продължава вземането на проби, водната проба се охлажда до температура не по-висока от 4°</w:t>
      </w:r>
      <w:r w:rsidRPr="00A013E1">
        <w:rPr>
          <w:rFonts w:ascii="Times New Roman" w:hAnsi="Times New Roman" w:cs="Times New Roman"/>
        </w:rPr>
        <w:t>C</w:t>
      </w:r>
      <w:r w:rsidRPr="00A013E1">
        <w:rPr>
          <w:rFonts w:ascii="Times New Roman" w:hAnsi="Times New Roman" w:cs="Times New Roman"/>
          <w:lang w:val="ru-RU"/>
        </w:rPr>
        <w:t xml:space="preserve"> и се съхранява при тази температура до приключване на процеса на вземане на проби.</w:t>
      </w:r>
    </w:p>
    <w:p w14:paraId="1FC1F147" w14:textId="77777777" w:rsidR="00271FA2" w:rsidRPr="00A013E1" w:rsidRDefault="00D35E51">
      <w:pPr>
        <w:tabs>
          <w:tab w:val="left" w:leader="dot" w:pos="9072"/>
        </w:tabs>
        <w:spacing w:line="240" w:lineRule="atLeast"/>
        <w:jc w:val="both"/>
        <w:rPr>
          <w:rFonts w:ascii="Times New Roman" w:hAnsi="Times New Roman" w:cs="Times New Roman"/>
          <w:lang w:val="ru-RU"/>
        </w:rPr>
      </w:pPr>
      <w:r w:rsidRPr="00A013E1">
        <w:rPr>
          <w:rFonts w:ascii="Times New Roman" w:hAnsi="Times New Roman" w:cs="Times New Roman"/>
          <w:lang w:val="ru-RU"/>
        </w:rPr>
        <w:t>В търговската мрежа се предлага подходящо оборудване за вземане на проби.</w:t>
      </w:r>
    </w:p>
    <w:p w14:paraId="6E520456" w14:textId="77777777" w:rsidR="00271FA2" w:rsidRPr="00A013E1" w:rsidRDefault="00271FA2">
      <w:pPr>
        <w:tabs>
          <w:tab w:val="left" w:leader="dot" w:pos="9072"/>
        </w:tabs>
        <w:spacing w:line="240" w:lineRule="atLeast"/>
        <w:rPr>
          <w:rFonts w:ascii="Times New Roman" w:hAnsi="Times New Roman" w:cs="Times New Roman"/>
          <w:lang w:val="ru-RU"/>
        </w:rPr>
      </w:pPr>
    </w:p>
    <w:p w14:paraId="5B7D4563" w14:textId="77777777" w:rsidR="00271FA2" w:rsidRPr="00A013E1" w:rsidRDefault="00271FA2">
      <w:pPr>
        <w:tabs>
          <w:tab w:val="left" w:leader="dot" w:pos="9072"/>
        </w:tabs>
        <w:spacing w:line="240" w:lineRule="atLeast"/>
        <w:rPr>
          <w:rFonts w:ascii="Times New Roman" w:hAnsi="Times New Roman" w:cs="Times New Roman"/>
          <w:lang w:val="ru-RU"/>
        </w:rPr>
      </w:pPr>
    </w:p>
    <w:p w14:paraId="6FDBC167" w14:textId="77777777" w:rsidR="00271FA2" w:rsidRPr="00A013E1" w:rsidRDefault="00271FA2">
      <w:pPr>
        <w:tabs>
          <w:tab w:val="left" w:leader="dot" w:pos="9072"/>
        </w:tabs>
        <w:spacing w:line="240" w:lineRule="atLeast"/>
        <w:rPr>
          <w:rFonts w:ascii="Times New Roman" w:hAnsi="Times New Roman" w:cs="Times New Roman"/>
          <w:lang w:val="ru-RU"/>
        </w:rPr>
        <w:sectPr w:rsidR="00271FA2" w:rsidRPr="00A013E1" w:rsidSect="00A013E1">
          <w:footnotePr>
            <w:numRestart w:val="eachPage"/>
          </w:footnotePr>
          <w:pgSz w:w="11906" w:h="16838"/>
          <w:pgMar w:top="1134" w:right="1134" w:bottom="1134" w:left="1134" w:header="709" w:footer="709" w:gutter="0"/>
          <w:cols w:space="709"/>
          <w:titlePg/>
          <w:docGrid w:linePitch="272"/>
        </w:sectPr>
      </w:pPr>
    </w:p>
    <w:p w14:paraId="5C976F79" w14:textId="62872075" w:rsidR="00271FA2" w:rsidRPr="00A013E1" w:rsidRDefault="00D35E51" w:rsidP="00F80F6E">
      <w:pPr>
        <w:pStyle w:val="ES-Titre2"/>
        <w:pageBreakBefore w:val="0"/>
        <w:spacing w:after="240"/>
        <w:rPr>
          <w:rFonts w:ascii="Times New Roman" w:hAnsi="Times New Roman" w:cs="Times New Roman"/>
          <w:lang w:val="ru-RU"/>
        </w:rPr>
      </w:pPr>
      <w:bookmarkStart w:id="658" w:name="_Toc535827783"/>
      <w:bookmarkStart w:id="659" w:name="_Toc491854342"/>
      <w:r w:rsidRPr="00A013E1">
        <w:rPr>
          <w:rFonts w:ascii="Times New Roman" w:hAnsi="Times New Roman" w:cs="Times New Roman"/>
          <w:lang w:val="ru-RU"/>
        </w:rPr>
        <w:lastRenderedPageBreak/>
        <w:t>Приложение 8</w:t>
      </w:r>
      <w:r w:rsidRPr="00A013E1">
        <w:rPr>
          <w:rFonts w:ascii="Times New Roman" w:hAnsi="Times New Roman" w:cs="Times New Roman"/>
          <w:lang w:val="ru-RU"/>
        </w:rPr>
        <w:br/>
        <w:t>Допълнителни разпоредби, приложими за експлоатацията на плавателни средства</w:t>
      </w:r>
      <w:r w:rsidR="007443FA" w:rsidRPr="00A013E1">
        <w:rPr>
          <w:rFonts w:ascii="Times New Roman" w:hAnsi="Times New Roman" w:cs="Times New Roman"/>
        </w:rPr>
        <w:t>,</w:t>
      </w:r>
      <w:r w:rsidR="009D7A63" w:rsidRPr="00A013E1">
        <w:rPr>
          <w:rFonts w:ascii="Times New Roman" w:hAnsi="Times New Roman" w:cs="Times New Roman"/>
          <w:lang w:val="ru-RU"/>
        </w:rPr>
        <w:t xml:space="preserve"> </w:t>
      </w:r>
      <w:r w:rsidRPr="00A013E1">
        <w:rPr>
          <w:rFonts w:ascii="Times New Roman" w:hAnsi="Times New Roman" w:cs="Times New Roman"/>
          <w:lang w:val="ru-RU"/>
        </w:rPr>
        <w:t>ОБОРУДВАНи С ПРОПУЛСИВНИ ИЛИ СПОМАГАТЕЛНИ СИСТЕМИ</w:t>
      </w:r>
      <w:r w:rsidR="007443FA" w:rsidRPr="00A013E1">
        <w:rPr>
          <w:rFonts w:ascii="Times New Roman" w:hAnsi="Times New Roman" w:cs="Times New Roman"/>
          <w:lang w:val="ru-RU"/>
        </w:rPr>
        <w:t>,</w:t>
      </w:r>
      <w:r w:rsidRPr="00A013E1">
        <w:rPr>
          <w:rFonts w:ascii="Times New Roman" w:hAnsi="Times New Roman" w:cs="Times New Roman"/>
          <w:lang w:val="ru-RU"/>
        </w:rPr>
        <w:t xml:space="preserve"> работещи</w:t>
      </w:r>
      <w:r w:rsidR="007443FA" w:rsidRPr="00A013E1">
        <w:rPr>
          <w:rFonts w:ascii="Times New Roman" w:hAnsi="Times New Roman" w:cs="Times New Roman"/>
          <w:lang w:val="ru-RU"/>
        </w:rPr>
        <w:t xml:space="preserve"> </w:t>
      </w:r>
      <w:r w:rsidRPr="00A013E1">
        <w:rPr>
          <w:rFonts w:ascii="Times New Roman" w:hAnsi="Times New Roman" w:cs="Times New Roman"/>
          <w:lang w:val="ru-RU"/>
        </w:rPr>
        <w:t>с горива с температура на възпламеняване</w:t>
      </w:r>
      <w:r w:rsidR="00152DDE">
        <w:rPr>
          <w:rFonts w:ascii="Times New Roman" w:hAnsi="Times New Roman" w:cs="Times New Roman"/>
          <w:lang w:val="ru-RU"/>
        </w:rPr>
        <w:t>,</w:t>
      </w:r>
      <w:r w:rsidRPr="00A013E1">
        <w:rPr>
          <w:rFonts w:ascii="Times New Roman" w:hAnsi="Times New Roman" w:cs="Times New Roman"/>
          <w:lang w:val="ru-RU"/>
        </w:rPr>
        <w:t xml:space="preserve"> по-ниска или равна на 55°</w:t>
      </w:r>
      <w:r w:rsidR="007443FA" w:rsidRPr="00A013E1">
        <w:rPr>
          <w:rFonts w:ascii="Times New Roman" w:hAnsi="Times New Roman" w:cs="Times New Roman"/>
          <w:lang w:val="en-US"/>
        </w:rPr>
        <w:t xml:space="preserve"> </w:t>
      </w:r>
      <w:r w:rsidRPr="00A013E1">
        <w:rPr>
          <w:rFonts w:ascii="Times New Roman" w:hAnsi="Times New Roman" w:cs="Times New Roman"/>
        </w:rPr>
        <w:t>C</w:t>
      </w:r>
      <w:bookmarkEnd w:id="658"/>
      <w:bookmarkEnd w:id="659"/>
    </w:p>
    <w:p w14:paraId="389C53E4" w14:textId="77777777" w:rsidR="00271FA2" w:rsidRPr="00A013E1" w:rsidRDefault="00D35E51">
      <w:pPr>
        <w:pStyle w:val="ES-Titre3"/>
        <w:spacing w:line="240" w:lineRule="atLeast"/>
        <w:rPr>
          <w:rFonts w:ascii="Times New Roman" w:hAnsi="Times New Roman" w:cs="Times New Roman"/>
          <w:sz w:val="24"/>
          <w:szCs w:val="24"/>
          <w:lang w:val="ru-RU"/>
        </w:rPr>
      </w:pPr>
      <w:bookmarkStart w:id="660" w:name="_Toc491854343"/>
      <w:bookmarkStart w:id="661" w:name="_Toc535827784"/>
      <w:r w:rsidRPr="00A013E1">
        <w:rPr>
          <w:rFonts w:ascii="Times New Roman" w:hAnsi="Times New Roman" w:cs="Times New Roman"/>
          <w:sz w:val="24"/>
          <w:szCs w:val="24"/>
          <w:lang w:val="ru-RU"/>
        </w:rPr>
        <w:t>Съдържание</w:t>
      </w:r>
    </w:p>
    <w:p w14:paraId="604B30FC" w14:textId="032CDE88" w:rsidR="00271FA2" w:rsidRPr="00A013E1" w:rsidRDefault="00F80F6E" w:rsidP="00F80F6E">
      <w:pPr>
        <w:pStyle w:val="ES-Titre3"/>
        <w:tabs>
          <w:tab w:val="left" w:pos="567"/>
          <w:tab w:val="left" w:pos="1134"/>
        </w:tabs>
        <w:spacing w:line="240" w:lineRule="atLeast"/>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Раздел</w:t>
      </w:r>
      <w:r w:rsidR="00D35E51" w:rsidRPr="00A013E1">
        <w:rPr>
          <w:rFonts w:ascii="Times New Roman" w:hAnsi="Times New Roman" w:cs="Times New Roman"/>
          <w:sz w:val="24"/>
          <w:szCs w:val="24"/>
          <w:lang w:val="ru-RU"/>
        </w:rPr>
        <w:t xml:space="preserve"> </w:t>
      </w:r>
      <w:r w:rsidR="00D35E51" w:rsidRPr="00A013E1">
        <w:rPr>
          <w:rFonts w:ascii="Times New Roman" w:hAnsi="Times New Roman" w:cs="Times New Roman"/>
          <w:sz w:val="24"/>
          <w:szCs w:val="24"/>
        </w:rPr>
        <w:t>I</w:t>
      </w:r>
      <w:r w:rsidR="00D35E51" w:rsidRPr="00A013E1">
        <w:rPr>
          <w:rFonts w:ascii="Times New Roman" w:hAnsi="Times New Roman" w:cs="Times New Roman"/>
          <w:sz w:val="24"/>
          <w:szCs w:val="24"/>
          <w:lang w:val="ru-RU"/>
        </w:rPr>
        <w:t xml:space="preserve"> </w:t>
      </w:r>
      <w:r w:rsidR="00D35E51" w:rsidRPr="00A013E1">
        <w:rPr>
          <w:rFonts w:ascii="Times New Roman" w:hAnsi="Times New Roman" w:cs="Times New Roman"/>
          <w:sz w:val="24"/>
          <w:szCs w:val="24"/>
          <w:lang w:val="ru-RU"/>
        </w:rPr>
        <w:tab/>
        <w:t>Дефиниции</w:t>
      </w:r>
    </w:p>
    <w:p w14:paraId="3FA3279C" w14:textId="440A9150" w:rsidR="00271FA2" w:rsidRPr="00A013E1" w:rsidRDefault="00F80F6E" w:rsidP="00F80F6E">
      <w:pPr>
        <w:pStyle w:val="ES-Titre3"/>
        <w:tabs>
          <w:tab w:val="left" w:pos="567"/>
          <w:tab w:val="left" w:pos="1134"/>
        </w:tabs>
        <w:spacing w:line="240" w:lineRule="atLeast"/>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Раздел</w:t>
      </w:r>
      <w:r w:rsidR="00D35E51" w:rsidRPr="00A013E1">
        <w:rPr>
          <w:rFonts w:ascii="Times New Roman" w:hAnsi="Times New Roman" w:cs="Times New Roman"/>
          <w:sz w:val="24"/>
          <w:szCs w:val="24"/>
          <w:lang w:val="ru-RU"/>
        </w:rPr>
        <w:t xml:space="preserve"> </w:t>
      </w:r>
      <w:r w:rsidR="00D35E51" w:rsidRPr="00A013E1">
        <w:rPr>
          <w:rFonts w:ascii="Times New Roman" w:hAnsi="Times New Roman" w:cs="Times New Roman"/>
          <w:sz w:val="24"/>
          <w:szCs w:val="24"/>
        </w:rPr>
        <w:t>II</w:t>
      </w:r>
      <w:r w:rsidR="00D35E51" w:rsidRPr="00A013E1">
        <w:rPr>
          <w:rFonts w:ascii="Times New Roman" w:hAnsi="Times New Roman" w:cs="Times New Roman"/>
          <w:sz w:val="24"/>
          <w:szCs w:val="24"/>
          <w:lang w:val="ru-RU"/>
        </w:rPr>
        <w:t xml:space="preserve"> </w:t>
      </w:r>
      <w:r w:rsidR="00D35E51" w:rsidRPr="00A013E1">
        <w:rPr>
          <w:rFonts w:ascii="Times New Roman" w:hAnsi="Times New Roman" w:cs="Times New Roman"/>
          <w:sz w:val="24"/>
          <w:szCs w:val="24"/>
          <w:lang w:val="ru-RU"/>
        </w:rPr>
        <w:tab/>
        <w:t>Съхранение на гориво</w:t>
      </w:r>
    </w:p>
    <w:p w14:paraId="7133735F" w14:textId="77777777" w:rsidR="00271FA2" w:rsidRPr="00A013E1" w:rsidRDefault="00D35E51" w:rsidP="00F80F6E">
      <w:pPr>
        <w:pStyle w:val="ES-Titre3"/>
        <w:tabs>
          <w:tab w:val="left" w:pos="567"/>
          <w:tab w:val="left" w:pos="1134"/>
        </w:tabs>
        <w:spacing w:line="240" w:lineRule="atLeast"/>
        <w:ind w:firstLine="720"/>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Глава</w:t>
      </w:r>
      <w:r w:rsidRPr="00A013E1">
        <w:rPr>
          <w:rFonts w:ascii="Times New Roman" w:hAnsi="Times New Roman" w:cs="Times New Roman"/>
          <w:sz w:val="24"/>
          <w:szCs w:val="24"/>
          <w:lang w:val="ru-RU"/>
        </w:rPr>
        <w:tab/>
        <w:t xml:space="preserve">1 </w:t>
      </w:r>
      <w:r w:rsidRPr="00A013E1">
        <w:rPr>
          <w:rFonts w:ascii="Times New Roman" w:hAnsi="Times New Roman" w:cs="Times New Roman"/>
          <w:sz w:val="24"/>
          <w:szCs w:val="24"/>
        </w:rPr>
        <w:t>LNG</w:t>
      </w:r>
    </w:p>
    <w:p w14:paraId="5DDDEC56" w14:textId="77777777" w:rsidR="00271FA2" w:rsidRPr="00A013E1" w:rsidRDefault="00D35E51" w:rsidP="00F80F6E">
      <w:pPr>
        <w:pStyle w:val="ES-Titre3"/>
        <w:tabs>
          <w:tab w:val="left" w:pos="567"/>
          <w:tab w:val="left" w:pos="1134"/>
        </w:tabs>
        <w:spacing w:line="240" w:lineRule="atLeast"/>
        <w:ind w:firstLine="720"/>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Глава</w:t>
      </w:r>
      <w:r w:rsidRPr="00A013E1">
        <w:rPr>
          <w:rFonts w:ascii="Times New Roman" w:hAnsi="Times New Roman" w:cs="Times New Roman"/>
          <w:sz w:val="24"/>
          <w:szCs w:val="24"/>
          <w:lang w:val="ru-RU"/>
        </w:rPr>
        <w:tab/>
        <w:t>2 Метанол</w:t>
      </w:r>
    </w:p>
    <w:p w14:paraId="25C07D94" w14:textId="77777777" w:rsidR="00271FA2" w:rsidRPr="00A013E1" w:rsidRDefault="00D35E51" w:rsidP="00F80F6E">
      <w:pPr>
        <w:pStyle w:val="ES-Titre3"/>
        <w:tabs>
          <w:tab w:val="left" w:pos="567"/>
          <w:tab w:val="left" w:pos="1134"/>
        </w:tabs>
        <w:spacing w:line="240" w:lineRule="atLeast"/>
        <w:ind w:firstLine="720"/>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Глава</w:t>
      </w:r>
      <w:r w:rsidRPr="00A013E1">
        <w:rPr>
          <w:rFonts w:ascii="Times New Roman" w:hAnsi="Times New Roman" w:cs="Times New Roman"/>
          <w:sz w:val="24"/>
          <w:szCs w:val="24"/>
          <w:lang w:val="ru-RU"/>
        </w:rPr>
        <w:tab/>
        <w:t>3 Водород</w:t>
      </w:r>
    </w:p>
    <w:p w14:paraId="649E648A" w14:textId="77777777" w:rsidR="00271FA2" w:rsidRPr="00A013E1" w:rsidRDefault="00D35E51" w:rsidP="00F80F6E">
      <w:pPr>
        <w:pStyle w:val="ES-Titre3"/>
        <w:tabs>
          <w:tab w:val="left" w:pos="567"/>
          <w:tab w:val="left" w:pos="1134"/>
        </w:tabs>
        <w:spacing w:line="240" w:lineRule="atLeast"/>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 xml:space="preserve">Раздел </w:t>
      </w:r>
      <w:r w:rsidRPr="00A013E1">
        <w:rPr>
          <w:rFonts w:ascii="Times New Roman" w:hAnsi="Times New Roman" w:cs="Times New Roman"/>
          <w:sz w:val="24"/>
          <w:szCs w:val="24"/>
        </w:rPr>
        <w:t>III</w:t>
      </w:r>
      <w:r w:rsidRPr="00A013E1">
        <w:rPr>
          <w:rFonts w:ascii="Times New Roman" w:hAnsi="Times New Roman" w:cs="Times New Roman"/>
          <w:sz w:val="24"/>
          <w:szCs w:val="24"/>
          <w:lang w:val="ru-RU"/>
        </w:rPr>
        <w:tab/>
        <w:t>Преобразуватели на енергия</w:t>
      </w:r>
    </w:p>
    <w:p w14:paraId="2B83F0CE" w14:textId="0FBF286D" w:rsidR="00271FA2" w:rsidRPr="00A013E1" w:rsidRDefault="00F80F6E" w:rsidP="00F80F6E">
      <w:pPr>
        <w:pStyle w:val="ES-Titre3"/>
        <w:tabs>
          <w:tab w:val="left" w:pos="567"/>
          <w:tab w:val="left" w:pos="1134"/>
        </w:tabs>
        <w:spacing w:line="240" w:lineRule="atLeast"/>
        <w:ind w:firstLine="720"/>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 xml:space="preserve">Глава 1  </w:t>
      </w:r>
      <w:r w:rsidR="00D35E51" w:rsidRPr="00A013E1">
        <w:rPr>
          <w:rFonts w:ascii="Times New Roman" w:hAnsi="Times New Roman" w:cs="Times New Roman"/>
          <w:sz w:val="24"/>
          <w:szCs w:val="24"/>
          <w:lang w:val="ru-RU"/>
        </w:rPr>
        <w:t xml:space="preserve">Задвижващи </w:t>
      </w:r>
      <w:r w:rsidR="0065544A" w:rsidRPr="00A013E1">
        <w:rPr>
          <w:rFonts w:ascii="Times New Roman" w:hAnsi="Times New Roman" w:cs="Times New Roman"/>
          <w:sz w:val="24"/>
          <w:szCs w:val="24"/>
          <w:lang w:val="ru-RU"/>
        </w:rPr>
        <w:t>и</w:t>
      </w:r>
      <w:r w:rsidR="00D35E51" w:rsidRPr="00A013E1">
        <w:rPr>
          <w:rFonts w:ascii="Times New Roman" w:hAnsi="Times New Roman" w:cs="Times New Roman"/>
          <w:sz w:val="24"/>
          <w:szCs w:val="24"/>
          <w:lang w:val="ru-RU"/>
        </w:rPr>
        <w:t xml:space="preserve"> спомагателни системи с горивни клетки</w:t>
      </w:r>
    </w:p>
    <w:p w14:paraId="7FB9CD2C" w14:textId="4C6FF9EC" w:rsidR="00271FA2" w:rsidRPr="00A013E1" w:rsidRDefault="00D35E51" w:rsidP="00F80F6E">
      <w:pPr>
        <w:pStyle w:val="ES-Titre3"/>
        <w:tabs>
          <w:tab w:val="left" w:pos="567"/>
          <w:tab w:val="left" w:pos="1134"/>
        </w:tabs>
        <w:spacing w:line="240" w:lineRule="atLeast"/>
        <w:ind w:left="720"/>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 xml:space="preserve">Глава 2 </w:t>
      </w:r>
      <w:r w:rsidR="00F80F6E" w:rsidRPr="00A013E1">
        <w:rPr>
          <w:rFonts w:ascii="Times New Roman" w:hAnsi="Times New Roman" w:cs="Times New Roman"/>
          <w:sz w:val="24"/>
          <w:szCs w:val="24"/>
          <w:lang w:val="ru-RU"/>
        </w:rPr>
        <w:t xml:space="preserve"> </w:t>
      </w:r>
      <w:r w:rsidRPr="00A013E1">
        <w:rPr>
          <w:rFonts w:ascii="Times New Roman" w:hAnsi="Times New Roman" w:cs="Times New Roman"/>
          <w:sz w:val="24"/>
          <w:szCs w:val="24"/>
          <w:lang w:val="ru-RU"/>
        </w:rPr>
        <w:t xml:space="preserve">Задвижващи </w:t>
      </w:r>
      <w:r w:rsidR="0065544A" w:rsidRPr="00A013E1">
        <w:rPr>
          <w:rFonts w:ascii="Times New Roman" w:hAnsi="Times New Roman" w:cs="Times New Roman"/>
          <w:sz w:val="24"/>
          <w:szCs w:val="24"/>
          <w:lang w:val="ru-RU"/>
        </w:rPr>
        <w:t>и</w:t>
      </w:r>
      <w:r w:rsidRPr="00A013E1">
        <w:rPr>
          <w:rFonts w:ascii="Times New Roman" w:hAnsi="Times New Roman" w:cs="Times New Roman"/>
          <w:sz w:val="24"/>
          <w:szCs w:val="24"/>
          <w:lang w:val="ru-RU"/>
        </w:rPr>
        <w:t xml:space="preserve"> спомагателни системи с двигатели с вътрешно горене, използващи </w:t>
      </w:r>
      <w:r w:rsidRPr="00A013E1">
        <w:rPr>
          <w:rFonts w:ascii="Times New Roman" w:hAnsi="Times New Roman" w:cs="Times New Roman"/>
          <w:sz w:val="24"/>
          <w:szCs w:val="24"/>
        </w:rPr>
        <w:t>LNG</w:t>
      </w:r>
      <w:r w:rsidRPr="00A013E1">
        <w:rPr>
          <w:rFonts w:ascii="Times New Roman" w:hAnsi="Times New Roman" w:cs="Times New Roman"/>
          <w:sz w:val="24"/>
          <w:szCs w:val="24"/>
          <w:lang w:val="ru-RU"/>
        </w:rPr>
        <w:t xml:space="preserve"> като основно гориво</w:t>
      </w:r>
    </w:p>
    <w:p w14:paraId="160115FC" w14:textId="3CFACC63" w:rsidR="00F80F6E" w:rsidRPr="00A013E1" w:rsidRDefault="00D35E51" w:rsidP="00F80F6E">
      <w:pPr>
        <w:pStyle w:val="ES-Titre3"/>
        <w:tabs>
          <w:tab w:val="left" w:pos="567"/>
          <w:tab w:val="left" w:pos="1134"/>
        </w:tabs>
        <w:spacing w:line="240" w:lineRule="atLeast"/>
        <w:ind w:left="720"/>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 xml:space="preserve">Глава 3 </w:t>
      </w:r>
      <w:r w:rsidR="00F80F6E" w:rsidRPr="00A013E1">
        <w:rPr>
          <w:rFonts w:ascii="Times New Roman" w:hAnsi="Times New Roman" w:cs="Times New Roman"/>
          <w:sz w:val="24"/>
          <w:szCs w:val="24"/>
          <w:lang w:val="ru-RU"/>
        </w:rPr>
        <w:t xml:space="preserve"> </w:t>
      </w:r>
      <w:r w:rsidRPr="00A013E1">
        <w:rPr>
          <w:rFonts w:ascii="Times New Roman" w:hAnsi="Times New Roman" w:cs="Times New Roman"/>
          <w:sz w:val="24"/>
          <w:szCs w:val="24"/>
          <w:lang w:val="ru-RU"/>
        </w:rPr>
        <w:t xml:space="preserve">Задвижващи </w:t>
      </w:r>
      <w:r w:rsidR="0065544A" w:rsidRPr="00A013E1">
        <w:rPr>
          <w:rFonts w:ascii="Times New Roman" w:hAnsi="Times New Roman" w:cs="Times New Roman"/>
          <w:sz w:val="24"/>
          <w:szCs w:val="24"/>
          <w:lang w:val="ru-RU"/>
        </w:rPr>
        <w:t>и</w:t>
      </w:r>
      <w:r w:rsidRPr="00A013E1">
        <w:rPr>
          <w:rFonts w:ascii="Times New Roman" w:hAnsi="Times New Roman" w:cs="Times New Roman"/>
          <w:sz w:val="24"/>
          <w:szCs w:val="24"/>
          <w:lang w:val="ru-RU"/>
        </w:rPr>
        <w:t xml:space="preserve"> спомагателни системи с двигатели с вътрешно горене, използващи метанол като гориво</w:t>
      </w:r>
      <w:r w:rsidR="00F80F6E" w:rsidRPr="00A013E1">
        <w:rPr>
          <w:rFonts w:ascii="Times New Roman" w:hAnsi="Times New Roman" w:cs="Times New Roman"/>
          <w:sz w:val="24"/>
          <w:szCs w:val="24"/>
          <w:lang w:val="ru-RU"/>
        </w:rPr>
        <w:t xml:space="preserve"> </w:t>
      </w:r>
    </w:p>
    <w:p w14:paraId="0E278E83" w14:textId="77777777" w:rsidR="00F80F6E" w:rsidRPr="00A013E1" w:rsidRDefault="00F80F6E">
      <w:pPr>
        <w:rPr>
          <w:rFonts w:ascii="Times New Roman" w:eastAsia="Calibri" w:hAnsi="Times New Roman" w:cs="Times New Roman"/>
          <w:b/>
          <w:lang w:val="ru-RU"/>
        </w:rPr>
      </w:pPr>
      <w:r w:rsidRPr="00A013E1">
        <w:rPr>
          <w:rFonts w:ascii="Times New Roman" w:hAnsi="Times New Roman" w:cs="Times New Roman"/>
          <w:lang w:val="ru-RU"/>
        </w:rPr>
        <w:br w:type="page"/>
      </w:r>
    </w:p>
    <w:p w14:paraId="3AC8D46F" w14:textId="77777777" w:rsidR="00271FA2" w:rsidRPr="00A013E1" w:rsidRDefault="00D35E51" w:rsidP="000B31D6">
      <w:pPr>
        <w:pStyle w:val="ES-Titre3"/>
        <w:spacing w:after="0" w:line="240" w:lineRule="atLeast"/>
        <w:rPr>
          <w:rFonts w:ascii="Times New Roman" w:hAnsi="Times New Roman" w:cs="Times New Roman"/>
          <w:sz w:val="24"/>
          <w:szCs w:val="24"/>
          <w:lang w:val="ru-RU"/>
        </w:rPr>
      </w:pPr>
      <w:r w:rsidRPr="00A013E1">
        <w:rPr>
          <w:rFonts w:ascii="Times New Roman" w:hAnsi="Times New Roman" w:cs="Times New Roman"/>
          <w:sz w:val="24"/>
          <w:szCs w:val="24"/>
          <w:lang w:val="ru-RU"/>
        </w:rPr>
        <w:lastRenderedPageBreak/>
        <w:t xml:space="preserve">Раздел </w:t>
      </w:r>
      <w:r w:rsidRPr="00A013E1">
        <w:rPr>
          <w:rFonts w:ascii="Times New Roman" w:hAnsi="Times New Roman" w:cs="Times New Roman"/>
          <w:sz w:val="24"/>
          <w:szCs w:val="24"/>
        </w:rPr>
        <w:t>I</w:t>
      </w:r>
    </w:p>
    <w:p w14:paraId="458A8868" w14:textId="77777777" w:rsidR="00271FA2" w:rsidRPr="00A013E1" w:rsidRDefault="00D35E51">
      <w:pPr>
        <w:pStyle w:val="ES-Titre3"/>
        <w:spacing w:line="240" w:lineRule="atLeast"/>
        <w:rPr>
          <w:rFonts w:ascii="Times New Roman" w:hAnsi="Times New Roman" w:cs="Times New Roman"/>
          <w:sz w:val="24"/>
          <w:szCs w:val="24"/>
          <w:lang w:val="ru-RU"/>
        </w:rPr>
      </w:pPr>
      <w:r w:rsidRPr="00A013E1">
        <w:rPr>
          <w:rFonts w:ascii="Times New Roman" w:hAnsi="Times New Roman" w:cs="Times New Roman"/>
          <w:sz w:val="24"/>
          <w:szCs w:val="24"/>
          <w:lang w:val="ru-RU"/>
        </w:rPr>
        <w:t>Дефиниции</w:t>
      </w:r>
    </w:p>
    <w:p w14:paraId="6E9FCEB4" w14:textId="77777777" w:rsidR="00271FA2" w:rsidRPr="00A013E1" w:rsidRDefault="00D35E51" w:rsidP="0072574E">
      <w:pPr>
        <w:pStyle w:val="ES-Titre3"/>
        <w:spacing w:line="240" w:lineRule="atLeast"/>
        <w:ind w:left="567" w:hanging="567"/>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За целите на настоящото приложение се прилагат следните определения:</w:t>
      </w:r>
    </w:p>
    <w:p w14:paraId="03C9AFD4" w14:textId="05B67D95" w:rsidR="00271FA2" w:rsidRPr="00A013E1" w:rsidRDefault="00D35E51" w:rsidP="0072574E">
      <w:pPr>
        <w:pStyle w:val="ES-Titre3"/>
        <w:spacing w:line="240" w:lineRule="atLeast"/>
        <w:ind w:left="709" w:hanging="709"/>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 xml:space="preserve">1.1 </w:t>
      </w:r>
      <w:r w:rsidR="0072574E" w:rsidRPr="00A013E1">
        <w:rPr>
          <w:rFonts w:ascii="Times New Roman" w:hAnsi="Times New Roman" w:cs="Times New Roman"/>
          <w:sz w:val="24"/>
          <w:szCs w:val="24"/>
          <w:lang w:val="ru-RU"/>
        </w:rPr>
        <w:tab/>
      </w:r>
      <w:r w:rsidRPr="00A013E1">
        <w:rPr>
          <w:rFonts w:ascii="Times New Roman" w:hAnsi="Times New Roman" w:cs="Times New Roman"/>
          <w:sz w:val="24"/>
          <w:szCs w:val="24"/>
          <w:lang w:val="ru-RU"/>
        </w:rPr>
        <w:t>Общи положения</w:t>
      </w:r>
    </w:p>
    <w:p w14:paraId="6B6B02CC" w14:textId="668AD702"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1.1.1 </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Затворено помещение: всяко помещение, в което, при липса на принудителна вентилация, вентилацията ще бъде ограничена и всяка експлозивна атмосфера няма да се разпръсне естествено.</w:t>
      </w:r>
    </w:p>
    <w:p w14:paraId="03574173" w14:textId="0459248B"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1.1.2 </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Полузатворено помещение: помещение, ограничено от палуби или прегради по такъв начин, че естествените условия на вентилация са значително различни от тези, получени на открита палуба.</w:t>
      </w:r>
    </w:p>
    <w:p w14:paraId="45769DA3" w14:textId="4C52DE22"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1.1.3 </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Клапан за освобождаване на налягането (</w:t>
      </w:r>
      <w:r w:rsidRPr="00A013E1">
        <w:rPr>
          <w:rFonts w:ascii="Times New Roman" w:hAnsi="Times New Roman" w:cs="Times New Roman"/>
          <w:b w:val="0"/>
          <w:sz w:val="24"/>
          <w:szCs w:val="24"/>
        </w:rPr>
        <w:t>PRV</w:t>
      </w:r>
      <w:r w:rsidRPr="00A013E1">
        <w:rPr>
          <w:rFonts w:ascii="Times New Roman" w:hAnsi="Times New Roman" w:cs="Times New Roman"/>
          <w:b w:val="0"/>
          <w:sz w:val="24"/>
          <w:szCs w:val="24"/>
          <w:lang w:val="ru-RU"/>
        </w:rPr>
        <w:t>): устройство с пружина, което се активира автоматично чрез натиск, чиято цел е да предпази резервоара или тръбопровода от неприемливо свръхвътрешно налягане.</w:t>
      </w:r>
    </w:p>
    <w:p w14:paraId="5448F0A3" w14:textId="3E9A3519" w:rsidR="00181EAC" w:rsidRPr="00A013E1" w:rsidRDefault="00181EAC"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1.1.4 </w:t>
      </w:r>
      <w:r w:rsidRPr="00A013E1">
        <w:rPr>
          <w:rFonts w:ascii="Times New Roman" w:hAnsi="Times New Roman" w:cs="Times New Roman"/>
          <w:b w:val="0"/>
          <w:sz w:val="24"/>
          <w:szCs w:val="24"/>
          <w:lang w:val="ru-RU"/>
        </w:rPr>
        <w:tab/>
        <w:t>Клапан за вакуум под налягане (</w:t>
      </w:r>
      <w:r w:rsidRPr="00A013E1">
        <w:rPr>
          <w:rFonts w:ascii="Times New Roman" w:hAnsi="Times New Roman" w:cs="Times New Roman"/>
          <w:b w:val="0"/>
          <w:sz w:val="24"/>
          <w:szCs w:val="24"/>
        </w:rPr>
        <w:t>P</w:t>
      </w:r>
      <w:r w:rsidRPr="00A013E1">
        <w:rPr>
          <w:rFonts w:ascii="Times New Roman" w:hAnsi="Times New Roman" w:cs="Times New Roman"/>
          <w:b w:val="0"/>
          <w:sz w:val="24"/>
          <w:szCs w:val="24"/>
          <w:lang w:val="ru-RU"/>
        </w:rPr>
        <w:t>/</w:t>
      </w:r>
      <w:r w:rsidRPr="00A013E1">
        <w:rPr>
          <w:rFonts w:ascii="Times New Roman" w:hAnsi="Times New Roman" w:cs="Times New Roman"/>
          <w:b w:val="0"/>
          <w:sz w:val="24"/>
          <w:szCs w:val="24"/>
        </w:rPr>
        <w:t>V</w:t>
      </w:r>
      <w:r w:rsidRPr="00A013E1">
        <w:rPr>
          <w:rFonts w:ascii="Times New Roman" w:hAnsi="Times New Roman" w:cs="Times New Roman"/>
          <w:b w:val="0"/>
          <w:sz w:val="24"/>
          <w:szCs w:val="24"/>
          <w:lang w:val="ru-RU"/>
        </w:rPr>
        <w:t>): клапан или набор от клапани, които поддържат свръхналягането или подналягането в резервоара в рамките на проектните граници на резервоара.</w:t>
      </w:r>
    </w:p>
    <w:p w14:paraId="50B4DC22" w14:textId="77F0EC1F" w:rsidR="00754813" w:rsidRPr="00A013E1" w:rsidRDefault="00754813"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1.1.5 </w:t>
      </w:r>
      <w:r w:rsidRPr="00A013E1">
        <w:rPr>
          <w:rFonts w:ascii="Times New Roman" w:hAnsi="Times New Roman" w:cs="Times New Roman"/>
          <w:b w:val="0"/>
          <w:sz w:val="24"/>
          <w:szCs w:val="24"/>
          <w:lang w:val="ru-RU"/>
        </w:rPr>
        <w:tab/>
        <w:t>Термично активирано устройство за освобождаване на налягането (</w:t>
      </w:r>
      <w:r w:rsidRPr="00A013E1">
        <w:rPr>
          <w:rFonts w:ascii="Times New Roman" w:hAnsi="Times New Roman" w:cs="Times New Roman"/>
          <w:b w:val="0"/>
          <w:sz w:val="24"/>
          <w:szCs w:val="24"/>
        </w:rPr>
        <w:t>TPRD</w:t>
      </w:r>
      <w:r w:rsidRPr="00A013E1">
        <w:rPr>
          <w:rFonts w:ascii="Times New Roman" w:hAnsi="Times New Roman" w:cs="Times New Roman"/>
          <w:b w:val="0"/>
          <w:sz w:val="24"/>
          <w:szCs w:val="24"/>
          <w:lang w:val="ru-RU"/>
        </w:rPr>
        <w:t>): устройство, което се активира автоматично от температурата</w:t>
      </w:r>
      <w:r w:rsidR="00617337" w:rsidRPr="00A013E1">
        <w:rPr>
          <w:rFonts w:ascii="Times New Roman" w:hAnsi="Times New Roman" w:cs="Times New Roman"/>
          <w:b w:val="0"/>
          <w:sz w:val="24"/>
          <w:szCs w:val="24"/>
          <w:lang w:val="ru-RU"/>
        </w:rPr>
        <w:t xml:space="preserve">и </w:t>
      </w:r>
      <w:r w:rsidRPr="00A013E1">
        <w:rPr>
          <w:rFonts w:ascii="Times New Roman" w:hAnsi="Times New Roman" w:cs="Times New Roman"/>
          <w:b w:val="0"/>
          <w:sz w:val="24"/>
          <w:szCs w:val="24"/>
          <w:lang w:val="ru-RU"/>
        </w:rPr>
        <w:t>чиято цел е да защити резервоара или тръбопровода от неприемливо свръхвътрешно налягане.</w:t>
      </w:r>
    </w:p>
    <w:p w14:paraId="3CF3CD2F" w14:textId="456DF545" w:rsidR="00754813" w:rsidRPr="00A013E1" w:rsidRDefault="00754813"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1.1.6 </w:t>
      </w:r>
      <w:r w:rsidRPr="00A013E1">
        <w:rPr>
          <w:rFonts w:ascii="Times New Roman" w:hAnsi="Times New Roman" w:cs="Times New Roman"/>
          <w:b w:val="0"/>
          <w:sz w:val="24"/>
          <w:szCs w:val="24"/>
          <w:lang w:val="ru-RU"/>
        </w:rPr>
        <w:tab/>
        <w:t xml:space="preserve">Система за контролирано обезвъздушаване на резервоара: система, оборудвана с </w:t>
      </w:r>
      <w:r w:rsidRPr="00A013E1">
        <w:rPr>
          <w:rFonts w:ascii="Times New Roman" w:hAnsi="Times New Roman" w:cs="Times New Roman"/>
          <w:b w:val="0"/>
          <w:sz w:val="24"/>
          <w:szCs w:val="24"/>
        </w:rPr>
        <w:t>P</w:t>
      </w:r>
      <w:r w:rsidRPr="00A013E1">
        <w:rPr>
          <w:rFonts w:ascii="Times New Roman" w:hAnsi="Times New Roman" w:cs="Times New Roman"/>
          <w:b w:val="0"/>
          <w:sz w:val="24"/>
          <w:szCs w:val="24"/>
          <w:lang w:val="ru-RU"/>
        </w:rPr>
        <w:t>/</w:t>
      </w:r>
      <w:r w:rsidRPr="00A013E1">
        <w:rPr>
          <w:rFonts w:ascii="Times New Roman" w:hAnsi="Times New Roman" w:cs="Times New Roman"/>
          <w:b w:val="0"/>
          <w:sz w:val="24"/>
          <w:szCs w:val="24"/>
        </w:rPr>
        <w:t>V</w:t>
      </w:r>
      <w:r w:rsidRPr="00A013E1">
        <w:rPr>
          <w:rFonts w:ascii="Times New Roman" w:hAnsi="Times New Roman" w:cs="Times New Roman"/>
          <w:b w:val="0"/>
          <w:sz w:val="24"/>
          <w:szCs w:val="24"/>
          <w:lang w:val="ru-RU"/>
        </w:rPr>
        <w:t xml:space="preserve"> клапани за освобождаване на свръхналягане и понижено налягане.</w:t>
      </w:r>
    </w:p>
    <w:p w14:paraId="728A4D47" w14:textId="6EA69BA7"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1.1.</w:t>
      </w:r>
      <w:r w:rsidR="00305870" w:rsidRPr="00A013E1">
        <w:rPr>
          <w:rFonts w:ascii="Times New Roman" w:hAnsi="Times New Roman" w:cs="Times New Roman"/>
          <w:b w:val="0"/>
          <w:sz w:val="24"/>
          <w:szCs w:val="24"/>
          <w:lang w:val="ru-RU"/>
        </w:rPr>
        <w:t xml:space="preserve">7 </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rPr>
        <w:t>ESD</w:t>
      </w:r>
      <w:r w:rsidRPr="00A013E1">
        <w:rPr>
          <w:rFonts w:ascii="Times New Roman" w:hAnsi="Times New Roman" w:cs="Times New Roman"/>
          <w:b w:val="0"/>
          <w:sz w:val="24"/>
          <w:szCs w:val="24"/>
          <w:lang w:val="ru-RU"/>
        </w:rPr>
        <w:t>: аварийно изключване, незабавно спиране на енергийния преобразувател и на всички негови процеси като реакция на системата за управление на отклонения на параметрите на процеса, за да се избегнат повреди на компонентите и плавателното средство, както и опасности за хората.</w:t>
      </w:r>
    </w:p>
    <w:p w14:paraId="3EC39F8B" w14:textId="2DFC3DFF"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1.1.</w:t>
      </w:r>
      <w:r w:rsidR="00B11D0E" w:rsidRPr="00A013E1">
        <w:rPr>
          <w:rFonts w:ascii="Times New Roman" w:hAnsi="Times New Roman" w:cs="Times New Roman"/>
          <w:b w:val="0"/>
          <w:sz w:val="24"/>
          <w:szCs w:val="24"/>
          <w:lang w:val="ru-RU"/>
        </w:rPr>
        <w:t xml:space="preserve">8 </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 xml:space="preserve">Главен горивен вентил: автоматичен спирателен вентил в тръбопроводите за подаване на </w:t>
      </w:r>
      <w:r w:rsidR="00754813" w:rsidRPr="00A013E1">
        <w:rPr>
          <w:rFonts w:ascii="Times New Roman" w:hAnsi="Times New Roman" w:cs="Times New Roman"/>
          <w:b w:val="0"/>
          <w:sz w:val="24"/>
          <w:szCs w:val="24"/>
          <w:lang w:val="ru-RU"/>
        </w:rPr>
        <w:t xml:space="preserve"> гориво </w:t>
      </w:r>
      <w:r w:rsidRPr="00A013E1">
        <w:rPr>
          <w:rFonts w:ascii="Times New Roman" w:hAnsi="Times New Roman" w:cs="Times New Roman"/>
          <w:b w:val="0"/>
          <w:sz w:val="24"/>
          <w:szCs w:val="24"/>
          <w:lang w:val="ru-RU"/>
        </w:rPr>
        <w:t>към двигателите (съответно пространството на горивните клетки).</w:t>
      </w:r>
    </w:p>
    <w:p w14:paraId="71CC6FFC" w14:textId="2D293752"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1.1.</w:t>
      </w:r>
      <w:r w:rsidR="00B11D0E" w:rsidRPr="00A013E1">
        <w:rPr>
          <w:rFonts w:ascii="Times New Roman" w:hAnsi="Times New Roman" w:cs="Times New Roman"/>
          <w:b w:val="0"/>
          <w:sz w:val="24"/>
          <w:szCs w:val="24"/>
          <w:lang w:val="ru-RU"/>
        </w:rPr>
        <w:t xml:space="preserve">9 </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Двоен блокиращ и изпускателен клапан: набор от два клапана последователно в тръба и трети клапан, позволяващ освобождаване на налягането от тръбата между тези два клапана до безопасно място. Устройството може също да се състои от двупътен вентил и затварящ вентил вместо три отделни клапана.</w:t>
      </w:r>
    </w:p>
    <w:p w14:paraId="4AF1043E" w14:textId="02232073"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1.1.</w:t>
      </w:r>
      <w:r w:rsidR="0072574E" w:rsidRPr="00A013E1">
        <w:rPr>
          <w:rFonts w:ascii="Times New Roman" w:hAnsi="Times New Roman" w:cs="Times New Roman"/>
          <w:b w:val="0"/>
          <w:sz w:val="24"/>
          <w:szCs w:val="24"/>
          <w:lang w:val="ru-RU"/>
        </w:rPr>
        <w:t xml:space="preserve">10 </w:t>
      </w:r>
      <w:r w:rsidRPr="00A013E1">
        <w:rPr>
          <w:rFonts w:ascii="Times New Roman" w:hAnsi="Times New Roman" w:cs="Times New Roman"/>
          <w:b w:val="0"/>
          <w:sz w:val="24"/>
          <w:szCs w:val="24"/>
          <w:lang w:val="ru-RU"/>
        </w:rPr>
        <w:t>Въздушен шлюз: пространство, оградено от газонепроницаеми стоманени прегради с две газонепропускливи врати, предназначени да отделят неопасна зона от опасна зона.</w:t>
      </w:r>
    </w:p>
    <w:p w14:paraId="1B3C955E" w14:textId="69620658"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1.1.</w:t>
      </w:r>
      <w:r w:rsidR="00F63254" w:rsidRPr="00A013E1">
        <w:rPr>
          <w:rFonts w:ascii="Times New Roman" w:hAnsi="Times New Roman" w:cs="Times New Roman"/>
          <w:b w:val="0"/>
          <w:sz w:val="24"/>
          <w:szCs w:val="24"/>
          <w:lang w:val="ru-RU"/>
        </w:rPr>
        <w:t>11</w:t>
      </w:r>
      <w:r w:rsidR="0072574E" w:rsidRPr="00A013E1">
        <w:rPr>
          <w:rFonts w:ascii="Times New Roman" w:hAnsi="Times New Roman" w:cs="Times New Roman"/>
          <w:b w:val="0"/>
          <w:sz w:val="24"/>
          <w:szCs w:val="24"/>
          <w:lang w:val="ru-RU"/>
        </w:rPr>
        <w:t xml:space="preserve"> </w:t>
      </w:r>
      <w:r w:rsidRPr="00A013E1">
        <w:rPr>
          <w:rFonts w:ascii="Times New Roman" w:hAnsi="Times New Roman" w:cs="Times New Roman"/>
          <w:b w:val="0"/>
          <w:sz w:val="24"/>
          <w:szCs w:val="24"/>
          <w:lang w:val="ru-RU"/>
        </w:rPr>
        <w:t>Тръбопровод с двойна стена: тръбопровод с двойна стена, при който пространството между стените е под налягане с инертен газ и е оборудван за откриване на всяко изтичане на една от двете стени.</w:t>
      </w:r>
    </w:p>
    <w:p w14:paraId="7E3AFEA0" w14:textId="5E924F9C"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1.1.</w:t>
      </w:r>
      <w:r w:rsidR="00F63254" w:rsidRPr="00A013E1">
        <w:rPr>
          <w:rFonts w:ascii="Times New Roman" w:hAnsi="Times New Roman" w:cs="Times New Roman"/>
          <w:b w:val="0"/>
          <w:sz w:val="24"/>
          <w:szCs w:val="24"/>
          <w:lang w:val="ru-RU"/>
        </w:rPr>
        <w:t xml:space="preserve">12 </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Максимално работно налягане: максималното допустимо налягане в резервоар за гориво или тръбопровод по време на работа. Това налягане е равно на налягането на отваряне на предпазните клапани или устройства.</w:t>
      </w:r>
    </w:p>
    <w:p w14:paraId="38474B45" w14:textId="408881E3"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1.1.</w:t>
      </w:r>
      <w:r w:rsidR="00390C36" w:rsidRPr="00A013E1">
        <w:rPr>
          <w:rFonts w:ascii="Times New Roman" w:hAnsi="Times New Roman" w:cs="Times New Roman"/>
          <w:b w:val="0"/>
          <w:sz w:val="24"/>
          <w:szCs w:val="24"/>
          <w:lang w:val="ru-RU"/>
        </w:rPr>
        <w:t>13</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Проектно налягане: налягането, въз основа на което е проектиран и изграден резервоарът за гориво или тръбопроводът.</w:t>
      </w:r>
    </w:p>
    <w:p w14:paraId="221F5562" w14:textId="6265662D"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lastRenderedPageBreak/>
        <w:t>1.1.</w:t>
      </w:r>
      <w:r w:rsidR="00390C36" w:rsidRPr="00A013E1">
        <w:rPr>
          <w:rFonts w:ascii="Times New Roman" w:hAnsi="Times New Roman" w:cs="Times New Roman"/>
          <w:b w:val="0"/>
          <w:sz w:val="24"/>
          <w:szCs w:val="24"/>
          <w:lang w:val="ru-RU"/>
        </w:rPr>
        <w:t xml:space="preserve">14 </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Вентилиран тръбопровод: газова тръба, монтирана в тръба или канал, оборудван с механична смукателна вентилация.</w:t>
      </w:r>
    </w:p>
    <w:p w14:paraId="271B56BC" w14:textId="2907F429"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1.1.</w:t>
      </w:r>
      <w:r w:rsidR="00390C36" w:rsidRPr="00A013E1">
        <w:rPr>
          <w:rFonts w:ascii="Times New Roman" w:hAnsi="Times New Roman" w:cs="Times New Roman"/>
          <w:b w:val="0"/>
          <w:sz w:val="24"/>
          <w:szCs w:val="24"/>
          <w:lang w:val="ru-RU"/>
        </w:rPr>
        <w:t xml:space="preserve">15 </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Предупредително оборудване за газ: предупредително оборудване за защита на хората и имуществото от опасни газове и смеси газ-въздух. Състои се от газови детектори за идентифициране на газове, контролен блок за обработка на сигналите и дисплей/аларма за показване на състоянието и предупреждение.</w:t>
      </w:r>
    </w:p>
    <w:p w14:paraId="5EDB44BC" w14:textId="0D08481A"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1.1.</w:t>
      </w:r>
      <w:r w:rsidR="00390C36" w:rsidRPr="00A013E1">
        <w:rPr>
          <w:rFonts w:ascii="Times New Roman" w:hAnsi="Times New Roman" w:cs="Times New Roman"/>
          <w:b w:val="0"/>
          <w:sz w:val="24"/>
          <w:szCs w:val="24"/>
          <w:lang w:val="ru-RU"/>
        </w:rPr>
        <w:t>16</w:t>
      </w:r>
      <w:r w:rsidR="0072574E"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Вторична бариера: заграждението, заобикалящо елементите, съдържащи гориво (или компонентите на горивната клетка), предназначено да предотврати изтичането на гориво в околните зони в случай на изтичащ компонент (първична бариера).</w:t>
      </w:r>
    </w:p>
    <w:p w14:paraId="3B2E08C9" w14:textId="37950C67" w:rsidR="0065544A" w:rsidRPr="00A013E1" w:rsidRDefault="0065544A" w:rsidP="0072574E">
      <w:pPr>
        <w:spacing w:after="240"/>
        <w:ind w:left="709" w:hanging="709"/>
        <w:jc w:val="both"/>
        <w:rPr>
          <w:rFonts w:ascii="Times New Roman" w:hAnsi="Times New Roman" w:cs="Times New Roman"/>
          <w:lang w:val="ru-RU"/>
        </w:rPr>
      </w:pPr>
      <w:r w:rsidRPr="00A013E1">
        <w:rPr>
          <w:rFonts w:ascii="Times New Roman" w:hAnsi="Times New Roman" w:cs="Times New Roman"/>
          <w:lang w:val="ru-RU"/>
        </w:rPr>
        <w:t>1.1.17</w:t>
      </w:r>
      <w:r w:rsidR="0072574E" w:rsidRPr="00A013E1">
        <w:rPr>
          <w:rFonts w:ascii="Times New Roman" w:hAnsi="Times New Roman" w:cs="Times New Roman"/>
          <w:lang w:val="ru-RU"/>
        </w:rPr>
        <w:tab/>
      </w:r>
      <w:r w:rsidRPr="00A013E1">
        <w:rPr>
          <w:rFonts w:ascii="Times New Roman" w:hAnsi="Times New Roman" w:cs="Times New Roman"/>
          <w:lang w:val="ru-RU"/>
        </w:rPr>
        <w:t>Най-ниската възможна водолиния: водолинията, съответстваща на водоизместимостта на плавателния съд без баласт и без товар.</w:t>
      </w:r>
    </w:p>
    <w:p w14:paraId="452D6F07" w14:textId="3BF313E9" w:rsidR="0065544A" w:rsidRPr="00A013E1" w:rsidRDefault="0065544A" w:rsidP="0072574E">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1.1.18 </w:t>
      </w:r>
      <w:r w:rsidR="0072574E" w:rsidRPr="00A013E1">
        <w:rPr>
          <w:rFonts w:ascii="Times New Roman" w:hAnsi="Times New Roman" w:cs="Times New Roman"/>
          <w:lang w:val="ru-RU"/>
        </w:rPr>
        <w:tab/>
      </w:r>
      <w:r w:rsidRPr="00A013E1">
        <w:rPr>
          <w:rFonts w:ascii="Times New Roman" w:hAnsi="Times New Roman" w:cs="Times New Roman"/>
          <w:lang w:val="ru-RU"/>
        </w:rPr>
        <w:t xml:space="preserve">Двигател с </w:t>
      </w:r>
      <w:r w:rsidR="004A4C8C" w:rsidRPr="00A013E1">
        <w:rPr>
          <w:rFonts w:ascii="Times New Roman" w:hAnsi="Times New Roman" w:cs="Times New Roman"/>
          <w:lang w:val="ru-RU"/>
        </w:rPr>
        <w:t xml:space="preserve">два вида </w:t>
      </w:r>
      <w:r w:rsidRPr="00A013E1">
        <w:rPr>
          <w:rFonts w:ascii="Times New Roman" w:hAnsi="Times New Roman" w:cs="Times New Roman"/>
          <w:lang w:val="ru-RU"/>
        </w:rPr>
        <w:t>горива: двигател, който е проектиран да работи едновременно с дв</w:t>
      </w:r>
      <w:r w:rsidR="004A4C8C" w:rsidRPr="00A013E1">
        <w:rPr>
          <w:rFonts w:ascii="Times New Roman" w:hAnsi="Times New Roman" w:cs="Times New Roman"/>
          <w:lang w:val="ru-RU"/>
        </w:rPr>
        <w:t>а вида</w:t>
      </w:r>
      <w:r w:rsidRPr="00A013E1">
        <w:rPr>
          <w:rFonts w:ascii="Times New Roman" w:hAnsi="Times New Roman" w:cs="Times New Roman"/>
          <w:lang w:val="ru-RU"/>
        </w:rPr>
        <w:t xml:space="preserve"> горива, като и дв</w:t>
      </w:r>
      <w:r w:rsidR="00A476DC" w:rsidRPr="00A013E1">
        <w:rPr>
          <w:rFonts w:ascii="Times New Roman" w:hAnsi="Times New Roman" w:cs="Times New Roman"/>
          <w:lang w:val="ru-RU"/>
        </w:rPr>
        <w:t>а</w:t>
      </w:r>
      <w:r w:rsidR="004A4C8C" w:rsidRPr="00A013E1">
        <w:rPr>
          <w:rFonts w:ascii="Times New Roman" w:hAnsi="Times New Roman" w:cs="Times New Roman"/>
          <w:lang w:val="ru-RU"/>
        </w:rPr>
        <w:t>та вида</w:t>
      </w:r>
      <w:r w:rsidRPr="00A013E1">
        <w:rPr>
          <w:rFonts w:ascii="Times New Roman" w:hAnsi="Times New Roman" w:cs="Times New Roman"/>
          <w:lang w:val="ru-RU"/>
        </w:rPr>
        <w:t xml:space="preserve"> горива се </w:t>
      </w:r>
      <w:r w:rsidR="00381477" w:rsidRPr="00A013E1">
        <w:rPr>
          <w:rFonts w:ascii="Times New Roman" w:hAnsi="Times New Roman" w:cs="Times New Roman"/>
          <w:lang w:val="ru-RU"/>
        </w:rPr>
        <w:t xml:space="preserve"> дозират</w:t>
      </w:r>
      <w:r w:rsidRPr="00A013E1">
        <w:rPr>
          <w:rFonts w:ascii="Times New Roman" w:hAnsi="Times New Roman" w:cs="Times New Roman"/>
          <w:lang w:val="ru-RU"/>
        </w:rPr>
        <w:t xml:space="preserve"> отделно, като изразходваното количество на едно от горивата спрямо другото може да варира в зависимост от работата.</w:t>
      </w:r>
    </w:p>
    <w:p w14:paraId="7B092632" w14:textId="44D5A831" w:rsidR="0065544A" w:rsidRPr="00A013E1" w:rsidRDefault="0065544A" w:rsidP="003F4EE8">
      <w:pPr>
        <w:spacing w:after="240"/>
        <w:ind w:left="709" w:hanging="709"/>
        <w:jc w:val="both"/>
        <w:rPr>
          <w:rFonts w:ascii="Times New Roman" w:hAnsi="Times New Roman" w:cs="Times New Roman"/>
          <w:lang w:val="ru-RU"/>
        </w:rPr>
      </w:pPr>
      <w:r w:rsidRPr="00A013E1">
        <w:rPr>
          <w:rFonts w:ascii="Times New Roman" w:hAnsi="Times New Roman" w:cs="Times New Roman"/>
          <w:lang w:val="ru-RU"/>
        </w:rPr>
        <w:t xml:space="preserve">1.1.19 Сменяем резервоар: контейнер или </w:t>
      </w:r>
      <w:r w:rsidR="0008552C" w:rsidRPr="00A013E1">
        <w:rPr>
          <w:rFonts w:ascii="Times New Roman" w:hAnsi="Times New Roman" w:cs="Times New Roman"/>
          <w:lang w:val="ru-RU"/>
        </w:rPr>
        <w:t xml:space="preserve"> секция</w:t>
      </w:r>
      <w:r w:rsidRPr="00A013E1">
        <w:rPr>
          <w:rFonts w:ascii="Times New Roman" w:hAnsi="Times New Roman" w:cs="Times New Roman"/>
          <w:lang w:val="ru-RU"/>
        </w:rPr>
        <w:t xml:space="preserve"> с един или няколко резервоара, предназначени за временно съхранение на гориво на борда, доставящи гориво за задвижването или </w:t>
      </w:r>
      <w:r w:rsidR="005405F9" w:rsidRPr="00A013E1">
        <w:rPr>
          <w:rFonts w:ascii="Times New Roman" w:hAnsi="Times New Roman" w:cs="Times New Roman"/>
          <w:lang w:val="ru-RU"/>
        </w:rPr>
        <w:t xml:space="preserve">за </w:t>
      </w:r>
      <w:r w:rsidRPr="00A013E1">
        <w:rPr>
          <w:rFonts w:ascii="Times New Roman" w:hAnsi="Times New Roman" w:cs="Times New Roman"/>
          <w:lang w:val="ru-RU"/>
        </w:rPr>
        <w:t>спомагателните системи на плавателното средство и предназначени за преместване извън борда.</w:t>
      </w:r>
    </w:p>
    <w:p w14:paraId="332410F6" w14:textId="77777777" w:rsidR="00271FA2" w:rsidRPr="00A013E1" w:rsidRDefault="00D35E51" w:rsidP="0072574E">
      <w:pPr>
        <w:pStyle w:val="ES-Titre3"/>
        <w:spacing w:line="240" w:lineRule="atLeast"/>
        <w:ind w:left="709" w:hanging="709"/>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2. Втечнен природен газ (</w:t>
      </w:r>
      <w:r w:rsidRPr="00A013E1">
        <w:rPr>
          <w:rFonts w:ascii="Times New Roman" w:hAnsi="Times New Roman" w:cs="Times New Roman"/>
          <w:sz w:val="24"/>
          <w:szCs w:val="24"/>
        </w:rPr>
        <w:t>LNG</w:t>
      </w:r>
      <w:r w:rsidRPr="00A013E1">
        <w:rPr>
          <w:rFonts w:ascii="Times New Roman" w:hAnsi="Times New Roman" w:cs="Times New Roman"/>
          <w:sz w:val="24"/>
          <w:szCs w:val="24"/>
          <w:lang w:val="ru-RU"/>
        </w:rPr>
        <w:t>)</w:t>
      </w:r>
    </w:p>
    <w:p w14:paraId="09AB765A" w14:textId="77777777"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1.2.1 Втечнен природен газ (</w:t>
      </w:r>
      <w:r w:rsidRPr="00A013E1">
        <w:rPr>
          <w:rFonts w:ascii="Times New Roman" w:hAnsi="Times New Roman" w:cs="Times New Roman"/>
          <w:b w:val="0"/>
          <w:sz w:val="24"/>
          <w:szCs w:val="24"/>
        </w:rPr>
        <w:t>LNG</w:t>
      </w:r>
      <w:r w:rsidRPr="00A013E1">
        <w:rPr>
          <w:rFonts w:ascii="Times New Roman" w:hAnsi="Times New Roman" w:cs="Times New Roman"/>
          <w:b w:val="0"/>
          <w:sz w:val="24"/>
          <w:szCs w:val="24"/>
          <w:lang w:val="ru-RU"/>
        </w:rPr>
        <w:t>): природен газ, който е втечнен чрез охлаждане до температура от -161 °</w:t>
      </w:r>
      <w:r w:rsidRPr="00A013E1">
        <w:rPr>
          <w:rFonts w:ascii="Times New Roman" w:hAnsi="Times New Roman" w:cs="Times New Roman"/>
          <w:b w:val="0"/>
          <w:sz w:val="24"/>
          <w:szCs w:val="24"/>
        </w:rPr>
        <w:t>C</w:t>
      </w:r>
      <w:r w:rsidRPr="00A013E1">
        <w:rPr>
          <w:rFonts w:ascii="Times New Roman" w:hAnsi="Times New Roman" w:cs="Times New Roman"/>
          <w:b w:val="0"/>
          <w:sz w:val="24"/>
          <w:szCs w:val="24"/>
          <w:lang w:val="ru-RU"/>
        </w:rPr>
        <w:t>.</w:t>
      </w:r>
    </w:p>
    <w:p w14:paraId="11E80B07" w14:textId="0F5F5337"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1.2.2 </w:t>
      </w:r>
      <w:r w:rsidRPr="00A013E1">
        <w:rPr>
          <w:rFonts w:ascii="Times New Roman" w:hAnsi="Times New Roman" w:cs="Times New Roman"/>
          <w:b w:val="0"/>
          <w:sz w:val="24"/>
          <w:szCs w:val="24"/>
        </w:rPr>
        <w:t>LNG</w:t>
      </w:r>
      <w:r w:rsidRPr="00A013E1">
        <w:rPr>
          <w:rFonts w:ascii="Times New Roman" w:hAnsi="Times New Roman" w:cs="Times New Roman"/>
          <w:b w:val="0"/>
          <w:sz w:val="24"/>
          <w:szCs w:val="24"/>
          <w:lang w:val="ru-RU"/>
        </w:rPr>
        <w:t xml:space="preserve"> система: всички </w:t>
      </w:r>
      <w:r w:rsidR="005B31C7" w:rsidRPr="00A013E1">
        <w:rPr>
          <w:rFonts w:ascii="Times New Roman" w:hAnsi="Times New Roman" w:cs="Times New Roman"/>
          <w:b w:val="0"/>
          <w:sz w:val="24"/>
          <w:szCs w:val="24"/>
          <w:lang w:val="ru-RU"/>
        </w:rPr>
        <w:t xml:space="preserve"> к</w:t>
      </w:r>
      <w:r w:rsidR="00DC511C" w:rsidRPr="00A013E1">
        <w:rPr>
          <w:rFonts w:ascii="Times New Roman" w:hAnsi="Times New Roman" w:cs="Times New Roman"/>
          <w:b w:val="0"/>
          <w:sz w:val="24"/>
          <w:szCs w:val="24"/>
          <w:lang w:val="ru-RU"/>
        </w:rPr>
        <w:t xml:space="preserve">омпоненти </w:t>
      </w:r>
      <w:r w:rsidRPr="00A013E1">
        <w:rPr>
          <w:rFonts w:ascii="Times New Roman" w:hAnsi="Times New Roman" w:cs="Times New Roman"/>
          <w:b w:val="0"/>
          <w:sz w:val="24"/>
          <w:szCs w:val="24"/>
          <w:lang w:val="ru-RU"/>
        </w:rPr>
        <w:t>на плавателното средство, които могат да съдържат втечнен природен газ (</w:t>
      </w:r>
      <w:r w:rsidRPr="00A013E1">
        <w:rPr>
          <w:rFonts w:ascii="Times New Roman" w:hAnsi="Times New Roman" w:cs="Times New Roman"/>
          <w:b w:val="0"/>
          <w:sz w:val="24"/>
          <w:szCs w:val="24"/>
        </w:rPr>
        <w:t>LNG</w:t>
      </w:r>
      <w:r w:rsidRPr="00A013E1">
        <w:rPr>
          <w:rFonts w:ascii="Times New Roman" w:hAnsi="Times New Roman" w:cs="Times New Roman"/>
          <w:b w:val="0"/>
          <w:sz w:val="24"/>
          <w:szCs w:val="24"/>
          <w:lang w:val="ru-RU"/>
        </w:rPr>
        <w:t>) или природен газ, като двигатели, резервоари за гориво и тръбопроводи за бункероване.</w:t>
      </w:r>
    </w:p>
    <w:p w14:paraId="0DFBC517" w14:textId="4297FC5C"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1.2.3 Система за зареждане с втечнен природен газ: устройство за зареждане на втечнен природен газ (</w:t>
      </w:r>
      <w:r w:rsidRPr="00A013E1">
        <w:rPr>
          <w:rFonts w:ascii="Times New Roman" w:hAnsi="Times New Roman" w:cs="Times New Roman"/>
          <w:b w:val="0"/>
          <w:sz w:val="24"/>
          <w:szCs w:val="24"/>
        </w:rPr>
        <w:t>LNG</w:t>
      </w:r>
      <w:r w:rsidRPr="00A013E1">
        <w:rPr>
          <w:rFonts w:ascii="Times New Roman" w:hAnsi="Times New Roman" w:cs="Times New Roman"/>
          <w:b w:val="0"/>
          <w:sz w:val="24"/>
          <w:szCs w:val="24"/>
          <w:lang w:val="ru-RU"/>
        </w:rPr>
        <w:t>) на борда (станция за зареждане и тръбопровод за зареждане).</w:t>
      </w:r>
    </w:p>
    <w:p w14:paraId="0EC4CA04" w14:textId="77777777"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1.2.4 Станция за бункероване: зоната на борда, където се намира цялото оборудване, използвано за бункероване, като колектори, клапани, инструменти за наблюдение, оборудване за безопасност, станция за наблюдение, инструменти и др.</w:t>
      </w:r>
    </w:p>
    <w:p w14:paraId="2E86B9F2" w14:textId="77777777"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1.2.5 Система за задържане на </w:t>
      </w:r>
      <w:r w:rsidRPr="00A013E1">
        <w:rPr>
          <w:rFonts w:ascii="Times New Roman" w:hAnsi="Times New Roman" w:cs="Times New Roman"/>
          <w:b w:val="0"/>
          <w:sz w:val="24"/>
          <w:szCs w:val="24"/>
        </w:rPr>
        <w:t>LNG</w:t>
      </w:r>
      <w:r w:rsidRPr="00A013E1">
        <w:rPr>
          <w:rFonts w:ascii="Times New Roman" w:hAnsi="Times New Roman" w:cs="Times New Roman"/>
          <w:b w:val="0"/>
          <w:sz w:val="24"/>
          <w:szCs w:val="24"/>
          <w:lang w:val="ru-RU"/>
        </w:rPr>
        <w:t>: устройството за съхранение на втечнен природен газ (</w:t>
      </w:r>
      <w:r w:rsidRPr="00A013E1">
        <w:rPr>
          <w:rFonts w:ascii="Times New Roman" w:hAnsi="Times New Roman" w:cs="Times New Roman"/>
          <w:b w:val="0"/>
          <w:sz w:val="24"/>
          <w:szCs w:val="24"/>
        </w:rPr>
        <w:t>LNG</w:t>
      </w:r>
      <w:r w:rsidRPr="00A013E1">
        <w:rPr>
          <w:rFonts w:ascii="Times New Roman" w:hAnsi="Times New Roman" w:cs="Times New Roman"/>
          <w:b w:val="0"/>
          <w:sz w:val="24"/>
          <w:szCs w:val="24"/>
          <w:lang w:val="ru-RU"/>
        </w:rPr>
        <w:t>), включително връзките на резервоара.</w:t>
      </w:r>
    </w:p>
    <w:p w14:paraId="01983F20" w14:textId="77777777"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1.2.6 Система за подаване на газ: устройството, включително системата за подготовка на газ, тръбопроводи и клапани за подаване на газ на борда към цялото оборудване, консумиращо газ.</w:t>
      </w:r>
    </w:p>
    <w:p w14:paraId="48BA69AB" w14:textId="77777777"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1.2.7 Система за подготовка на газ: уредът, използван за преобразуване на втечнен природен газ (</w:t>
      </w:r>
      <w:r w:rsidRPr="00A013E1">
        <w:rPr>
          <w:rFonts w:ascii="Times New Roman" w:hAnsi="Times New Roman" w:cs="Times New Roman"/>
          <w:b w:val="0"/>
          <w:sz w:val="24"/>
          <w:szCs w:val="24"/>
        </w:rPr>
        <w:t>LNG</w:t>
      </w:r>
      <w:r w:rsidRPr="00A013E1">
        <w:rPr>
          <w:rFonts w:ascii="Times New Roman" w:hAnsi="Times New Roman" w:cs="Times New Roman"/>
          <w:b w:val="0"/>
          <w:sz w:val="24"/>
          <w:szCs w:val="24"/>
          <w:lang w:val="ru-RU"/>
        </w:rPr>
        <w:t>) в природен газ, неговите принадлежности и тръбопроводи.</w:t>
      </w:r>
    </w:p>
    <w:p w14:paraId="3FC697B6" w14:textId="1433FB60"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1.2.</w:t>
      </w:r>
      <w:r w:rsidR="00CE30CC" w:rsidRPr="00A013E1">
        <w:rPr>
          <w:rFonts w:ascii="Times New Roman" w:hAnsi="Times New Roman" w:cs="Times New Roman"/>
          <w:b w:val="0"/>
          <w:sz w:val="24"/>
          <w:szCs w:val="24"/>
          <w:lang w:val="ru-RU"/>
        </w:rPr>
        <w:t xml:space="preserve">8 </w:t>
      </w:r>
      <w:r w:rsidRPr="00A013E1">
        <w:rPr>
          <w:rFonts w:ascii="Times New Roman" w:hAnsi="Times New Roman" w:cs="Times New Roman"/>
          <w:b w:val="0"/>
          <w:sz w:val="24"/>
          <w:szCs w:val="24"/>
          <w:lang w:val="ru-RU"/>
        </w:rPr>
        <w:t>Компоненти на системата: всички компоненти на инсталацията, които могат да съдържат втечнен природен газ (</w:t>
      </w:r>
      <w:r w:rsidRPr="00A013E1">
        <w:rPr>
          <w:rFonts w:ascii="Times New Roman" w:hAnsi="Times New Roman" w:cs="Times New Roman"/>
          <w:b w:val="0"/>
          <w:sz w:val="24"/>
          <w:szCs w:val="24"/>
        </w:rPr>
        <w:t>LNG</w:t>
      </w:r>
      <w:r w:rsidRPr="00A013E1">
        <w:rPr>
          <w:rFonts w:ascii="Times New Roman" w:hAnsi="Times New Roman" w:cs="Times New Roman"/>
          <w:b w:val="0"/>
          <w:sz w:val="24"/>
          <w:szCs w:val="24"/>
          <w:lang w:val="ru-RU"/>
        </w:rPr>
        <w:t>) или природен газ (</w:t>
      </w:r>
      <w:r w:rsidRPr="00A013E1">
        <w:rPr>
          <w:rFonts w:ascii="Times New Roman" w:hAnsi="Times New Roman" w:cs="Times New Roman"/>
          <w:b w:val="0"/>
          <w:sz w:val="24"/>
          <w:szCs w:val="24"/>
        </w:rPr>
        <w:t>NG</w:t>
      </w:r>
      <w:r w:rsidRPr="00A013E1">
        <w:rPr>
          <w:rFonts w:ascii="Times New Roman" w:hAnsi="Times New Roman" w:cs="Times New Roman"/>
          <w:b w:val="0"/>
          <w:sz w:val="24"/>
          <w:szCs w:val="24"/>
          <w:lang w:val="ru-RU"/>
        </w:rPr>
        <w:t>) (резервоари за гориво, тръбопроводи, клапани, маркучи, бутала, помпи, филтри, уреди и др.).</w:t>
      </w:r>
    </w:p>
    <w:p w14:paraId="40B6E6CD" w14:textId="77777777" w:rsidR="00271FA2" w:rsidRPr="00A013E1" w:rsidRDefault="00D35E51" w:rsidP="0072574E">
      <w:pPr>
        <w:pStyle w:val="ES-Titre3"/>
        <w:spacing w:line="240" w:lineRule="atLeast"/>
        <w:ind w:left="709" w:hanging="709"/>
        <w:jc w:val="both"/>
        <w:rPr>
          <w:rFonts w:ascii="Times New Roman" w:hAnsi="Times New Roman" w:cs="Times New Roman"/>
          <w:sz w:val="24"/>
          <w:szCs w:val="24"/>
          <w:lang w:val="ru-RU"/>
        </w:rPr>
      </w:pPr>
      <w:r w:rsidRPr="00A013E1">
        <w:rPr>
          <w:rFonts w:ascii="Times New Roman" w:hAnsi="Times New Roman" w:cs="Times New Roman"/>
          <w:sz w:val="24"/>
          <w:szCs w:val="24"/>
          <w:lang w:val="ru-RU"/>
        </w:rPr>
        <w:t>3. Горивни клетки</w:t>
      </w:r>
    </w:p>
    <w:p w14:paraId="43C11D77" w14:textId="348BF853"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lastRenderedPageBreak/>
        <w:t xml:space="preserve">1.3.1 </w:t>
      </w:r>
      <w:r w:rsidR="003F4EE8"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Система с горивни клетки: системата, включваща компонентите на горивните клетки, както и други компоненти и системи, необходими за работата на горивните клетки и за захранването на плавателното средство с електричество. Това изключва системите за бункероване, съхранение и подаване на гориво.</w:t>
      </w:r>
    </w:p>
    <w:p w14:paraId="629433A6" w14:textId="380C206D"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1.3.2</w:t>
      </w:r>
      <w:r w:rsidR="003F4EE8"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Компоненти на горивни клетки: всички компоненти на система с горивни клетки, които могат да съдържат гориво или опасни изпарения.</w:t>
      </w:r>
    </w:p>
    <w:p w14:paraId="6A8E43D7" w14:textId="512F9FA4" w:rsidR="00271FA2" w:rsidRPr="00A013E1" w:rsidRDefault="00D35E51" w:rsidP="0072574E">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1.3.3 </w:t>
      </w:r>
      <w:r w:rsidR="003F4EE8"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Пространство за горивна клетка: всяко затворено пространство или заграждение, съдържащо част или всички компоненти на горивна клетка.</w:t>
      </w:r>
    </w:p>
    <w:p w14:paraId="7EDAAB94" w14:textId="77777777" w:rsidR="00A476DC" w:rsidRPr="00A013E1" w:rsidRDefault="00A476DC">
      <w:pPr>
        <w:pStyle w:val="ES-Titre3"/>
        <w:spacing w:line="240" w:lineRule="atLeast"/>
        <w:ind w:left="426" w:hanging="426"/>
        <w:jc w:val="both"/>
        <w:rPr>
          <w:rFonts w:ascii="Times New Roman" w:hAnsi="Times New Roman" w:cs="Times New Roman"/>
          <w:b w:val="0"/>
          <w:lang w:val="ru-RU"/>
        </w:rPr>
      </w:pPr>
    </w:p>
    <w:p w14:paraId="6ECD7574" w14:textId="77777777" w:rsidR="00271FA2" w:rsidRPr="00A013E1" w:rsidRDefault="00D35E51">
      <w:pPr>
        <w:pStyle w:val="ES-Titre3"/>
        <w:spacing w:line="240" w:lineRule="atLeast"/>
        <w:jc w:val="left"/>
        <w:rPr>
          <w:rFonts w:ascii="Times New Roman" w:hAnsi="Times New Roman" w:cs="Times New Roman"/>
          <w:lang w:val="ru-RU"/>
        </w:rPr>
      </w:pPr>
      <w:r w:rsidRPr="00A013E1">
        <w:rPr>
          <w:rFonts w:ascii="Times New Roman" w:hAnsi="Times New Roman" w:cs="Times New Roman"/>
          <w:noProof/>
          <w:lang w:eastAsia="bg-BG"/>
        </w:rPr>
        <w:drawing>
          <wp:anchor distT="0" distB="0" distL="114300" distR="114300" simplePos="0" relativeHeight="251721728" behindDoc="0" locked="0" layoutInCell="1" allowOverlap="1" wp14:anchorId="715F62B8" wp14:editId="735B25C6">
            <wp:simplePos x="0" y="0"/>
            <wp:positionH relativeFrom="column">
              <wp:posOffset>0</wp:posOffset>
            </wp:positionH>
            <wp:positionV relativeFrom="paragraph">
              <wp:posOffset>-635</wp:posOffset>
            </wp:positionV>
            <wp:extent cx="6142355" cy="3537585"/>
            <wp:effectExtent l="0" t="0" r="0" b="0"/>
            <wp:wrapNone/>
            <wp:docPr id="4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a:xfrm>
                      <a:off x="0" y="0"/>
                      <a:ext cx="6142233" cy="3537424"/>
                    </a:xfrm>
                    <a:prstGeom prst="rect">
                      <a:avLst/>
                    </a:prstGeom>
                    <a:noFill/>
                    <a:ln>
                      <a:noFill/>
                    </a:ln>
                  </pic:spPr>
                </pic:pic>
              </a:graphicData>
            </a:graphic>
          </wp:anchor>
        </w:drawing>
      </w:r>
    </w:p>
    <w:p w14:paraId="5B1FE7FD" w14:textId="77777777" w:rsidR="00271FA2" w:rsidRPr="00A013E1" w:rsidRDefault="00D35E51">
      <w:pPr>
        <w:pStyle w:val="ES-Titre3"/>
        <w:spacing w:line="240" w:lineRule="atLeast"/>
        <w:jc w:val="left"/>
        <w:rPr>
          <w:rFonts w:ascii="Times New Roman" w:hAnsi="Times New Roman" w:cs="Times New Roman"/>
          <w:lang w:val="ru-RU"/>
        </w:rPr>
      </w:pPr>
      <w:r w:rsidRPr="00A013E1">
        <w:rPr>
          <w:rFonts w:ascii="Times New Roman" w:hAnsi="Times New Roman" w:cs="Times New Roman"/>
          <w:lang w:val="ru-RU"/>
        </w:rPr>
        <w:t xml:space="preserve">Има схема – като имаме </w:t>
      </w:r>
      <w:r w:rsidRPr="00A013E1">
        <w:rPr>
          <w:rFonts w:ascii="Times New Roman" w:hAnsi="Times New Roman" w:cs="Times New Roman"/>
        </w:rPr>
        <w:t>word</w:t>
      </w:r>
      <w:r w:rsidRPr="00A013E1">
        <w:rPr>
          <w:rFonts w:ascii="Times New Roman" w:hAnsi="Times New Roman" w:cs="Times New Roman"/>
          <w:lang w:val="ru-RU"/>
        </w:rPr>
        <w:t xml:space="preserve"> </w:t>
      </w:r>
      <w:r w:rsidRPr="00A013E1">
        <w:rPr>
          <w:rFonts w:ascii="Times New Roman" w:hAnsi="Times New Roman" w:cs="Times New Roman"/>
        </w:rPr>
        <w:t>file</w:t>
      </w:r>
      <w:r w:rsidRPr="00A013E1">
        <w:rPr>
          <w:rFonts w:ascii="Times New Roman" w:hAnsi="Times New Roman" w:cs="Times New Roman"/>
          <w:lang w:val="ru-RU"/>
        </w:rPr>
        <w:t xml:space="preserve"> – да се копира</w:t>
      </w:r>
    </w:p>
    <w:p w14:paraId="7213B0B2" w14:textId="77777777" w:rsidR="00271FA2" w:rsidRPr="00A013E1" w:rsidRDefault="00271FA2">
      <w:pPr>
        <w:pStyle w:val="ES-Titre3"/>
        <w:spacing w:line="240" w:lineRule="atLeast"/>
        <w:jc w:val="left"/>
        <w:rPr>
          <w:rFonts w:ascii="Times New Roman" w:hAnsi="Times New Roman" w:cs="Times New Roman"/>
          <w:lang w:val="ru-RU"/>
        </w:rPr>
      </w:pPr>
    </w:p>
    <w:p w14:paraId="786E8A0E" w14:textId="77777777" w:rsidR="00271FA2" w:rsidRPr="00A013E1" w:rsidRDefault="00271FA2">
      <w:pPr>
        <w:pStyle w:val="ES-Titre3"/>
        <w:spacing w:line="240" w:lineRule="atLeast"/>
        <w:jc w:val="left"/>
        <w:rPr>
          <w:rFonts w:ascii="Times New Roman" w:hAnsi="Times New Roman" w:cs="Times New Roman"/>
          <w:lang w:val="ru-RU"/>
        </w:rPr>
      </w:pPr>
    </w:p>
    <w:p w14:paraId="43B342C8" w14:textId="77777777" w:rsidR="00271FA2" w:rsidRPr="00A013E1" w:rsidRDefault="00271FA2">
      <w:pPr>
        <w:pStyle w:val="ES-Titre3"/>
        <w:spacing w:line="240" w:lineRule="atLeast"/>
        <w:jc w:val="left"/>
        <w:rPr>
          <w:rFonts w:ascii="Times New Roman" w:hAnsi="Times New Roman" w:cs="Times New Roman"/>
          <w:lang w:val="ru-RU"/>
        </w:rPr>
      </w:pPr>
    </w:p>
    <w:p w14:paraId="4F15CAB2" w14:textId="77777777" w:rsidR="00271FA2" w:rsidRPr="00A013E1" w:rsidRDefault="00271FA2">
      <w:pPr>
        <w:pStyle w:val="ES-Titre3"/>
        <w:spacing w:line="240" w:lineRule="atLeast"/>
        <w:rPr>
          <w:rFonts w:ascii="Times New Roman" w:hAnsi="Times New Roman" w:cs="Times New Roman"/>
          <w:lang w:val="ru-RU"/>
        </w:rPr>
      </w:pPr>
    </w:p>
    <w:p w14:paraId="120DF8EA" w14:textId="77777777" w:rsidR="00271FA2" w:rsidRPr="00A013E1" w:rsidRDefault="00271FA2">
      <w:pPr>
        <w:pStyle w:val="ES-Titre3"/>
        <w:spacing w:line="240" w:lineRule="atLeast"/>
        <w:rPr>
          <w:rFonts w:ascii="Times New Roman" w:hAnsi="Times New Roman" w:cs="Times New Roman"/>
          <w:lang w:val="ru-RU"/>
        </w:rPr>
      </w:pPr>
    </w:p>
    <w:p w14:paraId="3D12F237" w14:textId="77777777" w:rsidR="00271FA2" w:rsidRPr="00A013E1" w:rsidRDefault="00271FA2">
      <w:pPr>
        <w:pStyle w:val="ES-Titre3"/>
        <w:spacing w:line="240" w:lineRule="atLeast"/>
        <w:rPr>
          <w:rFonts w:ascii="Times New Roman" w:hAnsi="Times New Roman" w:cs="Times New Roman"/>
          <w:lang w:val="ru-RU"/>
        </w:rPr>
      </w:pPr>
    </w:p>
    <w:p w14:paraId="1AE2ED38" w14:textId="77777777" w:rsidR="00271FA2" w:rsidRPr="00A013E1" w:rsidRDefault="00271FA2">
      <w:pPr>
        <w:pStyle w:val="ES-Titre3"/>
        <w:spacing w:line="240" w:lineRule="atLeast"/>
        <w:rPr>
          <w:rFonts w:ascii="Times New Roman" w:hAnsi="Times New Roman" w:cs="Times New Roman"/>
          <w:lang w:val="ru-RU"/>
        </w:rPr>
      </w:pPr>
    </w:p>
    <w:p w14:paraId="0EB32A87" w14:textId="77777777" w:rsidR="00271FA2" w:rsidRPr="00A013E1" w:rsidRDefault="00271FA2">
      <w:pPr>
        <w:pStyle w:val="ES-Titre3"/>
        <w:spacing w:line="240" w:lineRule="atLeast"/>
        <w:rPr>
          <w:rFonts w:ascii="Times New Roman" w:hAnsi="Times New Roman" w:cs="Times New Roman"/>
          <w:lang w:val="ru-RU"/>
        </w:rPr>
      </w:pPr>
    </w:p>
    <w:p w14:paraId="0A7344D4" w14:textId="77777777" w:rsidR="00271FA2" w:rsidRPr="00A013E1" w:rsidRDefault="00D35E51">
      <w:pPr>
        <w:pStyle w:val="ES-Titre3"/>
        <w:spacing w:line="240" w:lineRule="atLeast"/>
        <w:ind w:left="426" w:hanging="426"/>
        <w:jc w:val="both"/>
        <w:rPr>
          <w:rFonts w:ascii="Times New Roman" w:hAnsi="Times New Roman" w:cs="Times New Roman"/>
          <w:b w:val="0"/>
          <w:lang w:val="ru-RU"/>
        </w:rPr>
      </w:pPr>
      <w:r w:rsidRPr="00A013E1">
        <w:rPr>
          <w:rFonts w:ascii="Times New Roman" w:hAnsi="Times New Roman" w:cs="Times New Roman"/>
          <w:b w:val="0"/>
          <w:lang w:val="ru-RU"/>
        </w:rPr>
        <w:t>1.3.4 Горивна клетка: енергиен преобразувател, при който чрез окисляване химическата енергия на горивото се преобразува директно в електрическа и топлинна енергия.</w:t>
      </w:r>
    </w:p>
    <w:p w14:paraId="03242CF2" w14:textId="77777777" w:rsidR="00271FA2" w:rsidRPr="00A013E1" w:rsidRDefault="00D35E51">
      <w:pPr>
        <w:pStyle w:val="ES-Titre3"/>
        <w:spacing w:line="240" w:lineRule="atLeast"/>
        <w:ind w:left="426" w:hanging="426"/>
        <w:jc w:val="both"/>
        <w:rPr>
          <w:rFonts w:ascii="Times New Roman" w:hAnsi="Times New Roman" w:cs="Times New Roman"/>
          <w:b w:val="0"/>
          <w:lang w:val="ru-RU"/>
        </w:rPr>
      </w:pPr>
      <w:r w:rsidRPr="00A013E1">
        <w:rPr>
          <w:rFonts w:ascii="Times New Roman" w:hAnsi="Times New Roman" w:cs="Times New Roman"/>
          <w:b w:val="0"/>
          <w:lang w:val="ru-RU"/>
        </w:rPr>
        <w:t>1.3.5 Реформатор: устройство за преобразуване на газообразни или течни първични горива за реформиране, което може да се използва в горивни клетки.</w:t>
      </w:r>
    </w:p>
    <w:p w14:paraId="3D0999D9" w14:textId="77777777" w:rsidR="008D2882" w:rsidRPr="00A013E1" w:rsidRDefault="008D2882">
      <w:pPr>
        <w:pStyle w:val="ES-Titre3"/>
        <w:spacing w:line="240" w:lineRule="atLeast"/>
        <w:jc w:val="both"/>
        <w:rPr>
          <w:rFonts w:ascii="Times New Roman" w:hAnsi="Times New Roman" w:cs="Times New Roman"/>
          <w:b w:val="0"/>
          <w:lang w:val="ru-RU"/>
        </w:rPr>
      </w:pPr>
    </w:p>
    <w:p w14:paraId="2B3DD589" w14:textId="64DD5CC6" w:rsidR="008D2882" w:rsidRPr="00A013E1" w:rsidRDefault="00960CB3" w:rsidP="003F4EE8">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1.3.4 </w:t>
      </w:r>
      <w:r w:rsidR="003F4EE8"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Горивна клетка: енергиен преобразувател, в който чрез окисляване химичната енергия на горивото се преобразува директно в електрическа и топлинна енергия.</w:t>
      </w:r>
    </w:p>
    <w:p w14:paraId="77FE065B" w14:textId="16160543" w:rsidR="00960CB3" w:rsidRPr="00A013E1" w:rsidRDefault="00960CB3" w:rsidP="003F4EE8">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1.3.5 </w:t>
      </w:r>
      <w:r w:rsidR="003F4EE8"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 xml:space="preserve">Реформатор: устройство за преобразуване на газообразни или течни първични горива в </w:t>
      </w:r>
      <w:r w:rsidR="007B5735" w:rsidRPr="00A013E1">
        <w:rPr>
          <w:rFonts w:ascii="Times New Roman" w:hAnsi="Times New Roman" w:cs="Times New Roman"/>
          <w:b w:val="0"/>
          <w:sz w:val="24"/>
          <w:szCs w:val="24"/>
          <w:lang w:val="ru-RU"/>
        </w:rPr>
        <w:t xml:space="preserve"> вид</w:t>
      </w:r>
      <w:r w:rsidRPr="00A013E1">
        <w:rPr>
          <w:rFonts w:ascii="Times New Roman" w:hAnsi="Times New Roman" w:cs="Times New Roman"/>
          <w:b w:val="0"/>
          <w:sz w:val="24"/>
          <w:szCs w:val="24"/>
          <w:lang w:val="ru-RU"/>
        </w:rPr>
        <w:t>, ко</w:t>
      </w:r>
      <w:r w:rsidR="007B5735" w:rsidRPr="00A013E1">
        <w:rPr>
          <w:rFonts w:ascii="Times New Roman" w:hAnsi="Times New Roman" w:cs="Times New Roman"/>
          <w:b w:val="0"/>
          <w:sz w:val="24"/>
          <w:szCs w:val="24"/>
          <w:lang w:val="ru-RU"/>
        </w:rPr>
        <w:t>й</w:t>
      </w:r>
      <w:r w:rsidRPr="00A013E1">
        <w:rPr>
          <w:rFonts w:ascii="Times New Roman" w:hAnsi="Times New Roman" w:cs="Times New Roman"/>
          <w:b w:val="0"/>
          <w:sz w:val="24"/>
          <w:szCs w:val="24"/>
          <w:lang w:val="ru-RU"/>
        </w:rPr>
        <w:t>то мо</w:t>
      </w:r>
      <w:r w:rsidR="007B5735" w:rsidRPr="00A013E1">
        <w:rPr>
          <w:rFonts w:ascii="Times New Roman" w:hAnsi="Times New Roman" w:cs="Times New Roman"/>
          <w:b w:val="0"/>
          <w:sz w:val="24"/>
          <w:szCs w:val="24"/>
          <w:lang w:val="ru-RU"/>
        </w:rPr>
        <w:t>же</w:t>
      </w:r>
      <w:r w:rsidRPr="00A013E1">
        <w:rPr>
          <w:rFonts w:ascii="Times New Roman" w:hAnsi="Times New Roman" w:cs="Times New Roman"/>
          <w:b w:val="0"/>
          <w:sz w:val="24"/>
          <w:szCs w:val="24"/>
          <w:lang w:val="ru-RU"/>
        </w:rPr>
        <w:t xml:space="preserve"> да се използва в горивни клетки.</w:t>
      </w:r>
    </w:p>
    <w:p w14:paraId="1DDCEEAC" w14:textId="04FFC548" w:rsidR="00271FA2" w:rsidRPr="00A013E1" w:rsidRDefault="00D35E51" w:rsidP="003F4EE8">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1.3.6 </w:t>
      </w:r>
      <w:r w:rsidR="003F4EE8"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Първично гориво: гориво, подавано към система с горивни клетки.</w:t>
      </w:r>
    </w:p>
    <w:p w14:paraId="3FBCFD26" w14:textId="7466C22B" w:rsidR="00271FA2" w:rsidRPr="00A013E1" w:rsidRDefault="00D35E51" w:rsidP="003F4EE8">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1.3.7 </w:t>
      </w:r>
      <w:r w:rsidR="003F4EE8"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Гориво: първично гориво или преработен продукт, с който горивната клетка се захранва за преобразуване на енергия.</w:t>
      </w:r>
    </w:p>
    <w:p w14:paraId="50488248" w14:textId="09A7AF62" w:rsidR="00271FA2" w:rsidRPr="00A013E1" w:rsidRDefault="00D35E51" w:rsidP="003F4EE8">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1.3.8 </w:t>
      </w:r>
      <w:r w:rsidR="003F4EE8"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Реформат: съдържащ водород газ, генериран в реформатора от първично гориво.</w:t>
      </w:r>
    </w:p>
    <w:p w14:paraId="08BAD814" w14:textId="3D283AFA" w:rsidR="00271FA2" w:rsidRPr="00A013E1" w:rsidRDefault="00D35E51" w:rsidP="003F4EE8">
      <w:pPr>
        <w:pStyle w:val="ES-Titre3"/>
        <w:spacing w:line="240" w:lineRule="atLeast"/>
        <w:ind w:left="709" w:hanging="709"/>
        <w:jc w:val="both"/>
        <w:rPr>
          <w:rFonts w:ascii="Times New Roman" w:hAnsi="Times New Roman" w:cs="Times New Roman"/>
          <w:b w:val="0"/>
          <w:sz w:val="24"/>
          <w:szCs w:val="24"/>
          <w:lang w:val="ru-RU"/>
        </w:rPr>
      </w:pPr>
      <w:r w:rsidRPr="00A013E1">
        <w:rPr>
          <w:rFonts w:ascii="Times New Roman" w:hAnsi="Times New Roman" w:cs="Times New Roman"/>
          <w:b w:val="0"/>
          <w:sz w:val="24"/>
          <w:szCs w:val="24"/>
          <w:lang w:val="ru-RU"/>
        </w:rPr>
        <w:t xml:space="preserve">1.3.9 </w:t>
      </w:r>
      <w:r w:rsidR="003F4EE8" w:rsidRPr="00A013E1">
        <w:rPr>
          <w:rFonts w:ascii="Times New Roman" w:hAnsi="Times New Roman" w:cs="Times New Roman"/>
          <w:b w:val="0"/>
          <w:sz w:val="24"/>
          <w:szCs w:val="24"/>
          <w:lang w:val="ru-RU"/>
        </w:rPr>
        <w:tab/>
      </w:r>
      <w:r w:rsidRPr="00A013E1">
        <w:rPr>
          <w:rFonts w:ascii="Times New Roman" w:hAnsi="Times New Roman" w:cs="Times New Roman"/>
          <w:b w:val="0"/>
          <w:sz w:val="24"/>
          <w:szCs w:val="24"/>
          <w:lang w:val="ru-RU"/>
        </w:rPr>
        <w:t>Буферен съд: устройство, съставляващо част от системата с горивна клетка за временно задържане на гориво, за да се осигури стабилната работа на системата с горивна клетка, по-специално за балансиране на потока гориво към горивна клетка.</w:t>
      </w:r>
    </w:p>
    <w:p w14:paraId="633B43C6" w14:textId="77777777" w:rsidR="002A7004" w:rsidRPr="00A013E1" w:rsidRDefault="002A7004" w:rsidP="003F4EE8">
      <w:pPr>
        <w:pStyle w:val="ES-Titre3"/>
        <w:spacing w:line="240" w:lineRule="atLeast"/>
        <w:ind w:left="709" w:hanging="709"/>
        <w:jc w:val="both"/>
        <w:rPr>
          <w:rFonts w:ascii="Times New Roman" w:hAnsi="Times New Roman" w:cs="Times New Roman"/>
          <w:b w:val="0"/>
          <w:sz w:val="24"/>
          <w:szCs w:val="24"/>
          <w:lang w:val="ru-RU"/>
        </w:rPr>
        <w:sectPr w:rsidR="002A7004" w:rsidRPr="00A013E1" w:rsidSect="00A013E1">
          <w:headerReference w:type="default" r:id="rId181"/>
          <w:headerReference w:type="first" r:id="rId182"/>
          <w:footerReference w:type="first" r:id="rId183"/>
          <w:pgSz w:w="11907" w:h="16840"/>
          <w:pgMar w:top="1134" w:right="1134" w:bottom="1134" w:left="1134" w:header="709" w:footer="709" w:gutter="0"/>
          <w:cols w:space="720"/>
          <w:titlePg/>
          <w:docGrid w:linePitch="299"/>
        </w:sectPr>
      </w:pPr>
    </w:p>
    <w:bookmarkEnd w:id="660"/>
    <w:bookmarkEnd w:id="661"/>
    <w:p w14:paraId="03003B88" w14:textId="77777777" w:rsidR="00271FA2" w:rsidRPr="00A013E1" w:rsidRDefault="00D35E51">
      <w:pPr>
        <w:pStyle w:val="Esann8let"/>
        <w:spacing w:before="0"/>
        <w:ind w:left="0" w:firstLine="0"/>
        <w:jc w:val="center"/>
        <w:rPr>
          <w:rFonts w:ascii="Times New Roman" w:hAnsi="Times New Roman" w:cs="Times New Roman"/>
          <w:b/>
          <w:lang w:val="ru-RU"/>
        </w:rPr>
      </w:pPr>
      <w:r w:rsidRPr="00A013E1">
        <w:rPr>
          <w:rFonts w:ascii="Times New Roman" w:hAnsi="Times New Roman" w:cs="Times New Roman"/>
          <w:b/>
          <w:lang w:val="ru-RU"/>
        </w:rPr>
        <w:lastRenderedPageBreak/>
        <w:t xml:space="preserve">Раздел </w:t>
      </w:r>
      <w:r w:rsidRPr="00A013E1">
        <w:rPr>
          <w:rFonts w:ascii="Times New Roman" w:hAnsi="Times New Roman" w:cs="Times New Roman"/>
          <w:b/>
        </w:rPr>
        <w:t>II</w:t>
      </w:r>
    </w:p>
    <w:p w14:paraId="3AF86FBA" w14:textId="77777777" w:rsidR="00271FA2" w:rsidRPr="00A013E1" w:rsidRDefault="00D35E51">
      <w:pPr>
        <w:pStyle w:val="Esann8let"/>
        <w:spacing w:before="0"/>
        <w:ind w:left="0" w:firstLine="0"/>
        <w:jc w:val="center"/>
        <w:rPr>
          <w:rFonts w:ascii="Times New Roman" w:hAnsi="Times New Roman" w:cs="Times New Roman"/>
          <w:b/>
          <w:lang w:val="ru-RU"/>
        </w:rPr>
      </w:pPr>
      <w:r w:rsidRPr="00A013E1">
        <w:rPr>
          <w:rFonts w:ascii="Times New Roman" w:hAnsi="Times New Roman" w:cs="Times New Roman"/>
          <w:b/>
          <w:lang w:val="ru-RU"/>
        </w:rPr>
        <w:t>Съхранение на гориво</w:t>
      </w:r>
    </w:p>
    <w:p w14:paraId="67E30990" w14:textId="77777777" w:rsidR="00271FA2" w:rsidRPr="00A013E1" w:rsidRDefault="00D35E51">
      <w:pPr>
        <w:pStyle w:val="Esann8let"/>
        <w:spacing w:before="0"/>
        <w:ind w:left="0" w:firstLine="0"/>
        <w:jc w:val="center"/>
        <w:rPr>
          <w:rFonts w:ascii="Times New Roman" w:hAnsi="Times New Roman" w:cs="Times New Roman"/>
          <w:b/>
          <w:lang w:val="ru-RU"/>
        </w:rPr>
      </w:pPr>
      <w:r w:rsidRPr="00A013E1">
        <w:rPr>
          <w:rFonts w:ascii="Times New Roman" w:hAnsi="Times New Roman" w:cs="Times New Roman"/>
          <w:b/>
          <w:lang w:val="ru-RU"/>
        </w:rPr>
        <w:t>Глава 1</w:t>
      </w:r>
    </w:p>
    <w:p w14:paraId="0BF2C5BD" w14:textId="77777777" w:rsidR="00271FA2" w:rsidRPr="00A013E1" w:rsidRDefault="00D35E51">
      <w:pPr>
        <w:pStyle w:val="Esann8let"/>
        <w:spacing w:before="0"/>
        <w:ind w:left="0" w:firstLine="0"/>
        <w:jc w:val="center"/>
        <w:rPr>
          <w:rFonts w:ascii="Times New Roman" w:hAnsi="Times New Roman" w:cs="Times New Roman"/>
          <w:b/>
          <w:lang w:val="ru-RU"/>
        </w:rPr>
      </w:pPr>
      <w:r w:rsidRPr="00A013E1">
        <w:rPr>
          <w:rFonts w:ascii="Times New Roman" w:hAnsi="Times New Roman" w:cs="Times New Roman"/>
          <w:b/>
        </w:rPr>
        <w:t>LNG</w:t>
      </w:r>
    </w:p>
    <w:p w14:paraId="7B9890C4" w14:textId="77777777" w:rsidR="00271FA2" w:rsidRPr="00A013E1" w:rsidRDefault="00271FA2">
      <w:pPr>
        <w:pStyle w:val="Esann8let"/>
        <w:spacing w:before="0"/>
        <w:ind w:left="0" w:firstLine="0"/>
        <w:jc w:val="center"/>
        <w:rPr>
          <w:rFonts w:ascii="Times New Roman" w:hAnsi="Times New Roman" w:cs="Times New Roman"/>
          <w:lang w:val="ru-RU"/>
        </w:rPr>
      </w:pPr>
    </w:p>
    <w:p w14:paraId="26F69662" w14:textId="77777777" w:rsidR="00271FA2" w:rsidRPr="00A013E1" w:rsidRDefault="00D35E51" w:rsidP="000B31AA">
      <w:pPr>
        <w:pStyle w:val="Esann8let"/>
        <w:tabs>
          <w:tab w:val="left" w:pos="851"/>
        </w:tabs>
        <w:spacing w:before="0"/>
        <w:ind w:left="0" w:firstLine="0"/>
        <w:jc w:val="both"/>
        <w:rPr>
          <w:rFonts w:ascii="Times New Roman" w:hAnsi="Times New Roman" w:cs="Times New Roman"/>
          <w:b/>
          <w:szCs w:val="24"/>
          <w:lang w:val="ru-RU"/>
        </w:rPr>
      </w:pPr>
      <w:r w:rsidRPr="00A013E1">
        <w:rPr>
          <w:rFonts w:ascii="Times New Roman" w:hAnsi="Times New Roman" w:cs="Times New Roman"/>
          <w:b/>
          <w:szCs w:val="24"/>
          <w:lang w:val="ru-RU"/>
        </w:rPr>
        <w:t xml:space="preserve">2.1.1 Система за задържане на </w:t>
      </w:r>
      <w:r w:rsidRPr="00A013E1">
        <w:rPr>
          <w:rFonts w:ascii="Times New Roman" w:hAnsi="Times New Roman" w:cs="Times New Roman"/>
          <w:b/>
          <w:szCs w:val="24"/>
        </w:rPr>
        <w:t>LNG</w:t>
      </w:r>
    </w:p>
    <w:p w14:paraId="5CF3E5B9"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 xml:space="preserve">2.1.1.1 Системата за задържане на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трябва да бъде отделена от машинните отделения или други зони с висок риск от пожар.</w:t>
      </w:r>
    </w:p>
    <w:p w14:paraId="13C0C5EC"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2.1.1.2 Резервоарите за LNG гориво се разполагат възможно най-близо до надлъжната централна линия на плавателното средство.</w:t>
      </w:r>
    </w:p>
    <w:p w14:paraId="07202A6D" w14:textId="77777777" w:rsidR="000B31AA"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 xml:space="preserve">2.1.1.3 Разстоянието между  </w:t>
      </w:r>
      <w:r w:rsidR="008F5FB2" w:rsidRPr="00A013E1">
        <w:rPr>
          <w:rFonts w:ascii="Times New Roman" w:hAnsi="Times New Roman" w:cs="Times New Roman"/>
          <w:szCs w:val="24"/>
          <w:lang w:val="ru-RU"/>
        </w:rPr>
        <w:t>корпус</w:t>
      </w:r>
      <w:r w:rsidR="006F411A" w:rsidRPr="00A013E1">
        <w:rPr>
          <w:rFonts w:ascii="Times New Roman" w:hAnsi="Times New Roman" w:cs="Times New Roman"/>
          <w:szCs w:val="24"/>
          <w:lang w:val="ru-RU"/>
        </w:rPr>
        <w:t>a</w:t>
      </w:r>
      <w:r w:rsidR="008F5FB2" w:rsidRPr="00A013E1">
        <w:rPr>
          <w:rFonts w:ascii="Times New Roman" w:hAnsi="Times New Roman" w:cs="Times New Roman"/>
          <w:szCs w:val="24"/>
          <w:lang w:val="ru-RU"/>
        </w:rPr>
        <w:t xml:space="preserve"> </w:t>
      </w:r>
      <w:r w:rsidRPr="00A013E1">
        <w:rPr>
          <w:rFonts w:ascii="Times New Roman" w:hAnsi="Times New Roman" w:cs="Times New Roman"/>
          <w:szCs w:val="24"/>
          <w:lang w:val="ru-RU"/>
        </w:rPr>
        <w:t>на плавателното средство и резервоара за LNG гориво не трябва да бъде по-малко от 1,00 m. Ако са разположени резервоари за LNG гориво:</w:t>
      </w:r>
    </w:p>
    <w:p w14:paraId="6EBFAD8F" w14:textId="3FCF19DE" w:rsidR="00271FA2" w:rsidRPr="00A013E1" w:rsidRDefault="00D35E51" w:rsidP="000B31AA">
      <w:pPr>
        <w:pStyle w:val="Esann8let"/>
        <w:tabs>
          <w:tab w:val="left" w:pos="851"/>
        </w:tabs>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 xml:space="preserve">а) под палубата плавателното средство трябва да има двоен борд и двойно дъно на мястото на резервоарите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 Ширината на двойните страни и височината на двойното дъно не трябва да бъде по-малка от 0,60 </w:t>
      </w:r>
      <w:r w:rsidRPr="00A013E1">
        <w:rPr>
          <w:rFonts w:ascii="Times New Roman" w:hAnsi="Times New Roman" w:cs="Times New Roman"/>
          <w:szCs w:val="24"/>
        </w:rPr>
        <w:t>m</w:t>
      </w:r>
      <w:r w:rsidRPr="00A013E1">
        <w:rPr>
          <w:rFonts w:ascii="Times New Roman" w:hAnsi="Times New Roman" w:cs="Times New Roman"/>
          <w:szCs w:val="24"/>
          <w:lang w:val="ru-RU"/>
        </w:rPr>
        <w:t>.</w:t>
      </w:r>
    </w:p>
    <w:p w14:paraId="4A7244E7" w14:textId="77777777" w:rsidR="00271FA2" w:rsidRPr="00A013E1" w:rsidRDefault="00D35E51" w:rsidP="000B31AA">
      <w:pPr>
        <w:pStyle w:val="Esann8let"/>
        <w:tabs>
          <w:tab w:val="left" w:pos="851"/>
        </w:tabs>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 xml:space="preserve">б) на открита палуба разстоянието е най-малко </w:t>
      </w:r>
      <w:r w:rsidRPr="00A013E1">
        <w:rPr>
          <w:rFonts w:ascii="Times New Roman" w:hAnsi="Times New Roman" w:cs="Times New Roman"/>
          <w:szCs w:val="24"/>
        </w:rPr>
        <w:t>B</w:t>
      </w:r>
      <w:r w:rsidRPr="00A013E1">
        <w:rPr>
          <w:rFonts w:ascii="Times New Roman" w:hAnsi="Times New Roman" w:cs="Times New Roman"/>
          <w:szCs w:val="24"/>
          <w:lang w:val="ru-RU"/>
        </w:rPr>
        <w:t>/5 от вертикалните равнини, определени от страните на плавателното средство.</w:t>
      </w:r>
    </w:p>
    <w:p w14:paraId="1CCA38CC" w14:textId="42C1E23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2.1.1.4 Резервоарът за LNG гориво трябва да бъде независим резервоар, проектиран в съответствие с Европейските стандарти EN 13530</w:t>
      </w:r>
      <w:r w:rsidR="008F5FB2" w:rsidRPr="00A013E1">
        <w:rPr>
          <w:rFonts w:ascii="Times New Roman" w:hAnsi="Times New Roman" w:cs="Times New Roman"/>
          <w:szCs w:val="24"/>
          <w:lang w:val="ru-RU"/>
        </w:rPr>
        <w:t>-1</w:t>
      </w:r>
      <w:r w:rsidRPr="00A013E1">
        <w:rPr>
          <w:rFonts w:ascii="Times New Roman" w:hAnsi="Times New Roman" w:cs="Times New Roman"/>
          <w:szCs w:val="24"/>
          <w:lang w:val="ru-RU"/>
        </w:rPr>
        <w:t xml:space="preserve">:2002, </w:t>
      </w:r>
      <w:r w:rsidR="008F5FB2" w:rsidRPr="00A013E1">
        <w:rPr>
          <w:rFonts w:ascii="Times New Roman" w:hAnsi="Times New Roman" w:cs="Times New Roman"/>
          <w:szCs w:val="24"/>
          <w:lang w:val="ru-RU"/>
        </w:rPr>
        <w:t xml:space="preserve"> EN 13530-2/AC : 2006, ISO 20421-1:2019 </w:t>
      </w:r>
      <w:r w:rsidRPr="00A013E1">
        <w:rPr>
          <w:rFonts w:ascii="Times New Roman" w:hAnsi="Times New Roman" w:cs="Times New Roman"/>
          <w:szCs w:val="24"/>
          <w:lang w:val="ru-RU"/>
        </w:rPr>
        <w:t>в комбинация с динамични натоварвания или IGC-</w:t>
      </w:r>
      <w:r w:rsidR="00DB5649" w:rsidRPr="00A013E1">
        <w:rPr>
          <w:rFonts w:ascii="Times New Roman" w:hAnsi="Times New Roman" w:cs="Times New Roman"/>
          <w:szCs w:val="24"/>
          <w:lang w:val="ru-RU"/>
        </w:rPr>
        <w:t xml:space="preserve">Code </w:t>
      </w:r>
      <w:r w:rsidRPr="00A013E1">
        <w:rPr>
          <w:rFonts w:ascii="Times New Roman" w:hAnsi="Times New Roman" w:cs="Times New Roman"/>
          <w:szCs w:val="24"/>
          <w:lang w:val="ru-RU"/>
        </w:rPr>
        <w:t>(резервоар тип C). Контролният орган може да приеме други еквивалентни стандарти на една от държавите членки.</w:t>
      </w:r>
    </w:p>
    <w:p w14:paraId="14F1ACA6"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2.1.1.5 Връзките на резервоара се монтират над най-високото ниво на течността в резервоарите. Контролният орган може да приеме връзки под най-високото ниво на течността.</w:t>
      </w:r>
    </w:p>
    <w:p w14:paraId="16791B2C"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2.1.1.6 Ако връзките на резервоара са под най-високото ниво на течност в резервоарите за LNG гориво, под резервоарите се поставят тави за отцеждане, които отговарят на следните изисквания:</w:t>
      </w:r>
    </w:p>
    <w:p w14:paraId="3F1429AC" w14:textId="77777777" w:rsidR="00271FA2" w:rsidRPr="00A013E1" w:rsidRDefault="00D35E51" w:rsidP="000B31AA">
      <w:pPr>
        <w:pStyle w:val="Esann8let"/>
        <w:tabs>
          <w:tab w:val="left" w:pos="851"/>
        </w:tabs>
        <w:spacing w:before="0"/>
        <w:ind w:left="720" w:hanging="11"/>
        <w:jc w:val="both"/>
        <w:rPr>
          <w:rFonts w:ascii="Times New Roman" w:hAnsi="Times New Roman" w:cs="Times New Roman"/>
          <w:szCs w:val="24"/>
          <w:lang w:val="ru-RU"/>
        </w:rPr>
      </w:pPr>
      <w:r w:rsidRPr="00A013E1">
        <w:rPr>
          <w:rFonts w:ascii="Times New Roman" w:hAnsi="Times New Roman" w:cs="Times New Roman"/>
          <w:szCs w:val="24"/>
          <w:lang w:val="ru-RU"/>
        </w:rPr>
        <w:t>а) капацитетът на ваничката за отцеждане трябва да е достатъчен, за да побере обема, който би могъл да изтече в случай на повреда на тръбната връзка;</w:t>
      </w:r>
    </w:p>
    <w:p w14:paraId="038F784A" w14:textId="77777777" w:rsidR="00271FA2" w:rsidRPr="00A013E1" w:rsidRDefault="00D35E51" w:rsidP="000B31AA">
      <w:pPr>
        <w:pStyle w:val="Esann8let"/>
        <w:tabs>
          <w:tab w:val="left" w:pos="851"/>
        </w:tabs>
        <w:spacing w:before="0"/>
        <w:ind w:left="720" w:hanging="11"/>
        <w:jc w:val="both"/>
        <w:rPr>
          <w:rFonts w:ascii="Times New Roman" w:hAnsi="Times New Roman" w:cs="Times New Roman"/>
          <w:szCs w:val="24"/>
          <w:lang w:val="ru-RU"/>
        </w:rPr>
      </w:pPr>
      <w:r w:rsidRPr="00A013E1">
        <w:rPr>
          <w:rFonts w:ascii="Times New Roman" w:hAnsi="Times New Roman" w:cs="Times New Roman"/>
          <w:szCs w:val="24"/>
          <w:lang w:val="ru-RU"/>
        </w:rPr>
        <w:t>б) материалът на ваничката за отцеждане трябва да бъде подходяща неръждаема стомана; и</w:t>
      </w:r>
    </w:p>
    <w:p w14:paraId="32066954" w14:textId="77777777" w:rsidR="00271FA2" w:rsidRPr="00A013E1" w:rsidRDefault="00D35E51" w:rsidP="000B31AA">
      <w:pPr>
        <w:pStyle w:val="Esann8let"/>
        <w:tabs>
          <w:tab w:val="left" w:pos="851"/>
        </w:tabs>
        <w:spacing w:before="0"/>
        <w:ind w:left="720" w:hanging="11"/>
        <w:jc w:val="both"/>
        <w:rPr>
          <w:rFonts w:ascii="Times New Roman" w:hAnsi="Times New Roman" w:cs="Times New Roman"/>
          <w:szCs w:val="24"/>
          <w:lang w:val="ru-RU"/>
        </w:rPr>
      </w:pPr>
      <w:r w:rsidRPr="00A013E1">
        <w:rPr>
          <w:rFonts w:ascii="Times New Roman" w:hAnsi="Times New Roman" w:cs="Times New Roman"/>
          <w:szCs w:val="24"/>
          <w:lang w:val="ru-RU"/>
        </w:rPr>
        <w:t>в) ваничката за отцеждане трябва да бъде достатъчно отделена или изолирана от конструкциите на корпуса или палубата, така че конструкциите на корпуса или палубата да не бъдат изложени на неприемливо охлаждане в случай на изтичане на LNG.</w:t>
      </w:r>
    </w:p>
    <w:p w14:paraId="3B038911"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2.1.1.7 Системата за задържане на LNG трябва да бъде снабдена с вторична бариера. Не се изисква вторична бариера за системите за задържане на LNG, където вероятността за структурни повреди и течове през първичната бариера е изключително ниска и може да бъде пренебрегната.</w:t>
      </w:r>
    </w:p>
    <w:p w14:paraId="11AE2AF1"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2.1.1.8 Ако вторичната бариера на системата за задържане на LNG е част от конструкцията на корпуса, тя може да бъде граница на резервоарното помещение, предмет на необходимите предпазни мерки срещу изтичане на криогенна течност.</w:t>
      </w:r>
    </w:p>
    <w:p w14:paraId="61B22A41"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2.1.1.9 Местоположението и конструкцията на системата за задържане на LNG и другото оборудване на откритата палуба трябва да осигуряват достатъчна вентилация. Трябва да се предотврати натрупването на изпуснат NG.</w:t>
      </w:r>
    </w:p>
    <w:p w14:paraId="0B0BDD21"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lastRenderedPageBreak/>
        <w:t>2.1.1.10 Ако кондензация и заледяване поради студени повърхности на резервоари за LNG гориво водят до проблеми с безопасността или функционални проблеми, трябва да се вземат подходящи превантивни или коригиращи мерки.</w:t>
      </w:r>
    </w:p>
    <w:p w14:paraId="612EE279"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2.1.1.11 Всеки резервоар за LNG гориво трябва да бъде снабден с поне два предпазни клапана, които могат да предотвратят свръхналягане, ако един от клапаните е затворен поради неизправност, теч или поддръжка.</w:t>
      </w:r>
    </w:p>
    <w:p w14:paraId="5EB33198"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2.1.1.12 Ако не може да се изключи изпускане на гориво във вакуумното пространство на вакуумно изолиран резервоар за LNG гориво, вакуумното пространство трябва да бъде защитено с подходящ предпазен клапан. Ако резервоарите за LNG гориво са разположени в затворени или полузатворени помещения, устройството за освобождаване на налягането трябва да бъде свързано към вентилационна система.</w:t>
      </w:r>
    </w:p>
    <w:p w14:paraId="1B8274CE"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2.1.1.13 Изпускателните отвори на предпазните клапани трябва да бъдат разположени на не по-малко от 2,00 m над палубата на разстояние не по-малко от 6,00 m от жилищните, пътническите зони и работните места, които са разположени извън трюма или товарната зона. Тази височина може да бъде намалена, когато в радиус от 1,00 m около изхода на предпазните клапани няма оборудване, не се извършва работа, знаци показват района и са взети подходящи мерки за защита на палубата.</w:t>
      </w:r>
    </w:p>
    <w:p w14:paraId="76C7BB7B"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2.1.1.14 Трябва да е възможно безопасното изпразване на резервоарите за LNG гориво, дори ако системата за LNG е изключена.</w:t>
      </w:r>
    </w:p>
    <w:p w14:paraId="677043CF"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2.1.1.15 Трябва да има възможност за продухване на газ и обезвъздушаване на резервоари за LNG гориво, включително газопроводни системи. Трябва да е възможно да се извърши инертиране с инертен газ (напр. азот или аргон) преди вентилиране със сух въздух, за да се изключи взривоопасна атмосфера в резервоарите за LNG гориво и газопроводите.</w:t>
      </w:r>
    </w:p>
    <w:p w14:paraId="58E64C37"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2.1.1.16 Налягането и температурата на резервоарите за LNG гориво трябва да се поддържат през цялото време в техните проектни граници.</w:t>
      </w:r>
    </w:p>
    <w:p w14:paraId="1606C907" w14:textId="77777777"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2.1.1.17 Ако системата за LNG е изключена, налягането в резервоара за LNG гориво трябва да се поддържа под максималното работно налягане на резервоара за LNG гориво за период от 15 дни. Приема се, че резервоарът за LNG гориво е бил напълнен до границите на пълнене съгласно 2.1.8 и че плавателното средство остава в неактивно състояние.</w:t>
      </w:r>
    </w:p>
    <w:p w14:paraId="1D5ACC5D" w14:textId="0AE2AD44" w:rsidR="00271FA2" w:rsidRPr="00A013E1" w:rsidRDefault="00D35E51" w:rsidP="000B31AA">
      <w:pPr>
        <w:pStyle w:val="Esann8let"/>
        <w:tabs>
          <w:tab w:val="left" w:pos="851"/>
        </w:tabs>
        <w:spacing w:before="0"/>
        <w:ind w:left="720" w:hanging="720"/>
        <w:jc w:val="both"/>
        <w:rPr>
          <w:rFonts w:ascii="Times New Roman" w:hAnsi="Times New Roman" w:cs="Times New Roman"/>
          <w:szCs w:val="24"/>
          <w:lang w:val="ru-RU"/>
        </w:rPr>
      </w:pPr>
      <w:r w:rsidRPr="00A013E1">
        <w:rPr>
          <w:rFonts w:ascii="Times New Roman" w:hAnsi="Times New Roman" w:cs="Times New Roman"/>
          <w:szCs w:val="24"/>
          <w:lang w:val="ru-RU"/>
        </w:rPr>
        <w:t>2.1.1.18</w:t>
      </w:r>
      <w:r w:rsidR="000B31AA" w:rsidRPr="00A013E1">
        <w:rPr>
          <w:rFonts w:ascii="Times New Roman" w:hAnsi="Times New Roman" w:cs="Times New Roman"/>
          <w:szCs w:val="24"/>
          <w:lang w:val="ru-RU"/>
        </w:rPr>
        <w:t xml:space="preserve"> </w:t>
      </w:r>
      <w:r w:rsidRPr="00A013E1">
        <w:rPr>
          <w:rFonts w:ascii="Times New Roman" w:hAnsi="Times New Roman" w:cs="Times New Roman"/>
          <w:szCs w:val="24"/>
          <w:lang w:val="ru-RU"/>
        </w:rPr>
        <w:t>Резервоарите за LNG гориво трябва да бъдат електрически свързани към конструкцията на плавателното средство.</w:t>
      </w:r>
    </w:p>
    <w:p w14:paraId="3F5ED5D1" w14:textId="77777777" w:rsidR="00271FA2" w:rsidRPr="00A013E1" w:rsidRDefault="00D35E51" w:rsidP="000B31AA">
      <w:pPr>
        <w:pStyle w:val="Esann8let"/>
        <w:tabs>
          <w:tab w:val="left" w:pos="851"/>
        </w:tabs>
        <w:spacing w:before="0"/>
        <w:ind w:left="851" w:hanging="851"/>
        <w:jc w:val="both"/>
        <w:rPr>
          <w:rFonts w:ascii="Times New Roman" w:hAnsi="Times New Roman" w:cs="Times New Roman"/>
          <w:b/>
          <w:szCs w:val="24"/>
          <w:lang w:val="ru-RU"/>
        </w:rPr>
      </w:pPr>
      <w:r w:rsidRPr="00A013E1">
        <w:rPr>
          <w:rFonts w:ascii="Times New Roman" w:hAnsi="Times New Roman" w:cs="Times New Roman"/>
          <w:b/>
          <w:szCs w:val="24"/>
          <w:lang w:val="ru-RU"/>
        </w:rPr>
        <w:t xml:space="preserve">2.1.2 Тръбопроводни системи за </w:t>
      </w:r>
      <w:r w:rsidRPr="00A013E1">
        <w:rPr>
          <w:rFonts w:ascii="Times New Roman" w:hAnsi="Times New Roman" w:cs="Times New Roman"/>
          <w:b/>
          <w:szCs w:val="24"/>
        </w:rPr>
        <w:t>LNG</w:t>
      </w:r>
      <w:r w:rsidRPr="00A013E1">
        <w:rPr>
          <w:rFonts w:ascii="Times New Roman" w:hAnsi="Times New Roman" w:cs="Times New Roman"/>
          <w:b/>
          <w:szCs w:val="24"/>
          <w:lang w:val="ru-RU"/>
        </w:rPr>
        <w:t xml:space="preserve"> и </w:t>
      </w:r>
      <w:r w:rsidRPr="00A013E1">
        <w:rPr>
          <w:rFonts w:ascii="Times New Roman" w:hAnsi="Times New Roman" w:cs="Times New Roman"/>
          <w:b/>
          <w:szCs w:val="24"/>
        </w:rPr>
        <w:t>NG</w:t>
      </w:r>
      <w:r w:rsidRPr="00A013E1">
        <w:rPr>
          <w:rFonts w:ascii="Times New Roman" w:hAnsi="Times New Roman" w:cs="Times New Roman"/>
          <w:b/>
          <w:szCs w:val="24"/>
          <w:lang w:val="ru-RU"/>
        </w:rPr>
        <w:t>.</w:t>
      </w:r>
    </w:p>
    <w:p w14:paraId="343D7816" w14:textId="6EBC583A"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 xml:space="preserve">2.1.2.1 </w:t>
      </w:r>
      <w:r w:rsidR="000B31AA" w:rsidRPr="00A013E1">
        <w:rPr>
          <w:rFonts w:ascii="Times New Roman" w:hAnsi="Times New Roman" w:cs="Times New Roman"/>
          <w:szCs w:val="24"/>
          <w:lang w:val="ru-RU"/>
        </w:rPr>
        <w:tab/>
      </w:r>
      <w:r w:rsidRPr="00A013E1">
        <w:rPr>
          <w:rFonts w:ascii="Times New Roman" w:hAnsi="Times New Roman" w:cs="Times New Roman"/>
          <w:szCs w:val="24"/>
          <w:lang w:val="ru-RU"/>
        </w:rPr>
        <w:t xml:space="preserve">Тръбопроводите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и </w:t>
      </w:r>
      <w:r w:rsidRPr="00A013E1">
        <w:rPr>
          <w:rFonts w:ascii="Times New Roman" w:hAnsi="Times New Roman" w:cs="Times New Roman"/>
          <w:szCs w:val="24"/>
        </w:rPr>
        <w:t>NG</w:t>
      </w:r>
      <w:r w:rsidRPr="00A013E1">
        <w:rPr>
          <w:rFonts w:ascii="Times New Roman" w:hAnsi="Times New Roman" w:cs="Times New Roman"/>
          <w:szCs w:val="24"/>
          <w:lang w:val="ru-RU"/>
        </w:rPr>
        <w:t xml:space="preserve"> през други машинни отделения или неопасни затворени зони на плавателното средство трябва да бъдат затворени в тръбопроводи с двойна стена или вентилирани канали.</w:t>
      </w:r>
    </w:p>
    <w:p w14:paraId="3534B092" w14:textId="77777777"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 xml:space="preserve">2.1.2.2 Тръбопроводите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и </w:t>
      </w:r>
      <w:r w:rsidRPr="00A013E1">
        <w:rPr>
          <w:rFonts w:ascii="Times New Roman" w:hAnsi="Times New Roman" w:cs="Times New Roman"/>
          <w:szCs w:val="24"/>
        </w:rPr>
        <w:t>NG</w:t>
      </w:r>
      <w:r w:rsidRPr="00A013E1">
        <w:rPr>
          <w:rFonts w:ascii="Times New Roman" w:hAnsi="Times New Roman" w:cs="Times New Roman"/>
          <w:szCs w:val="24"/>
          <w:lang w:val="ru-RU"/>
        </w:rPr>
        <w:t xml:space="preserve"> не трябва да бъдат разположени по-малко от:</w:t>
      </w:r>
    </w:p>
    <w:p w14:paraId="41669CF1" w14:textId="77777777" w:rsidR="00271FA2" w:rsidRPr="00A013E1" w:rsidRDefault="00D35E51" w:rsidP="000B31AA">
      <w:pPr>
        <w:pStyle w:val="Esann8let"/>
        <w:tabs>
          <w:tab w:val="left" w:pos="851"/>
        </w:tabs>
        <w:spacing w:before="0"/>
        <w:ind w:left="851" w:firstLine="0"/>
        <w:jc w:val="both"/>
        <w:rPr>
          <w:rFonts w:ascii="Times New Roman" w:hAnsi="Times New Roman" w:cs="Times New Roman"/>
          <w:szCs w:val="24"/>
          <w:lang w:val="ru-RU"/>
        </w:rPr>
      </w:pPr>
      <w:r w:rsidRPr="00A013E1">
        <w:rPr>
          <w:rFonts w:ascii="Times New Roman" w:hAnsi="Times New Roman" w:cs="Times New Roman"/>
          <w:szCs w:val="24"/>
          <w:lang w:val="ru-RU"/>
        </w:rPr>
        <w:t xml:space="preserve">а) 1,00 </w:t>
      </w:r>
      <w:r w:rsidRPr="00A013E1">
        <w:rPr>
          <w:rFonts w:ascii="Times New Roman" w:hAnsi="Times New Roman" w:cs="Times New Roman"/>
          <w:szCs w:val="24"/>
        </w:rPr>
        <w:t>m</w:t>
      </w:r>
      <w:r w:rsidRPr="00A013E1">
        <w:rPr>
          <w:rFonts w:ascii="Times New Roman" w:hAnsi="Times New Roman" w:cs="Times New Roman"/>
          <w:szCs w:val="24"/>
          <w:lang w:val="ru-RU"/>
        </w:rPr>
        <w:t xml:space="preserve"> от страната на плавателния съд; и</w:t>
      </w:r>
    </w:p>
    <w:p w14:paraId="189FA378" w14:textId="77777777" w:rsidR="00271FA2" w:rsidRPr="00A013E1" w:rsidRDefault="00D35E51" w:rsidP="000B31AA">
      <w:pPr>
        <w:pStyle w:val="Esann8let"/>
        <w:tabs>
          <w:tab w:val="left" w:pos="851"/>
        </w:tabs>
        <w:spacing w:before="0"/>
        <w:ind w:left="851" w:firstLine="0"/>
        <w:jc w:val="both"/>
        <w:rPr>
          <w:rFonts w:ascii="Times New Roman" w:hAnsi="Times New Roman" w:cs="Times New Roman"/>
          <w:szCs w:val="24"/>
          <w:lang w:val="ru-RU"/>
        </w:rPr>
      </w:pPr>
      <w:r w:rsidRPr="00A013E1">
        <w:rPr>
          <w:rFonts w:ascii="Times New Roman" w:hAnsi="Times New Roman" w:cs="Times New Roman"/>
          <w:szCs w:val="24"/>
          <w:lang w:val="ru-RU"/>
        </w:rPr>
        <w:t xml:space="preserve">б) 0,60 </w:t>
      </w:r>
      <w:r w:rsidRPr="00A013E1">
        <w:rPr>
          <w:rFonts w:ascii="Times New Roman" w:hAnsi="Times New Roman" w:cs="Times New Roman"/>
          <w:szCs w:val="24"/>
        </w:rPr>
        <w:t>m</w:t>
      </w:r>
      <w:r w:rsidRPr="00A013E1">
        <w:rPr>
          <w:rFonts w:ascii="Times New Roman" w:hAnsi="Times New Roman" w:cs="Times New Roman"/>
          <w:szCs w:val="24"/>
          <w:lang w:val="ru-RU"/>
        </w:rPr>
        <w:t xml:space="preserve"> от дъното.</w:t>
      </w:r>
    </w:p>
    <w:p w14:paraId="3F4EE4DF" w14:textId="22766462"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 xml:space="preserve">2.1.2.3 </w:t>
      </w:r>
      <w:r w:rsidR="000B31AA" w:rsidRPr="00A013E1">
        <w:rPr>
          <w:rFonts w:ascii="Times New Roman" w:hAnsi="Times New Roman" w:cs="Times New Roman"/>
          <w:szCs w:val="24"/>
          <w:lang w:val="ru-RU"/>
        </w:rPr>
        <w:tab/>
      </w:r>
      <w:r w:rsidRPr="00A013E1">
        <w:rPr>
          <w:rFonts w:ascii="Times New Roman" w:hAnsi="Times New Roman" w:cs="Times New Roman"/>
          <w:szCs w:val="24"/>
          <w:lang w:val="ru-RU"/>
        </w:rPr>
        <w:t xml:space="preserve">Всички тръбопроводи и всички компоненти, които могат да бъдат изолирани с клапани от системата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в състояние, пълно с течност, трябва да бъдат снабдени с предпазни клапани за налягане.</w:t>
      </w:r>
    </w:p>
    <w:p w14:paraId="50AF1448" w14:textId="4602FD9C"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 xml:space="preserve">2.1.2.4 </w:t>
      </w:r>
      <w:r w:rsidR="000B31AA" w:rsidRPr="00A013E1">
        <w:rPr>
          <w:rFonts w:ascii="Times New Roman" w:hAnsi="Times New Roman" w:cs="Times New Roman"/>
          <w:szCs w:val="24"/>
          <w:lang w:val="ru-RU"/>
        </w:rPr>
        <w:tab/>
      </w:r>
      <w:r w:rsidRPr="00A013E1">
        <w:rPr>
          <w:rFonts w:ascii="Times New Roman" w:hAnsi="Times New Roman" w:cs="Times New Roman"/>
          <w:szCs w:val="24"/>
          <w:lang w:val="ru-RU"/>
        </w:rPr>
        <w:t>Тръбопроводите трябва да бъдат електрически свързани към конструкцията на плавателното средство.</w:t>
      </w:r>
    </w:p>
    <w:p w14:paraId="67A9DCC1" w14:textId="77777777"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2.1.2.5 Нискотемпературните тръбопроводи трябва да бъдат термично изолирани от съседната конструкция на корпуса, където е необходимо. Осигурява се защита срещу случаен контакт.</w:t>
      </w:r>
    </w:p>
    <w:p w14:paraId="7A86C6B4" w14:textId="77777777"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lastRenderedPageBreak/>
        <w:t>2.1.2.6 Проектното налягане на тръбопровода не трябва да бъде по-малко от 150 % от максималното работно налягане. Максималното работно налягане на тръбопроводите вътре в помещенията не трябва да надвишава 1000 kPa. Проектното налягане на външната тръба или канал на газопроводната система не трябва да бъде по-малко от проектното налягане на вътрешната газопровода.</w:t>
      </w:r>
    </w:p>
    <w:p w14:paraId="1F81EB7E" w14:textId="77777777"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2.1.2.7 Газопроводите в защитените от ESD машинни отделения трябва да бъдат разположени възможно най-далече от електрическите инсталации и резервоарите, съдържащи запалими течности.</w:t>
      </w:r>
    </w:p>
    <w:p w14:paraId="5633FD3D" w14:textId="73A4884C" w:rsidR="00271FA2" w:rsidRPr="00A013E1" w:rsidRDefault="00D35E51" w:rsidP="000B31AA">
      <w:pPr>
        <w:pStyle w:val="Esann8let"/>
        <w:tabs>
          <w:tab w:val="left" w:pos="851"/>
        </w:tabs>
        <w:spacing w:before="0"/>
        <w:ind w:left="851" w:hanging="851"/>
        <w:jc w:val="both"/>
        <w:rPr>
          <w:rFonts w:ascii="Times New Roman" w:hAnsi="Times New Roman" w:cs="Times New Roman"/>
          <w:b/>
          <w:szCs w:val="24"/>
          <w:lang w:val="ru-RU"/>
        </w:rPr>
      </w:pPr>
      <w:r w:rsidRPr="00A013E1">
        <w:rPr>
          <w:rFonts w:ascii="Times New Roman" w:hAnsi="Times New Roman" w:cs="Times New Roman"/>
          <w:b/>
          <w:szCs w:val="24"/>
          <w:lang w:val="ru-RU"/>
        </w:rPr>
        <w:t xml:space="preserve">2.1.3 </w:t>
      </w:r>
      <w:r w:rsidR="000B31AA" w:rsidRPr="00A013E1">
        <w:rPr>
          <w:rFonts w:ascii="Times New Roman" w:hAnsi="Times New Roman" w:cs="Times New Roman"/>
          <w:b/>
          <w:szCs w:val="24"/>
          <w:lang w:val="ru-RU"/>
        </w:rPr>
        <w:tab/>
      </w:r>
      <w:r w:rsidRPr="00A013E1">
        <w:rPr>
          <w:rFonts w:ascii="Times New Roman" w:hAnsi="Times New Roman" w:cs="Times New Roman"/>
          <w:b/>
          <w:szCs w:val="24"/>
          <w:lang w:val="ru-RU"/>
        </w:rPr>
        <w:t>Дренажни системи</w:t>
      </w:r>
    </w:p>
    <w:p w14:paraId="2386FD68" w14:textId="77777777"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2.1.3.1 Дренажните системи за зони, където може да има LNG или NG, трябва:</w:t>
      </w:r>
    </w:p>
    <w:p w14:paraId="0CB43602" w14:textId="77777777" w:rsidR="00271FA2" w:rsidRPr="00A013E1" w:rsidRDefault="00D35E51" w:rsidP="000B31AA">
      <w:pPr>
        <w:pStyle w:val="Esann8let"/>
        <w:tabs>
          <w:tab w:val="left" w:pos="851"/>
        </w:tabs>
        <w:spacing w:before="0"/>
        <w:ind w:left="851" w:firstLine="0"/>
        <w:jc w:val="both"/>
        <w:rPr>
          <w:rFonts w:ascii="Times New Roman" w:hAnsi="Times New Roman" w:cs="Times New Roman"/>
          <w:szCs w:val="24"/>
          <w:lang w:val="ru-RU"/>
        </w:rPr>
      </w:pPr>
      <w:r w:rsidRPr="00A013E1">
        <w:rPr>
          <w:rFonts w:ascii="Times New Roman" w:hAnsi="Times New Roman" w:cs="Times New Roman"/>
          <w:szCs w:val="24"/>
          <w:lang w:val="ru-RU"/>
        </w:rPr>
        <w:t>а) да бъдат независими и отделени от дренажната система на зони, където не могат да присъстват LNG и NG; и</w:t>
      </w:r>
    </w:p>
    <w:p w14:paraId="7888992E" w14:textId="77777777" w:rsidR="00271FA2" w:rsidRPr="00A013E1" w:rsidRDefault="00D35E51" w:rsidP="000B31AA">
      <w:pPr>
        <w:pStyle w:val="Esann8let"/>
        <w:tabs>
          <w:tab w:val="left" w:pos="851"/>
        </w:tabs>
        <w:spacing w:before="0"/>
        <w:ind w:left="851" w:firstLine="0"/>
        <w:jc w:val="both"/>
        <w:rPr>
          <w:rFonts w:ascii="Times New Roman" w:hAnsi="Times New Roman" w:cs="Times New Roman"/>
          <w:szCs w:val="24"/>
          <w:lang w:val="ru-RU"/>
        </w:rPr>
      </w:pPr>
      <w:r w:rsidRPr="00A013E1">
        <w:rPr>
          <w:rFonts w:ascii="Times New Roman" w:hAnsi="Times New Roman" w:cs="Times New Roman"/>
          <w:szCs w:val="24"/>
          <w:lang w:val="ru-RU"/>
        </w:rPr>
        <w:t>б) да не води до помпи в неопасни зони.</w:t>
      </w:r>
    </w:p>
    <w:p w14:paraId="2B696B3B" w14:textId="77777777"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2.1.3.2 Когато системата за задържане на LNG не изисква вторична бариера, трябва да се осигурят подходящи дренажни устройства за резервоарните помещения, които не са свързани с машинните отделения. Осигуряват се средства за откриване на всяко изтичане на LNG.</w:t>
      </w:r>
    </w:p>
    <w:p w14:paraId="0643711B" w14:textId="77777777" w:rsidR="00271FA2" w:rsidRPr="00A013E1" w:rsidRDefault="00D35E51" w:rsidP="000B31AA">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2.1.3.3 Когато системата за задържане на LNG изисква вторична бариера, трябва да се осигурят подходящи дренажни устройства за справяне с всяко изтичане на LNG в пространствата между бариерите. Осигуряват се средства за откриване на такова изтичане.</w:t>
      </w:r>
    </w:p>
    <w:p w14:paraId="6456D4E6" w14:textId="23102BD4" w:rsidR="00271FA2" w:rsidRPr="00A013E1" w:rsidRDefault="00D35E51" w:rsidP="000B31AA">
      <w:pPr>
        <w:pStyle w:val="Esann8let"/>
        <w:tabs>
          <w:tab w:val="left" w:pos="851"/>
        </w:tabs>
        <w:spacing w:before="0"/>
        <w:ind w:left="0" w:firstLine="0"/>
        <w:jc w:val="both"/>
        <w:rPr>
          <w:rFonts w:ascii="Times New Roman" w:hAnsi="Times New Roman" w:cs="Times New Roman"/>
          <w:b/>
          <w:szCs w:val="24"/>
          <w:lang w:val="ru-RU"/>
        </w:rPr>
      </w:pPr>
      <w:r w:rsidRPr="00A013E1">
        <w:rPr>
          <w:rFonts w:ascii="Times New Roman" w:hAnsi="Times New Roman" w:cs="Times New Roman"/>
          <w:b/>
          <w:szCs w:val="24"/>
          <w:lang w:val="ru-RU"/>
        </w:rPr>
        <w:t xml:space="preserve">2.1.4 </w:t>
      </w:r>
      <w:r w:rsidR="001F119C" w:rsidRPr="00A013E1">
        <w:rPr>
          <w:rFonts w:ascii="Times New Roman" w:hAnsi="Times New Roman" w:cs="Times New Roman"/>
          <w:b/>
          <w:szCs w:val="24"/>
          <w:lang w:val="ru-RU"/>
        </w:rPr>
        <w:t xml:space="preserve"> Дренажни тави</w:t>
      </w:r>
    </w:p>
    <w:p w14:paraId="72326F51" w14:textId="3E6E214F" w:rsidR="00271FA2" w:rsidRPr="00A013E1" w:rsidRDefault="00D35E51" w:rsidP="000B31AA">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2.1.4.1 Подходящи тави трябва да бъдат монтирани там, където течът може да причини повреда на конструкцията на плавателния съд или където е необходимо ограничаване на зоната, която е засегната от разлив.</w:t>
      </w:r>
    </w:p>
    <w:p w14:paraId="13E5689F" w14:textId="77777777" w:rsidR="00271FA2" w:rsidRPr="00A013E1" w:rsidRDefault="00D35E51" w:rsidP="000B31AA">
      <w:pPr>
        <w:pStyle w:val="Esann8let"/>
        <w:tabs>
          <w:tab w:val="left" w:pos="851"/>
        </w:tabs>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2.1.5 Разположение на входове и други отвори</w:t>
      </w:r>
    </w:p>
    <w:p w14:paraId="62EB4858" w14:textId="77777777" w:rsidR="00271FA2" w:rsidRPr="00A013E1" w:rsidRDefault="00D35E51" w:rsidP="000B31AA">
      <w:pPr>
        <w:pStyle w:val="Esann8let"/>
        <w:tabs>
          <w:tab w:val="left" w:pos="709"/>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2.1.5.1 Входове и други отвори от неопасна зона към опасна зона трябва да бъдат разрешени само до степента, необходима по оперативни причини.</w:t>
      </w:r>
    </w:p>
    <w:p w14:paraId="774334BA" w14:textId="77777777" w:rsidR="00271FA2" w:rsidRPr="00A013E1" w:rsidRDefault="00D35E51" w:rsidP="000B31AA">
      <w:pPr>
        <w:pStyle w:val="Esann8let"/>
        <w:tabs>
          <w:tab w:val="left" w:pos="709"/>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2.1.5.2 За входове и отвори към неопасни зони в рамките на 6,00 </w:t>
      </w:r>
      <w:r w:rsidRPr="00A013E1">
        <w:rPr>
          <w:rFonts w:ascii="Times New Roman" w:hAnsi="Times New Roman" w:cs="Times New Roman"/>
          <w:szCs w:val="24"/>
        </w:rPr>
        <w:t>m</w:t>
      </w:r>
      <w:r w:rsidRPr="00A013E1">
        <w:rPr>
          <w:rFonts w:ascii="Times New Roman" w:hAnsi="Times New Roman" w:cs="Times New Roman"/>
          <w:szCs w:val="24"/>
          <w:lang w:val="ru-RU"/>
        </w:rPr>
        <w:t xml:space="preserve"> от системата за задържане на </w:t>
      </w:r>
      <w:r w:rsidRPr="00A013E1">
        <w:rPr>
          <w:rFonts w:ascii="Times New Roman" w:hAnsi="Times New Roman" w:cs="Times New Roman"/>
          <w:szCs w:val="24"/>
        </w:rPr>
        <w:t>LNG</w:t>
      </w:r>
      <w:r w:rsidRPr="00A013E1">
        <w:rPr>
          <w:rFonts w:ascii="Times New Roman" w:hAnsi="Times New Roman" w:cs="Times New Roman"/>
          <w:szCs w:val="24"/>
          <w:lang w:val="ru-RU"/>
        </w:rPr>
        <w:t>, системата за подготовка на газа или изхода на предпазен клапан, трябва да бъде осигурен подходящ въздушен шлюз.</w:t>
      </w:r>
    </w:p>
    <w:p w14:paraId="684ABED3" w14:textId="22009D81" w:rsidR="00271FA2" w:rsidRPr="00A013E1" w:rsidRDefault="00D35E51" w:rsidP="000B31AA">
      <w:pPr>
        <w:pStyle w:val="Esann8let"/>
        <w:tabs>
          <w:tab w:val="left" w:pos="709"/>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2.1.5.3 Въздушните шлюзове трябва да бъдат механично вентилирани при свръхналягане спрямо съседната опасна зона. Вратите трябва да са самозатварящи се</w:t>
      </w:r>
      <w:r w:rsidR="00BB3F9E" w:rsidRPr="00A013E1">
        <w:rPr>
          <w:rFonts w:ascii="Times New Roman" w:hAnsi="Times New Roman" w:cs="Times New Roman"/>
          <w:szCs w:val="24"/>
          <w:lang w:val="ru-RU"/>
        </w:rPr>
        <w:t xml:space="preserve"> и да не са оборудвани с устройства за задържане.</w:t>
      </w:r>
    </w:p>
    <w:p w14:paraId="16879D37" w14:textId="77777777" w:rsidR="00271FA2" w:rsidRPr="00A013E1" w:rsidRDefault="00D35E51" w:rsidP="000B31AA">
      <w:pPr>
        <w:pStyle w:val="Esann8let"/>
        <w:tabs>
          <w:tab w:val="left" w:pos="709"/>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2.1.5.4 Въздушните шлюзове трябва да бъдат проектирани по такъв начин, че да не може да се отделя газ в неопасни зони в случай на най-критичните събития в опасните пространства, разделени от въздушните шлюзове. Събитията се оценяват в оценката на риска съгласно член 30.04.</w:t>
      </w:r>
    </w:p>
    <w:p w14:paraId="6BA7046B" w14:textId="77777777" w:rsidR="00271FA2" w:rsidRPr="00A013E1" w:rsidRDefault="00D35E51" w:rsidP="000B31AA">
      <w:pPr>
        <w:pStyle w:val="Esann8let"/>
        <w:tabs>
          <w:tab w:val="left" w:pos="709"/>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2.1.5.5 Въздушните шлюзове трябва да са свободни от препятствия, да осигуряват лесно преминаване и да не се използват за други цели.</w:t>
      </w:r>
    </w:p>
    <w:p w14:paraId="01617AFB" w14:textId="46B763E7" w:rsidR="002A2D5C" w:rsidRPr="00A013E1" w:rsidRDefault="00D35E51" w:rsidP="000B31AA">
      <w:pPr>
        <w:tabs>
          <w:tab w:val="left" w:pos="709"/>
        </w:tabs>
        <w:ind w:left="709" w:hanging="709"/>
        <w:rPr>
          <w:rFonts w:ascii="Times New Roman" w:hAnsi="Times New Roman" w:cs="Times New Roman"/>
          <w:lang w:val="ru-RU"/>
        </w:rPr>
      </w:pPr>
      <w:r w:rsidRPr="00A013E1">
        <w:rPr>
          <w:rFonts w:ascii="Times New Roman" w:hAnsi="Times New Roman" w:cs="Times New Roman"/>
          <w:lang w:val="ru-RU"/>
        </w:rPr>
        <w:t xml:space="preserve">2.1.5.6 </w:t>
      </w:r>
      <w:r w:rsidR="002A2D5C" w:rsidRPr="00A013E1">
        <w:rPr>
          <w:rFonts w:ascii="Times New Roman" w:hAnsi="Times New Roman" w:cs="Times New Roman"/>
          <w:lang w:val="ru-RU"/>
        </w:rPr>
        <w:t>Оптична и звукова аларма трябва да се подава от двете страни на въздушния шлюз, ако повече от една врата не е затворена или ако се открие газ във въздушния шлюз.</w:t>
      </w:r>
    </w:p>
    <w:p w14:paraId="053312BB" w14:textId="6B9A0E65" w:rsidR="00271FA2" w:rsidRPr="00A013E1" w:rsidRDefault="00D35E51" w:rsidP="000B31AA">
      <w:pPr>
        <w:pStyle w:val="Esann8let"/>
        <w:tabs>
          <w:tab w:val="left" w:pos="851"/>
        </w:tabs>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 xml:space="preserve">2.1.6 </w:t>
      </w:r>
      <w:r w:rsidR="000B31AA" w:rsidRPr="00A013E1">
        <w:rPr>
          <w:rFonts w:ascii="Times New Roman" w:hAnsi="Times New Roman" w:cs="Times New Roman"/>
          <w:b/>
          <w:szCs w:val="24"/>
          <w:lang w:val="ru-RU"/>
        </w:rPr>
        <w:tab/>
      </w:r>
      <w:r w:rsidRPr="00A013E1">
        <w:rPr>
          <w:rFonts w:ascii="Times New Roman" w:hAnsi="Times New Roman" w:cs="Times New Roman"/>
          <w:b/>
          <w:szCs w:val="24"/>
          <w:lang w:val="ru-RU"/>
        </w:rPr>
        <w:t>Вентилационни системи</w:t>
      </w:r>
    </w:p>
    <w:p w14:paraId="136234B0" w14:textId="77777777" w:rsidR="00271FA2" w:rsidRPr="00A013E1" w:rsidRDefault="00D35E51" w:rsidP="000B31AA">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2.1.6.1 Вентилаторите, използвани за вентилация на опасни пространства, трябва да бъдат от сертифициран безопасен тип.</w:t>
      </w:r>
    </w:p>
    <w:p w14:paraId="398C0E3B" w14:textId="77777777" w:rsidR="00271FA2"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lastRenderedPageBreak/>
        <w:t>2.1.6.2 Вентилаторите, задвижващи електрически двигател, трябва да отговарят на изискваната защита от експлозия в зоната, където са инсталирани.</w:t>
      </w:r>
    </w:p>
    <w:p w14:paraId="4D0AB7CD" w14:textId="77777777" w:rsidR="00271FA2"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2.1.6.3 Трябва да се задейства оптична и звукова аларма в рулевата рубка или на друго място с постоянен персонал в случай на загуба на необходимия вентилационен капацитет.</w:t>
      </w:r>
    </w:p>
    <w:p w14:paraId="2F3A04D9" w14:textId="77777777" w:rsidR="00271FA2"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2.1.6.4 Всеки тръбопровод, използван за вентилация на опасни пространства, трябва да бъде отделен от този, използван за вентилация на неопасни пространства.</w:t>
      </w:r>
    </w:p>
    <w:p w14:paraId="43EB4153" w14:textId="4CEE2EEB" w:rsidR="00A93B23"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2.1.6.5 </w:t>
      </w:r>
      <w:r w:rsidR="00A93B23" w:rsidRPr="00A013E1">
        <w:rPr>
          <w:rFonts w:ascii="Times New Roman" w:hAnsi="Times New Roman" w:cs="Times New Roman"/>
          <w:szCs w:val="24"/>
          <w:lang w:val="ru-RU"/>
        </w:rPr>
        <w:t>Вентилационните системи, необходими за избягване на експлозивна атмосфера, трябва да имат най-малко два вентилатора с независимо електрозахранване, всеки от които с достатъчна мощност.</w:t>
      </w:r>
    </w:p>
    <w:p w14:paraId="17D8530B" w14:textId="77777777" w:rsidR="00271FA2"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2.1.6.6 Въздухът за вентилация на опасни помещения трябва да се взема от неопасни зони.</w:t>
      </w:r>
    </w:p>
    <w:p w14:paraId="60F69740" w14:textId="77777777" w:rsidR="00271FA2"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2.1.6.7 Въздухът за вентилация на неопасни помещения трябва да се взема от неопасни зони, които са разположени най-малко на 1,50 </w:t>
      </w:r>
      <w:r w:rsidRPr="00A013E1">
        <w:rPr>
          <w:rFonts w:ascii="Times New Roman" w:hAnsi="Times New Roman" w:cs="Times New Roman"/>
          <w:szCs w:val="24"/>
        </w:rPr>
        <w:t>m</w:t>
      </w:r>
      <w:r w:rsidRPr="00A013E1">
        <w:rPr>
          <w:rFonts w:ascii="Times New Roman" w:hAnsi="Times New Roman" w:cs="Times New Roman"/>
          <w:szCs w:val="24"/>
          <w:lang w:val="ru-RU"/>
        </w:rPr>
        <w:t xml:space="preserve"> от границите на всяка опасна зона.</w:t>
      </w:r>
    </w:p>
    <w:p w14:paraId="6F154C50" w14:textId="77777777" w:rsidR="00271FA2"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2.1.6.8 Когато входният канал преминава през опасно пространство, каналът трябва да има свръхналягане спрямо това пространство. Не се изисква свръхналягане, ако е гарантирано, че газовете не могат да изтекат в канала.</w:t>
      </w:r>
    </w:p>
    <w:p w14:paraId="1F1D7FA4" w14:textId="5F2561D9" w:rsidR="00271FA2" w:rsidRPr="00A013E1" w:rsidRDefault="000B31AA"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ab/>
      </w:r>
      <w:r w:rsidR="00D35E51" w:rsidRPr="00A013E1">
        <w:rPr>
          <w:rFonts w:ascii="Times New Roman" w:hAnsi="Times New Roman" w:cs="Times New Roman"/>
          <w:szCs w:val="24"/>
          <w:lang w:val="ru-RU"/>
        </w:rPr>
        <w:t>Когато изходящият тръбопровод от опасно пространство минава през неопасно помещение, тръбопроводът трябва да има подналягане спрямо това пространство. Подналягането не се изисква, когато структурните мерки на канала гарантират, че газовете не могат да изтекат в помещението.</w:t>
      </w:r>
    </w:p>
    <w:p w14:paraId="49B683AE" w14:textId="77777777" w:rsidR="00271FA2"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2.1.6.9 Отворите за изпускане на въздух от опасни пространства трябва да бъдат разположени в открита зона, която има същия или по-нисък риск от опасност от вентилираното пространство.</w:t>
      </w:r>
    </w:p>
    <w:p w14:paraId="79E68086" w14:textId="77777777" w:rsidR="00271FA2"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2.1.6.10 Отворите за изпускане на въздух от неопасни пространства трябва да бъдат разположени извън опасните пространства.</w:t>
      </w:r>
    </w:p>
    <w:p w14:paraId="1ADD9E7A" w14:textId="77777777" w:rsidR="00271FA2" w:rsidRPr="00A013E1" w:rsidRDefault="00D35E51" w:rsidP="005C5870">
      <w:pPr>
        <w:pStyle w:val="Esann8let"/>
        <w:tabs>
          <w:tab w:val="left" w:pos="851"/>
        </w:tabs>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2.1.6.11 В затворени помещения вентилационните изпускателни канали трябва да бъдат разположени в горната част на тези помещения. Входните отвори за въздух трябва да бъдат разположени на дъното.</w:t>
      </w:r>
    </w:p>
    <w:p w14:paraId="4315634B" w14:textId="77777777" w:rsidR="00271FA2" w:rsidRPr="00A013E1" w:rsidRDefault="00D35E51" w:rsidP="005C5870">
      <w:pPr>
        <w:pStyle w:val="Esann8let"/>
        <w:tabs>
          <w:tab w:val="left" w:pos="851"/>
        </w:tabs>
        <w:spacing w:before="0"/>
        <w:ind w:left="851" w:hanging="851"/>
        <w:jc w:val="both"/>
        <w:rPr>
          <w:rFonts w:ascii="Times New Roman" w:hAnsi="Times New Roman" w:cs="Times New Roman"/>
          <w:b/>
          <w:szCs w:val="24"/>
          <w:lang w:val="ru-RU"/>
        </w:rPr>
      </w:pPr>
      <w:r w:rsidRPr="00A013E1">
        <w:rPr>
          <w:rFonts w:ascii="Times New Roman" w:hAnsi="Times New Roman" w:cs="Times New Roman"/>
          <w:b/>
          <w:szCs w:val="24"/>
          <w:lang w:val="ru-RU"/>
        </w:rPr>
        <w:t xml:space="preserve">2.1.7 Бункерна система за </w:t>
      </w:r>
      <w:r w:rsidRPr="00A013E1">
        <w:rPr>
          <w:rFonts w:ascii="Times New Roman" w:hAnsi="Times New Roman" w:cs="Times New Roman"/>
          <w:b/>
          <w:szCs w:val="24"/>
        </w:rPr>
        <w:t>LNG</w:t>
      </w:r>
    </w:p>
    <w:p w14:paraId="5B8637DC" w14:textId="1AF22D4C" w:rsidR="008F4629" w:rsidRPr="00A013E1" w:rsidRDefault="00D35E51" w:rsidP="005C5870">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 xml:space="preserve">2.1.7.1 </w:t>
      </w:r>
      <w:r w:rsidR="008F4629" w:rsidRPr="00A013E1">
        <w:rPr>
          <w:rFonts w:ascii="Times New Roman" w:hAnsi="Times New Roman" w:cs="Times New Roman"/>
          <w:szCs w:val="24"/>
          <w:lang w:val="ru-RU"/>
        </w:rPr>
        <w:t xml:space="preserve">Бункерната система за </w:t>
      </w:r>
      <w:r w:rsidR="008F4629" w:rsidRPr="00A013E1">
        <w:rPr>
          <w:rFonts w:ascii="Times New Roman" w:hAnsi="Times New Roman" w:cs="Times New Roman"/>
          <w:szCs w:val="24"/>
        </w:rPr>
        <w:t>LNG</w:t>
      </w:r>
      <w:r w:rsidR="008F4629" w:rsidRPr="00A013E1">
        <w:rPr>
          <w:rFonts w:ascii="Times New Roman" w:hAnsi="Times New Roman" w:cs="Times New Roman"/>
          <w:szCs w:val="24"/>
          <w:lang w:val="ru-RU"/>
        </w:rPr>
        <w:t xml:space="preserve"> трябва да бъде разположена по такъв начин, че</w:t>
      </w:r>
    </w:p>
    <w:p w14:paraId="4719C8A4" w14:textId="02F85F35" w:rsidR="008F4629" w:rsidRPr="00A013E1" w:rsidRDefault="008F4629" w:rsidP="005C5870">
      <w:pPr>
        <w:tabs>
          <w:tab w:val="left" w:pos="851"/>
        </w:tabs>
        <w:ind w:left="851" w:hanging="142"/>
        <w:jc w:val="both"/>
        <w:rPr>
          <w:rFonts w:ascii="Times New Roman" w:hAnsi="Times New Roman" w:cs="Times New Roman"/>
          <w:lang w:val="ru-RU"/>
        </w:rPr>
      </w:pPr>
      <w:r w:rsidRPr="00A013E1">
        <w:rPr>
          <w:rFonts w:ascii="Times New Roman" w:hAnsi="Times New Roman" w:cs="Times New Roman"/>
          <w:lang w:val="ru-RU"/>
        </w:rPr>
        <w:t xml:space="preserve">а) </w:t>
      </w:r>
      <w:r w:rsidR="008E6E23" w:rsidRPr="00A013E1">
        <w:rPr>
          <w:rFonts w:ascii="Times New Roman" w:hAnsi="Times New Roman" w:cs="Times New Roman"/>
          <w:lang w:val="ru-RU"/>
        </w:rPr>
        <w:t xml:space="preserve">да </w:t>
      </w:r>
      <w:r w:rsidRPr="00A013E1">
        <w:rPr>
          <w:rFonts w:ascii="Times New Roman" w:hAnsi="Times New Roman" w:cs="Times New Roman"/>
          <w:lang w:val="ru-RU"/>
        </w:rPr>
        <w:t xml:space="preserve">не се отделя газ в атмосферата по време на пълнене на резервоари за </w:t>
      </w:r>
      <w:r w:rsidRPr="00A013E1">
        <w:rPr>
          <w:rFonts w:ascii="Times New Roman" w:hAnsi="Times New Roman" w:cs="Times New Roman"/>
        </w:rPr>
        <w:t>LNG</w:t>
      </w:r>
      <w:r w:rsidRPr="00A013E1">
        <w:rPr>
          <w:rFonts w:ascii="Times New Roman" w:hAnsi="Times New Roman" w:cs="Times New Roman"/>
          <w:lang w:val="ru-RU"/>
        </w:rPr>
        <w:t xml:space="preserve"> гориво, и</w:t>
      </w:r>
    </w:p>
    <w:p w14:paraId="43330DA0" w14:textId="6DF19ECA" w:rsidR="008F4629" w:rsidRPr="00A013E1" w:rsidRDefault="008F4629" w:rsidP="005C5870">
      <w:pPr>
        <w:tabs>
          <w:tab w:val="left" w:pos="851"/>
        </w:tabs>
        <w:ind w:left="851" w:hanging="142"/>
        <w:jc w:val="both"/>
        <w:rPr>
          <w:rFonts w:ascii="Times New Roman" w:hAnsi="Times New Roman" w:cs="Times New Roman"/>
          <w:strike/>
          <w:lang w:val="ru-RU"/>
        </w:rPr>
      </w:pPr>
      <w:r w:rsidRPr="00A013E1">
        <w:rPr>
          <w:rFonts w:ascii="Times New Roman" w:hAnsi="Times New Roman" w:cs="Times New Roman"/>
          <w:lang w:val="ru-RU"/>
        </w:rPr>
        <w:t xml:space="preserve">б) количеството газ, отделяно при свързване, разкачване или прочистване на маркучите, </w:t>
      </w:r>
      <w:r w:rsidR="00C54AD2" w:rsidRPr="00A013E1">
        <w:rPr>
          <w:rFonts w:ascii="Times New Roman" w:hAnsi="Times New Roman" w:cs="Times New Roman"/>
          <w:lang w:val="ru-RU"/>
        </w:rPr>
        <w:t xml:space="preserve">да </w:t>
      </w:r>
      <w:r w:rsidRPr="00A013E1">
        <w:rPr>
          <w:rFonts w:ascii="Times New Roman" w:hAnsi="Times New Roman" w:cs="Times New Roman"/>
          <w:lang w:val="ru-RU"/>
        </w:rPr>
        <w:t>е сведено до минимум.</w:t>
      </w:r>
    </w:p>
    <w:p w14:paraId="189E88FF" w14:textId="083063B5" w:rsidR="00271FA2" w:rsidRPr="00A013E1" w:rsidRDefault="00D35E51" w:rsidP="005C5870">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 xml:space="preserve">2.1.7.2 </w:t>
      </w:r>
      <w:r w:rsidR="005C5870" w:rsidRPr="00A013E1">
        <w:rPr>
          <w:rFonts w:ascii="Times New Roman" w:hAnsi="Times New Roman" w:cs="Times New Roman"/>
          <w:szCs w:val="24"/>
          <w:lang w:val="ru-RU"/>
        </w:rPr>
        <w:tab/>
      </w:r>
      <w:r w:rsidRPr="00A013E1">
        <w:rPr>
          <w:rFonts w:ascii="Times New Roman" w:hAnsi="Times New Roman" w:cs="Times New Roman"/>
          <w:szCs w:val="24"/>
          <w:lang w:val="ru-RU"/>
        </w:rPr>
        <w:t>Бункерната станция и всички клапани, използвани за бункероване, трябва да бъдат разположени на откритата палуба, така че да се осигури достатъчна естествена вентилация.</w:t>
      </w:r>
    </w:p>
    <w:p w14:paraId="14FA5842" w14:textId="094D4734" w:rsidR="00271FA2" w:rsidRPr="00A013E1" w:rsidRDefault="00D35E51" w:rsidP="005C5870">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 xml:space="preserve">2.1.7.3 </w:t>
      </w:r>
      <w:r w:rsidR="005C5870" w:rsidRPr="00A013E1">
        <w:rPr>
          <w:rFonts w:ascii="Times New Roman" w:hAnsi="Times New Roman" w:cs="Times New Roman"/>
          <w:szCs w:val="24"/>
          <w:lang w:val="ru-RU"/>
        </w:rPr>
        <w:tab/>
      </w:r>
      <w:r w:rsidRPr="00A013E1">
        <w:rPr>
          <w:rFonts w:ascii="Times New Roman" w:hAnsi="Times New Roman" w:cs="Times New Roman"/>
          <w:szCs w:val="24"/>
          <w:lang w:val="ru-RU"/>
        </w:rPr>
        <w:t xml:space="preserve">Бункерната станция трябва да бъде разположена и подредена по такъв начин, че всяка повреда на газопровода да не причинява повреда на системата за задържане на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на плавателното средство.</w:t>
      </w:r>
    </w:p>
    <w:p w14:paraId="6318A99A" w14:textId="77777777" w:rsidR="00271FA2" w:rsidRPr="00A013E1" w:rsidRDefault="00D35E51" w:rsidP="005C5870">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2.1.7.4 Трябва да се осигурят подходящи средства за освобождаване на налягането и отстраняване на течното съдържание от смукателите на помпата и тръбопроводите на бункера.</w:t>
      </w:r>
    </w:p>
    <w:p w14:paraId="442F59AE" w14:textId="77777777" w:rsidR="00271FA2" w:rsidRPr="00A013E1" w:rsidRDefault="00D35E51" w:rsidP="005C5870">
      <w:pPr>
        <w:pStyle w:val="Esann8let"/>
        <w:tabs>
          <w:tab w:val="left" w:pos="851"/>
        </w:tabs>
        <w:spacing w:before="0"/>
        <w:ind w:left="851" w:hanging="851"/>
        <w:jc w:val="both"/>
        <w:rPr>
          <w:rFonts w:ascii="Times New Roman" w:hAnsi="Times New Roman" w:cs="Times New Roman"/>
          <w:szCs w:val="24"/>
          <w:lang w:val="ru-RU"/>
        </w:rPr>
      </w:pPr>
      <w:r w:rsidRPr="00A013E1">
        <w:rPr>
          <w:rFonts w:ascii="Times New Roman" w:hAnsi="Times New Roman" w:cs="Times New Roman"/>
          <w:szCs w:val="24"/>
          <w:lang w:val="ru-RU"/>
        </w:rPr>
        <w:t xml:space="preserve">2.1.7.5 Маркучите, използвани за бункероване на </w:t>
      </w:r>
      <w:r w:rsidRPr="00A013E1">
        <w:rPr>
          <w:rFonts w:ascii="Times New Roman" w:hAnsi="Times New Roman" w:cs="Times New Roman"/>
          <w:szCs w:val="24"/>
        </w:rPr>
        <w:t>LNG</w:t>
      </w:r>
      <w:r w:rsidRPr="00A013E1">
        <w:rPr>
          <w:rFonts w:ascii="Times New Roman" w:hAnsi="Times New Roman" w:cs="Times New Roman"/>
          <w:szCs w:val="24"/>
          <w:lang w:val="ru-RU"/>
        </w:rPr>
        <w:t>, трябва да бъдат:</w:t>
      </w:r>
    </w:p>
    <w:p w14:paraId="67902ECB" w14:textId="77777777" w:rsidR="00271FA2" w:rsidRPr="00A013E1" w:rsidRDefault="00D35E51" w:rsidP="005C5870">
      <w:pPr>
        <w:pStyle w:val="Esann8let"/>
        <w:tabs>
          <w:tab w:val="left" w:pos="851"/>
        </w:tabs>
        <w:spacing w:before="0"/>
        <w:ind w:left="851" w:hanging="142"/>
        <w:jc w:val="both"/>
        <w:rPr>
          <w:rFonts w:ascii="Times New Roman" w:hAnsi="Times New Roman" w:cs="Times New Roman"/>
          <w:szCs w:val="24"/>
          <w:lang w:val="ru-RU"/>
        </w:rPr>
      </w:pPr>
      <w:r w:rsidRPr="00A013E1">
        <w:rPr>
          <w:rFonts w:ascii="Times New Roman" w:hAnsi="Times New Roman" w:cs="Times New Roman"/>
          <w:szCs w:val="24"/>
          <w:lang w:val="ru-RU"/>
        </w:rPr>
        <w:t xml:space="preserve">а) съвместими с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по-специално подходящи за температурата на </w:t>
      </w:r>
      <w:r w:rsidRPr="00A013E1">
        <w:rPr>
          <w:rFonts w:ascii="Times New Roman" w:hAnsi="Times New Roman" w:cs="Times New Roman"/>
          <w:szCs w:val="24"/>
        </w:rPr>
        <w:t>LNG</w:t>
      </w:r>
      <w:r w:rsidRPr="00A013E1">
        <w:rPr>
          <w:rFonts w:ascii="Times New Roman" w:hAnsi="Times New Roman" w:cs="Times New Roman"/>
          <w:szCs w:val="24"/>
          <w:lang w:val="ru-RU"/>
        </w:rPr>
        <w:t>; и</w:t>
      </w:r>
    </w:p>
    <w:p w14:paraId="215FFFA2"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б) проектирани за налягане на разрушаване не по-малко от пет пъти максималното налягане, на което могат да бъдат подложени по време на бункероване.</w:t>
      </w:r>
    </w:p>
    <w:p w14:paraId="7ADEB42D"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lastRenderedPageBreak/>
        <w:t>2.1.7.6 Бункеровият колектор трябва да бъде проектиран да издържа на нормални механични натоварвания по време на бункероване. Връзките трябва да бъдат от тип сухо разединяване и оборудвани с подходящи допълнителни безопасни сухи прекъсващи съединители.</w:t>
      </w:r>
    </w:p>
    <w:p w14:paraId="4CB329BE"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2.1.7.7 Трябва да е възможно да се управлява главният бункерен клапан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по време на операциите по бункероване от безопасна контролна станция на плавателното средство.</w:t>
      </w:r>
    </w:p>
    <w:p w14:paraId="1055408F"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2.1.7.8 Бункерните тръбопроводи трябва да бъдат организирани за инертиране и освобождаване на газ.</w:t>
      </w:r>
    </w:p>
    <w:p w14:paraId="319A5BF5" w14:textId="0C2E1366"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2.1.7.9 Всички компоненти на бункерната система трябва да са в съответствие с Европейски стандарт </w:t>
      </w:r>
      <w:r w:rsidRPr="00A013E1">
        <w:rPr>
          <w:rFonts w:ascii="Times New Roman" w:hAnsi="Times New Roman" w:cs="Times New Roman"/>
          <w:szCs w:val="24"/>
        </w:rPr>
        <w:t>EN</w:t>
      </w:r>
      <w:r w:rsidRPr="00A013E1">
        <w:rPr>
          <w:rFonts w:ascii="Times New Roman" w:hAnsi="Times New Roman" w:cs="Times New Roman"/>
          <w:szCs w:val="24"/>
          <w:lang w:val="ru-RU"/>
        </w:rPr>
        <w:t xml:space="preserve"> 20519:</w:t>
      </w:r>
      <w:r w:rsidR="002B1E8E" w:rsidRPr="00A013E1">
        <w:rPr>
          <w:rFonts w:ascii="Times New Roman" w:hAnsi="Times New Roman" w:cs="Times New Roman"/>
          <w:szCs w:val="24"/>
          <w:lang w:val="ru-RU"/>
        </w:rPr>
        <w:t xml:space="preserve">2022 </w:t>
      </w:r>
      <w:r w:rsidRPr="00A013E1">
        <w:rPr>
          <w:rFonts w:ascii="Times New Roman" w:hAnsi="Times New Roman" w:cs="Times New Roman"/>
          <w:szCs w:val="24"/>
          <w:lang w:val="ru-RU"/>
        </w:rPr>
        <w:t>(5.3 до 5.7).</w:t>
      </w:r>
    </w:p>
    <w:p w14:paraId="09C68DB7" w14:textId="77777777" w:rsidR="00271FA2" w:rsidRPr="00A013E1" w:rsidRDefault="00D35E51"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 xml:space="preserve">2.1.8 Граници на пълнене на резервоари за </w:t>
      </w:r>
      <w:r w:rsidRPr="00A013E1">
        <w:rPr>
          <w:rFonts w:ascii="Times New Roman" w:hAnsi="Times New Roman" w:cs="Times New Roman"/>
          <w:b/>
          <w:szCs w:val="24"/>
        </w:rPr>
        <w:t>LNG</w:t>
      </w:r>
      <w:r w:rsidRPr="00A013E1">
        <w:rPr>
          <w:rFonts w:ascii="Times New Roman" w:hAnsi="Times New Roman" w:cs="Times New Roman"/>
          <w:b/>
          <w:szCs w:val="24"/>
          <w:lang w:val="ru-RU"/>
        </w:rPr>
        <w:t xml:space="preserve"> гориво</w:t>
      </w:r>
    </w:p>
    <w:p w14:paraId="21375271"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2.1.8.1 Нивото на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в резервоара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не трябва да надвишава границата на пълнене от 95 % при референтната температура. Референтната температура означава температурата, съответстваща на налягането на парите на горивото при налягането на отваряне на предпазните клапани.</w:t>
      </w:r>
    </w:p>
    <w:p w14:paraId="62626BED"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2.1.8.2 Граничната крива на пълнене за температурите на пълнене на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се изготвя по следната формула: </w:t>
      </w:r>
      <w:r w:rsidRPr="00A013E1">
        <w:rPr>
          <w:rFonts w:ascii="Cambria Math" w:hAnsi="Cambria Math" w:cs="Cambria Math"/>
          <w:szCs w:val="24"/>
        </w:rPr>
        <w:t>𝐿𝐿</w:t>
      </w:r>
      <w:r w:rsidRPr="00A013E1">
        <w:rPr>
          <w:rFonts w:ascii="Times New Roman" w:hAnsi="Times New Roman" w:cs="Times New Roman"/>
          <w:szCs w:val="24"/>
          <w:lang w:val="ru-RU"/>
        </w:rPr>
        <w:t xml:space="preserve"> = </w:t>
      </w:r>
      <w:r w:rsidRPr="00A013E1">
        <w:rPr>
          <w:rFonts w:ascii="Cambria Math" w:hAnsi="Cambria Math" w:cs="Cambria Math"/>
          <w:szCs w:val="24"/>
        </w:rPr>
        <w:t>𝐹𝐿</w:t>
      </w:r>
      <w:r w:rsidRPr="00A013E1">
        <w:rPr>
          <w:rFonts w:ascii="Times New Roman" w:hAnsi="Times New Roman" w:cs="Times New Roman"/>
          <w:szCs w:val="24"/>
          <w:lang w:val="ru-RU"/>
        </w:rPr>
        <w:t xml:space="preserve"> ∙ </w:t>
      </w:r>
      <w:r w:rsidRPr="00A013E1">
        <w:rPr>
          <w:rFonts w:ascii="Cambria Math" w:hAnsi="Cambria Math" w:cs="Cambria Math"/>
          <w:szCs w:val="24"/>
        </w:rPr>
        <w:t>𝜌𝑅</w:t>
      </w:r>
      <w:r w:rsidRPr="00A013E1">
        <w:rPr>
          <w:rFonts w:ascii="Times New Roman" w:hAnsi="Times New Roman" w:cs="Times New Roman"/>
          <w:szCs w:val="24"/>
          <w:lang w:val="ru-RU"/>
        </w:rPr>
        <w:t>/</w:t>
      </w:r>
      <w:r w:rsidRPr="00A013E1">
        <w:rPr>
          <w:rFonts w:ascii="Cambria Math" w:hAnsi="Cambria Math" w:cs="Cambria Math"/>
          <w:szCs w:val="24"/>
        </w:rPr>
        <w:t>𝜌</w:t>
      </w:r>
      <w:r w:rsidRPr="00A013E1">
        <w:rPr>
          <w:rFonts w:ascii="Times New Roman" w:hAnsi="Times New Roman" w:cs="Times New Roman"/>
          <w:szCs w:val="24"/>
        </w:rPr>
        <w:t>L</w:t>
      </w:r>
      <w:r w:rsidRPr="00A013E1">
        <w:rPr>
          <w:rFonts w:ascii="Times New Roman" w:hAnsi="Times New Roman" w:cs="Times New Roman"/>
          <w:szCs w:val="24"/>
          <w:lang w:val="ru-RU"/>
        </w:rPr>
        <w:t xml:space="preserve"> където:</w:t>
      </w:r>
    </w:p>
    <w:p w14:paraId="74D349BF"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Cambria Math" w:hAnsi="Cambria Math" w:cs="Cambria Math"/>
          <w:szCs w:val="24"/>
        </w:rPr>
        <w:t>𝐿𝐿</w:t>
      </w:r>
      <w:r w:rsidRPr="00A013E1">
        <w:rPr>
          <w:rFonts w:ascii="Times New Roman" w:hAnsi="Times New Roman" w:cs="Times New Roman"/>
          <w:szCs w:val="24"/>
          <w:lang w:val="ru-RU"/>
        </w:rPr>
        <w:t xml:space="preserve"> = граница на натоварване, максимално допустим обем на течността спрямо обема на резервоара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 до който резервоарът може да бъде натоварен, изразено в проценти,</w:t>
      </w:r>
    </w:p>
    <w:p w14:paraId="68C11EBE"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Cambria Math" w:hAnsi="Cambria Math" w:cs="Cambria Math"/>
          <w:szCs w:val="24"/>
        </w:rPr>
        <w:t>𝐹𝐿</w:t>
      </w:r>
      <w:r w:rsidRPr="00A013E1">
        <w:rPr>
          <w:rFonts w:ascii="Times New Roman" w:hAnsi="Times New Roman" w:cs="Times New Roman"/>
          <w:szCs w:val="24"/>
          <w:lang w:val="ru-RU"/>
        </w:rPr>
        <w:t xml:space="preserve"> = граница на пълнене, изразена в проценти, тук 95 %,</w:t>
      </w:r>
    </w:p>
    <w:p w14:paraId="53C550B0"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Cambria Math" w:hAnsi="Cambria Math" w:cs="Cambria Math"/>
          <w:szCs w:val="24"/>
        </w:rPr>
        <w:t>𝜌𝑅</w:t>
      </w:r>
      <w:r w:rsidRPr="00A013E1">
        <w:rPr>
          <w:rFonts w:ascii="Times New Roman" w:hAnsi="Times New Roman" w:cs="Times New Roman"/>
          <w:szCs w:val="24"/>
          <w:lang w:val="ru-RU"/>
        </w:rPr>
        <w:t xml:space="preserve"> = относителна плътност на горивото при референтната температура,</w:t>
      </w:r>
    </w:p>
    <w:p w14:paraId="53B55ED5"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Cambria Math" w:hAnsi="Cambria Math" w:cs="Cambria Math"/>
          <w:szCs w:val="24"/>
        </w:rPr>
        <w:t>𝜌𝐿</w:t>
      </w:r>
      <w:r w:rsidRPr="00A013E1">
        <w:rPr>
          <w:rFonts w:ascii="Times New Roman" w:hAnsi="Times New Roman" w:cs="Times New Roman"/>
          <w:szCs w:val="24"/>
          <w:lang w:val="ru-RU"/>
        </w:rPr>
        <w:t xml:space="preserve"> = относителна плътност на горивото при температурата на зареждане.</w:t>
      </w:r>
    </w:p>
    <w:p w14:paraId="7003E49F"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2.1.8.3 За плавателни средства, изложени на значителни височини на вълните или значително движение поради операции, кривата на границата на пълнене се адаптира съответно въз основа на оценката на риска, съгласно член 30.04.</w:t>
      </w:r>
    </w:p>
    <w:p w14:paraId="6066A065" w14:textId="75C57136" w:rsidR="00271FA2" w:rsidRPr="00A013E1" w:rsidRDefault="00D35E51"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 xml:space="preserve">2.1.9 </w:t>
      </w:r>
      <w:r w:rsidR="005C5870" w:rsidRPr="00A013E1">
        <w:rPr>
          <w:rFonts w:ascii="Times New Roman" w:hAnsi="Times New Roman" w:cs="Times New Roman"/>
          <w:b/>
          <w:szCs w:val="24"/>
          <w:lang w:val="ru-RU"/>
        </w:rPr>
        <w:tab/>
      </w:r>
      <w:r w:rsidRPr="00A013E1">
        <w:rPr>
          <w:rFonts w:ascii="Times New Roman" w:hAnsi="Times New Roman" w:cs="Times New Roman"/>
          <w:b/>
          <w:szCs w:val="24"/>
          <w:lang w:val="ru-RU"/>
        </w:rPr>
        <w:t>Газоснабдителна система</w:t>
      </w:r>
    </w:p>
    <w:p w14:paraId="5C242D9D"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2.1.9.1 Газоснабдителната система трябва да бъде така организирана, че последствията от всяко отделяне на газ да бъдат сведени до минимум, като същевременно се осигурява безопасен достъп за работа и проверка.</w:t>
      </w:r>
    </w:p>
    <w:p w14:paraId="72F6C197"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2.1.9.2 Частите на системите за захранване с газ, които са разположени извън машинното отделение или пространството на горивните клетки, трябва да бъдат проектирани по начин, по който повреда на една бариера да не може да доведе до изтичане от системата в околното пространство, причинявайки непосредствена опасност за хората на борда, околната среда или плавателното средство.</w:t>
      </w:r>
    </w:p>
    <w:p w14:paraId="7F6DAAB9"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2.1.9.3 Входовете и изходите на резервоара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 трябва да бъдат снабдени с клапани, разположени възможно най-близо до резервоара.</w:t>
      </w:r>
    </w:p>
    <w:p w14:paraId="2D3B7890" w14:textId="5EAAEEFE"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2.1.9.4 Системата за подаване на газ към всеки двигател или няколко двигателя трябва да бъде оборудвана с главен вентил за гориво. Вентилите трябва да бъдат разположени възможно най-близо до системата за подготовка на газ, но във всеки случай извън машинното отделение.</w:t>
      </w:r>
    </w:p>
    <w:p w14:paraId="51967078" w14:textId="12F9DC48" w:rsidR="00BC2303"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Системата за подаване на газ към всяко отделение за горивна клетка или няколко отделения за горивна клетка трябва да бъде оборудвана с главен вентил за гориво</w:t>
      </w:r>
      <w:r w:rsidR="00792B83" w:rsidRPr="00A013E1">
        <w:rPr>
          <w:rFonts w:ascii="Times New Roman" w:hAnsi="Times New Roman" w:cs="Times New Roman"/>
          <w:szCs w:val="24"/>
          <w:lang w:val="ru-RU"/>
        </w:rPr>
        <w:t xml:space="preserve"> за изключване на линиите за подаване на гориво към потребителите.</w:t>
      </w:r>
      <w:r w:rsidRPr="00A013E1">
        <w:rPr>
          <w:rFonts w:ascii="Times New Roman" w:hAnsi="Times New Roman" w:cs="Times New Roman"/>
          <w:szCs w:val="24"/>
          <w:lang w:val="ru-RU"/>
        </w:rPr>
        <w:t xml:space="preserve"> Вентилите се разполагат възможно най-близо до системата за подготовка на газа, но при всички случаи извън пространството на горивната клетка.</w:t>
      </w:r>
    </w:p>
    <w:p w14:paraId="058B1F58" w14:textId="68709828"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2.1.9.5 В случай на задвижваща </w:t>
      </w:r>
      <w:r w:rsidR="00BC0A69" w:rsidRPr="00A013E1">
        <w:rPr>
          <w:rFonts w:ascii="Times New Roman" w:hAnsi="Times New Roman" w:cs="Times New Roman"/>
          <w:szCs w:val="24"/>
          <w:lang w:val="ru-RU"/>
        </w:rPr>
        <w:t>или</w:t>
      </w:r>
      <w:r w:rsidRPr="00A013E1">
        <w:rPr>
          <w:rFonts w:ascii="Times New Roman" w:hAnsi="Times New Roman" w:cs="Times New Roman"/>
          <w:szCs w:val="24"/>
          <w:lang w:val="ru-RU"/>
        </w:rPr>
        <w:t xml:space="preserve"> спомагателна система с двигател с вътрешно горене, главният клапан за гориво трябва да работи:</w:t>
      </w:r>
    </w:p>
    <w:p w14:paraId="453E2ED6"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lastRenderedPageBreak/>
        <w:t>а) в и извън машинното отделение; и</w:t>
      </w:r>
    </w:p>
    <w:p w14:paraId="7D97A699"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б) от рулевата рубка.</w:t>
      </w:r>
    </w:p>
    <w:p w14:paraId="3DDF3A23" w14:textId="5E6A369A"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2.1.9.6 В случай на задвижваща </w:t>
      </w:r>
      <w:r w:rsidR="006F04E5" w:rsidRPr="00A013E1">
        <w:rPr>
          <w:rFonts w:ascii="Times New Roman" w:hAnsi="Times New Roman" w:cs="Times New Roman"/>
          <w:szCs w:val="24"/>
          <w:lang w:val="ru-RU"/>
        </w:rPr>
        <w:t>или</w:t>
      </w:r>
      <w:r w:rsidRPr="00A013E1">
        <w:rPr>
          <w:rFonts w:ascii="Times New Roman" w:hAnsi="Times New Roman" w:cs="Times New Roman"/>
          <w:szCs w:val="24"/>
          <w:lang w:val="ru-RU"/>
        </w:rPr>
        <w:t xml:space="preserve"> спомагателна система с горивни клетки, по аналогия с член 8.05, точка 7, главният клапан за гориво трябва да работи:</w:t>
      </w:r>
    </w:p>
    <w:p w14:paraId="37C6229D"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а) отвън в непосредствена близост до пространството на горивната клетка;</w:t>
      </w:r>
    </w:p>
    <w:p w14:paraId="472AA8F7"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б) отвътре в случай на пространство за горивни клетки, посочено в (3.1.1.14.5); и</w:t>
      </w:r>
    </w:p>
    <w:p w14:paraId="4AA0F3F5"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в) от рулевата рубка</w:t>
      </w:r>
    </w:p>
    <w:p w14:paraId="0E630184" w14:textId="5DCA9A44"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2.1.9.7 Всяко оборудване, консумиращо газ, трябва да бъде снабдено с комплект двоен блок и обезвъздушителни клапани, за да се осигури безопасно изолиране на системата за подаване на гориво. Двата блокиращи вентила трябва да са от тип "незатварящ се", докато вентилационният клапан трябва да е "неотварящ се".2.1.9.8 За инсталации с няколко двигателя, където е осигурен отделен главен вентил за гориво за всеки двигател и за инсталации с един двигател, главният клапан за гориво и функциите на двойния блок и обезвъздушителния клапан могат да се комбинират.</w:t>
      </w:r>
    </w:p>
    <w:p w14:paraId="073DEE63" w14:textId="7CE664F9"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За инсталации с няколко горивни отделения, където е осигурен отделен главен горивен клапан за всяко горивно отделение и за единична горивна клетка, главният горивен клапан и функциите на двойния блок и изпускателния клапан могат да се комбинират.</w:t>
      </w:r>
    </w:p>
    <w:p w14:paraId="6DEEFFBD"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Един спирателен вентил на двойния блок и вентилите за обезвъздушаване също трябва да се управляват и ръчно.</w:t>
      </w:r>
    </w:p>
    <w:p w14:paraId="04D5E336" w14:textId="77777777" w:rsidR="00271FA2" w:rsidRPr="00A013E1" w:rsidRDefault="00D35E51"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2.1.10 Спиране на подаването на газ</w:t>
      </w:r>
    </w:p>
    <w:p w14:paraId="1C7A3150" w14:textId="3933B713"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2.1.10.1 Ако подаването на </w:t>
      </w:r>
      <w:r w:rsidR="001170A1" w:rsidRPr="00A013E1">
        <w:rPr>
          <w:rFonts w:ascii="Times New Roman" w:hAnsi="Times New Roman" w:cs="Times New Roman"/>
          <w:szCs w:val="24"/>
          <w:lang w:val="ru-RU"/>
        </w:rPr>
        <w:t xml:space="preserve">гориво </w:t>
      </w:r>
      <w:r w:rsidRPr="00A013E1">
        <w:rPr>
          <w:rFonts w:ascii="Times New Roman" w:hAnsi="Times New Roman" w:cs="Times New Roman"/>
          <w:szCs w:val="24"/>
          <w:lang w:val="ru-RU"/>
        </w:rPr>
        <w:t>не се смени към газьол преди спиране, системата за подаване на газ от главния вентил за гориво към двигателя и изпускателната система трябва да бъдат продухани, за да се изпусне всеки остатъчен газ, който може да присъства.</w:t>
      </w:r>
    </w:p>
    <w:p w14:paraId="16C2815D" w14:textId="1A87B221" w:rsidR="00271FA2" w:rsidRPr="00A013E1" w:rsidRDefault="00D35E51" w:rsidP="005C5870">
      <w:pPr>
        <w:pStyle w:val="Esann8let"/>
        <w:spacing w:before="0"/>
        <w:ind w:left="709" w:hanging="709"/>
        <w:jc w:val="both"/>
        <w:rPr>
          <w:rFonts w:ascii="Times New Roman" w:hAnsi="Times New Roman" w:cs="Times New Roman"/>
          <w:strike/>
          <w:szCs w:val="24"/>
          <w:lang w:val="ru-RU"/>
        </w:rPr>
      </w:pPr>
      <w:r w:rsidRPr="00A013E1">
        <w:rPr>
          <w:rFonts w:ascii="Times New Roman" w:hAnsi="Times New Roman" w:cs="Times New Roman"/>
          <w:szCs w:val="24"/>
          <w:lang w:val="ru-RU"/>
        </w:rPr>
        <w:t xml:space="preserve">2.1.10.2 В случай на </w:t>
      </w:r>
      <w:r w:rsidR="001F3294" w:rsidRPr="00A013E1">
        <w:rPr>
          <w:rFonts w:ascii="Times New Roman" w:hAnsi="Times New Roman" w:cs="Times New Roman"/>
          <w:szCs w:val="24"/>
          <w:lang w:val="ru-RU"/>
        </w:rPr>
        <w:t xml:space="preserve">аварийно </w:t>
      </w:r>
      <w:r w:rsidRPr="00A013E1">
        <w:rPr>
          <w:rFonts w:ascii="Times New Roman" w:hAnsi="Times New Roman" w:cs="Times New Roman"/>
          <w:szCs w:val="24"/>
          <w:lang w:val="ru-RU"/>
        </w:rPr>
        <w:t xml:space="preserve">спиране, системата за захранване с газ трябва да бъде изключена </w:t>
      </w:r>
      <w:r w:rsidR="001F3294" w:rsidRPr="00A013E1">
        <w:rPr>
          <w:rFonts w:ascii="Times New Roman" w:hAnsi="Times New Roman" w:cs="Times New Roman"/>
          <w:szCs w:val="24"/>
          <w:lang w:val="ru-RU"/>
        </w:rPr>
        <w:t xml:space="preserve">автоматично </w:t>
      </w:r>
      <w:r w:rsidRPr="00A013E1">
        <w:rPr>
          <w:rFonts w:ascii="Times New Roman" w:hAnsi="Times New Roman" w:cs="Times New Roman"/>
          <w:szCs w:val="24"/>
          <w:lang w:val="ru-RU"/>
        </w:rPr>
        <w:t xml:space="preserve">не по-късно </w:t>
      </w:r>
      <w:r w:rsidR="007707A2" w:rsidRPr="00A013E1">
        <w:rPr>
          <w:rFonts w:ascii="Times New Roman" w:hAnsi="Times New Roman" w:cs="Times New Roman"/>
          <w:szCs w:val="24"/>
          <w:lang w:val="ru-RU"/>
        </w:rPr>
        <w:t xml:space="preserve"> от</w:t>
      </w:r>
      <w:r w:rsidR="00485C7F" w:rsidRPr="00A013E1">
        <w:rPr>
          <w:rFonts w:ascii="Times New Roman" w:hAnsi="Times New Roman" w:cs="Times New Roman"/>
          <w:szCs w:val="24"/>
          <w:lang w:val="ru-RU"/>
        </w:rPr>
        <w:t>:</w:t>
      </w:r>
    </w:p>
    <w:p w14:paraId="1F3518A7" w14:textId="1A3B08DD" w:rsidR="00F14209" w:rsidRPr="00A013E1" w:rsidRDefault="00F14209" w:rsidP="005C5870">
      <w:pPr>
        <w:ind w:left="709"/>
        <w:jc w:val="both"/>
        <w:rPr>
          <w:rFonts w:ascii="Times New Roman" w:hAnsi="Times New Roman" w:cs="Times New Roman"/>
          <w:lang w:val="ru-RU"/>
        </w:rPr>
      </w:pPr>
      <w:r w:rsidRPr="00A013E1">
        <w:rPr>
          <w:rFonts w:ascii="Times New Roman" w:hAnsi="Times New Roman" w:cs="Times New Roman"/>
          <w:lang w:val="ru-RU"/>
        </w:rPr>
        <w:t xml:space="preserve">а) </w:t>
      </w:r>
      <w:r w:rsidR="002576F3" w:rsidRPr="00A013E1">
        <w:rPr>
          <w:rFonts w:ascii="Times New Roman" w:hAnsi="Times New Roman" w:cs="Times New Roman"/>
          <w:lang w:val="ru-RU"/>
        </w:rPr>
        <w:t xml:space="preserve"> </w:t>
      </w:r>
      <w:r w:rsidR="00747C48" w:rsidRPr="00A013E1">
        <w:rPr>
          <w:rFonts w:ascii="Times New Roman" w:hAnsi="Times New Roman" w:cs="Times New Roman"/>
          <w:lang w:val="ru-RU"/>
        </w:rPr>
        <w:t xml:space="preserve">подаването </w:t>
      </w:r>
      <w:r w:rsidRPr="00A013E1">
        <w:rPr>
          <w:rFonts w:ascii="Times New Roman" w:hAnsi="Times New Roman" w:cs="Times New Roman"/>
          <w:lang w:val="ru-RU"/>
        </w:rPr>
        <w:t xml:space="preserve"> на друго гориво за двигатели с дв</w:t>
      </w:r>
      <w:r w:rsidR="00E71525" w:rsidRPr="00A013E1">
        <w:rPr>
          <w:rFonts w:ascii="Times New Roman" w:hAnsi="Times New Roman" w:cs="Times New Roman"/>
          <w:lang w:val="ru-RU"/>
        </w:rPr>
        <w:t>е</w:t>
      </w:r>
      <w:r w:rsidRPr="00A013E1">
        <w:rPr>
          <w:rFonts w:ascii="Times New Roman" w:hAnsi="Times New Roman" w:cs="Times New Roman"/>
          <w:lang w:val="ru-RU"/>
        </w:rPr>
        <w:t xml:space="preserve"> горив</w:t>
      </w:r>
      <w:r w:rsidR="00E71525" w:rsidRPr="00A013E1">
        <w:rPr>
          <w:rFonts w:ascii="Times New Roman" w:hAnsi="Times New Roman" w:cs="Times New Roman"/>
          <w:lang w:val="ru-RU"/>
        </w:rPr>
        <w:t>а</w:t>
      </w:r>
      <w:r w:rsidRPr="00A013E1">
        <w:rPr>
          <w:rFonts w:ascii="Times New Roman" w:hAnsi="Times New Roman" w:cs="Times New Roman"/>
          <w:lang w:val="ru-RU"/>
        </w:rPr>
        <w:t>. Не трябва да е възможно да се спре другото гориво, без първо или едновременно с това да се затвори подаването на газ към съответните цилиндри или към целия двигател.</w:t>
      </w:r>
    </w:p>
    <w:p w14:paraId="52FF79A3" w14:textId="65CFB50A" w:rsidR="00F14209" w:rsidRPr="00A013E1" w:rsidRDefault="00F14209" w:rsidP="005C5870">
      <w:pPr>
        <w:ind w:left="709"/>
        <w:jc w:val="both"/>
        <w:rPr>
          <w:rFonts w:ascii="Times New Roman" w:hAnsi="Times New Roman" w:cs="Times New Roman"/>
          <w:lang w:val="ru-RU"/>
        </w:rPr>
      </w:pPr>
      <w:r w:rsidRPr="00A013E1">
        <w:rPr>
          <w:rFonts w:ascii="Times New Roman" w:hAnsi="Times New Roman" w:cs="Times New Roman"/>
          <w:lang w:val="ru-RU"/>
        </w:rPr>
        <w:t>б)</w:t>
      </w:r>
      <w:r w:rsidR="0017415F" w:rsidRPr="00A013E1">
        <w:rPr>
          <w:rFonts w:ascii="Times New Roman" w:hAnsi="Times New Roman" w:cs="Times New Roman"/>
          <w:lang w:val="ru-RU"/>
        </w:rPr>
        <w:t xml:space="preserve"> изключването на </w:t>
      </w:r>
      <w:r w:rsidRPr="00A013E1">
        <w:rPr>
          <w:rFonts w:ascii="Times New Roman" w:hAnsi="Times New Roman" w:cs="Times New Roman"/>
          <w:lang w:val="ru-RU"/>
        </w:rPr>
        <w:t xml:space="preserve"> източник на запалване за двигатели</w:t>
      </w:r>
      <w:r w:rsidR="00A8004F" w:rsidRPr="00A013E1">
        <w:rPr>
          <w:rFonts w:ascii="Times New Roman" w:hAnsi="Times New Roman" w:cs="Times New Roman"/>
          <w:lang w:val="ru-RU"/>
        </w:rPr>
        <w:t xml:space="preserve"> с едно гориво</w:t>
      </w:r>
      <w:r w:rsidRPr="00A013E1">
        <w:rPr>
          <w:rFonts w:ascii="Times New Roman" w:hAnsi="Times New Roman" w:cs="Times New Roman"/>
          <w:lang w:val="ru-RU"/>
        </w:rPr>
        <w:t>. Не трябва да е възможно да се изключи източникът на запалване без първо или едновременно с това да се затвори подаването на газ към съответните цилиндри или към целия двигател.</w:t>
      </w:r>
    </w:p>
    <w:p w14:paraId="20A5B29A" w14:textId="12F92B65"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2.1.10.</w:t>
      </w:r>
      <w:r w:rsidR="00F14209" w:rsidRPr="00A013E1">
        <w:rPr>
          <w:rFonts w:ascii="Times New Roman" w:hAnsi="Times New Roman" w:cs="Times New Roman"/>
          <w:szCs w:val="24"/>
          <w:lang w:val="ru-RU"/>
        </w:rPr>
        <w:t xml:space="preserve">3 </w:t>
      </w:r>
      <w:r w:rsidRPr="00A013E1">
        <w:rPr>
          <w:rFonts w:ascii="Times New Roman" w:hAnsi="Times New Roman" w:cs="Times New Roman"/>
          <w:szCs w:val="24"/>
          <w:lang w:val="ru-RU"/>
        </w:rPr>
        <w:t xml:space="preserve">В случай на задвижваща </w:t>
      </w:r>
      <w:r w:rsidR="00D74996" w:rsidRPr="00A013E1">
        <w:rPr>
          <w:rFonts w:ascii="Times New Roman" w:hAnsi="Times New Roman" w:cs="Times New Roman"/>
          <w:szCs w:val="24"/>
          <w:lang w:val="ru-RU"/>
        </w:rPr>
        <w:t xml:space="preserve">или </w:t>
      </w:r>
      <w:r w:rsidRPr="00A013E1">
        <w:rPr>
          <w:rFonts w:ascii="Times New Roman" w:hAnsi="Times New Roman" w:cs="Times New Roman"/>
          <w:szCs w:val="24"/>
          <w:lang w:val="ru-RU"/>
        </w:rPr>
        <w:t>спомагателна система с горивни клетки не трябва да е възможно системата с горивни клетки да се изключи без първо или едновременно с това да се затвори подаването на газ.</w:t>
      </w:r>
    </w:p>
    <w:p w14:paraId="0FC182CF" w14:textId="77777777" w:rsidR="00271FA2" w:rsidRPr="00A013E1" w:rsidRDefault="00D35E51"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2.1.11 Пожарна безопасност</w:t>
      </w:r>
    </w:p>
    <w:p w14:paraId="0DC3EFE8" w14:textId="77777777" w:rsidR="002A1BD2" w:rsidRPr="00A013E1" w:rsidRDefault="002A1BD2"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2.1.11.1 Общи положения</w:t>
      </w:r>
    </w:p>
    <w:p w14:paraId="30D74D4E"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2.1.11.1.1 В допълнение към член 30.08 се прилагат разпоредбите на точка 2.1.11.</w:t>
      </w:r>
    </w:p>
    <w:p w14:paraId="4EBD81C0" w14:textId="7C027F34"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2.1.11.1.2 Помещение или заграждение, съдържащо системата за подготовка на газ или части от нея, трябва да се счита </w:t>
      </w:r>
      <w:r w:rsidR="00AB70B9" w:rsidRPr="00A013E1">
        <w:rPr>
          <w:rFonts w:ascii="Times New Roman" w:hAnsi="Times New Roman" w:cs="Times New Roman"/>
          <w:szCs w:val="24"/>
          <w:lang w:val="ru-RU"/>
        </w:rPr>
        <w:t xml:space="preserve">като </w:t>
      </w:r>
      <w:r w:rsidRPr="00A013E1">
        <w:rPr>
          <w:rFonts w:ascii="Times New Roman" w:hAnsi="Times New Roman" w:cs="Times New Roman"/>
          <w:szCs w:val="24"/>
          <w:lang w:val="ru-RU"/>
        </w:rPr>
        <w:t>машинно отделение за целите на противопожарната защита.</w:t>
      </w:r>
    </w:p>
    <w:p w14:paraId="5727897A" w14:textId="77777777" w:rsidR="002A1BD2" w:rsidRPr="00A013E1" w:rsidRDefault="002A1BD2"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2.1.11.2 Пожароизвестителна система</w:t>
      </w:r>
    </w:p>
    <w:p w14:paraId="22D1E849" w14:textId="77777777" w:rsidR="002A1BD2" w:rsidRPr="00A013E1" w:rsidRDefault="002A1BD2" w:rsidP="005C5870">
      <w:pPr>
        <w:ind w:left="709" w:hanging="709"/>
        <w:jc w:val="both"/>
        <w:rPr>
          <w:rFonts w:ascii="Times New Roman" w:hAnsi="Times New Roman" w:cs="Times New Roman"/>
          <w:lang w:val="ru-RU"/>
        </w:rPr>
      </w:pPr>
      <w:r w:rsidRPr="00A013E1">
        <w:rPr>
          <w:rFonts w:ascii="Times New Roman" w:hAnsi="Times New Roman" w:cs="Times New Roman"/>
          <w:lang w:val="ru-RU"/>
        </w:rPr>
        <w:t>2.1.11.2.1 Датчиците за дим сами по себе си не са достатъчни за бързо откриване на пожар.</w:t>
      </w:r>
    </w:p>
    <w:p w14:paraId="69C8FFA0"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lastRenderedPageBreak/>
        <w:t>2.1.11.2.2 Пожароизвестителната система трябва да има средства за идентифициране на всеки пожароизвестител или ръчен пожароизвестител поотделно.</w:t>
      </w:r>
    </w:p>
    <w:p w14:paraId="5F03856C"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2.1.11.2.3 Системата за газова безопасност трябва да изключва автоматично съответните части на газоснабдителната система при откриване на пожар в помещения с газови инсталации.</w:t>
      </w:r>
    </w:p>
    <w:p w14:paraId="25227A72" w14:textId="77777777" w:rsidR="00271FA2" w:rsidRPr="00A013E1" w:rsidRDefault="00D35E51"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2.1.11.3 Противопожарна защита</w:t>
      </w:r>
    </w:p>
    <w:p w14:paraId="36C024B5"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2.1.11.3.1 Жилищата, пътническите зони, машинните отделения и евакуационните пътища трябва да бъдат екранирани с прегради от тип </w:t>
      </w:r>
      <w:r w:rsidRPr="00A013E1">
        <w:rPr>
          <w:rFonts w:ascii="Times New Roman" w:hAnsi="Times New Roman" w:cs="Times New Roman"/>
          <w:szCs w:val="24"/>
        </w:rPr>
        <w:t>A</w:t>
      </w:r>
      <w:r w:rsidRPr="00A013E1">
        <w:rPr>
          <w:rFonts w:ascii="Times New Roman" w:hAnsi="Times New Roman" w:cs="Times New Roman"/>
          <w:szCs w:val="24"/>
          <w:lang w:val="ru-RU"/>
        </w:rPr>
        <w:t xml:space="preserve">60, когато разстоянието е по-малко от 3,00 </w:t>
      </w:r>
      <w:r w:rsidRPr="00A013E1">
        <w:rPr>
          <w:rFonts w:ascii="Times New Roman" w:hAnsi="Times New Roman" w:cs="Times New Roman"/>
          <w:szCs w:val="24"/>
        </w:rPr>
        <w:t>m</w:t>
      </w:r>
      <w:r w:rsidRPr="00A013E1">
        <w:rPr>
          <w:rFonts w:ascii="Times New Roman" w:hAnsi="Times New Roman" w:cs="Times New Roman"/>
          <w:szCs w:val="24"/>
          <w:lang w:val="ru-RU"/>
        </w:rPr>
        <w:t xml:space="preserve"> до резервоарите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 и бункерирането станции, разположени на палубата.</w:t>
      </w:r>
    </w:p>
    <w:p w14:paraId="044CFD90"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2.1.11.3.2 Границите на помещенията с резервоари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 и вентилационните канали към тези помещения под горната палуба трябва да отговарят на тип </w:t>
      </w:r>
      <w:r w:rsidRPr="00A013E1">
        <w:rPr>
          <w:rFonts w:ascii="Times New Roman" w:hAnsi="Times New Roman" w:cs="Times New Roman"/>
          <w:szCs w:val="24"/>
        </w:rPr>
        <w:t>A</w:t>
      </w:r>
      <w:r w:rsidRPr="00A013E1">
        <w:rPr>
          <w:rFonts w:ascii="Times New Roman" w:hAnsi="Times New Roman" w:cs="Times New Roman"/>
          <w:szCs w:val="24"/>
          <w:lang w:val="ru-RU"/>
        </w:rPr>
        <w:t xml:space="preserve">60. Въпреки това, когато помещението е в съседство с резервоари, кухини, спомагателни машинни отделения с малък или никакъв риск от пожар, санитарни и подобни помещения, изолацията може да отговаря на тип </w:t>
      </w:r>
      <w:r w:rsidRPr="00A013E1">
        <w:rPr>
          <w:rFonts w:ascii="Times New Roman" w:hAnsi="Times New Roman" w:cs="Times New Roman"/>
          <w:szCs w:val="24"/>
        </w:rPr>
        <w:t>A</w:t>
      </w:r>
      <w:r w:rsidRPr="00A013E1">
        <w:rPr>
          <w:rFonts w:ascii="Times New Roman" w:hAnsi="Times New Roman" w:cs="Times New Roman"/>
          <w:szCs w:val="24"/>
          <w:lang w:val="ru-RU"/>
        </w:rPr>
        <w:t>0.</w:t>
      </w:r>
    </w:p>
    <w:p w14:paraId="18A82D92"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2.1.11.4 Предотвратяване на пожари и охлаждане</w:t>
      </w:r>
    </w:p>
    <w:p w14:paraId="06E8EC9F"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2.1.11.4.1 Инсталира се система за разпръскване на вода за охлаждане и предотвратяване на пожар, която да покрива откритите части на резервоара(ите)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 разположен(и) на открита палуба.</w:t>
      </w:r>
    </w:p>
    <w:p w14:paraId="30CA342E"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2.1.11.4.2 Ако системата за разпръскване на вода е част от противопожарните системи, посочени в членове 13.04 или 13.05, необходимият капацитет на противопожарната помпа и работното налягане трябва да са достатъчни, за да осигурят работата както на необходимия брой хидранти и маркучи, така и на водата система за пръскане едновременно. Връзката между системата за пръскане на вода и противопожарните системи, посочени в членове 13.04 или 13.05, се осигурява чрез завинтващ се невъзвратен клапан.</w:t>
      </w:r>
    </w:p>
    <w:p w14:paraId="584086D3"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2.1.11.4.3 Ако противопожарните системи, посочени в членове 13.04 или 13.05, са монтирани на борда на плавателно средство, където резервоарът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 е разположен на открита палуба, в противопожарните системи се монтират изолиращи клапани, за да се изолират повредените секции на противопожарните системи. Изолирането на участък от противопожарни системи не трябва да лишава противопожарната линия след изолирания участък от вода.</w:t>
      </w:r>
    </w:p>
    <w:p w14:paraId="3E813CBF"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2.1.11.4.4 Системата за пръскане на вода трябва също така да осигурява покритие за границите на надстройките, освен ако резервоарът не е разположен на 3,00 </w:t>
      </w:r>
      <w:r w:rsidRPr="00A013E1">
        <w:rPr>
          <w:rFonts w:ascii="Times New Roman" w:hAnsi="Times New Roman" w:cs="Times New Roman"/>
          <w:szCs w:val="24"/>
        </w:rPr>
        <w:t>m</w:t>
      </w:r>
      <w:r w:rsidRPr="00A013E1">
        <w:rPr>
          <w:rFonts w:ascii="Times New Roman" w:hAnsi="Times New Roman" w:cs="Times New Roman"/>
          <w:szCs w:val="24"/>
          <w:lang w:val="ru-RU"/>
        </w:rPr>
        <w:t xml:space="preserve"> или повече от границите.</w:t>
      </w:r>
    </w:p>
    <w:p w14:paraId="7F043B08"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2.1.11.4.5 Системата за пръскане на вода трябва да бъде проектирана да покрива всички зони, както е посочено по-горе, с разход от 10 </w:t>
      </w:r>
      <w:r w:rsidRPr="00A013E1">
        <w:rPr>
          <w:rFonts w:ascii="Times New Roman" w:hAnsi="Times New Roman" w:cs="Times New Roman"/>
          <w:szCs w:val="24"/>
        </w:rPr>
        <w:t>l</w:t>
      </w:r>
      <w:r w:rsidRPr="00A013E1">
        <w:rPr>
          <w:rFonts w:ascii="Times New Roman" w:hAnsi="Times New Roman" w:cs="Times New Roman"/>
          <w:szCs w:val="24"/>
          <w:lang w:val="ru-RU"/>
        </w:rPr>
        <w:t>/</w:t>
      </w:r>
      <w:r w:rsidRPr="00A013E1">
        <w:rPr>
          <w:rFonts w:ascii="Times New Roman" w:hAnsi="Times New Roman" w:cs="Times New Roman"/>
          <w:szCs w:val="24"/>
        </w:rPr>
        <w:t>min</w:t>
      </w:r>
      <w:r w:rsidRPr="00A013E1">
        <w:rPr>
          <w:rFonts w:ascii="Times New Roman" w:hAnsi="Times New Roman" w:cs="Times New Roman"/>
          <w:szCs w:val="24"/>
          <w:lang w:val="ru-RU"/>
        </w:rPr>
        <w:t>/</w:t>
      </w:r>
      <w:r w:rsidRPr="00A013E1">
        <w:rPr>
          <w:rFonts w:ascii="Times New Roman" w:hAnsi="Times New Roman" w:cs="Times New Roman"/>
          <w:szCs w:val="24"/>
        </w:rPr>
        <w:t>m</w:t>
      </w:r>
      <w:r w:rsidRPr="00A013E1">
        <w:rPr>
          <w:rFonts w:ascii="Times New Roman" w:hAnsi="Times New Roman" w:cs="Times New Roman"/>
          <w:szCs w:val="24"/>
          <w:lang w:val="ru-RU"/>
        </w:rPr>
        <w:t xml:space="preserve">2 за хоризонтални изпъкнали повърхности и 4 </w:t>
      </w:r>
      <w:r w:rsidRPr="00A013E1">
        <w:rPr>
          <w:rFonts w:ascii="Times New Roman" w:hAnsi="Times New Roman" w:cs="Times New Roman"/>
          <w:szCs w:val="24"/>
        </w:rPr>
        <w:t>l</w:t>
      </w:r>
      <w:r w:rsidRPr="00A013E1">
        <w:rPr>
          <w:rFonts w:ascii="Times New Roman" w:hAnsi="Times New Roman" w:cs="Times New Roman"/>
          <w:szCs w:val="24"/>
          <w:lang w:val="ru-RU"/>
        </w:rPr>
        <w:t>/</w:t>
      </w:r>
      <w:r w:rsidRPr="00A013E1">
        <w:rPr>
          <w:rFonts w:ascii="Times New Roman" w:hAnsi="Times New Roman" w:cs="Times New Roman"/>
          <w:szCs w:val="24"/>
        </w:rPr>
        <w:t>min</w:t>
      </w:r>
      <w:r w:rsidRPr="00A013E1">
        <w:rPr>
          <w:rFonts w:ascii="Times New Roman" w:hAnsi="Times New Roman" w:cs="Times New Roman"/>
          <w:szCs w:val="24"/>
          <w:lang w:val="ru-RU"/>
        </w:rPr>
        <w:t>/</w:t>
      </w:r>
      <w:r w:rsidRPr="00A013E1">
        <w:rPr>
          <w:rFonts w:ascii="Times New Roman" w:hAnsi="Times New Roman" w:cs="Times New Roman"/>
          <w:szCs w:val="24"/>
        </w:rPr>
        <w:t>m</w:t>
      </w:r>
      <w:r w:rsidRPr="00A013E1">
        <w:rPr>
          <w:rFonts w:ascii="Times New Roman" w:hAnsi="Times New Roman" w:cs="Times New Roman"/>
          <w:szCs w:val="24"/>
          <w:lang w:val="ru-RU"/>
        </w:rPr>
        <w:t>2 за вертикални повърхности.</w:t>
      </w:r>
    </w:p>
    <w:p w14:paraId="6059A554"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2.1.11.4.6 Системата за пръскане на вода трябва да може да се задейства от рулевата рубка и от палубата.</w:t>
      </w:r>
    </w:p>
    <w:p w14:paraId="6A28786E"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2.1.11.4.7 Дюзите трябва да бъдат разположени, така че да осигурят ефективно разпределение на водата в цялата защитавана зона.</w:t>
      </w:r>
    </w:p>
    <w:p w14:paraId="2DA109E6" w14:textId="77777777" w:rsidR="00271FA2" w:rsidRPr="00A013E1" w:rsidRDefault="00DF0F9D"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2.1.11.5</w:t>
      </w:r>
      <w:r w:rsidR="00D35E51" w:rsidRPr="00A013E1">
        <w:rPr>
          <w:rFonts w:ascii="Times New Roman" w:hAnsi="Times New Roman" w:cs="Times New Roman"/>
          <w:b/>
          <w:szCs w:val="24"/>
          <w:lang w:val="ru-RU"/>
        </w:rPr>
        <w:t xml:space="preserve"> Гасене на пожар</w:t>
      </w:r>
    </w:p>
    <w:p w14:paraId="160592A6"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2.1.11.5.1 В допълнение към изискванията на член 13.03, два допълнителни преносими пожарогасителя със сух прах с капацитет най-малко 12 </w:t>
      </w:r>
      <w:r w:rsidRPr="00A013E1">
        <w:rPr>
          <w:rFonts w:ascii="Times New Roman" w:hAnsi="Times New Roman" w:cs="Times New Roman"/>
          <w:szCs w:val="24"/>
        </w:rPr>
        <w:t>kg</w:t>
      </w:r>
      <w:r w:rsidRPr="00A013E1">
        <w:rPr>
          <w:rFonts w:ascii="Times New Roman" w:hAnsi="Times New Roman" w:cs="Times New Roman"/>
          <w:szCs w:val="24"/>
          <w:lang w:val="ru-RU"/>
        </w:rPr>
        <w:t xml:space="preserve"> трябва да бъдат разположени в близост до станцията за бункероване. Те трябва да са подходящи за пожари от клас </w:t>
      </w:r>
      <w:r w:rsidRPr="00A013E1">
        <w:rPr>
          <w:rFonts w:ascii="Times New Roman" w:hAnsi="Times New Roman" w:cs="Times New Roman"/>
          <w:szCs w:val="24"/>
        </w:rPr>
        <w:t>C</w:t>
      </w:r>
      <w:r w:rsidRPr="00A013E1">
        <w:rPr>
          <w:rFonts w:ascii="Times New Roman" w:hAnsi="Times New Roman" w:cs="Times New Roman"/>
          <w:szCs w:val="24"/>
          <w:lang w:val="ru-RU"/>
        </w:rPr>
        <w:t>.</w:t>
      </w:r>
    </w:p>
    <w:p w14:paraId="6ED7B8D4" w14:textId="505BE936" w:rsidR="00271FA2" w:rsidRPr="00A013E1" w:rsidRDefault="00DF0F9D" w:rsidP="005C5870">
      <w:pPr>
        <w:ind w:left="709" w:hanging="709"/>
        <w:jc w:val="both"/>
        <w:rPr>
          <w:rFonts w:ascii="Times New Roman" w:hAnsi="Times New Roman" w:cs="Times New Roman"/>
          <w:b/>
          <w:lang w:val="ru-RU"/>
        </w:rPr>
      </w:pPr>
      <w:r w:rsidRPr="00A013E1">
        <w:rPr>
          <w:rFonts w:ascii="Times New Roman" w:hAnsi="Times New Roman" w:cs="Times New Roman"/>
          <w:b/>
          <w:lang w:val="ru-RU"/>
        </w:rPr>
        <w:t>2.1.12</w:t>
      </w:r>
      <w:r w:rsidR="00D35E51" w:rsidRPr="00A013E1">
        <w:rPr>
          <w:rFonts w:ascii="Times New Roman" w:hAnsi="Times New Roman" w:cs="Times New Roman"/>
          <w:lang w:val="ru-RU"/>
        </w:rPr>
        <w:t xml:space="preserve"> </w:t>
      </w:r>
      <w:r w:rsidR="007E77D7" w:rsidRPr="00A013E1">
        <w:rPr>
          <w:rFonts w:ascii="Times New Roman" w:hAnsi="Times New Roman" w:cs="Times New Roman"/>
          <w:b/>
          <w:lang w:val="ru-RU"/>
        </w:rPr>
        <w:t>Двигатели на потопени газови помпи</w:t>
      </w:r>
    </w:p>
    <w:p w14:paraId="64DA84A4" w14:textId="7E26189B"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2.1.12.1 </w:t>
      </w:r>
      <w:r w:rsidR="0048346C" w:rsidRPr="00A013E1">
        <w:rPr>
          <w:rFonts w:ascii="Times New Roman" w:hAnsi="Times New Roman" w:cs="Times New Roman"/>
          <w:szCs w:val="24"/>
          <w:lang w:val="ru-RU"/>
        </w:rPr>
        <w:t>Д</w:t>
      </w:r>
      <w:r w:rsidRPr="00A013E1">
        <w:rPr>
          <w:rFonts w:ascii="Times New Roman" w:hAnsi="Times New Roman" w:cs="Times New Roman"/>
          <w:szCs w:val="24"/>
          <w:lang w:val="ru-RU"/>
        </w:rPr>
        <w:t>вигатели</w:t>
      </w:r>
      <w:r w:rsidR="005F264E" w:rsidRPr="00A013E1">
        <w:rPr>
          <w:rFonts w:ascii="Times New Roman" w:hAnsi="Times New Roman" w:cs="Times New Roman"/>
          <w:szCs w:val="24"/>
          <w:lang w:val="ru-RU"/>
        </w:rPr>
        <w:t>те</w:t>
      </w:r>
      <w:r w:rsidRPr="00A013E1">
        <w:rPr>
          <w:rFonts w:ascii="Times New Roman" w:hAnsi="Times New Roman" w:cs="Times New Roman"/>
          <w:szCs w:val="24"/>
          <w:lang w:val="ru-RU"/>
        </w:rPr>
        <w:t xml:space="preserve"> на </w:t>
      </w:r>
      <w:r w:rsidR="0048346C" w:rsidRPr="00A013E1">
        <w:rPr>
          <w:rFonts w:ascii="Times New Roman" w:hAnsi="Times New Roman" w:cs="Times New Roman"/>
          <w:szCs w:val="24"/>
          <w:lang w:val="ru-RU"/>
        </w:rPr>
        <w:t xml:space="preserve">потопени </w:t>
      </w:r>
      <w:r w:rsidRPr="00A013E1">
        <w:rPr>
          <w:rFonts w:ascii="Times New Roman" w:hAnsi="Times New Roman" w:cs="Times New Roman"/>
          <w:szCs w:val="24"/>
          <w:lang w:val="ru-RU"/>
        </w:rPr>
        <w:t xml:space="preserve">газови помпи и техните захранващи кабели могат да бъдат монтирани в системи за задържане на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Трябва да се направят мерки за алармиране при ниско ниво на течността и автоматично изключване на двигателите в случай на ниско-ниско ниво на </w:t>
      </w:r>
      <w:r w:rsidRPr="00A013E1">
        <w:rPr>
          <w:rFonts w:ascii="Times New Roman" w:hAnsi="Times New Roman" w:cs="Times New Roman"/>
          <w:szCs w:val="24"/>
          <w:lang w:val="ru-RU"/>
        </w:rPr>
        <w:lastRenderedPageBreak/>
        <w:t xml:space="preserve">течността. Автоматичното изключване може да бъде осъществено чрез отчитане на ниско изпускателно налягане на помпата, нисък ток на двигателя или ниско ниво на течност. Това изключване трябва да дава оптична и звукова аларма в рулевата рубка. Двигателите на </w:t>
      </w:r>
      <w:r w:rsidR="0048346C" w:rsidRPr="00A013E1">
        <w:rPr>
          <w:rFonts w:ascii="Times New Roman" w:hAnsi="Times New Roman" w:cs="Times New Roman"/>
          <w:szCs w:val="24"/>
          <w:lang w:val="ru-RU"/>
        </w:rPr>
        <w:t xml:space="preserve">потопените </w:t>
      </w:r>
      <w:r w:rsidRPr="00A013E1">
        <w:rPr>
          <w:rFonts w:ascii="Times New Roman" w:hAnsi="Times New Roman" w:cs="Times New Roman"/>
          <w:szCs w:val="24"/>
          <w:lang w:val="ru-RU"/>
        </w:rPr>
        <w:t>газови помпи трябва да могат да бъдат изолирани от електрическото си захранване по време на операции по освобождаване на газ.</w:t>
      </w:r>
    </w:p>
    <w:p w14:paraId="2E1F6983" w14:textId="77777777" w:rsidR="00271FA2" w:rsidRPr="00A013E1" w:rsidRDefault="00D35E51"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2.1.13 Системи за управление, наблюдение и безопасност</w:t>
      </w:r>
    </w:p>
    <w:p w14:paraId="061F8994"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2.1.13.1 Общи положения</w:t>
      </w:r>
    </w:p>
    <w:p w14:paraId="02EDB515"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2.1.13.1.1 В допълнение към член 30.10 се прилагат разпоредбите на точка 2.1.13.</w:t>
      </w:r>
    </w:p>
    <w:p w14:paraId="74489096"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2.1.13.1.2 Газоснабдителната система трябва да бъде оборудвана със собствена система за контрол на газа и мониторинг на газа и собствена система за газова безопасност. Всички елементи на тези системи трябва да могат да бъдат функционално тествани.</w:t>
      </w:r>
    </w:p>
    <w:p w14:paraId="1EDFBFE9"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2.1.13.1.3 Системата за газова безопасност трябва да изключва системата за газоснабдяване автоматично, при повреда в системите, които са от съществено значение за безопасността, и при условия на повреда, които могат да се развият твърде бързо за ръчна намеса.</w:t>
      </w:r>
    </w:p>
    <w:p w14:paraId="08D209F7" w14:textId="77777777" w:rsidR="00271FA2" w:rsidRPr="00A013E1" w:rsidRDefault="00D35E51"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 xml:space="preserve">2.1.13.2 Бункерна система за </w:t>
      </w:r>
      <w:r w:rsidRPr="00A013E1">
        <w:rPr>
          <w:rFonts w:ascii="Times New Roman" w:hAnsi="Times New Roman" w:cs="Times New Roman"/>
          <w:b/>
          <w:szCs w:val="24"/>
        </w:rPr>
        <w:t>LNG</w:t>
      </w:r>
      <w:r w:rsidRPr="00A013E1">
        <w:rPr>
          <w:rFonts w:ascii="Times New Roman" w:hAnsi="Times New Roman" w:cs="Times New Roman"/>
          <w:b/>
          <w:szCs w:val="24"/>
          <w:lang w:val="ru-RU"/>
        </w:rPr>
        <w:t xml:space="preserve"> и мониторинг на системата за задържане на </w:t>
      </w:r>
      <w:r w:rsidRPr="00A013E1">
        <w:rPr>
          <w:rFonts w:ascii="Times New Roman" w:hAnsi="Times New Roman" w:cs="Times New Roman"/>
          <w:b/>
          <w:szCs w:val="24"/>
        </w:rPr>
        <w:t>LNG</w:t>
      </w:r>
    </w:p>
    <w:p w14:paraId="7CD504AB"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2.1.13.2.1 Всеки резервоар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 трябва да бъде оборудван с:</w:t>
      </w:r>
    </w:p>
    <w:p w14:paraId="13212051"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а) най-малко два индикатора за нивото на течността, които трябва да бъдат разположени, така че да могат да се поддържат в работно състояние;</w:t>
      </w:r>
    </w:p>
    <w:p w14:paraId="78E17134"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 xml:space="preserve">б) индикатор за налягане, способен да показва целия диапазон на работно налягане и който е ясно обозначен с максималното работно налягане на резервоара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w:t>
      </w:r>
    </w:p>
    <w:p w14:paraId="7BC0D76A"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в) аларма за високо ниво на течността, работеща независимо от други индикатори за ниво на течността, която трябва да дава оптична и звукова аларма, когато се активира; и</w:t>
      </w:r>
    </w:p>
    <w:p w14:paraId="301503B5" w14:textId="77777777" w:rsidR="00271FA2" w:rsidRPr="00A013E1" w:rsidRDefault="00D35E51" w:rsidP="005C5870">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 xml:space="preserve">г) допълнителен сензор, работещ независимо от алармата за високо ниво на течността, който автоматично задейства главния бункерен клапан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по начин, който едновременно ще избегне прекомерното налягане на течността в бункерния тръбопровод и ще предотврати напълването на резервоара с течност.</w:t>
      </w:r>
    </w:p>
    <w:p w14:paraId="313BF685"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2.1.13.2.2 Всеки нагнетателен тръбопровод на помпата и всяко крайно свързване на течност и газ от пари трябва да бъдат снабдени с поне един локален индикатор за налягане. В нагнетателната линия на помпата индикаторът трябва да бъде поставен между помпата и първия клапан. Допустимото максимално налягане или стойността на вакуума се посочва на всеки индикатор.</w:t>
      </w:r>
    </w:p>
    <w:p w14:paraId="646D15E5"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2.1.13.2.3 Трябва да се осигури аларма за високо налягане в системата за задържане на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и в помпата. Когато се изисква вакуумна защита, трябва да се осигури аларма за ниско налягане.</w:t>
      </w:r>
    </w:p>
    <w:p w14:paraId="47EDDA44"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 xml:space="preserve">2.1.13.2.4 Контролът на бункероването трябва да е възможен от безопасна контролна станция, отдалечена от станцията за бункероване. В тази контролна станция трябва да се следи налягането и нивото на резервоара за </w:t>
      </w:r>
      <w:r w:rsidRPr="00A013E1">
        <w:rPr>
          <w:rFonts w:ascii="Times New Roman" w:hAnsi="Times New Roman" w:cs="Times New Roman"/>
          <w:szCs w:val="24"/>
        </w:rPr>
        <w:t>LNG</w:t>
      </w:r>
      <w:r w:rsidRPr="00A013E1">
        <w:rPr>
          <w:rFonts w:ascii="Times New Roman" w:hAnsi="Times New Roman" w:cs="Times New Roman"/>
          <w:szCs w:val="24"/>
          <w:lang w:val="ru-RU"/>
        </w:rPr>
        <w:t xml:space="preserve"> гориво. Трябва да има аларма за препълване, аларма за високо и ниско налягане и автоматично изключване посочени в тази контролна станция.</w:t>
      </w:r>
    </w:p>
    <w:p w14:paraId="0ADB4802"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2.1.13.2.5 Ако вентилацията в тръбопровода, обхващащ бункерните линии, спре, на контролната станция се задейства оптична и звукова аларма.</w:t>
      </w:r>
    </w:p>
    <w:p w14:paraId="19663E62"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2.1.13.2.6 Ако се открие газ в тръбопровода, обхващащ тръбопровода за бункериране, на контролната станция трябва да се задейства оптична и акустична аларма и аварийно изключване.</w:t>
      </w:r>
    </w:p>
    <w:p w14:paraId="0273FE49" w14:textId="777777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2.1.13.2.7 На борда трябва да има подходящо и достатъчно за целта защитно облекло и оборудване за бункероване в съответствие с ръководството за експлоатация.</w:t>
      </w:r>
    </w:p>
    <w:p w14:paraId="08EA5F7B" w14:textId="4576092E" w:rsidR="00271FA2" w:rsidRPr="00A013E1" w:rsidRDefault="00D35E51"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2.1.13.</w:t>
      </w:r>
      <w:r w:rsidR="007E77D7" w:rsidRPr="00A013E1">
        <w:rPr>
          <w:rFonts w:ascii="Times New Roman" w:hAnsi="Times New Roman" w:cs="Times New Roman"/>
          <w:b/>
          <w:szCs w:val="24"/>
          <w:lang w:val="ru-RU"/>
        </w:rPr>
        <w:t xml:space="preserve">3 </w:t>
      </w:r>
      <w:r w:rsidR="007E77D7" w:rsidRPr="00A013E1">
        <w:rPr>
          <w:rFonts w:ascii="Times New Roman" w:hAnsi="Times New Roman" w:cs="Times New Roman"/>
          <w:szCs w:val="24"/>
          <w:lang w:val="ru-RU"/>
        </w:rPr>
        <w:t xml:space="preserve"> </w:t>
      </w:r>
      <w:r w:rsidRPr="00A013E1">
        <w:rPr>
          <w:rFonts w:ascii="Times New Roman" w:hAnsi="Times New Roman" w:cs="Times New Roman"/>
          <w:b/>
          <w:szCs w:val="24"/>
          <w:lang w:val="ru-RU"/>
        </w:rPr>
        <w:t>Предупредително оборудване за газ</w:t>
      </w:r>
    </w:p>
    <w:p w14:paraId="225DA529" w14:textId="3592A2E3" w:rsidR="00271FA2" w:rsidRPr="00A013E1" w:rsidRDefault="00D35E51" w:rsidP="005C5870">
      <w:pPr>
        <w:pStyle w:val="Esann8let"/>
        <w:spacing w:before="0"/>
        <w:ind w:left="993" w:hanging="993"/>
        <w:jc w:val="both"/>
        <w:rPr>
          <w:rFonts w:ascii="Times New Roman" w:hAnsi="Times New Roman" w:cs="Times New Roman"/>
          <w:szCs w:val="24"/>
          <w:lang w:val="ru-RU"/>
        </w:rPr>
      </w:pPr>
      <w:r w:rsidRPr="00A013E1">
        <w:rPr>
          <w:rFonts w:ascii="Times New Roman" w:hAnsi="Times New Roman" w:cs="Times New Roman"/>
          <w:szCs w:val="24"/>
          <w:lang w:val="ru-RU"/>
        </w:rPr>
        <w:lastRenderedPageBreak/>
        <w:t>2.1.13.</w:t>
      </w:r>
      <w:r w:rsidR="007E77D7" w:rsidRPr="00A013E1">
        <w:rPr>
          <w:rFonts w:ascii="Times New Roman" w:hAnsi="Times New Roman" w:cs="Times New Roman"/>
          <w:szCs w:val="24"/>
          <w:lang w:val="ru-RU"/>
        </w:rPr>
        <w:t>3</w:t>
      </w:r>
      <w:r w:rsidRPr="00A013E1">
        <w:rPr>
          <w:rFonts w:ascii="Times New Roman" w:hAnsi="Times New Roman" w:cs="Times New Roman"/>
          <w:szCs w:val="24"/>
          <w:lang w:val="ru-RU"/>
        </w:rPr>
        <w:t>.1</w:t>
      </w:r>
      <w:r w:rsidR="005C5870" w:rsidRPr="00A013E1">
        <w:rPr>
          <w:rFonts w:ascii="Times New Roman" w:hAnsi="Times New Roman" w:cs="Times New Roman"/>
          <w:szCs w:val="24"/>
          <w:lang w:val="ru-RU"/>
        </w:rPr>
        <w:t xml:space="preserve"> </w:t>
      </w:r>
      <w:r w:rsidRPr="00A013E1">
        <w:rPr>
          <w:rFonts w:ascii="Times New Roman" w:hAnsi="Times New Roman" w:cs="Times New Roman"/>
          <w:szCs w:val="24"/>
          <w:lang w:val="ru-RU"/>
        </w:rPr>
        <w:t xml:space="preserve">Предупредителното оборудване за газ трябва да бъде проектирано, инсталирано и тествано в съответствие с признат стандарт, като например Европейски стандарт </w:t>
      </w:r>
      <w:r w:rsidRPr="00A013E1">
        <w:rPr>
          <w:rFonts w:ascii="Times New Roman" w:hAnsi="Times New Roman" w:cs="Times New Roman"/>
          <w:szCs w:val="24"/>
        </w:rPr>
        <w:t>EN</w:t>
      </w:r>
      <w:r w:rsidRPr="00A013E1">
        <w:rPr>
          <w:rFonts w:ascii="Times New Roman" w:hAnsi="Times New Roman" w:cs="Times New Roman"/>
          <w:szCs w:val="24"/>
          <w:lang w:val="ru-RU"/>
        </w:rPr>
        <w:t xml:space="preserve"> 60079-29-1:2020.</w:t>
      </w:r>
    </w:p>
    <w:p w14:paraId="7D95E790" w14:textId="43E294C2" w:rsidR="00271FA2" w:rsidRPr="00A013E1" w:rsidRDefault="00D35E51" w:rsidP="005C5870">
      <w:pPr>
        <w:pStyle w:val="Esann8let"/>
        <w:spacing w:before="0"/>
        <w:ind w:left="993" w:hanging="993"/>
        <w:jc w:val="both"/>
        <w:rPr>
          <w:rFonts w:ascii="Times New Roman" w:hAnsi="Times New Roman" w:cs="Times New Roman"/>
          <w:szCs w:val="24"/>
          <w:lang w:val="ru-RU"/>
        </w:rPr>
      </w:pPr>
      <w:r w:rsidRPr="00A013E1">
        <w:rPr>
          <w:rFonts w:ascii="Times New Roman" w:hAnsi="Times New Roman" w:cs="Times New Roman"/>
          <w:szCs w:val="24"/>
          <w:lang w:val="ru-RU"/>
        </w:rPr>
        <w:t>2.1.13.</w:t>
      </w:r>
      <w:r w:rsidR="007E77D7" w:rsidRPr="00A013E1">
        <w:rPr>
          <w:rFonts w:ascii="Times New Roman" w:hAnsi="Times New Roman" w:cs="Times New Roman"/>
          <w:szCs w:val="24"/>
          <w:lang w:val="ru-RU"/>
        </w:rPr>
        <w:t>3</w:t>
      </w:r>
      <w:r w:rsidRPr="00A013E1">
        <w:rPr>
          <w:rFonts w:ascii="Times New Roman" w:hAnsi="Times New Roman" w:cs="Times New Roman"/>
          <w:szCs w:val="24"/>
          <w:lang w:val="ru-RU"/>
        </w:rPr>
        <w:t>.2 Постоянно монтираните газови детектори се монтират в:</w:t>
      </w:r>
    </w:p>
    <w:p w14:paraId="7AE17F10" w14:textId="77777777" w:rsidR="00271FA2" w:rsidRPr="00A013E1" w:rsidRDefault="00D35E51"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а) зони за свързване на резервоари, включително резервоари за LNG гориво, тръбни връзки и първи клапани;</w:t>
      </w:r>
    </w:p>
    <w:p w14:paraId="37D47D7A" w14:textId="77777777" w:rsidR="00271FA2" w:rsidRPr="00A013E1" w:rsidRDefault="00D35E51"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б) канали около газопроводи;</w:t>
      </w:r>
    </w:p>
    <w:p w14:paraId="6DDE841D" w14:textId="77777777" w:rsidR="00271FA2" w:rsidRPr="00A013E1" w:rsidRDefault="00D35E51"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в) машинни отделения, съдържащи газопроводи, газово оборудване или оборудване, консумиращо газ;</w:t>
      </w:r>
    </w:p>
    <w:p w14:paraId="0C7F41BA" w14:textId="77777777" w:rsidR="00271FA2" w:rsidRPr="00A013E1" w:rsidRDefault="00D35E51"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г) помещението, в което се намира системата за подготовка на газ;</w:t>
      </w:r>
    </w:p>
    <w:p w14:paraId="09093359" w14:textId="77777777" w:rsidR="00271FA2" w:rsidRPr="00A013E1" w:rsidRDefault="00D35E51"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д) други затворени помещения, съдържащи газопроводи или друго газово оборудване без канали;</w:t>
      </w:r>
    </w:p>
    <w:p w14:paraId="36F99847" w14:textId="77777777" w:rsidR="003F4DD5" w:rsidRPr="00A013E1" w:rsidRDefault="00D35E51"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е) други затворени или полузатворени помещения</w:t>
      </w:r>
    </w:p>
    <w:p w14:paraId="6FC650FD" w14:textId="32972453" w:rsidR="003F4DD5" w:rsidRPr="00A013E1" w:rsidRDefault="003F4DD5"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аа</w:t>
      </w:r>
      <w:r w:rsidR="00E53A72" w:rsidRPr="00A013E1">
        <w:rPr>
          <w:rFonts w:ascii="Times New Roman" w:hAnsi="Times New Roman" w:cs="Times New Roman"/>
          <w:szCs w:val="24"/>
          <w:lang w:val="ru-RU"/>
        </w:rPr>
        <w:t>)</w:t>
      </w:r>
      <w:r w:rsidR="00D35E51" w:rsidRPr="00A013E1">
        <w:rPr>
          <w:rFonts w:ascii="Times New Roman" w:hAnsi="Times New Roman" w:cs="Times New Roman"/>
          <w:szCs w:val="24"/>
          <w:lang w:val="ru-RU"/>
        </w:rPr>
        <w:t xml:space="preserve"> където могат да се натрупат газови пари, включително междубариерни пространства  </w:t>
      </w:r>
    </w:p>
    <w:p w14:paraId="41038857" w14:textId="13A45884" w:rsidR="00271FA2" w:rsidRPr="00A013E1" w:rsidRDefault="003F4DD5"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бб)</w:t>
      </w:r>
      <w:r w:rsidR="00D35E51" w:rsidRPr="00A013E1">
        <w:rPr>
          <w:rFonts w:ascii="Times New Roman" w:hAnsi="Times New Roman" w:cs="Times New Roman"/>
          <w:szCs w:val="24"/>
          <w:lang w:val="ru-RU"/>
        </w:rPr>
        <w:t>резервоарни помещения на независими резервоари за LNG гориво, различни от тип C;</w:t>
      </w:r>
    </w:p>
    <w:p w14:paraId="3F92557C" w14:textId="77777777" w:rsidR="00271FA2" w:rsidRPr="00A013E1" w:rsidRDefault="00D35E51"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ж) въздушни шлюзове; и</w:t>
      </w:r>
    </w:p>
    <w:p w14:paraId="6BE654C1" w14:textId="77777777" w:rsidR="00271FA2" w:rsidRPr="00A013E1" w:rsidRDefault="00D35E51" w:rsidP="005C5870">
      <w:pPr>
        <w:pStyle w:val="Esann8let"/>
        <w:spacing w:before="0"/>
        <w:ind w:left="993" w:firstLine="0"/>
        <w:jc w:val="both"/>
        <w:rPr>
          <w:rFonts w:ascii="Times New Roman" w:hAnsi="Times New Roman" w:cs="Times New Roman"/>
          <w:szCs w:val="24"/>
          <w:lang w:val="ru-RU"/>
        </w:rPr>
      </w:pPr>
      <w:r w:rsidRPr="00A013E1">
        <w:rPr>
          <w:rFonts w:ascii="Times New Roman" w:hAnsi="Times New Roman" w:cs="Times New Roman"/>
          <w:szCs w:val="24"/>
          <w:lang w:val="ru-RU"/>
        </w:rPr>
        <w:t>з) вентилационни отвори към помещения, в които могат да се натрупат газови пари.</w:t>
      </w:r>
    </w:p>
    <w:p w14:paraId="7E4E60BA" w14:textId="5AB1D666" w:rsidR="00271FA2" w:rsidRPr="00A013E1" w:rsidRDefault="00D35E51" w:rsidP="005C5870">
      <w:pPr>
        <w:pStyle w:val="Esann8let"/>
        <w:spacing w:before="0"/>
        <w:ind w:left="993" w:hanging="993"/>
        <w:jc w:val="both"/>
        <w:rPr>
          <w:rFonts w:ascii="Times New Roman" w:hAnsi="Times New Roman" w:cs="Times New Roman"/>
          <w:szCs w:val="24"/>
          <w:lang w:val="ru-RU"/>
        </w:rPr>
      </w:pPr>
      <w:r w:rsidRPr="00A013E1">
        <w:rPr>
          <w:rFonts w:ascii="Times New Roman" w:hAnsi="Times New Roman" w:cs="Times New Roman"/>
          <w:szCs w:val="24"/>
          <w:lang w:val="ru-RU"/>
        </w:rPr>
        <w:t>2.1.13.</w:t>
      </w:r>
      <w:r w:rsidR="007E77D7" w:rsidRPr="00A013E1">
        <w:rPr>
          <w:rFonts w:ascii="Times New Roman" w:hAnsi="Times New Roman" w:cs="Times New Roman"/>
          <w:szCs w:val="24"/>
          <w:lang w:val="ru-RU"/>
        </w:rPr>
        <w:t>3</w:t>
      </w:r>
      <w:r w:rsidRPr="00A013E1">
        <w:rPr>
          <w:rFonts w:ascii="Times New Roman" w:hAnsi="Times New Roman" w:cs="Times New Roman"/>
          <w:szCs w:val="24"/>
          <w:lang w:val="ru-RU"/>
        </w:rPr>
        <w:t>.3 Чрез дерогация от точка (2.1.13.</w:t>
      </w:r>
      <w:r w:rsidR="007F7CCE" w:rsidRPr="00A013E1">
        <w:rPr>
          <w:rFonts w:ascii="Times New Roman" w:hAnsi="Times New Roman" w:cs="Times New Roman"/>
          <w:szCs w:val="24"/>
          <w:lang w:val="ru-RU"/>
        </w:rPr>
        <w:t>3</w:t>
      </w:r>
      <w:r w:rsidRPr="00A013E1">
        <w:rPr>
          <w:rFonts w:ascii="Times New Roman" w:hAnsi="Times New Roman" w:cs="Times New Roman"/>
          <w:szCs w:val="24"/>
          <w:lang w:val="ru-RU"/>
        </w:rPr>
        <w:t>.2), постоянно инсталирани сензори, които откриват газ чрез разлика в налягането, могат да се използват за междубариерни пространства в двустенни тръбопроводи.</w:t>
      </w:r>
    </w:p>
    <w:p w14:paraId="1FE1C013" w14:textId="714D6503" w:rsidR="00271FA2" w:rsidRPr="00A013E1" w:rsidRDefault="00D35E51" w:rsidP="005C5870">
      <w:pPr>
        <w:pStyle w:val="Esann8let"/>
        <w:spacing w:before="0"/>
        <w:ind w:left="993" w:hanging="993"/>
        <w:jc w:val="both"/>
        <w:rPr>
          <w:rFonts w:ascii="Times New Roman" w:hAnsi="Times New Roman" w:cs="Times New Roman"/>
          <w:szCs w:val="24"/>
          <w:lang w:val="ru-RU"/>
        </w:rPr>
      </w:pPr>
      <w:r w:rsidRPr="00A013E1">
        <w:rPr>
          <w:rFonts w:ascii="Times New Roman" w:hAnsi="Times New Roman" w:cs="Times New Roman"/>
          <w:szCs w:val="24"/>
          <w:lang w:val="ru-RU"/>
        </w:rPr>
        <w:t>2.1.13.</w:t>
      </w:r>
      <w:r w:rsidR="007E77D7" w:rsidRPr="00A013E1">
        <w:rPr>
          <w:rFonts w:ascii="Times New Roman" w:hAnsi="Times New Roman" w:cs="Times New Roman"/>
          <w:szCs w:val="24"/>
          <w:lang w:val="ru-RU"/>
        </w:rPr>
        <w:t>3</w:t>
      </w:r>
      <w:r w:rsidRPr="00A013E1">
        <w:rPr>
          <w:rFonts w:ascii="Times New Roman" w:hAnsi="Times New Roman" w:cs="Times New Roman"/>
          <w:szCs w:val="24"/>
          <w:lang w:val="ru-RU"/>
        </w:rPr>
        <w:t xml:space="preserve">.4 Броят и препокриването от газови детектори във </w:t>
      </w:r>
      <w:r w:rsidR="00AE15F8" w:rsidRPr="00A013E1">
        <w:rPr>
          <w:rFonts w:ascii="Times New Roman" w:hAnsi="Times New Roman" w:cs="Times New Roman"/>
          <w:szCs w:val="24"/>
          <w:lang w:val="ru-RU"/>
        </w:rPr>
        <w:t xml:space="preserve">всяко  </w:t>
      </w:r>
      <w:r w:rsidR="000002F7" w:rsidRPr="00A013E1">
        <w:rPr>
          <w:rFonts w:ascii="Times New Roman" w:hAnsi="Times New Roman" w:cs="Times New Roman"/>
          <w:szCs w:val="24"/>
          <w:lang w:val="ru-RU"/>
        </w:rPr>
        <w:t>помещение</w:t>
      </w:r>
      <w:r w:rsidRPr="00A013E1">
        <w:rPr>
          <w:rFonts w:ascii="Times New Roman" w:hAnsi="Times New Roman" w:cs="Times New Roman"/>
          <w:szCs w:val="24"/>
          <w:lang w:val="ru-RU"/>
        </w:rPr>
        <w:t xml:space="preserve"> трябва да се вземат предвид, като се отчете размерът, разположението и вентилацията на помещението.</w:t>
      </w:r>
    </w:p>
    <w:p w14:paraId="32926029" w14:textId="412910BC" w:rsidR="00271FA2" w:rsidRPr="00A013E1" w:rsidRDefault="00D35E51" w:rsidP="005C5870">
      <w:pPr>
        <w:pStyle w:val="Esann8let"/>
        <w:spacing w:before="0"/>
        <w:ind w:left="993" w:hanging="993"/>
        <w:jc w:val="both"/>
        <w:rPr>
          <w:rFonts w:ascii="Times New Roman" w:hAnsi="Times New Roman" w:cs="Times New Roman"/>
          <w:szCs w:val="24"/>
          <w:lang w:val="ru-RU"/>
        </w:rPr>
      </w:pPr>
      <w:r w:rsidRPr="00A013E1">
        <w:rPr>
          <w:rFonts w:ascii="Times New Roman" w:hAnsi="Times New Roman" w:cs="Times New Roman"/>
          <w:szCs w:val="24"/>
          <w:lang w:val="ru-RU"/>
        </w:rPr>
        <w:t>2.1.13.</w:t>
      </w:r>
      <w:r w:rsidR="007E77D7" w:rsidRPr="00A013E1">
        <w:rPr>
          <w:rFonts w:ascii="Times New Roman" w:hAnsi="Times New Roman" w:cs="Times New Roman"/>
          <w:szCs w:val="24"/>
          <w:lang w:val="ru-RU"/>
        </w:rPr>
        <w:t>3</w:t>
      </w:r>
      <w:r w:rsidRPr="00A013E1">
        <w:rPr>
          <w:rFonts w:ascii="Times New Roman" w:hAnsi="Times New Roman" w:cs="Times New Roman"/>
          <w:szCs w:val="24"/>
          <w:lang w:val="ru-RU"/>
        </w:rPr>
        <w:t>.5 Постоянно монтираните газови детектори трябва да бъдат разположени там, където може да се натрупа газ и във вентилационните отвори на тези помещения.</w:t>
      </w:r>
    </w:p>
    <w:p w14:paraId="347FD4C5" w14:textId="5F73E4D2" w:rsidR="00271FA2" w:rsidRPr="00A013E1" w:rsidRDefault="00D35E51" w:rsidP="005C5870">
      <w:pPr>
        <w:pStyle w:val="Esann8let"/>
        <w:spacing w:before="0"/>
        <w:ind w:left="993" w:hanging="993"/>
        <w:jc w:val="both"/>
        <w:rPr>
          <w:rFonts w:ascii="Times New Roman" w:hAnsi="Times New Roman" w:cs="Times New Roman"/>
          <w:szCs w:val="24"/>
          <w:lang w:val="ru-RU"/>
        </w:rPr>
      </w:pPr>
      <w:r w:rsidRPr="00A013E1">
        <w:rPr>
          <w:rFonts w:ascii="Times New Roman" w:hAnsi="Times New Roman" w:cs="Times New Roman"/>
          <w:szCs w:val="24"/>
          <w:lang w:val="ru-RU"/>
        </w:rPr>
        <w:t>2.1.13.</w:t>
      </w:r>
      <w:r w:rsidR="007F7CCE" w:rsidRPr="00A013E1" w:rsidDel="007F7CCE">
        <w:rPr>
          <w:rFonts w:ascii="Times New Roman" w:hAnsi="Times New Roman" w:cs="Times New Roman"/>
          <w:szCs w:val="24"/>
          <w:lang w:val="ru-RU"/>
        </w:rPr>
        <w:t xml:space="preserve"> </w:t>
      </w:r>
      <w:r w:rsidR="007E77D7" w:rsidRPr="00A013E1">
        <w:rPr>
          <w:rFonts w:ascii="Times New Roman" w:hAnsi="Times New Roman" w:cs="Times New Roman"/>
          <w:szCs w:val="24"/>
          <w:lang w:val="ru-RU"/>
        </w:rPr>
        <w:t>3</w:t>
      </w:r>
      <w:r w:rsidRPr="00A013E1">
        <w:rPr>
          <w:rFonts w:ascii="Times New Roman" w:hAnsi="Times New Roman" w:cs="Times New Roman"/>
          <w:szCs w:val="24"/>
          <w:lang w:val="ru-RU"/>
        </w:rPr>
        <w:t>.6 Трябва да се активира оптична и акустична аларма, преди концентрацията на газа да достигне 20 % от долната граница на експлозивност. Системата за газова безопасност се задейства при 40 % от долната граница на експлозивност.</w:t>
      </w:r>
    </w:p>
    <w:p w14:paraId="2712552C" w14:textId="7C1E3509" w:rsidR="00271FA2" w:rsidRPr="00A013E1" w:rsidRDefault="00D35E51" w:rsidP="005C5870">
      <w:pPr>
        <w:pStyle w:val="Esann8let"/>
        <w:spacing w:before="0"/>
        <w:ind w:left="993" w:hanging="993"/>
        <w:jc w:val="both"/>
        <w:rPr>
          <w:rFonts w:ascii="Times New Roman" w:hAnsi="Times New Roman" w:cs="Times New Roman"/>
          <w:szCs w:val="24"/>
          <w:lang w:val="ru-RU"/>
        </w:rPr>
      </w:pPr>
      <w:r w:rsidRPr="00A013E1">
        <w:rPr>
          <w:rFonts w:ascii="Times New Roman" w:hAnsi="Times New Roman" w:cs="Times New Roman"/>
          <w:szCs w:val="24"/>
          <w:lang w:val="ru-RU"/>
        </w:rPr>
        <w:t>2.1.13.</w:t>
      </w:r>
      <w:r w:rsidR="007F7CCE" w:rsidRPr="00A013E1" w:rsidDel="007F7CCE">
        <w:rPr>
          <w:rFonts w:ascii="Times New Roman" w:hAnsi="Times New Roman" w:cs="Times New Roman"/>
          <w:szCs w:val="24"/>
          <w:lang w:val="ru-RU"/>
        </w:rPr>
        <w:t xml:space="preserve"> </w:t>
      </w:r>
      <w:r w:rsidR="007E77D7" w:rsidRPr="00A013E1">
        <w:rPr>
          <w:rFonts w:ascii="Times New Roman" w:hAnsi="Times New Roman" w:cs="Times New Roman"/>
          <w:szCs w:val="24"/>
          <w:lang w:val="ru-RU"/>
        </w:rPr>
        <w:t>3</w:t>
      </w:r>
      <w:r w:rsidRPr="00A013E1">
        <w:rPr>
          <w:rFonts w:ascii="Times New Roman" w:hAnsi="Times New Roman" w:cs="Times New Roman"/>
          <w:szCs w:val="24"/>
          <w:lang w:val="ru-RU"/>
        </w:rPr>
        <w:t>.7 Оптичните и акустичните аларми от оборудването за предупреждение за газ трябва да се задействат в рулевата рубка.</w:t>
      </w:r>
    </w:p>
    <w:p w14:paraId="055A3707" w14:textId="2DE597ED" w:rsidR="00271FA2" w:rsidRPr="00A013E1" w:rsidRDefault="00D35E51" w:rsidP="005C5870">
      <w:pPr>
        <w:pStyle w:val="Esann8let"/>
        <w:spacing w:before="0"/>
        <w:ind w:left="709" w:hanging="709"/>
        <w:jc w:val="both"/>
        <w:rPr>
          <w:rFonts w:ascii="Times New Roman" w:hAnsi="Times New Roman" w:cs="Times New Roman"/>
          <w:b/>
          <w:szCs w:val="24"/>
          <w:lang w:val="ru-RU"/>
        </w:rPr>
      </w:pPr>
      <w:r w:rsidRPr="00A013E1">
        <w:rPr>
          <w:rFonts w:ascii="Times New Roman" w:hAnsi="Times New Roman" w:cs="Times New Roman"/>
          <w:b/>
          <w:szCs w:val="24"/>
          <w:lang w:val="ru-RU"/>
        </w:rPr>
        <w:t>2.1.13.</w:t>
      </w:r>
      <w:r w:rsidR="007E77D7" w:rsidRPr="00A013E1">
        <w:rPr>
          <w:rFonts w:ascii="Times New Roman" w:hAnsi="Times New Roman" w:cs="Times New Roman"/>
          <w:b/>
          <w:szCs w:val="24"/>
          <w:lang w:val="ru-RU"/>
        </w:rPr>
        <w:t xml:space="preserve">4 </w:t>
      </w:r>
      <w:r w:rsidRPr="00A013E1">
        <w:rPr>
          <w:rFonts w:ascii="Times New Roman" w:hAnsi="Times New Roman" w:cs="Times New Roman"/>
          <w:b/>
          <w:szCs w:val="24"/>
          <w:lang w:val="ru-RU"/>
        </w:rPr>
        <w:t>Функции за безопасност на газоснабдителните системи</w:t>
      </w:r>
    </w:p>
    <w:p w14:paraId="70FDCA4D" w14:textId="5A15FA77"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w:t>
      </w:r>
      <w:r w:rsidR="007E77D7" w:rsidRPr="00A013E1">
        <w:rPr>
          <w:rFonts w:ascii="Times New Roman" w:hAnsi="Times New Roman" w:cs="Times New Roman"/>
          <w:szCs w:val="24"/>
          <w:lang w:val="ru-RU"/>
        </w:rPr>
        <w:t>4</w:t>
      </w:r>
      <w:r w:rsidRPr="00A013E1">
        <w:rPr>
          <w:rFonts w:ascii="Times New Roman" w:hAnsi="Times New Roman" w:cs="Times New Roman"/>
          <w:szCs w:val="24"/>
          <w:lang w:val="ru-RU"/>
        </w:rPr>
        <w:t xml:space="preserve">.1 Ако газоснабдителната система е изключена поради задействане на автоматичен кран, тя не трябва да се </w:t>
      </w:r>
      <w:r w:rsidR="00E01154" w:rsidRPr="00A013E1">
        <w:rPr>
          <w:rFonts w:ascii="Times New Roman" w:hAnsi="Times New Roman" w:cs="Times New Roman"/>
          <w:szCs w:val="24"/>
          <w:lang w:val="ru-RU"/>
        </w:rPr>
        <w:t>рестартира</w:t>
      </w:r>
      <w:r w:rsidRPr="00A013E1">
        <w:rPr>
          <w:rFonts w:ascii="Times New Roman" w:hAnsi="Times New Roman" w:cs="Times New Roman"/>
          <w:szCs w:val="24"/>
          <w:lang w:val="ru-RU"/>
        </w:rPr>
        <w:t>, докато не се установи причината за прекъсването и не се предприемат необходимите действия. Инструкциите за това се поставят на видно място в контролната станция за спирателните кранове в газопроводите.</w:t>
      </w:r>
    </w:p>
    <w:p w14:paraId="6386C765" w14:textId="28A4B6D2" w:rsidR="0029195C" w:rsidRPr="00A013E1" w:rsidRDefault="0029195C"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2.1.13.4.2 Ако системата за подаване на газ е изключена поради изтичане на газ, тя не трябва да се включва, докато не бъде открито мястото на изтичането и не бъдат предприети необходимите действия. Инструкции за това трябва да бъдат поставени на видно място в машинното отделение.</w:t>
      </w:r>
    </w:p>
    <w:p w14:paraId="5346E61B" w14:textId="18368AF6" w:rsidR="00271FA2" w:rsidRPr="00A013E1" w:rsidRDefault="00D35E51" w:rsidP="005C5870">
      <w:pPr>
        <w:pStyle w:val="Esann8let"/>
        <w:spacing w:before="0"/>
        <w:ind w:left="709" w:hanging="709"/>
        <w:jc w:val="both"/>
        <w:rPr>
          <w:rFonts w:ascii="Times New Roman" w:hAnsi="Times New Roman" w:cs="Times New Roman"/>
          <w:szCs w:val="24"/>
          <w:lang w:val="ru-RU"/>
        </w:rPr>
      </w:pPr>
      <w:r w:rsidRPr="00A013E1">
        <w:rPr>
          <w:rFonts w:ascii="Times New Roman" w:hAnsi="Times New Roman" w:cs="Times New Roman"/>
          <w:szCs w:val="24"/>
          <w:lang w:val="ru-RU"/>
        </w:rPr>
        <w:t>2.1.13.</w:t>
      </w:r>
      <w:r w:rsidR="007E77D7" w:rsidRPr="00A013E1">
        <w:rPr>
          <w:rFonts w:ascii="Times New Roman" w:hAnsi="Times New Roman" w:cs="Times New Roman"/>
          <w:szCs w:val="24"/>
          <w:lang w:val="ru-RU"/>
        </w:rPr>
        <w:t>4</w:t>
      </w:r>
      <w:r w:rsidRPr="00A013E1">
        <w:rPr>
          <w:rFonts w:ascii="Times New Roman" w:hAnsi="Times New Roman" w:cs="Times New Roman"/>
          <w:szCs w:val="24"/>
          <w:lang w:val="ru-RU"/>
        </w:rPr>
        <w:t>.3 Газоснабдителната система трябва да бъде организирана за ръчно дистанционно аварийно спиране от следните места, както е приложимо:</w:t>
      </w:r>
    </w:p>
    <w:p w14:paraId="61F676A5" w14:textId="77777777" w:rsidR="00271FA2" w:rsidRPr="00A013E1" w:rsidRDefault="00D35E51" w:rsidP="00195AED">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а) рулева рубка;</w:t>
      </w:r>
    </w:p>
    <w:p w14:paraId="473273CE" w14:textId="77777777" w:rsidR="00271FA2" w:rsidRPr="00A013E1" w:rsidRDefault="00D35E51" w:rsidP="00195AED">
      <w:pPr>
        <w:pStyle w:val="Esann8let"/>
        <w:spacing w:before="0"/>
        <w:ind w:left="709" w:firstLine="0"/>
        <w:jc w:val="both"/>
        <w:rPr>
          <w:rFonts w:ascii="Times New Roman" w:hAnsi="Times New Roman" w:cs="Times New Roman"/>
          <w:szCs w:val="24"/>
          <w:lang w:val="ru-RU"/>
        </w:rPr>
      </w:pPr>
      <w:r w:rsidRPr="00A013E1">
        <w:rPr>
          <w:rFonts w:ascii="Times New Roman" w:hAnsi="Times New Roman" w:cs="Times New Roman"/>
          <w:szCs w:val="24"/>
          <w:lang w:val="ru-RU"/>
        </w:rPr>
        <w:t>б) контролна станция на бункерната станция; или</w:t>
      </w:r>
    </w:p>
    <w:p w14:paraId="759173D5" w14:textId="77777777" w:rsidR="00271FA2" w:rsidRPr="00A013E1" w:rsidRDefault="00D35E51" w:rsidP="00195AED">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lastRenderedPageBreak/>
        <w:t>в) кое да е място с постоянен персонал.</w:t>
      </w:r>
    </w:p>
    <w:p w14:paraId="6815B5F3" w14:textId="77777777" w:rsidR="00271FA2" w:rsidRPr="00A013E1" w:rsidRDefault="00D35E51">
      <w:pPr>
        <w:pStyle w:val="Esann8let"/>
        <w:spacing w:before="0"/>
        <w:ind w:left="0" w:firstLine="0"/>
        <w:jc w:val="center"/>
        <w:rPr>
          <w:rFonts w:ascii="Times New Roman" w:hAnsi="Times New Roman" w:cs="Times New Roman"/>
          <w:b/>
        </w:rPr>
      </w:pPr>
      <w:r w:rsidRPr="00A013E1">
        <w:rPr>
          <w:rFonts w:ascii="Times New Roman" w:hAnsi="Times New Roman" w:cs="Times New Roman"/>
          <w:b/>
        </w:rPr>
        <w:t>Глава 2</w:t>
      </w:r>
    </w:p>
    <w:p w14:paraId="23F229FC" w14:textId="77777777" w:rsidR="00271FA2" w:rsidRPr="00A013E1" w:rsidRDefault="00D35E51">
      <w:pPr>
        <w:pStyle w:val="Esann8let"/>
        <w:spacing w:before="0"/>
        <w:ind w:left="0" w:firstLine="0"/>
        <w:jc w:val="center"/>
        <w:rPr>
          <w:rFonts w:ascii="Times New Roman" w:hAnsi="Times New Roman" w:cs="Times New Roman"/>
          <w:b/>
        </w:rPr>
      </w:pPr>
      <w:r w:rsidRPr="00A013E1">
        <w:rPr>
          <w:rFonts w:ascii="Times New Roman" w:hAnsi="Times New Roman" w:cs="Times New Roman"/>
          <w:b/>
        </w:rPr>
        <w:t>Метанол</w:t>
      </w:r>
    </w:p>
    <w:p w14:paraId="135739A3" w14:textId="77777777" w:rsidR="007E77D7" w:rsidRPr="00A013E1" w:rsidRDefault="007E77D7" w:rsidP="00490BB0">
      <w:pPr>
        <w:rPr>
          <w:rFonts w:ascii="Times New Roman" w:hAnsi="Times New Roman" w:cs="Times New Roman"/>
          <w:b/>
        </w:rPr>
      </w:pPr>
      <w:r w:rsidRPr="00A013E1">
        <w:rPr>
          <w:rFonts w:ascii="Times New Roman" w:hAnsi="Times New Roman" w:cs="Times New Roman"/>
          <w:b/>
        </w:rPr>
        <w:t>2.2.1 Общи положения</w:t>
      </w:r>
    </w:p>
    <w:p w14:paraId="144AE8F3" w14:textId="77777777" w:rsidR="007E77D7" w:rsidRPr="00A013E1" w:rsidRDefault="007E77D7" w:rsidP="00195AED">
      <w:pPr>
        <w:ind w:left="851" w:hanging="851"/>
        <w:rPr>
          <w:rFonts w:ascii="Times New Roman" w:hAnsi="Times New Roman" w:cs="Times New Roman"/>
        </w:rPr>
      </w:pPr>
    </w:p>
    <w:p w14:paraId="5986C86F" w14:textId="5DD79435" w:rsidR="003C09B6" w:rsidRPr="00A013E1" w:rsidRDefault="009929F2" w:rsidP="00195AED">
      <w:pPr>
        <w:pStyle w:val="ListParagraph"/>
        <w:numPr>
          <w:ilvl w:val="3"/>
          <w:numId w:val="9"/>
        </w:numPr>
        <w:ind w:left="851" w:hanging="851"/>
        <w:jc w:val="both"/>
        <w:rPr>
          <w:rFonts w:ascii="Times New Roman" w:hAnsi="Times New Roman" w:cs="Times New Roman"/>
        </w:rPr>
      </w:pPr>
      <w:r w:rsidRPr="00A013E1">
        <w:rPr>
          <w:rFonts w:ascii="Times New Roman" w:hAnsi="Times New Roman" w:cs="Times New Roman"/>
          <w:lang w:val="ru-RU"/>
        </w:rPr>
        <w:t xml:space="preserve"> </w:t>
      </w:r>
      <w:r w:rsidR="007E77D7" w:rsidRPr="00A013E1">
        <w:rPr>
          <w:rFonts w:ascii="Times New Roman" w:hAnsi="Times New Roman" w:cs="Times New Roman"/>
          <w:lang w:val="ru-RU"/>
        </w:rPr>
        <w:t>Оборудването или тръбопроводите, съдържащи течно метанолно гориво, трябва да бъдат</w:t>
      </w:r>
      <w:r w:rsidR="00E45E32" w:rsidRPr="00A013E1">
        <w:rPr>
          <w:rFonts w:ascii="Times New Roman" w:hAnsi="Times New Roman" w:cs="Times New Roman"/>
          <w:lang w:val="ru-RU"/>
        </w:rPr>
        <w:t xml:space="preserve"> </w:t>
      </w:r>
      <w:r w:rsidR="007E77D7" w:rsidRPr="00A013E1">
        <w:rPr>
          <w:rFonts w:ascii="Times New Roman" w:hAnsi="Times New Roman" w:cs="Times New Roman"/>
          <w:lang w:val="ru-RU"/>
        </w:rPr>
        <w:t xml:space="preserve">разположени в заграждения, пространства или канали, осигуряващи вторична бариера. </w:t>
      </w:r>
      <w:r w:rsidR="007E77D7" w:rsidRPr="00A013E1">
        <w:rPr>
          <w:rFonts w:ascii="Times New Roman" w:hAnsi="Times New Roman" w:cs="Times New Roman"/>
        </w:rPr>
        <w:t xml:space="preserve">Това изискване </w:t>
      </w:r>
      <w:r w:rsidR="00ED0E1C" w:rsidRPr="00A013E1">
        <w:rPr>
          <w:rFonts w:ascii="Times New Roman" w:hAnsi="Times New Roman" w:cs="Times New Roman"/>
        </w:rPr>
        <w:t xml:space="preserve"> е предимно</w:t>
      </w:r>
      <w:r w:rsidR="007E77D7" w:rsidRPr="00A013E1">
        <w:rPr>
          <w:rFonts w:ascii="Times New Roman" w:hAnsi="Times New Roman" w:cs="Times New Roman"/>
        </w:rPr>
        <w:t xml:space="preserve"> за помпата, филтрите и фитингите</w:t>
      </w:r>
    </w:p>
    <w:p w14:paraId="508D27CD" w14:textId="77777777" w:rsidR="003C09B6" w:rsidRPr="00A013E1" w:rsidRDefault="003C09B6" w:rsidP="00195AED">
      <w:pPr>
        <w:pStyle w:val="ListParagraph"/>
        <w:ind w:left="851" w:hanging="851"/>
        <w:jc w:val="both"/>
        <w:rPr>
          <w:rFonts w:ascii="Times New Roman" w:hAnsi="Times New Roman" w:cs="Times New Roman"/>
        </w:rPr>
      </w:pPr>
    </w:p>
    <w:p w14:paraId="1B7F3109" w14:textId="4DF3531A" w:rsidR="007E77D7" w:rsidRPr="00A013E1" w:rsidRDefault="007E77D7" w:rsidP="00195AED">
      <w:pPr>
        <w:pStyle w:val="ListParagraph"/>
        <w:ind w:left="851" w:hanging="851"/>
        <w:rPr>
          <w:rFonts w:ascii="Times New Roman" w:hAnsi="Times New Roman" w:cs="Times New Roman"/>
          <w:lang w:val="ru-RU"/>
        </w:rPr>
      </w:pPr>
      <w:r w:rsidRPr="00A013E1">
        <w:rPr>
          <w:rFonts w:ascii="Times New Roman" w:hAnsi="Times New Roman" w:cs="Times New Roman"/>
          <w:lang w:val="ru-RU"/>
        </w:rPr>
        <w:t>Не е необходима вторична бариера на открита палуба.</w:t>
      </w:r>
    </w:p>
    <w:p w14:paraId="158B9E3B" w14:textId="0AC7E0F8"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b/>
          <w:lang w:val="ru-RU"/>
        </w:rPr>
        <w:t>2.2.2 Резервоари за гориво с метанол</w:t>
      </w:r>
    </w:p>
    <w:p w14:paraId="2841ED51" w14:textId="5D944E5F"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2.2.2.1 Метанолното гориво се съхранява в резервоари, които са</w:t>
      </w:r>
      <w:r w:rsidR="009929F2" w:rsidRPr="00A013E1">
        <w:rPr>
          <w:rFonts w:ascii="Times New Roman" w:hAnsi="Times New Roman" w:cs="Times New Roman"/>
          <w:lang w:val="ru-RU"/>
        </w:rPr>
        <w:t>:</w:t>
      </w:r>
    </w:p>
    <w:p w14:paraId="0439F287" w14:textId="0FC08BF4" w:rsidR="007E77D7" w:rsidRPr="00A013E1" w:rsidRDefault="00195AED" w:rsidP="00195AED">
      <w:pPr>
        <w:ind w:left="851"/>
        <w:jc w:val="both"/>
        <w:rPr>
          <w:rFonts w:ascii="Times New Roman" w:hAnsi="Times New Roman" w:cs="Times New Roman"/>
          <w:lang w:val="ru-RU"/>
        </w:rPr>
      </w:pPr>
      <w:r w:rsidRPr="00A013E1">
        <w:rPr>
          <w:rFonts w:ascii="Times New Roman" w:hAnsi="Times New Roman" w:cs="Times New Roman"/>
          <w:lang w:val="ru-RU"/>
        </w:rPr>
        <w:t>а)</w:t>
      </w:r>
      <w:r w:rsidR="007E77D7" w:rsidRPr="00A013E1">
        <w:rPr>
          <w:rFonts w:ascii="Times New Roman" w:hAnsi="Times New Roman" w:cs="Times New Roman"/>
          <w:lang w:val="ru-RU"/>
        </w:rPr>
        <w:t xml:space="preserve"> неразделна част от корпуса или здраво закрепени към корпуса;</w:t>
      </w:r>
    </w:p>
    <w:p w14:paraId="0168EE6C" w14:textId="3C006750" w:rsidR="007E77D7" w:rsidRPr="00A013E1" w:rsidRDefault="000C7B06" w:rsidP="00195AED">
      <w:pPr>
        <w:ind w:left="851"/>
        <w:jc w:val="both"/>
        <w:rPr>
          <w:rFonts w:ascii="Times New Roman" w:hAnsi="Times New Roman" w:cs="Times New Roman"/>
          <w:lang w:val="ru-RU"/>
        </w:rPr>
      </w:pPr>
      <w:r w:rsidRPr="00A013E1">
        <w:rPr>
          <w:rFonts w:ascii="Times New Roman" w:hAnsi="Times New Roman" w:cs="Times New Roman"/>
          <w:lang w:val="ru-RU"/>
        </w:rPr>
        <w:t>б)</w:t>
      </w:r>
      <w:r w:rsidR="00195AED" w:rsidRPr="00A013E1">
        <w:rPr>
          <w:rFonts w:ascii="Times New Roman" w:hAnsi="Times New Roman" w:cs="Times New Roman"/>
          <w:lang w:val="ru-RU"/>
        </w:rPr>
        <w:t xml:space="preserve"> </w:t>
      </w:r>
      <w:r w:rsidR="007E77D7" w:rsidRPr="00A013E1">
        <w:rPr>
          <w:rFonts w:ascii="Times New Roman" w:hAnsi="Times New Roman" w:cs="Times New Roman"/>
          <w:lang w:val="ru-RU"/>
        </w:rPr>
        <w:t>направени така, че да могат да издържат на механични, химични и термични натоварвания, на които е вероятно да бъдат подложени.</w:t>
      </w:r>
    </w:p>
    <w:p w14:paraId="63848D34" w14:textId="519F8A68"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 xml:space="preserve">Могат да се използват материали, различни от стомана, за резервоари за метанолно гориво (състоящи се от първична бариера и, където е приложимо, вторична бариера), при условие че тези материали имат структурни свойства и характеристики на цялост, еквивалентни на стоманата, в края на приложимото излагане на огън съгласно стандартния едночасов тест за пожар. Тези изисквания се считат за изпълнени, когато използваните материали осигуряват прегради тип </w:t>
      </w:r>
      <w:r w:rsidRPr="00A013E1">
        <w:rPr>
          <w:rFonts w:ascii="Times New Roman" w:hAnsi="Times New Roman" w:cs="Times New Roman"/>
        </w:rPr>
        <w:t>A</w:t>
      </w:r>
      <w:r w:rsidRPr="00A013E1">
        <w:rPr>
          <w:rFonts w:ascii="Times New Roman" w:hAnsi="Times New Roman" w:cs="Times New Roman"/>
          <w:lang w:val="ru-RU"/>
        </w:rPr>
        <w:t>60.</w:t>
      </w:r>
    </w:p>
    <w:p w14:paraId="34F9A766" w14:textId="708DA2DA"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2.2.2.2 Резервоарите за метанол и техните тръбопроводи трябва да бъдат проектирани така, че да предотвратяват електростатични заряди. Отделните резервоари за гориво трябва да бъдат електрически свързани към конструкцията на плавателния съд.</w:t>
      </w:r>
    </w:p>
    <w:p w14:paraId="1F4D43B3" w14:textId="0D626892"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2.2.2.3 Резервоарите за гориво с метанол и техните тръбопроводи и други аксесоари трябва да бъдат разположени по такъв начин, че нито горивото, нито горивните изпарения да могат случайно да достигнат вътрешността на плавателния съд.</w:t>
      </w:r>
    </w:p>
    <w:p w14:paraId="71EDAA9E" w14:textId="3E814C6D"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2.2.2.4 </w:t>
      </w:r>
      <w:r w:rsidR="00195AED" w:rsidRPr="00A013E1">
        <w:rPr>
          <w:rFonts w:ascii="Times New Roman" w:hAnsi="Times New Roman" w:cs="Times New Roman"/>
          <w:lang w:val="ru-RU"/>
        </w:rPr>
        <w:tab/>
      </w:r>
      <w:r w:rsidRPr="00A013E1">
        <w:rPr>
          <w:rFonts w:ascii="Times New Roman" w:hAnsi="Times New Roman" w:cs="Times New Roman"/>
          <w:lang w:val="ru-RU"/>
        </w:rPr>
        <w:t xml:space="preserve">Не могат да бъдат разположени резервоари за гориво с метанол пред </w:t>
      </w:r>
      <w:r w:rsidR="005A3C5A" w:rsidRPr="00A013E1">
        <w:rPr>
          <w:rFonts w:ascii="Times New Roman" w:hAnsi="Times New Roman" w:cs="Times New Roman"/>
          <w:lang w:val="ru-RU"/>
        </w:rPr>
        <w:t xml:space="preserve">таранната </w:t>
      </w:r>
      <w:r w:rsidRPr="00A013E1">
        <w:rPr>
          <w:rFonts w:ascii="Times New Roman" w:hAnsi="Times New Roman" w:cs="Times New Roman"/>
          <w:lang w:val="ru-RU"/>
        </w:rPr>
        <w:t xml:space="preserve">преградата или зад </w:t>
      </w:r>
      <w:r w:rsidR="005A3C5A" w:rsidRPr="00A013E1">
        <w:rPr>
          <w:rFonts w:ascii="Times New Roman" w:hAnsi="Times New Roman" w:cs="Times New Roman"/>
          <w:lang w:val="ru-RU"/>
        </w:rPr>
        <w:t xml:space="preserve">ахтерпиковата </w:t>
      </w:r>
      <w:r w:rsidRPr="00A013E1">
        <w:rPr>
          <w:rFonts w:ascii="Times New Roman" w:hAnsi="Times New Roman" w:cs="Times New Roman"/>
          <w:lang w:val="ru-RU"/>
        </w:rPr>
        <w:t>преграда</w:t>
      </w:r>
      <w:r w:rsidR="002F01EB" w:rsidRPr="00A013E1">
        <w:rPr>
          <w:rFonts w:ascii="Times New Roman" w:hAnsi="Times New Roman" w:cs="Times New Roman"/>
          <w:lang w:val="ru-RU"/>
        </w:rPr>
        <w:t xml:space="preserve"> </w:t>
      </w:r>
    </w:p>
    <w:p w14:paraId="45B76C01" w14:textId="77777777"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2.2.2.5 Резервоарите за гориво с метанол и техните фитинги не трябва да бъдат разположени директно над двигатели или изпускателни тръби.</w:t>
      </w:r>
    </w:p>
    <w:p w14:paraId="18F4E3E9" w14:textId="59E3FE3A"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2.2.2.6 </w:t>
      </w:r>
      <w:r w:rsidR="00195AED" w:rsidRPr="00A013E1">
        <w:rPr>
          <w:rFonts w:ascii="Times New Roman" w:hAnsi="Times New Roman" w:cs="Times New Roman"/>
          <w:lang w:val="ru-RU"/>
        </w:rPr>
        <w:tab/>
      </w:r>
      <w:r w:rsidRPr="00A013E1">
        <w:rPr>
          <w:rFonts w:ascii="Times New Roman" w:hAnsi="Times New Roman" w:cs="Times New Roman"/>
          <w:lang w:val="ru-RU"/>
        </w:rPr>
        <w:t>Директно при изходите на резервоара тръбопроводът за подаване на гориво трябва да бъде снабден с бързо затварящ се клапан, който може да се управлява от палубата, дори когато въпросните пространства са затворени.</w:t>
      </w:r>
    </w:p>
    <w:p w14:paraId="0643AA70" w14:textId="7C128CD6" w:rsidR="007E77D7" w:rsidRPr="00A013E1" w:rsidRDefault="007E77D7" w:rsidP="00195AED">
      <w:pPr>
        <w:ind w:left="851" w:hanging="131"/>
        <w:jc w:val="both"/>
        <w:rPr>
          <w:rFonts w:ascii="Times New Roman" w:hAnsi="Times New Roman" w:cs="Times New Roman"/>
          <w:lang w:val="ru-RU"/>
        </w:rPr>
      </w:pPr>
      <w:r w:rsidRPr="00A013E1">
        <w:rPr>
          <w:rFonts w:ascii="Times New Roman" w:hAnsi="Times New Roman" w:cs="Times New Roman"/>
          <w:lang w:val="ru-RU"/>
        </w:rPr>
        <w:t xml:space="preserve">Ако устройството за управление е скрито, капакът или </w:t>
      </w:r>
      <w:r w:rsidR="00F55D1C" w:rsidRPr="00A013E1">
        <w:rPr>
          <w:rFonts w:ascii="Times New Roman" w:hAnsi="Times New Roman" w:cs="Times New Roman"/>
          <w:lang w:val="ru-RU"/>
        </w:rPr>
        <w:t xml:space="preserve"> закритието</w:t>
      </w:r>
      <w:r w:rsidRPr="00A013E1">
        <w:rPr>
          <w:rFonts w:ascii="Times New Roman" w:hAnsi="Times New Roman" w:cs="Times New Roman"/>
          <w:lang w:val="ru-RU"/>
        </w:rPr>
        <w:t xml:space="preserve"> не трябва да могат да се заключват.</w:t>
      </w:r>
    </w:p>
    <w:p w14:paraId="6CEE49C6" w14:textId="77777777" w:rsidR="007E77D7" w:rsidRPr="00A013E1" w:rsidRDefault="007E77D7" w:rsidP="00195AED">
      <w:pPr>
        <w:ind w:left="851" w:hanging="131"/>
        <w:jc w:val="both"/>
        <w:rPr>
          <w:rFonts w:ascii="Times New Roman" w:hAnsi="Times New Roman" w:cs="Times New Roman"/>
          <w:lang w:val="ru-RU"/>
        </w:rPr>
      </w:pPr>
      <w:r w:rsidRPr="00A013E1">
        <w:rPr>
          <w:rFonts w:ascii="Times New Roman" w:hAnsi="Times New Roman" w:cs="Times New Roman"/>
          <w:lang w:val="ru-RU"/>
        </w:rPr>
        <w:t xml:space="preserve">Работното устройство се маркира в червено. Ако устройството е скрито, то трябва да бъде маркирано със символ за „бързо затварящ се клапан на резервоара“ в съответствие с фигура 9 от приложение 4 с дължина на страната най-малко 10 </w:t>
      </w:r>
      <w:r w:rsidRPr="00A013E1">
        <w:rPr>
          <w:rFonts w:ascii="Times New Roman" w:hAnsi="Times New Roman" w:cs="Times New Roman"/>
        </w:rPr>
        <w:t>cm</w:t>
      </w:r>
      <w:r w:rsidRPr="00A013E1">
        <w:rPr>
          <w:rFonts w:ascii="Times New Roman" w:hAnsi="Times New Roman" w:cs="Times New Roman"/>
          <w:lang w:val="ru-RU"/>
        </w:rPr>
        <w:t>.</w:t>
      </w:r>
    </w:p>
    <w:p w14:paraId="38C07AFB" w14:textId="27712E11"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lastRenderedPageBreak/>
        <w:t xml:space="preserve">2.2.2.7 </w:t>
      </w:r>
      <w:r w:rsidR="00195AED" w:rsidRPr="00A013E1">
        <w:rPr>
          <w:rFonts w:ascii="Times New Roman" w:hAnsi="Times New Roman" w:cs="Times New Roman"/>
          <w:lang w:val="ru-RU"/>
        </w:rPr>
        <w:tab/>
      </w:r>
      <w:r w:rsidRPr="00A013E1">
        <w:rPr>
          <w:rFonts w:ascii="Times New Roman" w:hAnsi="Times New Roman" w:cs="Times New Roman"/>
          <w:lang w:val="ru-RU"/>
        </w:rPr>
        <w:t xml:space="preserve">Резервоарите за гориво с метанол трябва да бъдат защитени срещу разливане на гориво по време на бункериране посредством подходящи бордови технически устройства, които се вписват в точка 52 от </w:t>
      </w:r>
      <w:r w:rsidR="00357782" w:rsidRPr="00A013E1">
        <w:rPr>
          <w:rFonts w:ascii="Times New Roman" w:hAnsi="Times New Roman" w:cs="Times New Roman"/>
          <w:lang w:val="ru-RU"/>
        </w:rPr>
        <w:t xml:space="preserve"> корабно</w:t>
      </w:r>
      <w:r w:rsidR="00033E6B" w:rsidRPr="00A013E1">
        <w:rPr>
          <w:rFonts w:ascii="Times New Roman" w:hAnsi="Times New Roman" w:cs="Times New Roman"/>
          <w:lang w:val="ru-RU"/>
        </w:rPr>
        <w:t>то</w:t>
      </w:r>
      <w:r w:rsidR="00357782" w:rsidRPr="00A013E1">
        <w:rPr>
          <w:rFonts w:ascii="Times New Roman" w:hAnsi="Times New Roman" w:cs="Times New Roman"/>
          <w:lang w:val="ru-RU"/>
        </w:rPr>
        <w:t xml:space="preserve"> удостоверение за вътрешно корабоплаване</w:t>
      </w:r>
      <w:r w:rsidRPr="00A013E1">
        <w:rPr>
          <w:rFonts w:ascii="Times New Roman" w:hAnsi="Times New Roman" w:cs="Times New Roman"/>
          <w:lang w:val="ru-RU"/>
        </w:rPr>
        <w:t>. Дерогация от това изискване е приемлива, ако горивото се приема от бункерни станции със собствени технически устройства за предотвратяване на разливи на гориво на борда по време на бункериране.</w:t>
      </w:r>
    </w:p>
    <w:p w14:paraId="25C0C513" w14:textId="77777777" w:rsidR="007E77D7" w:rsidRPr="00A013E1" w:rsidRDefault="007E77D7" w:rsidP="00A349C3">
      <w:pPr>
        <w:spacing w:after="240"/>
        <w:ind w:left="851" w:hanging="851"/>
        <w:jc w:val="both"/>
        <w:rPr>
          <w:rFonts w:ascii="Times New Roman" w:hAnsi="Times New Roman" w:cs="Times New Roman"/>
          <w:lang w:val="ru-RU"/>
        </w:rPr>
      </w:pPr>
      <w:r w:rsidRPr="00A013E1">
        <w:rPr>
          <w:rFonts w:ascii="Times New Roman" w:hAnsi="Times New Roman" w:cs="Times New Roman"/>
          <w:lang w:val="ru-RU"/>
        </w:rPr>
        <w:t>2.2.2.8 Трябва да се постави фиксирана тръбопроводна система, която да позволява безопасно освобождаване на газ от всеки резервоар за гориво.</w:t>
      </w:r>
    </w:p>
    <w:p w14:paraId="6F552C96" w14:textId="77777777" w:rsidR="007E77D7" w:rsidRPr="00A013E1" w:rsidRDefault="007E77D7" w:rsidP="00195AED">
      <w:pPr>
        <w:ind w:left="851" w:hanging="851"/>
        <w:rPr>
          <w:rFonts w:ascii="Times New Roman" w:hAnsi="Times New Roman" w:cs="Times New Roman"/>
          <w:lang w:val="ru-RU"/>
        </w:rPr>
      </w:pPr>
    </w:p>
    <w:p w14:paraId="319C69A8" w14:textId="77777777" w:rsidR="007E77D7" w:rsidRPr="00A013E1" w:rsidRDefault="007E77D7" w:rsidP="00195AED">
      <w:pPr>
        <w:ind w:left="851" w:hanging="851"/>
        <w:rPr>
          <w:rFonts w:ascii="Times New Roman" w:hAnsi="Times New Roman" w:cs="Times New Roman"/>
          <w:b/>
          <w:lang w:val="ru-RU"/>
        </w:rPr>
      </w:pPr>
      <w:r w:rsidRPr="00A013E1">
        <w:rPr>
          <w:rFonts w:ascii="Times New Roman" w:hAnsi="Times New Roman" w:cs="Times New Roman"/>
          <w:b/>
          <w:lang w:val="ru-RU"/>
        </w:rPr>
        <w:t>2.2.3 Резервоари за гориво с инертен метанол</w:t>
      </w:r>
    </w:p>
    <w:p w14:paraId="62440F86" w14:textId="3789F6B3"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2.2.3.1 Резервоарите за гориво с инертен метанол трябва да бъдат </w:t>
      </w:r>
      <w:r w:rsidR="00856CDC" w:rsidRPr="00A013E1">
        <w:rPr>
          <w:rFonts w:ascii="Times New Roman" w:hAnsi="Times New Roman" w:cs="Times New Roman"/>
          <w:lang w:val="ru-RU"/>
        </w:rPr>
        <w:t xml:space="preserve"> </w:t>
      </w:r>
      <w:r w:rsidR="00703AE5" w:rsidRPr="00A013E1">
        <w:rPr>
          <w:rFonts w:ascii="Times New Roman" w:hAnsi="Times New Roman" w:cs="Times New Roman"/>
          <w:lang w:val="ru-RU"/>
        </w:rPr>
        <w:t>инертно запълнени</w:t>
      </w:r>
      <w:r w:rsidRPr="00A013E1">
        <w:rPr>
          <w:rFonts w:ascii="Times New Roman" w:hAnsi="Times New Roman" w:cs="Times New Roman"/>
          <w:lang w:val="ru-RU"/>
        </w:rPr>
        <w:t xml:space="preserve"> през цялото време по време на нормална работа.</w:t>
      </w:r>
    </w:p>
    <w:p w14:paraId="760CC203" w14:textId="77777777"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2.2.3.2 Конструкцията на системата с инертен резервоар трябва да елиминира възможността за експлозивна атмосфера в резервоара за гориво по време на която и да е част от операцията по смяна на газа, освобождаване на газ или инертиране чрез използване на инертираща среда.</w:t>
      </w:r>
    </w:p>
    <w:p w14:paraId="4750E7BC" w14:textId="724F048B"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2.2.3.3 Съгласно (2.2.1.1), ако резервоарите за гориво с инертен метанол са разположени под палубата, те трябва да бъдат заобиколени от вторична бариера за ограничаване и откриване на изтичане. Въпреки това, вторичната бариера може да бъде пропусната </w:t>
      </w:r>
      <w:r w:rsidR="0018210B" w:rsidRPr="00A013E1">
        <w:rPr>
          <w:rFonts w:ascii="Times New Roman" w:hAnsi="Times New Roman" w:cs="Times New Roman"/>
          <w:lang w:val="ru-RU"/>
        </w:rPr>
        <w:t xml:space="preserve"> за</w:t>
      </w:r>
      <w:r w:rsidRPr="00A013E1">
        <w:rPr>
          <w:rFonts w:ascii="Times New Roman" w:hAnsi="Times New Roman" w:cs="Times New Roman"/>
          <w:lang w:val="ru-RU"/>
        </w:rPr>
        <w:t xml:space="preserve"> тези повърхности, </w:t>
      </w:r>
      <w:r w:rsidR="0018210B" w:rsidRPr="00A013E1">
        <w:rPr>
          <w:rFonts w:ascii="Times New Roman" w:hAnsi="Times New Roman" w:cs="Times New Roman"/>
          <w:lang w:val="ru-RU"/>
        </w:rPr>
        <w:t xml:space="preserve">които са ограничени </w:t>
      </w:r>
      <w:r w:rsidRPr="00A013E1">
        <w:rPr>
          <w:rFonts w:ascii="Times New Roman" w:hAnsi="Times New Roman" w:cs="Times New Roman"/>
          <w:lang w:val="ru-RU"/>
        </w:rPr>
        <w:t xml:space="preserve"> </w:t>
      </w:r>
      <w:r w:rsidR="0018210B" w:rsidRPr="00A013E1">
        <w:rPr>
          <w:rFonts w:ascii="Times New Roman" w:hAnsi="Times New Roman" w:cs="Times New Roman"/>
          <w:lang w:val="ru-RU"/>
        </w:rPr>
        <w:t>от:</w:t>
      </w:r>
    </w:p>
    <w:p w14:paraId="05D6EF6B" w14:textId="5C6E32E5"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 xml:space="preserve">а) </w:t>
      </w:r>
      <w:r w:rsidR="0088655B" w:rsidRPr="00A013E1">
        <w:rPr>
          <w:rFonts w:ascii="Times New Roman" w:hAnsi="Times New Roman" w:cs="Times New Roman"/>
          <w:lang w:val="ru-RU"/>
        </w:rPr>
        <w:t xml:space="preserve"> външна обшивка</w:t>
      </w:r>
      <w:r w:rsidRPr="00A013E1">
        <w:rPr>
          <w:rFonts w:ascii="Times New Roman" w:hAnsi="Times New Roman" w:cs="Times New Roman"/>
          <w:lang w:val="ru-RU"/>
        </w:rPr>
        <w:t>,</w:t>
      </w:r>
    </w:p>
    <w:p w14:paraId="21AB805D" w14:textId="77777777"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б) горни части на резервоарите, които не са под статичното налягане на течността и са обърнати към открита палуба,</w:t>
      </w:r>
    </w:p>
    <w:p w14:paraId="4B6834DE" w14:textId="77777777"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в) горни части на резервоарите, които не са под статичното налягане на течността и разположени срещу тях пространства, постоянно вентилирани с най-малко 15 обмена на въздух на час (напр. машинни отделения, помпени отделения или подобни), или</w:t>
      </w:r>
    </w:p>
    <w:p w14:paraId="77C1149E" w14:textId="77777777"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г) други резервоари за метанолно гориво или помещения с оборудване, съдържащо метанолно гориво.</w:t>
      </w:r>
    </w:p>
    <w:p w14:paraId="6608E38F" w14:textId="77777777" w:rsidR="007E77D7" w:rsidRPr="00A013E1" w:rsidRDefault="007E77D7" w:rsidP="00195AED">
      <w:pPr>
        <w:ind w:left="851" w:hanging="851"/>
        <w:jc w:val="both"/>
        <w:rPr>
          <w:rFonts w:ascii="Times New Roman" w:hAnsi="Times New Roman" w:cs="Times New Roman"/>
          <w:lang w:val="ru-RU"/>
        </w:rPr>
      </w:pPr>
      <w:r w:rsidRPr="00A013E1">
        <w:rPr>
          <w:rFonts w:ascii="Times New Roman" w:hAnsi="Times New Roman" w:cs="Times New Roman"/>
          <w:lang w:val="ru-RU"/>
        </w:rPr>
        <w:t>2.2.3.4 За резервоари за гориво с инертен метанол под палубата,</w:t>
      </w:r>
    </w:p>
    <w:p w14:paraId="7E0EC11C" w14:textId="24A8DD75"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 xml:space="preserve">а) разстоянието между </w:t>
      </w:r>
      <w:r w:rsidR="00C976E7" w:rsidRPr="00A013E1">
        <w:rPr>
          <w:rFonts w:ascii="Times New Roman" w:hAnsi="Times New Roman" w:cs="Times New Roman"/>
          <w:lang w:val="ru-RU"/>
        </w:rPr>
        <w:t xml:space="preserve"> </w:t>
      </w:r>
      <w:r w:rsidR="00452F25"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плавателния съд (</w:t>
      </w:r>
      <w:r w:rsidR="00452F25"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вторичната преграда на резервоара </w:t>
      </w:r>
      <w:r w:rsidR="00C976E7" w:rsidRPr="00A013E1">
        <w:rPr>
          <w:rFonts w:ascii="Times New Roman" w:hAnsi="Times New Roman" w:cs="Times New Roman"/>
          <w:lang w:val="ru-RU"/>
        </w:rPr>
        <w:t>трябва да  бъде</w:t>
      </w:r>
      <w:r w:rsidRPr="00A013E1">
        <w:rPr>
          <w:rFonts w:ascii="Times New Roman" w:hAnsi="Times New Roman" w:cs="Times New Roman"/>
          <w:lang w:val="ru-RU"/>
        </w:rPr>
        <w:t xml:space="preserve"> най-малко 0,60 </w:t>
      </w:r>
      <w:r w:rsidRPr="00A013E1">
        <w:rPr>
          <w:rFonts w:ascii="Times New Roman" w:hAnsi="Times New Roman" w:cs="Times New Roman"/>
        </w:rPr>
        <w:t>m</w:t>
      </w:r>
      <w:r w:rsidRPr="00A013E1">
        <w:rPr>
          <w:rFonts w:ascii="Times New Roman" w:hAnsi="Times New Roman" w:cs="Times New Roman"/>
          <w:lang w:val="ru-RU"/>
        </w:rPr>
        <w:t xml:space="preserve"> и</w:t>
      </w:r>
    </w:p>
    <w:p w14:paraId="1713390C" w14:textId="7D44A8F1"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б) разстоянието между дъното на плавателния съд (</w:t>
      </w:r>
      <w:r w:rsidR="00F94E80" w:rsidRPr="00A013E1">
        <w:rPr>
          <w:rFonts w:ascii="Times New Roman" w:hAnsi="Times New Roman" w:cs="Times New Roman"/>
          <w:lang w:val="ru-RU"/>
        </w:rPr>
        <w:t xml:space="preserve"> външна обшивка</w:t>
      </w:r>
      <w:r w:rsidRPr="00A013E1">
        <w:rPr>
          <w:rFonts w:ascii="Times New Roman" w:hAnsi="Times New Roman" w:cs="Times New Roman"/>
          <w:lang w:val="ru-RU"/>
        </w:rPr>
        <w:t xml:space="preserve">) и вторичната преграда на резервоара трябва да бъде най-малко 0,50 </w:t>
      </w:r>
      <w:r w:rsidRPr="00A013E1">
        <w:rPr>
          <w:rFonts w:ascii="Times New Roman" w:hAnsi="Times New Roman" w:cs="Times New Roman"/>
        </w:rPr>
        <w:t>m</w:t>
      </w:r>
      <w:r w:rsidRPr="00A013E1">
        <w:rPr>
          <w:rFonts w:ascii="Times New Roman" w:hAnsi="Times New Roman" w:cs="Times New Roman"/>
          <w:lang w:val="ru-RU"/>
        </w:rPr>
        <w:t>.</w:t>
      </w:r>
    </w:p>
    <w:p w14:paraId="70435BB3" w14:textId="2919D09E"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 xml:space="preserve">За случая, посочен в </w:t>
      </w:r>
      <w:r w:rsidR="00C976E7" w:rsidRPr="00A013E1">
        <w:rPr>
          <w:rFonts w:ascii="Times New Roman" w:hAnsi="Times New Roman" w:cs="Times New Roman"/>
          <w:lang w:val="ru-RU"/>
        </w:rPr>
        <w:t xml:space="preserve">т. </w:t>
      </w:r>
      <w:r w:rsidRPr="00A013E1">
        <w:rPr>
          <w:rFonts w:ascii="Times New Roman" w:hAnsi="Times New Roman" w:cs="Times New Roman"/>
          <w:lang w:val="ru-RU"/>
        </w:rPr>
        <w:t>2.2.3.3</w:t>
      </w:r>
      <w:r w:rsidR="00C976E7" w:rsidRPr="00A013E1">
        <w:rPr>
          <w:rFonts w:ascii="Times New Roman" w:hAnsi="Times New Roman" w:cs="Times New Roman"/>
          <w:lang w:val="ru-RU"/>
        </w:rPr>
        <w:t xml:space="preserve">буква </w:t>
      </w:r>
      <w:r w:rsidRPr="00A013E1">
        <w:rPr>
          <w:rFonts w:ascii="Times New Roman" w:hAnsi="Times New Roman" w:cs="Times New Roman"/>
        </w:rPr>
        <w:t>a</w:t>
      </w:r>
      <w:r w:rsidRPr="00A013E1">
        <w:rPr>
          <w:rFonts w:ascii="Times New Roman" w:hAnsi="Times New Roman" w:cs="Times New Roman"/>
          <w:lang w:val="ru-RU"/>
        </w:rPr>
        <w:t>), това означава:</w:t>
      </w:r>
    </w:p>
    <w:p w14:paraId="6321D5F1" w14:textId="0B6378E0"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 xml:space="preserve">а) разстоянието между </w:t>
      </w:r>
      <w:r w:rsidR="001E3BBC" w:rsidRPr="00A013E1">
        <w:rPr>
          <w:rFonts w:ascii="Times New Roman" w:hAnsi="Times New Roman" w:cs="Times New Roman"/>
          <w:lang w:val="ru-RU"/>
        </w:rPr>
        <w:t xml:space="preserve"> </w:t>
      </w:r>
      <w:r w:rsidR="00F94E80"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плавателния съд (</w:t>
      </w:r>
      <w:r w:rsidR="00F94E80"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вертикалната част на вторичната бариера на резервоара, противоположна на </w:t>
      </w:r>
      <w:r w:rsidR="00C43B67"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плавателното средство, трябва да бъде най-малко 0,60 </w:t>
      </w:r>
      <w:r w:rsidRPr="00A013E1">
        <w:rPr>
          <w:rFonts w:ascii="Times New Roman" w:hAnsi="Times New Roman" w:cs="Times New Roman"/>
        </w:rPr>
        <w:t>m</w:t>
      </w:r>
      <w:r w:rsidRPr="00A013E1">
        <w:rPr>
          <w:rFonts w:ascii="Times New Roman" w:hAnsi="Times New Roman" w:cs="Times New Roman"/>
          <w:lang w:val="ru-RU"/>
        </w:rPr>
        <w:t>.</w:t>
      </w:r>
    </w:p>
    <w:p w14:paraId="24195864" w14:textId="0220EDA4" w:rsidR="007E77D7" w:rsidRPr="00A013E1" w:rsidRDefault="007E77D7" w:rsidP="00195AED">
      <w:pPr>
        <w:ind w:left="851"/>
        <w:jc w:val="both"/>
        <w:rPr>
          <w:rFonts w:ascii="Times New Roman" w:hAnsi="Times New Roman" w:cs="Times New Roman"/>
          <w:lang w:val="ru-RU"/>
        </w:rPr>
      </w:pPr>
      <w:r w:rsidRPr="00A013E1">
        <w:rPr>
          <w:rFonts w:ascii="Times New Roman" w:hAnsi="Times New Roman" w:cs="Times New Roman"/>
          <w:lang w:val="ru-RU"/>
        </w:rPr>
        <w:t>б) разстоянието между дъното на плавателния съд (</w:t>
      </w:r>
      <w:r w:rsidR="00C43B67"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хоризонталната част на горната вторична преграда на резервоара, противоположна на дъното на плавателното средство, трябва да бъде най-малко 0,50 </w:t>
      </w:r>
      <w:r w:rsidRPr="00A013E1">
        <w:rPr>
          <w:rFonts w:ascii="Times New Roman" w:hAnsi="Times New Roman" w:cs="Times New Roman"/>
        </w:rPr>
        <w:t>m</w:t>
      </w:r>
      <w:r w:rsidRPr="00A013E1">
        <w:rPr>
          <w:rFonts w:ascii="Times New Roman" w:hAnsi="Times New Roman" w:cs="Times New Roman"/>
          <w:lang w:val="ru-RU"/>
        </w:rPr>
        <w:t>.</w:t>
      </w:r>
    </w:p>
    <w:p w14:paraId="4A98C764" w14:textId="77777777" w:rsidR="007E77D7" w:rsidRPr="00A013E1" w:rsidRDefault="007E77D7" w:rsidP="00A349C3">
      <w:pPr>
        <w:ind w:left="851" w:hanging="131"/>
        <w:jc w:val="both"/>
        <w:rPr>
          <w:rFonts w:ascii="Times New Roman" w:hAnsi="Times New Roman" w:cs="Times New Roman"/>
          <w:lang w:val="ru-RU"/>
        </w:rPr>
      </w:pPr>
      <w:r w:rsidRPr="00A013E1">
        <w:rPr>
          <w:rFonts w:ascii="Times New Roman" w:hAnsi="Times New Roman" w:cs="Times New Roman"/>
          <w:lang w:val="ru-RU"/>
        </w:rPr>
        <w:t>Тъй като границите на пространствата, посочени в (2.2.3.3) (</w:t>
      </w:r>
      <w:r w:rsidRPr="00A013E1">
        <w:rPr>
          <w:rFonts w:ascii="Times New Roman" w:hAnsi="Times New Roman" w:cs="Times New Roman"/>
        </w:rPr>
        <w:t>c</w:t>
      </w:r>
      <w:r w:rsidRPr="00A013E1">
        <w:rPr>
          <w:rFonts w:ascii="Times New Roman" w:hAnsi="Times New Roman" w:cs="Times New Roman"/>
          <w:lang w:val="ru-RU"/>
        </w:rPr>
        <w:t>) и (</w:t>
      </w:r>
      <w:r w:rsidRPr="00A013E1">
        <w:rPr>
          <w:rFonts w:ascii="Times New Roman" w:hAnsi="Times New Roman" w:cs="Times New Roman"/>
        </w:rPr>
        <w:t>d</w:t>
      </w:r>
      <w:r w:rsidRPr="00A013E1">
        <w:rPr>
          <w:rFonts w:ascii="Times New Roman" w:hAnsi="Times New Roman" w:cs="Times New Roman"/>
          <w:lang w:val="ru-RU"/>
        </w:rPr>
        <w:t>), действат като вторична бариера,</w:t>
      </w:r>
    </w:p>
    <w:p w14:paraId="622615A0" w14:textId="4AF18D8C"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lastRenderedPageBreak/>
        <w:t xml:space="preserve">а) разстоянието между </w:t>
      </w:r>
      <w:r w:rsidR="00590EB0"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плавателното средство (</w:t>
      </w:r>
      <w:r w:rsidR="007E502C"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границите на тези пространства е най-малко 0,60 </w:t>
      </w:r>
      <w:r w:rsidRPr="00A013E1">
        <w:rPr>
          <w:rFonts w:ascii="Times New Roman" w:hAnsi="Times New Roman" w:cs="Times New Roman"/>
        </w:rPr>
        <w:t>m</w:t>
      </w:r>
      <w:r w:rsidRPr="00A013E1">
        <w:rPr>
          <w:rFonts w:ascii="Times New Roman" w:hAnsi="Times New Roman" w:cs="Times New Roman"/>
          <w:lang w:val="ru-RU"/>
        </w:rPr>
        <w:t xml:space="preserve"> и</w:t>
      </w:r>
    </w:p>
    <w:p w14:paraId="6A189435" w14:textId="2FD02048"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б) разстоянието между дъното на плавателния съд (</w:t>
      </w:r>
      <w:r w:rsidR="007E502C"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границите на тези пространства е най-малко 0,50 </w:t>
      </w:r>
      <w:r w:rsidRPr="00A013E1">
        <w:rPr>
          <w:rFonts w:ascii="Times New Roman" w:hAnsi="Times New Roman" w:cs="Times New Roman"/>
        </w:rPr>
        <w:t>m</w:t>
      </w:r>
      <w:r w:rsidRPr="00A013E1">
        <w:rPr>
          <w:rFonts w:ascii="Times New Roman" w:hAnsi="Times New Roman" w:cs="Times New Roman"/>
          <w:lang w:val="ru-RU"/>
        </w:rPr>
        <w:t>.</w:t>
      </w:r>
    </w:p>
    <w:p w14:paraId="695E3A36" w14:textId="5E733DA0"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 xml:space="preserve">В съответствие с оценката на риска, посочена в член 30.04, </w:t>
      </w:r>
      <w:r w:rsidR="001E3BBC" w:rsidRPr="00A013E1">
        <w:rPr>
          <w:rFonts w:ascii="Times New Roman" w:hAnsi="Times New Roman" w:cs="Times New Roman"/>
          <w:lang w:val="ru-RU"/>
        </w:rPr>
        <w:t xml:space="preserve"> компетентният </w:t>
      </w:r>
      <w:r w:rsidRPr="00A013E1">
        <w:rPr>
          <w:rFonts w:ascii="Times New Roman" w:hAnsi="Times New Roman" w:cs="Times New Roman"/>
          <w:lang w:val="ru-RU"/>
        </w:rPr>
        <w:t xml:space="preserve"> орган може да изисква по-големи стойности за разстоянията, посочени по-горе.</w:t>
      </w:r>
    </w:p>
    <w:p w14:paraId="315A9DA9" w14:textId="023B198F" w:rsidR="007E77D7" w:rsidRPr="00A013E1" w:rsidRDefault="007E77D7" w:rsidP="00A349C3">
      <w:pPr>
        <w:spacing w:after="240"/>
        <w:ind w:left="851" w:hanging="851"/>
        <w:jc w:val="both"/>
        <w:rPr>
          <w:rFonts w:ascii="Times New Roman" w:hAnsi="Times New Roman" w:cs="Times New Roman"/>
          <w:lang w:val="ru-RU"/>
        </w:rPr>
      </w:pPr>
      <w:r w:rsidRPr="00A013E1">
        <w:rPr>
          <w:rFonts w:ascii="Times New Roman" w:hAnsi="Times New Roman" w:cs="Times New Roman"/>
          <w:lang w:val="ru-RU"/>
        </w:rPr>
        <w:t xml:space="preserve">2.2.3.5 </w:t>
      </w:r>
      <w:r w:rsidR="00A349C3" w:rsidRPr="00A013E1">
        <w:rPr>
          <w:rFonts w:ascii="Times New Roman" w:hAnsi="Times New Roman" w:cs="Times New Roman"/>
          <w:lang w:val="ru-RU"/>
        </w:rPr>
        <w:tab/>
      </w:r>
      <w:r w:rsidRPr="00A013E1">
        <w:rPr>
          <w:rFonts w:ascii="Times New Roman" w:hAnsi="Times New Roman" w:cs="Times New Roman"/>
          <w:lang w:val="ru-RU"/>
        </w:rPr>
        <w:t xml:space="preserve">За резервоари за инертно метанолно гориво на открита палуба разстоянието между вертикалните равнини, определени от страните на плавателния съд (обшивка на корпуса) и резервоара трябва да бъде най-малко 0,60 </w:t>
      </w:r>
      <w:r w:rsidRPr="00A013E1">
        <w:rPr>
          <w:rFonts w:ascii="Times New Roman" w:hAnsi="Times New Roman" w:cs="Times New Roman"/>
        </w:rPr>
        <w:t>m</w:t>
      </w:r>
      <w:r w:rsidRPr="00A013E1">
        <w:rPr>
          <w:rFonts w:ascii="Times New Roman" w:hAnsi="Times New Roman" w:cs="Times New Roman"/>
          <w:lang w:val="ru-RU"/>
        </w:rPr>
        <w:t>.</w:t>
      </w:r>
    </w:p>
    <w:p w14:paraId="6912AB99" w14:textId="30680A62" w:rsidR="007E77D7" w:rsidRPr="00A013E1" w:rsidRDefault="007E77D7" w:rsidP="00195AED">
      <w:pPr>
        <w:ind w:left="851" w:hanging="851"/>
        <w:jc w:val="both"/>
        <w:rPr>
          <w:rFonts w:ascii="Times New Roman" w:hAnsi="Times New Roman" w:cs="Times New Roman"/>
          <w:b/>
          <w:lang w:val="ru-RU"/>
        </w:rPr>
      </w:pPr>
      <w:r w:rsidRPr="00A013E1">
        <w:rPr>
          <w:rFonts w:ascii="Times New Roman" w:hAnsi="Times New Roman" w:cs="Times New Roman"/>
          <w:b/>
          <w:lang w:val="ru-RU"/>
        </w:rPr>
        <w:t xml:space="preserve">2.2.4 </w:t>
      </w:r>
      <w:r w:rsidR="004154AD" w:rsidRPr="00A013E1">
        <w:rPr>
          <w:rFonts w:ascii="Times New Roman" w:hAnsi="Times New Roman" w:cs="Times New Roman"/>
          <w:b/>
          <w:lang w:val="ru-RU"/>
        </w:rPr>
        <w:t>Р</w:t>
      </w:r>
      <w:r w:rsidRPr="00A013E1">
        <w:rPr>
          <w:rFonts w:ascii="Times New Roman" w:hAnsi="Times New Roman" w:cs="Times New Roman"/>
          <w:b/>
          <w:lang w:val="ru-RU"/>
        </w:rPr>
        <w:t xml:space="preserve">езервоари за </w:t>
      </w:r>
      <w:r w:rsidR="004154AD" w:rsidRPr="00A013E1">
        <w:rPr>
          <w:rFonts w:ascii="Times New Roman" w:hAnsi="Times New Roman" w:cs="Times New Roman"/>
          <w:b/>
          <w:lang w:val="ru-RU"/>
        </w:rPr>
        <w:t xml:space="preserve">неинертно </w:t>
      </w:r>
      <w:r w:rsidRPr="00A013E1">
        <w:rPr>
          <w:rFonts w:ascii="Times New Roman" w:hAnsi="Times New Roman" w:cs="Times New Roman"/>
          <w:b/>
          <w:lang w:val="ru-RU"/>
        </w:rPr>
        <w:t>метанолно гориво</w:t>
      </w:r>
    </w:p>
    <w:p w14:paraId="296A0B66" w14:textId="35EB0F05" w:rsidR="007E77D7" w:rsidRPr="00A013E1" w:rsidRDefault="007E77D7" w:rsidP="00A349C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2.2.4.1 В съответствие с </w:t>
      </w:r>
      <w:r w:rsidR="004154AD" w:rsidRPr="00A013E1">
        <w:rPr>
          <w:rFonts w:ascii="Times New Roman" w:hAnsi="Times New Roman" w:cs="Times New Roman"/>
          <w:lang w:val="ru-RU"/>
        </w:rPr>
        <w:t>т.</w:t>
      </w:r>
      <w:r w:rsidRPr="00A013E1">
        <w:rPr>
          <w:rFonts w:ascii="Times New Roman" w:hAnsi="Times New Roman" w:cs="Times New Roman"/>
          <w:lang w:val="ru-RU"/>
        </w:rPr>
        <w:t xml:space="preserve">2.2.1.1, ако резервоарите за </w:t>
      </w:r>
      <w:r w:rsidR="004154AD" w:rsidRPr="00A013E1">
        <w:rPr>
          <w:rFonts w:ascii="Times New Roman" w:hAnsi="Times New Roman" w:cs="Times New Roman"/>
          <w:lang w:val="ru-RU"/>
        </w:rPr>
        <w:t xml:space="preserve">неинертно </w:t>
      </w:r>
      <w:r w:rsidRPr="00A013E1">
        <w:rPr>
          <w:rFonts w:ascii="Times New Roman" w:hAnsi="Times New Roman" w:cs="Times New Roman"/>
          <w:lang w:val="ru-RU"/>
        </w:rPr>
        <w:t>метанол</w:t>
      </w:r>
      <w:r w:rsidR="004154AD" w:rsidRPr="00A013E1">
        <w:rPr>
          <w:rFonts w:ascii="Times New Roman" w:hAnsi="Times New Roman" w:cs="Times New Roman"/>
          <w:lang w:val="ru-RU"/>
        </w:rPr>
        <w:t>но гориво</w:t>
      </w:r>
      <w:r w:rsidRPr="00A013E1">
        <w:rPr>
          <w:rFonts w:ascii="Times New Roman" w:hAnsi="Times New Roman" w:cs="Times New Roman"/>
          <w:lang w:val="ru-RU"/>
        </w:rPr>
        <w:t xml:space="preserve"> са разположени под палубата, те трябва да бъдат заобиколени от вторична бариера за ограничаване и откриване на течове. Въпреки това, вторичната бариера може да бъде пропусната върху тези повърхности, </w:t>
      </w:r>
      <w:r w:rsidR="004154AD" w:rsidRPr="00A013E1">
        <w:rPr>
          <w:rFonts w:ascii="Times New Roman" w:hAnsi="Times New Roman" w:cs="Times New Roman"/>
          <w:lang w:val="ru-RU"/>
        </w:rPr>
        <w:t xml:space="preserve"> ограничени от </w:t>
      </w:r>
    </w:p>
    <w:p w14:paraId="64441E98" w14:textId="77777777"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а) обшивка на корпуса под най-ниската възможна водолиния, или</w:t>
      </w:r>
    </w:p>
    <w:p w14:paraId="2456A58E" w14:textId="77777777"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б) други резервоари за метанолно гориво или помещения с оборудване, съдържащо метанолно гориво.</w:t>
      </w:r>
    </w:p>
    <w:p w14:paraId="209E0427" w14:textId="5E6FD2A0" w:rsidR="007E77D7" w:rsidRPr="00A013E1" w:rsidRDefault="007E77D7" w:rsidP="00A349C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2.2.4.2 </w:t>
      </w:r>
      <w:r w:rsidR="00A349C3" w:rsidRPr="00A013E1">
        <w:rPr>
          <w:rFonts w:ascii="Times New Roman" w:hAnsi="Times New Roman" w:cs="Times New Roman"/>
          <w:lang w:val="ru-RU"/>
        </w:rPr>
        <w:tab/>
      </w:r>
      <w:r w:rsidR="004154AD" w:rsidRPr="00A013E1">
        <w:rPr>
          <w:rFonts w:ascii="Times New Roman" w:hAnsi="Times New Roman" w:cs="Times New Roman"/>
          <w:lang w:val="ru-RU"/>
        </w:rPr>
        <w:t>Р</w:t>
      </w:r>
      <w:r w:rsidRPr="00A013E1">
        <w:rPr>
          <w:rFonts w:ascii="Times New Roman" w:hAnsi="Times New Roman" w:cs="Times New Roman"/>
          <w:lang w:val="ru-RU"/>
        </w:rPr>
        <w:t xml:space="preserve">езервоари за </w:t>
      </w:r>
      <w:r w:rsidR="004154AD" w:rsidRPr="00A013E1">
        <w:rPr>
          <w:rFonts w:ascii="Times New Roman" w:hAnsi="Times New Roman" w:cs="Times New Roman"/>
          <w:lang w:val="ru-RU"/>
        </w:rPr>
        <w:t xml:space="preserve">неинертно </w:t>
      </w:r>
      <w:r w:rsidRPr="00A013E1">
        <w:rPr>
          <w:rFonts w:ascii="Times New Roman" w:hAnsi="Times New Roman" w:cs="Times New Roman"/>
          <w:lang w:val="ru-RU"/>
        </w:rPr>
        <w:t>метанол</w:t>
      </w:r>
      <w:r w:rsidR="004154AD" w:rsidRPr="00A013E1">
        <w:rPr>
          <w:rFonts w:ascii="Times New Roman" w:hAnsi="Times New Roman" w:cs="Times New Roman"/>
          <w:lang w:val="ru-RU"/>
        </w:rPr>
        <w:t>но гориво</w:t>
      </w:r>
      <w:r w:rsidRPr="00A013E1">
        <w:rPr>
          <w:rFonts w:ascii="Times New Roman" w:hAnsi="Times New Roman" w:cs="Times New Roman"/>
          <w:lang w:val="ru-RU"/>
        </w:rPr>
        <w:t xml:space="preserve"> под палубата,</w:t>
      </w:r>
    </w:p>
    <w:p w14:paraId="6912196B" w14:textId="27D0ADE8"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 xml:space="preserve">а) разстоянието между </w:t>
      </w:r>
      <w:r w:rsidR="00F56E6D"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плавателния съд (</w:t>
      </w:r>
      <w:r w:rsidR="00166014"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вторичната преграда на резервоара е най-малко 0,60 </w:t>
      </w:r>
      <w:r w:rsidRPr="00A013E1">
        <w:rPr>
          <w:rFonts w:ascii="Times New Roman" w:hAnsi="Times New Roman" w:cs="Times New Roman"/>
        </w:rPr>
        <w:t>m</w:t>
      </w:r>
      <w:r w:rsidRPr="00A013E1">
        <w:rPr>
          <w:rFonts w:ascii="Times New Roman" w:hAnsi="Times New Roman" w:cs="Times New Roman"/>
          <w:lang w:val="ru-RU"/>
        </w:rPr>
        <w:t xml:space="preserve"> и</w:t>
      </w:r>
    </w:p>
    <w:p w14:paraId="7666021F" w14:textId="0BAC643E"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б) разстоянието между дъното на плавателния съд (</w:t>
      </w:r>
      <w:r w:rsidR="00166014"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вторичната преграда на резервоара трябва да бъде най-малко 0,50 </w:t>
      </w:r>
      <w:r w:rsidRPr="00A013E1">
        <w:rPr>
          <w:rFonts w:ascii="Times New Roman" w:hAnsi="Times New Roman" w:cs="Times New Roman"/>
        </w:rPr>
        <w:t>m</w:t>
      </w:r>
      <w:r w:rsidRPr="00A013E1">
        <w:rPr>
          <w:rFonts w:ascii="Times New Roman" w:hAnsi="Times New Roman" w:cs="Times New Roman"/>
          <w:lang w:val="ru-RU"/>
        </w:rPr>
        <w:t>.</w:t>
      </w:r>
    </w:p>
    <w:p w14:paraId="52CAE7A6" w14:textId="4200BAC4"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 xml:space="preserve">За случая, посочен в </w:t>
      </w:r>
      <w:r w:rsidR="00501A2C" w:rsidRPr="00A013E1">
        <w:rPr>
          <w:rFonts w:ascii="Times New Roman" w:hAnsi="Times New Roman" w:cs="Times New Roman"/>
          <w:lang w:val="ru-RU"/>
        </w:rPr>
        <w:t xml:space="preserve">точка </w:t>
      </w:r>
      <w:r w:rsidRPr="00A013E1">
        <w:rPr>
          <w:rFonts w:ascii="Times New Roman" w:hAnsi="Times New Roman" w:cs="Times New Roman"/>
          <w:lang w:val="ru-RU"/>
        </w:rPr>
        <w:t>2.2.4.1</w:t>
      </w:r>
      <w:r w:rsidR="00C11433" w:rsidRPr="00A013E1">
        <w:rPr>
          <w:rFonts w:ascii="Times New Roman" w:hAnsi="Times New Roman" w:cs="Times New Roman"/>
          <w:lang w:val="ru-RU"/>
        </w:rPr>
        <w:t xml:space="preserve"> </w:t>
      </w:r>
      <w:r w:rsidR="00501A2C" w:rsidRPr="00A013E1">
        <w:rPr>
          <w:rFonts w:ascii="Times New Roman" w:hAnsi="Times New Roman" w:cs="Times New Roman"/>
          <w:lang w:val="ru-RU"/>
        </w:rPr>
        <w:t xml:space="preserve">буква </w:t>
      </w:r>
      <w:r w:rsidRPr="00A013E1">
        <w:rPr>
          <w:rFonts w:ascii="Times New Roman" w:hAnsi="Times New Roman" w:cs="Times New Roman"/>
          <w:lang w:val="ru-RU"/>
        </w:rPr>
        <w:t>(</w:t>
      </w:r>
      <w:r w:rsidRPr="00A013E1">
        <w:rPr>
          <w:rFonts w:ascii="Times New Roman" w:hAnsi="Times New Roman" w:cs="Times New Roman"/>
        </w:rPr>
        <w:t>a</w:t>
      </w:r>
      <w:r w:rsidRPr="00A013E1">
        <w:rPr>
          <w:rFonts w:ascii="Times New Roman" w:hAnsi="Times New Roman" w:cs="Times New Roman"/>
          <w:lang w:val="ru-RU"/>
        </w:rPr>
        <w:t>), това означава:</w:t>
      </w:r>
    </w:p>
    <w:p w14:paraId="4D25AE36" w14:textId="532F8E2C"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 xml:space="preserve">а) разстоянието между </w:t>
      </w:r>
      <w:r w:rsidR="00166014"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плавателния съд (</w:t>
      </w:r>
      <w:r w:rsidR="00166014"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вертикалната част на вторичната бариера на резервоара, противоположна на </w:t>
      </w:r>
      <w:r w:rsidR="00C11433" w:rsidRPr="00A013E1">
        <w:rPr>
          <w:rFonts w:ascii="Times New Roman" w:hAnsi="Times New Roman" w:cs="Times New Roman"/>
          <w:lang w:val="ru-RU"/>
        </w:rPr>
        <w:t xml:space="preserve"> </w:t>
      </w:r>
      <w:r w:rsidR="00A548D0"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плавателното средство, трябва да бъде най-малко 0,60 </w:t>
      </w:r>
      <w:r w:rsidRPr="00A013E1">
        <w:rPr>
          <w:rFonts w:ascii="Times New Roman" w:hAnsi="Times New Roman" w:cs="Times New Roman"/>
        </w:rPr>
        <w:t>m</w:t>
      </w:r>
      <w:r w:rsidRPr="00A013E1">
        <w:rPr>
          <w:rFonts w:ascii="Times New Roman" w:hAnsi="Times New Roman" w:cs="Times New Roman"/>
          <w:lang w:val="ru-RU"/>
        </w:rPr>
        <w:t>.</w:t>
      </w:r>
    </w:p>
    <w:p w14:paraId="39991E77" w14:textId="626E038D"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б) разстоянието между дъното на плавателния съд (</w:t>
      </w:r>
      <w:r w:rsidR="00166014" w:rsidRPr="00A013E1">
        <w:rPr>
          <w:rFonts w:ascii="Times New Roman" w:hAnsi="Times New Roman" w:cs="Times New Roman"/>
          <w:lang w:val="ru-RU"/>
        </w:rPr>
        <w:t xml:space="preserve"> външна обшивка</w:t>
      </w:r>
      <w:r w:rsidRPr="00A013E1">
        <w:rPr>
          <w:rFonts w:ascii="Times New Roman" w:hAnsi="Times New Roman" w:cs="Times New Roman"/>
          <w:lang w:val="ru-RU"/>
        </w:rPr>
        <w:t xml:space="preserve">) и хоризонталната част на горната вторична преграда на резервоара, противоположна на дъното на плавателното средство, трябва да бъде най-малко 0,50 </w:t>
      </w:r>
      <w:r w:rsidRPr="00A013E1">
        <w:rPr>
          <w:rFonts w:ascii="Times New Roman" w:hAnsi="Times New Roman" w:cs="Times New Roman"/>
        </w:rPr>
        <w:t>m</w:t>
      </w:r>
      <w:r w:rsidRPr="00A013E1">
        <w:rPr>
          <w:rFonts w:ascii="Times New Roman" w:hAnsi="Times New Roman" w:cs="Times New Roman"/>
          <w:lang w:val="ru-RU"/>
        </w:rPr>
        <w:t>.</w:t>
      </w:r>
    </w:p>
    <w:p w14:paraId="423294B2" w14:textId="41BEE4C6"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 xml:space="preserve">в) разстоянието между </w:t>
      </w:r>
      <w:r w:rsidR="00A548D0"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плавателния съд (</w:t>
      </w:r>
      <w:r w:rsidR="00D643F4"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резервоара, над най-ниската възможна водолиния, трябва да бъде най-малко 0,60 </w:t>
      </w:r>
      <w:r w:rsidRPr="00A013E1">
        <w:rPr>
          <w:rFonts w:ascii="Times New Roman" w:hAnsi="Times New Roman" w:cs="Times New Roman"/>
        </w:rPr>
        <w:t>m</w:t>
      </w:r>
      <w:r w:rsidRPr="00A013E1">
        <w:rPr>
          <w:rFonts w:ascii="Times New Roman" w:hAnsi="Times New Roman" w:cs="Times New Roman"/>
          <w:lang w:val="ru-RU"/>
        </w:rPr>
        <w:t>.</w:t>
      </w:r>
    </w:p>
    <w:p w14:paraId="297F45DC" w14:textId="77777777" w:rsidR="007E77D7" w:rsidRPr="00A013E1" w:rsidRDefault="007E77D7" w:rsidP="00A349C3">
      <w:pPr>
        <w:ind w:left="851"/>
        <w:jc w:val="both"/>
        <w:rPr>
          <w:rFonts w:ascii="Times New Roman" w:hAnsi="Times New Roman" w:cs="Times New Roman"/>
          <w:lang w:val="ru-RU"/>
        </w:rPr>
      </w:pPr>
    </w:p>
    <w:p w14:paraId="12A7D08E" w14:textId="77777777"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Тъй като границите на пространствата, посочени в (2.2.4.1)(</w:t>
      </w:r>
      <w:r w:rsidRPr="00A013E1">
        <w:rPr>
          <w:rFonts w:ascii="Times New Roman" w:hAnsi="Times New Roman" w:cs="Times New Roman"/>
        </w:rPr>
        <w:t>b</w:t>
      </w:r>
      <w:r w:rsidRPr="00A013E1">
        <w:rPr>
          <w:rFonts w:ascii="Times New Roman" w:hAnsi="Times New Roman" w:cs="Times New Roman"/>
          <w:lang w:val="ru-RU"/>
        </w:rPr>
        <w:t>), действат като вторична бариера,</w:t>
      </w:r>
    </w:p>
    <w:p w14:paraId="4AF8A3F0" w14:textId="735EA2ED"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 xml:space="preserve">а) разстоянието между </w:t>
      </w:r>
      <w:r w:rsidR="00A548D0"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плавателното средство (</w:t>
      </w:r>
      <w:r w:rsidR="00E9205F" w:rsidRPr="00A013E1">
        <w:rPr>
          <w:rFonts w:ascii="Times New Roman" w:hAnsi="Times New Roman" w:cs="Times New Roman"/>
          <w:lang w:val="ru-RU"/>
        </w:rPr>
        <w:t xml:space="preserve"> </w:t>
      </w:r>
      <w:r w:rsidR="00D643F4"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границите на тези пространства е най-малко 0,60 </w:t>
      </w:r>
      <w:r w:rsidRPr="00A013E1">
        <w:rPr>
          <w:rFonts w:ascii="Times New Roman" w:hAnsi="Times New Roman" w:cs="Times New Roman"/>
        </w:rPr>
        <w:t>m</w:t>
      </w:r>
      <w:r w:rsidRPr="00A013E1">
        <w:rPr>
          <w:rFonts w:ascii="Times New Roman" w:hAnsi="Times New Roman" w:cs="Times New Roman"/>
          <w:lang w:val="ru-RU"/>
        </w:rPr>
        <w:t xml:space="preserve"> и</w:t>
      </w:r>
    </w:p>
    <w:p w14:paraId="3FB60B8C" w14:textId="7BED731E"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t>б) разстоянието между дъното на плавателния съд (</w:t>
      </w:r>
      <w:r w:rsidR="00E9205F" w:rsidRPr="00A013E1">
        <w:rPr>
          <w:rFonts w:ascii="Times New Roman" w:hAnsi="Times New Roman" w:cs="Times New Roman"/>
          <w:lang w:val="ru-RU"/>
        </w:rPr>
        <w:t xml:space="preserve"> </w:t>
      </w:r>
      <w:r w:rsidR="00D643F4"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границите на тези пространства е най-малко 0,50 </w:t>
      </w:r>
      <w:r w:rsidRPr="00A013E1">
        <w:rPr>
          <w:rFonts w:ascii="Times New Roman" w:hAnsi="Times New Roman" w:cs="Times New Roman"/>
        </w:rPr>
        <w:t>m</w:t>
      </w:r>
      <w:r w:rsidRPr="00A013E1">
        <w:rPr>
          <w:rFonts w:ascii="Times New Roman" w:hAnsi="Times New Roman" w:cs="Times New Roman"/>
          <w:lang w:val="ru-RU"/>
        </w:rPr>
        <w:t>.</w:t>
      </w:r>
    </w:p>
    <w:p w14:paraId="45E5E023" w14:textId="77777777" w:rsidR="007E77D7" w:rsidRPr="00A013E1" w:rsidRDefault="007E77D7" w:rsidP="00A349C3">
      <w:pPr>
        <w:ind w:left="851"/>
        <w:jc w:val="both"/>
        <w:rPr>
          <w:rFonts w:ascii="Times New Roman" w:hAnsi="Times New Roman" w:cs="Times New Roman"/>
          <w:lang w:val="ru-RU"/>
        </w:rPr>
      </w:pPr>
    </w:p>
    <w:p w14:paraId="1ED4763C" w14:textId="77777777" w:rsidR="007E77D7" w:rsidRPr="00A013E1" w:rsidRDefault="007E77D7" w:rsidP="00A349C3">
      <w:pPr>
        <w:ind w:left="851"/>
        <w:jc w:val="both"/>
        <w:rPr>
          <w:rFonts w:ascii="Times New Roman" w:hAnsi="Times New Roman" w:cs="Times New Roman"/>
          <w:lang w:val="ru-RU"/>
        </w:rPr>
      </w:pPr>
      <w:r w:rsidRPr="00A013E1">
        <w:rPr>
          <w:rFonts w:ascii="Times New Roman" w:hAnsi="Times New Roman" w:cs="Times New Roman"/>
          <w:lang w:val="ru-RU"/>
        </w:rPr>
        <w:lastRenderedPageBreak/>
        <w:t>В съответствие с оценката на риска, посочена в член 30.04, инспекционният орган може да изисква по-големи стойности за разстоянията, посочени по-горе.</w:t>
      </w:r>
    </w:p>
    <w:p w14:paraId="451337C1" w14:textId="72C9F789" w:rsidR="007E77D7" w:rsidRPr="00A013E1" w:rsidRDefault="007E77D7" w:rsidP="00FF410C">
      <w:pPr>
        <w:spacing w:before="240"/>
        <w:ind w:left="851" w:hanging="851"/>
        <w:jc w:val="both"/>
        <w:rPr>
          <w:rFonts w:ascii="Times New Roman" w:hAnsi="Times New Roman" w:cs="Times New Roman"/>
          <w:lang w:val="ru-RU"/>
        </w:rPr>
      </w:pPr>
      <w:r w:rsidRPr="00A013E1">
        <w:rPr>
          <w:rFonts w:ascii="Times New Roman" w:hAnsi="Times New Roman" w:cs="Times New Roman"/>
          <w:lang w:val="ru-RU"/>
        </w:rPr>
        <w:t xml:space="preserve">2.2.4.3 За резервоари за неинертно метанолно гориво на открита палуба разстоянието между вертикалните равнини, определени от </w:t>
      </w:r>
      <w:r w:rsidR="003D099C" w:rsidRPr="00A013E1">
        <w:rPr>
          <w:rFonts w:ascii="Times New Roman" w:hAnsi="Times New Roman" w:cs="Times New Roman"/>
          <w:lang w:val="ru-RU"/>
        </w:rPr>
        <w:t>бордовете</w:t>
      </w:r>
      <w:r w:rsidRPr="00A013E1">
        <w:rPr>
          <w:rFonts w:ascii="Times New Roman" w:hAnsi="Times New Roman" w:cs="Times New Roman"/>
          <w:lang w:val="ru-RU"/>
        </w:rPr>
        <w:t xml:space="preserve"> на плавателния съд (</w:t>
      </w:r>
      <w:r w:rsidR="00A31D84" w:rsidRPr="00A013E1">
        <w:rPr>
          <w:rFonts w:ascii="Times New Roman" w:hAnsi="Times New Roman" w:cs="Times New Roman"/>
          <w:lang w:val="ru-RU"/>
        </w:rPr>
        <w:t xml:space="preserve"> </w:t>
      </w:r>
      <w:r w:rsidR="003D099C"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резервоара трябва да бъде най-малко 0,60 </w:t>
      </w:r>
      <w:r w:rsidRPr="00A013E1">
        <w:rPr>
          <w:rFonts w:ascii="Times New Roman" w:hAnsi="Times New Roman" w:cs="Times New Roman"/>
        </w:rPr>
        <w:t>m</w:t>
      </w:r>
      <w:r w:rsidRPr="00A013E1">
        <w:rPr>
          <w:rFonts w:ascii="Times New Roman" w:hAnsi="Times New Roman" w:cs="Times New Roman"/>
          <w:lang w:val="ru-RU"/>
        </w:rPr>
        <w:t>.</w:t>
      </w:r>
    </w:p>
    <w:p w14:paraId="0D4ED017" w14:textId="77777777" w:rsidR="007E77D7" w:rsidRPr="00A013E1" w:rsidRDefault="007E77D7" w:rsidP="00FF410C">
      <w:pPr>
        <w:spacing w:before="240"/>
        <w:ind w:left="851" w:hanging="851"/>
        <w:jc w:val="both"/>
        <w:rPr>
          <w:rFonts w:ascii="Times New Roman" w:hAnsi="Times New Roman" w:cs="Times New Roman"/>
          <w:b/>
          <w:lang w:val="ru-RU"/>
        </w:rPr>
      </w:pPr>
      <w:r w:rsidRPr="00A013E1">
        <w:rPr>
          <w:rFonts w:ascii="Times New Roman" w:hAnsi="Times New Roman" w:cs="Times New Roman"/>
          <w:b/>
          <w:lang w:val="ru-RU"/>
        </w:rPr>
        <w:t>2.2.5 Вентилационни системи на резервоара</w:t>
      </w:r>
    </w:p>
    <w:p w14:paraId="2AB9BE5E" w14:textId="177AF9F1" w:rsidR="007E77D7" w:rsidRPr="00A013E1" w:rsidRDefault="007E77D7" w:rsidP="00A349C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2.2.5.1 </w:t>
      </w:r>
      <w:r w:rsidR="00FF410C" w:rsidRPr="00A013E1">
        <w:rPr>
          <w:rFonts w:ascii="Times New Roman" w:hAnsi="Times New Roman" w:cs="Times New Roman"/>
          <w:lang w:val="ru-RU"/>
        </w:rPr>
        <w:tab/>
      </w:r>
      <w:r w:rsidRPr="00A013E1">
        <w:rPr>
          <w:rFonts w:ascii="Times New Roman" w:hAnsi="Times New Roman" w:cs="Times New Roman"/>
          <w:lang w:val="ru-RU"/>
        </w:rPr>
        <w:t>Вентилационните системи на резервоара за изпарения на гориво трябва да бъдат проектирани и разположени по такъв начин, че изпусканията да се отвеждат безопасно зад борда и да не водят до опасна ситуация.</w:t>
      </w:r>
    </w:p>
    <w:p w14:paraId="60ABF270" w14:textId="77777777" w:rsidR="007E77D7" w:rsidRPr="00A013E1" w:rsidRDefault="007E77D7" w:rsidP="00FF410C">
      <w:pPr>
        <w:ind w:left="851"/>
        <w:jc w:val="both"/>
        <w:rPr>
          <w:rFonts w:ascii="Times New Roman" w:hAnsi="Times New Roman" w:cs="Times New Roman"/>
          <w:lang w:val="ru-RU"/>
        </w:rPr>
      </w:pPr>
      <w:r w:rsidRPr="00A013E1">
        <w:rPr>
          <w:rFonts w:ascii="Times New Roman" w:hAnsi="Times New Roman" w:cs="Times New Roman"/>
          <w:lang w:val="ru-RU"/>
        </w:rPr>
        <w:t>Вентилационните тръбопроводи трябва да бъдат проектирани и разположени по такъв начин, че нито горивото, нито горивните пари да могат случайно да достигнат вътрешността на плавателния съд.</w:t>
      </w:r>
    </w:p>
    <w:p w14:paraId="426DBF46" w14:textId="4CFDC9AF" w:rsidR="007E77D7" w:rsidRPr="00A013E1" w:rsidRDefault="007E77D7" w:rsidP="00A349C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2.2.5.2 </w:t>
      </w:r>
      <w:r w:rsidR="00FF410C" w:rsidRPr="00A013E1">
        <w:rPr>
          <w:rFonts w:ascii="Times New Roman" w:hAnsi="Times New Roman" w:cs="Times New Roman"/>
          <w:lang w:val="ru-RU"/>
        </w:rPr>
        <w:tab/>
      </w:r>
      <w:r w:rsidRPr="00A013E1">
        <w:rPr>
          <w:rFonts w:ascii="Times New Roman" w:hAnsi="Times New Roman" w:cs="Times New Roman"/>
          <w:lang w:val="ru-RU"/>
        </w:rPr>
        <w:t xml:space="preserve">Проектирането и разположението на вентилационните системи на резервоара трябва да предотвратява разпространението на пламък в системата за задържане на горивото. Всеки резервоар трябва да бъде защитен с подходящ </w:t>
      </w:r>
      <w:r w:rsidR="00A31D84" w:rsidRPr="00A013E1">
        <w:rPr>
          <w:rFonts w:ascii="Times New Roman" w:hAnsi="Times New Roman" w:cs="Times New Roman"/>
          <w:lang w:val="ru-RU"/>
        </w:rPr>
        <w:t xml:space="preserve"> </w:t>
      </w:r>
      <w:r w:rsidR="00F36A62" w:rsidRPr="00A013E1">
        <w:rPr>
          <w:rFonts w:ascii="Times New Roman" w:hAnsi="Times New Roman" w:cs="Times New Roman"/>
          <w:lang w:val="ru-RU"/>
        </w:rPr>
        <w:t>пламъко</w:t>
      </w:r>
      <w:r w:rsidRPr="00A013E1">
        <w:rPr>
          <w:rFonts w:ascii="Times New Roman" w:hAnsi="Times New Roman" w:cs="Times New Roman"/>
          <w:lang w:val="ru-RU"/>
        </w:rPr>
        <w:t>гасител. Когато вентилационните тръбопроводи не могат да издържат на дефлаграция, към задбордния изход се монтират решетки за пламък под налягане.</w:t>
      </w:r>
    </w:p>
    <w:p w14:paraId="1981510B" w14:textId="3060C267" w:rsidR="007E77D7" w:rsidRPr="00A013E1" w:rsidRDefault="007E77D7" w:rsidP="00A349C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2.2.5.3 </w:t>
      </w:r>
      <w:r w:rsidR="00FF410C" w:rsidRPr="00A013E1">
        <w:rPr>
          <w:rFonts w:ascii="Times New Roman" w:hAnsi="Times New Roman" w:cs="Times New Roman"/>
          <w:lang w:val="ru-RU"/>
        </w:rPr>
        <w:tab/>
      </w:r>
      <w:r w:rsidRPr="00A013E1">
        <w:rPr>
          <w:rFonts w:ascii="Times New Roman" w:hAnsi="Times New Roman" w:cs="Times New Roman"/>
          <w:lang w:val="ru-RU"/>
        </w:rPr>
        <w:t>Вентилационните системи на резервоарите трябва да бъдат оразмерени така, че да позволяват бункериране при номинална скорост на зареждане без свръхналягане на резервоарите за гориво.</w:t>
      </w:r>
    </w:p>
    <w:p w14:paraId="7E7C4627" w14:textId="01576BFA" w:rsidR="007E77D7" w:rsidRPr="00A013E1" w:rsidRDefault="007E77D7" w:rsidP="00A349C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2.2.5.4 </w:t>
      </w:r>
      <w:r w:rsidR="00FF410C" w:rsidRPr="00A013E1">
        <w:rPr>
          <w:rFonts w:ascii="Times New Roman" w:hAnsi="Times New Roman" w:cs="Times New Roman"/>
          <w:lang w:val="ru-RU"/>
        </w:rPr>
        <w:tab/>
      </w:r>
      <w:r w:rsidRPr="00A013E1">
        <w:rPr>
          <w:rFonts w:ascii="Times New Roman" w:hAnsi="Times New Roman" w:cs="Times New Roman"/>
          <w:lang w:val="ru-RU"/>
        </w:rPr>
        <w:t>Вентилационните отвори на резервоара трябва да бъдат разположени по такъв начин, че да не е възможно проникване на вода.</w:t>
      </w:r>
    </w:p>
    <w:p w14:paraId="04D1AD05" w14:textId="3478AAC5" w:rsidR="007E77D7" w:rsidRPr="00A013E1" w:rsidRDefault="007E77D7" w:rsidP="00A349C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2.2.5.5 </w:t>
      </w:r>
      <w:r w:rsidR="00FF410C" w:rsidRPr="00A013E1">
        <w:rPr>
          <w:rFonts w:ascii="Times New Roman" w:hAnsi="Times New Roman" w:cs="Times New Roman"/>
          <w:lang w:val="ru-RU"/>
        </w:rPr>
        <w:tab/>
      </w:r>
      <w:r w:rsidRPr="00A013E1">
        <w:rPr>
          <w:rFonts w:ascii="Times New Roman" w:hAnsi="Times New Roman" w:cs="Times New Roman"/>
          <w:lang w:val="ru-RU"/>
        </w:rPr>
        <w:t xml:space="preserve">Във вентилационните линии на резервоара не трябва да се монтират спирателни вентили. За целите на отделянето на резервоарите по време на работа по поддръжката </w:t>
      </w:r>
      <w:r w:rsidR="00F202B4" w:rsidRPr="00A013E1">
        <w:rPr>
          <w:rFonts w:ascii="Times New Roman" w:hAnsi="Times New Roman" w:cs="Times New Roman"/>
          <w:lang w:val="ru-RU"/>
        </w:rPr>
        <w:t xml:space="preserve"> </w:t>
      </w:r>
      <w:r w:rsidR="00E00E3F" w:rsidRPr="00A013E1">
        <w:rPr>
          <w:rFonts w:ascii="Times New Roman" w:hAnsi="Times New Roman" w:cs="Times New Roman"/>
          <w:lang w:val="ru-RU"/>
        </w:rPr>
        <w:t xml:space="preserve">е допустимо използването на </w:t>
      </w:r>
      <w:r w:rsidRPr="00A013E1">
        <w:rPr>
          <w:rFonts w:ascii="Times New Roman" w:hAnsi="Times New Roman" w:cs="Times New Roman"/>
          <w:lang w:val="ru-RU"/>
        </w:rPr>
        <w:t>спирателни вентили в общи вентилационни линии, ако е осигурена вторична независима защита срещу свръхналягане или подналягане за всички свързани резервоари.</w:t>
      </w:r>
    </w:p>
    <w:p w14:paraId="179A4894" w14:textId="77777777" w:rsidR="007E77D7" w:rsidRPr="00A013E1" w:rsidRDefault="007E77D7" w:rsidP="00A349C3">
      <w:pPr>
        <w:ind w:left="851" w:hanging="851"/>
        <w:jc w:val="both"/>
        <w:rPr>
          <w:rFonts w:ascii="Times New Roman" w:hAnsi="Times New Roman" w:cs="Times New Roman"/>
          <w:lang w:val="ru-RU"/>
        </w:rPr>
      </w:pPr>
      <w:r w:rsidRPr="00A013E1">
        <w:rPr>
          <w:rFonts w:ascii="Times New Roman" w:hAnsi="Times New Roman" w:cs="Times New Roman"/>
          <w:lang w:val="ru-RU"/>
        </w:rPr>
        <w:t>2.2.5.6 Ако за резервоарите за гориво е предвидена контролирана вентилационна система:</w:t>
      </w:r>
    </w:p>
    <w:p w14:paraId="14DF2352" w14:textId="0073AC55" w:rsidR="007E77D7" w:rsidRPr="00A013E1" w:rsidRDefault="007E77D7" w:rsidP="00FF410C">
      <w:pPr>
        <w:ind w:left="851"/>
        <w:jc w:val="both"/>
        <w:rPr>
          <w:rFonts w:ascii="Times New Roman" w:hAnsi="Times New Roman" w:cs="Times New Roman"/>
          <w:lang w:val="ru-RU"/>
        </w:rPr>
      </w:pPr>
      <w:r w:rsidRPr="00A013E1">
        <w:rPr>
          <w:rFonts w:ascii="Times New Roman" w:hAnsi="Times New Roman" w:cs="Times New Roman"/>
        </w:rPr>
        <w:t>a</w:t>
      </w:r>
      <w:r w:rsidRPr="00A013E1">
        <w:rPr>
          <w:rFonts w:ascii="Times New Roman" w:hAnsi="Times New Roman" w:cs="Times New Roman"/>
          <w:lang w:val="ru-RU"/>
        </w:rPr>
        <w:t xml:space="preserve">) </w:t>
      </w:r>
      <w:r w:rsidR="00FF410C" w:rsidRPr="00A013E1">
        <w:rPr>
          <w:rFonts w:ascii="Times New Roman" w:hAnsi="Times New Roman" w:cs="Times New Roman"/>
          <w:lang w:val="ru-RU"/>
        </w:rPr>
        <w:t>к</w:t>
      </w:r>
      <w:r w:rsidRPr="00A013E1">
        <w:rPr>
          <w:rFonts w:ascii="Times New Roman" w:hAnsi="Times New Roman" w:cs="Times New Roman"/>
          <w:lang w:val="ru-RU"/>
        </w:rPr>
        <w:t>лапани за вакуум (</w:t>
      </w:r>
      <w:r w:rsidRPr="00A013E1">
        <w:rPr>
          <w:rFonts w:ascii="Times New Roman" w:hAnsi="Times New Roman" w:cs="Times New Roman"/>
        </w:rPr>
        <w:t>P</w:t>
      </w:r>
      <w:r w:rsidRPr="00A013E1">
        <w:rPr>
          <w:rFonts w:ascii="Times New Roman" w:hAnsi="Times New Roman" w:cs="Times New Roman"/>
          <w:lang w:val="ru-RU"/>
        </w:rPr>
        <w:t>/</w:t>
      </w:r>
      <w:r w:rsidRPr="00A013E1">
        <w:rPr>
          <w:rFonts w:ascii="Times New Roman" w:hAnsi="Times New Roman" w:cs="Times New Roman"/>
        </w:rPr>
        <w:t>V</w:t>
      </w:r>
      <w:r w:rsidRPr="00A013E1">
        <w:rPr>
          <w:rFonts w:ascii="Times New Roman" w:hAnsi="Times New Roman" w:cs="Times New Roman"/>
          <w:lang w:val="ru-RU"/>
        </w:rPr>
        <w:t>) (комбинирани или отделни клапани) се монтират към всеки резервоар за гориво. Системата за контролирана вентилация на резервоара може да бъде проектирана с отделни вентилационни отвори от всеки резервоар за гориво или с вентилационни линии от всеки отделен резервоар за гориво, свързани към общ колектор; и</w:t>
      </w:r>
    </w:p>
    <w:p w14:paraId="4F5AB430" w14:textId="1F0971B9" w:rsidR="007E77D7" w:rsidRPr="00A013E1" w:rsidRDefault="009C3752" w:rsidP="00FF410C">
      <w:pPr>
        <w:ind w:left="851"/>
        <w:jc w:val="both"/>
        <w:rPr>
          <w:rFonts w:ascii="Times New Roman" w:hAnsi="Times New Roman" w:cs="Times New Roman"/>
          <w:lang w:val="ru-RU"/>
        </w:rPr>
      </w:pPr>
      <w:r w:rsidRPr="00A013E1">
        <w:rPr>
          <w:rFonts w:ascii="Times New Roman" w:hAnsi="Times New Roman" w:cs="Times New Roman"/>
          <w:lang w:val="ru-RU"/>
        </w:rPr>
        <w:t>б</w:t>
      </w:r>
      <w:r w:rsidR="007E77D7" w:rsidRPr="00A013E1">
        <w:rPr>
          <w:rFonts w:ascii="Times New Roman" w:hAnsi="Times New Roman" w:cs="Times New Roman"/>
          <w:lang w:val="ru-RU"/>
        </w:rPr>
        <w:t xml:space="preserve">) </w:t>
      </w:r>
      <w:r w:rsidR="00FF410C" w:rsidRPr="00A013E1">
        <w:rPr>
          <w:rFonts w:ascii="Times New Roman" w:hAnsi="Times New Roman" w:cs="Times New Roman"/>
          <w:lang w:val="ru-RU"/>
        </w:rPr>
        <w:t>к</w:t>
      </w:r>
      <w:r w:rsidR="007E77D7" w:rsidRPr="00A013E1">
        <w:rPr>
          <w:rFonts w:ascii="Times New Roman" w:hAnsi="Times New Roman" w:cs="Times New Roman"/>
          <w:lang w:val="ru-RU"/>
        </w:rPr>
        <w:t xml:space="preserve">онтролираната вентилационна система на резервоара трябва да бъде проектирана с </w:t>
      </w:r>
      <w:r w:rsidRPr="00A013E1">
        <w:rPr>
          <w:rFonts w:ascii="Times New Roman" w:hAnsi="Times New Roman" w:cs="Times New Roman"/>
          <w:lang w:val="ru-RU"/>
        </w:rPr>
        <w:t xml:space="preserve"> </w:t>
      </w:r>
      <w:r w:rsidR="00D25844" w:rsidRPr="00A013E1">
        <w:rPr>
          <w:rFonts w:ascii="Times New Roman" w:hAnsi="Times New Roman" w:cs="Times New Roman"/>
          <w:lang w:val="ru-RU"/>
        </w:rPr>
        <w:t>възможност</w:t>
      </w:r>
      <w:r w:rsidRPr="00A013E1">
        <w:rPr>
          <w:rFonts w:ascii="Times New Roman" w:hAnsi="Times New Roman" w:cs="Times New Roman"/>
          <w:lang w:val="ru-RU"/>
        </w:rPr>
        <w:t xml:space="preserve"> </w:t>
      </w:r>
      <w:r w:rsidR="007E77D7" w:rsidRPr="00A013E1">
        <w:rPr>
          <w:rFonts w:ascii="Times New Roman" w:hAnsi="Times New Roman" w:cs="Times New Roman"/>
          <w:lang w:val="ru-RU"/>
        </w:rPr>
        <w:t xml:space="preserve"> за освобождаване на свръхналягане и/или подналягане на целия поток. Като алтернатива на </w:t>
      </w:r>
      <w:r w:rsidR="00D25844" w:rsidRPr="00A013E1">
        <w:rPr>
          <w:rFonts w:ascii="Times New Roman" w:hAnsi="Times New Roman" w:cs="Times New Roman"/>
          <w:lang w:val="ru-RU"/>
        </w:rPr>
        <w:t xml:space="preserve"> тази допълнителна възможност </w:t>
      </w:r>
      <w:r w:rsidR="007E77D7" w:rsidRPr="00A013E1">
        <w:rPr>
          <w:rFonts w:ascii="Times New Roman" w:hAnsi="Times New Roman" w:cs="Times New Roman"/>
          <w:lang w:val="ru-RU"/>
        </w:rPr>
        <w:t>контролният орган може да приеме сензори за налягане, монтирани във всеки резервоар за гориво и свързани към алармена система.</w:t>
      </w:r>
    </w:p>
    <w:p w14:paraId="7F97E05F" w14:textId="77777777" w:rsidR="007E77D7" w:rsidRPr="00A013E1" w:rsidRDefault="007E77D7" w:rsidP="00A349C3">
      <w:pPr>
        <w:ind w:left="851" w:hanging="851"/>
        <w:jc w:val="both"/>
        <w:rPr>
          <w:rFonts w:ascii="Times New Roman" w:hAnsi="Times New Roman" w:cs="Times New Roman"/>
          <w:lang w:val="ru-RU"/>
        </w:rPr>
      </w:pPr>
      <w:r w:rsidRPr="00A013E1">
        <w:rPr>
          <w:rFonts w:ascii="Times New Roman" w:hAnsi="Times New Roman" w:cs="Times New Roman"/>
          <w:lang w:val="ru-RU"/>
        </w:rPr>
        <w:t>2.2.5.7 Вентилационните линии под палубата трябва да бъдат:</w:t>
      </w:r>
    </w:p>
    <w:p w14:paraId="008790BB" w14:textId="028C1ACF" w:rsidR="007E77D7" w:rsidRPr="00A013E1" w:rsidRDefault="007E77D7" w:rsidP="00FF410C">
      <w:pPr>
        <w:ind w:left="851"/>
        <w:jc w:val="both"/>
        <w:rPr>
          <w:rFonts w:ascii="Times New Roman" w:hAnsi="Times New Roman" w:cs="Times New Roman"/>
          <w:lang w:val="ru-RU"/>
        </w:rPr>
      </w:pPr>
      <w:r w:rsidRPr="00A013E1">
        <w:rPr>
          <w:rFonts w:ascii="Times New Roman" w:hAnsi="Times New Roman" w:cs="Times New Roman"/>
          <w:lang w:val="ru-RU"/>
        </w:rPr>
        <w:t xml:space="preserve">а) разположени най-малко на 0,60 </w:t>
      </w:r>
      <w:r w:rsidRPr="00A013E1">
        <w:rPr>
          <w:rFonts w:ascii="Times New Roman" w:hAnsi="Times New Roman" w:cs="Times New Roman"/>
        </w:rPr>
        <w:t>m</w:t>
      </w:r>
      <w:r w:rsidRPr="00A013E1">
        <w:rPr>
          <w:rFonts w:ascii="Times New Roman" w:hAnsi="Times New Roman" w:cs="Times New Roman"/>
          <w:lang w:val="ru-RU"/>
        </w:rPr>
        <w:t xml:space="preserve"> от страната на плавателното средство (</w:t>
      </w:r>
      <w:r w:rsidR="00705F5F" w:rsidRPr="00A013E1">
        <w:rPr>
          <w:rFonts w:ascii="Times New Roman" w:hAnsi="Times New Roman" w:cs="Times New Roman"/>
          <w:lang w:val="ru-RU"/>
        </w:rPr>
        <w:t>външна обшивка</w:t>
      </w:r>
      <w:r w:rsidRPr="00A013E1">
        <w:rPr>
          <w:rFonts w:ascii="Times New Roman" w:hAnsi="Times New Roman" w:cs="Times New Roman"/>
          <w:lang w:val="ru-RU"/>
        </w:rPr>
        <w:t>); или</w:t>
      </w:r>
    </w:p>
    <w:p w14:paraId="6BC7FEEB" w14:textId="4AAC6CAD" w:rsidR="007E77D7" w:rsidRPr="00A013E1" w:rsidRDefault="007E77D7" w:rsidP="00FF410C">
      <w:pPr>
        <w:ind w:left="851"/>
        <w:jc w:val="both"/>
        <w:rPr>
          <w:rFonts w:ascii="Times New Roman" w:hAnsi="Times New Roman" w:cs="Times New Roman"/>
          <w:lang w:val="ru-RU"/>
        </w:rPr>
      </w:pPr>
      <w:r w:rsidRPr="00A013E1">
        <w:rPr>
          <w:rFonts w:ascii="Times New Roman" w:hAnsi="Times New Roman" w:cs="Times New Roman"/>
          <w:lang w:val="ru-RU"/>
        </w:rPr>
        <w:t xml:space="preserve">б) заобиколен от вторична бариера. Разстоянието между </w:t>
      </w:r>
      <w:r w:rsidR="00705F5F"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плавателното средство (</w:t>
      </w:r>
      <w:r w:rsidR="00705F5F" w:rsidRPr="00A013E1">
        <w:rPr>
          <w:rFonts w:ascii="Times New Roman" w:hAnsi="Times New Roman" w:cs="Times New Roman"/>
          <w:lang w:val="ru-RU"/>
        </w:rPr>
        <w:t>външна обшивка</w:t>
      </w:r>
      <w:r w:rsidRPr="00A013E1">
        <w:rPr>
          <w:rFonts w:ascii="Times New Roman" w:hAnsi="Times New Roman" w:cs="Times New Roman"/>
          <w:lang w:val="ru-RU"/>
        </w:rPr>
        <w:t xml:space="preserve">) и вертикалната част на вторичната преграда на вентилационната линия, противоположна на страната на плавателното средство, трябва да бъде най-малко 0,60 </w:t>
      </w:r>
      <w:r w:rsidRPr="00A013E1">
        <w:rPr>
          <w:rFonts w:ascii="Times New Roman" w:hAnsi="Times New Roman" w:cs="Times New Roman"/>
        </w:rPr>
        <w:t>m</w:t>
      </w:r>
      <w:r w:rsidRPr="00A013E1">
        <w:rPr>
          <w:rFonts w:ascii="Times New Roman" w:hAnsi="Times New Roman" w:cs="Times New Roman"/>
          <w:lang w:val="ru-RU"/>
        </w:rPr>
        <w:t>.</w:t>
      </w:r>
    </w:p>
    <w:p w14:paraId="68AB9829" w14:textId="77777777" w:rsidR="007E77D7" w:rsidRPr="00A013E1" w:rsidRDefault="007E77D7" w:rsidP="00FF410C">
      <w:pPr>
        <w:spacing w:after="240"/>
        <w:ind w:left="851"/>
        <w:jc w:val="both"/>
        <w:rPr>
          <w:rFonts w:ascii="Times New Roman" w:hAnsi="Times New Roman" w:cs="Times New Roman"/>
          <w:lang w:val="ru-RU"/>
        </w:rPr>
      </w:pPr>
      <w:r w:rsidRPr="00A013E1">
        <w:rPr>
          <w:rFonts w:ascii="Times New Roman" w:hAnsi="Times New Roman" w:cs="Times New Roman"/>
          <w:lang w:val="ru-RU"/>
        </w:rPr>
        <w:t>Ако вентилационните линии минават през помещения, се допускат само тръби с двойна стена.</w:t>
      </w:r>
    </w:p>
    <w:p w14:paraId="0A7607CC" w14:textId="77777777" w:rsidR="007E77D7" w:rsidRPr="00A013E1" w:rsidRDefault="007E77D7" w:rsidP="00FF410C">
      <w:pPr>
        <w:ind w:left="851" w:hanging="851"/>
        <w:rPr>
          <w:rFonts w:ascii="Times New Roman" w:hAnsi="Times New Roman" w:cs="Times New Roman"/>
          <w:b/>
          <w:lang w:val="ru-RU"/>
        </w:rPr>
      </w:pPr>
      <w:r w:rsidRPr="00A013E1">
        <w:rPr>
          <w:rFonts w:ascii="Times New Roman" w:hAnsi="Times New Roman" w:cs="Times New Roman"/>
          <w:b/>
          <w:lang w:val="ru-RU"/>
        </w:rPr>
        <w:lastRenderedPageBreak/>
        <w:t xml:space="preserve">2.2.6 </w:t>
      </w:r>
      <w:r w:rsidRPr="00A013E1">
        <w:rPr>
          <w:rFonts w:ascii="Times New Roman" w:hAnsi="Times New Roman" w:cs="Times New Roman"/>
          <w:b/>
          <w:lang w:val="ru-RU"/>
        </w:rPr>
        <w:tab/>
        <w:t>Горивни тръбопроводни системи за метанол</w:t>
      </w:r>
    </w:p>
    <w:p w14:paraId="7A430CE6" w14:textId="53B5F9DC"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2.2.6.1 </w:t>
      </w:r>
      <w:r w:rsidR="00FF410C" w:rsidRPr="00A013E1">
        <w:rPr>
          <w:rFonts w:ascii="Times New Roman" w:hAnsi="Times New Roman" w:cs="Times New Roman"/>
          <w:lang w:val="ru-RU"/>
        </w:rPr>
        <w:tab/>
      </w:r>
      <w:r w:rsidRPr="00A013E1">
        <w:rPr>
          <w:rFonts w:ascii="Times New Roman" w:hAnsi="Times New Roman" w:cs="Times New Roman"/>
          <w:lang w:val="ru-RU"/>
        </w:rPr>
        <w:t>Тръбопроводите за метанолно гориво трябва да бъдат електрически свързани към конструкцията на плавателния съд.</w:t>
      </w:r>
    </w:p>
    <w:p w14:paraId="7B5E7687" w14:textId="606C7E74"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2.2.6.2 </w:t>
      </w:r>
      <w:r w:rsidR="00FF410C" w:rsidRPr="00A013E1">
        <w:rPr>
          <w:rFonts w:ascii="Times New Roman" w:hAnsi="Times New Roman" w:cs="Times New Roman"/>
          <w:lang w:val="ru-RU"/>
        </w:rPr>
        <w:tab/>
      </w:r>
      <w:r w:rsidRPr="00A013E1">
        <w:rPr>
          <w:rFonts w:ascii="Times New Roman" w:hAnsi="Times New Roman" w:cs="Times New Roman"/>
          <w:lang w:val="ru-RU"/>
        </w:rPr>
        <w:t>Тръбопроводите за метанолно гориво и другите аксесоари трябва да бъдат разположени и подредени по такъв начин, че нито горивото, нито горивните изпарения да могат случайно да достигнат вътрешността на плавателния съд.</w:t>
      </w:r>
    </w:p>
    <w:p w14:paraId="1F827329" w14:textId="67B0C4F9"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2.2.6.3 </w:t>
      </w:r>
      <w:r w:rsidR="00FF410C" w:rsidRPr="00A013E1">
        <w:rPr>
          <w:rFonts w:ascii="Times New Roman" w:hAnsi="Times New Roman" w:cs="Times New Roman"/>
          <w:lang w:val="ru-RU"/>
        </w:rPr>
        <w:tab/>
      </w:r>
      <w:r w:rsidRPr="00A013E1">
        <w:rPr>
          <w:rFonts w:ascii="Times New Roman" w:hAnsi="Times New Roman" w:cs="Times New Roman"/>
          <w:lang w:val="ru-RU"/>
        </w:rPr>
        <w:t xml:space="preserve">В съответствие с (2.2.1.1), под палубата тръбопроводите за метанолно гориво трябва да бъдат заобиколени от вторична бариера за ограничаване и откриване </w:t>
      </w:r>
    </w:p>
    <w:p w14:paraId="6A88B9F8" w14:textId="2C36FB52"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2.2.6.4 </w:t>
      </w:r>
      <w:r w:rsidR="00FF410C" w:rsidRPr="00A013E1">
        <w:rPr>
          <w:rFonts w:ascii="Times New Roman" w:hAnsi="Times New Roman" w:cs="Times New Roman"/>
          <w:lang w:val="ru-RU"/>
        </w:rPr>
        <w:tab/>
      </w:r>
      <w:r w:rsidRPr="00A013E1">
        <w:rPr>
          <w:rFonts w:ascii="Times New Roman" w:hAnsi="Times New Roman" w:cs="Times New Roman"/>
          <w:lang w:val="ru-RU"/>
        </w:rPr>
        <w:t xml:space="preserve">Хоризонталното разстояние между вторичната бариера на тръбопровода за метанолно гориво под палубата и </w:t>
      </w:r>
      <w:r w:rsidR="007A58EE" w:rsidRPr="00A013E1">
        <w:rPr>
          <w:rFonts w:ascii="Times New Roman" w:hAnsi="Times New Roman" w:cs="Times New Roman"/>
          <w:lang w:val="ru-RU"/>
        </w:rPr>
        <w:t xml:space="preserve"> </w:t>
      </w:r>
      <w:r w:rsidR="005378A2"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плавателния съд (</w:t>
      </w:r>
      <w:r w:rsidR="005378A2" w:rsidRPr="00A013E1">
        <w:rPr>
          <w:rFonts w:ascii="Times New Roman" w:hAnsi="Times New Roman" w:cs="Times New Roman"/>
          <w:lang w:val="ru-RU"/>
        </w:rPr>
        <w:t>външна обшивка</w:t>
      </w:r>
      <w:r w:rsidRPr="00A013E1">
        <w:rPr>
          <w:rFonts w:ascii="Times New Roman" w:hAnsi="Times New Roman" w:cs="Times New Roman"/>
          <w:lang w:val="ru-RU"/>
        </w:rPr>
        <w:t>) трябва да бъде най-малко 0,60 m.</w:t>
      </w:r>
    </w:p>
    <w:p w14:paraId="0748A8A7" w14:textId="77777777" w:rsidR="007E77D7" w:rsidRPr="00A013E1" w:rsidRDefault="007E77D7" w:rsidP="00FF410C">
      <w:pPr>
        <w:ind w:left="851"/>
        <w:jc w:val="both"/>
        <w:rPr>
          <w:rFonts w:ascii="Times New Roman" w:hAnsi="Times New Roman" w:cs="Times New Roman"/>
          <w:lang w:val="ru-RU"/>
        </w:rPr>
      </w:pPr>
      <w:r w:rsidRPr="00A013E1">
        <w:rPr>
          <w:rFonts w:ascii="Times New Roman" w:hAnsi="Times New Roman" w:cs="Times New Roman"/>
          <w:lang w:val="ru-RU"/>
        </w:rPr>
        <w:t>В съответствие с оценката на риска, посочена в член 30.04, контролният орган може да изисква по-високи стойности за разстоянието, посочено по-горе.</w:t>
      </w:r>
    </w:p>
    <w:p w14:paraId="2A420BBE" w14:textId="4F8E21F6"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2.2.6.5 </w:t>
      </w:r>
      <w:r w:rsidR="00FF410C" w:rsidRPr="00A013E1">
        <w:rPr>
          <w:rFonts w:ascii="Times New Roman" w:hAnsi="Times New Roman" w:cs="Times New Roman"/>
          <w:lang w:val="ru-RU"/>
        </w:rPr>
        <w:t xml:space="preserve"> </w:t>
      </w:r>
      <w:r w:rsidRPr="00A013E1">
        <w:rPr>
          <w:rFonts w:ascii="Times New Roman" w:hAnsi="Times New Roman" w:cs="Times New Roman"/>
          <w:lang w:val="ru-RU"/>
        </w:rPr>
        <w:t>Проектното налягане на вторичната бариера около тръбата за гориво не трябва да бъде по-малко от максималното работно налягане на тръбата за гориво. Като алтернатива вторичната бариера около тръба за гориво трябва да бъде оразмерена в съответствие с изчисленото максимално изградено налягане в случай на скъсване на тръба.</w:t>
      </w:r>
    </w:p>
    <w:p w14:paraId="3D905CE7" w14:textId="63F686A4"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2.2.6.6 В съответствие с </w:t>
      </w:r>
      <w:r w:rsidR="007A58EE" w:rsidRPr="00A013E1">
        <w:rPr>
          <w:rFonts w:ascii="Times New Roman" w:hAnsi="Times New Roman" w:cs="Times New Roman"/>
          <w:lang w:val="ru-RU"/>
        </w:rPr>
        <w:t>т.</w:t>
      </w:r>
      <w:r w:rsidRPr="00A013E1">
        <w:rPr>
          <w:rFonts w:ascii="Times New Roman" w:hAnsi="Times New Roman" w:cs="Times New Roman"/>
          <w:lang w:val="ru-RU"/>
        </w:rPr>
        <w:t>2.2.1.1 на открита палуба обаче не се изисква допълнителна бариера:</w:t>
      </w:r>
    </w:p>
    <w:p w14:paraId="6648D166" w14:textId="77777777" w:rsidR="007E77D7" w:rsidRPr="00A013E1" w:rsidRDefault="007E77D7" w:rsidP="00776EF1">
      <w:pPr>
        <w:ind w:left="851"/>
        <w:jc w:val="both"/>
        <w:rPr>
          <w:rFonts w:ascii="Times New Roman" w:hAnsi="Times New Roman" w:cs="Times New Roman"/>
          <w:lang w:val="ru-RU"/>
        </w:rPr>
      </w:pPr>
      <w:r w:rsidRPr="00A013E1">
        <w:rPr>
          <w:rFonts w:ascii="Times New Roman" w:hAnsi="Times New Roman" w:cs="Times New Roman"/>
          <w:lang w:val="ru-RU"/>
        </w:rPr>
        <w:t>а) едностенните тръбопроводи за метанолно гориво трябва да бъдат разположени възможно най-далече от електрическите инсталации, източниците на запалване и резервоарите, съдържащи запалими течности;</w:t>
      </w:r>
    </w:p>
    <w:p w14:paraId="12961AD6" w14:textId="77777777" w:rsidR="007E77D7" w:rsidRPr="00A013E1" w:rsidRDefault="007E77D7" w:rsidP="00776EF1">
      <w:pPr>
        <w:ind w:left="851"/>
        <w:jc w:val="both"/>
        <w:rPr>
          <w:rFonts w:ascii="Times New Roman" w:hAnsi="Times New Roman" w:cs="Times New Roman"/>
          <w:lang w:val="ru-RU"/>
        </w:rPr>
      </w:pPr>
      <w:r w:rsidRPr="00A013E1">
        <w:rPr>
          <w:rFonts w:ascii="Times New Roman" w:hAnsi="Times New Roman" w:cs="Times New Roman"/>
          <w:lang w:val="ru-RU"/>
        </w:rPr>
        <w:t>б) броят на връзките на горивните тръби трябва да бъде сведен до минимум; и</w:t>
      </w:r>
    </w:p>
    <w:p w14:paraId="239042FC" w14:textId="77777777" w:rsidR="007E77D7" w:rsidRPr="00A013E1" w:rsidRDefault="007E77D7" w:rsidP="00776EF1">
      <w:pPr>
        <w:ind w:left="851"/>
        <w:jc w:val="both"/>
        <w:rPr>
          <w:rFonts w:ascii="Times New Roman" w:hAnsi="Times New Roman" w:cs="Times New Roman"/>
          <w:lang w:val="ru-RU"/>
        </w:rPr>
      </w:pPr>
      <w:r w:rsidRPr="00A013E1">
        <w:rPr>
          <w:rFonts w:ascii="Times New Roman" w:hAnsi="Times New Roman" w:cs="Times New Roman"/>
          <w:lang w:val="ru-RU"/>
        </w:rPr>
        <w:t>в) когато е необходимо, връзките на тръбите за гориво трябва да бъдат екранирани или по друг начин подходящо защитени, за да се избегне пръскане на гориво или изтичане върху горещи повърхности, във въздухозаборниците на машините или други източници на запалване.</w:t>
      </w:r>
    </w:p>
    <w:p w14:paraId="26CB30AE" w14:textId="5FF88C56"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2.2.6.7 </w:t>
      </w:r>
      <w:r w:rsidR="00776EF1" w:rsidRPr="00A013E1">
        <w:rPr>
          <w:rFonts w:ascii="Times New Roman" w:hAnsi="Times New Roman" w:cs="Times New Roman"/>
          <w:lang w:val="ru-RU"/>
        </w:rPr>
        <w:tab/>
      </w:r>
      <w:r w:rsidRPr="00A013E1">
        <w:rPr>
          <w:rFonts w:ascii="Times New Roman" w:hAnsi="Times New Roman" w:cs="Times New Roman"/>
          <w:lang w:val="ru-RU"/>
        </w:rPr>
        <w:t>Всички помпи в горивната система трябва да бъдат защитени срещу работа на сухо (т.е. защитени срещу работа при липса на гориво или сервизна течност).</w:t>
      </w:r>
    </w:p>
    <w:p w14:paraId="02F2C018" w14:textId="77777777" w:rsidR="007E77D7" w:rsidRPr="00A013E1" w:rsidRDefault="007E77D7" w:rsidP="00776EF1">
      <w:pPr>
        <w:ind w:left="851"/>
        <w:jc w:val="both"/>
        <w:rPr>
          <w:rFonts w:ascii="Times New Roman" w:hAnsi="Times New Roman" w:cs="Times New Roman"/>
          <w:lang w:val="ru-RU"/>
        </w:rPr>
      </w:pPr>
      <w:r w:rsidRPr="00A013E1">
        <w:rPr>
          <w:rFonts w:ascii="Times New Roman" w:hAnsi="Times New Roman" w:cs="Times New Roman"/>
          <w:lang w:val="ru-RU"/>
        </w:rPr>
        <w:t>Всички помпи, които са в състояние да развият налягане, надвишаващо проектното налягане на системата, трябва да бъдат снабдени с предпазни клапани. Всеки предпазен клапан трябва да бъде в затворена верига, т.е. да се изпуска обратно към тръбопровода преди смукателната страна на помпата.</w:t>
      </w:r>
    </w:p>
    <w:p w14:paraId="24306560" w14:textId="0E292E23"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2.2.6.8 </w:t>
      </w:r>
      <w:r w:rsidR="00776EF1" w:rsidRPr="00A013E1">
        <w:rPr>
          <w:rFonts w:ascii="Times New Roman" w:hAnsi="Times New Roman" w:cs="Times New Roman"/>
          <w:lang w:val="ru-RU"/>
        </w:rPr>
        <w:tab/>
      </w:r>
      <w:r w:rsidRPr="00A013E1">
        <w:rPr>
          <w:rFonts w:ascii="Times New Roman" w:hAnsi="Times New Roman" w:cs="Times New Roman"/>
          <w:lang w:val="ru-RU"/>
        </w:rPr>
        <w:t>Проектното налягане за всяка секция на тръбопроводната система за гориво е максималното манометрично налягане, на което системата може да бъде подложена по време на работа, като се вземе предвид най-високото зададено налягане на който и да е предпазен клапан на системата.</w:t>
      </w:r>
    </w:p>
    <w:p w14:paraId="7A04AB02" w14:textId="435DBB6F"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2.2.6.9 </w:t>
      </w:r>
      <w:r w:rsidR="00776EF1" w:rsidRPr="00A013E1">
        <w:rPr>
          <w:rFonts w:ascii="Times New Roman" w:hAnsi="Times New Roman" w:cs="Times New Roman"/>
          <w:lang w:val="ru-RU"/>
        </w:rPr>
        <w:tab/>
      </w:r>
      <w:r w:rsidRPr="00A013E1">
        <w:rPr>
          <w:rFonts w:ascii="Times New Roman" w:hAnsi="Times New Roman" w:cs="Times New Roman"/>
          <w:lang w:val="ru-RU"/>
        </w:rPr>
        <w:t>За поддръжка трябва да е възможно всички секции на горивната система да могат да бъдат безопасни</w:t>
      </w:r>
    </w:p>
    <w:p w14:paraId="20216E7B" w14:textId="3C2CF83C" w:rsidR="007E77D7" w:rsidRPr="00A013E1" w:rsidRDefault="007E77D7" w:rsidP="00776EF1">
      <w:pPr>
        <w:ind w:left="851"/>
        <w:jc w:val="both"/>
        <w:rPr>
          <w:rFonts w:ascii="Times New Roman" w:hAnsi="Times New Roman" w:cs="Times New Roman"/>
          <w:lang w:val="ru-RU"/>
        </w:rPr>
      </w:pPr>
      <w:r w:rsidRPr="00A013E1">
        <w:rPr>
          <w:rFonts w:ascii="Times New Roman" w:hAnsi="Times New Roman" w:cs="Times New Roman"/>
          <w:lang w:val="ru-RU"/>
        </w:rPr>
        <w:t>а) изолиран</w:t>
      </w:r>
      <w:r w:rsidR="004E519B" w:rsidRPr="00A013E1">
        <w:rPr>
          <w:rFonts w:ascii="Times New Roman" w:hAnsi="Times New Roman" w:cs="Times New Roman"/>
          <w:lang w:val="ru-RU"/>
        </w:rPr>
        <w:t>и</w:t>
      </w:r>
      <w:r w:rsidRPr="00A013E1">
        <w:rPr>
          <w:rFonts w:ascii="Times New Roman" w:hAnsi="Times New Roman" w:cs="Times New Roman"/>
          <w:lang w:val="ru-RU"/>
        </w:rPr>
        <w:t xml:space="preserve"> и</w:t>
      </w:r>
    </w:p>
    <w:p w14:paraId="3D9816D0" w14:textId="77777777" w:rsidR="007E77D7" w:rsidRPr="00A013E1" w:rsidRDefault="007E77D7" w:rsidP="00776EF1">
      <w:pPr>
        <w:spacing w:after="240"/>
        <w:ind w:left="851"/>
        <w:jc w:val="both"/>
        <w:rPr>
          <w:rFonts w:ascii="Times New Roman" w:hAnsi="Times New Roman" w:cs="Times New Roman"/>
          <w:lang w:val="ru-RU"/>
        </w:rPr>
      </w:pPr>
      <w:r w:rsidRPr="00A013E1">
        <w:rPr>
          <w:rFonts w:ascii="Times New Roman" w:hAnsi="Times New Roman" w:cs="Times New Roman"/>
          <w:lang w:val="ru-RU"/>
        </w:rPr>
        <w:t>б) източени и прочистени от гориво.</w:t>
      </w:r>
    </w:p>
    <w:p w14:paraId="0EB95809" w14:textId="03982443" w:rsidR="007E77D7" w:rsidRPr="00A013E1" w:rsidRDefault="007E77D7" w:rsidP="00FF410C">
      <w:pPr>
        <w:ind w:left="851" w:hanging="851"/>
        <w:jc w:val="both"/>
        <w:rPr>
          <w:rFonts w:ascii="Times New Roman" w:hAnsi="Times New Roman" w:cs="Times New Roman"/>
          <w:b/>
          <w:lang w:val="ru-RU"/>
        </w:rPr>
      </w:pPr>
      <w:r w:rsidRPr="00A013E1">
        <w:rPr>
          <w:rFonts w:ascii="Times New Roman" w:hAnsi="Times New Roman" w:cs="Times New Roman"/>
          <w:b/>
          <w:lang w:val="ru-RU"/>
        </w:rPr>
        <w:t xml:space="preserve">2.2.7 Дренажни системи и </w:t>
      </w:r>
      <w:r w:rsidR="004E519B" w:rsidRPr="00A013E1">
        <w:rPr>
          <w:rFonts w:ascii="Times New Roman" w:hAnsi="Times New Roman" w:cs="Times New Roman"/>
          <w:b/>
          <w:lang w:val="ru-RU"/>
        </w:rPr>
        <w:t xml:space="preserve"> дренажни тави </w:t>
      </w:r>
    </w:p>
    <w:p w14:paraId="15896288" w14:textId="77777777"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lastRenderedPageBreak/>
        <w:t>2.2.7.1 Трябва да се осигурят подходящи дренажни и прочистващи устройства за справяне с всяко изтичане на метанолно гориво в междубариерните пространства.</w:t>
      </w:r>
    </w:p>
    <w:p w14:paraId="55291157" w14:textId="618C9E8B"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2.2.7.2 </w:t>
      </w:r>
      <w:r w:rsidR="00CC7C25" w:rsidRPr="00A013E1">
        <w:rPr>
          <w:rFonts w:ascii="Times New Roman" w:hAnsi="Times New Roman" w:cs="Times New Roman"/>
          <w:lang w:val="ru-RU"/>
        </w:rPr>
        <w:tab/>
      </w:r>
      <w:r w:rsidRPr="00A013E1">
        <w:rPr>
          <w:rFonts w:ascii="Times New Roman" w:hAnsi="Times New Roman" w:cs="Times New Roman"/>
          <w:lang w:val="ru-RU"/>
        </w:rPr>
        <w:t>Дренажните системи за зони, където може да има метанолно гориво, трябва да бъдат независими и отделни от дренажната система на зони, където метаноловото гориво не може да присъства.</w:t>
      </w:r>
    </w:p>
    <w:p w14:paraId="2919B60E" w14:textId="77777777"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2.2.7.3 За целите на дрениране на изтичане на метанол от междубариерните пространства, трябва да се вземат мерки, така че течовете да могат да бъдат дренирани в подходящи мобилни или фиксирани събирателни резервоари или да бъдат отведени директно зад борда под най-ниската възможна водолиния.</w:t>
      </w:r>
    </w:p>
    <w:p w14:paraId="2D161F73" w14:textId="4C1B95D6"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2.2.7.4 </w:t>
      </w:r>
      <w:r w:rsidR="00CC7C25" w:rsidRPr="00A013E1">
        <w:rPr>
          <w:rFonts w:ascii="Times New Roman" w:hAnsi="Times New Roman" w:cs="Times New Roman"/>
          <w:lang w:val="ru-RU"/>
        </w:rPr>
        <w:tab/>
      </w:r>
      <w:r w:rsidRPr="00A013E1">
        <w:rPr>
          <w:rFonts w:ascii="Times New Roman" w:hAnsi="Times New Roman" w:cs="Times New Roman"/>
          <w:lang w:val="ru-RU"/>
        </w:rPr>
        <w:t xml:space="preserve">Изтичането на открита палуба от резервоари с една стена или оборудване, съдържащо гориво, се ограничава и отвежда чрез специален дренаж, изпускащ се под най-ниската възможна </w:t>
      </w:r>
      <w:r w:rsidR="00BA38D3" w:rsidRPr="00A013E1">
        <w:rPr>
          <w:rFonts w:ascii="Times New Roman" w:hAnsi="Times New Roman" w:cs="Times New Roman"/>
          <w:lang w:val="ru-RU"/>
        </w:rPr>
        <w:t xml:space="preserve"> водолиния</w:t>
      </w:r>
      <w:r w:rsidRPr="00A013E1">
        <w:rPr>
          <w:rFonts w:ascii="Times New Roman" w:hAnsi="Times New Roman" w:cs="Times New Roman"/>
          <w:lang w:val="ru-RU"/>
        </w:rPr>
        <w:t>.</w:t>
      </w:r>
    </w:p>
    <w:p w14:paraId="47DBFDCC" w14:textId="29887423"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2.2.8 </w:t>
      </w:r>
      <w:r w:rsidR="00CC7C25" w:rsidRPr="00A013E1">
        <w:rPr>
          <w:rFonts w:ascii="Times New Roman" w:hAnsi="Times New Roman" w:cs="Times New Roman"/>
          <w:lang w:val="ru-RU"/>
        </w:rPr>
        <w:tab/>
      </w:r>
      <w:r w:rsidRPr="00A013E1">
        <w:rPr>
          <w:rFonts w:ascii="Times New Roman" w:hAnsi="Times New Roman" w:cs="Times New Roman"/>
          <w:lang w:val="ru-RU"/>
        </w:rPr>
        <w:t>Разположение на входове и други отвори</w:t>
      </w:r>
    </w:p>
    <w:p w14:paraId="01E91C25" w14:textId="3ABE82C8"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2.2.8.1 </w:t>
      </w:r>
      <w:r w:rsidR="00CC7C25" w:rsidRPr="00A013E1">
        <w:rPr>
          <w:rFonts w:ascii="Times New Roman" w:hAnsi="Times New Roman" w:cs="Times New Roman"/>
          <w:lang w:val="ru-RU"/>
        </w:rPr>
        <w:tab/>
      </w:r>
      <w:r w:rsidRPr="00A013E1">
        <w:rPr>
          <w:rFonts w:ascii="Times New Roman" w:hAnsi="Times New Roman" w:cs="Times New Roman"/>
          <w:lang w:val="ru-RU"/>
        </w:rPr>
        <w:t>Достъпът до опасно пространство не трябва да е възможен преди това</w:t>
      </w:r>
    </w:p>
    <w:p w14:paraId="66E97A80" w14:textId="0540154E"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 xml:space="preserve">a) горивните компоненти и тръбопроводите вътре </w:t>
      </w:r>
      <w:r w:rsidR="0042084E" w:rsidRPr="00A013E1">
        <w:rPr>
          <w:rFonts w:ascii="Times New Roman" w:hAnsi="Times New Roman" w:cs="Times New Roman"/>
          <w:lang w:val="ru-RU"/>
        </w:rPr>
        <w:t xml:space="preserve">да </w:t>
      </w:r>
      <w:r w:rsidRPr="00A013E1">
        <w:rPr>
          <w:rFonts w:ascii="Times New Roman" w:hAnsi="Times New Roman" w:cs="Times New Roman"/>
          <w:lang w:val="ru-RU"/>
        </w:rPr>
        <w:t>са безопасно изключени, и</w:t>
      </w:r>
    </w:p>
    <w:p w14:paraId="260D7026" w14:textId="128100C0" w:rsidR="007E77D7" w:rsidRPr="00A013E1" w:rsidRDefault="00CC7C25" w:rsidP="00CC7C25">
      <w:pPr>
        <w:ind w:left="851"/>
        <w:jc w:val="both"/>
        <w:rPr>
          <w:rFonts w:ascii="Times New Roman" w:hAnsi="Times New Roman" w:cs="Times New Roman"/>
          <w:lang w:val="ru-RU"/>
        </w:rPr>
      </w:pPr>
      <w:r w:rsidRPr="00A013E1">
        <w:rPr>
          <w:rFonts w:ascii="Times New Roman" w:hAnsi="Times New Roman" w:cs="Times New Roman"/>
          <w:lang w:val="ru-RU"/>
        </w:rPr>
        <w:t>б</w:t>
      </w:r>
      <w:r w:rsidR="007E77D7" w:rsidRPr="00A013E1">
        <w:rPr>
          <w:rFonts w:ascii="Times New Roman" w:hAnsi="Times New Roman" w:cs="Times New Roman"/>
          <w:lang w:val="ru-RU"/>
        </w:rPr>
        <w:t xml:space="preserve">) </w:t>
      </w:r>
      <w:r w:rsidR="0042084E" w:rsidRPr="00A013E1">
        <w:rPr>
          <w:rFonts w:ascii="Times New Roman" w:hAnsi="Times New Roman" w:cs="Times New Roman"/>
          <w:lang w:val="ru-RU"/>
        </w:rPr>
        <w:t>Чрез сензори да е потвърдено, че вътрешната атмосфера е без газ</w:t>
      </w:r>
    </w:p>
    <w:p w14:paraId="09688CAB"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Всички органи за управление и всички параметри, необходими за безопасна работа на горивната система и освобождаване на пространството от газ, трябва да се управляват дистанционно и да се наблюдават извън опасното пространство.</w:t>
      </w:r>
    </w:p>
    <w:p w14:paraId="2C4FEF39" w14:textId="77777777"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2.2.8.2 Вратите или люковете към опасните пространства трябва да носят отвън символа, съответстващ на фигура 1 в приложение 4 („Забранено влизането на неоторизирани лица“), както и символа за конкретно гориво в съответствие с член 30.06.</w:t>
      </w:r>
    </w:p>
    <w:p w14:paraId="3E3F842B" w14:textId="0D3B87B5"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2.2.8.3 </w:t>
      </w:r>
      <w:r w:rsidR="00CC7C25" w:rsidRPr="00A013E1">
        <w:rPr>
          <w:rFonts w:ascii="Times New Roman" w:hAnsi="Times New Roman" w:cs="Times New Roman"/>
          <w:lang w:val="ru-RU"/>
        </w:rPr>
        <w:tab/>
      </w:r>
      <w:r w:rsidRPr="00A013E1">
        <w:rPr>
          <w:rFonts w:ascii="Times New Roman" w:hAnsi="Times New Roman" w:cs="Times New Roman"/>
          <w:lang w:val="ru-RU"/>
        </w:rPr>
        <w:t xml:space="preserve">Контролният орган може да разреши дерогация от </w:t>
      </w:r>
      <w:r w:rsidR="00600C8E" w:rsidRPr="00A013E1">
        <w:rPr>
          <w:rFonts w:ascii="Times New Roman" w:hAnsi="Times New Roman" w:cs="Times New Roman"/>
          <w:lang w:val="ru-RU"/>
        </w:rPr>
        <w:t>т.</w:t>
      </w:r>
      <w:r w:rsidRPr="00A013E1">
        <w:rPr>
          <w:rFonts w:ascii="Times New Roman" w:hAnsi="Times New Roman" w:cs="Times New Roman"/>
          <w:lang w:val="ru-RU"/>
        </w:rPr>
        <w:t>(2.2.8.1), при условие че</w:t>
      </w:r>
    </w:p>
    <w:p w14:paraId="25BE46F4"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а) отворът на пространството води директно към открита палуба;</w:t>
      </w:r>
    </w:p>
    <w:p w14:paraId="0FB4D69C"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б) отварянето на пространството е през въздушен шлюз;</w:t>
      </w:r>
    </w:p>
    <w:p w14:paraId="2799DB97"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в) пространството се счита за неопасно в съответствие с член 10.04; или</w:t>
      </w:r>
    </w:p>
    <w:p w14:paraId="5489FD2E"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г) навлизането в пространството не води до разширяване на зона до наличие на източник на запалване.</w:t>
      </w:r>
    </w:p>
    <w:p w14:paraId="653D7FE4" w14:textId="7B90E376"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 xml:space="preserve">Преди да се разреши дерогация съгласно </w:t>
      </w:r>
      <w:r w:rsidR="00600C8E" w:rsidRPr="00A013E1">
        <w:rPr>
          <w:rFonts w:ascii="Times New Roman" w:hAnsi="Times New Roman" w:cs="Times New Roman"/>
          <w:lang w:val="ru-RU"/>
        </w:rPr>
        <w:t>т.г</w:t>
      </w:r>
      <w:r w:rsidRPr="00A013E1">
        <w:rPr>
          <w:rFonts w:ascii="Times New Roman" w:hAnsi="Times New Roman" w:cs="Times New Roman"/>
          <w:lang w:val="ru-RU"/>
        </w:rPr>
        <w:t>), трябва да се извърши класификация и оценка на зоните с риск от експлозия в съответствие с член 10.04 с отворен достъп. Неопасните пространства, до които може да се разпростре опасна зона, трябва да бъдат надлежно маркирани.</w:t>
      </w:r>
    </w:p>
    <w:p w14:paraId="1B405866" w14:textId="17776DDF"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2.2.8.4 </w:t>
      </w:r>
      <w:r w:rsidR="00CC7C25" w:rsidRPr="00A013E1">
        <w:rPr>
          <w:rFonts w:ascii="Times New Roman" w:hAnsi="Times New Roman" w:cs="Times New Roman"/>
          <w:lang w:val="ru-RU"/>
        </w:rPr>
        <w:tab/>
      </w:r>
      <w:r w:rsidRPr="00A013E1">
        <w:rPr>
          <w:rFonts w:ascii="Times New Roman" w:hAnsi="Times New Roman" w:cs="Times New Roman"/>
          <w:lang w:val="ru-RU"/>
        </w:rPr>
        <w:t>Въздушните шлюзове трябва да бъдат механично вентилирани при свръхналягане по отношение на съседното опасно пространство. Вратите трябва да са от самозатварящ се тип и да не са оборудвани със задържащи устройства.</w:t>
      </w:r>
    </w:p>
    <w:p w14:paraId="2C1F40D6" w14:textId="79ABE85E"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2.2.8.5 </w:t>
      </w:r>
      <w:r w:rsidR="00CC7C25" w:rsidRPr="00A013E1">
        <w:rPr>
          <w:rFonts w:ascii="Times New Roman" w:hAnsi="Times New Roman" w:cs="Times New Roman"/>
          <w:lang w:val="ru-RU"/>
        </w:rPr>
        <w:tab/>
      </w:r>
      <w:r w:rsidRPr="00A013E1">
        <w:rPr>
          <w:rFonts w:ascii="Times New Roman" w:hAnsi="Times New Roman" w:cs="Times New Roman"/>
          <w:lang w:val="ru-RU"/>
        </w:rPr>
        <w:t>Въздушните шлюзове трябва да бъдат проектирани по такъв начин, че да не може да се изпуска газ в неопасни пространства в случай на най-критичните събития в опасните пространства, разделени от въздушни шлюзове. Събитията се оценяват в оценката на риска съгласно член 30.04.</w:t>
      </w:r>
    </w:p>
    <w:p w14:paraId="19512523" w14:textId="0D1A07FB"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lastRenderedPageBreak/>
        <w:t>2.2.8.6 Въздушните шлюзове трябва да са без препятствия, да осигуряват лесно преминаване и да не се използват за други цели.</w:t>
      </w:r>
      <w:r w:rsidR="00F50D79" w:rsidRPr="00A013E1">
        <w:rPr>
          <w:rFonts w:ascii="Times New Roman" w:hAnsi="Times New Roman" w:cs="Times New Roman"/>
          <w:lang w:val="ru-RU"/>
        </w:rPr>
        <w:t>о</w:t>
      </w:r>
    </w:p>
    <w:p w14:paraId="7DA62AD1" w14:textId="4382A764" w:rsidR="007E77D7" w:rsidRPr="00A013E1" w:rsidRDefault="007E77D7" w:rsidP="00CC7C25">
      <w:pPr>
        <w:spacing w:after="240"/>
        <w:ind w:left="851" w:hanging="851"/>
        <w:jc w:val="both"/>
        <w:rPr>
          <w:rFonts w:ascii="Times New Roman" w:hAnsi="Times New Roman" w:cs="Times New Roman"/>
          <w:lang w:val="ru-RU"/>
        </w:rPr>
      </w:pPr>
      <w:r w:rsidRPr="00A013E1">
        <w:rPr>
          <w:rFonts w:ascii="Times New Roman" w:hAnsi="Times New Roman" w:cs="Times New Roman"/>
          <w:lang w:val="ru-RU"/>
        </w:rPr>
        <w:t xml:space="preserve">2.2.8.7 </w:t>
      </w:r>
      <w:r w:rsidR="00CC7C25" w:rsidRPr="00A013E1">
        <w:rPr>
          <w:rFonts w:ascii="Times New Roman" w:hAnsi="Times New Roman" w:cs="Times New Roman"/>
          <w:lang w:val="ru-RU"/>
        </w:rPr>
        <w:tab/>
      </w:r>
      <w:r w:rsidRPr="00A013E1">
        <w:rPr>
          <w:rFonts w:ascii="Times New Roman" w:hAnsi="Times New Roman" w:cs="Times New Roman"/>
          <w:lang w:val="ru-RU"/>
        </w:rPr>
        <w:t>Оптична и звукова аларма се подава от двете страни на въздушния шлюз, ако повече от една врата не е затворена или ако във въздушния шлюз бъде открит газ.</w:t>
      </w:r>
    </w:p>
    <w:p w14:paraId="36696369" w14:textId="77777777" w:rsidR="007E77D7" w:rsidRPr="00A013E1" w:rsidRDefault="007E77D7" w:rsidP="00FF410C">
      <w:pPr>
        <w:ind w:left="851" w:hanging="851"/>
        <w:jc w:val="both"/>
        <w:rPr>
          <w:rFonts w:ascii="Times New Roman" w:hAnsi="Times New Roman" w:cs="Times New Roman"/>
          <w:b/>
          <w:lang w:val="ru-RU"/>
        </w:rPr>
      </w:pPr>
      <w:r w:rsidRPr="00A013E1">
        <w:rPr>
          <w:rFonts w:ascii="Times New Roman" w:hAnsi="Times New Roman" w:cs="Times New Roman"/>
          <w:b/>
          <w:lang w:val="ru-RU"/>
        </w:rPr>
        <w:t>2.2.9 Вентилационни системи</w:t>
      </w:r>
    </w:p>
    <w:p w14:paraId="1774269E" w14:textId="17EACD89"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2.2.9.1 </w:t>
      </w:r>
      <w:r w:rsidR="00CC7C25" w:rsidRPr="00A013E1">
        <w:rPr>
          <w:rFonts w:ascii="Times New Roman" w:hAnsi="Times New Roman" w:cs="Times New Roman"/>
          <w:lang w:val="ru-RU"/>
        </w:rPr>
        <w:tab/>
      </w:r>
      <w:r w:rsidRPr="00A013E1">
        <w:rPr>
          <w:rFonts w:ascii="Times New Roman" w:hAnsi="Times New Roman" w:cs="Times New Roman"/>
          <w:lang w:val="ru-RU"/>
        </w:rPr>
        <w:t>Всеки тръбопровод, използван за вентилация на опасни пространства, трябва да бъде отделен от този, използван за вентилация на неопасни пространства.</w:t>
      </w:r>
    </w:p>
    <w:p w14:paraId="62ED8D26" w14:textId="77777777"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2.2.9.2 Вентилаторите, използвани за вентилация на опасни пространства, трябва да бъдат от сертифициран безопасен тип.</w:t>
      </w:r>
    </w:p>
    <w:p w14:paraId="72BBF8A0" w14:textId="4693C4F6"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2.2.9.3 </w:t>
      </w:r>
      <w:r w:rsidR="00CC7C25" w:rsidRPr="00A013E1">
        <w:rPr>
          <w:rFonts w:ascii="Times New Roman" w:hAnsi="Times New Roman" w:cs="Times New Roman"/>
          <w:lang w:val="ru-RU"/>
        </w:rPr>
        <w:tab/>
      </w:r>
      <w:r w:rsidRPr="00A013E1">
        <w:rPr>
          <w:rFonts w:ascii="Times New Roman" w:hAnsi="Times New Roman" w:cs="Times New Roman"/>
          <w:lang w:val="ru-RU"/>
        </w:rPr>
        <w:t>Вентилаторите, задвижва</w:t>
      </w:r>
      <w:r w:rsidR="00F7620C" w:rsidRPr="00A013E1">
        <w:rPr>
          <w:rFonts w:ascii="Times New Roman" w:hAnsi="Times New Roman" w:cs="Times New Roman"/>
          <w:lang w:val="ru-RU"/>
        </w:rPr>
        <w:t>н</w:t>
      </w:r>
      <w:r w:rsidRPr="00A013E1">
        <w:rPr>
          <w:rFonts w:ascii="Times New Roman" w:hAnsi="Times New Roman" w:cs="Times New Roman"/>
          <w:lang w:val="ru-RU"/>
        </w:rPr>
        <w:t xml:space="preserve">и </w:t>
      </w:r>
      <w:r w:rsidR="00F50D79" w:rsidRPr="00A013E1">
        <w:rPr>
          <w:rFonts w:ascii="Times New Roman" w:hAnsi="Times New Roman" w:cs="Times New Roman"/>
          <w:lang w:val="ru-RU"/>
        </w:rPr>
        <w:t xml:space="preserve">от </w:t>
      </w:r>
      <w:r w:rsidRPr="00A013E1">
        <w:rPr>
          <w:rFonts w:ascii="Times New Roman" w:hAnsi="Times New Roman" w:cs="Times New Roman"/>
          <w:lang w:val="ru-RU"/>
        </w:rPr>
        <w:t>електрически двигател, трябва да отговарят на изискваната защита от експлозия в зоната, където са инсталирани.</w:t>
      </w:r>
    </w:p>
    <w:p w14:paraId="5965E5D9" w14:textId="689D491C"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2.2.9.4 </w:t>
      </w:r>
      <w:r w:rsidR="00CC7C25" w:rsidRPr="00A013E1">
        <w:rPr>
          <w:rFonts w:ascii="Times New Roman" w:hAnsi="Times New Roman" w:cs="Times New Roman"/>
          <w:lang w:val="ru-RU"/>
        </w:rPr>
        <w:tab/>
      </w:r>
      <w:r w:rsidRPr="00A013E1">
        <w:rPr>
          <w:rFonts w:ascii="Times New Roman" w:hAnsi="Times New Roman" w:cs="Times New Roman"/>
          <w:lang w:val="ru-RU"/>
        </w:rPr>
        <w:t>Трябва да се задейства оптична и акустична аларма в рулевата рубка или на друго място с постоянен персонал в случай на загуба на необходимия вентилационен капацитет.</w:t>
      </w:r>
    </w:p>
    <w:p w14:paraId="7BD5B498" w14:textId="16D2E4FB"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2.2.9.5</w:t>
      </w:r>
      <w:r w:rsidR="00CC7C25" w:rsidRPr="00A013E1">
        <w:rPr>
          <w:rFonts w:ascii="Times New Roman" w:hAnsi="Times New Roman" w:cs="Times New Roman"/>
          <w:lang w:val="ru-RU"/>
        </w:rPr>
        <w:tab/>
      </w:r>
      <w:r w:rsidRPr="00A013E1">
        <w:rPr>
          <w:rFonts w:ascii="Times New Roman" w:hAnsi="Times New Roman" w:cs="Times New Roman"/>
          <w:lang w:val="ru-RU"/>
        </w:rPr>
        <w:t>Вентилационните системи, необходими за избягване на експлозивна атмосфера, трябва да имат поне два вентилатора с независимо захранване, всеки с достатъчен капацитет. Това изискване не се прилага за вентилация на помещения, които не изискват непрекъсната вентилация.</w:t>
      </w:r>
    </w:p>
    <w:p w14:paraId="125A8B29" w14:textId="77777777"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2.2.9.6 Трябва да има възможност за безопасно проветряване зад борда на пространствата, където може да се натрупа метанолно гориво, за да се осигури безопасна атмосфера, когато е необходимо влизане в помещенията.</w:t>
      </w:r>
    </w:p>
    <w:p w14:paraId="35A53312" w14:textId="2E67B81D"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2.2.9.7 </w:t>
      </w:r>
      <w:r w:rsidR="00CC7C25" w:rsidRPr="00A013E1">
        <w:rPr>
          <w:rFonts w:ascii="Times New Roman" w:hAnsi="Times New Roman" w:cs="Times New Roman"/>
          <w:lang w:val="ru-RU"/>
        </w:rPr>
        <w:tab/>
      </w:r>
      <w:r w:rsidRPr="00A013E1">
        <w:rPr>
          <w:rFonts w:ascii="Times New Roman" w:hAnsi="Times New Roman" w:cs="Times New Roman"/>
          <w:lang w:val="ru-RU"/>
        </w:rPr>
        <w:t>Въздухът за вентилация на опасните помещения трябва да се взема от неопасни зони.</w:t>
      </w:r>
    </w:p>
    <w:p w14:paraId="5EB4BB21" w14:textId="088EB465"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2.2.9.8 </w:t>
      </w:r>
      <w:r w:rsidR="00CC7C25" w:rsidRPr="00A013E1">
        <w:rPr>
          <w:rFonts w:ascii="Times New Roman" w:hAnsi="Times New Roman" w:cs="Times New Roman"/>
          <w:lang w:val="ru-RU"/>
        </w:rPr>
        <w:tab/>
      </w:r>
      <w:r w:rsidRPr="00A013E1">
        <w:rPr>
          <w:rFonts w:ascii="Times New Roman" w:hAnsi="Times New Roman" w:cs="Times New Roman"/>
          <w:lang w:val="ru-RU"/>
        </w:rPr>
        <w:t xml:space="preserve">Въздухът за вентилация на неопасни помещения трябва да се взема от неопасни зони, които са разположени най-малко на 1,50 </w:t>
      </w:r>
      <w:r w:rsidRPr="00A013E1">
        <w:rPr>
          <w:rFonts w:ascii="Times New Roman" w:hAnsi="Times New Roman" w:cs="Times New Roman"/>
        </w:rPr>
        <w:t>m</w:t>
      </w:r>
      <w:r w:rsidRPr="00A013E1">
        <w:rPr>
          <w:rFonts w:ascii="Times New Roman" w:hAnsi="Times New Roman" w:cs="Times New Roman"/>
          <w:lang w:val="ru-RU"/>
        </w:rPr>
        <w:t xml:space="preserve"> от границите на  опасна зона.</w:t>
      </w:r>
    </w:p>
    <w:p w14:paraId="635C4CF4" w14:textId="25012257"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2.2.9.9 </w:t>
      </w:r>
      <w:r w:rsidR="00CC7C25" w:rsidRPr="00A013E1">
        <w:rPr>
          <w:rFonts w:ascii="Times New Roman" w:hAnsi="Times New Roman" w:cs="Times New Roman"/>
          <w:lang w:val="ru-RU"/>
        </w:rPr>
        <w:tab/>
      </w:r>
      <w:r w:rsidRPr="00A013E1">
        <w:rPr>
          <w:rFonts w:ascii="Times New Roman" w:hAnsi="Times New Roman" w:cs="Times New Roman"/>
          <w:lang w:val="ru-RU"/>
        </w:rPr>
        <w:t>Когато изходният канал от опасно пространство преминава през неопасно пространство, каналът трябва да има подналягане спрямо това пространство. Подналяганене се изисква, когато структурните мерки на канала гарантират, че газовете не могат да изтекат в помещението.</w:t>
      </w:r>
    </w:p>
    <w:p w14:paraId="30732B0D" w14:textId="438BB9D5" w:rsidR="007E77D7" w:rsidRPr="00A013E1" w:rsidRDefault="007E77D7" w:rsidP="00FF410C">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2.2.9.10 </w:t>
      </w:r>
      <w:r w:rsidR="00CC7C25" w:rsidRPr="00A013E1">
        <w:rPr>
          <w:rFonts w:ascii="Times New Roman" w:hAnsi="Times New Roman" w:cs="Times New Roman"/>
          <w:lang w:val="ru-RU"/>
        </w:rPr>
        <w:tab/>
      </w:r>
      <w:r w:rsidRPr="00A013E1">
        <w:rPr>
          <w:rFonts w:ascii="Times New Roman" w:hAnsi="Times New Roman" w:cs="Times New Roman"/>
          <w:lang w:val="ru-RU"/>
        </w:rPr>
        <w:t>Когато входен канал преминава през опасно пространство, каналът трябва да има свръхналягане спрямо това пространство. Не се изисква свръхналягане, ако е гарантирано, че газовете не могат да изтекат в канала.</w:t>
      </w:r>
    </w:p>
    <w:p w14:paraId="4604FB5C" w14:textId="5FE7272D" w:rsidR="007E77D7" w:rsidRPr="00A013E1" w:rsidRDefault="00CC7C25" w:rsidP="00FF410C">
      <w:pPr>
        <w:ind w:left="851" w:hanging="851"/>
        <w:jc w:val="both"/>
        <w:rPr>
          <w:rFonts w:ascii="Times New Roman" w:hAnsi="Times New Roman" w:cs="Times New Roman"/>
          <w:lang w:val="ru-RU"/>
        </w:rPr>
      </w:pPr>
      <w:r w:rsidRPr="00A013E1">
        <w:rPr>
          <w:rFonts w:ascii="Times New Roman" w:hAnsi="Times New Roman" w:cs="Times New Roman"/>
          <w:lang w:val="ru-RU"/>
        </w:rPr>
        <w:t>2.2.9.11</w:t>
      </w:r>
      <w:r w:rsidRPr="00A013E1">
        <w:rPr>
          <w:rFonts w:ascii="Times New Roman" w:hAnsi="Times New Roman" w:cs="Times New Roman"/>
          <w:lang w:val="ru-RU"/>
        </w:rPr>
        <w:tab/>
      </w:r>
      <w:r w:rsidR="007E77D7" w:rsidRPr="00A013E1">
        <w:rPr>
          <w:rFonts w:ascii="Times New Roman" w:hAnsi="Times New Roman" w:cs="Times New Roman"/>
          <w:lang w:val="ru-RU"/>
        </w:rPr>
        <w:t>Отворите за изпускане на въздух от опасни пространства трябва да бъдат разположени в открита зона, която има същата или по-малка опасност от вентилираното пространство.</w:t>
      </w:r>
    </w:p>
    <w:p w14:paraId="51B8A255" w14:textId="77777777" w:rsidR="007E77D7" w:rsidRPr="00A013E1" w:rsidRDefault="007E77D7" w:rsidP="00776EF1">
      <w:pPr>
        <w:spacing w:after="240"/>
        <w:ind w:left="851" w:hanging="851"/>
        <w:jc w:val="both"/>
        <w:rPr>
          <w:rFonts w:ascii="Times New Roman" w:hAnsi="Times New Roman" w:cs="Times New Roman"/>
          <w:lang w:val="ru-RU"/>
        </w:rPr>
      </w:pPr>
      <w:r w:rsidRPr="00A013E1">
        <w:rPr>
          <w:rFonts w:ascii="Times New Roman" w:hAnsi="Times New Roman" w:cs="Times New Roman"/>
          <w:lang w:val="ru-RU"/>
        </w:rPr>
        <w:t>2.2.9.12 Отворите за изпускане на въздух от неопасни пространства трябва да бъдат разположени извън всяка опасна зона.</w:t>
      </w:r>
    </w:p>
    <w:p w14:paraId="1A3D1281" w14:textId="4805EF16" w:rsidR="007E77D7" w:rsidRPr="00A013E1" w:rsidRDefault="007E77D7" w:rsidP="00CC7C25">
      <w:pPr>
        <w:ind w:left="851" w:hanging="851"/>
        <w:jc w:val="both"/>
        <w:rPr>
          <w:rFonts w:ascii="Times New Roman" w:hAnsi="Times New Roman" w:cs="Times New Roman"/>
          <w:b/>
          <w:lang w:val="ru-RU"/>
        </w:rPr>
      </w:pPr>
      <w:r w:rsidRPr="00A013E1">
        <w:rPr>
          <w:rFonts w:ascii="Times New Roman" w:hAnsi="Times New Roman" w:cs="Times New Roman"/>
          <w:b/>
          <w:lang w:val="ru-RU"/>
        </w:rPr>
        <w:t xml:space="preserve">2.2.10 </w:t>
      </w:r>
      <w:r w:rsidR="00DC4975" w:rsidRPr="00A013E1">
        <w:rPr>
          <w:rFonts w:ascii="Times New Roman" w:hAnsi="Times New Roman" w:cs="Times New Roman"/>
          <w:b/>
          <w:lang w:val="ru-RU"/>
        </w:rPr>
        <w:t>С</w:t>
      </w:r>
      <w:r w:rsidRPr="00A013E1">
        <w:rPr>
          <w:rFonts w:ascii="Times New Roman" w:hAnsi="Times New Roman" w:cs="Times New Roman"/>
          <w:b/>
          <w:lang w:val="ru-RU"/>
        </w:rPr>
        <w:t xml:space="preserve">истема за </w:t>
      </w:r>
      <w:r w:rsidR="000D6A73" w:rsidRPr="00A013E1">
        <w:rPr>
          <w:rFonts w:ascii="Times New Roman" w:hAnsi="Times New Roman" w:cs="Times New Roman"/>
          <w:b/>
          <w:lang w:val="ru-RU"/>
        </w:rPr>
        <w:t xml:space="preserve">бункероване с </w:t>
      </w:r>
      <w:r w:rsidRPr="00A013E1">
        <w:rPr>
          <w:rFonts w:ascii="Times New Roman" w:hAnsi="Times New Roman" w:cs="Times New Roman"/>
          <w:b/>
          <w:lang w:val="ru-RU"/>
        </w:rPr>
        <w:t>метанол</w:t>
      </w:r>
    </w:p>
    <w:p w14:paraId="59659485" w14:textId="15646C64"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2.2.10.1 Бункерните станции трябва да бъдат разположени на открита палуба, така че да се осигури достатъчна естествена вентилация. Въпреки това, </w:t>
      </w:r>
      <w:r w:rsidR="00C57B9B" w:rsidRPr="00A013E1">
        <w:rPr>
          <w:rFonts w:ascii="Times New Roman" w:hAnsi="Times New Roman" w:cs="Times New Roman"/>
          <w:lang w:val="ru-RU"/>
        </w:rPr>
        <w:t xml:space="preserve"> контролният </w:t>
      </w:r>
      <w:r w:rsidRPr="00A013E1">
        <w:rPr>
          <w:rFonts w:ascii="Times New Roman" w:hAnsi="Times New Roman" w:cs="Times New Roman"/>
          <w:lang w:val="ru-RU"/>
        </w:rPr>
        <w:t>орган може да приеме затворени или полузатворени бункерни станции, предмет на специално внимание по отношение на разпоредбите за механична вентилация.</w:t>
      </w:r>
    </w:p>
    <w:p w14:paraId="71822BBD" w14:textId="77777777"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lastRenderedPageBreak/>
        <w:t>2.2.10.2 Бункерните станции трябва да бъдат разположени и подредени така, че всяка повреда на тръбопровода за метанолно гориво да не причинява повреда на системата на резервоара за метанол на кораба.</w:t>
      </w:r>
    </w:p>
    <w:p w14:paraId="6974DB46" w14:textId="77777777"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2.2.10.3 Трябва да се предвидят подходящи средства за освобождаване на налягането и отстраняване на течното съдържание от тръбопроводите на бункера.</w:t>
      </w:r>
    </w:p>
    <w:p w14:paraId="6451AF8D" w14:textId="0BF68552"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2.2.10.4 Всяка г</w:t>
      </w:r>
      <w:r w:rsidR="00DC4975" w:rsidRPr="00A013E1">
        <w:rPr>
          <w:rFonts w:ascii="Times New Roman" w:hAnsi="Times New Roman" w:cs="Times New Roman"/>
          <w:lang w:val="ru-RU"/>
        </w:rPr>
        <w:t>ъ</w:t>
      </w:r>
      <w:r w:rsidRPr="00A013E1">
        <w:rPr>
          <w:rFonts w:ascii="Times New Roman" w:hAnsi="Times New Roman" w:cs="Times New Roman"/>
          <w:lang w:val="ru-RU"/>
        </w:rPr>
        <w:t>рловина на резервоара за гориво трябва да бъде проектирана така, че да издържа на механичните натоварвания по време на бункер</w:t>
      </w:r>
      <w:r w:rsidR="00DC4975" w:rsidRPr="00A013E1">
        <w:rPr>
          <w:rFonts w:ascii="Times New Roman" w:hAnsi="Times New Roman" w:cs="Times New Roman"/>
          <w:lang w:val="ru-RU"/>
        </w:rPr>
        <w:t>ов</w:t>
      </w:r>
      <w:r w:rsidRPr="00A013E1">
        <w:rPr>
          <w:rFonts w:ascii="Times New Roman" w:hAnsi="Times New Roman" w:cs="Times New Roman"/>
          <w:lang w:val="ru-RU"/>
        </w:rPr>
        <w:t>ане.</w:t>
      </w:r>
    </w:p>
    <w:p w14:paraId="27859063" w14:textId="4678AF65"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2.2.10.5 Свързването на система</w:t>
      </w:r>
      <w:r w:rsidR="00655A02" w:rsidRPr="00A013E1">
        <w:rPr>
          <w:rFonts w:ascii="Times New Roman" w:hAnsi="Times New Roman" w:cs="Times New Roman"/>
          <w:lang w:val="ru-RU"/>
        </w:rPr>
        <w:t xml:space="preserve">та за бункероване </w:t>
      </w:r>
      <w:r w:rsidRPr="00A013E1">
        <w:rPr>
          <w:rFonts w:ascii="Times New Roman" w:hAnsi="Times New Roman" w:cs="Times New Roman"/>
          <w:lang w:val="ru-RU"/>
        </w:rPr>
        <w:t xml:space="preserve"> трябва да бъде в съответствие с европейски стандарт </w:t>
      </w:r>
      <w:r w:rsidRPr="00A013E1">
        <w:rPr>
          <w:rFonts w:ascii="Times New Roman" w:hAnsi="Times New Roman" w:cs="Times New Roman"/>
        </w:rPr>
        <w:t>EN</w:t>
      </w:r>
      <w:r w:rsidRPr="00A013E1">
        <w:rPr>
          <w:rFonts w:ascii="Times New Roman" w:hAnsi="Times New Roman" w:cs="Times New Roman"/>
          <w:lang w:val="ru-RU"/>
        </w:rPr>
        <w:t xml:space="preserve"> 14420-6:2013.</w:t>
      </w:r>
    </w:p>
    <w:p w14:paraId="2256FF8A" w14:textId="186C2926" w:rsidR="007E77D7" w:rsidRPr="00A013E1" w:rsidRDefault="007E77D7" w:rsidP="00CC7C25">
      <w:pPr>
        <w:spacing w:after="240"/>
        <w:ind w:left="851" w:hanging="131"/>
        <w:jc w:val="both"/>
        <w:rPr>
          <w:rFonts w:ascii="Times New Roman" w:hAnsi="Times New Roman" w:cs="Times New Roman"/>
          <w:lang w:val="ru-RU"/>
        </w:rPr>
      </w:pPr>
      <w:r w:rsidRPr="00A013E1">
        <w:rPr>
          <w:rFonts w:ascii="Times New Roman" w:hAnsi="Times New Roman" w:cs="Times New Roman"/>
          <w:lang w:val="ru-RU"/>
        </w:rPr>
        <w:t xml:space="preserve">Необходимостта </w:t>
      </w:r>
      <w:r w:rsidR="00674E20" w:rsidRPr="00A013E1">
        <w:rPr>
          <w:rFonts w:ascii="Times New Roman" w:hAnsi="Times New Roman" w:cs="Times New Roman"/>
          <w:lang w:val="ru-RU"/>
        </w:rPr>
        <w:t xml:space="preserve">от безопасна </w:t>
      </w:r>
      <w:r w:rsidR="004B24CA" w:rsidRPr="00A013E1">
        <w:rPr>
          <w:rFonts w:ascii="Times New Roman" w:hAnsi="Times New Roman" w:cs="Times New Roman"/>
          <w:lang w:val="ru-RU"/>
        </w:rPr>
        <w:t>сух</w:t>
      </w:r>
      <w:r w:rsidR="002745A2" w:rsidRPr="00A013E1">
        <w:rPr>
          <w:rFonts w:ascii="Times New Roman" w:hAnsi="Times New Roman" w:cs="Times New Roman"/>
          <w:lang w:val="ru-RU"/>
        </w:rPr>
        <w:t>о</w:t>
      </w:r>
      <w:r w:rsidR="004B24CA" w:rsidRPr="00A013E1">
        <w:rPr>
          <w:rFonts w:ascii="Times New Roman" w:hAnsi="Times New Roman" w:cs="Times New Roman"/>
          <w:lang w:val="ru-RU"/>
        </w:rPr>
        <w:t>-раз</w:t>
      </w:r>
      <w:r w:rsidR="00674E20" w:rsidRPr="00A013E1">
        <w:rPr>
          <w:rFonts w:ascii="Times New Roman" w:hAnsi="Times New Roman" w:cs="Times New Roman"/>
          <w:lang w:val="ru-RU"/>
        </w:rPr>
        <w:t>единителна</w:t>
      </w:r>
      <w:r w:rsidR="004B24CA" w:rsidRPr="00A013E1">
        <w:rPr>
          <w:rFonts w:ascii="Times New Roman" w:hAnsi="Times New Roman" w:cs="Times New Roman"/>
          <w:lang w:val="ru-RU"/>
        </w:rPr>
        <w:t xml:space="preserve"> </w:t>
      </w:r>
      <w:r w:rsidR="00BC20EC" w:rsidRPr="00A013E1">
        <w:rPr>
          <w:rFonts w:ascii="Times New Roman" w:hAnsi="Times New Roman" w:cs="Times New Roman"/>
          <w:lang w:val="ru-RU"/>
        </w:rPr>
        <w:t>връзка</w:t>
      </w:r>
      <w:r w:rsidR="00674E20" w:rsidRPr="00A013E1">
        <w:rPr>
          <w:rFonts w:ascii="Times New Roman" w:hAnsi="Times New Roman" w:cs="Times New Roman"/>
          <w:lang w:val="ru-RU"/>
        </w:rPr>
        <w:t>(</w:t>
      </w:r>
      <w:r w:rsidR="00674E20" w:rsidRPr="00A013E1">
        <w:rPr>
          <w:rFonts w:ascii="Times New Roman" w:hAnsi="Times New Roman" w:cs="Times New Roman"/>
        </w:rPr>
        <w:t>dry</w:t>
      </w:r>
      <w:r w:rsidR="00674E20" w:rsidRPr="00A013E1">
        <w:rPr>
          <w:rFonts w:ascii="Times New Roman" w:hAnsi="Times New Roman" w:cs="Times New Roman"/>
          <w:lang w:val="ru-RU"/>
        </w:rPr>
        <w:t xml:space="preserve"> </w:t>
      </w:r>
      <w:r w:rsidR="00674E20" w:rsidRPr="00A013E1">
        <w:rPr>
          <w:rFonts w:ascii="Times New Roman" w:hAnsi="Times New Roman" w:cs="Times New Roman"/>
        </w:rPr>
        <w:t>break</w:t>
      </w:r>
      <w:r w:rsidR="00674E20" w:rsidRPr="00A013E1">
        <w:rPr>
          <w:rFonts w:ascii="Times New Roman" w:hAnsi="Times New Roman" w:cs="Times New Roman"/>
          <w:lang w:val="ru-RU"/>
        </w:rPr>
        <w:t>-</w:t>
      </w:r>
      <w:r w:rsidR="00674E20" w:rsidRPr="00A013E1">
        <w:rPr>
          <w:rFonts w:ascii="Times New Roman" w:hAnsi="Times New Roman" w:cs="Times New Roman"/>
        </w:rPr>
        <w:t>away</w:t>
      </w:r>
      <w:r w:rsidR="00674E20" w:rsidRPr="00A013E1">
        <w:rPr>
          <w:rFonts w:ascii="Times New Roman" w:hAnsi="Times New Roman" w:cs="Times New Roman"/>
          <w:lang w:val="ru-RU"/>
        </w:rPr>
        <w:t xml:space="preserve"> </w:t>
      </w:r>
      <w:r w:rsidR="00674E20" w:rsidRPr="00A013E1">
        <w:rPr>
          <w:rFonts w:ascii="Times New Roman" w:hAnsi="Times New Roman" w:cs="Times New Roman"/>
        </w:rPr>
        <w:t>coupling</w:t>
      </w:r>
      <w:r w:rsidR="00674E20" w:rsidRPr="00A013E1">
        <w:rPr>
          <w:rFonts w:ascii="Times New Roman" w:hAnsi="Times New Roman" w:cs="Times New Roman"/>
          <w:lang w:val="ru-RU"/>
        </w:rPr>
        <w:t>)</w:t>
      </w:r>
      <w:r w:rsidR="00BC20EC" w:rsidRPr="00A013E1">
        <w:rPr>
          <w:rFonts w:ascii="Times New Roman" w:hAnsi="Times New Roman" w:cs="Times New Roman"/>
          <w:lang w:val="ru-RU"/>
        </w:rPr>
        <w:t xml:space="preserve"> </w:t>
      </w:r>
      <w:r w:rsidR="00674E20" w:rsidRPr="00A013E1">
        <w:rPr>
          <w:rFonts w:ascii="Times New Roman" w:hAnsi="Times New Roman" w:cs="Times New Roman"/>
          <w:lang w:val="ru-RU"/>
        </w:rPr>
        <w:t xml:space="preserve">трябва да </w:t>
      </w:r>
      <w:r w:rsidRPr="00A013E1">
        <w:rPr>
          <w:rFonts w:ascii="Times New Roman" w:hAnsi="Times New Roman" w:cs="Times New Roman"/>
          <w:lang w:val="ru-RU"/>
        </w:rPr>
        <w:t>се взем</w:t>
      </w:r>
      <w:r w:rsidR="00674E20" w:rsidRPr="00A013E1">
        <w:rPr>
          <w:rFonts w:ascii="Times New Roman" w:hAnsi="Times New Roman" w:cs="Times New Roman"/>
          <w:lang w:val="ru-RU"/>
        </w:rPr>
        <w:t>е</w:t>
      </w:r>
      <w:r w:rsidRPr="00A013E1">
        <w:rPr>
          <w:rFonts w:ascii="Times New Roman" w:hAnsi="Times New Roman" w:cs="Times New Roman"/>
          <w:lang w:val="ru-RU"/>
        </w:rPr>
        <w:t xml:space="preserve"> предвид при оценката на риска в съответствие с член 30.04.</w:t>
      </w:r>
      <w:r w:rsidR="004B24CA" w:rsidRPr="00A013E1">
        <w:rPr>
          <w:rFonts w:ascii="Times New Roman" w:hAnsi="Times New Roman" w:cs="Times New Roman"/>
          <w:lang w:val="ru-RU"/>
        </w:rPr>
        <w:t xml:space="preserve"> </w:t>
      </w:r>
    </w:p>
    <w:p w14:paraId="5C1C07C4" w14:textId="77777777" w:rsidR="007E77D7" w:rsidRPr="00A013E1" w:rsidRDefault="007E77D7" w:rsidP="00CC7C25">
      <w:pPr>
        <w:ind w:left="851" w:hanging="851"/>
        <w:jc w:val="both"/>
        <w:rPr>
          <w:rFonts w:ascii="Times New Roman" w:hAnsi="Times New Roman" w:cs="Times New Roman"/>
          <w:b/>
          <w:lang w:val="ru-RU"/>
        </w:rPr>
      </w:pPr>
      <w:r w:rsidRPr="00A013E1">
        <w:rPr>
          <w:rFonts w:ascii="Times New Roman" w:hAnsi="Times New Roman" w:cs="Times New Roman"/>
          <w:b/>
          <w:lang w:val="ru-RU"/>
        </w:rPr>
        <w:t>2.2.11 Система за подаване на гориво с метанол</w:t>
      </w:r>
    </w:p>
    <w:p w14:paraId="7B04A049" w14:textId="0C74F56E"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2.2.11.1 Системата за подаване на метанолно гориво към всяк</w:t>
      </w:r>
      <w:r w:rsidR="00521FDC" w:rsidRPr="00A013E1">
        <w:rPr>
          <w:rFonts w:ascii="Times New Roman" w:hAnsi="Times New Roman" w:cs="Times New Roman"/>
          <w:lang w:val="ru-RU"/>
        </w:rPr>
        <w:t>о</w:t>
      </w:r>
      <w:r w:rsidR="00142EAD" w:rsidRPr="00A013E1">
        <w:rPr>
          <w:rFonts w:ascii="Times New Roman" w:hAnsi="Times New Roman" w:cs="Times New Roman"/>
          <w:lang w:val="ru-RU"/>
        </w:rPr>
        <w:t>о</w:t>
      </w:r>
      <w:r w:rsidR="00C7516A" w:rsidRPr="00A013E1">
        <w:rPr>
          <w:rFonts w:ascii="Times New Roman" w:hAnsi="Times New Roman" w:cs="Times New Roman"/>
          <w:lang w:val="ru-RU"/>
        </w:rPr>
        <w:t xml:space="preserve"> </w:t>
      </w:r>
      <w:r w:rsidR="000002F7" w:rsidRPr="00A013E1">
        <w:rPr>
          <w:rFonts w:ascii="Times New Roman" w:hAnsi="Times New Roman" w:cs="Times New Roman"/>
          <w:lang w:val="ru-RU"/>
        </w:rPr>
        <w:t>помещение</w:t>
      </w:r>
      <w:r w:rsidRPr="00A013E1">
        <w:rPr>
          <w:rFonts w:ascii="Times New Roman" w:hAnsi="Times New Roman" w:cs="Times New Roman"/>
          <w:lang w:val="ru-RU"/>
        </w:rPr>
        <w:t xml:space="preserve"> или пространство с потребители трябва да бъде оборудван</w:t>
      </w:r>
      <w:r w:rsidR="00142EAD" w:rsidRPr="00A013E1">
        <w:rPr>
          <w:rFonts w:ascii="Times New Roman" w:hAnsi="Times New Roman" w:cs="Times New Roman"/>
          <w:lang w:val="ru-RU"/>
        </w:rPr>
        <w:t>о</w:t>
      </w:r>
      <w:r w:rsidRPr="00A013E1">
        <w:rPr>
          <w:rFonts w:ascii="Times New Roman" w:hAnsi="Times New Roman" w:cs="Times New Roman"/>
          <w:lang w:val="ru-RU"/>
        </w:rPr>
        <w:t xml:space="preserve"> с дистанционно управляван главен горивен клапан за спиране на захранващите линии с гориво към потребителите. Главният горивен клапан трябва да бъде разположен извън помещението или пространството, където са разположени потребителите. За резервоари, обслужващи само едн</w:t>
      </w:r>
      <w:r w:rsidR="00142EAD" w:rsidRPr="00A013E1">
        <w:rPr>
          <w:rFonts w:ascii="Times New Roman" w:hAnsi="Times New Roman" w:cs="Times New Roman"/>
          <w:lang w:val="ru-RU"/>
        </w:rPr>
        <w:t>о</w:t>
      </w:r>
      <w:r w:rsidRPr="00A013E1">
        <w:rPr>
          <w:rFonts w:ascii="Times New Roman" w:hAnsi="Times New Roman" w:cs="Times New Roman"/>
          <w:lang w:val="ru-RU"/>
        </w:rPr>
        <w:t xml:space="preserve"> </w:t>
      </w:r>
      <w:r w:rsidR="000002F7" w:rsidRPr="00A013E1">
        <w:rPr>
          <w:rFonts w:ascii="Times New Roman" w:hAnsi="Times New Roman" w:cs="Times New Roman"/>
          <w:lang w:val="ru-RU"/>
        </w:rPr>
        <w:t>помещение</w:t>
      </w:r>
      <w:r w:rsidRPr="00A013E1">
        <w:rPr>
          <w:rFonts w:ascii="Times New Roman" w:hAnsi="Times New Roman" w:cs="Times New Roman"/>
          <w:lang w:val="ru-RU"/>
        </w:rPr>
        <w:t xml:space="preserve"> или пространство, главният горивен клапан може да се комбинира с бързо затварящия се клапан на резервоара.</w:t>
      </w:r>
    </w:p>
    <w:p w14:paraId="5E9039BB" w14:textId="7DF82E2F"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2.2.11.2 Главният горивен клапан трябва </w:t>
      </w:r>
      <w:r w:rsidR="00F82F1B" w:rsidRPr="00A013E1">
        <w:rPr>
          <w:rFonts w:ascii="Times New Roman" w:hAnsi="Times New Roman" w:cs="Times New Roman"/>
          <w:lang w:val="ru-RU"/>
        </w:rPr>
        <w:t xml:space="preserve"> да се задейства </w:t>
      </w:r>
    </w:p>
    <w:p w14:paraId="5E03B118" w14:textId="3510CE3D"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а) в и извън машинното отделение (ако има),</w:t>
      </w:r>
    </w:p>
    <w:p w14:paraId="4EADD0B7"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б) от вътрешната и външната част на пространството на горивната клетка (ако има), и</w:t>
      </w:r>
    </w:p>
    <w:p w14:paraId="7D2CE501"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в) от рулевата рубка.</w:t>
      </w:r>
    </w:p>
    <w:p w14:paraId="275A6FFA" w14:textId="10AEDCCB"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2.2.11.3 Устройството на системата за подаване на метанолно гориво трябва да осигурява безопасно изолиране по време на </w:t>
      </w:r>
      <w:r w:rsidR="001F6505" w:rsidRPr="00A013E1">
        <w:rPr>
          <w:rFonts w:ascii="Times New Roman" w:hAnsi="Times New Roman" w:cs="Times New Roman"/>
          <w:lang w:val="ru-RU"/>
        </w:rPr>
        <w:t xml:space="preserve">извършване на </w:t>
      </w:r>
      <w:r w:rsidRPr="00A013E1">
        <w:rPr>
          <w:rFonts w:ascii="Times New Roman" w:hAnsi="Times New Roman" w:cs="Times New Roman"/>
          <w:lang w:val="ru-RU"/>
        </w:rPr>
        <w:t>поддръжка.</w:t>
      </w:r>
    </w:p>
    <w:p w14:paraId="6F1BFDBF" w14:textId="77777777"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2.2.12 Пожарна безопасност</w:t>
      </w:r>
    </w:p>
    <w:p w14:paraId="4D156344" w14:textId="77777777"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2.2.12.1 В допълнение към член 30.08 се прилагат следните разпоредби.</w:t>
      </w:r>
    </w:p>
    <w:p w14:paraId="09DE2EAE" w14:textId="77777777"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2.2.12.2 Помещенията, където е монтирано оборудване, съдържащо гориво и където не може да бъде изключена опасност от пожар, трябва да отговарят на изискванията за противопожарна защита за машинните отделения. Тези изисквания се считат за изпълнени, когато:</w:t>
      </w:r>
    </w:p>
    <w:p w14:paraId="2BB191BE"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а) стените, таваните, вратите и люковете на това пространство са направени от стомана или друг еквивалентен незапалим материал;</w:t>
      </w:r>
    </w:p>
    <w:p w14:paraId="5630F945"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б) изолационният материал, използван в това пространство, е защитен срещу проникване на гориво и горивни пари;</w:t>
      </w:r>
    </w:p>
    <w:p w14:paraId="2FD79E57"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в) всички отвори в стените, таваните, вратите и люковете на това пространство могат да бъдат затворени отвън на помещението. Заключващите устройства трябва да бъдат направени от стомана или еквивалентен незапалим материал; и</w:t>
      </w:r>
    </w:p>
    <w:p w14:paraId="7DE23403" w14:textId="77777777"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г) това помещение е оборудвано с постоянно монтирана противопожарна система в съответствие с членове 13.05 или 13.06.</w:t>
      </w:r>
    </w:p>
    <w:p w14:paraId="101D14A8" w14:textId="1F591D22"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t xml:space="preserve">Противопожарната система, посочена в буква </w:t>
      </w:r>
      <w:r w:rsidR="00C312E6" w:rsidRPr="00A013E1">
        <w:rPr>
          <w:rFonts w:ascii="Times New Roman" w:hAnsi="Times New Roman" w:cs="Times New Roman"/>
          <w:lang w:val="ru-RU"/>
        </w:rPr>
        <w:t>г</w:t>
      </w:r>
      <w:r w:rsidRPr="00A013E1">
        <w:rPr>
          <w:rFonts w:ascii="Times New Roman" w:hAnsi="Times New Roman" w:cs="Times New Roman"/>
          <w:lang w:val="ru-RU"/>
        </w:rPr>
        <w:t>), не се изисква в малки затворени пространства, които не съдържат източник на запалване.</w:t>
      </w:r>
    </w:p>
    <w:p w14:paraId="212E873D" w14:textId="38BF5C79" w:rsidR="007E77D7" w:rsidRPr="00A013E1" w:rsidRDefault="007E77D7" w:rsidP="00CC7C25">
      <w:pPr>
        <w:ind w:left="851"/>
        <w:jc w:val="both"/>
        <w:rPr>
          <w:rFonts w:ascii="Times New Roman" w:hAnsi="Times New Roman" w:cs="Times New Roman"/>
          <w:lang w:val="ru-RU"/>
        </w:rPr>
      </w:pPr>
      <w:r w:rsidRPr="00A013E1">
        <w:rPr>
          <w:rFonts w:ascii="Times New Roman" w:hAnsi="Times New Roman" w:cs="Times New Roman"/>
          <w:lang w:val="ru-RU"/>
        </w:rPr>
        <w:lastRenderedPageBreak/>
        <w:t>Непрекъснато работещите електрически двигатели, дори ако са сертифицирани като безопасни съгласно член 1.01</w:t>
      </w:r>
      <w:r w:rsidR="00A07645" w:rsidRPr="00A013E1">
        <w:rPr>
          <w:rFonts w:ascii="Times New Roman" w:hAnsi="Times New Roman" w:cs="Times New Roman"/>
          <w:lang w:val="ru-RU"/>
        </w:rPr>
        <w:t xml:space="preserve"> т. </w:t>
      </w:r>
      <w:r w:rsidRPr="00A013E1">
        <w:rPr>
          <w:rFonts w:ascii="Times New Roman" w:hAnsi="Times New Roman" w:cs="Times New Roman"/>
          <w:lang w:val="ru-RU"/>
        </w:rPr>
        <w:t>3.24), се считат за източник на запалване, освен ако не са защитени срещу прегряване.</w:t>
      </w:r>
    </w:p>
    <w:p w14:paraId="51A42834" w14:textId="77777777"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2.2.12.3 Подходящите пожароизвестители се избират въз основа на характеристиките на горивото. Детекторите за дим трябва да се използват само в комбинация с други детектори, които могат по-ефективно да откриват пожари от метанол.</w:t>
      </w:r>
    </w:p>
    <w:p w14:paraId="262C6AF1" w14:textId="77777777"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2.2.12.4 Системата за откриване на пожар трябва да има средства за идентифициране на всеки детектор поотделно.</w:t>
      </w:r>
    </w:p>
    <w:p w14:paraId="187D30D7" w14:textId="1753786D" w:rsidR="007E77D7" w:rsidRPr="00A013E1" w:rsidRDefault="007E77D7" w:rsidP="00CC7C25">
      <w:pPr>
        <w:ind w:left="851" w:hanging="851"/>
        <w:jc w:val="both"/>
        <w:rPr>
          <w:rFonts w:ascii="Times New Roman" w:hAnsi="Times New Roman" w:cs="Times New Roman"/>
          <w:lang w:val="ru-RU"/>
        </w:rPr>
      </w:pPr>
      <w:r w:rsidRPr="00A013E1">
        <w:rPr>
          <w:rFonts w:ascii="Times New Roman" w:hAnsi="Times New Roman" w:cs="Times New Roman"/>
          <w:lang w:val="ru-RU"/>
        </w:rPr>
        <w:t>2.2.12.5 Най-малко един преносим пожарогасител в съответствие с член 13.03</w:t>
      </w:r>
      <w:r w:rsidR="007E3E63" w:rsidRPr="00A013E1">
        <w:rPr>
          <w:rFonts w:ascii="Times New Roman" w:hAnsi="Times New Roman" w:cs="Times New Roman"/>
          <w:lang w:val="ru-RU"/>
        </w:rPr>
        <w:t>,</w:t>
      </w:r>
      <w:r w:rsidR="00A07645" w:rsidRPr="00A013E1">
        <w:rPr>
          <w:rFonts w:ascii="Times New Roman" w:hAnsi="Times New Roman" w:cs="Times New Roman"/>
          <w:lang w:val="ru-RU"/>
        </w:rPr>
        <w:t xml:space="preserve"> т.</w:t>
      </w:r>
      <w:r w:rsidRPr="00A013E1">
        <w:rPr>
          <w:rFonts w:ascii="Times New Roman" w:hAnsi="Times New Roman" w:cs="Times New Roman"/>
          <w:lang w:val="ru-RU"/>
        </w:rPr>
        <w:t>2</w:t>
      </w:r>
      <w:r w:rsidR="007E3E63" w:rsidRPr="00A013E1">
        <w:rPr>
          <w:rFonts w:ascii="Times New Roman" w:hAnsi="Times New Roman" w:cs="Times New Roman"/>
          <w:lang w:val="ru-RU"/>
        </w:rPr>
        <w:t xml:space="preserve"> </w:t>
      </w:r>
      <w:r w:rsidRPr="00A013E1">
        <w:rPr>
          <w:rFonts w:ascii="Times New Roman" w:hAnsi="Times New Roman" w:cs="Times New Roman"/>
          <w:lang w:val="ru-RU"/>
        </w:rPr>
        <w:t xml:space="preserve"> трябва да бъде </w:t>
      </w:r>
      <w:r w:rsidR="00A07645" w:rsidRPr="00A013E1">
        <w:rPr>
          <w:rFonts w:ascii="Times New Roman" w:hAnsi="Times New Roman" w:cs="Times New Roman"/>
          <w:lang w:val="ru-RU"/>
        </w:rPr>
        <w:t xml:space="preserve"> разположен</w:t>
      </w:r>
      <w:r w:rsidRPr="00A013E1">
        <w:rPr>
          <w:rFonts w:ascii="Times New Roman" w:hAnsi="Times New Roman" w:cs="Times New Roman"/>
          <w:lang w:val="ru-RU"/>
        </w:rPr>
        <w:t xml:space="preserve"> на палубата на не повече от 10 </w:t>
      </w:r>
      <w:r w:rsidRPr="00A013E1">
        <w:rPr>
          <w:rFonts w:ascii="Times New Roman" w:hAnsi="Times New Roman" w:cs="Times New Roman"/>
        </w:rPr>
        <w:t>m</w:t>
      </w:r>
      <w:r w:rsidRPr="00A013E1">
        <w:rPr>
          <w:rFonts w:ascii="Times New Roman" w:hAnsi="Times New Roman" w:cs="Times New Roman"/>
          <w:lang w:val="ru-RU"/>
        </w:rPr>
        <w:t xml:space="preserve"> пешеходно разстояние от всяка бункерна станция.</w:t>
      </w:r>
    </w:p>
    <w:p w14:paraId="57428970" w14:textId="77777777" w:rsidR="000824DC" w:rsidRPr="00A013E1" w:rsidRDefault="000824DC" w:rsidP="006728F3">
      <w:pPr>
        <w:spacing w:before="240"/>
        <w:ind w:left="851" w:hanging="851"/>
        <w:jc w:val="both"/>
        <w:rPr>
          <w:rFonts w:ascii="Times New Roman" w:hAnsi="Times New Roman" w:cs="Times New Roman"/>
          <w:b/>
          <w:lang w:val="ru-RU"/>
        </w:rPr>
      </w:pPr>
      <w:r w:rsidRPr="00A013E1">
        <w:rPr>
          <w:rFonts w:ascii="Times New Roman" w:hAnsi="Times New Roman" w:cs="Times New Roman"/>
          <w:b/>
          <w:lang w:val="ru-RU"/>
        </w:rPr>
        <w:t>2.2.13 Системи за контрол, наблюдение и безопасност</w:t>
      </w:r>
    </w:p>
    <w:p w14:paraId="2E9F844D" w14:textId="77777777" w:rsidR="000824DC" w:rsidRPr="00A013E1" w:rsidRDefault="000824DC"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2.2.13.1 Общи положения</w:t>
      </w:r>
    </w:p>
    <w:p w14:paraId="38A3460E" w14:textId="77777777" w:rsidR="000824DC" w:rsidRPr="00A013E1" w:rsidRDefault="000824DC"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2.2.13.1.1 В допълнение към член 30.10 се прилагат следните разпоредби.</w:t>
      </w:r>
    </w:p>
    <w:p w14:paraId="6AC356E2" w14:textId="77777777" w:rsidR="000824DC" w:rsidRPr="00A013E1" w:rsidRDefault="000824DC"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2.2.13.1.2 Без да се засяга член 30.07, при повреда в системи, съществени за безопасността, и при състояния на повреда, които могат да се развият твърде бързо за  ръчна намеса, системата за безопасност на метаноловото гориво, трябва автоматично да изключи системата за подаване на гориво.</w:t>
      </w:r>
    </w:p>
    <w:p w14:paraId="62E90719" w14:textId="77777777" w:rsidR="000824DC" w:rsidRPr="00A013E1" w:rsidRDefault="000824DC"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2.2.13.1.3 Функциите за безопасност трябва да бъдат разположени в специална система за безопасност на горивото, която е независима от системата за контрол на горивото.</w:t>
      </w:r>
    </w:p>
    <w:p w14:paraId="20C2329C" w14:textId="6CA98D21" w:rsidR="000824DC" w:rsidRPr="00A013E1" w:rsidRDefault="000824DC" w:rsidP="006728F3">
      <w:pPr>
        <w:ind w:left="851"/>
        <w:jc w:val="both"/>
        <w:rPr>
          <w:rFonts w:ascii="Times New Roman" w:hAnsi="Times New Roman" w:cs="Times New Roman"/>
          <w:lang w:val="ru-RU"/>
        </w:rPr>
      </w:pPr>
      <w:r w:rsidRPr="00A013E1">
        <w:rPr>
          <w:rFonts w:ascii="Times New Roman" w:hAnsi="Times New Roman" w:cs="Times New Roman"/>
          <w:lang w:val="ru-RU"/>
        </w:rPr>
        <w:t>2.2.13.1.4 Трябва да бъдат монтирани контролно-измервателни устройства, които да позволяват локално и дистанционно отчитане на съществени параметри, когато са необходими за осигуряване на безопасна работа на цялата система за метанолово гориво, включително системата за бункер</w:t>
      </w:r>
      <w:r w:rsidR="00AF785B" w:rsidRPr="00A013E1">
        <w:rPr>
          <w:rFonts w:ascii="Times New Roman" w:hAnsi="Times New Roman" w:cs="Times New Roman"/>
          <w:lang w:val="ru-RU"/>
        </w:rPr>
        <w:t>оване</w:t>
      </w:r>
      <w:r w:rsidRPr="00A013E1">
        <w:rPr>
          <w:rFonts w:ascii="Times New Roman" w:hAnsi="Times New Roman" w:cs="Times New Roman"/>
          <w:lang w:val="ru-RU"/>
        </w:rPr>
        <w:t>.</w:t>
      </w:r>
    </w:p>
    <w:p w14:paraId="551C4D0F" w14:textId="77777777" w:rsidR="000824DC" w:rsidRPr="00A013E1" w:rsidRDefault="000824DC" w:rsidP="006728F3">
      <w:pPr>
        <w:ind w:left="851"/>
        <w:jc w:val="both"/>
        <w:rPr>
          <w:rFonts w:ascii="Times New Roman" w:hAnsi="Times New Roman" w:cs="Times New Roman"/>
          <w:lang w:val="ru-RU"/>
        </w:rPr>
      </w:pPr>
      <w:r w:rsidRPr="00A013E1">
        <w:rPr>
          <w:rFonts w:ascii="Times New Roman" w:hAnsi="Times New Roman" w:cs="Times New Roman"/>
          <w:lang w:val="ru-RU"/>
        </w:rPr>
        <w:t>2.2.13.1.5 Трябва да е възможно ръчното изключване на системата за подаване на метанолово гориво от рулевата рубка или от постоянно обслужвано място, според случая.</w:t>
      </w:r>
    </w:p>
    <w:p w14:paraId="39C50FBE" w14:textId="3F9818AF" w:rsidR="000824DC" w:rsidRPr="00A013E1" w:rsidRDefault="000824DC" w:rsidP="006728F3">
      <w:pPr>
        <w:ind w:left="851"/>
        <w:jc w:val="both"/>
        <w:rPr>
          <w:rFonts w:ascii="Times New Roman" w:hAnsi="Times New Roman" w:cs="Times New Roman"/>
          <w:lang w:val="ru-RU"/>
        </w:rPr>
      </w:pPr>
      <w:r w:rsidRPr="00A013E1">
        <w:rPr>
          <w:rFonts w:ascii="Times New Roman" w:hAnsi="Times New Roman" w:cs="Times New Roman"/>
          <w:lang w:val="ru-RU"/>
        </w:rPr>
        <w:t xml:space="preserve">2.2.13.2 Резервоар за метанолово гориво и </w:t>
      </w:r>
      <w:r w:rsidR="00B72AF7" w:rsidRPr="00A013E1">
        <w:rPr>
          <w:rFonts w:ascii="Times New Roman" w:hAnsi="Times New Roman" w:cs="Times New Roman"/>
          <w:lang w:val="ru-RU"/>
        </w:rPr>
        <w:t xml:space="preserve"> системи за бункероване с метанол</w:t>
      </w:r>
    </w:p>
    <w:p w14:paraId="57F9B6F3" w14:textId="77777777" w:rsidR="000824DC" w:rsidRPr="00A013E1" w:rsidRDefault="000824DC" w:rsidP="006728F3">
      <w:pPr>
        <w:ind w:left="851"/>
        <w:jc w:val="both"/>
        <w:rPr>
          <w:rFonts w:ascii="Times New Roman" w:hAnsi="Times New Roman" w:cs="Times New Roman"/>
          <w:lang w:val="ru-RU"/>
        </w:rPr>
      </w:pPr>
      <w:r w:rsidRPr="00A013E1">
        <w:rPr>
          <w:rFonts w:ascii="Times New Roman" w:hAnsi="Times New Roman" w:cs="Times New Roman"/>
          <w:lang w:val="ru-RU"/>
        </w:rPr>
        <w:t>2.2.13.2.1 Всеки резервоар за метанолово гориво трябва да бъде оборудван със:</w:t>
      </w:r>
    </w:p>
    <w:p w14:paraId="21EC7AB2" w14:textId="77777777" w:rsidR="000824DC" w:rsidRPr="00A013E1" w:rsidRDefault="000824DC" w:rsidP="006728F3">
      <w:pPr>
        <w:ind w:left="851"/>
        <w:jc w:val="both"/>
        <w:rPr>
          <w:rFonts w:ascii="Times New Roman" w:hAnsi="Times New Roman" w:cs="Times New Roman"/>
          <w:lang w:val="ru-RU"/>
        </w:rPr>
      </w:pPr>
      <w:r w:rsidRPr="00A013E1">
        <w:rPr>
          <w:rFonts w:ascii="Times New Roman" w:hAnsi="Times New Roman" w:cs="Times New Roman"/>
          <w:lang w:val="ru-RU"/>
        </w:rPr>
        <w:t>а) поне едно затворено устройство за измерване на ниво, което трябва да бъде разположено близо до резервоара по такъв начин, че отчитането на нивото да е винаги достъпно;</w:t>
      </w:r>
    </w:p>
    <w:p w14:paraId="082BC028" w14:textId="77777777" w:rsidR="000824DC" w:rsidRPr="00A013E1" w:rsidRDefault="000824DC" w:rsidP="006728F3">
      <w:pPr>
        <w:ind w:left="851"/>
        <w:jc w:val="both"/>
        <w:rPr>
          <w:rFonts w:ascii="Times New Roman" w:hAnsi="Times New Roman" w:cs="Times New Roman"/>
          <w:lang w:val="ru-RU"/>
        </w:rPr>
      </w:pPr>
      <w:r w:rsidRPr="00A013E1">
        <w:rPr>
          <w:rFonts w:ascii="Times New Roman" w:hAnsi="Times New Roman" w:cs="Times New Roman"/>
          <w:lang w:val="ru-RU"/>
        </w:rPr>
        <w:t>б) независим сензор (най-високо ниво), задействащ оптична и звукова аларма и позволяващ автоматично спиране на бункерирането при 95% запълване; и</w:t>
      </w:r>
    </w:p>
    <w:p w14:paraId="11776892" w14:textId="64D0785A" w:rsidR="000824DC" w:rsidRPr="00A013E1" w:rsidRDefault="000824DC" w:rsidP="006728F3">
      <w:pPr>
        <w:ind w:left="851"/>
        <w:jc w:val="both"/>
        <w:rPr>
          <w:rFonts w:ascii="Times New Roman" w:hAnsi="Times New Roman" w:cs="Times New Roman"/>
          <w:lang w:val="ru-RU"/>
        </w:rPr>
      </w:pPr>
      <w:r w:rsidRPr="00A013E1">
        <w:rPr>
          <w:rFonts w:ascii="Times New Roman" w:hAnsi="Times New Roman" w:cs="Times New Roman"/>
          <w:lang w:val="ru-RU"/>
        </w:rPr>
        <w:t xml:space="preserve">в) оптична и звукова аларма за високо ниво. Тя трябва да може да бъде функционално тествана от външната страна на резервоара и може да бъде обща с алармата на устройството за измерване на ниво съгласно </w:t>
      </w:r>
      <w:r w:rsidR="00D76890" w:rsidRPr="00A013E1">
        <w:rPr>
          <w:rFonts w:ascii="Times New Roman" w:hAnsi="Times New Roman" w:cs="Times New Roman"/>
          <w:lang w:val="ru-RU"/>
        </w:rPr>
        <w:t>буква</w:t>
      </w:r>
      <w:r w:rsidRPr="00A013E1">
        <w:rPr>
          <w:rFonts w:ascii="Times New Roman" w:hAnsi="Times New Roman" w:cs="Times New Roman"/>
          <w:lang w:val="ru-RU"/>
        </w:rPr>
        <w:t xml:space="preserve">а), конфигурирана като аларма на измервателния предавател, но трябва да бъде независима от алармата за високо-високо ниво съгласно </w:t>
      </w:r>
      <w:r w:rsidR="00D76890" w:rsidRPr="00A013E1">
        <w:rPr>
          <w:rFonts w:ascii="Times New Roman" w:hAnsi="Times New Roman" w:cs="Times New Roman"/>
          <w:lang w:val="ru-RU"/>
        </w:rPr>
        <w:t xml:space="preserve">буква </w:t>
      </w:r>
      <w:r w:rsidRPr="00A013E1">
        <w:rPr>
          <w:rFonts w:ascii="Times New Roman" w:hAnsi="Times New Roman" w:cs="Times New Roman"/>
          <w:lang w:val="ru-RU"/>
        </w:rPr>
        <w:t>б).</w:t>
      </w:r>
    </w:p>
    <w:p w14:paraId="2CF358B2" w14:textId="0C22DF5E" w:rsidR="000824DC" w:rsidRPr="00A013E1" w:rsidRDefault="000824DC" w:rsidP="006728F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2.2.13.2.2 Трябва да бъде монтирана връзка кораб-бряг за автоматично и ръчно спиране </w:t>
      </w:r>
      <w:r w:rsidR="00C14247" w:rsidRPr="00A013E1">
        <w:rPr>
          <w:rFonts w:ascii="Times New Roman" w:hAnsi="Times New Roman" w:cs="Times New Roman"/>
          <w:lang w:val="ru-RU"/>
        </w:rPr>
        <w:t xml:space="preserve"> от</w:t>
      </w:r>
      <w:r w:rsidRPr="00A013E1">
        <w:rPr>
          <w:rFonts w:ascii="Times New Roman" w:hAnsi="Times New Roman" w:cs="Times New Roman"/>
          <w:lang w:val="ru-RU"/>
        </w:rPr>
        <w:t xml:space="preserve"> бункеров</w:t>
      </w:r>
      <w:r w:rsidR="00D76890" w:rsidRPr="00A013E1">
        <w:rPr>
          <w:rFonts w:ascii="Times New Roman" w:hAnsi="Times New Roman" w:cs="Times New Roman"/>
          <w:lang w:val="ru-RU"/>
        </w:rPr>
        <w:t>ането</w:t>
      </w:r>
      <w:r w:rsidRPr="00A013E1">
        <w:rPr>
          <w:rFonts w:ascii="Times New Roman" w:hAnsi="Times New Roman" w:cs="Times New Roman"/>
          <w:lang w:val="ru-RU"/>
        </w:rPr>
        <w:t xml:space="preserve"> към източника на бункеров</w:t>
      </w:r>
      <w:r w:rsidR="00D76890" w:rsidRPr="00A013E1">
        <w:rPr>
          <w:rFonts w:ascii="Times New Roman" w:hAnsi="Times New Roman" w:cs="Times New Roman"/>
          <w:lang w:val="ru-RU"/>
        </w:rPr>
        <w:t>ане</w:t>
      </w:r>
      <w:r w:rsidRPr="00A013E1">
        <w:rPr>
          <w:rFonts w:ascii="Times New Roman" w:hAnsi="Times New Roman" w:cs="Times New Roman"/>
          <w:lang w:val="ru-RU"/>
        </w:rPr>
        <w:t>.</w:t>
      </w:r>
    </w:p>
    <w:p w14:paraId="6EAA8C17" w14:textId="491580C8" w:rsidR="000824DC" w:rsidRPr="00A013E1" w:rsidRDefault="00BA66B0" w:rsidP="006728F3">
      <w:pPr>
        <w:ind w:left="851"/>
        <w:jc w:val="both"/>
        <w:rPr>
          <w:rFonts w:ascii="Times New Roman" w:hAnsi="Times New Roman" w:cs="Times New Roman"/>
          <w:lang w:val="ru-RU"/>
        </w:rPr>
      </w:pPr>
      <w:r w:rsidRPr="00A013E1">
        <w:rPr>
          <w:rFonts w:ascii="Times New Roman" w:hAnsi="Times New Roman" w:cs="Times New Roman"/>
          <w:lang w:val="ru-RU"/>
        </w:rPr>
        <w:t xml:space="preserve"> Най-малко</w:t>
      </w:r>
      <w:r w:rsidR="000824DC" w:rsidRPr="00A013E1">
        <w:rPr>
          <w:rFonts w:ascii="Times New Roman" w:hAnsi="Times New Roman" w:cs="Times New Roman"/>
          <w:lang w:val="ru-RU"/>
        </w:rPr>
        <w:t xml:space="preserve"> сигналът от сензора за високо ниво трябва да се предава към станцията за бункеровка посредством водонепропусклив свързващ щепсел, отговарящ на изискванията на </w:t>
      </w:r>
      <w:r w:rsidR="000824DC" w:rsidRPr="00A013E1">
        <w:rPr>
          <w:rFonts w:ascii="Times New Roman" w:hAnsi="Times New Roman" w:cs="Times New Roman"/>
          <w:lang w:val="ru-RU"/>
        </w:rPr>
        <w:lastRenderedPageBreak/>
        <w:t xml:space="preserve">Международен стандарт </w:t>
      </w:r>
      <w:r w:rsidR="000824DC" w:rsidRPr="00A013E1">
        <w:rPr>
          <w:rFonts w:ascii="Times New Roman" w:hAnsi="Times New Roman" w:cs="Times New Roman"/>
        </w:rPr>
        <w:t>IEC</w:t>
      </w:r>
      <w:r w:rsidR="000824DC" w:rsidRPr="00A013E1">
        <w:rPr>
          <w:rFonts w:ascii="Times New Roman" w:hAnsi="Times New Roman" w:cs="Times New Roman"/>
          <w:lang w:val="ru-RU"/>
        </w:rPr>
        <w:t xml:space="preserve"> 60309-1: 2021 за 40 до 50 </w:t>
      </w:r>
      <w:r w:rsidR="000824DC" w:rsidRPr="00A013E1">
        <w:rPr>
          <w:rFonts w:ascii="Times New Roman" w:hAnsi="Times New Roman" w:cs="Times New Roman"/>
        </w:rPr>
        <w:t>V</w:t>
      </w:r>
      <w:r w:rsidR="000824DC" w:rsidRPr="00A013E1">
        <w:rPr>
          <w:rFonts w:ascii="Times New Roman" w:hAnsi="Times New Roman" w:cs="Times New Roman"/>
          <w:lang w:val="ru-RU"/>
        </w:rPr>
        <w:t xml:space="preserve"> </w:t>
      </w:r>
      <w:r w:rsidR="000824DC" w:rsidRPr="00A013E1">
        <w:rPr>
          <w:rFonts w:ascii="Times New Roman" w:hAnsi="Times New Roman" w:cs="Times New Roman"/>
        </w:rPr>
        <w:t>DC</w:t>
      </w:r>
      <w:r w:rsidR="000824DC" w:rsidRPr="00A013E1">
        <w:rPr>
          <w:rFonts w:ascii="Times New Roman" w:hAnsi="Times New Roman" w:cs="Times New Roman"/>
          <w:lang w:val="ru-RU"/>
        </w:rPr>
        <w:t>, цвят на корпуса бял, позиция на заземяващия контакт десет часа.</w:t>
      </w:r>
    </w:p>
    <w:p w14:paraId="2BF516DA" w14:textId="4686CBFD" w:rsidR="000824DC" w:rsidRPr="00A013E1" w:rsidRDefault="000824DC"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2.2.13.2.3 Трябва да се предвидят мерки за наблюдение и спиране на бункеров</w:t>
      </w:r>
      <w:r w:rsidR="001D73D1" w:rsidRPr="00A013E1">
        <w:rPr>
          <w:rFonts w:ascii="Times New Roman" w:hAnsi="Times New Roman" w:cs="Times New Roman"/>
          <w:lang w:val="ru-RU"/>
        </w:rPr>
        <w:t xml:space="preserve">ането </w:t>
      </w:r>
      <w:r w:rsidRPr="00A013E1">
        <w:rPr>
          <w:rFonts w:ascii="Times New Roman" w:hAnsi="Times New Roman" w:cs="Times New Roman"/>
          <w:lang w:val="ru-RU"/>
        </w:rPr>
        <w:t xml:space="preserve">по всяко време. Трябва да се </w:t>
      </w:r>
      <w:r w:rsidR="001D73D1" w:rsidRPr="00A013E1">
        <w:rPr>
          <w:rFonts w:ascii="Times New Roman" w:hAnsi="Times New Roman" w:cs="Times New Roman"/>
          <w:lang w:val="ru-RU"/>
        </w:rPr>
        <w:t xml:space="preserve"> задейства</w:t>
      </w:r>
      <w:r w:rsidRPr="00A013E1">
        <w:rPr>
          <w:rFonts w:ascii="Times New Roman" w:hAnsi="Times New Roman" w:cs="Times New Roman"/>
          <w:lang w:val="ru-RU"/>
        </w:rPr>
        <w:t xml:space="preserve"> аларма за препълване и автоматично изключване.</w:t>
      </w:r>
    </w:p>
    <w:p w14:paraId="18A05D5C" w14:textId="77777777" w:rsidR="000824DC" w:rsidRPr="00A013E1" w:rsidRDefault="000824DC"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2.2.13.2.4 Ако се открие изтичане в междубариерното пространство на тръбопровода за бункеровка, трябва да се задейства оптична и звукова аларма и автоматично изключване на бункеровката.</w:t>
      </w:r>
    </w:p>
    <w:p w14:paraId="042F2789" w14:textId="3C4C8958" w:rsidR="000824DC" w:rsidRPr="00A013E1" w:rsidRDefault="000824DC" w:rsidP="006728F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2.2.13.2.5 Всяка брегова връзка за течности и пари трябва да бъде снабдена с поне един локален </w:t>
      </w:r>
      <w:r w:rsidR="008D1EBC" w:rsidRPr="00A013E1">
        <w:rPr>
          <w:rFonts w:ascii="Times New Roman" w:hAnsi="Times New Roman" w:cs="Times New Roman"/>
          <w:lang w:val="ru-RU"/>
        </w:rPr>
        <w:t xml:space="preserve"> манометър</w:t>
      </w:r>
      <w:r w:rsidRPr="00A013E1">
        <w:rPr>
          <w:rFonts w:ascii="Times New Roman" w:hAnsi="Times New Roman" w:cs="Times New Roman"/>
          <w:lang w:val="ru-RU"/>
        </w:rPr>
        <w:t xml:space="preserve"> за налягане. Допустимата максимална стойност на налягането или    вакуума трябва да бъде посочена на всеки индикатор. </w:t>
      </w:r>
    </w:p>
    <w:p w14:paraId="200C619A" w14:textId="5F3DC60A" w:rsidR="000824DC" w:rsidRPr="00A013E1" w:rsidRDefault="000824DC"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2.2.13.2.6 За резервоари</w:t>
      </w:r>
      <w:r w:rsidR="001567A1" w:rsidRPr="00A013E1">
        <w:rPr>
          <w:rFonts w:ascii="Times New Roman" w:hAnsi="Times New Roman" w:cs="Times New Roman"/>
          <w:lang w:val="ru-RU"/>
        </w:rPr>
        <w:t>, запълнени  с инертен газ</w:t>
      </w:r>
      <w:r w:rsidRPr="00A013E1">
        <w:rPr>
          <w:rFonts w:ascii="Times New Roman" w:hAnsi="Times New Roman" w:cs="Times New Roman"/>
          <w:lang w:val="ru-RU"/>
        </w:rPr>
        <w:t xml:space="preserve"> трябва да се предвидят средства, които предотвратяват максималното налягане на резервоарите от системата за инертен газ.</w:t>
      </w:r>
    </w:p>
    <w:p w14:paraId="4F6B7D10" w14:textId="77777777" w:rsidR="00364615" w:rsidRPr="00A013E1" w:rsidRDefault="00364615" w:rsidP="00CC7C25">
      <w:pPr>
        <w:ind w:left="851" w:hanging="851"/>
        <w:jc w:val="both"/>
        <w:rPr>
          <w:rFonts w:ascii="Times New Roman" w:hAnsi="Times New Roman" w:cs="Times New Roman"/>
          <w:lang w:val="ru-RU"/>
        </w:rPr>
      </w:pPr>
    </w:p>
    <w:p w14:paraId="15C76E17" w14:textId="49F47177" w:rsidR="007E77D7" w:rsidRPr="00A013E1" w:rsidRDefault="007E77D7" w:rsidP="006728F3">
      <w:pPr>
        <w:ind w:left="851" w:hanging="851"/>
        <w:jc w:val="both"/>
        <w:rPr>
          <w:rFonts w:ascii="Times New Roman" w:hAnsi="Times New Roman" w:cs="Times New Roman"/>
          <w:b/>
          <w:lang w:val="ru-RU"/>
        </w:rPr>
      </w:pPr>
      <w:r w:rsidRPr="00A013E1">
        <w:rPr>
          <w:rFonts w:ascii="Times New Roman" w:hAnsi="Times New Roman" w:cs="Times New Roman"/>
          <w:b/>
          <w:lang w:val="ru-RU"/>
        </w:rPr>
        <w:t>2.2.13.3 Оборудване за предупреждение за газ и изтичане</w:t>
      </w:r>
      <w:r w:rsidR="00C70570" w:rsidRPr="00A013E1">
        <w:rPr>
          <w:rFonts w:ascii="Times New Roman" w:hAnsi="Times New Roman" w:cs="Times New Roman"/>
          <w:b/>
          <w:lang w:val="ru-RU"/>
        </w:rPr>
        <w:t xml:space="preserve"> на газ</w:t>
      </w:r>
    </w:p>
    <w:p w14:paraId="4113A0DB" w14:textId="77777777" w:rsidR="007E77D7" w:rsidRPr="00A013E1" w:rsidRDefault="007E77D7"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2.2.13.3.1 Местата, където могат да се натрупват изпарения от метанолно гориво, трябва да бъдат оборудвани с постоянно монтирани средства за откриване на изтичане на гориво.</w:t>
      </w:r>
    </w:p>
    <w:p w14:paraId="383ED27C" w14:textId="304D5B32" w:rsidR="007E77D7" w:rsidRPr="00A013E1" w:rsidRDefault="007E77D7" w:rsidP="006728F3">
      <w:pPr>
        <w:ind w:left="851"/>
        <w:jc w:val="both"/>
        <w:rPr>
          <w:rFonts w:ascii="Times New Roman" w:hAnsi="Times New Roman" w:cs="Times New Roman"/>
          <w:lang w:val="ru-RU"/>
        </w:rPr>
      </w:pPr>
      <w:r w:rsidRPr="00A013E1">
        <w:rPr>
          <w:rFonts w:ascii="Times New Roman" w:hAnsi="Times New Roman" w:cs="Times New Roman"/>
          <w:lang w:val="ru-RU"/>
        </w:rPr>
        <w:t xml:space="preserve">Броят, типът и </w:t>
      </w:r>
      <w:r w:rsidR="00C70570" w:rsidRPr="00A013E1">
        <w:rPr>
          <w:rFonts w:ascii="Times New Roman" w:hAnsi="Times New Roman" w:cs="Times New Roman"/>
          <w:lang w:val="ru-RU"/>
        </w:rPr>
        <w:t xml:space="preserve"> </w:t>
      </w:r>
      <w:r w:rsidR="004130E5" w:rsidRPr="00A013E1">
        <w:rPr>
          <w:rFonts w:ascii="Times New Roman" w:hAnsi="Times New Roman" w:cs="Times New Roman"/>
          <w:lang w:val="ru-RU"/>
        </w:rPr>
        <w:t>дублирането</w:t>
      </w:r>
      <w:r w:rsidRPr="00A013E1">
        <w:rPr>
          <w:rFonts w:ascii="Times New Roman" w:hAnsi="Times New Roman" w:cs="Times New Roman"/>
          <w:lang w:val="ru-RU"/>
        </w:rPr>
        <w:t xml:space="preserve"> </w:t>
      </w:r>
      <w:r w:rsidR="00C70570" w:rsidRPr="00A013E1">
        <w:rPr>
          <w:rFonts w:ascii="Times New Roman" w:hAnsi="Times New Roman" w:cs="Times New Roman"/>
          <w:lang w:val="ru-RU"/>
        </w:rPr>
        <w:t xml:space="preserve"> на</w:t>
      </w:r>
      <w:r w:rsidRPr="00A013E1">
        <w:rPr>
          <w:rFonts w:ascii="Times New Roman" w:hAnsi="Times New Roman" w:cs="Times New Roman"/>
          <w:lang w:val="ru-RU"/>
        </w:rPr>
        <w:t xml:space="preserve"> детектори във всяко помещение трябва да съответстват на размера, разположението и вентилацията на помещението.</w:t>
      </w:r>
    </w:p>
    <w:p w14:paraId="58226FF2" w14:textId="77777777" w:rsidR="007E77D7" w:rsidRPr="00A013E1" w:rsidRDefault="007E77D7" w:rsidP="006728F3">
      <w:pPr>
        <w:ind w:left="851"/>
        <w:jc w:val="both"/>
        <w:rPr>
          <w:rFonts w:ascii="Times New Roman" w:hAnsi="Times New Roman" w:cs="Times New Roman"/>
          <w:lang w:val="ru-RU"/>
        </w:rPr>
      </w:pPr>
      <w:r w:rsidRPr="00A013E1">
        <w:rPr>
          <w:rFonts w:ascii="Times New Roman" w:hAnsi="Times New Roman" w:cs="Times New Roman"/>
          <w:lang w:val="ru-RU"/>
        </w:rPr>
        <w:t>Трябва да се докаже ефективността на откриването на течове. За газовите детектори това се счита за изпълнено, когато се използва анализ на разпръскването на газ или физически тест за дим, за да се намери най-доброто разположение.</w:t>
      </w:r>
    </w:p>
    <w:p w14:paraId="391FCD32" w14:textId="5FD7BFA0" w:rsidR="007E77D7" w:rsidRPr="00A013E1" w:rsidRDefault="007E77D7"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2.2.13.3.2 Трябва да се осигури постоянно монтиран газов детектор за:</w:t>
      </w:r>
    </w:p>
    <w:p w14:paraId="140FCDDC" w14:textId="0CCB583D" w:rsidR="007E77D7" w:rsidRPr="00A013E1" w:rsidRDefault="007E77D7" w:rsidP="003A0CB1">
      <w:pPr>
        <w:ind w:left="851"/>
        <w:jc w:val="both"/>
        <w:rPr>
          <w:rFonts w:ascii="Times New Roman" w:hAnsi="Times New Roman" w:cs="Times New Roman"/>
          <w:lang w:val="ru-RU"/>
        </w:rPr>
      </w:pPr>
      <w:r w:rsidRPr="00A013E1">
        <w:rPr>
          <w:rFonts w:ascii="Times New Roman" w:hAnsi="Times New Roman" w:cs="Times New Roman"/>
          <w:lang w:val="ru-RU"/>
        </w:rPr>
        <w:t>а) затворени или полузатворени помещения,</w:t>
      </w:r>
    </w:p>
    <w:p w14:paraId="3D592A78" w14:textId="77777777" w:rsidR="007E77D7" w:rsidRPr="00A013E1" w:rsidRDefault="007E77D7" w:rsidP="003A0CB1">
      <w:pPr>
        <w:ind w:left="851"/>
        <w:jc w:val="both"/>
        <w:rPr>
          <w:rFonts w:ascii="Times New Roman" w:hAnsi="Times New Roman" w:cs="Times New Roman"/>
          <w:lang w:val="ru-RU"/>
        </w:rPr>
      </w:pPr>
      <w:r w:rsidRPr="00A013E1">
        <w:rPr>
          <w:rFonts w:ascii="Times New Roman" w:hAnsi="Times New Roman" w:cs="Times New Roman"/>
          <w:lang w:val="ru-RU"/>
        </w:rPr>
        <w:t>аа) където могат да се натрупат горивни пари, и</w:t>
      </w:r>
    </w:p>
    <w:p w14:paraId="20BF0441" w14:textId="2B72159C" w:rsidR="007E77D7" w:rsidRPr="00A013E1" w:rsidRDefault="007E77D7" w:rsidP="003A0CB1">
      <w:pPr>
        <w:ind w:left="851"/>
        <w:jc w:val="both"/>
        <w:rPr>
          <w:rFonts w:ascii="Times New Roman" w:hAnsi="Times New Roman" w:cs="Times New Roman"/>
          <w:lang w:val="ru-RU"/>
        </w:rPr>
      </w:pPr>
      <w:r w:rsidRPr="00A013E1">
        <w:rPr>
          <w:rFonts w:ascii="Times New Roman" w:hAnsi="Times New Roman" w:cs="Times New Roman"/>
          <w:lang w:val="ru-RU"/>
        </w:rPr>
        <w:t>бб), които съдържат източник на запалване.</w:t>
      </w:r>
    </w:p>
    <w:p w14:paraId="5B12F01A" w14:textId="77777777" w:rsidR="007E77D7" w:rsidRPr="00A013E1" w:rsidRDefault="007E77D7" w:rsidP="003A0CB1">
      <w:pPr>
        <w:ind w:left="851"/>
        <w:jc w:val="both"/>
        <w:rPr>
          <w:rFonts w:ascii="Times New Roman" w:hAnsi="Times New Roman" w:cs="Times New Roman"/>
          <w:lang w:val="ru-RU"/>
        </w:rPr>
      </w:pPr>
      <w:r w:rsidRPr="00A013E1">
        <w:rPr>
          <w:rFonts w:ascii="Times New Roman" w:hAnsi="Times New Roman" w:cs="Times New Roman"/>
          <w:lang w:val="ru-RU"/>
        </w:rPr>
        <w:t>б) въздушни шлюзове и</w:t>
      </w:r>
    </w:p>
    <w:p w14:paraId="00920205" w14:textId="22B055EC" w:rsidR="007E77D7" w:rsidRPr="00A013E1" w:rsidRDefault="007E77D7" w:rsidP="003A0CB1">
      <w:pPr>
        <w:ind w:left="851"/>
        <w:jc w:val="both"/>
        <w:rPr>
          <w:rFonts w:ascii="Times New Roman" w:hAnsi="Times New Roman" w:cs="Times New Roman"/>
          <w:lang w:val="ru-RU"/>
        </w:rPr>
      </w:pPr>
      <w:r w:rsidRPr="00A013E1">
        <w:rPr>
          <w:rFonts w:ascii="Times New Roman" w:hAnsi="Times New Roman" w:cs="Times New Roman"/>
          <w:lang w:val="ru-RU"/>
        </w:rPr>
        <w:t>в)</w:t>
      </w:r>
      <w:r w:rsidR="000579FC" w:rsidRPr="00A013E1">
        <w:rPr>
          <w:rFonts w:ascii="Times New Roman" w:hAnsi="Times New Roman" w:cs="Times New Roman"/>
          <w:lang w:val="ru-RU"/>
        </w:rPr>
        <w:t xml:space="preserve"> </w:t>
      </w:r>
      <w:r w:rsidRPr="00A013E1">
        <w:rPr>
          <w:rFonts w:ascii="Times New Roman" w:hAnsi="Times New Roman" w:cs="Times New Roman"/>
          <w:lang w:val="ru-RU"/>
        </w:rPr>
        <w:t>изпускателни отвори за вентилирани помещения, където изтичането на гориво може да остане незабелязано в пространството.</w:t>
      </w:r>
    </w:p>
    <w:p w14:paraId="2B4CBADC" w14:textId="77777777" w:rsidR="007E77D7" w:rsidRPr="00A013E1" w:rsidRDefault="007E77D7" w:rsidP="006728F3">
      <w:pPr>
        <w:ind w:left="851" w:hanging="851"/>
        <w:jc w:val="both"/>
        <w:rPr>
          <w:rFonts w:ascii="Times New Roman" w:hAnsi="Times New Roman" w:cs="Times New Roman"/>
          <w:lang w:val="ru-RU"/>
        </w:rPr>
      </w:pPr>
      <w:r w:rsidRPr="00A013E1">
        <w:rPr>
          <w:rFonts w:ascii="Times New Roman" w:hAnsi="Times New Roman" w:cs="Times New Roman"/>
          <w:lang w:val="ru-RU"/>
        </w:rPr>
        <w:t xml:space="preserve">2.2.13.3.3 Предупредителното оборудване за газ се проектира, монтира и тества в съответствие със стандарт, признат от една от държавите-членки, като европейски стандарт </w:t>
      </w:r>
      <w:r w:rsidRPr="00A013E1">
        <w:rPr>
          <w:rFonts w:ascii="Times New Roman" w:hAnsi="Times New Roman" w:cs="Times New Roman"/>
        </w:rPr>
        <w:t>EN</w:t>
      </w:r>
      <w:r w:rsidRPr="00A013E1">
        <w:rPr>
          <w:rFonts w:ascii="Times New Roman" w:hAnsi="Times New Roman" w:cs="Times New Roman"/>
          <w:lang w:val="ru-RU"/>
        </w:rPr>
        <w:t xml:space="preserve"> 60079-29-1: 2020.</w:t>
      </w:r>
    </w:p>
    <w:p w14:paraId="2F2EE680" w14:textId="77777777" w:rsidR="007E77D7" w:rsidRPr="00A013E1" w:rsidRDefault="007E77D7" w:rsidP="006728F3">
      <w:pPr>
        <w:ind w:left="851" w:hanging="851"/>
        <w:jc w:val="both"/>
        <w:rPr>
          <w:rFonts w:ascii="Times New Roman" w:hAnsi="Times New Roman" w:cs="Times New Roman"/>
          <w:lang w:val="ru-RU"/>
        </w:rPr>
      </w:pPr>
      <w:r w:rsidRPr="00A013E1">
        <w:rPr>
          <w:rFonts w:ascii="Times New Roman" w:hAnsi="Times New Roman" w:cs="Times New Roman"/>
          <w:lang w:val="ru-RU"/>
        </w:rPr>
        <w:t>2.2.13.3.4 В случай на концентрация на горивни пари над 20 % от долната граница на експлозия (</w:t>
      </w:r>
      <w:r w:rsidRPr="00A013E1">
        <w:rPr>
          <w:rFonts w:ascii="Times New Roman" w:hAnsi="Times New Roman" w:cs="Times New Roman"/>
        </w:rPr>
        <w:t>LEL</w:t>
      </w:r>
      <w:r w:rsidRPr="00A013E1">
        <w:rPr>
          <w:rFonts w:ascii="Times New Roman" w:hAnsi="Times New Roman" w:cs="Times New Roman"/>
          <w:lang w:val="ru-RU"/>
        </w:rPr>
        <w:t>), трябва да се задейства оптична и акустична аларма в рулевата рубка или на друго място с постоянен персонал.</w:t>
      </w:r>
    </w:p>
    <w:p w14:paraId="7AE3EC6A" w14:textId="7669DA96" w:rsidR="007E77D7" w:rsidRPr="00A013E1" w:rsidRDefault="007E77D7" w:rsidP="003A0CB1">
      <w:pPr>
        <w:ind w:left="851"/>
        <w:jc w:val="both"/>
        <w:rPr>
          <w:rFonts w:ascii="Times New Roman" w:hAnsi="Times New Roman" w:cs="Times New Roman"/>
          <w:lang w:val="ru-RU"/>
        </w:rPr>
      </w:pPr>
      <w:r w:rsidRPr="00A013E1">
        <w:rPr>
          <w:rFonts w:ascii="Times New Roman" w:hAnsi="Times New Roman" w:cs="Times New Roman"/>
          <w:lang w:val="ru-RU"/>
        </w:rPr>
        <w:t xml:space="preserve">Автоматичното изключване, изисквано от </w:t>
      </w:r>
      <w:r w:rsidR="00B56D26" w:rsidRPr="00A013E1">
        <w:rPr>
          <w:rFonts w:ascii="Times New Roman" w:hAnsi="Times New Roman" w:cs="Times New Roman"/>
          <w:lang w:val="ru-RU"/>
        </w:rPr>
        <w:t>т.</w:t>
      </w:r>
      <w:r w:rsidRPr="00A013E1">
        <w:rPr>
          <w:rFonts w:ascii="Times New Roman" w:hAnsi="Times New Roman" w:cs="Times New Roman"/>
          <w:lang w:val="ru-RU"/>
        </w:rPr>
        <w:t>2.2.13.1.2, трябва да се активира най-късно при концентрация на горивните пари от 40 % от долната граница на експлозия (</w:t>
      </w:r>
      <w:r w:rsidRPr="00A013E1">
        <w:rPr>
          <w:rFonts w:ascii="Times New Roman" w:hAnsi="Times New Roman" w:cs="Times New Roman"/>
        </w:rPr>
        <w:t>LEL</w:t>
      </w:r>
      <w:r w:rsidRPr="00A013E1">
        <w:rPr>
          <w:rFonts w:ascii="Times New Roman" w:hAnsi="Times New Roman" w:cs="Times New Roman"/>
          <w:lang w:val="ru-RU"/>
        </w:rPr>
        <w:t>).</w:t>
      </w:r>
    </w:p>
    <w:p w14:paraId="13BBC55E" w14:textId="77777777" w:rsidR="007E77D7" w:rsidRPr="00A013E1" w:rsidRDefault="007E77D7" w:rsidP="003A0CB1">
      <w:pPr>
        <w:spacing w:before="240"/>
        <w:ind w:left="851" w:hanging="851"/>
        <w:jc w:val="both"/>
        <w:rPr>
          <w:rFonts w:ascii="Times New Roman" w:hAnsi="Times New Roman" w:cs="Times New Roman"/>
          <w:b/>
          <w:lang w:val="ru-RU"/>
        </w:rPr>
      </w:pPr>
      <w:r w:rsidRPr="00A013E1">
        <w:rPr>
          <w:rFonts w:ascii="Times New Roman" w:hAnsi="Times New Roman" w:cs="Times New Roman"/>
          <w:b/>
          <w:lang w:val="ru-RU"/>
        </w:rPr>
        <w:t>2.2.13.4 Разпоредби относно функциите за безопасност на системите за подаване на гориво</w:t>
      </w:r>
    </w:p>
    <w:p w14:paraId="258F69FD" w14:textId="77777777" w:rsidR="007E77D7" w:rsidRPr="00A013E1" w:rsidRDefault="007E77D7" w:rsidP="006728F3">
      <w:pPr>
        <w:ind w:left="851" w:hanging="851"/>
        <w:jc w:val="both"/>
        <w:rPr>
          <w:rFonts w:ascii="Times New Roman" w:hAnsi="Times New Roman" w:cs="Times New Roman"/>
          <w:lang w:val="ru-RU"/>
        </w:rPr>
      </w:pPr>
    </w:p>
    <w:p w14:paraId="09E1C34A" w14:textId="77777777" w:rsidR="007E77D7" w:rsidRPr="00A013E1" w:rsidRDefault="007E77D7" w:rsidP="003A0CB1">
      <w:pPr>
        <w:spacing w:after="240"/>
        <w:ind w:left="851" w:hanging="851"/>
        <w:jc w:val="both"/>
        <w:rPr>
          <w:rFonts w:ascii="Times New Roman" w:hAnsi="Times New Roman" w:cs="Times New Roman"/>
          <w:lang w:val="ru-RU"/>
        </w:rPr>
      </w:pPr>
      <w:r w:rsidRPr="00A013E1">
        <w:rPr>
          <w:rFonts w:ascii="Times New Roman" w:hAnsi="Times New Roman" w:cs="Times New Roman"/>
          <w:lang w:val="ru-RU"/>
        </w:rPr>
        <w:lastRenderedPageBreak/>
        <w:t>2.2.13.4.1 Системата за безопасност се нулира ръчно, преди задвижващата или спомагателната система да може да бъде рестартирана.</w:t>
      </w:r>
    </w:p>
    <w:p w14:paraId="66C33A4A" w14:textId="77777777" w:rsidR="00271FA2" w:rsidRPr="00A013E1" w:rsidRDefault="00D35E51" w:rsidP="00483BB7">
      <w:pPr>
        <w:pStyle w:val="Esann8let"/>
        <w:spacing w:before="0"/>
        <w:ind w:left="0" w:firstLine="0"/>
        <w:jc w:val="center"/>
        <w:rPr>
          <w:rFonts w:ascii="Times New Roman" w:hAnsi="Times New Roman" w:cs="Times New Roman"/>
          <w:b/>
          <w:lang w:val="ru-RU"/>
        </w:rPr>
      </w:pPr>
      <w:r w:rsidRPr="00A013E1">
        <w:rPr>
          <w:rFonts w:ascii="Times New Roman" w:hAnsi="Times New Roman" w:cs="Times New Roman"/>
          <w:b/>
          <w:lang w:val="ru-RU"/>
        </w:rPr>
        <w:t>Глава 3</w:t>
      </w:r>
    </w:p>
    <w:p w14:paraId="6AA021F7" w14:textId="77777777" w:rsidR="00271FA2" w:rsidRPr="00A013E1" w:rsidRDefault="00D35E51" w:rsidP="00483BB7">
      <w:pPr>
        <w:pStyle w:val="Esann8let"/>
        <w:spacing w:before="0"/>
        <w:ind w:left="0" w:firstLine="0"/>
        <w:jc w:val="center"/>
        <w:rPr>
          <w:rFonts w:ascii="Times New Roman" w:hAnsi="Times New Roman" w:cs="Times New Roman"/>
          <w:b/>
          <w:lang w:val="ru-RU"/>
        </w:rPr>
      </w:pPr>
      <w:r w:rsidRPr="00A013E1">
        <w:rPr>
          <w:rFonts w:ascii="Times New Roman" w:hAnsi="Times New Roman" w:cs="Times New Roman"/>
          <w:b/>
          <w:lang w:val="ru-RU"/>
        </w:rPr>
        <w:t>Водород</w:t>
      </w:r>
    </w:p>
    <w:p w14:paraId="1C43EEF4" w14:textId="3BD0B0DC" w:rsidR="003A0CB1" w:rsidRPr="00A013E1" w:rsidRDefault="00D35E51" w:rsidP="00483BB7">
      <w:pPr>
        <w:pStyle w:val="Esann8let"/>
        <w:spacing w:before="0"/>
        <w:ind w:left="0" w:firstLine="0"/>
        <w:jc w:val="center"/>
        <w:rPr>
          <w:rFonts w:ascii="Times New Roman" w:hAnsi="Times New Roman" w:cs="Times New Roman"/>
          <w:lang w:val="ru-RU"/>
        </w:rPr>
      </w:pPr>
      <w:r w:rsidRPr="00A013E1">
        <w:rPr>
          <w:rFonts w:ascii="Times New Roman" w:hAnsi="Times New Roman" w:cs="Times New Roman"/>
          <w:lang w:val="ru-RU"/>
        </w:rPr>
        <w:t xml:space="preserve">(оставено </w:t>
      </w:r>
      <w:r w:rsidR="008047BF" w:rsidRPr="00A013E1">
        <w:rPr>
          <w:rFonts w:ascii="Times New Roman" w:hAnsi="Times New Roman" w:cs="Times New Roman"/>
          <w:lang w:val="ru-RU"/>
        </w:rPr>
        <w:t>непопълнено</w:t>
      </w:r>
      <w:r w:rsidRPr="00A013E1">
        <w:rPr>
          <w:rFonts w:ascii="Times New Roman" w:hAnsi="Times New Roman" w:cs="Times New Roman"/>
          <w:lang w:val="ru-RU"/>
        </w:rPr>
        <w:t>)</w:t>
      </w:r>
    </w:p>
    <w:p w14:paraId="03DE3F77" w14:textId="77777777" w:rsidR="00A435B9" w:rsidRPr="00A013E1" w:rsidRDefault="00A435B9">
      <w:pPr>
        <w:rPr>
          <w:rFonts w:ascii="Times New Roman" w:hAnsi="Times New Roman" w:cs="Times New Roman"/>
          <w:lang w:val="ru-RU"/>
        </w:rPr>
        <w:sectPr w:rsidR="00A435B9" w:rsidRPr="00A013E1" w:rsidSect="00A013E1">
          <w:headerReference w:type="default" r:id="rId184"/>
          <w:headerReference w:type="first" r:id="rId185"/>
          <w:footerReference w:type="first" r:id="rId186"/>
          <w:pgSz w:w="11907" w:h="16840"/>
          <w:pgMar w:top="1134" w:right="1134" w:bottom="1134" w:left="1134" w:header="709" w:footer="709" w:gutter="0"/>
          <w:cols w:space="720"/>
          <w:titlePg/>
          <w:docGrid w:linePitch="299"/>
        </w:sectPr>
      </w:pPr>
    </w:p>
    <w:p w14:paraId="00357527" w14:textId="58B8F821" w:rsidR="00A435B9" w:rsidRPr="00A013E1" w:rsidRDefault="00A435B9" w:rsidP="00430202">
      <w:pPr>
        <w:pStyle w:val="Esann8let"/>
        <w:spacing w:before="0"/>
        <w:ind w:left="0" w:firstLine="0"/>
        <w:jc w:val="center"/>
        <w:rPr>
          <w:rFonts w:ascii="Times New Roman" w:hAnsi="Times New Roman" w:cs="Times New Roman"/>
          <w:b/>
          <w:color w:val="auto"/>
        </w:rPr>
      </w:pPr>
      <w:r w:rsidRPr="00A013E1">
        <w:rPr>
          <w:rFonts w:ascii="Times New Roman" w:hAnsi="Times New Roman" w:cs="Times New Roman"/>
          <w:b/>
          <w:color w:val="auto"/>
          <w:lang w:val="ru-RU"/>
        </w:rPr>
        <w:lastRenderedPageBreak/>
        <w:t xml:space="preserve">Раздел </w:t>
      </w:r>
      <w:r w:rsidRPr="00A013E1">
        <w:rPr>
          <w:rFonts w:ascii="Times New Roman" w:hAnsi="Times New Roman" w:cs="Times New Roman"/>
          <w:b/>
          <w:color w:val="auto"/>
          <w:lang w:val="en-US"/>
        </w:rPr>
        <w:t>III</w:t>
      </w:r>
    </w:p>
    <w:p w14:paraId="373775C5" w14:textId="77777777" w:rsidR="00271FA2" w:rsidRPr="00A013E1" w:rsidRDefault="00D35E51" w:rsidP="00430202">
      <w:pPr>
        <w:pStyle w:val="Esann8let"/>
        <w:spacing w:before="0"/>
        <w:ind w:left="0" w:firstLine="0"/>
        <w:jc w:val="center"/>
        <w:rPr>
          <w:rFonts w:ascii="Times New Roman" w:hAnsi="Times New Roman" w:cs="Times New Roman"/>
          <w:b/>
          <w:color w:val="auto"/>
          <w:lang w:val="ru-RU"/>
        </w:rPr>
      </w:pPr>
      <w:r w:rsidRPr="00A013E1">
        <w:rPr>
          <w:rFonts w:ascii="Times New Roman" w:hAnsi="Times New Roman" w:cs="Times New Roman"/>
          <w:b/>
          <w:color w:val="auto"/>
          <w:lang w:val="ru-RU"/>
        </w:rPr>
        <w:t>Преобразуватели на енергия</w:t>
      </w:r>
    </w:p>
    <w:p w14:paraId="65ADC7AD" w14:textId="77777777" w:rsidR="00271FA2" w:rsidRPr="00A013E1" w:rsidRDefault="00D35E51" w:rsidP="00430202">
      <w:pPr>
        <w:pStyle w:val="Esann8let"/>
        <w:spacing w:before="0"/>
        <w:ind w:left="0" w:firstLine="0"/>
        <w:jc w:val="center"/>
        <w:rPr>
          <w:rFonts w:ascii="Times New Roman" w:hAnsi="Times New Roman" w:cs="Times New Roman"/>
          <w:b/>
          <w:color w:val="auto"/>
          <w:lang w:val="ru-RU"/>
        </w:rPr>
      </w:pPr>
      <w:r w:rsidRPr="00A013E1">
        <w:rPr>
          <w:rFonts w:ascii="Times New Roman" w:hAnsi="Times New Roman" w:cs="Times New Roman"/>
          <w:b/>
          <w:color w:val="auto"/>
          <w:lang w:val="ru-RU"/>
        </w:rPr>
        <w:t>Глава 1</w:t>
      </w:r>
    </w:p>
    <w:p w14:paraId="56D23221" w14:textId="7D29FD61" w:rsidR="00271FA2" w:rsidRPr="00A013E1" w:rsidRDefault="00D35E51" w:rsidP="00411BDF">
      <w:pPr>
        <w:pStyle w:val="Esann8let"/>
        <w:spacing w:before="0" w:after="240"/>
        <w:ind w:left="0" w:firstLine="0"/>
        <w:jc w:val="center"/>
        <w:rPr>
          <w:rFonts w:ascii="Times New Roman" w:hAnsi="Times New Roman" w:cs="Times New Roman"/>
          <w:b/>
          <w:color w:val="auto"/>
          <w:lang w:val="ru-RU"/>
        </w:rPr>
      </w:pPr>
      <w:r w:rsidRPr="00A013E1">
        <w:rPr>
          <w:rFonts w:ascii="Times New Roman" w:hAnsi="Times New Roman" w:cs="Times New Roman"/>
          <w:b/>
          <w:color w:val="auto"/>
          <w:lang w:val="ru-RU"/>
        </w:rPr>
        <w:t>Задвижващи и спомагателни системи с горивни клетки</w:t>
      </w:r>
    </w:p>
    <w:p w14:paraId="58DA069C" w14:textId="77777777" w:rsidR="00271FA2" w:rsidRPr="00A013E1" w:rsidRDefault="00D35E51" w:rsidP="00411BDF">
      <w:pPr>
        <w:pStyle w:val="Esann8let"/>
        <w:spacing w:before="0"/>
        <w:ind w:left="851" w:hanging="851"/>
        <w:jc w:val="both"/>
        <w:rPr>
          <w:rFonts w:ascii="Times New Roman" w:hAnsi="Times New Roman" w:cs="Times New Roman"/>
          <w:b/>
          <w:lang w:val="ru-RU"/>
        </w:rPr>
      </w:pPr>
      <w:r w:rsidRPr="00A013E1">
        <w:rPr>
          <w:rFonts w:ascii="Times New Roman" w:hAnsi="Times New Roman" w:cs="Times New Roman"/>
          <w:b/>
          <w:lang w:val="ru-RU"/>
        </w:rPr>
        <w:t>3.1.1 Места за горивни клетки</w:t>
      </w:r>
    </w:p>
    <w:p w14:paraId="3F3C7AB8"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 Изискванията на тази глава се прилагат за помещения с горивни клетки, разположени на палубата или под палубата.</w:t>
      </w:r>
    </w:p>
    <w:p w14:paraId="0E3CBBD7"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3.1.1.2 В помещенията за горивни клетки се допускат само компоненти, необходими за работата на системите с горивни клетки.</w:t>
      </w:r>
    </w:p>
    <w:p w14:paraId="4AFED629"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3.1.1.3 Компонентите на горивните клетки трябва да бъдат заобиколени от вторична бариера. Границата на пространството на горивната клетка може да действа като вторична бариера.</w:t>
      </w:r>
    </w:p>
    <w:p w14:paraId="2D6ABF6F"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3.1.1.4 Отделенията за горивни клетки се проектират по такъв начин, че тяхната геометрична форма да осигурява добра циркулация на въздуха или добро разпределение на инертния газ, за да се сведе до минимум възможността за улавяне на експлозивна смес.</w:t>
      </w:r>
    </w:p>
    <w:p w14:paraId="733EC54F"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3.1.1.5 В отделенията за горивни клетки трябва да има постоянно инсталирана система за откриване на газ с непрекъснато измерване.</w:t>
      </w:r>
    </w:p>
    <w:p w14:paraId="4A246C8C"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 xml:space="preserve">3.1.1.6 Помещенията за горивни клетки, съдържащи реформатори на гориво, трябва също така да отговарят на изискванията за съответното съхранение на гориво в съответствие с Приложение 8, Раздел </w:t>
      </w:r>
      <w:r w:rsidRPr="00A013E1">
        <w:rPr>
          <w:rFonts w:ascii="Times New Roman" w:hAnsi="Times New Roman" w:cs="Times New Roman"/>
        </w:rPr>
        <w:t>II</w:t>
      </w:r>
      <w:r w:rsidRPr="00A013E1">
        <w:rPr>
          <w:rFonts w:ascii="Times New Roman" w:hAnsi="Times New Roman" w:cs="Times New Roman"/>
          <w:lang w:val="ru-RU"/>
        </w:rPr>
        <w:t>.</w:t>
      </w:r>
    </w:p>
    <w:p w14:paraId="726512A5" w14:textId="13C7C448"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3.1.1.7 Подходящите изисквания за противопожарно разделяне на помещенията с горивни клетки се установяват чрез оценката на риска в съответствие с Член 30.04, като се обръщаспециално внимание на местоположението на инсталацията и пожарното натоварване на пространството с горивни клетки.</w:t>
      </w:r>
    </w:p>
    <w:p w14:paraId="2A893157"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3.1.1.8 Помещенията за горивни клетки не трябва да бъдат разположени по-малко от:</w:t>
      </w:r>
    </w:p>
    <w:p w14:paraId="24426A08" w14:textId="0BE4C675" w:rsidR="00197154" w:rsidRPr="00A013E1" w:rsidRDefault="00197154" w:rsidP="00866293">
      <w:pPr>
        <w:ind w:left="851"/>
        <w:jc w:val="both"/>
        <w:rPr>
          <w:rFonts w:ascii="Times New Roman" w:hAnsi="Times New Roman" w:cs="Times New Roman"/>
          <w:lang w:val="ru-RU"/>
        </w:rPr>
      </w:pPr>
      <w:r w:rsidRPr="00A013E1">
        <w:rPr>
          <w:rFonts w:ascii="Times New Roman" w:hAnsi="Times New Roman" w:cs="Times New Roman"/>
        </w:rPr>
        <w:t>a</w:t>
      </w:r>
      <w:r w:rsidRPr="00A013E1">
        <w:rPr>
          <w:rFonts w:ascii="Times New Roman" w:hAnsi="Times New Roman" w:cs="Times New Roman"/>
          <w:lang w:val="ru-RU"/>
        </w:rPr>
        <w:t xml:space="preserve">) 1,00 </w:t>
      </w:r>
      <w:r w:rsidRPr="00A013E1">
        <w:rPr>
          <w:rFonts w:ascii="Times New Roman" w:hAnsi="Times New Roman" w:cs="Times New Roman"/>
        </w:rPr>
        <w:t>m</w:t>
      </w:r>
      <w:r w:rsidRPr="00A013E1">
        <w:rPr>
          <w:rFonts w:ascii="Times New Roman" w:hAnsi="Times New Roman" w:cs="Times New Roman"/>
          <w:lang w:val="ru-RU"/>
        </w:rPr>
        <w:t xml:space="preserve"> или </w:t>
      </w:r>
      <w:r w:rsidRPr="00A013E1">
        <w:rPr>
          <w:rFonts w:ascii="Times New Roman" w:hAnsi="Times New Roman" w:cs="Times New Roman"/>
        </w:rPr>
        <w:t>B</w:t>
      </w:r>
      <w:r w:rsidRPr="00A013E1">
        <w:rPr>
          <w:rFonts w:ascii="Times New Roman" w:hAnsi="Times New Roman" w:cs="Times New Roman"/>
          <w:lang w:val="ru-RU"/>
        </w:rPr>
        <w:t xml:space="preserve">/5 от </w:t>
      </w:r>
      <w:r w:rsidR="00BC0B63" w:rsidRPr="00A013E1">
        <w:rPr>
          <w:rFonts w:ascii="Times New Roman" w:hAnsi="Times New Roman" w:cs="Times New Roman"/>
          <w:lang w:val="ru-RU"/>
        </w:rPr>
        <w:t xml:space="preserve"> </w:t>
      </w:r>
      <w:r w:rsidR="00E463BE" w:rsidRPr="00A013E1">
        <w:rPr>
          <w:rFonts w:ascii="Times New Roman" w:hAnsi="Times New Roman" w:cs="Times New Roman"/>
          <w:lang w:val="ru-RU"/>
        </w:rPr>
        <w:t>борда</w:t>
      </w:r>
      <w:r w:rsidRPr="00A013E1">
        <w:rPr>
          <w:rFonts w:ascii="Times New Roman" w:hAnsi="Times New Roman" w:cs="Times New Roman"/>
          <w:lang w:val="ru-RU"/>
        </w:rPr>
        <w:t xml:space="preserve"> на плавателното средство, което от двете е по-малко, и</w:t>
      </w:r>
    </w:p>
    <w:p w14:paraId="22EA7186" w14:textId="77777777" w:rsidR="00197154" w:rsidRPr="00A013E1" w:rsidRDefault="00197154" w:rsidP="00866293">
      <w:pPr>
        <w:ind w:left="851"/>
        <w:jc w:val="both"/>
        <w:rPr>
          <w:rFonts w:ascii="Times New Roman" w:hAnsi="Times New Roman" w:cs="Times New Roman"/>
          <w:lang w:val="ru-RU"/>
        </w:rPr>
      </w:pPr>
      <w:r w:rsidRPr="00A013E1">
        <w:rPr>
          <w:rFonts w:ascii="Times New Roman" w:hAnsi="Times New Roman" w:cs="Times New Roman"/>
          <w:lang w:val="ru-RU"/>
        </w:rPr>
        <w:t xml:space="preserve">б) 0,60 </w:t>
      </w:r>
      <w:r w:rsidRPr="00A013E1">
        <w:rPr>
          <w:rFonts w:ascii="Times New Roman" w:hAnsi="Times New Roman" w:cs="Times New Roman"/>
        </w:rPr>
        <w:t>m</w:t>
      </w:r>
      <w:r w:rsidRPr="00A013E1">
        <w:rPr>
          <w:rFonts w:ascii="Times New Roman" w:hAnsi="Times New Roman" w:cs="Times New Roman"/>
          <w:lang w:val="ru-RU"/>
        </w:rPr>
        <w:t xml:space="preserve"> от дъното на плавателния съд.</w:t>
      </w:r>
    </w:p>
    <w:p w14:paraId="1711F980" w14:textId="629E3CDC" w:rsidR="00197154" w:rsidRPr="00A013E1" w:rsidRDefault="00197154" w:rsidP="00866293">
      <w:pPr>
        <w:ind w:left="851"/>
        <w:jc w:val="both"/>
        <w:rPr>
          <w:rFonts w:ascii="Times New Roman" w:hAnsi="Times New Roman" w:cs="Times New Roman"/>
          <w:strike/>
          <w:lang w:val="ru-RU"/>
        </w:rPr>
      </w:pPr>
      <w:r w:rsidRPr="00A013E1">
        <w:rPr>
          <w:rFonts w:ascii="Times New Roman" w:hAnsi="Times New Roman" w:cs="Times New Roman"/>
          <w:lang w:val="ru-RU"/>
        </w:rPr>
        <w:t>Контролният орган може да разреши по-</w:t>
      </w:r>
      <w:r w:rsidR="00BC0B63" w:rsidRPr="00A013E1">
        <w:rPr>
          <w:rFonts w:ascii="Times New Roman" w:hAnsi="Times New Roman" w:cs="Times New Roman"/>
          <w:lang w:val="ru-RU"/>
        </w:rPr>
        <w:t xml:space="preserve"> </w:t>
      </w:r>
      <w:r w:rsidR="00E463BE" w:rsidRPr="00A013E1">
        <w:rPr>
          <w:rFonts w:ascii="Times New Roman" w:hAnsi="Times New Roman" w:cs="Times New Roman"/>
          <w:lang w:val="ru-RU"/>
        </w:rPr>
        <w:t>малки</w:t>
      </w:r>
      <w:r w:rsidRPr="00A013E1">
        <w:rPr>
          <w:rFonts w:ascii="Times New Roman" w:hAnsi="Times New Roman" w:cs="Times New Roman"/>
          <w:lang w:val="ru-RU"/>
        </w:rPr>
        <w:t xml:space="preserve"> разстояния при липса на опасни зони въз основа на оценката на риска, съгласно член 30.04.</w:t>
      </w:r>
    </w:p>
    <w:p w14:paraId="279D527B" w14:textId="77777777" w:rsidR="00271FA2" w:rsidRPr="00A013E1" w:rsidRDefault="00D35E51" w:rsidP="00866293">
      <w:pPr>
        <w:pStyle w:val="Esann8let"/>
        <w:spacing w:line="240" w:lineRule="auto"/>
        <w:ind w:left="851" w:hanging="851"/>
        <w:rPr>
          <w:rFonts w:ascii="Times New Roman" w:hAnsi="Times New Roman" w:cs="Times New Roman"/>
          <w:lang w:val="ru-RU"/>
        </w:rPr>
      </w:pPr>
      <w:r w:rsidRPr="00A013E1">
        <w:rPr>
          <w:rFonts w:ascii="Times New Roman" w:hAnsi="Times New Roman" w:cs="Times New Roman"/>
          <w:lang w:val="ru-RU"/>
        </w:rPr>
        <w:t>3.1.1.9 Една от следните концепции се прилага към отделенията за горивни клетки:</w:t>
      </w:r>
    </w:p>
    <w:p w14:paraId="59720E40" w14:textId="77777777" w:rsidR="00271FA2" w:rsidRPr="00A013E1" w:rsidRDefault="00D35E51" w:rsidP="00866293">
      <w:pPr>
        <w:pStyle w:val="Esann8let"/>
        <w:spacing w:line="240" w:lineRule="auto"/>
        <w:ind w:left="851" w:firstLine="0"/>
        <w:rPr>
          <w:rFonts w:ascii="Times New Roman" w:hAnsi="Times New Roman" w:cs="Times New Roman"/>
          <w:lang w:val="ru-RU"/>
        </w:rPr>
      </w:pPr>
      <w:r w:rsidRPr="00A013E1">
        <w:rPr>
          <w:rFonts w:ascii="Times New Roman" w:hAnsi="Times New Roman" w:cs="Times New Roman"/>
          <w:lang w:val="ru-RU"/>
        </w:rPr>
        <w:t>а) пространство с инертни горивни клетки,</w:t>
      </w:r>
    </w:p>
    <w:p w14:paraId="079997BA" w14:textId="70BC7236" w:rsidR="00271FA2" w:rsidRPr="00A013E1" w:rsidRDefault="00866293" w:rsidP="00866293">
      <w:pPr>
        <w:pStyle w:val="Esann8let"/>
        <w:spacing w:line="240" w:lineRule="auto"/>
        <w:ind w:left="851" w:firstLine="0"/>
        <w:rPr>
          <w:rFonts w:ascii="Times New Roman" w:hAnsi="Times New Roman" w:cs="Times New Roman"/>
          <w:lang w:val="ru-RU"/>
        </w:rPr>
      </w:pPr>
      <w:r w:rsidRPr="00A013E1">
        <w:rPr>
          <w:rFonts w:ascii="Times New Roman" w:hAnsi="Times New Roman" w:cs="Times New Roman"/>
          <w:lang w:val="ru-RU"/>
        </w:rPr>
        <w:t>б</w:t>
      </w:r>
      <w:r w:rsidR="00D35E51" w:rsidRPr="00A013E1">
        <w:rPr>
          <w:rFonts w:ascii="Times New Roman" w:hAnsi="Times New Roman" w:cs="Times New Roman"/>
          <w:lang w:val="ru-RU"/>
        </w:rPr>
        <w:t>) защитено от експлозия пространство за горивни клетки, или</w:t>
      </w:r>
    </w:p>
    <w:p w14:paraId="2A5E7252" w14:textId="77777777" w:rsidR="00271FA2" w:rsidRPr="00A013E1" w:rsidRDefault="00D35E51" w:rsidP="00866293">
      <w:pPr>
        <w:pStyle w:val="Esann8let"/>
        <w:spacing w:line="240" w:lineRule="auto"/>
        <w:ind w:left="851" w:firstLine="0"/>
        <w:rPr>
          <w:rFonts w:ascii="Times New Roman" w:hAnsi="Times New Roman" w:cs="Times New Roman"/>
          <w:lang w:val="ru-RU"/>
        </w:rPr>
      </w:pPr>
      <w:r w:rsidRPr="00A013E1">
        <w:rPr>
          <w:rFonts w:ascii="Times New Roman" w:hAnsi="Times New Roman" w:cs="Times New Roman"/>
          <w:lang w:val="ru-RU"/>
        </w:rPr>
        <w:t>в) вентилирано пространство за горивни клетки.</w:t>
      </w:r>
    </w:p>
    <w:p w14:paraId="04546CAA" w14:textId="77777777" w:rsidR="00271FA2" w:rsidRPr="00A013E1" w:rsidRDefault="00D35E51" w:rsidP="00411BDF">
      <w:pPr>
        <w:pStyle w:val="Esann8let"/>
        <w:spacing w:before="0"/>
        <w:ind w:left="851" w:hanging="851"/>
        <w:rPr>
          <w:rFonts w:ascii="Times New Roman" w:hAnsi="Times New Roman" w:cs="Times New Roman"/>
          <w:b/>
          <w:lang w:val="ru-RU"/>
        </w:rPr>
      </w:pPr>
      <w:r w:rsidRPr="00A013E1">
        <w:rPr>
          <w:rFonts w:ascii="Times New Roman" w:hAnsi="Times New Roman" w:cs="Times New Roman"/>
          <w:b/>
          <w:lang w:val="ru-RU"/>
        </w:rPr>
        <w:t>3.1.1.10 Изисквания за пространства с инертни горивни клетки</w:t>
      </w:r>
    </w:p>
    <w:p w14:paraId="35D96410" w14:textId="77777777" w:rsidR="00271FA2" w:rsidRPr="00A013E1" w:rsidRDefault="00D35E51" w:rsidP="00411BDF">
      <w:pPr>
        <w:pStyle w:val="Esann8let"/>
        <w:spacing w:before="0"/>
        <w:ind w:left="851" w:hanging="851"/>
        <w:rPr>
          <w:rFonts w:ascii="Times New Roman" w:hAnsi="Times New Roman" w:cs="Times New Roman"/>
          <w:lang w:val="ru-RU"/>
        </w:rPr>
      </w:pPr>
      <w:r w:rsidRPr="00A013E1">
        <w:rPr>
          <w:rFonts w:ascii="Times New Roman" w:hAnsi="Times New Roman" w:cs="Times New Roman"/>
          <w:lang w:val="ru-RU"/>
        </w:rPr>
        <w:t>3.1.1.10.1 Помещенията с инертни горивни клетки са пространства с горивни клетки, защитени с инертен газ. Те се считат за неопасни зони.</w:t>
      </w:r>
    </w:p>
    <w:p w14:paraId="6FE09D64"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3.1.1.10.2 Границата на пространството на горивната клетка, която действа като вторична бариера, трябва да бъде газонепроницаема. Проектното налягане на границата трябва да е подходящо за предвиденото приложение.</w:t>
      </w:r>
    </w:p>
    <w:p w14:paraId="1702EE88"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3.1.1.10.3 По време на нормална работа на системата с горивни клетки пространството за горивните клетки трябва да бъде инертно запълнено.</w:t>
      </w:r>
    </w:p>
    <w:p w14:paraId="66858BC7"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lastRenderedPageBreak/>
        <w:t>3.1.1.10.4 В случай на откриване на изтичане на газ или загуба на инертност:</w:t>
      </w:r>
    </w:p>
    <w:p w14:paraId="2C505039"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а) подаването на гориво към съответното пространство за горивни клетки; и</w:t>
      </w:r>
    </w:p>
    <w:p w14:paraId="20226902"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б) компонентите на горивната клетка в съответното пространство за горивна клетка ще се изключат автоматично.</w:t>
      </w:r>
    </w:p>
    <w:p w14:paraId="63234472" w14:textId="77777777" w:rsidR="00271FA2" w:rsidRPr="00A013E1" w:rsidRDefault="00D35E51" w:rsidP="00411BDF">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3.1.1.10.5 Газонепропускливостта и целостта на вторичната бариера се наблюдават постоянно чрез подходящи мерки. В случай на откриване на изтичане на инертен газ в съседни помещения, където има хора по време на нормална работа, трябва да се задейства оптична и звукова аларма:</w:t>
      </w:r>
    </w:p>
    <w:p w14:paraId="5B05B7A2" w14:textId="77777777" w:rsidR="00271FA2" w:rsidRPr="00A013E1" w:rsidRDefault="00D35E51" w:rsidP="004F52B6">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а) в засегнатите помещения; и</w:t>
      </w:r>
    </w:p>
    <w:p w14:paraId="0562A31D" w14:textId="77777777" w:rsidR="00271FA2" w:rsidRPr="00A013E1" w:rsidRDefault="00D35E51" w:rsidP="004F52B6">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б) в рулевата рубка или на всяко друго място с постоянен персонал.</w:t>
      </w:r>
    </w:p>
    <w:p w14:paraId="34183A2C"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В случай на нарушаване на газонепропускливостта и целостта на вторичната бариера, подаването на гориво към системата с горивни клетки се спира автоматично.</w:t>
      </w:r>
    </w:p>
    <w:p w14:paraId="207C6B06" w14:textId="77777777" w:rsidR="00271FA2" w:rsidRPr="00A013E1" w:rsidRDefault="00D35E51" w:rsidP="004F52B6">
      <w:pPr>
        <w:pStyle w:val="Esann8let"/>
        <w:spacing w:before="0"/>
        <w:ind w:left="0" w:firstLine="0"/>
        <w:jc w:val="both"/>
        <w:rPr>
          <w:rFonts w:ascii="Times New Roman" w:hAnsi="Times New Roman" w:cs="Times New Roman"/>
          <w:b/>
          <w:lang w:val="ru-RU"/>
        </w:rPr>
      </w:pPr>
      <w:r w:rsidRPr="00A013E1">
        <w:rPr>
          <w:rFonts w:ascii="Times New Roman" w:hAnsi="Times New Roman" w:cs="Times New Roman"/>
          <w:b/>
          <w:lang w:val="ru-RU"/>
        </w:rPr>
        <w:t>3.1.1.11 Изисквания за защитени от експлозия помещения за горивни клетки</w:t>
      </w:r>
    </w:p>
    <w:p w14:paraId="60229221" w14:textId="77777777" w:rsidR="00271FA2" w:rsidRPr="00A013E1" w:rsidRDefault="00D35E51" w:rsidP="004F52B6">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3.1.1.11.1 Защитените от експлозия помещения с горивни клетки се считат за опасни зони (зона 1).</w:t>
      </w:r>
    </w:p>
    <w:p w14:paraId="294CEABC" w14:textId="77777777" w:rsidR="00271FA2" w:rsidRPr="00A013E1" w:rsidRDefault="00D35E51" w:rsidP="004F52B6">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 xml:space="preserve">3.1.1.11.2 В съответствие с член 10.04 е разрешено само оборудване, защитено от експлозия (сертифицирана безопасност). Това се счита за изпълнено, ако оборудването отговаря на съответните разпоредби на серия Европейски стандарти </w:t>
      </w:r>
      <w:r w:rsidRPr="00A013E1">
        <w:rPr>
          <w:rFonts w:ascii="Times New Roman" w:hAnsi="Times New Roman" w:cs="Times New Roman"/>
        </w:rPr>
        <w:t>EN</w:t>
      </w:r>
      <w:r w:rsidRPr="00A013E1">
        <w:rPr>
          <w:rFonts w:ascii="Times New Roman" w:hAnsi="Times New Roman" w:cs="Times New Roman"/>
          <w:lang w:val="ru-RU"/>
        </w:rPr>
        <w:t xml:space="preserve"> 60079.</w:t>
      </w:r>
    </w:p>
    <w:p w14:paraId="06D5F39C" w14:textId="711018AC" w:rsidR="00271FA2" w:rsidRPr="00A013E1" w:rsidRDefault="00D35E51" w:rsidP="004F52B6">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 xml:space="preserve">3.1.1.11.3 </w:t>
      </w:r>
      <w:r w:rsidR="00A042A5" w:rsidRPr="00A013E1">
        <w:rPr>
          <w:rFonts w:ascii="Times New Roman" w:hAnsi="Times New Roman" w:cs="Times New Roman"/>
          <w:lang w:val="ru-RU"/>
        </w:rPr>
        <w:t xml:space="preserve"> </w:t>
      </w:r>
      <w:r w:rsidR="00313A0D" w:rsidRPr="00A013E1">
        <w:rPr>
          <w:rFonts w:ascii="Times New Roman" w:hAnsi="Times New Roman" w:cs="Times New Roman"/>
          <w:lang w:val="ru-RU"/>
        </w:rPr>
        <w:t xml:space="preserve">Чрез дерогация от </w:t>
      </w:r>
      <w:r w:rsidR="00A042A5" w:rsidRPr="00A013E1">
        <w:rPr>
          <w:rFonts w:ascii="Times New Roman" w:hAnsi="Times New Roman" w:cs="Times New Roman"/>
          <w:lang w:val="ru-RU"/>
        </w:rPr>
        <w:t>т.</w:t>
      </w:r>
      <w:r w:rsidR="007E3E63" w:rsidRPr="00A013E1" w:rsidDel="007E3E63">
        <w:rPr>
          <w:rFonts w:ascii="Times New Roman" w:hAnsi="Times New Roman" w:cs="Times New Roman"/>
          <w:lang w:val="ru-RU"/>
        </w:rPr>
        <w:t xml:space="preserve"> </w:t>
      </w:r>
      <w:r w:rsidR="00313A0D" w:rsidRPr="00A013E1">
        <w:rPr>
          <w:rFonts w:ascii="Times New Roman" w:hAnsi="Times New Roman" w:cs="Times New Roman"/>
          <w:lang w:val="ru-RU"/>
        </w:rPr>
        <w:t xml:space="preserve">3.1.1.3, </w:t>
      </w:r>
      <w:r w:rsidR="00A042A5" w:rsidRPr="00A013E1">
        <w:rPr>
          <w:rFonts w:ascii="Times New Roman" w:hAnsi="Times New Roman" w:cs="Times New Roman"/>
          <w:lang w:val="ru-RU"/>
        </w:rPr>
        <w:t xml:space="preserve"> </w:t>
      </w:r>
      <w:r w:rsidR="00313A0D" w:rsidRPr="00A013E1">
        <w:rPr>
          <w:rFonts w:ascii="Times New Roman" w:hAnsi="Times New Roman" w:cs="Times New Roman"/>
          <w:lang w:val="ru-RU"/>
        </w:rPr>
        <w:t xml:space="preserve">функцията </w:t>
      </w:r>
      <w:r w:rsidRPr="00A013E1">
        <w:rPr>
          <w:rFonts w:ascii="Times New Roman" w:hAnsi="Times New Roman" w:cs="Times New Roman"/>
          <w:lang w:val="ru-RU"/>
        </w:rPr>
        <w:t>на вторичната бариера се постига чрез механична вентилация, осигуряваща постоянно отрицателно налягане спрямо съседните помещения.</w:t>
      </w:r>
    </w:p>
    <w:p w14:paraId="58EF5BD2" w14:textId="77777777" w:rsidR="00271FA2" w:rsidRPr="00A013E1" w:rsidRDefault="00D35E51" w:rsidP="004F52B6">
      <w:pPr>
        <w:pStyle w:val="Esann8let"/>
        <w:spacing w:before="0"/>
        <w:ind w:left="0" w:firstLine="0"/>
        <w:jc w:val="both"/>
        <w:rPr>
          <w:rFonts w:ascii="Times New Roman" w:hAnsi="Times New Roman" w:cs="Times New Roman"/>
          <w:lang w:val="ru-RU"/>
        </w:rPr>
      </w:pPr>
      <w:r w:rsidRPr="00A013E1">
        <w:rPr>
          <w:rFonts w:ascii="Times New Roman" w:hAnsi="Times New Roman" w:cs="Times New Roman"/>
          <w:lang w:val="ru-RU"/>
        </w:rPr>
        <w:t>3.1.1.11.4 Вентилационната система трябва да:</w:t>
      </w:r>
    </w:p>
    <w:p w14:paraId="71A2714F" w14:textId="77777777" w:rsidR="00271FA2" w:rsidRPr="00A013E1" w:rsidRDefault="00D35E51" w:rsidP="004F52B6">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а) гарантира достатъчен капацитет на вентилация, за да се гарантира, че брутният обем въздух вътре в пространството на горивната клетка се променя най-малко 30 пъти на час, и</w:t>
      </w:r>
    </w:p>
    <w:p w14:paraId="7FE1E4B9" w14:textId="77777777" w:rsidR="00271FA2" w:rsidRPr="00A013E1" w:rsidRDefault="00D35E51" w:rsidP="004F52B6">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б) е независима от всички други вентилационни системи на плавателното средство.</w:t>
      </w:r>
    </w:p>
    <w:p w14:paraId="18108552" w14:textId="77777777" w:rsidR="00271FA2" w:rsidRPr="00A013E1" w:rsidRDefault="00D35E51" w:rsidP="004F52B6">
      <w:pPr>
        <w:pStyle w:val="Esann8let"/>
        <w:spacing w:before="0"/>
        <w:ind w:left="993" w:hanging="993"/>
        <w:jc w:val="both"/>
        <w:rPr>
          <w:rFonts w:ascii="Times New Roman" w:hAnsi="Times New Roman" w:cs="Times New Roman"/>
          <w:lang w:val="ru-RU"/>
        </w:rPr>
      </w:pPr>
      <w:r w:rsidRPr="00A013E1">
        <w:rPr>
          <w:rFonts w:ascii="Times New Roman" w:hAnsi="Times New Roman" w:cs="Times New Roman"/>
          <w:lang w:val="ru-RU"/>
        </w:rPr>
        <w:t>3.1.1.11.5 В случай на изтичане на газ, водещо до концентрация над 20 % от долната граница на експлозивност (</w:t>
      </w:r>
      <w:r w:rsidRPr="00A013E1">
        <w:rPr>
          <w:rFonts w:ascii="Times New Roman" w:hAnsi="Times New Roman" w:cs="Times New Roman"/>
        </w:rPr>
        <w:t>LEL</w:t>
      </w:r>
      <w:r w:rsidRPr="00A013E1">
        <w:rPr>
          <w:rFonts w:ascii="Times New Roman" w:hAnsi="Times New Roman" w:cs="Times New Roman"/>
          <w:lang w:val="ru-RU"/>
        </w:rPr>
        <w:t>), трябва да се задейства оптична и акустична аларма в рулевата рубка или на всяко друго място с постоянен персонал.</w:t>
      </w:r>
    </w:p>
    <w:p w14:paraId="4CD754DC" w14:textId="77777777" w:rsidR="00271FA2" w:rsidRPr="00A013E1" w:rsidRDefault="00D35E51" w:rsidP="004F52B6">
      <w:pPr>
        <w:pStyle w:val="Esann8let"/>
        <w:spacing w:before="0"/>
        <w:ind w:left="993" w:hanging="993"/>
        <w:jc w:val="both"/>
        <w:rPr>
          <w:rFonts w:ascii="Times New Roman" w:hAnsi="Times New Roman" w:cs="Times New Roman"/>
          <w:lang w:val="ru-RU"/>
        </w:rPr>
      </w:pPr>
      <w:r w:rsidRPr="00A013E1">
        <w:rPr>
          <w:rFonts w:ascii="Times New Roman" w:hAnsi="Times New Roman" w:cs="Times New Roman"/>
          <w:lang w:val="ru-RU"/>
        </w:rPr>
        <w:t xml:space="preserve">3.1.1.11.6 В случай на изтичане на газ, което води до концентрация над 40 % от </w:t>
      </w:r>
      <w:r w:rsidRPr="00A013E1">
        <w:rPr>
          <w:rFonts w:ascii="Times New Roman" w:hAnsi="Times New Roman" w:cs="Times New Roman"/>
        </w:rPr>
        <w:t>LEL</w:t>
      </w:r>
      <w:r w:rsidRPr="00A013E1">
        <w:rPr>
          <w:rFonts w:ascii="Times New Roman" w:hAnsi="Times New Roman" w:cs="Times New Roman"/>
          <w:lang w:val="ru-RU"/>
        </w:rPr>
        <w:t xml:space="preserve"> или вентилационната система се повреди:</w:t>
      </w:r>
    </w:p>
    <w:p w14:paraId="7BDF4CFE" w14:textId="77777777" w:rsidR="00271FA2" w:rsidRPr="00A013E1" w:rsidRDefault="00D35E51" w:rsidP="004F52B6">
      <w:pPr>
        <w:pStyle w:val="Esann8let"/>
        <w:spacing w:before="0"/>
        <w:ind w:left="993" w:firstLine="0"/>
        <w:jc w:val="both"/>
        <w:rPr>
          <w:rFonts w:ascii="Times New Roman" w:hAnsi="Times New Roman" w:cs="Times New Roman"/>
          <w:lang w:val="ru-RU"/>
        </w:rPr>
      </w:pPr>
      <w:r w:rsidRPr="00A013E1">
        <w:rPr>
          <w:rFonts w:ascii="Times New Roman" w:hAnsi="Times New Roman" w:cs="Times New Roman"/>
          <w:lang w:val="ru-RU"/>
        </w:rPr>
        <w:t>а) подаването на гориво към съответното пространство за горивни клетки; и</w:t>
      </w:r>
    </w:p>
    <w:p w14:paraId="40999AA5" w14:textId="77777777" w:rsidR="00271FA2" w:rsidRPr="00A013E1" w:rsidRDefault="00D35E51" w:rsidP="004F52B6">
      <w:pPr>
        <w:pStyle w:val="Esann8let"/>
        <w:spacing w:before="0"/>
        <w:ind w:left="993" w:firstLine="0"/>
        <w:jc w:val="both"/>
        <w:rPr>
          <w:rFonts w:ascii="Times New Roman" w:hAnsi="Times New Roman" w:cs="Times New Roman"/>
          <w:lang w:val="ru-RU"/>
        </w:rPr>
      </w:pPr>
      <w:r w:rsidRPr="00A013E1">
        <w:rPr>
          <w:rFonts w:ascii="Times New Roman" w:hAnsi="Times New Roman" w:cs="Times New Roman"/>
          <w:lang w:val="ru-RU"/>
        </w:rPr>
        <w:t>б) компонентите на горивната клетка в съответното пространство за горивна клетка ще се изключи автоматично.</w:t>
      </w:r>
    </w:p>
    <w:p w14:paraId="5FCE74D8" w14:textId="77777777" w:rsidR="00271FA2" w:rsidRPr="00A013E1" w:rsidRDefault="00D35E51" w:rsidP="004F52B6">
      <w:pPr>
        <w:pStyle w:val="Esann8let"/>
        <w:spacing w:before="0"/>
        <w:ind w:left="0" w:firstLine="0"/>
        <w:jc w:val="both"/>
        <w:rPr>
          <w:rFonts w:ascii="Times New Roman" w:hAnsi="Times New Roman" w:cs="Times New Roman"/>
          <w:b/>
          <w:lang w:val="ru-RU"/>
        </w:rPr>
      </w:pPr>
      <w:r w:rsidRPr="00A013E1">
        <w:rPr>
          <w:rFonts w:ascii="Times New Roman" w:hAnsi="Times New Roman" w:cs="Times New Roman"/>
          <w:b/>
          <w:lang w:val="ru-RU"/>
        </w:rPr>
        <w:t>3.1.1.12 Изисквания за вентилирани помещения за горивни клетки</w:t>
      </w:r>
    </w:p>
    <w:p w14:paraId="0E65788F" w14:textId="77777777" w:rsidR="00271FA2" w:rsidRPr="00A013E1" w:rsidRDefault="00D35E51" w:rsidP="004F52B6">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3.1.1.12.1 Възможните опасни зони във вентилираните пространства на горивните клетки се класифицират в съответствие с член 10.04.</w:t>
      </w:r>
    </w:p>
    <w:p w14:paraId="65CEC39D" w14:textId="77777777" w:rsidR="00271FA2" w:rsidRPr="00A013E1" w:rsidRDefault="00D35E51" w:rsidP="004F52B6">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 xml:space="preserve">3.1.1.12.2 В съответствие с член 10.04 е разрешено само оборудване, подходящо за опасните зони, класифицирани в точка 3.1.1.12.1. Това се счита за изпълнено, ако оборудването отговаря на съответните разпоредби на серия Европейски стандарти </w:t>
      </w:r>
      <w:r w:rsidRPr="00A013E1">
        <w:rPr>
          <w:rFonts w:ascii="Times New Roman" w:hAnsi="Times New Roman" w:cs="Times New Roman"/>
        </w:rPr>
        <w:t>EN</w:t>
      </w:r>
      <w:r w:rsidRPr="00A013E1">
        <w:rPr>
          <w:rFonts w:ascii="Times New Roman" w:hAnsi="Times New Roman" w:cs="Times New Roman"/>
          <w:lang w:val="ru-RU"/>
        </w:rPr>
        <w:t xml:space="preserve"> 60079.</w:t>
      </w:r>
    </w:p>
    <w:p w14:paraId="48334AAE" w14:textId="77777777" w:rsidR="00271FA2" w:rsidRPr="00A013E1" w:rsidRDefault="00D35E51" w:rsidP="004F52B6">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3.1.1.12.3 Функцията на вторичната бариера се постига чрез механична вентилация, осигуряваща постоянно отрицателно налягане спрямо съседните помещения.</w:t>
      </w:r>
    </w:p>
    <w:p w14:paraId="72C4DD95" w14:textId="77777777" w:rsidR="00271FA2" w:rsidRPr="00A013E1" w:rsidRDefault="00D35E51" w:rsidP="004F52B6">
      <w:pPr>
        <w:pStyle w:val="Esann8let"/>
        <w:spacing w:before="0"/>
        <w:ind w:left="0" w:firstLine="0"/>
        <w:jc w:val="both"/>
        <w:rPr>
          <w:rFonts w:ascii="Times New Roman" w:hAnsi="Times New Roman" w:cs="Times New Roman"/>
          <w:lang w:val="ru-RU"/>
        </w:rPr>
      </w:pPr>
      <w:r w:rsidRPr="00A013E1">
        <w:rPr>
          <w:rFonts w:ascii="Times New Roman" w:hAnsi="Times New Roman" w:cs="Times New Roman"/>
          <w:lang w:val="ru-RU"/>
        </w:rPr>
        <w:t>3.1.1.12.4 Вентилационната система трябва да:</w:t>
      </w:r>
    </w:p>
    <w:p w14:paraId="05759E4F" w14:textId="47276CB0" w:rsidR="00271FA2" w:rsidRPr="00A013E1" w:rsidRDefault="00D35E51" w:rsidP="004F52B6">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lastRenderedPageBreak/>
        <w:t>а) гарантира достатъчен капацитет на вентилация, за да е сигурно, че брутният обем въздух вътре в пространството на горивната клетка се променя най-малко със скоростта, която е приета за изчисляването на опасната зона, посочена в точка 3.1.1.12.1. Това се счита за изпълнено, ако разреждането е определено в съответствие с член 10.04, точка 1, и</w:t>
      </w:r>
    </w:p>
    <w:p w14:paraId="605C3530" w14:textId="77777777" w:rsidR="00866293"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б) е независима от всички други вентилационни системи на плавателното средство.</w:t>
      </w:r>
    </w:p>
    <w:p w14:paraId="19533632" w14:textId="0A1EF2FB" w:rsidR="00271FA2" w:rsidRPr="00A013E1" w:rsidRDefault="00D35E51" w:rsidP="00866293">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 xml:space="preserve">3.1.1.12.5 В случай на изтичане на газ, което води до концентрация над 20 % от </w:t>
      </w:r>
      <w:r w:rsidRPr="00A013E1">
        <w:rPr>
          <w:rFonts w:ascii="Times New Roman" w:hAnsi="Times New Roman" w:cs="Times New Roman"/>
        </w:rPr>
        <w:t>LEL</w:t>
      </w:r>
      <w:r w:rsidRPr="00A013E1">
        <w:rPr>
          <w:rFonts w:ascii="Times New Roman" w:hAnsi="Times New Roman" w:cs="Times New Roman"/>
          <w:lang w:val="ru-RU"/>
        </w:rPr>
        <w:t>, трябва да се задейства оптична и акустична аларма в рулевата рубка или на всяко друго място с постоянен персонал.</w:t>
      </w:r>
    </w:p>
    <w:p w14:paraId="2852C8E6" w14:textId="77777777" w:rsidR="00271FA2" w:rsidRPr="00A013E1" w:rsidRDefault="00D35E51" w:rsidP="004F52B6">
      <w:pPr>
        <w:pStyle w:val="Esann8let"/>
        <w:spacing w:before="0"/>
        <w:ind w:left="993" w:hanging="993"/>
        <w:jc w:val="both"/>
        <w:rPr>
          <w:rFonts w:ascii="Times New Roman" w:hAnsi="Times New Roman" w:cs="Times New Roman"/>
          <w:lang w:val="ru-RU"/>
        </w:rPr>
      </w:pPr>
      <w:r w:rsidRPr="00A013E1">
        <w:rPr>
          <w:rFonts w:ascii="Times New Roman" w:hAnsi="Times New Roman" w:cs="Times New Roman"/>
          <w:lang w:val="ru-RU"/>
        </w:rPr>
        <w:t xml:space="preserve">3.1.1.12.6 В случай на изтичане на газ, което води до концентрация над 40 % от </w:t>
      </w:r>
      <w:r w:rsidRPr="00A013E1">
        <w:rPr>
          <w:rFonts w:ascii="Times New Roman" w:hAnsi="Times New Roman" w:cs="Times New Roman"/>
        </w:rPr>
        <w:t>LEL</w:t>
      </w:r>
      <w:r w:rsidRPr="00A013E1">
        <w:rPr>
          <w:rFonts w:ascii="Times New Roman" w:hAnsi="Times New Roman" w:cs="Times New Roman"/>
          <w:lang w:val="ru-RU"/>
        </w:rPr>
        <w:t xml:space="preserve"> или вентилационната система се повреди:</w:t>
      </w:r>
    </w:p>
    <w:p w14:paraId="0AF1E3E5" w14:textId="77777777" w:rsidR="00271FA2" w:rsidRPr="00A013E1" w:rsidRDefault="00D35E51" w:rsidP="004F52B6">
      <w:pPr>
        <w:pStyle w:val="Esann8let"/>
        <w:spacing w:before="0"/>
        <w:ind w:left="993" w:firstLine="0"/>
        <w:jc w:val="both"/>
        <w:rPr>
          <w:rFonts w:ascii="Times New Roman" w:hAnsi="Times New Roman" w:cs="Times New Roman"/>
          <w:lang w:val="ru-RU"/>
        </w:rPr>
      </w:pPr>
      <w:r w:rsidRPr="00A013E1">
        <w:rPr>
          <w:rFonts w:ascii="Times New Roman" w:hAnsi="Times New Roman" w:cs="Times New Roman"/>
          <w:lang w:val="ru-RU"/>
        </w:rPr>
        <w:t>а) подаването на гориво към съответното пространство за горивни клетки; и</w:t>
      </w:r>
    </w:p>
    <w:p w14:paraId="7CC06E7A" w14:textId="77777777" w:rsidR="00271FA2" w:rsidRPr="00A013E1" w:rsidRDefault="00D35E51" w:rsidP="004F52B6">
      <w:pPr>
        <w:pStyle w:val="Esann8let"/>
        <w:spacing w:before="0"/>
        <w:ind w:left="993" w:firstLine="0"/>
        <w:jc w:val="both"/>
        <w:rPr>
          <w:rFonts w:ascii="Times New Roman" w:hAnsi="Times New Roman" w:cs="Times New Roman"/>
          <w:lang w:val="ru-RU"/>
        </w:rPr>
      </w:pPr>
      <w:r w:rsidRPr="00A013E1">
        <w:rPr>
          <w:rFonts w:ascii="Times New Roman" w:hAnsi="Times New Roman" w:cs="Times New Roman"/>
          <w:lang w:val="ru-RU"/>
        </w:rPr>
        <w:t>б) компонентите на горивните клетки в съответното пространство за горивни клетки се изключват автоматично.</w:t>
      </w:r>
    </w:p>
    <w:p w14:paraId="7D5B378D" w14:textId="77777777" w:rsidR="00271FA2" w:rsidRPr="00A013E1" w:rsidRDefault="00D35E51" w:rsidP="00866293">
      <w:pPr>
        <w:pStyle w:val="Esann8let"/>
        <w:spacing w:before="0"/>
        <w:ind w:left="851" w:hanging="851"/>
        <w:jc w:val="both"/>
        <w:rPr>
          <w:rFonts w:ascii="Times New Roman" w:hAnsi="Times New Roman" w:cs="Times New Roman"/>
          <w:b/>
          <w:lang w:val="ru-RU"/>
        </w:rPr>
      </w:pPr>
      <w:r w:rsidRPr="00A013E1">
        <w:rPr>
          <w:rFonts w:ascii="Times New Roman" w:hAnsi="Times New Roman" w:cs="Times New Roman"/>
          <w:b/>
          <w:lang w:val="ru-RU"/>
        </w:rPr>
        <w:t>3.1.1.13 Специфични изисквания или дерогации за пространствата с горивни клетки на палубата</w:t>
      </w:r>
    </w:p>
    <w:p w14:paraId="2F6F1888" w14:textId="77777777" w:rsidR="00271FA2" w:rsidRPr="00A013E1" w:rsidRDefault="00D35E51" w:rsidP="00866293">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3.1.1.13.1 За помещенията с горивни клетки на палубата контролният орган може да разреши дерогация от точки 3.1.1.3 и 3.1.1.12.3, при условие че:</w:t>
      </w:r>
    </w:p>
    <w:p w14:paraId="540CDA12"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а) пространството за горивни клетки е разположено на открита палуба без непосредствено съседни помещения на същата палуба;</w:t>
      </w:r>
    </w:p>
    <w:p w14:paraId="0C16B504"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б) пространството на горивната клетка е естествено вентилирано, за да се гарантира, че брутният обем въздух вътре в пространството на горивната клетка се променя в съответствие с точка 3.1.1.12.4;</w:t>
      </w:r>
    </w:p>
    <w:p w14:paraId="5E2B1113"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в) оценката на риска съгласно член 30.04 не идентифицира никакви противопоказания.</w:t>
      </w:r>
    </w:p>
    <w:p w14:paraId="353AEFB4" w14:textId="77777777" w:rsidR="00271FA2" w:rsidRPr="00A013E1" w:rsidRDefault="00D35E51" w:rsidP="00866293">
      <w:pPr>
        <w:pStyle w:val="Esann8let"/>
        <w:spacing w:before="0"/>
        <w:ind w:left="851" w:hanging="851"/>
        <w:jc w:val="both"/>
        <w:rPr>
          <w:rFonts w:ascii="Times New Roman" w:hAnsi="Times New Roman" w:cs="Times New Roman"/>
          <w:b/>
          <w:lang w:val="ru-RU"/>
        </w:rPr>
      </w:pPr>
      <w:r w:rsidRPr="00A013E1">
        <w:rPr>
          <w:rFonts w:ascii="Times New Roman" w:hAnsi="Times New Roman" w:cs="Times New Roman"/>
          <w:b/>
          <w:lang w:val="ru-RU"/>
        </w:rPr>
        <w:t>3.1.1.14 Достъп до помещенията за горивни клетки</w:t>
      </w:r>
    </w:p>
    <w:p w14:paraId="310A9226"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3.1.1.14.1 Достъпът до помещенията за горивни клетки не трябва да бъде възможен, преди компонентите на горивните клетки вътре да бъдат безопасно изключени, изолирани от системата за подаване на гориво, източени от течове и вътрешната атмосфера да е потвърдена, че е без газ.</w:t>
      </w:r>
    </w:p>
    <w:p w14:paraId="7D9599C3"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Трябва да е възможно дистанционно управление и наблюдение извън пространството на горивните клетки на всички органи за управление и всички параметри, необходими за безопасна работа на системата с горивни клетки и освобождаване на газ от пространството на горивните клетки.</w:t>
      </w:r>
    </w:p>
    <w:p w14:paraId="6F38C57F" w14:textId="77777777" w:rsidR="00271FA2" w:rsidRPr="00A013E1" w:rsidRDefault="00D35E51" w:rsidP="00866293">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3.1.1.14.2 Отворите на пространството за горивни клетки трябва да бъдат оборудвани с блокировка, предотвратяваща работата на системата за горивни клетки, когато пространството за горивни клетки е отворено.</w:t>
      </w:r>
    </w:p>
    <w:p w14:paraId="6FFD9C7C" w14:textId="77777777" w:rsidR="00271FA2" w:rsidRPr="00A013E1" w:rsidRDefault="00D35E51" w:rsidP="00866293">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3.1.1.14.3 Вратите към отделенията за горивни клетки трябва да носят отвън символа, съответстващ на фигура 1 в Приложение 4 („Забранено влизането на неоторизирани лица“), както и символа за конкретно гориво в съответствие с член 30.06.</w:t>
      </w:r>
    </w:p>
    <w:p w14:paraId="6F692AEB" w14:textId="77777777" w:rsidR="00271FA2" w:rsidRPr="00A013E1" w:rsidRDefault="00D35E51" w:rsidP="00866293">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3.1.1.14.4 За целите на влизане в помещенията с инертни горивни клетки трябва да е възможно инертната атмосфера в пространството на горивните клетки да бъде заменена с въздух, който е безопасен за дишане. Извън пространството на горивните клетки трябва да бъде указано дали въздухът е безопасен за дишане.</w:t>
      </w:r>
    </w:p>
    <w:p w14:paraId="06671C40" w14:textId="77777777" w:rsidR="00866293" w:rsidRPr="00A013E1" w:rsidRDefault="00D35E51" w:rsidP="00866293">
      <w:pPr>
        <w:pStyle w:val="Esann8let"/>
        <w:spacing w:before="0"/>
        <w:ind w:left="1440" w:hanging="1440"/>
        <w:jc w:val="both"/>
        <w:rPr>
          <w:rFonts w:ascii="Times New Roman" w:hAnsi="Times New Roman" w:cs="Times New Roman"/>
          <w:lang w:val="ru-RU"/>
        </w:rPr>
      </w:pPr>
      <w:r w:rsidRPr="00A013E1">
        <w:rPr>
          <w:rFonts w:ascii="Times New Roman" w:hAnsi="Times New Roman" w:cs="Times New Roman"/>
          <w:lang w:val="ru-RU"/>
        </w:rPr>
        <w:t xml:space="preserve">3.1.1.14.5 Контролният орган може да разреши дерогация от точка 3.1.1.14.1, при </w:t>
      </w:r>
      <w:r w:rsidR="00866293" w:rsidRPr="00A013E1">
        <w:rPr>
          <w:rFonts w:ascii="Times New Roman" w:hAnsi="Times New Roman" w:cs="Times New Roman"/>
          <w:lang w:val="ru-RU"/>
        </w:rPr>
        <w:t>условие</w:t>
      </w:r>
    </w:p>
    <w:p w14:paraId="30A06C8A" w14:textId="359DEBAD" w:rsidR="00271FA2" w:rsidRPr="00A013E1" w:rsidRDefault="00D35E51" w:rsidP="00866293">
      <w:pPr>
        <w:pStyle w:val="Esann8let"/>
        <w:spacing w:before="0"/>
        <w:ind w:left="1440" w:hanging="1440"/>
        <w:jc w:val="both"/>
        <w:rPr>
          <w:rFonts w:ascii="Times New Roman" w:hAnsi="Times New Roman" w:cs="Times New Roman"/>
          <w:lang w:val="ru-RU"/>
        </w:rPr>
      </w:pPr>
      <w:r w:rsidRPr="00A013E1">
        <w:rPr>
          <w:rFonts w:ascii="Times New Roman" w:hAnsi="Times New Roman" w:cs="Times New Roman"/>
          <w:lang w:val="ru-RU"/>
        </w:rPr>
        <w:t>че:</w:t>
      </w:r>
    </w:p>
    <w:p w14:paraId="1570A4A8"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lastRenderedPageBreak/>
        <w:t>а) отворът на пространството за горивни клетки води директно към открита палуба;</w:t>
      </w:r>
    </w:p>
    <w:p w14:paraId="1D696F31"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б) отварянето на пространството на горивната клетка е през въздушен шлюз; или</w:t>
      </w:r>
    </w:p>
    <w:p w14:paraId="70DB5A14"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в) пространството за горивни клетки се счита за неопасно в съответствие с точка 3.1.1.12.1.</w:t>
      </w:r>
    </w:p>
    <w:p w14:paraId="2A1BA2B5" w14:textId="77777777" w:rsidR="00271FA2" w:rsidRPr="00A013E1" w:rsidRDefault="00D35E51" w:rsidP="00866293">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3.1.1.14.6 За безопасна поддръжка трябва да е възможно компонентите на горивните клетки да са:</w:t>
      </w:r>
    </w:p>
    <w:p w14:paraId="013DD3E6"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а) изолирани от системата за подаване на гориво; и</w:t>
      </w:r>
    </w:p>
    <w:p w14:paraId="3BF6BF60" w14:textId="77777777" w:rsidR="00271FA2" w:rsidRPr="00A013E1" w:rsidRDefault="00D35E51" w:rsidP="00866293">
      <w:pPr>
        <w:pStyle w:val="Esann8let"/>
        <w:spacing w:before="0"/>
        <w:ind w:left="851" w:firstLine="0"/>
        <w:jc w:val="both"/>
        <w:rPr>
          <w:rFonts w:ascii="Times New Roman" w:hAnsi="Times New Roman" w:cs="Times New Roman"/>
          <w:lang w:val="ru-RU"/>
        </w:rPr>
      </w:pPr>
      <w:r w:rsidRPr="00A013E1">
        <w:rPr>
          <w:rFonts w:ascii="Times New Roman" w:hAnsi="Times New Roman" w:cs="Times New Roman"/>
          <w:lang w:val="ru-RU"/>
        </w:rPr>
        <w:t>б) източени и прочистени от гориво.</w:t>
      </w:r>
    </w:p>
    <w:p w14:paraId="04188EC9" w14:textId="77777777" w:rsidR="00271FA2" w:rsidRPr="00A013E1" w:rsidRDefault="00D35E51" w:rsidP="004F52B6">
      <w:pPr>
        <w:pStyle w:val="Esann8let"/>
        <w:spacing w:before="0"/>
        <w:ind w:left="851" w:hanging="851"/>
        <w:jc w:val="both"/>
        <w:rPr>
          <w:rFonts w:ascii="Times New Roman" w:hAnsi="Times New Roman" w:cs="Times New Roman"/>
          <w:lang w:val="ru-RU"/>
        </w:rPr>
      </w:pPr>
      <w:r w:rsidRPr="00A013E1">
        <w:rPr>
          <w:rFonts w:ascii="Times New Roman" w:hAnsi="Times New Roman" w:cs="Times New Roman"/>
          <w:lang w:val="ru-RU"/>
        </w:rPr>
        <w:t>3.1.1.14.7 Системите с горивни клетки и техните компоненти трябва да бъдат инсталирани и монтирани по такъв начин, че да бъдат подходящо достъпни за работа и поддръжка и да не застрашават лицата, натоварени с тези задачи.</w:t>
      </w:r>
    </w:p>
    <w:p w14:paraId="3D2A69D8" w14:textId="77777777" w:rsidR="00271FA2" w:rsidRPr="00A013E1" w:rsidRDefault="00D35E51" w:rsidP="004F52B6">
      <w:pPr>
        <w:pStyle w:val="Esann8let"/>
        <w:spacing w:before="0"/>
        <w:ind w:left="0" w:firstLine="0"/>
        <w:jc w:val="both"/>
        <w:rPr>
          <w:rFonts w:ascii="Times New Roman" w:hAnsi="Times New Roman" w:cs="Times New Roman"/>
          <w:b/>
          <w:lang w:val="ru-RU"/>
        </w:rPr>
      </w:pPr>
      <w:r w:rsidRPr="00A013E1">
        <w:rPr>
          <w:rFonts w:ascii="Times New Roman" w:hAnsi="Times New Roman" w:cs="Times New Roman"/>
          <w:b/>
          <w:lang w:val="ru-RU"/>
        </w:rPr>
        <w:t>3.1.2 Горивни тръбопроводни системи в пространствата на горивните клетки</w:t>
      </w:r>
    </w:p>
    <w:p w14:paraId="1F2B5F7C" w14:textId="77777777"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3.1.2.1 Тръбопроводите, използвани за доставка на първично гориво, трябва да отговарят на съответните изисквания на Приложение 8, раздел </w:t>
      </w:r>
      <w:r w:rsidRPr="00A013E1">
        <w:rPr>
          <w:rFonts w:ascii="Times New Roman" w:hAnsi="Times New Roman" w:cs="Times New Roman"/>
        </w:rPr>
        <w:t>II</w:t>
      </w:r>
      <w:r w:rsidRPr="00A013E1">
        <w:rPr>
          <w:rFonts w:ascii="Times New Roman" w:hAnsi="Times New Roman" w:cs="Times New Roman"/>
          <w:lang w:val="ru-RU"/>
        </w:rPr>
        <w:t>.</w:t>
      </w:r>
    </w:p>
    <w:p w14:paraId="5DFACD9E" w14:textId="56A97B15"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3.1.2.2</w:t>
      </w:r>
      <w:r w:rsidR="00866293" w:rsidRPr="00A013E1">
        <w:rPr>
          <w:rFonts w:ascii="Times New Roman" w:hAnsi="Times New Roman" w:cs="Times New Roman"/>
          <w:lang w:val="ru-RU"/>
        </w:rPr>
        <w:t xml:space="preserve"> </w:t>
      </w:r>
      <w:r w:rsidRPr="00A013E1">
        <w:rPr>
          <w:rFonts w:ascii="Times New Roman" w:hAnsi="Times New Roman" w:cs="Times New Roman"/>
          <w:lang w:val="ru-RU"/>
        </w:rPr>
        <w:t>Тръбопроводите за гориво трябва да бъдат защитени срещу опасности, произтичащи от електростатични заряди.</w:t>
      </w:r>
    </w:p>
    <w:p w14:paraId="79AF21BA" w14:textId="77777777"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3.1.2.3 Максималното работно налягане за тръбопроводи вътре в пространствата с горивни клетки не трябва да надвишава 1000 </w:t>
      </w:r>
      <w:r w:rsidRPr="00A013E1">
        <w:rPr>
          <w:rFonts w:ascii="Times New Roman" w:hAnsi="Times New Roman" w:cs="Times New Roman"/>
        </w:rPr>
        <w:t>kPa</w:t>
      </w:r>
      <w:r w:rsidRPr="00A013E1">
        <w:rPr>
          <w:rFonts w:ascii="Times New Roman" w:hAnsi="Times New Roman" w:cs="Times New Roman"/>
          <w:lang w:val="ru-RU"/>
        </w:rPr>
        <w:t xml:space="preserve"> (манометрична стойност). Контролният орган може да разреши по-високо работно налягане въз основа на оценката на риска съгласно член 30.04.</w:t>
      </w:r>
    </w:p>
    <w:p w14:paraId="4EADDC06" w14:textId="77777777" w:rsidR="00487866" w:rsidRPr="00A013E1" w:rsidRDefault="00D35E51" w:rsidP="004F52B6">
      <w:pPr>
        <w:jc w:val="both"/>
        <w:rPr>
          <w:rFonts w:ascii="Times New Roman" w:hAnsi="Times New Roman" w:cs="Times New Roman"/>
          <w:b/>
          <w:lang w:val="ru-RU"/>
        </w:rPr>
      </w:pPr>
      <w:r w:rsidRPr="00A013E1">
        <w:rPr>
          <w:rFonts w:ascii="Times New Roman" w:hAnsi="Times New Roman" w:cs="Times New Roman"/>
          <w:b/>
          <w:lang w:val="ru-RU"/>
        </w:rPr>
        <w:t>3.1.3.</w:t>
      </w:r>
      <w:r w:rsidR="00487866" w:rsidRPr="00A013E1">
        <w:rPr>
          <w:rFonts w:ascii="Times New Roman" w:hAnsi="Times New Roman" w:cs="Times New Roman"/>
          <w:b/>
          <w:lang w:val="ru-RU"/>
        </w:rPr>
        <w:t xml:space="preserve"> Реформатор</w:t>
      </w:r>
    </w:p>
    <w:p w14:paraId="7EDEAAF7" w14:textId="77777777" w:rsidR="00487866" w:rsidRPr="00A013E1" w:rsidRDefault="00487866" w:rsidP="004F52B6">
      <w:pPr>
        <w:ind w:left="709" w:hanging="709"/>
        <w:jc w:val="both"/>
        <w:rPr>
          <w:rFonts w:ascii="Times New Roman" w:hAnsi="Times New Roman" w:cs="Times New Roman"/>
          <w:lang w:val="ru-RU"/>
        </w:rPr>
      </w:pPr>
      <w:r w:rsidRPr="00A013E1">
        <w:rPr>
          <w:rFonts w:ascii="Times New Roman" w:hAnsi="Times New Roman" w:cs="Times New Roman"/>
          <w:lang w:val="ru-RU"/>
        </w:rPr>
        <w:t>3.1.3.1 Обемът на горивото в реформатора трябва да бъде ограничен до обема, необходим за стабилна непрекъсната работа. Съхранението на гориво в рефорнатора не е разрешено.</w:t>
      </w:r>
    </w:p>
    <w:p w14:paraId="3F51CF4D" w14:textId="280A6B3E" w:rsidR="00487866" w:rsidRPr="00A013E1" w:rsidRDefault="00487866" w:rsidP="004F52B6">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3.1.3.2 Реформаторът с проектно налягане над 50 </w:t>
      </w:r>
      <w:r w:rsidRPr="00A013E1">
        <w:rPr>
          <w:rFonts w:ascii="Times New Roman" w:hAnsi="Times New Roman" w:cs="Times New Roman"/>
        </w:rPr>
        <w:t>kPa</w:t>
      </w:r>
      <w:r w:rsidRPr="00A013E1">
        <w:rPr>
          <w:rFonts w:ascii="Times New Roman" w:hAnsi="Times New Roman" w:cs="Times New Roman"/>
          <w:lang w:val="ru-RU"/>
        </w:rPr>
        <w:t xml:space="preserve"> трябва да отговаря на изискванията на </w:t>
      </w:r>
      <w:r w:rsidR="007E3E63" w:rsidRPr="00A013E1">
        <w:rPr>
          <w:rFonts w:ascii="Times New Roman" w:hAnsi="Times New Roman" w:cs="Times New Roman"/>
          <w:lang w:val="ru-RU"/>
        </w:rPr>
        <w:t>ч</w:t>
      </w:r>
      <w:r w:rsidRPr="00A013E1">
        <w:rPr>
          <w:rFonts w:ascii="Times New Roman" w:hAnsi="Times New Roman" w:cs="Times New Roman"/>
          <w:lang w:val="ru-RU"/>
        </w:rPr>
        <w:t xml:space="preserve">лен 8.01, </w:t>
      </w:r>
      <w:r w:rsidR="0097711D" w:rsidRPr="00A013E1">
        <w:rPr>
          <w:rFonts w:ascii="Times New Roman" w:hAnsi="Times New Roman" w:cs="Times New Roman"/>
          <w:lang w:val="ru-RU"/>
        </w:rPr>
        <w:t>т.</w:t>
      </w:r>
      <w:r w:rsidRPr="00A013E1">
        <w:rPr>
          <w:rFonts w:ascii="Times New Roman" w:hAnsi="Times New Roman" w:cs="Times New Roman"/>
          <w:lang w:val="ru-RU"/>
        </w:rPr>
        <w:t xml:space="preserve"> 2.</w:t>
      </w:r>
    </w:p>
    <w:p w14:paraId="408A8355" w14:textId="77777777" w:rsidR="00487866" w:rsidRPr="00A013E1" w:rsidRDefault="00487866" w:rsidP="004F52B6">
      <w:pPr>
        <w:ind w:left="709" w:hanging="709"/>
        <w:jc w:val="both"/>
        <w:rPr>
          <w:rFonts w:ascii="Times New Roman" w:hAnsi="Times New Roman" w:cs="Times New Roman"/>
          <w:lang w:val="ru-RU"/>
        </w:rPr>
      </w:pPr>
      <w:r w:rsidRPr="00A013E1">
        <w:rPr>
          <w:rFonts w:ascii="Times New Roman" w:hAnsi="Times New Roman" w:cs="Times New Roman"/>
          <w:lang w:val="ru-RU"/>
        </w:rPr>
        <w:t>3.1.3.3 Неволно натрупване на запалими смеси в горивните системи и окислителните агрегати на реформатора трябва да се избягва.</w:t>
      </w:r>
    </w:p>
    <w:p w14:paraId="1CDD1CDD" w14:textId="77777777" w:rsidR="004A7400" w:rsidRPr="00A013E1" w:rsidRDefault="004A7400" w:rsidP="004F52B6">
      <w:pPr>
        <w:ind w:left="709" w:hanging="709"/>
        <w:jc w:val="both"/>
        <w:rPr>
          <w:rFonts w:ascii="Times New Roman" w:hAnsi="Times New Roman" w:cs="Times New Roman"/>
          <w:lang w:val="ru-RU"/>
        </w:rPr>
      </w:pPr>
      <w:r w:rsidRPr="00A013E1">
        <w:rPr>
          <w:rFonts w:ascii="Times New Roman" w:hAnsi="Times New Roman" w:cs="Times New Roman"/>
          <w:lang w:val="ru-RU"/>
        </w:rPr>
        <w:t>3.1.3.4 Трябва да се инсталира автоматична система за управление на горелката, за да се осигури безопасно стартиране, работа и изключване на горивната система на реформатора.</w:t>
      </w:r>
    </w:p>
    <w:p w14:paraId="69A8FA9D" w14:textId="77777777" w:rsidR="004A7400" w:rsidRPr="00A013E1" w:rsidRDefault="004A7400" w:rsidP="004F52B6">
      <w:pPr>
        <w:jc w:val="both"/>
        <w:rPr>
          <w:rFonts w:ascii="Times New Roman" w:hAnsi="Times New Roman" w:cs="Times New Roman"/>
          <w:lang w:val="ru-RU"/>
        </w:rPr>
      </w:pPr>
      <w:r w:rsidRPr="00A013E1">
        <w:rPr>
          <w:rFonts w:ascii="Times New Roman" w:hAnsi="Times New Roman" w:cs="Times New Roman"/>
          <w:lang w:val="ru-RU"/>
        </w:rPr>
        <w:t>3.1.3.5 Следва да се следи пълното изгаряне на газовете в горелката.</w:t>
      </w:r>
    </w:p>
    <w:p w14:paraId="12A338F2" w14:textId="77777777" w:rsidR="004A7400" w:rsidRPr="00A013E1" w:rsidRDefault="004A7400" w:rsidP="004F52B6">
      <w:pPr>
        <w:ind w:left="709" w:hanging="709"/>
        <w:jc w:val="both"/>
        <w:rPr>
          <w:rFonts w:ascii="Times New Roman" w:hAnsi="Times New Roman" w:cs="Times New Roman"/>
          <w:lang w:val="ru-RU"/>
        </w:rPr>
      </w:pPr>
      <w:r w:rsidRPr="00A013E1">
        <w:rPr>
          <w:rFonts w:ascii="Times New Roman" w:hAnsi="Times New Roman" w:cs="Times New Roman"/>
          <w:lang w:val="ru-RU"/>
        </w:rPr>
        <w:t>3.1.3.6 Повърхностите, за които има вероятност да достигнат високи температури, трябва да бъдат снабдени с изолация или защита срещу контакт.</w:t>
      </w:r>
    </w:p>
    <w:p w14:paraId="1ACC6293" w14:textId="77777777" w:rsidR="00271FA2" w:rsidRPr="00A013E1" w:rsidRDefault="00D35E51" w:rsidP="004F52B6">
      <w:pPr>
        <w:pStyle w:val="Esann8let"/>
        <w:spacing w:before="0"/>
        <w:ind w:left="709" w:hanging="709"/>
        <w:jc w:val="both"/>
        <w:rPr>
          <w:rFonts w:ascii="Times New Roman" w:hAnsi="Times New Roman" w:cs="Times New Roman"/>
          <w:b/>
          <w:lang w:val="ru-RU"/>
        </w:rPr>
      </w:pPr>
      <w:r w:rsidRPr="00A013E1">
        <w:rPr>
          <w:rFonts w:ascii="Times New Roman" w:hAnsi="Times New Roman" w:cs="Times New Roman"/>
          <w:b/>
          <w:lang w:val="ru-RU"/>
        </w:rPr>
        <w:t>3.1.4 Буферни съдове</w:t>
      </w:r>
    </w:p>
    <w:p w14:paraId="2DEE5FE5" w14:textId="77777777"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3.1.4.1 Буферни съдове за гориво в системи с горивни клетки, ако има такива, могат да се използват само за осигуряване на свързано с процеса гориво и временни резерви, но не и като допълнение.</w:t>
      </w:r>
    </w:p>
    <w:p w14:paraId="2CE19A67" w14:textId="77777777"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3.1.4.2 Буферните съдове трябва да бъдат разположени близо до горивните клетки и да отговарят на изискванията на точка 3.1.2.</w:t>
      </w:r>
    </w:p>
    <w:p w14:paraId="65ED1C76" w14:textId="77777777" w:rsidR="00271FA2" w:rsidRPr="00A013E1" w:rsidRDefault="00D35E51" w:rsidP="004F52B6">
      <w:pPr>
        <w:pStyle w:val="Esann8let"/>
        <w:spacing w:before="0"/>
        <w:ind w:left="0" w:firstLine="0"/>
        <w:jc w:val="both"/>
        <w:rPr>
          <w:rFonts w:ascii="Times New Roman" w:hAnsi="Times New Roman" w:cs="Times New Roman"/>
          <w:b/>
          <w:lang w:val="ru-RU"/>
        </w:rPr>
      </w:pPr>
      <w:r w:rsidRPr="00A013E1">
        <w:rPr>
          <w:rFonts w:ascii="Times New Roman" w:hAnsi="Times New Roman" w:cs="Times New Roman"/>
          <w:b/>
          <w:lang w:val="ru-RU"/>
        </w:rPr>
        <w:t>3.1.5 Системи с горивни клетки</w:t>
      </w:r>
    </w:p>
    <w:p w14:paraId="5469B9CD" w14:textId="77777777"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3.1.5.1 Системите с горивни клетки трябва да бъдат конструирани и тествани в съответствие с </w:t>
      </w:r>
      <w:r w:rsidR="00DD41AC" w:rsidRPr="00A013E1">
        <w:rPr>
          <w:rFonts w:ascii="Times New Roman" w:hAnsi="Times New Roman" w:cs="Times New Roman"/>
          <w:lang w:val="ru-RU"/>
        </w:rPr>
        <w:t>приложимите стандарти от серия М</w:t>
      </w:r>
      <w:r w:rsidRPr="00A013E1">
        <w:rPr>
          <w:rFonts w:ascii="Times New Roman" w:hAnsi="Times New Roman" w:cs="Times New Roman"/>
          <w:lang w:val="ru-RU"/>
        </w:rPr>
        <w:t xml:space="preserve">еждународни стандарти </w:t>
      </w:r>
      <w:r w:rsidRPr="00A013E1">
        <w:rPr>
          <w:rFonts w:ascii="Times New Roman" w:hAnsi="Times New Roman" w:cs="Times New Roman"/>
        </w:rPr>
        <w:t>IEC</w:t>
      </w:r>
      <w:r w:rsidRPr="00A013E1">
        <w:rPr>
          <w:rFonts w:ascii="Times New Roman" w:hAnsi="Times New Roman" w:cs="Times New Roman"/>
          <w:lang w:val="ru-RU"/>
        </w:rPr>
        <w:t xml:space="preserve"> 62282 или еквивалентни стандарти.</w:t>
      </w:r>
    </w:p>
    <w:p w14:paraId="7709CCA1" w14:textId="77777777"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3.1.5.2 Материалите, използвани за системите с горивни клетки, трябва да са подходящи за предвиденото приложение. Това се счита за изпълнено, когато материалите отговарят на:</w:t>
      </w:r>
    </w:p>
    <w:p w14:paraId="4DFC308D" w14:textId="77777777" w:rsidR="00271FA2" w:rsidRPr="00A013E1" w:rsidRDefault="0004360C" w:rsidP="004F52B6">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lastRenderedPageBreak/>
        <w:t>а) М</w:t>
      </w:r>
      <w:r w:rsidR="00D35E51" w:rsidRPr="00A013E1">
        <w:rPr>
          <w:rFonts w:ascii="Times New Roman" w:hAnsi="Times New Roman" w:cs="Times New Roman"/>
          <w:lang w:val="ru-RU"/>
        </w:rPr>
        <w:t xml:space="preserve">еждународен стандарт </w:t>
      </w:r>
      <w:r w:rsidR="00D35E51" w:rsidRPr="00A013E1">
        <w:rPr>
          <w:rFonts w:ascii="Times New Roman" w:hAnsi="Times New Roman" w:cs="Times New Roman"/>
        </w:rPr>
        <w:t>IEC</w:t>
      </w:r>
      <w:r w:rsidR="00D35E51" w:rsidRPr="00A013E1">
        <w:rPr>
          <w:rFonts w:ascii="Times New Roman" w:hAnsi="Times New Roman" w:cs="Times New Roman"/>
          <w:lang w:val="ru-RU"/>
        </w:rPr>
        <w:t xml:space="preserve"> 62282-3-100: 2019; или</w:t>
      </w:r>
    </w:p>
    <w:p w14:paraId="5EDF78FF" w14:textId="77777777" w:rsidR="00271FA2" w:rsidRPr="00A013E1" w:rsidRDefault="00D35E51" w:rsidP="004F52B6">
      <w:pPr>
        <w:pStyle w:val="Esann8let"/>
        <w:spacing w:before="0"/>
        <w:ind w:left="0" w:firstLine="709"/>
        <w:jc w:val="both"/>
        <w:rPr>
          <w:rFonts w:ascii="Times New Roman" w:hAnsi="Times New Roman" w:cs="Times New Roman"/>
          <w:lang w:val="ru-RU"/>
        </w:rPr>
      </w:pPr>
      <w:r w:rsidRPr="00A013E1">
        <w:rPr>
          <w:rFonts w:ascii="Times New Roman" w:hAnsi="Times New Roman" w:cs="Times New Roman"/>
          <w:lang w:val="ru-RU"/>
        </w:rPr>
        <w:t>б) еквивалентен регламент или стандарт, признат от една от държавите членки.</w:t>
      </w:r>
    </w:p>
    <w:p w14:paraId="3E31BE6E" w14:textId="77777777" w:rsidR="00271FA2" w:rsidRPr="00A013E1" w:rsidRDefault="00D35E51" w:rsidP="004F52B6">
      <w:pPr>
        <w:pStyle w:val="Esann8let"/>
        <w:spacing w:before="0"/>
        <w:ind w:left="0" w:firstLine="0"/>
        <w:jc w:val="both"/>
        <w:rPr>
          <w:rFonts w:ascii="Times New Roman" w:hAnsi="Times New Roman" w:cs="Times New Roman"/>
          <w:b/>
          <w:lang w:val="ru-RU"/>
        </w:rPr>
      </w:pPr>
      <w:r w:rsidRPr="00A013E1">
        <w:rPr>
          <w:rFonts w:ascii="Times New Roman" w:hAnsi="Times New Roman" w:cs="Times New Roman"/>
          <w:b/>
          <w:lang w:val="ru-RU"/>
        </w:rPr>
        <w:t>3.1.6 Вентилационни системи</w:t>
      </w:r>
    </w:p>
    <w:p w14:paraId="15635C1A" w14:textId="77777777"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3.1.6.1 Вентилаторите, използвани за вентилация на опасни зони, трябва да бъдат от сертифициран безопасен тип.</w:t>
      </w:r>
    </w:p>
    <w:p w14:paraId="1FD118A1" w14:textId="77777777"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3.1.6.2 Вентилаторите, задвижващи електрически двигател, трябва да отговарят на изискваната защита от експлозия в зоната, където са инсталирани.</w:t>
      </w:r>
    </w:p>
    <w:p w14:paraId="33AAA165" w14:textId="77777777" w:rsidR="00271FA2" w:rsidRPr="00A013E1" w:rsidRDefault="00D35E51" w:rsidP="004F52B6">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3.1.6.3 Трябва да се задейства оптична и звукова аларма в рулевата рубка или на друго място с постоянен персонал в случай на загуба на необходимия вентилационен капацитет.</w:t>
      </w:r>
    </w:p>
    <w:p w14:paraId="33FE6F6B"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3.1.6.4 Най-малко два вентилатора трябва да бъдат инсталирани за вентилация на опасни зони, за да се гарантира 100 % от необходимия вентилационен капацитет, ако един вентилатор се повреди. Захранването от аварийния източник на захранване също трябва да позволява на вентилационната система да осигурява 100% от необходимия вентилационен капацитет.</w:t>
      </w:r>
    </w:p>
    <w:p w14:paraId="4305198A" w14:textId="02E173A6"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3.1.6.5 Въздухът за вентилация</w:t>
      </w:r>
      <w:r w:rsidR="00FF24C5" w:rsidRPr="00A013E1">
        <w:rPr>
          <w:rFonts w:ascii="Times New Roman" w:hAnsi="Times New Roman" w:cs="Times New Roman"/>
          <w:lang w:val="ru-RU"/>
        </w:rPr>
        <w:t xml:space="preserve"> на опасните пространства</w:t>
      </w:r>
      <w:r w:rsidRPr="00A013E1">
        <w:rPr>
          <w:rFonts w:ascii="Times New Roman" w:hAnsi="Times New Roman" w:cs="Times New Roman"/>
          <w:lang w:val="ru-RU"/>
        </w:rPr>
        <w:t xml:space="preserve"> трябва да се взема от неопасни зони.</w:t>
      </w:r>
      <w:r w:rsidR="00FF24C5" w:rsidRPr="00A013E1">
        <w:rPr>
          <w:rFonts w:ascii="Times New Roman" w:hAnsi="Times New Roman" w:cs="Times New Roman"/>
          <w:lang w:val="ru-RU"/>
        </w:rPr>
        <w:t xml:space="preserve"> </w:t>
      </w:r>
    </w:p>
    <w:p w14:paraId="35B1896B" w14:textId="657804DB"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3.1.6.6 </w:t>
      </w:r>
      <w:r w:rsidR="00CE2836" w:rsidRPr="00A013E1">
        <w:rPr>
          <w:rFonts w:ascii="Times New Roman" w:hAnsi="Times New Roman" w:cs="Times New Roman"/>
          <w:lang w:val="ru-RU"/>
        </w:rPr>
        <w:t xml:space="preserve">Въздухът за вентилация на всмукателния поток от неопасни зони трябва да се взема от неопасни зони, разположени на най-малко 1,50 м от границите на </w:t>
      </w:r>
      <w:r w:rsidR="00924C3D" w:rsidRPr="00A013E1">
        <w:rPr>
          <w:rFonts w:ascii="Times New Roman" w:hAnsi="Times New Roman" w:cs="Times New Roman"/>
          <w:lang w:val="ru-RU"/>
        </w:rPr>
        <w:t xml:space="preserve"> </w:t>
      </w:r>
      <w:r w:rsidR="00CE2836" w:rsidRPr="00A013E1">
        <w:rPr>
          <w:rFonts w:ascii="Times New Roman" w:hAnsi="Times New Roman" w:cs="Times New Roman"/>
          <w:lang w:val="ru-RU"/>
        </w:rPr>
        <w:t>опасна зона.</w:t>
      </w:r>
    </w:p>
    <w:p w14:paraId="76F18FE1" w14:textId="4D00AC13"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3.1.6.7 Когато входящият канал преминава през опасно помещение, каналът трябва да има свръхналягане спрямо това помещение. Не се изисква свръхналягане, ако е гарантирано, че газовете няма да изтекат в канала</w:t>
      </w:r>
    </w:p>
    <w:p w14:paraId="2C29ABEB" w14:textId="2DD62706"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3.1.6.8 Отворите за изпускане на въздух от опасни зони трябва да бъдат разположени на открито място, което има същия или по-</w:t>
      </w:r>
      <w:r w:rsidR="00AB4B41" w:rsidRPr="00A013E1">
        <w:rPr>
          <w:rFonts w:ascii="Times New Roman" w:hAnsi="Times New Roman" w:cs="Times New Roman"/>
          <w:lang w:val="ru-RU"/>
        </w:rPr>
        <w:t xml:space="preserve">малък </w:t>
      </w:r>
      <w:r w:rsidRPr="00A013E1">
        <w:rPr>
          <w:rFonts w:ascii="Times New Roman" w:hAnsi="Times New Roman" w:cs="Times New Roman"/>
          <w:lang w:val="ru-RU"/>
        </w:rPr>
        <w:t>риск от опасност, отколкото вентилираното помещение.</w:t>
      </w:r>
    </w:p>
    <w:p w14:paraId="55B50F8A" w14:textId="2AC6506E"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3.1.6.9 Отворите за изпускане на въздух от неопасни зони трябва да бъдат разположени извън </w:t>
      </w:r>
      <w:r w:rsidR="00373CCA" w:rsidRPr="00A013E1">
        <w:rPr>
          <w:rFonts w:ascii="Times New Roman" w:hAnsi="Times New Roman" w:cs="Times New Roman"/>
          <w:lang w:val="ru-RU"/>
        </w:rPr>
        <w:t xml:space="preserve">опасна </w:t>
      </w:r>
      <w:r w:rsidR="00D72929" w:rsidRPr="00A013E1">
        <w:rPr>
          <w:rFonts w:ascii="Times New Roman" w:hAnsi="Times New Roman" w:cs="Times New Roman"/>
          <w:lang w:val="ru-RU"/>
        </w:rPr>
        <w:t xml:space="preserve"> </w:t>
      </w:r>
      <w:r w:rsidR="00373CCA" w:rsidRPr="00A013E1">
        <w:rPr>
          <w:rFonts w:ascii="Times New Roman" w:hAnsi="Times New Roman" w:cs="Times New Roman"/>
          <w:lang w:val="ru-RU"/>
        </w:rPr>
        <w:t>зона</w:t>
      </w:r>
      <w:r w:rsidRPr="00A013E1">
        <w:rPr>
          <w:rFonts w:ascii="Times New Roman" w:hAnsi="Times New Roman" w:cs="Times New Roman"/>
          <w:lang w:val="ru-RU"/>
        </w:rPr>
        <w:t>.</w:t>
      </w:r>
    </w:p>
    <w:p w14:paraId="1E2211AD"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3.1.6.10 Входящите и изходящите отвори за въздух трябва да бъдат разположени на подходящи позиции, като се вземат предвид характеристиките на използваното гориво.</w:t>
      </w:r>
    </w:p>
    <w:p w14:paraId="1C0CECF2" w14:textId="77777777" w:rsidR="00271FA2" w:rsidRPr="00A013E1" w:rsidRDefault="00D35E51" w:rsidP="00866293">
      <w:pPr>
        <w:pStyle w:val="Esann8let"/>
        <w:spacing w:before="0"/>
        <w:ind w:left="709" w:hanging="709"/>
        <w:rPr>
          <w:rFonts w:ascii="Times New Roman" w:hAnsi="Times New Roman" w:cs="Times New Roman"/>
          <w:b/>
          <w:lang w:val="ru-RU"/>
        </w:rPr>
      </w:pPr>
      <w:r w:rsidRPr="00A013E1">
        <w:rPr>
          <w:rFonts w:ascii="Times New Roman" w:hAnsi="Times New Roman" w:cs="Times New Roman"/>
          <w:b/>
          <w:lang w:val="ru-RU"/>
        </w:rPr>
        <w:t>3.1.7 Изпускателни системи</w:t>
      </w:r>
    </w:p>
    <w:p w14:paraId="36EAC440"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3.1.7.1 Следните разпоредби се прилагат за системи за отработен въздух и отработени газове от системи с горивни клетки.</w:t>
      </w:r>
    </w:p>
    <w:p w14:paraId="677797E6"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3.1.7.2 Изпускателните системи на системите с горивни клетки трябва да:</w:t>
      </w:r>
    </w:p>
    <w:p w14:paraId="720B4BC9" w14:textId="77777777"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а) не се свързват към изпускателните тръби на системи, различни от системи с горивни клетки; и</w:t>
      </w:r>
    </w:p>
    <w:p w14:paraId="36675A2D" w14:textId="77777777"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б) извеждат газовете на открито.</w:t>
      </w:r>
    </w:p>
    <w:p w14:paraId="35FB4970" w14:textId="78F7D789"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Въпреки това, изпускателните тръби на системите с горивни клетки могат да се комбинират с вентилацията на пространството на горивните клетки при вентилационния изход на пространството на горивните клетки</w:t>
      </w:r>
      <w:r w:rsidR="000537AF" w:rsidRPr="00A013E1">
        <w:rPr>
          <w:rFonts w:ascii="Times New Roman" w:hAnsi="Times New Roman" w:cs="Times New Roman"/>
          <w:lang w:val="ru-RU"/>
        </w:rPr>
        <w:t xml:space="preserve">, при условие че отработените газове на една горивна клетка не могат да </w:t>
      </w:r>
      <w:r w:rsidR="00DC0547" w:rsidRPr="00A013E1">
        <w:rPr>
          <w:rFonts w:ascii="Times New Roman" w:hAnsi="Times New Roman" w:cs="Times New Roman"/>
          <w:lang w:val="ru-RU"/>
        </w:rPr>
        <w:t xml:space="preserve"> преминат </w:t>
      </w:r>
      <w:r w:rsidR="000537AF" w:rsidRPr="00A013E1">
        <w:rPr>
          <w:rFonts w:ascii="Times New Roman" w:hAnsi="Times New Roman" w:cs="Times New Roman"/>
          <w:lang w:val="ru-RU"/>
        </w:rPr>
        <w:t>в друга горивна клетка.</w:t>
      </w:r>
    </w:p>
    <w:p w14:paraId="043D2668"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3.1.7.3 Изпускателните системи трябва да бъдат направени от подходящ материал по отношение на неговата температурна граница, огнеустойчивост, здравина на материала и устойчивост на действието на кондензат.</w:t>
      </w:r>
    </w:p>
    <w:p w14:paraId="38F719A8"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3.1.7.4 Трябва да се вземат всички подходящи мерки, за да се избегне навлизането на отработен въздух и отработен газ в различните отделения на плавателното средство.</w:t>
      </w:r>
    </w:p>
    <w:p w14:paraId="7AA00C82"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lastRenderedPageBreak/>
        <w:t>3.1.7.5 Изходите на изпускателните системи трябва да бъдат проектирани по такъв начин, че да не представляват непосредствена опасност за хората на борда. Те трябва да бъдат разположени на подходящи места, като се вземат предвид характеристиките на отработения въздух и отработените газове.</w:t>
      </w:r>
    </w:p>
    <w:p w14:paraId="690CC631"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3.1.7.6 Изпускателните системи и техните изпускателни отвори трябва да бъдат класифицирани в съответствие с член 10.04. Разрешено е само оборудване, подходящо за класифицираната опасна зона.</w:t>
      </w:r>
    </w:p>
    <w:p w14:paraId="2A1C4674"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3.1.7.7 Изпускателните системи трябва да бъдат конфигурирани, така че да поддържат натрупването на неокислено газообразно гориво възможно най-ниско.</w:t>
      </w:r>
    </w:p>
    <w:p w14:paraId="19C7A543"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3.1.7.8 Насочването и изолирането на изпускателната система трябва да отчита натрупването на кондензат.</w:t>
      </w:r>
    </w:p>
    <w:p w14:paraId="1B1BBC01"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3.1.7.9 Системите за отработени газове трябва да позволяват безопасно оттичане на конденза.</w:t>
      </w:r>
    </w:p>
    <w:p w14:paraId="120842D7"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3.1.7.10 Ако изпускателните системи не са предоставени от производителя на горивната клетка, те трябва да отговарят на инструкциите на производителя на горивната клетка.</w:t>
      </w:r>
    </w:p>
    <w:p w14:paraId="61F8E8BA" w14:textId="77777777" w:rsidR="00271FA2" w:rsidRPr="00A013E1" w:rsidRDefault="009B7C2B" w:rsidP="00866293">
      <w:pPr>
        <w:pStyle w:val="Esann8let"/>
        <w:spacing w:before="0"/>
        <w:ind w:left="709" w:hanging="709"/>
        <w:rPr>
          <w:rFonts w:ascii="Times New Roman" w:hAnsi="Times New Roman" w:cs="Times New Roman"/>
          <w:b/>
          <w:lang w:val="ru-RU"/>
        </w:rPr>
      </w:pPr>
      <w:r w:rsidRPr="00A013E1">
        <w:rPr>
          <w:rFonts w:ascii="Times New Roman" w:hAnsi="Times New Roman" w:cs="Times New Roman"/>
          <w:b/>
          <w:lang w:val="ru-RU"/>
        </w:rPr>
        <w:t>3.1.8 Система за продухване</w:t>
      </w:r>
    </w:p>
    <w:p w14:paraId="2505115F"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3.1.8.1 За системи с горивни клетки, изискващи продухване за безопасна работа, особено преди стартиране или след спиране на системата с горивни клетки, трябва да се използва подходяща система за продухване, която използва среда, посочена от производителя на горивни клетки.</w:t>
      </w:r>
    </w:p>
    <w:p w14:paraId="4E782F45" w14:textId="77777777" w:rsidR="00271FA2" w:rsidRPr="00A013E1" w:rsidRDefault="00D35E51" w:rsidP="00866293">
      <w:pPr>
        <w:pStyle w:val="Esann8let"/>
        <w:spacing w:before="0"/>
        <w:ind w:left="709" w:hanging="709"/>
        <w:rPr>
          <w:rFonts w:ascii="Times New Roman" w:hAnsi="Times New Roman" w:cs="Times New Roman"/>
          <w:b/>
          <w:lang w:val="ru-RU"/>
        </w:rPr>
      </w:pPr>
      <w:r w:rsidRPr="00A013E1">
        <w:rPr>
          <w:rFonts w:ascii="Times New Roman" w:hAnsi="Times New Roman" w:cs="Times New Roman"/>
          <w:b/>
          <w:lang w:val="ru-RU"/>
        </w:rPr>
        <w:t>3.1.9 Системи за управление, наблюдение и безопасност</w:t>
      </w:r>
    </w:p>
    <w:p w14:paraId="73BA4806"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3.1.9.1 В допълнение към член 30.10 се прилагат разпоредбите на точка 3.1.9.</w:t>
      </w:r>
    </w:p>
    <w:p w14:paraId="4C6A05D7"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 xml:space="preserve">3.1.9.2 Всяка система с горивни клетки трябва да бъде оборудвана със собствена система за контрол и наблюдение и собствена система за безопасност. Системата за безопасност трябва да бъде проектирана да работи независимо от системата за контрол и наблюдение. Всички елементи на тези системи трябва да могат да бъдат функционално тествани. </w:t>
      </w:r>
    </w:p>
    <w:p w14:paraId="1A6EE618" w14:textId="77777777"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Софтуерът за програмируеми електронни системи се разработва в съответствие с приемлива система за управление на качеството, като се вземат предвид всички дейности по жизнения цикъл на софтуера като проектиране, разработка, доставка и поддръжка.</w:t>
      </w:r>
    </w:p>
    <w:p w14:paraId="2B7DEA28"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3.1.9.3 Сензорите за системата за безопасност първо трябва да бъдат насочени към системата за безопасност и определена информация може също да бъде насочена към системите за контрол и наблюдение. Алармените сензори се насочват директно към системата за наблюдение.</w:t>
      </w:r>
    </w:p>
    <w:p w14:paraId="188CC64B"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3.1.9.4 Трябва да е възможно ръчно изключване на системата с горивни клетки от следните места:</w:t>
      </w:r>
    </w:p>
    <w:p w14:paraId="6B9FE2D7" w14:textId="77777777"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а) рулева рубка;</w:t>
      </w:r>
    </w:p>
    <w:p w14:paraId="6FCE49C3" w14:textId="77777777"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б) отвън в непосредствена близост до пространството на горивната клетка;</w:t>
      </w:r>
    </w:p>
    <w:p w14:paraId="57F0C130" w14:textId="77777777"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в) всяко място с постоянен персонал.</w:t>
      </w:r>
    </w:p>
    <w:p w14:paraId="4A303850" w14:textId="77777777"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Системата за безопасност трябва да бъде нулирана ръчно, преди задвижващата или спомагателната система да може да бъде рестартирана.</w:t>
      </w:r>
    </w:p>
    <w:p w14:paraId="36ED21CA"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3.1.9.5 Подходящите устройства трябва да наблюдават химичните реакции в реформатора и в горивните клетки посредством контрол на температурата, налягането и напрежението.</w:t>
      </w:r>
    </w:p>
    <w:p w14:paraId="42361C39" w14:textId="77777777" w:rsidR="00271FA2" w:rsidRPr="00A013E1" w:rsidRDefault="00D35E51" w:rsidP="00866293">
      <w:pPr>
        <w:pStyle w:val="Esann8let"/>
        <w:spacing w:before="0"/>
        <w:ind w:left="709" w:hanging="709"/>
        <w:jc w:val="center"/>
        <w:rPr>
          <w:rFonts w:ascii="Times New Roman" w:hAnsi="Times New Roman" w:cs="Times New Roman"/>
          <w:b/>
          <w:lang w:val="ru-RU"/>
        </w:rPr>
      </w:pPr>
      <w:r w:rsidRPr="00A013E1">
        <w:rPr>
          <w:rFonts w:ascii="Times New Roman" w:hAnsi="Times New Roman" w:cs="Times New Roman"/>
          <w:b/>
          <w:lang w:val="ru-RU"/>
        </w:rPr>
        <w:t>Глава 2</w:t>
      </w:r>
    </w:p>
    <w:p w14:paraId="30E58861" w14:textId="4EA01210" w:rsidR="00271FA2" w:rsidRPr="00A013E1" w:rsidRDefault="00D35E51" w:rsidP="00866293">
      <w:pPr>
        <w:pStyle w:val="Esann8let"/>
        <w:spacing w:before="0"/>
        <w:ind w:left="709" w:hanging="709"/>
        <w:jc w:val="center"/>
        <w:rPr>
          <w:rFonts w:ascii="Times New Roman" w:hAnsi="Times New Roman" w:cs="Times New Roman"/>
          <w:b/>
          <w:lang w:val="ru-RU"/>
        </w:rPr>
      </w:pPr>
      <w:r w:rsidRPr="00A013E1">
        <w:rPr>
          <w:rFonts w:ascii="Times New Roman" w:hAnsi="Times New Roman" w:cs="Times New Roman"/>
          <w:b/>
          <w:lang w:val="ru-RU"/>
        </w:rPr>
        <w:t xml:space="preserve">Задвижващи </w:t>
      </w:r>
      <w:r w:rsidR="00F720E9" w:rsidRPr="00A013E1">
        <w:rPr>
          <w:rFonts w:ascii="Times New Roman" w:hAnsi="Times New Roman" w:cs="Times New Roman"/>
          <w:b/>
          <w:lang w:val="ru-RU"/>
        </w:rPr>
        <w:t>и</w:t>
      </w:r>
      <w:r w:rsidRPr="00A013E1">
        <w:rPr>
          <w:rFonts w:ascii="Times New Roman" w:hAnsi="Times New Roman" w:cs="Times New Roman"/>
          <w:b/>
          <w:lang w:val="ru-RU"/>
        </w:rPr>
        <w:t xml:space="preserve"> спомагателни системи с двигатели с вътрешно горене, използващи </w:t>
      </w:r>
      <w:r w:rsidRPr="00A013E1">
        <w:rPr>
          <w:rFonts w:ascii="Times New Roman" w:hAnsi="Times New Roman" w:cs="Times New Roman"/>
          <w:b/>
        </w:rPr>
        <w:t>LNG</w:t>
      </w:r>
      <w:r w:rsidRPr="00A013E1">
        <w:rPr>
          <w:rFonts w:ascii="Times New Roman" w:hAnsi="Times New Roman" w:cs="Times New Roman"/>
          <w:b/>
          <w:lang w:val="ru-RU"/>
        </w:rPr>
        <w:t xml:space="preserve"> като гориво</w:t>
      </w:r>
    </w:p>
    <w:p w14:paraId="70ADCAA0" w14:textId="77777777" w:rsidR="00271FA2" w:rsidRPr="00A013E1" w:rsidRDefault="00D35E51" w:rsidP="00866293">
      <w:pPr>
        <w:pStyle w:val="Esann8let"/>
        <w:spacing w:before="0"/>
        <w:ind w:left="709" w:hanging="709"/>
        <w:rPr>
          <w:rFonts w:ascii="Times New Roman" w:hAnsi="Times New Roman" w:cs="Times New Roman"/>
          <w:b/>
          <w:lang w:val="ru-RU"/>
        </w:rPr>
      </w:pPr>
      <w:r w:rsidRPr="00A013E1">
        <w:rPr>
          <w:rFonts w:ascii="Times New Roman" w:hAnsi="Times New Roman" w:cs="Times New Roman"/>
          <w:b/>
          <w:lang w:val="ru-RU"/>
        </w:rPr>
        <w:t>3.2.1 Общи положения</w:t>
      </w:r>
    </w:p>
    <w:p w14:paraId="564350B6" w14:textId="03187E79"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lastRenderedPageBreak/>
        <w:t xml:space="preserve">3.2.1.1 Изисквания на Приложение 8, раздел </w:t>
      </w:r>
      <w:r w:rsidRPr="00A013E1">
        <w:rPr>
          <w:rFonts w:ascii="Times New Roman" w:hAnsi="Times New Roman" w:cs="Times New Roman"/>
        </w:rPr>
        <w:t>II</w:t>
      </w:r>
      <w:r w:rsidRPr="00A013E1">
        <w:rPr>
          <w:rFonts w:ascii="Times New Roman" w:hAnsi="Times New Roman" w:cs="Times New Roman"/>
          <w:lang w:val="ru-RU"/>
        </w:rPr>
        <w:t>, точки 2.1.2 до 2.1.6, 2.1.9, 2.1.10, 2.1.11.1, 2.1.11.2, 2.1.13.1, , 2.1.13.</w:t>
      </w:r>
      <w:r w:rsidR="00BD0BE9" w:rsidRPr="00A013E1">
        <w:rPr>
          <w:rFonts w:ascii="Times New Roman" w:hAnsi="Times New Roman" w:cs="Times New Roman"/>
          <w:lang w:val="ru-RU"/>
        </w:rPr>
        <w:t xml:space="preserve">3 </w:t>
      </w:r>
      <w:r w:rsidRPr="00A013E1">
        <w:rPr>
          <w:rFonts w:ascii="Times New Roman" w:hAnsi="Times New Roman" w:cs="Times New Roman"/>
          <w:lang w:val="ru-RU"/>
        </w:rPr>
        <w:t>и 2.1.13.</w:t>
      </w:r>
      <w:r w:rsidR="00BD0BE9" w:rsidRPr="00A013E1">
        <w:rPr>
          <w:rFonts w:ascii="Times New Roman" w:hAnsi="Times New Roman" w:cs="Times New Roman"/>
          <w:lang w:val="ru-RU"/>
        </w:rPr>
        <w:t xml:space="preserve">4 </w:t>
      </w:r>
      <w:r w:rsidRPr="00A013E1">
        <w:rPr>
          <w:rFonts w:ascii="Times New Roman" w:hAnsi="Times New Roman" w:cs="Times New Roman"/>
          <w:lang w:val="ru-RU"/>
        </w:rPr>
        <w:t xml:space="preserve">се прилагат за задвижващи </w:t>
      </w:r>
      <w:r w:rsidR="00BD0BE9" w:rsidRPr="00A013E1">
        <w:rPr>
          <w:rFonts w:ascii="Times New Roman" w:hAnsi="Times New Roman" w:cs="Times New Roman"/>
          <w:lang w:val="ru-RU"/>
        </w:rPr>
        <w:t xml:space="preserve">и </w:t>
      </w:r>
      <w:r w:rsidRPr="00A013E1">
        <w:rPr>
          <w:rFonts w:ascii="Times New Roman" w:hAnsi="Times New Roman" w:cs="Times New Roman"/>
          <w:lang w:val="ru-RU"/>
        </w:rPr>
        <w:t xml:space="preserve">спомагателни системи с двигатели с вътрешно горене, използващи </w:t>
      </w:r>
      <w:r w:rsidRPr="00A013E1">
        <w:rPr>
          <w:rFonts w:ascii="Times New Roman" w:hAnsi="Times New Roman" w:cs="Times New Roman"/>
        </w:rPr>
        <w:t>LNG</w:t>
      </w:r>
      <w:r w:rsidRPr="00A013E1">
        <w:rPr>
          <w:rFonts w:ascii="Times New Roman" w:hAnsi="Times New Roman" w:cs="Times New Roman"/>
          <w:lang w:val="ru-RU"/>
        </w:rPr>
        <w:t xml:space="preserve"> като гориво.</w:t>
      </w:r>
    </w:p>
    <w:p w14:paraId="0DEBF1C7" w14:textId="2A5CFF52" w:rsidR="00F720E9"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3.2.1.2</w:t>
      </w:r>
      <w:r w:rsidR="009606CD" w:rsidRPr="00A013E1">
        <w:rPr>
          <w:rFonts w:ascii="Times New Roman" w:hAnsi="Times New Roman" w:cs="Times New Roman"/>
          <w:lang w:val="ru-RU"/>
        </w:rPr>
        <w:t xml:space="preserve"> </w:t>
      </w:r>
      <w:r w:rsidRPr="00A013E1">
        <w:rPr>
          <w:rFonts w:ascii="Times New Roman" w:hAnsi="Times New Roman" w:cs="Times New Roman"/>
          <w:strike/>
          <w:lang w:val="ru-RU"/>
        </w:rPr>
        <w:t xml:space="preserve"> </w:t>
      </w:r>
      <w:r w:rsidR="009606CD" w:rsidRPr="00A013E1">
        <w:rPr>
          <w:rFonts w:ascii="Times New Roman" w:hAnsi="Times New Roman" w:cs="Times New Roman"/>
          <w:strike/>
          <w:lang w:val="ru-RU"/>
        </w:rPr>
        <w:t xml:space="preserve"> </w:t>
      </w:r>
      <w:r w:rsidR="00F720E9" w:rsidRPr="00A013E1">
        <w:rPr>
          <w:rFonts w:ascii="Times New Roman" w:hAnsi="Times New Roman" w:cs="Times New Roman"/>
          <w:lang w:val="ru-RU"/>
        </w:rPr>
        <w:t>Една от следните концепции трябва да се прилага към</w:t>
      </w:r>
      <w:r w:rsidR="00C27CB4" w:rsidRPr="00A013E1">
        <w:rPr>
          <w:rFonts w:ascii="Times New Roman" w:hAnsi="Times New Roman" w:cs="Times New Roman"/>
          <w:lang w:val="ru-RU"/>
        </w:rPr>
        <w:t xml:space="preserve"> </w:t>
      </w:r>
      <w:r w:rsidR="00C16C17" w:rsidRPr="00A013E1">
        <w:rPr>
          <w:rFonts w:ascii="Times New Roman" w:hAnsi="Times New Roman" w:cs="Times New Roman"/>
          <w:lang w:val="ru-RU"/>
        </w:rPr>
        <w:t>машинните отделения</w:t>
      </w:r>
      <w:r w:rsidR="00F720E9" w:rsidRPr="00A013E1">
        <w:rPr>
          <w:rFonts w:ascii="Times New Roman" w:hAnsi="Times New Roman" w:cs="Times New Roman"/>
          <w:lang w:val="ru-RU"/>
        </w:rPr>
        <w:t>:</w:t>
      </w:r>
    </w:p>
    <w:p w14:paraId="2FA719F7" w14:textId="58DA9BF4"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 xml:space="preserve">а) </w:t>
      </w:r>
      <w:r w:rsidR="00181FD5" w:rsidRPr="00A013E1">
        <w:rPr>
          <w:rFonts w:ascii="Times New Roman" w:hAnsi="Times New Roman" w:cs="Times New Roman"/>
          <w:lang w:val="ru-RU"/>
        </w:rPr>
        <w:t>Газобезопасн</w:t>
      </w:r>
      <w:r w:rsidR="00C27CB4" w:rsidRPr="00A013E1">
        <w:rPr>
          <w:rFonts w:ascii="Times New Roman" w:hAnsi="Times New Roman" w:cs="Times New Roman"/>
          <w:lang w:val="ru-RU"/>
        </w:rPr>
        <w:t>о</w:t>
      </w:r>
      <w:r w:rsidR="00181FD5" w:rsidRPr="00A013E1">
        <w:rPr>
          <w:rFonts w:ascii="Times New Roman" w:hAnsi="Times New Roman" w:cs="Times New Roman"/>
          <w:lang w:val="ru-RU"/>
        </w:rPr>
        <w:t xml:space="preserve"> машинн</w:t>
      </w:r>
      <w:r w:rsidR="00C27CB4" w:rsidRPr="00A013E1">
        <w:rPr>
          <w:rFonts w:ascii="Times New Roman" w:hAnsi="Times New Roman" w:cs="Times New Roman"/>
          <w:lang w:val="ru-RU"/>
        </w:rPr>
        <w:t>о</w:t>
      </w:r>
      <w:r w:rsidR="00181FD5" w:rsidRPr="00A013E1">
        <w:rPr>
          <w:rFonts w:ascii="Times New Roman" w:hAnsi="Times New Roman" w:cs="Times New Roman"/>
          <w:lang w:val="ru-RU"/>
        </w:rPr>
        <w:t xml:space="preserve"> отделения</w:t>
      </w:r>
      <w:r w:rsidRPr="00A013E1">
        <w:rPr>
          <w:rFonts w:ascii="Times New Roman" w:hAnsi="Times New Roman" w:cs="Times New Roman"/>
          <w:lang w:val="ru-RU"/>
        </w:rPr>
        <w:t>;</w:t>
      </w:r>
      <w:r w:rsidR="00DC1761" w:rsidRPr="00A013E1">
        <w:rPr>
          <w:rFonts w:ascii="Times New Roman" w:hAnsi="Times New Roman" w:cs="Times New Roman"/>
          <w:lang w:val="ru-RU"/>
        </w:rPr>
        <w:t xml:space="preserve"> </w:t>
      </w:r>
    </w:p>
    <w:p w14:paraId="389BD4D3" w14:textId="77777777"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lang w:val="ru-RU"/>
        </w:rPr>
        <w:t>б) взривобезопасно машинно отделение; или</w:t>
      </w:r>
    </w:p>
    <w:p w14:paraId="4D40700E" w14:textId="77777777" w:rsidR="00271FA2" w:rsidRPr="00A013E1" w:rsidRDefault="00D35E51" w:rsidP="00866293">
      <w:pPr>
        <w:pStyle w:val="Esann8let"/>
        <w:spacing w:before="0"/>
        <w:ind w:left="709" w:firstLine="0"/>
        <w:rPr>
          <w:rFonts w:ascii="Times New Roman" w:hAnsi="Times New Roman" w:cs="Times New Roman"/>
          <w:lang w:val="ru-RU"/>
        </w:rPr>
      </w:pPr>
      <w:r w:rsidRPr="00A013E1">
        <w:rPr>
          <w:rFonts w:ascii="Times New Roman" w:hAnsi="Times New Roman" w:cs="Times New Roman"/>
        </w:rPr>
        <w:t>c</w:t>
      </w:r>
      <w:r w:rsidRPr="00A013E1">
        <w:rPr>
          <w:rFonts w:ascii="Times New Roman" w:hAnsi="Times New Roman" w:cs="Times New Roman"/>
          <w:lang w:val="ru-RU"/>
        </w:rPr>
        <w:t xml:space="preserve">) </w:t>
      </w:r>
      <w:r w:rsidRPr="00A013E1">
        <w:rPr>
          <w:rFonts w:ascii="Times New Roman" w:hAnsi="Times New Roman" w:cs="Times New Roman"/>
        </w:rPr>
        <w:t>ESD</w:t>
      </w:r>
      <w:r w:rsidRPr="00A013E1">
        <w:rPr>
          <w:rFonts w:ascii="Times New Roman" w:hAnsi="Times New Roman" w:cs="Times New Roman"/>
          <w:lang w:val="ru-RU"/>
        </w:rPr>
        <w:t xml:space="preserve"> защитено машинно отделение.</w:t>
      </w:r>
    </w:p>
    <w:p w14:paraId="3C1794EA" w14:textId="77777777" w:rsidR="009B7C2B" w:rsidRPr="00A013E1" w:rsidRDefault="009B7C2B" w:rsidP="00866293">
      <w:pPr>
        <w:pStyle w:val="Esann8let"/>
        <w:spacing w:before="0"/>
        <w:ind w:left="709" w:hanging="709"/>
        <w:rPr>
          <w:rFonts w:ascii="Times New Roman" w:hAnsi="Times New Roman" w:cs="Times New Roman"/>
          <w:b/>
          <w:lang w:val="ru-RU"/>
        </w:rPr>
      </w:pPr>
      <w:r w:rsidRPr="00A013E1">
        <w:rPr>
          <w:rFonts w:ascii="Times New Roman" w:hAnsi="Times New Roman" w:cs="Times New Roman"/>
          <w:b/>
          <w:lang w:val="ru-RU"/>
        </w:rPr>
        <w:t>3.2.2 Изисквания към газобезопасните машинни отделения</w:t>
      </w:r>
    </w:p>
    <w:p w14:paraId="6FB8A7F3" w14:textId="77777777" w:rsidR="00271FA2" w:rsidRPr="00A013E1" w:rsidRDefault="00D35E51" w:rsidP="00866293">
      <w:pPr>
        <w:pStyle w:val="Esann8let"/>
        <w:spacing w:before="0"/>
        <w:ind w:left="709" w:hanging="709"/>
        <w:rPr>
          <w:rFonts w:ascii="Times New Roman" w:hAnsi="Times New Roman" w:cs="Times New Roman"/>
          <w:lang w:val="ru-RU"/>
        </w:rPr>
      </w:pPr>
      <w:r w:rsidRPr="00A013E1">
        <w:rPr>
          <w:rFonts w:ascii="Times New Roman" w:hAnsi="Times New Roman" w:cs="Times New Roman"/>
          <w:lang w:val="ru-RU"/>
        </w:rPr>
        <w:t xml:space="preserve">3.2.2.1 Газобезопасните машинни отделения трябва да са безопасни за газа при всякакви условия („по своята същност безопасни за газа“). Единична повреда в системата за </w:t>
      </w:r>
      <w:r w:rsidRPr="00A013E1">
        <w:rPr>
          <w:rFonts w:ascii="Times New Roman" w:hAnsi="Times New Roman" w:cs="Times New Roman"/>
        </w:rPr>
        <w:t>LNG</w:t>
      </w:r>
      <w:r w:rsidRPr="00A013E1">
        <w:rPr>
          <w:rFonts w:ascii="Times New Roman" w:hAnsi="Times New Roman" w:cs="Times New Roman"/>
          <w:lang w:val="ru-RU"/>
        </w:rPr>
        <w:t xml:space="preserve"> не трябва да води до изтичане на газ в машинното отделение. Всички газови тръбопроводи в границите на машинното отделение трябва да бъдат затворени в газонепроницаем корпус, напр. тръбопровод с двойна стена или вентилиран канал.</w:t>
      </w:r>
    </w:p>
    <w:p w14:paraId="1A101868"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3.2.2.2 В случай на повреда на една бариера, подаването на газ към съответната част от </w:t>
      </w:r>
      <w:r w:rsidRPr="00A013E1">
        <w:rPr>
          <w:rFonts w:ascii="Times New Roman" w:hAnsi="Times New Roman" w:cs="Times New Roman"/>
        </w:rPr>
        <w:t>LNG</w:t>
      </w:r>
      <w:r w:rsidRPr="00A013E1">
        <w:rPr>
          <w:rFonts w:ascii="Times New Roman" w:hAnsi="Times New Roman" w:cs="Times New Roman"/>
          <w:lang w:val="ru-RU"/>
        </w:rPr>
        <w:t xml:space="preserve"> системата се спира автоматично.</w:t>
      </w:r>
    </w:p>
    <w:p w14:paraId="7684FC75" w14:textId="230EC540"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3.2.2.3 </w:t>
      </w:r>
      <w:r w:rsidR="00F720E9" w:rsidRPr="00A013E1">
        <w:rPr>
          <w:rFonts w:ascii="Times New Roman" w:hAnsi="Times New Roman" w:cs="Times New Roman"/>
          <w:lang w:val="ru-RU"/>
        </w:rPr>
        <w:t xml:space="preserve">В допълнение към разпоредбата на </w:t>
      </w:r>
      <w:r w:rsidR="002A53B0" w:rsidRPr="00A013E1">
        <w:rPr>
          <w:rFonts w:ascii="Times New Roman" w:hAnsi="Times New Roman" w:cs="Times New Roman"/>
          <w:lang w:val="ru-RU"/>
        </w:rPr>
        <w:t>т.</w:t>
      </w:r>
      <w:r w:rsidR="00F720E9" w:rsidRPr="00A013E1">
        <w:rPr>
          <w:rFonts w:ascii="Times New Roman" w:hAnsi="Times New Roman" w:cs="Times New Roman"/>
          <w:lang w:val="ru-RU"/>
        </w:rPr>
        <w:t xml:space="preserve">2.1.6), вентилационната </w:t>
      </w:r>
      <w:r w:rsidRPr="00A013E1">
        <w:rPr>
          <w:rFonts w:ascii="Times New Roman" w:hAnsi="Times New Roman" w:cs="Times New Roman"/>
          <w:lang w:val="ru-RU"/>
        </w:rPr>
        <w:t>система на вентилираните канали трябва:</w:t>
      </w:r>
    </w:p>
    <w:p w14:paraId="66D61AEC" w14:textId="77777777" w:rsidR="00271FA2" w:rsidRPr="00A013E1" w:rsidRDefault="00D35E51" w:rsidP="00866293">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t>а) гарантира достатъчен капацитет за да е сигурно, че брутният обем на въздуха вътре във вентилирания тръбопровод може да се променя най-малко 30 пъти на час;</w:t>
      </w:r>
    </w:p>
    <w:p w14:paraId="3ED3CAD8" w14:textId="77777777" w:rsidR="00271FA2" w:rsidRPr="00A013E1" w:rsidRDefault="00D35E51" w:rsidP="00866293">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t>б) да са оборудвани за непрекъснато откриване на наличието на газ в пространството между вътрешните и външните тръби;</w:t>
      </w:r>
    </w:p>
    <w:p w14:paraId="5E1984A7" w14:textId="77777777" w:rsidR="00271FA2" w:rsidRPr="00A013E1" w:rsidRDefault="00D35E51" w:rsidP="00866293">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t>в) да е независима от всички други вентилационни системи, по-специално от вентилационната система на машинното отделение.</w:t>
      </w:r>
    </w:p>
    <w:p w14:paraId="1402DFC0" w14:textId="2A6F7E6F"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3.2.2.4 </w:t>
      </w:r>
      <w:r w:rsidR="00181FD5" w:rsidRPr="00A013E1">
        <w:rPr>
          <w:rFonts w:ascii="Times New Roman" w:hAnsi="Times New Roman" w:cs="Times New Roman"/>
          <w:lang w:val="ru-RU"/>
        </w:rPr>
        <w:t>Газобезопасни машинни отделения</w:t>
      </w:r>
      <w:r w:rsidR="002A53B0" w:rsidRPr="00A013E1">
        <w:rPr>
          <w:rFonts w:ascii="Times New Roman" w:hAnsi="Times New Roman" w:cs="Times New Roman"/>
          <w:lang w:val="ru-RU"/>
        </w:rPr>
        <w:t xml:space="preserve"> </w:t>
      </w:r>
      <w:r w:rsidRPr="00A013E1">
        <w:rPr>
          <w:rFonts w:ascii="Times New Roman" w:hAnsi="Times New Roman" w:cs="Times New Roman"/>
          <w:lang w:val="ru-RU"/>
        </w:rPr>
        <w:t>, се счита</w:t>
      </w:r>
      <w:r w:rsidR="002A53B0" w:rsidRPr="00A013E1">
        <w:rPr>
          <w:rFonts w:ascii="Times New Roman" w:hAnsi="Times New Roman" w:cs="Times New Roman"/>
          <w:lang w:val="ru-RU"/>
        </w:rPr>
        <w:t>т</w:t>
      </w:r>
      <w:r w:rsidRPr="00A013E1">
        <w:rPr>
          <w:rFonts w:ascii="Times New Roman" w:hAnsi="Times New Roman" w:cs="Times New Roman"/>
          <w:lang w:val="ru-RU"/>
        </w:rPr>
        <w:t xml:space="preserve"> за неопасна зона, освен ако оценката на риска съгласно член 30.04 не покаже друго.</w:t>
      </w:r>
    </w:p>
    <w:p w14:paraId="4D4E7D80" w14:textId="77777777" w:rsidR="00271FA2" w:rsidRPr="00A013E1" w:rsidRDefault="00D35E51" w:rsidP="00866293">
      <w:pPr>
        <w:pStyle w:val="Esann8let"/>
        <w:spacing w:before="0"/>
        <w:ind w:left="709" w:hanging="709"/>
        <w:jc w:val="both"/>
        <w:rPr>
          <w:rFonts w:ascii="Times New Roman" w:hAnsi="Times New Roman" w:cs="Times New Roman"/>
          <w:b/>
          <w:lang w:val="ru-RU"/>
        </w:rPr>
      </w:pPr>
      <w:r w:rsidRPr="00A013E1">
        <w:rPr>
          <w:rFonts w:ascii="Times New Roman" w:hAnsi="Times New Roman" w:cs="Times New Roman"/>
          <w:b/>
          <w:lang w:val="ru-RU"/>
        </w:rPr>
        <w:t>3.2.3 Изисквания за взривобезопасни машинни отделения</w:t>
      </w:r>
    </w:p>
    <w:p w14:paraId="57316C8B"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3.2.3.1 Устройството на взривобезопасните машинни отделения трябва да бъде такова, че помещенията да се считат за безопасни за газ при нормални условия. Единична повреда в системата за </w:t>
      </w:r>
      <w:r w:rsidRPr="00A013E1">
        <w:rPr>
          <w:rFonts w:ascii="Times New Roman" w:hAnsi="Times New Roman" w:cs="Times New Roman"/>
        </w:rPr>
        <w:t>LNG</w:t>
      </w:r>
      <w:r w:rsidRPr="00A013E1">
        <w:rPr>
          <w:rFonts w:ascii="Times New Roman" w:hAnsi="Times New Roman" w:cs="Times New Roman"/>
          <w:lang w:val="ru-RU"/>
        </w:rPr>
        <w:t xml:space="preserve"> не трябва да води до концентрация на газ над 20 % от долната граница на експлозивност (</w:t>
      </w:r>
      <w:r w:rsidRPr="00A013E1">
        <w:rPr>
          <w:rFonts w:ascii="Times New Roman" w:hAnsi="Times New Roman" w:cs="Times New Roman"/>
        </w:rPr>
        <w:t>LEL</w:t>
      </w:r>
      <w:r w:rsidRPr="00A013E1">
        <w:rPr>
          <w:rFonts w:ascii="Times New Roman" w:hAnsi="Times New Roman" w:cs="Times New Roman"/>
          <w:lang w:val="ru-RU"/>
        </w:rPr>
        <w:t>) в машинното отделение.</w:t>
      </w:r>
    </w:p>
    <w:p w14:paraId="1E1DF08E"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3.2.3.2 В случай на откриване на газ или повреда на вентилационната система, подаването на газ към съответната част на системата за </w:t>
      </w:r>
      <w:r w:rsidRPr="00A013E1">
        <w:rPr>
          <w:rFonts w:ascii="Times New Roman" w:hAnsi="Times New Roman" w:cs="Times New Roman"/>
        </w:rPr>
        <w:t>LNG</w:t>
      </w:r>
      <w:r w:rsidRPr="00A013E1">
        <w:rPr>
          <w:rFonts w:ascii="Times New Roman" w:hAnsi="Times New Roman" w:cs="Times New Roman"/>
          <w:lang w:val="ru-RU"/>
        </w:rPr>
        <w:t xml:space="preserve"> се спира автоматично.</w:t>
      </w:r>
    </w:p>
    <w:p w14:paraId="7DA24C2D" w14:textId="69FC4EB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3.2.3.3 </w:t>
      </w:r>
      <w:r w:rsidR="00471B8D" w:rsidRPr="00A013E1">
        <w:rPr>
          <w:rFonts w:ascii="Times New Roman" w:hAnsi="Times New Roman" w:cs="Times New Roman"/>
          <w:lang w:val="ru-RU"/>
        </w:rPr>
        <w:t xml:space="preserve">В допълнение към разпоредбата на </w:t>
      </w:r>
      <w:r w:rsidR="00150881" w:rsidRPr="00A013E1">
        <w:rPr>
          <w:rFonts w:ascii="Times New Roman" w:hAnsi="Times New Roman" w:cs="Times New Roman"/>
          <w:lang w:val="ru-RU"/>
        </w:rPr>
        <w:t>т.</w:t>
      </w:r>
      <w:r w:rsidR="00471B8D" w:rsidRPr="00A013E1">
        <w:rPr>
          <w:rFonts w:ascii="Times New Roman" w:hAnsi="Times New Roman" w:cs="Times New Roman"/>
          <w:lang w:val="ru-RU"/>
        </w:rPr>
        <w:t xml:space="preserve">2.1.6, </w:t>
      </w:r>
      <w:r w:rsidR="00150881" w:rsidRPr="00A013E1">
        <w:rPr>
          <w:rFonts w:ascii="Times New Roman" w:hAnsi="Times New Roman" w:cs="Times New Roman"/>
          <w:lang w:val="ru-RU"/>
        </w:rPr>
        <w:t xml:space="preserve"> </w:t>
      </w:r>
      <w:r w:rsidR="00471B8D" w:rsidRPr="00A013E1">
        <w:rPr>
          <w:rFonts w:ascii="Times New Roman" w:hAnsi="Times New Roman" w:cs="Times New Roman"/>
          <w:lang w:val="ru-RU"/>
        </w:rPr>
        <w:t xml:space="preserve">вентилационната </w:t>
      </w:r>
      <w:r w:rsidRPr="00A013E1">
        <w:rPr>
          <w:rFonts w:ascii="Times New Roman" w:hAnsi="Times New Roman" w:cs="Times New Roman"/>
          <w:lang w:val="ru-RU"/>
        </w:rPr>
        <w:t xml:space="preserve">система </w:t>
      </w:r>
      <w:r w:rsidR="00471B8D" w:rsidRPr="00A013E1">
        <w:rPr>
          <w:rFonts w:ascii="Times New Roman" w:hAnsi="Times New Roman" w:cs="Times New Roman"/>
          <w:lang w:val="ru-RU"/>
        </w:rPr>
        <w:t xml:space="preserve">    </w:t>
      </w:r>
      <w:r w:rsidRPr="00A013E1">
        <w:rPr>
          <w:rFonts w:ascii="Times New Roman" w:hAnsi="Times New Roman" w:cs="Times New Roman"/>
          <w:lang w:val="ru-RU"/>
        </w:rPr>
        <w:t>трябва:</w:t>
      </w:r>
    </w:p>
    <w:p w14:paraId="56515D52" w14:textId="77777777" w:rsidR="00271FA2" w:rsidRPr="00A013E1" w:rsidRDefault="00D35E51" w:rsidP="00866293">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t>а) да гарантира достатъчен капацитет за поддържане на концентрацията на газ под 20</w:t>
      </w:r>
      <w:r w:rsidRPr="00A013E1">
        <w:rPr>
          <w:rFonts w:ascii="Times New Roman" w:hAnsi="Times New Roman" w:cs="Times New Roman"/>
        </w:rPr>
        <w:t> </w:t>
      </w:r>
      <w:r w:rsidRPr="00A013E1">
        <w:rPr>
          <w:rFonts w:ascii="Times New Roman" w:hAnsi="Times New Roman" w:cs="Times New Roman"/>
          <w:lang w:val="ru-RU"/>
        </w:rPr>
        <w:t xml:space="preserve">% от </w:t>
      </w:r>
      <w:r w:rsidRPr="00A013E1">
        <w:rPr>
          <w:rFonts w:ascii="Times New Roman" w:hAnsi="Times New Roman" w:cs="Times New Roman"/>
        </w:rPr>
        <w:t>LEL</w:t>
      </w:r>
      <w:r w:rsidRPr="00A013E1">
        <w:rPr>
          <w:rFonts w:ascii="Times New Roman" w:hAnsi="Times New Roman" w:cs="Times New Roman"/>
          <w:lang w:val="ru-RU"/>
        </w:rPr>
        <w:t xml:space="preserve"> в машинното отделение и да гарантира, че брутният обем на въздуха в машинното отделение може да се променя най-малко 30 пъти на час; и</w:t>
      </w:r>
    </w:p>
    <w:p w14:paraId="0A76001D" w14:textId="25FE4E7A" w:rsidR="00271FA2" w:rsidRPr="00A013E1" w:rsidRDefault="00D35E51" w:rsidP="00866293">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t>б) да е независима от всички други вентилационни системи</w:t>
      </w:r>
      <w:r w:rsidR="00C0606B" w:rsidRPr="00A013E1">
        <w:rPr>
          <w:rFonts w:ascii="Times New Roman" w:hAnsi="Times New Roman" w:cs="Times New Roman"/>
          <w:lang w:val="ru-RU"/>
        </w:rPr>
        <w:t xml:space="preserve"> на плавателния съд</w:t>
      </w:r>
      <w:r w:rsidRPr="00A013E1">
        <w:rPr>
          <w:rFonts w:ascii="Times New Roman" w:hAnsi="Times New Roman" w:cs="Times New Roman"/>
          <w:lang w:val="ru-RU"/>
        </w:rPr>
        <w:t>.</w:t>
      </w:r>
    </w:p>
    <w:p w14:paraId="6BEF0C88"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3.2.3.4 При нормална работа машинното отделение трябва да бъде постоянно вентилирано с най-малко 15 промени на брутния обем на въздуха в машинното отделение на час.</w:t>
      </w:r>
    </w:p>
    <w:p w14:paraId="4CC0BFDB"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3.2.3.5 Взривобезопасните машинни отделения трябва да бъдат проектирани, така че да осигуряват геометрична форма, която свежда до минимум натрупването на газове или образуването на газови джобове. Трябва да се осигури добра циркулация на въздуха.</w:t>
      </w:r>
    </w:p>
    <w:p w14:paraId="198D178B" w14:textId="2377787B"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lastRenderedPageBreak/>
        <w:t xml:space="preserve">3.2.3.6 </w:t>
      </w:r>
      <w:r w:rsidR="00170133" w:rsidRPr="00A013E1">
        <w:rPr>
          <w:rFonts w:ascii="Times New Roman" w:hAnsi="Times New Roman" w:cs="Times New Roman"/>
          <w:lang w:val="ru-RU"/>
        </w:rPr>
        <w:t xml:space="preserve">Взривобезопасните машинни отделения </w:t>
      </w:r>
      <w:r w:rsidRPr="00A013E1">
        <w:rPr>
          <w:rFonts w:ascii="Times New Roman" w:hAnsi="Times New Roman" w:cs="Times New Roman"/>
          <w:lang w:val="ru-RU"/>
        </w:rPr>
        <w:t>се счита</w:t>
      </w:r>
      <w:r w:rsidR="00170133" w:rsidRPr="00A013E1">
        <w:rPr>
          <w:rFonts w:ascii="Times New Roman" w:hAnsi="Times New Roman" w:cs="Times New Roman"/>
          <w:lang w:val="ru-RU"/>
        </w:rPr>
        <w:t>т</w:t>
      </w:r>
      <w:r w:rsidRPr="00A013E1">
        <w:rPr>
          <w:rFonts w:ascii="Times New Roman" w:hAnsi="Times New Roman" w:cs="Times New Roman"/>
          <w:lang w:val="ru-RU"/>
        </w:rPr>
        <w:t xml:space="preserve"> за зона 2, освен ако оценката на риска съгласно член 30.04 не покаже друго.</w:t>
      </w:r>
    </w:p>
    <w:p w14:paraId="54CCE0F3" w14:textId="77777777" w:rsidR="00271FA2" w:rsidRPr="00A013E1" w:rsidRDefault="00D35E51" w:rsidP="00866293">
      <w:pPr>
        <w:pStyle w:val="Esann8let"/>
        <w:spacing w:before="0"/>
        <w:ind w:left="709" w:hanging="709"/>
        <w:jc w:val="both"/>
        <w:rPr>
          <w:rFonts w:ascii="Times New Roman" w:hAnsi="Times New Roman" w:cs="Times New Roman"/>
          <w:b/>
          <w:color w:val="auto"/>
          <w:lang w:val="ru-RU"/>
        </w:rPr>
      </w:pPr>
      <w:r w:rsidRPr="00A013E1">
        <w:rPr>
          <w:rFonts w:ascii="Times New Roman" w:hAnsi="Times New Roman" w:cs="Times New Roman"/>
          <w:b/>
          <w:color w:val="auto"/>
          <w:lang w:val="ru-RU"/>
        </w:rPr>
        <w:t xml:space="preserve">3.2.4 Изисквания за машинните отделения, защитени от </w:t>
      </w:r>
      <w:r w:rsidRPr="00A013E1">
        <w:rPr>
          <w:rFonts w:ascii="Times New Roman" w:hAnsi="Times New Roman" w:cs="Times New Roman"/>
          <w:b/>
          <w:color w:val="auto"/>
        </w:rPr>
        <w:t>ESD</w:t>
      </w:r>
    </w:p>
    <w:p w14:paraId="52DE9F9F"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3.2.4.1 Устройството в машинните отделения, защитени от </w:t>
      </w:r>
      <w:r w:rsidRPr="00A013E1">
        <w:rPr>
          <w:rFonts w:ascii="Times New Roman" w:hAnsi="Times New Roman" w:cs="Times New Roman"/>
        </w:rPr>
        <w:t>ESD</w:t>
      </w:r>
      <w:r w:rsidRPr="00A013E1">
        <w:rPr>
          <w:rFonts w:ascii="Times New Roman" w:hAnsi="Times New Roman" w:cs="Times New Roman"/>
          <w:lang w:val="ru-RU"/>
        </w:rPr>
        <w:t>, трябва да бъде такова, че помещенията да се считат за безопасни за газ при нормални условия, но при определени необичайни условия може да има потенциал да станат обект на газови опасности.</w:t>
      </w:r>
    </w:p>
    <w:p w14:paraId="419E6C54"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3.2.4.2 В случай на необичайни условия, включващи газови опасности, аварийното изключване (</w:t>
      </w:r>
      <w:r w:rsidRPr="00A013E1">
        <w:rPr>
          <w:rFonts w:ascii="Times New Roman" w:hAnsi="Times New Roman" w:cs="Times New Roman"/>
        </w:rPr>
        <w:t>ESD</w:t>
      </w:r>
      <w:r w:rsidRPr="00A013E1">
        <w:rPr>
          <w:rFonts w:ascii="Times New Roman" w:hAnsi="Times New Roman" w:cs="Times New Roman"/>
          <w:lang w:val="ru-RU"/>
        </w:rPr>
        <w:t>) на небезопасно оборудване (източници на запалване) и газови машини трябва да се изпълняват автоматично, докато оборудването или машините, които се използват или са активни по време на тези условия, трябва да бъдат от сертифициран безопасен тип.</w:t>
      </w:r>
    </w:p>
    <w:p w14:paraId="75AEBCFC" w14:textId="1ACD191F"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3.2.4.3 </w:t>
      </w:r>
      <w:r w:rsidR="00471B8D" w:rsidRPr="00A013E1">
        <w:rPr>
          <w:rFonts w:ascii="Times New Roman" w:hAnsi="Times New Roman" w:cs="Times New Roman"/>
          <w:lang w:val="ru-RU"/>
        </w:rPr>
        <w:t xml:space="preserve">В допълнение към разпоредбата на </w:t>
      </w:r>
      <w:r w:rsidR="00B576B6" w:rsidRPr="00A013E1">
        <w:rPr>
          <w:rFonts w:ascii="Times New Roman" w:hAnsi="Times New Roman" w:cs="Times New Roman"/>
          <w:lang w:val="ru-RU"/>
        </w:rPr>
        <w:t>т.</w:t>
      </w:r>
      <w:r w:rsidR="00471B8D" w:rsidRPr="00A013E1">
        <w:rPr>
          <w:rFonts w:ascii="Times New Roman" w:hAnsi="Times New Roman" w:cs="Times New Roman"/>
          <w:lang w:val="ru-RU"/>
        </w:rPr>
        <w:t xml:space="preserve">2.1.6, вентилационната </w:t>
      </w:r>
      <w:r w:rsidRPr="00A013E1">
        <w:rPr>
          <w:rFonts w:ascii="Times New Roman" w:hAnsi="Times New Roman" w:cs="Times New Roman"/>
          <w:lang w:val="ru-RU"/>
        </w:rPr>
        <w:t>система трябва да:</w:t>
      </w:r>
    </w:p>
    <w:p w14:paraId="4B951405" w14:textId="77777777" w:rsidR="00271FA2" w:rsidRPr="00A013E1" w:rsidRDefault="00D35E51" w:rsidP="00866293">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t>а) гарантира достатъчен капацитет за да е сигурно, че брутният обем на въздуха в машинното отделение може да се променя най-малко 30 пъти на час;</w:t>
      </w:r>
    </w:p>
    <w:p w14:paraId="312DE30D" w14:textId="223A2F5E" w:rsidR="00271FA2" w:rsidRPr="00A013E1" w:rsidRDefault="00D35E51" w:rsidP="00866293">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t xml:space="preserve">б) бъде проектирана, така че да се справя с </w:t>
      </w:r>
      <w:r w:rsidR="00AD168F" w:rsidRPr="00A013E1">
        <w:rPr>
          <w:rFonts w:ascii="Times New Roman" w:hAnsi="Times New Roman" w:cs="Times New Roman"/>
          <w:lang w:val="ru-RU"/>
        </w:rPr>
        <w:t>вероятн</w:t>
      </w:r>
      <w:r w:rsidR="00AD168F" w:rsidRPr="00A013E1">
        <w:rPr>
          <w:rFonts w:ascii="Times New Roman" w:hAnsi="Times New Roman" w:cs="Times New Roman"/>
        </w:rPr>
        <w:t>o</w:t>
      </w:r>
      <w:r w:rsidR="00AD168F" w:rsidRPr="00A013E1">
        <w:rPr>
          <w:rFonts w:ascii="Times New Roman" w:hAnsi="Times New Roman" w:cs="Times New Roman"/>
          <w:lang w:val="ru-RU"/>
        </w:rPr>
        <w:t xml:space="preserve">то </w:t>
      </w:r>
      <w:r w:rsidRPr="00A013E1">
        <w:rPr>
          <w:rFonts w:ascii="Times New Roman" w:hAnsi="Times New Roman" w:cs="Times New Roman"/>
          <w:lang w:val="ru-RU"/>
        </w:rPr>
        <w:t>максимално изтичане поради технически повреди; и</w:t>
      </w:r>
    </w:p>
    <w:p w14:paraId="486C3E64" w14:textId="4045FA33" w:rsidR="00271FA2" w:rsidRPr="00A013E1" w:rsidRDefault="00D35E51" w:rsidP="00866293">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t>в) да е независима от всички други вентилационни системи</w:t>
      </w:r>
      <w:r w:rsidR="00BC16C7" w:rsidRPr="00A013E1">
        <w:rPr>
          <w:rFonts w:ascii="Times New Roman" w:hAnsi="Times New Roman" w:cs="Times New Roman"/>
          <w:lang w:val="ru-RU"/>
        </w:rPr>
        <w:t xml:space="preserve"> на кораба</w:t>
      </w:r>
      <w:r w:rsidRPr="00A013E1">
        <w:rPr>
          <w:rFonts w:ascii="Times New Roman" w:hAnsi="Times New Roman" w:cs="Times New Roman"/>
          <w:lang w:val="ru-RU"/>
        </w:rPr>
        <w:t>.</w:t>
      </w:r>
    </w:p>
    <w:p w14:paraId="7BA265E8" w14:textId="1A68CCDA"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3.2.4.4 При нормална работа машинното отделение трябва да бъде постоянно вентилирано с най-малко 15 </w:t>
      </w:r>
      <w:r w:rsidR="002D16AD" w:rsidRPr="00A013E1">
        <w:rPr>
          <w:rFonts w:ascii="Times New Roman" w:hAnsi="Times New Roman" w:cs="Times New Roman"/>
          <w:lang w:val="ru-RU"/>
        </w:rPr>
        <w:t xml:space="preserve"> </w:t>
      </w:r>
      <w:r w:rsidR="005D35CE" w:rsidRPr="00A013E1">
        <w:rPr>
          <w:rFonts w:ascii="Times New Roman" w:hAnsi="Times New Roman" w:cs="Times New Roman"/>
          <w:lang w:val="ru-RU"/>
        </w:rPr>
        <w:t xml:space="preserve"> обмени </w:t>
      </w:r>
      <w:r w:rsidR="002D16AD" w:rsidRPr="00A013E1">
        <w:rPr>
          <w:rFonts w:ascii="Times New Roman" w:hAnsi="Times New Roman" w:cs="Times New Roman"/>
          <w:lang w:val="ru-RU"/>
        </w:rPr>
        <w:t xml:space="preserve">  </w:t>
      </w:r>
      <w:r w:rsidRPr="00A013E1">
        <w:rPr>
          <w:rFonts w:ascii="Times New Roman" w:hAnsi="Times New Roman" w:cs="Times New Roman"/>
          <w:lang w:val="ru-RU"/>
        </w:rPr>
        <w:t>на брутния обем на въздуха в машинното отделение на час. Ако се открие газ в машинното отделение, броят на смените на въздуха автоматично се увеличава до 30 смени на час.</w:t>
      </w:r>
    </w:p>
    <w:p w14:paraId="202C5E7C" w14:textId="091A6063"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3.2.4.5 Ако плавателното средство е оборудвано с повече от един задвижващ двигател, тези двигатели трябва да бъдат разположени в поне две отделни машинни отделения. Тези машинни отделения нямат общи прегради. Въпреки това, общи </w:t>
      </w:r>
      <w:r w:rsidR="007564F7" w:rsidRPr="00A013E1">
        <w:rPr>
          <w:rFonts w:ascii="Times New Roman" w:hAnsi="Times New Roman" w:cs="Times New Roman"/>
          <w:lang w:val="ru-RU"/>
        </w:rPr>
        <w:t xml:space="preserve">прегради </w:t>
      </w:r>
      <w:r w:rsidRPr="00A013E1">
        <w:rPr>
          <w:rFonts w:ascii="Times New Roman" w:hAnsi="Times New Roman" w:cs="Times New Roman"/>
          <w:lang w:val="ru-RU"/>
        </w:rPr>
        <w:t xml:space="preserve">могат да бъдат приети, ако може да бъде документирано, че каквито и </w:t>
      </w:r>
      <w:r w:rsidR="004B6DA5" w:rsidRPr="00A013E1">
        <w:rPr>
          <w:rFonts w:ascii="Times New Roman" w:hAnsi="Times New Roman" w:cs="Times New Roman"/>
          <w:lang w:val="ru-RU"/>
        </w:rPr>
        <w:t xml:space="preserve">да са </w:t>
      </w:r>
      <w:r w:rsidRPr="00A013E1">
        <w:rPr>
          <w:rFonts w:ascii="Times New Roman" w:hAnsi="Times New Roman" w:cs="Times New Roman"/>
          <w:lang w:val="ru-RU"/>
        </w:rPr>
        <w:t xml:space="preserve">последствията от единична повреда няма да </w:t>
      </w:r>
      <w:r w:rsidR="00B576B6" w:rsidRPr="00A013E1">
        <w:rPr>
          <w:rFonts w:ascii="Times New Roman" w:hAnsi="Times New Roman" w:cs="Times New Roman"/>
          <w:lang w:val="ru-RU"/>
        </w:rPr>
        <w:t xml:space="preserve">се </w:t>
      </w:r>
      <w:r w:rsidRPr="00A013E1">
        <w:rPr>
          <w:rFonts w:ascii="Times New Roman" w:hAnsi="Times New Roman" w:cs="Times New Roman"/>
          <w:lang w:val="ru-RU"/>
        </w:rPr>
        <w:t xml:space="preserve">засегнат и двете </w:t>
      </w:r>
      <w:r w:rsidR="000002F7" w:rsidRPr="00A013E1">
        <w:rPr>
          <w:rFonts w:ascii="Times New Roman" w:hAnsi="Times New Roman" w:cs="Times New Roman"/>
          <w:lang w:val="ru-RU"/>
        </w:rPr>
        <w:t>помещения</w:t>
      </w:r>
      <w:r w:rsidRPr="00A013E1">
        <w:rPr>
          <w:rFonts w:ascii="Times New Roman" w:hAnsi="Times New Roman" w:cs="Times New Roman"/>
          <w:lang w:val="ru-RU"/>
        </w:rPr>
        <w:t>.</w:t>
      </w:r>
    </w:p>
    <w:p w14:paraId="0CC0B2F5" w14:textId="50749293" w:rsidR="007564F7" w:rsidRPr="00A013E1" w:rsidRDefault="007564F7" w:rsidP="00866293">
      <w:pPr>
        <w:pStyle w:val="Esann8let"/>
        <w:spacing w:before="0"/>
        <w:ind w:left="709" w:firstLine="0"/>
        <w:jc w:val="both"/>
        <w:rPr>
          <w:rFonts w:ascii="Times New Roman" w:hAnsi="Times New Roman" w:cs="Times New Roman"/>
          <w:lang w:val="ru-RU"/>
        </w:rPr>
      </w:pPr>
      <w:r w:rsidRPr="00A013E1">
        <w:rPr>
          <w:rFonts w:ascii="Times New Roman" w:hAnsi="Times New Roman" w:cs="Times New Roman"/>
          <w:lang w:val="ru-RU"/>
        </w:rPr>
        <w:t>Ако плавателното средство е оборудвано с повече от един задвижващ двигател, тези двигатели трябва да бъдат разположени в поне две отделни машинни отделения. Тези машинни отделения не трябва да имат общи прегради. Въпреки това, общи прегради могат да бъдат приети, ако може да се документира, че последствията от единична повреда няма да засегнат и двете отделения.</w:t>
      </w:r>
    </w:p>
    <w:p w14:paraId="61316F6C"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3.2.4.6 Трябва да се монтира стационарно предупредително оборудване за газ, предназначено за автоматично спиране на подаването на газ към съответното машинно отделение и за изключване на цялото оборудване или инсталации, които не са защитени от експлозия.</w:t>
      </w:r>
    </w:p>
    <w:p w14:paraId="408C5ACD"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3.2.4.7 Защитените от </w:t>
      </w:r>
      <w:r w:rsidRPr="00A013E1">
        <w:rPr>
          <w:rFonts w:ascii="Times New Roman" w:hAnsi="Times New Roman" w:cs="Times New Roman"/>
        </w:rPr>
        <w:t>ESD</w:t>
      </w:r>
      <w:r w:rsidRPr="00A013E1">
        <w:rPr>
          <w:rFonts w:ascii="Times New Roman" w:hAnsi="Times New Roman" w:cs="Times New Roman"/>
          <w:lang w:val="ru-RU"/>
        </w:rPr>
        <w:t xml:space="preserve"> машинни отделения трябва да бъдат проектирани, така че да осигуряват геометрична форма, която свежда до минимум натрупването на газове или образуването на газови джобове. Трябва да се осигури добра циркулация на въздуха.</w:t>
      </w:r>
    </w:p>
    <w:p w14:paraId="638438C5"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3.2.4.8 Машинно отделение, защитено от </w:t>
      </w:r>
      <w:r w:rsidRPr="00A013E1">
        <w:rPr>
          <w:rFonts w:ascii="Times New Roman" w:hAnsi="Times New Roman" w:cs="Times New Roman"/>
        </w:rPr>
        <w:t>ESD</w:t>
      </w:r>
      <w:r w:rsidRPr="00A013E1">
        <w:rPr>
          <w:rFonts w:ascii="Times New Roman" w:hAnsi="Times New Roman" w:cs="Times New Roman"/>
          <w:lang w:val="ru-RU"/>
        </w:rPr>
        <w:t>, се счита за зона 1, освен ако оценката на риска съгласно член 30.04 не покаже друго.</w:t>
      </w:r>
    </w:p>
    <w:p w14:paraId="6282D6A6" w14:textId="77777777" w:rsidR="00271FA2" w:rsidRPr="00A013E1" w:rsidRDefault="00D35E51" w:rsidP="00866293">
      <w:pPr>
        <w:pStyle w:val="Esann8let"/>
        <w:spacing w:before="0"/>
        <w:ind w:left="709" w:hanging="709"/>
        <w:jc w:val="both"/>
        <w:rPr>
          <w:rFonts w:ascii="Times New Roman" w:hAnsi="Times New Roman" w:cs="Times New Roman"/>
          <w:b/>
          <w:lang w:val="ru-RU"/>
        </w:rPr>
      </w:pPr>
      <w:r w:rsidRPr="00A013E1">
        <w:rPr>
          <w:rFonts w:ascii="Times New Roman" w:hAnsi="Times New Roman" w:cs="Times New Roman"/>
          <w:b/>
          <w:lang w:val="ru-RU"/>
        </w:rPr>
        <w:t>3.2.5 Изпускателна система</w:t>
      </w:r>
    </w:p>
    <w:p w14:paraId="50718C86" w14:textId="3C4434EF"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 xml:space="preserve">3.2.5.1 </w:t>
      </w:r>
      <w:r w:rsidR="002E573D" w:rsidRPr="00A013E1">
        <w:rPr>
          <w:rFonts w:ascii="Times New Roman" w:hAnsi="Times New Roman" w:cs="Times New Roman"/>
          <w:lang w:val="ru-RU"/>
        </w:rPr>
        <w:t>Изпускателни</w:t>
      </w:r>
      <w:r w:rsidR="008F726F" w:rsidRPr="00A013E1">
        <w:rPr>
          <w:rFonts w:ascii="Times New Roman" w:hAnsi="Times New Roman" w:cs="Times New Roman"/>
          <w:lang w:val="ru-RU"/>
        </w:rPr>
        <w:t>те</w:t>
      </w:r>
      <w:r w:rsidR="002E573D" w:rsidRPr="00A013E1">
        <w:rPr>
          <w:rFonts w:ascii="Times New Roman" w:hAnsi="Times New Roman" w:cs="Times New Roman"/>
          <w:lang w:val="ru-RU"/>
        </w:rPr>
        <w:t xml:space="preserve"> системи </w:t>
      </w:r>
      <w:r w:rsidRPr="00A013E1">
        <w:rPr>
          <w:rFonts w:ascii="Times New Roman" w:hAnsi="Times New Roman" w:cs="Times New Roman"/>
          <w:lang w:val="ru-RU"/>
        </w:rPr>
        <w:t xml:space="preserve">трябва да </w:t>
      </w:r>
      <w:r w:rsidR="00E063FD" w:rsidRPr="00A013E1">
        <w:rPr>
          <w:rFonts w:ascii="Times New Roman" w:hAnsi="Times New Roman" w:cs="Times New Roman"/>
          <w:lang w:val="ru-RU"/>
        </w:rPr>
        <w:t xml:space="preserve">бъдат </w:t>
      </w:r>
      <w:r w:rsidR="002E573D" w:rsidRPr="00A013E1">
        <w:rPr>
          <w:rFonts w:ascii="Times New Roman" w:hAnsi="Times New Roman" w:cs="Times New Roman"/>
          <w:lang w:val="ru-RU"/>
        </w:rPr>
        <w:t xml:space="preserve"> конфигурира</w:t>
      </w:r>
      <w:r w:rsidR="00E063FD" w:rsidRPr="00A013E1">
        <w:rPr>
          <w:rFonts w:ascii="Times New Roman" w:hAnsi="Times New Roman" w:cs="Times New Roman"/>
          <w:lang w:val="ru-RU"/>
        </w:rPr>
        <w:t>ни</w:t>
      </w:r>
      <w:r w:rsidRPr="00A013E1">
        <w:rPr>
          <w:rFonts w:ascii="Times New Roman" w:hAnsi="Times New Roman" w:cs="Times New Roman"/>
          <w:lang w:val="ru-RU"/>
        </w:rPr>
        <w:t>, така че да поддържа</w:t>
      </w:r>
      <w:r w:rsidR="002E573D" w:rsidRPr="00A013E1">
        <w:rPr>
          <w:rFonts w:ascii="Times New Roman" w:hAnsi="Times New Roman" w:cs="Times New Roman"/>
          <w:lang w:val="ru-RU"/>
        </w:rPr>
        <w:t>т</w:t>
      </w:r>
      <w:r w:rsidRPr="00A013E1">
        <w:rPr>
          <w:rFonts w:ascii="Times New Roman" w:hAnsi="Times New Roman" w:cs="Times New Roman"/>
          <w:lang w:val="ru-RU"/>
        </w:rPr>
        <w:t xml:space="preserve"> натрупването на неизгоряло газообразно гориво възможно най-ниско.</w:t>
      </w:r>
    </w:p>
    <w:p w14:paraId="2F28D1F0"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3.2.5.2 Освен ако не са проектирани, така че да издържат на най-лошия случай на свръхналягане поради изтичане на възпламенен газ, компонентите или системите на двигателя, които могат да съдържат запалима смес от газ и въздух, трябва да бъдат оборудвани с подходящи устройства за освобождаване на налягането.</w:t>
      </w:r>
    </w:p>
    <w:p w14:paraId="4C0AB52F" w14:textId="77777777"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lastRenderedPageBreak/>
        <w:t>3.2.5.3 Трябва да се осигурят средства за наблюдение и откриване на неправилна работа на системата за запалване, лошо горене или прекъсване на запалването, което може да доведе до неизгоряло газообразно гориво в изпускателната система по време на работа.</w:t>
      </w:r>
    </w:p>
    <w:p w14:paraId="0E531C46" w14:textId="2AC1FB4C" w:rsidR="00271FA2" w:rsidRPr="00A013E1" w:rsidRDefault="00D35E51" w:rsidP="00866293">
      <w:pPr>
        <w:pStyle w:val="Esann8let"/>
        <w:spacing w:before="0"/>
        <w:ind w:left="709" w:hanging="709"/>
        <w:jc w:val="both"/>
        <w:rPr>
          <w:rFonts w:ascii="Times New Roman" w:hAnsi="Times New Roman" w:cs="Times New Roman"/>
          <w:lang w:val="ru-RU"/>
        </w:rPr>
      </w:pPr>
      <w:r w:rsidRPr="00A013E1">
        <w:rPr>
          <w:rFonts w:ascii="Times New Roman" w:hAnsi="Times New Roman" w:cs="Times New Roman"/>
          <w:lang w:val="ru-RU"/>
        </w:rPr>
        <w:t>3.2.5.</w:t>
      </w:r>
      <w:r w:rsidR="00471B8D" w:rsidRPr="00A013E1">
        <w:rPr>
          <w:rFonts w:ascii="Times New Roman" w:hAnsi="Times New Roman" w:cs="Times New Roman"/>
          <w:lang w:val="ru-RU"/>
        </w:rPr>
        <w:t xml:space="preserve">4 </w:t>
      </w:r>
      <w:r w:rsidRPr="00A013E1">
        <w:rPr>
          <w:rFonts w:ascii="Times New Roman" w:hAnsi="Times New Roman" w:cs="Times New Roman"/>
          <w:lang w:val="ru-RU"/>
        </w:rPr>
        <w:t>Изпускателните тръби на газови или двугоривни двигатели не трябва да се свързват с изпускателните тръби на други двигатели или системи.</w:t>
      </w:r>
    </w:p>
    <w:p w14:paraId="65CAFDDF" w14:textId="77777777" w:rsidR="009168A1" w:rsidRPr="00A013E1" w:rsidRDefault="009168A1" w:rsidP="00866293">
      <w:pPr>
        <w:ind w:left="709" w:hanging="709"/>
        <w:jc w:val="both"/>
        <w:rPr>
          <w:rFonts w:ascii="Times New Roman" w:hAnsi="Times New Roman" w:cs="Times New Roman"/>
          <w:b/>
          <w:lang w:val="ru-RU"/>
        </w:rPr>
      </w:pPr>
      <w:r w:rsidRPr="00A013E1">
        <w:rPr>
          <w:rFonts w:ascii="Times New Roman" w:hAnsi="Times New Roman" w:cs="Times New Roman"/>
          <w:b/>
          <w:lang w:val="ru-RU"/>
        </w:rPr>
        <w:t xml:space="preserve">3.2.6 </w:t>
      </w:r>
      <w:r w:rsidRPr="00A013E1">
        <w:rPr>
          <w:rFonts w:ascii="Times New Roman" w:hAnsi="Times New Roman" w:cs="Times New Roman"/>
          <w:b/>
          <w:lang w:val="ru-RU"/>
        </w:rPr>
        <w:tab/>
        <w:t>Двигатели</w:t>
      </w:r>
    </w:p>
    <w:p w14:paraId="6557B4B4" w14:textId="77777777" w:rsidR="009168A1" w:rsidRPr="00A013E1" w:rsidRDefault="009168A1" w:rsidP="00866293">
      <w:pPr>
        <w:ind w:left="709" w:hanging="709"/>
        <w:jc w:val="both"/>
        <w:rPr>
          <w:rFonts w:ascii="Times New Roman" w:hAnsi="Times New Roman" w:cs="Times New Roman"/>
          <w:lang w:val="ru-RU"/>
        </w:rPr>
      </w:pPr>
      <w:r w:rsidRPr="00A013E1">
        <w:rPr>
          <w:rFonts w:ascii="Times New Roman" w:hAnsi="Times New Roman" w:cs="Times New Roman"/>
          <w:lang w:val="ru-RU"/>
        </w:rPr>
        <w:t>3.2.6.1 В рулевата рубка и машинното отделение се монтират индикатори за:</w:t>
      </w:r>
    </w:p>
    <w:p w14:paraId="70BC380D" w14:textId="77777777" w:rsidR="009168A1" w:rsidRPr="00A013E1" w:rsidRDefault="009168A1" w:rsidP="00866293">
      <w:pPr>
        <w:ind w:left="709"/>
        <w:jc w:val="both"/>
        <w:rPr>
          <w:rFonts w:ascii="Times New Roman" w:hAnsi="Times New Roman" w:cs="Times New Roman"/>
          <w:lang w:val="ru-RU"/>
        </w:rPr>
      </w:pPr>
      <w:r w:rsidRPr="00A013E1">
        <w:rPr>
          <w:rFonts w:ascii="Times New Roman" w:hAnsi="Times New Roman" w:cs="Times New Roman"/>
          <w:lang w:val="ru-RU"/>
        </w:rPr>
        <w:t>а) работа на двигателя в случай на двигател, работещ само с газ, или</w:t>
      </w:r>
    </w:p>
    <w:p w14:paraId="7FBF42AE" w14:textId="77777777" w:rsidR="009168A1" w:rsidRPr="00A013E1" w:rsidRDefault="009168A1" w:rsidP="00866293">
      <w:pPr>
        <w:ind w:left="709"/>
        <w:jc w:val="both"/>
        <w:rPr>
          <w:rFonts w:ascii="Times New Roman" w:hAnsi="Times New Roman" w:cs="Times New Roman"/>
          <w:lang w:val="ru-RU"/>
        </w:rPr>
      </w:pPr>
      <w:r w:rsidRPr="00A013E1">
        <w:rPr>
          <w:rFonts w:ascii="Times New Roman" w:hAnsi="Times New Roman" w:cs="Times New Roman"/>
          <w:lang w:val="ru-RU"/>
        </w:rPr>
        <w:t>б) работа и режим на работа на двигателя в случай на двигател с двойно гориво.</w:t>
      </w:r>
    </w:p>
    <w:p w14:paraId="2848ADB0" w14:textId="55FDF7F4" w:rsidR="009168A1" w:rsidRPr="00A013E1" w:rsidRDefault="009168A1" w:rsidP="00866293">
      <w:pPr>
        <w:ind w:left="709" w:hanging="709"/>
        <w:jc w:val="both"/>
        <w:rPr>
          <w:rFonts w:ascii="Times New Roman" w:hAnsi="Times New Roman" w:cs="Times New Roman"/>
          <w:lang w:val="ru-RU"/>
        </w:rPr>
      </w:pPr>
      <w:r w:rsidRPr="00A013E1">
        <w:rPr>
          <w:rFonts w:ascii="Times New Roman" w:hAnsi="Times New Roman" w:cs="Times New Roman"/>
          <w:lang w:val="ru-RU"/>
        </w:rPr>
        <w:t>3.2.6.2 Ако се открие неправилна работа на системата за запалване, лошо горене или прекъсване на запалването, системата за подаване на газ се изключва автоматично.</w:t>
      </w:r>
    </w:p>
    <w:p w14:paraId="073C04B2" w14:textId="5AA22E9A" w:rsidR="009168A1" w:rsidRPr="00A013E1" w:rsidRDefault="009168A1" w:rsidP="00866293">
      <w:pPr>
        <w:pStyle w:val="ListParagraph"/>
        <w:numPr>
          <w:ilvl w:val="3"/>
          <w:numId w:val="56"/>
        </w:numPr>
        <w:ind w:left="709" w:hanging="709"/>
        <w:jc w:val="both"/>
        <w:rPr>
          <w:rFonts w:ascii="Times New Roman" w:hAnsi="Times New Roman" w:cs="Times New Roman"/>
          <w:lang w:val="ru-RU"/>
        </w:rPr>
      </w:pPr>
      <w:r w:rsidRPr="00A013E1">
        <w:rPr>
          <w:rFonts w:ascii="Times New Roman" w:hAnsi="Times New Roman" w:cs="Times New Roman"/>
          <w:lang w:val="ru-RU"/>
        </w:rPr>
        <w:t>В случай на изключване на системата за подаване на газ в двигател с дв</w:t>
      </w:r>
      <w:r w:rsidR="009E678A" w:rsidRPr="00A013E1">
        <w:rPr>
          <w:rFonts w:ascii="Times New Roman" w:hAnsi="Times New Roman" w:cs="Times New Roman"/>
          <w:lang w:val="ru-RU"/>
        </w:rPr>
        <w:t>а вида</w:t>
      </w:r>
      <w:r w:rsidRPr="00A013E1">
        <w:rPr>
          <w:rFonts w:ascii="Times New Roman" w:hAnsi="Times New Roman" w:cs="Times New Roman"/>
          <w:lang w:val="ru-RU"/>
        </w:rPr>
        <w:t xml:space="preserve"> гориво, двигателят трябва да може да работи непрекъснато само с газьол без прекъсване. Ако захранването с гориво не се промени на газьол преди изключване на двигателя с дв</w:t>
      </w:r>
      <w:r w:rsidR="009E678A" w:rsidRPr="00A013E1">
        <w:rPr>
          <w:rFonts w:ascii="Times New Roman" w:hAnsi="Times New Roman" w:cs="Times New Roman"/>
          <w:lang w:val="ru-RU"/>
        </w:rPr>
        <w:t xml:space="preserve">а вида </w:t>
      </w:r>
      <w:r w:rsidRPr="00A013E1">
        <w:rPr>
          <w:rFonts w:ascii="Times New Roman" w:hAnsi="Times New Roman" w:cs="Times New Roman"/>
          <w:lang w:val="ru-RU"/>
        </w:rPr>
        <w:t xml:space="preserve"> гориво, системата за подаване на газ от главния горивен клапан към двигателя и изпускателната система трябва да бъдат продухани, за да се изпусне всеки остатъчен газ, който може да присъства.</w:t>
      </w:r>
    </w:p>
    <w:p w14:paraId="248CDD48" w14:textId="77777777" w:rsidR="009168A1" w:rsidRPr="00A013E1" w:rsidRDefault="009168A1">
      <w:pPr>
        <w:pStyle w:val="Esann8let"/>
        <w:spacing w:before="0"/>
        <w:ind w:left="567" w:hanging="567"/>
        <w:jc w:val="both"/>
        <w:rPr>
          <w:rFonts w:ascii="Times New Roman" w:hAnsi="Times New Roman" w:cs="Times New Roman"/>
          <w:lang w:val="ru-RU"/>
        </w:rPr>
      </w:pPr>
    </w:p>
    <w:p w14:paraId="4B11EAF9" w14:textId="77777777" w:rsidR="00271FA2" w:rsidRPr="00A013E1" w:rsidRDefault="00D35E51">
      <w:pPr>
        <w:pStyle w:val="Esann8let"/>
        <w:spacing w:before="0"/>
        <w:ind w:left="567" w:hanging="567"/>
        <w:jc w:val="center"/>
        <w:rPr>
          <w:rFonts w:ascii="Times New Roman" w:hAnsi="Times New Roman" w:cs="Times New Roman"/>
          <w:b/>
          <w:lang w:val="ru-RU"/>
        </w:rPr>
      </w:pPr>
      <w:r w:rsidRPr="00A013E1">
        <w:rPr>
          <w:rFonts w:ascii="Times New Roman" w:hAnsi="Times New Roman" w:cs="Times New Roman"/>
          <w:b/>
          <w:lang w:val="ru-RU"/>
        </w:rPr>
        <w:t>Глава 3</w:t>
      </w:r>
    </w:p>
    <w:p w14:paraId="097027CE" w14:textId="1AE2A356" w:rsidR="00271FA2" w:rsidRPr="00A013E1" w:rsidRDefault="00D35E51" w:rsidP="00866293">
      <w:pPr>
        <w:pStyle w:val="Esann8let"/>
        <w:spacing w:before="0" w:after="240"/>
        <w:ind w:left="709" w:hanging="709"/>
        <w:jc w:val="center"/>
        <w:rPr>
          <w:rFonts w:ascii="Times New Roman" w:hAnsi="Times New Roman" w:cs="Times New Roman"/>
          <w:b/>
          <w:lang w:val="ru-RU"/>
        </w:rPr>
      </w:pPr>
      <w:r w:rsidRPr="00A013E1">
        <w:rPr>
          <w:rFonts w:ascii="Times New Roman" w:hAnsi="Times New Roman" w:cs="Times New Roman"/>
          <w:b/>
          <w:lang w:val="ru-RU"/>
        </w:rPr>
        <w:t>Задвижващи и спомагателни системи с двигатели с вътрешно горене, използващи метанол като гориво</w:t>
      </w:r>
    </w:p>
    <w:p w14:paraId="74BAACEA" w14:textId="77777777" w:rsidR="009168A1" w:rsidRPr="00A013E1" w:rsidRDefault="009168A1" w:rsidP="00866293">
      <w:pPr>
        <w:ind w:left="709" w:hanging="709"/>
        <w:rPr>
          <w:rFonts w:ascii="Times New Roman" w:hAnsi="Times New Roman" w:cs="Times New Roman"/>
          <w:b/>
          <w:lang w:val="ru-RU"/>
        </w:rPr>
      </w:pPr>
      <w:r w:rsidRPr="00A013E1">
        <w:rPr>
          <w:rFonts w:ascii="Times New Roman" w:hAnsi="Times New Roman" w:cs="Times New Roman"/>
          <w:b/>
          <w:lang w:val="ru-RU"/>
        </w:rPr>
        <w:t xml:space="preserve">3.3.1 </w:t>
      </w:r>
      <w:r w:rsidRPr="00A013E1">
        <w:rPr>
          <w:rFonts w:ascii="Times New Roman" w:hAnsi="Times New Roman" w:cs="Times New Roman"/>
          <w:b/>
          <w:lang w:val="ru-RU"/>
        </w:rPr>
        <w:tab/>
        <w:t>Общи положения</w:t>
      </w:r>
    </w:p>
    <w:p w14:paraId="7666F245" w14:textId="4F030F58" w:rsidR="009168A1" w:rsidRPr="00A013E1" w:rsidRDefault="009168A1" w:rsidP="00866293">
      <w:pPr>
        <w:ind w:left="709" w:hanging="709"/>
        <w:rPr>
          <w:rFonts w:ascii="Times New Roman" w:hAnsi="Times New Roman" w:cs="Times New Roman"/>
          <w:lang w:val="ru-RU"/>
        </w:rPr>
      </w:pPr>
      <w:r w:rsidRPr="00A013E1">
        <w:rPr>
          <w:rFonts w:ascii="Times New Roman" w:hAnsi="Times New Roman" w:cs="Times New Roman"/>
          <w:lang w:val="ru-RU"/>
        </w:rPr>
        <w:t>3.3.1.1 Оборудването и тръбопроводите, съдържащи течно метанолно гориво, трябва да бъдат разположени в заграждения, пространства или канали, осигуряващи вторична бариера. Това изискване се прилага по-специално за филтри и фитинги на помпи.</w:t>
      </w:r>
    </w:p>
    <w:p w14:paraId="6AE934A0" w14:textId="4370954F" w:rsidR="009168A1" w:rsidRPr="00A013E1" w:rsidRDefault="009168A1" w:rsidP="00866293">
      <w:pPr>
        <w:ind w:left="709" w:hanging="709"/>
        <w:rPr>
          <w:rFonts w:ascii="Times New Roman" w:hAnsi="Times New Roman" w:cs="Times New Roman"/>
          <w:lang w:val="ru-RU"/>
        </w:rPr>
      </w:pPr>
      <w:r w:rsidRPr="00A013E1">
        <w:rPr>
          <w:rFonts w:ascii="Times New Roman" w:hAnsi="Times New Roman" w:cs="Times New Roman"/>
          <w:lang w:val="ru-RU"/>
        </w:rPr>
        <w:t xml:space="preserve">3.3.1.2 Изискванията на приложение 8, раздел </w:t>
      </w:r>
      <w:r w:rsidRPr="00A013E1">
        <w:rPr>
          <w:rFonts w:ascii="Times New Roman" w:hAnsi="Times New Roman" w:cs="Times New Roman"/>
        </w:rPr>
        <w:t>II</w:t>
      </w:r>
      <w:r w:rsidRPr="00A013E1">
        <w:rPr>
          <w:rFonts w:ascii="Times New Roman" w:hAnsi="Times New Roman" w:cs="Times New Roman"/>
          <w:lang w:val="ru-RU"/>
        </w:rPr>
        <w:t xml:space="preserve">, </w:t>
      </w:r>
      <w:r w:rsidR="00D51439" w:rsidRPr="00A013E1">
        <w:rPr>
          <w:rFonts w:ascii="Times New Roman" w:hAnsi="Times New Roman" w:cs="Times New Roman"/>
          <w:lang w:val="ru-RU"/>
        </w:rPr>
        <w:t>т.</w:t>
      </w:r>
      <w:r w:rsidRPr="00A013E1">
        <w:rPr>
          <w:rFonts w:ascii="Times New Roman" w:hAnsi="Times New Roman" w:cs="Times New Roman"/>
          <w:lang w:val="ru-RU"/>
        </w:rPr>
        <w:t>(2.2.6),</w:t>
      </w:r>
      <w:r w:rsidR="00D51439" w:rsidRPr="00A013E1">
        <w:rPr>
          <w:rFonts w:ascii="Times New Roman" w:hAnsi="Times New Roman" w:cs="Times New Roman"/>
          <w:lang w:val="ru-RU"/>
        </w:rPr>
        <w:t>т.</w:t>
      </w:r>
      <w:r w:rsidRPr="00A013E1">
        <w:rPr>
          <w:rFonts w:ascii="Times New Roman" w:hAnsi="Times New Roman" w:cs="Times New Roman"/>
          <w:lang w:val="ru-RU"/>
        </w:rPr>
        <w:t xml:space="preserve"> (2.2.7), </w:t>
      </w:r>
      <w:r w:rsidR="00D51439" w:rsidRPr="00A013E1">
        <w:rPr>
          <w:rFonts w:ascii="Times New Roman" w:hAnsi="Times New Roman" w:cs="Times New Roman"/>
          <w:lang w:val="ru-RU"/>
        </w:rPr>
        <w:t>т.</w:t>
      </w:r>
      <w:r w:rsidRPr="00A013E1">
        <w:rPr>
          <w:rFonts w:ascii="Times New Roman" w:hAnsi="Times New Roman" w:cs="Times New Roman"/>
          <w:lang w:val="ru-RU"/>
        </w:rPr>
        <w:t xml:space="preserve">(2.2.8), </w:t>
      </w:r>
      <w:r w:rsidR="00D51439" w:rsidRPr="00A013E1">
        <w:rPr>
          <w:rFonts w:ascii="Times New Roman" w:hAnsi="Times New Roman" w:cs="Times New Roman"/>
          <w:lang w:val="ru-RU"/>
        </w:rPr>
        <w:t>т.</w:t>
      </w:r>
      <w:r w:rsidRPr="00A013E1">
        <w:rPr>
          <w:rFonts w:ascii="Times New Roman" w:hAnsi="Times New Roman" w:cs="Times New Roman"/>
          <w:lang w:val="ru-RU"/>
        </w:rPr>
        <w:t>(2.2.9),</w:t>
      </w:r>
      <w:r w:rsidR="00D51439" w:rsidRPr="00A013E1">
        <w:rPr>
          <w:rFonts w:ascii="Times New Roman" w:hAnsi="Times New Roman" w:cs="Times New Roman"/>
          <w:lang w:val="ru-RU"/>
        </w:rPr>
        <w:t>т.</w:t>
      </w:r>
      <w:r w:rsidRPr="00A013E1">
        <w:rPr>
          <w:rFonts w:ascii="Times New Roman" w:hAnsi="Times New Roman" w:cs="Times New Roman"/>
          <w:lang w:val="ru-RU"/>
        </w:rPr>
        <w:t xml:space="preserve"> (2.2.11), </w:t>
      </w:r>
      <w:r w:rsidR="00D51439" w:rsidRPr="00A013E1">
        <w:rPr>
          <w:rFonts w:ascii="Times New Roman" w:hAnsi="Times New Roman" w:cs="Times New Roman"/>
          <w:lang w:val="ru-RU"/>
        </w:rPr>
        <w:t>т.</w:t>
      </w:r>
      <w:r w:rsidRPr="00A013E1">
        <w:rPr>
          <w:rFonts w:ascii="Times New Roman" w:hAnsi="Times New Roman" w:cs="Times New Roman"/>
          <w:lang w:val="ru-RU"/>
        </w:rPr>
        <w:t>(2.2.12),</w:t>
      </w:r>
      <w:r w:rsidR="002E1B8D" w:rsidRPr="00A013E1">
        <w:rPr>
          <w:rFonts w:ascii="Times New Roman" w:hAnsi="Times New Roman" w:cs="Times New Roman"/>
          <w:lang w:val="ru-RU"/>
        </w:rPr>
        <w:t xml:space="preserve"> </w:t>
      </w:r>
      <w:r w:rsidRPr="00A013E1">
        <w:rPr>
          <w:rFonts w:ascii="Times New Roman" w:hAnsi="Times New Roman" w:cs="Times New Roman"/>
          <w:lang w:val="ru-RU"/>
        </w:rPr>
        <w:t>(</w:t>
      </w:r>
      <w:r w:rsidR="00D51439" w:rsidRPr="00A013E1">
        <w:rPr>
          <w:rFonts w:ascii="Times New Roman" w:hAnsi="Times New Roman" w:cs="Times New Roman"/>
          <w:lang w:val="ru-RU"/>
        </w:rPr>
        <w:t>т.</w:t>
      </w:r>
      <w:r w:rsidRPr="00A013E1">
        <w:rPr>
          <w:rFonts w:ascii="Times New Roman" w:hAnsi="Times New Roman" w:cs="Times New Roman"/>
          <w:lang w:val="ru-RU"/>
        </w:rPr>
        <w:t>2.2.13) се прилагат и за задвижващи и спомагателни системи с двигатели с вътрешно горене, използващи метанол като гориво.</w:t>
      </w:r>
    </w:p>
    <w:p w14:paraId="5D756A6F" w14:textId="77777777" w:rsidR="009168A1" w:rsidRPr="00A013E1" w:rsidRDefault="009168A1" w:rsidP="00866293">
      <w:pPr>
        <w:ind w:left="709" w:hanging="709"/>
        <w:rPr>
          <w:rFonts w:ascii="Times New Roman" w:hAnsi="Times New Roman" w:cs="Times New Roman"/>
          <w:lang w:val="ru-RU"/>
        </w:rPr>
      </w:pPr>
      <w:r w:rsidRPr="00A013E1">
        <w:rPr>
          <w:rFonts w:ascii="Times New Roman" w:hAnsi="Times New Roman" w:cs="Times New Roman"/>
          <w:lang w:val="ru-RU"/>
        </w:rPr>
        <w:t>3.3.1.3 Към машинните отделения се прилага една от следните концепции:</w:t>
      </w:r>
    </w:p>
    <w:p w14:paraId="7C811FA7" w14:textId="511CD895" w:rsidR="009168A1" w:rsidRPr="00A013E1" w:rsidRDefault="009168A1" w:rsidP="00866293">
      <w:pPr>
        <w:ind w:left="709"/>
        <w:rPr>
          <w:rFonts w:ascii="Times New Roman" w:hAnsi="Times New Roman" w:cs="Times New Roman"/>
          <w:lang w:val="ru-RU"/>
        </w:rPr>
      </w:pPr>
      <w:r w:rsidRPr="00A013E1">
        <w:rPr>
          <w:rFonts w:ascii="Times New Roman" w:hAnsi="Times New Roman" w:cs="Times New Roman"/>
          <w:lang w:val="ru-RU"/>
        </w:rPr>
        <w:t xml:space="preserve">а) </w:t>
      </w:r>
      <w:r w:rsidR="002D657D" w:rsidRPr="00A013E1">
        <w:rPr>
          <w:rFonts w:ascii="Times New Roman" w:hAnsi="Times New Roman" w:cs="Times New Roman"/>
          <w:lang w:val="ru-RU"/>
        </w:rPr>
        <w:t xml:space="preserve">газобезопасно </w:t>
      </w:r>
      <w:r w:rsidRPr="00A013E1">
        <w:rPr>
          <w:rFonts w:ascii="Times New Roman" w:hAnsi="Times New Roman" w:cs="Times New Roman"/>
          <w:lang w:val="ru-RU"/>
        </w:rPr>
        <w:t>машинно отделение, , или</w:t>
      </w:r>
    </w:p>
    <w:p w14:paraId="00A84920" w14:textId="77777777" w:rsidR="009168A1" w:rsidRPr="00A013E1" w:rsidRDefault="009168A1" w:rsidP="00866293">
      <w:pPr>
        <w:ind w:left="709"/>
        <w:rPr>
          <w:rFonts w:ascii="Times New Roman" w:hAnsi="Times New Roman" w:cs="Times New Roman"/>
          <w:lang w:val="ru-RU"/>
        </w:rPr>
      </w:pPr>
      <w:r w:rsidRPr="00A013E1">
        <w:rPr>
          <w:rFonts w:ascii="Times New Roman" w:hAnsi="Times New Roman" w:cs="Times New Roman"/>
          <w:lang w:val="ru-RU"/>
        </w:rPr>
        <w:t>б) вентилирано машинно отделение.</w:t>
      </w:r>
    </w:p>
    <w:p w14:paraId="4223ECEE" w14:textId="77777777" w:rsidR="009168A1" w:rsidRPr="00A013E1" w:rsidRDefault="009168A1" w:rsidP="00866293">
      <w:pPr>
        <w:ind w:left="709"/>
        <w:rPr>
          <w:rFonts w:ascii="Times New Roman" w:hAnsi="Times New Roman" w:cs="Times New Roman"/>
          <w:lang w:val="ru-RU"/>
        </w:rPr>
      </w:pPr>
      <w:r w:rsidRPr="00A013E1">
        <w:rPr>
          <w:rFonts w:ascii="Times New Roman" w:hAnsi="Times New Roman" w:cs="Times New Roman"/>
          <w:lang w:val="ru-RU"/>
        </w:rPr>
        <w:t>Всички останали помещения, където са монтирани машини, които използват метанол като гориво, като помпени помещения или котелни, трябва да бъдат подложени на същото изискване като машинните отделения.</w:t>
      </w:r>
    </w:p>
    <w:p w14:paraId="358D097C" w14:textId="5234965B" w:rsidR="009168A1" w:rsidRPr="00A013E1" w:rsidRDefault="009168A1" w:rsidP="00866293">
      <w:pPr>
        <w:ind w:left="709" w:hanging="709"/>
        <w:jc w:val="both"/>
        <w:rPr>
          <w:rFonts w:ascii="Times New Roman" w:hAnsi="Times New Roman" w:cs="Times New Roman"/>
          <w:b/>
          <w:lang w:val="ru-RU"/>
        </w:rPr>
      </w:pPr>
      <w:r w:rsidRPr="00A013E1">
        <w:rPr>
          <w:rFonts w:ascii="Times New Roman" w:hAnsi="Times New Roman" w:cs="Times New Roman"/>
          <w:b/>
          <w:lang w:val="ru-RU"/>
        </w:rPr>
        <w:t xml:space="preserve">3.3.2 </w:t>
      </w:r>
      <w:r w:rsidRPr="00A013E1">
        <w:rPr>
          <w:rFonts w:ascii="Times New Roman" w:hAnsi="Times New Roman" w:cs="Times New Roman"/>
          <w:b/>
          <w:lang w:val="ru-RU"/>
        </w:rPr>
        <w:tab/>
        <w:t xml:space="preserve">Изисквания за </w:t>
      </w:r>
      <w:r w:rsidR="002D657D" w:rsidRPr="00A013E1">
        <w:rPr>
          <w:rFonts w:ascii="Times New Roman" w:hAnsi="Times New Roman" w:cs="Times New Roman"/>
          <w:b/>
          <w:lang w:val="ru-RU"/>
        </w:rPr>
        <w:t xml:space="preserve">газобезопасни </w:t>
      </w:r>
      <w:r w:rsidRPr="00A013E1">
        <w:rPr>
          <w:rFonts w:ascii="Times New Roman" w:hAnsi="Times New Roman" w:cs="Times New Roman"/>
          <w:b/>
          <w:lang w:val="ru-RU"/>
        </w:rPr>
        <w:t xml:space="preserve"> машинни отделения</w:t>
      </w:r>
    </w:p>
    <w:p w14:paraId="6DE92E1E" w14:textId="430D5D36" w:rsidR="009168A1" w:rsidRPr="00A013E1" w:rsidRDefault="009168A1" w:rsidP="00866293">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3.3.2.1 </w:t>
      </w:r>
      <w:r w:rsidR="002D657D" w:rsidRPr="00A013E1">
        <w:rPr>
          <w:rFonts w:ascii="Times New Roman" w:hAnsi="Times New Roman" w:cs="Times New Roman"/>
          <w:lang w:val="ru-RU"/>
        </w:rPr>
        <w:t xml:space="preserve">Газобезопасните </w:t>
      </w:r>
      <w:r w:rsidRPr="00A013E1">
        <w:rPr>
          <w:rFonts w:ascii="Times New Roman" w:hAnsi="Times New Roman" w:cs="Times New Roman"/>
          <w:lang w:val="ru-RU"/>
        </w:rPr>
        <w:t xml:space="preserve"> машинни отделения трябва да са безопасни при всякакви условия („концепция за безопасност по своята същност“). Единична повреда в системата за метанол не трябва да води до изтичане на метанол в машинното отделение.</w:t>
      </w:r>
    </w:p>
    <w:p w14:paraId="259B2152" w14:textId="43EBE4EE" w:rsidR="009168A1" w:rsidRPr="00A013E1" w:rsidRDefault="009168A1" w:rsidP="00866293">
      <w:pPr>
        <w:ind w:left="709" w:hanging="709"/>
        <w:jc w:val="both"/>
        <w:rPr>
          <w:rFonts w:ascii="Times New Roman" w:hAnsi="Times New Roman" w:cs="Times New Roman"/>
          <w:lang w:val="ru-RU"/>
        </w:rPr>
      </w:pPr>
      <w:r w:rsidRPr="00A013E1">
        <w:rPr>
          <w:rFonts w:ascii="Times New Roman" w:hAnsi="Times New Roman" w:cs="Times New Roman"/>
          <w:lang w:val="ru-RU"/>
        </w:rPr>
        <w:lastRenderedPageBreak/>
        <w:t xml:space="preserve">3.3.2.2 Тръбопроводите и оборудването за метанол в границите на машинното отделение трябва да бъдат заобиколени от вторична бариера за ограничаване и откриване на изтичане в съответствие с изискванията в </w:t>
      </w:r>
      <w:r w:rsidR="001D5152" w:rsidRPr="00A013E1">
        <w:rPr>
          <w:rFonts w:ascii="Times New Roman" w:hAnsi="Times New Roman" w:cs="Times New Roman"/>
          <w:lang w:val="ru-RU"/>
        </w:rPr>
        <w:t xml:space="preserve">буква </w:t>
      </w:r>
      <w:r w:rsidRPr="00A013E1">
        <w:rPr>
          <w:rFonts w:ascii="Times New Roman" w:hAnsi="Times New Roman" w:cs="Times New Roman"/>
          <w:lang w:val="ru-RU"/>
        </w:rPr>
        <w:t xml:space="preserve">(а) или </w:t>
      </w:r>
      <w:r w:rsidR="001D5152" w:rsidRPr="00A013E1">
        <w:rPr>
          <w:rFonts w:ascii="Times New Roman" w:hAnsi="Times New Roman" w:cs="Times New Roman"/>
          <w:lang w:val="ru-RU"/>
        </w:rPr>
        <w:t xml:space="preserve">буква </w:t>
      </w:r>
      <w:r w:rsidRPr="00A013E1">
        <w:rPr>
          <w:rFonts w:ascii="Times New Roman" w:hAnsi="Times New Roman" w:cs="Times New Roman"/>
          <w:lang w:val="ru-RU"/>
        </w:rPr>
        <w:t>(б).</w:t>
      </w:r>
    </w:p>
    <w:p w14:paraId="4B5A1A55" w14:textId="72BDA9BF" w:rsidR="009168A1" w:rsidRPr="00A013E1" w:rsidRDefault="009168A1" w:rsidP="00866293">
      <w:pPr>
        <w:ind w:left="709"/>
        <w:jc w:val="both"/>
        <w:rPr>
          <w:rFonts w:ascii="Times New Roman" w:hAnsi="Times New Roman" w:cs="Times New Roman"/>
          <w:lang w:val="ru-RU"/>
        </w:rPr>
      </w:pPr>
      <w:r w:rsidRPr="00A013E1">
        <w:rPr>
          <w:rFonts w:ascii="Times New Roman" w:hAnsi="Times New Roman" w:cs="Times New Roman"/>
          <w:lang w:val="ru-RU"/>
        </w:rPr>
        <w:t xml:space="preserve">а) Тръбопроводът за метанол трябва да бъде двустенен, като метанолът се съдържа във вътрешната тръба. Проектното налягане на вторичната преграда около вътрешната тръба не трябва да бъде по-малко от максималното работно налягане на вътрешната тръба. Като алтернатива вторичната бариера около вътрешната тръба трябва да бъде оразмерена в съответствие с изчисленото максимално </w:t>
      </w:r>
      <w:r w:rsidR="00EA585F" w:rsidRPr="00A013E1">
        <w:rPr>
          <w:rFonts w:ascii="Times New Roman" w:hAnsi="Times New Roman" w:cs="Times New Roman"/>
          <w:lang w:val="ru-RU"/>
        </w:rPr>
        <w:t xml:space="preserve"> допустимото</w:t>
      </w:r>
      <w:r w:rsidRPr="00A013E1">
        <w:rPr>
          <w:rFonts w:ascii="Times New Roman" w:hAnsi="Times New Roman" w:cs="Times New Roman"/>
          <w:lang w:val="ru-RU"/>
        </w:rPr>
        <w:t xml:space="preserve"> налягане в случай на скъсване на тръбата. Осигуряват се подходящи аларми за откриване и индикация на изтичане от вътрешната тръба. Оптична и акустична аларма трябва да се задейства</w:t>
      </w:r>
      <w:r w:rsidR="001D5152" w:rsidRPr="00A013E1">
        <w:rPr>
          <w:rFonts w:ascii="Times New Roman" w:hAnsi="Times New Roman" w:cs="Times New Roman"/>
          <w:lang w:val="ru-RU"/>
        </w:rPr>
        <w:t>т</w:t>
      </w:r>
      <w:r w:rsidRPr="00A013E1">
        <w:rPr>
          <w:rFonts w:ascii="Times New Roman" w:hAnsi="Times New Roman" w:cs="Times New Roman"/>
          <w:lang w:val="ru-RU"/>
        </w:rPr>
        <w:t xml:space="preserve"> в рулевата рубка или на друго място с постоянен персонал в случай на повреда на вътрешната бариера или откриване на теч.</w:t>
      </w:r>
    </w:p>
    <w:p w14:paraId="5AB11D06" w14:textId="12341702" w:rsidR="009168A1" w:rsidRPr="00A013E1" w:rsidRDefault="009168A1" w:rsidP="00866293">
      <w:pPr>
        <w:ind w:left="709"/>
        <w:jc w:val="both"/>
        <w:rPr>
          <w:rFonts w:ascii="Times New Roman" w:hAnsi="Times New Roman" w:cs="Times New Roman"/>
          <w:lang w:val="ru-RU"/>
        </w:rPr>
      </w:pPr>
      <w:r w:rsidRPr="00A013E1">
        <w:rPr>
          <w:rFonts w:ascii="Times New Roman" w:hAnsi="Times New Roman" w:cs="Times New Roman"/>
          <w:lang w:val="ru-RU"/>
        </w:rPr>
        <w:t xml:space="preserve">б) Тръбопроводите и оборудването за метанол трябва да бъдат монтирани във вентилирани канали или заграждения. Междубариерното пространство между тръбопровода (или оборудването) за метанол и стената на канала или заграждението трябва да бъде оборудвано с механична смукателна вентилация с капацитет най-малко 6 обмена на въздух на час. Вентилационната система трябва да отговаря на изискванията на </w:t>
      </w:r>
      <w:r w:rsidR="001D5152" w:rsidRPr="00A013E1">
        <w:rPr>
          <w:rFonts w:ascii="Times New Roman" w:hAnsi="Times New Roman" w:cs="Times New Roman"/>
          <w:lang w:val="ru-RU"/>
        </w:rPr>
        <w:t xml:space="preserve">точка </w:t>
      </w:r>
      <w:r w:rsidRPr="00A013E1">
        <w:rPr>
          <w:rFonts w:ascii="Times New Roman" w:hAnsi="Times New Roman" w:cs="Times New Roman"/>
          <w:lang w:val="ru-RU"/>
        </w:rPr>
        <w:t>(2.2.9).</w:t>
      </w:r>
    </w:p>
    <w:p w14:paraId="141655B7" w14:textId="56691631" w:rsidR="009168A1" w:rsidRPr="00A013E1" w:rsidRDefault="009168A1" w:rsidP="00866293">
      <w:pPr>
        <w:ind w:left="709"/>
        <w:jc w:val="both"/>
        <w:rPr>
          <w:rFonts w:ascii="Times New Roman" w:hAnsi="Times New Roman" w:cs="Times New Roman"/>
          <w:lang w:val="ru-RU"/>
        </w:rPr>
      </w:pPr>
      <w:r w:rsidRPr="00A013E1">
        <w:rPr>
          <w:rFonts w:ascii="Times New Roman" w:hAnsi="Times New Roman" w:cs="Times New Roman"/>
          <w:lang w:val="ru-RU"/>
        </w:rPr>
        <w:t>Изтичането на метанол във вентилираните канали или заграждения трябва да се откри</w:t>
      </w:r>
      <w:r w:rsidR="005D35CE" w:rsidRPr="00A013E1">
        <w:rPr>
          <w:rFonts w:ascii="Times New Roman" w:hAnsi="Times New Roman" w:cs="Times New Roman"/>
          <w:lang w:val="ru-RU"/>
        </w:rPr>
        <w:t>ва</w:t>
      </w:r>
      <w:r w:rsidRPr="00A013E1">
        <w:rPr>
          <w:rFonts w:ascii="Times New Roman" w:hAnsi="Times New Roman" w:cs="Times New Roman"/>
          <w:lang w:val="ru-RU"/>
        </w:rPr>
        <w:t xml:space="preserve"> с помощта на подходящи детектори в съответствие с (</w:t>
      </w:r>
      <w:r w:rsidR="001D5152" w:rsidRPr="00A013E1">
        <w:rPr>
          <w:rFonts w:ascii="Times New Roman" w:hAnsi="Times New Roman" w:cs="Times New Roman"/>
          <w:lang w:val="ru-RU"/>
        </w:rPr>
        <w:t xml:space="preserve">точка </w:t>
      </w:r>
      <w:r w:rsidRPr="00A013E1">
        <w:rPr>
          <w:rFonts w:ascii="Times New Roman" w:hAnsi="Times New Roman" w:cs="Times New Roman"/>
          <w:lang w:val="ru-RU"/>
        </w:rPr>
        <w:t xml:space="preserve">2.2.13.3). Изтичането на метанол трябва да бъде безопасно събрано и дренирано посредством устройства за събиране на </w:t>
      </w:r>
      <w:r w:rsidR="001D5152" w:rsidRPr="00A013E1">
        <w:rPr>
          <w:rFonts w:ascii="Times New Roman" w:hAnsi="Times New Roman" w:cs="Times New Roman"/>
          <w:lang w:val="ru-RU"/>
        </w:rPr>
        <w:t xml:space="preserve"> теч</w:t>
      </w:r>
      <w:r w:rsidRPr="00A013E1">
        <w:rPr>
          <w:rFonts w:ascii="Times New Roman" w:hAnsi="Times New Roman" w:cs="Times New Roman"/>
          <w:lang w:val="ru-RU"/>
        </w:rPr>
        <w:t>. Трябва да се задейства оптична и акустична аларма в машинното отделение и в рулевата рубка или на всяко друго място с постоянен персонал в случай на</w:t>
      </w:r>
    </w:p>
    <w:p w14:paraId="37E30E25" w14:textId="77777777" w:rsidR="009168A1" w:rsidRPr="00A013E1" w:rsidRDefault="009168A1" w:rsidP="00866293">
      <w:pPr>
        <w:ind w:left="709"/>
        <w:rPr>
          <w:rFonts w:ascii="Times New Roman" w:hAnsi="Times New Roman" w:cs="Times New Roman"/>
          <w:lang w:val="ru-RU"/>
        </w:rPr>
      </w:pPr>
      <w:r w:rsidRPr="00A013E1">
        <w:rPr>
          <w:rFonts w:ascii="Times New Roman" w:hAnsi="Times New Roman" w:cs="Times New Roman"/>
          <w:lang w:val="ru-RU"/>
        </w:rPr>
        <w:t xml:space="preserve">аа) откриване на изтичане в междупреградното пространство, </w:t>
      </w:r>
    </w:p>
    <w:p w14:paraId="1CA271EB" w14:textId="77777777" w:rsidR="009168A1" w:rsidRPr="00A013E1" w:rsidRDefault="009168A1" w:rsidP="00866293">
      <w:pPr>
        <w:ind w:left="709"/>
        <w:rPr>
          <w:rFonts w:ascii="Times New Roman" w:hAnsi="Times New Roman" w:cs="Times New Roman"/>
          <w:lang w:val="ru-RU"/>
        </w:rPr>
      </w:pPr>
      <w:r w:rsidRPr="00A013E1">
        <w:rPr>
          <w:rFonts w:ascii="Times New Roman" w:hAnsi="Times New Roman" w:cs="Times New Roman"/>
          <w:lang w:val="ru-RU"/>
        </w:rPr>
        <w:t>или</w:t>
      </w:r>
    </w:p>
    <w:p w14:paraId="1EF8FAFF" w14:textId="77777777" w:rsidR="009168A1" w:rsidRPr="00A013E1" w:rsidRDefault="009168A1" w:rsidP="00866293">
      <w:pPr>
        <w:ind w:left="709"/>
        <w:rPr>
          <w:rFonts w:ascii="Times New Roman" w:hAnsi="Times New Roman" w:cs="Times New Roman"/>
          <w:lang w:val="ru-RU"/>
        </w:rPr>
      </w:pPr>
      <w:r w:rsidRPr="00A013E1">
        <w:rPr>
          <w:rFonts w:ascii="Times New Roman" w:hAnsi="Times New Roman" w:cs="Times New Roman"/>
          <w:lang w:val="ru-RU"/>
        </w:rPr>
        <w:t>бб) повреда на вентилационната система.</w:t>
      </w:r>
    </w:p>
    <w:p w14:paraId="35BEBAA9" w14:textId="77777777"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3.3.2.3 Газобезопасните машинни отделения се считат за неопасни зони, освен ако оценката на риска съгласно член 30.04 не покаже друго.</w:t>
      </w:r>
    </w:p>
    <w:p w14:paraId="6B524B5A" w14:textId="77777777" w:rsidR="009168A1" w:rsidRPr="00A013E1" w:rsidRDefault="009168A1" w:rsidP="005F12C5">
      <w:pPr>
        <w:ind w:left="709" w:hanging="709"/>
        <w:jc w:val="both"/>
        <w:rPr>
          <w:rFonts w:ascii="Times New Roman" w:hAnsi="Times New Roman" w:cs="Times New Roman"/>
          <w:b/>
          <w:lang w:val="ru-RU"/>
        </w:rPr>
      </w:pPr>
      <w:r w:rsidRPr="00A013E1">
        <w:rPr>
          <w:rFonts w:ascii="Times New Roman" w:hAnsi="Times New Roman" w:cs="Times New Roman"/>
          <w:b/>
          <w:lang w:val="ru-RU"/>
        </w:rPr>
        <w:t xml:space="preserve">3.3.3 </w:t>
      </w:r>
      <w:r w:rsidRPr="00A013E1">
        <w:rPr>
          <w:rFonts w:ascii="Times New Roman" w:hAnsi="Times New Roman" w:cs="Times New Roman"/>
          <w:b/>
          <w:lang w:val="ru-RU"/>
        </w:rPr>
        <w:tab/>
        <w:t>Изисквания за вентилирани машинни отделения</w:t>
      </w:r>
    </w:p>
    <w:p w14:paraId="5CAAF2DE" w14:textId="77777777"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3.3.3.1 Възможните опасни зони във вентилираните машинни отделения трябва да бъдат класифицирани в съответствие с член 10.04.</w:t>
      </w:r>
    </w:p>
    <w:p w14:paraId="5BFF297F" w14:textId="4C8C49B1"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3.3.3.2 В съответствие с член 10.04 е разрешено само оборудване, подходящо за опасните зони, класифицирани съгласно </w:t>
      </w:r>
      <w:r w:rsidR="00C86AE9" w:rsidRPr="00A013E1">
        <w:rPr>
          <w:rFonts w:ascii="Times New Roman" w:hAnsi="Times New Roman" w:cs="Times New Roman"/>
          <w:lang w:val="ru-RU"/>
        </w:rPr>
        <w:t xml:space="preserve">точка </w:t>
      </w:r>
      <w:r w:rsidRPr="00A013E1">
        <w:rPr>
          <w:rFonts w:ascii="Times New Roman" w:hAnsi="Times New Roman" w:cs="Times New Roman"/>
          <w:lang w:val="ru-RU"/>
        </w:rPr>
        <w:t xml:space="preserve">3.3.3.1. Това се счита за изпълнено, ако оборудването отговаря на съответните разпоредби на серия европейски стандарти </w:t>
      </w:r>
      <w:r w:rsidRPr="00A013E1">
        <w:rPr>
          <w:rFonts w:ascii="Times New Roman" w:hAnsi="Times New Roman" w:cs="Times New Roman"/>
        </w:rPr>
        <w:t>EN</w:t>
      </w:r>
      <w:r w:rsidRPr="00A013E1">
        <w:rPr>
          <w:rFonts w:ascii="Times New Roman" w:hAnsi="Times New Roman" w:cs="Times New Roman"/>
          <w:lang w:val="ru-RU"/>
        </w:rPr>
        <w:t xml:space="preserve"> 60079.</w:t>
      </w:r>
    </w:p>
    <w:p w14:paraId="694FA25F" w14:textId="757C12CC"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3.3.3.3 Чрез дерогация от </w:t>
      </w:r>
      <w:r w:rsidR="00C86AE9" w:rsidRPr="00A013E1">
        <w:rPr>
          <w:rFonts w:ascii="Times New Roman" w:hAnsi="Times New Roman" w:cs="Times New Roman"/>
          <w:lang w:val="ru-RU"/>
        </w:rPr>
        <w:t xml:space="preserve">точка </w:t>
      </w:r>
      <w:r w:rsidRPr="00A013E1">
        <w:rPr>
          <w:rFonts w:ascii="Times New Roman" w:hAnsi="Times New Roman" w:cs="Times New Roman"/>
          <w:lang w:val="ru-RU"/>
        </w:rPr>
        <w:t>3.3.1.1, функцията на вторичната бариера се постига чрез механична вентилация, осигуряваща постоянно отрицателно налягане спрямо съседните помещения.</w:t>
      </w:r>
    </w:p>
    <w:p w14:paraId="5557B032" w14:textId="34EB963A"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3.3.3.4 В допълнение към разпоредбите на </w:t>
      </w:r>
      <w:r w:rsidR="00C86AE9" w:rsidRPr="00A013E1">
        <w:rPr>
          <w:rFonts w:ascii="Times New Roman" w:hAnsi="Times New Roman" w:cs="Times New Roman"/>
          <w:lang w:val="ru-RU"/>
        </w:rPr>
        <w:t xml:space="preserve">точка </w:t>
      </w:r>
      <w:r w:rsidRPr="00A013E1">
        <w:rPr>
          <w:rFonts w:ascii="Times New Roman" w:hAnsi="Times New Roman" w:cs="Times New Roman"/>
          <w:lang w:val="ru-RU"/>
        </w:rPr>
        <w:t>2.2.9, вентилационната система трябва:</w:t>
      </w:r>
    </w:p>
    <w:p w14:paraId="200F6082" w14:textId="6BF391FC"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 xml:space="preserve">а) </w:t>
      </w:r>
      <w:r w:rsidR="00C86AE9" w:rsidRPr="00A013E1">
        <w:rPr>
          <w:rFonts w:ascii="Times New Roman" w:hAnsi="Times New Roman" w:cs="Times New Roman"/>
          <w:lang w:val="ru-RU"/>
        </w:rPr>
        <w:t xml:space="preserve">да </w:t>
      </w:r>
      <w:r w:rsidRPr="00A013E1">
        <w:rPr>
          <w:rFonts w:ascii="Times New Roman" w:hAnsi="Times New Roman" w:cs="Times New Roman"/>
          <w:lang w:val="ru-RU"/>
        </w:rPr>
        <w:t xml:space="preserve">гарантира достатъчен капацитет, </w:t>
      </w:r>
      <w:r w:rsidR="00C86AE9" w:rsidRPr="00A013E1">
        <w:rPr>
          <w:rFonts w:ascii="Times New Roman" w:hAnsi="Times New Roman" w:cs="Times New Roman"/>
          <w:lang w:val="ru-RU"/>
        </w:rPr>
        <w:t xml:space="preserve"> така</w:t>
      </w:r>
      <w:r w:rsidRPr="00A013E1">
        <w:rPr>
          <w:rFonts w:ascii="Times New Roman" w:hAnsi="Times New Roman" w:cs="Times New Roman"/>
          <w:lang w:val="ru-RU"/>
        </w:rPr>
        <w:t xml:space="preserve">, че брутният обем на въздуха в машинното отделение да се </w:t>
      </w:r>
      <w:r w:rsidR="00C86AE9" w:rsidRPr="00A013E1">
        <w:rPr>
          <w:rFonts w:ascii="Times New Roman" w:hAnsi="Times New Roman" w:cs="Times New Roman"/>
          <w:lang w:val="ru-RU"/>
        </w:rPr>
        <w:t xml:space="preserve"> </w:t>
      </w:r>
      <w:r w:rsidR="00B35241" w:rsidRPr="00A013E1">
        <w:rPr>
          <w:rFonts w:ascii="Times New Roman" w:hAnsi="Times New Roman" w:cs="Times New Roman"/>
          <w:lang w:val="ru-RU"/>
        </w:rPr>
        <w:t>обменя</w:t>
      </w:r>
      <w:r w:rsidRPr="00A013E1">
        <w:rPr>
          <w:rFonts w:ascii="Times New Roman" w:hAnsi="Times New Roman" w:cs="Times New Roman"/>
          <w:lang w:val="ru-RU"/>
        </w:rPr>
        <w:t xml:space="preserve"> най-малко 6 пъти на час,</w:t>
      </w:r>
    </w:p>
    <w:p w14:paraId="08F615C0" w14:textId="77777777"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б) да е независима от всички други вентилационни системи.</w:t>
      </w:r>
    </w:p>
    <w:p w14:paraId="0207DDEE" w14:textId="77777777"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3.3.3.5 В случай на изтичане, водещо до концентрация на метанолни пари над 250 </w:t>
      </w:r>
      <w:r w:rsidRPr="00A013E1">
        <w:rPr>
          <w:rFonts w:ascii="Times New Roman" w:hAnsi="Times New Roman" w:cs="Times New Roman"/>
        </w:rPr>
        <w:t>ppm</w:t>
      </w:r>
      <w:r w:rsidRPr="00A013E1">
        <w:rPr>
          <w:rFonts w:ascii="Times New Roman" w:hAnsi="Times New Roman" w:cs="Times New Roman"/>
          <w:lang w:val="ru-RU"/>
        </w:rPr>
        <w:t xml:space="preserve"> в машинното отделение, трябва да се задейства оптична и звукова аларма в</w:t>
      </w:r>
    </w:p>
    <w:p w14:paraId="02D9982E" w14:textId="77777777"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а) машинното отделение и</w:t>
      </w:r>
    </w:p>
    <w:p w14:paraId="70AFD056" w14:textId="77777777"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lastRenderedPageBreak/>
        <w:t>б) рулевата рубка или на всяко друго място с постоянен персонал.</w:t>
      </w:r>
    </w:p>
    <w:p w14:paraId="406190B5" w14:textId="4BDAF14C"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3.3.3.6</w:t>
      </w:r>
      <w:r w:rsidR="00632558" w:rsidRPr="00A013E1">
        <w:rPr>
          <w:rFonts w:ascii="Times New Roman" w:hAnsi="Times New Roman" w:cs="Times New Roman"/>
          <w:lang w:val="ru-RU"/>
        </w:rPr>
        <w:t xml:space="preserve"> </w:t>
      </w:r>
      <w:r w:rsidRPr="00A013E1">
        <w:rPr>
          <w:rFonts w:ascii="Times New Roman" w:hAnsi="Times New Roman" w:cs="Times New Roman"/>
          <w:lang w:val="ru-RU"/>
        </w:rPr>
        <w:t xml:space="preserve"> В случай на изтичане, което води до концентрация на метанолни пари над 40 % от долната граница на експлозия (</w:t>
      </w:r>
      <w:r w:rsidRPr="00A013E1">
        <w:rPr>
          <w:rFonts w:ascii="Times New Roman" w:hAnsi="Times New Roman" w:cs="Times New Roman"/>
        </w:rPr>
        <w:t>LEL</w:t>
      </w:r>
      <w:r w:rsidRPr="00A013E1">
        <w:rPr>
          <w:rFonts w:ascii="Times New Roman" w:hAnsi="Times New Roman" w:cs="Times New Roman"/>
          <w:lang w:val="ru-RU"/>
        </w:rPr>
        <w:t>) в машинното отделение или повреда на вентилационната система:</w:t>
      </w:r>
    </w:p>
    <w:p w14:paraId="79F958A6" w14:textId="77777777"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а) подаването на метанол към съответното машинно отделение се спира автоматично след това</w:t>
      </w:r>
    </w:p>
    <w:p w14:paraId="6DCAE3E5" w14:textId="7A345A44"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 xml:space="preserve">б) компонентите на </w:t>
      </w:r>
      <w:r w:rsidR="00632558" w:rsidRPr="00A013E1">
        <w:rPr>
          <w:rFonts w:ascii="Times New Roman" w:hAnsi="Times New Roman" w:cs="Times New Roman"/>
          <w:lang w:val="ru-RU"/>
        </w:rPr>
        <w:t>горивната  метанолна система</w:t>
      </w:r>
      <w:r w:rsidRPr="00A013E1">
        <w:rPr>
          <w:rFonts w:ascii="Times New Roman" w:hAnsi="Times New Roman" w:cs="Times New Roman"/>
          <w:lang w:val="ru-RU"/>
        </w:rPr>
        <w:t xml:space="preserve"> в съответното машинно отделение се изключват автоматично.</w:t>
      </w:r>
    </w:p>
    <w:p w14:paraId="58C04445" w14:textId="24FD9C5F"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3.3.3.7 Ако плавателното средство е оборудвано с повече от един задвижващ двигател, тези двигатели трябва да бъдат разположени в поне две отделни машинни отделения. Тези машинни отделения нямат общи прегради. Въпреки това общи прегради могат да бъдат приети, ако може да се документира, че последствията от единична повреда няма да засегнат и двете </w:t>
      </w:r>
      <w:r w:rsidR="00740D36" w:rsidRPr="00A013E1">
        <w:rPr>
          <w:rFonts w:ascii="Times New Roman" w:hAnsi="Times New Roman" w:cs="Times New Roman"/>
          <w:lang w:val="ru-RU"/>
        </w:rPr>
        <w:t xml:space="preserve"> </w:t>
      </w:r>
      <w:r w:rsidR="000002F7" w:rsidRPr="00A013E1">
        <w:rPr>
          <w:rFonts w:ascii="Times New Roman" w:hAnsi="Times New Roman" w:cs="Times New Roman"/>
          <w:lang w:val="ru-RU"/>
        </w:rPr>
        <w:t>помещения</w:t>
      </w:r>
      <w:r w:rsidRPr="00A013E1">
        <w:rPr>
          <w:rFonts w:ascii="Times New Roman" w:hAnsi="Times New Roman" w:cs="Times New Roman"/>
          <w:lang w:val="ru-RU"/>
        </w:rPr>
        <w:t xml:space="preserve">. В съответствие с оценката на риска, посочена в член 30.04, </w:t>
      </w:r>
      <w:r w:rsidR="00740D36" w:rsidRPr="00A013E1">
        <w:rPr>
          <w:rFonts w:ascii="Times New Roman" w:hAnsi="Times New Roman" w:cs="Times New Roman"/>
          <w:lang w:val="ru-RU"/>
        </w:rPr>
        <w:t xml:space="preserve"> контролния</w:t>
      </w:r>
      <w:r w:rsidRPr="00A013E1">
        <w:rPr>
          <w:rFonts w:ascii="Times New Roman" w:hAnsi="Times New Roman" w:cs="Times New Roman"/>
          <w:lang w:val="ru-RU"/>
        </w:rPr>
        <w:t xml:space="preserve"> орган може да разреши задвижващи двигатели в същото вентилирано машинно отделение, при условие че опасните зони във вентилираното машинно отделение са определени като незначителни.</w:t>
      </w:r>
    </w:p>
    <w:p w14:paraId="425DF903" w14:textId="2397F2D8"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3.3.3.8 Вентилираните машинни отделения трябва да бъдат проектирани така, че да осигурят геометрична форма, която свежда до минимум отделянето на газ от </w:t>
      </w:r>
      <w:r w:rsidR="00EA3986" w:rsidRPr="00A013E1">
        <w:rPr>
          <w:rFonts w:ascii="Times New Roman" w:hAnsi="Times New Roman" w:cs="Times New Roman"/>
          <w:lang w:val="ru-RU"/>
        </w:rPr>
        <w:t xml:space="preserve"> дренажите</w:t>
      </w:r>
      <w:r w:rsidRPr="00A013E1">
        <w:rPr>
          <w:rFonts w:ascii="Times New Roman" w:hAnsi="Times New Roman" w:cs="Times New Roman"/>
          <w:lang w:val="ru-RU"/>
        </w:rPr>
        <w:t>, както и натрупването на газове или образуването на газови джобове. Трябва да се осигури добра циркулация на въздуха. Входящите и изходящите отвори за въздух се разполагат на подходящи места, като се вземат предвид характеристиките на метанола.</w:t>
      </w:r>
    </w:p>
    <w:p w14:paraId="2B6EFEB2" w14:textId="5D03F6EF"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3.3.3.9 Трябва да се осигурят подходящи аларми за откриване и индикация на изтичане в машинното отделение посредством детектори за течности и детектори за газ с висока чувствителност на подходящи места, в съответствие с </w:t>
      </w:r>
      <w:r w:rsidR="00E54B5A" w:rsidRPr="00A013E1">
        <w:rPr>
          <w:rFonts w:ascii="Times New Roman" w:hAnsi="Times New Roman" w:cs="Times New Roman"/>
          <w:lang w:val="ru-RU"/>
        </w:rPr>
        <w:t xml:space="preserve">точка </w:t>
      </w:r>
      <w:r w:rsidRPr="00A013E1">
        <w:rPr>
          <w:rFonts w:ascii="Times New Roman" w:hAnsi="Times New Roman" w:cs="Times New Roman"/>
          <w:lang w:val="ru-RU"/>
        </w:rPr>
        <w:t>2.2.13.3.</w:t>
      </w:r>
    </w:p>
    <w:p w14:paraId="61C97C87" w14:textId="7C250B48"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3.3.3.10 Под цялото оборудване, което съдържа метанол и откъдето не може да се изключи изтичане, трябва да се осигурят </w:t>
      </w:r>
      <w:r w:rsidR="00924D3B" w:rsidRPr="00A013E1">
        <w:rPr>
          <w:rFonts w:ascii="Times New Roman" w:hAnsi="Times New Roman" w:cs="Times New Roman"/>
          <w:lang w:val="ru-RU"/>
        </w:rPr>
        <w:t xml:space="preserve"> дренажни тави </w:t>
      </w:r>
      <w:r w:rsidRPr="00A013E1">
        <w:rPr>
          <w:rFonts w:ascii="Times New Roman" w:hAnsi="Times New Roman" w:cs="Times New Roman"/>
          <w:lang w:val="ru-RU"/>
        </w:rPr>
        <w:t xml:space="preserve"> със самооттичащи се линии към затворени събирателни резервоари.</w:t>
      </w:r>
    </w:p>
    <w:p w14:paraId="6E3F095C" w14:textId="77777777"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3.3.3.11 Предпазители за пръскане трябва да бъдат осигурени на тръбите и съединенията, където не може да се изключи пръскане на гориво.</w:t>
      </w:r>
    </w:p>
    <w:p w14:paraId="3E547C63" w14:textId="1190A34C"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3.3.3.12 Трябва да има най-малко два преносими детектора за метанол. Планът за безопасност, посочен в член 30.05, </w:t>
      </w:r>
      <w:r w:rsidR="0097711D" w:rsidRPr="00A013E1">
        <w:rPr>
          <w:rFonts w:ascii="Times New Roman" w:hAnsi="Times New Roman" w:cs="Times New Roman"/>
          <w:lang w:val="ru-RU"/>
        </w:rPr>
        <w:t>т.</w:t>
      </w:r>
      <w:r w:rsidRPr="00A013E1">
        <w:rPr>
          <w:rFonts w:ascii="Times New Roman" w:hAnsi="Times New Roman" w:cs="Times New Roman"/>
          <w:lang w:val="ru-RU"/>
        </w:rPr>
        <w:t xml:space="preserve"> 1, включва инструкции за употребата и калибрирането на преносимите детектори. Вратите на вентилираните машинни отделения трябва да носят от външната страна следната лесно чет</w:t>
      </w:r>
      <w:r w:rsidR="00F8168E" w:rsidRPr="00A013E1">
        <w:rPr>
          <w:rFonts w:ascii="Times New Roman" w:hAnsi="Times New Roman" w:cs="Times New Roman"/>
          <w:lang w:val="ru-RU"/>
        </w:rPr>
        <w:t>има</w:t>
      </w:r>
      <w:r w:rsidRPr="00A013E1">
        <w:rPr>
          <w:rFonts w:ascii="Times New Roman" w:hAnsi="Times New Roman" w:cs="Times New Roman"/>
          <w:lang w:val="ru-RU"/>
        </w:rPr>
        <w:t xml:space="preserve"> инструкция: „Достъп до машинното отделение само с преносим детектор за метанол“.</w:t>
      </w:r>
    </w:p>
    <w:p w14:paraId="628BD139" w14:textId="77777777" w:rsidR="009168A1" w:rsidRPr="00A013E1" w:rsidRDefault="009168A1" w:rsidP="005F12C5">
      <w:pPr>
        <w:ind w:left="709" w:hanging="709"/>
        <w:jc w:val="both"/>
        <w:rPr>
          <w:rFonts w:ascii="Times New Roman" w:hAnsi="Times New Roman" w:cs="Times New Roman"/>
          <w:b/>
          <w:lang w:val="ru-RU"/>
        </w:rPr>
      </w:pPr>
      <w:r w:rsidRPr="00A013E1">
        <w:rPr>
          <w:rFonts w:ascii="Times New Roman" w:hAnsi="Times New Roman" w:cs="Times New Roman"/>
          <w:b/>
          <w:lang w:val="ru-RU"/>
        </w:rPr>
        <w:t xml:space="preserve">3.3.4 </w:t>
      </w:r>
      <w:r w:rsidRPr="00A013E1">
        <w:rPr>
          <w:rFonts w:ascii="Times New Roman" w:hAnsi="Times New Roman" w:cs="Times New Roman"/>
          <w:b/>
          <w:lang w:val="ru-RU"/>
        </w:rPr>
        <w:tab/>
        <w:t>Двигатели</w:t>
      </w:r>
    </w:p>
    <w:p w14:paraId="2AE0EAD9" w14:textId="38B695EB"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3.3.4.1 В съответствие с </w:t>
      </w:r>
      <w:r w:rsidR="0039268C" w:rsidRPr="00A013E1">
        <w:rPr>
          <w:rFonts w:ascii="Times New Roman" w:hAnsi="Times New Roman" w:cs="Times New Roman"/>
          <w:lang w:val="ru-RU"/>
        </w:rPr>
        <w:t xml:space="preserve">точка </w:t>
      </w:r>
      <w:r w:rsidRPr="00A013E1">
        <w:rPr>
          <w:rFonts w:ascii="Times New Roman" w:hAnsi="Times New Roman" w:cs="Times New Roman"/>
          <w:lang w:val="ru-RU"/>
        </w:rPr>
        <w:t>3.3.1.1, компонентите на двигателя, съдържащи течен метанол, трябва да бъдат ефективно запечатани, за да се предотврати изтичане на гориво в машинното отделение.</w:t>
      </w:r>
    </w:p>
    <w:p w14:paraId="7F634C88" w14:textId="77777777"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3.3.4.2 За двигатели, при които пространството под буталото е в пряка връзка с картера, трябва да се извърши подробна оценка относно потенциала на опасност от натрупване на горивен газ в картера и да се отрази в концепцията за безопасност на двигателя.</w:t>
      </w:r>
    </w:p>
    <w:p w14:paraId="6FD49CD6" w14:textId="77777777"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3.3.4.3 Трябва да бъдат осигурени средства за наблюдение и откриване на неправилна работа на системата за запалване, лошо горене и прекъсване на запалването, което може да доведе до неизгоряло гориво в изпускателната система или в картера.</w:t>
      </w:r>
    </w:p>
    <w:p w14:paraId="5319EB48" w14:textId="4FA23D00"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 xml:space="preserve">3.3.4.4 Ако бъде открита неправилна работа на системата за запалване, лошо горене или прекъсване на запалването, системата за управление трябва да задейства оптичен и звуков алармен сигнал в </w:t>
      </w:r>
      <w:r w:rsidRPr="00A013E1">
        <w:rPr>
          <w:rFonts w:ascii="Times New Roman" w:hAnsi="Times New Roman" w:cs="Times New Roman"/>
          <w:lang w:val="ru-RU"/>
        </w:rPr>
        <w:lastRenderedPageBreak/>
        <w:t xml:space="preserve">рулевата рубка. Продължаване на операцията може да бъде разрешено само за да се гарантира, че плавателният съд ще </w:t>
      </w:r>
      <w:r w:rsidR="002E53DB" w:rsidRPr="00A013E1">
        <w:rPr>
          <w:rFonts w:ascii="Times New Roman" w:hAnsi="Times New Roman" w:cs="Times New Roman"/>
          <w:lang w:val="ru-RU"/>
        </w:rPr>
        <w:t xml:space="preserve">запази </w:t>
      </w:r>
      <w:r w:rsidRPr="00A013E1">
        <w:rPr>
          <w:rFonts w:ascii="Times New Roman" w:hAnsi="Times New Roman" w:cs="Times New Roman"/>
          <w:lang w:val="ru-RU"/>
        </w:rPr>
        <w:t xml:space="preserve"> управление</w:t>
      </w:r>
      <w:r w:rsidR="002E53DB" w:rsidRPr="00A013E1">
        <w:rPr>
          <w:rFonts w:ascii="Times New Roman" w:hAnsi="Times New Roman" w:cs="Times New Roman"/>
          <w:lang w:val="ru-RU"/>
        </w:rPr>
        <w:t xml:space="preserve">то си </w:t>
      </w:r>
      <w:r w:rsidRPr="00A013E1">
        <w:rPr>
          <w:rFonts w:ascii="Times New Roman" w:hAnsi="Times New Roman" w:cs="Times New Roman"/>
          <w:lang w:val="ru-RU"/>
        </w:rPr>
        <w:t xml:space="preserve"> със собствена мощност и при условие че</w:t>
      </w:r>
    </w:p>
    <w:p w14:paraId="2463FA3B" w14:textId="77777777"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а) подаването на гориво към съответните цилиндри може да бъде прекъснато,</w:t>
      </w:r>
    </w:p>
    <w:p w14:paraId="2A837171" w14:textId="1E0B00AB"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 xml:space="preserve">б) производителят на двигателя е декларирал, че двигателят може да работи безопасно с един или повече цилиндри, изключени </w:t>
      </w:r>
      <w:r w:rsidR="002E53DB" w:rsidRPr="00A013E1">
        <w:rPr>
          <w:rFonts w:ascii="Times New Roman" w:hAnsi="Times New Roman" w:cs="Times New Roman"/>
          <w:lang w:val="ru-RU"/>
        </w:rPr>
        <w:t xml:space="preserve"> поради </w:t>
      </w:r>
      <w:r w:rsidRPr="00A013E1">
        <w:rPr>
          <w:rFonts w:ascii="Times New Roman" w:hAnsi="Times New Roman" w:cs="Times New Roman"/>
          <w:lang w:val="ru-RU"/>
        </w:rPr>
        <w:t xml:space="preserve"> усукващи вибрации, и</w:t>
      </w:r>
    </w:p>
    <w:p w14:paraId="0FA3C4E2" w14:textId="77777777"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в) инструкциите за капитана на кораба съгласно буква а) са показани в рулевата рубка близо до контролните органи на двигателя.</w:t>
      </w:r>
    </w:p>
    <w:p w14:paraId="530CEBB5" w14:textId="610183DA"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3.3.4.5 В случай на аварийно спиране или нормално спиране</w:t>
      </w:r>
      <w:r w:rsidR="006708BB" w:rsidRPr="00A013E1">
        <w:rPr>
          <w:rFonts w:ascii="Times New Roman" w:hAnsi="Times New Roman" w:cs="Times New Roman"/>
          <w:lang w:val="ru-RU"/>
        </w:rPr>
        <w:t xml:space="preserve"> </w:t>
      </w:r>
      <w:r w:rsidR="000E2A6F" w:rsidRPr="00A013E1">
        <w:rPr>
          <w:rFonts w:ascii="Times New Roman" w:hAnsi="Times New Roman" w:cs="Times New Roman"/>
          <w:lang w:val="ru-RU"/>
        </w:rPr>
        <w:t>,</w:t>
      </w:r>
      <w:r w:rsidRPr="00A013E1">
        <w:rPr>
          <w:rFonts w:ascii="Times New Roman" w:hAnsi="Times New Roman" w:cs="Times New Roman"/>
          <w:lang w:val="ru-RU"/>
        </w:rPr>
        <w:t>подаването на метанол трябва да бъде автоматично прекъснато не по-късно от</w:t>
      </w:r>
    </w:p>
    <w:p w14:paraId="31BB6B07" w14:textId="152FE5C4"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 xml:space="preserve">а) </w:t>
      </w:r>
      <w:r w:rsidR="003F521C" w:rsidRPr="00A013E1">
        <w:rPr>
          <w:rFonts w:ascii="Times New Roman" w:hAnsi="Times New Roman" w:cs="Times New Roman"/>
          <w:lang w:val="ru-RU"/>
        </w:rPr>
        <w:t xml:space="preserve"> подаването</w:t>
      </w:r>
      <w:r w:rsidRPr="00A013E1">
        <w:rPr>
          <w:rFonts w:ascii="Times New Roman" w:hAnsi="Times New Roman" w:cs="Times New Roman"/>
          <w:lang w:val="ru-RU"/>
        </w:rPr>
        <w:t xml:space="preserve"> на друго гориво за двигатели с дв</w:t>
      </w:r>
      <w:r w:rsidR="003F521C" w:rsidRPr="00A013E1">
        <w:rPr>
          <w:rFonts w:ascii="Times New Roman" w:hAnsi="Times New Roman" w:cs="Times New Roman"/>
          <w:lang w:val="ru-RU"/>
        </w:rPr>
        <w:t>е</w:t>
      </w:r>
      <w:r w:rsidRPr="00A013E1">
        <w:rPr>
          <w:rFonts w:ascii="Times New Roman" w:hAnsi="Times New Roman" w:cs="Times New Roman"/>
          <w:lang w:val="ru-RU"/>
        </w:rPr>
        <w:t xml:space="preserve"> горив</w:t>
      </w:r>
      <w:r w:rsidR="003F521C" w:rsidRPr="00A013E1">
        <w:rPr>
          <w:rFonts w:ascii="Times New Roman" w:hAnsi="Times New Roman" w:cs="Times New Roman"/>
          <w:lang w:val="ru-RU"/>
        </w:rPr>
        <w:t>а</w:t>
      </w:r>
      <w:r w:rsidRPr="00A013E1">
        <w:rPr>
          <w:rFonts w:ascii="Times New Roman" w:hAnsi="Times New Roman" w:cs="Times New Roman"/>
          <w:lang w:val="ru-RU"/>
        </w:rPr>
        <w:t>. Не трябва да е възможно да се спре другото гориво, без първо или едновременно с това да се затвори подаването на метанол към съответните цилиндри или към целия двигател.</w:t>
      </w:r>
    </w:p>
    <w:p w14:paraId="7E05B113" w14:textId="698E3AC3" w:rsidR="009168A1" w:rsidRPr="00A013E1" w:rsidRDefault="009168A1" w:rsidP="005F12C5">
      <w:pPr>
        <w:ind w:left="709"/>
        <w:jc w:val="both"/>
        <w:rPr>
          <w:rFonts w:ascii="Times New Roman" w:hAnsi="Times New Roman" w:cs="Times New Roman"/>
          <w:lang w:val="ru-RU"/>
        </w:rPr>
      </w:pPr>
      <w:r w:rsidRPr="00A013E1">
        <w:rPr>
          <w:rFonts w:ascii="Times New Roman" w:hAnsi="Times New Roman" w:cs="Times New Roman"/>
          <w:lang w:val="ru-RU"/>
        </w:rPr>
        <w:t xml:space="preserve">б) </w:t>
      </w:r>
      <w:r w:rsidR="003F521C" w:rsidRPr="00A013E1">
        <w:rPr>
          <w:rFonts w:ascii="Times New Roman" w:hAnsi="Times New Roman" w:cs="Times New Roman"/>
          <w:lang w:val="ru-RU"/>
        </w:rPr>
        <w:t xml:space="preserve">изключване на </w:t>
      </w:r>
      <w:r w:rsidRPr="00A013E1">
        <w:rPr>
          <w:rFonts w:ascii="Times New Roman" w:hAnsi="Times New Roman" w:cs="Times New Roman"/>
          <w:lang w:val="ru-RU"/>
        </w:rPr>
        <w:t>източник</w:t>
      </w:r>
      <w:r w:rsidR="003F521C" w:rsidRPr="00A013E1">
        <w:rPr>
          <w:rFonts w:ascii="Times New Roman" w:hAnsi="Times New Roman" w:cs="Times New Roman"/>
          <w:lang w:val="ru-RU"/>
        </w:rPr>
        <w:t>а</w:t>
      </w:r>
      <w:r w:rsidRPr="00A013E1">
        <w:rPr>
          <w:rFonts w:ascii="Times New Roman" w:hAnsi="Times New Roman" w:cs="Times New Roman"/>
          <w:lang w:val="ru-RU"/>
        </w:rPr>
        <w:t xml:space="preserve"> на запалване за двигатели</w:t>
      </w:r>
      <w:r w:rsidR="00171552" w:rsidRPr="00A013E1">
        <w:rPr>
          <w:rFonts w:ascii="Times New Roman" w:hAnsi="Times New Roman" w:cs="Times New Roman"/>
          <w:lang w:val="ru-RU"/>
        </w:rPr>
        <w:t>, работещи с едно гориво</w:t>
      </w:r>
      <w:r w:rsidRPr="00A013E1">
        <w:rPr>
          <w:rFonts w:ascii="Times New Roman" w:hAnsi="Times New Roman" w:cs="Times New Roman"/>
          <w:lang w:val="ru-RU"/>
        </w:rPr>
        <w:t>. Не трябва да е възможно да се изключи източникът на запалване без първо или едновременно с това да се затвори подаването на метанол към съответните цилиндри или към целия двигател.</w:t>
      </w:r>
    </w:p>
    <w:p w14:paraId="7CA9C885" w14:textId="77777777" w:rsidR="009168A1" w:rsidRPr="00A013E1" w:rsidRDefault="009168A1" w:rsidP="005F12C5">
      <w:pPr>
        <w:ind w:left="709" w:hanging="709"/>
        <w:jc w:val="both"/>
        <w:rPr>
          <w:rFonts w:ascii="Times New Roman" w:hAnsi="Times New Roman" w:cs="Times New Roman"/>
          <w:b/>
          <w:lang w:val="ru-RU"/>
        </w:rPr>
      </w:pPr>
      <w:r w:rsidRPr="00A013E1">
        <w:rPr>
          <w:rFonts w:ascii="Times New Roman" w:hAnsi="Times New Roman" w:cs="Times New Roman"/>
          <w:b/>
          <w:lang w:val="ru-RU"/>
        </w:rPr>
        <w:t xml:space="preserve">3.3.5 </w:t>
      </w:r>
      <w:r w:rsidRPr="00A013E1">
        <w:rPr>
          <w:rFonts w:ascii="Times New Roman" w:hAnsi="Times New Roman" w:cs="Times New Roman"/>
          <w:b/>
          <w:lang w:val="ru-RU"/>
        </w:rPr>
        <w:tab/>
        <w:t>Изпускателна система</w:t>
      </w:r>
    </w:p>
    <w:p w14:paraId="4CB74EBF" w14:textId="77777777" w:rsidR="009168A1" w:rsidRPr="00A013E1" w:rsidRDefault="009168A1" w:rsidP="005F12C5">
      <w:pPr>
        <w:ind w:left="709" w:hanging="709"/>
        <w:jc w:val="both"/>
        <w:rPr>
          <w:rFonts w:ascii="Times New Roman" w:hAnsi="Times New Roman" w:cs="Times New Roman"/>
          <w:lang w:val="ru-RU"/>
        </w:rPr>
      </w:pPr>
      <w:r w:rsidRPr="00A013E1">
        <w:rPr>
          <w:rFonts w:ascii="Times New Roman" w:hAnsi="Times New Roman" w:cs="Times New Roman"/>
          <w:lang w:val="ru-RU"/>
        </w:rPr>
        <w:t>3.3.5.1 Изпускателните системи трябва да бъдат конфигурирани така, че да поддържат натрупването на неизгоряло гориво възможно най-ниско.</w:t>
      </w:r>
    </w:p>
    <w:p w14:paraId="43BFBB60" w14:textId="13943919" w:rsidR="00566F1F" w:rsidRPr="00A013E1" w:rsidRDefault="009168A1" w:rsidP="005F12C5">
      <w:pPr>
        <w:ind w:left="709" w:hanging="709"/>
        <w:jc w:val="both"/>
        <w:rPr>
          <w:rFonts w:ascii="Times New Roman" w:hAnsi="Times New Roman" w:cs="Times New Roman"/>
          <w:b/>
          <w:lang w:val="ru-RU"/>
        </w:rPr>
      </w:pPr>
      <w:r w:rsidRPr="00A013E1">
        <w:rPr>
          <w:rFonts w:ascii="Times New Roman" w:hAnsi="Times New Roman" w:cs="Times New Roman"/>
          <w:lang w:val="ru-RU"/>
        </w:rPr>
        <w:t>3.3.5.2 Изпускателните тръби на двигателите с метанол не трябва да се свързват с изпускателните тръби на други двигатели или системи</w:t>
      </w:r>
      <w:r w:rsidR="005F12C5" w:rsidRPr="00A013E1">
        <w:rPr>
          <w:rFonts w:ascii="Times New Roman" w:hAnsi="Times New Roman" w:cs="Times New Roman"/>
          <w:lang w:val="ru-RU"/>
        </w:rPr>
        <w:t>.</w:t>
      </w:r>
    </w:p>
    <w:p w14:paraId="183B6476" w14:textId="3793C7D0" w:rsidR="005F12C5" w:rsidRPr="00A013E1" w:rsidRDefault="005F12C5">
      <w:pPr>
        <w:rPr>
          <w:rFonts w:ascii="Times New Roman" w:hAnsi="Times New Roman" w:cs="Times New Roman"/>
          <w:b/>
          <w:lang w:val="ru-RU"/>
        </w:rPr>
      </w:pPr>
      <w:r w:rsidRPr="00A013E1">
        <w:rPr>
          <w:rFonts w:ascii="Times New Roman" w:hAnsi="Times New Roman" w:cs="Times New Roman"/>
          <w:b/>
          <w:lang w:val="ru-RU"/>
        </w:rPr>
        <w:br w:type="page"/>
      </w:r>
    </w:p>
    <w:p w14:paraId="3B6556EC" w14:textId="77777777" w:rsidR="005A05EE" w:rsidRPr="00A013E1" w:rsidRDefault="005A05EE" w:rsidP="00C907C4">
      <w:pPr>
        <w:jc w:val="center"/>
        <w:rPr>
          <w:rFonts w:ascii="Times New Roman" w:hAnsi="Times New Roman" w:cs="Times New Roman"/>
          <w:b/>
          <w:lang w:val="ru-RU"/>
        </w:rPr>
      </w:pPr>
    </w:p>
    <w:p w14:paraId="4947C2BD" w14:textId="1D531AE4" w:rsidR="00C907C4" w:rsidRPr="00A013E1" w:rsidRDefault="00C907C4" w:rsidP="00C907C4">
      <w:pPr>
        <w:jc w:val="center"/>
        <w:rPr>
          <w:rFonts w:ascii="Times New Roman" w:hAnsi="Times New Roman" w:cs="Times New Roman"/>
          <w:b/>
          <w:lang w:val="ru-RU"/>
        </w:rPr>
      </w:pPr>
      <w:r w:rsidRPr="00A013E1">
        <w:rPr>
          <w:rFonts w:ascii="Times New Roman" w:hAnsi="Times New Roman" w:cs="Times New Roman"/>
          <w:b/>
          <w:lang w:val="ru-RU"/>
        </w:rPr>
        <w:t>Глава 4</w:t>
      </w:r>
    </w:p>
    <w:p w14:paraId="6106A36D" w14:textId="77777777" w:rsidR="00C907C4" w:rsidRPr="00A013E1" w:rsidRDefault="00C907C4" w:rsidP="00C907C4">
      <w:pPr>
        <w:jc w:val="center"/>
        <w:rPr>
          <w:rFonts w:ascii="Times New Roman" w:hAnsi="Times New Roman" w:cs="Times New Roman"/>
          <w:b/>
          <w:lang w:val="ru-RU"/>
        </w:rPr>
      </w:pPr>
      <w:r w:rsidRPr="00A013E1">
        <w:rPr>
          <w:rFonts w:ascii="Times New Roman" w:hAnsi="Times New Roman" w:cs="Times New Roman"/>
          <w:b/>
          <w:lang w:val="ru-RU"/>
        </w:rPr>
        <w:t>Задвижващи и спомагателни системи с двигатели с вътрешно горене, използващи водород като гориво</w:t>
      </w:r>
    </w:p>
    <w:p w14:paraId="7D32D1DA" w14:textId="1FED52EA" w:rsidR="00C907C4" w:rsidRPr="00A013E1" w:rsidRDefault="00C907C4" w:rsidP="00C907C4">
      <w:pPr>
        <w:jc w:val="center"/>
        <w:rPr>
          <w:rFonts w:ascii="Times New Roman" w:hAnsi="Times New Roman" w:cs="Times New Roman"/>
          <w:b/>
          <w:lang w:val="ru-RU"/>
        </w:rPr>
      </w:pPr>
      <w:r w:rsidRPr="00A013E1">
        <w:rPr>
          <w:rFonts w:ascii="Times New Roman" w:hAnsi="Times New Roman" w:cs="Times New Roman"/>
          <w:b/>
          <w:lang w:val="ru-RU"/>
        </w:rPr>
        <w:t xml:space="preserve">(оставено </w:t>
      </w:r>
      <w:r w:rsidR="00B357EC" w:rsidRPr="00A013E1">
        <w:rPr>
          <w:rFonts w:ascii="Times New Roman" w:hAnsi="Times New Roman" w:cs="Times New Roman"/>
          <w:b/>
          <w:lang w:val="ru-RU"/>
        </w:rPr>
        <w:t>непопълнено</w:t>
      </w:r>
      <w:r w:rsidRPr="00A013E1">
        <w:rPr>
          <w:rFonts w:ascii="Times New Roman" w:hAnsi="Times New Roman" w:cs="Times New Roman"/>
          <w:b/>
          <w:lang w:val="ru-RU"/>
        </w:rPr>
        <w:t>)</w:t>
      </w:r>
    </w:p>
    <w:p w14:paraId="70C03664" w14:textId="77777777" w:rsidR="00911B8E" w:rsidRDefault="00911B8E">
      <w:pPr>
        <w:rPr>
          <w:lang w:val="ru-RU"/>
        </w:rPr>
        <w:sectPr w:rsidR="00911B8E" w:rsidSect="00A013E1">
          <w:headerReference w:type="default" r:id="rId187"/>
          <w:headerReference w:type="first" r:id="rId188"/>
          <w:footerReference w:type="first" r:id="rId189"/>
          <w:pgSz w:w="11907" w:h="16840"/>
          <w:pgMar w:top="1134" w:right="1134" w:bottom="1134" w:left="1134" w:header="709" w:footer="709" w:gutter="0"/>
          <w:cols w:space="720"/>
          <w:titlePg/>
          <w:docGrid w:linePitch="299"/>
        </w:sectPr>
      </w:pPr>
    </w:p>
    <w:p w14:paraId="39D8E987" w14:textId="77777777" w:rsidR="005A05EE" w:rsidRPr="004224F6" w:rsidRDefault="005A05EE" w:rsidP="00911B8E">
      <w:pPr>
        <w:pStyle w:val="Es-Titreannexes"/>
        <w:spacing w:before="0" w:after="0" w:line="360" w:lineRule="auto"/>
        <w:rPr>
          <w:rFonts w:ascii="Times New Roman" w:hAnsi="Times New Roman" w:cs="Times New Roman"/>
          <w:b w:val="0"/>
          <w:sz w:val="24"/>
          <w:szCs w:val="24"/>
          <w:lang w:val="ru-RU"/>
        </w:rPr>
      </w:pPr>
      <w:bookmarkStart w:id="662" w:name="_Toc491854345"/>
      <w:bookmarkStart w:id="663" w:name="_Toc535827786"/>
    </w:p>
    <w:p w14:paraId="02541BCB" w14:textId="77777777" w:rsidR="00911B8E" w:rsidRPr="004224F6" w:rsidRDefault="00911B8E" w:rsidP="00911B8E">
      <w:pPr>
        <w:pStyle w:val="Es-Titreannexes"/>
        <w:spacing w:before="0" w:after="0" w:line="360" w:lineRule="auto"/>
        <w:rPr>
          <w:rFonts w:ascii="Times New Roman" w:hAnsi="Times New Roman" w:cs="Times New Roman"/>
          <w:b w:val="0"/>
          <w:sz w:val="24"/>
          <w:szCs w:val="24"/>
          <w:lang w:val="ru-RU"/>
        </w:rPr>
      </w:pPr>
    </w:p>
    <w:p w14:paraId="6FBADEB6" w14:textId="77777777" w:rsidR="00911B8E" w:rsidRPr="004224F6" w:rsidRDefault="00911B8E" w:rsidP="00911B8E">
      <w:pPr>
        <w:pStyle w:val="Es-Titreannexes"/>
        <w:spacing w:before="0" w:after="0" w:line="360" w:lineRule="auto"/>
        <w:rPr>
          <w:rFonts w:ascii="Times New Roman" w:hAnsi="Times New Roman" w:cs="Times New Roman"/>
          <w:b w:val="0"/>
          <w:sz w:val="24"/>
          <w:szCs w:val="24"/>
          <w:lang w:val="ru-RU"/>
        </w:rPr>
      </w:pPr>
    </w:p>
    <w:p w14:paraId="6EFECD26" w14:textId="77777777" w:rsidR="00911B8E" w:rsidRPr="004224F6" w:rsidRDefault="00911B8E" w:rsidP="00911B8E">
      <w:pPr>
        <w:pStyle w:val="Es-Titreannexes"/>
        <w:spacing w:before="0" w:after="0" w:line="360" w:lineRule="auto"/>
        <w:rPr>
          <w:rFonts w:ascii="Times New Roman" w:hAnsi="Times New Roman" w:cs="Times New Roman"/>
          <w:b w:val="0"/>
          <w:sz w:val="24"/>
          <w:szCs w:val="24"/>
          <w:lang w:val="ru-RU"/>
        </w:rPr>
      </w:pPr>
    </w:p>
    <w:p w14:paraId="40112444" w14:textId="77777777" w:rsidR="00911B8E" w:rsidRPr="004224F6" w:rsidRDefault="00911B8E" w:rsidP="00911B8E">
      <w:pPr>
        <w:pStyle w:val="Es-Titreannexes"/>
        <w:spacing w:before="0" w:after="0" w:line="360" w:lineRule="auto"/>
        <w:rPr>
          <w:rFonts w:ascii="Times New Roman" w:hAnsi="Times New Roman" w:cs="Times New Roman"/>
          <w:b w:val="0"/>
          <w:sz w:val="24"/>
          <w:szCs w:val="24"/>
          <w:lang w:val="ru-RU"/>
        </w:rPr>
      </w:pPr>
    </w:p>
    <w:p w14:paraId="6CA9091C" w14:textId="77777777" w:rsidR="00911B8E" w:rsidRPr="004224F6" w:rsidRDefault="00911B8E" w:rsidP="00911B8E">
      <w:pPr>
        <w:pStyle w:val="Es-Titreannexes"/>
        <w:spacing w:before="0" w:after="0" w:line="360" w:lineRule="auto"/>
        <w:rPr>
          <w:rFonts w:ascii="Times New Roman" w:hAnsi="Times New Roman" w:cs="Times New Roman"/>
          <w:b w:val="0"/>
          <w:sz w:val="24"/>
          <w:szCs w:val="24"/>
          <w:lang w:val="ru-RU"/>
        </w:rPr>
      </w:pPr>
    </w:p>
    <w:p w14:paraId="2BCF7128" w14:textId="77777777" w:rsidR="00911B8E" w:rsidRPr="004224F6" w:rsidRDefault="00911B8E" w:rsidP="00911B8E">
      <w:pPr>
        <w:pStyle w:val="Es-Titreannexes"/>
        <w:spacing w:before="0" w:after="0" w:line="360" w:lineRule="auto"/>
        <w:rPr>
          <w:rFonts w:ascii="Times New Roman" w:hAnsi="Times New Roman" w:cs="Times New Roman"/>
          <w:b w:val="0"/>
          <w:sz w:val="24"/>
          <w:szCs w:val="24"/>
          <w:lang w:val="ru-RU"/>
        </w:rPr>
      </w:pPr>
    </w:p>
    <w:p w14:paraId="11F58496" w14:textId="524EF34E" w:rsidR="00271FA2" w:rsidRPr="004224F6" w:rsidRDefault="00D35E51" w:rsidP="00911B8E">
      <w:pPr>
        <w:pStyle w:val="Es-Titreannexes"/>
        <w:spacing w:before="0" w:after="0" w:line="360" w:lineRule="auto"/>
        <w:rPr>
          <w:rFonts w:ascii="Times New Roman" w:hAnsi="Times New Roman" w:cs="Times New Roman"/>
          <w:sz w:val="48"/>
          <w:szCs w:val="48"/>
          <w:lang w:val="ru-RU"/>
        </w:rPr>
      </w:pPr>
      <w:r w:rsidRPr="004224F6">
        <w:rPr>
          <w:rFonts w:ascii="Times New Roman" w:hAnsi="Times New Roman" w:cs="Times New Roman"/>
          <w:sz w:val="48"/>
          <w:szCs w:val="48"/>
          <w:lang w:val="ru-RU"/>
        </w:rPr>
        <w:t>Инструкции за прилагането на техническия стандарт</w:t>
      </w:r>
      <w:bookmarkEnd w:id="662"/>
      <w:bookmarkEnd w:id="663"/>
    </w:p>
    <w:p w14:paraId="310E1F02" w14:textId="77777777" w:rsidR="00525DEE" w:rsidRPr="004224F6" w:rsidRDefault="00525DEE" w:rsidP="00911B8E">
      <w:pPr>
        <w:pStyle w:val="Es-Titreannexes"/>
        <w:spacing w:before="0" w:after="0" w:line="360" w:lineRule="auto"/>
        <w:rPr>
          <w:rFonts w:ascii="Times New Roman" w:hAnsi="Times New Roman" w:cs="Times New Roman"/>
          <w:sz w:val="48"/>
          <w:szCs w:val="48"/>
          <w:lang w:val="ru-RU"/>
        </w:rPr>
      </w:pPr>
    </w:p>
    <w:p w14:paraId="7C478DC5" w14:textId="77777777" w:rsidR="00525DEE" w:rsidRPr="004224F6" w:rsidRDefault="00525DEE" w:rsidP="00911B8E">
      <w:pPr>
        <w:pStyle w:val="Es-Titreannexes"/>
        <w:spacing w:before="0" w:after="0" w:line="360" w:lineRule="auto"/>
        <w:rPr>
          <w:rFonts w:ascii="Times New Roman" w:hAnsi="Times New Roman" w:cs="Times New Roman"/>
          <w:sz w:val="48"/>
          <w:szCs w:val="48"/>
          <w:lang w:val="ru-RU"/>
        </w:rPr>
        <w:sectPr w:rsidR="00525DEE" w:rsidRPr="004224F6" w:rsidSect="004224F6">
          <w:headerReference w:type="first" r:id="rId190"/>
          <w:footerReference w:type="first" r:id="rId191"/>
          <w:pgSz w:w="11907" w:h="16840"/>
          <w:pgMar w:top="1134" w:right="1134" w:bottom="1134" w:left="1134" w:header="709" w:footer="709" w:gutter="0"/>
          <w:cols w:space="720"/>
          <w:titlePg/>
          <w:docGrid w:linePitch="299"/>
        </w:sectPr>
      </w:pPr>
    </w:p>
    <w:p w14:paraId="12EC2498" w14:textId="77777777" w:rsidR="00271FA2" w:rsidRPr="004224F6" w:rsidRDefault="00D35E51">
      <w:pPr>
        <w:pStyle w:val="ES-Titre1"/>
        <w:rPr>
          <w:rFonts w:ascii="Times New Roman" w:hAnsi="Times New Roman" w:cs="Times New Roman"/>
          <w:lang w:val="ru-RU"/>
        </w:rPr>
      </w:pPr>
      <w:bookmarkStart w:id="664" w:name="_Toc405451503"/>
      <w:bookmarkStart w:id="665" w:name="_Toc535827787"/>
      <w:bookmarkStart w:id="666" w:name="_Toc491854346"/>
      <w:r w:rsidRPr="004224F6">
        <w:rPr>
          <w:rFonts w:ascii="Times New Roman" w:hAnsi="Times New Roman" w:cs="Times New Roman"/>
          <w:lang w:val="ru-RU"/>
        </w:rPr>
        <w:lastRenderedPageBreak/>
        <w:t xml:space="preserve">ЧАСТ </w:t>
      </w:r>
      <w:r w:rsidRPr="004224F6">
        <w:rPr>
          <w:rFonts w:ascii="Times New Roman" w:hAnsi="Times New Roman" w:cs="Times New Roman"/>
        </w:rPr>
        <w:t>I</w:t>
      </w:r>
      <w:r w:rsidRPr="004224F6">
        <w:rPr>
          <w:rFonts w:ascii="Times New Roman" w:hAnsi="Times New Roman" w:cs="Times New Roman"/>
          <w:lang w:val="ru-RU"/>
        </w:rPr>
        <w:br/>
      </w:r>
      <w:bookmarkEnd w:id="664"/>
      <w:r w:rsidRPr="004224F6">
        <w:rPr>
          <w:rFonts w:ascii="Times New Roman" w:hAnsi="Times New Roman" w:cs="Times New Roman"/>
          <w:lang w:val="ru-RU"/>
        </w:rPr>
        <w:t>ОБЩИ ПОЛОЖЕНИЯ</w:t>
      </w:r>
      <w:bookmarkEnd w:id="665"/>
      <w:bookmarkEnd w:id="666"/>
    </w:p>
    <w:p w14:paraId="0844943E" w14:textId="77777777" w:rsidR="00271FA2" w:rsidRPr="004224F6" w:rsidRDefault="00D35E51">
      <w:pPr>
        <w:pStyle w:val="ES-Titre2ESI"/>
        <w:rPr>
          <w:rFonts w:ascii="Times New Roman" w:hAnsi="Times New Roman" w:cs="Times New Roman"/>
          <w:lang w:val="ru-RU"/>
        </w:rPr>
      </w:pPr>
      <w:bookmarkStart w:id="667" w:name="_Toc535827788"/>
      <w:bookmarkStart w:id="668" w:name="_Toc491854347"/>
      <w:r w:rsidRPr="004224F6">
        <w:rPr>
          <w:rFonts w:ascii="Times New Roman" w:hAnsi="Times New Roman" w:cs="Times New Roman"/>
        </w:rPr>
        <w:t>ESI</w:t>
      </w:r>
      <w:r w:rsidRPr="004224F6">
        <w:rPr>
          <w:rFonts w:ascii="Times New Roman" w:hAnsi="Times New Roman" w:cs="Times New Roman"/>
          <w:lang w:val="ru-RU"/>
        </w:rPr>
        <w:t>-</w:t>
      </w:r>
      <w:r w:rsidRPr="004224F6">
        <w:rPr>
          <w:rFonts w:ascii="Times New Roman" w:hAnsi="Times New Roman" w:cs="Times New Roman"/>
        </w:rPr>
        <w:t>I</w:t>
      </w:r>
      <w:r w:rsidRPr="004224F6">
        <w:rPr>
          <w:rFonts w:ascii="Times New Roman" w:hAnsi="Times New Roman" w:cs="Times New Roman"/>
          <w:lang w:val="ru-RU"/>
        </w:rPr>
        <w:t>-1</w:t>
      </w:r>
      <w:r w:rsidRPr="004224F6">
        <w:rPr>
          <w:rFonts w:ascii="Times New Roman" w:hAnsi="Times New Roman" w:cs="Times New Roman"/>
          <w:lang w:val="ru-RU"/>
        </w:rPr>
        <w:br/>
      </w:r>
      <w:bookmarkEnd w:id="667"/>
      <w:bookmarkEnd w:id="668"/>
      <w:r w:rsidRPr="004224F6">
        <w:rPr>
          <w:rFonts w:ascii="Times New Roman" w:hAnsi="Times New Roman" w:cs="Times New Roman"/>
          <w:lang w:val="ru-RU"/>
        </w:rPr>
        <w:t>Попълване на Корабното удостоверение за вътрешно корабоплаване</w:t>
      </w:r>
    </w:p>
    <w:p w14:paraId="49F7CAC4"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Общи положения</w:t>
      </w:r>
    </w:p>
    <w:p w14:paraId="422A9C8A"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1.1</w:t>
      </w:r>
      <w:r w:rsidRPr="004224F6">
        <w:rPr>
          <w:rFonts w:ascii="Times New Roman" w:hAnsi="Times New Roman" w:cs="Times New Roman"/>
          <w:lang w:val="ru-RU"/>
        </w:rPr>
        <w:tab/>
      </w:r>
      <w:r w:rsidRPr="004224F6">
        <w:rPr>
          <w:rFonts w:ascii="Times New Roman" w:hAnsi="Times New Roman" w:cs="Times New Roman"/>
          <w:b/>
          <w:color w:val="000000"/>
          <w:lang w:val="ru-RU"/>
        </w:rPr>
        <w:t>Формуляри</w:t>
      </w:r>
    </w:p>
    <w:p w14:paraId="77C44414"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Само одобрени от компетентния орган формуляри следва да се използват за попълване на Корабното удостоверение за вътрешно корабоплаване. Формулярите се попълват само от едната страна.</w:t>
      </w:r>
    </w:p>
    <w:p w14:paraId="3F74AD53"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При издаване на ново Корабно удостоверение за вътрешно корабоплаване се включват всички страници от 1 до 13, дори ако на някои страници не е записано нищо.</w:t>
      </w:r>
    </w:p>
    <w:p w14:paraId="7A2A1EF1"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1.2</w:t>
      </w:r>
      <w:r w:rsidRPr="004224F6">
        <w:rPr>
          <w:rFonts w:ascii="Times New Roman" w:hAnsi="Times New Roman" w:cs="Times New Roman"/>
          <w:lang w:val="ru-RU"/>
        </w:rPr>
        <w:tab/>
      </w:r>
      <w:r w:rsidRPr="004224F6">
        <w:rPr>
          <w:rFonts w:ascii="Times New Roman" w:hAnsi="Times New Roman" w:cs="Times New Roman"/>
          <w:b/>
          <w:color w:val="000000"/>
          <w:lang w:val="ru-RU"/>
        </w:rPr>
        <w:t>Метод на вписване</w:t>
      </w:r>
    </w:p>
    <w:p w14:paraId="3CF202EE"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Вписванията в Корабното удостоверение за вътрешно корабоплаване се извършват на пишеща машина или принтер. Вписвания на ръка са допустими само в изключителни случаи. Вписванията трябва да са незаличими. Цветът на вписването може да е само черен или само син. Заличаванията се правят с червено.</w:t>
      </w:r>
    </w:p>
    <w:p w14:paraId="2B673636"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Вписвания</w:t>
      </w:r>
    </w:p>
    <w:p w14:paraId="31976F9D"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2.1</w:t>
      </w:r>
      <w:r w:rsidRPr="004224F6">
        <w:rPr>
          <w:rFonts w:ascii="Times New Roman" w:hAnsi="Times New Roman" w:cs="Times New Roman"/>
          <w:lang w:val="ru-RU"/>
        </w:rPr>
        <w:tab/>
      </w:r>
      <w:r w:rsidRPr="004224F6">
        <w:rPr>
          <w:rFonts w:ascii="Times New Roman" w:hAnsi="Times New Roman" w:cs="Times New Roman"/>
          <w:b/>
          <w:color w:val="000000"/>
          <w:lang w:val="ru-RU"/>
        </w:rPr>
        <w:t>Заличаване на алтернативи</w:t>
      </w:r>
    </w:p>
    <w:p w14:paraId="19A1A424"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Когато има вписвания, отбелязани със </w:t>
      </w:r>
      <w:r w:rsidRPr="004224F6">
        <w:rPr>
          <w:rFonts w:ascii="Times New Roman" w:hAnsi="Times New Roman" w:cs="Times New Roman"/>
          <w:vertAlign w:val="superscript"/>
          <w:lang w:val="ru-RU"/>
        </w:rPr>
        <w:t>(*)</w:t>
      </w:r>
      <w:r w:rsidRPr="004224F6">
        <w:rPr>
          <w:rFonts w:ascii="Times New Roman" w:hAnsi="Times New Roman" w:cs="Times New Roman"/>
          <w:lang w:val="ru-RU"/>
        </w:rPr>
        <w:t>, неподходящите се заличават.</w:t>
      </w:r>
    </w:p>
    <w:p w14:paraId="6922C534"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2.2</w:t>
      </w:r>
      <w:r w:rsidRPr="004224F6">
        <w:rPr>
          <w:rFonts w:ascii="Times New Roman" w:hAnsi="Times New Roman" w:cs="Times New Roman"/>
          <w:lang w:val="ru-RU"/>
        </w:rPr>
        <w:tab/>
      </w:r>
      <w:r w:rsidRPr="004224F6">
        <w:rPr>
          <w:rFonts w:ascii="Times New Roman" w:hAnsi="Times New Roman" w:cs="Times New Roman"/>
          <w:b/>
          <w:color w:val="000000"/>
          <w:lang w:val="ru-RU"/>
        </w:rPr>
        <w:t>Позиции без вписване</w:t>
      </w:r>
    </w:p>
    <w:p w14:paraId="75F44AB5"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Ако за някоя от точките от 1 до 48 не е необходимо или не е възможно вписване, през цялото поле се изчертава хоризонтална линия.</w:t>
      </w:r>
    </w:p>
    <w:p w14:paraId="37E2F465" w14:textId="77777777" w:rsidR="00271FA2" w:rsidRPr="004224F6" w:rsidRDefault="00D35E51">
      <w:pPr>
        <w:spacing w:line="240" w:lineRule="atLeast"/>
        <w:ind w:left="567" w:hanging="567"/>
        <w:jc w:val="both"/>
        <w:rPr>
          <w:rFonts w:ascii="Times New Roman" w:hAnsi="Times New Roman" w:cs="Times New Roman"/>
          <w:b/>
          <w:color w:val="000000"/>
          <w:lang w:val="ru-RU"/>
        </w:rPr>
      </w:pPr>
      <w:r w:rsidRPr="004224F6">
        <w:rPr>
          <w:rFonts w:ascii="Times New Roman" w:hAnsi="Times New Roman" w:cs="Times New Roman"/>
          <w:b/>
          <w:color w:val="000000"/>
          <w:lang w:val="ru-RU"/>
        </w:rPr>
        <w:t>2.3</w:t>
      </w:r>
      <w:r w:rsidRPr="004224F6">
        <w:rPr>
          <w:rFonts w:ascii="Times New Roman" w:hAnsi="Times New Roman" w:cs="Times New Roman"/>
          <w:lang w:val="ru-RU"/>
        </w:rPr>
        <w:tab/>
      </w:r>
      <w:r w:rsidRPr="004224F6">
        <w:rPr>
          <w:rFonts w:ascii="Times New Roman" w:hAnsi="Times New Roman" w:cs="Times New Roman"/>
          <w:b/>
          <w:color w:val="000000"/>
          <w:lang w:val="ru-RU"/>
        </w:rPr>
        <w:t>Последна страница на Корабното удостоверение за вътрешно корабоплаване</w:t>
      </w:r>
    </w:p>
    <w:p w14:paraId="18C69D3C"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Ако след страница 13 не са необходими допълнителни страници (виж точка 3.2.3), думите „продължава на страница“</w:t>
      </w:r>
      <w:r w:rsidRPr="004224F6">
        <w:rPr>
          <w:rFonts w:ascii="Times New Roman" w:hAnsi="Times New Roman" w:cs="Times New Roman"/>
          <w:vertAlign w:val="superscript"/>
          <w:lang w:val="ru-RU"/>
        </w:rPr>
        <w:footnoteReference w:customMarkFollows="1" w:id="53"/>
        <w:t>(*)</w:t>
      </w:r>
      <w:r w:rsidRPr="004224F6">
        <w:rPr>
          <w:rFonts w:ascii="Times New Roman" w:hAnsi="Times New Roman" w:cs="Times New Roman"/>
          <w:lang w:val="ru-RU"/>
        </w:rPr>
        <w:t xml:space="preserve"> в края на страница 13 се заличават.</w:t>
      </w:r>
    </w:p>
    <w:p w14:paraId="168AD8C5"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2.4</w:t>
      </w:r>
      <w:r w:rsidRPr="004224F6">
        <w:rPr>
          <w:rFonts w:ascii="Times New Roman" w:hAnsi="Times New Roman" w:cs="Times New Roman"/>
          <w:lang w:val="ru-RU"/>
        </w:rPr>
        <w:tab/>
      </w:r>
      <w:r w:rsidRPr="004224F6">
        <w:rPr>
          <w:rFonts w:ascii="Times New Roman" w:hAnsi="Times New Roman" w:cs="Times New Roman"/>
          <w:b/>
          <w:color w:val="000000"/>
          <w:lang w:val="ru-RU"/>
        </w:rPr>
        <w:t>Промени</w:t>
      </w:r>
    </w:p>
    <w:p w14:paraId="67AACC77"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2.4.1</w:t>
      </w:r>
      <w:r w:rsidRPr="004224F6">
        <w:rPr>
          <w:rFonts w:ascii="Times New Roman" w:hAnsi="Times New Roman" w:cs="Times New Roman"/>
          <w:lang w:val="ru-RU"/>
        </w:rPr>
        <w:tab/>
      </w:r>
      <w:r w:rsidRPr="004224F6">
        <w:rPr>
          <w:rFonts w:ascii="Times New Roman" w:hAnsi="Times New Roman" w:cs="Times New Roman"/>
          <w:b/>
          <w:color w:val="000000"/>
          <w:lang w:val="ru-RU"/>
        </w:rPr>
        <w:t>Първи ръкописни изменения на страница</w:t>
      </w:r>
    </w:p>
    <w:p w14:paraId="1E72D556"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Дадена страница може да се измени само един път, но с няколко изменения наведнъж. С червена линия се зачертава всичко, което ще се изменя. Алтернатива, заличена преди това (виж точка 2.1), или точка, по която преди това не е имало вписване (виж точка 2.3), се подчертават с червено. Новите елементи не се вписват в измененото поле, а на същата страница под заглавието „Изменения“, като редът „Тази страница е заменена“, се заличава.</w:t>
      </w:r>
    </w:p>
    <w:p w14:paraId="366F117F"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2.4.2</w:t>
      </w:r>
      <w:r w:rsidRPr="004224F6">
        <w:rPr>
          <w:rFonts w:ascii="Times New Roman" w:hAnsi="Times New Roman" w:cs="Times New Roman"/>
          <w:lang w:val="ru-RU"/>
        </w:rPr>
        <w:tab/>
      </w:r>
      <w:r w:rsidRPr="004224F6">
        <w:rPr>
          <w:rFonts w:ascii="Times New Roman" w:hAnsi="Times New Roman" w:cs="Times New Roman"/>
          <w:b/>
          <w:color w:val="000000"/>
          <w:lang w:val="ru-RU"/>
        </w:rPr>
        <w:t>Допълнителни ръкописни изменения на страница</w:t>
      </w:r>
    </w:p>
    <w:p w14:paraId="5DFEF307"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При по-нататъшни изменения страницата се заменя и необходимите изменения, както и предходни изменения се вписват направо в съответните точки. Редът „допълнения към точка(и)“ под заглавието „Изменения“ се заличава.</w:t>
      </w:r>
    </w:p>
    <w:p w14:paraId="18BE2EBC"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Старата страница се запазва от контролния орган, който първоначално е издал Корабното удостоверение за вътрешно корабоплаване.</w:t>
      </w:r>
    </w:p>
    <w:p w14:paraId="531397F2"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2.4.3</w:t>
      </w:r>
      <w:r w:rsidRPr="004224F6">
        <w:rPr>
          <w:rFonts w:ascii="Times New Roman" w:hAnsi="Times New Roman" w:cs="Times New Roman"/>
          <w:lang w:val="ru-RU"/>
        </w:rPr>
        <w:tab/>
      </w:r>
      <w:r w:rsidRPr="004224F6">
        <w:rPr>
          <w:rFonts w:ascii="Times New Roman" w:hAnsi="Times New Roman" w:cs="Times New Roman"/>
          <w:b/>
          <w:color w:val="000000"/>
          <w:lang w:val="ru-RU"/>
        </w:rPr>
        <w:t>Изменения чрез електронна обработка на данни</w:t>
      </w:r>
    </w:p>
    <w:p w14:paraId="31B8FADA"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lastRenderedPageBreak/>
        <w:t>В случай на изменения чрез електронна обработка на данни страницата се заменя и необходимите изменения, както и предходни изменения се вписват направо в съответните точки. Редът „допълнения към точка(и)“ под заглавието „Изменения“ се заличава.</w:t>
      </w:r>
    </w:p>
    <w:p w14:paraId="207C522B"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Старата страница се запазва от контролния орган, който първоначално е издал Корабното удостоверение за вътрешно корабоплаване.</w:t>
      </w:r>
    </w:p>
    <w:p w14:paraId="5C68EE59"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2.5</w:t>
      </w:r>
      <w:r w:rsidRPr="004224F6">
        <w:rPr>
          <w:rFonts w:ascii="Times New Roman" w:hAnsi="Times New Roman" w:cs="Times New Roman"/>
          <w:lang w:val="ru-RU"/>
        </w:rPr>
        <w:tab/>
      </w:r>
      <w:r w:rsidRPr="004224F6">
        <w:rPr>
          <w:rFonts w:ascii="Times New Roman" w:hAnsi="Times New Roman" w:cs="Times New Roman"/>
          <w:b/>
          <w:color w:val="000000"/>
          <w:lang w:val="ru-RU"/>
        </w:rPr>
        <w:t>Корекции с лепене върху предходното</w:t>
      </w:r>
    </w:p>
    <w:p w14:paraId="408CA50C"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Лепенето върху вписвания и лепенето на нови добавки към дадена точка не са разрешени.</w:t>
      </w:r>
    </w:p>
    <w:p w14:paraId="6EA49998"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3.</w:t>
      </w:r>
      <w:r w:rsidRPr="004224F6">
        <w:rPr>
          <w:rFonts w:ascii="Times New Roman" w:hAnsi="Times New Roman" w:cs="Times New Roman"/>
          <w:lang w:val="ru-RU"/>
        </w:rPr>
        <w:tab/>
      </w:r>
      <w:r w:rsidRPr="004224F6">
        <w:rPr>
          <w:rFonts w:ascii="Times New Roman" w:hAnsi="Times New Roman" w:cs="Times New Roman"/>
          <w:b/>
          <w:color w:val="000000"/>
          <w:lang w:val="ru-RU"/>
        </w:rPr>
        <w:t>Замяна и добавяне на страници</w:t>
      </w:r>
    </w:p>
    <w:p w14:paraId="3BA54D10"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3.1</w:t>
      </w:r>
      <w:r w:rsidRPr="004224F6">
        <w:rPr>
          <w:rFonts w:ascii="Times New Roman" w:hAnsi="Times New Roman" w:cs="Times New Roman"/>
          <w:lang w:val="ru-RU"/>
        </w:rPr>
        <w:tab/>
      </w:r>
      <w:r w:rsidRPr="004224F6">
        <w:rPr>
          <w:rFonts w:ascii="Times New Roman" w:hAnsi="Times New Roman" w:cs="Times New Roman"/>
          <w:b/>
          <w:color w:val="000000"/>
          <w:lang w:val="ru-RU"/>
        </w:rPr>
        <w:t>Замяна на страници</w:t>
      </w:r>
    </w:p>
    <w:p w14:paraId="4F8A2791"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Страница 1 от Корабното удостоверение за вътрешно корабоплаванене се подменя никога. За подмяна на други страници се прилагат процедурите, описани в точка 2.4.2 или точка 2.4.3.</w:t>
      </w:r>
    </w:p>
    <w:p w14:paraId="021CCDD5"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3.2</w:t>
      </w:r>
      <w:r w:rsidRPr="004224F6">
        <w:rPr>
          <w:rFonts w:ascii="Times New Roman" w:hAnsi="Times New Roman" w:cs="Times New Roman"/>
          <w:lang w:val="ru-RU"/>
        </w:rPr>
        <w:tab/>
      </w:r>
      <w:r w:rsidRPr="004224F6">
        <w:rPr>
          <w:rFonts w:ascii="Times New Roman" w:hAnsi="Times New Roman" w:cs="Times New Roman"/>
          <w:b/>
          <w:color w:val="000000"/>
          <w:lang w:val="ru-RU"/>
        </w:rPr>
        <w:t>Добавяне на страници</w:t>
      </w:r>
    </w:p>
    <w:p w14:paraId="261103ED"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Ако няма достатъчно място за повече вписвания на страници 10, 12 или 13 от Корабното удостоверение за вътрешно корабоплаване, могат да се добавят допълнителни страници.</w:t>
      </w:r>
    </w:p>
    <w:p w14:paraId="75D060A1"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3.2.1</w:t>
      </w:r>
      <w:r w:rsidRPr="004224F6">
        <w:rPr>
          <w:rFonts w:ascii="Times New Roman" w:hAnsi="Times New Roman" w:cs="Times New Roman"/>
          <w:lang w:val="ru-RU"/>
        </w:rPr>
        <w:tab/>
      </w:r>
      <w:r w:rsidRPr="004224F6">
        <w:rPr>
          <w:rFonts w:ascii="Times New Roman" w:hAnsi="Times New Roman" w:cs="Times New Roman"/>
          <w:b/>
          <w:color w:val="000000"/>
          <w:lang w:val="ru-RU"/>
        </w:rPr>
        <w:t>Удължаване/потвърждаване на валидността</w:t>
      </w:r>
    </w:p>
    <w:p w14:paraId="561806E9"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Ако е необходимо ново удължаване, когато удостоверението вече е било удължено шест пъти, в края на страница 10 се добавят думите „Продължава на страница 10а“ и след страница 10 се добавя още една страница 10, отбелязана като 10а. Тогава в началото на страница 10а се прави съответното вписване в точка 49. В края на страница 10а се прави вписването „Продължава на страница 11“.</w:t>
      </w:r>
    </w:p>
    <w:p w14:paraId="72CDED63"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3.2.2</w:t>
      </w:r>
      <w:r w:rsidRPr="004224F6">
        <w:rPr>
          <w:rFonts w:ascii="Times New Roman" w:hAnsi="Times New Roman" w:cs="Times New Roman"/>
          <w:lang w:val="ru-RU"/>
        </w:rPr>
        <w:tab/>
      </w:r>
      <w:r w:rsidRPr="004224F6">
        <w:rPr>
          <w:rFonts w:ascii="Times New Roman" w:hAnsi="Times New Roman" w:cs="Times New Roman"/>
          <w:b/>
          <w:color w:val="000000"/>
          <w:lang w:val="ru-RU"/>
        </w:rPr>
        <w:t>Удължаване на удостоверението за уредба за втечнен газ</w:t>
      </w:r>
    </w:p>
    <w:p w14:paraId="6118D983"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Прилага се процедура, сходна с тази в точка 3.2.1, като след страница 12 се създава страница 12а.</w:t>
      </w:r>
    </w:p>
    <w:p w14:paraId="115D5BD2"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3.2.3</w:t>
      </w:r>
      <w:r w:rsidRPr="004224F6">
        <w:rPr>
          <w:rFonts w:ascii="Times New Roman" w:hAnsi="Times New Roman" w:cs="Times New Roman"/>
          <w:lang w:val="ru-RU"/>
        </w:rPr>
        <w:tab/>
      </w:r>
      <w:r w:rsidRPr="004224F6">
        <w:rPr>
          <w:rFonts w:ascii="Times New Roman" w:hAnsi="Times New Roman" w:cs="Times New Roman"/>
          <w:b/>
          <w:color w:val="000000"/>
          <w:lang w:val="ru-RU"/>
        </w:rPr>
        <w:t>Приложение към Корабното удостоверение за вътрешно корабоплаване</w:t>
      </w:r>
    </w:p>
    <w:p w14:paraId="459849FA"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В края на страница 13 думите „Край на Корабното удостоверение за вътрешно корабоплаване “ се заличават с червено, заличените думи „Продължава на страница</w:t>
      </w:r>
      <w:r w:rsidRPr="004224F6">
        <w:rPr>
          <w:rFonts w:ascii="Times New Roman" w:hAnsi="Times New Roman" w:cs="Times New Roman"/>
          <w:vertAlign w:val="superscript"/>
        </w:rPr>
        <w:footnoteReference w:id="54"/>
      </w:r>
      <w:r w:rsidRPr="004224F6">
        <w:rPr>
          <w:rFonts w:ascii="Times New Roman" w:hAnsi="Times New Roman" w:cs="Times New Roman"/>
          <w:lang w:val="ru-RU"/>
        </w:rPr>
        <w:t>“ се подчертават с червено и след тях се вписва страница 13а. Тази промяна трябва да е подпечатана с официален печат. Допълнителна страница 13 се маркира като страница 13а и се вмъква след страница 13. Разпоредбите на точки 2.2 и 2.3 се прилагат за страница 13</w:t>
      </w:r>
      <w:r w:rsidRPr="004224F6">
        <w:rPr>
          <w:rFonts w:ascii="Times New Roman" w:hAnsi="Times New Roman" w:cs="Times New Roman"/>
        </w:rPr>
        <w:t>a</w:t>
      </w:r>
      <w:r w:rsidRPr="004224F6">
        <w:rPr>
          <w:rFonts w:ascii="Times New Roman" w:hAnsi="Times New Roman" w:cs="Times New Roman"/>
          <w:lang w:val="ru-RU"/>
        </w:rPr>
        <w:t xml:space="preserve"> </w:t>
      </w:r>
      <w:r w:rsidRPr="004224F6">
        <w:rPr>
          <w:rFonts w:ascii="Times New Roman" w:hAnsi="Times New Roman" w:cs="Times New Roman"/>
          <w:i/>
        </w:rPr>
        <w:t>mutatis</w:t>
      </w:r>
      <w:r w:rsidRPr="004224F6">
        <w:rPr>
          <w:rFonts w:ascii="Times New Roman" w:hAnsi="Times New Roman" w:cs="Times New Roman"/>
          <w:i/>
          <w:lang w:val="ru-RU"/>
        </w:rPr>
        <w:t xml:space="preserve"> </w:t>
      </w:r>
      <w:r w:rsidRPr="004224F6">
        <w:rPr>
          <w:rFonts w:ascii="Times New Roman" w:hAnsi="Times New Roman" w:cs="Times New Roman"/>
          <w:i/>
        </w:rPr>
        <w:t>mutandis</w:t>
      </w:r>
      <w:r w:rsidRPr="004224F6">
        <w:rPr>
          <w:rFonts w:ascii="Times New Roman" w:hAnsi="Times New Roman" w:cs="Times New Roman"/>
          <w:lang w:val="ru-RU"/>
        </w:rPr>
        <w:t>.</w:t>
      </w:r>
    </w:p>
    <w:p w14:paraId="7E5AC89E"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Същата процедура се прилага за всички други приложения (страници 13б, 13в и т.н.).</w:t>
      </w:r>
    </w:p>
    <w:p w14:paraId="7BCF5C91"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4.</w:t>
      </w:r>
      <w:r w:rsidRPr="004224F6">
        <w:rPr>
          <w:rFonts w:ascii="Times New Roman" w:hAnsi="Times New Roman" w:cs="Times New Roman"/>
          <w:lang w:val="ru-RU"/>
        </w:rPr>
        <w:tab/>
      </w:r>
      <w:r w:rsidRPr="004224F6">
        <w:rPr>
          <w:rFonts w:ascii="Times New Roman" w:hAnsi="Times New Roman" w:cs="Times New Roman"/>
          <w:b/>
          <w:color w:val="000000"/>
          <w:lang w:val="ru-RU"/>
        </w:rPr>
        <w:t>Обяснения на отделните позиции</w:t>
      </w:r>
    </w:p>
    <w:p w14:paraId="5D1F1A97"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Позициите, за които не е необходимо обяснение, не са посочени по-долу.</w:t>
      </w:r>
    </w:p>
    <w:p w14:paraId="0D4BECB3"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2.</w:t>
      </w:r>
      <w:r w:rsidRPr="004224F6">
        <w:rPr>
          <w:rFonts w:ascii="Times New Roman" w:hAnsi="Times New Roman" w:cs="Times New Roman"/>
          <w:lang w:val="ru-RU"/>
        </w:rPr>
        <w:tab/>
        <w:t>Ако е уместно, включете понятия, както е посочено в член</w:t>
      </w:r>
      <w:r w:rsidRPr="004224F6">
        <w:rPr>
          <w:rFonts w:ascii="Times New Roman" w:hAnsi="Times New Roman" w:cs="Times New Roman"/>
        </w:rPr>
        <w:t> </w:t>
      </w:r>
      <w:r w:rsidRPr="004224F6">
        <w:rPr>
          <w:rFonts w:ascii="Times New Roman" w:hAnsi="Times New Roman" w:cs="Times New Roman"/>
          <w:lang w:val="ru-RU"/>
        </w:rPr>
        <w:t>1.01. Други типове плавателни съдове се вписват с общоприетото им означение.</w:t>
      </w:r>
    </w:p>
    <w:p w14:paraId="34C43A56"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3.</w:t>
      </w:r>
      <w:r w:rsidRPr="004224F6">
        <w:rPr>
          <w:rFonts w:ascii="Times New Roman" w:hAnsi="Times New Roman" w:cs="Times New Roman"/>
          <w:lang w:val="ru-RU"/>
        </w:rPr>
        <w:tab/>
        <w:t>Когато Корабното удостоверение за вътрешно корабоплаванесе удължава, текстът „официален номер“, както и този номер се заличават, а в случай на изменение се въвеждат текстът „3. уникален европейски идентификационен номер на кораба“, както и съответният номер.</w:t>
      </w:r>
    </w:p>
    <w:p w14:paraId="66FECEA1"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10.</w:t>
      </w:r>
      <w:r w:rsidRPr="004224F6">
        <w:rPr>
          <w:rFonts w:ascii="Times New Roman" w:hAnsi="Times New Roman" w:cs="Times New Roman"/>
          <w:lang w:val="ru-RU"/>
        </w:rPr>
        <w:tab/>
        <w:t>По отношение на плавателните съдове с Корабното удостоверение за вътрешно корабоплаване на Съюза, на които е разрешено корабоплаване по река Рейн, т.е.</w:t>
      </w:r>
    </w:p>
    <w:p w14:paraId="5849EB13" w14:textId="77777777" w:rsidR="00271FA2" w:rsidRPr="004224F6" w:rsidRDefault="00D35E51">
      <w:pPr>
        <w:tabs>
          <w:tab w:val="left" w:pos="1843"/>
        </w:tabs>
        <w:spacing w:line="240" w:lineRule="atLeast"/>
        <w:ind w:leftChars="590" w:left="1298" w:firstLineChars="10" w:firstLine="22"/>
        <w:jc w:val="both"/>
        <w:rPr>
          <w:rFonts w:ascii="Times New Roman" w:hAnsi="Times New Roman" w:cs="Times New Roman"/>
          <w:lang w:val="ru-RU"/>
        </w:rPr>
      </w:pPr>
      <w:r w:rsidRPr="004224F6">
        <w:rPr>
          <w:rFonts w:ascii="Times New Roman" w:hAnsi="Times New Roman" w:cs="Times New Roman"/>
        </w:rPr>
        <w:lastRenderedPageBreak/>
        <w:t>a</w:t>
      </w:r>
      <w:r w:rsidRPr="004224F6">
        <w:rPr>
          <w:rFonts w:ascii="Times New Roman" w:hAnsi="Times New Roman" w:cs="Times New Roman"/>
          <w:lang w:val="ru-RU"/>
        </w:rPr>
        <w:t>) тези, които отговарят напълно на изискванията в настоящия стандарт, включително преходните разпоредби на Глава 32, и</w:t>
      </w:r>
    </w:p>
    <w:p w14:paraId="26CC2A05" w14:textId="77777777" w:rsidR="00271FA2" w:rsidRPr="004224F6" w:rsidRDefault="00D35E51">
      <w:pPr>
        <w:tabs>
          <w:tab w:val="left" w:pos="1843"/>
        </w:tabs>
        <w:spacing w:line="240" w:lineRule="atLeast"/>
        <w:ind w:leftChars="590" w:left="1298" w:firstLineChars="10" w:firstLine="22"/>
        <w:jc w:val="both"/>
        <w:rPr>
          <w:rFonts w:ascii="Times New Roman" w:hAnsi="Times New Roman" w:cs="Times New Roman"/>
          <w:lang w:val="ru-RU"/>
        </w:rPr>
      </w:pPr>
      <w:r w:rsidRPr="004224F6">
        <w:rPr>
          <w:rFonts w:ascii="Times New Roman" w:hAnsi="Times New Roman" w:cs="Times New Roman"/>
          <w:lang w:val="ru-RU"/>
        </w:rPr>
        <w:t>б) тези, които не се ползват от преходните разпоредби на Глава 33 или намаленията, предвидени за зона 4,</w:t>
      </w:r>
    </w:p>
    <w:p w14:paraId="0174CDCC" w14:textId="77777777" w:rsidR="00271FA2" w:rsidRPr="004224F6" w:rsidRDefault="00D35E51">
      <w:pPr>
        <w:tabs>
          <w:tab w:val="left" w:pos="1843"/>
        </w:tabs>
        <w:spacing w:line="240" w:lineRule="atLeast"/>
        <w:ind w:leftChars="590" w:left="1298" w:firstLineChars="10" w:firstLine="22"/>
        <w:jc w:val="both"/>
        <w:rPr>
          <w:rFonts w:ascii="Times New Roman" w:hAnsi="Times New Roman" w:cs="Times New Roman"/>
          <w:lang w:val="ru-RU"/>
        </w:rPr>
      </w:pPr>
      <w:r w:rsidRPr="004224F6">
        <w:rPr>
          <w:rFonts w:ascii="Times New Roman" w:hAnsi="Times New Roman" w:cs="Times New Roman"/>
          <w:lang w:val="ru-RU"/>
        </w:rPr>
        <w:t>към тирето „— по водни пътища на ЕС в зона(и)“ се добавя следното:</w:t>
      </w:r>
    </w:p>
    <w:p w14:paraId="7907C5A0" w14:textId="77777777" w:rsidR="00271FA2" w:rsidRPr="004224F6" w:rsidRDefault="00D35E51">
      <w:pPr>
        <w:numPr>
          <w:ilvl w:val="0"/>
          <w:numId w:val="47"/>
        </w:numPr>
        <w:tabs>
          <w:tab w:val="left" w:pos="1843"/>
        </w:tabs>
        <w:spacing w:line="240" w:lineRule="atLeast"/>
        <w:ind w:leftChars="590" w:left="1298" w:firstLineChars="10" w:firstLine="22"/>
        <w:jc w:val="both"/>
        <w:rPr>
          <w:rFonts w:ascii="Times New Roman" w:hAnsi="Times New Roman" w:cs="Times New Roman"/>
        </w:rPr>
      </w:pPr>
      <w:r w:rsidRPr="004224F6">
        <w:rPr>
          <w:rFonts w:ascii="Times New Roman" w:hAnsi="Times New Roman" w:cs="Times New Roman"/>
        </w:rPr>
        <w:t xml:space="preserve">Рейн или  </w:t>
      </w:r>
    </w:p>
    <w:p w14:paraId="3A358602" w14:textId="77777777" w:rsidR="00271FA2" w:rsidRPr="004224F6" w:rsidRDefault="00D35E51">
      <w:pPr>
        <w:tabs>
          <w:tab w:val="left" w:pos="1843"/>
        </w:tabs>
        <w:spacing w:line="240" w:lineRule="atLeast"/>
        <w:ind w:leftChars="590" w:left="1298" w:firstLineChars="10" w:firstLine="22"/>
        <w:jc w:val="both"/>
        <w:rPr>
          <w:rFonts w:ascii="Times New Roman" w:hAnsi="Times New Roman" w:cs="Times New Roman"/>
        </w:rPr>
      </w:pPr>
      <w:r w:rsidRPr="004224F6">
        <w:rPr>
          <w:rFonts w:ascii="Times New Roman" w:hAnsi="Times New Roman" w:cs="Times New Roman"/>
        </w:rPr>
        <w:t>б) зона R.</w:t>
      </w:r>
    </w:p>
    <w:p w14:paraId="3262DBE9"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Напомняме, въз основа на член 1.04 и Приложение О от Рейнските правила за инспекция на корабите (</w:t>
      </w:r>
      <w:r w:rsidRPr="004224F6">
        <w:rPr>
          <w:rFonts w:ascii="Times New Roman" w:hAnsi="Times New Roman" w:cs="Times New Roman"/>
        </w:rPr>
        <w:t>RVIR</w:t>
      </w:r>
      <w:r w:rsidRPr="004224F6">
        <w:rPr>
          <w:rFonts w:ascii="Times New Roman" w:hAnsi="Times New Roman" w:cs="Times New Roman"/>
          <w:lang w:val="ru-RU"/>
        </w:rPr>
        <w:t>), Централната комисия за корабоплаване на Рейн (</w:t>
      </w:r>
      <w:r w:rsidRPr="004224F6">
        <w:rPr>
          <w:rFonts w:ascii="Times New Roman" w:hAnsi="Times New Roman" w:cs="Times New Roman"/>
        </w:rPr>
        <w:t>CCNR</w:t>
      </w:r>
      <w:r w:rsidRPr="004224F6">
        <w:rPr>
          <w:rFonts w:ascii="Times New Roman" w:hAnsi="Times New Roman" w:cs="Times New Roman"/>
          <w:lang w:val="ru-RU"/>
        </w:rPr>
        <w:t xml:space="preserve">) признава тези сертификати на Съюза за еквивалентни, като по този начин дава право на притежателя на пътуване по швейцарския участък на река Рейн чак до </w:t>
      </w:r>
      <w:r w:rsidRPr="004224F6">
        <w:rPr>
          <w:rFonts w:ascii="Times New Roman" w:hAnsi="Times New Roman" w:cs="Times New Roman"/>
        </w:rPr>
        <w:t>Mittlere</w:t>
      </w:r>
      <w:r w:rsidRPr="004224F6">
        <w:rPr>
          <w:rFonts w:ascii="Times New Roman" w:hAnsi="Times New Roman" w:cs="Times New Roman"/>
          <w:lang w:val="ru-RU"/>
        </w:rPr>
        <w:t xml:space="preserve"> </w:t>
      </w:r>
      <w:r w:rsidRPr="004224F6">
        <w:rPr>
          <w:rFonts w:ascii="Times New Roman" w:hAnsi="Times New Roman" w:cs="Times New Roman"/>
        </w:rPr>
        <w:t>Br</w:t>
      </w:r>
      <w:r w:rsidRPr="004224F6">
        <w:rPr>
          <w:rFonts w:ascii="Times New Roman" w:hAnsi="Times New Roman" w:cs="Times New Roman"/>
          <w:lang w:val="ru-RU"/>
        </w:rPr>
        <w:t>ü</w:t>
      </w:r>
      <w:r w:rsidRPr="004224F6">
        <w:rPr>
          <w:rFonts w:ascii="Times New Roman" w:hAnsi="Times New Roman" w:cs="Times New Roman"/>
        </w:rPr>
        <w:t>cke</w:t>
      </w:r>
      <w:r w:rsidRPr="004224F6">
        <w:rPr>
          <w:rFonts w:ascii="Times New Roman" w:hAnsi="Times New Roman" w:cs="Times New Roman"/>
          <w:lang w:val="ru-RU"/>
        </w:rPr>
        <w:t>.</w:t>
      </w:r>
    </w:p>
    <w:p w14:paraId="159B43AD"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12.</w:t>
      </w:r>
      <w:r w:rsidRPr="004224F6">
        <w:rPr>
          <w:rFonts w:ascii="Times New Roman" w:hAnsi="Times New Roman" w:cs="Times New Roman"/>
          <w:lang w:val="ru-RU"/>
        </w:rPr>
        <w:tab/>
        <w:t>Когато Корабното удостоверение за вътрешно корабоплаване се удължава, текстът „официален номер“ се заличава, а в случай на изменение се вписват текстът „12. Уникален европейски идентификационен номер на плавателния съд“, както и съответният номер.</w:t>
      </w:r>
    </w:p>
    <w:p w14:paraId="00800903"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15.</w:t>
      </w:r>
      <w:r w:rsidRPr="004224F6">
        <w:rPr>
          <w:rFonts w:ascii="Times New Roman" w:hAnsi="Times New Roman" w:cs="Times New Roman"/>
          <w:lang w:val="ru-RU"/>
        </w:rPr>
        <w:tab/>
        <w:t>Този раздел се попълва само за плавателни средства, за които поне едно от свойствата 1.1 или 1.2, или 3 в точка 14 не е заличено, а в противен случай се заличава цялата таблица.</w:t>
      </w:r>
    </w:p>
    <w:p w14:paraId="4AE65E4E"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15.1</w:t>
      </w:r>
      <w:r w:rsidRPr="004224F6">
        <w:rPr>
          <w:rFonts w:ascii="Times New Roman" w:hAnsi="Times New Roman" w:cs="Times New Roman"/>
          <w:lang w:val="ru-RU"/>
        </w:rPr>
        <w:tab/>
        <w:t>В колоната „схема на формированието“ от таблицата се отбелязва(т) номерът(ата) на описаните формирования. Редовете без вписване се зачертават.</w:t>
      </w:r>
    </w:p>
    <w:p w14:paraId="02BCA23E"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В „Други формирования“ могат да се посочат допълнителни формирования, които се означават с 18, 19, 20 и т.н.</w:t>
      </w:r>
    </w:p>
    <w:p w14:paraId="19A8E38A"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Ако от свойството „годен да тласка“ от предишното Корабно удостоверение не е ясно кои са разрешените формирования, отбелязаното в предишното Корабното удостоверение за вътрешно корабоплаване може да се пренесе в точка 52. В ред 1 от таблица „Разрешени формирования“ се отбелязва „Виж точка 52“.</w:t>
      </w:r>
    </w:p>
    <w:p w14:paraId="7F2DF5C1"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15.2</w:t>
      </w:r>
      <w:r w:rsidRPr="004224F6">
        <w:rPr>
          <w:rFonts w:ascii="Times New Roman" w:hAnsi="Times New Roman" w:cs="Times New Roman"/>
          <w:lang w:val="ru-RU"/>
        </w:rPr>
        <w:tab/>
        <w:t>Съединения</w:t>
      </w:r>
    </w:p>
    <w:p w14:paraId="2139EF0B"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Вписват се само детайлите за съединението между тласкащото плавателно средство и тласканата секция на състава.</w:t>
      </w:r>
    </w:p>
    <w:p w14:paraId="46942B46"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17-20</w:t>
      </w:r>
      <w:r w:rsidRPr="004224F6">
        <w:rPr>
          <w:rFonts w:ascii="Times New Roman" w:hAnsi="Times New Roman" w:cs="Times New Roman"/>
          <w:lang w:val="ru-RU"/>
        </w:rPr>
        <w:tab/>
        <w:t xml:space="preserve">Данните от точки 17—19 от свидетелството за тонаж са с точност до втория знак след десетичната запетая, а тези от точка 20 се вписват като цели числа. Общата дължина и общата ширина представляват максималните размери на плавателното средство, включително всички издадени фиксирани части. Дължината </w:t>
      </w:r>
      <m:oMath>
        <m:r>
          <w:rPr>
            <w:rFonts w:ascii="Cambria Math" w:hAnsi="Cambria Math" w:cs="Times New Roman"/>
          </w:rPr>
          <m:t>L</m:t>
        </m:r>
      </m:oMath>
      <w:r w:rsidRPr="004224F6">
        <w:rPr>
          <w:rFonts w:ascii="Times New Roman" w:hAnsi="Times New Roman" w:cs="Times New Roman"/>
          <w:lang w:val="ru-RU"/>
        </w:rPr>
        <w:t xml:space="preserve"> и ширината </w:t>
      </w:r>
      <m:oMath>
        <m:r>
          <w:rPr>
            <w:rFonts w:ascii="Cambria Math" w:hAnsi="Cambria Math" w:cs="Times New Roman"/>
          </w:rPr>
          <m:t>B</m:t>
        </m:r>
      </m:oMath>
      <w:r w:rsidRPr="004224F6">
        <w:rPr>
          <w:rFonts w:ascii="Times New Roman" w:hAnsi="Times New Roman" w:cs="Times New Roman"/>
          <w:lang w:val="ru-RU"/>
        </w:rPr>
        <w:t xml:space="preserve"> дават максималните размери на корпуса (виж също член 1.01 „Определения“).</w:t>
      </w:r>
    </w:p>
    <w:p w14:paraId="3D4CF1B3"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21.</w:t>
      </w:r>
      <w:r w:rsidRPr="004224F6">
        <w:rPr>
          <w:rFonts w:ascii="Times New Roman" w:hAnsi="Times New Roman" w:cs="Times New Roman"/>
          <w:lang w:val="ru-RU"/>
        </w:rPr>
        <w:tab/>
        <w:t xml:space="preserve">Пълната товароподемност в </w:t>
      </w:r>
      <w:r w:rsidRPr="004224F6">
        <w:rPr>
          <w:rFonts w:ascii="Times New Roman" w:hAnsi="Times New Roman" w:cs="Times New Roman"/>
        </w:rPr>
        <w:t>t</w:t>
      </w:r>
      <w:r w:rsidRPr="004224F6">
        <w:rPr>
          <w:rFonts w:ascii="Times New Roman" w:hAnsi="Times New Roman" w:cs="Times New Roman"/>
          <w:lang w:val="ru-RU"/>
        </w:rPr>
        <w:t xml:space="preserve"> за товарните съдове според удостоверението за измерване за максималното газене съгласно точка 19.</w:t>
      </w:r>
    </w:p>
    <w:p w14:paraId="4BE12EA0"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 xml:space="preserve">Водоизместване за всички други плавателни средства в </w:t>
      </w:r>
      <w:r w:rsidRPr="004224F6">
        <w:rPr>
          <w:rFonts w:ascii="Times New Roman" w:hAnsi="Times New Roman" w:cs="Times New Roman"/>
        </w:rPr>
        <w:t>m</w:t>
      </w:r>
      <w:r w:rsidRPr="004224F6">
        <w:rPr>
          <w:rFonts w:ascii="Times New Roman" w:hAnsi="Times New Roman" w:cs="Times New Roman"/>
          <w:vertAlign w:val="superscript"/>
          <w:lang w:val="ru-RU"/>
        </w:rPr>
        <w:t>3</w:t>
      </w:r>
      <w:r w:rsidRPr="004224F6">
        <w:rPr>
          <w:rFonts w:ascii="Times New Roman" w:hAnsi="Times New Roman" w:cs="Times New Roman"/>
          <w:lang w:val="ru-RU"/>
        </w:rPr>
        <w:t xml:space="preserve">. Ако няма удостоверение за измерване, водоизместването се изчислява като произведението от коефициента на общата пълнота и дължината </w:t>
      </w:r>
      <m:oMath>
        <m:sSub>
          <m:sSubPr>
            <m:ctrlPr>
              <w:rPr>
                <w:rFonts w:ascii="Cambria Math" w:hAnsi="Cambria Math" w:cs="Times New Roman"/>
                <w:i/>
                <w:sz w:val="18"/>
                <w:szCs w:val="18"/>
              </w:rPr>
            </m:ctrlPr>
          </m:sSubPr>
          <m:e>
            <m:r>
              <w:rPr>
                <w:rFonts w:ascii="Cambria Math" w:hAnsi="Cambria Math" w:cs="Times New Roman"/>
                <w:sz w:val="18"/>
                <w:szCs w:val="18"/>
              </w:rPr>
              <m:t>L</m:t>
            </m:r>
          </m:e>
          <m:sub>
            <m:r>
              <w:rPr>
                <w:rFonts w:ascii="Cambria Math" w:hAnsi="Cambria Math" w:cs="Times New Roman"/>
                <w:sz w:val="18"/>
                <w:szCs w:val="18"/>
              </w:rPr>
              <m:t>WL</m:t>
            </m:r>
          </m:sub>
        </m:sSub>
      </m:oMath>
      <w:r w:rsidRPr="004224F6">
        <w:rPr>
          <w:rFonts w:ascii="Times New Roman" w:hAnsi="Times New Roman" w:cs="Times New Roman"/>
          <w:lang w:val="ru-RU"/>
        </w:rPr>
        <w:t xml:space="preserve">, широчината </w:t>
      </w:r>
      <m:oMath>
        <m:sSub>
          <m:sSubPr>
            <m:ctrlPr>
              <w:rPr>
                <w:rFonts w:ascii="Cambria Math" w:hAnsi="Cambria Math" w:cs="Times New Roman"/>
                <w:i/>
                <w:sz w:val="18"/>
                <w:szCs w:val="18"/>
              </w:rPr>
            </m:ctrlPr>
          </m:sSubPr>
          <m:e>
            <m:r>
              <w:rPr>
                <w:rFonts w:ascii="Cambria Math" w:hAnsi="Cambria Math" w:cs="Times New Roman"/>
                <w:sz w:val="18"/>
                <w:szCs w:val="18"/>
              </w:rPr>
              <m:t>B</m:t>
            </m:r>
          </m:e>
          <m:sub>
            <m:r>
              <w:rPr>
                <w:rFonts w:ascii="Cambria Math" w:hAnsi="Cambria Math" w:cs="Times New Roman"/>
                <w:sz w:val="18"/>
                <w:szCs w:val="18"/>
              </w:rPr>
              <m:t>WL</m:t>
            </m:r>
          </m:sub>
        </m:sSub>
      </m:oMath>
      <w:r w:rsidRPr="004224F6">
        <w:rPr>
          <w:rFonts w:ascii="Times New Roman" w:hAnsi="Times New Roman" w:cs="Times New Roman"/>
          <w:lang w:val="ru-RU"/>
        </w:rPr>
        <w:t xml:space="preserve"> и средното газене при максималната потопеност.</w:t>
      </w:r>
    </w:p>
    <w:p w14:paraId="18C69EB9"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23.</w:t>
      </w:r>
      <w:r w:rsidRPr="004224F6">
        <w:rPr>
          <w:rFonts w:ascii="Times New Roman" w:hAnsi="Times New Roman" w:cs="Times New Roman"/>
          <w:lang w:val="ru-RU"/>
        </w:rPr>
        <w:tab/>
        <w:t>Брой на наличните спални места за пътници.</w:t>
      </w:r>
    </w:p>
    <w:p w14:paraId="16C3D695"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24.</w:t>
      </w:r>
      <w:r w:rsidRPr="004224F6">
        <w:rPr>
          <w:rFonts w:ascii="Times New Roman" w:hAnsi="Times New Roman" w:cs="Times New Roman"/>
          <w:lang w:val="ru-RU"/>
        </w:rPr>
        <w:tab/>
        <w:t>Вземат се предвид само напречните водонепроницаеми прегради, разположени от единия борд на съда до другия.</w:t>
      </w:r>
    </w:p>
    <w:p w14:paraId="720BCE85"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26.</w:t>
      </w:r>
      <w:r w:rsidRPr="004224F6">
        <w:rPr>
          <w:rFonts w:ascii="Times New Roman" w:hAnsi="Times New Roman" w:cs="Times New Roman"/>
          <w:lang w:val="ru-RU"/>
        </w:rPr>
        <w:tab/>
        <w:t>Ако е приложимо, се използват следните термини:</w:t>
      </w:r>
    </w:p>
    <w:p w14:paraId="49FEAD97"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 ръчно задвижвани капаци на люкове;</w:t>
      </w:r>
    </w:p>
    <w:p w14:paraId="4A565BA3"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lastRenderedPageBreak/>
        <w:t>- ръчно задвижвани търкалящи се капаци на люкове;</w:t>
      </w:r>
    </w:p>
    <w:p w14:paraId="6E0657A0"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 ръчно задвижвани плъзгащи се капаци на люкове;</w:t>
      </w:r>
    </w:p>
    <w:p w14:paraId="045C860C"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 механично задвижвани плъзгащи се капаци на люкове;</w:t>
      </w:r>
    </w:p>
    <w:p w14:paraId="6C8F23A4"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-механично задвижвани капаци на люкове.</w:t>
      </w:r>
    </w:p>
    <w:p w14:paraId="4A574E01"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Други типове капаци на люкове се вписват с общоприетото им означение.</w:t>
      </w:r>
    </w:p>
    <w:p w14:paraId="125846EC"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Всички трюмове, които нямат капак, се изброяват, напр. в точка 52.</w:t>
      </w:r>
    </w:p>
    <w:p w14:paraId="5FA574F1"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28.</w:t>
      </w:r>
      <w:r w:rsidRPr="004224F6">
        <w:rPr>
          <w:rFonts w:ascii="Times New Roman" w:hAnsi="Times New Roman" w:cs="Times New Roman"/>
          <w:lang w:val="ru-RU"/>
        </w:rPr>
        <w:tab/>
        <w:t>Цифри без десетична запетая.</w:t>
      </w:r>
    </w:p>
    <w:p w14:paraId="69843E01"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 xml:space="preserve">30, 31 </w:t>
      </w:r>
    </w:p>
    <w:p w14:paraId="114BA141"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и 33.</w:t>
      </w:r>
      <w:r w:rsidRPr="004224F6">
        <w:rPr>
          <w:rFonts w:ascii="Times New Roman" w:hAnsi="Times New Roman" w:cs="Times New Roman"/>
          <w:lang w:val="ru-RU"/>
        </w:rPr>
        <w:tab/>
        <w:t>Всеки кожух на лебедка се брои като една лебедка независимо от броя котвени или буксирни въжета, свързани към нея.</w:t>
      </w:r>
    </w:p>
    <w:p w14:paraId="1D75FBE1"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34.</w:t>
      </w:r>
      <w:r w:rsidRPr="004224F6">
        <w:rPr>
          <w:rFonts w:ascii="Times New Roman" w:hAnsi="Times New Roman" w:cs="Times New Roman"/>
          <w:lang w:val="ru-RU"/>
        </w:rPr>
        <w:tab/>
        <w:t>В „Други инсталации“ се вписват системи, които не използват пера на руля (напр. винто-рулева колона, крилчат движител, носови подрулващи устройства).</w:t>
      </w:r>
    </w:p>
    <w:p w14:paraId="524CA23B"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Вписват се също всички електрически спомагателни машини за ръчно задействане.</w:t>
      </w:r>
    </w:p>
    <w:p w14:paraId="60F893D0"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При носовите подрулващи системи „дистанционно управлявани“ се отнася само за устройствата, които се управляват дистанционно от поста за управление в рулевата рубка.</w:t>
      </w:r>
    </w:p>
    <w:p w14:paraId="3B4B7F5C"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35.</w:t>
      </w:r>
      <w:r w:rsidRPr="004224F6">
        <w:rPr>
          <w:rFonts w:ascii="Times New Roman" w:hAnsi="Times New Roman" w:cs="Times New Roman"/>
          <w:lang w:val="ru-RU"/>
        </w:rPr>
        <w:tab/>
        <w:t>Вписват се само теоретичните стойности съгласно член</w:t>
      </w:r>
      <w:r w:rsidRPr="004224F6">
        <w:rPr>
          <w:rFonts w:ascii="Times New Roman" w:hAnsi="Times New Roman" w:cs="Times New Roman"/>
        </w:rPr>
        <w:t> </w:t>
      </w:r>
      <w:r w:rsidRPr="004224F6">
        <w:rPr>
          <w:rFonts w:ascii="Times New Roman" w:hAnsi="Times New Roman" w:cs="Times New Roman"/>
          <w:lang w:val="ru-RU"/>
        </w:rPr>
        <w:t>8.08, точки 2 и 3, член</w:t>
      </w:r>
      <w:r w:rsidRPr="004224F6">
        <w:rPr>
          <w:rFonts w:ascii="Times New Roman" w:hAnsi="Times New Roman" w:cs="Times New Roman"/>
        </w:rPr>
        <w:t> </w:t>
      </w:r>
      <w:r w:rsidRPr="004224F6">
        <w:rPr>
          <w:rFonts w:ascii="Times New Roman" w:hAnsi="Times New Roman" w:cs="Times New Roman"/>
          <w:lang w:val="ru-RU"/>
        </w:rPr>
        <w:t>19.01, точка 1, буква “в“ и член</w:t>
      </w:r>
      <w:r w:rsidRPr="004224F6">
        <w:rPr>
          <w:rFonts w:ascii="Times New Roman" w:hAnsi="Times New Roman" w:cs="Times New Roman"/>
        </w:rPr>
        <w:t> </w:t>
      </w:r>
      <w:r w:rsidRPr="004224F6">
        <w:rPr>
          <w:rFonts w:ascii="Times New Roman" w:hAnsi="Times New Roman" w:cs="Times New Roman"/>
          <w:lang w:val="ru-RU"/>
        </w:rPr>
        <w:t>19.08, точка 5. За плавателни средства, чието строителство е започнало най-късно на 1.4.1976</w:t>
      </w:r>
      <w:r w:rsidRPr="004224F6">
        <w:rPr>
          <w:rFonts w:ascii="Times New Roman" w:hAnsi="Times New Roman" w:cs="Times New Roman"/>
        </w:rPr>
        <w:t> </w:t>
      </w:r>
      <w:r w:rsidRPr="004224F6">
        <w:rPr>
          <w:rFonts w:ascii="Times New Roman" w:hAnsi="Times New Roman" w:cs="Times New Roman"/>
          <w:lang w:val="ru-RU"/>
        </w:rPr>
        <w:t>г., първият раздел се попълва единствено в случай на осушителни помпи, които се заменят, и в случай на Корабното удостоверение за вътрешно корабоплаване, удължено след 1.1.2015</w:t>
      </w:r>
      <w:r w:rsidRPr="004224F6">
        <w:rPr>
          <w:rFonts w:ascii="Times New Roman" w:hAnsi="Times New Roman" w:cs="Times New Roman"/>
        </w:rPr>
        <w:t> </w:t>
      </w:r>
      <w:r w:rsidRPr="004224F6">
        <w:rPr>
          <w:rFonts w:ascii="Times New Roman" w:hAnsi="Times New Roman" w:cs="Times New Roman"/>
          <w:lang w:val="ru-RU"/>
        </w:rPr>
        <w:t>г. За плавателни средства, чието строителство е започнало най-късно на 31.12.1984</w:t>
      </w:r>
      <w:r w:rsidRPr="004224F6">
        <w:rPr>
          <w:rFonts w:ascii="Times New Roman" w:hAnsi="Times New Roman" w:cs="Times New Roman"/>
        </w:rPr>
        <w:t> </w:t>
      </w:r>
      <w:r w:rsidRPr="004224F6">
        <w:rPr>
          <w:rFonts w:ascii="Times New Roman" w:hAnsi="Times New Roman" w:cs="Times New Roman"/>
          <w:lang w:val="ru-RU"/>
        </w:rPr>
        <w:t xml:space="preserve">г. и които се използват само извън териториите на зона </w:t>
      </w:r>
      <w:r w:rsidRPr="004224F6">
        <w:rPr>
          <w:rFonts w:ascii="Times New Roman" w:hAnsi="Times New Roman" w:cs="Times New Roman"/>
        </w:rPr>
        <w:t>R</w:t>
      </w:r>
      <w:r w:rsidRPr="004224F6">
        <w:rPr>
          <w:rFonts w:ascii="Times New Roman" w:hAnsi="Times New Roman" w:cs="Times New Roman"/>
          <w:lang w:val="ru-RU"/>
        </w:rPr>
        <w:t>, разделът може да бъде оставен непопълнен.</w:t>
      </w:r>
    </w:p>
    <w:p w14:paraId="5A61BC5E"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36.</w:t>
      </w:r>
      <w:r w:rsidRPr="004224F6">
        <w:rPr>
          <w:rFonts w:ascii="Times New Roman" w:hAnsi="Times New Roman" w:cs="Times New Roman"/>
          <w:lang w:val="ru-RU"/>
        </w:rPr>
        <w:tab/>
        <w:t>За пояснение може да е необходима скица.</w:t>
      </w:r>
    </w:p>
    <w:p w14:paraId="72845B14"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37.</w:t>
      </w:r>
      <w:r w:rsidRPr="004224F6">
        <w:rPr>
          <w:rFonts w:ascii="Times New Roman" w:hAnsi="Times New Roman" w:cs="Times New Roman"/>
          <w:lang w:val="ru-RU"/>
        </w:rPr>
        <w:tab/>
        <w:t>Въвеждат се само теоретичните стойности без намаление съгласно член</w:t>
      </w:r>
      <w:r w:rsidRPr="004224F6">
        <w:rPr>
          <w:rFonts w:ascii="Times New Roman" w:hAnsi="Times New Roman" w:cs="Times New Roman"/>
        </w:rPr>
        <w:t> </w:t>
      </w:r>
      <w:r w:rsidRPr="004224F6">
        <w:rPr>
          <w:rFonts w:ascii="Times New Roman" w:hAnsi="Times New Roman" w:cs="Times New Roman"/>
          <w:lang w:val="ru-RU"/>
        </w:rPr>
        <w:t>13.01, точки 1 - 4.</w:t>
      </w:r>
    </w:p>
    <w:p w14:paraId="5AA714E9"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38.</w:t>
      </w:r>
      <w:r w:rsidRPr="004224F6">
        <w:rPr>
          <w:rFonts w:ascii="Times New Roman" w:hAnsi="Times New Roman" w:cs="Times New Roman"/>
          <w:lang w:val="ru-RU"/>
        </w:rPr>
        <w:tab/>
        <w:t>Вписват се само минималните дължини съгласно член 13.01, точка 10 и минималното натоварване на скъсване съгласно член 13.01, точка 11.</w:t>
      </w:r>
    </w:p>
    <w:p w14:paraId="56DA1838"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 xml:space="preserve">39. </w:t>
      </w:r>
    </w:p>
    <w:p w14:paraId="07DFF390"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и 40.</w:t>
      </w:r>
      <w:r w:rsidRPr="004224F6">
        <w:rPr>
          <w:rFonts w:ascii="Times New Roman" w:hAnsi="Times New Roman" w:cs="Times New Roman"/>
          <w:lang w:val="ru-RU"/>
        </w:rPr>
        <w:tab/>
        <w:t>Вписват се само минималните дължини и минималните стойности на натоварването на скъсване, преизчислени съгласно член 13.02, точка 3.</w:t>
      </w:r>
    </w:p>
    <w:p w14:paraId="358F9F46"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42.</w:t>
      </w:r>
      <w:r w:rsidRPr="004224F6">
        <w:rPr>
          <w:rFonts w:ascii="Times New Roman" w:hAnsi="Times New Roman" w:cs="Times New Roman"/>
          <w:lang w:val="ru-RU"/>
        </w:rPr>
        <w:tab/>
        <w:t>Контролният орган може да добави позиции в списъка с необходимо оборудване. Те трябва да бъдат обосновани като съществени за безопасността на плавателния съд за съответния вид съд или за неговата оперативна зона. Добавките се вписват в точка 52.</w:t>
      </w:r>
    </w:p>
    <w:p w14:paraId="61DE109A"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Лява колона, редове 3 - 5: за пътнически плавателни съдове първата спомената позиция се зачерква, а за всички други съдове втората спомената позиция се зачерква. Дължината на трапа се вписва, ако контролният орган е разрешил по-малка дължина от предвидената в член 13.02, точка 3, буква “г“ или член 19.06, точка 12.</w:t>
      </w:r>
    </w:p>
    <w:p w14:paraId="1F2FCB6C"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Лява колона, ред 7: тук се вписва броят на предписаните комплекти за първа помощ съгласно член 13.02, точка 3, буква “е“ и член 19.08, точка 9.</w:t>
      </w:r>
    </w:p>
    <w:p w14:paraId="079BC228" w14:textId="77777777" w:rsidR="00271FA2" w:rsidRPr="004224F6" w:rsidRDefault="00D35E51">
      <w:pPr>
        <w:tabs>
          <w:tab w:val="left" w:pos="1418"/>
        </w:tabs>
        <w:spacing w:line="240" w:lineRule="atLeast"/>
        <w:ind w:left="1418"/>
        <w:jc w:val="both"/>
        <w:rPr>
          <w:rFonts w:ascii="Times New Roman" w:hAnsi="Times New Roman" w:cs="Times New Roman"/>
          <w:lang w:val="ru-RU"/>
        </w:rPr>
      </w:pPr>
      <w:r w:rsidRPr="004224F6">
        <w:rPr>
          <w:rFonts w:ascii="Times New Roman" w:hAnsi="Times New Roman" w:cs="Times New Roman"/>
          <w:lang w:val="ru-RU"/>
        </w:rPr>
        <w:t>Лява колона, ред 11: тук се вписва броят на предписаните огнеустойчиви съдове съгласно член 13.02, точка 2.</w:t>
      </w:r>
    </w:p>
    <w:p w14:paraId="7D743CCA"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lastRenderedPageBreak/>
        <w:t>43.</w:t>
      </w:r>
      <w:r w:rsidRPr="004224F6">
        <w:rPr>
          <w:rFonts w:ascii="Times New Roman" w:hAnsi="Times New Roman" w:cs="Times New Roman"/>
          <w:lang w:val="ru-RU"/>
        </w:rPr>
        <w:tab/>
        <w:t>Преносими пожарогасители, изисквани от други наредби за безопасност, напр. и регламент, не са включени тук.</w:t>
      </w:r>
    </w:p>
    <w:p w14:paraId="6F4CFD6D" w14:textId="77777777" w:rsidR="00271FA2" w:rsidRPr="004224F6" w:rsidRDefault="00D35E51">
      <w:pPr>
        <w:adjustRightInd w:val="0"/>
        <w:spacing w:line="240" w:lineRule="atLeast"/>
        <w:ind w:left="1418" w:hanging="851"/>
        <w:jc w:val="both"/>
        <w:rPr>
          <w:rFonts w:ascii="Times New Roman" w:hAnsi="Times New Roman" w:cs="Times New Roman"/>
          <w:szCs w:val="20"/>
          <w:lang w:val="ru-RU"/>
        </w:rPr>
      </w:pPr>
      <w:r w:rsidRPr="004224F6">
        <w:rPr>
          <w:rFonts w:ascii="Times New Roman" w:hAnsi="Times New Roman" w:cs="Times New Roman"/>
          <w:lang w:val="ru-RU"/>
        </w:rPr>
        <w:t>44.</w:t>
      </w:r>
      <w:r w:rsidRPr="004224F6">
        <w:rPr>
          <w:rFonts w:ascii="Times New Roman" w:hAnsi="Times New Roman" w:cs="Times New Roman"/>
          <w:lang w:val="ru-RU"/>
        </w:rPr>
        <w:tab/>
        <w:t>Ред 3: в Корабното удостоверение за вътрешно корабоплаване, които трябва да бъдат подновени преди 1.1.2025</w:t>
      </w:r>
      <w:r w:rsidRPr="004224F6">
        <w:rPr>
          <w:rFonts w:ascii="Times New Roman" w:hAnsi="Times New Roman" w:cs="Times New Roman"/>
        </w:rPr>
        <w:t> </w:t>
      </w:r>
      <w:r w:rsidRPr="004224F6">
        <w:rPr>
          <w:rFonts w:ascii="Times New Roman" w:hAnsi="Times New Roman" w:cs="Times New Roman"/>
          <w:lang w:val="ru-RU"/>
        </w:rPr>
        <w:t>г. (Глава 33), изразът „съгласно член 13.08, точка 2“ се зачерква, ако на борда няма спасителни жилетки съгласно настоящия стандарт.</w:t>
      </w:r>
    </w:p>
    <w:p w14:paraId="77A33C19" w14:textId="77777777" w:rsidR="00271FA2" w:rsidRPr="004224F6" w:rsidRDefault="00D35E51">
      <w:pPr>
        <w:adjustRightInd w:val="0"/>
        <w:spacing w:line="240" w:lineRule="atLeast"/>
        <w:ind w:left="1418"/>
        <w:jc w:val="both"/>
        <w:rPr>
          <w:rFonts w:ascii="Times New Roman" w:hAnsi="Times New Roman" w:cs="Times New Roman"/>
          <w:szCs w:val="20"/>
          <w:lang w:val="ru-RU"/>
        </w:rPr>
      </w:pPr>
      <w:r w:rsidRPr="004224F6">
        <w:rPr>
          <w:rFonts w:ascii="Times New Roman" w:hAnsi="Times New Roman" w:cs="Times New Roman"/>
          <w:lang w:val="ru-RU"/>
        </w:rPr>
        <w:t>Ред</w:t>
      </w:r>
      <w:r w:rsidRPr="004224F6">
        <w:rPr>
          <w:rFonts w:ascii="Times New Roman" w:hAnsi="Times New Roman" w:cs="Times New Roman"/>
        </w:rPr>
        <w:t> </w:t>
      </w:r>
      <w:r w:rsidRPr="004224F6">
        <w:rPr>
          <w:rFonts w:ascii="Times New Roman" w:hAnsi="Times New Roman" w:cs="Times New Roman"/>
          <w:lang w:val="ru-RU"/>
        </w:rPr>
        <w:t>4:</w:t>
      </w:r>
      <w:r w:rsidRPr="004224F6">
        <w:rPr>
          <w:rFonts w:ascii="Times New Roman" w:hAnsi="Times New Roman" w:cs="Times New Roman"/>
        </w:rPr>
        <w:t> </w:t>
      </w:r>
      <w:r w:rsidRPr="004224F6">
        <w:rPr>
          <w:rFonts w:ascii="Times New Roman" w:hAnsi="Times New Roman" w:cs="Times New Roman"/>
          <w:lang w:val="ru-RU"/>
        </w:rPr>
        <w:t>В Корабните удостоверения за вътрешно корабоплаване, които трябва да бъдат подновени след 1.1.2015</w:t>
      </w:r>
      <w:r w:rsidRPr="004224F6">
        <w:rPr>
          <w:rFonts w:ascii="Times New Roman" w:hAnsi="Times New Roman" w:cs="Times New Roman"/>
        </w:rPr>
        <w:t> </w:t>
      </w:r>
      <w:r w:rsidRPr="004224F6">
        <w:rPr>
          <w:rFonts w:ascii="Times New Roman" w:hAnsi="Times New Roman" w:cs="Times New Roman"/>
          <w:lang w:val="ru-RU"/>
        </w:rPr>
        <w:t xml:space="preserve">г., или ако на борда се взема нова лодка, или за новопостроени плавателни средства, изразът „с комплект гребла, швартово въже и помпа за изхвърляне на вода“ се зачерква. В Корабното удостоверение за вътрешно корабоплаване, които трябва да бъдат подновени след 1.1.2030 г. (Глава 33), ако на борда няма лодка съгласно настоящия стандарт, изразът „съгласно Стандарт </w:t>
      </w:r>
      <w:r w:rsidRPr="004224F6">
        <w:rPr>
          <w:rFonts w:ascii="Times New Roman" w:hAnsi="Times New Roman" w:cs="Times New Roman"/>
        </w:rPr>
        <w:t>EN</w:t>
      </w:r>
      <w:r w:rsidRPr="004224F6">
        <w:rPr>
          <w:rFonts w:ascii="Times New Roman" w:hAnsi="Times New Roman" w:cs="Times New Roman"/>
          <w:lang w:val="ru-RU"/>
        </w:rPr>
        <w:t xml:space="preserve"> 1914:2016“ се зачерква. В Корабното удостоверение за вътрешно корабоплаване, което следва да бъде подновено преди 1.9.2036 г., ако съответствието със Стандарт </w:t>
      </w:r>
      <w:r w:rsidRPr="004224F6">
        <w:rPr>
          <w:rFonts w:ascii="Times New Roman" w:hAnsi="Times New Roman" w:cs="Times New Roman"/>
        </w:rPr>
        <w:t>EN</w:t>
      </w:r>
      <w:r w:rsidRPr="004224F6">
        <w:rPr>
          <w:rFonts w:ascii="Times New Roman" w:hAnsi="Times New Roman" w:cs="Times New Roman"/>
          <w:lang w:val="ru-RU"/>
        </w:rPr>
        <w:t xml:space="preserve"> 1994:1997 бъде доказано, текстът „2016“ може да бъде зачеркнат.</w:t>
      </w:r>
    </w:p>
    <w:p w14:paraId="4C4594E0"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46.</w:t>
      </w:r>
      <w:r w:rsidRPr="004224F6">
        <w:rPr>
          <w:rFonts w:ascii="Times New Roman" w:hAnsi="Times New Roman" w:cs="Times New Roman"/>
          <w:lang w:val="ru-RU"/>
        </w:rPr>
        <w:tab/>
        <w:t>Като общо правило не се записва непрекъсната експлоатация, ако няма достатъчно спални места или ако са налице прекомерни нива на шума.</w:t>
      </w:r>
    </w:p>
    <w:p w14:paraId="246D30B7"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50.</w:t>
      </w:r>
      <w:r w:rsidRPr="004224F6">
        <w:rPr>
          <w:rFonts w:ascii="Times New Roman" w:hAnsi="Times New Roman" w:cs="Times New Roman"/>
          <w:lang w:val="ru-RU"/>
        </w:rPr>
        <w:tab/>
        <w:t>Експертът се подписва само ако лично е попълнил страница 11.</w:t>
      </w:r>
    </w:p>
    <w:p w14:paraId="0BF2A012" w14:textId="77777777" w:rsidR="00271FA2" w:rsidRPr="004224F6" w:rsidRDefault="00D35E51">
      <w:pPr>
        <w:tabs>
          <w:tab w:val="left" w:pos="567"/>
          <w:tab w:val="left" w:pos="1418"/>
        </w:tabs>
        <w:spacing w:line="240" w:lineRule="atLeast"/>
        <w:ind w:left="1418" w:hanging="851"/>
        <w:jc w:val="both"/>
        <w:rPr>
          <w:rFonts w:ascii="Times New Roman" w:hAnsi="Times New Roman" w:cs="Times New Roman"/>
          <w:lang w:val="ru-RU"/>
        </w:rPr>
      </w:pPr>
      <w:r w:rsidRPr="004224F6">
        <w:rPr>
          <w:rFonts w:ascii="Times New Roman" w:hAnsi="Times New Roman" w:cs="Times New Roman"/>
          <w:lang w:val="ru-RU"/>
        </w:rPr>
        <w:t>52.</w:t>
      </w:r>
      <w:r w:rsidRPr="004224F6">
        <w:rPr>
          <w:rFonts w:ascii="Times New Roman" w:hAnsi="Times New Roman" w:cs="Times New Roman"/>
          <w:lang w:val="ru-RU"/>
        </w:rPr>
        <w:tab/>
        <w:t>Тук се посочват всички допълнителни ограничения, изключения и обяснения или подобни, отнасящи се до вписванията в отделните точки.</w:t>
      </w:r>
    </w:p>
    <w:p w14:paraId="75F37FDE"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5.</w:t>
      </w:r>
      <w:r w:rsidRPr="004224F6">
        <w:rPr>
          <w:rFonts w:ascii="Times New Roman" w:hAnsi="Times New Roman" w:cs="Times New Roman"/>
          <w:lang w:val="ru-RU"/>
        </w:rPr>
        <w:tab/>
      </w:r>
      <w:r w:rsidRPr="004224F6">
        <w:rPr>
          <w:rFonts w:ascii="Times New Roman" w:hAnsi="Times New Roman" w:cs="Times New Roman"/>
          <w:b/>
          <w:color w:val="000000"/>
          <w:lang w:val="ru-RU"/>
        </w:rPr>
        <w:t>Преходни разпоредби на Корабното удостоверение за вътрешно корабоплаване на Съюза</w:t>
      </w:r>
    </w:p>
    <w:p w14:paraId="197D63BB"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5.1</w:t>
      </w:r>
      <w:r w:rsidRPr="004224F6">
        <w:rPr>
          <w:rFonts w:ascii="Times New Roman" w:hAnsi="Times New Roman" w:cs="Times New Roman"/>
          <w:lang w:val="ru-RU"/>
        </w:rPr>
        <w:tab/>
      </w:r>
      <w:r w:rsidRPr="004224F6">
        <w:rPr>
          <w:rFonts w:ascii="Times New Roman" w:hAnsi="Times New Roman" w:cs="Times New Roman"/>
          <w:b/>
          <w:color w:val="000000"/>
          <w:lang w:val="ru-RU"/>
        </w:rPr>
        <w:t>Съществуващи удостоверения на Общността</w:t>
      </w:r>
    </w:p>
    <w:p w14:paraId="7A67CEFA"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 изключение на извънредното 6-месечно удължаване, не се предоставят други удължавания на съществуващи удостоверения на Общността.</w:t>
      </w:r>
    </w:p>
    <w:p w14:paraId="7B7C490C"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5.2</w:t>
      </w:r>
      <w:r w:rsidRPr="004224F6">
        <w:rPr>
          <w:rFonts w:ascii="Times New Roman" w:hAnsi="Times New Roman" w:cs="Times New Roman"/>
          <w:lang w:val="ru-RU"/>
        </w:rPr>
        <w:tab/>
      </w:r>
      <w:r w:rsidRPr="004224F6">
        <w:rPr>
          <w:rFonts w:ascii="Times New Roman" w:hAnsi="Times New Roman" w:cs="Times New Roman"/>
          <w:b/>
          <w:color w:val="000000"/>
          <w:lang w:val="ru-RU"/>
        </w:rPr>
        <w:t>Подмяна след периодична проверка</w:t>
      </w:r>
    </w:p>
    <w:p w14:paraId="6A0B57DA" w14:textId="5ED9DEBE"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След периодична проверка на кораб, който все още няма Корабно удостоверение за вътрешно корабоплаване в съответствие с образеца в Приложение 3, раздел </w:t>
      </w:r>
      <w:r w:rsidRPr="004224F6">
        <w:rPr>
          <w:rFonts w:ascii="Times New Roman" w:hAnsi="Times New Roman" w:cs="Times New Roman"/>
        </w:rPr>
        <w:t>I</w:t>
      </w:r>
      <w:r w:rsidRPr="004224F6">
        <w:rPr>
          <w:rFonts w:ascii="Times New Roman" w:hAnsi="Times New Roman" w:cs="Times New Roman"/>
          <w:lang w:val="ru-RU"/>
        </w:rPr>
        <w:t xml:space="preserve"> се издава Корабното удостоверение за вътрешно корабоплаване.</w:t>
      </w:r>
    </w:p>
    <w:p w14:paraId="50364832" w14:textId="77777777" w:rsidR="00271FA2" w:rsidRPr="004224F6" w:rsidRDefault="00271FA2">
      <w:pPr>
        <w:overflowPunct w:val="0"/>
        <w:adjustRightInd w:val="0"/>
        <w:spacing w:line="240" w:lineRule="atLeast"/>
        <w:textAlignment w:val="baseline"/>
        <w:rPr>
          <w:rFonts w:ascii="Times New Roman" w:eastAsia="Calibri" w:hAnsi="Times New Roman" w:cs="Times New Roman"/>
          <w:i/>
          <w:szCs w:val="20"/>
          <w:lang w:val="ru-RU"/>
        </w:rPr>
        <w:sectPr w:rsidR="00271FA2" w:rsidRPr="004224F6" w:rsidSect="004224F6">
          <w:headerReference w:type="default" r:id="rId192"/>
          <w:headerReference w:type="first" r:id="rId193"/>
          <w:footerReference w:type="first" r:id="rId194"/>
          <w:pgSz w:w="11907" w:h="16840"/>
          <w:pgMar w:top="1134" w:right="1134" w:bottom="1134" w:left="1134" w:header="709" w:footer="709" w:gutter="0"/>
          <w:cols w:space="720"/>
          <w:titlePg/>
          <w:docGrid w:linePitch="299"/>
        </w:sectPr>
      </w:pPr>
    </w:p>
    <w:p w14:paraId="4D7C859F" w14:textId="77777777" w:rsidR="00271FA2" w:rsidRPr="004224F6" w:rsidRDefault="00D35E51">
      <w:pPr>
        <w:pStyle w:val="ES-Titre2ESI"/>
        <w:rPr>
          <w:rFonts w:ascii="Times New Roman" w:hAnsi="Times New Roman" w:cs="Times New Roman"/>
          <w:snapToGrid w:val="0"/>
          <w:lang w:val="ru-RU"/>
        </w:rPr>
      </w:pPr>
      <w:bookmarkStart w:id="669" w:name="_Toc535827789"/>
      <w:bookmarkStart w:id="670" w:name="_Toc491854348"/>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w:t>
      </w:r>
      <w:r w:rsidRPr="004224F6">
        <w:rPr>
          <w:rFonts w:ascii="Times New Roman" w:hAnsi="Times New Roman" w:cs="Times New Roman"/>
          <w:lang w:val="ru-RU"/>
        </w:rPr>
        <w:t>-2</w:t>
      </w:r>
      <w:r w:rsidRPr="004224F6">
        <w:rPr>
          <w:rFonts w:ascii="Times New Roman" w:hAnsi="Times New Roman" w:cs="Times New Roman"/>
          <w:lang w:val="ru-RU"/>
        </w:rPr>
        <w:br/>
        <w:t>Експерти и компетентни лица</w:t>
      </w:r>
      <w:bookmarkEnd w:id="669"/>
      <w:bookmarkEnd w:id="670"/>
    </w:p>
    <w:p w14:paraId="3D1F0E56" w14:textId="77777777" w:rsidR="00271FA2" w:rsidRPr="004224F6" w:rsidRDefault="00D35E51">
      <w:pPr>
        <w:suppressAutoHyphens/>
        <w:spacing w:line="240" w:lineRule="atLeast"/>
        <w:jc w:val="center"/>
        <w:rPr>
          <w:rFonts w:ascii="Times New Roman" w:hAnsi="Times New Roman" w:cs="Times New Roman"/>
          <w:b/>
          <w:snapToGrid w:val="0"/>
          <w:lang w:val="ru-RU"/>
        </w:rPr>
      </w:pPr>
      <w:r w:rsidRPr="004224F6">
        <w:rPr>
          <w:rFonts w:ascii="Times New Roman" w:hAnsi="Times New Roman" w:cs="Times New Roman"/>
          <w:b/>
          <w:snapToGrid w:val="0"/>
          <w:lang w:val="ru-RU"/>
        </w:rPr>
        <w:t>(Член 1.01, 10.3 и 10.4)</w:t>
      </w:r>
    </w:p>
    <w:p w14:paraId="6B75D075" w14:textId="77777777" w:rsidR="00271FA2" w:rsidRPr="004224F6" w:rsidRDefault="00D35E51">
      <w:pPr>
        <w:spacing w:line="240" w:lineRule="atLeast"/>
        <w:ind w:left="567" w:hanging="567"/>
        <w:rPr>
          <w:rFonts w:ascii="Times New Roman" w:hAnsi="Times New Roman" w:cs="Times New Roman"/>
          <w:b/>
          <w:lang w:val="ru-RU"/>
        </w:rPr>
      </w:pPr>
      <w:r w:rsidRPr="004224F6">
        <w:rPr>
          <w:rFonts w:ascii="Times New Roman" w:hAnsi="Times New Roman" w:cs="Times New Roman"/>
          <w:b/>
          <w:lang w:val="ru-RU"/>
        </w:rPr>
        <w:t>Експерти</w:t>
      </w:r>
    </w:p>
    <w:p w14:paraId="21CB02D4"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 xml:space="preserve">Приемните изпитвания, изискващи специализирани познания поради сложността на системите или поради изискваното равнище на безопасност, се извършват от експерти. Следните лица или институции имат право да провеждат приемни изпитвания: </w:t>
      </w:r>
    </w:p>
    <w:p w14:paraId="04384F45" w14:textId="77777777" w:rsidR="00271FA2" w:rsidRPr="004224F6" w:rsidRDefault="00D35E51">
      <w:pPr>
        <w:spacing w:line="240" w:lineRule="atLeast"/>
        <w:ind w:left="426"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класификационни организации, които имат необходимия собствен опит или въз основа на правомощията си носят отговорност за призоваването на външни лица или институции и които разполагат с необходимите системи за контрол на качеството по отношение на подбора на тези лица или институции;</w:t>
      </w:r>
    </w:p>
    <w:p w14:paraId="7F45ABC8" w14:textId="77777777" w:rsidR="00271FA2" w:rsidRPr="004224F6" w:rsidRDefault="00D35E51">
      <w:pPr>
        <w:spacing w:line="240" w:lineRule="atLeast"/>
        <w:ind w:left="426"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членове на контролните органи или персоналът на съответните органи;</w:t>
      </w:r>
    </w:p>
    <w:p w14:paraId="2EDC0DD2" w14:textId="77777777" w:rsidR="00271FA2" w:rsidRPr="004224F6" w:rsidRDefault="00D35E51">
      <w:pPr>
        <w:spacing w:line="240" w:lineRule="atLeast"/>
        <w:ind w:left="426"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официално одобрени лица или институции с признат експертен опит за обхвата на проверката в съответната област, като контролните органи за плавателни съдове могат също да издадат одобрение в качеството си на държавни агенции, което в идеалния случай става въз основа на система за осигуряване на качеството. Лице или институция се счита за одобрено(а), ако е преминало(а) през официална процедура на подбор, чрез която изрично се оценява наличието на изискваните експертни познания и опит.</w:t>
      </w:r>
    </w:p>
    <w:p w14:paraId="4B0AF5FF" w14:textId="77777777" w:rsidR="00271FA2" w:rsidRPr="004224F6" w:rsidRDefault="00D35E51">
      <w:pPr>
        <w:tabs>
          <w:tab w:val="left" w:pos="1418"/>
        </w:tabs>
        <w:spacing w:line="240" w:lineRule="atLeast"/>
        <w:rPr>
          <w:rFonts w:ascii="Times New Roman" w:hAnsi="Times New Roman" w:cs="Times New Roman"/>
          <w:b/>
          <w:color w:val="000000"/>
          <w:lang w:val="ru-RU"/>
        </w:rPr>
      </w:pPr>
      <w:r w:rsidRPr="004224F6">
        <w:rPr>
          <w:rFonts w:ascii="Times New Roman" w:hAnsi="Times New Roman" w:cs="Times New Roman"/>
          <w:b/>
          <w:color w:val="000000"/>
          <w:lang w:val="ru-RU"/>
        </w:rPr>
        <w:t>Експерт за традиционни плавателни средства</w:t>
      </w:r>
    </w:p>
    <w:p w14:paraId="7E8C2720"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Лице, назначено от компетентния орган или от упълномощена институция на държава членка, което притежава специални познания в областта на традиционните плавателни средства поради своето обучение и опит в тази област и което е запознато със съответните технически изисквания и правила, също от периода от време на традиционното плавателно средство.</w:t>
      </w:r>
    </w:p>
    <w:p w14:paraId="61C6019E" w14:textId="77777777" w:rsidR="00271FA2" w:rsidRPr="004224F6" w:rsidRDefault="00D35E51">
      <w:pPr>
        <w:spacing w:line="240" w:lineRule="atLeast"/>
        <w:ind w:left="567" w:hanging="567"/>
        <w:rPr>
          <w:rFonts w:ascii="Times New Roman" w:hAnsi="Times New Roman" w:cs="Times New Roman"/>
          <w:b/>
          <w:lang w:val="ru-RU"/>
        </w:rPr>
      </w:pPr>
      <w:r w:rsidRPr="004224F6">
        <w:rPr>
          <w:rFonts w:ascii="Times New Roman" w:hAnsi="Times New Roman" w:cs="Times New Roman"/>
          <w:b/>
          <w:lang w:val="ru-RU"/>
        </w:rPr>
        <w:t>Компетентни лица</w:t>
      </w:r>
    </w:p>
    <w:p w14:paraId="0438E225"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Компетентни лица се изискват например за извършването на редовни визуални проверки и оперативни проверки на оборудването за безопасност. Следните лица могат да бъдат класифицирани като компетентни:</w:t>
      </w:r>
    </w:p>
    <w:p w14:paraId="15484D75" w14:textId="77777777" w:rsidR="00271FA2" w:rsidRPr="004224F6" w:rsidRDefault="00D35E51">
      <w:pPr>
        <w:spacing w:line="240" w:lineRule="atLeast"/>
        <w:ind w:left="426"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лица, които въз основа на професионалната си подготовка и опит, имат достатъчни познания, за да са в състояние да направят експертна оценка на специфични ситуации и обстоятелства, напр. капитани на кораби, служители по безопасността в корабоплавателни компании, членове на екипажа, които имат съответния опит;</w:t>
      </w:r>
    </w:p>
    <w:p w14:paraId="11D034D5" w14:textId="77777777" w:rsidR="00271FA2" w:rsidRPr="004224F6" w:rsidRDefault="00D35E51">
      <w:pPr>
        <w:spacing w:line="240" w:lineRule="atLeast"/>
        <w:ind w:left="426"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дружества, които са придобили достатъчно специализирани познания в процеса на работата си, напр. корабостроителници или монтажни фирми;</w:t>
      </w:r>
    </w:p>
    <w:p w14:paraId="7B87931C" w14:textId="77777777" w:rsidR="00271FA2" w:rsidRPr="004224F6" w:rsidRDefault="00D35E51">
      <w:pPr>
        <w:spacing w:line="240" w:lineRule="atLeast"/>
        <w:ind w:left="426"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производители на системи със специално предназначение (напр. пожарогасителни системи, контролно оборудване).</w:t>
      </w:r>
    </w:p>
    <w:p w14:paraId="1B23A12B" w14:textId="77777777" w:rsidR="00271FA2" w:rsidRPr="004224F6" w:rsidRDefault="00D35E51">
      <w:pPr>
        <w:spacing w:line="240" w:lineRule="atLeast"/>
        <w:rPr>
          <w:rFonts w:ascii="Times New Roman" w:hAnsi="Times New Roman" w:cs="Times New Roman"/>
          <w:b/>
          <w:lang w:val="ru-RU"/>
        </w:rPr>
      </w:pPr>
      <w:r w:rsidRPr="004224F6">
        <w:rPr>
          <w:rFonts w:ascii="Times New Roman" w:hAnsi="Times New Roman" w:cs="Times New Roman"/>
          <w:b/>
          <w:lang w:val="ru-RU"/>
        </w:rPr>
        <w:br w:type="page"/>
      </w:r>
    </w:p>
    <w:p w14:paraId="40EABC2C" w14:textId="77777777" w:rsidR="00271FA2" w:rsidRPr="004224F6" w:rsidRDefault="00D35E51">
      <w:pPr>
        <w:spacing w:line="240" w:lineRule="atLeast"/>
        <w:ind w:left="567" w:hanging="567"/>
        <w:rPr>
          <w:rFonts w:ascii="Times New Roman" w:hAnsi="Times New Roman" w:cs="Times New Roman"/>
        </w:rPr>
      </w:pPr>
      <w:r w:rsidRPr="004224F6">
        <w:rPr>
          <w:rFonts w:ascii="Times New Roman" w:hAnsi="Times New Roman" w:cs="Times New Roman"/>
          <w:b/>
        </w:rPr>
        <w:lastRenderedPageBreak/>
        <w:t>Терминология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1800"/>
        <w:gridCol w:w="1921"/>
        <w:gridCol w:w="1807"/>
      </w:tblGrid>
      <w:tr w:rsidR="00271FA2" w:rsidRPr="004224F6" w14:paraId="369F5597" w14:textId="77777777">
        <w:trPr>
          <w:jc w:val="center"/>
        </w:trPr>
        <w:tc>
          <w:tcPr>
            <w:tcW w:w="1859" w:type="dxa"/>
          </w:tcPr>
          <w:p w14:paraId="0841BDC1"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немски</w:t>
            </w:r>
          </w:p>
        </w:tc>
        <w:tc>
          <w:tcPr>
            <w:tcW w:w="1800" w:type="dxa"/>
          </w:tcPr>
          <w:p w14:paraId="5D193974"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английски</w:t>
            </w:r>
          </w:p>
        </w:tc>
        <w:tc>
          <w:tcPr>
            <w:tcW w:w="1921" w:type="dxa"/>
          </w:tcPr>
          <w:p w14:paraId="2BBDF4A7"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френски</w:t>
            </w:r>
          </w:p>
        </w:tc>
        <w:tc>
          <w:tcPr>
            <w:tcW w:w="1807" w:type="dxa"/>
          </w:tcPr>
          <w:p w14:paraId="315F7885"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нидерландски</w:t>
            </w:r>
          </w:p>
        </w:tc>
      </w:tr>
      <w:tr w:rsidR="00271FA2" w:rsidRPr="004224F6" w14:paraId="1C62803B" w14:textId="77777777">
        <w:trPr>
          <w:jc w:val="center"/>
        </w:trPr>
        <w:tc>
          <w:tcPr>
            <w:tcW w:w="1859" w:type="dxa"/>
          </w:tcPr>
          <w:p w14:paraId="19A36271"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Sachverständiger</w:t>
            </w:r>
          </w:p>
        </w:tc>
        <w:tc>
          <w:tcPr>
            <w:tcW w:w="1800" w:type="dxa"/>
          </w:tcPr>
          <w:p w14:paraId="2C0441B3"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expert</w:t>
            </w:r>
          </w:p>
        </w:tc>
        <w:tc>
          <w:tcPr>
            <w:tcW w:w="1921" w:type="dxa"/>
          </w:tcPr>
          <w:p w14:paraId="3A592FCB"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expert</w:t>
            </w:r>
          </w:p>
        </w:tc>
        <w:tc>
          <w:tcPr>
            <w:tcW w:w="1807" w:type="dxa"/>
          </w:tcPr>
          <w:p w14:paraId="0A8B4854"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erkend deskundige</w:t>
            </w:r>
          </w:p>
        </w:tc>
      </w:tr>
      <w:tr w:rsidR="00271FA2" w:rsidRPr="004224F6" w14:paraId="24BFAD61" w14:textId="77777777">
        <w:trPr>
          <w:jc w:val="center"/>
        </w:trPr>
        <w:tc>
          <w:tcPr>
            <w:tcW w:w="1859" w:type="dxa"/>
          </w:tcPr>
          <w:p w14:paraId="09DE1661"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Sachkundiger</w:t>
            </w:r>
          </w:p>
        </w:tc>
        <w:tc>
          <w:tcPr>
            <w:tcW w:w="1800" w:type="dxa"/>
          </w:tcPr>
          <w:p w14:paraId="280D2A88"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competent person</w:t>
            </w:r>
          </w:p>
        </w:tc>
        <w:tc>
          <w:tcPr>
            <w:tcW w:w="1921" w:type="dxa"/>
          </w:tcPr>
          <w:p w14:paraId="1C256C17"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spécialiste</w:t>
            </w:r>
          </w:p>
        </w:tc>
        <w:tc>
          <w:tcPr>
            <w:tcW w:w="1807" w:type="dxa"/>
          </w:tcPr>
          <w:p w14:paraId="62B0692C"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deskundige</w:t>
            </w:r>
          </w:p>
        </w:tc>
      </w:tr>
      <w:tr w:rsidR="00271FA2" w:rsidRPr="004224F6" w14:paraId="4C27150E" w14:textId="77777777">
        <w:trPr>
          <w:jc w:val="center"/>
        </w:trPr>
        <w:tc>
          <w:tcPr>
            <w:tcW w:w="1859" w:type="dxa"/>
          </w:tcPr>
          <w:p w14:paraId="686B2765"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Fachfirma</w:t>
            </w:r>
          </w:p>
        </w:tc>
        <w:tc>
          <w:tcPr>
            <w:tcW w:w="1800" w:type="dxa"/>
          </w:tcPr>
          <w:p w14:paraId="71D340A1"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competent firm</w:t>
            </w:r>
          </w:p>
        </w:tc>
        <w:tc>
          <w:tcPr>
            <w:tcW w:w="1921" w:type="dxa"/>
          </w:tcPr>
          <w:p w14:paraId="506352C1"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société spécialisée</w:t>
            </w:r>
          </w:p>
        </w:tc>
        <w:tc>
          <w:tcPr>
            <w:tcW w:w="1807" w:type="dxa"/>
          </w:tcPr>
          <w:p w14:paraId="0D6A901B" w14:textId="77777777" w:rsidR="00271FA2" w:rsidRPr="004224F6" w:rsidRDefault="00D35E51">
            <w:pPr>
              <w:spacing w:line="240" w:lineRule="atLeast"/>
              <w:rPr>
                <w:rFonts w:ascii="Times New Roman" w:hAnsi="Times New Roman" w:cs="Times New Roman"/>
                <w:sz w:val="18"/>
                <w:szCs w:val="20"/>
              </w:rPr>
            </w:pPr>
            <w:r w:rsidRPr="004224F6">
              <w:rPr>
                <w:rFonts w:ascii="Times New Roman" w:hAnsi="Times New Roman" w:cs="Times New Roman"/>
                <w:sz w:val="18"/>
              </w:rPr>
              <w:t>deskundig bedrijf</w:t>
            </w:r>
          </w:p>
        </w:tc>
      </w:tr>
    </w:tbl>
    <w:p w14:paraId="125F8B3D" w14:textId="77777777" w:rsidR="00271FA2" w:rsidRPr="004224F6" w:rsidRDefault="00D35E51">
      <w:pPr>
        <w:spacing w:line="240" w:lineRule="atLeast"/>
        <w:rPr>
          <w:rFonts w:ascii="Times New Roman" w:hAnsi="Times New Roman" w:cs="Times New Roman"/>
          <w:b/>
        </w:rPr>
      </w:pPr>
      <w:r w:rsidRPr="004224F6">
        <w:rPr>
          <w:rFonts w:ascii="Times New Roman" w:hAnsi="Times New Roman" w:cs="Times New Roman"/>
          <w:b/>
        </w:rPr>
        <w:t>Приемни изпитвания</w:t>
      </w:r>
    </w:p>
    <w:p w14:paraId="766D4BC5" w14:textId="77777777" w:rsidR="00271FA2" w:rsidRPr="004224F6" w:rsidRDefault="00D35E51">
      <w:pPr>
        <w:spacing w:line="240" w:lineRule="atLeast"/>
        <w:jc w:val="both"/>
        <w:rPr>
          <w:rFonts w:ascii="Times New Roman" w:hAnsi="Times New Roman" w:cs="Times New Roman"/>
        </w:rPr>
      </w:pPr>
      <w:r w:rsidRPr="004224F6">
        <w:rPr>
          <w:rFonts w:ascii="Times New Roman" w:hAnsi="Times New Roman" w:cs="Times New Roman"/>
          <w:lang w:val="ru-RU"/>
        </w:rPr>
        <w:t xml:space="preserve">В таблицата по-долу е обобщен графикът на приемните изпитвания, включително тяхната честота и вида инспектор, необходим за извършването им. </w:t>
      </w:r>
      <w:r w:rsidRPr="004224F6">
        <w:rPr>
          <w:rFonts w:ascii="Times New Roman" w:hAnsi="Times New Roman" w:cs="Times New Roman"/>
        </w:rPr>
        <w:t>Таблицата служи само за информация.</w:t>
      </w:r>
    </w:p>
    <w:tbl>
      <w:tblPr>
        <w:tblW w:w="9401" w:type="dxa"/>
        <w:tblInd w:w="-10" w:type="dxa"/>
        <w:tblLayout w:type="fixed"/>
        <w:tblLook w:val="04A0" w:firstRow="1" w:lastRow="0" w:firstColumn="1" w:lastColumn="0" w:noHBand="0" w:noVBand="1"/>
      </w:tblPr>
      <w:tblGrid>
        <w:gridCol w:w="2273"/>
        <w:gridCol w:w="2808"/>
        <w:gridCol w:w="2700"/>
        <w:gridCol w:w="1620"/>
      </w:tblGrid>
      <w:tr w:rsidR="00271FA2" w:rsidRPr="004224F6" w14:paraId="135F48AE" w14:textId="77777777" w:rsidTr="00BB0D80">
        <w:tc>
          <w:tcPr>
            <w:tcW w:w="2273" w:type="dxa"/>
            <w:tcBorders>
              <w:top w:val="single" w:sz="4" w:space="0" w:color="000000"/>
              <w:left w:val="single" w:sz="4" w:space="0" w:color="000000"/>
              <w:bottom w:val="single" w:sz="4" w:space="0" w:color="000000"/>
            </w:tcBorders>
            <w:vAlign w:val="center"/>
          </w:tcPr>
          <w:p w14:paraId="5A00AFA3" w14:textId="77777777" w:rsidR="00271FA2" w:rsidRPr="004224F6" w:rsidRDefault="00D35E51">
            <w:pPr>
              <w:snapToGrid w:val="0"/>
              <w:spacing w:line="240" w:lineRule="atLeast"/>
              <w:jc w:val="center"/>
              <w:rPr>
                <w:rFonts w:ascii="Times New Roman" w:hAnsi="Times New Roman" w:cs="Times New Roman"/>
                <w:b/>
                <w:bCs/>
              </w:rPr>
            </w:pPr>
            <w:r w:rsidRPr="004224F6">
              <w:rPr>
                <w:rFonts w:ascii="Times New Roman" w:hAnsi="Times New Roman" w:cs="Times New Roman"/>
                <w:b/>
              </w:rPr>
              <w:t>Изискване</w:t>
            </w:r>
          </w:p>
        </w:tc>
        <w:tc>
          <w:tcPr>
            <w:tcW w:w="2808" w:type="dxa"/>
            <w:tcBorders>
              <w:top w:val="single" w:sz="4" w:space="0" w:color="000000"/>
              <w:left w:val="single" w:sz="4" w:space="0" w:color="000000"/>
              <w:bottom w:val="single" w:sz="4" w:space="0" w:color="000000"/>
            </w:tcBorders>
            <w:vAlign w:val="center"/>
          </w:tcPr>
          <w:p w14:paraId="675EEFC8" w14:textId="77777777" w:rsidR="00271FA2" w:rsidRPr="004224F6" w:rsidRDefault="00D35E51">
            <w:pPr>
              <w:snapToGrid w:val="0"/>
              <w:spacing w:line="240" w:lineRule="atLeast"/>
              <w:jc w:val="center"/>
              <w:rPr>
                <w:rFonts w:ascii="Times New Roman" w:hAnsi="Times New Roman" w:cs="Times New Roman"/>
                <w:b/>
                <w:bCs/>
              </w:rPr>
            </w:pPr>
            <w:r w:rsidRPr="004224F6">
              <w:rPr>
                <w:rFonts w:ascii="Times New Roman" w:hAnsi="Times New Roman" w:cs="Times New Roman"/>
                <w:b/>
              </w:rPr>
              <w:t>Предмет</w:t>
            </w:r>
          </w:p>
        </w:tc>
        <w:tc>
          <w:tcPr>
            <w:tcW w:w="2700" w:type="dxa"/>
            <w:tcBorders>
              <w:top w:val="single" w:sz="4" w:space="0" w:color="000000"/>
              <w:left w:val="single" w:sz="4" w:space="0" w:color="000000"/>
              <w:bottom w:val="single" w:sz="4" w:space="0" w:color="000000"/>
            </w:tcBorders>
            <w:vAlign w:val="center"/>
          </w:tcPr>
          <w:p w14:paraId="4021B741" w14:textId="77777777" w:rsidR="00271FA2" w:rsidRPr="004224F6" w:rsidRDefault="00D35E51">
            <w:pPr>
              <w:snapToGrid w:val="0"/>
              <w:spacing w:line="240" w:lineRule="atLeast"/>
              <w:jc w:val="center"/>
              <w:rPr>
                <w:rFonts w:ascii="Times New Roman" w:hAnsi="Times New Roman" w:cs="Times New Roman"/>
                <w:b/>
                <w:bCs/>
              </w:rPr>
            </w:pPr>
            <w:r w:rsidRPr="004224F6">
              <w:rPr>
                <w:rFonts w:ascii="Times New Roman" w:hAnsi="Times New Roman" w:cs="Times New Roman"/>
                <w:b/>
              </w:rPr>
              <w:t>Максимален интервал на изпитване</w:t>
            </w:r>
          </w:p>
        </w:tc>
        <w:tc>
          <w:tcPr>
            <w:tcW w:w="1620" w:type="dxa"/>
            <w:tcBorders>
              <w:top w:val="single" w:sz="4" w:space="0" w:color="000000"/>
              <w:left w:val="single" w:sz="4" w:space="0" w:color="000000"/>
              <w:bottom w:val="single" w:sz="4" w:space="0" w:color="000000"/>
              <w:right w:val="single" w:sz="4" w:space="0" w:color="000000"/>
            </w:tcBorders>
            <w:vAlign w:val="center"/>
          </w:tcPr>
          <w:p w14:paraId="68800C28" w14:textId="77777777" w:rsidR="00271FA2" w:rsidRPr="004224F6" w:rsidRDefault="00D35E51">
            <w:pPr>
              <w:snapToGrid w:val="0"/>
              <w:spacing w:line="240" w:lineRule="atLeast"/>
              <w:jc w:val="center"/>
              <w:rPr>
                <w:rFonts w:ascii="Times New Roman" w:hAnsi="Times New Roman" w:cs="Times New Roman"/>
                <w:b/>
                <w:bCs/>
              </w:rPr>
            </w:pPr>
            <w:r w:rsidRPr="004224F6">
              <w:rPr>
                <w:rFonts w:ascii="Times New Roman" w:hAnsi="Times New Roman" w:cs="Times New Roman"/>
                <w:b/>
              </w:rPr>
              <w:t>Инспектор</w:t>
            </w:r>
          </w:p>
        </w:tc>
      </w:tr>
      <w:tr w:rsidR="00271FA2" w:rsidRPr="004224F6" w14:paraId="12CAE879" w14:textId="77777777" w:rsidTr="00BB0D80">
        <w:tc>
          <w:tcPr>
            <w:tcW w:w="2273" w:type="dxa"/>
            <w:tcBorders>
              <w:left w:val="single" w:sz="4" w:space="0" w:color="000000"/>
              <w:bottom w:val="single" w:sz="4" w:space="0" w:color="000000"/>
            </w:tcBorders>
            <w:vAlign w:val="center"/>
          </w:tcPr>
          <w:p w14:paraId="4973EF23"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6.03, точка 5</w:t>
            </w:r>
          </w:p>
        </w:tc>
        <w:tc>
          <w:tcPr>
            <w:tcW w:w="2808" w:type="dxa"/>
            <w:tcBorders>
              <w:left w:val="single" w:sz="4" w:space="0" w:color="000000"/>
              <w:bottom w:val="single" w:sz="4" w:space="0" w:color="000000"/>
            </w:tcBorders>
            <w:vAlign w:val="center"/>
          </w:tcPr>
          <w:p w14:paraId="7FA9E6D4"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Хидравлични цилиндри, помпи и двигатели</w:t>
            </w:r>
          </w:p>
        </w:tc>
        <w:tc>
          <w:tcPr>
            <w:tcW w:w="2700" w:type="dxa"/>
            <w:tcBorders>
              <w:left w:val="single" w:sz="4" w:space="0" w:color="000000"/>
              <w:bottom w:val="single" w:sz="4" w:space="0" w:color="000000"/>
            </w:tcBorders>
            <w:vAlign w:val="center"/>
          </w:tcPr>
          <w:p w14:paraId="34096068"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8 години</w:t>
            </w:r>
          </w:p>
        </w:tc>
        <w:tc>
          <w:tcPr>
            <w:tcW w:w="1620" w:type="dxa"/>
            <w:tcBorders>
              <w:left w:val="single" w:sz="4" w:space="0" w:color="000000"/>
              <w:bottom w:val="single" w:sz="4" w:space="0" w:color="000000"/>
              <w:right w:val="single" w:sz="4" w:space="0" w:color="000000"/>
            </w:tcBorders>
            <w:vAlign w:val="center"/>
          </w:tcPr>
          <w:p w14:paraId="66C44654"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Компетентна фирма</w:t>
            </w:r>
          </w:p>
        </w:tc>
      </w:tr>
      <w:tr w:rsidR="00271FA2" w:rsidRPr="004224F6" w14:paraId="293DEBC6" w14:textId="77777777" w:rsidTr="00BB0D80">
        <w:tc>
          <w:tcPr>
            <w:tcW w:w="2273" w:type="dxa"/>
            <w:tcBorders>
              <w:left w:val="single" w:sz="4" w:space="0" w:color="000000"/>
              <w:bottom w:val="single" w:sz="4" w:space="0" w:color="000000"/>
            </w:tcBorders>
            <w:vAlign w:val="center"/>
          </w:tcPr>
          <w:p w14:paraId="0D452946"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6.09, точка 3</w:t>
            </w:r>
          </w:p>
        </w:tc>
        <w:tc>
          <w:tcPr>
            <w:tcW w:w="2808" w:type="dxa"/>
            <w:tcBorders>
              <w:left w:val="single" w:sz="4" w:space="0" w:color="000000"/>
              <w:bottom w:val="single" w:sz="4" w:space="0" w:color="000000"/>
            </w:tcBorders>
            <w:vAlign w:val="center"/>
          </w:tcPr>
          <w:p w14:paraId="314D2890"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Оборудване за управление с мотор</w:t>
            </w:r>
          </w:p>
        </w:tc>
        <w:tc>
          <w:tcPr>
            <w:tcW w:w="2700" w:type="dxa"/>
            <w:tcBorders>
              <w:left w:val="single" w:sz="4" w:space="0" w:color="000000"/>
              <w:bottom w:val="single" w:sz="4" w:space="0" w:color="000000"/>
            </w:tcBorders>
            <w:vAlign w:val="center"/>
          </w:tcPr>
          <w:p w14:paraId="7819F6BF"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3 години</w:t>
            </w:r>
          </w:p>
        </w:tc>
        <w:tc>
          <w:tcPr>
            <w:tcW w:w="1620" w:type="dxa"/>
            <w:tcBorders>
              <w:left w:val="single" w:sz="4" w:space="0" w:color="000000"/>
              <w:bottom w:val="single" w:sz="4" w:space="0" w:color="000000"/>
              <w:right w:val="single" w:sz="4" w:space="0" w:color="000000"/>
            </w:tcBorders>
            <w:vAlign w:val="center"/>
          </w:tcPr>
          <w:p w14:paraId="171C06CF"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Компетентно лице</w:t>
            </w:r>
          </w:p>
        </w:tc>
      </w:tr>
      <w:tr w:rsidR="00271FA2" w:rsidRPr="004224F6" w14:paraId="72D154CD" w14:textId="77777777" w:rsidTr="00BB0D80">
        <w:tc>
          <w:tcPr>
            <w:tcW w:w="2273" w:type="dxa"/>
            <w:tcBorders>
              <w:left w:val="single" w:sz="4" w:space="0" w:color="000000"/>
              <w:bottom w:val="single" w:sz="4" w:space="0" w:color="000000"/>
            </w:tcBorders>
            <w:vAlign w:val="center"/>
          </w:tcPr>
          <w:p w14:paraId="478AC3BA" w14:textId="2CE158F5" w:rsidR="00271FA2" w:rsidRPr="004224F6" w:rsidRDefault="00D35E51" w:rsidP="00A958F3">
            <w:pPr>
              <w:spacing w:line="240" w:lineRule="atLeast"/>
              <w:jc w:val="both"/>
              <w:rPr>
                <w:rFonts w:ascii="Times New Roman" w:hAnsi="Times New Roman" w:cs="Times New Roman"/>
              </w:rPr>
            </w:pPr>
            <w:r w:rsidRPr="004224F6">
              <w:rPr>
                <w:rFonts w:ascii="Times New Roman" w:hAnsi="Times New Roman" w:cs="Times New Roman"/>
              </w:rPr>
              <w:t xml:space="preserve">Член 7.12, точка </w:t>
            </w:r>
            <w:r w:rsidR="00A958F3" w:rsidRPr="004224F6">
              <w:rPr>
                <w:rFonts w:ascii="Times New Roman" w:hAnsi="Times New Roman" w:cs="Times New Roman"/>
              </w:rPr>
              <w:t>12</w:t>
            </w:r>
            <w:r w:rsidR="00C907C4" w:rsidRPr="004224F6">
              <w:rPr>
                <w:rFonts w:ascii="Times New Roman" w:hAnsi="Times New Roman" w:cs="Times New Roman"/>
              </w:rPr>
              <w:t xml:space="preserve">, </w:t>
            </w:r>
          </w:p>
        </w:tc>
        <w:tc>
          <w:tcPr>
            <w:tcW w:w="2808" w:type="dxa"/>
            <w:tcBorders>
              <w:left w:val="single" w:sz="4" w:space="0" w:color="000000"/>
              <w:bottom w:val="single" w:sz="4" w:space="0" w:color="000000"/>
            </w:tcBorders>
            <w:vAlign w:val="center"/>
          </w:tcPr>
          <w:p w14:paraId="31838446" w14:textId="5C1E89BE" w:rsidR="00271FA2" w:rsidRPr="004224F6" w:rsidRDefault="00C907C4">
            <w:pPr>
              <w:spacing w:line="240" w:lineRule="atLeast"/>
              <w:jc w:val="both"/>
              <w:rPr>
                <w:rFonts w:ascii="Times New Roman" w:hAnsi="Times New Roman" w:cs="Times New Roman"/>
                <w:lang w:val="ru-RU"/>
              </w:rPr>
            </w:pPr>
            <w:r w:rsidRPr="004224F6">
              <w:rPr>
                <w:rFonts w:ascii="Times New Roman" w:hAnsi="Times New Roman" w:cs="Times New Roman"/>
                <w:lang w:val="ru-RU"/>
              </w:rPr>
              <w:t>Повдигащи рулеви рубки и техните устройства</w:t>
            </w:r>
          </w:p>
        </w:tc>
        <w:tc>
          <w:tcPr>
            <w:tcW w:w="2700" w:type="dxa"/>
            <w:tcBorders>
              <w:left w:val="single" w:sz="4" w:space="0" w:color="000000"/>
              <w:bottom w:val="single" w:sz="4" w:space="0" w:color="000000"/>
            </w:tcBorders>
            <w:vAlign w:val="center"/>
          </w:tcPr>
          <w:p w14:paraId="1D7632C5" w14:textId="77777777" w:rsidR="00271FA2" w:rsidRPr="004224F6" w:rsidRDefault="00D35E51">
            <w:pPr>
              <w:spacing w:line="240" w:lineRule="atLeast"/>
              <w:jc w:val="both"/>
              <w:rPr>
                <w:rFonts w:ascii="Times New Roman" w:hAnsi="Times New Roman" w:cs="Times New Roman"/>
              </w:rPr>
            </w:pPr>
            <w:r w:rsidRPr="004224F6">
              <w:rPr>
                <w:rFonts w:ascii="Times New Roman" w:hAnsi="Times New Roman" w:cs="Times New Roman"/>
              </w:rPr>
              <w:t>1 година</w:t>
            </w:r>
          </w:p>
        </w:tc>
        <w:tc>
          <w:tcPr>
            <w:tcW w:w="1620" w:type="dxa"/>
            <w:tcBorders>
              <w:left w:val="single" w:sz="4" w:space="0" w:color="000000"/>
              <w:bottom w:val="single" w:sz="4" w:space="0" w:color="000000"/>
              <w:right w:val="single" w:sz="4" w:space="0" w:color="000000"/>
            </w:tcBorders>
            <w:vAlign w:val="center"/>
          </w:tcPr>
          <w:p w14:paraId="5A867207" w14:textId="77777777" w:rsidR="00271FA2" w:rsidRPr="004224F6" w:rsidRDefault="00D35E51">
            <w:pPr>
              <w:spacing w:line="240" w:lineRule="atLeast"/>
              <w:ind w:left="25" w:hanging="25"/>
              <w:jc w:val="both"/>
              <w:rPr>
                <w:rFonts w:ascii="Times New Roman" w:hAnsi="Times New Roman" w:cs="Times New Roman"/>
              </w:rPr>
            </w:pPr>
            <w:r w:rsidRPr="004224F6">
              <w:rPr>
                <w:rFonts w:ascii="Times New Roman" w:hAnsi="Times New Roman" w:cs="Times New Roman"/>
              </w:rPr>
              <w:t>Компетентно лице</w:t>
            </w:r>
          </w:p>
        </w:tc>
      </w:tr>
      <w:tr w:rsidR="00271FA2" w:rsidRPr="004224F6" w14:paraId="1A6E60EF" w14:textId="77777777" w:rsidTr="00BB0D80">
        <w:trPr>
          <w:trHeight w:val="515"/>
        </w:trPr>
        <w:tc>
          <w:tcPr>
            <w:tcW w:w="2273" w:type="dxa"/>
            <w:tcBorders>
              <w:left w:val="single" w:sz="4" w:space="0" w:color="000000"/>
              <w:bottom w:val="single" w:sz="4" w:space="0" w:color="000000"/>
            </w:tcBorders>
            <w:vAlign w:val="center"/>
          </w:tcPr>
          <w:p w14:paraId="32E6A273"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8.01, точка 2</w:t>
            </w:r>
          </w:p>
        </w:tc>
        <w:tc>
          <w:tcPr>
            <w:tcW w:w="2808" w:type="dxa"/>
            <w:tcBorders>
              <w:left w:val="single" w:sz="4" w:space="0" w:color="000000"/>
              <w:bottom w:val="single" w:sz="4" w:space="0" w:color="000000"/>
            </w:tcBorders>
            <w:vAlign w:val="center"/>
          </w:tcPr>
          <w:p w14:paraId="54F2E08E"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Съдове под налягане</w:t>
            </w:r>
          </w:p>
        </w:tc>
        <w:tc>
          <w:tcPr>
            <w:tcW w:w="2700" w:type="dxa"/>
            <w:tcBorders>
              <w:left w:val="single" w:sz="4" w:space="0" w:color="000000"/>
              <w:bottom w:val="single" w:sz="4" w:space="0" w:color="000000"/>
            </w:tcBorders>
            <w:vAlign w:val="center"/>
          </w:tcPr>
          <w:p w14:paraId="049D8C12"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5 години</w:t>
            </w:r>
          </w:p>
        </w:tc>
        <w:tc>
          <w:tcPr>
            <w:tcW w:w="1620" w:type="dxa"/>
            <w:tcBorders>
              <w:left w:val="single" w:sz="4" w:space="0" w:color="000000"/>
              <w:bottom w:val="single" w:sz="4" w:space="0" w:color="000000"/>
              <w:right w:val="single" w:sz="4" w:space="0" w:color="000000"/>
            </w:tcBorders>
            <w:vAlign w:val="center"/>
          </w:tcPr>
          <w:p w14:paraId="2B1331E8"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w:t>
            </w:r>
          </w:p>
        </w:tc>
      </w:tr>
      <w:tr w:rsidR="00271FA2" w:rsidRPr="004224F6" w14:paraId="23FE596E" w14:textId="77777777" w:rsidTr="00BB0D80">
        <w:trPr>
          <w:trHeight w:val="515"/>
        </w:trPr>
        <w:tc>
          <w:tcPr>
            <w:tcW w:w="2273" w:type="dxa"/>
            <w:tcBorders>
              <w:left w:val="single" w:sz="4" w:space="0" w:color="000000"/>
              <w:bottom w:val="single" w:sz="4" w:space="0" w:color="000000"/>
            </w:tcBorders>
            <w:vAlign w:val="center"/>
          </w:tcPr>
          <w:p w14:paraId="17896786"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10.11, точка 17</w:t>
            </w:r>
          </w:p>
        </w:tc>
        <w:tc>
          <w:tcPr>
            <w:tcW w:w="2808" w:type="dxa"/>
            <w:tcBorders>
              <w:left w:val="single" w:sz="4" w:space="0" w:color="000000"/>
              <w:bottom w:val="single" w:sz="4" w:space="0" w:color="000000"/>
            </w:tcBorders>
            <w:vAlign w:val="center"/>
          </w:tcPr>
          <w:p w14:paraId="0D554A16"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Литиево-йонни акумулатори и противопожарна защита</w:t>
            </w:r>
          </w:p>
        </w:tc>
        <w:tc>
          <w:tcPr>
            <w:tcW w:w="2700" w:type="dxa"/>
            <w:tcBorders>
              <w:left w:val="single" w:sz="4" w:space="0" w:color="000000"/>
              <w:bottom w:val="single" w:sz="4" w:space="0" w:color="000000"/>
            </w:tcBorders>
            <w:vAlign w:val="center"/>
          </w:tcPr>
          <w:p w14:paraId="1C07EFA2" w14:textId="77777777" w:rsidR="00271FA2" w:rsidRPr="004224F6" w:rsidRDefault="00271FA2">
            <w:pPr>
              <w:snapToGrid w:val="0"/>
              <w:spacing w:line="240" w:lineRule="atLeast"/>
              <w:jc w:val="both"/>
              <w:rPr>
                <w:rFonts w:ascii="Times New Roman" w:hAnsi="Times New Roman" w:cs="Times New Roman"/>
                <w:lang w:val="ru-RU"/>
              </w:rPr>
            </w:pPr>
          </w:p>
        </w:tc>
        <w:tc>
          <w:tcPr>
            <w:tcW w:w="1620" w:type="dxa"/>
            <w:tcBorders>
              <w:left w:val="single" w:sz="4" w:space="0" w:color="000000"/>
              <w:bottom w:val="single" w:sz="4" w:space="0" w:color="000000"/>
              <w:right w:val="single" w:sz="4" w:space="0" w:color="000000"/>
            </w:tcBorders>
            <w:vAlign w:val="center"/>
          </w:tcPr>
          <w:p w14:paraId="7780D1D2"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w:t>
            </w:r>
          </w:p>
        </w:tc>
      </w:tr>
      <w:tr w:rsidR="00271FA2" w:rsidRPr="004224F6" w14:paraId="5D8AE13C" w14:textId="77777777" w:rsidTr="00BB0D80">
        <w:trPr>
          <w:trHeight w:val="515"/>
        </w:trPr>
        <w:tc>
          <w:tcPr>
            <w:tcW w:w="2273" w:type="dxa"/>
            <w:tcBorders>
              <w:left w:val="single" w:sz="4" w:space="0" w:color="000000"/>
              <w:bottom w:val="single" w:sz="4" w:space="0" w:color="000000"/>
            </w:tcBorders>
            <w:vAlign w:val="center"/>
          </w:tcPr>
          <w:p w14:paraId="6FB9996A"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11.08, точка 17</w:t>
            </w:r>
          </w:p>
        </w:tc>
        <w:tc>
          <w:tcPr>
            <w:tcW w:w="2808" w:type="dxa"/>
            <w:tcBorders>
              <w:left w:val="single" w:sz="4" w:space="0" w:color="000000"/>
              <w:bottom w:val="single" w:sz="4" w:space="0" w:color="000000"/>
            </w:tcBorders>
            <w:vAlign w:val="center"/>
          </w:tcPr>
          <w:p w14:paraId="3E3F6A26" w14:textId="77777777" w:rsidR="00271FA2" w:rsidRPr="004224F6" w:rsidRDefault="00D35E51">
            <w:pPr>
              <w:spacing w:line="240" w:lineRule="atLeast"/>
              <w:jc w:val="both"/>
              <w:rPr>
                <w:rFonts w:ascii="Times New Roman" w:hAnsi="Times New Roman" w:cs="Times New Roman"/>
              </w:rPr>
            </w:pPr>
            <w:r w:rsidRPr="004224F6">
              <w:rPr>
                <w:rFonts w:ascii="Times New Roman" w:hAnsi="Times New Roman" w:cs="Times New Roman"/>
              </w:rPr>
              <w:t>Кораб със електрическо задвижване</w:t>
            </w:r>
          </w:p>
        </w:tc>
        <w:tc>
          <w:tcPr>
            <w:tcW w:w="2700" w:type="dxa"/>
            <w:tcBorders>
              <w:left w:val="single" w:sz="4" w:space="0" w:color="000000"/>
              <w:bottom w:val="single" w:sz="4" w:space="0" w:color="000000"/>
            </w:tcBorders>
            <w:vAlign w:val="center"/>
          </w:tcPr>
          <w:p w14:paraId="21D80A59"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При всяка периодична проверка</w:t>
            </w:r>
          </w:p>
        </w:tc>
        <w:tc>
          <w:tcPr>
            <w:tcW w:w="1620" w:type="dxa"/>
            <w:tcBorders>
              <w:left w:val="single" w:sz="4" w:space="0" w:color="000000"/>
              <w:bottom w:val="single" w:sz="4" w:space="0" w:color="000000"/>
              <w:right w:val="single" w:sz="4" w:space="0" w:color="000000"/>
            </w:tcBorders>
            <w:vAlign w:val="center"/>
          </w:tcPr>
          <w:p w14:paraId="7811CA4D"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w:t>
            </w:r>
          </w:p>
        </w:tc>
      </w:tr>
      <w:tr w:rsidR="00271FA2" w:rsidRPr="004224F6" w14:paraId="2C4E55B2" w14:textId="77777777" w:rsidTr="00BB0D80">
        <w:tc>
          <w:tcPr>
            <w:tcW w:w="2273" w:type="dxa"/>
            <w:tcBorders>
              <w:left w:val="single" w:sz="4" w:space="0" w:color="000000"/>
              <w:bottom w:val="single" w:sz="4" w:space="0" w:color="000000"/>
            </w:tcBorders>
            <w:vAlign w:val="center"/>
          </w:tcPr>
          <w:p w14:paraId="33EF9EFA"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13.03, точка 5</w:t>
            </w:r>
          </w:p>
        </w:tc>
        <w:tc>
          <w:tcPr>
            <w:tcW w:w="2808" w:type="dxa"/>
            <w:tcBorders>
              <w:left w:val="single" w:sz="4" w:space="0" w:color="000000"/>
              <w:bottom w:val="single" w:sz="4" w:space="0" w:color="000000"/>
            </w:tcBorders>
            <w:vAlign w:val="center"/>
          </w:tcPr>
          <w:p w14:paraId="0AB2B10B"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Преносими пожарогасители</w:t>
            </w:r>
          </w:p>
        </w:tc>
        <w:tc>
          <w:tcPr>
            <w:tcW w:w="2700" w:type="dxa"/>
            <w:tcBorders>
              <w:left w:val="single" w:sz="4" w:space="0" w:color="000000"/>
              <w:bottom w:val="single" w:sz="4" w:space="0" w:color="000000"/>
            </w:tcBorders>
            <w:vAlign w:val="center"/>
          </w:tcPr>
          <w:p w14:paraId="043EACC5"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2 години</w:t>
            </w:r>
          </w:p>
        </w:tc>
        <w:tc>
          <w:tcPr>
            <w:tcW w:w="1620" w:type="dxa"/>
            <w:tcBorders>
              <w:left w:val="single" w:sz="4" w:space="0" w:color="000000"/>
              <w:bottom w:val="single" w:sz="4" w:space="0" w:color="000000"/>
              <w:right w:val="single" w:sz="4" w:space="0" w:color="000000"/>
            </w:tcBorders>
            <w:vAlign w:val="center"/>
          </w:tcPr>
          <w:p w14:paraId="7376B6C3"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Компетентно лице</w:t>
            </w:r>
          </w:p>
        </w:tc>
      </w:tr>
      <w:tr w:rsidR="00271FA2" w:rsidRPr="004224F6" w14:paraId="4DB8C13E" w14:textId="77777777" w:rsidTr="00BB0D80">
        <w:tc>
          <w:tcPr>
            <w:tcW w:w="2273" w:type="dxa"/>
            <w:tcBorders>
              <w:left w:val="single" w:sz="4" w:space="0" w:color="000000"/>
              <w:bottom w:val="single" w:sz="4" w:space="0" w:color="000000"/>
            </w:tcBorders>
            <w:vAlign w:val="center"/>
          </w:tcPr>
          <w:p w14:paraId="543A5512"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Член</w:t>
            </w:r>
            <w:r w:rsidRPr="004224F6">
              <w:rPr>
                <w:rFonts w:ascii="Times New Roman" w:hAnsi="Times New Roman" w:cs="Times New Roman"/>
              </w:rPr>
              <w:t> </w:t>
            </w:r>
            <w:r w:rsidRPr="004224F6">
              <w:rPr>
                <w:rFonts w:ascii="Times New Roman" w:hAnsi="Times New Roman" w:cs="Times New Roman"/>
                <w:lang w:val="ru-RU"/>
              </w:rPr>
              <w:t>13.04, точка 6, букви “</w:t>
            </w:r>
            <w:r w:rsidRPr="004224F6">
              <w:rPr>
                <w:rFonts w:ascii="Times New Roman" w:hAnsi="Times New Roman" w:cs="Times New Roman"/>
              </w:rPr>
              <w:t>a</w:t>
            </w:r>
            <w:r w:rsidRPr="004224F6">
              <w:rPr>
                <w:rFonts w:ascii="Times New Roman" w:hAnsi="Times New Roman" w:cs="Times New Roman"/>
                <w:lang w:val="ru-RU"/>
              </w:rPr>
              <w:t>” — “в”</w:t>
            </w:r>
          </w:p>
        </w:tc>
        <w:tc>
          <w:tcPr>
            <w:tcW w:w="2808" w:type="dxa"/>
            <w:tcBorders>
              <w:left w:val="single" w:sz="4" w:space="0" w:color="000000"/>
              <w:bottom w:val="single" w:sz="4" w:space="0" w:color="000000"/>
            </w:tcBorders>
            <w:vAlign w:val="center"/>
          </w:tcPr>
          <w:p w14:paraId="5CDE7159"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Неподвижно монтирани противопожарни системи</w:t>
            </w:r>
          </w:p>
        </w:tc>
        <w:tc>
          <w:tcPr>
            <w:tcW w:w="2700" w:type="dxa"/>
            <w:tcBorders>
              <w:left w:val="single" w:sz="4" w:space="0" w:color="000000"/>
              <w:bottom w:val="single" w:sz="4" w:space="0" w:color="000000"/>
            </w:tcBorders>
            <w:vAlign w:val="center"/>
          </w:tcPr>
          <w:p w14:paraId="5CAF4D0E" w14:textId="77777777" w:rsidR="00271FA2" w:rsidRPr="004224F6" w:rsidRDefault="00271FA2">
            <w:pPr>
              <w:snapToGrid w:val="0"/>
              <w:spacing w:line="240" w:lineRule="atLeast"/>
              <w:jc w:val="both"/>
              <w:rPr>
                <w:rFonts w:ascii="Times New Roman" w:hAnsi="Times New Roman" w:cs="Times New Roman"/>
              </w:rPr>
            </w:pPr>
          </w:p>
        </w:tc>
        <w:tc>
          <w:tcPr>
            <w:tcW w:w="1620" w:type="dxa"/>
            <w:tcBorders>
              <w:left w:val="single" w:sz="4" w:space="0" w:color="000000"/>
              <w:bottom w:val="single" w:sz="4" w:space="0" w:color="000000"/>
              <w:right w:val="single" w:sz="4" w:space="0" w:color="000000"/>
            </w:tcBorders>
            <w:vAlign w:val="center"/>
          </w:tcPr>
          <w:p w14:paraId="4C2BF73D"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w:t>
            </w:r>
          </w:p>
        </w:tc>
      </w:tr>
      <w:tr w:rsidR="00271FA2" w:rsidRPr="004224F6" w14:paraId="532BF9B6" w14:textId="77777777" w:rsidTr="00BB0D80">
        <w:tc>
          <w:tcPr>
            <w:tcW w:w="2273" w:type="dxa"/>
            <w:tcBorders>
              <w:left w:val="single" w:sz="4" w:space="0" w:color="000000"/>
              <w:bottom w:val="single" w:sz="4" w:space="0" w:color="000000"/>
            </w:tcBorders>
            <w:vAlign w:val="center"/>
          </w:tcPr>
          <w:p w14:paraId="43DA3872"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13.04, точка 6, буква “г”</w:t>
            </w:r>
          </w:p>
        </w:tc>
        <w:tc>
          <w:tcPr>
            <w:tcW w:w="2808" w:type="dxa"/>
            <w:tcBorders>
              <w:left w:val="single" w:sz="4" w:space="0" w:color="000000"/>
              <w:bottom w:val="single" w:sz="4" w:space="0" w:color="000000"/>
            </w:tcBorders>
            <w:vAlign w:val="center"/>
          </w:tcPr>
          <w:p w14:paraId="25B44DD9"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Неподвижно монтирани противопожарни системи</w:t>
            </w:r>
          </w:p>
        </w:tc>
        <w:tc>
          <w:tcPr>
            <w:tcW w:w="2700" w:type="dxa"/>
            <w:tcBorders>
              <w:left w:val="single" w:sz="4" w:space="0" w:color="000000"/>
              <w:bottom w:val="single" w:sz="4" w:space="0" w:color="000000"/>
            </w:tcBorders>
            <w:vAlign w:val="center"/>
          </w:tcPr>
          <w:p w14:paraId="111B4EE8"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2 години</w:t>
            </w:r>
          </w:p>
        </w:tc>
        <w:tc>
          <w:tcPr>
            <w:tcW w:w="1620" w:type="dxa"/>
            <w:tcBorders>
              <w:left w:val="single" w:sz="4" w:space="0" w:color="000000"/>
              <w:bottom w:val="single" w:sz="4" w:space="0" w:color="000000"/>
              <w:right w:val="single" w:sz="4" w:space="0" w:color="000000"/>
            </w:tcBorders>
            <w:vAlign w:val="center"/>
          </w:tcPr>
          <w:p w14:paraId="5FAEE249"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Компетентно лице или компетентна фирма</w:t>
            </w:r>
          </w:p>
        </w:tc>
      </w:tr>
      <w:tr w:rsidR="00271FA2" w:rsidRPr="004224F6" w14:paraId="45154A75" w14:textId="77777777" w:rsidTr="00BB0D80">
        <w:tc>
          <w:tcPr>
            <w:tcW w:w="2273" w:type="dxa"/>
            <w:tcBorders>
              <w:left w:val="single" w:sz="4" w:space="0" w:color="000000"/>
              <w:bottom w:val="single" w:sz="4" w:space="0" w:color="000000"/>
            </w:tcBorders>
            <w:vAlign w:val="center"/>
          </w:tcPr>
          <w:p w14:paraId="5917AA3C"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Член 13.05, точка 9, буква “б”, подбукви “</w:t>
            </w:r>
            <w:r w:rsidRPr="004224F6">
              <w:rPr>
                <w:rFonts w:ascii="Times New Roman" w:hAnsi="Times New Roman" w:cs="Times New Roman"/>
              </w:rPr>
              <w:t>aa</w:t>
            </w:r>
            <w:r w:rsidRPr="004224F6">
              <w:rPr>
                <w:rFonts w:ascii="Times New Roman" w:hAnsi="Times New Roman" w:cs="Times New Roman"/>
                <w:lang w:val="ru-RU"/>
              </w:rPr>
              <w:t>” - “вв”</w:t>
            </w:r>
          </w:p>
        </w:tc>
        <w:tc>
          <w:tcPr>
            <w:tcW w:w="2808" w:type="dxa"/>
            <w:tcBorders>
              <w:left w:val="single" w:sz="4" w:space="0" w:color="000000"/>
              <w:bottom w:val="single" w:sz="4" w:space="0" w:color="000000"/>
            </w:tcBorders>
            <w:vAlign w:val="center"/>
          </w:tcPr>
          <w:p w14:paraId="7BEAA7F2"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Неподвижно монтирани противопожарни системи</w:t>
            </w:r>
          </w:p>
        </w:tc>
        <w:tc>
          <w:tcPr>
            <w:tcW w:w="2700" w:type="dxa"/>
            <w:tcBorders>
              <w:left w:val="single" w:sz="4" w:space="0" w:color="000000"/>
              <w:bottom w:val="single" w:sz="4" w:space="0" w:color="000000"/>
            </w:tcBorders>
            <w:vAlign w:val="center"/>
          </w:tcPr>
          <w:p w14:paraId="7439DB2F" w14:textId="77777777" w:rsidR="00271FA2" w:rsidRPr="004224F6" w:rsidRDefault="00271FA2">
            <w:pPr>
              <w:snapToGrid w:val="0"/>
              <w:spacing w:line="240" w:lineRule="atLeast"/>
              <w:jc w:val="both"/>
              <w:rPr>
                <w:rFonts w:ascii="Times New Roman" w:hAnsi="Times New Roman" w:cs="Times New Roman"/>
              </w:rPr>
            </w:pPr>
          </w:p>
        </w:tc>
        <w:tc>
          <w:tcPr>
            <w:tcW w:w="1620" w:type="dxa"/>
            <w:tcBorders>
              <w:left w:val="single" w:sz="4" w:space="0" w:color="000000"/>
              <w:bottom w:val="single" w:sz="4" w:space="0" w:color="000000"/>
              <w:right w:val="single" w:sz="4" w:space="0" w:color="000000"/>
            </w:tcBorders>
            <w:vAlign w:val="center"/>
          </w:tcPr>
          <w:p w14:paraId="6A9A860B"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w:t>
            </w:r>
          </w:p>
        </w:tc>
      </w:tr>
      <w:tr w:rsidR="00271FA2" w:rsidRPr="004224F6" w14:paraId="65AC6275" w14:textId="77777777" w:rsidTr="00BB0D80">
        <w:tc>
          <w:tcPr>
            <w:tcW w:w="2273" w:type="dxa"/>
            <w:tcBorders>
              <w:left w:val="single" w:sz="4" w:space="0" w:color="000000"/>
              <w:bottom w:val="single" w:sz="4" w:space="0" w:color="000000"/>
            </w:tcBorders>
            <w:vAlign w:val="center"/>
          </w:tcPr>
          <w:p w14:paraId="5CD64B03"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Член 13.05, точка 9, буква “б”, подбуква “гг”</w:t>
            </w:r>
          </w:p>
        </w:tc>
        <w:tc>
          <w:tcPr>
            <w:tcW w:w="2808" w:type="dxa"/>
            <w:tcBorders>
              <w:left w:val="single" w:sz="4" w:space="0" w:color="000000"/>
              <w:bottom w:val="single" w:sz="4" w:space="0" w:color="000000"/>
            </w:tcBorders>
            <w:vAlign w:val="center"/>
          </w:tcPr>
          <w:p w14:paraId="24088A22"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Неподвижно монтирани противопожарни системи</w:t>
            </w:r>
          </w:p>
        </w:tc>
        <w:tc>
          <w:tcPr>
            <w:tcW w:w="2700" w:type="dxa"/>
            <w:tcBorders>
              <w:left w:val="single" w:sz="4" w:space="0" w:color="000000"/>
              <w:bottom w:val="single" w:sz="4" w:space="0" w:color="000000"/>
            </w:tcBorders>
            <w:vAlign w:val="center"/>
          </w:tcPr>
          <w:p w14:paraId="76A7FE3C"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2 години</w:t>
            </w:r>
          </w:p>
        </w:tc>
        <w:tc>
          <w:tcPr>
            <w:tcW w:w="1620" w:type="dxa"/>
            <w:tcBorders>
              <w:left w:val="single" w:sz="4" w:space="0" w:color="000000"/>
              <w:bottom w:val="single" w:sz="4" w:space="0" w:color="000000"/>
              <w:right w:val="single" w:sz="4" w:space="0" w:color="000000"/>
            </w:tcBorders>
            <w:vAlign w:val="center"/>
          </w:tcPr>
          <w:p w14:paraId="25D1335E"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Компетентно лице или компетентна фирма</w:t>
            </w:r>
          </w:p>
        </w:tc>
      </w:tr>
      <w:tr w:rsidR="00271FA2" w:rsidRPr="004224F6" w14:paraId="44EA4CF0" w14:textId="77777777" w:rsidTr="00BB0D80">
        <w:tc>
          <w:tcPr>
            <w:tcW w:w="2273" w:type="dxa"/>
            <w:tcBorders>
              <w:left w:val="single" w:sz="4" w:space="0" w:color="000000"/>
              <w:bottom w:val="single" w:sz="4" w:space="0" w:color="000000"/>
            </w:tcBorders>
            <w:vAlign w:val="center"/>
          </w:tcPr>
          <w:p w14:paraId="2149FD05"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13.07, точка 3</w:t>
            </w:r>
          </w:p>
        </w:tc>
        <w:tc>
          <w:tcPr>
            <w:tcW w:w="2808" w:type="dxa"/>
            <w:tcBorders>
              <w:left w:val="single" w:sz="4" w:space="0" w:color="000000"/>
              <w:bottom w:val="single" w:sz="4" w:space="0" w:color="000000"/>
            </w:tcBorders>
            <w:vAlign w:val="center"/>
          </w:tcPr>
          <w:p w14:paraId="2E7C6C7A"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Надуваеми корабни лодки</w:t>
            </w:r>
          </w:p>
        </w:tc>
        <w:tc>
          <w:tcPr>
            <w:tcW w:w="2700" w:type="dxa"/>
            <w:tcBorders>
              <w:left w:val="single" w:sz="4" w:space="0" w:color="000000"/>
              <w:bottom w:val="single" w:sz="4" w:space="0" w:color="000000"/>
            </w:tcBorders>
            <w:vAlign w:val="center"/>
          </w:tcPr>
          <w:p w14:paraId="765A5EFB"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Според указанията на производителя</w:t>
            </w:r>
          </w:p>
        </w:tc>
        <w:tc>
          <w:tcPr>
            <w:tcW w:w="1620" w:type="dxa"/>
            <w:tcBorders>
              <w:left w:val="single" w:sz="4" w:space="0" w:color="000000"/>
              <w:bottom w:val="single" w:sz="4" w:space="0" w:color="000000"/>
              <w:right w:val="single" w:sz="4" w:space="0" w:color="000000"/>
            </w:tcBorders>
            <w:vAlign w:val="center"/>
          </w:tcPr>
          <w:p w14:paraId="03FABB26" w14:textId="77777777" w:rsidR="00271FA2" w:rsidRPr="004224F6" w:rsidRDefault="00271FA2">
            <w:pPr>
              <w:snapToGrid w:val="0"/>
              <w:spacing w:line="240" w:lineRule="atLeast"/>
              <w:jc w:val="both"/>
              <w:rPr>
                <w:rFonts w:ascii="Times New Roman" w:hAnsi="Times New Roman" w:cs="Times New Roman"/>
              </w:rPr>
            </w:pPr>
          </w:p>
        </w:tc>
      </w:tr>
      <w:tr w:rsidR="00271FA2" w:rsidRPr="004224F6" w14:paraId="0841A8B9" w14:textId="77777777" w:rsidTr="00BB0D80">
        <w:tc>
          <w:tcPr>
            <w:tcW w:w="2273" w:type="dxa"/>
            <w:tcBorders>
              <w:left w:val="single" w:sz="4" w:space="0" w:color="000000"/>
              <w:bottom w:val="single" w:sz="4" w:space="0" w:color="000000"/>
            </w:tcBorders>
            <w:vAlign w:val="center"/>
          </w:tcPr>
          <w:p w14:paraId="6B966C80"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13.08, точка 3</w:t>
            </w:r>
          </w:p>
        </w:tc>
        <w:tc>
          <w:tcPr>
            <w:tcW w:w="2808" w:type="dxa"/>
            <w:tcBorders>
              <w:left w:val="single" w:sz="4" w:space="0" w:color="000000"/>
              <w:bottom w:val="single" w:sz="4" w:space="0" w:color="000000"/>
            </w:tcBorders>
            <w:vAlign w:val="center"/>
          </w:tcPr>
          <w:p w14:paraId="04CD5820"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Спасителни жилетки</w:t>
            </w:r>
          </w:p>
        </w:tc>
        <w:tc>
          <w:tcPr>
            <w:tcW w:w="2700" w:type="dxa"/>
            <w:tcBorders>
              <w:left w:val="single" w:sz="4" w:space="0" w:color="000000"/>
              <w:bottom w:val="single" w:sz="4" w:space="0" w:color="000000"/>
            </w:tcBorders>
            <w:vAlign w:val="center"/>
          </w:tcPr>
          <w:p w14:paraId="54BA6D36"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Според указанията на производителя</w:t>
            </w:r>
          </w:p>
        </w:tc>
        <w:tc>
          <w:tcPr>
            <w:tcW w:w="1620" w:type="dxa"/>
            <w:tcBorders>
              <w:left w:val="single" w:sz="4" w:space="0" w:color="000000"/>
              <w:bottom w:val="single" w:sz="4" w:space="0" w:color="000000"/>
              <w:right w:val="single" w:sz="4" w:space="0" w:color="000000"/>
            </w:tcBorders>
            <w:vAlign w:val="center"/>
          </w:tcPr>
          <w:p w14:paraId="0EFC8331" w14:textId="77777777" w:rsidR="00271FA2" w:rsidRPr="004224F6" w:rsidRDefault="00271FA2">
            <w:pPr>
              <w:snapToGrid w:val="0"/>
              <w:spacing w:line="240" w:lineRule="atLeast"/>
              <w:jc w:val="both"/>
              <w:rPr>
                <w:rFonts w:ascii="Times New Roman" w:hAnsi="Times New Roman" w:cs="Times New Roman"/>
              </w:rPr>
            </w:pPr>
          </w:p>
        </w:tc>
      </w:tr>
      <w:tr w:rsidR="00271FA2" w:rsidRPr="004224F6" w14:paraId="5AE7CEC3" w14:textId="77777777" w:rsidTr="00BB0D80">
        <w:tc>
          <w:tcPr>
            <w:tcW w:w="2273" w:type="dxa"/>
            <w:tcBorders>
              <w:left w:val="single" w:sz="4" w:space="0" w:color="000000"/>
              <w:bottom w:val="single" w:sz="4" w:space="0" w:color="000000"/>
            </w:tcBorders>
            <w:vAlign w:val="center"/>
          </w:tcPr>
          <w:p w14:paraId="59F28457"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14.12, точка 6</w:t>
            </w:r>
          </w:p>
        </w:tc>
        <w:tc>
          <w:tcPr>
            <w:tcW w:w="2808" w:type="dxa"/>
            <w:tcBorders>
              <w:left w:val="single" w:sz="4" w:space="0" w:color="000000"/>
              <w:bottom w:val="single" w:sz="4" w:space="0" w:color="000000"/>
            </w:tcBorders>
            <w:vAlign w:val="center"/>
          </w:tcPr>
          <w:p w14:paraId="47CBF438"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Кранове</w:t>
            </w:r>
          </w:p>
        </w:tc>
        <w:tc>
          <w:tcPr>
            <w:tcW w:w="2700" w:type="dxa"/>
            <w:tcBorders>
              <w:left w:val="single" w:sz="4" w:space="0" w:color="000000"/>
              <w:bottom w:val="single" w:sz="4" w:space="0" w:color="000000"/>
            </w:tcBorders>
            <w:vAlign w:val="center"/>
          </w:tcPr>
          <w:p w14:paraId="7664D06C"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10 години</w:t>
            </w:r>
          </w:p>
        </w:tc>
        <w:tc>
          <w:tcPr>
            <w:tcW w:w="1620" w:type="dxa"/>
            <w:tcBorders>
              <w:left w:val="single" w:sz="4" w:space="0" w:color="000000"/>
              <w:bottom w:val="single" w:sz="4" w:space="0" w:color="000000"/>
              <w:right w:val="single" w:sz="4" w:space="0" w:color="000000"/>
            </w:tcBorders>
            <w:vAlign w:val="center"/>
          </w:tcPr>
          <w:p w14:paraId="149CB566"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w:t>
            </w:r>
          </w:p>
        </w:tc>
      </w:tr>
      <w:tr w:rsidR="00271FA2" w:rsidRPr="004224F6" w14:paraId="1B6C2823" w14:textId="77777777" w:rsidTr="00BB0D80">
        <w:tc>
          <w:tcPr>
            <w:tcW w:w="2273" w:type="dxa"/>
            <w:tcBorders>
              <w:left w:val="single" w:sz="4" w:space="0" w:color="000000"/>
              <w:bottom w:val="single" w:sz="4" w:space="0" w:color="000000"/>
            </w:tcBorders>
            <w:vAlign w:val="center"/>
          </w:tcPr>
          <w:p w14:paraId="09F3FE56"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lastRenderedPageBreak/>
              <w:t>Член 14.12, точка 7</w:t>
            </w:r>
          </w:p>
        </w:tc>
        <w:tc>
          <w:tcPr>
            <w:tcW w:w="2808" w:type="dxa"/>
            <w:tcBorders>
              <w:left w:val="single" w:sz="4" w:space="0" w:color="000000"/>
              <w:bottom w:val="single" w:sz="4" w:space="0" w:color="000000"/>
            </w:tcBorders>
            <w:vAlign w:val="center"/>
          </w:tcPr>
          <w:p w14:paraId="7070E781"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Кранове</w:t>
            </w:r>
          </w:p>
        </w:tc>
        <w:tc>
          <w:tcPr>
            <w:tcW w:w="2700" w:type="dxa"/>
            <w:tcBorders>
              <w:left w:val="single" w:sz="4" w:space="0" w:color="000000"/>
              <w:bottom w:val="single" w:sz="4" w:space="0" w:color="000000"/>
            </w:tcBorders>
            <w:vAlign w:val="center"/>
          </w:tcPr>
          <w:p w14:paraId="366E3DE5"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1 година</w:t>
            </w:r>
          </w:p>
        </w:tc>
        <w:tc>
          <w:tcPr>
            <w:tcW w:w="1620" w:type="dxa"/>
            <w:tcBorders>
              <w:left w:val="single" w:sz="4" w:space="0" w:color="000000"/>
              <w:bottom w:val="single" w:sz="4" w:space="0" w:color="000000"/>
              <w:right w:val="single" w:sz="4" w:space="0" w:color="000000"/>
            </w:tcBorders>
            <w:vAlign w:val="center"/>
          </w:tcPr>
          <w:p w14:paraId="3E4941C0"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Компетентно лице</w:t>
            </w:r>
          </w:p>
        </w:tc>
      </w:tr>
      <w:tr w:rsidR="00271FA2" w:rsidRPr="004224F6" w14:paraId="0DA3977E" w14:textId="77777777" w:rsidTr="00BB0D80">
        <w:tc>
          <w:tcPr>
            <w:tcW w:w="2273" w:type="dxa"/>
            <w:tcBorders>
              <w:left w:val="single" w:sz="4" w:space="0" w:color="000000"/>
              <w:bottom w:val="single" w:sz="4" w:space="0" w:color="000000"/>
            </w:tcBorders>
            <w:vAlign w:val="center"/>
          </w:tcPr>
          <w:p w14:paraId="1F4C81D6"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17.13</w:t>
            </w:r>
          </w:p>
        </w:tc>
        <w:tc>
          <w:tcPr>
            <w:tcW w:w="2808" w:type="dxa"/>
            <w:tcBorders>
              <w:left w:val="single" w:sz="4" w:space="0" w:color="000000"/>
              <w:bottom w:val="single" w:sz="4" w:space="0" w:color="000000"/>
            </w:tcBorders>
            <w:vAlign w:val="center"/>
          </w:tcPr>
          <w:p w14:paraId="551DAE48"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Уредби за втечнен газ</w:t>
            </w:r>
          </w:p>
        </w:tc>
        <w:tc>
          <w:tcPr>
            <w:tcW w:w="2700" w:type="dxa"/>
            <w:tcBorders>
              <w:left w:val="single" w:sz="4" w:space="0" w:color="000000"/>
              <w:bottom w:val="single" w:sz="4" w:space="0" w:color="000000"/>
            </w:tcBorders>
            <w:vAlign w:val="center"/>
          </w:tcPr>
          <w:p w14:paraId="6EB3DB31"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3 години</w:t>
            </w:r>
          </w:p>
        </w:tc>
        <w:tc>
          <w:tcPr>
            <w:tcW w:w="1620" w:type="dxa"/>
            <w:tcBorders>
              <w:left w:val="single" w:sz="4" w:space="0" w:color="000000"/>
              <w:bottom w:val="single" w:sz="4" w:space="0" w:color="000000"/>
              <w:right w:val="single" w:sz="4" w:space="0" w:color="000000"/>
            </w:tcBorders>
            <w:vAlign w:val="center"/>
          </w:tcPr>
          <w:p w14:paraId="04ECDB3E"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w:t>
            </w:r>
          </w:p>
        </w:tc>
      </w:tr>
      <w:tr w:rsidR="00271FA2" w:rsidRPr="004224F6" w14:paraId="073E14E9" w14:textId="77777777" w:rsidTr="00BB0D80">
        <w:tc>
          <w:tcPr>
            <w:tcW w:w="2273" w:type="dxa"/>
            <w:tcBorders>
              <w:left w:val="single" w:sz="4" w:space="0" w:color="000000"/>
              <w:bottom w:val="single" w:sz="4" w:space="0" w:color="000000"/>
            </w:tcBorders>
            <w:vAlign w:val="center"/>
          </w:tcPr>
          <w:p w14:paraId="57F77891"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19.09, точка 9</w:t>
            </w:r>
          </w:p>
        </w:tc>
        <w:tc>
          <w:tcPr>
            <w:tcW w:w="2808" w:type="dxa"/>
            <w:tcBorders>
              <w:left w:val="single" w:sz="4" w:space="0" w:color="000000"/>
              <w:bottom w:val="single" w:sz="4" w:space="0" w:color="000000"/>
            </w:tcBorders>
            <w:vAlign w:val="center"/>
          </w:tcPr>
          <w:p w14:paraId="4BD92A91"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Спасително оборудване</w:t>
            </w:r>
          </w:p>
        </w:tc>
        <w:tc>
          <w:tcPr>
            <w:tcW w:w="2700" w:type="dxa"/>
            <w:tcBorders>
              <w:left w:val="single" w:sz="4" w:space="0" w:color="000000"/>
              <w:bottom w:val="single" w:sz="4" w:space="0" w:color="000000"/>
            </w:tcBorders>
            <w:vAlign w:val="center"/>
          </w:tcPr>
          <w:p w14:paraId="6542D8FC"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Според указанията на производителя</w:t>
            </w:r>
          </w:p>
        </w:tc>
        <w:tc>
          <w:tcPr>
            <w:tcW w:w="1620" w:type="dxa"/>
            <w:tcBorders>
              <w:left w:val="single" w:sz="4" w:space="0" w:color="000000"/>
              <w:bottom w:val="single" w:sz="4" w:space="0" w:color="000000"/>
              <w:right w:val="single" w:sz="4" w:space="0" w:color="000000"/>
            </w:tcBorders>
            <w:vAlign w:val="center"/>
          </w:tcPr>
          <w:p w14:paraId="508B335B" w14:textId="77777777" w:rsidR="00271FA2" w:rsidRPr="004224F6" w:rsidRDefault="00271FA2">
            <w:pPr>
              <w:snapToGrid w:val="0"/>
              <w:spacing w:line="240" w:lineRule="atLeast"/>
              <w:jc w:val="both"/>
              <w:rPr>
                <w:rFonts w:ascii="Times New Roman" w:hAnsi="Times New Roman" w:cs="Times New Roman"/>
              </w:rPr>
            </w:pPr>
          </w:p>
        </w:tc>
      </w:tr>
      <w:tr w:rsidR="00271FA2" w:rsidRPr="004224F6" w14:paraId="5BA6AC91" w14:textId="77777777" w:rsidTr="00BB0D80">
        <w:tc>
          <w:tcPr>
            <w:tcW w:w="2273" w:type="dxa"/>
            <w:tcBorders>
              <w:left w:val="single" w:sz="4" w:space="0" w:color="000000"/>
              <w:bottom w:val="single" w:sz="4" w:space="0" w:color="000000"/>
            </w:tcBorders>
            <w:vAlign w:val="center"/>
          </w:tcPr>
          <w:p w14:paraId="73B4E2DE"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Член 19.10, точка 9</w:t>
            </w:r>
          </w:p>
        </w:tc>
        <w:tc>
          <w:tcPr>
            <w:tcW w:w="2808" w:type="dxa"/>
            <w:tcBorders>
              <w:left w:val="single" w:sz="4" w:space="0" w:color="000000"/>
              <w:bottom w:val="single" w:sz="4" w:space="0" w:color="000000"/>
            </w:tcBorders>
            <w:vAlign w:val="center"/>
          </w:tcPr>
          <w:p w14:paraId="7D704FA3"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Съпротивление на изолацията, заземяване</w:t>
            </w:r>
          </w:p>
        </w:tc>
        <w:tc>
          <w:tcPr>
            <w:tcW w:w="2700" w:type="dxa"/>
            <w:tcBorders>
              <w:left w:val="single" w:sz="4" w:space="0" w:color="000000"/>
              <w:bottom w:val="single" w:sz="4" w:space="0" w:color="000000"/>
            </w:tcBorders>
            <w:vAlign w:val="center"/>
          </w:tcPr>
          <w:p w14:paraId="58AC1D1E"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преди изтичане на валидността на Корабното удостоверение за вътрешно корабоплаване</w:t>
            </w:r>
          </w:p>
        </w:tc>
        <w:tc>
          <w:tcPr>
            <w:tcW w:w="1620" w:type="dxa"/>
            <w:tcBorders>
              <w:left w:val="single" w:sz="4" w:space="0" w:color="000000"/>
              <w:bottom w:val="single" w:sz="4" w:space="0" w:color="000000"/>
              <w:right w:val="single" w:sz="4" w:space="0" w:color="000000"/>
            </w:tcBorders>
            <w:vAlign w:val="center"/>
          </w:tcPr>
          <w:p w14:paraId="5DE6004F" w14:textId="77777777" w:rsidR="00271FA2" w:rsidRPr="004224F6" w:rsidRDefault="00271FA2">
            <w:pPr>
              <w:snapToGrid w:val="0"/>
              <w:spacing w:line="240" w:lineRule="atLeast"/>
              <w:jc w:val="both"/>
              <w:rPr>
                <w:rFonts w:ascii="Times New Roman" w:hAnsi="Times New Roman" w:cs="Times New Roman"/>
                <w:lang w:val="ru-RU"/>
              </w:rPr>
            </w:pPr>
          </w:p>
        </w:tc>
      </w:tr>
      <w:tr w:rsidR="00271FA2" w:rsidRPr="004224F6" w14:paraId="272A81BF" w14:textId="77777777" w:rsidTr="00BB0D80">
        <w:tc>
          <w:tcPr>
            <w:tcW w:w="2273" w:type="dxa"/>
            <w:tcBorders>
              <w:left w:val="single" w:sz="4" w:space="0" w:color="000000"/>
              <w:bottom w:val="single" w:sz="4" w:space="0" w:color="000000"/>
            </w:tcBorders>
            <w:vAlign w:val="center"/>
          </w:tcPr>
          <w:p w14:paraId="243716A9"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Инструкция</w:t>
            </w:r>
          </w:p>
          <w:p w14:paraId="706D1F05"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 xml:space="preserve">Раздел </w:t>
            </w:r>
            <w:r w:rsidRPr="004224F6">
              <w:rPr>
                <w:rFonts w:ascii="Times New Roman" w:hAnsi="Times New Roman" w:cs="Times New Roman"/>
              </w:rPr>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-12</w:t>
            </w:r>
          </w:p>
          <w:p w14:paraId="254BE38D"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3.1, буква “</w:t>
            </w:r>
            <w:r w:rsidRPr="004224F6">
              <w:rPr>
                <w:rFonts w:ascii="Times New Roman" w:hAnsi="Times New Roman" w:cs="Times New Roman"/>
              </w:rPr>
              <w:t>a</w:t>
            </w:r>
            <w:r w:rsidRPr="004224F6">
              <w:rPr>
                <w:rFonts w:ascii="Times New Roman" w:hAnsi="Times New Roman" w:cs="Times New Roman"/>
                <w:lang w:val="ru-RU"/>
              </w:rPr>
              <w:t>” и “б“</w:t>
            </w:r>
          </w:p>
        </w:tc>
        <w:tc>
          <w:tcPr>
            <w:tcW w:w="2808" w:type="dxa"/>
            <w:tcBorders>
              <w:left w:val="single" w:sz="4" w:space="0" w:color="000000"/>
              <w:bottom w:val="single" w:sz="4" w:space="0" w:color="000000"/>
            </w:tcBorders>
            <w:vAlign w:val="center"/>
          </w:tcPr>
          <w:p w14:paraId="6B655EE1"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Пожароизвестителни системи</w:t>
            </w:r>
          </w:p>
        </w:tc>
        <w:tc>
          <w:tcPr>
            <w:tcW w:w="2700" w:type="dxa"/>
            <w:tcBorders>
              <w:left w:val="single" w:sz="4" w:space="0" w:color="000000"/>
              <w:bottom w:val="single" w:sz="4" w:space="0" w:color="000000"/>
            </w:tcBorders>
            <w:vAlign w:val="center"/>
          </w:tcPr>
          <w:p w14:paraId="2AF5C298" w14:textId="77777777" w:rsidR="00271FA2" w:rsidRPr="004224F6" w:rsidRDefault="00271FA2">
            <w:pPr>
              <w:snapToGrid w:val="0"/>
              <w:spacing w:line="240" w:lineRule="atLeast"/>
              <w:jc w:val="both"/>
              <w:rPr>
                <w:rFonts w:ascii="Times New Roman" w:hAnsi="Times New Roman" w:cs="Times New Roman"/>
              </w:rPr>
            </w:pPr>
          </w:p>
        </w:tc>
        <w:tc>
          <w:tcPr>
            <w:tcW w:w="1620" w:type="dxa"/>
            <w:tcBorders>
              <w:left w:val="single" w:sz="4" w:space="0" w:color="000000"/>
              <w:bottom w:val="single" w:sz="4" w:space="0" w:color="000000"/>
              <w:right w:val="single" w:sz="4" w:space="0" w:color="000000"/>
            </w:tcBorders>
            <w:vAlign w:val="center"/>
          </w:tcPr>
          <w:p w14:paraId="31370794"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w:t>
            </w:r>
          </w:p>
        </w:tc>
      </w:tr>
      <w:tr w:rsidR="00271FA2" w:rsidRPr="004224F6" w14:paraId="7A9D8B99" w14:textId="77777777" w:rsidTr="00BB0D80">
        <w:tc>
          <w:tcPr>
            <w:tcW w:w="2273" w:type="dxa"/>
            <w:tcBorders>
              <w:left w:val="single" w:sz="4" w:space="0" w:color="000000"/>
              <w:bottom w:val="single" w:sz="4" w:space="0" w:color="000000"/>
            </w:tcBorders>
            <w:vAlign w:val="center"/>
          </w:tcPr>
          <w:p w14:paraId="24C05315"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Инструкция</w:t>
            </w:r>
          </w:p>
          <w:p w14:paraId="0140062E"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 xml:space="preserve">Раздел </w:t>
            </w:r>
            <w:r w:rsidRPr="004224F6">
              <w:rPr>
                <w:rFonts w:ascii="Times New Roman" w:hAnsi="Times New Roman" w:cs="Times New Roman"/>
              </w:rPr>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-12</w:t>
            </w:r>
          </w:p>
          <w:p w14:paraId="1039B302"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3.1, буква “</w:t>
            </w:r>
            <w:r w:rsidRPr="004224F6">
              <w:rPr>
                <w:rFonts w:ascii="Times New Roman" w:hAnsi="Times New Roman" w:cs="Times New Roman"/>
              </w:rPr>
              <w:t>a</w:t>
            </w:r>
            <w:r w:rsidRPr="004224F6">
              <w:rPr>
                <w:rFonts w:ascii="Times New Roman" w:hAnsi="Times New Roman" w:cs="Times New Roman"/>
                <w:lang w:val="ru-RU"/>
              </w:rPr>
              <w:t>” и “б“</w:t>
            </w:r>
          </w:p>
        </w:tc>
        <w:tc>
          <w:tcPr>
            <w:tcW w:w="2808" w:type="dxa"/>
            <w:tcBorders>
              <w:left w:val="single" w:sz="4" w:space="0" w:color="000000"/>
              <w:bottom w:val="single" w:sz="4" w:space="0" w:color="000000"/>
            </w:tcBorders>
            <w:vAlign w:val="center"/>
          </w:tcPr>
          <w:p w14:paraId="10951239"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Пожароизвестителни системи</w:t>
            </w:r>
          </w:p>
        </w:tc>
        <w:tc>
          <w:tcPr>
            <w:tcW w:w="2700" w:type="dxa"/>
            <w:tcBorders>
              <w:left w:val="single" w:sz="4" w:space="0" w:color="000000"/>
              <w:bottom w:val="single" w:sz="4" w:space="0" w:color="000000"/>
            </w:tcBorders>
            <w:vAlign w:val="center"/>
          </w:tcPr>
          <w:p w14:paraId="41E8C00E"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2 години</w:t>
            </w:r>
          </w:p>
        </w:tc>
        <w:tc>
          <w:tcPr>
            <w:tcW w:w="1620" w:type="dxa"/>
            <w:tcBorders>
              <w:left w:val="single" w:sz="4" w:space="0" w:color="000000"/>
              <w:bottom w:val="single" w:sz="4" w:space="0" w:color="000000"/>
              <w:right w:val="single" w:sz="4" w:space="0" w:color="000000"/>
            </w:tcBorders>
            <w:vAlign w:val="center"/>
          </w:tcPr>
          <w:p w14:paraId="191CA2C8"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 или компетентно лице</w:t>
            </w:r>
          </w:p>
        </w:tc>
      </w:tr>
      <w:tr w:rsidR="00271FA2" w:rsidRPr="004224F6" w14:paraId="05437EDC" w14:textId="77777777" w:rsidTr="00BB0D80">
        <w:tc>
          <w:tcPr>
            <w:tcW w:w="2273" w:type="dxa"/>
            <w:tcBorders>
              <w:top w:val="single" w:sz="4" w:space="0" w:color="000000"/>
              <w:left w:val="single" w:sz="4" w:space="0" w:color="000000"/>
              <w:bottom w:val="single" w:sz="4" w:space="0" w:color="000000"/>
            </w:tcBorders>
            <w:vAlign w:val="center"/>
          </w:tcPr>
          <w:p w14:paraId="09016E96"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 xml:space="preserve">Инструкция </w:t>
            </w:r>
            <w:r w:rsidRPr="004224F6">
              <w:rPr>
                <w:rFonts w:ascii="Times New Roman" w:hAnsi="Times New Roman" w:cs="Times New Roman"/>
              </w:rPr>
              <w:t>ESI</w:t>
            </w:r>
            <w:r w:rsidRPr="004224F6">
              <w:rPr>
                <w:rFonts w:ascii="Times New Roman" w:hAnsi="Times New Roman" w:cs="Times New Roman"/>
                <w:lang w:val="ru-RU"/>
              </w:rPr>
              <w:softHyphen/>
              <w:t>-</w:t>
            </w:r>
            <w:r w:rsidRPr="004224F6">
              <w:rPr>
                <w:rFonts w:ascii="Times New Roman" w:hAnsi="Times New Roman" w:cs="Times New Roman"/>
              </w:rPr>
              <w:t>III</w:t>
            </w:r>
            <w:r w:rsidRPr="004224F6">
              <w:rPr>
                <w:rFonts w:ascii="Times New Roman" w:hAnsi="Times New Roman" w:cs="Times New Roman"/>
                <w:lang w:val="ru-RU"/>
              </w:rPr>
              <w:softHyphen/>
              <w:t>4, раздел 8.1, букви “</w:t>
            </w:r>
            <w:r w:rsidRPr="004224F6">
              <w:rPr>
                <w:rFonts w:ascii="Times New Roman" w:hAnsi="Times New Roman" w:cs="Times New Roman"/>
              </w:rPr>
              <w:t>a</w:t>
            </w:r>
            <w:r w:rsidRPr="004224F6">
              <w:rPr>
                <w:rFonts w:ascii="Times New Roman" w:hAnsi="Times New Roman" w:cs="Times New Roman"/>
                <w:lang w:val="ru-RU"/>
              </w:rPr>
              <w:t>” и “б”</w:t>
            </w:r>
          </w:p>
        </w:tc>
        <w:tc>
          <w:tcPr>
            <w:tcW w:w="2808" w:type="dxa"/>
            <w:tcBorders>
              <w:top w:val="single" w:sz="4" w:space="0" w:color="000000"/>
              <w:left w:val="single" w:sz="4" w:space="0" w:color="000000"/>
              <w:bottom w:val="single" w:sz="4" w:space="0" w:color="000000"/>
            </w:tcBorders>
            <w:vAlign w:val="center"/>
          </w:tcPr>
          <w:p w14:paraId="16FC29AA"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Системи от указатели за безопасност</w:t>
            </w:r>
          </w:p>
        </w:tc>
        <w:tc>
          <w:tcPr>
            <w:tcW w:w="2700" w:type="dxa"/>
            <w:tcBorders>
              <w:top w:val="single" w:sz="4" w:space="0" w:color="000000"/>
              <w:left w:val="single" w:sz="4" w:space="0" w:color="000000"/>
              <w:bottom w:val="single" w:sz="4" w:space="0" w:color="000000"/>
            </w:tcBorders>
            <w:vAlign w:val="center"/>
          </w:tcPr>
          <w:p w14:paraId="62D728EF" w14:textId="77777777" w:rsidR="00271FA2" w:rsidRPr="004224F6" w:rsidRDefault="00271FA2">
            <w:pPr>
              <w:snapToGrid w:val="0"/>
              <w:spacing w:line="240" w:lineRule="atLeast"/>
              <w:jc w:val="both"/>
              <w:rPr>
                <w:rFonts w:ascii="Times New Roman" w:hAnsi="Times New Roman" w:cs="Times New Roman"/>
                <w:lang w:val="ru-RU"/>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34A5248"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w:t>
            </w:r>
          </w:p>
        </w:tc>
      </w:tr>
      <w:tr w:rsidR="00271FA2" w:rsidRPr="004224F6" w14:paraId="65C2DC07" w14:textId="77777777" w:rsidTr="00BB0D80">
        <w:tc>
          <w:tcPr>
            <w:tcW w:w="2273" w:type="dxa"/>
            <w:tcBorders>
              <w:top w:val="single" w:sz="4" w:space="0" w:color="000000"/>
              <w:left w:val="single" w:sz="4" w:space="0" w:color="000000"/>
              <w:bottom w:val="single" w:sz="4" w:space="0" w:color="000000"/>
            </w:tcBorders>
            <w:vAlign w:val="center"/>
          </w:tcPr>
          <w:p w14:paraId="09666437"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 xml:space="preserve">Инструкция </w:t>
            </w:r>
            <w:r w:rsidRPr="004224F6">
              <w:rPr>
                <w:rFonts w:ascii="Times New Roman" w:hAnsi="Times New Roman" w:cs="Times New Roman"/>
              </w:rPr>
              <w:t>ESI</w:t>
            </w:r>
            <w:r w:rsidRPr="004224F6">
              <w:rPr>
                <w:rFonts w:ascii="Times New Roman" w:hAnsi="Times New Roman" w:cs="Times New Roman"/>
                <w:lang w:val="ru-RU"/>
              </w:rPr>
              <w:softHyphen/>
              <w:t>-</w:t>
            </w:r>
            <w:r w:rsidRPr="004224F6">
              <w:rPr>
                <w:rFonts w:ascii="Times New Roman" w:hAnsi="Times New Roman" w:cs="Times New Roman"/>
              </w:rPr>
              <w:t>III</w:t>
            </w:r>
            <w:r w:rsidRPr="004224F6">
              <w:rPr>
                <w:rFonts w:ascii="Times New Roman" w:hAnsi="Times New Roman" w:cs="Times New Roman"/>
                <w:lang w:val="ru-RU"/>
              </w:rPr>
              <w:softHyphen/>
              <w:t xml:space="preserve">4, раздел 8.1, буква “в” </w:t>
            </w:r>
          </w:p>
        </w:tc>
        <w:tc>
          <w:tcPr>
            <w:tcW w:w="2808" w:type="dxa"/>
            <w:tcBorders>
              <w:top w:val="single" w:sz="4" w:space="0" w:color="000000"/>
              <w:left w:val="single" w:sz="4" w:space="0" w:color="000000"/>
              <w:bottom w:val="single" w:sz="4" w:space="0" w:color="000000"/>
            </w:tcBorders>
            <w:vAlign w:val="center"/>
          </w:tcPr>
          <w:p w14:paraId="381F3E7D"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Системи от указатели за безопасност</w:t>
            </w:r>
          </w:p>
        </w:tc>
        <w:tc>
          <w:tcPr>
            <w:tcW w:w="2700" w:type="dxa"/>
            <w:tcBorders>
              <w:top w:val="single" w:sz="4" w:space="0" w:color="000000"/>
              <w:left w:val="single" w:sz="4" w:space="0" w:color="000000"/>
              <w:bottom w:val="single" w:sz="4" w:space="0" w:color="000000"/>
            </w:tcBorders>
            <w:vAlign w:val="center"/>
          </w:tcPr>
          <w:p w14:paraId="21AD1735"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5 години</w:t>
            </w:r>
          </w:p>
        </w:tc>
        <w:tc>
          <w:tcPr>
            <w:tcW w:w="1620" w:type="dxa"/>
            <w:tcBorders>
              <w:top w:val="single" w:sz="4" w:space="0" w:color="000000"/>
              <w:left w:val="single" w:sz="4" w:space="0" w:color="000000"/>
              <w:bottom w:val="single" w:sz="4" w:space="0" w:color="000000"/>
              <w:right w:val="single" w:sz="4" w:space="0" w:color="000000"/>
            </w:tcBorders>
            <w:vAlign w:val="center"/>
          </w:tcPr>
          <w:p w14:paraId="085FFEE9"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 или компетентно лице</w:t>
            </w:r>
          </w:p>
        </w:tc>
      </w:tr>
      <w:tr w:rsidR="00271FA2" w:rsidRPr="004224F6" w14:paraId="018419B4" w14:textId="77777777" w:rsidTr="00BB0D80">
        <w:tc>
          <w:tcPr>
            <w:tcW w:w="2273" w:type="dxa"/>
            <w:tcBorders>
              <w:top w:val="single" w:sz="4" w:space="0" w:color="000000"/>
              <w:left w:val="single" w:sz="4" w:space="0" w:color="000000"/>
              <w:bottom w:val="single" w:sz="4" w:space="0" w:color="000000"/>
            </w:tcBorders>
            <w:vAlign w:val="center"/>
          </w:tcPr>
          <w:p w14:paraId="7F7FD8E6"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Инструкция ESI</w:t>
            </w:r>
            <w:r w:rsidRPr="004224F6">
              <w:rPr>
                <w:rFonts w:ascii="Times New Roman" w:hAnsi="Times New Roman" w:cs="Times New Roman"/>
              </w:rPr>
              <w:softHyphen/>
              <w:t>-III</w:t>
            </w:r>
            <w:r w:rsidRPr="004224F6">
              <w:rPr>
                <w:rFonts w:ascii="Times New Roman" w:hAnsi="Times New Roman" w:cs="Times New Roman"/>
              </w:rPr>
              <w:softHyphen/>
              <w:t>5</w:t>
            </w:r>
          </w:p>
        </w:tc>
        <w:tc>
          <w:tcPr>
            <w:tcW w:w="2808" w:type="dxa"/>
            <w:tcBorders>
              <w:top w:val="single" w:sz="4" w:space="0" w:color="000000"/>
              <w:left w:val="single" w:sz="4" w:space="0" w:color="000000"/>
              <w:bottom w:val="single" w:sz="4" w:space="0" w:color="000000"/>
            </w:tcBorders>
            <w:vAlign w:val="center"/>
          </w:tcPr>
          <w:p w14:paraId="66B0E005" w14:textId="77777777" w:rsidR="00271FA2" w:rsidRPr="004224F6" w:rsidRDefault="00D35E51">
            <w:pPr>
              <w:snapToGrid w:val="0"/>
              <w:spacing w:line="240" w:lineRule="atLeast"/>
              <w:jc w:val="both"/>
              <w:rPr>
                <w:rFonts w:ascii="Times New Roman" w:hAnsi="Times New Roman" w:cs="Times New Roman"/>
                <w:lang w:val="ru-RU"/>
              </w:rPr>
            </w:pPr>
            <w:r w:rsidRPr="004224F6">
              <w:rPr>
                <w:rFonts w:ascii="Times New Roman" w:hAnsi="Times New Roman" w:cs="Times New Roman"/>
                <w:lang w:val="ru-RU"/>
              </w:rPr>
              <w:t xml:space="preserve">Оборудване за сигнализиране на наличието на газ </w:t>
            </w:r>
          </w:p>
        </w:tc>
        <w:tc>
          <w:tcPr>
            <w:tcW w:w="2700" w:type="dxa"/>
            <w:tcBorders>
              <w:top w:val="single" w:sz="4" w:space="0" w:color="000000"/>
              <w:left w:val="single" w:sz="4" w:space="0" w:color="000000"/>
              <w:bottom w:val="single" w:sz="4" w:space="0" w:color="000000"/>
            </w:tcBorders>
            <w:vAlign w:val="center"/>
          </w:tcPr>
          <w:p w14:paraId="2A8F1262"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Според указанията на производителя</w:t>
            </w:r>
          </w:p>
        </w:tc>
        <w:tc>
          <w:tcPr>
            <w:tcW w:w="1620" w:type="dxa"/>
            <w:tcBorders>
              <w:top w:val="single" w:sz="4" w:space="0" w:color="000000"/>
              <w:left w:val="single" w:sz="4" w:space="0" w:color="000000"/>
              <w:bottom w:val="single" w:sz="4" w:space="0" w:color="000000"/>
              <w:right w:val="single" w:sz="4" w:space="0" w:color="000000"/>
            </w:tcBorders>
            <w:vAlign w:val="center"/>
          </w:tcPr>
          <w:p w14:paraId="4DC10906" w14:textId="77777777" w:rsidR="00271FA2" w:rsidRPr="004224F6" w:rsidRDefault="00D35E51">
            <w:pPr>
              <w:snapToGrid w:val="0"/>
              <w:spacing w:line="240" w:lineRule="atLeast"/>
              <w:jc w:val="both"/>
              <w:rPr>
                <w:rFonts w:ascii="Times New Roman" w:hAnsi="Times New Roman" w:cs="Times New Roman"/>
              </w:rPr>
            </w:pPr>
            <w:r w:rsidRPr="004224F6">
              <w:rPr>
                <w:rFonts w:ascii="Times New Roman" w:hAnsi="Times New Roman" w:cs="Times New Roman"/>
              </w:rPr>
              <w:t>Експерт или компетентно лице</w:t>
            </w:r>
          </w:p>
        </w:tc>
      </w:tr>
    </w:tbl>
    <w:p w14:paraId="43DABECB" w14:textId="77777777" w:rsidR="00271FA2" w:rsidRPr="004224F6" w:rsidRDefault="00271FA2">
      <w:pPr>
        <w:spacing w:line="240" w:lineRule="atLeast"/>
        <w:ind w:left="567" w:hanging="567"/>
        <w:rPr>
          <w:rFonts w:ascii="Times New Roman" w:hAnsi="Times New Roman" w:cs="Times New Roman"/>
        </w:rPr>
      </w:pPr>
    </w:p>
    <w:p w14:paraId="39D658A0" w14:textId="77777777" w:rsidR="00271FA2" w:rsidRPr="004224F6" w:rsidRDefault="00271FA2">
      <w:pPr>
        <w:spacing w:line="240" w:lineRule="atLeast"/>
        <w:ind w:left="567" w:hanging="567"/>
        <w:rPr>
          <w:rFonts w:ascii="Times New Roman" w:hAnsi="Times New Roman" w:cs="Times New Roman"/>
        </w:rPr>
        <w:sectPr w:rsidR="00271FA2" w:rsidRPr="004224F6" w:rsidSect="004224F6">
          <w:headerReference w:type="default" r:id="rId195"/>
          <w:headerReference w:type="first" r:id="rId196"/>
          <w:footerReference w:type="first" r:id="rId197"/>
          <w:pgSz w:w="11907" w:h="16840"/>
          <w:pgMar w:top="1134" w:right="1134" w:bottom="1134" w:left="1134" w:header="709" w:footer="709" w:gutter="0"/>
          <w:cols w:space="720"/>
          <w:titlePg/>
          <w:docGrid w:linePitch="299"/>
        </w:sectPr>
      </w:pPr>
    </w:p>
    <w:p w14:paraId="6F12C01F" w14:textId="77777777" w:rsidR="00271FA2" w:rsidRPr="004224F6" w:rsidRDefault="00D35E51">
      <w:pPr>
        <w:pStyle w:val="ES-Titre1"/>
        <w:rPr>
          <w:rFonts w:ascii="Times New Roman" w:hAnsi="Times New Roman" w:cs="Times New Roman"/>
          <w:lang w:val="ru-RU"/>
        </w:rPr>
      </w:pPr>
      <w:bookmarkStart w:id="671" w:name="_Toc491854349"/>
      <w:bookmarkStart w:id="672" w:name="_Toc535827790"/>
      <w:r w:rsidRPr="004224F6">
        <w:rPr>
          <w:rFonts w:ascii="Times New Roman" w:hAnsi="Times New Roman" w:cs="Times New Roman"/>
          <w:lang w:val="ru-RU"/>
        </w:rPr>
        <w:lastRenderedPageBreak/>
        <w:t xml:space="preserve">ЧАСТ </w:t>
      </w:r>
      <w:r w:rsidRPr="004224F6">
        <w:rPr>
          <w:rFonts w:ascii="Times New Roman" w:hAnsi="Times New Roman" w:cs="Times New Roman"/>
        </w:rPr>
        <w:t>II</w:t>
      </w:r>
      <w:r w:rsidRPr="004224F6">
        <w:rPr>
          <w:rFonts w:ascii="Times New Roman" w:hAnsi="Times New Roman" w:cs="Times New Roman"/>
          <w:lang w:val="ru-RU"/>
        </w:rPr>
        <w:br/>
        <w:t>РАЗПОРЕДБИ ОТНОСНО КОРАБНАТА КОНСТРУКЦИЯ, СЪОРЪЖЕНИЯТА И ОБОРУДВАНЕТО</w:t>
      </w:r>
      <w:bookmarkEnd w:id="671"/>
      <w:bookmarkEnd w:id="672"/>
    </w:p>
    <w:p w14:paraId="3D6168D6" w14:textId="77777777" w:rsidR="00271FA2" w:rsidRPr="004224F6" w:rsidRDefault="00D35E51">
      <w:pPr>
        <w:pStyle w:val="ES-Titre2ESI"/>
        <w:rPr>
          <w:rFonts w:ascii="Times New Roman" w:hAnsi="Times New Roman" w:cs="Times New Roman"/>
          <w:lang w:val="ru-RU"/>
        </w:rPr>
      </w:pPr>
      <w:bookmarkStart w:id="673" w:name="_Toc535827791"/>
      <w:bookmarkStart w:id="674" w:name="_Toc491854350"/>
      <w:r w:rsidRPr="004224F6">
        <w:rPr>
          <w:rFonts w:ascii="Times New Roman" w:hAnsi="Times New Roman" w:cs="Times New Roman"/>
        </w:rPr>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-1</w:t>
      </w:r>
      <w:r w:rsidRPr="004224F6">
        <w:rPr>
          <w:rFonts w:ascii="Times New Roman" w:hAnsi="Times New Roman" w:cs="Times New Roman"/>
          <w:lang w:val="ru-RU"/>
        </w:rPr>
        <w:br/>
        <w:t>Минимална дебелина на корпуса на баржите</w:t>
      </w:r>
      <w:bookmarkEnd w:id="673"/>
      <w:bookmarkEnd w:id="674"/>
    </w:p>
    <w:p w14:paraId="5CFFB215" w14:textId="77777777" w:rsidR="00271FA2" w:rsidRPr="004224F6" w:rsidRDefault="00D35E51" w:rsidP="00BB0D80">
      <w:pPr>
        <w:tabs>
          <w:tab w:val="left" w:pos="284"/>
          <w:tab w:val="left" w:pos="567"/>
        </w:tabs>
        <w:overflowPunct w:val="0"/>
        <w:adjustRightInd w:val="0"/>
        <w:spacing w:after="240" w:line="240" w:lineRule="atLeast"/>
        <w:ind w:left="284" w:hanging="284"/>
        <w:jc w:val="center"/>
        <w:textAlignment w:val="baseline"/>
        <w:rPr>
          <w:rFonts w:ascii="Times New Roman" w:hAnsi="Times New Roman" w:cs="Times New Roman"/>
          <w:b/>
          <w:szCs w:val="20"/>
          <w:lang w:val="ru-RU"/>
        </w:rPr>
      </w:pPr>
      <w:r w:rsidRPr="004224F6">
        <w:rPr>
          <w:rFonts w:ascii="Times New Roman" w:hAnsi="Times New Roman" w:cs="Times New Roman"/>
          <w:b/>
          <w:lang w:val="ru-RU"/>
        </w:rPr>
        <w:t>(Член 3.02, точка 1)</w:t>
      </w:r>
    </w:p>
    <w:p w14:paraId="585FAF63"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По време на периодичната проверка на баржи, които са пригодни изключително за влачене, контролният орган може да разреши малки отклонения от член</w:t>
      </w:r>
      <w:r w:rsidRPr="004224F6">
        <w:rPr>
          <w:rFonts w:ascii="Times New Roman" w:hAnsi="Times New Roman" w:cs="Times New Roman"/>
        </w:rPr>
        <w:t> </w:t>
      </w:r>
      <w:r w:rsidRPr="004224F6">
        <w:rPr>
          <w:rFonts w:ascii="Times New Roman" w:hAnsi="Times New Roman" w:cs="Times New Roman"/>
          <w:lang w:val="ru-RU"/>
        </w:rPr>
        <w:t xml:space="preserve"> 3.02, точка 1, буква “б” по отношение на минималната дебелина на обшивката на корпуса. Отклонението не трябва да е повече от 10 %, а минималната дебелина на обшивката на корпуса не трябва да е по-малка от 3 </w:t>
      </w:r>
      <w:r w:rsidRPr="004224F6">
        <w:rPr>
          <w:rFonts w:ascii="Times New Roman" w:hAnsi="Times New Roman" w:cs="Times New Roman"/>
        </w:rPr>
        <w:t>mm</w:t>
      </w:r>
      <w:r w:rsidRPr="004224F6">
        <w:rPr>
          <w:rFonts w:ascii="Times New Roman" w:hAnsi="Times New Roman" w:cs="Times New Roman"/>
          <w:lang w:val="ru-RU"/>
        </w:rPr>
        <w:t>.</w:t>
      </w:r>
    </w:p>
    <w:p w14:paraId="69D8480C"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Отклоненията се вписват в Корабното удостоверение за вътрешно корабоплаване съгласно точка 14 от Корабното удостоверение за вътрешно корабоплаване, се прилага само свойство по точка 6.2 „Влачен като плавателно средство без собствено задвижване“</w:t>
      </w:r>
    </w:p>
    <w:p w14:paraId="2950E175"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Свойствата по точки 1—5.3 и 6.1 се заличават.</w:t>
      </w:r>
    </w:p>
    <w:p w14:paraId="1EE60AF7" w14:textId="77777777" w:rsidR="00271FA2" w:rsidRPr="004224F6" w:rsidRDefault="00271FA2">
      <w:pPr>
        <w:spacing w:line="240" w:lineRule="atLeast"/>
        <w:ind w:left="567" w:hanging="567"/>
        <w:rPr>
          <w:rFonts w:ascii="Times New Roman" w:hAnsi="Times New Roman" w:cs="Times New Roman"/>
          <w:lang w:val="ru-RU"/>
        </w:rPr>
      </w:pPr>
    </w:p>
    <w:p w14:paraId="7A3F67D0" w14:textId="77777777" w:rsidR="00271FA2" w:rsidRPr="004224F6" w:rsidRDefault="00271FA2">
      <w:pPr>
        <w:spacing w:line="240" w:lineRule="atLeast"/>
        <w:ind w:left="567" w:hanging="567"/>
        <w:rPr>
          <w:rFonts w:ascii="Times New Roman" w:hAnsi="Times New Roman" w:cs="Times New Roman"/>
          <w:lang w:val="ru-RU"/>
        </w:rPr>
      </w:pPr>
    </w:p>
    <w:p w14:paraId="6D7E9EB4" w14:textId="77777777" w:rsidR="00271FA2" w:rsidRPr="004224F6" w:rsidRDefault="00271FA2">
      <w:pPr>
        <w:spacing w:line="240" w:lineRule="atLeast"/>
        <w:ind w:left="567" w:hanging="567"/>
        <w:rPr>
          <w:rFonts w:ascii="Times New Roman" w:hAnsi="Times New Roman" w:cs="Times New Roman"/>
          <w:lang w:val="ru-RU"/>
        </w:rPr>
      </w:pPr>
    </w:p>
    <w:p w14:paraId="2D9B613E" w14:textId="77777777" w:rsidR="00271FA2" w:rsidRPr="004224F6" w:rsidRDefault="00271FA2">
      <w:pPr>
        <w:spacing w:line="240" w:lineRule="atLeast"/>
        <w:ind w:left="567" w:hanging="567"/>
        <w:rPr>
          <w:rFonts w:ascii="Times New Roman" w:hAnsi="Times New Roman" w:cs="Times New Roman"/>
          <w:lang w:val="ru-RU"/>
        </w:rPr>
      </w:pPr>
    </w:p>
    <w:p w14:paraId="3CEE591F" w14:textId="77777777" w:rsidR="00271FA2" w:rsidRPr="004224F6" w:rsidRDefault="00271FA2">
      <w:pPr>
        <w:spacing w:line="240" w:lineRule="atLeast"/>
        <w:ind w:left="567" w:hanging="567"/>
        <w:rPr>
          <w:rFonts w:ascii="Times New Roman" w:hAnsi="Times New Roman" w:cs="Times New Roman"/>
          <w:lang w:val="ru-RU"/>
        </w:rPr>
        <w:sectPr w:rsidR="00271FA2" w:rsidRPr="004224F6" w:rsidSect="004224F6">
          <w:headerReference w:type="first" r:id="rId198"/>
          <w:footerReference w:type="first" r:id="rId199"/>
          <w:pgSz w:w="11907" w:h="16840"/>
          <w:pgMar w:top="1134" w:right="1134" w:bottom="1134" w:left="1134" w:header="709" w:footer="709" w:gutter="0"/>
          <w:cols w:space="720"/>
          <w:titlePg/>
          <w:docGrid w:linePitch="299"/>
        </w:sectPr>
      </w:pPr>
    </w:p>
    <w:p w14:paraId="1EDDCCAF" w14:textId="1A971697" w:rsidR="00271FA2" w:rsidRPr="004224F6" w:rsidRDefault="00D35E51">
      <w:pPr>
        <w:pStyle w:val="ES-Titre2ESI"/>
        <w:rPr>
          <w:rFonts w:ascii="Times New Roman" w:hAnsi="Times New Roman" w:cs="Times New Roman"/>
          <w:lang w:val="ru-RU"/>
        </w:rPr>
      </w:pPr>
      <w:bookmarkStart w:id="675" w:name="_Toc491854351"/>
      <w:bookmarkStart w:id="676" w:name="_Toc535827792"/>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-2</w:t>
      </w:r>
      <w:r w:rsidRPr="004224F6">
        <w:rPr>
          <w:rFonts w:ascii="Times New Roman" w:hAnsi="Times New Roman" w:cs="Times New Roman"/>
          <w:lang w:val="ru-RU"/>
        </w:rPr>
        <w:br/>
        <w:t xml:space="preserve">Монтиране на </w:t>
      </w:r>
      <w:r w:rsidR="0046528F" w:rsidRPr="004224F6">
        <w:rPr>
          <w:rFonts w:ascii="Times New Roman" w:hAnsi="Times New Roman" w:cs="Times New Roman"/>
          <w:lang w:val="ru-RU"/>
        </w:rPr>
        <w:t xml:space="preserve"> дублиращи </w:t>
      </w:r>
      <w:r w:rsidRPr="004224F6">
        <w:rPr>
          <w:rFonts w:ascii="Times New Roman" w:hAnsi="Times New Roman" w:cs="Times New Roman"/>
          <w:lang w:val="ru-RU"/>
        </w:rPr>
        <w:t>листове на корпуса</w:t>
      </w:r>
      <w:bookmarkEnd w:id="675"/>
      <w:bookmarkEnd w:id="676"/>
    </w:p>
    <w:p w14:paraId="3E0227EC" w14:textId="77777777" w:rsidR="00271FA2" w:rsidRPr="004224F6" w:rsidRDefault="00D35E51">
      <w:pPr>
        <w:tabs>
          <w:tab w:val="left" w:pos="284"/>
          <w:tab w:val="left" w:pos="567"/>
        </w:tabs>
        <w:overflowPunct w:val="0"/>
        <w:adjustRightInd w:val="0"/>
        <w:spacing w:line="240" w:lineRule="atLeast"/>
        <w:jc w:val="center"/>
        <w:textAlignment w:val="baseline"/>
        <w:rPr>
          <w:rFonts w:ascii="Times New Roman" w:eastAsia="Batang" w:hAnsi="Times New Roman" w:cs="Times New Roman"/>
          <w:lang w:val="ru-RU"/>
        </w:rPr>
      </w:pPr>
      <w:r w:rsidRPr="004224F6">
        <w:rPr>
          <w:rFonts w:ascii="Times New Roman" w:hAnsi="Times New Roman" w:cs="Times New Roman"/>
          <w:b/>
          <w:lang w:val="ru-RU"/>
        </w:rPr>
        <w:t>(член 3.02, точка 1 и член 19.02, точка 1, буква “г“)</w:t>
      </w:r>
    </w:p>
    <w:p w14:paraId="73C2541C" w14:textId="77777777" w:rsidR="00271FA2" w:rsidRPr="004224F6" w:rsidRDefault="00D35E51">
      <w:pPr>
        <w:spacing w:line="240" w:lineRule="atLeast"/>
        <w:ind w:left="567" w:hanging="567"/>
        <w:rPr>
          <w:rFonts w:ascii="Times New Roman" w:eastAsia="Batang" w:hAnsi="Times New Roman" w:cs="Times New Roman"/>
          <w:b/>
          <w:bCs/>
          <w:lang w:val="ru-RU"/>
        </w:rPr>
      </w:pPr>
      <w:r w:rsidRPr="004224F6">
        <w:rPr>
          <w:rFonts w:ascii="Times New Roman" w:hAnsi="Times New Roman" w:cs="Times New Roman"/>
          <w:b/>
          <w:lang w:val="ru-RU"/>
        </w:rPr>
        <w:t>1.</w:t>
      </w:r>
      <w:r w:rsidRPr="004224F6">
        <w:rPr>
          <w:rFonts w:ascii="Times New Roman" w:hAnsi="Times New Roman" w:cs="Times New Roman"/>
          <w:lang w:val="ru-RU"/>
        </w:rPr>
        <w:tab/>
      </w:r>
      <w:r w:rsidR="008C4C87" w:rsidRPr="004224F6">
        <w:rPr>
          <w:rFonts w:ascii="Times New Roman" w:hAnsi="Times New Roman" w:cs="Times New Roman"/>
          <w:b/>
          <w:lang w:val="ru-RU"/>
        </w:rPr>
        <w:t>Цел на и</w:t>
      </w:r>
      <w:r w:rsidRPr="004224F6">
        <w:rPr>
          <w:rFonts w:ascii="Times New Roman" w:hAnsi="Times New Roman" w:cs="Times New Roman"/>
          <w:b/>
          <w:lang w:val="ru-RU"/>
        </w:rPr>
        <w:t>нструкцията</w:t>
      </w:r>
    </w:p>
    <w:p w14:paraId="0121AC0A" w14:textId="5529C446" w:rsidR="00271FA2" w:rsidRPr="004224F6" w:rsidRDefault="00D35E51">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Тези инструкции са изготвени с цел по-голяма яснота на правилата за поддържане на здравината на корабния корпус (член 3.02, точка 1) и за подмяна и ремонт на обшивката на корпуса (член 3.02, точка 1, буква “в”), последното изречение и член 19</w:t>
      </w:r>
      <w:r w:rsidR="008C4C87" w:rsidRPr="004224F6">
        <w:rPr>
          <w:rFonts w:ascii="Times New Roman" w:hAnsi="Times New Roman" w:cs="Times New Roman"/>
          <w:lang w:val="ru-RU"/>
        </w:rPr>
        <w:t>.02, точка 1, буква “г”). Тази и</w:t>
      </w:r>
      <w:r w:rsidRPr="004224F6">
        <w:rPr>
          <w:rFonts w:ascii="Times New Roman" w:hAnsi="Times New Roman" w:cs="Times New Roman"/>
          <w:lang w:val="ru-RU"/>
        </w:rPr>
        <w:t xml:space="preserve">нструкция се прилага за монтирането на нови листове </w:t>
      </w:r>
      <w:r w:rsidR="00D91796" w:rsidRPr="004224F6">
        <w:rPr>
          <w:rFonts w:ascii="Times New Roman" w:hAnsi="Times New Roman" w:cs="Times New Roman"/>
          <w:lang w:val="ru-RU"/>
        </w:rPr>
        <w:t xml:space="preserve"> д</w:t>
      </w:r>
      <w:r w:rsidR="0046528F" w:rsidRPr="004224F6">
        <w:rPr>
          <w:rFonts w:ascii="Times New Roman" w:hAnsi="Times New Roman" w:cs="Times New Roman"/>
          <w:lang w:val="ru-RU"/>
        </w:rPr>
        <w:t>ублиращи</w:t>
      </w:r>
      <w:r w:rsidRPr="004224F6">
        <w:rPr>
          <w:rFonts w:ascii="Times New Roman" w:hAnsi="Times New Roman" w:cs="Times New Roman"/>
          <w:lang w:val="ru-RU"/>
        </w:rPr>
        <w:t xml:space="preserve"> корабн</w:t>
      </w:r>
      <w:r w:rsidR="00D91796" w:rsidRPr="004224F6">
        <w:rPr>
          <w:rFonts w:ascii="Times New Roman" w:hAnsi="Times New Roman" w:cs="Times New Roman"/>
          <w:lang w:val="ru-RU"/>
        </w:rPr>
        <w:t>а</w:t>
      </w:r>
      <w:r w:rsidR="0046528F" w:rsidRPr="004224F6">
        <w:rPr>
          <w:rFonts w:ascii="Times New Roman" w:hAnsi="Times New Roman" w:cs="Times New Roman"/>
          <w:lang w:val="ru-RU"/>
        </w:rPr>
        <w:t>та</w:t>
      </w:r>
      <w:r w:rsidRPr="004224F6">
        <w:rPr>
          <w:rFonts w:ascii="Times New Roman" w:hAnsi="Times New Roman" w:cs="Times New Roman"/>
          <w:lang w:val="ru-RU"/>
        </w:rPr>
        <w:t xml:space="preserve"> обшивка. </w:t>
      </w:r>
    </w:p>
    <w:p w14:paraId="03D1A479" w14:textId="77777777" w:rsidR="00271FA2" w:rsidRPr="004224F6" w:rsidRDefault="00D35E51">
      <w:pPr>
        <w:spacing w:line="240" w:lineRule="atLeast"/>
        <w:ind w:left="567" w:hanging="567"/>
        <w:jc w:val="both"/>
        <w:rPr>
          <w:rFonts w:ascii="Times New Roman" w:eastAsia="Batang" w:hAnsi="Times New Roman" w:cs="Times New Roman"/>
          <w:b/>
          <w:bCs/>
          <w:lang w:val="ru-RU"/>
        </w:rPr>
      </w:pPr>
      <w:r w:rsidRPr="004224F6">
        <w:rPr>
          <w:rFonts w:ascii="Times New Roman" w:hAnsi="Times New Roman" w:cs="Times New Roman"/>
          <w:b/>
          <w:lang w:val="ru-RU"/>
        </w:rPr>
        <w:t>2.</w:t>
      </w:r>
      <w:r w:rsidRPr="004224F6">
        <w:rPr>
          <w:rFonts w:ascii="Times New Roman" w:hAnsi="Times New Roman" w:cs="Times New Roman"/>
          <w:lang w:val="ru-RU"/>
        </w:rPr>
        <w:tab/>
      </w:r>
      <w:r w:rsidRPr="004224F6">
        <w:rPr>
          <w:rFonts w:ascii="Times New Roman" w:hAnsi="Times New Roman" w:cs="Times New Roman"/>
          <w:b/>
          <w:lang w:val="ru-RU"/>
        </w:rPr>
        <w:t>Основни положения</w:t>
      </w:r>
    </w:p>
    <w:p w14:paraId="1C9F6936" w14:textId="5D10F8AA" w:rsidR="00271FA2" w:rsidRPr="004224F6" w:rsidRDefault="00D35E51">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Съществуват два различни вида </w:t>
      </w:r>
      <w:r w:rsidR="0046528F" w:rsidRPr="004224F6">
        <w:rPr>
          <w:rFonts w:ascii="Times New Roman" w:hAnsi="Times New Roman" w:cs="Times New Roman"/>
          <w:lang w:val="ru-RU"/>
        </w:rPr>
        <w:t xml:space="preserve">дублиращи </w:t>
      </w:r>
      <w:r w:rsidRPr="004224F6">
        <w:rPr>
          <w:rFonts w:ascii="Times New Roman" w:hAnsi="Times New Roman" w:cs="Times New Roman"/>
          <w:lang w:val="ru-RU"/>
        </w:rPr>
        <w:t xml:space="preserve">листове </w:t>
      </w:r>
      <w:r w:rsidR="0046528F" w:rsidRPr="004224F6">
        <w:rPr>
          <w:rFonts w:ascii="Times New Roman" w:hAnsi="Times New Roman" w:cs="Times New Roman"/>
          <w:lang w:val="ru-RU"/>
        </w:rPr>
        <w:t xml:space="preserve">на </w:t>
      </w:r>
      <w:r w:rsidRPr="004224F6">
        <w:rPr>
          <w:rFonts w:ascii="Times New Roman" w:hAnsi="Times New Roman" w:cs="Times New Roman"/>
          <w:lang w:val="ru-RU"/>
        </w:rPr>
        <w:t>корабна обшивка:</w:t>
      </w:r>
    </w:p>
    <w:p w14:paraId="2A9404E2" w14:textId="4925E5C1" w:rsidR="00271FA2" w:rsidRPr="004224F6" w:rsidRDefault="00D35E51">
      <w:pPr>
        <w:spacing w:line="240" w:lineRule="atLeast"/>
        <w:ind w:left="993" w:hanging="426"/>
        <w:jc w:val="both"/>
        <w:rPr>
          <w:rFonts w:ascii="Times New Roman" w:eastAsia="Batang" w:hAnsi="Times New Roman" w:cs="Times New Roman"/>
          <w:lang w:val="ru-RU"/>
        </w:rPr>
      </w:pPr>
      <w:r w:rsidRPr="004224F6">
        <w:rPr>
          <w:rFonts w:ascii="Times New Roman" w:hAnsi="Times New Roman" w:cs="Times New Roman"/>
          <w:lang w:val="ru-RU"/>
        </w:rPr>
        <w:t>1.</w:t>
      </w:r>
      <w:r w:rsidRPr="004224F6">
        <w:rPr>
          <w:rFonts w:ascii="Times New Roman" w:hAnsi="Times New Roman" w:cs="Times New Roman"/>
          <w:lang w:val="ru-RU"/>
        </w:rPr>
        <w:tab/>
      </w:r>
      <w:r w:rsidR="0046528F" w:rsidRPr="004224F6">
        <w:rPr>
          <w:rFonts w:ascii="Times New Roman" w:hAnsi="Times New Roman" w:cs="Times New Roman"/>
          <w:lang w:val="ru-RU"/>
        </w:rPr>
        <w:t>Дублиращи л</w:t>
      </w:r>
      <w:r w:rsidRPr="004224F6">
        <w:rPr>
          <w:rFonts w:ascii="Times New Roman" w:hAnsi="Times New Roman" w:cs="Times New Roman"/>
          <w:lang w:val="ru-RU"/>
        </w:rPr>
        <w:t xml:space="preserve">истове </w:t>
      </w:r>
      <w:r w:rsidR="0046528F" w:rsidRPr="004224F6">
        <w:rPr>
          <w:rFonts w:ascii="Times New Roman" w:hAnsi="Times New Roman" w:cs="Times New Roman"/>
          <w:lang w:val="ru-RU"/>
        </w:rPr>
        <w:t xml:space="preserve"> на</w:t>
      </w:r>
      <w:r w:rsidRPr="004224F6">
        <w:rPr>
          <w:rFonts w:ascii="Times New Roman" w:hAnsi="Times New Roman" w:cs="Times New Roman"/>
          <w:lang w:val="ru-RU"/>
        </w:rPr>
        <w:t xml:space="preserve"> корабна обшивка, монтирани при изграждане на нови плавателни съдове или преустройство на плавателни съдове в съответствие с добрата корабостроителна практика.</w:t>
      </w:r>
    </w:p>
    <w:p w14:paraId="0B8C1880" w14:textId="71AFB1D3" w:rsidR="00271FA2" w:rsidRPr="004224F6" w:rsidRDefault="00D35E51">
      <w:pPr>
        <w:spacing w:line="240" w:lineRule="atLeast"/>
        <w:ind w:left="993" w:hanging="426"/>
        <w:jc w:val="both"/>
        <w:rPr>
          <w:rFonts w:ascii="Times New Roman" w:eastAsia="Batang" w:hAnsi="Times New Roman" w:cs="Times New Roman"/>
          <w:lang w:val="ru-RU"/>
        </w:rPr>
      </w:pPr>
      <w:r w:rsidRPr="004224F6">
        <w:rPr>
          <w:rFonts w:ascii="Times New Roman" w:hAnsi="Times New Roman" w:cs="Times New Roman"/>
          <w:lang w:val="ru-RU"/>
        </w:rPr>
        <w:t>2.</w:t>
      </w:r>
      <w:r w:rsidRPr="004224F6">
        <w:rPr>
          <w:rFonts w:ascii="Times New Roman" w:hAnsi="Times New Roman" w:cs="Times New Roman"/>
          <w:lang w:val="ru-RU"/>
        </w:rPr>
        <w:tab/>
      </w:r>
      <w:r w:rsidR="003F521F" w:rsidRPr="004224F6">
        <w:rPr>
          <w:rFonts w:ascii="Times New Roman" w:hAnsi="Times New Roman" w:cs="Times New Roman"/>
          <w:lang w:val="ru-RU"/>
        </w:rPr>
        <w:t>Дублиращи л</w:t>
      </w:r>
      <w:r w:rsidRPr="004224F6">
        <w:rPr>
          <w:rFonts w:ascii="Times New Roman" w:hAnsi="Times New Roman" w:cs="Times New Roman"/>
          <w:lang w:val="ru-RU"/>
        </w:rPr>
        <w:t xml:space="preserve">истове </w:t>
      </w:r>
      <w:r w:rsidR="003F521F" w:rsidRPr="004224F6">
        <w:rPr>
          <w:rFonts w:ascii="Times New Roman" w:hAnsi="Times New Roman" w:cs="Times New Roman"/>
          <w:lang w:val="ru-RU"/>
        </w:rPr>
        <w:t xml:space="preserve"> на</w:t>
      </w:r>
      <w:r w:rsidRPr="004224F6">
        <w:rPr>
          <w:rFonts w:ascii="Times New Roman" w:hAnsi="Times New Roman" w:cs="Times New Roman"/>
          <w:lang w:val="ru-RU"/>
        </w:rPr>
        <w:t xml:space="preserve"> корабна обшивка, предназначени да забавят износването или за подновяване на обшивката на корпуса. Като цяло тези листове трябва да бъдат избягвани или следва да бъдат монтирани само в определени случаи.</w:t>
      </w:r>
    </w:p>
    <w:p w14:paraId="18949FC9" w14:textId="2136C527" w:rsidR="00271FA2" w:rsidRPr="004224F6" w:rsidRDefault="00D35E51">
      <w:pPr>
        <w:spacing w:line="240" w:lineRule="atLeast"/>
        <w:ind w:left="567" w:hanging="567"/>
        <w:jc w:val="both"/>
        <w:rPr>
          <w:rFonts w:ascii="Times New Roman" w:eastAsia="Batang" w:hAnsi="Times New Roman" w:cs="Times New Roman"/>
          <w:b/>
          <w:bCs/>
          <w:lang w:val="ru-RU"/>
        </w:rPr>
      </w:pPr>
      <w:r w:rsidRPr="004224F6">
        <w:rPr>
          <w:rFonts w:ascii="Times New Roman" w:hAnsi="Times New Roman" w:cs="Times New Roman"/>
          <w:b/>
          <w:lang w:val="ru-RU"/>
        </w:rPr>
        <w:t>3.</w:t>
      </w:r>
      <w:r w:rsidRPr="004224F6">
        <w:rPr>
          <w:rFonts w:ascii="Times New Roman" w:hAnsi="Times New Roman" w:cs="Times New Roman"/>
          <w:lang w:val="ru-RU"/>
        </w:rPr>
        <w:tab/>
      </w:r>
      <w:r w:rsidR="003F521F" w:rsidRPr="004224F6">
        <w:rPr>
          <w:rFonts w:ascii="Times New Roman" w:hAnsi="Times New Roman" w:cs="Times New Roman"/>
          <w:b/>
          <w:lang w:val="ru-RU"/>
        </w:rPr>
        <w:t>Дублиращи л</w:t>
      </w:r>
      <w:r w:rsidRPr="004224F6">
        <w:rPr>
          <w:rFonts w:ascii="Times New Roman" w:hAnsi="Times New Roman" w:cs="Times New Roman"/>
          <w:b/>
          <w:lang w:val="ru-RU"/>
        </w:rPr>
        <w:t xml:space="preserve">истове </w:t>
      </w:r>
      <w:r w:rsidR="00D218DC" w:rsidRPr="004224F6">
        <w:rPr>
          <w:rFonts w:ascii="Times New Roman" w:hAnsi="Times New Roman" w:cs="Times New Roman"/>
          <w:b/>
          <w:lang w:val="ru-RU"/>
        </w:rPr>
        <w:t xml:space="preserve"> на</w:t>
      </w:r>
      <w:r w:rsidRPr="004224F6">
        <w:rPr>
          <w:rFonts w:ascii="Times New Roman" w:hAnsi="Times New Roman" w:cs="Times New Roman"/>
          <w:b/>
          <w:lang w:val="ru-RU"/>
        </w:rPr>
        <w:t xml:space="preserve"> корабна обшивка, монтирани при изграждане на нови плавателни съдове или преустройство на плавателни съдове</w:t>
      </w:r>
    </w:p>
    <w:p w14:paraId="18C2A379" w14:textId="3309542E" w:rsidR="00271FA2" w:rsidRPr="004224F6" w:rsidRDefault="00D35E51">
      <w:pPr>
        <w:spacing w:line="240" w:lineRule="atLeast"/>
        <w:ind w:left="567" w:hanging="567"/>
        <w:jc w:val="both"/>
        <w:rPr>
          <w:rFonts w:ascii="Times New Roman" w:eastAsia="Batang" w:hAnsi="Times New Roman" w:cs="Times New Roman"/>
          <w:b/>
          <w:bCs/>
          <w:lang w:val="ru-RU"/>
        </w:rPr>
      </w:pPr>
      <w:r w:rsidRPr="004224F6">
        <w:rPr>
          <w:rFonts w:ascii="Times New Roman" w:hAnsi="Times New Roman" w:cs="Times New Roman"/>
          <w:b/>
          <w:lang w:val="ru-RU"/>
        </w:rPr>
        <w:t>3.1</w:t>
      </w:r>
      <w:r w:rsidRPr="004224F6">
        <w:rPr>
          <w:rFonts w:ascii="Times New Roman" w:hAnsi="Times New Roman" w:cs="Times New Roman"/>
          <w:lang w:val="ru-RU"/>
        </w:rPr>
        <w:tab/>
      </w:r>
      <w:r w:rsidR="00D218DC" w:rsidRPr="004224F6">
        <w:rPr>
          <w:rFonts w:ascii="Times New Roman" w:hAnsi="Times New Roman" w:cs="Times New Roman"/>
          <w:b/>
          <w:lang w:val="ru-RU"/>
        </w:rPr>
        <w:t>Дублиращи</w:t>
      </w:r>
      <w:r w:rsidR="00D218DC" w:rsidRPr="004224F6">
        <w:rPr>
          <w:rFonts w:ascii="Times New Roman" w:hAnsi="Times New Roman" w:cs="Times New Roman"/>
          <w:lang w:val="ru-RU"/>
        </w:rPr>
        <w:t xml:space="preserve"> </w:t>
      </w:r>
      <w:r w:rsidR="00D218DC" w:rsidRPr="004224F6">
        <w:rPr>
          <w:rFonts w:ascii="Times New Roman" w:hAnsi="Times New Roman" w:cs="Times New Roman"/>
          <w:b/>
          <w:lang w:val="ru-RU"/>
        </w:rPr>
        <w:t>л</w:t>
      </w:r>
      <w:r w:rsidRPr="004224F6">
        <w:rPr>
          <w:rFonts w:ascii="Times New Roman" w:hAnsi="Times New Roman" w:cs="Times New Roman"/>
          <w:b/>
          <w:lang w:val="ru-RU"/>
        </w:rPr>
        <w:t xml:space="preserve">истове </w:t>
      </w:r>
      <w:r w:rsidR="00D218DC" w:rsidRPr="004224F6">
        <w:rPr>
          <w:rFonts w:ascii="Times New Roman" w:hAnsi="Times New Roman" w:cs="Times New Roman"/>
          <w:b/>
          <w:lang w:val="ru-RU"/>
        </w:rPr>
        <w:t xml:space="preserve"> на</w:t>
      </w:r>
      <w:r w:rsidRPr="004224F6">
        <w:rPr>
          <w:rFonts w:ascii="Times New Roman" w:hAnsi="Times New Roman" w:cs="Times New Roman"/>
          <w:b/>
          <w:lang w:val="ru-RU"/>
        </w:rPr>
        <w:t xml:space="preserve"> корабна обшивка, монтирани при изграждане на нови плавателни съдове</w:t>
      </w:r>
    </w:p>
    <w:p w14:paraId="7E0612B0" w14:textId="07EF3178" w:rsidR="00271FA2" w:rsidRPr="004224F6" w:rsidRDefault="00D35E51">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Монтираните при изграждането на нови плавателни съдове </w:t>
      </w:r>
      <w:r w:rsidR="00D218DC" w:rsidRPr="004224F6">
        <w:rPr>
          <w:rFonts w:ascii="Times New Roman" w:hAnsi="Times New Roman" w:cs="Times New Roman"/>
          <w:lang w:val="ru-RU"/>
        </w:rPr>
        <w:t xml:space="preserve">дублиращи  </w:t>
      </w:r>
      <w:r w:rsidRPr="004224F6">
        <w:rPr>
          <w:rFonts w:ascii="Times New Roman" w:hAnsi="Times New Roman" w:cs="Times New Roman"/>
          <w:lang w:val="ru-RU"/>
        </w:rPr>
        <w:t>листове са главно на следните места:</w:t>
      </w:r>
    </w:p>
    <w:p w14:paraId="4A07D532" w14:textId="77777777" w:rsidR="00271FA2" w:rsidRPr="004224F6" w:rsidRDefault="00D35E51" w:rsidP="00BB0D80">
      <w:pPr>
        <w:numPr>
          <w:ilvl w:val="0"/>
          <w:numId w:val="48"/>
        </w:num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укрепване на листове около входовете и отворите на корпуса и обшивката на палубата (люкове, канали за тръбите, шпигати, и др.);</w:t>
      </w:r>
    </w:p>
    <w:p w14:paraId="298ACCF0"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б) листове на ъглите на големи люкове;</w:t>
      </w:r>
    </w:p>
    <w:p w14:paraId="4CE4CAA2" w14:textId="664E9782"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в) надлъжни ивици от листове на равнището на ивицата на </w:t>
      </w:r>
      <w:r w:rsidR="00DF7959" w:rsidRPr="004224F6">
        <w:rPr>
          <w:rFonts w:ascii="Times New Roman" w:hAnsi="Times New Roman" w:cs="Times New Roman"/>
          <w:lang w:val="ru-RU"/>
        </w:rPr>
        <w:t xml:space="preserve"> седловатостта</w:t>
      </w:r>
      <w:r w:rsidRPr="004224F6">
        <w:rPr>
          <w:rFonts w:ascii="Times New Roman" w:hAnsi="Times New Roman" w:cs="Times New Roman"/>
          <w:lang w:val="ru-RU"/>
        </w:rPr>
        <w:t>;</w:t>
      </w:r>
    </w:p>
    <w:p w14:paraId="003E9294"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г) ивици от листове за защита от абразивно износване на обшивката на корпуса (на носа и на кърмата и евентуално на скуловите листове и бордовата обшивка на известна височина над дъното);</w:t>
      </w:r>
    </w:p>
    <w:p w14:paraId="7B89F68D"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д) укрепване на листове при определени точки от конструкцията съгласно специално оборудване (например: котвени брашпили, помпи, мачти, кранове, лебедки, котви и др.).</w:t>
      </w:r>
    </w:p>
    <w:p w14:paraId="76C487AA" w14:textId="47536E8D" w:rsidR="00271FA2" w:rsidRPr="004224F6" w:rsidRDefault="00D35E51">
      <w:pPr>
        <w:spacing w:line="240" w:lineRule="atLeast"/>
        <w:ind w:left="567" w:hanging="567"/>
        <w:jc w:val="both"/>
        <w:rPr>
          <w:rFonts w:ascii="Times New Roman" w:eastAsia="Batang" w:hAnsi="Times New Roman" w:cs="Times New Roman"/>
          <w:b/>
          <w:lang w:val="ru-RU"/>
        </w:rPr>
      </w:pPr>
      <w:r w:rsidRPr="004224F6">
        <w:rPr>
          <w:rFonts w:ascii="Times New Roman" w:hAnsi="Times New Roman" w:cs="Times New Roman"/>
          <w:b/>
          <w:lang w:val="ru-RU"/>
        </w:rPr>
        <w:t>3.2</w:t>
      </w:r>
      <w:r w:rsidRPr="004224F6">
        <w:rPr>
          <w:rFonts w:ascii="Times New Roman" w:hAnsi="Times New Roman" w:cs="Times New Roman"/>
          <w:lang w:val="ru-RU"/>
        </w:rPr>
        <w:tab/>
      </w:r>
      <w:r w:rsidR="00DF7959" w:rsidRPr="004224F6">
        <w:rPr>
          <w:rFonts w:ascii="Times New Roman" w:hAnsi="Times New Roman" w:cs="Times New Roman"/>
          <w:b/>
          <w:lang w:val="ru-RU"/>
        </w:rPr>
        <w:t>Дублиращи</w:t>
      </w:r>
      <w:r w:rsidR="00DF7959" w:rsidRPr="004224F6">
        <w:rPr>
          <w:rFonts w:ascii="Times New Roman" w:hAnsi="Times New Roman" w:cs="Times New Roman"/>
          <w:lang w:val="ru-RU"/>
        </w:rPr>
        <w:t xml:space="preserve"> </w:t>
      </w:r>
      <w:r w:rsidR="00DF7959" w:rsidRPr="004224F6">
        <w:rPr>
          <w:rFonts w:ascii="Times New Roman" w:hAnsi="Times New Roman" w:cs="Times New Roman"/>
          <w:b/>
          <w:lang w:val="ru-RU"/>
        </w:rPr>
        <w:t>л</w:t>
      </w:r>
      <w:r w:rsidRPr="004224F6">
        <w:rPr>
          <w:rFonts w:ascii="Times New Roman" w:hAnsi="Times New Roman" w:cs="Times New Roman"/>
          <w:b/>
          <w:lang w:val="ru-RU"/>
        </w:rPr>
        <w:t xml:space="preserve">истове </w:t>
      </w:r>
      <w:r w:rsidR="00DF7959" w:rsidRPr="004224F6">
        <w:rPr>
          <w:rFonts w:ascii="Times New Roman" w:hAnsi="Times New Roman" w:cs="Times New Roman"/>
          <w:b/>
          <w:lang w:val="ru-RU"/>
        </w:rPr>
        <w:t>на</w:t>
      </w:r>
      <w:r w:rsidRPr="004224F6">
        <w:rPr>
          <w:rFonts w:ascii="Times New Roman" w:hAnsi="Times New Roman" w:cs="Times New Roman"/>
          <w:b/>
          <w:lang w:val="ru-RU"/>
        </w:rPr>
        <w:t xml:space="preserve"> </w:t>
      </w:r>
      <w:r w:rsidR="00140F3C" w:rsidRPr="004224F6">
        <w:rPr>
          <w:rFonts w:ascii="Times New Roman" w:hAnsi="Times New Roman" w:cs="Times New Roman"/>
          <w:b/>
          <w:lang w:val="ru-RU"/>
        </w:rPr>
        <w:t xml:space="preserve">на </w:t>
      </w:r>
      <w:r w:rsidRPr="004224F6">
        <w:rPr>
          <w:rFonts w:ascii="Times New Roman" w:hAnsi="Times New Roman" w:cs="Times New Roman"/>
          <w:b/>
          <w:lang w:val="ru-RU"/>
        </w:rPr>
        <w:t>корабна обшивка, монтирани като част от преустройството</w:t>
      </w:r>
    </w:p>
    <w:p w14:paraId="6C958A81" w14:textId="1759301B" w:rsidR="00271FA2" w:rsidRPr="004224F6" w:rsidRDefault="00D35E51">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Ако тези </w:t>
      </w:r>
      <w:r w:rsidR="00DF7959" w:rsidRPr="004224F6">
        <w:rPr>
          <w:rFonts w:ascii="Times New Roman" w:hAnsi="Times New Roman" w:cs="Times New Roman"/>
          <w:lang w:val="ru-RU"/>
        </w:rPr>
        <w:t xml:space="preserve">дублиращи </w:t>
      </w:r>
      <w:r w:rsidRPr="004224F6">
        <w:rPr>
          <w:rFonts w:ascii="Times New Roman" w:hAnsi="Times New Roman" w:cs="Times New Roman"/>
          <w:lang w:val="ru-RU"/>
        </w:rPr>
        <w:t>листове се монтират като част от преустройството, те могат да бъдат монтирани само върху листове, които все още не са достигнали минималната дебелина след преобразуването и имат оставащ корозионен толеранс от най-малко 0,7</w:t>
      </w:r>
      <w:r w:rsidRPr="004224F6">
        <w:rPr>
          <w:rFonts w:ascii="Times New Roman" w:hAnsi="Times New Roman" w:cs="Times New Roman"/>
        </w:rPr>
        <w:t> mm</w:t>
      </w:r>
      <w:r w:rsidRPr="004224F6">
        <w:rPr>
          <w:rFonts w:ascii="Times New Roman" w:hAnsi="Times New Roman" w:cs="Times New Roman"/>
          <w:lang w:val="ru-RU"/>
        </w:rPr>
        <w:t>. В противен случай листовете</w:t>
      </w:r>
      <w:r w:rsidR="001B2AD7" w:rsidRPr="004224F6">
        <w:rPr>
          <w:rFonts w:ascii="Times New Roman" w:hAnsi="Times New Roman" w:cs="Times New Roman"/>
          <w:lang w:val="ru-RU"/>
        </w:rPr>
        <w:t xml:space="preserve"> от корабната общивка </w:t>
      </w:r>
      <w:r w:rsidRPr="004224F6">
        <w:rPr>
          <w:rFonts w:ascii="Times New Roman" w:hAnsi="Times New Roman" w:cs="Times New Roman"/>
          <w:lang w:val="ru-RU"/>
        </w:rPr>
        <w:t xml:space="preserve">, </w:t>
      </w:r>
      <w:r w:rsidR="001B2AD7" w:rsidRPr="004224F6">
        <w:rPr>
          <w:rFonts w:ascii="Times New Roman" w:hAnsi="Times New Roman" w:cs="Times New Roman"/>
          <w:lang w:val="ru-RU"/>
        </w:rPr>
        <w:t>върху които се  монтират</w:t>
      </w:r>
      <w:r w:rsidRPr="004224F6">
        <w:rPr>
          <w:rFonts w:ascii="Times New Roman" w:hAnsi="Times New Roman" w:cs="Times New Roman"/>
          <w:lang w:val="ru-RU"/>
        </w:rPr>
        <w:t xml:space="preserve"> </w:t>
      </w:r>
      <w:r w:rsidR="001B2AD7" w:rsidRPr="004224F6">
        <w:rPr>
          <w:rFonts w:ascii="Times New Roman" w:hAnsi="Times New Roman" w:cs="Times New Roman"/>
          <w:lang w:val="ru-RU"/>
        </w:rPr>
        <w:t xml:space="preserve">дублиращите </w:t>
      </w:r>
      <w:r w:rsidRPr="004224F6">
        <w:rPr>
          <w:rFonts w:ascii="Times New Roman" w:hAnsi="Times New Roman" w:cs="Times New Roman"/>
          <w:lang w:val="ru-RU"/>
        </w:rPr>
        <w:t>листове, трябва да бъдат подновени предварително.</w:t>
      </w:r>
    </w:p>
    <w:p w14:paraId="3FEF598B" w14:textId="77777777" w:rsidR="00271FA2" w:rsidRPr="004224F6" w:rsidRDefault="00D35E51">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По-специално, ивиците от листове за подсилване на надлъжната греда на корпуса на плавателния съд в случай на удължаване трябва да се простират най-малко по дължината на товарното отделение, освен ако е налице обосновка, подкрепена от изчисление.</w:t>
      </w:r>
    </w:p>
    <w:p w14:paraId="5C4B0BE0" w14:textId="69FDD530" w:rsidR="00271FA2" w:rsidRPr="004224F6" w:rsidRDefault="00D35E51">
      <w:pPr>
        <w:spacing w:line="240" w:lineRule="atLeast"/>
        <w:ind w:left="567" w:hanging="567"/>
        <w:jc w:val="both"/>
        <w:rPr>
          <w:rFonts w:ascii="Times New Roman" w:eastAsia="Batang" w:hAnsi="Times New Roman" w:cs="Times New Roman"/>
          <w:b/>
          <w:lang w:val="ru-RU"/>
        </w:rPr>
      </w:pPr>
      <w:r w:rsidRPr="004224F6">
        <w:rPr>
          <w:rFonts w:ascii="Times New Roman" w:hAnsi="Times New Roman" w:cs="Times New Roman"/>
          <w:b/>
          <w:lang w:val="ru-RU"/>
        </w:rPr>
        <w:t>4.</w:t>
      </w:r>
      <w:r w:rsidRPr="004224F6">
        <w:rPr>
          <w:rFonts w:ascii="Times New Roman" w:hAnsi="Times New Roman" w:cs="Times New Roman"/>
          <w:lang w:val="ru-RU"/>
        </w:rPr>
        <w:tab/>
      </w:r>
      <w:r w:rsidR="001B2AD7" w:rsidRPr="004224F6">
        <w:rPr>
          <w:rFonts w:ascii="Times New Roman" w:hAnsi="Times New Roman" w:cs="Times New Roman"/>
          <w:b/>
          <w:lang w:val="ru-RU"/>
        </w:rPr>
        <w:t>Дублиращи</w:t>
      </w:r>
      <w:r w:rsidR="001B2AD7" w:rsidRPr="004224F6">
        <w:rPr>
          <w:rFonts w:ascii="Times New Roman" w:hAnsi="Times New Roman" w:cs="Times New Roman"/>
          <w:lang w:val="ru-RU"/>
        </w:rPr>
        <w:t xml:space="preserve"> </w:t>
      </w:r>
      <w:r w:rsidR="001B2AD7" w:rsidRPr="004224F6">
        <w:rPr>
          <w:rFonts w:ascii="Times New Roman" w:hAnsi="Times New Roman" w:cs="Times New Roman"/>
          <w:b/>
          <w:lang w:val="ru-RU"/>
        </w:rPr>
        <w:t>л</w:t>
      </w:r>
      <w:r w:rsidRPr="004224F6">
        <w:rPr>
          <w:rFonts w:ascii="Times New Roman" w:hAnsi="Times New Roman" w:cs="Times New Roman"/>
          <w:b/>
          <w:lang w:val="ru-RU"/>
        </w:rPr>
        <w:t xml:space="preserve">истове </w:t>
      </w:r>
      <w:r w:rsidR="001B2AD7" w:rsidRPr="004224F6">
        <w:rPr>
          <w:rFonts w:ascii="Times New Roman" w:hAnsi="Times New Roman" w:cs="Times New Roman"/>
          <w:b/>
          <w:lang w:val="ru-RU"/>
        </w:rPr>
        <w:t>на</w:t>
      </w:r>
      <w:r w:rsidRPr="004224F6">
        <w:rPr>
          <w:rFonts w:ascii="Times New Roman" w:hAnsi="Times New Roman" w:cs="Times New Roman"/>
          <w:b/>
          <w:lang w:val="ru-RU"/>
        </w:rPr>
        <w:t xml:space="preserve"> корабна обшивка, предназначени да забавят износването или за подновяване на обшивката на корпуса</w:t>
      </w:r>
    </w:p>
    <w:p w14:paraId="46137D2C" w14:textId="49E89231" w:rsidR="00271FA2" w:rsidRPr="004224F6" w:rsidRDefault="00D35E51">
      <w:pPr>
        <w:spacing w:line="240" w:lineRule="atLeast"/>
        <w:ind w:left="567" w:hanging="567"/>
        <w:jc w:val="both"/>
        <w:rPr>
          <w:rFonts w:ascii="Times New Roman" w:eastAsia="Batang" w:hAnsi="Times New Roman" w:cs="Times New Roman"/>
          <w:b/>
          <w:bCs/>
          <w:lang w:val="ru-RU"/>
        </w:rPr>
      </w:pPr>
      <w:r w:rsidRPr="004224F6">
        <w:rPr>
          <w:rFonts w:ascii="Times New Roman" w:hAnsi="Times New Roman" w:cs="Times New Roman"/>
          <w:b/>
          <w:lang w:val="ru-RU"/>
        </w:rPr>
        <w:t>4.1</w:t>
      </w:r>
      <w:r w:rsidRPr="004224F6">
        <w:rPr>
          <w:rFonts w:ascii="Times New Roman" w:hAnsi="Times New Roman" w:cs="Times New Roman"/>
          <w:lang w:val="ru-RU"/>
        </w:rPr>
        <w:tab/>
      </w:r>
      <w:r w:rsidRPr="004224F6">
        <w:rPr>
          <w:rFonts w:ascii="Times New Roman" w:hAnsi="Times New Roman" w:cs="Times New Roman"/>
          <w:b/>
          <w:lang w:val="ru-RU"/>
        </w:rPr>
        <w:t xml:space="preserve">Места, където монтирането на </w:t>
      </w:r>
      <w:r w:rsidR="001B2AD7" w:rsidRPr="004224F6">
        <w:rPr>
          <w:rFonts w:ascii="Times New Roman" w:hAnsi="Times New Roman" w:cs="Times New Roman"/>
          <w:b/>
          <w:lang w:val="ru-RU"/>
        </w:rPr>
        <w:t xml:space="preserve">дублиращи </w:t>
      </w:r>
      <w:r w:rsidRPr="004224F6">
        <w:rPr>
          <w:rFonts w:ascii="Times New Roman" w:hAnsi="Times New Roman" w:cs="Times New Roman"/>
          <w:b/>
          <w:lang w:val="ru-RU"/>
        </w:rPr>
        <w:t xml:space="preserve">листове </w:t>
      </w:r>
      <w:r w:rsidR="001B2AD7" w:rsidRPr="004224F6">
        <w:rPr>
          <w:rFonts w:ascii="Times New Roman" w:hAnsi="Times New Roman" w:cs="Times New Roman"/>
          <w:b/>
          <w:lang w:val="ru-RU"/>
        </w:rPr>
        <w:t xml:space="preserve"> на</w:t>
      </w:r>
      <w:r w:rsidRPr="004224F6">
        <w:rPr>
          <w:rFonts w:ascii="Times New Roman" w:hAnsi="Times New Roman" w:cs="Times New Roman"/>
          <w:b/>
          <w:lang w:val="ru-RU"/>
        </w:rPr>
        <w:t xml:space="preserve"> обшивка е разрешено</w:t>
      </w:r>
    </w:p>
    <w:p w14:paraId="74B5D0EE" w14:textId="77777777" w:rsidR="00271FA2" w:rsidRPr="004224F6" w:rsidRDefault="00D35E51">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Тези листове </w:t>
      </w:r>
      <w:r w:rsidRPr="004224F6">
        <w:rPr>
          <w:rFonts w:ascii="Times New Roman" w:hAnsi="Times New Roman" w:cs="Times New Roman"/>
          <w:b/>
          <w:lang w:val="ru-RU"/>
        </w:rPr>
        <w:t>могат да бъдат монтирани</w:t>
      </w:r>
      <w:r w:rsidRPr="004224F6">
        <w:rPr>
          <w:rFonts w:ascii="Times New Roman" w:hAnsi="Times New Roman" w:cs="Times New Roman"/>
          <w:lang w:val="ru-RU"/>
        </w:rPr>
        <w:t xml:space="preserve"> на следните места:</w:t>
      </w:r>
    </w:p>
    <w:p w14:paraId="7E1D3364" w14:textId="77777777" w:rsidR="00271FA2" w:rsidRPr="004224F6" w:rsidRDefault="00D35E51" w:rsidP="00BB0D80">
      <w:pPr>
        <w:numPr>
          <w:ilvl w:val="0"/>
          <w:numId w:val="49"/>
        </w:num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lastRenderedPageBreak/>
        <w:t>в случай на щети (временен ремонт — валидност съгласно удостоверението);</w:t>
      </w:r>
    </w:p>
    <w:p w14:paraId="41498A20"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б) в случай на корозионно загниване, евентуално с перфорации, като не засягат структурната якост (т.е.:</w:t>
      </w:r>
      <w:r w:rsidRPr="004224F6">
        <w:rPr>
          <w:rFonts w:ascii="Times New Roman" w:hAnsi="Times New Roman" w:cs="Times New Roman"/>
        </w:rPr>
        <w:t> </w:t>
      </w:r>
      <w:r w:rsidRPr="004224F6">
        <w:rPr>
          <w:rFonts w:ascii="Times New Roman" w:hAnsi="Times New Roman" w:cs="Times New Roman"/>
          <w:lang w:val="ru-RU"/>
        </w:rPr>
        <w:t>под машинното отделение, по пътя на ивицата на вятъра/водата), с изключение на дънните и скуловите листове в товарните зони;</w:t>
      </w:r>
    </w:p>
    <w:p w14:paraId="3D44BEC6"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в) в случай на повърхности, изложени на абразивно износване, за спирането на износването на листовете на корпуса (могат да бъдат монтирани само върху листове, които все още не са достигнали минималната дебелина);</w:t>
      </w:r>
    </w:p>
    <w:p w14:paraId="115780E8" w14:textId="7A3D3006"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г) върху скуловата обшивка,</w:t>
      </w:r>
      <w:r w:rsidR="00CE62F2" w:rsidRPr="004224F6">
        <w:rPr>
          <w:rFonts w:ascii="Times New Roman" w:hAnsi="Times New Roman" w:cs="Times New Roman"/>
          <w:lang w:val="ru-RU"/>
        </w:rPr>
        <w:t xml:space="preserve"> дублиращите </w:t>
      </w:r>
      <w:r w:rsidRPr="004224F6">
        <w:rPr>
          <w:rFonts w:ascii="Times New Roman" w:hAnsi="Times New Roman" w:cs="Times New Roman"/>
          <w:lang w:val="ru-RU"/>
        </w:rPr>
        <w:t xml:space="preserve"> листоветрябва да бъдат за предпочитане с дължина поне 70</w:t>
      </w:r>
      <w:r w:rsidRPr="004224F6">
        <w:rPr>
          <w:rFonts w:ascii="Times New Roman" w:hAnsi="Times New Roman" w:cs="Times New Roman"/>
        </w:rPr>
        <w:t> </w:t>
      </w:r>
      <w:r w:rsidRPr="004224F6">
        <w:rPr>
          <w:rFonts w:ascii="Times New Roman" w:hAnsi="Times New Roman" w:cs="Times New Roman"/>
          <w:lang w:val="ru-RU"/>
        </w:rPr>
        <w:t xml:space="preserve">% от дължината на плавателния съд. В противен случай листовете от допълнителната корабна обшивка трябва да имат минимална дължина и минимално разстояние помежду им не по-малко от (2,5 + </w:t>
      </w:r>
      <w:r w:rsidRPr="004224F6">
        <w:rPr>
          <w:rFonts w:ascii="Times New Roman" w:hAnsi="Times New Roman" w:cs="Times New Roman"/>
        </w:rPr>
        <w:t>L</w:t>
      </w:r>
      <w:r w:rsidRPr="004224F6">
        <w:rPr>
          <w:rFonts w:ascii="Times New Roman" w:hAnsi="Times New Roman" w:cs="Times New Roman"/>
          <w:lang w:val="ru-RU"/>
        </w:rPr>
        <w:t xml:space="preserve">/40) </w:t>
      </w:r>
      <w:r w:rsidRPr="004224F6">
        <w:rPr>
          <w:rFonts w:ascii="Times New Roman" w:hAnsi="Times New Roman" w:cs="Times New Roman"/>
        </w:rPr>
        <w:t>m</w:t>
      </w:r>
      <w:r w:rsidRPr="004224F6">
        <w:rPr>
          <w:rFonts w:ascii="Times New Roman" w:hAnsi="Times New Roman" w:cs="Times New Roman"/>
          <w:lang w:val="ru-RU"/>
        </w:rPr>
        <w:t xml:space="preserve"> или да имат дължина поне три пъти разстоянието между дънните ребра за плавателни съдове, като </w:t>
      </w:r>
      <w:r w:rsidRPr="004224F6">
        <w:rPr>
          <w:rFonts w:ascii="Times New Roman" w:hAnsi="Times New Roman" w:cs="Times New Roman"/>
        </w:rPr>
        <w:t>L</w:t>
      </w:r>
      <w:r w:rsidRPr="004224F6">
        <w:rPr>
          <w:rFonts w:ascii="Times New Roman" w:hAnsi="Times New Roman" w:cs="Times New Roman"/>
          <w:lang w:val="ru-RU"/>
        </w:rPr>
        <w:t xml:space="preserve"> е не повече от 45 </w:t>
      </w:r>
      <w:r w:rsidRPr="004224F6">
        <w:rPr>
          <w:rFonts w:ascii="Times New Roman" w:hAnsi="Times New Roman" w:cs="Times New Roman"/>
        </w:rPr>
        <w:t>m</w:t>
      </w:r>
      <w:r w:rsidRPr="004224F6">
        <w:rPr>
          <w:rFonts w:ascii="Times New Roman" w:hAnsi="Times New Roman" w:cs="Times New Roman"/>
          <w:lang w:val="ru-RU"/>
        </w:rPr>
        <w:t>. Те следва да се простират най-малко по дължина два пъти разстоянието между дънните ребра пред и зад засегнатата зона;</w:t>
      </w:r>
    </w:p>
    <w:p w14:paraId="64F908FD"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д) върху нитовани шевове за осигуряване на водонепроницаемост;</w:t>
      </w:r>
    </w:p>
    <w:p w14:paraId="40DAC167"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е) пред и зад външната товарна зона на плавателния съд.</w:t>
      </w:r>
    </w:p>
    <w:p w14:paraId="233A710C" w14:textId="73AA57A9" w:rsidR="00271FA2" w:rsidRPr="004224F6" w:rsidRDefault="00D35E51">
      <w:pPr>
        <w:spacing w:line="240" w:lineRule="atLeast"/>
        <w:ind w:left="567" w:hanging="567"/>
        <w:jc w:val="both"/>
        <w:rPr>
          <w:rFonts w:ascii="Times New Roman" w:eastAsia="Batang" w:hAnsi="Times New Roman" w:cs="Times New Roman"/>
          <w:b/>
          <w:bCs/>
          <w:lang w:val="ru-RU"/>
        </w:rPr>
      </w:pPr>
      <w:r w:rsidRPr="004224F6">
        <w:rPr>
          <w:rFonts w:ascii="Times New Roman" w:hAnsi="Times New Roman" w:cs="Times New Roman"/>
          <w:b/>
          <w:lang w:val="ru-RU"/>
        </w:rPr>
        <w:t>4.2</w:t>
      </w:r>
      <w:r w:rsidRPr="004224F6">
        <w:rPr>
          <w:rFonts w:ascii="Times New Roman" w:hAnsi="Times New Roman" w:cs="Times New Roman"/>
          <w:lang w:val="ru-RU"/>
        </w:rPr>
        <w:tab/>
      </w:r>
      <w:r w:rsidRPr="004224F6">
        <w:rPr>
          <w:rFonts w:ascii="Times New Roman" w:hAnsi="Times New Roman" w:cs="Times New Roman"/>
          <w:b/>
          <w:lang w:val="ru-RU"/>
        </w:rPr>
        <w:t xml:space="preserve">Места, където монтирането на </w:t>
      </w:r>
      <w:r w:rsidR="00CE62F2" w:rsidRPr="004224F6">
        <w:rPr>
          <w:rFonts w:ascii="Times New Roman" w:hAnsi="Times New Roman" w:cs="Times New Roman"/>
          <w:b/>
          <w:lang w:val="ru-RU"/>
        </w:rPr>
        <w:t xml:space="preserve">дублиращи </w:t>
      </w:r>
      <w:r w:rsidRPr="004224F6">
        <w:rPr>
          <w:rFonts w:ascii="Times New Roman" w:hAnsi="Times New Roman" w:cs="Times New Roman"/>
          <w:b/>
          <w:lang w:val="ru-RU"/>
        </w:rPr>
        <w:t xml:space="preserve">листове </w:t>
      </w:r>
      <w:r w:rsidR="00CE62F2" w:rsidRPr="004224F6">
        <w:rPr>
          <w:rFonts w:ascii="Times New Roman" w:hAnsi="Times New Roman" w:cs="Times New Roman"/>
          <w:b/>
          <w:lang w:val="ru-RU"/>
        </w:rPr>
        <w:t>на</w:t>
      </w:r>
      <w:r w:rsidRPr="004224F6">
        <w:rPr>
          <w:rFonts w:ascii="Times New Roman" w:hAnsi="Times New Roman" w:cs="Times New Roman"/>
          <w:b/>
          <w:lang w:val="ru-RU"/>
        </w:rPr>
        <w:t xml:space="preserve"> </w:t>
      </w:r>
      <w:r w:rsidR="00765133" w:rsidRPr="004224F6">
        <w:rPr>
          <w:rFonts w:ascii="Times New Roman" w:hAnsi="Times New Roman" w:cs="Times New Roman"/>
          <w:b/>
          <w:lang w:val="ru-RU"/>
        </w:rPr>
        <w:t xml:space="preserve">на </w:t>
      </w:r>
      <w:r w:rsidRPr="004224F6">
        <w:rPr>
          <w:rFonts w:ascii="Times New Roman" w:hAnsi="Times New Roman" w:cs="Times New Roman"/>
          <w:b/>
          <w:lang w:val="ru-RU"/>
        </w:rPr>
        <w:t>корабна обшивка не е разрешено</w:t>
      </w:r>
    </w:p>
    <w:p w14:paraId="140FB107" w14:textId="77777777" w:rsidR="00271FA2" w:rsidRPr="004224F6" w:rsidRDefault="00D35E51">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Тези листове </w:t>
      </w:r>
      <w:r w:rsidRPr="004224F6">
        <w:rPr>
          <w:rFonts w:ascii="Times New Roman" w:hAnsi="Times New Roman" w:cs="Times New Roman"/>
          <w:b/>
          <w:lang w:val="ru-RU"/>
        </w:rPr>
        <w:t>не могат</w:t>
      </w:r>
      <w:r w:rsidRPr="004224F6">
        <w:rPr>
          <w:rFonts w:ascii="Times New Roman" w:hAnsi="Times New Roman" w:cs="Times New Roman"/>
          <w:lang w:val="ru-RU"/>
        </w:rPr>
        <w:t xml:space="preserve"> да бъдат монтирани на следните места:</w:t>
      </w:r>
    </w:p>
    <w:p w14:paraId="390720F3" w14:textId="77777777" w:rsidR="00271FA2" w:rsidRPr="004224F6" w:rsidRDefault="00D35E51" w:rsidP="00BB0D80">
      <w:pPr>
        <w:numPr>
          <w:ilvl w:val="0"/>
          <w:numId w:val="50"/>
        </w:num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върху листове, чиято дебелина е под минималната допустима дебелина;</w:t>
      </w:r>
    </w:p>
    <w:p w14:paraId="6187E816"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б) върху отвори на листове, дължащи се на корозия на елементите, които осигуряват водонепроницаемост на плавателния съд;</w:t>
      </w:r>
    </w:p>
    <w:p w14:paraId="35DF7DB8"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в) в обширни области в товарната зона;</w:t>
      </w:r>
    </w:p>
    <w:p w14:paraId="59E6BAA2"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г) за обхващане на напречните заваръчни шевове;</w:t>
      </w:r>
    </w:p>
    <w:p w14:paraId="0392BAF0"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д) на дъното между предната преграда на носовия трюм и след преградата на кърмовия трюм;</w:t>
      </w:r>
    </w:p>
    <w:p w14:paraId="2F1A33C0"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е) в товарната област на моторни танкери, наливни лихтери и наливни баржи за превоз на опасни товари в съответствие с Европейското споразумение за международен превоз на опасни товари по вътрешни водни пътища;</w:t>
      </w:r>
    </w:p>
    <w:p w14:paraId="1B4006D2"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ж) над бункери, съдържащи запалими продукти с изключение на зони с абразивно износване,</w:t>
      </w:r>
    </w:p>
    <w:p w14:paraId="0252775E"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з) върху листове или шевове, които показват деформация или умора;</w:t>
      </w:r>
    </w:p>
    <w:p w14:paraId="30B9F2CB" w14:textId="77777777" w:rsidR="00271FA2" w:rsidRPr="004224F6" w:rsidRDefault="00D35E51" w:rsidP="00BB0D80">
      <w:pPr>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и) върху съществуващи листове от допълнителна корабна обшивка.</w:t>
      </w:r>
    </w:p>
    <w:p w14:paraId="68A41E94" w14:textId="20B4FF70" w:rsidR="00271FA2" w:rsidRPr="004224F6" w:rsidRDefault="00D35E51">
      <w:pPr>
        <w:spacing w:line="240" w:lineRule="atLeast"/>
        <w:ind w:left="567" w:hanging="567"/>
        <w:jc w:val="both"/>
        <w:rPr>
          <w:rFonts w:ascii="Times New Roman" w:eastAsia="Batang" w:hAnsi="Times New Roman" w:cs="Times New Roman"/>
          <w:b/>
          <w:lang w:val="ru-RU"/>
        </w:rPr>
      </w:pPr>
      <w:r w:rsidRPr="004224F6">
        <w:rPr>
          <w:rFonts w:ascii="Times New Roman" w:hAnsi="Times New Roman" w:cs="Times New Roman"/>
          <w:b/>
          <w:lang w:val="ru-RU"/>
        </w:rPr>
        <w:t>5.</w:t>
      </w:r>
      <w:r w:rsidRPr="004224F6">
        <w:rPr>
          <w:rFonts w:ascii="Times New Roman" w:hAnsi="Times New Roman" w:cs="Times New Roman"/>
          <w:lang w:val="ru-RU"/>
        </w:rPr>
        <w:tab/>
      </w:r>
      <w:r w:rsidRPr="004224F6">
        <w:rPr>
          <w:rFonts w:ascii="Times New Roman" w:hAnsi="Times New Roman" w:cs="Times New Roman"/>
          <w:b/>
          <w:lang w:val="ru-RU"/>
        </w:rPr>
        <w:t xml:space="preserve">Монтаж на </w:t>
      </w:r>
      <w:r w:rsidR="00140F3C" w:rsidRPr="004224F6">
        <w:rPr>
          <w:rFonts w:ascii="Times New Roman" w:hAnsi="Times New Roman" w:cs="Times New Roman"/>
          <w:b/>
          <w:lang w:val="ru-RU"/>
        </w:rPr>
        <w:t xml:space="preserve"> </w:t>
      </w:r>
      <w:r w:rsidR="00CE62F2" w:rsidRPr="004224F6">
        <w:rPr>
          <w:rFonts w:ascii="Times New Roman" w:hAnsi="Times New Roman" w:cs="Times New Roman"/>
          <w:b/>
          <w:lang w:val="ru-RU"/>
        </w:rPr>
        <w:t>дублиращи лист</w:t>
      </w:r>
      <w:r w:rsidR="00AA0C15" w:rsidRPr="004224F6">
        <w:rPr>
          <w:rFonts w:ascii="Times New Roman" w:hAnsi="Times New Roman" w:cs="Times New Roman"/>
          <w:b/>
          <w:lang w:val="ru-RU"/>
        </w:rPr>
        <w:t>ове</w:t>
      </w:r>
      <w:r w:rsidR="00CE62F2" w:rsidRPr="004224F6">
        <w:rPr>
          <w:rFonts w:ascii="Times New Roman" w:hAnsi="Times New Roman" w:cs="Times New Roman"/>
          <w:b/>
          <w:lang w:val="ru-RU"/>
        </w:rPr>
        <w:t xml:space="preserve"> на </w:t>
      </w:r>
      <w:r w:rsidRPr="004224F6">
        <w:rPr>
          <w:rFonts w:ascii="Times New Roman" w:hAnsi="Times New Roman" w:cs="Times New Roman"/>
          <w:b/>
          <w:lang w:val="ru-RU"/>
        </w:rPr>
        <w:t xml:space="preserve"> корабна обшивка</w:t>
      </w:r>
    </w:p>
    <w:p w14:paraId="7B35F385" w14:textId="5AB82947" w:rsidR="00271FA2" w:rsidRPr="004224F6" w:rsidRDefault="00D35E51" w:rsidP="00BB0D80">
      <w:pPr>
        <w:tabs>
          <w:tab w:val="left" w:pos="284"/>
        </w:tabs>
        <w:spacing w:line="240" w:lineRule="atLeast"/>
        <w:ind w:left="567"/>
        <w:jc w:val="both"/>
        <w:rPr>
          <w:rFonts w:ascii="Times New Roman" w:eastAsia="Batang"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 xml:space="preserve">) </w:t>
      </w:r>
      <w:r w:rsidR="00CE62F2" w:rsidRPr="004224F6">
        <w:rPr>
          <w:rFonts w:ascii="Times New Roman" w:hAnsi="Times New Roman" w:cs="Times New Roman"/>
          <w:lang w:val="ru-RU"/>
        </w:rPr>
        <w:t>дублиращите листове</w:t>
      </w:r>
      <w:r w:rsidRPr="004224F6">
        <w:rPr>
          <w:rFonts w:ascii="Times New Roman" w:hAnsi="Times New Roman" w:cs="Times New Roman"/>
          <w:lang w:val="ru-RU"/>
        </w:rPr>
        <w:t xml:space="preserve"> трябва да бъдат монтирани и заварени в съответствие с добрата корабостроителна практика;</w:t>
      </w:r>
    </w:p>
    <w:p w14:paraId="5FCC3AC3" w14:textId="77777777" w:rsidR="00271FA2" w:rsidRPr="004224F6" w:rsidRDefault="00D35E51" w:rsidP="00BB0D80">
      <w:pPr>
        <w:tabs>
          <w:tab w:val="left" w:pos="284"/>
        </w:tabs>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б) Носещите листове трябва да имат ширина между 200 и 300 </w:t>
      </w:r>
      <w:r w:rsidRPr="004224F6">
        <w:rPr>
          <w:rFonts w:ascii="Times New Roman" w:hAnsi="Times New Roman" w:cs="Times New Roman"/>
        </w:rPr>
        <w:t>mm</w:t>
      </w:r>
      <w:r w:rsidRPr="004224F6">
        <w:rPr>
          <w:rFonts w:ascii="Times New Roman" w:hAnsi="Times New Roman" w:cs="Times New Roman"/>
          <w:lang w:val="ru-RU"/>
        </w:rPr>
        <w:t>;</w:t>
      </w:r>
    </w:p>
    <w:p w14:paraId="38F73803" w14:textId="77777777" w:rsidR="00271FA2" w:rsidRPr="004224F6" w:rsidRDefault="00D35E51" w:rsidP="00BB0D80">
      <w:pPr>
        <w:tabs>
          <w:tab w:val="left" w:pos="284"/>
        </w:tabs>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в) Укрепването на листове на надлъжната греда на корпуса не трябва да бъде по-широко от 600 </w:t>
      </w:r>
      <w:r w:rsidRPr="004224F6">
        <w:rPr>
          <w:rFonts w:ascii="Times New Roman" w:hAnsi="Times New Roman" w:cs="Times New Roman"/>
        </w:rPr>
        <w:t>mm</w:t>
      </w:r>
      <w:r w:rsidRPr="004224F6">
        <w:rPr>
          <w:rFonts w:ascii="Times New Roman" w:hAnsi="Times New Roman" w:cs="Times New Roman"/>
          <w:lang w:val="ru-RU"/>
        </w:rPr>
        <w:t>;</w:t>
      </w:r>
    </w:p>
    <w:p w14:paraId="7F2C9783" w14:textId="66146E78" w:rsidR="00271FA2" w:rsidRPr="004224F6" w:rsidRDefault="00D35E51" w:rsidP="00BB0D80">
      <w:pPr>
        <w:tabs>
          <w:tab w:val="left" w:pos="284"/>
        </w:tabs>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г) Дебелината на </w:t>
      </w:r>
      <w:r w:rsidR="003A2A61" w:rsidRPr="004224F6">
        <w:rPr>
          <w:rFonts w:ascii="Times New Roman" w:hAnsi="Times New Roman" w:cs="Times New Roman"/>
          <w:lang w:val="ru-RU"/>
        </w:rPr>
        <w:t xml:space="preserve">дублиращите </w:t>
      </w:r>
      <w:r w:rsidRPr="004224F6">
        <w:rPr>
          <w:rFonts w:ascii="Times New Roman" w:hAnsi="Times New Roman" w:cs="Times New Roman"/>
          <w:lang w:val="ru-RU"/>
        </w:rPr>
        <w:t xml:space="preserve">листовете </w:t>
      </w:r>
      <w:r w:rsidR="003A2A61" w:rsidRPr="004224F6">
        <w:rPr>
          <w:rFonts w:ascii="Times New Roman" w:hAnsi="Times New Roman" w:cs="Times New Roman"/>
          <w:lang w:val="ru-RU"/>
        </w:rPr>
        <w:t xml:space="preserve"> на</w:t>
      </w:r>
      <w:r w:rsidRPr="004224F6">
        <w:rPr>
          <w:rFonts w:ascii="Times New Roman" w:hAnsi="Times New Roman" w:cs="Times New Roman"/>
          <w:lang w:val="ru-RU"/>
        </w:rPr>
        <w:t xml:space="preserve"> корабна обшивка трябва да бъде между 1 и 1,5 пъти дебелината на листа, върху който са монтирани;</w:t>
      </w:r>
    </w:p>
    <w:p w14:paraId="6CBD8748" w14:textId="38DEDE17" w:rsidR="00271FA2" w:rsidRPr="004224F6" w:rsidRDefault="00D35E51" w:rsidP="00BB0D80">
      <w:pPr>
        <w:tabs>
          <w:tab w:val="left" w:pos="284"/>
        </w:tabs>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д) </w:t>
      </w:r>
      <w:r w:rsidR="003A2A61" w:rsidRPr="004224F6">
        <w:rPr>
          <w:rFonts w:ascii="Times New Roman" w:hAnsi="Times New Roman" w:cs="Times New Roman"/>
          <w:lang w:val="ru-RU"/>
        </w:rPr>
        <w:t xml:space="preserve">Дублиращите листове на </w:t>
      </w:r>
      <w:r w:rsidRPr="004224F6">
        <w:rPr>
          <w:rFonts w:ascii="Times New Roman" w:hAnsi="Times New Roman" w:cs="Times New Roman"/>
          <w:lang w:val="ru-RU"/>
        </w:rPr>
        <w:t xml:space="preserve"> корабна обшивка, монтирани за забавяне на износването или за подмяната на листовете на корпуса, трябва да бъдат заменени, когато дебелината им е по-малка от 3</w:t>
      </w:r>
      <w:r w:rsidRPr="004224F6">
        <w:rPr>
          <w:rFonts w:ascii="Times New Roman" w:hAnsi="Times New Roman" w:cs="Times New Roman"/>
        </w:rPr>
        <w:t> mm</w:t>
      </w:r>
      <w:r w:rsidRPr="004224F6">
        <w:rPr>
          <w:rFonts w:ascii="Times New Roman" w:hAnsi="Times New Roman" w:cs="Times New Roman"/>
          <w:lang w:val="ru-RU"/>
        </w:rPr>
        <w:t>.</w:t>
      </w:r>
    </w:p>
    <w:p w14:paraId="3DFBB763" w14:textId="172CEF42" w:rsidR="00271FA2" w:rsidRPr="004224F6" w:rsidRDefault="00D35E51" w:rsidP="00BB0D80">
      <w:pPr>
        <w:tabs>
          <w:tab w:val="left" w:pos="284"/>
        </w:tabs>
        <w:spacing w:line="240" w:lineRule="atLeast"/>
        <w:ind w:left="567"/>
        <w:jc w:val="both"/>
        <w:rPr>
          <w:rFonts w:ascii="Times New Roman" w:eastAsia="Batang" w:hAnsi="Times New Roman" w:cs="Times New Roman"/>
          <w:lang w:val="ru-RU"/>
        </w:rPr>
      </w:pPr>
      <w:r w:rsidRPr="004224F6">
        <w:rPr>
          <w:rFonts w:ascii="Times New Roman" w:hAnsi="Times New Roman" w:cs="Times New Roman"/>
          <w:lang w:val="ru-RU"/>
        </w:rPr>
        <w:t xml:space="preserve">Наличието на </w:t>
      </w:r>
      <w:r w:rsidR="003A2A61" w:rsidRPr="004224F6">
        <w:rPr>
          <w:rFonts w:ascii="Times New Roman" w:hAnsi="Times New Roman" w:cs="Times New Roman"/>
          <w:lang w:val="ru-RU"/>
        </w:rPr>
        <w:t xml:space="preserve">дублиращи </w:t>
      </w:r>
      <w:r w:rsidRPr="004224F6">
        <w:rPr>
          <w:rFonts w:ascii="Times New Roman" w:hAnsi="Times New Roman" w:cs="Times New Roman"/>
          <w:lang w:val="ru-RU"/>
        </w:rPr>
        <w:t xml:space="preserve">листове </w:t>
      </w:r>
      <w:r w:rsidR="003A2A61" w:rsidRPr="004224F6">
        <w:rPr>
          <w:rFonts w:ascii="Times New Roman" w:hAnsi="Times New Roman" w:cs="Times New Roman"/>
          <w:lang w:val="ru-RU"/>
        </w:rPr>
        <w:t xml:space="preserve"> на</w:t>
      </w:r>
      <w:r w:rsidRPr="004224F6">
        <w:rPr>
          <w:rFonts w:ascii="Times New Roman" w:hAnsi="Times New Roman" w:cs="Times New Roman"/>
          <w:lang w:val="ru-RU"/>
        </w:rPr>
        <w:t xml:space="preserve"> корабна обшивка трябва да бъде посочено в протокола за измерванията на дебелината. При подновяване на удостоверението, зоните на плавателния съд, </w:t>
      </w:r>
      <w:r w:rsidRPr="004224F6">
        <w:rPr>
          <w:rFonts w:ascii="Times New Roman" w:hAnsi="Times New Roman" w:cs="Times New Roman"/>
          <w:lang w:val="ru-RU"/>
        </w:rPr>
        <w:lastRenderedPageBreak/>
        <w:t>където са монтирани</w:t>
      </w:r>
      <w:r w:rsidR="00231E59" w:rsidRPr="004224F6">
        <w:rPr>
          <w:rFonts w:ascii="Times New Roman" w:hAnsi="Times New Roman" w:cs="Times New Roman"/>
          <w:lang w:val="ru-RU"/>
        </w:rPr>
        <w:t xml:space="preserve">дублиращи  </w:t>
      </w:r>
      <w:r w:rsidRPr="004224F6">
        <w:rPr>
          <w:rFonts w:ascii="Times New Roman" w:hAnsi="Times New Roman" w:cs="Times New Roman"/>
          <w:lang w:val="ru-RU"/>
        </w:rPr>
        <w:t xml:space="preserve">листовете </w:t>
      </w:r>
      <w:r w:rsidR="00231E59" w:rsidRPr="004224F6">
        <w:rPr>
          <w:rFonts w:ascii="Times New Roman" w:hAnsi="Times New Roman" w:cs="Times New Roman"/>
          <w:lang w:val="ru-RU"/>
        </w:rPr>
        <w:t>на</w:t>
      </w:r>
      <w:r w:rsidRPr="004224F6">
        <w:rPr>
          <w:rFonts w:ascii="Times New Roman" w:hAnsi="Times New Roman" w:cs="Times New Roman"/>
          <w:lang w:val="ru-RU"/>
        </w:rPr>
        <w:t xml:space="preserve"> корабна обшивка, трябва да бъдат внимателно проучени, за да се определи дали те могат да се поддържат в това състояние.</w:t>
      </w:r>
    </w:p>
    <w:p w14:paraId="7CB72FE5" w14:textId="77777777" w:rsidR="00271FA2" w:rsidRPr="004224F6" w:rsidRDefault="00271FA2">
      <w:pPr>
        <w:spacing w:line="240" w:lineRule="atLeast"/>
        <w:ind w:left="567" w:hanging="567"/>
        <w:rPr>
          <w:rFonts w:ascii="Times New Roman" w:hAnsi="Times New Roman" w:cs="Times New Roman"/>
          <w:lang w:val="ru-RU"/>
        </w:rPr>
      </w:pPr>
    </w:p>
    <w:p w14:paraId="1AB569B7" w14:textId="77777777" w:rsidR="00271FA2" w:rsidRPr="004224F6" w:rsidRDefault="00271FA2">
      <w:pPr>
        <w:spacing w:line="240" w:lineRule="atLeast"/>
        <w:ind w:left="567" w:hanging="567"/>
        <w:rPr>
          <w:rFonts w:ascii="Times New Roman" w:hAnsi="Times New Roman" w:cs="Times New Roman"/>
          <w:lang w:val="ru-RU"/>
        </w:rPr>
        <w:sectPr w:rsidR="00271FA2" w:rsidRPr="004224F6" w:rsidSect="004224F6">
          <w:headerReference w:type="default" r:id="rId200"/>
          <w:footerReference w:type="default" r:id="rId201"/>
          <w:headerReference w:type="first" r:id="rId202"/>
          <w:pgSz w:w="11907" w:h="16840"/>
          <w:pgMar w:top="1134" w:right="1134" w:bottom="1134" w:left="1134" w:header="709" w:footer="709" w:gutter="0"/>
          <w:cols w:space="720"/>
          <w:titlePg/>
          <w:docGrid w:linePitch="299"/>
        </w:sectPr>
      </w:pPr>
    </w:p>
    <w:p w14:paraId="3CA55F55" w14:textId="0B676B49" w:rsidR="00271FA2" w:rsidRPr="004224F6" w:rsidRDefault="00D35E51" w:rsidP="00605A3E">
      <w:pPr>
        <w:pStyle w:val="ES-Titre2ESI"/>
        <w:spacing w:after="240"/>
        <w:rPr>
          <w:rFonts w:ascii="Times New Roman" w:hAnsi="Times New Roman" w:cs="Times New Roman"/>
          <w:lang w:val="ru-RU"/>
        </w:rPr>
      </w:pPr>
      <w:bookmarkStart w:id="677" w:name="_Toc535827793"/>
      <w:bookmarkStart w:id="678" w:name="_Toc491854352"/>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-3</w:t>
      </w:r>
      <w:r w:rsidRPr="004224F6">
        <w:rPr>
          <w:rFonts w:ascii="Times New Roman" w:hAnsi="Times New Roman" w:cs="Times New Roman"/>
          <w:lang w:val="ru-RU"/>
        </w:rPr>
        <w:br/>
      </w:r>
      <w:bookmarkEnd w:id="677"/>
      <w:bookmarkEnd w:id="678"/>
      <w:r w:rsidRPr="004224F6">
        <w:rPr>
          <w:rFonts w:ascii="Times New Roman" w:hAnsi="Times New Roman" w:cs="Times New Roman"/>
          <w:lang w:val="ru-RU"/>
        </w:rPr>
        <w:t>Минимална предписана скорост на движение напред, способност за спиране и способност за движение на заден ход</w:t>
      </w:r>
    </w:p>
    <w:p w14:paraId="2F470F28" w14:textId="77777777" w:rsidR="00271FA2" w:rsidRPr="004224F6" w:rsidRDefault="00D35E51" w:rsidP="00605A3E">
      <w:pPr>
        <w:spacing w:before="240" w:after="240" w:line="240" w:lineRule="atLeast"/>
        <w:ind w:left="567" w:hanging="567"/>
        <w:jc w:val="center"/>
        <w:rPr>
          <w:rFonts w:ascii="Times New Roman" w:hAnsi="Times New Roman" w:cs="Times New Roman"/>
          <w:b/>
          <w:lang w:val="ru-RU"/>
        </w:rPr>
      </w:pPr>
      <w:r w:rsidRPr="004224F6">
        <w:rPr>
          <w:rFonts w:ascii="Times New Roman" w:hAnsi="Times New Roman" w:cs="Times New Roman"/>
          <w:b/>
          <w:lang w:val="ru-RU"/>
        </w:rPr>
        <w:t>(Членове 5.06, 5.07 и 5.08 във връзка с член 5.02, точка 1, член 5.03, точка 1, член 5.04 и член 21.06)</w:t>
      </w:r>
    </w:p>
    <w:p w14:paraId="541D2BC0"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Минимална предписана скорост (напред) в съответствие с член</w:t>
      </w:r>
      <w:r w:rsidRPr="004224F6">
        <w:rPr>
          <w:rFonts w:ascii="Times New Roman" w:hAnsi="Times New Roman" w:cs="Times New Roman"/>
          <w:b/>
          <w:color w:val="000000"/>
        </w:rPr>
        <w:t> </w:t>
      </w:r>
      <w:r w:rsidRPr="004224F6">
        <w:rPr>
          <w:rFonts w:ascii="Times New Roman" w:hAnsi="Times New Roman" w:cs="Times New Roman"/>
          <w:b/>
          <w:color w:val="000000"/>
          <w:lang w:val="ru-RU"/>
        </w:rPr>
        <w:t>5.06</w:t>
      </w:r>
    </w:p>
    <w:p w14:paraId="7E2443C1"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Скоростта спрямо водата е задоволителна в съответствие с член</w:t>
      </w:r>
      <w:r w:rsidRPr="004224F6">
        <w:rPr>
          <w:rFonts w:ascii="Times New Roman" w:hAnsi="Times New Roman" w:cs="Times New Roman"/>
        </w:rPr>
        <w:t> </w:t>
      </w:r>
      <w:r w:rsidRPr="004224F6">
        <w:rPr>
          <w:rFonts w:ascii="Times New Roman" w:hAnsi="Times New Roman" w:cs="Times New Roman"/>
          <w:lang w:val="ru-RU"/>
        </w:rPr>
        <w:t xml:space="preserve">5.06, точка 1, когато достигне най-малко 13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 По време на изпитванията трябва да са изпълнени по същия начин, както при изпитването за спиране, следните условия:</w:t>
      </w:r>
    </w:p>
    <w:p w14:paraId="50484F9A" w14:textId="77777777" w:rsidR="00271FA2" w:rsidRPr="004224F6" w:rsidRDefault="00D35E51">
      <w:pPr>
        <w:numPr>
          <w:ilvl w:val="0"/>
          <w:numId w:val="51"/>
        </w:numPr>
        <w:spacing w:line="240" w:lineRule="atLeast"/>
        <w:ind w:left="660"/>
        <w:rPr>
          <w:rFonts w:ascii="Times New Roman" w:hAnsi="Times New Roman" w:cs="Times New Roman"/>
          <w:lang w:val="ru-RU"/>
        </w:rPr>
      </w:pPr>
      <w:r w:rsidRPr="004224F6">
        <w:rPr>
          <w:rFonts w:ascii="Times New Roman" w:hAnsi="Times New Roman" w:cs="Times New Roman"/>
          <w:lang w:val="ru-RU"/>
        </w:rPr>
        <w:t>дълбочината под кила, определена в точка 2.1, трябва да бъде спазена;</w:t>
      </w:r>
    </w:p>
    <w:p w14:paraId="0122B6F8" w14:textId="77777777" w:rsidR="00271FA2" w:rsidRPr="004224F6" w:rsidRDefault="00D35E51">
      <w:pPr>
        <w:spacing w:line="240" w:lineRule="atLeast"/>
        <w:ind w:left="660"/>
        <w:jc w:val="both"/>
        <w:rPr>
          <w:rFonts w:ascii="Times New Roman" w:hAnsi="Times New Roman" w:cs="Times New Roman"/>
          <w:lang w:val="ru-RU"/>
        </w:rPr>
      </w:pPr>
      <w:r w:rsidRPr="004224F6">
        <w:rPr>
          <w:rFonts w:ascii="Times New Roman" w:hAnsi="Times New Roman" w:cs="Times New Roman"/>
          <w:lang w:val="ru-RU"/>
        </w:rPr>
        <w:t>б) измерването, записването, регистрирането и оценката на данните от изпитването се извършват в съответствие с процедурата, описана в Приложение 1.</w:t>
      </w:r>
    </w:p>
    <w:p w14:paraId="2BD1EA6A"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Способност за спиране и способност за движение на заден ход, предписани в съответствие с членове 5.07 и 5.08</w:t>
      </w:r>
    </w:p>
    <w:p w14:paraId="2F1A9F54"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2.1</w:t>
      </w:r>
      <w:r w:rsidRPr="004224F6">
        <w:rPr>
          <w:rFonts w:ascii="Times New Roman" w:hAnsi="Times New Roman" w:cs="Times New Roman"/>
          <w:lang w:val="ru-RU"/>
        </w:rPr>
        <w:tab/>
        <w:t xml:space="preserve">Съдове и състави се считат за способни да спират своевременно с нос по течението в съответствие с член 5.07, точка 1, ако това се докаже с изпитване за спиране спрямо брега, с нос по течението при начална скорост спрямо водата 13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 xml:space="preserve">, с дълбочина под кила, равна на най-малко 20 % от газенето, но не по-малка от 0,50 </w:t>
      </w:r>
      <w:r w:rsidRPr="004224F6">
        <w:rPr>
          <w:rFonts w:ascii="Times New Roman" w:hAnsi="Times New Roman" w:cs="Times New Roman"/>
        </w:rPr>
        <w:t>m</w:t>
      </w:r>
      <w:r w:rsidRPr="004224F6">
        <w:rPr>
          <w:rFonts w:ascii="Times New Roman" w:hAnsi="Times New Roman" w:cs="Times New Roman"/>
          <w:lang w:val="ru-RU"/>
        </w:rPr>
        <w:t>.</w:t>
      </w:r>
    </w:p>
    <w:p w14:paraId="2B5F2F0C"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 xml:space="preserve">) В течаща вода (скорост на течението 1,5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 спирането спрямо водата трябва да се осъществи на не повече от следното разстояние, измерено по брега:</w:t>
      </w:r>
    </w:p>
    <w:p w14:paraId="7D9CB32A"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 xml:space="preserve">550 </w:t>
      </w:r>
      <w:r w:rsidRPr="004224F6">
        <w:rPr>
          <w:rFonts w:ascii="Times New Roman" w:hAnsi="Times New Roman" w:cs="Times New Roman"/>
        </w:rPr>
        <w:t>m</w:t>
      </w:r>
      <w:r w:rsidRPr="004224F6">
        <w:rPr>
          <w:rFonts w:ascii="Times New Roman" w:hAnsi="Times New Roman" w:cs="Times New Roman"/>
          <w:lang w:val="ru-RU"/>
        </w:rPr>
        <w:t xml:space="preserve"> за плавателни съдове и състави с:</w:t>
      </w:r>
    </w:p>
    <w:p w14:paraId="7F92459B" w14:textId="77777777" w:rsidR="00271FA2" w:rsidRPr="004224F6" w:rsidRDefault="00D35E51">
      <w:pPr>
        <w:spacing w:line="240" w:lineRule="atLeast"/>
        <w:ind w:left="1418"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дължина </w:t>
      </w:r>
      <m:oMath>
        <m:r>
          <w:rPr>
            <w:rFonts w:ascii="Cambria Math" w:hAnsi="Cambria Math" w:cs="Times New Roman"/>
          </w:rPr>
          <m:t>L</m:t>
        </m:r>
        <m:r>
          <w:rPr>
            <w:rFonts w:ascii="Cambria Math" w:hAnsi="Cambria Math" w:cs="Times New Roman"/>
            <w:lang w:val="ru-RU"/>
          </w:rPr>
          <m:t xml:space="preserve"> &gt; 110 </m:t>
        </m:r>
        <m:r>
          <w:rPr>
            <w:rFonts w:ascii="Cambria Math" w:hAnsi="Cambria Math" w:cs="Times New Roman"/>
          </w:rPr>
          <m:t>m</m:t>
        </m:r>
      </m:oMath>
      <w:r w:rsidRPr="004224F6">
        <w:rPr>
          <w:rFonts w:ascii="Times New Roman" w:hAnsi="Times New Roman" w:cs="Times New Roman"/>
          <w:lang w:val="ru-RU"/>
        </w:rPr>
        <w:t xml:space="preserve"> или</w:t>
      </w:r>
    </w:p>
    <w:p w14:paraId="298550C2" w14:textId="77777777" w:rsidR="00271FA2" w:rsidRPr="004224F6" w:rsidRDefault="00D35E51">
      <w:pPr>
        <w:spacing w:line="240" w:lineRule="atLeast"/>
        <w:ind w:left="1418"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ширина </w:t>
      </w:r>
      <m:oMath>
        <m:r>
          <w:rPr>
            <w:rFonts w:ascii="Cambria Math" w:hAnsi="Cambria Math" w:cs="Times New Roman"/>
          </w:rPr>
          <m:t>B</m:t>
        </m:r>
        <m:r>
          <w:rPr>
            <w:rFonts w:ascii="Cambria Math" w:hAnsi="Cambria Math" w:cs="Times New Roman"/>
            <w:lang w:val="ru-RU"/>
          </w:rPr>
          <m:t xml:space="preserve"> &gt; 11,45 </m:t>
        </m:r>
        <m:r>
          <w:rPr>
            <w:rFonts w:ascii="Cambria Math" w:hAnsi="Cambria Math" w:cs="Times New Roman"/>
          </w:rPr>
          <m:t>m</m:t>
        </m:r>
      </m:oMath>
      <w:r w:rsidRPr="004224F6">
        <w:rPr>
          <w:rFonts w:ascii="Times New Roman" w:hAnsi="Times New Roman" w:cs="Times New Roman"/>
          <w:lang w:val="ru-RU"/>
        </w:rPr>
        <w:t>,</w:t>
      </w:r>
    </w:p>
    <w:p w14:paraId="7A77E948"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или</w:t>
      </w:r>
    </w:p>
    <w:p w14:paraId="653D61F2"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 xml:space="preserve">480 </w:t>
      </w:r>
      <w:r w:rsidRPr="004224F6">
        <w:rPr>
          <w:rFonts w:ascii="Times New Roman" w:hAnsi="Times New Roman" w:cs="Times New Roman"/>
        </w:rPr>
        <w:t>m</w:t>
      </w:r>
      <w:r w:rsidRPr="004224F6">
        <w:rPr>
          <w:rFonts w:ascii="Times New Roman" w:hAnsi="Times New Roman" w:cs="Times New Roman"/>
          <w:lang w:val="ru-RU"/>
        </w:rPr>
        <w:t xml:space="preserve"> за плавателни съдове и състави с:</w:t>
      </w:r>
    </w:p>
    <w:p w14:paraId="7EE3653D" w14:textId="77777777" w:rsidR="00271FA2" w:rsidRPr="004224F6" w:rsidRDefault="00D35E51">
      <w:pPr>
        <w:spacing w:line="240" w:lineRule="atLeast"/>
        <w:ind w:left="1418"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дължина </w:t>
      </w:r>
      <m:oMath>
        <m:r>
          <w:rPr>
            <w:rFonts w:ascii="Cambria Math" w:hAnsi="Cambria Math" w:cs="Times New Roman"/>
          </w:rPr>
          <m:t>L</m:t>
        </m:r>
        <m:r>
          <w:rPr>
            <w:rFonts w:ascii="Cambria Math" w:hAnsi="Cambria Math" w:cs="Times New Roman"/>
            <w:lang w:val="ru-RU"/>
          </w:rPr>
          <m:t xml:space="preserve"> ≤ 110 </m:t>
        </m:r>
        <m:r>
          <w:rPr>
            <w:rFonts w:ascii="Cambria Math" w:hAnsi="Cambria Math" w:cs="Times New Roman"/>
          </w:rPr>
          <m:t>m</m:t>
        </m:r>
      </m:oMath>
      <w:r w:rsidRPr="004224F6">
        <w:rPr>
          <w:rFonts w:ascii="Times New Roman" w:hAnsi="Times New Roman" w:cs="Times New Roman"/>
          <w:lang w:val="ru-RU"/>
        </w:rPr>
        <w:t xml:space="preserve"> и</w:t>
      </w:r>
    </w:p>
    <w:p w14:paraId="74AFDDAD" w14:textId="77777777" w:rsidR="00271FA2" w:rsidRPr="004224F6" w:rsidRDefault="00D35E51">
      <w:pPr>
        <w:spacing w:line="240" w:lineRule="atLeast"/>
        <w:ind w:left="1418"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ширина </w:t>
      </w:r>
      <m:oMath>
        <m:r>
          <w:rPr>
            <w:rFonts w:ascii="Cambria Math" w:hAnsi="Cambria Math" w:cs="Times New Roman"/>
          </w:rPr>
          <m:t>B</m:t>
        </m:r>
        <m:r>
          <w:rPr>
            <w:rFonts w:ascii="Cambria Math" w:hAnsi="Cambria Math" w:cs="Times New Roman"/>
            <w:lang w:val="ru-RU"/>
          </w:rPr>
          <m:t xml:space="preserve"> ≤ 11,45 </m:t>
        </m:r>
        <m:r>
          <w:rPr>
            <w:rFonts w:ascii="Cambria Math" w:hAnsi="Cambria Math" w:cs="Times New Roman"/>
          </w:rPr>
          <m:t>m</m:t>
        </m:r>
      </m:oMath>
      <w:r w:rsidRPr="004224F6">
        <w:rPr>
          <w:rFonts w:ascii="Times New Roman" w:hAnsi="Times New Roman" w:cs="Times New Roman"/>
          <w:lang w:val="ru-RU"/>
        </w:rPr>
        <w:t>.</w:t>
      </w:r>
    </w:p>
    <w:p w14:paraId="19D83441"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Маневрата за спиране се завършва при спиране спрямо брега.</w:t>
      </w:r>
    </w:p>
    <w:p w14:paraId="16596593" w14:textId="77777777" w:rsidR="00271FA2" w:rsidRPr="004224F6" w:rsidRDefault="00D35E51">
      <w:pPr>
        <w:spacing w:line="240" w:lineRule="atLeast"/>
        <w:ind w:left="992" w:hanging="425"/>
        <w:jc w:val="both"/>
        <w:rPr>
          <w:rFonts w:ascii="Times New Roman" w:hAnsi="Times New Roman" w:cs="Times New Roman"/>
          <w:lang w:val="ru-RU"/>
        </w:rPr>
      </w:pPr>
      <w:r w:rsidRPr="004224F6">
        <w:rPr>
          <w:rFonts w:ascii="Times New Roman" w:hAnsi="Times New Roman" w:cs="Times New Roman"/>
          <w:lang w:val="ru-RU"/>
        </w:rPr>
        <w:t xml:space="preserve">б) При тиха вода (скорост на течението, по-малка от 0,2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 спирането спрямо водата трябва да се осъществи на не повече от следното разстояние, измерено по брега:</w:t>
      </w:r>
    </w:p>
    <w:p w14:paraId="7E9A8892"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 xml:space="preserve">350 </w:t>
      </w:r>
      <w:r w:rsidRPr="004224F6">
        <w:rPr>
          <w:rFonts w:ascii="Times New Roman" w:hAnsi="Times New Roman" w:cs="Times New Roman"/>
        </w:rPr>
        <w:t>m</w:t>
      </w:r>
      <w:r w:rsidRPr="004224F6">
        <w:rPr>
          <w:rFonts w:ascii="Times New Roman" w:hAnsi="Times New Roman" w:cs="Times New Roman"/>
          <w:lang w:val="ru-RU"/>
        </w:rPr>
        <w:t xml:space="preserve"> за плавателни съдове и състави с:</w:t>
      </w:r>
    </w:p>
    <w:p w14:paraId="097656E2" w14:textId="77777777" w:rsidR="00271FA2" w:rsidRPr="004224F6" w:rsidRDefault="00D35E51">
      <w:pPr>
        <w:spacing w:line="240" w:lineRule="atLeast"/>
        <w:ind w:left="1418"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дължина </w:t>
      </w:r>
      <m:oMath>
        <m:r>
          <w:rPr>
            <w:rFonts w:ascii="Cambria Math" w:hAnsi="Cambria Math" w:cs="Times New Roman"/>
          </w:rPr>
          <m:t>L</m:t>
        </m:r>
        <m:r>
          <w:rPr>
            <w:rFonts w:ascii="Cambria Math" w:hAnsi="Cambria Math" w:cs="Times New Roman"/>
            <w:lang w:val="ru-RU"/>
          </w:rPr>
          <m:t xml:space="preserve"> &gt; 110 </m:t>
        </m:r>
        <m:r>
          <w:rPr>
            <w:rFonts w:ascii="Cambria Math" w:hAnsi="Cambria Math" w:cs="Times New Roman"/>
          </w:rPr>
          <m:t>m</m:t>
        </m:r>
      </m:oMath>
      <w:r w:rsidRPr="004224F6">
        <w:rPr>
          <w:rFonts w:ascii="Times New Roman" w:hAnsi="Times New Roman" w:cs="Times New Roman"/>
          <w:lang w:val="ru-RU"/>
        </w:rPr>
        <w:t xml:space="preserve"> или</w:t>
      </w:r>
    </w:p>
    <w:p w14:paraId="1BEFC9BC" w14:textId="77777777" w:rsidR="00271FA2" w:rsidRPr="004224F6" w:rsidRDefault="00D35E51">
      <w:pPr>
        <w:spacing w:line="240" w:lineRule="atLeast"/>
        <w:ind w:left="1418"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ширина </w:t>
      </w:r>
      <m:oMath>
        <m:r>
          <w:rPr>
            <w:rFonts w:ascii="Cambria Math" w:hAnsi="Cambria Math" w:cs="Times New Roman"/>
          </w:rPr>
          <m:t>B</m:t>
        </m:r>
        <m:r>
          <w:rPr>
            <w:rFonts w:ascii="Cambria Math" w:hAnsi="Cambria Math" w:cs="Times New Roman"/>
            <w:lang w:val="ru-RU"/>
          </w:rPr>
          <m:t xml:space="preserve"> &gt; 11,45 </m:t>
        </m:r>
        <m:r>
          <w:rPr>
            <w:rFonts w:ascii="Cambria Math" w:hAnsi="Cambria Math" w:cs="Times New Roman"/>
          </w:rPr>
          <m:t>m</m:t>
        </m:r>
      </m:oMath>
      <w:r w:rsidRPr="004224F6">
        <w:rPr>
          <w:rFonts w:ascii="Times New Roman" w:hAnsi="Times New Roman" w:cs="Times New Roman"/>
          <w:lang w:val="ru-RU"/>
        </w:rPr>
        <w:t>,</w:t>
      </w:r>
    </w:p>
    <w:p w14:paraId="591AFC86"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или</w:t>
      </w:r>
    </w:p>
    <w:p w14:paraId="7B56889A"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 xml:space="preserve">305 </w:t>
      </w:r>
      <w:r w:rsidRPr="004224F6">
        <w:rPr>
          <w:rFonts w:ascii="Times New Roman" w:hAnsi="Times New Roman" w:cs="Times New Roman"/>
        </w:rPr>
        <w:t>m</w:t>
      </w:r>
      <w:r w:rsidRPr="004224F6">
        <w:rPr>
          <w:rFonts w:ascii="Times New Roman" w:hAnsi="Times New Roman" w:cs="Times New Roman"/>
          <w:lang w:val="ru-RU"/>
        </w:rPr>
        <w:t xml:space="preserve"> за плавателни съдове и състави с:</w:t>
      </w:r>
    </w:p>
    <w:p w14:paraId="41C379AD" w14:textId="77777777" w:rsidR="00271FA2" w:rsidRPr="004224F6" w:rsidRDefault="00D35E51">
      <w:pPr>
        <w:spacing w:line="240" w:lineRule="atLeast"/>
        <w:ind w:left="1418"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дължина </w:t>
      </w:r>
      <m:oMath>
        <m:r>
          <w:rPr>
            <w:rFonts w:ascii="Cambria Math" w:hAnsi="Cambria Math" w:cs="Times New Roman"/>
          </w:rPr>
          <m:t>L</m:t>
        </m:r>
        <m:r>
          <w:rPr>
            <w:rFonts w:ascii="Cambria Math" w:hAnsi="Cambria Math" w:cs="Times New Roman"/>
            <w:lang w:val="ru-RU"/>
          </w:rPr>
          <m:t xml:space="preserve"> ≤ 110 </m:t>
        </m:r>
        <m:r>
          <w:rPr>
            <w:rFonts w:ascii="Cambria Math" w:hAnsi="Cambria Math" w:cs="Times New Roman"/>
          </w:rPr>
          <m:t>m</m:t>
        </m:r>
        <m:r>
          <w:rPr>
            <w:rFonts w:ascii="Cambria Math" w:hAnsi="Cambria Math" w:cs="Times New Roman"/>
            <w:lang w:val="ru-RU"/>
          </w:rPr>
          <m:t xml:space="preserve"> </m:t>
        </m:r>
      </m:oMath>
      <w:r w:rsidRPr="004224F6">
        <w:rPr>
          <w:rFonts w:ascii="Times New Roman" w:hAnsi="Times New Roman" w:cs="Times New Roman"/>
          <w:lang w:val="ru-RU"/>
        </w:rPr>
        <w:t>и</w:t>
      </w:r>
    </w:p>
    <w:p w14:paraId="031FB3E6" w14:textId="77777777" w:rsidR="00271FA2" w:rsidRPr="004224F6" w:rsidRDefault="00D35E51">
      <w:pPr>
        <w:spacing w:line="240" w:lineRule="atLeast"/>
        <w:ind w:left="1418" w:hanging="426"/>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ширина </w:t>
      </w:r>
      <m:oMath>
        <m:r>
          <w:rPr>
            <w:rFonts w:ascii="Cambria Math" w:hAnsi="Cambria Math" w:cs="Times New Roman"/>
          </w:rPr>
          <m:t>B</m:t>
        </m:r>
        <m:r>
          <w:rPr>
            <w:rFonts w:ascii="Cambria Math" w:hAnsi="Cambria Math" w:cs="Times New Roman"/>
            <w:lang w:val="ru-RU"/>
          </w:rPr>
          <m:t xml:space="preserve"> ≤ 11,45 </m:t>
        </m:r>
        <m:r>
          <w:rPr>
            <w:rFonts w:ascii="Cambria Math" w:hAnsi="Cambria Math" w:cs="Times New Roman"/>
          </w:rPr>
          <m:t>m</m:t>
        </m:r>
      </m:oMath>
      <w:r w:rsidRPr="004224F6">
        <w:rPr>
          <w:rFonts w:ascii="Times New Roman" w:hAnsi="Times New Roman" w:cs="Times New Roman"/>
          <w:lang w:val="ru-RU"/>
        </w:rPr>
        <w:t>.</w:t>
      </w:r>
    </w:p>
    <w:p w14:paraId="72452E0E"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 xml:space="preserve">При тиха вода се провежда изпитване, за да се покаже, че при движение на заден ход може да се постигне скорост, не по-малка от 6,5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w:t>
      </w:r>
    </w:p>
    <w:p w14:paraId="6304D56F"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lastRenderedPageBreak/>
        <w:t>Измерването, записването и регистрирането на данните от изпитването, посочени в буква “а” или “б”, се извършват съгласно процедурата, определена в Приложение</w:t>
      </w:r>
      <w:r w:rsidRPr="004224F6">
        <w:rPr>
          <w:rFonts w:ascii="Times New Roman" w:hAnsi="Times New Roman" w:cs="Times New Roman"/>
        </w:rPr>
        <w:t> </w:t>
      </w:r>
      <w:r w:rsidRPr="004224F6">
        <w:rPr>
          <w:rFonts w:ascii="Times New Roman" w:hAnsi="Times New Roman" w:cs="Times New Roman"/>
          <w:lang w:val="ru-RU"/>
        </w:rPr>
        <w:t>1.</w:t>
      </w:r>
    </w:p>
    <w:p w14:paraId="4B7CE7F4"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По време на цялото изпитване плавателният съд или съставът трябва да имат достатъчна маневреност.</w:t>
      </w:r>
    </w:p>
    <w:p w14:paraId="11DB534F"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2.2</w:t>
      </w:r>
      <w:r w:rsidRPr="004224F6">
        <w:rPr>
          <w:rFonts w:ascii="Times New Roman" w:hAnsi="Times New Roman" w:cs="Times New Roman"/>
          <w:lang w:val="ru-RU"/>
        </w:rPr>
        <w:tab/>
        <w:t>В съответствие с член 5.04, по време на изпитването плавателните съдове трябва да са натоварени, доколкото е възможно, до 70—100</w:t>
      </w:r>
      <w:r w:rsidRPr="004224F6">
        <w:rPr>
          <w:rFonts w:ascii="Times New Roman" w:hAnsi="Times New Roman" w:cs="Times New Roman"/>
        </w:rPr>
        <w:t> </w:t>
      </w:r>
      <w:r w:rsidRPr="004224F6">
        <w:rPr>
          <w:rFonts w:ascii="Times New Roman" w:hAnsi="Times New Roman" w:cs="Times New Roman"/>
          <w:lang w:val="ru-RU"/>
        </w:rPr>
        <w:t>% от товароподемността им. Това състояние на натоварване се оценява в съответствие с Приложение</w:t>
      </w:r>
      <w:r w:rsidRPr="004224F6">
        <w:rPr>
          <w:rFonts w:ascii="Times New Roman" w:hAnsi="Times New Roman" w:cs="Times New Roman"/>
        </w:rPr>
        <w:t> </w:t>
      </w:r>
      <w:r w:rsidRPr="004224F6">
        <w:rPr>
          <w:rFonts w:ascii="Times New Roman" w:hAnsi="Times New Roman" w:cs="Times New Roman"/>
          <w:lang w:val="ru-RU"/>
        </w:rPr>
        <w:t>2. Когато плавателният съд или съставът е натоварен на по-малко от 70 % по време на изпитването, допустимото максимално водоизместване при плаване по течението се определя в съответствие с действителното натоварване, ако пределните стойности от точка 2.1 са спазени.</w:t>
      </w:r>
    </w:p>
    <w:p w14:paraId="2617C51C"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2.3</w:t>
      </w:r>
      <w:r w:rsidRPr="004224F6">
        <w:rPr>
          <w:rFonts w:ascii="Times New Roman" w:hAnsi="Times New Roman" w:cs="Times New Roman"/>
          <w:lang w:val="ru-RU"/>
        </w:rPr>
        <w:tab/>
        <w:t>Ако действителните стойности на началната скорост и скоростта на течението по време на изпитването не отговарят на условията, определени в точка 2.1, получените резултати се оценяват съгласно процедурата, описана в Приложение 2.</w:t>
      </w:r>
    </w:p>
    <w:p w14:paraId="78F17A9E"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Допустимото отклонение спрямо началната скорост от 13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 xml:space="preserve"> не трябва да бъде повече от </w:t>
      </w:r>
      <w:r w:rsidRPr="004224F6">
        <w:rPr>
          <w:rFonts w:ascii="Times New Roman" w:hAnsi="Times New Roman" w:cs="Times New Roman"/>
        </w:rPr>
        <w:sym w:font="Symbol" w:char="F0B1"/>
      </w:r>
      <w:r w:rsidRPr="004224F6">
        <w:rPr>
          <w:rFonts w:ascii="Times New Roman" w:hAnsi="Times New Roman" w:cs="Times New Roman"/>
          <w:lang w:val="ru-RU"/>
        </w:rPr>
        <w:t xml:space="preserve"> 1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 xml:space="preserve">, а скоростта на течението при течаща вода трябва да бъде между 1,3 и 2,2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 като в противен случай изпитванията се повтарят.</w:t>
      </w:r>
    </w:p>
    <w:p w14:paraId="62F9E91F"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2.4</w:t>
      </w:r>
      <w:r w:rsidRPr="004224F6">
        <w:rPr>
          <w:rFonts w:ascii="Times New Roman" w:hAnsi="Times New Roman" w:cs="Times New Roman"/>
          <w:lang w:val="ru-RU"/>
        </w:rPr>
        <w:tab/>
        <w:t>Допустимото максимално водоизместване или съответното максимално натоварване, или максималното потопено сечение за съдове и състави при плаване по течението се определя въз основа на изпитванията и се вписва в Корабното удостоверение за вътрешно корабоплаване.</w:t>
      </w:r>
    </w:p>
    <w:p w14:paraId="28712F7E" w14:textId="77777777" w:rsidR="00271FA2" w:rsidRPr="004224F6" w:rsidRDefault="00271FA2">
      <w:pPr>
        <w:spacing w:line="240" w:lineRule="atLeast"/>
        <w:ind w:left="567" w:hanging="567"/>
        <w:jc w:val="center"/>
        <w:rPr>
          <w:rFonts w:ascii="Times New Roman" w:hAnsi="Times New Roman" w:cs="Times New Roman"/>
          <w:lang w:val="ru-RU"/>
        </w:rPr>
      </w:pPr>
    </w:p>
    <w:p w14:paraId="1937B776" w14:textId="77777777" w:rsidR="00271FA2" w:rsidRPr="004224F6" w:rsidRDefault="00271FA2">
      <w:pPr>
        <w:tabs>
          <w:tab w:val="left" w:pos="567"/>
        </w:tabs>
        <w:spacing w:line="240" w:lineRule="atLeast"/>
        <w:ind w:left="567" w:hanging="567"/>
        <w:rPr>
          <w:rFonts w:ascii="Times New Roman" w:hAnsi="Times New Roman" w:cs="Times New Roman"/>
          <w:lang w:val="ru-RU"/>
        </w:rPr>
      </w:pPr>
    </w:p>
    <w:p w14:paraId="0985F6AC" w14:textId="77777777" w:rsidR="00271FA2" w:rsidRPr="004224F6" w:rsidRDefault="00271FA2">
      <w:pPr>
        <w:spacing w:line="240" w:lineRule="atLeast"/>
        <w:rPr>
          <w:rFonts w:ascii="Times New Roman" w:hAnsi="Times New Roman" w:cs="Times New Roman"/>
          <w:lang w:val="ru-RU"/>
        </w:rPr>
        <w:sectPr w:rsidR="00271FA2" w:rsidRPr="004224F6" w:rsidSect="004224F6">
          <w:headerReference w:type="default" r:id="rId203"/>
          <w:headerReference w:type="first" r:id="rId204"/>
          <w:pgSz w:w="11907" w:h="16840"/>
          <w:pgMar w:top="1134" w:right="1134" w:bottom="1134" w:left="1134" w:header="709" w:footer="709" w:gutter="0"/>
          <w:cols w:space="720"/>
          <w:titlePg/>
          <w:docGrid w:linePitch="299"/>
        </w:sectPr>
      </w:pPr>
    </w:p>
    <w:p w14:paraId="7354DEED" w14:textId="77777777" w:rsidR="00271FA2" w:rsidRPr="004224F6" w:rsidRDefault="00271FA2">
      <w:pPr>
        <w:spacing w:line="240" w:lineRule="atLeast"/>
        <w:rPr>
          <w:rFonts w:ascii="Times New Roman" w:hAnsi="Times New Roman" w:cs="Times New Roman"/>
          <w:lang w:val="ru-RU"/>
        </w:rPr>
      </w:pPr>
    </w:p>
    <w:p w14:paraId="19F91E04" w14:textId="77777777" w:rsidR="00271FA2" w:rsidRPr="004224F6" w:rsidRDefault="00D35E51" w:rsidP="00605A3E">
      <w:pPr>
        <w:pStyle w:val="ES-Titre4"/>
        <w:spacing w:after="0"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t xml:space="preserve">Приложение 1 към Инструкция </w:t>
      </w:r>
      <w:r w:rsidRPr="004224F6">
        <w:rPr>
          <w:rFonts w:ascii="Times New Roman" w:hAnsi="Times New Roman" w:cs="Times New Roman"/>
          <w:sz w:val="24"/>
          <w:szCs w:val="24"/>
        </w:rPr>
        <w:t>ESI</w:t>
      </w:r>
      <w:r w:rsidRPr="004224F6">
        <w:rPr>
          <w:rFonts w:ascii="Times New Roman" w:hAnsi="Times New Roman" w:cs="Times New Roman"/>
          <w:sz w:val="24"/>
          <w:szCs w:val="24"/>
          <w:lang w:val="ru-RU"/>
        </w:rPr>
        <w:t>-</w:t>
      </w:r>
      <w:r w:rsidRPr="004224F6">
        <w:rPr>
          <w:rFonts w:ascii="Times New Roman" w:hAnsi="Times New Roman" w:cs="Times New Roman"/>
          <w:sz w:val="24"/>
          <w:szCs w:val="24"/>
        </w:rPr>
        <w:t>II</w:t>
      </w:r>
      <w:r w:rsidRPr="004224F6">
        <w:rPr>
          <w:rFonts w:ascii="Times New Roman" w:hAnsi="Times New Roman" w:cs="Times New Roman"/>
          <w:sz w:val="24"/>
          <w:szCs w:val="24"/>
          <w:lang w:val="ru-RU"/>
        </w:rPr>
        <w:t>-3</w:t>
      </w:r>
    </w:p>
    <w:p w14:paraId="050132EF" w14:textId="77777777" w:rsidR="00271FA2" w:rsidRPr="004224F6" w:rsidRDefault="00D35E51">
      <w:pPr>
        <w:pStyle w:val="ES-Titre4a"/>
        <w:spacing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t>Измерване, записване и регистриране на данните, събрани по време на изпитванията на маневрата за спиране</w:t>
      </w:r>
    </w:p>
    <w:p w14:paraId="1A0BA623" w14:textId="77777777" w:rsidR="00271FA2" w:rsidRPr="004224F6" w:rsidRDefault="00D35E51">
      <w:pPr>
        <w:spacing w:line="240" w:lineRule="atLeast"/>
        <w:ind w:left="567" w:hanging="567"/>
        <w:jc w:val="both"/>
        <w:rPr>
          <w:rFonts w:ascii="Times New Roman" w:hAnsi="Times New Roman" w:cs="Times New Roman"/>
          <w:b/>
          <w:color w:val="00000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Маневра за спиране</w:t>
      </w:r>
    </w:p>
    <w:p w14:paraId="4BF13FBE"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На съдовете и съставите, посочени в Глава 5, се провежда изпитване в течаща вода или в тиха вода на изпитвателен полигон, за да се докаже способността им за спиране с нос по течението само с използване на задвижващата им система и без използването на котви. По принцип маневрата за спиране се провежда в съответствие с фигура 1. Тя започва при движение на съда с постоянна скорост, възможно най-близка до 13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 xml:space="preserve"> спрямо водата, като се реверсират машините от „напред“ в „назад“ (точка </w:t>
      </w:r>
      <m:oMath>
        <m:r>
          <w:rPr>
            <w:rFonts w:ascii="Cambria Math" w:hAnsi="Cambria Math" w:cs="Times New Roman"/>
          </w:rPr>
          <m:t>A</m:t>
        </m:r>
      </m:oMath>
      <w:r w:rsidRPr="004224F6">
        <w:rPr>
          <w:rFonts w:ascii="Times New Roman" w:hAnsi="Times New Roman" w:cs="Times New Roman"/>
          <w:lang w:val="ru-RU"/>
        </w:rPr>
        <w:t xml:space="preserve"> от командата „стоп“), и завършва, когато съдът е неподвижен спрямо брега (точка </w:t>
      </w:r>
      <m:oMath>
        <m:r>
          <w:rPr>
            <w:rFonts w:ascii="Cambria Math" w:hAnsi="Cambria Math" w:cs="Times New Roman"/>
          </w:rPr>
          <m:t>E</m:t>
        </m:r>
        <m:r>
          <w:rPr>
            <w:rFonts w:ascii="Cambria Math" w:hAnsi="Cambria Math" w:cs="Times New Roman"/>
            <w:lang w:val="ru-RU"/>
          </w:rPr>
          <m:t xml:space="preserve">: </m:t>
        </m:r>
        <m:r>
          <w:rPr>
            <w:rFonts w:ascii="Cambria Math" w:hAnsi="Cambria Math" w:cs="Times New Roman"/>
          </w:rPr>
          <m:t>v</m:t>
        </m:r>
        <m:r>
          <w:rPr>
            <w:rFonts w:ascii="Cambria Math" w:hAnsi="Cambria Math" w:cs="Times New Roman"/>
            <w:lang w:val="ru-RU"/>
          </w:rPr>
          <m:t>=0</m:t>
        </m:r>
      </m:oMath>
      <w:r w:rsidRPr="004224F6">
        <w:rPr>
          <w:rFonts w:ascii="Times New Roman" w:hAnsi="Times New Roman" w:cs="Times New Roman"/>
          <w:lang w:val="ru-RU"/>
        </w:rPr>
        <w:t xml:space="preserve"> спрямо брега или точка </w:t>
      </w:r>
      <m:oMath>
        <m:r>
          <w:rPr>
            <w:rFonts w:ascii="Cambria Math" w:hAnsi="Cambria Math" w:cs="Times New Roman"/>
          </w:rPr>
          <m:t>D</m:t>
        </m:r>
        <m:r>
          <w:rPr>
            <w:rFonts w:ascii="Cambria Math" w:hAnsi="Cambria Math" w:cs="Times New Roman"/>
            <w:lang w:val="ru-RU"/>
          </w:rPr>
          <m:t>:=</m:t>
        </m:r>
      </m:oMath>
      <w:r w:rsidRPr="004224F6">
        <w:rPr>
          <w:rFonts w:ascii="Times New Roman" w:hAnsi="Times New Roman" w:cs="Times New Roman"/>
          <w:lang w:val="ru-RU"/>
        </w:rPr>
        <w:t xml:space="preserve"> точка </w:t>
      </w:r>
      <m:oMath>
        <m:r>
          <w:rPr>
            <w:rFonts w:ascii="Cambria Math" w:hAnsi="Cambria Math" w:cs="Times New Roman"/>
          </w:rPr>
          <m:t>E</m:t>
        </m:r>
        <m:r>
          <w:rPr>
            <w:rFonts w:ascii="Cambria Math" w:hAnsi="Cambria Math" w:cs="Times New Roman"/>
            <w:lang w:val="ru-RU"/>
          </w:rPr>
          <m:t xml:space="preserve">: </m:t>
        </m:r>
        <m:r>
          <w:rPr>
            <w:rFonts w:ascii="Cambria Math" w:hAnsi="Cambria Math" w:cs="Times New Roman"/>
          </w:rPr>
          <m:t>v</m:t>
        </m:r>
        <m:r>
          <w:rPr>
            <w:rFonts w:ascii="Cambria Math" w:hAnsi="Cambria Math" w:cs="Times New Roman"/>
            <w:lang w:val="ru-RU"/>
          </w:rPr>
          <m:t>=0</m:t>
        </m:r>
      </m:oMath>
      <w:r w:rsidRPr="004224F6">
        <w:rPr>
          <w:rFonts w:ascii="Times New Roman" w:hAnsi="Times New Roman" w:cs="Times New Roman"/>
          <w:lang w:val="ru-RU"/>
        </w:rPr>
        <w:t xml:space="preserve"> спрямо водата и спрямо брега, ако маневрата за спиране е проведена в тиха вода).</w:t>
      </w:r>
    </w:p>
    <w:p w14:paraId="01272A41"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Когато маневрите за спиране се провеждат в течаща вода, местоположението и моментът на спиране спрямо водата също се записват (плавателният съд се движи със скоростта на течението; точка </w:t>
      </w:r>
      <m:oMath>
        <m:r>
          <w:rPr>
            <w:rFonts w:ascii="Cambria Math" w:hAnsi="Cambria Math" w:cs="Times New Roman"/>
          </w:rPr>
          <m:t>D</m:t>
        </m:r>
        <m:r>
          <w:rPr>
            <w:rFonts w:ascii="Cambria Math" w:hAnsi="Cambria Math" w:cs="Times New Roman"/>
            <w:lang w:val="ru-RU"/>
          </w:rPr>
          <m:t>:</m:t>
        </m:r>
        <m:r>
          <w:rPr>
            <w:rFonts w:ascii="Cambria Math" w:hAnsi="Cambria Math" w:cs="Times New Roman"/>
          </w:rPr>
          <m:t>v</m:t>
        </m:r>
        <m:r>
          <w:rPr>
            <w:rFonts w:ascii="Cambria Math" w:hAnsi="Cambria Math" w:cs="Times New Roman"/>
            <w:lang w:val="ru-RU"/>
          </w:rPr>
          <m:t>=0</m:t>
        </m:r>
      </m:oMath>
      <w:r w:rsidRPr="004224F6">
        <w:rPr>
          <w:rFonts w:ascii="Times New Roman" w:hAnsi="Times New Roman" w:cs="Times New Roman"/>
          <w:lang w:val="ru-RU"/>
        </w:rPr>
        <w:t xml:space="preserve"> спрямо водата).</w:t>
      </w:r>
    </w:p>
    <w:p w14:paraId="568CA500"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Измерените данни се вписват в протокол, както е показано на диаграмата от таблица 1. Преди провеждането на маневрата за спиране, непроменящите се данни се въвеждат в горната част на формуляра.</w:t>
      </w:r>
    </w:p>
    <w:p w14:paraId="6CA2E357"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Средната скорост на течението (</w:t>
      </w:r>
      <m:oMath>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STR</m:t>
            </m:r>
          </m:sub>
        </m:sSub>
      </m:oMath>
      <w:r w:rsidRPr="004224F6">
        <w:rPr>
          <w:rFonts w:ascii="Times New Roman" w:hAnsi="Times New Roman" w:cs="Times New Roman"/>
          <w:lang w:val="ru-RU"/>
        </w:rPr>
        <w:t>) във фарватера се определя, ако е възможно, въз основа на отчета по установена водомерна рейка или като се измерва движението на плаващо тяло, и се вписва в протокола.</w:t>
      </w:r>
    </w:p>
    <w:p w14:paraId="3FF86CF4"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По принцип използването на устройства за измерване на скоростта на течението за определяне на скоростта на съда спрямо водата по време на маневрата за спиране е разрешено, ако е възможно да се регистрират движението и необходимите данни в съответствие с процедурата по-горе.</w:t>
      </w:r>
    </w:p>
    <w:p w14:paraId="3878994B"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Регистриране на измерените данни и записването им в протокола (таблица 1)</w:t>
      </w:r>
    </w:p>
    <w:p w14:paraId="059DA51F"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За маневрата за спиране трябва най-напред да бъде определена началната скорост спрямо водата. Това може да се направи, като се измери времето за преминаване между два знака на брега. В течаща вода средната скорост на течението трябва да бъде взета под внимание.</w:t>
      </w:r>
    </w:p>
    <w:p w14:paraId="0BD445B2"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Маневрата за спиране започва с командата „стоп“ </w:t>
      </w:r>
      <m:oMath>
        <m:r>
          <w:rPr>
            <w:rFonts w:ascii="Cambria Math" w:hAnsi="Cambria Math" w:cs="Times New Roman"/>
          </w:rPr>
          <m:t>A</m:t>
        </m:r>
      </m:oMath>
      <w:r w:rsidRPr="004224F6">
        <w:rPr>
          <w:rFonts w:ascii="Times New Roman" w:hAnsi="Times New Roman" w:cs="Times New Roman"/>
          <w:lang w:val="ru-RU"/>
        </w:rPr>
        <w:t>, подадена при преминаване покрай знак на брега. Преминаването покрай знака на брега се регистрира перпендикулярно на оста на плавателния съда и се вписва в протокола. По същия начин се регистрира преминаването покрай всички други знаци на брега по време на маневрата за спиране и всеки знак (напр. километричен знак), както и времето на преминаване се отбелязват в протокола.</w:t>
      </w:r>
    </w:p>
    <w:p w14:paraId="69827050"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Измерените стойности, ако е възможно, се записват през интервал от 50 </w:t>
      </w:r>
      <w:r w:rsidRPr="004224F6">
        <w:rPr>
          <w:rFonts w:ascii="Times New Roman" w:hAnsi="Times New Roman" w:cs="Times New Roman"/>
        </w:rPr>
        <w:t>m</w:t>
      </w:r>
      <w:r w:rsidRPr="004224F6">
        <w:rPr>
          <w:rFonts w:ascii="Times New Roman" w:hAnsi="Times New Roman" w:cs="Times New Roman"/>
          <w:lang w:val="ru-RU"/>
        </w:rPr>
        <w:t xml:space="preserve">. Във всички случаи се отбелязва времето, когато се достигат точки </w:t>
      </w:r>
      <m:oMath>
        <m:r>
          <w:rPr>
            <w:rFonts w:ascii="Cambria Math" w:hAnsi="Cambria Math" w:cs="Times New Roman"/>
          </w:rPr>
          <m:t>B</m:t>
        </m:r>
      </m:oMath>
      <w:r w:rsidRPr="004224F6">
        <w:rPr>
          <w:rFonts w:ascii="Times New Roman" w:hAnsi="Times New Roman" w:cs="Times New Roman"/>
          <w:lang w:val="ru-RU"/>
        </w:rPr>
        <w:t xml:space="preserve"> и </w:t>
      </w:r>
      <m:oMath>
        <m:r>
          <w:rPr>
            <w:rFonts w:ascii="Cambria Math" w:hAnsi="Cambria Math" w:cs="Times New Roman"/>
          </w:rPr>
          <m:t>C</m:t>
        </m:r>
      </m:oMath>
      <w:r w:rsidRPr="004224F6">
        <w:rPr>
          <w:rFonts w:ascii="Times New Roman" w:hAnsi="Times New Roman" w:cs="Times New Roman"/>
          <w:lang w:val="ru-RU"/>
        </w:rPr>
        <w:t xml:space="preserve">, ако е възможно, както и когато се достигат точки </w:t>
      </w:r>
      <m:oMath>
        <m:r>
          <w:rPr>
            <w:rFonts w:ascii="Cambria Math" w:hAnsi="Cambria Math" w:cs="Times New Roman"/>
          </w:rPr>
          <m:t>D</m:t>
        </m:r>
      </m:oMath>
      <w:r w:rsidRPr="004224F6">
        <w:rPr>
          <w:rFonts w:ascii="Times New Roman" w:hAnsi="Times New Roman" w:cs="Times New Roman"/>
          <w:lang w:val="ru-RU"/>
        </w:rPr>
        <w:t xml:space="preserve"> и </w:t>
      </w:r>
      <m:oMath>
        <m:r>
          <w:rPr>
            <w:rFonts w:ascii="Cambria Math" w:hAnsi="Cambria Math" w:cs="Times New Roman"/>
          </w:rPr>
          <m:t>E</m:t>
        </m:r>
      </m:oMath>
      <w:r w:rsidRPr="004224F6">
        <w:rPr>
          <w:rFonts w:ascii="Times New Roman" w:hAnsi="Times New Roman" w:cs="Times New Roman"/>
          <w:lang w:val="ru-RU"/>
        </w:rPr>
        <w:t>, и се прави оценка за съответното местоположение. Не е необходимо да се записват в протокола данните, отнасящи се до оборотите на машината, но би следвало те да се отбелязват за по-точен контрол върху началната скорост.</w:t>
      </w:r>
    </w:p>
    <w:p w14:paraId="4C1BA52C"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3.</w:t>
      </w:r>
      <w:r w:rsidRPr="004224F6">
        <w:rPr>
          <w:rFonts w:ascii="Times New Roman" w:hAnsi="Times New Roman" w:cs="Times New Roman"/>
          <w:lang w:val="ru-RU"/>
        </w:rPr>
        <w:tab/>
      </w:r>
      <w:r w:rsidRPr="004224F6">
        <w:rPr>
          <w:rFonts w:ascii="Times New Roman" w:hAnsi="Times New Roman" w:cs="Times New Roman"/>
          <w:b/>
          <w:color w:val="000000"/>
          <w:lang w:val="ru-RU"/>
        </w:rPr>
        <w:t>Описание на маневрата за спиране</w:t>
      </w:r>
    </w:p>
    <w:p w14:paraId="5B9C6957"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Маневрата за спиране съгласно фигура 1 трябва да се представи във формата на диаграма. Най-напред се изготвя диаграма на преминаването край регистрираните точки, като се използват измерванията, вписани в протокола от изпитването, и се отбелязват точки от </w:t>
      </w:r>
      <m:oMath>
        <m:r>
          <w:rPr>
            <w:rFonts w:ascii="Cambria Math" w:hAnsi="Cambria Math" w:cs="Times New Roman"/>
          </w:rPr>
          <m:t>A</m:t>
        </m:r>
      </m:oMath>
      <w:r w:rsidRPr="004224F6">
        <w:rPr>
          <w:rFonts w:ascii="Times New Roman" w:hAnsi="Times New Roman" w:cs="Times New Roman"/>
          <w:lang w:val="ru-RU"/>
        </w:rPr>
        <w:t xml:space="preserve"> до </w:t>
      </w:r>
      <m:oMath>
        <m:r>
          <w:rPr>
            <w:rFonts w:ascii="Cambria Math" w:hAnsi="Cambria Math" w:cs="Times New Roman"/>
          </w:rPr>
          <m:t>E</m:t>
        </m:r>
        <m:r>
          <w:rPr>
            <w:rFonts w:ascii="Cambria Math" w:hAnsi="Cambria Math" w:cs="Times New Roman"/>
            <w:lang w:val="ru-RU"/>
          </w:rPr>
          <m:t>.</m:t>
        </m:r>
      </m:oMath>
      <w:r w:rsidRPr="004224F6">
        <w:rPr>
          <w:rFonts w:ascii="Times New Roman" w:hAnsi="Times New Roman" w:cs="Times New Roman"/>
          <w:lang w:val="ru-RU"/>
        </w:rPr>
        <w:t xml:space="preserve"> След това ще е възможно да се определи средната скорост между две точки на измерване и да се начертае диаграмата скорост/време.</w:t>
      </w:r>
    </w:p>
    <w:p w14:paraId="1A821F13"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lastRenderedPageBreak/>
        <w:t>Това се прави по следния начин (в</w:t>
      </w:r>
      <w:r w:rsidRPr="004224F6">
        <w:rPr>
          <w:rFonts w:ascii="Times New Roman" w:hAnsi="Times New Roman" w:cs="Times New Roman"/>
        </w:rPr>
        <w:t>i</w:t>
      </w:r>
      <w:r w:rsidRPr="004224F6">
        <w:rPr>
          <w:rFonts w:ascii="Times New Roman" w:hAnsi="Times New Roman" w:cs="Times New Roman"/>
          <w:lang w:val="ru-RU"/>
        </w:rPr>
        <w:t>ж фигура 1):</w:t>
      </w:r>
    </w:p>
    <w:p w14:paraId="0CEEE808"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Като се определи частното от разликата в местоположението и разликата във времето </w:t>
      </w:r>
      <m:oMath>
        <m:r>
          <w:rPr>
            <w:rFonts w:ascii="Cambria Math" w:hAnsi="Cambria Math" w:cs="Times New Roman"/>
          </w:rPr>
          <m:t>Δs</m:t>
        </m:r>
        <m:r>
          <w:rPr>
            <w:rFonts w:ascii="Cambria Math" w:hAnsi="Cambria Math" w:cs="Times New Roman"/>
            <w:lang w:val="ru-RU"/>
          </w:rPr>
          <m:t>/</m:t>
        </m:r>
        <m:r>
          <w:rPr>
            <w:rFonts w:ascii="Cambria Math" w:hAnsi="Cambria Math" w:cs="Times New Roman"/>
          </w:rPr>
          <m:t>Δt</m:t>
        </m:r>
      </m:oMath>
      <w:r w:rsidRPr="004224F6">
        <w:rPr>
          <w:rFonts w:ascii="Times New Roman" w:hAnsi="Times New Roman" w:cs="Times New Roman"/>
          <w:lang w:val="ru-RU"/>
        </w:rPr>
        <w:t>, може да се изчисли средната скорост на съда през този период.</w:t>
      </w:r>
    </w:p>
    <w:p w14:paraId="4448435D"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В интервала между 0 сек. и 10 сек. е изминато разстоянието от 0 </w:t>
      </w:r>
      <w:r w:rsidRPr="004224F6">
        <w:rPr>
          <w:rFonts w:ascii="Times New Roman" w:hAnsi="Times New Roman" w:cs="Times New Roman"/>
        </w:rPr>
        <w:t>m</w:t>
      </w:r>
      <w:r w:rsidRPr="004224F6">
        <w:rPr>
          <w:rFonts w:ascii="Times New Roman" w:hAnsi="Times New Roman" w:cs="Times New Roman"/>
          <w:lang w:val="ru-RU"/>
        </w:rPr>
        <w:t xml:space="preserve"> до 50 </w:t>
      </w:r>
      <w:r w:rsidRPr="004224F6">
        <w:rPr>
          <w:rFonts w:ascii="Times New Roman" w:hAnsi="Times New Roman" w:cs="Times New Roman"/>
        </w:rPr>
        <w:t>m</w:t>
      </w:r>
      <w:r w:rsidRPr="004224F6">
        <w:rPr>
          <w:rFonts w:ascii="Times New Roman" w:hAnsi="Times New Roman" w:cs="Times New Roman"/>
          <w:lang w:val="ru-RU"/>
        </w:rPr>
        <w:t>.</w:t>
      </w:r>
    </w:p>
    <w:p w14:paraId="234D1310" w14:textId="77777777" w:rsidR="00271FA2" w:rsidRPr="004224F6" w:rsidRDefault="00D35E51">
      <w:pPr>
        <w:spacing w:line="240" w:lineRule="atLeast"/>
        <w:ind w:left="567"/>
        <w:jc w:val="both"/>
        <w:rPr>
          <w:rFonts w:ascii="Times New Roman" w:hAnsi="Times New Roman" w:cs="Times New Roman"/>
          <w:lang w:val="ru-RU"/>
        </w:rPr>
      </w:pPr>
      <m:oMath>
        <m:r>
          <m:rPr>
            <m:sty m:val="p"/>
          </m:rPr>
          <w:rPr>
            <w:rFonts w:ascii="Cambria Math" w:hAnsi="Cambria Math" w:cs="Times New Roman"/>
          </w:rPr>
          <w:sym w:font="Symbol" w:char="F044"/>
        </m:r>
        <m:r>
          <w:rPr>
            <w:rFonts w:ascii="Cambria Math" w:hAnsi="Cambria Math" w:cs="Times New Roman"/>
          </w:rPr>
          <m:t>s</m:t>
        </m:r>
        <m:r>
          <w:rPr>
            <w:rFonts w:ascii="Cambria Math" w:hAnsi="Cambria Math" w:cs="Times New Roman"/>
            <w:lang w:val="ru-RU"/>
          </w:rPr>
          <m:t>/</m:t>
        </m:r>
        <m:r>
          <m:rPr>
            <m:sty m:val="p"/>
          </m:rPr>
          <w:rPr>
            <w:rFonts w:ascii="Cambria Math" w:hAnsi="Cambria Math" w:cs="Times New Roman"/>
          </w:rPr>
          <w:sym w:font="Symbol" w:char="F044"/>
        </m:r>
        <m:r>
          <w:rPr>
            <w:rFonts w:ascii="Cambria Math" w:hAnsi="Cambria Math" w:cs="Times New Roman"/>
          </w:rPr>
          <m:t>t</m:t>
        </m:r>
      </m:oMath>
      <w:r w:rsidRPr="004224F6">
        <w:rPr>
          <w:rFonts w:ascii="Times New Roman" w:hAnsi="Times New Roman" w:cs="Times New Roman"/>
          <w:lang w:val="ru-RU"/>
        </w:rPr>
        <w:t xml:space="preserve"> = 50 </w:t>
      </w:r>
      <w:r w:rsidRPr="004224F6">
        <w:rPr>
          <w:rFonts w:ascii="Times New Roman" w:hAnsi="Times New Roman" w:cs="Times New Roman"/>
        </w:rPr>
        <w:t>m</w:t>
      </w:r>
      <w:r w:rsidRPr="004224F6">
        <w:rPr>
          <w:rFonts w:ascii="Times New Roman" w:hAnsi="Times New Roman" w:cs="Times New Roman"/>
          <w:lang w:val="ru-RU"/>
        </w:rPr>
        <w:t xml:space="preserve">/10 </w:t>
      </w:r>
      <w:r w:rsidRPr="004224F6">
        <w:rPr>
          <w:rFonts w:ascii="Times New Roman" w:hAnsi="Times New Roman" w:cs="Times New Roman"/>
        </w:rPr>
        <w:t>s</w:t>
      </w:r>
      <w:r w:rsidRPr="004224F6">
        <w:rPr>
          <w:rFonts w:ascii="Times New Roman" w:hAnsi="Times New Roman" w:cs="Times New Roman"/>
          <w:lang w:val="ru-RU"/>
        </w:rPr>
        <w:t xml:space="preserve"> = 5,0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 xml:space="preserve"> = 18,0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p>
    <w:p w14:paraId="5EE12334"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Тази стойност се нанася като средната скорост в позиция 5 сек. по абсцисата. </w:t>
      </w:r>
    </w:p>
    <w:p w14:paraId="7E106C49"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През втория интервал, от 10 сек. до 20 сек., е изминато разстояние от 45 </w:t>
      </w:r>
      <w:r w:rsidRPr="004224F6">
        <w:rPr>
          <w:rFonts w:ascii="Times New Roman" w:hAnsi="Times New Roman" w:cs="Times New Roman"/>
        </w:rPr>
        <w:t>m</w:t>
      </w:r>
      <w:r w:rsidRPr="004224F6">
        <w:rPr>
          <w:rFonts w:ascii="Times New Roman" w:hAnsi="Times New Roman" w:cs="Times New Roman"/>
          <w:lang w:val="ru-RU"/>
        </w:rPr>
        <w:t>.</w:t>
      </w:r>
    </w:p>
    <w:p w14:paraId="57172A06" w14:textId="77777777" w:rsidR="00271FA2" w:rsidRPr="004224F6" w:rsidRDefault="00D35E51">
      <w:pPr>
        <w:spacing w:line="240" w:lineRule="atLeast"/>
        <w:ind w:left="567"/>
        <w:jc w:val="both"/>
        <w:rPr>
          <w:rFonts w:ascii="Times New Roman" w:hAnsi="Times New Roman" w:cs="Times New Roman"/>
          <w:lang w:val="ru-RU"/>
        </w:rPr>
      </w:pPr>
      <m:oMath>
        <m:r>
          <m:rPr>
            <m:sty m:val="p"/>
          </m:rPr>
          <w:rPr>
            <w:rFonts w:ascii="Cambria Math" w:hAnsi="Cambria Math" w:cs="Times New Roman"/>
          </w:rPr>
          <w:sym w:font="Symbol" w:char="F044"/>
        </m:r>
        <m:r>
          <w:rPr>
            <w:rFonts w:ascii="Cambria Math" w:hAnsi="Cambria Math" w:cs="Times New Roman"/>
          </w:rPr>
          <m:t>s</m:t>
        </m:r>
        <m:r>
          <w:rPr>
            <w:rFonts w:ascii="Cambria Math" w:hAnsi="Cambria Math" w:cs="Times New Roman"/>
            <w:lang w:val="ru-RU"/>
          </w:rPr>
          <m:t>/</m:t>
        </m:r>
        <m:r>
          <m:rPr>
            <m:sty m:val="p"/>
          </m:rPr>
          <w:rPr>
            <w:rFonts w:ascii="Cambria Math" w:hAnsi="Cambria Math" w:cs="Times New Roman"/>
          </w:rPr>
          <w:sym w:font="Symbol" w:char="F044"/>
        </m:r>
        <m:r>
          <w:rPr>
            <w:rFonts w:ascii="Cambria Math" w:hAnsi="Cambria Math" w:cs="Times New Roman"/>
          </w:rPr>
          <m:t>t</m:t>
        </m:r>
      </m:oMath>
      <w:r w:rsidRPr="004224F6">
        <w:rPr>
          <w:rFonts w:ascii="Times New Roman" w:hAnsi="Times New Roman" w:cs="Times New Roman"/>
          <w:lang w:val="ru-RU"/>
        </w:rPr>
        <w:t xml:space="preserve"> = 45 </w:t>
      </w:r>
      <w:r w:rsidRPr="004224F6">
        <w:rPr>
          <w:rFonts w:ascii="Times New Roman" w:hAnsi="Times New Roman" w:cs="Times New Roman"/>
        </w:rPr>
        <w:t>m</w:t>
      </w:r>
      <w:r w:rsidRPr="004224F6">
        <w:rPr>
          <w:rFonts w:ascii="Times New Roman" w:hAnsi="Times New Roman" w:cs="Times New Roman"/>
          <w:lang w:val="ru-RU"/>
        </w:rPr>
        <w:t xml:space="preserve">/10 </w:t>
      </w:r>
      <w:r w:rsidRPr="004224F6">
        <w:rPr>
          <w:rFonts w:ascii="Times New Roman" w:hAnsi="Times New Roman" w:cs="Times New Roman"/>
        </w:rPr>
        <w:t>s</w:t>
      </w:r>
      <w:r w:rsidRPr="004224F6">
        <w:rPr>
          <w:rFonts w:ascii="Times New Roman" w:hAnsi="Times New Roman" w:cs="Times New Roman"/>
          <w:lang w:val="ru-RU"/>
        </w:rPr>
        <w:t xml:space="preserve"> = 4,5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 xml:space="preserve"> = 16,2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p>
    <w:p w14:paraId="2EB40B9C"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В точка </w:t>
      </w:r>
      <m:oMath>
        <m:r>
          <w:rPr>
            <w:rFonts w:ascii="Cambria Math" w:hAnsi="Cambria Math" w:cs="Times New Roman"/>
          </w:rPr>
          <m:t>D</m:t>
        </m:r>
      </m:oMath>
      <w:r w:rsidRPr="004224F6">
        <w:rPr>
          <w:rFonts w:ascii="Times New Roman" w:hAnsi="Times New Roman" w:cs="Times New Roman"/>
          <w:lang w:val="ru-RU"/>
        </w:rPr>
        <w:t xml:space="preserve">съдът е спрял спрямо водата, т.е. скоростта на течението е приблизително 5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w:t>
      </w:r>
    </w:p>
    <w:p w14:paraId="4C2E3AEF" w14:textId="77777777" w:rsidR="00271FA2" w:rsidRPr="004224F6" w:rsidRDefault="00D35E51">
      <w:pPr>
        <w:overflowPunct w:val="0"/>
        <w:adjustRightInd w:val="0"/>
        <w:spacing w:line="240" w:lineRule="atLeast"/>
        <w:jc w:val="center"/>
        <w:textAlignment w:val="baseline"/>
        <w:rPr>
          <w:rFonts w:ascii="Times New Roman" w:hAnsi="Times New Roman" w:cs="Times New Roman"/>
          <w:szCs w:val="20"/>
        </w:rPr>
      </w:pPr>
      <w:r w:rsidRPr="004224F6">
        <w:rPr>
          <w:rFonts w:ascii="Times New Roman" w:hAnsi="Times New Roman" w:cs="Times New Roman"/>
          <w:lang w:val="ru-RU"/>
        </w:rPr>
        <w:br w:type="page"/>
      </w:r>
      <w:r w:rsidRPr="004224F6">
        <w:rPr>
          <w:rFonts w:ascii="Times New Roman" w:hAnsi="Times New Roman" w:cs="Times New Roman"/>
          <w:b/>
        </w:rPr>
        <w:lastRenderedPageBreak/>
        <w:t>Фигура 1: Маневра за спиране</w:t>
      </w:r>
    </w:p>
    <w:p w14:paraId="2497C5CE" w14:textId="77777777" w:rsidR="00271FA2" w:rsidRPr="004224F6" w:rsidRDefault="00D35E51">
      <w:pPr>
        <w:overflowPunct w:val="0"/>
        <w:adjustRightInd w:val="0"/>
        <w:spacing w:line="240" w:lineRule="atLeast"/>
        <w:jc w:val="center"/>
        <w:textAlignment w:val="baseline"/>
        <w:rPr>
          <w:rFonts w:ascii="Times New Roman" w:hAnsi="Times New Roman" w:cs="Times New Roman"/>
          <w:szCs w:val="20"/>
        </w:rPr>
      </w:pPr>
      <w:r w:rsidRPr="004224F6">
        <w:rPr>
          <w:rFonts w:ascii="Times New Roman" w:hAnsi="Times New Roman" w:cs="Times New Roman"/>
          <w:noProof/>
          <w:szCs w:val="20"/>
          <w:lang w:eastAsia="bg-BG"/>
        </w:rPr>
        <w:drawing>
          <wp:inline distT="0" distB="0" distL="0" distR="0" wp14:anchorId="0AC523BB" wp14:editId="47F867B8">
            <wp:extent cx="5372100" cy="3533775"/>
            <wp:effectExtent l="0" t="0" r="0" b="9525"/>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 29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a:xfrm>
                      <a:off x="0" y="0"/>
                      <a:ext cx="5372100" cy="3533775"/>
                    </a:xfrm>
                    <a:prstGeom prst="rect">
                      <a:avLst/>
                    </a:prstGeom>
                    <a:noFill/>
                    <a:ln>
                      <a:noFill/>
                    </a:ln>
                  </pic:spPr>
                </pic:pic>
              </a:graphicData>
            </a:graphic>
          </wp:inline>
        </w:drawing>
      </w:r>
    </w:p>
    <w:p w14:paraId="6D8C47A6" w14:textId="77777777" w:rsidR="00271FA2" w:rsidRPr="004224F6" w:rsidRDefault="00D35E51">
      <w:pPr>
        <w:spacing w:line="240" w:lineRule="atLeast"/>
        <w:ind w:left="567" w:hanging="567"/>
        <w:rPr>
          <w:rFonts w:ascii="Times New Roman" w:hAnsi="Times New Roman" w:cs="Times New Roman"/>
          <w:szCs w:val="20"/>
          <w:lang w:val="ru-RU"/>
        </w:rPr>
      </w:pPr>
      <w:r w:rsidRPr="004224F6">
        <w:rPr>
          <w:rFonts w:ascii="Times New Roman" w:hAnsi="Times New Roman" w:cs="Times New Roman"/>
          <w:b/>
          <w:color w:val="000000"/>
          <w:lang w:val="ru-RU"/>
        </w:rPr>
        <w:t>Легенда на означенията от фигура 1</w:t>
      </w:r>
    </w:p>
    <w:p w14:paraId="39A5A703" w14:textId="77777777" w:rsidR="00271FA2" w:rsidRPr="004224F6" w:rsidRDefault="00D35E51">
      <w:pPr>
        <w:tabs>
          <w:tab w:val="left" w:pos="851"/>
          <w:tab w:val="left" w:pos="4820"/>
          <w:tab w:val="left" w:pos="5245"/>
        </w:tabs>
        <w:overflowPunct w:val="0"/>
        <w:adjustRightInd w:val="0"/>
        <w:spacing w:line="240" w:lineRule="atLeast"/>
        <w:textAlignment w:val="baseline"/>
        <w:rPr>
          <w:rFonts w:ascii="Times New Roman" w:hAnsi="Times New Roman" w:cs="Times New Roman"/>
          <w:szCs w:val="20"/>
          <w:lang w:val="ru-RU"/>
        </w:rPr>
      </w:pPr>
      <m:oMath>
        <m:r>
          <w:rPr>
            <w:rFonts w:ascii="Cambria Math" w:hAnsi="Cambria Math" w:cs="Times New Roman"/>
            <w:szCs w:val="20"/>
          </w:rPr>
          <m:t>A</m:t>
        </m:r>
      </m:oMath>
      <w:r w:rsidRPr="004224F6">
        <w:rPr>
          <w:rFonts w:ascii="Times New Roman" w:hAnsi="Times New Roman" w:cs="Times New Roman"/>
          <w:lang w:val="ru-RU"/>
        </w:rPr>
        <w:tab/>
        <w:t>команда „стоп“</w:t>
      </w:r>
      <w:r w:rsidRPr="004224F6">
        <w:rPr>
          <w:rFonts w:ascii="Times New Roman" w:hAnsi="Times New Roman" w:cs="Times New Roman"/>
          <w:lang w:val="ru-RU"/>
        </w:rPr>
        <w:tab/>
      </w:r>
      <m:oMath>
        <m:r>
          <w:rPr>
            <w:rFonts w:ascii="Cambria Math" w:hAnsi="Cambria Math" w:cs="Times New Roman"/>
            <w:szCs w:val="20"/>
          </w:rPr>
          <m:t>v</m:t>
        </m:r>
      </m:oMath>
      <w:r w:rsidRPr="004224F6">
        <w:rPr>
          <w:rFonts w:ascii="Times New Roman" w:hAnsi="Times New Roman" w:cs="Times New Roman"/>
          <w:lang w:val="ru-RU"/>
        </w:rPr>
        <w:tab/>
        <w:t>скорост на съда</w:t>
      </w:r>
    </w:p>
    <w:p w14:paraId="2304F3BC" w14:textId="77777777" w:rsidR="00271FA2" w:rsidRPr="004224F6" w:rsidRDefault="00D35E51">
      <w:pPr>
        <w:tabs>
          <w:tab w:val="left" w:pos="851"/>
          <w:tab w:val="left" w:pos="4820"/>
          <w:tab w:val="left" w:pos="5245"/>
        </w:tabs>
        <w:overflowPunct w:val="0"/>
        <w:adjustRightInd w:val="0"/>
        <w:spacing w:line="240" w:lineRule="atLeast"/>
        <w:textAlignment w:val="baseline"/>
        <w:rPr>
          <w:rFonts w:ascii="Times New Roman" w:hAnsi="Times New Roman" w:cs="Times New Roman"/>
          <w:szCs w:val="20"/>
          <w:lang w:val="ru-RU"/>
        </w:rPr>
      </w:pPr>
      <m:oMath>
        <m:r>
          <w:rPr>
            <w:rFonts w:ascii="Cambria Math" w:hAnsi="Cambria Math" w:cs="Times New Roman"/>
            <w:szCs w:val="20"/>
          </w:rPr>
          <m:t>B</m:t>
        </m:r>
      </m:oMath>
      <w:r w:rsidRPr="004224F6">
        <w:rPr>
          <w:rFonts w:ascii="Times New Roman" w:hAnsi="Times New Roman" w:cs="Times New Roman"/>
          <w:lang w:val="ru-RU"/>
        </w:rPr>
        <w:tab/>
        <w:t>винтът спрял</w:t>
      </w:r>
      <w:r w:rsidRPr="004224F6">
        <w:rPr>
          <w:rFonts w:ascii="Times New Roman" w:hAnsi="Times New Roman" w:cs="Times New Roman"/>
          <w:lang w:val="ru-RU"/>
        </w:rPr>
        <w:tab/>
      </w:r>
      <m:oMath>
        <m:r>
          <w:rPr>
            <w:rFonts w:ascii="Cambria Math" w:hAnsi="Cambria Math" w:cs="Times New Roman"/>
            <w:szCs w:val="20"/>
          </w:rPr>
          <m:t>v</m:t>
        </m:r>
        <m:r>
          <w:rPr>
            <w:rFonts w:ascii="Cambria Math" w:hAnsi="Cambria Math" w:cs="Times New Roman"/>
            <w:position w:val="-6"/>
            <w:sz w:val="16"/>
            <w:szCs w:val="20"/>
          </w:rPr>
          <m:t>L</m:t>
        </m:r>
      </m:oMath>
      <w:r w:rsidRPr="004224F6">
        <w:rPr>
          <w:rFonts w:ascii="Times New Roman" w:hAnsi="Times New Roman" w:cs="Times New Roman"/>
          <w:lang w:val="ru-RU"/>
        </w:rPr>
        <w:tab/>
      </w:r>
      <m:oMath>
        <m:r>
          <w:rPr>
            <w:rFonts w:ascii="Cambria Math" w:hAnsi="Cambria Math" w:cs="Times New Roman"/>
            <w:szCs w:val="20"/>
          </w:rPr>
          <m:t>v</m:t>
        </m:r>
      </m:oMath>
      <w:r w:rsidRPr="004224F6">
        <w:rPr>
          <w:rFonts w:ascii="Times New Roman" w:hAnsi="Times New Roman" w:cs="Times New Roman"/>
          <w:lang w:val="ru-RU"/>
        </w:rPr>
        <w:t xml:space="preserve"> спрямо брега</w:t>
      </w:r>
    </w:p>
    <w:p w14:paraId="10073E61" w14:textId="77777777" w:rsidR="00271FA2" w:rsidRPr="004224F6" w:rsidRDefault="00D35E51">
      <w:pPr>
        <w:tabs>
          <w:tab w:val="left" w:pos="851"/>
          <w:tab w:val="left" w:pos="4820"/>
          <w:tab w:val="left" w:pos="5245"/>
        </w:tabs>
        <w:overflowPunct w:val="0"/>
        <w:adjustRightInd w:val="0"/>
        <w:spacing w:line="240" w:lineRule="atLeast"/>
        <w:textAlignment w:val="baseline"/>
        <w:rPr>
          <w:rFonts w:ascii="Times New Roman" w:hAnsi="Times New Roman" w:cs="Times New Roman"/>
          <w:szCs w:val="20"/>
          <w:lang w:val="ru-RU"/>
        </w:rPr>
      </w:pPr>
      <m:oMath>
        <m:r>
          <w:rPr>
            <w:rFonts w:ascii="Cambria Math" w:hAnsi="Cambria Math" w:cs="Times New Roman"/>
            <w:szCs w:val="20"/>
          </w:rPr>
          <m:t>C</m:t>
        </m:r>
      </m:oMath>
      <w:r w:rsidRPr="004224F6">
        <w:rPr>
          <w:rFonts w:ascii="Times New Roman" w:hAnsi="Times New Roman" w:cs="Times New Roman"/>
          <w:lang w:val="ru-RU"/>
        </w:rPr>
        <w:tab/>
        <w:t>винтът на заден ход</w:t>
      </w:r>
      <w:r w:rsidRPr="004224F6">
        <w:rPr>
          <w:rFonts w:ascii="Times New Roman" w:hAnsi="Times New Roman" w:cs="Times New Roman"/>
          <w:lang w:val="ru-RU"/>
        </w:rPr>
        <w:tab/>
      </w:r>
      <m:oMath>
        <m:r>
          <w:rPr>
            <w:rFonts w:ascii="Cambria Math" w:hAnsi="Cambria Math" w:cs="Times New Roman"/>
            <w:szCs w:val="20"/>
          </w:rPr>
          <m:t>s</m:t>
        </m:r>
      </m:oMath>
      <w:r w:rsidRPr="004224F6">
        <w:rPr>
          <w:rFonts w:ascii="Times New Roman" w:hAnsi="Times New Roman" w:cs="Times New Roman"/>
          <w:lang w:val="ru-RU"/>
        </w:rPr>
        <w:t xml:space="preserve"> </w:t>
      </w:r>
      <w:r w:rsidRPr="004224F6">
        <w:rPr>
          <w:rFonts w:ascii="Times New Roman" w:hAnsi="Times New Roman" w:cs="Times New Roman"/>
          <w:lang w:val="ru-RU"/>
        </w:rPr>
        <w:tab/>
        <w:t>изминато разстояние спрямо брега</w:t>
      </w:r>
    </w:p>
    <w:p w14:paraId="00F0C2DE" w14:textId="77777777" w:rsidR="00271FA2" w:rsidRPr="004224F6" w:rsidRDefault="00D35E51">
      <w:pPr>
        <w:tabs>
          <w:tab w:val="left" w:pos="851"/>
          <w:tab w:val="left" w:pos="4820"/>
          <w:tab w:val="left" w:pos="5245"/>
        </w:tabs>
        <w:overflowPunct w:val="0"/>
        <w:adjustRightInd w:val="0"/>
        <w:spacing w:line="240" w:lineRule="atLeast"/>
        <w:textAlignment w:val="baseline"/>
        <w:rPr>
          <w:rFonts w:ascii="Times New Roman" w:hAnsi="Times New Roman" w:cs="Times New Roman"/>
          <w:szCs w:val="20"/>
          <w:lang w:val="ru-RU"/>
        </w:rPr>
      </w:pPr>
      <m:oMath>
        <m:r>
          <w:rPr>
            <w:rFonts w:ascii="Cambria Math" w:hAnsi="Cambria Math" w:cs="Times New Roman"/>
            <w:szCs w:val="20"/>
          </w:rPr>
          <m:t>D</m:t>
        </m:r>
      </m:oMath>
      <w:r w:rsidRPr="004224F6">
        <w:rPr>
          <w:rFonts w:ascii="Times New Roman" w:hAnsi="Times New Roman" w:cs="Times New Roman"/>
          <w:lang w:val="ru-RU"/>
        </w:rPr>
        <w:tab/>
      </w:r>
      <m:oMath>
        <m:r>
          <w:rPr>
            <w:rFonts w:ascii="Cambria Math" w:hAnsi="Cambria Math" w:cs="Times New Roman"/>
            <w:szCs w:val="20"/>
          </w:rPr>
          <m:t>v</m:t>
        </m:r>
        <m:r>
          <w:rPr>
            <w:rFonts w:ascii="Cambria Math" w:hAnsi="Cambria Math" w:cs="Times New Roman"/>
            <w:szCs w:val="20"/>
            <w:lang w:val="ru-RU"/>
          </w:rPr>
          <m:t>=0</m:t>
        </m:r>
      </m:oMath>
      <w:r w:rsidRPr="004224F6">
        <w:rPr>
          <w:rFonts w:ascii="Times New Roman" w:hAnsi="Times New Roman" w:cs="Times New Roman"/>
          <w:lang w:val="ru-RU"/>
        </w:rPr>
        <w:t xml:space="preserve"> спрямо водата</w:t>
      </w:r>
      <w:r w:rsidRPr="004224F6">
        <w:rPr>
          <w:rFonts w:ascii="Times New Roman" w:hAnsi="Times New Roman" w:cs="Times New Roman"/>
          <w:lang w:val="ru-RU"/>
        </w:rPr>
        <w:tab/>
      </w:r>
      <m:oMath>
        <m:r>
          <w:rPr>
            <w:rFonts w:ascii="Cambria Math" w:hAnsi="Cambria Math" w:cs="Times New Roman"/>
            <w:szCs w:val="20"/>
          </w:rPr>
          <m:t>t</m:t>
        </m:r>
      </m:oMath>
      <w:r w:rsidRPr="004224F6">
        <w:rPr>
          <w:rFonts w:ascii="Times New Roman" w:hAnsi="Times New Roman" w:cs="Times New Roman"/>
          <w:lang w:val="ru-RU"/>
        </w:rPr>
        <w:tab/>
        <w:t>измерено време</w:t>
      </w:r>
    </w:p>
    <w:p w14:paraId="2F7077E5" w14:textId="77777777" w:rsidR="00271FA2" w:rsidRPr="004224F6" w:rsidRDefault="00D35E51">
      <w:pPr>
        <w:tabs>
          <w:tab w:val="left" w:pos="851"/>
          <w:tab w:val="left" w:pos="5103"/>
          <w:tab w:val="left" w:pos="5670"/>
        </w:tabs>
        <w:overflowPunct w:val="0"/>
        <w:adjustRightInd w:val="0"/>
        <w:spacing w:line="240" w:lineRule="atLeast"/>
        <w:textAlignment w:val="baseline"/>
        <w:rPr>
          <w:rFonts w:ascii="Times New Roman" w:hAnsi="Times New Roman" w:cs="Times New Roman"/>
          <w:szCs w:val="20"/>
          <w:lang w:val="ru-RU"/>
        </w:rPr>
      </w:pPr>
      <m:oMath>
        <m:r>
          <w:rPr>
            <w:rFonts w:ascii="Cambria Math" w:hAnsi="Cambria Math" w:cs="Times New Roman"/>
            <w:szCs w:val="20"/>
          </w:rPr>
          <m:t>E</m:t>
        </m:r>
      </m:oMath>
      <w:r w:rsidRPr="004224F6">
        <w:rPr>
          <w:rFonts w:ascii="Times New Roman" w:hAnsi="Times New Roman" w:cs="Times New Roman"/>
          <w:lang w:val="ru-RU"/>
        </w:rPr>
        <w:tab/>
      </w:r>
      <m:oMath>
        <m:r>
          <w:rPr>
            <w:rFonts w:ascii="Cambria Math" w:hAnsi="Cambria Math" w:cs="Times New Roman"/>
            <w:szCs w:val="20"/>
          </w:rPr>
          <m:t>v</m:t>
        </m:r>
        <m:r>
          <w:rPr>
            <w:rFonts w:ascii="Cambria Math" w:hAnsi="Cambria Math" w:cs="Times New Roman"/>
            <w:szCs w:val="20"/>
            <w:lang w:val="ru-RU"/>
          </w:rPr>
          <m:t>=0</m:t>
        </m:r>
      </m:oMath>
      <w:r w:rsidRPr="004224F6">
        <w:rPr>
          <w:rFonts w:ascii="Times New Roman" w:hAnsi="Times New Roman" w:cs="Times New Roman"/>
          <w:lang w:val="ru-RU"/>
        </w:rPr>
        <w:t xml:space="preserve"> спрямо брега</w:t>
      </w:r>
    </w:p>
    <w:p w14:paraId="08B45D58" w14:textId="77777777" w:rsidR="00271FA2" w:rsidRPr="004224F6" w:rsidRDefault="00271FA2">
      <w:pPr>
        <w:spacing w:line="240" w:lineRule="atLeast"/>
        <w:ind w:left="567" w:hanging="567"/>
        <w:rPr>
          <w:rFonts w:ascii="Times New Roman" w:hAnsi="Times New Roman" w:cs="Times New Roman"/>
          <w:lang w:val="ru-RU"/>
        </w:rPr>
      </w:pPr>
    </w:p>
    <w:p w14:paraId="0A6DAD16" w14:textId="77777777" w:rsidR="00271FA2" w:rsidRPr="004224F6" w:rsidRDefault="00271FA2">
      <w:pPr>
        <w:spacing w:line="240" w:lineRule="atLeast"/>
        <w:ind w:left="567" w:hanging="567"/>
        <w:rPr>
          <w:rFonts w:ascii="Times New Roman" w:hAnsi="Times New Roman" w:cs="Times New Roman"/>
          <w:lang w:val="ru-RU"/>
        </w:rPr>
        <w:sectPr w:rsidR="00271FA2" w:rsidRPr="004224F6" w:rsidSect="004224F6">
          <w:headerReference w:type="default" r:id="rId206"/>
          <w:headerReference w:type="first" r:id="rId207"/>
          <w:pgSz w:w="11907" w:h="16840"/>
          <w:pgMar w:top="1134" w:right="1134" w:bottom="1134" w:left="1134" w:header="709" w:footer="709" w:gutter="0"/>
          <w:cols w:space="720"/>
          <w:titlePg/>
          <w:docGrid w:linePitch="299"/>
        </w:sectPr>
      </w:pPr>
    </w:p>
    <w:p w14:paraId="2C95D1FD" w14:textId="77777777" w:rsidR="00271FA2" w:rsidRPr="004224F6" w:rsidRDefault="00D35E51">
      <w:pPr>
        <w:tabs>
          <w:tab w:val="left" w:pos="4536"/>
          <w:tab w:val="left" w:pos="4896"/>
          <w:tab w:val="right" w:pos="5670"/>
          <w:tab w:val="left" w:pos="10632"/>
          <w:tab w:val="right" w:pos="11482"/>
          <w:tab w:val="left" w:leader="dot" w:pos="14459"/>
        </w:tabs>
        <w:overflowPunct w:val="0"/>
        <w:adjustRightInd w:val="0"/>
        <w:spacing w:line="240" w:lineRule="atLeast"/>
        <w:textAlignment w:val="baseline"/>
        <w:rPr>
          <w:rFonts w:ascii="Times New Roman" w:hAnsi="Times New Roman" w:cs="Times New Roman"/>
          <w:sz w:val="16"/>
          <w:szCs w:val="16"/>
          <w:lang w:val="ru-RU"/>
        </w:rPr>
      </w:pPr>
      <w:r w:rsidRPr="004224F6">
        <w:rPr>
          <w:rFonts w:ascii="Times New Roman" w:hAnsi="Times New Roman" w:cs="Times New Roman"/>
          <w:sz w:val="16"/>
          <w:szCs w:val="16"/>
          <w:lang w:val="ru-RU"/>
        </w:rPr>
        <w:lastRenderedPageBreak/>
        <w:t xml:space="preserve">Контролен </w:t>
      </w:r>
      <w:r w:rsidRPr="004224F6">
        <w:rPr>
          <w:rFonts w:ascii="Times New Roman" w:hAnsi="Times New Roman" w:cs="Times New Roman"/>
          <w:sz w:val="16"/>
          <w:szCs w:val="16"/>
          <w:lang w:val="ru-RU"/>
        </w:rPr>
        <w:tab/>
        <w:t>Вид на плавателния съд</w:t>
      </w:r>
      <w:r w:rsidRPr="004224F6">
        <w:rPr>
          <w:rFonts w:ascii="Times New Roman" w:hAnsi="Times New Roman" w:cs="Times New Roman"/>
          <w:sz w:val="16"/>
          <w:szCs w:val="16"/>
          <w:lang w:val="ru-RU"/>
        </w:rPr>
        <w:tab/>
        <w:t>Изпитвателен полигон:</w:t>
      </w:r>
      <w:r w:rsidRPr="004224F6">
        <w:rPr>
          <w:rFonts w:ascii="Times New Roman" w:hAnsi="Times New Roman" w:cs="Times New Roman"/>
          <w:sz w:val="16"/>
          <w:szCs w:val="16"/>
          <w:lang w:val="ru-RU"/>
        </w:rPr>
        <w:tab/>
      </w:r>
    </w:p>
    <w:p w14:paraId="0AA5A075" w14:textId="77777777" w:rsidR="00271FA2" w:rsidRPr="004224F6" w:rsidRDefault="00D35E51">
      <w:pPr>
        <w:tabs>
          <w:tab w:val="left" w:leader="dot" w:pos="3544"/>
          <w:tab w:val="left" w:pos="4536"/>
          <w:tab w:val="left" w:pos="4896"/>
          <w:tab w:val="right" w:pos="6237"/>
          <w:tab w:val="left" w:leader="dot" w:pos="9639"/>
          <w:tab w:val="left" w:pos="10632"/>
          <w:tab w:val="left" w:leader="dot" w:pos="14080"/>
        </w:tabs>
        <w:overflowPunct w:val="0"/>
        <w:adjustRightInd w:val="0"/>
        <w:spacing w:line="240" w:lineRule="atLeast"/>
        <w:textAlignment w:val="baseline"/>
        <w:rPr>
          <w:rFonts w:ascii="Times New Roman" w:hAnsi="Times New Roman" w:cs="Times New Roman"/>
          <w:sz w:val="16"/>
          <w:szCs w:val="16"/>
          <w:lang w:val="ru-RU"/>
        </w:rPr>
      </w:pPr>
      <w:r w:rsidRPr="004224F6">
        <w:rPr>
          <w:rFonts w:ascii="Times New Roman" w:hAnsi="Times New Roman" w:cs="Times New Roman"/>
          <w:sz w:val="16"/>
          <w:szCs w:val="16"/>
          <w:lang w:val="ru-RU"/>
        </w:rPr>
        <w:t xml:space="preserve">орган: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t xml:space="preserve">или състава: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t>Отчет по водомерната рейка [</w:t>
      </w:r>
      <w:r w:rsidRPr="004224F6">
        <w:rPr>
          <w:rFonts w:ascii="Times New Roman" w:hAnsi="Times New Roman" w:cs="Times New Roman"/>
          <w:sz w:val="16"/>
          <w:szCs w:val="16"/>
        </w:rPr>
        <w:t>m</w:t>
      </w:r>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lang w:val="ru-RU"/>
        </w:rPr>
        <w:tab/>
      </w:r>
    </w:p>
    <w:p w14:paraId="0F09538E" w14:textId="77777777" w:rsidR="00271FA2" w:rsidRPr="004224F6" w:rsidRDefault="00D35E51">
      <w:pPr>
        <w:tabs>
          <w:tab w:val="left" w:leader="dot" w:pos="3544"/>
          <w:tab w:val="left" w:pos="4536"/>
          <w:tab w:val="left" w:pos="4896"/>
          <w:tab w:val="right" w:pos="6237"/>
          <w:tab w:val="left" w:leader="dot" w:pos="9639"/>
          <w:tab w:val="left" w:pos="10632"/>
          <w:tab w:val="right" w:pos="12333"/>
          <w:tab w:val="left" w:leader="dot" w:pos="14080"/>
        </w:tabs>
        <w:overflowPunct w:val="0"/>
        <w:adjustRightInd w:val="0"/>
        <w:spacing w:line="240" w:lineRule="atLeast"/>
        <w:textAlignment w:val="baseline"/>
        <w:rPr>
          <w:rFonts w:ascii="Times New Roman" w:hAnsi="Times New Roman" w:cs="Times New Roman"/>
          <w:sz w:val="16"/>
          <w:szCs w:val="16"/>
          <w:lang w:val="ru-RU"/>
        </w:rPr>
      </w:pPr>
      <w:r w:rsidRPr="004224F6">
        <w:rPr>
          <w:rFonts w:ascii="Times New Roman" w:hAnsi="Times New Roman" w:cs="Times New Roman"/>
          <w:sz w:val="16"/>
          <w:szCs w:val="16"/>
          <w:lang w:val="ru-RU"/>
        </w:rPr>
        <w:t xml:space="preserve">Дата: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r>
      <m:oMath>
        <m:r>
          <w:rPr>
            <w:rFonts w:ascii="Cambria Math" w:hAnsi="Cambria Math" w:cs="Times New Roman"/>
            <w:sz w:val="16"/>
            <w:szCs w:val="16"/>
          </w:rPr>
          <m:t>L</m:t>
        </m:r>
        <m:r>
          <w:rPr>
            <w:rFonts w:ascii="Cambria Math" w:hAnsi="Cambria Math" w:cs="Times New Roman"/>
            <w:sz w:val="16"/>
            <w:szCs w:val="16"/>
            <w:lang w:val="ru-RU"/>
          </w:rPr>
          <m:t xml:space="preserve"> × </m:t>
        </m:r>
        <m:r>
          <w:rPr>
            <w:rFonts w:ascii="Cambria Math" w:hAnsi="Cambria Math" w:cs="Times New Roman"/>
            <w:sz w:val="16"/>
            <w:szCs w:val="16"/>
          </w:rPr>
          <m:t>B</m:t>
        </m:r>
      </m:oMath>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rPr>
        <w:t>m</w:t>
      </w:r>
      <w:r w:rsidRPr="004224F6">
        <w:rPr>
          <w:rFonts w:ascii="Times New Roman" w:hAnsi="Times New Roman" w:cs="Times New Roman"/>
          <w:sz w:val="16"/>
          <w:szCs w:val="16"/>
          <w:lang w:val="ru-RU"/>
        </w:rPr>
        <w:t>]:</w:t>
      </w:r>
      <w:r w:rsidRPr="004224F6">
        <w:rPr>
          <w:rFonts w:ascii="Times New Roman" w:hAnsi="Times New Roman" w:cs="Times New Roman"/>
          <w:sz w:val="16"/>
          <w:szCs w:val="16"/>
          <w:lang w:val="ru-RU"/>
        </w:rPr>
        <w:tab/>
        <w:t xml:space="preserve">: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t>Дълбочина на водата</w:t>
      </w:r>
      <w:r w:rsidRPr="004224F6">
        <w:rPr>
          <w:rFonts w:ascii="Times New Roman" w:hAnsi="Times New Roman" w:cs="Times New Roman"/>
          <w:sz w:val="16"/>
          <w:szCs w:val="16"/>
          <w:lang w:val="ru-RU"/>
        </w:rPr>
        <w:tab/>
        <w:t>[</w:t>
      </w:r>
      <w:r w:rsidRPr="004224F6">
        <w:rPr>
          <w:rFonts w:ascii="Times New Roman" w:hAnsi="Times New Roman" w:cs="Times New Roman"/>
          <w:sz w:val="16"/>
          <w:szCs w:val="16"/>
        </w:rPr>
        <w:t>m</w:t>
      </w:r>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lang w:val="ru-RU"/>
        </w:rPr>
        <w:tab/>
      </w:r>
    </w:p>
    <w:p w14:paraId="73D71C67" w14:textId="77777777" w:rsidR="00271FA2" w:rsidRPr="004224F6" w:rsidRDefault="00D35E51">
      <w:pPr>
        <w:tabs>
          <w:tab w:val="left" w:leader="dot" w:pos="3544"/>
          <w:tab w:val="left" w:pos="4536"/>
          <w:tab w:val="left" w:pos="4896"/>
          <w:tab w:val="right" w:pos="6237"/>
          <w:tab w:val="left" w:leader="dot" w:pos="9639"/>
          <w:tab w:val="left" w:pos="10632"/>
          <w:tab w:val="right" w:pos="12333"/>
          <w:tab w:val="left" w:leader="dot" w:pos="14080"/>
        </w:tabs>
        <w:overflowPunct w:val="0"/>
        <w:adjustRightInd w:val="0"/>
        <w:spacing w:line="240" w:lineRule="atLeast"/>
        <w:textAlignment w:val="baseline"/>
        <w:rPr>
          <w:rFonts w:ascii="Times New Roman" w:hAnsi="Times New Roman" w:cs="Times New Roman"/>
          <w:sz w:val="16"/>
          <w:szCs w:val="16"/>
          <w:lang w:val="ru-RU"/>
        </w:rPr>
      </w:pPr>
      <w:r w:rsidRPr="004224F6">
        <w:rPr>
          <w:rFonts w:ascii="Times New Roman" w:hAnsi="Times New Roman" w:cs="Times New Roman"/>
          <w:sz w:val="16"/>
          <w:szCs w:val="16"/>
          <w:lang w:val="ru-RU"/>
        </w:rPr>
        <w:t xml:space="preserve">Име: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r>
      <m:oMath>
        <m:r>
          <w:rPr>
            <w:rFonts w:ascii="Cambria Math" w:hAnsi="Cambria Math" w:cs="Times New Roman"/>
            <w:sz w:val="16"/>
            <w:szCs w:val="16"/>
          </w:rPr>
          <m:t>T</m:t>
        </m:r>
      </m:oMath>
      <w:r w:rsidRPr="004224F6">
        <w:rPr>
          <w:rFonts w:ascii="Times New Roman" w:hAnsi="Times New Roman" w:cs="Times New Roman"/>
          <w:sz w:val="16"/>
          <w:szCs w:val="16"/>
          <w:lang w:val="ru-RU"/>
        </w:rPr>
        <w:t xml:space="preserve"> по време на изпитването [</w:t>
      </w:r>
      <w:r w:rsidRPr="004224F6">
        <w:rPr>
          <w:rFonts w:ascii="Times New Roman" w:hAnsi="Times New Roman" w:cs="Times New Roman"/>
          <w:sz w:val="16"/>
          <w:szCs w:val="16"/>
        </w:rPr>
        <w:t>m</w:t>
      </w:r>
      <w:r w:rsidRPr="004224F6">
        <w:rPr>
          <w:rFonts w:ascii="Times New Roman" w:hAnsi="Times New Roman" w:cs="Times New Roman"/>
          <w:sz w:val="16"/>
          <w:szCs w:val="16"/>
          <w:lang w:val="ru-RU"/>
        </w:rPr>
        <w:t>]:</w:t>
      </w:r>
      <w:r w:rsidRPr="004224F6">
        <w:rPr>
          <w:rFonts w:ascii="Times New Roman" w:hAnsi="Times New Roman" w:cs="Times New Roman"/>
          <w:sz w:val="16"/>
          <w:szCs w:val="16"/>
          <w:lang w:val="ru-RU"/>
        </w:rPr>
        <w:tab/>
        <w:t xml:space="preserve">: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t>Градиент</w:t>
      </w:r>
      <w:r w:rsidRPr="004224F6">
        <w:rPr>
          <w:rFonts w:ascii="Times New Roman" w:hAnsi="Times New Roman" w:cs="Times New Roman"/>
          <w:sz w:val="16"/>
          <w:szCs w:val="16"/>
          <w:lang w:val="ru-RU"/>
        </w:rPr>
        <w:tab/>
        <w:t>[</w:t>
      </w:r>
      <w:r w:rsidRPr="004224F6">
        <w:rPr>
          <w:rFonts w:ascii="Times New Roman" w:hAnsi="Times New Roman" w:cs="Times New Roman"/>
          <w:sz w:val="16"/>
          <w:szCs w:val="16"/>
        </w:rPr>
        <w:t>m</w:t>
      </w:r>
      <w:r w:rsidRPr="004224F6">
        <w:rPr>
          <w:rFonts w:ascii="Times New Roman" w:hAnsi="Times New Roman" w:cs="Times New Roman"/>
          <w:sz w:val="16"/>
          <w:szCs w:val="16"/>
          <w:lang w:val="ru-RU"/>
        </w:rPr>
        <w:t>/</w:t>
      </w:r>
      <w:r w:rsidRPr="004224F6">
        <w:rPr>
          <w:rFonts w:ascii="Times New Roman" w:hAnsi="Times New Roman" w:cs="Times New Roman"/>
          <w:sz w:val="16"/>
          <w:szCs w:val="16"/>
        </w:rPr>
        <w:t>km</w:t>
      </w:r>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lang w:val="ru-RU"/>
        </w:rPr>
        <w:tab/>
      </w:r>
    </w:p>
    <w:p w14:paraId="1E698B40" w14:textId="77777777" w:rsidR="00271FA2" w:rsidRPr="004224F6" w:rsidRDefault="00D35E51">
      <w:pPr>
        <w:tabs>
          <w:tab w:val="left" w:pos="0"/>
          <w:tab w:val="left" w:leader="dot" w:pos="3544"/>
          <w:tab w:val="left" w:pos="4536"/>
          <w:tab w:val="right" w:pos="5670"/>
          <w:tab w:val="left" w:pos="10632"/>
          <w:tab w:val="right" w:pos="12333"/>
        </w:tabs>
        <w:overflowPunct w:val="0"/>
        <w:adjustRightInd w:val="0"/>
        <w:spacing w:line="240" w:lineRule="atLeast"/>
        <w:textAlignment w:val="baseline"/>
        <w:rPr>
          <w:rFonts w:ascii="Times New Roman" w:hAnsi="Times New Roman" w:cs="Times New Roman"/>
          <w:sz w:val="16"/>
          <w:szCs w:val="16"/>
          <w:lang w:val="ru-RU"/>
        </w:rPr>
      </w:pPr>
      <w:r w:rsidRPr="004224F6">
        <w:rPr>
          <w:rFonts w:ascii="Times New Roman" w:hAnsi="Times New Roman" w:cs="Times New Roman"/>
          <w:sz w:val="16"/>
          <w:szCs w:val="16"/>
          <w:lang w:val="ru-RU"/>
        </w:rPr>
        <w:t xml:space="preserve">Поредно изпитване №: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r>
      <m:oMath>
        <m:sSub>
          <m:sSubPr>
            <m:ctrlPr>
              <w:rPr>
                <w:rFonts w:ascii="Cambria Math" w:hAnsi="Cambria Math" w:cs="Times New Roman"/>
                <w:i/>
                <w:sz w:val="16"/>
                <w:szCs w:val="16"/>
              </w:rPr>
            </m:ctrlPr>
          </m:sSubPr>
          <m:e>
            <m:r>
              <w:rPr>
                <w:rFonts w:ascii="Cambria Math" w:hAnsi="Cambria Math" w:cs="Times New Roman"/>
                <w:sz w:val="16"/>
                <w:szCs w:val="16"/>
              </w:rPr>
              <m:t>v</m:t>
            </m:r>
          </m:e>
          <m:sub>
            <m:r>
              <w:rPr>
                <w:rFonts w:ascii="Cambria Math" w:hAnsi="Cambria Math" w:cs="Times New Roman"/>
                <w:sz w:val="16"/>
                <w:szCs w:val="16"/>
              </w:rPr>
              <m:t>STR</m:t>
            </m:r>
          </m:sub>
        </m:sSub>
      </m:oMath>
      <w:r w:rsidRPr="004224F6">
        <w:rPr>
          <w:rFonts w:ascii="Times New Roman" w:hAnsi="Times New Roman" w:cs="Times New Roman"/>
          <w:sz w:val="16"/>
          <w:szCs w:val="16"/>
          <w:lang w:val="ru-RU"/>
        </w:rPr>
        <w:tab/>
        <w:t>[</w:t>
      </w:r>
      <w:r w:rsidRPr="004224F6">
        <w:rPr>
          <w:rFonts w:ascii="Times New Roman" w:hAnsi="Times New Roman" w:cs="Times New Roman"/>
          <w:sz w:val="16"/>
          <w:szCs w:val="16"/>
        </w:rPr>
        <w:t>km</w:t>
      </w:r>
      <w:r w:rsidRPr="004224F6">
        <w:rPr>
          <w:rFonts w:ascii="Times New Roman" w:hAnsi="Times New Roman" w:cs="Times New Roman"/>
          <w:sz w:val="16"/>
          <w:szCs w:val="16"/>
          <w:lang w:val="ru-RU"/>
        </w:rPr>
        <w:t>/</w:t>
      </w:r>
      <w:r w:rsidRPr="004224F6">
        <w:rPr>
          <w:rFonts w:ascii="Times New Roman" w:hAnsi="Times New Roman" w:cs="Times New Roman"/>
          <w:sz w:val="16"/>
          <w:szCs w:val="16"/>
        </w:rPr>
        <w:t>h</w:t>
      </w:r>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lang w:val="ru-RU"/>
        </w:rPr>
        <w:tab/>
      </w:r>
    </w:p>
    <w:p w14:paraId="520FE0CE" w14:textId="77777777" w:rsidR="00271FA2" w:rsidRPr="004224F6" w:rsidRDefault="00D35E51">
      <w:pPr>
        <w:tabs>
          <w:tab w:val="left" w:pos="3264"/>
          <w:tab w:val="left" w:pos="4536"/>
          <w:tab w:val="left" w:pos="4800"/>
          <w:tab w:val="right" w:pos="6237"/>
          <w:tab w:val="left" w:leader="dot" w:pos="9639"/>
          <w:tab w:val="left" w:pos="10632"/>
          <w:tab w:val="right" w:pos="12333"/>
          <w:tab w:val="left" w:leader="dot" w:pos="14080"/>
        </w:tabs>
        <w:overflowPunct w:val="0"/>
        <w:adjustRightInd w:val="0"/>
        <w:spacing w:line="240" w:lineRule="atLeast"/>
        <w:textAlignment w:val="baseline"/>
        <w:rPr>
          <w:rFonts w:ascii="Times New Roman" w:hAnsi="Times New Roman" w:cs="Times New Roman"/>
          <w:sz w:val="16"/>
          <w:szCs w:val="16"/>
          <w:lang w:val="ru-RU"/>
        </w:rPr>
      </w:pP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t>Натоварване при изпитването [</w:t>
      </w:r>
      <w:r w:rsidRPr="004224F6">
        <w:rPr>
          <w:rFonts w:ascii="Times New Roman" w:hAnsi="Times New Roman" w:cs="Times New Roman"/>
          <w:sz w:val="16"/>
          <w:szCs w:val="16"/>
        </w:rPr>
        <w:t>t</w:t>
      </w:r>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lang w:val="ru-RU"/>
        </w:rPr>
        <w:tab/>
        <w:t xml:space="preserve">: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t>[</w:t>
      </w:r>
      <w:r w:rsidRPr="004224F6">
        <w:rPr>
          <w:rFonts w:ascii="Times New Roman" w:hAnsi="Times New Roman" w:cs="Times New Roman"/>
          <w:sz w:val="16"/>
          <w:szCs w:val="16"/>
        </w:rPr>
        <w:t>m</w:t>
      </w:r>
      <w:r w:rsidRPr="004224F6">
        <w:rPr>
          <w:rFonts w:ascii="Times New Roman" w:hAnsi="Times New Roman" w:cs="Times New Roman"/>
          <w:sz w:val="16"/>
          <w:szCs w:val="16"/>
          <w:lang w:val="ru-RU"/>
        </w:rPr>
        <w:t>/</w:t>
      </w:r>
      <w:r w:rsidRPr="004224F6">
        <w:rPr>
          <w:rFonts w:ascii="Times New Roman" w:hAnsi="Times New Roman" w:cs="Times New Roman"/>
          <w:sz w:val="16"/>
          <w:szCs w:val="16"/>
        </w:rPr>
        <w:t>s</w:t>
      </w:r>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lang w:val="ru-RU"/>
        </w:rPr>
        <w:tab/>
      </w:r>
    </w:p>
    <w:p w14:paraId="46300E69" w14:textId="77777777" w:rsidR="00271FA2" w:rsidRPr="004224F6" w:rsidRDefault="00D35E51">
      <w:pPr>
        <w:tabs>
          <w:tab w:val="left" w:pos="0"/>
          <w:tab w:val="left" w:pos="4536"/>
          <w:tab w:val="left" w:pos="4800"/>
          <w:tab w:val="right" w:pos="5670"/>
          <w:tab w:val="left" w:leader="dot" w:pos="9639"/>
          <w:tab w:val="left" w:pos="10632"/>
          <w:tab w:val="right" w:pos="12333"/>
          <w:tab w:val="left" w:leader="dot" w:pos="14080"/>
        </w:tabs>
        <w:overflowPunct w:val="0"/>
        <w:adjustRightInd w:val="0"/>
        <w:spacing w:line="240" w:lineRule="atLeast"/>
        <w:textAlignment w:val="baseline"/>
        <w:rPr>
          <w:rFonts w:ascii="Times New Roman" w:hAnsi="Times New Roman" w:cs="Times New Roman"/>
          <w:sz w:val="16"/>
          <w:szCs w:val="16"/>
          <w:lang w:val="ru-RU"/>
        </w:rPr>
      </w:pPr>
      <w:r w:rsidRPr="004224F6">
        <w:rPr>
          <w:rFonts w:ascii="Times New Roman" w:hAnsi="Times New Roman" w:cs="Times New Roman"/>
          <w:sz w:val="16"/>
          <w:szCs w:val="16"/>
          <w:lang w:val="ru-RU"/>
        </w:rPr>
        <w:tab/>
        <w:t xml:space="preserve">% от максималната товароподемност: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r>
      <w:r w:rsidRPr="004224F6">
        <w:rPr>
          <w:rFonts w:ascii="Times New Roman" w:hAnsi="Times New Roman" w:cs="Times New Roman"/>
          <w:sz w:val="16"/>
          <w:szCs w:val="16"/>
        </w:rPr>
        <w:t>Max</w:t>
      </w:r>
    </w:p>
    <w:p w14:paraId="3CA5A83D" w14:textId="77777777" w:rsidR="00271FA2" w:rsidRPr="004224F6" w:rsidRDefault="00D35E51">
      <w:pPr>
        <w:tabs>
          <w:tab w:val="left" w:pos="0"/>
          <w:tab w:val="left" w:pos="4536"/>
          <w:tab w:val="left" w:pos="4800"/>
          <w:tab w:val="right" w:pos="5670"/>
          <w:tab w:val="left" w:leader="dot" w:pos="9639"/>
          <w:tab w:val="left" w:pos="10632"/>
          <w:tab w:val="right" w:pos="12333"/>
          <w:tab w:val="left" w:leader="dot" w:pos="14459"/>
        </w:tabs>
        <w:overflowPunct w:val="0"/>
        <w:adjustRightInd w:val="0"/>
        <w:spacing w:line="240" w:lineRule="atLeast"/>
        <w:textAlignment w:val="baseline"/>
        <w:rPr>
          <w:rFonts w:ascii="Times New Roman" w:hAnsi="Times New Roman" w:cs="Times New Roman"/>
          <w:sz w:val="16"/>
          <w:szCs w:val="16"/>
          <w:lang w:val="ru-RU"/>
        </w:rPr>
      </w:pPr>
      <w:r w:rsidRPr="004224F6">
        <w:rPr>
          <w:rFonts w:ascii="Times New Roman" w:hAnsi="Times New Roman" w:cs="Times New Roman"/>
          <w:sz w:val="16"/>
          <w:szCs w:val="16"/>
          <w:lang w:val="ru-RU"/>
        </w:rPr>
        <w:tab/>
        <w:t xml:space="preserve">Мощност на задвижващите двигатели </w:t>
      </w:r>
      <m:oMath>
        <m:sSub>
          <m:sSubPr>
            <m:ctrlPr>
              <w:rPr>
                <w:rFonts w:ascii="Cambria Math" w:hAnsi="Cambria Math" w:cs="Times New Roman"/>
                <w:i/>
                <w:sz w:val="16"/>
                <w:szCs w:val="16"/>
              </w:rPr>
            </m:ctrlPr>
          </m:sSubPr>
          <m:e>
            <m:r>
              <w:rPr>
                <w:rFonts w:ascii="Cambria Math" w:hAnsi="Cambria Math" w:cs="Times New Roman"/>
                <w:sz w:val="16"/>
                <w:szCs w:val="16"/>
              </w:rPr>
              <m:t>P</m:t>
            </m:r>
          </m:e>
          <m:sub>
            <m:r>
              <w:rPr>
                <w:rFonts w:ascii="Cambria Math" w:hAnsi="Cambria Math" w:cs="Times New Roman"/>
                <w:sz w:val="16"/>
                <w:szCs w:val="16"/>
              </w:rPr>
              <m:t>B</m:t>
            </m:r>
          </m:sub>
        </m:sSub>
      </m:oMath>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rPr>
        <w:t>kW</w:t>
      </w:r>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lang w:val="ru-RU"/>
        </w:rPr>
        <w:tab/>
      </w:r>
      <w:r w:rsidRPr="004224F6">
        <w:rPr>
          <w:rFonts w:ascii="Times New Roman" w:hAnsi="Times New Roman" w:cs="Times New Roman"/>
          <w:sz w:val="16"/>
          <w:szCs w:val="16"/>
          <w:lang w:val="ru-RU"/>
        </w:rPr>
        <w:tab/>
        <w:t>водоизместване</w:t>
      </w:r>
      <w:r w:rsidRPr="004224F6">
        <w:rPr>
          <w:rFonts w:ascii="Times New Roman" w:hAnsi="Times New Roman" w:cs="Times New Roman"/>
          <w:sz w:val="16"/>
          <w:szCs w:val="16"/>
          <w:lang w:val="ru-RU"/>
        </w:rPr>
        <w:tab/>
        <w:t>[</w:t>
      </w:r>
      <w:r w:rsidRPr="004224F6">
        <w:rPr>
          <w:rFonts w:ascii="Times New Roman" w:hAnsi="Times New Roman" w:cs="Times New Roman"/>
          <w:sz w:val="16"/>
          <w:szCs w:val="16"/>
        </w:rPr>
        <w:t>m</w:t>
      </w:r>
      <w:r w:rsidRPr="004224F6">
        <w:rPr>
          <w:rFonts w:ascii="Times New Roman" w:hAnsi="Times New Roman" w:cs="Times New Roman"/>
          <w:sz w:val="16"/>
          <w:szCs w:val="16"/>
          <w:vertAlign w:val="superscript"/>
          <w:lang w:val="ru-RU"/>
        </w:rPr>
        <w:t>3</w:t>
      </w:r>
      <w:r w:rsidRPr="004224F6">
        <w:rPr>
          <w:rFonts w:ascii="Times New Roman" w:hAnsi="Times New Roman" w:cs="Times New Roman"/>
          <w:sz w:val="16"/>
          <w:szCs w:val="16"/>
          <w:lang w:val="ru-RU"/>
        </w:rPr>
        <w:t xml:space="preserve">]: </w:t>
      </w:r>
      <w:r w:rsidRPr="004224F6">
        <w:rPr>
          <w:rFonts w:ascii="Times New Roman" w:hAnsi="Times New Roman" w:cs="Times New Roman"/>
          <w:sz w:val="16"/>
          <w:szCs w:val="16"/>
          <w:lang w:val="ru-RU"/>
        </w:rPr>
        <w:tab/>
      </w:r>
    </w:p>
    <w:p w14:paraId="3A33FAB0" w14:textId="77777777" w:rsidR="00271FA2" w:rsidRPr="004224F6" w:rsidRDefault="00D35E51">
      <w:pPr>
        <w:tabs>
          <w:tab w:val="left" w:pos="0"/>
          <w:tab w:val="left" w:pos="4536"/>
          <w:tab w:val="left" w:pos="4800"/>
          <w:tab w:val="right" w:pos="5670"/>
          <w:tab w:val="left" w:leader="dot" w:pos="9639"/>
          <w:tab w:val="left" w:pos="10348"/>
          <w:tab w:val="right" w:pos="12049"/>
        </w:tabs>
        <w:overflowPunct w:val="0"/>
        <w:adjustRightInd w:val="0"/>
        <w:spacing w:line="240" w:lineRule="atLeast"/>
        <w:textAlignment w:val="baseline"/>
        <w:rPr>
          <w:rFonts w:ascii="Times New Roman" w:hAnsi="Times New Roman" w:cs="Times New Roman"/>
          <w:sz w:val="16"/>
          <w:szCs w:val="16"/>
          <w:lang w:val="ru-RU"/>
        </w:rPr>
      </w:pPr>
      <w:r w:rsidRPr="004224F6">
        <w:rPr>
          <w:rFonts w:ascii="Times New Roman" w:hAnsi="Times New Roman" w:cs="Times New Roman"/>
          <w:sz w:val="16"/>
          <w:szCs w:val="16"/>
          <w:lang w:val="ru-RU"/>
        </w:rPr>
        <w:tab/>
        <w:t>Задвижваща система съгласно Приложение</w:t>
      </w:r>
      <w:r w:rsidRPr="004224F6">
        <w:rPr>
          <w:rFonts w:ascii="Times New Roman" w:hAnsi="Times New Roman" w:cs="Times New Roman"/>
          <w:sz w:val="16"/>
          <w:szCs w:val="16"/>
        </w:rPr>
        <w:t> </w:t>
      </w:r>
      <w:r w:rsidRPr="004224F6">
        <w:rPr>
          <w:rFonts w:ascii="Times New Roman" w:hAnsi="Times New Roman" w:cs="Times New Roman"/>
          <w:sz w:val="16"/>
          <w:szCs w:val="16"/>
          <w:lang w:val="ru-RU"/>
        </w:rPr>
        <w:t xml:space="preserve">2, таблица 2: </w:t>
      </w:r>
      <w:r w:rsidRPr="004224F6">
        <w:rPr>
          <w:rFonts w:ascii="Times New Roman" w:hAnsi="Times New Roman" w:cs="Times New Roman"/>
          <w:sz w:val="16"/>
          <w:szCs w:val="16"/>
          <w:lang w:val="ru-RU"/>
        </w:rPr>
        <w:tab/>
      </w:r>
    </w:p>
    <w:p w14:paraId="7724F332" w14:textId="77777777" w:rsidR="00271FA2" w:rsidRPr="004224F6" w:rsidRDefault="00D35E51">
      <w:pPr>
        <w:tabs>
          <w:tab w:val="left" w:pos="284"/>
        </w:tabs>
        <w:overflowPunct w:val="0"/>
        <w:adjustRightInd w:val="0"/>
        <w:spacing w:line="240" w:lineRule="atLeast"/>
        <w:ind w:left="284" w:hanging="284"/>
        <w:jc w:val="center"/>
        <w:textAlignment w:val="baseline"/>
        <w:rPr>
          <w:rFonts w:ascii="Times New Roman" w:hAnsi="Times New Roman" w:cs="Times New Roman"/>
          <w:sz w:val="16"/>
          <w:szCs w:val="16"/>
          <w:lang w:val="ru-RU"/>
        </w:rPr>
      </w:pPr>
      <w:r w:rsidRPr="004224F6">
        <w:rPr>
          <w:rFonts w:ascii="Times New Roman" w:hAnsi="Times New Roman" w:cs="Times New Roman"/>
          <w:b/>
          <w:sz w:val="16"/>
          <w:szCs w:val="16"/>
          <w:lang w:val="ru-RU"/>
        </w:rPr>
        <w:t>Таблица 1: Протокол от маневрата за спиране</w:t>
      </w:r>
    </w:p>
    <w:tbl>
      <w:tblPr>
        <w:tblW w:w="0" w:type="auto"/>
        <w:jc w:val="center"/>
        <w:tblLayout w:type="fixed"/>
        <w:tblCellMar>
          <w:left w:w="0" w:type="dxa"/>
          <w:right w:w="0" w:type="dxa"/>
        </w:tblCellMar>
        <w:tblLook w:val="04A0" w:firstRow="1" w:lastRow="0" w:firstColumn="1" w:lastColumn="0" w:noHBand="0" w:noVBand="1"/>
      </w:tblPr>
      <w:tblGrid>
        <w:gridCol w:w="1758"/>
        <w:gridCol w:w="1758"/>
        <w:gridCol w:w="1758"/>
        <w:gridCol w:w="1758"/>
        <w:gridCol w:w="1758"/>
        <w:gridCol w:w="1758"/>
        <w:gridCol w:w="2948"/>
      </w:tblGrid>
      <w:tr w:rsidR="00271FA2" w:rsidRPr="004224F6" w14:paraId="0E99275A" w14:textId="77777777">
        <w:trPr>
          <w:jc w:val="center"/>
        </w:trPr>
        <w:tc>
          <w:tcPr>
            <w:tcW w:w="1758" w:type="dxa"/>
            <w:tcBorders>
              <w:top w:val="single" w:sz="6" w:space="0" w:color="auto"/>
              <w:left w:val="single" w:sz="6" w:space="0" w:color="auto"/>
              <w:bottom w:val="single" w:sz="6" w:space="0" w:color="auto"/>
              <w:right w:val="single" w:sz="6" w:space="0" w:color="auto"/>
            </w:tcBorders>
            <w:vAlign w:val="center"/>
          </w:tcPr>
          <w:p w14:paraId="5F92CD62" w14:textId="77777777" w:rsidR="00271FA2" w:rsidRPr="004224F6" w:rsidRDefault="00D35E51">
            <w:pPr>
              <w:tabs>
                <w:tab w:val="left" w:pos="284"/>
              </w:tabs>
              <w:overflowPunct w:val="0"/>
              <w:adjustRightInd w:val="0"/>
              <w:spacing w:line="240" w:lineRule="atLeast"/>
              <w:jc w:val="center"/>
              <w:textAlignment w:val="baseline"/>
              <w:rPr>
                <w:rFonts w:ascii="Times New Roman" w:hAnsi="Times New Roman" w:cs="Times New Roman"/>
                <w:sz w:val="18"/>
                <w:szCs w:val="20"/>
              </w:rPr>
            </w:pPr>
            <w:r w:rsidRPr="004224F6">
              <w:rPr>
                <w:rFonts w:ascii="Times New Roman" w:hAnsi="Times New Roman" w:cs="Times New Roman"/>
                <w:sz w:val="18"/>
              </w:rPr>
              <w:t>ПОЗИЦИЯ</w:t>
            </w:r>
            <w:r w:rsidRPr="004224F6">
              <w:rPr>
                <w:rFonts w:ascii="Times New Roman" w:hAnsi="Times New Roman" w:cs="Times New Roman"/>
                <w:sz w:val="18"/>
                <w:szCs w:val="20"/>
              </w:rPr>
              <w:br/>
            </w:r>
            <w:r w:rsidRPr="004224F6">
              <w:rPr>
                <w:rFonts w:ascii="Times New Roman" w:hAnsi="Times New Roman" w:cs="Times New Roman"/>
                <w:sz w:val="18"/>
              </w:rPr>
              <w:t>[река-km]</w:t>
            </w:r>
          </w:p>
        </w:tc>
        <w:tc>
          <w:tcPr>
            <w:tcW w:w="1758" w:type="dxa"/>
            <w:tcBorders>
              <w:top w:val="single" w:sz="6" w:space="0" w:color="auto"/>
              <w:left w:val="single" w:sz="6" w:space="0" w:color="auto"/>
              <w:bottom w:val="single" w:sz="6" w:space="0" w:color="auto"/>
              <w:right w:val="double" w:sz="12" w:space="0" w:color="auto"/>
            </w:tcBorders>
            <w:vAlign w:val="center"/>
          </w:tcPr>
          <w:p w14:paraId="1DDE0B22" w14:textId="77777777" w:rsidR="00271FA2" w:rsidRPr="004224F6" w:rsidRDefault="00D35E51">
            <w:pPr>
              <w:tabs>
                <w:tab w:val="left" w:pos="284"/>
              </w:tabs>
              <w:overflowPunct w:val="0"/>
              <w:adjustRightInd w:val="0"/>
              <w:spacing w:line="240" w:lineRule="atLeast"/>
              <w:jc w:val="center"/>
              <w:textAlignment w:val="baseline"/>
              <w:rPr>
                <w:rFonts w:ascii="Times New Roman" w:hAnsi="Times New Roman" w:cs="Times New Roman"/>
                <w:sz w:val="18"/>
                <w:szCs w:val="20"/>
              </w:rPr>
            </w:pPr>
            <w:r w:rsidRPr="004224F6">
              <w:rPr>
                <w:rFonts w:ascii="Times New Roman" w:hAnsi="Times New Roman" w:cs="Times New Roman"/>
                <w:sz w:val="18"/>
              </w:rPr>
              <w:t>ВРЕМЕ</w:t>
            </w:r>
            <w:r w:rsidRPr="004224F6">
              <w:rPr>
                <w:rFonts w:ascii="Times New Roman" w:hAnsi="Times New Roman" w:cs="Times New Roman"/>
                <w:sz w:val="18"/>
                <w:szCs w:val="20"/>
              </w:rPr>
              <w:br/>
            </w:r>
            <w:r w:rsidRPr="004224F6">
              <w:rPr>
                <w:rFonts w:ascii="Times New Roman" w:hAnsi="Times New Roman" w:cs="Times New Roman"/>
                <w:sz w:val="18"/>
              </w:rPr>
              <w:t>[sec.]</w:t>
            </w:r>
          </w:p>
        </w:tc>
        <w:tc>
          <w:tcPr>
            <w:tcW w:w="1758" w:type="dxa"/>
            <w:tcBorders>
              <w:top w:val="single" w:sz="6" w:space="0" w:color="auto"/>
              <w:left w:val="nil"/>
              <w:bottom w:val="single" w:sz="6" w:space="0" w:color="auto"/>
              <w:right w:val="single" w:sz="6" w:space="0" w:color="auto"/>
            </w:tcBorders>
            <w:vAlign w:val="center"/>
          </w:tcPr>
          <w:p w14:paraId="6A5DEBB8" w14:textId="77777777" w:rsidR="00271FA2" w:rsidRPr="004224F6" w:rsidRDefault="00D35E51">
            <w:pPr>
              <w:tabs>
                <w:tab w:val="left" w:pos="284"/>
              </w:tabs>
              <w:overflowPunct w:val="0"/>
              <w:adjustRightInd w:val="0"/>
              <w:spacing w:line="240" w:lineRule="atLeast"/>
              <w:jc w:val="center"/>
              <w:textAlignment w:val="baseline"/>
              <w:rPr>
                <w:rFonts w:ascii="Times New Roman" w:hAnsi="Times New Roman" w:cs="Times New Roman"/>
                <w:sz w:val="18"/>
                <w:szCs w:val="20"/>
              </w:rPr>
            </w:pPr>
            <m:oMathPara>
              <m:oMath>
                <m:r>
                  <w:rPr>
                    <w:rFonts w:ascii="Cambria Math" w:hAnsi="Cambria Math" w:cs="Times New Roman"/>
                    <w:sz w:val="18"/>
                    <w:szCs w:val="20"/>
                  </w:rPr>
                  <m:t>∆s</m:t>
                </m:r>
                <m:r>
                  <m:rPr>
                    <m:sty m:val="p"/>
                  </m:rPr>
                  <w:rPr>
                    <w:rFonts w:ascii="Cambria Math" w:hAnsi="Cambria Math" w:cs="Times New Roman"/>
                    <w:sz w:val="18"/>
                    <w:szCs w:val="20"/>
                  </w:rPr>
                  <w:br/>
                </m:r>
              </m:oMath>
            </m:oMathPara>
            <w:r w:rsidRPr="004224F6">
              <w:rPr>
                <w:rFonts w:ascii="Times New Roman" w:hAnsi="Times New Roman" w:cs="Times New Roman"/>
                <w:sz w:val="18"/>
              </w:rPr>
              <w:t>[m]</w:t>
            </w:r>
          </w:p>
        </w:tc>
        <w:tc>
          <w:tcPr>
            <w:tcW w:w="1758" w:type="dxa"/>
            <w:tcBorders>
              <w:top w:val="single" w:sz="6" w:space="0" w:color="auto"/>
              <w:left w:val="single" w:sz="6" w:space="0" w:color="auto"/>
              <w:bottom w:val="single" w:sz="6" w:space="0" w:color="auto"/>
              <w:right w:val="single" w:sz="6" w:space="0" w:color="auto"/>
            </w:tcBorders>
            <w:vAlign w:val="center"/>
          </w:tcPr>
          <w:p w14:paraId="3028DFEA" w14:textId="77777777" w:rsidR="00271FA2" w:rsidRPr="004224F6" w:rsidRDefault="00D35E51">
            <w:pPr>
              <w:tabs>
                <w:tab w:val="left" w:pos="284"/>
              </w:tabs>
              <w:overflowPunct w:val="0"/>
              <w:adjustRightInd w:val="0"/>
              <w:spacing w:line="240" w:lineRule="atLeast"/>
              <w:jc w:val="center"/>
              <w:textAlignment w:val="baseline"/>
              <w:rPr>
                <w:rFonts w:ascii="Times New Roman" w:hAnsi="Times New Roman" w:cs="Times New Roman"/>
                <w:sz w:val="18"/>
                <w:szCs w:val="20"/>
              </w:rPr>
            </w:pPr>
            <m:oMathPara>
              <m:oMath>
                <m:r>
                  <w:rPr>
                    <w:rFonts w:ascii="Cambria Math" w:hAnsi="Cambria Math" w:cs="Times New Roman"/>
                    <w:sz w:val="18"/>
                    <w:szCs w:val="20"/>
                  </w:rPr>
                  <m:t>∆t</m:t>
                </m:r>
                <m:r>
                  <m:rPr>
                    <m:sty m:val="p"/>
                  </m:rPr>
                  <w:rPr>
                    <w:rFonts w:ascii="Cambria Math" w:hAnsi="Cambria Math" w:cs="Times New Roman"/>
                    <w:sz w:val="18"/>
                    <w:szCs w:val="20"/>
                  </w:rPr>
                  <w:br/>
                </m:r>
              </m:oMath>
            </m:oMathPara>
            <w:r w:rsidRPr="004224F6">
              <w:rPr>
                <w:rFonts w:ascii="Times New Roman" w:hAnsi="Times New Roman" w:cs="Times New Roman"/>
                <w:sz w:val="18"/>
              </w:rPr>
              <w:t>[sec]</w:t>
            </w:r>
          </w:p>
        </w:tc>
        <w:tc>
          <w:tcPr>
            <w:tcW w:w="1758" w:type="dxa"/>
            <w:tcBorders>
              <w:top w:val="single" w:sz="6" w:space="0" w:color="auto"/>
              <w:left w:val="single" w:sz="6" w:space="0" w:color="auto"/>
              <w:bottom w:val="single" w:sz="6" w:space="0" w:color="auto"/>
              <w:right w:val="single" w:sz="6" w:space="0" w:color="auto"/>
            </w:tcBorders>
            <w:vAlign w:val="center"/>
          </w:tcPr>
          <w:p w14:paraId="2B22E754" w14:textId="77777777" w:rsidR="00271FA2" w:rsidRPr="004224F6" w:rsidRDefault="002C62EC">
            <w:pPr>
              <w:tabs>
                <w:tab w:val="left" w:pos="284"/>
              </w:tabs>
              <w:overflowPunct w:val="0"/>
              <w:adjustRightInd w:val="0"/>
              <w:spacing w:line="240" w:lineRule="atLeast"/>
              <w:jc w:val="center"/>
              <w:textAlignment w:val="baseline"/>
              <w:rPr>
                <w:rFonts w:ascii="Times New Roman" w:hAnsi="Times New Roman" w:cs="Times New Roman"/>
                <w:sz w:val="18"/>
                <w:szCs w:val="20"/>
              </w:rPr>
            </w:pPr>
            <m:oMathPara>
              <m:oMath>
                <m:sSub>
                  <m:sSubPr>
                    <m:ctrlPr>
                      <w:rPr>
                        <w:rFonts w:ascii="Cambria Math" w:hAnsi="Cambria Math" w:cs="Times New Roman"/>
                        <w:i/>
                        <w:sz w:val="18"/>
                        <w:szCs w:val="20"/>
                      </w:rPr>
                    </m:ctrlPr>
                  </m:sSubPr>
                  <m:e>
                    <m:r>
                      <w:rPr>
                        <w:rFonts w:ascii="Cambria Math" w:hAnsi="Cambria Math" w:cs="Times New Roman"/>
                        <w:sz w:val="18"/>
                        <w:szCs w:val="20"/>
                      </w:rPr>
                      <m:t>v</m:t>
                    </m:r>
                  </m:e>
                  <m:sub>
                    <m:r>
                      <w:rPr>
                        <w:rFonts w:ascii="Cambria Math" w:hAnsi="Cambria Math" w:cs="Times New Roman"/>
                        <w:sz w:val="18"/>
                        <w:szCs w:val="20"/>
                      </w:rPr>
                      <m:t>L</m:t>
                    </m:r>
                  </m:sub>
                </m:sSub>
                <m:r>
                  <m:rPr>
                    <m:sty m:val="p"/>
                  </m:rPr>
                  <w:rPr>
                    <w:rFonts w:ascii="Cambria Math" w:hAnsi="Cambria Math" w:cs="Times New Roman"/>
                    <w:sz w:val="18"/>
                    <w:szCs w:val="20"/>
                  </w:rPr>
                  <w:br/>
                </m:r>
              </m:oMath>
            </m:oMathPara>
            <w:r w:rsidR="00D35E51" w:rsidRPr="004224F6">
              <w:rPr>
                <w:rFonts w:ascii="Times New Roman" w:hAnsi="Times New Roman" w:cs="Times New Roman"/>
                <w:sz w:val="18"/>
              </w:rPr>
              <w:t>[km/h]</w:t>
            </w:r>
          </w:p>
        </w:tc>
        <w:tc>
          <w:tcPr>
            <w:tcW w:w="1758" w:type="dxa"/>
            <w:tcBorders>
              <w:top w:val="single" w:sz="6" w:space="0" w:color="auto"/>
              <w:left w:val="single" w:sz="6" w:space="0" w:color="auto"/>
              <w:bottom w:val="single" w:sz="6" w:space="0" w:color="auto"/>
              <w:right w:val="single" w:sz="6" w:space="0" w:color="auto"/>
            </w:tcBorders>
            <w:vAlign w:val="center"/>
          </w:tcPr>
          <w:p w14:paraId="75115AC1" w14:textId="77777777" w:rsidR="00271FA2" w:rsidRPr="004224F6" w:rsidRDefault="00D35E51">
            <w:pPr>
              <w:overflowPunct w:val="0"/>
              <w:adjustRightInd w:val="0"/>
              <w:spacing w:line="240" w:lineRule="atLeast"/>
              <w:jc w:val="center"/>
              <w:textAlignment w:val="baseline"/>
              <w:rPr>
                <w:rFonts w:ascii="Times New Roman" w:hAnsi="Times New Roman" w:cs="Times New Roman"/>
                <w:sz w:val="18"/>
                <w:szCs w:val="20"/>
                <w:lang w:val="ru-RU"/>
              </w:rPr>
            </w:pPr>
            <w:r w:rsidRPr="004224F6">
              <w:rPr>
                <w:rFonts w:ascii="Times New Roman" w:hAnsi="Times New Roman" w:cs="Times New Roman"/>
                <w:sz w:val="18"/>
                <w:lang w:val="ru-RU"/>
              </w:rPr>
              <w:t>СКОРОСТ НА ДВИГАТЕЛЯ</w:t>
            </w:r>
            <w:r w:rsidRPr="004224F6">
              <w:rPr>
                <w:rFonts w:ascii="Times New Roman" w:hAnsi="Times New Roman" w:cs="Times New Roman"/>
                <w:sz w:val="18"/>
                <w:szCs w:val="20"/>
                <w:lang w:val="ru-RU"/>
              </w:rPr>
              <w:br/>
            </w:r>
            <m:oMathPara>
              <m:oMath>
                <m:r>
                  <w:rPr>
                    <w:rFonts w:ascii="Cambria Math" w:hAnsi="Cambria Math" w:cs="Times New Roman"/>
                    <w:sz w:val="18"/>
                    <w:szCs w:val="20"/>
                  </w:rPr>
                  <m:t>n</m:t>
                </m:r>
                <m:r>
                  <m:rPr>
                    <m:sty m:val="p"/>
                  </m:rPr>
                  <w:rPr>
                    <w:rFonts w:ascii="Cambria Math" w:hAnsi="Cambria Math" w:cs="Times New Roman"/>
                    <w:sz w:val="18"/>
                    <w:szCs w:val="20"/>
                    <w:lang w:val="ru-RU"/>
                  </w:rPr>
                  <w:br/>
                </m:r>
              </m:oMath>
            </m:oMathPara>
            <w:r w:rsidRPr="004224F6">
              <w:rPr>
                <w:rFonts w:ascii="Times New Roman" w:hAnsi="Times New Roman" w:cs="Times New Roman"/>
                <w:sz w:val="18"/>
                <w:lang w:val="ru-RU"/>
              </w:rPr>
              <w:t>[</w:t>
            </w:r>
            <w:r w:rsidRPr="004224F6">
              <w:rPr>
                <w:rFonts w:ascii="Times New Roman" w:hAnsi="Times New Roman" w:cs="Times New Roman"/>
                <w:sz w:val="18"/>
              </w:rPr>
              <w:t>min</w:t>
            </w:r>
            <w:r w:rsidRPr="004224F6">
              <w:rPr>
                <w:rFonts w:ascii="Times New Roman" w:hAnsi="Times New Roman" w:cs="Times New Roman"/>
                <w:sz w:val="18"/>
                <w:vertAlign w:val="superscript"/>
                <w:lang w:val="ru-RU"/>
              </w:rPr>
              <w:t>-1</w:t>
            </w:r>
            <w:r w:rsidRPr="004224F6">
              <w:rPr>
                <w:rFonts w:ascii="Times New Roman" w:hAnsi="Times New Roman" w:cs="Times New Roman"/>
                <w:sz w:val="18"/>
                <w:lang w:val="ru-RU"/>
              </w:rPr>
              <w:t>]</w:t>
            </w:r>
          </w:p>
        </w:tc>
        <w:tc>
          <w:tcPr>
            <w:tcW w:w="2948" w:type="dxa"/>
            <w:tcBorders>
              <w:top w:val="single" w:sz="6" w:space="0" w:color="auto"/>
              <w:left w:val="single" w:sz="6" w:space="0" w:color="auto"/>
              <w:bottom w:val="single" w:sz="6" w:space="0" w:color="auto"/>
              <w:right w:val="single" w:sz="6" w:space="0" w:color="auto"/>
            </w:tcBorders>
            <w:vAlign w:val="center"/>
          </w:tcPr>
          <w:p w14:paraId="35D384C4" w14:textId="77777777" w:rsidR="00271FA2" w:rsidRPr="004224F6" w:rsidRDefault="00D35E51">
            <w:pPr>
              <w:tabs>
                <w:tab w:val="left" w:pos="284"/>
              </w:tabs>
              <w:overflowPunct w:val="0"/>
              <w:adjustRightInd w:val="0"/>
              <w:spacing w:line="240" w:lineRule="atLeast"/>
              <w:jc w:val="center"/>
              <w:textAlignment w:val="baseline"/>
              <w:rPr>
                <w:rFonts w:ascii="Times New Roman" w:hAnsi="Times New Roman" w:cs="Times New Roman"/>
                <w:sz w:val="18"/>
                <w:szCs w:val="20"/>
              </w:rPr>
            </w:pPr>
            <w:r w:rsidRPr="004224F6">
              <w:rPr>
                <w:rFonts w:ascii="Times New Roman" w:hAnsi="Times New Roman" w:cs="Times New Roman"/>
                <w:sz w:val="18"/>
              </w:rPr>
              <w:t>ЗАБЕЛЕЖКИ</w:t>
            </w:r>
          </w:p>
        </w:tc>
      </w:tr>
      <w:tr w:rsidR="00271FA2" w:rsidRPr="004224F6" w14:paraId="1FEC77EA" w14:textId="77777777">
        <w:trPr>
          <w:jc w:val="center"/>
        </w:trPr>
        <w:tc>
          <w:tcPr>
            <w:tcW w:w="1758" w:type="dxa"/>
            <w:tcBorders>
              <w:top w:val="single" w:sz="6" w:space="0" w:color="auto"/>
              <w:left w:val="single" w:sz="6" w:space="0" w:color="auto"/>
              <w:bottom w:val="single" w:sz="6" w:space="0" w:color="auto"/>
              <w:right w:val="single" w:sz="6" w:space="0" w:color="auto"/>
            </w:tcBorders>
          </w:tcPr>
          <w:p w14:paraId="24875A80"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double" w:sz="12" w:space="0" w:color="auto"/>
            </w:tcBorders>
          </w:tcPr>
          <w:p w14:paraId="77A799D1"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nil"/>
              <w:bottom w:val="single" w:sz="6" w:space="0" w:color="auto"/>
              <w:right w:val="single" w:sz="6" w:space="0" w:color="auto"/>
            </w:tcBorders>
          </w:tcPr>
          <w:p w14:paraId="73C4E567"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63A191A2"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485CDF60"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2DF23274"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2948" w:type="dxa"/>
            <w:tcBorders>
              <w:top w:val="single" w:sz="6" w:space="0" w:color="auto"/>
              <w:left w:val="single" w:sz="6" w:space="0" w:color="auto"/>
              <w:bottom w:val="single" w:sz="6" w:space="0" w:color="auto"/>
              <w:right w:val="single" w:sz="6" w:space="0" w:color="auto"/>
            </w:tcBorders>
          </w:tcPr>
          <w:p w14:paraId="3F86580B"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r>
      <w:tr w:rsidR="00271FA2" w:rsidRPr="004224F6" w14:paraId="39426F2E" w14:textId="77777777">
        <w:trPr>
          <w:jc w:val="center"/>
        </w:trPr>
        <w:tc>
          <w:tcPr>
            <w:tcW w:w="1758" w:type="dxa"/>
            <w:tcBorders>
              <w:top w:val="single" w:sz="6" w:space="0" w:color="auto"/>
              <w:left w:val="single" w:sz="6" w:space="0" w:color="auto"/>
              <w:bottom w:val="single" w:sz="6" w:space="0" w:color="auto"/>
              <w:right w:val="single" w:sz="6" w:space="0" w:color="auto"/>
            </w:tcBorders>
          </w:tcPr>
          <w:p w14:paraId="4DC0FE49"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double" w:sz="12" w:space="0" w:color="auto"/>
            </w:tcBorders>
          </w:tcPr>
          <w:p w14:paraId="7FE80BC9"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nil"/>
              <w:bottom w:val="single" w:sz="6" w:space="0" w:color="auto"/>
              <w:right w:val="single" w:sz="6" w:space="0" w:color="auto"/>
            </w:tcBorders>
          </w:tcPr>
          <w:p w14:paraId="041912FD"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50FA15DA"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252530E7"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1ED1C631"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2948" w:type="dxa"/>
            <w:tcBorders>
              <w:top w:val="single" w:sz="6" w:space="0" w:color="auto"/>
              <w:left w:val="single" w:sz="6" w:space="0" w:color="auto"/>
              <w:bottom w:val="single" w:sz="6" w:space="0" w:color="auto"/>
              <w:right w:val="single" w:sz="6" w:space="0" w:color="auto"/>
            </w:tcBorders>
          </w:tcPr>
          <w:p w14:paraId="70AD0915"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r>
      <w:tr w:rsidR="00271FA2" w:rsidRPr="004224F6" w14:paraId="3A1C6994" w14:textId="77777777">
        <w:trPr>
          <w:jc w:val="center"/>
        </w:trPr>
        <w:tc>
          <w:tcPr>
            <w:tcW w:w="1758" w:type="dxa"/>
            <w:tcBorders>
              <w:top w:val="single" w:sz="6" w:space="0" w:color="auto"/>
              <w:left w:val="single" w:sz="6" w:space="0" w:color="auto"/>
              <w:bottom w:val="single" w:sz="6" w:space="0" w:color="auto"/>
              <w:right w:val="single" w:sz="6" w:space="0" w:color="auto"/>
            </w:tcBorders>
          </w:tcPr>
          <w:p w14:paraId="44AFF7A0"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double" w:sz="12" w:space="0" w:color="auto"/>
            </w:tcBorders>
          </w:tcPr>
          <w:p w14:paraId="2DBB8CA5"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nil"/>
              <w:bottom w:val="single" w:sz="6" w:space="0" w:color="auto"/>
              <w:right w:val="single" w:sz="6" w:space="0" w:color="auto"/>
            </w:tcBorders>
          </w:tcPr>
          <w:p w14:paraId="0F0F4F6A"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59665532"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45DF4823"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21DF52EA"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2948" w:type="dxa"/>
            <w:tcBorders>
              <w:top w:val="single" w:sz="6" w:space="0" w:color="auto"/>
              <w:left w:val="single" w:sz="6" w:space="0" w:color="auto"/>
              <w:bottom w:val="single" w:sz="6" w:space="0" w:color="auto"/>
              <w:right w:val="single" w:sz="6" w:space="0" w:color="auto"/>
            </w:tcBorders>
          </w:tcPr>
          <w:p w14:paraId="0F7C9994"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r>
      <w:tr w:rsidR="00271FA2" w:rsidRPr="004224F6" w14:paraId="05EFBD96" w14:textId="77777777">
        <w:trPr>
          <w:jc w:val="center"/>
        </w:trPr>
        <w:tc>
          <w:tcPr>
            <w:tcW w:w="1758" w:type="dxa"/>
            <w:tcBorders>
              <w:top w:val="single" w:sz="6" w:space="0" w:color="auto"/>
              <w:left w:val="single" w:sz="6" w:space="0" w:color="auto"/>
              <w:bottom w:val="single" w:sz="6" w:space="0" w:color="auto"/>
              <w:right w:val="single" w:sz="6" w:space="0" w:color="auto"/>
            </w:tcBorders>
          </w:tcPr>
          <w:p w14:paraId="6F0B300C"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double" w:sz="12" w:space="0" w:color="auto"/>
            </w:tcBorders>
          </w:tcPr>
          <w:p w14:paraId="1B3F4209"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nil"/>
              <w:bottom w:val="single" w:sz="6" w:space="0" w:color="auto"/>
              <w:right w:val="single" w:sz="6" w:space="0" w:color="auto"/>
            </w:tcBorders>
          </w:tcPr>
          <w:p w14:paraId="64D5088B"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5BB59BF4"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612CC936"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0E301A33"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2948" w:type="dxa"/>
            <w:tcBorders>
              <w:top w:val="single" w:sz="6" w:space="0" w:color="auto"/>
              <w:left w:val="single" w:sz="6" w:space="0" w:color="auto"/>
              <w:bottom w:val="single" w:sz="6" w:space="0" w:color="auto"/>
              <w:right w:val="single" w:sz="6" w:space="0" w:color="auto"/>
            </w:tcBorders>
          </w:tcPr>
          <w:p w14:paraId="6669DA7C"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r>
      <w:tr w:rsidR="00271FA2" w:rsidRPr="004224F6" w14:paraId="386547C1" w14:textId="77777777">
        <w:trPr>
          <w:jc w:val="center"/>
        </w:trPr>
        <w:tc>
          <w:tcPr>
            <w:tcW w:w="1758" w:type="dxa"/>
            <w:tcBorders>
              <w:top w:val="single" w:sz="6" w:space="0" w:color="auto"/>
              <w:left w:val="single" w:sz="6" w:space="0" w:color="auto"/>
              <w:bottom w:val="single" w:sz="6" w:space="0" w:color="auto"/>
              <w:right w:val="single" w:sz="6" w:space="0" w:color="auto"/>
            </w:tcBorders>
          </w:tcPr>
          <w:p w14:paraId="5948E49B"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double" w:sz="12" w:space="0" w:color="auto"/>
            </w:tcBorders>
          </w:tcPr>
          <w:p w14:paraId="5C76E23A"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nil"/>
              <w:bottom w:val="single" w:sz="6" w:space="0" w:color="auto"/>
              <w:right w:val="single" w:sz="6" w:space="0" w:color="auto"/>
            </w:tcBorders>
          </w:tcPr>
          <w:p w14:paraId="57D1B5B1"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23343359"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24A2B453"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10ECA993"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2948" w:type="dxa"/>
            <w:tcBorders>
              <w:top w:val="single" w:sz="6" w:space="0" w:color="auto"/>
              <w:left w:val="single" w:sz="6" w:space="0" w:color="auto"/>
              <w:bottom w:val="single" w:sz="6" w:space="0" w:color="auto"/>
              <w:right w:val="single" w:sz="6" w:space="0" w:color="auto"/>
            </w:tcBorders>
          </w:tcPr>
          <w:p w14:paraId="62322293"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r>
      <w:tr w:rsidR="00271FA2" w:rsidRPr="004224F6" w14:paraId="4ED93EA7" w14:textId="77777777">
        <w:trPr>
          <w:jc w:val="center"/>
        </w:trPr>
        <w:tc>
          <w:tcPr>
            <w:tcW w:w="1758" w:type="dxa"/>
            <w:tcBorders>
              <w:top w:val="single" w:sz="6" w:space="0" w:color="auto"/>
              <w:left w:val="single" w:sz="6" w:space="0" w:color="auto"/>
              <w:bottom w:val="single" w:sz="6" w:space="0" w:color="auto"/>
              <w:right w:val="single" w:sz="6" w:space="0" w:color="auto"/>
            </w:tcBorders>
          </w:tcPr>
          <w:p w14:paraId="207E959A"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double" w:sz="12" w:space="0" w:color="auto"/>
            </w:tcBorders>
          </w:tcPr>
          <w:p w14:paraId="333DEA4C"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nil"/>
              <w:bottom w:val="single" w:sz="6" w:space="0" w:color="auto"/>
              <w:right w:val="single" w:sz="6" w:space="0" w:color="auto"/>
            </w:tcBorders>
          </w:tcPr>
          <w:p w14:paraId="695225AC"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0F7C1CF1"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276EFAC8"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67978B18"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2948" w:type="dxa"/>
            <w:tcBorders>
              <w:top w:val="single" w:sz="6" w:space="0" w:color="auto"/>
              <w:left w:val="single" w:sz="6" w:space="0" w:color="auto"/>
              <w:bottom w:val="single" w:sz="6" w:space="0" w:color="auto"/>
              <w:right w:val="single" w:sz="6" w:space="0" w:color="auto"/>
            </w:tcBorders>
          </w:tcPr>
          <w:p w14:paraId="3BBFF9A7"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r>
      <w:tr w:rsidR="00271FA2" w:rsidRPr="004224F6" w14:paraId="566372D8" w14:textId="77777777">
        <w:trPr>
          <w:jc w:val="center"/>
        </w:trPr>
        <w:tc>
          <w:tcPr>
            <w:tcW w:w="1758" w:type="dxa"/>
            <w:tcBorders>
              <w:top w:val="single" w:sz="6" w:space="0" w:color="auto"/>
              <w:left w:val="single" w:sz="6" w:space="0" w:color="auto"/>
              <w:bottom w:val="single" w:sz="6" w:space="0" w:color="auto"/>
              <w:right w:val="single" w:sz="6" w:space="0" w:color="auto"/>
            </w:tcBorders>
          </w:tcPr>
          <w:p w14:paraId="7F457557"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double" w:sz="12" w:space="0" w:color="auto"/>
            </w:tcBorders>
          </w:tcPr>
          <w:p w14:paraId="26B3814B"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nil"/>
              <w:bottom w:val="single" w:sz="6" w:space="0" w:color="auto"/>
              <w:right w:val="single" w:sz="6" w:space="0" w:color="auto"/>
            </w:tcBorders>
          </w:tcPr>
          <w:p w14:paraId="4F73E94B"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2CC9D44A"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55E1DFE4"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555712D5"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2948" w:type="dxa"/>
            <w:tcBorders>
              <w:top w:val="single" w:sz="6" w:space="0" w:color="auto"/>
              <w:left w:val="single" w:sz="6" w:space="0" w:color="auto"/>
              <w:bottom w:val="single" w:sz="6" w:space="0" w:color="auto"/>
              <w:right w:val="single" w:sz="6" w:space="0" w:color="auto"/>
            </w:tcBorders>
          </w:tcPr>
          <w:p w14:paraId="087A4987"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r>
      <w:tr w:rsidR="00271FA2" w:rsidRPr="004224F6" w14:paraId="1BA86643" w14:textId="77777777">
        <w:trPr>
          <w:jc w:val="center"/>
        </w:trPr>
        <w:tc>
          <w:tcPr>
            <w:tcW w:w="1758" w:type="dxa"/>
            <w:tcBorders>
              <w:top w:val="single" w:sz="6" w:space="0" w:color="auto"/>
              <w:left w:val="single" w:sz="6" w:space="0" w:color="auto"/>
              <w:bottom w:val="single" w:sz="6" w:space="0" w:color="auto"/>
              <w:right w:val="single" w:sz="6" w:space="0" w:color="auto"/>
            </w:tcBorders>
          </w:tcPr>
          <w:p w14:paraId="4039A827"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double" w:sz="12" w:space="0" w:color="auto"/>
            </w:tcBorders>
          </w:tcPr>
          <w:p w14:paraId="7EF4B848"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nil"/>
              <w:bottom w:val="single" w:sz="6" w:space="0" w:color="auto"/>
              <w:right w:val="single" w:sz="6" w:space="0" w:color="auto"/>
            </w:tcBorders>
          </w:tcPr>
          <w:p w14:paraId="0D4E9360"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1A788F09"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1E1418D9"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1758" w:type="dxa"/>
            <w:tcBorders>
              <w:top w:val="single" w:sz="6" w:space="0" w:color="auto"/>
              <w:left w:val="single" w:sz="6" w:space="0" w:color="auto"/>
              <w:bottom w:val="single" w:sz="6" w:space="0" w:color="auto"/>
              <w:right w:val="single" w:sz="6" w:space="0" w:color="auto"/>
            </w:tcBorders>
          </w:tcPr>
          <w:p w14:paraId="040A08BD"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c>
          <w:tcPr>
            <w:tcW w:w="2948" w:type="dxa"/>
            <w:tcBorders>
              <w:top w:val="single" w:sz="6" w:space="0" w:color="auto"/>
              <w:left w:val="single" w:sz="6" w:space="0" w:color="auto"/>
              <w:bottom w:val="single" w:sz="6" w:space="0" w:color="auto"/>
              <w:right w:val="single" w:sz="6" w:space="0" w:color="auto"/>
            </w:tcBorders>
          </w:tcPr>
          <w:p w14:paraId="0FFDEE37" w14:textId="77777777" w:rsidR="00271FA2" w:rsidRPr="004224F6" w:rsidRDefault="00271FA2">
            <w:pPr>
              <w:tabs>
                <w:tab w:val="left" w:pos="284"/>
              </w:tabs>
              <w:overflowPunct w:val="0"/>
              <w:adjustRightInd w:val="0"/>
              <w:spacing w:line="240" w:lineRule="atLeast"/>
              <w:jc w:val="center"/>
              <w:textAlignment w:val="baseline"/>
              <w:rPr>
                <w:rFonts w:ascii="Times New Roman" w:hAnsi="Times New Roman" w:cs="Times New Roman"/>
                <w:sz w:val="18"/>
                <w:szCs w:val="20"/>
              </w:rPr>
            </w:pPr>
          </w:p>
        </w:tc>
      </w:tr>
    </w:tbl>
    <w:p w14:paraId="2667C73F" w14:textId="77777777" w:rsidR="00271FA2" w:rsidRPr="004224F6" w:rsidRDefault="00271FA2">
      <w:pPr>
        <w:spacing w:line="240" w:lineRule="atLeast"/>
        <w:rPr>
          <w:rFonts w:ascii="Times New Roman" w:hAnsi="Times New Roman" w:cs="Times New Roman"/>
        </w:rPr>
        <w:sectPr w:rsidR="00271FA2" w:rsidRPr="004224F6" w:rsidSect="004224F6">
          <w:headerReference w:type="first" r:id="rId208"/>
          <w:footerReference w:type="first" r:id="rId209"/>
          <w:pgSz w:w="16840" w:h="11907" w:orient="landscape"/>
          <w:pgMar w:top="1134" w:right="1134" w:bottom="1134" w:left="1134" w:header="709" w:footer="709" w:gutter="0"/>
          <w:cols w:space="720"/>
          <w:titlePg/>
          <w:docGrid w:linePitch="299"/>
        </w:sectPr>
      </w:pPr>
    </w:p>
    <w:p w14:paraId="76538A7C" w14:textId="77777777" w:rsidR="00271FA2" w:rsidRPr="004224F6" w:rsidRDefault="00D35E51" w:rsidP="00605A3E">
      <w:pPr>
        <w:pStyle w:val="ES-Titre4"/>
        <w:spacing w:after="0"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lastRenderedPageBreak/>
        <w:t xml:space="preserve">Приложение 2 към Инструкция </w:t>
      </w:r>
      <w:r w:rsidRPr="004224F6">
        <w:rPr>
          <w:rFonts w:ascii="Times New Roman" w:hAnsi="Times New Roman" w:cs="Times New Roman"/>
          <w:sz w:val="24"/>
          <w:szCs w:val="24"/>
        </w:rPr>
        <w:t>ESI</w:t>
      </w:r>
      <w:r w:rsidRPr="004224F6">
        <w:rPr>
          <w:rFonts w:ascii="Times New Roman" w:hAnsi="Times New Roman" w:cs="Times New Roman"/>
          <w:sz w:val="24"/>
          <w:szCs w:val="24"/>
          <w:lang w:val="ru-RU"/>
        </w:rPr>
        <w:t>-</w:t>
      </w:r>
      <w:r w:rsidRPr="004224F6">
        <w:rPr>
          <w:rFonts w:ascii="Times New Roman" w:hAnsi="Times New Roman" w:cs="Times New Roman"/>
          <w:sz w:val="24"/>
          <w:szCs w:val="24"/>
        </w:rPr>
        <w:t>II</w:t>
      </w:r>
      <w:r w:rsidRPr="004224F6">
        <w:rPr>
          <w:rFonts w:ascii="Times New Roman" w:hAnsi="Times New Roman" w:cs="Times New Roman"/>
          <w:sz w:val="24"/>
          <w:szCs w:val="24"/>
          <w:lang w:val="ru-RU"/>
        </w:rPr>
        <w:t>-3</w:t>
      </w:r>
    </w:p>
    <w:p w14:paraId="7DF4A5A3" w14:textId="77777777" w:rsidR="00271FA2" w:rsidRPr="004224F6" w:rsidRDefault="00D35E51">
      <w:pPr>
        <w:pStyle w:val="ES-Titre4a"/>
        <w:spacing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t>Оценка на резултатите от маневрата за спиране</w:t>
      </w:r>
    </w:p>
    <w:p w14:paraId="2D836251"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w:t>
      </w:r>
      <w:r w:rsidRPr="004224F6">
        <w:rPr>
          <w:rFonts w:ascii="Times New Roman" w:hAnsi="Times New Roman" w:cs="Times New Roman"/>
          <w:lang w:val="ru-RU"/>
        </w:rPr>
        <w:tab/>
        <w:t>На базата на отчетените стойности трябва да се провери спазването на пределно допустимите стойности в съответствие с Приложение</w:t>
      </w:r>
      <w:r w:rsidRPr="004224F6">
        <w:rPr>
          <w:rFonts w:ascii="Times New Roman" w:hAnsi="Times New Roman" w:cs="Times New Roman"/>
        </w:rPr>
        <w:t> </w:t>
      </w:r>
      <w:r w:rsidRPr="004224F6">
        <w:rPr>
          <w:rFonts w:ascii="Times New Roman" w:hAnsi="Times New Roman" w:cs="Times New Roman"/>
          <w:lang w:val="ru-RU"/>
        </w:rPr>
        <w:t>1. Ако условията за маневрата за спиране значително се отклоняват от стандартните условия или съществува съмнение за спазването на пределно допустимите стойности, се прави оценка на резултатите. За тази цел може да се приложи изложената по-долу процедура за изчисляване на маневрите за спиране.</w:t>
      </w:r>
    </w:p>
    <w:p w14:paraId="245F79E5"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w:t>
      </w:r>
      <w:r w:rsidRPr="004224F6">
        <w:rPr>
          <w:rFonts w:ascii="Times New Roman" w:hAnsi="Times New Roman" w:cs="Times New Roman"/>
          <w:lang w:val="ru-RU"/>
        </w:rPr>
        <w:tab/>
        <w:t>Теоретичните разстояния на спиране се определят при стандартните условия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oMath>
      <w:r w:rsidRPr="004224F6">
        <w:rPr>
          <w:rFonts w:ascii="Times New Roman" w:hAnsi="Times New Roman" w:cs="Times New Roman"/>
          <w:lang w:val="ru-RU"/>
        </w:rPr>
        <w:t>) по точка 2.1 от настоящата инструкция и при условия на маневра за спиране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oMath>
      <w:r w:rsidRPr="004224F6">
        <w:rPr>
          <w:rFonts w:ascii="Times New Roman" w:hAnsi="Times New Roman" w:cs="Times New Roman"/>
          <w:lang w:val="ru-RU"/>
        </w:rPr>
        <w:t>) и се сравняват с измереното разстояние на спиране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oMath>
      <w:r w:rsidRPr="004224F6">
        <w:rPr>
          <w:rFonts w:ascii="Times New Roman" w:hAnsi="Times New Roman" w:cs="Times New Roman"/>
          <w:lang w:val="ru-RU"/>
        </w:rPr>
        <w:t>). Коригираното разстояние на спиране на маневрата за спиране при стандартни условия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oMath>
      <w:r w:rsidRPr="004224F6">
        <w:rPr>
          <w:rFonts w:ascii="Times New Roman" w:hAnsi="Times New Roman" w:cs="Times New Roman"/>
          <w:lang w:val="ru-RU"/>
        </w:rPr>
        <w:t>) се изчислява, както следва:</w:t>
      </w:r>
    </w:p>
    <w:p w14:paraId="7DD41011" w14:textId="77777777" w:rsidR="00271FA2" w:rsidRPr="004224F6" w:rsidRDefault="00D35E51">
      <w:pPr>
        <w:spacing w:line="240" w:lineRule="atLeast"/>
        <w:ind w:left="1843" w:hanging="1276"/>
        <w:jc w:val="both"/>
        <w:rPr>
          <w:rFonts w:ascii="Times New Roman" w:hAnsi="Times New Roman" w:cs="Times New Roman"/>
          <w:lang w:val="ru-RU"/>
        </w:rPr>
      </w:pPr>
      <w:r w:rsidRPr="004224F6">
        <w:rPr>
          <w:rFonts w:ascii="Times New Roman" w:hAnsi="Times New Roman" w:cs="Times New Roman"/>
          <w:lang w:val="ru-RU"/>
        </w:rPr>
        <w:t>Формула (2.1)</w:t>
      </w:r>
      <w:r w:rsidRPr="004224F6">
        <w:rPr>
          <w:rFonts w:ascii="Times New Roman" w:hAnsi="Times New Roman" w:cs="Times New Roman"/>
          <w:lang w:val="ru-RU"/>
        </w:rPr>
        <w:tab/>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r>
          <w:rPr>
            <w:rFonts w:ascii="Cambria Math" w:hAnsi="Cambria Math" w:cs="Times New Roman"/>
            <w:lang w:val="ru-RU"/>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den>
        </m:f>
        <m:r>
          <w:rPr>
            <w:rFonts w:ascii="Cambria Math" w:hAnsi="Cambria Math" w:cs="Times New Roman"/>
            <w:lang w:val="ru-RU"/>
          </w:rPr>
          <m:t xml:space="preserve"> ≤</m:t>
        </m:r>
        <m:r>
          <w:rPr>
            <w:rFonts w:ascii="Cambria Math" w:hAnsi="Cambria Math" w:cs="Times New Roman"/>
          </w:rPr>
          <m:t>limit</m:t>
        </m:r>
        <m:r>
          <w:rPr>
            <w:rFonts w:ascii="Cambria Math" w:hAnsi="Cambria Math" w:cs="Times New Roman"/>
            <w:lang w:val="ru-RU"/>
          </w:rPr>
          <m:t xml:space="preserve"> </m:t>
        </m:r>
        <m:r>
          <w:rPr>
            <w:rFonts w:ascii="Cambria Math" w:hAnsi="Cambria Math" w:cs="Times New Roman"/>
          </w:rPr>
          <m:t>value</m:t>
        </m:r>
      </m:oMath>
    </w:p>
    <w:p w14:paraId="4B796020"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в съответствие с точка 2.1, буква „</w:t>
      </w:r>
      <w:r w:rsidRPr="004224F6">
        <w:rPr>
          <w:rFonts w:ascii="Times New Roman" w:hAnsi="Times New Roman" w:cs="Times New Roman"/>
        </w:rPr>
        <w:t>a</w:t>
      </w:r>
      <w:r w:rsidRPr="004224F6">
        <w:rPr>
          <w:rFonts w:ascii="Times New Roman" w:hAnsi="Times New Roman" w:cs="Times New Roman"/>
          <w:lang w:val="ru-RU"/>
        </w:rPr>
        <w:t>“ или „б“ от настоящата инструкция.</w:t>
      </w:r>
    </w:p>
    <w:p w14:paraId="0A698086"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Когато маневрата за спиране е проведена с натоварване 70—100 % от максималната товароподемност в съответствие с точка 2.2 от настоящата инструкция, за да се изчисли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oMath>
      <w:r w:rsidRPr="004224F6">
        <w:rPr>
          <w:rFonts w:ascii="Times New Roman" w:hAnsi="Times New Roman" w:cs="Times New Roman"/>
          <w:lang w:val="ru-RU"/>
        </w:rPr>
        <w:t xml:space="preserve">, за определянето на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oMath>
      <w:r w:rsidRPr="004224F6">
        <w:rPr>
          <w:rFonts w:ascii="Times New Roman" w:hAnsi="Times New Roman" w:cs="Times New Roman"/>
          <w:lang w:val="ru-RU"/>
        </w:rPr>
        <w:t xml:space="preserve"> и на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oMath>
      <w:r w:rsidRPr="004224F6">
        <w:rPr>
          <w:rFonts w:ascii="Times New Roman" w:hAnsi="Times New Roman" w:cs="Times New Roman"/>
          <w:lang w:val="ru-RU"/>
        </w:rPr>
        <w:t xml:space="preserve"> се използва водоизместването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oMath>
      <w:r w:rsidRPr="004224F6">
        <w:rPr>
          <w:rFonts w:ascii="Times New Roman" w:hAnsi="Times New Roman" w:cs="Times New Roman"/>
          <w:lang w:val="ru-RU"/>
        </w:rPr>
        <w:t>), отговарящо на натоварването по време на изпитването.</w:t>
      </w:r>
    </w:p>
    <w:p w14:paraId="0C744071"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Когато при определянето на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oMath>
      <w:r w:rsidRPr="004224F6">
        <w:rPr>
          <w:rFonts w:ascii="Times New Roman" w:hAnsi="Times New Roman" w:cs="Times New Roman"/>
          <w:i/>
          <w:vertAlign w:val="subscript"/>
          <w:lang w:val="ru-RU"/>
        </w:rPr>
        <w:t xml:space="preserve"> </w:t>
      </w:r>
      <w:r w:rsidRPr="004224F6">
        <w:rPr>
          <w:rFonts w:ascii="Times New Roman" w:hAnsi="Times New Roman" w:cs="Times New Roman"/>
          <w:lang w:val="ru-RU"/>
        </w:rPr>
        <w:t xml:space="preserve">по формула (2.1) съответната пределна стойност е надхвърлена или не е достигната, стойността на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oMath>
      <w:r w:rsidRPr="004224F6">
        <w:rPr>
          <w:rFonts w:ascii="Times New Roman" w:hAnsi="Times New Roman" w:cs="Times New Roman"/>
          <w:lang w:val="ru-RU"/>
        </w:rPr>
        <w:t xml:space="preserve"> се намалява или увеличава, като се променя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oMath>
      <w:r w:rsidRPr="004224F6">
        <w:rPr>
          <w:rFonts w:ascii="Times New Roman" w:hAnsi="Times New Roman" w:cs="Times New Roman"/>
          <w:lang w:val="ru-RU"/>
        </w:rPr>
        <w:t>, така че да се постигне съответствие с пределната стойност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oMath>
      <w:r w:rsidRPr="004224F6">
        <w:rPr>
          <w:rFonts w:ascii="Times New Roman" w:hAnsi="Times New Roman" w:cs="Times New Roman"/>
          <w:lang w:val="ru-RU"/>
        </w:rPr>
        <w:t xml:space="preserve"> = съответната пределна стойност). Съответно се определя допустимото максимално водоизместване при плаване по течението.</w:t>
      </w:r>
    </w:p>
    <w:p w14:paraId="62D8E586"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3.</w:t>
      </w:r>
      <w:r w:rsidRPr="004224F6">
        <w:rPr>
          <w:rFonts w:ascii="Times New Roman" w:hAnsi="Times New Roman" w:cs="Times New Roman"/>
          <w:lang w:val="ru-RU"/>
        </w:rPr>
        <w:tab/>
        <w:t>В съответствие с пределно допустимите стойности, посочени в точка 2.1, букви “</w:t>
      </w:r>
      <w:r w:rsidRPr="004224F6">
        <w:rPr>
          <w:rFonts w:ascii="Times New Roman" w:hAnsi="Times New Roman" w:cs="Times New Roman"/>
        </w:rPr>
        <w:t>a</w:t>
      </w:r>
      <w:r w:rsidRPr="004224F6">
        <w:rPr>
          <w:rFonts w:ascii="Times New Roman" w:hAnsi="Times New Roman" w:cs="Times New Roman"/>
          <w:lang w:val="ru-RU"/>
        </w:rPr>
        <w:t>” и “б” от настоящата инструкция, само разстоянията на спиране, измерени във</w:t>
      </w:r>
    </w:p>
    <w:p w14:paraId="35EA218B"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фаза </w:t>
      </w:r>
      <w:r w:rsidRPr="004224F6">
        <w:rPr>
          <w:rFonts w:ascii="Times New Roman" w:hAnsi="Times New Roman" w:cs="Times New Roman"/>
        </w:rPr>
        <w:t>I</w:t>
      </w:r>
      <w:r w:rsidRPr="004224F6">
        <w:rPr>
          <w:rFonts w:ascii="Times New Roman" w:hAnsi="Times New Roman" w:cs="Times New Roman"/>
          <w:lang w:val="ru-RU"/>
        </w:rPr>
        <w:t xml:space="preserve"> („пълен напред“ с реверс до „пълен назад“):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oMath>
    </w:p>
    <w:p w14:paraId="72159F7E"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и</w:t>
      </w:r>
    </w:p>
    <w:p w14:paraId="4294A859" w14:textId="77777777" w:rsidR="00271FA2" w:rsidRPr="004224F6" w:rsidRDefault="00D35E51">
      <w:pPr>
        <w:spacing w:line="240" w:lineRule="atLeast"/>
        <w:ind w:left="992"/>
        <w:jc w:val="both"/>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фаза </w:t>
      </w:r>
      <w:r w:rsidRPr="004224F6">
        <w:rPr>
          <w:rFonts w:ascii="Times New Roman" w:hAnsi="Times New Roman" w:cs="Times New Roman"/>
        </w:rPr>
        <w:t>II</w:t>
      </w:r>
      <w:r w:rsidRPr="004224F6">
        <w:rPr>
          <w:rFonts w:ascii="Times New Roman" w:hAnsi="Times New Roman" w:cs="Times New Roman"/>
          <w:lang w:val="ru-RU"/>
        </w:rPr>
        <w:t xml:space="preserve"> (край на задния ход при спирането на съда спрямо водата)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oMath>
    </w:p>
    <w:p w14:paraId="5C0B36AC"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се изчисляват (виж фигура 1). Общото разстояние на спиране тогава е:</w:t>
      </w:r>
    </w:p>
    <w:p w14:paraId="353D443E"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Формула (3.1)</w:t>
      </w:r>
      <w:r w:rsidRPr="004224F6">
        <w:rPr>
          <w:rFonts w:ascii="Times New Roman" w:hAnsi="Times New Roman" w:cs="Times New Roman"/>
          <w:lang w:val="ru-RU"/>
        </w:rPr>
        <w:tab/>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GES</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oMath>
    </w:p>
    <w:p w14:paraId="0A6FDD9C"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4.</w:t>
      </w:r>
      <w:r w:rsidRPr="004224F6">
        <w:rPr>
          <w:rFonts w:ascii="Times New Roman" w:hAnsi="Times New Roman" w:cs="Times New Roman"/>
          <w:lang w:val="ru-RU"/>
        </w:rPr>
        <w:tab/>
        <w:t>Конкретните разстояния на спиране се изчисляват, както следва:</w:t>
      </w:r>
    </w:p>
    <w:p w14:paraId="00957069" w14:textId="77777777" w:rsidR="00271FA2" w:rsidRPr="004224F6" w:rsidRDefault="00D35E51">
      <w:pPr>
        <w:spacing w:line="240" w:lineRule="atLeast"/>
        <w:jc w:val="center"/>
        <w:rPr>
          <w:rFonts w:ascii="Times New Roman" w:hAnsi="Times New Roman" w:cs="Times New Roman"/>
          <w:b/>
          <w:lang w:val="ru-RU"/>
        </w:rPr>
      </w:pPr>
      <w:r w:rsidRPr="004224F6">
        <w:rPr>
          <w:rFonts w:ascii="Times New Roman" w:hAnsi="Times New Roman" w:cs="Times New Roman"/>
          <w:lang w:val="ru-RU"/>
        </w:rPr>
        <w:br w:type="page"/>
      </w:r>
    </w:p>
    <w:p w14:paraId="00060B3E" w14:textId="77777777" w:rsidR="00271FA2" w:rsidRPr="004224F6" w:rsidRDefault="00D35E51">
      <w:pPr>
        <w:overflowPunct w:val="0"/>
        <w:adjustRightInd w:val="0"/>
        <w:spacing w:line="240" w:lineRule="atLeast"/>
        <w:jc w:val="center"/>
        <w:textAlignment w:val="baseline"/>
        <w:rPr>
          <w:rFonts w:ascii="Times New Roman" w:hAnsi="Times New Roman" w:cs="Times New Roman"/>
          <w:b/>
          <w:lang w:val="ru-RU"/>
        </w:rPr>
      </w:pPr>
      <w:r w:rsidRPr="004224F6">
        <w:rPr>
          <w:rFonts w:ascii="Times New Roman" w:hAnsi="Times New Roman" w:cs="Times New Roman"/>
          <w:b/>
          <w:lang w:val="ru-RU"/>
        </w:rPr>
        <w:lastRenderedPageBreak/>
        <w:t>Изчисляване на маневрата за спиране</w:t>
      </w:r>
    </w:p>
    <w:p w14:paraId="02EA0B9E" w14:textId="77777777" w:rsidR="00271FA2" w:rsidRPr="004224F6" w:rsidRDefault="00D35E51">
      <w:pPr>
        <w:overflowPunct w:val="0"/>
        <w:adjustRightInd w:val="0"/>
        <w:spacing w:line="240" w:lineRule="atLeast"/>
        <w:jc w:val="center"/>
        <w:textAlignment w:val="baseline"/>
        <w:rPr>
          <w:rFonts w:ascii="Times New Roman" w:hAnsi="Times New Roman" w:cs="Times New Roman"/>
          <w:szCs w:val="20"/>
          <w:lang w:val="ru-RU"/>
        </w:rPr>
      </w:pPr>
      <w:r w:rsidRPr="004224F6">
        <w:rPr>
          <w:rFonts w:ascii="Times New Roman" w:hAnsi="Times New Roman" w:cs="Times New Roman"/>
          <w:b/>
          <w:lang w:val="ru-RU"/>
        </w:rPr>
        <w:t>Фигура 2: Диаграма</w:t>
      </w:r>
    </w:p>
    <w:p w14:paraId="67CC4CF3" w14:textId="77777777" w:rsidR="00271FA2" w:rsidRPr="004224F6" w:rsidRDefault="00D35E51">
      <w:pPr>
        <w:overflowPunct w:val="0"/>
        <w:adjustRightInd w:val="0"/>
        <w:spacing w:line="240" w:lineRule="atLeast"/>
        <w:jc w:val="center"/>
        <w:textAlignment w:val="baseline"/>
        <w:rPr>
          <w:rFonts w:ascii="Times New Roman" w:hAnsi="Times New Roman" w:cs="Times New Roman"/>
          <w:szCs w:val="20"/>
        </w:rPr>
      </w:pPr>
      <w:r w:rsidRPr="004224F6">
        <w:rPr>
          <w:rFonts w:ascii="Times New Roman" w:hAnsi="Times New Roman" w:cs="Times New Roman"/>
          <w:noProof/>
          <w:szCs w:val="20"/>
          <w:lang w:eastAsia="bg-BG"/>
        </w:rPr>
        <w:drawing>
          <wp:inline distT="0" distB="0" distL="0" distR="0" wp14:anchorId="1FAFCCD2" wp14:editId="36515900">
            <wp:extent cx="4552950" cy="3124200"/>
            <wp:effectExtent l="0" t="0" r="0" b="0"/>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 29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a:xfrm>
                      <a:off x="0" y="0"/>
                      <a:ext cx="4552950" cy="3124200"/>
                    </a:xfrm>
                    <a:prstGeom prst="rect">
                      <a:avLst/>
                    </a:prstGeom>
                    <a:solidFill>
                      <a:srgbClr val="FFFFFF"/>
                    </a:solidFill>
                    <a:ln>
                      <a:noFill/>
                    </a:ln>
                  </pic:spPr>
                </pic:pic>
              </a:graphicData>
            </a:graphic>
          </wp:inline>
        </w:drawing>
      </w:r>
    </w:p>
    <w:p w14:paraId="23B101DE" w14:textId="77777777" w:rsidR="00271FA2" w:rsidRPr="004224F6" w:rsidRDefault="00D35E51">
      <w:pPr>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b/>
          <w:lang w:val="ru-RU"/>
        </w:rPr>
        <w:t>Формули за изчисляване:</w:t>
      </w:r>
    </w:p>
    <w:p w14:paraId="58A16156" w14:textId="77777777" w:rsidR="00271FA2" w:rsidRPr="004224F6" w:rsidRDefault="00D35E51">
      <w:pPr>
        <w:tabs>
          <w:tab w:val="left" w:pos="5954"/>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ab/>
        <w:t>със следните коефициенти</w:t>
      </w:r>
    </w:p>
    <w:p w14:paraId="42200938" w14:textId="77777777" w:rsidR="00271FA2" w:rsidRPr="004224F6" w:rsidRDefault="00D35E51">
      <w:pPr>
        <w:tabs>
          <w:tab w:val="left" w:pos="1134"/>
          <w:tab w:val="left" w:pos="1418"/>
          <w:tab w:val="left" w:pos="3119"/>
          <w:tab w:val="left" w:pos="5954"/>
          <w:tab w:val="left" w:pos="6379"/>
        </w:tabs>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t>4.1</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S</m:t>
            </m:r>
          </m:e>
          <m:sub>
            <m:r>
              <w:rPr>
                <w:rFonts w:ascii="Cambria Math" w:hAnsi="Cambria Math" w:cs="Times New Roman"/>
                <w:szCs w:val="20"/>
              </w:rPr>
              <m:t>I</m:t>
            </m:r>
          </m:sub>
        </m:sSub>
        <m:r>
          <w:rPr>
            <w:rFonts w:ascii="Cambria Math" w:hAnsi="Cambria Math" w:cs="Times New Roman"/>
            <w:szCs w:val="20"/>
            <w:lang w:val="ru-RU"/>
          </w:rPr>
          <m:t xml:space="preserve">= </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1</m:t>
            </m:r>
          </m:sub>
        </m:sSub>
        <m:r>
          <w:rPr>
            <w:rFonts w:ascii="Cambria Math" w:hAnsi="Cambria Math" w:cs="Times New Roman"/>
            <w:szCs w:val="20"/>
            <w:lang w:val="ru-RU"/>
          </w:rPr>
          <m:t xml:space="preserve"> ∙ </m:t>
        </m:r>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L</m:t>
            </m:r>
          </m:sub>
        </m:sSub>
        <m:r>
          <w:rPr>
            <w:rFonts w:ascii="Cambria Math" w:hAnsi="Cambria Math" w:cs="Times New Roman"/>
            <w:szCs w:val="20"/>
            <w:lang w:val="ru-RU"/>
          </w:rPr>
          <m:t xml:space="preserve"> ∙ </m:t>
        </m:r>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rPr>
              <m:t>I</m:t>
            </m:r>
          </m:sub>
        </m:sSub>
      </m:oMath>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rPr>
              <m:t>I</m:t>
            </m:r>
          </m:sub>
        </m:sSub>
        <m:r>
          <w:rPr>
            <w:rFonts w:ascii="Cambria Math" w:hAnsi="Cambria Math" w:cs="Times New Roman"/>
            <w:szCs w:val="20"/>
            <w:lang w:val="ru-RU"/>
          </w:rPr>
          <m:t xml:space="preserve">≤20 </m:t>
        </m:r>
        <m:r>
          <w:rPr>
            <w:rFonts w:ascii="Cambria Math" w:hAnsi="Cambria Math" w:cs="Times New Roman"/>
            <w:szCs w:val="20"/>
          </w:rPr>
          <m:t>s</m:t>
        </m:r>
      </m:oMath>
      <w:r w:rsidRPr="004224F6">
        <w:rPr>
          <w:rFonts w:ascii="Times New Roman" w:hAnsi="Times New Roman" w:cs="Times New Roman"/>
          <w:lang w:val="ru-RU"/>
        </w:rPr>
        <w:tab/>
        <w:t>-</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1</m:t>
            </m:r>
          </m:sub>
        </m:sSub>
      </m:oMath>
      <w:r w:rsidRPr="004224F6">
        <w:rPr>
          <w:rFonts w:ascii="Times New Roman" w:hAnsi="Times New Roman" w:cs="Times New Roman"/>
          <w:lang w:val="ru-RU"/>
        </w:rPr>
        <w:t xml:space="preserve"> съгласно таблица 1</w:t>
      </w:r>
    </w:p>
    <w:p w14:paraId="620E6F2D" w14:textId="77777777" w:rsidR="00271FA2" w:rsidRPr="004224F6" w:rsidRDefault="00D35E51">
      <w:pPr>
        <w:tabs>
          <w:tab w:val="left" w:pos="567"/>
          <w:tab w:val="left" w:pos="5954"/>
          <w:tab w:val="left" w:pos="6379"/>
        </w:tabs>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t>4.2</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S</m:t>
            </m:r>
          </m:e>
          <m:sub>
            <m:r>
              <w:rPr>
                <w:rFonts w:ascii="Cambria Math" w:hAnsi="Cambria Math" w:cs="Times New Roman"/>
                <w:szCs w:val="20"/>
              </w:rPr>
              <m:t>II</m:t>
            </m:r>
          </m:sub>
        </m:sSub>
        <m:r>
          <w:rPr>
            <w:rFonts w:ascii="Cambria Math" w:hAnsi="Cambria Math" w:cs="Times New Roman"/>
            <w:szCs w:val="20"/>
            <w:lang w:val="ru-RU"/>
          </w:rPr>
          <m:t xml:space="preserve">= </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2</m:t>
            </m:r>
          </m:sub>
        </m:sSub>
        <m:r>
          <w:rPr>
            <w:rFonts w:ascii="Cambria Math" w:hAnsi="Cambria Math" w:cs="Times New Roman"/>
            <w:szCs w:val="20"/>
            <w:lang w:val="ru-RU"/>
          </w:rPr>
          <m:t xml:space="preserve"> ∙ </m:t>
        </m:r>
        <m:sSub>
          <m:sSubPr>
            <m:ctrlPr>
              <w:rPr>
                <w:rFonts w:ascii="Cambria Math" w:hAnsi="Cambria Math" w:cs="Times New Roman"/>
                <w:i/>
                <w:szCs w:val="20"/>
              </w:rPr>
            </m:ctrlPr>
          </m:sSubPr>
          <m:e>
            <m:sSup>
              <m:sSupPr>
                <m:ctrlPr>
                  <w:rPr>
                    <w:rFonts w:ascii="Cambria Math" w:hAnsi="Cambria Math" w:cs="Times New Roman"/>
                    <w:i/>
                    <w:szCs w:val="20"/>
                  </w:rPr>
                </m:ctrlPr>
              </m:sSupPr>
              <m:e>
                <m:r>
                  <w:rPr>
                    <w:rFonts w:ascii="Cambria Math" w:hAnsi="Cambria Math" w:cs="Times New Roman"/>
                    <w:szCs w:val="20"/>
                  </w:rPr>
                  <m:t>v</m:t>
                </m:r>
              </m:e>
              <m:sup>
                <m:r>
                  <w:rPr>
                    <w:rFonts w:ascii="Cambria Math" w:hAnsi="Cambria Math" w:cs="Times New Roman"/>
                    <w:szCs w:val="20"/>
                    <w:lang w:val="ru-RU"/>
                  </w:rPr>
                  <m:t>2</m:t>
                </m:r>
              </m:sup>
            </m:sSup>
          </m:e>
          <m:sub>
            <m:r>
              <w:rPr>
                <w:rFonts w:ascii="Cambria Math" w:hAnsi="Cambria Math" w:cs="Times New Roman"/>
                <w:szCs w:val="20"/>
              </w:rPr>
              <m:t>II</m:t>
            </m:r>
          </m:sub>
        </m:sSub>
        <m:r>
          <w:rPr>
            <w:rFonts w:ascii="Cambria Math" w:hAnsi="Cambria Math" w:cs="Times New Roman"/>
            <w:szCs w:val="20"/>
            <w:lang w:val="ru-RU"/>
          </w:rPr>
          <m:t xml:space="preserve"> ∙ </m:t>
        </m:r>
        <m:f>
          <m:fPr>
            <m:ctrlPr>
              <w:rPr>
                <w:rFonts w:ascii="Cambria Math" w:hAnsi="Cambria Math" w:cs="Times New Roman"/>
                <w:i/>
                <w:szCs w:val="20"/>
              </w:rPr>
            </m:ctrlPr>
          </m:fPr>
          <m:num>
            <m:r>
              <w:rPr>
                <w:rFonts w:ascii="Cambria Math" w:hAnsi="Cambria Math" w:cs="Times New Roman"/>
                <w:szCs w:val="20"/>
              </w:rPr>
              <m:t>D</m:t>
            </m:r>
            <m:r>
              <w:rPr>
                <w:rFonts w:ascii="Cambria Math" w:hAnsi="Cambria Math" w:cs="Times New Roman"/>
                <w:szCs w:val="20"/>
                <w:lang w:val="ru-RU"/>
              </w:rPr>
              <m:t xml:space="preserve"> ∙</m:t>
            </m:r>
            <m:r>
              <w:rPr>
                <w:rFonts w:ascii="Cambria Math" w:hAnsi="Cambria Math" w:cs="Times New Roman"/>
                <w:szCs w:val="20"/>
              </w:rPr>
              <m:t>g</m:t>
            </m:r>
          </m:num>
          <m:den>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3</m:t>
                </m:r>
              </m:sub>
            </m:sSub>
            <m:r>
              <w:rPr>
                <w:rFonts w:ascii="Cambria Math" w:hAnsi="Cambria Math" w:cs="Times New Roman"/>
                <w:szCs w:val="20"/>
                <w:lang w:val="ru-RU"/>
              </w:rPr>
              <m:t xml:space="preserve"> ∙ </m:t>
            </m:r>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POR</m:t>
                </m:r>
              </m:sub>
            </m:sSub>
            <m:r>
              <w:rPr>
                <w:rFonts w:ascii="Cambria Math" w:hAnsi="Cambria Math" w:cs="Times New Roman"/>
                <w:szCs w:val="20"/>
                <w:lang w:val="ru-RU"/>
              </w:rPr>
              <m:t xml:space="preserve">+ </m:t>
            </m:r>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TmII</m:t>
                </m:r>
              </m:sub>
            </m:sSub>
            <m:r>
              <w:rPr>
                <w:rFonts w:ascii="Cambria Math" w:hAnsi="Cambria Math" w:cs="Times New Roman"/>
                <w:szCs w:val="20"/>
                <w:lang w:val="ru-RU"/>
              </w:rPr>
              <m:t xml:space="preserve">- </m:t>
            </m:r>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G</m:t>
                </m:r>
              </m:sub>
            </m:sSub>
          </m:den>
        </m:f>
        <m:r>
          <w:rPr>
            <w:rFonts w:ascii="Cambria Math" w:hAnsi="Cambria Math" w:cs="Times New Roman"/>
            <w:szCs w:val="20"/>
            <w:lang w:val="ru-RU"/>
          </w:rPr>
          <m:t xml:space="preserve">∙ </m:t>
        </m:r>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4</m:t>
                </m:r>
              </m:sub>
            </m:sSub>
            <m:r>
              <w:rPr>
                <w:rFonts w:ascii="Cambria Math" w:hAnsi="Cambria Math" w:cs="Times New Roman"/>
                <w:szCs w:val="20"/>
                <w:lang w:val="ru-RU"/>
              </w:rPr>
              <m:t xml:space="preserve">+ </m:t>
            </m:r>
            <m:f>
              <m:fPr>
                <m:ctrlPr>
                  <w:rPr>
                    <w:rFonts w:ascii="Cambria Math" w:hAnsi="Cambria Math" w:cs="Times New Roman"/>
                    <w:i/>
                    <w:szCs w:val="20"/>
                  </w:rPr>
                </m:ctrlPr>
              </m:fPr>
              <m:num>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STR</m:t>
                    </m:r>
                  </m:sub>
                </m:sSub>
              </m:num>
              <m:den>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II</m:t>
                    </m:r>
                  </m:sub>
                </m:sSub>
              </m:den>
            </m:f>
          </m:e>
        </m:d>
      </m:oMath>
      <w:r w:rsidRPr="004224F6">
        <w:rPr>
          <w:rFonts w:ascii="Times New Roman" w:hAnsi="Times New Roman" w:cs="Times New Roman"/>
          <w:lang w:val="ru-RU"/>
        </w:rPr>
        <w:tab/>
        <w:t xml:space="preserve">- </w:t>
      </w:r>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2</m:t>
            </m:r>
          </m:sub>
        </m:sSub>
      </m:oMath>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3</m:t>
            </m:r>
          </m:sub>
        </m:sSub>
      </m:oMath>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4</m:t>
            </m:r>
          </m:sub>
        </m:sSub>
      </m:oMath>
      <w:r w:rsidRPr="004224F6">
        <w:rPr>
          <w:rFonts w:ascii="Times New Roman" w:hAnsi="Times New Roman" w:cs="Times New Roman"/>
          <w:lang w:val="ru-RU"/>
        </w:rPr>
        <w:t xml:space="preserve"> съгласно таблица 1</w:t>
      </w:r>
    </w:p>
    <w:p w14:paraId="5ECBF646" w14:textId="77777777" w:rsidR="00271FA2" w:rsidRPr="004224F6" w:rsidRDefault="00D35E51">
      <w:pPr>
        <w:tabs>
          <w:tab w:val="left" w:pos="1134"/>
          <w:tab w:val="left" w:pos="1418"/>
          <w:tab w:val="left" w:pos="5954"/>
          <w:tab w:val="left" w:pos="6379"/>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lang w:val="ru-RU"/>
        </w:rPr>
        <w:t>4.3</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TmII</m:t>
            </m:r>
          </m:sub>
        </m:sSub>
        <m:r>
          <w:rPr>
            <w:rFonts w:ascii="Cambria Math" w:hAnsi="Cambria Math" w:cs="Times New Roman"/>
            <w:szCs w:val="20"/>
            <w:lang w:val="ru-RU"/>
          </w:rPr>
          <m:t xml:space="preserve">= </m:t>
        </m:r>
        <m:d>
          <m:dPr>
            <m:ctrlPr>
              <w:rPr>
                <w:rFonts w:ascii="Cambria Math" w:hAnsi="Cambria Math" w:cs="Times New Roman"/>
                <w:i/>
                <w:szCs w:val="20"/>
              </w:rPr>
            </m:ctrlPr>
          </m:dPr>
          <m:e>
            <m:f>
              <m:fPr>
                <m:ctrlPr>
                  <w:rPr>
                    <w:rFonts w:ascii="Cambria Math" w:hAnsi="Cambria Math" w:cs="Times New Roman"/>
                    <w:i/>
                    <w:szCs w:val="20"/>
                  </w:rPr>
                </m:ctrlPr>
              </m:fPr>
              <m:num>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T</m:t>
                    </m:r>
                  </m:sub>
                </m:sSub>
              </m:num>
              <m:den>
                <m:sSup>
                  <m:sSupPr>
                    <m:ctrlPr>
                      <w:rPr>
                        <w:rFonts w:ascii="Cambria Math" w:hAnsi="Cambria Math" w:cs="Times New Roman"/>
                        <w:i/>
                        <w:szCs w:val="20"/>
                      </w:rPr>
                    </m:ctrlPr>
                  </m:sSupPr>
                  <m:e>
                    <m:r>
                      <w:rPr>
                        <w:rFonts w:ascii="Cambria Math" w:hAnsi="Cambria Math" w:cs="Times New Roman"/>
                        <w:szCs w:val="20"/>
                      </w:rPr>
                      <m:t>v</m:t>
                    </m:r>
                  </m:e>
                  <m:sup>
                    <m:r>
                      <w:rPr>
                        <w:rFonts w:ascii="Cambria Math" w:hAnsi="Cambria Math" w:cs="Times New Roman"/>
                        <w:szCs w:val="20"/>
                        <w:lang w:val="ru-RU"/>
                      </w:rPr>
                      <m:t>2</m:t>
                    </m:r>
                  </m:sup>
                </m:sSup>
              </m:den>
            </m:f>
          </m:e>
        </m:d>
        <m:r>
          <w:rPr>
            <w:rFonts w:ascii="Cambria Math" w:hAnsi="Cambria Math" w:cs="Times New Roman"/>
            <w:szCs w:val="20"/>
            <w:lang w:val="ru-RU"/>
          </w:rPr>
          <m:t xml:space="preserve"> ∙ </m:t>
        </m:r>
        <m:sSup>
          <m:sSupPr>
            <m:ctrlPr>
              <w:rPr>
                <w:rFonts w:ascii="Cambria Math" w:hAnsi="Cambria Math" w:cs="Times New Roman"/>
                <w:i/>
                <w:szCs w:val="20"/>
              </w:rPr>
            </m:ctrlPr>
          </m:sSupPr>
          <m:e>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7</m:t>
                    </m:r>
                  </m:sub>
                </m:sSub>
                <m:r>
                  <w:rPr>
                    <w:rFonts w:ascii="Cambria Math" w:hAnsi="Cambria Math" w:cs="Times New Roman"/>
                    <w:szCs w:val="20"/>
                    <w:lang w:val="ru-RU"/>
                  </w:rPr>
                  <m:t xml:space="preserve"> ∙ </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6</m:t>
                    </m:r>
                  </m:sub>
                </m:sSub>
                <m:r>
                  <w:rPr>
                    <w:rFonts w:ascii="Cambria Math" w:hAnsi="Cambria Math" w:cs="Times New Roman"/>
                    <w:szCs w:val="20"/>
                    <w:lang w:val="ru-RU"/>
                  </w:rPr>
                  <m:t xml:space="preserve"> ∙ </m:t>
                </m:r>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L</m:t>
                        </m:r>
                      </m:sub>
                    </m:sSub>
                    <m:r>
                      <w:rPr>
                        <w:rFonts w:ascii="Cambria Math" w:hAnsi="Cambria Math" w:cs="Times New Roman"/>
                        <w:szCs w:val="20"/>
                        <w:lang w:val="ru-RU"/>
                      </w:rPr>
                      <m:t xml:space="preserve">- </m:t>
                    </m:r>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STR</m:t>
                        </m:r>
                      </m:sub>
                    </m:sSub>
                  </m:e>
                </m:d>
              </m:e>
            </m:d>
          </m:e>
          <m:sup>
            <m:r>
              <w:rPr>
                <w:rFonts w:ascii="Cambria Math" w:hAnsi="Cambria Math" w:cs="Times New Roman"/>
                <w:szCs w:val="20"/>
                <w:lang w:val="ru-RU"/>
              </w:rPr>
              <m:t>2</m:t>
            </m:r>
          </m:sup>
        </m:sSup>
      </m:oMath>
      <w:r w:rsidRPr="004224F6">
        <w:rPr>
          <w:rFonts w:ascii="Times New Roman" w:hAnsi="Times New Roman" w:cs="Times New Roman"/>
          <w:lang w:val="ru-RU"/>
        </w:rPr>
        <w:tab/>
        <w:t>-</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6</m:t>
            </m:r>
          </m:sub>
        </m:sSub>
      </m:oMath>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7</m:t>
            </m:r>
          </m:sub>
        </m:sSub>
      </m:oMath>
      <w:r w:rsidRPr="004224F6">
        <w:rPr>
          <w:rFonts w:ascii="Times New Roman" w:hAnsi="Times New Roman" w:cs="Times New Roman"/>
          <w:lang w:val="ru-RU"/>
        </w:rPr>
        <w:t xml:space="preserve"> съгласно таблица 1</w:t>
      </w:r>
    </w:p>
    <w:p w14:paraId="51B3CEF8" w14:textId="77777777" w:rsidR="00271FA2" w:rsidRPr="004224F6" w:rsidRDefault="00D35E51">
      <w:pPr>
        <w:tabs>
          <w:tab w:val="left" w:pos="5954"/>
          <w:tab w:val="left" w:pos="6379"/>
        </w:tabs>
        <w:overflowPunct w:val="0"/>
        <w:adjustRightInd w:val="0"/>
        <w:spacing w:line="240" w:lineRule="atLeast"/>
        <w:textAlignment w:val="baseline"/>
        <w:rPr>
          <w:rFonts w:ascii="Times New Roman" w:hAnsi="Times New Roman" w:cs="Times New Roman"/>
          <w:lang w:val="ru-RU"/>
        </w:rPr>
      </w:pPr>
      <w:r w:rsidRPr="004224F6">
        <w:rPr>
          <w:rFonts w:ascii="Times New Roman" w:hAnsi="Times New Roman" w:cs="Times New Roman"/>
          <w:lang w:val="ru-RU"/>
        </w:rPr>
        <w:tab/>
        <w:t>-</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T</m:t>
            </m:r>
          </m:sub>
        </m:sSub>
        <m:r>
          <w:rPr>
            <w:rFonts w:ascii="Cambria Math" w:hAnsi="Cambria Math" w:cs="Times New Roman"/>
            <w:szCs w:val="20"/>
            <w:lang w:val="ru-RU"/>
          </w:rPr>
          <m:t>/</m:t>
        </m:r>
        <m:sSup>
          <m:sSupPr>
            <m:ctrlPr>
              <w:rPr>
                <w:rFonts w:ascii="Cambria Math" w:hAnsi="Cambria Math" w:cs="Times New Roman"/>
                <w:i/>
                <w:szCs w:val="20"/>
              </w:rPr>
            </m:ctrlPr>
          </m:sSupPr>
          <m:e>
            <m:r>
              <w:rPr>
                <w:rFonts w:ascii="Cambria Math" w:hAnsi="Cambria Math" w:cs="Times New Roman"/>
                <w:szCs w:val="20"/>
              </w:rPr>
              <m:t>v</m:t>
            </m:r>
          </m:e>
          <m:sup>
            <m:r>
              <w:rPr>
                <w:rFonts w:ascii="Cambria Math" w:hAnsi="Cambria Math" w:cs="Times New Roman"/>
                <w:szCs w:val="20"/>
                <w:lang w:val="ru-RU"/>
              </w:rPr>
              <m:t>2</m:t>
            </m:r>
          </m:sup>
        </m:sSup>
      </m:oMath>
      <w:r w:rsidRPr="004224F6">
        <w:rPr>
          <w:rFonts w:ascii="Times New Roman" w:hAnsi="Times New Roman" w:cs="Times New Roman"/>
          <w:lang w:val="ru-RU"/>
        </w:rPr>
        <w:t xml:space="preserve"> съгласно таблица 3</w:t>
      </w:r>
    </w:p>
    <w:p w14:paraId="7A17DD60" w14:textId="77777777" w:rsidR="00271FA2" w:rsidRPr="004224F6" w:rsidRDefault="00D35E51">
      <w:pPr>
        <w:tabs>
          <w:tab w:val="left" w:pos="1134"/>
          <w:tab w:val="left" w:pos="1418"/>
          <w:tab w:val="left" w:pos="5954"/>
          <w:tab w:val="left" w:pos="6379"/>
          <w:tab w:val="left" w:pos="6663"/>
        </w:tabs>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t>4.4</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G</m:t>
            </m:r>
          </m:sub>
        </m:sSub>
        <m:r>
          <w:rPr>
            <w:rFonts w:ascii="Cambria Math" w:hAnsi="Cambria Math" w:cs="Times New Roman"/>
            <w:szCs w:val="20"/>
            <w:lang w:val="ru-RU"/>
          </w:rPr>
          <m:t>=</m:t>
        </m:r>
        <m:r>
          <w:rPr>
            <w:rFonts w:ascii="Cambria Math" w:hAnsi="Cambria Math" w:cs="Times New Roman"/>
            <w:szCs w:val="20"/>
          </w:rPr>
          <m:t>i</m:t>
        </m:r>
        <m:r>
          <w:rPr>
            <w:rFonts w:ascii="Cambria Math" w:hAnsi="Cambria Math" w:cs="Times New Roman"/>
            <w:szCs w:val="20"/>
            <w:lang w:val="ru-RU"/>
          </w:rPr>
          <m:t xml:space="preserve"> ∙</m:t>
        </m:r>
        <m:r>
          <w:rPr>
            <w:rFonts w:ascii="Cambria Math" w:hAnsi="Cambria Math" w:cs="Times New Roman"/>
            <w:szCs w:val="20"/>
          </w:rPr>
          <m:t>D</m:t>
        </m:r>
        <m:r>
          <w:rPr>
            <w:rFonts w:ascii="Cambria Math" w:hAnsi="Cambria Math" w:cs="Times New Roman"/>
            <w:szCs w:val="20"/>
            <w:lang w:val="ru-RU"/>
          </w:rPr>
          <m:t xml:space="preserve"> ∙ </m:t>
        </m:r>
        <m:r>
          <w:rPr>
            <w:rFonts w:ascii="Cambria Math" w:hAnsi="Cambria Math" w:cs="Times New Roman"/>
            <w:szCs w:val="20"/>
          </w:rPr>
          <m:t>ρ</m:t>
        </m:r>
        <m:r>
          <w:rPr>
            <w:rFonts w:ascii="Cambria Math" w:hAnsi="Cambria Math" w:cs="Times New Roman"/>
            <w:szCs w:val="20"/>
            <w:lang w:val="ru-RU"/>
          </w:rPr>
          <m:t xml:space="preserve"> ∙</m:t>
        </m:r>
        <m:r>
          <w:rPr>
            <w:rFonts w:ascii="Cambria Math" w:hAnsi="Cambria Math" w:cs="Times New Roman"/>
            <w:szCs w:val="20"/>
          </w:rPr>
          <m:t>g</m:t>
        </m:r>
        <m:r>
          <w:rPr>
            <w:rFonts w:ascii="Cambria Math" w:hAnsi="Cambria Math" w:cs="Times New Roman"/>
            <w:szCs w:val="20"/>
            <w:lang w:val="ru-RU"/>
          </w:rPr>
          <m:t xml:space="preserve"> ∙ </m:t>
        </m:r>
        <m:sSup>
          <m:sSupPr>
            <m:ctrlPr>
              <w:rPr>
                <w:rFonts w:ascii="Cambria Math" w:hAnsi="Cambria Math" w:cs="Times New Roman"/>
                <w:i/>
                <w:szCs w:val="20"/>
              </w:rPr>
            </m:ctrlPr>
          </m:sSupPr>
          <m:e>
            <m:r>
              <w:rPr>
                <w:rFonts w:ascii="Cambria Math" w:hAnsi="Cambria Math" w:cs="Times New Roman"/>
                <w:szCs w:val="20"/>
                <w:lang w:val="ru-RU"/>
              </w:rPr>
              <m:t>10</m:t>
            </m:r>
          </m:e>
          <m:sup>
            <m:r>
              <w:rPr>
                <w:rFonts w:ascii="Cambria Math" w:hAnsi="Cambria Math" w:cs="Times New Roman"/>
                <w:szCs w:val="20"/>
                <w:lang w:val="ru-RU"/>
              </w:rPr>
              <m:t>-6</m:t>
            </m:r>
          </m:sup>
        </m:sSup>
      </m:oMath>
    </w:p>
    <w:p w14:paraId="0094B18D" w14:textId="77777777" w:rsidR="00271FA2" w:rsidRPr="004224F6" w:rsidRDefault="00D35E51">
      <w:pPr>
        <w:tabs>
          <w:tab w:val="left" w:pos="1134"/>
          <w:tab w:val="left" w:pos="1418"/>
          <w:tab w:val="left" w:pos="5954"/>
          <w:tab w:val="left" w:pos="6379"/>
        </w:tabs>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t>4.5</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II</m:t>
            </m:r>
          </m:sub>
        </m:sSub>
        <m:r>
          <w:rPr>
            <w:rFonts w:ascii="Cambria Math" w:hAnsi="Cambria Math" w:cs="Times New Roman"/>
            <w:szCs w:val="20"/>
            <w:lang w:val="ru-RU"/>
          </w:rPr>
          <m:t xml:space="preserve">= </m:t>
        </m:r>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6</m:t>
            </m:r>
          </m:sub>
        </m:sSub>
        <m:r>
          <w:rPr>
            <w:rFonts w:ascii="Cambria Math" w:hAnsi="Cambria Math" w:cs="Times New Roman"/>
            <w:szCs w:val="20"/>
            <w:lang w:val="ru-RU"/>
          </w:rPr>
          <m:t xml:space="preserve"> ∙ </m:t>
        </m:r>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L</m:t>
                </m:r>
              </m:sub>
            </m:sSub>
            <m:r>
              <w:rPr>
                <w:rFonts w:ascii="Cambria Math" w:hAnsi="Cambria Math" w:cs="Times New Roman"/>
                <w:szCs w:val="20"/>
                <w:lang w:val="ru-RU"/>
              </w:rPr>
              <m:t xml:space="preserve">- </m:t>
            </m:r>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STR</m:t>
                </m:r>
              </m:sub>
            </m:sSub>
          </m:e>
        </m:d>
      </m:oMath>
      <w:r w:rsidRPr="004224F6">
        <w:rPr>
          <w:rFonts w:ascii="Times New Roman" w:hAnsi="Times New Roman" w:cs="Times New Roman"/>
          <w:lang w:val="ru-RU"/>
        </w:rPr>
        <w:tab/>
        <w:t>-</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6</m:t>
            </m:r>
          </m:sub>
        </m:sSub>
      </m:oMath>
      <w:r w:rsidRPr="004224F6">
        <w:rPr>
          <w:rFonts w:ascii="Times New Roman" w:hAnsi="Times New Roman" w:cs="Times New Roman"/>
          <w:lang w:val="ru-RU"/>
        </w:rPr>
        <w:t xml:space="preserve"> съгласно таблица 1</w:t>
      </w:r>
    </w:p>
    <w:p w14:paraId="636C237F" w14:textId="77777777" w:rsidR="00271FA2" w:rsidRPr="004224F6" w:rsidRDefault="00D35E51">
      <w:pPr>
        <w:tabs>
          <w:tab w:val="left" w:pos="1134"/>
          <w:tab w:val="left" w:pos="1418"/>
          <w:tab w:val="left" w:pos="5954"/>
          <w:tab w:val="left" w:pos="6379"/>
        </w:tabs>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t>4.6</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POR</m:t>
            </m:r>
          </m:sub>
        </m:sSub>
        <m:r>
          <w:rPr>
            <w:rFonts w:ascii="Cambria Math" w:hAnsi="Cambria Math" w:cs="Times New Roman"/>
            <w:szCs w:val="20"/>
            <w:lang w:val="ru-RU"/>
          </w:rPr>
          <m:t>=</m:t>
        </m:r>
        <m:r>
          <w:rPr>
            <w:rFonts w:ascii="Cambria Math" w:hAnsi="Cambria Math" w:cs="Times New Roman"/>
            <w:szCs w:val="20"/>
          </w:rPr>
          <m:t>f</m:t>
        </m:r>
        <m:r>
          <w:rPr>
            <w:rFonts w:ascii="Cambria Math" w:hAnsi="Cambria Math" w:cs="Times New Roman"/>
            <w:szCs w:val="20"/>
            <w:lang w:val="ru-RU"/>
          </w:rPr>
          <m:t xml:space="preserve"> ∙ </m:t>
        </m:r>
        <m:sSub>
          <m:sSubPr>
            <m:ctrlPr>
              <w:rPr>
                <w:rFonts w:ascii="Cambria Math" w:hAnsi="Cambria Math" w:cs="Times New Roman"/>
                <w:i/>
                <w:szCs w:val="20"/>
              </w:rPr>
            </m:ctrlPr>
          </m:sSubPr>
          <m:e>
            <m:r>
              <w:rPr>
                <w:rFonts w:ascii="Cambria Math" w:hAnsi="Cambria Math" w:cs="Times New Roman"/>
                <w:szCs w:val="20"/>
              </w:rPr>
              <m:t>P</m:t>
            </m:r>
          </m:e>
          <m:sub>
            <m:r>
              <w:rPr>
                <w:rFonts w:ascii="Cambria Math" w:hAnsi="Cambria Math" w:cs="Times New Roman"/>
                <w:szCs w:val="20"/>
              </w:rPr>
              <m:t>B</m:t>
            </m:r>
          </m:sub>
        </m:sSub>
      </m:oMath>
      <w:r w:rsidRPr="004224F6">
        <w:rPr>
          <w:rFonts w:ascii="Times New Roman" w:hAnsi="Times New Roman" w:cs="Times New Roman"/>
          <w:lang w:val="ru-RU"/>
        </w:rPr>
        <w:tab/>
        <w:t>-</w:t>
      </w:r>
      <w:r w:rsidRPr="004224F6">
        <w:rPr>
          <w:rFonts w:ascii="Times New Roman" w:hAnsi="Times New Roman" w:cs="Times New Roman"/>
          <w:lang w:val="ru-RU"/>
        </w:rPr>
        <w:tab/>
      </w:r>
      <m:oMath>
        <m:r>
          <w:rPr>
            <w:rFonts w:ascii="Cambria Math" w:hAnsi="Cambria Math" w:cs="Times New Roman"/>
            <w:szCs w:val="20"/>
          </w:rPr>
          <m:t>f</m:t>
        </m:r>
      </m:oMath>
      <w:r w:rsidRPr="004224F6">
        <w:rPr>
          <w:rFonts w:ascii="Times New Roman" w:hAnsi="Times New Roman" w:cs="Times New Roman"/>
          <w:lang w:val="ru-RU"/>
        </w:rPr>
        <w:t xml:space="preserve"> съгласно таблица 2</w:t>
      </w:r>
    </w:p>
    <w:p w14:paraId="469A9E99" w14:textId="77777777" w:rsidR="00271FA2" w:rsidRPr="004224F6" w:rsidRDefault="00D35E51">
      <w:pPr>
        <w:tabs>
          <w:tab w:val="left" w:pos="5954"/>
          <w:tab w:val="left" w:pos="6379"/>
        </w:tabs>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t>4.7</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rPr>
              <m:t>II</m:t>
            </m:r>
          </m:sub>
        </m:sSub>
        <m:r>
          <w:rPr>
            <w:rFonts w:ascii="Cambria Math" w:hAnsi="Cambria Math" w:cs="Times New Roman"/>
            <w:szCs w:val="20"/>
            <w:lang w:val="ru-RU"/>
          </w:rPr>
          <m:t xml:space="preserve">= </m:t>
        </m:r>
        <m:f>
          <m:fPr>
            <m:ctrlPr>
              <w:rPr>
                <w:rFonts w:ascii="Cambria Math" w:hAnsi="Cambria Math" w:cs="Times New Roman"/>
                <w:i/>
                <w:szCs w:val="20"/>
              </w:rPr>
            </m:ctrlPr>
          </m:fPr>
          <m:num>
            <m:sSub>
              <m:sSubPr>
                <m:ctrlPr>
                  <w:rPr>
                    <w:rFonts w:ascii="Cambria Math" w:hAnsi="Cambria Math" w:cs="Times New Roman"/>
                    <w:i/>
                    <w:szCs w:val="20"/>
                  </w:rPr>
                </m:ctrlPr>
              </m:sSubPr>
              <m:e>
                <m:r>
                  <w:rPr>
                    <w:rFonts w:ascii="Cambria Math" w:hAnsi="Cambria Math" w:cs="Times New Roman"/>
                    <w:szCs w:val="20"/>
                  </w:rPr>
                  <m:t>s</m:t>
                </m:r>
              </m:e>
              <m:sub>
                <m:r>
                  <w:rPr>
                    <w:rFonts w:ascii="Cambria Math" w:hAnsi="Cambria Math" w:cs="Times New Roman"/>
                    <w:szCs w:val="20"/>
                  </w:rPr>
                  <m:t>II</m:t>
                </m:r>
              </m:sub>
            </m:sSub>
          </m:num>
          <m:den>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II</m:t>
                </m:r>
              </m:sub>
            </m:sSub>
            <m:r>
              <w:rPr>
                <w:rFonts w:ascii="Cambria Math" w:hAnsi="Cambria Math" w:cs="Times New Roman"/>
                <w:szCs w:val="20"/>
                <w:lang w:val="ru-RU"/>
              </w:rPr>
              <m:t xml:space="preserve"> ∙ </m:t>
            </m:r>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4</m:t>
                    </m:r>
                  </m:sub>
                </m:sSub>
                <m:r>
                  <w:rPr>
                    <w:rFonts w:ascii="Cambria Math" w:hAnsi="Cambria Math" w:cs="Times New Roman"/>
                    <w:szCs w:val="20"/>
                    <w:lang w:val="ru-RU"/>
                  </w:rPr>
                  <m:t xml:space="preserve">+ </m:t>
                </m:r>
                <m:f>
                  <m:fPr>
                    <m:ctrlPr>
                      <w:rPr>
                        <w:rFonts w:ascii="Cambria Math" w:hAnsi="Cambria Math" w:cs="Times New Roman"/>
                        <w:i/>
                        <w:szCs w:val="20"/>
                      </w:rPr>
                    </m:ctrlPr>
                  </m:fPr>
                  <m:num>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STR</m:t>
                        </m:r>
                      </m:sub>
                    </m:sSub>
                  </m:num>
                  <m:den>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II</m:t>
                        </m:r>
                      </m:sub>
                    </m:sSub>
                  </m:den>
                </m:f>
              </m:e>
            </m:d>
          </m:den>
        </m:f>
      </m:oMath>
      <w:r w:rsidRPr="004224F6">
        <w:rPr>
          <w:rFonts w:ascii="Times New Roman" w:hAnsi="Times New Roman" w:cs="Times New Roman"/>
          <w:lang w:val="ru-RU"/>
        </w:rPr>
        <w:tab/>
        <w:t>-</w:t>
      </w:r>
      <w:r w:rsidRPr="004224F6">
        <w:rPr>
          <w:rFonts w:ascii="Times New Roman" w:hAnsi="Times New Roman" w:cs="Times New Roman"/>
          <w:lang w:val="ru-RU"/>
        </w:rPr>
        <w:tab/>
      </w:r>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lang w:val="ru-RU"/>
              </w:rPr>
              <m:t>4</m:t>
            </m:r>
          </m:sub>
        </m:sSub>
      </m:oMath>
      <w:r w:rsidRPr="004224F6">
        <w:rPr>
          <w:rFonts w:ascii="Times New Roman" w:hAnsi="Times New Roman" w:cs="Times New Roman"/>
          <w:lang w:val="ru-RU"/>
        </w:rPr>
        <w:t xml:space="preserve"> съгласно таблица 1</w:t>
      </w:r>
    </w:p>
    <w:p w14:paraId="34C32242" w14:textId="77777777" w:rsidR="00271FA2" w:rsidRPr="004224F6" w:rsidRDefault="00D35E51">
      <w:pPr>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br w:type="page"/>
      </w:r>
    </w:p>
    <w:p w14:paraId="3D060D2D" w14:textId="77777777" w:rsidR="00271FA2" w:rsidRPr="004224F6" w:rsidRDefault="00D35E51">
      <w:pPr>
        <w:overflowPunct w:val="0"/>
        <w:adjustRightInd w:val="0"/>
        <w:spacing w:line="240" w:lineRule="atLeast"/>
        <w:textAlignment w:val="baseline"/>
        <w:rPr>
          <w:rFonts w:ascii="Times New Roman" w:hAnsi="Times New Roman" w:cs="Times New Roman"/>
          <w:szCs w:val="20"/>
        </w:rPr>
      </w:pPr>
      <w:r w:rsidRPr="004224F6">
        <w:rPr>
          <w:rFonts w:ascii="Times New Roman" w:hAnsi="Times New Roman" w:cs="Times New Roman"/>
        </w:rPr>
        <w:lastRenderedPageBreak/>
        <w:t>Във формули от 4.1 до 4.7:</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021"/>
        <w:gridCol w:w="6521"/>
        <w:gridCol w:w="1021"/>
      </w:tblGrid>
      <w:tr w:rsidR="00271FA2" w:rsidRPr="004224F6" w14:paraId="334B6115" w14:textId="77777777">
        <w:trPr>
          <w:jc w:val="center"/>
        </w:trPr>
        <w:tc>
          <w:tcPr>
            <w:tcW w:w="1021" w:type="dxa"/>
            <w:tcBorders>
              <w:top w:val="nil"/>
              <w:left w:val="nil"/>
              <w:bottom w:val="nil"/>
              <w:right w:val="nil"/>
            </w:tcBorders>
          </w:tcPr>
          <w:p w14:paraId="2C3450F7" w14:textId="77777777" w:rsidR="00271FA2" w:rsidRPr="004224F6" w:rsidRDefault="002C62EC">
            <w:pPr>
              <w:overflowPunct w:val="0"/>
              <w:adjustRightInd w:val="0"/>
              <w:spacing w:line="240" w:lineRule="atLeast"/>
              <w:ind w:left="113" w:right="113"/>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L</m:t>
                    </m:r>
                  </m:sub>
                </m:sSub>
              </m:oMath>
            </m:oMathPara>
          </w:p>
        </w:tc>
        <w:tc>
          <w:tcPr>
            <w:tcW w:w="6521" w:type="dxa"/>
            <w:tcBorders>
              <w:top w:val="nil"/>
              <w:left w:val="nil"/>
              <w:bottom w:val="nil"/>
              <w:right w:val="nil"/>
            </w:tcBorders>
          </w:tcPr>
          <w:p w14:paraId="6E12D07F"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lang w:val="ru-RU"/>
              </w:rPr>
            </w:pPr>
            <w:r w:rsidRPr="004224F6">
              <w:rPr>
                <w:rFonts w:ascii="Times New Roman" w:hAnsi="Times New Roman" w:cs="Times New Roman"/>
                <w:lang w:val="ru-RU"/>
              </w:rPr>
              <w:t>Скорост спрямо брега в началото на задния ход</w:t>
            </w:r>
          </w:p>
        </w:tc>
        <w:tc>
          <w:tcPr>
            <w:tcW w:w="1021" w:type="dxa"/>
            <w:tcBorders>
              <w:top w:val="nil"/>
              <w:left w:val="nil"/>
              <w:bottom w:val="nil"/>
              <w:right w:val="nil"/>
            </w:tcBorders>
          </w:tcPr>
          <w:p w14:paraId="62D57DE3"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(m/s)</w:t>
            </w:r>
          </w:p>
        </w:tc>
      </w:tr>
      <w:tr w:rsidR="00271FA2" w:rsidRPr="004224F6" w14:paraId="135E2E30" w14:textId="77777777">
        <w:trPr>
          <w:jc w:val="center"/>
        </w:trPr>
        <w:tc>
          <w:tcPr>
            <w:tcW w:w="1021" w:type="dxa"/>
            <w:tcBorders>
              <w:top w:val="nil"/>
              <w:left w:val="nil"/>
              <w:bottom w:val="nil"/>
              <w:right w:val="nil"/>
            </w:tcBorders>
          </w:tcPr>
          <w:p w14:paraId="6DD82084" w14:textId="77777777" w:rsidR="00271FA2" w:rsidRPr="004224F6" w:rsidRDefault="002C62EC">
            <w:pPr>
              <w:overflowPunct w:val="0"/>
              <w:adjustRightInd w:val="0"/>
              <w:spacing w:line="240" w:lineRule="atLeast"/>
              <w:ind w:left="113" w:right="113"/>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rPr>
                      <m:t>I</m:t>
                    </m:r>
                  </m:sub>
                </m:sSub>
              </m:oMath>
            </m:oMathPara>
          </w:p>
        </w:tc>
        <w:tc>
          <w:tcPr>
            <w:tcW w:w="6521" w:type="dxa"/>
            <w:tcBorders>
              <w:top w:val="nil"/>
              <w:left w:val="nil"/>
              <w:bottom w:val="nil"/>
              <w:right w:val="nil"/>
            </w:tcBorders>
          </w:tcPr>
          <w:p w14:paraId="17646982"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Време на заден ход</w:t>
            </w:r>
          </w:p>
        </w:tc>
        <w:tc>
          <w:tcPr>
            <w:tcW w:w="1021" w:type="dxa"/>
            <w:tcBorders>
              <w:top w:val="nil"/>
              <w:left w:val="nil"/>
              <w:bottom w:val="nil"/>
              <w:right w:val="nil"/>
            </w:tcBorders>
          </w:tcPr>
          <w:p w14:paraId="023055F4"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(s)</w:t>
            </w:r>
          </w:p>
        </w:tc>
      </w:tr>
      <w:tr w:rsidR="00271FA2" w:rsidRPr="004224F6" w14:paraId="34567646" w14:textId="77777777">
        <w:trPr>
          <w:jc w:val="center"/>
        </w:trPr>
        <w:tc>
          <w:tcPr>
            <w:tcW w:w="1021" w:type="dxa"/>
            <w:tcBorders>
              <w:top w:val="nil"/>
              <w:left w:val="nil"/>
              <w:bottom w:val="nil"/>
              <w:right w:val="nil"/>
            </w:tcBorders>
          </w:tcPr>
          <w:p w14:paraId="1F1E91ED" w14:textId="77777777" w:rsidR="00271FA2" w:rsidRPr="004224F6" w:rsidRDefault="002C62EC">
            <w:pPr>
              <w:overflowPunct w:val="0"/>
              <w:adjustRightInd w:val="0"/>
              <w:spacing w:line="240" w:lineRule="atLeast"/>
              <w:ind w:left="113" w:right="113"/>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II</m:t>
                    </m:r>
                  </m:sub>
                </m:sSub>
              </m:oMath>
            </m:oMathPara>
          </w:p>
        </w:tc>
        <w:tc>
          <w:tcPr>
            <w:tcW w:w="6521" w:type="dxa"/>
            <w:tcBorders>
              <w:top w:val="nil"/>
              <w:left w:val="nil"/>
              <w:bottom w:val="nil"/>
              <w:right w:val="nil"/>
            </w:tcBorders>
          </w:tcPr>
          <w:p w14:paraId="72D0FB33"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lang w:val="ru-RU"/>
              </w:rPr>
            </w:pPr>
            <w:r w:rsidRPr="004224F6">
              <w:rPr>
                <w:rFonts w:ascii="Times New Roman" w:hAnsi="Times New Roman" w:cs="Times New Roman"/>
                <w:lang w:val="ru-RU"/>
              </w:rPr>
              <w:t>Скорост спрямо водата в края на задния ход</w:t>
            </w:r>
          </w:p>
        </w:tc>
        <w:tc>
          <w:tcPr>
            <w:tcW w:w="1021" w:type="dxa"/>
            <w:tcBorders>
              <w:top w:val="nil"/>
              <w:left w:val="nil"/>
              <w:bottom w:val="nil"/>
              <w:right w:val="nil"/>
            </w:tcBorders>
          </w:tcPr>
          <w:p w14:paraId="5641C604"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(m/s)</w:t>
            </w:r>
          </w:p>
        </w:tc>
      </w:tr>
      <w:tr w:rsidR="00271FA2" w:rsidRPr="004224F6" w14:paraId="32CD591E" w14:textId="77777777">
        <w:trPr>
          <w:jc w:val="center"/>
        </w:trPr>
        <w:tc>
          <w:tcPr>
            <w:tcW w:w="1021" w:type="dxa"/>
            <w:tcBorders>
              <w:top w:val="nil"/>
              <w:left w:val="nil"/>
              <w:bottom w:val="nil"/>
              <w:right w:val="nil"/>
            </w:tcBorders>
          </w:tcPr>
          <w:p w14:paraId="740427B4"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m:oMathPara>
              <m:oMath>
                <m:r>
                  <w:rPr>
                    <w:rFonts w:ascii="Cambria Math" w:hAnsi="Cambria Math" w:cs="Times New Roman"/>
                    <w:szCs w:val="20"/>
                  </w:rPr>
                  <m:t>D</m:t>
                </m:r>
              </m:oMath>
            </m:oMathPara>
          </w:p>
        </w:tc>
        <w:tc>
          <w:tcPr>
            <w:tcW w:w="6521" w:type="dxa"/>
            <w:tcBorders>
              <w:top w:val="nil"/>
              <w:left w:val="nil"/>
              <w:bottom w:val="nil"/>
              <w:right w:val="nil"/>
            </w:tcBorders>
          </w:tcPr>
          <w:p w14:paraId="5E742125"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Водоизместване</w:t>
            </w:r>
          </w:p>
        </w:tc>
        <w:tc>
          <w:tcPr>
            <w:tcW w:w="1021" w:type="dxa"/>
            <w:tcBorders>
              <w:top w:val="nil"/>
              <w:left w:val="nil"/>
              <w:bottom w:val="nil"/>
              <w:right w:val="nil"/>
            </w:tcBorders>
          </w:tcPr>
          <w:p w14:paraId="282872EB"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w:t>
            </w:r>
            <w:r w:rsidRPr="004224F6">
              <w:rPr>
                <w:rFonts w:ascii="Times New Roman" w:hAnsi="Times New Roman" w:cs="Times New Roman"/>
                <w:position w:val="6"/>
                <w:sz w:val="16"/>
              </w:rPr>
              <w:t>3</w:t>
            </w:r>
            <w:r w:rsidRPr="004224F6">
              <w:rPr>
                <w:rFonts w:ascii="Times New Roman" w:hAnsi="Times New Roman" w:cs="Times New Roman"/>
              </w:rPr>
              <w:t>)</w:t>
            </w:r>
          </w:p>
        </w:tc>
      </w:tr>
      <w:tr w:rsidR="00271FA2" w:rsidRPr="004224F6" w14:paraId="1089D6E5" w14:textId="77777777">
        <w:trPr>
          <w:jc w:val="center"/>
        </w:trPr>
        <w:tc>
          <w:tcPr>
            <w:tcW w:w="1021" w:type="dxa"/>
            <w:tcBorders>
              <w:top w:val="nil"/>
              <w:left w:val="nil"/>
              <w:bottom w:val="nil"/>
              <w:right w:val="nil"/>
            </w:tcBorders>
          </w:tcPr>
          <w:p w14:paraId="0AE0B323" w14:textId="77777777" w:rsidR="00271FA2" w:rsidRPr="004224F6" w:rsidRDefault="002C62EC">
            <w:pPr>
              <w:overflowPunct w:val="0"/>
              <w:adjustRightInd w:val="0"/>
              <w:spacing w:line="240" w:lineRule="atLeast"/>
              <w:ind w:left="113" w:right="113"/>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POR</m:t>
                    </m:r>
                  </m:sub>
                </m:sSub>
              </m:oMath>
            </m:oMathPara>
          </w:p>
        </w:tc>
        <w:tc>
          <w:tcPr>
            <w:tcW w:w="6521" w:type="dxa"/>
            <w:tcBorders>
              <w:top w:val="nil"/>
              <w:left w:val="nil"/>
              <w:bottom w:val="nil"/>
              <w:right w:val="nil"/>
            </w:tcBorders>
          </w:tcPr>
          <w:p w14:paraId="6944F405"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lang w:val="ru-RU"/>
              </w:rPr>
            </w:pPr>
            <w:r w:rsidRPr="004224F6">
              <w:rPr>
                <w:rFonts w:ascii="Times New Roman" w:hAnsi="Times New Roman" w:cs="Times New Roman"/>
                <w:lang w:val="ru-RU"/>
              </w:rPr>
              <w:t>Теглително усилие върху кнехта на заден ход</w:t>
            </w:r>
          </w:p>
        </w:tc>
        <w:tc>
          <w:tcPr>
            <w:tcW w:w="1021" w:type="dxa"/>
            <w:tcBorders>
              <w:top w:val="nil"/>
              <w:left w:val="nil"/>
              <w:bottom w:val="nil"/>
              <w:right w:val="nil"/>
            </w:tcBorders>
          </w:tcPr>
          <w:p w14:paraId="15524766"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(kN)</w:t>
            </w:r>
          </w:p>
        </w:tc>
      </w:tr>
      <w:tr w:rsidR="00271FA2" w:rsidRPr="004224F6" w14:paraId="53E4635F" w14:textId="77777777">
        <w:trPr>
          <w:jc w:val="center"/>
        </w:trPr>
        <w:tc>
          <w:tcPr>
            <w:tcW w:w="1021" w:type="dxa"/>
            <w:tcBorders>
              <w:top w:val="nil"/>
              <w:left w:val="nil"/>
              <w:bottom w:val="nil"/>
              <w:right w:val="nil"/>
            </w:tcBorders>
          </w:tcPr>
          <w:p w14:paraId="1305C392" w14:textId="77777777" w:rsidR="00271FA2" w:rsidRPr="004224F6" w:rsidRDefault="002C62EC">
            <w:pPr>
              <w:overflowPunct w:val="0"/>
              <w:adjustRightInd w:val="0"/>
              <w:spacing w:line="240" w:lineRule="atLeast"/>
              <w:ind w:left="113" w:right="113"/>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P</m:t>
                    </m:r>
                  </m:e>
                  <m:sub>
                    <m:r>
                      <w:rPr>
                        <w:rFonts w:ascii="Cambria Math" w:hAnsi="Cambria Math" w:cs="Times New Roman"/>
                        <w:szCs w:val="20"/>
                      </w:rPr>
                      <m:t>B</m:t>
                    </m:r>
                  </m:sub>
                </m:sSub>
              </m:oMath>
            </m:oMathPara>
          </w:p>
        </w:tc>
        <w:tc>
          <w:tcPr>
            <w:tcW w:w="6521" w:type="dxa"/>
            <w:tcBorders>
              <w:top w:val="nil"/>
              <w:left w:val="nil"/>
              <w:bottom w:val="nil"/>
              <w:right w:val="nil"/>
            </w:tcBorders>
          </w:tcPr>
          <w:p w14:paraId="5F2C6A3D"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Мощност на задвижващия двигател</w:t>
            </w:r>
          </w:p>
        </w:tc>
        <w:tc>
          <w:tcPr>
            <w:tcW w:w="1021" w:type="dxa"/>
            <w:tcBorders>
              <w:top w:val="nil"/>
              <w:left w:val="nil"/>
              <w:bottom w:val="nil"/>
              <w:right w:val="nil"/>
            </w:tcBorders>
          </w:tcPr>
          <w:p w14:paraId="45F49AD3"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(kW)</w:t>
            </w:r>
          </w:p>
        </w:tc>
      </w:tr>
      <w:tr w:rsidR="00271FA2" w:rsidRPr="004224F6" w14:paraId="6DBDC540" w14:textId="77777777">
        <w:trPr>
          <w:jc w:val="center"/>
        </w:trPr>
        <w:tc>
          <w:tcPr>
            <w:tcW w:w="1021" w:type="dxa"/>
            <w:tcBorders>
              <w:top w:val="nil"/>
              <w:left w:val="nil"/>
              <w:bottom w:val="nil"/>
              <w:right w:val="nil"/>
            </w:tcBorders>
          </w:tcPr>
          <w:p w14:paraId="7BC521BA" w14:textId="77777777" w:rsidR="00271FA2" w:rsidRPr="004224F6" w:rsidRDefault="002C62EC">
            <w:pPr>
              <w:overflowPunct w:val="0"/>
              <w:adjustRightInd w:val="0"/>
              <w:spacing w:line="240" w:lineRule="atLeast"/>
              <w:ind w:left="113" w:right="113"/>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TmII</m:t>
                    </m:r>
                  </m:sub>
                </m:sSub>
              </m:oMath>
            </m:oMathPara>
          </w:p>
        </w:tc>
        <w:tc>
          <w:tcPr>
            <w:tcW w:w="6521" w:type="dxa"/>
            <w:tcBorders>
              <w:top w:val="nil"/>
              <w:left w:val="nil"/>
              <w:bottom w:val="nil"/>
              <w:right w:val="nil"/>
            </w:tcBorders>
          </w:tcPr>
          <w:p w14:paraId="54ABE431"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lang w:val="ru-RU"/>
              </w:rPr>
            </w:pPr>
            <w:r w:rsidRPr="004224F6">
              <w:rPr>
                <w:rFonts w:ascii="Times New Roman" w:hAnsi="Times New Roman" w:cs="Times New Roman"/>
                <w:lang w:val="ru-RU"/>
              </w:rPr>
              <w:t xml:space="preserve">Средно съпротивление през фаза </w:t>
            </w:r>
            <w:r w:rsidRPr="004224F6">
              <w:rPr>
                <w:rFonts w:ascii="Times New Roman" w:hAnsi="Times New Roman" w:cs="Times New Roman"/>
              </w:rPr>
              <w:t>II</w:t>
            </w:r>
          </w:p>
        </w:tc>
        <w:tc>
          <w:tcPr>
            <w:tcW w:w="1021" w:type="dxa"/>
            <w:tcBorders>
              <w:top w:val="nil"/>
              <w:left w:val="nil"/>
              <w:bottom w:val="nil"/>
              <w:right w:val="nil"/>
            </w:tcBorders>
          </w:tcPr>
          <w:p w14:paraId="615DFCF2"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(kN)</w:t>
            </w:r>
          </w:p>
        </w:tc>
      </w:tr>
      <w:tr w:rsidR="00271FA2" w:rsidRPr="004224F6" w14:paraId="26F3B694" w14:textId="77777777">
        <w:trPr>
          <w:jc w:val="center"/>
        </w:trPr>
        <w:tc>
          <w:tcPr>
            <w:tcW w:w="1021" w:type="dxa"/>
            <w:tcBorders>
              <w:top w:val="nil"/>
              <w:left w:val="nil"/>
              <w:bottom w:val="nil"/>
              <w:right w:val="nil"/>
            </w:tcBorders>
          </w:tcPr>
          <w:p w14:paraId="24451353" w14:textId="77777777" w:rsidR="00271FA2" w:rsidRPr="004224F6" w:rsidRDefault="002C62EC">
            <w:pPr>
              <w:overflowPunct w:val="0"/>
              <w:adjustRightInd w:val="0"/>
              <w:spacing w:line="240" w:lineRule="atLeast"/>
              <w:ind w:left="113" w:right="113"/>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G</m:t>
                    </m:r>
                  </m:sub>
                </m:sSub>
              </m:oMath>
            </m:oMathPara>
          </w:p>
        </w:tc>
        <w:tc>
          <w:tcPr>
            <w:tcW w:w="6521" w:type="dxa"/>
            <w:tcBorders>
              <w:top w:val="nil"/>
              <w:left w:val="nil"/>
              <w:bottom w:val="nil"/>
              <w:right w:val="nil"/>
            </w:tcBorders>
          </w:tcPr>
          <w:p w14:paraId="0903205C"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Съпротивление от наклона</w:t>
            </w:r>
          </w:p>
        </w:tc>
        <w:tc>
          <w:tcPr>
            <w:tcW w:w="1021" w:type="dxa"/>
            <w:tcBorders>
              <w:top w:val="nil"/>
              <w:left w:val="nil"/>
              <w:bottom w:val="nil"/>
              <w:right w:val="nil"/>
            </w:tcBorders>
          </w:tcPr>
          <w:p w14:paraId="57FD2EA8"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(kN)</w:t>
            </w:r>
          </w:p>
        </w:tc>
      </w:tr>
      <w:tr w:rsidR="00271FA2" w:rsidRPr="004224F6" w14:paraId="44EB6EB5" w14:textId="77777777">
        <w:trPr>
          <w:jc w:val="center"/>
        </w:trPr>
        <w:tc>
          <w:tcPr>
            <w:tcW w:w="1021" w:type="dxa"/>
            <w:tcBorders>
              <w:top w:val="nil"/>
              <w:left w:val="nil"/>
              <w:bottom w:val="nil"/>
              <w:right w:val="nil"/>
            </w:tcBorders>
          </w:tcPr>
          <w:p w14:paraId="6EB0138B"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m:oMathPara>
              <m:oMath>
                <m:r>
                  <w:rPr>
                    <w:rFonts w:ascii="Cambria Math" w:hAnsi="Cambria Math" w:cs="Times New Roman"/>
                    <w:szCs w:val="20"/>
                  </w:rPr>
                  <m:t>i</m:t>
                </m:r>
              </m:oMath>
            </m:oMathPara>
          </w:p>
        </w:tc>
        <w:tc>
          <w:tcPr>
            <w:tcW w:w="6521" w:type="dxa"/>
            <w:tcBorders>
              <w:top w:val="nil"/>
              <w:left w:val="nil"/>
              <w:bottom w:val="nil"/>
              <w:right w:val="nil"/>
            </w:tcBorders>
          </w:tcPr>
          <w:p w14:paraId="73EABC25"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lang w:val="ru-RU"/>
              </w:rPr>
            </w:pPr>
            <w:r w:rsidRPr="004224F6">
              <w:rPr>
                <w:rFonts w:ascii="Times New Roman" w:hAnsi="Times New Roman" w:cs="Times New Roman"/>
                <w:lang w:val="ru-RU"/>
              </w:rPr>
              <w:t xml:space="preserve">Наклон в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km</w:t>
            </w:r>
            <w:r w:rsidRPr="004224F6">
              <w:rPr>
                <w:rFonts w:ascii="Times New Roman" w:hAnsi="Times New Roman" w:cs="Times New Roman"/>
                <w:lang w:val="ru-RU"/>
              </w:rPr>
              <w:t xml:space="preserve"> (ако липсва, да се приеме за 0,16)</w:t>
            </w:r>
          </w:p>
        </w:tc>
        <w:tc>
          <w:tcPr>
            <w:tcW w:w="1021" w:type="dxa"/>
            <w:tcBorders>
              <w:top w:val="nil"/>
              <w:left w:val="nil"/>
              <w:bottom w:val="nil"/>
              <w:right w:val="nil"/>
            </w:tcBorders>
          </w:tcPr>
          <w:p w14:paraId="0F40D300"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(m/km)</w:t>
            </w:r>
          </w:p>
        </w:tc>
      </w:tr>
      <w:tr w:rsidR="00271FA2" w:rsidRPr="004224F6" w14:paraId="0FC367EE" w14:textId="77777777">
        <w:trPr>
          <w:jc w:val="center"/>
        </w:trPr>
        <w:tc>
          <w:tcPr>
            <w:tcW w:w="1021" w:type="dxa"/>
            <w:tcBorders>
              <w:top w:val="nil"/>
              <w:left w:val="nil"/>
              <w:bottom w:val="nil"/>
              <w:right w:val="nil"/>
            </w:tcBorders>
          </w:tcPr>
          <w:p w14:paraId="1702E914" w14:textId="77777777" w:rsidR="00271FA2" w:rsidRPr="004224F6" w:rsidRDefault="002C62EC">
            <w:pPr>
              <w:overflowPunct w:val="0"/>
              <w:adjustRightInd w:val="0"/>
              <w:spacing w:line="240" w:lineRule="atLeast"/>
              <w:ind w:left="113" w:right="113"/>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v</m:t>
                    </m:r>
                  </m:e>
                  <m:sub>
                    <m:r>
                      <w:rPr>
                        <w:rFonts w:ascii="Cambria Math" w:hAnsi="Cambria Math" w:cs="Times New Roman"/>
                        <w:szCs w:val="20"/>
                      </w:rPr>
                      <m:t>STR</m:t>
                    </m:r>
                  </m:sub>
                </m:sSub>
              </m:oMath>
            </m:oMathPara>
          </w:p>
        </w:tc>
        <w:tc>
          <w:tcPr>
            <w:tcW w:w="6521" w:type="dxa"/>
            <w:tcBorders>
              <w:top w:val="nil"/>
              <w:left w:val="nil"/>
              <w:bottom w:val="nil"/>
              <w:right w:val="nil"/>
            </w:tcBorders>
          </w:tcPr>
          <w:p w14:paraId="65B45724"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Средна скорост на течението</w:t>
            </w:r>
          </w:p>
        </w:tc>
        <w:tc>
          <w:tcPr>
            <w:tcW w:w="1021" w:type="dxa"/>
            <w:tcBorders>
              <w:top w:val="nil"/>
              <w:left w:val="nil"/>
              <w:bottom w:val="nil"/>
              <w:right w:val="nil"/>
            </w:tcBorders>
          </w:tcPr>
          <w:p w14:paraId="527FE6BB"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(m/s)</w:t>
            </w:r>
          </w:p>
        </w:tc>
      </w:tr>
      <w:tr w:rsidR="00271FA2" w:rsidRPr="004224F6" w14:paraId="46C9F891" w14:textId="77777777">
        <w:trPr>
          <w:jc w:val="center"/>
        </w:trPr>
        <w:tc>
          <w:tcPr>
            <w:tcW w:w="1021" w:type="dxa"/>
            <w:tcBorders>
              <w:top w:val="nil"/>
              <w:left w:val="nil"/>
              <w:bottom w:val="nil"/>
              <w:right w:val="nil"/>
            </w:tcBorders>
          </w:tcPr>
          <w:p w14:paraId="5676E0B0"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m:oMathPara>
              <m:oMath>
                <m:r>
                  <w:rPr>
                    <w:rFonts w:ascii="Cambria Math" w:hAnsi="Cambria Math" w:cs="Times New Roman"/>
                    <w:szCs w:val="20"/>
                  </w:rPr>
                  <m:t>g</m:t>
                </m:r>
              </m:oMath>
            </m:oMathPara>
          </w:p>
        </w:tc>
        <w:tc>
          <w:tcPr>
            <w:tcW w:w="6521" w:type="dxa"/>
            <w:tcBorders>
              <w:top w:val="nil"/>
              <w:left w:val="nil"/>
              <w:bottom w:val="nil"/>
              <w:right w:val="nil"/>
            </w:tcBorders>
          </w:tcPr>
          <w:p w14:paraId="2996A7DD"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lang w:val="ru-RU"/>
              </w:rPr>
            </w:pPr>
            <w:r w:rsidRPr="004224F6">
              <w:rPr>
                <w:rFonts w:ascii="Times New Roman" w:hAnsi="Times New Roman" w:cs="Times New Roman"/>
                <w:lang w:val="ru-RU"/>
              </w:rPr>
              <w:t>Ускорение, дължащо се на гравитацията (9,81)</w:t>
            </w:r>
          </w:p>
        </w:tc>
        <w:tc>
          <w:tcPr>
            <w:tcW w:w="1021" w:type="dxa"/>
            <w:tcBorders>
              <w:top w:val="nil"/>
              <w:left w:val="nil"/>
              <w:bottom w:val="nil"/>
              <w:right w:val="nil"/>
            </w:tcBorders>
          </w:tcPr>
          <w:p w14:paraId="13B2A0A8"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(m/s</w:t>
            </w:r>
            <w:r w:rsidRPr="004224F6">
              <w:rPr>
                <w:rFonts w:ascii="Times New Roman" w:hAnsi="Times New Roman" w:cs="Times New Roman"/>
                <w:vertAlign w:val="superscript"/>
              </w:rPr>
              <w:t>2</w:t>
            </w:r>
            <w:r w:rsidRPr="004224F6">
              <w:rPr>
                <w:rFonts w:ascii="Times New Roman" w:hAnsi="Times New Roman" w:cs="Times New Roman"/>
              </w:rPr>
              <w:t>)</w:t>
            </w:r>
          </w:p>
        </w:tc>
      </w:tr>
      <w:tr w:rsidR="00271FA2" w:rsidRPr="004224F6" w14:paraId="7419D9B7" w14:textId="77777777">
        <w:trPr>
          <w:jc w:val="center"/>
        </w:trPr>
        <w:tc>
          <w:tcPr>
            <w:tcW w:w="1021" w:type="dxa"/>
            <w:tcBorders>
              <w:top w:val="nil"/>
              <w:left w:val="nil"/>
              <w:bottom w:val="nil"/>
              <w:right w:val="nil"/>
            </w:tcBorders>
          </w:tcPr>
          <w:p w14:paraId="4D519A9B"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m:oMathPara>
              <m:oMath>
                <m:r>
                  <w:rPr>
                    <w:rFonts w:ascii="Cambria Math" w:hAnsi="Cambria Math" w:cs="Times New Roman"/>
                    <w:szCs w:val="20"/>
                  </w:rPr>
                  <m:t>ρ</m:t>
                </m:r>
              </m:oMath>
            </m:oMathPara>
          </w:p>
        </w:tc>
        <w:tc>
          <w:tcPr>
            <w:tcW w:w="6521" w:type="dxa"/>
            <w:tcBorders>
              <w:top w:val="nil"/>
              <w:left w:val="nil"/>
              <w:bottom w:val="nil"/>
              <w:right w:val="nil"/>
            </w:tcBorders>
          </w:tcPr>
          <w:p w14:paraId="4EA51489"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lang w:val="ru-RU"/>
              </w:rPr>
            </w:pPr>
            <w:r w:rsidRPr="004224F6">
              <w:rPr>
                <w:rFonts w:ascii="Times New Roman" w:hAnsi="Times New Roman" w:cs="Times New Roman"/>
                <w:lang w:val="ru-RU"/>
              </w:rPr>
              <w:t xml:space="preserve">Плътност на водата, </w:t>
            </w:r>
            <m:oMath>
              <m:r>
                <w:rPr>
                  <w:rFonts w:ascii="Cambria Math" w:hAnsi="Cambria Math" w:cs="Times New Roman"/>
                  <w:szCs w:val="20"/>
                </w:rPr>
                <m:t>ρ</m:t>
              </m:r>
            </m:oMath>
            <w:r w:rsidRPr="004224F6">
              <w:rPr>
                <w:rFonts w:ascii="Times New Roman" w:hAnsi="Times New Roman" w:cs="Times New Roman"/>
                <w:lang w:val="ru-RU"/>
              </w:rPr>
              <w:t xml:space="preserve"> прясна вода = 1000</w:t>
            </w:r>
          </w:p>
        </w:tc>
        <w:tc>
          <w:tcPr>
            <w:tcW w:w="1021" w:type="dxa"/>
            <w:tcBorders>
              <w:top w:val="nil"/>
              <w:left w:val="nil"/>
              <w:bottom w:val="nil"/>
              <w:right w:val="nil"/>
            </w:tcBorders>
          </w:tcPr>
          <w:p w14:paraId="2E1198A6"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(kg/m</w:t>
            </w:r>
            <w:r w:rsidRPr="004224F6">
              <w:rPr>
                <w:rFonts w:ascii="Times New Roman" w:hAnsi="Times New Roman" w:cs="Times New Roman"/>
                <w:position w:val="6"/>
                <w:sz w:val="16"/>
              </w:rPr>
              <w:t>3</w:t>
            </w:r>
            <w:r w:rsidRPr="004224F6">
              <w:rPr>
                <w:rFonts w:ascii="Times New Roman" w:hAnsi="Times New Roman" w:cs="Times New Roman"/>
              </w:rPr>
              <w:t>)</w:t>
            </w:r>
          </w:p>
        </w:tc>
      </w:tr>
      <w:tr w:rsidR="00271FA2" w:rsidRPr="004224F6" w14:paraId="383D9F9D" w14:textId="77777777">
        <w:trPr>
          <w:jc w:val="center"/>
        </w:trPr>
        <w:tc>
          <w:tcPr>
            <w:tcW w:w="1021" w:type="dxa"/>
            <w:tcBorders>
              <w:top w:val="nil"/>
              <w:left w:val="nil"/>
              <w:bottom w:val="nil"/>
              <w:right w:val="nil"/>
            </w:tcBorders>
          </w:tcPr>
          <w:p w14:paraId="1EC23147"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m:oMathPara>
              <m:oMath>
                <m:r>
                  <w:rPr>
                    <w:rFonts w:ascii="Cambria Math" w:hAnsi="Cambria Math" w:cs="Times New Roman"/>
                    <w:szCs w:val="20"/>
                  </w:rPr>
                  <m:t>T</m:t>
                </m:r>
              </m:oMath>
            </m:oMathPara>
          </w:p>
        </w:tc>
        <w:tc>
          <w:tcPr>
            <w:tcW w:w="6521" w:type="dxa"/>
            <w:tcBorders>
              <w:top w:val="nil"/>
              <w:left w:val="nil"/>
              <w:bottom w:val="nil"/>
              <w:right w:val="nil"/>
            </w:tcBorders>
          </w:tcPr>
          <w:p w14:paraId="1AE92492"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lang w:val="ru-RU"/>
              </w:rPr>
            </w:pPr>
            <w:r w:rsidRPr="004224F6">
              <w:rPr>
                <w:rFonts w:ascii="Times New Roman" w:hAnsi="Times New Roman" w:cs="Times New Roman"/>
                <w:lang w:val="ru-RU"/>
              </w:rPr>
              <w:t>Максимално газене (на плавателен съд или състав)</w:t>
            </w:r>
          </w:p>
        </w:tc>
        <w:tc>
          <w:tcPr>
            <w:tcW w:w="1021" w:type="dxa"/>
            <w:tcBorders>
              <w:top w:val="nil"/>
              <w:left w:val="nil"/>
              <w:bottom w:val="nil"/>
              <w:right w:val="nil"/>
            </w:tcBorders>
          </w:tcPr>
          <w:p w14:paraId="7D2CBC38"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w:t>
            </w:r>
          </w:p>
        </w:tc>
      </w:tr>
      <w:tr w:rsidR="00271FA2" w:rsidRPr="004224F6" w14:paraId="7D87F3CD" w14:textId="77777777">
        <w:trPr>
          <w:jc w:val="center"/>
        </w:trPr>
        <w:tc>
          <w:tcPr>
            <w:tcW w:w="1021" w:type="dxa"/>
            <w:tcBorders>
              <w:top w:val="nil"/>
              <w:left w:val="nil"/>
              <w:bottom w:val="nil"/>
              <w:right w:val="nil"/>
            </w:tcBorders>
          </w:tcPr>
          <w:p w14:paraId="2F2119D6"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m:oMathPara>
              <m:oMath>
                <m:r>
                  <w:rPr>
                    <w:rFonts w:ascii="Cambria Math" w:hAnsi="Cambria Math" w:cs="Times New Roman"/>
                    <w:szCs w:val="20"/>
                  </w:rPr>
                  <m:t>h</m:t>
                </m:r>
              </m:oMath>
            </m:oMathPara>
          </w:p>
        </w:tc>
        <w:tc>
          <w:tcPr>
            <w:tcW w:w="6521" w:type="dxa"/>
            <w:tcBorders>
              <w:top w:val="nil"/>
              <w:left w:val="nil"/>
              <w:bottom w:val="nil"/>
              <w:right w:val="nil"/>
            </w:tcBorders>
          </w:tcPr>
          <w:p w14:paraId="23E8EB61"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Дълбочина на водата</w:t>
            </w:r>
          </w:p>
        </w:tc>
        <w:tc>
          <w:tcPr>
            <w:tcW w:w="1021" w:type="dxa"/>
            <w:tcBorders>
              <w:top w:val="nil"/>
              <w:left w:val="nil"/>
              <w:bottom w:val="nil"/>
              <w:right w:val="nil"/>
            </w:tcBorders>
          </w:tcPr>
          <w:p w14:paraId="399AAA67"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w:t>
            </w:r>
          </w:p>
        </w:tc>
      </w:tr>
      <w:tr w:rsidR="00271FA2" w:rsidRPr="004224F6" w14:paraId="65CC24F9" w14:textId="77777777">
        <w:trPr>
          <w:jc w:val="center"/>
        </w:trPr>
        <w:tc>
          <w:tcPr>
            <w:tcW w:w="1021" w:type="dxa"/>
            <w:tcBorders>
              <w:top w:val="nil"/>
              <w:left w:val="nil"/>
              <w:bottom w:val="nil"/>
              <w:right w:val="nil"/>
            </w:tcBorders>
          </w:tcPr>
          <w:p w14:paraId="63A0FD20"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m:oMathPara>
              <m:oMath>
                <m:r>
                  <w:rPr>
                    <w:rFonts w:ascii="Cambria Math" w:hAnsi="Cambria Math" w:cs="Times New Roman"/>
                    <w:szCs w:val="20"/>
                  </w:rPr>
                  <m:t>B</m:t>
                </m:r>
              </m:oMath>
            </m:oMathPara>
          </w:p>
        </w:tc>
        <w:tc>
          <w:tcPr>
            <w:tcW w:w="6521" w:type="dxa"/>
            <w:tcBorders>
              <w:top w:val="nil"/>
              <w:left w:val="nil"/>
              <w:bottom w:val="nil"/>
              <w:right w:val="nil"/>
            </w:tcBorders>
          </w:tcPr>
          <w:p w14:paraId="321BA5FE"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Ширина</w:t>
            </w:r>
          </w:p>
        </w:tc>
        <w:tc>
          <w:tcPr>
            <w:tcW w:w="1021" w:type="dxa"/>
            <w:tcBorders>
              <w:top w:val="nil"/>
              <w:left w:val="nil"/>
              <w:bottom w:val="nil"/>
              <w:right w:val="nil"/>
            </w:tcBorders>
          </w:tcPr>
          <w:p w14:paraId="69BBD44B"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w:t>
            </w:r>
          </w:p>
        </w:tc>
      </w:tr>
      <w:tr w:rsidR="00271FA2" w:rsidRPr="004224F6" w14:paraId="438B525E" w14:textId="77777777">
        <w:trPr>
          <w:jc w:val="center"/>
        </w:trPr>
        <w:tc>
          <w:tcPr>
            <w:tcW w:w="1021" w:type="dxa"/>
            <w:tcBorders>
              <w:top w:val="nil"/>
              <w:left w:val="nil"/>
              <w:bottom w:val="nil"/>
              <w:right w:val="nil"/>
            </w:tcBorders>
          </w:tcPr>
          <w:p w14:paraId="63B35B97"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m:oMathPara>
              <m:oMath>
                <m:r>
                  <w:rPr>
                    <w:rFonts w:ascii="Cambria Math" w:hAnsi="Cambria Math" w:cs="Times New Roman"/>
                    <w:szCs w:val="20"/>
                  </w:rPr>
                  <m:t>L</m:t>
                </m:r>
              </m:oMath>
            </m:oMathPara>
          </w:p>
        </w:tc>
        <w:tc>
          <w:tcPr>
            <w:tcW w:w="6521" w:type="dxa"/>
            <w:tcBorders>
              <w:top w:val="nil"/>
              <w:left w:val="nil"/>
              <w:bottom w:val="nil"/>
              <w:right w:val="nil"/>
            </w:tcBorders>
          </w:tcPr>
          <w:p w14:paraId="72CDA8B6"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Дължина</w:t>
            </w:r>
          </w:p>
        </w:tc>
        <w:tc>
          <w:tcPr>
            <w:tcW w:w="1021" w:type="dxa"/>
            <w:tcBorders>
              <w:top w:val="nil"/>
              <w:left w:val="nil"/>
              <w:bottom w:val="nil"/>
              <w:right w:val="nil"/>
            </w:tcBorders>
          </w:tcPr>
          <w:p w14:paraId="56CE4DCB" w14:textId="77777777" w:rsidR="00271FA2" w:rsidRPr="004224F6" w:rsidRDefault="00D35E51">
            <w:pPr>
              <w:overflowPunct w:val="0"/>
              <w:adjustRightInd w:val="0"/>
              <w:spacing w:line="240" w:lineRule="atLeast"/>
              <w:ind w:left="113" w:right="113"/>
              <w:textAlignment w:val="baseline"/>
              <w:rPr>
                <w:rFonts w:ascii="Times New Roman" w:hAnsi="Times New Roman" w:cs="Times New Roman"/>
                <w:szCs w:val="20"/>
              </w:rPr>
            </w:pPr>
            <w:r w:rsidRPr="004224F6">
              <w:rPr>
                <w:rFonts w:ascii="Times New Roman" w:hAnsi="Times New Roman" w:cs="Times New Roman"/>
              </w:rPr>
              <w:t>(m)</w:t>
            </w:r>
          </w:p>
        </w:tc>
      </w:tr>
    </w:tbl>
    <w:p w14:paraId="52E3B005" w14:textId="77777777" w:rsidR="00271FA2" w:rsidRPr="004224F6" w:rsidRDefault="00271FA2">
      <w:pPr>
        <w:overflowPunct w:val="0"/>
        <w:adjustRightInd w:val="0"/>
        <w:spacing w:line="240" w:lineRule="atLeast"/>
        <w:textAlignment w:val="baseline"/>
        <w:rPr>
          <w:rFonts w:ascii="Times New Roman" w:hAnsi="Times New Roman" w:cs="Times New Roman"/>
          <w:szCs w:val="20"/>
        </w:rPr>
      </w:pPr>
    </w:p>
    <w:p w14:paraId="03E4A1C9" w14:textId="77777777" w:rsidR="00271FA2" w:rsidRPr="004224F6" w:rsidRDefault="00271FA2">
      <w:pPr>
        <w:overflowPunct w:val="0"/>
        <w:adjustRightInd w:val="0"/>
        <w:spacing w:line="240" w:lineRule="atLeast"/>
        <w:textAlignment w:val="baseline"/>
        <w:rPr>
          <w:rFonts w:ascii="Times New Roman" w:hAnsi="Times New Roman" w:cs="Times New Roman"/>
          <w:szCs w:val="20"/>
        </w:rPr>
      </w:pPr>
    </w:p>
    <w:p w14:paraId="751F5A0F" w14:textId="77777777" w:rsidR="00271FA2" w:rsidRPr="004224F6" w:rsidRDefault="00271FA2">
      <w:pPr>
        <w:tabs>
          <w:tab w:val="left" w:pos="960"/>
          <w:tab w:val="left" w:pos="1344"/>
          <w:tab w:val="left" w:pos="7680"/>
        </w:tabs>
        <w:overflowPunct w:val="0"/>
        <w:adjustRightInd w:val="0"/>
        <w:spacing w:line="240" w:lineRule="atLeast"/>
        <w:textAlignment w:val="baseline"/>
        <w:rPr>
          <w:rFonts w:ascii="Times New Roman" w:hAnsi="Times New Roman" w:cs="Times New Roman"/>
          <w:szCs w:val="20"/>
        </w:rPr>
      </w:pPr>
    </w:p>
    <w:p w14:paraId="4ECEDA93" w14:textId="77777777" w:rsidR="00271FA2" w:rsidRPr="004224F6" w:rsidRDefault="00D35E51">
      <w:pPr>
        <w:tabs>
          <w:tab w:val="left" w:pos="960"/>
          <w:tab w:val="left" w:pos="1344"/>
          <w:tab w:val="left" w:pos="7680"/>
        </w:tabs>
        <w:overflowPunct w:val="0"/>
        <w:adjustRightInd w:val="0"/>
        <w:spacing w:line="240" w:lineRule="atLeast"/>
        <w:textAlignment w:val="baseline"/>
        <w:rPr>
          <w:rFonts w:ascii="Times New Roman" w:hAnsi="Times New Roman" w:cs="Times New Roman"/>
          <w:szCs w:val="20"/>
        </w:rPr>
      </w:pPr>
      <w:r w:rsidRPr="004224F6">
        <w:rPr>
          <w:rFonts w:ascii="Times New Roman" w:hAnsi="Times New Roman" w:cs="Times New Roman"/>
        </w:rPr>
        <w:br w:type="page"/>
      </w:r>
    </w:p>
    <w:p w14:paraId="70A40D3F" w14:textId="77777777" w:rsidR="00271FA2" w:rsidRPr="004224F6" w:rsidRDefault="00D35E51">
      <w:pPr>
        <w:spacing w:line="240" w:lineRule="atLeast"/>
        <w:ind w:left="567"/>
        <w:rPr>
          <w:rFonts w:ascii="Times New Roman" w:hAnsi="Times New Roman" w:cs="Times New Roman"/>
          <w:lang w:val="ru-RU"/>
        </w:rPr>
      </w:pPr>
      <w:r w:rsidRPr="004224F6">
        <w:rPr>
          <w:rFonts w:ascii="Times New Roman" w:hAnsi="Times New Roman" w:cs="Times New Roman"/>
          <w:lang w:val="ru-RU"/>
        </w:rPr>
        <w:lastRenderedPageBreak/>
        <w:t>Коефициентите за формули (4.1), (4.2), (4.3), (4.4), (4.5), (4.6) и (4.7) могат да бъдат взети от таблиците по-долу.</w:t>
      </w:r>
    </w:p>
    <w:p w14:paraId="609D0D8A"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b/>
          <w:szCs w:val="20"/>
        </w:rPr>
      </w:pPr>
      <w:r w:rsidRPr="004224F6">
        <w:rPr>
          <w:rFonts w:ascii="Times New Roman" w:hAnsi="Times New Roman" w:cs="Times New Roman"/>
          <w:b/>
        </w:rPr>
        <w:t xml:space="preserve">Таблица 1: </w:t>
      </w:r>
      <m:oMath>
        <m:r>
          <w:rPr>
            <w:rFonts w:ascii="Cambria Math" w:hAnsi="Cambria Math" w:cs="Times New Roman"/>
            <w:szCs w:val="20"/>
          </w:rPr>
          <m:t>k</m:t>
        </m:r>
      </m:oMath>
      <w:r w:rsidRPr="004224F6">
        <w:rPr>
          <w:rFonts w:ascii="Times New Roman" w:hAnsi="Times New Roman" w:cs="Times New Roman"/>
          <w:b/>
        </w:rPr>
        <w:t xml:space="preserve"> коефициенти за:</w:t>
      </w:r>
    </w:p>
    <w:p w14:paraId="041D5774" w14:textId="77777777" w:rsidR="00271FA2" w:rsidRPr="004224F6" w:rsidRDefault="00D35E51" w:rsidP="00605A3E">
      <w:pPr>
        <w:numPr>
          <w:ilvl w:val="0"/>
          <w:numId w:val="52"/>
        </w:num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МОТОРНИ ТОВАРНИ ПЛАВАТЕЛНИ СЪДОВЕ, МОТОРНИ ТАНКЕРИ и СЪСТАВИ от една линия;</w:t>
      </w:r>
    </w:p>
    <w:p w14:paraId="74B0BB54" w14:textId="77777777" w:rsidR="00271FA2" w:rsidRPr="004224F6" w:rsidRDefault="00D35E51" w:rsidP="00605A3E">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б) СЪСТАВИ от две успоредни линии;</w:t>
      </w:r>
    </w:p>
    <w:p w14:paraId="3B0F7C94" w14:textId="77777777" w:rsidR="00271FA2" w:rsidRPr="004224F6" w:rsidRDefault="00D35E51" w:rsidP="00605A3E">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в) СЪСТАВИ от три успоредни линии;</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134"/>
        <w:gridCol w:w="1134"/>
        <w:gridCol w:w="1134"/>
        <w:gridCol w:w="1134"/>
        <w:gridCol w:w="1701"/>
      </w:tblGrid>
      <w:tr w:rsidR="00271FA2" w:rsidRPr="004224F6" w14:paraId="345DB12B" w14:textId="77777777">
        <w:trPr>
          <w:jc w:val="center"/>
        </w:trPr>
        <w:tc>
          <w:tcPr>
            <w:tcW w:w="1134" w:type="dxa"/>
            <w:vAlign w:val="center"/>
          </w:tcPr>
          <w:p w14:paraId="5C2B055E" w14:textId="77777777" w:rsidR="00271FA2" w:rsidRPr="004224F6" w:rsidRDefault="00271FA2">
            <w:pPr>
              <w:tabs>
                <w:tab w:val="left" w:pos="288"/>
                <w:tab w:val="left" w:pos="1872"/>
                <w:tab w:val="left" w:pos="2952"/>
                <w:tab w:val="left" w:pos="3888"/>
                <w:tab w:val="left" w:pos="4824"/>
              </w:tabs>
              <w:overflowPunct w:val="0"/>
              <w:adjustRightInd w:val="0"/>
              <w:spacing w:line="240" w:lineRule="atLeast"/>
              <w:ind w:left="113" w:right="113"/>
              <w:textAlignment w:val="baseline"/>
              <w:rPr>
                <w:rFonts w:ascii="Times New Roman" w:hAnsi="Times New Roman" w:cs="Times New Roman"/>
                <w:sz w:val="18"/>
                <w:szCs w:val="18"/>
                <w:lang w:val="ru-RU"/>
              </w:rPr>
            </w:pPr>
          </w:p>
        </w:tc>
        <w:tc>
          <w:tcPr>
            <w:tcW w:w="1134" w:type="dxa"/>
          </w:tcPr>
          <w:p w14:paraId="7979CB8D" w14:textId="77777777" w:rsidR="00271FA2" w:rsidRPr="004224F6" w:rsidRDefault="00D35E51">
            <w:pPr>
              <w:tabs>
                <w:tab w:val="left" w:pos="288"/>
                <w:tab w:val="left" w:pos="1872"/>
                <w:tab w:val="left" w:pos="2952"/>
                <w:tab w:val="left" w:pos="3888"/>
                <w:tab w:val="left" w:pos="4824"/>
              </w:tabs>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a)</w:t>
            </w:r>
          </w:p>
        </w:tc>
        <w:tc>
          <w:tcPr>
            <w:tcW w:w="1134" w:type="dxa"/>
          </w:tcPr>
          <w:p w14:paraId="5082C959" w14:textId="77777777" w:rsidR="00271FA2" w:rsidRPr="004224F6" w:rsidRDefault="00D35E51">
            <w:pPr>
              <w:tabs>
                <w:tab w:val="left" w:pos="288"/>
                <w:tab w:val="left" w:pos="1872"/>
                <w:tab w:val="left" w:pos="2952"/>
                <w:tab w:val="left" w:pos="3888"/>
                <w:tab w:val="left" w:pos="4824"/>
              </w:tabs>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б)</w:t>
            </w:r>
          </w:p>
        </w:tc>
        <w:tc>
          <w:tcPr>
            <w:tcW w:w="1134" w:type="dxa"/>
          </w:tcPr>
          <w:p w14:paraId="44732F2D" w14:textId="77777777" w:rsidR="00271FA2" w:rsidRPr="004224F6" w:rsidRDefault="00D35E51">
            <w:pPr>
              <w:tabs>
                <w:tab w:val="left" w:pos="288"/>
                <w:tab w:val="left" w:pos="1872"/>
                <w:tab w:val="left" w:pos="2952"/>
                <w:tab w:val="left" w:pos="3888"/>
                <w:tab w:val="left" w:pos="4824"/>
              </w:tabs>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в)</w:t>
            </w:r>
          </w:p>
        </w:tc>
        <w:tc>
          <w:tcPr>
            <w:tcW w:w="1701" w:type="dxa"/>
          </w:tcPr>
          <w:p w14:paraId="11E5B501" w14:textId="77777777" w:rsidR="00271FA2" w:rsidRPr="004224F6" w:rsidRDefault="00D35E51">
            <w:pPr>
              <w:tabs>
                <w:tab w:val="left" w:pos="288"/>
                <w:tab w:val="left" w:pos="1872"/>
                <w:tab w:val="left" w:pos="2952"/>
                <w:tab w:val="left" w:pos="3888"/>
                <w:tab w:val="left" w:pos="4824"/>
              </w:tabs>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Единици</w:t>
            </w:r>
          </w:p>
        </w:tc>
      </w:tr>
      <w:tr w:rsidR="00271FA2" w:rsidRPr="004224F6" w14:paraId="62A08545" w14:textId="77777777">
        <w:trPr>
          <w:jc w:val="center"/>
        </w:trPr>
        <w:tc>
          <w:tcPr>
            <w:tcW w:w="1134" w:type="dxa"/>
          </w:tcPr>
          <w:p w14:paraId="0962953E" w14:textId="77777777" w:rsidR="00271FA2" w:rsidRPr="004224F6" w:rsidRDefault="00271FA2">
            <w:pPr>
              <w:tabs>
                <w:tab w:val="left" w:pos="288"/>
                <w:tab w:val="left" w:pos="1800"/>
                <w:tab w:val="left" w:pos="2880"/>
                <w:tab w:val="left" w:pos="3816"/>
                <w:tab w:val="left" w:pos="4824"/>
              </w:tabs>
              <w:overflowPunct w:val="0"/>
              <w:adjustRightInd w:val="0"/>
              <w:spacing w:line="240" w:lineRule="atLeast"/>
              <w:ind w:left="113" w:right="113"/>
              <w:textAlignment w:val="baseline"/>
              <w:rPr>
                <w:rFonts w:ascii="Times New Roman" w:hAnsi="Times New Roman" w:cs="Times New Roman"/>
                <w:sz w:val="18"/>
                <w:szCs w:val="18"/>
              </w:rPr>
            </w:pPr>
          </w:p>
        </w:tc>
        <w:tc>
          <w:tcPr>
            <w:tcW w:w="1134" w:type="dxa"/>
          </w:tcPr>
          <w:p w14:paraId="26041E1A" w14:textId="77777777" w:rsidR="00271FA2" w:rsidRPr="004224F6" w:rsidRDefault="00271FA2">
            <w:pPr>
              <w:tabs>
                <w:tab w:val="left" w:pos="288"/>
                <w:tab w:val="left" w:pos="1800"/>
                <w:tab w:val="left" w:pos="2880"/>
                <w:tab w:val="left" w:pos="3816"/>
                <w:tab w:val="left" w:pos="4824"/>
              </w:tabs>
              <w:overflowPunct w:val="0"/>
              <w:adjustRightInd w:val="0"/>
              <w:spacing w:line="240" w:lineRule="atLeast"/>
              <w:ind w:left="113" w:right="113"/>
              <w:textAlignment w:val="baseline"/>
              <w:rPr>
                <w:rFonts w:ascii="Times New Roman" w:hAnsi="Times New Roman" w:cs="Times New Roman"/>
                <w:sz w:val="18"/>
                <w:szCs w:val="18"/>
              </w:rPr>
            </w:pPr>
          </w:p>
        </w:tc>
        <w:tc>
          <w:tcPr>
            <w:tcW w:w="1134" w:type="dxa"/>
          </w:tcPr>
          <w:p w14:paraId="0703963A" w14:textId="77777777" w:rsidR="00271FA2" w:rsidRPr="004224F6" w:rsidRDefault="00271FA2">
            <w:pPr>
              <w:tabs>
                <w:tab w:val="left" w:pos="288"/>
                <w:tab w:val="left" w:pos="1800"/>
                <w:tab w:val="left" w:pos="2880"/>
                <w:tab w:val="left" w:pos="3816"/>
                <w:tab w:val="left" w:pos="4824"/>
              </w:tabs>
              <w:overflowPunct w:val="0"/>
              <w:adjustRightInd w:val="0"/>
              <w:spacing w:line="240" w:lineRule="atLeast"/>
              <w:ind w:left="113" w:right="113"/>
              <w:textAlignment w:val="baseline"/>
              <w:rPr>
                <w:rFonts w:ascii="Times New Roman" w:hAnsi="Times New Roman" w:cs="Times New Roman"/>
                <w:sz w:val="18"/>
                <w:szCs w:val="18"/>
              </w:rPr>
            </w:pPr>
          </w:p>
        </w:tc>
        <w:tc>
          <w:tcPr>
            <w:tcW w:w="1134" w:type="dxa"/>
          </w:tcPr>
          <w:p w14:paraId="2FA6ED30" w14:textId="77777777" w:rsidR="00271FA2" w:rsidRPr="004224F6" w:rsidRDefault="00271FA2">
            <w:pPr>
              <w:tabs>
                <w:tab w:val="left" w:pos="288"/>
                <w:tab w:val="left" w:pos="1800"/>
                <w:tab w:val="left" w:pos="2880"/>
                <w:tab w:val="left" w:pos="3816"/>
                <w:tab w:val="left" w:pos="4824"/>
              </w:tabs>
              <w:overflowPunct w:val="0"/>
              <w:adjustRightInd w:val="0"/>
              <w:spacing w:line="240" w:lineRule="atLeast"/>
              <w:ind w:left="113" w:right="113"/>
              <w:textAlignment w:val="baseline"/>
              <w:rPr>
                <w:rFonts w:ascii="Times New Roman" w:hAnsi="Times New Roman" w:cs="Times New Roman"/>
                <w:sz w:val="18"/>
                <w:szCs w:val="18"/>
              </w:rPr>
            </w:pPr>
          </w:p>
        </w:tc>
        <w:tc>
          <w:tcPr>
            <w:tcW w:w="1701" w:type="dxa"/>
          </w:tcPr>
          <w:p w14:paraId="31E6142B" w14:textId="77777777" w:rsidR="00271FA2" w:rsidRPr="004224F6" w:rsidRDefault="00271FA2">
            <w:pPr>
              <w:tabs>
                <w:tab w:val="left" w:pos="288"/>
                <w:tab w:val="left" w:pos="1800"/>
                <w:tab w:val="left" w:pos="2880"/>
                <w:tab w:val="left" w:pos="3816"/>
                <w:tab w:val="left" w:pos="4824"/>
              </w:tabs>
              <w:overflowPunct w:val="0"/>
              <w:adjustRightInd w:val="0"/>
              <w:spacing w:line="240" w:lineRule="atLeast"/>
              <w:ind w:left="113" w:right="113"/>
              <w:textAlignment w:val="baseline"/>
              <w:rPr>
                <w:rFonts w:ascii="Times New Roman" w:hAnsi="Times New Roman" w:cs="Times New Roman"/>
                <w:sz w:val="18"/>
                <w:szCs w:val="18"/>
              </w:rPr>
            </w:pPr>
          </w:p>
        </w:tc>
      </w:tr>
      <w:tr w:rsidR="00271FA2" w:rsidRPr="004224F6" w14:paraId="6F58D5E9" w14:textId="77777777">
        <w:trPr>
          <w:jc w:val="center"/>
        </w:trPr>
        <w:tc>
          <w:tcPr>
            <w:tcW w:w="1134" w:type="dxa"/>
          </w:tcPr>
          <w:p w14:paraId="43258521" w14:textId="77777777" w:rsidR="00271FA2" w:rsidRPr="004224F6" w:rsidRDefault="002C62EC">
            <w:pPr>
              <w:tabs>
                <w:tab w:val="left" w:pos="288"/>
                <w:tab w:val="left" w:pos="1800"/>
                <w:tab w:val="left" w:pos="2880"/>
                <w:tab w:val="left" w:pos="3816"/>
                <w:tab w:val="left" w:pos="5112"/>
              </w:tabs>
              <w:overflowPunct w:val="0"/>
              <w:adjustRightInd w:val="0"/>
              <w:spacing w:line="240" w:lineRule="atLeast"/>
              <w:ind w:left="113" w:right="113"/>
              <w:textAlignment w:val="baseline"/>
              <w:rPr>
                <w:rFonts w:ascii="Times New Roman" w:hAnsi="Times New Roman" w:cs="Times New Roman"/>
                <w:sz w:val="18"/>
                <w:szCs w:val="18"/>
              </w:rPr>
            </w:pPr>
            <m:oMathPara>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1</m:t>
                    </m:r>
                  </m:sub>
                </m:sSub>
              </m:oMath>
            </m:oMathPara>
          </w:p>
        </w:tc>
        <w:tc>
          <w:tcPr>
            <w:tcW w:w="1134" w:type="dxa"/>
          </w:tcPr>
          <w:p w14:paraId="11710D65"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0,95</w:t>
            </w:r>
          </w:p>
        </w:tc>
        <w:tc>
          <w:tcPr>
            <w:tcW w:w="1134" w:type="dxa"/>
          </w:tcPr>
          <w:p w14:paraId="391B9D54"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0,95</w:t>
            </w:r>
          </w:p>
        </w:tc>
        <w:tc>
          <w:tcPr>
            <w:tcW w:w="1134" w:type="dxa"/>
          </w:tcPr>
          <w:p w14:paraId="736F7DD9"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0,95</w:t>
            </w:r>
          </w:p>
        </w:tc>
        <w:tc>
          <w:tcPr>
            <w:tcW w:w="1701" w:type="dxa"/>
          </w:tcPr>
          <w:p w14:paraId="173BE1F9" w14:textId="77777777" w:rsidR="00271FA2" w:rsidRPr="004224F6" w:rsidRDefault="00D35E51">
            <w:pPr>
              <w:tabs>
                <w:tab w:val="left" w:pos="288"/>
                <w:tab w:val="left" w:pos="1800"/>
                <w:tab w:val="left" w:pos="2880"/>
                <w:tab w:val="left" w:pos="3816"/>
                <w:tab w:val="left" w:pos="5112"/>
              </w:tabs>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w:t>
            </w:r>
          </w:p>
        </w:tc>
      </w:tr>
      <w:tr w:rsidR="00271FA2" w:rsidRPr="004224F6" w14:paraId="07D161DF" w14:textId="77777777">
        <w:trPr>
          <w:jc w:val="center"/>
        </w:trPr>
        <w:tc>
          <w:tcPr>
            <w:tcW w:w="1134" w:type="dxa"/>
          </w:tcPr>
          <w:p w14:paraId="3E133E49" w14:textId="77777777" w:rsidR="00271FA2" w:rsidRPr="004224F6" w:rsidRDefault="002C62EC">
            <w:pPr>
              <w:tabs>
                <w:tab w:val="left" w:pos="288"/>
                <w:tab w:val="left" w:pos="1800"/>
                <w:tab w:val="left" w:pos="2880"/>
                <w:tab w:val="left" w:pos="3816"/>
                <w:tab w:val="left" w:pos="5112"/>
              </w:tabs>
              <w:overflowPunct w:val="0"/>
              <w:adjustRightInd w:val="0"/>
              <w:spacing w:line="240" w:lineRule="atLeast"/>
              <w:ind w:left="113" w:right="113"/>
              <w:textAlignment w:val="baseline"/>
              <w:rPr>
                <w:rFonts w:ascii="Times New Roman" w:hAnsi="Times New Roman" w:cs="Times New Roman"/>
                <w:sz w:val="18"/>
                <w:szCs w:val="18"/>
              </w:rPr>
            </w:pPr>
            <m:oMathPara>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2</m:t>
                    </m:r>
                  </m:sub>
                </m:sSub>
              </m:oMath>
            </m:oMathPara>
          </w:p>
        </w:tc>
        <w:tc>
          <w:tcPr>
            <w:tcW w:w="1134" w:type="dxa"/>
          </w:tcPr>
          <w:p w14:paraId="03494D11"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0,115</w:t>
            </w:r>
          </w:p>
        </w:tc>
        <w:tc>
          <w:tcPr>
            <w:tcW w:w="1134" w:type="dxa"/>
          </w:tcPr>
          <w:p w14:paraId="2E1E30C9"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0,120</w:t>
            </w:r>
          </w:p>
        </w:tc>
        <w:tc>
          <w:tcPr>
            <w:tcW w:w="1134" w:type="dxa"/>
          </w:tcPr>
          <w:p w14:paraId="57425DEC"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0,125</w:t>
            </w:r>
          </w:p>
        </w:tc>
        <w:tc>
          <w:tcPr>
            <w:tcW w:w="1701" w:type="dxa"/>
          </w:tcPr>
          <w:p w14:paraId="2819FB7B" w14:textId="77777777" w:rsidR="00271FA2" w:rsidRPr="004224F6" w:rsidRDefault="002C62EC">
            <w:pPr>
              <w:tabs>
                <w:tab w:val="left" w:pos="567"/>
                <w:tab w:val="left" w:pos="1800"/>
                <w:tab w:val="left" w:pos="2880"/>
                <w:tab w:val="left" w:pos="3816"/>
                <w:tab w:val="left" w:pos="5112"/>
              </w:tabs>
              <w:overflowPunct w:val="0"/>
              <w:adjustRightInd w:val="0"/>
              <w:spacing w:line="240" w:lineRule="atLeast"/>
              <w:ind w:left="113" w:right="113"/>
              <w:textAlignment w:val="baseline"/>
              <w:rPr>
                <w:rFonts w:ascii="Times New Roman" w:hAnsi="Times New Roman" w:cs="Times New Roman"/>
                <w:sz w:val="18"/>
                <w:szCs w:val="18"/>
              </w:rPr>
            </w:pPr>
            <m:oMathPara>
              <m:oMath>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k</m:t>
                        </m:r>
                      </m:e>
                      <m:sub>
                        <m:r>
                          <w:rPr>
                            <w:rFonts w:ascii="Cambria Math" w:hAnsi="Cambria Math" w:cs="Times New Roman"/>
                            <w:sz w:val="18"/>
                            <w:szCs w:val="18"/>
                          </w:rPr>
                          <m:t>g</m:t>
                        </m:r>
                      </m:sub>
                    </m:sSub>
                    <m:r>
                      <w:rPr>
                        <w:rFonts w:ascii="Cambria Math" w:hAnsi="Cambria Math" w:cs="Times New Roman"/>
                        <w:sz w:val="18"/>
                        <w:szCs w:val="18"/>
                      </w:rPr>
                      <m:t xml:space="preserve"> ∙ </m:t>
                    </m:r>
                    <m:sSup>
                      <m:sSupPr>
                        <m:ctrlPr>
                          <w:rPr>
                            <w:rFonts w:ascii="Cambria Math" w:hAnsi="Cambria Math" w:cs="Times New Roman"/>
                            <w:i/>
                            <w:sz w:val="18"/>
                            <w:szCs w:val="18"/>
                          </w:rPr>
                        </m:ctrlPr>
                      </m:sSupPr>
                      <m:e>
                        <m:r>
                          <w:rPr>
                            <w:rFonts w:ascii="Cambria Math" w:hAnsi="Cambria Math" w:cs="Times New Roman"/>
                            <w:sz w:val="18"/>
                            <w:szCs w:val="18"/>
                          </w:rPr>
                          <m:t>s</m:t>
                        </m:r>
                      </m:e>
                      <m:sup>
                        <m:r>
                          <w:rPr>
                            <w:rFonts w:ascii="Cambria Math" w:hAnsi="Cambria Math" w:cs="Times New Roman"/>
                            <w:sz w:val="18"/>
                            <w:szCs w:val="18"/>
                          </w:rPr>
                          <m:t>2</m:t>
                        </m:r>
                      </m:sup>
                    </m:sSup>
                  </m:num>
                  <m:den>
                    <m:sSup>
                      <m:sSupPr>
                        <m:ctrlPr>
                          <w:rPr>
                            <w:rFonts w:ascii="Cambria Math" w:hAnsi="Cambria Math" w:cs="Times New Roman"/>
                            <w:i/>
                            <w:sz w:val="18"/>
                            <w:szCs w:val="18"/>
                          </w:rPr>
                        </m:ctrlPr>
                      </m:sSupPr>
                      <m:e>
                        <m:r>
                          <w:rPr>
                            <w:rFonts w:ascii="Cambria Math" w:hAnsi="Cambria Math" w:cs="Times New Roman"/>
                            <w:sz w:val="18"/>
                            <w:szCs w:val="18"/>
                          </w:rPr>
                          <m:t>m</m:t>
                        </m:r>
                      </m:e>
                      <m:sup>
                        <m:r>
                          <w:rPr>
                            <w:rFonts w:ascii="Cambria Math" w:hAnsi="Cambria Math" w:cs="Times New Roman"/>
                            <w:sz w:val="18"/>
                            <w:szCs w:val="18"/>
                          </w:rPr>
                          <m:t>4</m:t>
                        </m:r>
                      </m:sup>
                    </m:sSup>
                  </m:den>
                </m:f>
              </m:oMath>
            </m:oMathPara>
          </w:p>
        </w:tc>
      </w:tr>
      <w:tr w:rsidR="00271FA2" w:rsidRPr="004224F6" w14:paraId="7CDC1195" w14:textId="77777777">
        <w:trPr>
          <w:jc w:val="center"/>
        </w:trPr>
        <w:tc>
          <w:tcPr>
            <w:tcW w:w="1134" w:type="dxa"/>
          </w:tcPr>
          <w:p w14:paraId="06A466BB" w14:textId="77777777" w:rsidR="00271FA2" w:rsidRPr="004224F6" w:rsidRDefault="002C62EC">
            <w:pPr>
              <w:tabs>
                <w:tab w:val="left" w:pos="288"/>
                <w:tab w:val="left" w:pos="1800"/>
                <w:tab w:val="left" w:pos="2880"/>
                <w:tab w:val="left" w:pos="3816"/>
                <w:tab w:val="left" w:pos="5112"/>
              </w:tabs>
              <w:overflowPunct w:val="0"/>
              <w:adjustRightInd w:val="0"/>
              <w:spacing w:line="240" w:lineRule="atLeast"/>
              <w:ind w:left="113" w:right="113"/>
              <w:textAlignment w:val="baseline"/>
              <w:rPr>
                <w:rFonts w:ascii="Times New Roman" w:hAnsi="Times New Roman" w:cs="Times New Roman"/>
                <w:sz w:val="18"/>
                <w:szCs w:val="18"/>
              </w:rPr>
            </w:pPr>
            <m:oMathPara>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3</m:t>
                    </m:r>
                  </m:sub>
                </m:sSub>
              </m:oMath>
            </m:oMathPara>
          </w:p>
        </w:tc>
        <w:tc>
          <w:tcPr>
            <w:tcW w:w="1134" w:type="dxa"/>
          </w:tcPr>
          <w:p w14:paraId="6C05C8AE"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1,20</w:t>
            </w:r>
          </w:p>
        </w:tc>
        <w:tc>
          <w:tcPr>
            <w:tcW w:w="1134" w:type="dxa"/>
          </w:tcPr>
          <w:p w14:paraId="34F0B69E"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1,15</w:t>
            </w:r>
          </w:p>
        </w:tc>
        <w:tc>
          <w:tcPr>
            <w:tcW w:w="1134" w:type="dxa"/>
          </w:tcPr>
          <w:p w14:paraId="119AAB89"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1,10</w:t>
            </w:r>
          </w:p>
        </w:tc>
        <w:tc>
          <w:tcPr>
            <w:tcW w:w="1701" w:type="dxa"/>
          </w:tcPr>
          <w:p w14:paraId="75B35BF7" w14:textId="77777777" w:rsidR="00271FA2" w:rsidRPr="004224F6" w:rsidRDefault="00D35E51">
            <w:pPr>
              <w:tabs>
                <w:tab w:val="left" w:pos="288"/>
                <w:tab w:val="left" w:pos="1800"/>
                <w:tab w:val="left" w:pos="2880"/>
                <w:tab w:val="left" w:pos="3816"/>
                <w:tab w:val="left" w:pos="5112"/>
              </w:tabs>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w:t>
            </w:r>
          </w:p>
        </w:tc>
      </w:tr>
      <w:tr w:rsidR="00271FA2" w:rsidRPr="004224F6" w14:paraId="1E6FA915" w14:textId="77777777">
        <w:trPr>
          <w:jc w:val="center"/>
        </w:trPr>
        <w:tc>
          <w:tcPr>
            <w:tcW w:w="1134" w:type="dxa"/>
          </w:tcPr>
          <w:p w14:paraId="219B6EE7" w14:textId="77777777" w:rsidR="00271FA2" w:rsidRPr="004224F6" w:rsidRDefault="002C62EC">
            <w:pPr>
              <w:tabs>
                <w:tab w:val="left" w:pos="288"/>
                <w:tab w:val="left" w:pos="1800"/>
                <w:tab w:val="left" w:pos="2880"/>
                <w:tab w:val="left" w:pos="3816"/>
                <w:tab w:val="left" w:pos="5112"/>
              </w:tabs>
              <w:overflowPunct w:val="0"/>
              <w:adjustRightInd w:val="0"/>
              <w:spacing w:line="240" w:lineRule="atLeast"/>
              <w:ind w:left="113" w:right="113"/>
              <w:textAlignment w:val="baseline"/>
              <w:rPr>
                <w:rFonts w:ascii="Times New Roman" w:hAnsi="Times New Roman" w:cs="Times New Roman"/>
                <w:sz w:val="18"/>
                <w:szCs w:val="18"/>
              </w:rPr>
            </w:pPr>
            <m:oMathPara>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4</m:t>
                    </m:r>
                  </m:sub>
                </m:sSub>
              </m:oMath>
            </m:oMathPara>
          </w:p>
        </w:tc>
        <w:tc>
          <w:tcPr>
            <w:tcW w:w="1134" w:type="dxa"/>
          </w:tcPr>
          <w:p w14:paraId="62FA4B70"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0,48</w:t>
            </w:r>
          </w:p>
        </w:tc>
        <w:tc>
          <w:tcPr>
            <w:tcW w:w="1134" w:type="dxa"/>
          </w:tcPr>
          <w:p w14:paraId="372CF861"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0,48</w:t>
            </w:r>
          </w:p>
        </w:tc>
        <w:tc>
          <w:tcPr>
            <w:tcW w:w="1134" w:type="dxa"/>
          </w:tcPr>
          <w:p w14:paraId="53418245"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0,48</w:t>
            </w:r>
          </w:p>
        </w:tc>
        <w:tc>
          <w:tcPr>
            <w:tcW w:w="1701" w:type="dxa"/>
          </w:tcPr>
          <w:p w14:paraId="132F7386" w14:textId="77777777" w:rsidR="00271FA2" w:rsidRPr="004224F6" w:rsidRDefault="00D35E51">
            <w:pPr>
              <w:tabs>
                <w:tab w:val="left" w:pos="288"/>
                <w:tab w:val="left" w:pos="1800"/>
                <w:tab w:val="left" w:pos="2880"/>
                <w:tab w:val="left" w:pos="3816"/>
                <w:tab w:val="left" w:pos="5112"/>
              </w:tabs>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w:t>
            </w:r>
          </w:p>
        </w:tc>
      </w:tr>
      <w:tr w:rsidR="00271FA2" w:rsidRPr="004224F6" w14:paraId="62DC3898" w14:textId="77777777">
        <w:trPr>
          <w:jc w:val="center"/>
        </w:trPr>
        <w:tc>
          <w:tcPr>
            <w:tcW w:w="1134" w:type="dxa"/>
          </w:tcPr>
          <w:p w14:paraId="3CB65675" w14:textId="77777777" w:rsidR="00271FA2" w:rsidRPr="004224F6" w:rsidRDefault="002C62EC">
            <w:pPr>
              <w:tabs>
                <w:tab w:val="left" w:pos="288"/>
                <w:tab w:val="left" w:pos="1800"/>
                <w:tab w:val="left" w:pos="2880"/>
                <w:tab w:val="left" w:pos="3816"/>
                <w:tab w:val="left" w:pos="5112"/>
              </w:tabs>
              <w:overflowPunct w:val="0"/>
              <w:adjustRightInd w:val="0"/>
              <w:spacing w:line="240" w:lineRule="atLeast"/>
              <w:ind w:left="113" w:right="113"/>
              <w:textAlignment w:val="baseline"/>
              <w:rPr>
                <w:rFonts w:ascii="Times New Roman" w:hAnsi="Times New Roman" w:cs="Times New Roman"/>
                <w:sz w:val="18"/>
                <w:szCs w:val="18"/>
              </w:rPr>
            </w:pPr>
            <m:oMathPara>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6</m:t>
                    </m:r>
                  </m:sub>
                </m:sSub>
              </m:oMath>
            </m:oMathPara>
          </w:p>
        </w:tc>
        <w:tc>
          <w:tcPr>
            <w:tcW w:w="1134" w:type="dxa"/>
          </w:tcPr>
          <w:p w14:paraId="3A1F9973"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0,90</w:t>
            </w:r>
          </w:p>
        </w:tc>
        <w:tc>
          <w:tcPr>
            <w:tcW w:w="1134" w:type="dxa"/>
          </w:tcPr>
          <w:p w14:paraId="694EAD89"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0,85</w:t>
            </w:r>
          </w:p>
        </w:tc>
        <w:tc>
          <w:tcPr>
            <w:tcW w:w="1134" w:type="dxa"/>
          </w:tcPr>
          <w:p w14:paraId="0A645C08"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0,80</w:t>
            </w:r>
          </w:p>
        </w:tc>
        <w:tc>
          <w:tcPr>
            <w:tcW w:w="1701" w:type="dxa"/>
          </w:tcPr>
          <w:p w14:paraId="472B4AAA" w14:textId="77777777" w:rsidR="00271FA2" w:rsidRPr="004224F6" w:rsidRDefault="00D35E51">
            <w:pPr>
              <w:tabs>
                <w:tab w:val="left" w:pos="288"/>
                <w:tab w:val="left" w:pos="1800"/>
                <w:tab w:val="left" w:pos="2880"/>
                <w:tab w:val="left" w:pos="3816"/>
                <w:tab w:val="left" w:pos="5112"/>
              </w:tabs>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w:t>
            </w:r>
          </w:p>
        </w:tc>
      </w:tr>
      <w:tr w:rsidR="00271FA2" w:rsidRPr="004224F6" w14:paraId="3E9B9A5E" w14:textId="77777777">
        <w:trPr>
          <w:jc w:val="center"/>
        </w:trPr>
        <w:tc>
          <w:tcPr>
            <w:tcW w:w="1134" w:type="dxa"/>
          </w:tcPr>
          <w:p w14:paraId="3573FB15" w14:textId="77777777" w:rsidR="00271FA2" w:rsidRPr="004224F6" w:rsidRDefault="002C62EC">
            <w:pPr>
              <w:tabs>
                <w:tab w:val="left" w:pos="288"/>
                <w:tab w:val="left" w:pos="1800"/>
                <w:tab w:val="left" w:pos="2880"/>
                <w:tab w:val="left" w:pos="3816"/>
                <w:tab w:val="left" w:pos="5112"/>
              </w:tabs>
              <w:overflowPunct w:val="0"/>
              <w:adjustRightInd w:val="0"/>
              <w:spacing w:line="240" w:lineRule="atLeast"/>
              <w:ind w:left="113" w:right="113"/>
              <w:textAlignment w:val="baseline"/>
              <w:rPr>
                <w:rFonts w:ascii="Times New Roman" w:hAnsi="Times New Roman" w:cs="Times New Roman"/>
                <w:sz w:val="18"/>
                <w:szCs w:val="18"/>
              </w:rPr>
            </w:pPr>
            <m:oMathPara>
              <m:oMath>
                <m:sSub>
                  <m:sSubPr>
                    <m:ctrlPr>
                      <w:rPr>
                        <w:rFonts w:ascii="Cambria Math" w:hAnsi="Cambria Math" w:cs="Times New Roman"/>
                        <w:i/>
                        <w:szCs w:val="20"/>
                      </w:rPr>
                    </m:ctrlPr>
                  </m:sSubPr>
                  <m:e>
                    <m:r>
                      <w:rPr>
                        <w:rFonts w:ascii="Cambria Math" w:hAnsi="Cambria Math" w:cs="Times New Roman"/>
                        <w:szCs w:val="20"/>
                      </w:rPr>
                      <m:t>k</m:t>
                    </m:r>
                  </m:e>
                  <m:sub>
                    <m:r>
                      <w:rPr>
                        <w:rFonts w:ascii="Cambria Math" w:hAnsi="Cambria Math" w:cs="Times New Roman"/>
                        <w:szCs w:val="20"/>
                      </w:rPr>
                      <m:t>7</m:t>
                    </m:r>
                  </m:sub>
                </m:sSub>
              </m:oMath>
            </m:oMathPara>
          </w:p>
        </w:tc>
        <w:tc>
          <w:tcPr>
            <w:tcW w:w="1134" w:type="dxa"/>
          </w:tcPr>
          <w:p w14:paraId="3D7422A1"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0,58</w:t>
            </w:r>
          </w:p>
        </w:tc>
        <w:tc>
          <w:tcPr>
            <w:tcW w:w="1134" w:type="dxa"/>
          </w:tcPr>
          <w:p w14:paraId="2B6157B3"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0,55</w:t>
            </w:r>
          </w:p>
        </w:tc>
        <w:tc>
          <w:tcPr>
            <w:tcW w:w="1134" w:type="dxa"/>
          </w:tcPr>
          <w:p w14:paraId="506E465E" w14:textId="77777777" w:rsidR="00271FA2" w:rsidRPr="004224F6" w:rsidRDefault="00D35E51">
            <w:pPr>
              <w:tabs>
                <w:tab w:val="decimal" w:pos="454"/>
              </w:tabs>
              <w:overflowPunct w:val="0"/>
              <w:adjustRightInd w:val="0"/>
              <w:spacing w:line="240" w:lineRule="atLeast"/>
              <w:ind w:left="113" w:right="113"/>
              <w:textAlignment w:val="baseline"/>
              <w:rPr>
                <w:rFonts w:ascii="Times New Roman" w:hAnsi="Times New Roman" w:cs="Times New Roman"/>
                <w:sz w:val="18"/>
                <w:szCs w:val="18"/>
              </w:rPr>
            </w:pPr>
            <w:r w:rsidRPr="004224F6">
              <w:rPr>
                <w:rFonts w:ascii="Times New Roman" w:hAnsi="Times New Roman" w:cs="Times New Roman"/>
                <w:sz w:val="18"/>
              </w:rPr>
              <w:t>0,52</w:t>
            </w:r>
          </w:p>
        </w:tc>
        <w:tc>
          <w:tcPr>
            <w:tcW w:w="1701" w:type="dxa"/>
          </w:tcPr>
          <w:p w14:paraId="318E63E8" w14:textId="77777777" w:rsidR="00271FA2" w:rsidRPr="004224F6" w:rsidRDefault="00D35E51">
            <w:pPr>
              <w:tabs>
                <w:tab w:val="left" w:pos="288"/>
                <w:tab w:val="left" w:pos="1800"/>
                <w:tab w:val="left" w:pos="2880"/>
                <w:tab w:val="left" w:pos="3816"/>
                <w:tab w:val="left" w:pos="5112"/>
              </w:tabs>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w:t>
            </w:r>
          </w:p>
        </w:tc>
      </w:tr>
    </w:tbl>
    <w:p w14:paraId="727DCEE1"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b/>
          <w:bCs/>
          <w:szCs w:val="20"/>
          <w:lang w:val="ru-RU"/>
        </w:rPr>
      </w:pPr>
      <w:r w:rsidRPr="004224F6">
        <w:rPr>
          <w:rFonts w:ascii="Times New Roman" w:hAnsi="Times New Roman" w:cs="Times New Roman"/>
          <w:b/>
          <w:lang w:val="ru-RU"/>
        </w:rPr>
        <w:t xml:space="preserve">Таблица 2: Коефициент </w:t>
      </w:r>
      <m:oMath>
        <m:r>
          <m:rPr>
            <m:sty m:val="bi"/>
          </m:rPr>
          <w:rPr>
            <w:rFonts w:ascii="Cambria Math" w:hAnsi="Cambria Math" w:cs="Times New Roman"/>
            <w:szCs w:val="20"/>
          </w:rPr>
          <m:t>f</m:t>
        </m:r>
      </m:oMath>
      <w:r w:rsidRPr="004224F6">
        <w:rPr>
          <w:rFonts w:ascii="Times New Roman" w:hAnsi="Times New Roman" w:cs="Times New Roman"/>
          <w:b/>
          <w:lang w:val="ru-RU"/>
        </w:rPr>
        <w:t xml:space="preserve"> за съотношението между теглителното усилие върху кнехта на заден ход и мощността на задвижващите двигатели</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649"/>
        <w:gridCol w:w="1247"/>
        <w:gridCol w:w="1247"/>
      </w:tblGrid>
      <w:tr w:rsidR="00271FA2" w:rsidRPr="004224F6" w14:paraId="09367C0D" w14:textId="77777777">
        <w:trPr>
          <w:jc w:val="center"/>
        </w:trPr>
        <w:tc>
          <w:tcPr>
            <w:tcW w:w="4649" w:type="dxa"/>
          </w:tcPr>
          <w:p w14:paraId="5F76798F" w14:textId="77777777" w:rsidR="00271FA2" w:rsidRPr="004224F6" w:rsidRDefault="00D35E51">
            <w:pPr>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Задвижваща система</w:t>
            </w:r>
          </w:p>
        </w:tc>
        <w:tc>
          <w:tcPr>
            <w:tcW w:w="1247" w:type="dxa"/>
          </w:tcPr>
          <w:p w14:paraId="5F224B79" w14:textId="77777777" w:rsidR="00271FA2" w:rsidRPr="004224F6" w:rsidRDefault="00D35E51">
            <w:pPr>
              <w:tabs>
                <w:tab w:val="left" w:pos="567"/>
              </w:tabs>
              <w:overflowPunct w:val="0"/>
              <w:adjustRightInd w:val="0"/>
              <w:spacing w:line="240" w:lineRule="atLeast"/>
              <w:ind w:left="113" w:right="113"/>
              <w:jc w:val="center"/>
              <w:textAlignment w:val="baseline"/>
              <w:rPr>
                <w:rFonts w:ascii="Times New Roman" w:hAnsi="Times New Roman" w:cs="Times New Roman"/>
                <w:sz w:val="18"/>
                <w:szCs w:val="18"/>
              </w:rPr>
            </w:pPr>
            <m:oMathPara>
              <m:oMath>
                <m:r>
                  <w:rPr>
                    <w:rFonts w:ascii="Cambria Math" w:hAnsi="Cambria Math" w:cs="Times New Roman"/>
                    <w:sz w:val="18"/>
                    <w:szCs w:val="18"/>
                  </w:rPr>
                  <m:t>f</m:t>
                </m:r>
              </m:oMath>
            </m:oMathPara>
          </w:p>
        </w:tc>
        <w:tc>
          <w:tcPr>
            <w:tcW w:w="1247" w:type="dxa"/>
          </w:tcPr>
          <w:p w14:paraId="41B649B5" w14:textId="77777777" w:rsidR="00271FA2" w:rsidRPr="004224F6" w:rsidRDefault="00D35E51">
            <w:pPr>
              <w:overflowPunct w:val="0"/>
              <w:adjustRightInd w:val="0"/>
              <w:spacing w:line="240" w:lineRule="atLeast"/>
              <w:ind w:left="113" w:right="113"/>
              <w:jc w:val="center"/>
              <w:textAlignment w:val="baseline"/>
              <w:rPr>
                <w:rFonts w:ascii="Times New Roman" w:hAnsi="Times New Roman" w:cs="Times New Roman"/>
                <w:sz w:val="18"/>
                <w:szCs w:val="18"/>
              </w:rPr>
            </w:pPr>
            <w:r w:rsidRPr="004224F6">
              <w:rPr>
                <w:rFonts w:ascii="Times New Roman" w:hAnsi="Times New Roman" w:cs="Times New Roman"/>
                <w:sz w:val="18"/>
              </w:rPr>
              <w:t>Единици</w:t>
            </w:r>
          </w:p>
        </w:tc>
      </w:tr>
      <w:tr w:rsidR="00271FA2" w:rsidRPr="004224F6" w14:paraId="10643640" w14:textId="77777777">
        <w:trPr>
          <w:jc w:val="center"/>
        </w:trPr>
        <w:tc>
          <w:tcPr>
            <w:tcW w:w="4649" w:type="dxa"/>
          </w:tcPr>
          <w:p w14:paraId="0A41A34B"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lang w:val="ru-RU"/>
              </w:rPr>
            </w:pPr>
            <w:r w:rsidRPr="004224F6">
              <w:rPr>
                <w:rFonts w:ascii="Times New Roman" w:hAnsi="Times New Roman" w:cs="Times New Roman"/>
                <w:sz w:val="18"/>
                <w:lang w:val="ru-RU"/>
              </w:rPr>
              <w:t>Съвременни дюзи със заоблен заден ръб</w:t>
            </w:r>
          </w:p>
        </w:tc>
        <w:tc>
          <w:tcPr>
            <w:tcW w:w="1247" w:type="dxa"/>
          </w:tcPr>
          <w:p w14:paraId="132219F0" w14:textId="77777777" w:rsidR="00271FA2" w:rsidRPr="004224F6" w:rsidRDefault="00D35E51">
            <w:pPr>
              <w:tabs>
                <w:tab w:val="decimal" w:pos="454"/>
              </w:tabs>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0,118</w:t>
            </w:r>
          </w:p>
        </w:tc>
        <w:tc>
          <w:tcPr>
            <w:tcW w:w="1247" w:type="dxa"/>
          </w:tcPr>
          <w:p w14:paraId="1E49CDAD"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kN/kW</w:t>
            </w:r>
          </w:p>
        </w:tc>
      </w:tr>
      <w:tr w:rsidR="00271FA2" w:rsidRPr="004224F6" w14:paraId="62A4FCC3" w14:textId="77777777">
        <w:trPr>
          <w:jc w:val="center"/>
        </w:trPr>
        <w:tc>
          <w:tcPr>
            <w:tcW w:w="4649" w:type="dxa"/>
          </w:tcPr>
          <w:p w14:paraId="6F81E4E7"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lang w:val="ru-RU"/>
              </w:rPr>
            </w:pPr>
            <w:r w:rsidRPr="004224F6">
              <w:rPr>
                <w:rFonts w:ascii="Times New Roman" w:hAnsi="Times New Roman" w:cs="Times New Roman"/>
                <w:sz w:val="18"/>
                <w:lang w:val="ru-RU"/>
              </w:rPr>
              <w:t>Стари дюзи с остър заден ръб</w:t>
            </w:r>
          </w:p>
        </w:tc>
        <w:tc>
          <w:tcPr>
            <w:tcW w:w="1247" w:type="dxa"/>
          </w:tcPr>
          <w:p w14:paraId="65375FD6" w14:textId="77777777" w:rsidR="00271FA2" w:rsidRPr="004224F6" w:rsidRDefault="00D35E51">
            <w:pPr>
              <w:tabs>
                <w:tab w:val="decimal" w:pos="454"/>
              </w:tabs>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0,112</w:t>
            </w:r>
          </w:p>
        </w:tc>
        <w:tc>
          <w:tcPr>
            <w:tcW w:w="1247" w:type="dxa"/>
          </w:tcPr>
          <w:p w14:paraId="18648091"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kN/kW</w:t>
            </w:r>
          </w:p>
        </w:tc>
      </w:tr>
      <w:tr w:rsidR="00271FA2" w:rsidRPr="004224F6" w14:paraId="11B07A92" w14:textId="77777777">
        <w:trPr>
          <w:jc w:val="center"/>
        </w:trPr>
        <w:tc>
          <w:tcPr>
            <w:tcW w:w="4649" w:type="dxa"/>
          </w:tcPr>
          <w:p w14:paraId="6E81A69E"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Винтове без дюзи</w:t>
            </w:r>
          </w:p>
        </w:tc>
        <w:tc>
          <w:tcPr>
            <w:tcW w:w="1247" w:type="dxa"/>
          </w:tcPr>
          <w:p w14:paraId="7EE1FD2C" w14:textId="77777777" w:rsidR="00271FA2" w:rsidRPr="004224F6" w:rsidRDefault="00D35E51">
            <w:pPr>
              <w:tabs>
                <w:tab w:val="decimal" w:pos="454"/>
              </w:tabs>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0,096</w:t>
            </w:r>
          </w:p>
        </w:tc>
        <w:tc>
          <w:tcPr>
            <w:tcW w:w="1247" w:type="dxa"/>
          </w:tcPr>
          <w:p w14:paraId="3EBA71E7"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kN/kW</w:t>
            </w:r>
          </w:p>
        </w:tc>
      </w:tr>
      <w:tr w:rsidR="00271FA2" w:rsidRPr="004224F6" w14:paraId="3AA854E6" w14:textId="77777777">
        <w:trPr>
          <w:jc w:val="center"/>
        </w:trPr>
        <w:tc>
          <w:tcPr>
            <w:tcW w:w="4649" w:type="dxa"/>
          </w:tcPr>
          <w:p w14:paraId="3A5AE9BD"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lang w:val="ru-RU"/>
              </w:rPr>
            </w:pPr>
            <w:r w:rsidRPr="004224F6">
              <w:rPr>
                <w:rFonts w:ascii="Times New Roman" w:hAnsi="Times New Roman" w:cs="Times New Roman"/>
                <w:sz w:val="18"/>
                <w:lang w:val="ru-RU"/>
              </w:rPr>
              <w:t>Винто-рулеви колони с дюзи (обикновено остър заден ръб)</w:t>
            </w:r>
          </w:p>
        </w:tc>
        <w:tc>
          <w:tcPr>
            <w:tcW w:w="1247" w:type="dxa"/>
          </w:tcPr>
          <w:p w14:paraId="4CC5C210" w14:textId="77777777" w:rsidR="00271FA2" w:rsidRPr="004224F6" w:rsidRDefault="00D35E51">
            <w:pPr>
              <w:tabs>
                <w:tab w:val="decimal" w:pos="454"/>
              </w:tabs>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0,157</w:t>
            </w:r>
          </w:p>
        </w:tc>
        <w:tc>
          <w:tcPr>
            <w:tcW w:w="1247" w:type="dxa"/>
          </w:tcPr>
          <w:p w14:paraId="59B2C7D0"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kN/kW</w:t>
            </w:r>
          </w:p>
        </w:tc>
      </w:tr>
      <w:tr w:rsidR="00271FA2" w:rsidRPr="004224F6" w14:paraId="3229DDEE" w14:textId="77777777">
        <w:trPr>
          <w:jc w:val="center"/>
        </w:trPr>
        <w:tc>
          <w:tcPr>
            <w:tcW w:w="4649" w:type="dxa"/>
          </w:tcPr>
          <w:p w14:paraId="66CDC954"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lang w:val="ru-RU"/>
              </w:rPr>
            </w:pPr>
            <w:r w:rsidRPr="004224F6">
              <w:rPr>
                <w:rFonts w:ascii="Times New Roman" w:hAnsi="Times New Roman" w:cs="Times New Roman"/>
                <w:sz w:val="18"/>
                <w:lang w:val="ru-RU"/>
              </w:rPr>
              <w:t>Винто-рулеви колони без дюзи</w:t>
            </w:r>
          </w:p>
        </w:tc>
        <w:tc>
          <w:tcPr>
            <w:tcW w:w="1247" w:type="dxa"/>
          </w:tcPr>
          <w:p w14:paraId="7FB18A2E" w14:textId="77777777" w:rsidR="00271FA2" w:rsidRPr="004224F6" w:rsidRDefault="00D35E51">
            <w:pPr>
              <w:tabs>
                <w:tab w:val="decimal" w:pos="454"/>
              </w:tabs>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0,113</w:t>
            </w:r>
          </w:p>
        </w:tc>
        <w:tc>
          <w:tcPr>
            <w:tcW w:w="1247" w:type="dxa"/>
          </w:tcPr>
          <w:p w14:paraId="590F11C7" w14:textId="77777777" w:rsidR="00271FA2" w:rsidRPr="004224F6" w:rsidRDefault="00D35E51">
            <w:pPr>
              <w:overflowPunct w:val="0"/>
              <w:adjustRightInd w:val="0"/>
              <w:spacing w:line="240" w:lineRule="atLeast"/>
              <w:ind w:left="113" w:right="113"/>
              <w:jc w:val="both"/>
              <w:textAlignment w:val="baseline"/>
              <w:rPr>
                <w:rFonts w:ascii="Times New Roman" w:hAnsi="Times New Roman" w:cs="Times New Roman"/>
                <w:sz w:val="18"/>
                <w:szCs w:val="18"/>
              </w:rPr>
            </w:pPr>
            <w:r w:rsidRPr="004224F6">
              <w:rPr>
                <w:rFonts w:ascii="Times New Roman" w:hAnsi="Times New Roman" w:cs="Times New Roman"/>
                <w:sz w:val="18"/>
              </w:rPr>
              <w:t>kN/kW</w:t>
            </w:r>
          </w:p>
        </w:tc>
      </w:tr>
    </w:tbl>
    <w:p w14:paraId="0B33B6C0" w14:textId="77777777" w:rsidR="00271FA2" w:rsidRPr="004224F6" w:rsidRDefault="00271FA2">
      <w:pPr>
        <w:tabs>
          <w:tab w:val="left" w:pos="504"/>
          <w:tab w:val="left" w:pos="1344"/>
          <w:tab w:val="left" w:pos="3384"/>
          <w:tab w:val="left" w:pos="6264"/>
          <w:tab w:val="left" w:pos="7416"/>
        </w:tabs>
        <w:overflowPunct w:val="0"/>
        <w:adjustRightInd w:val="0"/>
        <w:spacing w:line="240" w:lineRule="atLeast"/>
        <w:jc w:val="both"/>
        <w:textAlignment w:val="baseline"/>
        <w:rPr>
          <w:rFonts w:ascii="Times New Roman" w:hAnsi="Times New Roman" w:cs="Times New Roman"/>
          <w:szCs w:val="20"/>
        </w:rPr>
      </w:pPr>
    </w:p>
    <w:p w14:paraId="59F69B92" w14:textId="77777777" w:rsidR="00271FA2" w:rsidRPr="004224F6" w:rsidRDefault="00271FA2">
      <w:pPr>
        <w:tabs>
          <w:tab w:val="left" w:pos="960"/>
          <w:tab w:val="left" w:pos="1344"/>
          <w:tab w:val="left" w:pos="7680"/>
        </w:tabs>
        <w:overflowPunct w:val="0"/>
        <w:adjustRightInd w:val="0"/>
        <w:spacing w:line="240" w:lineRule="atLeast"/>
        <w:textAlignment w:val="baseline"/>
        <w:rPr>
          <w:rFonts w:ascii="Times New Roman" w:hAnsi="Times New Roman" w:cs="Times New Roman"/>
          <w:szCs w:val="20"/>
        </w:rPr>
      </w:pPr>
    </w:p>
    <w:p w14:paraId="64BB163D" w14:textId="77777777" w:rsidR="00271FA2" w:rsidRPr="004224F6" w:rsidRDefault="00271FA2">
      <w:pPr>
        <w:tabs>
          <w:tab w:val="left" w:pos="960"/>
          <w:tab w:val="left" w:pos="1344"/>
          <w:tab w:val="left" w:pos="7680"/>
        </w:tabs>
        <w:overflowPunct w:val="0"/>
        <w:adjustRightInd w:val="0"/>
        <w:spacing w:line="240" w:lineRule="atLeast"/>
        <w:textAlignment w:val="baseline"/>
        <w:rPr>
          <w:rFonts w:ascii="Times New Roman" w:hAnsi="Times New Roman" w:cs="Times New Roman"/>
          <w:szCs w:val="20"/>
        </w:rPr>
      </w:pPr>
    </w:p>
    <w:p w14:paraId="78511911" w14:textId="77777777" w:rsidR="00271FA2" w:rsidRPr="004224F6" w:rsidRDefault="00D35E51">
      <w:pPr>
        <w:tabs>
          <w:tab w:val="left" w:pos="960"/>
          <w:tab w:val="left" w:pos="1344"/>
          <w:tab w:val="left" w:pos="7680"/>
        </w:tabs>
        <w:overflowPunct w:val="0"/>
        <w:adjustRightInd w:val="0"/>
        <w:spacing w:line="240" w:lineRule="atLeast"/>
        <w:jc w:val="center"/>
        <w:textAlignment w:val="baseline"/>
        <w:rPr>
          <w:rFonts w:ascii="Times New Roman" w:hAnsi="Times New Roman" w:cs="Times New Roman"/>
          <w:szCs w:val="20"/>
        </w:rPr>
      </w:pPr>
      <w:r w:rsidRPr="004224F6">
        <w:rPr>
          <w:rFonts w:ascii="Times New Roman" w:hAnsi="Times New Roman" w:cs="Times New Roman"/>
        </w:rPr>
        <w:br w:type="page"/>
      </w:r>
    </w:p>
    <w:p w14:paraId="5A3BAB7E" w14:textId="77777777" w:rsidR="00271FA2" w:rsidRPr="004224F6" w:rsidRDefault="00D35E51">
      <w:pPr>
        <w:tabs>
          <w:tab w:val="left" w:pos="284"/>
        </w:tabs>
        <w:overflowPunct w:val="0"/>
        <w:adjustRightInd w:val="0"/>
        <w:spacing w:line="240" w:lineRule="atLeast"/>
        <w:ind w:left="567"/>
        <w:textAlignment w:val="baseline"/>
        <w:rPr>
          <w:rFonts w:ascii="Times New Roman" w:hAnsi="Times New Roman" w:cs="Times New Roman"/>
          <w:szCs w:val="20"/>
          <w:lang w:val="ru-RU"/>
        </w:rPr>
      </w:pPr>
      <w:r w:rsidRPr="004224F6">
        <w:rPr>
          <w:rFonts w:ascii="Times New Roman" w:hAnsi="Times New Roman" w:cs="Times New Roman"/>
          <w:b/>
          <w:lang w:val="ru-RU"/>
        </w:rPr>
        <w:lastRenderedPageBreak/>
        <w:t xml:space="preserve">Таблица 3: Диаграма относно изчисляването на съпротивлението за определяне на стойността на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lang w:val="ru-RU"/>
          </w:rPr>
          <m:t>/</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oMath>
      <w:r w:rsidRPr="004224F6">
        <w:rPr>
          <w:rFonts w:ascii="Times New Roman" w:hAnsi="Times New Roman" w:cs="Times New Roman"/>
          <w:b/>
          <w:lang w:val="ru-RU"/>
        </w:rPr>
        <w:t xml:space="preserve"> по отношение на </w:t>
      </w:r>
      <m:oMath>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lang w:val="ru-RU"/>
              </w:rPr>
              <m:t>1/3</m:t>
            </m:r>
          </m:sup>
        </m:sSup>
        <m:r>
          <w:rPr>
            <w:rFonts w:ascii="Cambria Math" w:hAnsi="Cambria Math" w:cs="Times New Roman"/>
            <w:lang w:val="ru-RU"/>
          </w:rPr>
          <m:t xml:space="preserve"> </m:t>
        </m:r>
        <m:d>
          <m:dPr>
            <m:begChr m:val="["/>
            <m:endChr m:val="]"/>
            <m:ctrlPr>
              <w:rPr>
                <w:rFonts w:ascii="Cambria Math" w:hAnsi="Cambria Math" w:cs="Times New Roman"/>
                <w:i/>
              </w:rPr>
            </m:ctrlPr>
          </m:dPr>
          <m:e>
            <m:r>
              <w:rPr>
                <w:rFonts w:ascii="Cambria Math" w:hAnsi="Cambria Math" w:cs="Times New Roman"/>
              </w:rPr>
              <m:t>B</m:t>
            </m:r>
            <m:r>
              <w:rPr>
                <w:rFonts w:ascii="Cambria Math" w:hAnsi="Cambria Math" w:cs="Times New Roman"/>
                <w:lang w:val="ru-RU"/>
              </w:rPr>
              <m:t>+2</m:t>
            </m:r>
            <m:r>
              <w:rPr>
                <w:rFonts w:ascii="Cambria Math" w:hAnsi="Cambria Math" w:cs="Times New Roman"/>
              </w:rPr>
              <m:t>T</m:t>
            </m:r>
          </m:e>
        </m:d>
      </m:oMath>
      <w:r w:rsidRPr="004224F6">
        <w:rPr>
          <w:rFonts w:ascii="Times New Roman" w:hAnsi="Times New Roman" w:cs="Times New Roman"/>
          <w:b/>
          <w:lang w:val="ru-RU"/>
        </w:rPr>
        <w:t>:</w:t>
      </w:r>
    </w:p>
    <w:p w14:paraId="3E2EE69A" w14:textId="77777777" w:rsidR="00271FA2" w:rsidRPr="004224F6" w:rsidRDefault="00D35E51">
      <w:pPr>
        <w:framePr w:hSpace="141" w:wrap="around" w:vAnchor="text" w:hAnchor="page" w:x="2380" w:y="426"/>
        <w:overflowPunct w:val="0"/>
        <w:adjustRightInd w:val="0"/>
        <w:spacing w:line="240" w:lineRule="atLeast"/>
        <w:textAlignment w:val="baseline"/>
        <w:rPr>
          <w:rFonts w:ascii="Times New Roman" w:hAnsi="Times New Roman" w:cs="Times New Roman"/>
          <w:szCs w:val="20"/>
        </w:rPr>
      </w:pPr>
      <w:r w:rsidRPr="004224F6">
        <w:rPr>
          <w:rFonts w:ascii="Times New Roman" w:hAnsi="Times New Roman" w:cs="Times New Roman"/>
          <w:noProof/>
          <w:szCs w:val="20"/>
          <w:lang w:eastAsia="bg-BG"/>
        </w:rPr>
        <w:drawing>
          <wp:inline distT="0" distB="0" distL="0" distR="0" wp14:anchorId="69D01E21" wp14:editId="7020BC9D">
            <wp:extent cx="4686300" cy="6819900"/>
            <wp:effectExtent l="0" t="0" r="0" b="0"/>
            <wp:docPr id="300"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 30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a:xfrm>
                      <a:off x="0" y="0"/>
                      <a:ext cx="4686300" cy="6819900"/>
                    </a:xfrm>
                    <a:prstGeom prst="rect">
                      <a:avLst/>
                    </a:prstGeom>
                    <a:noFill/>
                    <a:ln>
                      <a:noFill/>
                    </a:ln>
                  </pic:spPr>
                </pic:pic>
              </a:graphicData>
            </a:graphic>
          </wp:inline>
        </w:drawing>
      </w:r>
    </w:p>
    <w:p w14:paraId="28517604" w14:textId="77777777" w:rsidR="00271FA2" w:rsidRPr="004224F6" w:rsidRDefault="002C62EC">
      <w:pPr>
        <w:framePr w:w="628" w:h="391" w:hSpace="141" w:wrap="around" w:vAnchor="text" w:hAnchor="page" w:x="1780" w:y="471"/>
        <w:overflowPunct w:val="0"/>
        <w:adjustRightInd w:val="0"/>
        <w:spacing w:line="240" w:lineRule="atLeast"/>
        <w:textAlignment w:val="baseline"/>
        <w:rPr>
          <w:rFonts w:ascii="Times New Roman" w:hAnsi="Times New Roman" w:cs="Times New Roman"/>
          <w:szCs w:val="20"/>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oMath>
      </m:oMathPara>
    </w:p>
    <w:p w14:paraId="582949A6" w14:textId="77777777" w:rsidR="00271FA2" w:rsidRPr="004224F6" w:rsidRDefault="00D35E51">
      <w:pPr>
        <w:tabs>
          <w:tab w:val="left" w:pos="960"/>
          <w:tab w:val="left" w:pos="1344"/>
          <w:tab w:val="left" w:pos="7680"/>
        </w:tabs>
        <w:overflowPunct w:val="0"/>
        <w:adjustRightInd w:val="0"/>
        <w:spacing w:line="240" w:lineRule="atLeast"/>
        <w:jc w:val="right"/>
        <w:textAlignment w:val="baseline"/>
        <w:rPr>
          <w:rFonts w:ascii="Times New Roman" w:hAnsi="Times New Roman" w:cs="Times New Roman"/>
          <w:szCs w:val="20"/>
        </w:rPr>
      </w:pPr>
      <w:r w:rsidRPr="004224F6">
        <w:rPr>
          <w:rFonts w:ascii="Times New Roman" w:hAnsi="Times New Roman" w:cs="Times New Roman"/>
          <w:noProof/>
          <w:szCs w:val="20"/>
          <w:lang w:eastAsia="bg-BG"/>
        </w:rPr>
        <mc:AlternateContent>
          <mc:Choice Requires="wps">
            <w:drawing>
              <wp:anchor distT="0" distB="0" distL="114300" distR="114300" simplePos="0" relativeHeight="251681792" behindDoc="1" locked="0" layoutInCell="1" allowOverlap="1" wp14:anchorId="32F0D111" wp14:editId="5B9140BB">
                <wp:simplePos x="0" y="0"/>
                <wp:positionH relativeFrom="column">
                  <wp:posOffset>-304165</wp:posOffset>
                </wp:positionH>
                <wp:positionV relativeFrom="paragraph">
                  <wp:posOffset>851535</wp:posOffset>
                </wp:positionV>
                <wp:extent cx="1009015" cy="517525"/>
                <wp:effectExtent l="0" t="0" r="0" b="0"/>
                <wp:wrapNone/>
                <wp:docPr id="7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517525"/>
                        </a:xfrm>
                        <a:prstGeom prst="rect">
                          <a:avLst/>
                        </a:prstGeom>
                        <a:solidFill>
                          <a:srgbClr val="FFFFFF"/>
                        </a:solidFill>
                        <a:ln>
                          <a:noFill/>
                        </a:ln>
                      </wps:spPr>
                      <wps:txbx>
                        <w:txbxContent>
                          <w:p w14:paraId="69CB0C29" w14:textId="77777777" w:rsidR="005551B9" w:rsidRDefault="002C62EC">
                            <w:pPr>
                              <w:tabs>
                                <w:tab w:val="left" w:pos="960"/>
                                <w:tab w:val="left" w:pos="1344"/>
                                <w:tab w:val="left" w:pos="7680"/>
                              </w:tabs>
                              <w:overflowPunct w:val="0"/>
                              <w:adjustRightInd w:val="0"/>
                              <w:spacing w:line="240" w:lineRule="atLeast"/>
                              <w:textAlignment w:val="baseline"/>
                            </w:pPr>
                            <m:oMathPara>
                              <m:oMath>
                                <m:d>
                                  <m:dPr>
                                    <m:begChr m:val="["/>
                                    <m:endChr m:val="]"/>
                                    <m:ctrlPr>
                                      <w:rPr>
                                        <w:rFonts w:ascii="Cambria Math" w:hAnsi="Cambria Math"/>
                                        <w:i/>
                                        <w:szCs w:val="20"/>
                                      </w:rPr>
                                    </m:ctrlPr>
                                  </m:dPr>
                                  <m:e>
                                    <m:f>
                                      <m:fPr>
                                        <m:ctrlPr>
                                          <w:rPr>
                                            <w:rFonts w:ascii="Cambria Math" w:hAnsi="Cambria Math"/>
                                            <w:i/>
                                            <w:szCs w:val="20"/>
                                          </w:rPr>
                                        </m:ctrlPr>
                                      </m:fPr>
                                      <m:num>
                                        <m:r>
                                          <w:rPr>
                                            <w:rFonts w:ascii="Cambria Math" w:hAnsi="Cambria Math"/>
                                            <w:szCs w:val="20"/>
                                          </w:rPr>
                                          <m:t xml:space="preserve">kN ∙ </m:t>
                                        </m:r>
                                        <m:sSup>
                                          <m:sSupPr>
                                            <m:ctrlPr>
                                              <w:rPr>
                                                <w:rFonts w:ascii="Cambria Math" w:hAnsi="Cambria Math"/>
                                                <w:i/>
                                                <w:szCs w:val="20"/>
                                              </w:rPr>
                                            </m:ctrlPr>
                                          </m:sSupPr>
                                          <m:e>
                                            <m:r>
                                              <w:rPr>
                                                <w:rFonts w:ascii="Cambria Math" w:hAnsi="Cambria Math"/>
                                                <w:szCs w:val="20"/>
                                              </w:rPr>
                                              <m:t>s</m:t>
                                            </m:r>
                                          </m:e>
                                          <m:sup>
                                            <m:r>
                                              <w:rPr>
                                                <w:rFonts w:ascii="Cambria Math" w:hAnsi="Cambria Math"/>
                                                <w:szCs w:val="20"/>
                                              </w:rPr>
                                              <m:t>2</m:t>
                                            </m:r>
                                          </m:sup>
                                        </m:sSup>
                                        <m:r>
                                          <w:rPr>
                                            <w:rFonts w:ascii="Cambria Math" w:hAnsi="Cambria Math"/>
                                            <w:szCs w:val="20"/>
                                          </w:rPr>
                                          <m:t xml:space="preserve"> </m:t>
                                        </m:r>
                                      </m:num>
                                      <m:den>
                                        <m:sSup>
                                          <m:sSupPr>
                                            <m:ctrlPr>
                                              <w:rPr>
                                                <w:rFonts w:ascii="Cambria Math" w:hAnsi="Cambria Math"/>
                                                <w:i/>
                                                <w:szCs w:val="20"/>
                                              </w:rPr>
                                            </m:ctrlPr>
                                          </m:sSupPr>
                                          <m:e>
                                            <m:r>
                                              <w:rPr>
                                                <w:rFonts w:ascii="Cambria Math" w:hAnsi="Cambria Math"/>
                                                <w:szCs w:val="20"/>
                                              </w:rPr>
                                              <m:t>m</m:t>
                                            </m:r>
                                          </m:e>
                                          <m:sup>
                                            <m:r>
                                              <w:rPr>
                                                <w:rFonts w:ascii="Cambria Math" w:hAnsi="Cambria Math"/>
                                                <w:szCs w:val="20"/>
                                              </w:rPr>
                                              <m:t>2</m:t>
                                            </m:r>
                                          </m:sup>
                                        </m:sSup>
                                      </m:den>
                                    </m:f>
                                  </m:e>
                                </m:d>
                              </m:oMath>
                            </m:oMathPara>
                          </w:p>
                        </w:txbxContent>
                      </wps:txbx>
                      <wps:bodyPr rot="0" vert="horz" wrap="square" lIns="91440" tIns="45720" rIns="91440" bIns="45720" anchor="t" anchorCtr="0" upright="1">
                        <a:noAutofit/>
                      </wps:bodyPr>
                    </wps:wsp>
                  </a:graphicData>
                </a:graphic>
              </wp:anchor>
            </w:drawing>
          </mc:Choice>
          <mc:Fallback>
            <w:pict>
              <v:shape w14:anchorId="32F0D111" id="Text Box 122" o:spid="_x0000_s1052" type="#_x0000_t202" style="position:absolute;left:0;text-align:left;margin-left:-23.95pt;margin-top:67.05pt;width:79.45pt;height:40.7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" stroked="f">
                <v:textbox>
                  <w:txbxContent>
                    <w:p w14:paraId="69CB0C29" w14:textId="77777777" w:rsidR="005551B9" w:rsidRDefault="002C62EC">
                      <w:pPr>
                        <w:tabs>
                          <w:tab w:val="left" w:pos="960"/>
                          <w:tab w:val="left" w:pos="1344"/>
                          <w:tab w:val="left" w:pos="7680"/>
                        </w:tabs>
                        <w:overflowPunct w:val="0"/>
                        <w:adjustRightInd w:val="0"/>
                        <w:spacing w:line="240" w:lineRule="atLeast"/>
                        <w:textAlignment w:val="baseline"/>
                      </w:pPr>
                      <m:oMathPara>
                        <m:oMath>
                          <m:d>
                            <m:dPr>
                              <m:begChr m:val="["/>
                              <m:endChr m:val="]"/>
                              <m:ctrlPr>
                                <w:rPr>
                                  <w:rFonts w:ascii="Cambria Math" w:hAnsi="Cambria Math"/>
                                  <w:i/>
                                  <w:szCs w:val="20"/>
                                </w:rPr>
                              </m:ctrlPr>
                            </m:dPr>
                            <m:e>
                              <m:f>
                                <m:fPr>
                                  <m:ctrlPr>
                                    <w:rPr>
                                      <w:rFonts w:ascii="Cambria Math" w:hAnsi="Cambria Math"/>
                                      <w:i/>
                                      <w:szCs w:val="20"/>
                                    </w:rPr>
                                  </m:ctrlPr>
                                </m:fPr>
                                <m:num>
                                  <m:r>
                                    <w:rPr>
                                      <w:rFonts w:ascii="Cambria Math" w:hAnsi="Cambria Math"/>
                                      <w:szCs w:val="20"/>
                                    </w:rPr>
                                    <m:t xml:space="preserve">kN ∙ </m:t>
                                  </m:r>
                                  <m:sSup>
                                    <m:sSupPr>
                                      <m:ctrlPr>
                                        <w:rPr>
                                          <w:rFonts w:ascii="Cambria Math" w:hAnsi="Cambria Math"/>
                                          <w:i/>
                                          <w:szCs w:val="20"/>
                                        </w:rPr>
                                      </m:ctrlPr>
                                    </m:sSupPr>
                                    <m:e>
                                      <m:r>
                                        <w:rPr>
                                          <w:rFonts w:ascii="Cambria Math" w:hAnsi="Cambria Math"/>
                                          <w:szCs w:val="20"/>
                                        </w:rPr>
                                        <m:t>s</m:t>
                                      </m:r>
                                    </m:e>
                                    <m:sup>
                                      <m:r>
                                        <w:rPr>
                                          <w:rFonts w:ascii="Cambria Math" w:hAnsi="Cambria Math"/>
                                          <w:szCs w:val="20"/>
                                        </w:rPr>
                                        <m:t>2</m:t>
                                      </m:r>
                                    </m:sup>
                                  </m:sSup>
                                  <m:r>
                                    <w:rPr>
                                      <w:rFonts w:ascii="Cambria Math" w:hAnsi="Cambria Math"/>
                                      <w:szCs w:val="20"/>
                                    </w:rPr>
                                    <m:t xml:space="preserve"> </m:t>
                                  </m:r>
                                </m:num>
                                <m:den>
                                  <m:sSup>
                                    <m:sSupPr>
                                      <m:ctrlPr>
                                        <w:rPr>
                                          <w:rFonts w:ascii="Cambria Math" w:hAnsi="Cambria Math"/>
                                          <w:i/>
                                          <w:szCs w:val="20"/>
                                        </w:rPr>
                                      </m:ctrlPr>
                                    </m:sSupPr>
                                    <m:e>
                                      <m:r>
                                        <w:rPr>
                                          <w:rFonts w:ascii="Cambria Math" w:hAnsi="Cambria Math"/>
                                          <w:szCs w:val="20"/>
                                        </w:rPr>
                                        <m:t>m</m:t>
                                      </m:r>
                                    </m:e>
                                    <m:sup>
                                      <m:r>
                                        <w:rPr>
                                          <w:rFonts w:ascii="Cambria Math" w:hAnsi="Cambria Math"/>
                                          <w:szCs w:val="20"/>
                                        </w:rPr>
                                        <m:t>2</m:t>
                                      </m:r>
                                    </m:sup>
                                  </m:sSup>
                                </m:den>
                              </m:f>
                            </m:e>
                          </m:d>
                        </m:oMath>
                      </m:oMathPara>
                    </w:p>
                  </w:txbxContent>
                </v:textbox>
              </v:shape>
            </w:pict>
          </mc:Fallback>
        </mc:AlternateContent>
      </w:r>
      <m:oMath>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1/3</m:t>
            </m:r>
          </m:sup>
        </m:sSup>
        <m:r>
          <w:rPr>
            <w:rFonts w:ascii="Cambria Math" w:hAnsi="Cambria Math" w:cs="Times New Roman"/>
          </w:rPr>
          <m:t xml:space="preserve"> </m:t>
        </m:r>
        <m:d>
          <m:dPr>
            <m:begChr m:val="["/>
            <m:endChr m:val="]"/>
            <m:ctrlPr>
              <w:rPr>
                <w:rFonts w:ascii="Cambria Math" w:hAnsi="Cambria Math" w:cs="Times New Roman"/>
                <w:i/>
              </w:rPr>
            </m:ctrlPr>
          </m:dPr>
          <m:e>
            <m:r>
              <w:rPr>
                <w:rFonts w:ascii="Cambria Math" w:hAnsi="Cambria Math" w:cs="Times New Roman"/>
              </w:rPr>
              <m:t>B+2T</m:t>
            </m:r>
          </m:e>
        </m:d>
      </m:oMath>
    </w:p>
    <w:p w14:paraId="42FB491C" w14:textId="77777777" w:rsidR="00271FA2" w:rsidRPr="004224F6" w:rsidRDefault="00271FA2">
      <w:pPr>
        <w:spacing w:line="240" w:lineRule="atLeast"/>
        <w:ind w:left="567" w:hanging="567"/>
        <w:rPr>
          <w:rFonts w:ascii="Times New Roman" w:hAnsi="Times New Roman" w:cs="Times New Roman"/>
        </w:rPr>
      </w:pPr>
    </w:p>
    <w:p w14:paraId="3D308EEA" w14:textId="77777777" w:rsidR="00271FA2" w:rsidRPr="004224F6" w:rsidRDefault="00271FA2">
      <w:pPr>
        <w:spacing w:line="240" w:lineRule="atLeast"/>
        <w:ind w:left="567" w:hanging="567"/>
        <w:rPr>
          <w:rFonts w:ascii="Times New Roman" w:hAnsi="Times New Roman" w:cs="Times New Roman"/>
        </w:rPr>
        <w:sectPr w:rsidR="00271FA2" w:rsidRPr="004224F6" w:rsidSect="004224F6">
          <w:headerReference w:type="default" r:id="rId212"/>
          <w:headerReference w:type="first" r:id="rId213"/>
          <w:footerReference w:type="first" r:id="rId214"/>
          <w:pgSz w:w="11907" w:h="16840"/>
          <w:pgMar w:top="1134" w:right="1134" w:bottom="1134" w:left="1134" w:header="709" w:footer="709" w:gutter="0"/>
          <w:cols w:space="720"/>
          <w:titlePg/>
          <w:docGrid w:linePitch="299"/>
        </w:sectPr>
      </w:pPr>
    </w:p>
    <w:p w14:paraId="0AE77563" w14:textId="77777777" w:rsidR="00271FA2" w:rsidRPr="004224F6" w:rsidRDefault="00D35E51" w:rsidP="00605A3E">
      <w:pPr>
        <w:pStyle w:val="ES-Titre4"/>
        <w:spacing w:after="0"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lastRenderedPageBreak/>
        <w:t xml:space="preserve">Допълнение към Приложение 2 към Инструкция </w:t>
      </w:r>
      <w:r w:rsidRPr="004224F6">
        <w:rPr>
          <w:rFonts w:ascii="Times New Roman" w:hAnsi="Times New Roman" w:cs="Times New Roman"/>
          <w:sz w:val="24"/>
          <w:szCs w:val="24"/>
        </w:rPr>
        <w:t>ESI</w:t>
      </w:r>
      <w:r w:rsidRPr="004224F6">
        <w:rPr>
          <w:rFonts w:ascii="Times New Roman" w:hAnsi="Times New Roman" w:cs="Times New Roman"/>
          <w:sz w:val="24"/>
          <w:szCs w:val="24"/>
          <w:lang w:val="ru-RU"/>
        </w:rPr>
        <w:t>-</w:t>
      </w:r>
      <w:r w:rsidRPr="004224F6">
        <w:rPr>
          <w:rFonts w:ascii="Times New Roman" w:hAnsi="Times New Roman" w:cs="Times New Roman"/>
          <w:sz w:val="24"/>
          <w:szCs w:val="24"/>
        </w:rPr>
        <w:t>II</w:t>
      </w:r>
      <w:r w:rsidRPr="004224F6">
        <w:rPr>
          <w:rFonts w:ascii="Times New Roman" w:hAnsi="Times New Roman" w:cs="Times New Roman"/>
          <w:sz w:val="24"/>
          <w:szCs w:val="24"/>
          <w:lang w:val="ru-RU"/>
        </w:rPr>
        <w:t>-3</w:t>
      </w:r>
    </w:p>
    <w:p w14:paraId="6C8F0A4A" w14:textId="77777777" w:rsidR="00271FA2" w:rsidRPr="004224F6" w:rsidRDefault="00D35E51" w:rsidP="00605A3E">
      <w:pPr>
        <w:pStyle w:val="ES-Titre4a"/>
        <w:spacing w:after="0"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t xml:space="preserve">Примери за употребата на Приложение 2 </w:t>
      </w:r>
      <w:r w:rsidRPr="004224F6">
        <w:rPr>
          <w:rFonts w:ascii="Times New Roman" w:hAnsi="Times New Roman" w:cs="Times New Roman"/>
          <w:sz w:val="24"/>
          <w:szCs w:val="24"/>
          <w:lang w:val="ru-RU"/>
        </w:rPr>
        <w:br/>
        <w:t>(Оценка на резултатите от маневрата за спиране)</w:t>
      </w:r>
    </w:p>
    <w:p w14:paraId="468AA2FB" w14:textId="77777777" w:rsidR="00271FA2" w:rsidRPr="004224F6" w:rsidRDefault="00D35E51">
      <w:pPr>
        <w:pStyle w:val="ES-Titre4prESIexple"/>
        <w:spacing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t xml:space="preserve">Пример </w:t>
      </w:r>
      <w:r w:rsidRPr="004224F6">
        <w:rPr>
          <w:rFonts w:ascii="Times New Roman" w:hAnsi="Times New Roman" w:cs="Times New Roman"/>
          <w:sz w:val="24"/>
          <w:szCs w:val="24"/>
        </w:rPr>
        <w:t>I</w:t>
      </w:r>
    </w:p>
    <w:p w14:paraId="4F9B58D1"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Данни за плавателните съдове и състава</w:t>
      </w:r>
    </w:p>
    <w:p w14:paraId="15AB1768"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Формирование: обикновен моторен товарен плавателен съд с лихтер (</w:t>
      </w:r>
      <w:r w:rsidRPr="004224F6">
        <w:rPr>
          <w:rFonts w:ascii="Times New Roman" w:hAnsi="Times New Roman" w:cs="Times New Roman"/>
        </w:rPr>
        <w:t>Europa</w:t>
      </w:r>
      <w:r w:rsidRPr="004224F6">
        <w:rPr>
          <w:rFonts w:ascii="Times New Roman" w:hAnsi="Times New Roman" w:cs="Times New Roman"/>
          <w:lang w:val="ru-RU"/>
        </w:rPr>
        <w:t xml:space="preserve"> </w:t>
      </w:r>
      <w:r w:rsidRPr="004224F6">
        <w:rPr>
          <w:rFonts w:ascii="Times New Roman" w:hAnsi="Times New Roman" w:cs="Times New Roman"/>
        </w:rPr>
        <w:t>IIa</w:t>
      </w:r>
      <w:r w:rsidRPr="004224F6">
        <w:rPr>
          <w:rFonts w:ascii="Times New Roman" w:hAnsi="Times New Roman" w:cs="Times New Roman"/>
          <w:lang w:val="ru-RU"/>
        </w:rPr>
        <w:t>), свързани успоредно</w:t>
      </w:r>
    </w:p>
    <w:tbl>
      <w:tblPr>
        <w:tblW w:w="9527" w:type="dxa"/>
        <w:tblInd w:w="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361"/>
        <w:gridCol w:w="1361"/>
        <w:gridCol w:w="1361"/>
        <w:gridCol w:w="1361"/>
        <w:gridCol w:w="1361"/>
        <w:gridCol w:w="1361"/>
        <w:gridCol w:w="1361"/>
      </w:tblGrid>
      <w:tr w:rsidR="00271FA2" w:rsidRPr="004224F6" w14:paraId="0B56044E" w14:textId="77777777">
        <w:tc>
          <w:tcPr>
            <w:tcW w:w="1361" w:type="dxa"/>
          </w:tcPr>
          <w:p w14:paraId="5FAD9D36" w14:textId="77777777" w:rsidR="00271FA2" w:rsidRPr="004224F6" w:rsidRDefault="00271FA2">
            <w:pPr>
              <w:overflowPunct w:val="0"/>
              <w:adjustRightInd w:val="0"/>
              <w:spacing w:line="240" w:lineRule="atLeast"/>
              <w:jc w:val="center"/>
              <w:textAlignment w:val="baseline"/>
              <w:rPr>
                <w:rFonts w:ascii="Times New Roman" w:hAnsi="Times New Roman" w:cs="Times New Roman"/>
                <w:lang w:val="ru-RU"/>
              </w:rPr>
            </w:pPr>
          </w:p>
        </w:tc>
        <w:tc>
          <w:tcPr>
            <w:tcW w:w="1361" w:type="dxa"/>
          </w:tcPr>
          <w:p w14:paraId="227515CF"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L</m:t>
              </m:r>
            </m:oMath>
            <w:r w:rsidRPr="004224F6">
              <w:rPr>
                <w:rFonts w:ascii="Times New Roman" w:hAnsi="Times New Roman" w:cs="Times New Roman"/>
              </w:rPr>
              <w:t xml:space="preserve"> [m]</w:t>
            </w:r>
          </w:p>
        </w:tc>
        <w:tc>
          <w:tcPr>
            <w:tcW w:w="1361" w:type="dxa"/>
          </w:tcPr>
          <w:p w14:paraId="00D25CFA"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B</m:t>
              </m:r>
            </m:oMath>
            <w:r w:rsidRPr="004224F6">
              <w:rPr>
                <w:rFonts w:ascii="Times New Roman" w:hAnsi="Times New Roman" w:cs="Times New Roman"/>
              </w:rPr>
              <w:t xml:space="preserve"> [m]</w:t>
            </w:r>
          </w:p>
        </w:tc>
        <w:tc>
          <w:tcPr>
            <w:tcW w:w="1361" w:type="dxa"/>
          </w:tcPr>
          <w:p w14:paraId="21458DD5"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T</m:t>
              </m:r>
              <m:r>
                <w:rPr>
                  <w:rFonts w:ascii="Cambria Math" w:hAnsi="Cambria Math" w:cs="Times New Roman"/>
                  <w:position w:val="-6"/>
                </w:rPr>
                <m:t>max</m:t>
              </m:r>
            </m:oMath>
            <w:r w:rsidRPr="004224F6">
              <w:rPr>
                <w:rFonts w:ascii="Times New Roman" w:hAnsi="Times New Roman" w:cs="Times New Roman"/>
              </w:rPr>
              <w:t xml:space="preserve"> [m]</w:t>
            </w:r>
          </w:p>
        </w:tc>
        <w:tc>
          <w:tcPr>
            <w:tcW w:w="1361" w:type="dxa"/>
          </w:tcPr>
          <w:p w14:paraId="045EE1E6"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Tgf</m:t>
              </m:r>
              <m:r>
                <w:rPr>
                  <w:rFonts w:ascii="Cambria Math" w:hAnsi="Cambria Math" w:cs="Times New Roman"/>
                  <w:position w:val="6"/>
                </w:rPr>
                <m:t>*</m:t>
              </m:r>
              <m:r>
                <w:rPr>
                  <w:rFonts w:ascii="Cambria Math" w:hAnsi="Cambria Math" w:cs="Times New Roman"/>
                  <w:position w:val="-6"/>
                </w:rPr>
                <m:t>max</m:t>
              </m:r>
            </m:oMath>
            <w:r w:rsidRPr="004224F6">
              <w:rPr>
                <w:rFonts w:ascii="Times New Roman" w:hAnsi="Times New Roman" w:cs="Times New Roman"/>
              </w:rPr>
              <w:t xml:space="preserve"> [t]</w:t>
            </w:r>
          </w:p>
        </w:tc>
        <w:tc>
          <w:tcPr>
            <w:tcW w:w="1361" w:type="dxa"/>
          </w:tcPr>
          <w:p w14:paraId="470CF867"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D</m:t>
              </m:r>
              <m:r>
                <w:rPr>
                  <w:rFonts w:ascii="Cambria Math" w:hAnsi="Cambria Math" w:cs="Times New Roman"/>
                  <w:position w:val="-6"/>
                </w:rPr>
                <m:t>max</m:t>
              </m:r>
            </m:oMath>
            <w:r w:rsidRPr="004224F6">
              <w:rPr>
                <w:rFonts w:ascii="Times New Roman" w:hAnsi="Times New Roman" w:cs="Times New Roman"/>
              </w:rPr>
              <w:t xml:space="preserve"> [m</w:t>
            </w:r>
            <w:r w:rsidRPr="004224F6">
              <w:rPr>
                <w:rFonts w:ascii="Times New Roman" w:hAnsi="Times New Roman" w:cs="Times New Roman"/>
                <w:position w:val="6"/>
              </w:rPr>
              <w:t>3</w:t>
            </w:r>
            <w:r w:rsidRPr="004224F6">
              <w:rPr>
                <w:rFonts w:ascii="Times New Roman" w:hAnsi="Times New Roman" w:cs="Times New Roman"/>
              </w:rPr>
              <w:t>]</w:t>
            </w:r>
          </w:p>
        </w:tc>
        <w:tc>
          <w:tcPr>
            <w:tcW w:w="1361" w:type="dxa"/>
          </w:tcPr>
          <w:p w14:paraId="57A26052"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P</m:t>
              </m:r>
              <m:r>
                <w:rPr>
                  <w:rFonts w:ascii="Cambria Math" w:hAnsi="Cambria Math" w:cs="Times New Roman"/>
                  <w:position w:val="-6"/>
                </w:rPr>
                <m:t>B</m:t>
              </m:r>
            </m:oMath>
            <w:r w:rsidRPr="004224F6">
              <w:rPr>
                <w:rFonts w:ascii="Times New Roman" w:hAnsi="Times New Roman" w:cs="Times New Roman"/>
              </w:rPr>
              <w:t xml:space="preserve"> [kW]</w:t>
            </w:r>
          </w:p>
        </w:tc>
      </w:tr>
      <w:tr w:rsidR="00271FA2" w:rsidRPr="004224F6" w14:paraId="56DD560A" w14:textId="77777777">
        <w:tc>
          <w:tcPr>
            <w:tcW w:w="1361" w:type="dxa"/>
          </w:tcPr>
          <w:p w14:paraId="7DEFE7FE"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w:r w:rsidRPr="004224F6">
              <w:rPr>
                <w:rFonts w:ascii="Times New Roman" w:hAnsi="Times New Roman" w:cs="Times New Roman"/>
              </w:rPr>
              <w:t>Моторен плавателен съд</w:t>
            </w:r>
          </w:p>
        </w:tc>
        <w:tc>
          <w:tcPr>
            <w:tcW w:w="1361" w:type="dxa"/>
          </w:tcPr>
          <w:p w14:paraId="77A3FC4C" w14:textId="77777777" w:rsidR="00271FA2" w:rsidRPr="004224F6" w:rsidRDefault="00D35E51">
            <w:pPr>
              <w:tabs>
                <w:tab w:val="decimal" w:pos="70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110</w:t>
            </w:r>
          </w:p>
        </w:tc>
        <w:tc>
          <w:tcPr>
            <w:tcW w:w="1361" w:type="dxa"/>
          </w:tcPr>
          <w:p w14:paraId="6912E7B8" w14:textId="77777777" w:rsidR="00271FA2" w:rsidRPr="004224F6" w:rsidRDefault="00D35E51">
            <w:pPr>
              <w:tabs>
                <w:tab w:val="decimal" w:pos="70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11,4</w:t>
            </w:r>
          </w:p>
        </w:tc>
        <w:tc>
          <w:tcPr>
            <w:tcW w:w="1361" w:type="dxa"/>
          </w:tcPr>
          <w:p w14:paraId="15505E48" w14:textId="77777777" w:rsidR="00271FA2" w:rsidRPr="004224F6" w:rsidRDefault="00D35E51">
            <w:pPr>
              <w:tabs>
                <w:tab w:val="decimal" w:pos="737"/>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3,5</w:t>
            </w:r>
          </w:p>
        </w:tc>
        <w:tc>
          <w:tcPr>
            <w:tcW w:w="1361" w:type="dxa"/>
          </w:tcPr>
          <w:p w14:paraId="473D9ADE" w14:textId="77777777" w:rsidR="00271FA2" w:rsidRPr="004224F6" w:rsidRDefault="00D35E51">
            <w:pPr>
              <w:tabs>
                <w:tab w:val="decimal" w:pos="84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2900</w:t>
            </w:r>
          </w:p>
        </w:tc>
        <w:tc>
          <w:tcPr>
            <w:tcW w:w="1361" w:type="dxa"/>
          </w:tcPr>
          <w:p w14:paraId="216AFEA8" w14:textId="77777777" w:rsidR="00271FA2" w:rsidRPr="004224F6" w:rsidRDefault="00D35E51">
            <w:pPr>
              <w:tabs>
                <w:tab w:val="decimal" w:pos="990"/>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3731</w:t>
            </w:r>
          </w:p>
        </w:tc>
        <w:tc>
          <w:tcPr>
            <w:tcW w:w="1361" w:type="dxa"/>
          </w:tcPr>
          <w:p w14:paraId="20B83BDD" w14:textId="77777777" w:rsidR="00271FA2" w:rsidRPr="004224F6" w:rsidRDefault="00D35E51">
            <w:pPr>
              <w:tabs>
                <w:tab w:val="decimal" w:pos="84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1500</w:t>
            </w:r>
          </w:p>
        </w:tc>
      </w:tr>
      <w:tr w:rsidR="00271FA2" w:rsidRPr="004224F6" w14:paraId="65AEF5A5" w14:textId="77777777">
        <w:tc>
          <w:tcPr>
            <w:tcW w:w="1361" w:type="dxa"/>
          </w:tcPr>
          <w:p w14:paraId="043AA5CA"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w:r w:rsidRPr="004224F6">
              <w:rPr>
                <w:rFonts w:ascii="Times New Roman" w:hAnsi="Times New Roman" w:cs="Times New Roman"/>
              </w:rPr>
              <w:t>Лихтер</w:t>
            </w:r>
          </w:p>
        </w:tc>
        <w:tc>
          <w:tcPr>
            <w:tcW w:w="1361" w:type="dxa"/>
          </w:tcPr>
          <w:p w14:paraId="58F6D5ED" w14:textId="77777777" w:rsidR="00271FA2" w:rsidRPr="004224F6" w:rsidRDefault="00D35E51">
            <w:pPr>
              <w:tabs>
                <w:tab w:val="decimal" w:pos="70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76,5</w:t>
            </w:r>
          </w:p>
        </w:tc>
        <w:tc>
          <w:tcPr>
            <w:tcW w:w="1361" w:type="dxa"/>
          </w:tcPr>
          <w:p w14:paraId="1079D0FF" w14:textId="77777777" w:rsidR="00271FA2" w:rsidRPr="004224F6" w:rsidRDefault="00D35E51">
            <w:pPr>
              <w:tabs>
                <w:tab w:val="decimal" w:pos="70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11,4</w:t>
            </w:r>
          </w:p>
        </w:tc>
        <w:tc>
          <w:tcPr>
            <w:tcW w:w="1361" w:type="dxa"/>
          </w:tcPr>
          <w:p w14:paraId="2C538FB1" w14:textId="77777777" w:rsidR="00271FA2" w:rsidRPr="004224F6" w:rsidRDefault="00D35E51">
            <w:pPr>
              <w:tabs>
                <w:tab w:val="decimal" w:pos="737"/>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3,7</w:t>
            </w:r>
          </w:p>
        </w:tc>
        <w:tc>
          <w:tcPr>
            <w:tcW w:w="1361" w:type="dxa"/>
          </w:tcPr>
          <w:p w14:paraId="1CBC56F7" w14:textId="77777777" w:rsidR="00271FA2" w:rsidRPr="004224F6" w:rsidRDefault="00D35E51">
            <w:pPr>
              <w:tabs>
                <w:tab w:val="decimal" w:pos="84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2600</w:t>
            </w:r>
          </w:p>
        </w:tc>
        <w:tc>
          <w:tcPr>
            <w:tcW w:w="1361" w:type="dxa"/>
          </w:tcPr>
          <w:p w14:paraId="0060F729" w14:textId="77777777" w:rsidR="00271FA2" w:rsidRPr="004224F6" w:rsidRDefault="00D35E51">
            <w:pPr>
              <w:tabs>
                <w:tab w:val="decimal" w:pos="990"/>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2743</w:t>
            </w:r>
          </w:p>
        </w:tc>
        <w:tc>
          <w:tcPr>
            <w:tcW w:w="1361" w:type="dxa"/>
          </w:tcPr>
          <w:p w14:paraId="22F68091" w14:textId="77777777" w:rsidR="00271FA2" w:rsidRPr="004224F6" w:rsidRDefault="00D35E51">
            <w:pPr>
              <w:tabs>
                <w:tab w:val="decimal" w:pos="198"/>
              </w:tabs>
              <w:overflowPunct w:val="0"/>
              <w:adjustRightInd w:val="0"/>
              <w:spacing w:line="240" w:lineRule="atLeast"/>
              <w:ind w:left="113" w:right="113"/>
              <w:jc w:val="center"/>
              <w:textAlignment w:val="baseline"/>
              <w:rPr>
                <w:rFonts w:ascii="Times New Roman" w:hAnsi="Times New Roman" w:cs="Times New Roman"/>
              </w:rPr>
            </w:pPr>
            <w:r w:rsidRPr="004224F6">
              <w:rPr>
                <w:rFonts w:ascii="Times New Roman" w:hAnsi="Times New Roman" w:cs="Times New Roman"/>
              </w:rPr>
              <w:t>-</w:t>
            </w:r>
          </w:p>
        </w:tc>
      </w:tr>
      <w:tr w:rsidR="00271FA2" w:rsidRPr="004224F6" w14:paraId="4E9CC7D7" w14:textId="77777777">
        <w:tc>
          <w:tcPr>
            <w:tcW w:w="1361" w:type="dxa"/>
          </w:tcPr>
          <w:p w14:paraId="0412A14C"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w:r w:rsidRPr="004224F6">
              <w:rPr>
                <w:rFonts w:ascii="Times New Roman" w:hAnsi="Times New Roman" w:cs="Times New Roman"/>
              </w:rPr>
              <w:t>Състав</w:t>
            </w:r>
          </w:p>
        </w:tc>
        <w:tc>
          <w:tcPr>
            <w:tcW w:w="1361" w:type="dxa"/>
          </w:tcPr>
          <w:p w14:paraId="59C298BB" w14:textId="77777777" w:rsidR="00271FA2" w:rsidRPr="004224F6" w:rsidRDefault="00D35E51">
            <w:pPr>
              <w:tabs>
                <w:tab w:val="decimal" w:pos="70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110</w:t>
            </w:r>
          </w:p>
        </w:tc>
        <w:tc>
          <w:tcPr>
            <w:tcW w:w="1361" w:type="dxa"/>
          </w:tcPr>
          <w:p w14:paraId="196A19A6" w14:textId="77777777" w:rsidR="00271FA2" w:rsidRPr="004224F6" w:rsidRDefault="00D35E51">
            <w:pPr>
              <w:tabs>
                <w:tab w:val="decimal" w:pos="70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22,8</w:t>
            </w:r>
          </w:p>
        </w:tc>
        <w:tc>
          <w:tcPr>
            <w:tcW w:w="1361" w:type="dxa"/>
          </w:tcPr>
          <w:p w14:paraId="1666B55F" w14:textId="77777777" w:rsidR="00271FA2" w:rsidRPr="004224F6" w:rsidRDefault="00D35E51">
            <w:pPr>
              <w:tabs>
                <w:tab w:val="decimal" w:pos="737"/>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3,7</w:t>
            </w:r>
          </w:p>
        </w:tc>
        <w:tc>
          <w:tcPr>
            <w:tcW w:w="1361" w:type="dxa"/>
          </w:tcPr>
          <w:p w14:paraId="7D48BC99" w14:textId="77777777" w:rsidR="00271FA2" w:rsidRPr="004224F6" w:rsidRDefault="00D35E51">
            <w:pPr>
              <w:tabs>
                <w:tab w:val="decimal" w:pos="84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5500</w:t>
            </w:r>
          </w:p>
        </w:tc>
        <w:tc>
          <w:tcPr>
            <w:tcW w:w="1361" w:type="dxa"/>
          </w:tcPr>
          <w:p w14:paraId="6A783789" w14:textId="77777777" w:rsidR="00271FA2" w:rsidRPr="004224F6" w:rsidRDefault="00D35E51">
            <w:pPr>
              <w:tabs>
                <w:tab w:val="decimal" w:pos="990"/>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6474</w:t>
            </w:r>
          </w:p>
        </w:tc>
        <w:tc>
          <w:tcPr>
            <w:tcW w:w="1361" w:type="dxa"/>
          </w:tcPr>
          <w:p w14:paraId="20F769A6" w14:textId="77777777" w:rsidR="00271FA2" w:rsidRPr="004224F6" w:rsidRDefault="00D35E51">
            <w:pPr>
              <w:tabs>
                <w:tab w:val="decimal" w:pos="84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1500</w:t>
            </w:r>
          </w:p>
        </w:tc>
      </w:tr>
    </w:tbl>
    <w:p w14:paraId="6FAB6855" w14:textId="77777777" w:rsidR="00271FA2" w:rsidRPr="004224F6" w:rsidRDefault="00D35E51">
      <w:pPr>
        <w:tabs>
          <w:tab w:val="left" w:pos="960"/>
          <w:tab w:val="left" w:pos="1344"/>
          <w:tab w:val="left" w:pos="7680"/>
        </w:tabs>
        <w:overflowPunct w:val="0"/>
        <w:adjustRightInd w:val="0"/>
        <w:spacing w:line="240" w:lineRule="atLeast"/>
        <w:ind w:left="567" w:hanging="567"/>
        <w:jc w:val="both"/>
        <w:textAlignment w:val="baseline"/>
        <w:rPr>
          <w:rFonts w:ascii="Times New Roman" w:hAnsi="Times New Roman" w:cs="Times New Roman"/>
          <w:lang w:val="ru-RU"/>
        </w:rPr>
      </w:pPr>
      <w:r w:rsidRPr="004224F6">
        <w:rPr>
          <w:rFonts w:ascii="Times New Roman" w:hAnsi="Times New Roman" w:cs="Times New Roman"/>
          <w:lang w:val="ru-RU"/>
        </w:rPr>
        <w:tab/>
        <w:t>Задвижваща система на моторния товарен плавателен съд: Съвременни дюзи със заоблен заден ръб</w:t>
      </w:r>
    </w:p>
    <w:p w14:paraId="1DCE6DEE" w14:textId="77777777" w:rsidR="00271FA2" w:rsidRPr="004224F6" w:rsidRDefault="00D35E51">
      <w:pPr>
        <w:tabs>
          <w:tab w:val="left" w:pos="960"/>
          <w:tab w:val="left" w:pos="1344"/>
          <w:tab w:val="left" w:pos="7680"/>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lang w:val="ru-RU"/>
        </w:rPr>
        <w:tab/>
        <w:t xml:space="preserve">* </w:t>
      </w:r>
      <m:oMath>
        <m:r>
          <w:rPr>
            <w:rFonts w:ascii="Cambria Math" w:hAnsi="Cambria Math" w:cs="Times New Roman"/>
          </w:rPr>
          <m:t>Tgf</m:t>
        </m:r>
      </m:oMath>
      <w:r w:rsidRPr="004224F6">
        <w:rPr>
          <w:rFonts w:ascii="Times New Roman" w:hAnsi="Times New Roman" w:cs="Times New Roman"/>
          <w:lang w:val="ru-RU"/>
        </w:rPr>
        <w:t xml:space="preserve"> = товароподемност.</w:t>
      </w:r>
    </w:p>
    <w:p w14:paraId="135C106A"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Измерени стойности по време на маневрата за спиране</w:t>
      </w:r>
    </w:p>
    <w:p w14:paraId="4DEE7AE3" w14:textId="77777777" w:rsidR="00271FA2" w:rsidRPr="004224F6" w:rsidRDefault="00D35E51">
      <w:pPr>
        <w:tabs>
          <w:tab w:val="left" w:pos="5387"/>
          <w:tab w:val="left" w:pos="6379"/>
          <w:tab w:val="left" w:pos="6663"/>
          <w:tab w:val="left" w:pos="7513"/>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lang w:val="ru-RU"/>
        </w:rPr>
        <w:tab/>
        <w:t>Скорост на течението:</w:t>
      </w:r>
      <w:r w:rsidRPr="004224F6">
        <w:rPr>
          <w:rFonts w:ascii="Times New Roman" w:hAnsi="Times New Roman" w:cs="Times New Roman"/>
          <w:lang w:val="ru-RU"/>
        </w:rPr>
        <w:tab/>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STR</m:t>
                </m:r>
              </m:sub>
            </m:sSub>
          </m:e>
          <m:sub>
            <m:r>
              <w:rPr>
                <w:rFonts w:ascii="Cambria Math" w:hAnsi="Cambria Math" w:cs="Times New Roman"/>
              </w:rPr>
              <m:t>IST</m:t>
            </m:r>
          </m:sub>
        </m:sSub>
      </m:oMath>
      <w:r w:rsidRPr="004224F6">
        <w:rPr>
          <w:rFonts w:ascii="Times New Roman" w:hAnsi="Times New Roman" w:cs="Times New Roman"/>
          <w:lang w:val="ru-RU"/>
        </w:rPr>
        <w:tab/>
        <w:t>=</w:t>
      </w:r>
      <w:r w:rsidRPr="004224F6">
        <w:rPr>
          <w:rFonts w:ascii="Times New Roman" w:hAnsi="Times New Roman" w:cs="Times New Roman"/>
          <w:lang w:val="ru-RU"/>
        </w:rPr>
        <w:tab/>
        <w:t xml:space="preserve">1,4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5,1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p>
    <w:p w14:paraId="50ED4223" w14:textId="77777777" w:rsidR="00271FA2" w:rsidRPr="004224F6" w:rsidRDefault="00D35E51">
      <w:pPr>
        <w:tabs>
          <w:tab w:val="left" w:pos="5387"/>
          <w:tab w:val="left" w:pos="6379"/>
          <w:tab w:val="left" w:pos="6663"/>
          <w:tab w:val="left" w:pos="7513"/>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lang w:val="ru-RU"/>
        </w:rPr>
        <w:tab/>
        <w:t xml:space="preserve">Скорост на плавателния съд (спрямо водата): </w:t>
      </w:r>
      <w:r w:rsidRPr="004224F6">
        <w:rPr>
          <w:rFonts w:ascii="Times New Roman" w:hAnsi="Times New Roman" w:cs="Times New Roman"/>
          <w:lang w:val="ru-RU"/>
        </w:rPr>
        <w:tab/>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m:t>
                </m:r>
              </m:sub>
            </m:sSub>
          </m:e>
          <m:sub>
            <m:r>
              <w:rPr>
                <w:rFonts w:ascii="Cambria Math" w:hAnsi="Cambria Math" w:cs="Times New Roman"/>
              </w:rPr>
              <m:t>IST</m:t>
            </m:r>
          </m:sub>
        </m:sSub>
      </m:oMath>
      <w:r w:rsidRPr="004224F6">
        <w:rPr>
          <w:rFonts w:ascii="Times New Roman" w:hAnsi="Times New Roman" w:cs="Times New Roman"/>
          <w:lang w:val="ru-RU"/>
        </w:rPr>
        <w:tab/>
        <w:t>=</w:t>
      </w:r>
      <w:r w:rsidRPr="004224F6">
        <w:rPr>
          <w:rFonts w:ascii="Times New Roman" w:hAnsi="Times New Roman" w:cs="Times New Roman"/>
          <w:lang w:val="ru-RU"/>
        </w:rPr>
        <w:tab/>
        <w:t xml:space="preserve">3,5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12,5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p>
    <w:p w14:paraId="390F133B" w14:textId="77777777" w:rsidR="00271FA2" w:rsidRPr="004224F6" w:rsidRDefault="00D35E51">
      <w:pPr>
        <w:tabs>
          <w:tab w:val="left" w:pos="5387"/>
          <w:tab w:val="left" w:pos="6379"/>
          <w:tab w:val="left" w:pos="6663"/>
          <w:tab w:val="left" w:pos="7513"/>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lang w:val="ru-RU"/>
        </w:rPr>
        <w:tab/>
        <w:t>Скорост на съда (спрямо брега):</w:t>
      </w:r>
      <w:r w:rsidRPr="004224F6">
        <w:rPr>
          <w:rFonts w:ascii="Times New Roman" w:hAnsi="Times New Roman" w:cs="Times New Roman"/>
          <w:lang w:val="ru-RU"/>
        </w:rPr>
        <w:tab/>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m:t>
                </m:r>
              </m:sub>
            </m:sSub>
          </m:e>
          <m:sub>
            <m:r>
              <w:rPr>
                <w:rFonts w:ascii="Cambria Math" w:hAnsi="Cambria Math" w:cs="Times New Roman"/>
              </w:rPr>
              <m:t>IST</m:t>
            </m:r>
          </m:sub>
        </m:sSub>
      </m:oMath>
      <w:r w:rsidRPr="004224F6">
        <w:rPr>
          <w:rFonts w:ascii="Times New Roman" w:hAnsi="Times New Roman" w:cs="Times New Roman"/>
          <w:lang w:val="ru-RU"/>
        </w:rPr>
        <w:t xml:space="preserve"> </w:t>
      </w:r>
      <w:r w:rsidRPr="004224F6">
        <w:rPr>
          <w:rFonts w:ascii="Times New Roman" w:hAnsi="Times New Roman" w:cs="Times New Roman"/>
          <w:lang w:val="ru-RU"/>
        </w:rPr>
        <w:tab/>
        <w:t>=</w:t>
      </w:r>
      <w:r w:rsidRPr="004224F6">
        <w:rPr>
          <w:rFonts w:ascii="Times New Roman" w:hAnsi="Times New Roman" w:cs="Times New Roman"/>
          <w:lang w:val="ru-RU"/>
        </w:rPr>
        <w:tab/>
        <w:t xml:space="preserve">4,9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17,6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p>
    <w:p w14:paraId="12618219" w14:textId="77777777" w:rsidR="00271FA2" w:rsidRPr="004224F6" w:rsidRDefault="00D35E51">
      <w:pPr>
        <w:tabs>
          <w:tab w:val="left" w:pos="5387"/>
          <w:tab w:val="left" w:pos="6379"/>
          <w:tab w:val="left" w:pos="6663"/>
          <w:tab w:val="left" w:pos="7513"/>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lang w:val="ru-RU"/>
        </w:rPr>
        <w:tab/>
        <w:t xml:space="preserve">Време на заден ход (измерено) (точка </w:t>
      </w:r>
      <m:oMath>
        <m:r>
          <w:rPr>
            <w:rFonts w:ascii="Cambria Math" w:hAnsi="Cambria Math" w:cs="Times New Roman"/>
          </w:rPr>
          <m:t>A</m:t>
        </m:r>
      </m:oMath>
      <w:r w:rsidRPr="004224F6">
        <w:rPr>
          <w:rFonts w:ascii="Times New Roman" w:hAnsi="Times New Roman" w:cs="Times New Roman"/>
          <w:lang w:val="ru-RU"/>
        </w:rPr>
        <w:t xml:space="preserve"> до </w:t>
      </w:r>
      <m:oMath>
        <m:r>
          <w:rPr>
            <w:rFonts w:ascii="Cambria Math" w:hAnsi="Cambria Math" w:cs="Times New Roman"/>
          </w:rPr>
          <m:t>C</m:t>
        </m:r>
      </m:oMath>
      <w:r w:rsidRPr="004224F6">
        <w:rPr>
          <w:rFonts w:ascii="Times New Roman" w:hAnsi="Times New Roman" w:cs="Times New Roman"/>
          <w:lang w:val="ru-RU"/>
        </w:rPr>
        <w:t>):</w:t>
      </w:r>
      <w:r w:rsidRPr="004224F6">
        <w:rPr>
          <w:rFonts w:ascii="Times New Roman" w:hAnsi="Times New Roman" w:cs="Times New Roman"/>
          <w:lang w:val="ru-RU"/>
        </w:rPr>
        <w:tab/>
      </w:r>
      <m:oMath>
        <m:r>
          <w:rPr>
            <w:rFonts w:ascii="Cambria Math" w:hAnsi="Cambria Math" w:cs="Times New Roman"/>
          </w:rPr>
          <m:t>t</m:t>
        </m:r>
        <m:r>
          <w:rPr>
            <w:rFonts w:ascii="Cambria Math" w:hAnsi="Cambria Math" w:cs="Times New Roman"/>
            <w:position w:val="-6"/>
          </w:rPr>
          <m:t>I</m:t>
        </m:r>
      </m:oMath>
      <w:r w:rsidRPr="004224F6">
        <w:rPr>
          <w:rFonts w:ascii="Times New Roman" w:hAnsi="Times New Roman" w:cs="Times New Roman"/>
          <w:lang w:val="ru-RU"/>
        </w:rPr>
        <w:t xml:space="preserve"> </w:t>
      </w:r>
      <w:r w:rsidRPr="004224F6">
        <w:rPr>
          <w:rFonts w:ascii="Times New Roman" w:hAnsi="Times New Roman" w:cs="Times New Roman"/>
          <w:lang w:val="ru-RU"/>
        </w:rPr>
        <w:tab/>
        <w:t>=</w:t>
      </w:r>
      <w:r w:rsidRPr="004224F6">
        <w:rPr>
          <w:rFonts w:ascii="Times New Roman" w:hAnsi="Times New Roman" w:cs="Times New Roman"/>
          <w:lang w:val="ru-RU"/>
        </w:rPr>
        <w:tab/>
        <w:t xml:space="preserve">16 </w:t>
      </w:r>
      <w:r w:rsidRPr="004224F6">
        <w:rPr>
          <w:rFonts w:ascii="Times New Roman" w:hAnsi="Times New Roman" w:cs="Times New Roman"/>
        </w:rPr>
        <w:t>s</w:t>
      </w:r>
    </w:p>
    <w:p w14:paraId="41C8AD62" w14:textId="77777777" w:rsidR="00271FA2" w:rsidRPr="004224F6" w:rsidRDefault="00D35E51">
      <w:pPr>
        <w:tabs>
          <w:tab w:val="left" w:pos="5529"/>
          <w:tab w:val="left" w:pos="6521"/>
          <w:tab w:val="left" w:pos="6804"/>
          <w:tab w:val="left" w:pos="8364"/>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lang w:val="ru-RU"/>
        </w:rPr>
        <w:tab/>
        <w:t xml:space="preserve">Разстояние на спиране спрямо водата (точка </w:t>
      </w:r>
      <m:oMath>
        <m:r>
          <w:rPr>
            <w:rFonts w:ascii="Cambria Math" w:hAnsi="Cambria Math" w:cs="Times New Roman"/>
          </w:rPr>
          <m:t>A</m:t>
        </m:r>
      </m:oMath>
      <w:r w:rsidRPr="004224F6">
        <w:rPr>
          <w:rFonts w:ascii="Times New Roman" w:hAnsi="Times New Roman" w:cs="Times New Roman"/>
          <w:lang w:val="ru-RU"/>
        </w:rPr>
        <w:t xml:space="preserve"> до </w:t>
      </w:r>
      <m:oMath>
        <m:r>
          <w:rPr>
            <w:rFonts w:ascii="Cambria Math" w:hAnsi="Cambria Math" w:cs="Times New Roman"/>
          </w:rPr>
          <m:t>D</m:t>
        </m:r>
      </m:oMath>
      <w:r w:rsidRPr="004224F6">
        <w:rPr>
          <w:rFonts w:ascii="Times New Roman" w:hAnsi="Times New Roman" w:cs="Times New Roman"/>
          <w:lang w:val="ru-RU"/>
        </w:rPr>
        <w:t>):</w:t>
      </w:r>
      <w:r w:rsidRPr="004224F6">
        <w:rPr>
          <w:rFonts w:ascii="Times New Roman" w:hAnsi="Times New Roman" w:cs="Times New Roman"/>
          <w:lang w:val="ru-RU"/>
        </w:rPr>
        <w:tab/>
      </w:r>
      <m:oMath>
        <m:r>
          <w:rPr>
            <w:rFonts w:ascii="Cambria Math" w:hAnsi="Cambria Math" w:cs="Times New Roman"/>
          </w:rPr>
          <m:t>s</m:t>
        </m:r>
        <m:r>
          <w:rPr>
            <w:rFonts w:ascii="Cambria Math" w:hAnsi="Cambria Math" w:cs="Times New Roman"/>
            <w:position w:val="-6"/>
          </w:rPr>
          <m:t>MESSUNG</m:t>
        </m:r>
      </m:oMath>
      <w:r w:rsidRPr="004224F6">
        <w:rPr>
          <w:rFonts w:ascii="Times New Roman" w:hAnsi="Times New Roman" w:cs="Times New Roman"/>
          <w:lang w:val="ru-RU"/>
        </w:rPr>
        <w:t xml:space="preserve"> = 340 </w:t>
      </w:r>
      <w:r w:rsidRPr="004224F6">
        <w:rPr>
          <w:rFonts w:ascii="Times New Roman" w:hAnsi="Times New Roman" w:cs="Times New Roman"/>
        </w:rPr>
        <w:t>m</w:t>
      </w:r>
    </w:p>
    <w:p w14:paraId="4AB05A33" w14:textId="77777777" w:rsidR="00271FA2" w:rsidRPr="004224F6" w:rsidRDefault="00D35E51">
      <w:pPr>
        <w:tabs>
          <w:tab w:val="left" w:pos="5387"/>
          <w:tab w:val="left" w:pos="6379"/>
          <w:tab w:val="left" w:pos="6663"/>
          <w:tab w:val="left" w:pos="7513"/>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lang w:val="ru-RU"/>
        </w:rPr>
        <w:tab/>
        <w:t>Състояние на натоварване (възможна оценка):</w:t>
      </w:r>
      <w:r w:rsidRPr="004224F6">
        <w:rPr>
          <w:rFonts w:ascii="Times New Roman" w:hAnsi="Times New Roman" w:cs="Times New Roman"/>
          <w:lang w:val="ru-RU"/>
        </w:rPr>
        <w:tab/>
      </w:r>
      <m:oMath>
        <m:r>
          <w:rPr>
            <w:rFonts w:ascii="Cambria Math" w:hAnsi="Cambria Math" w:cs="Times New Roman"/>
          </w:rPr>
          <m:t>D</m:t>
        </m:r>
        <m:r>
          <w:rPr>
            <w:rFonts w:ascii="Cambria Math" w:hAnsi="Cambria Math" w:cs="Times New Roman"/>
            <w:position w:val="-6"/>
          </w:rPr>
          <m:t>IST</m:t>
        </m:r>
      </m:oMath>
      <w:r w:rsidRPr="004224F6">
        <w:rPr>
          <w:rFonts w:ascii="Times New Roman" w:hAnsi="Times New Roman" w:cs="Times New Roman"/>
          <w:lang w:val="ru-RU"/>
        </w:rPr>
        <w:t xml:space="preserve"> </w:t>
      </w:r>
      <w:r w:rsidRPr="004224F6">
        <w:rPr>
          <w:rFonts w:ascii="Times New Roman" w:hAnsi="Times New Roman" w:cs="Times New Roman"/>
          <w:lang w:val="ru-RU"/>
        </w:rPr>
        <w:tab/>
        <w:t>=</w:t>
      </w:r>
      <w:r w:rsidRPr="004224F6">
        <w:rPr>
          <w:rFonts w:ascii="Times New Roman" w:hAnsi="Times New Roman" w:cs="Times New Roman"/>
          <w:lang w:val="ru-RU"/>
        </w:rPr>
        <w:tab/>
        <w:t xml:space="preserve">5179 </w:t>
      </w:r>
      <w:r w:rsidRPr="004224F6">
        <w:rPr>
          <w:rFonts w:ascii="Times New Roman" w:hAnsi="Times New Roman" w:cs="Times New Roman"/>
        </w:rPr>
        <w:t>m</w:t>
      </w:r>
      <w:r w:rsidRPr="004224F6">
        <w:rPr>
          <w:rFonts w:ascii="Times New Roman" w:hAnsi="Times New Roman" w:cs="Times New Roman"/>
          <w:position w:val="6"/>
          <w:lang w:val="ru-RU"/>
        </w:rPr>
        <w:t>3</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0,8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max</m:t>
            </m:r>
          </m:sub>
        </m:sSub>
      </m:oMath>
    </w:p>
    <w:p w14:paraId="6A8128F2" w14:textId="77777777" w:rsidR="00271FA2" w:rsidRPr="004224F6" w:rsidRDefault="00D35E51">
      <w:pPr>
        <w:tabs>
          <w:tab w:val="left" w:pos="5387"/>
          <w:tab w:val="left" w:pos="6379"/>
          <w:tab w:val="left" w:pos="6663"/>
          <w:tab w:val="left" w:pos="7513"/>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lang w:val="ru-RU"/>
        </w:rPr>
        <w:tab/>
        <w:t>Действително газене на състава:</w:t>
      </w:r>
      <w:r w:rsidRPr="004224F6">
        <w:rPr>
          <w:rFonts w:ascii="Times New Roman" w:hAnsi="Times New Roman" w:cs="Times New Roman"/>
          <w:lang w:val="ru-RU"/>
        </w:rPr>
        <w:tab/>
      </w:r>
      <m:oMath>
        <m:r>
          <w:rPr>
            <w:rFonts w:ascii="Cambria Math" w:hAnsi="Cambria Math" w:cs="Times New Roman"/>
          </w:rPr>
          <m:t>T</m:t>
        </m:r>
        <m:r>
          <w:rPr>
            <w:rFonts w:ascii="Cambria Math" w:hAnsi="Cambria Math" w:cs="Times New Roman"/>
            <w:position w:val="-6"/>
          </w:rPr>
          <m:t>IST</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2,96 </w:t>
      </w:r>
      <w:r w:rsidRPr="004224F6">
        <w:rPr>
          <w:rFonts w:ascii="Times New Roman" w:hAnsi="Times New Roman" w:cs="Times New Roman"/>
        </w:rPr>
        <w:t>m</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0,8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max</m:t>
            </m:r>
          </m:sub>
        </m:sSub>
      </m:oMath>
    </w:p>
    <w:p w14:paraId="780CC49F" w14:textId="77777777" w:rsidR="00271FA2" w:rsidRPr="004224F6" w:rsidRDefault="00D35E51">
      <w:pPr>
        <w:spacing w:line="240" w:lineRule="atLeast"/>
        <w:ind w:left="567" w:hanging="567"/>
        <w:jc w:val="both"/>
        <w:rPr>
          <w:rFonts w:ascii="Times New Roman" w:hAnsi="Times New Roman" w:cs="Times New Roman"/>
          <w:color w:val="000000"/>
          <w:lang w:val="ru-RU"/>
        </w:rPr>
      </w:pPr>
      <w:r w:rsidRPr="004224F6">
        <w:rPr>
          <w:rFonts w:ascii="Times New Roman" w:hAnsi="Times New Roman" w:cs="Times New Roman"/>
          <w:b/>
          <w:color w:val="000000"/>
          <w:lang w:val="ru-RU"/>
        </w:rPr>
        <w:t>3.</w:t>
      </w:r>
      <w:r w:rsidRPr="004224F6">
        <w:rPr>
          <w:rFonts w:ascii="Times New Roman" w:hAnsi="Times New Roman" w:cs="Times New Roman"/>
          <w:lang w:val="ru-RU"/>
        </w:rPr>
        <w:tab/>
      </w:r>
      <w:r w:rsidRPr="004224F6">
        <w:rPr>
          <w:rFonts w:ascii="Times New Roman" w:hAnsi="Times New Roman" w:cs="Times New Roman"/>
          <w:b/>
          <w:color w:val="000000"/>
          <w:lang w:val="ru-RU"/>
        </w:rPr>
        <w:t>Пределно допустима стойност съгласно точка 2.1, буква „</w:t>
      </w:r>
      <w:r w:rsidRPr="004224F6">
        <w:rPr>
          <w:rFonts w:ascii="Times New Roman" w:hAnsi="Times New Roman" w:cs="Times New Roman"/>
          <w:b/>
          <w:color w:val="000000"/>
        </w:rPr>
        <w:t>a</w:t>
      </w:r>
      <w:r w:rsidRPr="004224F6">
        <w:rPr>
          <w:rFonts w:ascii="Times New Roman" w:hAnsi="Times New Roman" w:cs="Times New Roman"/>
          <w:b/>
          <w:color w:val="000000"/>
          <w:lang w:val="ru-RU"/>
        </w:rPr>
        <w:t xml:space="preserve">“ или „б“, която да бъде сравнена с </w:t>
      </w:r>
      <m:oMath>
        <m:sSub>
          <m:sSubPr>
            <m:ctrlPr>
              <w:rPr>
                <w:rFonts w:ascii="Cambria Math" w:hAnsi="Cambria Math" w:cs="Times New Roman"/>
                <w:i/>
              </w:rPr>
            </m:ctrlPr>
          </m:sSubPr>
          <m:e>
            <m:r>
              <m:rPr>
                <m:sty m:val="bi"/>
              </m:rPr>
              <w:rPr>
                <w:rFonts w:ascii="Cambria Math" w:hAnsi="Cambria Math" w:cs="Times New Roman"/>
                <w:color w:val="000000"/>
              </w:rPr>
              <m:t>s</m:t>
            </m:r>
          </m:e>
          <m:sub>
            <m:r>
              <m:rPr>
                <m:sty m:val="bi"/>
              </m:rPr>
              <w:rPr>
                <w:rFonts w:ascii="Cambria Math" w:hAnsi="Cambria Math" w:cs="Times New Roman"/>
                <w:color w:val="000000"/>
              </w:rPr>
              <m:t>NORM</m:t>
            </m:r>
          </m:sub>
        </m:sSub>
      </m:oMath>
    </w:p>
    <w:p w14:paraId="1CDFF981" w14:textId="77777777" w:rsidR="00271FA2" w:rsidRPr="004224F6" w:rsidRDefault="00D35E51">
      <w:pPr>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lang w:val="ru-RU"/>
        </w:rPr>
        <w:t xml:space="preserve">Тъй като </w:t>
      </w:r>
      <m:oMath>
        <m:r>
          <w:rPr>
            <w:rFonts w:ascii="Cambria Math" w:hAnsi="Cambria Math" w:cs="Times New Roman"/>
          </w:rPr>
          <m:t>B</m:t>
        </m:r>
        <m:r>
          <w:rPr>
            <w:rFonts w:ascii="Cambria Math" w:hAnsi="Cambria Math" w:cs="Times New Roman"/>
            <w:lang w:val="ru-RU"/>
          </w:rPr>
          <m:t xml:space="preserve"> &gt; 11,45 </m:t>
        </m:r>
        <m:r>
          <w:rPr>
            <w:rFonts w:ascii="Cambria Math" w:hAnsi="Cambria Math" w:cs="Times New Roman"/>
          </w:rPr>
          <m:t>m</m:t>
        </m:r>
      </m:oMath>
      <w:r w:rsidRPr="004224F6">
        <w:rPr>
          <w:rFonts w:ascii="Times New Roman" w:hAnsi="Times New Roman" w:cs="Times New Roman"/>
          <w:lang w:val="ru-RU"/>
        </w:rPr>
        <w:t xml:space="preserve"> и тъй като съставът е в течаща вода, за този състав е приложимо следното по точка 2.1, буква „</w:t>
      </w:r>
      <w:r w:rsidRPr="004224F6">
        <w:rPr>
          <w:rFonts w:ascii="Times New Roman" w:hAnsi="Times New Roman" w:cs="Times New Roman"/>
        </w:rPr>
        <w:t>a</w:t>
      </w:r>
      <w:r w:rsidRPr="004224F6">
        <w:rPr>
          <w:rFonts w:ascii="Times New Roman" w:hAnsi="Times New Roman" w:cs="Times New Roman"/>
          <w:lang w:val="ru-RU"/>
        </w:rPr>
        <w:t>“:</w:t>
      </w:r>
    </w:p>
    <w:p w14:paraId="57739983" w14:textId="77777777" w:rsidR="00271FA2" w:rsidRPr="004224F6" w:rsidRDefault="00D35E51">
      <w:pPr>
        <w:tabs>
          <w:tab w:val="left" w:pos="567"/>
          <w:tab w:val="left" w:pos="3402"/>
        </w:tabs>
        <w:overflowPunct w:val="0"/>
        <w:adjustRightInd w:val="0"/>
        <w:spacing w:line="240" w:lineRule="atLeast"/>
        <w:ind w:left="567"/>
        <w:textAlignment w:val="baseline"/>
        <w:rPr>
          <w:rFonts w:ascii="Times New Roman" w:hAnsi="Times New Roman" w:cs="Times New Roman"/>
        </w:rPr>
      </w:pPr>
      <m:oMathPara>
        <m:oMath>
          <m:r>
            <w:rPr>
              <w:rFonts w:ascii="Cambria Math" w:hAnsi="Cambria Math" w:cs="Times New Roman"/>
            </w:rPr>
            <m:t>s</m:t>
          </m:r>
          <m:r>
            <w:rPr>
              <w:rFonts w:ascii="Cambria Math" w:hAnsi="Cambria Math" w:cs="Times New Roman"/>
              <w:position w:val="-6"/>
            </w:rPr>
            <m:t>NORM</m:t>
          </m:r>
          <m:r>
            <w:rPr>
              <w:rFonts w:ascii="Cambria Math" w:hAnsi="Cambria Math" w:cs="Times New Roman"/>
            </w:rPr>
            <m:t xml:space="preserve">  </m:t>
          </m:r>
          <m:r>
            <m:rPr>
              <m:sty m:val="p"/>
            </m:rPr>
            <w:rPr>
              <w:rFonts w:ascii="Cambria Math" w:hAnsi="Cambria Math" w:cs="Times New Roman"/>
            </w:rPr>
            <w:sym w:font="Symbol" w:char="F0A3"/>
          </m:r>
          <m:r>
            <w:rPr>
              <w:rFonts w:ascii="Cambria Math" w:hAnsi="Cambria Math" w:cs="Times New Roman"/>
            </w:rPr>
            <m:t xml:space="preserve">  550 m</m:t>
          </m:r>
        </m:oMath>
      </m:oMathPara>
    </w:p>
    <w:p w14:paraId="08D513A8" w14:textId="77777777" w:rsidR="00271FA2" w:rsidRPr="004224F6" w:rsidRDefault="00D35E51">
      <w:pPr>
        <w:spacing w:line="240" w:lineRule="atLeast"/>
        <w:ind w:left="567" w:hanging="567"/>
        <w:jc w:val="both"/>
        <w:rPr>
          <w:rFonts w:ascii="Times New Roman" w:hAnsi="Times New Roman" w:cs="Times New Roman"/>
          <w:b/>
          <w:color w:val="000000"/>
          <w:lang w:val="ru-RU"/>
        </w:rPr>
      </w:pPr>
      <w:r w:rsidRPr="004224F6">
        <w:rPr>
          <w:rFonts w:ascii="Times New Roman" w:hAnsi="Times New Roman" w:cs="Times New Roman"/>
          <w:b/>
          <w:color w:val="000000"/>
          <w:lang w:val="ru-RU"/>
        </w:rPr>
        <w:t>4.</w:t>
      </w:r>
      <w:r w:rsidRPr="004224F6">
        <w:rPr>
          <w:rFonts w:ascii="Times New Roman" w:hAnsi="Times New Roman" w:cs="Times New Roman"/>
          <w:lang w:val="ru-RU"/>
        </w:rPr>
        <w:tab/>
      </w:r>
      <w:r w:rsidRPr="004224F6">
        <w:rPr>
          <w:rFonts w:ascii="Times New Roman" w:hAnsi="Times New Roman" w:cs="Times New Roman"/>
          <w:b/>
          <w:color w:val="000000"/>
          <w:lang w:val="ru-RU"/>
        </w:rPr>
        <w:t>Определяне на коригираното разстояние на спиране в сравнение със стандартни условия</w:t>
      </w:r>
    </w:p>
    <w:p w14:paraId="715FB812" w14:textId="77777777" w:rsidR="00271FA2" w:rsidRPr="004224F6" w:rsidRDefault="00D35E51">
      <w:pPr>
        <w:tabs>
          <w:tab w:val="left" w:pos="567"/>
        </w:tabs>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r>
      <w:r w:rsidRPr="004224F6">
        <w:rPr>
          <w:rFonts w:ascii="Times New Roman" w:hAnsi="Times New Roman" w:cs="Times New Roman"/>
          <w:b/>
          <w:lang w:val="ru-RU"/>
        </w:rPr>
        <w:t>Измерена</w:t>
      </w:r>
      <w:r w:rsidRPr="004224F6">
        <w:rPr>
          <w:rFonts w:ascii="Times New Roman" w:hAnsi="Times New Roman" w:cs="Times New Roman"/>
          <w:lang w:val="ru-RU"/>
        </w:rPr>
        <w:t xml:space="preserve"> стойност съгласно Приложение 1 (виж точка 2):</w:t>
      </w:r>
    </w:p>
    <w:p w14:paraId="0025728B" w14:textId="77777777" w:rsidR="00271FA2" w:rsidRPr="004224F6" w:rsidRDefault="00271FA2">
      <w:pPr>
        <w:tabs>
          <w:tab w:val="left" w:pos="284"/>
        </w:tabs>
        <w:overflowPunct w:val="0"/>
        <w:adjustRightInd w:val="0"/>
        <w:spacing w:line="240" w:lineRule="atLeast"/>
        <w:ind w:left="284" w:hanging="284"/>
        <w:textAlignment w:val="baseline"/>
        <w:rPr>
          <w:rFonts w:ascii="Times New Roman" w:hAnsi="Times New Roman" w:cs="Times New Roman"/>
          <w:lang w:val="ru-RU"/>
        </w:rPr>
      </w:pPr>
    </w:p>
    <w:p w14:paraId="37A7F678" w14:textId="77777777" w:rsidR="00271FA2" w:rsidRPr="004224F6" w:rsidRDefault="00D35E51">
      <w:pPr>
        <w:tabs>
          <w:tab w:val="left" w:pos="454"/>
          <w:tab w:val="left" w:pos="3402"/>
        </w:tabs>
        <w:overflowPunct w:val="0"/>
        <w:adjustRightInd w:val="0"/>
        <w:spacing w:line="240" w:lineRule="atLeast"/>
        <w:ind w:left="454" w:hanging="454"/>
        <w:textAlignment w:val="baseline"/>
        <w:rPr>
          <w:rFonts w:ascii="Times New Roman" w:hAnsi="Times New Roman" w:cs="Times New Roman"/>
        </w:rPr>
      </w:pPr>
      <w:r w:rsidRPr="004224F6">
        <w:rPr>
          <w:rFonts w:ascii="Times New Roman" w:hAnsi="Times New Roman" w:cs="Times New Roman"/>
          <w:lang w:val="ru-RU"/>
        </w:rPr>
        <w:tab/>
      </w:r>
      <w:r w:rsidRPr="004224F6">
        <w:rPr>
          <w:rFonts w:ascii="Times New Roman" w:hAnsi="Times New Roman" w:cs="Times New Roman"/>
          <w:lang w:val="ru-RU"/>
        </w:rPr>
        <w:tab/>
      </w:r>
      <m:oMath>
        <m:r>
          <w:rPr>
            <w:rFonts w:ascii="Cambria Math" w:hAnsi="Cambria Math" w:cs="Times New Roman"/>
          </w:rPr>
          <m:t>s</m:t>
        </m:r>
        <m:r>
          <w:rPr>
            <w:rFonts w:ascii="Cambria Math" w:hAnsi="Cambria Math" w:cs="Times New Roman"/>
            <w:position w:val="-6"/>
          </w:rPr>
          <m:t>MESSUNG</m:t>
        </m:r>
        <m:r>
          <w:rPr>
            <w:rFonts w:ascii="Cambria Math" w:hAnsi="Cambria Math" w:cs="Times New Roman"/>
          </w:rPr>
          <m:t xml:space="preserve"> = 340 m</m:t>
        </m:r>
      </m:oMath>
    </w:p>
    <w:p w14:paraId="41A7275F" w14:textId="77777777" w:rsidR="00271FA2" w:rsidRPr="004224F6" w:rsidRDefault="00D35E51">
      <w:pPr>
        <w:tabs>
          <w:tab w:val="left" w:pos="284"/>
          <w:tab w:val="left" w:pos="567"/>
        </w:tabs>
        <w:overflowPunct w:val="0"/>
        <w:adjustRightInd w:val="0"/>
        <w:spacing w:line="240" w:lineRule="atLeast"/>
        <w:ind w:left="567"/>
        <w:textAlignment w:val="baseline"/>
        <w:rPr>
          <w:rFonts w:ascii="Times New Roman" w:hAnsi="Times New Roman" w:cs="Times New Roman"/>
          <w:b/>
          <w:lang w:val="ru-RU"/>
        </w:rPr>
      </w:pPr>
      <w:r w:rsidRPr="004224F6">
        <w:rPr>
          <w:rFonts w:ascii="Times New Roman" w:hAnsi="Times New Roman" w:cs="Times New Roman"/>
          <w:b/>
          <w:lang w:val="ru-RU"/>
        </w:rPr>
        <w:t>-</w:t>
      </w:r>
      <w:r w:rsidRPr="004224F6">
        <w:rPr>
          <w:rFonts w:ascii="Times New Roman" w:hAnsi="Times New Roman" w:cs="Times New Roman"/>
          <w:lang w:val="ru-RU"/>
        </w:rPr>
        <w:tab/>
      </w:r>
      <w:r w:rsidRPr="004224F6">
        <w:rPr>
          <w:rFonts w:ascii="Times New Roman" w:hAnsi="Times New Roman" w:cs="Times New Roman"/>
          <w:b/>
          <w:lang w:val="ru-RU"/>
        </w:rPr>
        <w:t>да се изчисли:</w:t>
      </w:r>
    </w:p>
    <w:p w14:paraId="449E3E34" w14:textId="77777777" w:rsidR="00271FA2" w:rsidRPr="004224F6" w:rsidRDefault="002C62EC">
      <w:pPr>
        <w:tabs>
          <w:tab w:val="left" w:pos="3402"/>
        </w:tabs>
        <w:overflowPunct w:val="0"/>
        <w:adjustRightInd w:val="0"/>
        <w:spacing w:line="240" w:lineRule="atLeast"/>
        <w:ind w:left="1417"/>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oMath>
      <w:r w:rsidR="00D35E51" w:rsidRPr="004224F6">
        <w:rPr>
          <w:rFonts w:ascii="Times New Roman" w:hAnsi="Times New Roman" w:cs="Times New Roman"/>
          <w:lang w:val="ru-RU"/>
        </w:rPr>
        <w:t xml:space="preserve"> като сбор от</w:t>
      </w:r>
    </w:p>
    <w:p w14:paraId="05C530CD" w14:textId="77777777" w:rsidR="00271FA2" w:rsidRPr="004224F6" w:rsidRDefault="002C62EC">
      <w:pPr>
        <w:tabs>
          <w:tab w:val="left" w:pos="3402"/>
        </w:tabs>
        <w:overflowPunct w:val="0"/>
        <w:adjustRightInd w:val="0"/>
        <w:spacing w:line="240" w:lineRule="atLeast"/>
        <w:ind w:left="3402" w:hanging="2410"/>
        <w:textAlignment w:val="baseline"/>
        <w:rPr>
          <w:rFonts w:ascii="Times New Roman" w:hAnsi="Times New Roman" w:cs="Times New Roman"/>
          <w:lang w:val="ru-RU"/>
        </w:rPr>
      </w:p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IST</m:t>
            </m:r>
          </m:sub>
        </m:sSub>
      </m:oMath>
      <w:r w:rsidR="00D35E51" w:rsidRPr="004224F6">
        <w:rPr>
          <w:rFonts w:ascii="Times New Roman" w:hAnsi="Times New Roman" w:cs="Times New Roman"/>
          <w:lang w:val="ru-RU"/>
        </w:rPr>
        <w:tab/>
        <w:t>(съгласно формула (4.1) от Приложение</w:t>
      </w:r>
      <w:r w:rsidR="00D35E51" w:rsidRPr="004224F6">
        <w:rPr>
          <w:rFonts w:ascii="Times New Roman" w:hAnsi="Times New Roman" w:cs="Times New Roman"/>
        </w:rPr>
        <w:t> </w:t>
      </w:r>
      <w:r w:rsidR="00D35E51" w:rsidRPr="004224F6">
        <w:rPr>
          <w:rFonts w:ascii="Times New Roman" w:hAnsi="Times New Roman" w:cs="Times New Roman"/>
          <w:lang w:val="ru-RU"/>
        </w:rPr>
        <w:t xml:space="preserve">2 с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m:t>
                </m:r>
              </m:sub>
            </m:sSub>
          </m:e>
          <m:sub>
            <m:r>
              <w:rPr>
                <w:rFonts w:ascii="Cambria Math" w:hAnsi="Cambria Math" w:cs="Times New Roman"/>
              </w:rPr>
              <m:t>IST</m:t>
            </m:r>
          </m:sub>
        </m:sSub>
      </m:oMath>
      <w:r w:rsidR="00D35E51" w:rsidRPr="004224F6">
        <w:rPr>
          <w:rFonts w:ascii="Times New Roman" w:hAnsi="Times New Roman" w:cs="Times New Roman"/>
          <w:lang w:val="ru-RU"/>
        </w:rPr>
        <w:t>)</w:t>
      </w:r>
    </w:p>
    <w:p w14:paraId="78EDEF20" w14:textId="77777777" w:rsidR="00271FA2" w:rsidRPr="004224F6" w:rsidRDefault="00D35E51">
      <w:pPr>
        <w:tabs>
          <w:tab w:val="left" w:pos="3402"/>
        </w:tabs>
        <w:overflowPunct w:val="0"/>
        <w:adjustRightInd w:val="0"/>
        <w:spacing w:line="240" w:lineRule="atLeast"/>
        <w:ind w:left="3402" w:hanging="2410"/>
        <w:textAlignment w:val="baseline"/>
        <w:rPr>
          <w:rFonts w:ascii="Times New Roman" w:hAnsi="Times New Roman" w:cs="Times New Roman"/>
          <w:lang w:val="ru-RU"/>
        </w:rPr>
      </w:pPr>
      <w:r w:rsidRPr="004224F6">
        <w:rPr>
          <w:rFonts w:ascii="Times New Roman" w:hAnsi="Times New Roman" w:cs="Times New Roman"/>
          <w:lang w:val="ru-RU"/>
        </w:rPr>
        <w:lastRenderedPageBreak/>
        <w:t xml:space="preserve">и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IST</m:t>
            </m:r>
          </m:sub>
        </m:sSub>
      </m:oMath>
      <w:r w:rsidRPr="004224F6">
        <w:rPr>
          <w:rFonts w:ascii="Times New Roman" w:hAnsi="Times New Roman" w:cs="Times New Roman"/>
          <w:lang w:val="ru-RU"/>
        </w:rPr>
        <w:tab/>
        <w:t>(съгласно формули (4.2), (4.3), (4.4), (4.5) и (4.6) от Приложение</w:t>
      </w:r>
      <w:r w:rsidRPr="004224F6">
        <w:rPr>
          <w:rFonts w:ascii="Times New Roman" w:hAnsi="Times New Roman" w:cs="Times New Roman"/>
        </w:rPr>
        <w:t> </w:t>
      </w:r>
      <w:r w:rsidRPr="004224F6">
        <w:rPr>
          <w:rFonts w:ascii="Times New Roman" w:hAnsi="Times New Roman" w:cs="Times New Roman"/>
          <w:lang w:val="ru-RU"/>
        </w:rPr>
        <w:t xml:space="preserve">2 с действителни скорости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II</m:t>
                </m:r>
              </m:sub>
            </m:sSub>
          </m:e>
          <m:sub>
            <m:r>
              <w:rPr>
                <w:rFonts w:ascii="Cambria Math" w:hAnsi="Cambria Math" w:cs="Times New Roman"/>
              </w:rPr>
              <m:t>IST</m:t>
            </m:r>
          </m:sub>
        </m:sSub>
      </m:oMath>
      <w:r w:rsidRPr="004224F6">
        <w:rPr>
          <w:rFonts w:ascii="Times New Roman" w:hAnsi="Times New Roman" w:cs="Times New Roman"/>
          <w:lang w:val="ru-RU"/>
        </w:rPr>
        <w:t xml:space="preserve">,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STR</m:t>
                </m:r>
              </m:sub>
            </m:sSub>
          </m:e>
          <m:sub>
            <m:r>
              <w:rPr>
                <w:rFonts w:ascii="Cambria Math" w:hAnsi="Cambria Math" w:cs="Times New Roman"/>
              </w:rPr>
              <m:t>IST</m:t>
            </m:r>
          </m:sub>
        </m:sSub>
      </m:oMath>
      <w:r w:rsidRPr="004224F6">
        <w:rPr>
          <w:rFonts w:ascii="Times New Roman" w:hAnsi="Times New Roman" w:cs="Times New Roman"/>
          <w:lang w:val="ru-RU"/>
        </w:rPr>
        <w:t xml:space="preserv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oMath>
      <w:r w:rsidRPr="004224F6">
        <w:rPr>
          <w:rFonts w:ascii="Times New Roman" w:hAnsi="Times New Roman" w:cs="Times New Roman"/>
          <w:lang w:val="ru-RU"/>
        </w:rPr>
        <w:t>)</w:t>
      </w:r>
    </w:p>
    <w:p w14:paraId="5AFBA9D7" w14:textId="77777777" w:rsidR="00271FA2" w:rsidRPr="004224F6" w:rsidRDefault="002C62EC">
      <w:pPr>
        <w:tabs>
          <w:tab w:val="left" w:pos="567"/>
          <w:tab w:val="left" w:pos="3402"/>
        </w:tabs>
        <w:overflowPunct w:val="0"/>
        <w:adjustRightInd w:val="0"/>
        <w:spacing w:line="240" w:lineRule="atLeast"/>
        <w:ind w:left="1417"/>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oMath>
      <w:r w:rsidR="00D35E51" w:rsidRPr="004224F6">
        <w:rPr>
          <w:rFonts w:ascii="Times New Roman" w:hAnsi="Times New Roman" w:cs="Times New Roman"/>
          <w:lang w:val="ru-RU"/>
        </w:rPr>
        <w:t xml:space="preserve"> като сбор от</w:t>
      </w:r>
    </w:p>
    <w:p w14:paraId="03AF89D5" w14:textId="77777777" w:rsidR="00271FA2" w:rsidRPr="004224F6" w:rsidRDefault="002C62EC">
      <w:pPr>
        <w:tabs>
          <w:tab w:val="left" w:pos="567"/>
          <w:tab w:val="left" w:pos="3402"/>
          <w:tab w:val="left" w:pos="3544"/>
        </w:tabs>
        <w:overflowPunct w:val="0"/>
        <w:adjustRightInd w:val="0"/>
        <w:spacing w:line="240" w:lineRule="atLeast"/>
        <w:ind w:left="1417"/>
        <w:textAlignment w:val="baseline"/>
        <w:rPr>
          <w:rFonts w:ascii="Times New Roman" w:hAnsi="Times New Roman" w:cs="Times New Roman"/>
          <w:lang w:val="ru-RU"/>
        </w:rPr>
      </w:p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SOLL</m:t>
            </m:r>
          </m:sub>
        </m:sSub>
      </m:oMath>
      <w:r w:rsidR="00D35E51" w:rsidRPr="004224F6">
        <w:rPr>
          <w:rFonts w:ascii="Times New Roman" w:hAnsi="Times New Roman" w:cs="Times New Roman"/>
          <w:lang w:val="ru-RU"/>
        </w:rPr>
        <w:t xml:space="preserve"> </w:t>
      </w:r>
      <w:r w:rsidR="00D35E51" w:rsidRPr="004224F6">
        <w:rPr>
          <w:rFonts w:ascii="Times New Roman" w:hAnsi="Times New Roman" w:cs="Times New Roman"/>
          <w:lang w:val="ru-RU"/>
        </w:rPr>
        <w:tab/>
        <w:t>(съгласно формула (4.1) от Приложение</w:t>
      </w:r>
      <w:r w:rsidR="00D35E51" w:rsidRPr="004224F6">
        <w:rPr>
          <w:rFonts w:ascii="Times New Roman" w:hAnsi="Times New Roman" w:cs="Times New Roman"/>
        </w:rPr>
        <w:t> </w:t>
      </w:r>
      <w:r w:rsidR="00D35E51" w:rsidRPr="004224F6">
        <w:rPr>
          <w:rFonts w:ascii="Times New Roman" w:hAnsi="Times New Roman" w:cs="Times New Roman"/>
          <w:lang w:val="ru-RU"/>
        </w:rPr>
        <w:t xml:space="preserve">2 с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m:t>
                </m:r>
              </m:sub>
            </m:sSub>
          </m:e>
          <m:sub>
            <m:r>
              <w:rPr>
                <w:rFonts w:ascii="Cambria Math" w:hAnsi="Cambria Math" w:cs="Times New Roman"/>
              </w:rPr>
              <m:t>SOLL</m:t>
            </m:r>
          </m:sub>
        </m:sSub>
      </m:oMath>
      <w:r w:rsidR="00D35E51" w:rsidRPr="004224F6">
        <w:rPr>
          <w:rFonts w:ascii="Times New Roman" w:hAnsi="Times New Roman" w:cs="Times New Roman"/>
          <w:lang w:val="ru-RU"/>
        </w:rPr>
        <w:t>)</w:t>
      </w:r>
    </w:p>
    <w:p w14:paraId="00475300" w14:textId="77777777" w:rsidR="00271FA2" w:rsidRPr="004224F6" w:rsidRDefault="002C62EC">
      <w:pPr>
        <w:tabs>
          <w:tab w:val="left" w:pos="567"/>
          <w:tab w:val="left" w:pos="3402"/>
          <w:tab w:val="left" w:pos="3544"/>
        </w:tabs>
        <w:overflowPunct w:val="0"/>
        <w:adjustRightInd w:val="0"/>
        <w:spacing w:line="240" w:lineRule="atLeast"/>
        <w:ind w:left="3402" w:hanging="2410"/>
        <w:jc w:val="both"/>
        <w:textAlignment w:val="baseline"/>
        <w:rPr>
          <w:rFonts w:ascii="Times New Roman" w:hAnsi="Times New Roman" w:cs="Times New Roman"/>
          <w:lang w:val="ru-RU"/>
        </w:rPr>
      </w:p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SOLL</m:t>
            </m:r>
          </m:sub>
        </m:sSub>
      </m:oMath>
      <w:r w:rsidR="00D35E51" w:rsidRPr="004224F6">
        <w:rPr>
          <w:rFonts w:ascii="Times New Roman" w:hAnsi="Times New Roman" w:cs="Times New Roman"/>
          <w:lang w:val="ru-RU"/>
        </w:rPr>
        <w:tab/>
        <w:t>(съгласно формули от (4.2) до (4.6) от Приложение 2 с еталонн</w:t>
      </w:r>
      <w:r w:rsidR="008C4C87" w:rsidRPr="004224F6">
        <w:rPr>
          <w:rFonts w:ascii="Times New Roman" w:hAnsi="Times New Roman" w:cs="Times New Roman"/>
          <w:lang w:val="ru-RU"/>
        </w:rPr>
        <w:t>ите скорости съгласно (2.1) от И</w:t>
      </w:r>
      <w:r w:rsidR="00D35E51" w:rsidRPr="004224F6">
        <w:rPr>
          <w:rFonts w:ascii="Times New Roman" w:hAnsi="Times New Roman" w:cs="Times New Roman"/>
          <w:lang w:val="ru-RU"/>
        </w:rPr>
        <w:t xml:space="preserve">нструкцията и при условие, че състоянието на натоварване е над 70 % от максималното натоварване (≈ 80 %):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oMath>
      <w:r w:rsidR="00D35E51" w:rsidRPr="004224F6">
        <w:rPr>
          <w:rFonts w:ascii="Times New Roman" w:hAnsi="Times New Roman" w:cs="Times New Roman"/>
          <w:lang w:val="ru-RU"/>
        </w:rPr>
        <w:t xml:space="preserve"> и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SOLL</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IST</m:t>
            </m:r>
          </m:sub>
        </m:sSub>
      </m:oMath>
    </w:p>
    <w:p w14:paraId="4B47D754" w14:textId="77777777" w:rsidR="00271FA2" w:rsidRPr="004224F6" w:rsidRDefault="00D35E51">
      <w:pPr>
        <w:tabs>
          <w:tab w:val="left" w:pos="284"/>
        </w:tabs>
        <w:overflowPunct w:val="0"/>
        <w:adjustRightInd w:val="0"/>
        <w:spacing w:line="240" w:lineRule="atLeast"/>
        <w:ind w:left="567"/>
        <w:textAlignment w:val="baseline"/>
        <w:rPr>
          <w:rFonts w:ascii="Times New Roman" w:hAnsi="Times New Roman" w:cs="Times New Roman"/>
        </w:rPr>
      </w:pPr>
      <w:r w:rsidRPr="004224F6">
        <w:rPr>
          <w:rFonts w:ascii="Times New Roman" w:hAnsi="Times New Roman" w:cs="Times New Roman"/>
        </w:rPr>
        <w:t>-</w:t>
      </w:r>
      <w:r w:rsidRPr="004224F6">
        <w:rPr>
          <w:rFonts w:ascii="Times New Roman" w:hAnsi="Times New Roman" w:cs="Times New Roman"/>
        </w:rPr>
        <w:tab/>
      </w:r>
      <w:r w:rsidRPr="004224F6">
        <w:rPr>
          <w:rFonts w:ascii="Times New Roman" w:hAnsi="Times New Roman" w:cs="Times New Roman"/>
          <w:b/>
        </w:rPr>
        <w:t>да се провери:</w:t>
      </w:r>
    </w:p>
    <w:p w14:paraId="1E1C916D" w14:textId="77777777" w:rsidR="00271FA2" w:rsidRPr="004224F6" w:rsidRDefault="002C62EC">
      <w:pPr>
        <w:tabs>
          <w:tab w:val="left" w:pos="454"/>
        </w:tabs>
        <w:overflowPunct w:val="0"/>
        <w:adjustRightInd w:val="0"/>
        <w:spacing w:line="240" w:lineRule="atLeast"/>
        <w:ind w:left="454" w:hanging="454"/>
        <w:textAlignment w:val="baseline"/>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den>
          </m:f>
          <m:r>
            <w:rPr>
              <w:rFonts w:ascii="Cambria Math" w:hAnsi="Cambria Math" w:cs="Times New Roman"/>
            </w:rPr>
            <m:t xml:space="preserve"> ≤550 m</m:t>
          </m:r>
        </m:oMath>
      </m:oMathPara>
    </w:p>
    <w:p w14:paraId="4903D7A4"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4.1</w:t>
      </w:r>
      <w:r w:rsidRPr="004224F6">
        <w:rPr>
          <w:rFonts w:ascii="Times New Roman" w:hAnsi="Times New Roman" w:cs="Times New Roman"/>
          <w:lang w:val="ru-RU"/>
        </w:rPr>
        <w:tab/>
      </w:r>
      <w:r w:rsidRPr="004224F6">
        <w:rPr>
          <w:rFonts w:ascii="Times New Roman" w:hAnsi="Times New Roman" w:cs="Times New Roman"/>
          <w:b/>
          <w:color w:val="000000"/>
          <w:lang w:val="ru-RU"/>
        </w:rPr>
        <w:t>Коефициенти за изчислението, взети от Приложение</w:t>
      </w:r>
      <w:r w:rsidRPr="004224F6">
        <w:rPr>
          <w:rFonts w:ascii="Times New Roman" w:hAnsi="Times New Roman" w:cs="Times New Roman"/>
          <w:b/>
          <w:color w:val="000000"/>
        </w:rPr>
        <w:t> </w:t>
      </w:r>
      <w:r w:rsidRPr="004224F6">
        <w:rPr>
          <w:rFonts w:ascii="Times New Roman" w:hAnsi="Times New Roman" w:cs="Times New Roman"/>
          <w:b/>
          <w:color w:val="000000"/>
          <w:lang w:val="ru-RU"/>
        </w:rPr>
        <w:t>2</w:t>
      </w:r>
    </w:p>
    <w:p w14:paraId="33748EA3" w14:textId="77777777" w:rsidR="00271FA2" w:rsidRPr="004224F6" w:rsidRDefault="00D35E51">
      <w:pPr>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Таблица 1</w:t>
      </w:r>
    </w:p>
    <w:p w14:paraId="1990D7D0" w14:textId="77777777" w:rsidR="00271FA2" w:rsidRPr="004224F6" w:rsidRDefault="00D35E51">
      <w:pPr>
        <w:tabs>
          <w:tab w:val="left" w:pos="2694"/>
          <w:tab w:val="left" w:pos="3119"/>
          <w:tab w:val="left" w:pos="3544"/>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за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IST</m:t>
            </m:r>
          </m:sub>
        </m:sSub>
      </m:oMath>
      <w:r w:rsidRPr="004224F6">
        <w:rPr>
          <w:rFonts w:ascii="Times New Roman" w:hAnsi="Times New Roman" w:cs="Times New Roman"/>
          <w:lang w:val="ru-RU"/>
        </w:rPr>
        <w:t xml:space="preserve"> и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SOLL</m:t>
            </m:r>
          </m:sub>
        </m:sSub>
      </m:oMath>
      <w:r w:rsidRPr="004224F6">
        <w:rPr>
          <w:rFonts w:ascii="Times New Roman" w:hAnsi="Times New Roman" w:cs="Times New Roman"/>
          <w:lang w:val="ru-RU"/>
        </w:rPr>
        <w:t xml:space="preserve"> </w:t>
      </w:r>
      <w:r w:rsidRPr="004224F6">
        <w:rPr>
          <w:rFonts w:ascii="Times New Roman" w:hAnsi="Times New Roman" w:cs="Times New Roman"/>
          <w:lang w:val="ru-RU"/>
        </w:rPr>
        <w:tab/>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1</m:t>
            </m:r>
          </m:sub>
        </m:sSub>
        <m:r>
          <w:rPr>
            <w:rFonts w:ascii="Cambria Math" w:hAnsi="Cambria Math" w:cs="Times New Roman"/>
            <w:lang w:val="ru-RU"/>
          </w:rPr>
          <m:t xml:space="preserve"> </m:t>
        </m:r>
      </m:oMath>
      <w:r w:rsidRPr="004224F6">
        <w:rPr>
          <w:rFonts w:ascii="Times New Roman" w:hAnsi="Times New Roman" w:cs="Times New Roman"/>
          <w:lang w:val="ru-RU"/>
        </w:rPr>
        <w:tab/>
        <w:t>=</w:t>
      </w:r>
      <w:r w:rsidRPr="004224F6">
        <w:rPr>
          <w:rFonts w:ascii="Times New Roman" w:hAnsi="Times New Roman" w:cs="Times New Roman"/>
          <w:lang w:val="ru-RU"/>
        </w:rPr>
        <w:tab/>
        <w:t>0,95</w:t>
      </w:r>
    </w:p>
    <w:p w14:paraId="64B3FCCF" w14:textId="77777777" w:rsidR="00271FA2" w:rsidRPr="004224F6" w:rsidRDefault="00D35E51">
      <w:pPr>
        <w:tabs>
          <w:tab w:val="left" w:pos="851"/>
          <w:tab w:val="left" w:pos="2127"/>
          <w:tab w:val="left" w:pos="4111"/>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за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IST</m:t>
            </m:r>
          </m:sub>
        </m:sSub>
      </m:oMath>
      <w:r w:rsidRPr="004224F6">
        <w:rPr>
          <w:rFonts w:ascii="Times New Roman" w:hAnsi="Times New Roman" w:cs="Times New Roman"/>
          <w:lang w:val="ru-RU"/>
        </w:rPr>
        <w:t xml:space="preserve"> и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SOLL</m:t>
            </m:r>
          </m:sub>
        </m:sSub>
      </m:oMath>
    </w:p>
    <w:p w14:paraId="67F67E84" w14:textId="77777777" w:rsidR="00271FA2" w:rsidRPr="004224F6" w:rsidRDefault="002C62EC">
      <w:pPr>
        <w:tabs>
          <w:tab w:val="left" w:pos="284"/>
          <w:tab w:val="left" w:pos="2552"/>
          <w:tab w:val="left" w:pos="3119"/>
          <w:tab w:val="left" w:pos="3544"/>
          <w:tab w:val="left" w:pos="4395"/>
          <w:tab w:val="left" w:pos="7371"/>
        </w:tabs>
        <w:overflowPunct w:val="0"/>
        <w:adjustRightInd w:val="0"/>
        <w:spacing w:line="240" w:lineRule="atLeast"/>
        <w:ind w:left="2693"/>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2</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0,12</w:t>
      </w:r>
    </w:p>
    <w:p w14:paraId="76608EAD" w14:textId="77777777" w:rsidR="00271FA2" w:rsidRPr="004224F6" w:rsidRDefault="002C62EC">
      <w:pPr>
        <w:tabs>
          <w:tab w:val="left" w:pos="284"/>
          <w:tab w:val="left" w:pos="2552"/>
          <w:tab w:val="left" w:pos="3119"/>
          <w:tab w:val="left" w:pos="3544"/>
          <w:tab w:val="left" w:pos="4395"/>
          <w:tab w:val="left" w:pos="7371"/>
        </w:tabs>
        <w:overflowPunct w:val="0"/>
        <w:adjustRightInd w:val="0"/>
        <w:spacing w:line="240" w:lineRule="atLeast"/>
        <w:ind w:left="2693"/>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3</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1,15</w:t>
      </w:r>
    </w:p>
    <w:p w14:paraId="714E854C" w14:textId="77777777" w:rsidR="00271FA2" w:rsidRPr="004224F6" w:rsidRDefault="002C62EC">
      <w:pPr>
        <w:tabs>
          <w:tab w:val="left" w:pos="284"/>
          <w:tab w:val="left" w:pos="2552"/>
          <w:tab w:val="left" w:pos="3119"/>
          <w:tab w:val="left" w:pos="3544"/>
          <w:tab w:val="left" w:pos="4395"/>
          <w:tab w:val="left" w:pos="7371"/>
        </w:tabs>
        <w:overflowPunct w:val="0"/>
        <w:adjustRightInd w:val="0"/>
        <w:spacing w:line="240" w:lineRule="atLeast"/>
        <w:ind w:left="2693"/>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4</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0,48</w:t>
      </w:r>
    </w:p>
    <w:p w14:paraId="6C5C9796" w14:textId="77777777" w:rsidR="00271FA2" w:rsidRPr="004224F6" w:rsidRDefault="002C62EC">
      <w:pPr>
        <w:tabs>
          <w:tab w:val="left" w:pos="284"/>
          <w:tab w:val="left" w:pos="2552"/>
          <w:tab w:val="left" w:pos="3119"/>
          <w:tab w:val="left" w:pos="3544"/>
          <w:tab w:val="left" w:pos="4395"/>
          <w:tab w:val="left" w:pos="7371"/>
        </w:tabs>
        <w:overflowPunct w:val="0"/>
        <w:adjustRightInd w:val="0"/>
        <w:spacing w:line="240" w:lineRule="atLeast"/>
        <w:ind w:left="2693"/>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6</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0,85</w:t>
      </w:r>
    </w:p>
    <w:p w14:paraId="373053BF" w14:textId="77777777" w:rsidR="00271FA2" w:rsidRPr="004224F6" w:rsidRDefault="002C62EC">
      <w:pPr>
        <w:tabs>
          <w:tab w:val="left" w:pos="284"/>
          <w:tab w:val="left" w:pos="2552"/>
          <w:tab w:val="left" w:pos="3119"/>
          <w:tab w:val="left" w:pos="3544"/>
          <w:tab w:val="left" w:pos="4395"/>
          <w:tab w:val="left" w:pos="7371"/>
        </w:tabs>
        <w:overflowPunct w:val="0"/>
        <w:adjustRightInd w:val="0"/>
        <w:spacing w:line="240" w:lineRule="atLeast"/>
        <w:ind w:left="2693"/>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7</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0,55</w:t>
      </w:r>
    </w:p>
    <w:p w14:paraId="5409A2C6" w14:textId="77777777" w:rsidR="00271FA2" w:rsidRPr="004224F6" w:rsidRDefault="00D35E51">
      <w:pPr>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Таблица 2 (за съвременни дюзи със заоблен заден ръб)</w:t>
      </w:r>
    </w:p>
    <w:p w14:paraId="10B65E59" w14:textId="77777777" w:rsidR="00271FA2" w:rsidRPr="004224F6" w:rsidRDefault="00D35E51">
      <w:pPr>
        <w:overflowPunct w:val="0"/>
        <w:adjustRightInd w:val="0"/>
        <w:spacing w:line="240" w:lineRule="atLeast"/>
        <w:ind w:left="567"/>
        <w:textAlignment w:val="baseline"/>
        <w:rPr>
          <w:rFonts w:ascii="Times New Roman" w:hAnsi="Times New Roman" w:cs="Times New Roman"/>
          <w:lang w:val="ru-RU"/>
        </w:rPr>
      </w:pPr>
      <m:oMath>
        <m:r>
          <w:rPr>
            <w:rFonts w:ascii="Cambria Math" w:hAnsi="Cambria Math" w:cs="Times New Roman"/>
          </w:rPr>
          <m:t>f</m:t>
        </m:r>
      </m:oMath>
      <w:r w:rsidRPr="004224F6">
        <w:rPr>
          <w:rFonts w:ascii="Times New Roman" w:hAnsi="Times New Roman" w:cs="Times New Roman"/>
          <w:lang w:val="ru-RU"/>
        </w:rPr>
        <w:t xml:space="preserve"> = 0,118</w:t>
      </w:r>
    </w:p>
    <w:p w14:paraId="3F4E3CB2"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4.2</w:t>
      </w:r>
      <w:r w:rsidRPr="004224F6">
        <w:rPr>
          <w:rFonts w:ascii="Times New Roman" w:hAnsi="Times New Roman" w:cs="Times New Roman"/>
          <w:lang w:val="ru-RU"/>
        </w:rPr>
        <w:tab/>
      </w:r>
      <w:r w:rsidRPr="004224F6">
        <w:rPr>
          <w:rFonts w:ascii="Times New Roman" w:hAnsi="Times New Roman" w:cs="Times New Roman"/>
          <w:b/>
          <w:color w:val="000000"/>
          <w:lang w:val="ru-RU"/>
        </w:rPr>
        <w:t xml:space="preserve">Изчисляване на </w:t>
      </w:r>
      <m:oMath>
        <m:sSub>
          <m:sSubPr>
            <m:ctrlPr>
              <w:rPr>
                <w:rFonts w:ascii="Cambria Math" w:hAnsi="Cambria Math" w:cs="Times New Roman"/>
                <w:i/>
              </w:rPr>
            </m:ctrlPr>
          </m:sSubPr>
          <m:e>
            <m:r>
              <m:rPr>
                <m:sty m:val="bi"/>
              </m:rPr>
              <w:rPr>
                <w:rFonts w:ascii="Cambria Math" w:hAnsi="Cambria Math" w:cs="Times New Roman"/>
                <w:color w:val="000000"/>
              </w:rPr>
              <m:t>s</m:t>
            </m:r>
          </m:e>
          <m:sub>
            <m:r>
              <m:rPr>
                <m:sty m:val="bi"/>
              </m:rPr>
              <w:rPr>
                <w:rFonts w:ascii="Cambria Math" w:hAnsi="Cambria Math" w:cs="Times New Roman"/>
                <w:color w:val="000000"/>
              </w:rPr>
              <m:t>IST</m:t>
            </m:r>
          </m:sub>
        </m:sSub>
      </m:oMath>
    </w:p>
    <w:p w14:paraId="377B53A1" w14:textId="77777777" w:rsidR="00271FA2" w:rsidRPr="004224F6" w:rsidRDefault="00D35E51">
      <w:pPr>
        <w:tabs>
          <w:tab w:val="left" w:pos="992"/>
        </w:tabs>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 xml:space="preserve">) </w:t>
      </w:r>
      <m:oMath>
        <m:sSub>
          <m:sSubPr>
            <m:ctrlPr>
              <w:rPr>
                <w:rFonts w:ascii="Cambria Math" w:hAnsi="Cambria Math" w:cs="Times New Roman"/>
              </w:rPr>
            </m:ctrlPr>
          </m:sSubPr>
          <m:e>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I</m:t>
                </m:r>
              </m:sub>
            </m:sSub>
          </m:e>
          <m:sub>
            <m:r>
              <m:rPr>
                <m:sty m:val="p"/>
              </m:rPr>
              <w:rPr>
                <w:rFonts w:ascii="Cambria Math" w:hAnsi="Cambria Math" w:cs="Times New Roman"/>
              </w:rPr>
              <m:t>IST</m:t>
            </m:r>
          </m:sub>
        </m:sSub>
      </m:oMath>
      <w:r w:rsidRPr="004224F6">
        <w:rPr>
          <w:rFonts w:ascii="Times New Roman" w:hAnsi="Times New Roman" w:cs="Times New Roman"/>
          <w:lang w:val="ru-RU"/>
        </w:rPr>
        <w:t xml:space="preserve"> със стойностите, измерени по време на маневрата за спиране (формула 4.1)</w:t>
      </w:r>
    </w:p>
    <w:p w14:paraId="11440E99" w14:textId="77777777" w:rsidR="00271FA2" w:rsidRPr="004224F6" w:rsidRDefault="002C62EC">
      <w:pPr>
        <w:tabs>
          <w:tab w:val="left" w:pos="992"/>
          <w:tab w:val="left" w:pos="1560"/>
          <w:tab w:val="left" w:pos="1985"/>
        </w:tabs>
        <w:overflowPunct w:val="0"/>
        <w:adjustRightInd w:val="0"/>
        <w:spacing w:line="240" w:lineRule="atLeast"/>
        <w:ind w:left="992" w:firstLine="1"/>
        <w:textAlignment w:val="baseline"/>
        <w:rPr>
          <w:rFonts w:ascii="Times New Roman" w:hAnsi="Times New Roman" w:cs="Times New Roman"/>
          <w:lang w:val="ru-RU"/>
        </w:rPr>
      </w:p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IST</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1</m:t>
            </m:r>
          </m:sub>
        </m:sSub>
        <m:r>
          <w:rPr>
            <w:rFonts w:ascii="Cambria Math" w:hAnsi="Cambria Math" w:cs="Times New Roman"/>
            <w:lang w:val="ru-RU"/>
          </w:rPr>
          <m:t xml:space="preserve"> ∙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IST</m:t>
                </m:r>
              </m:sub>
            </m:sSub>
            <m:r>
              <w:rPr>
                <w:rFonts w:ascii="Cambria Math" w:hAnsi="Cambria Math" w:cs="Times New Roman"/>
                <w:lang w:val="ru-RU"/>
              </w:rPr>
              <m:t xml:space="preserve"> </m:t>
            </m:r>
          </m:sub>
        </m:sSub>
        <m:r>
          <w:rPr>
            <w:rFonts w:ascii="Cambria Math" w:hAnsi="Cambria Math" w:cs="Times New Roman"/>
            <w:lang w:val="ru-RU"/>
          </w:rPr>
          <m:t xml:space="preserve"> ∙ </m:t>
        </m:r>
        <m:sSub>
          <m:sSubPr>
            <m:ctrlPr>
              <w:rPr>
                <w:rFonts w:ascii="Cambria Math" w:hAnsi="Cambria Math" w:cs="Times New Roman"/>
                <w:i/>
              </w:rPr>
            </m:ctrlPr>
          </m:sSubPr>
          <m:e>
            <m:r>
              <w:rPr>
                <w:rFonts w:ascii="Cambria Math" w:hAnsi="Cambria Math" w:cs="Times New Roman"/>
              </w:rPr>
              <m:t>t</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IST</m:t>
                </m:r>
              </m:sub>
            </m:sSub>
          </m:sub>
        </m:sSub>
      </m:oMath>
      <w:r w:rsidR="00D35E51" w:rsidRPr="004224F6">
        <w:rPr>
          <w:rFonts w:ascii="Times New Roman" w:hAnsi="Times New Roman" w:cs="Times New Roman"/>
          <w:lang w:val="ru-RU"/>
        </w:rPr>
        <w:t xml:space="preserve"> </w:t>
      </w:r>
    </w:p>
    <w:p w14:paraId="7AF0C584" w14:textId="77777777" w:rsidR="00271FA2" w:rsidRPr="004224F6" w:rsidRDefault="002C62EC">
      <w:pPr>
        <w:tabs>
          <w:tab w:val="left" w:pos="992"/>
          <w:tab w:val="left" w:pos="1560"/>
          <w:tab w:val="left" w:pos="1985"/>
        </w:tabs>
        <w:overflowPunct w:val="0"/>
        <w:adjustRightInd w:val="0"/>
        <w:spacing w:line="240" w:lineRule="atLeast"/>
        <w:ind w:left="992" w:firstLine="1"/>
        <w:textAlignment w:val="baseline"/>
        <w:rPr>
          <w:rFonts w:ascii="Times New Roman" w:hAnsi="Times New Roman" w:cs="Times New Roman"/>
          <w:lang w:val="ru-RU"/>
        </w:rPr>
      </w:p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IST</m:t>
            </m:r>
          </m:sub>
        </m:sSub>
        <m:r>
          <w:rPr>
            <w:rFonts w:ascii="Cambria Math" w:hAnsi="Cambria Math" w:cs="Times New Roman"/>
            <w:lang w:val="ru-RU"/>
          </w:rPr>
          <m:t xml:space="preserve">=0,95 ∙4,9 ∙16=74,5 </m:t>
        </m:r>
        <m:r>
          <w:rPr>
            <w:rFonts w:ascii="Cambria Math" w:hAnsi="Cambria Math" w:cs="Times New Roman"/>
          </w:rPr>
          <m:t>m</m:t>
        </m:r>
      </m:oMath>
      <w:r w:rsidR="00D35E51" w:rsidRPr="004224F6">
        <w:rPr>
          <w:rFonts w:ascii="Times New Roman" w:eastAsiaTheme="minorEastAsia" w:hAnsi="Times New Roman" w:cs="Times New Roman"/>
          <w:lang w:val="ru-RU"/>
        </w:rPr>
        <w:t>;</w:t>
      </w:r>
    </w:p>
    <w:p w14:paraId="01D6532A" w14:textId="77777777" w:rsidR="00271FA2" w:rsidRPr="004224F6" w:rsidRDefault="00D35E51">
      <w:pPr>
        <w:overflowPunct w:val="0"/>
        <w:adjustRightInd w:val="0"/>
        <w:spacing w:line="240" w:lineRule="atLeast"/>
        <w:ind w:left="709"/>
        <w:textAlignment w:val="baseline"/>
        <w:rPr>
          <w:rFonts w:ascii="Times New Roman" w:hAnsi="Times New Roman" w:cs="Times New Roman"/>
          <w:lang w:val="ru-RU"/>
        </w:rPr>
      </w:pPr>
      <w:r w:rsidRPr="004224F6">
        <w:rPr>
          <w:rFonts w:ascii="Times New Roman" w:hAnsi="Times New Roman" w:cs="Times New Roman"/>
          <w:lang w:val="ru-RU"/>
        </w:rPr>
        <w:t xml:space="preserve">б) формула за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IST</m:t>
            </m:r>
          </m:sub>
        </m:sSub>
      </m:oMath>
    </w:p>
    <w:p w14:paraId="16412FA1" w14:textId="77777777" w:rsidR="00271FA2" w:rsidRPr="004224F6" w:rsidRDefault="002C62EC">
      <w:pPr>
        <w:tabs>
          <w:tab w:val="left" w:pos="992"/>
          <w:tab w:val="left" w:pos="1560"/>
          <w:tab w:val="left" w:pos="1985"/>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IST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ub>
          </m:sSub>
          <m:r>
            <w:rPr>
              <w:rFonts w:ascii="Cambria Math" w:hAnsi="Cambria Math" w:cs="Times New Roman"/>
            </w:rPr>
            <m:t xml:space="preserve"> ∙ </m:t>
          </m:r>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r>
                <w:rPr>
                  <w:rFonts w:ascii="Cambria Math" w:hAnsi="Cambria Math" w:cs="Times New Roman"/>
                </w:rPr>
                <m:t xml:space="preserve"> </m:t>
              </m:r>
            </m:sub>
          </m:sSub>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r>
                <w:rPr>
                  <w:rFonts w:ascii="Cambria Math" w:hAnsi="Cambria Math" w:cs="Times New Roman"/>
                </w:rPr>
                <m:t xml:space="preserve"> ∙g</m:t>
              </m:r>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3</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sSub>
                    <m:sSubPr>
                      <m:ctrlPr>
                        <w:rPr>
                          <w:rFonts w:ascii="Cambria Math" w:hAnsi="Cambria Math" w:cs="Times New Roman"/>
                          <w:i/>
                        </w:rPr>
                      </m:ctrlPr>
                    </m:sSubPr>
                    <m:e>
                      <m:r>
                        <w:rPr>
                          <w:rFonts w:ascii="Cambria Math" w:hAnsi="Cambria Math" w:cs="Times New Roman"/>
                        </w:rPr>
                        <m:t>TmII</m:t>
                      </m:r>
                    </m:e>
                    <m:sub>
                      <m:r>
                        <w:rPr>
                          <w:rFonts w:ascii="Cambria Math" w:hAnsi="Cambria Math" w:cs="Times New Roman"/>
                        </w:rPr>
                        <m:t>IST</m:t>
                      </m:r>
                    </m:sub>
                  </m:sSub>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den>
          </m:f>
          <m:r>
            <w:rPr>
              <w:rFonts w:ascii="Cambria Math" w:hAnsi="Cambria Math" w:cs="Times New Roman"/>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4</m:t>
                  </m:r>
                </m:sub>
              </m:sSub>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IST</m:t>
                          </m:r>
                        </m:sub>
                      </m:sSub>
                    </m:sub>
                  </m:sSub>
                </m:num>
                <m:den>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den>
              </m:f>
              <m:r>
                <w:rPr>
                  <w:rFonts w:ascii="Cambria Math" w:hAnsi="Cambria Math" w:cs="Times New Roman"/>
                </w:rPr>
                <m:t>;</m:t>
              </m:r>
            </m:e>
          </m:d>
        </m:oMath>
      </m:oMathPara>
    </w:p>
    <w:p w14:paraId="5DCCDDE6" w14:textId="77777777" w:rsidR="00271FA2" w:rsidRPr="004224F6" w:rsidRDefault="00D35E51">
      <w:pPr>
        <w:tabs>
          <w:tab w:val="left" w:pos="709"/>
        </w:tabs>
        <w:overflowPunct w:val="0"/>
        <w:adjustRightInd w:val="0"/>
        <w:spacing w:line="240" w:lineRule="atLeast"/>
        <w:ind w:left="709"/>
        <w:textAlignment w:val="baseline"/>
        <w:rPr>
          <w:rFonts w:ascii="Times New Roman" w:hAnsi="Times New Roman" w:cs="Times New Roman"/>
          <w:lang w:val="ru-RU"/>
        </w:rPr>
      </w:pPr>
      <w:r w:rsidRPr="004224F6">
        <w:rPr>
          <w:rFonts w:ascii="Times New Roman" w:hAnsi="Times New Roman" w:cs="Times New Roman"/>
          <w:lang w:val="ru-RU"/>
        </w:rPr>
        <w:t xml:space="preserve">в) изчисляване на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TmII</m:t>
                </m:r>
              </m:sub>
            </m:sSub>
          </m:e>
          <m:sub>
            <m:r>
              <w:rPr>
                <w:rFonts w:ascii="Cambria Math" w:hAnsi="Cambria Math" w:cs="Times New Roman"/>
              </w:rPr>
              <m:t>IST</m:t>
            </m:r>
          </m:sub>
        </m:sSub>
      </m:oMath>
      <w:r w:rsidRPr="004224F6">
        <w:rPr>
          <w:rFonts w:ascii="Times New Roman" w:hAnsi="Times New Roman" w:cs="Times New Roman"/>
          <w:lang w:val="ru-RU"/>
        </w:rPr>
        <w:t xml:space="preserve"> съгласно таблица 3 и формула (4.3) от Приложение</w:t>
      </w:r>
      <w:r w:rsidRPr="004224F6">
        <w:rPr>
          <w:rFonts w:ascii="Times New Roman" w:hAnsi="Times New Roman" w:cs="Times New Roman"/>
        </w:rPr>
        <w:t> </w:t>
      </w:r>
      <w:r w:rsidRPr="004224F6">
        <w:rPr>
          <w:rFonts w:ascii="Times New Roman" w:hAnsi="Times New Roman" w:cs="Times New Roman"/>
          <w:lang w:val="ru-RU"/>
        </w:rPr>
        <w:t>2</w:t>
      </w:r>
    </w:p>
    <w:p w14:paraId="1769AA0E"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e>
            <m:sup>
              <m:r>
                <w:rPr>
                  <w:rFonts w:ascii="Cambria Math" w:hAnsi="Cambria Math" w:cs="Times New Roman"/>
                </w:rPr>
                <m:t>1/3</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5179</m:t>
              </m:r>
            </m:e>
            <m:sup>
              <m:r>
                <w:rPr>
                  <w:rFonts w:ascii="Cambria Math" w:hAnsi="Cambria Math" w:cs="Times New Roman"/>
                </w:rPr>
                <m:t>1/3</m:t>
              </m:r>
            </m:sup>
          </m:sSup>
          <m:r>
            <w:rPr>
              <w:rFonts w:ascii="Cambria Math" w:hAnsi="Cambria Math" w:cs="Times New Roman"/>
            </w:rPr>
            <m:t xml:space="preserve">=17,3 </m:t>
          </m:r>
          <m:d>
            <m:dPr>
              <m:begChr m:val="["/>
              <m:endChr m:val="]"/>
              <m:ctrlPr>
                <w:rPr>
                  <w:rFonts w:ascii="Cambria Math" w:hAnsi="Cambria Math" w:cs="Times New Roman"/>
                  <w:i/>
                </w:rPr>
              </m:ctrlPr>
            </m:dPr>
            <m:e>
              <m:r>
                <w:rPr>
                  <w:rFonts w:ascii="Cambria Math" w:hAnsi="Cambria Math" w:cs="Times New Roman"/>
                </w:rPr>
                <m:t>m</m:t>
              </m:r>
            </m:e>
          </m:d>
        </m:oMath>
      </m:oMathPara>
    </w:p>
    <w:p w14:paraId="4BADAB55"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e>
            <m:sup>
              <m:r>
                <w:rPr>
                  <w:rFonts w:ascii="Cambria Math" w:hAnsi="Cambria Math" w:cs="Times New Roman"/>
                </w:rPr>
                <m:t>1/3</m:t>
              </m:r>
            </m:sup>
          </m:sSup>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 xml:space="preserve">B+2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IST</m:t>
                  </m:r>
                </m:sub>
              </m:sSub>
            </m:e>
          </m:d>
          <m:r>
            <w:rPr>
              <w:rFonts w:ascii="Cambria Math" w:hAnsi="Cambria Math" w:cs="Times New Roman"/>
            </w:rPr>
            <m:t xml:space="preserve">=17,3 ∙ </m:t>
          </m:r>
          <m:d>
            <m:dPr>
              <m:ctrlPr>
                <w:rPr>
                  <w:rFonts w:ascii="Cambria Math" w:hAnsi="Cambria Math" w:cs="Times New Roman"/>
                  <w:i/>
                </w:rPr>
              </m:ctrlPr>
            </m:dPr>
            <m:e>
              <m:r>
                <w:rPr>
                  <w:rFonts w:ascii="Cambria Math" w:hAnsi="Cambria Math" w:cs="Times New Roman"/>
                </w:rPr>
                <m:t>22,8+5,92</m:t>
              </m:r>
            </m:e>
          </m:d>
          <m:r>
            <w:rPr>
              <w:rFonts w:ascii="Cambria Math" w:hAnsi="Cambria Math" w:cs="Times New Roman"/>
            </w:rPr>
            <m:t xml:space="preserve">=496,8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e>
          </m:d>
        </m:oMath>
      </m:oMathPara>
    </w:p>
    <w:p w14:paraId="6092CA52" w14:textId="77777777" w:rsidR="00271FA2" w:rsidRPr="004224F6" w:rsidRDefault="00D35E51">
      <w:pPr>
        <w:tabs>
          <w:tab w:val="left" w:pos="284"/>
          <w:tab w:val="left" w:pos="3119"/>
          <w:tab w:val="left" w:pos="4678"/>
        </w:tabs>
        <w:overflowPunct w:val="0"/>
        <w:adjustRightInd w:val="0"/>
        <w:spacing w:line="240" w:lineRule="atLeast"/>
        <w:ind w:left="1276" w:hanging="284"/>
        <w:textAlignment w:val="baseline"/>
        <w:rPr>
          <w:rFonts w:ascii="Times New Roman" w:hAnsi="Times New Roman" w:cs="Times New Roman"/>
          <w:lang w:val="ru-RU"/>
        </w:rPr>
      </w:pPr>
      <w:r w:rsidRPr="004224F6">
        <w:rPr>
          <w:rFonts w:ascii="Times New Roman" w:hAnsi="Times New Roman" w:cs="Times New Roman"/>
          <w:lang w:val="ru-RU"/>
        </w:rPr>
        <w:t>съгласно таблица 3</w:t>
      </w:r>
      <w:r w:rsidRPr="004224F6">
        <w:rPr>
          <w:rFonts w:ascii="Times New Roman" w:hAnsi="Times New Roman" w:cs="Times New Roman"/>
          <w:lang w:val="ru-RU"/>
        </w:rPr>
        <w:tab/>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num>
          <m:den>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den>
        </m:f>
        <m:r>
          <w:rPr>
            <w:rFonts w:ascii="Cambria Math" w:hAnsi="Cambria Math" w:cs="Times New Roman"/>
            <w:lang w:val="ru-RU"/>
          </w:rPr>
          <m:t xml:space="preserve">=10,8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kN</m:t>
                </m:r>
                <m:r>
                  <w:rPr>
                    <w:rFonts w:ascii="Cambria Math" w:hAnsi="Cambria Math" w:cs="Times New Roman"/>
                    <w:lang w:val="ru-RU"/>
                  </w:rPr>
                  <m:t xml:space="preserve"> ∙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lang w:val="ru-RU"/>
                      </w:rPr>
                      <m:t>2</m:t>
                    </m:r>
                  </m:sup>
                </m:sSup>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lang w:val="ru-RU"/>
                      </w:rPr>
                      <m:t>2</m:t>
                    </m:r>
                  </m:sup>
                </m:sSup>
              </m:den>
            </m:f>
          </m:e>
        </m:d>
      </m:oMath>
    </w:p>
    <w:p w14:paraId="7A68A1F3"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m:t>
                  </m:r>
                </m:sub>
              </m:sSub>
            </m:e>
            <m:sub>
              <m:r>
                <w:rPr>
                  <w:rFonts w:ascii="Cambria Math" w:hAnsi="Cambria Math" w:cs="Times New Roman"/>
                </w:rPr>
                <m:t>IST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IST</m:t>
                  </m:r>
                </m:sub>
              </m:sSub>
            </m:sub>
          </m:sSub>
          <m:r>
            <w:rPr>
              <w:rFonts w:ascii="Cambria Math" w:hAnsi="Cambria Math" w:cs="Times New Roman"/>
            </w:rPr>
            <m:t>=4,9-1,4=3,5 m/s</m:t>
          </m:r>
        </m:oMath>
      </m:oMathPara>
    </w:p>
    <w:p w14:paraId="1B19D247"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TmII</m:t>
                  </m:r>
                </m:sub>
              </m:sSub>
            </m:e>
            <m:sub>
              <m:r>
                <w:rPr>
                  <w:rFonts w:ascii="Cambria Math" w:hAnsi="Cambria Math" w:cs="Times New Roman"/>
                </w:rPr>
                <m:t>IST</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num>
            <m:den>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den>
          </m:f>
          <m:r>
            <w:rPr>
              <w:rFonts w:ascii="Cambria Math" w:hAnsi="Cambria Math" w:cs="Times New Roman"/>
            </w:rPr>
            <m:t xml:space="preserve"> ∙ </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7</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6</m:t>
                      </m:r>
                    </m:sub>
                  </m:sSub>
                  <m:r>
                    <w:rPr>
                      <w:rFonts w:ascii="Cambria Math" w:hAnsi="Cambria Math" w:cs="Times New Roman"/>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IST</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IST</m:t>
                              </m:r>
                            </m:sub>
                          </m:sSub>
                        </m:sub>
                      </m:sSub>
                    </m:e>
                  </m:d>
                </m:e>
              </m:d>
            </m:e>
            <m:sup>
              <m:r>
                <w:rPr>
                  <w:rFonts w:ascii="Cambria Math" w:hAnsi="Cambria Math" w:cs="Times New Roman"/>
                </w:rPr>
                <m:t>2</m:t>
              </m:r>
            </m:sup>
          </m:sSup>
          <m:r>
            <w:rPr>
              <w:rFonts w:ascii="Cambria Math" w:hAnsi="Cambria Math" w:cs="Times New Roman"/>
            </w:rPr>
            <m:t xml:space="preserve">= 10,8 ∙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0,55 ∙0,85 ∙3,5</m:t>
                  </m:r>
                </m:e>
              </m:d>
            </m:e>
            <m:sup>
              <m: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 xml:space="preserve">28,8 </m:t>
          </m:r>
          <m:d>
            <m:dPr>
              <m:begChr m:val="["/>
              <m:endChr m:val="]"/>
              <m:ctrlPr>
                <w:rPr>
                  <w:rFonts w:ascii="Cambria Math" w:hAnsi="Cambria Math" w:cs="Times New Roman"/>
                  <w:b/>
                  <w:i/>
                </w:rPr>
              </m:ctrlPr>
            </m:dPr>
            <m:e>
              <m:r>
                <m:rPr>
                  <m:sty m:val="bi"/>
                </m:rPr>
                <w:rPr>
                  <w:rFonts w:ascii="Cambria Math" w:hAnsi="Cambria Math" w:cs="Times New Roman"/>
                </w:rPr>
                <m:t>kN</m:t>
              </m:r>
            </m:e>
          </m:d>
        </m:oMath>
      </m:oMathPara>
    </w:p>
    <w:p w14:paraId="48A4AFF4" w14:textId="77777777" w:rsidR="00271FA2" w:rsidRPr="004224F6" w:rsidRDefault="00D35E51">
      <w:pPr>
        <w:tabs>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 xml:space="preserve">г) изчисляване на съпротивлението на наклона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4224F6">
        <w:rPr>
          <w:rFonts w:ascii="Times New Roman" w:hAnsi="Times New Roman" w:cs="Times New Roman"/>
          <w:lang w:val="ru-RU"/>
        </w:rPr>
        <w:t xml:space="preserve"> съгласно формула (4.4)</w:t>
      </w:r>
    </w:p>
    <w:p w14:paraId="70FF0C63" w14:textId="77777777" w:rsidR="00271FA2" w:rsidRPr="004224F6" w:rsidRDefault="002C62EC">
      <w:pPr>
        <w:overflowPunct w:val="0"/>
        <w:adjustRightInd w:val="0"/>
        <w:spacing w:line="240" w:lineRule="atLeast"/>
        <w:ind w:left="993" w:hanging="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r>
            <w:rPr>
              <w:rFonts w:ascii="Cambria Math" w:hAnsi="Cambria Math" w:cs="Times New Roman"/>
            </w:rPr>
            <m:t xml:space="preserve"> ∙ </m:t>
          </m:r>
          <m:d>
            <m:dPr>
              <m:ctrlPr>
                <w:rPr>
                  <w:rFonts w:ascii="Cambria Math" w:hAnsi="Cambria Math" w:cs="Times New Roman"/>
                  <w:i/>
                </w:rPr>
              </m:ctrlPr>
            </m:dPr>
            <m:e>
              <m:r>
                <w:rPr>
                  <w:rFonts w:ascii="Cambria Math" w:hAnsi="Cambria Math" w:cs="Times New Roman"/>
                </w:rPr>
                <m:t xml:space="preserve">0,16 ∙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r>
                <w:rPr>
                  <w:rFonts w:ascii="Cambria Math" w:hAnsi="Cambria Math" w:cs="Times New Roman"/>
                </w:rPr>
                <m:t xml:space="preserve"> ∙ ρ ∙g</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r>
            <w:rPr>
              <w:rFonts w:ascii="Cambria Math" w:hAnsi="Cambria Math" w:cs="Times New Roman"/>
            </w:rPr>
            <m:t xml:space="preserve"> ∙(0,16 ∙</m:t>
          </m:r>
          <m:r>
            <m:rPr>
              <m:sty m:val="bi"/>
            </m:rPr>
            <w:rPr>
              <w:rFonts w:ascii="Cambria Math" w:hAnsi="Cambria Math" w:cs="Times New Roman"/>
              <w:position w:val="6"/>
            </w:rPr>
            <m:t xml:space="preserve"> </m:t>
          </m:r>
          <m:r>
            <w:rPr>
              <w:rFonts w:ascii="Cambria Math" w:hAnsi="Cambria Math" w:cs="Times New Roman"/>
            </w:rPr>
            <m:t xml:space="preserve">5179 ∙ 1000 ∙ 9,81)= </m:t>
          </m:r>
          <m:r>
            <m:rPr>
              <m:sty m:val="bi"/>
            </m:rPr>
            <w:rPr>
              <w:rFonts w:ascii="Cambria Math" w:hAnsi="Cambria Math" w:cs="Times New Roman"/>
              <w:u w:val="single"/>
            </w:rPr>
            <m:t>8,13</m:t>
          </m:r>
          <m:r>
            <m:rPr>
              <m:sty m:val="bi"/>
            </m:rPr>
            <w:rPr>
              <w:rFonts w:ascii="Cambria Math" w:hAnsi="Cambria Math" w:cs="Times New Roman"/>
            </w:rPr>
            <m:t xml:space="preserve">  [kN]</m:t>
          </m:r>
        </m:oMath>
      </m:oMathPara>
    </w:p>
    <w:p w14:paraId="038B2FA0" w14:textId="77777777" w:rsidR="00271FA2" w:rsidRPr="004224F6" w:rsidRDefault="00D35E51">
      <w:pPr>
        <w:tabs>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 xml:space="preserve">д) изчисляване на </w:t>
      </w: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oMath>
      <w:r w:rsidRPr="004224F6">
        <w:rPr>
          <w:rFonts w:ascii="Times New Roman" w:hAnsi="Times New Roman" w:cs="Times New Roman"/>
          <w:lang w:val="ru-RU"/>
        </w:rPr>
        <w:t xml:space="preserve"> съгласно формула (4.5)</w:t>
      </w:r>
    </w:p>
    <w:p w14:paraId="0DAEB1C5" w14:textId="77777777" w:rsidR="00271FA2" w:rsidRPr="004224F6" w:rsidRDefault="002C62EC">
      <w:pPr>
        <w:overflowPunct w:val="0"/>
        <w:adjustRightInd w:val="0"/>
        <w:spacing w:line="240" w:lineRule="atLeast"/>
        <w:ind w:left="992"/>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6</m:t>
              </m:r>
            </m:sub>
          </m:sSub>
          <m:r>
            <w:rPr>
              <w:rFonts w:ascii="Cambria Math" w:hAnsi="Cambria Math" w:cs="Times New Roman"/>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IST</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IST</m:t>
                      </m:r>
                    </m:sub>
                  </m:sSub>
                </m:sub>
              </m:sSub>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0,85 ∙3,5</m:t>
              </m:r>
            </m:e>
          </m:d>
          <m:r>
            <w:rPr>
              <w:rFonts w:ascii="Cambria Math" w:hAnsi="Cambria Math" w:cs="Times New Roman"/>
            </w:rPr>
            <m:t xml:space="preserve">=2,97 </m:t>
          </m:r>
          <m:d>
            <m:dPr>
              <m:begChr m:val="["/>
              <m:endChr m:val="]"/>
              <m:ctrlPr>
                <w:rPr>
                  <w:rFonts w:ascii="Cambria Math" w:hAnsi="Cambria Math" w:cs="Times New Roman"/>
                  <w:i/>
                </w:rPr>
              </m:ctrlPr>
            </m:dPr>
            <m:e>
              <m:r>
                <w:rPr>
                  <w:rFonts w:ascii="Cambria Math" w:hAnsi="Cambria Math" w:cs="Times New Roman"/>
                </w:rPr>
                <m:t>m/s</m:t>
              </m:r>
            </m:e>
          </m:d>
        </m:oMath>
      </m:oMathPara>
    </w:p>
    <w:p w14:paraId="01E67F3A" w14:textId="77777777" w:rsidR="00271FA2" w:rsidRPr="004224F6" w:rsidRDefault="002C62EC">
      <w:pPr>
        <w:overflowPunct w:val="0"/>
        <w:adjustRightInd w:val="0"/>
        <w:spacing w:line="240" w:lineRule="atLeast"/>
        <w:ind w:left="993" w:hanging="1"/>
        <w:textAlignment w:val="baseline"/>
        <w:rPr>
          <w:rFonts w:ascii="Times New Roman" w:hAnsi="Times New Roman" w:cs="Times New Roman"/>
          <w:lang w:val="ru-RU"/>
        </w:rPr>
      </w:pP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r>
          <w:rPr>
            <w:rFonts w:ascii="Cambria Math" w:hAnsi="Cambria Math" w:cs="Times New Roman"/>
            <w:lang w:val="ru-RU"/>
          </w:rPr>
          <m:t xml:space="preserve">=8,85 </m:t>
        </m:r>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m</m:t>
                </m:r>
                <m:r>
                  <w:rPr>
                    <w:rFonts w:ascii="Cambria Math" w:hAnsi="Cambria Math" w:cs="Times New Roman"/>
                    <w:lang w:val="ru-RU"/>
                  </w:rPr>
                  <m:t>/</m:t>
                </m:r>
                <m:r>
                  <w:rPr>
                    <w:rFonts w:ascii="Cambria Math" w:hAnsi="Cambria Math" w:cs="Times New Roman"/>
                  </w:rPr>
                  <m:t>s</m:t>
                </m:r>
              </m:e>
            </m:d>
          </m:e>
          <m:sup>
            <m:r>
              <w:rPr>
                <w:rFonts w:ascii="Cambria Math" w:hAnsi="Cambria Math" w:cs="Times New Roman"/>
                <w:lang w:val="ru-RU"/>
              </w:rPr>
              <m:t>2</m:t>
            </m:r>
          </m:sup>
        </m:sSup>
      </m:oMath>
      <w:r w:rsidR="00D35E51" w:rsidRPr="004224F6">
        <w:rPr>
          <w:rFonts w:ascii="Times New Roman" w:eastAsiaTheme="minorEastAsia" w:hAnsi="Times New Roman" w:cs="Times New Roman"/>
          <w:lang w:val="ru-RU"/>
        </w:rPr>
        <w:t>;</w:t>
      </w:r>
    </w:p>
    <w:p w14:paraId="02AB9171" w14:textId="77777777" w:rsidR="00271FA2" w:rsidRPr="004224F6" w:rsidRDefault="00D35E51">
      <w:pPr>
        <w:tabs>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 xml:space="preserve">е) изчисляване на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oMath>
      <w:r w:rsidRPr="004224F6">
        <w:rPr>
          <w:rFonts w:ascii="Times New Roman" w:hAnsi="Times New Roman" w:cs="Times New Roman"/>
          <w:lang w:val="ru-RU"/>
        </w:rPr>
        <w:t xml:space="preserve"> съгласно формула (4.6) и таблица 2</w:t>
      </w:r>
    </w:p>
    <w:p w14:paraId="0AF74677" w14:textId="77777777" w:rsidR="00271FA2" w:rsidRPr="004224F6" w:rsidRDefault="002C62EC">
      <w:pPr>
        <w:overflowPunct w:val="0"/>
        <w:adjustRightInd w:val="0"/>
        <w:spacing w:line="240" w:lineRule="atLeast"/>
        <w:ind w:left="992"/>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r>
          <w:rPr>
            <w:rFonts w:ascii="Cambria Math" w:hAnsi="Cambria Math" w:cs="Times New Roman"/>
            <w:lang w:val="ru-RU"/>
          </w:rPr>
          <m:t>=0,118 ∙1500=</m:t>
        </m:r>
        <m:r>
          <m:rPr>
            <m:sty m:val="bi"/>
          </m:rPr>
          <w:rPr>
            <w:rFonts w:ascii="Cambria Math" w:hAnsi="Cambria Math" w:cs="Times New Roman"/>
          </w:rPr>
          <m:t>177</m:t>
        </m:r>
        <m:r>
          <m:rPr>
            <m:sty m:val="bi"/>
          </m:rPr>
          <w:rPr>
            <w:rFonts w:ascii="Cambria Math" w:hAnsi="Cambria Math" w:cs="Times New Roman"/>
            <w:lang w:val="ru-RU"/>
          </w:rPr>
          <m:t xml:space="preserve"> </m:t>
        </m:r>
        <m:d>
          <m:dPr>
            <m:begChr m:val="["/>
            <m:endChr m:val="]"/>
            <m:ctrlPr>
              <w:rPr>
                <w:rFonts w:ascii="Cambria Math" w:hAnsi="Cambria Math" w:cs="Times New Roman"/>
                <w:b/>
                <w:i/>
              </w:rPr>
            </m:ctrlPr>
          </m:dPr>
          <m:e>
            <m:r>
              <m:rPr>
                <m:sty m:val="bi"/>
              </m:rPr>
              <w:rPr>
                <w:rFonts w:ascii="Cambria Math" w:hAnsi="Cambria Math" w:cs="Times New Roman"/>
              </w:rPr>
              <m:t>kN</m:t>
            </m:r>
          </m:e>
        </m:d>
      </m:oMath>
      <w:r w:rsidR="00D35E51" w:rsidRPr="004224F6">
        <w:rPr>
          <w:rFonts w:ascii="Times New Roman" w:eastAsiaTheme="minorEastAsia" w:hAnsi="Times New Roman" w:cs="Times New Roman"/>
          <w:b/>
          <w:lang w:val="ru-RU"/>
        </w:rPr>
        <w:t>;</w:t>
      </w:r>
    </w:p>
    <w:p w14:paraId="4B57065C" w14:textId="77777777" w:rsidR="00271FA2" w:rsidRPr="004224F6" w:rsidRDefault="00D35E51">
      <w:pPr>
        <w:tabs>
          <w:tab w:val="left" w:pos="992"/>
        </w:tabs>
        <w:overflowPunct w:val="0"/>
        <w:adjustRightInd w:val="0"/>
        <w:spacing w:line="240" w:lineRule="atLeast"/>
        <w:ind w:left="992" w:hanging="283"/>
        <w:jc w:val="both"/>
        <w:textAlignment w:val="baseline"/>
        <w:rPr>
          <w:rFonts w:ascii="Times New Roman" w:hAnsi="Times New Roman" w:cs="Times New Roman"/>
          <w:lang w:val="ru-RU"/>
        </w:rPr>
      </w:pPr>
      <w:r w:rsidRPr="004224F6">
        <w:rPr>
          <w:rFonts w:ascii="Times New Roman" w:hAnsi="Times New Roman" w:cs="Times New Roman"/>
          <w:lang w:val="ru-RU"/>
        </w:rPr>
        <w:t xml:space="preserve">ж) изчисляване на </w:t>
      </w: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oMath>
      <w:r w:rsidRPr="004224F6">
        <w:rPr>
          <w:rFonts w:ascii="Times New Roman" w:hAnsi="Times New Roman" w:cs="Times New Roman"/>
          <w:lang w:val="ru-RU"/>
        </w:rPr>
        <w:t>, като се използва формулата посочена в буква„б“ и резултатите посочени в букви „в“, „г“, „д“ и „е“</w:t>
      </w:r>
    </w:p>
    <w:p w14:paraId="649BE668"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 xml:space="preserve">0,12 ∙8,85 ∙9,81 ∙  </m:t>
              </m:r>
              <m:d>
                <m:dPr>
                  <m:ctrlPr>
                    <w:rPr>
                      <w:rFonts w:ascii="Cambria Math" w:hAnsi="Cambria Math" w:cs="Times New Roman"/>
                      <w:i/>
                    </w:rPr>
                  </m:ctrlPr>
                </m:dPr>
                <m:e>
                  <m:r>
                    <w:rPr>
                      <w:rFonts w:ascii="Cambria Math" w:hAnsi="Cambria Math" w:cs="Times New Roman"/>
                    </w:rPr>
                    <m:t xml:space="preserve">0,48+ </m:t>
                  </m:r>
                  <m:f>
                    <m:fPr>
                      <m:ctrlPr>
                        <w:rPr>
                          <w:rFonts w:ascii="Cambria Math" w:hAnsi="Cambria Math" w:cs="Times New Roman"/>
                          <w:i/>
                        </w:rPr>
                      </m:ctrlPr>
                    </m:fPr>
                    <m:num>
                      <m:r>
                        <w:rPr>
                          <w:rFonts w:ascii="Cambria Math" w:hAnsi="Cambria Math" w:cs="Times New Roman"/>
                        </w:rPr>
                        <m:t>1,4</m:t>
                      </m:r>
                    </m:num>
                    <m:den>
                      <m:r>
                        <w:rPr>
                          <w:rFonts w:ascii="Cambria Math" w:hAnsi="Cambria Math" w:cs="Times New Roman"/>
                        </w:rPr>
                        <m:t>2,97</m:t>
                      </m:r>
                    </m:den>
                  </m:f>
                </m:e>
              </m:d>
            </m:num>
            <m:den>
              <m:r>
                <w:rPr>
                  <w:rFonts w:ascii="Cambria Math" w:hAnsi="Cambria Math" w:cs="Times New Roman"/>
                </w:rPr>
                <m:t>1,15 ∙177+28,8-8,13</m:t>
              </m:r>
            </m:den>
          </m:f>
          <m:r>
            <w:rPr>
              <w:rFonts w:ascii="Cambria Math" w:hAnsi="Cambria Math" w:cs="Times New Roman"/>
            </w:rPr>
            <m:t xml:space="preserve"> ∙ 5179</m:t>
          </m:r>
        </m:oMath>
      </m:oMathPara>
    </w:p>
    <w:p w14:paraId="4BE31C7E" w14:textId="77777777" w:rsidR="00271FA2" w:rsidRPr="004224F6" w:rsidRDefault="002C62EC">
      <w:pPr>
        <w:tabs>
          <w:tab w:val="left" w:pos="992"/>
        </w:tabs>
        <w:overflowPunct w:val="0"/>
        <w:adjustRightInd w:val="0"/>
        <w:spacing w:line="240" w:lineRule="atLeast"/>
        <w:ind w:left="992"/>
        <w:textAlignment w:val="baseline"/>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r>
          <w:rPr>
            <w:rFonts w:ascii="Cambria Math" w:hAnsi="Cambria Math" w:cs="Times New Roman"/>
          </w:rPr>
          <m:t>=</m:t>
        </m:r>
        <m:r>
          <m:rPr>
            <m:sty m:val="bi"/>
          </m:rPr>
          <w:rPr>
            <w:rFonts w:ascii="Cambria Math" w:hAnsi="Cambria Math" w:cs="Times New Roman"/>
          </w:rPr>
          <m:t>228,9 m</m:t>
        </m:r>
      </m:oMath>
      <w:r w:rsidR="00D35E51" w:rsidRPr="004224F6">
        <w:rPr>
          <w:rFonts w:ascii="Times New Roman" w:eastAsiaTheme="minorEastAsia" w:hAnsi="Times New Roman" w:cs="Times New Roman"/>
          <w:b/>
        </w:rPr>
        <w:t>;</w:t>
      </w:r>
    </w:p>
    <w:p w14:paraId="62C8D926" w14:textId="77777777" w:rsidR="00271FA2" w:rsidRPr="004224F6" w:rsidRDefault="00D35E51">
      <w:pPr>
        <w:tabs>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з) изчисляване на общото разстояние съгласно формула (3.1)</w:t>
      </w:r>
    </w:p>
    <w:p w14:paraId="4E3F7CAB" w14:textId="77777777" w:rsidR="00271FA2" w:rsidRPr="004224F6" w:rsidRDefault="002C62EC">
      <w:pPr>
        <w:tabs>
          <w:tab w:val="left" w:pos="992"/>
        </w:tabs>
        <w:overflowPunct w:val="0"/>
        <w:adjustRightInd w:val="0"/>
        <w:spacing w:line="240" w:lineRule="atLeast"/>
        <w:ind w:left="992"/>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IST</m:t>
                </m:r>
              </m:sub>
            </m:sSub>
          </m:sub>
        </m:sSub>
        <m:r>
          <w:rPr>
            <w:rFonts w:ascii="Cambria Math" w:hAnsi="Cambria Math" w:cs="Times New Roman"/>
            <w:lang w:val="ru-RU"/>
          </w:rPr>
          <m:t>=74,51+228,9=</m:t>
        </m:r>
        <m:r>
          <m:rPr>
            <m:sty m:val="bi"/>
          </m:rPr>
          <w:rPr>
            <w:rFonts w:ascii="Cambria Math" w:hAnsi="Cambria Math" w:cs="Times New Roman"/>
          </w:rPr>
          <m:t>303</m:t>
        </m:r>
        <m:r>
          <m:rPr>
            <m:sty m:val="bi"/>
          </m:rPr>
          <w:rPr>
            <w:rFonts w:ascii="Cambria Math" w:hAnsi="Cambria Math" w:cs="Times New Roman"/>
            <w:lang w:val="ru-RU"/>
          </w:rPr>
          <m:t>,</m:t>
        </m:r>
        <m:r>
          <m:rPr>
            <m:sty m:val="bi"/>
          </m:rPr>
          <w:rPr>
            <w:rFonts w:ascii="Cambria Math" w:hAnsi="Cambria Math" w:cs="Times New Roman"/>
          </w:rPr>
          <m:t>4</m:t>
        </m:r>
        <m:r>
          <m:rPr>
            <m:sty m:val="bi"/>
          </m:rPr>
          <w:rPr>
            <w:rFonts w:ascii="Cambria Math" w:hAnsi="Cambria Math" w:cs="Times New Roman"/>
            <w:lang w:val="ru-RU"/>
          </w:rPr>
          <m:t xml:space="preserve"> </m:t>
        </m:r>
        <m:r>
          <m:rPr>
            <m:sty m:val="bi"/>
          </m:rPr>
          <w:rPr>
            <w:rFonts w:ascii="Cambria Math" w:hAnsi="Cambria Math" w:cs="Times New Roman"/>
          </w:rPr>
          <m:t>m</m:t>
        </m:r>
      </m:oMath>
      <w:r w:rsidR="00D35E51" w:rsidRPr="004224F6">
        <w:rPr>
          <w:rFonts w:ascii="Times New Roman" w:eastAsiaTheme="minorEastAsia" w:hAnsi="Times New Roman" w:cs="Times New Roman"/>
          <w:b/>
          <w:lang w:val="ru-RU"/>
        </w:rPr>
        <w:t>.</w:t>
      </w:r>
    </w:p>
    <w:p w14:paraId="749E7B3E" w14:textId="77777777" w:rsidR="00271FA2" w:rsidRPr="004224F6" w:rsidRDefault="00D35E51">
      <w:pPr>
        <w:tabs>
          <w:tab w:val="left" w:pos="454"/>
        </w:tabs>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b/>
          <w:lang w:val="ru-RU"/>
        </w:rPr>
        <w:t>Анотация:</w:t>
      </w:r>
    </w:p>
    <w:p w14:paraId="7EEAF287" w14:textId="77777777" w:rsidR="00271FA2" w:rsidRPr="004224F6" w:rsidRDefault="00D35E51">
      <w:pPr>
        <w:tabs>
          <w:tab w:val="left" w:pos="567"/>
        </w:tabs>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i/>
          <w:lang w:val="ru-RU"/>
        </w:rPr>
        <w:t>Забележка:</w:t>
      </w:r>
      <w:r w:rsidRPr="004224F6">
        <w:rPr>
          <w:rFonts w:ascii="Times New Roman" w:hAnsi="Times New Roman" w:cs="Times New Roman"/>
          <w:lang w:val="ru-RU"/>
        </w:rPr>
        <w:t xml:space="preserve"> Изразът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TmII</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4224F6">
        <w:rPr>
          <w:rFonts w:ascii="Times New Roman" w:hAnsi="Times New Roman" w:cs="Times New Roman"/>
          <w:lang w:val="ru-RU"/>
        </w:rPr>
        <w:t xml:space="preserve">), който е функция на </w:t>
      </w:r>
      <m:oMath>
        <m:r>
          <w:rPr>
            <w:rFonts w:ascii="Cambria Math" w:hAnsi="Cambria Math" w:cs="Times New Roman"/>
          </w:rPr>
          <m:t>D</m:t>
        </m:r>
      </m:oMath>
      <w:r w:rsidRPr="004224F6">
        <w:rPr>
          <w:rFonts w:ascii="Times New Roman" w:hAnsi="Times New Roman" w:cs="Times New Roman"/>
          <w:lang w:val="ru-RU"/>
        </w:rPr>
        <w:t xml:space="preserve">, при действителна стойност от 20,67 </w:t>
      </w:r>
      <w:r w:rsidRPr="004224F6">
        <w:rPr>
          <w:rFonts w:ascii="Times New Roman" w:hAnsi="Times New Roman" w:cs="Times New Roman"/>
        </w:rPr>
        <w:t>kN</w:t>
      </w:r>
      <w:r w:rsidRPr="004224F6">
        <w:rPr>
          <w:rFonts w:ascii="Times New Roman" w:hAnsi="Times New Roman" w:cs="Times New Roman"/>
          <w:lang w:val="ru-RU"/>
        </w:rPr>
        <w:t xml:space="preserve"> очевидно е относително малък в сравнение с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3</m:t>
            </m:r>
          </m:sub>
        </m:sSub>
        <m:r>
          <w:rPr>
            <w:rFonts w:ascii="Cambria Math" w:hAnsi="Cambria Math" w:cs="Times New Roman"/>
            <w:lang w:val="ru-RU"/>
          </w:rPr>
          <m:t xml:space="preserve"> ∙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oMath>
      <w:r w:rsidRPr="004224F6">
        <w:rPr>
          <w:rFonts w:ascii="Times New Roman" w:hAnsi="Times New Roman" w:cs="Times New Roman"/>
          <w:lang w:val="ru-RU"/>
        </w:rPr>
        <w:t xml:space="preserve"> с действителна стойност от 203,55 </w:t>
      </w:r>
      <w:r w:rsidRPr="004224F6">
        <w:rPr>
          <w:rFonts w:ascii="Times New Roman" w:hAnsi="Times New Roman" w:cs="Times New Roman"/>
        </w:rPr>
        <w:t>kN</w:t>
      </w:r>
      <w:r w:rsidRPr="004224F6">
        <w:rPr>
          <w:rFonts w:ascii="Times New Roman" w:hAnsi="Times New Roman" w:cs="Times New Roman"/>
          <w:lang w:val="ru-RU"/>
        </w:rPr>
        <w:t xml:space="preserve">, така че с цел опростяване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oMath>
      <w:r w:rsidRPr="004224F6">
        <w:rPr>
          <w:rFonts w:ascii="Times New Roman" w:hAnsi="Times New Roman" w:cs="Times New Roman"/>
          <w:lang w:val="ru-RU"/>
        </w:rPr>
        <w:t xml:space="preserve"> може да се приеме за пропорционално на </w:t>
      </w:r>
      <m:oMath>
        <m:r>
          <w:rPr>
            <w:rFonts w:ascii="Cambria Math" w:hAnsi="Cambria Math" w:cs="Times New Roman"/>
          </w:rPr>
          <m:t>D</m:t>
        </m:r>
      </m:oMath>
      <w:r w:rsidRPr="004224F6">
        <w:rPr>
          <w:rFonts w:ascii="Times New Roman" w:hAnsi="Times New Roman" w:cs="Times New Roman"/>
          <w:lang w:val="ru-RU"/>
        </w:rPr>
        <w:t xml:space="preserve">, т.е.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r>
          <w:rPr>
            <w:rFonts w:ascii="Cambria Math" w:hAnsi="Cambria Math" w:cs="Times New Roman"/>
            <w:lang w:val="ru-RU"/>
          </w:rPr>
          <m:t>=</m:t>
        </m:r>
        <m:r>
          <w:rPr>
            <w:rFonts w:ascii="Cambria Math" w:hAnsi="Cambria Math" w:cs="Times New Roman"/>
          </w:rPr>
          <m:t>Const</m:t>
        </m:r>
        <m:r>
          <w:rPr>
            <w:rFonts w:ascii="Cambria Math" w:hAnsi="Cambria Math" w:cs="Times New Roman"/>
            <w:lang w:val="ru-RU"/>
          </w:rPr>
          <m:t xml:space="preserve"> ∙ </m:t>
        </m:r>
        <m:r>
          <w:rPr>
            <w:rFonts w:ascii="Cambria Math" w:hAnsi="Cambria Math" w:cs="Times New Roman"/>
          </w:rPr>
          <m:t>D</m:t>
        </m:r>
      </m:oMath>
      <w:r w:rsidRPr="004224F6">
        <w:rPr>
          <w:rFonts w:ascii="Times New Roman" w:hAnsi="Times New Roman" w:cs="Times New Roman"/>
          <w:lang w:val="ru-RU"/>
        </w:rPr>
        <w:t>.</w:t>
      </w:r>
    </w:p>
    <w:p w14:paraId="166732BC"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4.3</w:t>
      </w:r>
      <w:r w:rsidRPr="004224F6">
        <w:rPr>
          <w:rFonts w:ascii="Times New Roman" w:hAnsi="Times New Roman" w:cs="Times New Roman"/>
          <w:lang w:val="ru-RU"/>
        </w:rPr>
        <w:tab/>
      </w:r>
      <w:r w:rsidRPr="004224F6">
        <w:rPr>
          <w:rFonts w:ascii="Times New Roman" w:hAnsi="Times New Roman" w:cs="Times New Roman"/>
          <w:b/>
          <w:color w:val="000000"/>
          <w:lang w:val="ru-RU"/>
        </w:rPr>
        <w:t xml:space="preserve">Изчисляване на </w:t>
      </w:r>
      <m:oMath>
        <m:sSub>
          <m:sSubPr>
            <m:ctrlPr>
              <w:rPr>
                <w:rFonts w:ascii="Cambria Math" w:hAnsi="Cambria Math" w:cs="Times New Roman"/>
                <w:i/>
              </w:rPr>
            </m:ctrlPr>
          </m:sSubPr>
          <m:e>
            <m:r>
              <m:rPr>
                <m:sty m:val="bi"/>
              </m:rPr>
              <w:rPr>
                <w:rFonts w:ascii="Cambria Math" w:hAnsi="Cambria Math" w:cs="Times New Roman"/>
                <w:color w:val="000000"/>
              </w:rPr>
              <m:t>s</m:t>
            </m:r>
          </m:e>
          <m:sub>
            <m:r>
              <m:rPr>
                <m:sty m:val="bi"/>
              </m:rPr>
              <w:rPr>
                <w:rFonts w:ascii="Cambria Math" w:hAnsi="Cambria Math" w:cs="Times New Roman"/>
                <w:color w:val="000000"/>
              </w:rPr>
              <m:t>SOLL</m:t>
            </m:r>
          </m:sub>
        </m:sSub>
      </m:oMath>
    </w:p>
    <w:p w14:paraId="10121C5C"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Начални стойности:</w:t>
      </w:r>
    </w:p>
    <w:p w14:paraId="21D6A288" w14:textId="77777777" w:rsidR="00271FA2" w:rsidRPr="004224F6" w:rsidRDefault="002C62EC" w:rsidP="00605A3E">
      <w:pPr>
        <w:tabs>
          <w:tab w:val="left" w:pos="567"/>
          <w:tab w:val="left" w:pos="4962"/>
        </w:tabs>
        <w:overflowPunct w:val="0"/>
        <w:adjustRightInd w:val="0"/>
        <w:spacing w:line="240" w:lineRule="atLeast"/>
        <w:ind w:left="567"/>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SOLL</m:t>
                </m:r>
              </m:sub>
            </m:sSub>
          </m:sub>
        </m:sSub>
        <m:r>
          <w:rPr>
            <w:rFonts w:ascii="Cambria Math" w:hAnsi="Cambria Math" w:cs="Times New Roman"/>
            <w:lang w:val="ru-RU"/>
          </w:rPr>
          <m:t xml:space="preserve">=1,5 </m:t>
        </m:r>
        <m:r>
          <w:rPr>
            <w:rFonts w:ascii="Cambria Math" w:hAnsi="Cambria Math" w:cs="Times New Roman"/>
          </w:rPr>
          <m:t>m</m:t>
        </m:r>
        <m:r>
          <w:rPr>
            <w:rFonts w:ascii="Cambria Math" w:hAnsi="Cambria Math" w:cs="Times New Roman"/>
            <w:lang w:val="ru-RU"/>
          </w:rPr>
          <m:t>/</m:t>
        </m:r>
        <m:r>
          <w:rPr>
            <w:rFonts w:ascii="Cambria Math" w:hAnsi="Cambria Math" w:cs="Times New Roman"/>
          </w:rPr>
          <m:t>s</m:t>
        </m:r>
        <m:r>
          <w:rPr>
            <w:rFonts w:ascii="Cambria Math" w:hAnsi="Cambria Math" w:cs="Times New Roman"/>
            <w:lang w:val="ru-RU"/>
          </w:rPr>
          <m:t xml:space="preserve">  ≈  5,4  </m:t>
        </m:r>
        <m:r>
          <w:rPr>
            <w:rFonts w:ascii="Cambria Math" w:hAnsi="Cambria Math" w:cs="Times New Roman"/>
          </w:rPr>
          <m:t>km</m:t>
        </m:r>
        <m:r>
          <w:rPr>
            <w:rFonts w:ascii="Cambria Math" w:hAnsi="Cambria Math" w:cs="Times New Roman"/>
            <w:lang w:val="ru-RU"/>
          </w:rPr>
          <m:t>/h</m:t>
        </m:r>
      </m:oMath>
      <w:r w:rsidR="00D35E51" w:rsidRPr="004224F6">
        <w:rPr>
          <w:rFonts w:ascii="Times New Roman" w:hAnsi="Times New Roman" w:cs="Times New Roman"/>
          <w:lang w:val="ru-RU"/>
        </w:rPr>
        <w:tab/>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oMath>
      <w:r w:rsidR="00D35E51" w:rsidRPr="004224F6">
        <w:rPr>
          <w:rFonts w:ascii="Times New Roman" w:hAnsi="Times New Roman" w:cs="Times New Roman"/>
          <w:lang w:val="ru-RU"/>
        </w:rPr>
        <w:t xml:space="preserve"> =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r>
          <w:rPr>
            <w:rFonts w:ascii="Cambria Math" w:hAnsi="Cambria Math" w:cs="Times New Roman"/>
            <w:lang w:val="ru-RU"/>
          </w:rPr>
          <m:t xml:space="preserve">=5179 </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lang w:val="ru-RU"/>
              </w:rPr>
              <m:t>3</m:t>
            </m:r>
          </m:sup>
        </m:sSup>
      </m:oMath>
    </w:p>
    <w:p w14:paraId="4225FC38" w14:textId="77777777" w:rsidR="00271FA2" w:rsidRPr="004224F6" w:rsidRDefault="002C62EC" w:rsidP="00605A3E">
      <w:pPr>
        <w:tabs>
          <w:tab w:val="left" w:pos="567"/>
          <w:tab w:val="left" w:pos="4962"/>
        </w:tabs>
        <w:overflowPunct w:val="0"/>
        <w:adjustRightInd w:val="0"/>
        <w:spacing w:line="240" w:lineRule="atLeast"/>
        <w:ind w:left="567"/>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sub>
        </m:sSub>
        <m:r>
          <w:rPr>
            <w:rFonts w:ascii="Cambria Math" w:hAnsi="Cambria Math" w:cs="Times New Roman"/>
            <w:lang w:val="ru-RU"/>
          </w:rPr>
          <m:t xml:space="preserve">=3,6 </m:t>
        </m:r>
        <m:r>
          <w:rPr>
            <w:rFonts w:ascii="Cambria Math" w:hAnsi="Cambria Math" w:cs="Times New Roman"/>
          </w:rPr>
          <m:t>m</m:t>
        </m:r>
        <m:r>
          <w:rPr>
            <w:rFonts w:ascii="Cambria Math" w:hAnsi="Cambria Math" w:cs="Times New Roman"/>
            <w:lang w:val="ru-RU"/>
          </w:rPr>
          <m:t>/</m:t>
        </m:r>
        <m:r>
          <w:rPr>
            <w:rFonts w:ascii="Cambria Math" w:hAnsi="Cambria Math" w:cs="Times New Roman"/>
          </w:rPr>
          <m:t>s</m:t>
        </m:r>
        <m:r>
          <w:rPr>
            <w:rFonts w:ascii="Cambria Math" w:hAnsi="Cambria Math" w:cs="Times New Roman"/>
            <w:lang w:val="ru-RU"/>
          </w:rPr>
          <m:t xml:space="preserve">  ≈  13  </m:t>
        </m:r>
        <m:r>
          <w:rPr>
            <w:rFonts w:ascii="Cambria Math" w:hAnsi="Cambria Math" w:cs="Times New Roman"/>
          </w:rPr>
          <m:t>km</m:t>
        </m:r>
        <m:r>
          <w:rPr>
            <w:rFonts w:ascii="Cambria Math" w:hAnsi="Cambria Math" w:cs="Times New Roman"/>
            <w:lang w:val="ru-RU"/>
          </w:rPr>
          <m:t>/h</m:t>
        </m:r>
      </m:oMath>
      <w:r w:rsidR="00D35E51" w:rsidRPr="004224F6">
        <w:rPr>
          <w:rFonts w:ascii="Times New Roman" w:hAnsi="Times New Roman" w:cs="Times New Roman"/>
          <w:lang w:val="ru-RU"/>
        </w:rPr>
        <w:tab/>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SOLL</m:t>
            </m:r>
          </m:sub>
        </m:sSub>
      </m:oMath>
      <w:r w:rsidR="00D35E51" w:rsidRPr="004224F6">
        <w:rPr>
          <w:rFonts w:ascii="Times New Roman" w:hAnsi="Times New Roman" w:cs="Times New Roman"/>
          <w:lang w:val="ru-RU"/>
        </w:rPr>
        <w:t xml:space="preserve"> =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IST</m:t>
            </m:r>
          </m:sub>
        </m:sSub>
        <m:r>
          <w:rPr>
            <w:rFonts w:ascii="Cambria Math" w:hAnsi="Cambria Math" w:cs="Times New Roman"/>
            <w:lang w:val="ru-RU"/>
          </w:rPr>
          <m:t xml:space="preserve">=2,96 </m:t>
        </m:r>
        <m:r>
          <w:rPr>
            <w:rFonts w:ascii="Cambria Math" w:hAnsi="Cambria Math" w:cs="Times New Roman"/>
          </w:rPr>
          <m:t>m</m:t>
        </m:r>
      </m:oMath>
    </w:p>
    <w:p w14:paraId="4649CEC1" w14:textId="77777777" w:rsidR="00271FA2" w:rsidRPr="004224F6" w:rsidRDefault="002C62EC" w:rsidP="00605A3E">
      <w:pPr>
        <w:tabs>
          <w:tab w:val="left" w:pos="567"/>
        </w:tabs>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SOLL</m:t>
                  </m:r>
                </m:sub>
              </m:sSub>
            </m:sub>
          </m:sSub>
          <m:r>
            <w:rPr>
              <w:rFonts w:ascii="Cambria Math" w:hAnsi="Cambria Math" w:cs="Times New Roman"/>
            </w:rPr>
            <m:t>=5,1 m/s  ≈  18,4  km/h</m:t>
          </m:r>
        </m:oMath>
      </m:oMathPara>
    </w:p>
    <w:p w14:paraId="188D96DC" w14:textId="77777777" w:rsidR="00271FA2" w:rsidRPr="004224F6" w:rsidRDefault="002C62EC" w:rsidP="00605A3E">
      <w:pPr>
        <w:numPr>
          <w:ilvl w:val="0"/>
          <w:numId w:val="53"/>
        </w:numPr>
        <w:tabs>
          <w:tab w:val="left" w:pos="567"/>
          <w:tab w:val="left" w:pos="992"/>
          <w:tab w:val="left" w:pos="1843"/>
          <w:tab w:val="left" w:pos="2127"/>
        </w:tabs>
        <w:overflowPunct w:val="0"/>
        <w:adjustRightInd w:val="0"/>
        <w:spacing w:line="240" w:lineRule="atLeast"/>
        <w:ind w:left="992" w:hanging="425"/>
        <w:textAlignment w:val="baseline"/>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SOLL</m:t>
                </m:r>
              </m:sub>
            </m:sSub>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oMath>
    </w:p>
    <w:p w14:paraId="0AE13A1C" w14:textId="77777777" w:rsidR="00271FA2" w:rsidRPr="004224F6" w:rsidRDefault="002C62EC" w:rsidP="00605A3E">
      <w:pPr>
        <w:tabs>
          <w:tab w:val="left" w:pos="567"/>
          <w:tab w:val="left" w:pos="992"/>
          <w:tab w:val="left" w:pos="1843"/>
          <w:tab w:val="left" w:pos="2127"/>
        </w:tabs>
        <w:overflowPunct w:val="0"/>
        <w:adjustRightInd w:val="0"/>
        <w:spacing w:line="240" w:lineRule="atLeast"/>
        <w:ind w:left="992" w:firstLine="1"/>
        <w:textAlignment w:val="baseline"/>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r>
          <w:rPr>
            <w:rFonts w:ascii="Cambria Math" w:hAnsi="Cambria Math" w:cs="Times New Roman"/>
          </w:rPr>
          <m:t>=0,95 ∙5,1 ∙16=</m:t>
        </m:r>
        <m:r>
          <m:rPr>
            <m:sty m:val="bi"/>
          </m:rPr>
          <w:rPr>
            <w:rFonts w:ascii="Cambria Math" w:hAnsi="Cambria Math" w:cs="Times New Roman"/>
          </w:rPr>
          <m:t>77,50 m</m:t>
        </m:r>
      </m:oMath>
      <w:r w:rsidR="00D35E51" w:rsidRPr="004224F6">
        <w:rPr>
          <w:rFonts w:ascii="Times New Roman" w:eastAsiaTheme="minorEastAsia" w:hAnsi="Times New Roman" w:cs="Times New Roman"/>
          <w:b/>
        </w:rPr>
        <w:t>;</w:t>
      </w:r>
    </w:p>
    <w:p w14:paraId="7D7F02E2" w14:textId="77777777" w:rsidR="00271FA2" w:rsidRPr="004224F6" w:rsidRDefault="00D35E51" w:rsidP="00605A3E">
      <w:pPr>
        <w:tabs>
          <w:tab w:val="left" w:pos="567"/>
          <w:tab w:val="left" w:pos="1843"/>
          <w:tab w:val="left" w:pos="2127"/>
          <w:tab w:val="center" w:pos="5103"/>
          <w:tab w:val="left" w:pos="6804"/>
          <w:tab w:val="center" w:pos="7938"/>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t xml:space="preserve">б) </w:t>
      </w: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2</m:t>
            </m:r>
          </m:sub>
        </m:sSub>
        <m:r>
          <w:rPr>
            <w:rFonts w:ascii="Cambria Math" w:hAnsi="Cambria Math" w:cs="Times New Roman"/>
            <w:lang w:val="ru-RU"/>
          </w:rPr>
          <m:t xml:space="preserve"> ∙ </m:t>
        </m:r>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r>
              <w:rPr>
                <w:rFonts w:ascii="Cambria Math" w:hAnsi="Cambria Math" w:cs="Times New Roman"/>
                <w:lang w:val="ru-RU"/>
              </w:rPr>
              <m:t xml:space="preserve"> ∙  </m:t>
            </m:r>
            <m:r>
              <w:rPr>
                <w:rFonts w:ascii="Cambria Math" w:hAnsi="Cambria Math" w:cs="Times New Roman"/>
              </w:rPr>
              <m:t>g</m:t>
            </m:r>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3</m:t>
                </m:r>
              </m:sub>
            </m:sSub>
            <m:r>
              <w:rPr>
                <w:rFonts w:ascii="Cambria Math" w:hAnsi="Cambria Math" w:cs="Times New Roman"/>
                <w:lang w:val="ru-RU"/>
              </w:rPr>
              <m:t xml:space="preserve"> ∙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R</m:t>
                </m:r>
              </m:e>
              <m:sub>
                <m:sSub>
                  <m:sSubPr>
                    <m:ctrlPr>
                      <w:rPr>
                        <w:rFonts w:ascii="Cambria Math" w:hAnsi="Cambria Math" w:cs="Times New Roman"/>
                        <w:i/>
                      </w:rPr>
                    </m:ctrlPr>
                  </m:sSubPr>
                  <m:e>
                    <m:r>
                      <w:rPr>
                        <w:rFonts w:ascii="Cambria Math" w:hAnsi="Cambria Math" w:cs="Times New Roman"/>
                      </w:rPr>
                      <m:t>TmII</m:t>
                    </m:r>
                  </m:e>
                  <m:sub>
                    <m:r>
                      <w:rPr>
                        <w:rFonts w:ascii="Cambria Math" w:hAnsi="Cambria Math" w:cs="Times New Roman"/>
                      </w:rPr>
                      <m:t>SOLL</m:t>
                    </m:r>
                  </m:sub>
                </m:sSub>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den>
        </m:f>
        <m:r>
          <w:rPr>
            <w:rFonts w:ascii="Cambria Math" w:hAnsi="Cambria Math" w:cs="Times New Roman"/>
            <w:lang w:val="ru-RU"/>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4</m:t>
                </m:r>
              </m:sub>
            </m:sSub>
            <m:r>
              <w:rPr>
                <w:rFonts w:ascii="Cambria Math" w:hAnsi="Cambria Math" w:cs="Times New Roman"/>
                <w:lang w:val="ru-RU"/>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SOLL</m:t>
                        </m:r>
                      </m:sub>
                    </m:sSub>
                  </m:sub>
                </m:sSub>
              </m:num>
              <m:den>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den>
            </m:f>
          </m:e>
        </m:d>
      </m:oMath>
      <w:r w:rsidRPr="004224F6">
        <w:rPr>
          <w:rFonts w:ascii="Times New Roman" w:eastAsiaTheme="minorEastAsia" w:hAnsi="Times New Roman" w:cs="Times New Roman"/>
          <w:lang w:val="ru-RU"/>
        </w:rPr>
        <w:t>;</w:t>
      </w:r>
    </w:p>
    <w:p w14:paraId="0C9E9995" w14:textId="77777777" w:rsidR="00271FA2" w:rsidRPr="004224F6" w:rsidRDefault="00D35E51" w:rsidP="00605A3E">
      <w:pPr>
        <w:tabs>
          <w:tab w:val="left" w:pos="567"/>
          <w:tab w:val="left" w:pos="992"/>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t xml:space="preserve">в) Изчисляване на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TmII</m:t>
                </m:r>
              </m:sub>
            </m:sSub>
          </m:e>
          <m:sub>
            <m:r>
              <w:rPr>
                <w:rFonts w:ascii="Cambria Math" w:hAnsi="Cambria Math" w:cs="Times New Roman"/>
              </w:rPr>
              <m:t>SOLL</m:t>
            </m:r>
          </m:sub>
        </m:sSub>
      </m:oMath>
    </w:p>
    <w:p w14:paraId="3B7697CF" w14:textId="77777777" w:rsidR="00271FA2" w:rsidRPr="004224F6" w:rsidRDefault="002C62EC" w:rsidP="00605A3E">
      <w:pPr>
        <w:tabs>
          <w:tab w:val="left" w:pos="567"/>
        </w:tabs>
        <w:overflowPunct w:val="0"/>
        <w:adjustRightInd w:val="0"/>
        <w:spacing w:line="240" w:lineRule="atLeast"/>
        <w:ind w:left="993"/>
        <w:textAlignment w:val="baseline"/>
        <w:rPr>
          <w:rFonts w:ascii="Times New Roman" w:hAnsi="Times New Roman" w:cs="Times New Roman"/>
          <w:lang w:val="ru-RU"/>
        </w:rPr>
      </w:pP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num>
          <m:den>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den>
        </m:f>
        <m:r>
          <w:rPr>
            <w:rFonts w:ascii="Cambria Math" w:hAnsi="Cambria Math" w:cs="Times New Roman"/>
            <w:lang w:val="ru-RU"/>
          </w:rPr>
          <m:t xml:space="preserve">=10,8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kN</m:t>
                </m:r>
                <m:r>
                  <w:rPr>
                    <w:rFonts w:ascii="Cambria Math" w:hAnsi="Cambria Math" w:cs="Times New Roman"/>
                    <w:lang w:val="ru-RU"/>
                  </w:rPr>
                  <m:t xml:space="preserve"> ∙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lang w:val="ru-RU"/>
                      </w:rPr>
                      <m:t>2</m:t>
                    </m:r>
                  </m:sup>
                </m:sSup>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lang w:val="ru-RU"/>
                      </w:rPr>
                      <m:t>2</m:t>
                    </m:r>
                  </m:sup>
                </m:sSup>
              </m:den>
            </m:f>
          </m:e>
        </m:d>
      </m:oMath>
      <w:r w:rsidR="00D35E51" w:rsidRPr="004224F6">
        <w:rPr>
          <w:rFonts w:ascii="Times New Roman" w:hAnsi="Times New Roman" w:cs="Times New Roman"/>
          <w:lang w:val="ru-RU"/>
        </w:rPr>
        <w:tab/>
        <w:t xml:space="preserve">както в точка 4.2, тъй като </w:t>
      </w:r>
      <m:oMath>
        <m:r>
          <w:rPr>
            <w:rFonts w:ascii="Cambria Math" w:hAnsi="Cambria Math" w:cs="Times New Roman"/>
          </w:rPr>
          <m:t>B</m:t>
        </m:r>
      </m:oMath>
      <w:r w:rsidR="00D35E51" w:rsidRPr="004224F6">
        <w:rPr>
          <w:rFonts w:ascii="Times New Roman" w:hAnsi="Times New Roman" w:cs="Times New Roman"/>
          <w:lang w:val="ru-RU"/>
        </w:rPr>
        <w:t xml:space="preserve">, </w:t>
      </w:r>
      <m:oMath>
        <m:r>
          <w:rPr>
            <w:rFonts w:ascii="Cambria Math" w:hAnsi="Cambria Math" w:cs="Times New Roman"/>
          </w:rPr>
          <m:t>D</m:t>
        </m:r>
      </m:oMath>
      <w:r w:rsidR="00D35E51" w:rsidRPr="004224F6">
        <w:rPr>
          <w:rFonts w:ascii="Times New Roman" w:hAnsi="Times New Roman" w:cs="Times New Roman"/>
          <w:lang w:val="ru-RU"/>
        </w:rPr>
        <w:t xml:space="preserve"> и </w:t>
      </w:r>
      <m:oMath>
        <m:r>
          <w:rPr>
            <w:rFonts w:ascii="Cambria Math" w:hAnsi="Cambria Math" w:cs="Times New Roman"/>
          </w:rPr>
          <m:t>T</m:t>
        </m:r>
      </m:oMath>
      <w:r w:rsidR="00D35E51" w:rsidRPr="004224F6">
        <w:rPr>
          <w:rFonts w:ascii="Times New Roman" w:hAnsi="Times New Roman" w:cs="Times New Roman"/>
          <w:lang w:val="ru-RU"/>
        </w:rPr>
        <w:t xml:space="preserve"> са непроменени</w:t>
      </w:r>
    </w:p>
    <w:p w14:paraId="4FAAC042" w14:textId="77777777" w:rsidR="00271FA2" w:rsidRPr="004224F6" w:rsidRDefault="002C62EC" w:rsidP="00605A3E">
      <w:pPr>
        <w:tabs>
          <w:tab w:val="left" w:pos="567"/>
        </w:tabs>
        <w:overflowPunct w:val="0"/>
        <w:adjustRightInd w:val="0"/>
        <w:spacing w:line="240" w:lineRule="atLeast"/>
        <w:ind w:left="992"/>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SOLL</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SOLL</m:t>
                  </m:r>
                </m:sub>
              </m:sSub>
            </m:sub>
          </m:sSub>
          <m:r>
            <w:rPr>
              <w:rFonts w:ascii="Cambria Math" w:hAnsi="Cambria Math" w:cs="Times New Roman"/>
            </w:rPr>
            <m:t xml:space="preserve">=3,6 </m:t>
          </m:r>
          <m:d>
            <m:dPr>
              <m:begChr m:val="["/>
              <m:endChr m:val="]"/>
              <m:ctrlPr>
                <w:rPr>
                  <w:rFonts w:ascii="Cambria Math" w:hAnsi="Cambria Math" w:cs="Times New Roman"/>
                  <w:i/>
                </w:rPr>
              </m:ctrlPr>
            </m:dPr>
            <m:e>
              <m:r>
                <w:rPr>
                  <w:rFonts w:ascii="Cambria Math" w:hAnsi="Cambria Math" w:cs="Times New Roman"/>
                </w:rPr>
                <m:t>m/s</m:t>
              </m:r>
            </m:e>
          </m:d>
        </m:oMath>
      </m:oMathPara>
    </w:p>
    <w:p w14:paraId="649E7892" w14:textId="77777777" w:rsidR="00271FA2" w:rsidRPr="004224F6" w:rsidRDefault="002C62EC" w:rsidP="00605A3E">
      <w:pPr>
        <w:tabs>
          <w:tab w:val="left" w:pos="567"/>
        </w:tabs>
        <w:overflowPunct w:val="0"/>
        <w:adjustRightInd w:val="0"/>
        <w:spacing w:line="240" w:lineRule="atLeast"/>
        <w:ind w:left="85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TmII</m:t>
                  </m:r>
                </m:sub>
              </m:sSub>
            </m:e>
            <m:sub>
              <m:r>
                <w:rPr>
                  <w:rFonts w:ascii="Cambria Math" w:hAnsi="Cambria Math" w:cs="Times New Roman"/>
                </w:rPr>
                <m:t>SOLL</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num>
            <m:den>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den>
          </m:f>
          <m:r>
            <w:rPr>
              <w:rFonts w:ascii="Cambria Math" w:hAnsi="Cambria Math" w:cs="Times New Roman"/>
            </w:rPr>
            <m:t xml:space="preserve"> ∙ </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7</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6</m:t>
                      </m:r>
                    </m:sub>
                  </m:sSub>
                  <m:r>
                    <w:rPr>
                      <w:rFonts w:ascii="Cambria Math" w:hAnsi="Cambria Math" w:cs="Times New Roman"/>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SOLL</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SOLL</m:t>
                              </m:r>
                            </m:sub>
                          </m:sSub>
                        </m:sub>
                      </m:sSub>
                    </m:e>
                  </m:d>
                </m:e>
              </m:d>
            </m:e>
            <m:sup>
              <m:r>
                <w:rPr>
                  <w:rFonts w:ascii="Cambria Math" w:hAnsi="Cambria Math" w:cs="Times New Roman"/>
                </w:rPr>
                <m:t>2</m:t>
              </m:r>
            </m:sup>
          </m:sSup>
          <m:r>
            <w:rPr>
              <w:rFonts w:ascii="Cambria Math" w:hAnsi="Cambria Math" w:cs="Times New Roman"/>
            </w:rPr>
            <m:t xml:space="preserve">=10,8 ∙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0,55 ∙0,85 ∙3,6</m:t>
                  </m:r>
                </m:e>
              </m:d>
            </m:e>
            <m:sup>
              <m: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 xml:space="preserve">30,99 </m:t>
          </m:r>
          <m:d>
            <m:dPr>
              <m:begChr m:val="["/>
              <m:endChr m:val="]"/>
              <m:ctrlPr>
                <w:rPr>
                  <w:rFonts w:ascii="Cambria Math" w:hAnsi="Cambria Math" w:cs="Times New Roman"/>
                  <w:b/>
                  <w:i/>
                </w:rPr>
              </m:ctrlPr>
            </m:dPr>
            <m:e>
              <m:r>
                <m:rPr>
                  <m:sty m:val="bi"/>
                </m:rPr>
                <w:rPr>
                  <w:rFonts w:ascii="Cambria Math" w:hAnsi="Cambria Math" w:cs="Times New Roman"/>
                </w:rPr>
                <m:t>kN</m:t>
              </m:r>
            </m:e>
          </m:d>
          <m:r>
            <m:rPr>
              <m:sty m:val="bi"/>
            </m:rPr>
            <w:rPr>
              <w:rFonts w:ascii="Cambria Math" w:hAnsi="Cambria Math" w:cs="Times New Roman"/>
            </w:rPr>
            <m:t xml:space="preserve"> ;</m:t>
          </m:r>
        </m:oMath>
      </m:oMathPara>
    </w:p>
    <w:p w14:paraId="2E8455A7" w14:textId="77777777" w:rsidR="00271FA2" w:rsidRPr="004224F6" w:rsidRDefault="00D35E51" w:rsidP="00605A3E">
      <w:pPr>
        <w:tabs>
          <w:tab w:val="left" w:pos="567"/>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lastRenderedPageBreak/>
        <w:t xml:space="preserve">г) Съпротивление, дължащо се на наклона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4224F6">
        <w:rPr>
          <w:rFonts w:ascii="Times New Roman" w:hAnsi="Times New Roman" w:cs="Times New Roman"/>
          <w:lang w:val="ru-RU"/>
        </w:rPr>
        <w:t xml:space="preserve"> както в точка 4.2;</w:t>
      </w:r>
    </w:p>
    <w:p w14:paraId="25D6AEA1" w14:textId="77777777" w:rsidR="00271FA2" w:rsidRPr="004224F6" w:rsidRDefault="00D35E51" w:rsidP="00605A3E">
      <w:pPr>
        <w:tabs>
          <w:tab w:val="left" w:pos="567"/>
          <w:tab w:val="left" w:pos="709"/>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 xml:space="preserve">д) Изчисляване на </w:t>
      </w: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oMath>
    </w:p>
    <w:p w14:paraId="37F60A7D" w14:textId="77777777" w:rsidR="00271FA2" w:rsidRPr="004224F6" w:rsidRDefault="002C62EC" w:rsidP="00605A3E">
      <w:pPr>
        <w:tabs>
          <w:tab w:val="left" w:pos="567"/>
        </w:tabs>
        <w:overflowPunct w:val="0"/>
        <w:adjustRightInd w:val="0"/>
        <w:spacing w:line="240" w:lineRule="atLeast"/>
        <w:ind w:left="993"/>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6</m:t>
            </m:r>
          </m:sub>
        </m:sSub>
        <m:r>
          <w:rPr>
            <w:rFonts w:ascii="Cambria Math" w:hAnsi="Cambria Math" w:cs="Times New Roman"/>
            <w:lang w:val="ru-RU"/>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SOLL</m:t>
                    </m:r>
                  </m:sub>
                </m:sSub>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SOLL</m:t>
                    </m:r>
                  </m:sub>
                </m:sSub>
              </m:sub>
            </m:sSub>
          </m:e>
        </m:d>
        <m:r>
          <w:rPr>
            <w:rFonts w:ascii="Cambria Math" w:hAnsi="Cambria Math" w:cs="Times New Roman"/>
            <w:lang w:val="ru-RU"/>
          </w:rPr>
          <m:t>=0,85 ∙3,6=</m:t>
        </m:r>
        <m:r>
          <m:rPr>
            <m:sty m:val="bi"/>
          </m:rPr>
          <w:rPr>
            <w:rFonts w:ascii="Cambria Math" w:hAnsi="Cambria Math" w:cs="Times New Roman"/>
          </w:rPr>
          <m:t>3</m:t>
        </m:r>
        <m:r>
          <m:rPr>
            <m:sty m:val="bi"/>
          </m:rPr>
          <w:rPr>
            <w:rFonts w:ascii="Cambria Math" w:hAnsi="Cambria Math" w:cs="Times New Roman"/>
            <w:lang w:val="ru-RU"/>
          </w:rPr>
          <m:t>,</m:t>
        </m:r>
        <m:r>
          <m:rPr>
            <m:sty m:val="bi"/>
          </m:rPr>
          <w:rPr>
            <w:rFonts w:ascii="Cambria Math" w:hAnsi="Cambria Math" w:cs="Times New Roman"/>
          </w:rPr>
          <m:t>06</m:t>
        </m:r>
        <m:r>
          <w:rPr>
            <w:rFonts w:ascii="Cambria Math" w:hAnsi="Cambria Math" w:cs="Times New Roman"/>
            <w:lang w:val="ru-RU"/>
          </w:rPr>
          <m:t xml:space="preserve"> </m:t>
        </m:r>
        <m:d>
          <m:dPr>
            <m:begChr m:val="["/>
            <m:endChr m:val="]"/>
            <m:ctrlPr>
              <w:rPr>
                <w:rFonts w:ascii="Cambria Math" w:hAnsi="Cambria Math" w:cs="Times New Roman"/>
                <w:i/>
              </w:rPr>
            </m:ctrlPr>
          </m:dPr>
          <m:e>
            <m:r>
              <w:rPr>
                <w:rFonts w:ascii="Cambria Math" w:hAnsi="Cambria Math" w:cs="Times New Roman"/>
              </w:rPr>
              <m:t>m</m:t>
            </m:r>
            <m:r>
              <w:rPr>
                <w:rFonts w:ascii="Cambria Math" w:hAnsi="Cambria Math" w:cs="Times New Roman"/>
                <w:lang w:val="ru-RU"/>
              </w:rPr>
              <m:t>/</m:t>
            </m:r>
            <m:r>
              <w:rPr>
                <w:rFonts w:ascii="Cambria Math" w:hAnsi="Cambria Math" w:cs="Times New Roman"/>
              </w:rPr>
              <m:t>s</m:t>
            </m:r>
          </m:e>
        </m:d>
        <m:r>
          <w:rPr>
            <w:rFonts w:ascii="Cambria Math" w:hAnsi="Cambria Math" w:cs="Times New Roman"/>
            <w:lang w:val="ru-RU"/>
          </w:rPr>
          <m:t>,</m:t>
        </m:r>
      </m:oMath>
      <w:r w:rsidR="00D35E51" w:rsidRPr="004224F6">
        <w:rPr>
          <w:rFonts w:ascii="Times New Roman" w:hAnsi="Times New Roman" w:cs="Times New Roman"/>
          <w:lang w:val="ru-RU"/>
        </w:rPr>
        <w:t xml:space="preserve">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 xml:space="preserve">=9,36 </m:t>
        </m:r>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m</m:t>
                </m:r>
                <m:r>
                  <w:rPr>
                    <w:rFonts w:ascii="Cambria Math" w:hAnsi="Cambria Math" w:cs="Times New Roman"/>
                    <w:lang w:val="ru-RU"/>
                  </w:rPr>
                  <m:t>/</m:t>
                </m:r>
                <m:r>
                  <w:rPr>
                    <w:rFonts w:ascii="Cambria Math" w:hAnsi="Cambria Math" w:cs="Times New Roman"/>
                  </w:rPr>
                  <m:t>s</m:t>
                </m:r>
              </m:e>
            </m:d>
          </m:e>
          <m:sup>
            <m:r>
              <w:rPr>
                <w:rFonts w:ascii="Cambria Math" w:hAnsi="Cambria Math" w:cs="Times New Roman"/>
                <w:lang w:val="ru-RU"/>
              </w:rPr>
              <m:t>2</m:t>
            </m:r>
          </m:sup>
        </m:sSup>
        <m:r>
          <w:rPr>
            <w:rFonts w:ascii="Cambria Math" w:hAnsi="Cambria Math" w:cs="Times New Roman"/>
            <w:lang w:val="ru-RU"/>
          </w:rPr>
          <m:t xml:space="preserve"> ;</m:t>
        </m:r>
      </m:oMath>
    </w:p>
    <w:p w14:paraId="74FD397E" w14:textId="77777777" w:rsidR="00271FA2" w:rsidRPr="004224F6" w:rsidRDefault="00D35E51" w:rsidP="00605A3E">
      <w:pPr>
        <w:tabs>
          <w:tab w:val="left" w:pos="567"/>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 xml:space="preserve">е)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oMath>
      <w:r w:rsidRPr="004224F6">
        <w:rPr>
          <w:rFonts w:ascii="Times New Roman" w:hAnsi="Times New Roman" w:cs="Times New Roman"/>
          <w:lang w:val="ru-RU"/>
        </w:rPr>
        <w:t xml:space="preserve"> както в точка 4.2;</w:t>
      </w:r>
    </w:p>
    <w:p w14:paraId="3193A00B" w14:textId="77777777" w:rsidR="00271FA2" w:rsidRPr="004224F6" w:rsidRDefault="00D35E51" w:rsidP="00605A3E">
      <w:pPr>
        <w:tabs>
          <w:tab w:val="left" w:pos="567"/>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 xml:space="preserve">ж) Изчисляване на </w:t>
      </w: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oMath>
      <w:r w:rsidRPr="004224F6">
        <w:rPr>
          <w:rFonts w:ascii="Times New Roman" w:hAnsi="Times New Roman" w:cs="Times New Roman"/>
          <w:lang w:val="ru-RU"/>
        </w:rPr>
        <w:t xml:space="preserve"> като се използва формула в буква „б“ и резултатите от формули в букви „в“ - „е“</w:t>
      </w:r>
    </w:p>
    <w:p w14:paraId="076F96D9" w14:textId="77777777" w:rsidR="00271FA2" w:rsidRPr="004224F6" w:rsidRDefault="002C62EC" w:rsidP="00605A3E">
      <w:pPr>
        <w:tabs>
          <w:tab w:val="left" w:pos="567"/>
        </w:tabs>
        <w:overflowPunct w:val="0"/>
        <w:adjustRightInd w:val="0"/>
        <w:spacing w:line="240" w:lineRule="atLeast"/>
        <w:ind w:left="992"/>
        <w:textAlignment w:val="baseline"/>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 xml:space="preserve">0,12 ∙9,36 ∙9,81 ∙ </m:t>
            </m:r>
            <m:d>
              <m:dPr>
                <m:ctrlPr>
                  <w:rPr>
                    <w:rFonts w:ascii="Cambria Math" w:hAnsi="Cambria Math" w:cs="Times New Roman"/>
                    <w:i/>
                  </w:rPr>
                </m:ctrlPr>
              </m:dPr>
              <m:e>
                <m:r>
                  <w:rPr>
                    <w:rFonts w:ascii="Cambria Math" w:hAnsi="Cambria Math" w:cs="Times New Roman"/>
                  </w:rPr>
                  <m:t xml:space="preserve">0,48+ </m:t>
                </m:r>
                <m:f>
                  <m:fPr>
                    <m:ctrlPr>
                      <w:rPr>
                        <w:rFonts w:ascii="Cambria Math" w:hAnsi="Cambria Math" w:cs="Times New Roman"/>
                        <w:i/>
                      </w:rPr>
                    </m:ctrlPr>
                  </m:fPr>
                  <m:num>
                    <m:r>
                      <w:rPr>
                        <w:rFonts w:ascii="Cambria Math" w:hAnsi="Cambria Math" w:cs="Times New Roman"/>
                      </w:rPr>
                      <m:t>1,5</m:t>
                    </m:r>
                  </m:num>
                  <m:den>
                    <m:r>
                      <w:rPr>
                        <w:rFonts w:ascii="Cambria Math" w:hAnsi="Cambria Math" w:cs="Times New Roman"/>
                      </w:rPr>
                      <m:t>3,06</m:t>
                    </m:r>
                  </m:den>
                </m:f>
              </m:e>
            </m:d>
          </m:num>
          <m:den>
            <m:r>
              <w:rPr>
                <w:rFonts w:ascii="Cambria Math" w:hAnsi="Cambria Math" w:cs="Times New Roman"/>
              </w:rPr>
              <m:t>1,15 ∙177+30,99-8,13</m:t>
            </m:r>
          </m:den>
        </m:f>
        <m:r>
          <w:rPr>
            <w:rFonts w:ascii="Cambria Math" w:hAnsi="Cambria Math" w:cs="Times New Roman"/>
          </w:rPr>
          <m:t xml:space="preserve"> ∙5179</m:t>
        </m:r>
      </m:oMath>
      <w:r w:rsidR="00D35E51" w:rsidRPr="004224F6">
        <w:rPr>
          <w:rFonts w:ascii="Times New Roman" w:eastAsiaTheme="minorEastAsia" w:hAnsi="Times New Roman" w:cs="Times New Roman"/>
        </w:rPr>
        <w:t xml:space="preserve"> ;</w:t>
      </w:r>
    </w:p>
    <w:p w14:paraId="5EFAB5EE" w14:textId="77777777" w:rsidR="00271FA2" w:rsidRPr="004224F6" w:rsidRDefault="00D35E51" w:rsidP="00605A3E">
      <w:pPr>
        <w:tabs>
          <w:tab w:val="left" w:pos="454"/>
          <w:tab w:val="left" w:pos="567"/>
        </w:tabs>
        <w:overflowPunct w:val="0"/>
        <w:adjustRightInd w:val="0"/>
        <w:spacing w:line="240" w:lineRule="atLeast"/>
        <w:ind w:left="454" w:hanging="454"/>
        <w:textAlignment w:val="baseline"/>
        <w:rPr>
          <w:rFonts w:ascii="Times New Roman" w:hAnsi="Times New Roman" w:cs="Times New Roman"/>
        </w:rPr>
      </w:pPr>
      <w:r w:rsidRPr="004224F6">
        <w:rPr>
          <w:rFonts w:ascii="Times New Roman" w:hAnsi="Times New Roman" w:cs="Times New Roman"/>
          <w:noProof/>
          <w:lang w:eastAsia="bg-BG"/>
        </w:rPr>
        <mc:AlternateContent>
          <mc:Choice Requires="wps">
            <w:drawing>
              <wp:anchor distT="0" distB="0" distL="114300" distR="114300" simplePos="0" relativeHeight="251682816" behindDoc="0" locked="0" layoutInCell="1" allowOverlap="1" wp14:anchorId="6E6D31AE" wp14:editId="6E17C1B1">
                <wp:simplePos x="0" y="0"/>
                <wp:positionH relativeFrom="column">
                  <wp:posOffset>898525</wp:posOffset>
                </wp:positionH>
                <wp:positionV relativeFrom="paragraph">
                  <wp:posOffset>138430</wp:posOffset>
                </wp:positionV>
                <wp:extent cx="90805" cy="414020"/>
                <wp:effectExtent l="152400" t="0" r="156845" b="0"/>
                <wp:wrapNone/>
                <wp:docPr id="155" name="AutoShape 127"/>
                <wp:cNvGraphicFramePr/>
                <a:graphic xmlns:a="http://schemas.openxmlformats.org/drawingml/2006/main">
                  <a:graphicData uri="http://schemas.microsoft.com/office/word/2010/wordprocessingShape">
                    <wps:wsp>
                      <wps:cNvSpPr/>
                      <wps:spPr bwMode="auto">
                        <a:xfrm rot="5400000">
                          <a:off x="0" y="0"/>
                          <a:ext cx="90805" cy="414020"/>
                        </a:xfrm>
                        <a:prstGeom prst="rightBrace">
                          <a:avLst>
                            <a:gd name="adj1" fmla="val 4195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27" o:spid="_x0000_s1026" o:spt="88" type="#_x0000_t88" style="position:absolute;left:0pt;margin-left:70.75pt;margin-top:10.9pt;height:32.6pt;width:7.15pt;rotation:5898240f;z-index:251682816;mso-width-relative:page;mso-height-relative:page;" filled="f" stroked="t" coordsize="21600,21600" o:gfxdata="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tKr0vVAAAACQEAAA8AAAAAAAAAAQAgAAAAIgAAAGRycy9kb3ducmV2LnhtbFBL&#10;AQIUABQAAAAIAIdO4kAQBTVHMgIAAHMEAAAOAAAAAAAAAAEAIAAAACQBAABkcnMvZTJvRG9jLnht&#10;bFBLBQYAAAAABgAGAFkBAADIBQAAAAA=&#10;" adj="1987,10800">
                <v:fill on="f" focussize="0,0"/>
                <v:stroke color="#000000" joinstyle="round"/>
                <v:imagedata o:title=""/>
                <o:lock v:ext="edit" aspectratio="f"/>
              </v:shape>
            </w:pict>
          </mc:Fallback>
        </mc:AlternateContent>
      </w:r>
      <m:oMath>
        <m:r>
          <w:rPr>
            <w:rFonts w:ascii="Cambria Math" w:hAnsi="Cambria Math" w:cs="Times New Roman"/>
          </w:rPr>
          <m:t>=0,0472 ∙5179=</m:t>
        </m:r>
        <m:r>
          <m:rPr>
            <m:sty m:val="bi"/>
          </m:rPr>
          <w:rPr>
            <w:rFonts w:ascii="Cambria Math" w:hAnsi="Cambria Math" w:cs="Times New Roman"/>
          </w:rPr>
          <m:t>244,5 m</m:t>
        </m:r>
      </m:oMath>
    </w:p>
    <w:p w14:paraId="53226704" w14:textId="77777777" w:rsidR="00271FA2" w:rsidRPr="004224F6" w:rsidRDefault="002C62EC" w:rsidP="00605A3E">
      <w:pPr>
        <w:tabs>
          <w:tab w:val="left" w:pos="567"/>
        </w:tabs>
        <w:overflowPunct w:val="0"/>
        <w:adjustRightInd w:val="0"/>
        <w:spacing w:line="240" w:lineRule="atLeast"/>
        <w:ind w:left="993" w:hanging="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SOLL</m:t>
              </m:r>
            </m:sub>
          </m:sSub>
        </m:oMath>
      </m:oMathPara>
    </w:p>
    <w:p w14:paraId="69D6F272" w14:textId="77777777" w:rsidR="00271FA2" w:rsidRPr="004224F6" w:rsidRDefault="00D35E51" w:rsidP="00605A3E">
      <w:pPr>
        <w:tabs>
          <w:tab w:val="left" w:pos="567"/>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з) Изчисляване на общото разстояние</w:t>
      </w:r>
    </w:p>
    <w:p w14:paraId="761FF220" w14:textId="77777777" w:rsidR="00271FA2" w:rsidRPr="004224F6" w:rsidRDefault="002C62EC" w:rsidP="00605A3E">
      <w:pPr>
        <w:tabs>
          <w:tab w:val="left" w:pos="567"/>
          <w:tab w:val="left" w:pos="992"/>
        </w:tabs>
        <w:overflowPunct w:val="0"/>
        <w:adjustRightInd w:val="0"/>
        <w:spacing w:line="240" w:lineRule="atLeast"/>
        <w:ind w:left="992"/>
        <w:textAlignment w:val="baseline"/>
        <w:rPr>
          <w:rFonts w:ascii="Times New Roman" w:hAnsi="Times New Roman" w:cs="Times New Roman"/>
          <w:lang w:val="ru-RU"/>
        </w:rPr>
      </w:pPr>
      <m:oMath>
        <m:sSub>
          <m:sSubPr>
            <m:ctrlPr>
              <w:rPr>
                <w:rFonts w:ascii="Cambria Math" w:hAnsi="Cambria Math" w:cs="Times New Roman"/>
                <w:b/>
                <w:i/>
              </w:rPr>
            </m:ctrlPr>
          </m:sSubPr>
          <m:e>
            <m:r>
              <m:rPr>
                <m:sty m:val="bi"/>
              </m:rPr>
              <w:rPr>
                <w:rFonts w:ascii="Cambria Math" w:hAnsi="Cambria Math" w:cs="Times New Roman"/>
              </w:rPr>
              <m:t>s</m:t>
            </m:r>
          </m:e>
          <m:sub>
            <m:r>
              <m:rPr>
                <m:sty m:val="bi"/>
              </m:rPr>
              <w:rPr>
                <w:rFonts w:ascii="Cambria Math" w:hAnsi="Cambria Math" w:cs="Times New Roman"/>
              </w:rPr>
              <m:t>SOLL</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=77,5+244,5=</m:t>
        </m:r>
        <m:r>
          <m:rPr>
            <m:sty m:val="bi"/>
          </m:rPr>
          <w:rPr>
            <w:rFonts w:ascii="Cambria Math" w:hAnsi="Cambria Math" w:cs="Times New Roman"/>
          </w:rPr>
          <m:t>322</m:t>
        </m:r>
        <m:r>
          <m:rPr>
            <m:sty m:val="bi"/>
          </m:rPr>
          <w:rPr>
            <w:rFonts w:ascii="Cambria Math" w:hAnsi="Cambria Math" w:cs="Times New Roman"/>
            <w:lang w:val="ru-RU"/>
          </w:rPr>
          <m:t xml:space="preserve"> </m:t>
        </m:r>
        <m:r>
          <m:rPr>
            <m:sty m:val="bi"/>
          </m:rPr>
          <w:rPr>
            <w:rFonts w:ascii="Cambria Math" w:hAnsi="Cambria Math" w:cs="Times New Roman"/>
          </w:rPr>
          <m:t>m</m:t>
        </m:r>
      </m:oMath>
      <w:r w:rsidR="00D35E51" w:rsidRPr="004224F6">
        <w:rPr>
          <w:rFonts w:ascii="Times New Roman" w:eastAsiaTheme="minorEastAsia" w:hAnsi="Times New Roman" w:cs="Times New Roman"/>
          <w:b/>
          <w:lang w:val="ru-RU"/>
        </w:rPr>
        <w:t>.</w:t>
      </w:r>
    </w:p>
    <w:p w14:paraId="4298B959" w14:textId="77777777" w:rsidR="00271FA2" w:rsidRPr="004224F6" w:rsidRDefault="00D35E51">
      <w:pPr>
        <w:spacing w:line="240" w:lineRule="atLeast"/>
        <w:ind w:left="567" w:hanging="567"/>
        <w:jc w:val="both"/>
        <w:rPr>
          <w:rFonts w:ascii="Times New Roman" w:hAnsi="Times New Roman" w:cs="Times New Roman"/>
          <w:b/>
          <w:color w:val="000000"/>
          <w:lang w:val="ru-RU"/>
        </w:rPr>
      </w:pPr>
      <w:r w:rsidRPr="004224F6">
        <w:rPr>
          <w:rFonts w:ascii="Times New Roman" w:hAnsi="Times New Roman" w:cs="Times New Roman"/>
          <w:b/>
          <w:color w:val="000000"/>
          <w:lang w:val="ru-RU"/>
        </w:rPr>
        <w:t>4.4</w:t>
      </w:r>
      <w:r w:rsidRPr="004224F6">
        <w:rPr>
          <w:rFonts w:ascii="Times New Roman" w:hAnsi="Times New Roman" w:cs="Times New Roman"/>
          <w:lang w:val="ru-RU"/>
        </w:rPr>
        <w:tab/>
      </w:r>
      <w:r w:rsidRPr="004224F6">
        <w:rPr>
          <w:rFonts w:ascii="Times New Roman" w:hAnsi="Times New Roman" w:cs="Times New Roman"/>
          <w:b/>
          <w:color w:val="000000"/>
          <w:lang w:val="ru-RU"/>
        </w:rPr>
        <w:t xml:space="preserve">Проверка за спазване на допустимото разстояние за спиране при стандартни условия </w:t>
      </w:r>
      <m:oMath>
        <m:sSub>
          <m:sSubPr>
            <m:ctrlPr>
              <w:rPr>
                <w:rFonts w:ascii="Cambria Math" w:hAnsi="Cambria Math" w:cs="Times New Roman"/>
                <w:b/>
                <w:i/>
                <w:color w:val="000000"/>
              </w:rPr>
            </m:ctrlPr>
          </m:sSubPr>
          <m:e>
            <m:r>
              <m:rPr>
                <m:sty m:val="bi"/>
              </m:rPr>
              <w:rPr>
                <w:rFonts w:ascii="Cambria Math" w:hAnsi="Cambria Math" w:cs="Times New Roman"/>
                <w:color w:val="000000"/>
              </w:rPr>
              <m:t>s</m:t>
            </m:r>
          </m:e>
          <m:sub>
            <m:r>
              <m:rPr>
                <m:sty m:val="bi"/>
              </m:rPr>
              <w:rPr>
                <w:rFonts w:ascii="Cambria Math" w:hAnsi="Cambria Math" w:cs="Times New Roman"/>
                <w:color w:val="000000"/>
              </w:rPr>
              <m:t>NORM</m:t>
            </m:r>
          </m:sub>
        </m:sSub>
      </m:oMath>
      <w:r w:rsidRPr="004224F6">
        <w:rPr>
          <w:rFonts w:ascii="Times New Roman" w:hAnsi="Times New Roman" w:cs="Times New Roman"/>
          <w:b/>
          <w:color w:val="000000"/>
          <w:lang w:val="ru-RU"/>
        </w:rPr>
        <w:t xml:space="preserve"> </w:t>
      </w:r>
    </w:p>
    <w:p w14:paraId="780B71C2"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rPr>
      </w:pPr>
      <w:r w:rsidRPr="004224F6">
        <w:rPr>
          <w:rFonts w:ascii="Times New Roman" w:hAnsi="Times New Roman" w:cs="Times New Roman"/>
        </w:rPr>
        <w:t>съгласно формула (2.1) от Приложение 2</w:t>
      </w:r>
    </w:p>
    <w:p w14:paraId="6A1804ED" w14:textId="77777777" w:rsidR="00271FA2" w:rsidRPr="004224F6" w:rsidRDefault="002C62EC">
      <w:pPr>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den>
          </m:f>
          <m:r>
            <w:rPr>
              <w:rFonts w:ascii="Cambria Math" w:hAnsi="Cambria Math" w:cs="Times New Roman"/>
            </w:rPr>
            <m:t xml:space="preserve">=340 ∙ </m:t>
          </m:r>
          <m:f>
            <m:fPr>
              <m:ctrlPr>
                <w:rPr>
                  <w:rFonts w:ascii="Cambria Math" w:hAnsi="Cambria Math" w:cs="Times New Roman"/>
                  <w:i/>
                </w:rPr>
              </m:ctrlPr>
            </m:fPr>
            <m:num>
              <m:r>
                <w:rPr>
                  <w:rFonts w:ascii="Cambria Math" w:hAnsi="Cambria Math" w:cs="Times New Roman"/>
                </w:rPr>
                <m:t>322</m:t>
              </m:r>
            </m:num>
            <m:den>
              <m:r>
                <w:rPr>
                  <w:rFonts w:ascii="Cambria Math" w:hAnsi="Cambria Math" w:cs="Times New Roman"/>
                </w:rPr>
                <m:t>303,4</m:t>
              </m:r>
            </m:den>
          </m:f>
          <m:r>
            <w:rPr>
              <w:rFonts w:ascii="Cambria Math" w:hAnsi="Cambria Math" w:cs="Times New Roman"/>
            </w:rPr>
            <m:t>=</m:t>
          </m:r>
          <m:r>
            <m:rPr>
              <m:sty m:val="bi"/>
            </m:rPr>
            <w:rPr>
              <w:rFonts w:ascii="Cambria Math" w:hAnsi="Cambria Math" w:cs="Times New Roman"/>
            </w:rPr>
            <m:t xml:space="preserve">360,8 m </m:t>
          </m:r>
          <m:r>
            <w:rPr>
              <w:rFonts w:ascii="Cambria Math" w:hAnsi="Cambria Math" w:cs="Times New Roman"/>
            </w:rPr>
            <m:t>&lt;550 m</m:t>
          </m:r>
        </m:oMath>
      </m:oMathPara>
    </w:p>
    <w:p w14:paraId="3681F634" w14:textId="77777777" w:rsidR="00271FA2" w:rsidRPr="004224F6" w:rsidRDefault="00D35E51">
      <w:pPr>
        <w:tabs>
          <w:tab w:val="left" w:pos="567"/>
        </w:tabs>
        <w:overflowPunct w:val="0"/>
        <w:adjustRightInd w:val="0"/>
        <w:spacing w:line="240" w:lineRule="atLeast"/>
        <w:ind w:left="1134" w:hanging="567"/>
        <w:textAlignment w:val="baseline"/>
        <w:rPr>
          <w:rFonts w:ascii="Times New Roman" w:hAnsi="Times New Roman" w:cs="Times New Roman"/>
          <w:b/>
          <w:bCs/>
          <w:lang w:val="ru-RU"/>
        </w:rPr>
      </w:pPr>
      <w:r w:rsidRPr="004224F6">
        <w:rPr>
          <w:rFonts w:ascii="Times New Roman" w:hAnsi="Times New Roman" w:cs="Times New Roman"/>
          <w:b/>
          <w:lang w:val="ru-RU"/>
        </w:rPr>
        <w:t>Заключение:</w:t>
      </w:r>
    </w:p>
    <w:p w14:paraId="32CEF744" w14:textId="77777777" w:rsidR="00271FA2" w:rsidRPr="004224F6" w:rsidRDefault="00D35E51">
      <w:pPr>
        <w:tabs>
          <w:tab w:val="left" w:pos="567"/>
        </w:tabs>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lang w:val="ru-RU"/>
        </w:rPr>
        <w:t>Пределно допустимата стойност далеч не е постигната, т.е.:</w:t>
      </w:r>
    </w:p>
    <w:p w14:paraId="48F0C564" w14:textId="77777777" w:rsidR="00271FA2" w:rsidRPr="004224F6" w:rsidRDefault="00D35E51">
      <w:pPr>
        <w:tabs>
          <w:tab w:val="left" w:pos="992"/>
        </w:tabs>
        <w:overflowPunct w:val="0"/>
        <w:adjustRightInd w:val="0"/>
        <w:spacing w:line="240" w:lineRule="atLeast"/>
        <w:ind w:left="992" w:hanging="425"/>
        <w:jc w:val="both"/>
        <w:textAlignment w:val="baseline"/>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без проблеми е възможно допускане за плаване по течението при настоящото състояние на натоварване (</w:t>
      </w:r>
      <m:oMath>
        <m:r>
          <w:rPr>
            <w:rFonts w:ascii="Cambria Math" w:hAnsi="Cambria Math" w:cs="Times New Roman"/>
            <w:lang w:val="ru-RU"/>
          </w:rPr>
          <m:t xml:space="preserve">0,8 ∙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max</m:t>
            </m:r>
          </m:sub>
        </m:sSub>
      </m:oMath>
      <w:r w:rsidRPr="004224F6">
        <w:rPr>
          <w:rFonts w:ascii="Times New Roman" w:hAnsi="Times New Roman" w:cs="Times New Roman"/>
          <w:lang w:val="ru-RU"/>
        </w:rPr>
        <w:t>);</w:t>
      </w:r>
    </w:p>
    <w:p w14:paraId="57D1776D" w14:textId="77777777" w:rsidR="00271FA2" w:rsidRPr="004224F6" w:rsidRDefault="00D35E51">
      <w:pPr>
        <w:tabs>
          <w:tab w:val="left" w:pos="992"/>
        </w:tabs>
        <w:overflowPunct w:val="0"/>
        <w:adjustRightInd w:val="0"/>
        <w:spacing w:line="240" w:lineRule="atLeast"/>
        <w:ind w:left="992" w:hanging="425"/>
        <w:jc w:val="both"/>
        <w:textAlignment w:val="baseline"/>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t>възможно е състояние на по-високо натоварване и то може да бъде изчислено съгласно точка 5 по-долу.</w:t>
      </w:r>
    </w:p>
    <w:p w14:paraId="19DF723B"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5.</w:t>
      </w:r>
      <w:r w:rsidRPr="004224F6">
        <w:rPr>
          <w:rFonts w:ascii="Times New Roman" w:hAnsi="Times New Roman" w:cs="Times New Roman"/>
          <w:lang w:val="ru-RU"/>
        </w:rPr>
        <w:tab/>
      </w:r>
      <w:r w:rsidRPr="004224F6">
        <w:rPr>
          <w:rFonts w:ascii="Times New Roman" w:hAnsi="Times New Roman" w:cs="Times New Roman"/>
          <w:b/>
          <w:color w:val="000000"/>
          <w:lang w:val="ru-RU"/>
        </w:rPr>
        <w:t xml:space="preserve">Възможно увеличение на </w:t>
      </w:r>
      <m:oMath>
        <m:sSub>
          <m:sSubPr>
            <m:ctrlPr>
              <w:rPr>
                <w:rFonts w:ascii="Cambria Math" w:hAnsi="Cambria Math" w:cs="Times New Roman"/>
                <w:b/>
                <w:i/>
                <w:color w:val="000000"/>
              </w:rPr>
            </m:ctrlPr>
          </m:sSubPr>
          <m:e>
            <m:r>
              <m:rPr>
                <m:sty m:val="bi"/>
              </m:rPr>
              <w:rPr>
                <w:rFonts w:ascii="Cambria Math" w:hAnsi="Cambria Math" w:cs="Times New Roman"/>
                <w:color w:val="000000"/>
              </w:rPr>
              <m:t>D</m:t>
            </m:r>
          </m:e>
          <m:sub>
            <m:r>
              <m:rPr>
                <m:sty m:val="bi"/>
              </m:rPr>
              <w:rPr>
                <w:rFonts w:ascii="Cambria Math" w:hAnsi="Cambria Math" w:cs="Times New Roman"/>
                <w:color w:val="000000"/>
              </w:rPr>
              <m:t>IST</m:t>
            </m:r>
          </m:sub>
        </m:sSub>
      </m:oMath>
      <w:r w:rsidRPr="004224F6">
        <w:rPr>
          <w:rFonts w:ascii="Times New Roman" w:hAnsi="Times New Roman" w:cs="Times New Roman"/>
          <w:b/>
          <w:color w:val="000000"/>
          <w:lang w:val="ru-RU"/>
        </w:rPr>
        <w:t xml:space="preserve"> при плаване по течението</w:t>
      </w:r>
    </w:p>
    <w:p w14:paraId="2C2E0EE9" w14:textId="77777777" w:rsidR="00271FA2" w:rsidRPr="004224F6" w:rsidRDefault="002C62EC">
      <w:pPr>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e>
              </m:d>
            </m:e>
            <m:sub>
              <m:r>
                <w:rPr>
                  <w:rFonts w:ascii="Cambria Math" w:hAnsi="Cambria Math" w:cs="Times New Roman"/>
                </w:rPr>
                <m:t>Limite</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e>
                  </m:d>
                </m:e>
                <m:sub>
                  <m:r>
                    <w:rPr>
                      <w:rFonts w:ascii="Cambria Math" w:hAnsi="Cambria Math" w:cs="Times New Roman"/>
                    </w:rPr>
                    <m:t>Limite</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den>
          </m:f>
          <m:r>
            <w:rPr>
              <w:rFonts w:ascii="Cambria Math" w:hAnsi="Cambria Math" w:cs="Times New Roman"/>
            </w:rPr>
            <m:t>=550 m</m:t>
          </m:r>
        </m:oMath>
      </m:oMathPara>
    </w:p>
    <w:p w14:paraId="7DFED370" w14:textId="77777777" w:rsidR="00271FA2" w:rsidRPr="004224F6" w:rsidRDefault="002C62EC">
      <w:pPr>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e>
              </m:d>
            </m:e>
            <m:sub>
              <m:r>
                <w:rPr>
                  <w:rFonts w:ascii="Cambria Math" w:hAnsi="Cambria Math" w:cs="Times New Roman"/>
                </w:rPr>
                <m:t>Limite</m:t>
              </m:r>
            </m:sub>
          </m:sSub>
          <m:r>
            <w:rPr>
              <w:rFonts w:ascii="Cambria Math" w:hAnsi="Cambria Math" w:cs="Times New Roman"/>
            </w:rPr>
            <m:t xml:space="preserve">=550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den>
          </m:f>
          <m:r>
            <w:rPr>
              <w:rFonts w:ascii="Cambria Math" w:hAnsi="Cambria Math" w:cs="Times New Roman"/>
            </w:rPr>
            <m:t xml:space="preserve">=550 ∙ </m:t>
          </m:r>
          <m:f>
            <m:fPr>
              <m:ctrlPr>
                <w:rPr>
                  <w:rFonts w:ascii="Cambria Math" w:hAnsi="Cambria Math" w:cs="Times New Roman"/>
                  <w:i/>
                </w:rPr>
              </m:ctrlPr>
            </m:fPr>
            <m:num>
              <m:r>
                <w:rPr>
                  <w:rFonts w:ascii="Cambria Math" w:hAnsi="Cambria Math" w:cs="Times New Roman"/>
                </w:rPr>
                <m:t>303,4</m:t>
              </m:r>
            </m:num>
            <m:den>
              <m:r>
                <w:rPr>
                  <w:rFonts w:ascii="Cambria Math" w:hAnsi="Cambria Math" w:cs="Times New Roman"/>
                </w:rPr>
                <m:t>340</m:t>
              </m:r>
            </m:den>
          </m:f>
          <m:r>
            <w:rPr>
              <w:rFonts w:ascii="Cambria Math" w:hAnsi="Cambria Math" w:cs="Times New Roman"/>
            </w:rPr>
            <m:t>=490,8 m ;</m:t>
          </m:r>
        </m:oMath>
      </m:oMathPara>
    </w:p>
    <w:p w14:paraId="340264E0" w14:textId="77777777" w:rsidR="00271FA2" w:rsidRPr="004224F6" w:rsidRDefault="00D35E51">
      <w:pPr>
        <w:tabs>
          <w:tab w:val="left" w:pos="567"/>
          <w:tab w:val="left" w:pos="2127"/>
          <w:tab w:val="left" w:pos="2410"/>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m:t>
        </m:r>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SOLL</m:t>
            </m:r>
          </m:sub>
        </m:sSub>
        <m:r>
          <w:rPr>
            <w:rFonts w:ascii="Cambria Math" w:hAnsi="Cambria Math" w:cs="Times New Roman"/>
            <w:lang w:val="ru-RU"/>
          </w:rPr>
          <m:t xml:space="preserve"> ∙</m:t>
        </m:r>
        <m:r>
          <w:rPr>
            <w:rFonts w:ascii="Cambria Math" w:hAnsi="Cambria Math" w:cs="Times New Roman"/>
          </w:rPr>
          <m:t>D</m:t>
        </m:r>
      </m:oMath>
      <w:r w:rsidRPr="004224F6">
        <w:rPr>
          <w:rFonts w:ascii="Times New Roman" w:hAnsi="Times New Roman" w:cs="Times New Roman"/>
          <w:lang w:val="ru-RU"/>
        </w:rPr>
        <w:t xml:space="preserve"> съгласно забележката в точка 4.2:</w:t>
      </w:r>
    </w:p>
    <w:p w14:paraId="5AE4C282" w14:textId="77777777" w:rsidR="00271FA2" w:rsidRPr="004224F6" w:rsidRDefault="002C62EC">
      <w:pPr>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e>
              </m:d>
            </m:e>
            <m:sub>
              <m:r>
                <w:rPr>
                  <w:rFonts w:ascii="Cambria Math" w:hAnsi="Cambria Math" w:cs="Times New Roman"/>
                </w:rPr>
                <m:t>Limite</m:t>
              </m:r>
            </m:sub>
          </m:sSub>
          <m:r>
            <w:rPr>
              <w:rFonts w:ascii="Cambria Math" w:hAnsi="Cambria Math" w:cs="Times New Roman"/>
            </w:rPr>
            <m:t xml:space="preserve">= </m:t>
          </m:r>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e>
              </m:d>
            </m:e>
            <m:sub>
              <m:r>
                <w:rPr>
                  <w:rFonts w:ascii="Cambria Math" w:hAnsi="Cambria Math" w:cs="Times New Roman"/>
                </w:rPr>
                <m:t>Limite</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r>
            <w:rPr>
              <w:rFonts w:ascii="Cambria Math" w:hAnsi="Cambria Math" w:cs="Times New Roman"/>
            </w:rPr>
            <m:t xml:space="preserve">+0,0472 ∙ </m:t>
          </m:r>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e>
              </m:d>
            </m:e>
            <m:sub>
              <m:r>
                <w:rPr>
                  <w:rFonts w:ascii="Cambria Math" w:hAnsi="Cambria Math" w:cs="Times New Roman"/>
                </w:rPr>
                <m:t>Limite</m:t>
              </m:r>
            </m:sub>
          </m:sSub>
          <m:r>
            <w:rPr>
              <w:rFonts w:ascii="Cambria Math" w:hAnsi="Cambria Math" w:cs="Times New Roman"/>
            </w:rPr>
            <m:t xml:space="preserve"> ;</m:t>
          </m:r>
        </m:oMath>
      </m:oMathPara>
    </w:p>
    <w:p w14:paraId="1506ECF7" w14:textId="77777777" w:rsidR="00271FA2" w:rsidRPr="004224F6" w:rsidRDefault="00D35E51">
      <w:pPr>
        <w:tabs>
          <w:tab w:val="left" w:pos="567"/>
        </w:tabs>
        <w:overflowPunct w:val="0"/>
        <w:adjustRightInd w:val="0"/>
        <w:spacing w:line="240" w:lineRule="atLeast"/>
        <w:ind w:left="567" w:hanging="567"/>
        <w:textAlignment w:val="baseline"/>
        <w:rPr>
          <w:rFonts w:ascii="Times New Roman" w:hAnsi="Times New Roman" w:cs="Times New Roman"/>
        </w:rPr>
      </w:pPr>
      <w:r w:rsidRPr="004224F6">
        <w:rPr>
          <w:rFonts w:ascii="Times New Roman" w:hAnsi="Times New Roman" w:cs="Times New Roman"/>
        </w:rPr>
        <w:tab/>
        <w:t>Следователно</w:t>
      </w:r>
    </w:p>
    <w:p w14:paraId="45BD7D3F" w14:textId="77777777" w:rsidR="00271FA2" w:rsidRPr="004224F6" w:rsidRDefault="002C62EC">
      <w:pPr>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e>
              </m:d>
            </m:e>
            <m:sub>
              <m:r>
                <w:rPr>
                  <w:rFonts w:ascii="Cambria Math" w:hAnsi="Cambria Math" w:cs="Times New Roman"/>
                </w:rPr>
                <m:t>Limite</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e>
                  </m:d>
                </m:e>
                <m:sub>
                  <m:r>
                    <w:rPr>
                      <w:rFonts w:ascii="Cambria Math" w:hAnsi="Cambria Math" w:cs="Times New Roman"/>
                    </w:rPr>
                    <m:t>Limite</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num>
            <m:den>
              <m:r>
                <w:rPr>
                  <w:rFonts w:ascii="Cambria Math" w:hAnsi="Cambria Math" w:cs="Times New Roman"/>
                </w:rPr>
                <m:t>0,0472</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490,8-77,5</m:t>
              </m:r>
            </m:num>
            <m:den>
              <m:r>
                <w:rPr>
                  <w:rFonts w:ascii="Cambria Math" w:hAnsi="Cambria Math" w:cs="Times New Roman"/>
                </w:rPr>
                <m:t>0,0472</m:t>
              </m:r>
            </m:den>
          </m:f>
          <m:r>
            <w:rPr>
              <w:rFonts w:ascii="Cambria Math" w:hAnsi="Cambria Math" w:cs="Times New Roman"/>
            </w:rPr>
            <m:t>=</m:t>
          </m:r>
          <m:r>
            <m:rPr>
              <m:sty m:val="bi"/>
            </m:rPr>
            <w:rPr>
              <w:rFonts w:ascii="Cambria Math" w:hAnsi="Cambria Math" w:cs="Times New Roman"/>
            </w:rPr>
            <m:t xml:space="preserve">8756 </m:t>
          </m:r>
          <m:sSup>
            <m:sSupPr>
              <m:ctrlPr>
                <w:rPr>
                  <w:rFonts w:ascii="Cambria Math" w:hAnsi="Cambria Math" w:cs="Times New Roman"/>
                  <w:b/>
                  <w:i/>
                </w:rPr>
              </m:ctrlPr>
            </m:sSupPr>
            <m:e>
              <m:r>
                <m:rPr>
                  <m:sty m:val="bi"/>
                </m:rPr>
                <w:rPr>
                  <w:rFonts w:ascii="Cambria Math" w:hAnsi="Cambria Math" w:cs="Times New Roman"/>
                </w:rPr>
                <m:t>m</m:t>
              </m:r>
            </m:e>
            <m:sup>
              <m:r>
                <m:rPr>
                  <m:sty m:val="bi"/>
                </m:rPr>
                <w:rPr>
                  <w:rFonts w:ascii="Cambria Math" w:hAnsi="Cambria Math" w:cs="Times New Roman"/>
                </w:rPr>
                <m:t>3</m:t>
              </m:r>
            </m:sup>
          </m:sSup>
          <m:r>
            <m:rPr>
              <m:sty m:val="bi"/>
            </m:rPr>
            <w:rPr>
              <w:rFonts w:ascii="Cambria Math" w:hAnsi="Cambria Math" w:cs="Times New Roman"/>
            </w:rPr>
            <m:t xml:space="preserve"> .</m:t>
          </m:r>
        </m:oMath>
      </m:oMathPara>
    </w:p>
    <w:p w14:paraId="117AB899" w14:textId="77777777" w:rsidR="00271FA2" w:rsidRPr="004224F6" w:rsidRDefault="00D35E51">
      <w:pPr>
        <w:tabs>
          <w:tab w:val="left" w:pos="567"/>
        </w:tabs>
        <w:overflowPunct w:val="0"/>
        <w:adjustRightInd w:val="0"/>
        <w:spacing w:line="240" w:lineRule="atLeast"/>
        <w:ind w:left="567" w:hanging="567"/>
        <w:textAlignment w:val="baseline"/>
        <w:rPr>
          <w:rFonts w:ascii="Times New Roman" w:hAnsi="Times New Roman" w:cs="Times New Roman"/>
          <w:lang w:val="ru-RU"/>
        </w:rPr>
      </w:pPr>
      <w:r w:rsidRPr="004224F6">
        <w:rPr>
          <w:rFonts w:ascii="Times New Roman" w:hAnsi="Times New Roman" w:cs="Times New Roman"/>
        </w:rPr>
        <w:tab/>
      </w:r>
      <w:r w:rsidRPr="004224F6">
        <w:rPr>
          <w:rFonts w:ascii="Times New Roman" w:hAnsi="Times New Roman" w:cs="Times New Roman"/>
          <w:b/>
          <w:lang w:val="ru-RU"/>
        </w:rPr>
        <w:t>От това следва, че</w:t>
      </w:r>
      <w:r w:rsidRPr="004224F6">
        <w:rPr>
          <w:rFonts w:ascii="Times New Roman" w:hAnsi="Times New Roman" w:cs="Times New Roman"/>
          <w:lang w:val="ru-RU"/>
        </w:rPr>
        <w:t>:</w:t>
      </w:r>
    </w:p>
    <w:p w14:paraId="2C088FD6"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Тъй като </w:t>
      </w:r>
      <m:oMath>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e>
            </m:d>
          </m:e>
          <m:sub>
            <m:r>
              <w:rPr>
                <w:rFonts w:ascii="Cambria Math" w:hAnsi="Cambria Math" w:cs="Times New Roman"/>
              </w:rPr>
              <m:t>Limite</m:t>
            </m:r>
          </m:sub>
        </m:sSub>
        <m:r>
          <w:rPr>
            <w:rFonts w:ascii="Cambria Math" w:hAnsi="Cambria Math" w:cs="Times New Roman"/>
            <w:lang w:val="ru-RU"/>
          </w:rPr>
          <m:t xml:space="preserve">&gt;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max</m:t>
            </m:r>
          </m:sub>
        </m:sSub>
        <m:r>
          <w:rPr>
            <w:rFonts w:ascii="Cambria Math" w:hAnsi="Cambria Math" w:cs="Times New Roman"/>
            <w:lang w:val="ru-RU"/>
          </w:rPr>
          <m:t xml:space="preserve"> </m:t>
        </m:r>
        <m:d>
          <m:dPr>
            <m:ctrlPr>
              <w:rPr>
                <w:rFonts w:ascii="Cambria Math" w:hAnsi="Cambria Math" w:cs="Times New Roman"/>
                <w:i/>
              </w:rPr>
            </m:ctrlPr>
          </m:dPr>
          <m:e>
            <m:r>
              <w:rPr>
                <w:rFonts w:ascii="Cambria Math" w:hAnsi="Cambria Math" w:cs="Times New Roman"/>
                <w:lang w:val="ru-RU"/>
              </w:rPr>
              <m:t>8756 &gt;6474</m:t>
            </m:r>
          </m:e>
        </m:d>
      </m:oMath>
      <w:r w:rsidRPr="004224F6">
        <w:rPr>
          <w:rFonts w:ascii="Times New Roman" w:hAnsi="Times New Roman" w:cs="Times New Roman"/>
          <w:lang w:val="ru-RU"/>
        </w:rPr>
        <w:t xml:space="preserve">, това формирование (виж точка 1) може да бъде </w:t>
      </w:r>
      <w:r w:rsidRPr="004224F6">
        <w:rPr>
          <w:rFonts w:ascii="Times New Roman" w:hAnsi="Times New Roman" w:cs="Times New Roman"/>
          <w:u w:val="single"/>
          <w:lang w:val="ru-RU"/>
        </w:rPr>
        <w:t>допуснато за плаване по течението с пълно натоварване.</w:t>
      </w:r>
    </w:p>
    <w:p w14:paraId="5F82DECE" w14:textId="77777777" w:rsidR="00271FA2" w:rsidRPr="004224F6" w:rsidRDefault="00271FA2">
      <w:pPr>
        <w:tabs>
          <w:tab w:val="left" w:pos="454"/>
        </w:tabs>
        <w:overflowPunct w:val="0"/>
        <w:adjustRightInd w:val="0"/>
        <w:spacing w:line="240" w:lineRule="atLeast"/>
        <w:ind w:left="454" w:hanging="454"/>
        <w:textAlignment w:val="baseline"/>
        <w:rPr>
          <w:rFonts w:ascii="Times New Roman" w:hAnsi="Times New Roman" w:cs="Times New Roman"/>
          <w:lang w:val="ru-RU"/>
        </w:rPr>
      </w:pPr>
    </w:p>
    <w:p w14:paraId="3AAA6B6A" w14:textId="77777777" w:rsidR="00271FA2" w:rsidRPr="004224F6" w:rsidRDefault="00271FA2">
      <w:pPr>
        <w:spacing w:line="240" w:lineRule="atLeast"/>
        <w:ind w:left="567" w:hanging="567"/>
        <w:rPr>
          <w:rFonts w:ascii="Times New Roman" w:hAnsi="Times New Roman" w:cs="Times New Roman"/>
          <w:lang w:val="ru-RU"/>
        </w:rPr>
        <w:sectPr w:rsidR="00271FA2" w:rsidRPr="004224F6" w:rsidSect="004224F6">
          <w:headerReference w:type="default" r:id="rId215"/>
          <w:headerReference w:type="first" r:id="rId216"/>
          <w:pgSz w:w="11907" w:h="16840"/>
          <w:pgMar w:top="1134" w:right="1134" w:bottom="1134" w:left="1134" w:header="709" w:footer="709" w:gutter="0"/>
          <w:cols w:space="720"/>
          <w:titlePg/>
          <w:docGrid w:linePitch="299"/>
        </w:sectPr>
      </w:pPr>
    </w:p>
    <w:p w14:paraId="36E78E89" w14:textId="77777777" w:rsidR="00271FA2" w:rsidRPr="004224F6" w:rsidRDefault="00D35E51">
      <w:pPr>
        <w:pStyle w:val="ES-Titre4prESIexple"/>
        <w:spacing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lastRenderedPageBreak/>
        <w:t xml:space="preserve">Пример </w:t>
      </w:r>
      <w:r w:rsidRPr="004224F6">
        <w:rPr>
          <w:rFonts w:ascii="Times New Roman" w:hAnsi="Times New Roman" w:cs="Times New Roman"/>
          <w:sz w:val="24"/>
          <w:szCs w:val="24"/>
        </w:rPr>
        <w:t>II</w:t>
      </w:r>
    </w:p>
    <w:p w14:paraId="6C53ED1E" w14:textId="77777777" w:rsidR="00271FA2" w:rsidRPr="004224F6" w:rsidRDefault="00D35E51">
      <w:pPr>
        <w:tabs>
          <w:tab w:val="left" w:pos="567"/>
        </w:tabs>
        <w:overflowPunct w:val="0"/>
        <w:adjustRightInd w:val="0"/>
        <w:spacing w:line="240" w:lineRule="atLeast"/>
        <w:ind w:left="567" w:hanging="567"/>
        <w:jc w:val="both"/>
        <w:textAlignment w:val="baseline"/>
        <w:rPr>
          <w:rFonts w:ascii="Times New Roman" w:hAnsi="Times New Roman" w:cs="Times New Roman"/>
          <w:b/>
          <w:lang w:val="ru-RU"/>
        </w:rPr>
      </w:pPr>
      <w:r w:rsidRPr="004224F6">
        <w:rPr>
          <w:rFonts w:ascii="Times New Roman" w:hAnsi="Times New Roman" w:cs="Times New Roman"/>
          <w:b/>
          <w:lang w:val="ru-RU"/>
        </w:rPr>
        <w:t>1.</w:t>
      </w:r>
      <w:r w:rsidRPr="004224F6">
        <w:rPr>
          <w:rFonts w:ascii="Times New Roman" w:hAnsi="Times New Roman" w:cs="Times New Roman"/>
          <w:lang w:val="ru-RU"/>
        </w:rPr>
        <w:tab/>
      </w:r>
      <w:r w:rsidRPr="004224F6">
        <w:rPr>
          <w:rFonts w:ascii="Times New Roman" w:hAnsi="Times New Roman" w:cs="Times New Roman"/>
          <w:b/>
          <w:lang w:val="ru-RU"/>
        </w:rPr>
        <w:t>Данни за плавателните съдове и състава</w:t>
      </w:r>
    </w:p>
    <w:p w14:paraId="6ABC7F72" w14:textId="77777777" w:rsidR="00271FA2" w:rsidRPr="004224F6" w:rsidRDefault="00D35E51">
      <w:pPr>
        <w:tabs>
          <w:tab w:val="left" w:pos="567"/>
          <w:tab w:val="left" w:pos="1843"/>
        </w:tabs>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lang w:val="ru-RU"/>
        </w:rPr>
        <w:t>Формирование: голям моторен товарен плавателен съд, задвижващ</w:t>
      </w:r>
    </w:p>
    <w:p w14:paraId="5C7239D0" w14:textId="77777777" w:rsidR="00271FA2" w:rsidRPr="004224F6" w:rsidRDefault="00D35E51">
      <w:pPr>
        <w:tabs>
          <w:tab w:val="left" w:pos="567"/>
          <w:tab w:val="left" w:pos="1843"/>
        </w:tabs>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lang w:val="ru-RU"/>
        </w:rPr>
        <w:t>2 лихтера, свързани борд към борд, отпред и</w:t>
      </w:r>
    </w:p>
    <w:p w14:paraId="2520D501" w14:textId="77777777" w:rsidR="00271FA2" w:rsidRPr="004224F6" w:rsidRDefault="00D35E51">
      <w:pPr>
        <w:tabs>
          <w:tab w:val="left" w:pos="567"/>
          <w:tab w:val="left" w:pos="1843"/>
        </w:tabs>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lang w:val="ru-RU"/>
        </w:rPr>
        <w:t>1 лихтер, свързан борд към борд.</w:t>
      </w:r>
    </w:p>
    <w:tbl>
      <w:tblPr>
        <w:tblW w:w="9527" w:type="dxa"/>
        <w:tblInd w:w="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361"/>
        <w:gridCol w:w="1361"/>
        <w:gridCol w:w="1361"/>
        <w:gridCol w:w="1361"/>
        <w:gridCol w:w="1361"/>
        <w:gridCol w:w="1361"/>
        <w:gridCol w:w="1361"/>
      </w:tblGrid>
      <w:tr w:rsidR="00271FA2" w:rsidRPr="004224F6" w14:paraId="62CEFB52" w14:textId="77777777">
        <w:tc>
          <w:tcPr>
            <w:tcW w:w="1361" w:type="dxa"/>
          </w:tcPr>
          <w:p w14:paraId="7798452D" w14:textId="77777777" w:rsidR="00271FA2" w:rsidRPr="004224F6" w:rsidRDefault="00271FA2">
            <w:pPr>
              <w:overflowPunct w:val="0"/>
              <w:adjustRightInd w:val="0"/>
              <w:spacing w:line="240" w:lineRule="atLeast"/>
              <w:jc w:val="center"/>
              <w:textAlignment w:val="baseline"/>
              <w:rPr>
                <w:rFonts w:ascii="Times New Roman" w:hAnsi="Times New Roman" w:cs="Times New Roman"/>
                <w:lang w:val="ru-RU"/>
              </w:rPr>
            </w:pPr>
          </w:p>
        </w:tc>
        <w:tc>
          <w:tcPr>
            <w:tcW w:w="1361" w:type="dxa"/>
          </w:tcPr>
          <w:p w14:paraId="27A2C9EF"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L</m:t>
              </m:r>
            </m:oMath>
            <w:r w:rsidRPr="004224F6">
              <w:rPr>
                <w:rFonts w:ascii="Times New Roman" w:hAnsi="Times New Roman" w:cs="Times New Roman"/>
              </w:rPr>
              <w:t xml:space="preserve"> [m]</w:t>
            </w:r>
          </w:p>
        </w:tc>
        <w:tc>
          <w:tcPr>
            <w:tcW w:w="1361" w:type="dxa"/>
          </w:tcPr>
          <w:p w14:paraId="2B298F98"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B</m:t>
              </m:r>
            </m:oMath>
            <w:r w:rsidRPr="004224F6">
              <w:rPr>
                <w:rFonts w:ascii="Times New Roman" w:hAnsi="Times New Roman" w:cs="Times New Roman"/>
              </w:rPr>
              <w:t xml:space="preserve"> [m]</w:t>
            </w:r>
          </w:p>
        </w:tc>
        <w:tc>
          <w:tcPr>
            <w:tcW w:w="1361" w:type="dxa"/>
          </w:tcPr>
          <w:p w14:paraId="747695C7"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T</m:t>
              </m:r>
              <m:r>
                <w:rPr>
                  <w:rFonts w:ascii="Cambria Math" w:hAnsi="Cambria Math" w:cs="Times New Roman"/>
                  <w:position w:val="-6"/>
                </w:rPr>
                <m:t>max</m:t>
              </m:r>
            </m:oMath>
            <w:r w:rsidRPr="004224F6">
              <w:rPr>
                <w:rFonts w:ascii="Times New Roman" w:hAnsi="Times New Roman" w:cs="Times New Roman"/>
              </w:rPr>
              <w:t xml:space="preserve"> [m]</w:t>
            </w:r>
          </w:p>
        </w:tc>
        <w:tc>
          <w:tcPr>
            <w:tcW w:w="1361" w:type="dxa"/>
          </w:tcPr>
          <w:p w14:paraId="045CF227"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Tgf</m:t>
              </m:r>
              <m:r>
                <w:rPr>
                  <w:rFonts w:ascii="Cambria Math" w:hAnsi="Cambria Math" w:cs="Times New Roman"/>
                  <w:position w:val="6"/>
                </w:rPr>
                <m:t>*</m:t>
              </m:r>
              <m:r>
                <w:rPr>
                  <w:rFonts w:ascii="Cambria Math" w:hAnsi="Cambria Math" w:cs="Times New Roman"/>
                  <w:position w:val="-6"/>
                </w:rPr>
                <m:t>max</m:t>
              </m:r>
            </m:oMath>
            <w:r w:rsidRPr="004224F6">
              <w:rPr>
                <w:rFonts w:ascii="Times New Roman" w:hAnsi="Times New Roman" w:cs="Times New Roman"/>
              </w:rPr>
              <w:t xml:space="preserve"> [t]</w:t>
            </w:r>
          </w:p>
        </w:tc>
        <w:tc>
          <w:tcPr>
            <w:tcW w:w="1361" w:type="dxa"/>
          </w:tcPr>
          <w:p w14:paraId="7CC26335"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m:oMath>
              <m:r>
                <w:rPr>
                  <w:rFonts w:ascii="Cambria Math" w:hAnsi="Cambria Math" w:cs="Times New Roman"/>
                </w:rPr>
                <m:t>D</m:t>
              </m:r>
              <m:r>
                <w:rPr>
                  <w:rFonts w:ascii="Cambria Math" w:hAnsi="Cambria Math" w:cs="Times New Roman"/>
                  <w:position w:val="-6"/>
                </w:rPr>
                <m:t>max</m:t>
              </m:r>
            </m:oMath>
            <w:r w:rsidRPr="004224F6">
              <w:rPr>
                <w:rFonts w:ascii="Times New Roman" w:hAnsi="Times New Roman" w:cs="Times New Roman"/>
              </w:rPr>
              <w:t xml:space="preserve"> [m</w:t>
            </w:r>
            <w:r w:rsidRPr="004224F6">
              <w:rPr>
                <w:rFonts w:ascii="Times New Roman" w:hAnsi="Times New Roman" w:cs="Times New Roman"/>
                <w:position w:val="6"/>
              </w:rPr>
              <w:t>3</w:t>
            </w:r>
            <w:r w:rsidRPr="004224F6">
              <w:rPr>
                <w:rFonts w:ascii="Times New Roman" w:hAnsi="Times New Roman" w:cs="Times New Roman"/>
              </w:rPr>
              <w:t>]</w:t>
            </w:r>
          </w:p>
        </w:tc>
        <w:tc>
          <w:tcPr>
            <w:tcW w:w="1361" w:type="dxa"/>
          </w:tcPr>
          <w:p w14:paraId="4864EC6D" w14:textId="77777777" w:rsidR="00271FA2" w:rsidRPr="004224F6" w:rsidRDefault="00D35E51">
            <w:pPr>
              <w:overflowPunct w:val="0"/>
              <w:adjustRightInd w:val="0"/>
              <w:spacing w:line="240" w:lineRule="atLeast"/>
              <w:jc w:val="center"/>
              <w:textAlignment w:val="baseline"/>
              <w:rPr>
                <w:rFonts w:ascii="Times New Roman" w:hAnsi="Times New Roman" w:cs="Times New Roman"/>
              </w:rPr>
            </w:pPr>
            <w:r w:rsidRPr="004224F6">
              <w:rPr>
                <w:rFonts w:ascii="Times New Roman" w:hAnsi="Times New Roman" w:cs="Times New Roman"/>
              </w:rPr>
              <w:t>P</w:t>
            </w:r>
            <w:r w:rsidRPr="004224F6">
              <w:rPr>
                <w:rFonts w:ascii="Times New Roman" w:hAnsi="Times New Roman" w:cs="Times New Roman"/>
                <w:position w:val="-6"/>
              </w:rPr>
              <w:t>B</w:t>
            </w:r>
            <w:r w:rsidRPr="004224F6">
              <w:rPr>
                <w:rFonts w:ascii="Times New Roman" w:hAnsi="Times New Roman" w:cs="Times New Roman"/>
              </w:rPr>
              <w:t xml:space="preserve"> [kW]</w:t>
            </w:r>
          </w:p>
        </w:tc>
      </w:tr>
      <w:tr w:rsidR="00271FA2" w:rsidRPr="004224F6" w14:paraId="42FDF348" w14:textId="77777777">
        <w:tc>
          <w:tcPr>
            <w:tcW w:w="1361" w:type="dxa"/>
          </w:tcPr>
          <w:p w14:paraId="398C5DF1" w14:textId="77777777" w:rsidR="00271FA2" w:rsidRPr="004224F6" w:rsidRDefault="00D35E51">
            <w:pPr>
              <w:overflowPunct w:val="0"/>
              <w:adjustRightInd w:val="0"/>
              <w:spacing w:line="240" w:lineRule="atLeast"/>
              <w:ind w:left="57"/>
              <w:textAlignment w:val="baseline"/>
              <w:rPr>
                <w:rFonts w:ascii="Times New Roman" w:hAnsi="Times New Roman" w:cs="Times New Roman"/>
                <w:lang w:val="ru-RU"/>
              </w:rPr>
            </w:pPr>
            <w:r w:rsidRPr="004224F6">
              <w:rPr>
                <w:rFonts w:ascii="Times New Roman" w:hAnsi="Times New Roman" w:cs="Times New Roman"/>
                <w:lang w:val="ru-RU"/>
              </w:rPr>
              <w:t>Моторен товарен плавателен съд задвижващ</w:t>
            </w:r>
          </w:p>
        </w:tc>
        <w:tc>
          <w:tcPr>
            <w:tcW w:w="1361" w:type="dxa"/>
          </w:tcPr>
          <w:p w14:paraId="58FCC8A1" w14:textId="77777777" w:rsidR="00271FA2" w:rsidRPr="004224F6" w:rsidRDefault="00D35E51">
            <w:pPr>
              <w:tabs>
                <w:tab w:val="decimal" w:pos="70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110</w:t>
            </w:r>
          </w:p>
        </w:tc>
        <w:tc>
          <w:tcPr>
            <w:tcW w:w="1361" w:type="dxa"/>
          </w:tcPr>
          <w:p w14:paraId="74A9BFC5" w14:textId="77777777" w:rsidR="00271FA2" w:rsidRPr="004224F6" w:rsidRDefault="00D35E51">
            <w:pPr>
              <w:tabs>
                <w:tab w:val="decimal" w:pos="70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11,4</w:t>
            </w:r>
          </w:p>
        </w:tc>
        <w:tc>
          <w:tcPr>
            <w:tcW w:w="1361" w:type="dxa"/>
          </w:tcPr>
          <w:p w14:paraId="2F2EEF5D" w14:textId="77777777" w:rsidR="00271FA2" w:rsidRPr="004224F6" w:rsidRDefault="00D35E51">
            <w:pPr>
              <w:tabs>
                <w:tab w:val="decimal" w:pos="737"/>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3,5</w:t>
            </w:r>
          </w:p>
        </w:tc>
        <w:tc>
          <w:tcPr>
            <w:tcW w:w="1361" w:type="dxa"/>
          </w:tcPr>
          <w:p w14:paraId="36A193EF" w14:textId="77777777" w:rsidR="00271FA2" w:rsidRPr="004224F6" w:rsidRDefault="00D35E51">
            <w:pPr>
              <w:tabs>
                <w:tab w:val="decimal" w:pos="84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2900</w:t>
            </w:r>
          </w:p>
        </w:tc>
        <w:tc>
          <w:tcPr>
            <w:tcW w:w="1361" w:type="dxa"/>
          </w:tcPr>
          <w:p w14:paraId="6FB506CC" w14:textId="77777777" w:rsidR="00271FA2" w:rsidRPr="004224F6" w:rsidRDefault="00D35E51">
            <w:pPr>
              <w:tabs>
                <w:tab w:val="decimal" w:pos="990"/>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3731</w:t>
            </w:r>
          </w:p>
        </w:tc>
        <w:tc>
          <w:tcPr>
            <w:tcW w:w="1361" w:type="dxa"/>
          </w:tcPr>
          <w:p w14:paraId="0ED2AB2F" w14:textId="77777777" w:rsidR="00271FA2" w:rsidRPr="004224F6" w:rsidRDefault="00D35E51">
            <w:pPr>
              <w:tabs>
                <w:tab w:val="decimal" w:pos="84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1500</w:t>
            </w:r>
          </w:p>
        </w:tc>
      </w:tr>
      <w:tr w:rsidR="00271FA2" w:rsidRPr="004224F6" w14:paraId="782FB3AC" w14:textId="77777777">
        <w:tc>
          <w:tcPr>
            <w:tcW w:w="1361" w:type="dxa"/>
          </w:tcPr>
          <w:p w14:paraId="236AD664" w14:textId="77777777" w:rsidR="00271FA2" w:rsidRPr="004224F6" w:rsidRDefault="00D35E51">
            <w:pPr>
              <w:overflowPunct w:val="0"/>
              <w:adjustRightInd w:val="0"/>
              <w:spacing w:line="240" w:lineRule="atLeast"/>
              <w:ind w:left="57"/>
              <w:textAlignment w:val="baseline"/>
              <w:rPr>
                <w:rFonts w:ascii="Times New Roman" w:hAnsi="Times New Roman" w:cs="Times New Roman"/>
              </w:rPr>
            </w:pPr>
            <w:r w:rsidRPr="004224F6">
              <w:rPr>
                <w:rFonts w:ascii="Times New Roman" w:hAnsi="Times New Roman" w:cs="Times New Roman"/>
              </w:rPr>
              <w:t>Всеки лихтер</w:t>
            </w:r>
          </w:p>
        </w:tc>
        <w:tc>
          <w:tcPr>
            <w:tcW w:w="1361" w:type="dxa"/>
          </w:tcPr>
          <w:p w14:paraId="54AF8DDF" w14:textId="77777777" w:rsidR="00271FA2" w:rsidRPr="004224F6" w:rsidRDefault="00D35E51">
            <w:pPr>
              <w:tabs>
                <w:tab w:val="decimal" w:pos="70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76,5</w:t>
            </w:r>
          </w:p>
        </w:tc>
        <w:tc>
          <w:tcPr>
            <w:tcW w:w="1361" w:type="dxa"/>
          </w:tcPr>
          <w:p w14:paraId="6DE29227" w14:textId="77777777" w:rsidR="00271FA2" w:rsidRPr="004224F6" w:rsidRDefault="00D35E51">
            <w:pPr>
              <w:tabs>
                <w:tab w:val="decimal" w:pos="70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11,4</w:t>
            </w:r>
          </w:p>
        </w:tc>
        <w:tc>
          <w:tcPr>
            <w:tcW w:w="1361" w:type="dxa"/>
          </w:tcPr>
          <w:p w14:paraId="280DE2D2" w14:textId="77777777" w:rsidR="00271FA2" w:rsidRPr="004224F6" w:rsidRDefault="00D35E51">
            <w:pPr>
              <w:tabs>
                <w:tab w:val="decimal" w:pos="737"/>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3,7</w:t>
            </w:r>
          </w:p>
        </w:tc>
        <w:tc>
          <w:tcPr>
            <w:tcW w:w="1361" w:type="dxa"/>
          </w:tcPr>
          <w:p w14:paraId="37C3677C" w14:textId="77777777" w:rsidR="00271FA2" w:rsidRPr="004224F6" w:rsidRDefault="00D35E51">
            <w:pPr>
              <w:tabs>
                <w:tab w:val="decimal" w:pos="84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2600</w:t>
            </w:r>
          </w:p>
        </w:tc>
        <w:tc>
          <w:tcPr>
            <w:tcW w:w="1361" w:type="dxa"/>
          </w:tcPr>
          <w:p w14:paraId="5E65C7AD" w14:textId="77777777" w:rsidR="00271FA2" w:rsidRPr="004224F6" w:rsidRDefault="00D35E51">
            <w:pPr>
              <w:tabs>
                <w:tab w:val="decimal" w:pos="990"/>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2743</w:t>
            </w:r>
          </w:p>
        </w:tc>
        <w:tc>
          <w:tcPr>
            <w:tcW w:w="1361" w:type="dxa"/>
          </w:tcPr>
          <w:p w14:paraId="01AA2A91" w14:textId="77777777" w:rsidR="00271FA2" w:rsidRPr="004224F6" w:rsidRDefault="00D35E51">
            <w:pPr>
              <w:tabs>
                <w:tab w:val="decimal" w:pos="198"/>
              </w:tabs>
              <w:overflowPunct w:val="0"/>
              <w:adjustRightInd w:val="0"/>
              <w:spacing w:line="240" w:lineRule="atLeast"/>
              <w:ind w:left="113" w:right="113"/>
              <w:jc w:val="center"/>
              <w:textAlignment w:val="baseline"/>
              <w:rPr>
                <w:rFonts w:ascii="Times New Roman" w:hAnsi="Times New Roman" w:cs="Times New Roman"/>
              </w:rPr>
            </w:pPr>
            <w:r w:rsidRPr="004224F6">
              <w:rPr>
                <w:rFonts w:ascii="Times New Roman" w:hAnsi="Times New Roman" w:cs="Times New Roman"/>
              </w:rPr>
              <w:t>-</w:t>
            </w:r>
          </w:p>
        </w:tc>
      </w:tr>
      <w:tr w:rsidR="00271FA2" w:rsidRPr="004224F6" w14:paraId="35D6FD64" w14:textId="77777777">
        <w:tc>
          <w:tcPr>
            <w:tcW w:w="1361" w:type="dxa"/>
          </w:tcPr>
          <w:p w14:paraId="590CB3C3" w14:textId="77777777" w:rsidR="00271FA2" w:rsidRPr="004224F6" w:rsidRDefault="00D35E51">
            <w:pPr>
              <w:overflowPunct w:val="0"/>
              <w:adjustRightInd w:val="0"/>
              <w:spacing w:line="240" w:lineRule="atLeast"/>
              <w:ind w:left="57"/>
              <w:textAlignment w:val="baseline"/>
              <w:rPr>
                <w:rFonts w:ascii="Times New Roman" w:hAnsi="Times New Roman" w:cs="Times New Roman"/>
              </w:rPr>
            </w:pPr>
            <w:r w:rsidRPr="004224F6">
              <w:rPr>
                <w:rFonts w:ascii="Times New Roman" w:hAnsi="Times New Roman" w:cs="Times New Roman"/>
              </w:rPr>
              <w:t>Състав</w:t>
            </w:r>
          </w:p>
        </w:tc>
        <w:tc>
          <w:tcPr>
            <w:tcW w:w="1361" w:type="dxa"/>
          </w:tcPr>
          <w:p w14:paraId="575922F8" w14:textId="77777777" w:rsidR="00271FA2" w:rsidRPr="004224F6" w:rsidRDefault="00D35E51">
            <w:pPr>
              <w:tabs>
                <w:tab w:val="decimal" w:pos="70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186,5</w:t>
            </w:r>
          </w:p>
        </w:tc>
        <w:tc>
          <w:tcPr>
            <w:tcW w:w="1361" w:type="dxa"/>
          </w:tcPr>
          <w:p w14:paraId="119F69D9" w14:textId="77777777" w:rsidR="00271FA2" w:rsidRPr="004224F6" w:rsidRDefault="00D35E51">
            <w:pPr>
              <w:tabs>
                <w:tab w:val="decimal" w:pos="70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22,8</w:t>
            </w:r>
          </w:p>
        </w:tc>
        <w:tc>
          <w:tcPr>
            <w:tcW w:w="1361" w:type="dxa"/>
          </w:tcPr>
          <w:p w14:paraId="2BAC76EF" w14:textId="77777777" w:rsidR="00271FA2" w:rsidRPr="004224F6" w:rsidRDefault="00D35E51">
            <w:pPr>
              <w:tabs>
                <w:tab w:val="decimal" w:pos="737"/>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3,7</w:t>
            </w:r>
          </w:p>
        </w:tc>
        <w:tc>
          <w:tcPr>
            <w:tcW w:w="1361" w:type="dxa"/>
          </w:tcPr>
          <w:p w14:paraId="125B8525" w14:textId="77777777" w:rsidR="00271FA2" w:rsidRPr="004224F6" w:rsidRDefault="00D35E51">
            <w:pPr>
              <w:tabs>
                <w:tab w:val="decimal" w:pos="849"/>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10 700</w:t>
            </w:r>
          </w:p>
        </w:tc>
        <w:tc>
          <w:tcPr>
            <w:tcW w:w="1361" w:type="dxa"/>
          </w:tcPr>
          <w:p w14:paraId="5C0F9982" w14:textId="77777777" w:rsidR="00271FA2" w:rsidRPr="004224F6" w:rsidRDefault="00D35E51">
            <w:pPr>
              <w:tabs>
                <w:tab w:val="decimal" w:pos="990"/>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11 960</w:t>
            </w:r>
          </w:p>
        </w:tc>
        <w:tc>
          <w:tcPr>
            <w:tcW w:w="1361" w:type="dxa"/>
          </w:tcPr>
          <w:p w14:paraId="5D80EB7D" w14:textId="77777777" w:rsidR="00271FA2" w:rsidRPr="004224F6" w:rsidRDefault="00D35E51">
            <w:pPr>
              <w:tabs>
                <w:tab w:val="decimal" w:pos="848"/>
              </w:tabs>
              <w:overflowPunct w:val="0"/>
              <w:adjustRightInd w:val="0"/>
              <w:spacing w:line="240" w:lineRule="atLeast"/>
              <w:ind w:left="113" w:right="113"/>
              <w:textAlignment w:val="baseline"/>
              <w:rPr>
                <w:rFonts w:ascii="Times New Roman" w:hAnsi="Times New Roman" w:cs="Times New Roman"/>
              </w:rPr>
            </w:pPr>
            <w:r w:rsidRPr="004224F6">
              <w:rPr>
                <w:rFonts w:ascii="Times New Roman" w:hAnsi="Times New Roman" w:cs="Times New Roman"/>
              </w:rPr>
              <w:t>1500</w:t>
            </w:r>
          </w:p>
        </w:tc>
      </w:tr>
    </w:tbl>
    <w:p w14:paraId="13C3BD26" w14:textId="77777777" w:rsidR="00271FA2" w:rsidRPr="004224F6" w:rsidRDefault="00D35E51">
      <w:pPr>
        <w:tabs>
          <w:tab w:val="left" w:pos="960"/>
          <w:tab w:val="left" w:pos="1344"/>
          <w:tab w:val="left" w:pos="7680"/>
        </w:tabs>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lang w:val="ru-RU"/>
        </w:rPr>
        <w:t>Задвижваща система на самоходен моторен товарен плавателен съд: съвременни дюзи със заоблен заден ръб.</w:t>
      </w:r>
    </w:p>
    <w:p w14:paraId="573C09C9" w14:textId="77777777" w:rsidR="00271FA2" w:rsidRPr="004224F6" w:rsidRDefault="00D35E51">
      <w:pPr>
        <w:tabs>
          <w:tab w:val="left" w:pos="960"/>
          <w:tab w:val="left" w:pos="1344"/>
          <w:tab w:val="left" w:pos="7680"/>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 </w:t>
      </w:r>
      <m:oMath>
        <m:r>
          <w:rPr>
            <w:rFonts w:ascii="Cambria Math" w:hAnsi="Cambria Math" w:cs="Times New Roman"/>
            <w:lang w:val="ru-RU"/>
          </w:rPr>
          <m:t xml:space="preserve"> </m:t>
        </m:r>
        <m:r>
          <w:rPr>
            <w:rFonts w:ascii="Cambria Math" w:hAnsi="Cambria Math" w:cs="Times New Roman"/>
          </w:rPr>
          <m:t>Tgf</m:t>
        </m:r>
      </m:oMath>
      <w:r w:rsidRPr="004224F6">
        <w:rPr>
          <w:rFonts w:ascii="Times New Roman" w:hAnsi="Times New Roman" w:cs="Times New Roman"/>
          <w:lang w:val="ru-RU"/>
        </w:rPr>
        <w:t xml:space="preserve"> = товароподемност</w:t>
      </w:r>
    </w:p>
    <w:p w14:paraId="35503997" w14:textId="77777777" w:rsidR="00271FA2" w:rsidRPr="004224F6" w:rsidRDefault="00D35E51">
      <w:pPr>
        <w:spacing w:line="240" w:lineRule="atLeast"/>
        <w:ind w:left="567" w:hanging="567"/>
        <w:jc w:val="both"/>
        <w:rPr>
          <w:rFonts w:ascii="Times New Roman" w:hAnsi="Times New Roman" w:cs="Times New Roman"/>
          <w:b/>
          <w:color w:val="00000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Измерени стойности по време на маневрата за спиране</w:t>
      </w:r>
    </w:p>
    <w:p w14:paraId="61BE19F7" w14:textId="77777777" w:rsidR="00271FA2" w:rsidRPr="004224F6" w:rsidRDefault="00D35E51">
      <w:pPr>
        <w:tabs>
          <w:tab w:val="left" w:pos="5387"/>
          <w:tab w:val="left" w:pos="6379"/>
          <w:tab w:val="left" w:pos="6663"/>
          <w:tab w:val="left" w:pos="7513"/>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Скорост на течението:</w:t>
      </w:r>
      <w:r w:rsidRPr="004224F6">
        <w:rPr>
          <w:rFonts w:ascii="Times New Roman" w:hAnsi="Times New Roman" w:cs="Times New Roman"/>
          <w:lang w:val="ru-RU"/>
        </w:rPr>
        <w:tab/>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STR</m:t>
                </m:r>
              </m:sub>
            </m:sSub>
          </m:e>
          <m:sub>
            <m:r>
              <w:rPr>
                <w:rFonts w:ascii="Cambria Math" w:hAnsi="Cambria Math" w:cs="Times New Roman"/>
              </w:rPr>
              <m:t>IST</m:t>
            </m:r>
          </m:sub>
        </m:sSub>
      </m:oMath>
      <w:r w:rsidRPr="004224F6">
        <w:rPr>
          <w:rFonts w:ascii="Times New Roman" w:hAnsi="Times New Roman" w:cs="Times New Roman"/>
          <w:lang w:val="ru-RU"/>
        </w:rPr>
        <w:tab/>
        <w:t>=</w:t>
      </w:r>
      <w:r w:rsidRPr="004224F6">
        <w:rPr>
          <w:rFonts w:ascii="Times New Roman" w:hAnsi="Times New Roman" w:cs="Times New Roman"/>
          <w:lang w:val="ru-RU"/>
        </w:rPr>
        <w:tab/>
        <w:t xml:space="preserve">1,4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5,1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p>
    <w:p w14:paraId="54F6F6D7" w14:textId="77777777" w:rsidR="00271FA2" w:rsidRPr="004224F6" w:rsidRDefault="00D35E51">
      <w:pPr>
        <w:tabs>
          <w:tab w:val="left" w:pos="5387"/>
          <w:tab w:val="left" w:pos="6379"/>
          <w:tab w:val="left" w:pos="6663"/>
          <w:tab w:val="left" w:pos="7513"/>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Скорост на плавателния съд (спрямо водата): </w:t>
      </w:r>
      <w:r w:rsidRPr="004224F6">
        <w:rPr>
          <w:rFonts w:ascii="Times New Roman" w:hAnsi="Times New Roman" w:cs="Times New Roman"/>
          <w:lang w:val="ru-RU"/>
        </w:rPr>
        <w:tab/>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m:t>
                </m:r>
              </m:sub>
            </m:sSub>
          </m:e>
          <m:sub>
            <m:r>
              <w:rPr>
                <w:rFonts w:ascii="Cambria Math" w:hAnsi="Cambria Math" w:cs="Times New Roman"/>
              </w:rPr>
              <m:t>IST</m:t>
            </m:r>
          </m:sub>
        </m:sSub>
      </m:oMath>
      <w:r w:rsidRPr="004224F6">
        <w:rPr>
          <w:rFonts w:ascii="Times New Roman" w:hAnsi="Times New Roman" w:cs="Times New Roman"/>
          <w:lang w:val="ru-RU"/>
        </w:rPr>
        <w:tab/>
        <w:t>=</w:t>
      </w:r>
      <w:r w:rsidRPr="004224F6">
        <w:rPr>
          <w:rFonts w:ascii="Times New Roman" w:hAnsi="Times New Roman" w:cs="Times New Roman"/>
          <w:lang w:val="ru-RU"/>
        </w:rPr>
        <w:tab/>
        <w:t xml:space="preserve">3,5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12,5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p>
    <w:p w14:paraId="21687557" w14:textId="77777777" w:rsidR="00271FA2" w:rsidRPr="004224F6" w:rsidRDefault="00D35E51">
      <w:pPr>
        <w:tabs>
          <w:tab w:val="left" w:pos="5387"/>
          <w:tab w:val="left" w:pos="6379"/>
          <w:tab w:val="left" w:pos="6663"/>
          <w:tab w:val="left" w:pos="7513"/>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Скорост на плавателния съд (спрямо брега):</w:t>
      </w:r>
      <w:r w:rsidRPr="004224F6">
        <w:rPr>
          <w:rFonts w:ascii="Times New Roman" w:hAnsi="Times New Roman" w:cs="Times New Roman"/>
          <w:lang w:val="ru-RU"/>
        </w:rPr>
        <w:tab/>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m:t>
                </m:r>
              </m:sub>
            </m:sSub>
          </m:e>
          <m:sub>
            <m:r>
              <w:rPr>
                <w:rFonts w:ascii="Cambria Math" w:hAnsi="Cambria Math" w:cs="Times New Roman"/>
              </w:rPr>
              <m:t>IST</m:t>
            </m:r>
          </m:sub>
        </m:sSub>
      </m:oMath>
      <w:r w:rsidRPr="004224F6">
        <w:rPr>
          <w:rFonts w:ascii="Times New Roman" w:hAnsi="Times New Roman" w:cs="Times New Roman"/>
          <w:lang w:val="ru-RU"/>
        </w:rPr>
        <w:tab/>
        <w:t>=</w:t>
      </w:r>
      <w:r w:rsidRPr="004224F6">
        <w:rPr>
          <w:rFonts w:ascii="Times New Roman" w:hAnsi="Times New Roman" w:cs="Times New Roman"/>
          <w:lang w:val="ru-RU"/>
        </w:rPr>
        <w:tab/>
        <w:t xml:space="preserve">4,9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17,6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p>
    <w:p w14:paraId="3F6A5F46" w14:textId="77777777" w:rsidR="00271FA2" w:rsidRPr="004224F6" w:rsidRDefault="00D35E51">
      <w:pPr>
        <w:tabs>
          <w:tab w:val="left" w:pos="5387"/>
          <w:tab w:val="left" w:pos="6379"/>
          <w:tab w:val="left" w:pos="6663"/>
          <w:tab w:val="left" w:pos="7513"/>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Време на заден ход (измерено) (точка </w:t>
      </w:r>
      <m:oMath>
        <m:r>
          <w:rPr>
            <w:rFonts w:ascii="Cambria Math" w:hAnsi="Cambria Math" w:cs="Times New Roman"/>
          </w:rPr>
          <m:t>A</m:t>
        </m:r>
      </m:oMath>
      <w:r w:rsidRPr="004224F6">
        <w:rPr>
          <w:rFonts w:ascii="Times New Roman" w:hAnsi="Times New Roman" w:cs="Times New Roman"/>
          <w:lang w:val="ru-RU"/>
        </w:rPr>
        <w:t xml:space="preserve"> до </w:t>
      </w:r>
      <m:oMath>
        <m:r>
          <w:rPr>
            <w:rFonts w:ascii="Cambria Math" w:hAnsi="Cambria Math" w:cs="Times New Roman"/>
          </w:rPr>
          <m:t>C</m:t>
        </m:r>
      </m:oMath>
      <w:r w:rsidRPr="004224F6">
        <w:rPr>
          <w:rFonts w:ascii="Times New Roman" w:hAnsi="Times New Roman" w:cs="Times New Roman"/>
          <w:lang w:val="ru-RU"/>
        </w:rPr>
        <w:t>):</w:t>
      </w:r>
      <w:r w:rsidRPr="004224F6">
        <w:rPr>
          <w:rFonts w:ascii="Times New Roman" w:hAnsi="Times New Roman" w:cs="Times New Roman"/>
          <w:lang w:val="ru-RU"/>
        </w:rPr>
        <w:tab/>
      </w:r>
      <m:oMath>
        <m:r>
          <w:rPr>
            <w:rFonts w:ascii="Cambria Math" w:hAnsi="Cambria Math" w:cs="Times New Roman"/>
          </w:rPr>
          <m:t>t</m:t>
        </m:r>
        <m:r>
          <w:rPr>
            <w:rFonts w:ascii="Cambria Math" w:hAnsi="Cambria Math" w:cs="Times New Roman"/>
            <w:position w:val="-6"/>
          </w:rPr>
          <m:t>I</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16 </w:t>
      </w:r>
      <w:r w:rsidRPr="004224F6">
        <w:rPr>
          <w:rFonts w:ascii="Times New Roman" w:hAnsi="Times New Roman" w:cs="Times New Roman"/>
        </w:rPr>
        <w:t>s</w:t>
      </w:r>
    </w:p>
    <w:p w14:paraId="6ED5E402" w14:textId="77777777" w:rsidR="00271FA2" w:rsidRPr="004224F6" w:rsidRDefault="00D35E51">
      <w:pPr>
        <w:tabs>
          <w:tab w:val="left" w:pos="5387"/>
          <w:tab w:val="left" w:pos="6379"/>
          <w:tab w:val="left" w:pos="6663"/>
          <w:tab w:val="left" w:pos="7513"/>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Разстояние на спиране спрямо водата (точка </w:t>
      </w:r>
      <m:oMath>
        <m:r>
          <w:rPr>
            <w:rFonts w:ascii="Cambria Math" w:hAnsi="Cambria Math" w:cs="Times New Roman"/>
          </w:rPr>
          <m:t>A</m:t>
        </m:r>
      </m:oMath>
      <w:r w:rsidRPr="004224F6">
        <w:rPr>
          <w:rFonts w:ascii="Times New Roman" w:hAnsi="Times New Roman" w:cs="Times New Roman"/>
          <w:lang w:val="ru-RU"/>
        </w:rPr>
        <w:t xml:space="preserve"> до </w:t>
      </w:r>
      <m:oMath>
        <m:r>
          <w:rPr>
            <w:rFonts w:ascii="Cambria Math" w:hAnsi="Cambria Math" w:cs="Times New Roman"/>
          </w:rPr>
          <m:t>D</m:t>
        </m:r>
      </m:oMath>
      <w:r w:rsidRPr="004224F6">
        <w:rPr>
          <w:rFonts w:ascii="Times New Roman" w:hAnsi="Times New Roman" w:cs="Times New Roman"/>
          <w:lang w:val="ru-RU"/>
        </w:rPr>
        <w:t>):</w:t>
      </w:r>
      <w:r w:rsidRPr="004224F6">
        <w:rPr>
          <w:rFonts w:ascii="Times New Roman" w:hAnsi="Times New Roman" w:cs="Times New Roman"/>
          <w:lang w:val="ru-RU"/>
        </w:rPr>
        <w:tab/>
      </w:r>
      <m:oMath>
        <m:r>
          <w:rPr>
            <w:rFonts w:ascii="Cambria Math" w:hAnsi="Cambria Math" w:cs="Times New Roman"/>
          </w:rPr>
          <m:t>s</m:t>
        </m:r>
        <m:r>
          <w:rPr>
            <w:rFonts w:ascii="Cambria Math" w:hAnsi="Cambria Math" w:cs="Times New Roman"/>
            <w:position w:val="-6"/>
          </w:rPr>
          <m:t>MESSUNG</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580 </w:t>
      </w:r>
      <w:r w:rsidRPr="004224F6">
        <w:rPr>
          <w:rFonts w:ascii="Times New Roman" w:hAnsi="Times New Roman" w:cs="Times New Roman"/>
        </w:rPr>
        <w:t>m</w:t>
      </w:r>
    </w:p>
    <w:p w14:paraId="1E9909EE" w14:textId="77777777" w:rsidR="00271FA2" w:rsidRPr="004224F6" w:rsidRDefault="00D35E51">
      <w:pPr>
        <w:tabs>
          <w:tab w:val="left" w:pos="5387"/>
          <w:tab w:val="left" w:pos="6379"/>
          <w:tab w:val="left" w:pos="6663"/>
          <w:tab w:val="left" w:pos="7513"/>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Състояние на натоварване (възможна оценка): </w:t>
      </w:r>
      <w:r w:rsidRPr="004224F6">
        <w:rPr>
          <w:rFonts w:ascii="Times New Roman" w:hAnsi="Times New Roman" w:cs="Times New Roman"/>
          <w:lang w:val="ru-RU"/>
        </w:rPr>
        <w:tab/>
      </w:r>
      <m:oMath>
        <m:r>
          <w:rPr>
            <w:rFonts w:ascii="Cambria Math" w:hAnsi="Cambria Math" w:cs="Times New Roman"/>
          </w:rPr>
          <m:t>D</m:t>
        </m:r>
        <m:r>
          <w:rPr>
            <w:rFonts w:ascii="Cambria Math" w:hAnsi="Cambria Math" w:cs="Times New Roman"/>
            <w:position w:val="-6"/>
          </w:rPr>
          <m:t>IST</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9568 </w:t>
      </w:r>
      <w:r w:rsidRPr="004224F6">
        <w:rPr>
          <w:rFonts w:ascii="Times New Roman" w:hAnsi="Times New Roman" w:cs="Times New Roman"/>
        </w:rPr>
        <w:t>m</w:t>
      </w:r>
      <w:r w:rsidRPr="004224F6">
        <w:rPr>
          <w:rFonts w:ascii="Times New Roman" w:hAnsi="Times New Roman" w:cs="Times New Roman"/>
          <w:position w:val="6"/>
          <w:lang w:val="ru-RU"/>
        </w:rPr>
        <w:t>3</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0,8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max</m:t>
            </m:r>
          </m:sub>
        </m:sSub>
      </m:oMath>
    </w:p>
    <w:p w14:paraId="701EA3D5" w14:textId="77777777" w:rsidR="00271FA2" w:rsidRPr="004224F6" w:rsidRDefault="00D35E51">
      <w:pPr>
        <w:tabs>
          <w:tab w:val="left" w:pos="5387"/>
          <w:tab w:val="left" w:pos="6379"/>
          <w:tab w:val="left" w:pos="6663"/>
          <w:tab w:val="left" w:pos="7513"/>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Действително газене на състава:</w:t>
      </w:r>
      <w:r w:rsidRPr="004224F6">
        <w:rPr>
          <w:rFonts w:ascii="Times New Roman" w:hAnsi="Times New Roman" w:cs="Times New Roman"/>
          <w:lang w:val="ru-RU"/>
        </w:rPr>
        <w:tab/>
      </w:r>
      <m:oMath>
        <m:r>
          <w:rPr>
            <w:rFonts w:ascii="Cambria Math" w:hAnsi="Cambria Math" w:cs="Times New Roman"/>
          </w:rPr>
          <m:t>T</m:t>
        </m:r>
        <m:r>
          <w:rPr>
            <w:rFonts w:ascii="Cambria Math" w:hAnsi="Cambria Math" w:cs="Times New Roman"/>
            <w:position w:val="-6"/>
          </w:rPr>
          <m:t>IST</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2,96 </w:t>
      </w:r>
      <w:r w:rsidRPr="004224F6">
        <w:rPr>
          <w:rFonts w:ascii="Times New Roman" w:hAnsi="Times New Roman" w:cs="Times New Roman"/>
        </w:rPr>
        <w:t>m</w:t>
      </w:r>
      <w:r w:rsidRPr="004224F6">
        <w:rPr>
          <w:rFonts w:ascii="Times New Roman" w:hAnsi="Times New Roman" w:cs="Times New Roman"/>
          <w:lang w:val="ru-RU"/>
        </w:rPr>
        <w:tab/>
      </w:r>
      <w:r w:rsidRPr="004224F6">
        <w:rPr>
          <w:rFonts w:ascii="Times New Roman" w:hAnsi="Times New Roman" w:cs="Times New Roman"/>
        </w:rPr>
        <w:sym w:font="Symbol" w:char="F0BB"/>
      </w:r>
      <w:r w:rsidRPr="004224F6">
        <w:rPr>
          <w:rFonts w:ascii="Times New Roman" w:hAnsi="Times New Roman" w:cs="Times New Roman"/>
          <w:lang w:val="ru-RU"/>
        </w:rPr>
        <w:t xml:space="preserve"> 0,8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max</m:t>
            </m:r>
          </m:sub>
        </m:sSub>
      </m:oMath>
    </w:p>
    <w:p w14:paraId="6280214E" w14:textId="77777777" w:rsidR="00271FA2" w:rsidRPr="004224F6" w:rsidRDefault="00D35E51">
      <w:pPr>
        <w:spacing w:line="240" w:lineRule="atLeast"/>
        <w:ind w:left="567" w:hanging="567"/>
        <w:jc w:val="both"/>
        <w:rPr>
          <w:rFonts w:ascii="Times New Roman" w:hAnsi="Times New Roman" w:cs="Times New Roman"/>
          <w:b/>
          <w:color w:val="000000"/>
          <w:lang w:val="ru-RU"/>
        </w:rPr>
      </w:pPr>
      <w:r w:rsidRPr="004224F6">
        <w:rPr>
          <w:rFonts w:ascii="Times New Roman" w:hAnsi="Times New Roman" w:cs="Times New Roman"/>
          <w:b/>
          <w:color w:val="000000"/>
          <w:lang w:val="ru-RU"/>
        </w:rPr>
        <w:t>3.</w:t>
      </w:r>
      <w:r w:rsidRPr="004224F6">
        <w:rPr>
          <w:rFonts w:ascii="Times New Roman" w:hAnsi="Times New Roman" w:cs="Times New Roman"/>
          <w:lang w:val="ru-RU"/>
        </w:rPr>
        <w:tab/>
      </w:r>
      <w:r w:rsidRPr="004224F6">
        <w:rPr>
          <w:rFonts w:ascii="Times New Roman" w:hAnsi="Times New Roman" w:cs="Times New Roman"/>
          <w:b/>
          <w:color w:val="000000"/>
          <w:lang w:val="ru-RU"/>
        </w:rPr>
        <w:t>Пределно допустима стойност съгласно т</w:t>
      </w:r>
      <w:r w:rsidR="008C4C87" w:rsidRPr="004224F6">
        <w:rPr>
          <w:rFonts w:ascii="Times New Roman" w:hAnsi="Times New Roman" w:cs="Times New Roman"/>
          <w:b/>
          <w:color w:val="000000"/>
          <w:lang w:val="ru-RU"/>
        </w:rPr>
        <w:t>очка 2.1, буква „</w:t>
      </w:r>
      <w:r w:rsidR="008C4C87" w:rsidRPr="004224F6">
        <w:rPr>
          <w:rFonts w:ascii="Times New Roman" w:hAnsi="Times New Roman" w:cs="Times New Roman"/>
          <w:b/>
          <w:color w:val="000000"/>
        </w:rPr>
        <w:t>a</w:t>
      </w:r>
      <w:r w:rsidR="008C4C87" w:rsidRPr="004224F6">
        <w:rPr>
          <w:rFonts w:ascii="Times New Roman" w:hAnsi="Times New Roman" w:cs="Times New Roman"/>
          <w:b/>
          <w:color w:val="000000"/>
          <w:lang w:val="ru-RU"/>
        </w:rPr>
        <w:t>“ или „б“ от И</w:t>
      </w:r>
      <w:r w:rsidRPr="004224F6">
        <w:rPr>
          <w:rFonts w:ascii="Times New Roman" w:hAnsi="Times New Roman" w:cs="Times New Roman"/>
          <w:b/>
          <w:color w:val="000000"/>
          <w:lang w:val="ru-RU"/>
        </w:rPr>
        <w:t xml:space="preserve">нструкцията, която да бъде сравнена с </w:t>
      </w:r>
      <m:oMath>
        <m:sSub>
          <m:sSubPr>
            <m:ctrlPr>
              <w:rPr>
                <w:rFonts w:ascii="Cambria Math" w:hAnsi="Cambria Math" w:cs="Times New Roman"/>
                <w:i/>
              </w:rPr>
            </m:ctrlPr>
          </m:sSubPr>
          <m:e>
            <m:r>
              <m:rPr>
                <m:sty m:val="bi"/>
              </m:rPr>
              <w:rPr>
                <w:rFonts w:ascii="Cambria Math" w:hAnsi="Cambria Math" w:cs="Times New Roman"/>
                <w:color w:val="000000"/>
              </w:rPr>
              <m:t>s</m:t>
            </m:r>
          </m:e>
          <m:sub>
            <m:r>
              <m:rPr>
                <m:sty m:val="bi"/>
              </m:rPr>
              <w:rPr>
                <w:rFonts w:ascii="Cambria Math" w:hAnsi="Cambria Math" w:cs="Times New Roman"/>
                <w:color w:val="000000"/>
              </w:rPr>
              <m:t>NORM</m:t>
            </m:r>
          </m:sub>
        </m:sSub>
      </m:oMath>
    </w:p>
    <w:p w14:paraId="688AA226" w14:textId="77777777" w:rsidR="00271FA2" w:rsidRPr="004224F6" w:rsidRDefault="00D35E51">
      <w:pPr>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Тъй като </w:t>
      </w:r>
      <m:oMath>
        <m:r>
          <w:rPr>
            <w:rFonts w:ascii="Cambria Math" w:hAnsi="Cambria Math" w:cs="Times New Roman"/>
          </w:rPr>
          <m:t>B</m:t>
        </m:r>
        <m:r>
          <w:rPr>
            <w:rFonts w:ascii="Cambria Math" w:hAnsi="Cambria Math" w:cs="Times New Roman"/>
            <w:lang w:val="ru-RU"/>
          </w:rPr>
          <m:t xml:space="preserve"> &gt; 11,45 </m:t>
        </m:r>
        <m:r>
          <w:rPr>
            <w:rFonts w:ascii="Cambria Math" w:hAnsi="Cambria Math" w:cs="Times New Roman"/>
          </w:rPr>
          <m:t>m</m:t>
        </m:r>
      </m:oMath>
      <w:r w:rsidRPr="004224F6">
        <w:rPr>
          <w:rFonts w:ascii="Times New Roman" w:hAnsi="Times New Roman" w:cs="Times New Roman"/>
          <w:lang w:val="ru-RU"/>
        </w:rPr>
        <w:t xml:space="preserve"> и съставът е в течаща вода, за този състав е приложимо следното съгласно точка 2.1, буква „</w:t>
      </w:r>
      <w:r w:rsidRPr="004224F6">
        <w:rPr>
          <w:rFonts w:ascii="Times New Roman" w:hAnsi="Times New Roman" w:cs="Times New Roman"/>
        </w:rPr>
        <w:t>a</w:t>
      </w:r>
      <w:r w:rsidRPr="004224F6">
        <w:rPr>
          <w:rFonts w:ascii="Times New Roman" w:hAnsi="Times New Roman" w:cs="Times New Roman"/>
          <w:lang w:val="ru-RU"/>
        </w:rPr>
        <w:t>“:</w:t>
      </w:r>
    </w:p>
    <w:p w14:paraId="297B6C77" w14:textId="77777777" w:rsidR="00271FA2" w:rsidRPr="004224F6" w:rsidRDefault="00D35E51">
      <w:pPr>
        <w:tabs>
          <w:tab w:val="left" w:pos="567"/>
          <w:tab w:val="left" w:pos="3402"/>
        </w:tabs>
        <w:overflowPunct w:val="0"/>
        <w:adjustRightInd w:val="0"/>
        <w:spacing w:line="240" w:lineRule="atLeast"/>
        <w:ind w:left="567"/>
        <w:textAlignment w:val="baseline"/>
        <w:rPr>
          <w:rFonts w:ascii="Times New Roman" w:hAnsi="Times New Roman" w:cs="Times New Roman"/>
        </w:rPr>
      </w:pPr>
      <m:oMathPara>
        <m:oMath>
          <m:r>
            <w:rPr>
              <w:rFonts w:ascii="Cambria Math" w:hAnsi="Cambria Math" w:cs="Times New Roman"/>
            </w:rPr>
            <m:t>s</m:t>
          </m:r>
          <m:r>
            <w:rPr>
              <w:rFonts w:ascii="Cambria Math" w:hAnsi="Cambria Math" w:cs="Times New Roman"/>
              <w:position w:val="-6"/>
            </w:rPr>
            <m:t>NORM</m:t>
          </m:r>
          <m:r>
            <w:rPr>
              <w:rFonts w:ascii="Cambria Math" w:hAnsi="Cambria Math" w:cs="Times New Roman"/>
            </w:rPr>
            <m:t xml:space="preserve">  </m:t>
          </m:r>
          <m:r>
            <m:rPr>
              <m:sty m:val="p"/>
            </m:rPr>
            <w:rPr>
              <w:rFonts w:ascii="Cambria Math" w:hAnsi="Cambria Math" w:cs="Times New Roman"/>
            </w:rPr>
            <w:sym w:font="Symbol" w:char="F0A3"/>
          </m:r>
          <m:r>
            <w:rPr>
              <w:rFonts w:ascii="Cambria Math" w:hAnsi="Cambria Math" w:cs="Times New Roman"/>
            </w:rPr>
            <m:t xml:space="preserve">  550 m</m:t>
          </m:r>
        </m:oMath>
      </m:oMathPara>
    </w:p>
    <w:p w14:paraId="7EFCD0D7" w14:textId="77777777" w:rsidR="00271FA2" w:rsidRPr="004224F6" w:rsidRDefault="00D35E51">
      <w:pPr>
        <w:spacing w:line="240" w:lineRule="atLeast"/>
        <w:ind w:left="567" w:hanging="567"/>
        <w:jc w:val="both"/>
        <w:rPr>
          <w:rFonts w:ascii="Times New Roman" w:hAnsi="Times New Roman" w:cs="Times New Roman"/>
          <w:b/>
          <w:color w:val="000000"/>
          <w:lang w:val="ru-RU"/>
        </w:rPr>
      </w:pPr>
      <w:r w:rsidRPr="004224F6">
        <w:rPr>
          <w:rFonts w:ascii="Times New Roman" w:hAnsi="Times New Roman" w:cs="Times New Roman"/>
          <w:b/>
          <w:color w:val="000000"/>
          <w:lang w:val="ru-RU"/>
        </w:rPr>
        <w:t>4.</w:t>
      </w:r>
      <w:r w:rsidRPr="004224F6">
        <w:rPr>
          <w:rFonts w:ascii="Times New Roman" w:hAnsi="Times New Roman" w:cs="Times New Roman"/>
          <w:lang w:val="ru-RU"/>
        </w:rPr>
        <w:tab/>
      </w:r>
      <w:r w:rsidRPr="004224F6">
        <w:rPr>
          <w:rFonts w:ascii="Times New Roman" w:hAnsi="Times New Roman" w:cs="Times New Roman"/>
          <w:b/>
          <w:color w:val="000000"/>
          <w:lang w:val="ru-RU"/>
        </w:rPr>
        <w:t>Определяне на коригираното разстояние на спиране в сравнение със стандартни условия</w:t>
      </w:r>
    </w:p>
    <w:p w14:paraId="43E4D07A" w14:textId="77777777" w:rsidR="00271FA2" w:rsidRPr="004224F6" w:rsidRDefault="00D35E51">
      <w:pPr>
        <w:tabs>
          <w:tab w:val="left" w:pos="567"/>
        </w:tabs>
        <w:overflowPunct w:val="0"/>
        <w:adjustRightInd w:val="0"/>
        <w:spacing w:line="240" w:lineRule="atLeast"/>
        <w:ind w:left="992" w:hanging="425"/>
        <w:textAlignment w:val="baseline"/>
        <w:rPr>
          <w:rFonts w:ascii="Times New Roman" w:hAnsi="Times New Roman" w:cs="Times New Roman"/>
        </w:rPr>
      </w:pPr>
      <w:r w:rsidRPr="004224F6">
        <w:rPr>
          <w:rFonts w:ascii="Times New Roman" w:hAnsi="Times New Roman" w:cs="Times New Roman"/>
        </w:rPr>
        <w:t>-</w:t>
      </w:r>
      <w:r w:rsidRPr="004224F6">
        <w:rPr>
          <w:rFonts w:ascii="Times New Roman" w:hAnsi="Times New Roman" w:cs="Times New Roman"/>
        </w:rPr>
        <w:tab/>
      </w:r>
      <w:r w:rsidRPr="004224F6">
        <w:rPr>
          <w:rFonts w:ascii="Times New Roman" w:hAnsi="Times New Roman" w:cs="Times New Roman"/>
          <w:b/>
        </w:rPr>
        <w:t>Измерена стойност</w:t>
      </w:r>
      <w:r w:rsidRPr="004224F6">
        <w:rPr>
          <w:rFonts w:ascii="Times New Roman" w:hAnsi="Times New Roman" w:cs="Times New Roman"/>
        </w:rPr>
        <w:t>:</w:t>
      </w:r>
    </w:p>
    <w:p w14:paraId="3C1EA246" w14:textId="77777777" w:rsidR="00271FA2" w:rsidRPr="004224F6" w:rsidRDefault="00D35E51">
      <w:pPr>
        <w:tabs>
          <w:tab w:val="left" w:pos="454"/>
          <w:tab w:val="left" w:pos="3402"/>
        </w:tabs>
        <w:overflowPunct w:val="0"/>
        <w:adjustRightInd w:val="0"/>
        <w:spacing w:line="240" w:lineRule="atLeast"/>
        <w:ind w:left="992"/>
        <w:textAlignment w:val="baseline"/>
        <w:rPr>
          <w:rFonts w:ascii="Times New Roman" w:hAnsi="Times New Roman" w:cs="Times New Roman"/>
        </w:rPr>
      </w:pPr>
      <m:oMathPara>
        <m:oMath>
          <m:r>
            <w:rPr>
              <w:rFonts w:ascii="Cambria Math" w:hAnsi="Cambria Math" w:cs="Times New Roman"/>
            </w:rPr>
            <m:t>s</m:t>
          </m:r>
          <m:r>
            <w:rPr>
              <w:rFonts w:ascii="Cambria Math" w:hAnsi="Cambria Math" w:cs="Times New Roman"/>
              <w:position w:val="-6"/>
            </w:rPr>
            <m:t>MESSUNG</m:t>
          </m:r>
          <m:r>
            <w:rPr>
              <w:rFonts w:ascii="Cambria Math" w:hAnsi="Cambria Math" w:cs="Times New Roman"/>
            </w:rPr>
            <m:t xml:space="preserve"> = 580 m</m:t>
          </m:r>
        </m:oMath>
      </m:oMathPara>
    </w:p>
    <w:p w14:paraId="7E443BFB" w14:textId="77777777" w:rsidR="00271FA2" w:rsidRPr="004224F6" w:rsidRDefault="00271FA2">
      <w:pPr>
        <w:tabs>
          <w:tab w:val="left" w:pos="454"/>
        </w:tabs>
        <w:overflowPunct w:val="0"/>
        <w:adjustRightInd w:val="0"/>
        <w:spacing w:line="240" w:lineRule="atLeast"/>
        <w:ind w:left="992"/>
        <w:textAlignment w:val="baseline"/>
        <w:rPr>
          <w:rFonts w:ascii="Times New Roman" w:hAnsi="Times New Roman" w:cs="Times New Roman"/>
        </w:rPr>
      </w:pPr>
    </w:p>
    <w:p w14:paraId="1ABE033F" w14:textId="77777777" w:rsidR="00271FA2" w:rsidRPr="004224F6" w:rsidRDefault="00D35E51">
      <w:pPr>
        <w:tabs>
          <w:tab w:val="left" w:pos="284"/>
          <w:tab w:val="left" w:pos="567"/>
        </w:tabs>
        <w:overflowPunct w:val="0"/>
        <w:adjustRightInd w:val="0"/>
        <w:spacing w:line="240" w:lineRule="atLeast"/>
        <w:ind w:left="992" w:hanging="425"/>
        <w:textAlignment w:val="baseline"/>
        <w:rPr>
          <w:rFonts w:ascii="Times New Roman" w:hAnsi="Times New Roman" w:cs="Times New Roman"/>
          <w:b/>
          <w:lang w:val="ru-RU"/>
        </w:rPr>
      </w:pPr>
      <w:r w:rsidRPr="004224F6">
        <w:rPr>
          <w:rFonts w:ascii="Times New Roman" w:hAnsi="Times New Roman" w:cs="Times New Roman"/>
          <w:b/>
          <w:lang w:val="ru-RU"/>
        </w:rPr>
        <w:t>-</w:t>
      </w:r>
      <w:r w:rsidRPr="004224F6">
        <w:rPr>
          <w:rFonts w:ascii="Times New Roman" w:hAnsi="Times New Roman" w:cs="Times New Roman"/>
          <w:lang w:val="ru-RU"/>
        </w:rPr>
        <w:tab/>
      </w:r>
      <w:r w:rsidRPr="004224F6">
        <w:rPr>
          <w:rFonts w:ascii="Times New Roman" w:hAnsi="Times New Roman" w:cs="Times New Roman"/>
          <w:b/>
          <w:lang w:val="ru-RU"/>
        </w:rPr>
        <w:t>изчисления, които трябва да бъдат направени:</w:t>
      </w:r>
    </w:p>
    <w:p w14:paraId="068F537E" w14:textId="77777777" w:rsidR="00271FA2" w:rsidRPr="004224F6" w:rsidRDefault="002C62EC">
      <w:pPr>
        <w:tabs>
          <w:tab w:val="left" w:pos="567"/>
          <w:tab w:val="left" w:pos="1276"/>
          <w:tab w:val="left" w:pos="4111"/>
        </w:tabs>
        <w:overflowPunct w:val="0"/>
        <w:adjustRightInd w:val="0"/>
        <w:spacing w:line="240" w:lineRule="atLeast"/>
        <w:ind w:left="3402" w:hanging="2410"/>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oMath>
      <w:r w:rsidR="00D35E51" w:rsidRPr="004224F6">
        <w:rPr>
          <w:rFonts w:ascii="Times New Roman" w:hAnsi="Times New Roman" w:cs="Times New Roman"/>
          <w:lang w:val="ru-RU"/>
        </w:rPr>
        <w:t xml:space="preserve"> като сбор от</w:t>
      </w:r>
    </w:p>
    <w:p w14:paraId="4382C6D0" w14:textId="77777777" w:rsidR="00271FA2" w:rsidRPr="004224F6" w:rsidRDefault="002C62EC" w:rsidP="00814BC0">
      <w:pPr>
        <w:tabs>
          <w:tab w:val="left" w:pos="567"/>
          <w:tab w:val="left" w:pos="4111"/>
        </w:tabs>
        <w:overflowPunct w:val="0"/>
        <w:adjustRightInd w:val="0"/>
        <w:spacing w:line="240" w:lineRule="atLeast"/>
        <w:ind w:left="3402" w:hanging="2410"/>
        <w:jc w:val="both"/>
        <w:textAlignment w:val="baseline"/>
        <w:rPr>
          <w:rFonts w:ascii="Times New Roman" w:hAnsi="Times New Roman" w:cs="Times New Roman"/>
          <w:lang w:val="ru-RU"/>
        </w:rPr>
      </w:p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IST</m:t>
            </m:r>
          </m:sub>
        </m:sSub>
      </m:oMath>
      <w:r w:rsidR="00D35E51" w:rsidRPr="004224F6">
        <w:rPr>
          <w:rFonts w:ascii="Times New Roman" w:hAnsi="Times New Roman" w:cs="Times New Roman"/>
          <w:lang w:val="ru-RU"/>
        </w:rPr>
        <w:t xml:space="preserve"> </w:t>
      </w:r>
      <w:r w:rsidR="00D35E51" w:rsidRPr="004224F6">
        <w:rPr>
          <w:rFonts w:ascii="Times New Roman" w:hAnsi="Times New Roman" w:cs="Times New Roman"/>
          <w:lang w:val="ru-RU"/>
        </w:rPr>
        <w:tab/>
        <w:t>(съгласно формула (4.1) от Приложение</w:t>
      </w:r>
      <w:r w:rsidR="00D35E51" w:rsidRPr="004224F6">
        <w:rPr>
          <w:rFonts w:ascii="Times New Roman" w:hAnsi="Times New Roman" w:cs="Times New Roman"/>
        </w:rPr>
        <w:t> </w:t>
      </w:r>
      <w:r w:rsidR="00D35E51" w:rsidRPr="004224F6">
        <w:rPr>
          <w:rFonts w:ascii="Times New Roman" w:hAnsi="Times New Roman" w:cs="Times New Roman"/>
          <w:lang w:val="ru-RU"/>
        </w:rPr>
        <w:t xml:space="preserve">2 с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m:t>
                </m:r>
              </m:sub>
            </m:sSub>
          </m:e>
          <m:sub>
            <m:r>
              <w:rPr>
                <w:rFonts w:ascii="Cambria Math" w:hAnsi="Cambria Math" w:cs="Times New Roman"/>
              </w:rPr>
              <m:t>IST</m:t>
            </m:r>
          </m:sub>
        </m:sSub>
      </m:oMath>
      <w:r w:rsidR="00D35E51" w:rsidRPr="004224F6">
        <w:rPr>
          <w:rFonts w:ascii="Times New Roman" w:hAnsi="Times New Roman" w:cs="Times New Roman"/>
          <w:lang w:val="ru-RU"/>
        </w:rPr>
        <w:t>)</w:t>
      </w:r>
    </w:p>
    <w:p w14:paraId="0B1202B1" w14:textId="77777777" w:rsidR="00271FA2" w:rsidRPr="004224F6" w:rsidRDefault="00D35E51" w:rsidP="00814BC0">
      <w:pPr>
        <w:tabs>
          <w:tab w:val="left" w:pos="567"/>
          <w:tab w:val="left" w:pos="1276"/>
          <w:tab w:val="left" w:pos="4111"/>
        </w:tabs>
        <w:overflowPunct w:val="0"/>
        <w:adjustRightInd w:val="0"/>
        <w:spacing w:line="240" w:lineRule="atLeast"/>
        <w:ind w:left="3402" w:hanging="2410"/>
        <w:jc w:val="both"/>
        <w:textAlignment w:val="baseline"/>
        <w:rPr>
          <w:rFonts w:ascii="Times New Roman" w:hAnsi="Times New Roman" w:cs="Times New Roman"/>
          <w:lang w:val="ru-RU"/>
        </w:rPr>
      </w:pPr>
      <w:r w:rsidRPr="004224F6">
        <w:rPr>
          <w:rFonts w:ascii="Times New Roman" w:hAnsi="Times New Roman" w:cs="Times New Roman"/>
          <w:lang w:val="ru-RU"/>
        </w:rPr>
        <w:t xml:space="preserve">и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IST</m:t>
            </m:r>
          </m:sub>
        </m:sSub>
      </m:oMath>
      <w:r w:rsidRPr="004224F6">
        <w:rPr>
          <w:rFonts w:ascii="Times New Roman" w:hAnsi="Times New Roman" w:cs="Times New Roman"/>
          <w:lang w:val="ru-RU"/>
        </w:rPr>
        <w:tab/>
        <w:t>(съгласно формули (4.2), (4.3), (4.4), (4.5) и (4.6) от Приложение</w:t>
      </w:r>
      <w:r w:rsidRPr="004224F6">
        <w:rPr>
          <w:rFonts w:ascii="Times New Roman" w:hAnsi="Times New Roman" w:cs="Times New Roman"/>
        </w:rPr>
        <w:t> </w:t>
      </w:r>
      <w:r w:rsidRPr="004224F6">
        <w:rPr>
          <w:rFonts w:ascii="Times New Roman" w:hAnsi="Times New Roman" w:cs="Times New Roman"/>
          <w:lang w:val="ru-RU"/>
        </w:rPr>
        <w:t xml:space="preserve">2 с действителните скорости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m:t>
                </m:r>
              </m:sub>
            </m:sSub>
          </m:e>
          <m:sub>
            <m:r>
              <w:rPr>
                <w:rFonts w:ascii="Cambria Math" w:hAnsi="Cambria Math" w:cs="Times New Roman"/>
              </w:rPr>
              <m:t>IST</m:t>
            </m:r>
          </m:sub>
        </m:sSub>
      </m:oMath>
      <w:r w:rsidRPr="004224F6">
        <w:rPr>
          <w:rFonts w:ascii="Times New Roman" w:hAnsi="Times New Roman" w:cs="Times New Roman"/>
          <w:lang w:val="ru-RU"/>
        </w:rPr>
        <w:t>), (виж точка 2 по-горе)</w:t>
      </w:r>
      <w:r w:rsidRPr="004224F6">
        <w:rPr>
          <w:rFonts w:ascii="Times New Roman" w:hAnsi="Times New Roman" w:cs="Times New Roman"/>
          <w:i/>
          <w:lang w:val="ru-RU"/>
        </w:rPr>
        <w:t xml:space="preserve"> </w:t>
      </w:r>
      <w:r w:rsidRPr="004224F6">
        <w:rPr>
          <w:rFonts w:ascii="Times New Roman" w:hAnsi="Times New Roman" w:cs="Times New Roman"/>
          <w:lang w:val="ru-RU"/>
        </w:rPr>
        <w:t xml:space="preserve">и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oMath>
      <w:r w:rsidRPr="004224F6">
        <w:rPr>
          <w:rFonts w:ascii="Times New Roman" w:hAnsi="Times New Roman" w:cs="Times New Roman"/>
          <w:lang w:val="ru-RU"/>
        </w:rPr>
        <w:t>).</w:t>
      </w:r>
    </w:p>
    <w:p w14:paraId="4CFDEDB5" w14:textId="77777777" w:rsidR="00271FA2" w:rsidRPr="004224F6" w:rsidRDefault="002C62EC" w:rsidP="00814BC0">
      <w:pPr>
        <w:tabs>
          <w:tab w:val="left" w:pos="567"/>
          <w:tab w:val="left" w:pos="1560"/>
          <w:tab w:val="left" w:pos="4111"/>
        </w:tabs>
        <w:overflowPunct w:val="0"/>
        <w:adjustRightInd w:val="0"/>
        <w:spacing w:line="240" w:lineRule="atLeast"/>
        <w:ind w:left="3402" w:hanging="2410"/>
        <w:jc w:val="both"/>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oMath>
      <w:r w:rsidR="00D35E51" w:rsidRPr="004224F6">
        <w:rPr>
          <w:rFonts w:ascii="Times New Roman" w:hAnsi="Times New Roman" w:cs="Times New Roman"/>
          <w:lang w:val="ru-RU"/>
        </w:rPr>
        <w:t>:</w:t>
      </w:r>
      <w:r w:rsidR="00D35E51" w:rsidRPr="004224F6">
        <w:rPr>
          <w:rFonts w:ascii="Times New Roman" w:hAnsi="Times New Roman" w:cs="Times New Roman"/>
          <w:lang w:val="ru-RU"/>
        </w:rPr>
        <w:tab/>
        <w:t xml:space="preserve">сума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SOLL</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oMath>
      <w:r w:rsidR="00D35E51" w:rsidRPr="004224F6">
        <w:rPr>
          <w:rFonts w:ascii="Times New Roman" w:hAnsi="Times New Roman" w:cs="Times New Roman"/>
          <w:lang w:val="ru-RU"/>
        </w:rPr>
        <w:tab/>
        <w:t>(съгласно формули от (4.1) до (4.6) от Приложение 2 с еталонни скорости и в съответствие с Приложение 2, защото състоянието на натоварване е &gt; 70 % от максималното,</w:t>
      </w:r>
    </w:p>
    <w:p w14:paraId="44951571" w14:textId="77777777" w:rsidR="00271FA2" w:rsidRPr="004224F6" w:rsidRDefault="00D35E51" w:rsidP="00814BC0">
      <w:pPr>
        <w:tabs>
          <w:tab w:val="left" w:pos="567"/>
          <w:tab w:val="left" w:pos="4111"/>
        </w:tabs>
        <w:overflowPunct w:val="0"/>
        <w:adjustRightInd w:val="0"/>
        <w:spacing w:line="240" w:lineRule="atLeast"/>
        <w:ind w:left="3402" w:hanging="2410"/>
        <w:jc w:val="both"/>
        <w:textAlignment w:val="baseline"/>
        <w:rPr>
          <w:rFonts w:ascii="Times New Roman" w:hAnsi="Times New Roman" w:cs="Times New Roman"/>
          <w:lang w:val="ru-RU"/>
        </w:rPr>
      </w:pPr>
      <w:r w:rsidRPr="004224F6">
        <w:rPr>
          <w:rFonts w:ascii="Times New Roman" w:hAnsi="Times New Roman" w:cs="Times New Roman"/>
          <w:lang w:val="ru-RU"/>
        </w:rPr>
        <w:tab/>
        <w:t xml:space="preserve">където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oMath>
      <w:r w:rsidRPr="004224F6">
        <w:rPr>
          <w:rFonts w:ascii="Times New Roman" w:hAnsi="Times New Roman" w:cs="Times New Roman"/>
          <w:lang w:val="ru-RU"/>
        </w:rPr>
        <w:t xml:space="preserve"> и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SOLL</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IST</m:t>
            </m:r>
          </m:sub>
        </m:sSub>
      </m:oMath>
      <w:r w:rsidRPr="004224F6">
        <w:rPr>
          <w:rFonts w:ascii="Times New Roman" w:hAnsi="Times New Roman" w:cs="Times New Roman"/>
          <w:lang w:val="ru-RU"/>
        </w:rPr>
        <w:t>)</w:t>
      </w:r>
    </w:p>
    <w:p w14:paraId="26645DFA" w14:textId="77777777" w:rsidR="00271FA2" w:rsidRPr="004224F6" w:rsidRDefault="00D35E51">
      <w:pPr>
        <w:tabs>
          <w:tab w:val="left" w:pos="284"/>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t>-</w:t>
      </w:r>
      <w:r w:rsidRPr="004224F6">
        <w:rPr>
          <w:rFonts w:ascii="Times New Roman" w:hAnsi="Times New Roman" w:cs="Times New Roman"/>
          <w:lang w:val="ru-RU"/>
        </w:rPr>
        <w:tab/>
      </w:r>
      <w:r w:rsidRPr="004224F6">
        <w:rPr>
          <w:rFonts w:ascii="Times New Roman" w:hAnsi="Times New Roman" w:cs="Times New Roman"/>
          <w:b/>
          <w:lang w:val="ru-RU"/>
        </w:rPr>
        <w:t>да се провери:</w:t>
      </w:r>
    </w:p>
    <w:p w14:paraId="7376160F" w14:textId="77777777" w:rsidR="00271FA2" w:rsidRPr="004224F6" w:rsidRDefault="002C62EC">
      <w:pPr>
        <w:tabs>
          <w:tab w:val="left" w:pos="454"/>
        </w:tabs>
        <w:overflowPunct w:val="0"/>
        <w:adjustRightInd w:val="0"/>
        <w:spacing w:line="240" w:lineRule="atLeast"/>
        <w:ind w:left="454" w:hanging="454"/>
        <w:jc w:val="center"/>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r>
          <w:rPr>
            <w:rFonts w:ascii="Cambria Math" w:hAnsi="Cambria Math" w:cs="Times New Roman"/>
            <w:lang w:val="ru-RU"/>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den>
        </m:f>
        <m:r>
          <w:rPr>
            <w:rFonts w:ascii="Cambria Math" w:hAnsi="Cambria Math" w:cs="Times New Roman"/>
            <w:lang w:val="ru-RU"/>
          </w:rPr>
          <m:t xml:space="preserve"> ≤550 </m:t>
        </m:r>
        <m:r>
          <w:rPr>
            <w:rFonts w:ascii="Cambria Math" w:hAnsi="Cambria Math" w:cs="Times New Roman"/>
          </w:rPr>
          <m:t>m</m:t>
        </m:r>
      </m:oMath>
      <w:r w:rsidR="00D35E51" w:rsidRPr="004224F6">
        <w:rPr>
          <w:rFonts w:ascii="Times New Roman" w:hAnsi="Times New Roman" w:cs="Times New Roman"/>
          <w:lang w:val="ru-RU"/>
        </w:rPr>
        <w:t xml:space="preserve"> в противен случай</w:t>
      </w:r>
    </w:p>
    <w:p w14:paraId="14394047" w14:textId="77777777" w:rsidR="00271FA2" w:rsidRPr="004224F6" w:rsidRDefault="00D35E51">
      <w:pPr>
        <w:tabs>
          <w:tab w:val="left" w:pos="284"/>
        </w:tabs>
        <w:overflowPunct w:val="0"/>
        <w:adjustRightInd w:val="0"/>
        <w:spacing w:line="240" w:lineRule="atLeast"/>
        <w:ind w:left="992" w:hanging="425"/>
        <w:textAlignment w:val="baseline"/>
        <w:rPr>
          <w:rFonts w:ascii="Times New Roman" w:hAnsi="Times New Roman" w:cs="Times New Roman"/>
          <w:b/>
          <w:lang w:val="ru-RU"/>
        </w:rPr>
      </w:pPr>
      <w:r w:rsidRPr="004224F6">
        <w:rPr>
          <w:rFonts w:ascii="Times New Roman" w:hAnsi="Times New Roman" w:cs="Times New Roman"/>
          <w:b/>
          <w:lang w:val="ru-RU"/>
        </w:rPr>
        <w:t>-</w:t>
      </w:r>
      <w:r w:rsidRPr="004224F6">
        <w:rPr>
          <w:rFonts w:ascii="Times New Roman" w:hAnsi="Times New Roman" w:cs="Times New Roman"/>
          <w:lang w:val="ru-RU"/>
        </w:rPr>
        <w:tab/>
      </w:r>
      <w:r w:rsidRPr="004224F6">
        <w:rPr>
          <w:rFonts w:ascii="Times New Roman" w:hAnsi="Times New Roman" w:cs="Times New Roman"/>
          <w:b/>
          <w:lang w:val="ru-RU"/>
        </w:rPr>
        <w:t>да се изчисли:</w:t>
      </w:r>
    </w:p>
    <w:p w14:paraId="73639CF6" w14:textId="77777777" w:rsidR="00271FA2" w:rsidRPr="004224F6" w:rsidRDefault="002C62EC">
      <w:pPr>
        <w:tabs>
          <w:tab w:val="left" w:pos="454"/>
          <w:tab w:val="left" w:pos="1418"/>
          <w:tab w:val="left" w:pos="1843"/>
        </w:tabs>
        <w:overflowPunct w:val="0"/>
        <w:adjustRightInd w:val="0"/>
        <w:spacing w:line="240" w:lineRule="atLeast"/>
        <w:ind w:left="992"/>
        <w:textAlignment w:val="baseline"/>
        <w:rPr>
          <w:rFonts w:ascii="Times New Roman" w:hAnsi="Times New Roman" w:cs="Times New Roman"/>
          <w:lang w:val="ru-RU"/>
        </w:rPr>
      </w:pP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lang w:val="ru-RU"/>
                  </w:rPr>
                  <m:t>*</m:t>
                </m:r>
              </m:sup>
            </m:sSup>
          </m:e>
          <m:sub>
            <m:r>
              <w:rPr>
                <w:rFonts w:ascii="Cambria Math" w:hAnsi="Cambria Math" w:cs="Times New Roman"/>
              </w:rPr>
              <m:t>NORM</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 xml:space="preserve">550 </w:t>
      </w:r>
      <w:r w:rsidR="00D35E51" w:rsidRPr="004224F6">
        <w:rPr>
          <w:rFonts w:ascii="Times New Roman" w:hAnsi="Times New Roman" w:cs="Times New Roman"/>
        </w:rPr>
        <w:t>m</w:t>
      </w:r>
      <w:r w:rsidR="00D35E51" w:rsidRPr="004224F6">
        <w:rPr>
          <w:rFonts w:ascii="Times New Roman" w:hAnsi="Times New Roman" w:cs="Times New Roman"/>
          <w:lang w:val="ru-RU"/>
        </w:rPr>
        <w:t xml:space="preserve">, като се намали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oMath>
      <w:r w:rsidR="00D35E51" w:rsidRPr="004224F6">
        <w:rPr>
          <w:rFonts w:ascii="Times New Roman" w:hAnsi="Times New Roman" w:cs="Times New Roman"/>
          <w:lang w:val="ru-RU"/>
        </w:rPr>
        <w:t xml:space="preserve"> до </w:t>
      </w:r>
      <m:oMath>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lang w:val="ru-RU"/>
              </w:rPr>
              <m:t>*</m:t>
            </m:r>
          </m:sup>
        </m:sSup>
      </m:oMath>
      <w:r w:rsidR="00D35E51" w:rsidRPr="004224F6">
        <w:rPr>
          <w:rFonts w:ascii="Times New Roman" w:hAnsi="Times New Roman" w:cs="Times New Roman"/>
          <w:lang w:val="ru-RU"/>
        </w:rPr>
        <w:t>.</w:t>
      </w:r>
    </w:p>
    <w:p w14:paraId="4F8979E9"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4.1</w:t>
      </w:r>
      <w:r w:rsidRPr="004224F6">
        <w:rPr>
          <w:rFonts w:ascii="Times New Roman" w:hAnsi="Times New Roman" w:cs="Times New Roman"/>
          <w:lang w:val="ru-RU"/>
        </w:rPr>
        <w:tab/>
      </w:r>
      <w:r w:rsidRPr="004224F6">
        <w:rPr>
          <w:rFonts w:ascii="Times New Roman" w:hAnsi="Times New Roman" w:cs="Times New Roman"/>
          <w:b/>
          <w:color w:val="000000"/>
          <w:lang w:val="ru-RU"/>
        </w:rPr>
        <w:t>Коефициенти за изчислението съгласно Приложение</w:t>
      </w:r>
      <w:r w:rsidRPr="004224F6">
        <w:rPr>
          <w:rFonts w:ascii="Times New Roman" w:hAnsi="Times New Roman" w:cs="Times New Roman"/>
          <w:b/>
          <w:color w:val="000000"/>
        </w:rPr>
        <w:t> </w:t>
      </w:r>
      <w:r w:rsidRPr="004224F6">
        <w:rPr>
          <w:rFonts w:ascii="Times New Roman" w:hAnsi="Times New Roman" w:cs="Times New Roman"/>
          <w:b/>
          <w:color w:val="000000"/>
          <w:lang w:val="ru-RU"/>
        </w:rPr>
        <w:t>2</w:t>
      </w:r>
    </w:p>
    <w:p w14:paraId="6816B2E3"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Таблица 1</w:t>
      </w:r>
    </w:p>
    <w:p w14:paraId="49D9A719" w14:textId="77777777" w:rsidR="00271FA2" w:rsidRPr="004224F6" w:rsidRDefault="00D35E51">
      <w:pPr>
        <w:tabs>
          <w:tab w:val="left" w:pos="567"/>
          <w:tab w:val="left" w:pos="2694"/>
          <w:tab w:val="left" w:pos="3119"/>
          <w:tab w:val="left" w:pos="3544"/>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за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IST</m:t>
            </m:r>
          </m:sub>
        </m:sSub>
      </m:oMath>
      <w:r w:rsidRPr="004224F6">
        <w:rPr>
          <w:rFonts w:ascii="Times New Roman" w:hAnsi="Times New Roman" w:cs="Times New Roman"/>
          <w:lang w:val="ru-RU"/>
        </w:rPr>
        <w:t xml:space="preserve"> и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SOLL</m:t>
            </m:r>
          </m:sub>
        </m:sSub>
      </m:oMath>
      <w:r w:rsidRPr="004224F6">
        <w:rPr>
          <w:rFonts w:ascii="Times New Roman" w:hAnsi="Times New Roman" w:cs="Times New Roman"/>
          <w:lang w:val="ru-RU"/>
        </w:rPr>
        <w:t xml:space="preserve"> </w:t>
      </w:r>
      <w:r w:rsidRPr="004224F6">
        <w:rPr>
          <w:rFonts w:ascii="Times New Roman" w:hAnsi="Times New Roman" w:cs="Times New Roman"/>
          <w:lang w:val="ru-RU"/>
        </w:rPr>
        <w:tab/>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1</m:t>
            </m:r>
          </m:sub>
        </m:sSub>
      </m:oMath>
      <w:r w:rsidRPr="004224F6">
        <w:rPr>
          <w:rFonts w:ascii="Times New Roman" w:hAnsi="Times New Roman" w:cs="Times New Roman"/>
          <w:lang w:val="ru-RU"/>
        </w:rPr>
        <w:tab/>
        <w:t>=</w:t>
      </w:r>
      <w:r w:rsidRPr="004224F6">
        <w:rPr>
          <w:rFonts w:ascii="Times New Roman" w:hAnsi="Times New Roman" w:cs="Times New Roman"/>
          <w:lang w:val="ru-RU"/>
        </w:rPr>
        <w:tab/>
        <w:t>0,95</w:t>
      </w:r>
    </w:p>
    <w:p w14:paraId="3DEC54DB"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за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IST</m:t>
            </m:r>
          </m:sub>
        </m:sSub>
      </m:oMath>
      <w:r w:rsidRPr="004224F6">
        <w:rPr>
          <w:rFonts w:ascii="Times New Roman" w:hAnsi="Times New Roman" w:cs="Times New Roman"/>
          <w:lang w:val="ru-RU"/>
        </w:rPr>
        <w:t xml:space="preserve"> и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SOLL</m:t>
            </m:r>
          </m:sub>
        </m:sSub>
      </m:oMath>
    </w:p>
    <w:p w14:paraId="2E80292E" w14:textId="77777777" w:rsidR="00271FA2" w:rsidRPr="004224F6" w:rsidRDefault="002C62EC">
      <w:pPr>
        <w:tabs>
          <w:tab w:val="left" w:pos="2694"/>
          <w:tab w:val="left" w:pos="3119"/>
          <w:tab w:val="left" w:pos="3544"/>
        </w:tabs>
        <w:overflowPunct w:val="0"/>
        <w:adjustRightInd w:val="0"/>
        <w:spacing w:line="240" w:lineRule="atLeast"/>
        <w:ind w:left="2694"/>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2</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0,12</w:t>
      </w:r>
    </w:p>
    <w:p w14:paraId="05B89877" w14:textId="77777777" w:rsidR="00271FA2" w:rsidRPr="004224F6" w:rsidRDefault="002C62EC">
      <w:pPr>
        <w:tabs>
          <w:tab w:val="left" w:pos="2694"/>
          <w:tab w:val="left" w:pos="3119"/>
          <w:tab w:val="left" w:pos="3544"/>
        </w:tabs>
        <w:overflowPunct w:val="0"/>
        <w:adjustRightInd w:val="0"/>
        <w:spacing w:line="240" w:lineRule="atLeast"/>
        <w:ind w:left="2694"/>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3</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1,15</w:t>
      </w:r>
    </w:p>
    <w:p w14:paraId="15BDBD0A" w14:textId="77777777" w:rsidR="00271FA2" w:rsidRPr="004224F6" w:rsidRDefault="002C62EC">
      <w:pPr>
        <w:tabs>
          <w:tab w:val="left" w:pos="2694"/>
          <w:tab w:val="left" w:pos="3119"/>
          <w:tab w:val="left" w:pos="3544"/>
        </w:tabs>
        <w:overflowPunct w:val="0"/>
        <w:adjustRightInd w:val="0"/>
        <w:spacing w:line="240" w:lineRule="atLeast"/>
        <w:ind w:left="2694"/>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4</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0,48</w:t>
      </w:r>
    </w:p>
    <w:p w14:paraId="2B09D7C4" w14:textId="77777777" w:rsidR="00271FA2" w:rsidRPr="004224F6" w:rsidRDefault="002C62EC">
      <w:pPr>
        <w:tabs>
          <w:tab w:val="left" w:pos="2694"/>
          <w:tab w:val="left" w:pos="3119"/>
          <w:tab w:val="left" w:pos="3544"/>
        </w:tabs>
        <w:overflowPunct w:val="0"/>
        <w:adjustRightInd w:val="0"/>
        <w:spacing w:line="240" w:lineRule="atLeast"/>
        <w:ind w:left="2694"/>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6</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0,85</w:t>
      </w:r>
    </w:p>
    <w:p w14:paraId="33A73758" w14:textId="77777777" w:rsidR="00271FA2" w:rsidRPr="004224F6" w:rsidRDefault="002C62EC">
      <w:pPr>
        <w:tabs>
          <w:tab w:val="left" w:pos="2694"/>
          <w:tab w:val="left" w:pos="3119"/>
          <w:tab w:val="left" w:pos="3544"/>
        </w:tabs>
        <w:overflowPunct w:val="0"/>
        <w:adjustRightInd w:val="0"/>
        <w:spacing w:line="240" w:lineRule="atLeast"/>
        <w:ind w:left="2694"/>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7</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0,55</w:t>
      </w:r>
    </w:p>
    <w:p w14:paraId="31030D33"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Таблица 2 (за съвременни дюзи със заоблен заден ръб)</w:t>
      </w:r>
    </w:p>
    <w:p w14:paraId="5D1E3C63"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lang w:val="ru-RU"/>
        </w:rPr>
      </w:pPr>
      <m:oMath>
        <m:r>
          <w:rPr>
            <w:rFonts w:ascii="Cambria Math" w:hAnsi="Cambria Math" w:cs="Times New Roman"/>
          </w:rPr>
          <m:t>f</m:t>
        </m:r>
      </m:oMath>
      <w:r w:rsidRPr="004224F6">
        <w:rPr>
          <w:rFonts w:ascii="Times New Roman" w:hAnsi="Times New Roman" w:cs="Times New Roman"/>
          <w:lang w:val="ru-RU"/>
        </w:rPr>
        <w:t xml:space="preserve"> = 0,118</w:t>
      </w:r>
    </w:p>
    <w:p w14:paraId="6BFF7A27"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4.2</w:t>
      </w:r>
      <w:r w:rsidRPr="004224F6">
        <w:rPr>
          <w:rFonts w:ascii="Times New Roman" w:hAnsi="Times New Roman" w:cs="Times New Roman"/>
          <w:lang w:val="ru-RU"/>
        </w:rPr>
        <w:tab/>
      </w:r>
      <w:r w:rsidRPr="004224F6">
        <w:rPr>
          <w:rFonts w:ascii="Times New Roman" w:hAnsi="Times New Roman" w:cs="Times New Roman"/>
          <w:b/>
          <w:color w:val="000000"/>
          <w:lang w:val="ru-RU"/>
        </w:rPr>
        <w:t xml:space="preserve">Изчисляване на </w:t>
      </w:r>
      <m:oMath>
        <m:sSub>
          <m:sSubPr>
            <m:ctrlPr>
              <w:rPr>
                <w:rFonts w:ascii="Cambria Math" w:hAnsi="Cambria Math" w:cs="Times New Roman"/>
                <w:b/>
                <w:i/>
                <w:color w:val="000000"/>
              </w:rPr>
            </m:ctrlPr>
          </m:sSubPr>
          <m:e>
            <m:r>
              <m:rPr>
                <m:sty m:val="bi"/>
              </m:rPr>
              <w:rPr>
                <w:rFonts w:ascii="Cambria Math" w:hAnsi="Cambria Math" w:cs="Times New Roman"/>
                <w:color w:val="000000"/>
              </w:rPr>
              <m:t>s</m:t>
            </m:r>
          </m:e>
          <m:sub>
            <m:r>
              <m:rPr>
                <m:sty m:val="bi"/>
              </m:rPr>
              <w:rPr>
                <w:rFonts w:ascii="Cambria Math" w:hAnsi="Cambria Math" w:cs="Times New Roman"/>
                <w:color w:val="000000"/>
              </w:rPr>
              <m:t>IST</m:t>
            </m:r>
          </m:sub>
        </m:sSub>
      </m:oMath>
    </w:p>
    <w:p w14:paraId="42FE225A" w14:textId="77777777" w:rsidR="00271FA2" w:rsidRPr="004224F6" w:rsidRDefault="00D35E51">
      <w:pPr>
        <w:tabs>
          <w:tab w:val="left" w:pos="992"/>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 xml:space="preserve">)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IST</m:t>
            </m:r>
          </m:sub>
        </m:sSub>
      </m:oMath>
      <w:r w:rsidRPr="004224F6">
        <w:rPr>
          <w:rFonts w:ascii="Times New Roman" w:hAnsi="Times New Roman" w:cs="Times New Roman"/>
          <w:lang w:val="ru-RU"/>
        </w:rPr>
        <w:t xml:space="preserve"> Като се използват стойностите, измерени по време на маневрите за спиране</w:t>
      </w:r>
    </w:p>
    <w:p w14:paraId="2A78BE06" w14:textId="77777777" w:rsidR="00271FA2" w:rsidRPr="004224F6" w:rsidRDefault="002C62EC">
      <w:pPr>
        <w:overflowPunct w:val="0"/>
        <w:adjustRightInd w:val="0"/>
        <w:spacing w:line="240" w:lineRule="atLeast"/>
        <w:ind w:left="993"/>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IST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IST</m:t>
                  </m:r>
                </m:sub>
              </m:sSub>
              <m:r>
                <w:rPr>
                  <w:rFonts w:ascii="Cambria Math" w:hAnsi="Cambria Math" w:cs="Times New Roman"/>
                </w:rPr>
                <m:t xml:space="preserve"> </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IST</m:t>
                  </m:r>
                </m:sub>
              </m:sSub>
            </m:sub>
          </m:sSub>
        </m:oMath>
      </m:oMathPara>
    </w:p>
    <w:p w14:paraId="751EB229" w14:textId="77777777" w:rsidR="00271FA2" w:rsidRPr="004224F6" w:rsidRDefault="002C62EC">
      <w:pPr>
        <w:tabs>
          <w:tab w:val="left" w:pos="992"/>
          <w:tab w:val="left" w:pos="1560"/>
          <w:tab w:val="left" w:pos="1985"/>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sub>
              <m:r>
                <w:rPr>
                  <w:rFonts w:ascii="Cambria Math" w:hAnsi="Cambria Math" w:cs="Times New Roman"/>
                </w:rPr>
                <m:t>IST</m:t>
              </m:r>
            </m:sub>
          </m:sSub>
          <m:r>
            <w:rPr>
              <w:rFonts w:ascii="Cambria Math" w:hAnsi="Cambria Math" w:cs="Times New Roman"/>
            </w:rPr>
            <m:t>=0,95 ∙4,8 ∙16=73 m</m:t>
          </m:r>
        </m:oMath>
      </m:oMathPara>
    </w:p>
    <w:p w14:paraId="35A5C1C3" w14:textId="77777777" w:rsidR="00271FA2" w:rsidRPr="004224F6" w:rsidRDefault="00D35E51">
      <w:pPr>
        <w:tabs>
          <w:tab w:val="left" w:pos="992"/>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t xml:space="preserve">б) формула за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IST</m:t>
            </m:r>
          </m:sub>
        </m:sSub>
      </m:oMath>
    </w:p>
    <w:p w14:paraId="33071ADA" w14:textId="77777777" w:rsidR="00271FA2" w:rsidRPr="004224F6" w:rsidRDefault="002C62EC">
      <w:pPr>
        <w:tabs>
          <w:tab w:val="left" w:pos="992"/>
          <w:tab w:val="left" w:pos="1560"/>
          <w:tab w:val="left" w:pos="1985"/>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II</m:t>
                  </m:r>
                </m:sub>
              </m:sSub>
            </m:e>
            <m:sub>
              <m:r>
                <w:rPr>
                  <w:rFonts w:ascii="Cambria Math" w:hAnsi="Cambria Math" w:cs="Times New Roman"/>
                </w:rPr>
                <m:t>IST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ub>
          </m:sSub>
          <m:r>
            <w:rPr>
              <w:rFonts w:ascii="Cambria Math" w:hAnsi="Cambria Math" w:cs="Times New Roman"/>
            </w:rPr>
            <m:t xml:space="preserve"> ∙ </m:t>
          </m:r>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r>
                <w:rPr>
                  <w:rFonts w:ascii="Cambria Math" w:hAnsi="Cambria Math" w:cs="Times New Roman"/>
                </w:rPr>
                <m:t xml:space="preserve"> </m:t>
              </m:r>
            </m:sub>
          </m:sSub>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r>
                <w:rPr>
                  <w:rFonts w:ascii="Cambria Math" w:hAnsi="Cambria Math" w:cs="Times New Roman"/>
                </w:rPr>
                <m:t xml:space="preserve"> ∙g</m:t>
              </m:r>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3</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sSub>
                    <m:sSubPr>
                      <m:ctrlPr>
                        <w:rPr>
                          <w:rFonts w:ascii="Cambria Math" w:hAnsi="Cambria Math" w:cs="Times New Roman"/>
                          <w:i/>
                        </w:rPr>
                      </m:ctrlPr>
                    </m:sSubPr>
                    <m:e>
                      <m:r>
                        <w:rPr>
                          <w:rFonts w:ascii="Cambria Math" w:hAnsi="Cambria Math" w:cs="Times New Roman"/>
                        </w:rPr>
                        <m:t>TmII</m:t>
                      </m:r>
                    </m:e>
                    <m:sub>
                      <m:r>
                        <w:rPr>
                          <w:rFonts w:ascii="Cambria Math" w:hAnsi="Cambria Math" w:cs="Times New Roman"/>
                        </w:rPr>
                        <m:t>IST</m:t>
                      </m:r>
                    </m:sub>
                  </m:sSub>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den>
          </m:f>
          <m:r>
            <w:rPr>
              <w:rFonts w:ascii="Cambria Math" w:hAnsi="Cambria Math" w:cs="Times New Roman"/>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4</m:t>
                  </m:r>
                </m:sub>
              </m:sSub>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IST</m:t>
                          </m:r>
                        </m:sub>
                      </m:sSub>
                    </m:sub>
                  </m:sSub>
                </m:num>
                <m:den>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den>
              </m:f>
            </m:e>
          </m:d>
        </m:oMath>
      </m:oMathPara>
    </w:p>
    <w:p w14:paraId="329DDBD6" w14:textId="77777777" w:rsidR="00271FA2" w:rsidRPr="004224F6" w:rsidRDefault="00D35E51">
      <w:pPr>
        <w:tabs>
          <w:tab w:val="left" w:pos="992"/>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t xml:space="preserve">в) Изчисляване на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TmII</m:t>
                </m:r>
              </m:sub>
            </m:sSub>
          </m:e>
          <m:sub>
            <m:r>
              <w:rPr>
                <w:rFonts w:ascii="Cambria Math" w:hAnsi="Cambria Math" w:cs="Times New Roman"/>
              </w:rPr>
              <m:t>IST</m:t>
            </m:r>
          </m:sub>
        </m:sSub>
      </m:oMath>
      <w:r w:rsidRPr="004224F6">
        <w:rPr>
          <w:rFonts w:ascii="Times New Roman" w:hAnsi="Times New Roman" w:cs="Times New Roman"/>
          <w:lang w:val="ru-RU"/>
        </w:rPr>
        <w:t xml:space="preserve"> съгласно таблица 3 и формула (4.3) от Приложение</w:t>
      </w:r>
      <w:r w:rsidRPr="004224F6">
        <w:rPr>
          <w:rFonts w:ascii="Times New Roman" w:hAnsi="Times New Roman" w:cs="Times New Roman"/>
        </w:rPr>
        <w:t> </w:t>
      </w:r>
      <w:r w:rsidRPr="004224F6">
        <w:rPr>
          <w:rFonts w:ascii="Times New Roman" w:hAnsi="Times New Roman" w:cs="Times New Roman"/>
          <w:lang w:val="ru-RU"/>
        </w:rPr>
        <w:t>2</w:t>
      </w:r>
    </w:p>
    <w:p w14:paraId="6D0774E2"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e>
            <m:sup>
              <m:r>
                <w:rPr>
                  <w:rFonts w:ascii="Cambria Math" w:hAnsi="Cambria Math" w:cs="Times New Roman"/>
                </w:rPr>
                <m:t>1/3</m:t>
              </m:r>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9568</m:t>
              </m:r>
            </m:e>
            <m:sup>
              <m:r>
                <w:rPr>
                  <w:rFonts w:ascii="Cambria Math" w:hAnsi="Cambria Math" w:cs="Times New Roman"/>
                </w:rPr>
                <m:t>1/3</m:t>
              </m:r>
            </m:sup>
          </m:sSup>
          <m:r>
            <w:rPr>
              <w:rFonts w:ascii="Cambria Math" w:hAnsi="Cambria Math" w:cs="Times New Roman"/>
            </w:rPr>
            <m:t xml:space="preserve">=21,2 </m:t>
          </m:r>
          <m:d>
            <m:dPr>
              <m:begChr m:val="["/>
              <m:endChr m:val="]"/>
              <m:ctrlPr>
                <w:rPr>
                  <w:rFonts w:ascii="Cambria Math" w:hAnsi="Cambria Math" w:cs="Times New Roman"/>
                  <w:i/>
                </w:rPr>
              </m:ctrlPr>
            </m:dPr>
            <m:e>
              <m:r>
                <w:rPr>
                  <w:rFonts w:ascii="Cambria Math" w:hAnsi="Cambria Math" w:cs="Times New Roman"/>
                </w:rPr>
                <m:t>m</m:t>
              </m:r>
            </m:e>
          </m:d>
        </m:oMath>
      </m:oMathPara>
    </w:p>
    <w:p w14:paraId="521C01A1"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e>
            <m:sup>
              <m:r>
                <w:rPr>
                  <w:rFonts w:ascii="Cambria Math" w:hAnsi="Cambria Math" w:cs="Times New Roman"/>
                </w:rPr>
                <m:t>1/3</m:t>
              </m:r>
            </m:sup>
          </m:sSup>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 xml:space="preserve">B+2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IST</m:t>
                  </m:r>
                </m:sub>
              </m:sSub>
            </m:e>
          </m:d>
          <m:r>
            <w:rPr>
              <w:rFonts w:ascii="Cambria Math" w:hAnsi="Cambria Math" w:cs="Times New Roman"/>
            </w:rPr>
            <m:t xml:space="preserve">=21,2 ∙ </m:t>
          </m:r>
          <m:d>
            <m:dPr>
              <m:ctrlPr>
                <w:rPr>
                  <w:rFonts w:ascii="Cambria Math" w:hAnsi="Cambria Math" w:cs="Times New Roman"/>
                  <w:i/>
                </w:rPr>
              </m:ctrlPr>
            </m:dPr>
            <m:e>
              <m:r>
                <w:rPr>
                  <w:rFonts w:ascii="Cambria Math" w:hAnsi="Cambria Math" w:cs="Times New Roman"/>
                </w:rPr>
                <m:t>22,8+5,92</m:t>
              </m:r>
            </m:e>
          </m:d>
          <m:r>
            <w:rPr>
              <w:rFonts w:ascii="Cambria Math" w:hAnsi="Cambria Math" w:cs="Times New Roman"/>
            </w:rPr>
            <m:t xml:space="preserve">=609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e>
          </m:d>
        </m:oMath>
      </m:oMathPara>
    </w:p>
    <w:p w14:paraId="17775D53" w14:textId="77777777" w:rsidR="00271FA2" w:rsidRPr="004224F6" w:rsidRDefault="00D35E51">
      <w:pPr>
        <w:tabs>
          <w:tab w:val="left" w:pos="992"/>
          <w:tab w:val="left" w:pos="2410"/>
        </w:tabs>
        <w:overflowPunct w:val="0"/>
        <w:adjustRightInd w:val="0"/>
        <w:spacing w:line="240" w:lineRule="atLeast"/>
        <w:ind w:left="992"/>
        <w:textAlignment w:val="baseline"/>
        <w:rPr>
          <w:rFonts w:ascii="Times New Roman" w:hAnsi="Times New Roman" w:cs="Times New Roman"/>
          <w:lang w:val="ru-RU"/>
        </w:rPr>
      </w:pPr>
      <w:r w:rsidRPr="004224F6">
        <w:rPr>
          <w:rFonts w:ascii="Times New Roman" w:hAnsi="Times New Roman" w:cs="Times New Roman"/>
          <w:lang w:val="ru-RU"/>
        </w:rPr>
        <w:t>от таблица 3</w:t>
      </w:r>
      <w:r w:rsidRPr="004224F6">
        <w:rPr>
          <w:rFonts w:ascii="Times New Roman" w:hAnsi="Times New Roman" w:cs="Times New Roman"/>
          <w:lang w:val="ru-RU"/>
        </w:rPr>
        <w:tab/>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num>
          <m:den>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den>
        </m:f>
        <m:r>
          <w:rPr>
            <w:rFonts w:ascii="Cambria Math" w:hAnsi="Cambria Math" w:cs="Times New Roman"/>
            <w:lang w:val="ru-RU"/>
          </w:rPr>
          <m:t xml:space="preserve">=14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kN</m:t>
                </m:r>
                <m:r>
                  <w:rPr>
                    <w:rFonts w:ascii="Cambria Math" w:hAnsi="Cambria Math" w:cs="Times New Roman"/>
                    <w:lang w:val="ru-RU"/>
                  </w:rPr>
                  <m:t xml:space="preserve"> ∙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lang w:val="ru-RU"/>
                      </w:rPr>
                      <m:t>2</m:t>
                    </m:r>
                  </m:sup>
                </m:sSup>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lang w:val="ru-RU"/>
                      </w:rPr>
                      <m:t>2</m:t>
                    </m:r>
                  </m:sup>
                </m:sSup>
              </m:den>
            </m:f>
          </m:e>
        </m:d>
      </m:oMath>
    </w:p>
    <w:p w14:paraId="5943F8D7"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L</m:t>
                  </m:r>
                </m:sub>
              </m:sSub>
            </m:e>
            <m:sub>
              <m:r>
                <w:rPr>
                  <w:rFonts w:ascii="Cambria Math" w:hAnsi="Cambria Math" w:cs="Times New Roman"/>
                </w:rPr>
                <m:t>IST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IST</m:t>
                  </m:r>
                </m:sub>
              </m:sSub>
            </m:sub>
          </m:sSub>
          <m:r>
            <w:rPr>
              <w:rFonts w:ascii="Cambria Math" w:hAnsi="Cambria Math" w:cs="Times New Roman"/>
            </w:rPr>
            <m:t>=4,8-1,4=3,4 m/s</m:t>
          </m:r>
        </m:oMath>
      </m:oMathPara>
    </w:p>
    <w:p w14:paraId="1FAE3915"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TmII</m:t>
                  </m:r>
                </m:sub>
              </m:sSub>
            </m:e>
            <m:sub>
              <m:r>
                <w:rPr>
                  <w:rFonts w:ascii="Cambria Math" w:hAnsi="Cambria Math" w:cs="Times New Roman"/>
                </w:rPr>
                <m:t>IST</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num>
            <m:den>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den>
          </m:f>
          <m:r>
            <w:rPr>
              <w:rFonts w:ascii="Cambria Math" w:hAnsi="Cambria Math" w:cs="Times New Roman"/>
            </w:rPr>
            <m:t xml:space="preserve"> ∙ </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7</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6</m:t>
                      </m:r>
                    </m:sub>
                  </m:sSub>
                  <m:r>
                    <w:rPr>
                      <w:rFonts w:ascii="Cambria Math" w:hAnsi="Cambria Math" w:cs="Times New Roman"/>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IST</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IST</m:t>
                              </m:r>
                            </m:sub>
                          </m:sSub>
                        </m:sub>
                      </m:sSub>
                    </m:e>
                  </m:d>
                </m:e>
              </m:d>
            </m:e>
            <m:sup>
              <m:r>
                <w:rPr>
                  <w:rFonts w:ascii="Cambria Math" w:hAnsi="Cambria Math" w:cs="Times New Roman"/>
                </w:rPr>
                <m:t>2</m:t>
              </m:r>
            </m:sup>
          </m:sSup>
          <m:r>
            <w:rPr>
              <w:rFonts w:ascii="Cambria Math" w:hAnsi="Cambria Math" w:cs="Times New Roman"/>
            </w:rPr>
            <m:t xml:space="preserve">= 14 ∙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0,55 ∙0,85 ∙3,4</m:t>
                  </m:r>
                </m:e>
              </m:d>
            </m:e>
            <m:sup>
              <m: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 xml:space="preserve">35,4 </m:t>
          </m:r>
          <m:d>
            <m:dPr>
              <m:begChr m:val="["/>
              <m:endChr m:val="]"/>
              <m:ctrlPr>
                <w:rPr>
                  <w:rFonts w:ascii="Cambria Math" w:hAnsi="Cambria Math" w:cs="Times New Roman"/>
                  <w:b/>
                  <w:i/>
                </w:rPr>
              </m:ctrlPr>
            </m:dPr>
            <m:e>
              <m:r>
                <m:rPr>
                  <m:sty m:val="bi"/>
                </m:rPr>
                <w:rPr>
                  <w:rFonts w:ascii="Cambria Math" w:hAnsi="Cambria Math" w:cs="Times New Roman"/>
                </w:rPr>
                <m:t>kN</m:t>
              </m:r>
            </m:e>
          </m:d>
        </m:oMath>
      </m:oMathPara>
    </w:p>
    <w:p w14:paraId="79D0A075" w14:textId="77777777" w:rsidR="00271FA2" w:rsidRPr="004224F6" w:rsidRDefault="00D35E51">
      <w:pPr>
        <w:tabs>
          <w:tab w:val="left" w:pos="992"/>
        </w:tabs>
        <w:overflowPunct w:val="0"/>
        <w:adjustRightInd w:val="0"/>
        <w:spacing w:line="240" w:lineRule="atLeast"/>
        <w:ind w:left="992" w:hanging="425"/>
        <w:jc w:val="both"/>
        <w:textAlignment w:val="baseline"/>
        <w:rPr>
          <w:rFonts w:ascii="Times New Roman" w:hAnsi="Times New Roman" w:cs="Times New Roman"/>
          <w:lang w:val="ru-RU"/>
        </w:rPr>
      </w:pPr>
      <w:r w:rsidRPr="004224F6">
        <w:rPr>
          <w:rFonts w:ascii="Times New Roman" w:hAnsi="Times New Roman" w:cs="Times New Roman"/>
          <w:lang w:val="ru-RU"/>
        </w:rPr>
        <w:t xml:space="preserve">г) Изчисляване на съпротивлението, дължащо се на наклона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4224F6">
        <w:rPr>
          <w:rFonts w:ascii="Times New Roman" w:hAnsi="Times New Roman" w:cs="Times New Roman"/>
          <w:lang w:val="ru-RU"/>
        </w:rPr>
        <w:t xml:space="preserve"> съгласно формула (4.4) от Приложение</w:t>
      </w:r>
      <w:r w:rsidRPr="004224F6">
        <w:rPr>
          <w:rFonts w:ascii="Times New Roman" w:hAnsi="Times New Roman" w:cs="Times New Roman"/>
        </w:rPr>
        <w:t> </w:t>
      </w:r>
      <w:r w:rsidRPr="004224F6">
        <w:rPr>
          <w:rFonts w:ascii="Times New Roman" w:hAnsi="Times New Roman" w:cs="Times New Roman"/>
          <w:lang w:val="ru-RU"/>
        </w:rPr>
        <w:t>2</w:t>
      </w:r>
    </w:p>
    <w:p w14:paraId="53A8B3CB" w14:textId="77777777" w:rsidR="00271FA2" w:rsidRPr="004224F6" w:rsidRDefault="002C62EC">
      <w:pPr>
        <w:overflowPunct w:val="0"/>
        <w:adjustRightInd w:val="0"/>
        <w:spacing w:line="240" w:lineRule="atLeast"/>
        <w:ind w:left="993" w:hanging="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r>
            <w:rPr>
              <w:rFonts w:ascii="Cambria Math" w:hAnsi="Cambria Math" w:cs="Times New Roman"/>
            </w:rPr>
            <m:t xml:space="preserve"> ∙ </m:t>
          </m:r>
          <m:d>
            <m:dPr>
              <m:ctrlPr>
                <w:rPr>
                  <w:rFonts w:ascii="Cambria Math" w:hAnsi="Cambria Math" w:cs="Times New Roman"/>
                  <w:i/>
                </w:rPr>
              </m:ctrlPr>
            </m:dPr>
            <m:e>
              <m:r>
                <w:rPr>
                  <w:rFonts w:ascii="Cambria Math" w:hAnsi="Cambria Math" w:cs="Times New Roman"/>
                </w:rPr>
                <m:t xml:space="preserve">0,16 ∙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r>
                <w:rPr>
                  <w:rFonts w:ascii="Cambria Math" w:hAnsi="Cambria Math" w:cs="Times New Roman"/>
                </w:rPr>
                <m:t xml:space="preserve"> ∙ ρ ∙g</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0,16 ∙</m:t>
              </m:r>
              <m:r>
                <m:rPr>
                  <m:sty m:val="bi"/>
                </m:rPr>
                <w:rPr>
                  <w:rFonts w:ascii="Cambria Math" w:hAnsi="Cambria Math" w:cs="Times New Roman"/>
                  <w:position w:val="6"/>
                </w:rPr>
                <m:t xml:space="preserve"> </m:t>
              </m:r>
              <m:r>
                <w:rPr>
                  <w:rFonts w:ascii="Cambria Math" w:hAnsi="Cambria Math" w:cs="Times New Roman"/>
                </w:rPr>
                <m:t>9568 ∙ 1000 ∙ 9,81</m:t>
              </m:r>
            </m:e>
          </m:d>
          <m:r>
            <w:rPr>
              <w:rFonts w:ascii="Cambria Math" w:hAnsi="Cambria Math" w:cs="Times New Roman"/>
            </w:rPr>
            <m:t xml:space="preserve">= </m:t>
          </m:r>
          <m:r>
            <m:rPr>
              <m:sty m:val="bi"/>
            </m:rPr>
            <w:rPr>
              <w:rFonts w:ascii="Cambria Math" w:hAnsi="Cambria Math" w:cs="Times New Roman"/>
              <w:u w:val="single"/>
            </w:rPr>
            <m:t>15,02</m:t>
          </m:r>
          <m:r>
            <m:rPr>
              <m:sty m:val="bi"/>
            </m:rPr>
            <w:rPr>
              <w:rFonts w:ascii="Cambria Math" w:hAnsi="Cambria Math" w:cs="Times New Roman"/>
            </w:rPr>
            <m:t xml:space="preserve">  [kN]</m:t>
          </m:r>
        </m:oMath>
      </m:oMathPara>
    </w:p>
    <w:p w14:paraId="0A06665D" w14:textId="77777777" w:rsidR="00271FA2" w:rsidRPr="004224F6" w:rsidRDefault="00D35E51">
      <w:pPr>
        <w:tabs>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 xml:space="preserve">д) Изчисляване на </w:t>
      </w: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oMath>
      <w:r w:rsidRPr="004224F6">
        <w:rPr>
          <w:rFonts w:ascii="Times New Roman" w:hAnsi="Times New Roman" w:cs="Times New Roman"/>
          <w:lang w:val="ru-RU"/>
        </w:rPr>
        <w:t xml:space="preserve"> съгласно формула (4.5) от Приложение 2</w:t>
      </w:r>
    </w:p>
    <w:p w14:paraId="3291BBAD" w14:textId="77777777" w:rsidR="00271FA2" w:rsidRPr="004224F6" w:rsidRDefault="002C62EC">
      <w:pPr>
        <w:overflowPunct w:val="0"/>
        <w:adjustRightInd w:val="0"/>
        <w:spacing w:line="240" w:lineRule="atLeast"/>
        <w:ind w:left="992"/>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6</m:t>
              </m:r>
            </m:sub>
          </m:sSub>
          <m:r>
            <w:rPr>
              <w:rFonts w:ascii="Cambria Math" w:hAnsi="Cambria Math" w:cs="Times New Roman"/>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IST</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IST</m:t>
                      </m:r>
                    </m:sub>
                  </m:sSub>
                </m:sub>
              </m:sSub>
            </m:e>
          </m:d>
          <m:r>
            <w:rPr>
              <w:rFonts w:ascii="Cambria Math" w:hAnsi="Cambria Math" w:cs="Times New Roman"/>
            </w:rPr>
            <m:t xml:space="preserve">= 2,89 </m:t>
          </m:r>
          <m:d>
            <m:dPr>
              <m:begChr m:val="["/>
              <m:endChr m:val="]"/>
              <m:ctrlPr>
                <w:rPr>
                  <w:rFonts w:ascii="Cambria Math" w:hAnsi="Cambria Math" w:cs="Times New Roman"/>
                  <w:i/>
                </w:rPr>
              </m:ctrlPr>
            </m:dPr>
            <m:e>
              <m:r>
                <w:rPr>
                  <w:rFonts w:ascii="Cambria Math" w:hAnsi="Cambria Math" w:cs="Times New Roman"/>
                </w:rPr>
                <m:t>m/s</m:t>
              </m:r>
            </m:e>
          </m:d>
        </m:oMath>
      </m:oMathPara>
    </w:p>
    <w:p w14:paraId="1BD9B70A" w14:textId="77777777" w:rsidR="00271FA2" w:rsidRPr="004224F6" w:rsidRDefault="002C62EC">
      <w:pPr>
        <w:overflowPunct w:val="0"/>
        <w:adjustRightInd w:val="0"/>
        <w:spacing w:line="240" w:lineRule="atLeast"/>
        <w:ind w:left="993" w:hanging="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r>
            <w:rPr>
              <w:rFonts w:ascii="Cambria Math" w:hAnsi="Cambria Math" w:cs="Times New Roman"/>
            </w:rPr>
            <m:t xml:space="preserve">=8,35 </m:t>
          </m:r>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m/s</m:t>
                  </m:r>
                </m:e>
              </m:d>
            </m:e>
            <m:sup>
              <m:r>
                <w:rPr>
                  <w:rFonts w:ascii="Cambria Math" w:hAnsi="Cambria Math" w:cs="Times New Roman"/>
                </w:rPr>
                <m:t>2</m:t>
              </m:r>
            </m:sup>
          </m:sSup>
        </m:oMath>
      </m:oMathPara>
    </w:p>
    <w:p w14:paraId="0A4FB049" w14:textId="77777777" w:rsidR="00271FA2" w:rsidRPr="004224F6" w:rsidRDefault="00D35E51">
      <w:pPr>
        <w:tabs>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 xml:space="preserve">е) Изчисляване на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oMath>
      <w:r w:rsidRPr="004224F6">
        <w:rPr>
          <w:rFonts w:ascii="Times New Roman" w:hAnsi="Times New Roman" w:cs="Times New Roman"/>
          <w:lang w:val="ru-RU"/>
        </w:rPr>
        <w:t xml:space="preserve"> съгласно формула (4.6) и таблица 2</w:t>
      </w:r>
    </w:p>
    <w:p w14:paraId="2E2A9618" w14:textId="77777777" w:rsidR="00271FA2" w:rsidRPr="004224F6" w:rsidRDefault="002C62EC">
      <w:pPr>
        <w:overflowPunct w:val="0"/>
        <w:adjustRightInd w:val="0"/>
        <w:spacing w:line="240" w:lineRule="atLeast"/>
        <w:ind w:left="992"/>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r>
            <w:rPr>
              <w:rFonts w:ascii="Cambria Math" w:hAnsi="Cambria Math" w:cs="Times New Roman"/>
            </w:rPr>
            <m:t>=0,118 ∙1500=</m:t>
          </m:r>
          <m:r>
            <m:rPr>
              <m:sty m:val="bi"/>
            </m:rPr>
            <w:rPr>
              <w:rFonts w:ascii="Cambria Math" w:hAnsi="Cambria Math" w:cs="Times New Roman"/>
            </w:rPr>
            <m:t xml:space="preserve">177 </m:t>
          </m:r>
          <m:d>
            <m:dPr>
              <m:begChr m:val="["/>
              <m:endChr m:val="]"/>
              <m:ctrlPr>
                <w:rPr>
                  <w:rFonts w:ascii="Cambria Math" w:hAnsi="Cambria Math" w:cs="Times New Roman"/>
                  <w:b/>
                  <w:i/>
                </w:rPr>
              </m:ctrlPr>
            </m:dPr>
            <m:e>
              <m:r>
                <m:rPr>
                  <m:sty m:val="bi"/>
                </m:rPr>
                <w:rPr>
                  <w:rFonts w:ascii="Cambria Math" w:hAnsi="Cambria Math" w:cs="Times New Roman"/>
                </w:rPr>
                <m:t>kN</m:t>
              </m:r>
            </m:e>
          </m:d>
        </m:oMath>
      </m:oMathPara>
    </w:p>
    <w:p w14:paraId="32CCEBB0" w14:textId="77777777" w:rsidR="00271FA2" w:rsidRPr="004224F6" w:rsidRDefault="00D35E51">
      <w:pPr>
        <w:tabs>
          <w:tab w:val="left" w:pos="992"/>
        </w:tabs>
        <w:overflowPunct w:val="0"/>
        <w:adjustRightInd w:val="0"/>
        <w:spacing w:line="240" w:lineRule="atLeast"/>
        <w:ind w:left="992" w:hanging="283"/>
        <w:jc w:val="both"/>
        <w:textAlignment w:val="baseline"/>
        <w:rPr>
          <w:rFonts w:ascii="Times New Roman" w:hAnsi="Times New Roman" w:cs="Times New Roman"/>
          <w:lang w:val="ru-RU"/>
        </w:rPr>
      </w:pPr>
      <w:r w:rsidRPr="004224F6">
        <w:rPr>
          <w:rFonts w:ascii="Times New Roman" w:hAnsi="Times New Roman" w:cs="Times New Roman"/>
          <w:lang w:val="ru-RU"/>
        </w:rPr>
        <w:t xml:space="preserve">ж) Изчисляване на </w:t>
      </w: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oMath>
      <w:r w:rsidRPr="004224F6">
        <w:rPr>
          <w:rFonts w:ascii="Times New Roman" w:hAnsi="Times New Roman" w:cs="Times New Roman"/>
          <w:lang w:val="ru-RU"/>
        </w:rPr>
        <w:t xml:space="preserve"> като се използва формулата посочена в буква „б“ и резултатите посочени в букви „в“, „г“, „д“ и „е“ </w:t>
      </w:r>
    </w:p>
    <w:p w14:paraId="7A7A9806" w14:textId="77777777" w:rsidR="00271FA2" w:rsidRPr="004224F6" w:rsidRDefault="002C62EC">
      <w:pPr>
        <w:tabs>
          <w:tab w:val="left" w:pos="992"/>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 xml:space="preserve">0,12 ∙8,35 ∙9,81 ∙  </m:t>
              </m:r>
              <m:d>
                <m:dPr>
                  <m:ctrlPr>
                    <w:rPr>
                      <w:rFonts w:ascii="Cambria Math" w:hAnsi="Cambria Math" w:cs="Times New Roman"/>
                      <w:i/>
                    </w:rPr>
                  </m:ctrlPr>
                </m:dPr>
                <m:e>
                  <m:r>
                    <w:rPr>
                      <w:rFonts w:ascii="Cambria Math" w:hAnsi="Cambria Math" w:cs="Times New Roman"/>
                    </w:rPr>
                    <m:t xml:space="preserve">0,48+ </m:t>
                  </m:r>
                  <m:f>
                    <m:fPr>
                      <m:ctrlPr>
                        <w:rPr>
                          <w:rFonts w:ascii="Cambria Math" w:hAnsi="Cambria Math" w:cs="Times New Roman"/>
                          <w:i/>
                        </w:rPr>
                      </m:ctrlPr>
                    </m:fPr>
                    <m:num>
                      <m:r>
                        <w:rPr>
                          <w:rFonts w:ascii="Cambria Math" w:hAnsi="Cambria Math" w:cs="Times New Roman"/>
                        </w:rPr>
                        <m:t>1,4</m:t>
                      </m:r>
                    </m:num>
                    <m:den>
                      <m:r>
                        <w:rPr>
                          <w:rFonts w:ascii="Cambria Math" w:hAnsi="Cambria Math" w:cs="Times New Roman"/>
                        </w:rPr>
                        <m:t>2,89</m:t>
                      </m:r>
                    </m:den>
                  </m:f>
                </m:e>
              </m:d>
            </m:num>
            <m:den>
              <m:r>
                <w:rPr>
                  <w:rFonts w:ascii="Cambria Math" w:hAnsi="Cambria Math" w:cs="Times New Roman"/>
                </w:rPr>
                <m:t>1,15 ∙177+35,4-15,02</m:t>
              </m:r>
            </m:den>
          </m:f>
          <m:r>
            <w:rPr>
              <w:rFonts w:ascii="Cambria Math" w:hAnsi="Cambria Math" w:cs="Times New Roman"/>
            </w:rPr>
            <m:t xml:space="preserve"> ∙ 9568</m:t>
          </m:r>
        </m:oMath>
      </m:oMathPara>
    </w:p>
    <w:p w14:paraId="4C271D42" w14:textId="77777777" w:rsidR="00271FA2" w:rsidRPr="004224F6" w:rsidRDefault="002C62EC">
      <w:pPr>
        <w:tabs>
          <w:tab w:val="left" w:pos="992"/>
        </w:tabs>
        <w:overflowPunct w:val="0"/>
        <w:adjustRightInd w:val="0"/>
        <w:spacing w:line="240" w:lineRule="atLeast"/>
        <w:ind w:left="992"/>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IST</m:t>
                  </m:r>
                </m:sub>
              </m:sSub>
            </m:sub>
          </m:sSub>
          <m:r>
            <w:rPr>
              <w:rFonts w:ascii="Cambria Math" w:hAnsi="Cambria Math" w:cs="Times New Roman"/>
            </w:rPr>
            <m:t>=</m:t>
          </m:r>
          <m:r>
            <m:rPr>
              <m:sty m:val="bi"/>
            </m:rPr>
            <w:rPr>
              <w:rFonts w:ascii="Cambria Math" w:hAnsi="Cambria Math" w:cs="Times New Roman"/>
            </w:rPr>
            <m:t>402 m</m:t>
          </m:r>
        </m:oMath>
      </m:oMathPara>
    </w:p>
    <w:p w14:paraId="139A4937" w14:textId="77777777" w:rsidR="00271FA2" w:rsidRPr="004224F6" w:rsidRDefault="00D35E51">
      <w:pPr>
        <w:tabs>
          <w:tab w:val="left" w:pos="992"/>
        </w:tabs>
        <w:overflowPunct w:val="0"/>
        <w:adjustRightInd w:val="0"/>
        <w:spacing w:line="240" w:lineRule="atLeast"/>
        <w:ind w:left="992" w:hanging="283"/>
        <w:textAlignment w:val="baseline"/>
        <w:rPr>
          <w:rFonts w:ascii="Times New Roman" w:hAnsi="Times New Roman" w:cs="Times New Roman"/>
          <w:lang w:val="ru-RU"/>
        </w:rPr>
      </w:pPr>
      <w:r w:rsidRPr="004224F6">
        <w:rPr>
          <w:rFonts w:ascii="Times New Roman" w:hAnsi="Times New Roman" w:cs="Times New Roman"/>
          <w:lang w:val="ru-RU"/>
        </w:rPr>
        <w:t>з) Изчисляване на общото разстояние съгласно формула (3.1)</w:t>
      </w:r>
    </w:p>
    <w:p w14:paraId="20F78D76" w14:textId="77777777" w:rsidR="00271FA2" w:rsidRPr="004224F6" w:rsidRDefault="002C62EC">
      <w:pPr>
        <w:tabs>
          <w:tab w:val="left" w:pos="992"/>
        </w:tabs>
        <w:overflowPunct w:val="0"/>
        <w:adjustRightInd w:val="0"/>
        <w:spacing w:line="240" w:lineRule="atLeast"/>
        <w:ind w:left="992"/>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IST</m:t>
                  </m:r>
                </m:sub>
              </m:sSub>
            </m:sub>
          </m:sSub>
          <m:r>
            <w:rPr>
              <w:rFonts w:ascii="Cambria Math" w:hAnsi="Cambria Math" w:cs="Times New Roman"/>
            </w:rPr>
            <m:t>=73+402=</m:t>
          </m:r>
          <m:r>
            <m:rPr>
              <m:sty m:val="bi"/>
            </m:rPr>
            <w:rPr>
              <w:rFonts w:ascii="Cambria Math" w:hAnsi="Cambria Math" w:cs="Times New Roman"/>
            </w:rPr>
            <m:t>475 m</m:t>
          </m:r>
        </m:oMath>
      </m:oMathPara>
    </w:p>
    <w:p w14:paraId="53FAB079" w14:textId="77777777" w:rsidR="00271FA2" w:rsidRPr="004224F6" w:rsidRDefault="00D35E51">
      <w:pPr>
        <w:tabs>
          <w:tab w:val="left" w:pos="567"/>
        </w:tabs>
        <w:overflowPunct w:val="0"/>
        <w:adjustRightInd w:val="0"/>
        <w:spacing w:line="240" w:lineRule="atLeast"/>
        <w:ind w:left="567" w:hanging="567"/>
        <w:textAlignment w:val="baseline"/>
        <w:rPr>
          <w:rFonts w:ascii="Times New Roman" w:hAnsi="Times New Roman" w:cs="Times New Roman"/>
          <w:b/>
          <w:bCs/>
          <w:position w:val="6"/>
          <w:lang w:val="ru-RU"/>
        </w:rPr>
      </w:pPr>
      <w:r w:rsidRPr="004224F6">
        <w:rPr>
          <w:rFonts w:ascii="Times New Roman" w:hAnsi="Times New Roman" w:cs="Times New Roman"/>
          <w:b/>
          <w:lang w:val="ru-RU"/>
        </w:rPr>
        <w:t>4.3</w:t>
      </w:r>
      <w:r w:rsidRPr="004224F6">
        <w:rPr>
          <w:rFonts w:ascii="Times New Roman" w:hAnsi="Times New Roman" w:cs="Times New Roman"/>
          <w:lang w:val="ru-RU"/>
        </w:rPr>
        <w:tab/>
      </w:r>
      <w:r w:rsidRPr="004224F6">
        <w:rPr>
          <w:rFonts w:ascii="Times New Roman" w:hAnsi="Times New Roman" w:cs="Times New Roman"/>
          <w:b/>
          <w:lang w:val="ru-RU"/>
        </w:rPr>
        <w:t xml:space="preserve">Изчисляване на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oMath>
    </w:p>
    <w:p w14:paraId="5350EC2B"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t xml:space="preserve">Начални стойности: </w:t>
      </w:r>
    </w:p>
    <w:p w14:paraId="62812222" w14:textId="77777777" w:rsidR="00271FA2" w:rsidRPr="004224F6" w:rsidRDefault="002C62EC">
      <w:pPr>
        <w:tabs>
          <w:tab w:val="left" w:pos="567"/>
          <w:tab w:val="left" w:pos="1701"/>
          <w:tab w:val="left" w:pos="1985"/>
          <w:tab w:val="left" w:pos="2835"/>
          <w:tab w:val="left" w:pos="4962"/>
          <w:tab w:val="left" w:pos="5812"/>
          <w:tab w:val="left" w:pos="6096"/>
          <w:tab w:val="left" w:pos="6663"/>
          <w:tab w:val="left" w:pos="7088"/>
        </w:tabs>
        <w:overflowPunct w:val="0"/>
        <w:adjustRightInd w:val="0"/>
        <w:spacing w:line="240" w:lineRule="atLeast"/>
        <w:ind w:left="567"/>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SOLL</m:t>
                </m:r>
              </m:sub>
            </m:sSub>
          </m:sub>
        </m:sSub>
        <m:r>
          <w:rPr>
            <w:rFonts w:ascii="Cambria Math" w:hAnsi="Cambria Math" w:cs="Times New Roman"/>
            <w:lang w:val="ru-RU"/>
          </w:rPr>
          <m:t xml:space="preserve">=1,5 </m:t>
        </m:r>
        <m:r>
          <w:rPr>
            <w:rFonts w:ascii="Cambria Math" w:hAnsi="Cambria Math" w:cs="Times New Roman"/>
          </w:rPr>
          <m:t>m</m:t>
        </m:r>
        <m:r>
          <w:rPr>
            <w:rFonts w:ascii="Cambria Math" w:hAnsi="Cambria Math" w:cs="Times New Roman"/>
            <w:lang w:val="ru-RU"/>
          </w:rPr>
          <m:t>/</m:t>
        </m:r>
        <m:r>
          <w:rPr>
            <w:rFonts w:ascii="Cambria Math" w:hAnsi="Cambria Math" w:cs="Times New Roman"/>
          </w:rPr>
          <m:t>s</m:t>
        </m:r>
        <m:r>
          <w:rPr>
            <w:rFonts w:ascii="Cambria Math" w:hAnsi="Cambria Math" w:cs="Times New Roman"/>
            <w:lang w:val="ru-RU"/>
          </w:rPr>
          <m:t xml:space="preserve">  ≈  5,4  </m:t>
        </m:r>
        <m:r>
          <w:rPr>
            <w:rFonts w:ascii="Cambria Math" w:hAnsi="Cambria Math" w:cs="Times New Roman"/>
          </w:rPr>
          <m:t>km</m:t>
        </m:r>
        <m:r>
          <w:rPr>
            <w:rFonts w:ascii="Cambria Math" w:hAnsi="Cambria Math" w:cs="Times New Roman"/>
            <w:lang w:val="ru-RU"/>
          </w:rPr>
          <m:t>/h</m:t>
        </m:r>
      </m:oMath>
      <w:r w:rsidR="00D35E51" w:rsidRPr="004224F6">
        <w:rPr>
          <w:rFonts w:ascii="Times New Roman" w:hAnsi="Times New Roman" w:cs="Times New Roman"/>
          <w:lang w:val="ru-RU"/>
        </w:rPr>
        <w:tab/>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oMath>
      <w:r w:rsidR="00D35E51" w:rsidRPr="004224F6">
        <w:rPr>
          <w:rFonts w:ascii="Times New Roman" w:hAnsi="Times New Roman" w:cs="Times New Roman"/>
          <w:lang w:val="ru-RU"/>
        </w:rPr>
        <w:t xml:space="preserve"> =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IST</m:t>
            </m:r>
          </m:sub>
        </m:sSub>
        <m:r>
          <w:rPr>
            <w:rFonts w:ascii="Cambria Math" w:hAnsi="Cambria Math" w:cs="Times New Roman"/>
            <w:lang w:val="ru-RU"/>
          </w:rPr>
          <m:t xml:space="preserve">=9568 </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lang w:val="ru-RU"/>
              </w:rPr>
              <m:t>3</m:t>
            </m:r>
          </m:sup>
        </m:sSup>
      </m:oMath>
    </w:p>
    <w:p w14:paraId="0F075D81" w14:textId="77777777" w:rsidR="00271FA2" w:rsidRPr="004224F6" w:rsidRDefault="002C62EC">
      <w:pPr>
        <w:tabs>
          <w:tab w:val="left" w:pos="567"/>
          <w:tab w:val="left" w:pos="1701"/>
          <w:tab w:val="left" w:pos="1985"/>
          <w:tab w:val="left" w:pos="2835"/>
          <w:tab w:val="left" w:pos="4962"/>
          <w:tab w:val="left" w:pos="5812"/>
          <w:tab w:val="left" w:pos="6096"/>
          <w:tab w:val="left" w:pos="6663"/>
          <w:tab w:val="left" w:pos="7088"/>
        </w:tabs>
        <w:overflowPunct w:val="0"/>
        <w:adjustRightInd w:val="0"/>
        <w:spacing w:line="240" w:lineRule="atLeast"/>
        <w:ind w:left="567"/>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sub>
        </m:sSub>
        <m:r>
          <w:rPr>
            <w:rFonts w:ascii="Cambria Math" w:hAnsi="Cambria Math" w:cs="Times New Roman"/>
            <w:lang w:val="ru-RU"/>
          </w:rPr>
          <m:t xml:space="preserve">=3,6 </m:t>
        </m:r>
        <m:r>
          <w:rPr>
            <w:rFonts w:ascii="Cambria Math" w:hAnsi="Cambria Math" w:cs="Times New Roman"/>
          </w:rPr>
          <m:t>m</m:t>
        </m:r>
        <m:r>
          <w:rPr>
            <w:rFonts w:ascii="Cambria Math" w:hAnsi="Cambria Math" w:cs="Times New Roman"/>
            <w:lang w:val="ru-RU"/>
          </w:rPr>
          <m:t>/</m:t>
        </m:r>
        <m:r>
          <w:rPr>
            <w:rFonts w:ascii="Cambria Math" w:hAnsi="Cambria Math" w:cs="Times New Roman"/>
          </w:rPr>
          <m:t>s</m:t>
        </m:r>
        <m:r>
          <w:rPr>
            <w:rFonts w:ascii="Cambria Math" w:hAnsi="Cambria Math" w:cs="Times New Roman"/>
            <w:lang w:val="ru-RU"/>
          </w:rPr>
          <m:t xml:space="preserve">  ≈  13  </m:t>
        </m:r>
        <m:r>
          <w:rPr>
            <w:rFonts w:ascii="Cambria Math" w:hAnsi="Cambria Math" w:cs="Times New Roman"/>
          </w:rPr>
          <m:t>km</m:t>
        </m:r>
        <m:r>
          <w:rPr>
            <w:rFonts w:ascii="Cambria Math" w:hAnsi="Cambria Math" w:cs="Times New Roman"/>
            <w:lang w:val="ru-RU"/>
          </w:rPr>
          <m:t>/h</m:t>
        </m:r>
      </m:oMath>
      <w:r w:rsidR="00D35E51" w:rsidRPr="004224F6">
        <w:rPr>
          <w:rFonts w:ascii="Times New Roman" w:hAnsi="Times New Roman" w:cs="Times New Roman"/>
          <w:lang w:val="ru-RU"/>
        </w:rPr>
        <w:tab/>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SOLL</m:t>
            </m:r>
          </m:sub>
        </m:sSub>
      </m:oMath>
      <w:r w:rsidR="00D35E51" w:rsidRPr="004224F6">
        <w:rPr>
          <w:rFonts w:ascii="Times New Roman" w:hAnsi="Times New Roman" w:cs="Times New Roman"/>
          <w:lang w:val="ru-RU"/>
        </w:rPr>
        <w:t xml:space="preserve"> =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IST</m:t>
            </m:r>
          </m:sub>
        </m:sSub>
        <m:r>
          <w:rPr>
            <w:rFonts w:ascii="Cambria Math" w:hAnsi="Cambria Math" w:cs="Times New Roman"/>
            <w:lang w:val="ru-RU"/>
          </w:rPr>
          <m:t xml:space="preserve">=2,96 </m:t>
        </m:r>
        <m:r>
          <w:rPr>
            <w:rFonts w:ascii="Cambria Math" w:hAnsi="Cambria Math" w:cs="Times New Roman"/>
          </w:rPr>
          <m:t>m</m:t>
        </m:r>
      </m:oMath>
    </w:p>
    <w:p w14:paraId="289AC79A" w14:textId="77777777" w:rsidR="00271FA2" w:rsidRPr="004224F6" w:rsidRDefault="00271FA2">
      <w:pPr>
        <w:tabs>
          <w:tab w:val="left" w:pos="567"/>
          <w:tab w:val="left" w:pos="1701"/>
          <w:tab w:val="left" w:pos="1985"/>
          <w:tab w:val="left" w:pos="2835"/>
          <w:tab w:val="left" w:pos="4962"/>
          <w:tab w:val="left" w:pos="5812"/>
          <w:tab w:val="left" w:pos="6096"/>
          <w:tab w:val="left" w:pos="6663"/>
          <w:tab w:val="left" w:pos="7088"/>
        </w:tabs>
        <w:overflowPunct w:val="0"/>
        <w:adjustRightInd w:val="0"/>
        <w:spacing w:line="240" w:lineRule="atLeast"/>
        <w:ind w:left="567"/>
        <w:textAlignment w:val="baseline"/>
        <w:rPr>
          <w:rFonts w:ascii="Times New Roman" w:hAnsi="Times New Roman" w:cs="Times New Roman"/>
          <w:lang w:val="ru-RU"/>
        </w:rPr>
      </w:pPr>
    </w:p>
    <w:p w14:paraId="54E81917" w14:textId="77777777" w:rsidR="00271FA2" w:rsidRPr="004224F6" w:rsidRDefault="002C62EC">
      <w:pPr>
        <w:tabs>
          <w:tab w:val="left" w:pos="567"/>
        </w:tabs>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SOLL</m:t>
                  </m:r>
                </m:sub>
              </m:sSub>
            </m:sub>
          </m:sSub>
          <m:r>
            <w:rPr>
              <w:rFonts w:ascii="Cambria Math" w:hAnsi="Cambria Math" w:cs="Times New Roman"/>
            </w:rPr>
            <m:t>=5,1 m/s  ≈  18,4  km/h</m:t>
          </m:r>
        </m:oMath>
      </m:oMathPara>
    </w:p>
    <w:p w14:paraId="67175F65" w14:textId="77777777" w:rsidR="00271FA2" w:rsidRPr="004224F6" w:rsidRDefault="002C62EC">
      <w:pPr>
        <w:numPr>
          <w:ilvl w:val="0"/>
          <w:numId w:val="54"/>
        </w:numPr>
        <w:tabs>
          <w:tab w:val="left" w:pos="992"/>
          <w:tab w:val="left" w:pos="1843"/>
          <w:tab w:val="left" w:pos="2127"/>
        </w:tabs>
        <w:overflowPunct w:val="0"/>
        <w:adjustRightInd w:val="0"/>
        <w:spacing w:line="240" w:lineRule="atLeast"/>
        <w:ind w:left="992" w:hanging="425"/>
        <w:textAlignment w:val="baseline"/>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SOLL</m:t>
                </m:r>
              </m:sub>
            </m:sSub>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oMath>
    </w:p>
    <w:p w14:paraId="06B38FF2" w14:textId="77777777" w:rsidR="00271FA2" w:rsidRPr="004224F6" w:rsidRDefault="002C62EC">
      <w:pPr>
        <w:tabs>
          <w:tab w:val="left" w:pos="992"/>
          <w:tab w:val="left" w:pos="1843"/>
          <w:tab w:val="left" w:pos="2127"/>
        </w:tabs>
        <w:overflowPunct w:val="0"/>
        <w:adjustRightInd w:val="0"/>
        <w:spacing w:line="240" w:lineRule="atLeast"/>
        <w:ind w:left="992" w:firstLine="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r>
            <w:rPr>
              <w:rFonts w:ascii="Cambria Math" w:hAnsi="Cambria Math" w:cs="Times New Roman"/>
            </w:rPr>
            <m:t>=0,95 ∙5,1 ∙16=</m:t>
          </m:r>
          <m:r>
            <m:rPr>
              <m:sty m:val="bi"/>
            </m:rPr>
            <w:rPr>
              <w:rFonts w:ascii="Cambria Math" w:hAnsi="Cambria Math" w:cs="Times New Roman"/>
            </w:rPr>
            <m:t>77,50 m</m:t>
          </m:r>
        </m:oMath>
      </m:oMathPara>
    </w:p>
    <w:p w14:paraId="31A5D9C2" w14:textId="77777777" w:rsidR="00271FA2" w:rsidRPr="004224F6" w:rsidRDefault="00D35E51">
      <w:pPr>
        <w:tabs>
          <w:tab w:val="left" w:pos="1843"/>
          <w:tab w:val="left" w:pos="2127"/>
          <w:tab w:val="center" w:pos="5103"/>
          <w:tab w:val="left" w:pos="6804"/>
          <w:tab w:val="center" w:pos="7938"/>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t xml:space="preserve">б) </w:t>
      </w: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2</m:t>
            </m:r>
          </m:sub>
        </m:sSub>
        <m:r>
          <w:rPr>
            <w:rFonts w:ascii="Cambria Math" w:hAnsi="Cambria Math" w:cs="Times New Roman"/>
            <w:lang w:val="ru-RU"/>
          </w:rPr>
          <m:t xml:space="preserve"> ∙ </m:t>
        </m:r>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SOLL</m:t>
                </m:r>
              </m:sub>
            </m:sSub>
            <m:r>
              <w:rPr>
                <w:rFonts w:ascii="Cambria Math" w:hAnsi="Cambria Math" w:cs="Times New Roman"/>
                <w:lang w:val="ru-RU"/>
              </w:rPr>
              <m:t xml:space="preserve"> ∙  </m:t>
            </m:r>
            <m:r>
              <w:rPr>
                <w:rFonts w:ascii="Cambria Math" w:hAnsi="Cambria Math" w:cs="Times New Roman"/>
              </w:rPr>
              <m:t>g</m:t>
            </m:r>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3</m:t>
                </m:r>
              </m:sub>
            </m:sSub>
            <m:r>
              <w:rPr>
                <w:rFonts w:ascii="Cambria Math" w:hAnsi="Cambria Math" w:cs="Times New Roman"/>
                <w:lang w:val="ru-RU"/>
              </w:rPr>
              <m:t xml:space="preserve"> ∙ </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R</m:t>
                </m:r>
              </m:e>
              <m:sub>
                <m:sSub>
                  <m:sSubPr>
                    <m:ctrlPr>
                      <w:rPr>
                        <w:rFonts w:ascii="Cambria Math" w:hAnsi="Cambria Math" w:cs="Times New Roman"/>
                        <w:i/>
                      </w:rPr>
                    </m:ctrlPr>
                  </m:sSubPr>
                  <m:e>
                    <m:r>
                      <w:rPr>
                        <w:rFonts w:ascii="Cambria Math" w:hAnsi="Cambria Math" w:cs="Times New Roman"/>
                      </w:rPr>
                      <m:t>TmII</m:t>
                    </m:r>
                  </m:e>
                  <m:sub>
                    <m:r>
                      <w:rPr>
                        <w:rFonts w:ascii="Cambria Math" w:hAnsi="Cambria Math" w:cs="Times New Roman"/>
                      </w:rPr>
                      <m:t>SOLL</m:t>
                    </m:r>
                  </m:sub>
                </m:sSub>
              </m:sub>
            </m:sSub>
            <m:r>
              <w:rPr>
                <w:rFonts w:ascii="Cambria Math" w:hAnsi="Cambria Math" w:cs="Times New Roman"/>
                <w:lang w:val="ru-RU"/>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den>
        </m:f>
        <m:r>
          <w:rPr>
            <w:rFonts w:ascii="Cambria Math" w:hAnsi="Cambria Math" w:cs="Times New Roman"/>
            <w:lang w:val="ru-RU"/>
          </w:rPr>
          <m:t xml:space="preserve"> ∙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lang w:val="ru-RU"/>
                  </w:rPr>
                  <m:t>4</m:t>
                </m:r>
              </m:sub>
            </m:sSub>
            <m:r>
              <w:rPr>
                <w:rFonts w:ascii="Cambria Math" w:hAnsi="Cambria Math" w:cs="Times New Roman"/>
                <w:lang w:val="ru-RU"/>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SOLL</m:t>
                        </m:r>
                      </m:sub>
                    </m:sSub>
                  </m:sub>
                </m:sSub>
              </m:num>
              <m:den>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den>
            </m:f>
          </m:e>
        </m:d>
      </m:oMath>
    </w:p>
    <w:p w14:paraId="429FACB6" w14:textId="77777777" w:rsidR="00271FA2" w:rsidRPr="004224F6" w:rsidRDefault="00D35E51">
      <w:pPr>
        <w:tabs>
          <w:tab w:val="left" w:pos="992"/>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t>в)</w:t>
      </w:r>
      <w:r w:rsidRPr="004224F6">
        <w:rPr>
          <w:rFonts w:ascii="Times New Roman" w:hAnsi="Times New Roman" w:cs="Times New Roman"/>
          <w:lang w:val="ru-RU"/>
        </w:rPr>
        <w:tab/>
        <w:t xml:space="preserve">Изчисляване на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TmII</m:t>
                </m:r>
              </m:sub>
            </m:sSub>
          </m:e>
          <m:sub>
            <m:r>
              <w:rPr>
                <w:rFonts w:ascii="Cambria Math" w:hAnsi="Cambria Math" w:cs="Times New Roman"/>
              </w:rPr>
              <m:t>SOLL</m:t>
            </m:r>
          </m:sub>
        </m:sSub>
      </m:oMath>
    </w:p>
    <w:p w14:paraId="02B195AB" w14:textId="77777777" w:rsidR="00271FA2" w:rsidRPr="004224F6" w:rsidRDefault="00D35E51">
      <w:pPr>
        <w:tabs>
          <w:tab w:val="left" w:pos="3686"/>
        </w:tabs>
        <w:overflowPunct w:val="0"/>
        <w:adjustRightInd w:val="0"/>
        <w:spacing w:line="240" w:lineRule="atLeast"/>
        <w:ind w:left="993" w:hanging="1"/>
        <w:textAlignment w:val="baseline"/>
        <w:rPr>
          <w:rFonts w:ascii="Times New Roman" w:hAnsi="Times New Roman" w:cs="Times New Roman"/>
          <w:lang w:val="ru-RU"/>
        </w:rPr>
      </w:pPr>
      <w:r w:rsidRPr="004224F6">
        <w:rPr>
          <w:rFonts w:ascii="Times New Roman" w:hAnsi="Times New Roman" w:cs="Times New Roman"/>
          <w:lang w:val="ru-RU"/>
        </w:rPr>
        <w:tab/>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t>
                </m:r>
              </m:sub>
            </m:sSub>
          </m:num>
          <m:den>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den>
        </m:f>
        <m:r>
          <w:rPr>
            <w:rFonts w:ascii="Cambria Math" w:hAnsi="Cambria Math" w:cs="Times New Roman"/>
            <w:lang w:val="ru-RU"/>
          </w:rPr>
          <m:t xml:space="preserve">=14,0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kN</m:t>
                </m:r>
                <m:r>
                  <w:rPr>
                    <w:rFonts w:ascii="Cambria Math" w:hAnsi="Cambria Math" w:cs="Times New Roman"/>
                    <w:lang w:val="ru-RU"/>
                  </w:rPr>
                  <m:t xml:space="preserve"> ∙ </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lang w:val="ru-RU"/>
                      </w:rPr>
                      <m:t>2</m:t>
                    </m:r>
                  </m:sup>
                </m:sSup>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lang w:val="ru-RU"/>
                      </w:rPr>
                      <m:t>2</m:t>
                    </m:r>
                  </m:sup>
                </m:sSup>
              </m:den>
            </m:f>
          </m:e>
        </m:d>
      </m:oMath>
      <w:r w:rsidRPr="004224F6">
        <w:rPr>
          <w:rFonts w:ascii="Times New Roman" w:hAnsi="Times New Roman" w:cs="Times New Roman"/>
          <w:lang w:val="ru-RU"/>
        </w:rPr>
        <w:tab/>
        <w:t xml:space="preserve">както в (4.2), тъй като </w:t>
      </w:r>
      <m:oMath>
        <m:r>
          <w:rPr>
            <w:rFonts w:ascii="Cambria Math" w:hAnsi="Cambria Math" w:cs="Times New Roman"/>
          </w:rPr>
          <m:t>B</m:t>
        </m:r>
      </m:oMath>
      <w:r w:rsidRPr="004224F6">
        <w:rPr>
          <w:rFonts w:ascii="Times New Roman" w:hAnsi="Times New Roman" w:cs="Times New Roman"/>
          <w:lang w:val="ru-RU"/>
        </w:rPr>
        <w:t xml:space="preserve">, </w:t>
      </w:r>
      <m:oMath>
        <m:r>
          <w:rPr>
            <w:rFonts w:ascii="Cambria Math" w:hAnsi="Cambria Math" w:cs="Times New Roman"/>
          </w:rPr>
          <m:t>D</m:t>
        </m:r>
      </m:oMath>
      <w:r w:rsidRPr="004224F6">
        <w:rPr>
          <w:rFonts w:ascii="Times New Roman" w:hAnsi="Times New Roman" w:cs="Times New Roman"/>
          <w:lang w:val="ru-RU"/>
        </w:rPr>
        <w:t xml:space="preserve"> и </w:t>
      </w:r>
      <m:oMath>
        <m:r>
          <w:rPr>
            <w:rFonts w:ascii="Cambria Math" w:hAnsi="Cambria Math" w:cs="Times New Roman"/>
          </w:rPr>
          <m:t>T</m:t>
        </m:r>
      </m:oMath>
      <w:r w:rsidRPr="004224F6">
        <w:rPr>
          <w:rFonts w:ascii="Times New Roman" w:hAnsi="Times New Roman" w:cs="Times New Roman"/>
          <w:lang w:val="ru-RU"/>
        </w:rPr>
        <w:t xml:space="preserve"> са непроменени</w:t>
      </w:r>
    </w:p>
    <w:p w14:paraId="71C76289" w14:textId="77777777" w:rsidR="00271FA2" w:rsidRPr="004224F6" w:rsidRDefault="002C62EC">
      <w:pPr>
        <w:overflowPunct w:val="0"/>
        <w:adjustRightInd w:val="0"/>
        <w:spacing w:line="240" w:lineRule="atLeast"/>
        <w:ind w:left="992"/>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SOLL</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STR</m:t>
                  </m:r>
                </m:e>
                <m:sub>
                  <m:r>
                    <w:rPr>
                      <w:rFonts w:ascii="Cambria Math" w:hAnsi="Cambria Math" w:cs="Times New Roman"/>
                    </w:rPr>
                    <m:t>SOLL</m:t>
                  </m:r>
                </m:sub>
              </m:sSub>
            </m:sub>
          </m:sSub>
          <m:r>
            <w:rPr>
              <w:rFonts w:ascii="Cambria Math" w:hAnsi="Cambria Math" w:cs="Times New Roman"/>
            </w:rPr>
            <m:t xml:space="preserve">=3,6 </m:t>
          </m:r>
          <m:d>
            <m:dPr>
              <m:begChr m:val="["/>
              <m:endChr m:val="]"/>
              <m:ctrlPr>
                <w:rPr>
                  <w:rFonts w:ascii="Cambria Math" w:hAnsi="Cambria Math" w:cs="Times New Roman"/>
                  <w:i/>
                </w:rPr>
              </m:ctrlPr>
            </m:dPr>
            <m:e>
              <m:r>
                <w:rPr>
                  <w:rFonts w:ascii="Cambria Math" w:hAnsi="Cambria Math" w:cs="Times New Roman"/>
                </w:rPr>
                <m:t>m/s</m:t>
              </m:r>
            </m:e>
          </m:d>
        </m:oMath>
      </m:oMathPara>
    </w:p>
    <w:p w14:paraId="091C226D" w14:textId="77777777" w:rsidR="00271FA2" w:rsidRPr="004224F6" w:rsidRDefault="002C62EC">
      <w:pPr>
        <w:overflowPunct w:val="0"/>
        <w:adjustRightInd w:val="0"/>
        <w:spacing w:line="240" w:lineRule="atLeast"/>
        <w:ind w:left="993"/>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TmII</m:t>
                  </m:r>
                </m:sub>
              </m:sSub>
            </m:e>
            <m:sub>
              <m:r>
                <w:rPr>
                  <w:rFonts w:ascii="Cambria Math" w:hAnsi="Cambria Math" w:cs="Times New Roman"/>
                </w:rPr>
                <m:t>SOLL</m:t>
              </m:r>
            </m:sub>
          </m:sSub>
          <m:r>
            <w:rPr>
              <w:rFonts w:ascii="Cambria Math" w:hAnsi="Cambria Math" w:cs="Times New Roman"/>
            </w:rPr>
            <m:t xml:space="preserve">= 14,0 ∙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0,55 ∙0,85 ∙3,6</m:t>
                  </m:r>
                </m:e>
              </m:d>
            </m:e>
            <m:sup>
              <m: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 xml:space="preserve">39,6 </m:t>
          </m:r>
          <m:d>
            <m:dPr>
              <m:begChr m:val="["/>
              <m:endChr m:val="]"/>
              <m:ctrlPr>
                <w:rPr>
                  <w:rFonts w:ascii="Cambria Math" w:hAnsi="Cambria Math" w:cs="Times New Roman"/>
                  <w:b/>
                  <w:i/>
                </w:rPr>
              </m:ctrlPr>
            </m:dPr>
            <m:e>
              <m:r>
                <m:rPr>
                  <m:sty m:val="bi"/>
                </m:rPr>
                <w:rPr>
                  <w:rFonts w:ascii="Cambria Math" w:hAnsi="Cambria Math" w:cs="Times New Roman"/>
                </w:rPr>
                <m:t>kN</m:t>
              </m:r>
            </m:e>
          </m:d>
        </m:oMath>
      </m:oMathPara>
    </w:p>
    <w:p w14:paraId="1761755C" w14:textId="77777777" w:rsidR="00271FA2" w:rsidRPr="004224F6" w:rsidRDefault="00D35E51">
      <w:pPr>
        <w:tabs>
          <w:tab w:val="left" w:pos="992"/>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t xml:space="preserve">г) Съпротивление, дължащо се на наклона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4224F6">
        <w:rPr>
          <w:rFonts w:ascii="Times New Roman" w:hAnsi="Times New Roman" w:cs="Times New Roman"/>
          <w:lang w:val="ru-RU"/>
        </w:rPr>
        <w:t xml:space="preserve"> както в точка 4.2</w:t>
      </w:r>
    </w:p>
    <w:p w14:paraId="10E00206" w14:textId="77777777" w:rsidR="00271FA2" w:rsidRPr="004224F6" w:rsidRDefault="00D35E51">
      <w:pPr>
        <w:tabs>
          <w:tab w:val="left" w:pos="992"/>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lastRenderedPageBreak/>
        <w:t xml:space="preserve">д) Изчисляване на </w:t>
      </w: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oMath>
    </w:p>
    <w:p w14:paraId="7CBA4B1C" w14:textId="77777777" w:rsidR="00271FA2" w:rsidRPr="004224F6" w:rsidRDefault="002C62EC">
      <w:pPr>
        <w:tabs>
          <w:tab w:val="left" w:pos="993"/>
        </w:tabs>
        <w:overflowPunct w:val="0"/>
        <w:adjustRightInd w:val="0"/>
        <w:spacing w:line="240" w:lineRule="atLeast"/>
        <w:ind w:left="993"/>
        <w:textAlignment w:val="baseline"/>
        <w:rPr>
          <w:rFonts w:ascii="Times New Roman" w:hAnsi="Times New Roman" w:cs="Times New Roman"/>
          <w:lang w:val="ru-RU"/>
        </w:rPr>
      </w:pP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 0,85 ∙3,6=</m:t>
        </m:r>
        <m:r>
          <m:rPr>
            <m:sty m:val="bi"/>
          </m:rPr>
          <w:rPr>
            <w:rFonts w:ascii="Cambria Math" w:hAnsi="Cambria Math" w:cs="Times New Roman"/>
          </w:rPr>
          <m:t>3</m:t>
        </m:r>
        <m:r>
          <m:rPr>
            <m:sty m:val="bi"/>
          </m:rPr>
          <w:rPr>
            <w:rFonts w:ascii="Cambria Math" w:hAnsi="Cambria Math" w:cs="Times New Roman"/>
            <w:lang w:val="ru-RU"/>
          </w:rPr>
          <m:t>,</m:t>
        </m:r>
        <m:r>
          <m:rPr>
            <m:sty m:val="bi"/>
          </m:rPr>
          <w:rPr>
            <w:rFonts w:ascii="Cambria Math" w:hAnsi="Cambria Math" w:cs="Times New Roman"/>
          </w:rPr>
          <m:t>06</m:t>
        </m:r>
        <m:r>
          <w:rPr>
            <w:rFonts w:ascii="Cambria Math" w:hAnsi="Cambria Math" w:cs="Times New Roman"/>
            <w:lang w:val="ru-RU"/>
          </w:rPr>
          <m:t xml:space="preserve"> </m:t>
        </m:r>
        <m:d>
          <m:dPr>
            <m:begChr m:val="["/>
            <m:endChr m:val="]"/>
            <m:ctrlPr>
              <w:rPr>
                <w:rFonts w:ascii="Cambria Math" w:hAnsi="Cambria Math" w:cs="Times New Roman"/>
                <w:i/>
              </w:rPr>
            </m:ctrlPr>
          </m:dPr>
          <m:e>
            <m:r>
              <w:rPr>
                <w:rFonts w:ascii="Cambria Math" w:hAnsi="Cambria Math" w:cs="Times New Roman"/>
              </w:rPr>
              <m:t>m</m:t>
            </m:r>
            <m:r>
              <w:rPr>
                <w:rFonts w:ascii="Cambria Math" w:hAnsi="Cambria Math" w:cs="Times New Roman"/>
                <w:lang w:val="ru-RU"/>
              </w:rPr>
              <m:t>/</m:t>
            </m:r>
            <m:r>
              <w:rPr>
                <w:rFonts w:ascii="Cambria Math" w:hAnsi="Cambria Math" w:cs="Times New Roman"/>
              </w:rPr>
              <m:t>s</m:t>
            </m:r>
          </m:e>
        </m:d>
      </m:oMath>
      <w:r w:rsidR="00D35E51" w:rsidRPr="004224F6">
        <w:rPr>
          <w:rFonts w:ascii="Times New Roman" w:hAnsi="Times New Roman" w:cs="Times New Roman"/>
          <w:lang w:val="ru-RU"/>
        </w:rPr>
        <w:t xml:space="preserve">,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lang w:val="ru-RU"/>
                  </w:rPr>
                  <m:t>2</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lang w:val="ru-RU"/>
          </w:rPr>
          <m:t xml:space="preserve">=9,36 </m:t>
        </m:r>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m</m:t>
                </m:r>
                <m:r>
                  <w:rPr>
                    <w:rFonts w:ascii="Cambria Math" w:hAnsi="Cambria Math" w:cs="Times New Roman"/>
                    <w:lang w:val="ru-RU"/>
                  </w:rPr>
                  <m:t>/</m:t>
                </m:r>
                <m:r>
                  <w:rPr>
                    <w:rFonts w:ascii="Cambria Math" w:hAnsi="Cambria Math" w:cs="Times New Roman"/>
                  </w:rPr>
                  <m:t>s</m:t>
                </m:r>
              </m:e>
            </m:d>
          </m:e>
          <m:sup>
            <m:r>
              <w:rPr>
                <w:rFonts w:ascii="Cambria Math" w:hAnsi="Cambria Math" w:cs="Times New Roman"/>
                <w:lang w:val="ru-RU"/>
              </w:rPr>
              <m:t>2</m:t>
            </m:r>
          </m:sup>
        </m:sSup>
      </m:oMath>
    </w:p>
    <w:p w14:paraId="11E07473" w14:textId="77777777" w:rsidR="00271FA2" w:rsidRPr="004224F6" w:rsidRDefault="00D35E51">
      <w:pPr>
        <w:tabs>
          <w:tab w:val="left" w:pos="992"/>
        </w:tabs>
        <w:overflowPunct w:val="0"/>
        <w:adjustRightInd w:val="0"/>
        <w:spacing w:line="240" w:lineRule="atLeast"/>
        <w:ind w:left="992" w:hanging="425"/>
        <w:textAlignment w:val="baseline"/>
        <w:rPr>
          <w:rFonts w:ascii="Times New Roman" w:hAnsi="Times New Roman" w:cs="Times New Roman"/>
          <w:lang w:val="ru-RU"/>
        </w:rPr>
      </w:pPr>
      <w:r w:rsidRPr="004224F6">
        <w:rPr>
          <w:rFonts w:ascii="Times New Roman" w:hAnsi="Times New Roman" w:cs="Times New Roman"/>
          <w:lang w:val="ru-RU"/>
        </w:rPr>
        <w:t xml:space="preserve">е)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POR</m:t>
            </m:r>
          </m:sub>
        </m:sSub>
      </m:oMath>
      <w:r w:rsidRPr="004224F6">
        <w:rPr>
          <w:rFonts w:ascii="Times New Roman" w:hAnsi="Times New Roman" w:cs="Times New Roman"/>
          <w:position w:val="-6"/>
          <w:lang w:val="ru-RU"/>
        </w:rPr>
        <w:t xml:space="preserve"> </w:t>
      </w:r>
      <w:r w:rsidRPr="004224F6">
        <w:rPr>
          <w:rFonts w:ascii="Times New Roman" w:hAnsi="Times New Roman" w:cs="Times New Roman"/>
          <w:lang w:val="ru-RU"/>
        </w:rPr>
        <w:t xml:space="preserve"> както в точка 4.2</w:t>
      </w:r>
    </w:p>
    <w:p w14:paraId="6AE01C3E" w14:textId="77777777" w:rsidR="00271FA2" w:rsidRPr="004224F6" w:rsidRDefault="00D35E51">
      <w:pPr>
        <w:tabs>
          <w:tab w:val="left" w:pos="992"/>
        </w:tabs>
        <w:overflowPunct w:val="0"/>
        <w:adjustRightInd w:val="0"/>
        <w:spacing w:line="240" w:lineRule="atLeast"/>
        <w:ind w:left="992" w:hanging="425"/>
        <w:jc w:val="both"/>
        <w:textAlignment w:val="baseline"/>
        <w:rPr>
          <w:rFonts w:ascii="Times New Roman" w:hAnsi="Times New Roman" w:cs="Times New Roman"/>
          <w:lang w:val="ru-RU"/>
        </w:rPr>
      </w:pPr>
      <w:r w:rsidRPr="004224F6">
        <w:rPr>
          <w:rFonts w:ascii="Times New Roman" w:hAnsi="Times New Roman" w:cs="Times New Roman"/>
          <w:lang w:val="ru-RU"/>
        </w:rPr>
        <w:t xml:space="preserve">ж) Изчисляване на </w:t>
      </w: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oMath>
      <w:r w:rsidRPr="004224F6">
        <w:rPr>
          <w:rFonts w:ascii="Times New Roman" w:hAnsi="Times New Roman" w:cs="Times New Roman"/>
          <w:lang w:val="ru-RU"/>
        </w:rPr>
        <w:t>, като се използва формулата посочена в буква “б” и резултатите от формулите посочени в букви “в” -“е”</w:t>
      </w:r>
    </w:p>
    <w:p w14:paraId="32A866C4" w14:textId="77777777" w:rsidR="00271FA2" w:rsidRPr="004224F6" w:rsidRDefault="002C62EC">
      <w:pPr>
        <w:overflowPunct w:val="0"/>
        <w:adjustRightInd w:val="0"/>
        <w:spacing w:line="240" w:lineRule="atLeast"/>
        <w:ind w:left="992"/>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 xml:space="preserve">0,12 ∙9,36 ∙9,81 ∙ </m:t>
              </m:r>
              <m:d>
                <m:dPr>
                  <m:ctrlPr>
                    <w:rPr>
                      <w:rFonts w:ascii="Cambria Math" w:hAnsi="Cambria Math" w:cs="Times New Roman"/>
                      <w:i/>
                    </w:rPr>
                  </m:ctrlPr>
                </m:dPr>
                <m:e>
                  <m:r>
                    <w:rPr>
                      <w:rFonts w:ascii="Cambria Math" w:hAnsi="Cambria Math" w:cs="Times New Roman"/>
                    </w:rPr>
                    <m:t xml:space="preserve">0,48+ </m:t>
                  </m:r>
                  <m:f>
                    <m:fPr>
                      <m:ctrlPr>
                        <w:rPr>
                          <w:rFonts w:ascii="Cambria Math" w:hAnsi="Cambria Math" w:cs="Times New Roman"/>
                          <w:i/>
                        </w:rPr>
                      </m:ctrlPr>
                    </m:fPr>
                    <m:num>
                      <m:r>
                        <w:rPr>
                          <w:rFonts w:ascii="Cambria Math" w:hAnsi="Cambria Math" w:cs="Times New Roman"/>
                        </w:rPr>
                        <m:t>1,5</m:t>
                      </m:r>
                    </m:num>
                    <m:den>
                      <m:r>
                        <w:rPr>
                          <w:rFonts w:ascii="Cambria Math" w:hAnsi="Cambria Math" w:cs="Times New Roman"/>
                        </w:rPr>
                        <m:t>3,06</m:t>
                      </m:r>
                    </m:den>
                  </m:f>
                </m:e>
              </m:d>
            </m:num>
            <m:den>
              <m:r>
                <w:rPr>
                  <w:rFonts w:ascii="Cambria Math" w:hAnsi="Cambria Math" w:cs="Times New Roman"/>
                </w:rPr>
                <m:t>1,15 ∙177+39,6-15,02</m:t>
              </m:r>
            </m:den>
          </m:f>
          <m:r>
            <w:rPr>
              <w:rFonts w:ascii="Cambria Math" w:hAnsi="Cambria Math" w:cs="Times New Roman"/>
            </w:rPr>
            <m:t xml:space="preserve"> ∙9568</m:t>
          </m:r>
        </m:oMath>
      </m:oMathPara>
    </w:p>
    <w:p w14:paraId="017B4AF1" w14:textId="77777777" w:rsidR="00271FA2" w:rsidRPr="004224F6" w:rsidRDefault="00D35E51">
      <w:pPr>
        <w:tabs>
          <w:tab w:val="left" w:pos="993"/>
          <w:tab w:val="left" w:pos="1701"/>
          <w:tab w:val="left" w:pos="2127"/>
        </w:tabs>
        <w:overflowPunct w:val="0"/>
        <w:adjustRightInd w:val="0"/>
        <w:spacing w:line="240" w:lineRule="atLeast"/>
        <w:ind w:left="993"/>
        <w:textAlignment w:val="baseline"/>
        <w:rPr>
          <w:rFonts w:ascii="Times New Roman" w:hAnsi="Times New Roman" w:cs="Times New Roman"/>
        </w:rPr>
      </w:pPr>
      <w:r w:rsidRPr="004224F6">
        <w:rPr>
          <w:rFonts w:ascii="Times New Roman" w:hAnsi="Times New Roman" w:cs="Times New Roman"/>
          <w:noProof/>
          <w:lang w:eastAsia="bg-BG"/>
        </w:rPr>
        <mc:AlternateContent>
          <mc:Choice Requires="wps">
            <w:drawing>
              <wp:anchor distT="0" distB="0" distL="114300" distR="114300" simplePos="0" relativeHeight="251683840" behindDoc="0" locked="0" layoutInCell="1" allowOverlap="1" wp14:anchorId="206E8948" wp14:editId="4B954AE0">
                <wp:simplePos x="0" y="0"/>
                <wp:positionH relativeFrom="column">
                  <wp:posOffset>958850</wp:posOffset>
                </wp:positionH>
                <wp:positionV relativeFrom="paragraph">
                  <wp:posOffset>124460</wp:posOffset>
                </wp:positionV>
                <wp:extent cx="90805" cy="457200"/>
                <wp:effectExtent l="190500" t="0" r="175895" b="0"/>
                <wp:wrapNone/>
                <wp:docPr id="293" name="AutoShape 140"/>
                <wp:cNvGraphicFramePr/>
                <a:graphic xmlns:a="http://schemas.openxmlformats.org/drawingml/2006/main">
                  <a:graphicData uri="http://schemas.microsoft.com/office/word/2010/wordprocessingShape">
                    <wps:wsp>
                      <wps:cNvSpPr/>
                      <wps:spPr bwMode="auto">
                        <a:xfrm rot="5400000">
                          <a:off x="0" y="0"/>
                          <a:ext cx="90805" cy="457200"/>
                        </a:xfrm>
                        <a:prstGeom prst="rightBrace">
                          <a:avLst>
                            <a:gd name="adj1" fmla="val 41958"/>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40" o:spid="_x0000_s1026" o:spt="88" type="#_x0000_t88" style="position:absolute;left:0pt;margin-left:75.5pt;margin-top:9.8pt;height:36pt;width:7.15pt;rotation:5898240f;z-index:251683840;mso-width-relative:page;mso-height-relative:page;" filled="f" stroked="t" coordsize="21600,21600" o:gfxdata="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12/lvYAAAACQEAAA8AAAAAAAAAAQAgAAAAIgAAAGRycy9kb3ducmV2LnhtbFBL&#10;AQIUABQAAAAIAIdO4kBQMwLmLwIAAHMEAAAOAAAAAAAAAAEAIAAAACcBAABkcnMvZTJvRG9jLnht&#10;bFBLBQYAAAAABgAGAFkBAADIBQAAAAA=&#10;" adj="1799,10800">
                <v:fill on="f" focussize="0,0"/>
                <v:stroke color="#000000" joinstyle="round"/>
                <v:imagedata o:title=""/>
                <o:lock v:ext="edit" aspectratio="f"/>
              </v:shape>
            </w:pict>
          </mc:Fallback>
        </mc:AlternateContent>
      </w:r>
      <m:oMath>
        <m:r>
          <w:rPr>
            <w:rFonts w:ascii="Cambria Math" w:hAnsi="Cambria Math" w:cs="Times New Roman"/>
          </w:rPr>
          <m:t>=0,04684 ∙9568=</m:t>
        </m:r>
        <m:r>
          <m:rPr>
            <m:sty m:val="bi"/>
          </m:rPr>
          <w:rPr>
            <w:rFonts w:ascii="Cambria Math" w:hAnsi="Cambria Math" w:cs="Times New Roman"/>
          </w:rPr>
          <m:t>448 m</m:t>
        </m:r>
      </m:oMath>
    </w:p>
    <w:p w14:paraId="71F6BBF1" w14:textId="77777777" w:rsidR="00271FA2" w:rsidRPr="004224F6" w:rsidRDefault="00271FA2">
      <w:pPr>
        <w:tabs>
          <w:tab w:val="left" w:pos="993"/>
          <w:tab w:val="left" w:pos="1701"/>
          <w:tab w:val="left" w:pos="2127"/>
        </w:tabs>
        <w:overflowPunct w:val="0"/>
        <w:adjustRightInd w:val="0"/>
        <w:spacing w:line="240" w:lineRule="atLeast"/>
        <w:ind w:left="993"/>
        <w:textAlignment w:val="baseline"/>
        <w:rPr>
          <w:rFonts w:ascii="Times New Roman" w:hAnsi="Times New Roman" w:cs="Times New Roman"/>
        </w:rPr>
      </w:pPr>
    </w:p>
    <w:p w14:paraId="2194F5D4" w14:textId="77777777" w:rsidR="00271FA2" w:rsidRPr="004224F6" w:rsidRDefault="002C62EC">
      <w:pPr>
        <w:overflowPunct w:val="0"/>
        <w:adjustRightInd w:val="0"/>
        <w:spacing w:line="240" w:lineRule="atLeast"/>
        <w:ind w:left="993" w:hanging="1"/>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SOLL</m:t>
              </m:r>
            </m:sub>
          </m:sSub>
        </m:oMath>
      </m:oMathPara>
    </w:p>
    <w:p w14:paraId="6AA78CF8" w14:textId="77777777" w:rsidR="00271FA2" w:rsidRPr="004224F6" w:rsidRDefault="00D35E51">
      <w:pPr>
        <w:tabs>
          <w:tab w:val="left" w:pos="992"/>
        </w:tabs>
        <w:overflowPunct w:val="0"/>
        <w:adjustRightInd w:val="0"/>
        <w:spacing w:line="240" w:lineRule="atLeast"/>
        <w:ind w:left="992" w:hanging="283"/>
        <w:textAlignment w:val="baseline"/>
        <w:rPr>
          <w:rFonts w:ascii="Times New Roman" w:hAnsi="Times New Roman" w:cs="Times New Roman"/>
        </w:rPr>
      </w:pPr>
      <w:r w:rsidRPr="004224F6">
        <w:rPr>
          <w:rFonts w:ascii="Times New Roman" w:hAnsi="Times New Roman" w:cs="Times New Roman"/>
        </w:rPr>
        <w:t>з) Изчисляване на общото разстояние</w:t>
      </w:r>
    </w:p>
    <w:p w14:paraId="38D806D2" w14:textId="77777777" w:rsidR="00271FA2" w:rsidRPr="004224F6" w:rsidRDefault="002C62EC">
      <w:pPr>
        <w:tabs>
          <w:tab w:val="left" w:pos="992"/>
        </w:tabs>
        <w:overflowPunct w:val="0"/>
        <w:adjustRightInd w:val="0"/>
        <w:spacing w:line="240" w:lineRule="atLeast"/>
        <w:ind w:left="992"/>
        <w:textAlignment w:val="baseline"/>
        <w:rPr>
          <w:rFonts w:ascii="Times New Roman" w:hAnsi="Times New Roman" w:cs="Times New Roman"/>
        </w:rPr>
      </w:pPr>
      <m:oMathPara>
        <m:oMathParaPr>
          <m:jc m:val="left"/>
        </m:oMathParaPr>
        <m:oMath>
          <m:sSub>
            <m:sSubPr>
              <m:ctrlPr>
                <w:rPr>
                  <w:rFonts w:ascii="Cambria Math" w:hAnsi="Cambria Math" w:cs="Times New Roman"/>
                  <w:b/>
                  <w:i/>
                </w:rPr>
              </m:ctrlPr>
            </m:sSubPr>
            <m:e>
              <m:r>
                <m:rPr>
                  <m:sty m:val="bi"/>
                </m:rPr>
                <w:rPr>
                  <w:rFonts w:ascii="Cambria Math" w:hAnsi="Cambria Math" w:cs="Times New Roman"/>
                </w:rPr>
                <m:t>s</m:t>
              </m:r>
            </m:e>
            <m:sub>
              <m:r>
                <m:rPr>
                  <m:sty m:val="bi"/>
                </m:rPr>
                <w:rPr>
                  <w:rFonts w:ascii="Cambria Math" w:hAnsi="Cambria Math" w:cs="Times New Roman"/>
                </w:rPr>
                <m:t>SOLL</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rPr>
            <m:t>=77,5+448=</m:t>
          </m:r>
          <m:r>
            <m:rPr>
              <m:sty m:val="bi"/>
            </m:rPr>
            <w:rPr>
              <w:rFonts w:ascii="Cambria Math" w:hAnsi="Cambria Math" w:cs="Times New Roman"/>
            </w:rPr>
            <m:t>525,5 m</m:t>
          </m:r>
        </m:oMath>
      </m:oMathPara>
    </w:p>
    <w:p w14:paraId="528A8260" w14:textId="77777777" w:rsidR="00271FA2" w:rsidRPr="004224F6" w:rsidRDefault="00D35E51">
      <w:pPr>
        <w:tabs>
          <w:tab w:val="left" w:pos="567"/>
        </w:tabs>
        <w:overflowPunct w:val="0"/>
        <w:adjustRightInd w:val="0"/>
        <w:spacing w:line="240" w:lineRule="atLeast"/>
        <w:ind w:left="567" w:hanging="567"/>
        <w:jc w:val="both"/>
        <w:textAlignment w:val="baseline"/>
        <w:rPr>
          <w:rFonts w:ascii="Times New Roman" w:hAnsi="Times New Roman" w:cs="Times New Roman"/>
          <w:b/>
          <w:bCs/>
          <w:position w:val="6"/>
          <w:lang w:val="ru-RU"/>
        </w:rPr>
      </w:pPr>
      <w:r w:rsidRPr="004224F6">
        <w:rPr>
          <w:rFonts w:ascii="Times New Roman" w:hAnsi="Times New Roman" w:cs="Times New Roman"/>
          <w:b/>
          <w:lang w:val="ru-RU"/>
        </w:rPr>
        <w:t>4.4</w:t>
      </w:r>
      <w:r w:rsidRPr="004224F6">
        <w:rPr>
          <w:rFonts w:ascii="Times New Roman" w:hAnsi="Times New Roman" w:cs="Times New Roman"/>
          <w:lang w:val="ru-RU"/>
        </w:rPr>
        <w:tab/>
      </w:r>
      <w:r w:rsidRPr="004224F6">
        <w:rPr>
          <w:rFonts w:ascii="Times New Roman" w:hAnsi="Times New Roman" w:cs="Times New Roman"/>
          <w:b/>
          <w:lang w:val="ru-RU"/>
        </w:rPr>
        <w:t>Проверка за спазването на допустимото разстояние за спиране при стандартни условия</w:t>
      </w:r>
      <w:r w:rsidRPr="004224F6">
        <w:rPr>
          <w:rFonts w:ascii="Times New Roman" w:hAnsi="Times New Roman" w:cs="Times New Roman"/>
          <w:b/>
          <w:u w:val="single"/>
          <w:lang w:val="ru-RU"/>
        </w:rPr>
        <w:t xml:space="preserve"> </w:t>
      </w:r>
      <m:oMath>
        <m:sSub>
          <m:sSubPr>
            <m:ctrlPr>
              <w:rPr>
                <w:rFonts w:ascii="Cambria Math" w:hAnsi="Cambria Math" w:cs="Times New Roman"/>
                <w:b/>
                <w:i/>
                <w:color w:val="000000"/>
              </w:rPr>
            </m:ctrlPr>
          </m:sSubPr>
          <m:e>
            <m:r>
              <m:rPr>
                <m:sty m:val="bi"/>
              </m:rPr>
              <w:rPr>
                <w:rFonts w:ascii="Cambria Math" w:hAnsi="Cambria Math" w:cs="Times New Roman"/>
                <w:color w:val="000000"/>
              </w:rPr>
              <m:t>s</m:t>
            </m:r>
          </m:e>
          <m:sub>
            <m:r>
              <m:rPr>
                <m:sty m:val="bi"/>
              </m:rPr>
              <w:rPr>
                <w:rFonts w:ascii="Cambria Math" w:hAnsi="Cambria Math" w:cs="Times New Roman"/>
                <w:color w:val="000000"/>
              </w:rPr>
              <m:t>NORM</m:t>
            </m:r>
          </m:sub>
        </m:sSub>
      </m:oMath>
    </w:p>
    <w:p w14:paraId="26B87FC8" w14:textId="77777777" w:rsidR="00271FA2" w:rsidRPr="004224F6" w:rsidRDefault="00D35E51">
      <w:pPr>
        <w:overflowPunct w:val="0"/>
        <w:adjustRightInd w:val="0"/>
        <w:spacing w:line="240" w:lineRule="atLeast"/>
        <w:ind w:left="567"/>
        <w:textAlignment w:val="baseline"/>
        <w:rPr>
          <w:rFonts w:ascii="Times New Roman" w:hAnsi="Times New Roman" w:cs="Times New Roman"/>
        </w:rPr>
      </w:pPr>
      <w:r w:rsidRPr="004224F6">
        <w:rPr>
          <w:rFonts w:ascii="Times New Roman" w:hAnsi="Times New Roman" w:cs="Times New Roman"/>
        </w:rPr>
        <w:t>съгласно формула (2.1) от Приложение 2</w:t>
      </w:r>
    </w:p>
    <w:p w14:paraId="0F0AEC82" w14:textId="77777777" w:rsidR="00271FA2" w:rsidRPr="004224F6" w:rsidRDefault="002C62EC">
      <w:pPr>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SOLL</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den>
          </m:f>
          <m:r>
            <w:rPr>
              <w:rFonts w:ascii="Cambria Math" w:hAnsi="Cambria Math" w:cs="Times New Roman"/>
            </w:rPr>
            <m:t xml:space="preserve">=580 ∙ </m:t>
          </m:r>
          <m:f>
            <m:fPr>
              <m:ctrlPr>
                <w:rPr>
                  <w:rFonts w:ascii="Cambria Math" w:hAnsi="Cambria Math" w:cs="Times New Roman"/>
                  <w:i/>
                </w:rPr>
              </m:ctrlPr>
            </m:fPr>
            <m:num>
              <m:r>
                <w:rPr>
                  <w:rFonts w:ascii="Cambria Math" w:hAnsi="Cambria Math" w:cs="Times New Roman"/>
                </w:rPr>
                <m:t>525,5</m:t>
              </m:r>
            </m:num>
            <m:den>
              <m:r>
                <w:rPr>
                  <w:rFonts w:ascii="Cambria Math" w:hAnsi="Cambria Math" w:cs="Times New Roman"/>
                </w:rPr>
                <m:t>475</m:t>
              </m:r>
            </m:den>
          </m:f>
          <m:r>
            <w:rPr>
              <w:rFonts w:ascii="Cambria Math" w:hAnsi="Cambria Math" w:cs="Times New Roman"/>
            </w:rPr>
            <m:t>=</m:t>
          </m:r>
          <m:r>
            <m:rPr>
              <m:sty m:val="bi"/>
            </m:rPr>
            <w:rPr>
              <w:rFonts w:ascii="Cambria Math" w:hAnsi="Cambria Math" w:cs="Times New Roman"/>
            </w:rPr>
            <m:t xml:space="preserve">641 m </m:t>
          </m:r>
          <m:r>
            <w:rPr>
              <w:rFonts w:ascii="Cambria Math" w:hAnsi="Cambria Math" w:cs="Times New Roman"/>
            </w:rPr>
            <m:t>&gt;550 m</m:t>
          </m:r>
        </m:oMath>
      </m:oMathPara>
    </w:p>
    <w:p w14:paraId="311FEA54" w14:textId="77777777" w:rsidR="00271FA2" w:rsidRPr="004224F6" w:rsidRDefault="00D35E51">
      <w:pPr>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b/>
          <w:lang w:val="ru-RU"/>
        </w:rPr>
        <w:t>Заключение</w:t>
      </w:r>
      <w:r w:rsidRPr="004224F6">
        <w:rPr>
          <w:rFonts w:ascii="Times New Roman" w:hAnsi="Times New Roman" w:cs="Times New Roman"/>
          <w:lang w:val="ru-RU"/>
        </w:rPr>
        <w:t>:</w:t>
      </w:r>
    </w:p>
    <w:p w14:paraId="306D6DB6" w14:textId="77777777" w:rsidR="00271FA2" w:rsidRPr="004224F6" w:rsidRDefault="00D35E51">
      <w:pPr>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lang w:val="ru-RU"/>
        </w:rPr>
        <w:t>Пределно допустимата стойност категорично е надхвърлена; допускане за плаване по течението е възможно само с ограничение на натоварването. Това ограничено натоварване може да бъде определено в съответствие с точка 5 по-долу.</w:t>
      </w:r>
    </w:p>
    <w:p w14:paraId="7116A6BF" w14:textId="77777777" w:rsidR="00271FA2" w:rsidRPr="004224F6" w:rsidRDefault="00D35E51">
      <w:pPr>
        <w:tabs>
          <w:tab w:val="left" w:pos="567"/>
        </w:tabs>
        <w:overflowPunct w:val="0"/>
        <w:adjustRightInd w:val="0"/>
        <w:spacing w:line="240" w:lineRule="atLeast"/>
        <w:ind w:left="567" w:hanging="567"/>
        <w:textAlignment w:val="baseline"/>
        <w:rPr>
          <w:rFonts w:ascii="Times New Roman" w:hAnsi="Times New Roman" w:cs="Times New Roman"/>
          <w:b/>
          <w:lang w:val="ru-RU"/>
        </w:rPr>
      </w:pPr>
      <w:r w:rsidRPr="004224F6">
        <w:rPr>
          <w:rFonts w:ascii="Times New Roman" w:hAnsi="Times New Roman" w:cs="Times New Roman"/>
          <w:b/>
          <w:lang w:val="ru-RU"/>
        </w:rPr>
        <w:t>5.</w:t>
      </w:r>
      <w:r w:rsidRPr="004224F6">
        <w:rPr>
          <w:rFonts w:ascii="Times New Roman" w:hAnsi="Times New Roman" w:cs="Times New Roman"/>
          <w:lang w:val="ru-RU"/>
        </w:rPr>
        <w:tab/>
      </w:r>
      <m:oMath>
        <m:sSup>
          <m:sSupPr>
            <m:ctrlPr>
              <w:rPr>
                <w:rFonts w:ascii="Cambria Math" w:hAnsi="Cambria Math" w:cs="Times New Roman"/>
                <w:b/>
                <w:i/>
              </w:rPr>
            </m:ctrlPr>
          </m:sSupPr>
          <m:e>
            <m:r>
              <m:rPr>
                <m:sty m:val="bi"/>
              </m:rPr>
              <w:rPr>
                <w:rFonts w:ascii="Cambria Math" w:hAnsi="Cambria Math" w:cs="Times New Roman"/>
              </w:rPr>
              <m:t>D</m:t>
            </m:r>
          </m:e>
          <m:sup>
            <m:r>
              <m:rPr>
                <m:sty m:val="bi"/>
              </m:rPr>
              <w:rPr>
                <w:rFonts w:ascii="Cambria Math" w:hAnsi="Cambria Math" w:cs="Times New Roman"/>
                <w:lang w:val="ru-RU"/>
              </w:rPr>
              <m:t>*</m:t>
            </m:r>
          </m:sup>
        </m:sSup>
      </m:oMath>
      <w:r w:rsidRPr="004224F6">
        <w:rPr>
          <w:rFonts w:ascii="Times New Roman" w:hAnsi="Times New Roman" w:cs="Times New Roman"/>
          <w:b/>
          <w:lang w:val="ru-RU"/>
        </w:rPr>
        <w:t xml:space="preserve"> , допустимо при плаване по течението </w:t>
      </w:r>
    </w:p>
    <w:p w14:paraId="0D07E01B" w14:textId="77777777" w:rsidR="00271FA2" w:rsidRPr="004224F6" w:rsidRDefault="00D35E51">
      <w:pPr>
        <w:overflowPunct w:val="0"/>
        <w:adjustRightInd w:val="0"/>
        <w:spacing w:line="240" w:lineRule="atLeast"/>
        <w:ind w:left="567"/>
        <w:textAlignment w:val="baseline"/>
        <w:rPr>
          <w:rFonts w:ascii="Times New Roman" w:hAnsi="Times New Roman" w:cs="Times New Roman"/>
        </w:rPr>
      </w:pPr>
      <w:r w:rsidRPr="004224F6">
        <w:rPr>
          <w:rFonts w:ascii="Times New Roman" w:hAnsi="Times New Roman" w:cs="Times New Roman"/>
        </w:rPr>
        <w:t>съгласно формула (2.1) от Приложение 2</w:t>
      </w:r>
    </w:p>
    <w:p w14:paraId="022D22E3" w14:textId="77777777" w:rsidR="00271FA2" w:rsidRPr="004224F6" w:rsidRDefault="002C62EC">
      <w:pPr>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NORM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r>
            <w:rPr>
              <w:rFonts w:ascii="Cambria Math" w:hAnsi="Cambria Math" w:cs="Times New Roman"/>
            </w:rPr>
            <m:t xml:space="preserve"> ∙ </m:t>
          </m:r>
          <m:f>
            <m:fPr>
              <m:ctrlPr>
                <w:rPr>
                  <w:rFonts w:ascii="Cambria Math" w:hAnsi="Cambria Math" w:cs="Times New Roman"/>
                  <w:i/>
                </w:rPr>
              </m:ctrlPr>
            </m:fPr>
            <m:num>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e>
                <m:sub>
                  <m:r>
                    <w:rPr>
                      <w:rFonts w:ascii="Cambria Math" w:hAnsi="Cambria Math" w:cs="Times New Roman"/>
                    </w:rPr>
                    <m:t>SOLL</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den>
          </m:f>
          <m:r>
            <w:rPr>
              <w:rFonts w:ascii="Cambria Math" w:hAnsi="Cambria Math" w:cs="Times New Roman"/>
            </w:rPr>
            <m:t>=550 m</m:t>
          </m:r>
        </m:oMath>
      </m:oMathPara>
    </w:p>
    <w:p w14:paraId="189FFEFD" w14:textId="77777777" w:rsidR="00271FA2" w:rsidRPr="004224F6" w:rsidRDefault="00D35E51">
      <w:pPr>
        <w:overflowPunct w:val="0"/>
        <w:adjustRightInd w:val="0"/>
        <w:spacing w:line="240" w:lineRule="atLeast"/>
        <w:ind w:left="567"/>
        <w:textAlignment w:val="baseline"/>
        <w:rPr>
          <w:rFonts w:ascii="Times New Roman" w:hAnsi="Times New Roman" w:cs="Times New Roman"/>
        </w:rPr>
      </w:pPr>
      <w:r w:rsidRPr="004224F6">
        <w:rPr>
          <w:rFonts w:ascii="Times New Roman" w:hAnsi="Times New Roman" w:cs="Times New Roman"/>
        </w:rPr>
        <w:t>Поради това:</w:t>
      </w:r>
    </w:p>
    <w:p w14:paraId="4D05DCF2" w14:textId="77777777" w:rsidR="00271FA2" w:rsidRPr="004224F6" w:rsidRDefault="002C62EC">
      <w:pPr>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e>
            <m:sub>
              <m:r>
                <w:rPr>
                  <w:rFonts w:ascii="Cambria Math" w:hAnsi="Cambria Math" w:cs="Times New Roman"/>
                </w:rPr>
                <m:t>SOLL</m:t>
              </m:r>
            </m:sub>
          </m:sSub>
          <m:r>
            <w:rPr>
              <w:rFonts w:ascii="Cambria Math" w:hAnsi="Cambria Math" w:cs="Times New Roman"/>
            </w:rPr>
            <m:t xml:space="preserve">=550  ∙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IST</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MESSUNG</m:t>
                  </m:r>
                </m:sub>
              </m:sSub>
            </m:den>
          </m:f>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s</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SOLL</m:t>
                  </m:r>
                </m:sub>
              </m:sSub>
            </m:sub>
          </m:sSub>
          <m:r>
            <w:rPr>
              <w:rFonts w:ascii="Cambria Math" w:hAnsi="Cambria Math" w:cs="Times New Roman"/>
            </w:rPr>
            <m:t xml:space="preserve">+ </m:t>
          </m:r>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oMath>
      </m:oMathPara>
    </w:p>
    <w:p w14:paraId="74FA00C2" w14:textId="77777777" w:rsidR="00271FA2" w:rsidRPr="004224F6" w:rsidRDefault="002C62EC">
      <w:pPr>
        <w:tabs>
          <w:tab w:val="left" w:pos="567"/>
        </w:tabs>
        <w:overflowPunct w:val="0"/>
        <w:adjustRightInd w:val="0"/>
        <w:spacing w:line="240" w:lineRule="atLeast"/>
        <w:ind w:left="567"/>
        <w:textAlignment w:val="baseline"/>
        <w:rPr>
          <w:rFonts w:ascii="Times New Roman" w:hAnsi="Times New Roman" w:cs="Times New Roman"/>
        </w:rPr>
      </w:pPr>
      <m:oMathPara>
        <m:oMathParaPr>
          <m:jc m:val="left"/>
        </m:oMathParaP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e>
            <m:sub>
              <m:sSub>
                <m:sSubPr>
                  <m:ctrlPr>
                    <w:rPr>
                      <w:rFonts w:ascii="Cambria Math" w:hAnsi="Cambria Math" w:cs="Times New Roman"/>
                      <w:i/>
                    </w:rPr>
                  </m:ctrlPr>
                </m:sSubPr>
                <m:e>
                  <m:r>
                    <w:rPr>
                      <w:rFonts w:ascii="Cambria Math" w:hAnsi="Cambria Math" w:cs="Times New Roman"/>
                    </w:rPr>
                    <m:t>II</m:t>
                  </m:r>
                </m:e>
                <m:sub>
                  <m:r>
                    <w:rPr>
                      <w:rFonts w:ascii="Cambria Math" w:hAnsi="Cambria Math" w:cs="Times New Roman"/>
                    </w:rPr>
                    <m:t>SOLL</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Const</m:t>
              </m:r>
            </m:e>
            <m:sub>
              <m:r>
                <w:rPr>
                  <w:rFonts w:ascii="Cambria Math" w:hAnsi="Cambria Math" w:cs="Times New Roman"/>
                </w:rPr>
                <m:t>SOLL</m:t>
              </m:r>
            </m:sub>
          </m:sSub>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t>
              </m:r>
            </m:sup>
          </m:sSup>
          <m:r>
            <w:rPr>
              <w:rFonts w:ascii="Cambria Math" w:hAnsi="Cambria Math" w:cs="Times New Roman"/>
            </w:rPr>
            <m:t xml:space="preserve">=0,04684 ∙ </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t>
              </m:r>
            </m:sup>
          </m:sSup>
        </m:oMath>
      </m:oMathPara>
    </w:p>
    <w:p w14:paraId="35FC124E" w14:textId="77777777" w:rsidR="00271FA2" w:rsidRPr="004224F6" w:rsidRDefault="002C62EC">
      <w:pPr>
        <w:tabs>
          <w:tab w:val="left" w:pos="567"/>
        </w:tabs>
        <w:overflowPunct w:val="0"/>
        <w:adjustRightInd w:val="0"/>
        <w:spacing w:line="240" w:lineRule="atLeast"/>
        <w:ind w:left="567"/>
        <w:textAlignment w:val="baseline"/>
        <w:rPr>
          <w:rFonts w:ascii="Times New Roman" w:hAnsi="Times New Roman" w:cs="Times New Roman"/>
        </w:rPr>
      </w:pPr>
      <m:oMathPara>
        <m:oMathParaPr>
          <m:jc m:val="left"/>
        </m:oMathParaPr>
        <m:oMath>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t>
              </m:r>
            </m:sup>
          </m:sSup>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 xml:space="preserve">550 ∙ </m:t>
              </m:r>
              <m:f>
                <m:fPr>
                  <m:ctrlPr>
                    <w:rPr>
                      <w:rFonts w:ascii="Cambria Math" w:hAnsi="Cambria Math" w:cs="Times New Roman"/>
                      <w:i/>
                    </w:rPr>
                  </m:ctrlPr>
                </m:fPr>
                <m:num>
                  <m:r>
                    <w:rPr>
                      <w:rFonts w:ascii="Cambria Math" w:hAnsi="Cambria Math" w:cs="Times New Roman"/>
                    </w:rPr>
                    <m:t>475</m:t>
                  </m:r>
                </m:num>
                <m:den>
                  <m:r>
                    <w:rPr>
                      <w:rFonts w:ascii="Cambria Math" w:hAnsi="Cambria Math" w:cs="Times New Roman"/>
                    </w:rPr>
                    <m:t>580</m:t>
                  </m:r>
                </m:den>
              </m:f>
              <m:r>
                <w:rPr>
                  <w:rFonts w:ascii="Cambria Math" w:hAnsi="Cambria Math" w:cs="Times New Roman"/>
                </w:rPr>
                <m:t>-77,5</m:t>
              </m:r>
            </m:num>
            <m:den>
              <m:r>
                <w:rPr>
                  <w:rFonts w:ascii="Cambria Math" w:hAnsi="Cambria Math" w:cs="Times New Roman"/>
                </w:rPr>
                <m:t>0,04684</m:t>
              </m:r>
            </m:den>
          </m:f>
          <m:r>
            <w:rPr>
              <w:rFonts w:ascii="Cambria Math" w:hAnsi="Cambria Math" w:cs="Times New Roman"/>
            </w:rPr>
            <m:t xml:space="preserve">=7950 </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3</m:t>
                  </m:r>
                </m:sup>
              </m:sSup>
            </m:e>
          </m:d>
        </m:oMath>
      </m:oMathPara>
    </w:p>
    <w:p w14:paraId="22570FAE" w14:textId="77777777" w:rsidR="00271FA2" w:rsidRPr="004224F6" w:rsidRDefault="00D35E51">
      <w:pPr>
        <w:tabs>
          <w:tab w:val="left" w:pos="284"/>
        </w:tabs>
        <w:overflowPunct w:val="0"/>
        <w:adjustRightInd w:val="0"/>
        <w:spacing w:line="240" w:lineRule="atLeast"/>
        <w:ind w:left="567"/>
        <w:textAlignment w:val="baseline"/>
        <w:rPr>
          <w:rFonts w:ascii="Times New Roman" w:hAnsi="Times New Roman" w:cs="Times New Roman"/>
          <w:b/>
          <w:lang w:val="ru-RU"/>
        </w:rPr>
      </w:pPr>
      <w:r w:rsidRPr="004224F6">
        <w:rPr>
          <w:rFonts w:ascii="Times New Roman" w:hAnsi="Times New Roman" w:cs="Times New Roman"/>
          <w:b/>
          <w:lang w:val="ru-RU"/>
        </w:rPr>
        <w:t>Следствие:</w:t>
      </w:r>
    </w:p>
    <w:p w14:paraId="01015BC9" w14:textId="77777777" w:rsidR="00271FA2" w:rsidRPr="004224F6" w:rsidRDefault="00D35E51">
      <w:pPr>
        <w:overflowPunct w:val="0"/>
        <w:adjustRightInd w:val="0"/>
        <w:spacing w:line="240" w:lineRule="atLeast"/>
        <w:ind w:left="567"/>
        <w:jc w:val="both"/>
        <w:textAlignment w:val="baseline"/>
        <w:rPr>
          <w:rFonts w:ascii="Times New Roman" w:hAnsi="Times New Roman" w:cs="Times New Roman"/>
          <w:lang w:val="ru-RU"/>
        </w:rPr>
      </w:pPr>
      <w:r w:rsidRPr="004224F6">
        <w:rPr>
          <w:rFonts w:ascii="Times New Roman" w:hAnsi="Times New Roman" w:cs="Times New Roman"/>
          <w:lang w:val="ru-RU"/>
        </w:rPr>
        <w:t xml:space="preserve">Тъй като при плаване по течението допустимото водоизместване </w:t>
      </w:r>
      <m:oMath>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lang w:val="ru-RU"/>
              </w:rPr>
              <m:t>*</m:t>
            </m:r>
          </m:sup>
        </m:sSup>
      </m:oMath>
      <w:r w:rsidRPr="004224F6">
        <w:rPr>
          <w:rFonts w:ascii="Times New Roman" w:hAnsi="Times New Roman" w:cs="Times New Roman"/>
          <w:lang w:val="ru-RU"/>
        </w:rPr>
        <w:t xml:space="preserve"> е само 7950 </w:t>
      </w:r>
      <w:r w:rsidRPr="004224F6">
        <w:rPr>
          <w:rFonts w:ascii="Times New Roman" w:hAnsi="Times New Roman" w:cs="Times New Roman"/>
        </w:rPr>
        <w:t>m</w:t>
      </w:r>
      <w:r w:rsidRPr="004224F6">
        <w:rPr>
          <w:rFonts w:ascii="Times New Roman" w:hAnsi="Times New Roman" w:cs="Times New Roman"/>
          <w:vertAlign w:val="superscript"/>
          <w:lang w:val="ru-RU"/>
        </w:rPr>
        <w:t>3</w:t>
      </w:r>
      <w:r w:rsidRPr="004224F6">
        <w:rPr>
          <w:rFonts w:ascii="Times New Roman" w:hAnsi="Times New Roman" w:cs="Times New Roman"/>
          <w:lang w:val="ru-RU"/>
        </w:rPr>
        <w:t xml:space="preserve"> (приблизително):  </w:t>
      </w:r>
    </w:p>
    <w:p w14:paraId="2C2ACBC5" w14:textId="77777777" w:rsidR="00271FA2" w:rsidRPr="004224F6" w:rsidRDefault="002C62EC">
      <w:pPr>
        <w:overflowPunct w:val="0"/>
        <w:adjustRightInd w:val="0"/>
        <w:spacing w:line="240" w:lineRule="atLeast"/>
        <w:ind w:left="567"/>
        <w:jc w:val="both"/>
        <w:textAlignment w:val="baseline"/>
        <w:rPr>
          <w:rFonts w:ascii="Times New Roman" w:hAnsi="Times New Roman" w:cs="Times New Roman"/>
        </w:rPr>
      </w:pPr>
      <m:oMathPara>
        <m:oMathParaPr>
          <m:jc m:val="center"/>
        </m:oMathParaPr>
        <m:oMath>
          <m:f>
            <m:fPr>
              <m:ctrlPr>
                <w:rPr>
                  <w:rFonts w:ascii="Cambria Math" w:hAnsi="Cambria Math" w:cs="Times New Roman"/>
                  <w:i/>
                </w:rPr>
              </m:ctrlPr>
            </m:fPr>
            <m:num>
              <m:r>
                <w:rPr>
                  <w:rFonts w:ascii="Cambria Math" w:hAnsi="Cambria Math" w:cs="Times New Roman"/>
                </w:rPr>
                <m:t>zul.  Tgf</m:t>
              </m:r>
            </m:num>
            <m:den>
              <m:func>
                <m:funcPr>
                  <m:ctrlPr>
                    <w:rPr>
                      <w:rFonts w:ascii="Cambria Math" w:hAnsi="Cambria Math" w:cs="Times New Roman"/>
                      <w:i/>
                    </w:rPr>
                  </m:ctrlPr>
                </m:funcPr>
                <m:fName>
                  <m:r>
                    <m:rPr>
                      <m:sty m:val="p"/>
                    </m:rPr>
                    <w:rPr>
                      <w:rFonts w:ascii="Cambria Math" w:hAnsi="Cambria Math" w:cs="Times New Roman"/>
                    </w:rPr>
                    <m:t>max</m:t>
                  </m:r>
                </m:fName>
                <m:e>
                  <m:r>
                    <w:rPr>
                      <w:rFonts w:ascii="Cambria Math" w:hAnsi="Cambria Math" w:cs="Times New Roman"/>
                    </w:rPr>
                    <m:t>.  Tgf</m:t>
                  </m:r>
                </m:e>
              </m:func>
            </m:den>
          </m:f>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m:t>
                  </m:r>
                </m:sup>
              </m:sSup>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max</m:t>
                  </m:r>
                </m:sub>
              </m:sSub>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7950</m:t>
              </m:r>
            </m:num>
            <m:den>
              <m:r>
                <w:rPr>
                  <w:rFonts w:ascii="Cambria Math" w:hAnsi="Cambria Math" w:cs="Times New Roman"/>
                </w:rPr>
                <m:t>11960</m:t>
              </m:r>
            </m:den>
          </m:f>
          <m:r>
            <w:rPr>
              <w:rFonts w:ascii="Cambria Math" w:hAnsi="Cambria Math" w:cs="Times New Roman"/>
            </w:rPr>
            <m:t>=0,66</m:t>
          </m:r>
        </m:oMath>
      </m:oMathPara>
    </w:p>
    <w:p w14:paraId="00D7FC52" w14:textId="77777777" w:rsidR="00271FA2" w:rsidRPr="004224F6" w:rsidRDefault="00D35E51">
      <w:pPr>
        <w:tabs>
          <w:tab w:val="left" w:pos="284"/>
        </w:tabs>
        <w:overflowPunct w:val="0"/>
        <w:adjustRightInd w:val="0"/>
        <w:spacing w:line="240" w:lineRule="atLeast"/>
        <w:ind w:left="567"/>
        <w:textAlignment w:val="baseline"/>
        <w:rPr>
          <w:rFonts w:ascii="Times New Roman" w:hAnsi="Times New Roman" w:cs="Times New Roman"/>
          <w:lang w:val="ru-RU"/>
        </w:rPr>
      </w:pPr>
      <w:r w:rsidRPr="004224F6">
        <w:rPr>
          <w:rFonts w:ascii="Times New Roman" w:hAnsi="Times New Roman" w:cs="Times New Roman"/>
          <w:lang w:val="ru-RU"/>
        </w:rPr>
        <w:lastRenderedPageBreak/>
        <w:t>Допустима товароподемност за това формирование е (вж. точка 1):</w:t>
      </w:r>
    </w:p>
    <w:p w14:paraId="78F773CB" w14:textId="77777777" w:rsidR="00271FA2" w:rsidRPr="004224F6" w:rsidRDefault="00D35E51">
      <w:pPr>
        <w:tabs>
          <w:tab w:val="left" w:pos="284"/>
        </w:tabs>
        <w:overflowPunct w:val="0"/>
        <w:adjustRightInd w:val="0"/>
        <w:spacing w:line="240" w:lineRule="atLeast"/>
        <w:ind w:left="567"/>
        <w:textAlignment w:val="baseline"/>
        <w:rPr>
          <w:rFonts w:ascii="Times New Roman" w:hAnsi="Times New Roman" w:cs="Times New Roman"/>
        </w:rPr>
      </w:pPr>
      <m:oMathPara>
        <m:oMathParaPr>
          <m:jc m:val="left"/>
        </m:oMathParaPr>
        <m:oMath>
          <m:r>
            <w:rPr>
              <w:rFonts w:ascii="Cambria Math" w:hAnsi="Cambria Math" w:cs="Times New Roman"/>
            </w:rPr>
            <m:t>0,66 ∙10700=</m:t>
          </m:r>
          <m:r>
            <m:rPr>
              <m:sty m:val="bi"/>
            </m:rPr>
            <w:rPr>
              <w:rFonts w:ascii="Cambria Math" w:hAnsi="Cambria Math" w:cs="Times New Roman"/>
            </w:rPr>
            <m:t>7112 t</m:t>
          </m:r>
        </m:oMath>
      </m:oMathPara>
    </w:p>
    <w:p w14:paraId="48223C6E" w14:textId="77777777" w:rsidR="00271FA2" w:rsidRPr="004224F6" w:rsidRDefault="00271FA2">
      <w:pPr>
        <w:spacing w:line="240" w:lineRule="atLeast"/>
        <w:ind w:left="567" w:hanging="567"/>
        <w:rPr>
          <w:rFonts w:ascii="Times New Roman" w:hAnsi="Times New Roman" w:cs="Times New Roman"/>
        </w:rPr>
      </w:pPr>
    </w:p>
    <w:p w14:paraId="6475112A" w14:textId="77777777" w:rsidR="00271FA2" w:rsidRPr="004224F6" w:rsidRDefault="00271FA2">
      <w:pPr>
        <w:spacing w:line="240" w:lineRule="atLeast"/>
        <w:ind w:left="567" w:hanging="567"/>
        <w:rPr>
          <w:rFonts w:ascii="Times New Roman" w:hAnsi="Times New Roman" w:cs="Times New Roman"/>
        </w:rPr>
        <w:sectPr w:rsidR="00271FA2" w:rsidRPr="004224F6" w:rsidSect="004224F6">
          <w:headerReference w:type="default" r:id="rId217"/>
          <w:headerReference w:type="first" r:id="rId218"/>
          <w:pgSz w:w="11907" w:h="16840"/>
          <w:pgMar w:top="1134" w:right="1134" w:bottom="1134" w:left="1134" w:header="709" w:footer="709" w:gutter="0"/>
          <w:cols w:space="720"/>
          <w:titlePg/>
          <w:docGrid w:linePitch="299"/>
        </w:sectPr>
      </w:pPr>
    </w:p>
    <w:p w14:paraId="7A2063DA" w14:textId="20006148" w:rsidR="00271FA2" w:rsidRPr="004224F6" w:rsidRDefault="00D35E51">
      <w:pPr>
        <w:pStyle w:val="ES-Titre2ESI"/>
        <w:rPr>
          <w:rFonts w:ascii="Times New Roman" w:hAnsi="Times New Roman" w:cs="Times New Roman"/>
          <w:lang w:val="ru-RU"/>
        </w:rPr>
      </w:pPr>
      <w:bookmarkStart w:id="679" w:name="_Toc535827794"/>
      <w:bookmarkStart w:id="680" w:name="_Toc491854353"/>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-4</w:t>
      </w:r>
      <w:r w:rsidRPr="004224F6">
        <w:rPr>
          <w:rFonts w:ascii="Times New Roman" w:hAnsi="Times New Roman" w:cs="Times New Roman"/>
          <w:lang w:val="ru-RU"/>
        </w:rPr>
        <w:br/>
        <w:t xml:space="preserve">Способност за отклоняване и </w:t>
      </w:r>
      <w:r w:rsidR="00640584" w:rsidRPr="004224F6">
        <w:rPr>
          <w:rFonts w:ascii="Times New Roman" w:hAnsi="Times New Roman" w:cs="Times New Roman"/>
        </w:rPr>
        <w:t xml:space="preserve">завиване </w:t>
      </w:r>
      <w:bookmarkEnd w:id="679"/>
      <w:bookmarkEnd w:id="680"/>
    </w:p>
    <w:p w14:paraId="47A39C1A" w14:textId="77777777" w:rsidR="00271FA2" w:rsidRPr="004224F6" w:rsidRDefault="00D35E51" w:rsidP="00336D1E">
      <w:pPr>
        <w:tabs>
          <w:tab w:val="center" w:pos="4666"/>
        </w:tabs>
        <w:overflowPunct w:val="0"/>
        <w:adjustRightInd w:val="0"/>
        <w:spacing w:after="240" w:line="240" w:lineRule="atLeast"/>
        <w:jc w:val="center"/>
        <w:textAlignment w:val="baseline"/>
        <w:rPr>
          <w:rFonts w:ascii="Times New Roman" w:hAnsi="Times New Roman" w:cs="Times New Roman"/>
          <w:b/>
          <w:szCs w:val="20"/>
          <w:lang w:val="ru-RU"/>
        </w:rPr>
      </w:pPr>
      <w:r w:rsidRPr="004224F6">
        <w:rPr>
          <w:rFonts w:ascii="Times New Roman" w:hAnsi="Times New Roman" w:cs="Times New Roman"/>
          <w:b/>
          <w:lang w:val="ru-RU"/>
        </w:rPr>
        <w:t>(членове 5.09 и 5.10 във връзка с членове 5.02, точка 1, 5.03, точка 1, 5.04 и 21.06)</w:t>
      </w:r>
    </w:p>
    <w:p w14:paraId="6AA87FAA" w14:textId="77777777" w:rsidR="00271FA2" w:rsidRPr="004224F6" w:rsidRDefault="00D35E51">
      <w:pPr>
        <w:tabs>
          <w:tab w:val="left" w:pos="567"/>
        </w:tabs>
        <w:overflowPunct w:val="0"/>
        <w:adjustRightInd w:val="0"/>
        <w:spacing w:line="240" w:lineRule="atLeast"/>
        <w:ind w:left="567" w:hanging="567"/>
        <w:jc w:val="both"/>
        <w:textAlignment w:val="baseline"/>
        <w:rPr>
          <w:rFonts w:ascii="Times New Roman" w:hAnsi="Times New Roman" w:cs="Times New Roman"/>
          <w:b/>
          <w:szCs w:val="20"/>
          <w:lang w:val="ru-RU"/>
        </w:rPr>
      </w:pPr>
      <w:r w:rsidRPr="004224F6">
        <w:rPr>
          <w:rFonts w:ascii="Times New Roman" w:hAnsi="Times New Roman" w:cs="Times New Roman"/>
          <w:b/>
          <w:lang w:val="ru-RU"/>
        </w:rPr>
        <w:t>1.</w:t>
      </w:r>
      <w:r w:rsidRPr="004224F6">
        <w:rPr>
          <w:rFonts w:ascii="Times New Roman" w:hAnsi="Times New Roman" w:cs="Times New Roman"/>
          <w:lang w:val="ru-RU"/>
        </w:rPr>
        <w:tab/>
      </w:r>
      <w:r w:rsidRPr="004224F6">
        <w:rPr>
          <w:rFonts w:ascii="Times New Roman" w:hAnsi="Times New Roman" w:cs="Times New Roman"/>
          <w:b/>
          <w:lang w:val="ru-RU"/>
        </w:rPr>
        <w:t>Общи условия и гранични условия, свързани с изпитването на способността за отклоняване</w:t>
      </w:r>
    </w:p>
    <w:p w14:paraId="5D367E03" w14:textId="49A0BF0D"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1.1</w:t>
      </w:r>
      <w:r w:rsidRPr="004224F6">
        <w:rPr>
          <w:rFonts w:ascii="Times New Roman" w:hAnsi="Times New Roman" w:cs="Times New Roman"/>
          <w:lang w:val="ru-RU"/>
        </w:rPr>
        <w:tab/>
        <w:t>Съгласно член 5.09 плавателните съдове и съставите трябва да могат своевременно да предприемат отклоняване и съответната способност се доказва с маневри за отклоняване на изпитвателен полигон в съответствие с член 5.03. Това се доказва чрез симулирани маневри за отклоняване ляво и дясно на борд с предписани стойности, при които за определени скорости</w:t>
      </w:r>
      <w:r w:rsidR="00414019"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на съда в отговор на завъртане на щурвала до крайно положение и след това изправянето му да се спази определен интервал от време.</w:t>
      </w:r>
    </w:p>
    <w:p w14:paraId="0E8D3074"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По време на изпитванията изискванията от раздел 2 трябва да се спазват, като се поддържа дълбочина под кила най-малко 20 % от газенето, но не по-малка от 0,50 </w:t>
      </w:r>
      <w:r w:rsidRPr="004224F6">
        <w:rPr>
          <w:rFonts w:ascii="Times New Roman" w:hAnsi="Times New Roman" w:cs="Times New Roman"/>
        </w:rPr>
        <w:t>m</w:t>
      </w:r>
      <w:r w:rsidRPr="004224F6">
        <w:rPr>
          <w:rFonts w:ascii="Times New Roman" w:hAnsi="Times New Roman" w:cs="Times New Roman"/>
          <w:lang w:val="ru-RU"/>
        </w:rPr>
        <w:t>.</w:t>
      </w:r>
    </w:p>
    <w:p w14:paraId="5988932D" w14:textId="77777777" w:rsidR="00271FA2" w:rsidRPr="004224F6" w:rsidRDefault="00D35E51">
      <w:pPr>
        <w:tabs>
          <w:tab w:val="left" w:pos="567"/>
        </w:tabs>
        <w:overflowPunct w:val="0"/>
        <w:adjustRightInd w:val="0"/>
        <w:spacing w:line="240" w:lineRule="atLeast"/>
        <w:ind w:left="567" w:hanging="567"/>
        <w:jc w:val="both"/>
        <w:textAlignment w:val="baseline"/>
        <w:rPr>
          <w:rFonts w:ascii="Times New Roman" w:hAnsi="Times New Roman" w:cs="Times New Roman"/>
          <w:b/>
          <w:szCs w:val="20"/>
          <w:lang w:val="ru-RU"/>
        </w:rPr>
      </w:pPr>
      <w:r w:rsidRPr="004224F6">
        <w:rPr>
          <w:rFonts w:ascii="Times New Roman" w:hAnsi="Times New Roman" w:cs="Times New Roman"/>
          <w:b/>
          <w:lang w:val="ru-RU"/>
        </w:rPr>
        <w:t>2.</w:t>
      </w:r>
      <w:r w:rsidRPr="004224F6">
        <w:rPr>
          <w:rFonts w:ascii="Times New Roman" w:hAnsi="Times New Roman" w:cs="Times New Roman"/>
          <w:lang w:val="ru-RU"/>
        </w:rPr>
        <w:tab/>
      </w:r>
      <w:r w:rsidRPr="004224F6">
        <w:rPr>
          <w:rFonts w:ascii="Times New Roman" w:hAnsi="Times New Roman" w:cs="Times New Roman"/>
          <w:b/>
          <w:lang w:val="ru-RU"/>
        </w:rPr>
        <w:t>Процедура за изпитването на способността за отклоняване и записване на данните</w:t>
      </w:r>
    </w:p>
    <w:p w14:paraId="678318A9"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(Диаграма в Приложение</w:t>
      </w:r>
      <w:r w:rsidRPr="004224F6">
        <w:rPr>
          <w:rFonts w:ascii="Times New Roman" w:hAnsi="Times New Roman" w:cs="Times New Roman"/>
        </w:rPr>
        <w:t> </w:t>
      </w:r>
      <w:r w:rsidRPr="004224F6">
        <w:rPr>
          <w:rFonts w:ascii="Times New Roman" w:hAnsi="Times New Roman" w:cs="Times New Roman"/>
          <w:lang w:val="ru-RU"/>
        </w:rPr>
        <w:t>1)</w:t>
      </w:r>
    </w:p>
    <w:p w14:paraId="2B55FA24" w14:textId="77777777" w:rsidR="00271FA2" w:rsidRPr="004224F6" w:rsidRDefault="00D35E51">
      <w:pPr>
        <w:tabs>
          <w:tab w:val="left" w:pos="567"/>
        </w:tabs>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2.1</w:t>
      </w:r>
      <w:r w:rsidRPr="004224F6">
        <w:rPr>
          <w:rFonts w:ascii="Times New Roman" w:hAnsi="Times New Roman" w:cs="Times New Roman"/>
          <w:lang w:val="ru-RU"/>
        </w:rPr>
        <w:tab/>
        <w:t>Маневрите за отклоняване се извършват както следва:</w:t>
      </w:r>
    </w:p>
    <w:p w14:paraId="1C69FC64" w14:textId="3D9D105B" w:rsidR="00271FA2" w:rsidRPr="004224F6" w:rsidRDefault="00D35E51">
      <w:pPr>
        <w:tabs>
          <w:tab w:val="left" w:pos="567"/>
        </w:tabs>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ab/>
        <w:t xml:space="preserve">В началото на маневрата (време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0</m:t>
            </m:r>
          </m:sub>
        </m:sSub>
      </m:oMath>
      <w:r w:rsidRPr="004224F6">
        <w:rPr>
          <w:rFonts w:ascii="Times New Roman" w:hAnsi="Times New Roman" w:cs="Times New Roman"/>
          <w:lang w:val="ru-RU"/>
        </w:rPr>
        <w:t xml:space="preserve"> = 0</w:t>
      </w:r>
      <w:r w:rsidRPr="004224F6">
        <w:rPr>
          <w:rFonts w:ascii="Times New Roman" w:hAnsi="Times New Roman" w:cs="Times New Roman"/>
        </w:rPr>
        <w:t>s</w:t>
      </w:r>
      <w:r w:rsidRPr="004224F6">
        <w:rPr>
          <w:rFonts w:ascii="Times New Roman" w:hAnsi="Times New Roman" w:cs="Times New Roman"/>
          <w:lang w:val="ru-RU"/>
        </w:rPr>
        <w:t>, ъглова скорост</w:t>
      </w:r>
      <w:r w:rsidR="00717A18"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w:t>
      </w:r>
      <m:oMath>
        <m:r>
          <w:rPr>
            <w:rFonts w:ascii="Cambria Math" w:hAnsi="Cambria Math" w:cs="Times New Roman"/>
            <w:szCs w:val="20"/>
          </w:rPr>
          <m:t>r</m:t>
        </m:r>
      </m:oMath>
      <w:r w:rsidRPr="004224F6">
        <w:rPr>
          <w:rFonts w:ascii="Times New Roman" w:hAnsi="Times New Roman" w:cs="Times New Roman"/>
          <w:lang w:val="ru-RU"/>
        </w:rPr>
        <w:t xml:space="preserve"> = 0°/</w:t>
      </w:r>
      <w:r w:rsidRPr="004224F6">
        <w:rPr>
          <w:rFonts w:ascii="Times New Roman" w:hAnsi="Times New Roman" w:cs="Times New Roman"/>
        </w:rPr>
        <w:t>min</w:t>
      </w:r>
      <w:r w:rsidRPr="004224F6">
        <w:rPr>
          <w:rFonts w:ascii="Times New Roman" w:hAnsi="Times New Roman" w:cs="Times New Roman"/>
          <w:lang w:val="ru-RU"/>
        </w:rPr>
        <w:t xml:space="preserve">, ъгъл на руля </w:t>
      </w:r>
      <m:oMath>
        <m:sSub>
          <m:sSubPr>
            <m:ctrlPr>
              <w:rPr>
                <w:rFonts w:ascii="Cambria Math" w:hAnsi="Cambria Math" w:cs="Times New Roman"/>
                <w:i/>
                <w:szCs w:val="20"/>
              </w:rPr>
            </m:ctrlPr>
          </m:sSubPr>
          <m:e>
            <m:r>
              <w:rPr>
                <w:rFonts w:ascii="Cambria Math" w:hAnsi="Cambria Math" w:cs="Times New Roman"/>
                <w:szCs w:val="20"/>
              </w:rPr>
              <m:t>δ</m:t>
            </m:r>
          </m:e>
          <m:sub>
            <m:r>
              <w:rPr>
                <w:rFonts w:ascii="Cambria Math" w:hAnsi="Cambria Math" w:cs="Times New Roman"/>
                <w:szCs w:val="20"/>
                <w:lang w:val="ru-RU"/>
              </w:rPr>
              <m:t>0</m:t>
            </m:r>
          </m:sub>
        </m:sSub>
      </m:oMath>
      <w:r w:rsidRPr="004224F6">
        <w:rPr>
          <w:rFonts w:ascii="Times New Roman" w:hAnsi="Times New Roman" w:cs="Times New Roman"/>
          <w:lang w:val="ru-RU"/>
        </w:rPr>
        <w:t xml:space="preserve"> = 0°, обороти на двигателя, поддържани постоянни) плавателният съд или съставът се движи с постоянна скорост от </w:t>
      </w:r>
      <m:oMath>
        <m:r>
          <w:rPr>
            <w:rFonts w:ascii="Cambria Math" w:hAnsi="Cambria Math" w:cs="Times New Roman"/>
            <w:szCs w:val="20"/>
          </w:rPr>
          <m:t>V</m:t>
        </m:r>
        <m:r>
          <w:rPr>
            <w:rFonts w:ascii="Cambria Math" w:hAnsi="Cambria Math" w:cs="Times New Roman"/>
            <w:szCs w:val="20"/>
            <w:vertAlign w:val="subscript"/>
          </w:rPr>
          <m:t>o</m:t>
        </m:r>
      </m:oMath>
      <w:r w:rsidRPr="004224F6">
        <w:rPr>
          <w:rFonts w:ascii="Times New Roman" w:hAnsi="Times New Roman" w:cs="Times New Roman"/>
          <w:lang w:val="ru-RU"/>
        </w:rPr>
        <w:t xml:space="preserve"> = 13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 xml:space="preserve"> спрямо водата, като трябва да започне действие за отклоняване ляво или дясно на борд чрез завъртане на щурвала до крайно положение. В началото на маневрата рулят трябва да се завърти на ъгъл </w:t>
      </w:r>
      <m:oMath>
        <m:r>
          <w:rPr>
            <w:rFonts w:ascii="Cambria Math" w:hAnsi="Cambria Math" w:cs="Times New Roman"/>
            <w:szCs w:val="20"/>
          </w:rPr>
          <m:t>δ</m:t>
        </m:r>
      </m:oMath>
      <w:r w:rsidRPr="004224F6">
        <w:rPr>
          <w:rFonts w:ascii="Times New Roman" w:hAnsi="Times New Roman" w:cs="Times New Roman"/>
          <w:lang w:val="ru-RU"/>
        </w:rPr>
        <w:t xml:space="preserve"> или рулевото устройство — на ъгъл </w:t>
      </w:r>
      <m:oMath>
        <m:sSub>
          <m:sSubPr>
            <m:ctrlPr>
              <w:rPr>
                <w:rFonts w:ascii="Cambria Math" w:hAnsi="Cambria Math" w:cs="Times New Roman"/>
                <w:i/>
                <w:szCs w:val="20"/>
              </w:rPr>
            </m:ctrlPr>
          </m:sSubPr>
          <m:e>
            <m:r>
              <w:rPr>
                <w:rFonts w:ascii="Cambria Math" w:hAnsi="Cambria Math" w:cs="Times New Roman"/>
                <w:szCs w:val="20"/>
              </w:rPr>
              <m:t>δ</m:t>
            </m:r>
          </m:e>
          <m:sub>
            <m:r>
              <w:rPr>
                <w:rFonts w:ascii="Cambria Math" w:hAnsi="Cambria Math" w:cs="Times New Roman"/>
                <w:szCs w:val="20"/>
              </w:rPr>
              <m:t>a</m:t>
            </m:r>
          </m:sub>
        </m:sSub>
      </m:oMath>
      <w:r w:rsidRPr="004224F6">
        <w:rPr>
          <w:rFonts w:ascii="Times New Roman" w:hAnsi="Times New Roman" w:cs="Times New Roman"/>
          <w:lang w:val="ru-RU"/>
        </w:rPr>
        <w:t xml:space="preserve"> в случай на активно рулево устройство, в съответствие с указанията, дадени в точка 2.3. Ъгълът </w:t>
      </w:r>
      <m:oMath>
        <m:r>
          <w:rPr>
            <w:rFonts w:ascii="Cambria Math" w:hAnsi="Cambria Math" w:cs="Times New Roman"/>
            <w:szCs w:val="20"/>
          </w:rPr>
          <m:t>δ</m:t>
        </m:r>
      </m:oMath>
      <w:r w:rsidRPr="004224F6">
        <w:rPr>
          <w:rFonts w:ascii="Times New Roman" w:hAnsi="Times New Roman" w:cs="Times New Roman"/>
          <w:lang w:val="ru-RU"/>
        </w:rPr>
        <w:t xml:space="preserve"> на руля (примерно 20° към десния борд) се поддържа, докато се достигне стойността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1</m:t>
            </m:r>
          </m:sub>
        </m:sSub>
      </m:oMath>
      <w:r w:rsidRPr="004224F6">
        <w:rPr>
          <w:rFonts w:ascii="Times New Roman" w:hAnsi="Times New Roman" w:cs="Times New Roman"/>
          <w:lang w:val="ru-RU"/>
        </w:rPr>
        <w:t xml:space="preserve"> на скоростта</w:t>
      </w:r>
      <w:r w:rsidR="00717A18"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посочена в точка 2.2, съответстваща на размерите на плавателния съд или състава. Когато се достигне скорост</w:t>
      </w:r>
      <w:r w:rsidR="00717A18"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1</m:t>
            </m:r>
          </m:sub>
        </m:sSub>
      </m:oMath>
      <w:r w:rsidRPr="004224F6">
        <w:rPr>
          <w:rFonts w:ascii="Times New Roman" w:hAnsi="Times New Roman" w:cs="Times New Roman"/>
          <w:lang w:val="ru-RU"/>
        </w:rPr>
        <w:t xml:space="preserve">, времето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1</m:t>
            </m:r>
          </m:sub>
        </m:sSub>
      </m:oMath>
      <w:r w:rsidRPr="004224F6">
        <w:rPr>
          <w:rFonts w:ascii="Times New Roman" w:hAnsi="Times New Roman" w:cs="Times New Roman"/>
          <w:lang w:val="ru-RU"/>
        </w:rPr>
        <w:t xml:space="preserve"> се записва и рулят се завърта на същия ъгъл на противоположната страна (напр. 20° към левия борд), така че да се спре </w:t>
      </w:r>
      <w:r w:rsidR="00A5006F" w:rsidRPr="004224F6">
        <w:rPr>
          <w:rFonts w:ascii="Times New Roman" w:hAnsi="Times New Roman" w:cs="Times New Roman"/>
        </w:rPr>
        <w:t xml:space="preserve"> завиването</w:t>
      </w:r>
      <w:r w:rsidR="00A5006F" w:rsidRPr="004224F6">
        <w:rPr>
          <w:rFonts w:ascii="Times New Roman" w:hAnsi="Times New Roman" w:cs="Times New Roman"/>
          <w:lang w:val="ru-RU"/>
        </w:rPr>
        <w:t xml:space="preserve"> </w:t>
      </w:r>
      <w:r w:rsidRPr="004224F6">
        <w:rPr>
          <w:rFonts w:ascii="Times New Roman" w:hAnsi="Times New Roman" w:cs="Times New Roman"/>
          <w:lang w:val="ru-RU"/>
        </w:rPr>
        <w:t xml:space="preserve">и да се започне </w:t>
      </w:r>
      <w:r w:rsidR="00A5006F" w:rsidRPr="004224F6">
        <w:rPr>
          <w:rFonts w:ascii="Times New Roman" w:hAnsi="Times New Roman" w:cs="Times New Roman"/>
        </w:rPr>
        <w:t xml:space="preserve"> завиване</w:t>
      </w:r>
      <w:r w:rsidR="00A5006F" w:rsidRPr="004224F6">
        <w:rPr>
          <w:rFonts w:ascii="Times New Roman" w:hAnsi="Times New Roman" w:cs="Times New Roman"/>
          <w:lang w:val="ru-RU"/>
        </w:rPr>
        <w:t xml:space="preserve"> </w:t>
      </w:r>
      <w:r w:rsidRPr="004224F6">
        <w:rPr>
          <w:rFonts w:ascii="Times New Roman" w:hAnsi="Times New Roman" w:cs="Times New Roman"/>
          <w:lang w:val="ru-RU"/>
        </w:rPr>
        <w:t>в обратната посока, т.е. да се намали скоростта</w:t>
      </w:r>
      <w:r w:rsidR="00717A18"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до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2</m:t>
            </m:r>
          </m:sub>
        </m:sSub>
      </m:oMath>
      <w:r w:rsidRPr="004224F6">
        <w:rPr>
          <w:rFonts w:ascii="Times New Roman" w:hAnsi="Times New Roman" w:cs="Times New Roman"/>
          <w:lang w:val="ru-RU"/>
        </w:rPr>
        <w:t xml:space="preserve"> = 0 и отново да се повиши до стойността, посочена в точка 2.2. Когато се достигне скорост</w:t>
      </w:r>
      <w:r w:rsidR="00717A18"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2</m:t>
            </m:r>
          </m:sub>
        </m:sSub>
      </m:oMath>
      <w:r w:rsidRPr="004224F6">
        <w:rPr>
          <w:rFonts w:ascii="Times New Roman" w:hAnsi="Times New Roman" w:cs="Times New Roman"/>
          <w:lang w:val="ru-RU"/>
        </w:rPr>
        <w:t xml:space="preserve"> = 0, се записва времето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2</m:t>
            </m:r>
          </m:sub>
        </m:sSub>
      </m:oMath>
      <w:r w:rsidRPr="004224F6">
        <w:rPr>
          <w:rFonts w:ascii="Times New Roman" w:hAnsi="Times New Roman" w:cs="Times New Roman"/>
          <w:lang w:val="ru-RU"/>
        </w:rPr>
        <w:t xml:space="preserve"> . Когато се достигне скоростта</w:t>
      </w:r>
      <w:r w:rsidR="00717A18"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3</m:t>
            </m:r>
          </m:sub>
        </m:sSub>
      </m:oMath>
      <w:r w:rsidRPr="004224F6">
        <w:rPr>
          <w:rFonts w:ascii="Times New Roman" w:hAnsi="Times New Roman" w:cs="Times New Roman"/>
          <w:lang w:val="ru-RU"/>
        </w:rPr>
        <w:t xml:space="preserve">, посочена в точка 2.2, рулят се завърта в обратна посока на същия ъгъл </w:t>
      </w:r>
      <m:oMath>
        <m:r>
          <w:rPr>
            <w:rFonts w:ascii="Cambria Math" w:hAnsi="Cambria Math" w:cs="Times New Roman"/>
            <w:szCs w:val="20"/>
          </w:rPr>
          <m:t>δ</m:t>
        </m:r>
      </m:oMath>
      <w:r w:rsidRPr="004224F6">
        <w:rPr>
          <w:rFonts w:ascii="Times New Roman" w:hAnsi="Times New Roman" w:cs="Times New Roman"/>
          <w:lang w:val="ru-RU"/>
        </w:rPr>
        <w:t xml:space="preserve"> с цел </w:t>
      </w:r>
      <w:r w:rsidR="004C5642" w:rsidRPr="004224F6">
        <w:rPr>
          <w:rFonts w:ascii="Times New Roman" w:hAnsi="Times New Roman" w:cs="Times New Roman"/>
        </w:rPr>
        <w:t xml:space="preserve"> завиването </w:t>
      </w:r>
      <w:r w:rsidR="004C5642" w:rsidRPr="004224F6">
        <w:rPr>
          <w:rFonts w:ascii="Times New Roman" w:hAnsi="Times New Roman" w:cs="Times New Roman"/>
          <w:lang w:val="ru-RU"/>
        </w:rPr>
        <w:t xml:space="preserve"> </w:t>
      </w:r>
      <w:r w:rsidRPr="004224F6">
        <w:rPr>
          <w:rFonts w:ascii="Times New Roman" w:hAnsi="Times New Roman" w:cs="Times New Roman"/>
          <w:lang w:val="ru-RU"/>
        </w:rPr>
        <w:t xml:space="preserve">да спре.  Записва се времето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3</m:t>
            </m:r>
          </m:sub>
        </m:sSub>
      </m:oMath>
      <w:r w:rsidRPr="004224F6">
        <w:rPr>
          <w:rFonts w:ascii="Times New Roman" w:hAnsi="Times New Roman" w:cs="Times New Roman"/>
          <w:lang w:val="ru-RU"/>
        </w:rPr>
        <w:t xml:space="preserve"> . Когато се достигне скорост</w:t>
      </w:r>
      <w:r w:rsidR="00717A18"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4</m:t>
            </m:r>
          </m:sub>
        </m:sSub>
      </m:oMath>
      <w:r w:rsidRPr="004224F6">
        <w:rPr>
          <w:rFonts w:ascii="Times New Roman" w:hAnsi="Times New Roman" w:cs="Times New Roman"/>
          <w:lang w:val="ru-RU"/>
        </w:rPr>
        <w:t xml:space="preserve"> = 0, се записва времето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4</m:t>
            </m:r>
          </m:sub>
        </m:sSub>
      </m:oMath>
      <w:r w:rsidRPr="004224F6">
        <w:rPr>
          <w:rFonts w:ascii="Times New Roman" w:hAnsi="Times New Roman" w:cs="Times New Roman"/>
          <w:lang w:val="ru-RU"/>
        </w:rPr>
        <w:t xml:space="preserve"> и съдът или съставът се връща към първоначалния си курс.</w:t>
      </w:r>
    </w:p>
    <w:p w14:paraId="29043C7B" w14:textId="4D8940E9" w:rsidR="00271FA2" w:rsidRPr="004224F6" w:rsidRDefault="00D35E51">
      <w:pPr>
        <w:tabs>
          <w:tab w:val="left" w:pos="567"/>
        </w:tabs>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2.2</w:t>
      </w:r>
      <w:r w:rsidRPr="004224F6">
        <w:rPr>
          <w:rFonts w:ascii="Times New Roman" w:hAnsi="Times New Roman" w:cs="Times New Roman"/>
          <w:lang w:val="ru-RU"/>
        </w:rPr>
        <w:tab/>
        <w:t xml:space="preserve">В зависимост от размерите на плавателните съдове или съставите и от дълбочината </w:t>
      </w:r>
      <m:oMath>
        <m:r>
          <w:rPr>
            <w:rFonts w:ascii="Cambria Math" w:hAnsi="Cambria Math" w:cs="Times New Roman"/>
            <w:szCs w:val="20"/>
            <w:lang w:val="ru-RU"/>
          </w:rPr>
          <m:t>h</m:t>
        </m:r>
      </m:oMath>
      <w:r w:rsidRPr="004224F6">
        <w:rPr>
          <w:rFonts w:ascii="Times New Roman" w:hAnsi="Times New Roman" w:cs="Times New Roman"/>
          <w:lang w:val="ru-RU"/>
        </w:rPr>
        <w:t xml:space="preserve"> на водата трябва да се спазват следните пределни стойности за достигане на скорост</w:t>
      </w:r>
      <w:r w:rsidR="00717A18"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4</m:t>
            </m:r>
          </m:sub>
        </m:sSub>
      </m:oMath>
      <w:r w:rsidRPr="004224F6">
        <w:rPr>
          <w:rFonts w:ascii="Times New Roman" w:hAnsi="Times New Roman" w:cs="Times New Roman"/>
          <w:lang w:val="ru-RU"/>
        </w:rPr>
        <w:t>:</w:t>
      </w:r>
    </w:p>
    <w:p w14:paraId="2290FE59" w14:textId="77777777" w:rsidR="00271FA2" w:rsidRPr="004224F6" w:rsidRDefault="00D35E51">
      <w:pPr>
        <w:spacing w:line="240" w:lineRule="atLeast"/>
        <w:rPr>
          <w:rFonts w:ascii="Times New Roman" w:hAnsi="Times New Roman" w:cs="Times New Roman"/>
          <w:szCs w:val="20"/>
          <w:lang w:val="ru-RU"/>
        </w:rPr>
      </w:pPr>
      <w:r w:rsidRPr="004224F6">
        <w:rPr>
          <w:rFonts w:ascii="Times New Roman" w:hAnsi="Times New Roman" w:cs="Times New Roman"/>
          <w:szCs w:val="20"/>
          <w:lang w:val="ru-RU"/>
        </w:rPr>
        <w:br w:type="page"/>
      </w:r>
    </w:p>
    <w:tbl>
      <w:tblPr>
        <w:tblW w:w="998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40"/>
        <w:gridCol w:w="4139"/>
        <w:gridCol w:w="964"/>
        <w:gridCol w:w="964"/>
        <w:gridCol w:w="1191"/>
        <w:gridCol w:w="1191"/>
        <w:gridCol w:w="1191"/>
      </w:tblGrid>
      <w:tr w:rsidR="00271FA2" w:rsidRPr="004224F6" w14:paraId="11BD33FD" w14:textId="77777777">
        <w:trPr>
          <w:jc w:val="center"/>
        </w:trPr>
        <w:tc>
          <w:tcPr>
            <w:tcW w:w="340" w:type="dxa"/>
            <w:tcBorders>
              <w:top w:val="single" w:sz="6" w:space="0" w:color="auto"/>
              <w:left w:val="single" w:sz="6" w:space="0" w:color="auto"/>
              <w:bottom w:val="nil"/>
            </w:tcBorders>
            <w:vAlign w:val="center"/>
          </w:tcPr>
          <w:p w14:paraId="2F7A50A2" w14:textId="77777777" w:rsidR="00271FA2" w:rsidRPr="004224F6" w:rsidRDefault="00271FA2">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lang w:val="ru-RU"/>
              </w:rPr>
            </w:pPr>
          </w:p>
        </w:tc>
        <w:tc>
          <w:tcPr>
            <w:tcW w:w="4139" w:type="dxa"/>
            <w:tcBorders>
              <w:top w:val="single" w:sz="6" w:space="0" w:color="auto"/>
              <w:bottom w:val="nil"/>
            </w:tcBorders>
            <w:vAlign w:val="center"/>
          </w:tcPr>
          <w:p w14:paraId="02742874" w14:textId="77777777" w:rsidR="00A57CE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lang w:val="ru-RU"/>
              </w:rPr>
            </w:pPr>
            <w:r w:rsidRPr="004224F6">
              <w:rPr>
                <w:rFonts w:ascii="Times New Roman" w:hAnsi="Times New Roman" w:cs="Times New Roman"/>
                <w:sz w:val="18"/>
                <w:lang w:val="ru-RU"/>
              </w:rPr>
              <w:t>Размери на плавателните съдове или състави</w:t>
            </w:r>
          </w:p>
          <w:p w14:paraId="3D409633"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rPr>
            </w:pPr>
            <m:oMath>
              <m:r>
                <w:rPr>
                  <w:rFonts w:ascii="Cambria Math" w:hAnsi="Cambria Math" w:cs="Times New Roman"/>
                  <w:sz w:val="18"/>
                  <w:szCs w:val="20"/>
                </w:rPr>
                <m:t>L</m:t>
              </m:r>
            </m:oMath>
            <w:r w:rsidRPr="004224F6">
              <w:rPr>
                <w:rFonts w:ascii="Times New Roman" w:hAnsi="Times New Roman" w:cs="Times New Roman"/>
                <w:sz w:val="18"/>
              </w:rPr>
              <w:t xml:space="preserve"> x </w:t>
            </w:r>
            <m:oMath>
              <m:r>
                <w:rPr>
                  <w:rFonts w:ascii="Cambria Math" w:hAnsi="Cambria Math" w:cs="Times New Roman"/>
                  <w:sz w:val="18"/>
                  <w:szCs w:val="20"/>
                </w:rPr>
                <m:t>B</m:t>
              </m:r>
            </m:oMath>
          </w:p>
        </w:tc>
        <w:tc>
          <w:tcPr>
            <w:tcW w:w="1928" w:type="dxa"/>
            <w:gridSpan w:val="2"/>
            <w:tcBorders>
              <w:top w:val="single" w:sz="6" w:space="0" w:color="auto"/>
            </w:tcBorders>
            <w:vAlign w:val="center"/>
          </w:tcPr>
          <w:p w14:paraId="71CEF4E0" w14:textId="258BF9EC"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lang w:val="ru-RU"/>
              </w:rPr>
            </w:pPr>
            <w:r w:rsidRPr="004224F6">
              <w:rPr>
                <w:rFonts w:ascii="Times New Roman" w:hAnsi="Times New Roman" w:cs="Times New Roman"/>
                <w:sz w:val="18"/>
                <w:lang w:val="ru-RU"/>
              </w:rPr>
              <w:t>Изисквана скорост</w:t>
            </w:r>
            <w:r w:rsidR="0078218A" w:rsidRPr="004224F6">
              <w:rPr>
                <w:rFonts w:ascii="Times New Roman" w:hAnsi="Times New Roman" w:cs="Times New Roman"/>
                <w:sz w:val="18"/>
                <w:lang w:val="ru-RU"/>
              </w:rPr>
              <w:t>на завиване</w:t>
            </w:r>
            <w:r w:rsidRPr="004224F6">
              <w:rPr>
                <w:rFonts w:ascii="Times New Roman" w:hAnsi="Times New Roman" w:cs="Times New Roman"/>
                <w:sz w:val="18"/>
                <w:szCs w:val="20"/>
                <w:lang w:val="ru-RU"/>
              </w:rPr>
              <w:br/>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1</m:t>
                  </m:r>
                </m:sub>
              </m:sSub>
            </m:oMath>
            <w:r w:rsidRPr="004224F6">
              <w:rPr>
                <w:rFonts w:ascii="Times New Roman" w:hAnsi="Times New Roman" w:cs="Times New Roman"/>
                <w:lang w:val="ru-RU"/>
              </w:rPr>
              <w:t xml:space="preserve"> </w:t>
            </w:r>
            <w:r w:rsidRPr="004224F6">
              <w:rPr>
                <w:rFonts w:ascii="Times New Roman" w:hAnsi="Times New Roman" w:cs="Times New Roman"/>
                <w:sz w:val="18"/>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3</m:t>
                  </m:r>
                </m:sub>
              </m:sSub>
            </m:oMath>
            <w:r w:rsidRPr="004224F6">
              <w:rPr>
                <w:rFonts w:ascii="Times New Roman" w:hAnsi="Times New Roman" w:cs="Times New Roman"/>
                <w:lang w:val="ru-RU"/>
              </w:rPr>
              <w:t xml:space="preserve"> </w:t>
            </w:r>
            <w:r w:rsidRPr="004224F6">
              <w:rPr>
                <w:rFonts w:ascii="Times New Roman" w:hAnsi="Times New Roman" w:cs="Times New Roman"/>
                <w:sz w:val="18"/>
                <w:lang w:val="ru-RU"/>
              </w:rPr>
              <w:t>[°/</w:t>
            </w:r>
            <w:r w:rsidRPr="004224F6">
              <w:rPr>
                <w:rFonts w:ascii="Times New Roman" w:hAnsi="Times New Roman" w:cs="Times New Roman"/>
                <w:sz w:val="18"/>
              </w:rPr>
              <w:t>min</w:t>
            </w:r>
            <w:r w:rsidRPr="004224F6">
              <w:rPr>
                <w:rFonts w:ascii="Times New Roman" w:hAnsi="Times New Roman" w:cs="Times New Roman"/>
                <w:sz w:val="18"/>
                <w:lang w:val="ru-RU"/>
              </w:rPr>
              <w:t>]</w:t>
            </w:r>
          </w:p>
        </w:tc>
        <w:tc>
          <w:tcPr>
            <w:tcW w:w="3573" w:type="dxa"/>
            <w:gridSpan w:val="3"/>
            <w:tcBorders>
              <w:top w:val="single" w:sz="6" w:space="0" w:color="auto"/>
              <w:right w:val="single" w:sz="6" w:space="0" w:color="auto"/>
            </w:tcBorders>
            <w:vAlign w:val="center"/>
          </w:tcPr>
          <w:p w14:paraId="2B9517C2"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lang w:val="ru-RU"/>
              </w:rPr>
            </w:pPr>
            <w:r w:rsidRPr="004224F6">
              <w:rPr>
                <w:rFonts w:ascii="Times New Roman" w:hAnsi="Times New Roman" w:cs="Times New Roman"/>
                <w:sz w:val="18"/>
                <w:lang w:val="ru-RU"/>
              </w:rPr>
              <w:t xml:space="preserve">Пределни стойности за времето </w:t>
            </w:r>
            <m:oMath>
              <m:sSub>
                <m:sSubPr>
                  <m:ctrlPr>
                    <w:rPr>
                      <w:rFonts w:ascii="Cambria Math" w:hAnsi="Cambria Math" w:cs="Times New Roman"/>
                      <w:i/>
                      <w:sz w:val="18"/>
                      <w:szCs w:val="20"/>
                    </w:rPr>
                  </m:ctrlPr>
                </m:sSubPr>
                <m:e>
                  <m:r>
                    <w:rPr>
                      <w:rFonts w:ascii="Cambria Math" w:hAnsi="Cambria Math" w:cs="Times New Roman"/>
                      <w:sz w:val="18"/>
                      <w:szCs w:val="20"/>
                    </w:rPr>
                    <m:t>t</m:t>
                  </m:r>
                </m:e>
                <m:sub>
                  <m:r>
                    <w:rPr>
                      <w:rFonts w:ascii="Cambria Math" w:hAnsi="Cambria Math" w:cs="Times New Roman"/>
                      <w:sz w:val="18"/>
                      <w:szCs w:val="20"/>
                      <w:lang w:val="ru-RU"/>
                    </w:rPr>
                    <m:t>4</m:t>
                  </m:r>
                </m:sub>
              </m:sSub>
            </m:oMath>
            <w:r w:rsidRPr="004224F6">
              <w:rPr>
                <w:rFonts w:ascii="Times New Roman" w:hAnsi="Times New Roman" w:cs="Times New Roman"/>
                <w:sz w:val="18"/>
                <w:lang w:val="ru-RU"/>
              </w:rPr>
              <w:t xml:space="preserve"> (</w:t>
            </w:r>
            <w:r w:rsidRPr="004224F6">
              <w:rPr>
                <w:rFonts w:ascii="Times New Roman" w:hAnsi="Times New Roman" w:cs="Times New Roman"/>
                <w:sz w:val="18"/>
              </w:rPr>
              <w:t>s</w:t>
            </w:r>
            <w:r w:rsidRPr="004224F6">
              <w:rPr>
                <w:rFonts w:ascii="Times New Roman" w:hAnsi="Times New Roman" w:cs="Times New Roman"/>
                <w:sz w:val="18"/>
                <w:lang w:val="ru-RU"/>
              </w:rPr>
              <w:t>) в плитки и дълбоки води</w:t>
            </w:r>
          </w:p>
        </w:tc>
      </w:tr>
      <w:tr w:rsidR="00271FA2" w:rsidRPr="004224F6" w14:paraId="56CA5E86" w14:textId="77777777">
        <w:trPr>
          <w:jc w:val="center"/>
        </w:trPr>
        <w:tc>
          <w:tcPr>
            <w:tcW w:w="340" w:type="dxa"/>
            <w:tcBorders>
              <w:top w:val="nil"/>
              <w:left w:val="single" w:sz="6" w:space="0" w:color="auto"/>
              <w:bottom w:val="single" w:sz="6" w:space="0" w:color="auto"/>
            </w:tcBorders>
            <w:vAlign w:val="center"/>
          </w:tcPr>
          <w:p w14:paraId="22802177" w14:textId="77777777" w:rsidR="00271FA2" w:rsidRPr="004224F6" w:rsidRDefault="00271FA2">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Cs w:val="20"/>
                <w:lang w:val="ru-RU"/>
              </w:rPr>
            </w:pPr>
          </w:p>
        </w:tc>
        <w:tc>
          <w:tcPr>
            <w:tcW w:w="4139" w:type="dxa"/>
            <w:tcBorders>
              <w:top w:val="nil"/>
              <w:bottom w:val="single" w:sz="6" w:space="0" w:color="auto"/>
            </w:tcBorders>
            <w:vAlign w:val="center"/>
          </w:tcPr>
          <w:p w14:paraId="2890A0AF" w14:textId="77777777" w:rsidR="00271FA2" w:rsidRPr="004224F6" w:rsidRDefault="00271FA2">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Cs w:val="20"/>
                <w:lang w:val="ru-RU"/>
              </w:rPr>
            </w:pPr>
          </w:p>
        </w:tc>
        <w:tc>
          <w:tcPr>
            <w:tcW w:w="964" w:type="dxa"/>
            <w:vAlign w:val="center"/>
          </w:tcPr>
          <w:p w14:paraId="4F7113DE"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rPr>
            </w:pPr>
            <m:oMath>
              <m:r>
                <m:rPr>
                  <m:sty m:val="p"/>
                </m:rPr>
                <w:rPr>
                  <w:rFonts w:ascii="Cambria Math" w:hAnsi="Cambria Math" w:cs="Times New Roman"/>
                  <w:sz w:val="18"/>
                  <w:szCs w:val="20"/>
                </w:rPr>
                <w:sym w:font="Symbol" w:char="F064"/>
              </m:r>
            </m:oMath>
            <w:r w:rsidRPr="004224F6">
              <w:rPr>
                <w:rFonts w:ascii="Times New Roman" w:hAnsi="Times New Roman" w:cs="Times New Roman"/>
                <w:sz w:val="18"/>
              </w:rPr>
              <w:t xml:space="preserve"> = 20°</w:t>
            </w:r>
          </w:p>
        </w:tc>
        <w:tc>
          <w:tcPr>
            <w:tcW w:w="964" w:type="dxa"/>
            <w:vAlign w:val="center"/>
          </w:tcPr>
          <w:p w14:paraId="401411A0"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rPr>
            </w:pPr>
            <m:oMath>
              <m:r>
                <m:rPr>
                  <m:sty m:val="p"/>
                </m:rPr>
                <w:rPr>
                  <w:rFonts w:ascii="Cambria Math" w:hAnsi="Cambria Math" w:cs="Times New Roman"/>
                  <w:sz w:val="18"/>
                  <w:szCs w:val="20"/>
                </w:rPr>
                <w:sym w:font="Symbol" w:char="F064"/>
              </m:r>
            </m:oMath>
            <w:r w:rsidRPr="004224F6">
              <w:rPr>
                <w:rFonts w:ascii="Times New Roman" w:hAnsi="Times New Roman" w:cs="Times New Roman"/>
                <w:sz w:val="18"/>
              </w:rPr>
              <w:t xml:space="preserve"> = 45°</w:t>
            </w:r>
          </w:p>
        </w:tc>
        <w:tc>
          <w:tcPr>
            <w:tcW w:w="1191" w:type="dxa"/>
            <w:vAlign w:val="center"/>
          </w:tcPr>
          <w:p w14:paraId="5CF50921"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rPr>
            </w:pPr>
            <w:r w:rsidRPr="004224F6">
              <w:rPr>
                <w:rFonts w:ascii="Times New Roman" w:hAnsi="Times New Roman" w:cs="Times New Roman"/>
                <w:sz w:val="18"/>
              </w:rPr>
              <w:t xml:space="preserve">1,2 </w:t>
            </w:r>
            <w:r w:rsidRPr="004224F6">
              <w:rPr>
                <w:rFonts w:ascii="Times New Roman" w:hAnsi="Times New Roman" w:cs="Times New Roman"/>
                <w:sz w:val="18"/>
                <w:szCs w:val="20"/>
              </w:rPr>
              <w:sym w:font="Symbol" w:char="F0A3"/>
            </w:r>
            <w:r w:rsidRPr="004224F6">
              <w:rPr>
                <w:rFonts w:ascii="Times New Roman" w:hAnsi="Times New Roman" w:cs="Times New Roman"/>
                <w:sz w:val="18"/>
              </w:rPr>
              <w:t xml:space="preserve"> h/T </w:t>
            </w:r>
            <w:r w:rsidRPr="004224F6">
              <w:rPr>
                <w:rFonts w:ascii="Times New Roman" w:hAnsi="Times New Roman" w:cs="Times New Roman"/>
                <w:sz w:val="18"/>
                <w:szCs w:val="20"/>
              </w:rPr>
              <w:sym w:font="Symbol" w:char="F0A3"/>
            </w:r>
            <w:r w:rsidRPr="004224F6">
              <w:rPr>
                <w:rFonts w:ascii="Times New Roman" w:hAnsi="Times New Roman" w:cs="Times New Roman"/>
                <w:sz w:val="18"/>
              </w:rPr>
              <w:t xml:space="preserve"> 1,4</w:t>
            </w:r>
          </w:p>
        </w:tc>
        <w:tc>
          <w:tcPr>
            <w:tcW w:w="1191" w:type="dxa"/>
            <w:vAlign w:val="center"/>
          </w:tcPr>
          <w:p w14:paraId="3F6C274E"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rPr>
            </w:pPr>
            <w:r w:rsidRPr="004224F6">
              <w:rPr>
                <w:rFonts w:ascii="Times New Roman" w:hAnsi="Times New Roman" w:cs="Times New Roman"/>
                <w:sz w:val="18"/>
              </w:rPr>
              <w:t xml:space="preserve">1,4 &lt; h/T </w:t>
            </w:r>
            <w:r w:rsidRPr="004224F6">
              <w:rPr>
                <w:rFonts w:ascii="Times New Roman" w:hAnsi="Times New Roman" w:cs="Times New Roman"/>
                <w:sz w:val="18"/>
                <w:szCs w:val="20"/>
              </w:rPr>
              <w:sym w:font="Symbol" w:char="F0A3"/>
            </w:r>
            <w:r w:rsidRPr="004224F6">
              <w:rPr>
                <w:rFonts w:ascii="Times New Roman" w:hAnsi="Times New Roman" w:cs="Times New Roman"/>
                <w:sz w:val="18"/>
              </w:rPr>
              <w:t xml:space="preserve"> 2</w:t>
            </w:r>
          </w:p>
        </w:tc>
        <w:tc>
          <w:tcPr>
            <w:tcW w:w="1191" w:type="dxa"/>
            <w:tcBorders>
              <w:bottom w:val="nil"/>
              <w:right w:val="single" w:sz="6" w:space="0" w:color="auto"/>
            </w:tcBorders>
            <w:vAlign w:val="center"/>
          </w:tcPr>
          <w:p w14:paraId="332CBFE4"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20"/>
              </w:rPr>
            </w:pPr>
            <w:r w:rsidRPr="004224F6">
              <w:rPr>
                <w:rFonts w:ascii="Times New Roman" w:hAnsi="Times New Roman" w:cs="Times New Roman"/>
                <w:sz w:val="18"/>
              </w:rPr>
              <w:t>h/T &gt; 2</w:t>
            </w:r>
          </w:p>
        </w:tc>
      </w:tr>
      <w:tr w:rsidR="00271FA2" w:rsidRPr="004224F6" w14:paraId="6DFBBBA1" w14:textId="77777777">
        <w:trPr>
          <w:jc w:val="center"/>
        </w:trPr>
        <w:tc>
          <w:tcPr>
            <w:tcW w:w="340" w:type="dxa"/>
            <w:tcBorders>
              <w:top w:val="nil"/>
              <w:left w:val="single" w:sz="6" w:space="0" w:color="auto"/>
            </w:tcBorders>
            <w:vAlign w:val="center"/>
          </w:tcPr>
          <w:p w14:paraId="2C992C92"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w:t>
            </w:r>
          </w:p>
        </w:tc>
        <w:tc>
          <w:tcPr>
            <w:tcW w:w="4139" w:type="dxa"/>
            <w:tcBorders>
              <w:top w:val="nil"/>
            </w:tcBorders>
          </w:tcPr>
          <w:p w14:paraId="0B4FBA7A"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ind w:left="57" w:right="57"/>
              <w:jc w:val="both"/>
              <w:textAlignment w:val="baseline"/>
              <w:rPr>
                <w:rFonts w:ascii="Times New Roman" w:hAnsi="Times New Roman" w:cs="Times New Roman"/>
                <w:sz w:val="18"/>
                <w:szCs w:val="18"/>
                <w:lang w:val="ru-RU"/>
              </w:rPr>
            </w:pPr>
            <w:r w:rsidRPr="004224F6">
              <w:rPr>
                <w:rFonts w:ascii="Times New Roman" w:hAnsi="Times New Roman" w:cs="Times New Roman"/>
                <w:sz w:val="18"/>
                <w:szCs w:val="18"/>
                <w:lang w:val="ru-RU"/>
              </w:rPr>
              <w:t>Всички моторни товарни кораби, моторни танкери, пътнически плавателни съдове и моторизирано плаващо оборудване; състави от една линия ≤ 110 × 11,45</w:t>
            </w:r>
          </w:p>
        </w:tc>
        <w:tc>
          <w:tcPr>
            <w:tcW w:w="964" w:type="dxa"/>
            <w:vAlign w:val="center"/>
          </w:tcPr>
          <w:p w14:paraId="0CB1A135"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20°/min</w:t>
            </w:r>
          </w:p>
        </w:tc>
        <w:tc>
          <w:tcPr>
            <w:tcW w:w="964" w:type="dxa"/>
            <w:vAlign w:val="center"/>
          </w:tcPr>
          <w:p w14:paraId="15821B4A"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28°/min</w:t>
            </w:r>
          </w:p>
        </w:tc>
        <w:tc>
          <w:tcPr>
            <w:tcW w:w="1191" w:type="dxa"/>
            <w:vAlign w:val="center"/>
          </w:tcPr>
          <w:p w14:paraId="3B5D9FBA"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150 s</w:t>
            </w:r>
          </w:p>
        </w:tc>
        <w:tc>
          <w:tcPr>
            <w:tcW w:w="1191" w:type="dxa"/>
            <w:vAlign w:val="center"/>
          </w:tcPr>
          <w:p w14:paraId="11C5851B"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110 s</w:t>
            </w:r>
          </w:p>
        </w:tc>
        <w:tc>
          <w:tcPr>
            <w:tcW w:w="1191" w:type="dxa"/>
            <w:tcBorders>
              <w:top w:val="single" w:sz="6" w:space="0" w:color="auto"/>
              <w:bottom w:val="nil"/>
              <w:right w:val="single" w:sz="6" w:space="0" w:color="auto"/>
            </w:tcBorders>
            <w:vAlign w:val="center"/>
          </w:tcPr>
          <w:p w14:paraId="61900AD0"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110 s</w:t>
            </w:r>
          </w:p>
        </w:tc>
      </w:tr>
      <w:tr w:rsidR="00271FA2" w:rsidRPr="004224F6" w14:paraId="0303FE6B" w14:textId="77777777">
        <w:trPr>
          <w:jc w:val="center"/>
        </w:trPr>
        <w:tc>
          <w:tcPr>
            <w:tcW w:w="340" w:type="dxa"/>
            <w:tcBorders>
              <w:left w:val="single" w:sz="6" w:space="0" w:color="auto"/>
            </w:tcBorders>
            <w:vAlign w:val="center"/>
          </w:tcPr>
          <w:p w14:paraId="6D5A092B"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2</w:t>
            </w:r>
          </w:p>
        </w:tc>
        <w:tc>
          <w:tcPr>
            <w:tcW w:w="4139" w:type="dxa"/>
          </w:tcPr>
          <w:p w14:paraId="321EB63A"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ind w:left="57" w:right="57"/>
              <w:textAlignment w:val="baseline"/>
              <w:rPr>
                <w:rFonts w:ascii="Times New Roman" w:hAnsi="Times New Roman" w:cs="Times New Roman"/>
                <w:sz w:val="18"/>
                <w:szCs w:val="20"/>
                <w:lang w:val="ru-RU"/>
              </w:rPr>
            </w:pPr>
            <w:r w:rsidRPr="004224F6">
              <w:rPr>
                <w:rFonts w:ascii="Times New Roman" w:hAnsi="Times New Roman" w:cs="Times New Roman"/>
                <w:sz w:val="18"/>
                <w:lang w:val="ru-RU"/>
              </w:rPr>
              <w:t>Състави от една линия до 193 × 11,45 или състави от две успоредни линии до 110 × 22,90</w:t>
            </w:r>
          </w:p>
        </w:tc>
        <w:tc>
          <w:tcPr>
            <w:tcW w:w="964" w:type="dxa"/>
            <w:vAlign w:val="center"/>
          </w:tcPr>
          <w:p w14:paraId="5F418F6F"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12°/min</w:t>
            </w:r>
          </w:p>
        </w:tc>
        <w:tc>
          <w:tcPr>
            <w:tcW w:w="964" w:type="dxa"/>
            <w:vAlign w:val="center"/>
          </w:tcPr>
          <w:p w14:paraId="71287049"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18°/min</w:t>
            </w:r>
          </w:p>
        </w:tc>
        <w:tc>
          <w:tcPr>
            <w:tcW w:w="1191" w:type="dxa"/>
            <w:vAlign w:val="center"/>
          </w:tcPr>
          <w:p w14:paraId="37688DFE"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180 s</w:t>
            </w:r>
          </w:p>
        </w:tc>
        <w:tc>
          <w:tcPr>
            <w:tcW w:w="1191" w:type="dxa"/>
            <w:vAlign w:val="center"/>
          </w:tcPr>
          <w:p w14:paraId="411C0B49"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130 s</w:t>
            </w:r>
          </w:p>
        </w:tc>
        <w:tc>
          <w:tcPr>
            <w:tcW w:w="1191" w:type="dxa"/>
            <w:tcBorders>
              <w:top w:val="single" w:sz="6" w:space="0" w:color="auto"/>
              <w:bottom w:val="single" w:sz="6" w:space="0" w:color="auto"/>
              <w:right w:val="single" w:sz="6" w:space="0" w:color="auto"/>
            </w:tcBorders>
            <w:vAlign w:val="center"/>
          </w:tcPr>
          <w:p w14:paraId="6BE9CA55"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110 s</w:t>
            </w:r>
          </w:p>
        </w:tc>
      </w:tr>
      <w:tr w:rsidR="00271FA2" w:rsidRPr="004224F6" w14:paraId="46A391FA" w14:textId="77777777">
        <w:trPr>
          <w:jc w:val="center"/>
        </w:trPr>
        <w:tc>
          <w:tcPr>
            <w:tcW w:w="340" w:type="dxa"/>
            <w:tcBorders>
              <w:left w:val="single" w:sz="6" w:space="0" w:color="auto"/>
            </w:tcBorders>
            <w:vAlign w:val="center"/>
          </w:tcPr>
          <w:p w14:paraId="4B43F2C3"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3</w:t>
            </w:r>
          </w:p>
        </w:tc>
        <w:tc>
          <w:tcPr>
            <w:tcW w:w="4139" w:type="dxa"/>
          </w:tcPr>
          <w:p w14:paraId="08C4FCE9"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ind w:left="57" w:right="57"/>
              <w:textAlignment w:val="baseline"/>
              <w:rPr>
                <w:rFonts w:ascii="Times New Roman" w:hAnsi="Times New Roman" w:cs="Times New Roman"/>
                <w:sz w:val="18"/>
                <w:szCs w:val="20"/>
                <w:lang w:val="ru-RU"/>
              </w:rPr>
            </w:pPr>
            <w:r w:rsidRPr="004224F6">
              <w:rPr>
                <w:rFonts w:ascii="Times New Roman" w:hAnsi="Times New Roman" w:cs="Times New Roman"/>
                <w:sz w:val="18"/>
                <w:lang w:val="ru-RU"/>
              </w:rPr>
              <w:t>Състави от две успоредни линии ≤ 193 × 22,90</w:t>
            </w:r>
          </w:p>
        </w:tc>
        <w:tc>
          <w:tcPr>
            <w:tcW w:w="964" w:type="dxa"/>
            <w:vAlign w:val="center"/>
          </w:tcPr>
          <w:p w14:paraId="08272780"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8°/min</w:t>
            </w:r>
          </w:p>
        </w:tc>
        <w:tc>
          <w:tcPr>
            <w:tcW w:w="964" w:type="dxa"/>
            <w:vAlign w:val="center"/>
          </w:tcPr>
          <w:p w14:paraId="61231D75"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12°/min</w:t>
            </w:r>
          </w:p>
        </w:tc>
        <w:tc>
          <w:tcPr>
            <w:tcW w:w="1191" w:type="dxa"/>
            <w:vAlign w:val="center"/>
          </w:tcPr>
          <w:p w14:paraId="1B2E080B"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180 s</w:t>
            </w:r>
          </w:p>
        </w:tc>
        <w:tc>
          <w:tcPr>
            <w:tcW w:w="1191" w:type="dxa"/>
            <w:vAlign w:val="center"/>
          </w:tcPr>
          <w:p w14:paraId="4FF74F1C"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130 s</w:t>
            </w:r>
          </w:p>
        </w:tc>
        <w:tc>
          <w:tcPr>
            <w:tcW w:w="1191" w:type="dxa"/>
            <w:tcBorders>
              <w:top w:val="single" w:sz="6" w:space="0" w:color="auto"/>
              <w:bottom w:val="single" w:sz="6" w:space="0" w:color="auto"/>
              <w:right w:val="single" w:sz="6" w:space="0" w:color="auto"/>
            </w:tcBorders>
            <w:vAlign w:val="center"/>
          </w:tcPr>
          <w:p w14:paraId="5DA2B917"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110 s</w:t>
            </w:r>
          </w:p>
        </w:tc>
      </w:tr>
      <w:tr w:rsidR="00271FA2" w:rsidRPr="004224F6" w14:paraId="198C4796" w14:textId="77777777">
        <w:trPr>
          <w:jc w:val="center"/>
        </w:trPr>
        <w:tc>
          <w:tcPr>
            <w:tcW w:w="340" w:type="dxa"/>
            <w:tcBorders>
              <w:left w:val="single" w:sz="6" w:space="0" w:color="auto"/>
            </w:tcBorders>
            <w:vAlign w:val="center"/>
          </w:tcPr>
          <w:p w14:paraId="0C240FDF"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4</w:t>
            </w:r>
          </w:p>
        </w:tc>
        <w:tc>
          <w:tcPr>
            <w:tcW w:w="4139" w:type="dxa"/>
          </w:tcPr>
          <w:p w14:paraId="5E818EA3"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ind w:left="57" w:right="57"/>
              <w:textAlignment w:val="baseline"/>
              <w:rPr>
                <w:rFonts w:ascii="Times New Roman" w:hAnsi="Times New Roman" w:cs="Times New Roman"/>
                <w:sz w:val="18"/>
                <w:szCs w:val="20"/>
                <w:lang w:val="ru-RU"/>
              </w:rPr>
            </w:pPr>
            <w:r w:rsidRPr="004224F6">
              <w:rPr>
                <w:rFonts w:ascii="Times New Roman" w:hAnsi="Times New Roman" w:cs="Times New Roman"/>
                <w:sz w:val="18"/>
                <w:lang w:val="ru-RU"/>
              </w:rPr>
              <w:t>Състави от две успоредни линии до 270 × 22,90 или състави от три успоредни линии до 193 × 34,35</w:t>
            </w:r>
          </w:p>
        </w:tc>
        <w:tc>
          <w:tcPr>
            <w:tcW w:w="964" w:type="dxa"/>
            <w:vAlign w:val="center"/>
          </w:tcPr>
          <w:p w14:paraId="2B49FEFF"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6°/min</w:t>
            </w:r>
          </w:p>
        </w:tc>
        <w:tc>
          <w:tcPr>
            <w:tcW w:w="964" w:type="dxa"/>
            <w:vAlign w:val="center"/>
          </w:tcPr>
          <w:p w14:paraId="50C8592C"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8°/min</w:t>
            </w:r>
          </w:p>
        </w:tc>
        <w:tc>
          <w:tcPr>
            <w:tcW w:w="1191" w:type="dxa"/>
            <w:vAlign w:val="center"/>
          </w:tcPr>
          <w:p w14:paraId="3111D356"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w:t>
            </w:r>
          </w:p>
        </w:tc>
        <w:tc>
          <w:tcPr>
            <w:tcW w:w="1191" w:type="dxa"/>
            <w:vAlign w:val="center"/>
          </w:tcPr>
          <w:p w14:paraId="13E568BB"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w:t>
            </w:r>
          </w:p>
        </w:tc>
        <w:tc>
          <w:tcPr>
            <w:tcW w:w="1191" w:type="dxa"/>
            <w:tcBorders>
              <w:top w:val="nil"/>
              <w:bottom w:val="nil"/>
              <w:right w:val="single" w:sz="6" w:space="0" w:color="auto"/>
            </w:tcBorders>
            <w:vAlign w:val="center"/>
          </w:tcPr>
          <w:p w14:paraId="62EF8348" w14:textId="77777777" w:rsidR="00271FA2" w:rsidRPr="004224F6" w:rsidRDefault="00D35E51">
            <w:pPr>
              <w:tabs>
                <w:tab w:val="left" w:pos="-1440"/>
                <w:tab w:val="left" w:pos="-576"/>
                <w:tab w:val="left" w:pos="-432"/>
                <w:tab w:val="left" w:pos="0"/>
                <w:tab w:val="left" w:pos="576"/>
                <w:tab w:val="left" w:pos="1008"/>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s>
              <w:overflowPunct w:val="0"/>
              <w:adjustRightInd w:val="0"/>
              <w:spacing w:line="240" w:lineRule="atLeast"/>
              <w:jc w:val="center"/>
              <w:textAlignment w:val="baseline"/>
              <w:rPr>
                <w:rFonts w:ascii="Times New Roman" w:hAnsi="Times New Roman" w:cs="Times New Roman"/>
                <w:sz w:val="18"/>
                <w:szCs w:val="18"/>
              </w:rPr>
            </w:pPr>
            <w:r w:rsidRPr="004224F6">
              <w:rPr>
                <w:rFonts w:ascii="Times New Roman" w:hAnsi="Times New Roman" w:cs="Times New Roman"/>
                <w:sz w:val="18"/>
              </w:rPr>
              <w:t>*)</w:t>
            </w:r>
          </w:p>
        </w:tc>
      </w:tr>
      <w:tr w:rsidR="00271FA2" w:rsidRPr="004224F6" w14:paraId="49F39FB8" w14:textId="77777777">
        <w:trPr>
          <w:jc w:val="center"/>
        </w:trPr>
        <w:tc>
          <w:tcPr>
            <w:tcW w:w="9980" w:type="dxa"/>
            <w:gridSpan w:val="7"/>
            <w:tcBorders>
              <w:left w:val="single" w:sz="6" w:space="0" w:color="auto"/>
              <w:bottom w:val="single" w:sz="6" w:space="0" w:color="auto"/>
              <w:right w:val="single" w:sz="6" w:space="0" w:color="auto"/>
            </w:tcBorders>
            <w:vAlign w:val="center"/>
          </w:tcPr>
          <w:p w14:paraId="35A30495" w14:textId="77777777" w:rsidR="00271FA2" w:rsidRPr="004224F6" w:rsidRDefault="00D35E51">
            <w:pPr>
              <w:tabs>
                <w:tab w:val="left" w:pos="-1440"/>
                <w:tab w:val="left" w:pos="-576"/>
                <w:tab w:val="left" w:pos="-432"/>
                <w:tab w:val="left" w:pos="426"/>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ab/>
            </w:r>
            <w:r w:rsidRPr="004224F6">
              <w:rPr>
                <w:rFonts w:ascii="Times New Roman" w:hAnsi="Times New Roman" w:cs="Times New Roman"/>
                <w:sz w:val="16"/>
                <w:lang w:val="ru-RU"/>
              </w:rPr>
              <w:t>*)</w:t>
            </w:r>
            <w:r w:rsidRPr="004224F6">
              <w:rPr>
                <w:rFonts w:ascii="Times New Roman" w:hAnsi="Times New Roman" w:cs="Times New Roman"/>
                <w:lang w:val="ru-RU"/>
              </w:rPr>
              <w:tab/>
            </w:r>
            <w:r w:rsidRPr="004224F6">
              <w:rPr>
                <w:rFonts w:ascii="Times New Roman" w:hAnsi="Times New Roman" w:cs="Times New Roman"/>
                <w:sz w:val="16"/>
                <w:lang w:val="ru-RU"/>
              </w:rPr>
              <w:t>Съгласно решението на експерта по корабоплаване.</w:t>
            </w:r>
          </w:p>
        </w:tc>
      </w:tr>
    </w:tbl>
    <w:p w14:paraId="22433CA6" w14:textId="05FF8CF5" w:rsidR="00271FA2" w:rsidRPr="004224F6" w:rsidRDefault="00D35E51">
      <w:pPr>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Времената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1</m:t>
            </m:r>
          </m:sub>
        </m:sSub>
      </m:oMath>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2</m:t>
            </m:r>
          </m:sub>
        </m:sSub>
      </m:oMath>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3</m:t>
            </m:r>
          </m:sub>
        </m:sSub>
      </m:oMath>
      <w:r w:rsidRPr="004224F6">
        <w:rPr>
          <w:rFonts w:ascii="Times New Roman" w:hAnsi="Times New Roman" w:cs="Times New Roman"/>
          <w:lang w:val="ru-RU"/>
        </w:rPr>
        <w:t xml:space="preserve"> и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4</m:t>
            </m:r>
          </m:sub>
        </m:sSub>
      </m:oMath>
      <w:r w:rsidRPr="004224F6">
        <w:rPr>
          <w:rFonts w:ascii="Times New Roman" w:hAnsi="Times New Roman" w:cs="Times New Roman"/>
          <w:lang w:val="ru-RU"/>
        </w:rPr>
        <w:t>, необходими за достигане на скоростите</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1</m:t>
            </m:r>
          </m:sub>
        </m:sSub>
      </m:oMath>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2</m:t>
            </m:r>
          </m:sub>
        </m:sSub>
      </m:oMath>
      <w:r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3</m:t>
            </m:r>
          </m:sub>
        </m:sSub>
      </m:oMath>
      <w:r w:rsidRPr="004224F6">
        <w:rPr>
          <w:rFonts w:ascii="Times New Roman" w:hAnsi="Times New Roman" w:cs="Times New Roman"/>
          <w:lang w:val="ru-RU"/>
        </w:rPr>
        <w:t xml:space="preserve"> и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4</m:t>
            </m:r>
          </m:sub>
        </m:sSub>
      </m:oMath>
      <w:r w:rsidRPr="004224F6">
        <w:rPr>
          <w:rFonts w:ascii="Times New Roman" w:hAnsi="Times New Roman" w:cs="Times New Roman"/>
          <w:lang w:val="ru-RU"/>
        </w:rPr>
        <w:t xml:space="preserve">, се записват в протоколите от измерванията в Приложение 2. </w:t>
      </w:r>
      <w:r w:rsidR="00A57CE2" w:rsidRPr="004224F6">
        <w:rPr>
          <w:rFonts w:ascii="Times New Roman" w:hAnsi="Times New Roman" w:cs="Times New Roman"/>
          <w:lang w:val="ru-RU"/>
        </w:rPr>
        <w:t xml:space="preserve">Стойностите </w:t>
      </w: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4</m:t>
            </m:r>
          </m:sub>
        </m:sSub>
      </m:oMath>
      <w:r w:rsidRPr="004224F6">
        <w:rPr>
          <w:rFonts w:ascii="Times New Roman" w:hAnsi="Times New Roman" w:cs="Times New Roman"/>
          <w:lang w:val="ru-RU"/>
        </w:rPr>
        <w:t xml:space="preserve"> </w:t>
      </w:r>
      <w:r w:rsidR="00A57CE2" w:rsidRPr="004224F6">
        <w:rPr>
          <w:rFonts w:ascii="Times New Roman" w:hAnsi="Times New Roman" w:cs="Times New Roman"/>
          <w:lang w:val="ru-RU"/>
        </w:rPr>
        <w:t>не трябва да</w:t>
      </w:r>
      <w:r w:rsidRPr="004224F6">
        <w:rPr>
          <w:rFonts w:ascii="Times New Roman" w:hAnsi="Times New Roman" w:cs="Times New Roman"/>
          <w:lang w:val="ru-RU"/>
        </w:rPr>
        <w:t xml:space="preserve"> надвишават границите, посочени в таблицата.</w:t>
      </w:r>
    </w:p>
    <w:p w14:paraId="087A67E0"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2.3</w:t>
      </w:r>
      <w:r w:rsidRPr="004224F6">
        <w:rPr>
          <w:rFonts w:ascii="Times New Roman" w:hAnsi="Times New Roman" w:cs="Times New Roman"/>
          <w:lang w:val="ru-RU"/>
        </w:rPr>
        <w:tab/>
        <w:t>Трябва да бъдат извършени най-малко четири маневри за отклоняване, а именно:</w:t>
      </w:r>
    </w:p>
    <w:p w14:paraId="5AEFBF5C" w14:textId="77777777" w:rsidR="00271FA2" w:rsidRPr="004224F6" w:rsidRDefault="00D35E51">
      <w:pPr>
        <w:tabs>
          <w:tab w:val="left" w:pos="-1440"/>
          <w:tab w:val="left" w:pos="-576"/>
          <w:tab w:val="left" w:pos="-432"/>
          <w:tab w:val="left" w:pos="993"/>
          <w:tab w:val="left" w:pos="5387"/>
          <w:tab w:val="left" w:pos="5670"/>
          <w:tab w:val="left" w:pos="5954"/>
        </w:tabs>
        <w:overflowPunct w:val="0"/>
        <w:adjustRightInd w:val="0"/>
        <w:spacing w:line="240" w:lineRule="atLeast"/>
        <w:ind w:left="995" w:hanging="428"/>
        <w:jc w:val="both"/>
        <w:textAlignment w:val="baseline"/>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r>
      <w:r w:rsidRPr="004224F6">
        <w:rPr>
          <w:rFonts w:ascii="Times New Roman" w:hAnsi="Times New Roman" w:cs="Times New Roman"/>
          <w:lang w:val="ru-RU"/>
        </w:rPr>
        <w:tab/>
        <w:t>една надясно с ъгъл на руля</w:t>
      </w:r>
      <w:r w:rsidRPr="004224F6">
        <w:rPr>
          <w:rFonts w:ascii="Times New Roman" w:hAnsi="Times New Roman" w:cs="Times New Roman"/>
          <w:lang w:val="ru-RU"/>
        </w:rPr>
        <w:tab/>
      </w:r>
      <m:oMath>
        <m:r>
          <m:rPr>
            <m:sty m:val="p"/>
          </m:rPr>
          <w:rPr>
            <w:rFonts w:ascii="Cambria Math" w:hAnsi="Cambria Math" w:cs="Times New Roman"/>
            <w:szCs w:val="20"/>
          </w:rPr>
          <w:sym w:font="Symbol" w:char="F064"/>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20° </w:t>
      </w:r>
    </w:p>
    <w:p w14:paraId="3A8D1519" w14:textId="77777777" w:rsidR="00271FA2" w:rsidRPr="004224F6" w:rsidRDefault="00D35E51">
      <w:pPr>
        <w:tabs>
          <w:tab w:val="left" w:pos="-1440"/>
          <w:tab w:val="left" w:pos="-576"/>
          <w:tab w:val="left" w:pos="-432"/>
          <w:tab w:val="left" w:pos="993"/>
          <w:tab w:val="left" w:pos="5387"/>
          <w:tab w:val="left" w:pos="5670"/>
          <w:tab w:val="left" w:pos="5954"/>
        </w:tabs>
        <w:overflowPunct w:val="0"/>
        <w:adjustRightInd w:val="0"/>
        <w:spacing w:line="240" w:lineRule="atLeast"/>
        <w:ind w:left="995" w:hanging="428"/>
        <w:jc w:val="both"/>
        <w:textAlignment w:val="baseline"/>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една наляво с ъгъл на руля</w:t>
      </w:r>
      <w:r w:rsidRPr="004224F6">
        <w:rPr>
          <w:rFonts w:ascii="Times New Roman" w:hAnsi="Times New Roman" w:cs="Times New Roman"/>
          <w:lang w:val="ru-RU"/>
        </w:rPr>
        <w:tab/>
      </w:r>
      <m:oMath>
        <m:r>
          <m:rPr>
            <m:sty m:val="p"/>
          </m:rPr>
          <w:rPr>
            <w:rFonts w:ascii="Cambria Math" w:hAnsi="Cambria Math" w:cs="Times New Roman"/>
            <w:szCs w:val="20"/>
          </w:rPr>
          <w:sym w:font="Symbol" w:char="F064"/>
        </m:r>
      </m:oMath>
      <w:r w:rsidRPr="004224F6">
        <w:rPr>
          <w:rFonts w:ascii="Times New Roman" w:hAnsi="Times New Roman" w:cs="Times New Roman"/>
          <w:lang w:val="ru-RU"/>
        </w:rPr>
        <w:tab/>
        <w:t>=</w:t>
      </w:r>
      <w:r w:rsidRPr="004224F6">
        <w:rPr>
          <w:rFonts w:ascii="Times New Roman" w:hAnsi="Times New Roman" w:cs="Times New Roman"/>
          <w:lang w:val="ru-RU"/>
        </w:rPr>
        <w:tab/>
        <w:t>20°</w:t>
      </w:r>
    </w:p>
    <w:p w14:paraId="516F3068" w14:textId="77777777" w:rsidR="00271FA2" w:rsidRPr="004224F6" w:rsidRDefault="00D35E51">
      <w:pPr>
        <w:tabs>
          <w:tab w:val="left" w:pos="-1440"/>
          <w:tab w:val="left" w:pos="-576"/>
          <w:tab w:val="left" w:pos="-432"/>
          <w:tab w:val="left" w:pos="993"/>
          <w:tab w:val="left" w:pos="5387"/>
          <w:tab w:val="left" w:pos="5670"/>
          <w:tab w:val="left" w:pos="5954"/>
        </w:tabs>
        <w:overflowPunct w:val="0"/>
        <w:adjustRightInd w:val="0"/>
        <w:spacing w:line="240" w:lineRule="atLeast"/>
        <w:ind w:left="995" w:hanging="428"/>
        <w:jc w:val="both"/>
        <w:textAlignment w:val="baseline"/>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една надясно с ъгъл на руля</w:t>
      </w:r>
      <w:r w:rsidRPr="004224F6">
        <w:rPr>
          <w:rFonts w:ascii="Times New Roman" w:hAnsi="Times New Roman" w:cs="Times New Roman"/>
          <w:lang w:val="ru-RU"/>
        </w:rPr>
        <w:tab/>
      </w:r>
      <m:oMath>
        <m:r>
          <m:rPr>
            <m:sty m:val="p"/>
          </m:rPr>
          <w:rPr>
            <w:rFonts w:ascii="Cambria Math" w:hAnsi="Cambria Math" w:cs="Times New Roman"/>
            <w:szCs w:val="20"/>
          </w:rPr>
          <w:sym w:font="Symbol" w:char="F064"/>
        </m:r>
      </m:oMath>
      <w:r w:rsidRPr="004224F6">
        <w:rPr>
          <w:rFonts w:ascii="Times New Roman" w:hAnsi="Times New Roman" w:cs="Times New Roman"/>
          <w:lang w:val="ru-RU"/>
        </w:rPr>
        <w:tab/>
        <w:t>=</w:t>
      </w:r>
      <w:r w:rsidRPr="004224F6">
        <w:rPr>
          <w:rFonts w:ascii="Times New Roman" w:hAnsi="Times New Roman" w:cs="Times New Roman"/>
          <w:lang w:val="ru-RU"/>
        </w:rPr>
        <w:tab/>
        <w:t>45°</w:t>
      </w:r>
    </w:p>
    <w:p w14:paraId="31A0D4D5" w14:textId="77777777" w:rsidR="00271FA2" w:rsidRPr="004224F6" w:rsidRDefault="00D35E51">
      <w:pPr>
        <w:tabs>
          <w:tab w:val="left" w:pos="-1440"/>
          <w:tab w:val="left" w:pos="-576"/>
          <w:tab w:val="left" w:pos="-432"/>
          <w:tab w:val="left" w:pos="993"/>
          <w:tab w:val="left" w:pos="5387"/>
          <w:tab w:val="left" w:pos="5670"/>
          <w:tab w:val="left" w:pos="5954"/>
        </w:tabs>
        <w:overflowPunct w:val="0"/>
        <w:adjustRightInd w:val="0"/>
        <w:spacing w:line="240" w:lineRule="atLeast"/>
        <w:ind w:left="995" w:hanging="428"/>
        <w:jc w:val="both"/>
        <w:textAlignment w:val="baseline"/>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една наляво с ъгъл на руля</w:t>
      </w:r>
      <w:r w:rsidRPr="004224F6">
        <w:rPr>
          <w:rFonts w:ascii="Times New Roman" w:hAnsi="Times New Roman" w:cs="Times New Roman"/>
          <w:lang w:val="ru-RU"/>
        </w:rPr>
        <w:tab/>
      </w:r>
      <m:oMath>
        <m:r>
          <m:rPr>
            <m:sty m:val="p"/>
          </m:rPr>
          <w:rPr>
            <w:rFonts w:ascii="Cambria Math" w:hAnsi="Cambria Math" w:cs="Times New Roman"/>
            <w:szCs w:val="20"/>
          </w:rPr>
          <w:sym w:font="Symbol" w:char="F064"/>
        </m:r>
      </m:oMath>
      <w:r w:rsidRPr="004224F6">
        <w:rPr>
          <w:rFonts w:ascii="Times New Roman" w:hAnsi="Times New Roman" w:cs="Times New Roman"/>
          <w:lang w:val="ru-RU"/>
        </w:rPr>
        <w:tab/>
        <w:t>=</w:t>
      </w:r>
      <w:r w:rsidRPr="004224F6">
        <w:rPr>
          <w:rFonts w:ascii="Times New Roman" w:hAnsi="Times New Roman" w:cs="Times New Roman"/>
          <w:lang w:val="ru-RU"/>
        </w:rPr>
        <w:tab/>
        <w:t>45°.</w:t>
      </w:r>
    </w:p>
    <w:p w14:paraId="0211BB10" w14:textId="37CF4BA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Ако е необходимо (напр. в случай на неточност на измерените стойности или недобре извършени маневри), маневрите за отклоняване се повтарят. Скоростите</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посочени в точка 2.2 и граничните времена трябва да бъдат спазени. При активни рулеви устройства или специални типове рул, по преценката на експерт в зависимост от типа рулева система може да се избере положение </w:t>
      </w:r>
      <m:oMath>
        <m:sSub>
          <m:sSubPr>
            <m:ctrlPr>
              <w:rPr>
                <w:rFonts w:ascii="Cambria Math" w:hAnsi="Cambria Math" w:cs="Times New Roman"/>
                <w:i/>
                <w:szCs w:val="20"/>
              </w:rPr>
            </m:ctrlPr>
          </m:sSubPr>
          <m:e>
            <m:r>
              <w:rPr>
                <w:rFonts w:ascii="Cambria Math" w:hAnsi="Cambria Math" w:cs="Times New Roman"/>
                <w:szCs w:val="20"/>
              </w:rPr>
              <m:t>δ</m:t>
            </m:r>
          </m:e>
          <m:sub>
            <m:r>
              <w:rPr>
                <w:rFonts w:ascii="Cambria Math" w:hAnsi="Cambria Math" w:cs="Times New Roman"/>
                <w:szCs w:val="20"/>
              </w:rPr>
              <m:t>a</m:t>
            </m:r>
          </m:sub>
        </m:sSub>
      </m:oMath>
      <w:r w:rsidRPr="004224F6">
        <w:rPr>
          <w:rFonts w:ascii="Times New Roman" w:hAnsi="Times New Roman" w:cs="Times New Roman"/>
          <w:lang w:val="ru-RU"/>
        </w:rPr>
        <w:t xml:space="preserve"> на рулевото устройство или ъгъл </w:t>
      </w:r>
      <m:oMath>
        <m:sSub>
          <m:sSubPr>
            <m:ctrlPr>
              <w:rPr>
                <w:rFonts w:ascii="Cambria Math" w:hAnsi="Cambria Math" w:cs="Times New Roman"/>
                <w:i/>
                <w:szCs w:val="20"/>
              </w:rPr>
            </m:ctrlPr>
          </m:sSubPr>
          <m:e>
            <m:r>
              <w:rPr>
                <w:rFonts w:ascii="Cambria Math" w:hAnsi="Cambria Math" w:cs="Times New Roman"/>
                <w:szCs w:val="20"/>
              </w:rPr>
              <m:t>δ</m:t>
            </m:r>
          </m:e>
          <m:sub>
            <m:r>
              <w:rPr>
                <w:rFonts w:ascii="Cambria Math" w:hAnsi="Cambria Math" w:cs="Times New Roman"/>
                <w:szCs w:val="20"/>
              </w:rPr>
              <m:t>a</m:t>
            </m:r>
          </m:sub>
        </m:sSub>
      </m:oMath>
      <w:r w:rsidRPr="004224F6">
        <w:rPr>
          <w:rFonts w:ascii="Times New Roman" w:hAnsi="Times New Roman" w:cs="Times New Roman"/>
          <w:lang w:val="ru-RU"/>
        </w:rPr>
        <w:t xml:space="preserve"> на руля, различен от </w:t>
      </w:r>
      <m:oMath>
        <m:r>
          <w:rPr>
            <w:rFonts w:ascii="Cambria Math" w:hAnsi="Cambria Math" w:cs="Times New Roman"/>
          </w:rPr>
          <m:t>δ</m:t>
        </m:r>
      </m:oMath>
      <w:r w:rsidRPr="004224F6">
        <w:rPr>
          <w:rFonts w:ascii="Times New Roman" w:hAnsi="Times New Roman" w:cs="Times New Roman"/>
          <w:lang w:val="ru-RU"/>
        </w:rPr>
        <w:t xml:space="preserve"> = 20° и </w:t>
      </w:r>
      <m:oMath>
        <m:r>
          <w:rPr>
            <w:rFonts w:ascii="Cambria Math" w:hAnsi="Cambria Math" w:cs="Times New Roman"/>
          </w:rPr>
          <m:t>δ</m:t>
        </m:r>
      </m:oMath>
      <w:r w:rsidRPr="004224F6">
        <w:rPr>
          <w:rFonts w:ascii="Times New Roman" w:hAnsi="Times New Roman" w:cs="Times New Roman"/>
          <w:lang w:val="ru-RU"/>
        </w:rPr>
        <w:t xml:space="preserve"> = 45°.</w:t>
      </w:r>
    </w:p>
    <w:p w14:paraId="7D41F374" w14:textId="645B3CE7" w:rsidR="00271FA2" w:rsidRPr="004224F6" w:rsidRDefault="00D35E51">
      <w:pPr>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2.4</w:t>
      </w:r>
      <w:r w:rsidRPr="004224F6">
        <w:rPr>
          <w:rFonts w:ascii="Times New Roman" w:hAnsi="Times New Roman" w:cs="Times New Roman"/>
          <w:lang w:val="ru-RU"/>
        </w:rPr>
        <w:tab/>
        <w:t>С цел да се определи скоростта</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в съответствие с член</w:t>
      </w:r>
      <w:r w:rsidRPr="004224F6">
        <w:rPr>
          <w:rFonts w:ascii="Times New Roman" w:hAnsi="Times New Roman" w:cs="Times New Roman"/>
        </w:rPr>
        <w:t> </w:t>
      </w:r>
      <w:r w:rsidRPr="004224F6">
        <w:rPr>
          <w:rFonts w:ascii="Times New Roman" w:hAnsi="Times New Roman" w:cs="Times New Roman"/>
          <w:lang w:val="ru-RU"/>
        </w:rPr>
        <w:t>7.06, точка 1 на борда трябва да има индикатор на ъгловата скорост</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w:t>
      </w:r>
    </w:p>
    <w:p w14:paraId="6625B482"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2.5</w:t>
      </w:r>
      <w:r w:rsidRPr="004224F6">
        <w:rPr>
          <w:rFonts w:ascii="Times New Roman" w:hAnsi="Times New Roman" w:cs="Times New Roman"/>
          <w:lang w:val="ru-RU"/>
        </w:rPr>
        <w:tab/>
        <w:t>В съответствие с член 5.04 състоянието на натоварване по време на маневрата за отклоняване трябва да е между 70 и 100 % от максималната товароподемност. Ако изпитването е проведено с по-малко натоварване, разрешението за плаване по и срещу течението се ограничава до това натоварване.</w:t>
      </w:r>
    </w:p>
    <w:p w14:paraId="4F8ACA73"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Процедурата за маневри за отклоняване и използваните термини са показани на диаграмата в Приложение 1.</w:t>
      </w:r>
    </w:p>
    <w:p w14:paraId="1A8574D9" w14:textId="662C916B" w:rsidR="00271FA2" w:rsidRPr="004224F6" w:rsidRDefault="00D35E51">
      <w:pPr>
        <w:tabs>
          <w:tab w:val="left" w:pos="567"/>
        </w:tabs>
        <w:overflowPunct w:val="0"/>
        <w:adjustRightInd w:val="0"/>
        <w:spacing w:line="240" w:lineRule="atLeast"/>
        <w:ind w:left="567" w:hanging="567"/>
        <w:jc w:val="both"/>
        <w:textAlignment w:val="baseline"/>
        <w:rPr>
          <w:rFonts w:ascii="Times New Roman" w:hAnsi="Times New Roman" w:cs="Times New Roman"/>
          <w:b/>
          <w:szCs w:val="20"/>
          <w:lang w:val="ru-RU"/>
        </w:rPr>
      </w:pPr>
      <w:r w:rsidRPr="004224F6">
        <w:rPr>
          <w:rFonts w:ascii="Times New Roman" w:hAnsi="Times New Roman" w:cs="Times New Roman"/>
          <w:b/>
          <w:lang w:val="ru-RU"/>
        </w:rPr>
        <w:t>3.</w:t>
      </w:r>
      <w:r w:rsidRPr="004224F6">
        <w:rPr>
          <w:rFonts w:ascii="Times New Roman" w:hAnsi="Times New Roman" w:cs="Times New Roman"/>
          <w:lang w:val="ru-RU"/>
        </w:rPr>
        <w:tab/>
      </w:r>
      <w:r w:rsidRPr="004224F6">
        <w:rPr>
          <w:rFonts w:ascii="Times New Roman" w:hAnsi="Times New Roman" w:cs="Times New Roman"/>
          <w:b/>
          <w:lang w:val="ru-RU"/>
        </w:rPr>
        <w:t>Способност за</w:t>
      </w:r>
      <w:r w:rsidR="00194BDA" w:rsidRPr="004224F6">
        <w:rPr>
          <w:rFonts w:ascii="Times New Roman" w:hAnsi="Times New Roman" w:cs="Times New Roman"/>
          <w:b/>
        </w:rPr>
        <w:t xml:space="preserve"> завиване </w:t>
      </w:r>
      <w:r w:rsidRPr="004224F6">
        <w:rPr>
          <w:rFonts w:ascii="Times New Roman" w:hAnsi="Times New Roman" w:cs="Times New Roman"/>
          <w:b/>
          <w:lang w:val="ru-RU"/>
        </w:rPr>
        <w:t xml:space="preserve"> </w:t>
      </w:r>
    </w:p>
    <w:p w14:paraId="0CE05EDC" w14:textId="744033BD"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Способността за </w:t>
      </w:r>
      <w:r w:rsidR="0078218A" w:rsidRPr="004224F6">
        <w:rPr>
          <w:rFonts w:ascii="Times New Roman" w:hAnsi="Times New Roman" w:cs="Times New Roman"/>
          <w:lang w:val="ru-RU"/>
        </w:rPr>
        <w:t>завиване</w:t>
      </w:r>
      <w:r w:rsidRPr="004224F6">
        <w:rPr>
          <w:rFonts w:ascii="Times New Roman" w:hAnsi="Times New Roman" w:cs="Times New Roman"/>
          <w:lang w:val="ru-RU"/>
        </w:rPr>
        <w:t>на плавателни съдове и състави, чиято дължина (</w:t>
      </w:r>
      <m:oMath>
        <m:r>
          <w:rPr>
            <w:rFonts w:ascii="Cambria Math" w:hAnsi="Cambria Math" w:cs="Times New Roman"/>
          </w:rPr>
          <m:t>L</m:t>
        </m:r>
      </m:oMath>
      <w:r w:rsidRPr="004224F6">
        <w:rPr>
          <w:rFonts w:ascii="Times New Roman" w:hAnsi="Times New Roman" w:cs="Times New Roman"/>
          <w:lang w:val="ru-RU"/>
        </w:rPr>
        <w:t xml:space="preserve">) не надвишава 86 </w:t>
      </w:r>
      <w:r w:rsidRPr="004224F6">
        <w:rPr>
          <w:rFonts w:ascii="Times New Roman" w:hAnsi="Times New Roman" w:cs="Times New Roman"/>
        </w:rPr>
        <w:t>m</w:t>
      </w:r>
      <w:r w:rsidRPr="004224F6">
        <w:rPr>
          <w:rFonts w:ascii="Times New Roman" w:hAnsi="Times New Roman" w:cs="Times New Roman"/>
          <w:lang w:val="ru-RU"/>
        </w:rPr>
        <w:t xml:space="preserve"> и чиято широчина (</w:t>
      </w:r>
      <m:oMath>
        <m:r>
          <w:rPr>
            <w:rFonts w:ascii="Cambria Math" w:hAnsi="Cambria Math" w:cs="Times New Roman"/>
          </w:rPr>
          <m:t>B</m:t>
        </m:r>
      </m:oMath>
      <w:r w:rsidRPr="004224F6">
        <w:rPr>
          <w:rFonts w:ascii="Times New Roman" w:hAnsi="Times New Roman" w:cs="Times New Roman"/>
          <w:lang w:val="ru-RU"/>
        </w:rPr>
        <w:t xml:space="preserve">) не надвишава 22,90 </w:t>
      </w:r>
      <w:r w:rsidRPr="004224F6">
        <w:rPr>
          <w:rFonts w:ascii="Times New Roman" w:hAnsi="Times New Roman" w:cs="Times New Roman"/>
        </w:rPr>
        <w:t>m</w:t>
      </w:r>
      <w:r w:rsidRPr="004224F6">
        <w:rPr>
          <w:rFonts w:ascii="Times New Roman" w:hAnsi="Times New Roman" w:cs="Times New Roman"/>
          <w:lang w:val="ru-RU"/>
        </w:rPr>
        <w:t xml:space="preserve">, се счита за достатъчна съгласно член 5.10 във връзка с член 5.02, точка 1, когато по време на маневра </w:t>
      </w:r>
      <w:r w:rsidR="00816E75" w:rsidRPr="004224F6">
        <w:rPr>
          <w:rFonts w:ascii="Times New Roman" w:hAnsi="Times New Roman" w:cs="Times New Roman"/>
        </w:rPr>
        <w:t xml:space="preserve"> за завиване</w:t>
      </w:r>
      <w:r w:rsidR="00816E75" w:rsidRPr="004224F6">
        <w:rPr>
          <w:rFonts w:ascii="Times New Roman" w:hAnsi="Times New Roman" w:cs="Times New Roman"/>
          <w:lang w:val="ru-RU"/>
        </w:rPr>
        <w:t xml:space="preserve"> </w:t>
      </w:r>
      <w:r w:rsidRPr="004224F6">
        <w:rPr>
          <w:rFonts w:ascii="Times New Roman" w:hAnsi="Times New Roman" w:cs="Times New Roman"/>
          <w:lang w:val="ru-RU"/>
        </w:rPr>
        <w:t xml:space="preserve">при движение с начална скорост 13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 xml:space="preserve"> спрямо водата срещу течението, са спазени пределните стойности за спиране с </w:t>
      </w:r>
      <w:r w:rsidR="008C4C87" w:rsidRPr="004224F6">
        <w:rPr>
          <w:rFonts w:ascii="Times New Roman" w:hAnsi="Times New Roman" w:cs="Times New Roman"/>
          <w:lang w:val="ru-RU"/>
        </w:rPr>
        <w:t>нос по течението, определени в И</w:t>
      </w:r>
      <w:r w:rsidRPr="004224F6">
        <w:rPr>
          <w:rFonts w:ascii="Times New Roman" w:hAnsi="Times New Roman" w:cs="Times New Roman"/>
          <w:lang w:val="ru-RU"/>
        </w:rPr>
        <w:t xml:space="preserve">нструкция </w:t>
      </w:r>
      <w:r w:rsidRPr="004224F6">
        <w:rPr>
          <w:rFonts w:ascii="Times New Roman" w:hAnsi="Times New Roman" w:cs="Times New Roman"/>
        </w:rPr>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w:t>
      </w:r>
      <w:r w:rsidR="008C4C87" w:rsidRPr="004224F6">
        <w:rPr>
          <w:rFonts w:ascii="Times New Roman" w:hAnsi="Times New Roman" w:cs="Times New Roman"/>
          <w:lang w:val="ru-RU"/>
        </w:rPr>
        <w:t xml:space="preserve">3. </w:t>
      </w:r>
      <w:r w:rsidRPr="004224F6">
        <w:rPr>
          <w:rFonts w:ascii="Times New Roman" w:hAnsi="Times New Roman" w:cs="Times New Roman"/>
          <w:lang w:val="ru-RU"/>
        </w:rPr>
        <w:t>Условията от раздел 1.1 за дълбочина под кила трябва да са спазени.</w:t>
      </w:r>
    </w:p>
    <w:p w14:paraId="16A3CFFA"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4.</w:t>
      </w:r>
      <w:r w:rsidRPr="004224F6">
        <w:rPr>
          <w:rFonts w:ascii="Times New Roman" w:hAnsi="Times New Roman" w:cs="Times New Roman"/>
          <w:lang w:val="ru-RU"/>
        </w:rPr>
        <w:tab/>
      </w:r>
      <w:r w:rsidRPr="004224F6">
        <w:rPr>
          <w:rFonts w:ascii="Times New Roman" w:hAnsi="Times New Roman" w:cs="Times New Roman"/>
          <w:b/>
          <w:color w:val="000000"/>
          <w:lang w:val="ru-RU"/>
        </w:rPr>
        <w:t>Други изисквания</w:t>
      </w:r>
    </w:p>
    <w:p w14:paraId="256E6A30"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4.1</w:t>
      </w:r>
      <w:r w:rsidRPr="004224F6">
        <w:rPr>
          <w:rFonts w:ascii="Times New Roman" w:hAnsi="Times New Roman" w:cs="Times New Roman"/>
          <w:lang w:val="ru-RU"/>
        </w:rPr>
        <w:tab/>
        <w:t>Независимо от точки 1 — 3, трябва да бъдат спазени следните изисквания:</w:t>
      </w:r>
    </w:p>
    <w:p w14:paraId="17EC680A"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rPr>
        <w:lastRenderedPageBreak/>
        <w:t>a</w:t>
      </w:r>
      <w:r w:rsidRPr="004224F6">
        <w:rPr>
          <w:rFonts w:ascii="Times New Roman" w:hAnsi="Times New Roman" w:cs="Times New Roman"/>
          <w:lang w:val="ru-RU"/>
        </w:rPr>
        <w:t>) за рулеви системи с ръчен привод един оборот на щурвала трябва да съответства на ъгъл на руля най-малко от 3°;</w:t>
      </w:r>
    </w:p>
    <w:p w14:paraId="63600EBD"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б) за рулеви системи с усилвател, когато рулят е максимално потопен, трябва да е възможно да се постигне средна ъглова скорост от 4°/</w:t>
      </w:r>
      <w:r w:rsidRPr="004224F6">
        <w:rPr>
          <w:rFonts w:ascii="Times New Roman" w:hAnsi="Times New Roman" w:cs="Times New Roman"/>
        </w:rPr>
        <w:t>s</w:t>
      </w:r>
      <w:r w:rsidRPr="004224F6">
        <w:rPr>
          <w:rFonts w:ascii="Times New Roman" w:hAnsi="Times New Roman" w:cs="Times New Roman"/>
          <w:lang w:val="ru-RU"/>
        </w:rPr>
        <w:t xml:space="preserve"> за целия диапазон на въртене на руля.</w:t>
      </w:r>
    </w:p>
    <w:p w14:paraId="772250F5"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Това изискване също трябва да се провери при движение на плавателния съд с пълна скорост за завъртане на руля в интервала от 35° към левия борд до 35° към десния борд. В допълнение трябва да се провери дали рулят запазва положението си при максималния ъгъл при максимална задвижваща мощност. За активна рулева система или специални типове рул тези разпоредби се прилагат </w:t>
      </w:r>
      <w:r w:rsidRPr="004224F6">
        <w:rPr>
          <w:rFonts w:ascii="Times New Roman" w:hAnsi="Times New Roman" w:cs="Times New Roman"/>
        </w:rPr>
        <w:t>mutatis</w:t>
      </w:r>
      <w:r w:rsidRPr="004224F6">
        <w:rPr>
          <w:rFonts w:ascii="Times New Roman" w:hAnsi="Times New Roman" w:cs="Times New Roman"/>
          <w:lang w:val="ru-RU"/>
        </w:rPr>
        <w:t xml:space="preserve"> </w:t>
      </w:r>
      <w:r w:rsidRPr="004224F6">
        <w:rPr>
          <w:rFonts w:ascii="Times New Roman" w:hAnsi="Times New Roman" w:cs="Times New Roman"/>
        </w:rPr>
        <w:t>mutandis</w:t>
      </w:r>
      <w:r w:rsidRPr="004224F6">
        <w:rPr>
          <w:rFonts w:ascii="Times New Roman" w:hAnsi="Times New Roman" w:cs="Times New Roman"/>
          <w:lang w:val="ru-RU"/>
        </w:rPr>
        <w:t>.</w:t>
      </w:r>
    </w:p>
    <w:p w14:paraId="7A88C135"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4.2</w:t>
      </w:r>
      <w:r w:rsidRPr="004224F6">
        <w:rPr>
          <w:rFonts w:ascii="Times New Roman" w:hAnsi="Times New Roman" w:cs="Times New Roman"/>
          <w:lang w:val="ru-RU"/>
        </w:rPr>
        <w:tab/>
        <w:t>Ако някой от елементите на допълнителното оборудване, споменато в член 5.05, е необходим за постигане на изискваните маневрени способности, той трябва да отговаря на изискванията от Глава 6, а в точка 52 от Корабното удостоверение за вътрешно корабоплаване се вписва следната информация:</w:t>
      </w:r>
    </w:p>
    <w:p w14:paraId="6B691858"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„Рулове за заден ход</w:t>
      </w:r>
      <w:r w:rsidRPr="004224F6">
        <w:rPr>
          <w:rFonts w:ascii="Times New Roman" w:hAnsi="Times New Roman" w:cs="Times New Roman"/>
          <w:vertAlign w:val="superscript"/>
          <w:lang w:val="ru-RU"/>
        </w:rPr>
        <w:footnoteReference w:customMarkFollows="1" w:id="55"/>
        <w:t>*)</w:t>
      </w:r>
      <w:r w:rsidRPr="004224F6">
        <w:rPr>
          <w:rFonts w:ascii="Times New Roman" w:hAnsi="Times New Roman" w:cs="Times New Roman"/>
          <w:lang w:val="ru-RU"/>
        </w:rPr>
        <w:t>/ носови подру</w:t>
      </w:r>
      <w:r w:rsidR="00E255A9" w:rsidRPr="004224F6">
        <w:rPr>
          <w:rFonts w:ascii="Times New Roman" w:hAnsi="Times New Roman" w:cs="Times New Roman"/>
          <w:lang w:val="ru-RU"/>
        </w:rPr>
        <w:t>лващи системи*/</w:t>
      </w:r>
      <w:r w:rsidRPr="004224F6">
        <w:rPr>
          <w:rFonts w:ascii="Times New Roman" w:hAnsi="Times New Roman" w:cs="Times New Roman"/>
          <w:lang w:val="ru-RU"/>
        </w:rPr>
        <w:t>друго оборудване*, посочено в точка 34, е*/са* необходимо(и) за спазване на изискванията за маневреност от Глава 5.</w:t>
      </w:r>
    </w:p>
    <w:p w14:paraId="39D7DF2E"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5.</w:t>
      </w:r>
      <w:r w:rsidRPr="004224F6">
        <w:rPr>
          <w:rFonts w:ascii="Times New Roman" w:hAnsi="Times New Roman" w:cs="Times New Roman"/>
          <w:lang w:val="ru-RU"/>
        </w:rPr>
        <w:tab/>
      </w:r>
      <w:r w:rsidRPr="004224F6">
        <w:rPr>
          <w:rFonts w:ascii="Times New Roman" w:hAnsi="Times New Roman" w:cs="Times New Roman"/>
          <w:b/>
          <w:color w:val="000000"/>
          <w:lang w:val="ru-RU"/>
        </w:rPr>
        <w:t>Записване на данни и протоколи</w:t>
      </w:r>
    </w:p>
    <w:p w14:paraId="2999C140"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Измерванията, съставянето на протоколите и записването на данните се извършват съгласно процедурата, определена в Приложение</w:t>
      </w:r>
      <w:r w:rsidRPr="004224F6">
        <w:rPr>
          <w:rFonts w:ascii="Times New Roman" w:hAnsi="Times New Roman" w:cs="Times New Roman"/>
        </w:rPr>
        <w:t> </w:t>
      </w:r>
      <w:r w:rsidRPr="004224F6">
        <w:rPr>
          <w:rFonts w:ascii="Times New Roman" w:hAnsi="Times New Roman" w:cs="Times New Roman"/>
          <w:lang w:val="ru-RU"/>
        </w:rPr>
        <w:t>2.</w:t>
      </w:r>
    </w:p>
    <w:p w14:paraId="0A97906A"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738BF604"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5B69EA8B"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19"/>
          <w:headerReference w:type="first" r:id="rId220"/>
          <w:pgSz w:w="11907" w:h="16840"/>
          <w:pgMar w:top="1134" w:right="1134" w:bottom="1134" w:left="1134" w:header="709" w:footer="709" w:gutter="0"/>
          <w:cols w:space="720"/>
          <w:titlePg/>
          <w:docGrid w:linePitch="299"/>
        </w:sectPr>
      </w:pPr>
    </w:p>
    <w:p w14:paraId="0957B057" w14:textId="77777777" w:rsidR="00271FA2" w:rsidRPr="004224F6" w:rsidRDefault="00D35E51" w:rsidP="00336D1E">
      <w:pPr>
        <w:pStyle w:val="ES-Titre4"/>
        <w:spacing w:after="0"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lastRenderedPageBreak/>
        <w:t xml:space="preserve">Приложение 1 към Инструкция </w:t>
      </w:r>
      <w:r w:rsidRPr="004224F6">
        <w:rPr>
          <w:rFonts w:ascii="Times New Roman" w:hAnsi="Times New Roman" w:cs="Times New Roman"/>
          <w:sz w:val="24"/>
          <w:szCs w:val="24"/>
        </w:rPr>
        <w:t>ESI</w:t>
      </w:r>
      <w:r w:rsidRPr="004224F6">
        <w:rPr>
          <w:rFonts w:ascii="Times New Roman" w:hAnsi="Times New Roman" w:cs="Times New Roman"/>
          <w:sz w:val="24"/>
          <w:szCs w:val="24"/>
          <w:lang w:val="ru-RU"/>
        </w:rPr>
        <w:t>-</w:t>
      </w:r>
      <w:r w:rsidRPr="004224F6">
        <w:rPr>
          <w:rFonts w:ascii="Times New Roman" w:hAnsi="Times New Roman" w:cs="Times New Roman"/>
          <w:sz w:val="24"/>
          <w:szCs w:val="24"/>
        </w:rPr>
        <w:t>II</w:t>
      </w:r>
      <w:r w:rsidRPr="004224F6">
        <w:rPr>
          <w:rFonts w:ascii="Times New Roman" w:hAnsi="Times New Roman" w:cs="Times New Roman"/>
          <w:sz w:val="24"/>
          <w:szCs w:val="24"/>
          <w:lang w:val="ru-RU"/>
        </w:rPr>
        <w:t>-4</w:t>
      </w:r>
    </w:p>
    <w:p w14:paraId="0414A4EB" w14:textId="77777777" w:rsidR="00271FA2" w:rsidRPr="004224F6" w:rsidRDefault="00D35E51">
      <w:pPr>
        <w:pStyle w:val="ES-Titre4a"/>
        <w:spacing w:line="240" w:lineRule="atLeast"/>
        <w:rPr>
          <w:rFonts w:ascii="Times New Roman" w:hAnsi="Times New Roman" w:cs="Times New Roman"/>
          <w:sz w:val="24"/>
          <w:szCs w:val="24"/>
        </w:rPr>
      </w:pPr>
      <w:r w:rsidRPr="004224F6">
        <w:rPr>
          <w:rFonts w:ascii="Times New Roman" w:hAnsi="Times New Roman" w:cs="Times New Roman"/>
          <w:sz w:val="24"/>
          <w:szCs w:val="24"/>
        </w:rPr>
        <w:t>Диаграма на маневрата за отклоняване</w:t>
      </w:r>
    </w:p>
    <w:p w14:paraId="27077E66" w14:textId="77777777" w:rsidR="00271FA2" w:rsidRPr="004224F6" w:rsidRDefault="00271FA2">
      <w:pPr>
        <w:overflowPunct w:val="0"/>
        <w:adjustRightInd w:val="0"/>
        <w:spacing w:line="240" w:lineRule="atLeast"/>
        <w:textAlignment w:val="baseline"/>
        <w:rPr>
          <w:rFonts w:ascii="Times New Roman" w:hAnsi="Times New Roman" w:cs="Times New Roman"/>
          <w:szCs w:val="20"/>
        </w:rPr>
      </w:pPr>
    </w:p>
    <w:p w14:paraId="6588DD47" w14:textId="77777777" w:rsidR="00271FA2" w:rsidRPr="004224F6" w:rsidRDefault="00D35E51">
      <w:pPr>
        <w:overflowPunct w:val="0"/>
        <w:adjustRightInd w:val="0"/>
        <w:spacing w:line="240" w:lineRule="atLeast"/>
        <w:jc w:val="center"/>
        <w:textAlignment w:val="baseline"/>
        <w:rPr>
          <w:rFonts w:ascii="Times New Roman" w:hAnsi="Times New Roman" w:cs="Times New Roman"/>
          <w:szCs w:val="20"/>
        </w:rPr>
      </w:pPr>
      <w:r w:rsidRPr="004224F6">
        <w:rPr>
          <w:rFonts w:ascii="Times New Roman" w:hAnsi="Times New Roman" w:cs="Times New Roman"/>
          <w:noProof/>
          <w:szCs w:val="20"/>
          <w:lang w:eastAsia="bg-BG"/>
        </w:rPr>
        <w:drawing>
          <wp:inline distT="0" distB="0" distL="0" distR="0" wp14:anchorId="3966444C" wp14:editId="2356F80B">
            <wp:extent cx="5286375" cy="2943225"/>
            <wp:effectExtent l="0" t="0" r="9525" b="9525"/>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 30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a:xfrm>
                      <a:off x="0" y="0"/>
                      <a:ext cx="5286375" cy="2943225"/>
                    </a:xfrm>
                    <a:prstGeom prst="rect">
                      <a:avLst/>
                    </a:prstGeom>
                    <a:noFill/>
                    <a:ln>
                      <a:noFill/>
                    </a:ln>
                  </pic:spPr>
                </pic:pic>
              </a:graphicData>
            </a:graphic>
          </wp:inline>
        </w:drawing>
      </w:r>
    </w:p>
    <w:p w14:paraId="4E9DDEE8" w14:textId="77777777" w:rsidR="00271FA2" w:rsidRPr="004224F6" w:rsidRDefault="002C62EC">
      <w:pPr>
        <w:tabs>
          <w:tab w:val="left" w:pos="993"/>
          <w:tab w:val="left" w:pos="1418"/>
        </w:tabs>
        <w:overflowPunct w:val="0"/>
        <w:adjustRightInd w:val="0"/>
        <w:spacing w:line="240" w:lineRule="atLeast"/>
        <w:ind w:left="567"/>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0</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Начало на маневрата за отклоняване</w:t>
      </w:r>
    </w:p>
    <w:p w14:paraId="197D5CA0" w14:textId="5E0DC914" w:rsidR="00271FA2" w:rsidRPr="004224F6" w:rsidRDefault="002C62EC">
      <w:pPr>
        <w:tabs>
          <w:tab w:val="left" w:pos="993"/>
          <w:tab w:val="left" w:pos="1418"/>
        </w:tabs>
        <w:overflowPunct w:val="0"/>
        <w:adjustRightInd w:val="0"/>
        <w:spacing w:line="240" w:lineRule="atLeast"/>
        <w:ind w:left="567"/>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1</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Време за достигане на скорост</w:t>
      </w:r>
      <w:r w:rsidR="00BD23B3" w:rsidRPr="004224F6">
        <w:rPr>
          <w:rFonts w:ascii="Times New Roman" w:hAnsi="Times New Roman" w:cs="Times New Roman"/>
          <w:lang w:val="ru-RU"/>
        </w:rPr>
        <w:t xml:space="preserve"> </w:t>
      </w:r>
      <w:r w:rsidR="0078218A" w:rsidRPr="004224F6">
        <w:rPr>
          <w:rFonts w:ascii="Times New Roman" w:hAnsi="Times New Roman" w:cs="Times New Roman"/>
          <w:lang w:val="ru-RU"/>
        </w:rPr>
        <w:t>на завиване</w:t>
      </w:r>
      <w:r w:rsidR="00D35E51"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1</m:t>
            </m:r>
          </m:sub>
        </m:sSub>
      </m:oMath>
    </w:p>
    <w:p w14:paraId="795720A4" w14:textId="51E7E200" w:rsidR="00271FA2" w:rsidRPr="004224F6" w:rsidRDefault="002C62EC">
      <w:pPr>
        <w:tabs>
          <w:tab w:val="left" w:pos="993"/>
          <w:tab w:val="left" w:pos="1418"/>
        </w:tabs>
        <w:overflowPunct w:val="0"/>
        <w:adjustRightInd w:val="0"/>
        <w:spacing w:line="240" w:lineRule="atLeast"/>
        <w:ind w:left="567"/>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2</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Време за достигане на скорост</w:t>
      </w:r>
      <w:r w:rsidR="00BD23B3" w:rsidRPr="004224F6">
        <w:rPr>
          <w:rFonts w:ascii="Times New Roman" w:hAnsi="Times New Roman" w:cs="Times New Roman"/>
          <w:lang w:val="ru-RU"/>
        </w:rPr>
        <w:t xml:space="preserve"> </w:t>
      </w:r>
      <w:r w:rsidR="0078218A" w:rsidRPr="004224F6">
        <w:rPr>
          <w:rFonts w:ascii="Times New Roman" w:hAnsi="Times New Roman" w:cs="Times New Roman"/>
          <w:lang w:val="ru-RU"/>
        </w:rPr>
        <w:t>на завиване</w:t>
      </w:r>
      <w:r w:rsidR="00D35E51"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2</m:t>
            </m:r>
          </m:sub>
        </m:sSub>
      </m:oMath>
      <w:r w:rsidR="00D35E51" w:rsidRPr="004224F6">
        <w:rPr>
          <w:rFonts w:ascii="Times New Roman" w:hAnsi="Times New Roman" w:cs="Times New Roman"/>
          <w:lang w:val="ru-RU"/>
        </w:rPr>
        <w:t xml:space="preserve"> = 0</w:t>
      </w:r>
    </w:p>
    <w:p w14:paraId="1E8C2E76" w14:textId="47D5FCC1" w:rsidR="00271FA2" w:rsidRPr="004224F6" w:rsidRDefault="002C62EC">
      <w:pPr>
        <w:tabs>
          <w:tab w:val="left" w:pos="993"/>
          <w:tab w:val="left" w:pos="1418"/>
        </w:tabs>
        <w:overflowPunct w:val="0"/>
        <w:adjustRightInd w:val="0"/>
        <w:spacing w:line="240" w:lineRule="atLeast"/>
        <w:ind w:left="567"/>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3</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Време за достигане на скорост</w:t>
      </w:r>
      <w:r w:rsidR="00BD23B3" w:rsidRPr="004224F6">
        <w:rPr>
          <w:rFonts w:ascii="Times New Roman" w:hAnsi="Times New Roman" w:cs="Times New Roman"/>
          <w:lang w:val="ru-RU"/>
        </w:rPr>
        <w:t xml:space="preserve"> </w:t>
      </w:r>
      <w:r w:rsidR="0078218A" w:rsidRPr="004224F6">
        <w:rPr>
          <w:rFonts w:ascii="Times New Roman" w:hAnsi="Times New Roman" w:cs="Times New Roman"/>
          <w:lang w:val="ru-RU"/>
        </w:rPr>
        <w:t>на завиване</w:t>
      </w:r>
      <w:r w:rsidR="00D35E51"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3</m:t>
            </m:r>
          </m:sub>
        </m:sSub>
      </m:oMath>
    </w:p>
    <w:p w14:paraId="02DF3A84" w14:textId="774E6162" w:rsidR="00271FA2" w:rsidRPr="004224F6" w:rsidRDefault="002C62EC">
      <w:pPr>
        <w:tabs>
          <w:tab w:val="left" w:pos="993"/>
          <w:tab w:val="left" w:pos="1418"/>
        </w:tabs>
        <w:overflowPunct w:val="0"/>
        <w:adjustRightInd w:val="0"/>
        <w:spacing w:line="240" w:lineRule="atLeast"/>
        <w:ind w:left="1418" w:hanging="851"/>
        <w:jc w:val="both"/>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t</m:t>
            </m:r>
          </m:e>
          <m:sub>
            <m:r>
              <w:rPr>
                <w:rFonts w:ascii="Cambria Math" w:hAnsi="Cambria Math" w:cs="Times New Roman"/>
                <w:szCs w:val="20"/>
                <w:lang w:val="ru-RU"/>
              </w:rPr>
              <m:t>4</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lang w:val="ru-RU"/>
        </w:rPr>
        <w:tab/>
        <w:t>Време за достигане на скорост</w:t>
      </w:r>
      <w:r w:rsidR="00BD23B3" w:rsidRPr="004224F6">
        <w:rPr>
          <w:rFonts w:ascii="Times New Roman" w:hAnsi="Times New Roman" w:cs="Times New Roman"/>
          <w:lang w:val="ru-RU"/>
        </w:rPr>
        <w:t xml:space="preserve"> </w:t>
      </w:r>
      <w:r w:rsidR="0078218A" w:rsidRPr="004224F6">
        <w:rPr>
          <w:rFonts w:ascii="Times New Roman" w:hAnsi="Times New Roman" w:cs="Times New Roman"/>
          <w:lang w:val="ru-RU"/>
        </w:rPr>
        <w:t>на завиване</w:t>
      </w:r>
      <w:r w:rsidR="00D35E51"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lang w:val="ru-RU"/>
              </w:rPr>
              <m:t>4</m:t>
            </m:r>
          </m:sub>
        </m:sSub>
      </m:oMath>
      <w:r w:rsidR="00D35E51" w:rsidRPr="004224F6">
        <w:rPr>
          <w:rFonts w:ascii="Times New Roman" w:hAnsi="Times New Roman" w:cs="Times New Roman"/>
          <w:vertAlign w:val="subscript"/>
          <w:lang w:val="ru-RU"/>
        </w:rPr>
        <w:t xml:space="preserve"> </w:t>
      </w:r>
      <w:r w:rsidR="00D35E51" w:rsidRPr="004224F6">
        <w:rPr>
          <w:rFonts w:ascii="Times New Roman" w:hAnsi="Times New Roman" w:cs="Times New Roman"/>
          <w:lang w:val="ru-RU"/>
        </w:rPr>
        <w:t>= 0 (край на маневрата за отклоняване).</w:t>
      </w:r>
    </w:p>
    <w:p w14:paraId="48D47EAB" w14:textId="77777777" w:rsidR="00271FA2" w:rsidRPr="004224F6" w:rsidRDefault="00D35E51">
      <w:pPr>
        <w:tabs>
          <w:tab w:val="left" w:pos="993"/>
          <w:tab w:val="left" w:pos="1418"/>
        </w:tabs>
        <w:overflowPunct w:val="0"/>
        <w:adjustRightInd w:val="0"/>
        <w:spacing w:line="240" w:lineRule="atLeast"/>
        <w:ind w:left="567"/>
        <w:textAlignment w:val="baseline"/>
        <w:rPr>
          <w:rFonts w:ascii="Times New Roman" w:hAnsi="Times New Roman" w:cs="Times New Roman"/>
          <w:szCs w:val="20"/>
          <w:lang w:val="ru-RU"/>
        </w:rPr>
      </w:pPr>
      <m:oMath>
        <m:r>
          <m:rPr>
            <m:sty m:val="p"/>
          </m:rPr>
          <w:rPr>
            <w:rFonts w:ascii="Cambria Math" w:hAnsi="Cambria Math" w:cs="Times New Roman"/>
            <w:szCs w:val="20"/>
          </w:rPr>
          <w:sym w:font="Symbol" w:char="F064"/>
        </m:r>
      </m:oMath>
      <w:r w:rsidRPr="004224F6">
        <w:rPr>
          <w:rFonts w:ascii="Times New Roman" w:hAnsi="Times New Roman" w:cs="Times New Roman"/>
          <w:lang w:val="ru-RU"/>
        </w:rPr>
        <w:tab/>
        <w:t>=</w:t>
      </w:r>
      <w:r w:rsidRPr="004224F6">
        <w:rPr>
          <w:rFonts w:ascii="Times New Roman" w:hAnsi="Times New Roman" w:cs="Times New Roman"/>
          <w:lang w:val="ru-RU"/>
        </w:rPr>
        <w:tab/>
        <w:t>Ъгъл на руля [°]</w:t>
      </w:r>
    </w:p>
    <w:p w14:paraId="1B0C401D" w14:textId="14FAF4AD" w:rsidR="00271FA2" w:rsidRPr="004224F6" w:rsidRDefault="00D35E51">
      <w:pPr>
        <w:tabs>
          <w:tab w:val="left" w:pos="993"/>
          <w:tab w:val="left" w:pos="1418"/>
        </w:tabs>
        <w:overflowPunct w:val="0"/>
        <w:adjustRightInd w:val="0"/>
        <w:spacing w:line="240" w:lineRule="atLeast"/>
        <w:ind w:left="567"/>
        <w:textAlignment w:val="baseline"/>
        <w:rPr>
          <w:rFonts w:ascii="Times New Roman" w:hAnsi="Times New Roman" w:cs="Times New Roman"/>
          <w:szCs w:val="20"/>
          <w:lang w:val="ru-RU"/>
        </w:rPr>
      </w:pPr>
      <m:oMath>
        <m:r>
          <w:rPr>
            <w:rFonts w:ascii="Cambria Math" w:hAnsi="Cambria Math" w:cs="Times New Roman"/>
            <w:szCs w:val="20"/>
          </w:rPr>
          <m:t>r</m:t>
        </m:r>
      </m:oMath>
      <w:r w:rsidRPr="004224F6">
        <w:rPr>
          <w:rFonts w:ascii="Times New Roman" w:hAnsi="Times New Roman" w:cs="Times New Roman"/>
          <w:lang w:val="ru-RU"/>
        </w:rPr>
        <w:tab/>
        <w:t>=</w:t>
      </w:r>
      <w:r w:rsidRPr="004224F6">
        <w:rPr>
          <w:rFonts w:ascii="Times New Roman" w:hAnsi="Times New Roman" w:cs="Times New Roman"/>
          <w:lang w:val="ru-RU"/>
        </w:rPr>
        <w:tab/>
        <w:t>Скорост</w:t>
      </w:r>
      <w:r w:rsidR="00BD23B3" w:rsidRPr="004224F6">
        <w:rPr>
          <w:rFonts w:ascii="Times New Roman" w:hAnsi="Times New Roman" w:cs="Times New Roman"/>
          <w:lang w:val="ru-RU"/>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w:t>
      </w:r>
      <w:r w:rsidRPr="004224F6">
        <w:rPr>
          <w:rFonts w:ascii="Times New Roman" w:hAnsi="Times New Roman" w:cs="Times New Roman"/>
        </w:rPr>
        <w:t>min</w:t>
      </w:r>
      <w:r w:rsidRPr="004224F6">
        <w:rPr>
          <w:rFonts w:ascii="Times New Roman" w:hAnsi="Times New Roman" w:cs="Times New Roman"/>
          <w:lang w:val="ru-RU"/>
        </w:rPr>
        <w:t>]</w:t>
      </w:r>
    </w:p>
    <w:p w14:paraId="400468C9" w14:textId="77777777" w:rsidR="00271FA2" w:rsidRPr="004224F6" w:rsidRDefault="00271FA2">
      <w:pPr>
        <w:tabs>
          <w:tab w:val="left" w:pos="284"/>
          <w:tab w:val="left" w:pos="709"/>
          <w:tab w:val="left" w:pos="993"/>
        </w:tabs>
        <w:overflowPunct w:val="0"/>
        <w:adjustRightInd w:val="0"/>
        <w:spacing w:line="240" w:lineRule="atLeast"/>
        <w:textAlignment w:val="baseline"/>
        <w:rPr>
          <w:rFonts w:ascii="Times New Roman" w:hAnsi="Times New Roman" w:cs="Times New Roman"/>
          <w:szCs w:val="20"/>
          <w:lang w:val="ru-RU"/>
        </w:rPr>
      </w:pPr>
    </w:p>
    <w:p w14:paraId="0434AF1B" w14:textId="77777777" w:rsidR="00271FA2" w:rsidRPr="004224F6" w:rsidRDefault="00271FA2">
      <w:pPr>
        <w:tabs>
          <w:tab w:val="left" w:pos="284"/>
          <w:tab w:val="left" w:pos="709"/>
          <w:tab w:val="left" w:pos="993"/>
        </w:tabs>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22"/>
          <w:footerReference w:type="default" r:id="rId223"/>
          <w:headerReference w:type="first" r:id="rId224"/>
          <w:footerReference w:type="first" r:id="rId225"/>
          <w:pgSz w:w="11907" w:h="16840"/>
          <w:pgMar w:top="1134" w:right="1134" w:bottom="1134" w:left="1134" w:header="709" w:footer="709" w:gutter="0"/>
          <w:cols w:space="720"/>
          <w:titlePg/>
          <w:docGrid w:linePitch="299"/>
        </w:sectPr>
      </w:pPr>
    </w:p>
    <w:p w14:paraId="742E483E" w14:textId="77777777" w:rsidR="00271FA2" w:rsidRPr="004224F6" w:rsidRDefault="00D35E51" w:rsidP="00336D1E">
      <w:pPr>
        <w:pStyle w:val="ES-Titre4"/>
        <w:spacing w:after="0"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lastRenderedPageBreak/>
        <w:t xml:space="preserve">Приложение 2 към Инструкция </w:t>
      </w:r>
      <w:r w:rsidRPr="004224F6">
        <w:rPr>
          <w:rFonts w:ascii="Times New Roman" w:hAnsi="Times New Roman" w:cs="Times New Roman"/>
          <w:sz w:val="24"/>
          <w:szCs w:val="24"/>
        </w:rPr>
        <w:t>ESI</w:t>
      </w:r>
      <w:r w:rsidRPr="004224F6">
        <w:rPr>
          <w:rFonts w:ascii="Times New Roman" w:hAnsi="Times New Roman" w:cs="Times New Roman"/>
          <w:sz w:val="24"/>
          <w:szCs w:val="24"/>
          <w:lang w:val="ru-RU"/>
        </w:rPr>
        <w:t>-</w:t>
      </w:r>
      <w:r w:rsidRPr="004224F6">
        <w:rPr>
          <w:rFonts w:ascii="Times New Roman" w:hAnsi="Times New Roman" w:cs="Times New Roman"/>
          <w:sz w:val="24"/>
          <w:szCs w:val="24"/>
        </w:rPr>
        <w:t>II</w:t>
      </w:r>
      <w:r w:rsidRPr="004224F6">
        <w:rPr>
          <w:rFonts w:ascii="Times New Roman" w:hAnsi="Times New Roman" w:cs="Times New Roman"/>
          <w:sz w:val="24"/>
          <w:szCs w:val="24"/>
          <w:lang w:val="ru-RU"/>
        </w:rPr>
        <w:t>-4</w:t>
      </w:r>
    </w:p>
    <w:p w14:paraId="2E965D86" w14:textId="382642C0" w:rsidR="00271FA2" w:rsidRPr="004224F6" w:rsidRDefault="00D35E51" w:rsidP="00336D1E">
      <w:pPr>
        <w:pStyle w:val="ES-Titre4a"/>
        <w:spacing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t xml:space="preserve">Протокол за маневрата за отклоняване и способността за </w:t>
      </w:r>
      <w:r w:rsidR="003B10AD" w:rsidRPr="004224F6">
        <w:rPr>
          <w:rFonts w:ascii="Times New Roman" w:hAnsi="Times New Roman" w:cs="Times New Roman"/>
          <w:sz w:val="24"/>
          <w:szCs w:val="24"/>
        </w:rPr>
        <w:t xml:space="preserve">завиване </w:t>
      </w:r>
    </w:p>
    <w:p w14:paraId="598E9FD7" w14:textId="77777777" w:rsidR="00271FA2" w:rsidRPr="004224F6" w:rsidRDefault="00D35E51">
      <w:pPr>
        <w:tabs>
          <w:tab w:val="left" w:pos="284"/>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Контролен орган: </w:t>
      </w:r>
    </w:p>
    <w:p w14:paraId="4F96E3DB" w14:textId="77777777" w:rsidR="00271FA2" w:rsidRPr="004224F6" w:rsidRDefault="00D35E51">
      <w:pPr>
        <w:tabs>
          <w:tab w:val="left" w:pos="284"/>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Дата: </w:t>
      </w:r>
    </w:p>
    <w:p w14:paraId="6AB01FD9" w14:textId="77777777" w:rsidR="00271FA2" w:rsidRPr="004224F6" w:rsidRDefault="00D35E51">
      <w:pPr>
        <w:tabs>
          <w:tab w:val="left" w:pos="284"/>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Име: </w:t>
      </w:r>
    </w:p>
    <w:p w14:paraId="01C2B921" w14:textId="77777777" w:rsidR="00271FA2" w:rsidRPr="004224F6" w:rsidRDefault="00D35E51">
      <w:pPr>
        <w:tabs>
          <w:tab w:val="left" w:pos="284"/>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Име на плавателното средство: </w:t>
      </w:r>
    </w:p>
    <w:p w14:paraId="2644CCAE" w14:textId="77777777" w:rsidR="00271FA2" w:rsidRPr="004224F6" w:rsidRDefault="00D35E51">
      <w:pPr>
        <w:tabs>
          <w:tab w:val="left" w:pos="284"/>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Собственик: </w:t>
      </w:r>
    </w:p>
    <w:p w14:paraId="386CF0B4" w14:textId="77777777" w:rsidR="00271FA2" w:rsidRPr="004224F6" w:rsidRDefault="00D35E51">
      <w:pPr>
        <w:tabs>
          <w:tab w:val="left" w:pos="284"/>
          <w:tab w:val="left" w:pos="5103"/>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Вид на плавателното средство</w:t>
      </w:r>
      <w:r w:rsidRPr="004224F6">
        <w:rPr>
          <w:rFonts w:ascii="Times New Roman" w:hAnsi="Times New Roman" w:cs="Times New Roman"/>
          <w:lang w:val="ru-RU"/>
        </w:rPr>
        <w:tab/>
        <w:t xml:space="preserve">Изпитвателен полигон: </w:t>
      </w:r>
    </w:p>
    <w:p w14:paraId="465AEA6E" w14:textId="77777777" w:rsidR="00271FA2" w:rsidRPr="004224F6" w:rsidRDefault="00D35E51">
      <w:pPr>
        <w:tabs>
          <w:tab w:val="left" w:pos="284"/>
          <w:tab w:val="left" w:leader="dot" w:pos="4536"/>
          <w:tab w:val="left" w:pos="5103"/>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или състав: </w:t>
      </w:r>
      <w:r w:rsidRPr="004224F6">
        <w:rPr>
          <w:rFonts w:ascii="Times New Roman" w:hAnsi="Times New Roman" w:cs="Times New Roman"/>
          <w:lang w:val="ru-RU"/>
        </w:rPr>
        <w:tab/>
      </w:r>
      <w:r w:rsidRPr="004224F6">
        <w:rPr>
          <w:rFonts w:ascii="Times New Roman" w:hAnsi="Times New Roman" w:cs="Times New Roman"/>
          <w:lang w:val="ru-RU"/>
        </w:rPr>
        <w:tab/>
        <w:t>Съответно ниво на водата [</w:t>
      </w:r>
      <w:r w:rsidRPr="004224F6">
        <w:rPr>
          <w:rFonts w:ascii="Times New Roman" w:hAnsi="Times New Roman" w:cs="Times New Roman"/>
        </w:rPr>
        <w:t>m</w:t>
      </w:r>
      <w:r w:rsidRPr="004224F6">
        <w:rPr>
          <w:rFonts w:ascii="Times New Roman" w:hAnsi="Times New Roman" w:cs="Times New Roman"/>
          <w:lang w:val="ru-RU"/>
        </w:rPr>
        <w:t xml:space="preserve">] : </w:t>
      </w:r>
    </w:p>
    <w:p w14:paraId="28E04AEA" w14:textId="77777777" w:rsidR="00271FA2" w:rsidRPr="004224F6" w:rsidRDefault="00D35E51">
      <w:pPr>
        <w:tabs>
          <w:tab w:val="left" w:pos="284"/>
          <w:tab w:val="left" w:leader="dot" w:pos="4536"/>
          <w:tab w:val="left" w:pos="5103"/>
          <w:tab w:val="left" w:leader="dot" w:pos="9072"/>
        </w:tabs>
        <w:overflowPunct w:val="0"/>
        <w:adjustRightInd w:val="0"/>
        <w:spacing w:line="240" w:lineRule="atLeast"/>
        <w:textAlignment w:val="baseline"/>
        <w:rPr>
          <w:rFonts w:ascii="Times New Roman" w:hAnsi="Times New Roman" w:cs="Times New Roman"/>
          <w:szCs w:val="20"/>
          <w:lang w:val="ru-RU"/>
        </w:rPr>
      </w:pPr>
      <m:oMath>
        <m:r>
          <w:rPr>
            <w:rFonts w:ascii="Cambria Math" w:hAnsi="Cambria Math" w:cs="Times New Roman"/>
            <w:szCs w:val="20"/>
          </w:rPr>
          <m:t>L</m:t>
        </m:r>
      </m:oMath>
      <w:r w:rsidRPr="004224F6">
        <w:rPr>
          <w:rFonts w:ascii="Times New Roman" w:hAnsi="Times New Roman" w:cs="Times New Roman"/>
          <w:lang w:val="ru-RU"/>
        </w:rPr>
        <w:t xml:space="preserve"> </w:t>
      </w:r>
      <w:r w:rsidRPr="004224F6">
        <w:rPr>
          <w:rFonts w:ascii="Times New Roman" w:hAnsi="Times New Roman" w:cs="Times New Roman"/>
        </w:rPr>
        <w:t>x</w:t>
      </w:r>
      <w:r w:rsidRPr="004224F6">
        <w:rPr>
          <w:rFonts w:ascii="Times New Roman" w:hAnsi="Times New Roman" w:cs="Times New Roman"/>
          <w:lang w:val="ru-RU"/>
        </w:rPr>
        <w:t xml:space="preserve"> </w:t>
      </w:r>
      <m:oMath>
        <m:r>
          <w:rPr>
            <w:rFonts w:ascii="Cambria Math" w:hAnsi="Cambria Math" w:cs="Times New Roman"/>
            <w:szCs w:val="20"/>
          </w:rPr>
          <m:t>B</m:t>
        </m:r>
      </m:oMath>
      <w:r w:rsidRPr="004224F6">
        <w:rPr>
          <w:rFonts w:ascii="Times New Roman" w:hAnsi="Times New Roman" w:cs="Times New Roman"/>
          <w:lang w:val="ru-RU"/>
        </w:rPr>
        <w:t xml:space="preserve"> [</w:t>
      </w:r>
      <w:r w:rsidRPr="004224F6">
        <w:rPr>
          <w:rFonts w:ascii="Times New Roman" w:hAnsi="Times New Roman" w:cs="Times New Roman"/>
        </w:rPr>
        <w:t>m</w:t>
      </w:r>
      <w:r w:rsidRPr="004224F6">
        <w:rPr>
          <w:rFonts w:ascii="Times New Roman" w:hAnsi="Times New Roman" w:cs="Times New Roman"/>
          <w:lang w:val="ru-RU"/>
        </w:rPr>
        <w:t xml:space="preserve"> </w:t>
      </w:r>
      <w:r w:rsidRPr="004224F6">
        <w:rPr>
          <w:rFonts w:ascii="Times New Roman" w:hAnsi="Times New Roman" w:cs="Times New Roman"/>
        </w:rPr>
        <w:t>x</w:t>
      </w:r>
      <w:r w:rsidRPr="004224F6">
        <w:rPr>
          <w:rFonts w:ascii="Times New Roman" w:hAnsi="Times New Roman" w:cs="Times New Roman"/>
          <w:lang w:val="ru-RU"/>
        </w:rPr>
        <w:t xml:space="preserve"> </w:t>
      </w:r>
      <w:r w:rsidRPr="004224F6">
        <w:rPr>
          <w:rFonts w:ascii="Times New Roman" w:hAnsi="Times New Roman" w:cs="Times New Roman"/>
        </w:rPr>
        <w:t>m</w:t>
      </w:r>
      <w:r w:rsidRPr="004224F6">
        <w:rPr>
          <w:rFonts w:ascii="Times New Roman" w:hAnsi="Times New Roman" w:cs="Times New Roman"/>
          <w:lang w:val="ru-RU"/>
        </w:rPr>
        <w:t xml:space="preserve">] : </w:t>
      </w:r>
      <w:r w:rsidRPr="004224F6">
        <w:rPr>
          <w:rFonts w:ascii="Times New Roman" w:hAnsi="Times New Roman" w:cs="Times New Roman"/>
          <w:lang w:val="ru-RU"/>
        </w:rPr>
        <w:tab/>
      </w:r>
      <w:r w:rsidRPr="004224F6">
        <w:rPr>
          <w:rFonts w:ascii="Times New Roman" w:hAnsi="Times New Roman" w:cs="Times New Roman"/>
          <w:lang w:val="ru-RU"/>
        </w:rPr>
        <w:tab/>
        <w:t xml:space="preserve">Дълбочина на водата </w:t>
      </w:r>
      <m:oMath>
        <m:r>
          <w:rPr>
            <w:rFonts w:ascii="Cambria Math" w:hAnsi="Cambria Math" w:cs="Times New Roman"/>
            <w:szCs w:val="20"/>
            <w:lang w:val="ru-RU"/>
          </w:rPr>
          <m:t>h</m:t>
        </m:r>
      </m:oMath>
      <w:r w:rsidRPr="004224F6">
        <w:rPr>
          <w:rFonts w:ascii="Times New Roman" w:hAnsi="Times New Roman" w:cs="Times New Roman"/>
          <w:lang w:val="ru-RU"/>
        </w:rPr>
        <w:t xml:space="preserve"> [</w:t>
      </w:r>
      <w:r w:rsidRPr="004224F6">
        <w:rPr>
          <w:rFonts w:ascii="Times New Roman" w:hAnsi="Times New Roman" w:cs="Times New Roman"/>
        </w:rPr>
        <w:t>m</w:t>
      </w:r>
      <w:r w:rsidRPr="004224F6">
        <w:rPr>
          <w:rFonts w:ascii="Times New Roman" w:hAnsi="Times New Roman" w:cs="Times New Roman"/>
          <w:lang w:val="ru-RU"/>
        </w:rPr>
        <w:t xml:space="preserve">]: </w:t>
      </w:r>
    </w:p>
    <w:p w14:paraId="3FA6BB64" w14:textId="77777777" w:rsidR="00271FA2" w:rsidRPr="004224F6" w:rsidRDefault="00D35E51">
      <w:pPr>
        <w:tabs>
          <w:tab w:val="left" w:pos="284"/>
          <w:tab w:val="left" w:leader="dot" w:pos="4536"/>
          <w:tab w:val="left" w:pos="5103"/>
          <w:tab w:val="left" w:leader="dot" w:pos="9072"/>
        </w:tabs>
        <w:overflowPunct w:val="0"/>
        <w:adjustRightInd w:val="0"/>
        <w:spacing w:line="240" w:lineRule="atLeast"/>
        <w:textAlignment w:val="baseline"/>
        <w:rPr>
          <w:rFonts w:ascii="Times New Roman" w:hAnsi="Times New Roman" w:cs="Times New Roman"/>
          <w:szCs w:val="20"/>
          <w:lang w:val="ru-RU"/>
        </w:rPr>
      </w:pPr>
      <m:oMath>
        <m:r>
          <w:rPr>
            <w:rFonts w:ascii="Cambria Math" w:hAnsi="Cambria Math" w:cs="Times New Roman"/>
            <w:szCs w:val="20"/>
          </w:rPr>
          <m:t>T</m:t>
        </m:r>
      </m:oMath>
      <w:r w:rsidRPr="004224F6">
        <w:rPr>
          <w:rFonts w:ascii="Times New Roman" w:hAnsi="Times New Roman" w:cs="Times New Roman"/>
          <w:lang w:val="ru-RU"/>
        </w:rPr>
        <w:t xml:space="preserve"> по време на изпитването [</w:t>
      </w:r>
      <w:r w:rsidRPr="004224F6">
        <w:rPr>
          <w:rFonts w:ascii="Times New Roman" w:hAnsi="Times New Roman" w:cs="Times New Roman"/>
        </w:rPr>
        <w:t>m</w:t>
      </w:r>
      <w:r w:rsidRPr="004224F6">
        <w:rPr>
          <w:rFonts w:ascii="Times New Roman" w:hAnsi="Times New Roman" w:cs="Times New Roman"/>
          <w:lang w:val="ru-RU"/>
        </w:rPr>
        <w:t xml:space="preserve">]: </w:t>
      </w:r>
      <w:r w:rsidRPr="004224F6">
        <w:rPr>
          <w:rFonts w:ascii="Times New Roman" w:hAnsi="Times New Roman" w:cs="Times New Roman"/>
          <w:lang w:val="ru-RU"/>
        </w:rPr>
        <w:tab/>
      </w:r>
      <w:r w:rsidRPr="004224F6">
        <w:rPr>
          <w:rFonts w:ascii="Times New Roman" w:hAnsi="Times New Roman" w:cs="Times New Roman"/>
          <w:lang w:val="ru-RU"/>
        </w:rPr>
        <w:tab/>
      </w:r>
      <m:oMath>
        <m:r>
          <w:rPr>
            <w:rFonts w:ascii="Cambria Math" w:hAnsi="Cambria Math" w:cs="Times New Roman"/>
            <w:szCs w:val="20"/>
            <w:lang w:val="ru-RU"/>
          </w:rPr>
          <m:t>h/</m:t>
        </m:r>
        <m:r>
          <w:rPr>
            <w:rFonts w:ascii="Cambria Math" w:hAnsi="Cambria Math" w:cs="Times New Roman"/>
            <w:szCs w:val="20"/>
          </w:rPr>
          <m:t>T</m:t>
        </m:r>
      </m:oMath>
      <w:r w:rsidRPr="004224F6">
        <w:rPr>
          <w:rFonts w:ascii="Times New Roman" w:hAnsi="Times New Roman" w:cs="Times New Roman"/>
          <w:lang w:val="ru-RU"/>
        </w:rPr>
        <w:t xml:space="preserve"> : </w:t>
      </w:r>
    </w:p>
    <w:p w14:paraId="7A6FB0A2" w14:textId="77777777" w:rsidR="00271FA2" w:rsidRPr="004224F6" w:rsidRDefault="00D35E51">
      <w:pPr>
        <w:tabs>
          <w:tab w:val="left" w:pos="5103"/>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ab/>
        <w:t>Скорост на течението [</w:t>
      </w:r>
      <w:r w:rsidRPr="004224F6">
        <w:rPr>
          <w:rFonts w:ascii="Times New Roman" w:hAnsi="Times New Roman" w:cs="Times New Roman"/>
        </w:rPr>
        <w:t>m</w:t>
      </w:r>
      <w:r w:rsidRPr="004224F6">
        <w:rPr>
          <w:rFonts w:ascii="Times New Roman" w:hAnsi="Times New Roman" w:cs="Times New Roman"/>
          <w:lang w:val="ru-RU"/>
        </w:rPr>
        <w:t>/</w:t>
      </w:r>
      <w:r w:rsidRPr="004224F6">
        <w:rPr>
          <w:rFonts w:ascii="Times New Roman" w:hAnsi="Times New Roman" w:cs="Times New Roman"/>
        </w:rPr>
        <w:t>s</w:t>
      </w:r>
      <w:r w:rsidRPr="004224F6">
        <w:rPr>
          <w:rFonts w:ascii="Times New Roman" w:hAnsi="Times New Roman" w:cs="Times New Roman"/>
          <w:lang w:val="ru-RU"/>
        </w:rPr>
        <w:t xml:space="preserve">] </w:t>
      </w:r>
      <w:r w:rsidRPr="004224F6">
        <w:rPr>
          <w:rFonts w:ascii="Times New Roman" w:hAnsi="Times New Roman" w:cs="Times New Roman"/>
          <w:lang w:val="ru-RU"/>
        </w:rPr>
        <w:tab/>
      </w:r>
    </w:p>
    <w:p w14:paraId="29D837BB" w14:textId="77777777" w:rsidR="00271FA2" w:rsidRPr="004224F6" w:rsidRDefault="00D35E51">
      <w:pPr>
        <w:tabs>
          <w:tab w:val="left" w:pos="284"/>
          <w:tab w:val="left" w:pos="5103"/>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Товар</w:t>
      </w:r>
      <w:r w:rsidRPr="004224F6">
        <w:rPr>
          <w:rFonts w:ascii="Times New Roman" w:hAnsi="Times New Roman" w:cs="Times New Roman"/>
          <w:lang w:val="ru-RU"/>
        </w:rPr>
        <w:tab/>
        <w:t>% от максималната</w:t>
      </w:r>
    </w:p>
    <w:p w14:paraId="66DEC498" w14:textId="77777777" w:rsidR="00271FA2" w:rsidRPr="004224F6" w:rsidRDefault="00D35E51">
      <w:pPr>
        <w:tabs>
          <w:tab w:val="left" w:pos="284"/>
          <w:tab w:val="left" w:leader="dot" w:pos="4536"/>
          <w:tab w:val="left" w:pos="5103"/>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(по време на изпитването) [</w:t>
      </w:r>
      <w:r w:rsidRPr="004224F6">
        <w:rPr>
          <w:rFonts w:ascii="Times New Roman" w:hAnsi="Times New Roman" w:cs="Times New Roman"/>
        </w:rPr>
        <w:t>t</w:t>
      </w:r>
      <w:r w:rsidRPr="004224F6">
        <w:rPr>
          <w:rFonts w:ascii="Times New Roman" w:hAnsi="Times New Roman" w:cs="Times New Roman"/>
          <w:lang w:val="ru-RU"/>
        </w:rPr>
        <w:t xml:space="preserve">]: </w:t>
      </w:r>
      <w:r w:rsidRPr="004224F6">
        <w:rPr>
          <w:rFonts w:ascii="Times New Roman" w:hAnsi="Times New Roman" w:cs="Times New Roman"/>
          <w:lang w:val="ru-RU"/>
        </w:rPr>
        <w:tab/>
      </w:r>
      <w:r w:rsidRPr="004224F6">
        <w:rPr>
          <w:rFonts w:ascii="Times New Roman" w:hAnsi="Times New Roman" w:cs="Times New Roman"/>
          <w:lang w:val="ru-RU"/>
        </w:rPr>
        <w:tab/>
        <w:t xml:space="preserve">товароподемност: </w:t>
      </w:r>
    </w:p>
    <w:p w14:paraId="0B28D5E3" w14:textId="36197023" w:rsidR="00271FA2" w:rsidRPr="004224F6" w:rsidRDefault="00D35E51">
      <w:pPr>
        <w:tabs>
          <w:tab w:val="left" w:pos="284"/>
          <w:tab w:val="left" w:leader="dot" w:pos="4536"/>
          <w:tab w:val="left" w:pos="5103"/>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Индикатор на скоростта на </w:t>
      </w:r>
      <w:r w:rsidR="008E1B68" w:rsidRPr="004224F6">
        <w:rPr>
          <w:rFonts w:ascii="Times New Roman" w:hAnsi="Times New Roman" w:cs="Times New Roman"/>
          <w:lang w:val="ru-RU"/>
        </w:rPr>
        <w:t xml:space="preserve"> </w:t>
      </w:r>
      <w:r w:rsidR="0078218A" w:rsidRPr="004224F6">
        <w:rPr>
          <w:rFonts w:ascii="Times New Roman" w:hAnsi="Times New Roman" w:cs="Times New Roman"/>
          <w:lang w:val="ru-RU"/>
        </w:rPr>
        <w:t>на завиване</w:t>
      </w:r>
    </w:p>
    <w:p w14:paraId="38A210B3" w14:textId="77777777" w:rsidR="00271FA2" w:rsidRPr="004224F6" w:rsidRDefault="00D35E51">
      <w:pPr>
        <w:tabs>
          <w:tab w:val="left" w:pos="284"/>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Тип : </w:t>
      </w:r>
    </w:p>
    <w:p w14:paraId="3C677573" w14:textId="77777777" w:rsidR="00271FA2" w:rsidRPr="004224F6" w:rsidRDefault="00D35E51">
      <w:pPr>
        <w:tabs>
          <w:tab w:val="left" w:pos="284"/>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Тип конструкция на руля: нормална конструкция/специална конструкция </w:t>
      </w:r>
      <w:r w:rsidRPr="004224F6">
        <w:rPr>
          <w:rFonts w:ascii="Times New Roman" w:hAnsi="Times New Roman" w:cs="Times New Roman"/>
          <w:vertAlign w:val="superscript"/>
          <w:lang w:val="ru-RU"/>
        </w:rPr>
        <w:footnoteReference w:customMarkFollows="1" w:id="56"/>
        <w:t>*)</w:t>
      </w:r>
    </w:p>
    <w:p w14:paraId="68118F1F" w14:textId="77777777" w:rsidR="00271FA2" w:rsidRPr="004224F6" w:rsidRDefault="00D35E51">
      <w:pPr>
        <w:tabs>
          <w:tab w:val="left" w:pos="284"/>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Активна рулева система: да/не *)</w:t>
      </w:r>
    </w:p>
    <w:p w14:paraId="04AC8A02" w14:textId="77777777" w:rsidR="00271FA2" w:rsidRPr="004224F6" w:rsidRDefault="00D35E51">
      <w:pPr>
        <w:tabs>
          <w:tab w:val="left" w:pos="284"/>
          <w:tab w:val="left" w:leader="dot" w:pos="9072"/>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Резултати от маневрите за отклоняване:</w:t>
      </w:r>
    </w:p>
    <w:tbl>
      <w:tblPr>
        <w:tblW w:w="0" w:type="auto"/>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18"/>
        <w:gridCol w:w="1417"/>
        <w:gridCol w:w="1417"/>
        <w:gridCol w:w="1417"/>
        <w:gridCol w:w="1419"/>
        <w:gridCol w:w="2268"/>
      </w:tblGrid>
      <w:tr w:rsidR="00271FA2" w:rsidRPr="004224F6" w14:paraId="55B24AA2" w14:textId="77777777">
        <w:tc>
          <w:tcPr>
            <w:tcW w:w="1418" w:type="dxa"/>
            <w:tcBorders>
              <w:top w:val="single" w:sz="6" w:space="0" w:color="auto"/>
              <w:left w:val="single" w:sz="6" w:space="0" w:color="auto"/>
              <w:bottom w:val="nil"/>
            </w:tcBorders>
            <w:vAlign w:val="center"/>
          </w:tcPr>
          <w:p w14:paraId="6A3717DC"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lang w:val="ru-RU"/>
              </w:rPr>
            </w:pPr>
            <w:r w:rsidRPr="004224F6">
              <w:rPr>
                <w:rFonts w:ascii="Times New Roman" w:hAnsi="Times New Roman" w:cs="Times New Roman"/>
                <w:sz w:val="20"/>
                <w:szCs w:val="20"/>
                <w:lang w:val="ru-RU"/>
              </w:rPr>
              <w:t xml:space="preserve">Време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lang w:val="ru-RU"/>
                    </w:rPr>
                    <m:t>1</m:t>
                  </m:r>
                </m:sub>
              </m:sSub>
            </m:oMath>
            <w:r w:rsidRPr="004224F6">
              <w:rPr>
                <w:rFonts w:ascii="Times New Roman" w:hAnsi="Times New Roman" w:cs="Times New Roman"/>
                <w:sz w:val="20"/>
                <w:szCs w:val="20"/>
                <w:lang w:val="ru-RU"/>
              </w:rPr>
              <w:t xml:space="preserve"> до </w:t>
            </w:r>
            <w:r w:rsidRPr="004224F6">
              <w:rPr>
                <w:rFonts w:ascii="Times New Roman" w:hAnsi="Times New Roman" w:cs="Times New Roman"/>
                <w:sz w:val="20"/>
                <w:szCs w:val="20"/>
              </w:rPr>
              <w:t>t</w:t>
            </w:r>
            <w:r w:rsidRPr="004224F6">
              <w:rPr>
                <w:rFonts w:ascii="Times New Roman" w:hAnsi="Times New Roman" w:cs="Times New Roman"/>
                <w:sz w:val="20"/>
                <w:szCs w:val="20"/>
                <w:vertAlign w:val="subscript"/>
                <w:lang w:val="ru-RU"/>
              </w:rPr>
              <w:t>4</w:t>
            </w:r>
            <w:r w:rsidRPr="004224F6">
              <w:rPr>
                <w:rFonts w:ascii="Times New Roman" w:hAnsi="Times New Roman" w:cs="Times New Roman"/>
                <w:sz w:val="20"/>
                <w:szCs w:val="20"/>
                <w:lang w:val="ru-RU"/>
              </w:rPr>
              <w:t xml:space="preserve">, необходимо  </w:t>
            </w:r>
          </w:p>
        </w:tc>
        <w:tc>
          <w:tcPr>
            <w:tcW w:w="5670" w:type="dxa"/>
            <w:gridSpan w:val="4"/>
            <w:tcBorders>
              <w:top w:val="single" w:sz="6" w:space="0" w:color="auto"/>
            </w:tcBorders>
            <w:vAlign w:val="center"/>
          </w:tcPr>
          <w:p w14:paraId="5E9B4868"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lang w:val="ru-RU"/>
              </w:rPr>
            </w:pPr>
            <w:r w:rsidRPr="004224F6">
              <w:rPr>
                <w:rFonts w:ascii="Times New Roman" w:hAnsi="Times New Roman" w:cs="Times New Roman"/>
                <w:sz w:val="20"/>
                <w:szCs w:val="20"/>
                <w:lang w:val="ru-RU"/>
              </w:rPr>
              <w:t xml:space="preserve">Ъгъл </w:t>
            </w:r>
            <w:r w:rsidRPr="004224F6">
              <w:rPr>
                <w:rFonts w:ascii="Times New Roman" w:hAnsi="Times New Roman" w:cs="Times New Roman"/>
                <w:sz w:val="20"/>
                <w:szCs w:val="20"/>
              </w:rPr>
              <w:sym w:font="Symbol" w:char="F064"/>
            </w:r>
            <w:r w:rsidRPr="004224F6">
              <w:rPr>
                <w:rFonts w:ascii="Times New Roman" w:hAnsi="Times New Roman" w:cs="Times New Roman"/>
                <w:sz w:val="20"/>
                <w:szCs w:val="20"/>
                <w:lang w:val="ru-RU"/>
              </w:rPr>
              <w:t xml:space="preserve"> или </w:t>
            </w:r>
            <m:oMath>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a</m:t>
                  </m:r>
                </m:sub>
              </m:sSub>
            </m:oMath>
            <w:r w:rsidRPr="004224F6">
              <w:rPr>
                <w:rFonts w:ascii="Times New Roman" w:hAnsi="Times New Roman" w:cs="Times New Roman"/>
                <w:sz w:val="20"/>
                <w:szCs w:val="20"/>
                <w:lang w:val="ru-RU"/>
              </w:rPr>
              <w:t xml:space="preserve"> *) на руля, при който започва действието за отклоняване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lang w:val="ru-RU"/>
                    </w:rPr>
                    <m:t>1</m:t>
                  </m:r>
                </m:sub>
              </m:sSub>
            </m:oMath>
            <w:r w:rsidRPr="004224F6">
              <w:rPr>
                <w:rFonts w:ascii="Times New Roman" w:hAnsi="Times New Roman" w:cs="Times New Roman"/>
                <w:sz w:val="20"/>
                <w:szCs w:val="20"/>
                <w:lang w:val="ru-RU"/>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lang w:val="ru-RU"/>
                    </w:rPr>
                    <m:t>3</m:t>
                  </m:r>
                </m:sub>
              </m:sSub>
            </m:oMath>
          </w:p>
        </w:tc>
        <w:tc>
          <w:tcPr>
            <w:tcW w:w="2268" w:type="dxa"/>
            <w:tcBorders>
              <w:top w:val="single" w:sz="6" w:space="0" w:color="auto"/>
              <w:bottom w:val="nil"/>
              <w:right w:val="single" w:sz="6" w:space="0" w:color="auto"/>
            </w:tcBorders>
            <w:vAlign w:val="center"/>
          </w:tcPr>
          <w:p w14:paraId="0635B6CB"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r w:rsidRPr="004224F6">
              <w:rPr>
                <w:rFonts w:ascii="Times New Roman" w:hAnsi="Times New Roman" w:cs="Times New Roman"/>
                <w:sz w:val="20"/>
                <w:szCs w:val="20"/>
              </w:rPr>
              <w:t>Забележки</w:t>
            </w:r>
          </w:p>
        </w:tc>
      </w:tr>
      <w:tr w:rsidR="00271FA2" w:rsidRPr="004224F6" w14:paraId="1BE9B352" w14:textId="77777777">
        <w:tc>
          <w:tcPr>
            <w:tcW w:w="1418" w:type="dxa"/>
            <w:tcBorders>
              <w:top w:val="nil"/>
              <w:left w:val="single" w:sz="6" w:space="0" w:color="auto"/>
              <w:bottom w:val="nil"/>
            </w:tcBorders>
            <w:vAlign w:val="center"/>
          </w:tcPr>
          <w:p w14:paraId="33E60E3B"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r w:rsidRPr="004224F6">
              <w:rPr>
                <w:rFonts w:ascii="Times New Roman" w:hAnsi="Times New Roman" w:cs="Times New Roman"/>
                <w:sz w:val="20"/>
                <w:szCs w:val="20"/>
              </w:rPr>
              <w:t>за действието за отклоняване</w:t>
            </w:r>
          </w:p>
        </w:tc>
        <w:tc>
          <w:tcPr>
            <w:tcW w:w="1417" w:type="dxa"/>
            <w:vAlign w:val="center"/>
          </w:tcPr>
          <w:p w14:paraId="1BBCBE0F"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r>
                <m:rPr>
                  <m:sty m:val="p"/>
                </m:rPr>
                <w:rPr>
                  <w:rFonts w:ascii="Cambria Math" w:hAnsi="Cambria Math" w:cs="Times New Roman"/>
                  <w:sz w:val="20"/>
                  <w:szCs w:val="20"/>
                </w:rPr>
                <w:sym w:font="Symbol" w:char="F064"/>
              </m:r>
            </m:oMath>
            <w:r w:rsidRPr="004224F6">
              <w:rPr>
                <w:rFonts w:ascii="Times New Roman" w:hAnsi="Times New Roman" w:cs="Times New Roman"/>
                <w:sz w:val="20"/>
                <w:szCs w:val="20"/>
              </w:rPr>
              <w:t xml:space="preserve"> = 20° TB*)</w:t>
            </w:r>
            <w:r w:rsidRPr="004224F6">
              <w:rPr>
                <w:rFonts w:ascii="Times New Roman" w:hAnsi="Times New Roman" w:cs="Times New Roman"/>
                <w:sz w:val="20"/>
                <w:szCs w:val="20"/>
              </w:rPr>
              <w:br/>
            </w:r>
            <m:oMath>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a</m:t>
                  </m:r>
                </m:sub>
              </m:sSub>
            </m:oMath>
            <w:r w:rsidRPr="004224F6">
              <w:rPr>
                <w:rFonts w:ascii="Times New Roman" w:hAnsi="Times New Roman" w:cs="Times New Roman"/>
                <w:sz w:val="20"/>
                <w:szCs w:val="20"/>
              </w:rPr>
              <w:t xml:space="preserve"> = .... TB*)</w:t>
            </w:r>
          </w:p>
        </w:tc>
        <w:tc>
          <w:tcPr>
            <w:tcW w:w="1417" w:type="dxa"/>
            <w:vAlign w:val="center"/>
          </w:tcPr>
          <w:p w14:paraId="32D40A02"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r>
                <m:rPr>
                  <m:sty m:val="p"/>
                </m:rPr>
                <w:rPr>
                  <w:rFonts w:ascii="Cambria Math" w:hAnsi="Cambria Math" w:cs="Times New Roman"/>
                  <w:sz w:val="20"/>
                  <w:szCs w:val="20"/>
                </w:rPr>
                <w:sym w:font="Symbol" w:char="F064"/>
              </m:r>
            </m:oMath>
            <w:r w:rsidRPr="004224F6">
              <w:rPr>
                <w:rFonts w:ascii="Times New Roman" w:hAnsi="Times New Roman" w:cs="Times New Roman"/>
                <w:sz w:val="20"/>
                <w:szCs w:val="20"/>
              </w:rPr>
              <w:t xml:space="preserve"> = 20° BB*)</w:t>
            </w:r>
            <w:r w:rsidRPr="004224F6">
              <w:rPr>
                <w:rFonts w:ascii="Times New Roman" w:hAnsi="Times New Roman" w:cs="Times New Roman"/>
                <w:sz w:val="20"/>
                <w:szCs w:val="20"/>
              </w:rPr>
              <w:br/>
            </w:r>
            <m:oMath>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a</m:t>
                  </m:r>
                </m:sub>
              </m:sSub>
            </m:oMath>
            <w:r w:rsidRPr="004224F6">
              <w:rPr>
                <w:rFonts w:ascii="Times New Roman" w:hAnsi="Times New Roman" w:cs="Times New Roman"/>
                <w:sz w:val="20"/>
                <w:szCs w:val="20"/>
              </w:rPr>
              <w:t xml:space="preserve"> = .... BB*)</w:t>
            </w:r>
          </w:p>
        </w:tc>
        <w:tc>
          <w:tcPr>
            <w:tcW w:w="1417" w:type="dxa"/>
            <w:vAlign w:val="center"/>
          </w:tcPr>
          <w:p w14:paraId="0B90D049"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r>
                <m:rPr>
                  <m:sty m:val="p"/>
                </m:rPr>
                <w:rPr>
                  <w:rFonts w:ascii="Cambria Math" w:hAnsi="Cambria Math" w:cs="Times New Roman"/>
                  <w:sz w:val="20"/>
                  <w:szCs w:val="20"/>
                </w:rPr>
                <w:sym w:font="Symbol" w:char="F064"/>
              </m:r>
            </m:oMath>
            <w:r w:rsidRPr="004224F6">
              <w:rPr>
                <w:rFonts w:ascii="Times New Roman" w:hAnsi="Times New Roman" w:cs="Times New Roman"/>
                <w:sz w:val="20"/>
                <w:szCs w:val="20"/>
              </w:rPr>
              <w:t xml:space="preserve"> = 45° TB*)</w:t>
            </w:r>
            <w:r w:rsidRPr="004224F6">
              <w:rPr>
                <w:rFonts w:ascii="Times New Roman" w:hAnsi="Times New Roman" w:cs="Times New Roman"/>
                <w:sz w:val="20"/>
                <w:szCs w:val="20"/>
              </w:rPr>
              <w:br/>
            </w:r>
            <m:oMath>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a</m:t>
                  </m:r>
                </m:sub>
              </m:sSub>
            </m:oMath>
            <w:r w:rsidRPr="004224F6">
              <w:rPr>
                <w:rFonts w:ascii="Times New Roman" w:hAnsi="Times New Roman" w:cs="Times New Roman"/>
                <w:sz w:val="20"/>
                <w:szCs w:val="20"/>
              </w:rPr>
              <w:t xml:space="preserve"> = ..... TB*)</w:t>
            </w:r>
          </w:p>
        </w:tc>
        <w:tc>
          <w:tcPr>
            <w:tcW w:w="1417" w:type="dxa"/>
            <w:vAlign w:val="center"/>
          </w:tcPr>
          <w:p w14:paraId="4D934707"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r>
                <m:rPr>
                  <m:sty m:val="p"/>
                </m:rPr>
                <w:rPr>
                  <w:rFonts w:ascii="Cambria Math" w:hAnsi="Cambria Math" w:cs="Times New Roman"/>
                  <w:sz w:val="20"/>
                  <w:szCs w:val="20"/>
                </w:rPr>
                <w:sym w:font="Symbol" w:char="F064"/>
              </m:r>
            </m:oMath>
            <w:r w:rsidRPr="004224F6">
              <w:rPr>
                <w:rFonts w:ascii="Times New Roman" w:hAnsi="Times New Roman" w:cs="Times New Roman"/>
                <w:sz w:val="20"/>
                <w:szCs w:val="20"/>
              </w:rPr>
              <w:t xml:space="preserve"> = 45° BB*)</w:t>
            </w:r>
            <w:r w:rsidRPr="004224F6">
              <w:rPr>
                <w:rFonts w:ascii="Times New Roman" w:hAnsi="Times New Roman" w:cs="Times New Roman"/>
                <w:sz w:val="20"/>
                <w:szCs w:val="20"/>
              </w:rPr>
              <w:br/>
            </w:r>
            <m:oMath>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a</m:t>
                  </m:r>
                </m:sub>
              </m:sSub>
            </m:oMath>
            <w:r w:rsidRPr="004224F6">
              <w:rPr>
                <w:rFonts w:ascii="Times New Roman" w:hAnsi="Times New Roman" w:cs="Times New Roman"/>
                <w:sz w:val="20"/>
                <w:szCs w:val="20"/>
              </w:rPr>
              <w:t xml:space="preserve"> = .... BB*)</w:t>
            </w:r>
          </w:p>
        </w:tc>
        <w:tc>
          <w:tcPr>
            <w:tcW w:w="2268" w:type="dxa"/>
            <w:tcBorders>
              <w:top w:val="nil"/>
              <w:bottom w:val="single" w:sz="6" w:space="0" w:color="auto"/>
              <w:right w:val="single" w:sz="6" w:space="0" w:color="auto"/>
            </w:tcBorders>
            <w:vAlign w:val="center"/>
          </w:tcPr>
          <w:p w14:paraId="2618AE76"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r>
      <w:tr w:rsidR="00271FA2" w:rsidRPr="004224F6" w14:paraId="62631EAE" w14:textId="77777777">
        <w:tc>
          <w:tcPr>
            <w:tcW w:w="1418" w:type="dxa"/>
            <w:tcBorders>
              <w:top w:val="nil"/>
              <w:left w:val="single" w:sz="6" w:space="0" w:color="auto"/>
              <w:bottom w:val="single" w:sz="6" w:space="0" w:color="auto"/>
            </w:tcBorders>
            <w:vAlign w:val="center"/>
          </w:tcPr>
          <w:p w14:paraId="6F910B15"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2834" w:type="dxa"/>
            <w:gridSpan w:val="2"/>
            <w:vAlign w:val="center"/>
          </w:tcPr>
          <w:p w14:paraId="2A630A9C" w14:textId="77777777" w:rsidR="00271FA2" w:rsidRPr="004224F6" w:rsidRDefault="002C62EC">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oMath>
            <w:r w:rsidR="00D35E51" w:rsidRPr="004224F6">
              <w:rPr>
                <w:rFonts w:ascii="Times New Roman"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3</m:t>
                  </m:r>
                </m:sub>
              </m:sSub>
            </m:oMath>
            <w:r w:rsidR="00D35E51" w:rsidRPr="004224F6">
              <w:rPr>
                <w:rFonts w:ascii="Times New Roman" w:hAnsi="Times New Roman" w:cs="Times New Roman"/>
                <w:sz w:val="20"/>
                <w:szCs w:val="20"/>
              </w:rPr>
              <w:t xml:space="preserve"> = ........ °/min</w:t>
            </w:r>
          </w:p>
        </w:tc>
        <w:tc>
          <w:tcPr>
            <w:tcW w:w="2834" w:type="dxa"/>
            <w:gridSpan w:val="2"/>
            <w:vAlign w:val="center"/>
          </w:tcPr>
          <w:p w14:paraId="349ABE64" w14:textId="77777777" w:rsidR="00271FA2" w:rsidRPr="004224F6" w:rsidRDefault="002C62EC">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oMath>
            <w:r w:rsidR="00D35E51" w:rsidRPr="004224F6">
              <w:rPr>
                <w:rFonts w:ascii="Times New Roman"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3</m:t>
                  </m:r>
                </m:sub>
              </m:sSub>
            </m:oMath>
            <w:r w:rsidR="00D35E51" w:rsidRPr="004224F6">
              <w:rPr>
                <w:rFonts w:ascii="Times New Roman" w:hAnsi="Times New Roman" w:cs="Times New Roman"/>
                <w:sz w:val="20"/>
                <w:szCs w:val="20"/>
              </w:rPr>
              <w:t xml:space="preserve"> = ........ °/min</w:t>
            </w:r>
          </w:p>
        </w:tc>
        <w:tc>
          <w:tcPr>
            <w:tcW w:w="2268" w:type="dxa"/>
            <w:tcBorders>
              <w:top w:val="nil"/>
              <w:bottom w:val="single" w:sz="6" w:space="0" w:color="auto"/>
              <w:right w:val="single" w:sz="6" w:space="0" w:color="auto"/>
            </w:tcBorders>
            <w:vAlign w:val="center"/>
          </w:tcPr>
          <w:p w14:paraId="2F86D341"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r>
      <w:tr w:rsidR="00271FA2" w:rsidRPr="004224F6" w14:paraId="0863B188" w14:textId="77777777">
        <w:tc>
          <w:tcPr>
            <w:tcW w:w="1418" w:type="dxa"/>
            <w:tcBorders>
              <w:top w:val="nil"/>
              <w:left w:val="single" w:sz="6" w:space="0" w:color="auto"/>
            </w:tcBorders>
            <w:vAlign w:val="center"/>
          </w:tcPr>
          <w:p w14:paraId="0F9CF0A6" w14:textId="77777777" w:rsidR="00271FA2" w:rsidRPr="004224F6" w:rsidRDefault="002C62EC">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1</m:t>
                  </m:r>
                </m:sub>
              </m:sSub>
            </m:oMath>
            <w:r w:rsidR="00D35E51" w:rsidRPr="004224F6">
              <w:rPr>
                <w:rFonts w:ascii="Times New Roman" w:hAnsi="Times New Roman" w:cs="Times New Roman"/>
                <w:sz w:val="20"/>
                <w:szCs w:val="20"/>
              </w:rPr>
              <w:t xml:space="preserve"> [s]</w:t>
            </w:r>
          </w:p>
        </w:tc>
        <w:tc>
          <w:tcPr>
            <w:tcW w:w="1417" w:type="dxa"/>
            <w:vAlign w:val="center"/>
          </w:tcPr>
          <w:p w14:paraId="12C8D850"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vAlign w:val="center"/>
          </w:tcPr>
          <w:p w14:paraId="3E1F3DE5"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vAlign w:val="center"/>
          </w:tcPr>
          <w:p w14:paraId="4F9642F2"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vAlign w:val="center"/>
          </w:tcPr>
          <w:p w14:paraId="52932610"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2268" w:type="dxa"/>
            <w:tcBorders>
              <w:top w:val="nil"/>
              <w:right w:val="single" w:sz="6" w:space="0" w:color="auto"/>
            </w:tcBorders>
            <w:vAlign w:val="center"/>
          </w:tcPr>
          <w:p w14:paraId="72282015"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r>
      <w:tr w:rsidR="00271FA2" w:rsidRPr="004224F6" w14:paraId="4FE2973C" w14:textId="77777777">
        <w:tc>
          <w:tcPr>
            <w:tcW w:w="1418" w:type="dxa"/>
            <w:tcBorders>
              <w:left w:val="single" w:sz="6" w:space="0" w:color="auto"/>
            </w:tcBorders>
            <w:vAlign w:val="center"/>
          </w:tcPr>
          <w:p w14:paraId="739E5118" w14:textId="77777777" w:rsidR="00271FA2" w:rsidRPr="004224F6" w:rsidRDefault="002C62EC">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2</m:t>
                  </m:r>
                </m:sub>
              </m:sSub>
            </m:oMath>
            <w:r w:rsidR="00D35E51" w:rsidRPr="004224F6">
              <w:rPr>
                <w:rFonts w:ascii="Times New Roman" w:hAnsi="Times New Roman" w:cs="Times New Roman"/>
                <w:sz w:val="20"/>
                <w:szCs w:val="20"/>
              </w:rPr>
              <w:t xml:space="preserve"> [s]</w:t>
            </w:r>
          </w:p>
        </w:tc>
        <w:tc>
          <w:tcPr>
            <w:tcW w:w="1417" w:type="dxa"/>
            <w:vAlign w:val="center"/>
          </w:tcPr>
          <w:p w14:paraId="1B9A09BF"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vAlign w:val="center"/>
          </w:tcPr>
          <w:p w14:paraId="7F7499F5"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vAlign w:val="center"/>
          </w:tcPr>
          <w:p w14:paraId="37434756"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vAlign w:val="center"/>
          </w:tcPr>
          <w:p w14:paraId="2B14877C"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2268" w:type="dxa"/>
            <w:tcBorders>
              <w:right w:val="single" w:sz="6" w:space="0" w:color="auto"/>
            </w:tcBorders>
            <w:vAlign w:val="center"/>
          </w:tcPr>
          <w:p w14:paraId="4D9E6056"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r>
      <w:tr w:rsidR="00271FA2" w:rsidRPr="004224F6" w14:paraId="5EB9DB20" w14:textId="77777777">
        <w:tc>
          <w:tcPr>
            <w:tcW w:w="1418" w:type="dxa"/>
            <w:tcBorders>
              <w:left w:val="single" w:sz="6" w:space="0" w:color="auto"/>
              <w:bottom w:val="nil"/>
            </w:tcBorders>
            <w:vAlign w:val="center"/>
          </w:tcPr>
          <w:p w14:paraId="42D0CA63" w14:textId="77777777" w:rsidR="00271FA2" w:rsidRPr="004224F6" w:rsidRDefault="002C62EC">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3</m:t>
                  </m:r>
                </m:sub>
              </m:sSub>
            </m:oMath>
            <w:r w:rsidR="00D35E51" w:rsidRPr="004224F6">
              <w:rPr>
                <w:rFonts w:ascii="Times New Roman" w:hAnsi="Times New Roman" w:cs="Times New Roman"/>
                <w:sz w:val="20"/>
                <w:szCs w:val="20"/>
              </w:rPr>
              <w:t xml:space="preserve"> [s]</w:t>
            </w:r>
          </w:p>
        </w:tc>
        <w:tc>
          <w:tcPr>
            <w:tcW w:w="1417" w:type="dxa"/>
            <w:tcBorders>
              <w:bottom w:val="nil"/>
            </w:tcBorders>
            <w:vAlign w:val="center"/>
          </w:tcPr>
          <w:p w14:paraId="5EF11FE4"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tcBorders>
              <w:bottom w:val="nil"/>
            </w:tcBorders>
            <w:vAlign w:val="center"/>
          </w:tcPr>
          <w:p w14:paraId="63614531"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tcBorders>
              <w:bottom w:val="nil"/>
            </w:tcBorders>
            <w:vAlign w:val="center"/>
          </w:tcPr>
          <w:p w14:paraId="25A86110"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tcBorders>
              <w:bottom w:val="nil"/>
            </w:tcBorders>
            <w:vAlign w:val="center"/>
          </w:tcPr>
          <w:p w14:paraId="47A06ABE"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2268" w:type="dxa"/>
            <w:tcBorders>
              <w:bottom w:val="nil"/>
              <w:right w:val="single" w:sz="6" w:space="0" w:color="auto"/>
            </w:tcBorders>
            <w:vAlign w:val="center"/>
          </w:tcPr>
          <w:p w14:paraId="702BE33F"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r>
      <w:tr w:rsidR="00271FA2" w:rsidRPr="004224F6" w14:paraId="74E0F4E7" w14:textId="77777777">
        <w:tc>
          <w:tcPr>
            <w:tcW w:w="1418" w:type="dxa"/>
            <w:tcBorders>
              <w:top w:val="double" w:sz="6" w:space="0" w:color="auto"/>
              <w:left w:val="single" w:sz="6" w:space="0" w:color="auto"/>
              <w:bottom w:val="single" w:sz="6" w:space="0" w:color="auto"/>
            </w:tcBorders>
            <w:vAlign w:val="center"/>
          </w:tcPr>
          <w:p w14:paraId="1B18428E" w14:textId="77777777" w:rsidR="00271FA2" w:rsidRPr="004224F6" w:rsidRDefault="002C62EC">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4</m:t>
                  </m:r>
                </m:sub>
              </m:sSub>
            </m:oMath>
            <w:r w:rsidR="00D35E51" w:rsidRPr="004224F6">
              <w:rPr>
                <w:rFonts w:ascii="Times New Roman" w:hAnsi="Times New Roman" w:cs="Times New Roman"/>
                <w:sz w:val="20"/>
                <w:szCs w:val="20"/>
              </w:rPr>
              <w:t xml:space="preserve"> [s]</w:t>
            </w:r>
          </w:p>
        </w:tc>
        <w:tc>
          <w:tcPr>
            <w:tcW w:w="1417" w:type="dxa"/>
            <w:tcBorders>
              <w:top w:val="double" w:sz="6" w:space="0" w:color="auto"/>
              <w:bottom w:val="single" w:sz="6" w:space="0" w:color="auto"/>
            </w:tcBorders>
            <w:vAlign w:val="center"/>
          </w:tcPr>
          <w:p w14:paraId="0CBDF298"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tcBorders>
              <w:top w:val="double" w:sz="6" w:space="0" w:color="auto"/>
              <w:bottom w:val="single" w:sz="6" w:space="0" w:color="auto"/>
            </w:tcBorders>
            <w:vAlign w:val="center"/>
          </w:tcPr>
          <w:p w14:paraId="6E105CC0"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tcBorders>
              <w:top w:val="double" w:sz="6" w:space="0" w:color="auto"/>
              <w:bottom w:val="single" w:sz="6" w:space="0" w:color="auto"/>
            </w:tcBorders>
            <w:vAlign w:val="center"/>
          </w:tcPr>
          <w:p w14:paraId="04C3200C"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1417" w:type="dxa"/>
            <w:tcBorders>
              <w:top w:val="double" w:sz="6" w:space="0" w:color="auto"/>
              <w:bottom w:val="single" w:sz="6" w:space="0" w:color="auto"/>
            </w:tcBorders>
            <w:vAlign w:val="center"/>
          </w:tcPr>
          <w:p w14:paraId="4CB12E39"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c>
          <w:tcPr>
            <w:tcW w:w="2268" w:type="dxa"/>
            <w:tcBorders>
              <w:top w:val="double" w:sz="6" w:space="0" w:color="auto"/>
              <w:bottom w:val="single" w:sz="6" w:space="0" w:color="auto"/>
              <w:right w:val="single" w:sz="6" w:space="0" w:color="auto"/>
            </w:tcBorders>
            <w:vAlign w:val="center"/>
          </w:tcPr>
          <w:p w14:paraId="44470D95" w14:textId="77777777" w:rsidR="00271FA2" w:rsidRPr="004224F6" w:rsidRDefault="00271FA2">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p>
        </w:tc>
      </w:tr>
      <w:tr w:rsidR="00271FA2" w:rsidRPr="004224F6" w14:paraId="36DDC43C" w14:textId="77777777">
        <w:tc>
          <w:tcPr>
            <w:tcW w:w="1418" w:type="dxa"/>
            <w:tcBorders>
              <w:top w:val="double" w:sz="6" w:space="0" w:color="auto"/>
              <w:left w:val="single" w:sz="6" w:space="0" w:color="auto"/>
              <w:bottom w:val="single" w:sz="6" w:space="0" w:color="auto"/>
              <w:right w:val="single" w:sz="6" w:space="0" w:color="auto"/>
            </w:tcBorders>
            <w:vAlign w:val="center"/>
          </w:tcPr>
          <w:p w14:paraId="752031B5"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lang w:val="ru-RU"/>
              </w:rPr>
            </w:pPr>
            <w:r w:rsidRPr="004224F6">
              <w:rPr>
                <w:rFonts w:ascii="Times New Roman" w:hAnsi="Times New Roman" w:cs="Times New Roman"/>
                <w:sz w:val="20"/>
                <w:szCs w:val="20"/>
                <w:lang w:val="ru-RU"/>
              </w:rPr>
              <w:t xml:space="preserve">Пределна стойност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lang w:val="ru-RU"/>
                    </w:rPr>
                    <m:t>4</m:t>
                  </m:r>
                </m:sub>
              </m:sSub>
            </m:oMath>
            <w:r w:rsidRPr="004224F6">
              <w:rPr>
                <w:rFonts w:ascii="Times New Roman" w:hAnsi="Times New Roman" w:cs="Times New Roman"/>
                <w:sz w:val="20"/>
                <w:szCs w:val="20"/>
                <w:lang w:val="ru-RU"/>
              </w:rPr>
              <w:t xml:space="preserve"> в съответствие с точка 2.2</w:t>
            </w:r>
          </w:p>
        </w:tc>
        <w:tc>
          <w:tcPr>
            <w:tcW w:w="7936" w:type="dxa"/>
            <w:gridSpan w:val="5"/>
            <w:tcBorders>
              <w:top w:val="double" w:sz="6" w:space="0" w:color="auto"/>
              <w:left w:val="single" w:sz="6" w:space="0" w:color="auto"/>
              <w:bottom w:val="single" w:sz="6" w:space="0" w:color="auto"/>
              <w:right w:val="single" w:sz="6" w:space="0" w:color="auto"/>
            </w:tcBorders>
            <w:vAlign w:val="center"/>
          </w:tcPr>
          <w:p w14:paraId="6F1FED41" w14:textId="77777777" w:rsidR="00271FA2" w:rsidRPr="004224F6" w:rsidRDefault="00D35E51">
            <w:pPr>
              <w:tabs>
                <w:tab w:val="left" w:pos="284"/>
                <w:tab w:val="left" w:pos="709"/>
                <w:tab w:val="left" w:pos="993"/>
              </w:tabs>
              <w:overflowPunct w:val="0"/>
              <w:adjustRightInd w:val="0"/>
              <w:spacing w:line="240" w:lineRule="atLeast"/>
              <w:jc w:val="center"/>
              <w:textAlignment w:val="baseline"/>
              <w:rPr>
                <w:rFonts w:ascii="Times New Roman" w:hAnsi="Times New Roman" w:cs="Times New Roman"/>
                <w:sz w:val="20"/>
                <w:szCs w:val="20"/>
              </w:rPr>
            </w:pPr>
            <w:r w:rsidRPr="004224F6">
              <w:rPr>
                <w:rFonts w:ascii="Times New Roman" w:hAnsi="Times New Roman" w:cs="Times New Roman"/>
                <w:sz w:val="20"/>
                <w:szCs w:val="20"/>
              </w:rPr>
              <w:t xml:space="preserve">Пределна стойност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4</m:t>
                  </m:r>
                </m:sub>
              </m:sSub>
            </m:oMath>
            <w:r w:rsidRPr="004224F6">
              <w:rPr>
                <w:rFonts w:ascii="Times New Roman" w:hAnsi="Times New Roman" w:cs="Times New Roman"/>
                <w:sz w:val="20"/>
                <w:szCs w:val="20"/>
              </w:rPr>
              <w:t xml:space="preserve"> = ....................... [s]</w:t>
            </w:r>
          </w:p>
        </w:tc>
      </w:tr>
    </w:tbl>
    <w:p w14:paraId="74BE01BE" w14:textId="5411E75D" w:rsidR="00271FA2" w:rsidRPr="004224F6" w:rsidRDefault="00D35E51">
      <w:pPr>
        <w:overflowPunct w:val="0"/>
        <w:adjustRightInd w:val="0"/>
        <w:spacing w:line="240" w:lineRule="atLeast"/>
        <w:textAlignment w:val="baseline"/>
        <w:rPr>
          <w:rFonts w:ascii="Times New Roman" w:hAnsi="Times New Roman" w:cs="Times New Roman"/>
          <w:szCs w:val="20"/>
        </w:rPr>
      </w:pPr>
      <w:r w:rsidRPr="004224F6">
        <w:rPr>
          <w:rFonts w:ascii="Times New Roman" w:hAnsi="Times New Roman" w:cs="Times New Roman"/>
          <w:b/>
        </w:rPr>
        <w:t xml:space="preserve">Способност за </w:t>
      </w:r>
      <w:r w:rsidR="0078218A" w:rsidRPr="004224F6">
        <w:rPr>
          <w:rFonts w:ascii="Times New Roman" w:hAnsi="Times New Roman" w:cs="Times New Roman"/>
          <w:b/>
        </w:rPr>
        <w:t>завиване</w:t>
      </w:r>
      <w:r w:rsidRPr="004224F6">
        <w:rPr>
          <w:rFonts w:ascii="Times New Roman" w:hAnsi="Times New Roman" w:cs="Times New Roman"/>
          <w:b/>
        </w:rPr>
        <w:t xml:space="preserve"> *)</w:t>
      </w:r>
    </w:p>
    <w:p w14:paraId="3855CEF5" w14:textId="4DE5AFD4" w:rsidR="00271FA2" w:rsidRPr="004224F6" w:rsidRDefault="00D35E51" w:rsidP="00A255AF">
      <w:pPr>
        <w:tabs>
          <w:tab w:val="left" w:pos="4678"/>
          <w:tab w:val="left" w:leader="dot" w:pos="6804"/>
          <w:tab w:val="right" w:pos="9071"/>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Географско местоположение в началото на маневрата за </w:t>
      </w:r>
      <w:r w:rsidR="006E63C9" w:rsidRPr="004224F6">
        <w:rPr>
          <w:rFonts w:ascii="Times New Roman" w:hAnsi="Times New Roman" w:cs="Times New Roman"/>
        </w:rPr>
        <w:t xml:space="preserve"> завиване</w:t>
      </w:r>
      <w:r w:rsidRPr="004224F6">
        <w:rPr>
          <w:rFonts w:ascii="Times New Roman" w:hAnsi="Times New Roman" w:cs="Times New Roman"/>
          <w:lang w:val="ru-RU"/>
        </w:rPr>
        <w:t>:</w:t>
      </w:r>
      <w:r w:rsidRPr="004224F6">
        <w:rPr>
          <w:rFonts w:ascii="Times New Roman" w:hAnsi="Times New Roman" w:cs="Times New Roman"/>
          <w:lang w:val="ru-RU"/>
        </w:rPr>
        <w:tab/>
      </w:r>
      <w:r w:rsidRPr="004224F6">
        <w:rPr>
          <w:rFonts w:ascii="Times New Roman" w:hAnsi="Times New Roman" w:cs="Times New Roman"/>
        </w:rPr>
        <w:t>p</w:t>
      </w:r>
      <w:r w:rsidRPr="004224F6">
        <w:rPr>
          <w:rFonts w:ascii="Times New Roman" w:hAnsi="Times New Roman" w:cs="Times New Roman"/>
          <w:lang w:val="ru-RU"/>
        </w:rPr>
        <w:t>.</w:t>
      </w:r>
      <w:r w:rsidRPr="004224F6">
        <w:rPr>
          <w:rFonts w:ascii="Times New Roman" w:hAnsi="Times New Roman" w:cs="Times New Roman"/>
        </w:rPr>
        <w:t>k</w:t>
      </w:r>
      <w:r w:rsidRPr="004224F6">
        <w:rPr>
          <w:rFonts w:ascii="Times New Roman" w:hAnsi="Times New Roman" w:cs="Times New Roman"/>
          <w:lang w:val="ru-RU"/>
        </w:rPr>
        <w:t xml:space="preserve">. </w:t>
      </w:r>
      <w:r w:rsidRPr="004224F6">
        <w:rPr>
          <w:rFonts w:ascii="Times New Roman" w:hAnsi="Times New Roman" w:cs="Times New Roman"/>
          <w:lang w:val="ru-RU"/>
        </w:rPr>
        <w:tab/>
        <w:t xml:space="preserve"> </w:t>
      </w:r>
      <w:r w:rsidR="00A255AF" w:rsidRPr="004224F6">
        <w:rPr>
          <w:rFonts w:ascii="Times New Roman" w:hAnsi="Times New Roman" w:cs="Times New Roman"/>
          <w:lang w:val="ru-RU"/>
        </w:rPr>
        <w:tab/>
      </w:r>
    </w:p>
    <w:p w14:paraId="4EF16D70" w14:textId="7F973812" w:rsidR="00271FA2" w:rsidRPr="004224F6" w:rsidRDefault="00D35E51">
      <w:pPr>
        <w:tabs>
          <w:tab w:val="left" w:pos="4678"/>
          <w:tab w:val="left" w:leader="dot" w:pos="6804"/>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lastRenderedPageBreak/>
        <w:t xml:space="preserve">Географско местоположение в края на маневрата за </w:t>
      </w:r>
      <w:r w:rsidR="006E63C9" w:rsidRPr="004224F6">
        <w:rPr>
          <w:rFonts w:ascii="Times New Roman" w:hAnsi="Times New Roman" w:cs="Times New Roman"/>
        </w:rPr>
        <w:t xml:space="preserve"> завиване</w:t>
      </w:r>
      <w:r w:rsidRPr="004224F6">
        <w:rPr>
          <w:rFonts w:ascii="Times New Roman" w:hAnsi="Times New Roman" w:cs="Times New Roman"/>
          <w:lang w:val="ru-RU"/>
        </w:rPr>
        <w:t>:</w:t>
      </w:r>
      <w:r w:rsidRPr="004224F6">
        <w:rPr>
          <w:rFonts w:ascii="Times New Roman" w:hAnsi="Times New Roman" w:cs="Times New Roman"/>
          <w:lang w:val="ru-RU"/>
        </w:rPr>
        <w:tab/>
      </w:r>
      <w:r w:rsidRPr="004224F6">
        <w:rPr>
          <w:rFonts w:ascii="Times New Roman" w:hAnsi="Times New Roman" w:cs="Times New Roman"/>
        </w:rPr>
        <w:t>p</w:t>
      </w:r>
      <w:r w:rsidRPr="004224F6">
        <w:rPr>
          <w:rFonts w:ascii="Times New Roman" w:hAnsi="Times New Roman" w:cs="Times New Roman"/>
          <w:lang w:val="ru-RU"/>
        </w:rPr>
        <w:t>.</w:t>
      </w:r>
      <w:r w:rsidRPr="004224F6">
        <w:rPr>
          <w:rFonts w:ascii="Times New Roman" w:hAnsi="Times New Roman" w:cs="Times New Roman"/>
        </w:rPr>
        <w:t>k</w:t>
      </w:r>
      <w:r w:rsidRPr="004224F6">
        <w:rPr>
          <w:rFonts w:ascii="Times New Roman" w:hAnsi="Times New Roman" w:cs="Times New Roman"/>
          <w:lang w:val="ru-RU"/>
        </w:rPr>
        <w:t xml:space="preserve">. </w:t>
      </w:r>
      <w:r w:rsidRPr="004224F6">
        <w:rPr>
          <w:rFonts w:ascii="Times New Roman" w:hAnsi="Times New Roman" w:cs="Times New Roman"/>
          <w:lang w:val="ru-RU"/>
        </w:rPr>
        <w:tab/>
        <w:t xml:space="preserve"> </w:t>
      </w:r>
    </w:p>
    <w:p w14:paraId="1F0032C3" w14:textId="77777777" w:rsidR="00271FA2" w:rsidRPr="004224F6" w:rsidRDefault="00D35E51">
      <w:pPr>
        <w:tabs>
          <w:tab w:val="left" w:leader="dot" w:pos="6804"/>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b/>
          <w:lang w:val="ru-RU"/>
        </w:rPr>
        <w:t>Рулеви апарат</w:t>
      </w:r>
    </w:p>
    <w:p w14:paraId="65A82AD8" w14:textId="77777777" w:rsidR="00271FA2" w:rsidRPr="004224F6" w:rsidRDefault="00D35E51">
      <w:pPr>
        <w:tabs>
          <w:tab w:val="left" w:pos="6804"/>
          <w:tab w:val="left" w:leader="dot" w:pos="8647"/>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Вид на операцията: ръчна/задвижвана*):</w:t>
      </w:r>
    </w:p>
    <w:p w14:paraId="7F808FA9" w14:textId="77777777" w:rsidR="00271FA2" w:rsidRPr="004224F6" w:rsidRDefault="00D35E51">
      <w:pPr>
        <w:tabs>
          <w:tab w:val="left" w:pos="6804"/>
          <w:tab w:val="left" w:leader="dot" w:pos="8647"/>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 xml:space="preserve">Ъгъл на руля за един оборот на щурвала*): </w:t>
      </w:r>
      <w:r w:rsidRPr="004224F6">
        <w:rPr>
          <w:rFonts w:ascii="Times New Roman" w:hAnsi="Times New Roman" w:cs="Times New Roman"/>
          <w:lang w:val="ru-RU"/>
        </w:rPr>
        <w:br/>
      </w:r>
      <w:r w:rsidRPr="004224F6">
        <w:rPr>
          <w:rFonts w:ascii="Times New Roman" w:hAnsi="Times New Roman" w:cs="Times New Roman"/>
          <w:lang w:val="ru-RU"/>
        </w:rPr>
        <w:tab/>
      </w:r>
      <w:r w:rsidRPr="004224F6">
        <w:rPr>
          <w:rFonts w:ascii="Times New Roman" w:hAnsi="Times New Roman" w:cs="Times New Roman"/>
          <w:lang w:val="ru-RU"/>
        </w:rPr>
        <w:tab/>
        <w:t xml:space="preserve"> °</w:t>
      </w:r>
    </w:p>
    <w:p w14:paraId="02143584" w14:textId="77777777" w:rsidR="00271FA2" w:rsidRPr="004224F6" w:rsidRDefault="00D35E51">
      <w:pPr>
        <w:tabs>
          <w:tab w:val="left" w:pos="6804"/>
          <w:tab w:val="left" w:leader="dot" w:pos="8647"/>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Ъглова скорост на руля в целия му диапазон*):</w:t>
      </w:r>
      <w:r w:rsidRPr="004224F6">
        <w:rPr>
          <w:rFonts w:ascii="Times New Roman" w:hAnsi="Times New Roman" w:cs="Times New Roman"/>
          <w:lang w:val="ru-RU"/>
        </w:rPr>
        <w:tab/>
      </w:r>
      <w:r w:rsidRPr="004224F6">
        <w:rPr>
          <w:rFonts w:ascii="Times New Roman" w:hAnsi="Times New Roman" w:cs="Times New Roman"/>
          <w:lang w:val="ru-RU"/>
        </w:rPr>
        <w:tab/>
        <w:t xml:space="preserve"> °/</w:t>
      </w:r>
      <w:r w:rsidRPr="004224F6">
        <w:rPr>
          <w:rFonts w:ascii="Times New Roman" w:hAnsi="Times New Roman" w:cs="Times New Roman"/>
        </w:rPr>
        <w:t>s</w:t>
      </w:r>
    </w:p>
    <w:p w14:paraId="5C55CAD0" w14:textId="77777777" w:rsidR="00271FA2" w:rsidRPr="004224F6" w:rsidRDefault="00D35E51">
      <w:pPr>
        <w:tabs>
          <w:tab w:val="left" w:pos="6804"/>
          <w:tab w:val="left" w:leader="dot" w:pos="8647"/>
        </w:tabs>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t>Ъглова скорост на руля в диапазона от 35° към левия борд до 35° към десния борд *):</w:t>
      </w:r>
      <w:r w:rsidRPr="004224F6">
        <w:rPr>
          <w:rFonts w:ascii="Times New Roman" w:hAnsi="Times New Roman" w:cs="Times New Roman"/>
          <w:lang w:val="ru-RU"/>
        </w:rPr>
        <w:tab/>
      </w:r>
      <w:r w:rsidRPr="004224F6">
        <w:rPr>
          <w:rFonts w:ascii="Times New Roman" w:hAnsi="Times New Roman" w:cs="Times New Roman"/>
          <w:lang w:val="ru-RU"/>
        </w:rPr>
        <w:tab/>
        <w:t xml:space="preserve"> °/</w:t>
      </w:r>
      <w:r w:rsidRPr="004224F6">
        <w:rPr>
          <w:rFonts w:ascii="Times New Roman" w:hAnsi="Times New Roman" w:cs="Times New Roman"/>
        </w:rPr>
        <w:t>s</w:t>
      </w:r>
    </w:p>
    <w:p w14:paraId="625280CE"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12243741"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126878FB"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4CF5E9C8"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26"/>
          <w:footerReference w:type="default" r:id="rId227"/>
          <w:headerReference w:type="first" r:id="rId228"/>
          <w:footerReference w:type="first" r:id="rId229"/>
          <w:footnotePr>
            <w:numRestart w:val="eachPage"/>
          </w:footnotePr>
          <w:pgSz w:w="11907" w:h="16840"/>
          <w:pgMar w:top="1134" w:right="1134" w:bottom="1134" w:left="1134" w:header="709" w:footer="709" w:gutter="0"/>
          <w:cols w:space="720"/>
          <w:docGrid w:linePitch="326"/>
        </w:sectPr>
      </w:pPr>
    </w:p>
    <w:p w14:paraId="11168B21" w14:textId="77777777" w:rsidR="00271FA2" w:rsidRPr="004224F6" w:rsidRDefault="00D35E51">
      <w:pPr>
        <w:pStyle w:val="ES-Titre2ESI"/>
        <w:rPr>
          <w:rFonts w:ascii="Times New Roman" w:hAnsi="Times New Roman" w:cs="Times New Roman"/>
          <w:lang w:val="ru-RU"/>
        </w:rPr>
      </w:pPr>
      <w:bookmarkStart w:id="681" w:name="_Toc491854354"/>
      <w:bookmarkStart w:id="682" w:name="_Toc535827795"/>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-5</w:t>
      </w:r>
      <w:r w:rsidRPr="004224F6">
        <w:rPr>
          <w:rFonts w:ascii="Times New Roman" w:hAnsi="Times New Roman" w:cs="Times New Roman"/>
          <w:lang w:val="ru-RU"/>
        </w:rPr>
        <w:br/>
        <w:t>Измервания на шума</w:t>
      </w:r>
      <w:bookmarkEnd w:id="681"/>
      <w:bookmarkEnd w:id="682"/>
    </w:p>
    <w:p w14:paraId="28E432ED" w14:textId="77777777" w:rsidR="00271FA2" w:rsidRPr="004224F6" w:rsidRDefault="00D35E51" w:rsidP="00336D1E">
      <w:pPr>
        <w:spacing w:after="240" w:line="240" w:lineRule="atLeast"/>
        <w:ind w:left="426"/>
        <w:jc w:val="center"/>
        <w:rPr>
          <w:rFonts w:ascii="Times New Roman" w:hAnsi="Times New Roman" w:cs="Times New Roman"/>
          <w:b/>
          <w:bCs/>
          <w:szCs w:val="20"/>
          <w:lang w:val="ru-RU"/>
        </w:rPr>
      </w:pPr>
      <w:r w:rsidRPr="004224F6">
        <w:rPr>
          <w:rFonts w:ascii="Times New Roman" w:hAnsi="Times New Roman" w:cs="Times New Roman"/>
          <w:b/>
          <w:lang w:val="ru-RU"/>
        </w:rPr>
        <w:t>(член 3.04, точка 7, член 7.01, точка 2, член 7.03, точка 6, член 7.09, точка 3, член 8.08, член 14.09, точка 3, член 15.02, точка 5, член 22.02, точка 3, буква “б” и член 22.03, точка 1)</w:t>
      </w:r>
    </w:p>
    <w:p w14:paraId="558281F1"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Общи положения</w:t>
      </w:r>
    </w:p>
    <w:p w14:paraId="0ABFDE36"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С цел да се проверят нивата на максималното звуково налягане, посочени в стандарта, трябва да се определят измерваните величини, процедурите на измерване и условията за количественото възпроизводимо записване на нивата на звуковото налягане в съответствие с точки 2 и 3.</w:t>
      </w:r>
    </w:p>
    <w:p w14:paraId="7DBC610E"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Инструменти за измерване</w:t>
      </w:r>
    </w:p>
    <w:p w14:paraId="3EE45311"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Инструментът за измерване трябва да отговаря на изискванията за клас 1 съгласно Европейски стандарт </w:t>
      </w:r>
      <w:r w:rsidRPr="004224F6">
        <w:rPr>
          <w:rFonts w:ascii="Times New Roman" w:hAnsi="Times New Roman" w:cs="Times New Roman"/>
        </w:rPr>
        <w:t>EN</w:t>
      </w:r>
      <w:r w:rsidRPr="004224F6">
        <w:rPr>
          <w:rFonts w:ascii="Times New Roman" w:hAnsi="Times New Roman" w:cs="Times New Roman"/>
          <w:lang w:val="ru-RU"/>
        </w:rPr>
        <w:t xml:space="preserve"> 61672</w:t>
      </w:r>
      <w:r w:rsidRPr="004224F6">
        <w:rPr>
          <w:rFonts w:ascii="Times New Roman" w:hAnsi="Times New Roman" w:cs="Times New Roman"/>
          <w:lang w:val="ru-RU"/>
        </w:rPr>
        <w:softHyphen/>
        <w:t>1:2013.</w:t>
      </w:r>
    </w:p>
    <w:p w14:paraId="58538C1D" w14:textId="77777777" w:rsidR="00271FA2" w:rsidRPr="004224F6" w:rsidRDefault="00D35E51">
      <w:pPr>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Преди и след всеки набор от измервания на микрофона се поставя калибратор клас 1 съгласно Европейски стандарт 60942:2018 с цел да се калибрира измервателната система. Съответствието на калибратора с изискванията на Европейски стандарт </w:t>
      </w:r>
      <w:r w:rsidRPr="004224F6">
        <w:rPr>
          <w:rFonts w:ascii="Times New Roman" w:hAnsi="Times New Roman" w:cs="Times New Roman"/>
        </w:rPr>
        <w:t>EN</w:t>
      </w:r>
      <w:r w:rsidRPr="004224F6">
        <w:rPr>
          <w:rFonts w:ascii="Times New Roman" w:hAnsi="Times New Roman" w:cs="Times New Roman"/>
          <w:lang w:val="ru-RU"/>
        </w:rPr>
        <w:t xml:space="preserve"> 60942:2018 се проверява веднъж годишно. Съответствието на измервателното оборудване с изискванията на </w:t>
      </w:r>
      <w:r w:rsidRPr="004224F6">
        <w:rPr>
          <w:rFonts w:ascii="Times New Roman" w:hAnsi="Times New Roman" w:cs="Times New Roman"/>
        </w:rPr>
        <w:t>EN</w:t>
      </w:r>
      <w:r w:rsidRPr="004224F6">
        <w:rPr>
          <w:rFonts w:ascii="Times New Roman" w:hAnsi="Times New Roman" w:cs="Times New Roman"/>
          <w:lang w:val="ru-RU"/>
        </w:rPr>
        <w:t xml:space="preserve"> 61672—1:2013 се проверява на всеки две години.</w:t>
      </w:r>
    </w:p>
    <w:p w14:paraId="183325AE" w14:textId="77777777" w:rsidR="00271FA2" w:rsidRPr="004224F6" w:rsidRDefault="00D35E51">
      <w:pPr>
        <w:spacing w:line="240" w:lineRule="atLeast"/>
        <w:ind w:left="567" w:hanging="567"/>
        <w:rPr>
          <w:rFonts w:ascii="Times New Roman" w:hAnsi="Times New Roman" w:cs="Times New Roman"/>
          <w:b/>
          <w:color w:val="000000"/>
          <w:lang w:val="ru-RU"/>
        </w:rPr>
      </w:pPr>
      <w:r w:rsidRPr="004224F6">
        <w:rPr>
          <w:rFonts w:ascii="Times New Roman" w:hAnsi="Times New Roman" w:cs="Times New Roman"/>
          <w:b/>
          <w:color w:val="000000"/>
          <w:lang w:val="ru-RU"/>
        </w:rPr>
        <w:t>3.</w:t>
      </w:r>
      <w:r w:rsidRPr="004224F6">
        <w:rPr>
          <w:rFonts w:ascii="Times New Roman" w:hAnsi="Times New Roman" w:cs="Times New Roman"/>
          <w:lang w:val="ru-RU"/>
        </w:rPr>
        <w:tab/>
      </w:r>
      <w:r w:rsidRPr="004224F6">
        <w:rPr>
          <w:rFonts w:ascii="Times New Roman" w:hAnsi="Times New Roman" w:cs="Times New Roman"/>
          <w:b/>
          <w:color w:val="000000"/>
          <w:lang w:val="ru-RU"/>
        </w:rPr>
        <w:t>Измервания на шума на плавателни средства, заложени за строеж след 1 април 1976 г.</w:t>
      </w:r>
    </w:p>
    <w:p w14:paraId="7D394253" w14:textId="77777777" w:rsidR="00271FA2" w:rsidRPr="004224F6" w:rsidRDefault="00D35E51">
      <w:pPr>
        <w:spacing w:line="240" w:lineRule="atLeast"/>
        <w:ind w:left="567" w:hanging="567"/>
        <w:rPr>
          <w:rFonts w:ascii="Times New Roman" w:hAnsi="Times New Roman" w:cs="Times New Roman"/>
          <w:lang w:val="ru-RU"/>
        </w:rPr>
      </w:pPr>
      <w:r w:rsidRPr="004224F6">
        <w:rPr>
          <w:rFonts w:ascii="Times New Roman" w:hAnsi="Times New Roman" w:cs="Times New Roman"/>
          <w:lang w:val="ru-RU"/>
        </w:rPr>
        <w:t>3.1</w:t>
      </w:r>
      <w:r w:rsidRPr="004224F6">
        <w:rPr>
          <w:rFonts w:ascii="Times New Roman" w:hAnsi="Times New Roman" w:cs="Times New Roman"/>
          <w:lang w:val="ru-RU"/>
        </w:rPr>
        <w:tab/>
        <w:t>На борда на плавателното средство</w:t>
      </w:r>
    </w:p>
    <w:p w14:paraId="18B25A3F"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Измерванията</w:t>
      </w:r>
      <w:r w:rsidR="0004360C" w:rsidRPr="004224F6">
        <w:rPr>
          <w:rFonts w:ascii="Times New Roman" w:hAnsi="Times New Roman" w:cs="Times New Roman"/>
          <w:lang w:val="ru-RU"/>
        </w:rPr>
        <w:t xml:space="preserve"> се извършват в съответствие с М</w:t>
      </w:r>
      <w:r w:rsidRPr="004224F6">
        <w:rPr>
          <w:rFonts w:ascii="Times New Roman" w:hAnsi="Times New Roman" w:cs="Times New Roman"/>
          <w:lang w:val="ru-RU"/>
        </w:rPr>
        <w:t xml:space="preserve">еждународен стандарт </w:t>
      </w:r>
      <w:r w:rsidRPr="004224F6">
        <w:rPr>
          <w:rFonts w:ascii="Times New Roman" w:hAnsi="Times New Roman" w:cs="Times New Roman"/>
        </w:rPr>
        <w:t>ISO</w:t>
      </w:r>
      <w:r w:rsidRPr="004224F6">
        <w:rPr>
          <w:rFonts w:ascii="Times New Roman" w:hAnsi="Times New Roman" w:cs="Times New Roman"/>
          <w:lang w:val="ru-RU"/>
        </w:rPr>
        <w:t xml:space="preserve"> 2923:1996, раздели от 5 до 8, като се измерват само нива на звуковото налягане, претеглени по крива А.</w:t>
      </w:r>
    </w:p>
    <w:p w14:paraId="0D3CF28A" w14:textId="77777777" w:rsidR="00271FA2" w:rsidRPr="004224F6" w:rsidRDefault="00D35E51">
      <w:pPr>
        <w:spacing w:line="240" w:lineRule="atLeast"/>
        <w:ind w:left="567" w:hanging="567"/>
        <w:rPr>
          <w:rFonts w:ascii="Times New Roman" w:hAnsi="Times New Roman" w:cs="Times New Roman"/>
          <w:lang w:val="ru-RU"/>
        </w:rPr>
      </w:pPr>
      <w:r w:rsidRPr="004224F6">
        <w:rPr>
          <w:rFonts w:ascii="Times New Roman" w:hAnsi="Times New Roman" w:cs="Times New Roman"/>
          <w:lang w:val="ru-RU"/>
        </w:rPr>
        <w:t>3.2</w:t>
      </w:r>
      <w:r w:rsidRPr="004224F6">
        <w:rPr>
          <w:rFonts w:ascii="Times New Roman" w:hAnsi="Times New Roman" w:cs="Times New Roman"/>
          <w:lang w:val="ru-RU"/>
        </w:rPr>
        <w:tab/>
        <w:t>Шум, излъчван във въздуха от плавателното средство</w:t>
      </w:r>
    </w:p>
    <w:p w14:paraId="76314ED4"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Емисиите на шум от плавателни средства по вътрешни водни пътища и в пристанища се определят посредств</w:t>
      </w:r>
      <w:r w:rsidR="0004360C" w:rsidRPr="004224F6">
        <w:rPr>
          <w:rFonts w:ascii="Times New Roman" w:hAnsi="Times New Roman" w:cs="Times New Roman"/>
          <w:lang w:val="ru-RU"/>
        </w:rPr>
        <w:t>ом измервания в съответствие с М</w:t>
      </w:r>
      <w:r w:rsidRPr="004224F6">
        <w:rPr>
          <w:rFonts w:ascii="Times New Roman" w:hAnsi="Times New Roman" w:cs="Times New Roman"/>
          <w:lang w:val="ru-RU"/>
        </w:rPr>
        <w:t xml:space="preserve">еждународен стандарт </w:t>
      </w:r>
      <w:r w:rsidRPr="004224F6">
        <w:rPr>
          <w:rFonts w:ascii="Times New Roman" w:hAnsi="Times New Roman" w:cs="Times New Roman"/>
        </w:rPr>
        <w:t>ISO</w:t>
      </w:r>
      <w:r w:rsidRPr="004224F6">
        <w:rPr>
          <w:rFonts w:ascii="Times New Roman" w:hAnsi="Times New Roman" w:cs="Times New Roman"/>
          <w:lang w:val="ru-RU"/>
        </w:rPr>
        <w:t xml:space="preserve"> 22922:2020, раздели от 7 до 11. Вратите и прозорците на машинните отделения трябва да бъдат затворени по време на измерванията.</w:t>
      </w:r>
    </w:p>
    <w:p w14:paraId="5CAA0BC8" w14:textId="77777777" w:rsidR="00271FA2" w:rsidRPr="004224F6" w:rsidRDefault="00D35E51">
      <w:pPr>
        <w:spacing w:line="240" w:lineRule="atLeast"/>
        <w:ind w:left="567" w:hanging="567"/>
        <w:jc w:val="both"/>
        <w:rPr>
          <w:rFonts w:ascii="Times New Roman" w:hAnsi="Times New Roman" w:cs="Times New Roman"/>
          <w:b/>
          <w:color w:val="000000"/>
          <w:lang w:val="ru-RU"/>
        </w:rPr>
      </w:pPr>
      <w:r w:rsidRPr="004224F6">
        <w:rPr>
          <w:rFonts w:ascii="Times New Roman" w:hAnsi="Times New Roman" w:cs="Times New Roman"/>
          <w:b/>
          <w:color w:val="000000"/>
          <w:lang w:val="ru-RU"/>
        </w:rPr>
        <w:t>3а.</w:t>
      </w:r>
      <w:r w:rsidRPr="004224F6">
        <w:rPr>
          <w:rFonts w:ascii="Times New Roman" w:hAnsi="Times New Roman" w:cs="Times New Roman"/>
          <w:lang w:val="ru-RU"/>
        </w:rPr>
        <w:tab/>
      </w:r>
      <w:r w:rsidRPr="004224F6">
        <w:rPr>
          <w:rFonts w:ascii="Times New Roman" w:hAnsi="Times New Roman" w:cs="Times New Roman"/>
          <w:b/>
          <w:color w:val="000000"/>
          <w:lang w:val="ru-RU"/>
        </w:rPr>
        <w:t>Измервания на шума на плавателни средства, заложени за строеж на или преди 1 април 1976 г.</w:t>
      </w:r>
    </w:p>
    <w:p w14:paraId="0292DFBC" w14:textId="77777777" w:rsidR="00271FA2" w:rsidRPr="004224F6" w:rsidRDefault="00D35E51">
      <w:pPr>
        <w:spacing w:line="240" w:lineRule="atLeast"/>
        <w:ind w:left="567" w:hanging="567"/>
        <w:rPr>
          <w:rFonts w:ascii="Times New Roman" w:hAnsi="Times New Roman" w:cs="Times New Roman"/>
          <w:lang w:val="ru-RU"/>
        </w:rPr>
      </w:pPr>
      <w:r w:rsidRPr="004224F6">
        <w:rPr>
          <w:rFonts w:ascii="Times New Roman" w:hAnsi="Times New Roman" w:cs="Times New Roman"/>
          <w:lang w:val="ru-RU"/>
        </w:rPr>
        <w:t>3а.1</w:t>
      </w:r>
      <w:r w:rsidRPr="004224F6">
        <w:rPr>
          <w:rFonts w:ascii="Times New Roman" w:hAnsi="Times New Roman" w:cs="Times New Roman"/>
          <w:lang w:val="ru-RU"/>
        </w:rPr>
        <w:tab/>
        <w:t>На борда на плавателното средство</w:t>
      </w:r>
    </w:p>
    <w:p w14:paraId="579DEE3C"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Измерванията</w:t>
      </w:r>
      <w:r w:rsidR="0004360C" w:rsidRPr="004224F6">
        <w:rPr>
          <w:rFonts w:ascii="Times New Roman" w:hAnsi="Times New Roman" w:cs="Times New Roman"/>
          <w:lang w:val="ru-RU"/>
        </w:rPr>
        <w:t xml:space="preserve"> се извършват в съответствие с М</w:t>
      </w:r>
      <w:r w:rsidRPr="004224F6">
        <w:rPr>
          <w:rFonts w:ascii="Times New Roman" w:hAnsi="Times New Roman" w:cs="Times New Roman"/>
          <w:lang w:val="ru-RU"/>
        </w:rPr>
        <w:t xml:space="preserve">еждународен стандарт </w:t>
      </w:r>
      <w:r w:rsidRPr="004224F6">
        <w:rPr>
          <w:rFonts w:ascii="Times New Roman" w:hAnsi="Times New Roman" w:cs="Times New Roman"/>
        </w:rPr>
        <w:t>ISO</w:t>
      </w:r>
      <w:r w:rsidRPr="004224F6">
        <w:rPr>
          <w:rFonts w:ascii="Times New Roman" w:hAnsi="Times New Roman" w:cs="Times New Roman"/>
          <w:lang w:val="ru-RU"/>
        </w:rPr>
        <w:t xml:space="preserve"> 2923:1996, раздели от 5 до 8, като се измерват само нива на звуковото налягане, претеглени по крива А.</w:t>
      </w:r>
    </w:p>
    <w:p w14:paraId="60C963D1"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Чрез дерогация от точка 7, нивата на звуково налягане в рулевата рубка, в машинното отделение, както и в помещенията за живеене и спане се определят като средно претеглена енергийна стойност на измерванията при четири условия на измерване, както е показано в таблицата по-долу:</w:t>
      </w:r>
    </w:p>
    <w:p w14:paraId="2907289C" w14:textId="77777777" w:rsidR="00271FA2" w:rsidRPr="004224F6" w:rsidRDefault="00D35E51">
      <w:pPr>
        <w:spacing w:line="240" w:lineRule="atLeast"/>
        <w:rPr>
          <w:rFonts w:ascii="Times New Roman" w:hAnsi="Times New Roman" w:cs="Times New Roman"/>
          <w:lang w:val="ru-RU"/>
        </w:rPr>
      </w:pPr>
      <w:r w:rsidRPr="004224F6">
        <w:rPr>
          <w:rFonts w:ascii="Times New Roman" w:hAnsi="Times New Roman" w:cs="Times New Roman"/>
          <w:lang w:val="ru-RU"/>
        </w:rPr>
        <w:br w:type="page"/>
      </w:r>
    </w:p>
    <w:tbl>
      <w:tblPr>
        <w:tblStyle w:val="TableGrid"/>
        <w:tblW w:w="0" w:type="auto"/>
        <w:tblInd w:w="567" w:type="dxa"/>
        <w:tblLook w:val="04A0" w:firstRow="1" w:lastRow="0" w:firstColumn="1" w:lastColumn="0" w:noHBand="0" w:noVBand="1"/>
      </w:tblPr>
      <w:tblGrid>
        <w:gridCol w:w="2187"/>
        <w:gridCol w:w="2139"/>
        <w:gridCol w:w="2198"/>
        <w:gridCol w:w="2196"/>
      </w:tblGrid>
      <w:tr w:rsidR="00271FA2" w:rsidRPr="004224F6" w14:paraId="0ADF772A" w14:textId="77777777">
        <w:tc>
          <w:tcPr>
            <w:tcW w:w="2187" w:type="dxa"/>
          </w:tcPr>
          <w:p w14:paraId="12ADC0CA"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lastRenderedPageBreak/>
              <w:t>Условия за измерване</w:t>
            </w:r>
          </w:p>
        </w:tc>
        <w:tc>
          <w:tcPr>
            <w:tcW w:w="2139" w:type="dxa"/>
          </w:tcPr>
          <w:p w14:paraId="2EC9D03D"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 УИП (MCR)</w:t>
            </w:r>
          </w:p>
        </w:tc>
        <w:tc>
          <w:tcPr>
            <w:tcW w:w="2198" w:type="dxa"/>
          </w:tcPr>
          <w:p w14:paraId="0F46793F"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 максимална скорост</w:t>
            </w:r>
          </w:p>
        </w:tc>
        <w:tc>
          <w:tcPr>
            <w:tcW w:w="2196" w:type="dxa"/>
          </w:tcPr>
          <w:p w14:paraId="1DA62B7F" w14:textId="77777777" w:rsidR="00271FA2" w:rsidRPr="004224F6" w:rsidRDefault="00D35E51">
            <w:pPr>
              <w:spacing w:line="240" w:lineRule="atLeast"/>
              <w:jc w:val="center"/>
              <w:rPr>
                <w:rFonts w:ascii="Times New Roman" w:hAnsi="Times New Roman" w:cs="Times New Roman"/>
                <w:sz w:val="20"/>
                <w:szCs w:val="20"/>
                <w:vertAlign w:val="subscript"/>
              </w:rPr>
            </w:pPr>
            <w:r w:rsidRPr="004224F6">
              <w:rPr>
                <w:rFonts w:ascii="Times New Roman" w:hAnsi="Times New Roman" w:cs="Times New Roman"/>
              </w:rPr>
              <w:t>Тегловен коефицент</w:t>
            </w:r>
          </w:p>
        </w:tc>
      </w:tr>
      <w:tr w:rsidR="00271FA2" w:rsidRPr="004224F6" w14:paraId="2895B7B5" w14:textId="77777777">
        <w:trPr>
          <w:trHeight w:val="232"/>
        </w:trPr>
        <w:tc>
          <w:tcPr>
            <w:tcW w:w="2187" w:type="dxa"/>
          </w:tcPr>
          <w:p w14:paraId="39EB396F"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A</w:t>
            </w:r>
          </w:p>
        </w:tc>
        <w:tc>
          <w:tcPr>
            <w:tcW w:w="2139" w:type="dxa"/>
          </w:tcPr>
          <w:p w14:paraId="1007337D"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5%</w:t>
            </w:r>
          </w:p>
        </w:tc>
        <w:tc>
          <w:tcPr>
            <w:tcW w:w="2198" w:type="dxa"/>
          </w:tcPr>
          <w:p w14:paraId="7F4F05EB"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37%</w:t>
            </w:r>
          </w:p>
        </w:tc>
        <w:tc>
          <w:tcPr>
            <w:tcW w:w="2196" w:type="dxa"/>
          </w:tcPr>
          <w:p w14:paraId="15A2FB77" w14:textId="77777777" w:rsidR="00271FA2" w:rsidRPr="004224F6" w:rsidRDefault="002C62EC">
            <w:pPr>
              <w:spacing w:line="240" w:lineRule="atLeast"/>
              <w:rPr>
                <w:rFonts w:ascii="Times New Roman" w:hAnsi="Times New Roman" w:cs="Times New Roman"/>
                <w:vertAlign w:val="subscript"/>
              </w:rPr>
            </w:pPr>
            <m:oMathPara>
              <m:oMath>
                <m:sSub>
                  <m:sSubPr>
                    <m:ctrlPr>
                      <w:rPr>
                        <w:rFonts w:ascii="Cambria Math" w:hAnsi="Cambria Math" w:cs="Times New Roman"/>
                        <w:bCs/>
                        <w:i/>
                        <w:vertAlign w:val="subscript"/>
                      </w:rPr>
                    </m:ctrlPr>
                  </m:sSubPr>
                  <m:e>
                    <m:r>
                      <w:rPr>
                        <w:rFonts w:ascii="Cambria Math" w:hAnsi="Cambria Math" w:cs="Times New Roman"/>
                        <w:vertAlign w:val="subscript"/>
                      </w:rPr>
                      <m:t>W</m:t>
                    </m:r>
                  </m:e>
                  <m:sub>
                    <m:r>
                      <m:rPr>
                        <m:nor/>
                      </m:rPr>
                      <w:rPr>
                        <w:rFonts w:ascii="Times New Roman" w:hAnsi="Times New Roman" w:cs="Times New Roman"/>
                        <w:bCs/>
                        <w:vertAlign w:val="subscript"/>
                      </w:rPr>
                      <m:t>A</m:t>
                    </m:r>
                  </m:sub>
                </m:sSub>
                <m:r>
                  <w:rPr>
                    <w:rFonts w:ascii="Cambria Math" w:hAnsi="Cambria Math" w:cs="Times New Roman"/>
                    <w:vertAlign w:val="subscript"/>
                  </w:rPr>
                  <m:t xml:space="preserve"> =0,26</m:t>
                </m:r>
              </m:oMath>
            </m:oMathPara>
          </w:p>
        </w:tc>
      </w:tr>
      <w:tr w:rsidR="00271FA2" w:rsidRPr="004224F6" w14:paraId="34E5F3A6" w14:textId="77777777">
        <w:tc>
          <w:tcPr>
            <w:tcW w:w="2187" w:type="dxa"/>
          </w:tcPr>
          <w:p w14:paraId="12B56C6E"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B</w:t>
            </w:r>
          </w:p>
        </w:tc>
        <w:tc>
          <w:tcPr>
            <w:tcW w:w="2139" w:type="dxa"/>
          </w:tcPr>
          <w:p w14:paraId="550D6AFC"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25%</w:t>
            </w:r>
          </w:p>
        </w:tc>
        <w:tc>
          <w:tcPr>
            <w:tcW w:w="2198" w:type="dxa"/>
          </w:tcPr>
          <w:p w14:paraId="7ECE3A22"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63%</w:t>
            </w:r>
          </w:p>
        </w:tc>
        <w:tc>
          <w:tcPr>
            <w:tcW w:w="2196" w:type="dxa"/>
          </w:tcPr>
          <w:p w14:paraId="48991C78" w14:textId="77777777" w:rsidR="00271FA2" w:rsidRPr="004224F6" w:rsidRDefault="002C62EC">
            <w:pPr>
              <w:spacing w:line="240" w:lineRule="atLeast"/>
              <w:rPr>
                <w:rFonts w:ascii="Times New Roman" w:hAnsi="Times New Roman" w:cs="Times New Roman"/>
                <w:vertAlign w:val="subscript"/>
              </w:rPr>
            </w:pPr>
            <m:oMathPara>
              <m:oMath>
                <m:sSub>
                  <m:sSubPr>
                    <m:ctrlPr>
                      <w:rPr>
                        <w:rFonts w:ascii="Cambria Math" w:hAnsi="Cambria Math" w:cs="Times New Roman"/>
                        <w:bCs/>
                        <w:i/>
                        <w:vertAlign w:val="subscript"/>
                      </w:rPr>
                    </m:ctrlPr>
                  </m:sSubPr>
                  <m:e>
                    <m:r>
                      <w:rPr>
                        <w:rFonts w:ascii="Cambria Math" w:hAnsi="Cambria Math" w:cs="Times New Roman"/>
                        <w:vertAlign w:val="subscript"/>
                      </w:rPr>
                      <m:t>W</m:t>
                    </m:r>
                  </m:e>
                  <m:sub>
                    <m:r>
                      <m:rPr>
                        <m:nor/>
                      </m:rPr>
                      <w:rPr>
                        <w:rFonts w:ascii="Times New Roman" w:hAnsi="Times New Roman" w:cs="Times New Roman"/>
                        <w:bCs/>
                        <w:vertAlign w:val="subscript"/>
                      </w:rPr>
                      <m:t>B</m:t>
                    </m:r>
                  </m:sub>
                </m:sSub>
                <m:r>
                  <w:rPr>
                    <w:rFonts w:ascii="Cambria Math" w:hAnsi="Cambria Math" w:cs="Times New Roman"/>
                    <w:vertAlign w:val="subscript"/>
                  </w:rPr>
                  <m:t xml:space="preserve"> =0,37</m:t>
                </m:r>
              </m:oMath>
            </m:oMathPara>
          </w:p>
        </w:tc>
      </w:tr>
      <w:tr w:rsidR="00271FA2" w:rsidRPr="004224F6" w14:paraId="4C911FDF" w14:textId="77777777">
        <w:tc>
          <w:tcPr>
            <w:tcW w:w="2187" w:type="dxa"/>
          </w:tcPr>
          <w:p w14:paraId="74C0E8CA"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C</w:t>
            </w:r>
          </w:p>
        </w:tc>
        <w:tc>
          <w:tcPr>
            <w:tcW w:w="2139" w:type="dxa"/>
          </w:tcPr>
          <w:p w14:paraId="27AF8425"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55%</w:t>
            </w:r>
          </w:p>
        </w:tc>
        <w:tc>
          <w:tcPr>
            <w:tcW w:w="2198" w:type="dxa"/>
          </w:tcPr>
          <w:p w14:paraId="136D5589"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82%</w:t>
            </w:r>
          </w:p>
        </w:tc>
        <w:tc>
          <w:tcPr>
            <w:tcW w:w="2196" w:type="dxa"/>
          </w:tcPr>
          <w:p w14:paraId="6477374B" w14:textId="77777777" w:rsidR="00271FA2" w:rsidRPr="004224F6" w:rsidRDefault="002C62EC">
            <w:pPr>
              <w:spacing w:line="240" w:lineRule="atLeast"/>
              <w:rPr>
                <w:rFonts w:ascii="Times New Roman" w:hAnsi="Times New Roman" w:cs="Times New Roman"/>
                <w:vertAlign w:val="subscript"/>
              </w:rPr>
            </w:pPr>
            <m:oMathPara>
              <m:oMath>
                <m:sSub>
                  <m:sSubPr>
                    <m:ctrlPr>
                      <w:rPr>
                        <w:rFonts w:ascii="Cambria Math" w:hAnsi="Cambria Math" w:cs="Times New Roman"/>
                        <w:bCs/>
                        <w:i/>
                        <w:vertAlign w:val="subscript"/>
                      </w:rPr>
                    </m:ctrlPr>
                  </m:sSubPr>
                  <m:e>
                    <m:r>
                      <w:rPr>
                        <w:rFonts w:ascii="Cambria Math" w:hAnsi="Cambria Math" w:cs="Times New Roman"/>
                        <w:vertAlign w:val="subscript"/>
                      </w:rPr>
                      <m:t>W</m:t>
                    </m:r>
                  </m:e>
                  <m:sub>
                    <m:r>
                      <m:rPr>
                        <m:nor/>
                      </m:rPr>
                      <w:rPr>
                        <w:rFonts w:ascii="Times New Roman" w:hAnsi="Times New Roman" w:cs="Times New Roman"/>
                        <w:bCs/>
                        <w:vertAlign w:val="subscript"/>
                      </w:rPr>
                      <m:t>C</m:t>
                    </m:r>
                  </m:sub>
                </m:sSub>
                <m:r>
                  <w:rPr>
                    <w:rFonts w:ascii="Cambria Math" w:hAnsi="Cambria Math" w:cs="Times New Roman"/>
                    <w:vertAlign w:val="subscript"/>
                  </w:rPr>
                  <m:t xml:space="preserve"> =0,23</m:t>
                </m:r>
              </m:oMath>
            </m:oMathPara>
          </w:p>
        </w:tc>
      </w:tr>
      <w:tr w:rsidR="00271FA2" w:rsidRPr="004224F6" w14:paraId="21AC5C0D" w14:textId="77777777">
        <w:tc>
          <w:tcPr>
            <w:tcW w:w="2187" w:type="dxa"/>
          </w:tcPr>
          <w:p w14:paraId="76808FDD"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D</w:t>
            </w:r>
          </w:p>
        </w:tc>
        <w:tc>
          <w:tcPr>
            <w:tcW w:w="2139" w:type="dxa"/>
          </w:tcPr>
          <w:p w14:paraId="3D1C1A08"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85%</w:t>
            </w:r>
          </w:p>
        </w:tc>
        <w:tc>
          <w:tcPr>
            <w:tcW w:w="2198" w:type="dxa"/>
          </w:tcPr>
          <w:p w14:paraId="7A1F6B69"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rPr>
              <w:t>95%</w:t>
            </w:r>
          </w:p>
        </w:tc>
        <w:tc>
          <w:tcPr>
            <w:tcW w:w="2196" w:type="dxa"/>
          </w:tcPr>
          <w:p w14:paraId="2268986D" w14:textId="77777777" w:rsidR="00271FA2" w:rsidRPr="004224F6" w:rsidRDefault="002C62EC">
            <w:pPr>
              <w:spacing w:line="240" w:lineRule="atLeast"/>
              <w:rPr>
                <w:rFonts w:ascii="Times New Roman" w:hAnsi="Times New Roman" w:cs="Times New Roman"/>
                <w:vertAlign w:val="subscript"/>
              </w:rPr>
            </w:pPr>
            <m:oMathPara>
              <m:oMath>
                <m:sSub>
                  <m:sSubPr>
                    <m:ctrlPr>
                      <w:rPr>
                        <w:rFonts w:ascii="Cambria Math" w:hAnsi="Cambria Math" w:cs="Times New Roman"/>
                        <w:bCs/>
                        <w:i/>
                        <w:vertAlign w:val="subscript"/>
                      </w:rPr>
                    </m:ctrlPr>
                  </m:sSubPr>
                  <m:e>
                    <m:r>
                      <w:rPr>
                        <w:rFonts w:ascii="Cambria Math" w:hAnsi="Cambria Math" w:cs="Times New Roman"/>
                        <w:vertAlign w:val="subscript"/>
                      </w:rPr>
                      <m:t>W</m:t>
                    </m:r>
                  </m:e>
                  <m:sub>
                    <m:r>
                      <m:rPr>
                        <m:nor/>
                      </m:rPr>
                      <w:rPr>
                        <w:rFonts w:ascii="Times New Roman" w:hAnsi="Times New Roman" w:cs="Times New Roman"/>
                        <w:bCs/>
                        <w:vertAlign w:val="subscript"/>
                      </w:rPr>
                      <m:t>D</m:t>
                    </m:r>
                  </m:sub>
                </m:sSub>
                <m:r>
                  <w:rPr>
                    <w:rFonts w:ascii="Cambria Math" w:hAnsi="Cambria Math" w:cs="Times New Roman"/>
                    <w:vertAlign w:val="subscript"/>
                  </w:rPr>
                  <m:t xml:space="preserve"> =0,14</m:t>
                </m:r>
              </m:oMath>
            </m:oMathPara>
          </w:p>
        </w:tc>
      </w:tr>
    </w:tbl>
    <w:p w14:paraId="6C541904" w14:textId="77777777" w:rsidR="00271FA2" w:rsidRPr="004224F6" w:rsidRDefault="00D35E51">
      <w:pPr>
        <w:autoSpaceDE w:val="0"/>
        <w:autoSpaceDN w:val="0"/>
        <w:adjustRightInd w:val="0"/>
        <w:spacing w:line="240" w:lineRule="atLeast"/>
        <w:ind w:left="426"/>
        <w:jc w:val="both"/>
        <w:rPr>
          <w:rFonts w:ascii="Times New Roman" w:hAnsi="Times New Roman" w:cs="Times New Roman"/>
          <w:lang w:val="ru-RU" w:eastAsia="bg-BG"/>
        </w:rPr>
      </w:pPr>
      <w:r w:rsidRPr="004224F6">
        <w:rPr>
          <w:rFonts w:ascii="Times New Roman" w:hAnsi="Times New Roman" w:cs="Times New Roman"/>
          <w:lang w:val="ru-RU" w:eastAsia="bg-BG"/>
        </w:rPr>
        <w:t>Крайният резултат от измерванията за помещение се изчислява по следната формула:</w:t>
      </w:r>
    </w:p>
    <w:p w14:paraId="7150946E" w14:textId="77777777" w:rsidR="00271FA2" w:rsidRPr="004224F6" w:rsidRDefault="002C62EC">
      <w:pPr>
        <w:autoSpaceDE w:val="0"/>
        <w:autoSpaceDN w:val="0"/>
        <w:adjustRightInd w:val="0"/>
        <w:spacing w:line="240" w:lineRule="atLeast"/>
        <w:ind w:left="426"/>
        <w:rPr>
          <w:rFonts w:ascii="Times New Roman" w:hAnsi="Times New Roman" w:cs="Times New Roman"/>
          <w:lang w:eastAsia="bg-BG"/>
        </w:rPr>
      </w:pPr>
      <m:oMath>
        <m:sSub>
          <m:sSubPr>
            <m:ctrlPr>
              <w:rPr>
                <w:rFonts w:ascii="Cambria Math" w:hAnsi="Cambria Math" w:cs="Times New Roman"/>
                <w:bCs/>
                <w:i/>
              </w:rPr>
            </m:ctrlPr>
          </m:sSubPr>
          <m:e>
            <m:r>
              <w:rPr>
                <w:rFonts w:ascii="Cambria Math" w:hAnsi="Cambria Math" w:cs="Times New Roman"/>
              </w:rPr>
              <m:t>L</m:t>
            </m:r>
          </m:e>
          <m:sub>
            <m:r>
              <w:rPr>
                <w:rFonts w:ascii="Cambria Math" w:hAnsi="Cambria Math" w:cs="Times New Roman"/>
              </w:rPr>
              <m:t>waSN</m:t>
            </m:r>
          </m:sub>
        </m:sSub>
      </m:oMath>
      <w:r w:rsidR="00D35E51" w:rsidRPr="004224F6">
        <w:rPr>
          <w:rFonts w:ascii="Times New Roman" w:hAnsi="Times New Roman" w:cs="Times New Roman"/>
          <w:lang w:eastAsia="bg-BG"/>
        </w:rPr>
        <w:t xml:space="preserve"> =10</w:t>
      </w:r>
      <m:oMath>
        <m:r>
          <w:rPr>
            <w:rFonts w:ascii="Cambria Math" w:hAnsi="Cambria Math" w:cs="Times New Roman"/>
            <w:szCs w:val="20"/>
          </w:rPr>
          <m:t xml:space="preserve"> </m:t>
        </m:r>
      </m:oMath>
      <w:r w:rsidR="00D35E51" w:rsidRPr="004224F6">
        <w:rPr>
          <w:rFonts w:ascii="Times New Roman" w:hAnsi="Times New Roman" w:cs="Times New Roman"/>
          <w:lang w:eastAsia="bg-BG"/>
        </w:rPr>
        <w:t>log (</w:t>
      </w:r>
      <m:oMath>
        <m:sSub>
          <m:sSubPr>
            <m:ctrlPr>
              <w:rPr>
                <w:rFonts w:ascii="Cambria Math" w:hAnsi="Cambria Math" w:cs="Times New Roman"/>
                <w:bCs/>
                <w:i/>
              </w:rPr>
            </m:ctrlPr>
          </m:sSubPr>
          <m:e>
            <m:r>
              <w:rPr>
                <w:rFonts w:ascii="Cambria Math" w:hAnsi="Cambria Math" w:cs="Times New Roman"/>
              </w:rPr>
              <m:t>W</m:t>
            </m:r>
          </m:e>
          <m:sub>
            <m:r>
              <m:rPr>
                <m:nor/>
              </m:rPr>
              <w:rPr>
                <w:rFonts w:ascii="Times New Roman" w:hAnsi="Times New Roman" w:cs="Times New Roman"/>
                <w:bCs/>
              </w:rPr>
              <m:t>A</m:t>
            </m:r>
          </m:sub>
        </m:sSub>
        <m:r>
          <w:rPr>
            <w:rFonts w:ascii="Cambria Math" w:hAnsi="Cambria Math" w:cs="Times New Roman"/>
            <w:szCs w:val="20"/>
          </w:rPr>
          <m:t>∙</m:t>
        </m:r>
        <m:sSup>
          <m:sSupPr>
            <m:ctrlPr>
              <w:rPr>
                <w:rFonts w:ascii="Cambria Math" w:hAnsi="Cambria Math" w:cs="Times New Roman"/>
                <w:i/>
                <w:lang w:eastAsia="bg-BG"/>
              </w:rPr>
            </m:ctrlPr>
          </m:sSupPr>
          <m:e>
            <m:r>
              <w:rPr>
                <w:rFonts w:ascii="Cambria Math" w:hAnsi="Cambria Math" w:cs="Times New Roman"/>
                <w:lang w:eastAsia="bg-BG"/>
              </w:rPr>
              <m:t>10</m:t>
            </m:r>
          </m:e>
          <m:sup>
            <m:r>
              <w:rPr>
                <w:rFonts w:ascii="Cambria Math" w:hAnsi="Cambria Math" w:cs="Times New Roman"/>
                <w:lang w:eastAsia="bg-BG"/>
              </w:rPr>
              <m:t>(0,1∙</m:t>
            </m:r>
            <m:sSub>
              <m:sSubPr>
                <m:ctrlPr>
                  <w:rPr>
                    <w:rFonts w:ascii="Cambria Math" w:hAnsi="Cambria Math" w:cs="Times New Roman"/>
                    <w:i/>
                    <w:lang w:eastAsia="bg-BG"/>
                  </w:rPr>
                </m:ctrlPr>
              </m:sSubPr>
              <m:e>
                <m:r>
                  <w:rPr>
                    <w:rFonts w:ascii="Cambria Math" w:hAnsi="Cambria Math" w:cs="Times New Roman"/>
                    <w:lang w:eastAsia="bg-BG"/>
                  </w:rPr>
                  <m:t>L</m:t>
                </m:r>
              </m:e>
              <m:sub>
                <m:r>
                  <w:rPr>
                    <w:rFonts w:ascii="Cambria Math" w:hAnsi="Cambria Math" w:cs="Times New Roman"/>
                    <w:lang w:eastAsia="bg-BG"/>
                  </w:rPr>
                  <m:t>A</m:t>
                </m:r>
              </m:sub>
            </m:sSub>
            <m:r>
              <w:rPr>
                <w:rFonts w:ascii="Cambria Math" w:hAnsi="Cambria Math" w:cs="Times New Roman"/>
                <w:lang w:eastAsia="bg-BG"/>
              </w:rPr>
              <m:t>)</m:t>
            </m:r>
          </m:sup>
        </m:sSup>
        <m:sSub>
          <m:sSubPr>
            <m:ctrlPr>
              <w:rPr>
                <w:rFonts w:ascii="Cambria Math" w:hAnsi="Cambria Math" w:cs="Times New Roman"/>
                <w:bCs/>
                <w:i/>
              </w:rPr>
            </m:ctrlPr>
          </m:sSubPr>
          <m:e>
            <m:r>
              <w:rPr>
                <w:rFonts w:ascii="Cambria Math" w:hAnsi="Cambria Math" w:cs="Times New Roman"/>
              </w:rPr>
              <m:t>+W</m:t>
            </m:r>
          </m:e>
          <m:sub>
            <m:r>
              <m:rPr>
                <m:nor/>
              </m:rPr>
              <w:rPr>
                <w:rFonts w:ascii="Times New Roman" w:hAnsi="Times New Roman" w:cs="Times New Roman"/>
                <w:bCs/>
              </w:rPr>
              <m:t>B</m:t>
            </m:r>
          </m:sub>
        </m:sSub>
        <m:r>
          <w:rPr>
            <w:rFonts w:ascii="Cambria Math" w:hAnsi="Cambria Math" w:cs="Times New Roman"/>
            <w:szCs w:val="20"/>
          </w:rPr>
          <m:t>∙</m:t>
        </m:r>
        <m:sSup>
          <m:sSupPr>
            <m:ctrlPr>
              <w:rPr>
                <w:rFonts w:ascii="Cambria Math" w:hAnsi="Cambria Math" w:cs="Times New Roman"/>
                <w:i/>
                <w:lang w:eastAsia="bg-BG"/>
              </w:rPr>
            </m:ctrlPr>
          </m:sSupPr>
          <m:e>
            <m:r>
              <w:rPr>
                <w:rFonts w:ascii="Cambria Math" w:hAnsi="Cambria Math" w:cs="Times New Roman"/>
                <w:lang w:eastAsia="bg-BG"/>
              </w:rPr>
              <m:t>10</m:t>
            </m:r>
          </m:e>
          <m:sup>
            <m:r>
              <w:rPr>
                <w:rFonts w:ascii="Cambria Math" w:hAnsi="Cambria Math" w:cs="Times New Roman"/>
                <w:lang w:eastAsia="bg-BG"/>
              </w:rPr>
              <m:t>(0,1∙</m:t>
            </m:r>
            <m:sSub>
              <m:sSubPr>
                <m:ctrlPr>
                  <w:rPr>
                    <w:rFonts w:ascii="Cambria Math" w:hAnsi="Cambria Math" w:cs="Times New Roman"/>
                    <w:i/>
                    <w:lang w:eastAsia="bg-BG"/>
                  </w:rPr>
                </m:ctrlPr>
              </m:sSubPr>
              <m:e>
                <m:r>
                  <w:rPr>
                    <w:rFonts w:ascii="Cambria Math" w:hAnsi="Cambria Math" w:cs="Times New Roman"/>
                    <w:lang w:eastAsia="bg-BG"/>
                  </w:rPr>
                  <m:t>L</m:t>
                </m:r>
              </m:e>
              <m:sub>
                <m:r>
                  <w:rPr>
                    <w:rFonts w:ascii="Cambria Math" w:hAnsi="Cambria Math" w:cs="Times New Roman"/>
                    <w:lang w:eastAsia="bg-BG"/>
                  </w:rPr>
                  <m:t>B</m:t>
                </m:r>
              </m:sub>
            </m:sSub>
            <m:r>
              <w:rPr>
                <w:rFonts w:ascii="Cambria Math" w:hAnsi="Cambria Math" w:cs="Times New Roman"/>
                <w:lang w:eastAsia="bg-BG"/>
              </w:rPr>
              <m:t>)</m:t>
            </m:r>
          </m:sup>
        </m:sSup>
        <m:r>
          <w:rPr>
            <w:rFonts w:ascii="Cambria Math" w:hAnsi="Cambria Math" w:cs="Times New Roman"/>
            <w:lang w:eastAsia="bg-BG"/>
          </w:rPr>
          <m:t>+</m:t>
        </m:r>
        <m:sSub>
          <m:sSubPr>
            <m:ctrlPr>
              <w:rPr>
                <w:rFonts w:ascii="Cambria Math" w:hAnsi="Cambria Math" w:cs="Times New Roman"/>
                <w:bCs/>
                <w:i/>
              </w:rPr>
            </m:ctrlPr>
          </m:sSubPr>
          <m:e>
            <m:r>
              <w:rPr>
                <w:rFonts w:ascii="Cambria Math" w:hAnsi="Cambria Math" w:cs="Times New Roman"/>
              </w:rPr>
              <m:t>W</m:t>
            </m:r>
          </m:e>
          <m:sub>
            <m:r>
              <m:rPr>
                <m:nor/>
              </m:rPr>
              <w:rPr>
                <w:rFonts w:ascii="Times New Roman" w:hAnsi="Times New Roman" w:cs="Times New Roman"/>
                <w:bCs/>
              </w:rPr>
              <m:t>C</m:t>
            </m:r>
          </m:sub>
        </m:sSub>
        <m:r>
          <w:rPr>
            <w:rFonts w:ascii="Cambria Math" w:hAnsi="Cambria Math" w:cs="Times New Roman"/>
            <w:szCs w:val="20"/>
          </w:rPr>
          <m:t>∙</m:t>
        </m:r>
        <m:sSup>
          <m:sSupPr>
            <m:ctrlPr>
              <w:rPr>
                <w:rFonts w:ascii="Cambria Math" w:hAnsi="Cambria Math" w:cs="Times New Roman"/>
                <w:i/>
                <w:lang w:eastAsia="bg-BG"/>
              </w:rPr>
            </m:ctrlPr>
          </m:sSupPr>
          <m:e>
            <m:r>
              <w:rPr>
                <w:rFonts w:ascii="Cambria Math" w:hAnsi="Cambria Math" w:cs="Times New Roman"/>
                <w:lang w:eastAsia="bg-BG"/>
              </w:rPr>
              <m:t>10</m:t>
            </m:r>
          </m:e>
          <m:sup>
            <m:r>
              <w:rPr>
                <w:rFonts w:ascii="Cambria Math" w:hAnsi="Cambria Math" w:cs="Times New Roman"/>
                <w:lang w:eastAsia="bg-BG"/>
              </w:rPr>
              <m:t>(0,1∙</m:t>
            </m:r>
            <m:sSub>
              <m:sSubPr>
                <m:ctrlPr>
                  <w:rPr>
                    <w:rFonts w:ascii="Cambria Math" w:hAnsi="Cambria Math" w:cs="Times New Roman"/>
                    <w:i/>
                    <w:lang w:eastAsia="bg-BG"/>
                  </w:rPr>
                </m:ctrlPr>
              </m:sSubPr>
              <m:e>
                <m:r>
                  <w:rPr>
                    <w:rFonts w:ascii="Cambria Math" w:hAnsi="Cambria Math" w:cs="Times New Roman"/>
                    <w:lang w:eastAsia="bg-BG"/>
                  </w:rPr>
                  <m:t>L</m:t>
                </m:r>
              </m:e>
              <m:sub>
                <m:r>
                  <w:rPr>
                    <w:rFonts w:ascii="Cambria Math" w:hAnsi="Cambria Math" w:cs="Times New Roman"/>
                    <w:lang w:eastAsia="bg-BG"/>
                  </w:rPr>
                  <m:t>C</m:t>
                </m:r>
              </m:sub>
            </m:sSub>
            <m:r>
              <w:rPr>
                <w:rFonts w:ascii="Cambria Math" w:hAnsi="Cambria Math" w:cs="Times New Roman"/>
                <w:lang w:eastAsia="bg-BG"/>
              </w:rPr>
              <m:t>)</m:t>
            </m:r>
          </m:sup>
        </m:sSup>
      </m:oMath>
      <w:r w:rsidR="00D35E51" w:rsidRPr="004224F6">
        <w:rPr>
          <w:rFonts w:ascii="Times New Roman" w:hAnsi="Times New Roman" w:cs="Times New Roman"/>
          <w:lang w:eastAsia="bg-BG"/>
        </w:rPr>
        <w:t>+</w:t>
      </w:r>
      <m:oMath>
        <m:sSub>
          <m:sSubPr>
            <m:ctrlPr>
              <w:rPr>
                <w:rFonts w:ascii="Cambria Math" w:hAnsi="Cambria Math" w:cs="Times New Roman"/>
                <w:bCs/>
                <w:i/>
              </w:rPr>
            </m:ctrlPr>
          </m:sSubPr>
          <m:e>
            <m:r>
              <w:rPr>
                <w:rFonts w:ascii="Cambria Math" w:hAnsi="Cambria Math" w:cs="Times New Roman"/>
              </w:rPr>
              <m:t>W</m:t>
            </m:r>
          </m:e>
          <m:sub>
            <m:r>
              <m:rPr>
                <m:nor/>
              </m:rPr>
              <w:rPr>
                <w:rFonts w:ascii="Times New Roman" w:hAnsi="Times New Roman" w:cs="Times New Roman"/>
                <w:bCs/>
              </w:rPr>
              <m:t>D</m:t>
            </m:r>
          </m:sub>
        </m:sSub>
        <m:r>
          <w:rPr>
            <w:rFonts w:ascii="Cambria Math" w:hAnsi="Cambria Math" w:cs="Times New Roman"/>
            <w:szCs w:val="20"/>
          </w:rPr>
          <m:t>∙</m:t>
        </m:r>
        <m:sSup>
          <m:sSupPr>
            <m:ctrlPr>
              <w:rPr>
                <w:rFonts w:ascii="Cambria Math" w:hAnsi="Cambria Math" w:cs="Times New Roman"/>
                <w:i/>
                <w:lang w:eastAsia="bg-BG"/>
              </w:rPr>
            </m:ctrlPr>
          </m:sSupPr>
          <m:e>
            <m:r>
              <w:rPr>
                <w:rFonts w:ascii="Cambria Math" w:hAnsi="Cambria Math" w:cs="Times New Roman"/>
                <w:lang w:eastAsia="bg-BG"/>
              </w:rPr>
              <m:t>10</m:t>
            </m:r>
          </m:e>
          <m:sup>
            <m:r>
              <w:rPr>
                <w:rFonts w:ascii="Cambria Math" w:hAnsi="Cambria Math" w:cs="Times New Roman"/>
                <w:lang w:eastAsia="bg-BG"/>
              </w:rPr>
              <m:t>(0,1∙</m:t>
            </m:r>
            <m:sSub>
              <m:sSubPr>
                <m:ctrlPr>
                  <w:rPr>
                    <w:rFonts w:ascii="Cambria Math" w:hAnsi="Cambria Math" w:cs="Times New Roman"/>
                    <w:i/>
                    <w:lang w:eastAsia="bg-BG"/>
                  </w:rPr>
                </m:ctrlPr>
              </m:sSubPr>
              <m:e>
                <m:r>
                  <w:rPr>
                    <w:rFonts w:ascii="Cambria Math" w:hAnsi="Cambria Math" w:cs="Times New Roman"/>
                    <w:lang w:eastAsia="bg-BG"/>
                  </w:rPr>
                  <m:t>L</m:t>
                </m:r>
              </m:e>
              <m:sub>
                <m:r>
                  <w:rPr>
                    <w:rFonts w:ascii="Cambria Math" w:hAnsi="Cambria Math" w:cs="Times New Roman"/>
                    <w:lang w:eastAsia="bg-BG"/>
                  </w:rPr>
                  <m:t>D</m:t>
                </m:r>
              </m:sub>
            </m:sSub>
            <m:r>
              <w:rPr>
                <w:rFonts w:ascii="Cambria Math" w:hAnsi="Cambria Math" w:cs="Times New Roman"/>
                <w:lang w:eastAsia="bg-BG"/>
              </w:rPr>
              <m:t>)</m:t>
            </m:r>
          </m:sup>
        </m:sSup>
      </m:oMath>
      <w:r w:rsidR="00D35E51" w:rsidRPr="004224F6">
        <w:rPr>
          <w:rFonts w:ascii="Times New Roman" w:hAnsi="Times New Roman" w:cs="Times New Roman"/>
          <w:lang w:eastAsia="bg-BG"/>
        </w:rPr>
        <w:t>)</w:t>
      </w:r>
    </w:p>
    <w:p w14:paraId="3B5B220B" w14:textId="77777777" w:rsidR="00271FA2" w:rsidRPr="004224F6" w:rsidRDefault="00D35E51">
      <w:pPr>
        <w:autoSpaceDE w:val="0"/>
        <w:autoSpaceDN w:val="0"/>
        <w:adjustRightInd w:val="0"/>
        <w:spacing w:line="240" w:lineRule="atLeast"/>
        <w:ind w:left="426"/>
        <w:rPr>
          <w:rFonts w:ascii="Times New Roman" w:hAnsi="Times New Roman" w:cs="Times New Roman"/>
          <w:lang w:val="ru-RU" w:eastAsia="bg-BG"/>
        </w:rPr>
      </w:pPr>
      <w:r w:rsidRPr="004224F6">
        <w:rPr>
          <w:rFonts w:ascii="Times New Roman" w:hAnsi="Times New Roman" w:cs="Times New Roman"/>
          <w:lang w:val="ru-RU" w:eastAsia="bg-BG"/>
        </w:rPr>
        <w:t>където:</w:t>
      </w:r>
    </w:p>
    <w:p w14:paraId="3235D0FF" w14:textId="77777777" w:rsidR="00271FA2" w:rsidRPr="004224F6" w:rsidRDefault="002C62EC">
      <w:pPr>
        <w:autoSpaceDE w:val="0"/>
        <w:autoSpaceDN w:val="0"/>
        <w:adjustRightInd w:val="0"/>
        <w:spacing w:line="240" w:lineRule="atLeast"/>
        <w:ind w:left="426"/>
        <w:rPr>
          <w:rFonts w:ascii="Times New Roman" w:hAnsi="Times New Roman" w:cs="Times New Roman"/>
          <w:color w:val="000000"/>
          <w:lang w:val="ru-RU"/>
        </w:rPr>
      </w:pPr>
      <m:oMath>
        <m:sSub>
          <m:sSubPr>
            <m:ctrlPr>
              <w:rPr>
                <w:rFonts w:ascii="Cambria Math" w:hAnsi="Cambria Math" w:cs="Times New Roman"/>
                <w:bCs/>
                <w:i/>
              </w:rPr>
            </m:ctrlPr>
          </m:sSubPr>
          <m:e>
            <m:r>
              <w:rPr>
                <w:rFonts w:ascii="Cambria Math" w:hAnsi="Cambria Math" w:cs="Times New Roman"/>
              </w:rPr>
              <m:t>L</m:t>
            </m:r>
          </m:e>
          <m:sub>
            <m:r>
              <w:rPr>
                <w:rFonts w:ascii="Cambria Math" w:hAnsi="Cambria Math" w:cs="Times New Roman"/>
              </w:rPr>
              <m:t>waSN</m:t>
            </m:r>
          </m:sub>
        </m:sSub>
      </m:oMath>
      <w:r w:rsidR="00D35E51" w:rsidRPr="004224F6">
        <w:rPr>
          <w:rFonts w:ascii="Times New Roman" w:hAnsi="Times New Roman" w:cs="Times New Roman"/>
          <w:lang w:val="ru-RU" w:eastAsia="bg-BG"/>
        </w:rPr>
        <w:tab/>
        <w:t>=</w:t>
      </w:r>
      <w:r w:rsidR="00D35E51" w:rsidRPr="004224F6">
        <w:rPr>
          <w:rFonts w:ascii="Times New Roman" w:hAnsi="Times New Roman" w:cs="Times New Roman"/>
          <w:lang w:val="ru-RU" w:eastAsia="bg-BG"/>
        </w:rPr>
        <w:tab/>
      </w:r>
      <w:r w:rsidR="00D35E51" w:rsidRPr="004224F6">
        <w:rPr>
          <w:rFonts w:ascii="Times New Roman" w:hAnsi="Times New Roman" w:cs="Times New Roman"/>
          <w:color w:val="000000"/>
          <w:lang w:val="ru-RU"/>
        </w:rPr>
        <w:t xml:space="preserve">среднопретеглено ниво на звуково налягане за плавателен съд в </w:t>
      </w:r>
      <w:r w:rsidR="00D35E51" w:rsidRPr="004224F6">
        <w:rPr>
          <w:rFonts w:ascii="Times New Roman" w:hAnsi="Times New Roman" w:cs="Times New Roman"/>
          <w:color w:val="000000"/>
        </w:rPr>
        <w:t>dB</w:t>
      </w:r>
      <w:r w:rsidR="00D35E51" w:rsidRPr="004224F6">
        <w:rPr>
          <w:rFonts w:ascii="Times New Roman" w:hAnsi="Times New Roman" w:cs="Times New Roman"/>
          <w:color w:val="000000"/>
          <w:lang w:val="ru-RU"/>
        </w:rPr>
        <w:t xml:space="preserve"> (</w:t>
      </w:r>
      <w:r w:rsidR="00D35E51" w:rsidRPr="004224F6">
        <w:rPr>
          <w:rFonts w:ascii="Times New Roman" w:hAnsi="Times New Roman" w:cs="Times New Roman"/>
          <w:color w:val="000000"/>
        </w:rPr>
        <w:t>A</w:t>
      </w:r>
      <w:r w:rsidR="00D35E51" w:rsidRPr="004224F6">
        <w:rPr>
          <w:rFonts w:ascii="Times New Roman" w:hAnsi="Times New Roman" w:cs="Times New Roman"/>
          <w:color w:val="000000"/>
          <w:lang w:val="ru-RU"/>
        </w:rPr>
        <w:t>);</w:t>
      </w:r>
    </w:p>
    <w:p w14:paraId="559F87AC" w14:textId="77777777" w:rsidR="00271FA2" w:rsidRPr="004224F6" w:rsidRDefault="002C62EC" w:rsidP="00881D34">
      <w:pPr>
        <w:autoSpaceDE w:val="0"/>
        <w:autoSpaceDN w:val="0"/>
        <w:adjustRightInd w:val="0"/>
        <w:spacing w:line="240" w:lineRule="atLeast"/>
        <w:ind w:left="1440" w:hanging="1005"/>
        <w:jc w:val="both"/>
        <w:rPr>
          <w:rFonts w:ascii="Times New Roman" w:hAnsi="Times New Roman" w:cs="Times New Roman"/>
          <w:lang w:val="ru-RU" w:eastAsia="bg-BG"/>
        </w:rPr>
      </w:pPr>
      <m:oMath>
        <m:sSub>
          <m:sSubPr>
            <m:ctrlPr>
              <w:rPr>
                <w:rFonts w:ascii="Cambria Math" w:hAnsi="Cambria Math" w:cs="Times New Roman"/>
                <w:bCs/>
                <w:i/>
              </w:rPr>
            </m:ctrlPr>
          </m:sSubPr>
          <m:e>
            <m:r>
              <w:rPr>
                <w:rFonts w:ascii="Cambria Math" w:hAnsi="Cambria Math" w:cs="Times New Roman"/>
              </w:rPr>
              <m:t>L</m:t>
            </m:r>
          </m:e>
          <m:sub>
            <m:r>
              <w:rPr>
                <w:rFonts w:ascii="Cambria Math" w:hAnsi="Cambria Math" w:cs="Times New Roman"/>
              </w:rPr>
              <m:t>A</m:t>
            </m:r>
          </m:sub>
        </m:sSub>
      </m:oMath>
      <w:r w:rsidR="00D35E51" w:rsidRPr="004224F6">
        <w:rPr>
          <w:rFonts w:ascii="Times New Roman" w:hAnsi="Times New Roman" w:cs="Times New Roman"/>
          <w:lang w:val="ru-RU" w:eastAsia="bg-BG"/>
        </w:rPr>
        <w:tab/>
        <w:t>=</w:t>
      </w:r>
      <w:r w:rsidR="00D35E51" w:rsidRPr="004224F6">
        <w:rPr>
          <w:rFonts w:ascii="Times New Roman" w:hAnsi="Times New Roman" w:cs="Times New Roman"/>
          <w:lang w:val="ru-RU" w:eastAsia="bg-BG"/>
        </w:rPr>
        <w:tab/>
      </w:r>
      <w:r w:rsidR="00D35E51" w:rsidRPr="004224F6">
        <w:rPr>
          <w:rFonts w:ascii="Times New Roman" w:hAnsi="Times New Roman" w:cs="Times New Roman"/>
          <w:color w:val="000000"/>
          <w:lang w:val="ru-RU"/>
        </w:rPr>
        <w:t xml:space="preserve">измерено ниво на звуково налягане на плавателния съд в </w:t>
      </w:r>
      <w:r w:rsidR="00D35E51" w:rsidRPr="004224F6">
        <w:rPr>
          <w:rFonts w:ascii="Times New Roman" w:hAnsi="Times New Roman" w:cs="Times New Roman"/>
          <w:color w:val="000000"/>
        </w:rPr>
        <w:t>dB</w:t>
      </w:r>
      <w:r w:rsidR="00D35E51" w:rsidRPr="004224F6">
        <w:rPr>
          <w:rFonts w:ascii="Times New Roman" w:hAnsi="Times New Roman" w:cs="Times New Roman"/>
          <w:color w:val="000000"/>
          <w:lang w:val="ru-RU"/>
        </w:rPr>
        <w:t xml:space="preserve"> (</w:t>
      </w:r>
      <w:r w:rsidR="00D35E51" w:rsidRPr="004224F6">
        <w:rPr>
          <w:rFonts w:ascii="Times New Roman" w:hAnsi="Times New Roman" w:cs="Times New Roman"/>
          <w:color w:val="000000"/>
        </w:rPr>
        <w:t>A</w:t>
      </w:r>
      <w:r w:rsidR="00D35E51" w:rsidRPr="004224F6">
        <w:rPr>
          <w:rFonts w:ascii="Times New Roman" w:hAnsi="Times New Roman" w:cs="Times New Roman"/>
          <w:color w:val="000000"/>
          <w:lang w:val="ru-RU"/>
        </w:rPr>
        <w:t xml:space="preserve">) при измерване </w:t>
      </w:r>
      <w:r w:rsidR="00D35E51" w:rsidRPr="004224F6">
        <w:rPr>
          <w:rFonts w:ascii="Times New Roman" w:hAnsi="Times New Roman" w:cs="Times New Roman"/>
          <w:color w:val="000000"/>
        </w:rPr>
        <w:t>A</w:t>
      </w:r>
      <w:r w:rsidR="00D35E51" w:rsidRPr="004224F6">
        <w:rPr>
          <w:rFonts w:ascii="Times New Roman" w:hAnsi="Times New Roman" w:cs="Times New Roman"/>
          <w:color w:val="000000"/>
          <w:lang w:val="ru-RU"/>
        </w:rPr>
        <w:t>;</w:t>
      </w:r>
    </w:p>
    <w:p w14:paraId="6424C4CC" w14:textId="77777777" w:rsidR="00271FA2" w:rsidRPr="004224F6" w:rsidRDefault="002C62EC" w:rsidP="00881D34">
      <w:pPr>
        <w:autoSpaceDE w:val="0"/>
        <w:autoSpaceDN w:val="0"/>
        <w:adjustRightInd w:val="0"/>
        <w:spacing w:line="240" w:lineRule="atLeast"/>
        <w:ind w:left="1418" w:hanging="992"/>
        <w:jc w:val="both"/>
        <w:rPr>
          <w:rFonts w:ascii="Times New Roman" w:hAnsi="Times New Roman" w:cs="Times New Roman"/>
          <w:lang w:val="ru-RU" w:eastAsia="bg-BG"/>
        </w:rPr>
      </w:pPr>
      <m:oMath>
        <m:sSub>
          <m:sSubPr>
            <m:ctrlPr>
              <w:rPr>
                <w:rFonts w:ascii="Cambria Math" w:hAnsi="Cambria Math" w:cs="Times New Roman"/>
                <w:bCs/>
                <w:i/>
              </w:rPr>
            </m:ctrlPr>
          </m:sSubPr>
          <m:e>
            <m:r>
              <w:rPr>
                <w:rFonts w:ascii="Cambria Math" w:hAnsi="Cambria Math" w:cs="Times New Roman"/>
              </w:rPr>
              <m:t>L</m:t>
            </m:r>
          </m:e>
          <m:sub>
            <m:r>
              <w:rPr>
                <w:rFonts w:ascii="Cambria Math" w:hAnsi="Cambria Math" w:cs="Times New Roman"/>
              </w:rPr>
              <m:t>B</m:t>
            </m:r>
          </m:sub>
        </m:sSub>
      </m:oMath>
      <w:r w:rsidR="00881D34" w:rsidRPr="004224F6">
        <w:rPr>
          <w:rFonts w:ascii="Times New Roman" w:hAnsi="Times New Roman" w:cs="Times New Roman"/>
          <w:lang w:val="ru-RU" w:eastAsia="bg-BG"/>
        </w:rPr>
        <w:tab/>
      </w:r>
      <w:r w:rsidR="00D35E51" w:rsidRPr="004224F6">
        <w:rPr>
          <w:rFonts w:ascii="Times New Roman" w:hAnsi="Times New Roman" w:cs="Times New Roman"/>
          <w:lang w:val="ru-RU" w:eastAsia="bg-BG"/>
        </w:rPr>
        <w:t>=</w:t>
      </w:r>
      <w:r w:rsidR="00D35E51" w:rsidRPr="004224F6">
        <w:rPr>
          <w:rFonts w:ascii="Times New Roman" w:hAnsi="Times New Roman" w:cs="Times New Roman"/>
          <w:lang w:val="ru-RU" w:eastAsia="bg-BG"/>
        </w:rPr>
        <w:tab/>
      </w:r>
      <w:r w:rsidR="00D35E51" w:rsidRPr="004224F6">
        <w:rPr>
          <w:rFonts w:ascii="Times New Roman" w:hAnsi="Times New Roman" w:cs="Times New Roman"/>
          <w:color w:val="000000"/>
          <w:lang w:val="ru-RU"/>
        </w:rPr>
        <w:t xml:space="preserve">измерено ниво на звуково налягане на плавателния съд в </w:t>
      </w:r>
      <w:r w:rsidR="00D35E51" w:rsidRPr="004224F6">
        <w:rPr>
          <w:rFonts w:ascii="Times New Roman" w:hAnsi="Times New Roman" w:cs="Times New Roman"/>
          <w:color w:val="000000"/>
        </w:rPr>
        <w:t>dB</w:t>
      </w:r>
      <w:r w:rsidR="00D35E51" w:rsidRPr="004224F6">
        <w:rPr>
          <w:rFonts w:ascii="Times New Roman" w:hAnsi="Times New Roman" w:cs="Times New Roman"/>
          <w:color w:val="000000"/>
          <w:lang w:val="ru-RU"/>
        </w:rPr>
        <w:t xml:space="preserve"> (</w:t>
      </w:r>
      <w:r w:rsidR="00D35E51" w:rsidRPr="004224F6">
        <w:rPr>
          <w:rFonts w:ascii="Times New Roman" w:hAnsi="Times New Roman" w:cs="Times New Roman"/>
          <w:color w:val="000000"/>
        </w:rPr>
        <w:t>A</w:t>
      </w:r>
      <w:r w:rsidR="00D35E51" w:rsidRPr="004224F6">
        <w:rPr>
          <w:rFonts w:ascii="Times New Roman" w:hAnsi="Times New Roman" w:cs="Times New Roman"/>
          <w:color w:val="000000"/>
          <w:lang w:val="ru-RU"/>
        </w:rPr>
        <w:t xml:space="preserve">) при измерване </w:t>
      </w:r>
      <w:r w:rsidR="00D35E51" w:rsidRPr="004224F6">
        <w:rPr>
          <w:rFonts w:ascii="Times New Roman" w:hAnsi="Times New Roman" w:cs="Times New Roman"/>
          <w:color w:val="000000"/>
        </w:rPr>
        <w:t>B</w:t>
      </w:r>
      <w:r w:rsidR="00D35E51" w:rsidRPr="004224F6">
        <w:rPr>
          <w:rFonts w:ascii="Times New Roman" w:hAnsi="Times New Roman" w:cs="Times New Roman"/>
          <w:color w:val="000000"/>
          <w:lang w:val="ru-RU"/>
        </w:rPr>
        <w:t>;</w:t>
      </w:r>
      <w:r w:rsidR="00D35E51" w:rsidRPr="004224F6">
        <w:rPr>
          <w:rFonts w:ascii="Times New Roman" w:hAnsi="Times New Roman" w:cs="Times New Roman"/>
          <w:lang w:val="ru-RU" w:eastAsia="bg-BG"/>
        </w:rPr>
        <w:t xml:space="preserve"> </w:t>
      </w:r>
    </w:p>
    <w:p w14:paraId="719EB4DA" w14:textId="77777777" w:rsidR="00271FA2" w:rsidRPr="004224F6" w:rsidRDefault="002C62EC" w:rsidP="00881D34">
      <w:pPr>
        <w:autoSpaceDE w:val="0"/>
        <w:autoSpaceDN w:val="0"/>
        <w:adjustRightInd w:val="0"/>
        <w:spacing w:line="240" w:lineRule="atLeast"/>
        <w:ind w:left="1418" w:hanging="992"/>
        <w:jc w:val="both"/>
        <w:rPr>
          <w:rFonts w:ascii="Times New Roman" w:hAnsi="Times New Roman" w:cs="Times New Roman"/>
          <w:lang w:val="ru-RU" w:eastAsia="bg-BG"/>
        </w:rPr>
      </w:pPr>
      <m:oMath>
        <m:sSub>
          <m:sSubPr>
            <m:ctrlPr>
              <w:rPr>
                <w:rFonts w:ascii="Cambria Math" w:hAnsi="Cambria Math" w:cs="Times New Roman"/>
                <w:bCs/>
                <w:i/>
              </w:rPr>
            </m:ctrlPr>
          </m:sSubPr>
          <m:e>
            <m:r>
              <w:rPr>
                <w:rFonts w:ascii="Cambria Math" w:hAnsi="Cambria Math" w:cs="Times New Roman"/>
              </w:rPr>
              <m:t>L</m:t>
            </m:r>
          </m:e>
          <m:sub>
            <m:r>
              <w:rPr>
                <w:rFonts w:ascii="Cambria Math" w:hAnsi="Cambria Math" w:cs="Times New Roman"/>
              </w:rPr>
              <m:t>C</m:t>
            </m:r>
          </m:sub>
        </m:sSub>
      </m:oMath>
      <w:r w:rsidR="00D35E51" w:rsidRPr="004224F6">
        <w:rPr>
          <w:rFonts w:ascii="Times New Roman" w:hAnsi="Times New Roman" w:cs="Times New Roman"/>
          <w:lang w:val="ru-RU" w:eastAsia="bg-BG"/>
        </w:rPr>
        <w:tab/>
      </w:r>
      <w:r w:rsidR="00D35E51" w:rsidRPr="004224F6">
        <w:rPr>
          <w:rFonts w:ascii="Times New Roman" w:hAnsi="Times New Roman" w:cs="Times New Roman"/>
          <w:lang w:val="ru-RU" w:eastAsia="bg-BG"/>
        </w:rPr>
        <w:tab/>
        <w:t>=</w:t>
      </w:r>
      <w:r w:rsidR="00D35E51" w:rsidRPr="004224F6">
        <w:rPr>
          <w:rFonts w:ascii="Times New Roman" w:hAnsi="Times New Roman" w:cs="Times New Roman"/>
          <w:lang w:val="ru-RU" w:eastAsia="bg-BG"/>
        </w:rPr>
        <w:tab/>
      </w:r>
      <w:r w:rsidR="00D35E51" w:rsidRPr="004224F6">
        <w:rPr>
          <w:rFonts w:ascii="Times New Roman" w:hAnsi="Times New Roman" w:cs="Times New Roman"/>
          <w:color w:val="000000"/>
          <w:lang w:val="ru-RU"/>
        </w:rPr>
        <w:t>измерено ни</w:t>
      </w:r>
      <w:r w:rsidR="00881D34" w:rsidRPr="004224F6">
        <w:rPr>
          <w:rFonts w:ascii="Times New Roman" w:hAnsi="Times New Roman" w:cs="Times New Roman"/>
          <w:color w:val="000000"/>
          <w:lang w:val="ru-RU"/>
        </w:rPr>
        <w:t>во на звуково налягане на плавателния съд</w:t>
      </w:r>
      <w:r w:rsidR="00D35E51" w:rsidRPr="004224F6">
        <w:rPr>
          <w:rFonts w:ascii="Times New Roman" w:hAnsi="Times New Roman" w:cs="Times New Roman"/>
          <w:color w:val="000000"/>
          <w:lang w:val="ru-RU"/>
        </w:rPr>
        <w:t xml:space="preserve"> в </w:t>
      </w:r>
      <w:r w:rsidR="00D35E51" w:rsidRPr="004224F6">
        <w:rPr>
          <w:rFonts w:ascii="Times New Roman" w:hAnsi="Times New Roman" w:cs="Times New Roman"/>
          <w:color w:val="000000"/>
        </w:rPr>
        <w:t>dB</w:t>
      </w:r>
      <w:r w:rsidR="00D35E51" w:rsidRPr="004224F6">
        <w:rPr>
          <w:rFonts w:ascii="Times New Roman" w:hAnsi="Times New Roman" w:cs="Times New Roman"/>
          <w:color w:val="000000"/>
          <w:lang w:val="ru-RU"/>
        </w:rPr>
        <w:t xml:space="preserve"> (</w:t>
      </w:r>
      <w:r w:rsidR="00D35E51" w:rsidRPr="004224F6">
        <w:rPr>
          <w:rFonts w:ascii="Times New Roman" w:hAnsi="Times New Roman" w:cs="Times New Roman"/>
          <w:color w:val="000000"/>
        </w:rPr>
        <w:t>A</w:t>
      </w:r>
      <w:r w:rsidR="00D35E51" w:rsidRPr="004224F6">
        <w:rPr>
          <w:rFonts w:ascii="Times New Roman" w:hAnsi="Times New Roman" w:cs="Times New Roman"/>
          <w:color w:val="000000"/>
          <w:lang w:val="ru-RU"/>
        </w:rPr>
        <w:t xml:space="preserve">) при измерване </w:t>
      </w:r>
      <w:r w:rsidR="00D35E51" w:rsidRPr="004224F6">
        <w:rPr>
          <w:rFonts w:ascii="Times New Roman" w:hAnsi="Times New Roman" w:cs="Times New Roman"/>
          <w:color w:val="000000"/>
        </w:rPr>
        <w:t>C</w:t>
      </w:r>
      <w:r w:rsidR="00D35E51" w:rsidRPr="004224F6">
        <w:rPr>
          <w:rFonts w:ascii="Times New Roman" w:hAnsi="Times New Roman" w:cs="Times New Roman"/>
          <w:color w:val="000000"/>
          <w:lang w:val="ru-RU"/>
        </w:rPr>
        <w:t>;</w:t>
      </w:r>
    </w:p>
    <w:p w14:paraId="708CFADD" w14:textId="77777777" w:rsidR="00271FA2" w:rsidRPr="004224F6" w:rsidRDefault="002C62EC" w:rsidP="00881D34">
      <w:pPr>
        <w:autoSpaceDE w:val="0"/>
        <w:autoSpaceDN w:val="0"/>
        <w:adjustRightInd w:val="0"/>
        <w:spacing w:line="240" w:lineRule="atLeast"/>
        <w:ind w:left="1418" w:hanging="992"/>
        <w:jc w:val="both"/>
        <w:rPr>
          <w:rFonts w:ascii="Times New Roman" w:hAnsi="Times New Roman" w:cs="Times New Roman"/>
          <w:lang w:val="ru-RU" w:eastAsia="bg-BG"/>
        </w:rPr>
      </w:pPr>
      <m:oMath>
        <m:sSub>
          <m:sSubPr>
            <m:ctrlPr>
              <w:rPr>
                <w:rFonts w:ascii="Cambria Math" w:hAnsi="Cambria Math" w:cs="Times New Roman"/>
                <w:bCs/>
                <w:i/>
              </w:rPr>
            </m:ctrlPr>
          </m:sSubPr>
          <m:e>
            <m:r>
              <w:rPr>
                <w:rFonts w:ascii="Cambria Math" w:hAnsi="Cambria Math" w:cs="Times New Roman"/>
              </w:rPr>
              <m:t>L</m:t>
            </m:r>
          </m:e>
          <m:sub>
            <m:r>
              <w:rPr>
                <w:rFonts w:ascii="Cambria Math" w:hAnsi="Cambria Math" w:cs="Times New Roman"/>
              </w:rPr>
              <m:t>D</m:t>
            </m:r>
          </m:sub>
        </m:sSub>
      </m:oMath>
      <w:r w:rsidR="00D35E51" w:rsidRPr="004224F6">
        <w:rPr>
          <w:rFonts w:ascii="Times New Roman" w:hAnsi="Times New Roman" w:cs="Times New Roman"/>
          <w:lang w:val="ru-RU" w:eastAsia="bg-BG"/>
        </w:rPr>
        <w:tab/>
      </w:r>
      <w:r w:rsidR="00D35E51" w:rsidRPr="004224F6">
        <w:rPr>
          <w:rFonts w:ascii="Times New Roman" w:hAnsi="Times New Roman" w:cs="Times New Roman"/>
          <w:lang w:val="ru-RU" w:eastAsia="bg-BG"/>
        </w:rPr>
        <w:tab/>
        <w:t>=</w:t>
      </w:r>
      <w:r w:rsidR="00D35E51" w:rsidRPr="004224F6">
        <w:rPr>
          <w:rFonts w:ascii="Times New Roman" w:hAnsi="Times New Roman" w:cs="Times New Roman"/>
          <w:lang w:val="ru-RU" w:eastAsia="bg-BG"/>
        </w:rPr>
        <w:tab/>
      </w:r>
      <w:r w:rsidR="00D35E51" w:rsidRPr="004224F6">
        <w:rPr>
          <w:rFonts w:ascii="Times New Roman" w:hAnsi="Times New Roman" w:cs="Times New Roman"/>
          <w:color w:val="000000"/>
          <w:lang w:val="ru-RU"/>
        </w:rPr>
        <w:t>измерено ни</w:t>
      </w:r>
      <w:r w:rsidR="00881D34" w:rsidRPr="004224F6">
        <w:rPr>
          <w:rFonts w:ascii="Times New Roman" w:hAnsi="Times New Roman" w:cs="Times New Roman"/>
          <w:color w:val="000000"/>
          <w:lang w:val="ru-RU"/>
        </w:rPr>
        <w:t>во на звуково налягане на плавателния съд</w:t>
      </w:r>
      <w:r w:rsidR="00D35E51" w:rsidRPr="004224F6">
        <w:rPr>
          <w:rFonts w:ascii="Times New Roman" w:hAnsi="Times New Roman" w:cs="Times New Roman"/>
          <w:color w:val="000000"/>
          <w:lang w:val="ru-RU"/>
        </w:rPr>
        <w:t xml:space="preserve"> в </w:t>
      </w:r>
      <w:r w:rsidR="00D35E51" w:rsidRPr="004224F6">
        <w:rPr>
          <w:rFonts w:ascii="Times New Roman" w:hAnsi="Times New Roman" w:cs="Times New Roman"/>
          <w:color w:val="000000"/>
        </w:rPr>
        <w:t>dB</w:t>
      </w:r>
      <w:r w:rsidR="00D35E51" w:rsidRPr="004224F6">
        <w:rPr>
          <w:rFonts w:ascii="Times New Roman" w:hAnsi="Times New Roman" w:cs="Times New Roman"/>
          <w:color w:val="000000"/>
          <w:lang w:val="ru-RU"/>
        </w:rPr>
        <w:t xml:space="preserve"> (</w:t>
      </w:r>
      <w:r w:rsidR="00D35E51" w:rsidRPr="004224F6">
        <w:rPr>
          <w:rFonts w:ascii="Times New Roman" w:hAnsi="Times New Roman" w:cs="Times New Roman"/>
          <w:color w:val="000000"/>
        </w:rPr>
        <w:t>A</w:t>
      </w:r>
      <w:r w:rsidR="00D35E51" w:rsidRPr="004224F6">
        <w:rPr>
          <w:rFonts w:ascii="Times New Roman" w:hAnsi="Times New Roman" w:cs="Times New Roman"/>
          <w:color w:val="000000"/>
          <w:lang w:val="ru-RU"/>
        </w:rPr>
        <w:t xml:space="preserve">) при измерване </w:t>
      </w:r>
      <w:r w:rsidR="00D35E51" w:rsidRPr="004224F6">
        <w:rPr>
          <w:rFonts w:ascii="Times New Roman" w:hAnsi="Times New Roman" w:cs="Times New Roman"/>
          <w:lang w:eastAsia="bg-BG"/>
        </w:rPr>
        <w:t>D</w:t>
      </w:r>
      <w:r w:rsidR="00D35E51" w:rsidRPr="004224F6">
        <w:rPr>
          <w:rFonts w:ascii="Times New Roman" w:hAnsi="Times New Roman" w:cs="Times New Roman"/>
          <w:lang w:val="ru-RU" w:eastAsia="bg-BG"/>
        </w:rPr>
        <w:t>,</w:t>
      </w:r>
    </w:p>
    <w:p w14:paraId="6B80F13C" w14:textId="77777777" w:rsidR="00271FA2" w:rsidRPr="004224F6" w:rsidRDefault="00D35E51">
      <w:pPr>
        <w:autoSpaceDE w:val="0"/>
        <w:autoSpaceDN w:val="0"/>
        <w:adjustRightInd w:val="0"/>
        <w:spacing w:line="240" w:lineRule="atLeast"/>
        <w:ind w:left="426"/>
        <w:rPr>
          <w:rFonts w:ascii="Times New Roman" w:hAnsi="Times New Roman" w:cs="Times New Roman"/>
          <w:lang w:val="ru-RU" w:eastAsia="bg-BG"/>
        </w:rPr>
      </w:pPr>
      <w:r w:rsidRPr="004224F6">
        <w:rPr>
          <w:rFonts w:ascii="Times New Roman" w:hAnsi="Times New Roman" w:cs="Times New Roman"/>
          <w:lang w:val="ru-RU" w:eastAsia="bg-BG"/>
        </w:rPr>
        <w:t>и</w:t>
      </w:r>
    </w:p>
    <w:p w14:paraId="4CB37BDD" w14:textId="77777777" w:rsidR="00271FA2" w:rsidRPr="004224F6" w:rsidRDefault="002C62EC">
      <w:pPr>
        <w:autoSpaceDE w:val="0"/>
        <w:autoSpaceDN w:val="0"/>
        <w:adjustRightInd w:val="0"/>
        <w:spacing w:line="240" w:lineRule="atLeast"/>
        <w:ind w:left="426"/>
        <w:rPr>
          <w:rFonts w:ascii="Times New Roman" w:hAnsi="Times New Roman" w:cs="Times New Roman"/>
          <w:lang w:val="ru-RU" w:eastAsia="bg-BG"/>
        </w:rPr>
      </w:pPr>
      <m:oMath>
        <m:sSub>
          <m:sSubPr>
            <m:ctrlPr>
              <w:rPr>
                <w:rFonts w:ascii="Cambria Math" w:hAnsi="Cambria Math" w:cs="Times New Roman"/>
                <w:bCs/>
                <w:i/>
              </w:rPr>
            </m:ctrlPr>
          </m:sSubPr>
          <m:e>
            <m:r>
              <w:rPr>
                <w:rFonts w:ascii="Cambria Math" w:hAnsi="Cambria Math" w:cs="Times New Roman"/>
              </w:rPr>
              <m:t>W</m:t>
            </m:r>
          </m:e>
          <m:sub>
            <m:r>
              <m:rPr>
                <m:nor/>
              </m:rPr>
              <w:rPr>
                <w:rFonts w:ascii="Times New Roman" w:hAnsi="Times New Roman" w:cs="Times New Roman"/>
                <w:bCs/>
              </w:rPr>
              <m:t>A</m:t>
            </m:r>
          </m:sub>
        </m:sSub>
      </m:oMath>
      <w:r w:rsidR="00D35E51" w:rsidRPr="004224F6">
        <w:rPr>
          <w:rFonts w:ascii="Times New Roman" w:hAnsi="Times New Roman" w:cs="Times New Roman"/>
          <w:lang w:val="ru-RU" w:eastAsia="bg-BG"/>
        </w:rPr>
        <w:t xml:space="preserve">, </w:t>
      </w:r>
      <m:oMath>
        <m:sSub>
          <m:sSubPr>
            <m:ctrlPr>
              <w:rPr>
                <w:rFonts w:ascii="Cambria Math" w:hAnsi="Cambria Math" w:cs="Times New Roman"/>
                <w:bCs/>
                <w:i/>
              </w:rPr>
            </m:ctrlPr>
          </m:sSubPr>
          <m:e>
            <m:r>
              <w:rPr>
                <w:rFonts w:ascii="Cambria Math" w:hAnsi="Cambria Math" w:cs="Times New Roman"/>
              </w:rPr>
              <m:t>W</m:t>
            </m:r>
          </m:e>
          <m:sub>
            <m:r>
              <m:rPr>
                <m:nor/>
              </m:rPr>
              <w:rPr>
                <w:rFonts w:ascii="Times New Roman" w:hAnsi="Times New Roman" w:cs="Times New Roman"/>
                <w:bCs/>
              </w:rPr>
              <m:t>B</m:t>
            </m:r>
          </m:sub>
        </m:sSub>
      </m:oMath>
      <w:r w:rsidR="00D35E51" w:rsidRPr="004224F6">
        <w:rPr>
          <w:rFonts w:ascii="Times New Roman" w:hAnsi="Times New Roman" w:cs="Times New Roman"/>
          <w:lang w:val="ru-RU" w:eastAsia="bg-BG"/>
        </w:rPr>
        <w:t xml:space="preserve">, </w:t>
      </w:r>
      <m:oMath>
        <m:sSub>
          <m:sSubPr>
            <m:ctrlPr>
              <w:rPr>
                <w:rFonts w:ascii="Cambria Math" w:hAnsi="Cambria Math" w:cs="Times New Roman"/>
                <w:bCs/>
                <w:i/>
              </w:rPr>
            </m:ctrlPr>
          </m:sSubPr>
          <m:e>
            <m:r>
              <w:rPr>
                <w:rFonts w:ascii="Cambria Math" w:hAnsi="Cambria Math" w:cs="Times New Roman"/>
              </w:rPr>
              <m:t>W</m:t>
            </m:r>
          </m:e>
          <m:sub>
            <m:r>
              <m:rPr>
                <m:nor/>
              </m:rPr>
              <w:rPr>
                <w:rFonts w:ascii="Times New Roman" w:hAnsi="Times New Roman" w:cs="Times New Roman"/>
                <w:bCs/>
              </w:rPr>
              <m:t>C</m:t>
            </m:r>
          </m:sub>
        </m:sSub>
      </m:oMath>
      <w:r w:rsidR="00D35E51" w:rsidRPr="004224F6">
        <w:rPr>
          <w:rFonts w:ascii="Times New Roman" w:hAnsi="Times New Roman" w:cs="Times New Roman"/>
          <w:lang w:val="ru-RU" w:eastAsia="bg-BG"/>
        </w:rPr>
        <w:t xml:space="preserve">, </w:t>
      </w:r>
      <m:oMath>
        <m:sSub>
          <m:sSubPr>
            <m:ctrlPr>
              <w:rPr>
                <w:rFonts w:ascii="Cambria Math" w:hAnsi="Cambria Math" w:cs="Times New Roman"/>
                <w:bCs/>
                <w:i/>
              </w:rPr>
            </m:ctrlPr>
          </m:sSubPr>
          <m:e>
            <m:r>
              <w:rPr>
                <w:rFonts w:ascii="Cambria Math" w:hAnsi="Cambria Math" w:cs="Times New Roman"/>
              </w:rPr>
              <m:t>W</m:t>
            </m:r>
          </m:e>
          <m:sub>
            <m:r>
              <m:rPr>
                <m:nor/>
              </m:rPr>
              <w:rPr>
                <w:rFonts w:ascii="Times New Roman" w:hAnsi="Times New Roman" w:cs="Times New Roman"/>
                <w:bCs/>
              </w:rPr>
              <m:t>D</m:t>
            </m:r>
          </m:sub>
        </m:sSub>
      </m:oMath>
      <w:r w:rsidR="00D35E51" w:rsidRPr="004224F6">
        <w:rPr>
          <w:rFonts w:ascii="Times New Roman" w:hAnsi="Times New Roman" w:cs="Times New Roman"/>
          <w:lang w:val="ru-RU" w:eastAsia="bg-BG"/>
        </w:rPr>
        <w:tab/>
        <w:t xml:space="preserve">= коефициенти на тежест за измервателни условия </w:t>
      </w:r>
      <w:r w:rsidR="00D35E51" w:rsidRPr="004224F6">
        <w:rPr>
          <w:rFonts w:ascii="Times New Roman" w:hAnsi="Times New Roman" w:cs="Times New Roman"/>
          <w:lang w:eastAsia="bg-BG"/>
        </w:rPr>
        <w:t>A</w:t>
      </w:r>
      <w:r w:rsidR="00D35E51" w:rsidRPr="004224F6">
        <w:rPr>
          <w:rFonts w:ascii="Times New Roman" w:hAnsi="Times New Roman" w:cs="Times New Roman"/>
          <w:lang w:val="ru-RU" w:eastAsia="bg-BG"/>
        </w:rPr>
        <w:t xml:space="preserve">, </w:t>
      </w:r>
      <w:r w:rsidR="00D35E51" w:rsidRPr="004224F6">
        <w:rPr>
          <w:rFonts w:ascii="Times New Roman" w:hAnsi="Times New Roman" w:cs="Times New Roman"/>
          <w:lang w:eastAsia="bg-BG"/>
        </w:rPr>
        <w:t>B</w:t>
      </w:r>
      <w:r w:rsidR="00D35E51" w:rsidRPr="004224F6">
        <w:rPr>
          <w:rFonts w:ascii="Times New Roman" w:hAnsi="Times New Roman" w:cs="Times New Roman"/>
          <w:lang w:val="ru-RU" w:eastAsia="bg-BG"/>
        </w:rPr>
        <w:t xml:space="preserve">, </w:t>
      </w:r>
      <w:r w:rsidR="00D35E51" w:rsidRPr="004224F6">
        <w:rPr>
          <w:rFonts w:ascii="Times New Roman" w:hAnsi="Times New Roman" w:cs="Times New Roman"/>
          <w:lang w:eastAsia="bg-BG"/>
        </w:rPr>
        <w:t>C</w:t>
      </w:r>
      <w:r w:rsidR="00D35E51" w:rsidRPr="004224F6">
        <w:rPr>
          <w:rFonts w:ascii="Times New Roman" w:hAnsi="Times New Roman" w:cs="Times New Roman"/>
          <w:lang w:val="ru-RU" w:eastAsia="bg-BG"/>
        </w:rPr>
        <w:t xml:space="preserve"> и </w:t>
      </w:r>
      <w:r w:rsidR="00D35E51" w:rsidRPr="004224F6">
        <w:rPr>
          <w:rFonts w:ascii="Times New Roman" w:hAnsi="Times New Roman" w:cs="Times New Roman"/>
          <w:lang w:eastAsia="bg-BG"/>
        </w:rPr>
        <w:t>D</w:t>
      </w:r>
      <w:r w:rsidR="00D35E51" w:rsidRPr="004224F6">
        <w:rPr>
          <w:rFonts w:ascii="Times New Roman" w:hAnsi="Times New Roman" w:cs="Times New Roman"/>
          <w:lang w:val="ru-RU" w:eastAsia="bg-BG"/>
        </w:rPr>
        <w:t>.</w:t>
      </w:r>
    </w:p>
    <w:p w14:paraId="1CA3AAE0" w14:textId="77777777" w:rsidR="00271FA2" w:rsidRPr="004224F6" w:rsidRDefault="00D35E51">
      <w:pPr>
        <w:spacing w:line="240" w:lineRule="atLeast"/>
        <w:ind w:left="567" w:hanging="567"/>
        <w:rPr>
          <w:rFonts w:ascii="Times New Roman" w:hAnsi="Times New Roman" w:cs="Times New Roman"/>
          <w:lang w:val="ru-RU"/>
        </w:rPr>
      </w:pPr>
      <w:r w:rsidRPr="004224F6">
        <w:rPr>
          <w:rFonts w:ascii="Times New Roman" w:hAnsi="Times New Roman" w:cs="Times New Roman"/>
          <w:lang w:val="ru-RU"/>
        </w:rPr>
        <w:t>3а.2</w:t>
      </w:r>
      <w:r w:rsidRPr="004224F6">
        <w:rPr>
          <w:rFonts w:ascii="Times New Roman" w:hAnsi="Times New Roman" w:cs="Times New Roman"/>
          <w:lang w:val="ru-RU"/>
        </w:rPr>
        <w:tab/>
        <w:t>Шум, излъчван от плавателни средства</w:t>
      </w:r>
    </w:p>
    <w:p w14:paraId="4DDF01D4"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Измерването на шума, произведен от плавателните средства по вътрешните водни пътища и в пристанищата</w:t>
      </w:r>
      <w:r w:rsidR="00814BC0" w:rsidRPr="004224F6">
        <w:rPr>
          <w:rFonts w:ascii="Times New Roman" w:hAnsi="Times New Roman" w:cs="Times New Roman"/>
          <w:lang w:val="ru-RU"/>
        </w:rPr>
        <w:t>, се извършва в съответствие с Е</w:t>
      </w:r>
      <w:r w:rsidRPr="004224F6">
        <w:rPr>
          <w:rFonts w:ascii="Times New Roman" w:hAnsi="Times New Roman" w:cs="Times New Roman"/>
          <w:lang w:val="ru-RU"/>
        </w:rPr>
        <w:t xml:space="preserve">вропейския стандарт </w:t>
      </w:r>
      <w:r w:rsidRPr="004224F6">
        <w:rPr>
          <w:rFonts w:ascii="Times New Roman" w:hAnsi="Times New Roman" w:cs="Times New Roman"/>
        </w:rPr>
        <w:t>EN</w:t>
      </w:r>
      <w:r w:rsidRPr="004224F6">
        <w:rPr>
          <w:rFonts w:ascii="Times New Roman" w:hAnsi="Times New Roman" w:cs="Times New Roman"/>
          <w:lang w:val="ru-RU"/>
        </w:rPr>
        <w:t xml:space="preserve"> </w:t>
      </w:r>
      <w:r w:rsidRPr="004224F6">
        <w:rPr>
          <w:rFonts w:ascii="Times New Roman" w:hAnsi="Times New Roman" w:cs="Times New Roman"/>
        </w:rPr>
        <w:t>ISO</w:t>
      </w:r>
      <w:r w:rsidRPr="004224F6">
        <w:rPr>
          <w:rFonts w:ascii="Times New Roman" w:hAnsi="Times New Roman" w:cs="Times New Roman"/>
          <w:lang w:val="ru-RU"/>
        </w:rPr>
        <w:t xml:space="preserve"> 2922:2020, раздели 7 - 11. Вратит</w:t>
      </w:r>
      <w:r w:rsidRPr="004224F6">
        <w:rPr>
          <w:rFonts w:ascii="Times New Roman" w:hAnsi="Times New Roman" w:cs="Times New Roman"/>
        </w:rPr>
        <w:t>e</w:t>
      </w:r>
      <w:r w:rsidRPr="004224F6">
        <w:rPr>
          <w:rFonts w:ascii="Times New Roman" w:hAnsi="Times New Roman" w:cs="Times New Roman"/>
          <w:lang w:val="ru-RU"/>
        </w:rPr>
        <w:t xml:space="preserve"> и прозорците на машинните помещения трябва да са затворени по време на измерванията.</w:t>
      </w:r>
    </w:p>
    <w:p w14:paraId="7F561387"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4.</w:t>
      </w:r>
      <w:r w:rsidRPr="004224F6">
        <w:rPr>
          <w:rFonts w:ascii="Times New Roman" w:hAnsi="Times New Roman" w:cs="Times New Roman"/>
          <w:lang w:val="ru-RU"/>
        </w:rPr>
        <w:tab/>
      </w:r>
      <w:r w:rsidRPr="004224F6">
        <w:rPr>
          <w:rFonts w:ascii="Times New Roman" w:hAnsi="Times New Roman" w:cs="Times New Roman"/>
          <w:b/>
          <w:color w:val="000000"/>
          <w:lang w:val="ru-RU"/>
        </w:rPr>
        <w:t>Документация</w:t>
      </w:r>
    </w:p>
    <w:p w14:paraId="2438295E"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Измерванията се записват съгласно „Протокол от измерванията на шума“ (приложение).</w:t>
      </w:r>
    </w:p>
    <w:p w14:paraId="1997B06D" w14:textId="77777777" w:rsidR="00271FA2" w:rsidRPr="004224F6" w:rsidRDefault="00D35E51">
      <w:pPr>
        <w:spacing w:line="240" w:lineRule="atLeast"/>
        <w:ind w:firstLine="567"/>
        <w:rPr>
          <w:rFonts w:ascii="Times New Roman" w:hAnsi="Times New Roman" w:cs="Times New Roman"/>
          <w:bCs/>
          <w:lang w:val="ru-RU"/>
        </w:rPr>
      </w:pPr>
      <w:r w:rsidRPr="004224F6">
        <w:rPr>
          <w:rFonts w:ascii="Times New Roman" w:hAnsi="Times New Roman" w:cs="Times New Roman"/>
          <w:lang w:val="ru-RU" w:eastAsia="bg-BG"/>
        </w:rPr>
        <w:t xml:space="preserve">- </w:t>
      </w:r>
      <w:r w:rsidRPr="004224F6">
        <w:rPr>
          <w:rFonts w:ascii="Times New Roman" w:hAnsi="Times New Roman" w:cs="Times New Roman"/>
          <w:lang w:val="ru-RU"/>
        </w:rPr>
        <w:t>Допълнение 1 за плавателни средства, заложени за строеж след 1 април 1976 г.,</w:t>
      </w:r>
    </w:p>
    <w:p w14:paraId="6B57FEB1" w14:textId="77777777" w:rsidR="00271FA2" w:rsidRPr="004224F6" w:rsidRDefault="00D35E51">
      <w:pPr>
        <w:spacing w:line="240" w:lineRule="atLeast"/>
        <w:ind w:firstLine="567"/>
        <w:rPr>
          <w:rFonts w:ascii="Times New Roman" w:hAnsi="Times New Roman" w:cs="Times New Roman"/>
          <w:lang w:val="ru-RU"/>
        </w:rPr>
      </w:pPr>
      <w:r w:rsidRPr="004224F6">
        <w:rPr>
          <w:rFonts w:ascii="Times New Roman" w:hAnsi="Times New Roman" w:cs="Times New Roman"/>
          <w:lang w:val="ru-RU" w:eastAsia="bg-BG"/>
        </w:rPr>
        <w:t xml:space="preserve">- </w:t>
      </w:r>
      <w:r w:rsidRPr="004224F6">
        <w:rPr>
          <w:rFonts w:ascii="Times New Roman" w:hAnsi="Times New Roman" w:cs="Times New Roman"/>
          <w:lang w:val="ru-RU"/>
        </w:rPr>
        <w:t xml:space="preserve">Допълнение 2 за плавателни средства, заложени за строеж на и преди 1 април 1976 г. </w:t>
      </w:r>
    </w:p>
    <w:p w14:paraId="29D2B5E0" w14:textId="77777777" w:rsidR="00271FA2" w:rsidRPr="004224F6" w:rsidRDefault="00271FA2">
      <w:pPr>
        <w:spacing w:line="240" w:lineRule="atLeast"/>
        <w:rPr>
          <w:rFonts w:ascii="Times New Roman" w:hAnsi="Times New Roman" w:cs="Times New Roman"/>
          <w:lang w:val="ru-RU"/>
        </w:rPr>
      </w:pPr>
    </w:p>
    <w:p w14:paraId="6A105452" w14:textId="77777777" w:rsidR="00A15703" w:rsidRPr="004224F6" w:rsidRDefault="00A15703">
      <w:pPr>
        <w:spacing w:line="240" w:lineRule="atLeast"/>
        <w:ind w:left="709"/>
        <w:jc w:val="center"/>
        <w:rPr>
          <w:rFonts w:ascii="Times New Roman" w:hAnsi="Times New Roman" w:cs="Times New Roman"/>
          <w:lang w:val="ru-RU"/>
        </w:rPr>
        <w:sectPr w:rsidR="00A15703" w:rsidRPr="004224F6" w:rsidSect="004224F6">
          <w:headerReference w:type="default" r:id="rId230"/>
          <w:footnotePr>
            <w:numRestart w:val="eachPage"/>
          </w:footnotePr>
          <w:pgSz w:w="11907" w:h="16840"/>
          <w:pgMar w:top="1134" w:right="1134" w:bottom="1134" w:left="1134" w:header="709" w:footer="709" w:gutter="0"/>
          <w:cols w:space="720"/>
          <w:docGrid w:linePitch="326"/>
        </w:sectPr>
      </w:pPr>
    </w:p>
    <w:p w14:paraId="4F83500C" w14:textId="77777777" w:rsidR="00271FA2" w:rsidRPr="004224F6" w:rsidRDefault="00D35E51">
      <w:pPr>
        <w:spacing w:line="240" w:lineRule="atLeast"/>
        <w:jc w:val="center"/>
        <w:rPr>
          <w:rFonts w:ascii="Times New Roman" w:hAnsi="Times New Roman" w:cs="Times New Roman"/>
          <w:b/>
          <w:lang w:val="ru-RU"/>
        </w:rPr>
      </w:pPr>
      <w:r w:rsidRPr="004224F6">
        <w:rPr>
          <w:rFonts w:ascii="Times New Roman" w:hAnsi="Times New Roman" w:cs="Times New Roman"/>
          <w:b/>
          <w:lang w:val="ru-RU"/>
        </w:rPr>
        <w:lastRenderedPageBreak/>
        <w:t>Допълнение 1</w:t>
      </w:r>
    </w:p>
    <w:p w14:paraId="7BA2CEC6" w14:textId="77777777" w:rsidR="00271FA2" w:rsidRPr="004224F6" w:rsidRDefault="00D35E51">
      <w:pPr>
        <w:spacing w:line="240" w:lineRule="atLeast"/>
        <w:jc w:val="center"/>
        <w:rPr>
          <w:rFonts w:ascii="Times New Roman" w:hAnsi="Times New Roman" w:cs="Times New Roman"/>
          <w:b/>
          <w:bCs/>
          <w:lang w:val="ru-RU"/>
        </w:rPr>
      </w:pPr>
      <w:r w:rsidRPr="004224F6">
        <w:rPr>
          <w:rFonts w:ascii="Times New Roman" w:hAnsi="Times New Roman" w:cs="Times New Roman"/>
          <w:b/>
          <w:lang w:val="ru-RU"/>
        </w:rPr>
        <w:t>Протокол от измерванията на шума</w:t>
      </w:r>
    </w:p>
    <w:p w14:paraId="2FE369C8" w14:textId="477BD236" w:rsidR="00271FA2" w:rsidRPr="004224F6" w:rsidRDefault="00D35E51" w:rsidP="00266EBA">
      <w:pPr>
        <w:tabs>
          <w:tab w:val="left" w:pos="2127"/>
        </w:tabs>
        <w:spacing w:line="240" w:lineRule="atLeast"/>
        <w:jc w:val="center"/>
        <w:rPr>
          <w:rFonts w:ascii="Times New Roman" w:hAnsi="Times New Roman" w:cs="Times New Roman"/>
          <w:b/>
          <w:lang w:val="ru-RU"/>
        </w:rPr>
      </w:pPr>
      <w:r w:rsidRPr="004224F6">
        <w:rPr>
          <w:rFonts w:ascii="Times New Roman" w:hAnsi="Times New Roman" w:cs="Times New Roman"/>
          <w:b/>
          <w:lang w:val="ru-RU"/>
        </w:rPr>
        <w:t>- плавателни средства, заложени за строеж след 1 април 1976 г. -</w:t>
      </w:r>
    </w:p>
    <w:p w14:paraId="288824D9" w14:textId="33C86C9A" w:rsidR="00271FA2" w:rsidRPr="004224F6" w:rsidRDefault="00D35E51" w:rsidP="00266EBA">
      <w:pPr>
        <w:tabs>
          <w:tab w:val="left" w:pos="2127"/>
        </w:tabs>
        <w:spacing w:after="240" w:line="240" w:lineRule="atLeast"/>
        <w:jc w:val="center"/>
        <w:rPr>
          <w:rFonts w:ascii="Times New Roman" w:hAnsi="Times New Roman" w:cs="Times New Roman"/>
          <w:szCs w:val="20"/>
          <w:lang w:val="ru-RU"/>
        </w:rPr>
      </w:pPr>
      <w:r w:rsidRPr="004224F6">
        <w:rPr>
          <w:rFonts w:ascii="Times New Roman" w:hAnsi="Times New Roman" w:cs="Times New Roman"/>
          <w:b/>
          <w:lang w:val="ru-RU"/>
        </w:rPr>
        <w:t>-</w:t>
      </w:r>
      <w:r w:rsidRPr="004224F6">
        <w:rPr>
          <w:rFonts w:ascii="Times New Roman" w:hAnsi="Times New Roman" w:cs="Times New Roman"/>
          <w:lang w:val="ru-RU"/>
        </w:rPr>
        <w:t xml:space="preserve"> </w:t>
      </w:r>
      <w:r w:rsidRPr="004224F6">
        <w:rPr>
          <w:rFonts w:ascii="Times New Roman" w:hAnsi="Times New Roman" w:cs="Times New Roman"/>
          <w:b/>
          <w:lang w:val="ru-RU"/>
        </w:rPr>
        <w:t>на борда на плават</w:t>
      </w:r>
      <w:r w:rsidR="003E0CCB" w:rsidRPr="004224F6">
        <w:rPr>
          <w:rFonts w:ascii="Times New Roman" w:hAnsi="Times New Roman" w:cs="Times New Roman"/>
          <w:b/>
          <w:lang w:val="ru-RU"/>
        </w:rPr>
        <w:t>елно средство в съответствие с М</w:t>
      </w:r>
      <w:r w:rsidRPr="004224F6">
        <w:rPr>
          <w:rFonts w:ascii="Times New Roman" w:hAnsi="Times New Roman" w:cs="Times New Roman"/>
          <w:b/>
          <w:lang w:val="ru-RU"/>
        </w:rPr>
        <w:t xml:space="preserve">еждународен стандарт </w:t>
      </w:r>
      <w:r w:rsidRPr="004224F6">
        <w:rPr>
          <w:rFonts w:ascii="Times New Roman" w:hAnsi="Times New Roman" w:cs="Times New Roman"/>
          <w:b/>
        </w:rPr>
        <w:t>ISO</w:t>
      </w:r>
      <w:r w:rsidRPr="004224F6">
        <w:rPr>
          <w:rFonts w:ascii="Times New Roman" w:hAnsi="Times New Roman" w:cs="Times New Roman"/>
          <w:b/>
          <w:lang w:val="ru-RU"/>
        </w:rPr>
        <w:t xml:space="preserve"> 2923:1996</w:t>
      </w:r>
      <w:r w:rsidR="00266EBA" w:rsidRPr="004224F6">
        <w:rPr>
          <w:rFonts w:ascii="Times New Roman" w:hAnsi="Times New Roman" w:cs="Times New Roman"/>
          <w:b/>
          <w:lang w:val="ru-RU"/>
        </w:rPr>
        <w:t xml:space="preserve"> </w:t>
      </w:r>
      <w:r w:rsidRPr="004224F6">
        <w:rPr>
          <w:rFonts w:ascii="Times New Roman" w:hAnsi="Times New Roman" w:cs="Times New Roman"/>
          <w:b/>
          <w:lang w:val="ru-RU"/>
        </w:rPr>
        <w:t xml:space="preserve">въздушен шум, издаван от плавателно средство в съответствие с Европейски стандарт </w:t>
      </w:r>
      <w:r w:rsidRPr="004224F6">
        <w:rPr>
          <w:rFonts w:ascii="Times New Roman" w:hAnsi="Times New Roman" w:cs="Times New Roman"/>
          <w:b/>
        </w:rPr>
        <w:t>EN</w:t>
      </w:r>
      <w:r w:rsidRPr="004224F6">
        <w:rPr>
          <w:rFonts w:ascii="Times New Roman" w:hAnsi="Times New Roman" w:cs="Times New Roman"/>
          <w:b/>
          <w:lang w:val="ru-RU"/>
        </w:rPr>
        <w:t xml:space="preserve"> </w:t>
      </w:r>
      <w:r w:rsidRPr="004224F6">
        <w:rPr>
          <w:rFonts w:ascii="Times New Roman" w:hAnsi="Times New Roman" w:cs="Times New Roman"/>
          <w:b/>
        </w:rPr>
        <w:t>ISO</w:t>
      </w:r>
      <w:r w:rsidRPr="004224F6">
        <w:rPr>
          <w:rFonts w:ascii="Times New Roman" w:hAnsi="Times New Roman" w:cs="Times New Roman"/>
          <w:b/>
          <w:lang w:val="ru-RU"/>
        </w:rPr>
        <w:t xml:space="preserve"> 2922:2020</w:t>
      </w:r>
      <w:r w:rsidRPr="004224F6">
        <w:rPr>
          <w:rFonts w:ascii="Times New Roman" w:hAnsi="Times New Roman" w:cs="Times New Roman"/>
          <w:vertAlign w:val="superscript"/>
          <w:lang w:val="ru-RU"/>
        </w:rPr>
        <w:t>*)</w:t>
      </w:r>
    </w:p>
    <w:p w14:paraId="09FA5826" w14:textId="77777777" w:rsidR="00271FA2" w:rsidRPr="004224F6" w:rsidRDefault="00D35E51" w:rsidP="00783239">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rPr>
        <w:t>A</w:t>
      </w:r>
      <w:r w:rsidRPr="004224F6">
        <w:rPr>
          <w:rFonts w:ascii="Times New Roman" w:hAnsi="Times New Roman" w:cs="Times New Roman"/>
          <w:lang w:val="ru-RU"/>
        </w:rPr>
        <w:tab/>
      </w:r>
      <w:r w:rsidRPr="004224F6">
        <w:rPr>
          <w:rFonts w:ascii="Times New Roman" w:hAnsi="Times New Roman" w:cs="Times New Roman"/>
          <w:b/>
          <w:color w:val="000000"/>
          <w:lang w:val="ru-RU"/>
        </w:rPr>
        <w:t>Данни за плавателното средство</w:t>
      </w:r>
    </w:p>
    <w:p w14:paraId="64146FF0" w14:textId="7A939ED0" w:rsidR="00271FA2" w:rsidRPr="004224F6" w:rsidRDefault="00D35E51" w:rsidP="00092FDD">
      <w:pPr>
        <w:tabs>
          <w:tab w:val="left" w:pos="567"/>
          <w:tab w:val="left" w:pos="709"/>
          <w:tab w:val="left" w:leader="dot" w:pos="9072"/>
        </w:tabs>
        <w:spacing w:line="276" w:lineRule="auto"/>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1.</w:t>
      </w:r>
      <w:r w:rsidRPr="004224F6">
        <w:rPr>
          <w:rFonts w:ascii="Times New Roman" w:hAnsi="Times New Roman" w:cs="Times New Roman"/>
          <w:lang w:val="ru-RU"/>
        </w:rPr>
        <w:tab/>
        <w:t>Вид и име на плавателното средство:</w:t>
      </w:r>
      <w:r w:rsidR="00266EBA" w:rsidRPr="004224F6">
        <w:rPr>
          <w:rFonts w:ascii="Times New Roman" w:hAnsi="Times New Roman" w:cs="Times New Roman"/>
          <w:lang w:val="ru-RU"/>
        </w:rPr>
        <w:t>…………………………………………………</w:t>
      </w:r>
      <w:r w:rsidRPr="004224F6">
        <w:rPr>
          <w:rFonts w:ascii="Times New Roman" w:hAnsi="Times New Roman" w:cs="Times New Roman"/>
          <w:lang w:val="ru-RU"/>
        </w:rPr>
        <w:t xml:space="preserve"> </w:t>
      </w:r>
    </w:p>
    <w:p w14:paraId="7F17249F" w14:textId="0D254F7E" w:rsidR="00271FA2" w:rsidRPr="004224F6" w:rsidRDefault="00D35E51" w:rsidP="00092FDD">
      <w:pPr>
        <w:tabs>
          <w:tab w:val="left" w:pos="567"/>
          <w:tab w:val="left" w:pos="709"/>
          <w:tab w:val="left" w:leader="dot" w:pos="9072"/>
        </w:tabs>
        <w:spacing w:line="276" w:lineRule="auto"/>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ab/>
        <w:t>Уникален европейски идентификационен номер на кораба:</w:t>
      </w:r>
      <w:r w:rsidR="00266EBA" w:rsidRPr="004224F6">
        <w:rPr>
          <w:rFonts w:ascii="Times New Roman" w:hAnsi="Times New Roman" w:cs="Times New Roman"/>
          <w:lang w:val="ru-RU"/>
        </w:rPr>
        <w:t xml:space="preserve"> …</w:t>
      </w:r>
      <w:r w:rsidR="00586822" w:rsidRPr="004224F6">
        <w:rPr>
          <w:rFonts w:ascii="Times New Roman" w:hAnsi="Times New Roman" w:cs="Times New Roman"/>
          <w:lang w:val="ru-RU"/>
        </w:rPr>
        <w:t>...</w:t>
      </w:r>
      <w:r w:rsidR="00266EBA" w:rsidRPr="004224F6">
        <w:rPr>
          <w:rFonts w:ascii="Times New Roman" w:hAnsi="Times New Roman" w:cs="Times New Roman"/>
          <w:lang w:val="ru-RU"/>
        </w:rPr>
        <w:t>……………………</w:t>
      </w:r>
    </w:p>
    <w:p w14:paraId="7228D708" w14:textId="77777777" w:rsidR="00586822" w:rsidRPr="004224F6" w:rsidRDefault="00D35E51" w:rsidP="00092FDD">
      <w:pPr>
        <w:tabs>
          <w:tab w:val="left" w:pos="567"/>
          <w:tab w:val="left" w:pos="709"/>
          <w:tab w:val="left" w:leader="dot" w:pos="9072"/>
        </w:tabs>
        <w:spacing w:line="276" w:lineRule="auto"/>
        <w:ind w:left="567" w:hanging="567"/>
        <w:jc w:val="both"/>
        <w:rPr>
          <w:rFonts w:ascii="Times New Roman" w:hAnsi="Times New Roman" w:cs="Times New Roman"/>
          <w:lang w:val="ru-RU"/>
        </w:rPr>
      </w:pPr>
      <w:r w:rsidRPr="004224F6">
        <w:rPr>
          <w:rFonts w:ascii="Times New Roman" w:hAnsi="Times New Roman" w:cs="Times New Roman"/>
          <w:lang w:val="ru-RU"/>
        </w:rPr>
        <w:t>2.</w:t>
      </w:r>
      <w:r w:rsidRPr="004224F6">
        <w:rPr>
          <w:rFonts w:ascii="Times New Roman" w:hAnsi="Times New Roman" w:cs="Times New Roman"/>
          <w:lang w:val="ru-RU"/>
        </w:rPr>
        <w:tab/>
        <w:t>Собственик:</w:t>
      </w:r>
      <w:r w:rsidR="00586822" w:rsidRPr="004224F6">
        <w:rPr>
          <w:rFonts w:ascii="Times New Roman" w:hAnsi="Times New Roman" w:cs="Times New Roman"/>
          <w:lang w:val="ru-RU"/>
        </w:rPr>
        <w:t xml:space="preserve"> ……………………………………………………………………………..</w:t>
      </w:r>
    </w:p>
    <w:p w14:paraId="35E4F12E" w14:textId="29D367C8" w:rsidR="00271FA2" w:rsidRPr="004224F6" w:rsidRDefault="00586822" w:rsidP="00092FDD">
      <w:pPr>
        <w:tabs>
          <w:tab w:val="left" w:pos="567"/>
          <w:tab w:val="left" w:pos="709"/>
          <w:tab w:val="left" w:leader="dot" w:pos="9072"/>
        </w:tabs>
        <w:spacing w:line="276" w:lineRule="auto"/>
        <w:ind w:left="567" w:hanging="567"/>
        <w:jc w:val="both"/>
        <w:rPr>
          <w:rFonts w:ascii="Times New Roman" w:hAnsi="Times New Roman" w:cs="Times New Roman"/>
          <w:szCs w:val="20"/>
          <w:lang w:val="ru-RU"/>
        </w:rPr>
      </w:pPr>
      <w:r w:rsidRPr="004224F6">
        <w:rPr>
          <w:rFonts w:ascii="Times New Roman" w:hAnsi="Times New Roman" w:cs="Times New Roman"/>
          <w:lang w:val="ru-RU"/>
        </w:rPr>
        <w:tab/>
        <w:t>……………………………………………………………………………………………</w:t>
      </w:r>
      <w:r w:rsidR="00D35E51" w:rsidRPr="004224F6">
        <w:rPr>
          <w:rFonts w:ascii="Times New Roman" w:hAnsi="Times New Roman" w:cs="Times New Roman"/>
          <w:lang w:val="ru-RU"/>
        </w:rPr>
        <w:t xml:space="preserve"> </w:t>
      </w:r>
    </w:p>
    <w:p w14:paraId="05F3A91B" w14:textId="77777777" w:rsidR="00271FA2" w:rsidRPr="004224F6" w:rsidRDefault="00D35E51" w:rsidP="00783239">
      <w:pPr>
        <w:widowControl w:val="0"/>
        <w:tabs>
          <w:tab w:val="left" w:pos="567"/>
        </w:tabs>
        <w:spacing w:line="240" w:lineRule="atLeast"/>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3.</w:t>
      </w:r>
      <w:r w:rsidRPr="004224F6">
        <w:rPr>
          <w:rFonts w:ascii="Times New Roman" w:hAnsi="Times New Roman" w:cs="Times New Roman"/>
          <w:lang w:val="ru-RU"/>
        </w:rPr>
        <w:tab/>
        <w:t>Главна задвижваща система</w:t>
      </w:r>
    </w:p>
    <w:p w14:paraId="6FAB1825" w14:textId="77777777" w:rsidR="00271FA2" w:rsidRPr="004224F6" w:rsidRDefault="00D35E51" w:rsidP="00783239">
      <w:pPr>
        <w:tabs>
          <w:tab w:val="left" w:pos="567"/>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3.1</w:t>
      </w:r>
      <w:r w:rsidRPr="004224F6">
        <w:rPr>
          <w:rFonts w:ascii="Times New Roman" w:hAnsi="Times New Roman" w:cs="Times New Roman"/>
          <w:lang w:val="ru-RU"/>
        </w:rPr>
        <w:tab/>
        <w:t>Главни двигатели</w:t>
      </w:r>
    </w:p>
    <w:tbl>
      <w:tblPr>
        <w:tblW w:w="96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1"/>
        <w:gridCol w:w="1469"/>
        <w:gridCol w:w="709"/>
        <w:gridCol w:w="1275"/>
        <w:gridCol w:w="1276"/>
        <w:gridCol w:w="1134"/>
        <w:gridCol w:w="1843"/>
        <w:gridCol w:w="1417"/>
      </w:tblGrid>
      <w:tr w:rsidR="005F6682" w:rsidRPr="004224F6" w14:paraId="31F326E0" w14:textId="77777777" w:rsidTr="005F6682">
        <w:trPr>
          <w:trHeight w:val="340"/>
          <w:jc w:val="right"/>
        </w:trPr>
        <w:tc>
          <w:tcPr>
            <w:tcW w:w="511" w:type="dxa"/>
            <w:tcBorders>
              <w:top w:val="single" w:sz="4" w:space="0" w:color="auto"/>
              <w:left w:val="single" w:sz="4" w:space="0" w:color="auto"/>
              <w:bottom w:val="single" w:sz="4" w:space="0" w:color="auto"/>
              <w:right w:val="single" w:sz="4" w:space="0" w:color="auto"/>
            </w:tcBorders>
          </w:tcPr>
          <w:p w14:paraId="11CA2B25" w14:textId="77777777" w:rsidR="00271FA2" w:rsidRPr="004224F6" w:rsidRDefault="00D35E51">
            <w:pPr>
              <w:spacing w:line="240" w:lineRule="atLeast"/>
              <w:jc w:val="center"/>
              <w:rPr>
                <w:rFonts w:ascii="Times New Roman" w:hAnsi="Times New Roman" w:cs="Times New Roman"/>
                <w:sz w:val="16"/>
                <w:szCs w:val="16"/>
                <w:lang w:val="ru-RU"/>
              </w:rPr>
            </w:pPr>
            <w:r w:rsidRPr="004224F6">
              <w:rPr>
                <w:rFonts w:ascii="Times New Roman" w:hAnsi="Times New Roman" w:cs="Times New Roman"/>
                <w:sz w:val="16"/>
                <w:lang w:val="ru-RU"/>
              </w:rPr>
              <w:t>Брой</w:t>
            </w:r>
          </w:p>
        </w:tc>
        <w:tc>
          <w:tcPr>
            <w:tcW w:w="1469" w:type="dxa"/>
            <w:tcBorders>
              <w:top w:val="single" w:sz="4" w:space="0" w:color="auto"/>
              <w:left w:val="single" w:sz="4" w:space="0" w:color="auto"/>
              <w:bottom w:val="single" w:sz="4" w:space="0" w:color="auto"/>
              <w:right w:val="single" w:sz="4" w:space="0" w:color="auto"/>
            </w:tcBorders>
          </w:tcPr>
          <w:p w14:paraId="13E5ECE8" w14:textId="77777777" w:rsidR="00271FA2" w:rsidRPr="004224F6" w:rsidRDefault="00D35E51">
            <w:pPr>
              <w:widowControl w:val="0"/>
              <w:spacing w:line="240" w:lineRule="atLeast"/>
              <w:jc w:val="center"/>
              <w:rPr>
                <w:rFonts w:ascii="Times New Roman" w:hAnsi="Times New Roman" w:cs="Times New Roman"/>
                <w:snapToGrid w:val="0"/>
                <w:sz w:val="16"/>
                <w:szCs w:val="16"/>
                <w:lang w:val="ru-RU"/>
              </w:rPr>
            </w:pPr>
            <w:r w:rsidRPr="004224F6">
              <w:rPr>
                <w:rFonts w:ascii="Times New Roman" w:hAnsi="Times New Roman" w:cs="Times New Roman"/>
                <w:snapToGrid w:val="0"/>
                <w:sz w:val="16"/>
                <w:lang w:val="ru-RU"/>
              </w:rPr>
              <w:t>Производител</w:t>
            </w:r>
          </w:p>
        </w:tc>
        <w:tc>
          <w:tcPr>
            <w:tcW w:w="709" w:type="dxa"/>
            <w:tcBorders>
              <w:top w:val="single" w:sz="4" w:space="0" w:color="auto"/>
              <w:left w:val="single" w:sz="4" w:space="0" w:color="auto"/>
              <w:bottom w:val="single" w:sz="4" w:space="0" w:color="auto"/>
              <w:right w:val="single" w:sz="4" w:space="0" w:color="auto"/>
            </w:tcBorders>
          </w:tcPr>
          <w:p w14:paraId="76BE382D" w14:textId="77777777" w:rsidR="00271FA2" w:rsidRPr="004224F6" w:rsidRDefault="00D35E51">
            <w:pPr>
              <w:spacing w:line="240" w:lineRule="atLeast"/>
              <w:jc w:val="center"/>
              <w:rPr>
                <w:rFonts w:ascii="Times New Roman" w:hAnsi="Times New Roman" w:cs="Times New Roman"/>
                <w:sz w:val="16"/>
                <w:szCs w:val="16"/>
                <w:lang w:val="ru-RU"/>
              </w:rPr>
            </w:pPr>
            <w:r w:rsidRPr="004224F6">
              <w:rPr>
                <w:rFonts w:ascii="Times New Roman" w:hAnsi="Times New Roman" w:cs="Times New Roman"/>
                <w:sz w:val="16"/>
                <w:lang w:val="ru-RU"/>
              </w:rPr>
              <w:t>Тип</w:t>
            </w:r>
          </w:p>
        </w:tc>
        <w:tc>
          <w:tcPr>
            <w:tcW w:w="1275" w:type="dxa"/>
            <w:tcBorders>
              <w:top w:val="single" w:sz="4" w:space="0" w:color="auto"/>
              <w:left w:val="single" w:sz="4" w:space="0" w:color="auto"/>
              <w:bottom w:val="single" w:sz="4" w:space="0" w:color="auto"/>
              <w:right w:val="single" w:sz="4" w:space="0" w:color="auto"/>
            </w:tcBorders>
          </w:tcPr>
          <w:p w14:paraId="7A7E0384" w14:textId="77777777" w:rsidR="00271FA2" w:rsidRPr="004224F6" w:rsidRDefault="00D35E51">
            <w:pPr>
              <w:spacing w:line="240" w:lineRule="atLeast"/>
              <w:jc w:val="center"/>
              <w:rPr>
                <w:rFonts w:ascii="Times New Roman" w:hAnsi="Times New Roman" w:cs="Times New Roman"/>
                <w:sz w:val="16"/>
                <w:szCs w:val="16"/>
                <w:lang w:val="ru-RU"/>
              </w:rPr>
            </w:pPr>
            <w:r w:rsidRPr="004224F6">
              <w:rPr>
                <w:rFonts w:ascii="Times New Roman" w:hAnsi="Times New Roman" w:cs="Times New Roman"/>
                <w:sz w:val="16"/>
                <w:lang w:val="ru-RU"/>
              </w:rPr>
              <w:t>Година на построяване</w:t>
            </w:r>
          </w:p>
        </w:tc>
        <w:tc>
          <w:tcPr>
            <w:tcW w:w="1276" w:type="dxa"/>
            <w:tcBorders>
              <w:top w:val="single" w:sz="4" w:space="0" w:color="auto"/>
              <w:left w:val="single" w:sz="4" w:space="0" w:color="auto"/>
              <w:bottom w:val="single" w:sz="4" w:space="0" w:color="auto"/>
              <w:right w:val="single" w:sz="4" w:space="0" w:color="auto"/>
            </w:tcBorders>
          </w:tcPr>
          <w:p w14:paraId="4F59D1D1" w14:textId="77777777" w:rsidR="00271FA2" w:rsidRPr="004224F6" w:rsidRDefault="00D35E51">
            <w:pPr>
              <w:spacing w:line="240" w:lineRule="atLeast"/>
              <w:jc w:val="center"/>
              <w:rPr>
                <w:rFonts w:ascii="Times New Roman" w:hAnsi="Times New Roman" w:cs="Times New Roman"/>
                <w:sz w:val="16"/>
                <w:szCs w:val="16"/>
                <w:lang w:val="ru-RU"/>
              </w:rPr>
            </w:pPr>
            <w:r w:rsidRPr="004224F6">
              <w:rPr>
                <w:rFonts w:ascii="Times New Roman" w:hAnsi="Times New Roman" w:cs="Times New Roman"/>
                <w:sz w:val="16"/>
                <w:lang w:val="ru-RU"/>
              </w:rPr>
              <w:t>Мощност (</w:t>
            </w:r>
            <w:r w:rsidRPr="004224F6">
              <w:rPr>
                <w:rFonts w:ascii="Times New Roman" w:hAnsi="Times New Roman" w:cs="Times New Roman"/>
                <w:sz w:val="16"/>
              </w:rPr>
              <w:t>kW</w:t>
            </w:r>
            <w:r w:rsidRPr="004224F6">
              <w:rPr>
                <w:rFonts w:ascii="Times New Roman" w:hAnsi="Times New Roman" w:cs="Times New Roman"/>
                <w:sz w:val="16"/>
                <w:lang w:val="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43D32A4C"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lang w:val="ru-RU"/>
              </w:rPr>
              <w:t>Скорост на двигател</w:t>
            </w:r>
            <w:r w:rsidRPr="004224F6">
              <w:rPr>
                <w:rFonts w:ascii="Times New Roman" w:hAnsi="Times New Roman" w:cs="Times New Roman"/>
                <w:sz w:val="16"/>
              </w:rPr>
              <w:t xml:space="preserve">я </w:t>
            </w:r>
            <w:r w:rsidRPr="004224F6">
              <w:rPr>
                <w:rFonts w:ascii="Times New Roman" w:hAnsi="Times New Roman" w:cs="Times New Roman"/>
                <w:sz w:val="16"/>
                <w:szCs w:val="16"/>
              </w:rPr>
              <w:br/>
            </w:r>
            <w:r w:rsidRPr="004224F6">
              <w:rPr>
                <w:rFonts w:ascii="Times New Roman" w:hAnsi="Times New Roman" w:cs="Times New Roman"/>
                <w:sz w:val="16"/>
              </w:rPr>
              <w:t>(min</w:t>
            </w:r>
            <w:r w:rsidRPr="004224F6">
              <w:rPr>
                <w:rFonts w:ascii="Times New Roman" w:hAnsi="Times New Roman" w:cs="Times New Roman"/>
                <w:sz w:val="16"/>
                <w:vertAlign w:val="superscript"/>
              </w:rPr>
              <w:t>-1</w:t>
            </w:r>
            <w:r w:rsidRPr="004224F6">
              <w:rPr>
                <w:rFonts w:ascii="Times New Roman" w:hAnsi="Times New Roman" w:cs="Times New Roman"/>
                <w:sz w:val="16"/>
              </w:rPr>
              <w:t>)</w:t>
            </w:r>
          </w:p>
        </w:tc>
        <w:tc>
          <w:tcPr>
            <w:tcW w:w="1843" w:type="dxa"/>
            <w:tcBorders>
              <w:top w:val="single" w:sz="4" w:space="0" w:color="auto"/>
              <w:left w:val="single" w:sz="4" w:space="0" w:color="auto"/>
              <w:bottom w:val="single" w:sz="4" w:space="0" w:color="auto"/>
              <w:right w:val="single" w:sz="4" w:space="0" w:color="auto"/>
            </w:tcBorders>
          </w:tcPr>
          <w:p w14:paraId="170A8A9E"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Двутактов/четиритактов</w:t>
            </w:r>
          </w:p>
        </w:tc>
        <w:tc>
          <w:tcPr>
            <w:tcW w:w="1417" w:type="dxa"/>
            <w:tcBorders>
              <w:top w:val="single" w:sz="4" w:space="0" w:color="auto"/>
              <w:left w:val="single" w:sz="4" w:space="0" w:color="auto"/>
              <w:bottom w:val="single" w:sz="4" w:space="0" w:color="auto"/>
              <w:right w:val="single" w:sz="4" w:space="0" w:color="auto"/>
            </w:tcBorders>
          </w:tcPr>
          <w:p w14:paraId="0A747D2F"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Турбокомпресор</w:t>
            </w:r>
            <w:r w:rsidRPr="004224F6">
              <w:rPr>
                <w:rFonts w:ascii="Times New Roman" w:hAnsi="Times New Roman" w:cs="Times New Roman"/>
                <w:sz w:val="16"/>
                <w:szCs w:val="16"/>
              </w:rPr>
              <w:br/>
            </w:r>
            <w:r w:rsidRPr="004224F6">
              <w:rPr>
                <w:rFonts w:ascii="Times New Roman" w:hAnsi="Times New Roman" w:cs="Times New Roman"/>
                <w:sz w:val="16"/>
              </w:rPr>
              <w:t>Да/Не</w:t>
            </w:r>
          </w:p>
        </w:tc>
      </w:tr>
      <w:tr w:rsidR="005F6682" w:rsidRPr="004224F6" w14:paraId="3F680F8F" w14:textId="77777777" w:rsidTr="005F6682">
        <w:trPr>
          <w:trHeight w:val="340"/>
          <w:jc w:val="right"/>
        </w:trPr>
        <w:tc>
          <w:tcPr>
            <w:tcW w:w="511" w:type="dxa"/>
            <w:tcBorders>
              <w:top w:val="single" w:sz="4" w:space="0" w:color="auto"/>
              <w:left w:val="single" w:sz="4" w:space="0" w:color="auto"/>
              <w:bottom w:val="single" w:sz="4" w:space="0" w:color="auto"/>
              <w:right w:val="single" w:sz="4" w:space="0" w:color="auto"/>
            </w:tcBorders>
          </w:tcPr>
          <w:p w14:paraId="58273F0F" w14:textId="77777777" w:rsidR="00271FA2" w:rsidRPr="004224F6" w:rsidRDefault="00D35E51">
            <w:pPr>
              <w:widowControl w:val="0"/>
              <w:spacing w:line="240" w:lineRule="atLeast"/>
              <w:jc w:val="center"/>
              <w:rPr>
                <w:rFonts w:ascii="Times New Roman" w:hAnsi="Times New Roman" w:cs="Times New Roman"/>
                <w:snapToGrid w:val="0"/>
                <w:sz w:val="16"/>
                <w:szCs w:val="20"/>
              </w:rPr>
            </w:pPr>
            <w:r w:rsidRPr="004224F6">
              <w:rPr>
                <w:rFonts w:ascii="Times New Roman" w:hAnsi="Times New Roman" w:cs="Times New Roman"/>
                <w:snapToGrid w:val="0"/>
                <w:sz w:val="16"/>
              </w:rPr>
              <w:t>1</w:t>
            </w:r>
          </w:p>
        </w:tc>
        <w:tc>
          <w:tcPr>
            <w:tcW w:w="1469" w:type="dxa"/>
            <w:tcBorders>
              <w:top w:val="single" w:sz="4" w:space="0" w:color="auto"/>
              <w:left w:val="single" w:sz="4" w:space="0" w:color="auto"/>
              <w:bottom w:val="single" w:sz="4" w:space="0" w:color="auto"/>
              <w:right w:val="single" w:sz="4" w:space="0" w:color="auto"/>
            </w:tcBorders>
          </w:tcPr>
          <w:p w14:paraId="74AAFA90" w14:textId="77777777" w:rsidR="00271FA2" w:rsidRPr="004224F6" w:rsidRDefault="00271FA2">
            <w:pPr>
              <w:spacing w:line="240" w:lineRule="atLeas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5E5B5787" w14:textId="77777777" w:rsidR="00271FA2" w:rsidRPr="004224F6" w:rsidRDefault="00271FA2">
            <w:pPr>
              <w:spacing w:line="240" w:lineRule="atLeast"/>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7139C190" w14:textId="77777777" w:rsidR="00271FA2" w:rsidRPr="004224F6" w:rsidRDefault="00271FA2">
            <w:pPr>
              <w:spacing w:line="240" w:lineRule="atLeast"/>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FC3A440" w14:textId="77777777" w:rsidR="00271FA2" w:rsidRPr="004224F6" w:rsidRDefault="00271FA2">
            <w:pPr>
              <w:spacing w:line="240" w:lineRule="atLeast"/>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1F811DAB" w14:textId="77777777" w:rsidR="00271FA2" w:rsidRPr="004224F6" w:rsidRDefault="00271FA2">
            <w:pPr>
              <w:spacing w:line="240" w:lineRule="atLeast"/>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375BEA9C" w14:textId="77777777" w:rsidR="00271FA2" w:rsidRPr="004224F6" w:rsidRDefault="00271FA2">
            <w:pPr>
              <w:spacing w:line="240" w:lineRule="atLeast"/>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C443312" w14:textId="77777777" w:rsidR="00271FA2" w:rsidRPr="004224F6" w:rsidRDefault="00271FA2">
            <w:pPr>
              <w:spacing w:line="240" w:lineRule="atLeast"/>
              <w:rPr>
                <w:rFonts w:ascii="Times New Roman" w:hAnsi="Times New Roman" w:cs="Times New Roman"/>
              </w:rPr>
            </w:pPr>
          </w:p>
        </w:tc>
      </w:tr>
      <w:tr w:rsidR="005F6682" w:rsidRPr="004224F6" w14:paraId="4192A6CB" w14:textId="77777777" w:rsidTr="005F6682">
        <w:trPr>
          <w:trHeight w:val="340"/>
          <w:jc w:val="right"/>
        </w:trPr>
        <w:tc>
          <w:tcPr>
            <w:tcW w:w="511" w:type="dxa"/>
            <w:tcBorders>
              <w:top w:val="single" w:sz="4" w:space="0" w:color="auto"/>
              <w:left w:val="single" w:sz="4" w:space="0" w:color="auto"/>
              <w:bottom w:val="single" w:sz="4" w:space="0" w:color="auto"/>
              <w:right w:val="single" w:sz="4" w:space="0" w:color="auto"/>
            </w:tcBorders>
          </w:tcPr>
          <w:p w14:paraId="1629A882"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2</w:t>
            </w:r>
          </w:p>
        </w:tc>
        <w:tc>
          <w:tcPr>
            <w:tcW w:w="1469" w:type="dxa"/>
            <w:tcBorders>
              <w:top w:val="single" w:sz="4" w:space="0" w:color="auto"/>
              <w:left w:val="single" w:sz="4" w:space="0" w:color="auto"/>
              <w:bottom w:val="single" w:sz="4" w:space="0" w:color="auto"/>
              <w:right w:val="single" w:sz="4" w:space="0" w:color="auto"/>
            </w:tcBorders>
          </w:tcPr>
          <w:p w14:paraId="5732489C" w14:textId="77777777" w:rsidR="00271FA2" w:rsidRPr="004224F6" w:rsidRDefault="00271FA2">
            <w:pPr>
              <w:spacing w:line="240" w:lineRule="atLeast"/>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F186A27" w14:textId="77777777" w:rsidR="00271FA2" w:rsidRPr="004224F6" w:rsidRDefault="00271FA2">
            <w:pPr>
              <w:spacing w:line="240" w:lineRule="atLeast"/>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6AD4013" w14:textId="77777777" w:rsidR="00271FA2" w:rsidRPr="004224F6" w:rsidRDefault="00271FA2">
            <w:pPr>
              <w:spacing w:line="240" w:lineRule="atLeast"/>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F7FCD93" w14:textId="77777777" w:rsidR="00271FA2" w:rsidRPr="004224F6" w:rsidRDefault="00271FA2">
            <w:pPr>
              <w:spacing w:line="240" w:lineRule="atLeast"/>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44FE74D7" w14:textId="77777777" w:rsidR="00271FA2" w:rsidRPr="004224F6" w:rsidRDefault="00271FA2">
            <w:pPr>
              <w:spacing w:line="240" w:lineRule="atLeast"/>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70D54048" w14:textId="77777777" w:rsidR="00271FA2" w:rsidRPr="004224F6" w:rsidRDefault="00271FA2">
            <w:pPr>
              <w:spacing w:line="240" w:lineRule="atLeast"/>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01004BD" w14:textId="77777777" w:rsidR="00271FA2" w:rsidRPr="004224F6" w:rsidRDefault="00271FA2">
            <w:pPr>
              <w:spacing w:line="240" w:lineRule="atLeast"/>
              <w:rPr>
                <w:rFonts w:ascii="Times New Roman" w:hAnsi="Times New Roman" w:cs="Times New Roman"/>
              </w:rPr>
            </w:pPr>
          </w:p>
        </w:tc>
      </w:tr>
    </w:tbl>
    <w:p w14:paraId="3215954F" w14:textId="77777777" w:rsidR="00271FA2" w:rsidRPr="004224F6" w:rsidRDefault="00D35E51" w:rsidP="00783239">
      <w:pPr>
        <w:widowControl w:val="0"/>
        <w:tabs>
          <w:tab w:val="left" w:pos="567"/>
        </w:tabs>
        <w:spacing w:line="240" w:lineRule="atLeast"/>
        <w:ind w:left="567" w:hanging="567"/>
        <w:jc w:val="both"/>
        <w:rPr>
          <w:rFonts w:ascii="Times New Roman" w:hAnsi="Times New Roman" w:cs="Times New Roman"/>
          <w:snapToGrid w:val="0"/>
          <w:szCs w:val="20"/>
        </w:rPr>
      </w:pPr>
      <w:r w:rsidRPr="004224F6">
        <w:rPr>
          <w:rFonts w:ascii="Times New Roman" w:hAnsi="Times New Roman" w:cs="Times New Roman"/>
        </w:rPr>
        <w:t>3.2</w:t>
      </w:r>
      <w:r w:rsidRPr="004224F6">
        <w:rPr>
          <w:rFonts w:ascii="Times New Roman" w:hAnsi="Times New Roman" w:cs="Times New Roman"/>
        </w:rPr>
        <w:tab/>
        <w:t>Трансмисия</w:t>
      </w:r>
    </w:p>
    <w:p w14:paraId="010DD032" w14:textId="77777777" w:rsidR="00271FA2" w:rsidRPr="004224F6" w:rsidRDefault="00D35E51" w:rsidP="00783239">
      <w:pPr>
        <w:tabs>
          <w:tab w:val="left" w:pos="567"/>
          <w:tab w:val="left" w:leader="dot" w:pos="3686"/>
          <w:tab w:val="left" w:pos="3828"/>
          <w:tab w:val="left" w:leader="dot" w:pos="6379"/>
          <w:tab w:val="left" w:pos="6521"/>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Производител: </w:t>
      </w:r>
      <w:r w:rsidRPr="004224F6">
        <w:rPr>
          <w:rFonts w:ascii="Times New Roman" w:hAnsi="Times New Roman" w:cs="Times New Roman"/>
          <w:lang w:val="ru-RU"/>
        </w:rPr>
        <w:tab/>
      </w:r>
      <w:r w:rsidRPr="004224F6">
        <w:rPr>
          <w:rFonts w:ascii="Times New Roman" w:hAnsi="Times New Roman" w:cs="Times New Roman"/>
          <w:lang w:val="ru-RU"/>
        </w:rPr>
        <w:tab/>
        <w:t xml:space="preserve">Тип: </w:t>
      </w:r>
      <w:r w:rsidRPr="004224F6">
        <w:rPr>
          <w:rFonts w:ascii="Times New Roman" w:hAnsi="Times New Roman" w:cs="Times New Roman"/>
          <w:lang w:val="ru-RU"/>
        </w:rPr>
        <w:tab/>
      </w:r>
      <w:r w:rsidRPr="004224F6">
        <w:rPr>
          <w:rFonts w:ascii="Times New Roman" w:hAnsi="Times New Roman" w:cs="Times New Roman"/>
          <w:lang w:val="ru-RU"/>
        </w:rPr>
        <w:tab/>
        <w:t>Предавателно число на редуктора: 1</w:t>
      </w:r>
      <w:r w:rsidRPr="004224F6">
        <w:rPr>
          <w:rFonts w:ascii="Times New Roman" w:hAnsi="Times New Roman" w:cs="Times New Roman"/>
          <w:lang w:val="ru-RU"/>
        </w:rPr>
        <w:tab/>
      </w:r>
    </w:p>
    <w:p w14:paraId="09F8AF23" w14:textId="77777777" w:rsidR="00271FA2" w:rsidRPr="004224F6" w:rsidRDefault="00D35E51" w:rsidP="00783239">
      <w:pPr>
        <w:widowControl w:val="0"/>
        <w:tabs>
          <w:tab w:val="left" w:pos="567"/>
        </w:tabs>
        <w:spacing w:line="240" w:lineRule="atLeast"/>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3.3</w:t>
      </w:r>
      <w:r w:rsidRPr="004224F6">
        <w:rPr>
          <w:rFonts w:ascii="Times New Roman" w:hAnsi="Times New Roman" w:cs="Times New Roman"/>
          <w:lang w:val="ru-RU"/>
        </w:rPr>
        <w:tab/>
        <w:t>Гребни винтове</w:t>
      </w:r>
    </w:p>
    <w:p w14:paraId="24638232" w14:textId="77777777" w:rsidR="00271FA2" w:rsidRPr="004224F6" w:rsidRDefault="00D35E51" w:rsidP="00783239">
      <w:pPr>
        <w:tabs>
          <w:tab w:val="left" w:pos="567"/>
          <w:tab w:val="left" w:leader="dot" w:pos="1985"/>
          <w:tab w:val="left" w:pos="2127"/>
          <w:tab w:val="left" w:leader="dot" w:pos="4395"/>
          <w:tab w:val="left" w:pos="4536"/>
          <w:tab w:val="left" w:leader="dot" w:pos="6379"/>
          <w:tab w:val="left" w:pos="6521"/>
          <w:tab w:val="left" w:pos="7230"/>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Брой: </w:t>
      </w:r>
      <w:r w:rsidRPr="004224F6">
        <w:rPr>
          <w:rFonts w:ascii="Times New Roman" w:hAnsi="Times New Roman" w:cs="Times New Roman"/>
          <w:lang w:val="ru-RU"/>
        </w:rPr>
        <w:tab/>
      </w:r>
      <w:r w:rsidRPr="004224F6">
        <w:rPr>
          <w:rFonts w:ascii="Times New Roman" w:hAnsi="Times New Roman" w:cs="Times New Roman"/>
          <w:lang w:val="ru-RU"/>
        </w:rPr>
        <w:tab/>
        <w:t xml:space="preserve">Брой лопатки: </w:t>
      </w:r>
      <w:r w:rsidRPr="004224F6">
        <w:rPr>
          <w:rFonts w:ascii="Times New Roman" w:hAnsi="Times New Roman" w:cs="Times New Roman"/>
          <w:lang w:val="ru-RU"/>
        </w:rPr>
        <w:tab/>
      </w:r>
      <w:r w:rsidRPr="004224F6">
        <w:rPr>
          <w:rFonts w:ascii="Times New Roman" w:hAnsi="Times New Roman" w:cs="Times New Roman"/>
          <w:lang w:val="ru-RU"/>
        </w:rPr>
        <w:tab/>
        <w:t xml:space="preserve">Диаметър: </w:t>
      </w:r>
      <w:r w:rsidRPr="004224F6">
        <w:rPr>
          <w:rFonts w:ascii="Times New Roman" w:hAnsi="Times New Roman" w:cs="Times New Roman"/>
          <w:lang w:val="ru-RU"/>
        </w:rPr>
        <w:tab/>
      </w:r>
      <w:r w:rsidRPr="004224F6">
        <w:rPr>
          <w:rFonts w:ascii="Times New Roman" w:hAnsi="Times New Roman" w:cs="Times New Roman"/>
          <w:lang w:val="ru-RU"/>
        </w:rPr>
        <w:tab/>
      </w:r>
      <w:r w:rsidRPr="004224F6">
        <w:rPr>
          <w:rFonts w:ascii="Times New Roman" w:hAnsi="Times New Roman" w:cs="Times New Roman"/>
        </w:rPr>
        <w:t>mm</w:t>
      </w:r>
      <w:r w:rsidRPr="004224F6">
        <w:rPr>
          <w:rFonts w:ascii="Times New Roman" w:hAnsi="Times New Roman" w:cs="Times New Roman"/>
          <w:lang w:val="ru-RU"/>
        </w:rPr>
        <w:t xml:space="preserve"> </w:t>
      </w:r>
      <w:r w:rsidRPr="004224F6">
        <w:rPr>
          <w:rFonts w:ascii="Times New Roman" w:hAnsi="Times New Roman" w:cs="Times New Roman"/>
          <w:lang w:val="ru-RU"/>
        </w:rPr>
        <w:tab/>
        <w:t>Дюза: Да/Не</w:t>
      </w:r>
      <w:r w:rsidRPr="004224F6">
        <w:rPr>
          <w:rFonts w:ascii="Times New Roman" w:hAnsi="Times New Roman" w:cs="Times New Roman"/>
          <w:vertAlign w:val="superscript"/>
          <w:lang w:val="ru-RU"/>
        </w:rPr>
        <w:footnoteReference w:customMarkFollows="1" w:id="57"/>
        <w:t>*)</w:t>
      </w:r>
    </w:p>
    <w:p w14:paraId="18868B26" w14:textId="77777777" w:rsidR="00271FA2" w:rsidRPr="004224F6" w:rsidRDefault="00D35E51" w:rsidP="00783239">
      <w:pPr>
        <w:widowControl w:val="0"/>
        <w:tabs>
          <w:tab w:val="left" w:pos="567"/>
        </w:tabs>
        <w:spacing w:line="240" w:lineRule="atLeast"/>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3.4</w:t>
      </w:r>
      <w:r w:rsidRPr="004224F6">
        <w:rPr>
          <w:rFonts w:ascii="Times New Roman" w:hAnsi="Times New Roman" w:cs="Times New Roman"/>
          <w:lang w:val="ru-RU"/>
        </w:rPr>
        <w:tab/>
        <w:t>Рулева система</w:t>
      </w:r>
    </w:p>
    <w:p w14:paraId="7C94FDDD" w14:textId="77777777" w:rsidR="00271FA2" w:rsidRPr="004224F6" w:rsidRDefault="00D35E51" w:rsidP="00783239">
      <w:pPr>
        <w:tabs>
          <w:tab w:val="left" w:pos="567"/>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Тип : </w:t>
      </w:r>
      <w:r w:rsidRPr="004224F6">
        <w:rPr>
          <w:rFonts w:ascii="Times New Roman" w:hAnsi="Times New Roman" w:cs="Times New Roman"/>
          <w:lang w:val="ru-RU"/>
        </w:rPr>
        <w:tab/>
      </w:r>
    </w:p>
    <w:p w14:paraId="67EB331A" w14:textId="77777777" w:rsidR="00271FA2" w:rsidRPr="004224F6" w:rsidRDefault="00D35E51">
      <w:pPr>
        <w:tabs>
          <w:tab w:val="left" w:pos="567"/>
        </w:tabs>
        <w:spacing w:line="240" w:lineRule="atLeast"/>
        <w:ind w:left="567" w:hanging="567"/>
        <w:rPr>
          <w:rFonts w:ascii="Times New Roman" w:hAnsi="Times New Roman" w:cs="Times New Roman"/>
          <w:szCs w:val="20"/>
          <w:lang w:val="ru-RU"/>
        </w:rPr>
      </w:pPr>
      <w:r w:rsidRPr="004224F6">
        <w:rPr>
          <w:rFonts w:ascii="Times New Roman" w:hAnsi="Times New Roman" w:cs="Times New Roman"/>
          <w:lang w:val="ru-RU"/>
        </w:rPr>
        <w:t>4.</w:t>
      </w:r>
      <w:r w:rsidRPr="004224F6">
        <w:rPr>
          <w:rFonts w:ascii="Times New Roman" w:hAnsi="Times New Roman" w:cs="Times New Roman"/>
          <w:lang w:val="ru-RU"/>
        </w:rPr>
        <w:tab/>
        <w:t>Помощни средства: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1599"/>
        <w:gridCol w:w="1277"/>
        <w:gridCol w:w="998"/>
        <w:gridCol w:w="1006"/>
        <w:gridCol w:w="1199"/>
        <w:gridCol w:w="1079"/>
      </w:tblGrid>
      <w:tr w:rsidR="00271FA2" w:rsidRPr="004224F6" w14:paraId="716DC840" w14:textId="77777777">
        <w:trPr>
          <w:trHeight w:val="340"/>
          <w:jc w:val="center"/>
        </w:trPr>
        <w:tc>
          <w:tcPr>
            <w:tcW w:w="634" w:type="dxa"/>
            <w:tcBorders>
              <w:top w:val="single" w:sz="4" w:space="0" w:color="auto"/>
              <w:left w:val="single" w:sz="4" w:space="0" w:color="auto"/>
              <w:bottom w:val="single" w:sz="4" w:space="0" w:color="auto"/>
              <w:right w:val="single" w:sz="4" w:space="0" w:color="auto"/>
            </w:tcBorders>
          </w:tcPr>
          <w:p w14:paraId="45145E43"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Брой</w:t>
            </w:r>
          </w:p>
        </w:tc>
        <w:tc>
          <w:tcPr>
            <w:tcW w:w="1599" w:type="dxa"/>
            <w:tcBorders>
              <w:top w:val="single" w:sz="4" w:space="0" w:color="auto"/>
              <w:left w:val="single" w:sz="4" w:space="0" w:color="auto"/>
              <w:bottom w:val="single" w:sz="4" w:space="0" w:color="auto"/>
              <w:right w:val="single" w:sz="4" w:space="0" w:color="auto"/>
            </w:tcBorders>
          </w:tcPr>
          <w:p w14:paraId="397106CF"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Задвижване на</w:t>
            </w:r>
          </w:p>
        </w:tc>
        <w:tc>
          <w:tcPr>
            <w:tcW w:w="1277" w:type="dxa"/>
            <w:tcBorders>
              <w:top w:val="single" w:sz="4" w:space="0" w:color="auto"/>
              <w:left w:val="single" w:sz="4" w:space="0" w:color="auto"/>
              <w:bottom w:val="single" w:sz="4" w:space="0" w:color="auto"/>
              <w:right w:val="single" w:sz="4" w:space="0" w:color="auto"/>
            </w:tcBorders>
          </w:tcPr>
          <w:p w14:paraId="401EFE34"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Производител</w:t>
            </w:r>
          </w:p>
        </w:tc>
        <w:tc>
          <w:tcPr>
            <w:tcW w:w="998" w:type="dxa"/>
            <w:tcBorders>
              <w:top w:val="single" w:sz="4" w:space="0" w:color="auto"/>
              <w:left w:val="single" w:sz="4" w:space="0" w:color="auto"/>
              <w:bottom w:val="single" w:sz="4" w:space="0" w:color="auto"/>
              <w:right w:val="single" w:sz="4" w:space="0" w:color="auto"/>
            </w:tcBorders>
          </w:tcPr>
          <w:p w14:paraId="000AE3EA"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Тип</w:t>
            </w:r>
          </w:p>
        </w:tc>
        <w:tc>
          <w:tcPr>
            <w:tcW w:w="1006" w:type="dxa"/>
            <w:tcBorders>
              <w:top w:val="single" w:sz="4" w:space="0" w:color="auto"/>
              <w:left w:val="single" w:sz="4" w:space="0" w:color="auto"/>
              <w:bottom w:val="single" w:sz="4" w:space="0" w:color="auto"/>
              <w:right w:val="single" w:sz="4" w:space="0" w:color="auto"/>
            </w:tcBorders>
          </w:tcPr>
          <w:p w14:paraId="3CD64560"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Година на построяване</w:t>
            </w:r>
          </w:p>
        </w:tc>
        <w:tc>
          <w:tcPr>
            <w:tcW w:w="1199" w:type="dxa"/>
            <w:tcBorders>
              <w:top w:val="single" w:sz="4" w:space="0" w:color="auto"/>
              <w:left w:val="single" w:sz="4" w:space="0" w:color="auto"/>
              <w:bottom w:val="single" w:sz="4" w:space="0" w:color="auto"/>
              <w:right w:val="single" w:sz="4" w:space="0" w:color="auto"/>
            </w:tcBorders>
          </w:tcPr>
          <w:p w14:paraId="033044A7"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Мощност (kW)</w:t>
            </w:r>
          </w:p>
        </w:tc>
        <w:tc>
          <w:tcPr>
            <w:tcW w:w="1079" w:type="dxa"/>
            <w:tcBorders>
              <w:top w:val="single" w:sz="4" w:space="0" w:color="auto"/>
              <w:left w:val="single" w:sz="4" w:space="0" w:color="auto"/>
              <w:bottom w:val="single" w:sz="4" w:space="0" w:color="auto"/>
              <w:right w:val="single" w:sz="4" w:space="0" w:color="auto"/>
            </w:tcBorders>
          </w:tcPr>
          <w:p w14:paraId="6DC6746F"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Скорост на двигателя (min</w:t>
            </w:r>
            <w:r w:rsidRPr="004224F6">
              <w:rPr>
                <w:rFonts w:ascii="Times New Roman" w:hAnsi="Times New Roman" w:cs="Times New Roman"/>
                <w:sz w:val="16"/>
                <w:vertAlign w:val="superscript"/>
              </w:rPr>
              <w:t>-1</w:t>
            </w:r>
            <w:r w:rsidRPr="004224F6">
              <w:rPr>
                <w:rFonts w:ascii="Times New Roman" w:hAnsi="Times New Roman" w:cs="Times New Roman"/>
                <w:sz w:val="16"/>
              </w:rPr>
              <w:t>)</w:t>
            </w:r>
          </w:p>
        </w:tc>
      </w:tr>
      <w:tr w:rsidR="00271FA2" w:rsidRPr="004224F6" w14:paraId="3BCEF926" w14:textId="77777777">
        <w:trPr>
          <w:trHeight w:val="340"/>
          <w:jc w:val="center"/>
        </w:trPr>
        <w:tc>
          <w:tcPr>
            <w:tcW w:w="634" w:type="dxa"/>
            <w:tcBorders>
              <w:top w:val="single" w:sz="4" w:space="0" w:color="auto"/>
              <w:left w:val="single" w:sz="4" w:space="0" w:color="auto"/>
              <w:bottom w:val="single" w:sz="4" w:space="0" w:color="auto"/>
              <w:right w:val="single" w:sz="4" w:space="0" w:color="auto"/>
            </w:tcBorders>
            <w:vAlign w:val="center"/>
          </w:tcPr>
          <w:p w14:paraId="1BA82ED2" w14:textId="77777777" w:rsidR="00271FA2" w:rsidRPr="004224F6" w:rsidRDefault="00D35E51">
            <w:pPr>
              <w:widowControl w:val="0"/>
              <w:spacing w:line="240" w:lineRule="atLeast"/>
              <w:jc w:val="center"/>
              <w:rPr>
                <w:rFonts w:ascii="Times New Roman" w:hAnsi="Times New Roman" w:cs="Times New Roman"/>
                <w:snapToGrid w:val="0"/>
                <w:sz w:val="16"/>
                <w:szCs w:val="16"/>
              </w:rPr>
            </w:pPr>
            <w:r w:rsidRPr="004224F6">
              <w:rPr>
                <w:rFonts w:ascii="Times New Roman" w:hAnsi="Times New Roman" w:cs="Times New Roman"/>
                <w:snapToGrid w:val="0"/>
                <w:sz w:val="16"/>
              </w:rPr>
              <w:t>1</w:t>
            </w:r>
          </w:p>
        </w:tc>
        <w:tc>
          <w:tcPr>
            <w:tcW w:w="1599" w:type="dxa"/>
            <w:tcBorders>
              <w:top w:val="single" w:sz="4" w:space="0" w:color="auto"/>
              <w:left w:val="single" w:sz="4" w:space="0" w:color="auto"/>
              <w:bottom w:val="single" w:sz="4" w:space="0" w:color="auto"/>
              <w:right w:val="single" w:sz="4" w:space="0" w:color="auto"/>
            </w:tcBorders>
          </w:tcPr>
          <w:p w14:paraId="1E18F39A" w14:textId="77777777" w:rsidR="00271FA2" w:rsidRPr="004224F6" w:rsidRDefault="00271FA2">
            <w:pPr>
              <w:spacing w:line="240" w:lineRule="atLeast"/>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14:paraId="3E460F19" w14:textId="77777777" w:rsidR="00271FA2" w:rsidRPr="004224F6" w:rsidRDefault="00271FA2">
            <w:pPr>
              <w:spacing w:line="240" w:lineRule="atLeast"/>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20BDF5BF" w14:textId="77777777" w:rsidR="00271FA2" w:rsidRPr="004224F6" w:rsidRDefault="00271FA2">
            <w:pPr>
              <w:spacing w:line="240" w:lineRule="atLeast"/>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tcPr>
          <w:p w14:paraId="328954B0" w14:textId="77777777" w:rsidR="00271FA2" w:rsidRPr="004224F6" w:rsidRDefault="00271FA2">
            <w:pPr>
              <w:spacing w:line="240" w:lineRule="atLeast"/>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5982B588" w14:textId="77777777" w:rsidR="00271FA2" w:rsidRPr="004224F6" w:rsidRDefault="00271FA2">
            <w:pPr>
              <w:spacing w:line="240" w:lineRule="atLeast"/>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067B1B32" w14:textId="77777777" w:rsidR="00271FA2" w:rsidRPr="004224F6" w:rsidRDefault="00271FA2">
            <w:pPr>
              <w:spacing w:line="240" w:lineRule="atLeast"/>
              <w:rPr>
                <w:rFonts w:ascii="Times New Roman" w:hAnsi="Times New Roman" w:cs="Times New Roman"/>
              </w:rPr>
            </w:pPr>
          </w:p>
        </w:tc>
      </w:tr>
      <w:tr w:rsidR="00271FA2" w:rsidRPr="004224F6" w14:paraId="210B9B91" w14:textId="77777777">
        <w:trPr>
          <w:trHeight w:val="340"/>
          <w:jc w:val="center"/>
        </w:trPr>
        <w:tc>
          <w:tcPr>
            <w:tcW w:w="634" w:type="dxa"/>
            <w:tcBorders>
              <w:top w:val="single" w:sz="4" w:space="0" w:color="auto"/>
              <w:left w:val="single" w:sz="4" w:space="0" w:color="auto"/>
              <w:bottom w:val="single" w:sz="4" w:space="0" w:color="auto"/>
              <w:right w:val="single" w:sz="4" w:space="0" w:color="auto"/>
            </w:tcBorders>
          </w:tcPr>
          <w:p w14:paraId="0E38F230"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2</w:t>
            </w:r>
          </w:p>
        </w:tc>
        <w:tc>
          <w:tcPr>
            <w:tcW w:w="1599" w:type="dxa"/>
            <w:tcBorders>
              <w:top w:val="single" w:sz="4" w:space="0" w:color="auto"/>
              <w:left w:val="single" w:sz="4" w:space="0" w:color="auto"/>
              <w:bottom w:val="single" w:sz="4" w:space="0" w:color="auto"/>
              <w:right w:val="single" w:sz="4" w:space="0" w:color="auto"/>
            </w:tcBorders>
          </w:tcPr>
          <w:p w14:paraId="39AFC493" w14:textId="77777777" w:rsidR="00271FA2" w:rsidRPr="004224F6" w:rsidRDefault="00271FA2">
            <w:pPr>
              <w:spacing w:line="240" w:lineRule="atLeast"/>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14:paraId="27150A87" w14:textId="77777777" w:rsidR="00271FA2" w:rsidRPr="004224F6" w:rsidRDefault="00271FA2">
            <w:pPr>
              <w:spacing w:line="240" w:lineRule="atLeast"/>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6D41AFB0" w14:textId="77777777" w:rsidR="00271FA2" w:rsidRPr="004224F6" w:rsidRDefault="00271FA2">
            <w:pPr>
              <w:spacing w:line="240" w:lineRule="atLeast"/>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tcPr>
          <w:p w14:paraId="0BFDDA31" w14:textId="77777777" w:rsidR="00271FA2" w:rsidRPr="004224F6" w:rsidRDefault="00271FA2">
            <w:pPr>
              <w:spacing w:line="240" w:lineRule="atLeast"/>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24A848F8" w14:textId="77777777" w:rsidR="00271FA2" w:rsidRPr="004224F6" w:rsidRDefault="00271FA2">
            <w:pPr>
              <w:spacing w:line="240" w:lineRule="atLeast"/>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67040A4A" w14:textId="77777777" w:rsidR="00271FA2" w:rsidRPr="004224F6" w:rsidRDefault="00271FA2">
            <w:pPr>
              <w:spacing w:line="240" w:lineRule="atLeast"/>
              <w:rPr>
                <w:rFonts w:ascii="Times New Roman" w:hAnsi="Times New Roman" w:cs="Times New Roman"/>
              </w:rPr>
            </w:pPr>
          </w:p>
        </w:tc>
      </w:tr>
      <w:tr w:rsidR="00271FA2" w:rsidRPr="004224F6" w14:paraId="1E410EEB" w14:textId="77777777">
        <w:trPr>
          <w:trHeight w:val="340"/>
          <w:jc w:val="center"/>
        </w:trPr>
        <w:tc>
          <w:tcPr>
            <w:tcW w:w="634" w:type="dxa"/>
            <w:tcBorders>
              <w:top w:val="single" w:sz="4" w:space="0" w:color="auto"/>
              <w:left w:val="single" w:sz="4" w:space="0" w:color="auto"/>
              <w:bottom w:val="single" w:sz="4" w:space="0" w:color="auto"/>
              <w:right w:val="single" w:sz="4" w:space="0" w:color="auto"/>
            </w:tcBorders>
          </w:tcPr>
          <w:p w14:paraId="555BC59E"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3</w:t>
            </w:r>
          </w:p>
        </w:tc>
        <w:tc>
          <w:tcPr>
            <w:tcW w:w="1599" w:type="dxa"/>
            <w:tcBorders>
              <w:top w:val="single" w:sz="4" w:space="0" w:color="auto"/>
              <w:left w:val="single" w:sz="4" w:space="0" w:color="auto"/>
              <w:bottom w:val="single" w:sz="4" w:space="0" w:color="auto"/>
              <w:right w:val="single" w:sz="4" w:space="0" w:color="auto"/>
            </w:tcBorders>
          </w:tcPr>
          <w:p w14:paraId="3CB9243A" w14:textId="77777777" w:rsidR="00271FA2" w:rsidRPr="004224F6" w:rsidRDefault="00271FA2">
            <w:pPr>
              <w:spacing w:line="240" w:lineRule="atLeast"/>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14:paraId="25AF9924" w14:textId="77777777" w:rsidR="00271FA2" w:rsidRPr="004224F6" w:rsidRDefault="00271FA2">
            <w:pPr>
              <w:spacing w:line="240" w:lineRule="atLeast"/>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5C92CC46" w14:textId="77777777" w:rsidR="00271FA2" w:rsidRPr="004224F6" w:rsidRDefault="00271FA2">
            <w:pPr>
              <w:spacing w:line="240" w:lineRule="atLeast"/>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tcPr>
          <w:p w14:paraId="06B37D3D" w14:textId="77777777" w:rsidR="00271FA2" w:rsidRPr="004224F6" w:rsidRDefault="00271FA2">
            <w:pPr>
              <w:spacing w:line="240" w:lineRule="atLeast"/>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2ED83E8A" w14:textId="77777777" w:rsidR="00271FA2" w:rsidRPr="004224F6" w:rsidRDefault="00271FA2">
            <w:pPr>
              <w:spacing w:line="240" w:lineRule="atLeast"/>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38E40282" w14:textId="77777777" w:rsidR="00271FA2" w:rsidRPr="004224F6" w:rsidRDefault="00271FA2">
            <w:pPr>
              <w:spacing w:line="240" w:lineRule="atLeast"/>
              <w:rPr>
                <w:rFonts w:ascii="Times New Roman" w:hAnsi="Times New Roman" w:cs="Times New Roman"/>
              </w:rPr>
            </w:pPr>
          </w:p>
        </w:tc>
      </w:tr>
      <w:tr w:rsidR="00271FA2" w:rsidRPr="004224F6" w14:paraId="666D849D" w14:textId="77777777">
        <w:trPr>
          <w:trHeight w:val="340"/>
          <w:jc w:val="center"/>
        </w:trPr>
        <w:tc>
          <w:tcPr>
            <w:tcW w:w="634" w:type="dxa"/>
            <w:tcBorders>
              <w:top w:val="single" w:sz="4" w:space="0" w:color="auto"/>
              <w:left w:val="single" w:sz="4" w:space="0" w:color="auto"/>
              <w:bottom w:val="single" w:sz="4" w:space="0" w:color="auto"/>
              <w:right w:val="single" w:sz="4" w:space="0" w:color="auto"/>
            </w:tcBorders>
          </w:tcPr>
          <w:p w14:paraId="40E6111B"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4</w:t>
            </w:r>
          </w:p>
        </w:tc>
        <w:tc>
          <w:tcPr>
            <w:tcW w:w="1599" w:type="dxa"/>
            <w:tcBorders>
              <w:top w:val="single" w:sz="4" w:space="0" w:color="auto"/>
              <w:left w:val="single" w:sz="4" w:space="0" w:color="auto"/>
              <w:bottom w:val="single" w:sz="4" w:space="0" w:color="auto"/>
              <w:right w:val="single" w:sz="4" w:space="0" w:color="auto"/>
            </w:tcBorders>
          </w:tcPr>
          <w:p w14:paraId="552B1A70" w14:textId="77777777" w:rsidR="00271FA2" w:rsidRPr="004224F6" w:rsidRDefault="00271FA2">
            <w:pPr>
              <w:spacing w:line="240" w:lineRule="atLeast"/>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14:paraId="71A22E86" w14:textId="77777777" w:rsidR="00271FA2" w:rsidRPr="004224F6" w:rsidRDefault="00271FA2">
            <w:pPr>
              <w:spacing w:line="240" w:lineRule="atLeast"/>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75DFC3D6" w14:textId="77777777" w:rsidR="00271FA2" w:rsidRPr="004224F6" w:rsidRDefault="00271FA2">
            <w:pPr>
              <w:spacing w:line="240" w:lineRule="atLeast"/>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tcPr>
          <w:p w14:paraId="2468DE02" w14:textId="77777777" w:rsidR="00271FA2" w:rsidRPr="004224F6" w:rsidRDefault="00271FA2">
            <w:pPr>
              <w:spacing w:line="240" w:lineRule="atLeast"/>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6619B08A" w14:textId="77777777" w:rsidR="00271FA2" w:rsidRPr="004224F6" w:rsidRDefault="00271FA2">
            <w:pPr>
              <w:spacing w:line="240" w:lineRule="atLeast"/>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029698B8" w14:textId="77777777" w:rsidR="00271FA2" w:rsidRPr="004224F6" w:rsidRDefault="00271FA2">
            <w:pPr>
              <w:spacing w:line="240" w:lineRule="atLeast"/>
              <w:rPr>
                <w:rFonts w:ascii="Times New Roman" w:hAnsi="Times New Roman" w:cs="Times New Roman"/>
              </w:rPr>
            </w:pPr>
          </w:p>
        </w:tc>
      </w:tr>
      <w:tr w:rsidR="00271FA2" w:rsidRPr="004224F6" w14:paraId="32FA9CA7" w14:textId="77777777">
        <w:trPr>
          <w:trHeight w:val="340"/>
          <w:jc w:val="center"/>
        </w:trPr>
        <w:tc>
          <w:tcPr>
            <w:tcW w:w="634" w:type="dxa"/>
            <w:tcBorders>
              <w:top w:val="single" w:sz="4" w:space="0" w:color="auto"/>
              <w:left w:val="single" w:sz="4" w:space="0" w:color="auto"/>
              <w:bottom w:val="single" w:sz="4" w:space="0" w:color="auto"/>
              <w:right w:val="single" w:sz="4" w:space="0" w:color="auto"/>
            </w:tcBorders>
          </w:tcPr>
          <w:p w14:paraId="1285569A"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5</w:t>
            </w:r>
          </w:p>
        </w:tc>
        <w:tc>
          <w:tcPr>
            <w:tcW w:w="1599" w:type="dxa"/>
            <w:tcBorders>
              <w:top w:val="single" w:sz="4" w:space="0" w:color="auto"/>
              <w:left w:val="single" w:sz="4" w:space="0" w:color="auto"/>
              <w:bottom w:val="single" w:sz="4" w:space="0" w:color="auto"/>
              <w:right w:val="single" w:sz="4" w:space="0" w:color="auto"/>
            </w:tcBorders>
          </w:tcPr>
          <w:p w14:paraId="20581B14" w14:textId="77777777" w:rsidR="00271FA2" w:rsidRPr="004224F6" w:rsidRDefault="00271FA2">
            <w:pPr>
              <w:spacing w:line="240" w:lineRule="atLeast"/>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14:paraId="6F138C87" w14:textId="77777777" w:rsidR="00271FA2" w:rsidRPr="004224F6" w:rsidRDefault="00271FA2">
            <w:pPr>
              <w:spacing w:line="240" w:lineRule="atLeast"/>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14:paraId="5C031512" w14:textId="77777777" w:rsidR="00271FA2" w:rsidRPr="004224F6" w:rsidRDefault="00271FA2">
            <w:pPr>
              <w:spacing w:line="240" w:lineRule="atLeast"/>
              <w:rPr>
                <w:rFonts w:ascii="Times New Roman" w:hAnsi="Times New Roman" w:cs="Times New Roman"/>
              </w:rPr>
            </w:pPr>
          </w:p>
        </w:tc>
        <w:tc>
          <w:tcPr>
            <w:tcW w:w="1006" w:type="dxa"/>
            <w:tcBorders>
              <w:top w:val="single" w:sz="4" w:space="0" w:color="auto"/>
              <w:left w:val="single" w:sz="4" w:space="0" w:color="auto"/>
              <w:bottom w:val="single" w:sz="4" w:space="0" w:color="auto"/>
              <w:right w:val="single" w:sz="4" w:space="0" w:color="auto"/>
            </w:tcBorders>
          </w:tcPr>
          <w:p w14:paraId="7D4C4175" w14:textId="77777777" w:rsidR="00271FA2" w:rsidRPr="004224F6" w:rsidRDefault="00271FA2">
            <w:pPr>
              <w:spacing w:line="240" w:lineRule="atLeast"/>
              <w:rPr>
                <w:rFonts w:ascii="Times New Roman" w:hAnsi="Times New Roman" w:cs="Times New Roman"/>
              </w:rPr>
            </w:pPr>
          </w:p>
        </w:tc>
        <w:tc>
          <w:tcPr>
            <w:tcW w:w="1199" w:type="dxa"/>
            <w:tcBorders>
              <w:top w:val="single" w:sz="4" w:space="0" w:color="auto"/>
              <w:left w:val="single" w:sz="4" w:space="0" w:color="auto"/>
              <w:bottom w:val="single" w:sz="4" w:space="0" w:color="auto"/>
              <w:right w:val="single" w:sz="4" w:space="0" w:color="auto"/>
            </w:tcBorders>
          </w:tcPr>
          <w:p w14:paraId="71781140" w14:textId="77777777" w:rsidR="00271FA2" w:rsidRPr="004224F6" w:rsidRDefault="00271FA2">
            <w:pPr>
              <w:spacing w:line="240" w:lineRule="atLeast"/>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263AA5E2" w14:textId="77777777" w:rsidR="00271FA2" w:rsidRPr="004224F6" w:rsidRDefault="00271FA2">
            <w:pPr>
              <w:spacing w:line="240" w:lineRule="atLeast"/>
              <w:rPr>
                <w:rFonts w:ascii="Times New Roman" w:hAnsi="Times New Roman" w:cs="Times New Roman"/>
              </w:rPr>
            </w:pPr>
          </w:p>
        </w:tc>
      </w:tr>
    </w:tbl>
    <w:p w14:paraId="53588C6E" w14:textId="77777777" w:rsidR="00271FA2" w:rsidRPr="004224F6" w:rsidRDefault="00271FA2">
      <w:pPr>
        <w:spacing w:line="240" w:lineRule="atLeast"/>
        <w:ind w:left="1418"/>
        <w:rPr>
          <w:rFonts w:ascii="Times New Roman" w:hAnsi="Times New Roman" w:cs="Times New Roman"/>
          <w:sz w:val="16"/>
          <w:szCs w:val="16"/>
        </w:rPr>
      </w:pPr>
    </w:p>
    <w:p w14:paraId="07104908" w14:textId="77777777" w:rsidR="00271FA2" w:rsidRPr="004224F6" w:rsidRDefault="00D35E51" w:rsidP="00783239">
      <w:pPr>
        <w:tabs>
          <w:tab w:val="left" w:pos="567"/>
          <w:tab w:val="left" w:leader="dot" w:pos="9072"/>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lastRenderedPageBreak/>
        <w:t>5.</w:t>
      </w:r>
      <w:r w:rsidRPr="004224F6">
        <w:rPr>
          <w:rFonts w:ascii="Times New Roman" w:hAnsi="Times New Roman" w:cs="Times New Roman"/>
          <w:lang w:val="ru-RU"/>
        </w:rPr>
        <w:tab/>
        <w:t xml:space="preserve">Приложени мерки за намаляване на шума: </w:t>
      </w:r>
      <w:r w:rsidRPr="004224F6">
        <w:rPr>
          <w:rFonts w:ascii="Times New Roman" w:hAnsi="Times New Roman" w:cs="Times New Roman"/>
          <w:lang w:val="ru-RU"/>
        </w:rPr>
        <w:tab/>
      </w:r>
    </w:p>
    <w:p w14:paraId="16CE6F0E" w14:textId="77777777" w:rsidR="00271FA2" w:rsidRPr="004224F6" w:rsidRDefault="00D35E51" w:rsidP="00783239">
      <w:pPr>
        <w:tabs>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ab/>
      </w:r>
    </w:p>
    <w:p w14:paraId="088739F1" w14:textId="77777777" w:rsidR="00271FA2" w:rsidRPr="004224F6" w:rsidRDefault="00D35E51" w:rsidP="00783239">
      <w:pPr>
        <w:tabs>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ab/>
      </w:r>
    </w:p>
    <w:p w14:paraId="46C67B76" w14:textId="77777777" w:rsidR="00271FA2" w:rsidRPr="004224F6" w:rsidRDefault="00D35E51" w:rsidP="00783239">
      <w:pPr>
        <w:tabs>
          <w:tab w:val="left" w:pos="567"/>
          <w:tab w:val="left" w:leader="dot" w:pos="9072"/>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6.</w:t>
      </w:r>
      <w:r w:rsidRPr="004224F6">
        <w:rPr>
          <w:rFonts w:ascii="Times New Roman" w:hAnsi="Times New Roman" w:cs="Times New Roman"/>
          <w:lang w:val="ru-RU"/>
        </w:rPr>
        <w:tab/>
        <w:t xml:space="preserve">Забележки: </w:t>
      </w:r>
      <w:r w:rsidRPr="004224F6">
        <w:rPr>
          <w:rFonts w:ascii="Times New Roman" w:hAnsi="Times New Roman" w:cs="Times New Roman"/>
          <w:lang w:val="ru-RU"/>
        </w:rPr>
        <w:tab/>
      </w:r>
    </w:p>
    <w:p w14:paraId="477B3E73" w14:textId="77777777" w:rsidR="00271FA2" w:rsidRPr="004224F6" w:rsidRDefault="00D35E51" w:rsidP="00783239">
      <w:pPr>
        <w:tabs>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ab/>
      </w:r>
    </w:p>
    <w:p w14:paraId="5E17A0C9" w14:textId="77777777" w:rsidR="00271FA2" w:rsidRPr="004224F6" w:rsidRDefault="00D35E51" w:rsidP="00783239">
      <w:pPr>
        <w:tabs>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ab/>
      </w:r>
    </w:p>
    <w:p w14:paraId="35B3C576" w14:textId="77777777" w:rsidR="00092FDD" w:rsidRPr="004224F6" w:rsidRDefault="00092FDD">
      <w:pPr>
        <w:rPr>
          <w:rFonts w:ascii="Times New Roman" w:hAnsi="Times New Roman" w:cs="Times New Roman"/>
          <w:b/>
          <w:lang w:val="ru-RU"/>
        </w:rPr>
      </w:pPr>
      <w:r w:rsidRPr="004224F6">
        <w:rPr>
          <w:rFonts w:ascii="Times New Roman" w:hAnsi="Times New Roman" w:cs="Times New Roman"/>
          <w:b/>
          <w:lang w:val="ru-RU"/>
        </w:rPr>
        <w:br w:type="page"/>
      </w:r>
    </w:p>
    <w:p w14:paraId="4B802525" w14:textId="43267719" w:rsidR="00271FA2" w:rsidRPr="004224F6" w:rsidRDefault="00D35E51" w:rsidP="00783239">
      <w:pPr>
        <w:tabs>
          <w:tab w:val="left" w:pos="567"/>
        </w:tabs>
        <w:spacing w:line="240" w:lineRule="atLeast"/>
        <w:ind w:left="567" w:hanging="567"/>
        <w:jc w:val="both"/>
        <w:rPr>
          <w:rFonts w:ascii="Times New Roman" w:hAnsi="Times New Roman" w:cs="Times New Roman"/>
          <w:b/>
          <w:lang w:val="ru-RU"/>
        </w:rPr>
      </w:pPr>
      <w:r w:rsidRPr="004224F6">
        <w:rPr>
          <w:rFonts w:ascii="Times New Roman" w:hAnsi="Times New Roman" w:cs="Times New Roman"/>
          <w:b/>
          <w:lang w:val="ru-RU"/>
        </w:rPr>
        <w:lastRenderedPageBreak/>
        <w:t>Б</w:t>
      </w:r>
      <w:r w:rsidRPr="004224F6">
        <w:rPr>
          <w:rFonts w:ascii="Times New Roman" w:hAnsi="Times New Roman" w:cs="Times New Roman"/>
          <w:lang w:val="ru-RU"/>
        </w:rPr>
        <w:tab/>
      </w:r>
      <w:r w:rsidRPr="004224F6">
        <w:rPr>
          <w:rFonts w:ascii="Times New Roman" w:hAnsi="Times New Roman" w:cs="Times New Roman"/>
          <w:b/>
          <w:lang w:val="ru-RU"/>
        </w:rPr>
        <w:t>Използвани инструменти за измерване</w:t>
      </w:r>
    </w:p>
    <w:p w14:paraId="0E1DEC63" w14:textId="77777777" w:rsidR="00271FA2" w:rsidRPr="004224F6" w:rsidRDefault="00D35E51" w:rsidP="00783239">
      <w:pPr>
        <w:widowControl w:val="0"/>
        <w:tabs>
          <w:tab w:val="left" w:pos="567"/>
          <w:tab w:val="left" w:pos="709"/>
        </w:tabs>
        <w:spacing w:line="240" w:lineRule="atLeast"/>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1.</w:t>
      </w:r>
      <w:r w:rsidRPr="004224F6">
        <w:rPr>
          <w:rFonts w:ascii="Times New Roman" w:hAnsi="Times New Roman" w:cs="Times New Roman"/>
          <w:lang w:val="ru-RU"/>
        </w:rPr>
        <w:tab/>
        <w:t>Измервателен уред за звуковото налягане</w:t>
      </w:r>
    </w:p>
    <w:p w14:paraId="2D0253AE" w14:textId="77777777" w:rsidR="00271FA2" w:rsidRPr="004224F6" w:rsidRDefault="00783239" w:rsidP="00783239">
      <w:pPr>
        <w:tabs>
          <w:tab w:val="left" w:pos="567"/>
          <w:tab w:val="left" w:leader="dot" w:pos="4678"/>
          <w:tab w:val="left" w:pos="4962"/>
          <w:tab w:val="left" w:leader="dot" w:pos="6663"/>
          <w:tab w:val="left" w:pos="6804"/>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Производител:</w:t>
      </w:r>
      <w:r w:rsidRPr="004224F6">
        <w:rPr>
          <w:rFonts w:ascii="Times New Roman" w:hAnsi="Times New Roman" w:cs="Times New Roman"/>
          <w:lang w:val="ru-RU"/>
        </w:rPr>
        <w:tab/>
      </w:r>
      <w:r w:rsidRPr="004224F6">
        <w:rPr>
          <w:rFonts w:ascii="Times New Roman" w:hAnsi="Times New Roman" w:cs="Times New Roman"/>
          <w:lang w:val="ru-RU"/>
        </w:rPr>
        <w:tab/>
        <w:t xml:space="preserve">Тип: </w:t>
      </w:r>
      <w:r w:rsidRPr="004224F6">
        <w:rPr>
          <w:rFonts w:ascii="Times New Roman" w:hAnsi="Times New Roman" w:cs="Times New Roman"/>
          <w:lang w:val="ru-RU"/>
        </w:rPr>
        <w:tab/>
      </w:r>
      <w:r w:rsidR="00D35E51" w:rsidRPr="004224F6">
        <w:rPr>
          <w:rFonts w:ascii="Times New Roman" w:hAnsi="Times New Roman" w:cs="Times New Roman"/>
          <w:lang w:val="ru-RU"/>
        </w:rPr>
        <w:t xml:space="preserve">Последна проверка: </w:t>
      </w:r>
      <w:r w:rsidR="00D35E51" w:rsidRPr="004224F6">
        <w:rPr>
          <w:rFonts w:ascii="Times New Roman" w:hAnsi="Times New Roman" w:cs="Times New Roman"/>
          <w:lang w:val="ru-RU"/>
        </w:rPr>
        <w:tab/>
      </w:r>
    </w:p>
    <w:p w14:paraId="4D50F926" w14:textId="77777777" w:rsidR="00271FA2" w:rsidRPr="004224F6" w:rsidRDefault="00D35E51" w:rsidP="00783239">
      <w:pPr>
        <w:widowControl w:val="0"/>
        <w:tabs>
          <w:tab w:val="left" w:pos="567"/>
          <w:tab w:val="left" w:pos="709"/>
        </w:tabs>
        <w:spacing w:line="240" w:lineRule="atLeast"/>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2.</w:t>
      </w:r>
      <w:r w:rsidRPr="004224F6">
        <w:rPr>
          <w:rFonts w:ascii="Times New Roman" w:hAnsi="Times New Roman" w:cs="Times New Roman"/>
          <w:lang w:val="ru-RU"/>
        </w:rPr>
        <w:tab/>
        <w:t>Октавен/терцоктавен анализатор</w:t>
      </w:r>
    </w:p>
    <w:p w14:paraId="367316D3" w14:textId="77777777" w:rsidR="00271FA2" w:rsidRPr="004224F6" w:rsidRDefault="00783239" w:rsidP="00783239">
      <w:pPr>
        <w:tabs>
          <w:tab w:val="left" w:pos="567"/>
          <w:tab w:val="left" w:leader="dot" w:pos="4678"/>
          <w:tab w:val="left" w:pos="4962"/>
          <w:tab w:val="left" w:leader="dot" w:pos="6663"/>
          <w:tab w:val="left" w:pos="6804"/>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Производител: </w:t>
      </w:r>
      <w:r w:rsidRPr="004224F6">
        <w:rPr>
          <w:rFonts w:ascii="Times New Roman" w:hAnsi="Times New Roman" w:cs="Times New Roman"/>
          <w:lang w:val="ru-RU"/>
        </w:rPr>
        <w:tab/>
      </w:r>
      <w:r w:rsidRPr="004224F6">
        <w:rPr>
          <w:rFonts w:ascii="Times New Roman" w:hAnsi="Times New Roman" w:cs="Times New Roman"/>
          <w:lang w:val="ru-RU"/>
        </w:rPr>
        <w:tab/>
        <w:t xml:space="preserve">Тип: </w:t>
      </w:r>
      <w:r w:rsidRPr="004224F6">
        <w:rPr>
          <w:rFonts w:ascii="Times New Roman" w:hAnsi="Times New Roman" w:cs="Times New Roman"/>
          <w:lang w:val="ru-RU"/>
        </w:rPr>
        <w:tab/>
      </w:r>
      <w:r w:rsidR="00D35E51" w:rsidRPr="004224F6">
        <w:rPr>
          <w:rFonts w:ascii="Times New Roman" w:hAnsi="Times New Roman" w:cs="Times New Roman"/>
          <w:lang w:val="ru-RU"/>
        </w:rPr>
        <w:t xml:space="preserve">Последна проверка: </w:t>
      </w:r>
      <w:r w:rsidR="00D35E51" w:rsidRPr="004224F6">
        <w:rPr>
          <w:rFonts w:ascii="Times New Roman" w:hAnsi="Times New Roman" w:cs="Times New Roman"/>
          <w:lang w:val="ru-RU"/>
        </w:rPr>
        <w:tab/>
      </w:r>
    </w:p>
    <w:p w14:paraId="783F6554" w14:textId="77777777" w:rsidR="00271FA2" w:rsidRPr="004224F6" w:rsidRDefault="00D35E51" w:rsidP="00783239">
      <w:pPr>
        <w:tabs>
          <w:tab w:val="left" w:pos="567"/>
          <w:tab w:val="left" w:pos="709"/>
          <w:tab w:val="left" w:leader="dot" w:pos="5245"/>
          <w:tab w:val="left" w:pos="5529"/>
          <w:tab w:val="left" w:leader="dot" w:pos="7230"/>
          <w:tab w:val="left" w:pos="7371"/>
          <w:tab w:val="left" w:leader="dot" w:pos="9356"/>
        </w:tabs>
        <w:spacing w:line="240" w:lineRule="atLeast"/>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3.</w:t>
      </w:r>
      <w:r w:rsidRPr="004224F6">
        <w:rPr>
          <w:rFonts w:ascii="Times New Roman" w:hAnsi="Times New Roman" w:cs="Times New Roman"/>
          <w:lang w:val="ru-RU"/>
        </w:rPr>
        <w:tab/>
        <w:t>Калибратор</w:t>
      </w:r>
    </w:p>
    <w:p w14:paraId="331F4F10" w14:textId="77777777" w:rsidR="00271FA2" w:rsidRPr="004224F6" w:rsidRDefault="00783239" w:rsidP="00783239">
      <w:pPr>
        <w:tabs>
          <w:tab w:val="left" w:pos="567"/>
          <w:tab w:val="left" w:leader="dot" w:pos="4678"/>
          <w:tab w:val="left" w:pos="4962"/>
          <w:tab w:val="left" w:leader="dot" w:pos="6663"/>
          <w:tab w:val="left" w:pos="6804"/>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Производител: </w:t>
      </w:r>
      <w:r w:rsidRPr="004224F6">
        <w:rPr>
          <w:rFonts w:ascii="Times New Roman" w:hAnsi="Times New Roman" w:cs="Times New Roman"/>
          <w:lang w:val="ru-RU"/>
        </w:rPr>
        <w:tab/>
      </w:r>
      <w:r w:rsidRPr="004224F6">
        <w:rPr>
          <w:rFonts w:ascii="Times New Roman" w:hAnsi="Times New Roman" w:cs="Times New Roman"/>
          <w:lang w:val="ru-RU"/>
        </w:rPr>
        <w:tab/>
        <w:t xml:space="preserve">Тип: </w:t>
      </w:r>
      <w:r w:rsidRPr="004224F6">
        <w:rPr>
          <w:rFonts w:ascii="Times New Roman" w:hAnsi="Times New Roman" w:cs="Times New Roman"/>
          <w:lang w:val="ru-RU"/>
        </w:rPr>
        <w:tab/>
      </w:r>
      <w:r w:rsidR="00D35E51" w:rsidRPr="004224F6">
        <w:rPr>
          <w:rFonts w:ascii="Times New Roman" w:hAnsi="Times New Roman" w:cs="Times New Roman"/>
          <w:lang w:val="ru-RU"/>
        </w:rPr>
        <w:t xml:space="preserve">Последна проверка: </w:t>
      </w:r>
      <w:r w:rsidR="00D35E51" w:rsidRPr="004224F6">
        <w:rPr>
          <w:rFonts w:ascii="Times New Roman" w:hAnsi="Times New Roman" w:cs="Times New Roman"/>
          <w:lang w:val="ru-RU"/>
        </w:rPr>
        <w:tab/>
      </w:r>
    </w:p>
    <w:p w14:paraId="5328E2EA" w14:textId="77777777" w:rsidR="00271FA2" w:rsidRPr="004224F6" w:rsidRDefault="00D35E51" w:rsidP="00783239">
      <w:pPr>
        <w:tabs>
          <w:tab w:val="left" w:pos="567"/>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4.</w:t>
      </w:r>
      <w:r w:rsidRPr="004224F6">
        <w:rPr>
          <w:rFonts w:ascii="Times New Roman" w:hAnsi="Times New Roman" w:cs="Times New Roman"/>
          <w:lang w:val="ru-RU"/>
        </w:rPr>
        <w:tab/>
        <w:t>Принадлежности</w:t>
      </w:r>
    </w:p>
    <w:p w14:paraId="62961D7F" w14:textId="77777777" w:rsidR="00271FA2" w:rsidRPr="004224F6" w:rsidRDefault="00D35E51" w:rsidP="00783239">
      <w:pPr>
        <w:tabs>
          <w:tab w:val="left" w:pos="567"/>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ab/>
      </w:r>
    </w:p>
    <w:p w14:paraId="33F67FF5" w14:textId="77777777" w:rsidR="00271FA2" w:rsidRPr="004224F6" w:rsidRDefault="00D35E51" w:rsidP="00783239">
      <w:pPr>
        <w:tabs>
          <w:tab w:val="left" w:pos="567"/>
          <w:tab w:val="left" w:pos="709"/>
          <w:tab w:val="left" w:leader="dot" w:pos="9072"/>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5.</w:t>
      </w:r>
      <w:r w:rsidRPr="004224F6">
        <w:rPr>
          <w:rFonts w:ascii="Times New Roman" w:hAnsi="Times New Roman" w:cs="Times New Roman"/>
          <w:lang w:val="ru-RU"/>
        </w:rPr>
        <w:tab/>
        <w:t xml:space="preserve">Забележки: </w:t>
      </w:r>
    </w:p>
    <w:p w14:paraId="1297A649" w14:textId="77777777" w:rsidR="00271FA2" w:rsidRPr="004224F6" w:rsidRDefault="00D35E51" w:rsidP="00783239">
      <w:pPr>
        <w:tabs>
          <w:tab w:val="left" w:pos="567"/>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ab/>
      </w:r>
    </w:p>
    <w:p w14:paraId="5ED2EE8C" w14:textId="77777777" w:rsidR="00271FA2" w:rsidRPr="004224F6" w:rsidRDefault="00D35E51" w:rsidP="00783239">
      <w:pPr>
        <w:tabs>
          <w:tab w:val="left" w:pos="567"/>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ab/>
      </w:r>
    </w:p>
    <w:p w14:paraId="5D165B42" w14:textId="77777777" w:rsidR="00271FA2" w:rsidRPr="004224F6" w:rsidRDefault="00D35E51">
      <w:pPr>
        <w:tabs>
          <w:tab w:val="left" w:pos="567"/>
        </w:tabs>
        <w:spacing w:line="240" w:lineRule="atLeast"/>
        <w:ind w:left="567" w:hanging="567"/>
        <w:rPr>
          <w:rFonts w:ascii="Times New Roman" w:hAnsi="Times New Roman" w:cs="Times New Roman"/>
          <w:b/>
          <w:lang w:val="ru-RU"/>
        </w:rPr>
      </w:pPr>
      <w:r w:rsidRPr="004224F6">
        <w:rPr>
          <w:rFonts w:ascii="Times New Roman" w:hAnsi="Times New Roman" w:cs="Times New Roman"/>
          <w:b/>
          <w:lang w:val="ru-RU"/>
        </w:rPr>
        <w:t>В</w:t>
      </w:r>
      <w:r w:rsidRPr="004224F6">
        <w:rPr>
          <w:rFonts w:ascii="Times New Roman" w:hAnsi="Times New Roman" w:cs="Times New Roman"/>
          <w:lang w:val="ru-RU"/>
        </w:rPr>
        <w:tab/>
      </w:r>
      <w:r w:rsidRPr="004224F6">
        <w:rPr>
          <w:rFonts w:ascii="Times New Roman" w:hAnsi="Times New Roman" w:cs="Times New Roman"/>
          <w:b/>
          <w:lang w:val="ru-RU"/>
        </w:rPr>
        <w:t>Условия на измерване — плавателно средство</w:t>
      </w:r>
    </w:p>
    <w:p w14:paraId="3DB7CA1E" w14:textId="77777777" w:rsidR="00271FA2" w:rsidRPr="004224F6" w:rsidRDefault="00D35E51" w:rsidP="00783239">
      <w:pPr>
        <w:tabs>
          <w:tab w:val="left" w:pos="567"/>
          <w:tab w:val="left" w:pos="709"/>
          <w:tab w:val="left" w:leader="dot" w:pos="9072"/>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1.</w:t>
      </w:r>
      <w:r w:rsidRPr="004224F6">
        <w:rPr>
          <w:rFonts w:ascii="Times New Roman" w:hAnsi="Times New Roman" w:cs="Times New Roman"/>
          <w:lang w:val="ru-RU"/>
        </w:rPr>
        <w:tab/>
        <w:t xml:space="preserve">Формирование по време на измерванията: </w:t>
      </w:r>
    </w:p>
    <w:p w14:paraId="4ED1C441" w14:textId="77777777" w:rsidR="00271FA2" w:rsidRPr="004224F6" w:rsidRDefault="00D35E51" w:rsidP="00783239">
      <w:pPr>
        <w:tabs>
          <w:tab w:val="left" w:pos="567"/>
          <w:tab w:val="left" w:pos="709"/>
          <w:tab w:val="left" w:leader="dot" w:pos="4820"/>
          <w:tab w:val="left" w:pos="4962"/>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2.</w:t>
      </w:r>
      <w:r w:rsidRPr="004224F6">
        <w:rPr>
          <w:rFonts w:ascii="Times New Roman" w:hAnsi="Times New Roman" w:cs="Times New Roman"/>
          <w:lang w:val="ru-RU"/>
        </w:rPr>
        <w:tab/>
        <w:t xml:space="preserve">Товар/водоизместване: </w:t>
      </w:r>
      <w:r w:rsidRPr="004224F6">
        <w:rPr>
          <w:rFonts w:ascii="Times New Roman" w:hAnsi="Times New Roman" w:cs="Times New Roman"/>
          <w:lang w:val="ru-RU"/>
        </w:rPr>
        <w:tab/>
      </w:r>
      <w:r w:rsidRPr="004224F6">
        <w:rPr>
          <w:rFonts w:ascii="Times New Roman" w:hAnsi="Times New Roman" w:cs="Times New Roman"/>
          <w:lang w:val="ru-RU"/>
        </w:rPr>
        <w:tab/>
      </w:r>
      <w:r w:rsidRPr="004224F6">
        <w:rPr>
          <w:rFonts w:ascii="Times New Roman" w:hAnsi="Times New Roman" w:cs="Times New Roman"/>
        </w:rPr>
        <w:t>t</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lang w:val="ru-RU"/>
        </w:rPr>
        <w:t xml:space="preserve">³ </w:t>
      </w:r>
      <w:r w:rsidRPr="004224F6">
        <w:rPr>
          <w:rFonts w:ascii="Times New Roman" w:hAnsi="Times New Roman" w:cs="Times New Roman"/>
          <w:vertAlign w:val="superscript"/>
          <w:lang w:val="ru-RU"/>
        </w:rPr>
        <w:t>*)</w:t>
      </w:r>
      <w:r w:rsidRPr="004224F6">
        <w:rPr>
          <w:rFonts w:ascii="Times New Roman" w:hAnsi="Times New Roman" w:cs="Times New Roman"/>
          <w:lang w:val="ru-RU"/>
        </w:rPr>
        <w:t xml:space="preserve"> (приблизително … % от максималната стойност)</w:t>
      </w:r>
    </w:p>
    <w:p w14:paraId="6062C5E8" w14:textId="77777777" w:rsidR="00271FA2" w:rsidRPr="004224F6" w:rsidRDefault="00D35E51" w:rsidP="00783239">
      <w:pPr>
        <w:tabs>
          <w:tab w:val="left" w:pos="567"/>
          <w:tab w:val="left" w:pos="709"/>
          <w:tab w:val="left" w:leader="dot" w:pos="4820"/>
          <w:tab w:val="left" w:pos="4962"/>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3.</w:t>
      </w:r>
      <w:r w:rsidRPr="004224F6">
        <w:rPr>
          <w:rFonts w:ascii="Times New Roman" w:hAnsi="Times New Roman" w:cs="Times New Roman"/>
          <w:lang w:val="ru-RU"/>
        </w:rPr>
        <w:tab/>
        <w:t>Честота на въртене на главния двигател:</w:t>
      </w:r>
      <w:r w:rsidRPr="004224F6">
        <w:rPr>
          <w:rFonts w:ascii="Times New Roman" w:hAnsi="Times New Roman" w:cs="Times New Roman"/>
          <w:lang w:val="ru-RU"/>
        </w:rPr>
        <w:tab/>
      </w:r>
      <w:r w:rsidRPr="004224F6">
        <w:rPr>
          <w:rFonts w:ascii="Times New Roman" w:hAnsi="Times New Roman" w:cs="Times New Roman"/>
          <w:lang w:val="ru-RU"/>
        </w:rPr>
        <w:tab/>
      </w:r>
      <w:r w:rsidRPr="004224F6">
        <w:rPr>
          <w:rFonts w:ascii="Times New Roman" w:hAnsi="Times New Roman" w:cs="Times New Roman"/>
        </w:rPr>
        <w:t>min</w:t>
      </w:r>
      <w:r w:rsidRPr="004224F6">
        <w:rPr>
          <w:rFonts w:ascii="Times New Roman" w:hAnsi="Times New Roman" w:cs="Times New Roman"/>
          <w:vertAlign w:val="superscript"/>
          <w:lang w:val="ru-RU"/>
        </w:rPr>
        <w:t>-1</w:t>
      </w:r>
      <w:r w:rsidRPr="004224F6">
        <w:rPr>
          <w:rFonts w:ascii="Times New Roman" w:hAnsi="Times New Roman" w:cs="Times New Roman"/>
          <w:lang w:val="ru-RU"/>
        </w:rPr>
        <w:t xml:space="preserve"> (приблизително … % от максималната стойност)</w:t>
      </w:r>
    </w:p>
    <w:p w14:paraId="484F3C62" w14:textId="77777777" w:rsidR="00271FA2" w:rsidRPr="004224F6" w:rsidRDefault="00D35E51" w:rsidP="00783239">
      <w:pPr>
        <w:widowControl w:val="0"/>
        <w:tabs>
          <w:tab w:val="left" w:pos="567"/>
          <w:tab w:val="left" w:pos="709"/>
          <w:tab w:val="left" w:leader="dot" w:pos="5103"/>
          <w:tab w:val="left" w:pos="5670"/>
        </w:tabs>
        <w:spacing w:line="240" w:lineRule="atLeast"/>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4.</w:t>
      </w:r>
      <w:r w:rsidRPr="004224F6">
        <w:rPr>
          <w:rFonts w:ascii="Times New Roman" w:hAnsi="Times New Roman" w:cs="Times New Roman"/>
          <w:lang w:val="ru-RU"/>
        </w:rPr>
        <w:tab/>
        <w:t xml:space="preserve">Работещи спомагателни двигатели № </w:t>
      </w:r>
      <w:r w:rsidRPr="004224F6">
        <w:rPr>
          <w:rFonts w:ascii="Times New Roman" w:hAnsi="Times New Roman" w:cs="Times New Roman"/>
          <w:lang w:val="ru-RU"/>
        </w:rPr>
        <w:tab/>
      </w:r>
    </w:p>
    <w:p w14:paraId="22CC530C" w14:textId="77777777" w:rsidR="00271FA2" w:rsidRPr="004224F6" w:rsidRDefault="00D35E51" w:rsidP="00783239">
      <w:pPr>
        <w:tabs>
          <w:tab w:val="left" w:pos="567"/>
          <w:tab w:val="left" w:pos="709"/>
          <w:tab w:val="left" w:leader="dot" w:pos="9072"/>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5.</w:t>
      </w:r>
      <w:r w:rsidRPr="004224F6">
        <w:rPr>
          <w:rFonts w:ascii="Times New Roman" w:hAnsi="Times New Roman" w:cs="Times New Roman"/>
          <w:lang w:val="ru-RU"/>
        </w:rPr>
        <w:tab/>
        <w:t xml:space="preserve">Забележки: </w:t>
      </w:r>
    </w:p>
    <w:p w14:paraId="139AA5DD" w14:textId="77777777" w:rsidR="00271FA2" w:rsidRPr="004224F6" w:rsidRDefault="00D35E51" w:rsidP="00783239">
      <w:pPr>
        <w:tabs>
          <w:tab w:val="left" w:pos="567"/>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ab/>
      </w:r>
    </w:p>
    <w:p w14:paraId="2ED9D319" w14:textId="77777777" w:rsidR="00271FA2" w:rsidRPr="004224F6" w:rsidRDefault="00D35E51" w:rsidP="00783239">
      <w:pPr>
        <w:tabs>
          <w:tab w:val="left" w:pos="567"/>
          <w:tab w:val="left" w:leader="dot" w:pos="9072"/>
        </w:tabs>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ab/>
      </w:r>
    </w:p>
    <w:p w14:paraId="75842851" w14:textId="77777777" w:rsidR="00271FA2" w:rsidRPr="004224F6" w:rsidRDefault="00D35E51">
      <w:pPr>
        <w:tabs>
          <w:tab w:val="left" w:pos="567"/>
        </w:tabs>
        <w:spacing w:line="240" w:lineRule="atLeast"/>
        <w:ind w:left="567" w:hanging="567"/>
        <w:rPr>
          <w:rFonts w:ascii="Times New Roman" w:hAnsi="Times New Roman" w:cs="Times New Roman"/>
          <w:b/>
          <w:lang w:val="ru-RU"/>
        </w:rPr>
      </w:pPr>
      <w:r w:rsidRPr="004224F6">
        <w:rPr>
          <w:rFonts w:ascii="Times New Roman" w:hAnsi="Times New Roman" w:cs="Times New Roman"/>
          <w:b/>
          <w:lang w:val="ru-RU"/>
        </w:rPr>
        <w:t>Г</w:t>
      </w:r>
      <w:r w:rsidRPr="004224F6">
        <w:rPr>
          <w:rFonts w:ascii="Times New Roman" w:hAnsi="Times New Roman" w:cs="Times New Roman"/>
          <w:lang w:val="ru-RU"/>
        </w:rPr>
        <w:tab/>
      </w:r>
      <w:r w:rsidRPr="004224F6">
        <w:rPr>
          <w:rFonts w:ascii="Times New Roman" w:hAnsi="Times New Roman" w:cs="Times New Roman"/>
          <w:b/>
          <w:lang w:val="ru-RU"/>
        </w:rPr>
        <w:t>Условия на измерване — околна среда</w:t>
      </w:r>
    </w:p>
    <w:p w14:paraId="6A0B9B24" w14:textId="77777777" w:rsidR="00271FA2" w:rsidRPr="004224F6" w:rsidRDefault="00D35E51" w:rsidP="00783239">
      <w:pPr>
        <w:tabs>
          <w:tab w:val="left" w:pos="567"/>
          <w:tab w:val="left" w:pos="709"/>
          <w:tab w:val="left" w:leader="dot" w:pos="6663"/>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1.</w:t>
      </w:r>
      <w:r w:rsidRPr="004224F6">
        <w:rPr>
          <w:rFonts w:ascii="Times New Roman" w:hAnsi="Times New Roman" w:cs="Times New Roman"/>
          <w:lang w:val="ru-RU"/>
        </w:rPr>
        <w:tab/>
        <w:t xml:space="preserve">Област на измерване: </w:t>
      </w:r>
      <w:r w:rsidRPr="004224F6">
        <w:rPr>
          <w:rFonts w:ascii="Times New Roman" w:hAnsi="Times New Roman" w:cs="Times New Roman"/>
          <w:lang w:val="ru-RU"/>
        </w:rPr>
        <w:tab/>
        <w:t xml:space="preserve"> Срещу течението/по течението </w:t>
      </w:r>
      <w:r w:rsidRPr="004224F6">
        <w:rPr>
          <w:rFonts w:ascii="Times New Roman" w:hAnsi="Times New Roman" w:cs="Times New Roman"/>
          <w:vertAlign w:val="superscript"/>
        </w:rPr>
        <w:footnoteReference w:id="58"/>
      </w:r>
    </w:p>
    <w:p w14:paraId="5A4BADAF" w14:textId="77777777" w:rsidR="00271FA2" w:rsidRPr="004224F6" w:rsidRDefault="00D35E51" w:rsidP="00783239">
      <w:pPr>
        <w:tabs>
          <w:tab w:val="left" w:pos="567"/>
          <w:tab w:val="left" w:pos="709"/>
          <w:tab w:val="left" w:leader="dot" w:pos="3686"/>
          <w:tab w:val="left" w:pos="4111"/>
          <w:tab w:val="left" w:leader="dot" w:pos="7088"/>
          <w:tab w:val="left" w:pos="7230"/>
          <w:tab w:val="left" w:leader="dot" w:pos="8505"/>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2.</w:t>
      </w:r>
      <w:r w:rsidRPr="004224F6">
        <w:rPr>
          <w:rFonts w:ascii="Times New Roman" w:hAnsi="Times New Roman" w:cs="Times New Roman"/>
          <w:lang w:val="ru-RU"/>
        </w:rPr>
        <w:tab/>
        <w:t xml:space="preserve">Дълбочина на водата: </w:t>
      </w:r>
      <w:r w:rsidRPr="004224F6">
        <w:rPr>
          <w:rFonts w:ascii="Times New Roman" w:hAnsi="Times New Roman" w:cs="Times New Roman"/>
          <w:lang w:val="ru-RU"/>
        </w:rPr>
        <w:tab/>
        <w:t xml:space="preserve"> </w:t>
      </w:r>
      <w:r w:rsidRPr="004224F6">
        <w:rPr>
          <w:rFonts w:ascii="Times New Roman" w:hAnsi="Times New Roman" w:cs="Times New Roman"/>
        </w:rPr>
        <w:t>m</w:t>
      </w:r>
      <w:r w:rsidRPr="004224F6">
        <w:rPr>
          <w:rFonts w:ascii="Times New Roman" w:hAnsi="Times New Roman" w:cs="Times New Roman"/>
          <w:lang w:val="ru-RU"/>
        </w:rPr>
        <w:t xml:space="preserve"> </w:t>
      </w:r>
      <w:r w:rsidRPr="004224F6">
        <w:rPr>
          <w:rFonts w:ascii="Times New Roman" w:hAnsi="Times New Roman" w:cs="Times New Roman"/>
          <w:lang w:val="ru-RU"/>
        </w:rPr>
        <w:tab/>
        <w:t xml:space="preserve">(Съответно ниво на водата </w:t>
      </w:r>
      <w:r w:rsidRPr="004224F6">
        <w:rPr>
          <w:rFonts w:ascii="Times New Roman" w:hAnsi="Times New Roman" w:cs="Times New Roman"/>
          <w:lang w:val="ru-RU"/>
        </w:rPr>
        <w:tab/>
      </w:r>
      <w:r w:rsidRPr="004224F6">
        <w:rPr>
          <w:rFonts w:ascii="Times New Roman" w:hAnsi="Times New Roman" w:cs="Times New Roman"/>
          <w:lang w:val="ru-RU"/>
        </w:rPr>
        <w:tab/>
        <w:t xml:space="preserve">= </w:t>
      </w:r>
      <w:r w:rsidRPr="004224F6">
        <w:rPr>
          <w:rFonts w:ascii="Times New Roman" w:hAnsi="Times New Roman" w:cs="Times New Roman"/>
          <w:lang w:val="ru-RU"/>
        </w:rPr>
        <w:tab/>
        <w:t xml:space="preserve"> </w:t>
      </w:r>
      <w:r w:rsidRPr="004224F6">
        <w:rPr>
          <w:rFonts w:ascii="Times New Roman" w:hAnsi="Times New Roman" w:cs="Times New Roman"/>
        </w:rPr>
        <w:t>m</w:t>
      </w:r>
      <w:r w:rsidRPr="004224F6">
        <w:rPr>
          <w:rFonts w:ascii="Times New Roman" w:hAnsi="Times New Roman" w:cs="Times New Roman"/>
          <w:lang w:val="ru-RU"/>
        </w:rPr>
        <w:t>)</w:t>
      </w:r>
    </w:p>
    <w:p w14:paraId="24530B36" w14:textId="77777777" w:rsidR="00271FA2" w:rsidRPr="004224F6" w:rsidRDefault="00D35E51" w:rsidP="00783239">
      <w:pPr>
        <w:widowControl w:val="0"/>
        <w:tabs>
          <w:tab w:val="left" w:pos="567"/>
          <w:tab w:val="left" w:pos="709"/>
          <w:tab w:val="left" w:leader="dot" w:pos="4678"/>
          <w:tab w:val="left" w:pos="4820"/>
          <w:tab w:val="left" w:leader="dot" w:pos="6521"/>
          <w:tab w:val="left" w:pos="6663"/>
          <w:tab w:val="left" w:pos="6946"/>
          <w:tab w:val="left" w:leader="dot" w:pos="8647"/>
        </w:tabs>
        <w:spacing w:line="240" w:lineRule="atLeast"/>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3.</w:t>
      </w:r>
      <w:r w:rsidRPr="004224F6">
        <w:rPr>
          <w:rFonts w:ascii="Times New Roman" w:hAnsi="Times New Roman" w:cs="Times New Roman"/>
          <w:lang w:val="ru-RU"/>
        </w:rPr>
        <w:tab/>
        <w:t>Време:</w:t>
      </w:r>
      <w:r w:rsidRPr="004224F6">
        <w:rPr>
          <w:rFonts w:ascii="Times New Roman" w:hAnsi="Times New Roman" w:cs="Times New Roman"/>
          <w:lang w:val="ru-RU"/>
        </w:rPr>
        <w:tab/>
      </w:r>
      <w:r w:rsidRPr="004224F6">
        <w:rPr>
          <w:rFonts w:ascii="Times New Roman" w:hAnsi="Times New Roman" w:cs="Times New Roman"/>
          <w:lang w:val="ru-RU"/>
        </w:rPr>
        <w:tab/>
        <w:t>Температура:</w:t>
      </w:r>
      <w:r w:rsidRPr="004224F6">
        <w:rPr>
          <w:rFonts w:ascii="Times New Roman" w:hAnsi="Times New Roman" w:cs="Times New Roman"/>
          <w:lang w:val="ru-RU"/>
        </w:rPr>
        <w:tab/>
        <w:t>°</w:t>
      </w:r>
      <w:r w:rsidRPr="004224F6">
        <w:rPr>
          <w:rFonts w:ascii="Times New Roman" w:hAnsi="Times New Roman" w:cs="Times New Roman"/>
        </w:rPr>
        <w:t>C</w:t>
      </w:r>
      <w:r w:rsidRPr="004224F6">
        <w:rPr>
          <w:rFonts w:ascii="Times New Roman" w:hAnsi="Times New Roman" w:cs="Times New Roman"/>
          <w:lang w:val="ru-RU"/>
        </w:rPr>
        <w:tab/>
        <w:t>Сила на вятъра:</w:t>
      </w:r>
      <w:r w:rsidRPr="004224F6">
        <w:rPr>
          <w:rFonts w:ascii="Times New Roman" w:hAnsi="Times New Roman" w:cs="Times New Roman"/>
          <w:lang w:val="ru-RU"/>
        </w:rPr>
        <w:tab/>
        <w:t xml:space="preserve"> </w:t>
      </w:r>
      <w:r w:rsidRPr="004224F6">
        <w:rPr>
          <w:rFonts w:ascii="Times New Roman" w:hAnsi="Times New Roman" w:cs="Times New Roman"/>
        </w:rPr>
        <w:t>BF</w:t>
      </w:r>
    </w:p>
    <w:p w14:paraId="20E1DB07" w14:textId="77777777" w:rsidR="00271FA2" w:rsidRPr="004224F6" w:rsidRDefault="00D35E51" w:rsidP="00783239">
      <w:pPr>
        <w:tabs>
          <w:tab w:val="left" w:pos="567"/>
          <w:tab w:val="left" w:pos="709"/>
          <w:tab w:val="left" w:leader="dot" w:pos="9072"/>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4.</w:t>
      </w:r>
      <w:r w:rsidRPr="004224F6">
        <w:rPr>
          <w:rFonts w:ascii="Times New Roman" w:hAnsi="Times New Roman" w:cs="Times New Roman"/>
          <w:lang w:val="ru-RU"/>
        </w:rPr>
        <w:tab/>
        <w:t>Намеса на външни шумове: Да/Не</w:t>
      </w:r>
      <w:r w:rsidRPr="004224F6">
        <w:rPr>
          <w:rFonts w:ascii="Times New Roman" w:hAnsi="Times New Roman" w:cs="Times New Roman"/>
          <w:vertAlign w:val="superscript"/>
          <w:lang w:val="ru-RU"/>
        </w:rPr>
        <w:t>*)</w:t>
      </w:r>
      <w:r w:rsidRPr="004224F6">
        <w:rPr>
          <w:rFonts w:ascii="Times New Roman" w:hAnsi="Times New Roman" w:cs="Times New Roman"/>
          <w:lang w:val="ru-RU"/>
        </w:rPr>
        <w:t xml:space="preserve">, Ако отговорът е „Да“, моля уточнете: </w:t>
      </w:r>
    </w:p>
    <w:p w14:paraId="139C6F2A" w14:textId="77777777" w:rsidR="00271FA2" w:rsidRPr="004224F6" w:rsidRDefault="00D35E51" w:rsidP="00783239">
      <w:pPr>
        <w:tabs>
          <w:tab w:val="left" w:pos="567"/>
          <w:tab w:val="left" w:pos="709"/>
          <w:tab w:val="left" w:pos="1418"/>
          <w:tab w:val="left" w:leader="dot" w:pos="9072"/>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5.</w:t>
      </w:r>
      <w:r w:rsidRPr="004224F6">
        <w:rPr>
          <w:rFonts w:ascii="Times New Roman" w:hAnsi="Times New Roman" w:cs="Times New Roman"/>
          <w:lang w:val="ru-RU"/>
        </w:rPr>
        <w:tab/>
        <w:t xml:space="preserve">Забележки: </w:t>
      </w:r>
    </w:p>
    <w:p w14:paraId="73616D01" w14:textId="77777777" w:rsidR="00271FA2" w:rsidRPr="004224F6" w:rsidRDefault="00D35E51">
      <w:pPr>
        <w:tabs>
          <w:tab w:val="left" w:pos="567"/>
          <w:tab w:val="left" w:leader="dot" w:pos="9072"/>
        </w:tabs>
        <w:spacing w:line="240" w:lineRule="atLeast"/>
        <w:ind w:left="567"/>
        <w:rPr>
          <w:rFonts w:ascii="Times New Roman" w:hAnsi="Times New Roman" w:cs="Times New Roman"/>
          <w:szCs w:val="20"/>
          <w:lang w:val="ru-RU"/>
        </w:rPr>
      </w:pPr>
      <w:r w:rsidRPr="004224F6">
        <w:rPr>
          <w:rFonts w:ascii="Times New Roman" w:hAnsi="Times New Roman" w:cs="Times New Roman"/>
          <w:lang w:val="ru-RU"/>
        </w:rPr>
        <w:tab/>
      </w:r>
    </w:p>
    <w:p w14:paraId="7B9FBBE4" w14:textId="77777777" w:rsidR="00271FA2" w:rsidRPr="004224F6" w:rsidRDefault="00D35E51">
      <w:pPr>
        <w:tabs>
          <w:tab w:val="left" w:pos="567"/>
          <w:tab w:val="left" w:leader="dot" w:pos="9072"/>
        </w:tabs>
        <w:spacing w:line="240" w:lineRule="atLeast"/>
        <w:ind w:left="567"/>
        <w:rPr>
          <w:rFonts w:ascii="Times New Roman" w:hAnsi="Times New Roman" w:cs="Times New Roman"/>
          <w:szCs w:val="20"/>
          <w:lang w:val="ru-RU"/>
        </w:rPr>
      </w:pPr>
      <w:r w:rsidRPr="004224F6">
        <w:rPr>
          <w:rFonts w:ascii="Times New Roman" w:hAnsi="Times New Roman" w:cs="Times New Roman"/>
          <w:lang w:val="ru-RU"/>
        </w:rPr>
        <w:tab/>
      </w:r>
    </w:p>
    <w:p w14:paraId="39F815D6" w14:textId="77777777" w:rsidR="00271FA2" w:rsidRPr="004224F6" w:rsidRDefault="00D35E51">
      <w:pPr>
        <w:tabs>
          <w:tab w:val="left" w:pos="567"/>
        </w:tabs>
        <w:spacing w:line="240" w:lineRule="atLeast"/>
        <w:ind w:left="567" w:hanging="567"/>
        <w:rPr>
          <w:rFonts w:ascii="Times New Roman" w:hAnsi="Times New Roman" w:cs="Times New Roman"/>
          <w:b/>
          <w:lang w:val="ru-RU"/>
        </w:rPr>
      </w:pPr>
      <w:r w:rsidRPr="004224F6">
        <w:rPr>
          <w:rFonts w:ascii="Times New Roman" w:hAnsi="Times New Roman" w:cs="Times New Roman"/>
          <w:b/>
          <w:lang w:val="ru-RU"/>
        </w:rPr>
        <w:t>Д</w:t>
      </w:r>
      <w:r w:rsidRPr="004224F6">
        <w:rPr>
          <w:rFonts w:ascii="Times New Roman" w:hAnsi="Times New Roman" w:cs="Times New Roman"/>
          <w:lang w:val="ru-RU"/>
        </w:rPr>
        <w:tab/>
      </w:r>
      <w:r w:rsidRPr="004224F6">
        <w:rPr>
          <w:rFonts w:ascii="Times New Roman" w:hAnsi="Times New Roman" w:cs="Times New Roman"/>
          <w:b/>
          <w:lang w:val="ru-RU"/>
        </w:rPr>
        <w:t>Записване на измерването</w:t>
      </w:r>
    </w:p>
    <w:p w14:paraId="7D6A7DE4" w14:textId="77777777" w:rsidR="00271FA2" w:rsidRPr="004224F6" w:rsidRDefault="00D35E51">
      <w:pPr>
        <w:tabs>
          <w:tab w:val="left" w:pos="567"/>
          <w:tab w:val="left" w:pos="709"/>
          <w:tab w:val="left" w:pos="1418"/>
          <w:tab w:val="left" w:leader="dot" w:pos="9072"/>
        </w:tabs>
        <w:overflowPunct w:val="0"/>
        <w:adjustRightInd w:val="0"/>
        <w:spacing w:line="240" w:lineRule="atLeast"/>
        <w:ind w:left="567" w:hanging="567"/>
        <w:textAlignment w:val="baseline"/>
        <w:rPr>
          <w:rFonts w:ascii="Times New Roman" w:hAnsi="Times New Roman" w:cs="Times New Roman"/>
          <w:snapToGrid w:val="0"/>
          <w:szCs w:val="20"/>
          <w:lang w:val="ru-RU"/>
        </w:rPr>
      </w:pPr>
      <w:r w:rsidRPr="004224F6">
        <w:rPr>
          <w:rFonts w:ascii="Times New Roman" w:hAnsi="Times New Roman" w:cs="Times New Roman"/>
          <w:lang w:val="ru-RU"/>
        </w:rPr>
        <w:t>1.</w:t>
      </w:r>
      <w:r w:rsidRPr="004224F6">
        <w:rPr>
          <w:rFonts w:ascii="Times New Roman" w:hAnsi="Times New Roman" w:cs="Times New Roman"/>
          <w:lang w:val="ru-RU"/>
        </w:rPr>
        <w:tab/>
        <w:t xml:space="preserve">Извършил измерването: </w:t>
      </w:r>
    </w:p>
    <w:p w14:paraId="796C9B25" w14:textId="77777777" w:rsidR="00271FA2" w:rsidRPr="004224F6" w:rsidRDefault="00D35E51">
      <w:pPr>
        <w:tabs>
          <w:tab w:val="left" w:pos="567"/>
          <w:tab w:val="left" w:pos="709"/>
          <w:tab w:val="left" w:leader="dot" w:pos="2268"/>
        </w:tabs>
        <w:spacing w:line="240" w:lineRule="atLeast"/>
        <w:ind w:left="567" w:hanging="567"/>
        <w:rPr>
          <w:rFonts w:ascii="Times New Roman" w:hAnsi="Times New Roman" w:cs="Times New Roman"/>
          <w:szCs w:val="20"/>
          <w:lang w:val="ru-RU"/>
        </w:rPr>
      </w:pPr>
      <w:r w:rsidRPr="004224F6">
        <w:rPr>
          <w:rFonts w:ascii="Times New Roman" w:hAnsi="Times New Roman" w:cs="Times New Roman"/>
          <w:lang w:val="ru-RU"/>
        </w:rPr>
        <w:t>2.</w:t>
      </w:r>
      <w:r w:rsidRPr="004224F6">
        <w:rPr>
          <w:rFonts w:ascii="Times New Roman" w:hAnsi="Times New Roman" w:cs="Times New Roman"/>
          <w:lang w:val="ru-RU"/>
        </w:rPr>
        <w:tab/>
        <w:t xml:space="preserve">Дата: </w:t>
      </w:r>
      <w:r w:rsidRPr="004224F6">
        <w:rPr>
          <w:rFonts w:ascii="Times New Roman" w:hAnsi="Times New Roman" w:cs="Times New Roman"/>
          <w:lang w:val="ru-RU"/>
        </w:rPr>
        <w:tab/>
      </w:r>
    </w:p>
    <w:p w14:paraId="5688DC71" w14:textId="77777777" w:rsidR="00271FA2" w:rsidRPr="004224F6" w:rsidRDefault="00D35E51">
      <w:pPr>
        <w:tabs>
          <w:tab w:val="left" w:pos="567"/>
          <w:tab w:val="left" w:pos="709"/>
          <w:tab w:val="left" w:pos="1418"/>
          <w:tab w:val="left" w:leader="dot" w:pos="9072"/>
        </w:tabs>
        <w:overflowPunct w:val="0"/>
        <w:adjustRightInd w:val="0"/>
        <w:spacing w:line="240" w:lineRule="atLeast"/>
        <w:ind w:left="567" w:hanging="567"/>
        <w:textAlignment w:val="baseline"/>
        <w:rPr>
          <w:rFonts w:ascii="Times New Roman" w:hAnsi="Times New Roman" w:cs="Times New Roman"/>
          <w:snapToGrid w:val="0"/>
          <w:szCs w:val="20"/>
          <w:lang w:val="ru-RU"/>
        </w:rPr>
      </w:pPr>
      <w:r w:rsidRPr="004224F6">
        <w:rPr>
          <w:rFonts w:ascii="Times New Roman" w:hAnsi="Times New Roman" w:cs="Times New Roman"/>
          <w:lang w:val="ru-RU"/>
        </w:rPr>
        <w:lastRenderedPageBreak/>
        <w:t>3.</w:t>
      </w:r>
      <w:r w:rsidRPr="004224F6">
        <w:rPr>
          <w:rFonts w:ascii="Times New Roman" w:hAnsi="Times New Roman" w:cs="Times New Roman"/>
          <w:lang w:val="ru-RU"/>
        </w:rPr>
        <w:tab/>
        <w:t xml:space="preserve">Забележки: </w:t>
      </w:r>
    </w:p>
    <w:p w14:paraId="5B7DBA95" w14:textId="77777777" w:rsidR="00271FA2" w:rsidRPr="004224F6" w:rsidRDefault="00D35E51">
      <w:pPr>
        <w:tabs>
          <w:tab w:val="left" w:pos="567"/>
          <w:tab w:val="left" w:leader="dot" w:pos="9072"/>
        </w:tabs>
        <w:spacing w:line="240" w:lineRule="atLeast"/>
        <w:ind w:left="567"/>
        <w:rPr>
          <w:rFonts w:ascii="Times New Roman" w:hAnsi="Times New Roman" w:cs="Times New Roman"/>
          <w:szCs w:val="20"/>
          <w:lang w:val="ru-RU"/>
        </w:rPr>
      </w:pPr>
      <w:r w:rsidRPr="004224F6">
        <w:rPr>
          <w:rFonts w:ascii="Times New Roman" w:hAnsi="Times New Roman" w:cs="Times New Roman"/>
          <w:lang w:val="ru-RU"/>
        </w:rPr>
        <w:tab/>
      </w:r>
    </w:p>
    <w:p w14:paraId="016BD6AD" w14:textId="77777777" w:rsidR="00271FA2" w:rsidRPr="004224F6" w:rsidRDefault="00D35E51">
      <w:pPr>
        <w:tabs>
          <w:tab w:val="left" w:pos="567"/>
          <w:tab w:val="left" w:leader="dot" w:pos="9072"/>
        </w:tabs>
        <w:spacing w:line="240" w:lineRule="atLeast"/>
        <w:ind w:left="567"/>
        <w:rPr>
          <w:rFonts w:ascii="Times New Roman" w:hAnsi="Times New Roman" w:cs="Times New Roman"/>
          <w:szCs w:val="20"/>
          <w:lang w:val="ru-RU"/>
        </w:rPr>
      </w:pPr>
      <w:r w:rsidRPr="004224F6">
        <w:rPr>
          <w:rFonts w:ascii="Times New Roman" w:hAnsi="Times New Roman" w:cs="Times New Roman"/>
          <w:lang w:val="ru-RU"/>
        </w:rPr>
        <w:tab/>
      </w:r>
    </w:p>
    <w:p w14:paraId="21175795" w14:textId="77777777" w:rsidR="00271FA2" w:rsidRPr="004224F6" w:rsidRDefault="00D35E51">
      <w:pPr>
        <w:tabs>
          <w:tab w:val="left" w:pos="567"/>
          <w:tab w:val="left" w:pos="709"/>
          <w:tab w:val="left" w:pos="1418"/>
          <w:tab w:val="left" w:leader="dot" w:pos="4111"/>
        </w:tabs>
        <w:overflowPunct w:val="0"/>
        <w:adjustRightInd w:val="0"/>
        <w:spacing w:line="240" w:lineRule="atLeast"/>
        <w:ind w:left="567" w:hanging="567"/>
        <w:textAlignment w:val="baseline"/>
        <w:rPr>
          <w:rFonts w:ascii="Times New Roman" w:hAnsi="Times New Roman" w:cs="Times New Roman"/>
          <w:snapToGrid w:val="0"/>
          <w:szCs w:val="20"/>
          <w:lang w:val="ru-RU"/>
        </w:rPr>
      </w:pPr>
      <w:r w:rsidRPr="004224F6">
        <w:rPr>
          <w:rFonts w:ascii="Times New Roman" w:hAnsi="Times New Roman" w:cs="Times New Roman"/>
          <w:lang w:val="ru-RU"/>
        </w:rPr>
        <w:t>4.</w:t>
      </w:r>
      <w:r w:rsidRPr="004224F6">
        <w:rPr>
          <w:rFonts w:ascii="Times New Roman" w:hAnsi="Times New Roman" w:cs="Times New Roman"/>
          <w:lang w:val="ru-RU"/>
        </w:rPr>
        <w:tab/>
        <w:t xml:space="preserve">Подпис: </w:t>
      </w:r>
      <w:r w:rsidRPr="004224F6">
        <w:rPr>
          <w:rFonts w:ascii="Times New Roman" w:hAnsi="Times New Roman" w:cs="Times New Roman"/>
          <w:lang w:val="ru-RU"/>
        </w:rPr>
        <w:tab/>
      </w:r>
    </w:p>
    <w:p w14:paraId="1787B378" w14:textId="77777777" w:rsidR="00271FA2" w:rsidRPr="004224F6" w:rsidRDefault="00D35E51">
      <w:pPr>
        <w:tabs>
          <w:tab w:val="left" w:pos="567"/>
        </w:tabs>
        <w:spacing w:line="240" w:lineRule="atLeast"/>
        <w:ind w:left="567" w:hanging="567"/>
        <w:rPr>
          <w:rFonts w:ascii="Times New Roman" w:hAnsi="Times New Roman" w:cs="Times New Roman"/>
          <w:szCs w:val="20"/>
          <w:lang w:val="ru-RU"/>
        </w:rPr>
      </w:pPr>
      <w:r w:rsidRPr="004224F6">
        <w:rPr>
          <w:rFonts w:ascii="Times New Roman" w:hAnsi="Times New Roman" w:cs="Times New Roman"/>
          <w:lang w:val="ru-RU"/>
        </w:rPr>
        <w:br w:type="page"/>
      </w:r>
      <w:r w:rsidRPr="004224F6">
        <w:rPr>
          <w:rFonts w:ascii="Times New Roman" w:hAnsi="Times New Roman" w:cs="Times New Roman"/>
          <w:b/>
        </w:rPr>
        <w:lastRenderedPageBreak/>
        <w:t>E</w:t>
      </w:r>
      <w:r w:rsidRPr="004224F6">
        <w:rPr>
          <w:rFonts w:ascii="Times New Roman" w:hAnsi="Times New Roman" w:cs="Times New Roman"/>
          <w:b/>
          <w:lang w:val="ru-RU"/>
        </w:rPr>
        <w:t>.1</w:t>
      </w:r>
      <w:r w:rsidRPr="004224F6">
        <w:rPr>
          <w:rFonts w:ascii="Times New Roman" w:hAnsi="Times New Roman" w:cs="Times New Roman"/>
          <w:lang w:val="ru-RU"/>
        </w:rPr>
        <w:tab/>
      </w:r>
      <w:r w:rsidRPr="004224F6">
        <w:rPr>
          <w:rFonts w:ascii="Times New Roman" w:hAnsi="Times New Roman" w:cs="Times New Roman"/>
          <w:b/>
          <w:lang w:val="ru-RU"/>
        </w:rPr>
        <w:t>Резултати от измерването</w:t>
      </w:r>
    </w:p>
    <w:p w14:paraId="4BFCB462" w14:textId="77777777" w:rsidR="00271FA2" w:rsidRPr="004224F6" w:rsidRDefault="00D35E51">
      <w:pPr>
        <w:tabs>
          <w:tab w:val="left" w:pos="567"/>
          <w:tab w:val="left" w:pos="1418"/>
        </w:tabs>
        <w:spacing w:line="240" w:lineRule="atLeast"/>
        <w:ind w:left="567"/>
        <w:rPr>
          <w:rFonts w:ascii="Times New Roman" w:hAnsi="Times New Roman" w:cs="Times New Roman"/>
          <w:b/>
          <w:bCs/>
          <w:szCs w:val="20"/>
          <w:lang w:val="ru-RU"/>
        </w:rPr>
      </w:pPr>
      <w:r w:rsidRPr="004224F6">
        <w:rPr>
          <w:rFonts w:ascii="Times New Roman" w:hAnsi="Times New Roman" w:cs="Times New Roman"/>
          <w:b/>
          <w:lang w:val="ru-RU"/>
        </w:rPr>
        <w:t>Измерване на нивото на шума на борда на плавателното средство</w:t>
      </w:r>
    </w:p>
    <w:tbl>
      <w:tblPr>
        <w:tblW w:w="876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5"/>
        <w:gridCol w:w="1724"/>
        <w:gridCol w:w="993"/>
        <w:gridCol w:w="850"/>
        <w:gridCol w:w="915"/>
        <w:gridCol w:w="928"/>
        <w:gridCol w:w="992"/>
        <w:gridCol w:w="1680"/>
      </w:tblGrid>
      <w:tr w:rsidR="00271FA2" w:rsidRPr="004224F6" w14:paraId="7FC6D6CE" w14:textId="77777777" w:rsidTr="00783239">
        <w:tc>
          <w:tcPr>
            <w:tcW w:w="685" w:type="dxa"/>
            <w:vMerge w:val="restart"/>
            <w:tcBorders>
              <w:top w:val="single" w:sz="4" w:space="0" w:color="auto"/>
              <w:left w:val="single" w:sz="4" w:space="0" w:color="auto"/>
              <w:bottom w:val="single" w:sz="4" w:space="0" w:color="auto"/>
              <w:right w:val="single" w:sz="4" w:space="0" w:color="auto"/>
            </w:tcBorders>
          </w:tcPr>
          <w:p w14:paraId="38A0F51F"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szCs w:val="16"/>
              </w:rPr>
              <w:t>Номер</w:t>
            </w:r>
          </w:p>
        </w:tc>
        <w:tc>
          <w:tcPr>
            <w:tcW w:w="1724" w:type="dxa"/>
            <w:vMerge w:val="restart"/>
            <w:tcBorders>
              <w:top w:val="single" w:sz="4" w:space="0" w:color="auto"/>
              <w:left w:val="single" w:sz="4" w:space="0" w:color="auto"/>
              <w:bottom w:val="single" w:sz="4" w:space="0" w:color="auto"/>
              <w:right w:val="single" w:sz="4" w:space="0" w:color="auto"/>
            </w:tcBorders>
          </w:tcPr>
          <w:p w14:paraId="11E87C6F"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Точка на измерване</w:t>
            </w:r>
          </w:p>
        </w:tc>
        <w:tc>
          <w:tcPr>
            <w:tcW w:w="1843" w:type="dxa"/>
            <w:gridSpan w:val="2"/>
            <w:tcBorders>
              <w:top w:val="single" w:sz="4" w:space="0" w:color="auto"/>
              <w:left w:val="single" w:sz="4" w:space="0" w:color="auto"/>
              <w:bottom w:val="single" w:sz="4" w:space="0" w:color="auto"/>
              <w:right w:val="single" w:sz="4" w:space="0" w:color="auto"/>
            </w:tcBorders>
          </w:tcPr>
          <w:p w14:paraId="1EFA5D75"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Врати</w:t>
            </w:r>
          </w:p>
        </w:tc>
        <w:tc>
          <w:tcPr>
            <w:tcW w:w="1843" w:type="dxa"/>
            <w:gridSpan w:val="2"/>
            <w:tcBorders>
              <w:top w:val="single" w:sz="4" w:space="0" w:color="auto"/>
              <w:left w:val="single" w:sz="4" w:space="0" w:color="auto"/>
              <w:bottom w:val="single" w:sz="4" w:space="0" w:color="auto"/>
              <w:right w:val="single" w:sz="4" w:space="0" w:color="auto"/>
            </w:tcBorders>
          </w:tcPr>
          <w:p w14:paraId="05E00EA6"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Прозорци</w:t>
            </w:r>
          </w:p>
        </w:tc>
        <w:tc>
          <w:tcPr>
            <w:tcW w:w="992" w:type="dxa"/>
            <w:vMerge w:val="restart"/>
            <w:tcBorders>
              <w:top w:val="single" w:sz="4" w:space="0" w:color="auto"/>
              <w:left w:val="single" w:sz="4" w:space="0" w:color="auto"/>
              <w:bottom w:val="single" w:sz="4" w:space="0" w:color="auto"/>
              <w:right w:val="single" w:sz="4" w:space="0" w:color="auto"/>
            </w:tcBorders>
          </w:tcPr>
          <w:p w14:paraId="7F9EB22B" w14:textId="77777777" w:rsidR="00271FA2" w:rsidRPr="004224F6" w:rsidRDefault="00D35E51">
            <w:pPr>
              <w:spacing w:line="240" w:lineRule="atLeast"/>
              <w:jc w:val="center"/>
              <w:rPr>
                <w:rFonts w:ascii="Times New Roman" w:hAnsi="Times New Roman" w:cs="Times New Roman"/>
                <w:sz w:val="16"/>
                <w:szCs w:val="16"/>
                <w:lang w:val="ru-RU"/>
              </w:rPr>
            </w:pPr>
            <w:r w:rsidRPr="004224F6">
              <w:rPr>
                <w:rFonts w:ascii="Times New Roman" w:hAnsi="Times New Roman" w:cs="Times New Roman"/>
                <w:sz w:val="16"/>
                <w:lang w:val="ru-RU"/>
              </w:rPr>
              <w:t xml:space="preserve">Измерена стойност в </w:t>
            </w:r>
            <w:r w:rsidRPr="004224F6">
              <w:rPr>
                <w:rFonts w:ascii="Times New Roman" w:hAnsi="Times New Roman" w:cs="Times New Roman"/>
                <w:sz w:val="16"/>
              </w:rPr>
              <w:t>dB</w:t>
            </w:r>
            <w:r w:rsidRPr="004224F6">
              <w:rPr>
                <w:rFonts w:ascii="Times New Roman" w:hAnsi="Times New Roman" w:cs="Times New Roman"/>
                <w:sz w:val="16"/>
                <w:lang w:val="ru-RU"/>
              </w:rPr>
              <w:t>(</w:t>
            </w:r>
            <w:r w:rsidRPr="004224F6">
              <w:rPr>
                <w:rFonts w:ascii="Times New Roman" w:hAnsi="Times New Roman" w:cs="Times New Roman"/>
                <w:sz w:val="16"/>
              </w:rPr>
              <w:t>A</w:t>
            </w:r>
            <w:r w:rsidRPr="004224F6">
              <w:rPr>
                <w:rFonts w:ascii="Times New Roman" w:hAnsi="Times New Roman" w:cs="Times New Roman"/>
                <w:sz w:val="16"/>
                <w:lang w:val="ru-RU"/>
              </w:rPr>
              <w:t>)</w:t>
            </w:r>
          </w:p>
        </w:tc>
        <w:tc>
          <w:tcPr>
            <w:tcW w:w="1680" w:type="dxa"/>
            <w:vMerge w:val="restart"/>
            <w:tcBorders>
              <w:top w:val="single" w:sz="4" w:space="0" w:color="auto"/>
              <w:left w:val="single" w:sz="4" w:space="0" w:color="auto"/>
              <w:bottom w:val="single" w:sz="4" w:space="0" w:color="auto"/>
              <w:right w:val="single" w:sz="4" w:space="0" w:color="auto"/>
            </w:tcBorders>
          </w:tcPr>
          <w:p w14:paraId="062620D9"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Забележки</w:t>
            </w:r>
          </w:p>
        </w:tc>
      </w:tr>
      <w:tr w:rsidR="00271FA2" w:rsidRPr="004224F6" w14:paraId="0942FB55" w14:textId="77777777" w:rsidTr="00783239">
        <w:trPr>
          <w:trHeight w:val="573"/>
        </w:trPr>
        <w:tc>
          <w:tcPr>
            <w:tcW w:w="685" w:type="dxa"/>
            <w:vMerge/>
            <w:tcBorders>
              <w:top w:val="single" w:sz="4" w:space="0" w:color="auto"/>
              <w:left w:val="single" w:sz="4" w:space="0" w:color="auto"/>
              <w:bottom w:val="single" w:sz="4" w:space="0" w:color="auto"/>
              <w:right w:val="single" w:sz="4" w:space="0" w:color="auto"/>
            </w:tcBorders>
          </w:tcPr>
          <w:p w14:paraId="0A2BA2F6" w14:textId="77777777" w:rsidR="00271FA2" w:rsidRPr="004224F6" w:rsidRDefault="00271FA2">
            <w:pPr>
              <w:spacing w:line="240" w:lineRule="atLeast"/>
              <w:rPr>
                <w:rFonts w:ascii="Times New Roman" w:hAnsi="Times New Roman" w:cs="Times New Roman"/>
                <w:sz w:val="16"/>
                <w:szCs w:val="16"/>
              </w:rPr>
            </w:pPr>
          </w:p>
        </w:tc>
        <w:tc>
          <w:tcPr>
            <w:tcW w:w="1724" w:type="dxa"/>
            <w:vMerge/>
            <w:tcBorders>
              <w:top w:val="single" w:sz="4" w:space="0" w:color="auto"/>
              <w:left w:val="single" w:sz="4" w:space="0" w:color="auto"/>
              <w:bottom w:val="single" w:sz="4" w:space="0" w:color="auto"/>
              <w:right w:val="single" w:sz="4" w:space="0" w:color="auto"/>
            </w:tcBorders>
          </w:tcPr>
          <w:p w14:paraId="4717703D" w14:textId="77777777" w:rsidR="00271FA2" w:rsidRPr="004224F6" w:rsidRDefault="00271FA2">
            <w:pPr>
              <w:spacing w:line="240" w:lineRule="atLeast"/>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14:paraId="6939A8D4"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отворени</w:t>
            </w:r>
          </w:p>
        </w:tc>
        <w:tc>
          <w:tcPr>
            <w:tcW w:w="850" w:type="dxa"/>
            <w:tcBorders>
              <w:top w:val="single" w:sz="4" w:space="0" w:color="auto"/>
              <w:left w:val="single" w:sz="4" w:space="0" w:color="auto"/>
              <w:bottom w:val="single" w:sz="4" w:space="0" w:color="auto"/>
              <w:right w:val="single" w:sz="4" w:space="0" w:color="auto"/>
            </w:tcBorders>
          </w:tcPr>
          <w:p w14:paraId="640EB098"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затворени</w:t>
            </w:r>
          </w:p>
        </w:tc>
        <w:tc>
          <w:tcPr>
            <w:tcW w:w="915" w:type="dxa"/>
            <w:tcBorders>
              <w:top w:val="single" w:sz="4" w:space="0" w:color="auto"/>
              <w:left w:val="single" w:sz="4" w:space="0" w:color="auto"/>
              <w:bottom w:val="single" w:sz="4" w:space="0" w:color="auto"/>
              <w:right w:val="single" w:sz="4" w:space="0" w:color="auto"/>
            </w:tcBorders>
          </w:tcPr>
          <w:p w14:paraId="2299A06C"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отворени</w:t>
            </w:r>
          </w:p>
        </w:tc>
        <w:tc>
          <w:tcPr>
            <w:tcW w:w="928" w:type="dxa"/>
            <w:tcBorders>
              <w:top w:val="single" w:sz="4" w:space="0" w:color="auto"/>
              <w:left w:val="single" w:sz="4" w:space="0" w:color="auto"/>
              <w:bottom w:val="single" w:sz="4" w:space="0" w:color="auto"/>
              <w:right w:val="single" w:sz="4" w:space="0" w:color="auto"/>
            </w:tcBorders>
          </w:tcPr>
          <w:p w14:paraId="7AAC039B"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затворени</w:t>
            </w:r>
          </w:p>
        </w:tc>
        <w:tc>
          <w:tcPr>
            <w:tcW w:w="992" w:type="dxa"/>
            <w:vMerge/>
            <w:tcBorders>
              <w:top w:val="single" w:sz="4" w:space="0" w:color="auto"/>
              <w:left w:val="single" w:sz="4" w:space="0" w:color="auto"/>
              <w:bottom w:val="single" w:sz="4" w:space="0" w:color="auto"/>
              <w:right w:val="single" w:sz="4" w:space="0" w:color="auto"/>
            </w:tcBorders>
          </w:tcPr>
          <w:p w14:paraId="3413503D" w14:textId="77777777" w:rsidR="00271FA2" w:rsidRPr="004224F6" w:rsidRDefault="00271FA2">
            <w:pPr>
              <w:spacing w:line="240" w:lineRule="atLeast"/>
              <w:rPr>
                <w:rFonts w:ascii="Times New Roman" w:hAnsi="Times New Roman" w:cs="Times New Roman"/>
                <w:sz w:val="16"/>
                <w:szCs w:val="16"/>
              </w:rPr>
            </w:pPr>
          </w:p>
        </w:tc>
        <w:tc>
          <w:tcPr>
            <w:tcW w:w="1680" w:type="dxa"/>
            <w:vMerge/>
            <w:tcBorders>
              <w:top w:val="single" w:sz="4" w:space="0" w:color="auto"/>
              <w:left w:val="single" w:sz="4" w:space="0" w:color="auto"/>
              <w:bottom w:val="single" w:sz="4" w:space="0" w:color="auto"/>
              <w:right w:val="single" w:sz="4" w:space="0" w:color="auto"/>
            </w:tcBorders>
          </w:tcPr>
          <w:p w14:paraId="63FA029C" w14:textId="77777777" w:rsidR="00271FA2" w:rsidRPr="004224F6" w:rsidRDefault="00271FA2">
            <w:pPr>
              <w:spacing w:line="240" w:lineRule="atLeast"/>
              <w:rPr>
                <w:rFonts w:ascii="Times New Roman" w:hAnsi="Times New Roman" w:cs="Times New Roman"/>
                <w:sz w:val="16"/>
                <w:szCs w:val="16"/>
              </w:rPr>
            </w:pPr>
          </w:p>
        </w:tc>
      </w:tr>
      <w:tr w:rsidR="00271FA2" w:rsidRPr="004224F6" w14:paraId="43002FE7" w14:textId="77777777" w:rsidTr="00783239">
        <w:trPr>
          <w:trHeight w:val="397"/>
        </w:trPr>
        <w:tc>
          <w:tcPr>
            <w:tcW w:w="685" w:type="dxa"/>
            <w:tcBorders>
              <w:top w:val="single" w:sz="4" w:space="0" w:color="auto"/>
              <w:left w:val="single" w:sz="4" w:space="0" w:color="auto"/>
              <w:bottom w:val="single" w:sz="4" w:space="0" w:color="auto"/>
              <w:right w:val="single" w:sz="4" w:space="0" w:color="auto"/>
            </w:tcBorders>
          </w:tcPr>
          <w:p w14:paraId="69B0AB7E" w14:textId="77777777" w:rsidR="00271FA2" w:rsidRPr="004224F6" w:rsidRDefault="00271FA2">
            <w:pPr>
              <w:spacing w:line="240" w:lineRule="atLeast"/>
              <w:rPr>
                <w:rFonts w:ascii="Times New Roman" w:hAnsi="Times New Roman" w:cs="Times New Roman"/>
                <w:sz w:val="16"/>
                <w:szCs w:val="16"/>
              </w:rPr>
            </w:pPr>
          </w:p>
        </w:tc>
        <w:tc>
          <w:tcPr>
            <w:tcW w:w="1724" w:type="dxa"/>
            <w:tcBorders>
              <w:top w:val="single" w:sz="4" w:space="0" w:color="auto"/>
              <w:left w:val="single" w:sz="4" w:space="0" w:color="auto"/>
              <w:bottom w:val="single" w:sz="4" w:space="0" w:color="auto"/>
              <w:right w:val="single" w:sz="4" w:space="0" w:color="auto"/>
            </w:tcBorders>
          </w:tcPr>
          <w:p w14:paraId="39AFE2C8" w14:textId="77777777" w:rsidR="00271FA2" w:rsidRPr="004224F6" w:rsidRDefault="00271FA2">
            <w:pPr>
              <w:spacing w:line="240" w:lineRule="atLeast"/>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14:paraId="2B9BDC9D" w14:textId="77777777" w:rsidR="00271FA2" w:rsidRPr="004224F6" w:rsidRDefault="00271FA2">
            <w:pPr>
              <w:spacing w:line="240" w:lineRule="atLeast"/>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156B313B" w14:textId="77777777" w:rsidR="00271FA2" w:rsidRPr="004224F6" w:rsidRDefault="00271FA2">
            <w:pPr>
              <w:spacing w:line="240" w:lineRule="atLeast"/>
              <w:rPr>
                <w:rFonts w:ascii="Times New Roman" w:hAnsi="Times New Roman" w:cs="Times New Roman"/>
                <w:sz w:val="16"/>
                <w:szCs w:val="16"/>
              </w:rPr>
            </w:pPr>
          </w:p>
        </w:tc>
        <w:tc>
          <w:tcPr>
            <w:tcW w:w="915" w:type="dxa"/>
            <w:tcBorders>
              <w:top w:val="single" w:sz="4" w:space="0" w:color="auto"/>
              <w:left w:val="single" w:sz="4" w:space="0" w:color="auto"/>
              <w:bottom w:val="single" w:sz="4" w:space="0" w:color="auto"/>
              <w:right w:val="single" w:sz="4" w:space="0" w:color="auto"/>
            </w:tcBorders>
          </w:tcPr>
          <w:p w14:paraId="4C4C4EC5" w14:textId="77777777" w:rsidR="00271FA2" w:rsidRPr="004224F6" w:rsidRDefault="00271FA2">
            <w:pPr>
              <w:spacing w:line="240" w:lineRule="atLeast"/>
              <w:rPr>
                <w:rFonts w:ascii="Times New Roman" w:hAnsi="Times New Roman" w:cs="Times New Roman"/>
                <w:sz w:val="16"/>
                <w:szCs w:val="16"/>
              </w:rPr>
            </w:pPr>
          </w:p>
        </w:tc>
        <w:tc>
          <w:tcPr>
            <w:tcW w:w="928" w:type="dxa"/>
            <w:tcBorders>
              <w:top w:val="single" w:sz="4" w:space="0" w:color="auto"/>
              <w:left w:val="single" w:sz="4" w:space="0" w:color="auto"/>
              <w:bottom w:val="single" w:sz="4" w:space="0" w:color="auto"/>
              <w:right w:val="single" w:sz="4" w:space="0" w:color="auto"/>
            </w:tcBorders>
          </w:tcPr>
          <w:p w14:paraId="2676A719" w14:textId="77777777" w:rsidR="00271FA2" w:rsidRPr="004224F6" w:rsidRDefault="00271FA2">
            <w:pPr>
              <w:spacing w:line="240" w:lineRule="atLeast"/>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30F52128" w14:textId="77777777" w:rsidR="00271FA2" w:rsidRPr="004224F6" w:rsidRDefault="00271FA2">
            <w:pPr>
              <w:spacing w:line="240" w:lineRule="atLeast"/>
              <w:rPr>
                <w:rFonts w:ascii="Times New Roman" w:hAnsi="Times New Roman" w:cs="Times New Roman"/>
                <w:sz w:val="16"/>
                <w:szCs w:val="16"/>
              </w:rPr>
            </w:pPr>
          </w:p>
        </w:tc>
        <w:tc>
          <w:tcPr>
            <w:tcW w:w="1680" w:type="dxa"/>
            <w:tcBorders>
              <w:top w:val="single" w:sz="4" w:space="0" w:color="auto"/>
              <w:left w:val="single" w:sz="4" w:space="0" w:color="auto"/>
              <w:bottom w:val="single" w:sz="4" w:space="0" w:color="auto"/>
              <w:right w:val="single" w:sz="4" w:space="0" w:color="auto"/>
            </w:tcBorders>
          </w:tcPr>
          <w:p w14:paraId="4705C26A" w14:textId="77777777" w:rsidR="00271FA2" w:rsidRPr="004224F6" w:rsidRDefault="00271FA2">
            <w:pPr>
              <w:spacing w:line="240" w:lineRule="atLeast"/>
              <w:rPr>
                <w:rFonts w:ascii="Times New Roman" w:hAnsi="Times New Roman" w:cs="Times New Roman"/>
                <w:sz w:val="16"/>
                <w:szCs w:val="16"/>
              </w:rPr>
            </w:pPr>
          </w:p>
        </w:tc>
      </w:tr>
      <w:tr w:rsidR="00271FA2" w:rsidRPr="004224F6" w14:paraId="619B159A" w14:textId="77777777" w:rsidTr="00783239">
        <w:trPr>
          <w:trHeight w:val="397"/>
        </w:trPr>
        <w:tc>
          <w:tcPr>
            <w:tcW w:w="685" w:type="dxa"/>
            <w:tcBorders>
              <w:top w:val="single" w:sz="4" w:space="0" w:color="auto"/>
              <w:left w:val="single" w:sz="4" w:space="0" w:color="auto"/>
              <w:bottom w:val="single" w:sz="4" w:space="0" w:color="auto"/>
              <w:right w:val="single" w:sz="4" w:space="0" w:color="auto"/>
            </w:tcBorders>
          </w:tcPr>
          <w:p w14:paraId="793A911F" w14:textId="77777777" w:rsidR="00271FA2" w:rsidRPr="004224F6" w:rsidRDefault="00271FA2">
            <w:pPr>
              <w:spacing w:line="240" w:lineRule="atLeast"/>
              <w:rPr>
                <w:rFonts w:ascii="Times New Roman" w:hAnsi="Times New Roman" w:cs="Times New Roman"/>
                <w:sz w:val="16"/>
                <w:szCs w:val="16"/>
              </w:rPr>
            </w:pPr>
          </w:p>
        </w:tc>
        <w:tc>
          <w:tcPr>
            <w:tcW w:w="1724" w:type="dxa"/>
            <w:tcBorders>
              <w:top w:val="single" w:sz="4" w:space="0" w:color="auto"/>
              <w:left w:val="single" w:sz="4" w:space="0" w:color="auto"/>
              <w:bottom w:val="single" w:sz="4" w:space="0" w:color="auto"/>
              <w:right w:val="single" w:sz="4" w:space="0" w:color="auto"/>
            </w:tcBorders>
          </w:tcPr>
          <w:p w14:paraId="56DE5B28" w14:textId="77777777" w:rsidR="00271FA2" w:rsidRPr="004224F6" w:rsidRDefault="00271FA2">
            <w:pPr>
              <w:spacing w:line="240" w:lineRule="atLeast"/>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14:paraId="2B5BE1FA" w14:textId="77777777" w:rsidR="00271FA2" w:rsidRPr="004224F6" w:rsidRDefault="00271FA2">
            <w:pPr>
              <w:spacing w:line="240" w:lineRule="atLeast"/>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EF9027E" w14:textId="77777777" w:rsidR="00271FA2" w:rsidRPr="004224F6" w:rsidRDefault="00271FA2">
            <w:pPr>
              <w:spacing w:line="240" w:lineRule="atLeast"/>
              <w:rPr>
                <w:rFonts w:ascii="Times New Roman" w:hAnsi="Times New Roman" w:cs="Times New Roman"/>
                <w:sz w:val="16"/>
                <w:szCs w:val="16"/>
              </w:rPr>
            </w:pPr>
          </w:p>
        </w:tc>
        <w:tc>
          <w:tcPr>
            <w:tcW w:w="915" w:type="dxa"/>
            <w:tcBorders>
              <w:top w:val="single" w:sz="4" w:space="0" w:color="auto"/>
              <w:left w:val="single" w:sz="4" w:space="0" w:color="auto"/>
              <w:bottom w:val="single" w:sz="4" w:space="0" w:color="auto"/>
              <w:right w:val="single" w:sz="4" w:space="0" w:color="auto"/>
            </w:tcBorders>
          </w:tcPr>
          <w:p w14:paraId="31E19156" w14:textId="77777777" w:rsidR="00271FA2" w:rsidRPr="004224F6" w:rsidRDefault="00271FA2">
            <w:pPr>
              <w:spacing w:line="240" w:lineRule="atLeast"/>
              <w:rPr>
                <w:rFonts w:ascii="Times New Roman" w:hAnsi="Times New Roman" w:cs="Times New Roman"/>
                <w:sz w:val="16"/>
                <w:szCs w:val="16"/>
              </w:rPr>
            </w:pPr>
          </w:p>
        </w:tc>
        <w:tc>
          <w:tcPr>
            <w:tcW w:w="928" w:type="dxa"/>
            <w:tcBorders>
              <w:top w:val="single" w:sz="4" w:space="0" w:color="auto"/>
              <w:left w:val="single" w:sz="4" w:space="0" w:color="auto"/>
              <w:bottom w:val="single" w:sz="4" w:space="0" w:color="auto"/>
              <w:right w:val="single" w:sz="4" w:space="0" w:color="auto"/>
            </w:tcBorders>
          </w:tcPr>
          <w:p w14:paraId="359169EF" w14:textId="77777777" w:rsidR="00271FA2" w:rsidRPr="004224F6" w:rsidRDefault="00271FA2">
            <w:pPr>
              <w:spacing w:line="240" w:lineRule="atLeast"/>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2699B990" w14:textId="77777777" w:rsidR="00271FA2" w:rsidRPr="004224F6" w:rsidRDefault="00271FA2">
            <w:pPr>
              <w:spacing w:line="240" w:lineRule="atLeast"/>
              <w:rPr>
                <w:rFonts w:ascii="Times New Roman" w:hAnsi="Times New Roman" w:cs="Times New Roman"/>
                <w:sz w:val="16"/>
                <w:szCs w:val="16"/>
              </w:rPr>
            </w:pPr>
          </w:p>
        </w:tc>
        <w:tc>
          <w:tcPr>
            <w:tcW w:w="1680" w:type="dxa"/>
            <w:tcBorders>
              <w:top w:val="single" w:sz="4" w:space="0" w:color="auto"/>
              <w:left w:val="single" w:sz="4" w:space="0" w:color="auto"/>
              <w:bottom w:val="single" w:sz="4" w:space="0" w:color="auto"/>
              <w:right w:val="single" w:sz="4" w:space="0" w:color="auto"/>
            </w:tcBorders>
          </w:tcPr>
          <w:p w14:paraId="72708494" w14:textId="77777777" w:rsidR="00271FA2" w:rsidRPr="004224F6" w:rsidRDefault="00271FA2">
            <w:pPr>
              <w:spacing w:line="240" w:lineRule="atLeast"/>
              <w:rPr>
                <w:rFonts w:ascii="Times New Roman" w:hAnsi="Times New Roman" w:cs="Times New Roman"/>
                <w:sz w:val="16"/>
                <w:szCs w:val="16"/>
              </w:rPr>
            </w:pPr>
          </w:p>
        </w:tc>
      </w:tr>
      <w:tr w:rsidR="00271FA2" w:rsidRPr="004224F6" w14:paraId="320C7C20" w14:textId="77777777" w:rsidTr="00783239">
        <w:trPr>
          <w:trHeight w:val="397"/>
        </w:trPr>
        <w:tc>
          <w:tcPr>
            <w:tcW w:w="685" w:type="dxa"/>
            <w:tcBorders>
              <w:top w:val="single" w:sz="4" w:space="0" w:color="auto"/>
              <w:left w:val="single" w:sz="4" w:space="0" w:color="auto"/>
              <w:bottom w:val="single" w:sz="4" w:space="0" w:color="auto"/>
              <w:right w:val="single" w:sz="4" w:space="0" w:color="auto"/>
            </w:tcBorders>
          </w:tcPr>
          <w:p w14:paraId="1598AE42" w14:textId="77777777" w:rsidR="00271FA2" w:rsidRPr="004224F6" w:rsidRDefault="00271FA2">
            <w:pPr>
              <w:spacing w:line="240" w:lineRule="atLeast"/>
              <w:rPr>
                <w:rFonts w:ascii="Times New Roman" w:hAnsi="Times New Roman" w:cs="Times New Roman"/>
                <w:sz w:val="16"/>
                <w:szCs w:val="16"/>
              </w:rPr>
            </w:pPr>
          </w:p>
        </w:tc>
        <w:tc>
          <w:tcPr>
            <w:tcW w:w="1724" w:type="dxa"/>
            <w:tcBorders>
              <w:top w:val="single" w:sz="4" w:space="0" w:color="auto"/>
              <w:left w:val="single" w:sz="4" w:space="0" w:color="auto"/>
              <w:bottom w:val="single" w:sz="4" w:space="0" w:color="auto"/>
              <w:right w:val="single" w:sz="4" w:space="0" w:color="auto"/>
            </w:tcBorders>
          </w:tcPr>
          <w:p w14:paraId="1D61D060" w14:textId="77777777" w:rsidR="00271FA2" w:rsidRPr="004224F6" w:rsidRDefault="00271FA2">
            <w:pPr>
              <w:spacing w:line="240" w:lineRule="atLeast"/>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14:paraId="4C83C7C5" w14:textId="77777777" w:rsidR="00271FA2" w:rsidRPr="004224F6" w:rsidRDefault="00271FA2">
            <w:pPr>
              <w:spacing w:line="240" w:lineRule="atLeast"/>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693A2AF" w14:textId="77777777" w:rsidR="00271FA2" w:rsidRPr="004224F6" w:rsidRDefault="00271FA2">
            <w:pPr>
              <w:spacing w:line="240" w:lineRule="atLeast"/>
              <w:rPr>
                <w:rFonts w:ascii="Times New Roman" w:hAnsi="Times New Roman" w:cs="Times New Roman"/>
                <w:sz w:val="16"/>
                <w:szCs w:val="16"/>
              </w:rPr>
            </w:pPr>
          </w:p>
        </w:tc>
        <w:tc>
          <w:tcPr>
            <w:tcW w:w="915" w:type="dxa"/>
            <w:tcBorders>
              <w:top w:val="single" w:sz="4" w:space="0" w:color="auto"/>
              <w:left w:val="single" w:sz="4" w:space="0" w:color="auto"/>
              <w:bottom w:val="single" w:sz="4" w:space="0" w:color="auto"/>
              <w:right w:val="single" w:sz="4" w:space="0" w:color="auto"/>
            </w:tcBorders>
          </w:tcPr>
          <w:p w14:paraId="18D516C7" w14:textId="77777777" w:rsidR="00271FA2" w:rsidRPr="004224F6" w:rsidRDefault="00271FA2">
            <w:pPr>
              <w:spacing w:line="240" w:lineRule="atLeast"/>
              <w:rPr>
                <w:rFonts w:ascii="Times New Roman" w:hAnsi="Times New Roman" w:cs="Times New Roman"/>
                <w:sz w:val="16"/>
                <w:szCs w:val="16"/>
              </w:rPr>
            </w:pPr>
          </w:p>
        </w:tc>
        <w:tc>
          <w:tcPr>
            <w:tcW w:w="928" w:type="dxa"/>
            <w:tcBorders>
              <w:top w:val="single" w:sz="4" w:space="0" w:color="auto"/>
              <w:left w:val="single" w:sz="4" w:space="0" w:color="auto"/>
              <w:bottom w:val="single" w:sz="4" w:space="0" w:color="auto"/>
              <w:right w:val="single" w:sz="4" w:space="0" w:color="auto"/>
            </w:tcBorders>
          </w:tcPr>
          <w:p w14:paraId="41D785DE" w14:textId="77777777" w:rsidR="00271FA2" w:rsidRPr="004224F6" w:rsidRDefault="00271FA2">
            <w:pPr>
              <w:spacing w:line="240" w:lineRule="atLeast"/>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04376A9F" w14:textId="77777777" w:rsidR="00271FA2" w:rsidRPr="004224F6" w:rsidRDefault="00271FA2">
            <w:pPr>
              <w:spacing w:line="240" w:lineRule="atLeast"/>
              <w:rPr>
                <w:rFonts w:ascii="Times New Roman" w:hAnsi="Times New Roman" w:cs="Times New Roman"/>
                <w:sz w:val="16"/>
                <w:szCs w:val="16"/>
              </w:rPr>
            </w:pPr>
          </w:p>
        </w:tc>
        <w:tc>
          <w:tcPr>
            <w:tcW w:w="1680" w:type="dxa"/>
            <w:tcBorders>
              <w:top w:val="single" w:sz="4" w:space="0" w:color="auto"/>
              <w:left w:val="single" w:sz="4" w:space="0" w:color="auto"/>
              <w:bottom w:val="single" w:sz="4" w:space="0" w:color="auto"/>
              <w:right w:val="single" w:sz="4" w:space="0" w:color="auto"/>
            </w:tcBorders>
          </w:tcPr>
          <w:p w14:paraId="5D02087D" w14:textId="77777777" w:rsidR="00271FA2" w:rsidRPr="004224F6" w:rsidRDefault="00271FA2">
            <w:pPr>
              <w:spacing w:line="240" w:lineRule="atLeast"/>
              <w:rPr>
                <w:rFonts w:ascii="Times New Roman" w:hAnsi="Times New Roman" w:cs="Times New Roman"/>
                <w:sz w:val="16"/>
                <w:szCs w:val="16"/>
              </w:rPr>
            </w:pPr>
          </w:p>
        </w:tc>
      </w:tr>
    </w:tbl>
    <w:p w14:paraId="2402B3DD" w14:textId="77777777" w:rsidR="00271FA2" w:rsidRPr="004224F6" w:rsidRDefault="00D35E51">
      <w:pPr>
        <w:tabs>
          <w:tab w:val="left" w:pos="567"/>
        </w:tabs>
        <w:spacing w:line="240" w:lineRule="atLeast"/>
        <w:ind w:left="567" w:hanging="567"/>
        <w:rPr>
          <w:rFonts w:ascii="Times New Roman" w:hAnsi="Times New Roman" w:cs="Times New Roman"/>
          <w:b/>
          <w:bCs/>
          <w:szCs w:val="20"/>
        </w:rPr>
      </w:pPr>
      <w:r w:rsidRPr="004224F6">
        <w:rPr>
          <w:rFonts w:ascii="Times New Roman" w:hAnsi="Times New Roman" w:cs="Times New Roman"/>
          <w:b/>
        </w:rPr>
        <w:t>E.2</w:t>
      </w:r>
      <w:r w:rsidRPr="004224F6">
        <w:rPr>
          <w:rFonts w:ascii="Times New Roman" w:hAnsi="Times New Roman" w:cs="Times New Roman"/>
        </w:rPr>
        <w:tab/>
      </w:r>
      <w:r w:rsidRPr="004224F6">
        <w:rPr>
          <w:rFonts w:ascii="Times New Roman" w:hAnsi="Times New Roman" w:cs="Times New Roman"/>
          <w:b/>
        </w:rPr>
        <w:t>Резултати от измерването</w:t>
      </w:r>
    </w:p>
    <w:p w14:paraId="16BAEFC4" w14:textId="77777777" w:rsidR="00271FA2" w:rsidRPr="004224F6" w:rsidRDefault="00D35E51">
      <w:pPr>
        <w:tabs>
          <w:tab w:val="left" w:pos="567"/>
          <w:tab w:val="left" w:pos="1418"/>
        </w:tabs>
        <w:spacing w:line="240" w:lineRule="atLeast"/>
        <w:ind w:left="567"/>
        <w:rPr>
          <w:rFonts w:ascii="Times New Roman" w:hAnsi="Times New Roman" w:cs="Times New Roman"/>
          <w:b/>
          <w:bCs/>
          <w:szCs w:val="20"/>
          <w:lang w:val="ru-RU"/>
        </w:rPr>
      </w:pPr>
      <w:r w:rsidRPr="004224F6">
        <w:rPr>
          <w:rFonts w:ascii="Times New Roman" w:hAnsi="Times New Roman" w:cs="Times New Roman"/>
          <w:b/>
          <w:lang w:val="ru-RU"/>
        </w:rPr>
        <w:t>Измерване на въздушния шум, издаван от плавателното средство:</w:t>
      </w:r>
    </w:p>
    <w:tbl>
      <w:tblPr>
        <w:tblW w:w="877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3123"/>
        <w:gridCol w:w="1134"/>
        <w:gridCol w:w="3742"/>
      </w:tblGrid>
      <w:tr w:rsidR="00271FA2" w:rsidRPr="004224F6" w14:paraId="49B211D0" w14:textId="77777777" w:rsidTr="00783239">
        <w:trPr>
          <w:trHeight w:val="425"/>
        </w:trPr>
        <w:tc>
          <w:tcPr>
            <w:tcW w:w="779" w:type="dxa"/>
            <w:vMerge w:val="restart"/>
            <w:tcBorders>
              <w:top w:val="single" w:sz="4" w:space="0" w:color="auto"/>
              <w:left w:val="single" w:sz="4" w:space="0" w:color="auto"/>
              <w:bottom w:val="single" w:sz="4" w:space="0" w:color="auto"/>
              <w:right w:val="single" w:sz="4" w:space="0" w:color="auto"/>
            </w:tcBorders>
          </w:tcPr>
          <w:p w14:paraId="1C8CFAD0"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Номер</w:t>
            </w:r>
          </w:p>
        </w:tc>
        <w:tc>
          <w:tcPr>
            <w:tcW w:w="3123" w:type="dxa"/>
            <w:vMerge w:val="restart"/>
            <w:tcBorders>
              <w:top w:val="single" w:sz="4" w:space="0" w:color="auto"/>
              <w:left w:val="single" w:sz="4" w:space="0" w:color="auto"/>
              <w:bottom w:val="single" w:sz="4" w:space="0" w:color="auto"/>
              <w:right w:val="single" w:sz="4" w:space="0" w:color="auto"/>
            </w:tcBorders>
          </w:tcPr>
          <w:p w14:paraId="677EB169"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Точка на измерване</w:t>
            </w:r>
          </w:p>
        </w:tc>
        <w:tc>
          <w:tcPr>
            <w:tcW w:w="1134" w:type="dxa"/>
            <w:vMerge w:val="restart"/>
            <w:tcBorders>
              <w:top w:val="single" w:sz="4" w:space="0" w:color="auto"/>
              <w:left w:val="single" w:sz="4" w:space="0" w:color="auto"/>
              <w:bottom w:val="single" w:sz="4" w:space="0" w:color="auto"/>
              <w:right w:val="single" w:sz="4" w:space="0" w:color="auto"/>
            </w:tcBorders>
          </w:tcPr>
          <w:p w14:paraId="0268FDA9" w14:textId="77777777" w:rsidR="00271FA2" w:rsidRPr="004224F6" w:rsidRDefault="00D35E51">
            <w:pPr>
              <w:spacing w:line="240" w:lineRule="atLeast"/>
              <w:jc w:val="center"/>
              <w:rPr>
                <w:rFonts w:ascii="Times New Roman" w:hAnsi="Times New Roman" w:cs="Times New Roman"/>
                <w:sz w:val="16"/>
                <w:szCs w:val="16"/>
                <w:lang w:val="ru-RU"/>
              </w:rPr>
            </w:pPr>
            <w:r w:rsidRPr="004224F6">
              <w:rPr>
                <w:rFonts w:ascii="Times New Roman" w:hAnsi="Times New Roman" w:cs="Times New Roman"/>
                <w:sz w:val="16"/>
                <w:lang w:val="ru-RU"/>
              </w:rPr>
              <w:t xml:space="preserve">Измерени стойности в </w:t>
            </w:r>
            <w:r w:rsidRPr="004224F6">
              <w:rPr>
                <w:rFonts w:ascii="Times New Roman" w:hAnsi="Times New Roman" w:cs="Times New Roman"/>
                <w:sz w:val="16"/>
              </w:rPr>
              <w:t>dB</w:t>
            </w:r>
            <w:r w:rsidRPr="004224F6">
              <w:rPr>
                <w:rFonts w:ascii="Times New Roman" w:hAnsi="Times New Roman" w:cs="Times New Roman"/>
                <w:sz w:val="16"/>
                <w:lang w:val="ru-RU"/>
              </w:rPr>
              <w:t>(</w:t>
            </w:r>
            <w:r w:rsidRPr="004224F6">
              <w:rPr>
                <w:rFonts w:ascii="Times New Roman" w:hAnsi="Times New Roman" w:cs="Times New Roman"/>
                <w:sz w:val="16"/>
              </w:rPr>
              <w:t>A</w:t>
            </w:r>
            <w:r w:rsidRPr="004224F6">
              <w:rPr>
                <w:rFonts w:ascii="Times New Roman" w:hAnsi="Times New Roman" w:cs="Times New Roman"/>
                <w:sz w:val="16"/>
                <w:lang w:val="ru-RU"/>
              </w:rPr>
              <w:t>)</w:t>
            </w:r>
          </w:p>
        </w:tc>
        <w:tc>
          <w:tcPr>
            <w:tcW w:w="3742" w:type="dxa"/>
            <w:vMerge w:val="restart"/>
            <w:tcBorders>
              <w:top w:val="single" w:sz="4" w:space="0" w:color="auto"/>
              <w:left w:val="single" w:sz="4" w:space="0" w:color="auto"/>
              <w:bottom w:val="single" w:sz="4" w:space="0" w:color="auto"/>
              <w:right w:val="single" w:sz="4" w:space="0" w:color="auto"/>
            </w:tcBorders>
          </w:tcPr>
          <w:p w14:paraId="10D8012F" w14:textId="77777777" w:rsidR="00271FA2" w:rsidRPr="004224F6" w:rsidRDefault="00D35E51">
            <w:pPr>
              <w:spacing w:line="240" w:lineRule="atLeast"/>
              <w:jc w:val="center"/>
              <w:rPr>
                <w:rFonts w:ascii="Times New Roman" w:hAnsi="Times New Roman" w:cs="Times New Roman"/>
                <w:sz w:val="16"/>
                <w:szCs w:val="16"/>
              </w:rPr>
            </w:pPr>
            <w:r w:rsidRPr="004224F6">
              <w:rPr>
                <w:rFonts w:ascii="Times New Roman" w:hAnsi="Times New Roman" w:cs="Times New Roman"/>
                <w:sz w:val="16"/>
              </w:rPr>
              <w:t>Забележки</w:t>
            </w:r>
          </w:p>
        </w:tc>
      </w:tr>
      <w:tr w:rsidR="00271FA2" w:rsidRPr="004224F6" w14:paraId="19454EFD" w14:textId="77777777" w:rsidTr="00783239">
        <w:trPr>
          <w:trHeight w:val="485"/>
        </w:trPr>
        <w:tc>
          <w:tcPr>
            <w:tcW w:w="779" w:type="dxa"/>
            <w:vMerge/>
            <w:tcBorders>
              <w:top w:val="single" w:sz="4" w:space="0" w:color="auto"/>
              <w:left w:val="single" w:sz="4" w:space="0" w:color="auto"/>
              <w:bottom w:val="single" w:sz="4" w:space="0" w:color="auto"/>
              <w:right w:val="single" w:sz="4" w:space="0" w:color="auto"/>
            </w:tcBorders>
          </w:tcPr>
          <w:p w14:paraId="4F6229B6" w14:textId="77777777" w:rsidR="00271FA2" w:rsidRPr="004224F6" w:rsidRDefault="00271FA2">
            <w:pPr>
              <w:tabs>
                <w:tab w:val="left" w:pos="1418"/>
              </w:tabs>
              <w:spacing w:line="240" w:lineRule="atLeast"/>
              <w:rPr>
                <w:rFonts w:ascii="Times New Roman" w:hAnsi="Times New Roman" w:cs="Times New Roman"/>
                <w:sz w:val="16"/>
                <w:szCs w:val="16"/>
              </w:rPr>
            </w:pPr>
          </w:p>
        </w:tc>
        <w:tc>
          <w:tcPr>
            <w:tcW w:w="3123" w:type="dxa"/>
            <w:vMerge/>
            <w:tcBorders>
              <w:top w:val="single" w:sz="4" w:space="0" w:color="auto"/>
              <w:left w:val="single" w:sz="4" w:space="0" w:color="auto"/>
              <w:bottom w:val="single" w:sz="4" w:space="0" w:color="auto"/>
              <w:right w:val="single" w:sz="4" w:space="0" w:color="auto"/>
            </w:tcBorders>
          </w:tcPr>
          <w:p w14:paraId="03E6FA18" w14:textId="77777777" w:rsidR="00271FA2" w:rsidRPr="004224F6" w:rsidRDefault="00271FA2">
            <w:pPr>
              <w:tabs>
                <w:tab w:val="left" w:pos="1418"/>
              </w:tabs>
              <w:spacing w:line="240" w:lineRule="atLeast"/>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cPr>
          <w:p w14:paraId="4F152F6D" w14:textId="77777777" w:rsidR="00271FA2" w:rsidRPr="004224F6" w:rsidRDefault="00271FA2">
            <w:pPr>
              <w:tabs>
                <w:tab w:val="left" w:pos="1418"/>
              </w:tabs>
              <w:spacing w:line="240" w:lineRule="atLeast"/>
              <w:jc w:val="center"/>
              <w:rPr>
                <w:rFonts w:ascii="Times New Roman" w:hAnsi="Times New Roman" w:cs="Times New Roman"/>
                <w:sz w:val="16"/>
                <w:szCs w:val="16"/>
              </w:rPr>
            </w:pPr>
          </w:p>
        </w:tc>
        <w:tc>
          <w:tcPr>
            <w:tcW w:w="3742" w:type="dxa"/>
            <w:vMerge/>
            <w:tcBorders>
              <w:top w:val="single" w:sz="4" w:space="0" w:color="auto"/>
              <w:left w:val="single" w:sz="4" w:space="0" w:color="auto"/>
              <w:bottom w:val="single" w:sz="4" w:space="0" w:color="auto"/>
              <w:right w:val="single" w:sz="4" w:space="0" w:color="auto"/>
            </w:tcBorders>
          </w:tcPr>
          <w:p w14:paraId="7AC95816" w14:textId="77777777" w:rsidR="00271FA2" w:rsidRPr="004224F6" w:rsidRDefault="00271FA2">
            <w:pPr>
              <w:tabs>
                <w:tab w:val="left" w:pos="1418"/>
              </w:tabs>
              <w:spacing w:line="240" w:lineRule="atLeast"/>
              <w:rPr>
                <w:rFonts w:ascii="Times New Roman" w:hAnsi="Times New Roman" w:cs="Times New Roman"/>
                <w:sz w:val="16"/>
                <w:szCs w:val="16"/>
              </w:rPr>
            </w:pPr>
          </w:p>
        </w:tc>
      </w:tr>
      <w:tr w:rsidR="00271FA2" w:rsidRPr="004224F6" w14:paraId="6CB34930" w14:textId="77777777" w:rsidTr="00783239">
        <w:trPr>
          <w:trHeight w:val="397"/>
        </w:trPr>
        <w:tc>
          <w:tcPr>
            <w:tcW w:w="779" w:type="dxa"/>
            <w:tcBorders>
              <w:top w:val="single" w:sz="4" w:space="0" w:color="auto"/>
              <w:left w:val="single" w:sz="4" w:space="0" w:color="auto"/>
              <w:bottom w:val="single" w:sz="4" w:space="0" w:color="auto"/>
              <w:right w:val="single" w:sz="4" w:space="0" w:color="auto"/>
            </w:tcBorders>
          </w:tcPr>
          <w:p w14:paraId="12F3F14A" w14:textId="77777777" w:rsidR="00271FA2" w:rsidRPr="004224F6" w:rsidRDefault="00271FA2">
            <w:pPr>
              <w:tabs>
                <w:tab w:val="left" w:pos="1418"/>
              </w:tabs>
              <w:spacing w:line="240" w:lineRule="atLeast"/>
              <w:rPr>
                <w:rFonts w:ascii="Times New Roman" w:hAnsi="Times New Roman" w:cs="Times New Roman"/>
                <w:sz w:val="16"/>
                <w:szCs w:val="16"/>
              </w:rPr>
            </w:pPr>
          </w:p>
        </w:tc>
        <w:tc>
          <w:tcPr>
            <w:tcW w:w="3123" w:type="dxa"/>
            <w:tcBorders>
              <w:top w:val="single" w:sz="4" w:space="0" w:color="auto"/>
              <w:left w:val="single" w:sz="4" w:space="0" w:color="auto"/>
              <w:bottom w:val="single" w:sz="4" w:space="0" w:color="auto"/>
              <w:right w:val="single" w:sz="4" w:space="0" w:color="auto"/>
            </w:tcBorders>
          </w:tcPr>
          <w:p w14:paraId="337C7242" w14:textId="77777777" w:rsidR="00271FA2" w:rsidRPr="004224F6" w:rsidRDefault="00271FA2">
            <w:pPr>
              <w:tabs>
                <w:tab w:val="left" w:pos="1418"/>
              </w:tabs>
              <w:spacing w:line="240" w:lineRule="atLeast"/>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483827AA" w14:textId="77777777" w:rsidR="00271FA2" w:rsidRPr="004224F6" w:rsidRDefault="00271FA2">
            <w:pPr>
              <w:tabs>
                <w:tab w:val="left" w:pos="1418"/>
              </w:tabs>
              <w:spacing w:line="240" w:lineRule="atLeast"/>
              <w:jc w:val="center"/>
              <w:rPr>
                <w:rFonts w:ascii="Times New Roman" w:hAnsi="Times New Roman" w:cs="Times New Roman"/>
                <w:sz w:val="16"/>
                <w:szCs w:val="16"/>
              </w:rPr>
            </w:pPr>
          </w:p>
        </w:tc>
        <w:tc>
          <w:tcPr>
            <w:tcW w:w="3742" w:type="dxa"/>
            <w:tcBorders>
              <w:top w:val="single" w:sz="4" w:space="0" w:color="auto"/>
              <w:left w:val="single" w:sz="4" w:space="0" w:color="auto"/>
              <w:bottom w:val="single" w:sz="4" w:space="0" w:color="auto"/>
              <w:right w:val="single" w:sz="4" w:space="0" w:color="auto"/>
            </w:tcBorders>
          </w:tcPr>
          <w:p w14:paraId="2D568EDC" w14:textId="77777777" w:rsidR="00271FA2" w:rsidRPr="004224F6" w:rsidRDefault="00271FA2">
            <w:pPr>
              <w:tabs>
                <w:tab w:val="left" w:pos="1418"/>
              </w:tabs>
              <w:spacing w:line="240" w:lineRule="atLeast"/>
              <w:rPr>
                <w:rFonts w:ascii="Times New Roman" w:hAnsi="Times New Roman" w:cs="Times New Roman"/>
                <w:sz w:val="16"/>
                <w:szCs w:val="16"/>
              </w:rPr>
            </w:pPr>
          </w:p>
        </w:tc>
      </w:tr>
      <w:tr w:rsidR="00271FA2" w:rsidRPr="004224F6" w14:paraId="6CCE371B" w14:textId="77777777" w:rsidTr="00783239">
        <w:trPr>
          <w:trHeight w:val="397"/>
        </w:trPr>
        <w:tc>
          <w:tcPr>
            <w:tcW w:w="779" w:type="dxa"/>
            <w:tcBorders>
              <w:top w:val="single" w:sz="4" w:space="0" w:color="auto"/>
              <w:left w:val="single" w:sz="4" w:space="0" w:color="auto"/>
              <w:bottom w:val="single" w:sz="4" w:space="0" w:color="auto"/>
              <w:right w:val="single" w:sz="4" w:space="0" w:color="auto"/>
            </w:tcBorders>
          </w:tcPr>
          <w:p w14:paraId="350BAA47" w14:textId="77777777" w:rsidR="00271FA2" w:rsidRPr="004224F6" w:rsidRDefault="00271FA2">
            <w:pPr>
              <w:tabs>
                <w:tab w:val="left" w:pos="1418"/>
              </w:tabs>
              <w:spacing w:line="240" w:lineRule="atLeast"/>
              <w:rPr>
                <w:rFonts w:ascii="Times New Roman" w:hAnsi="Times New Roman" w:cs="Times New Roman"/>
                <w:sz w:val="16"/>
                <w:szCs w:val="16"/>
              </w:rPr>
            </w:pPr>
          </w:p>
        </w:tc>
        <w:tc>
          <w:tcPr>
            <w:tcW w:w="3123" w:type="dxa"/>
            <w:tcBorders>
              <w:top w:val="single" w:sz="4" w:space="0" w:color="auto"/>
              <w:left w:val="single" w:sz="4" w:space="0" w:color="auto"/>
              <w:bottom w:val="single" w:sz="4" w:space="0" w:color="auto"/>
              <w:right w:val="single" w:sz="4" w:space="0" w:color="auto"/>
            </w:tcBorders>
          </w:tcPr>
          <w:p w14:paraId="1B9038BE" w14:textId="77777777" w:rsidR="00271FA2" w:rsidRPr="004224F6" w:rsidRDefault="00271FA2">
            <w:pPr>
              <w:tabs>
                <w:tab w:val="left" w:pos="1418"/>
              </w:tabs>
              <w:spacing w:line="240" w:lineRule="atLeast"/>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6DD876D" w14:textId="77777777" w:rsidR="00271FA2" w:rsidRPr="004224F6" w:rsidRDefault="00271FA2">
            <w:pPr>
              <w:tabs>
                <w:tab w:val="left" w:pos="1418"/>
              </w:tabs>
              <w:spacing w:line="240" w:lineRule="atLeast"/>
              <w:jc w:val="center"/>
              <w:rPr>
                <w:rFonts w:ascii="Times New Roman" w:hAnsi="Times New Roman" w:cs="Times New Roman"/>
                <w:sz w:val="16"/>
                <w:szCs w:val="16"/>
              </w:rPr>
            </w:pPr>
          </w:p>
        </w:tc>
        <w:tc>
          <w:tcPr>
            <w:tcW w:w="3742" w:type="dxa"/>
            <w:tcBorders>
              <w:top w:val="single" w:sz="4" w:space="0" w:color="auto"/>
              <w:left w:val="single" w:sz="4" w:space="0" w:color="auto"/>
              <w:bottom w:val="single" w:sz="4" w:space="0" w:color="auto"/>
              <w:right w:val="single" w:sz="4" w:space="0" w:color="auto"/>
            </w:tcBorders>
          </w:tcPr>
          <w:p w14:paraId="7BA10F20" w14:textId="77777777" w:rsidR="00271FA2" w:rsidRPr="004224F6" w:rsidRDefault="00271FA2">
            <w:pPr>
              <w:tabs>
                <w:tab w:val="left" w:pos="1418"/>
              </w:tabs>
              <w:spacing w:line="240" w:lineRule="atLeast"/>
              <w:rPr>
                <w:rFonts w:ascii="Times New Roman" w:hAnsi="Times New Roman" w:cs="Times New Roman"/>
                <w:sz w:val="16"/>
                <w:szCs w:val="16"/>
              </w:rPr>
            </w:pPr>
          </w:p>
        </w:tc>
      </w:tr>
      <w:tr w:rsidR="00271FA2" w:rsidRPr="004224F6" w14:paraId="78AF342E" w14:textId="77777777" w:rsidTr="00783239">
        <w:trPr>
          <w:trHeight w:val="397"/>
        </w:trPr>
        <w:tc>
          <w:tcPr>
            <w:tcW w:w="779" w:type="dxa"/>
            <w:tcBorders>
              <w:top w:val="single" w:sz="4" w:space="0" w:color="auto"/>
              <w:left w:val="single" w:sz="4" w:space="0" w:color="auto"/>
              <w:bottom w:val="single" w:sz="4" w:space="0" w:color="auto"/>
              <w:right w:val="single" w:sz="4" w:space="0" w:color="auto"/>
            </w:tcBorders>
          </w:tcPr>
          <w:p w14:paraId="3E250A02" w14:textId="77777777" w:rsidR="00271FA2" w:rsidRPr="004224F6" w:rsidRDefault="00271FA2">
            <w:pPr>
              <w:tabs>
                <w:tab w:val="left" w:pos="1418"/>
              </w:tabs>
              <w:spacing w:line="240" w:lineRule="atLeast"/>
              <w:rPr>
                <w:rFonts w:ascii="Times New Roman" w:hAnsi="Times New Roman" w:cs="Times New Roman"/>
                <w:sz w:val="16"/>
                <w:szCs w:val="16"/>
              </w:rPr>
            </w:pPr>
          </w:p>
        </w:tc>
        <w:tc>
          <w:tcPr>
            <w:tcW w:w="3123" w:type="dxa"/>
            <w:tcBorders>
              <w:top w:val="single" w:sz="4" w:space="0" w:color="auto"/>
              <w:left w:val="single" w:sz="4" w:space="0" w:color="auto"/>
              <w:bottom w:val="single" w:sz="4" w:space="0" w:color="auto"/>
              <w:right w:val="single" w:sz="4" w:space="0" w:color="auto"/>
            </w:tcBorders>
          </w:tcPr>
          <w:p w14:paraId="2DFDCAAA" w14:textId="77777777" w:rsidR="00271FA2" w:rsidRPr="004224F6" w:rsidRDefault="00271FA2">
            <w:pPr>
              <w:tabs>
                <w:tab w:val="left" w:pos="1418"/>
              </w:tabs>
              <w:spacing w:line="240" w:lineRule="atLeast"/>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C54B0B9" w14:textId="77777777" w:rsidR="00271FA2" w:rsidRPr="004224F6" w:rsidRDefault="00271FA2">
            <w:pPr>
              <w:tabs>
                <w:tab w:val="left" w:pos="1418"/>
              </w:tabs>
              <w:spacing w:line="240" w:lineRule="atLeast"/>
              <w:jc w:val="center"/>
              <w:rPr>
                <w:rFonts w:ascii="Times New Roman" w:hAnsi="Times New Roman" w:cs="Times New Roman"/>
                <w:sz w:val="16"/>
                <w:szCs w:val="16"/>
              </w:rPr>
            </w:pPr>
          </w:p>
        </w:tc>
        <w:tc>
          <w:tcPr>
            <w:tcW w:w="3742" w:type="dxa"/>
            <w:tcBorders>
              <w:top w:val="single" w:sz="4" w:space="0" w:color="auto"/>
              <w:left w:val="single" w:sz="4" w:space="0" w:color="auto"/>
              <w:bottom w:val="single" w:sz="4" w:space="0" w:color="auto"/>
              <w:right w:val="single" w:sz="4" w:space="0" w:color="auto"/>
            </w:tcBorders>
          </w:tcPr>
          <w:p w14:paraId="580CA8A9" w14:textId="77777777" w:rsidR="00271FA2" w:rsidRPr="004224F6" w:rsidRDefault="00271FA2">
            <w:pPr>
              <w:tabs>
                <w:tab w:val="left" w:pos="1418"/>
              </w:tabs>
              <w:spacing w:line="240" w:lineRule="atLeast"/>
              <w:rPr>
                <w:rFonts w:ascii="Times New Roman" w:hAnsi="Times New Roman" w:cs="Times New Roman"/>
                <w:sz w:val="16"/>
                <w:szCs w:val="16"/>
              </w:rPr>
            </w:pPr>
          </w:p>
        </w:tc>
      </w:tr>
    </w:tbl>
    <w:p w14:paraId="7471D247" w14:textId="77777777" w:rsidR="00271FA2" w:rsidRPr="004224F6" w:rsidRDefault="00271FA2">
      <w:pPr>
        <w:tabs>
          <w:tab w:val="left" w:pos="284"/>
        </w:tabs>
        <w:spacing w:line="240" w:lineRule="atLeast"/>
        <w:rPr>
          <w:rFonts w:ascii="Times New Roman" w:hAnsi="Times New Roman" w:cs="Times New Roman"/>
        </w:rPr>
      </w:pPr>
    </w:p>
    <w:p w14:paraId="4D9CDA83" w14:textId="77777777" w:rsidR="00271FA2" w:rsidRPr="004224F6" w:rsidRDefault="00271FA2">
      <w:pPr>
        <w:tabs>
          <w:tab w:val="left" w:pos="284"/>
        </w:tabs>
        <w:spacing w:line="240" w:lineRule="atLeast"/>
        <w:rPr>
          <w:rFonts w:ascii="Times New Roman" w:hAnsi="Times New Roman" w:cs="Times New Roman"/>
        </w:rPr>
      </w:pPr>
    </w:p>
    <w:p w14:paraId="1577C303" w14:textId="77777777" w:rsidR="00271FA2" w:rsidRPr="004224F6" w:rsidRDefault="00271FA2">
      <w:pPr>
        <w:tabs>
          <w:tab w:val="left" w:pos="284"/>
        </w:tabs>
        <w:spacing w:line="240" w:lineRule="atLeast"/>
        <w:rPr>
          <w:rFonts w:ascii="Times New Roman" w:hAnsi="Times New Roman" w:cs="Times New Roman"/>
        </w:rPr>
        <w:sectPr w:rsidR="00271FA2" w:rsidRPr="004224F6" w:rsidSect="004224F6">
          <w:headerReference w:type="default" r:id="rId231"/>
          <w:footnotePr>
            <w:numRestart w:val="eachPage"/>
          </w:footnotePr>
          <w:pgSz w:w="11907" w:h="16840"/>
          <w:pgMar w:top="1134" w:right="1134" w:bottom="1134" w:left="1134" w:header="709" w:footer="709" w:gutter="0"/>
          <w:cols w:space="720"/>
          <w:docGrid w:linePitch="326"/>
        </w:sectPr>
      </w:pPr>
    </w:p>
    <w:p w14:paraId="2E810163" w14:textId="77777777" w:rsidR="00271FA2" w:rsidRPr="004224F6" w:rsidRDefault="00D35E51">
      <w:pPr>
        <w:spacing w:line="240" w:lineRule="atLeast"/>
        <w:jc w:val="center"/>
        <w:rPr>
          <w:rFonts w:ascii="Times New Roman" w:hAnsi="Times New Roman" w:cs="Times New Roman"/>
          <w:b/>
        </w:rPr>
      </w:pPr>
      <w:r w:rsidRPr="004224F6">
        <w:rPr>
          <w:rFonts w:ascii="Times New Roman" w:hAnsi="Times New Roman" w:cs="Times New Roman"/>
          <w:b/>
        </w:rPr>
        <w:lastRenderedPageBreak/>
        <w:t>Допълнение 2</w:t>
      </w:r>
    </w:p>
    <w:p w14:paraId="261F0EC1" w14:textId="77777777" w:rsidR="00271FA2" w:rsidRPr="004224F6" w:rsidRDefault="00D35E51">
      <w:pPr>
        <w:spacing w:line="240" w:lineRule="atLeast"/>
        <w:jc w:val="center"/>
        <w:rPr>
          <w:rFonts w:ascii="Times New Roman" w:hAnsi="Times New Roman" w:cs="Times New Roman"/>
          <w:b/>
          <w:bCs/>
        </w:rPr>
      </w:pPr>
      <w:r w:rsidRPr="004224F6">
        <w:rPr>
          <w:rFonts w:ascii="Times New Roman" w:hAnsi="Times New Roman" w:cs="Times New Roman"/>
          <w:b/>
        </w:rPr>
        <w:t>Протокол от измерванията на шума</w:t>
      </w:r>
    </w:p>
    <w:p w14:paraId="1085C926" w14:textId="77777777" w:rsidR="00271FA2" w:rsidRPr="004224F6" w:rsidRDefault="00D35E51" w:rsidP="00092FDD">
      <w:pPr>
        <w:tabs>
          <w:tab w:val="left" w:pos="2127"/>
        </w:tabs>
        <w:spacing w:after="240" w:line="240" w:lineRule="atLeast"/>
        <w:jc w:val="center"/>
        <w:rPr>
          <w:rFonts w:ascii="Times New Roman" w:hAnsi="Times New Roman" w:cs="Times New Roman"/>
          <w:b/>
          <w:lang w:val="ru-RU"/>
        </w:rPr>
      </w:pPr>
      <w:r w:rsidRPr="004224F6">
        <w:rPr>
          <w:rFonts w:ascii="Times New Roman" w:hAnsi="Times New Roman" w:cs="Times New Roman"/>
          <w:b/>
          <w:lang w:val="ru-RU"/>
        </w:rPr>
        <w:t xml:space="preserve">- плавателни средства, заложени за строеж на и преди 1 април 1976 г. </w:t>
      </w:r>
    </w:p>
    <w:p w14:paraId="778271C5" w14:textId="77777777" w:rsidR="00271FA2" w:rsidRPr="004224F6" w:rsidRDefault="00D35E51">
      <w:pPr>
        <w:tabs>
          <w:tab w:val="left" w:pos="0"/>
        </w:tabs>
        <w:spacing w:line="240" w:lineRule="atLeast"/>
        <w:jc w:val="both"/>
        <w:rPr>
          <w:rFonts w:ascii="Times New Roman" w:hAnsi="Times New Roman" w:cs="Times New Roman"/>
          <w:b/>
          <w:lang w:val="ru-RU"/>
        </w:rPr>
      </w:pPr>
      <w:r w:rsidRPr="004224F6">
        <w:rPr>
          <w:rFonts w:ascii="Times New Roman" w:hAnsi="Times New Roman" w:cs="Times New Roman"/>
          <w:b/>
          <w:lang w:val="ru-RU"/>
        </w:rPr>
        <w:t>1.</w:t>
      </w:r>
      <w:r w:rsidRPr="004224F6">
        <w:rPr>
          <w:rFonts w:ascii="Times New Roman" w:hAnsi="Times New Roman" w:cs="Times New Roman"/>
          <w:b/>
          <w:lang w:val="ru-RU"/>
        </w:rPr>
        <w:tab/>
        <w:t>Резултати от измерванията</w:t>
      </w:r>
    </w:p>
    <w:p w14:paraId="625390E5" w14:textId="77777777" w:rsidR="00271FA2" w:rsidRPr="004224F6" w:rsidRDefault="00D35E51">
      <w:pPr>
        <w:tabs>
          <w:tab w:val="left" w:pos="0"/>
        </w:tabs>
        <w:spacing w:line="240" w:lineRule="atLeast"/>
        <w:jc w:val="both"/>
        <w:rPr>
          <w:rFonts w:ascii="Times New Roman" w:hAnsi="Times New Roman" w:cs="Times New Roman"/>
          <w:b/>
          <w:lang w:val="ru-RU"/>
        </w:rPr>
      </w:pPr>
      <w:r w:rsidRPr="004224F6">
        <w:rPr>
          <w:rFonts w:ascii="Times New Roman" w:hAnsi="Times New Roman" w:cs="Times New Roman"/>
          <w:b/>
          <w:lang w:val="ru-RU"/>
        </w:rPr>
        <w:t>1.1</w:t>
      </w:r>
      <w:r w:rsidRPr="004224F6">
        <w:rPr>
          <w:rFonts w:ascii="Times New Roman" w:hAnsi="Times New Roman" w:cs="Times New Roman"/>
          <w:b/>
          <w:lang w:val="ru-RU"/>
        </w:rPr>
        <w:tab/>
        <w:t>Измервания на борда:</w:t>
      </w:r>
    </w:p>
    <w:tbl>
      <w:tblPr>
        <w:tblStyle w:val="TableGrid"/>
        <w:tblW w:w="0" w:type="auto"/>
        <w:tblInd w:w="817" w:type="dxa"/>
        <w:tblLook w:val="04A0" w:firstRow="1" w:lastRow="0" w:firstColumn="1" w:lastColumn="0" w:noHBand="0" w:noVBand="1"/>
      </w:tblPr>
      <w:tblGrid>
        <w:gridCol w:w="2693"/>
        <w:gridCol w:w="2977"/>
        <w:gridCol w:w="7513"/>
      </w:tblGrid>
      <w:tr w:rsidR="00271FA2" w:rsidRPr="004224F6" w14:paraId="1A9FFCB7" w14:textId="77777777">
        <w:tc>
          <w:tcPr>
            <w:tcW w:w="2693" w:type="dxa"/>
          </w:tcPr>
          <w:p w14:paraId="3AEA849F"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Дата:</w:t>
            </w:r>
          </w:p>
        </w:tc>
        <w:tc>
          <w:tcPr>
            <w:tcW w:w="2977" w:type="dxa"/>
            <w:tcBorders>
              <w:right w:val="single" w:sz="4" w:space="0" w:color="auto"/>
            </w:tcBorders>
          </w:tcPr>
          <w:p w14:paraId="51EEA306"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4AF10029"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ab/>
              <w:t>Кратко обяснение:</w:t>
            </w:r>
          </w:p>
        </w:tc>
      </w:tr>
      <w:tr w:rsidR="00271FA2" w:rsidRPr="004224F6" w14:paraId="5EFA334B" w14:textId="77777777">
        <w:tc>
          <w:tcPr>
            <w:tcW w:w="2693" w:type="dxa"/>
          </w:tcPr>
          <w:p w14:paraId="06AEA777"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Инспектор:</w:t>
            </w:r>
          </w:p>
        </w:tc>
        <w:tc>
          <w:tcPr>
            <w:tcW w:w="2977" w:type="dxa"/>
            <w:tcBorders>
              <w:right w:val="single" w:sz="4" w:space="0" w:color="auto"/>
            </w:tcBorders>
          </w:tcPr>
          <w:p w14:paraId="755B2F6F"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46379FCC" w14:textId="77777777" w:rsidR="00271FA2" w:rsidRPr="004224F6" w:rsidRDefault="00D35E51">
            <w:pPr>
              <w:pStyle w:val="ListParagraph"/>
              <w:numPr>
                <w:ilvl w:val="0"/>
                <w:numId w:val="55"/>
              </w:numPr>
              <w:spacing w:line="240" w:lineRule="atLeast"/>
              <w:rPr>
                <w:rFonts w:ascii="Times New Roman" w:hAnsi="Times New Roman" w:cs="Times New Roman"/>
              </w:rPr>
            </w:pPr>
            <w:r w:rsidRPr="004224F6">
              <w:rPr>
                <w:rFonts w:ascii="Times New Roman" w:hAnsi="Times New Roman" w:cs="Times New Roman"/>
              </w:rPr>
              <w:t>попълнете само жълтите полета</w:t>
            </w:r>
          </w:p>
        </w:tc>
      </w:tr>
      <w:tr w:rsidR="00271FA2" w:rsidRPr="004224F6" w14:paraId="73C9337C" w14:textId="77777777">
        <w:tc>
          <w:tcPr>
            <w:tcW w:w="2693" w:type="dxa"/>
          </w:tcPr>
          <w:p w14:paraId="3F8EAA73"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Тип нивомер на шума:</w:t>
            </w:r>
          </w:p>
        </w:tc>
        <w:tc>
          <w:tcPr>
            <w:tcW w:w="2977" w:type="dxa"/>
            <w:tcBorders>
              <w:right w:val="single" w:sz="4" w:space="0" w:color="auto"/>
            </w:tcBorders>
          </w:tcPr>
          <w:p w14:paraId="5F2DCE53"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7B512A1A" w14:textId="77777777" w:rsidR="00271FA2" w:rsidRPr="004224F6" w:rsidRDefault="00D35E51">
            <w:pPr>
              <w:pStyle w:val="ListParagraph"/>
              <w:numPr>
                <w:ilvl w:val="0"/>
                <w:numId w:val="55"/>
              </w:numPr>
              <w:spacing w:line="240" w:lineRule="atLeast"/>
              <w:rPr>
                <w:rFonts w:ascii="Times New Roman" w:hAnsi="Times New Roman" w:cs="Times New Roman"/>
                <w:lang w:val="ru-RU"/>
              </w:rPr>
            </w:pPr>
            <w:r w:rsidRPr="004224F6">
              <w:rPr>
                <w:rFonts w:ascii="Times New Roman" w:hAnsi="Times New Roman" w:cs="Times New Roman"/>
                <w:lang w:val="ru-RU"/>
              </w:rPr>
              <w:t>започнете с 85% и 55% и проверете резултата</w:t>
            </w:r>
          </w:p>
        </w:tc>
      </w:tr>
      <w:tr w:rsidR="00271FA2" w:rsidRPr="004224F6" w14:paraId="77191D9D" w14:textId="77777777">
        <w:tc>
          <w:tcPr>
            <w:tcW w:w="2693" w:type="dxa"/>
          </w:tcPr>
          <w:p w14:paraId="08C9089F"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Име на плавателното средство:</w:t>
            </w:r>
          </w:p>
        </w:tc>
        <w:tc>
          <w:tcPr>
            <w:tcW w:w="2977" w:type="dxa"/>
            <w:tcBorders>
              <w:right w:val="single" w:sz="4" w:space="0" w:color="auto"/>
            </w:tcBorders>
          </w:tcPr>
          <w:p w14:paraId="235C76E2"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2D497BA4" w14:textId="77777777" w:rsidR="00271FA2" w:rsidRPr="004224F6" w:rsidRDefault="00D35E51">
            <w:pPr>
              <w:pStyle w:val="ListParagraph"/>
              <w:numPr>
                <w:ilvl w:val="0"/>
                <w:numId w:val="55"/>
              </w:numPr>
              <w:spacing w:line="240" w:lineRule="atLeast"/>
              <w:rPr>
                <w:rFonts w:ascii="Times New Roman" w:hAnsi="Times New Roman" w:cs="Times New Roman"/>
                <w:lang w:val="ru-RU"/>
              </w:rPr>
            </w:pPr>
            <w:r w:rsidRPr="004224F6">
              <w:rPr>
                <w:rFonts w:ascii="Times New Roman" w:hAnsi="Times New Roman" w:cs="Times New Roman"/>
                <w:lang w:val="ru-RU"/>
              </w:rPr>
              <w:t>за 25% и 5% се прилага най-ниската стойност от 85% или 55%</w:t>
            </w:r>
          </w:p>
        </w:tc>
      </w:tr>
      <w:tr w:rsidR="00271FA2" w:rsidRPr="004224F6" w14:paraId="07BDD8BE" w14:textId="77777777">
        <w:tc>
          <w:tcPr>
            <w:tcW w:w="2693" w:type="dxa"/>
          </w:tcPr>
          <w:p w14:paraId="1992047A"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УЕИН:</w:t>
            </w:r>
          </w:p>
        </w:tc>
        <w:tc>
          <w:tcPr>
            <w:tcW w:w="2977" w:type="dxa"/>
            <w:tcBorders>
              <w:right w:val="single" w:sz="4" w:space="0" w:color="auto"/>
            </w:tcBorders>
          </w:tcPr>
          <w:p w14:paraId="11C27A4A"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6CDA24AC" w14:textId="77777777" w:rsidR="00271FA2" w:rsidRPr="004224F6" w:rsidRDefault="00D35E51">
            <w:pPr>
              <w:pStyle w:val="ListParagraph"/>
              <w:numPr>
                <w:ilvl w:val="0"/>
                <w:numId w:val="55"/>
              </w:numPr>
              <w:spacing w:line="240" w:lineRule="atLeast"/>
              <w:rPr>
                <w:rFonts w:ascii="Times New Roman" w:hAnsi="Times New Roman" w:cs="Times New Roman"/>
                <w:lang w:val="ru-RU"/>
              </w:rPr>
            </w:pPr>
            <w:r w:rsidRPr="004224F6">
              <w:rPr>
                <w:rFonts w:ascii="Times New Roman" w:hAnsi="Times New Roman" w:cs="Times New Roman"/>
                <w:lang w:val="ru-RU"/>
              </w:rPr>
              <w:t>в случай на неспазване: попълнете 25% и, ако е необходимо, 5%</w:t>
            </w:r>
          </w:p>
        </w:tc>
      </w:tr>
      <w:tr w:rsidR="00271FA2" w:rsidRPr="004224F6" w14:paraId="5A471911" w14:textId="77777777">
        <w:tc>
          <w:tcPr>
            <w:tcW w:w="2693" w:type="dxa"/>
          </w:tcPr>
          <w:p w14:paraId="1930A70D"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Година на построяване</w:t>
            </w:r>
          </w:p>
        </w:tc>
        <w:tc>
          <w:tcPr>
            <w:tcW w:w="2977" w:type="dxa"/>
            <w:tcBorders>
              <w:right w:val="single" w:sz="4" w:space="0" w:color="auto"/>
            </w:tcBorders>
          </w:tcPr>
          <w:p w14:paraId="7A854FC6"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675245A8" w14:textId="77777777" w:rsidR="00271FA2" w:rsidRPr="004224F6" w:rsidRDefault="00D35E51" w:rsidP="00917B79">
            <w:pPr>
              <w:pStyle w:val="ListParagraph"/>
              <w:numPr>
                <w:ilvl w:val="0"/>
                <w:numId w:val="55"/>
              </w:numPr>
              <w:spacing w:line="240" w:lineRule="atLeast"/>
              <w:jc w:val="both"/>
              <w:rPr>
                <w:rFonts w:ascii="Times New Roman" w:hAnsi="Times New Roman" w:cs="Times New Roman"/>
                <w:lang w:val="ru-RU"/>
              </w:rPr>
            </w:pPr>
            <w:r w:rsidRPr="004224F6">
              <w:rPr>
                <w:rFonts w:ascii="Times New Roman" w:hAnsi="Times New Roman" w:cs="Times New Roman"/>
                <w:lang w:val="ru-RU"/>
              </w:rPr>
              <w:t>когато се отнася до отделения, използвайте "жилищно помещение" или „кабина за спане номер“ или „машинно отделение“ или „рулева рубка“</w:t>
            </w:r>
          </w:p>
        </w:tc>
      </w:tr>
      <w:tr w:rsidR="00271FA2" w:rsidRPr="004224F6" w14:paraId="2C69DA88" w14:textId="77777777">
        <w:tc>
          <w:tcPr>
            <w:tcW w:w="2693" w:type="dxa"/>
          </w:tcPr>
          <w:p w14:paraId="7499959D"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Тонаж на плавателното средство:</w:t>
            </w:r>
          </w:p>
        </w:tc>
        <w:tc>
          <w:tcPr>
            <w:tcW w:w="2977" w:type="dxa"/>
            <w:tcBorders>
              <w:right w:val="single" w:sz="4" w:space="0" w:color="auto"/>
            </w:tcBorders>
          </w:tcPr>
          <w:p w14:paraId="430D8C37"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79C8EE46" w14:textId="77777777" w:rsidR="00271FA2" w:rsidRPr="004224F6" w:rsidRDefault="00D35E51" w:rsidP="00917B79">
            <w:pPr>
              <w:pStyle w:val="ListParagraph"/>
              <w:numPr>
                <w:ilvl w:val="0"/>
                <w:numId w:val="55"/>
              </w:numPr>
              <w:spacing w:line="240" w:lineRule="atLeast"/>
              <w:jc w:val="both"/>
              <w:rPr>
                <w:rFonts w:ascii="Times New Roman" w:hAnsi="Times New Roman" w:cs="Times New Roman"/>
                <w:lang w:val="ru-RU"/>
              </w:rPr>
            </w:pPr>
            <w:r w:rsidRPr="004224F6">
              <w:rPr>
                <w:rFonts w:ascii="Times New Roman" w:hAnsi="Times New Roman" w:cs="Times New Roman"/>
                <w:lang w:val="ru-RU"/>
              </w:rPr>
              <w:t xml:space="preserve">за ръчно изчисляване на </w:t>
            </w:r>
            <m:oMath>
              <m:sSub>
                <m:sSubPr>
                  <m:ctrlPr>
                    <w:rPr>
                      <w:rFonts w:ascii="Cambria Math" w:hAnsi="Cambria Math" w:cs="Times New Roman"/>
                      <w:bCs/>
                      <w:i/>
                    </w:rPr>
                  </m:ctrlPr>
                </m:sSubPr>
                <m:e>
                  <m:r>
                    <w:rPr>
                      <w:rFonts w:ascii="Cambria Math" w:hAnsi="Cambria Math" w:cs="Times New Roman"/>
                    </w:rPr>
                    <m:t>L</m:t>
                  </m:r>
                </m:e>
                <m:sub>
                  <m:r>
                    <w:rPr>
                      <w:rFonts w:ascii="Cambria Math" w:hAnsi="Cambria Math" w:cs="Times New Roman"/>
                    </w:rPr>
                    <m:t>waSN</m:t>
                  </m:r>
                </m:sub>
              </m:sSub>
            </m:oMath>
            <w:r w:rsidRPr="004224F6">
              <w:rPr>
                <w:rFonts w:ascii="Times New Roman" w:hAnsi="Times New Roman" w:cs="Times New Roman"/>
                <w:lang w:eastAsia="bg-BG"/>
              </w:rPr>
              <w:t>MCR</w:t>
            </w:r>
            <w:r w:rsidRPr="004224F6">
              <w:rPr>
                <w:rFonts w:ascii="Times New Roman" w:hAnsi="Times New Roman" w:cs="Times New Roman"/>
                <w:lang w:val="ru-RU" w:eastAsia="bg-BG"/>
              </w:rPr>
              <w:t xml:space="preserve"> - може да се използва следният инструмент за изчисление:</w:t>
            </w:r>
          </w:p>
        </w:tc>
      </w:tr>
      <w:tr w:rsidR="00271FA2" w:rsidRPr="004224F6" w14:paraId="4CA64F15" w14:textId="77777777">
        <w:tc>
          <w:tcPr>
            <w:tcW w:w="2693" w:type="dxa"/>
          </w:tcPr>
          <w:p w14:paraId="73F16AD8"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Марка на двигателя</w:t>
            </w:r>
          </w:p>
        </w:tc>
        <w:tc>
          <w:tcPr>
            <w:tcW w:w="2977" w:type="dxa"/>
            <w:tcBorders>
              <w:right w:val="single" w:sz="4" w:space="0" w:color="auto"/>
            </w:tcBorders>
          </w:tcPr>
          <w:p w14:paraId="0F9CDFB3"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103E99FE" w14:textId="77777777" w:rsidR="00271FA2" w:rsidRPr="004224F6" w:rsidRDefault="002C62EC" w:rsidP="00917B79">
            <w:pPr>
              <w:autoSpaceDE w:val="0"/>
              <w:autoSpaceDN w:val="0"/>
              <w:adjustRightInd w:val="0"/>
              <w:spacing w:line="240" w:lineRule="atLeast"/>
              <w:ind w:left="743"/>
              <w:jc w:val="both"/>
              <w:rPr>
                <w:rFonts w:ascii="Times New Roman" w:hAnsi="Times New Roman" w:cs="Times New Roman"/>
                <w:lang w:eastAsia="bg-BG"/>
              </w:rPr>
            </w:pPr>
            <m:oMath>
              <m:sSub>
                <m:sSubPr>
                  <m:ctrlPr>
                    <w:rPr>
                      <w:rFonts w:ascii="Cambria Math" w:hAnsi="Cambria Math" w:cs="Times New Roman"/>
                      <w:bCs/>
                      <w:i/>
                    </w:rPr>
                  </m:ctrlPr>
                </m:sSubPr>
                <m:e>
                  <m:r>
                    <w:rPr>
                      <w:rFonts w:ascii="Cambria Math" w:hAnsi="Cambria Math" w:cs="Times New Roman"/>
                    </w:rPr>
                    <m:t>L</m:t>
                  </m:r>
                </m:e>
                <m:sub>
                  <m:r>
                    <w:rPr>
                      <w:rFonts w:ascii="Cambria Math" w:hAnsi="Cambria Math" w:cs="Times New Roman"/>
                    </w:rPr>
                    <m:t>waSN</m:t>
                  </m:r>
                </m:sub>
              </m:sSub>
            </m:oMath>
            <w:r w:rsidR="00D35E51" w:rsidRPr="004224F6">
              <w:rPr>
                <w:rFonts w:ascii="Times New Roman" w:hAnsi="Times New Roman" w:cs="Times New Roman"/>
                <w:lang w:eastAsia="bg-BG"/>
              </w:rPr>
              <w:t xml:space="preserve"> [dB(A)] = 10</w:t>
            </w:r>
            <m:oMath>
              <m:r>
                <w:rPr>
                  <w:rFonts w:ascii="Cambria Math" w:hAnsi="Cambria Math" w:cs="Times New Roman"/>
                  <w:szCs w:val="20"/>
                </w:rPr>
                <m:t xml:space="preserve"> </m:t>
              </m:r>
            </m:oMath>
            <w:r w:rsidR="00D35E51" w:rsidRPr="004224F6">
              <w:rPr>
                <w:rFonts w:ascii="Times New Roman" w:hAnsi="Times New Roman" w:cs="Times New Roman"/>
                <w:lang w:eastAsia="bg-BG"/>
              </w:rPr>
              <w:t>log [0,26</w:t>
            </w:r>
            <m:oMath>
              <m:r>
                <w:rPr>
                  <w:rFonts w:ascii="Cambria Math" w:hAnsi="Cambria Math" w:cs="Times New Roman"/>
                  <w:szCs w:val="20"/>
                </w:rPr>
                <m:t>∙</m:t>
              </m:r>
              <m:sSup>
                <m:sSupPr>
                  <m:ctrlPr>
                    <w:rPr>
                      <w:rFonts w:ascii="Cambria Math" w:hAnsi="Cambria Math" w:cs="Times New Roman"/>
                      <w:i/>
                      <w:szCs w:val="20"/>
                    </w:rPr>
                  </m:ctrlPr>
                </m:sSupPr>
                <m:e>
                  <m:r>
                    <w:rPr>
                      <w:rFonts w:ascii="Cambria Math" w:hAnsi="Cambria Math" w:cs="Times New Roman"/>
                      <w:szCs w:val="20"/>
                    </w:rPr>
                    <m:t>10</m:t>
                  </m:r>
                </m:e>
                <m:sup>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L</m:t>
                      </m:r>
                    </m:e>
                    <m:sub>
                      <m:r>
                        <w:rPr>
                          <w:rFonts w:ascii="Cambria Math" w:hAnsi="Cambria Math" w:cs="Times New Roman"/>
                          <w:szCs w:val="20"/>
                        </w:rPr>
                        <m:t>5%</m:t>
                      </m:r>
                    </m:sub>
                  </m:sSub>
                  <m:r>
                    <w:rPr>
                      <w:rFonts w:ascii="Cambria Math" w:hAnsi="Cambria Math" w:cs="Times New Roman"/>
                      <w:szCs w:val="20"/>
                    </w:rPr>
                    <m:t>/10)</m:t>
                  </m:r>
                </m:sup>
              </m:sSup>
            </m:oMath>
            <w:r w:rsidR="00D35E51" w:rsidRPr="004224F6">
              <w:rPr>
                <w:rFonts w:ascii="Times New Roman" w:hAnsi="Times New Roman" w:cs="Times New Roman"/>
                <w:lang w:eastAsia="bg-BG"/>
              </w:rPr>
              <w:t xml:space="preserve"> + 0,37</w:t>
            </w:r>
            <m:oMath>
              <m:r>
                <w:rPr>
                  <w:rFonts w:ascii="Cambria Math" w:hAnsi="Cambria Math" w:cs="Times New Roman"/>
                  <w:szCs w:val="20"/>
                </w:rPr>
                <m:t>∙</m:t>
              </m:r>
              <m:sSup>
                <m:sSupPr>
                  <m:ctrlPr>
                    <w:rPr>
                      <w:rFonts w:ascii="Cambria Math" w:hAnsi="Cambria Math" w:cs="Times New Roman"/>
                      <w:i/>
                      <w:szCs w:val="20"/>
                    </w:rPr>
                  </m:ctrlPr>
                </m:sSupPr>
                <m:e>
                  <m:r>
                    <w:rPr>
                      <w:rFonts w:ascii="Cambria Math" w:hAnsi="Cambria Math" w:cs="Times New Roman"/>
                      <w:szCs w:val="20"/>
                    </w:rPr>
                    <m:t>10</m:t>
                  </m:r>
                </m:e>
                <m:sup>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L</m:t>
                      </m:r>
                    </m:e>
                    <m:sub>
                      <m:r>
                        <w:rPr>
                          <w:rFonts w:ascii="Cambria Math" w:hAnsi="Cambria Math" w:cs="Times New Roman"/>
                          <w:szCs w:val="20"/>
                        </w:rPr>
                        <m:t>25%</m:t>
                      </m:r>
                    </m:sub>
                  </m:sSub>
                  <m:r>
                    <w:rPr>
                      <w:rFonts w:ascii="Cambria Math" w:hAnsi="Cambria Math" w:cs="Times New Roman"/>
                      <w:szCs w:val="20"/>
                    </w:rPr>
                    <m:t>/10)</m:t>
                  </m:r>
                </m:sup>
              </m:sSup>
            </m:oMath>
            <w:r w:rsidR="00D35E51" w:rsidRPr="004224F6">
              <w:rPr>
                <w:rFonts w:ascii="Times New Roman" w:hAnsi="Times New Roman" w:cs="Times New Roman"/>
                <w:lang w:eastAsia="bg-BG"/>
              </w:rPr>
              <w:t xml:space="preserve"> + 0,23</w:t>
            </w:r>
            <m:oMath>
              <m:r>
                <w:rPr>
                  <w:rFonts w:ascii="Cambria Math" w:hAnsi="Cambria Math" w:cs="Times New Roman"/>
                  <w:szCs w:val="20"/>
                </w:rPr>
                <m:t>∙</m:t>
              </m:r>
              <m:sSup>
                <m:sSupPr>
                  <m:ctrlPr>
                    <w:rPr>
                      <w:rFonts w:ascii="Cambria Math" w:hAnsi="Cambria Math" w:cs="Times New Roman"/>
                      <w:i/>
                      <w:szCs w:val="20"/>
                    </w:rPr>
                  </m:ctrlPr>
                </m:sSupPr>
                <m:e>
                  <m:r>
                    <w:rPr>
                      <w:rFonts w:ascii="Cambria Math" w:hAnsi="Cambria Math" w:cs="Times New Roman"/>
                      <w:szCs w:val="20"/>
                    </w:rPr>
                    <m:t>10</m:t>
                  </m:r>
                </m:e>
                <m:sup>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L</m:t>
                      </m:r>
                    </m:e>
                    <m:sub>
                      <m:r>
                        <w:rPr>
                          <w:rFonts w:ascii="Cambria Math" w:hAnsi="Cambria Math" w:cs="Times New Roman"/>
                          <w:szCs w:val="20"/>
                        </w:rPr>
                        <m:t>55%</m:t>
                      </m:r>
                    </m:sub>
                  </m:sSub>
                  <m:r>
                    <w:rPr>
                      <w:rFonts w:ascii="Cambria Math" w:hAnsi="Cambria Math" w:cs="Times New Roman"/>
                      <w:szCs w:val="20"/>
                    </w:rPr>
                    <m:t>/10)</m:t>
                  </m:r>
                </m:sup>
              </m:sSup>
            </m:oMath>
            <w:r w:rsidR="00D35E51" w:rsidRPr="004224F6">
              <w:rPr>
                <w:rFonts w:ascii="Times New Roman" w:hAnsi="Times New Roman" w:cs="Times New Roman"/>
                <w:lang w:eastAsia="bg-BG"/>
              </w:rPr>
              <w:t xml:space="preserve"> +∙</w:t>
            </w:r>
            <m:oMath>
              <m:r>
                <m:rPr>
                  <m:sty m:val="p"/>
                </m:rPr>
                <w:rPr>
                  <w:rFonts w:ascii="Cambria Math" w:hAnsi="Cambria Math" w:cs="Times New Roman"/>
                  <w:lang w:eastAsia="bg-BG"/>
                </w:rPr>
                <m:t>0,14</m:t>
              </m:r>
              <m:r>
                <w:rPr>
                  <w:rFonts w:ascii="Cambria Math" w:hAnsi="Cambria Math" w:cs="Times New Roman"/>
                  <w:szCs w:val="20"/>
                </w:rPr>
                <m:t>∙</m:t>
              </m:r>
              <m:sSup>
                <m:sSupPr>
                  <m:ctrlPr>
                    <w:rPr>
                      <w:rFonts w:ascii="Cambria Math" w:hAnsi="Cambria Math" w:cs="Times New Roman"/>
                      <w:i/>
                      <w:szCs w:val="20"/>
                    </w:rPr>
                  </m:ctrlPr>
                </m:sSupPr>
                <m:e>
                  <m:r>
                    <w:rPr>
                      <w:rFonts w:ascii="Cambria Math" w:hAnsi="Cambria Math" w:cs="Times New Roman"/>
                      <w:szCs w:val="20"/>
                    </w:rPr>
                    <m:t>10</m:t>
                  </m:r>
                </m:e>
                <m:sup>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L</m:t>
                      </m:r>
                    </m:e>
                    <m:sub>
                      <m:r>
                        <w:rPr>
                          <w:rFonts w:ascii="Cambria Math" w:hAnsi="Cambria Math" w:cs="Times New Roman"/>
                          <w:szCs w:val="20"/>
                        </w:rPr>
                        <m:t>85%</m:t>
                      </m:r>
                    </m:sub>
                  </m:sSub>
                  <m:r>
                    <w:rPr>
                      <w:rFonts w:ascii="Cambria Math" w:hAnsi="Cambria Math" w:cs="Times New Roman"/>
                      <w:szCs w:val="20"/>
                    </w:rPr>
                    <m:t>/10)</m:t>
                  </m:r>
                </m:sup>
              </m:sSup>
            </m:oMath>
            <w:r w:rsidR="00D35E51" w:rsidRPr="004224F6">
              <w:rPr>
                <w:rFonts w:ascii="Times New Roman" w:hAnsi="Times New Roman" w:cs="Times New Roman"/>
                <w:lang w:eastAsia="bg-BG"/>
              </w:rPr>
              <w:t>)</w:t>
            </w:r>
            <m:oMath>
              <m:r>
                <w:rPr>
                  <w:rFonts w:ascii="Cambria Math" w:hAnsi="Cambria Math" w:cs="Times New Roman"/>
                  <w:lang w:eastAsia="bg-BG"/>
                </w:rPr>
                <m:t>]</m:t>
              </m:r>
            </m:oMath>
          </w:p>
        </w:tc>
      </w:tr>
      <w:tr w:rsidR="00271FA2" w:rsidRPr="004224F6" w14:paraId="42CB7CD9" w14:textId="77777777">
        <w:tc>
          <w:tcPr>
            <w:tcW w:w="2693" w:type="dxa"/>
          </w:tcPr>
          <w:p w14:paraId="2334C01B"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Мощност (Hp):</w:t>
            </w:r>
          </w:p>
        </w:tc>
        <w:tc>
          <w:tcPr>
            <w:tcW w:w="2977" w:type="dxa"/>
            <w:tcBorders>
              <w:right w:val="single" w:sz="4" w:space="0" w:color="auto"/>
            </w:tcBorders>
          </w:tcPr>
          <w:p w14:paraId="39BA9FBB"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478E8D31" w14:textId="77777777" w:rsidR="00271FA2" w:rsidRPr="004224F6" w:rsidRDefault="00271FA2">
            <w:pPr>
              <w:pStyle w:val="ListParagraph"/>
              <w:numPr>
                <w:ilvl w:val="0"/>
                <w:numId w:val="55"/>
              </w:numPr>
              <w:spacing w:line="240" w:lineRule="atLeast"/>
              <w:rPr>
                <w:rFonts w:ascii="Times New Roman" w:hAnsi="Times New Roman" w:cs="Times New Roman"/>
              </w:rPr>
            </w:pPr>
          </w:p>
        </w:tc>
      </w:tr>
      <w:tr w:rsidR="00271FA2" w:rsidRPr="004224F6" w14:paraId="517AC941" w14:textId="77777777">
        <w:tc>
          <w:tcPr>
            <w:tcW w:w="2693" w:type="dxa"/>
          </w:tcPr>
          <w:p w14:paraId="138167D4"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Твърд монтаж:</w:t>
            </w:r>
          </w:p>
        </w:tc>
        <w:tc>
          <w:tcPr>
            <w:tcW w:w="2977" w:type="dxa"/>
            <w:tcBorders>
              <w:right w:val="single" w:sz="4" w:space="0" w:color="auto"/>
            </w:tcBorders>
          </w:tcPr>
          <w:p w14:paraId="6678DF12"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46129213" w14:textId="77777777" w:rsidR="00271FA2" w:rsidRPr="004224F6" w:rsidRDefault="00271FA2">
            <w:pPr>
              <w:pStyle w:val="ListParagraph"/>
              <w:numPr>
                <w:ilvl w:val="0"/>
                <w:numId w:val="55"/>
              </w:numPr>
              <w:spacing w:line="240" w:lineRule="atLeast"/>
              <w:rPr>
                <w:rFonts w:ascii="Times New Roman" w:hAnsi="Times New Roman" w:cs="Times New Roman"/>
              </w:rPr>
            </w:pPr>
          </w:p>
        </w:tc>
      </w:tr>
      <w:tr w:rsidR="00271FA2" w:rsidRPr="004224F6" w14:paraId="21255671" w14:textId="77777777">
        <w:tc>
          <w:tcPr>
            <w:tcW w:w="2693" w:type="dxa"/>
          </w:tcPr>
          <w:p w14:paraId="6E87A118" w14:textId="77777777" w:rsidR="00271FA2" w:rsidRPr="004224F6" w:rsidRDefault="009E5F16">
            <w:pPr>
              <w:spacing w:line="240" w:lineRule="atLeast"/>
              <w:rPr>
                <w:rFonts w:ascii="Times New Roman" w:hAnsi="Times New Roman" w:cs="Times New Roman"/>
              </w:rPr>
            </w:pPr>
            <w:r w:rsidRPr="004224F6">
              <w:rPr>
                <w:rFonts w:ascii="Times New Roman" w:hAnsi="Times New Roman" w:cs="Times New Roman"/>
              </w:rPr>
              <w:t>Maкс.</w:t>
            </w:r>
            <w:r w:rsidR="00D35E51" w:rsidRPr="004224F6">
              <w:rPr>
                <w:rFonts w:ascii="Times New Roman" w:hAnsi="Times New Roman" w:cs="Times New Roman"/>
              </w:rPr>
              <w:t xml:space="preserve"> скорост на двигателя</w:t>
            </w:r>
          </w:p>
        </w:tc>
        <w:tc>
          <w:tcPr>
            <w:tcW w:w="2977" w:type="dxa"/>
            <w:tcBorders>
              <w:right w:val="single" w:sz="4" w:space="0" w:color="auto"/>
            </w:tcBorders>
          </w:tcPr>
          <w:p w14:paraId="643C17CB"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7069AD2C" w14:textId="77777777" w:rsidR="00271FA2" w:rsidRPr="004224F6" w:rsidRDefault="00271FA2">
            <w:pPr>
              <w:pStyle w:val="ListParagraph"/>
              <w:numPr>
                <w:ilvl w:val="0"/>
                <w:numId w:val="55"/>
              </w:numPr>
              <w:spacing w:line="240" w:lineRule="atLeast"/>
              <w:rPr>
                <w:rFonts w:ascii="Times New Roman" w:hAnsi="Times New Roman" w:cs="Times New Roman"/>
              </w:rPr>
            </w:pPr>
          </w:p>
        </w:tc>
      </w:tr>
      <w:tr w:rsidR="00271FA2" w:rsidRPr="004224F6" w14:paraId="46BC508F" w14:textId="77777777">
        <w:tc>
          <w:tcPr>
            <w:tcW w:w="2693" w:type="dxa"/>
          </w:tcPr>
          <w:p w14:paraId="3071DE6E"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t>Тип витло:</w:t>
            </w:r>
          </w:p>
        </w:tc>
        <w:tc>
          <w:tcPr>
            <w:tcW w:w="2977" w:type="dxa"/>
            <w:tcBorders>
              <w:right w:val="single" w:sz="4" w:space="0" w:color="auto"/>
            </w:tcBorders>
          </w:tcPr>
          <w:p w14:paraId="1B6EF057" w14:textId="77777777" w:rsidR="00271FA2" w:rsidRPr="004224F6" w:rsidRDefault="00271FA2">
            <w:pPr>
              <w:spacing w:line="240" w:lineRule="atLeast"/>
              <w:rPr>
                <w:rFonts w:ascii="Times New Roman" w:hAnsi="Times New Roman" w:cs="Times New Roman"/>
              </w:rPr>
            </w:pPr>
          </w:p>
        </w:tc>
        <w:tc>
          <w:tcPr>
            <w:tcW w:w="7513" w:type="dxa"/>
            <w:tcBorders>
              <w:top w:val="nil"/>
              <w:left w:val="single" w:sz="4" w:space="0" w:color="auto"/>
              <w:bottom w:val="nil"/>
              <w:right w:val="nil"/>
            </w:tcBorders>
          </w:tcPr>
          <w:p w14:paraId="0A06ECEF" w14:textId="77777777" w:rsidR="00271FA2" w:rsidRPr="004224F6" w:rsidRDefault="00271FA2">
            <w:pPr>
              <w:pStyle w:val="ListParagraph"/>
              <w:numPr>
                <w:ilvl w:val="0"/>
                <w:numId w:val="55"/>
              </w:numPr>
              <w:spacing w:line="240" w:lineRule="atLeast"/>
              <w:rPr>
                <w:rFonts w:ascii="Times New Roman" w:hAnsi="Times New Roman" w:cs="Times New Roman"/>
              </w:rPr>
            </w:pPr>
          </w:p>
        </w:tc>
      </w:tr>
    </w:tbl>
    <w:p w14:paraId="416B5F95"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br w:type="page"/>
      </w:r>
    </w:p>
    <w:tbl>
      <w:tblPr>
        <w:tblStyle w:val="TableGrid"/>
        <w:tblW w:w="0" w:type="auto"/>
        <w:tblLook w:val="04A0" w:firstRow="1" w:lastRow="0" w:firstColumn="1" w:lastColumn="0" w:noHBand="0" w:noVBand="1"/>
      </w:tblPr>
      <w:tblGrid>
        <w:gridCol w:w="1843"/>
        <w:gridCol w:w="1418"/>
        <w:gridCol w:w="1418"/>
        <w:gridCol w:w="1418"/>
        <w:gridCol w:w="1418"/>
        <w:gridCol w:w="1418"/>
        <w:gridCol w:w="1418"/>
        <w:gridCol w:w="1701"/>
        <w:gridCol w:w="1701"/>
      </w:tblGrid>
      <w:tr w:rsidR="00271FA2" w:rsidRPr="004224F6" w14:paraId="08CB3355" w14:textId="77777777">
        <w:tc>
          <w:tcPr>
            <w:tcW w:w="1843" w:type="dxa"/>
            <w:tcBorders>
              <w:top w:val="nil"/>
              <w:left w:val="nil"/>
              <w:bottom w:val="nil"/>
              <w:right w:val="single" w:sz="4" w:space="0" w:color="auto"/>
            </w:tcBorders>
          </w:tcPr>
          <w:p w14:paraId="4F3EA49B"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left w:val="single" w:sz="4" w:space="0" w:color="auto"/>
              <w:bottom w:val="single" w:sz="4" w:space="0" w:color="auto"/>
            </w:tcBorders>
          </w:tcPr>
          <w:p w14:paraId="313DA11B"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Жилищно помещение</w:t>
            </w:r>
          </w:p>
        </w:tc>
        <w:tc>
          <w:tcPr>
            <w:tcW w:w="1418" w:type="dxa"/>
            <w:tcBorders>
              <w:bottom w:val="single" w:sz="4" w:space="0" w:color="auto"/>
            </w:tcBorders>
          </w:tcPr>
          <w:p w14:paraId="245A57A3"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Кабина за спане 1</w:t>
            </w:r>
          </w:p>
        </w:tc>
        <w:tc>
          <w:tcPr>
            <w:tcW w:w="1418" w:type="dxa"/>
            <w:tcBorders>
              <w:bottom w:val="single" w:sz="4" w:space="0" w:color="auto"/>
            </w:tcBorders>
          </w:tcPr>
          <w:p w14:paraId="38E0BEFD"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Кабина за спане 2</w:t>
            </w:r>
          </w:p>
        </w:tc>
        <w:tc>
          <w:tcPr>
            <w:tcW w:w="1418" w:type="dxa"/>
            <w:tcBorders>
              <w:bottom w:val="single" w:sz="4" w:space="0" w:color="auto"/>
            </w:tcBorders>
          </w:tcPr>
          <w:p w14:paraId="210BC149"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Кабина за спане 3</w:t>
            </w:r>
          </w:p>
        </w:tc>
        <w:tc>
          <w:tcPr>
            <w:tcW w:w="1418" w:type="dxa"/>
            <w:tcBorders>
              <w:bottom w:val="single" w:sz="4" w:space="0" w:color="auto"/>
            </w:tcBorders>
          </w:tcPr>
          <w:p w14:paraId="5B02CB09"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Рулева рубка</w:t>
            </w:r>
          </w:p>
        </w:tc>
        <w:tc>
          <w:tcPr>
            <w:tcW w:w="1418" w:type="dxa"/>
            <w:tcBorders>
              <w:bottom w:val="single" w:sz="4" w:space="0" w:color="auto"/>
              <w:right w:val="single" w:sz="4" w:space="0" w:color="auto"/>
            </w:tcBorders>
          </w:tcPr>
          <w:p w14:paraId="1533F6FB"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Машинно отделение</w:t>
            </w:r>
          </w:p>
        </w:tc>
        <w:tc>
          <w:tcPr>
            <w:tcW w:w="1701" w:type="dxa"/>
            <w:tcBorders>
              <w:top w:val="nil"/>
              <w:left w:val="single" w:sz="4" w:space="0" w:color="auto"/>
              <w:bottom w:val="nil"/>
              <w:right w:val="single" w:sz="4" w:space="0" w:color="auto"/>
            </w:tcBorders>
          </w:tcPr>
          <w:p w14:paraId="0596C571"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701" w:type="dxa"/>
            <w:tcBorders>
              <w:left w:val="single" w:sz="4" w:space="0" w:color="auto"/>
            </w:tcBorders>
          </w:tcPr>
          <w:p w14:paraId="042133C1"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Коефицент MCR</w:t>
            </w:r>
          </w:p>
        </w:tc>
      </w:tr>
      <w:tr w:rsidR="00271FA2" w:rsidRPr="004224F6" w14:paraId="313EA5D9" w14:textId="77777777">
        <w:tc>
          <w:tcPr>
            <w:tcW w:w="13753" w:type="dxa"/>
            <w:gridSpan w:val="9"/>
            <w:tcBorders>
              <w:top w:val="nil"/>
              <w:left w:val="nil"/>
              <w:bottom w:val="nil"/>
            </w:tcBorders>
          </w:tcPr>
          <w:p w14:paraId="767CEA8A"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r w:rsidR="00271FA2" w:rsidRPr="004224F6" w14:paraId="71925FCC" w14:textId="77777777">
        <w:tc>
          <w:tcPr>
            <w:tcW w:w="1843" w:type="dxa"/>
            <w:tcBorders>
              <w:top w:val="nil"/>
              <w:left w:val="nil"/>
              <w:bottom w:val="nil"/>
              <w:right w:val="single" w:sz="4" w:space="0" w:color="auto"/>
            </w:tcBorders>
          </w:tcPr>
          <w:p w14:paraId="4B6D3718" w14:textId="77777777" w:rsidR="00271FA2" w:rsidRPr="004224F6" w:rsidRDefault="00D35E51">
            <w:pPr>
              <w:tabs>
                <w:tab w:val="left" w:pos="284"/>
              </w:tabs>
              <w:spacing w:line="240" w:lineRule="atLeast"/>
              <w:rPr>
                <w:rFonts w:ascii="Times New Roman" w:hAnsi="Times New Roman" w:cs="Times New Roman"/>
                <w:sz w:val="18"/>
                <w:szCs w:val="18"/>
              </w:rPr>
            </w:pPr>
            <w:r w:rsidRPr="004224F6">
              <w:rPr>
                <w:rFonts w:ascii="Times New Roman" w:hAnsi="Times New Roman" w:cs="Times New Roman"/>
                <w:sz w:val="18"/>
                <w:szCs w:val="18"/>
              </w:rPr>
              <w:t>85% MCR</w:t>
            </w:r>
          </w:p>
        </w:tc>
        <w:tc>
          <w:tcPr>
            <w:tcW w:w="1418" w:type="dxa"/>
            <w:tcBorders>
              <w:top w:val="single" w:sz="4" w:space="0" w:color="auto"/>
              <w:left w:val="single" w:sz="4" w:space="0" w:color="auto"/>
            </w:tcBorders>
            <w:shd w:val="clear" w:color="auto" w:fill="FFFF00"/>
          </w:tcPr>
          <w:p w14:paraId="37E77593"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tcBorders>
            <w:shd w:val="clear" w:color="auto" w:fill="FFFF00"/>
          </w:tcPr>
          <w:p w14:paraId="45966AC8"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tcBorders>
            <w:shd w:val="clear" w:color="auto" w:fill="FFFF00"/>
          </w:tcPr>
          <w:p w14:paraId="368B6774"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tcBorders>
            <w:shd w:val="clear" w:color="auto" w:fill="FFFF00"/>
          </w:tcPr>
          <w:p w14:paraId="1D0C9D17"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tcBorders>
            <w:shd w:val="clear" w:color="auto" w:fill="FFFF00"/>
          </w:tcPr>
          <w:p w14:paraId="07F34DEE"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right w:val="single" w:sz="4" w:space="0" w:color="auto"/>
            </w:tcBorders>
            <w:shd w:val="clear" w:color="auto" w:fill="FFFF00"/>
          </w:tcPr>
          <w:p w14:paraId="1C015D62"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701" w:type="dxa"/>
            <w:tcBorders>
              <w:top w:val="nil"/>
              <w:left w:val="single" w:sz="4" w:space="0" w:color="auto"/>
              <w:bottom w:val="nil"/>
              <w:right w:val="single" w:sz="4" w:space="0" w:color="auto"/>
            </w:tcBorders>
          </w:tcPr>
          <w:p w14:paraId="7B683BBC" w14:textId="77777777" w:rsidR="00271FA2" w:rsidRPr="004224F6" w:rsidRDefault="002C62EC">
            <w:pPr>
              <w:spacing w:line="240" w:lineRule="atLeast"/>
              <w:rPr>
                <w:rFonts w:ascii="Times New Roman" w:hAnsi="Times New Roman" w:cs="Times New Roman"/>
                <w:sz w:val="18"/>
                <w:szCs w:val="18"/>
              </w:rPr>
            </w:pPr>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Aeq</m:t>
                  </m:r>
                </m:sub>
              </m:sSub>
            </m:oMath>
            <w:r w:rsidR="00D35E51" w:rsidRPr="004224F6">
              <w:rPr>
                <w:rFonts w:ascii="Times New Roman" w:hAnsi="Times New Roman" w:cs="Times New Roman"/>
                <w:sz w:val="18"/>
                <w:szCs w:val="18"/>
                <w:lang w:eastAsia="bg-BG"/>
              </w:rPr>
              <w:t>[dB(A)]</w:t>
            </w:r>
          </w:p>
        </w:tc>
        <w:tc>
          <w:tcPr>
            <w:tcW w:w="1701" w:type="dxa"/>
            <w:tcBorders>
              <w:left w:val="single" w:sz="4" w:space="0" w:color="auto"/>
            </w:tcBorders>
          </w:tcPr>
          <w:p w14:paraId="68C891E8"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0,14</w:t>
            </w:r>
          </w:p>
        </w:tc>
      </w:tr>
      <w:tr w:rsidR="00271FA2" w:rsidRPr="004224F6" w14:paraId="09BC990C" w14:textId="77777777">
        <w:tc>
          <w:tcPr>
            <w:tcW w:w="1843" w:type="dxa"/>
            <w:tcBorders>
              <w:top w:val="nil"/>
              <w:left w:val="nil"/>
              <w:bottom w:val="nil"/>
              <w:right w:val="single" w:sz="4" w:space="0" w:color="auto"/>
            </w:tcBorders>
          </w:tcPr>
          <w:p w14:paraId="1772123E" w14:textId="77777777" w:rsidR="00271FA2" w:rsidRPr="004224F6" w:rsidRDefault="00D35E51">
            <w:pPr>
              <w:tabs>
                <w:tab w:val="left" w:pos="284"/>
              </w:tabs>
              <w:spacing w:line="240" w:lineRule="atLeast"/>
              <w:rPr>
                <w:rFonts w:ascii="Times New Roman" w:hAnsi="Times New Roman" w:cs="Times New Roman"/>
                <w:sz w:val="18"/>
                <w:szCs w:val="18"/>
              </w:rPr>
            </w:pPr>
            <w:r w:rsidRPr="004224F6">
              <w:rPr>
                <w:rFonts w:ascii="Times New Roman" w:hAnsi="Times New Roman" w:cs="Times New Roman"/>
                <w:sz w:val="18"/>
                <w:szCs w:val="18"/>
              </w:rPr>
              <w:t>55% MCR</w:t>
            </w:r>
          </w:p>
        </w:tc>
        <w:tc>
          <w:tcPr>
            <w:tcW w:w="1418" w:type="dxa"/>
            <w:tcBorders>
              <w:left w:val="single" w:sz="4" w:space="0" w:color="auto"/>
            </w:tcBorders>
            <w:shd w:val="clear" w:color="auto" w:fill="FFFF00"/>
          </w:tcPr>
          <w:p w14:paraId="0E329531"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459222E9"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125221A2"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73E10749"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1AE167A5"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right w:val="single" w:sz="4" w:space="0" w:color="auto"/>
            </w:tcBorders>
            <w:shd w:val="clear" w:color="auto" w:fill="FFFF00"/>
          </w:tcPr>
          <w:p w14:paraId="5451DC9D"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701" w:type="dxa"/>
            <w:tcBorders>
              <w:top w:val="nil"/>
              <w:left w:val="single" w:sz="4" w:space="0" w:color="auto"/>
              <w:bottom w:val="nil"/>
              <w:right w:val="single" w:sz="4" w:space="0" w:color="auto"/>
            </w:tcBorders>
          </w:tcPr>
          <w:p w14:paraId="63894B4D" w14:textId="77777777" w:rsidR="00271FA2" w:rsidRPr="004224F6" w:rsidRDefault="002C62EC">
            <w:pPr>
              <w:spacing w:line="240" w:lineRule="atLeast"/>
              <w:rPr>
                <w:rFonts w:ascii="Times New Roman" w:hAnsi="Times New Roman" w:cs="Times New Roman"/>
                <w:sz w:val="18"/>
                <w:szCs w:val="18"/>
              </w:rPr>
            </w:pPr>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Aeq</m:t>
                  </m:r>
                </m:sub>
              </m:sSub>
            </m:oMath>
            <w:r w:rsidR="00D35E51" w:rsidRPr="004224F6">
              <w:rPr>
                <w:rFonts w:ascii="Times New Roman" w:hAnsi="Times New Roman" w:cs="Times New Roman"/>
                <w:sz w:val="18"/>
                <w:szCs w:val="18"/>
                <w:lang w:eastAsia="bg-BG"/>
              </w:rPr>
              <w:t>[dB(A)]</w:t>
            </w:r>
          </w:p>
        </w:tc>
        <w:tc>
          <w:tcPr>
            <w:tcW w:w="1701" w:type="dxa"/>
            <w:tcBorders>
              <w:left w:val="single" w:sz="4" w:space="0" w:color="auto"/>
            </w:tcBorders>
          </w:tcPr>
          <w:p w14:paraId="251AA1C4"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0,23</w:t>
            </w:r>
          </w:p>
        </w:tc>
      </w:tr>
      <w:tr w:rsidR="00271FA2" w:rsidRPr="004224F6" w14:paraId="222886D3" w14:textId="77777777">
        <w:tc>
          <w:tcPr>
            <w:tcW w:w="13753" w:type="dxa"/>
            <w:gridSpan w:val="9"/>
            <w:tcBorders>
              <w:top w:val="nil"/>
              <w:left w:val="nil"/>
              <w:bottom w:val="nil"/>
            </w:tcBorders>
          </w:tcPr>
          <w:p w14:paraId="234827B8"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r w:rsidR="00271FA2" w:rsidRPr="004224F6" w14:paraId="1C0B643C" w14:textId="77777777">
        <w:tc>
          <w:tcPr>
            <w:tcW w:w="1843" w:type="dxa"/>
            <w:tcBorders>
              <w:top w:val="nil"/>
              <w:left w:val="nil"/>
              <w:bottom w:val="nil"/>
              <w:right w:val="single" w:sz="4" w:space="0" w:color="auto"/>
            </w:tcBorders>
          </w:tcPr>
          <w:p w14:paraId="07C92359" w14:textId="77777777" w:rsidR="00271FA2" w:rsidRPr="004224F6" w:rsidRDefault="00D35E51">
            <w:pPr>
              <w:tabs>
                <w:tab w:val="left" w:pos="284"/>
              </w:tabs>
              <w:spacing w:line="240" w:lineRule="atLeast"/>
              <w:rPr>
                <w:rFonts w:ascii="Times New Roman" w:hAnsi="Times New Roman" w:cs="Times New Roman"/>
                <w:sz w:val="18"/>
                <w:szCs w:val="18"/>
              </w:rPr>
            </w:pPr>
            <w:r w:rsidRPr="004224F6">
              <w:rPr>
                <w:rFonts w:ascii="Times New Roman" w:hAnsi="Times New Roman" w:cs="Times New Roman"/>
                <w:sz w:val="18"/>
                <w:szCs w:val="18"/>
              </w:rPr>
              <w:t>MCR - микс</w:t>
            </w:r>
          </w:p>
        </w:tc>
        <w:tc>
          <w:tcPr>
            <w:tcW w:w="1418" w:type="dxa"/>
            <w:tcBorders>
              <w:left w:val="single" w:sz="4" w:space="0" w:color="auto"/>
            </w:tcBorders>
            <w:shd w:val="clear" w:color="auto" w:fill="auto"/>
          </w:tcPr>
          <w:p w14:paraId="4A5DC6E0"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auto"/>
          </w:tcPr>
          <w:p w14:paraId="0AA36C66"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auto"/>
          </w:tcPr>
          <w:p w14:paraId="3A82438C"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auto"/>
          </w:tcPr>
          <w:p w14:paraId="32661811"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auto"/>
          </w:tcPr>
          <w:p w14:paraId="11B62596"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right w:val="single" w:sz="4" w:space="0" w:color="auto"/>
            </w:tcBorders>
            <w:shd w:val="clear" w:color="auto" w:fill="auto"/>
          </w:tcPr>
          <w:p w14:paraId="13CCA411"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701" w:type="dxa"/>
            <w:tcBorders>
              <w:top w:val="nil"/>
              <w:left w:val="single" w:sz="4" w:space="0" w:color="auto"/>
              <w:bottom w:val="nil"/>
              <w:right w:val="single" w:sz="4" w:space="0" w:color="auto"/>
            </w:tcBorders>
          </w:tcPr>
          <w:p w14:paraId="2CBED8F9" w14:textId="77777777" w:rsidR="00271FA2" w:rsidRPr="004224F6" w:rsidRDefault="002C62EC">
            <w:pPr>
              <w:tabs>
                <w:tab w:val="left" w:pos="284"/>
              </w:tabs>
              <w:spacing w:line="240" w:lineRule="atLeast"/>
              <w:rPr>
                <w:rFonts w:ascii="Times New Roman" w:hAnsi="Times New Roman" w:cs="Times New Roman"/>
                <w:sz w:val="18"/>
                <w:szCs w:val="18"/>
              </w:rPr>
            </w:pPr>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Aeq</m:t>
                  </m:r>
                </m:sub>
              </m:sSub>
            </m:oMath>
            <w:r w:rsidR="00D35E51" w:rsidRPr="004224F6">
              <w:rPr>
                <w:rFonts w:ascii="Times New Roman" w:hAnsi="Times New Roman" w:cs="Times New Roman"/>
                <w:sz w:val="18"/>
                <w:szCs w:val="18"/>
                <w:lang w:eastAsia="bg-BG"/>
              </w:rPr>
              <w:t>[dB(A)]</w:t>
            </w:r>
          </w:p>
        </w:tc>
        <w:tc>
          <w:tcPr>
            <w:tcW w:w="1701" w:type="dxa"/>
            <w:tcBorders>
              <w:left w:val="single" w:sz="4" w:space="0" w:color="auto"/>
            </w:tcBorders>
          </w:tcPr>
          <w:p w14:paraId="30969629"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0,37</w:t>
            </w:r>
          </w:p>
        </w:tc>
      </w:tr>
      <w:tr w:rsidR="00271FA2" w:rsidRPr="004224F6" w14:paraId="3643063D" w14:textId="77777777">
        <w:tc>
          <w:tcPr>
            <w:tcW w:w="13753" w:type="dxa"/>
            <w:gridSpan w:val="9"/>
            <w:tcBorders>
              <w:top w:val="nil"/>
              <w:left w:val="nil"/>
              <w:bottom w:val="nil"/>
            </w:tcBorders>
          </w:tcPr>
          <w:p w14:paraId="7C111441"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r w:rsidR="00271FA2" w:rsidRPr="004224F6" w14:paraId="047D88E0" w14:textId="77777777">
        <w:tc>
          <w:tcPr>
            <w:tcW w:w="1843" w:type="dxa"/>
            <w:tcBorders>
              <w:top w:val="nil"/>
              <w:left w:val="nil"/>
              <w:bottom w:val="nil"/>
              <w:right w:val="single" w:sz="4" w:space="0" w:color="auto"/>
            </w:tcBorders>
          </w:tcPr>
          <w:p w14:paraId="4453191E" w14:textId="77777777" w:rsidR="00271FA2" w:rsidRPr="004224F6" w:rsidRDefault="00D35E51">
            <w:pPr>
              <w:tabs>
                <w:tab w:val="left" w:pos="284"/>
              </w:tabs>
              <w:spacing w:line="240" w:lineRule="atLeast"/>
              <w:rPr>
                <w:rFonts w:ascii="Times New Roman" w:hAnsi="Times New Roman" w:cs="Times New Roman"/>
                <w:sz w:val="18"/>
                <w:szCs w:val="18"/>
              </w:rPr>
            </w:pPr>
            <w:r w:rsidRPr="004224F6">
              <w:rPr>
                <w:rFonts w:ascii="Times New Roman" w:hAnsi="Times New Roman" w:cs="Times New Roman"/>
                <w:sz w:val="18"/>
                <w:szCs w:val="18"/>
              </w:rPr>
              <w:t>25% MCR</w:t>
            </w:r>
          </w:p>
        </w:tc>
        <w:tc>
          <w:tcPr>
            <w:tcW w:w="1418" w:type="dxa"/>
            <w:tcBorders>
              <w:left w:val="single" w:sz="4" w:space="0" w:color="auto"/>
            </w:tcBorders>
            <w:shd w:val="clear" w:color="auto" w:fill="FFFF00"/>
          </w:tcPr>
          <w:p w14:paraId="42F76E43"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294DDC6E"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2B0E2481"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589B39B6"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5601D495"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right w:val="single" w:sz="4" w:space="0" w:color="auto"/>
            </w:tcBorders>
            <w:shd w:val="clear" w:color="auto" w:fill="FFFF00"/>
          </w:tcPr>
          <w:p w14:paraId="1F452D53"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701" w:type="dxa"/>
            <w:tcBorders>
              <w:top w:val="nil"/>
              <w:left w:val="single" w:sz="4" w:space="0" w:color="auto"/>
              <w:bottom w:val="nil"/>
              <w:right w:val="single" w:sz="4" w:space="0" w:color="auto"/>
            </w:tcBorders>
          </w:tcPr>
          <w:p w14:paraId="3BE890C9" w14:textId="77777777" w:rsidR="00271FA2" w:rsidRPr="004224F6" w:rsidRDefault="002C62EC">
            <w:pPr>
              <w:tabs>
                <w:tab w:val="left" w:pos="284"/>
              </w:tabs>
              <w:spacing w:line="240" w:lineRule="atLeast"/>
              <w:rPr>
                <w:rFonts w:ascii="Times New Roman" w:hAnsi="Times New Roman" w:cs="Times New Roman"/>
                <w:sz w:val="18"/>
                <w:szCs w:val="18"/>
              </w:rPr>
            </w:pPr>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Aeq</m:t>
                  </m:r>
                </m:sub>
              </m:sSub>
            </m:oMath>
            <w:r w:rsidR="00D35E51" w:rsidRPr="004224F6">
              <w:rPr>
                <w:rFonts w:ascii="Times New Roman" w:hAnsi="Times New Roman" w:cs="Times New Roman"/>
                <w:sz w:val="18"/>
                <w:szCs w:val="18"/>
                <w:lang w:eastAsia="bg-BG"/>
              </w:rPr>
              <w:t>[dB(A)]</w:t>
            </w:r>
          </w:p>
        </w:tc>
        <w:tc>
          <w:tcPr>
            <w:tcW w:w="1701" w:type="dxa"/>
            <w:tcBorders>
              <w:left w:val="single" w:sz="4" w:space="0" w:color="auto"/>
            </w:tcBorders>
          </w:tcPr>
          <w:p w14:paraId="64073B5F"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0,37</w:t>
            </w:r>
          </w:p>
        </w:tc>
      </w:tr>
      <w:tr w:rsidR="00271FA2" w:rsidRPr="004224F6" w14:paraId="06E92367" w14:textId="77777777">
        <w:tc>
          <w:tcPr>
            <w:tcW w:w="13753" w:type="dxa"/>
            <w:gridSpan w:val="9"/>
            <w:tcBorders>
              <w:top w:val="nil"/>
              <w:left w:val="nil"/>
              <w:bottom w:val="nil"/>
            </w:tcBorders>
          </w:tcPr>
          <w:p w14:paraId="5EF8B94A"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r w:rsidR="00271FA2" w:rsidRPr="004224F6" w14:paraId="66B29786" w14:textId="77777777">
        <w:tc>
          <w:tcPr>
            <w:tcW w:w="1843" w:type="dxa"/>
            <w:tcBorders>
              <w:top w:val="nil"/>
              <w:left w:val="nil"/>
              <w:bottom w:val="nil"/>
              <w:right w:val="single" w:sz="4" w:space="0" w:color="auto"/>
            </w:tcBorders>
          </w:tcPr>
          <w:p w14:paraId="38FFDFE4" w14:textId="77777777" w:rsidR="00271FA2" w:rsidRPr="004224F6" w:rsidRDefault="00D35E51">
            <w:pPr>
              <w:tabs>
                <w:tab w:val="left" w:pos="284"/>
              </w:tabs>
              <w:spacing w:line="240" w:lineRule="atLeast"/>
              <w:rPr>
                <w:rFonts w:ascii="Times New Roman" w:hAnsi="Times New Roman" w:cs="Times New Roman"/>
                <w:sz w:val="18"/>
                <w:szCs w:val="18"/>
              </w:rPr>
            </w:pPr>
            <w:r w:rsidRPr="004224F6">
              <w:rPr>
                <w:rFonts w:ascii="Times New Roman" w:hAnsi="Times New Roman" w:cs="Times New Roman"/>
                <w:sz w:val="18"/>
                <w:szCs w:val="18"/>
              </w:rPr>
              <w:t>MCR - микс</w:t>
            </w:r>
          </w:p>
        </w:tc>
        <w:tc>
          <w:tcPr>
            <w:tcW w:w="1418" w:type="dxa"/>
            <w:tcBorders>
              <w:left w:val="single" w:sz="4" w:space="0" w:color="auto"/>
            </w:tcBorders>
          </w:tcPr>
          <w:p w14:paraId="4B3CED84"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Pr>
          <w:p w14:paraId="7B70C9ED"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Pr>
          <w:p w14:paraId="30FF754C"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Pr>
          <w:p w14:paraId="5343A32C"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Pr>
          <w:p w14:paraId="64D7C286"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right w:val="single" w:sz="4" w:space="0" w:color="auto"/>
            </w:tcBorders>
          </w:tcPr>
          <w:p w14:paraId="444E6BF7"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701" w:type="dxa"/>
            <w:tcBorders>
              <w:top w:val="nil"/>
              <w:left w:val="single" w:sz="4" w:space="0" w:color="auto"/>
              <w:bottom w:val="nil"/>
              <w:right w:val="nil"/>
            </w:tcBorders>
          </w:tcPr>
          <w:p w14:paraId="0F90C20B" w14:textId="77777777" w:rsidR="00271FA2" w:rsidRPr="004224F6" w:rsidRDefault="002C62EC">
            <w:pPr>
              <w:tabs>
                <w:tab w:val="left" w:pos="284"/>
              </w:tabs>
              <w:spacing w:line="240" w:lineRule="atLeast"/>
              <w:rPr>
                <w:rFonts w:ascii="Times New Roman" w:hAnsi="Times New Roman" w:cs="Times New Roman"/>
                <w:sz w:val="18"/>
                <w:szCs w:val="18"/>
              </w:rPr>
            </w:pPr>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Aeq</m:t>
                  </m:r>
                </m:sub>
              </m:sSub>
            </m:oMath>
            <w:r w:rsidR="00D35E51" w:rsidRPr="004224F6">
              <w:rPr>
                <w:rFonts w:ascii="Times New Roman" w:hAnsi="Times New Roman" w:cs="Times New Roman"/>
                <w:sz w:val="18"/>
                <w:szCs w:val="18"/>
                <w:lang w:eastAsia="bg-BG"/>
              </w:rPr>
              <w:t>[dB(A)]</w:t>
            </w:r>
          </w:p>
        </w:tc>
        <w:tc>
          <w:tcPr>
            <w:tcW w:w="1701" w:type="dxa"/>
            <w:tcBorders>
              <w:top w:val="nil"/>
              <w:left w:val="nil"/>
              <w:bottom w:val="nil"/>
              <w:right w:val="nil"/>
            </w:tcBorders>
          </w:tcPr>
          <w:p w14:paraId="3F70D545"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r w:rsidR="00271FA2" w:rsidRPr="004224F6" w14:paraId="007A69D6" w14:textId="77777777">
        <w:tc>
          <w:tcPr>
            <w:tcW w:w="13753" w:type="dxa"/>
            <w:gridSpan w:val="9"/>
            <w:tcBorders>
              <w:top w:val="nil"/>
              <w:left w:val="nil"/>
              <w:bottom w:val="nil"/>
            </w:tcBorders>
          </w:tcPr>
          <w:p w14:paraId="6C6BD940"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r w:rsidR="00271FA2" w:rsidRPr="004224F6" w14:paraId="6014BD6E" w14:textId="77777777">
        <w:tc>
          <w:tcPr>
            <w:tcW w:w="1843" w:type="dxa"/>
            <w:tcBorders>
              <w:top w:val="nil"/>
              <w:left w:val="nil"/>
              <w:bottom w:val="nil"/>
              <w:right w:val="single" w:sz="4" w:space="0" w:color="auto"/>
            </w:tcBorders>
          </w:tcPr>
          <w:p w14:paraId="733AD456" w14:textId="77777777" w:rsidR="00271FA2" w:rsidRPr="004224F6" w:rsidRDefault="00D35E51">
            <w:pPr>
              <w:tabs>
                <w:tab w:val="left" w:pos="284"/>
              </w:tabs>
              <w:spacing w:line="240" w:lineRule="atLeast"/>
              <w:rPr>
                <w:rFonts w:ascii="Times New Roman" w:hAnsi="Times New Roman" w:cs="Times New Roman"/>
                <w:sz w:val="18"/>
                <w:szCs w:val="18"/>
              </w:rPr>
            </w:pPr>
            <w:r w:rsidRPr="004224F6">
              <w:rPr>
                <w:rFonts w:ascii="Times New Roman" w:hAnsi="Times New Roman" w:cs="Times New Roman"/>
                <w:sz w:val="18"/>
                <w:szCs w:val="18"/>
              </w:rPr>
              <w:t>5% MCR</w:t>
            </w:r>
          </w:p>
        </w:tc>
        <w:tc>
          <w:tcPr>
            <w:tcW w:w="1418" w:type="dxa"/>
            <w:tcBorders>
              <w:left w:val="single" w:sz="4" w:space="0" w:color="auto"/>
            </w:tcBorders>
            <w:shd w:val="clear" w:color="auto" w:fill="FFFF00"/>
          </w:tcPr>
          <w:p w14:paraId="32F0DDC8"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5D790E4E"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0826BF93"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519019D5"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shd w:val="clear" w:color="auto" w:fill="FFFF00"/>
          </w:tcPr>
          <w:p w14:paraId="203BD965"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right w:val="single" w:sz="4" w:space="0" w:color="auto"/>
            </w:tcBorders>
            <w:shd w:val="clear" w:color="auto" w:fill="FFFF00"/>
          </w:tcPr>
          <w:p w14:paraId="330FC970"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701" w:type="dxa"/>
            <w:tcBorders>
              <w:top w:val="nil"/>
              <w:left w:val="single" w:sz="4" w:space="0" w:color="auto"/>
              <w:bottom w:val="nil"/>
              <w:right w:val="single" w:sz="4" w:space="0" w:color="auto"/>
            </w:tcBorders>
          </w:tcPr>
          <w:p w14:paraId="7FAFAE0B" w14:textId="77777777" w:rsidR="00271FA2" w:rsidRPr="004224F6" w:rsidRDefault="002C62EC">
            <w:pPr>
              <w:tabs>
                <w:tab w:val="left" w:pos="284"/>
              </w:tabs>
              <w:spacing w:line="240" w:lineRule="atLeast"/>
              <w:rPr>
                <w:rFonts w:ascii="Times New Roman" w:hAnsi="Times New Roman" w:cs="Times New Roman"/>
                <w:sz w:val="18"/>
                <w:szCs w:val="18"/>
              </w:rPr>
            </w:pPr>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Aeq</m:t>
                  </m:r>
                </m:sub>
              </m:sSub>
            </m:oMath>
            <w:r w:rsidR="00D35E51" w:rsidRPr="004224F6">
              <w:rPr>
                <w:rFonts w:ascii="Times New Roman" w:hAnsi="Times New Roman" w:cs="Times New Roman"/>
                <w:sz w:val="18"/>
                <w:szCs w:val="18"/>
                <w:lang w:eastAsia="bg-BG"/>
              </w:rPr>
              <w:t>[dB(A)]</w:t>
            </w:r>
          </w:p>
        </w:tc>
        <w:tc>
          <w:tcPr>
            <w:tcW w:w="1701" w:type="dxa"/>
            <w:tcBorders>
              <w:left w:val="single" w:sz="4" w:space="0" w:color="auto"/>
            </w:tcBorders>
          </w:tcPr>
          <w:p w14:paraId="11B4CC77"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0,26</w:t>
            </w:r>
          </w:p>
        </w:tc>
      </w:tr>
      <w:tr w:rsidR="00271FA2" w:rsidRPr="004224F6" w14:paraId="1672FFE9" w14:textId="77777777">
        <w:tc>
          <w:tcPr>
            <w:tcW w:w="13753" w:type="dxa"/>
            <w:gridSpan w:val="9"/>
            <w:tcBorders>
              <w:top w:val="nil"/>
              <w:left w:val="nil"/>
              <w:bottom w:val="nil"/>
            </w:tcBorders>
          </w:tcPr>
          <w:p w14:paraId="16B41AC0"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r w:rsidR="00271FA2" w:rsidRPr="004224F6" w14:paraId="0ADCA932" w14:textId="77777777">
        <w:tc>
          <w:tcPr>
            <w:tcW w:w="1843" w:type="dxa"/>
            <w:tcBorders>
              <w:top w:val="single" w:sz="4" w:space="0" w:color="auto"/>
              <w:left w:val="single" w:sz="4" w:space="0" w:color="auto"/>
              <w:bottom w:val="single" w:sz="4" w:space="0" w:color="auto"/>
              <w:right w:val="single" w:sz="4" w:space="0" w:color="auto"/>
            </w:tcBorders>
          </w:tcPr>
          <w:p w14:paraId="54D03E0C" w14:textId="77777777" w:rsidR="00271FA2" w:rsidRPr="004224F6" w:rsidRDefault="002C62EC">
            <w:pPr>
              <w:pStyle w:val="ListParagraph"/>
              <w:tabs>
                <w:tab w:val="left" w:pos="0"/>
              </w:tabs>
              <w:spacing w:line="240" w:lineRule="atLeast"/>
              <w:ind w:left="-142" w:firstLine="142"/>
              <w:rPr>
                <w:rFonts w:ascii="Times New Roman" w:hAnsi="Times New Roman" w:cs="Times New Roman"/>
                <w:sz w:val="18"/>
                <w:szCs w:val="18"/>
              </w:rPr>
            </w:pPr>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waSN</m:t>
                  </m:r>
                </m:sub>
              </m:sSub>
            </m:oMath>
            <w:r w:rsidR="00D35E51" w:rsidRPr="004224F6">
              <w:rPr>
                <w:rFonts w:ascii="Times New Roman" w:hAnsi="Times New Roman" w:cs="Times New Roman"/>
                <w:sz w:val="18"/>
                <w:szCs w:val="18"/>
                <w:lang w:eastAsia="bg-BG"/>
              </w:rPr>
              <w:t xml:space="preserve">MCR </w:t>
            </w:r>
            <w:r w:rsidR="00D35E51" w:rsidRPr="004224F6">
              <w:rPr>
                <w:rFonts w:ascii="Times New Roman" w:hAnsi="Times New Roman" w:cs="Times New Roman"/>
                <w:sz w:val="18"/>
                <w:szCs w:val="18"/>
              </w:rPr>
              <w:t>микс</w:t>
            </w:r>
          </w:p>
        </w:tc>
        <w:tc>
          <w:tcPr>
            <w:tcW w:w="1418" w:type="dxa"/>
            <w:tcBorders>
              <w:top w:val="single" w:sz="4" w:space="0" w:color="auto"/>
              <w:left w:val="single" w:sz="4" w:space="0" w:color="auto"/>
              <w:bottom w:val="single" w:sz="4" w:space="0" w:color="auto"/>
              <w:right w:val="single" w:sz="4" w:space="0" w:color="auto"/>
            </w:tcBorders>
          </w:tcPr>
          <w:p w14:paraId="53E9393C"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5459BB3"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72E0E4"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42A73E1"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BAC4B8A"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BDACDF0" w14:textId="77777777" w:rsidR="00271FA2" w:rsidRPr="004224F6" w:rsidRDefault="00271FA2">
            <w:pPr>
              <w:tabs>
                <w:tab w:val="left" w:pos="284"/>
              </w:tabs>
              <w:spacing w:line="240" w:lineRule="atLeast"/>
              <w:rPr>
                <w:rFonts w:ascii="Times New Roman" w:hAnsi="Times New Roman" w:cs="Times New Roman"/>
                <w:sz w:val="18"/>
                <w:szCs w:val="18"/>
              </w:rPr>
            </w:pPr>
          </w:p>
        </w:tc>
        <w:tc>
          <w:tcPr>
            <w:tcW w:w="1701" w:type="dxa"/>
            <w:tcBorders>
              <w:top w:val="nil"/>
              <w:left w:val="single" w:sz="4" w:space="0" w:color="auto"/>
              <w:bottom w:val="nil"/>
              <w:right w:val="nil"/>
            </w:tcBorders>
          </w:tcPr>
          <w:p w14:paraId="141B641B" w14:textId="77777777" w:rsidR="00271FA2" w:rsidRPr="004224F6" w:rsidRDefault="002C62EC">
            <w:pPr>
              <w:tabs>
                <w:tab w:val="left" w:pos="284"/>
              </w:tabs>
              <w:spacing w:line="240" w:lineRule="atLeast"/>
              <w:rPr>
                <w:rFonts w:ascii="Times New Roman" w:hAnsi="Times New Roman" w:cs="Times New Roman"/>
                <w:sz w:val="18"/>
                <w:szCs w:val="18"/>
              </w:rPr>
            </w:pPr>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Aeq</m:t>
                  </m:r>
                </m:sub>
              </m:sSub>
            </m:oMath>
            <w:r w:rsidR="00D35E51" w:rsidRPr="004224F6">
              <w:rPr>
                <w:rFonts w:ascii="Times New Roman" w:hAnsi="Times New Roman" w:cs="Times New Roman"/>
                <w:sz w:val="18"/>
                <w:szCs w:val="18"/>
                <w:lang w:eastAsia="bg-BG"/>
              </w:rPr>
              <w:t>[dB(A)]</w:t>
            </w:r>
          </w:p>
        </w:tc>
        <w:tc>
          <w:tcPr>
            <w:tcW w:w="1701" w:type="dxa"/>
            <w:tcBorders>
              <w:top w:val="nil"/>
              <w:left w:val="nil"/>
              <w:bottom w:val="nil"/>
              <w:right w:val="nil"/>
            </w:tcBorders>
          </w:tcPr>
          <w:p w14:paraId="79DC1348"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r w:rsidR="00271FA2" w:rsidRPr="004224F6" w14:paraId="77BB63C4" w14:textId="77777777">
        <w:tc>
          <w:tcPr>
            <w:tcW w:w="13753" w:type="dxa"/>
            <w:gridSpan w:val="9"/>
            <w:tcBorders>
              <w:top w:val="nil"/>
              <w:left w:val="nil"/>
              <w:bottom w:val="nil"/>
            </w:tcBorders>
          </w:tcPr>
          <w:p w14:paraId="4E539657"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r w:rsidR="00271FA2" w:rsidRPr="004224F6" w14:paraId="29F36671" w14:textId="77777777">
        <w:tc>
          <w:tcPr>
            <w:tcW w:w="1843" w:type="dxa"/>
            <w:tcBorders>
              <w:top w:val="nil"/>
              <w:left w:val="nil"/>
              <w:bottom w:val="nil"/>
              <w:right w:val="single" w:sz="4" w:space="0" w:color="auto"/>
            </w:tcBorders>
          </w:tcPr>
          <w:p w14:paraId="6AEF4013" w14:textId="77777777" w:rsidR="00271FA2" w:rsidRPr="004224F6" w:rsidRDefault="00D35E51">
            <w:pPr>
              <w:tabs>
                <w:tab w:val="left" w:pos="284"/>
              </w:tabs>
              <w:spacing w:line="240" w:lineRule="atLeast"/>
              <w:rPr>
                <w:rFonts w:ascii="Times New Roman" w:hAnsi="Times New Roman" w:cs="Times New Roman"/>
                <w:sz w:val="18"/>
                <w:szCs w:val="18"/>
              </w:rPr>
            </w:pPr>
            <w:r w:rsidRPr="004224F6">
              <w:rPr>
                <w:rFonts w:ascii="Times New Roman" w:hAnsi="Times New Roman" w:cs="Times New Roman"/>
                <w:sz w:val="18"/>
                <w:szCs w:val="18"/>
              </w:rPr>
              <w:t>Референтни стандартни стойности</w:t>
            </w:r>
          </w:p>
        </w:tc>
        <w:tc>
          <w:tcPr>
            <w:tcW w:w="1418" w:type="dxa"/>
            <w:tcBorders>
              <w:left w:val="single" w:sz="4" w:space="0" w:color="auto"/>
            </w:tcBorders>
          </w:tcPr>
          <w:p w14:paraId="777A0C10"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70,5</w:t>
            </w:r>
          </w:p>
        </w:tc>
        <w:tc>
          <w:tcPr>
            <w:tcW w:w="1418" w:type="dxa"/>
          </w:tcPr>
          <w:p w14:paraId="202DC90F"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60,5</w:t>
            </w:r>
          </w:p>
        </w:tc>
        <w:tc>
          <w:tcPr>
            <w:tcW w:w="1418" w:type="dxa"/>
          </w:tcPr>
          <w:p w14:paraId="1787190C"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60,5</w:t>
            </w:r>
          </w:p>
        </w:tc>
        <w:tc>
          <w:tcPr>
            <w:tcW w:w="1418" w:type="dxa"/>
          </w:tcPr>
          <w:p w14:paraId="34D8979C"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60,5</w:t>
            </w:r>
          </w:p>
        </w:tc>
        <w:tc>
          <w:tcPr>
            <w:tcW w:w="1418" w:type="dxa"/>
          </w:tcPr>
          <w:p w14:paraId="743D02A0"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70,5</w:t>
            </w:r>
          </w:p>
        </w:tc>
        <w:tc>
          <w:tcPr>
            <w:tcW w:w="1418" w:type="dxa"/>
            <w:tcBorders>
              <w:right w:val="single" w:sz="4" w:space="0" w:color="auto"/>
            </w:tcBorders>
          </w:tcPr>
          <w:p w14:paraId="639AB4DA"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110,5</w:t>
            </w:r>
          </w:p>
        </w:tc>
        <w:tc>
          <w:tcPr>
            <w:tcW w:w="1701" w:type="dxa"/>
            <w:tcBorders>
              <w:top w:val="nil"/>
              <w:left w:val="single" w:sz="4" w:space="0" w:color="auto"/>
              <w:bottom w:val="nil"/>
              <w:right w:val="nil"/>
            </w:tcBorders>
          </w:tcPr>
          <w:p w14:paraId="4118EB6F" w14:textId="77777777" w:rsidR="00271FA2" w:rsidRPr="004224F6" w:rsidRDefault="002C62EC">
            <w:pPr>
              <w:tabs>
                <w:tab w:val="left" w:pos="284"/>
              </w:tabs>
              <w:spacing w:line="240" w:lineRule="atLeast"/>
              <w:rPr>
                <w:rFonts w:ascii="Times New Roman" w:hAnsi="Times New Roman" w:cs="Times New Roman"/>
                <w:sz w:val="18"/>
                <w:szCs w:val="18"/>
              </w:rPr>
            </w:pPr>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Aeq</m:t>
                  </m:r>
                </m:sub>
              </m:sSub>
            </m:oMath>
            <w:r w:rsidR="00D35E51" w:rsidRPr="004224F6">
              <w:rPr>
                <w:rFonts w:ascii="Times New Roman" w:hAnsi="Times New Roman" w:cs="Times New Roman"/>
                <w:sz w:val="18"/>
                <w:szCs w:val="18"/>
                <w:lang w:eastAsia="bg-BG"/>
              </w:rPr>
              <w:t>[dB(A)]</w:t>
            </w:r>
          </w:p>
        </w:tc>
        <w:tc>
          <w:tcPr>
            <w:tcW w:w="1701" w:type="dxa"/>
            <w:tcBorders>
              <w:top w:val="nil"/>
              <w:left w:val="nil"/>
              <w:bottom w:val="nil"/>
              <w:right w:val="nil"/>
            </w:tcBorders>
          </w:tcPr>
          <w:p w14:paraId="740CCBCD" w14:textId="77777777" w:rsidR="00271FA2" w:rsidRPr="004224F6" w:rsidRDefault="00271FA2">
            <w:pPr>
              <w:tabs>
                <w:tab w:val="left" w:pos="284"/>
              </w:tabs>
              <w:spacing w:line="240" w:lineRule="atLeast"/>
              <w:jc w:val="center"/>
              <w:rPr>
                <w:rFonts w:ascii="Times New Roman" w:hAnsi="Times New Roman" w:cs="Times New Roman"/>
                <w:sz w:val="18"/>
                <w:szCs w:val="18"/>
              </w:rPr>
            </w:pPr>
          </w:p>
        </w:tc>
      </w:tr>
    </w:tbl>
    <w:p w14:paraId="79ADD756" w14:textId="77777777" w:rsidR="00271FA2" w:rsidRPr="004224F6" w:rsidRDefault="00271FA2">
      <w:pPr>
        <w:tabs>
          <w:tab w:val="left" w:pos="284"/>
        </w:tabs>
        <w:spacing w:line="240" w:lineRule="atLeast"/>
        <w:rPr>
          <w:rFonts w:ascii="Times New Roman" w:hAnsi="Times New Roman" w:cs="Times New Roman"/>
          <w:sz w:val="18"/>
          <w:szCs w:val="18"/>
        </w:rPr>
      </w:pPr>
    </w:p>
    <w:p w14:paraId="1D2AF9BA"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br w:type="page"/>
      </w:r>
    </w:p>
    <w:p w14:paraId="14BB153D" w14:textId="77777777" w:rsidR="00271FA2" w:rsidRPr="004224F6" w:rsidRDefault="00271FA2">
      <w:pPr>
        <w:tabs>
          <w:tab w:val="left" w:pos="284"/>
        </w:tabs>
        <w:spacing w:line="240" w:lineRule="atLeast"/>
        <w:rPr>
          <w:rFonts w:ascii="Times New Roman" w:hAnsi="Times New Roman" w:cs="Times New Roman"/>
        </w:rPr>
      </w:pPr>
    </w:p>
    <w:tbl>
      <w:tblPr>
        <w:tblStyle w:val="TableGrid"/>
        <w:tblW w:w="5787" w:type="dxa"/>
        <w:tblInd w:w="4062" w:type="dxa"/>
        <w:tblLook w:val="04A0" w:firstRow="1" w:lastRow="0" w:firstColumn="1" w:lastColumn="0" w:noHBand="0" w:noVBand="1"/>
      </w:tblPr>
      <w:tblGrid>
        <w:gridCol w:w="1929"/>
        <w:gridCol w:w="1929"/>
        <w:gridCol w:w="1929"/>
      </w:tblGrid>
      <w:tr w:rsidR="00271FA2" w:rsidRPr="004224F6" w14:paraId="3EFB870E" w14:textId="77777777">
        <w:tc>
          <w:tcPr>
            <w:tcW w:w="5787" w:type="dxa"/>
            <w:gridSpan w:val="3"/>
          </w:tcPr>
          <w:p w14:paraId="682A6F45" w14:textId="77777777" w:rsidR="00271FA2" w:rsidRPr="004224F6" w:rsidRDefault="00D35E51">
            <w:pPr>
              <w:tabs>
                <w:tab w:val="left" w:pos="284"/>
              </w:tabs>
              <w:spacing w:line="240" w:lineRule="atLeast"/>
              <w:jc w:val="center"/>
              <w:rPr>
                <w:rFonts w:ascii="Times New Roman" w:hAnsi="Times New Roman" w:cs="Times New Roman"/>
                <w:b/>
                <w:sz w:val="18"/>
                <w:szCs w:val="18"/>
              </w:rPr>
            </w:pPr>
            <w:r w:rsidRPr="004224F6">
              <w:rPr>
                <w:rFonts w:ascii="Times New Roman" w:hAnsi="Times New Roman" w:cs="Times New Roman"/>
                <w:b/>
                <w:sz w:val="18"/>
                <w:szCs w:val="18"/>
              </w:rPr>
              <w:t>Инструменти измерващи 85% и 55%</w:t>
            </w:r>
          </w:p>
        </w:tc>
      </w:tr>
      <w:tr w:rsidR="00271FA2" w:rsidRPr="004224F6" w14:paraId="0520AC9B" w14:textId="77777777">
        <w:tc>
          <w:tcPr>
            <w:tcW w:w="1929" w:type="dxa"/>
          </w:tcPr>
          <w:p w14:paraId="5278E785" w14:textId="77777777" w:rsidR="00271FA2" w:rsidRPr="004224F6" w:rsidRDefault="00D35E51">
            <w:pPr>
              <w:tabs>
                <w:tab w:val="left" w:pos="284"/>
              </w:tabs>
              <w:spacing w:line="240" w:lineRule="atLeast"/>
              <w:jc w:val="center"/>
              <w:rPr>
                <w:rFonts w:ascii="Times New Roman" w:hAnsi="Times New Roman" w:cs="Times New Roman"/>
                <w:b/>
                <w:sz w:val="18"/>
                <w:szCs w:val="18"/>
              </w:rPr>
            </w:pPr>
            <w:r w:rsidRPr="004224F6">
              <w:rPr>
                <w:rFonts w:ascii="Times New Roman" w:hAnsi="Times New Roman" w:cs="Times New Roman"/>
                <w:b/>
                <w:sz w:val="18"/>
                <w:szCs w:val="18"/>
              </w:rPr>
              <w:t>85%</w:t>
            </w:r>
          </w:p>
        </w:tc>
        <w:tc>
          <w:tcPr>
            <w:tcW w:w="1929" w:type="dxa"/>
          </w:tcPr>
          <w:p w14:paraId="0356C571" w14:textId="77777777" w:rsidR="00271FA2" w:rsidRPr="004224F6" w:rsidRDefault="00D35E51">
            <w:pPr>
              <w:tabs>
                <w:tab w:val="left" w:pos="284"/>
              </w:tabs>
              <w:spacing w:line="240" w:lineRule="atLeast"/>
              <w:jc w:val="center"/>
              <w:rPr>
                <w:rFonts w:ascii="Times New Roman" w:hAnsi="Times New Roman" w:cs="Times New Roman"/>
                <w:b/>
                <w:sz w:val="18"/>
                <w:szCs w:val="18"/>
              </w:rPr>
            </w:pPr>
            <w:r w:rsidRPr="004224F6">
              <w:rPr>
                <w:rFonts w:ascii="Times New Roman" w:hAnsi="Times New Roman" w:cs="Times New Roman"/>
                <w:b/>
                <w:sz w:val="18"/>
                <w:szCs w:val="18"/>
              </w:rPr>
              <w:t>55%</w:t>
            </w:r>
          </w:p>
        </w:tc>
        <w:tc>
          <w:tcPr>
            <w:tcW w:w="1929" w:type="dxa"/>
          </w:tcPr>
          <w:p w14:paraId="32E137A6" w14:textId="77777777" w:rsidR="00271FA2" w:rsidRPr="004224F6" w:rsidRDefault="002C62EC">
            <w:pPr>
              <w:tabs>
                <w:tab w:val="left" w:pos="284"/>
              </w:tabs>
              <w:spacing w:line="240" w:lineRule="atLeast"/>
              <w:jc w:val="center"/>
              <w:rPr>
                <w:rFonts w:ascii="Times New Roman" w:hAnsi="Times New Roman" w:cs="Times New Roman"/>
                <w:sz w:val="18"/>
                <w:szCs w:val="18"/>
              </w:rPr>
            </w:pPr>
            <m:oMathPara>
              <m:oMath>
                <m:sSub>
                  <m:sSubPr>
                    <m:ctrlPr>
                      <w:rPr>
                        <w:rFonts w:ascii="Cambria Math" w:hAnsi="Cambria Math" w:cs="Times New Roman"/>
                        <w:bCs/>
                        <w:i/>
                        <w:sz w:val="18"/>
                        <w:szCs w:val="18"/>
                      </w:rPr>
                    </m:ctrlPr>
                  </m:sSubPr>
                  <m:e>
                    <m:r>
                      <w:rPr>
                        <w:rFonts w:ascii="Cambria Math" w:hAnsi="Cambria Math" w:cs="Times New Roman"/>
                        <w:sz w:val="18"/>
                        <w:szCs w:val="18"/>
                      </w:rPr>
                      <m:t>L</m:t>
                    </m:r>
                  </m:e>
                  <m:sub>
                    <m:r>
                      <w:rPr>
                        <w:rFonts w:ascii="Cambria Math" w:hAnsi="Cambria Math" w:cs="Times New Roman"/>
                        <w:sz w:val="18"/>
                        <w:szCs w:val="18"/>
                      </w:rPr>
                      <m:t>waSN</m:t>
                    </m:r>
                  </m:sub>
                </m:sSub>
              </m:oMath>
            </m:oMathPara>
          </w:p>
        </w:tc>
      </w:tr>
      <w:tr w:rsidR="00271FA2" w:rsidRPr="004224F6" w14:paraId="346A2CD7" w14:textId="77777777">
        <w:tc>
          <w:tcPr>
            <w:tcW w:w="1929" w:type="dxa"/>
          </w:tcPr>
          <w:p w14:paraId="518A6CDB"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467EF064"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x-10</w:t>
            </w:r>
          </w:p>
        </w:tc>
        <w:tc>
          <w:tcPr>
            <w:tcW w:w="1929" w:type="dxa"/>
          </w:tcPr>
          <w:p w14:paraId="0ED8F636"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x-6,5</w:t>
            </w:r>
          </w:p>
        </w:tc>
      </w:tr>
      <w:tr w:rsidR="00271FA2" w:rsidRPr="004224F6" w14:paraId="5BF293BD" w14:textId="77777777">
        <w:tc>
          <w:tcPr>
            <w:tcW w:w="1929" w:type="dxa"/>
          </w:tcPr>
          <w:p w14:paraId="684708EC"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082E3741"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x-9</w:t>
            </w:r>
          </w:p>
        </w:tc>
        <w:tc>
          <w:tcPr>
            <w:tcW w:w="1929" w:type="dxa"/>
          </w:tcPr>
          <w:p w14:paraId="700A7334"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x-6,1</w:t>
            </w:r>
          </w:p>
        </w:tc>
      </w:tr>
      <w:tr w:rsidR="00271FA2" w:rsidRPr="004224F6" w14:paraId="6E440E9C" w14:textId="77777777">
        <w:tc>
          <w:tcPr>
            <w:tcW w:w="1929" w:type="dxa"/>
          </w:tcPr>
          <w:p w14:paraId="041AB1A0"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0F1CF330"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x-8</w:t>
            </w:r>
          </w:p>
        </w:tc>
        <w:tc>
          <w:tcPr>
            <w:tcW w:w="1929" w:type="dxa"/>
          </w:tcPr>
          <w:p w14:paraId="64AA246B"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x-5,6</w:t>
            </w:r>
          </w:p>
        </w:tc>
      </w:tr>
      <w:tr w:rsidR="00271FA2" w:rsidRPr="004224F6" w14:paraId="7086BBE2" w14:textId="77777777">
        <w:tc>
          <w:tcPr>
            <w:tcW w:w="1929" w:type="dxa"/>
          </w:tcPr>
          <w:p w14:paraId="43F16C89"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1FDD92F9"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x-7</w:t>
            </w:r>
          </w:p>
        </w:tc>
        <w:tc>
          <w:tcPr>
            <w:tcW w:w="1929" w:type="dxa"/>
          </w:tcPr>
          <w:p w14:paraId="125C0DB6"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x-5,1</w:t>
            </w:r>
          </w:p>
        </w:tc>
      </w:tr>
      <w:tr w:rsidR="00271FA2" w:rsidRPr="004224F6" w14:paraId="219F4A34" w14:textId="77777777">
        <w:tc>
          <w:tcPr>
            <w:tcW w:w="1929" w:type="dxa"/>
          </w:tcPr>
          <w:p w14:paraId="7BE2B2DA"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42F448CF"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x-6</w:t>
            </w:r>
          </w:p>
        </w:tc>
        <w:tc>
          <w:tcPr>
            <w:tcW w:w="1929" w:type="dxa"/>
          </w:tcPr>
          <w:p w14:paraId="309A1188"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x-4,5</w:t>
            </w:r>
          </w:p>
        </w:tc>
      </w:tr>
      <w:tr w:rsidR="00271FA2" w:rsidRPr="004224F6" w14:paraId="63D8682A" w14:textId="77777777">
        <w:tc>
          <w:tcPr>
            <w:tcW w:w="1929" w:type="dxa"/>
          </w:tcPr>
          <w:p w14:paraId="76EE5E6A"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31A90B2F"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x-5</w:t>
            </w:r>
          </w:p>
        </w:tc>
        <w:tc>
          <w:tcPr>
            <w:tcW w:w="1929" w:type="dxa"/>
          </w:tcPr>
          <w:p w14:paraId="3D1EDB86"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x-3,9</w:t>
            </w:r>
          </w:p>
        </w:tc>
      </w:tr>
      <w:tr w:rsidR="00271FA2" w:rsidRPr="004224F6" w14:paraId="48A3957E" w14:textId="77777777">
        <w:tc>
          <w:tcPr>
            <w:tcW w:w="1929" w:type="dxa"/>
          </w:tcPr>
          <w:p w14:paraId="0020EDDA"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0A516877"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x-4</w:t>
            </w:r>
          </w:p>
        </w:tc>
        <w:tc>
          <w:tcPr>
            <w:tcW w:w="1929" w:type="dxa"/>
          </w:tcPr>
          <w:p w14:paraId="70214D69"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x-3,2</w:t>
            </w:r>
          </w:p>
        </w:tc>
      </w:tr>
      <w:tr w:rsidR="00271FA2" w:rsidRPr="004224F6" w14:paraId="2F1486F2" w14:textId="77777777">
        <w:tc>
          <w:tcPr>
            <w:tcW w:w="1929" w:type="dxa"/>
          </w:tcPr>
          <w:p w14:paraId="46AAE41B"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24FDB7C7"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x-3</w:t>
            </w:r>
          </w:p>
        </w:tc>
        <w:tc>
          <w:tcPr>
            <w:tcW w:w="1929" w:type="dxa"/>
          </w:tcPr>
          <w:p w14:paraId="34800A36"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x-2,4</w:t>
            </w:r>
          </w:p>
        </w:tc>
      </w:tr>
      <w:tr w:rsidR="00271FA2" w:rsidRPr="004224F6" w14:paraId="25A84599" w14:textId="77777777">
        <w:tc>
          <w:tcPr>
            <w:tcW w:w="1929" w:type="dxa"/>
          </w:tcPr>
          <w:p w14:paraId="4189B6C6"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5B35A0FF"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x-2</w:t>
            </w:r>
          </w:p>
        </w:tc>
        <w:tc>
          <w:tcPr>
            <w:tcW w:w="1929" w:type="dxa"/>
          </w:tcPr>
          <w:p w14:paraId="336E3306"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x-1,7</w:t>
            </w:r>
          </w:p>
        </w:tc>
      </w:tr>
      <w:tr w:rsidR="00271FA2" w:rsidRPr="004224F6" w14:paraId="707950C4" w14:textId="77777777">
        <w:tc>
          <w:tcPr>
            <w:tcW w:w="1929" w:type="dxa"/>
          </w:tcPr>
          <w:p w14:paraId="4382BEF2"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09E424E1"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x-1</w:t>
            </w:r>
          </w:p>
        </w:tc>
        <w:tc>
          <w:tcPr>
            <w:tcW w:w="1929" w:type="dxa"/>
          </w:tcPr>
          <w:p w14:paraId="106792D9"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x-0,8</w:t>
            </w:r>
          </w:p>
        </w:tc>
      </w:tr>
      <w:tr w:rsidR="00271FA2" w:rsidRPr="004224F6" w14:paraId="03ECE22D" w14:textId="77777777">
        <w:tc>
          <w:tcPr>
            <w:tcW w:w="1929" w:type="dxa"/>
          </w:tcPr>
          <w:p w14:paraId="791C6968"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5204C4E0" w14:textId="77777777" w:rsidR="00271FA2" w:rsidRPr="004224F6" w:rsidRDefault="001B4EA8">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w:t>
            </w:r>
          </w:p>
        </w:tc>
        <w:tc>
          <w:tcPr>
            <w:tcW w:w="1929" w:type="dxa"/>
          </w:tcPr>
          <w:p w14:paraId="1C01963A"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w:t>
            </w:r>
          </w:p>
        </w:tc>
      </w:tr>
      <w:tr w:rsidR="00271FA2" w:rsidRPr="004224F6" w14:paraId="3A3B6227" w14:textId="77777777">
        <w:tc>
          <w:tcPr>
            <w:tcW w:w="1929" w:type="dxa"/>
          </w:tcPr>
          <w:p w14:paraId="31AD872E"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6927B757"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x+1</w:t>
            </w:r>
          </w:p>
        </w:tc>
        <w:tc>
          <w:tcPr>
            <w:tcW w:w="1929" w:type="dxa"/>
          </w:tcPr>
          <w:p w14:paraId="33B17752"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x+0,3</w:t>
            </w:r>
          </w:p>
        </w:tc>
      </w:tr>
      <w:tr w:rsidR="00271FA2" w:rsidRPr="004224F6" w14:paraId="0206E17C" w14:textId="77777777">
        <w:tc>
          <w:tcPr>
            <w:tcW w:w="1929" w:type="dxa"/>
          </w:tcPr>
          <w:p w14:paraId="13313216"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615B2725"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x+2</w:t>
            </w:r>
          </w:p>
        </w:tc>
        <w:tc>
          <w:tcPr>
            <w:tcW w:w="1929" w:type="dxa"/>
          </w:tcPr>
          <w:p w14:paraId="00F99647"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x+0,5</w:t>
            </w:r>
          </w:p>
        </w:tc>
      </w:tr>
      <w:tr w:rsidR="00271FA2" w:rsidRPr="004224F6" w14:paraId="1F07C609" w14:textId="77777777">
        <w:tc>
          <w:tcPr>
            <w:tcW w:w="1929" w:type="dxa"/>
          </w:tcPr>
          <w:p w14:paraId="5D0514A8"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26F668BB"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x+3</w:t>
            </w:r>
          </w:p>
        </w:tc>
        <w:tc>
          <w:tcPr>
            <w:tcW w:w="1929" w:type="dxa"/>
          </w:tcPr>
          <w:p w14:paraId="561C842E"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x+0,9</w:t>
            </w:r>
          </w:p>
        </w:tc>
      </w:tr>
      <w:tr w:rsidR="00271FA2" w:rsidRPr="004224F6" w14:paraId="19EE8AC1" w14:textId="77777777">
        <w:tc>
          <w:tcPr>
            <w:tcW w:w="1929" w:type="dxa"/>
          </w:tcPr>
          <w:p w14:paraId="0844FB46"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59686227"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x+4</w:t>
            </w:r>
          </w:p>
        </w:tc>
        <w:tc>
          <w:tcPr>
            <w:tcW w:w="1929" w:type="dxa"/>
          </w:tcPr>
          <w:p w14:paraId="148A5514"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x+1,3</w:t>
            </w:r>
          </w:p>
        </w:tc>
      </w:tr>
      <w:tr w:rsidR="00271FA2" w:rsidRPr="004224F6" w14:paraId="54EA4A68" w14:textId="77777777">
        <w:tc>
          <w:tcPr>
            <w:tcW w:w="1929" w:type="dxa"/>
          </w:tcPr>
          <w:p w14:paraId="6F4DC136" w14:textId="77777777" w:rsidR="00271FA2" w:rsidRPr="004224F6" w:rsidRDefault="00D35E51">
            <w:pPr>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 dB</w:t>
            </w:r>
          </w:p>
        </w:tc>
        <w:tc>
          <w:tcPr>
            <w:tcW w:w="1929" w:type="dxa"/>
          </w:tcPr>
          <w:p w14:paraId="14FA302D" w14:textId="77777777" w:rsidR="00271FA2" w:rsidRPr="004224F6" w:rsidRDefault="00D35E51">
            <w:pPr>
              <w:tabs>
                <w:tab w:val="left" w:pos="284"/>
              </w:tabs>
              <w:spacing w:line="240" w:lineRule="atLeast"/>
              <w:jc w:val="center"/>
              <w:rPr>
                <w:rFonts w:ascii="Times New Roman" w:hAnsi="Times New Roman" w:cs="Times New Roman"/>
                <w:sz w:val="18"/>
                <w:szCs w:val="18"/>
              </w:rPr>
            </w:pPr>
            <w:r w:rsidRPr="004224F6">
              <w:rPr>
                <w:rFonts w:ascii="Times New Roman" w:hAnsi="Times New Roman" w:cs="Times New Roman"/>
                <w:sz w:val="18"/>
                <w:szCs w:val="18"/>
              </w:rPr>
              <w:t>x+5</w:t>
            </w:r>
          </w:p>
        </w:tc>
        <w:tc>
          <w:tcPr>
            <w:tcW w:w="1929" w:type="dxa"/>
          </w:tcPr>
          <w:p w14:paraId="5D16F60D" w14:textId="77777777" w:rsidR="00271FA2" w:rsidRPr="004224F6" w:rsidRDefault="00D35E51">
            <w:pPr>
              <w:spacing w:line="240" w:lineRule="atLeast"/>
              <w:jc w:val="center"/>
              <w:rPr>
                <w:rFonts w:ascii="Times New Roman" w:hAnsi="Times New Roman" w:cs="Times New Roman"/>
              </w:rPr>
            </w:pPr>
            <w:r w:rsidRPr="004224F6">
              <w:rPr>
                <w:rFonts w:ascii="Times New Roman" w:hAnsi="Times New Roman" w:cs="Times New Roman"/>
                <w:sz w:val="18"/>
                <w:szCs w:val="18"/>
              </w:rPr>
              <w:t>x+1,8</w:t>
            </w:r>
          </w:p>
        </w:tc>
      </w:tr>
    </w:tbl>
    <w:p w14:paraId="3B355105" w14:textId="77777777" w:rsidR="00271FA2" w:rsidRPr="004224F6" w:rsidRDefault="00271FA2">
      <w:pPr>
        <w:tabs>
          <w:tab w:val="left" w:pos="284"/>
        </w:tabs>
        <w:spacing w:line="240" w:lineRule="atLeast"/>
        <w:rPr>
          <w:rFonts w:ascii="Times New Roman" w:hAnsi="Times New Roman" w:cs="Times New Roman"/>
        </w:rPr>
      </w:pPr>
    </w:p>
    <w:p w14:paraId="07721379"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br w:type="page"/>
      </w:r>
    </w:p>
    <w:p w14:paraId="3E61B697" w14:textId="77777777" w:rsidR="00271FA2" w:rsidRPr="004224F6" w:rsidRDefault="00D35E51">
      <w:pPr>
        <w:tabs>
          <w:tab w:val="left" w:pos="0"/>
        </w:tabs>
        <w:spacing w:line="240" w:lineRule="atLeast"/>
        <w:rPr>
          <w:rFonts w:ascii="Times New Roman" w:hAnsi="Times New Roman" w:cs="Times New Roman"/>
          <w:lang w:val="ru-RU"/>
        </w:rPr>
      </w:pPr>
      <w:r w:rsidRPr="004224F6">
        <w:rPr>
          <w:rFonts w:ascii="Times New Roman" w:hAnsi="Times New Roman" w:cs="Times New Roman"/>
          <w:lang w:val="ru-RU"/>
        </w:rPr>
        <w:lastRenderedPageBreak/>
        <w:t>1.2</w:t>
      </w:r>
      <w:r w:rsidRPr="004224F6">
        <w:rPr>
          <w:rFonts w:ascii="Times New Roman" w:hAnsi="Times New Roman" w:cs="Times New Roman"/>
          <w:lang w:val="ru-RU"/>
        </w:rPr>
        <w:tab/>
        <w:t xml:space="preserve">Измерване на шум, генериран от </w:t>
      </w:r>
      <w:r w:rsidR="00721137" w:rsidRPr="004224F6">
        <w:rPr>
          <w:rFonts w:ascii="Times New Roman" w:hAnsi="Times New Roman" w:cs="Times New Roman"/>
          <w:lang w:val="ru-RU"/>
        </w:rPr>
        <w:t>плавателните средства (</w:t>
      </w:r>
      <w:r w:rsidR="00721137" w:rsidRPr="004224F6">
        <w:rPr>
          <w:rFonts w:ascii="Times New Roman" w:hAnsi="Times New Roman" w:cs="Times New Roman"/>
        </w:rPr>
        <w:t>EN</w:t>
      </w:r>
      <w:r w:rsidR="00721137" w:rsidRPr="004224F6">
        <w:rPr>
          <w:rFonts w:ascii="Times New Roman" w:hAnsi="Times New Roman" w:cs="Times New Roman"/>
          <w:lang w:val="ru-RU"/>
        </w:rPr>
        <w:t xml:space="preserve"> 2922:</w:t>
      </w:r>
      <w:r w:rsidRPr="004224F6">
        <w:rPr>
          <w:rFonts w:ascii="Times New Roman" w:hAnsi="Times New Roman" w:cs="Times New Roman"/>
          <w:lang w:val="ru-RU"/>
        </w:rPr>
        <w:t>2020):</w:t>
      </w:r>
    </w:p>
    <w:tbl>
      <w:tblPr>
        <w:tblStyle w:val="TableGrid"/>
        <w:tblW w:w="0" w:type="auto"/>
        <w:tblLook w:val="04A0" w:firstRow="1" w:lastRow="0" w:firstColumn="1" w:lastColumn="0" w:noHBand="0" w:noVBand="1"/>
      </w:tblPr>
      <w:tblGrid>
        <w:gridCol w:w="3536"/>
        <w:gridCol w:w="3536"/>
        <w:gridCol w:w="3536"/>
        <w:gridCol w:w="3536"/>
      </w:tblGrid>
      <w:tr w:rsidR="00271FA2" w:rsidRPr="004224F6" w14:paraId="17828924" w14:textId="77777777">
        <w:tc>
          <w:tcPr>
            <w:tcW w:w="3536" w:type="dxa"/>
          </w:tcPr>
          <w:p w14:paraId="45A68A15" w14:textId="77777777" w:rsidR="00271FA2" w:rsidRPr="004224F6" w:rsidRDefault="00D35E51">
            <w:pPr>
              <w:tabs>
                <w:tab w:val="left" w:pos="284"/>
              </w:tabs>
              <w:spacing w:line="240" w:lineRule="atLeast"/>
              <w:jc w:val="center"/>
              <w:rPr>
                <w:rFonts w:ascii="Times New Roman" w:hAnsi="Times New Roman" w:cs="Times New Roman"/>
              </w:rPr>
            </w:pPr>
            <w:r w:rsidRPr="004224F6">
              <w:rPr>
                <w:rFonts w:ascii="Times New Roman" w:hAnsi="Times New Roman" w:cs="Times New Roman"/>
              </w:rPr>
              <w:t>№</w:t>
            </w:r>
          </w:p>
        </w:tc>
        <w:tc>
          <w:tcPr>
            <w:tcW w:w="3536" w:type="dxa"/>
          </w:tcPr>
          <w:p w14:paraId="210C2F8F" w14:textId="77777777" w:rsidR="00271FA2" w:rsidRPr="004224F6" w:rsidRDefault="00D35E51">
            <w:pPr>
              <w:tabs>
                <w:tab w:val="left" w:pos="284"/>
              </w:tabs>
              <w:spacing w:line="240" w:lineRule="atLeast"/>
              <w:jc w:val="center"/>
              <w:rPr>
                <w:rFonts w:ascii="Times New Roman" w:hAnsi="Times New Roman" w:cs="Times New Roman"/>
              </w:rPr>
            </w:pPr>
            <w:r w:rsidRPr="004224F6">
              <w:rPr>
                <w:rFonts w:ascii="Times New Roman" w:hAnsi="Times New Roman" w:cs="Times New Roman"/>
              </w:rPr>
              <w:t>Точка на измерване</w:t>
            </w:r>
          </w:p>
        </w:tc>
        <w:tc>
          <w:tcPr>
            <w:tcW w:w="3536" w:type="dxa"/>
          </w:tcPr>
          <w:p w14:paraId="6B8931F3" w14:textId="77777777" w:rsidR="00271FA2" w:rsidRPr="004224F6" w:rsidRDefault="00D35E51">
            <w:pPr>
              <w:tabs>
                <w:tab w:val="left" w:pos="284"/>
              </w:tabs>
              <w:spacing w:line="240" w:lineRule="atLeast"/>
              <w:jc w:val="center"/>
              <w:rPr>
                <w:rFonts w:ascii="Times New Roman" w:hAnsi="Times New Roman" w:cs="Times New Roman"/>
                <w:lang w:val="ru-RU"/>
              </w:rPr>
            </w:pPr>
            <w:r w:rsidRPr="004224F6">
              <w:rPr>
                <w:rFonts w:ascii="Times New Roman" w:hAnsi="Times New Roman" w:cs="Times New Roman"/>
                <w:lang w:val="ru-RU"/>
              </w:rPr>
              <w:t xml:space="preserve">Стойност в </w:t>
            </w:r>
            <w:r w:rsidRPr="004224F6">
              <w:rPr>
                <w:rFonts w:ascii="Times New Roman" w:hAnsi="Times New Roman" w:cs="Times New Roman"/>
              </w:rPr>
              <w:t>dB</w:t>
            </w:r>
            <w:r w:rsidRPr="004224F6">
              <w:rPr>
                <w:rFonts w:ascii="Times New Roman" w:hAnsi="Times New Roman" w:cs="Times New Roman"/>
                <w:lang w:val="ru-RU"/>
              </w:rPr>
              <w:t xml:space="preserve"> (</w:t>
            </w:r>
            <w:r w:rsidRPr="004224F6">
              <w:rPr>
                <w:rFonts w:ascii="Times New Roman" w:hAnsi="Times New Roman" w:cs="Times New Roman"/>
              </w:rPr>
              <w:t>A</w:t>
            </w:r>
            <w:r w:rsidRPr="004224F6">
              <w:rPr>
                <w:rFonts w:ascii="Times New Roman" w:hAnsi="Times New Roman" w:cs="Times New Roman"/>
                <w:lang w:val="ru-RU"/>
              </w:rPr>
              <w:t>), която трябва да бъде измерена</w:t>
            </w:r>
          </w:p>
        </w:tc>
        <w:tc>
          <w:tcPr>
            <w:tcW w:w="3536" w:type="dxa"/>
          </w:tcPr>
          <w:p w14:paraId="094E2F8A" w14:textId="77777777" w:rsidR="00271FA2" w:rsidRPr="004224F6" w:rsidRDefault="00D35E51">
            <w:pPr>
              <w:tabs>
                <w:tab w:val="left" w:pos="284"/>
              </w:tabs>
              <w:spacing w:line="240" w:lineRule="atLeast"/>
              <w:jc w:val="center"/>
              <w:rPr>
                <w:rFonts w:ascii="Times New Roman" w:hAnsi="Times New Roman" w:cs="Times New Roman"/>
              </w:rPr>
            </w:pPr>
            <w:r w:rsidRPr="004224F6">
              <w:rPr>
                <w:rFonts w:ascii="Times New Roman" w:hAnsi="Times New Roman" w:cs="Times New Roman"/>
              </w:rPr>
              <w:t>Наблюдения</w:t>
            </w:r>
          </w:p>
        </w:tc>
      </w:tr>
      <w:tr w:rsidR="00271FA2" w:rsidRPr="004224F6" w14:paraId="4A4015CA" w14:textId="77777777">
        <w:tc>
          <w:tcPr>
            <w:tcW w:w="3536" w:type="dxa"/>
          </w:tcPr>
          <w:p w14:paraId="05D3F2EA" w14:textId="77777777" w:rsidR="00271FA2" w:rsidRPr="004224F6" w:rsidRDefault="00271FA2">
            <w:pPr>
              <w:tabs>
                <w:tab w:val="left" w:pos="284"/>
              </w:tabs>
              <w:spacing w:line="240" w:lineRule="atLeast"/>
              <w:rPr>
                <w:rFonts w:ascii="Times New Roman" w:hAnsi="Times New Roman" w:cs="Times New Roman"/>
              </w:rPr>
            </w:pPr>
          </w:p>
        </w:tc>
        <w:tc>
          <w:tcPr>
            <w:tcW w:w="3536" w:type="dxa"/>
          </w:tcPr>
          <w:p w14:paraId="2F1A9D67" w14:textId="77777777" w:rsidR="00271FA2" w:rsidRPr="004224F6" w:rsidRDefault="00271FA2">
            <w:pPr>
              <w:tabs>
                <w:tab w:val="left" w:pos="284"/>
              </w:tabs>
              <w:spacing w:line="240" w:lineRule="atLeast"/>
              <w:rPr>
                <w:rFonts w:ascii="Times New Roman" w:hAnsi="Times New Roman" w:cs="Times New Roman"/>
              </w:rPr>
            </w:pPr>
          </w:p>
        </w:tc>
        <w:tc>
          <w:tcPr>
            <w:tcW w:w="3536" w:type="dxa"/>
          </w:tcPr>
          <w:p w14:paraId="2B153A35" w14:textId="77777777" w:rsidR="00271FA2" w:rsidRPr="004224F6" w:rsidRDefault="00271FA2">
            <w:pPr>
              <w:tabs>
                <w:tab w:val="left" w:pos="284"/>
              </w:tabs>
              <w:spacing w:line="240" w:lineRule="atLeast"/>
              <w:rPr>
                <w:rFonts w:ascii="Times New Roman" w:hAnsi="Times New Roman" w:cs="Times New Roman"/>
              </w:rPr>
            </w:pPr>
          </w:p>
        </w:tc>
        <w:tc>
          <w:tcPr>
            <w:tcW w:w="3536" w:type="dxa"/>
          </w:tcPr>
          <w:p w14:paraId="6866C929" w14:textId="77777777" w:rsidR="00271FA2" w:rsidRPr="004224F6" w:rsidRDefault="00271FA2">
            <w:pPr>
              <w:tabs>
                <w:tab w:val="left" w:pos="284"/>
              </w:tabs>
              <w:spacing w:line="240" w:lineRule="atLeast"/>
              <w:rPr>
                <w:rFonts w:ascii="Times New Roman" w:hAnsi="Times New Roman" w:cs="Times New Roman"/>
              </w:rPr>
            </w:pPr>
          </w:p>
        </w:tc>
      </w:tr>
      <w:tr w:rsidR="00271FA2" w:rsidRPr="004224F6" w14:paraId="0B6A7682" w14:textId="77777777">
        <w:tc>
          <w:tcPr>
            <w:tcW w:w="3536" w:type="dxa"/>
          </w:tcPr>
          <w:p w14:paraId="1790D5CE" w14:textId="77777777" w:rsidR="00271FA2" w:rsidRPr="004224F6" w:rsidRDefault="00271FA2">
            <w:pPr>
              <w:tabs>
                <w:tab w:val="left" w:pos="284"/>
              </w:tabs>
              <w:spacing w:line="240" w:lineRule="atLeast"/>
              <w:rPr>
                <w:rFonts w:ascii="Times New Roman" w:hAnsi="Times New Roman" w:cs="Times New Roman"/>
              </w:rPr>
            </w:pPr>
          </w:p>
        </w:tc>
        <w:tc>
          <w:tcPr>
            <w:tcW w:w="3536" w:type="dxa"/>
          </w:tcPr>
          <w:p w14:paraId="2A66F722" w14:textId="77777777" w:rsidR="00271FA2" w:rsidRPr="004224F6" w:rsidRDefault="00271FA2">
            <w:pPr>
              <w:tabs>
                <w:tab w:val="left" w:pos="284"/>
              </w:tabs>
              <w:spacing w:line="240" w:lineRule="atLeast"/>
              <w:rPr>
                <w:rFonts w:ascii="Times New Roman" w:hAnsi="Times New Roman" w:cs="Times New Roman"/>
              </w:rPr>
            </w:pPr>
          </w:p>
        </w:tc>
        <w:tc>
          <w:tcPr>
            <w:tcW w:w="3536" w:type="dxa"/>
          </w:tcPr>
          <w:p w14:paraId="4B23AF23" w14:textId="77777777" w:rsidR="00271FA2" w:rsidRPr="004224F6" w:rsidRDefault="00271FA2">
            <w:pPr>
              <w:tabs>
                <w:tab w:val="left" w:pos="284"/>
              </w:tabs>
              <w:spacing w:line="240" w:lineRule="atLeast"/>
              <w:rPr>
                <w:rFonts w:ascii="Times New Roman" w:hAnsi="Times New Roman" w:cs="Times New Roman"/>
              </w:rPr>
            </w:pPr>
          </w:p>
        </w:tc>
        <w:tc>
          <w:tcPr>
            <w:tcW w:w="3536" w:type="dxa"/>
          </w:tcPr>
          <w:p w14:paraId="3302BF1C" w14:textId="77777777" w:rsidR="00271FA2" w:rsidRPr="004224F6" w:rsidRDefault="00271FA2">
            <w:pPr>
              <w:tabs>
                <w:tab w:val="left" w:pos="284"/>
              </w:tabs>
              <w:spacing w:line="240" w:lineRule="atLeast"/>
              <w:rPr>
                <w:rFonts w:ascii="Times New Roman" w:hAnsi="Times New Roman" w:cs="Times New Roman"/>
              </w:rPr>
            </w:pPr>
          </w:p>
        </w:tc>
      </w:tr>
    </w:tbl>
    <w:p w14:paraId="0E510AD5" w14:textId="77777777" w:rsidR="00271FA2" w:rsidRPr="004224F6" w:rsidRDefault="00D35E51" w:rsidP="00B954ED">
      <w:pPr>
        <w:tabs>
          <w:tab w:val="left" w:pos="0"/>
        </w:tabs>
        <w:spacing w:line="276" w:lineRule="auto"/>
        <w:rPr>
          <w:rFonts w:ascii="Times New Roman" w:hAnsi="Times New Roman" w:cs="Times New Roman"/>
          <w:lang w:val="ru-RU"/>
        </w:rPr>
      </w:pPr>
      <w:r w:rsidRPr="004224F6">
        <w:rPr>
          <w:rFonts w:ascii="Times New Roman" w:hAnsi="Times New Roman" w:cs="Times New Roman"/>
          <w:lang w:val="ru-RU"/>
        </w:rPr>
        <w:t>2.</w:t>
      </w:r>
      <w:r w:rsidRPr="004224F6">
        <w:rPr>
          <w:rFonts w:ascii="Times New Roman" w:hAnsi="Times New Roman" w:cs="Times New Roman"/>
          <w:lang w:val="ru-RU"/>
        </w:rPr>
        <w:tab/>
        <w:t>Приложени мерки за намаляване на шума:</w:t>
      </w:r>
    </w:p>
    <w:p w14:paraId="56194A4B" w14:textId="29B29C68" w:rsidR="00271FA2" w:rsidRPr="004224F6" w:rsidRDefault="00D35E51" w:rsidP="00B954ED">
      <w:pPr>
        <w:tabs>
          <w:tab w:val="left" w:pos="0"/>
        </w:tabs>
        <w:spacing w:line="276" w:lineRule="auto"/>
        <w:rPr>
          <w:rFonts w:ascii="Times New Roman" w:hAnsi="Times New Roman" w:cs="Times New Roman"/>
          <w:lang w:val="ru-RU"/>
        </w:rPr>
      </w:pPr>
      <w:r w:rsidRPr="004224F6">
        <w:rPr>
          <w:rFonts w:ascii="Times New Roman" w:hAnsi="Times New Roman" w:cs="Times New Roman"/>
          <w:lang w:val="ru-RU"/>
        </w:rPr>
        <w:tab/>
        <w:t>.............................................................................................................................................................................................................................</w:t>
      </w:r>
    </w:p>
    <w:p w14:paraId="234412F0" w14:textId="77777777" w:rsidR="00271FA2" w:rsidRPr="004224F6" w:rsidRDefault="00D35E51" w:rsidP="00B954ED">
      <w:pPr>
        <w:tabs>
          <w:tab w:val="left" w:pos="0"/>
        </w:tabs>
        <w:spacing w:line="276" w:lineRule="auto"/>
        <w:rPr>
          <w:rFonts w:ascii="Times New Roman" w:hAnsi="Times New Roman" w:cs="Times New Roman"/>
          <w:lang w:val="ru-RU"/>
        </w:rPr>
      </w:pPr>
      <w:r w:rsidRPr="004224F6">
        <w:rPr>
          <w:rFonts w:ascii="Times New Roman" w:hAnsi="Times New Roman" w:cs="Times New Roman"/>
          <w:lang w:val="ru-RU"/>
        </w:rPr>
        <w:t>3.</w:t>
      </w:r>
      <w:r w:rsidRPr="004224F6">
        <w:rPr>
          <w:rFonts w:ascii="Times New Roman" w:hAnsi="Times New Roman" w:cs="Times New Roman"/>
          <w:lang w:val="ru-RU"/>
        </w:rPr>
        <w:tab/>
        <w:t>Наблюдения:</w:t>
      </w:r>
    </w:p>
    <w:p w14:paraId="0597460D" w14:textId="323FB02F" w:rsidR="00271FA2" w:rsidRPr="004224F6" w:rsidRDefault="00D35E51" w:rsidP="002C0B64">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ab/>
        <w:t>.............................................................................................................................................................................................................................</w:t>
      </w:r>
    </w:p>
    <w:p w14:paraId="1767116E" w14:textId="77777777" w:rsidR="00271FA2"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4.</w:t>
      </w:r>
      <w:r w:rsidRPr="004224F6">
        <w:rPr>
          <w:rFonts w:ascii="Times New Roman" w:hAnsi="Times New Roman" w:cs="Times New Roman"/>
          <w:lang w:val="ru-RU"/>
        </w:rPr>
        <w:tab/>
        <w:t>Условия за измерване – плавателно средство</w:t>
      </w:r>
    </w:p>
    <w:p w14:paraId="68145EFB" w14:textId="77777777" w:rsidR="00271FA2"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ab/>
        <w:t>а) Формирование по време на измерванията: ......................................................</w:t>
      </w:r>
    </w:p>
    <w:p w14:paraId="708CC1F6" w14:textId="77777777" w:rsidR="00271FA2"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ab/>
        <w:t xml:space="preserve">б) Товар/водоизместване *): ............................. </w:t>
      </w:r>
      <w:r w:rsidRPr="004224F6">
        <w:rPr>
          <w:rFonts w:ascii="Times New Roman" w:hAnsi="Times New Roman" w:cs="Times New Roman"/>
        </w:rPr>
        <w:t>t</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vertAlign w:val="superscript"/>
          <w:lang w:val="ru-RU"/>
        </w:rPr>
        <w:t>3</w:t>
      </w:r>
      <w:r w:rsidRPr="004224F6">
        <w:rPr>
          <w:rFonts w:ascii="Times New Roman" w:hAnsi="Times New Roman" w:cs="Times New Roman"/>
          <w:lang w:val="ru-RU"/>
        </w:rPr>
        <w:t xml:space="preserve"> (съответстващо на приблизително ...............% от максималната стойност)</w:t>
      </w:r>
    </w:p>
    <w:p w14:paraId="62F9E118" w14:textId="77777777" w:rsidR="00271FA2"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ab/>
        <w:t>в) Работещ генератор</w:t>
      </w:r>
      <w:r w:rsidRPr="004224F6">
        <w:rPr>
          <w:rFonts w:ascii="Times New Roman" w:hAnsi="Times New Roman" w:cs="Times New Roman"/>
        </w:rPr>
        <w:t>e</w:t>
      </w:r>
      <w:r w:rsidRPr="004224F6">
        <w:rPr>
          <w:rFonts w:ascii="Times New Roman" w:hAnsi="Times New Roman" w:cs="Times New Roman"/>
          <w:lang w:val="ru-RU"/>
        </w:rPr>
        <w:t>н комплект № .......................................</w:t>
      </w:r>
    </w:p>
    <w:p w14:paraId="1EFD2DE3" w14:textId="77777777" w:rsidR="002C0B64"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ab/>
        <w:t xml:space="preserve">г) Наблюдения: </w:t>
      </w:r>
      <w:r w:rsidR="002C0B64" w:rsidRPr="004224F6">
        <w:rPr>
          <w:rFonts w:ascii="Times New Roman" w:hAnsi="Times New Roman" w:cs="Times New Roman"/>
          <w:lang w:val="ru-RU"/>
        </w:rPr>
        <w:tab/>
        <w:t>.............................................................................................................................................................................................................................</w:t>
      </w:r>
    </w:p>
    <w:p w14:paraId="7184508D" w14:textId="3A2455D2" w:rsidR="00271FA2" w:rsidRPr="004224F6" w:rsidRDefault="00D35E51" w:rsidP="00B954ED">
      <w:pPr>
        <w:spacing w:line="360" w:lineRule="auto"/>
        <w:rPr>
          <w:rFonts w:ascii="Times New Roman" w:hAnsi="Times New Roman" w:cs="Times New Roman"/>
          <w:lang w:val="ru-RU"/>
        </w:rPr>
      </w:pPr>
      <w:r w:rsidRPr="004224F6">
        <w:rPr>
          <w:rFonts w:ascii="Times New Roman" w:hAnsi="Times New Roman" w:cs="Times New Roman"/>
          <w:lang w:val="ru-RU"/>
        </w:rPr>
        <w:t>5.</w:t>
      </w:r>
      <w:r w:rsidRPr="004224F6">
        <w:rPr>
          <w:rFonts w:ascii="Times New Roman" w:hAnsi="Times New Roman" w:cs="Times New Roman"/>
          <w:lang w:val="ru-RU"/>
        </w:rPr>
        <w:tab/>
        <w:t>Условия за измерване - околна среда</w:t>
      </w:r>
    </w:p>
    <w:p w14:paraId="7C131566" w14:textId="77777777" w:rsidR="00271FA2"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ab/>
        <w:t>а) Площ на измерване: ....................................................... срещу течението/по течението*</w:t>
      </w:r>
    </w:p>
    <w:p w14:paraId="0328E4B7" w14:textId="77777777" w:rsidR="00271FA2"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ab/>
        <w:t xml:space="preserve">б) Водна дълбочина:  .......................... </w:t>
      </w:r>
      <w:r w:rsidRPr="004224F6">
        <w:rPr>
          <w:rFonts w:ascii="Times New Roman" w:hAnsi="Times New Roman" w:cs="Times New Roman"/>
        </w:rPr>
        <w:t>m</w:t>
      </w:r>
      <w:r w:rsidRPr="004224F6">
        <w:rPr>
          <w:rFonts w:ascii="Times New Roman" w:hAnsi="Times New Roman" w:cs="Times New Roman"/>
          <w:lang w:val="ru-RU"/>
        </w:rPr>
        <w:t xml:space="preserve"> (съответно водно ниво ......................... = ........................................................... м)</w:t>
      </w:r>
    </w:p>
    <w:p w14:paraId="52DB014B" w14:textId="77777777" w:rsidR="00271FA2"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ab/>
        <w:t xml:space="preserve">в) Време: ..................................... Температура: ................ ° С. Сила на вятъра: ................ </w:t>
      </w:r>
      <w:r w:rsidRPr="004224F6">
        <w:rPr>
          <w:rFonts w:ascii="Times New Roman" w:hAnsi="Times New Roman" w:cs="Times New Roman"/>
        </w:rPr>
        <w:t>BF</w:t>
      </w:r>
    </w:p>
    <w:p w14:paraId="36CD78A9" w14:textId="77777777" w:rsidR="00271FA2"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tab/>
        <w:t>г) Външни смущения от шум: не/да*, ако да, посочете…....................................................................................................................</w:t>
      </w:r>
    </w:p>
    <w:p w14:paraId="039AB0C8" w14:textId="77777777" w:rsidR="00271FA2" w:rsidRPr="004224F6" w:rsidRDefault="00D35E51" w:rsidP="00B954ED">
      <w:pPr>
        <w:tabs>
          <w:tab w:val="left" w:pos="0"/>
        </w:tabs>
        <w:spacing w:line="360" w:lineRule="auto"/>
        <w:rPr>
          <w:rFonts w:ascii="Times New Roman" w:hAnsi="Times New Roman" w:cs="Times New Roman"/>
          <w:lang w:val="ru-RU"/>
        </w:rPr>
      </w:pPr>
      <w:r w:rsidRPr="004224F6">
        <w:rPr>
          <w:rFonts w:ascii="Times New Roman" w:hAnsi="Times New Roman" w:cs="Times New Roman"/>
          <w:lang w:val="ru-RU"/>
        </w:rPr>
        <w:lastRenderedPageBreak/>
        <w:tab/>
        <w:t>д) Наблюдения: ...............................................................................................................................</w:t>
      </w:r>
    </w:p>
    <w:p w14:paraId="607CA3C6" w14:textId="77777777" w:rsidR="00271FA2" w:rsidRPr="004224F6" w:rsidRDefault="00271FA2">
      <w:pPr>
        <w:tabs>
          <w:tab w:val="left" w:pos="284"/>
        </w:tabs>
        <w:spacing w:line="240" w:lineRule="atLeast"/>
        <w:rPr>
          <w:rFonts w:ascii="Times New Roman" w:hAnsi="Times New Roman" w:cs="Times New Roman"/>
          <w:lang w:val="ru-RU"/>
        </w:rPr>
        <w:sectPr w:rsidR="00271FA2" w:rsidRPr="004224F6" w:rsidSect="004224F6">
          <w:headerReference w:type="default" r:id="rId232"/>
          <w:footnotePr>
            <w:numRestart w:val="eachPage"/>
          </w:footnotePr>
          <w:pgSz w:w="16840" w:h="11907" w:orient="landscape"/>
          <w:pgMar w:top="1134" w:right="1134" w:bottom="1134" w:left="1134" w:header="709" w:footer="709" w:gutter="0"/>
          <w:cols w:space="720"/>
          <w:docGrid w:linePitch="326"/>
        </w:sectPr>
      </w:pPr>
    </w:p>
    <w:p w14:paraId="28A3C8D5" w14:textId="77777777" w:rsidR="00271FA2" w:rsidRPr="004224F6" w:rsidRDefault="00D35E51">
      <w:pPr>
        <w:pStyle w:val="ES-Titre2ESI"/>
        <w:rPr>
          <w:rFonts w:ascii="Times New Roman" w:hAnsi="Times New Roman" w:cs="Times New Roman"/>
          <w:lang w:val="ru-RU"/>
        </w:rPr>
      </w:pPr>
      <w:bookmarkStart w:id="683" w:name="_Toc535827796"/>
      <w:bookmarkStart w:id="684" w:name="_Toc491854355"/>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-6</w:t>
      </w:r>
      <w:r w:rsidRPr="004224F6">
        <w:rPr>
          <w:rFonts w:ascii="Times New Roman" w:hAnsi="Times New Roman" w:cs="Times New Roman"/>
          <w:lang w:val="ru-RU"/>
        </w:rPr>
        <w:br/>
        <w:t>Подходящи спомагателни средства за наблюдаване на мъртвата зона</w:t>
      </w:r>
      <w:bookmarkEnd w:id="683"/>
      <w:bookmarkEnd w:id="684"/>
    </w:p>
    <w:p w14:paraId="2E5C6E6B" w14:textId="77777777" w:rsidR="00271FA2" w:rsidRPr="004224F6" w:rsidRDefault="00D35E51" w:rsidP="00B36F20">
      <w:pPr>
        <w:tabs>
          <w:tab w:val="center" w:pos="4513"/>
        </w:tabs>
        <w:overflowPunct w:val="0"/>
        <w:adjustRightInd w:val="0"/>
        <w:spacing w:after="240" w:line="240" w:lineRule="atLeast"/>
        <w:jc w:val="center"/>
        <w:textAlignment w:val="baseline"/>
        <w:rPr>
          <w:rFonts w:ascii="Times New Roman" w:hAnsi="Times New Roman" w:cs="Times New Roman"/>
          <w:b/>
          <w:szCs w:val="20"/>
          <w:lang w:val="ru-RU"/>
        </w:rPr>
      </w:pPr>
      <w:r w:rsidRPr="004224F6">
        <w:rPr>
          <w:rFonts w:ascii="Times New Roman" w:hAnsi="Times New Roman" w:cs="Times New Roman"/>
          <w:b/>
          <w:lang w:val="ru-RU"/>
        </w:rPr>
        <w:t>(Член 7.02)</w:t>
      </w:r>
    </w:p>
    <w:p w14:paraId="2B04CCF3" w14:textId="77777777" w:rsidR="00271FA2" w:rsidRPr="004224F6" w:rsidRDefault="00D35E51">
      <w:pPr>
        <w:widowControl w:val="0"/>
        <w:spacing w:line="240" w:lineRule="atLeast"/>
        <w:ind w:left="567" w:hanging="567"/>
        <w:rPr>
          <w:rFonts w:ascii="Times New Roman" w:hAnsi="Times New Roman" w:cs="Times New Roman"/>
          <w:b/>
          <w:szCs w:val="20"/>
          <w:lang w:val="ru-RU"/>
        </w:rPr>
      </w:pPr>
      <w:r w:rsidRPr="004224F6">
        <w:rPr>
          <w:rFonts w:ascii="Times New Roman" w:hAnsi="Times New Roman" w:cs="Times New Roman"/>
          <w:b/>
          <w:lang w:val="ru-RU"/>
        </w:rPr>
        <w:t>1.</w:t>
      </w:r>
      <w:r w:rsidRPr="004224F6">
        <w:rPr>
          <w:rFonts w:ascii="Times New Roman" w:hAnsi="Times New Roman" w:cs="Times New Roman"/>
          <w:lang w:val="ru-RU"/>
        </w:rPr>
        <w:tab/>
      </w:r>
      <w:r w:rsidRPr="004224F6">
        <w:rPr>
          <w:rFonts w:ascii="Times New Roman" w:hAnsi="Times New Roman" w:cs="Times New Roman"/>
          <w:b/>
          <w:lang w:val="ru-RU"/>
        </w:rPr>
        <w:t>Въведение</w:t>
      </w:r>
    </w:p>
    <w:p w14:paraId="72374417"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По редица причини, поради конструкцията на плавателния съд или товара, безпрепятствената видимост във всички посоки от рулевата рубка е неизбежно ограничен</w:t>
      </w:r>
      <w:r w:rsidRPr="004224F6">
        <w:rPr>
          <w:rFonts w:ascii="Times New Roman" w:hAnsi="Times New Roman" w:cs="Times New Roman"/>
        </w:rPr>
        <w:t>a</w:t>
      </w:r>
      <w:r w:rsidRPr="004224F6">
        <w:rPr>
          <w:rFonts w:ascii="Times New Roman" w:hAnsi="Times New Roman" w:cs="Times New Roman"/>
          <w:lang w:val="ru-RU"/>
        </w:rPr>
        <w:t xml:space="preserve"> в по-голяма или по-малка степен. Ограниченията се отнасят до сектори в хоризонталната равнина (ъгъл на азимут между 0 и 360° спрямо предната ос на плавателния съд и във вертикалната равнина (ъгъл на наклон между -90 и + 90° спрямо хоризонталната равнина на нивото на очите на рулевия).</w:t>
      </w:r>
    </w:p>
    <w:p w14:paraId="4D3C20F0"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В зависимост от това дали лицата се качват на или слизат от плавателния съд, дали той акостира или отпътува, дали маневрира или е в движение, рулевият трябва да може да вижда различни сектори от своето зрително поле. Например, преди отпътуване е важно да може да се провери дали някой е останал на палубния проход или пък дали зоната непосредствено зад кърмата е ясна. Докато плавателният съд е в движение по-голям приоритет се отдава на възможността да се наблюдава зоната пред него поради неговата бързо променяща се позиция при движението напред.</w:t>
      </w:r>
    </w:p>
    <w:p w14:paraId="16C87753"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Техническите спомагателни средства позволяват непряка видимост в сектори, които не могат да бъдат наблюдавани непосредствено. Въпреки, че много от техните възможности надхвърлят тези на човешкото око, те не са пълен заместител на пряката видимост. Независимо от това, те понякога се използват като допълнение в сектори, които могат да бъдат наблюдавани пряко.</w:t>
      </w:r>
    </w:p>
    <w:p w14:paraId="2396605A"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Във връзка с необходимата информация относно мъртви зони, е необходимо да се прави разграничение дали значимата информация е само наличието на обект, неговите визуални характеристики (силует, цвят) или неговата идентичност, или дали тя е важна от навигационна гледна точка за определяне на размерите, курса и скоростта на даден обект. Този въпрос оказва влияние върху избора на вида на технически помощни средства.</w:t>
      </w:r>
    </w:p>
    <w:p w14:paraId="5AFB352F"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Като се имат предвид по-ниските разходи за закупуване и монтаж, по-голямата ефективност, многостранност и възможности за настройване на системите за видеонаблюдение в сравнение с перископите, перископите отпадат като технически спомагателни средства.</w:t>
      </w:r>
    </w:p>
    <w:p w14:paraId="723439C4" w14:textId="77777777" w:rsidR="00271FA2" w:rsidRPr="004224F6" w:rsidRDefault="00D35E51">
      <w:pPr>
        <w:widowControl w:val="0"/>
        <w:spacing w:line="240" w:lineRule="atLeast"/>
        <w:ind w:left="567" w:hanging="567"/>
        <w:rPr>
          <w:rFonts w:ascii="Times New Roman" w:hAnsi="Times New Roman" w:cs="Times New Roman"/>
          <w:b/>
          <w:szCs w:val="20"/>
          <w:lang w:val="ru-RU"/>
        </w:rPr>
      </w:pPr>
      <w:r w:rsidRPr="004224F6">
        <w:rPr>
          <w:rFonts w:ascii="Times New Roman" w:hAnsi="Times New Roman" w:cs="Times New Roman"/>
          <w:b/>
          <w:lang w:val="ru-RU"/>
        </w:rPr>
        <w:t>2.</w:t>
      </w:r>
      <w:r w:rsidRPr="004224F6">
        <w:rPr>
          <w:rFonts w:ascii="Times New Roman" w:hAnsi="Times New Roman" w:cs="Times New Roman"/>
          <w:lang w:val="ru-RU"/>
        </w:rPr>
        <w:tab/>
      </w:r>
      <w:r w:rsidRPr="004224F6">
        <w:rPr>
          <w:rFonts w:ascii="Times New Roman" w:hAnsi="Times New Roman" w:cs="Times New Roman"/>
          <w:b/>
          <w:lang w:val="ru-RU"/>
        </w:rPr>
        <w:t>Преглед на подходящи помощни средства</w:t>
      </w:r>
    </w:p>
    <w:p w14:paraId="58991168" w14:textId="77777777" w:rsidR="00271FA2" w:rsidRPr="004224F6" w:rsidRDefault="00D35E51" w:rsidP="00914533">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Следните помощни средства по принцип са подходящи за наблюдение на участъци на мъртва зона: </w:t>
      </w:r>
    </w:p>
    <w:p w14:paraId="033DB0B5" w14:textId="77777777" w:rsidR="00271FA2" w:rsidRPr="004224F6" w:rsidRDefault="00D35E51">
      <w:pPr>
        <w:widowControl w:val="0"/>
        <w:spacing w:line="240" w:lineRule="atLeast"/>
        <w:ind w:left="992" w:hanging="425"/>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огледала;</w:t>
      </w:r>
    </w:p>
    <w:p w14:paraId="70B0AEC6" w14:textId="77777777" w:rsidR="00271FA2" w:rsidRPr="004224F6" w:rsidRDefault="00D35E51">
      <w:pPr>
        <w:widowControl w:val="0"/>
        <w:spacing w:line="240" w:lineRule="atLeast"/>
        <w:ind w:left="992" w:hanging="425"/>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видеосистеми; и</w:t>
      </w:r>
    </w:p>
    <w:p w14:paraId="452DC36A" w14:textId="77777777" w:rsidR="00271FA2" w:rsidRPr="004224F6" w:rsidRDefault="00D35E51">
      <w:pPr>
        <w:widowControl w:val="0"/>
        <w:spacing w:line="240" w:lineRule="atLeast"/>
        <w:ind w:left="992" w:hanging="425"/>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радиолокационни системи.</w:t>
      </w:r>
    </w:p>
    <w:p w14:paraId="07AE900E"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Спомагателните средства, които отговарят на част 4 от настоящата административна инструкция, са подходящи за наблюдение на мъртви зони, при условие че съответстват на специфичните условия за употреба. Контролната комисия ще разреши други спомагателни средства само ако е на мнение, че те осигуряват сравнима степен на безопасност.</w:t>
      </w:r>
    </w:p>
    <w:p w14:paraId="4ED914B2" w14:textId="77777777" w:rsidR="00271FA2" w:rsidRPr="004224F6" w:rsidRDefault="00D35E51">
      <w:pPr>
        <w:widowControl w:val="0"/>
        <w:spacing w:line="240" w:lineRule="atLeast"/>
        <w:ind w:left="567" w:hanging="567"/>
        <w:rPr>
          <w:rFonts w:ascii="Times New Roman" w:hAnsi="Times New Roman" w:cs="Times New Roman"/>
          <w:b/>
          <w:bCs/>
          <w:szCs w:val="20"/>
          <w:lang w:val="ru-RU"/>
        </w:rPr>
      </w:pPr>
      <w:r w:rsidRPr="004224F6">
        <w:rPr>
          <w:rFonts w:ascii="Times New Roman" w:hAnsi="Times New Roman" w:cs="Times New Roman"/>
          <w:b/>
          <w:lang w:val="ru-RU"/>
        </w:rPr>
        <w:t>3.</w:t>
      </w:r>
      <w:r w:rsidRPr="004224F6">
        <w:rPr>
          <w:rFonts w:ascii="Times New Roman" w:hAnsi="Times New Roman" w:cs="Times New Roman"/>
          <w:lang w:val="ru-RU"/>
        </w:rPr>
        <w:tab/>
      </w:r>
      <w:r w:rsidRPr="004224F6">
        <w:rPr>
          <w:rFonts w:ascii="Times New Roman" w:hAnsi="Times New Roman" w:cs="Times New Roman"/>
          <w:b/>
          <w:lang w:val="ru-RU"/>
        </w:rPr>
        <w:t>Характеристики на технически помощни средства</w:t>
      </w:r>
    </w:p>
    <w:p w14:paraId="78FBBF8F" w14:textId="77777777" w:rsidR="00271FA2" w:rsidRPr="004224F6" w:rsidRDefault="00D35E51">
      <w:pPr>
        <w:widowControl w:val="0"/>
        <w:spacing w:line="240" w:lineRule="atLeast"/>
        <w:ind w:left="567" w:hanging="567"/>
        <w:rPr>
          <w:rFonts w:ascii="Times New Roman" w:hAnsi="Times New Roman" w:cs="Times New Roman"/>
          <w:b/>
          <w:bCs/>
          <w:szCs w:val="20"/>
          <w:lang w:val="ru-RU"/>
        </w:rPr>
      </w:pPr>
      <w:r w:rsidRPr="004224F6">
        <w:rPr>
          <w:rFonts w:ascii="Times New Roman" w:hAnsi="Times New Roman" w:cs="Times New Roman"/>
          <w:b/>
          <w:lang w:val="ru-RU"/>
        </w:rPr>
        <w:t>3.1</w:t>
      </w:r>
      <w:r w:rsidRPr="004224F6">
        <w:rPr>
          <w:rFonts w:ascii="Times New Roman" w:hAnsi="Times New Roman" w:cs="Times New Roman"/>
          <w:lang w:val="ru-RU"/>
        </w:rPr>
        <w:tab/>
      </w:r>
      <w:r w:rsidRPr="004224F6">
        <w:rPr>
          <w:rFonts w:ascii="Times New Roman" w:hAnsi="Times New Roman" w:cs="Times New Roman"/>
          <w:b/>
          <w:lang w:val="ru-RU"/>
        </w:rPr>
        <w:t>Характеристики на огледалата</w:t>
      </w:r>
    </w:p>
    <w:p w14:paraId="6CF0DB6A"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По принцип, огледалата представляват система от датчици и визуализиране в едно. Те отразяват падащата светлина съгласно закона: „ъгъл на падане = ъгъл на отразяване“ и позволяват косвено наблюдение на желания сектор чрез отклоняване на полезрението на рулевия. Те се използват главно за наблюдаване на зоните на палубния проход. </w:t>
      </w:r>
    </w:p>
    <w:p w14:paraId="6F1E651F"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С равните огледала ъгълът в центъра на полезрението остава непроменен, а изпъкналите огледала го увеличават. Огледалата не работят на тъмно и могат да причинят заслепяване при пряка </w:t>
      </w:r>
      <w:r w:rsidRPr="004224F6">
        <w:rPr>
          <w:rFonts w:ascii="Times New Roman" w:hAnsi="Times New Roman" w:cs="Times New Roman"/>
          <w:lang w:val="ru-RU"/>
        </w:rPr>
        <w:lastRenderedPageBreak/>
        <w:t>слънчева светлина.</w:t>
      </w:r>
    </w:p>
    <w:p w14:paraId="7C1A3A96"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Като цяло огледалата, използвани за вътрешно корабоплаване, са масово произвеждани продукти, предназначени за автобуси и тежкотоварни автомобили, чиито характеристики са подходящи за целите на корабоплаването.</w:t>
      </w:r>
    </w:p>
    <w:p w14:paraId="15469517"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При идеални условия (високо качество, без замърсяване) разделителната способност на изображение, предоставено от огледало, е ограничена от разделителната способност на очите на наблюдателя.</w:t>
      </w:r>
    </w:p>
    <w:p w14:paraId="4FD24BED" w14:textId="77777777" w:rsidR="00271FA2" w:rsidRPr="004224F6" w:rsidRDefault="00D35E51">
      <w:pPr>
        <w:widowControl w:val="0"/>
        <w:tabs>
          <w:tab w:val="left" w:pos="540"/>
        </w:tabs>
        <w:spacing w:line="240" w:lineRule="atLeast"/>
        <w:rPr>
          <w:rFonts w:ascii="Times New Roman" w:hAnsi="Times New Roman" w:cs="Times New Roman"/>
          <w:b/>
          <w:szCs w:val="20"/>
          <w:lang w:val="ru-RU"/>
        </w:rPr>
      </w:pPr>
      <w:r w:rsidRPr="004224F6">
        <w:rPr>
          <w:rFonts w:ascii="Times New Roman" w:hAnsi="Times New Roman" w:cs="Times New Roman"/>
          <w:b/>
          <w:lang w:val="ru-RU"/>
        </w:rPr>
        <w:t>3.2</w:t>
      </w:r>
      <w:r w:rsidRPr="004224F6">
        <w:rPr>
          <w:rFonts w:ascii="Times New Roman" w:hAnsi="Times New Roman" w:cs="Times New Roman"/>
          <w:lang w:val="ru-RU"/>
        </w:rPr>
        <w:tab/>
      </w:r>
      <w:r w:rsidR="00B63AC5" w:rsidRPr="004224F6">
        <w:rPr>
          <w:rFonts w:ascii="Times New Roman" w:hAnsi="Times New Roman" w:cs="Times New Roman"/>
          <w:b/>
          <w:lang w:val="ru-RU"/>
        </w:rPr>
        <w:t>Характеристики на видео</w:t>
      </w:r>
      <w:r w:rsidRPr="004224F6">
        <w:rPr>
          <w:rFonts w:ascii="Times New Roman" w:hAnsi="Times New Roman" w:cs="Times New Roman"/>
          <w:b/>
          <w:lang w:val="ru-RU"/>
        </w:rPr>
        <w:t>системите</w:t>
      </w:r>
    </w:p>
    <w:p w14:paraId="51B7A241"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С висо</w:t>
      </w:r>
      <w:r w:rsidR="005C0C3B" w:rsidRPr="004224F6">
        <w:rPr>
          <w:rFonts w:ascii="Times New Roman" w:hAnsi="Times New Roman" w:cs="Times New Roman"/>
          <w:lang w:val="ru-RU"/>
        </w:rPr>
        <w:t>ка честота на повторение, видео</w:t>
      </w:r>
      <w:r w:rsidRPr="004224F6">
        <w:rPr>
          <w:rFonts w:ascii="Times New Roman" w:hAnsi="Times New Roman" w:cs="Times New Roman"/>
          <w:lang w:val="ru-RU"/>
        </w:rPr>
        <w:t>системите предоставят актуален образ на околната среда както наблюдател би наблюдавал, ако беше на мястото на камерата. Те включват видеокамера като датчик за изображение и растерен екран за изобразяване на записаното изображение (видео монитор).</w:t>
      </w:r>
    </w:p>
    <w:p w14:paraId="0CD88BAE"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Обикновена електрическа връзка е достатъчна за предаване на сигнала между камерата и монитора. Електрическото захранване може да се предоставя посредством сигналния кабел.</w:t>
      </w:r>
    </w:p>
    <w:p w14:paraId="6A73538C"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Камерите могат да работят с фиксирано или променливо фокусно разстояние (увеличение) и да бъдат инсталирани в неподвижно положение или върху завъртаща и накланяща стойка.</w:t>
      </w:r>
    </w:p>
    <w:p w14:paraId="65590AAF"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Изображенията, получени от камерите (с единична леща), се улавят и показват върху екраните на централно ниво по същия начин, по който се възприемат от човешкото око. Основен недостатък на централната перспектива е, че тя не дава възможност да бъде определен обхватът на показваните образи. Този ефект се забелязва лесно при изображения, заснети с използване на телефото лещи (голямо фокусно разстояние).</w:t>
      </w:r>
    </w:p>
    <w:p w14:paraId="23FBB9D6"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Ето защо направлението и полето на наблюдение трябва д</w:t>
      </w:r>
      <w:r w:rsidR="00474F56" w:rsidRPr="004224F6">
        <w:rPr>
          <w:rFonts w:ascii="Times New Roman" w:hAnsi="Times New Roman" w:cs="Times New Roman"/>
          <w:lang w:val="ru-RU"/>
        </w:rPr>
        <w:t>а бъдат</w:t>
      </w:r>
      <w:r w:rsidRPr="004224F6">
        <w:rPr>
          <w:rFonts w:ascii="Times New Roman" w:hAnsi="Times New Roman" w:cs="Times New Roman"/>
          <w:lang w:val="ru-RU"/>
        </w:rPr>
        <w:t xml:space="preserve"> съобразени с изискваната употреба.</w:t>
      </w:r>
    </w:p>
    <w:p w14:paraId="0B150D8E" w14:textId="77777777" w:rsidR="00271FA2" w:rsidRPr="004224F6" w:rsidRDefault="00D23532">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Видео</w:t>
      </w:r>
      <w:r w:rsidR="00D35E51" w:rsidRPr="004224F6">
        <w:rPr>
          <w:rFonts w:ascii="Times New Roman" w:hAnsi="Times New Roman" w:cs="Times New Roman"/>
          <w:lang w:val="ru-RU"/>
        </w:rPr>
        <w:t>системите зависят от наличието на ниска околна осветеност. Силните отражения върху водната повърхност и пряката слънчева светлина могат да направят образа неизползваем.</w:t>
      </w:r>
    </w:p>
    <w:p w14:paraId="41B5A6A6"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Техническите характеристики на монитора (размер на изображението, разделителна способност, яркост) зависят от изискваното използване.</w:t>
      </w:r>
    </w:p>
    <w:p w14:paraId="70C712A2"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Разделителната способност на изображението се определя от броя на пикселите на датчика за изображение в камерата и броя на пикселите (и широчината на честотната лента на видеосигнала) на монитора. Дори една добра търговска видео система не може да постигне напълно максималната разделителна способност на човешкото око.</w:t>
      </w:r>
    </w:p>
    <w:p w14:paraId="2022B303" w14:textId="77777777" w:rsidR="00271FA2" w:rsidRPr="004224F6" w:rsidRDefault="00D35E51">
      <w:pPr>
        <w:widowControl w:val="0"/>
        <w:tabs>
          <w:tab w:val="left" w:pos="540"/>
        </w:tabs>
        <w:spacing w:line="240" w:lineRule="atLeast"/>
        <w:rPr>
          <w:rFonts w:ascii="Times New Roman" w:hAnsi="Times New Roman" w:cs="Times New Roman"/>
          <w:b/>
          <w:szCs w:val="20"/>
          <w:lang w:val="ru-RU"/>
        </w:rPr>
      </w:pPr>
      <w:r w:rsidRPr="004224F6">
        <w:rPr>
          <w:rFonts w:ascii="Times New Roman" w:hAnsi="Times New Roman" w:cs="Times New Roman"/>
          <w:b/>
          <w:lang w:val="ru-RU"/>
        </w:rPr>
        <w:t>3.3</w:t>
      </w:r>
      <w:r w:rsidRPr="004224F6">
        <w:rPr>
          <w:rFonts w:ascii="Times New Roman" w:hAnsi="Times New Roman" w:cs="Times New Roman"/>
          <w:lang w:val="ru-RU"/>
        </w:rPr>
        <w:tab/>
      </w:r>
      <w:r w:rsidRPr="004224F6">
        <w:rPr>
          <w:rFonts w:ascii="Times New Roman" w:hAnsi="Times New Roman" w:cs="Times New Roman"/>
          <w:b/>
          <w:lang w:val="ru-RU"/>
        </w:rPr>
        <w:t>Характеристики на радиолокационните системи</w:t>
      </w:r>
    </w:p>
    <w:p w14:paraId="6E3A2BC4"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Радиолокационните системи се характеризират с датчик (въртяща се антена с предавател и приемник) и устройство за визуализация. Датчикът използва хоризонтално въртяща се антена за „осветяване“ на тесни радиални сектори с импулсни микровълни, улавя ехото, върнато от отразяващи обекти, след което показва тези обекти на екрана, като посочва разстоянието и пеленга. Това води до мащабирано изображение на околната среда спрямо направлението на плавателния съд. Това изображение позволява предмети на разстояние от 15 </w:t>
      </w:r>
      <w:r w:rsidRPr="004224F6">
        <w:rPr>
          <w:rFonts w:ascii="Times New Roman" w:hAnsi="Times New Roman" w:cs="Times New Roman"/>
        </w:rPr>
        <w:t>m</w:t>
      </w:r>
      <w:r w:rsidRPr="004224F6">
        <w:rPr>
          <w:rFonts w:ascii="Times New Roman" w:hAnsi="Times New Roman" w:cs="Times New Roman"/>
          <w:lang w:val="ru-RU"/>
        </w:rPr>
        <w:t xml:space="preserve"> и повече да бъдат определени с разделителна способност от около 5 </w:t>
      </w:r>
      <w:r w:rsidRPr="004224F6">
        <w:rPr>
          <w:rFonts w:ascii="Times New Roman" w:hAnsi="Times New Roman" w:cs="Times New Roman"/>
        </w:rPr>
        <w:t>m</w:t>
      </w:r>
      <w:r w:rsidRPr="004224F6">
        <w:rPr>
          <w:rFonts w:ascii="Times New Roman" w:hAnsi="Times New Roman" w:cs="Times New Roman"/>
          <w:lang w:val="ru-RU"/>
        </w:rPr>
        <w:t xml:space="preserve"> и техният</w:t>
      </w:r>
      <w:r w:rsidR="00644D95" w:rsidRPr="004224F6">
        <w:rPr>
          <w:rFonts w:ascii="Times New Roman" w:hAnsi="Times New Roman" w:cs="Times New Roman"/>
          <w:lang w:val="ru-RU"/>
        </w:rPr>
        <w:t xml:space="preserve"> пеленг в рамките на около 0,5</w:t>
      </w:r>
      <w:r w:rsidR="00644D95" w:rsidRPr="004224F6">
        <w:rPr>
          <w:rFonts w:ascii="Times New Roman" w:hAnsi="Times New Roman" w:cs="Times New Roman"/>
        </w:rPr>
        <w:t> </w:t>
      </w:r>
      <w:r w:rsidRPr="004224F6">
        <w:rPr>
          <w:rFonts w:ascii="Times New Roman" w:hAnsi="Times New Roman" w:cs="Times New Roman"/>
          <w:lang w:val="ru-RU"/>
        </w:rPr>
        <w:t>.</w:t>
      </w:r>
    </w:p>
    <w:p w14:paraId="48ADE874"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Тъй като радиолокацинните импулси работят със свои собствени предавателни импулси, за разлика от други технически помощни средства, споменати по-горе, те не зависят от наличието на околна осветеност.</w:t>
      </w:r>
    </w:p>
    <w:p w14:paraId="52BB737F" w14:textId="77777777" w:rsidR="00271FA2" w:rsidRPr="004224F6" w:rsidRDefault="00D35E51">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Те обаче могат да откриват и определят местоположението единствено на отразяващи обекти и генерират изображение на околната среда, наподобяващо карта, което надеждно изобразява пеленга и разстоянието. Радиолокационните системи също така не могат да идентифицират и изобразяват подробности на обектите, които биха позволили тяхното идентифициране. </w:t>
      </w:r>
    </w:p>
    <w:p w14:paraId="7C4AA24E" w14:textId="77777777" w:rsidR="00271FA2" w:rsidRPr="004224F6" w:rsidRDefault="00D35E51">
      <w:pPr>
        <w:widowControl w:val="0"/>
        <w:spacing w:line="240" w:lineRule="atLeast"/>
        <w:ind w:left="567" w:hanging="567"/>
        <w:rPr>
          <w:rFonts w:ascii="Times New Roman" w:hAnsi="Times New Roman" w:cs="Times New Roman"/>
          <w:b/>
          <w:szCs w:val="20"/>
          <w:lang w:val="ru-RU"/>
        </w:rPr>
      </w:pPr>
      <w:r w:rsidRPr="004224F6">
        <w:rPr>
          <w:rFonts w:ascii="Times New Roman" w:hAnsi="Times New Roman" w:cs="Times New Roman"/>
          <w:b/>
          <w:lang w:val="ru-RU"/>
        </w:rPr>
        <w:t>4.</w:t>
      </w:r>
      <w:r w:rsidRPr="004224F6">
        <w:rPr>
          <w:rFonts w:ascii="Times New Roman" w:hAnsi="Times New Roman" w:cs="Times New Roman"/>
          <w:lang w:val="ru-RU"/>
        </w:rPr>
        <w:tab/>
      </w:r>
      <w:r w:rsidRPr="004224F6">
        <w:rPr>
          <w:rFonts w:ascii="Times New Roman" w:hAnsi="Times New Roman" w:cs="Times New Roman"/>
          <w:b/>
          <w:lang w:val="ru-RU"/>
        </w:rPr>
        <w:t>Подходящи спомагателни средства за наблюдаване на мъртвата зона</w:t>
      </w:r>
    </w:p>
    <w:p w14:paraId="56417C00" w14:textId="77777777" w:rsidR="00271FA2" w:rsidRPr="004224F6" w:rsidRDefault="00D35E51">
      <w:pPr>
        <w:widowControl w:val="0"/>
        <w:spacing w:line="240" w:lineRule="atLeast"/>
        <w:ind w:left="567" w:hanging="567"/>
        <w:rPr>
          <w:rFonts w:ascii="Times New Roman" w:hAnsi="Times New Roman" w:cs="Times New Roman"/>
          <w:b/>
          <w:szCs w:val="20"/>
          <w:lang w:val="ru-RU"/>
        </w:rPr>
      </w:pPr>
      <w:r w:rsidRPr="004224F6">
        <w:rPr>
          <w:rFonts w:ascii="Times New Roman" w:hAnsi="Times New Roman" w:cs="Times New Roman"/>
          <w:b/>
          <w:lang w:val="ru-RU"/>
        </w:rPr>
        <w:lastRenderedPageBreak/>
        <w:t>4.1</w:t>
      </w:r>
      <w:r w:rsidRPr="004224F6">
        <w:rPr>
          <w:rFonts w:ascii="Times New Roman" w:hAnsi="Times New Roman" w:cs="Times New Roman"/>
          <w:lang w:val="ru-RU"/>
        </w:rPr>
        <w:tab/>
      </w:r>
      <w:r w:rsidRPr="004224F6">
        <w:rPr>
          <w:rFonts w:ascii="Times New Roman" w:hAnsi="Times New Roman" w:cs="Times New Roman"/>
          <w:b/>
          <w:lang w:val="ru-RU"/>
        </w:rPr>
        <w:t>Огледала</w:t>
      </w:r>
    </w:p>
    <w:p w14:paraId="293EFAF8"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1.</w:t>
      </w:r>
      <w:r w:rsidRPr="004224F6">
        <w:rPr>
          <w:rFonts w:ascii="Times New Roman" w:hAnsi="Times New Roman" w:cs="Times New Roman"/>
          <w:lang w:val="ru-RU"/>
        </w:rPr>
        <w:tab/>
        <w:t>Форма</w:t>
      </w:r>
    </w:p>
    <w:p w14:paraId="702ED64E"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Формата на огледалото за</w:t>
      </w:r>
      <w:r w:rsidR="001006FB" w:rsidRPr="004224F6">
        <w:rPr>
          <w:rFonts w:ascii="Times New Roman" w:hAnsi="Times New Roman" w:cs="Times New Roman"/>
          <w:lang w:val="ru-RU"/>
        </w:rPr>
        <w:t>виси от формата на областта, коя</w:t>
      </w:r>
      <w:r w:rsidRPr="004224F6">
        <w:rPr>
          <w:rFonts w:ascii="Times New Roman" w:hAnsi="Times New Roman" w:cs="Times New Roman"/>
          <w:lang w:val="ru-RU"/>
        </w:rPr>
        <w:t xml:space="preserve">то трябва да бъде наблюдавана. С правоъгълните огледала могат да бъдат наблюдавани палубните проходи. </w:t>
      </w:r>
    </w:p>
    <w:p w14:paraId="4FE062D9"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2.</w:t>
      </w:r>
      <w:r w:rsidRPr="004224F6">
        <w:rPr>
          <w:rFonts w:ascii="Times New Roman" w:hAnsi="Times New Roman" w:cs="Times New Roman"/>
          <w:lang w:val="ru-RU"/>
        </w:rPr>
        <w:tab/>
        <w:t>Размер</w:t>
      </w:r>
    </w:p>
    <w:p w14:paraId="6E3D0A0D"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Площта на огледалото зависи от ширината на сектора, който желаете да наблюдавате и разстоянието между рулевия и огледалото.</w:t>
      </w:r>
    </w:p>
    <w:p w14:paraId="36B79227"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3.</w:t>
      </w:r>
      <w:r w:rsidRPr="004224F6">
        <w:rPr>
          <w:rFonts w:ascii="Times New Roman" w:hAnsi="Times New Roman" w:cs="Times New Roman"/>
          <w:lang w:val="ru-RU"/>
        </w:rPr>
        <w:tab/>
        <w:t>Качество</w:t>
      </w:r>
    </w:p>
    <w:p w14:paraId="3B6EBEB4"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Следва да се използват изпитани и проверени масово произвеждани продукти, като тези за пътни превозни средства (тежкотоварни автомобили и автобуси).</w:t>
      </w:r>
    </w:p>
    <w:p w14:paraId="2296E5BF"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4.</w:t>
      </w:r>
      <w:r w:rsidRPr="004224F6">
        <w:rPr>
          <w:rFonts w:ascii="Times New Roman" w:hAnsi="Times New Roman" w:cs="Times New Roman"/>
          <w:lang w:val="ru-RU"/>
        </w:rPr>
        <w:tab/>
        <w:t>Огледала с извивка</w:t>
      </w:r>
    </w:p>
    <w:p w14:paraId="11F88883"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Следва да се използват плоски огледала, а не такива с извивка. Когато бъде счетено за уместно, могат да се използват също огледала с лека извивка.</w:t>
      </w:r>
    </w:p>
    <w:p w14:paraId="0699BEF1"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5.</w:t>
      </w:r>
      <w:r w:rsidRPr="004224F6">
        <w:rPr>
          <w:rFonts w:ascii="Times New Roman" w:hAnsi="Times New Roman" w:cs="Times New Roman"/>
          <w:lang w:val="ru-RU"/>
        </w:rPr>
        <w:tab/>
        <w:t>Скоба за монтиране</w:t>
      </w:r>
    </w:p>
    <w:p w14:paraId="533EE39D"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Скобата за монтиране трябва да гарантира, че огледалото остава в трайно и стабилно положение (без вибрации).</w:t>
      </w:r>
    </w:p>
    <w:p w14:paraId="2EAEE37D"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6.</w:t>
      </w:r>
      <w:r w:rsidRPr="004224F6">
        <w:rPr>
          <w:rFonts w:ascii="Times New Roman" w:hAnsi="Times New Roman" w:cs="Times New Roman"/>
          <w:lang w:val="ru-RU"/>
        </w:rPr>
        <w:tab/>
        <w:t>Защита срещу дъжд</w:t>
      </w:r>
    </w:p>
    <w:p w14:paraId="065A0A01"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Огледалото трябва да е монтирано по такъв начин, че да е защитено от дъжд.</w:t>
      </w:r>
    </w:p>
    <w:p w14:paraId="473E88CD"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7.</w:t>
      </w:r>
      <w:r w:rsidRPr="004224F6">
        <w:rPr>
          <w:rFonts w:ascii="Times New Roman" w:hAnsi="Times New Roman" w:cs="Times New Roman"/>
          <w:lang w:val="ru-RU"/>
        </w:rPr>
        <w:tab/>
        <w:t>Защита срещу заскрежаване</w:t>
      </w:r>
    </w:p>
    <w:p w14:paraId="45130267"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Образуването на скреж върху огледалото трябва да се предотвратява.</w:t>
      </w:r>
    </w:p>
    <w:p w14:paraId="055012C5"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8.</w:t>
      </w:r>
      <w:r w:rsidRPr="004224F6">
        <w:rPr>
          <w:rFonts w:ascii="Times New Roman" w:hAnsi="Times New Roman" w:cs="Times New Roman"/>
          <w:lang w:val="ru-RU"/>
        </w:rPr>
        <w:tab/>
        <w:t>Положение на монтиране</w:t>
      </w:r>
    </w:p>
    <w:p w14:paraId="6BECD1E0"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 xml:space="preserve">Трябва да е възможно рулевият да използва огледалото без да напуска своя пост; той трябва да може да ползва огледалото с насочване на погледа или извръщане на глава към него. Ето защо горните краища на външните прегради (както и външните врати) на рулевата рубка са подходящи като точки на закрепване. Рулевият трябва да има безпрепятствена видимост към огледало. </w:t>
      </w:r>
    </w:p>
    <w:p w14:paraId="773C750F"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9.</w:t>
      </w:r>
      <w:r w:rsidRPr="004224F6">
        <w:rPr>
          <w:rFonts w:ascii="Times New Roman" w:hAnsi="Times New Roman" w:cs="Times New Roman"/>
          <w:lang w:val="ru-RU"/>
        </w:rPr>
        <w:tab/>
        <w:t>Насочване</w:t>
      </w:r>
    </w:p>
    <w:p w14:paraId="6563B5DC"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Посоката на описаните части на плавателния съд (краища, пешеходни пътеки) трябва да отговаря на действителността във възможно най-голяма степен.</w:t>
      </w:r>
    </w:p>
    <w:p w14:paraId="3D44AB0A" w14:textId="77777777" w:rsidR="00271FA2" w:rsidRPr="004224F6" w:rsidRDefault="00D35E51">
      <w:pPr>
        <w:widowControl w:val="0"/>
        <w:spacing w:line="240" w:lineRule="atLeast"/>
        <w:ind w:left="567" w:hanging="567"/>
        <w:rPr>
          <w:rFonts w:ascii="Times New Roman" w:hAnsi="Times New Roman" w:cs="Times New Roman"/>
          <w:b/>
          <w:szCs w:val="20"/>
          <w:lang w:val="ru-RU"/>
        </w:rPr>
      </w:pPr>
      <w:r w:rsidRPr="004224F6">
        <w:rPr>
          <w:rFonts w:ascii="Times New Roman" w:hAnsi="Times New Roman" w:cs="Times New Roman"/>
          <w:b/>
          <w:lang w:val="ru-RU"/>
        </w:rPr>
        <w:t>4.2</w:t>
      </w:r>
      <w:r w:rsidRPr="004224F6">
        <w:rPr>
          <w:rFonts w:ascii="Times New Roman" w:hAnsi="Times New Roman" w:cs="Times New Roman"/>
          <w:lang w:val="ru-RU"/>
        </w:rPr>
        <w:tab/>
      </w:r>
      <w:r w:rsidR="00DB730C" w:rsidRPr="004224F6">
        <w:rPr>
          <w:rFonts w:ascii="Times New Roman" w:hAnsi="Times New Roman" w:cs="Times New Roman"/>
          <w:b/>
          <w:lang w:val="ru-RU"/>
        </w:rPr>
        <w:t>Видео</w:t>
      </w:r>
      <w:r w:rsidRPr="004224F6">
        <w:rPr>
          <w:rFonts w:ascii="Times New Roman" w:hAnsi="Times New Roman" w:cs="Times New Roman"/>
          <w:b/>
          <w:lang w:val="ru-RU"/>
        </w:rPr>
        <w:t>системи</w:t>
      </w:r>
    </w:p>
    <w:p w14:paraId="0E626A9D" w14:textId="77777777" w:rsidR="00271FA2" w:rsidRPr="004224F6" w:rsidRDefault="00D35E51">
      <w:pPr>
        <w:widowControl w:val="0"/>
        <w:spacing w:line="240" w:lineRule="atLeast"/>
        <w:ind w:left="567" w:hanging="567"/>
        <w:rPr>
          <w:rFonts w:ascii="Times New Roman" w:hAnsi="Times New Roman" w:cs="Times New Roman"/>
          <w:b/>
          <w:szCs w:val="20"/>
          <w:lang w:val="ru-RU"/>
        </w:rPr>
      </w:pPr>
      <w:r w:rsidRPr="004224F6">
        <w:rPr>
          <w:rFonts w:ascii="Times New Roman" w:hAnsi="Times New Roman" w:cs="Times New Roman"/>
          <w:b/>
          <w:lang w:val="ru-RU"/>
        </w:rPr>
        <w:t>4.2.1</w:t>
      </w:r>
      <w:r w:rsidRPr="004224F6">
        <w:rPr>
          <w:rFonts w:ascii="Times New Roman" w:hAnsi="Times New Roman" w:cs="Times New Roman"/>
          <w:lang w:val="ru-RU"/>
        </w:rPr>
        <w:tab/>
      </w:r>
      <w:r w:rsidRPr="004224F6">
        <w:rPr>
          <w:rFonts w:ascii="Times New Roman" w:hAnsi="Times New Roman" w:cs="Times New Roman"/>
          <w:b/>
          <w:lang w:val="ru-RU"/>
        </w:rPr>
        <w:t>Камери</w:t>
      </w:r>
    </w:p>
    <w:p w14:paraId="70A0C38D"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1.</w:t>
      </w:r>
      <w:r w:rsidRPr="004224F6">
        <w:rPr>
          <w:rFonts w:ascii="Times New Roman" w:hAnsi="Times New Roman" w:cs="Times New Roman"/>
          <w:lang w:val="ru-RU"/>
        </w:rPr>
        <w:tab/>
        <w:t>Вид камера</w:t>
      </w:r>
    </w:p>
    <w:p w14:paraId="627AF31A"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Цветна видеокамера с растерно сканиране, с автоматично превключване в черно-бял режим и формат на изображението, напр. 4:3 (ориентация „пейзаж“), подходящ за използвания монитор.</w:t>
      </w:r>
    </w:p>
    <w:p w14:paraId="21CD2874"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2.</w:t>
      </w:r>
      <w:r w:rsidRPr="004224F6">
        <w:rPr>
          <w:rFonts w:ascii="Times New Roman" w:hAnsi="Times New Roman" w:cs="Times New Roman"/>
          <w:lang w:val="ru-RU"/>
        </w:rPr>
        <w:tab/>
        <w:t>Разделителна способност</w:t>
      </w:r>
    </w:p>
    <w:p w14:paraId="5695B538"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Еднакво добра разделителна способност по хоризонталната и по вертикалната ос, за предпочитане най-малко 576 пиксела на тесния край на изображението, квадратни пиксели.</w:t>
      </w:r>
    </w:p>
    <w:p w14:paraId="4855FF55"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3.</w:t>
      </w:r>
      <w:r w:rsidRPr="004224F6">
        <w:rPr>
          <w:rFonts w:ascii="Times New Roman" w:hAnsi="Times New Roman" w:cs="Times New Roman"/>
          <w:lang w:val="ru-RU"/>
        </w:rPr>
        <w:tab/>
        <w:t>Чувствителност на светлина</w:t>
      </w:r>
    </w:p>
    <w:p w14:paraId="26313F7D"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 xml:space="preserve">0,6 </w:t>
      </w:r>
      <w:r w:rsidRPr="004224F6">
        <w:rPr>
          <w:rFonts w:ascii="Times New Roman" w:hAnsi="Times New Roman" w:cs="Times New Roman"/>
        </w:rPr>
        <w:t>lux</w:t>
      </w:r>
      <w:r w:rsidRPr="004224F6">
        <w:rPr>
          <w:rFonts w:ascii="Times New Roman" w:hAnsi="Times New Roman" w:cs="Times New Roman"/>
          <w:lang w:val="ru-RU"/>
        </w:rPr>
        <w:t xml:space="preserve"> в цветен режим, 0,1 </w:t>
      </w:r>
      <w:r w:rsidRPr="004224F6">
        <w:rPr>
          <w:rFonts w:ascii="Times New Roman" w:hAnsi="Times New Roman" w:cs="Times New Roman"/>
        </w:rPr>
        <w:t>lux</w:t>
      </w:r>
      <w:r w:rsidRPr="004224F6">
        <w:rPr>
          <w:rFonts w:ascii="Times New Roman" w:hAnsi="Times New Roman" w:cs="Times New Roman"/>
          <w:lang w:val="ru-RU"/>
        </w:rPr>
        <w:t xml:space="preserve"> в черно</w:t>
      </w:r>
      <w:r w:rsidR="00923007" w:rsidRPr="004224F6">
        <w:rPr>
          <w:rFonts w:ascii="Times New Roman" w:hAnsi="Times New Roman" w:cs="Times New Roman"/>
          <w:lang w:val="ru-RU"/>
        </w:rPr>
        <w:t>-бял режим (в съответствие със С</w:t>
      </w:r>
      <w:r w:rsidRPr="004224F6">
        <w:rPr>
          <w:rFonts w:ascii="Times New Roman" w:hAnsi="Times New Roman" w:cs="Times New Roman"/>
          <w:lang w:val="ru-RU"/>
        </w:rPr>
        <w:t xml:space="preserve">тандарт </w:t>
      </w:r>
      <w:r w:rsidRPr="004224F6">
        <w:rPr>
          <w:rFonts w:ascii="Times New Roman" w:hAnsi="Times New Roman" w:cs="Times New Roman"/>
        </w:rPr>
        <w:t>EN</w:t>
      </w:r>
      <w:r w:rsidRPr="004224F6">
        <w:rPr>
          <w:rFonts w:ascii="Times New Roman" w:hAnsi="Times New Roman" w:cs="Times New Roman"/>
          <w:lang w:val="ru-RU"/>
        </w:rPr>
        <w:t xml:space="preserve"> 61146—1:1996 със съответната леща без интегриране на изображението).</w:t>
      </w:r>
    </w:p>
    <w:p w14:paraId="4A5D6F8F"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4.</w:t>
      </w:r>
      <w:r w:rsidRPr="004224F6">
        <w:rPr>
          <w:rFonts w:ascii="Times New Roman" w:hAnsi="Times New Roman" w:cs="Times New Roman"/>
          <w:lang w:val="ru-RU"/>
        </w:rPr>
        <w:tab/>
        <w:t>Кадрова честота</w:t>
      </w:r>
    </w:p>
    <w:p w14:paraId="7D8D8FEC"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lastRenderedPageBreak/>
        <w:t>Кадрова честота от 25 или повече кадъра в секунда.</w:t>
      </w:r>
    </w:p>
    <w:p w14:paraId="3AD73BCF"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5.</w:t>
      </w:r>
      <w:r w:rsidRPr="004224F6">
        <w:rPr>
          <w:rFonts w:ascii="Times New Roman" w:hAnsi="Times New Roman" w:cs="Times New Roman"/>
          <w:lang w:val="ru-RU"/>
        </w:rPr>
        <w:tab/>
        <w:t>Ъгъл на наблюдение</w:t>
      </w:r>
    </w:p>
    <w:p w14:paraId="6E1E3D67"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Ъгълът на наблюдение на камерата се определя, като се избере подходяща честота на фокусното разстояние. За да се избегне допълнително объркване на потребителя от неестествената перспектива, се препоръчва ъгълът на наблюдение да е сходен на този на човешкото око (приблизително 30° - 45°). Хоризонталният ъгъл на наблюдение не следва да бъде по-малко от 30°.</w:t>
      </w:r>
    </w:p>
    <w:p w14:paraId="19268405"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6.</w:t>
      </w:r>
      <w:r w:rsidRPr="004224F6">
        <w:rPr>
          <w:rFonts w:ascii="Times New Roman" w:hAnsi="Times New Roman" w:cs="Times New Roman"/>
          <w:lang w:val="ru-RU"/>
        </w:rPr>
        <w:tab/>
        <w:t>Увеличителни лещи и механизми за завъртане</w:t>
      </w:r>
    </w:p>
    <w:p w14:paraId="75A360FF"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Когато се използват завъртащи се и увеличаващи камери за подобряване на видимостта напред, следва да съществува основна настройка с оптимално фокусно разстояние и ориентация напред, която може да се избере с едно натискане на бутон.</w:t>
      </w:r>
    </w:p>
    <w:p w14:paraId="17CD04C9"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7.</w:t>
      </w:r>
      <w:r w:rsidRPr="004224F6">
        <w:rPr>
          <w:rFonts w:ascii="Times New Roman" w:hAnsi="Times New Roman" w:cs="Times New Roman"/>
          <w:lang w:val="ru-RU"/>
        </w:rPr>
        <w:tab/>
        <w:t>Позиция на камерата</w:t>
      </w:r>
    </w:p>
    <w:p w14:paraId="2F3D4719"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Позицията на камерата зависи от зоната, която трябва да бъде наблюдавана.</w:t>
      </w:r>
    </w:p>
    <w:p w14:paraId="5CDD46C6"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8.</w:t>
      </w:r>
      <w:r w:rsidRPr="004224F6">
        <w:rPr>
          <w:rFonts w:ascii="Times New Roman" w:hAnsi="Times New Roman" w:cs="Times New Roman"/>
          <w:lang w:val="ru-RU"/>
        </w:rPr>
        <w:tab/>
        <w:t>Монтиране на камерата</w:t>
      </w:r>
    </w:p>
    <w:p w14:paraId="2FF0F8B7" w14:textId="77777777" w:rsidR="00271FA2" w:rsidRPr="004224F6" w:rsidRDefault="00D35E51">
      <w:pPr>
        <w:widowControl w:val="0"/>
        <w:spacing w:line="240" w:lineRule="atLeast"/>
        <w:ind w:left="426"/>
        <w:jc w:val="both"/>
        <w:rPr>
          <w:rFonts w:ascii="Times New Roman" w:hAnsi="Times New Roman" w:cs="Times New Roman"/>
          <w:szCs w:val="20"/>
          <w:lang w:val="ru-RU"/>
        </w:rPr>
      </w:pPr>
      <w:r w:rsidRPr="004224F6">
        <w:rPr>
          <w:rFonts w:ascii="Times New Roman" w:hAnsi="Times New Roman" w:cs="Times New Roman"/>
          <w:lang w:val="ru-RU"/>
        </w:rPr>
        <w:t>Скобата за монтиране трябва да гарантира, че камерата остава в трайно и стабилно положение (без вибрации). Скобата за монтиране може да включва също предпазна затопляна обвивка.</w:t>
      </w:r>
    </w:p>
    <w:p w14:paraId="4A8255B4" w14:textId="77777777" w:rsidR="00271FA2" w:rsidRPr="004224F6" w:rsidRDefault="00D35E51">
      <w:pPr>
        <w:widowControl w:val="0"/>
        <w:spacing w:line="240" w:lineRule="atLeast"/>
        <w:ind w:left="567" w:hanging="567"/>
        <w:jc w:val="both"/>
        <w:rPr>
          <w:rFonts w:ascii="Times New Roman" w:hAnsi="Times New Roman" w:cs="Times New Roman"/>
          <w:b/>
          <w:szCs w:val="20"/>
          <w:lang w:val="ru-RU"/>
        </w:rPr>
      </w:pPr>
      <w:r w:rsidRPr="004224F6">
        <w:rPr>
          <w:rFonts w:ascii="Times New Roman" w:hAnsi="Times New Roman" w:cs="Times New Roman"/>
          <w:b/>
          <w:lang w:val="ru-RU"/>
        </w:rPr>
        <w:t>4.2.2</w:t>
      </w:r>
      <w:r w:rsidRPr="004224F6">
        <w:rPr>
          <w:rFonts w:ascii="Times New Roman" w:hAnsi="Times New Roman" w:cs="Times New Roman"/>
          <w:lang w:val="ru-RU"/>
        </w:rPr>
        <w:tab/>
      </w:r>
      <w:r w:rsidRPr="004224F6">
        <w:rPr>
          <w:rFonts w:ascii="Times New Roman" w:hAnsi="Times New Roman" w:cs="Times New Roman"/>
          <w:b/>
          <w:lang w:val="ru-RU"/>
        </w:rPr>
        <w:t>Монитори</w:t>
      </w:r>
    </w:p>
    <w:p w14:paraId="051EB056" w14:textId="087A71C6"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1.</w:t>
      </w:r>
      <w:r w:rsidR="00B36F20" w:rsidRPr="004224F6">
        <w:rPr>
          <w:rFonts w:ascii="Times New Roman" w:hAnsi="Times New Roman" w:cs="Times New Roman"/>
          <w:lang w:val="ru-RU"/>
        </w:rPr>
        <w:t xml:space="preserve"> </w:t>
      </w:r>
      <w:r w:rsidRPr="004224F6">
        <w:rPr>
          <w:rFonts w:ascii="Times New Roman" w:hAnsi="Times New Roman" w:cs="Times New Roman"/>
          <w:lang w:val="ru-RU"/>
        </w:rPr>
        <w:t>Вид монитор</w:t>
      </w:r>
    </w:p>
    <w:p w14:paraId="055F93D6" w14:textId="77777777"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Растерен екран (за предпочитане плосък екран </w:t>
      </w:r>
      <w:r w:rsidRPr="004224F6">
        <w:rPr>
          <w:rFonts w:ascii="Times New Roman" w:hAnsi="Times New Roman" w:cs="Times New Roman"/>
        </w:rPr>
        <w:t>TFT</w:t>
      </w:r>
      <w:r w:rsidRPr="004224F6">
        <w:rPr>
          <w:rFonts w:ascii="Times New Roman" w:hAnsi="Times New Roman" w:cs="Times New Roman"/>
          <w:lang w:val="ru-RU"/>
        </w:rPr>
        <w:t>) с минимум 30</w:t>
      </w:r>
      <w:r w:rsidRPr="004224F6">
        <w:rPr>
          <w:rFonts w:ascii="Times New Roman" w:hAnsi="Times New Roman" w:cs="Times New Roman"/>
        </w:rPr>
        <w:t> cm</w:t>
      </w:r>
      <w:r w:rsidRPr="004224F6">
        <w:rPr>
          <w:rFonts w:ascii="Times New Roman" w:hAnsi="Times New Roman" w:cs="Times New Roman"/>
          <w:lang w:val="ru-RU"/>
        </w:rPr>
        <w:t xml:space="preserve"> диагонал.</w:t>
      </w:r>
    </w:p>
    <w:p w14:paraId="3EB71BE2" w14:textId="66814840" w:rsidR="00271FA2" w:rsidRPr="004224F6" w:rsidRDefault="00B36F20"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2. </w:t>
      </w:r>
      <w:r w:rsidR="00D35E51" w:rsidRPr="004224F6">
        <w:rPr>
          <w:rFonts w:ascii="Times New Roman" w:hAnsi="Times New Roman" w:cs="Times New Roman"/>
          <w:lang w:val="ru-RU"/>
        </w:rPr>
        <w:t>Местоположение на монитора</w:t>
      </w:r>
    </w:p>
    <w:p w14:paraId="11B58E36" w14:textId="3DBB460C"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rPr>
        <w:t>a</w:t>
      </w:r>
      <w:r w:rsidRPr="004224F6">
        <w:rPr>
          <w:rFonts w:ascii="Times New Roman" w:hAnsi="Times New Roman" w:cs="Times New Roman"/>
          <w:lang w:val="ru-RU"/>
        </w:rPr>
        <w:t>)</w:t>
      </w:r>
      <w:r w:rsidR="00B36F20" w:rsidRPr="004224F6">
        <w:rPr>
          <w:rFonts w:ascii="Times New Roman" w:hAnsi="Times New Roman" w:cs="Times New Roman"/>
          <w:lang w:val="ru-RU"/>
        </w:rPr>
        <w:t xml:space="preserve"> </w:t>
      </w:r>
      <w:r w:rsidRPr="004224F6">
        <w:rPr>
          <w:rFonts w:ascii="Times New Roman" w:hAnsi="Times New Roman" w:cs="Times New Roman"/>
          <w:lang w:val="ru-RU"/>
        </w:rPr>
        <w:t xml:space="preserve">Всички монитори, които показват изображения от камери, предимно сочещи напред, трябва да бъдат в полезрението на рулевия, така че той да може да ги вижда без прекомерно движение на главата. Те трябва да бъдат разположени странично, така че да съвпадат с камерите (ляв борд, среда на плавателния съд, десен борд). </w:t>
      </w:r>
    </w:p>
    <w:p w14:paraId="7D1D70AD" w14:textId="1C8F7BC7"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б)</w:t>
      </w:r>
      <w:r w:rsidR="00B36F20" w:rsidRPr="004224F6">
        <w:rPr>
          <w:rFonts w:ascii="Times New Roman" w:hAnsi="Times New Roman" w:cs="Times New Roman"/>
          <w:lang w:val="ru-RU"/>
        </w:rPr>
        <w:t xml:space="preserve"> </w:t>
      </w:r>
      <w:r w:rsidRPr="004224F6">
        <w:rPr>
          <w:rFonts w:ascii="Times New Roman" w:hAnsi="Times New Roman" w:cs="Times New Roman"/>
          <w:lang w:val="ru-RU"/>
        </w:rPr>
        <w:t xml:space="preserve">Монитори, които съответстват на камери, насочени назад, могат например да са разположени също и на втора поставка, централно и от правилната страна, под или над горепосочените монитори. Тогава тяхното изображение е съгласувано с това на огледалата. Ако тези изображения се изискват само при акостиране или отпътуване, ще е полезно тези монитори да са разположени след преградата на рулевата рубка, тъй като рулевият във всички случаи гледа назад или се обръща назад при извършване на тези маневри. Изображенията не съответстват повече на огледалния образ. </w:t>
      </w:r>
    </w:p>
    <w:p w14:paraId="6D788C7D" w14:textId="59883E35"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3.</w:t>
      </w:r>
      <w:r w:rsidR="00B36F20" w:rsidRPr="004224F6">
        <w:rPr>
          <w:rFonts w:ascii="Times New Roman" w:hAnsi="Times New Roman" w:cs="Times New Roman"/>
          <w:lang w:val="ru-RU"/>
        </w:rPr>
        <w:t xml:space="preserve"> </w:t>
      </w:r>
      <w:r w:rsidRPr="004224F6">
        <w:rPr>
          <w:rFonts w:ascii="Times New Roman" w:hAnsi="Times New Roman" w:cs="Times New Roman"/>
          <w:lang w:val="ru-RU"/>
        </w:rPr>
        <w:t>Използване на няколко монитора</w:t>
      </w:r>
    </w:p>
    <w:p w14:paraId="44B28A20" w14:textId="77777777"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Използването на един монитор за визуализиране на няколко изображения от камери (или едновременно, чрез разделяне на екрана на две или повече зони, или чрез последователно превключване към следващата камера) не е подходящо при гледане напред.</w:t>
      </w:r>
    </w:p>
    <w:p w14:paraId="1069CB10" w14:textId="662946D0"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4.</w:t>
      </w:r>
      <w:r w:rsidR="00B36F20" w:rsidRPr="004224F6">
        <w:rPr>
          <w:rFonts w:ascii="Times New Roman" w:hAnsi="Times New Roman" w:cs="Times New Roman"/>
          <w:lang w:val="ru-RU"/>
        </w:rPr>
        <w:t xml:space="preserve"> </w:t>
      </w:r>
      <w:r w:rsidRPr="004224F6">
        <w:rPr>
          <w:rFonts w:ascii="Times New Roman" w:hAnsi="Times New Roman" w:cs="Times New Roman"/>
          <w:lang w:val="ru-RU"/>
        </w:rPr>
        <w:t>Разделителна способност</w:t>
      </w:r>
    </w:p>
    <w:p w14:paraId="459FEBB2" w14:textId="77777777"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Минимум 800 х 600 пиксела.</w:t>
      </w:r>
    </w:p>
    <w:p w14:paraId="2321DF10" w14:textId="07F363FD"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5.</w:t>
      </w:r>
      <w:r w:rsidR="00B36F20" w:rsidRPr="004224F6">
        <w:rPr>
          <w:rFonts w:ascii="Times New Roman" w:hAnsi="Times New Roman" w:cs="Times New Roman"/>
          <w:lang w:val="ru-RU"/>
        </w:rPr>
        <w:t xml:space="preserve"> </w:t>
      </w:r>
      <w:r w:rsidRPr="004224F6">
        <w:rPr>
          <w:rFonts w:ascii="Times New Roman" w:hAnsi="Times New Roman" w:cs="Times New Roman"/>
          <w:lang w:val="ru-RU"/>
        </w:rPr>
        <w:t>Яркост</w:t>
      </w:r>
    </w:p>
    <w:p w14:paraId="657722A8" w14:textId="77777777"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Минималната яркост: </w:t>
      </w:r>
      <w:r w:rsidRPr="004224F6">
        <w:rPr>
          <w:rFonts w:ascii="Times New Roman" w:hAnsi="Times New Roman" w:cs="Times New Roman"/>
        </w:rPr>
        <w:t>FG</w:t>
      </w:r>
      <w:r w:rsidRPr="004224F6">
        <w:rPr>
          <w:rFonts w:ascii="Times New Roman" w:hAnsi="Times New Roman" w:cs="Times New Roman"/>
          <w:lang w:val="ru-RU"/>
        </w:rPr>
        <w:t xml:space="preserve"> ≤ 15 </w:t>
      </w:r>
      <w:r w:rsidRPr="004224F6">
        <w:rPr>
          <w:rFonts w:ascii="Times New Roman" w:hAnsi="Times New Roman" w:cs="Times New Roman"/>
        </w:rPr>
        <w:t>cd</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lang w:val="ru-RU"/>
        </w:rPr>
        <w:t xml:space="preserve">²; </w:t>
      </w:r>
      <w:r w:rsidRPr="004224F6">
        <w:rPr>
          <w:rFonts w:ascii="Times New Roman" w:hAnsi="Times New Roman" w:cs="Times New Roman"/>
        </w:rPr>
        <w:t>BG</w:t>
      </w:r>
      <w:r w:rsidRPr="004224F6">
        <w:rPr>
          <w:rFonts w:ascii="Times New Roman" w:hAnsi="Times New Roman" w:cs="Times New Roman"/>
          <w:lang w:val="ru-RU"/>
        </w:rPr>
        <w:t xml:space="preserve"> ≤ 5 </w:t>
      </w:r>
      <w:r w:rsidRPr="004224F6">
        <w:rPr>
          <w:rFonts w:ascii="Times New Roman" w:hAnsi="Times New Roman" w:cs="Times New Roman"/>
        </w:rPr>
        <w:t>cd</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lang w:val="ru-RU"/>
        </w:rPr>
        <w:t xml:space="preserve">². Максимална яркост </w:t>
      </w:r>
      <w:r w:rsidRPr="004224F6">
        <w:rPr>
          <w:rFonts w:ascii="Times New Roman" w:hAnsi="Times New Roman" w:cs="Times New Roman"/>
        </w:rPr>
        <w:t>VG</w:t>
      </w:r>
      <w:r w:rsidRPr="004224F6">
        <w:rPr>
          <w:rFonts w:ascii="Times New Roman" w:hAnsi="Times New Roman" w:cs="Times New Roman"/>
          <w:lang w:val="ru-RU"/>
        </w:rPr>
        <w:t xml:space="preserve"> ≥ 5000 </w:t>
      </w:r>
      <w:r w:rsidRPr="004224F6">
        <w:rPr>
          <w:rFonts w:ascii="Times New Roman" w:hAnsi="Times New Roman" w:cs="Times New Roman"/>
        </w:rPr>
        <w:t>cd</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lang w:val="ru-RU"/>
        </w:rPr>
        <w:t>² (</w:t>
      </w:r>
      <w:r w:rsidRPr="004224F6">
        <w:rPr>
          <w:rFonts w:ascii="Times New Roman" w:hAnsi="Times New Roman" w:cs="Times New Roman"/>
        </w:rPr>
        <w:t>FG</w:t>
      </w:r>
      <w:r w:rsidRPr="004224F6">
        <w:rPr>
          <w:rFonts w:ascii="Times New Roman" w:hAnsi="Times New Roman" w:cs="Times New Roman"/>
          <w:lang w:val="ru-RU"/>
        </w:rPr>
        <w:t xml:space="preserve"> = преден план; </w:t>
      </w:r>
      <w:r w:rsidRPr="004224F6">
        <w:rPr>
          <w:rFonts w:ascii="Times New Roman" w:hAnsi="Times New Roman" w:cs="Times New Roman"/>
        </w:rPr>
        <w:t>BG</w:t>
      </w:r>
      <w:r w:rsidRPr="004224F6">
        <w:rPr>
          <w:rFonts w:ascii="Times New Roman" w:hAnsi="Times New Roman" w:cs="Times New Roman"/>
          <w:lang w:val="ru-RU"/>
        </w:rPr>
        <w:t xml:space="preserve"> = заден план).</w:t>
      </w:r>
    </w:p>
    <w:p w14:paraId="26796990" w14:textId="77777777" w:rsidR="00271FA2" w:rsidRPr="004224F6" w:rsidRDefault="00D35E51">
      <w:pPr>
        <w:widowControl w:val="0"/>
        <w:spacing w:line="240" w:lineRule="atLeast"/>
        <w:ind w:left="567" w:hanging="567"/>
        <w:jc w:val="both"/>
        <w:rPr>
          <w:rFonts w:ascii="Times New Roman" w:hAnsi="Times New Roman" w:cs="Times New Roman"/>
          <w:b/>
          <w:szCs w:val="20"/>
          <w:lang w:val="ru-RU"/>
        </w:rPr>
      </w:pPr>
      <w:r w:rsidRPr="004224F6">
        <w:rPr>
          <w:rFonts w:ascii="Times New Roman" w:hAnsi="Times New Roman" w:cs="Times New Roman"/>
          <w:b/>
          <w:lang w:val="ru-RU"/>
        </w:rPr>
        <w:t>4.3</w:t>
      </w:r>
      <w:r w:rsidRPr="004224F6">
        <w:rPr>
          <w:rFonts w:ascii="Times New Roman" w:hAnsi="Times New Roman" w:cs="Times New Roman"/>
          <w:lang w:val="ru-RU"/>
        </w:rPr>
        <w:tab/>
      </w:r>
      <w:r w:rsidRPr="004224F6">
        <w:rPr>
          <w:rFonts w:ascii="Times New Roman" w:hAnsi="Times New Roman" w:cs="Times New Roman"/>
          <w:b/>
          <w:lang w:val="ru-RU"/>
        </w:rPr>
        <w:t>Радиолокационни системи</w:t>
      </w:r>
    </w:p>
    <w:p w14:paraId="1AD38DAF" w14:textId="73DDCED8" w:rsidR="00271FA2" w:rsidRPr="004224F6" w:rsidRDefault="00B36F20"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1. </w:t>
      </w:r>
      <w:r w:rsidR="00D35E51" w:rsidRPr="004224F6">
        <w:rPr>
          <w:rFonts w:ascii="Times New Roman" w:hAnsi="Times New Roman" w:cs="Times New Roman"/>
          <w:lang w:val="ru-RU"/>
        </w:rPr>
        <w:t>Радиолокационни системи</w:t>
      </w:r>
    </w:p>
    <w:p w14:paraId="40EF3A48" w14:textId="77777777"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В допълнение към минималните изисквания и условия на изпитване на навигационното </w:t>
      </w:r>
      <w:r w:rsidRPr="004224F6">
        <w:rPr>
          <w:rFonts w:ascii="Times New Roman" w:hAnsi="Times New Roman" w:cs="Times New Roman"/>
          <w:lang w:val="ru-RU"/>
        </w:rPr>
        <w:lastRenderedPageBreak/>
        <w:t>радиолокационно оборудване за вътрешно корабоплаване (</w:t>
      </w:r>
      <w:r w:rsidRPr="004224F6">
        <w:rPr>
          <w:rFonts w:ascii="Times New Roman" w:hAnsi="Times New Roman" w:cs="Times New Roman"/>
        </w:rPr>
        <w:t>ES</w:t>
      </w:r>
      <w:r w:rsidRPr="004224F6">
        <w:rPr>
          <w:rFonts w:ascii="Times New Roman" w:hAnsi="Times New Roman" w:cs="Times New Roman"/>
          <w:lang w:val="ru-RU"/>
        </w:rPr>
        <w:t>-</w:t>
      </w:r>
      <w:r w:rsidRPr="004224F6">
        <w:rPr>
          <w:rFonts w:ascii="Times New Roman" w:hAnsi="Times New Roman" w:cs="Times New Roman"/>
        </w:rPr>
        <w:t>TRIN</w:t>
      </w:r>
      <w:r w:rsidRPr="004224F6">
        <w:rPr>
          <w:rFonts w:ascii="Times New Roman" w:hAnsi="Times New Roman" w:cs="Times New Roman"/>
          <w:lang w:val="ru-RU"/>
        </w:rPr>
        <w:t>, Приложение</w:t>
      </w:r>
      <w:r w:rsidRPr="004224F6">
        <w:rPr>
          <w:rFonts w:ascii="Times New Roman" w:hAnsi="Times New Roman" w:cs="Times New Roman"/>
        </w:rPr>
        <w:t> </w:t>
      </w:r>
      <w:r w:rsidRPr="004224F6">
        <w:rPr>
          <w:rFonts w:ascii="Times New Roman" w:hAnsi="Times New Roman" w:cs="Times New Roman"/>
          <w:lang w:val="ru-RU"/>
        </w:rPr>
        <w:t>5, Раздел</w:t>
      </w:r>
      <w:r w:rsidRPr="004224F6">
        <w:rPr>
          <w:rFonts w:ascii="Times New Roman" w:hAnsi="Times New Roman" w:cs="Times New Roman"/>
        </w:rPr>
        <w:t> I</w:t>
      </w:r>
      <w:r w:rsidRPr="004224F6">
        <w:rPr>
          <w:rFonts w:ascii="Times New Roman" w:hAnsi="Times New Roman" w:cs="Times New Roman"/>
          <w:lang w:val="ru-RU"/>
        </w:rPr>
        <w:t>) радиолокационната система трябва да отговаря на следните изисквания.</w:t>
      </w:r>
    </w:p>
    <w:p w14:paraId="349BAF7A" w14:textId="25B2A067"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2.</w:t>
      </w:r>
      <w:r w:rsidR="00B36F20" w:rsidRPr="004224F6">
        <w:rPr>
          <w:rFonts w:ascii="Times New Roman" w:hAnsi="Times New Roman" w:cs="Times New Roman"/>
          <w:lang w:val="ru-RU"/>
        </w:rPr>
        <w:t xml:space="preserve"> </w:t>
      </w:r>
      <w:r w:rsidRPr="004224F6">
        <w:rPr>
          <w:rFonts w:ascii="Times New Roman" w:hAnsi="Times New Roman" w:cs="Times New Roman"/>
          <w:lang w:val="ru-RU"/>
        </w:rPr>
        <w:t>Дължина на антена</w:t>
      </w:r>
    </w:p>
    <w:p w14:paraId="53A7B48F" w14:textId="77777777"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Минимум 1,80</w:t>
      </w:r>
      <w:r w:rsidRPr="004224F6">
        <w:rPr>
          <w:rFonts w:ascii="Times New Roman" w:hAnsi="Times New Roman" w:cs="Times New Roman"/>
        </w:rPr>
        <w:t> m</w:t>
      </w:r>
      <w:r w:rsidRPr="004224F6">
        <w:rPr>
          <w:rFonts w:ascii="Times New Roman" w:hAnsi="Times New Roman" w:cs="Times New Roman"/>
          <w:lang w:val="ru-RU"/>
        </w:rPr>
        <w:t>.</w:t>
      </w:r>
    </w:p>
    <w:p w14:paraId="63C6B899" w14:textId="156A02D1" w:rsidR="00271FA2" w:rsidRPr="004224F6" w:rsidRDefault="00D35E51" w:rsidP="00B36F20">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3.</w:t>
      </w:r>
      <w:r w:rsidR="008D79F6" w:rsidRPr="004224F6">
        <w:rPr>
          <w:rFonts w:ascii="Times New Roman" w:hAnsi="Times New Roman" w:cs="Times New Roman"/>
          <w:lang w:val="ru-RU"/>
        </w:rPr>
        <w:t xml:space="preserve"> </w:t>
      </w:r>
      <w:r w:rsidRPr="004224F6">
        <w:rPr>
          <w:rFonts w:ascii="Times New Roman" w:hAnsi="Times New Roman" w:cs="Times New Roman"/>
          <w:lang w:val="ru-RU"/>
        </w:rPr>
        <w:t>Разделителна способност в близката зона</w:t>
      </w:r>
    </w:p>
    <w:p w14:paraId="59A4BFF0" w14:textId="77777777" w:rsidR="00271FA2" w:rsidRPr="004224F6" w:rsidRDefault="00D35E51" w:rsidP="008D79F6">
      <w:pPr>
        <w:widowControl w:val="0"/>
        <w:spacing w:line="240" w:lineRule="atLeast"/>
        <w:ind w:left="426" w:firstLine="153"/>
        <w:jc w:val="both"/>
        <w:rPr>
          <w:rFonts w:ascii="Times New Roman" w:hAnsi="Times New Roman" w:cs="Times New Roman"/>
          <w:szCs w:val="20"/>
          <w:lang w:val="ru-RU"/>
        </w:rPr>
      </w:pPr>
      <w:r w:rsidRPr="004224F6">
        <w:rPr>
          <w:rFonts w:ascii="Times New Roman" w:hAnsi="Times New Roman" w:cs="Times New Roman"/>
          <w:lang w:val="ru-RU"/>
        </w:rPr>
        <w:t>≤ 15</w:t>
      </w:r>
      <w:r w:rsidRPr="004224F6">
        <w:rPr>
          <w:rFonts w:ascii="Times New Roman" w:hAnsi="Times New Roman" w:cs="Times New Roman"/>
        </w:rPr>
        <w:t> m</w:t>
      </w:r>
      <w:r w:rsidRPr="004224F6">
        <w:rPr>
          <w:rFonts w:ascii="Times New Roman" w:hAnsi="Times New Roman" w:cs="Times New Roman"/>
          <w:lang w:val="ru-RU"/>
        </w:rPr>
        <w:t>.</w:t>
      </w:r>
    </w:p>
    <w:p w14:paraId="20644BC8" w14:textId="29C8B0D5" w:rsidR="00271FA2" w:rsidRPr="004224F6" w:rsidRDefault="008D79F6" w:rsidP="008D79F6">
      <w:pPr>
        <w:widowControl w:val="0"/>
        <w:spacing w:line="240" w:lineRule="atLeast"/>
        <w:ind w:left="426" w:firstLine="141"/>
        <w:jc w:val="both"/>
        <w:rPr>
          <w:rFonts w:ascii="Times New Roman" w:hAnsi="Times New Roman" w:cs="Times New Roman"/>
          <w:szCs w:val="20"/>
          <w:lang w:val="ru-RU"/>
        </w:rPr>
      </w:pPr>
      <w:r w:rsidRPr="004224F6">
        <w:rPr>
          <w:rFonts w:ascii="Times New Roman" w:hAnsi="Times New Roman" w:cs="Times New Roman"/>
          <w:lang w:val="ru-RU"/>
        </w:rPr>
        <w:t xml:space="preserve">4. </w:t>
      </w:r>
      <w:r w:rsidR="00D35E51" w:rsidRPr="004224F6">
        <w:rPr>
          <w:rFonts w:ascii="Times New Roman" w:hAnsi="Times New Roman" w:cs="Times New Roman"/>
          <w:lang w:val="ru-RU"/>
        </w:rPr>
        <w:t>Радиална разделителна способност</w:t>
      </w:r>
    </w:p>
    <w:p w14:paraId="42BBF938" w14:textId="77777777" w:rsidR="00271FA2" w:rsidRPr="004224F6" w:rsidRDefault="00D35E51"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Продължителност на импулса ≤</w:t>
      </w:r>
      <w:r w:rsidRPr="004224F6">
        <w:rPr>
          <w:rFonts w:ascii="Times New Roman" w:hAnsi="Times New Roman" w:cs="Times New Roman"/>
        </w:rPr>
        <w:t> </w:t>
      </w:r>
      <w:r w:rsidRPr="004224F6">
        <w:rPr>
          <w:rFonts w:ascii="Times New Roman" w:hAnsi="Times New Roman" w:cs="Times New Roman"/>
          <w:lang w:val="ru-RU"/>
        </w:rPr>
        <w:t xml:space="preserve">5 </w:t>
      </w:r>
      <w:r w:rsidRPr="004224F6">
        <w:rPr>
          <w:rFonts w:ascii="Times New Roman" w:hAnsi="Times New Roman" w:cs="Times New Roman"/>
        </w:rPr>
        <w:t>m</w:t>
      </w:r>
      <w:r w:rsidRPr="004224F6">
        <w:rPr>
          <w:rFonts w:ascii="Times New Roman" w:hAnsi="Times New Roman" w:cs="Times New Roman"/>
          <w:lang w:val="ru-RU"/>
        </w:rPr>
        <w:t>; разделяне на импулса ≤</w:t>
      </w:r>
      <w:r w:rsidRPr="004224F6">
        <w:rPr>
          <w:rFonts w:ascii="Times New Roman" w:hAnsi="Times New Roman" w:cs="Times New Roman"/>
        </w:rPr>
        <w:t> </w:t>
      </w:r>
      <w:r w:rsidRPr="004224F6">
        <w:rPr>
          <w:rFonts w:ascii="Times New Roman" w:hAnsi="Times New Roman" w:cs="Times New Roman"/>
          <w:lang w:val="ru-RU"/>
        </w:rPr>
        <w:t xml:space="preserve">15 </w:t>
      </w:r>
      <w:r w:rsidRPr="004224F6">
        <w:rPr>
          <w:rFonts w:ascii="Times New Roman" w:hAnsi="Times New Roman" w:cs="Times New Roman"/>
        </w:rPr>
        <w:t>m</w:t>
      </w:r>
      <w:r w:rsidRPr="004224F6">
        <w:rPr>
          <w:rFonts w:ascii="Times New Roman" w:hAnsi="Times New Roman" w:cs="Times New Roman"/>
          <w:lang w:val="ru-RU"/>
        </w:rPr>
        <w:t>.</w:t>
      </w:r>
    </w:p>
    <w:p w14:paraId="4054B0B6" w14:textId="68022C62" w:rsidR="00271FA2" w:rsidRPr="004224F6" w:rsidRDefault="008D79F6"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5. </w:t>
      </w:r>
      <w:r w:rsidR="00D35E51" w:rsidRPr="004224F6">
        <w:rPr>
          <w:rFonts w:ascii="Times New Roman" w:hAnsi="Times New Roman" w:cs="Times New Roman"/>
          <w:lang w:val="ru-RU"/>
        </w:rPr>
        <w:t>Азимутна разделителна способност</w:t>
      </w:r>
    </w:p>
    <w:p w14:paraId="0C0C0804" w14:textId="77777777" w:rsidR="00271FA2" w:rsidRPr="004224F6" w:rsidRDefault="000E0EA8"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rPr>
        <w:t> </w:t>
      </w:r>
      <w:r w:rsidRPr="004224F6">
        <w:rPr>
          <w:rFonts w:ascii="Times New Roman" w:hAnsi="Times New Roman" w:cs="Times New Roman"/>
          <w:lang w:val="ru-RU"/>
        </w:rPr>
        <w:t>1.2</w:t>
      </w:r>
      <w:r w:rsidRPr="004224F6">
        <w:rPr>
          <w:rFonts w:ascii="Times New Roman" w:hAnsi="Times New Roman" w:cs="Times New Roman"/>
        </w:rPr>
        <w:t> </w:t>
      </w:r>
      <w:r w:rsidR="00D35E51" w:rsidRPr="004224F6">
        <w:rPr>
          <w:rFonts w:ascii="Times New Roman" w:hAnsi="Times New Roman" w:cs="Times New Roman"/>
          <w:lang w:val="ru-RU"/>
        </w:rPr>
        <w:t>.</w:t>
      </w:r>
    </w:p>
    <w:p w14:paraId="449C4962" w14:textId="73C83D8F" w:rsidR="00271FA2" w:rsidRPr="004224F6" w:rsidRDefault="00D35E51"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6.</w:t>
      </w:r>
      <w:r w:rsidR="008D79F6" w:rsidRPr="004224F6">
        <w:rPr>
          <w:rFonts w:ascii="Times New Roman" w:hAnsi="Times New Roman" w:cs="Times New Roman"/>
          <w:lang w:val="ru-RU"/>
        </w:rPr>
        <w:t xml:space="preserve"> </w:t>
      </w:r>
      <w:r w:rsidRPr="004224F6">
        <w:rPr>
          <w:rFonts w:ascii="Times New Roman" w:hAnsi="Times New Roman" w:cs="Times New Roman"/>
          <w:lang w:val="ru-RU"/>
        </w:rPr>
        <w:t>Височина на антената</w:t>
      </w:r>
    </w:p>
    <w:p w14:paraId="3AB81CD4" w14:textId="77777777" w:rsidR="00271FA2" w:rsidRPr="004224F6" w:rsidRDefault="00D35E51"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Височината на антената зависи от височината и товара на плавателния съд. Антената трябва да се намира на най-малко 3</w:t>
      </w:r>
      <w:r w:rsidRPr="004224F6">
        <w:rPr>
          <w:rFonts w:ascii="Times New Roman" w:hAnsi="Times New Roman" w:cs="Times New Roman"/>
        </w:rPr>
        <w:t> m</w:t>
      </w:r>
      <w:r w:rsidRPr="004224F6">
        <w:rPr>
          <w:rFonts w:ascii="Times New Roman" w:hAnsi="Times New Roman" w:cs="Times New Roman"/>
          <w:lang w:val="ru-RU"/>
        </w:rPr>
        <w:t xml:space="preserve"> над височината на палубата за предотвратяване на злополуки, причинени от завъртане на антената.</w:t>
      </w:r>
    </w:p>
    <w:p w14:paraId="4436BDE4" w14:textId="4C81D35F" w:rsidR="00271FA2" w:rsidRPr="004224F6" w:rsidRDefault="008D79F6"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7. </w:t>
      </w:r>
      <w:r w:rsidR="00D35E51" w:rsidRPr="004224F6">
        <w:rPr>
          <w:rFonts w:ascii="Times New Roman" w:hAnsi="Times New Roman" w:cs="Times New Roman"/>
          <w:lang w:val="ru-RU"/>
        </w:rPr>
        <w:t>Вид монитор</w:t>
      </w:r>
    </w:p>
    <w:p w14:paraId="031FBB9C" w14:textId="77777777" w:rsidR="00271FA2" w:rsidRPr="004224F6" w:rsidRDefault="00D35E51"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Трябва да се използва плосък монитор </w:t>
      </w:r>
      <w:r w:rsidRPr="004224F6">
        <w:rPr>
          <w:rFonts w:ascii="Times New Roman" w:hAnsi="Times New Roman" w:cs="Times New Roman"/>
        </w:rPr>
        <w:t>TFT</w:t>
      </w:r>
      <w:r w:rsidRPr="004224F6">
        <w:rPr>
          <w:rFonts w:ascii="Times New Roman" w:hAnsi="Times New Roman" w:cs="Times New Roman"/>
          <w:lang w:val="ru-RU"/>
        </w:rPr>
        <w:t xml:space="preserve"> в портретен формат. </w:t>
      </w:r>
    </w:p>
    <w:p w14:paraId="736CF2BC" w14:textId="145F6EF2" w:rsidR="00271FA2" w:rsidRPr="004224F6" w:rsidRDefault="008D79F6"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8. </w:t>
      </w:r>
      <w:r w:rsidR="00D35E51" w:rsidRPr="004224F6">
        <w:rPr>
          <w:rFonts w:ascii="Times New Roman" w:hAnsi="Times New Roman" w:cs="Times New Roman"/>
          <w:lang w:val="ru-RU"/>
        </w:rPr>
        <w:t>Размери на образа</w:t>
      </w:r>
    </w:p>
    <w:p w14:paraId="35A916CD" w14:textId="77777777" w:rsidR="00271FA2" w:rsidRPr="004224F6" w:rsidRDefault="00D35E51"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Дължината на най-късата страна на екрана трябва да е най-малко 270 </w:t>
      </w:r>
      <w:r w:rsidRPr="004224F6">
        <w:rPr>
          <w:rFonts w:ascii="Times New Roman" w:hAnsi="Times New Roman" w:cs="Times New Roman"/>
        </w:rPr>
        <w:t>mm</w:t>
      </w:r>
      <w:r w:rsidRPr="004224F6">
        <w:rPr>
          <w:rFonts w:ascii="Times New Roman" w:hAnsi="Times New Roman" w:cs="Times New Roman"/>
          <w:lang w:val="ru-RU"/>
        </w:rPr>
        <w:t>.</w:t>
      </w:r>
    </w:p>
    <w:p w14:paraId="32DC94A9" w14:textId="0C4AB6B8" w:rsidR="00271FA2" w:rsidRPr="004224F6" w:rsidRDefault="008D79F6"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9. </w:t>
      </w:r>
      <w:r w:rsidR="00D35E51" w:rsidRPr="004224F6">
        <w:rPr>
          <w:rFonts w:ascii="Times New Roman" w:hAnsi="Times New Roman" w:cs="Times New Roman"/>
          <w:lang w:val="ru-RU"/>
        </w:rPr>
        <w:t>Разделителна способност</w:t>
      </w:r>
    </w:p>
    <w:p w14:paraId="533FD73C" w14:textId="77777777" w:rsidR="00271FA2" w:rsidRPr="004224F6" w:rsidRDefault="00D35E51"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Разделителната способност на монитора трябва да бъде идентична в двете посоки и пикселите трябва да бъдат квадратни. Тясната страна трябва да бъде поне 1024 пиксела (обикновено 1024 </w:t>
      </w:r>
      <w:r w:rsidRPr="004224F6">
        <w:rPr>
          <w:rFonts w:ascii="Times New Roman" w:hAnsi="Times New Roman" w:cs="Times New Roman"/>
        </w:rPr>
        <w:t>x</w:t>
      </w:r>
      <w:r w:rsidRPr="004224F6">
        <w:rPr>
          <w:rFonts w:ascii="Times New Roman" w:hAnsi="Times New Roman" w:cs="Times New Roman"/>
          <w:lang w:val="ru-RU"/>
        </w:rPr>
        <w:t xml:space="preserve"> 1280 пиксела).</w:t>
      </w:r>
    </w:p>
    <w:p w14:paraId="5330E958" w14:textId="6393B952" w:rsidR="00271FA2" w:rsidRPr="004224F6" w:rsidRDefault="00D35E51"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10.</w:t>
      </w:r>
      <w:r w:rsidR="008D79F6" w:rsidRPr="004224F6">
        <w:rPr>
          <w:rFonts w:ascii="Times New Roman" w:hAnsi="Times New Roman" w:cs="Times New Roman"/>
          <w:lang w:val="ru-RU"/>
        </w:rPr>
        <w:t xml:space="preserve"> </w:t>
      </w:r>
      <w:r w:rsidRPr="004224F6">
        <w:rPr>
          <w:rFonts w:ascii="Times New Roman" w:hAnsi="Times New Roman" w:cs="Times New Roman"/>
          <w:lang w:val="ru-RU"/>
        </w:rPr>
        <w:t>Яркост</w:t>
      </w:r>
    </w:p>
    <w:p w14:paraId="1674B8ED" w14:textId="77777777" w:rsidR="00271FA2" w:rsidRPr="004224F6" w:rsidRDefault="00D35E51"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Минималната яркост: </w:t>
      </w:r>
      <w:r w:rsidRPr="004224F6">
        <w:rPr>
          <w:rFonts w:ascii="Times New Roman" w:hAnsi="Times New Roman" w:cs="Times New Roman"/>
        </w:rPr>
        <w:t>FG</w:t>
      </w:r>
      <w:r w:rsidRPr="004224F6">
        <w:rPr>
          <w:rFonts w:ascii="Times New Roman" w:hAnsi="Times New Roman" w:cs="Times New Roman"/>
          <w:lang w:val="ru-RU"/>
        </w:rPr>
        <w:t xml:space="preserve"> ≤ 15 </w:t>
      </w:r>
      <w:r w:rsidRPr="004224F6">
        <w:rPr>
          <w:rFonts w:ascii="Times New Roman" w:hAnsi="Times New Roman" w:cs="Times New Roman"/>
        </w:rPr>
        <w:t>cd</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lang w:val="ru-RU"/>
        </w:rPr>
        <w:t xml:space="preserve">²; </w:t>
      </w:r>
      <w:r w:rsidRPr="004224F6">
        <w:rPr>
          <w:rFonts w:ascii="Times New Roman" w:hAnsi="Times New Roman" w:cs="Times New Roman"/>
        </w:rPr>
        <w:t>BG</w:t>
      </w:r>
      <w:r w:rsidRPr="004224F6">
        <w:rPr>
          <w:rFonts w:ascii="Times New Roman" w:hAnsi="Times New Roman" w:cs="Times New Roman"/>
          <w:lang w:val="ru-RU"/>
        </w:rPr>
        <w:t xml:space="preserve"> ≤ 5 </w:t>
      </w:r>
      <w:r w:rsidRPr="004224F6">
        <w:rPr>
          <w:rFonts w:ascii="Times New Roman" w:hAnsi="Times New Roman" w:cs="Times New Roman"/>
        </w:rPr>
        <w:t>cd</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lang w:val="ru-RU"/>
        </w:rPr>
        <w:t>².</w:t>
      </w:r>
    </w:p>
    <w:p w14:paraId="16E71B6A" w14:textId="32F7D793" w:rsidR="00271FA2" w:rsidRPr="004224F6" w:rsidRDefault="00B36F20" w:rsidP="008D79F6">
      <w:pPr>
        <w:widowControl w:val="0"/>
        <w:spacing w:line="240" w:lineRule="atLeast"/>
        <w:ind w:left="567"/>
        <w:jc w:val="both"/>
        <w:rPr>
          <w:rFonts w:ascii="Times New Roman" w:hAnsi="Times New Roman" w:cs="Times New Roman"/>
          <w:szCs w:val="20"/>
          <w:lang w:val="ru-RU"/>
        </w:rPr>
      </w:pPr>
      <w:r w:rsidRPr="004224F6">
        <w:rPr>
          <w:rFonts w:ascii="Times New Roman" w:hAnsi="Times New Roman" w:cs="Times New Roman"/>
          <w:lang w:val="ru-RU"/>
        </w:rPr>
        <w:t xml:space="preserve">11. </w:t>
      </w:r>
      <w:r w:rsidR="00D35E51" w:rsidRPr="004224F6">
        <w:rPr>
          <w:rFonts w:ascii="Times New Roman" w:hAnsi="Times New Roman" w:cs="Times New Roman"/>
          <w:lang w:val="ru-RU"/>
        </w:rPr>
        <w:t>Местоположение/работа на монитора</w:t>
      </w:r>
    </w:p>
    <w:p w14:paraId="3B1377A4" w14:textId="674F057F" w:rsidR="00271FA2" w:rsidRPr="004224F6" w:rsidRDefault="00D35E51" w:rsidP="008D79F6">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Екранът на радиолокатора и командните устройства трябва да бъдат монтирани в съответствие с изискванията по отношение на монтажа и изпитванията на показателите на навигационно радиолокационно оборудване и на индикаторите на ъгловата скорост</w:t>
      </w:r>
      <w:r w:rsidR="00AA3E7D" w:rsidRPr="004224F6">
        <w:rPr>
          <w:rFonts w:ascii="Times New Roman" w:hAnsi="Times New Roman" w:cs="Times New Roman"/>
          <w:lang w:val="ru-RU"/>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за вътрешно корабоплаване (</w:t>
      </w:r>
      <w:r w:rsidRPr="004224F6">
        <w:rPr>
          <w:rFonts w:ascii="Times New Roman" w:hAnsi="Times New Roman" w:cs="Times New Roman"/>
        </w:rPr>
        <w:t>ES</w:t>
      </w:r>
      <w:r w:rsidRPr="004224F6">
        <w:rPr>
          <w:rFonts w:ascii="Times New Roman" w:hAnsi="Times New Roman" w:cs="Times New Roman"/>
          <w:lang w:val="ru-RU"/>
        </w:rPr>
        <w:t>-</w:t>
      </w:r>
      <w:r w:rsidRPr="004224F6">
        <w:rPr>
          <w:rFonts w:ascii="Times New Roman" w:hAnsi="Times New Roman" w:cs="Times New Roman"/>
        </w:rPr>
        <w:t>TRIN</w:t>
      </w:r>
      <w:r w:rsidRPr="004224F6">
        <w:rPr>
          <w:rFonts w:ascii="Times New Roman" w:hAnsi="Times New Roman" w:cs="Times New Roman"/>
          <w:lang w:val="ru-RU"/>
        </w:rPr>
        <w:t xml:space="preserve">, Приложение 5, Раздел </w:t>
      </w:r>
      <w:r w:rsidRPr="004224F6">
        <w:rPr>
          <w:rFonts w:ascii="Times New Roman" w:hAnsi="Times New Roman" w:cs="Times New Roman"/>
        </w:rPr>
        <w:t>III</w:t>
      </w:r>
      <w:r w:rsidRPr="004224F6">
        <w:rPr>
          <w:rFonts w:ascii="Times New Roman" w:hAnsi="Times New Roman" w:cs="Times New Roman"/>
          <w:lang w:val="ru-RU"/>
        </w:rPr>
        <w:t>, Член 4).</w:t>
      </w:r>
    </w:p>
    <w:p w14:paraId="74E1A903" w14:textId="77777777" w:rsidR="00271FA2" w:rsidRPr="004224F6" w:rsidRDefault="00271FA2">
      <w:pPr>
        <w:spacing w:line="240" w:lineRule="atLeast"/>
        <w:jc w:val="center"/>
        <w:rPr>
          <w:rFonts w:ascii="Times New Roman" w:hAnsi="Times New Roman" w:cs="Times New Roman"/>
          <w:lang w:val="ru-RU"/>
        </w:rPr>
      </w:pPr>
    </w:p>
    <w:p w14:paraId="101DE183" w14:textId="77777777" w:rsidR="00271FA2" w:rsidRPr="004224F6" w:rsidRDefault="00271FA2">
      <w:pPr>
        <w:spacing w:line="240" w:lineRule="atLeast"/>
        <w:jc w:val="center"/>
        <w:rPr>
          <w:rFonts w:ascii="Times New Roman" w:hAnsi="Times New Roman" w:cs="Times New Roman"/>
          <w:lang w:val="ru-RU"/>
        </w:rPr>
      </w:pPr>
    </w:p>
    <w:p w14:paraId="65611729"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33"/>
          <w:footnotePr>
            <w:numRestart w:val="eachPage"/>
          </w:footnotePr>
          <w:pgSz w:w="11907" w:h="16840"/>
          <w:pgMar w:top="1134" w:right="1134" w:bottom="1134" w:left="1134" w:header="709" w:footer="709" w:gutter="0"/>
          <w:cols w:space="720"/>
          <w:docGrid w:linePitch="326"/>
        </w:sectPr>
      </w:pPr>
    </w:p>
    <w:p w14:paraId="58C25F0D" w14:textId="77777777" w:rsidR="00271FA2" w:rsidRPr="004224F6" w:rsidRDefault="00D35E51">
      <w:pPr>
        <w:pStyle w:val="ES-Titre2ESI"/>
        <w:rPr>
          <w:rFonts w:ascii="Times New Roman" w:hAnsi="Times New Roman" w:cs="Times New Roman"/>
          <w:lang w:val="ru-RU"/>
        </w:rPr>
      </w:pPr>
      <w:bookmarkStart w:id="685" w:name="_Toc491854356"/>
      <w:bookmarkStart w:id="686" w:name="_Toc535827797"/>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-7</w:t>
      </w:r>
      <w:r w:rsidRPr="004224F6">
        <w:rPr>
          <w:rFonts w:ascii="Times New Roman" w:hAnsi="Times New Roman" w:cs="Times New Roman"/>
          <w:lang w:val="ru-RU"/>
        </w:rPr>
        <w:br/>
        <w:t>Съоръжения за събиране на използвани масла</w:t>
      </w:r>
      <w:bookmarkEnd w:id="685"/>
      <w:bookmarkEnd w:id="686"/>
    </w:p>
    <w:p w14:paraId="33C569CA" w14:textId="77777777" w:rsidR="00271FA2" w:rsidRPr="004224F6" w:rsidRDefault="00D35E51" w:rsidP="00D816F5">
      <w:pPr>
        <w:tabs>
          <w:tab w:val="center" w:pos="4513"/>
        </w:tabs>
        <w:overflowPunct w:val="0"/>
        <w:adjustRightInd w:val="0"/>
        <w:spacing w:after="240" w:line="240" w:lineRule="atLeast"/>
        <w:jc w:val="center"/>
        <w:textAlignment w:val="baseline"/>
        <w:rPr>
          <w:rFonts w:ascii="Times New Roman" w:hAnsi="Times New Roman" w:cs="Times New Roman"/>
          <w:b/>
          <w:szCs w:val="20"/>
          <w:lang w:val="ru-RU"/>
        </w:rPr>
      </w:pPr>
      <w:r w:rsidRPr="004224F6">
        <w:rPr>
          <w:rFonts w:ascii="Times New Roman" w:hAnsi="Times New Roman" w:cs="Times New Roman"/>
          <w:b/>
          <w:lang w:val="ru-RU"/>
        </w:rPr>
        <w:t>(Член 8.09)</w:t>
      </w:r>
    </w:p>
    <w:p w14:paraId="37782BB9"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Съществуващите плавателни съдове, посочени в член 32.02, точка 1, чиито постоянно инсталирани системи за изпомпване и осушаване на трюма и статични маслоотделители са били отстранени от техните машинни отделения, вече не съответстват на член 5.07 на Рейнските правила за инспекция на корабите (</w:t>
      </w:r>
      <w:r w:rsidRPr="004224F6">
        <w:rPr>
          <w:rFonts w:ascii="Times New Roman" w:hAnsi="Times New Roman" w:cs="Times New Roman"/>
        </w:rPr>
        <w:t>RVIR</w:t>
      </w:r>
      <w:r w:rsidRPr="004224F6">
        <w:rPr>
          <w:rFonts w:ascii="Times New Roman" w:hAnsi="Times New Roman" w:cs="Times New Roman"/>
          <w:lang w:val="ru-RU"/>
        </w:rPr>
        <w:t>), в сила към 31.12.1994</w:t>
      </w:r>
      <w:r w:rsidRPr="004224F6">
        <w:rPr>
          <w:rFonts w:ascii="Times New Roman" w:hAnsi="Times New Roman" w:cs="Times New Roman"/>
        </w:rPr>
        <w:t> </w:t>
      </w:r>
      <w:r w:rsidRPr="004224F6">
        <w:rPr>
          <w:rFonts w:ascii="Times New Roman" w:hAnsi="Times New Roman" w:cs="Times New Roman"/>
          <w:lang w:val="ru-RU"/>
        </w:rPr>
        <w:t>г.</w:t>
      </w:r>
    </w:p>
    <w:p w14:paraId="18321AAC"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В съответствие с преходните разпоредби, тези плавателни съдове трябва да бъдат оборудвани със съоръжения за събиране на използвани масла, както е посочено в Член 8.09, точка 2, освен в случаите, посочени в член 8.09, точка 3.</w:t>
      </w:r>
    </w:p>
    <w:p w14:paraId="5535F061"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1153A669"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5123D692"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66EB835E" w14:textId="77777777" w:rsidR="00271FA2" w:rsidRPr="004224F6" w:rsidRDefault="00D35E51">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34"/>
          <w:footnotePr>
            <w:numRestart w:val="eachPage"/>
          </w:footnotePr>
          <w:pgSz w:w="11907" w:h="16840"/>
          <w:pgMar w:top="1134" w:right="1134" w:bottom="1134" w:left="1134" w:header="709" w:footer="709" w:gutter="0"/>
          <w:cols w:space="720"/>
          <w:docGrid w:linePitch="326"/>
        </w:sectPr>
      </w:pPr>
      <w:r w:rsidRPr="004224F6">
        <w:rPr>
          <w:rFonts w:ascii="Times New Roman" w:hAnsi="Times New Roman" w:cs="Times New Roman"/>
          <w:lang w:val="ru-RU"/>
        </w:rPr>
        <w:br w:type="page"/>
      </w:r>
    </w:p>
    <w:p w14:paraId="741B8F4D" w14:textId="77777777" w:rsidR="00271FA2" w:rsidRPr="004224F6" w:rsidRDefault="00D35E51">
      <w:pPr>
        <w:pStyle w:val="ES-Titre2ESI"/>
        <w:rPr>
          <w:rFonts w:ascii="Times New Roman" w:hAnsi="Times New Roman" w:cs="Times New Roman"/>
          <w:snapToGrid w:val="0"/>
          <w:lang w:val="ru-RU"/>
        </w:rPr>
      </w:pPr>
      <w:bookmarkStart w:id="687" w:name="_Toc491854357"/>
      <w:bookmarkStart w:id="688" w:name="_Toc535827798"/>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-8</w:t>
      </w:r>
      <w:r w:rsidRPr="004224F6">
        <w:rPr>
          <w:rFonts w:ascii="Times New Roman" w:hAnsi="Times New Roman" w:cs="Times New Roman"/>
          <w:lang w:val="ru-RU"/>
        </w:rPr>
        <w:br/>
        <w:t>(оставено непопълнено)</w:t>
      </w:r>
      <w:bookmarkEnd w:id="687"/>
      <w:bookmarkEnd w:id="688"/>
    </w:p>
    <w:p w14:paraId="60557B3A"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4A653C75" w14:textId="77777777" w:rsidR="00271FA2" w:rsidRPr="004224F6" w:rsidRDefault="00271FA2">
      <w:pPr>
        <w:spacing w:line="240" w:lineRule="atLeast"/>
        <w:rPr>
          <w:rFonts w:ascii="Times New Roman" w:hAnsi="Times New Roman" w:cs="Times New Roman"/>
          <w:color w:val="000000"/>
          <w:lang w:val="ru-RU"/>
        </w:rPr>
      </w:pPr>
    </w:p>
    <w:p w14:paraId="28CD2CEC" w14:textId="77777777" w:rsidR="00271FA2" w:rsidRPr="004224F6" w:rsidRDefault="00D35E51">
      <w:pPr>
        <w:spacing w:line="240" w:lineRule="atLeast"/>
        <w:rPr>
          <w:rFonts w:ascii="Times New Roman" w:hAnsi="Times New Roman" w:cs="Times New Roman"/>
          <w:color w:val="000000"/>
          <w:lang w:val="ru-RU"/>
        </w:rPr>
      </w:pPr>
      <w:r w:rsidRPr="004224F6">
        <w:rPr>
          <w:rFonts w:ascii="Times New Roman" w:hAnsi="Times New Roman" w:cs="Times New Roman"/>
          <w:lang w:val="ru-RU"/>
        </w:rPr>
        <w:br w:type="page"/>
      </w:r>
    </w:p>
    <w:p w14:paraId="62411A19" w14:textId="77777777" w:rsidR="00271FA2" w:rsidRPr="004224F6" w:rsidRDefault="00271FA2">
      <w:pPr>
        <w:spacing w:line="240" w:lineRule="atLeast"/>
        <w:rPr>
          <w:rFonts w:ascii="Times New Roman" w:hAnsi="Times New Roman" w:cs="Times New Roman"/>
          <w:color w:val="000000"/>
          <w:szCs w:val="20"/>
          <w:lang w:val="ru-RU"/>
        </w:rPr>
        <w:sectPr w:rsidR="00271FA2" w:rsidRPr="004224F6" w:rsidSect="004224F6">
          <w:headerReference w:type="default" r:id="rId235"/>
          <w:footnotePr>
            <w:numRestart w:val="eachPage"/>
          </w:footnotePr>
          <w:pgSz w:w="11907" w:h="16840"/>
          <w:pgMar w:top="1134" w:right="1134" w:bottom="1134" w:left="1134" w:header="709" w:footer="709" w:gutter="0"/>
          <w:cols w:space="720"/>
          <w:docGrid w:linePitch="326"/>
        </w:sectPr>
      </w:pPr>
    </w:p>
    <w:p w14:paraId="76930C0B" w14:textId="77777777" w:rsidR="00271FA2" w:rsidRPr="004224F6" w:rsidRDefault="00D35E51">
      <w:pPr>
        <w:pStyle w:val="ES-Titre2ESI"/>
        <w:rPr>
          <w:rFonts w:ascii="Times New Roman" w:hAnsi="Times New Roman" w:cs="Times New Roman"/>
          <w:szCs w:val="20"/>
          <w:lang w:val="ru-RU"/>
        </w:rPr>
      </w:pPr>
      <w:bookmarkStart w:id="689" w:name="_Toc491854358"/>
      <w:bookmarkStart w:id="690" w:name="_Toc535827799"/>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-9</w:t>
      </w:r>
      <w:r w:rsidRPr="004224F6">
        <w:rPr>
          <w:rFonts w:ascii="Times New Roman" w:hAnsi="Times New Roman" w:cs="Times New Roman"/>
          <w:lang w:val="ru-RU"/>
        </w:rPr>
        <w:br/>
        <w:t>Специални котви с намалена маса</w:t>
      </w:r>
      <w:bookmarkEnd w:id="689"/>
      <w:bookmarkEnd w:id="690"/>
    </w:p>
    <w:p w14:paraId="0241EF78" w14:textId="77777777" w:rsidR="00271FA2" w:rsidRPr="004224F6" w:rsidRDefault="00D35E51">
      <w:pPr>
        <w:overflowPunct w:val="0"/>
        <w:adjustRightInd w:val="0"/>
        <w:spacing w:line="240" w:lineRule="atLeast"/>
        <w:jc w:val="center"/>
        <w:textAlignment w:val="baseline"/>
        <w:rPr>
          <w:rFonts w:ascii="Times New Roman" w:hAnsi="Times New Roman" w:cs="Times New Roman"/>
          <w:b/>
          <w:szCs w:val="20"/>
          <w:lang w:val="ru-RU"/>
        </w:rPr>
      </w:pPr>
      <w:r w:rsidRPr="004224F6">
        <w:rPr>
          <w:rFonts w:ascii="Times New Roman" w:hAnsi="Times New Roman" w:cs="Times New Roman"/>
          <w:b/>
          <w:lang w:val="ru-RU"/>
        </w:rPr>
        <w:t>Процедура за разрешаване и изпитване на специални котви с намалена маса</w:t>
      </w:r>
    </w:p>
    <w:p w14:paraId="368C909B" w14:textId="77777777" w:rsidR="00271FA2" w:rsidRPr="004224F6" w:rsidRDefault="00D35E51" w:rsidP="00D816F5">
      <w:pPr>
        <w:overflowPunct w:val="0"/>
        <w:adjustRightInd w:val="0"/>
        <w:spacing w:after="240" w:line="240" w:lineRule="atLeast"/>
        <w:jc w:val="center"/>
        <w:textAlignment w:val="baseline"/>
        <w:rPr>
          <w:rFonts w:ascii="Times New Roman" w:hAnsi="Times New Roman" w:cs="Times New Roman"/>
          <w:szCs w:val="20"/>
          <w:lang w:val="ru-RU"/>
        </w:rPr>
      </w:pPr>
      <w:r w:rsidRPr="004224F6">
        <w:rPr>
          <w:rFonts w:ascii="Times New Roman" w:hAnsi="Times New Roman" w:cs="Times New Roman"/>
          <w:b/>
          <w:lang w:val="ru-RU"/>
        </w:rPr>
        <w:t xml:space="preserve">(Член 13.01, точки 1 - 4) </w:t>
      </w:r>
    </w:p>
    <w:p w14:paraId="49946520" w14:textId="77777777" w:rsidR="00271FA2" w:rsidRPr="004224F6" w:rsidRDefault="00D35E51" w:rsidP="00D816F5">
      <w:pPr>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b/>
          <w:lang w:val="ru-RU"/>
        </w:rPr>
        <w:t>1.</w:t>
      </w:r>
      <w:r w:rsidRPr="004224F6">
        <w:rPr>
          <w:rFonts w:ascii="Times New Roman" w:hAnsi="Times New Roman" w:cs="Times New Roman"/>
          <w:lang w:val="ru-RU"/>
        </w:rPr>
        <w:tab/>
      </w:r>
      <w:r w:rsidRPr="004224F6">
        <w:rPr>
          <w:rFonts w:ascii="Times New Roman" w:hAnsi="Times New Roman" w:cs="Times New Roman"/>
          <w:b/>
          <w:lang w:val="ru-RU"/>
        </w:rPr>
        <w:t>Глава 1 — Процедура за разрешаване</w:t>
      </w:r>
    </w:p>
    <w:p w14:paraId="5CF84CCC" w14:textId="77777777" w:rsidR="00271FA2" w:rsidRPr="004224F6" w:rsidRDefault="00D35E51" w:rsidP="00D816F5">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lang w:val="ru-RU"/>
        </w:rPr>
        <w:t>1.1</w:t>
      </w:r>
      <w:r w:rsidRPr="004224F6">
        <w:rPr>
          <w:rFonts w:ascii="Times New Roman" w:hAnsi="Times New Roman" w:cs="Times New Roman"/>
          <w:lang w:val="ru-RU"/>
        </w:rPr>
        <w:tab/>
        <w:t>Специални котви с намалена маса в съответствие с член 13.01, точка 5 се разрешават от компетентните органи. Компетентният орган определя разрешеното намаляване на масата на котвата за специални котви в съответствие с процедурата, описана по-долу.</w:t>
      </w:r>
    </w:p>
    <w:p w14:paraId="3CA71596" w14:textId="77777777" w:rsidR="00271FA2" w:rsidRPr="004224F6" w:rsidRDefault="00D35E51" w:rsidP="00D816F5">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lang w:val="ru-RU"/>
        </w:rPr>
        <w:t>1.2</w:t>
      </w:r>
      <w:r w:rsidRPr="004224F6">
        <w:rPr>
          <w:rFonts w:ascii="Times New Roman" w:hAnsi="Times New Roman" w:cs="Times New Roman"/>
          <w:lang w:val="ru-RU"/>
        </w:rPr>
        <w:tab/>
        <w:t>Разрешаване за специална котва е възможно само ако установеното намаление на масата на котвата е най-малко 15 %.</w:t>
      </w:r>
    </w:p>
    <w:p w14:paraId="70F3EF69" w14:textId="77777777" w:rsidR="00271FA2" w:rsidRPr="004224F6" w:rsidRDefault="00D35E51" w:rsidP="00D816F5">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lang w:val="ru-RU"/>
        </w:rPr>
        <w:t>1.3</w:t>
      </w:r>
      <w:r w:rsidRPr="004224F6">
        <w:rPr>
          <w:rFonts w:ascii="Times New Roman" w:hAnsi="Times New Roman" w:cs="Times New Roman"/>
          <w:lang w:val="ru-RU"/>
        </w:rPr>
        <w:tab/>
        <w:t>Заявления за разрешение за специална котва в съответствие с точка 1.1 се подава до компетентния орган на държава членка. Десет екземпляра от следните документи се изпращат заедно с всяко заявление:</w:t>
      </w:r>
    </w:p>
    <w:p w14:paraId="593479C4" w14:textId="24BF1181" w:rsidR="00271FA2" w:rsidRPr="004224F6" w:rsidRDefault="00D816F5" w:rsidP="00D816F5">
      <w:pPr>
        <w:tabs>
          <w:tab w:val="left" w:pos="992"/>
        </w:tabs>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ab/>
      </w:r>
      <w:r w:rsidR="00D35E51" w:rsidRPr="004224F6">
        <w:rPr>
          <w:rFonts w:ascii="Times New Roman" w:hAnsi="Times New Roman" w:cs="Times New Roman"/>
        </w:rPr>
        <w:t>a</w:t>
      </w:r>
      <w:r w:rsidR="00D35E51" w:rsidRPr="004224F6">
        <w:rPr>
          <w:rFonts w:ascii="Times New Roman" w:hAnsi="Times New Roman" w:cs="Times New Roman"/>
          <w:lang w:val="ru-RU"/>
        </w:rPr>
        <w:t>)</w:t>
      </w:r>
      <w:r w:rsidR="00D35E51" w:rsidRPr="004224F6">
        <w:rPr>
          <w:rFonts w:ascii="Times New Roman" w:hAnsi="Times New Roman" w:cs="Times New Roman"/>
          <w:lang w:val="ru-RU"/>
        </w:rPr>
        <w:tab/>
        <w:t>записка, съдържаща размерите и масата на специалната котва, като се посочат основните размери и типовото означение на всеки съществуващ размер котва;</w:t>
      </w:r>
    </w:p>
    <w:p w14:paraId="4D304053" w14:textId="7C724763" w:rsidR="00271FA2" w:rsidRPr="004224F6" w:rsidRDefault="00D816F5" w:rsidP="00D816F5">
      <w:pPr>
        <w:tabs>
          <w:tab w:val="left" w:pos="992"/>
        </w:tabs>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ab/>
      </w:r>
      <w:r w:rsidR="00D35E51" w:rsidRPr="004224F6">
        <w:rPr>
          <w:rFonts w:ascii="Times New Roman" w:hAnsi="Times New Roman" w:cs="Times New Roman"/>
          <w:lang w:val="ru-RU"/>
        </w:rPr>
        <w:t>б)</w:t>
      </w:r>
      <w:r w:rsidR="00D35E51" w:rsidRPr="004224F6">
        <w:rPr>
          <w:rFonts w:ascii="Times New Roman" w:hAnsi="Times New Roman" w:cs="Times New Roman"/>
          <w:lang w:val="ru-RU"/>
        </w:rPr>
        <w:tab/>
        <w:t xml:space="preserve">диаграма на спирачната сила за еталонната котва </w:t>
      </w:r>
      <m:oMath>
        <m:r>
          <w:rPr>
            <w:rFonts w:ascii="Cambria Math" w:hAnsi="Cambria Math" w:cs="Times New Roman"/>
            <w:szCs w:val="20"/>
          </w:rPr>
          <m:t>A</m:t>
        </m:r>
      </m:oMath>
      <w:r w:rsidR="00D35E51" w:rsidRPr="004224F6">
        <w:rPr>
          <w:rFonts w:ascii="Times New Roman" w:hAnsi="Times New Roman" w:cs="Times New Roman"/>
          <w:lang w:val="ru-RU"/>
        </w:rPr>
        <w:t xml:space="preserve"> (в съответствие с точка 2.2) и специалната котва </w:t>
      </w:r>
      <m:oMath>
        <m:r>
          <w:rPr>
            <w:rFonts w:ascii="Cambria Math" w:hAnsi="Cambria Math" w:cs="Times New Roman"/>
            <w:szCs w:val="20"/>
          </w:rPr>
          <m:t>B</m:t>
        </m:r>
      </m:oMath>
      <w:r w:rsidR="00D35E51" w:rsidRPr="004224F6">
        <w:rPr>
          <w:rFonts w:ascii="Times New Roman" w:hAnsi="Times New Roman" w:cs="Times New Roman"/>
          <w:lang w:val="ru-RU"/>
        </w:rPr>
        <w:t>, която трябва да получи разрешение, изготвена и оценена от организация, определена от компетентния орган.</w:t>
      </w:r>
    </w:p>
    <w:p w14:paraId="4F208E1D" w14:textId="77777777" w:rsidR="00271FA2" w:rsidRPr="004224F6" w:rsidRDefault="00D35E51" w:rsidP="00D816F5">
      <w:pPr>
        <w:overflowPunct w:val="0"/>
        <w:adjustRightInd w:val="0"/>
        <w:spacing w:line="240" w:lineRule="atLeast"/>
        <w:ind w:left="567" w:hanging="567"/>
        <w:jc w:val="both"/>
        <w:textAlignment w:val="baseline"/>
        <w:rPr>
          <w:rFonts w:ascii="Times New Roman" w:hAnsi="Times New Roman" w:cs="Times New Roman"/>
          <w:lang w:val="ru-RU"/>
        </w:rPr>
      </w:pPr>
      <w:r w:rsidRPr="004224F6">
        <w:rPr>
          <w:rFonts w:ascii="Times New Roman" w:hAnsi="Times New Roman" w:cs="Times New Roman"/>
          <w:b/>
          <w:lang w:val="ru-RU"/>
        </w:rPr>
        <w:t>1.4</w:t>
      </w:r>
      <w:r w:rsidRPr="004224F6">
        <w:rPr>
          <w:rFonts w:ascii="Times New Roman" w:hAnsi="Times New Roman" w:cs="Times New Roman"/>
          <w:lang w:val="ru-RU"/>
        </w:rPr>
        <w:tab/>
        <w:t>Компетентният орган уведомява Европейския комитет за изготвяне на стандарти за вътрешното корабоплаване (</w:t>
      </w:r>
      <w:r w:rsidRPr="004224F6">
        <w:rPr>
          <w:rFonts w:ascii="Times New Roman" w:hAnsi="Times New Roman" w:cs="Times New Roman"/>
        </w:rPr>
        <w:t>CESNI</w:t>
      </w:r>
      <w:r w:rsidRPr="004224F6">
        <w:rPr>
          <w:rFonts w:ascii="Times New Roman" w:hAnsi="Times New Roman" w:cs="Times New Roman"/>
          <w:lang w:val="ru-RU"/>
        </w:rPr>
        <w:t xml:space="preserve">) за всички заявления за намаляване на масата на котва, които възнамерява да разреши, след като проведе изпитване. </w:t>
      </w:r>
    </w:p>
    <w:p w14:paraId="2EF8BFD5" w14:textId="77777777" w:rsidR="00271FA2" w:rsidRPr="004224F6" w:rsidRDefault="00D35E51" w:rsidP="00D816F5">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szCs w:val="20"/>
          <w:lang w:val="ru-RU"/>
        </w:rPr>
        <w:t>1.5</w:t>
      </w:r>
      <w:r w:rsidRPr="004224F6">
        <w:rPr>
          <w:rFonts w:ascii="Times New Roman" w:hAnsi="Times New Roman" w:cs="Times New Roman"/>
          <w:szCs w:val="20"/>
          <w:lang w:val="ru-RU"/>
        </w:rPr>
        <w:tab/>
        <w:t xml:space="preserve">Списъкът на специални котви с намалена маса е публикуван на уебсайта на </w:t>
      </w:r>
      <w:r w:rsidRPr="004224F6">
        <w:rPr>
          <w:rFonts w:ascii="Times New Roman" w:hAnsi="Times New Roman" w:cs="Times New Roman"/>
          <w:szCs w:val="20"/>
        </w:rPr>
        <w:t>CESNI</w:t>
      </w:r>
      <w:r w:rsidRPr="004224F6">
        <w:rPr>
          <w:rFonts w:ascii="Times New Roman" w:hAnsi="Times New Roman" w:cs="Times New Roman"/>
          <w:szCs w:val="20"/>
          <w:lang w:val="ru-RU"/>
        </w:rPr>
        <w:t xml:space="preserve"> (</w:t>
      </w:r>
      <w:r w:rsidRPr="004224F6">
        <w:rPr>
          <w:rFonts w:ascii="Times New Roman" w:hAnsi="Times New Roman" w:cs="Times New Roman"/>
          <w:szCs w:val="20"/>
        </w:rPr>
        <w:t>https</w:t>
      </w:r>
      <w:r w:rsidRPr="004224F6">
        <w:rPr>
          <w:rFonts w:ascii="Times New Roman" w:hAnsi="Times New Roman" w:cs="Times New Roman"/>
          <w:szCs w:val="20"/>
          <w:lang w:val="ru-RU"/>
        </w:rPr>
        <w:t>://</w:t>
      </w:r>
      <w:r w:rsidRPr="004224F6">
        <w:rPr>
          <w:rFonts w:ascii="Times New Roman" w:hAnsi="Times New Roman" w:cs="Times New Roman"/>
          <w:szCs w:val="20"/>
        </w:rPr>
        <w:t>listes</w:t>
      </w:r>
      <w:r w:rsidRPr="004224F6">
        <w:rPr>
          <w:rFonts w:ascii="Times New Roman" w:hAnsi="Times New Roman" w:cs="Times New Roman"/>
          <w:szCs w:val="20"/>
          <w:lang w:val="ru-RU"/>
        </w:rPr>
        <w:t>.</w:t>
      </w:r>
      <w:r w:rsidRPr="004224F6">
        <w:rPr>
          <w:rFonts w:ascii="Times New Roman" w:hAnsi="Times New Roman" w:cs="Times New Roman"/>
          <w:szCs w:val="20"/>
        </w:rPr>
        <w:t>cesni</w:t>
      </w:r>
      <w:r w:rsidRPr="004224F6">
        <w:rPr>
          <w:rFonts w:ascii="Times New Roman" w:hAnsi="Times New Roman" w:cs="Times New Roman"/>
          <w:szCs w:val="20"/>
          <w:lang w:val="ru-RU"/>
        </w:rPr>
        <w:t>.</w:t>
      </w:r>
      <w:r w:rsidRPr="004224F6">
        <w:rPr>
          <w:rFonts w:ascii="Times New Roman" w:hAnsi="Times New Roman" w:cs="Times New Roman"/>
          <w:szCs w:val="20"/>
        </w:rPr>
        <w:t>eu</w:t>
      </w:r>
      <w:r w:rsidRPr="004224F6">
        <w:rPr>
          <w:rFonts w:ascii="Times New Roman" w:hAnsi="Times New Roman" w:cs="Times New Roman"/>
          <w:szCs w:val="20"/>
          <w:lang w:val="ru-RU"/>
        </w:rPr>
        <w:t>/).</w:t>
      </w:r>
    </w:p>
    <w:p w14:paraId="17E42B4B" w14:textId="77777777" w:rsidR="00271FA2" w:rsidRPr="004224F6" w:rsidRDefault="00D35E51" w:rsidP="00D816F5">
      <w:pPr>
        <w:overflowPunct w:val="0"/>
        <w:adjustRightInd w:val="0"/>
        <w:spacing w:line="240" w:lineRule="atLeast"/>
        <w:ind w:left="567" w:hanging="567"/>
        <w:jc w:val="both"/>
        <w:textAlignment w:val="baseline"/>
        <w:rPr>
          <w:rFonts w:ascii="Times New Roman" w:hAnsi="Times New Roman" w:cs="Times New Roman"/>
          <w:b/>
          <w:szCs w:val="20"/>
          <w:lang w:val="ru-RU"/>
        </w:rPr>
      </w:pPr>
      <w:r w:rsidRPr="004224F6">
        <w:rPr>
          <w:rFonts w:ascii="Times New Roman" w:hAnsi="Times New Roman" w:cs="Times New Roman"/>
          <w:b/>
          <w:lang w:val="ru-RU"/>
        </w:rPr>
        <w:t>2.</w:t>
      </w:r>
      <w:r w:rsidRPr="004224F6">
        <w:rPr>
          <w:rFonts w:ascii="Times New Roman" w:hAnsi="Times New Roman" w:cs="Times New Roman"/>
          <w:lang w:val="ru-RU"/>
        </w:rPr>
        <w:tab/>
      </w:r>
      <w:r w:rsidRPr="004224F6">
        <w:rPr>
          <w:rFonts w:ascii="Times New Roman" w:hAnsi="Times New Roman" w:cs="Times New Roman"/>
          <w:b/>
          <w:lang w:val="ru-RU"/>
        </w:rPr>
        <w:t>Глава 2 — Процедура на изпитване</w:t>
      </w:r>
    </w:p>
    <w:p w14:paraId="275D98B7" w14:textId="77777777" w:rsidR="00271FA2" w:rsidRPr="004224F6" w:rsidRDefault="00D35E51" w:rsidP="00D816F5">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lang w:val="ru-RU"/>
        </w:rPr>
        <w:t>2.1</w:t>
      </w:r>
      <w:r w:rsidRPr="004224F6">
        <w:rPr>
          <w:rFonts w:ascii="Times New Roman" w:hAnsi="Times New Roman" w:cs="Times New Roman"/>
          <w:lang w:val="ru-RU"/>
        </w:rPr>
        <w:tab/>
        <w:t xml:space="preserve">Диаграмите на спирачната сила в съответствие с точка 1.3 трябва да показват спирачните усилия като функция на скоростта за еталонната котва </w:t>
      </w:r>
      <m:oMath>
        <m:r>
          <w:rPr>
            <w:rFonts w:ascii="Cambria Math" w:hAnsi="Cambria Math" w:cs="Times New Roman"/>
            <w:szCs w:val="20"/>
          </w:rPr>
          <m:t>A</m:t>
        </m:r>
      </m:oMath>
      <w:r w:rsidRPr="004224F6">
        <w:rPr>
          <w:rFonts w:ascii="Times New Roman" w:hAnsi="Times New Roman" w:cs="Times New Roman"/>
          <w:lang w:val="ru-RU"/>
        </w:rPr>
        <w:t xml:space="preserve"> и специалната котва </w:t>
      </w:r>
      <m:oMath>
        <m:r>
          <w:rPr>
            <w:rFonts w:ascii="Cambria Math" w:hAnsi="Cambria Math" w:cs="Times New Roman"/>
            <w:szCs w:val="20"/>
          </w:rPr>
          <m:t>B</m:t>
        </m:r>
      </m:oMath>
      <w:r w:rsidRPr="004224F6">
        <w:rPr>
          <w:rFonts w:ascii="Times New Roman" w:hAnsi="Times New Roman" w:cs="Times New Roman"/>
          <w:lang w:val="ru-RU"/>
        </w:rPr>
        <w:t>, която трябва да получи разрешение, въз основа на изпитванията в съответствие с точки от 2.2 до 2.5 по-долу. Приложение 1 показва едно възможно изпитване на спирачната сила.</w:t>
      </w:r>
    </w:p>
    <w:p w14:paraId="4CB86E5C" w14:textId="77777777" w:rsidR="00271FA2" w:rsidRPr="004224F6" w:rsidRDefault="00271FA2">
      <w:pPr>
        <w:overflowPunct w:val="0"/>
        <w:adjustRightInd w:val="0"/>
        <w:spacing w:line="240" w:lineRule="atLeast"/>
        <w:ind w:left="567" w:hanging="567"/>
        <w:textAlignment w:val="baseline"/>
        <w:rPr>
          <w:rFonts w:ascii="Times New Roman" w:hAnsi="Times New Roman" w:cs="Times New Roman"/>
          <w:szCs w:val="20"/>
          <w:lang w:val="ru-RU"/>
        </w:rPr>
      </w:pPr>
    </w:p>
    <w:p w14:paraId="5A6E9D02" w14:textId="77777777" w:rsidR="00271FA2" w:rsidRPr="004224F6" w:rsidRDefault="00D35E51">
      <w:pPr>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br w:type="page"/>
      </w:r>
    </w:p>
    <w:p w14:paraId="608A2A8B" w14:textId="77777777" w:rsidR="00271FA2" w:rsidRPr="004224F6" w:rsidRDefault="00D35E51">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lang w:val="ru-RU"/>
        </w:rPr>
        <w:lastRenderedPageBreak/>
        <w:t>2.2</w:t>
      </w:r>
      <w:r w:rsidRPr="004224F6">
        <w:rPr>
          <w:rFonts w:ascii="Times New Roman" w:hAnsi="Times New Roman" w:cs="Times New Roman"/>
          <w:lang w:val="ru-RU"/>
        </w:rPr>
        <w:tab/>
        <w:t xml:space="preserve">Използваната при изпитванията еталонна котва </w:t>
      </w:r>
      <m:oMath>
        <m:r>
          <w:rPr>
            <w:rFonts w:ascii="Cambria Math" w:hAnsi="Cambria Math" w:cs="Times New Roman"/>
            <w:szCs w:val="20"/>
          </w:rPr>
          <m:t>A</m:t>
        </m:r>
      </m:oMath>
      <w:r w:rsidRPr="004224F6">
        <w:rPr>
          <w:rFonts w:ascii="Times New Roman" w:hAnsi="Times New Roman" w:cs="Times New Roman"/>
          <w:lang w:val="ru-RU"/>
        </w:rPr>
        <w:t xml:space="preserve"> трябва да бъде обикновена сгъваема котва без щок, съответстваща на фигурата и подробностите, дадени по-долу, и с маса най-малко 400 </w:t>
      </w:r>
      <w:r w:rsidRPr="004224F6">
        <w:rPr>
          <w:rFonts w:ascii="Times New Roman" w:hAnsi="Times New Roman" w:cs="Times New Roman"/>
        </w:rPr>
        <w:t>kg</w:t>
      </w:r>
      <w:r w:rsidRPr="004224F6">
        <w:rPr>
          <w:rFonts w:ascii="Times New Roman" w:hAnsi="Times New Roman" w:cs="Times New Roman"/>
          <w:lang w:val="ru-RU"/>
        </w:rPr>
        <w:t>.</w:t>
      </w:r>
    </w:p>
    <w:p w14:paraId="2F8F0804" w14:textId="77777777" w:rsidR="00271FA2" w:rsidRPr="004224F6" w:rsidRDefault="00D35E51">
      <w:pPr>
        <w:overflowPunct w:val="0"/>
        <w:adjustRightInd w:val="0"/>
        <w:spacing w:line="240" w:lineRule="atLeast"/>
        <w:ind w:left="426" w:hanging="426"/>
        <w:textAlignment w:val="baseline"/>
        <w:rPr>
          <w:rFonts w:ascii="Times New Roman" w:hAnsi="Times New Roman" w:cs="Times New Roman"/>
          <w:szCs w:val="20"/>
        </w:rPr>
      </w:pPr>
      <w:r w:rsidRPr="004224F6">
        <w:rPr>
          <w:rFonts w:ascii="Times New Roman" w:hAnsi="Times New Roman" w:cs="Times New Roman"/>
          <w:noProof/>
          <w:sz w:val="16"/>
          <w:szCs w:val="16"/>
          <w:lang w:eastAsia="bg-BG"/>
        </w:rPr>
        <w:drawing>
          <wp:inline distT="0" distB="0" distL="0" distR="0" wp14:anchorId="5A768F11" wp14:editId="115B6D8C">
            <wp:extent cx="5962650" cy="2971800"/>
            <wp:effectExtent l="0" t="0" r="0" b="0"/>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 30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a:xfrm>
                      <a:off x="0" y="0"/>
                      <a:ext cx="5962650" cy="2971800"/>
                    </a:xfrm>
                    <a:prstGeom prst="rect">
                      <a:avLst/>
                    </a:prstGeom>
                    <a:solidFill>
                      <a:srgbClr val="FFFFFF"/>
                    </a:solidFill>
                    <a:ln>
                      <a:noFill/>
                    </a:ln>
                  </pic:spPr>
                </pic:pic>
              </a:graphicData>
            </a:graphic>
          </wp:inline>
        </w:drawing>
      </w:r>
    </w:p>
    <w:p w14:paraId="1D333C0D" w14:textId="77777777" w:rsidR="00271FA2" w:rsidRPr="004224F6" w:rsidRDefault="00D35E51">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rPr>
        <w:tab/>
      </w:r>
      <w:r w:rsidRPr="004224F6">
        <w:rPr>
          <w:rFonts w:ascii="Times New Roman" w:hAnsi="Times New Roman" w:cs="Times New Roman"/>
          <w:lang w:val="ru-RU"/>
        </w:rPr>
        <w:t>За дадените размери и маса важи допуск от ± 5</w:t>
      </w:r>
      <w:r w:rsidRPr="004224F6">
        <w:rPr>
          <w:rFonts w:ascii="Times New Roman" w:hAnsi="Times New Roman" w:cs="Times New Roman"/>
        </w:rPr>
        <w:t> </w:t>
      </w:r>
      <w:r w:rsidRPr="004224F6">
        <w:rPr>
          <w:rFonts w:ascii="Times New Roman" w:hAnsi="Times New Roman" w:cs="Times New Roman"/>
          <w:lang w:val="ru-RU"/>
        </w:rPr>
        <w:t xml:space="preserve">%. Площта на всяка лапа трябва обаче да е най-малко 0,15 </w:t>
      </w:r>
      <w:r w:rsidRPr="004224F6">
        <w:rPr>
          <w:rFonts w:ascii="Times New Roman" w:hAnsi="Times New Roman" w:cs="Times New Roman"/>
        </w:rPr>
        <w:t>m</w:t>
      </w:r>
      <w:r w:rsidRPr="004224F6">
        <w:rPr>
          <w:rFonts w:ascii="Times New Roman" w:hAnsi="Times New Roman" w:cs="Times New Roman"/>
          <w:vertAlign w:val="superscript"/>
          <w:lang w:val="ru-RU"/>
        </w:rPr>
        <w:t>2</w:t>
      </w:r>
      <w:r w:rsidRPr="004224F6">
        <w:rPr>
          <w:rFonts w:ascii="Times New Roman" w:hAnsi="Times New Roman" w:cs="Times New Roman"/>
          <w:lang w:val="ru-RU"/>
        </w:rPr>
        <w:t>.</w:t>
      </w:r>
    </w:p>
    <w:p w14:paraId="519373D9" w14:textId="77777777" w:rsidR="00271FA2" w:rsidRPr="004224F6" w:rsidRDefault="00D35E51">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lang w:val="ru-RU"/>
        </w:rPr>
        <w:t>2.3</w:t>
      </w:r>
      <w:r w:rsidRPr="004224F6">
        <w:rPr>
          <w:rFonts w:ascii="Times New Roman" w:hAnsi="Times New Roman" w:cs="Times New Roman"/>
          <w:lang w:val="ru-RU"/>
        </w:rPr>
        <w:tab/>
        <w:t xml:space="preserve">Масата на специалната котва </w:t>
      </w:r>
      <w:r w:rsidRPr="004224F6">
        <w:rPr>
          <w:rFonts w:ascii="Times New Roman" w:hAnsi="Times New Roman" w:cs="Times New Roman"/>
        </w:rPr>
        <w:t>B</w:t>
      </w:r>
      <w:r w:rsidRPr="004224F6">
        <w:rPr>
          <w:rFonts w:ascii="Times New Roman" w:hAnsi="Times New Roman" w:cs="Times New Roman"/>
          <w:lang w:val="ru-RU"/>
        </w:rPr>
        <w:t xml:space="preserve">, използвана при изпитванията, не трябва да се отклонява с повече от 10 % от масата на еталонната котва </w:t>
      </w:r>
      <m:oMath>
        <m:r>
          <w:rPr>
            <w:rFonts w:ascii="Cambria Math" w:hAnsi="Cambria Math" w:cs="Times New Roman"/>
            <w:szCs w:val="20"/>
          </w:rPr>
          <m:t>A</m:t>
        </m:r>
      </m:oMath>
      <w:r w:rsidR="0031090E" w:rsidRPr="004224F6">
        <w:rPr>
          <w:rFonts w:ascii="Times New Roman" w:hAnsi="Times New Roman" w:cs="Times New Roman"/>
          <w:lang w:val="ru-RU"/>
        </w:rPr>
        <w:t xml:space="preserve">. </w:t>
      </w:r>
      <w:r w:rsidRPr="004224F6">
        <w:rPr>
          <w:rFonts w:ascii="Times New Roman" w:hAnsi="Times New Roman" w:cs="Times New Roman"/>
          <w:lang w:val="ru-RU"/>
        </w:rPr>
        <w:t>Ако отклоненията са по-големи, силите се преизчисляват пропорционално на масата.</w:t>
      </w:r>
    </w:p>
    <w:p w14:paraId="20D01D5B" w14:textId="77777777" w:rsidR="00271FA2" w:rsidRPr="004224F6" w:rsidRDefault="00D35E51">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lang w:val="ru-RU"/>
        </w:rPr>
        <w:t>2.4</w:t>
      </w:r>
      <w:r w:rsidRPr="004224F6">
        <w:rPr>
          <w:rFonts w:ascii="Times New Roman" w:hAnsi="Times New Roman" w:cs="Times New Roman"/>
          <w:lang w:val="ru-RU"/>
        </w:rPr>
        <w:tab/>
        <w:t>Диаграмите на спирачната сила трябва да представят скоростта (</w:t>
      </w:r>
      <m:oMath>
        <m:r>
          <w:rPr>
            <w:rFonts w:ascii="Cambria Math" w:hAnsi="Cambria Math" w:cs="Times New Roman"/>
            <w:szCs w:val="20"/>
          </w:rPr>
          <m:t>v</m:t>
        </m:r>
      </m:oMath>
      <w:r w:rsidRPr="004224F6">
        <w:rPr>
          <w:rFonts w:ascii="Times New Roman" w:hAnsi="Times New Roman" w:cs="Times New Roman"/>
          <w:lang w:val="ru-RU"/>
        </w:rPr>
        <w:t xml:space="preserve">) линейно в интервала от 0 до 5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 xml:space="preserve"> (скорост спрямо брега). За тази цел се провеждат три изпитвания в посока срещу течението за еталонната котва </w:t>
      </w:r>
      <m:oMath>
        <m:r>
          <w:rPr>
            <w:rFonts w:ascii="Cambria Math" w:hAnsi="Cambria Math" w:cs="Times New Roman"/>
            <w:szCs w:val="20"/>
          </w:rPr>
          <m:t>A</m:t>
        </m:r>
      </m:oMath>
      <w:r w:rsidRPr="004224F6">
        <w:rPr>
          <w:rFonts w:ascii="Times New Roman" w:hAnsi="Times New Roman" w:cs="Times New Roman"/>
          <w:lang w:val="ru-RU"/>
        </w:rPr>
        <w:t xml:space="preserve"> и специалната котва </w:t>
      </w:r>
      <m:oMath>
        <m:r>
          <w:rPr>
            <w:rFonts w:ascii="Cambria Math" w:hAnsi="Cambria Math" w:cs="Times New Roman"/>
            <w:szCs w:val="20"/>
          </w:rPr>
          <m:t>B</m:t>
        </m:r>
      </m:oMath>
      <w:r w:rsidRPr="004224F6">
        <w:rPr>
          <w:rFonts w:ascii="Times New Roman" w:hAnsi="Times New Roman" w:cs="Times New Roman"/>
          <w:lang w:val="ru-RU"/>
        </w:rPr>
        <w:t>, като се редуват на всяка от двете отсечки от реката, определени от компетентния орган, едната с чакъл, другата с фин пясък. По река Рейн отсечката между километър 401 и километър 402 може да служи като еталонна отсечка за изпитванията с чакъл, а отсечката между километър 480 и километър 481 — за изпитванията с фин пясък.</w:t>
      </w:r>
    </w:p>
    <w:p w14:paraId="6B02F782" w14:textId="77777777" w:rsidR="00271FA2" w:rsidRPr="004224F6" w:rsidRDefault="00D35E51">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lang w:val="ru-RU"/>
        </w:rPr>
        <w:t>2.5</w:t>
      </w:r>
      <w:r w:rsidRPr="004224F6">
        <w:rPr>
          <w:rFonts w:ascii="Times New Roman" w:hAnsi="Times New Roman" w:cs="Times New Roman"/>
          <w:lang w:val="ru-RU"/>
        </w:rPr>
        <w:tab/>
        <w:t>За всяко изпитване изпитваната котва се влачи с плетено стоманено въже с дължина между точките на свързване към котвата и към влачещото плавателно средство или устройство 10 пъти по-голяма от височината на точката на свързване към плавателното средство над дъното на закотвяне.</w:t>
      </w:r>
    </w:p>
    <w:p w14:paraId="6BDE330E" w14:textId="77777777" w:rsidR="00271FA2" w:rsidRPr="004224F6" w:rsidRDefault="00D35E51">
      <w:pPr>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b/>
          <w:lang w:val="ru-RU"/>
        </w:rPr>
        <w:t>2.6</w:t>
      </w:r>
      <w:r w:rsidRPr="004224F6">
        <w:rPr>
          <w:rFonts w:ascii="Times New Roman" w:hAnsi="Times New Roman" w:cs="Times New Roman"/>
          <w:lang w:val="ru-RU"/>
        </w:rPr>
        <w:tab/>
        <w:t>Процентът на намаляване на масата на котвата се изчислява по следната формула:</w:t>
      </w:r>
    </w:p>
    <w:p w14:paraId="4659919A" w14:textId="77777777" w:rsidR="00271FA2" w:rsidRPr="004224F6" w:rsidRDefault="00D35E51">
      <w:pPr>
        <w:tabs>
          <w:tab w:val="left" w:pos="567"/>
        </w:tabs>
        <w:overflowPunct w:val="0"/>
        <w:adjustRightInd w:val="0"/>
        <w:spacing w:line="240" w:lineRule="atLeast"/>
        <w:ind w:left="284" w:hanging="426"/>
        <w:textAlignment w:val="baseline"/>
        <w:rPr>
          <w:rFonts w:ascii="Times New Roman" w:hAnsi="Times New Roman" w:cs="Times New Roman"/>
          <w:szCs w:val="20"/>
        </w:rPr>
      </w:pPr>
      <m:oMathPara>
        <m:oMath>
          <m:r>
            <w:rPr>
              <w:rFonts w:ascii="Cambria Math" w:hAnsi="Cambria Math" w:cs="Times New Roman"/>
              <w:szCs w:val="20"/>
            </w:rPr>
            <m:t xml:space="preserve">r=75 ∙ </m:t>
          </m:r>
          <m:d>
            <m:dPr>
              <m:ctrlPr>
                <w:rPr>
                  <w:rFonts w:ascii="Cambria Math" w:hAnsi="Cambria Math" w:cs="Times New Roman"/>
                  <w:i/>
                  <w:szCs w:val="20"/>
                </w:rPr>
              </m:ctrlPr>
            </m:dPr>
            <m:e>
              <m:r>
                <w:rPr>
                  <w:rFonts w:ascii="Cambria Math" w:hAnsi="Cambria Math" w:cs="Times New Roman"/>
                  <w:szCs w:val="20"/>
                </w:rPr>
                <m:t xml:space="preserve">1-0,5  </m:t>
              </m:r>
              <m:f>
                <m:fPr>
                  <m:ctrlPr>
                    <w:rPr>
                      <w:rFonts w:ascii="Cambria Math" w:hAnsi="Cambria Math" w:cs="Times New Roman"/>
                      <w:i/>
                      <w:szCs w:val="20"/>
                    </w:rPr>
                  </m:ctrlPr>
                </m:fPr>
                <m:num>
                  <m:r>
                    <w:rPr>
                      <w:rFonts w:ascii="Cambria Math" w:hAnsi="Cambria Math" w:cs="Times New Roman"/>
                      <w:szCs w:val="20"/>
                    </w:rPr>
                    <m:t>PB</m:t>
                  </m:r>
                </m:num>
                <m:den>
                  <m:r>
                    <w:rPr>
                      <w:rFonts w:ascii="Cambria Math" w:hAnsi="Cambria Math" w:cs="Times New Roman"/>
                      <w:szCs w:val="20"/>
                    </w:rPr>
                    <m:t>PA</m:t>
                  </m:r>
                </m:den>
              </m:f>
              <m:r>
                <w:rPr>
                  <w:rFonts w:ascii="Cambria Math" w:hAnsi="Cambria Math" w:cs="Times New Roman"/>
                  <w:szCs w:val="20"/>
                </w:rPr>
                <m:t xml:space="preserve"> </m:t>
              </m:r>
              <m:d>
                <m:dPr>
                  <m:ctrlPr>
                    <w:rPr>
                      <w:rFonts w:ascii="Cambria Math" w:hAnsi="Cambria Math" w:cs="Times New Roman"/>
                      <w:i/>
                      <w:szCs w:val="20"/>
                    </w:rPr>
                  </m:ctrlPr>
                </m:dPr>
                <m:e>
                  <m:f>
                    <m:fPr>
                      <m:ctrlPr>
                        <w:rPr>
                          <w:rFonts w:ascii="Cambria Math" w:hAnsi="Cambria Math" w:cs="Times New Roman"/>
                          <w:i/>
                          <w:szCs w:val="20"/>
                        </w:rPr>
                      </m:ctrlPr>
                    </m:fPr>
                    <m:num>
                      <m:r>
                        <w:rPr>
                          <w:rFonts w:ascii="Cambria Math" w:hAnsi="Cambria Math" w:cs="Times New Roman"/>
                          <w:szCs w:val="20"/>
                        </w:rPr>
                        <m:t>FA</m:t>
                      </m:r>
                    </m:num>
                    <m:den>
                      <m:r>
                        <w:rPr>
                          <w:rFonts w:ascii="Cambria Math" w:hAnsi="Cambria Math" w:cs="Times New Roman"/>
                          <w:szCs w:val="20"/>
                        </w:rPr>
                        <m:t>FB</m:t>
                      </m:r>
                    </m:den>
                  </m:f>
                  <m:r>
                    <w:rPr>
                      <w:rFonts w:ascii="Cambria Math" w:hAnsi="Cambria Math" w:cs="Times New Roman"/>
                      <w:szCs w:val="20"/>
                    </w:rPr>
                    <m:t xml:space="preserve">+ </m:t>
                  </m:r>
                  <m:f>
                    <m:fPr>
                      <m:ctrlPr>
                        <w:rPr>
                          <w:rFonts w:ascii="Cambria Math" w:hAnsi="Cambria Math" w:cs="Times New Roman"/>
                          <w:i/>
                          <w:szCs w:val="20"/>
                        </w:rPr>
                      </m:ctrlPr>
                    </m:fPr>
                    <m:num>
                      <m:r>
                        <w:rPr>
                          <w:rFonts w:ascii="Cambria Math" w:hAnsi="Cambria Math" w:cs="Times New Roman"/>
                          <w:szCs w:val="20"/>
                        </w:rPr>
                        <m:t>AA</m:t>
                      </m:r>
                    </m:num>
                    <m:den>
                      <m:r>
                        <w:rPr>
                          <w:rFonts w:ascii="Cambria Math" w:hAnsi="Cambria Math" w:cs="Times New Roman"/>
                          <w:szCs w:val="20"/>
                        </w:rPr>
                        <m:t>AB</m:t>
                      </m:r>
                    </m:den>
                  </m:f>
                </m:e>
              </m:d>
            </m:e>
          </m:d>
          <m:r>
            <w:rPr>
              <w:rFonts w:ascii="Cambria Math" w:hAnsi="Cambria Math" w:cs="Times New Roman"/>
              <w:szCs w:val="20"/>
            </w:rPr>
            <m:t xml:space="preserve"> </m:t>
          </m:r>
          <m:d>
            <m:dPr>
              <m:begChr m:val="["/>
              <m:endChr m:val="]"/>
              <m:ctrlPr>
                <w:rPr>
                  <w:rFonts w:ascii="Cambria Math" w:hAnsi="Cambria Math" w:cs="Times New Roman"/>
                  <w:i/>
                  <w:szCs w:val="20"/>
                </w:rPr>
              </m:ctrlPr>
            </m:dPr>
            <m:e>
              <m:r>
                <w:rPr>
                  <w:rFonts w:ascii="Cambria Math" w:hAnsi="Cambria Math" w:cs="Times New Roman"/>
                  <w:szCs w:val="20"/>
                </w:rPr>
                <m:t>%</m:t>
              </m:r>
            </m:e>
          </m:d>
        </m:oMath>
      </m:oMathPara>
    </w:p>
    <w:p w14:paraId="7533A1F9" w14:textId="77777777" w:rsidR="00271FA2" w:rsidRPr="004224F6" w:rsidRDefault="00D35E51">
      <w:pPr>
        <w:spacing w:line="240" w:lineRule="atLeast"/>
        <w:rPr>
          <w:rFonts w:ascii="Times New Roman" w:hAnsi="Times New Roman" w:cs="Times New Roman"/>
        </w:rPr>
      </w:pPr>
      <w:r w:rsidRPr="004224F6">
        <w:rPr>
          <w:rFonts w:ascii="Times New Roman" w:hAnsi="Times New Roman" w:cs="Times New Roman"/>
        </w:rPr>
        <w:br w:type="page"/>
      </w:r>
    </w:p>
    <w:p w14:paraId="58D9D646" w14:textId="77777777" w:rsidR="00271FA2" w:rsidRPr="004224F6" w:rsidRDefault="00D35E51">
      <w:pPr>
        <w:tabs>
          <w:tab w:val="left" w:pos="567"/>
        </w:tabs>
        <w:overflowPunct w:val="0"/>
        <w:adjustRightInd w:val="0"/>
        <w:spacing w:line="240" w:lineRule="atLeast"/>
        <w:ind w:left="567"/>
        <w:textAlignment w:val="baseline"/>
        <w:rPr>
          <w:rFonts w:ascii="Times New Roman" w:hAnsi="Times New Roman" w:cs="Times New Roman"/>
          <w:szCs w:val="20"/>
          <w:lang w:val="ru-RU"/>
        </w:rPr>
      </w:pPr>
      <w:r w:rsidRPr="004224F6">
        <w:rPr>
          <w:rFonts w:ascii="Times New Roman" w:hAnsi="Times New Roman" w:cs="Times New Roman"/>
          <w:lang w:val="ru-RU"/>
        </w:rPr>
        <w:lastRenderedPageBreak/>
        <w:t>където</w:t>
      </w:r>
    </w:p>
    <w:p w14:paraId="37FE2F58" w14:textId="77777777" w:rsidR="00271FA2" w:rsidRPr="004224F6" w:rsidRDefault="00D35E51">
      <w:pPr>
        <w:tabs>
          <w:tab w:val="left" w:pos="1134"/>
          <w:tab w:val="left" w:pos="1559"/>
        </w:tabs>
        <w:overflowPunct w:val="0"/>
        <w:adjustRightInd w:val="0"/>
        <w:spacing w:line="240" w:lineRule="atLeast"/>
        <w:ind w:left="1559" w:hanging="992"/>
        <w:textAlignment w:val="baseline"/>
        <w:rPr>
          <w:rFonts w:ascii="Times New Roman" w:hAnsi="Times New Roman" w:cs="Times New Roman"/>
          <w:szCs w:val="20"/>
          <w:lang w:val="ru-RU"/>
        </w:rPr>
      </w:pPr>
      <m:oMath>
        <m:r>
          <w:rPr>
            <w:rFonts w:ascii="Cambria Math" w:hAnsi="Cambria Math" w:cs="Times New Roman"/>
            <w:szCs w:val="20"/>
          </w:rPr>
          <m:t>r</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процент на намаляване на масата на специалната котва </w:t>
      </w:r>
      <m:oMath>
        <m:r>
          <w:rPr>
            <w:rFonts w:ascii="Cambria Math" w:hAnsi="Cambria Math" w:cs="Times New Roman"/>
            <w:szCs w:val="20"/>
          </w:rPr>
          <m:t>B</m:t>
        </m:r>
      </m:oMath>
      <w:r w:rsidRPr="004224F6">
        <w:rPr>
          <w:rFonts w:ascii="Times New Roman" w:hAnsi="Times New Roman" w:cs="Times New Roman"/>
          <w:lang w:val="ru-RU"/>
        </w:rPr>
        <w:t xml:space="preserve"> спрямо еталонната котва </w:t>
      </w:r>
      <m:oMath>
        <m:r>
          <w:rPr>
            <w:rFonts w:ascii="Cambria Math" w:hAnsi="Cambria Math" w:cs="Times New Roman"/>
            <w:szCs w:val="20"/>
          </w:rPr>
          <m:t>A</m:t>
        </m:r>
      </m:oMath>
      <w:r w:rsidRPr="004224F6">
        <w:rPr>
          <w:rFonts w:ascii="Times New Roman" w:hAnsi="Times New Roman" w:cs="Times New Roman"/>
          <w:lang w:val="ru-RU"/>
        </w:rPr>
        <w:t>;</w:t>
      </w:r>
    </w:p>
    <w:p w14:paraId="2D6B1CBC" w14:textId="77777777" w:rsidR="00271FA2" w:rsidRPr="004224F6" w:rsidRDefault="00D35E51">
      <w:pPr>
        <w:tabs>
          <w:tab w:val="left" w:pos="1134"/>
          <w:tab w:val="left" w:pos="1559"/>
        </w:tabs>
        <w:overflowPunct w:val="0"/>
        <w:adjustRightInd w:val="0"/>
        <w:spacing w:line="240" w:lineRule="atLeast"/>
        <w:ind w:left="1559" w:hanging="992"/>
        <w:textAlignment w:val="baseline"/>
        <w:rPr>
          <w:rFonts w:ascii="Times New Roman" w:hAnsi="Times New Roman" w:cs="Times New Roman"/>
          <w:szCs w:val="20"/>
          <w:lang w:val="ru-RU"/>
        </w:rPr>
      </w:pPr>
      <m:oMath>
        <m:r>
          <w:rPr>
            <w:rFonts w:ascii="Cambria Math" w:hAnsi="Cambria Math" w:cs="Times New Roman"/>
            <w:szCs w:val="20"/>
          </w:rPr>
          <m:t>PA</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масата на еталонната котва </w:t>
      </w:r>
      <m:oMath>
        <m:r>
          <w:rPr>
            <w:rFonts w:ascii="Cambria Math" w:hAnsi="Cambria Math" w:cs="Times New Roman"/>
            <w:szCs w:val="20"/>
          </w:rPr>
          <m:t>A</m:t>
        </m:r>
      </m:oMath>
      <w:r w:rsidRPr="004224F6">
        <w:rPr>
          <w:rFonts w:ascii="Times New Roman" w:hAnsi="Times New Roman" w:cs="Times New Roman"/>
          <w:lang w:val="ru-RU"/>
        </w:rPr>
        <w:t>;</w:t>
      </w:r>
    </w:p>
    <w:p w14:paraId="013A2301" w14:textId="77777777" w:rsidR="00271FA2" w:rsidRPr="004224F6" w:rsidRDefault="00D35E51">
      <w:pPr>
        <w:tabs>
          <w:tab w:val="left" w:pos="1134"/>
          <w:tab w:val="left" w:pos="1559"/>
        </w:tabs>
        <w:overflowPunct w:val="0"/>
        <w:adjustRightInd w:val="0"/>
        <w:spacing w:line="240" w:lineRule="atLeast"/>
        <w:ind w:left="1559" w:hanging="992"/>
        <w:textAlignment w:val="baseline"/>
        <w:rPr>
          <w:rFonts w:ascii="Times New Roman" w:hAnsi="Times New Roman" w:cs="Times New Roman"/>
          <w:szCs w:val="20"/>
          <w:lang w:val="ru-RU"/>
        </w:rPr>
      </w:pPr>
      <m:oMath>
        <m:r>
          <w:rPr>
            <w:rFonts w:ascii="Cambria Math" w:hAnsi="Cambria Math" w:cs="Times New Roman"/>
            <w:szCs w:val="20"/>
          </w:rPr>
          <m:t>PB</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масата на специалната котва </w:t>
      </w:r>
      <m:oMath>
        <m:r>
          <w:rPr>
            <w:rFonts w:ascii="Cambria Math" w:hAnsi="Cambria Math" w:cs="Times New Roman"/>
            <w:szCs w:val="20"/>
          </w:rPr>
          <m:t>B</m:t>
        </m:r>
      </m:oMath>
      <w:r w:rsidRPr="004224F6">
        <w:rPr>
          <w:rFonts w:ascii="Times New Roman" w:hAnsi="Times New Roman" w:cs="Times New Roman"/>
          <w:lang w:val="ru-RU"/>
        </w:rPr>
        <w:t>;</w:t>
      </w:r>
    </w:p>
    <w:p w14:paraId="2E5D9483" w14:textId="77777777" w:rsidR="00271FA2" w:rsidRPr="004224F6" w:rsidRDefault="00D35E51">
      <w:pPr>
        <w:tabs>
          <w:tab w:val="left" w:pos="1134"/>
          <w:tab w:val="left" w:pos="1559"/>
        </w:tabs>
        <w:overflowPunct w:val="0"/>
        <w:adjustRightInd w:val="0"/>
        <w:spacing w:line="240" w:lineRule="atLeast"/>
        <w:ind w:left="1559" w:hanging="992"/>
        <w:textAlignment w:val="baseline"/>
        <w:rPr>
          <w:rFonts w:ascii="Times New Roman" w:hAnsi="Times New Roman" w:cs="Times New Roman"/>
          <w:szCs w:val="20"/>
          <w:lang w:val="ru-RU"/>
        </w:rPr>
      </w:pPr>
      <m:oMath>
        <m:r>
          <w:rPr>
            <w:rFonts w:ascii="Cambria Math" w:hAnsi="Cambria Math" w:cs="Times New Roman"/>
            <w:szCs w:val="20"/>
          </w:rPr>
          <m:t>FA</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задържаща сила на еталонната котва </w:t>
      </w:r>
      <m:oMath>
        <m:r>
          <w:rPr>
            <w:rFonts w:ascii="Cambria Math" w:hAnsi="Cambria Math" w:cs="Times New Roman"/>
            <w:szCs w:val="20"/>
          </w:rPr>
          <m:t>A</m:t>
        </m:r>
      </m:oMath>
      <w:r w:rsidRPr="004224F6">
        <w:rPr>
          <w:rFonts w:ascii="Times New Roman" w:hAnsi="Times New Roman" w:cs="Times New Roman"/>
          <w:lang w:val="ru-RU"/>
        </w:rPr>
        <w:t xml:space="preserve"> при </w:t>
      </w:r>
      <m:oMath>
        <m:r>
          <w:rPr>
            <w:rFonts w:ascii="Cambria Math" w:hAnsi="Cambria Math" w:cs="Times New Roman"/>
            <w:szCs w:val="20"/>
          </w:rPr>
          <m:t>v</m:t>
        </m:r>
      </m:oMath>
      <w:r w:rsidRPr="004224F6">
        <w:rPr>
          <w:rFonts w:ascii="Times New Roman" w:hAnsi="Times New Roman" w:cs="Times New Roman"/>
          <w:lang w:val="ru-RU"/>
        </w:rPr>
        <w:t xml:space="preserve"> = 0,5</w:t>
      </w:r>
      <w:r w:rsidRPr="004224F6">
        <w:rPr>
          <w:rFonts w:ascii="Times New Roman" w:hAnsi="Times New Roman" w:cs="Times New Roman"/>
        </w:rPr>
        <w:t> 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w:t>
      </w:r>
    </w:p>
    <w:p w14:paraId="57173371" w14:textId="77777777" w:rsidR="00271FA2" w:rsidRPr="004224F6" w:rsidRDefault="00D35E51">
      <w:pPr>
        <w:tabs>
          <w:tab w:val="left" w:pos="1134"/>
          <w:tab w:val="left" w:pos="1559"/>
        </w:tabs>
        <w:overflowPunct w:val="0"/>
        <w:adjustRightInd w:val="0"/>
        <w:spacing w:line="240" w:lineRule="atLeast"/>
        <w:ind w:left="1559" w:hanging="992"/>
        <w:textAlignment w:val="baseline"/>
        <w:rPr>
          <w:rFonts w:ascii="Times New Roman" w:hAnsi="Times New Roman" w:cs="Times New Roman"/>
          <w:szCs w:val="20"/>
          <w:lang w:val="ru-RU"/>
        </w:rPr>
      </w:pPr>
      <m:oMath>
        <m:r>
          <w:rPr>
            <w:rFonts w:ascii="Cambria Math" w:hAnsi="Cambria Math" w:cs="Times New Roman"/>
            <w:szCs w:val="20"/>
          </w:rPr>
          <m:t>FB</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задържаща сила на специалната котва </w:t>
      </w:r>
      <m:oMath>
        <m:r>
          <w:rPr>
            <w:rFonts w:ascii="Cambria Math" w:hAnsi="Cambria Math" w:cs="Times New Roman"/>
            <w:szCs w:val="20"/>
          </w:rPr>
          <m:t>B</m:t>
        </m:r>
      </m:oMath>
      <w:r w:rsidRPr="004224F6">
        <w:rPr>
          <w:rFonts w:ascii="Times New Roman" w:hAnsi="Times New Roman" w:cs="Times New Roman"/>
          <w:lang w:val="ru-RU"/>
        </w:rPr>
        <w:t xml:space="preserve"> при </w:t>
      </w:r>
      <m:oMath>
        <m:r>
          <w:rPr>
            <w:rFonts w:ascii="Cambria Math" w:hAnsi="Cambria Math" w:cs="Times New Roman"/>
            <w:szCs w:val="20"/>
          </w:rPr>
          <m:t>v</m:t>
        </m:r>
      </m:oMath>
      <w:r w:rsidRPr="004224F6">
        <w:rPr>
          <w:rFonts w:ascii="Times New Roman" w:hAnsi="Times New Roman" w:cs="Times New Roman"/>
          <w:lang w:val="ru-RU"/>
        </w:rPr>
        <w:t xml:space="preserve"> = 0,5</w:t>
      </w:r>
      <w:r w:rsidRPr="004224F6">
        <w:rPr>
          <w:rFonts w:ascii="Times New Roman" w:hAnsi="Times New Roman" w:cs="Times New Roman"/>
        </w:rPr>
        <w:t> 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w:t>
      </w:r>
    </w:p>
    <w:p w14:paraId="301D50D4" w14:textId="77777777" w:rsidR="00271FA2" w:rsidRPr="004224F6" w:rsidRDefault="00D35E51">
      <w:pPr>
        <w:tabs>
          <w:tab w:val="left" w:pos="1134"/>
          <w:tab w:val="left" w:pos="1559"/>
        </w:tabs>
        <w:overflowPunct w:val="0"/>
        <w:adjustRightInd w:val="0"/>
        <w:spacing w:line="240" w:lineRule="atLeast"/>
        <w:ind w:left="1559" w:hanging="992"/>
        <w:textAlignment w:val="baseline"/>
        <w:rPr>
          <w:rFonts w:ascii="Times New Roman" w:hAnsi="Times New Roman" w:cs="Times New Roman"/>
          <w:szCs w:val="20"/>
          <w:lang w:val="ru-RU"/>
        </w:rPr>
      </w:pPr>
      <m:oMath>
        <m:r>
          <w:rPr>
            <w:rFonts w:ascii="Cambria Math" w:hAnsi="Cambria Math" w:cs="Times New Roman"/>
            <w:szCs w:val="20"/>
          </w:rPr>
          <m:t>AA</m:t>
        </m:r>
      </m:oMath>
      <w:r w:rsidRPr="004224F6">
        <w:rPr>
          <w:rFonts w:ascii="Times New Roman" w:hAnsi="Times New Roman" w:cs="Times New Roman"/>
          <w:lang w:val="ru-RU"/>
        </w:rPr>
        <w:tab/>
        <w:t>=</w:t>
      </w:r>
      <w:r w:rsidRPr="004224F6">
        <w:rPr>
          <w:rFonts w:ascii="Times New Roman" w:hAnsi="Times New Roman" w:cs="Times New Roman"/>
          <w:lang w:val="ru-RU"/>
        </w:rPr>
        <w:tab/>
        <w:t>площта върху диаграмата на спирачната сила, ограничена от</w:t>
      </w:r>
    </w:p>
    <w:p w14:paraId="6FB29DD8" w14:textId="77777777" w:rsidR="00271FA2" w:rsidRPr="004224F6" w:rsidRDefault="00D35E51">
      <w:pPr>
        <w:tabs>
          <w:tab w:val="left" w:pos="1985"/>
        </w:tabs>
        <w:overflowPunct w:val="0"/>
        <w:adjustRightInd w:val="0"/>
        <w:spacing w:line="240" w:lineRule="atLeast"/>
        <w:ind w:left="1984"/>
        <w:textAlignment w:val="baseline"/>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линията, успоредна на оста </w:t>
      </w:r>
      <w:r w:rsidRPr="004224F6">
        <w:rPr>
          <w:rFonts w:ascii="Times New Roman" w:hAnsi="Times New Roman" w:cs="Times New Roman"/>
        </w:rPr>
        <w:t>y</w:t>
      </w:r>
      <w:r w:rsidRPr="004224F6">
        <w:rPr>
          <w:rFonts w:ascii="Times New Roman" w:hAnsi="Times New Roman" w:cs="Times New Roman"/>
          <w:lang w:val="ru-RU"/>
        </w:rPr>
        <w:t xml:space="preserve"> при </w:t>
      </w:r>
      <m:oMath>
        <m:r>
          <w:rPr>
            <w:rFonts w:ascii="Cambria Math" w:hAnsi="Cambria Math" w:cs="Times New Roman"/>
            <w:szCs w:val="20"/>
          </w:rPr>
          <m:t>v</m:t>
        </m:r>
      </m:oMath>
      <w:r w:rsidRPr="004224F6">
        <w:rPr>
          <w:rFonts w:ascii="Times New Roman" w:hAnsi="Times New Roman" w:cs="Times New Roman"/>
          <w:lang w:val="ru-RU"/>
        </w:rPr>
        <w:t xml:space="preserve"> = 0;</w:t>
      </w:r>
    </w:p>
    <w:p w14:paraId="325E5697" w14:textId="77777777" w:rsidR="00271FA2" w:rsidRPr="004224F6" w:rsidRDefault="00D35E51">
      <w:pPr>
        <w:tabs>
          <w:tab w:val="left" w:pos="1985"/>
        </w:tabs>
        <w:overflowPunct w:val="0"/>
        <w:adjustRightInd w:val="0"/>
        <w:spacing w:line="240" w:lineRule="atLeast"/>
        <w:ind w:left="1984"/>
        <w:textAlignment w:val="baseline"/>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линията, успоредна на оста </w:t>
      </w:r>
      <w:r w:rsidRPr="004224F6">
        <w:rPr>
          <w:rFonts w:ascii="Times New Roman" w:hAnsi="Times New Roman" w:cs="Times New Roman"/>
        </w:rPr>
        <w:t>y</w:t>
      </w:r>
      <w:r w:rsidRPr="004224F6">
        <w:rPr>
          <w:rFonts w:ascii="Times New Roman" w:hAnsi="Times New Roman" w:cs="Times New Roman"/>
          <w:lang w:val="ru-RU"/>
        </w:rPr>
        <w:t xml:space="preserve"> при </w:t>
      </w:r>
      <m:oMath>
        <m:r>
          <w:rPr>
            <w:rFonts w:ascii="Cambria Math" w:hAnsi="Cambria Math" w:cs="Times New Roman"/>
            <w:szCs w:val="20"/>
          </w:rPr>
          <m:t>v</m:t>
        </m:r>
      </m:oMath>
      <w:r w:rsidRPr="004224F6">
        <w:rPr>
          <w:rFonts w:ascii="Times New Roman" w:hAnsi="Times New Roman" w:cs="Times New Roman"/>
          <w:lang w:val="ru-RU"/>
        </w:rPr>
        <w:t xml:space="preserve"> = 5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w:t>
      </w:r>
    </w:p>
    <w:p w14:paraId="682CA0B7" w14:textId="77777777" w:rsidR="00271FA2" w:rsidRPr="004224F6" w:rsidRDefault="00D35E51">
      <w:pPr>
        <w:tabs>
          <w:tab w:val="left" w:pos="1985"/>
        </w:tabs>
        <w:overflowPunct w:val="0"/>
        <w:adjustRightInd w:val="0"/>
        <w:spacing w:line="240" w:lineRule="atLeast"/>
        <w:ind w:left="1984"/>
        <w:textAlignment w:val="baseline"/>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линията, успоредна на оста </w:t>
      </w:r>
      <w:r w:rsidRPr="004224F6">
        <w:rPr>
          <w:rFonts w:ascii="Times New Roman" w:hAnsi="Times New Roman" w:cs="Times New Roman"/>
        </w:rPr>
        <w:t>x</w:t>
      </w:r>
      <w:r w:rsidRPr="004224F6">
        <w:rPr>
          <w:rFonts w:ascii="Times New Roman" w:hAnsi="Times New Roman" w:cs="Times New Roman"/>
          <w:lang w:val="ru-RU"/>
        </w:rPr>
        <w:t xml:space="preserve"> при задържаща сила </w:t>
      </w:r>
      <m:oMath>
        <m:r>
          <w:rPr>
            <w:rFonts w:ascii="Cambria Math" w:hAnsi="Cambria Math" w:cs="Times New Roman"/>
            <w:szCs w:val="20"/>
          </w:rPr>
          <m:t>F</m:t>
        </m:r>
      </m:oMath>
      <w:r w:rsidRPr="004224F6">
        <w:rPr>
          <w:rFonts w:ascii="Times New Roman" w:hAnsi="Times New Roman" w:cs="Times New Roman"/>
          <w:lang w:val="ru-RU"/>
        </w:rPr>
        <w:t xml:space="preserve"> = 0;</w:t>
      </w:r>
    </w:p>
    <w:p w14:paraId="131E7FB9" w14:textId="77777777" w:rsidR="00271FA2" w:rsidRPr="004224F6" w:rsidRDefault="00D35E51">
      <w:pPr>
        <w:tabs>
          <w:tab w:val="left" w:pos="1985"/>
        </w:tabs>
        <w:overflowPunct w:val="0"/>
        <w:adjustRightInd w:val="0"/>
        <w:spacing w:line="240" w:lineRule="atLeast"/>
        <w:ind w:left="1984"/>
        <w:textAlignment w:val="baseline"/>
        <w:rPr>
          <w:rFonts w:ascii="Times New Roman" w:hAnsi="Times New Roman" w:cs="Times New Roman"/>
          <w:szCs w:val="20"/>
          <w:lang w:val="ru-RU"/>
        </w:rPr>
      </w:pPr>
      <w:r w:rsidRPr="004224F6">
        <w:rPr>
          <w:rFonts w:ascii="Times New Roman" w:hAnsi="Times New Roman" w:cs="Times New Roman"/>
          <w:lang w:val="ru-RU"/>
        </w:rPr>
        <w:t>-</w:t>
      </w:r>
      <w:r w:rsidRPr="004224F6">
        <w:rPr>
          <w:rFonts w:ascii="Times New Roman" w:hAnsi="Times New Roman" w:cs="Times New Roman"/>
          <w:lang w:val="ru-RU"/>
        </w:rPr>
        <w:tab/>
        <w:t xml:space="preserve">кривата на спирачната сила за еталонната котва </w:t>
      </w:r>
      <m:oMath>
        <m:r>
          <w:rPr>
            <w:rFonts w:ascii="Cambria Math" w:hAnsi="Cambria Math" w:cs="Times New Roman"/>
            <w:szCs w:val="20"/>
          </w:rPr>
          <m:t>A</m:t>
        </m:r>
      </m:oMath>
      <w:r w:rsidRPr="004224F6">
        <w:rPr>
          <w:rFonts w:ascii="Times New Roman" w:hAnsi="Times New Roman" w:cs="Times New Roman"/>
          <w:lang w:val="ru-RU"/>
        </w:rPr>
        <w:t>.</w:t>
      </w:r>
    </w:p>
    <w:p w14:paraId="14169D9F" w14:textId="77777777" w:rsidR="00271FA2" w:rsidRPr="004224F6" w:rsidRDefault="00D35E51" w:rsidP="00D816F5">
      <w:pPr>
        <w:tabs>
          <w:tab w:val="left" w:pos="1134"/>
          <w:tab w:val="left" w:pos="1559"/>
        </w:tabs>
        <w:overflowPunct w:val="0"/>
        <w:adjustRightInd w:val="0"/>
        <w:spacing w:after="240" w:line="240" w:lineRule="atLeast"/>
        <w:ind w:left="1559" w:hanging="992"/>
        <w:jc w:val="both"/>
        <w:textAlignment w:val="baseline"/>
        <w:rPr>
          <w:rFonts w:ascii="Times New Roman" w:hAnsi="Times New Roman" w:cs="Times New Roman"/>
          <w:szCs w:val="20"/>
          <w:lang w:val="ru-RU"/>
        </w:rPr>
      </w:pPr>
      <m:oMath>
        <m:r>
          <w:rPr>
            <w:rFonts w:ascii="Cambria Math" w:hAnsi="Cambria Math" w:cs="Times New Roman"/>
            <w:szCs w:val="20"/>
          </w:rPr>
          <m:t>AB</m:t>
        </m:r>
      </m:oMath>
      <w:r w:rsidRPr="004224F6">
        <w:rPr>
          <w:rFonts w:ascii="Times New Roman" w:hAnsi="Times New Roman" w:cs="Times New Roman"/>
          <w:lang w:val="ru-RU"/>
        </w:rPr>
        <w:tab/>
        <w:t>=</w:t>
      </w:r>
      <w:r w:rsidRPr="004224F6">
        <w:rPr>
          <w:rFonts w:ascii="Times New Roman" w:hAnsi="Times New Roman" w:cs="Times New Roman"/>
          <w:lang w:val="ru-RU"/>
        </w:rPr>
        <w:tab/>
        <w:t xml:space="preserve">същото определение както за </w:t>
      </w:r>
      <m:oMath>
        <m:r>
          <w:rPr>
            <w:rFonts w:ascii="Cambria Math" w:hAnsi="Cambria Math" w:cs="Times New Roman"/>
            <w:szCs w:val="20"/>
          </w:rPr>
          <m:t>AA</m:t>
        </m:r>
      </m:oMath>
      <w:r w:rsidRPr="004224F6">
        <w:rPr>
          <w:rFonts w:ascii="Times New Roman" w:hAnsi="Times New Roman" w:cs="Times New Roman"/>
          <w:lang w:val="ru-RU"/>
        </w:rPr>
        <w:t xml:space="preserve">, с изключение на това, че се използва кривата на спирачната сила за специалната котва </w:t>
      </w:r>
      <m:oMath>
        <m:r>
          <w:rPr>
            <w:rFonts w:ascii="Cambria Math" w:hAnsi="Cambria Math" w:cs="Times New Roman"/>
            <w:szCs w:val="20"/>
          </w:rPr>
          <m:t>B</m:t>
        </m:r>
      </m:oMath>
      <w:r w:rsidRPr="004224F6">
        <w:rPr>
          <w:rFonts w:ascii="Times New Roman" w:hAnsi="Times New Roman" w:cs="Times New Roman"/>
          <w:lang w:val="ru-RU"/>
        </w:rPr>
        <w:t>.</w:t>
      </w:r>
    </w:p>
    <w:p w14:paraId="42A9A631" w14:textId="77777777" w:rsidR="00271FA2" w:rsidRPr="004224F6" w:rsidRDefault="00D35E51">
      <w:pPr>
        <w:tabs>
          <w:tab w:val="left" w:pos="284"/>
        </w:tabs>
        <w:overflowPunct w:val="0"/>
        <w:adjustRightInd w:val="0"/>
        <w:spacing w:line="240" w:lineRule="atLeast"/>
        <w:jc w:val="center"/>
        <w:textAlignment w:val="baseline"/>
        <w:rPr>
          <w:rFonts w:ascii="Times New Roman" w:hAnsi="Times New Roman" w:cs="Times New Roman"/>
          <w:b/>
          <w:szCs w:val="20"/>
          <w:lang w:val="ru-RU"/>
        </w:rPr>
      </w:pPr>
      <w:r w:rsidRPr="004224F6">
        <w:rPr>
          <w:rFonts w:ascii="Times New Roman" w:hAnsi="Times New Roman" w:cs="Times New Roman"/>
          <w:b/>
          <w:lang w:val="ru-RU"/>
        </w:rPr>
        <w:t>Образец диаграма на спирачната сила</w:t>
      </w:r>
    </w:p>
    <w:p w14:paraId="01597FF2" w14:textId="77777777" w:rsidR="00271FA2" w:rsidRPr="004224F6" w:rsidRDefault="00D35E51">
      <w:pPr>
        <w:tabs>
          <w:tab w:val="left" w:pos="284"/>
        </w:tabs>
        <w:overflowPunct w:val="0"/>
        <w:adjustRightInd w:val="0"/>
        <w:spacing w:line="240" w:lineRule="atLeast"/>
        <w:jc w:val="center"/>
        <w:textAlignment w:val="baseline"/>
        <w:rPr>
          <w:rFonts w:ascii="Times New Roman" w:hAnsi="Times New Roman" w:cs="Times New Roman"/>
          <w:szCs w:val="20"/>
          <w:lang w:val="ru-RU"/>
        </w:rPr>
      </w:pPr>
      <w:r w:rsidRPr="004224F6">
        <w:rPr>
          <w:rFonts w:ascii="Times New Roman" w:hAnsi="Times New Roman" w:cs="Times New Roman"/>
          <w:b/>
          <w:lang w:val="ru-RU"/>
        </w:rPr>
        <w:t xml:space="preserve">(Определяне на площите </w:t>
      </w:r>
      <m:oMath>
        <m:r>
          <m:rPr>
            <m:sty m:val="bi"/>
          </m:rPr>
          <w:rPr>
            <w:rFonts w:ascii="Cambria Math" w:hAnsi="Cambria Math" w:cs="Times New Roman"/>
            <w:szCs w:val="20"/>
          </w:rPr>
          <m:t>AA</m:t>
        </m:r>
      </m:oMath>
      <w:r w:rsidRPr="004224F6">
        <w:rPr>
          <w:rFonts w:ascii="Times New Roman" w:hAnsi="Times New Roman" w:cs="Times New Roman"/>
          <w:b/>
          <w:lang w:val="ru-RU"/>
        </w:rPr>
        <w:t xml:space="preserve"> и</w:t>
      </w:r>
      <m:oMath>
        <m:r>
          <m:rPr>
            <m:sty m:val="bi"/>
          </m:rPr>
          <w:rPr>
            <w:rFonts w:ascii="Cambria Math" w:hAnsi="Cambria Math" w:cs="Times New Roman"/>
            <w:szCs w:val="20"/>
            <w:lang w:val="ru-RU"/>
          </w:rPr>
          <m:t xml:space="preserve"> </m:t>
        </m:r>
        <m:r>
          <m:rPr>
            <m:sty m:val="bi"/>
          </m:rPr>
          <w:rPr>
            <w:rFonts w:ascii="Cambria Math" w:hAnsi="Cambria Math" w:cs="Times New Roman"/>
            <w:szCs w:val="20"/>
          </w:rPr>
          <m:t>AB</m:t>
        </m:r>
      </m:oMath>
      <w:r w:rsidRPr="004224F6">
        <w:rPr>
          <w:rFonts w:ascii="Times New Roman" w:hAnsi="Times New Roman" w:cs="Times New Roman"/>
          <w:b/>
          <w:lang w:val="ru-RU"/>
        </w:rPr>
        <w:t>)</w:t>
      </w:r>
      <w:r w:rsidRPr="004224F6">
        <w:rPr>
          <w:rFonts w:ascii="Times New Roman" w:hAnsi="Times New Roman" w:cs="Times New Roman"/>
          <w:noProof/>
          <w:szCs w:val="20"/>
          <w:lang w:eastAsia="bg-BG"/>
        </w:rPr>
        <w:drawing>
          <wp:anchor distT="0" distB="0" distL="114300" distR="114300" simplePos="0" relativeHeight="251689984" behindDoc="0" locked="0" layoutInCell="1" allowOverlap="1" wp14:anchorId="7B865CB0" wp14:editId="6C9EBB0E">
            <wp:simplePos x="0" y="0"/>
            <wp:positionH relativeFrom="column">
              <wp:posOffset>533400</wp:posOffset>
            </wp:positionH>
            <wp:positionV relativeFrom="paragraph">
              <wp:posOffset>213360</wp:posOffset>
            </wp:positionV>
            <wp:extent cx="5114290" cy="2333625"/>
            <wp:effectExtent l="0" t="0" r="0" b="9525"/>
            <wp:wrapTopAndBottom/>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 303"/>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a:xfrm>
                      <a:off x="0" y="0"/>
                      <a:ext cx="5114290" cy="2333625"/>
                    </a:xfrm>
                    <a:prstGeom prst="rect">
                      <a:avLst/>
                    </a:prstGeom>
                    <a:noFill/>
                    <a:ln>
                      <a:noFill/>
                    </a:ln>
                  </pic:spPr>
                </pic:pic>
              </a:graphicData>
            </a:graphic>
          </wp:anchor>
        </w:drawing>
      </w:r>
    </w:p>
    <w:p w14:paraId="618E07BB" w14:textId="77777777" w:rsidR="00271FA2" w:rsidRPr="004224F6" w:rsidRDefault="00D35E51" w:rsidP="00052BA4">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b/>
          <w:lang w:val="ru-RU"/>
        </w:rPr>
        <w:t>2.7</w:t>
      </w:r>
      <w:r w:rsidRPr="004224F6">
        <w:rPr>
          <w:rFonts w:ascii="Times New Roman" w:hAnsi="Times New Roman" w:cs="Times New Roman"/>
          <w:lang w:val="ru-RU"/>
        </w:rPr>
        <w:tab/>
        <w:t xml:space="preserve">Приемливият процент е средното аритметично на шестте стойности на </w:t>
      </w:r>
      <m:oMath>
        <m:r>
          <w:rPr>
            <w:rFonts w:ascii="Cambria Math" w:hAnsi="Cambria Math" w:cs="Times New Roman"/>
            <w:szCs w:val="20"/>
          </w:rPr>
          <m:t>r</m:t>
        </m:r>
      </m:oMath>
      <w:r w:rsidRPr="004224F6">
        <w:rPr>
          <w:rFonts w:ascii="Times New Roman" w:hAnsi="Times New Roman" w:cs="Times New Roman"/>
          <w:lang w:val="ru-RU"/>
        </w:rPr>
        <w:t>, изчислени в съответствие с точка 2.6.</w:t>
      </w:r>
      <w:r w:rsidRPr="004224F6">
        <w:rPr>
          <w:rFonts w:ascii="Times New Roman" w:hAnsi="Times New Roman" w:cs="Times New Roman"/>
          <w:szCs w:val="20"/>
          <w:lang w:val="ru-RU"/>
        </w:rPr>
        <w:t xml:space="preserve"> </w:t>
      </w:r>
    </w:p>
    <w:p w14:paraId="20CB8035" w14:textId="77777777" w:rsidR="00271FA2" w:rsidRPr="004224F6" w:rsidRDefault="00D35E51" w:rsidP="00052BA4">
      <w:pPr>
        <w:overflowPunct w:val="0"/>
        <w:adjustRightInd w:val="0"/>
        <w:spacing w:line="240" w:lineRule="atLeast"/>
        <w:ind w:left="567" w:hanging="567"/>
        <w:jc w:val="both"/>
        <w:textAlignment w:val="baseline"/>
        <w:rPr>
          <w:rFonts w:ascii="Times New Roman" w:hAnsi="Times New Roman" w:cs="Times New Roman"/>
          <w:b/>
          <w:szCs w:val="20"/>
          <w:lang w:val="ru-RU"/>
        </w:rPr>
      </w:pPr>
      <w:r w:rsidRPr="004224F6">
        <w:rPr>
          <w:rFonts w:ascii="Times New Roman" w:hAnsi="Times New Roman" w:cs="Times New Roman"/>
          <w:b/>
          <w:szCs w:val="20"/>
          <w:lang w:val="ru-RU"/>
        </w:rPr>
        <w:t>3.</w:t>
      </w:r>
      <w:r w:rsidRPr="004224F6">
        <w:rPr>
          <w:rFonts w:ascii="Times New Roman" w:hAnsi="Times New Roman" w:cs="Times New Roman"/>
          <w:b/>
          <w:szCs w:val="20"/>
          <w:lang w:val="ru-RU"/>
        </w:rPr>
        <w:tab/>
        <w:t>Глава 3 - Котви за плавателни средства за отдих</w:t>
      </w:r>
    </w:p>
    <w:p w14:paraId="3A022614" w14:textId="77777777" w:rsidR="00271FA2" w:rsidRPr="004224F6" w:rsidRDefault="00D35E51" w:rsidP="00052BA4">
      <w:pPr>
        <w:overflowPunct w:val="0"/>
        <w:adjustRightInd w:val="0"/>
        <w:spacing w:line="240" w:lineRule="atLeast"/>
        <w:ind w:left="567" w:hanging="567"/>
        <w:jc w:val="both"/>
        <w:textAlignment w:val="baseline"/>
        <w:rPr>
          <w:rFonts w:ascii="Times New Roman" w:hAnsi="Times New Roman" w:cs="Times New Roman"/>
          <w:szCs w:val="20"/>
          <w:lang w:val="ru-RU"/>
        </w:rPr>
        <w:sectPr w:rsidR="00271FA2" w:rsidRPr="004224F6" w:rsidSect="004224F6">
          <w:headerReference w:type="default" r:id="rId238"/>
          <w:footnotePr>
            <w:numRestart w:val="eachPage"/>
          </w:footnotePr>
          <w:pgSz w:w="11907" w:h="16840"/>
          <w:pgMar w:top="1134" w:right="1134" w:bottom="1134" w:left="1134" w:header="709" w:footer="709" w:gutter="0"/>
          <w:cols w:space="720"/>
          <w:docGrid w:linePitch="326"/>
        </w:sectPr>
      </w:pPr>
      <w:r w:rsidRPr="004224F6">
        <w:rPr>
          <w:rFonts w:ascii="Times New Roman" w:hAnsi="Times New Roman" w:cs="Times New Roman"/>
          <w:b/>
          <w:szCs w:val="20"/>
          <w:lang w:val="ru-RU"/>
        </w:rPr>
        <w:t>3.1</w:t>
      </w:r>
      <w:r w:rsidRPr="004224F6">
        <w:rPr>
          <w:rFonts w:ascii="Times New Roman" w:hAnsi="Times New Roman" w:cs="Times New Roman"/>
          <w:szCs w:val="20"/>
          <w:lang w:val="ru-RU"/>
        </w:rPr>
        <w:tab/>
        <w:t>За плавателни средства за отдих контролният орган може също така да разреши специални котви с намалена маса в съответствие с правилата на призната класификационна организация.</w:t>
      </w:r>
    </w:p>
    <w:p w14:paraId="7F7BA946" w14:textId="77777777" w:rsidR="00271FA2" w:rsidRPr="004224F6" w:rsidRDefault="00D35E51" w:rsidP="00D816F5">
      <w:pPr>
        <w:pStyle w:val="ES-Titre4"/>
        <w:spacing w:after="0"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lastRenderedPageBreak/>
        <w:t xml:space="preserve">Приложение 1 към Инструкция </w:t>
      </w:r>
      <w:r w:rsidRPr="004224F6">
        <w:rPr>
          <w:rFonts w:ascii="Times New Roman" w:hAnsi="Times New Roman" w:cs="Times New Roman"/>
          <w:sz w:val="24"/>
          <w:szCs w:val="24"/>
        </w:rPr>
        <w:t>ESI</w:t>
      </w:r>
      <w:r w:rsidRPr="004224F6">
        <w:rPr>
          <w:rFonts w:ascii="Times New Roman" w:hAnsi="Times New Roman" w:cs="Times New Roman"/>
          <w:sz w:val="24"/>
          <w:szCs w:val="24"/>
          <w:lang w:val="ru-RU"/>
        </w:rPr>
        <w:t>-</w:t>
      </w:r>
      <w:r w:rsidRPr="004224F6">
        <w:rPr>
          <w:rFonts w:ascii="Times New Roman" w:hAnsi="Times New Roman" w:cs="Times New Roman"/>
          <w:sz w:val="24"/>
          <w:szCs w:val="24"/>
        </w:rPr>
        <w:t>II</w:t>
      </w:r>
      <w:r w:rsidRPr="004224F6">
        <w:rPr>
          <w:rFonts w:ascii="Times New Roman" w:hAnsi="Times New Roman" w:cs="Times New Roman"/>
          <w:sz w:val="24"/>
          <w:szCs w:val="24"/>
          <w:lang w:val="ru-RU"/>
        </w:rPr>
        <w:t>-9</w:t>
      </w:r>
    </w:p>
    <w:p w14:paraId="4619E4BB" w14:textId="77777777" w:rsidR="00271FA2" w:rsidRPr="004224F6" w:rsidRDefault="00D35E51">
      <w:pPr>
        <w:pStyle w:val="ES-Titre4a"/>
        <w:spacing w:line="240" w:lineRule="atLeast"/>
        <w:rPr>
          <w:rFonts w:ascii="Times New Roman" w:hAnsi="Times New Roman" w:cs="Times New Roman"/>
          <w:sz w:val="24"/>
          <w:szCs w:val="24"/>
          <w:lang w:val="ru-RU"/>
        </w:rPr>
      </w:pPr>
      <w:r w:rsidRPr="004224F6">
        <w:rPr>
          <w:rFonts w:ascii="Times New Roman" w:hAnsi="Times New Roman" w:cs="Times New Roman"/>
          <w:sz w:val="24"/>
          <w:szCs w:val="24"/>
          <w:lang w:val="ru-RU"/>
        </w:rPr>
        <w:t>Пример за метод за изпитване на котва с тласкан състав от две части в една линия</w:t>
      </w:r>
    </w:p>
    <w:p w14:paraId="6A68AEFA" w14:textId="77777777" w:rsidR="00271FA2" w:rsidRPr="004224F6" w:rsidRDefault="00271FA2">
      <w:pPr>
        <w:tabs>
          <w:tab w:val="left" w:pos="567"/>
        </w:tabs>
        <w:overflowPunct w:val="0"/>
        <w:adjustRightInd w:val="0"/>
        <w:spacing w:line="240" w:lineRule="atLeast"/>
        <w:ind w:left="284" w:hanging="426"/>
        <w:textAlignment w:val="baseline"/>
        <w:rPr>
          <w:rFonts w:ascii="Times New Roman" w:hAnsi="Times New Roman" w:cs="Times New Roman"/>
          <w:szCs w:val="20"/>
          <w:lang w:val="ru-RU"/>
        </w:rPr>
      </w:pPr>
    </w:p>
    <w:tbl>
      <w:tblPr>
        <w:tblW w:w="0" w:type="auto"/>
        <w:jc w:val="center"/>
        <w:tblLayout w:type="fixed"/>
        <w:tblLook w:val="04A0" w:firstRow="1" w:lastRow="0" w:firstColumn="1" w:lastColumn="0" w:noHBand="0" w:noVBand="1"/>
      </w:tblPr>
      <w:tblGrid>
        <w:gridCol w:w="1240"/>
        <w:gridCol w:w="1268"/>
        <w:gridCol w:w="293"/>
        <w:gridCol w:w="945"/>
        <w:gridCol w:w="529"/>
        <w:gridCol w:w="765"/>
        <w:gridCol w:w="69"/>
        <w:gridCol w:w="752"/>
        <w:gridCol w:w="1476"/>
        <w:gridCol w:w="483"/>
        <w:gridCol w:w="998"/>
        <w:gridCol w:w="1082"/>
      </w:tblGrid>
      <w:tr w:rsidR="00271FA2" w:rsidRPr="004224F6" w14:paraId="3915CB92" w14:textId="77777777">
        <w:trPr>
          <w:jc w:val="center"/>
        </w:trPr>
        <w:tc>
          <w:tcPr>
            <w:tcW w:w="2801" w:type="dxa"/>
            <w:gridSpan w:val="3"/>
          </w:tcPr>
          <w:p w14:paraId="4D0D8CE1" w14:textId="77777777" w:rsidR="00271FA2" w:rsidRPr="004224F6" w:rsidRDefault="00D35E51">
            <w:pPr>
              <w:suppressAutoHyphens/>
              <w:snapToGrid w:val="0"/>
              <w:spacing w:line="240" w:lineRule="atLeast"/>
              <w:rPr>
                <w:rFonts w:ascii="Times New Roman" w:hAnsi="Times New Roman" w:cs="Times New Roman"/>
                <w:sz w:val="18"/>
                <w:szCs w:val="18"/>
              </w:rPr>
            </w:pPr>
            <w:r w:rsidRPr="004224F6">
              <w:rPr>
                <w:rFonts w:ascii="Times New Roman" w:hAnsi="Times New Roman" w:cs="Times New Roman"/>
                <w:sz w:val="18"/>
              </w:rPr>
              <w:t>Тласкач</w:t>
            </w:r>
          </w:p>
        </w:tc>
        <w:tc>
          <w:tcPr>
            <w:tcW w:w="1474" w:type="dxa"/>
            <w:gridSpan w:val="2"/>
          </w:tcPr>
          <w:p w14:paraId="1BE26856" w14:textId="77777777" w:rsidR="00271FA2" w:rsidRPr="004224F6" w:rsidRDefault="00D35E51">
            <w:pPr>
              <w:suppressAutoHyphens/>
              <w:snapToGrid w:val="0"/>
              <w:spacing w:line="240" w:lineRule="atLeast"/>
              <w:rPr>
                <w:rFonts w:ascii="Times New Roman" w:hAnsi="Times New Roman" w:cs="Times New Roman"/>
                <w:sz w:val="18"/>
                <w:szCs w:val="18"/>
              </w:rPr>
            </w:pPr>
            <w:r w:rsidRPr="004224F6">
              <w:rPr>
                <w:rFonts w:ascii="Times New Roman" w:hAnsi="Times New Roman" w:cs="Times New Roman"/>
                <w:sz w:val="18"/>
              </w:rPr>
              <w:t>2-ри лихтер</w:t>
            </w:r>
          </w:p>
        </w:tc>
        <w:tc>
          <w:tcPr>
            <w:tcW w:w="1586" w:type="dxa"/>
            <w:gridSpan w:val="3"/>
          </w:tcPr>
          <w:p w14:paraId="57C9617D" w14:textId="77777777" w:rsidR="00271FA2" w:rsidRPr="004224F6" w:rsidRDefault="00271FA2">
            <w:pPr>
              <w:suppressAutoHyphens/>
              <w:snapToGrid w:val="0"/>
              <w:spacing w:line="240" w:lineRule="atLeast"/>
              <w:rPr>
                <w:rFonts w:ascii="Times New Roman" w:hAnsi="Times New Roman" w:cs="Times New Roman"/>
                <w:sz w:val="18"/>
                <w:szCs w:val="18"/>
              </w:rPr>
            </w:pPr>
          </w:p>
        </w:tc>
        <w:tc>
          <w:tcPr>
            <w:tcW w:w="1476" w:type="dxa"/>
          </w:tcPr>
          <w:p w14:paraId="63ADE5BB" w14:textId="77777777" w:rsidR="00271FA2" w:rsidRPr="004224F6" w:rsidRDefault="00271FA2">
            <w:pPr>
              <w:suppressAutoHyphens/>
              <w:snapToGrid w:val="0"/>
              <w:spacing w:line="240" w:lineRule="atLeast"/>
              <w:rPr>
                <w:rFonts w:ascii="Times New Roman" w:hAnsi="Times New Roman" w:cs="Times New Roman"/>
                <w:sz w:val="18"/>
                <w:szCs w:val="18"/>
              </w:rPr>
            </w:pPr>
          </w:p>
        </w:tc>
        <w:tc>
          <w:tcPr>
            <w:tcW w:w="1481" w:type="dxa"/>
            <w:gridSpan w:val="2"/>
          </w:tcPr>
          <w:p w14:paraId="2153114D" w14:textId="77777777" w:rsidR="00271FA2" w:rsidRPr="004224F6" w:rsidRDefault="00D35E51">
            <w:pPr>
              <w:suppressAutoHyphens/>
              <w:snapToGrid w:val="0"/>
              <w:spacing w:line="240" w:lineRule="atLeast"/>
              <w:rPr>
                <w:rFonts w:ascii="Times New Roman" w:hAnsi="Times New Roman" w:cs="Times New Roman"/>
                <w:sz w:val="18"/>
                <w:szCs w:val="18"/>
              </w:rPr>
            </w:pPr>
            <w:r w:rsidRPr="004224F6">
              <w:rPr>
                <w:rFonts w:ascii="Times New Roman" w:hAnsi="Times New Roman" w:cs="Times New Roman"/>
                <w:sz w:val="18"/>
              </w:rPr>
              <w:t>1-ви лихтер</w:t>
            </w:r>
          </w:p>
        </w:tc>
        <w:tc>
          <w:tcPr>
            <w:tcW w:w="1082" w:type="dxa"/>
          </w:tcPr>
          <w:p w14:paraId="0ACB6CB3" w14:textId="77777777" w:rsidR="00271FA2" w:rsidRPr="004224F6" w:rsidRDefault="00271FA2">
            <w:pPr>
              <w:suppressAutoHyphens/>
              <w:snapToGrid w:val="0"/>
              <w:spacing w:line="240" w:lineRule="atLeast"/>
              <w:rPr>
                <w:rFonts w:ascii="Times New Roman" w:hAnsi="Times New Roman" w:cs="Times New Roman"/>
                <w:sz w:val="18"/>
                <w:szCs w:val="18"/>
              </w:rPr>
            </w:pPr>
          </w:p>
        </w:tc>
      </w:tr>
      <w:tr w:rsidR="00271FA2" w:rsidRPr="004224F6" w14:paraId="7B0A8DED" w14:textId="77777777">
        <w:trPr>
          <w:jc w:val="center"/>
        </w:trPr>
        <w:tc>
          <w:tcPr>
            <w:tcW w:w="9900" w:type="dxa"/>
            <w:gridSpan w:val="12"/>
          </w:tcPr>
          <w:p w14:paraId="142F70E4" w14:textId="77777777" w:rsidR="00271FA2" w:rsidRPr="004224F6" w:rsidRDefault="00D35E51">
            <w:pPr>
              <w:suppressAutoHyphens/>
              <w:snapToGrid w:val="0"/>
              <w:spacing w:line="240" w:lineRule="atLeast"/>
              <w:rPr>
                <w:rFonts w:ascii="Times New Roman" w:hAnsi="Times New Roman" w:cs="Times New Roman"/>
                <w:sz w:val="2"/>
                <w:szCs w:val="2"/>
              </w:rPr>
            </w:pPr>
            <w:r w:rsidRPr="004224F6">
              <w:rPr>
                <w:rFonts w:ascii="Times New Roman" w:hAnsi="Times New Roman" w:cs="Times New Roman"/>
                <w:noProof/>
                <w:lang w:eastAsia="bg-BG"/>
              </w:rPr>
              <w:drawing>
                <wp:anchor distT="0" distB="0" distL="114935" distR="114935" simplePos="0" relativeHeight="251684864" behindDoc="0" locked="0" layoutInCell="1" allowOverlap="1" wp14:anchorId="207AF050" wp14:editId="2761FA04">
                  <wp:simplePos x="0" y="0"/>
                  <wp:positionH relativeFrom="column">
                    <wp:posOffset>-70485</wp:posOffset>
                  </wp:positionH>
                  <wp:positionV relativeFrom="paragraph">
                    <wp:posOffset>-1298575</wp:posOffset>
                  </wp:positionV>
                  <wp:extent cx="6282690" cy="1290320"/>
                  <wp:effectExtent l="0" t="0" r="3810" b="5080"/>
                  <wp:wrapTopAndBottom/>
                  <wp:docPr id="304" name="Imag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 304"/>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a:xfrm>
                            <a:off x="0" y="0"/>
                            <a:ext cx="6282690" cy="1290320"/>
                          </a:xfrm>
                          <a:prstGeom prst="rect">
                            <a:avLst/>
                          </a:prstGeom>
                          <a:solidFill>
                            <a:srgbClr val="FFFFFF"/>
                          </a:solidFill>
                          <a:ln>
                            <a:noFill/>
                          </a:ln>
                        </pic:spPr>
                      </pic:pic>
                    </a:graphicData>
                  </a:graphic>
                </wp:anchor>
              </w:drawing>
            </w:r>
          </w:p>
        </w:tc>
      </w:tr>
      <w:tr w:rsidR="00271FA2" w:rsidRPr="004224F6" w14:paraId="29CFCE19" w14:textId="77777777">
        <w:trPr>
          <w:jc w:val="center"/>
        </w:trPr>
        <w:tc>
          <w:tcPr>
            <w:tcW w:w="1240" w:type="dxa"/>
          </w:tcPr>
          <w:p w14:paraId="5EF3B8A7"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Котва</w:t>
            </w:r>
          </w:p>
        </w:tc>
        <w:tc>
          <w:tcPr>
            <w:tcW w:w="1268" w:type="dxa"/>
          </w:tcPr>
          <w:p w14:paraId="46FFCCBD"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Кран</w:t>
            </w:r>
          </w:p>
        </w:tc>
        <w:tc>
          <w:tcPr>
            <w:tcW w:w="1238" w:type="dxa"/>
            <w:gridSpan w:val="2"/>
          </w:tcPr>
          <w:p w14:paraId="5E5E41FB"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Корабно въже</w:t>
            </w:r>
          </w:p>
        </w:tc>
        <w:tc>
          <w:tcPr>
            <w:tcW w:w="1363" w:type="dxa"/>
            <w:gridSpan w:val="3"/>
          </w:tcPr>
          <w:p w14:paraId="6116136C"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Теглещо въже</w:t>
            </w:r>
          </w:p>
        </w:tc>
        <w:tc>
          <w:tcPr>
            <w:tcW w:w="2711" w:type="dxa"/>
            <w:gridSpan w:val="3"/>
          </w:tcPr>
          <w:p w14:paraId="26F3FCE3" w14:textId="77777777" w:rsidR="00271FA2" w:rsidRPr="004224F6" w:rsidRDefault="00D35E51">
            <w:pPr>
              <w:suppressAutoHyphens/>
              <w:snapToGrid w:val="0"/>
              <w:spacing w:line="240" w:lineRule="atLeast"/>
              <w:jc w:val="center"/>
              <w:rPr>
                <w:rFonts w:ascii="Times New Roman" w:hAnsi="Times New Roman" w:cs="Times New Roman"/>
                <w:sz w:val="18"/>
                <w:szCs w:val="18"/>
                <w:lang w:val="ru-RU"/>
              </w:rPr>
            </w:pPr>
            <w:r w:rsidRPr="004224F6">
              <w:rPr>
                <w:rFonts w:ascii="Times New Roman" w:hAnsi="Times New Roman" w:cs="Times New Roman"/>
                <w:sz w:val="18"/>
                <w:lang w:val="ru-RU"/>
              </w:rPr>
              <w:t>Динамометър за измерване силата на опън</w:t>
            </w:r>
          </w:p>
        </w:tc>
        <w:tc>
          <w:tcPr>
            <w:tcW w:w="2080" w:type="dxa"/>
            <w:gridSpan w:val="2"/>
          </w:tcPr>
          <w:p w14:paraId="79396475"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закрепване</w:t>
            </w:r>
          </w:p>
        </w:tc>
      </w:tr>
      <w:tr w:rsidR="00271FA2" w:rsidRPr="004224F6" w14:paraId="17A86B40" w14:textId="77777777">
        <w:trPr>
          <w:jc w:val="center"/>
        </w:trPr>
        <w:tc>
          <w:tcPr>
            <w:tcW w:w="1240" w:type="dxa"/>
          </w:tcPr>
          <w:p w14:paraId="242256A5"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500 kg</w:t>
            </w:r>
          </w:p>
        </w:tc>
        <w:tc>
          <w:tcPr>
            <w:tcW w:w="1268" w:type="dxa"/>
          </w:tcPr>
          <w:p w14:paraId="5462CF4F"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750 kg</w:t>
            </w:r>
          </w:p>
        </w:tc>
        <w:tc>
          <w:tcPr>
            <w:tcW w:w="1238" w:type="dxa"/>
            <w:gridSpan w:val="2"/>
          </w:tcPr>
          <w:p w14:paraId="6DB7DB98"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 xml:space="preserve">12 mm </w:t>
            </w:r>
          </w:p>
        </w:tc>
        <w:tc>
          <w:tcPr>
            <w:tcW w:w="1363" w:type="dxa"/>
            <w:gridSpan w:val="3"/>
          </w:tcPr>
          <w:p w14:paraId="41704483"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 xml:space="preserve">24 mm </w:t>
            </w:r>
          </w:p>
        </w:tc>
        <w:tc>
          <w:tcPr>
            <w:tcW w:w="2711" w:type="dxa"/>
            <w:gridSpan w:val="3"/>
          </w:tcPr>
          <w:p w14:paraId="0B013DD2"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20 t</w:t>
            </w:r>
          </w:p>
        </w:tc>
        <w:tc>
          <w:tcPr>
            <w:tcW w:w="2080" w:type="dxa"/>
            <w:gridSpan w:val="2"/>
          </w:tcPr>
          <w:p w14:paraId="49AD47CD" w14:textId="77777777" w:rsidR="00271FA2" w:rsidRPr="004224F6" w:rsidRDefault="00D35E51">
            <w:pPr>
              <w:suppressAutoHyphens/>
              <w:snapToGrid w:val="0"/>
              <w:spacing w:line="240" w:lineRule="atLeast"/>
              <w:jc w:val="center"/>
              <w:rPr>
                <w:rFonts w:ascii="Times New Roman" w:hAnsi="Times New Roman" w:cs="Times New Roman"/>
                <w:sz w:val="18"/>
                <w:szCs w:val="18"/>
              </w:rPr>
            </w:pPr>
            <w:r w:rsidRPr="004224F6">
              <w:rPr>
                <w:rFonts w:ascii="Times New Roman" w:hAnsi="Times New Roman" w:cs="Times New Roman"/>
                <w:sz w:val="18"/>
              </w:rPr>
              <w:t>пясък/чакъл</w:t>
            </w:r>
          </w:p>
        </w:tc>
      </w:tr>
      <w:tr w:rsidR="00271FA2" w:rsidRPr="004224F6" w14:paraId="63BFD3E0" w14:textId="77777777">
        <w:trPr>
          <w:jc w:val="center"/>
        </w:trPr>
        <w:tc>
          <w:tcPr>
            <w:tcW w:w="5040" w:type="dxa"/>
            <w:gridSpan w:val="6"/>
          </w:tcPr>
          <w:p w14:paraId="33273FAE" w14:textId="77777777" w:rsidR="00271FA2" w:rsidRPr="004224F6" w:rsidRDefault="00654366">
            <w:pPr>
              <w:suppressAutoHyphens/>
              <w:snapToGrid w:val="0"/>
              <w:spacing w:line="240" w:lineRule="atLeast"/>
              <w:jc w:val="center"/>
              <w:rPr>
                <w:rFonts w:ascii="Times New Roman" w:hAnsi="Times New Roman" w:cs="Times New Roman"/>
                <w:sz w:val="18"/>
                <w:szCs w:val="18"/>
                <w:lang w:val="ru-RU"/>
              </w:rPr>
            </w:pPr>
            <w:r w:rsidRPr="004224F6">
              <w:rPr>
                <w:rFonts w:ascii="Times New Roman" w:hAnsi="Times New Roman" w:cs="Times New Roman"/>
                <w:sz w:val="18"/>
                <w:lang w:val="ru-RU"/>
              </w:rPr>
              <w:t>Скорост на влачене: 0</w:t>
            </w:r>
            <w:r w:rsidR="00D35E51" w:rsidRPr="004224F6">
              <w:rPr>
                <w:rFonts w:ascii="Times New Roman" w:hAnsi="Times New Roman" w:cs="Times New Roman"/>
                <w:sz w:val="18"/>
                <w:szCs w:val="18"/>
                <w:lang w:val="ru-RU"/>
              </w:rPr>
              <w:t xml:space="preserve"> </w:t>
            </w:r>
            <w:r w:rsidR="00D35E51" w:rsidRPr="004224F6">
              <w:rPr>
                <w:rFonts w:ascii="Times New Roman" w:hAnsi="Times New Roman" w:cs="Times New Roman"/>
                <w:sz w:val="18"/>
                <w:lang w:val="ru-RU"/>
              </w:rPr>
              <w:t xml:space="preserve">5 </w:t>
            </w:r>
            <w:r w:rsidR="00D35E51" w:rsidRPr="004224F6">
              <w:rPr>
                <w:rFonts w:ascii="Times New Roman" w:hAnsi="Times New Roman" w:cs="Times New Roman"/>
                <w:sz w:val="18"/>
              </w:rPr>
              <w:t>km</w:t>
            </w:r>
            <w:r w:rsidR="00D35E51" w:rsidRPr="004224F6">
              <w:rPr>
                <w:rFonts w:ascii="Times New Roman" w:hAnsi="Times New Roman" w:cs="Times New Roman"/>
                <w:sz w:val="18"/>
                <w:lang w:val="ru-RU"/>
              </w:rPr>
              <w:t>/</w:t>
            </w:r>
            <w:r w:rsidR="00D35E51" w:rsidRPr="004224F6">
              <w:rPr>
                <w:rFonts w:ascii="Times New Roman" w:hAnsi="Times New Roman" w:cs="Times New Roman"/>
                <w:sz w:val="18"/>
              </w:rPr>
              <w:t>h</w:t>
            </w:r>
          </w:p>
        </w:tc>
        <w:tc>
          <w:tcPr>
            <w:tcW w:w="4860" w:type="dxa"/>
            <w:gridSpan w:val="6"/>
          </w:tcPr>
          <w:p w14:paraId="03C2D05B" w14:textId="77777777" w:rsidR="00271FA2" w:rsidRPr="004224F6" w:rsidRDefault="00D35E51">
            <w:pPr>
              <w:suppressAutoHyphens/>
              <w:snapToGrid w:val="0"/>
              <w:spacing w:line="240" w:lineRule="atLeast"/>
              <w:jc w:val="center"/>
              <w:rPr>
                <w:rFonts w:ascii="Times New Roman" w:hAnsi="Times New Roman" w:cs="Times New Roman"/>
                <w:sz w:val="18"/>
                <w:szCs w:val="18"/>
                <w:lang w:val="ru-RU"/>
              </w:rPr>
            </w:pPr>
            <w:r w:rsidRPr="004224F6">
              <w:rPr>
                <w:rFonts w:ascii="Times New Roman" w:hAnsi="Times New Roman" w:cs="Times New Roman"/>
                <w:sz w:val="18"/>
                <w:lang w:val="ru-RU"/>
              </w:rPr>
              <w:t>Ъгъл на наклона на теглещото въже 1:10</w:t>
            </w:r>
          </w:p>
        </w:tc>
      </w:tr>
    </w:tbl>
    <w:p w14:paraId="513027A5" w14:textId="77777777" w:rsidR="00271FA2" w:rsidRPr="004224F6" w:rsidRDefault="00271FA2">
      <w:pPr>
        <w:tabs>
          <w:tab w:val="left" w:pos="567"/>
        </w:tabs>
        <w:overflowPunct w:val="0"/>
        <w:adjustRightInd w:val="0"/>
        <w:spacing w:line="240" w:lineRule="atLeast"/>
        <w:ind w:left="284" w:hanging="426"/>
        <w:textAlignment w:val="baseline"/>
        <w:rPr>
          <w:rFonts w:ascii="Times New Roman" w:hAnsi="Times New Roman" w:cs="Times New Roman"/>
          <w:szCs w:val="20"/>
          <w:lang w:val="ru-RU"/>
        </w:rPr>
      </w:pPr>
    </w:p>
    <w:p w14:paraId="3F6DB4AA" w14:textId="77777777" w:rsidR="00271FA2" w:rsidRPr="004224F6" w:rsidRDefault="00271FA2">
      <w:pPr>
        <w:tabs>
          <w:tab w:val="left" w:pos="567"/>
        </w:tabs>
        <w:overflowPunct w:val="0"/>
        <w:adjustRightInd w:val="0"/>
        <w:spacing w:line="240" w:lineRule="atLeast"/>
        <w:ind w:left="284" w:hanging="426"/>
        <w:jc w:val="center"/>
        <w:textAlignment w:val="baseline"/>
        <w:rPr>
          <w:rFonts w:ascii="Times New Roman" w:hAnsi="Times New Roman" w:cs="Times New Roman"/>
          <w:szCs w:val="20"/>
          <w:lang w:val="ru-RU"/>
        </w:rPr>
      </w:pPr>
    </w:p>
    <w:p w14:paraId="6EB8C1C9"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40EF28AA"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31F7EA49" w14:textId="77777777" w:rsidR="00271FA2" w:rsidRPr="004224F6" w:rsidRDefault="00D35E51">
      <w:pPr>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br w:type="page"/>
      </w:r>
    </w:p>
    <w:p w14:paraId="0EE3B4E9"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40"/>
          <w:footerReference w:type="default" r:id="rId241"/>
          <w:footnotePr>
            <w:numRestart w:val="eachPage"/>
          </w:footnotePr>
          <w:pgSz w:w="16840" w:h="11907" w:orient="landscape"/>
          <w:pgMar w:top="1134" w:right="1134" w:bottom="1134" w:left="1134" w:header="709" w:footer="709" w:gutter="0"/>
          <w:cols w:space="720"/>
          <w:docGrid w:linePitch="326"/>
        </w:sectPr>
      </w:pPr>
    </w:p>
    <w:p w14:paraId="509FFF92" w14:textId="77777777" w:rsidR="00271FA2" w:rsidRPr="004224F6" w:rsidRDefault="00D35E51">
      <w:pPr>
        <w:pStyle w:val="ES-Titre2ESI"/>
        <w:rPr>
          <w:rFonts w:ascii="Times New Roman" w:hAnsi="Times New Roman" w:cs="Times New Roman"/>
          <w:lang w:val="ru-RU"/>
        </w:rPr>
      </w:pPr>
      <w:bookmarkStart w:id="691" w:name="_Toc535827800"/>
      <w:bookmarkStart w:id="692" w:name="_Toc491854359"/>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-10</w:t>
      </w:r>
      <w:r w:rsidRPr="004224F6">
        <w:rPr>
          <w:rFonts w:ascii="Times New Roman" w:hAnsi="Times New Roman" w:cs="Times New Roman"/>
          <w:lang w:val="ru-RU"/>
        </w:rPr>
        <w:br/>
        <w:t>Автоматични спринклерни системи за вода под налягане</w:t>
      </w:r>
      <w:bookmarkEnd w:id="691"/>
      <w:bookmarkEnd w:id="692"/>
    </w:p>
    <w:p w14:paraId="251C7555" w14:textId="5D92B5D2" w:rsidR="00271FA2" w:rsidRPr="004224F6" w:rsidRDefault="00D35E51" w:rsidP="00D816F5">
      <w:pPr>
        <w:spacing w:after="240" w:line="240" w:lineRule="atLeast"/>
        <w:jc w:val="center"/>
        <w:rPr>
          <w:rFonts w:ascii="Times New Roman" w:hAnsi="Times New Roman" w:cs="Times New Roman"/>
          <w:b/>
          <w:bCs/>
          <w:lang w:val="ru-RU"/>
        </w:rPr>
      </w:pPr>
      <w:r w:rsidRPr="004224F6">
        <w:rPr>
          <w:rFonts w:ascii="Times New Roman" w:hAnsi="Times New Roman" w:cs="Times New Roman"/>
          <w:b/>
          <w:lang w:val="ru-RU"/>
        </w:rPr>
        <w:t xml:space="preserve">(член 13.04, точки 1 </w:t>
      </w:r>
      <w:r w:rsidR="006E404C" w:rsidRPr="004224F6">
        <w:rPr>
          <w:rFonts w:ascii="Times New Roman" w:hAnsi="Times New Roman" w:cs="Times New Roman"/>
          <w:b/>
          <w:lang w:val="ru-RU"/>
        </w:rPr>
        <w:t>,</w:t>
      </w:r>
      <w:r w:rsidRPr="004224F6">
        <w:rPr>
          <w:rFonts w:ascii="Times New Roman" w:hAnsi="Times New Roman" w:cs="Times New Roman"/>
          <w:b/>
          <w:lang w:val="ru-RU"/>
        </w:rPr>
        <w:t>4</w:t>
      </w:r>
      <w:r w:rsidR="00C907C4" w:rsidRPr="004224F6">
        <w:rPr>
          <w:rFonts w:ascii="Times New Roman" w:hAnsi="Times New Roman" w:cs="Times New Roman"/>
          <w:b/>
          <w:lang w:val="ru-RU"/>
        </w:rPr>
        <w:t xml:space="preserve"> и 5</w:t>
      </w:r>
      <w:r w:rsidRPr="004224F6">
        <w:rPr>
          <w:rFonts w:ascii="Times New Roman" w:hAnsi="Times New Roman" w:cs="Times New Roman"/>
          <w:b/>
          <w:lang w:val="ru-RU"/>
        </w:rPr>
        <w:t>)</w:t>
      </w:r>
    </w:p>
    <w:p w14:paraId="4FCE09EE" w14:textId="60562D93" w:rsidR="00271FA2" w:rsidRPr="004224F6" w:rsidRDefault="00D35E51" w:rsidP="00141D54">
      <w:pPr>
        <w:spacing w:line="240" w:lineRule="atLeast"/>
        <w:jc w:val="both"/>
        <w:rPr>
          <w:rFonts w:ascii="Times New Roman" w:hAnsi="Times New Roman" w:cs="Times New Roman"/>
          <w:lang w:val="ru-RU"/>
        </w:rPr>
      </w:pPr>
      <w:r w:rsidRPr="004224F6">
        <w:rPr>
          <w:rFonts w:ascii="Times New Roman" w:hAnsi="Times New Roman" w:cs="Times New Roman"/>
          <w:lang w:val="ru-RU"/>
        </w:rPr>
        <w:t xml:space="preserve">Подходящите автоматични спринклерни системи за вода под налягане съгласно член 13.04, точки 1 </w:t>
      </w:r>
      <w:r w:rsidR="006E404C" w:rsidRPr="004224F6">
        <w:rPr>
          <w:rFonts w:ascii="Times New Roman" w:hAnsi="Times New Roman" w:cs="Times New Roman"/>
          <w:lang w:val="ru-RU"/>
        </w:rPr>
        <w:t>,</w:t>
      </w:r>
      <w:r w:rsidRPr="004224F6">
        <w:rPr>
          <w:rFonts w:ascii="Times New Roman" w:hAnsi="Times New Roman" w:cs="Times New Roman"/>
          <w:lang w:val="ru-RU"/>
        </w:rPr>
        <w:t>4</w:t>
      </w:r>
      <w:r w:rsidR="00C907C4" w:rsidRPr="004224F6">
        <w:rPr>
          <w:rFonts w:ascii="Times New Roman" w:hAnsi="Times New Roman" w:cs="Times New Roman"/>
          <w:lang w:val="ru-RU"/>
        </w:rPr>
        <w:t xml:space="preserve"> и 5</w:t>
      </w:r>
      <w:r w:rsidRPr="004224F6">
        <w:rPr>
          <w:rFonts w:ascii="Times New Roman" w:hAnsi="Times New Roman" w:cs="Times New Roman"/>
          <w:lang w:val="ru-RU"/>
        </w:rPr>
        <w:t xml:space="preserve"> трябва да изпълняват следните изисквания:</w:t>
      </w:r>
    </w:p>
    <w:p w14:paraId="2E5FD750" w14:textId="77777777" w:rsidR="00271FA2" w:rsidRPr="004224F6" w:rsidRDefault="00D35E51" w:rsidP="00141D54">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w:t>
      </w:r>
      <w:r w:rsidRPr="004224F6">
        <w:rPr>
          <w:rFonts w:ascii="Times New Roman" w:hAnsi="Times New Roman" w:cs="Times New Roman"/>
          <w:lang w:val="ru-RU"/>
        </w:rPr>
        <w:tab/>
        <w:t>Когато на борда има хора, автоматичната спринклерна система за вода под налягане трябва във всеки момент да е готова за работа. За да започне да действа, не трябва да се изискват допълнителни действия от членовете на екипажа.</w:t>
      </w:r>
    </w:p>
    <w:p w14:paraId="2DD3E876" w14:textId="7F3FF22F" w:rsidR="00271FA2" w:rsidRPr="004224F6" w:rsidRDefault="00D35E51" w:rsidP="00141D54">
      <w:pPr>
        <w:ind w:left="567" w:hanging="567"/>
        <w:jc w:val="both"/>
        <w:rPr>
          <w:rFonts w:ascii="Times New Roman" w:hAnsi="Times New Roman" w:cs="Times New Roman"/>
          <w:lang w:val="ru-RU"/>
        </w:rPr>
      </w:pPr>
      <w:r w:rsidRPr="004224F6">
        <w:rPr>
          <w:rFonts w:ascii="Times New Roman" w:hAnsi="Times New Roman" w:cs="Times New Roman"/>
          <w:lang w:val="ru-RU"/>
        </w:rPr>
        <w:t>2.</w:t>
      </w:r>
      <w:r w:rsidRPr="004224F6">
        <w:rPr>
          <w:rFonts w:ascii="Times New Roman" w:hAnsi="Times New Roman" w:cs="Times New Roman"/>
          <w:lang w:val="ru-RU"/>
        </w:rPr>
        <w:tab/>
        <w:t>Системата непрекъснато трябва да се поддържа под необходимото налягане. По всяко време тръбите трябва да бъдат пълни с вода до разпръскващите дюзи. Системата трябва да е с непрекъснато подаване на вода. Трябва да не е възможно навлизането в системата на замърсители, вредни за работата ѝ. За следене и проверка на системата трябва да са монтирани подходящи указващи прибори и системи за изпитване (напр. манометри, индикатори за нивото на водата в хидрофора, тръбни връзки за изпитване на помпата). Спринклерните системи за вода под налягане в хладилните складове и хладилните помещения не следва постоянно да бъдат пълни с вода. Тези помещения могат да бъдат защитени със сухи пръскачки</w:t>
      </w:r>
      <w:r w:rsidR="007B6103" w:rsidRPr="004224F6">
        <w:rPr>
          <w:rFonts w:ascii="Times New Roman" w:hAnsi="Times New Roman" w:cs="Times New Roman"/>
          <w:lang w:val="ru-RU"/>
        </w:rPr>
        <w:t xml:space="preserve"> или напълнени с подходящ антифриз.</w:t>
      </w:r>
    </w:p>
    <w:p w14:paraId="3589CCE3" w14:textId="77777777" w:rsidR="00271FA2" w:rsidRPr="004224F6" w:rsidRDefault="00D35E51" w:rsidP="00141D54">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3.</w:t>
      </w:r>
      <w:r w:rsidRPr="004224F6">
        <w:rPr>
          <w:rFonts w:ascii="Times New Roman" w:hAnsi="Times New Roman" w:cs="Times New Roman"/>
          <w:lang w:val="ru-RU"/>
        </w:rPr>
        <w:tab/>
        <w:t>Помпата за подаване на вода към разпръскващите дюзи трябва да се задейства автоматично при спад на налягането в системата. Помпата се оразмерява, така че да може без прекъсване да подава достатъчно вода с необходимото налягане, ако всички разпръскващи дюзи, необходими за покриване на площта на най-голямото защитено помещение, са задействани едновременно. Помпата трябва да подава вода изключително за автоматичната спринклерна система за вода под налягане. В случай на отказ на помпата трябва да е възможно подаването на достатъчно вода към разпръскващите дюзи от друга помпа на борда.</w:t>
      </w:r>
    </w:p>
    <w:p w14:paraId="0285E807" w14:textId="77777777" w:rsidR="00271FA2" w:rsidRPr="004224F6" w:rsidRDefault="00D35E51" w:rsidP="00141D54">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4.</w:t>
      </w:r>
      <w:r w:rsidRPr="004224F6">
        <w:rPr>
          <w:rFonts w:ascii="Times New Roman" w:hAnsi="Times New Roman" w:cs="Times New Roman"/>
          <w:lang w:val="ru-RU"/>
        </w:rPr>
        <w:tab/>
        <w:t>Системата трябва да е разделена на части, всяка една от които трябва да е с не повече от 50 разпръскващи дюзи. По-голям брой разпръскващи дюзи могат да бъдат разрешени от контролния орган при наличието на подходящо потвърждение, по-специално на хидравлично изчисление.</w:t>
      </w:r>
    </w:p>
    <w:p w14:paraId="6622F390" w14:textId="77777777" w:rsidR="00271FA2" w:rsidRPr="004224F6" w:rsidRDefault="00D35E51" w:rsidP="00141D54">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5.</w:t>
      </w:r>
      <w:r w:rsidRPr="004224F6">
        <w:rPr>
          <w:rFonts w:ascii="Times New Roman" w:hAnsi="Times New Roman" w:cs="Times New Roman"/>
          <w:lang w:val="ru-RU"/>
        </w:rPr>
        <w:tab/>
        <w:t>Броят и разположението на разпръскващите дюзи трябва да осигуряват ефективно разпределение на водата в помещенията, които трябва да бъдат защитени.</w:t>
      </w:r>
    </w:p>
    <w:p w14:paraId="65E6BCCB" w14:textId="533AFAD2" w:rsidR="00271FA2" w:rsidRPr="004224F6" w:rsidRDefault="00D35E51" w:rsidP="00141D54">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6.</w:t>
      </w:r>
      <w:r w:rsidRPr="004224F6">
        <w:rPr>
          <w:rFonts w:ascii="Times New Roman" w:hAnsi="Times New Roman" w:cs="Times New Roman"/>
          <w:lang w:val="ru-RU"/>
        </w:rPr>
        <w:tab/>
        <w:t xml:space="preserve">Разпръскващите дюзи трябва да се задействат при температура между </w:t>
      </w:r>
      <w:r w:rsidR="00BB4230" w:rsidRPr="004224F6">
        <w:rPr>
          <w:rFonts w:ascii="Times New Roman" w:hAnsi="Times New Roman" w:cs="Times New Roman"/>
          <w:lang w:val="ru-RU"/>
        </w:rPr>
        <w:t>57</w:t>
      </w:r>
      <w:r w:rsidR="00BB4230" w:rsidRPr="004224F6">
        <w:rPr>
          <w:rFonts w:ascii="Times New Roman" w:hAnsi="Times New Roman" w:cs="Times New Roman"/>
        </w:rPr>
        <w:t> </w:t>
      </w:r>
      <w:r w:rsidRPr="004224F6">
        <w:rPr>
          <w:rFonts w:ascii="Times New Roman" w:hAnsi="Times New Roman" w:cs="Times New Roman"/>
          <w:lang w:val="ru-RU"/>
        </w:rPr>
        <w:t>°</w:t>
      </w:r>
      <w:r w:rsidRPr="004224F6">
        <w:rPr>
          <w:rFonts w:ascii="Times New Roman" w:hAnsi="Times New Roman" w:cs="Times New Roman"/>
        </w:rPr>
        <w:t>C</w:t>
      </w:r>
      <w:r w:rsidRPr="004224F6">
        <w:rPr>
          <w:rFonts w:ascii="Times New Roman" w:hAnsi="Times New Roman" w:cs="Times New Roman"/>
          <w:lang w:val="ru-RU"/>
        </w:rPr>
        <w:t xml:space="preserve"> и 79</w:t>
      </w:r>
      <w:r w:rsidRPr="004224F6">
        <w:rPr>
          <w:rFonts w:ascii="Times New Roman" w:hAnsi="Times New Roman" w:cs="Times New Roman"/>
        </w:rPr>
        <w:t> </w:t>
      </w:r>
      <w:r w:rsidRPr="004224F6">
        <w:rPr>
          <w:rFonts w:ascii="Times New Roman" w:hAnsi="Times New Roman" w:cs="Times New Roman"/>
          <w:lang w:val="ru-RU"/>
        </w:rPr>
        <w:t>°</w:t>
      </w:r>
      <w:r w:rsidRPr="004224F6">
        <w:rPr>
          <w:rFonts w:ascii="Times New Roman" w:hAnsi="Times New Roman" w:cs="Times New Roman"/>
        </w:rPr>
        <w:t>C</w:t>
      </w:r>
      <w:r w:rsidRPr="004224F6">
        <w:rPr>
          <w:rFonts w:ascii="Times New Roman" w:hAnsi="Times New Roman" w:cs="Times New Roman"/>
          <w:lang w:val="ru-RU"/>
        </w:rPr>
        <w:t>, в камбузи при максимум 93</w:t>
      </w:r>
      <w:r w:rsidRPr="004224F6">
        <w:rPr>
          <w:rFonts w:ascii="Times New Roman" w:hAnsi="Times New Roman" w:cs="Times New Roman"/>
        </w:rPr>
        <w:t> </w:t>
      </w:r>
      <w:r w:rsidRPr="004224F6">
        <w:rPr>
          <w:rFonts w:ascii="Times New Roman" w:hAnsi="Times New Roman" w:cs="Times New Roman"/>
          <w:lang w:val="ru-RU"/>
        </w:rPr>
        <w:t>°</w:t>
      </w:r>
      <w:r w:rsidRPr="004224F6">
        <w:rPr>
          <w:rFonts w:ascii="Times New Roman" w:hAnsi="Times New Roman" w:cs="Times New Roman"/>
        </w:rPr>
        <w:t>C</w:t>
      </w:r>
      <w:r w:rsidRPr="004224F6">
        <w:rPr>
          <w:rFonts w:ascii="Times New Roman" w:hAnsi="Times New Roman" w:cs="Times New Roman"/>
          <w:lang w:val="ru-RU"/>
        </w:rPr>
        <w:t xml:space="preserve"> и в сауни при максимум 141 °С.</w:t>
      </w:r>
    </w:p>
    <w:p w14:paraId="5FE5B4A6" w14:textId="65CE16E1" w:rsidR="00271FA2" w:rsidRPr="004224F6" w:rsidRDefault="00D35E51" w:rsidP="00141D54">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7.</w:t>
      </w:r>
      <w:r w:rsidRPr="004224F6">
        <w:rPr>
          <w:rFonts w:ascii="Times New Roman" w:hAnsi="Times New Roman" w:cs="Times New Roman"/>
          <w:lang w:val="ru-RU"/>
        </w:rPr>
        <w:tab/>
        <w:t xml:space="preserve">Монтирането на компоненти на </w:t>
      </w:r>
      <w:r w:rsidR="00670F8B" w:rsidRPr="004224F6">
        <w:rPr>
          <w:rFonts w:ascii="Times New Roman" w:hAnsi="Times New Roman" w:cs="Times New Roman"/>
          <w:lang w:val="ru-RU"/>
        </w:rPr>
        <w:t xml:space="preserve">автоматична </w:t>
      </w:r>
      <w:r w:rsidR="00BB4230" w:rsidRPr="004224F6">
        <w:rPr>
          <w:rFonts w:ascii="Times New Roman" w:hAnsi="Times New Roman" w:cs="Times New Roman"/>
          <w:lang w:val="ru-RU"/>
        </w:rPr>
        <w:t xml:space="preserve">спринклерна система </w:t>
      </w:r>
      <w:r w:rsidRPr="004224F6">
        <w:rPr>
          <w:rFonts w:ascii="Times New Roman" w:hAnsi="Times New Roman" w:cs="Times New Roman"/>
          <w:lang w:val="ru-RU"/>
        </w:rPr>
        <w:t>за вода под налягане в помещенията, които трябва да бъдат защитени, се ограничава до необходимия минимум. Такива компоненти на системата не се монтират в главните машинни отделения.</w:t>
      </w:r>
    </w:p>
    <w:p w14:paraId="0A503CA5" w14:textId="12E041E6" w:rsidR="007B6103" w:rsidRPr="004224F6" w:rsidRDefault="00D35E51" w:rsidP="00141D54">
      <w:pPr>
        <w:ind w:left="567" w:hanging="720"/>
        <w:jc w:val="both"/>
        <w:rPr>
          <w:rFonts w:ascii="Times New Roman" w:hAnsi="Times New Roman" w:cs="Times New Roman"/>
          <w:lang w:val="ru-RU"/>
        </w:rPr>
      </w:pPr>
      <w:r w:rsidRPr="004224F6">
        <w:rPr>
          <w:rFonts w:ascii="Times New Roman" w:hAnsi="Times New Roman" w:cs="Times New Roman"/>
          <w:lang w:val="ru-RU"/>
        </w:rPr>
        <w:t>8.</w:t>
      </w:r>
      <w:r w:rsidRPr="004224F6">
        <w:rPr>
          <w:rFonts w:ascii="Times New Roman" w:hAnsi="Times New Roman" w:cs="Times New Roman"/>
          <w:lang w:val="ru-RU"/>
        </w:rPr>
        <w:tab/>
      </w:r>
      <w:r w:rsidR="007B6103" w:rsidRPr="004224F6">
        <w:rPr>
          <w:rFonts w:ascii="Times New Roman" w:hAnsi="Times New Roman" w:cs="Times New Roman"/>
          <w:lang w:val="ru-RU"/>
        </w:rPr>
        <w:t>Оптичн</w:t>
      </w:r>
      <w:r w:rsidR="003A1802" w:rsidRPr="004224F6">
        <w:rPr>
          <w:rFonts w:ascii="Times New Roman" w:hAnsi="Times New Roman" w:cs="Times New Roman"/>
          <w:lang w:val="ru-RU"/>
        </w:rPr>
        <w:t>и</w:t>
      </w:r>
      <w:r w:rsidR="007B6103" w:rsidRPr="004224F6">
        <w:rPr>
          <w:rFonts w:ascii="Times New Roman" w:hAnsi="Times New Roman" w:cs="Times New Roman"/>
          <w:lang w:val="ru-RU"/>
        </w:rPr>
        <w:t xml:space="preserve"> и акустични индикатори трябва да бъдат осигурени на едно или повече подходящи места, поне едно от които трябва да бъде постоянно обслужвано, показвайки активирането на автоматична система за пръскане на вода под налягане за всяка секция.</w:t>
      </w:r>
    </w:p>
    <w:p w14:paraId="1D8AE26D" w14:textId="77777777" w:rsidR="00271FA2" w:rsidRPr="004224F6" w:rsidRDefault="00D35E51" w:rsidP="00141D54">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9.</w:t>
      </w:r>
      <w:r w:rsidRPr="004224F6">
        <w:rPr>
          <w:rFonts w:ascii="Times New Roman" w:hAnsi="Times New Roman" w:cs="Times New Roman"/>
          <w:lang w:val="ru-RU"/>
        </w:rPr>
        <w:tab/>
        <w:t>Електрозахранването на автоматичната спринклерна система за вода под налягане се осигурява от два независими източника на енергия, които не са разположени на едно и също място. Всеки източник на енергия трябва да може самостоятелно да захранва цялата система.</w:t>
      </w:r>
    </w:p>
    <w:p w14:paraId="741D3CD9" w14:textId="60238FBA" w:rsidR="00271FA2" w:rsidRPr="004224F6" w:rsidRDefault="00D35E51" w:rsidP="00141D54">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10.</w:t>
      </w:r>
      <w:r w:rsidRPr="004224F6">
        <w:rPr>
          <w:rFonts w:ascii="Times New Roman" w:hAnsi="Times New Roman" w:cs="Times New Roman"/>
          <w:lang w:val="ru-RU"/>
        </w:rPr>
        <w:tab/>
        <w:t xml:space="preserve">Преди монтиране на системата на контролния орган се представя за проверка монтажен план на автоматичната спринклерна система за вода под налягане. Планът трябва да показва типовете и експлоатационните показатели на използваните машини и оборудване. </w:t>
      </w:r>
      <w:r w:rsidR="000A09C8" w:rsidRPr="004224F6">
        <w:rPr>
          <w:rFonts w:ascii="Times New Roman" w:hAnsi="Times New Roman" w:cs="Times New Roman"/>
          <w:lang w:val="ru-RU"/>
        </w:rPr>
        <w:t>Система</w:t>
      </w:r>
      <w:r w:rsidRPr="004224F6">
        <w:rPr>
          <w:rFonts w:ascii="Times New Roman" w:hAnsi="Times New Roman" w:cs="Times New Roman"/>
          <w:lang w:val="ru-RU"/>
        </w:rPr>
        <w:t>, която е изпитана и сертифицирана от призната класификационна организация и която отговаря най-малко на горните предписания, може да бъде разрешена без допълнително изпитване.</w:t>
      </w:r>
    </w:p>
    <w:p w14:paraId="20B43517" w14:textId="77777777" w:rsidR="00271FA2" w:rsidRPr="004224F6" w:rsidRDefault="00D35E51" w:rsidP="00141D54">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11.</w:t>
      </w:r>
      <w:r w:rsidRPr="004224F6">
        <w:rPr>
          <w:rFonts w:ascii="Times New Roman" w:hAnsi="Times New Roman" w:cs="Times New Roman"/>
          <w:lang w:val="ru-RU"/>
        </w:rPr>
        <w:tab/>
        <w:t>Наличието на автоматична спринклерна система за вода под налягане се записва в точка 43 от Корабното удостоверение за вътрешно корабоплаване.</w:t>
      </w:r>
    </w:p>
    <w:p w14:paraId="3C656855" w14:textId="77777777" w:rsidR="00271FA2" w:rsidRPr="004224F6" w:rsidRDefault="00271FA2">
      <w:pPr>
        <w:spacing w:line="240" w:lineRule="atLeast"/>
        <w:ind w:left="567" w:hanging="567"/>
        <w:rPr>
          <w:rFonts w:ascii="Times New Roman" w:hAnsi="Times New Roman" w:cs="Times New Roman"/>
          <w:lang w:val="ru-RU"/>
        </w:rPr>
      </w:pPr>
    </w:p>
    <w:p w14:paraId="19604878"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42"/>
          <w:footerReference w:type="default" r:id="rId243"/>
          <w:footnotePr>
            <w:numRestart w:val="eachPage"/>
          </w:footnotePr>
          <w:pgSz w:w="11907" w:h="16840"/>
          <w:pgMar w:top="1134" w:right="1134" w:bottom="1134" w:left="1134" w:header="709" w:footer="709" w:gutter="0"/>
          <w:cols w:space="720"/>
          <w:docGrid w:linePitch="326"/>
        </w:sectPr>
      </w:pPr>
    </w:p>
    <w:p w14:paraId="1DC8D0EE" w14:textId="77777777" w:rsidR="00271FA2" w:rsidRPr="004224F6" w:rsidRDefault="00D35E51">
      <w:pPr>
        <w:pStyle w:val="ES-Titre2ESI"/>
        <w:rPr>
          <w:rFonts w:ascii="Times New Roman" w:hAnsi="Times New Roman" w:cs="Times New Roman"/>
          <w:lang w:val="ru-RU"/>
        </w:rPr>
      </w:pPr>
      <w:bookmarkStart w:id="693" w:name="_Toc535827801"/>
      <w:bookmarkStart w:id="694" w:name="_Toc491854360"/>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-11</w:t>
      </w:r>
      <w:r w:rsidRPr="004224F6">
        <w:rPr>
          <w:rFonts w:ascii="Times New Roman" w:hAnsi="Times New Roman" w:cs="Times New Roman"/>
          <w:lang w:val="ru-RU"/>
        </w:rPr>
        <w:br/>
        <w:t>Управляемост на плавателния съд на собствен ход</w:t>
      </w:r>
      <w:bookmarkEnd w:id="693"/>
      <w:bookmarkEnd w:id="694"/>
    </w:p>
    <w:p w14:paraId="220E2B22" w14:textId="4B2FBFD2" w:rsidR="00EA4066" w:rsidRPr="004224F6" w:rsidRDefault="007B6103" w:rsidP="00B804CC">
      <w:pPr>
        <w:ind w:left="720" w:hanging="720"/>
        <w:jc w:val="center"/>
        <w:rPr>
          <w:rFonts w:ascii="Times New Roman" w:hAnsi="Times New Roman" w:cs="Times New Roman"/>
          <w:b/>
          <w:lang w:val="ru-RU"/>
        </w:rPr>
      </w:pPr>
      <w:r w:rsidRPr="004224F6">
        <w:rPr>
          <w:rFonts w:ascii="Times New Roman" w:hAnsi="Times New Roman" w:cs="Times New Roman"/>
          <w:b/>
          <w:lang w:val="ru-RU"/>
        </w:rPr>
        <w:t xml:space="preserve">(Член 7.04, </w:t>
      </w:r>
      <w:r w:rsidR="0097711D" w:rsidRPr="004224F6">
        <w:rPr>
          <w:rFonts w:ascii="Times New Roman" w:hAnsi="Times New Roman" w:cs="Times New Roman"/>
          <w:b/>
          <w:lang w:val="ru-RU"/>
        </w:rPr>
        <w:t>т.</w:t>
      </w:r>
      <w:r w:rsidRPr="004224F6">
        <w:rPr>
          <w:rFonts w:ascii="Times New Roman" w:hAnsi="Times New Roman" w:cs="Times New Roman"/>
          <w:b/>
          <w:lang w:val="ru-RU"/>
        </w:rPr>
        <w:t xml:space="preserve"> 11, член 9.09, </w:t>
      </w:r>
      <w:r w:rsidR="0097711D" w:rsidRPr="004224F6">
        <w:rPr>
          <w:rFonts w:ascii="Times New Roman" w:hAnsi="Times New Roman" w:cs="Times New Roman"/>
          <w:b/>
          <w:lang w:val="ru-RU"/>
        </w:rPr>
        <w:t>т.</w:t>
      </w:r>
      <w:r w:rsidRPr="004224F6">
        <w:rPr>
          <w:rFonts w:ascii="Times New Roman" w:hAnsi="Times New Roman" w:cs="Times New Roman"/>
          <w:b/>
          <w:lang w:val="ru-RU"/>
        </w:rPr>
        <w:t xml:space="preserve"> 2, буква </w:t>
      </w:r>
      <w:r w:rsidR="00B804CC" w:rsidRPr="004224F6">
        <w:rPr>
          <w:rFonts w:ascii="Times New Roman" w:hAnsi="Times New Roman" w:cs="Times New Roman"/>
          <w:b/>
          <w:lang w:val="ru-RU"/>
        </w:rPr>
        <w:t>“</w:t>
      </w:r>
      <w:r w:rsidRPr="004224F6">
        <w:rPr>
          <w:rFonts w:ascii="Times New Roman" w:hAnsi="Times New Roman" w:cs="Times New Roman"/>
          <w:b/>
          <w:lang w:val="ru-RU"/>
        </w:rPr>
        <w:t>а</w:t>
      </w:r>
      <w:r w:rsidR="00B804CC" w:rsidRPr="004224F6">
        <w:rPr>
          <w:rFonts w:ascii="Times New Roman" w:hAnsi="Times New Roman" w:cs="Times New Roman"/>
          <w:b/>
          <w:lang w:val="ru-RU"/>
        </w:rPr>
        <w:t>“</w:t>
      </w:r>
      <w:r w:rsidRPr="004224F6">
        <w:rPr>
          <w:rFonts w:ascii="Times New Roman" w:hAnsi="Times New Roman" w:cs="Times New Roman"/>
          <w:b/>
          <w:lang w:val="ru-RU"/>
        </w:rPr>
        <w:t xml:space="preserve">, </w:t>
      </w:r>
      <w:r w:rsidR="0097711D" w:rsidRPr="004224F6">
        <w:rPr>
          <w:rFonts w:ascii="Times New Roman" w:hAnsi="Times New Roman" w:cs="Times New Roman"/>
          <w:b/>
          <w:lang w:val="ru-RU"/>
        </w:rPr>
        <w:t>т.</w:t>
      </w:r>
      <w:r w:rsidRPr="004224F6">
        <w:rPr>
          <w:rFonts w:ascii="Times New Roman" w:hAnsi="Times New Roman" w:cs="Times New Roman"/>
          <w:b/>
          <w:lang w:val="ru-RU"/>
        </w:rPr>
        <w:t xml:space="preserve"> 4, буква </w:t>
      </w:r>
      <w:r w:rsidR="00B804CC" w:rsidRPr="004224F6">
        <w:rPr>
          <w:rFonts w:ascii="Times New Roman" w:hAnsi="Times New Roman" w:cs="Times New Roman"/>
          <w:b/>
          <w:lang w:val="ru-RU"/>
        </w:rPr>
        <w:t>“</w:t>
      </w:r>
      <w:r w:rsidRPr="004224F6">
        <w:rPr>
          <w:rFonts w:ascii="Times New Roman" w:hAnsi="Times New Roman" w:cs="Times New Roman"/>
          <w:b/>
          <w:lang w:val="ru-RU"/>
        </w:rPr>
        <w:t>а</w:t>
      </w:r>
      <w:r w:rsidR="00B804CC" w:rsidRPr="004224F6">
        <w:rPr>
          <w:rFonts w:ascii="Times New Roman" w:hAnsi="Times New Roman" w:cs="Times New Roman"/>
          <w:b/>
          <w:lang w:val="ru-RU"/>
        </w:rPr>
        <w:t>“</w:t>
      </w:r>
      <w:r w:rsidRPr="004224F6">
        <w:rPr>
          <w:rFonts w:ascii="Times New Roman" w:hAnsi="Times New Roman" w:cs="Times New Roman"/>
          <w:b/>
          <w:lang w:val="ru-RU"/>
        </w:rPr>
        <w:t xml:space="preserve">, </w:t>
      </w:r>
      <w:r w:rsidR="0097711D" w:rsidRPr="004224F6">
        <w:rPr>
          <w:rFonts w:ascii="Times New Roman" w:hAnsi="Times New Roman" w:cs="Times New Roman"/>
          <w:b/>
          <w:lang w:val="ru-RU"/>
        </w:rPr>
        <w:t>т.</w:t>
      </w:r>
      <w:r w:rsidRPr="004224F6">
        <w:rPr>
          <w:rFonts w:ascii="Times New Roman" w:hAnsi="Times New Roman" w:cs="Times New Roman"/>
          <w:b/>
          <w:lang w:val="ru-RU"/>
        </w:rPr>
        <w:t xml:space="preserve"> 5, буква </w:t>
      </w:r>
      <w:r w:rsidR="00B804CC" w:rsidRPr="004224F6">
        <w:rPr>
          <w:rFonts w:ascii="Times New Roman" w:hAnsi="Times New Roman" w:cs="Times New Roman"/>
          <w:b/>
          <w:lang w:val="ru-RU"/>
        </w:rPr>
        <w:t>“</w:t>
      </w:r>
      <w:r w:rsidRPr="004224F6">
        <w:rPr>
          <w:rFonts w:ascii="Times New Roman" w:hAnsi="Times New Roman" w:cs="Times New Roman"/>
          <w:b/>
          <w:lang w:val="ru-RU"/>
        </w:rPr>
        <w:t>а</w:t>
      </w:r>
      <w:r w:rsidR="00B804CC" w:rsidRPr="004224F6">
        <w:rPr>
          <w:rFonts w:ascii="Times New Roman" w:hAnsi="Times New Roman" w:cs="Times New Roman"/>
          <w:b/>
          <w:lang w:val="ru-RU"/>
        </w:rPr>
        <w:t>“</w:t>
      </w:r>
      <w:r w:rsidRPr="004224F6">
        <w:rPr>
          <w:rFonts w:ascii="Times New Roman" w:hAnsi="Times New Roman" w:cs="Times New Roman"/>
          <w:b/>
          <w:lang w:val="ru-RU"/>
        </w:rPr>
        <w:t>,</w:t>
      </w:r>
    </w:p>
    <w:p w14:paraId="7D2DC8F8" w14:textId="75E13A23" w:rsidR="00271FA2" w:rsidRPr="004224F6" w:rsidRDefault="007B6103" w:rsidP="00141D54">
      <w:pPr>
        <w:spacing w:after="240"/>
        <w:ind w:left="720" w:hanging="720"/>
        <w:jc w:val="center"/>
        <w:rPr>
          <w:rFonts w:ascii="Times New Roman" w:hAnsi="Times New Roman" w:cs="Times New Roman"/>
          <w:b/>
          <w:strike/>
          <w:szCs w:val="20"/>
          <w:lang w:val="ru-RU"/>
        </w:rPr>
      </w:pPr>
      <w:r w:rsidRPr="004224F6">
        <w:rPr>
          <w:rFonts w:ascii="Times New Roman" w:hAnsi="Times New Roman" w:cs="Times New Roman"/>
          <w:b/>
          <w:lang w:val="ru-RU"/>
        </w:rPr>
        <w:t xml:space="preserve">член 11.01, </w:t>
      </w:r>
      <w:r w:rsidR="0097711D" w:rsidRPr="004224F6">
        <w:rPr>
          <w:rFonts w:ascii="Times New Roman" w:hAnsi="Times New Roman" w:cs="Times New Roman"/>
          <w:b/>
          <w:lang w:val="ru-RU"/>
        </w:rPr>
        <w:t>т.</w:t>
      </w:r>
      <w:r w:rsidRPr="004224F6">
        <w:rPr>
          <w:rFonts w:ascii="Times New Roman" w:hAnsi="Times New Roman" w:cs="Times New Roman"/>
          <w:b/>
          <w:lang w:val="ru-RU"/>
        </w:rPr>
        <w:t xml:space="preserve">3, член 11.04, </w:t>
      </w:r>
      <w:r w:rsidR="0097711D" w:rsidRPr="004224F6">
        <w:rPr>
          <w:rFonts w:ascii="Times New Roman" w:hAnsi="Times New Roman" w:cs="Times New Roman"/>
          <w:b/>
          <w:lang w:val="ru-RU"/>
        </w:rPr>
        <w:t>т.</w:t>
      </w:r>
      <w:r w:rsidRPr="004224F6">
        <w:rPr>
          <w:rFonts w:ascii="Times New Roman" w:hAnsi="Times New Roman" w:cs="Times New Roman"/>
          <w:b/>
          <w:lang w:val="ru-RU"/>
        </w:rPr>
        <w:t xml:space="preserve"> 3, член 11.08, </w:t>
      </w:r>
      <w:r w:rsidR="0097711D" w:rsidRPr="004224F6">
        <w:rPr>
          <w:rFonts w:ascii="Times New Roman" w:hAnsi="Times New Roman" w:cs="Times New Roman"/>
          <w:b/>
          <w:lang w:val="ru-RU"/>
        </w:rPr>
        <w:t>т.</w:t>
      </w:r>
      <w:r w:rsidR="00B804CC" w:rsidRPr="004224F6" w:rsidDel="00B804CC">
        <w:rPr>
          <w:rFonts w:ascii="Times New Roman" w:hAnsi="Times New Roman" w:cs="Times New Roman"/>
          <w:b/>
          <w:lang w:val="ru-RU"/>
        </w:rPr>
        <w:t xml:space="preserve"> </w:t>
      </w:r>
      <w:r w:rsidRPr="004224F6">
        <w:rPr>
          <w:rFonts w:ascii="Times New Roman" w:hAnsi="Times New Roman" w:cs="Times New Roman"/>
          <w:b/>
          <w:lang w:val="ru-RU"/>
        </w:rPr>
        <w:t xml:space="preserve">1 и </w:t>
      </w:r>
      <w:r w:rsidR="0081237C" w:rsidRPr="004224F6">
        <w:rPr>
          <w:rFonts w:ascii="Times New Roman" w:hAnsi="Times New Roman" w:cs="Times New Roman"/>
          <w:b/>
          <w:lang w:val="ru-RU"/>
        </w:rPr>
        <w:t>т</w:t>
      </w:r>
      <w:r w:rsidR="00B804CC" w:rsidRPr="004224F6">
        <w:rPr>
          <w:rFonts w:ascii="Times New Roman" w:hAnsi="Times New Roman" w:cs="Times New Roman"/>
          <w:b/>
          <w:lang w:val="ru-RU"/>
        </w:rPr>
        <w:t>.</w:t>
      </w:r>
      <w:r w:rsidRPr="004224F6">
        <w:rPr>
          <w:rFonts w:ascii="Times New Roman" w:hAnsi="Times New Roman" w:cs="Times New Roman"/>
          <w:b/>
          <w:lang w:val="ru-RU"/>
        </w:rPr>
        <w:t>2, член 13.05,</w:t>
      </w:r>
      <w:r w:rsidR="00630886" w:rsidRPr="004224F6">
        <w:rPr>
          <w:rFonts w:ascii="Times New Roman" w:hAnsi="Times New Roman" w:cs="Times New Roman"/>
          <w:b/>
          <w:lang w:val="ru-RU"/>
        </w:rPr>
        <w:t xml:space="preserve"> </w:t>
      </w:r>
      <w:r w:rsidR="0097711D" w:rsidRPr="004224F6">
        <w:rPr>
          <w:rFonts w:ascii="Times New Roman" w:hAnsi="Times New Roman" w:cs="Times New Roman"/>
          <w:b/>
          <w:lang w:val="ru-RU"/>
        </w:rPr>
        <w:t>т.</w:t>
      </w:r>
      <w:r w:rsidRPr="004224F6">
        <w:rPr>
          <w:rFonts w:ascii="Times New Roman" w:hAnsi="Times New Roman" w:cs="Times New Roman"/>
          <w:b/>
          <w:lang w:val="ru-RU"/>
        </w:rPr>
        <w:t xml:space="preserve">2, буква </w:t>
      </w:r>
      <w:r w:rsidR="00B804CC" w:rsidRPr="004224F6">
        <w:rPr>
          <w:rFonts w:ascii="Times New Roman" w:hAnsi="Times New Roman" w:cs="Times New Roman"/>
          <w:b/>
          <w:lang w:val="ru-RU"/>
        </w:rPr>
        <w:t>“</w:t>
      </w:r>
      <w:r w:rsidRPr="004224F6">
        <w:rPr>
          <w:rFonts w:ascii="Times New Roman" w:hAnsi="Times New Roman" w:cs="Times New Roman"/>
          <w:b/>
          <w:lang w:val="ru-RU"/>
        </w:rPr>
        <w:t>а</w:t>
      </w:r>
      <w:r w:rsidR="00B804CC" w:rsidRPr="004224F6">
        <w:rPr>
          <w:rFonts w:ascii="Times New Roman" w:hAnsi="Times New Roman" w:cs="Times New Roman"/>
          <w:b/>
          <w:lang w:val="ru-RU"/>
        </w:rPr>
        <w:t>“,</w:t>
      </w:r>
      <w:r w:rsidRPr="004224F6">
        <w:rPr>
          <w:rFonts w:ascii="Times New Roman" w:hAnsi="Times New Roman" w:cs="Times New Roman"/>
          <w:b/>
          <w:lang w:val="ru-RU"/>
        </w:rPr>
        <w:t xml:space="preserve"> Член 19.07, </w:t>
      </w:r>
      <w:r w:rsidR="0097711D" w:rsidRPr="004224F6">
        <w:rPr>
          <w:rFonts w:ascii="Times New Roman" w:hAnsi="Times New Roman" w:cs="Times New Roman"/>
          <w:b/>
          <w:lang w:val="ru-RU"/>
        </w:rPr>
        <w:t>т.</w:t>
      </w:r>
      <w:r w:rsidRPr="004224F6">
        <w:rPr>
          <w:rFonts w:ascii="Times New Roman" w:hAnsi="Times New Roman" w:cs="Times New Roman"/>
          <w:b/>
          <w:lang w:val="ru-RU"/>
        </w:rPr>
        <w:t xml:space="preserve"> 1, член 28.04, </w:t>
      </w:r>
      <w:r w:rsidR="0097711D" w:rsidRPr="004224F6">
        <w:rPr>
          <w:rFonts w:ascii="Times New Roman" w:hAnsi="Times New Roman" w:cs="Times New Roman"/>
          <w:b/>
          <w:lang w:val="ru-RU"/>
        </w:rPr>
        <w:t>т.</w:t>
      </w:r>
      <w:r w:rsidRPr="004224F6">
        <w:rPr>
          <w:rFonts w:ascii="Times New Roman" w:hAnsi="Times New Roman" w:cs="Times New Roman"/>
          <w:b/>
          <w:lang w:val="ru-RU"/>
        </w:rPr>
        <w:t xml:space="preserve"> 1, буква </w:t>
      </w:r>
      <w:r w:rsidR="00B804CC" w:rsidRPr="004224F6">
        <w:rPr>
          <w:rFonts w:ascii="Times New Roman" w:hAnsi="Times New Roman" w:cs="Times New Roman"/>
          <w:b/>
          <w:lang w:val="ru-RU"/>
        </w:rPr>
        <w:t>“</w:t>
      </w:r>
      <w:r w:rsidRPr="004224F6">
        <w:rPr>
          <w:rFonts w:ascii="Times New Roman" w:hAnsi="Times New Roman" w:cs="Times New Roman"/>
          <w:b/>
          <w:lang w:val="ru-RU"/>
        </w:rPr>
        <w:t>а</w:t>
      </w:r>
      <w:r w:rsidR="00B804CC" w:rsidRPr="004224F6">
        <w:rPr>
          <w:rFonts w:ascii="Times New Roman" w:hAnsi="Times New Roman" w:cs="Times New Roman"/>
          <w:b/>
          <w:lang w:val="ru-RU"/>
        </w:rPr>
        <w:t>“</w:t>
      </w:r>
      <w:r w:rsidRPr="004224F6">
        <w:rPr>
          <w:rFonts w:ascii="Times New Roman" w:hAnsi="Times New Roman" w:cs="Times New Roman"/>
          <w:b/>
          <w:lang w:val="ru-RU"/>
        </w:rPr>
        <w:t>, член 30.07)</w:t>
      </w:r>
    </w:p>
    <w:p w14:paraId="6083CE53"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Минимални изисквания към управляемостта на плавателния съд</w:t>
      </w:r>
    </w:p>
    <w:p w14:paraId="3B8F2649"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Управляемостта на плавателния съд на собствен ход в съответствие с членове:</w:t>
      </w:r>
    </w:p>
    <w:p w14:paraId="4C370182" w14:textId="0F38169A" w:rsidR="007B6103" w:rsidRPr="004224F6" w:rsidRDefault="007B6103" w:rsidP="007B6103">
      <w:pPr>
        <w:ind w:left="720"/>
        <w:rPr>
          <w:rFonts w:ascii="Times New Roman" w:hAnsi="Times New Roman" w:cs="Times New Roman"/>
          <w:lang w:val="ru-RU"/>
        </w:rPr>
      </w:pPr>
      <w:r w:rsidRPr="004224F6">
        <w:rPr>
          <w:rFonts w:ascii="Times New Roman" w:hAnsi="Times New Roman" w:cs="Times New Roman"/>
          <w:lang w:val="ru-RU"/>
        </w:rPr>
        <w:t xml:space="preserve">- </w:t>
      </w:r>
      <w:r w:rsidR="005555DB" w:rsidRPr="004224F6">
        <w:rPr>
          <w:rFonts w:ascii="Times New Roman" w:hAnsi="Times New Roman" w:cs="Times New Roman"/>
          <w:lang w:val="ru-RU"/>
        </w:rPr>
        <w:t>чл</w:t>
      </w:r>
      <w:r w:rsidR="00D70786" w:rsidRPr="004224F6">
        <w:rPr>
          <w:rFonts w:ascii="Times New Roman" w:hAnsi="Times New Roman" w:cs="Times New Roman"/>
          <w:lang w:val="ru-RU"/>
        </w:rPr>
        <w:t>ен</w:t>
      </w:r>
      <w:r w:rsidR="005555DB" w:rsidRPr="004224F6">
        <w:rPr>
          <w:rFonts w:ascii="Times New Roman" w:hAnsi="Times New Roman" w:cs="Times New Roman"/>
          <w:lang w:val="ru-RU"/>
        </w:rPr>
        <w:t xml:space="preserve"> </w:t>
      </w:r>
      <w:r w:rsidRPr="004224F6">
        <w:rPr>
          <w:rFonts w:ascii="Times New Roman" w:hAnsi="Times New Roman" w:cs="Times New Roman"/>
          <w:lang w:val="ru-RU"/>
        </w:rPr>
        <w:t>7</w:t>
      </w:r>
      <w:r w:rsidR="005555DB" w:rsidRPr="004224F6">
        <w:rPr>
          <w:rFonts w:ascii="Times New Roman" w:hAnsi="Times New Roman" w:cs="Times New Roman"/>
          <w:lang w:val="ru-RU"/>
        </w:rPr>
        <w:t>.</w:t>
      </w:r>
      <w:r w:rsidRPr="004224F6">
        <w:rPr>
          <w:rFonts w:ascii="Times New Roman" w:hAnsi="Times New Roman" w:cs="Times New Roman"/>
          <w:lang w:val="ru-RU"/>
        </w:rPr>
        <w:t>04</w:t>
      </w:r>
      <w:r w:rsidR="003A2DA4" w:rsidRPr="004224F6">
        <w:rPr>
          <w:rFonts w:ascii="Times New Roman" w:hAnsi="Times New Roman" w:cs="Times New Roman"/>
          <w:lang w:val="ru-RU"/>
        </w:rPr>
        <w:t>,</w:t>
      </w:r>
      <w:r w:rsidRPr="004224F6">
        <w:rPr>
          <w:rFonts w:ascii="Times New Roman" w:hAnsi="Times New Roman" w:cs="Times New Roman"/>
          <w:lang w:val="ru-RU"/>
        </w:rPr>
        <w:t xml:space="preserve"> </w:t>
      </w:r>
      <w:r w:rsidR="00D70786" w:rsidRPr="004224F6">
        <w:rPr>
          <w:rFonts w:ascii="Times New Roman" w:hAnsi="Times New Roman" w:cs="Times New Roman"/>
          <w:lang w:val="ru-RU"/>
        </w:rPr>
        <w:t>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11</w:t>
      </w:r>
    </w:p>
    <w:p w14:paraId="7541C76B" w14:textId="63DF1017" w:rsidR="007B6103" w:rsidRPr="004224F6" w:rsidRDefault="007B6103" w:rsidP="007B6103">
      <w:pPr>
        <w:ind w:left="720"/>
        <w:rPr>
          <w:rFonts w:ascii="Times New Roman" w:hAnsi="Times New Roman" w:cs="Times New Roman"/>
          <w:lang w:val="ru-RU"/>
        </w:rPr>
      </w:pPr>
      <w:r w:rsidRPr="004224F6">
        <w:rPr>
          <w:rFonts w:ascii="Times New Roman" w:hAnsi="Times New Roman" w:cs="Times New Roman"/>
          <w:lang w:val="ru-RU"/>
        </w:rPr>
        <w:t xml:space="preserve">- </w:t>
      </w:r>
      <w:r w:rsidR="00D70786" w:rsidRPr="004224F6">
        <w:rPr>
          <w:rFonts w:ascii="Times New Roman" w:hAnsi="Times New Roman" w:cs="Times New Roman"/>
          <w:lang w:val="ru-RU"/>
        </w:rPr>
        <w:t xml:space="preserve">член </w:t>
      </w:r>
      <w:r w:rsidRPr="004224F6">
        <w:rPr>
          <w:rFonts w:ascii="Times New Roman" w:hAnsi="Times New Roman" w:cs="Times New Roman"/>
          <w:lang w:val="ru-RU"/>
        </w:rPr>
        <w:t>9.09</w:t>
      </w:r>
      <w:r w:rsidR="00D70786" w:rsidRPr="004224F6">
        <w:rPr>
          <w:rFonts w:ascii="Times New Roman" w:hAnsi="Times New Roman" w:cs="Times New Roman"/>
          <w:lang w:val="ru-RU"/>
        </w:rPr>
        <w:t>, 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2</w:t>
      </w:r>
      <w:r w:rsidR="00D70786" w:rsidRPr="004224F6">
        <w:rPr>
          <w:rFonts w:ascii="Times New Roman" w:hAnsi="Times New Roman" w:cs="Times New Roman"/>
          <w:lang w:val="ru-RU"/>
        </w:rPr>
        <w:t xml:space="preserve">, буква </w:t>
      </w:r>
      <w:r w:rsidR="003A2DA4" w:rsidRPr="004224F6">
        <w:rPr>
          <w:rFonts w:ascii="Times New Roman" w:hAnsi="Times New Roman" w:cs="Times New Roman"/>
          <w:lang w:val="ru-RU"/>
        </w:rPr>
        <w:t>“</w:t>
      </w:r>
      <w:r w:rsidRPr="004224F6">
        <w:rPr>
          <w:rFonts w:ascii="Times New Roman" w:hAnsi="Times New Roman" w:cs="Times New Roman"/>
        </w:rPr>
        <w:t>a</w:t>
      </w:r>
      <w:r w:rsidR="003A2DA4" w:rsidRPr="004224F6">
        <w:rPr>
          <w:rFonts w:ascii="Times New Roman" w:hAnsi="Times New Roman" w:cs="Times New Roman"/>
          <w:lang w:val="ru-RU"/>
        </w:rPr>
        <w:t>“</w:t>
      </w:r>
      <w:r w:rsidRPr="004224F6">
        <w:rPr>
          <w:rFonts w:ascii="Times New Roman" w:hAnsi="Times New Roman" w:cs="Times New Roman"/>
          <w:lang w:val="ru-RU"/>
        </w:rPr>
        <w:t xml:space="preserve">, </w:t>
      </w:r>
      <w:r w:rsidR="00D70786" w:rsidRPr="004224F6">
        <w:rPr>
          <w:rFonts w:ascii="Times New Roman" w:hAnsi="Times New Roman" w:cs="Times New Roman"/>
          <w:lang w:val="ru-RU"/>
        </w:rPr>
        <w:t>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4</w:t>
      </w:r>
      <w:r w:rsidR="00093A9E" w:rsidRPr="004224F6">
        <w:rPr>
          <w:rFonts w:ascii="Times New Roman" w:hAnsi="Times New Roman" w:cs="Times New Roman"/>
          <w:lang w:val="ru-RU"/>
        </w:rPr>
        <w:t>, буква</w:t>
      </w:r>
      <w:r w:rsidR="00093A9E" w:rsidRPr="004224F6" w:rsidDel="00093A9E">
        <w:rPr>
          <w:rFonts w:ascii="Times New Roman" w:hAnsi="Times New Roman" w:cs="Times New Roman"/>
          <w:lang w:val="ru-RU"/>
        </w:rPr>
        <w:t xml:space="preserve"> </w:t>
      </w:r>
      <w:r w:rsidR="003A2DA4" w:rsidRPr="004224F6">
        <w:rPr>
          <w:rFonts w:ascii="Times New Roman" w:hAnsi="Times New Roman" w:cs="Times New Roman"/>
          <w:lang w:val="ru-RU"/>
        </w:rPr>
        <w:t>“</w:t>
      </w:r>
      <w:r w:rsidRPr="004224F6">
        <w:rPr>
          <w:rFonts w:ascii="Times New Roman" w:hAnsi="Times New Roman" w:cs="Times New Roman"/>
        </w:rPr>
        <w:t>a</w:t>
      </w:r>
      <w:r w:rsidR="003A2DA4" w:rsidRPr="004224F6">
        <w:rPr>
          <w:rFonts w:ascii="Times New Roman" w:hAnsi="Times New Roman" w:cs="Times New Roman"/>
          <w:lang w:val="ru-RU"/>
        </w:rPr>
        <w:t>“</w:t>
      </w:r>
      <w:r w:rsidRPr="004224F6">
        <w:rPr>
          <w:rFonts w:ascii="Times New Roman" w:hAnsi="Times New Roman" w:cs="Times New Roman"/>
          <w:lang w:val="ru-RU"/>
        </w:rPr>
        <w:t xml:space="preserve">, </w:t>
      </w:r>
      <w:r w:rsidR="00D70786" w:rsidRPr="004224F6">
        <w:rPr>
          <w:rFonts w:ascii="Times New Roman" w:hAnsi="Times New Roman" w:cs="Times New Roman"/>
          <w:lang w:val="ru-RU"/>
        </w:rPr>
        <w:t>т</w:t>
      </w:r>
      <w:r w:rsidR="003A2DA4" w:rsidRPr="004224F6">
        <w:rPr>
          <w:rFonts w:ascii="Times New Roman" w:hAnsi="Times New Roman" w:cs="Times New Roman"/>
          <w:lang w:val="ru-RU"/>
        </w:rPr>
        <w:t>.</w:t>
      </w:r>
      <w:r w:rsidRPr="004224F6">
        <w:rPr>
          <w:rFonts w:ascii="Times New Roman" w:hAnsi="Times New Roman" w:cs="Times New Roman"/>
          <w:lang w:val="ru-RU"/>
        </w:rPr>
        <w:t>5</w:t>
      </w:r>
      <w:r w:rsidR="00093A9E" w:rsidRPr="004224F6">
        <w:rPr>
          <w:rFonts w:ascii="Times New Roman" w:hAnsi="Times New Roman" w:cs="Times New Roman"/>
          <w:lang w:val="ru-RU"/>
        </w:rPr>
        <w:t>, буква</w:t>
      </w:r>
      <w:r w:rsidR="00093A9E" w:rsidRPr="004224F6" w:rsidDel="00093A9E">
        <w:rPr>
          <w:rFonts w:ascii="Times New Roman" w:hAnsi="Times New Roman" w:cs="Times New Roman"/>
          <w:lang w:val="ru-RU"/>
        </w:rPr>
        <w:t xml:space="preserve"> </w:t>
      </w:r>
      <w:r w:rsidR="003A2DA4" w:rsidRPr="004224F6">
        <w:rPr>
          <w:rFonts w:ascii="Times New Roman" w:hAnsi="Times New Roman" w:cs="Times New Roman"/>
          <w:lang w:val="ru-RU"/>
        </w:rPr>
        <w:t>“</w:t>
      </w:r>
      <w:r w:rsidR="003A2DA4" w:rsidRPr="004224F6" w:rsidDel="00093A9E">
        <w:rPr>
          <w:rFonts w:ascii="Times New Roman" w:hAnsi="Times New Roman" w:cs="Times New Roman"/>
          <w:lang w:val="ru-RU"/>
        </w:rPr>
        <w:t xml:space="preserve"> </w:t>
      </w:r>
      <w:r w:rsidRPr="004224F6">
        <w:rPr>
          <w:rFonts w:ascii="Times New Roman" w:hAnsi="Times New Roman" w:cs="Times New Roman"/>
        </w:rPr>
        <w:t>a</w:t>
      </w:r>
      <w:r w:rsidR="003A2DA4" w:rsidRPr="004224F6">
        <w:rPr>
          <w:rFonts w:ascii="Times New Roman" w:hAnsi="Times New Roman" w:cs="Times New Roman"/>
          <w:lang w:val="ru-RU"/>
        </w:rPr>
        <w:t>“</w:t>
      </w:r>
      <w:r w:rsidRPr="004224F6">
        <w:rPr>
          <w:rFonts w:ascii="Times New Roman" w:hAnsi="Times New Roman" w:cs="Times New Roman"/>
          <w:lang w:val="ru-RU"/>
        </w:rPr>
        <w:t>,</w:t>
      </w:r>
    </w:p>
    <w:p w14:paraId="778C42FD" w14:textId="264AB2D3" w:rsidR="007B6103" w:rsidRPr="004224F6" w:rsidRDefault="007B6103" w:rsidP="007B6103">
      <w:pPr>
        <w:ind w:left="720"/>
        <w:rPr>
          <w:rFonts w:ascii="Times New Roman" w:hAnsi="Times New Roman" w:cs="Times New Roman"/>
          <w:lang w:val="ru-RU"/>
        </w:rPr>
      </w:pPr>
      <w:r w:rsidRPr="004224F6">
        <w:rPr>
          <w:rFonts w:ascii="Times New Roman" w:hAnsi="Times New Roman" w:cs="Times New Roman"/>
          <w:lang w:val="ru-RU"/>
        </w:rPr>
        <w:t xml:space="preserve">- </w:t>
      </w:r>
      <w:r w:rsidR="00D70786" w:rsidRPr="004224F6">
        <w:rPr>
          <w:rFonts w:ascii="Times New Roman" w:hAnsi="Times New Roman" w:cs="Times New Roman"/>
          <w:lang w:val="ru-RU"/>
        </w:rPr>
        <w:t xml:space="preserve">член </w:t>
      </w:r>
      <w:r w:rsidRPr="004224F6">
        <w:rPr>
          <w:rFonts w:ascii="Times New Roman" w:hAnsi="Times New Roman" w:cs="Times New Roman"/>
          <w:lang w:val="ru-RU"/>
        </w:rPr>
        <w:t>11.01</w:t>
      </w:r>
      <w:r w:rsidR="00D70786" w:rsidRPr="004224F6">
        <w:rPr>
          <w:rFonts w:ascii="Times New Roman" w:hAnsi="Times New Roman" w:cs="Times New Roman"/>
          <w:lang w:val="ru-RU"/>
        </w:rPr>
        <w:t>, 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 xml:space="preserve">3, </w:t>
      </w:r>
    </w:p>
    <w:p w14:paraId="7B949380" w14:textId="36CEBBA4" w:rsidR="007B6103" w:rsidRPr="004224F6" w:rsidRDefault="007B6103" w:rsidP="007B6103">
      <w:pPr>
        <w:ind w:left="720"/>
        <w:rPr>
          <w:rFonts w:ascii="Times New Roman" w:hAnsi="Times New Roman" w:cs="Times New Roman"/>
          <w:lang w:val="ru-RU"/>
        </w:rPr>
      </w:pPr>
      <w:r w:rsidRPr="004224F6">
        <w:rPr>
          <w:rFonts w:ascii="Times New Roman" w:hAnsi="Times New Roman" w:cs="Times New Roman"/>
          <w:lang w:val="ru-RU"/>
        </w:rPr>
        <w:t xml:space="preserve">- </w:t>
      </w:r>
      <w:r w:rsidR="00D70786" w:rsidRPr="004224F6">
        <w:rPr>
          <w:rFonts w:ascii="Times New Roman" w:hAnsi="Times New Roman" w:cs="Times New Roman"/>
          <w:lang w:val="ru-RU"/>
        </w:rPr>
        <w:t xml:space="preserve">член </w:t>
      </w:r>
      <w:r w:rsidRPr="004224F6">
        <w:rPr>
          <w:rFonts w:ascii="Times New Roman" w:hAnsi="Times New Roman" w:cs="Times New Roman"/>
          <w:lang w:val="ru-RU"/>
        </w:rPr>
        <w:t>11.04</w:t>
      </w:r>
      <w:r w:rsidR="00D70786" w:rsidRPr="004224F6">
        <w:rPr>
          <w:rFonts w:ascii="Times New Roman" w:hAnsi="Times New Roman" w:cs="Times New Roman"/>
          <w:lang w:val="ru-RU"/>
        </w:rPr>
        <w:t>,</w:t>
      </w:r>
      <w:r w:rsidRPr="004224F6">
        <w:rPr>
          <w:rFonts w:ascii="Times New Roman" w:hAnsi="Times New Roman" w:cs="Times New Roman"/>
          <w:lang w:val="ru-RU"/>
        </w:rPr>
        <w:t xml:space="preserve"> </w:t>
      </w:r>
      <w:r w:rsidR="00D70786" w:rsidRPr="004224F6">
        <w:rPr>
          <w:rFonts w:ascii="Times New Roman" w:hAnsi="Times New Roman" w:cs="Times New Roman"/>
          <w:lang w:val="ru-RU"/>
        </w:rPr>
        <w:t>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3,</w:t>
      </w:r>
    </w:p>
    <w:p w14:paraId="0DEB812D" w14:textId="3D1D442F" w:rsidR="007B6103" w:rsidRPr="004224F6" w:rsidRDefault="007B6103" w:rsidP="007B6103">
      <w:pPr>
        <w:ind w:left="720"/>
        <w:rPr>
          <w:rFonts w:ascii="Times New Roman" w:hAnsi="Times New Roman" w:cs="Times New Roman"/>
          <w:lang w:val="ru-RU"/>
        </w:rPr>
      </w:pPr>
      <w:r w:rsidRPr="004224F6">
        <w:rPr>
          <w:rFonts w:ascii="Times New Roman" w:hAnsi="Times New Roman" w:cs="Times New Roman"/>
          <w:lang w:val="ru-RU"/>
        </w:rPr>
        <w:t xml:space="preserve">- </w:t>
      </w:r>
      <w:r w:rsidR="00D70786" w:rsidRPr="004224F6">
        <w:rPr>
          <w:rFonts w:ascii="Times New Roman" w:hAnsi="Times New Roman" w:cs="Times New Roman"/>
          <w:lang w:val="ru-RU"/>
        </w:rPr>
        <w:t xml:space="preserve">член </w:t>
      </w:r>
      <w:r w:rsidRPr="004224F6">
        <w:rPr>
          <w:rFonts w:ascii="Times New Roman" w:hAnsi="Times New Roman" w:cs="Times New Roman"/>
          <w:lang w:val="ru-RU"/>
        </w:rPr>
        <w:t>11.08</w:t>
      </w:r>
      <w:r w:rsidR="00D70786" w:rsidRPr="004224F6">
        <w:rPr>
          <w:rFonts w:ascii="Times New Roman" w:hAnsi="Times New Roman" w:cs="Times New Roman"/>
          <w:lang w:val="ru-RU"/>
        </w:rPr>
        <w:t>, 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 xml:space="preserve">1 и </w:t>
      </w:r>
      <w:r w:rsidR="00D70786" w:rsidRPr="004224F6">
        <w:rPr>
          <w:rFonts w:ascii="Times New Roman" w:hAnsi="Times New Roman" w:cs="Times New Roman"/>
          <w:lang w:val="ru-RU"/>
        </w:rPr>
        <w:t>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2,</w:t>
      </w:r>
    </w:p>
    <w:p w14:paraId="1EC74F93" w14:textId="5B61D1EC" w:rsidR="007B6103" w:rsidRPr="004224F6" w:rsidRDefault="007B6103" w:rsidP="007B6103">
      <w:pPr>
        <w:ind w:left="720"/>
        <w:rPr>
          <w:rFonts w:ascii="Times New Roman" w:hAnsi="Times New Roman" w:cs="Times New Roman"/>
          <w:lang w:val="ru-RU"/>
        </w:rPr>
      </w:pPr>
      <w:r w:rsidRPr="004224F6">
        <w:rPr>
          <w:rFonts w:ascii="Times New Roman" w:hAnsi="Times New Roman" w:cs="Times New Roman"/>
          <w:lang w:val="ru-RU"/>
        </w:rPr>
        <w:t xml:space="preserve">- </w:t>
      </w:r>
      <w:r w:rsidR="00D70786" w:rsidRPr="004224F6">
        <w:rPr>
          <w:rFonts w:ascii="Times New Roman" w:hAnsi="Times New Roman" w:cs="Times New Roman"/>
          <w:lang w:val="ru-RU"/>
        </w:rPr>
        <w:t xml:space="preserve">член </w:t>
      </w:r>
      <w:r w:rsidRPr="004224F6">
        <w:rPr>
          <w:rFonts w:ascii="Times New Roman" w:hAnsi="Times New Roman" w:cs="Times New Roman"/>
          <w:lang w:val="ru-RU"/>
        </w:rPr>
        <w:t>13.05</w:t>
      </w:r>
      <w:r w:rsidR="00D70786" w:rsidRPr="004224F6">
        <w:rPr>
          <w:rFonts w:ascii="Times New Roman" w:hAnsi="Times New Roman" w:cs="Times New Roman"/>
          <w:lang w:val="ru-RU"/>
        </w:rPr>
        <w:t>, 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2</w:t>
      </w:r>
      <w:r w:rsidR="00093A9E" w:rsidRPr="004224F6">
        <w:rPr>
          <w:rFonts w:ascii="Times New Roman" w:hAnsi="Times New Roman" w:cs="Times New Roman"/>
          <w:lang w:val="ru-RU"/>
        </w:rPr>
        <w:t xml:space="preserve">, буква </w:t>
      </w:r>
      <w:r w:rsidR="003A2DA4" w:rsidRPr="004224F6">
        <w:rPr>
          <w:rFonts w:ascii="Times New Roman" w:hAnsi="Times New Roman" w:cs="Times New Roman"/>
          <w:lang w:val="ru-RU"/>
        </w:rPr>
        <w:t>“</w:t>
      </w:r>
      <w:r w:rsidRPr="004224F6">
        <w:rPr>
          <w:rFonts w:ascii="Times New Roman" w:hAnsi="Times New Roman" w:cs="Times New Roman"/>
        </w:rPr>
        <w:t>a</w:t>
      </w:r>
      <w:r w:rsidR="003A2DA4" w:rsidRPr="004224F6">
        <w:rPr>
          <w:rFonts w:ascii="Times New Roman" w:hAnsi="Times New Roman" w:cs="Times New Roman"/>
          <w:lang w:val="ru-RU"/>
        </w:rPr>
        <w:t>“</w:t>
      </w:r>
      <w:r w:rsidRPr="004224F6">
        <w:rPr>
          <w:rFonts w:ascii="Times New Roman" w:hAnsi="Times New Roman" w:cs="Times New Roman"/>
          <w:lang w:val="ru-RU"/>
        </w:rPr>
        <w:t>,</w:t>
      </w:r>
    </w:p>
    <w:p w14:paraId="5F448508" w14:textId="6948D49A" w:rsidR="007B6103" w:rsidRPr="004224F6" w:rsidRDefault="007B6103" w:rsidP="007B6103">
      <w:pPr>
        <w:ind w:left="720"/>
        <w:rPr>
          <w:rFonts w:ascii="Times New Roman" w:hAnsi="Times New Roman" w:cs="Times New Roman"/>
          <w:lang w:val="ru-RU"/>
        </w:rPr>
      </w:pPr>
      <w:r w:rsidRPr="004224F6">
        <w:rPr>
          <w:rFonts w:ascii="Times New Roman" w:hAnsi="Times New Roman" w:cs="Times New Roman"/>
          <w:lang w:val="ru-RU"/>
        </w:rPr>
        <w:t xml:space="preserve">- </w:t>
      </w:r>
      <w:r w:rsidR="00D70786" w:rsidRPr="004224F6">
        <w:rPr>
          <w:rFonts w:ascii="Times New Roman" w:hAnsi="Times New Roman" w:cs="Times New Roman"/>
          <w:lang w:val="ru-RU"/>
        </w:rPr>
        <w:t xml:space="preserve">член </w:t>
      </w:r>
      <w:r w:rsidRPr="004224F6">
        <w:rPr>
          <w:rFonts w:ascii="Times New Roman" w:hAnsi="Times New Roman" w:cs="Times New Roman"/>
          <w:lang w:val="ru-RU"/>
        </w:rPr>
        <w:t>19.07</w:t>
      </w:r>
      <w:r w:rsidR="00D70786" w:rsidRPr="004224F6">
        <w:rPr>
          <w:rFonts w:ascii="Times New Roman" w:hAnsi="Times New Roman" w:cs="Times New Roman"/>
          <w:lang w:val="ru-RU"/>
        </w:rPr>
        <w:t>, 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1,</w:t>
      </w:r>
    </w:p>
    <w:p w14:paraId="62B05A72" w14:textId="6D9B08BF" w:rsidR="007B6103" w:rsidRPr="004224F6" w:rsidRDefault="007B6103" w:rsidP="007B6103">
      <w:pPr>
        <w:ind w:left="720"/>
        <w:rPr>
          <w:rFonts w:ascii="Times New Roman" w:hAnsi="Times New Roman" w:cs="Times New Roman"/>
          <w:lang w:val="ru-RU"/>
        </w:rPr>
      </w:pPr>
      <w:r w:rsidRPr="004224F6">
        <w:rPr>
          <w:rFonts w:ascii="Times New Roman" w:hAnsi="Times New Roman" w:cs="Times New Roman"/>
          <w:lang w:val="ru-RU"/>
        </w:rPr>
        <w:t xml:space="preserve">- </w:t>
      </w:r>
      <w:r w:rsidR="00D70786" w:rsidRPr="004224F6">
        <w:rPr>
          <w:rFonts w:ascii="Times New Roman" w:hAnsi="Times New Roman" w:cs="Times New Roman"/>
          <w:lang w:val="ru-RU"/>
        </w:rPr>
        <w:t xml:space="preserve">член </w:t>
      </w:r>
      <w:r w:rsidRPr="004224F6">
        <w:rPr>
          <w:rFonts w:ascii="Times New Roman" w:hAnsi="Times New Roman" w:cs="Times New Roman"/>
          <w:lang w:val="ru-RU"/>
        </w:rPr>
        <w:t>28.04</w:t>
      </w:r>
      <w:r w:rsidR="00D70786" w:rsidRPr="004224F6">
        <w:rPr>
          <w:rFonts w:ascii="Times New Roman" w:hAnsi="Times New Roman" w:cs="Times New Roman"/>
          <w:lang w:val="ru-RU"/>
        </w:rPr>
        <w:t>, т</w:t>
      </w:r>
      <w:r w:rsidR="003A2DA4" w:rsidRPr="004224F6">
        <w:rPr>
          <w:rFonts w:ascii="Times New Roman" w:hAnsi="Times New Roman" w:cs="Times New Roman"/>
          <w:lang w:val="ru-RU"/>
        </w:rPr>
        <w:t>.</w:t>
      </w:r>
      <w:r w:rsidR="00D70786" w:rsidRPr="004224F6">
        <w:rPr>
          <w:rFonts w:ascii="Times New Roman" w:hAnsi="Times New Roman" w:cs="Times New Roman"/>
          <w:lang w:val="ru-RU"/>
        </w:rPr>
        <w:t xml:space="preserve"> </w:t>
      </w:r>
      <w:r w:rsidRPr="004224F6">
        <w:rPr>
          <w:rFonts w:ascii="Times New Roman" w:hAnsi="Times New Roman" w:cs="Times New Roman"/>
          <w:lang w:val="ru-RU"/>
        </w:rPr>
        <w:t>1</w:t>
      </w:r>
      <w:r w:rsidR="00D70786" w:rsidRPr="004224F6">
        <w:rPr>
          <w:rFonts w:ascii="Times New Roman" w:hAnsi="Times New Roman" w:cs="Times New Roman"/>
          <w:lang w:val="ru-RU"/>
        </w:rPr>
        <w:t xml:space="preserve">, </w:t>
      </w:r>
      <w:r w:rsidR="00093A9E" w:rsidRPr="004224F6">
        <w:rPr>
          <w:rFonts w:ascii="Times New Roman" w:hAnsi="Times New Roman" w:cs="Times New Roman"/>
          <w:lang w:val="ru-RU"/>
        </w:rPr>
        <w:t xml:space="preserve">буква </w:t>
      </w:r>
      <w:r w:rsidR="003A2DA4" w:rsidRPr="004224F6">
        <w:rPr>
          <w:rFonts w:ascii="Times New Roman" w:hAnsi="Times New Roman" w:cs="Times New Roman"/>
          <w:lang w:val="ru-RU"/>
        </w:rPr>
        <w:t>“</w:t>
      </w:r>
      <w:r w:rsidRPr="004224F6">
        <w:rPr>
          <w:rFonts w:ascii="Times New Roman" w:hAnsi="Times New Roman" w:cs="Times New Roman"/>
        </w:rPr>
        <w:t>a</w:t>
      </w:r>
      <w:r w:rsidR="003A2DA4" w:rsidRPr="004224F6">
        <w:rPr>
          <w:rFonts w:ascii="Times New Roman" w:hAnsi="Times New Roman" w:cs="Times New Roman"/>
          <w:lang w:val="ru-RU"/>
        </w:rPr>
        <w:t>“</w:t>
      </w:r>
      <w:r w:rsidRPr="004224F6">
        <w:rPr>
          <w:rFonts w:ascii="Times New Roman" w:hAnsi="Times New Roman" w:cs="Times New Roman"/>
          <w:lang w:val="ru-RU"/>
        </w:rPr>
        <w:t xml:space="preserve"> и</w:t>
      </w:r>
    </w:p>
    <w:p w14:paraId="228ABFC0" w14:textId="7B620F77" w:rsidR="007B6103" w:rsidRPr="004224F6" w:rsidRDefault="007B6103" w:rsidP="007B6103">
      <w:pPr>
        <w:ind w:left="720"/>
        <w:rPr>
          <w:rFonts w:ascii="Times New Roman" w:hAnsi="Times New Roman" w:cs="Times New Roman"/>
          <w:strike/>
          <w:lang w:val="ru-RU"/>
        </w:rPr>
      </w:pPr>
      <w:r w:rsidRPr="004224F6">
        <w:rPr>
          <w:rFonts w:ascii="Times New Roman" w:hAnsi="Times New Roman" w:cs="Times New Roman"/>
          <w:lang w:val="ru-RU"/>
        </w:rPr>
        <w:t xml:space="preserve">- </w:t>
      </w:r>
      <w:r w:rsidR="00D70786" w:rsidRPr="004224F6">
        <w:rPr>
          <w:rFonts w:ascii="Times New Roman" w:hAnsi="Times New Roman" w:cs="Times New Roman"/>
          <w:lang w:val="ru-RU"/>
        </w:rPr>
        <w:t xml:space="preserve">член </w:t>
      </w:r>
      <w:r w:rsidRPr="004224F6">
        <w:rPr>
          <w:rFonts w:ascii="Times New Roman" w:hAnsi="Times New Roman" w:cs="Times New Roman"/>
          <w:lang w:val="ru-RU"/>
        </w:rPr>
        <w:t>30.06</w:t>
      </w:r>
    </w:p>
    <w:p w14:paraId="3FEAF7A6" w14:textId="46A26FAE"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 се счита за достатъчна, ако плавателният съд или формированието, задвижвано от плавателния съд, достига скорост от 6,5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 xml:space="preserve"> спрямо водата и може да започне </w:t>
      </w:r>
      <w:r w:rsidR="00596629" w:rsidRPr="004224F6">
        <w:rPr>
          <w:rFonts w:ascii="Times New Roman" w:hAnsi="Times New Roman" w:cs="Times New Roman"/>
        </w:rPr>
        <w:t xml:space="preserve"> маневра за завиване </w:t>
      </w:r>
      <w:r w:rsidR="00596629" w:rsidRPr="004224F6">
        <w:rPr>
          <w:rFonts w:ascii="Times New Roman" w:hAnsi="Times New Roman" w:cs="Times New Roman"/>
          <w:lang w:val="ru-RU"/>
        </w:rPr>
        <w:t xml:space="preserve"> </w:t>
      </w:r>
      <w:r w:rsidRPr="004224F6">
        <w:rPr>
          <w:rFonts w:ascii="Times New Roman" w:hAnsi="Times New Roman" w:cs="Times New Roman"/>
          <w:lang w:val="ru-RU"/>
        </w:rPr>
        <w:t>със скорост от 20°/</w:t>
      </w:r>
      <w:r w:rsidRPr="004224F6">
        <w:rPr>
          <w:rFonts w:ascii="Times New Roman" w:hAnsi="Times New Roman" w:cs="Times New Roman"/>
        </w:rPr>
        <w:t>min</w:t>
      </w:r>
      <w:r w:rsidRPr="004224F6">
        <w:rPr>
          <w:rFonts w:ascii="Times New Roman" w:hAnsi="Times New Roman" w:cs="Times New Roman"/>
          <w:lang w:val="ru-RU"/>
        </w:rPr>
        <w:t xml:space="preserve"> и да поддържа тази ъглова скорост</w:t>
      </w:r>
      <w:r w:rsidR="001F7475" w:rsidRPr="004224F6">
        <w:rPr>
          <w:rFonts w:ascii="Times New Roman" w:hAnsi="Times New Roman" w:cs="Times New Roman"/>
        </w:rPr>
        <w:t xml:space="preserve"> </w:t>
      </w:r>
      <w:r w:rsidR="0078218A" w:rsidRPr="004224F6">
        <w:rPr>
          <w:rFonts w:ascii="Times New Roman" w:hAnsi="Times New Roman" w:cs="Times New Roman"/>
          <w:lang w:val="ru-RU"/>
        </w:rPr>
        <w:t>на завиване</w:t>
      </w:r>
      <w:r w:rsidRPr="004224F6">
        <w:rPr>
          <w:rFonts w:ascii="Times New Roman" w:hAnsi="Times New Roman" w:cs="Times New Roman"/>
          <w:lang w:val="ru-RU"/>
        </w:rPr>
        <w:t xml:space="preserve"> при скорост спрямо водата от 6,5 </w:t>
      </w:r>
      <w:r w:rsidRPr="004224F6">
        <w:rPr>
          <w:rFonts w:ascii="Times New Roman" w:hAnsi="Times New Roman" w:cs="Times New Roman"/>
        </w:rPr>
        <w:t>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w:t>
      </w:r>
    </w:p>
    <w:p w14:paraId="342B7F69"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Ходови изпитвания</w:t>
      </w:r>
    </w:p>
    <w:p w14:paraId="03C3AC66" w14:textId="77777777" w:rsidR="00271FA2" w:rsidRPr="004224F6" w:rsidRDefault="00D35E51">
      <w:pPr>
        <w:spacing w:line="240" w:lineRule="atLeast"/>
        <w:ind w:left="567"/>
        <w:rPr>
          <w:rFonts w:ascii="Times New Roman" w:hAnsi="Times New Roman" w:cs="Times New Roman"/>
          <w:lang w:val="ru-RU"/>
        </w:rPr>
      </w:pPr>
      <w:r w:rsidRPr="004224F6">
        <w:rPr>
          <w:rFonts w:ascii="Times New Roman" w:hAnsi="Times New Roman" w:cs="Times New Roman"/>
          <w:lang w:val="ru-RU"/>
        </w:rPr>
        <w:t>При проверката за минималните изисквания се спазват членове 5.03 и 5.04.</w:t>
      </w:r>
    </w:p>
    <w:p w14:paraId="04B982F3"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5BE1591A"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6F241674"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567E6271"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49935E18" w14:textId="77777777" w:rsidR="00271FA2" w:rsidRPr="004224F6" w:rsidRDefault="00D35E51">
      <w:pPr>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br w:type="page"/>
      </w:r>
    </w:p>
    <w:p w14:paraId="358D9EC7"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44"/>
          <w:footnotePr>
            <w:numRestart w:val="eachPage"/>
          </w:footnotePr>
          <w:pgSz w:w="11907" w:h="16840"/>
          <w:pgMar w:top="1134" w:right="1134" w:bottom="1134" w:left="1134" w:header="709" w:footer="709" w:gutter="0"/>
          <w:cols w:space="720"/>
          <w:docGrid w:linePitch="326"/>
        </w:sectPr>
      </w:pPr>
    </w:p>
    <w:p w14:paraId="15110CE4" w14:textId="77777777" w:rsidR="00271FA2" w:rsidRPr="004224F6" w:rsidRDefault="00D35E51">
      <w:pPr>
        <w:pStyle w:val="ES-Titre2ESI"/>
        <w:rPr>
          <w:rFonts w:ascii="Times New Roman" w:hAnsi="Times New Roman" w:cs="Times New Roman"/>
          <w:lang w:val="ru-RU"/>
        </w:rPr>
      </w:pPr>
      <w:bookmarkStart w:id="695" w:name="_Toc535827802"/>
      <w:bookmarkStart w:id="696" w:name="_Toc491854361"/>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-12</w:t>
      </w:r>
      <w:r w:rsidRPr="004224F6">
        <w:rPr>
          <w:rFonts w:ascii="Times New Roman" w:hAnsi="Times New Roman" w:cs="Times New Roman"/>
          <w:lang w:val="ru-RU"/>
        </w:rPr>
        <w:br/>
        <w:t>Подходяща пожароизвестителна система</w:t>
      </w:r>
      <w:bookmarkEnd w:id="695"/>
      <w:bookmarkEnd w:id="696"/>
    </w:p>
    <w:p w14:paraId="4A283D13" w14:textId="3DE0A097" w:rsidR="00271FA2" w:rsidRPr="004224F6" w:rsidRDefault="00D35E51" w:rsidP="00141D54">
      <w:pPr>
        <w:tabs>
          <w:tab w:val="left" w:pos="426"/>
          <w:tab w:val="left" w:pos="709"/>
        </w:tabs>
        <w:spacing w:after="240" w:line="240" w:lineRule="atLeast"/>
        <w:ind w:left="709" w:hanging="709"/>
        <w:jc w:val="center"/>
        <w:rPr>
          <w:rFonts w:ascii="Times New Roman" w:hAnsi="Times New Roman" w:cs="Times New Roman"/>
          <w:b/>
          <w:lang w:val="ru-RU"/>
        </w:rPr>
      </w:pPr>
      <w:r w:rsidRPr="004224F6">
        <w:rPr>
          <w:rFonts w:ascii="Times New Roman" w:hAnsi="Times New Roman" w:cs="Times New Roman"/>
          <w:b/>
          <w:lang w:val="ru-RU"/>
        </w:rPr>
        <w:t xml:space="preserve">(член 13.05, </w:t>
      </w:r>
      <w:r w:rsidR="002D5535" w:rsidRPr="004224F6">
        <w:rPr>
          <w:rFonts w:ascii="Times New Roman" w:hAnsi="Times New Roman" w:cs="Times New Roman"/>
          <w:b/>
          <w:lang w:val="ru-RU"/>
        </w:rPr>
        <w:t xml:space="preserve">т. </w:t>
      </w:r>
      <w:r w:rsidRPr="004224F6">
        <w:rPr>
          <w:rFonts w:ascii="Times New Roman" w:hAnsi="Times New Roman" w:cs="Times New Roman"/>
          <w:b/>
          <w:lang w:val="ru-RU"/>
        </w:rPr>
        <w:t xml:space="preserve">3, </w:t>
      </w:r>
      <w:r w:rsidR="00D94219" w:rsidRPr="004224F6">
        <w:rPr>
          <w:rFonts w:ascii="Times New Roman" w:hAnsi="Times New Roman" w:cs="Times New Roman"/>
          <w:b/>
          <w:lang w:val="ru-RU"/>
        </w:rPr>
        <w:t>член 13.06</w:t>
      </w:r>
      <w:r w:rsidR="002D5535" w:rsidRPr="004224F6">
        <w:rPr>
          <w:rFonts w:ascii="Times New Roman" w:hAnsi="Times New Roman" w:cs="Times New Roman"/>
          <w:b/>
          <w:lang w:val="ru-RU"/>
        </w:rPr>
        <w:t>,</w:t>
      </w:r>
      <w:r w:rsidR="00D94219" w:rsidRPr="004224F6">
        <w:rPr>
          <w:rFonts w:ascii="Times New Roman" w:hAnsi="Times New Roman" w:cs="Times New Roman"/>
          <w:b/>
          <w:lang w:val="ru-RU"/>
        </w:rPr>
        <w:t xml:space="preserve"> т</w:t>
      </w:r>
      <w:r w:rsidR="002D5535" w:rsidRPr="004224F6">
        <w:rPr>
          <w:rFonts w:ascii="Times New Roman" w:hAnsi="Times New Roman" w:cs="Times New Roman"/>
          <w:b/>
          <w:lang w:val="ru-RU"/>
        </w:rPr>
        <w:t>.</w:t>
      </w:r>
      <w:r w:rsidR="00D94219" w:rsidRPr="004224F6">
        <w:rPr>
          <w:rFonts w:ascii="Times New Roman" w:hAnsi="Times New Roman" w:cs="Times New Roman"/>
          <w:b/>
          <w:lang w:val="ru-RU"/>
        </w:rPr>
        <w:t xml:space="preserve"> 2</w:t>
      </w:r>
      <w:r w:rsidR="002D5535" w:rsidRPr="004224F6">
        <w:rPr>
          <w:rFonts w:ascii="Times New Roman" w:hAnsi="Times New Roman" w:cs="Times New Roman"/>
          <w:b/>
          <w:lang w:val="ru-RU"/>
        </w:rPr>
        <w:t>,</w:t>
      </w:r>
      <w:r w:rsidR="00D94219" w:rsidRPr="004224F6">
        <w:rPr>
          <w:rFonts w:ascii="Times New Roman" w:hAnsi="Times New Roman" w:cs="Times New Roman"/>
          <w:b/>
          <w:lang w:val="ru-RU"/>
        </w:rPr>
        <w:t xml:space="preserve"> буква </w:t>
      </w:r>
      <w:r w:rsidR="002D5535" w:rsidRPr="004224F6">
        <w:rPr>
          <w:rFonts w:ascii="Times New Roman" w:hAnsi="Times New Roman" w:cs="Times New Roman"/>
          <w:b/>
          <w:lang w:val="ru-RU"/>
        </w:rPr>
        <w:t xml:space="preserve">“б“, </w:t>
      </w:r>
      <w:r w:rsidRPr="004224F6">
        <w:rPr>
          <w:rFonts w:ascii="Times New Roman" w:hAnsi="Times New Roman" w:cs="Times New Roman"/>
          <w:b/>
          <w:lang w:val="ru-RU"/>
        </w:rPr>
        <w:t xml:space="preserve">член 19.11, </w:t>
      </w:r>
      <w:r w:rsidR="002D5535" w:rsidRPr="004224F6">
        <w:rPr>
          <w:rFonts w:ascii="Times New Roman" w:hAnsi="Times New Roman" w:cs="Times New Roman"/>
          <w:b/>
          <w:lang w:val="ru-RU"/>
        </w:rPr>
        <w:t xml:space="preserve">т. </w:t>
      </w:r>
      <w:r w:rsidRPr="004224F6">
        <w:rPr>
          <w:rFonts w:ascii="Times New Roman" w:hAnsi="Times New Roman" w:cs="Times New Roman"/>
          <w:b/>
          <w:lang w:val="ru-RU"/>
        </w:rPr>
        <w:t xml:space="preserve">18, член 29.10, </w:t>
      </w:r>
      <w:r w:rsidR="00080E4C" w:rsidRPr="004224F6">
        <w:rPr>
          <w:rFonts w:ascii="Times New Roman" w:hAnsi="Times New Roman" w:cs="Times New Roman"/>
          <w:b/>
          <w:lang w:val="ru-RU"/>
        </w:rPr>
        <w:t>т.</w:t>
      </w:r>
      <w:r w:rsidRPr="004224F6">
        <w:rPr>
          <w:rFonts w:ascii="Times New Roman" w:hAnsi="Times New Roman" w:cs="Times New Roman"/>
          <w:b/>
          <w:lang w:val="ru-RU"/>
        </w:rPr>
        <w:t>1)</w:t>
      </w:r>
    </w:p>
    <w:p w14:paraId="38D53812" w14:textId="77777777" w:rsidR="00271FA2" w:rsidRPr="004224F6" w:rsidRDefault="00D35E51">
      <w:pPr>
        <w:tabs>
          <w:tab w:val="left" w:pos="426"/>
          <w:tab w:val="left" w:pos="709"/>
        </w:tabs>
        <w:spacing w:line="240" w:lineRule="atLeast"/>
        <w:jc w:val="both"/>
        <w:rPr>
          <w:rFonts w:ascii="Times New Roman" w:hAnsi="Times New Roman" w:cs="Times New Roman"/>
          <w:szCs w:val="20"/>
          <w:lang w:val="ru-RU"/>
        </w:rPr>
      </w:pPr>
      <w:r w:rsidRPr="004224F6">
        <w:rPr>
          <w:rFonts w:ascii="Times New Roman" w:hAnsi="Times New Roman" w:cs="Times New Roman"/>
          <w:lang w:val="ru-RU"/>
        </w:rPr>
        <w:t>Пожароизвестителните системи се считат подходящи, ако отговарят на следните разпоредби.</w:t>
      </w:r>
    </w:p>
    <w:p w14:paraId="66D4E6A0" w14:textId="77777777" w:rsidR="00271FA2" w:rsidRPr="004224F6" w:rsidRDefault="00D35E51">
      <w:pPr>
        <w:tabs>
          <w:tab w:val="left" w:pos="709"/>
        </w:tabs>
        <w:spacing w:line="240" w:lineRule="atLeast"/>
        <w:ind w:left="709" w:hanging="709"/>
        <w:jc w:val="both"/>
        <w:rPr>
          <w:rFonts w:ascii="Times New Roman" w:hAnsi="Times New Roman" w:cs="Times New Roman"/>
          <w:b/>
          <w:bCs/>
          <w:szCs w:val="20"/>
          <w:lang w:val="ru-RU"/>
        </w:rPr>
      </w:pPr>
      <w:r w:rsidRPr="004224F6">
        <w:rPr>
          <w:rFonts w:ascii="Times New Roman" w:hAnsi="Times New Roman" w:cs="Times New Roman"/>
          <w:b/>
          <w:lang w:val="ru-RU"/>
        </w:rPr>
        <w:t>0.</w:t>
      </w:r>
      <w:r w:rsidRPr="004224F6">
        <w:rPr>
          <w:rFonts w:ascii="Times New Roman" w:hAnsi="Times New Roman" w:cs="Times New Roman"/>
          <w:lang w:val="ru-RU"/>
        </w:rPr>
        <w:tab/>
      </w:r>
      <w:r w:rsidRPr="004224F6">
        <w:rPr>
          <w:rFonts w:ascii="Times New Roman" w:hAnsi="Times New Roman" w:cs="Times New Roman"/>
          <w:b/>
          <w:lang w:val="ru-RU"/>
        </w:rPr>
        <w:t>Компоненти</w:t>
      </w:r>
    </w:p>
    <w:p w14:paraId="10A06B09"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0.1</w:t>
      </w:r>
      <w:r w:rsidRPr="004224F6">
        <w:rPr>
          <w:rFonts w:ascii="Times New Roman" w:hAnsi="Times New Roman" w:cs="Times New Roman"/>
          <w:lang w:val="ru-RU"/>
        </w:rPr>
        <w:tab/>
        <w:t>Пожароизвестителните системи се състоят от:</w:t>
      </w:r>
    </w:p>
    <w:p w14:paraId="7536E2C0" w14:textId="77777777" w:rsidR="00271FA2" w:rsidRPr="004224F6" w:rsidRDefault="00D35E51">
      <w:pPr>
        <w:spacing w:line="240" w:lineRule="atLeast"/>
        <w:ind w:left="993" w:hanging="283"/>
        <w:jc w:val="both"/>
        <w:rPr>
          <w:rFonts w:ascii="Times New Roman" w:hAnsi="Times New Roman" w:cs="Times New Roman"/>
          <w:szCs w:val="20"/>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пожароизвестители, ръчни пож</w:t>
      </w:r>
      <w:r w:rsidR="006261BB" w:rsidRPr="004224F6">
        <w:rPr>
          <w:rFonts w:ascii="Times New Roman" w:hAnsi="Times New Roman" w:cs="Times New Roman"/>
          <w:lang w:val="ru-RU"/>
        </w:rPr>
        <w:t>ароизвестители и други сензори,</w:t>
      </w:r>
    </w:p>
    <w:p w14:paraId="55A5DF94" w14:textId="77777777" w:rsidR="00271FA2" w:rsidRPr="004224F6" w:rsidRDefault="006261BB">
      <w:pPr>
        <w:spacing w:line="240" w:lineRule="atLeast"/>
        <w:ind w:left="993" w:hanging="283"/>
        <w:jc w:val="both"/>
        <w:rPr>
          <w:rFonts w:ascii="Times New Roman" w:hAnsi="Times New Roman" w:cs="Times New Roman"/>
          <w:lang w:val="ru-RU"/>
        </w:rPr>
      </w:pPr>
      <w:r w:rsidRPr="004224F6">
        <w:rPr>
          <w:rFonts w:ascii="Times New Roman" w:hAnsi="Times New Roman" w:cs="Times New Roman"/>
          <w:lang w:val="ru-RU"/>
        </w:rPr>
        <w:t>б)</w:t>
      </w:r>
      <w:r w:rsidRPr="004224F6">
        <w:rPr>
          <w:rFonts w:ascii="Times New Roman" w:hAnsi="Times New Roman" w:cs="Times New Roman"/>
          <w:lang w:val="ru-RU"/>
        </w:rPr>
        <w:tab/>
        <w:t>пожароизвестителна централа</w:t>
      </w:r>
      <w:r w:rsidR="00D35E51" w:rsidRPr="004224F6">
        <w:rPr>
          <w:rFonts w:ascii="Times New Roman" w:hAnsi="Times New Roman" w:cs="Times New Roman"/>
          <w:lang w:val="ru-RU"/>
        </w:rPr>
        <w:t>,</w:t>
      </w:r>
    </w:p>
    <w:p w14:paraId="577F061C" w14:textId="77777777" w:rsidR="00271FA2" w:rsidRPr="004224F6" w:rsidRDefault="00D35E51">
      <w:pPr>
        <w:spacing w:line="240" w:lineRule="atLeast"/>
        <w:ind w:left="993" w:hanging="283"/>
        <w:jc w:val="both"/>
        <w:rPr>
          <w:rFonts w:ascii="Times New Roman" w:hAnsi="Times New Roman" w:cs="Times New Roman"/>
          <w:lang w:val="ru-RU"/>
        </w:rPr>
      </w:pPr>
      <w:r w:rsidRPr="004224F6">
        <w:rPr>
          <w:rFonts w:ascii="Times New Roman" w:hAnsi="Times New Roman" w:cs="Times New Roman"/>
          <w:lang w:val="ru-RU"/>
        </w:rPr>
        <w:t>в)</w:t>
      </w:r>
      <w:r w:rsidRPr="004224F6">
        <w:rPr>
          <w:rFonts w:ascii="Times New Roman" w:hAnsi="Times New Roman" w:cs="Times New Roman"/>
          <w:lang w:val="ru-RU"/>
        </w:rPr>
        <w:tab/>
        <w:t>пожароизвестителни и индикаторни устройства, включително предавателни устройства, когато е необходимо, както и външно захранване.</w:t>
      </w:r>
    </w:p>
    <w:p w14:paraId="3F1A35BE" w14:textId="77777777" w:rsidR="00271FA2" w:rsidRPr="004224F6" w:rsidRDefault="00D35E51">
      <w:pPr>
        <w:spacing w:line="240" w:lineRule="atLeast"/>
        <w:jc w:val="both"/>
        <w:rPr>
          <w:rFonts w:ascii="Times New Roman" w:hAnsi="Times New Roman" w:cs="Times New Roman"/>
          <w:szCs w:val="20"/>
          <w:lang w:val="ru-RU"/>
        </w:rPr>
      </w:pPr>
      <w:r w:rsidRPr="004224F6">
        <w:rPr>
          <w:rFonts w:ascii="Times New Roman" w:hAnsi="Times New Roman" w:cs="Times New Roman"/>
          <w:lang w:val="ru-RU"/>
        </w:rPr>
        <w:t>0.2</w:t>
      </w:r>
      <w:r w:rsidRPr="004224F6">
        <w:rPr>
          <w:rFonts w:ascii="Times New Roman" w:hAnsi="Times New Roman" w:cs="Times New Roman"/>
          <w:lang w:val="ru-RU"/>
        </w:rPr>
        <w:tab/>
        <w:t xml:space="preserve">Пожароизвестителната система може да бъде разделена на една или няколко пожарни </w:t>
      </w:r>
      <w:r w:rsidRPr="004224F6">
        <w:rPr>
          <w:rFonts w:ascii="Times New Roman" w:hAnsi="Times New Roman" w:cs="Times New Roman"/>
          <w:lang w:val="ru-RU"/>
        </w:rPr>
        <w:tab/>
        <w:t>зони.</w:t>
      </w:r>
    </w:p>
    <w:p w14:paraId="6B8C7E22"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0.3</w:t>
      </w:r>
      <w:r w:rsidRPr="004224F6">
        <w:rPr>
          <w:rFonts w:ascii="Times New Roman" w:hAnsi="Times New Roman" w:cs="Times New Roman"/>
          <w:lang w:val="ru-RU"/>
        </w:rPr>
        <w:tab/>
        <w:t>Пожароизвести</w:t>
      </w:r>
      <w:r w:rsidR="00CD2A3A" w:rsidRPr="004224F6">
        <w:rPr>
          <w:rFonts w:ascii="Times New Roman" w:hAnsi="Times New Roman" w:cs="Times New Roman"/>
          <w:lang w:val="ru-RU"/>
        </w:rPr>
        <w:t>телната система може да има един</w:t>
      </w:r>
      <w:r w:rsidRPr="004224F6">
        <w:rPr>
          <w:rFonts w:ascii="Times New Roman" w:hAnsi="Times New Roman" w:cs="Times New Roman"/>
          <w:lang w:val="ru-RU"/>
        </w:rPr>
        <w:t xml:space="preserve"> или няколко контролни и дисплейни панели. </w:t>
      </w:r>
    </w:p>
    <w:p w14:paraId="07CFBC77" w14:textId="77777777" w:rsidR="00271FA2" w:rsidRPr="004224F6" w:rsidRDefault="00D35E51">
      <w:pPr>
        <w:tabs>
          <w:tab w:val="left" w:pos="709"/>
        </w:tabs>
        <w:spacing w:line="240" w:lineRule="atLeast"/>
        <w:ind w:left="709" w:hanging="709"/>
        <w:jc w:val="both"/>
        <w:rPr>
          <w:rFonts w:ascii="Times New Roman" w:hAnsi="Times New Roman" w:cs="Times New Roman"/>
          <w:lang w:val="ru-RU"/>
        </w:rPr>
      </w:pPr>
      <w:r w:rsidRPr="004224F6">
        <w:rPr>
          <w:rFonts w:ascii="Times New Roman" w:hAnsi="Times New Roman" w:cs="Times New Roman"/>
          <w:lang w:val="ru-RU"/>
        </w:rPr>
        <w:t>0.4</w:t>
      </w:r>
      <w:r w:rsidRPr="004224F6">
        <w:rPr>
          <w:rFonts w:ascii="Times New Roman" w:hAnsi="Times New Roman" w:cs="Times New Roman"/>
          <w:lang w:val="ru-RU"/>
        </w:rPr>
        <w:tab/>
        <w:t xml:space="preserve">Пожароизвестителната централа е централното устройство за управление на пожароизвестителната система. Използва се за приемане на входен сигнал от детектор, обработка на сигнала и генериране на изходен сигнал към пожароизвестителните и индикаторни устройства. Пожароизвестителната централа има един или повече табла за управление и индикация. </w:t>
      </w:r>
    </w:p>
    <w:p w14:paraId="477DDA1A"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0.5</w:t>
      </w:r>
      <w:r w:rsidRPr="004224F6">
        <w:rPr>
          <w:rFonts w:ascii="Times New Roman" w:hAnsi="Times New Roman" w:cs="Times New Roman"/>
          <w:lang w:val="ru-RU"/>
        </w:rPr>
        <w:tab/>
        <w:t>В една зона за откриване на пожар може да има един или няколко ръчни пожароизвестители или пожарни датчика.</w:t>
      </w:r>
    </w:p>
    <w:p w14:paraId="4224EC1D" w14:textId="77777777" w:rsidR="00271FA2" w:rsidRPr="004224F6" w:rsidRDefault="00D35E51">
      <w:pPr>
        <w:tabs>
          <w:tab w:val="left" w:pos="709"/>
        </w:tabs>
        <w:spacing w:line="240" w:lineRule="atLeast"/>
        <w:ind w:left="709" w:hanging="709"/>
        <w:jc w:val="both"/>
        <w:rPr>
          <w:rFonts w:ascii="Times New Roman" w:hAnsi="Times New Roman" w:cs="Times New Roman"/>
          <w:lang w:val="ru-RU"/>
        </w:rPr>
      </w:pPr>
      <w:r w:rsidRPr="004224F6">
        <w:rPr>
          <w:rFonts w:ascii="Times New Roman" w:hAnsi="Times New Roman" w:cs="Times New Roman"/>
          <w:lang w:val="ru-RU"/>
        </w:rPr>
        <w:t>0.6</w:t>
      </w:r>
      <w:r w:rsidRPr="004224F6">
        <w:rPr>
          <w:rFonts w:ascii="Times New Roman" w:hAnsi="Times New Roman" w:cs="Times New Roman"/>
          <w:lang w:val="ru-RU"/>
        </w:rPr>
        <w:tab/>
        <w:t>Пожароизвестители, ръчни пожароизвестители и други сензори се използват за автоматично откриване или съобщаване на пожар и изпращане на подходящ сигнал до пожароизвестителния център.</w:t>
      </w:r>
    </w:p>
    <w:p w14:paraId="1D82F81E" w14:textId="77777777" w:rsidR="00271FA2" w:rsidRPr="004224F6" w:rsidRDefault="00D35E51">
      <w:pPr>
        <w:tabs>
          <w:tab w:val="left" w:pos="660"/>
        </w:tabs>
        <w:spacing w:line="240" w:lineRule="atLeast"/>
        <w:ind w:left="674" w:firstLine="35"/>
        <w:jc w:val="both"/>
        <w:rPr>
          <w:rFonts w:ascii="Times New Roman" w:hAnsi="Times New Roman" w:cs="Times New Roman"/>
          <w:lang w:val="ru-RU"/>
        </w:rPr>
      </w:pPr>
      <w:r w:rsidRPr="004224F6">
        <w:rPr>
          <w:rFonts w:ascii="Times New Roman" w:hAnsi="Times New Roman" w:cs="Times New Roman"/>
          <w:lang w:val="ru-RU"/>
        </w:rPr>
        <w:t>Пожароизвестителите датчици автоматично наблюдават своята зона за откриване на пожар въз основа на техния тип на съответните параметри. Те могат да бъдат проектирани като:</w:t>
      </w:r>
    </w:p>
    <w:p w14:paraId="447559BC" w14:textId="77777777" w:rsidR="00271FA2" w:rsidRPr="004224F6" w:rsidRDefault="00D35E51">
      <w:pPr>
        <w:tabs>
          <w:tab w:val="left" w:pos="1134"/>
        </w:tabs>
        <w:spacing w:line="240" w:lineRule="atLeast"/>
        <w:ind w:left="1134" w:hanging="425"/>
        <w:rPr>
          <w:rFonts w:ascii="Times New Roman" w:hAnsi="Times New Roman" w:cs="Times New Roman"/>
          <w:szCs w:val="20"/>
          <w:lang w:val="ru-RU"/>
        </w:rPr>
      </w:pPr>
      <w:r w:rsidRPr="004224F6">
        <w:rPr>
          <w:rFonts w:ascii="Times New Roman" w:hAnsi="Times New Roman" w:cs="Times New Roman"/>
        </w:rPr>
        <w:t>a</w:t>
      </w:r>
      <w:r w:rsidRPr="004224F6">
        <w:rPr>
          <w:rFonts w:ascii="Times New Roman" w:hAnsi="Times New Roman" w:cs="Times New Roman"/>
          <w:lang w:val="ru-RU"/>
        </w:rPr>
        <w:t>) топлинни датчици;</w:t>
      </w:r>
    </w:p>
    <w:p w14:paraId="65005C08" w14:textId="77777777" w:rsidR="00271FA2" w:rsidRPr="004224F6" w:rsidRDefault="00D35E51">
      <w:pPr>
        <w:tabs>
          <w:tab w:val="left" w:pos="1134"/>
        </w:tabs>
        <w:spacing w:line="240" w:lineRule="atLeast"/>
        <w:ind w:left="1134" w:hanging="425"/>
        <w:rPr>
          <w:rFonts w:ascii="Times New Roman" w:hAnsi="Times New Roman" w:cs="Times New Roman"/>
          <w:szCs w:val="20"/>
          <w:lang w:val="ru-RU"/>
        </w:rPr>
      </w:pPr>
      <w:r w:rsidRPr="004224F6">
        <w:rPr>
          <w:rFonts w:ascii="Times New Roman" w:hAnsi="Times New Roman" w:cs="Times New Roman"/>
          <w:lang w:val="ru-RU"/>
        </w:rPr>
        <w:t>б) димни датчици;</w:t>
      </w:r>
    </w:p>
    <w:p w14:paraId="59D79DD5" w14:textId="77777777" w:rsidR="00271FA2" w:rsidRPr="004224F6" w:rsidRDefault="00D35E51">
      <w:pPr>
        <w:tabs>
          <w:tab w:val="left" w:pos="1134"/>
        </w:tabs>
        <w:spacing w:line="240" w:lineRule="atLeast"/>
        <w:ind w:left="1134" w:hanging="425"/>
        <w:rPr>
          <w:rFonts w:ascii="Times New Roman" w:hAnsi="Times New Roman" w:cs="Times New Roman"/>
          <w:szCs w:val="20"/>
          <w:lang w:val="ru-RU"/>
        </w:rPr>
      </w:pPr>
      <w:r w:rsidRPr="004224F6">
        <w:rPr>
          <w:rFonts w:ascii="Times New Roman" w:hAnsi="Times New Roman" w:cs="Times New Roman"/>
          <w:lang w:val="ru-RU"/>
        </w:rPr>
        <w:t>в) детектори на йони;</w:t>
      </w:r>
    </w:p>
    <w:p w14:paraId="3FCEE90B" w14:textId="77777777" w:rsidR="00271FA2" w:rsidRPr="004224F6" w:rsidRDefault="00D35E51">
      <w:pPr>
        <w:tabs>
          <w:tab w:val="left" w:pos="1134"/>
        </w:tabs>
        <w:spacing w:line="240" w:lineRule="atLeast"/>
        <w:ind w:left="1134" w:hanging="425"/>
        <w:rPr>
          <w:rFonts w:ascii="Times New Roman" w:hAnsi="Times New Roman" w:cs="Times New Roman"/>
          <w:lang w:val="ru-RU"/>
        </w:rPr>
      </w:pPr>
      <w:r w:rsidRPr="004224F6">
        <w:rPr>
          <w:rFonts w:ascii="Times New Roman" w:hAnsi="Times New Roman" w:cs="Times New Roman"/>
          <w:lang w:val="ru-RU"/>
        </w:rPr>
        <w:t>г) датчици на пламък;</w:t>
      </w:r>
    </w:p>
    <w:p w14:paraId="7FCF1DB7" w14:textId="77777777" w:rsidR="00271FA2" w:rsidRPr="004224F6" w:rsidRDefault="00D35E51">
      <w:pPr>
        <w:tabs>
          <w:tab w:val="left" w:pos="1134"/>
        </w:tabs>
        <w:spacing w:line="240" w:lineRule="atLeast"/>
        <w:ind w:left="1134" w:hanging="425"/>
        <w:rPr>
          <w:rFonts w:ascii="Times New Roman" w:hAnsi="Times New Roman" w:cs="Times New Roman"/>
          <w:lang w:val="ru-RU"/>
        </w:rPr>
      </w:pPr>
      <w:r w:rsidRPr="004224F6">
        <w:rPr>
          <w:rFonts w:ascii="Times New Roman" w:hAnsi="Times New Roman" w:cs="Times New Roman"/>
          <w:lang w:val="ru-RU"/>
        </w:rPr>
        <w:t>д) датчици за налягане;</w:t>
      </w:r>
    </w:p>
    <w:p w14:paraId="47B3E3B3" w14:textId="77777777" w:rsidR="00271FA2" w:rsidRPr="004224F6" w:rsidRDefault="00D35E51">
      <w:pPr>
        <w:tabs>
          <w:tab w:val="left" w:pos="1134"/>
        </w:tabs>
        <w:spacing w:line="240" w:lineRule="atLeast"/>
        <w:ind w:left="1134" w:hanging="425"/>
        <w:rPr>
          <w:rFonts w:ascii="Times New Roman" w:hAnsi="Times New Roman" w:cs="Times New Roman"/>
          <w:szCs w:val="20"/>
          <w:lang w:val="ru-RU"/>
        </w:rPr>
      </w:pPr>
      <w:r w:rsidRPr="004224F6">
        <w:rPr>
          <w:rFonts w:ascii="Times New Roman" w:hAnsi="Times New Roman" w:cs="Times New Roman"/>
          <w:lang w:val="ru-RU"/>
        </w:rPr>
        <w:t>е) датчик на горивни газове;</w:t>
      </w:r>
    </w:p>
    <w:p w14:paraId="5B332B5C" w14:textId="77777777" w:rsidR="00271FA2" w:rsidRPr="004224F6" w:rsidRDefault="00D35E51">
      <w:pPr>
        <w:tabs>
          <w:tab w:val="left" w:pos="1134"/>
        </w:tabs>
        <w:spacing w:line="240" w:lineRule="atLeast"/>
        <w:ind w:left="851" w:hanging="142"/>
        <w:jc w:val="both"/>
        <w:rPr>
          <w:rFonts w:ascii="Times New Roman" w:hAnsi="Times New Roman" w:cs="Times New Roman"/>
          <w:szCs w:val="20"/>
          <w:lang w:val="ru-RU"/>
        </w:rPr>
      </w:pPr>
      <w:r w:rsidRPr="004224F6">
        <w:rPr>
          <w:rFonts w:ascii="Times New Roman" w:hAnsi="Times New Roman" w:cs="Times New Roman"/>
          <w:lang w:val="ru-RU"/>
        </w:rPr>
        <w:t>ж) комбинирани датчици (пожарни датчици, които съвместяват два или повече от датчиците, изброени в букви от “а” до ”е”).</w:t>
      </w:r>
    </w:p>
    <w:p w14:paraId="55134063" w14:textId="77777777" w:rsidR="00271FA2" w:rsidRPr="004224F6" w:rsidRDefault="00D35E51">
      <w:pPr>
        <w:tabs>
          <w:tab w:val="left" w:pos="709"/>
        </w:tabs>
        <w:spacing w:line="240" w:lineRule="atLeast"/>
        <w:ind w:left="709"/>
        <w:jc w:val="both"/>
        <w:rPr>
          <w:rFonts w:ascii="Times New Roman" w:hAnsi="Times New Roman" w:cs="Times New Roman"/>
          <w:lang w:val="ru-RU"/>
        </w:rPr>
      </w:pPr>
      <w:r w:rsidRPr="004224F6">
        <w:rPr>
          <w:rFonts w:ascii="Times New Roman" w:hAnsi="Times New Roman" w:cs="Times New Roman"/>
          <w:lang w:val="ru-RU"/>
        </w:rPr>
        <w:t>Пожарните датчици, които реагират на други фактори, показващи началото на пожар, могат да се одобрят от контролния орган, ако са не по-малко чувствителни от датчиците, посочени в букви “а” –</w:t>
      </w:r>
      <w:r w:rsidRPr="004224F6">
        <w:rPr>
          <w:rFonts w:ascii="Times New Roman" w:hAnsi="Times New Roman" w:cs="Times New Roman"/>
        </w:rPr>
        <w:t> </w:t>
      </w:r>
      <w:r w:rsidRPr="004224F6">
        <w:rPr>
          <w:rFonts w:ascii="Times New Roman" w:hAnsi="Times New Roman" w:cs="Times New Roman"/>
          <w:lang w:val="ru-RU"/>
        </w:rPr>
        <w:t>”е”.</w:t>
      </w:r>
    </w:p>
    <w:p w14:paraId="5E99F93E" w14:textId="77777777" w:rsidR="00271FA2" w:rsidRPr="004224F6" w:rsidRDefault="00D35E51">
      <w:pPr>
        <w:tabs>
          <w:tab w:val="left" w:pos="709"/>
        </w:tabs>
        <w:spacing w:line="240" w:lineRule="atLeast"/>
        <w:ind w:left="709"/>
        <w:jc w:val="both"/>
        <w:rPr>
          <w:rFonts w:ascii="Times New Roman" w:hAnsi="Times New Roman" w:cs="Times New Roman"/>
          <w:lang w:val="ru-RU" w:eastAsia="bg-BG"/>
        </w:rPr>
      </w:pPr>
      <w:r w:rsidRPr="004224F6">
        <w:rPr>
          <w:rFonts w:ascii="Times New Roman" w:hAnsi="Times New Roman" w:cs="Times New Roman"/>
          <w:lang w:val="ru-RU" w:eastAsia="bg-BG"/>
        </w:rPr>
        <w:t>Ръчните пожароизвестители се използват за ръчно активиране и могат да бъдат проектирани с директно или индиректно</w:t>
      </w:r>
      <w:r w:rsidRPr="004224F6">
        <w:rPr>
          <w:rFonts w:ascii="Times New Roman" w:hAnsi="Times New Roman" w:cs="Times New Roman"/>
          <w:lang w:val="ru-RU"/>
        </w:rPr>
        <w:t xml:space="preserve"> </w:t>
      </w:r>
      <w:r w:rsidRPr="004224F6">
        <w:rPr>
          <w:rFonts w:ascii="Times New Roman" w:hAnsi="Times New Roman" w:cs="Times New Roman"/>
          <w:lang w:val="ru-RU" w:eastAsia="bg-BG"/>
        </w:rPr>
        <w:t>задействане (с или без защита при задействане).</w:t>
      </w:r>
    </w:p>
    <w:p w14:paraId="53FBB336" w14:textId="77777777" w:rsidR="00271FA2" w:rsidRPr="004224F6" w:rsidRDefault="00D35E51">
      <w:pPr>
        <w:tabs>
          <w:tab w:val="left" w:pos="709"/>
        </w:tabs>
        <w:spacing w:line="240" w:lineRule="atLeast"/>
        <w:ind w:left="709"/>
        <w:jc w:val="both"/>
        <w:rPr>
          <w:rFonts w:ascii="Times New Roman" w:hAnsi="Times New Roman" w:cs="Times New Roman"/>
          <w:lang w:val="ru-RU"/>
        </w:rPr>
      </w:pPr>
      <w:r w:rsidRPr="004224F6">
        <w:rPr>
          <w:rFonts w:ascii="Times New Roman" w:hAnsi="Times New Roman" w:cs="Times New Roman"/>
          <w:lang w:val="ru-RU" w:eastAsia="bg-BG"/>
        </w:rPr>
        <w:t>В допълнение, задействащи устройства на други системи за наблюдение (детектори,</w:t>
      </w:r>
      <w:r w:rsidR="003E4173" w:rsidRPr="004224F6">
        <w:rPr>
          <w:rFonts w:ascii="Times New Roman" w:hAnsi="Times New Roman" w:cs="Times New Roman"/>
          <w:lang w:val="ru-RU" w:eastAsia="bg-BG"/>
        </w:rPr>
        <w:t xml:space="preserve"> които не п</w:t>
      </w:r>
      <w:r w:rsidR="00BE072F" w:rsidRPr="004224F6">
        <w:rPr>
          <w:rFonts w:ascii="Times New Roman" w:hAnsi="Times New Roman" w:cs="Times New Roman"/>
          <w:lang w:val="ru-RU" w:eastAsia="bg-BG"/>
        </w:rPr>
        <w:t>ринадлежат към пожароизвестителни системи</w:t>
      </w:r>
      <w:r w:rsidRPr="004224F6">
        <w:rPr>
          <w:rFonts w:ascii="Times New Roman" w:hAnsi="Times New Roman" w:cs="Times New Roman"/>
          <w:lang w:val="ru-RU" w:eastAsia="bg-BG"/>
        </w:rPr>
        <w:t>) могат да бъдат свързани. Пожароизвестителите могат да бъдат проектирани с или без индивидуална идентификация.</w:t>
      </w:r>
    </w:p>
    <w:p w14:paraId="7A1709D6" w14:textId="77777777" w:rsidR="00271FA2" w:rsidRPr="004224F6" w:rsidRDefault="00D35E51">
      <w:pPr>
        <w:tabs>
          <w:tab w:val="left" w:pos="709"/>
        </w:tabs>
        <w:spacing w:line="240" w:lineRule="atLeast"/>
        <w:ind w:left="709"/>
        <w:jc w:val="both"/>
        <w:rPr>
          <w:rFonts w:ascii="Times New Roman" w:hAnsi="Times New Roman" w:cs="Times New Roman"/>
          <w:lang w:val="ru-RU"/>
        </w:rPr>
      </w:pPr>
      <w:r w:rsidRPr="004224F6">
        <w:rPr>
          <w:rFonts w:ascii="Times New Roman" w:hAnsi="Times New Roman" w:cs="Times New Roman"/>
          <w:lang w:val="ru-RU"/>
        </w:rPr>
        <w:lastRenderedPageBreak/>
        <w:t>Пожарните датчици могат да бъдат инсталирани със; или</w:t>
      </w:r>
      <w:r w:rsidRPr="004224F6">
        <w:rPr>
          <w:rFonts w:ascii="Times New Roman" w:hAnsi="Times New Roman" w:cs="Times New Roman"/>
          <w:szCs w:val="20"/>
          <w:lang w:val="ru-RU"/>
        </w:rPr>
        <w:t xml:space="preserve"> </w:t>
      </w:r>
      <w:r w:rsidRPr="004224F6">
        <w:rPr>
          <w:rFonts w:ascii="Times New Roman" w:hAnsi="Times New Roman" w:cs="Times New Roman"/>
          <w:lang w:val="ru-RU"/>
        </w:rPr>
        <w:t>без</w:t>
      </w:r>
      <w:r w:rsidRPr="004224F6">
        <w:rPr>
          <w:rFonts w:ascii="Times New Roman" w:hAnsi="Times New Roman" w:cs="Times New Roman"/>
          <w:szCs w:val="20"/>
          <w:lang w:val="ru-RU"/>
        </w:rPr>
        <w:t xml:space="preserve"> </w:t>
      </w:r>
      <w:r w:rsidRPr="004224F6">
        <w:rPr>
          <w:rFonts w:ascii="Times New Roman" w:hAnsi="Times New Roman" w:cs="Times New Roman"/>
          <w:lang w:val="ru-RU"/>
        </w:rPr>
        <w:t>индивидуална идентификация.</w:t>
      </w:r>
    </w:p>
    <w:p w14:paraId="60E1542C" w14:textId="77777777" w:rsidR="00271FA2" w:rsidRPr="004224F6" w:rsidRDefault="00D35E51">
      <w:pPr>
        <w:ind w:left="709" w:hanging="709"/>
        <w:jc w:val="both"/>
        <w:rPr>
          <w:rFonts w:ascii="Times New Roman" w:hAnsi="Times New Roman" w:cs="Times New Roman"/>
          <w:lang w:val="ru-RU"/>
        </w:rPr>
      </w:pPr>
      <w:r w:rsidRPr="004224F6">
        <w:rPr>
          <w:rFonts w:ascii="Times New Roman" w:hAnsi="Times New Roman" w:cs="Times New Roman"/>
          <w:lang w:val="ru-RU"/>
        </w:rPr>
        <w:t>0.7</w:t>
      </w:r>
      <w:r w:rsidRPr="004224F6">
        <w:rPr>
          <w:rFonts w:ascii="Times New Roman" w:hAnsi="Times New Roman" w:cs="Times New Roman"/>
          <w:lang w:val="ru-RU"/>
        </w:rPr>
        <w:tab/>
        <w:t>Алармените устройства са оптични (напр. мигаща светлина) и акустични (напр. сирена) сигнализатори, които се задействат по сигнал от пожароизвестителната централа и оповестяват пожарната аларма.</w:t>
      </w:r>
    </w:p>
    <w:p w14:paraId="3F66F885" w14:textId="77777777" w:rsidR="00271FA2" w:rsidRPr="004224F6" w:rsidRDefault="00D35E51">
      <w:pPr>
        <w:ind w:left="709" w:hanging="709"/>
        <w:jc w:val="both"/>
        <w:rPr>
          <w:rFonts w:ascii="Times New Roman" w:hAnsi="Times New Roman" w:cs="Times New Roman"/>
          <w:lang w:val="ru-RU"/>
        </w:rPr>
      </w:pPr>
      <w:r w:rsidRPr="004224F6">
        <w:rPr>
          <w:rFonts w:ascii="Times New Roman" w:hAnsi="Times New Roman" w:cs="Times New Roman"/>
          <w:lang w:val="ru-RU"/>
        </w:rPr>
        <w:t>0.8</w:t>
      </w:r>
      <w:r w:rsidRPr="004224F6">
        <w:rPr>
          <w:rFonts w:ascii="Times New Roman" w:hAnsi="Times New Roman" w:cs="Times New Roman"/>
          <w:lang w:val="ru-RU"/>
        </w:rPr>
        <w:tab/>
        <w:t>Контролните и индикационните панели и индикаторните устройства се използват за наблюдение, работа и осигуряване информация за операторите (напр. екипаж, персонал на борда, пожарна служба).</w:t>
      </w:r>
    </w:p>
    <w:p w14:paraId="6C58ECAB" w14:textId="77777777" w:rsidR="00271FA2" w:rsidRPr="004224F6" w:rsidRDefault="00D35E51">
      <w:pPr>
        <w:ind w:left="709"/>
        <w:jc w:val="both"/>
        <w:rPr>
          <w:rFonts w:ascii="Times New Roman" w:hAnsi="Times New Roman" w:cs="Times New Roman"/>
          <w:lang w:val="ru-RU"/>
        </w:rPr>
      </w:pPr>
      <w:r w:rsidRPr="004224F6">
        <w:rPr>
          <w:rFonts w:ascii="Times New Roman" w:hAnsi="Times New Roman" w:cs="Times New Roman"/>
          <w:lang w:val="ru-RU"/>
        </w:rPr>
        <w:t>Индикаторните устройства правят информацията, предоставена от пожароизвестителната система, видима (напр. чрез сигнал лампи, екрани).</w:t>
      </w:r>
    </w:p>
    <w:p w14:paraId="2A7C3A9B" w14:textId="77777777" w:rsidR="00271FA2" w:rsidRPr="004224F6" w:rsidRDefault="00D35E51">
      <w:pPr>
        <w:tabs>
          <w:tab w:val="left" w:pos="709"/>
        </w:tabs>
        <w:spacing w:line="240" w:lineRule="atLeast"/>
        <w:ind w:left="709" w:hanging="709"/>
        <w:rPr>
          <w:rFonts w:ascii="Times New Roman" w:hAnsi="Times New Roman" w:cs="Times New Roman"/>
          <w:szCs w:val="20"/>
          <w:lang w:val="ru-RU"/>
        </w:rPr>
      </w:pPr>
      <w:r w:rsidRPr="004224F6">
        <w:rPr>
          <w:rFonts w:ascii="Times New Roman" w:hAnsi="Times New Roman" w:cs="Times New Roman"/>
          <w:b/>
          <w:lang w:val="ru-RU"/>
        </w:rPr>
        <w:t>1.</w:t>
      </w:r>
      <w:r w:rsidRPr="004224F6">
        <w:rPr>
          <w:rFonts w:ascii="Times New Roman" w:hAnsi="Times New Roman" w:cs="Times New Roman"/>
          <w:lang w:val="ru-RU"/>
        </w:rPr>
        <w:tab/>
      </w:r>
      <w:r w:rsidRPr="004224F6">
        <w:rPr>
          <w:rFonts w:ascii="Times New Roman" w:hAnsi="Times New Roman" w:cs="Times New Roman"/>
          <w:b/>
          <w:lang w:val="ru-RU"/>
        </w:rPr>
        <w:t>Изисквания към изграждането</w:t>
      </w:r>
    </w:p>
    <w:p w14:paraId="7AE12818"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1.1</w:t>
      </w:r>
      <w:r w:rsidRPr="004224F6">
        <w:rPr>
          <w:rFonts w:ascii="Times New Roman" w:hAnsi="Times New Roman" w:cs="Times New Roman"/>
          <w:lang w:val="ru-RU"/>
        </w:rPr>
        <w:tab/>
        <w:t>Общи положения</w:t>
      </w:r>
    </w:p>
    <w:p w14:paraId="2ACC0E1E" w14:textId="77777777" w:rsidR="00271FA2" w:rsidRPr="004224F6" w:rsidRDefault="00D35E51">
      <w:pPr>
        <w:tabs>
          <w:tab w:val="left" w:pos="426"/>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1.1.1</w:t>
      </w:r>
      <w:r w:rsidRPr="004224F6">
        <w:rPr>
          <w:rFonts w:ascii="Times New Roman" w:hAnsi="Times New Roman" w:cs="Times New Roman"/>
          <w:lang w:val="ru-RU"/>
        </w:rPr>
        <w:tab/>
        <w:t>Задължителните пожароизвестителни системи трябва да са непрекъснато в готовност.</w:t>
      </w:r>
    </w:p>
    <w:p w14:paraId="71464FDD" w14:textId="504E7A99" w:rsidR="00271FA2" w:rsidRPr="004224F6" w:rsidRDefault="00D35E51">
      <w:pPr>
        <w:tabs>
          <w:tab w:val="left" w:pos="426"/>
          <w:tab w:val="left" w:pos="709"/>
        </w:tabs>
        <w:spacing w:line="240" w:lineRule="atLeast"/>
        <w:ind w:left="709" w:hanging="709"/>
        <w:jc w:val="both"/>
        <w:rPr>
          <w:rFonts w:ascii="Times New Roman" w:hAnsi="Times New Roman" w:cs="Times New Roman"/>
          <w:lang w:val="ru-RU"/>
        </w:rPr>
      </w:pPr>
      <w:r w:rsidRPr="004224F6">
        <w:rPr>
          <w:rFonts w:ascii="Times New Roman" w:hAnsi="Times New Roman" w:cs="Times New Roman"/>
          <w:lang w:val="ru-RU"/>
        </w:rPr>
        <w:t>1.1.2</w:t>
      </w:r>
      <w:r w:rsidRPr="004224F6">
        <w:rPr>
          <w:rFonts w:ascii="Times New Roman" w:hAnsi="Times New Roman" w:cs="Times New Roman"/>
          <w:lang w:val="ru-RU"/>
        </w:rPr>
        <w:tab/>
      </w:r>
      <w:r w:rsidR="000002F7" w:rsidRPr="004224F6">
        <w:rPr>
          <w:rFonts w:ascii="Times New Roman" w:hAnsi="Times New Roman" w:cs="Times New Roman"/>
          <w:lang w:val="ru-RU"/>
        </w:rPr>
        <w:t>Помещения</w:t>
      </w:r>
      <w:r w:rsidRPr="004224F6">
        <w:rPr>
          <w:rFonts w:ascii="Times New Roman" w:hAnsi="Times New Roman" w:cs="Times New Roman"/>
          <w:lang w:val="ru-RU"/>
        </w:rPr>
        <w:t>т</w:t>
      </w:r>
      <w:r w:rsidR="001C2712" w:rsidRPr="004224F6">
        <w:rPr>
          <w:rFonts w:ascii="Times New Roman" w:hAnsi="Times New Roman" w:cs="Times New Roman"/>
          <w:lang w:val="ru-RU"/>
        </w:rPr>
        <w:t>а</w:t>
      </w:r>
      <w:r w:rsidRPr="004224F6">
        <w:rPr>
          <w:rFonts w:ascii="Times New Roman" w:hAnsi="Times New Roman" w:cs="Times New Roman"/>
          <w:lang w:val="ru-RU"/>
        </w:rPr>
        <w:t xml:space="preserve"> и зоните, наблюдавани от пожароизвестителната система, трябва да бъдат оборудвани с пожароизвестители, необходими в съответствие с точка 2.2. Могат да бъдат инсталирани допълнителни ръчни пожароизвестители.</w:t>
      </w:r>
    </w:p>
    <w:p w14:paraId="3172CF9E" w14:textId="77777777" w:rsidR="00271FA2" w:rsidRPr="004224F6" w:rsidRDefault="00D35E51">
      <w:pPr>
        <w:tabs>
          <w:tab w:val="left" w:pos="426"/>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1.1.3</w:t>
      </w:r>
      <w:r w:rsidRPr="004224F6">
        <w:rPr>
          <w:rFonts w:ascii="Times New Roman" w:hAnsi="Times New Roman" w:cs="Times New Roman"/>
          <w:lang w:val="ru-RU"/>
        </w:rPr>
        <w:tab/>
        <w:t>Системата и елементите ѝ трябва да могат да издържат на колебания и резки промени на напрежението, промени в околната температура, вибрации, влажност, сътресения, удари и корозия, каквито са обичайни за плавателните съдове.</w:t>
      </w:r>
    </w:p>
    <w:p w14:paraId="1C939D78" w14:textId="77777777" w:rsidR="00271FA2" w:rsidRPr="004224F6" w:rsidRDefault="00D35E51">
      <w:pPr>
        <w:tabs>
          <w:tab w:val="left" w:pos="709"/>
        </w:tabs>
        <w:spacing w:line="240" w:lineRule="atLeast"/>
        <w:ind w:left="709" w:hanging="709"/>
        <w:jc w:val="both"/>
        <w:rPr>
          <w:rFonts w:ascii="Times New Roman" w:hAnsi="Times New Roman" w:cs="Times New Roman"/>
          <w:b/>
          <w:bCs/>
          <w:szCs w:val="20"/>
          <w:lang w:val="ru-RU"/>
        </w:rPr>
      </w:pPr>
      <w:r w:rsidRPr="004224F6">
        <w:rPr>
          <w:rFonts w:ascii="Times New Roman" w:hAnsi="Times New Roman" w:cs="Times New Roman"/>
          <w:b/>
          <w:lang w:val="ru-RU"/>
        </w:rPr>
        <w:t>1.2</w:t>
      </w:r>
      <w:r w:rsidRPr="004224F6">
        <w:rPr>
          <w:rFonts w:ascii="Times New Roman" w:hAnsi="Times New Roman" w:cs="Times New Roman"/>
          <w:lang w:val="ru-RU"/>
        </w:rPr>
        <w:tab/>
      </w:r>
      <w:r w:rsidRPr="004224F6">
        <w:rPr>
          <w:rFonts w:ascii="Times New Roman" w:hAnsi="Times New Roman" w:cs="Times New Roman"/>
          <w:b/>
          <w:lang w:val="ru-RU"/>
        </w:rPr>
        <w:t>Електрозахранване</w:t>
      </w:r>
    </w:p>
    <w:p w14:paraId="660CB97E"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1.2.1</w:t>
      </w:r>
      <w:r w:rsidRPr="004224F6">
        <w:rPr>
          <w:rFonts w:ascii="Times New Roman" w:hAnsi="Times New Roman" w:cs="Times New Roman"/>
          <w:lang w:val="ru-RU"/>
        </w:rPr>
        <w:tab/>
        <w:t>Необходимите източници на енергия и електрически вериги за работата на пожароизвестителните системи трябва да следят сами своето състояние. Всяка неизправност трябва да задейства светлинен и звуков алармен сигнал на таблото на пожароизвестителната централа, който да може да се различи от алармения сигнал за пожар.</w:t>
      </w:r>
    </w:p>
    <w:p w14:paraId="1134F9C2" w14:textId="77777777" w:rsidR="00271FA2" w:rsidRPr="004224F6" w:rsidRDefault="00D35E51">
      <w:pPr>
        <w:tabs>
          <w:tab w:val="left" w:pos="709"/>
        </w:tabs>
        <w:spacing w:line="240" w:lineRule="atLeast"/>
        <w:ind w:left="709" w:hanging="709"/>
        <w:jc w:val="both"/>
        <w:rPr>
          <w:rFonts w:ascii="Times New Roman" w:hAnsi="Times New Roman" w:cs="Times New Roman"/>
          <w:lang w:val="ru-RU"/>
        </w:rPr>
      </w:pPr>
      <w:r w:rsidRPr="004224F6">
        <w:rPr>
          <w:rFonts w:ascii="Times New Roman" w:hAnsi="Times New Roman" w:cs="Times New Roman"/>
          <w:lang w:val="ru-RU"/>
        </w:rPr>
        <w:t>1.2.2</w:t>
      </w:r>
      <w:r w:rsidRPr="004224F6">
        <w:rPr>
          <w:rFonts w:ascii="Times New Roman" w:hAnsi="Times New Roman" w:cs="Times New Roman"/>
          <w:lang w:val="ru-RU"/>
        </w:rPr>
        <w:tab/>
        <w:t>Трябва да има най-малко два източника на енергия за електрическата част на пожароизвестителната система, единият от които трябва да бъде аварийна електрозахранваща система (т.е. авариен източник на енергия и аварийно разпределително табло). Трябва да има две отделни захранвания, които са единствено за тази цел. Те трябва да са свързани с автоматичен превключвател, разположен на таблото за управление на пожароизвестителната система или близо до него. На моторни кораби отделно аварийно захранване е достатъчно.</w:t>
      </w:r>
    </w:p>
    <w:p w14:paraId="385E38EE" w14:textId="77777777" w:rsidR="00271FA2" w:rsidRPr="004224F6" w:rsidRDefault="00D35E51">
      <w:pPr>
        <w:tabs>
          <w:tab w:val="left" w:pos="709"/>
        </w:tabs>
        <w:spacing w:line="240" w:lineRule="atLeast"/>
        <w:ind w:left="709" w:hanging="709"/>
        <w:jc w:val="both"/>
        <w:rPr>
          <w:rFonts w:ascii="Times New Roman" w:hAnsi="Times New Roman" w:cs="Times New Roman"/>
          <w:b/>
          <w:bCs/>
          <w:szCs w:val="20"/>
          <w:lang w:val="ru-RU"/>
        </w:rPr>
      </w:pPr>
      <w:r w:rsidRPr="004224F6">
        <w:rPr>
          <w:rFonts w:ascii="Times New Roman" w:hAnsi="Times New Roman" w:cs="Times New Roman"/>
          <w:b/>
          <w:lang w:val="ru-RU"/>
        </w:rPr>
        <w:t>1.3</w:t>
      </w:r>
      <w:r w:rsidRPr="004224F6">
        <w:rPr>
          <w:rFonts w:ascii="Times New Roman" w:hAnsi="Times New Roman" w:cs="Times New Roman"/>
          <w:lang w:val="ru-RU"/>
        </w:rPr>
        <w:tab/>
      </w:r>
      <w:r w:rsidRPr="004224F6">
        <w:rPr>
          <w:rFonts w:ascii="Times New Roman" w:hAnsi="Times New Roman" w:cs="Times New Roman"/>
          <w:b/>
          <w:lang w:val="ru-RU"/>
        </w:rPr>
        <w:t>Система за откриване на пожар</w:t>
      </w:r>
    </w:p>
    <w:p w14:paraId="11BAD7CF"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1.3.1</w:t>
      </w:r>
      <w:r w:rsidRPr="004224F6">
        <w:rPr>
          <w:rFonts w:ascii="Times New Roman" w:hAnsi="Times New Roman" w:cs="Times New Roman"/>
          <w:lang w:val="ru-RU"/>
        </w:rPr>
        <w:tab/>
        <w:t>Ръчни пожароизвестители и пожарните датчици се групират в зони за откриване на пожар.</w:t>
      </w:r>
    </w:p>
    <w:p w14:paraId="47F5CF67" w14:textId="77777777" w:rsidR="00271FA2" w:rsidRPr="004224F6" w:rsidRDefault="00D35E51">
      <w:pPr>
        <w:tabs>
          <w:tab w:val="left" w:pos="709"/>
        </w:tabs>
        <w:spacing w:line="240" w:lineRule="atLeast"/>
        <w:ind w:left="709" w:hanging="709"/>
        <w:jc w:val="both"/>
        <w:rPr>
          <w:rFonts w:ascii="Times New Roman" w:hAnsi="Times New Roman" w:cs="Times New Roman"/>
          <w:lang w:val="ru-RU"/>
        </w:rPr>
      </w:pPr>
      <w:r w:rsidRPr="004224F6">
        <w:rPr>
          <w:rFonts w:ascii="Times New Roman" w:hAnsi="Times New Roman" w:cs="Times New Roman"/>
          <w:lang w:val="ru-RU"/>
        </w:rPr>
        <w:t>1.3.2</w:t>
      </w:r>
      <w:r w:rsidRPr="004224F6">
        <w:rPr>
          <w:rFonts w:ascii="Times New Roman" w:hAnsi="Times New Roman" w:cs="Times New Roman"/>
          <w:lang w:val="ru-RU"/>
        </w:rPr>
        <w:tab/>
        <w:t>Пожароизвестителните системи не трябва да се използват за никакви други цели. По изключение затварянето на вратите в съответствие с член 19.11, точка 9 и сходни функции могат да бъдат задействани от контролните панели на пожароизвестителната система и индицирани на контролните панели и индикаторните устройства.</w:t>
      </w:r>
    </w:p>
    <w:p w14:paraId="3C228CE4"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1.3.3</w:t>
      </w:r>
      <w:r w:rsidRPr="004224F6">
        <w:rPr>
          <w:rFonts w:ascii="Times New Roman" w:hAnsi="Times New Roman" w:cs="Times New Roman"/>
          <w:lang w:val="ru-RU"/>
        </w:rPr>
        <w:tab/>
        <w:t>Пожароизвестителните системи се проектират по такъв начин, че показването на първия сигнал за пожар да не предотвратява постъпването на сигнали за пожар от ръчни пожароизвестители или автоматични пожароизвестители.</w:t>
      </w:r>
    </w:p>
    <w:p w14:paraId="1483E4F1" w14:textId="77777777" w:rsidR="00271FA2" w:rsidRPr="004224F6" w:rsidRDefault="00D35E51">
      <w:pPr>
        <w:tabs>
          <w:tab w:val="left" w:pos="709"/>
        </w:tabs>
        <w:spacing w:line="240" w:lineRule="atLeast"/>
        <w:jc w:val="both"/>
        <w:rPr>
          <w:rFonts w:ascii="Times New Roman" w:hAnsi="Times New Roman" w:cs="Times New Roman"/>
          <w:b/>
          <w:bCs/>
          <w:szCs w:val="20"/>
          <w:lang w:val="ru-RU"/>
        </w:rPr>
      </w:pPr>
      <w:r w:rsidRPr="004224F6">
        <w:rPr>
          <w:rFonts w:ascii="Times New Roman" w:hAnsi="Times New Roman" w:cs="Times New Roman"/>
          <w:b/>
          <w:lang w:val="ru-RU"/>
        </w:rPr>
        <w:t>1.4</w:t>
      </w:r>
      <w:r w:rsidRPr="004224F6">
        <w:rPr>
          <w:rFonts w:ascii="Times New Roman" w:hAnsi="Times New Roman" w:cs="Times New Roman"/>
          <w:lang w:val="ru-RU"/>
        </w:rPr>
        <w:tab/>
      </w:r>
      <w:r w:rsidRPr="004224F6">
        <w:rPr>
          <w:rFonts w:ascii="Times New Roman" w:hAnsi="Times New Roman" w:cs="Times New Roman"/>
          <w:b/>
          <w:lang w:val="ru-RU"/>
        </w:rPr>
        <w:t>Зони за откриване на пожар</w:t>
      </w:r>
    </w:p>
    <w:p w14:paraId="22F2AA6C" w14:textId="77777777" w:rsidR="00271FA2" w:rsidRPr="004224F6" w:rsidRDefault="00D35E51">
      <w:pPr>
        <w:tabs>
          <w:tab w:val="left" w:pos="709"/>
        </w:tabs>
        <w:spacing w:line="240" w:lineRule="atLeast"/>
        <w:ind w:left="709" w:hanging="709"/>
        <w:jc w:val="both"/>
        <w:rPr>
          <w:rFonts w:ascii="Times New Roman" w:hAnsi="Times New Roman" w:cs="Times New Roman"/>
          <w:lang w:val="ru-RU"/>
        </w:rPr>
      </w:pPr>
      <w:r w:rsidRPr="004224F6">
        <w:rPr>
          <w:rFonts w:ascii="Times New Roman" w:hAnsi="Times New Roman" w:cs="Times New Roman"/>
          <w:lang w:val="ru-RU"/>
        </w:rPr>
        <w:t>1.4.1</w:t>
      </w:r>
      <w:r w:rsidRPr="004224F6">
        <w:rPr>
          <w:rFonts w:ascii="Times New Roman" w:hAnsi="Times New Roman" w:cs="Times New Roman"/>
          <w:lang w:val="ru-RU"/>
        </w:rPr>
        <w:tab/>
        <w:t>Когато противопожарната алармена система не може дистанционно да идентифицира индивидуално ръчните пожарни известители или пожарните датчици, зоната за откриване на пожар не включва повече от една палуба. Това не се отнася за зона за откриване на пожар, която се състои от капсулована стълбищна шахта.</w:t>
      </w:r>
      <w:r w:rsidRPr="004224F6">
        <w:rPr>
          <w:rFonts w:ascii="Times New Roman" w:hAnsi="Times New Roman" w:cs="Times New Roman"/>
          <w:lang w:val="ru-RU"/>
        </w:rPr>
        <w:tab/>
      </w:r>
    </w:p>
    <w:p w14:paraId="5280C5E7"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lastRenderedPageBreak/>
        <w:tab/>
        <w:t>С цел да се избегнат забавяния при откриване на произхода на пожара, броят на затворените пространства, включени във всяка зона за откриване на пожар, е ограничен. Не трябва да има повече от петдесет затворени пространства в една зона за откриване на пожар.</w:t>
      </w:r>
    </w:p>
    <w:p w14:paraId="31351280" w14:textId="77777777" w:rsidR="00271FA2" w:rsidRPr="004224F6" w:rsidRDefault="00D35E51">
      <w:pPr>
        <w:tabs>
          <w:tab w:val="left" w:pos="709"/>
        </w:tabs>
        <w:spacing w:line="240" w:lineRule="atLeast"/>
        <w:ind w:left="709"/>
        <w:jc w:val="both"/>
        <w:rPr>
          <w:rFonts w:ascii="Times New Roman" w:hAnsi="Times New Roman" w:cs="Times New Roman"/>
          <w:szCs w:val="20"/>
          <w:lang w:val="ru-RU"/>
        </w:rPr>
      </w:pPr>
      <w:r w:rsidRPr="004224F6">
        <w:rPr>
          <w:rFonts w:ascii="Times New Roman" w:hAnsi="Times New Roman" w:cs="Times New Roman"/>
          <w:lang w:val="ru-RU"/>
        </w:rPr>
        <w:t>Когато пожароизвестителната система може дистанционно да идентифицира индивидуално ръчните пожароизвестителни точки или пожароизвестителите, зоните за откриване на пожар могат да включват няколко палуби и произволен брой затворени помещения. .</w:t>
      </w:r>
    </w:p>
    <w:p w14:paraId="5C137B56"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1.4.2</w:t>
      </w:r>
      <w:r w:rsidRPr="004224F6">
        <w:rPr>
          <w:rFonts w:ascii="Times New Roman" w:hAnsi="Times New Roman" w:cs="Times New Roman"/>
          <w:lang w:val="ru-RU"/>
        </w:rPr>
        <w:tab/>
        <w:t>На пътническите плавателни съдове, които нямат пожароизвестителна система с дистанционно идентифициране на отделни</w:t>
      </w:r>
      <w:r w:rsidR="0059610F" w:rsidRPr="004224F6">
        <w:rPr>
          <w:rFonts w:ascii="Times New Roman" w:hAnsi="Times New Roman" w:cs="Times New Roman"/>
          <w:lang w:val="ru-RU"/>
        </w:rPr>
        <w:t xml:space="preserve">те ръчни пожароизвестители или </w:t>
      </w:r>
      <w:r w:rsidRPr="004224F6">
        <w:rPr>
          <w:rFonts w:ascii="Times New Roman" w:hAnsi="Times New Roman" w:cs="Times New Roman"/>
          <w:lang w:val="ru-RU"/>
        </w:rPr>
        <w:t>пожарни датчици, дадена зона за откриване на пожар не трябва да обхваща повече от площта, определена в съответствие с член</w:t>
      </w:r>
      <w:r w:rsidRPr="004224F6">
        <w:rPr>
          <w:rFonts w:ascii="Times New Roman" w:hAnsi="Times New Roman" w:cs="Times New Roman"/>
        </w:rPr>
        <w:t> </w:t>
      </w:r>
      <w:r w:rsidRPr="004224F6">
        <w:rPr>
          <w:rFonts w:ascii="Times New Roman" w:hAnsi="Times New Roman" w:cs="Times New Roman"/>
          <w:lang w:val="ru-RU"/>
        </w:rPr>
        <w:t>19.11, точка 11. Задействането на пожарен датчик в отделна каюта от тази зона за откриване на пожар включва светлинен и звуков сигнал в прохода извън каютата.</w:t>
      </w:r>
    </w:p>
    <w:p w14:paraId="726F6CFA"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1.4.3</w:t>
      </w:r>
      <w:r w:rsidRPr="004224F6">
        <w:rPr>
          <w:rFonts w:ascii="Times New Roman" w:hAnsi="Times New Roman" w:cs="Times New Roman"/>
          <w:lang w:val="ru-RU"/>
        </w:rPr>
        <w:tab/>
        <w:t>Камбузите, машинните и котелните отделения образуват самостоятелни зони за откриване на пожар.</w:t>
      </w:r>
    </w:p>
    <w:p w14:paraId="37B4B1C0" w14:textId="77777777" w:rsidR="00271FA2" w:rsidRPr="004224F6" w:rsidRDefault="00D35E51">
      <w:pPr>
        <w:tabs>
          <w:tab w:val="left" w:pos="709"/>
        </w:tabs>
        <w:spacing w:line="240" w:lineRule="atLeast"/>
        <w:jc w:val="both"/>
        <w:rPr>
          <w:rFonts w:ascii="Times New Roman" w:hAnsi="Times New Roman" w:cs="Times New Roman"/>
          <w:b/>
          <w:bCs/>
          <w:szCs w:val="20"/>
          <w:lang w:val="ru-RU"/>
        </w:rPr>
      </w:pPr>
      <w:r w:rsidRPr="004224F6">
        <w:rPr>
          <w:rFonts w:ascii="Times New Roman" w:hAnsi="Times New Roman" w:cs="Times New Roman"/>
          <w:b/>
          <w:lang w:val="ru-RU"/>
        </w:rPr>
        <w:t>1.5</w:t>
      </w:r>
      <w:r w:rsidRPr="004224F6">
        <w:rPr>
          <w:rFonts w:ascii="Times New Roman" w:hAnsi="Times New Roman" w:cs="Times New Roman"/>
          <w:lang w:val="ru-RU"/>
        </w:rPr>
        <w:tab/>
      </w:r>
      <w:r w:rsidRPr="004224F6">
        <w:rPr>
          <w:rFonts w:ascii="Times New Roman" w:hAnsi="Times New Roman" w:cs="Times New Roman"/>
          <w:b/>
          <w:lang w:val="ru-RU"/>
        </w:rPr>
        <w:t>Пожарни датчици</w:t>
      </w:r>
    </w:p>
    <w:p w14:paraId="2A13E134"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1.5.1</w:t>
      </w:r>
      <w:r w:rsidRPr="004224F6">
        <w:rPr>
          <w:rFonts w:ascii="Times New Roman" w:hAnsi="Times New Roman" w:cs="Times New Roman"/>
          <w:lang w:val="ru-RU"/>
        </w:rPr>
        <w:tab/>
        <w:t>Като пожарни датчици трябва да се използват само датчици за топлина, дим или детектори на йони. Други видове могат да се използват само като допълнителни датчици.</w:t>
      </w:r>
    </w:p>
    <w:p w14:paraId="57B3422F"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1.5.2</w:t>
      </w:r>
      <w:r w:rsidRPr="004224F6">
        <w:rPr>
          <w:rFonts w:ascii="Times New Roman" w:hAnsi="Times New Roman" w:cs="Times New Roman"/>
          <w:lang w:val="ru-RU"/>
        </w:rPr>
        <w:tab/>
        <w:t>Пожарните датчици трябва да са от одобрен тип.</w:t>
      </w:r>
    </w:p>
    <w:p w14:paraId="12FEEB0E"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1.5.3</w:t>
      </w:r>
      <w:r w:rsidRPr="004224F6">
        <w:rPr>
          <w:rFonts w:ascii="Times New Roman" w:hAnsi="Times New Roman" w:cs="Times New Roman"/>
          <w:lang w:val="ru-RU"/>
        </w:rPr>
        <w:tab/>
        <w:t>Автоматичните пожарни датчици трябва да бъдат проектирани по такъв начин, че да могат да бъдат изпитвани, за да се гарантира, че работят правилно и могат да започнат да работят отново без да се сменят каквито и да е елементи.</w:t>
      </w:r>
    </w:p>
    <w:p w14:paraId="588C33BA"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1.5.4</w:t>
      </w:r>
      <w:r w:rsidRPr="004224F6">
        <w:rPr>
          <w:rFonts w:ascii="Times New Roman" w:hAnsi="Times New Roman" w:cs="Times New Roman"/>
          <w:lang w:val="ru-RU"/>
        </w:rPr>
        <w:tab/>
        <w:t>Димните датчици трябва да бъдат настроени, така че да реагират на намаление на видимостта на метър, породено от дим по-голям от 2 % до 12,5 %. Димните датчици, монтирани в камбузи, машинни и котелни отделения, трябва да реагират в границите на чувствителност, като отговарят на изискванията на контролния орган, с които трябва да се избягва недостатъчна или прекомерна чувствителност на детекторите за дим.</w:t>
      </w:r>
    </w:p>
    <w:p w14:paraId="15A956E4" w14:textId="77777777" w:rsidR="00271FA2" w:rsidRPr="004224F6" w:rsidRDefault="00D35E51">
      <w:pPr>
        <w:tabs>
          <w:tab w:val="left" w:pos="709"/>
        </w:tabs>
        <w:spacing w:line="240" w:lineRule="atLeast"/>
        <w:ind w:left="709" w:hanging="719"/>
        <w:jc w:val="both"/>
        <w:rPr>
          <w:rFonts w:ascii="Times New Roman" w:hAnsi="Times New Roman" w:cs="Times New Roman"/>
          <w:szCs w:val="20"/>
          <w:lang w:val="ru-RU"/>
        </w:rPr>
      </w:pPr>
      <w:r w:rsidRPr="004224F6">
        <w:rPr>
          <w:rFonts w:ascii="Times New Roman" w:hAnsi="Times New Roman" w:cs="Times New Roman"/>
          <w:lang w:val="ru-RU"/>
        </w:rPr>
        <w:t>1.5.5</w:t>
      </w:r>
      <w:r w:rsidRPr="004224F6">
        <w:rPr>
          <w:rFonts w:ascii="Times New Roman" w:hAnsi="Times New Roman" w:cs="Times New Roman"/>
          <w:lang w:val="ru-RU"/>
        </w:rPr>
        <w:tab/>
        <w:t>Топлинните датчици трябва да са направени, така че при покачвания на температурата със скорост, по-малка от 1 °</w:t>
      </w:r>
      <w:r w:rsidRPr="004224F6">
        <w:rPr>
          <w:rFonts w:ascii="Times New Roman" w:hAnsi="Times New Roman" w:cs="Times New Roman"/>
        </w:rPr>
        <w:t>C</w:t>
      </w:r>
      <w:r w:rsidRPr="004224F6">
        <w:rPr>
          <w:rFonts w:ascii="Times New Roman" w:hAnsi="Times New Roman" w:cs="Times New Roman"/>
          <w:lang w:val="ru-RU"/>
        </w:rPr>
        <w:t>/</w:t>
      </w:r>
      <w:r w:rsidRPr="004224F6">
        <w:rPr>
          <w:rFonts w:ascii="Times New Roman" w:hAnsi="Times New Roman" w:cs="Times New Roman"/>
        </w:rPr>
        <w:t>min</w:t>
      </w:r>
      <w:r w:rsidRPr="004224F6">
        <w:rPr>
          <w:rFonts w:ascii="Times New Roman" w:hAnsi="Times New Roman" w:cs="Times New Roman"/>
          <w:lang w:val="ru-RU"/>
        </w:rPr>
        <w:t>, да реагират на температура между 54°</w:t>
      </w:r>
      <w:r w:rsidRPr="004224F6">
        <w:rPr>
          <w:rFonts w:ascii="Times New Roman" w:hAnsi="Times New Roman" w:cs="Times New Roman"/>
        </w:rPr>
        <w:t>C</w:t>
      </w:r>
      <w:r w:rsidRPr="004224F6">
        <w:rPr>
          <w:rFonts w:ascii="Times New Roman" w:hAnsi="Times New Roman" w:cs="Times New Roman"/>
          <w:lang w:val="ru-RU"/>
        </w:rPr>
        <w:t xml:space="preserve"> и 78°</w:t>
      </w:r>
      <w:r w:rsidRPr="004224F6">
        <w:rPr>
          <w:rFonts w:ascii="Times New Roman" w:hAnsi="Times New Roman" w:cs="Times New Roman"/>
        </w:rPr>
        <w:t>C</w:t>
      </w:r>
      <w:r w:rsidRPr="004224F6">
        <w:rPr>
          <w:rFonts w:ascii="Times New Roman" w:hAnsi="Times New Roman" w:cs="Times New Roman"/>
          <w:lang w:val="ru-RU"/>
        </w:rPr>
        <w:t>.</w:t>
      </w:r>
    </w:p>
    <w:p w14:paraId="1C772705" w14:textId="77777777" w:rsidR="00271FA2" w:rsidRPr="004224F6" w:rsidRDefault="00D35E51">
      <w:pPr>
        <w:tabs>
          <w:tab w:val="left" w:pos="709"/>
        </w:tabs>
        <w:spacing w:line="240" w:lineRule="atLeast"/>
        <w:ind w:left="709"/>
        <w:jc w:val="both"/>
        <w:rPr>
          <w:rFonts w:ascii="Times New Roman" w:hAnsi="Times New Roman" w:cs="Times New Roman"/>
          <w:szCs w:val="20"/>
          <w:lang w:val="ru-RU"/>
        </w:rPr>
      </w:pPr>
      <w:r w:rsidRPr="004224F6">
        <w:rPr>
          <w:rFonts w:ascii="Times New Roman" w:hAnsi="Times New Roman" w:cs="Times New Roman"/>
          <w:lang w:val="ru-RU"/>
        </w:rPr>
        <w:t>При по-високи скорости на покачване на температурата топлинният датчик трябва да се задейства в температурните граници, при които се избягва недостатъчна или прекомерна чувствителност на топлинния датчик.</w:t>
      </w:r>
    </w:p>
    <w:p w14:paraId="2220BB84"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1.5.6</w:t>
      </w:r>
      <w:r w:rsidRPr="004224F6">
        <w:rPr>
          <w:rFonts w:ascii="Times New Roman" w:hAnsi="Times New Roman" w:cs="Times New Roman"/>
          <w:lang w:val="ru-RU"/>
        </w:rPr>
        <w:tab/>
        <w:t>Със съгласието на контролния орган допустимата работна температура на топлинните датчици може да се повиши до 30°</w:t>
      </w:r>
      <w:r w:rsidRPr="004224F6">
        <w:rPr>
          <w:rFonts w:ascii="Times New Roman" w:hAnsi="Times New Roman" w:cs="Times New Roman"/>
        </w:rPr>
        <w:t>C</w:t>
      </w:r>
      <w:r w:rsidRPr="004224F6">
        <w:rPr>
          <w:rFonts w:ascii="Times New Roman" w:hAnsi="Times New Roman" w:cs="Times New Roman"/>
          <w:lang w:val="ru-RU"/>
        </w:rPr>
        <w:t xml:space="preserve"> над максималната температура в горната част на машинните и котелните отделения.</w:t>
      </w:r>
    </w:p>
    <w:p w14:paraId="5CC6827B" w14:textId="77777777" w:rsidR="00271FA2" w:rsidRPr="004224F6" w:rsidRDefault="00D35E51">
      <w:pPr>
        <w:tabs>
          <w:tab w:val="left" w:pos="709"/>
        </w:tabs>
        <w:spacing w:line="240" w:lineRule="atLeast"/>
        <w:ind w:left="709" w:hanging="719"/>
        <w:jc w:val="both"/>
        <w:rPr>
          <w:rFonts w:ascii="Times New Roman" w:hAnsi="Times New Roman" w:cs="Times New Roman"/>
          <w:szCs w:val="20"/>
          <w:lang w:val="ru-RU"/>
        </w:rPr>
      </w:pPr>
      <w:r w:rsidRPr="004224F6">
        <w:rPr>
          <w:rFonts w:ascii="Times New Roman" w:hAnsi="Times New Roman" w:cs="Times New Roman"/>
          <w:lang w:val="ru-RU"/>
        </w:rPr>
        <w:t>1.5.7</w:t>
      </w:r>
      <w:r w:rsidRPr="004224F6">
        <w:rPr>
          <w:rFonts w:ascii="Times New Roman" w:hAnsi="Times New Roman" w:cs="Times New Roman"/>
          <w:lang w:val="ru-RU"/>
        </w:rPr>
        <w:tab/>
        <w:t>Чувствителността на датчиците за пламък трябва да е достатъчна за откриване на пламък на осветен фон. Датчиците за пламък трябва да са оборудвани и със система за откриване на фалшив алармен сигнал.</w:t>
      </w:r>
    </w:p>
    <w:p w14:paraId="4688861E" w14:textId="77777777" w:rsidR="00271FA2" w:rsidRPr="004224F6" w:rsidRDefault="00D35E51">
      <w:pPr>
        <w:tabs>
          <w:tab w:val="left" w:pos="709"/>
        </w:tabs>
        <w:spacing w:line="240" w:lineRule="atLeast"/>
        <w:ind w:left="709" w:hanging="709"/>
        <w:jc w:val="both"/>
        <w:rPr>
          <w:rFonts w:ascii="Times New Roman" w:hAnsi="Times New Roman" w:cs="Times New Roman"/>
          <w:b/>
          <w:lang w:val="ru-RU"/>
        </w:rPr>
      </w:pPr>
      <w:r w:rsidRPr="004224F6">
        <w:rPr>
          <w:rFonts w:ascii="Times New Roman" w:hAnsi="Times New Roman" w:cs="Times New Roman"/>
          <w:b/>
          <w:lang w:val="ru-RU"/>
        </w:rPr>
        <w:t>1.6</w:t>
      </w:r>
      <w:r w:rsidRPr="004224F6">
        <w:rPr>
          <w:rFonts w:ascii="Times New Roman" w:hAnsi="Times New Roman" w:cs="Times New Roman"/>
          <w:lang w:val="ru-RU"/>
        </w:rPr>
        <w:tab/>
      </w:r>
      <w:r w:rsidRPr="004224F6">
        <w:rPr>
          <w:rFonts w:ascii="Times New Roman" w:hAnsi="Times New Roman" w:cs="Times New Roman"/>
          <w:b/>
          <w:lang w:val="ru-RU"/>
        </w:rPr>
        <w:t xml:space="preserve">Пожароизвестителна централа </w:t>
      </w:r>
    </w:p>
    <w:p w14:paraId="7E8E1A24" w14:textId="77777777" w:rsidR="00271FA2" w:rsidRPr="004224F6" w:rsidRDefault="00D35E51">
      <w:pPr>
        <w:tabs>
          <w:tab w:val="left" w:pos="709"/>
        </w:tabs>
        <w:spacing w:line="240" w:lineRule="atLeast"/>
        <w:ind w:left="709" w:hanging="709"/>
        <w:jc w:val="both"/>
        <w:rPr>
          <w:rFonts w:ascii="Times New Roman" w:hAnsi="Times New Roman" w:cs="Times New Roman"/>
          <w:lang w:val="ru-RU"/>
        </w:rPr>
      </w:pPr>
      <w:r w:rsidRPr="004224F6">
        <w:rPr>
          <w:rFonts w:ascii="Times New Roman" w:hAnsi="Times New Roman" w:cs="Times New Roman"/>
          <w:lang w:val="ru-RU"/>
        </w:rPr>
        <w:t>1.6.1</w:t>
      </w:r>
      <w:r w:rsidRPr="004224F6">
        <w:rPr>
          <w:rFonts w:ascii="Times New Roman" w:hAnsi="Times New Roman" w:cs="Times New Roman"/>
          <w:lang w:val="ru-RU"/>
        </w:rPr>
        <w:tab/>
        <w:t xml:space="preserve">Задействането на ръчен или автоматичен пожароизвестител подава оптичен и звуков пожароизвестителен сигнал на таблото и индикаторните устройства на пожароизвестителната централа. </w:t>
      </w:r>
    </w:p>
    <w:p w14:paraId="2C8DD0D7" w14:textId="77777777" w:rsidR="00271FA2" w:rsidRPr="004224F6" w:rsidRDefault="00D35E51">
      <w:pPr>
        <w:tabs>
          <w:tab w:val="left" w:pos="709"/>
        </w:tabs>
        <w:spacing w:line="240" w:lineRule="atLeast"/>
        <w:ind w:left="709" w:hanging="709"/>
        <w:jc w:val="both"/>
        <w:rPr>
          <w:rFonts w:ascii="Times New Roman" w:hAnsi="Times New Roman" w:cs="Times New Roman"/>
          <w:lang w:val="ru-RU"/>
        </w:rPr>
      </w:pPr>
      <w:r w:rsidRPr="004224F6">
        <w:rPr>
          <w:rFonts w:ascii="Times New Roman" w:hAnsi="Times New Roman" w:cs="Times New Roman"/>
          <w:lang w:val="ru-RU"/>
        </w:rPr>
        <w:t>1.6.2</w:t>
      </w:r>
      <w:r w:rsidRPr="004224F6">
        <w:rPr>
          <w:rFonts w:ascii="Times New Roman" w:hAnsi="Times New Roman" w:cs="Times New Roman"/>
          <w:lang w:val="ru-RU"/>
        </w:rPr>
        <w:tab/>
        <w:t xml:space="preserve">Контролните панели и индикаторните устройства на централата за пожароизвестяване трябва да бъдат на място, което е постоянно обслужвано от персонал на борда. Едно табло за управление и мониторинг и индикаторно устройство трябва да бъдат на мястото за управление. </w:t>
      </w:r>
    </w:p>
    <w:p w14:paraId="57918206"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1.6.3</w:t>
      </w:r>
      <w:r w:rsidRPr="004224F6">
        <w:rPr>
          <w:rFonts w:ascii="Times New Roman" w:hAnsi="Times New Roman" w:cs="Times New Roman"/>
          <w:lang w:val="ru-RU"/>
        </w:rPr>
        <w:tab/>
        <w:t>Дисплеите и индикаторните устройства трябва да показват най-малко зоната за откриване на пожар, в която е задействан ръчен или автоматичен пожароизвестител.</w:t>
      </w:r>
    </w:p>
    <w:p w14:paraId="043609AF" w14:textId="6DC21D64"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lastRenderedPageBreak/>
        <w:t>1.6.4</w:t>
      </w:r>
      <w:r w:rsidRPr="004224F6">
        <w:rPr>
          <w:rFonts w:ascii="Times New Roman" w:hAnsi="Times New Roman" w:cs="Times New Roman"/>
          <w:lang w:val="ru-RU"/>
        </w:rPr>
        <w:tab/>
        <w:t xml:space="preserve">Върху или близо до всеки дисплей и индикаторно устройство трябва да има ясна информация за наблюдаваните </w:t>
      </w:r>
      <w:r w:rsidR="000002F7" w:rsidRPr="004224F6">
        <w:rPr>
          <w:rFonts w:ascii="Times New Roman" w:hAnsi="Times New Roman" w:cs="Times New Roman"/>
          <w:lang w:val="ru-RU"/>
        </w:rPr>
        <w:t>помещения</w:t>
      </w:r>
      <w:r w:rsidRPr="004224F6">
        <w:rPr>
          <w:rFonts w:ascii="Times New Roman" w:hAnsi="Times New Roman" w:cs="Times New Roman"/>
          <w:lang w:val="ru-RU"/>
        </w:rPr>
        <w:t xml:space="preserve"> и местоположението на зоните за откриване на пожар</w:t>
      </w:r>
    </w:p>
    <w:p w14:paraId="281E2876" w14:textId="77777777" w:rsidR="00271FA2" w:rsidRPr="004224F6" w:rsidRDefault="00D35E51">
      <w:pPr>
        <w:tabs>
          <w:tab w:val="left" w:pos="709"/>
        </w:tabs>
        <w:spacing w:line="240" w:lineRule="atLeast"/>
        <w:ind w:left="709" w:hanging="709"/>
        <w:rPr>
          <w:rFonts w:ascii="Times New Roman" w:hAnsi="Times New Roman" w:cs="Times New Roman"/>
          <w:szCs w:val="20"/>
          <w:lang w:val="ru-RU"/>
        </w:rPr>
      </w:pPr>
      <w:r w:rsidRPr="004224F6">
        <w:rPr>
          <w:rFonts w:ascii="Times New Roman" w:hAnsi="Times New Roman" w:cs="Times New Roman"/>
          <w:b/>
          <w:lang w:val="ru-RU"/>
        </w:rPr>
        <w:t>2.</w:t>
      </w:r>
      <w:r w:rsidRPr="004224F6">
        <w:rPr>
          <w:rFonts w:ascii="Times New Roman" w:hAnsi="Times New Roman" w:cs="Times New Roman"/>
          <w:lang w:val="ru-RU"/>
        </w:rPr>
        <w:tab/>
      </w:r>
      <w:r w:rsidRPr="004224F6">
        <w:rPr>
          <w:rFonts w:ascii="Times New Roman" w:hAnsi="Times New Roman" w:cs="Times New Roman"/>
          <w:b/>
          <w:lang w:val="ru-RU"/>
        </w:rPr>
        <w:t>Изисквания за инсталиране</w:t>
      </w:r>
    </w:p>
    <w:p w14:paraId="2802FEF3"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2.1</w:t>
      </w:r>
      <w:r w:rsidRPr="004224F6">
        <w:rPr>
          <w:rFonts w:ascii="Times New Roman" w:hAnsi="Times New Roman" w:cs="Times New Roman"/>
          <w:lang w:val="ru-RU"/>
        </w:rPr>
        <w:tab/>
        <w:t>Ръчни пожароизвестители или пожарните датчици се монтират по такъв начин, че да се осигури възможно най-добра работа на системата. Избягват се места на разполагане около палубни главни носещи греди, вентилационни шахти или други места, на които въздушни течения могат да повлияят отрицателно на работата на системата, както и места, на които има вероятност от удари или механична повреда.</w:t>
      </w:r>
    </w:p>
    <w:p w14:paraId="15FB8014"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2.2</w:t>
      </w:r>
      <w:r w:rsidRPr="004224F6">
        <w:rPr>
          <w:rFonts w:ascii="Times New Roman" w:hAnsi="Times New Roman" w:cs="Times New Roman"/>
          <w:lang w:val="ru-RU"/>
        </w:rPr>
        <w:tab/>
        <w:t>По принцип, пожарните датчици, разположени на тавана, трябва да са най-малко на 0,5 метра от преградите. Максималното разстояние между пожарните датчици и преградите е съгласно следната таблица:</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18"/>
        <w:gridCol w:w="2041"/>
        <w:gridCol w:w="2041"/>
        <w:gridCol w:w="2041"/>
      </w:tblGrid>
      <w:tr w:rsidR="00271FA2" w:rsidRPr="004224F6" w14:paraId="77CC3F34" w14:textId="77777777" w:rsidTr="00141D54">
        <w:trPr>
          <w:jc w:val="center"/>
        </w:trPr>
        <w:tc>
          <w:tcPr>
            <w:tcW w:w="1418" w:type="dxa"/>
          </w:tcPr>
          <w:p w14:paraId="6C6D43E6" w14:textId="77777777" w:rsidR="00271FA2" w:rsidRPr="004224F6" w:rsidRDefault="00D35E51">
            <w:pPr>
              <w:tabs>
                <w:tab w:val="left" w:pos="426"/>
                <w:tab w:val="left" w:pos="709"/>
              </w:tabs>
              <w:spacing w:line="240" w:lineRule="atLeast"/>
              <w:jc w:val="center"/>
              <w:rPr>
                <w:rFonts w:ascii="Times New Roman" w:hAnsi="Times New Roman" w:cs="Times New Roman"/>
                <w:sz w:val="18"/>
                <w:szCs w:val="18"/>
              </w:rPr>
            </w:pPr>
            <w:r w:rsidRPr="004224F6">
              <w:rPr>
                <w:rFonts w:ascii="Times New Roman" w:hAnsi="Times New Roman" w:cs="Times New Roman"/>
                <w:sz w:val="18"/>
              </w:rPr>
              <w:t>Тип на пожарния датчик</w:t>
            </w:r>
          </w:p>
        </w:tc>
        <w:tc>
          <w:tcPr>
            <w:tcW w:w="2041" w:type="dxa"/>
          </w:tcPr>
          <w:p w14:paraId="36D2B715" w14:textId="77777777" w:rsidR="00271FA2" w:rsidRPr="004224F6" w:rsidRDefault="00D35E51">
            <w:pPr>
              <w:tabs>
                <w:tab w:val="left" w:pos="426"/>
                <w:tab w:val="left" w:pos="709"/>
              </w:tabs>
              <w:spacing w:line="240" w:lineRule="atLeast"/>
              <w:jc w:val="center"/>
              <w:rPr>
                <w:rFonts w:ascii="Times New Roman" w:hAnsi="Times New Roman" w:cs="Times New Roman"/>
                <w:sz w:val="18"/>
                <w:szCs w:val="18"/>
                <w:lang w:val="ru-RU"/>
              </w:rPr>
            </w:pPr>
            <w:r w:rsidRPr="004224F6">
              <w:rPr>
                <w:rFonts w:ascii="Times New Roman" w:hAnsi="Times New Roman" w:cs="Times New Roman"/>
                <w:sz w:val="18"/>
                <w:lang w:val="ru-RU"/>
              </w:rPr>
              <w:t>Максимална подова площ за един пожарен датчик</w:t>
            </w:r>
          </w:p>
        </w:tc>
        <w:tc>
          <w:tcPr>
            <w:tcW w:w="2041" w:type="dxa"/>
          </w:tcPr>
          <w:p w14:paraId="4CC66317" w14:textId="77777777" w:rsidR="00271FA2" w:rsidRPr="004224F6" w:rsidRDefault="00D35E51">
            <w:pPr>
              <w:tabs>
                <w:tab w:val="left" w:pos="426"/>
                <w:tab w:val="left" w:pos="709"/>
              </w:tabs>
              <w:spacing w:line="240" w:lineRule="atLeast"/>
              <w:jc w:val="center"/>
              <w:rPr>
                <w:rFonts w:ascii="Times New Roman" w:hAnsi="Times New Roman" w:cs="Times New Roman"/>
                <w:sz w:val="18"/>
                <w:szCs w:val="18"/>
                <w:lang w:val="ru-RU"/>
              </w:rPr>
            </w:pPr>
            <w:r w:rsidRPr="004224F6">
              <w:rPr>
                <w:rFonts w:ascii="Times New Roman" w:hAnsi="Times New Roman" w:cs="Times New Roman"/>
                <w:sz w:val="18"/>
                <w:lang w:val="ru-RU"/>
              </w:rPr>
              <w:t>Максимално разстояние между пожарните датчици</w:t>
            </w:r>
          </w:p>
        </w:tc>
        <w:tc>
          <w:tcPr>
            <w:tcW w:w="2041" w:type="dxa"/>
          </w:tcPr>
          <w:p w14:paraId="71D4479D" w14:textId="77777777" w:rsidR="00271FA2" w:rsidRPr="004224F6" w:rsidRDefault="00D35E51">
            <w:pPr>
              <w:tabs>
                <w:tab w:val="left" w:pos="426"/>
                <w:tab w:val="left" w:pos="709"/>
              </w:tabs>
              <w:spacing w:line="240" w:lineRule="atLeast"/>
              <w:jc w:val="center"/>
              <w:rPr>
                <w:rFonts w:ascii="Times New Roman" w:hAnsi="Times New Roman" w:cs="Times New Roman"/>
                <w:sz w:val="18"/>
                <w:szCs w:val="18"/>
                <w:lang w:val="ru-RU"/>
              </w:rPr>
            </w:pPr>
            <w:r w:rsidRPr="004224F6">
              <w:rPr>
                <w:rFonts w:ascii="Times New Roman" w:hAnsi="Times New Roman" w:cs="Times New Roman"/>
                <w:sz w:val="18"/>
                <w:lang w:val="ru-RU"/>
              </w:rPr>
              <w:t>Максимално отстояние на пожарните датчици от преградите</w:t>
            </w:r>
          </w:p>
        </w:tc>
      </w:tr>
      <w:tr w:rsidR="00271FA2" w:rsidRPr="004224F6" w14:paraId="571C12B4" w14:textId="77777777" w:rsidTr="00141D54">
        <w:trPr>
          <w:jc w:val="center"/>
        </w:trPr>
        <w:tc>
          <w:tcPr>
            <w:tcW w:w="1418" w:type="dxa"/>
            <w:vAlign w:val="center"/>
          </w:tcPr>
          <w:p w14:paraId="71A1A0C1" w14:textId="77777777" w:rsidR="00271FA2" w:rsidRPr="004224F6" w:rsidRDefault="00D35E51">
            <w:pPr>
              <w:tabs>
                <w:tab w:val="left" w:pos="426"/>
                <w:tab w:val="left" w:pos="709"/>
              </w:tabs>
              <w:spacing w:line="240" w:lineRule="atLeast"/>
              <w:ind w:left="709" w:hanging="709"/>
              <w:jc w:val="center"/>
              <w:rPr>
                <w:rFonts w:ascii="Times New Roman" w:hAnsi="Times New Roman" w:cs="Times New Roman"/>
                <w:sz w:val="18"/>
                <w:szCs w:val="18"/>
              </w:rPr>
            </w:pPr>
            <w:r w:rsidRPr="004224F6">
              <w:rPr>
                <w:rFonts w:ascii="Times New Roman" w:hAnsi="Times New Roman" w:cs="Times New Roman"/>
                <w:sz w:val="18"/>
              </w:rPr>
              <w:t>Топлина</w:t>
            </w:r>
          </w:p>
        </w:tc>
        <w:tc>
          <w:tcPr>
            <w:tcW w:w="2041" w:type="dxa"/>
            <w:vAlign w:val="center"/>
          </w:tcPr>
          <w:p w14:paraId="60A0F77C" w14:textId="77777777" w:rsidR="00271FA2" w:rsidRPr="004224F6" w:rsidRDefault="00D35E51">
            <w:pPr>
              <w:tabs>
                <w:tab w:val="left" w:pos="426"/>
                <w:tab w:val="left" w:pos="709"/>
              </w:tabs>
              <w:spacing w:line="240" w:lineRule="atLeast"/>
              <w:ind w:left="709" w:hanging="709"/>
              <w:jc w:val="center"/>
              <w:rPr>
                <w:rFonts w:ascii="Times New Roman" w:hAnsi="Times New Roman" w:cs="Times New Roman"/>
                <w:sz w:val="18"/>
                <w:szCs w:val="18"/>
              </w:rPr>
            </w:pPr>
            <w:r w:rsidRPr="004224F6">
              <w:rPr>
                <w:rFonts w:ascii="Times New Roman" w:hAnsi="Times New Roman" w:cs="Times New Roman"/>
                <w:sz w:val="18"/>
              </w:rPr>
              <w:t>37 m</w:t>
            </w:r>
            <w:r w:rsidRPr="004224F6">
              <w:rPr>
                <w:rFonts w:ascii="Times New Roman" w:hAnsi="Times New Roman" w:cs="Times New Roman"/>
                <w:position w:val="6"/>
                <w:sz w:val="14"/>
              </w:rPr>
              <w:t>2</w:t>
            </w:r>
          </w:p>
        </w:tc>
        <w:tc>
          <w:tcPr>
            <w:tcW w:w="2041" w:type="dxa"/>
            <w:vAlign w:val="center"/>
          </w:tcPr>
          <w:p w14:paraId="1A433521" w14:textId="77777777" w:rsidR="00271FA2" w:rsidRPr="004224F6" w:rsidRDefault="00D35E51">
            <w:pPr>
              <w:tabs>
                <w:tab w:val="left" w:pos="426"/>
                <w:tab w:val="left" w:pos="709"/>
              </w:tabs>
              <w:spacing w:line="240" w:lineRule="atLeast"/>
              <w:ind w:left="709" w:hanging="709"/>
              <w:jc w:val="center"/>
              <w:rPr>
                <w:rFonts w:ascii="Times New Roman" w:hAnsi="Times New Roman" w:cs="Times New Roman"/>
                <w:sz w:val="18"/>
                <w:szCs w:val="18"/>
              </w:rPr>
            </w:pPr>
            <w:r w:rsidRPr="004224F6">
              <w:rPr>
                <w:rFonts w:ascii="Times New Roman" w:hAnsi="Times New Roman" w:cs="Times New Roman"/>
                <w:sz w:val="18"/>
              </w:rPr>
              <w:t>9 m</w:t>
            </w:r>
          </w:p>
        </w:tc>
        <w:tc>
          <w:tcPr>
            <w:tcW w:w="2041" w:type="dxa"/>
            <w:vAlign w:val="center"/>
          </w:tcPr>
          <w:p w14:paraId="1F59E7BD" w14:textId="77777777" w:rsidR="00271FA2" w:rsidRPr="004224F6" w:rsidRDefault="00D35E51">
            <w:pPr>
              <w:tabs>
                <w:tab w:val="left" w:pos="426"/>
                <w:tab w:val="left" w:pos="709"/>
              </w:tabs>
              <w:spacing w:line="240" w:lineRule="atLeast"/>
              <w:ind w:left="709" w:hanging="709"/>
              <w:jc w:val="center"/>
              <w:rPr>
                <w:rFonts w:ascii="Times New Roman" w:hAnsi="Times New Roman" w:cs="Times New Roman"/>
                <w:sz w:val="18"/>
                <w:szCs w:val="18"/>
              </w:rPr>
            </w:pPr>
            <w:r w:rsidRPr="004224F6">
              <w:rPr>
                <w:rFonts w:ascii="Times New Roman" w:hAnsi="Times New Roman" w:cs="Times New Roman"/>
                <w:sz w:val="18"/>
              </w:rPr>
              <w:t>4,5 m</w:t>
            </w:r>
          </w:p>
        </w:tc>
      </w:tr>
      <w:tr w:rsidR="00271FA2" w:rsidRPr="004224F6" w14:paraId="71584640" w14:textId="77777777" w:rsidTr="00141D54">
        <w:trPr>
          <w:jc w:val="center"/>
        </w:trPr>
        <w:tc>
          <w:tcPr>
            <w:tcW w:w="1418" w:type="dxa"/>
            <w:vAlign w:val="center"/>
          </w:tcPr>
          <w:p w14:paraId="6B066372" w14:textId="77777777" w:rsidR="00271FA2" w:rsidRPr="004224F6" w:rsidRDefault="00D35E51">
            <w:pPr>
              <w:tabs>
                <w:tab w:val="left" w:pos="426"/>
                <w:tab w:val="left" w:pos="709"/>
              </w:tabs>
              <w:spacing w:line="240" w:lineRule="atLeast"/>
              <w:ind w:left="709" w:hanging="709"/>
              <w:jc w:val="center"/>
              <w:rPr>
                <w:rFonts w:ascii="Times New Roman" w:hAnsi="Times New Roman" w:cs="Times New Roman"/>
                <w:sz w:val="18"/>
                <w:szCs w:val="18"/>
              </w:rPr>
            </w:pPr>
            <w:r w:rsidRPr="004224F6">
              <w:rPr>
                <w:rFonts w:ascii="Times New Roman" w:hAnsi="Times New Roman" w:cs="Times New Roman"/>
                <w:sz w:val="18"/>
              </w:rPr>
              <w:t>Дим</w:t>
            </w:r>
          </w:p>
        </w:tc>
        <w:tc>
          <w:tcPr>
            <w:tcW w:w="2041" w:type="dxa"/>
            <w:vAlign w:val="center"/>
          </w:tcPr>
          <w:p w14:paraId="6F22075E" w14:textId="77777777" w:rsidR="00271FA2" w:rsidRPr="004224F6" w:rsidRDefault="00D35E51">
            <w:pPr>
              <w:tabs>
                <w:tab w:val="left" w:pos="426"/>
                <w:tab w:val="left" w:pos="709"/>
              </w:tabs>
              <w:spacing w:line="240" w:lineRule="atLeast"/>
              <w:ind w:left="709" w:hanging="709"/>
              <w:jc w:val="center"/>
              <w:rPr>
                <w:rFonts w:ascii="Times New Roman" w:hAnsi="Times New Roman" w:cs="Times New Roman"/>
                <w:sz w:val="18"/>
                <w:szCs w:val="18"/>
              </w:rPr>
            </w:pPr>
            <w:r w:rsidRPr="004224F6">
              <w:rPr>
                <w:rFonts w:ascii="Times New Roman" w:hAnsi="Times New Roman" w:cs="Times New Roman"/>
                <w:sz w:val="18"/>
              </w:rPr>
              <w:t>74 m</w:t>
            </w:r>
            <w:r w:rsidRPr="004224F6">
              <w:rPr>
                <w:rFonts w:ascii="Times New Roman" w:hAnsi="Times New Roman" w:cs="Times New Roman"/>
                <w:position w:val="6"/>
                <w:sz w:val="14"/>
              </w:rPr>
              <w:t>2</w:t>
            </w:r>
          </w:p>
        </w:tc>
        <w:tc>
          <w:tcPr>
            <w:tcW w:w="2041" w:type="dxa"/>
            <w:vAlign w:val="center"/>
          </w:tcPr>
          <w:p w14:paraId="0781A434" w14:textId="77777777" w:rsidR="00271FA2" w:rsidRPr="004224F6" w:rsidRDefault="00D35E51">
            <w:pPr>
              <w:tabs>
                <w:tab w:val="left" w:pos="426"/>
                <w:tab w:val="left" w:pos="709"/>
              </w:tabs>
              <w:spacing w:line="240" w:lineRule="atLeast"/>
              <w:ind w:left="709" w:hanging="709"/>
              <w:jc w:val="center"/>
              <w:rPr>
                <w:rFonts w:ascii="Times New Roman" w:hAnsi="Times New Roman" w:cs="Times New Roman"/>
                <w:sz w:val="18"/>
                <w:szCs w:val="18"/>
              </w:rPr>
            </w:pPr>
            <w:r w:rsidRPr="004224F6">
              <w:rPr>
                <w:rFonts w:ascii="Times New Roman" w:hAnsi="Times New Roman" w:cs="Times New Roman"/>
                <w:sz w:val="18"/>
              </w:rPr>
              <w:t>11 m</w:t>
            </w:r>
          </w:p>
        </w:tc>
        <w:tc>
          <w:tcPr>
            <w:tcW w:w="2041" w:type="dxa"/>
            <w:vAlign w:val="center"/>
          </w:tcPr>
          <w:p w14:paraId="13850688" w14:textId="77777777" w:rsidR="00271FA2" w:rsidRPr="004224F6" w:rsidRDefault="00D35E51">
            <w:pPr>
              <w:tabs>
                <w:tab w:val="left" w:pos="426"/>
                <w:tab w:val="left" w:pos="709"/>
              </w:tabs>
              <w:spacing w:line="240" w:lineRule="atLeast"/>
              <w:ind w:left="709" w:hanging="709"/>
              <w:jc w:val="center"/>
              <w:rPr>
                <w:rFonts w:ascii="Times New Roman" w:hAnsi="Times New Roman" w:cs="Times New Roman"/>
                <w:sz w:val="18"/>
                <w:szCs w:val="18"/>
              </w:rPr>
            </w:pPr>
            <w:r w:rsidRPr="004224F6">
              <w:rPr>
                <w:rFonts w:ascii="Times New Roman" w:hAnsi="Times New Roman" w:cs="Times New Roman"/>
                <w:sz w:val="18"/>
              </w:rPr>
              <w:t>5,5 m</w:t>
            </w:r>
          </w:p>
        </w:tc>
      </w:tr>
    </w:tbl>
    <w:p w14:paraId="628C03F4" w14:textId="77777777" w:rsidR="00271FA2" w:rsidRPr="004224F6" w:rsidRDefault="00D35E51">
      <w:pPr>
        <w:tabs>
          <w:tab w:val="left" w:pos="709"/>
        </w:tabs>
        <w:spacing w:line="240" w:lineRule="atLeast"/>
        <w:ind w:left="709"/>
        <w:jc w:val="both"/>
        <w:rPr>
          <w:rFonts w:ascii="Times New Roman" w:hAnsi="Times New Roman" w:cs="Times New Roman"/>
          <w:lang w:val="ru-RU"/>
        </w:rPr>
      </w:pPr>
      <w:r w:rsidRPr="004224F6">
        <w:rPr>
          <w:rFonts w:ascii="Times New Roman" w:hAnsi="Times New Roman" w:cs="Times New Roman"/>
          <w:lang w:val="ru-RU"/>
        </w:rPr>
        <w:tab/>
        <w:t xml:space="preserve">Контролният орган може да определи или одобри други разстояния въз основа на тестове, които доказват характеристиките на автоматичните пожароизвестители. Други видове пожароизвестители трябва да се монтират според критериите, определени от производителя. </w:t>
      </w:r>
    </w:p>
    <w:p w14:paraId="3080877A"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2.3</w:t>
      </w:r>
      <w:r w:rsidRPr="004224F6">
        <w:rPr>
          <w:rFonts w:ascii="Times New Roman" w:hAnsi="Times New Roman" w:cs="Times New Roman"/>
          <w:lang w:val="ru-RU"/>
        </w:rPr>
        <w:tab/>
        <w:t>Преминаването на електрически кабели на пожароизвестителната система през машинни и котелни отделения или други места с голям риск от пожар не е разрешено, освен ако не е необходимо за откриването на пожар на тези места или за свързване към съответното захранване.</w:t>
      </w:r>
    </w:p>
    <w:p w14:paraId="4DDA1302" w14:textId="77777777" w:rsidR="00271FA2" w:rsidRPr="004224F6" w:rsidRDefault="00D35E51">
      <w:pPr>
        <w:tabs>
          <w:tab w:val="left" w:pos="709"/>
        </w:tabs>
        <w:spacing w:line="240" w:lineRule="atLeast"/>
        <w:ind w:left="709" w:hanging="709"/>
        <w:jc w:val="both"/>
        <w:rPr>
          <w:rFonts w:ascii="Times New Roman" w:hAnsi="Times New Roman" w:cs="Times New Roman"/>
          <w:b/>
          <w:bCs/>
          <w:szCs w:val="20"/>
          <w:lang w:val="ru-RU"/>
        </w:rPr>
      </w:pPr>
      <w:r w:rsidRPr="004224F6">
        <w:rPr>
          <w:rFonts w:ascii="Times New Roman" w:hAnsi="Times New Roman" w:cs="Times New Roman"/>
          <w:b/>
          <w:lang w:val="ru-RU"/>
        </w:rPr>
        <w:t>3.</w:t>
      </w:r>
      <w:r w:rsidRPr="004224F6">
        <w:rPr>
          <w:rFonts w:ascii="Times New Roman" w:hAnsi="Times New Roman" w:cs="Times New Roman"/>
          <w:lang w:val="ru-RU"/>
        </w:rPr>
        <w:tab/>
      </w:r>
      <w:r w:rsidRPr="004224F6">
        <w:rPr>
          <w:rFonts w:ascii="Times New Roman" w:hAnsi="Times New Roman" w:cs="Times New Roman"/>
          <w:b/>
          <w:lang w:val="ru-RU"/>
        </w:rPr>
        <w:t>Приемно изпитване</w:t>
      </w:r>
    </w:p>
    <w:p w14:paraId="42181CB4"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3.1</w:t>
      </w:r>
      <w:r w:rsidRPr="004224F6">
        <w:rPr>
          <w:rFonts w:ascii="Times New Roman" w:hAnsi="Times New Roman" w:cs="Times New Roman"/>
          <w:lang w:val="ru-RU"/>
        </w:rPr>
        <w:tab/>
        <w:t>Пожароизвестителните системи трябва да се проверяват от експерт:</w:t>
      </w:r>
    </w:p>
    <w:p w14:paraId="3211EB3A" w14:textId="77777777" w:rsidR="00271FA2" w:rsidRPr="004224F6" w:rsidRDefault="00D35E51">
      <w:pPr>
        <w:spacing w:line="240" w:lineRule="atLeast"/>
        <w:ind w:left="1134" w:hanging="425"/>
        <w:jc w:val="both"/>
        <w:rPr>
          <w:rFonts w:ascii="Times New Roman" w:hAnsi="Times New Roman" w:cs="Times New Roman"/>
          <w:szCs w:val="20"/>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преди първоначално пускане в експлоатация;</w:t>
      </w:r>
    </w:p>
    <w:p w14:paraId="7479CEA2" w14:textId="77777777" w:rsidR="00271FA2" w:rsidRPr="004224F6" w:rsidRDefault="00D35E51">
      <w:pPr>
        <w:spacing w:line="240" w:lineRule="atLeast"/>
        <w:ind w:left="1134" w:hanging="425"/>
        <w:jc w:val="both"/>
        <w:rPr>
          <w:rFonts w:ascii="Times New Roman" w:hAnsi="Times New Roman" w:cs="Times New Roman"/>
          <w:szCs w:val="20"/>
          <w:lang w:val="ru-RU"/>
        </w:rPr>
      </w:pPr>
      <w:r w:rsidRPr="004224F6">
        <w:rPr>
          <w:rFonts w:ascii="Times New Roman" w:hAnsi="Times New Roman" w:cs="Times New Roman"/>
          <w:lang w:val="ru-RU"/>
        </w:rPr>
        <w:t>б)</w:t>
      </w:r>
      <w:r w:rsidRPr="004224F6">
        <w:rPr>
          <w:rFonts w:ascii="Times New Roman" w:hAnsi="Times New Roman" w:cs="Times New Roman"/>
          <w:lang w:val="ru-RU"/>
        </w:rPr>
        <w:tab/>
        <w:t>преди повторно пускане в експлоатация след всяко по-съществено изменение или ремонт;</w:t>
      </w:r>
    </w:p>
    <w:p w14:paraId="7FF91063" w14:textId="77777777" w:rsidR="00271FA2" w:rsidRPr="004224F6" w:rsidRDefault="00D35E51">
      <w:pPr>
        <w:spacing w:line="240" w:lineRule="atLeast"/>
        <w:ind w:left="1134" w:hanging="425"/>
        <w:jc w:val="both"/>
        <w:rPr>
          <w:rFonts w:ascii="Times New Roman" w:hAnsi="Times New Roman" w:cs="Times New Roman"/>
          <w:szCs w:val="20"/>
          <w:lang w:val="ru-RU"/>
        </w:rPr>
      </w:pPr>
      <w:r w:rsidRPr="004224F6">
        <w:rPr>
          <w:rFonts w:ascii="Times New Roman" w:hAnsi="Times New Roman" w:cs="Times New Roman"/>
          <w:lang w:val="ru-RU"/>
        </w:rPr>
        <w:t>в)</w:t>
      </w:r>
      <w:r w:rsidRPr="004224F6">
        <w:rPr>
          <w:rFonts w:ascii="Times New Roman" w:hAnsi="Times New Roman" w:cs="Times New Roman"/>
          <w:lang w:val="ru-RU"/>
        </w:rPr>
        <w:tab/>
        <w:t>редовно, най-малко на всеки две години.</w:t>
      </w:r>
    </w:p>
    <w:p w14:paraId="10F6A9C4" w14:textId="77777777" w:rsidR="00271FA2" w:rsidRPr="004224F6" w:rsidRDefault="00D35E51">
      <w:pPr>
        <w:tabs>
          <w:tab w:val="left" w:pos="709"/>
        </w:tabs>
        <w:spacing w:line="240" w:lineRule="atLeast"/>
        <w:ind w:left="709"/>
        <w:jc w:val="both"/>
        <w:rPr>
          <w:rFonts w:ascii="Times New Roman" w:hAnsi="Times New Roman" w:cs="Times New Roman"/>
          <w:szCs w:val="20"/>
          <w:lang w:val="ru-RU"/>
        </w:rPr>
      </w:pPr>
      <w:r w:rsidRPr="004224F6">
        <w:rPr>
          <w:rFonts w:ascii="Times New Roman" w:hAnsi="Times New Roman" w:cs="Times New Roman"/>
          <w:lang w:val="ru-RU"/>
        </w:rPr>
        <w:t>В случая на машинни отделения и котелни отделения тези проверки се извършват при различни експлоатационни условия на машините и при променящи се вентилационни условия. Проверките, посочени в буква “в” по-горе, могат да бъдат извършвани също от компетентно лице от компетентна фирма, специализирана в пожарогасителни системи.</w:t>
      </w:r>
    </w:p>
    <w:p w14:paraId="61DB8B29" w14:textId="77777777" w:rsidR="00271FA2" w:rsidRPr="004224F6" w:rsidRDefault="00D35E51">
      <w:pPr>
        <w:tabs>
          <w:tab w:val="left" w:pos="709"/>
        </w:tabs>
        <w:spacing w:line="240" w:lineRule="atLeast"/>
        <w:ind w:left="709" w:hanging="709"/>
        <w:jc w:val="both"/>
        <w:rPr>
          <w:rFonts w:ascii="Times New Roman" w:hAnsi="Times New Roman" w:cs="Times New Roman"/>
          <w:szCs w:val="20"/>
          <w:lang w:val="ru-RU"/>
        </w:rPr>
      </w:pPr>
      <w:r w:rsidRPr="004224F6">
        <w:rPr>
          <w:rFonts w:ascii="Times New Roman" w:hAnsi="Times New Roman" w:cs="Times New Roman"/>
          <w:lang w:val="ru-RU"/>
        </w:rPr>
        <w:t>3.2</w:t>
      </w:r>
      <w:r w:rsidRPr="004224F6">
        <w:rPr>
          <w:rFonts w:ascii="Times New Roman" w:hAnsi="Times New Roman" w:cs="Times New Roman"/>
          <w:lang w:val="ru-RU"/>
        </w:rPr>
        <w:tab/>
        <w:t>За проверката се издава сертификат, подписан от експерта или компетентното лице, като се посочва датата на проверката.</w:t>
      </w:r>
    </w:p>
    <w:p w14:paraId="3E767E42"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45"/>
          <w:footnotePr>
            <w:numRestart w:val="eachPage"/>
          </w:footnotePr>
          <w:pgSz w:w="11907" w:h="16840"/>
          <w:pgMar w:top="1134" w:right="1134" w:bottom="1134" w:left="1134" w:header="709" w:footer="709" w:gutter="0"/>
          <w:cols w:space="720"/>
          <w:docGrid w:linePitch="326"/>
        </w:sectPr>
      </w:pPr>
    </w:p>
    <w:p w14:paraId="62D68610" w14:textId="58E9E4E8" w:rsidR="00271FA2" w:rsidRPr="004224F6" w:rsidRDefault="00D35E51">
      <w:pPr>
        <w:pStyle w:val="ES-Titre2ESI"/>
        <w:rPr>
          <w:rFonts w:ascii="Times New Roman" w:hAnsi="Times New Roman" w:cs="Times New Roman"/>
          <w:lang w:val="ru-RU"/>
        </w:rPr>
      </w:pPr>
      <w:bookmarkStart w:id="697" w:name="_Toc535827803"/>
      <w:bookmarkStart w:id="698" w:name="_Toc491854362"/>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w:t>
      </w:r>
      <w:r w:rsidRPr="004224F6">
        <w:rPr>
          <w:rFonts w:ascii="Times New Roman" w:hAnsi="Times New Roman" w:cs="Times New Roman"/>
          <w:lang w:val="ru-RU"/>
        </w:rPr>
        <w:t>-13</w:t>
      </w:r>
      <w:r w:rsidRPr="004224F6">
        <w:rPr>
          <w:rFonts w:ascii="Times New Roman" w:hAnsi="Times New Roman" w:cs="Times New Roman"/>
          <w:lang w:val="ru-RU"/>
        </w:rPr>
        <w:br/>
        <w:t xml:space="preserve">ОБРАЗЕЦ ЗА ОГРАНИЧЕН ОБЩ ПЛАН НА ЕЛЕКТРИЧЕСКАТА ИНСТАЛАЦИЯ </w:t>
      </w:r>
      <w:r w:rsidR="00DD22AD" w:rsidRPr="004224F6">
        <w:rPr>
          <w:rFonts w:ascii="Times New Roman" w:hAnsi="Times New Roman" w:cs="Times New Roman"/>
          <w:lang w:val="ru-RU"/>
        </w:rPr>
        <w:t>н</w:t>
      </w:r>
      <w:r w:rsidRPr="004224F6">
        <w:rPr>
          <w:rFonts w:ascii="Times New Roman" w:hAnsi="Times New Roman" w:cs="Times New Roman"/>
          <w:lang w:val="ru-RU"/>
        </w:rPr>
        <w:t>А плавателни СЪДОВЕ</w:t>
      </w:r>
      <w:r w:rsidR="00DD22AD" w:rsidRPr="004224F6">
        <w:rPr>
          <w:rFonts w:ascii="Times New Roman" w:hAnsi="Times New Roman" w:cs="Times New Roman"/>
          <w:lang w:val="ru-RU"/>
        </w:rPr>
        <w:t>,</w:t>
      </w:r>
      <w:r w:rsidRPr="004224F6">
        <w:rPr>
          <w:rFonts w:ascii="Times New Roman" w:hAnsi="Times New Roman" w:cs="Times New Roman"/>
          <w:lang w:val="ru-RU"/>
        </w:rPr>
        <w:t xml:space="preserve"> </w:t>
      </w:r>
      <w:r w:rsidR="00337A69" w:rsidRPr="004224F6">
        <w:rPr>
          <w:rFonts w:ascii="Times New Roman" w:hAnsi="Times New Roman" w:cs="Times New Roman"/>
          <w:lang w:val="ru-RU"/>
        </w:rPr>
        <w:t>ЗАЛОЖЕНИ ЗА СТРОЕЖ НА ИЛИ ПРЕДИ</w:t>
      </w:r>
      <w:r w:rsidRPr="004224F6">
        <w:rPr>
          <w:rFonts w:ascii="Times New Roman" w:hAnsi="Times New Roman" w:cs="Times New Roman"/>
          <w:lang w:val="ru-RU"/>
        </w:rPr>
        <w:t xml:space="preserve"> 1 АПРИЛ 1976</w:t>
      </w:r>
      <w:r w:rsidR="00DD22AD" w:rsidRPr="004224F6">
        <w:rPr>
          <w:rFonts w:ascii="Times New Roman" w:hAnsi="Times New Roman" w:cs="Times New Roman"/>
          <w:lang w:val="ru-RU"/>
        </w:rPr>
        <w:t xml:space="preserve"> г.</w:t>
      </w:r>
    </w:p>
    <w:p w14:paraId="5AE1F6B7" w14:textId="77777777" w:rsidR="00271FA2" w:rsidRPr="004224F6" w:rsidRDefault="00D35E51" w:rsidP="00141D54">
      <w:pPr>
        <w:pStyle w:val="ES-Titre2ESI"/>
        <w:spacing w:after="240"/>
        <w:rPr>
          <w:rFonts w:ascii="Times New Roman" w:hAnsi="Times New Roman" w:cs="Times New Roman"/>
          <w:lang w:val="ru-RU"/>
        </w:rPr>
      </w:pPr>
      <w:r w:rsidRPr="004224F6">
        <w:rPr>
          <w:rFonts w:ascii="Times New Roman" w:hAnsi="Times New Roman" w:cs="Times New Roman"/>
          <w:lang w:val="ru-RU"/>
        </w:rPr>
        <w:t>(Член 32.04, точка 3)</w:t>
      </w:r>
      <w:bookmarkEnd w:id="697"/>
      <w:bookmarkEnd w:id="698"/>
    </w:p>
    <w:p w14:paraId="29C2C1B1" w14:textId="77777777" w:rsidR="00271FA2" w:rsidRPr="004224F6" w:rsidRDefault="00D35E51">
      <w:pPr>
        <w:overflowPunct w:val="0"/>
        <w:adjustRightInd w:val="0"/>
        <w:spacing w:line="240" w:lineRule="atLeast"/>
        <w:jc w:val="center"/>
        <w:textAlignment w:val="baseline"/>
        <w:rPr>
          <w:rFonts w:ascii="Times New Roman" w:hAnsi="Times New Roman" w:cs="Times New Roman"/>
          <w:szCs w:val="20"/>
          <w:lang w:val="ru-RU"/>
        </w:rPr>
      </w:pPr>
      <w:r w:rsidRPr="004224F6">
        <w:rPr>
          <w:rFonts w:ascii="Times New Roman" w:hAnsi="Times New Roman" w:cs="Times New Roman"/>
          <w:szCs w:val="20"/>
          <w:lang w:val="ru-RU"/>
        </w:rPr>
        <w:t>Пример 1</w:t>
      </w:r>
    </w:p>
    <w:p w14:paraId="2F8D7CC4" w14:textId="77777777" w:rsidR="00271FA2" w:rsidRPr="004224F6" w:rsidRDefault="00D35E51">
      <w:pPr>
        <w:overflowPunct w:val="0"/>
        <w:adjustRightInd w:val="0"/>
        <w:spacing w:line="240" w:lineRule="atLeast"/>
        <w:jc w:val="center"/>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Разпределително табло 380 </w:t>
      </w:r>
      <w:r w:rsidRPr="004224F6">
        <w:rPr>
          <w:rFonts w:ascii="Times New Roman" w:hAnsi="Times New Roman" w:cs="Times New Roman"/>
          <w:szCs w:val="20"/>
        </w:rPr>
        <w:t>V</w:t>
      </w:r>
    </w:p>
    <w:p w14:paraId="61F84065" w14:textId="77777777" w:rsidR="00271FA2" w:rsidRPr="004224F6" w:rsidRDefault="00D35E51">
      <w:pPr>
        <w:overflowPunct w:val="0"/>
        <w:adjustRightInd w:val="0"/>
        <w:spacing w:line="240" w:lineRule="atLeast"/>
        <w:textAlignment w:val="baseline"/>
        <w:rPr>
          <w:rFonts w:ascii="Times New Roman" w:hAnsi="Times New Roman" w:cs="Times New Roman"/>
          <w:szCs w:val="20"/>
        </w:rPr>
      </w:pPr>
      <w:r w:rsidRPr="004224F6">
        <w:rPr>
          <w:rFonts w:ascii="Times New Roman" w:hAnsi="Times New Roman" w:cs="Times New Roman"/>
          <w:noProof/>
          <w:szCs w:val="20"/>
          <w:lang w:eastAsia="bg-BG"/>
        </w:rPr>
        <w:drawing>
          <wp:inline distT="0" distB="0" distL="0" distR="0" wp14:anchorId="74C133D5" wp14:editId="32EE5E0D">
            <wp:extent cx="5760085" cy="446976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a:xfrm>
                      <a:off x="0" y="0"/>
                      <a:ext cx="5760085" cy="4470295"/>
                    </a:xfrm>
                    <a:prstGeom prst="rect">
                      <a:avLst/>
                    </a:prstGeom>
                    <a:noFill/>
                    <a:ln>
                      <a:noFill/>
                    </a:ln>
                  </pic:spPr>
                </pic:pic>
              </a:graphicData>
            </a:graphic>
          </wp:inline>
        </w:drawing>
      </w:r>
    </w:p>
    <w:p w14:paraId="0BCB50B1" w14:textId="77777777" w:rsidR="00271FA2" w:rsidRPr="004224F6" w:rsidRDefault="00271FA2">
      <w:pPr>
        <w:overflowPunct w:val="0"/>
        <w:adjustRightInd w:val="0"/>
        <w:spacing w:line="240" w:lineRule="atLeast"/>
        <w:textAlignment w:val="baseline"/>
        <w:rPr>
          <w:rFonts w:ascii="Times New Roman" w:hAnsi="Times New Roman" w:cs="Times New Roman"/>
          <w:szCs w:val="20"/>
        </w:rPr>
      </w:pPr>
    </w:p>
    <w:p w14:paraId="11E33C4B" w14:textId="77777777" w:rsidR="00271FA2" w:rsidRPr="004224F6" w:rsidRDefault="00D35E51">
      <w:pPr>
        <w:overflowPunct w:val="0"/>
        <w:adjustRightInd w:val="0"/>
        <w:spacing w:line="240" w:lineRule="atLeast"/>
        <w:textAlignment w:val="baseline"/>
        <w:rPr>
          <w:rFonts w:ascii="Times New Roman" w:hAnsi="Times New Roman" w:cs="Times New Roman"/>
          <w:szCs w:val="20"/>
        </w:rPr>
      </w:pPr>
      <w:r w:rsidRPr="004224F6">
        <w:rPr>
          <w:rFonts w:ascii="Times New Roman" w:hAnsi="Times New Roman" w:cs="Times New Roman"/>
        </w:rPr>
        <w:br w:type="page"/>
      </w:r>
    </w:p>
    <w:p w14:paraId="558CC03E" w14:textId="77777777" w:rsidR="00271FA2" w:rsidRPr="004224F6" w:rsidRDefault="00D35E51">
      <w:pPr>
        <w:overflowPunct w:val="0"/>
        <w:adjustRightInd w:val="0"/>
        <w:spacing w:line="240" w:lineRule="atLeast"/>
        <w:jc w:val="center"/>
        <w:textAlignment w:val="baseline"/>
        <w:rPr>
          <w:rFonts w:ascii="Times New Roman" w:hAnsi="Times New Roman" w:cs="Times New Roman"/>
          <w:szCs w:val="20"/>
          <w:lang w:val="ru-RU"/>
        </w:rPr>
      </w:pPr>
      <w:r w:rsidRPr="004224F6">
        <w:rPr>
          <w:rFonts w:ascii="Times New Roman" w:hAnsi="Times New Roman" w:cs="Times New Roman"/>
          <w:szCs w:val="20"/>
          <w:lang w:val="ru-RU"/>
        </w:rPr>
        <w:lastRenderedPageBreak/>
        <w:t>Пример 2</w:t>
      </w:r>
    </w:p>
    <w:p w14:paraId="13B7F0CE" w14:textId="77777777" w:rsidR="00271FA2" w:rsidRPr="004224F6" w:rsidRDefault="00D35E51">
      <w:pPr>
        <w:overflowPunct w:val="0"/>
        <w:adjustRightInd w:val="0"/>
        <w:spacing w:line="240" w:lineRule="atLeast"/>
        <w:jc w:val="center"/>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Разпределително табло 24 </w:t>
      </w:r>
      <w:r w:rsidRPr="004224F6">
        <w:rPr>
          <w:rFonts w:ascii="Times New Roman" w:hAnsi="Times New Roman" w:cs="Times New Roman"/>
          <w:szCs w:val="20"/>
        </w:rPr>
        <w:t>V</w:t>
      </w:r>
      <w:r w:rsidRPr="004224F6">
        <w:rPr>
          <w:rFonts w:ascii="Times New Roman" w:hAnsi="Times New Roman" w:cs="Times New Roman"/>
          <w:szCs w:val="20"/>
          <w:lang w:val="ru-RU"/>
        </w:rPr>
        <w:t xml:space="preserve"> в рулевата рубка</w:t>
      </w:r>
    </w:p>
    <w:p w14:paraId="129DBFFE" w14:textId="77777777" w:rsidR="00271FA2" w:rsidRPr="004224F6" w:rsidRDefault="00D35E51">
      <w:pPr>
        <w:overflowPunct w:val="0"/>
        <w:adjustRightInd w:val="0"/>
        <w:spacing w:line="240" w:lineRule="atLeast"/>
        <w:textAlignment w:val="baseline"/>
        <w:rPr>
          <w:rFonts w:ascii="Times New Roman" w:hAnsi="Times New Roman" w:cs="Times New Roman"/>
          <w:szCs w:val="20"/>
        </w:rPr>
      </w:pPr>
      <w:r w:rsidRPr="004224F6">
        <w:rPr>
          <w:rFonts w:ascii="Times New Roman" w:hAnsi="Times New Roman" w:cs="Times New Roman"/>
          <w:noProof/>
          <w:szCs w:val="20"/>
          <w:lang w:eastAsia="bg-BG"/>
        </w:rPr>
        <w:drawing>
          <wp:inline distT="0" distB="0" distL="0" distR="0" wp14:anchorId="7D9AF34F" wp14:editId="3C750EB1">
            <wp:extent cx="5760085" cy="58566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a:xfrm>
                      <a:off x="0" y="0"/>
                      <a:ext cx="5760085" cy="5856623"/>
                    </a:xfrm>
                    <a:prstGeom prst="rect">
                      <a:avLst/>
                    </a:prstGeom>
                    <a:noFill/>
                    <a:ln>
                      <a:noFill/>
                    </a:ln>
                  </pic:spPr>
                </pic:pic>
              </a:graphicData>
            </a:graphic>
          </wp:inline>
        </w:drawing>
      </w:r>
    </w:p>
    <w:p w14:paraId="3C393C4E" w14:textId="77777777" w:rsidR="00A24358" w:rsidRPr="004224F6" w:rsidRDefault="00A24358">
      <w:pPr>
        <w:overflowPunct w:val="0"/>
        <w:adjustRightInd w:val="0"/>
        <w:spacing w:line="240" w:lineRule="atLeast"/>
        <w:textAlignment w:val="baseline"/>
        <w:rPr>
          <w:rFonts w:ascii="Times New Roman" w:hAnsi="Times New Roman" w:cs="Times New Roman"/>
          <w:szCs w:val="20"/>
        </w:rPr>
      </w:pPr>
    </w:p>
    <w:p w14:paraId="0F9E052D" w14:textId="77777777" w:rsidR="00A24358" w:rsidRPr="004224F6" w:rsidRDefault="00A24358">
      <w:pPr>
        <w:rPr>
          <w:rFonts w:ascii="Times New Roman" w:hAnsi="Times New Roman" w:cs="Times New Roman"/>
          <w:b/>
        </w:rPr>
        <w:sectPr w:rsidR="00A24358" w:rsidRPr="004224F6" w:rsidSect="004224F6">
          <w:headerReference w:type="default" r:id="rId248"/>
          <w:footnotePr>
            <w:numRestart w:val="eachPage"/>
          </w:footnotePr>
          <w:pgSz w:w="11907" w:h="16840"/>
          <w:pgMar w:top="1134" w:right="1134" w:bottom="1134" w:left="1134" w:header="709" w:footer="709" w:gutter="0"/>
          <w:cols w:space="720"/>
          <w:docGrid w:linePitch="326"/>
        </w:sectPr>
      </w:pPr>
    </w:p>
    <w:p w14:paraId="70D40D92" w14:textId="75337F1E" w:rsidR="007B6103" w:rsidRPr="004224F6" w:rsidRDefault="007B6103" w:rsidP="007B6103">
      <w:pPr>
        <w:jc w:val="center"/>
        <w:rPr>
          <w:rFonts w:ascii="Times New Roman" w:hAnsi="Times New Roman" w:cs="Times New Roman"/>
          <w:b/>
          <w:lang w:val="ru-RU"/>
        </w:rPr>
      </w:pPr>
      <w:r w:rsidRPr="004224F6">
        <w:rPr>
          <w:rFonts w:ascii="Times New Roman" w:hAnsi="Times New Roman" w:cs="Times New Roman"/>
          <w:b/>
        </w:rPr>
        <w:lastRenderedPageBreak/>
        <w:t>ESI</w:t>
      </w:r>
      <w:r w:rsidRPr="004224F6">
        <w:rPr>
          <w:rFonts w:ascii="Times New Roman" w:hAnsi="Times New Roman" w:cs="Times New Roman"/>
          <w:b/>
          <w:lang w:val="ru-RU"/>
        </w:rPr>
        <w:t>-</w:t>
      </w:r>
      <w:r w:rsidRPr="004224F6">
        <w:rPr>
          <w:rFonts w:ascii="Times New Roman" w:hAnsi="Times New Roman" w:cs="Times New Roman"/>
          <w:b/>
        </w:rPr>
        <w:t>II</w:t>
      </w:r>
      <w:r w:rsidRPr="004224F6">
        <w:rPr>
          <w:rFonts w:ascii="Times New Roman" w:hAnsi="Times New Roman" w:cs="Times New Roman"/>
          <w:b/>
          <w:lang w:val="ru-RU"/>
        </w:rPr>
        <w:t>-14</w:t>
      </w:r>
    </w:p>
    <w:p w14:paraId="12197EF8" w14:textId="3108F439" w:rsidR="007B6103" w:rsidRPr="004224F6" w:rsidRDefault="00563F65" w:rsidP="007B6103">
      <w:pPr>
        <w:jc w:val="center"/>
        <w:rPr>
          <w:rFonts w:ascii="Times New Roman" w:hAnsi="Times New Roman" w:cs="Times New Roman"/>
          <w:b/>
          <w:lang w:val="ru-RU"/>
        </w:rPr>
      </w:pPr>
      <w:r w:rsidRPr="004224F6">
        <w:rPr>
          <w:rFonts w:ascii="Times New Roman" w:hAnsi="Times New Roman" w:cs="Times New Roman"/>
          <w:b/>
          <w:lang w:val="ru-RU"/>
        </w:rPr>
        <w:t xml:space="preserve">ЦВЕТОВО </w:t>
      </w:r>
      <w:r w:rsidR="007C78AE" w:rsidRPr="004224F6">
        <w:rPr>
          <w:rFonts w:ascii="Times New Roman" w:hAnsi="Times New Roman" w:cs="Times New Roman"/>
          <w:b/>
          <w:lang w:val="ru-RU"/>
        </w:rPr>
        <w:t xml:space="preserve">ОЗНАЧЕНИЕ </w:t>
      </w:r>
      <w:r w:rsidR="007B6103" w:rsidRPr="004224F6">
        <w:rPr>
          <w:rFonts w:ascii="Times New Roman" w:hAnsi="Times New Roman" w:cs="Times New Roman"/>
          <w:b/>
          <w:lang w:val="ru-RU"/>
        </w:rPr>
        <w:t>НА ГЪРЛОВИ</w:t>
      </w:r>
      <w:r w:rsidRPr="004224F6">
        <w:rPr>
          <w:rFonts w:ascii="Times New Roman" w:hAnsi="Times New Roman" w:cs="Times New Roman"/>
          <w:b/>
          <w:lang w:val="ru-RU"/>
        </w:rPr>
        <w:t>НИ</w:t>
      </w:r>
      <w:r w:rsidR="007B6103" w:rsidRPr="004224F6">
        <w:rPr>
          <w:rFonts w:ascii="Times New Roman" w:hAnsi="Times New Roman" w:cs="Times New Roman"/>
          <w:b/>
          <w:lang w:val="ru-RU"/>
        </w:rPr>
        <w:t>ТЕ ЗА ПЪЛНЕНЕ</w:t>
      </w:r>
    </w:p>
    <w:p w14:paraId="70F4BD38" w14:textId="44DED55A" w:rsidR="007B6103" w:rsidRPr="004224F6" w:rsidRDefault="007B6103" w:rsidP="007B6103">
      <w:pPr>
        <w:jc w:val="center"/>
        <w:rPr>
          <w:rFonts w:ascii="Times New Roman" w:hAnsi="Times New Roman" w:cs="Times New Roman"/>
          <w:b/>
          <w:lang w:val="ru-RU"/>
        </w:rPr>
      </w:pPr>
      <w:r w:rsidRPr="004224F6">
        <w:rPr>
          <w:rFonts w:ascii="Times New Roman" w:hAnsi="Times New Roman" w:cs="Times New Roman"/>
          <w:b/>
          <w:lang w:val="ru-RU"/>
        </w:rPr>
        <w:t>(Членове 8.05</w:t>
      </w:r>
      <w:r w:rsidR="007C1DCC" w:rsidRPr="004224F6">
        <w:rPr>
          <w:rFonts w:ascii="Times New Roman" w:hAnsi="Times New Roman" w:cs="Times New Roman"/>
          <w:b/>
          <w:lang w:val="ru-RU"/>
        </w:rPr>
        <w:t>,</w:t>
      </w:r>
      <w:r w:rsidR="00BA29D0" w:rsidRPr="004224F6">
        <w:rPr>
          <w:rFonts w:ascii="Times New Roman" w:hAnsi="Times New Roman" w:cs="Times New Roman"/>
          <w:b/>
          <w:lang w:val="ru-RU"/>
        </w:rPr>
        <w:t>т</w:t>
      </w:r>
      <w:r w:rsidR="007C1DCC" w:rsidRPr="004224F6">
        <w:rPr>
          <w:rFonts w:ascii="Times New Roman" w:hAnsi="Times New Roman" w:cs="Times New Roman"/>
          <w:b/>
          <w:lang w:val="ru-RU"/>
        </w:rPr>
        <w:t>.</w:t>
      </w:r>
      <w:r w:rsidRPr="004224F6">
        <w:rPr>
          <w:rFonts w:ascii="Times New Roman" w:hAnsi="Times New Roman" w:cs="Times New Roman"/>
          <w:b/>
          <w:lang w:val="ru-RU"/>
        </w:rPr>
        <w:t>5, 8.06</w:t>
      </w:r>
      <w:r w:rsidR="007C1DCC" w:rsidRPr="004224F6">
        <w:rPr>
          <w:rFonts w:ascii="Times New Roman" w:hAnsi="Times New Roman" w:cs="Times New Roman"/>
          <w:b/>
          <w:lang w:val="ru-RU"/>
        </w:rPr>
        <w:t>,</w:t>
      </w:r>
      <w:r w:rsidR="00BA29D0" w:rsidRPr="004224F6">
        <w:rPr>
          <w:rFonts w:ascii="Times New Roman" w:hAnsi="Times New Roman" w:cs="Times New Roman"/>
          <w:b/>
          <w:lang w:val="ru-RU"/>
        </w:rPr>
        <w:t xml:space="preserve"> т</w:t>
      </w:r>
      <w:r w:rsidR="007C1DCC" w:rsidRPr="004224F6">
        <w:rPr>
          <w:rFonts w:ascii="Times New Roman" w:hAnsi="Times New Roman" w:cs="Times New Roman"/>
          <w:b/>
          <w:lang w:val="ru-RU"/>
        </w:rPr>
        <w:t>.</w:t>
      </w:r>
      <w:r w:rsidRPr="004224F6">
        <w:rPr>
          <w:rFonts w:ascii="Times New Roman" w:hAnsi="Times New Roman" w:cs="Times New Roman"/>
          <w:b/>
          <w:lang w:val="ru-RU"/>
        </w:rPr>
        <w:t>6, 8.07</w:t>
      </w:r>
      <w:r w:rsidR="007C1DCC" w:rsidRPr="004224F6">
        <w:rPr>
          <w:rFonts w:ascii="Times New Roman" w:hAnsi="Times New Roman" w:cs="Times New Roman"/>
          <w:b/>
          <w:lang w:val="ru-RU"/>
        </w:rPr>
        <w:t>,</w:t>
      </w:r>
      <w:r w:rsidR="00BA29D0" w:rsidRPr="004224F6">
        <w:rPr>
          <w:rFonts w:ascii="Times New Roman" w:hAnsi="Times New Roman" w:cs="Times New Roman"/>
          <w:b/>
          <w:lang w:val="ru-RU"/>
        </w:rPr>
        <w:t>т</w:t>
      </w:r>
      <w:r w:rsidR="007C1DCC" w:rsidRPr="004224F6">
        <w:rPr>
          <w:rFonts w:ascii="Times New Roman" w:hAnsi="Times New Roman" w:cs="Times New Roman"/>
          <w:b/>
          <w:lang w:val="ru-RU"/>
        </w:rPr>
        <w:t>.</w:t>
      </w:r>
      <w:r w:rsidRPr="004224F6">
        <w:rPr>
          <w:rFonts w:ascii="Times New Roman" w:hAnsi="Times New Roman" w:cs="Times New Roman"/>
          <w:b/>
          <w:lang w:val="ru-RU"/>
        </w:rPr>
        <w:t>5, 15.05</w:t>
      </w:r>
      <w:r w:rsidR="007C1DCC" w:rsidRPr="004224F6">
        <w:rPr>
          <w:rFonts w:ascii="Times New Roman" w:hAnsi="Times New Roman" w:cs="Times New Roman"/>
          <w:b/>
          <w:lang w:val="ru-RU"/>
        </w:rPr>
        <w:t>,</w:t>
      </w:r>
      <w:r w:rsidR="00BA29D0" w:rsidRPr="004224F6">
        <w:rPr>
          <w:rFonts w:ascii="Times New Roman" w:hAnsi="Times New Roman" w:cs="Times New Roman"/>
          <w:b/>
          <w:lang w:val="ru-RU"/>
        </w:rPr>
        <w:t>т</w:t>
      </w:r>
      <w:r w:rsidR="007C1DCC" w:rsidRPr="004224F6">
        <w:rPr>
          <w:rFonts w:ascii="Times New Roman" w:hAnsi="Times New Roman" w:cs="Times New Roman"/>
          <w:b/>
          <w:lang w:val="ru-RU"/>
        </w:rPr>
        <w:t>.</w:t>
      </w:r>
      <w:r w:rsidRPr="004224F6">
        <w:rPr>
          <w:rFonts w:ascii="Times New Roman" w:hAnsi="Times New Roman" w:cs="Times New Roman"/>
          <w:b/>
          <w:lang w:val="ru-RU"/>
        </w:rPr>
        <w:t>1)</w:t>
      </w:r>
    </w:p>
    <w:p w14:paraId="780C0F0B" w14:textId="77777777" w:rsidR="007B6103" w:rsidRPr="004224F6" w:rsidRDefault="007B6103" w:rsidP="007B6103">
      <w:pPr>
        <w:rPr>
          <w:rFonts w:ascii="Times New Roman" w:hAnsi="Times New Roman" w:cs="Times New Roman"/>
          <w:lang w:val="ru-RU"/>
        </w:rPr>
      </w:pPr>
    </w:p>
    <w:p w14:paraId="01AA0306" w14:textId="33ABC120" w:rsidR="007B6103" w:rsidRPr="004224F6" w:rsidRDefault="006863E9" w:rsidP="007B6103">
      <w:pPr>
        <w:rPr>
          <w:rFonts w:ascii="Times New Roman" w:hAnsi="Times New Roman" w:cs="Times New Roman"/>
          <w:lang w:val="ru-RU"/>
        </w:rPr>
      </w:pPr>
      <w:r w:rsidRPr="004224F6">
        <w:rPr>
          <w:rFonts w:ascii="Times New Roman" w:hAnsi="Times New Roman" w:cs="Times New Roman"/>
          <w:lang w:val="ru-RU"/>
        </w:rPr>
        <w:t xml:space="preserve"> </w:t>
      </w:r>
      <w:r w:rsidR="00BA29D0" w:rsidRPr="004224F6">
        <w:rPr>
          <w:rFonts w:ascii="Times New Roman" w:hAnsi="Times New Roman" w:cs="Times New Roman"/>
          <w:lang w:val="ru-RU"/>
        </w:rPr>
        <w:t>Гърловините за пълнене</w:t>
      </w:r>
      <w:r w:rsidR="007B6103" w:rsidRPr="004224F6">
        <w:rPr>
          <w:rFonts w:ascii="Times New Roman" w:hAnsi="Times New Roman" w:cs="Times New Roman"/>
          <w:lang w:val="ru-RU"/>
        </w:rPr>
        <w:t xml:space="preserve"> на</w:t>
      </w:r>
    </w:p>
    <w:p w14:paraId="7242B18D"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резервоари за гориво,</w:t>
      </w:r>
    </w:p>
    <w:p w14:paraId="03A26D28"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резервоари за смазочни масла,</w:t>
      </w:r>
    </w:p>
    <w:p w14:paraId="09424B03"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резервоари за масла, използвани в системи за предаване на енергия, системи за управление и активиране или отоплителни системи и</w:t>
      </w:r>
    </w:p>
    <w:p w14:paraId="4F445D66"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инсталации за питейна вода</w:t>
      </w:r>
    </w:p>
    <w:p w14:paraId="0CBFEB73" w14:textId="095CEEDD"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xml:space="preserve">трябва да бъдат ясно </w:t>
      </w:r>
      <w:r w:rsidR="006863E9" w:rsidRPr="004224F6">
        <w:rPr>
          <w:rFonts w:ascii="Times New Roman" w:hAnsi="Times New Roman" w:cs="Times New Roman"/>
          <w:lang w:val="ru-RU"/>
        </w:rPr>
        <w:t xml:space="preserve"> </w:t>
      </w:r>
      <w:r w:rsidR="00467339" w:rsidRPr="004224F6">
        <w:rPr>
          <w:rFonts w:ascii="Times New Roman" w:hAnsi="Times New Roman" w:cs="Times New Roman"/>
          <w:lang w:val="ru-RU"/>
        </w:rPr>
        <w:t>обозначени</w:t>
      </w:r>
      <w:r w:rsidRPr="004224F6">
        <w:rPr>
          <w:rFonts w:ascii="Times New Roman" w:hAnsi="Times New Roman" w:cs="Times New Roman"/>
          <w:lang w:val="ru-RU"/>
        </w:rPr>
        <w:t>. Препоръчително е да</w:t>
      </w:r>
      <w:r w:rsidR="001B5A0A" w:rsidRPr="004224F6">
        <w:rPr>
          <w:rFonts w:ascii="Times New Roman" w:hAnsi="Times New Roman" w:cs="Times New Roman"/>
          <w:lang w:val="ru-RU"/>
        </w:rPr>
        <w:t xml:space="preserve"> са </w:t>
      </w:r>
      <w:r w:rsidRPr="004224F6">
        <w:rPr>
          <w:rFonts w:ascii="Times New Roman" w:hAnsi="Times New Roman" w:cs="Times New Roman"/>
          <w:lang w:val="ru-RU"/>
        </w:rPr>
        <w:t xml:space="preserve"> </w:t>
      </w:r>
      <w:r w:rsidR="006863E9" w:rsidRPr="004224F6">
        <w:rPr>
          <w:rFonts w:ascii="Times New Roman" w:hAnsi="Times New Roman" w:cs="Times New Roman"/>
          <w:lang w:val="ru-RU"/>
        </w:rPr>
        <w:t xml:space="preserve"> </w:t>
      </w:r>
      <w:r w:rsidR="00467339" w:rsidRPr="004224F6">
        <w:rPr>
          <w:rFonts w:ascii="Times New Roman" w:hAnsi="Times New Roman" w:cs="Times New Roman"/>
          <w:lang w:val="ru-RU"/>
        </w:rPr>
        <w:t xml:space="preserve">ясно </w:t>
      </w:r>
      <w:r w:rsidRPr="004224F6">
        <w:rPr>
          <w:rFonts w:ascii="Times New Roman" w:hAnsi="Times New Roman" w:cs="Times New Roman"/>
          <w:lang w:val="ru-RU"/>
        </w:rPr>
        <w:t xml:space="preserve"> </w:t>
      </w:r>
      <w:r w:rsidR="001B5A0A" w:rsidRPr="004224F6">
        <w:rPr>
          <w:rFonts w:ascii="Times New Roman" w:hAnsi="Times New Roman" w:cs="Times New Roman"/>
          <w:lang w:val="ru-RU"/>
        </w:rPr>
        <w:t xml:space="preserve"> обозначени </w:t>
      </w:r>
      <w:r w:rsidRPr="004224F6">
        <w:rPr>
          <w:rFonts w:ascii="Times New Roman" w:hAnsi="Times New Roman" w:cs="Times New Roman"/>
          <w:lang w:val="ru-RU"/>
        </w:rPr>
        <w:t xml:space="preserve"> </w:t>
      </w:r>
      <w:r w:rsidR="00467339" w:rsidRPr="004224F6">
        <w:rPr>
          <w:rFonts w:ascii="Times New Roman" w:hAnsi="Times New Roman" w:cs="Times New Roman"/>
          <w:lang w:val="ru-RU"/>
        </w:rPr>
        <w:t xml:space="preserve">и </w:t>
      </w:r>
      <w:r w:rsidRPr="004224F6">
        <w:rPr>
          <w:rFonts w:ascii="Times New Roman" w:hAnsi="Times New Roman" w:cs="Times New Roman"/>
          <w:lang w:val="ru-RU"/>
        </w:rPr>
        <w:t>другите гърловини.</w:t>
      </w:r>
    </w:p>
    <w:p w14:paraId="39B842A4" w14:textId="77777777" w:rsidR="007B6103" w:rsidRPr="004224F6" w:rsidRDefault="007B6103" w:rsidP="007B6103">
      <w:pPr>
        <w:rPr>
          <w:rFonts w:ascii="Times New Roman" w:hAnsi="Times New Roman" w:cs="Times New Roman"/>
          <w:lang w:val="ru-RU"/>
        </w:rPr>
      </w:pPr>
    </w:p>
    <w:p w14:paraId="6CE15954"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Маркировките се считат за достатъчно ясни, ако в допълнение към предписания стандартизиран свързващ елемент (за горива), те също са снабдени със следното препоръчително уникално цветово кодиране.</w:t>
      </w:r>
    </w:p>
    <w:p w14:paraId="1C2CDDDC" w14:textId="77777777" w:rsidR="007B6103" w:rsidRPr="004224F6" w:rsidRDefault="007B6103" w:rsidP="007B6103">
      <w:pPr>
        <w:rPr>
          <w:rFonts w:ascii="Times New Roman" w:hAnsi="Times New Roman" w:cs="Times New Roman"/>
          <w:lang w:val="ru-RU"/>
        </w:rPr>
      </w:pPr>
    </w:p>
    <w:p w14:paraId="0047FB98" w14:textId="4D445865" w:rsidR="007B6103" w:rsidRPr="004224F6" w:rsidRDefault="007B6103" w:rsidP="007B6103">
      <w:pPr>
        <w:rPr>
          <w:rFonts w:ascii="Times New Roman" w:hAnsi="Times New Roman" w:cs="Times New Roman"/>
          <w:b/>
          <w:lang w:val="ru-RU"/>
        </w:rPr>
      </w:pPr>
      <w:r w:rsidRPr="004224F6">
        <w:rPr>
          <w:rFonts w:ascii="Times New Roman" w:hAnsi="Times New Roman" w:cs="Times New Roman"/>
          <w:b/>
          <w:lang w:val="ru-RU"/>
        </w:rPr>
        <w:t xml:space="preserve">Дизелово </w:t>
      </w:r>
      <w:r w:rsidR="008435DB" w:rsidRPr="004224F6">
        <w:rPr>
          <w:rFonts w:ascii="Times New Roman" w:hAnsi="Times New Roman" w:cs="Times New Roman"/>
          <w:b/>
          <w:lang w:val="ru-RU"/>
        </w:rPr>
        <w:t>гориво</w:t>
      </w:r>
    </w:p>
    <w:p w14:paraId="648BB24F"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xml:space="preserve">Кафяв или кафяв/жълт/кафяв, ако на борда има други горива (в съответствие с международния стандарт </w:t>
      </w:r>
      <w:r w:rsidRPr="004224F6">
        <w:rPr>
          <w:rFonts w:ascii="Times New Roman" w:hAnsi="Times New Roman" w:cs="Times New Roman"/>
        </w:rPr>
        <w:t>ISO</w:t>
      </w:r>
      <w:r w:rsidRPr="004224F6">
        <w:rPr>
          <w:rFonts w:ascii="Times New Roman" w:hAnsi="Times New Roman" w:cs="Times New Roman"/>
          <w:lang w:val="ru-RU"/>
        </w:rPr>
        <w:t xml:space="preserve"> 14726: 2008)</w:t>
      </w:r>
    </w:p>
    <w:p w14:paraId="5E447477" w14:textId="77777777" w:rsidR="007B6103" w:rsidRPr="004224F6" w:rsidRDefault="007B6103" w:rsidP="007B6103">
      <w:pPr>
        <w:rPr>
          <w:rFonts w:ascii="Times New Roman" w:hAnsi="Times New Roman" w:cs="Times New Roman"/>
          <w:lang w:val="ru-RU"/>
        </w:rPr>
      </w:pPr>
    </w:p>
    <w:p w14:paraId="0334D373" w14:textId="77777777" w:rsidR="007B6103" w:rsidRPr="004224F6" w:rsidRDefault="007B6103" w:rsidP="007B6103">
      <w:pPr>
        <w:rPr>
          <w:rFonts w:ascii="Times New Roman" w:hAnsi="Times New Roman" w:cs="Times New Roman"/>
          <w:b/>
          <w:lang w:val="ru-RU"/>
        </w:rPr>
      </w:pPr>
      <w:r w:rsidRPr="004224F6">
        <w:rPr>
          <w:rFonts w:ascii="Times New Roman" w:hAnsi="Times New Roman" w:cs="Times New Roman"/>
          <w:b/>
          <w:lang w:val="ru-RU"/>
        </w:rPr>
        <w:t>Смазочно масло</w:t>
      </w:r>
    </w:p>
    <w:p w14:paraId="1CA08A91" w14:textId="51FFF8CD"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Оранжево или оранжево</w:t>
      </w:r>
      <w:r w:rsidR="00236F1F" w:rsidRPr="004224F6">
        <w:rPr>
          <w:rFonts w:ascii="Times New Roman" w:hAnsi="Times New Roman" w:cs="Times New Roman"/>
          <w:lang w:val="ru-RU"/>
        </w:rPr>
        <w:t>/</w:t>
      </w:r>
      <w:r w:rsidRPr="004224F6">
        <w:rPr>
          <w:rFonts w:ascii="Times New Roman" w:hAnsi="Times New Roman" w:cs="Times New Roman"/>
          <w:lang w:val="ru-RU"/>
        </w:rPr>
        <w:t xml:space="preserve"> </w:t>
      </w:r>
      <w:r w:rsidR="008435DB" w:rsidRPr="004224F6">
        <w:rPr>
          <w:rFonts w:ascii="Times New Roman" w:hAnsi="Times New Roman" w:cs="Times New Roman"/>
          <w:lang w:val="ru-RU"/>
        </w:rPr>
        <w:t>ж</w:t>
      </w:r>
      <w:r w:rsidRPr="004224F6">
        <w:rPr>
          <w:rFonts w:ascii="Times New Roman" w:hAnsi="Times New Roman" w:cs="Times New Roman"/>
          <w:lang w:val="ru-RU"/>
        </w:rPr>
        <w:t>ълто</w:t>
      </w:r>
      <w:r w:rsidR="00236F1F" w:rsidRPr="004224F6">
        <w:rPr>
          <w:rFonts w:ascii="Times New Roman" w:hAnsi="Times New Roman" w:cs="Times New Roman"/>
          <w:lang w:val="ru-RU"/>
        </w:rPr>
        <w:t>/</w:t>
      </w:r>
      <w:r w:rsidRPr="004224F6">
        <w:rPr>
          <w:rFonts w:ascii="Times New Roman" w:hAnsi="Times New Roman" w:cs="Times New Roman"/>
          <w:lang w:val="ru-RU"/>
        </w:rPr>
        <w:t xml:space="preserve"> оранжево, ако на борда има други масла (които не са горива) (в съответствие с международния стандарт </w:t>
      </w:r>
      <w:r w:rsidRPr="004224F6">
        <w:rPr>
          <w:rFonts w:ascii="Times New Roman" w:hAnsi="Times New Roman" w:cs="Times New Roman"/>
        </w:rPr>
        <w:t>ISO</w:t>
      </w:r>
      <w:r w:rsidRPr="004224F6">
        <w:rPr>
          <w:rFonts w:ascii="Times New Roman" w:hAnsi="Times New Roman" w:cs="Times New Roman"/>
          <w:lang w:val="ru-RU"/>
        </w:rPr>
        <w:t xml:space="preserve"> 14726: 2008)</w:t>
      </w:r>
    </w:p>
    <w:p w14:paraId="55F0A176" w14:textId="77777777" w:rsidR="007B6103" w:rsidRPr="004224F6" w:rsidRDefault="007B6103" w:rsidP="007B6103">
      <w:pPr>
        <w:rPr>
          <w:rFonts w:ascii="Times New Roman" w:hAnsi="Times New Roman" w:cs="Times New Roman"/>
          <w:lang w:val="ru-RU"/>
        </w:rPr>
      </w:pPr>
    </w:p>
    <w:p w14:paraId="0B6F12F9" w14:textId="77777777" w:rsidR="007B6103" w:rsidRPr="004224F6" w:rsidRDefault="007B6103" w:rsidP="007B6103">
      <w:pPr>
        <w:rPr>
          <w:rFonts w:ascii="Times New Roman" w:hAnsi="Times New Roman" w:cs="Times New Roman"/>
          <w:b/>
          <w:lang w:val="ru-RU"/>
        </w:rPr>
      </w:pPr>
      <w:r w:rsidRPr="004224F6">
        <w:rPr>
          <w:rFonts w:ascii="Times New Roman" w:hAnsi="Times New Roman" w:cs="Times New Roman"/>
          <w:b/>
          <w:lang w:val="ru-RU"/>
        </w:rPr>
        <w:t>Хидравлични течности (за предаване на мощност)</w:t>
      </w:r>
    </w:p>
    <w:p w14:paraId="3F378B89"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xml:space="preserve">Оранжево/Сиво/Оранжево (в съответствие с международния стандарт </w:t>
      </w:r>
      <w:r w:rsidRPr="004224F6">
        <w:rPr>
          <w:rFonts w:ascii="Times New Roman" w:hAnsi="Times New Roman" w:cs="Times New Roman"/>
        </w:rPr>
        <w:t>ISO</w:t>
      </w:r>
      <w:r w:rsidRPr="004224F6">
        <w:rPr>
          <w:rFonts w:ascii="Times New Roman" w:hAnsi="Times New Roman" w:cs="Times New Roman"/>
          <w:lang w:val="ru-RU"/>
        </w:rPr>
        <w:t xml:space="preserve"> 14726: 2008)</w:t>
      </w:r>
    </w:p>
    <w:p w14:paraId="50F0DFA2" w14:textId="77777777" w:rsidR="007B6103" w:rsidRPr="004224F6" w:rsidRDefault="007B6103" w:rsidP="007B6103">
      <w:pPr>
        <w:rPr>
          <w:rFonts w:ascii="Times New Roman" w:hAnsi="Times New Roman" w:cs="Times New Roman"/>
          <w:lang w:val="ru-RU"/>
        </w:rPr>
      </w:pPr>
    </w:p>
    <w:p w14:paraId="43C03406" w14:textId="77777777" w:rsidR="007B6103" w:rsidRPr="004224F6" w:rsidRDefault="007B6103" w:rsidP="007B6103">
      <w:pPr>
        <w:rPr>
          <w:rFonts w:ascii="Times New Roman" w:hAnsi="Times New Roman" w:cs="Times New Roman"/>
          <w:b/>
          <w:lang w:val="ru-RU"/>
        </w:rPr>
      </w:pPr>
      <w:r w:rsidRPr="004224F6">
        <w:rPr>
          <w:rFonts w:ascii="Times New Roman" w:hAnsi="Times New Roman" w:cs="Times New Roman"/>
          <w:b/>
          <w:lang w:val="ru-RU"/>
        </w:rPr>
        <w:t>Вода (питейна вода)</w:t>
      </w:r>
    </w:p>
    <w:p w14:paraId="3F98B2C8" w14:textId="63F8AFB4"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xml:space="preserve">Синьо (в съответствие с международния стандарт </w:t>
      </w:r>
      <w:r w:rsidRPr="004224F6">
        <w:rPr>
          <w:rFonts w:ascii="Times New Roman" w:hAnsi="Times New Roman" w:cs="Times New Roman"/>
        </w:rPr>
        <w:t>ISO</w:t>
      </w:r>
      <w:r w:rsidRPr="004224F6">
        <w:rPr>
          <w:rFonts w:ascii="Times New Roman" w:hAnsi="Times New Roman" w:cs="Times New Roman"/>
          <w:lang w:val="ru-RU"/>
        </w:rPr>
        <w:t xml:space="preserve"> 14726:2008)</w:t>
      </w:r>
    </w:p>
    <w:p w14:paraId="600F6C02" w14:textId="77777777" w:rsidR="007B6103" w:rsidRPr="004224F6" w:rsidRDefault="007B6103" w:rsidP="007B6103">
      <w:pPr>
        <w:rPr>
          <w:rFonts w:ascii="Times New Roman" w:hAnsi="Times New Roman" w:cs="Times New Roman"/>
          <w:lang w:val="ru-RU"/>
        </w:rPr>
      </w:pPr>
    </w:p>
    <w:p w14:paraId="4AAF8243"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Вода (противопожарна)</w:t>
      </w:r>
    </w:p>
    <w:p w14:paraId="4A250FA4"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xml:space="preserve">Червен (в съответствие с международния стандарт </w:t>
      </w:r>
      <w:r w:rsidRPr="004224F6">
        <w:rPr>
          <w:rFonts w:ascii="Times New Roman" w:hAnsi="Times New Roman" w:cs="Times New Roman"/>
        </w:rPr>
        <w:t>ISO</w:t>
      </w:r>
      <w:r w:rsidRPr="004224F6">
        <w:rPr>
          <w:rFonts w:ascii="Times New Roman" w:hAnsi="Times New Roman" w:cs="Times New Roman"/>
          <w:lang w:val="ru-RU"/>
        </w:rPr>
        <w:t xml:space="preserve"> 14726: 2008)</w:t>
      </w:r>
    </w:p>
    <w:p w14:paraId="0AD5F57A" w14:textId="77777777" w:rsidR="007B6103" w:rsidRPr="004224F6" w:rsidRDefault="007B6103" w:rsidP="007B6103">
      <w:pPr>
        <w:rPr>
          <w:rFonts w:ascii="Times New Roman" w:hAnsi="Times New Roman" w:cs="Times New Roman"/>
          <w:lang w:val="ru-RU"/>
        </w:rPr>
      </w:pPr>
    </w:p>
    <w:p w14:paraId="4D36F634"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За да бъде видимо за тези, които отговарят за бункерирането, цветното кодиране може да бъде приложено по различни начини:</w:t>
      </w:r>
    </w:p>
    <w:p w14:paraId="508FFB29"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а) върху тръбата с цветна самозалепваща се лента;</w:t>
      </w:r>
    </w:p>
    <w:p w14:paraId="3EA33EAB"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lastRenderedPageBreak/>
        <w:t>б) с боядисани цветни ивици; или</w:t>
      </w:r>
    </w:p>
    <w:p w14:paraId="17A7F9BE" w14:textId="77777777"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в) чрез оцветяване (боядисване) на тръбите по цялата им дължина.</w:t>
      </w:r>
    </w:p>
    <w:p w14:paraId="2224BCC6" w14:textId="77777777" w:rsidR="007B6103" w:rsidRPr="004224F6" w:rsidRDefault="007B6103" w:rsidP="007B6103">
      <w:pPr>
        <w:rPr>
          <w:rFonts w:ascii="Times New Roman" w:hAnsi="Times New Roman" w:cs="Times New Roman"/>
          <w:lang w:val="ru-RU"/>
        </w:rPr>
      </w:pPr>
    </w:p>
    <w:p w14:paraId="766ACE18" w14:textId="0F4D1DD1" w:rsidR="007B6103" w:rsidRPr="004224F6" w:rsidRDefault="007B6103" w:rsidP="007B6103">
      <w:pPr>
        <w:rPr>
          <w:rFonts w:ascii="Times New Roman" w:hAnsi="Times New Roman" w:cs="Times New Roman"/>
          <w:lang w:val="ru-RU"/>
        </w:rPr>
      </w:pPr>
      <w:r w:rsidRPr="004224F6">
        <w:rPr>
          <w:rFonts w:ascii="Times New Roman" w:hAnsi="Times New Roman" w:cs="Times New Roman"/>
          <w:lang w:val="ru-RU"/>
        </w:rPr>
        <w:t xml:space="preserve">Когато цветното </w:t>
      </w:r>
      <w:r w:rsidR="008D018F" w:rsidRPr="004224F6">
        <w:rPr>
          <w:rFonts w:ascii="Times New Roman" w:hAnsi="Times New Roman" w:cs="Times New Roman"/>
          <w:lang w:val="ru-RU"/>
        </w:rPr>
        <w:t xml:space="preserve">обозначаване </w:t>
      </w:r>
      <w:r w:rsidRPr="004224F6">
        <w:rPr>
          <w:rFonts w:ascii="Times New Roman" w:hAnsi="Times New Roman" w:cs="Times New Roman"/>
          <w:lang w:val="ru-RU"/>
        </w:rPr>
        <w:t xml:space="preserve">се изпълнява в съответствие с буква а) със самозалепваща се лента или буква б) с боядисани цветни ивици, това </w:t>
      </w:r>
      <w:r w:rsidR="008D018F" w:rsidRPr="004224F6">
        <w:rPr>
          <w:rFonts w:ascii="Times New Roman" w:hAnsi="Times New Roman" w:cs="Times New Roman"/>
          <w:lang w:val="ru-RU"/>
        </w:rPr>
        <w:t>обозначаване</w:t>
      </w:r>
      <w:r w:rsidRPr="004224F6">
        <w:rPr>
          <w:rFonts w:ascii="Times New Roman" w:hAnsi="Times New Roman" w:cs="Times New Roman"/>
          <w:lang w:val="ru-RU"/>
        </w:rPr>
        <w:t xml:space="preserve"> се прилага най-малко в близост до точките на свързване и отворите на преградите и палубите.“</w:t>
      </w:r>
    </w:p>
    <w:p w14:paraId="7A716A92" w14:textId="77777777" w:rsidR="007B6103" w:rsidRPr="004224F6" w:rsidRDefault="007B6103">
      <w:pPr>
        <w:overflowPunct w:val="0"/>
        <w:adjustRightInd w:val="0"/>
        <w:spacing w:line="240" w:lineRule="atLeast"/>
        <w:textAlignment w:val="baseline"/>
        <w:rPr>
          <w:rFonts w:ascii="Times New Roman" w:hAnsi="Times New Roman" w:cs="Times New Roman"/>
          <w:szCs w:val="20"/>
          <w:lang w:val="ru-RU"/>
        </w:rPr>
        <w:sectPr w:rsidR="007B6103" w:rsidRPr="004224F6" w:rsidSect="004224F6">
          <w:footnotePr>
            <w:numRestart w:val="eachPage"/>
          </w:footnotePr>
          <w:pgSz w:w="11907" w:h="16840"/>
          <w:pgMar w:top="1134" w:right="1134" w:bottom="1134" w:left="1134" w:header="709" w:footer="709" w:gutter="0"/>
          <w:cols w:space="720"/>
          <w:docGrid w:linePitch="326"/>
        </w:sectPr>
      </w:pPr>
    </w:p>
    <w:p w14:paraId="6C126CFB" w14:textId="77777777" w:rsidR="00271FA2" w:rsidRPr="004224F6" w:rsidRDefault="00D35E51">
      <w:pPr>
        <w:pStyle w:val="ES-Titre1"/>
        <w:rPr>
          <w:rFonts w:ascii="Times New Roman" w:hAnsi="Times New Roman" w:cs="Times New Roman"/>
          <w:lang w:val="ru-RU"/>
        </w:rPr>
      </w:pPr>
      <w:bookmarkStart w:id="699" w:name="_Toc491854363"/>
      <w:bookmarkStart w:id="700" w:name="_Toc535827804"/>
      <w:r w:rsidRPr="004224F6">
        <w:rPr>
          <w:rFonts w:ascii="Times New Roman" w:hAnsi="Times New Roman" w:cs="Times New Roman"/>
          <w:lang w:val="ru-RU"/>
        </w:rPr>
        <w:lastRenderedPageBreak/>
        <w:t xml:space="preserve">ЧАСТ </w:t>
      </w:r>
      <w:r w:rsidRPr="004224F6">
        <w:rPr>
          <w:rFonts w:ascii="Times New Roman" w:hAnsi="Times New Roman" w:cs="Times New Roman"/>
        </w:rPr>
        <w:t>III</w:t>
      </w:r>
      <w:r w:rsidRPr="004224F6">
        <w:rPr>
          <w:rFonts w:ascii="Times New Roman" w:hAnsi="Times New Roman" w:cs="Times New Roman"/>
          <w:lang w:val="ru-RU"/>
        </w:rPr>
        <w:br/>
        <w:t>СПЕЦИАЛНИ РАЗПОРЕДБИ</w:t>
      </w:r>
      <w:bookmarkEnd w:id="699"/>
      <w:bookmarkEnd w:id="700"/>
    </w:p>
    <w:p w14:paraId="19EBC276" w14:textId="77777777" w:rsidR="00271FA2" w:rsidRPr="004224F6" w:rsidRDefault="00D35E51">
      <w:pPr>
        <w:pStyle w:val="ES-Titre2ESI"/>
        <w:rPr>
          <w:rFonts w:ascii="Times New Roman" w:hAnsi="Times New Roman" w:cs="Times New Roman"/>
          <w:szCs w:val="20"/>
          <w:lang w:val="ru-RU"/>
        </w:rPr>
      </w:pPr>
      <w:bookmarkStart w:id="701" w:name="_Toc535827805"/>
      <w:bookmarkStart w:id="702" w:name="_Toc491854364"/>
      <w:r w:rsidRPr="004224F6">
        <w:rPr>
          <w:rFonts w:ascii="Times New Roman" w:hAnsi="Times New Roman" w:cs="Times New Roman"/>
        </w:rPr>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-1</w:t>
      </w:r>
      <w:r w:rsidRPr="004224F6">
        <w:rPr>
          <w:rFonts w:ascii="Times New Roman" w:hAnsi="Times New Roman" w:cs="Times New Roman"/>
          <w:lang w:val="ru-RU"/>
        </w:rPr>
        <w:br/>
        <w:t>Прилагане на изискванията на глава 19</w:t>
      </w:r>
      <w:bookmarkEnd w:id="701"/>
      <w:bookmarkEnd w:id="702"/>
    </w:p>
    <w:p w14:paraId="048FE44A" w14:textId="77777777" w:rsidR="00271FA2" w:rsidRPr="004224F6" w:rsidRDefault="00D35E51" w:rsidP="00141D54">
      <w:pPr>
        <w:overflowPunct w:val="0"/>
        <w:adjustRightInd w:val="0"/>
        <w:spacing w:line="240" w:lineRule="atLeast"/>
        <w:ind w:left="1843"/>
        <w:jc w:val="center"/>
        <w:textAlignment w:val="baseline"/>
        <w:rPr>
          <w:rFonts w:ascii="Times New Roman" w:hAnsi="Times New Roman" w:cs="Times New Roman"/>
          <w:b/>
          <w:bCs/>
          <w:i/>
          <w:lang w:val="ru-RU"/>
        </w:rPr>
      </w:pPr>
      <w:r w:rsidRPr="004224F6">
        <w:rPr>
          <w:rFonts w:ascii="Times New Roman" w:hAnsi="Times New Roman" w:cs="Times New Roman"/>
          <w:b/>
          <w:i/>
          <w:lang w:val="ru-RU"/>
        </w:rPr>
        <w:t>-</w:t>
      </w:r>
      <w:r w:rsidRPr="004224F6">
        <w:rPr>
          <w:rFonts w:ascii="Times New Roman" w:hAnsi="Times New Roman" w:cs="Times New Roman"/>
          <w:lang w:val="ru-RU"/>
        </w:rPr>
        <w:tab/>
      </w:r>
      <w:r w:rsidRPr="004224F6">
        <w:rPr>
          <w:rFonts w:ascii="Times New Roman" w:hAnsi="Times New Roman" w:cs="Times New Roman"/>
          <w:b/>
          <w:i/>
          <w:lang w:val="ru-RU"/>
        </w:rPr>
        <w:t>Разделяне на плавателния съд на отсеци</w:t>
      </w:r>
    </w:p>
    <w:p w14:paraId="1F359FEF" w14:textId="77777777" w:rsidR="00271FA2" w:rsidRPr="004224F6" w:rsidRDefault="00D35E51" w:rsidP="00141D54">
      <w:pPr>
        <w:overflowPunct w:val="0"/>
        <w:adjustRightInd w:val="0"/>
        <w:spacing w:line="240" w:lineRule="atLeast"/>
        <w:ind w:left="1843"/>
        <w:jc w:val="center"/>
        <w:textAlignment w:val="baseline"/>
        <w:rPr>
          <w:rFonts w:ascii="Times New Roman" w:hAnsi="Times New Roman" w:cs="Times New Roman"/>
          <w:b/>
          <w:i/>
          <w:szCs w:val="20"/>
          <w:lang w:val="ru-RU"/>
        </w:rPr>
      </w:pPr>
      <w:r w:rsidRPr="004224F6">
        <w:rPr>
          <w:rFonts w:ascii="Times New Roman" w:hAnsi="Times New Roman" w:cs="Times New Roman"/>
          <w:b/>
          <w:i/>
          <w:lang w:val="ru-RU"/>
        </w:rPr>
        <w:t>-</w:t>
      </w:r>
      <w:r w:rsidRPr="004224F6">
        <w:rPr>
          <w:rFonts w:ascii="Times New Roman" w:hAnsi="Times New Roman" w:cs="Times New Roman"/>
          <w:lang w:val="ru-RU"/>
        </w:rPr>
        <w:tab/>
      </w:r>
      <w:r w:rsidRPr="004224F6">
        <w:rPr>
          <w:rFonts w:ascii="Times New Roman" w:hAnsi="Times New Roman" w:cs="Times New Roman"/>
          <w:b/>
          <w:i/>
          <w:lang w:val="ru-RU"/>
        </w:rPr>
        <w:t>Преходни разпоредби за заграждения, направени с</w:t>
      </w:r>
      <w:r w:rsidRPr="004224F6">
        <w:rPr>
          <w:rFonts w:ascii="Times New Roman" w:hAnsi="Times New Roman" w:cs="Times New Roman"/>
          <w:lang w:val="ru-RU"/>
        </w:rPr>
        <w:t xml:space="preserve"> </w:t>
      </w:r>
      <w:r w:rsidRPr="004224F6">
        <w:rPr>
          <w:rFonts w:ascii="Times New Roman" w:hAnsi="Times New Roman" w:cs="Times New Roman"/>
          <w:b/>
          <w:i/>
          <w:lang w:val="ru-RU"/>
        </w:rPr>
        <w:t>навеси или подобни подвижни съоръжения</w:t>
      </w:r>
    </w:p>
    <w:p w14:paraId="67455E60" w14:textId="77777777" w:rsidR="00271FA2" w:rsidRPr="004224F6" w:rsidRDefault="00D35E51" w:rsidP="007C30C0">
      <w:pPr>
        <w:suppressAutoHyphens/>
        <w:spacing w:after="240" w:line="240" w:lineRule="atLeast"/>
        <w:jc w:val="center"/>
        <w:rPr>
          <w:rFonts w:ascii="Times New Roman" w:hAnsi="Times New Roman" w:cs="Times New Roman"/>
          <w:b/>
          <w:lang w:val="ru-RU"/>
        </w:rPr>
      </w:pPr>
      <w:r w:rsidRPr="004224F6">
        <w:rPr>
          <w:rFonts w:ascii="Times New Roman" w:hAnsi="Times New Roman" w:cs="Times New Roman"/>
          <w:b/>
          <w:lang w:val="ru-RU"/>
        </w:rPr>
        <w:t xml:space="preserve">(член 19.02, точка 5, 19.03, точка 5) </w:t>
      </w:r>
    </w:p>
    <w:p w14:paraId="6B427ECF"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 xml:space="preserve">Разделяне на плавателния съд на отсеци (член 19.02, точка 5) </w:t>
      </w:r>
    </w:p>
    <w:p w14:paraId="7107C7A7" w14:textId="64EE607E"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Според член 19.02, точка 5 е възможно водонепроницаемите отсеци, като например напречно разделените резервоари с двойно дъно, чиято дължина е по-голяма от дължината на повредата, да не бъдат включени в оценяването. В този случай може да не е възможно да се отчете напречното подразделяне на отсеци, ако то не достига до палубата на преградите. Това може да доведе до неподходящо подразделяне на преградите.</w:t>
      </w:r>
    </w:p>
    <w:p w14:paraId="05A71A86" w14:textId="5420C888" w:rsidR="00472869" w:rsidRPr="004224F6" w:rsidRDefault="00A211DE" w:rsidP="007C30C0">
      <w:pPr>
        <w:spacing w:line="240" w:lineRule="atLeast"/>
        <w:jc w:val="both"/>
        <w:rPr>
          <w:rFonts w:ascii="Times New Roman" w:hAnsi="Times New Roman" w:cs="Times New Roman"/>
          <w:lang w:val="ru-RU"/>
        </w:rPr>
      </w:pPr>
      <w:r w:rsidRPr="004224F6">
        <w:rPr>
          <w:rFonts w:ascii="Times New Roman" w:hAnsi="Times New Roman" w:cs="Times New Roman"/>
          <w:b/>
          <w:noProof/>
          <w:lang w:eastAsia="bg-BG"/>
        </w:rPr>
        <mc:AlternateContent>
          <mc:Choice Requires="wpc">
            <w:drawing>
              <wp:anchor distT="0" distB="0" distL="114300" distR="114300" simplePos="0" relativeHeight="251783168" behindDoc="0" locked="0" layoutInCell="1" allowOverlap="1" wp14:anchorId="036E6ACD" wp14:editId="179627FE">
                <wp:simplePos x="0" y="0"/>
                <wp:positionH relativeFrom="column">
                  <wp:posOffset>375920</wp:posOffset>
                </wp:positionH>
                <wp:positionV relativeFrom="paragraph">
                  <wp:posOffset>67310</wp:posOffset>
                </wp:positionV>
                <wp:extent cx="5319395" cy="2143125"/>
                <wp:effectExtent l="0" t="0" r="0" b="0"/>
                <wp:wrapSquare wrapText="bothSides"/>
                <wp:docPr id="195"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1" name="Line 39"/>
                        <wps:cNvCnPr>
                          <a:cxnSpLocks noChangeShapeType="1"/>
                        </wps:cNvCnPr>
                        <wps:spPr bwMode="auto">
                          <a:xfrm>
                            <a:off x="685800" y="1638300"/>
                            <a:ext cx="4000500" cy="0"/>
                          </a:xfrm>
                          <a:prstGeom prst="line">
                            <a:avLst/>
                          </a:prstGeom>
                          <a:noFill/>
                          <a:ln w="19050">
                            <a:solidFill>
                              <a:srgbClr val="000000"/>
                            </a:solidFill>
                            <a:round/>
                          </a:ln>
                        </wps:spPr>
                        <wps:bodyPr/>
                      </wps:wsp>
                      <wps:wsp>
                        <wps:cNvPr id="113" name="Line 38"/>
                        <wps:cNvCnPr>
                          <a:cxnSpLocks noChangeShapeType="1"/>
                        </wps:cNvCnPr>
                        <wps:spPr bwMode="auto">
                          <a:xfrm>
                            <a:off x="685800" y="1409700"/>
                            <a:ext cx="4000500" cy="0"/>
                          </a:xfrm>
                          <a:prstGeom prst="line">
                            <a:avLst/>
                          </a:prstGeom>
                          <a:noFill/>
                          <a:ln w="19050">
                            <a:solidFill>
                              <a:srgbClr val="000000"/>
                            </a:solidFill>
                            <a:round/>
                          </a:ln>
                        </wps:spPr>
                        <wps:bodyPr/>
                      </wps:wsp>
                      <wps:wsp>
                        <wps:cNvPr id="182" name="Line 37"/>
                        <wps:cNvCnPr>
                          <a:cxnSpLocks noChangeShapeType="1"/>
                        </wps:cNvCnPr>
                        <wps:spPr bwMode="auto">
                          <a:xfrm flipV="1">
                            <a:off x="1028700" y="495300"/>
                            <a:ext cx="0" cy="1143000"/>
                          </a:xfrm>
                          <a:prstGeom prst="line">
                            <a:avLst/>
                          </a:prstGeom>
                          <a:noFill/>
                          <a:ln w="19050">
                            <a:solidFill>
                              <a:srgbClr val="000000"/>
                            </a:solidFill>
                            <a:round/>
                          </a:ln>
                        </wps:spPr>
                        <wps:bodyPr/>
                      </wps:wsp>
                      <wps:wsp>
                        <wps:cNvPr id="183" name="Line 36"/>
                        <wps:cNvCnPr>
                          <a:cxnSpLocks noChangeShapeType="1"/>
                        </wps:cNvCnPr>
                        <wps:spPr bwMode="auto">
                          <a:xfrm flipV="1">
                            <a:off x="4000500" y="495300"/>
                            <a:ext cx="0" cy="1143000"/>
                          </a:xfrm>
                          <a:prstGeom prst="line">
                            <a:avLst/>
                          </a:prstGeom>
                          <a:noFill/>
                          <a:ln w="19050">
                            <a:solidFill>
                              <a:srgbClr val="000000"/>
                            </a:solidFill>
                            <a:round/>
                          </a:ln>
                        </wps:spPr>
                        <wps:bodyPr/>
                      </wps:wsp>
                      <wps:wsp>
                        <wps:cNvPr id="184" name="Line 35"/>
                        <wps:cNvCnPr>
                          <a:cxnSpLocks noChangeShapeType="1"/>
                        </wps:cNvCnPr>
                        <wps:spPr bwMode="auto">
                          <a:xfrm>
                            <a:off x="685800" y="495300"/>
                            <a:ext cx="4000500" cy="794"/>
                          </a:xfrm>
                          <a:prstGeom prst="line">
                            <a:avLst/>
                          </a:prstGeom>
                          <a:noFill/>
                          <a:ln w="19050">
                            <a:solidFill>
                              <a:srgbClr val="000000"/>
                            </a:solidFill>
                            <a:round/>
                          </a:ln>
                        </wps:spPr>
                        <wps:bodyPr/>
                      </wps:wsp>
                      <wps:wsp>
                        <wps:cNvPr id="185" name="Line 34"/>
                        <wps:cNvCnPr>
                          <a:cxnSpLocks noChangeShapeType="1"/>
                        </wps:cNvCnPr>
                        <wps:spPr bwMode="auto">
                          <a:xfrm flipV="1">
                            <a:off x="2057400" y="1409700"/>
                            <a:ext cx="0" cy="228600"/>
                          </a:xfrm>
                          <a:prstGeom prst="line">
                            <a:avLst/>
                          </a:prstGeom>
                          <a:noFill/>
                          <a:ln w="19050">
                            <a:solidFill>
                              <a:srgbClr val="000000"/>
                            </a:solidFill>
                            <a:round/>
                          </a:ln>
                        </wps:spPr>
                        <wps:bodyPr/>
                      </wps:wsp>
                      <wps:wsp>
                        <wps:cNvPr id="186" name="Line 33"/>
                        <wps:cNvCnPr>
                          <a:cxnSpLocks noChangeShapeType="1"/>
                        </wps:cNvCnPr>
                        <wps:spPr bwMode="auto">
                          <a:xfrm flipV="1">
                            <a:off x="1028700" y="1409700"/>
                            <a:ext cx="1028700" cy="228600"/>
                          </a:xfrm>
                          <a:prstGeom prst="line">
                            <a:avLst/>
                          </a:prstGeom>
                          <a:noFill/>
                          <a:ln w="9525">
                            <a:solidFill>
                              <a:srgbClr val="000000"/>
                            </a:solidFill>
                            <a:prstDash val="dash"/>
                            <a:round/>
                          </a:ln>
                        </wps:spPr>
                        <wps:bodyPr/>
                      </wps:wsp>
                      <wps:wsp>
                        <wps:cNvPr id="187" name="Line 32"/>
                        <wps:cNvCnPr>
                          <a:cxnSpLocks noChangeShapeType="1"/>
                        </wps:cNvCnPr>
                        <wps:spPr bwMode="auto">
                          <a:xfrm>
                            <a:off x="1028700" y="1409700"/>
                            <a:ext cx="1028700" cy="228600"/>
                          </a:xfrm>
                          <a:prstGeom prst="line">
                            <a:avLst/>
                          </a:prstGeom>
                          <a:noFill/>
                          <a:ln w="9525">
                            <a:solidFill>
                              <a:srgbClr val="000000"/>
                            </a:solidFill>
                            <a:prstDash val="dash"/>
                            <a:round/>
                          </a:ln>
                        </wps:spPr>
                        <wps:bodyPr/>
                      </wps:wsp>
                      <wps:wsp>
                        <wps:cNvPr id="188" name="Line 31"/>
                        <wps:cNvCnPr>
                          <a:cxnSpLocks noChangeShapeType="1"/>
                        </wps:cNvCnPr>
                        <wps:spPr bwMode="auto">
                          <a:xfrm flipH="1" flipV="1">
                            <a:off x="2057400" y="1409700"/>
                            <a:ext cx="1943100" cy="228600"/>
                          </a:xfrm>
                          <a:prstGeom prst="line">
                            <a:avLst/>
                          </a:prstGeom>
                          <a:noFill/>
                          <a:ln w="9525">
                            <a:solidFill>
                              <a:srgbClr val="000000"/>
                            </a:solidFill>
                            <a:prstDash val="dash"/>
                            <a:round/>
                          </a:ln>
                        </wps:spPr>
                        <wps:bodyPr/>
                      </wps:wsp>
                      <wps:wsp>
                        <wps:cNvPr id="189" name="Line 30"/>
                        <wps:cNvCnPr>
                          <a:cxnSpLocks noChangeShapeType="1"/>
                        </wps:cNvCnPr>
                        <wps:spPr bwMode="auto">
                          <a:xfrm flipV="1">
                            <a:off x="2057400" y="1409700"/>
                            <a:ext cx="1943100" cy="228600"/>
                          </a:xfrm>
                          <a:prstGeom prst="line">
                            <a:avLst/>
                          </a:prstGeom>
                          <a:noFill/>
                          <a:ln w="9525">
                            <a:solidFill>
                              <a:srgbClr val="000000"/>
                            </a:solidFill>
                            <a:prstDash val="dash"/>
                            <a:round/>
                          </a:ln>
                        </wps:spPr>
                        <wps:bodyPr/>
                      </wps:wsp>
                      <wps:wsp>
                        <wps:cNvPr id="190" name="Line 29"/>
                        <wps:cNvCnPr>
                          <a:cxnSpLocks noChangeShapeType="1"/>
                        </wps:cNvCnPr>
                        <wps:spPr bwMode="auto">
                          <a:xfrm>
                            <a:off x="1022350" y="1752600"/>
                            <a:ext cx="1028700" cy="0"/>
                          </a:xfrm>
                          <a:prstGeom prst="line">
                            <a:avLst/>
                          </a:prstGeom>
                          <a:noFill/>
                          <a:ln w="9525">
                            <a:solidFill>
                              <a:srgbClr val="000000"/>
                            </a:solidFill>
                            <a:round/>
                            <a:headEnd type="triangle" w="med" len="med"/>
                            <a:tailEnd type="triangle" w="med" len="med"/>
                          </a:ln>
                        </wps:spPr>
                        <wps:bodyPr/>
                      </wps:wsp>
                      <wps:wsp>
                        <wps:cNvPr id="191" name="Line 27"/>
                        <wps:cNvCnPr>
                          <a:cxnSpLocks noChangeShapeType="1"/>
                        </wps:cNvCnPr>
                        <wps:spPr bwMode="auto">
                          <a:xfrm flipV="1">
                            <a:off x="2057400" y="489585"/>
                            <a:ext cx="0" cy="914400"/>
                          </a:xfrm>
                          <a:prstGeom prst="line">
                            <a:avLst/>
                          </a:prstGeom>
                          <a:noFill/>
                          <a:ln w="19050">
                            <a:solidFill>
                              <a:srgbClr val="969696"/>
                            </a:solidFill>
                            <a:round/>
                          </a:ln>
                        </wps:spPr>
                        <wps:bodyPr/>
                      </wps:wsp>
                      <wps:wsp>
                        <wps:cNvPr id="192" name="WordArt 25"/>
                        <wps:cNvSpPr txBox="1">
                          <a:spLocks noChangeArrowheads="1" noChangeShapeType="1" noTextEdit="1"/>
                        </wps:cNvSpPr>
                        <wps:spPr bwMode="auto">
                          <a:xfrm>
                            <a:off x="1689570" y="238125"/>
                            <a:ext cx="1806106" cy="238124"/>
                          </a:xfrm>
                          <a:prstGeom prst="rect">
                            <a:avLst/>
                          </a:prstGeom>
                        </wps:spPr>
                        <wps:txbx>
                          <w:txbxContent>
                            <w:p w14:paraId="28699AF6" w14:textId="77777777" w:rsidR="005551B9" w:rsidRPr="00806149" w:rsidRDefault="005551B9" w:rsidP="008F2D91">
                              <w:pPr>
                                <w:pStyle w:val="NormalWeb"/>
                                <w:spacing w:before="0" w:line="720" w:lineRule="auto"/>
                                <w:jc w:val="center"/>
                                <w:rPr>
                                  <w:sz w:val="16"/>
                                  <w:szCs w:val="16"/>
                                </w:rPr>
                              </w:pPr>
                              <w:r w:rsidRPr="00806149">
                                <w:rPr>
                                  <w:rFonts w:ascii="Arial" w:hAnsi="Arial" w:cs="Arial"/>
                                  <w:color w:val="000000"/>
                                  <w:sz w:val="16"/>
                                  <w:szCs w:val="16"/>
                                  <w14:textOutline w14:w="9525" w14:cap="flat" w14:cmpd="sng" w14:algn="ctr">
                                    <w14:solidFill>
                                      <w14:srgbClr w14:val="000000"/>
                                    </w14:solidFill>
                                    <w14:prstDash w14:val="solid"/>
                                    <w14:round/>
                                  </w14:textOutline>
                                </w:rPr>
                                <w:t>Палуба на преградите</w:t>
                              </w:r>
                            </w:p>
                          </w:txbxContent>
                        </wps:txbx>
                        <wps:bodyPr wrap="square" numCol="1" fromWordArt="1">
                          <a:prstTxWarp prst="textPlain">
                            <a:avLst>
                              <a:gd name="adj" fmla="val 49957"/>
                            </a:avLst>
                          </a:prstTxWarp>
                          <a:noAutofit/>
                        </wps:bodyPr>
                      </wps:wsp>
                      <wps:wsp>
                        <wps:cNvPr id="193" name="Text Box 193"/>
                        <wps:cNvSpPr txBox="1"/>
                        <wps:spPr>
                          <a:xfrm flipH="1">
                            <a:off x="907898" y="1756962"/>
                            <a:ext cx="1348105" cy="299085"/>
                          </a:xfrm>
                          <a:prstGeom prst="rect">
                            <a:avLst/>
                          </a:prstGeom>
                          <a:noFill/>
                          <a:ln w="6350">
                            <a:noFill/>
                          </a:ln>
                        </wps:spPr>
                        <wps:txbx>
                          <w:txbxContent>
                            <w:p w14:paraId="745D4E43" w14:textId="77777777" w:rsidR="005551B9" w:rsidRPr="00FE1BAB" w:rsidRDefault="005551B9" w:rsidP="008F2D91">
                              <w:r>
                                <w:t>дължина на щетата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4" name="Text Box 194"/>
                        <wps:cNvSpPr txBox="1"/>
                        <wps:spPr>
                          <a:xfrm>
                            <a:off x="2124073" y="704852"/>
                            <a:ext cx="1677670" cy="504825"/>
                          </a:xfrm>
                          <a:prstGeom prst="rect">
                            <a:avLst/>
                          </a:prstGeom>
                          <a:solidFill>
                            <a:sysClr val="window" lastClr="FFFFFF"/>
                          </a:solidFill>
                          <a:ln w="6350">
                            <a:noFill/>
                          </a:ln>
                        </wps:spPr>
                        <wps:txbx>
                          <w:txbxContent>
                            <w:p w14:paraId="4B8A77A5" w14:textId="77777777" w:rsidR="005551B9" w:rsidRPr="002F5B9C" w:rsidRDefault="005551B9" w:rsidP="008F2D91">
                              <w:pPr>
                                <w:rPr>
                                  <w:lang w:val="ru-RU"/>
                                </w:rPr>
                              </w:pPr>
                              <w:r w:rsidRPr="002F5B9C">
                                <w:rPr>
                                  <w:lang w:val="ru-RU"/>
                                </w:rPr>
                                <w:t>Съгласно изискването на</w:t>
                              </w:r>
                            </w:p>
                            <w:p w14:paraId="1A1CD6A7" w14:textId="77777777" w:rsidR="005551B9" w:rsidRPr="002F5B9C" w:rsidRDefault="005551B9" w:rsidP="008F2D91">
                              <w:pPr>
                                <w:rPr>
                                  <w:lang w:val="ru-RU"/>
                                </w:rPr>
                              </w:pPr>
                              <w:r w:rsidRPr="002F5B9C">
                                <w:rPr>
                                  <w:lang w:val="ru-RU"/>
                                </w:rPr>
                                <w:t>Чл. 19.02, точка 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14:sizeRelV relativeFrom="margin">
                  <wp14:pctHeight>0</wp14:pctHeight>
                </wp14:sizeRelV>
              </wp:anchor>
            </w:drawing>
          </mc:Choice>
          <mc:Fallback>
            <w:pict>
              <v:group w14:anchorId="036E6ACD" id="Canvas 24" o:spid="_x0000_s1053" editas="canvas" style="position:absolute;left:0;text-align:left;margin-left:29.6pt;margin-top:5.3pt;width:418.85pt;height:168.75pt;z-index:251783168;mso-height-relative:margin" coordsize="53193,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width:53193;height:21431;visibility:visible;mso-wrap-style:square">
                  <v:fill o:detectmouseclick="t"/>
                  <v:path o:connecttype="none"/>
                </v:shape>
                <v:line id="Line 39" o:spid="_x0000_s1055" style="position:absolute;visibility:visible;mso-wrap-style:square" from="6858,16383" to="46863,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" strokeweight="1.5pt"/>
                <v:line id="Line 38" o:spid="_x0000_s1056" style="position:absolute;visibility:visible;mso-wrap-style:square" from="6858,14097" to="46863,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" strokeweight="1.5pt"/>
                <v:line id="Line 37" o:spid="_x0000_s1057" style="position:absolute;flip:y;visibility:visible;mso-wrap-style:square" from="10287,4953" to="10287,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" strokeweight="1.5pt"/>
                <v:line id="Line 36" o:spid="_x0000_s1058" style="position:absolute;flip:y;visibility:visible;mso-wrap-style:square" from="40005,4953" to="40005,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" strokeweight="1.5pt"/>
                <v:line id="Line 35" o:spid="_x0000_s1059" style="position:absolute;visibility:visible;mso-wrap-style:square" from="6858,4953" to="46863,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" strokeweight="1.5pt"/>
                <v:line id="Line 34" o:spid="_x0000_s1060" style="position:absolute;flip:y;visibility:visible;mso-wrap-style:square" from="20574,14097" to="20574,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" strokeweight="1.5pt"/>
                <v:line id="Line 33" o:spid="_x0000_s1061" style="position:absolute;flip:y;visibility:visible;mso-wrap-style:square" from="10287,14097" to="20574,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">
                  <v:stroke dashstyle="dash"/>
                </v:line>
                <v:line id="Line 32" o:spid="_x0000_s1062" style="position:absolute;visibility:visible;mso-wrap-style:square" from="10287,14097" to="20574,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">
                  <v:stroke dashstyle="dash"/>
                </v:line>
                <v:line id="Line 31" o:spid="_x0000_s1063" style="position:absolute;flip:x y;visibility:visible;mso-wrap-style:square" from="20574,14097" to="40005,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">
                  <v:stroke dashstyle="dash"/>
                </v:line>
                <v:line id="Line 30" o:spid="_x0000_s1064" style="position:absolute;flip:y;visibility:visible;mso-wrap-style:square" from="20574,14097" to="40005,1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">
                  <v:stroke dashstyle="dash"/>
                </v:line>
                <v:line id="Line 29" o:spid="_x0000_s1065" style="position:absolute;visibility:visible;mso-wrap-style:square" from="10223,17526" to="20510,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">
                  <v:stroke startarrow="block" endarrow="block"/>
                </v:line>
                <v:line id="Line 27" o:spid="_x0000_s1066" style="position:absolute;flip:y;visibility:visible;mso-wrap-style:square" from="20574,4895" to="20574,1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" strokecolor="#969696" strokeweight="1.5pt"/>
                <v:shape id="WordArt 25" o:spid="_x0000_s1067" type="#_x0000_t202" style="position:absolute;left:16895;top:2381;width:1806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" filled="f" stroked="f">
                  <o:lock v:ext="edit" shapetype="t"/>
                  <v:textbox>
                    <w:txbxContent>
                      <w:p w14:paraId="28699AF6" w14:textId="77777777" w:rsidR="005551B9" w:rsidRPr="00806149" w:rsidRDefault="005551B9" w:rsidP="008F2D91">
                        <w:pPr>
                          <w:pStyle w:val="NormalWeb"/>
                          <w:spacing w:before="0" w:line="720" w:lineRule="auto"/>
                          <w:jc w:val="center"/>
                          <w:rPr>
                            <w:sz w:val="16"/>
                            <w:szCs w:val="16"/>
                          </w:rPr>
                        </w:pPr>
                        <w:r w:rsidRPr="00806149">
                          <w:rPr>
                            <w:rFonts w:ascii="Arial" w:hAnsi="Arial" w:cs="Arial"/>
                            <w:color w:val="000000"/>
                            <w:sz w:val="16"/>
                            <w:szCs w:val="16"/>
                            <w14:textOutline w14:w="9525" w14:cap="flat" w14:cmpd="sng" w14:algn="ctr">
                              <w14:solidFill>
                                <w14:srgbClr w14:val="000000"/>
                              </w14:solidFill>
                              <w14:prstDash w14:val="solid"/>
                              <w14:round/>
                            </w14:textOutline>
                          </w:rPr>
                          <w:t>Палуба на преградите</w:t>
                        </w:r>
                      </w:p>
                    </w:txbxContent>
                  </v:textbox>
                </v:shape>
                <v:shape id="Text Box 193" o:spid="_x0000_s1068" type="#_x0000_t202" style="position:absolute;left:9078;top:17569;width:13482;height:2991;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" filled="f" stroked="f" strokeweight=".5pt">
                  <v:textbox>
                    <w:txbxContent>
                      <w:p w14:paraId="745D4E43" w14:textId="77777777" w:rsidR="005551B9" w:rsidRPr="00FE1BAB" w:rsidRDefault="005551B9" w:rsidP="008F2D91">
                        <w:r>
                          <w:t>дължина на щетата</w:t>
                        </w:r>
                      </w:p>
                    </w:txbxContent>
                  </v:textbox>
                </v:shape>
                <v:shape id="Text Box 194" o:spid="_x0000_s1069" type="#_x0000_t202" style="position:absolute;left:21240;top:7048;width:16777;height:5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" fillcolor="window" stroked="f" strokeweight=".5pt">
                  <v:textbox>
                    <w:txbxContent>
                      <w:p w14:paraId="4B8A77A5" w14:textId="77777777" w:rsidR="005551B9" w:rsidRPr="002F5B9C" w:rsidRDefault="005551B9" w:rsidP="008F2D91">
                        <w:pPr>
                          <w:rPr>
                            <w:lang w:val="ru-RU"/>
                          </w:rPr>
                        </w:pPr>
                        <w:r w:rsidRPr="002F5B9C">
                          <w:rPr>
                            <w:lang w:val="ru-RU"/>
                          </w:rPr>
                          <w:t>Съгласно изискването на</w:t>
                        </w:r>
                      </w:p>
                      <w:p w14:paraId="1A1CD6A7" w14:textId="77777777" w:rsidR="005551B9" w:rsidRPr="002F5B9C" w:rsidRDefault="005551B9" w:rsidP="008F2D91">
                        <w:pPr>
                          <w:rPr>
                            <w:lang w:val="ru-RU"/>
                          </w:rPr>
                        </w:pPr>
                        <w:r w:rsidRPr="002F5B9C">
                          <w:rPr>
                            <w:lang w:val="ru-RU"/>
                          </w:rPr>
                          <w:t>Чл. 19.02, точка 5</w:t>
                        </w:r>
                      </w:p>
                    </w:txbxContent>
                  </v:textbox>
                </v:shape>
                <w10:wrap type="square"/>
              </v:group>
            </w:pict>
          </mc:Fallback>
        </mc:AlternateContent>
      </w:r>
    </w:p>
    <w:p w14:paraId="528346A1" w14:textId="38634A29" w:rsidR="00271FA2" w:rsidRPr="004224F6" w:rsidRDefault="00271FA2">
      <w:pPr>
        <w:suppressAutoHyphens/>
        <w:spacing w:line="240" w:lineRule="atLeast"/>
        <w:ind w:left="357"/>
        <w:rPr>
          <w:rFonts w:ascii="Times New Roman" w:hAnsi="Times New Roman" w:cs="Times New Roman"/>
          <w:b/>
          <w:lang w:val="ru-RU"/>
        </w:rPr>
      </w:pPr>
    </w:p>
    <w:p w14:paraId="11397D29" w14:textId="77777777" w:rsidR="00271FA2" w:rsidRPr="004224F6" w:rsidRDefault="00D35E51">
      <w:pPr>
        <w:spacing w:line="240" w:lineRule="atLeast"/>
        <w:ind w:left="567"/>
        <w:rPr>
          <w:rFonts w:ascii="Times New Roman" w:hAnsi="Times New Roman" w:cs="Times New Roman"/>
          <w:b/>
          <w:color w:val="000000"/>
          <w:szCs w:val="20"/>
          <w:lang w:val="ru-RU"/>
        </w:rPr>
      </w:pPr>
      <w:r w:rsidRPr="004224F6">
        <w:rPr>
          <w:rFonts w:ascii="Times New Roman" w:hAnsi="Times New Roman" w:cs="Times New Roman"/>
          <w:b/>
          <w:color w:val="000000"/>
          <w:lang w:val="ru-RU"/>
        </w:rPr>
        <w:t>Тълкуване на изискването:</w:t>
      </w:r>
    </w:p>
    <w:p w14:paraId="65834C3C"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Ако водонепроницаем отсек е по-дълъг от изискваното по член 19.03, точка 9 и съдържа подразделения, които образуват водонепроницаеми подотсеци, между които може да се вмести минималната дължина на повредата, това може да се отчете при изчисляването на устойчивостта в повредено състояние.</w:t>
      </w:r>
    </w:p>
    <w:p w14:paraId="7910786E"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Преходна разпоредба за заграждения, направени от навеси или подобни подвижни съоръжения по отношение на устойчивостта (член 19.03, точка 5)</w:t>
      </w:r>
    </w:p>
    <w:p w14:paraId="07E8FD9D"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Заграждения, направени от навеси или подобни подвижни съоръжения, могат да причинят проблеми по отношение устойчивостта на плавателния съд, тъй като ако са достатъчно големи, те влияят на кренящия момент, дължащ се на натиска на вятъра.</w:t>
      </w:r>
    </w:p>
    <w:p w14:paraId="10562803" w14:textId="77777777" w:rsidR="00271FA2" w:rsidRPr="004224F6" w:rsidRDefault="00D35E51">
      <w:pPr>
        <w:spacing w:line="240" w:lineRule="atLeast"/>
        <w:ind w:left="567"/>
        <w:rPr>
          <w:rFonts w:ascii="Times New Roman" w:hAnsi="Times New Roman" w:cs="Times New Roman"/>
          <w:b/>
          <w:color w:val="000000"/>
          <w:szCs w:val="20"/>
          <w:lang w:val="ru-RU"/>
        </w:rPr>
      </w:pPr>
      <w:r w:rsidRPr="004224F6">
        <w:rPr>
          <w:rFonts w:ascii="Times New Roman" w:hAnsi="Times New Roman" w:cs="Times New Roman"/>
          <w:b/>
          <w:color w:val="000000"/>
          <w:lang w:val="ru-RU"/>
        </w:rPr>
        <w:t>Тълкуване на изискването:</w:t>
      </w:r>
    </w:p>
    <w:p w14:paraId="5449A280"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При пътнически плавателни съдове, за които Корабното удостоверение за вътрешно корабоплаване е било издадено за първи път преди 1 януари 2006 г. съгласно разпоредбите за проверка на плавателните съдове по река Рейн (</w:t>
      </w:r>
      <w:r w:rsidRPr="004224F6">
        <w:rPr>
          <w:rFonts w:ascii="Times New Roman" w:hAnsi="Times New Roman" w:cs="Times New Roman"/>
        </w:rPr>
        <w:t>RVIR</w:t>
      </w:r>
      <w:r w:rsidRPr="004224F6">
        <w:rPr>
          <w:rFonts w:ascii="Times New Roman" w:hAnsi="Times New Roman" w:cs="Times New Roman"/>
          <w:lang w:val="ru-RU"/>
        </w:rPr>
        <w:t xml:space="preserve">), или за които се отнася член 32.05, точка 2, второ изречение, след създаването на заграждение, направено от навеси или подобни подвижни съоръжения, съгласно член 19.04 от настоящия стандарт трябва да се направи ново изчисление на устойчивостта, за да се отчете фактът, че неговата странична равнина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wz</m:t>
            </m:r>
          </m:sub>
        </m:sSub>
      </m:oMath>
      <w:r w:rsidRPr="004224F6">
        <w:rPr>
          <w:rFonts w:ascii="Times New Roman" w:hAnsi="Times New Roman" w:cs="Times New Roman"/>
          <w:lang w:val="ru-RU"/>
        </w:rPr>
        <w:t xml:space="preserve"> надхвърля 5 % от общата странична равнина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oMath>
      <w:r w:rsidRPr="004224F6">
        <w:rPr>
          <w:rFonts w:ascii="Times New Roman" w:hAnsi="Times New Roman" w:cs="Times New Roman"/>
          <w:lang w:val="ru-RU"/>
        </w:rPr>
        <w:t>.</w:t>
      </w:r>
    </w:p>
    <w:p w14:paraId="22761154"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26837BCA"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footnotePr>
            <w:numRestart w:val="eachPage"/>
          </w:footnotePr>
          <w:pgSz w:w="11907" w:h="16840"/>
          <w:pgMar w:top="1134" w:right="1134" w:bottom="1134" w:left="1134" w:header="709" w:footer="709" w:gutter="0"/>
          <w:cols w:space="720"/>
          <w:docGrid w:linePitch="326"/>
        </w:sectPr>
      </w:pPr>
    </w:p>
    <w:p w14:paraId="1D30B7AC" w14:textId="77777777" w:rsidR="00271FA2" w:rsidRPr="004224F6" w:rsidRDefault="00D35E51">
      <w:pPr>
        <w:pStyle w:val="ES-Titre2ESI"/>
        <w:rPr>
          <w:rFonts w:ascii="Times New Roman" w:hAnsi="Times New Roman" w:cs="Times New Roman"/>
          <w:lang w:val="ru-RU"/>
        </w:rPr>
      </w:pPr>
      <w:bookmarkStart w:id="703" w:name="_Toc491854365"/>
      <w:bookmarkStart w:id="704" w:name="_Toc535827806"/>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-2</w:t>
      </w:r>
      <w:r w:rsidRPr="004224F6">
        <w:rPr>
          <w:rFonts w:ascii="Times New Roman" w:hAnsi="Times New Roman" w:cs="Times New Roman"/>
          <w:lang w:val="ru-RU"/>
        </w:rPr>
        <w:br/>
        <w:t>Специфични нужди на лица с намалена подвижност по отношение на безопасността</w:t>
      </w:r>
      <w:bookmarkEnd w:id="703"/>
      <w:bookmarkEnd w:id="704"/>
    </w:p>
    <w:p w14:paraId="7102F94E" w14:textId="10914780" w:rsidR="00271FA2" w:rsidRPr="004224F6" w:rsidRDefault="00D35E51">
      <w:pPr>
        <w:overflowPunct w:val="0"/>
        <w:adjustRightInd w:val="0"/>
        <w:spacing w:line="240" w:lineRule="atLeast"/>
        <w:jc w:val="center"/>
        <w:textAlignment w:val="baseline"/>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 xml:space="preserve">(член 1.01, </w:t>
      </w:r>
      <w:r w:rsidR="00F55E22" w:rsidRPr="004224F6">
        <w:rPr>
          <w:rFonts w:ascii="Times New Roman" w:hAnsi="Times New Roman" w:cs="Times New Roman"/>
          <w:b/>
          <w:snapToGrid w:val="0"/>
          <w:lang w:val="ru-RU"/>
        </w:rPr>
        <w:t xml:space="preserve">т. </w:t>
      </w:r>
      <w:r w:rsidRPr="004224F6">
        <w:rPr>
          <w:rFonts w:ascii="Times New Roman" w:hAnsi="Times New Roman" w:cs="Times New Roman"/>
          <w:b/>
          <w:snapToGrid w:val="0"/>
          <w:lang w:val="ru-RU"/>
        </w:rPr>
        <w:t xml:space="preserve">12.2, член 19.01, </w:t>
      </w:r>
      <w:r w:rsidR="00F55E22" w:rsidRPr="004224F6">
        <w:rPr>
          <w:rFonts w:ascii="Times New Roman" w:hAnsi="Times New Roman" w:cs="Times New Roman"/>
          <w:b/>
          <w:snapToGrid w:val="0"/>
          <w:lang w:val="ru-RU"/>
        </w:rPr>
        <w:t xml:space="preserve">т. </w:t>
      </w:r>
      <w:r w:rsidRPr="004224F6">
        <w:rPr>
          <w:rFonts w:ascii="Times New Roman" w:hAnsi="Times New Roman" w:cs="Times New Roman"/>
          <w:b/>
          <w:snapToGrid w:val="0"/>
          <w:lang w:val="ru-RU"/>
        </w:rPr>
        <w:t xml:space="preserve">4, член 19.06, точки 3 - 5, 9, 10, 13 и 17, член 19.08, </w:t>
      </w:r>
      <w:r w:rsidR="00F55E22" w:rsidRPr="004224F6">
        <w:rPr>
          <w:rFonts w:ascii="Times New Roman" w:hAnsi="Times New Roman" w:cs="Times New Roman"/>
          <w:b/>
          <w:snapToGrid w:val="0"/>
          <w:lang w:val="ru-RU"/>
        </w:rPr>
        <w:t xml:space="preserve">т. </w:t>
      </w:r>
      <w:r w:rsidRPr="004224F6">
        <w:rPr>
          <w:rFonts w:ascii="Times New Roman" w:hAnsi="Times New Roman" w:cs="Times New Roman"/>
          <w:b/>
          <w:snapToGrid w:val="0"/>
          <w:lang w:val="ru-RU"/>
        </w:rPr>
        <w:t xml:space="preserve">3, член 19.10, </w:t>
      </w:r>
      <w:r w:rsidR="00F55E22" w:rsidRPr="004224F6">
        <w:rPr>
          <w:rFonts w:ascii="Times New Roman" w:hAnsi="Times New Roman" w:cs="Times New Roman"/>
          <w:b/>
          <w:snapToGrid w:val="0"/>
          <w:lang w:val="ru-RU"/>
        </w:rPr>
        <w:t>т.</w:t>
      </w:r>
      <w:r w:rsidRPr="004224F6">
        <w:rPr>
          <w:rFonts w:ascii="Times New Roman" w:hAnsi="Times New Roman" w:cs="Times New Roman"/>
          <w:b/>
          <w:snapToGrid w:val="0"/>
          <w:lang w:val="ru-RU"/>
        </w:rPr>
        <w:t>3, член 19.13, точки 1 - 4)</w:t>
      </w:r>
    </w:p>
    <w:p w14:paraId="1A230B8A" w14:textId="77777777" w:rsidR="00271FA2" w:rsidRPr="004224F6" w:rsidRDefault="00D35E51">
      <w:pPr>
        <w:spacing w:line="240" w:lineRule="atLeast"/>
        <w:ind w:left="567" w:hanging="567"/>
        <w:rPr>
          <w:rFonts w:ascii="Times New Roman" w:hAnsi="Times New Roman" w:cs="Times New Roman"/>
          <w:b/>
          <w:snapToGrid w:val="0"/>
          <w:color w:val="000000"/>
          <w:szCs w:val="20"/>
          <w:lang w:val="ru-RU"/>
        </w:rPr>
      </w:pPr>
      <w:r w:rsidRPr="004224F6">
        <w:rPr>
          <w:rFonts w:ascii="Times New Roman" w:hAnsi="Times New Roman" w:cs="Times New Roman"/>
          <w:b/>
          <w:snapToGrid w:val="0"/>
          <w:color w:val="000000"/>
          <w:lang w:val="ru-RU"/>
        </w:rPr>
        <w:t>1.</w:t>
      </w:r>
      <w:r w:rsidRPr="004224F6">
        <w:rPr>
          <w:rFonts w:ascii="Times New Roman" w:hAnsi="Times New Roman" w:cs="Times New Roman"/>
          <w:lang w:val="ru-RU"/>
        </w:rPr>
        <w:tab/>
      </w:r>
      <w:r w:rsidRPr="004224F6">
        <w:rPr>
          <w:rFonts w:ascii="Times New Roman" w:hAnsi="Times New Roman" w:cs="Times New Roman"/>
          <w:b/>
          <w:snapToGrid w:val="0"/>
          <w:color w:val="000000"/>
          <w:lang w:val="ru-RU"/>
        </w:rPr>
        <w:t>Въведение</w:t>
      </w:r>
    </w:p>
    <w:p w14:paraId="4D7E7DAE"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Лицата с намалена подвижност имат по-големи нужди, свързани с безопасността, от останалите пътници. Тези нужди са взети предвид в изискванията на Глава 19, които са обяснени, както следва:</w:t>
      </w:r>
    </w:p>
    <w:p w14:paraId="08A8602B"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Тези изисквания са предназначени да гарантират, че лицата с намалена подвижност могат да пребивават и да се движат безопасно на борда на плавателни съдове. В допълнение, при извънредна ситуация тези лица следва да имат същото равнище на безопасност както другите пътници.</w:t>
      </w:r>
    </w:p>
    <w:p w14:paraId="3E7E10F0"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 xml:space="preserve">Не е необходимо всички пространства за пътници да изпълняват специфичните изисквания за безопасност на лица с намалена подвижност. Поради това тези изисквания се прилагат само за някои зони. На тези лица обаче трябва да е предоставена възможността да бъдат информирани за зоните, специално пригодени за тях с оглед на безопасността, така че да могат да организират престоя си на борда по съответния начин. Отговорност на корабособственика </w:t>
      </w:r>
      <w:r w:rsidRPr="004224F6">
        <w:rPr>
          <w:rFonts w:ascii="Times New Roman" w:hAnsi="Times New Roman" w:cs="Times New Roman"/>
        </w:rPr>
        <w:t>e</w:t>
      </w:r>
      <w:r w:rsidRPr="004224F6">
        <w:rPr>
          <w:rFonts w:ascii="Times New Roman" w:hAnsi="Times New Roman" w:cs="Times New Roman"/>
          <w:lang w:val="ru-RU"/>
        </w:rPr>
        <w:t xml:space="preserve"> да предостави съответните зони, да ги оповести и съобщи на лицата с намалена подвижност. </w:t>
      </w:r>
    </w:p>
    <w:p w14:paraId="055C8D53"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Разпоредбите, засягащи лица с намалена подвижност, се позовават на:</w:t>
      </w:r>
    </w:p>
    <w:p w14:paraId="4AA65D3A" w14:textId="77777777" w:rsidR="00271FA2" w:rsidRPr="004224F6" w:rsidRDefault="00D35E51">
      <w:pPr>
        <w:tabs>
          <w:tab w:val="left" w:pos="992"/>
        </w:tabs>
        <w:spacing w:line="240" w:lineRule="atLeast"/>
        <w:ind w:left="992" w:hanging="425"/>
        <w:jc w:val="both"/>
        <w:rPr>
          <w:rFonts w:ascii="Times New Roman" w:hAnsi="Times New Roman" w:cs="Times New Roman"/>
          <w:snapToGrid w:val="0"/>
          <w:szCs w:val="20"/>
          <w:lang w:val="ru-RU"/>
        </w:rPr>
      </w:pPr>
      <w:r w:rsidRPr="004224F6">
        <w:rPr>
          <w:rFonts w:ascii="Times New Roman" w:hAnsi="Times New Roman" w:cs="Times New Roman"/>
          <w:snapToGrid w:val="0"/>
          <w:szCs w:val="20"/>
          <w:shd w:val="clear" w:color="auto" w:fill="FFFFFF"/>
        </w:rPr>
        <w:sym w:font="Symbol" w:char="F0B7"/>
      </w:r>
      <w:r w:rsidRPr="004224F6">
        <w:rPr>
          <w:rFonts w:ascii="Times New Roman" w:hAnsi="Times New Roman" w:cs="Times New Roman"/>
          <w:lang w:val="ru-RU"/>
        </w:rPr>
        <w:tab/>
        <w:t>Директива 2009/45/ЕО</w:t>
      </w:r>
      <w:r w:rsidRPr="004224F6">
        <w:rPr>
          <w:rFonts w:ascii="Times New Roman" w:hAnsi="Times New Roman" w:cs="Times New Roman"/>
          <w:vertAlign w:val="superscript"/>
        </w:rPr>
        <w:footnoteReference w:id="59"/>
      </w:r>
      <w:r w:rsidRPr="004224F6">
        <w:rPr>
          <w:rFonts w:ascii="Times New Roman" w:hAnsi="Times New Roman" w:cs="Times New Roman"/>
          <w:lang w:val="ru-RU"/>
        </w:rPr>
        <w:t xml:space="preserve"> и</w:t>
      </w:r>
    </w:p>
    <w:p w14:paraId="6B535D20" w14:textId="77777777" w:rsidR="00271FA2" w:rsidRPr="004224F6" w:rsidRDefault="00D35E51">
      <w:pPr>
        <w:tabs>
          <w:tab w:val="left" w:pos="992"/>
        </w:tabs>
        <w:spacing w:line="240" w:lineRule="atLeast"/>
        <w:ind w:left="992" w:hanging="425"/>
        <w:jc w:val="both"/>
        <w:rPr>
          <w:rFonts w:ascii="Times New Roman" w:hAnsi="Times New Roman" w:cs="Times New Roman"/>
          <w:snapToGrid w:val="0"/>
          <w:szCs w:val="20"/>
          <w:lang w:val="ru-RU"/>
        </w:rPr>
      </w:pPr>
      <w:r w:rsidRPr="004224F6">
        <w:rPr>
          <w:rFonts w:ascii="Times New Roman" w:hAnsi="Times New Roman" w:cs="Times New Roman"/>
          <w:snapToGrid w:val="0"/>
          <w:szCs w:val="20"/>
          <w:shd w:val="clear" w:color="auto" w:fill="FFFFFF"/>
        </w:rPr>
        <w:sym w:font="Symbol" w:char="F0B7"/>
      </w:r>
      <w:r w:rsidRPr="004224F6">
        <w:rPr>
          <w:rFonts w:ascii="Times New Roman" w:hAnsi="Times New Roman" w:cs="Times New Roman"/>
          <w:lang w:val="ru-RU"/>
        </w:rPr>
        <w:tab/>
        <w:t>Ръководство за приспособяване на пътнически кораби за плаване по вътрешните водни пътища към нуждите на хора с увреждания в съответствие с Резолюция № 69 на Икономическата комисия за Европа на ООН.</w:t>
      </w:r>
      <w:r w:rsidRPr="004224F6">
        <w:rPr>
          <w:rFonts w:ascii="Times New Roman" w:hAnsi="Times New Roman" w:cs="Times New Roman"/>
          <w:vertAlign w:val="superscript"/>
        </w:rPr>
        <w:footnoteReference w:id="60"/>
      </w:r>
    </w:p>
    <w:p w14:paraId="78287368" w14:textId="77777777" w:rsidR="00271FA2" w:rsidRPr="004224F6" w:rsidRDefault="00D35E51">
      <w:pPr>
        <w:spacing w:line="240" w:lineRule="atLeast"/>
        <w:ind w:left="567"/>
        <w:jc w:val="both"/>
        <w:rPr>
          <w:rFonts w:ascii="Times New Roman" w:hAnsi="Times New Roman" w:cs="Times New Roman"/>
          <w:bCs/>
          <w:snapToGrid w:val="0"/>
          <w:lang w:val="ru-RU"/>
        </w:rPr>
      </w:pPr>
      <w:r w:rsidRPr="004224F6">
        <w:rPr>
          <w:rFonts w:ascii="Times New Roman" w:hAnsi="Times New Roman" w:cs="Times New Roman"/>
          <w:lang w:val="ru-RU"/>
        </w:rPr>
        <w:t>Определението на термина „лица с намалена подвижност“, използвано в стандарта, до голяма степен е идентично с това в директивата и повечето от техническите изисквания са въз осн</w:t>
      </w:r>
      <w:r w:rsidR="004526ED" w:rsidRPr="004224F6">
        <w:rPr>
          <w:rFonts w:ascii="Times New Roman" w:hAnsi="Times New Roman" w:cs="Times New Roman"/>
          <w:lang w:val="ru-RU"/>
        </w:rPr>
        <w:t>ова</w:t>
      </w:r>
      <w:r w:rsidRPr="004224F6">
        <w:rPr>
          <w:rFonts w:ascii="Times New Roman" w:hAnsi="Times New Roman" w:cs="Times New Roman"/>
          <w:lang w:val="ru-RU"/>
        </w:rPr>
        <w:t xml:space="preserve"> на горепосочените насоки. Поради това, при случаи на съмнение е възможно позоваване и на двете, когато се взимат решения. Като цяло изискванията на директивата и насоките са по-строги от тези в настоящия стандарт.</w:t>
      </w:r>
    </w:p>
    <w:p w14:paraId="42E05471" w14:textId="77777777" w:rsidR="00271FA2" w:rsidRPr="004224F6" w:rsidRDefault="00D35E51" w:rsidP="004526ED">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Изискванията на стандарта не се отнасят до местата за акостиране и подобни съоръжения. Те са предмет на национални разпоредби. </w:t>
      </w:r>
    </w:p>
    <w:p w14:paraId="3314500A" w14:textId="77777777" w:rsidR="00271FA2" w:rsidRPr="004224F6" w:rsidRDefault="00D35E51">
      <w:pPr>
        <w:spacing w:line="240" w:lineRule="atLeast"/>
        <w:ind w:left="565" w:hangingChars="257" w:hanging="565"/>
        <w:rPr>
          <w:rFonts w:ascii="Times New Roman" w:hAnsi="Times New Roman" w:cs="Times New Roman"/>
          <w:b/>
          <w:snapToGrid w:val="0"/>
          <w:color w:val="000000"/>
          <w:szCs w:val="20"/>
          <w:lang w:val="ru-RU"/>
        </w:rPr>
      </w:pPr>
      <w:r w:rsidRPr="004224F6">
        <w:rPr>
          <w:rFonts w:ascii="Times New Roman" w:hAnsi="Times New Roman" w:cs="Times New Roman"/>
          <w:b/>
          <w:snapToGrid w:val="0"/>
          <w:color w:val="000000"/>
          <w:lang w:val="ru-RU"/>
        </w:rPr>
        <w:t>2.</w:t>
      </w:r>
      <w:r w:rsidRPr="004224F6">
        <w:rPr>
          <w:rFonts w:ascii="Times New Roman" w:hAnsi="Times New Roman" w:cs="Times New Roman"/>
          <w:lang w:val="ru-RU"/>
        </w:rPr>
        <w:tab/>
      </w:r>
      <w:r w:rsidRPr="004224F6">
        <w:rPr>
          <w:rFonts w:ascii="Times New Roman" w:hAnsi="Times New Roman" w:cs="Times New Roman"/>
          <w:b/>
          <w:snapToGrid w:val="0"/>
          <w:color w:val="000000"/>
          <w:lang w:val="ru-RU"/>
        </w:rPr>
        <w:t>Член 1.01, точка 12.2 – понятието „лица с намалена подвижност“</w:t>
      </w:r>
    </w:p>
    <w:p w14:paraId="2D4F5312" w14:textId="77777777" w:rsidR="00271FA2" w:rsidRPr="004224F6" w:rsidRDefault="00D35E51">
      <w:pPr>
        <w:tabs>
          <w:tab w:val="left" w:pos="567"/>
        </w:tabs>
        <w:spacing w:line="240" w:lineRule="atLeast"/>
        <w:ind w:left="567" w:hanging="567"/>
        <w:jc w:val="both"/>
        <w:rPr>
          <w:rFonts w:ascii="Times New Roman" w:hAnsi="Times New Roman" w:cs="Times New Roman"/>
          <w:snapToGrid w:val="0"/>
          <w:szCs w:val="20"/>
          <w:lang w:val="ru-RU"/>
        </w:rPr>
      </w:pPr>
      <w:r w:rsidRPr="004224F6">
        <w:rPr>
          <w:rFonts w:ascii="Times New Roman" w:hAnsi="Times New Roman" w:cs="Times New Roman"/>
          <w:lang w:val="ru-RU"/>
        </w:rPr>
        <w:tab/>
        <w:t>„Лица с намалена подвижност“ означава всяко лице, което в резултат на физически увреждания не може да се движи или различава окръжаващата го среда по същия начин както другите пътници. Това определение включва лица с нарушено зрение или слух или лица, придружаващи деца в бебешки колички или носени деца. За целите на настоящите разпоредби обаче, понятието „лица с намалена подвижност“ не включва лица с психически увреждания.</w:t>
      </w:r>
    </w:p>
    <w:p w14:paraId="57329F4C" w14:textId="77777777" w:rsidR="00271FA2" w:rsidRPr="004224F6" w:rsidRDefault="00D35E51">
      <w:pPr>
        <w:spacing w:line="240" w:lineRule="atLeast"/>
        <w:ind w:left="567" w:hanging="567"/>
        <w:rPr>
          <w:rFonts w:ascii="Times New Roman" w:hAnsi="Times New Roman" w:cs="Times New Roman"/>
          <w:b/>
          <w:snapToGrid w:val="0"/>
          <w:color w:val="000000"/>
          <w:szCs w:val="20"/>
          <w:lang w:val="ru-RU"/>
        </w:rPr>
      </w:pPr>
      <w:r w:rsidRPr="004224F6">
        <w:rPr>
          <w:rFonts w:ascii="Times New Roman" w:hAnsi="Times New Roman" w:cs="Times New Roman"/>
          <w:b/>
          <w:snapToGrid w:val="0"/>
          <w:color w:val="000000"/>
          <w:lang w:val="ru-RU"/>
        </w:rPr>
        <w:t>3.</w:t>
      </w:r>
      <w:r w:rsidRPr="004224F6">
        <w:rPr>
          <w:rFonts w:ascii="Times New Roman" w:hAnsi="Times New Roman" w:cs="Times New Roman"/>
          <w:lang w:val="ru-RU"/>
        </w:rPr>
        <w:tab/>
      </w:r>
      <w:r w:rsidRPr="004224F6">
        <w:rPr>
          <w:rFonts w:ascii="Times New Roman" w:hAnsi="Times New Roman" w:cs="Times New Roman"/>
          <w:b/>
          <w:snapToGrid w:val="0"/>
          <w:color w:val="000000"/>
          <w:lang w:val="ru-RU"/>
        </w:rPr>
        <w:t xml:space="preserve">Член 19.01, точка 4 — Общи положения ; Зони, предназначени за използване от лица с намалена подвижност </w:t>
      </w:r>
    </w:p>
    <w:p w14:paraId="4C160492"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lastRenderedPageBreak/>
        <w:t>Зоните, предназначени за използване от лица с намалена подвижност, варират от входната зона (в най-простия случай) до зоната, от която ще се извърши евакуация при извънредна ситуация. Те включват:</w:t>
      </w:r>
    </w:p>
    <w:p w14:paraId="03BA2657" w14:textId="77777777" w:rsidR="00271FA2" w:rsidRPr="004224F6" w:rsidRDefault="00D35E51">
      <w:pPr>
        <w:tabs>
          <w:tab w:val="left" w:pos="992"/>
        </w:tabs>
        <w:spacing w:line="240" w:lineRule="atLeast"/>
        <w:ind w:left="992" w:hanging="283"/>
        <w:jc w:val="both"/>
        <w:rPr>
          <w:rFonts w:ascii="Times New Roman" w:hAnsi="Times New Roman" w:cs="Times New Roman"/>
          <w:snapToGrid w:val="0"/>
          <w:szCs w:val="20"/>
          <w:lang w:val="ru-RU"/>
        </w:rPr>
      </w:pPr>
      <w:r w:rsidRPr="004224F6">
        <w:rPr>
          <w:rFonts w:ascii="Times New Roman" w:hAnsi="Times New Roman" w:cs="Times New Roman"/>
          <w:snapToGrid w:val="0"/>
          <w:szCs w:val="20"/>
          <w:shd w:val="clear" w:color="auto" w:fill="FFFFFF"/>
        </w:rPr>
        <w:sym w:font="Symbol" w:char="F0B7"/>
      </w:r>
      <w:r w:rsidRPr="004224F6">
        <w:rPr>
          <w:rFonts w:ascii="Times New Roman" w:hAnsi="Times New Roman" w:cs="Times New Roman"/>
          <w:lang w:val="ru-RU"/>
        </w:rPr>
        <w:tab/>
        <w:t>място, където се съхранява или раздава спасително оборудване при аварийна ситуация;</w:t>
      </w:r>
    </w:p>
    <w:p w14:paraId="175D8E28" w14:textId="77777777" w:rsidR="00271FA2" w:rsidRPr="004224F6" w:rsidRDefault="00D35E51">
      <w:pPr>
        <w:tabs>
          <w:tab w:val="left" w:pos="992"/>
        </w:tabs>
        <w:spacing w:line="240" w:lineRule="atLeast"/>
        <w:ind w:left="992" w:hanging="283"/>
        <w:jc w:val="both"/>
        <w:rPr>
          <w:rFonts w:ascii="Times New Roman" w:hAnsi="Times New Roman" w:cs="Times New Roman"/>
          <w:snapToGrid w:val="0"/>
          <w:szCs w:val="20"/>
          <w:lang w:val="ru-RU"/>
        </w:rPr>
      </w:pPr>
      <w:r w:rsidRPr="004224F6">
        <w:rPr>
          <w:rFonts w:ascii="Times New Roman" w:hAnsi="Times New Roman" w:cs="Times New Roman"/>
          <w:snapToGrid w:val="0"/>
          <w:szCs w:val="20"/>
          <w:shd w:val="clear" w:color="auto" w:fill="FFFFFF"/>
        </w:rPr>
        <w:sym w:font="Symbol" w:char="F0B7"/>
      </w:r>
      <w:r w:rsidRPr="004224F6">
        <w:rPr>
          <w:rFonts w:ascii="Times New Roman" w:hAnsi="Times New Roman" w:cs="Times New Roman"/>
          <w:lang w:val="ru-RU"/>
        </w:rPr>
        <w:tab/>
        <w:t>места за сядане;</w:t>
      </w:r>
    </w:p>
    <w:p w14:paraId="7B2350FF" w14:textId="77777777" w:rsidR="00271FA2" w:rsidRPr="004224F6" w:rsidRDefault="00D35E51">
      <w:pPr>
        <w:tabs>
          <w:tab w:val="left" w:pos="992"/>
        </w:tabs>
        <w:spacing w:line="240" w:lineRule="atLeast"/>
        <w:ind w:left="992" w:hanging="283"/>
        <w:jc w:val="both"/>
        <w:rPr>
          <w:rFonts w:ascii="Times New Roman" w:hAnsi="Times New Roman" w:cs="Times New Roman"/>
          <w:snapToGrid w:val="0"/>
          <w:szCs w:val="20"/>
          <w:lang w:val="ru-RU"/>
        </w:rPr>
      </w:pPr>
      <w:r w:rsidRPr="004224F6">
        <w:rPr>
          <w:rFonts w:ascii="Times New Roman" w:hAnsi="Times New Roman" w:cs="Times New Roman"/>
          <w:snapToGrid w:val="0"/>
          <w:szCs w:val="20"/>
          <w:shd w:val="clear" w:color="auto" w:fill="FFFFFF"/>
        </w:rPr>
        <w:sym w:font="Symbol" w:char="F0B7"/>
      </w:r>
      <w:r w:rsidRPr="004224F6">
        <w:rPr>
          <w:rFonts w:ascii="Times New Roman" w:hAnsi="Times New Roman" w:cs="Times New Roman"/>
          <w:lang w:val="ru-RU"/>
        </w:rPr>
        <w:tab/>
        <w:t xml:space="preserve">подходящо пригодена тоалетна (вж. точка 10 от настоящата инструкция); </w:t>
      </w:r>
    </w:p>
    <w:p w14:paraId="14E736E2" w14:textId="77777777" w:rsidR="00271FA2" w:rsidRPr="004224F6" w:rsidRDefault="00D35E51">
      <w:pPr>
        <w:tabs>
          <w:tab w:val="left" w:pos="992"/>
        </w:tabs>
        <w:spacing w:line="240" w:lineRule="atLeast"/>
        <w:ind w:left="992" w:hanging="283"/>
        <w:jc w:val="both"/>
        <w:rPr>
          <w:rFonts w:ascii="Times New Roman" w:hAnsi="Times New Roman" w:cs="Times New Roman"/>
          <w:lang w:val="ru-RU"/>
        </w:rPr>
      </w:pPr>
      <w:r w:rsidRPr="004224F6">
        <w:rPr>
          <w:rFonts w:ascii="Times New Roman" w:hAnsi="Times New Roman" w:cs="Times New Roman"/>
          <w:snapToGrid w:val="0"/>
          <w:szCs w:val="20"/>
          <w:shd w:val="clear" w:color="auto" w:fill="FFFFFF"/>
        </w:rPr>
        <w:sym w:font="Symbol" w:char="F0B7"/>
      </w:r>
      <w:r w:rsidRPr="004224F6">
        <w:rPr>
          <w:rFonts w:ascii="Times New Roman" w:hAnsi="Times New Roman" w:cs="Times New Roman"/>
          <w:lang w:val="ru-RU"/>
        </w:rPr>
        <w:tab/>
        <w:t>свързващи коридори; и</w:t>
      </w:r>
    </w:p>
    <w:p w14:paraId="0531337A" w14:textId="77777777" w:rsidR="00271FA2" w:rsidRPr="004224F6" w:rsidRDefault="00D35E51">
      <w:pPr>
        <w:tabs>
          <w:tab w:val="left" w:pos="992"/>
        </w:tabs>
        <w:spacing w:line="240" w:lineRule="atLeast"/>
        <w:ind w:hanging="283"/>
        <w:jc w:val="both"/>
        <w:rPr>
          <w:rFonts w:ascii="Times New Roman" w:hAnsi="Times New Roman" w:cs="Times New Roman"/>
          <w:snapToGrid w:val="0"/>
          <w:szCs w:val="20"/>
          <w:lang w:val="ru-RU"/>
        </w:rPr>
      </w:pPr>
      <w:r w:rsidRPr="004224F6">
        <w:rPr>
          <w:rFonts w:ascii="Times New Roman" w:hAnsi="Times New Roman" w:cs="Times New Roman"/>
          <w:lang w:val="ru-RU"/>
        </w:rPr>
        <w:t xml:space="preserve">                   •     подходящо адаптирана кабина (само за плавателни съдове с кабини).</w:t>
      </w:r>
    </w:p>
    <w:p w14:paraId="4B908BB6"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Броят на местата за сядане трябва да съответства най-малко приблизително на броя на лицата с намалена подвижност, които за продължителен период, най-често са на борда едновременно. Броят следва да бъде определен от корабособственика въз основа на опита, тъй като това е извън осведомеността на компетентния орган. Броят на местата за лица с намалена подвижност не трябва да бъде по-малък от 1 % (закръглено до най-близкото цяло число) от разрешения брой пътници.</w:t>
      </w:r>
    </w:p>
    <w:p w14:paraId="034CAE65"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При плавателните съдове с каюти трябва да се отдели внимание на свързващите коридори към пътнически каюти, използвани от лица с намалена подвижност. Броят на тези каюти се определя от корабособственика по същия начин като броя на местата за сядане. </w:t>
      </w:r>
    </w:p>
    <w:p w14:paraId="2FCB1409"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Броят на каютите за лица с намалена подвижност не може да бъде по-малък от:</w:t>
      </w:r>
    </w:p>
    <w:p w14:paraId="1CCC71B8"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а) един за кораби с каюти със спални места за максимум 200 пътници;</w:t>
      </w:r>
    </w:p>
    <w:p w14:paraId="6A335F28"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б) две за кораби с каюти със спални места за повече от 200 пътници.</w:t>
      </w:r>
    </w:p>
    <w:p w14:paraId="4FD66E07"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С изключение на ширината на вратите, не се налагат изисквания за специално разположение на кабините. Отговорност на собственика е да направи всички необходими допълнителни мерки. </w:t>
      </w:r>
    </w:p>
    <w:p w14:paraId="7047DCFB" w14:textId="77777777" w:rsidR="00271FA2" w:rsidRPr="004224F6" w:rsidRDefault="00D35E51" w:rsidP="00052BA4">
      <w:pPr>
        <w:spacing w:line="240" w:lineRule="atLeast"/>
        <w:ind w:left="521" w:hangingChars="237" w:hanging="521"/>
        <w:jc w:val="both"/>
        <w:rPr>
          <w:rFonts w:ascii="Times New Roman" w:hAnsi="Times New Roman" w:cs="Times New Roman"/>
          <w:b/>
          <w:snapToGrid w:val="0"/>
          <w:color w:val="000000"/>
          <w:szCs w:val="20"/>
          <w:lang w:val="ru-RU"/>
        </w:rPr>
      </w:pPr>
      <w:r w:rsidRPr="004224F6">
        <w:rPr>
          <w:rFonts w:ascii="Times New Roman" w:hAnsi="Times New Roman" w:cs="Times New Roman"/>
          <w:b/>
          <w:snapToGrid w:val="0"/>
          <w:color w:val="000000"/>
          <w:lang w:val="ru-RU"/>
        </w:rPr>
        <w:t>4.</w:t>
      </w:r>
      <w:r w:rsidRPr="004224F6">
        <w:rPr>
          <w:rFonts w:ascii="Times New Roman" w:hAnsi="Times New Roman" w:cs="Times New Roman"/>
          <w:lang w:val="ru-RU"/>
        </w:rPr>
        <w:tab/>
      </w:r>
      <w:r w:rsidRPr="004224F6">
        <w:rPr>
          <w:rFonts w:ascii="Times New Roman" w:hAnsi="Times New Roman" w:cs="Times New Roman"/>
          <w:b/>
          <w:snapToGrid w:val="0"/>
          <w:color w:val="000000"/>
          <w:lang w:val="ru-RU"/>
        </w:rPr>
        <w:t>Член 19.06, точка 3, буква “ж” — Изходи на помещения</w:t>
      </w:r>
    </w:p>
    <w:p w14:paraId="0FF56C3E"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С оглед на изискванията по отношение на широчината на свързващите коридори, изходите и отворите във фалшборда или леерите, предназначени за използване от лица с намалена подвижност или използвани обикновено за качване или слизане на лица с намалена подвижност, трябва да се вземат предвид бебешките колички и фактът, че хората могат да зависят от различни видове помощни средства за ходене или инвалидни колички. В случая на изходи или отвори за качване или слизане трябва също да се отчете допълнителното пространство, необходимо за помощния персонал.</w:t>
      </w:r>
    </w:p>
    <w:p w14:paraId="55463F18" w14:textId="77777777" w:rsidR="00271FA2" w:rsidRPr="004224F6" w:rsidRDefault="00D35E51">
      <w:pPr>
        <w:spacing w:line="240" w:lineRule="atLeast"/>
        <w:ind w:left="567" w:hanging="567"/>
        <w:rPr>
          <w:rFonts w:ascii="Times New Roman" w:hAnsi="Times New Roman" w:cs="Times New Roman"/>
          <w:b/>
          <w:snapToGrid w:val="0"/>
          <w:color w:val="000000"/>
          <w:szCs w:val="20"/>
          <w:lang w:val="ru-RU"/>
        </w:rPr>
      </w:pPr>
      <w:r w:rsidRPr="004224F6">
        <w:rPr>
          <w:rFonts w:ascii="Times New Roman" w:hAnsi="Times New Roman" w:cs="Times New Roman"/>
          <w:b/>
          <w:snapToGrid w:val="0"/>
          <w:color w:val="000000"/>
          <w:lang w:val="ru-RU"/>
        </w:rPr>
        <w:t>5.</w:t>
      </w:r>
      <w:r w:rsidRPr="004224F6">
        <w:rPr>
          <w:rFonts w:ascii="Times New Roman" w:hAnsi="Times New Roman" w:cs="Times New Roman"/>
          <w:lang w:val="ru-RU"/>
        </w:rPr>
        <w:tab/>
      </w:r>
      <w:r w:rsidRPr="004224F6">
        <w:rPr>
          <w:rFonts w:ascii="Times New Roman" w:hAnsi="Times New Roman" w:cs="Times New Roman"/>
          <w:b/>
          <w:snapToGrid w:val="0"/>
          <w:color w:val="000000"/>
          <w:lang w:val="ru-RU"/>
        </w:rPr>
        <w:t>Член 19.06, точка 4, буква “г” — Врати</w:t>
      </w:r>
    </w:p>
    <w:p w14:paraId="02EF5AE2"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Изискванията по отношение на организирането на зоната около вратите, предназначени за използване от лица с намалена подвижност, трябва да гарантират, че лицата, зависещи например от помощни средства за ходене, могат безопасно да отварят такива врати.</w:t>
      </w:r>
    </w:p>
    <w:p w14:paraId="337E3771" w14:textId="77777777" w:rsidR="00271FA2" w:rsidRPr="004224F6" w:rsidRDefault="00D35E51">
      <w:pPr>
        <w:spacing w:line="240" w:lineRule="atLeast"/>
        <w:ind w:left="567" w:hanging="567"/>
        <w:rPr>
          <w:rFonts w:ascii="Times New Roman" w:hAnsi="Times New Roman" w:cs="Times New Roman"/>
          <w:b/>
          <w:snapToGrid w:val="0"/>
          <w:color w:val="000000"/>
          <w:szCs w:val="20"/>
          <w:lang w:val="ru-RU"/>
        </w:rPr>
      </w:pPr>
      <w:r w:rsidRPr="004224F6">
        <w:rPr>
          <w:rFonts w:ascii="Times New Roman" w:hAnsi="Times New Roman" w:cs="Times New Roman"/>
          <w:b/>
          <w:snapToGrid w:val="0"/>
          <w:color w:val="000000"/>
          <w:lang w:val="ru-RU"/>
        </w:rPr>
        <w:t>6.</w:t>
      </w:r>
      <w:r w:rsidRPr="004224F6">
        <w:rPr>
          <w:rFonts w:ascii="Times New Roman" w:hAnsi="Times New Roman" w:cs="Times New Roman"/>
          <w:lang w:val="ru-RU"/>
        </w:rPr>
        <w:tab/>
      </w:r>
      <w:r w:rsidRPr="004224F6">
        <w:rPr>
          <w:rFonts w:ascii="Times New Roman" w:hAnsi="Times New Roman" w:cs="Times New Roman"/>
          <w:b/>
          <w:snapToGrid w:val="0"/>
          <w:color w:val="000000"/>
          <w:lang w:val="ru-RU"/>
        </w:rPr>
        <w:t>Член 19.06, точка 5, буква “в” — Свързващи коридори</w:t>
      </w:r>
    </w:p>
    <w:p w14:paraId="0C21AB65"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В</w:t>
      </w:r>
      <w:r w:rsidR="004A65C4" w:rsidRPr="004224F6">
        <w:rPr>
          <w:rFonts w:ascii="Times New Roman" w:hAnsi="Times New Roman" w:cs="Times New Roman"/>
          <w:lang w:val="ru-RU"/>
        </w:rPr>
        <w:t>иж</w:t>
      </w:r>
      <w:r w:rsidRPr="004224F6">
        <w:rPr>
          <w:rFonts w:ascii="Times New Roman" w:hAnsi="Times New Roman" w:cs="Times New Roman"/>
          <w:lang w:val="ru-RU"/>
        </w:rPr>
        <w:t xml:space="preserve"> точка 4 от настоящата инструкция.</w:t>
      </w:r>
    </w:p>
    <w:p w14:paraId="02B8F4CC" w14:textId="77777777" w:rsidR="00271FA2" w:rsidRPr="004224F6" w:rsidRDefault="00D35E51">
      <w:pPr>
        <w:spacing w:line="240" w:lineRule="atLeast"/>
        <w:ind w:left="567" w:hanging="567"/>
        <w:rPr>
          <w:rFonts w:ascii="Times New Roman" w:hAnsi="Times New Roman" w:cs="Times New Roman"/>
          <w:b/>
          <w:snapToGrid w:val="0"/>
          <w:color w:val="000000"/>
          <w:szCs w:val="20"/>
          <w:lang w:val="ru-RU"/>
        </w:rPr>
      </w:pPr>
      <w:r w:rsidRPr="004224F6">
        <w:rPr>
          <w:rFonts w:ascii="Times New Roman" w:hAnsi="Times New Roman" w:cs="Times New Roman"/>
          <w:b/>
          <w:snapToGrid w:val="0"/>
          <w:color w:val="000000"/>
          <w:lang w:val="ru-RU"/>
        </w:rPr>
        <w:t>7.</w:t>
      </w:r>
      <w:r w:rsidRPr="004224F6">
        <w:rPr>
          <w:rFonts w:ascii="Times New Roman" w:hAnsi="Times New Roman" w:cs="Times New Roman"/>
          <w:lang w:val="ru-RU"/>
        </w:rPr>
        <w:tab/>
      </w:r>
      <w:r w:rsidRPr="004224F6">
        <w:rPr>
          <w:rFonts w:ascii="Times New Roman" w:hAnsi="Times New Roman" w:cs="Times New Roman"/>
          <w:b/>
          <w:snapToGrid w:val="0"/>
          <w:color w:val="000000"/>
          <w:lang w:val="ru-RU"/>
        </w:rPr>
        <w:t>Член 19.06, точка 9 — Стълбища и асансьори</w:t>
      </w:r>
    </w:p>
    <w:p w14:paraId="0C93E4F1"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Изискванията за уредбата на стълбищата трябва, освен възможна намалена подвижност, да вземат предвид и зрителни недостатъци.</w:t>
      </w:r>
    </w:p>
    <w:p w14:paraId="20C2B930" w14:textId="77777777" w:rsidR="00271FA2" w:rsidRPr="004224F6" w:rsidRDefault="00D35E51">
      <w:pPr>
        <w:tabs>
          <w:tab w:val="left" w:pos="567"/>
        </w:tabs>
        <w:spacing w:line="240" w:lineRule="atLeast"/>
        <w:ind w:left="567" w:hanging="567"/>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8.</w:t>
      </w:r>
      <w:r w:rsidRPr="004224F6">
        <w:rPr>
          <w:rFonts w:ascii="Times New Roman" w:hAnsi="Times New Roman" w:cs="Times New Roman"/>
          <w:lang w:val="ru-RU"/>
        </w:rPr>
        <w:tab/>
      </w:r>
      <w:r w:rsidRPr="004224F6">
        <w:rPr>
          <w:rFonts w:ascii="Times New Roman" w:hAnsi="Times New Roman" w:cs="Times New Roman"/>
          <w:b/>
          <w:snapToGrid w:val="0"/>
          <w:lang w:val="ru-RU"/>
        </w:rPr>
        <w:t>Член 19.06, точка 10, букви “а” и “б” — Фалшбордове и леери</w:t>
      </w:r>
    </w:p>
    <w:p w14:paraId="6947236B"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Изискванията към фалшбордове и леери на палуби, предназначени за използване от лица с намалена подвижност, трябва да осигуряват по-голяма височина, тъй като има по-голяма вероятност такива лица да загубят равновесие или да не успеят да се задържат самостоятелно.</w:t>
      </w:r>
    </w:p>
    <w:p w14:paraId="6926AB47"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lastRenderedPageBreak/>
        <w:t>В</w:t>
      </w:r>
      <w:r w:rsidR="00163B71" w:rsidRPr="004224F6">
        <w:rPr>
          <w:rFonts w:ascii="Times New Roman" w:hAnsi="Times New Roman" w:cs="Times New Roman"/>
          <w:lang w:val="ru-RU"/>
        </w:rPr>
        <w:t>иж</w:t>
      </w:r>
      <w:r w:rsidRPr="004224F6">
        <w:rPr>
          <w:rFonts w:ascii="Times New Roman" w:hAnsi="Times New Roman" w:cs="Times New Roman"/>
          <w:lang w:val="ru-RU"/>
        </w:rPr>
        <w:t xml:space="preserve"> също точка 4 от настоящата инструкция.</w:t>
      </w:r>
    </w:p>
    <w:p w14:paraId="0B85BE6E" w14:textId="77777777" w:rsidR="00271FA2" w:rsidRPr="004224F6" w:rsidRDefault="00D35E51">
      <w:pPr>
        <w:tabs>
          <w:tab w:val="left" w:pos="567"/>
        </w:tabs>
        <w:spacing w:line="240" w:lineRule="atLeast"/>
        <w:ind w:left="567" w:hanging="567"/>
        <w:jc w:val="both"/>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9.</w:t>
      </w:r>
      <w:r w:rsidRPr="004224F6">
        <w:rPr>
          <w:rFonts w:ascii="Times New Roman" w:hAnsi="Times New Roman" w:cs="Times New Roman"/>
          <w:lang w:val="ru-RU"/>
        </w:rPr>
        <w:tab/>
      </w:r>
      <w:r w:rsidRPr="004224F6">
        <w:rPr>
          <w:rFonts w:ascii="Times New Roman" w:hAnsi="Times New Roman" w:cs="Times New Roman"/>
          <w:b/>
          <w:snapToGrid w:val="0"/>
          <w:lang w:val="ru-RU"/>
        </w:rPr>
        <w:t>Член 19.06, точка 13 — Проходи</w:t>
      </w:r>
    </w:p>
    <w:p w14:paraId="24E72A33"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По различни причини лица с намалена подвижност изпитват необходимост да се подпират или държат по-често, затова стените в проходите, предназначени за ползване от лица с намалена подвижност, трябва да са оборудвани с леери на подходяща височина.</w:t>
      </w:r>
    </w:p>
    <w:p w14:paraId="534AAEC2"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В</w:t>
      </w:r>
      <w:r w:rsidR="005462BD" w:rsidRPr="004224F6">
        <w:rPr>
          <w:rFonts w:ascii="Times New Roman" w:hAnsi="Times New Roman" w:cs="Times New Roman"/>
          <w:lang w:val="ru-RU"/>
        </w:rPr>
        <w:t>иж</w:t>
      </w:r>
      <w:r w:rsidRPr="004224F6">
        <w:rPr>
          <w:rFonts w:ascii="Times New Roman" w:hAnsi="Times New Roman" w:cs="Times New Roman"/>
          <w:lang w:val="ru-RU"/>
        </w:rPr>
        <w:t xml:space="preserve"> също точка 4 от настоящата инструкция.</w:t>
      </w:r>
    </w:p>
    <w:p w14:paraId="731F2636" w14:textId="77777777" w:rsidR="00271FA2" w:rsidRPr="004224F6" w:rsidRDefault="00D35E51">
      <w:pPr>
        <w:tabs>
          <w:tab w:val="left" w:pos="567"/>
        </w:tabs>
        <w:spacing w:line="240" w:lineRule="atLeast"/>
        <w:ind w:left="567" w:hanging="567"/>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10.</w:t>
      </w:r>
      <w:r w:rsidRPr="004224F6">
        <w:rPr>
          <w:rFonts w:ascii="Times New Roman" w:hAnsi="Times New Roman" w:cs="Times New Roman"/>
          <w:lang w:val="ru-RU"/>
        </w:rPr>
        <w:tab/>
      </w:r>
      <w:r w:rsidRPr="004224F6">
        <w:rPr>
          <w:rFonts w:ascii="Times New Roman" w:hAnsi="Times New Roman" w:cs="Times New Roman"/>
          <w:b/>
          <w:snapToGrid w:val="0"/>
          <w:lang w:val="ru-RU"/>
        </w:rPr>
        <w:t>Член</w:t>
      </w:r>
      <w:r w:rsidRPr="004224F6">
        <w:rPr>
          <w:rFonts w:ascii="Times New Roman" w:hAnsi="Times New Roman" w:cs="Times New Roman"/>
          <w:b/>
          <w:snapToGrid w:val="0"/>
        </w:rPr>
        <w:t> </w:t>
      </w:r>
      <w:r w:rsidRPr="004224F6">
        <w:rPr>
          <w:rFonts w:ascii="Times New Roman" w:hAnsi="Times New Roman" w:cs="Times New Roman"/>
          <w:b/>
          <w:snapToGrid w:val="0"/>
          <w:lang w:val="ru-RU"/>
        </w:rPr>
        <w:t>19.06, точка 17 — Тоалетни</w:t>
      </w:r>
    </w:p>
    <w:p w14:paraId="0D09C860"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Лицата с намалена подвижност трябва също да могат безопасно да стоят и да се движат в тоалетни, затова най-малко една тоалетна трябва да е приспособена съответно.</w:t>
      </w:r>
    </w:p>
    <w:p w14:paraId="4B58CDEF" w14:textId="77777777" w:rsidR="00271FA2" w:rsidRPr="004224F6" w:rsidRDefault="00D35E51">
      <w:pPr>
        <w:tabs>
          <w:tab w:val="left" w:pos="567"/>
        </w:tabs>
        <w:spacing w:line="240" w:lineRule="atLeast"/>
        <w:ind w:left="567" w:hanging="567"/>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11.</w:t>
      </w:r>
      <w:r w:rsidRPr="004224F6">
        <w:rPr>
          <w:rFonts w:ascii="Times New Roman" w:hAnsi="Times New Roman" w:cs="Times New Roman"/>
          <w:lang w:val="ru-RU"/>
        </w:rPr>
        <w:tab/>
      </w:r>
      <w:r w:rsidRPr="004224F6">
        <w:rPr>
          <w:rFonts w:ascii="Times New Roman" w:hAnsi="Times New Roman" w:cs="Times New Roman"/>
          <w:b/>
          <w:snapToGrid w:val="0"/>
          <w:lang w:val="ru-RU"/>
        </w:rPr>
        <w:t>Член 19.08, точка 3, букви “а” и “б” — Алармена система</w:t>
      </w:r>
    </w:p>
    <w:p w14:paraId="28E13978"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Лицата с намалена подвижност е по-вероятно да попаднат в ситуация, в която зависят от помощта на другите. Поради това в помещения, в които по правило те не могат да бъдат видени от членове на екипажа, обслужващия персонал или пътниците, трябва да е предвидена възможност за задействане на алармен сигнал. Това важи за тоалетни, предназначени за използване от лица с намалена подвижност.</w:t>
      </w:r>
    </w:p>
    <w:p w14:paraId="63667CCB"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 xml:space="preserve">Понятието „лица с намалена подвижност“ включва лица с нарушено зрение или слух. Следователно поне на местата, предназначени за използване от лица с намалена подвижност, алармената система за пътници трябва да осигурява подходящи визуални и звукови алармени сигнали. </w:t>
      </w:r>
    </w:p>
    <w:p w14:paraId="6DCE6D88" w14:textId="77777777" w:rsidR="00271FA2" w:rsidRPr="004224F6" w:rsidRDefault="00D35E51">
      <w:pPr>
        <w:tabs>
          <w:tab w:val="left" w:pos="567"/>
        </w:tabs>
        <w:spacing w:line="240" w:lineRule="atLeast"/>
        <w:ind w:left="567" w:hanging="567"/>
        <w:rPr>
          <w:rFonts w:ascii="Times New Roman" w:hAnsi="Times New Roman" w:cs="Times New Roman"/>
          <w:snapToGrid w:val="0"/>
          <w:szCs w:val="20"/>
          <w:lang w:val="ru-RU"/>
        </w:rPr>
      </w:pPr>
      <w:r w:rsidRPr="004224F6">
        <w:rPr>
          <w:rFonts w:ascii="Times New Roman" w:hAnsi="Times New Roman" w:cs="Times New Roman"/>
          <w:b/>
          <w:snapToGrid w:val="0"/>
          <w:lang w:val="ru-RU"/>
        </w:rPr>
        <w:t>12.</w:t>
      </w:r>
      <w:r w:rsidRPr="004224F6">
        <w:rPr>
          <w:rFonts w:ascii="Times New Roman" w:hAnsi="Times New Roman" w:cs="Times New Roman"/>
          <w:lang w:val="ru-RU"/>
        </w:rPr>
        <w:tab/>
      </w:r>
      <w:r w:rsidRPr="004224F6">
        <w:rPr>
          <w:rFonts w:ascii="Times New Roman" w:hAnsi="Times New Roman" w:cs="Times New Roman"/>
          <w:b/>
          <w:snapToGrid w:val="0"/>
          <w:lang w:val="ru-RU"/>
        </w:rPr>
        <w:t>Член 19.10, точка 3, буква “г” — Достатъчна осветеност</w:t>
      </w:r>
    </w:p>
    <w:p w14:paraId="234CE8ED"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 xml:space="preserve">Понятието „лица с намалена подвижност“ включва лица </w:t>
      </w:r>
      <w:r w:rsidR="004A2857" w:rsidRPr="004224F6">
        <w:rPr>
          <w:rFonts w:ascii="Times New Roman" w:hAnsi="Times New Roman" w:cs="Times New Roman"/>
          <w:lang w:val="ru-RU"/>
        </w:rPr>
        <w:t xml:space="preserve">с нарушено зрение. Поради това </w:t>
      </w:r>
      <w:r w:rsidRPr="004224F6">
        <w:rPr>
          <w:rFonts w:ascii="Times New Roman" w:hAnsi="Times New Roman" w:cs="Times New Roman"/>
          <w:lang w:val="ru-RU"/>
        </w:rPr>
        <w:t>достатъчната осветеност на пространства, предназначени за използване от лица с намалена подвижност, е съществен фактор и трябва да отговаря на по-високи изисквания от осветяването на други пространства за пътниците.</w:t>
      </w:r>
    </w:p>
    <w:p w14:paraId="5890A2F0" w14:textId="77777777" w:rsidR="00271FA2" w:rsidRPr="004224F6" w:rsidRDefault="00D35E51">
      <w:pPr>
        <w:tabs>
          <w:tab w:val="left" w:pos="567"/>
        </w:tabs>
        <w:spacing w:line="240" w:lineRule="atLeast"/>
        <w:ind w:left="567" w:hanging="567"/>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13.</w:t>
      </w:r>
      <w:r w:rsidRPr="004224F6">
        <w:rPr>
          <w:rFonts w:ascii="Times New Roman" w:hAnsi="Times New Roman" w:cs="Times New Roman"/>
          <w:lang w:val="ru-RU"/>
        </w:rPr>
        <w:tab/>
      </w:r>
      <w:r w:rsidRPr="004224F6">
        <w:rPr>
          <w:rFonts w:ascii="Times New Roman" w:hAnsi="Times New Roman" w:cs="Times New Roman"/>
          <w:b/>
          <w:snapToGrid w:val="0"/>
          <w:lang w:val="ru-RU"/>
        </w:rPr>
        <w:t>Член 19.13, точка 1 —Разписание по безопасност</w:t>
      </w:r>
    </w:p>
    <w:p w14:paraId="3FC7BF08"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Специалните мерки за безопасност, необходими за лица с намалена подвижност, които трябва да бъдат взети предвид в разписанието по безопасност, трябва да отчитат както намалената подвижност, така и нарушените слух и зрение. За тези лица трябва да бъдат взети предвид мерки при нормални условия, наред с мерките в случай на извънредни ситуации.</w:t>
      </w:r>
    </w:p>
    <w:p w14:paraId="6CF87AAF" w14:textId="77777777" w:rsidR="00271FA2" w:rsidRPr="004224F6" w:rsidRDefault="00D35E51">
      <w:pPr>
        <w:tabs>
          <w:tab w:val="left" w:pos="567"/>
        </w:tabs>
        <w:spacing w:line="240" w:lineRule="atLeast"/>
        <w:ind w:left="567" w:hanging="567"/>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14.</w:t>
      </w:r>
      <w:r w:rsidRPr="004224F6">
        <w:rPr>
          <w:rFonts w:ascii="Times New Roman" w:hAnsi="Times New Roman" w:cs="Times New Roman"/>
          <w:lang w:val="ru-RU"/>
        </w:rPr>
        <w:tab/>
      </w:r>
      <w:r w:rsidRPr="004224F6">
        <w:rPr>
          <w:rFonts w:ascii="Times New Roman" w:hAnsi="Times New Roman" w:cs="Times New Roman"/>
          <w:b/>
          <w:snapToGrid w:val="0"/>
          <w:lang w:val="ru-RU"/>
        </w:rPr>
        <w:t>Член 19.13, точка 2 — План за безопасност</w:t>
      </w:r>
    </w:p>
    <w:p w14:paraId="1387712E"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Областите, обхванати от точка 3 от настоящата инструкция, трябва да бъдат обозначени.</w:t>
      </w:r>
    </w:p>
    <w:p w14:paraId="4E0DB0E0" w14:textId="77777777" w:rsidR="00271FA2" w:rsidRPr="004224F6" w:rsidRDefault="00D35E51">
      <w:pPr>
        <w:tabs>
          <w:tab w:val="left" w:pos="567"/>
        </w:tabs>
        <w:spacing w:line="240" w:lineRule="atLeast"/>
        <w:ind w:left="567" w:hanging="567"/>
        <w:jc w:val="both"/>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15.</w:t>
      </w:r>
      <w:r w:rsidRPr="004224F6">
        <w:rPr>
          <w:rFonts w:ascii="Times New Roman" w:hAnsi="Times New Roman" w:cs="Times New Roman"/>
          <w:lang w:val="ru-RU"/>
        </w:rPr>
        <w:tab/>
      </w:r>
      <w:r w:rsidRPr="004224F6">
        <w:rPr>
          <w:rFonts w:ascii="Times New Roman" w:hAnsi="Times New Roman" w:cs="Times New Roman"/>
          <w:b/>
          <w:snapToGrid w:val="0"/>
          <w:lang w:val="ru-RU"/>
        </w:rPr>
        <w:t>Член 19.13, точка 3, буква “б” — Показване на разписанието по безопасност и плана за безопасност</w:t>
      </w:r>
    </w:p>
    <w:p w14:paraId="7E475FEE"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Поне екземплярите на разписанията по безопасност и плана за безопасност, изложени в зоните, предназначени за използване от лица с намалена подвижност, трябва да са такива, че където е възможно, да могат да бъдат четени и от лица с нарушено зрение. Това може да се постигне например с подходящо използване на контраста и размера на буквите.</w:t>
      </w:r>
    </w:p>
    <w:p w14:paraId="13383682"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В допълнение плановете се разполагат на такава височина, така че да могат да бъдат четени и от хора в инвалидни колички.</w:t>
      </w:r>
    </w:p>
    <w:p w14:paraId="6E8FD53E" w14:textId="77777777" w:rsidR="00271FA2" w:rsidRPr="004224F6" w:rsidRDefault="00D35E51">
      <w:pPr>
        <w:tabs>
          <w:tab w:val="left" w:pos="567"/>
        </w:tabs>
        <w:spacing w:line="240" w:lineRule="atLeast"/>
        <w:ind w:left="567" w:hanging="567"/>
        <w:jc w:val="both"/>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16.</w:t>
      </w:r>
      <w:r w:rsidRPr="004224F6">
        <w:rPr>
          <w:rFonts w:ascii="Times New Roman" w:hAnsi="Times New Roman" w:cs="Times New Roman"/>
          <w:lang w:val="ru-RU"/>
        </w:rPr>
        <w:tab/>
      </w:r>
      <w:r w:rsidRPr="004224F6">
        <w:rPr>
          <w:rFonts w:ascii="Times New Roman" w:hAnsi="Times New Roman" w:cs="Times New Roman"/>
          <w:b/>
          <w:snapToGrid w:val="0"/>
          <w:lang w:val="ru-RU"/>
        </w:rPr>
        <w:t>Член 19.13, точка 4 — Кодекс за поведение на пътниците</w:t>
      </w:r>
    </w:p>
    <w:p w14:paraId="1EF49852" w14:textId="77777777" w:rsidR="00271FA2" w:rsidRPr="004224F6" w:rsidRDefault="00D35E51">
      <w:pPr>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Точка 15 от настоящата инструкция се прилага съответно.</w:t>
      </w:r>
    </w:p>
    <w:p w14:paraId="288451BD"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7740923A"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49"/>
          <w:footnotePr>
            <w:numRestart w:val="eachPage"/>
          </w:footnotePr>
          <w:pgSz w:w="11907" w:h="16840"/>
          <w:pgMar w:top="1134" w:right="1134" w:bottom="1134" w:left="1134" w:header="709" w:footer="709" w:gutter="0"/>
          <w:cols w:space="720"/>
          <w:docGrid w:linePitch="326"/>
        </w:sectPr>
      </w:pPr>
    </w:p>
    <w:p w14:paraId="0336C1B8" w14:textId="77777777" w:rsidR="00271FA2" w:rsidRPr="004224F6" w:rsidRDefault="00D35E51">
      <w:pPr>
        <w:pStyle w:val="ES-Titre2ESI"/>
        <w:rPr>
          <w:rFonts w:ascii="Times New Roman" w:hAnsi="Times New Roman" w:cs="Times New Roman"/>
          <w:szCs w:val="20"/>
          <w:lang w:val="ru-RU"/>
        </w:rPr>
      </w:pPr>
      <w:bookmarkStart w:id="705" w:name="_Toc491854366"/>
      <w:bookmarkStart w:id="706" w:name="_Toc535827807"/>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-3</w:t>
      </w:r>
      <w:r w:rsidRPr="004224F6">
        <w:rPr>
          <w:rFonts w:ascii="Times New Roman" w:hAnsi="Times New Roman" w:cs="Times New Roman"/>
          <w:lang w:val="ru-RU"/>
        </w:rPr>
        <w:br/>
        <w:t>Здравина на водонепроницаеми прозорци</w:t>
      </w:r>
      <w:bookmarkEnd w:id="705"/>
      <w:bookmarkEnd w:id="706"/>
    </w:p>
    <w:p w14:paraId="66B2730D" w14:textId="77777777" w:rsidR="00271FA2" w:rsidRPr="004224F6" w:rsidRDefault="00D35E51" w:rsidP="00A211DE">
      <w:pPr>
        <w:overflowPunct w:val="0"/>
        <w:adjustRightInd w:val="0"/>
        <w:spacing w:after="240" w:line="240" w:lineRule="atLeast"/>
        <w:jc w:val="center"/>
        <w:textAlignment w:val="baseline"/>
        <w:rPr>
          <w:rFonts w:ascii="Times New Roman" w:hAnsi="Times New Roman" w:cs="Times New Roman"/>
          <w:b/>
          <w:szCs w:val="20"/>
          <w:lang w:val="ru-RU"/>
        </w:rPr>
      </w:pPr>
      <w:r w:rsidRPr="004224F6">
        <w:rPr>
          <w:rFonts w:ascii="Times New Roman" w:hAnsi="Times New Roman" w:cs="Times New Roman"/>
          <w:b/>
          <w:lang w:val="ru-RU"/>
        </w:rPr>
        <w:t>(Член 19.02, точка 16)</w:t>
      </w:r>
    </w:p>
    <w:p w14:paraId="66F4B74E"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Общи положения</w:t>
      </w:r>
    </w:p>
    <w:p w14:paraId="5529064C"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Съгласно член 19.02, точка 16 водонепроницаемите прозорци могат да бъдат разположени под пределната линия, ако са водонепроницаеми, не могат да се отварят, притежават достатъчна здравина и са в съответствие с член 19.06, точка 14.</w:t>
      </w:r>
    </w:p>
    <w:p w14:paraId="21E37F15"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Изграждане на водонепроницаеми прозорци</w:t>
      </w:r>
    </w:p>
    <w:p w14:paraId="2F8F0A91"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Изискванията на член 19.02, точка 16 се считат за изпълнени, ако изграждането на водонепроницаемите прозорци отговаря на следните условия:</w:t>
      </w:r>
    </w:p>
    <w:p w14:paraId="1D953086"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2.1</w:t>
      </w:r>
      <w:r w:rsidRPr="004224F6">
        <w:rPr>
          <w:rFonts w:ascii="Times New Roman" w:hAnsi="Times New Roman" w:cs="Times New Roman"/>
          <w:lang w:val="ru-RU"/>
        </w:rPr>
        <w:tab/>
        <w:t>Само предварително напрегнато стъкло, отговарящо на международен стандарт</w:t>
      </w:r>
    </w:p>
    <w:p w14:paraId="7F7341F8" w14:textId="77777777" w:rsidR="00271FA2" w:rsidRPr="004224F6" w:rsidRDefault="002A0634">
      <w:pPr>
        <w:spacing w:line="240" w:lineRule="atLeast"/>
        <w:ind w:left="567"/>
        <w:jc w:val="both"/>
        <w:rPr>
          <w:rFonts w:ascii="Times New Roman" w:hAnsi="Times New Roman" w:cs="Times New Roman"/>
          <w:lang w:val="ru-RU"/>
        </w:rPr>
      </w:pPr>
      <w:r w:rsidRPr="004224F6">
        <w:rPr>
          <w:rFonts w:ascii="Times New Roman" w:hAnsi="Times New Roman" w:cs="Times New Roman"/>
        </w:rPr>
        <w:t>ISO</w:t>
      </w:r>
      <w:r w:rsidRPr="004224F6">
        <w:rPr>
          <w:rFonts w:ascii="Times New Roman" w:hAnsi="Times New Roman" w:cs="Times New Roman"/>
          <w:lang w:val="ru-RU"/>
        </w:rPr>
        <w:t xml:space="preserve"> 614:</w:t>
      </w:r>
      <w:r w:rsidR="00D35E51" w:rsidRPr="004224F6">
        <w:rPr>
          <w:rFonts w:ascii="Times New Roman" w:hAnsi="Times New Roman" w:cs="Times New Roman"/>
          <w:lang w:val="ru-RU"/>
        </w:rPr>
        <w:t xml:space="preserve">2012, </w:t>
      </w:r>
    </w:p>
    <w:p w14:paraId="03B6B744"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трябва да се използва.</w:t>
      </w:r>
    </w:p>
    <w:p w14:paraId="13A15C09"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2.2</w:t>
      </w:r>
      <w:r w:rsidRPr="004224F6">
        <w:rPr>
          <w:rFonts w:ascii="Times New Roman" w:hAnsi="Times New Roman" w:cs="Times New Roman"/>
          <w:lang w:val="ru-RU"/>
        </w:rPr>
        <w:tab/>
        <w:t>Кръглите прозорци трябва да отговарят на международен стандарт</w:t>
      </w:r>
    </w:p>
    <w:p w14:paraId="30547ED1" w14:textId="77777777" w:rsidR="00271FA2" w:rsidRPr="004224F6" w:rsidRDefault="002A0634">
      <w:pPr>
        <w:spacing w:line="240" w:lineRule="atLeast"/>
        <w:ind w:left="567"/>
        <w:jc w:val="both"/>
        <w:rPr>
          <w:rFonts w:ascii="Times New Roman" w:hAnsi="Times New Roman" w:cs="Times New Roman"/>
          <w:lang w:val="ru-RU"/>
        </w:rPr>
      </w:pPr>
      <w:r w:rsidRPr="004224F6">
        <w:rPr>
          <w:rFonts w:ascii="Times New Roman" w:hAnsi="Times New Roman" w:cs="Times New Roman"/>
        </w:rPr>
        <w:t>ISO</w:t>
      </w:r>
      <w:r w:rsidRPr="004224F6">
        <w:rPr>
          <w:rFonts w:ascii="Times New Roman" w:hAnsi="Times New Roman" w:cs="Times New Roman"/>
          <w:lang w:val="ru-RU"/>
        </w:rPr>
        <w:t xml:space="preserve"> 1751:</w:t>
      </w:r>
      <w:r w:rsidR="00D35E51" w:rsidRPr="004224F6">
        <w:rPr>
          <w:rFonts w:ascii="Times New Roman" w:hAnsi="Times New Roman" w:cs="Times New Roman"/>
          <w:lang w:val="ru-RU"/>
        </w:rPr>
        <w:t xml:space="preserve">2012, </w:t>
      </w:r>
    </w:p>
    <w:p w14:paraId="3491DE96" w14:textId="41614542" w:rsidR="00271FA2" w:rsidRPr="004224F6" w:rsidRDefault="00747BC0">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Тип В</w:t>
      </w:r>
      <w:r w:rsidR="00D35E51" w:rsidRPr="004224F6">
        <w:rPr>
          <w:rFonts w:ascii="Times New Roman" w:hAnsi="Times New Roman" w:cs="Times New Roman"/>
          <w:lang w:val="ru-RU"/>
        </w:rPr>
        <w:t xml:space="preserve"> </w:t>
      </w:r>
      <w:r w:rsidR="008C1DAC" w:rsidRPr="004224F6">
        <w:rPr>
          <w:rFonts w:ascii="Times New Roman" w:hAnsi="Times New Roman" w:cs="Times New Roman"/>
          <w:lang w:val="ru-RU"/>
        </w:rPr>
        <w:t>среден клас прозорци</w:t>
      </w:r>
    </w:p>
    <w:p w14:paraId="5B14DEFB" w14:textId="741A6A98"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Тип: неотваря</w:t>
      </w:r>
      <w:r w:rsidR="008F6D2A" w:rsidRPr="004224F6">
        <w:rPr>
          <w:rFonts w:ascii="Times New Roman" w:hAnsi="Times New Roman" w:cs="Times New Roman"/>
          <w:lang w:val="ru-RU"/>
        </w:rPr>
        <w:t>еми прозорци</w:t>
      </w:r>
      <w:r w:rsidRPr="004224F6">
        <w:rPr>
          <w:rFonts w:ascii="Times New Roman" w:hAnsi="Times New Roman" w:cs="Times New Roman"/>
          <w:lang w:val="ru-RU"/>
        </w:rPr>
        <w:t>.</w:t>
      </w:r>
    </w:p>
    <w:p w14:paraId="4ABB2FC1"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2.3</w:t>
      </w:r>
      <w:r w:rsidRPr="004224F6">
        <w:rPr>
          <w:rFonts w:ascii="Times New Roman" w:hAnsi="Times New Roman" w:cs="Times New Roman"/>
          <w:lang w:val="ru-RU"/>
        </w:rPr>
        <w:tab/>
        <w:t>Прозорците с ъгли трябва да отговарят на международен стандарт</w:t>
      </w:r>
    </w:p>
    <w:p w14:paraId="0A23E086" w14:textId="77777777" w:rsidR="00271FA2" w:rsidRPr="004224F6" w:rsidRDefault="002A0634">
      <w:pPr>
        <w:spacing w:line="240" w:lineRule="atLeast"/>
        <w:ind w:left="567"/>
        <w:jc w:val="both"/>
        <w:rPr>
          <w:rFonts w:ascii="Times New Roman" w:hAnsi="Times New Roman" w:cs="Times New Roman"/>
          <w:lang w:val="ru-RU"/>
        </w:rPr>
      </w:pPr>
      <w:r w:rsidRPr="004224F6">
        <w:rPr>
          <w:rFonts w:ascii="Times New Roman" w:hAnsi="Times New Roman" w:cs="Times New Roman"/>
        </w:rPr>
        <w:t>ISO</w:t>
      </w:r>
      <w:r w:rsidRPr="004224F6">
        <w:rPr>
          <w:rFonts w:ascii="Times New Roman" w:hAnsi="Times New Roman" w:cs="Times New Roman"/>
          <w:lang w:val="ru-RU"/>
        </w:rPr>
        <w:t xml:space="preserve"> 3903:</w:t>
      </w:r>
      <w:r w:rsidR="00D35E51" w:rsidRPr="004224F6">
        <w:rPr>
          <w:rFonts w:ascii="Times New Roman" w:hAnsi="Times New Roman" w:cs="Times New Roman"/>
          <w:lang w:val="ru-RU"/>
        </w:rPr>
        <w:t xml:space="preserve">2012, </w:t>
      </w:r>
    </w:p>
    <w:p w14:paraId="1D692D41" w14:textId="3478374A" w:rsidR="00271FA2" w:rsidRPr="004224F6" w:rsidRDefault="008F6D2A">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Тип </w:t>
      </w:r>
      <w:r w:rsidR="00D35E51" w:rsidRPr="004224F6">
        <w:rPr>
          <w:rFonts w:ascii="Times New Roman" w:hAnsi="Times New Roman" w:cs="Times New Roman"/>
        </w:rPr>
        <w:t>E</w:t>
      </w:r>
      <w:r w:rsidR="00D35E51" w:rsidRPr="004224F6">
        <w:rPr>
          <w:rFonts w:ascii="Times New Roman" w:hAnsi="Times New Roman" w:cs="Times New Roman"/>
          <w:lang w:val="ru-RU"/>
        </w:rPr>
        <w:t xml:space="preserve">: прозорци за тежки условия </w:t>
      </w:r>
    </w:p>
    <w:p w14:paraId="66F9CF68" w14:textId="3A09A389"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Тип: </w:t>
      </w:r>
      <w:r w:rsidR="008F6D2A" w:rsidRPr="004224F6">
        <w:rPr>
          <w:rFonts w:ascii="Times New Roman" w:hAnsi="Times New Roman" w:cs="Times New Roman"/>
          <w:lang w:val="ru-RU"/>
        </w:rPr>
        <w:t>неотвар</w:t>
      </w:r>
      <w:r w:rsidR="00817EB9" w:rsidRPr="004224F6">
        <w:rPr>
          <w:rFonts w:ascii="Times New Roman" w:hAnsi="Times New Roman" w:cs="Times New Roman"/>
          <w:lang w:val="ru-RU"/>
        </w:rPr>
        <w:t>я</w:t>
      </w:r>
      <w:r w:rsidR="008F6D2A" w:rsidRPr="004224F6">
        <w:rPr>
          <w:rFonts w:ascii="Times New Roman" w:hAnsi="Times New Roman" w:cs="Times New Roman"/>
          <w:lang w:val="ru-RU"/>
        </w:rPr>
        <w:t xml:space="preserve">еми </w:t>
      </w:r>
      <w:r w:rsidR="00817EB9" w:rsidRPr="004224F6">
        <w:rPr>
          <w:rFonts w:ascii="Times New Roman" w:hAnsi="Times New Roman" w:cs="Times New Roman"/>
          <w:lang w:val="ru-RU"/>
        </w:rPr>
        <w:t xml:space="preserve"> </w:t>
      </w:r>
      <w:r w:rsidR="008F6D2A" w:rsidRPr="004224F6">
        <w:rPr>
          <w:rFonts w:ascii="Times New Roman" w:hAnsi="Times New Roman" w:cs="Times New Roman"/>
          <w:lang w:val="ru-RU"/>
        </w:rPr>
        <w:t>прозорци</w:t>
      </w:r>
    </w:p>
    <w:p w14:paraId="1896BCD9"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2.4</w:t>
      </w:r>
      <w:r w:rsidRPr="004224F6">
        <w:rPr>
          <w:rFonts w:ascii="Times New Roman" w:hAnsi="Times New Roman" w:cs="Times New Roman"/>
          <w:lang w:val="ru-RU"/>
        </w:rPr>
        <w:tab/>
        <w:t xml:space="preserve">Прозорците, отговарящи на </w:t>
      </w:r>
      <w:r w:rsidRPr="004224F6">
        <w:rPr>
          <w:rFonts w:ascii="Times New Roman" w:hAnsi="Times New Roman" w:cs="Times New Roman"/>
        </w:rPr>
        <w:t>ISO</w:t>
      </w:r>
      <w:r w:rsidRPr="004224F6">
        <w:rPr>
          <w:rFonts w:ascii="Times New Roman" w:hAnsi="Times New Roman" w:cs="Times New Roman"/>
          <w:lang w:val="ru-RU"/>
        </w:rPr>
        <w:t>, могат да се заменят с прозорци, чиято конструкция е еквивалентна най-малко на изискванията по точки 2.1 — 2.3.</w:t>
      </w:r>
    </w:p>
    <w:p w14:paraId="69D7922B" w14:textId="77777777" w:rsidR="00271FA2" w:rsidRPr="004224F6" w:rsidRDefault="00D35E51">
      <w:pPr>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br w:type="page"/>
      </w:r>
    </w:p>
    <w:p w14:paraId="0E0F6473"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50"/>
          <w:footnotePr>
            <w:numRestart w:val="eachPage"/>
          </w:footnotePr>
          <w:pgSz w:w="11907" w:h="16840"/>
          <w:pgMar w:top="1134" w:right="1134" w:bottom="1134" w:left="1134" w:header="709" w:footer="709" w:gutter="0"/>
          <w:cols w:space="720"/>
          <w:docGrid w:linePitch="326"/>
        </w:sectPr>
      </w:pPr>
    </w:p>
    <w:p w14:paraId="7F8D47AC" w14:textId="77777777" w:rsidR="00271FA2" w:rsidRPr="004224F6" w:rsidRDefault="00D35E51">
      <w:pPr>
        <w:pStyle w:val="ES-Titre2ESI"/>
        <w:rPr>
          <w:rFonts w:ascii="Times New Roman" w:hAnsi="Times New Roman" w:cs="Times New Roman"/>
          <w:szCs w:val="20"/>
          <w:lang w:val="ru-RU"/>
        </w:rPr>
      </w:pPr>
      <w:bookmarkStart w:id="707" w:name="_Toc491854367"/>
      <w:bookmarkStart w:id="708" w:name="_Toc535827808"/>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-4</w:t>
      </w:r>
      <w:r w:rsidRPr="004224F6">
        <w:rPr>
          <w:rFonts w:ascii="Times New Roman" w:hAnsi="Times New Roman" w:cs="Times New Roman"/>
          <w:lang w:val="ru-RU"/>
        </w:rPr>
        <w:br/>
        <w:t>Система от указатели за безопасност</w:t>
      </w:r>
      <w:bookmarkEnd w:id="707"/>
      <w:bookmarkEnd w:id="708"/>
      <w:r w:rsidRPr="004224F6">
        <w:rPr>
          <w:rFonts w:ascii="Times New Roman" w:hAnsi="Times New Roman" w:cs="Times New Roman"/>
          <w:lang w:val="ru-RU"/>
        </w:rPr>
        <w:t xml:space="preserve"> </w:t>
      </w:r>
    </w:p>
    <w:p w14:paraId="6A037EA7" w14:textId="77777777" w:rsidR="00271FA2" w:rsidRPr="004224F6" w:rsidRDefault="00D35E51" w:rsidP="00A211DE">
      <w:pPr>
        <w:adjustRightInd w:val="0"/>
        <w:spacing w:after="240" w:line="240" w:lineRule="atLeast"/>
        <w:jc w:val="center"/>
        <w:rPr>
          <w:rFonts w:ascii="Times New Roman" w:hAnsi="Times New Roman" w:cs="Times New Roman"/>
          <w:b/>
          <w:szCs w:val="20"/>
          <w:lang w:val="ru-RU"/>
        </w:rPr>
      </w:pPr>
      <w:r w:rsidRPr="004224F6">
        <w:rPr>
          <w:rFonts w:ascii="Times New Roman" w:hAnsi="Times New Roman" w:cs="Times New Roman"/>
          <w:b/>
          <w:lang w:val="ru-RU"/>
        </w:rPr>
        <w:t>(член 19.06, точка 7; член 29.09, буква “г”)</w:t>
      </w:r>
    </w:p>
    <w:p w14:paraId="231EBF89"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Общи положения</w:t>
      </w:r>
    </w:p>
    <w:p w14:paraId="6DA6AFB3" w14:textId="77777777" w:rsidR="00271FA2" w:rsidRPr="004224F6" w:rsidRDefault="00D35E51">
      <w:pPr>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1.1</w:t>
      </w:r>
      <w:r w:rsidRPr="004224F6">
        <w:rPr>
          <w:rFonts w:ascii="Times New Roman" w:hAnsi="Times New Roman" w:cs="Times New Roman"/>
          <w:lang w:val="ru-RU"/>
        </w:rPr>
        <w:tab/>
        <w:t>Съгласно споменатите по-горе разпоредби пътническите плавателни съдове и високоскоростните плавателни съдове трябва да имат подходящи системи от указатели, осигуряващи ясно разпознаване на маршрутите за евакуация и аварийните изходи, когато нормалното аварийно осветление е по-малко ефективно поради дим. Тези системи от указатели трябва да са под формата на ниско разположено осветление (НРО). Настоящата инструкция обхваща одобряването, монтажа и поддръжката на такива системи.</w:t>
      </w:r>
    </w:p>
    <w:p w14:paraId="2EAF6A6D"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1.2</w:t>
      </w:r>
      <w:r w:rsidRPr="004224F6">
        <w:rPr>
          <w:rFonts w:ascii="Times New Roman" w:hAnsi="Times New Roman" w:cs="Times New Roman"/>
          <w:lang w:val="ru-RU"/>
        </w:rPr>
        <w:tab/>
        <w:t>Освен аварийното осветление, изисквано съгласно член 19.10, точка 3, маршрутите за евакуация, включително стълбища, изходи и аварийни изходи, трябва да са отбелязани с ниско разположено осветление (НРО) през целия маршрут за евакуация, особено на ъгли и пресечни точки.</w:t>
      </w:r>
    </w:p>
    <w:p w14:paraId="1A92AFF1"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1.3</w:t>
      </w:r>
      <w:r w:rsidRPr="004224F6">
        <w:rPr>
          <w:rFonts w:ascii="Times New Roman" w:hAnsi="Times New Roman" w:cs="Times New Roman"/>
          <w:lang w:val="ru-RU"/>
        </w:rPr>
        <w:tab/>
        <w:t>Системата на НРО трябва да функционира най-малко в продължение на 30 минути след задействането си.</w:t>
      </w:r>
    </w:p>
    <w:p w14:paraId="087469F3"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1.4</w:t>
      </w:r>
      <w:r w:rsidRPr="004224F6">
        <w:rPr>
          <w:rFonts w:ascii="Times New Roman" w:hAnsi="Times New Roman" w:cs="Times New Roman"/>
          <w:lang w:val="ru-RU"/>
        </w:rPr>
        <w:tab/>
        <w:t>Продуктите НРО не трябва да са радиоактивни или токсични.</w:t>
      </w:r>
    </w:p>
    <w:p w14:paraId="751147FF" w14:textId="77777777" w:rsidR="00271FA2" w:rsidRPr="004224F6" w:rsidRDefault="00D35E51">
      <w:pPr>
        <w:spacing w:line="240" w:lineRule="atLeast"/>
        <w:ind w:left="567" w:hanging="567"/>
        <w:rPr>
          <w:rFonts w:ascii="Times New Roman" w:hAnsi="Times New Roman" w:cs="Times New Roman"/>
          <w:lang w:val="ru-RU"/>
        </w:rPr>
      </w:pPr>
      <w:r w:rsidRPr="004224F6">
        <w:rPr>
          <w:rFonts w:ascii="Times New Roman" w:hAnsi="Times New Roman" w:cs="Times New Roman"/>
          <w:lang w:val="ru-RU"/>
        </w:rPr>
        <w:t>1.5</w:t>
      </w:r>
      <w:r w:rsidRPr="004224F6">
        <w:rPr>
          <w:rFonts w:ascii="Times New Roman" w:hAnsi="Times New Roman" w:cs="Times New Roman"/>
          <w:lang w:val="ru-RU"/>
        </w:rPr>
        <w:tab/>
        <w:t>Инструкциите за системата на НРО трябва да са изложени заедно с плана за безопасност в съответствие с член 19.13, точка 2 и във всяка каюта.</w:t>
      </w:r>
    </w:p>
    <w:p w14:paraId="3303EEBC"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Определения</w:t>
      </w:r>
    </w:p>
    <w:p w14:paraId="38EA67C2"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2.1</w:t>
      </w:r>
      <w:r w:rsidRPr="004224F6">
        <w:rPr>
          <w:rFonts w:ascii="Times New Roman" w:hAnsi="Times New Roman" w:cs="Times New Roman"/>
          <w:lang w:val="ru-RU"/>
        </w:rPr>
        <w:tab/>
        <w:t>Ниско разположено осветление (НРО) — Електрически захранвано осветление или фотолуминесцентни индикатори, поставени по маршрутите за евакуация, така че да се осигури лесното откриване на тези маршрути.</w:t>
      </w:r>
    </w:p>
    <w:p w14:paraId="139B3F91"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2.2</w:t>
      </w:r>
      <w:r w:rsidRPr="004224F6">
        <w:rPr>
          <w:rFonts w:ascii="Times New Roman" w:hAnsi="Times New Roman" w:cs="Times New Roman"/>
          <w:lang w:val="ru-RU"/>
        </w:rPr>
        <w:tab/>
        <w:t>Фотолуминесцентна (ФЛ) система — Система на НРО, която използва ФЛ материал. Фотолуминесцентният материал съдържа химично вещество (например: цинков сулфид), което има способността да складира енергия, когато е осветено с видима светлина. ФЛ материалът излъчва светлина, която става видима, когато източникът на околна светлина е по-малко ефективен. В отсъствието на източника на светлина, който го „презарежда“, ФЛ материалът отдава натрупаната енергия за определено време, като яркостта намалява.</w:t>
      </w:r>
    </w:p>
    <w:p w14:paraId="45E25918"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2.3</w:t>
      </w:r>
      <w:r w:rsidRPr="004224F6">
        <w:rPr>
          <w:rFonts w:ascii="Times New Roman" w:hAnsi="Times New Roman" w:cs="Times New Roman"/>
          <w:lang w:val="ru-RU"/>
        </w:rPr>
        <w:tab/>
        <w:t>Електрически захранвана (ЕЗ) система — система на НРО, за работата на която е необходима електрическа енергия, като системите, използващи лампи с нажежаема жичка, светодиоди, електролуминесцентни ленти или лампи, електрофлуоресцентни лампи и др.</w:t>
      </w:r>
    </w:p>
    <w:p w14:paraId="1780C922" w14:textId="77777777" w:rsidR="00271FA2" w:rsidRPr="004224F6" w:rsidRDefault="00D35E51">
      <w:pPr>
        <w:tabs>
          <w:tab w:val="left" w:pos="567"/>
        </w:tabs>
        <w:spacing w:line="240" w:lineRule="atLeast"/>
        <w:ind w:left="567" w:hanging="567"/>
        <w:rPr>
          <w:rFonts w:ascii="Times New Roman" w:hAnsi="Times New Roman" w:cs="Times New Roman"/>
          <w:b/>
          <w:lang w:val="ru-RU"/>
        </w:rPr>
      </w:pPr>
      <w:r w:rsidRPr="004224F6">
        <w:rPr>
          <w:rFonts w:ascii="Times New Roman" w:hAnsi="Times New Roman" w:cs="Times New Roman"/>
          <w:b/>
          <w:lang w:val="ru-RU"/>
        </w:rPr>
        <w:t>3.</w:t>
      </w:r>
      <w:r w:rsidRPr="004224F6">
        <w:rPr>
          <w:rFonts w:ascii="Times New Roman" w:hAnsi="Times New Roman" w:cs="Times New Roman"/>
          <w:lang w:val="ru-RU"/>
        </w:rPr>
        <w:tab/>
      </w:r>
      <w:r w:rsidRPr="004224F6">
        <w:rPr>
          <w:rFonts w:ascii="Times New Roman" w:hAnsi="Times New Roman" w:cs="Times New Roman"/>
          <w:b/>
          <w:lang w:val="ru-RU"/>
        </w:rPr>
        <w:t>Проходи и стълбища</w:t>
      </w:r>
    </w:p>
    <w:p w14:paraId="42B0E7E8"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3.1</w:t>
      </w:r>
      <w:r w:rsidRPr="004224F6">
        <w:rPr>
          <w:rFonts w:ascii="Times New Roman" w:hAnsi="Times New Roman" w:cs="Times New Roman"/>
          <w:lang w:val="ru-RU"/>
        </w:rPr>
        <w:tab/>
        <w:t xml:space="preserve">С цел видимо да се очертае маршрутът за евакуация, във всички проходи НРО трябва да е без прекъсвания, освен където е прекъснато от коридори и врати на каюти. Системите на НРО, съответстващи на международен стандарт, които имат видимо очертаване без да бъдат непрекъснати, също са приемливи. НРО се монтира поне от едната страна на коридора или на стената на не повече от 0,3 </w:t>
      </w:r>
      <w:r w:rsidRPr="004224F6">
        <w:rPr>
          <w:rFonts w:ascii="Times New Roman" w:hAnsi="Times New Roman" w:cs="Times New Roman"/>
        </w:rPr>
        <w:t>m</w:t>
      </w:r>
      <w:r w:rsidRPr="004224F6">
        <w:rPr>
          <w:rFonts w:ascii="Times New Roman" w:hAnsi="Times New Roman" w:cs="Times New Roman"/>
          <w:lang w:val="ru-RU"/>
        </w:rPr>
        <w:t xml:space="preserve"> от пода, или на пода, на не повече от 0,15 </w:t>
      </w:r>
      <w:r w:rsidRPr="004224F6">
        <w:rPr>
          <w:rFonts w:ascii="Times New Roman" w:hAnsi="Times New Roman" w:cs="Times New Roman"/>
        </w:rPr>
        <w:t>m</w:t>
      </w:r>
      <w:r w:rsidRPr="004224F6">
        <w:rPr>
          <w:rFonts w:ascii="Times New Roman" w:hAnsi="Times New Roman" w:cs="Times New Roman"/>
          <w:lang w:val="ru-RU"/>
        </w:rPr>
        <w:t xml:space="preserve"> от стената. При коридори, широки повече от два метра, НРО се монтира и от двете страни.</w:t>
      </w:r>
    </w:p>
    <w:p w14:paraId="17BD7EDC" w14:textId="77777777" w:rsidR="00271FA2" w:rsidRPr="004224F6" w:rsidRDefault="00D35E51">
      <w:pPr>
        <w:tabs>
          <w:tab w:val="left" w:pos="567"/>
        </w:tabs>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3.2</w:t>
      </w:r>
      <w:r w:rsidRPr="004224F6">
        <w:rPr>
          <w:rFonts w:ascii="Times New Roman" w:hAnsi="Times New Roman" w:cs="Times New Roman"/>
          <w:lang w:val="ru-RU"/>
        </w:rPr>
        <w:tab/>
        <w:t xml:space="preserve">При коридори без изход НРО трябва да има стрелки, разположени на интервали от не повече от 1 </w:t>
      </w:r>
      <w:r w:rsidRPr="004224F6">
        <w:rPr>
          <w:rFonts w:ascii="Times New Roman" w:hAnsi="Times New Roman" w:cs="Times New Roman"/>
        </w:rPr>
        <w:t>m</w:t>
      </w:r>
      <w:r w:rsidRPr="004224F6">
        <w:rPr>
          <w:rFonts w:ascii="Times New Roman" w:hAnsi="Times New Roman" w:cs="Times New Roman"/>
          <w:lang w:val="ru-RU"/>
        </w:rPr>
        <w:t>, или еквивалентни указатели, сочещи в посоката на маршрута за евакуация.</w:t>
      </w:r>
    </w:p>
    <w:p w14:paraId="5BB86DA6" w14:textId="77777777" w:rsidR="00271FA2" w:rsidRPr="004224F6" w:rsidRDefault="00D35E51">
      <w:pPr>
        <w:tabs>
          <w:tab w:val="left" w:pos="567"/>
        </w:tabs>
        <w:spacing w:line="240" w:lineRule="atLeast"/>
        <w:ind w:left="567" w:hanging="567"/>
        <w:jc w:val="both"/>
        <w:rPr>
          <w:rFonts w:ascii="Times New Roman" w:hAnsi="Times New Roman" w:cs="Times New Roman"/>
          <w:iCs/>
          <w:szCs w:val="20"/>
          <w:lang w:val="ru-RU"/>
        </w:rPr>
      </w:pPr>
      <w:r w:rsidRPr="004224F6">
        <w:rPr>
          <w:rFonts w:ascii="Times New Roman" w:hAnsi="Times New Roman" w:cs="Times New Roman"/>
          <w:lang w:val="ru-RU"/>
        </w:rPr>
        <w:t>3.3</w:t>
      </w:r>
      <w:r w:rsidRPr="004224F6">
        <w:rPr>
          <w:rFonts w:ascii="Times New Roman" w:hAnsi="Times New Roman" w:cs="Times New Roman"/>
          <w:lang w:val="ru-RU"/>
        </w:rPr>
        <w:tab/>
        <w:t xml:space="preserve">На всички стълбища се монтира НРО поне от едната страна на не повече от 0,3 </w:t>
      </w:r>
      <w:r w:rsidRPr="004224F6">
        <w:rPr>
          <w:rFonts w:ascii="Times New Roman" w:hAnsi="Times New Roman" w:cs="Times New Roman"/>
        </w:rPr>
        <w:t>m</w:t>
      </w:r>
      <w:r w:rsidRPr="004224F6">
        <w:rPr>
          <w:rFonts w:ascii="Times New Roman" w:hAnsi="Times New Roman" w:cs="Times New Roman"/>
          <w:lang w:val="ru-RU"/>
        </w:rPr>
        <w:t xml:space="preserve"> над стъпалата, което ще направи леснозабележимо разположението на всяко стъпало за всяко лице, стоящо над или под това стъпало. Ниско разположеното осветление се монтира и от двете страни, ако широчината на стълбището е 2 </w:t>
      </w:r>
      <w:r w:rsidRPr="004224F6">
        <w:rPr>
          <w:rFonts w:ascii="Times New Roman" w:hAnsi="Times New Roman" w:cs="Times New Roman"/>
        </w:rPr>
        <w:t>m</w:t>
      </w:r>
      <w:r w:rsidRPr="004224F6">
        <w:rPr>
          <w:rFonts w:ascii="Times New Roman" w:hAnsi="Times New Roman" w:cs="Times New Roman"/>
          <w:lang w:val="ru-RU"/>
        </w:rPr>
        <w:t xml:space="preserve"> или повече. Най-високото и най-ниското от всяка група стъпала трябва да са обозначени, за да се покаже, че няма повече стъпала.</w:t>
      </w:r>
    </w:p>
    <w:p w14:paraId="4D536E31" w14:textId="77777777" w:rsidR="00271FA2" w:rsidRPr="004224F6" w:rsidRDefault="00D35E51">
      <w:pPr>
        <w:tabs>
          <w:tab w:val="left" w:pos="567"/>
        </w:tabs>
        <w:spacing w:line="240" w:lineRule="atLeast"/>
        <w:ind w:left="567" w:hanging="567"/>
        <w:rPr>
          <w:rFonts w:ascii="Times New Roman" w:hAnsi="Times New Roman" w:cs="Times New Roman"/>
          <w:b/>
          <w:lang w:val="ru-RU"/>
        </w:rPr>
      </w:pPr>
      <w:r w:rsidRPr="004224F6">
        <w:rPr>
          <w:rFonts w:ascii="Times New Roman" w:hAnsi="Times New Roman" w:cs="Times New Roman"/>
          <w:b/>
          <w:lang w:val="ru-RU"/>
        </w:rPr>
        <w:t>4.</w:t>
      </w:r>
      <w:r w:rsidRPr="004224F6">
        <w:rPr>
          <w:rFonts w:ascii="Times New Roman" w:hAnsi="Times New Roman" w:cs="Times New Roman"/>
          <w:lang w:val="ru-RU"/>
        </w:rPr>
        <w:tab/>
      </w:r>
      <w:r w:rsidRPr="004224F6">
        <w:rPr>
          <w:rFonts w:ascii="Times New Roman" w:hAnsi="Times New Roman" w:cs="Times New Roman"/>
          <w:b/>
          <w:lang w:val="ru-RU"/>
        </w:rPr>
        <w:t>Врати</w:t>
      </w:r>
    </w:p>
    <w:p w14:paraId="14B7356E"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lastRenderedPageBreak/>
        <w:t>4.1</w:t>
      </w:r>
      <w:r w:rsidRPr="004224F6">
        <w:rPr>
          <w:rFonts w:ascii="Times New Roman" w:hAnsi="Times New Roman" w:cs="Times New Roman"/>
          <w:lang w:val="ru-RU"/>
        </w:rPr>
        <w:tab/>
        <w:t>Ниско разположеното осветление трябва да води до ръкохватката на изходната врата. За избягване на объркване, други врати не се маркират по подобен начин.</w:t>
      </w:r>
    </w:p>
    <w:p w14:paraId="53897874"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4.2</w:t>
      </w:r>
      <w:r w:rsidRPr="004224F6">
        <w:rPr>
          <w:rFonts w:ascii="Times New Roman" w:hAnsi="Times New Roman" w:cs="Times New Roman"/>
          <w:lang w:val="ru-RU"/>
        </w:rPr>
        <w:tab/>
        <w:t>Там, където в преградните стени са поставени плъзгащи се врати в съответствие с член 19.11, точка 2 и във водонепроницаемите прегради в съответствие с член 19.02, точка 5 се указва посоката на отваряне.</w:t>
      </w:r>
    </w:p>
    <w:p w14:paraId="5BDEDC85" w14:textId="77777777" w:rsidR="00271FA2" w:rsidRPr="004224F6" w:rsidRDefault="00D35E51">
      <w:pPr>
        <w:tabs>
          <w:tab w:val="left" w:pos="567"/>
        </w:tabs>
        <w:spacing w:line="240" w:lineRule="atLeast"/>
        <w:ind w:left="567" w:hanging="567"/>
        <w:jc w:val="both"/>
        <w:rPr>
          <w:rFonts w:ascii="Times New Roman" w:hAnsi="Times New Roman" w:cs="Times New Roman"/>
          <w:b/>
          <w:lang w:val="ru-RU"/>
        </w:rPr>
      </w:pPr>
      <w:r w:rsidRPr="004224F6">
        <w:rPr>
          <w:rFonts w:ascii="Times New Roman" w:hAnsi="Times New Roman" w:cs="Times New Roman"/>
          <w:b/>
          <w:lang w:val="ru-RU"/>
        </w:rPr>
        <w:t>5.</w:t>
      </w:r>
      <w:r w:rsidRPr="004224F6">
        <w:rPr>
          <w:rFonts w:ascii="Times New Roman" w:hAnsi="Times New Roman" w:cs="Times New Roman"/>
          <w:lang w:val="ru-RU"/>
        </w:rPr>
        <w:tab/>
      </w:r>
      <w:r w:rsidRPr="004224F6">
        <w:rPr>
          <w:rFonts w:ascii="Times New Roman" w:hAnsi="Times New Roman" w:cs="Times New Roman"/>
          <w:b/>
          <w:lang w:val="ru-RU"/>
        </w:rPr>
        <w:t>Знаци и маркировки</w:t>
      </w:r>
    </w:p>
    <w:p w14:paraId="0FBEC71E"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5.1</w:t>
      </w:r>
      <w:r w:rsidRPr="004224F6">
        <w:rPr>
          <w:rFonts w:ascii="Times New Roman" w:hAnsi="Times New Roman" w:cs="Times New Roman"/>
          <w:lang w:val="ru-RU"/>
        </w:rPr>
        <w:tab/>
        <w:t>Всички знаци по маршрута за евакуация са от фотолуминесцентен материал или са маркирани с електрическо осветление. Размерите на тези знаци и маркировки трябва да са съизмерими с останалата част на системата на НРО.</w:t>
      </w:r>
    </w:p>
    <w:p w14:paraId="24E9737C"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5.2</w:t>
      </w:r>
      <w:r w:rsidRPr="004224F6">
        <w:rPr>
          <w:rFonts w:ascii="Times New Roman" w:hAnsi="Times New Roman" w:cs="Times New Roman"/>
          <w:lang w:val="ru-RU"/>
        </w:rPr>
        <w:tab/>
        <w:t>Знаци от ниско разположеното осветление за изход трябва да има на всички изходи. Знаците трябва да са разположени в предписаната зона от тази страна на изходните врати, където се намира дръжката.</w:t>
      </w:r>
    </w:p>
    <w:p w14:paraId="2B002E9F"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 xml:space="preserve">5.3 </w:t>
      </w:r>
      <w:r w:rsidRPr="004224F6">
        <w:rPr>
          <w:rFonts w:ascii="Times New Roman" w:hAnsi="Times New Roman" w:cs="Times New Roman"/>
          <w:lang w:val="ru-RU"/>
        </w:rPr>
        <w:tab/>
        <w:t>Всички знаци трябва да са контрастни по цвят спрямо основата (стена или под), на която са монтирани.</w:t>
      </w:r>
    </w:p>
    <w:p w14:paraId="410943AE"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5.4</w:t>
      </w:r>
      <w:r w:rsidRPr="004224F6">
        <w:rPr>
          <w:rFonts w:ascii="Times New Roman" w:hAnsi="Times New Roman" w:cs="Times New Roman"/>
          <w:lang w:val="ru-RU"/>
        </w:rPr>
        <w:tab/>
        <w:t xml:space="preserve">Стандартизирани символи (например тези, описани в Решение </w:t>
      </w:r>
      <w:r w:rsidRPr="004224F6">
        <w:rPr>
          <w:rFonts w:ascii="Times New Roman" w:hAnsi="Times New Roman" w:cs="Times New Roman"/>
        </w:rPr>
        <w:t>A</w:t>
      </w:r>
      <w:r w:rsidRPr="004224F6">
        <w:rPr>
          <w:rFonts w:ascii="Times New Roman" w:hAnsi="Times New Roman" w:cs="Times New Roman"/>
          <w:lang w:val="ru-RU"/>
        </w:rPr>
        <w:t>.760, точка 18 на ИМО) се използват за НРО.</w:t>
      </w:r>
    </w:p>
    <w:p w14:paraId="1B7653B6" w14:textId="77777777" w:rsidR="00271FA2" w:rsidRPr="004224F6" w:rsidRDefault="00D35E51">
      <w:pPr>
        <w:tabs>
          <w:tab w:val="left" w:pos="567"/>
        </w:tabs>
        <w:spacing w:line="240" w:lineRule="atLeast"/>
        <w:ind w:left="567" w:hanging="567"/>
        <w:jc w:val="both"/>
        <w:rPr>
          <w:rFonts w:ascii="Times New Roman" w:hAnsi="Times New Roman" w:cs="Times New Roman"/>
          <w:b/>
          <w:lang w:val="ru-RU"/>
        </w:rPr>
      </w:pPr>
      <w:r w:rsidRPr="004224F6">
        <w:rPr>
          <w:rFonts w:ascii="Times New Roman" w:hAnsi="Times New Roman" w:cs="Times New Roman"/>
          <w:b/>
          <w:lang w:val="ru-RU"/>
        </w:rPr>
        <w:t>6.</w:t>
      </w:r>
      <w:r w:rsidRPr="004224F6">
        <w:rPr>
          <w:rFonts w:ascii="Times New Roman" w:hAnsi="Times New Roman" w:cs="Times New Roman"/>
          <w:lang w:val="ru-RU"/>
        </w:rPr>
        <w:tab/>
      </w:r>
      <w:r w:rsidRPr="004224F6">
        <w:rPr>
          <w:rFonts w:ascii="Times New Roman" w:hAnsi="Times New Roman" w:cs="Times New Roman"/>
          <w:b/>
          <w:lang w:val="ru-RU"/>
        </w:rPr>
        <w:t>Фотолуминесцентни системи</w:t>
      </w:r>
    </w:p>
    <w:p w14:paraId="25763D5E"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6.1</w:t>
      </w:r>
      <w:r w:rsidRPr="004224F6">
        <w:rPr>
          <w:rFonts w:ascii="Times New Roman" w:hAnsi="Times New Roman" w:cs="Times New Roman"/>
          <w:lang w:val="ru-RU"/>
        </w:rPr>
        <w:tab/>
        <w:t>ФЛ лентите трябв</w:t>
      </w:r>
      <w:r w:rsidR="00D00399" w:rsidRPr="004224F6">
        <w:rPr>
          <w:rFonts w:ascii="Times New Roman" w:hAnsi="Times New Roman" w:cs="Times New Roman"/>
          <w:lang w:val="ru-RU"/>
        </w:rPr>
        <w:t xml:space="preserve">а да са не по-тесни от 0,075 </w:t>
      </w:r>
      <w:r w:rsidR="00D00399" w:rsidRPr="004224F6">
        <w:rPr>
          <w:rFonts w:ascii="Times New Roman" w:hAnsi="Times New Roman" w:cs="Times New Roman"/>
        </w:rPr>
        <w:t>m</w:t>
      </w:r>
      <w:r w:rsidR="00D00399" w:rsidRPr="004224F6">
        <w:rPr>
          <w:rFonts w:ascii="Times New Roman" w:hAnsi="Times New Roman" w:cs="Times New Roman"/>
          <w:lang w:val="ru-RU"/>
        </w:rPr>
        <w:t>.</w:t>
      </w:r>
      <w:r w:rsidRPr="004224F6">
        <w:rPr>
          <w:rFonts w:ascii="Times New Roman" w:hAnsi="Times New Roman" w:cs="Times New Roman"/>
          <w:lang w:val="ru-RU"/>
        </w:rPr>
        <w:t xml:space="preserve"> Въпреки това могат да се използват по-тесни ленти, ако яркостта им е увеличена пропорционално, за да се компенсира широчината.</w:t>
      </w:r>
    </w:p>
    <w:p w14:paraId="441D073B"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6.2</w:t>
      </w:r>
      <w:r w:rsidRPr="004224F6">
        <w:rPr>
          <w:rFonts w:ascii="Times New Roman" w:hAnsi="Times New Roman" w:cs="Times New Roman"/>
          <w:lang w:val="ru-RU"/>
        </w:rPr>
        <w:tab/>
        <w:t xml:space="preserve">Фотолуминесцентните материали трябва да осигуряват най-малко 15 </w:t>
      </w:r>
      <w:r w:rsidRPr="004224F6">
        <w:rPr>
          <w:rFonts w:ascii="Times New Roman" w:hAnsi="Times New Roman" w:cs="Times New Roman"/>
        </w:rPr>
        <w:t>mcd</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vertAlign w:val="superscript"/>
          <w:lang w:val="ru-RU"/>
        </w:rPr>
        <w:t>2</w:t>
      </w:r>
      <w:r w:rsidRPr="004224F6">
        <w:rPr>
          <w:rFonts w:ascii="Times New Roman" w:hAnsi="Times New Roman" w:cs="Times New Roman"/>
          <w:lang w:val="ru-RU"/>
        </w:rPr>
        <w:t xml:space="preserve">, измерени 10 минути след отстраняването на всички външни осветяващи източници. След това системата трябва да продължи да осигурява яркост над 2 </w:t>
      </w:r>
      <w:r w:rsidRPr="004224F6">
        <w:rPr>
          <w:rFonts w:ascii="Times New Roman" w:hAnsi="Times New Roman" w:cs="Times New Roman"/>
        </w:rPr>
        <w:t>mcd</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vertAlign w:val="superscript"/>
          <w:lang w:val="ru-RU"/>
        </w:rPr>
        <w:t>2</w:t>
      </w:r>
      <w:r w:rsidRPr="004224F6">
        <w:rPr>
          <w:rFonts w:ascii="Times New Roman" w:hAnsi="Times New Roman" w:cs="Times New Roman"/>
          <w:lang w:val="ru-RU"/>
        </w:rPr>
        <w:t xml:space="preserve"> в продължение на 20 минути.</w:t>
      </w:r>
    </w:p>
    <w:p w14:paraId="28AB323C"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6.3</w:t>
      </w:r>
      <w:r w:rsidRPr="004224F6">
        <w:rPr>
          <w:rFonts w:ascii="Times New Roman" w:hAnsi="Times New Roman" w:cs="Times New Roman"/>
          <w:lang w:val="ru-RU"/>
        </w:rPr>
        <w:tab/>
        <w:t>На всички материали за ФЛ система се осигурява ниво на околна осветеност, което е не по-ниско от минимално необходимото за зареждане на ФЛ материала, така че да отговори на горните изисквания за яркост.</w:t>
      </w:r>
    </w:p>
    <w:p w14:paraId="4AB2EC6E" w14:textId="77777777" w:rsidR="00271FA2" w:rsidRPr="004224F6" w:rsidRDefault="00D35E51">
      <w:pPr>
        <w:tabs>
          <w:tab w:val="left" w:pos="567"/>
        </w:tabs>
        <w:spacing w:line="240" w:lineRule="atLeast"/>
        <w:ind w:left="567" w:hanging="567"/>
        <w:rPr>
          <w:rFonts w:ascii="Times New Roman" w:hAnsi="Times New Roman" w:cs="Times New Roman"/>
          <w:b/>
          <w:lang w:val="ru-RU"/>
        </w:rPr>
      </w:pPr>
      <w:r w:rsidRPr="004224F6">
        <w:rPr>
          <w:rFonts w:ascii="Times New Roman" w:hAnsi="Times New Roman" w:cs="Times New Roman"/>
          <w:b/>
          <w:lang w:val="ru-RU"/>
        </w:rPr>
        <w:t>7.</w:t>
      </w:r>
      <w:r w:rsidRPr="004224F6">
        <w:rPr>
          <w:rFonts w:ascii="Times New Roman" w:hAnsi="Times New Roman" w:cs="Times New Roman"/>
          <w:lang w:val="ru-RU"/>
        </w:rPr>
        <w:tab/>
      </w:r>
      <w:r w:rsidRPr="004224F6">
        <w:rPr>
          <w:rFonts w:ascii="Times New Roman" w:hAnsi="Times New Roman" w:cs="Times New Roman"/>
          <w:b/>
          <w:lang w:val="ru-RU"/>
        </w:rPr>
        <w:t>Системи с електрическо захранване</w:t>
      </w:r>
    </w:p>
    <w:p w14:paraId="4D25207C"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7.1</w:t>
      </w:r>
      <w:r w:rsidRPr="004224F6">
        <w:rPr>
          <w:rFonts w:ascii="Times New Roman" w:hAnsi="Times New Roman" w:cs="Times New Roman"/>
          <w:lang w:val="ru-RU"/>
        </w:rPr>
        <w:tab/>
        <w:t>Системите с електрическо захранване се свързват към аварийното разпределително табло, изисквано съгласно член 19.10, точка 4, така че при нормални условия да се захранват от главния източник на електроенергия, а също и от аварийния източник на електроенергия, когато последният е задействан. За целите на оразмеряване на капацитета на аварийния източник на електроенергия системите с ЕЗ се включват в списъка на аварийните консуматори.</w:t>
      </w:r>
    </w:p>
    <w:p w14:paraId="245C1DCC"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7.2</w:t>
      </w:r>
      <w:r w:rsidRPr="004224F6">
        <w:rPr>
          <w:rFonts w:ascii="Times New Roman" w:hAnsi="Times New Roman" w:cs="Times New Roman"/>
          <w:lang w:val="ru-RU"/>
        </w:rPr>
        <w:tab/>
        <w:t>Системите с електрическо захранване трябва или да се включват или автоматично, или да могат да се включат посредством едно единствено действие от поста за управление.</w:t>
      </w:r>
    </w:p>
    <w:p w14:paraId="7CEFF266"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7.3</w:t>
      </w:r>
      <w:r w:rsidRPr="004224F6">
        <w:rPr>
          <w:rFonts w:ascii="Times New Roman" w:hAnsi="Times New Roman" w:cs="Times New Roman"/>
          <w:lang w:val="ru-RU"/>
        </w:rPr>
        <w:tab/>
        <w:t xml:space="preserve">Когато са монтирани системи с електрическо захранване, се прилагат следните стандарти за яркост: </w:t>
      </w:r>
    </w:p>
    <w:p w14:paraId="1C332459" w14:textId="77777777" w:rsidR="00271FA2" w:rsidRPr="004224F6" w:rsidRDefault="00D35E51">
      <w:pPr>
        <w:tabs>
          <w:tab w:val="left" w:pos="567"/>
          <w:tab w:val="left" w:pos="992"/>
        </w:tabs>
        <w:spacing w:line="240" w:lineRule="atLeast"/>
        <w:ind w:left="992" w:hanging="425"/>
        <w:jc w:val="both"/>
        <w:rPr>
          <w:rFonts w:ascii="Times New Roman" w:hAnsi="Times New Roman" w:cs="Times New Roman"/>
          <w:lang w:val="ru-RU"/>
        </w:rPr>
      </w:pPr>
      <w:r w:rsidRPr="004224F6">
        <w:rPr>
          <w:rFonts w:ascii="Times New Roman" w:hAnsi="Times New Roman" w:cs="Times New Roman"/>
          <w:lang w:val="ru-RU"/>
        </w:rPr>
        <w:t>1.</w:t>
      </w:r>
      <w:r w:rsidRPr="004224F6">
        <w:rPr>
          <w:rFonts w:ascii="Times New Roman" w:hAnsi="Times New Roman" w:cs="Times New Roman"/>
          <w:lang w:val="ru-RU"/>
        </w:rPr>
        <w:tab/>
        <w:t xml:space="preserve">активните части на системи с електрическо захранване трябва да имат минимална яркост от 10 </w:t>
      </w:r>
      <w:r w:rsidRPr="004224F6">
        <w:rPr>
          <w:rFonts w:ascii="Times New Roman" w:hAnsi="Times New Roman" w:cs="Times New Roman"/>
        </w:rPr>
        <w:t>cd</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vertAlign w:val="superscript"/>
          <w:lang w:val="ru-RU"/>
        </w:rPr>
        <w:t>2</w:t>
      </w:r>
      <w:r w:rsidRPr="004224F6">
        <w:rPr>
          <w:rFonts w:ascii="Times New Roman" w:hAnsi="Times New Roman" w:cs="Times New Roman"/>
          <w:lang w:val="ru-RU"/>
        </w:rPr>
        <w:t>;</w:t>
      </w:r>
    </w:p>
    <w:p w14:paraId="71063662" w14:textId="77777777" w:rsidR="00271FA2" w:rsidRPr="004224F6" w:rsidRDefault="00D35E51">
      <w:pPr>
        <w:tabs>
          <w:tab w:val="left" w:pos="567"/>
          <w:tab w:val="left" w:pos="992"/>
        </w:tabs>
        <w:spacing w:line="240" w:lineRule="atLeast"/>
        <w:ind w:left="992" w:hanging="425"/>
        <w:jc w:val="both"/>
        <w:rPr>
          <w:rFonts w:ascii="Times New Roman" w:hAnsi="Times New Roman" w:cs="Times New Roman"/>
          <w:lang w:val="ru-RU"/>
        </w:rPr>
      </w:pPr>
      <w:r w:rsidRPr="004224F6">
        <w:rPr>
          <w:rFonts w:ascii="Times New Roman" w:hAnsi="Times New Roman" w:cs="Times New Roman"/>
          <w:lang w:val="ru-RU"/>
        </w:rPr>
        <w:t>2.</w:t>
      </w:r>
      <w:r w:rsidRPr="004224F6">
        <w:rPr>
          <w:rFonts w:ascii="Times New Roman" w:hAnsi="Times New Roman" w:cs="Times New Roman"/>
          <w:lang w:val="ru-RU"/>
        </w:rPr>
        <w:tab/>
        <w:t xml:space="preserve">точковите източници от миниатюрни лампи с нажежаема жичка трябва да осигурявят най-малко 150 </w:t>
      </w:r>
      <w:r w:rsidRPr="004224F6">
        <w:rPr>
          <w:rFonts w:ascii="Times New Roman" w:hAnsi="Times New Roman" w:cs="Times New Roman"/>
        </w:rPr>
        <w:t>mcd</w:t>
      </w:r>
      <w:r w:rsidRPr="004224F6">
        <w:rPr>
          <w:rFonts w:ascii="Times New Roman" w:hAnsi="Times New Roman" w:cs="Times New Roman"/>
          <w:lang w:val="ru-RU"/>
        </w:rPr>
        <w:t xml:space="preserve"> средна сферична интензивност с разстояние между лампите не повече от 0,1 </w:t>
      </w:r>
      <w:r w:rsidRPr="004224F6">
        <w:rPr>
          <w:rFonts w:ascii="Times New Roman" w:hAnsi="Times New Roman" w:cs="Times New Roman"/>
        </w:rPr>
        <w:t>m</w:t>
      </w:r>
      <w:r w:rsidRPr="004224F6">
        <w:rPr>
          <w:rFonts w:ascii="Times New Roman" w:hAnsi="Times New Roman" w:cs="Times New Roman"/>
          <w:lang w:val="ru-RU"/>
        </w:rPr>
        <w:t>;</w:t>
      </w:r>
    </w:p>
    <w:p w14:paraId="16613574" w14:textId="77777777" w:rsidR="00271FA2" w:rsidRPr="004224F6" w:rsidRDefault="00D35E51">
      <w:pPr>
        <w:tabs>
          <w:tab w:val="left" w:pos="567"/>
          <w:tab w:val="left" w:pos="992"/>
        </w:tabs>
        <w:spacing w:line="240" w:lineRule="atLeast"/>
        <w:ind w:left="992" w:hanging="425"/>
        <w:jc w:val="both"/>
        <w:rPr>
          <w:rFonts w:ascii="Times New Roman" w:hAnsi="Times New Roman" w:cs="Times New Roman"/>
          <w:lang w:val="ru-RU"/>
        </w:rPr>
      </w:pPr>
      <w:r w:rsidRPr="004224F6">
        <w:rPr>
          <w:rFonts w:ascii="Times New Roman" w:hAnsi="Times New Roman" w:cs="Times New Roman"/>
          <w:lang w:val="ru-RU"/>
        </w:rPr>
        <w:t>3.</w:t>
      </w:r>
      <w:r w:rsidRPr="004224F6">
        <w:rPr>
          <w:rFonts w:ascii="Times New Roman" w:hAnsi="Times New Roman" w:cs="Times New Roman"/>
          <w:lang w:val="ru-RU"/>
        </w:rPr>
        <w:tab/>
        <w:t xml:space="preserve">точковите източници от светодиоди трябва да имат минимална пикова интензивност от 35 </w:t>
      </w:r>
      <w:r w:rsidRPr="004224F6">
        <w:rPr>
          <w:rFonts w:ascii="Times New Roman" w:hAnsi="Times New Roman" w:cs="Times New Roman"/>
        </w:rPr>
        <w:t>mcd</w:t>
      </w:r>
      <w:r w:rsidRPr="004224F6">
        <w:rPr>
          <w:rFonts w:ascii="Times New Roman" w:hAnsi="Times New Roman" w:cs="Times New Roman"/>
          <w:lang w:val="ru-RU"/>
        </w:rPr>
        <w:t xml:space="preserve">. Ъгълът на конуса на двукратно намаляване на интензивността трябва да е подходящ за вероятните посоки на подход и гледане към трасето. Разстоянието между лампите трябва да е не повече от 0,3 </w:t>
      </w:r>
      <w:r w:rsidRPr="004224F6">
        <w:rPr>
          <w:rFonts w:ascii="Times New Roman" w:hAnsi="Times New Roman" w:cs="Times New Roman"/>
        </w:rPr>
        <w:t>m</w:t>
      </w:r>
      <w:r w:rsidRPr="004224F6">
        <w:rPr>
          <w:rFonts w:ascii="Times New Roman" w:hAnsi="Times New Roman" w:cs="Times New Roman"/>
          <w:lang w:val="ru-RU"/>
        </w:rPr>
        <w:t>; и</w:t>
      </w:r>
    </w:p>
    <w:p w14:paraId="2A4C73B1" w14:textId="77777777" w:rsidR="00271FA2" w:rsidRPr="004224F6" w:rsidRDefault="00D35E51">
      <w:pPr>
        <w:tabs>
          <w:tab w:val="left" w:pos="567"/>
          <w:tab w:val="left" w:pos="992"/>
        </w:tabs>
        <w:spacing w:line="240" w:lineRule="atLeast"/>
        <w:ind w:left="992" w:hanging="425"/>
        <w:jc w:val="both"/>
        <w:rPr>
          <w:rFonts w:ascii="Times New Roman" w:hAnsi="Times New Roman" w:cs="Times New Roman"/>
          <w:lang w:val="ru-RU"/>
        </w:rPr>
      </w:pPr>
      <w:r w:rsidRPr="004224F6">
        <w:rPr>
          <w:rFonts w:ascii="Times New Roman" w:hAnsi="Times New Roman" w:cs="Times New Roman"/>
          <w:lang w:val="ru-RU"/>
        </w:rPr>
        <w:lastRenderedPageBreak/>
        <w:t>4.</w:t>
      </w:r>
      <w:r w:rsidRPr="004224F6">
        <w:rPr>
          <w:rFonts w:ascii="Times New Roman" w:hAnsi="Times New Roman" w:cs="Times New Roman"/>
          <w:lang w:val="ru-RU"/>
        </w:rPr>
        <w:tab/>
        <w:t>при електролуминесцентни системи те трябва да функционират в продължение на 30 минути от момента на прекъсване на главното захранване, към което е трябвало да бъдат свързани съгласно раздел 7.1.</w:t>
      </w:r>
    </w:p>
    <w:p w14:paraId="51FF0AE4"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7.4</w:t>
      </w:r>
      <w:r w:rsidRPr="004224F6">
        <w:rPr>
          <w:rFonts w:ascii="Times New Roman" w:hAnsi="Times New Roman" w:cs="Times New Roman"/>
          <w:lang w:val="ru-RU"/>
        </w:rPr>
        <w:tab/>
        <w:t>Всяка система с ЕЗ трябва да е устроена, така че отказът на който и да е светлинен източник, осветителна лента или батерия да не направи маркировката неефективна.</w:t>
      </w:r>
    </w:p>
    <w:p w14:paraId="4051B282"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7.5</w:t>
      </w:r>
      <w:r w:rsidRPr="004224F6">
        <w:rPr>
          <w:rFonts w:ascii="Times New Roman" w:hAnsi="Times New Roman" w:cs="Times New Roman"/>
          <w:lang w:val="ru-RU"/>
        </w:rPr>
        <w:tab/>
        <w:t>Системите с електрическо захранване трябва да отговарят на изискванията от член 10.19 за изпитване за вибрации и топлина. Чрез дерогация от член 10.19, точка 2, буква “в” изпитването на топлина може да се проведе при еталонна околна температура от 40°</w:t>
      </w:r>
      <w:r w:rsidRPr="004224F6">
        <w:rPr>
          <w:rFonts w:ascii="Times New Roman" w:hAnsi="Times New Roman" w:cs="Times New Roman"/>
        </w:rPr>
        <w:t>C</w:t>
      </w:r>
      <w:r w:rsidRPr="004224F6">
        <w:rPr>
          <w:rFonts w:ascii="Times New Roman" w:hAnsi="Times New Roman" w:cs="Times New Roman"/>
          <w:lang w:val="ru-RU"/>
        </w:rPr>
        <w:t>.</w:t>
      </w:r>
    </w:p>
    <w:p w14:paraId="1939EB5D"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7.6</w:t>
      </w:r>
      <w:r w:rsidRPr="004224F6">
        <w:rPr>
          <w:rFonts w:ascii="Times New Roman" w:hAnsi="Times New Roman" w:cs="Times New Roman"/>
          <w:lang w:val="ru-RU"/>
        </w:rPr>
        <w:tab/>
        <w:t>Системите с електрическо захранване трябва да изпълняват изискванията за електромагнитна съвместимост, определени в член 10.20.</w:t>
      </w:r>
    </w:p>
    <w:p w14:paraId="5E0702DC"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7.7</w:t>
      </w:r>
      <w:r w:rsidRPr="004224F6">
        <w:rPr>
          <w:rFonts w:ascii="Times New Roman" w:hAnsi="Times New Roman" w:cs="Times New Roman"/>
          <w:lang w:val="ru-RU"/>
        </w:rPr>
        <w:tab/>
        <w:t xml:space="preserve">Системите с електрическо захранване трябва да предоставят тип минимална защита от клас </w:t>
      </w:r>
      <w:r w:rsidRPr="004224F6">
        <w:rPr>
          <w:rFonts w:ascii="Times New Roman" w:hAnsi="Times New Roman" w:cs="Times New Roman"/>
        </w:rPr>
        <w:t>I</w:t>
      </w:r>
      <w:r w:rsidR="0013705F" w:rsidRPr="004224F6">
        <w:rPr>
          <w:rFonts w:ascii="Times New Roman" w:hAnsi="Times New Roman" w:cs="Times New Roman"/>
        </w:rPr>
        <w:t>P</w:t>
      </w:r>
      <w:r w:rsidR="0013705F" w:rsidRPr="004224F6">
        <w:rPr>
          <w:rFonts w:ascii="Times New Roman" w:hAnsi="Times New Roman" w:cs="Times New Roman"/>
          <w:lang w:val="ru-RU"/>
        </w:rPr>
        <w:t xml:space="preserve"> 55 в съответствие с Е</w:t>
      </w:r>
      <w:r w:rsidRPr="004224F6">
        <w:rPr>
          <w:rFonts w:ascii="Times New Roman" w:hAnsi="Times New Roman" w:cs="Times New Roman"/>
          <w:lang w:val="ru-RU"/>
        </w:rPr>
        <w:t xml:space="preserve">вропейски стандарт </w:t>
      </w:r>
      <w:r w:rsidRPr="004224F6">
        <w:rPr>
          <w:rFonts w:ascii="Times New Roman" w:hAnsi="Times New Roman" w:cs="Times New Roman"/>
        </w:rPr>
        <w:t>EN</w:t>
      </w:r>
      <w:r w:rsidRPr="004224F6">
        <w:rPr>
          <w:rFonts w:ascii="Times New Roman" w:hAnsi="Times New Roman" w:cs="Times New Roman"/>
          <w:lang w:val="ru-RU"/>
        </w:rPr>
        <w:t xml:space="preserve"> 60529:2014.</w:t>
      </w:r>
    </w:p>
    <w:p w14:paraId="4E0594FA" w14:textId="77777777" w:rsidR="00271FA2" w:rsidRPr="004224F6" w:rsidRDefault="00D35E51">
      <w:pPr>
        <w:tabs>
          <w:tab w:val="left" w:pos="567"/>
        </w:tabs>
        <w:spacing w:line="240" w:lineRule="atLeast"/>
        <w:ind w:left="567" w:hanging="567"/>
        <w:rPr>
          <w:rFonts w:ascii="Times New Roman" w:hAnsi="Times New Roman" w:cs="Times New Roman"/>
          <w:b/>
          <w:lang w:val="ru-RU"/>
        </w:rPr>
      </w:pPr>
      <w:r w:rsidRPr="004224F6">
        <w:rPr>
          <w:rFonts w:ascii="Times New Roman" w:hAnsi="Times New Roman" w:cs="Times New Roman"/>
          <w:b/>
          <w:lang w:val="ru-RU"/>
        </w:rPr>
        <w:t>8.</w:t>
      </w:r>
      <w:r w:rsidRPr="004224F6">
        <w:rPr>
          <w:rFonts w:ascii="Times New Roman" w:hAnsi="Times New Roman" w:cs="Times New Roman"/>
          <w:lang w:val="ru-RU"/>
        </w:rPr>
        <w:tab/>
      </w:r>
      <w:r w:rsidRPr="004224F6">
        <w:rPr>
          <w:rFonts w:ascii="Times New Roman" w:hAnsi="Times New Roman" w:cs="Times New Roman"/>
          <w:b/>
          <w:lang w:val="ru-RU"/>
        </w:rPr>
        <w:t>Приемно изпитване</w:t>
      </w:r>
    </w:p>
    <w:p w14:paraId="4731199B"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8.1</w:t>
      </w:r>
      <w:r w:rsidRPr="004224F6">
        <w:rPr>
          <w:rFonts w:ascii="Times New Roman" w:hAnsi="Times New Roman" w:cs="Times New Roman"/>
          <w:lang w:val="ru-RU"/>
        </w:rPr>
        <w:tab/>
        <w:t>Яркостта на НРО се проверява от експерт</w:t>
      </w:r>
    </w:p>
    <w:p w14:paraId="41B02088" w14:textId="2849081D" w:rsidR="00271FA2" w:rsidRPr="004224F6" w:rsidRDefault="00D35E51" w:rsidP="00A211DE">
      <w:pPr>
        <w:tabs>
          <w:tab w:val="left" w:pos="567"/>
        </w:tabs>
        <w:spacing w:line="240" w:lineRule="atLeast"/>
        <w:ind w:left="567"/>
        <w:jc w:val="both"/>
        <w:rPr>
          <w:rFonts w:ascii="Times New Roman" w:hAnsi="Times New Roman" w:cs="Times New Roman"/>
          <w:lang w:val="ru-RU"/>
        </w:rPr>
      </w:pPr>
      <w:r w:rsidRPr="004224F6">
        <w:rPr>
          <w:rFonts w:ascii="Times New Roman" w:hAnsi="Times New Roman" w:cs="Times New Roman"/>
        </w:rPr>
        <w:t>a</w:t>
      </w:r>
      <w:r w:rsidR="00A211DE" w:rsidRPr="004224F6">
        <w:rPr>
          <w:rFonts w:ascii="Times New Roman" w:hAnsi="Times New Roman" w:cs="Times New Roman"/>
          <w:lang w:val="ru-RU"/>
        </w:rPr>
        <w:t xml:space="preserve">) </w:t>
      </w:r>
      <w:r w:rsidRPr="004224F6">
        <w:rPr>
          <w:rFonts w:ascii="Times New Roman" w:hAnsi="Times New Roman" w:cs="Times New Roman"/>
          <w:lang w:val="ru-RU"/>
        </w:rPr>
        <w:t>преди първоначално пускане в експлоатация;</w:t>
      </w:r>
    </w:p>
    <w:p w14:paraId="1CDCD75A" w14:textId="5CC92D7D" w:rsidR="00271FA2" w:rsidRPr="004224F6" w:rsidRDefault="00A211DE" w:rsidP="00A211DE">
      <w:pPr>
        <w:tabs>
          <w:tab w:val="left" w:pos="567"/>
        </w:tabs>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б) </w:t>
      </w:r>
      <w:r w:rsidR="00D35E51" w:rsidRPr="004224F6">
        <w:rPr>
          <w:rFonts w:ascii="Times New Roman" w:hAnsi="Times New Roman" w:cs="Times New Roman"/>
          <w:lang w:val="ru-RU"/>
        </w:rPr>
        <w:t>преди повторно пускане в експлоатация след всяко по-съществено изменение или ремонт;</w:t>
      </w:r>
    </w:p>
    <w:p w14:paraId="5F3E5848" w14:textId="06CA88F2" w:rsidR="00271FA2" w:rsidRPr="004224F6" w:rsidRDefault="00A211DE" w:rsidP="00A211DE">
      <w:pPr>
        <w:tabs>
          <w:tab w:val="left" w:pos="567"/>
        </w:tabs>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 xml:space="preserve">в) </w:t>
      </w:r>
      <w:r w:rsidR="00D35E51" w:rsidRPr="004224F6">
        <w:rPr>
          <w:rFonts w:ascii="Times New Roman" w:hAnsi="Times New Roman" w:cs="Times New Roman"/>
          <w:lang w:val="ru-RU"/>
        </w:rPr>
        <w:t>редовно, най-малко на всеки пет години,</w:t>
      </w:r>
    </w:p>
    <w:p w14:paraId="75CDB205" w14:textId="77777777" w:rsidR="00271FA2" w:rsidRPr="004224F6" w:rsidRDefault="00D35E51" w:rsidP="00A211DE">
      <w:pPr>
        <w:tabs>
          <w:tab w:val="left" w:pos="567"/>
        </w:tabs>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Проверките, посочени в буква “в” по-горе, могат да бъдат извършвани и от компетентно лице, преминало обучение за системи от указатели за безопасност.</w:t>
      </w:r>
    </w:p>
    <w:p w14:paraId="6F337149" w14:textId="77777777" w:rsidR="00271FA2" w:rsidRPr="004224F6" w:rsidRDefault="00D35E51" w:rsidP="00A211DE">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8.2</w:t>
      </w:r>
      <w:r w:rsidRPr="004224F6">
        <w:rPr>
          <w:rFonts w:ascii="Times New Roman" w:hAnsi="Times New Roman" w:cs="Times New Roman"/>
          <w:lang w:val="ru-RU"/>
        </w:rPr>
        <w:tab/>
        <w:t>За проверката се издава сертификат, подписан от експерта или компетентното лице, като се посочва датата на проверката.</w:t>
      </w:r>
    </w:p>
    <w:p w14:paraId="238DE6F2" w14:textId="77777777" w:rsidR="00271FA2" w:rsidRPr="004224F6" w:rsidRDefault="00D35E51">
      <w:pPr>
        <w:tabs>
          <w:tab w:val="left" w:pos="567"/>
        </w:tabs>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8.3</w:t>
      </w:r>
      <w:r w:rsidRPr="004224F6">
        <w:rPr>
          <w:rFonts w:ascii="Times New Roman" w:hAnsi="Times New Roman" w:cs="Times New Roman"/>
          <w:lang w:val="ru-RU"/>
        </w:rPr>
        <w:tab/>
        <w:t>Ако стойността на яркостта от конкретен отчет не отговаря на изискванията на настоящата инструкция, се правят отчитания на поне десет места на равни разстояния едно от друго. Ако повече от 30 % от отчетите не отговарят на изискванията на настоящата инструкция, системите от указатели за безопасност се подменят. Ако между 20 и 30 % от отчетите не отговарят на изискванията на настоящата инструкция, системите от указатели за безопасност се проверяват отново в рамките на една година.</w:t>
      </w:r>
    </w:p>
    <w:p w14:paraId="15E19B46"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0B0E793E"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51"/>
          <w:footnotePr>
            <w:numRestart w:val="eachPage"/>
          </w:footnotePr>
          <w:pgSz w:w="11907" w:h="16840"/>
          <w:pgMar w:top="1134" w:right="1134" w:bottom="1134" w:left="1134" w:header="709" w:footer="709" w:gutter="0"/>
          <w:cols w:space="720"/>
          <w:docGrid w:linePitch="326"/>
        </w:sectPr>
      </w:pPr>
    </w:p>
    <w:p w14:paraId="454DE477" w14:textId="77777777" w:rsidR="00271FA2" w:rsidRPr="004224F6" w:rsidRDefault="00D35E51">
      <w:pPr>
        <w:pStyle w:val="ES-Titre2ESI"/>
        <w:rPr>
          <w:rFonts w:ascii="Times New Roman" w:hAnsi="Times New Roman" w:cs="Times New Roman"/>
          <w:szCs w:val="20"/>
          <w:lang w:val="ru-RU"/>
        </w:rPr>
      </w:pPr>
      <w:bookmarkStart w:id="709" w:name="_Toc491854368"/>
      <w:bookmarkStart w:id="710" w:name="_Toc535827809"/>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-5</w:t>
      </w:r>
      <w:r w:rsidRPr="004224F6">
        <w:rPr>
          <w:rFonts w:ascii="Times New Roman" w:hAnsi="Times New Roman" w:cs="Times New Roman"/>
          <w:lang w:val="ru-RU"/>
        </w:rPr>
        <w:br/>
        <w:t>Подходящо оборудване за сигнализиране за наличието на газ</w:t>
      </w:r>
      <w:bookmarkEnd w:id="709"/>
      <w:bookmarkEnd w:id="710"/>
    </w:p>
    <w:p w14:paraId="584271C3" w14:textId="77777777" w:rsidR="00271FA2" w:rsidRPr="004224F6" w:rsidRDefault="00D35E51" w:rsidP="00A211DE">
      <w:pPr>
        <w:overflowPunct w:val="0"/>
        <w:adjustRightInd w:val="0"/>
        <w:spacing w:after="240" w:line="240" w:lineRule="atLeast"/>
        <w:jc w:val="center"/>
        <w:rPr>
          <w:rFonts w:ascii="Times New Roman" w:hAnsi="Times New Roman" w:cs="Times New Roman"/>
          <w:b/>
          <w:lang w:val="ru-RU"/>
        </w:rPr>
      </w:pPr>
      <w:r w:rsidRPr="004224F6">
        <w:rPr>
          <w:rFonts w:ascii="Times New Roman" w:hAnsi="Times New Roman" w:cs="Times New Roman"/>
          <w:b/>
          <w:lang w:val="ru-RU"/>
        </w:rPr>
        <w:t>(член 19.15, точка 8)</w:t>
      </w:r>
    </w:p>
    <w:p w14:paraId="08131917" w14:textId="77777777" w:rsidR="00271FA2" w:rsidRPr="004224F6" w:rsidRDefault="00D35E51" w:rsidP="00A211DE">
      <w:pPr>
        <w:overflowPunct w:val="0"/>
        <w:adjustRightInd w:val="0"/>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w:t>
      </w:r>
      <w:r w:rsidRPr="004224F6">
        <w:rPr>
          <w:rFonts w:ascii="Times New Roman" w:hAnsi="Times New Roman" w:cs="Times New Roman"/>
          <w:lang w:val="ru-RU"/>
        </w:rPr>
        <w:tab/>
        <w:t xml:space="preserve">В съответствие с раздели 32.02, точка 2 и 32.05, точка 5 (във всеки случай преходна разпоредба към член 19.01, точка 2, буква “д”) системи с втечнен газ за домашни цели на борда на съществуващи пътнически съдове след 1 януари 2045 г. могат да се използват само до първото подновяване на Корабното удостоверение за вътрешно корабоплаване, при условие че е налично оборудване за сигнализиране на наличието на газ в съответствие с член 19.15, точка 8. В съответствие с член 19.15, точка 9 системите с втечнен газ за домашни цели ще могат в бъдеще да се монтират също и на пътнически съдове, които се пускат в експлоатация за пръв път и чиято дължина не надвишава 45 </w:t>
      </w:r>
      <w:r w:rsidRPr="004224F6">
        <w:rPr>
          <w:rFonts w:ascii="Times New Roman" w:hAnsi="Times New Roman" w:cs="Times New Roman"/>
        </w:rPr>
        <w:t>m</w:t>
      </w:r>
      <w:r w:rsidRPr="004224F6">
        <w:rPr>
          <w:rFonts w:ascii="Times New Roman" w:hAnsi="Times New Roman" w:cs="Times New Roman"/>
          <w:lang w:val="ru-RU"/>
        </w:rPr>
        <w:t>, ако едновременно с това е монтирано такова оборудване за сигнализиране на наличието на газ.</w:t>
      </w:r>
    </w:p>
    <w:p w14:paraId="5FB63343"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2.</w:t>
      </w:r>
      <w:r w:rsidRPr="004224F6">
        <w:rPr>
          <w:rFonts w:ascii="Times New Roman" w:hAnsi="Times New Roman" w:cs="Times New Roman"/>
          <w:lang w:val="ru-RU"/>
        </w:rPr>
        <w:tab/>
        <w:t>В съответствие с член 32.02, точка 2 и член 32.05, точка 5 (във всеки случай преходна разпоредба към член 19.15, точка 8) това оборудване за сигнализиране на наличието на газ се монтира също при първото подновяване на удостоверението в съответствие с член 17.15.</w:t>
      </w:r>
    </w:p>
    <w:p w14:paraId="6BD97C1C"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w:t>
      </w:r>
      <w:r w:rsidRPr="004224F6">
        <w:rPr>
          <w:rFonts w:ascii="Times New Roman" w:hAnsi="Times New Roman" w:cs="Times New Roman"/>
          <w:lang w:val="ru-RU"/>
        </w:rPr>
        <w:tab/>
        <w:t>Оборудването за сигнализиране на наличието на газ се състои от датчици, оборудване и тръби и се счита за подходящо, ако отговаря най-малко на следните изисквания:</w:t>
      </w:r>
    </w:p>
    <w:p w14:paraId="117B3829"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3.1</w:t>
      </w:r>
      <w:r w:rsidRPr="004224F6">
        <w:rPr>
          <w:rFonts w:ascii="Times New Roman" w:hAnsi="Times New Roman" w:cs="Times New Roman"/>
          <w:lang w:val="ru-RU"/>
        </w:rPr>
        <w:tab/>
        <w:t>Изисквания, на които трябва да отговаря системата (датчици, оборудване, тръби):</w:t>
      </w:r>
    </w:p>
    <w:p w14:paraId="3F262548"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3.1.1</w:t>
      </w:r>
      <w:r w:rsidRPr="004224F6">
        <w:rPr>
          <w:rFonts w:ascii="Times New Roman" w:hAnsi="Times New Roman" w:cs="Times New Roman"/>
          <w:lang w:val="ru-RU"/>
        </w:rPr>
        <w:tab/>
        <w:t>Сигнализирането на наличие на газ става най-късно, когато бъде достигната или надхвърлена една от следните стойности:</w:t>
      </w:r>
    </w:p>
    <w:p w14:paraId="35711153" w14:textId="77777777" w:rsidR="00271FA2" w:rsidRPr="004224F6" w:rsidRDefault="00D35E51" w:rsidP="00A211DE">
      <w:pPr>
        <w:tabs>
          <w:tab w:val="left" w:pos="1134"/>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10 % от долната граница на взривяемост (ДГВ) на пропановъздушната смес; и</w:t>
      </w:r>
    </w:p>
    <w:p w14:paraId="4DB272A5" w14:textId="77777777" w:rsidR="00271FA2" w:rsidRPr="004224F6" w:rsidRDefault="00D35E51" w:rsidP="00A211DE">
      <w:pPr>
        <w:tabs>
          <w:tab w:val="left" w:pos="1134"/>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б)</w:t>
      </w:r>
      <w:r w:rsidRPr="004224F6">
        <w:rPr>
          <w:rFonts w:ascii="Times New Roman" w:hAnsi="Times New Roman" w:cs="Times New Roman"/>
          <w:lang w:val="ru-RU"/>
        </w:rPr>
        <w:tab/>
        <w:t xml:space="preserve">30 </w:t>
      </w:r>
      <w:r w:rsidRPr="004224F6">
        <w:rPr>
          <w:rFonts w:ascii="Times New Roman" w:hAnsi="Times New Roman" w:cs="Times New Roman"/>
        </w:rPr>
        <w:t>ppm</w:t>
      </w:r>
      <w:r w:rsidRPr="004224F6">
        <w:rPr>
          <w:rFonts w:ascii="Times New Roman" w:hAnsi="Times New Roman" w:cs="Times New Roman"/>
          <w:lang w:val="ru-RU"/>
        </w:rPr>
        <w:t xml:space="preserve"> </w:t>
      </w:r>
      <w:r w:rsidRPr="004224F6">
        <w:rPr>
          <w:rFonts w:ascii="Times New Roman" w:hAnsi="Times New Roman" w:cs="Times New Roman"/>
        </w:rPr>
        <w:t>CO</w:t>
      </w:r>
      <w:r w:rsidRPr="004224F6">
        <w:rPr>
          <w:rFonts w:ascii="Times New Roman" w:hAnsi="Times New Roman" w:cs="Times New Roman"/>
          <w:lang w:val="ru-RU"/>
        </w:rPr>
        <w:t xml:space="preserve"> (въглероден моноксид).</w:t>
      </w:r>
    </w:p>
    <w:p w14:paraId="51E50772" w14:textId="77777777" w:rsidR="00271FA2" w:rsidRPr="004224F6" w:rsidRDefault="00D35E51" w:rsidP="00A211DE">
      <w:pPr>
        <w:overflowPunct w:val="0"/>
        <w:adjustRightInd w:val="0"/>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3.1.2</w:t>
      </w:r>
      <w:r w:rsidRPr="004224F6">
        <w:rPr>
          <w:rFonts w:ascii="Times New Roman" w:hAnsi="Times New Roman" w:cs="Times New Roman"/>
          <w:lang w:val="ru-RU"/>
        </w:rPr>
        <w:tab/>
        <w:t xml:space="preserve">Времето за задействане на алармения сигнал за цялата система трябва да не надхвърля 20 </w:t>
      </w:r>
      <w:r w:rsidRPr="004224F6">
        <w:rPr>
          <w:rFonts w:ascii="Times New Roman" w:hAnsi="Times New Roman" w:cs="Times New Roman"/>
        </w:rPr>
        <w:t>s</w:t>
      </w:r>
      <w:r w:rsidRPr="004224F6">
        <w:rPr>
          <w:rFonts w:ascii="Times New Roman" w:hAnsi="Times New Roman" w:cs="Times New Roman"/>
          <w:lang w:val="ru-RU"/>
        </w:rPr>
        <w:t>.</w:t>
      </w:r>
    </w:p>
    <w:p w14:paraId="5A5B82A5"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3.1.3</w:t>
      </w:r>
      <w:r w:rsidRPr="004224F6">
        <w:rPr>
          <w:rFonts w:ascii="Times New Roman" w:hAnsi="Times New Roman" w:cs="Times New Roman"/>
          <w:lang w:val="ru-RU"/>
        </w:rPr>
        <w:tab/>
        <w:t>Не трябва да е възможно пределните стойности, споменати в точки 3.1.1 и 3.1.2, да се променят.</w:t>
      </w:r>
    </w:p>
    <w:p w14:paraId="03AFD2CE"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3.1.4</w:t>
      </w:r>
      <w:r w:rsidRPr="004224F6">
        <w:rPr>
          <w:rFonts w:ascii="Times New Roman" w:hAnsi="Times New Roman" w:cs="Times New Roman"/>
          <w:lang w:val="ru-RU"/>
        </w:rPr>
        <w:tab/>
        <w:t>Пускането на газ при изпитването се прави, така че да се открива всяко прекъсване или запушване. Всяко смущение поради проникване на въздух или загуба на изпитващ газ вследствие теч трябва да се избягва или открива и докладва.</w:t>
      </w:r>
    </w:p>
    <w:p w14:paraId="0B36DAAB"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3.1.5</w:t>
      </w:r>
      <w:r w:rsidRPr="004224F6">
        <w:rPr>
          <w:rFonts w:ascii="Times New Roman" w:hAnsi="Times New Roman" w:cs="Times New Roman"/>
          <w:lang w:val="ru-RU"/>
        </w:rPr>
        <w:tab/>
        <w:t>Оборудването трябва да е проектирано за температури, вариращи от -10 до +40</w:t>
      </w:r>
      <w:r w:rsidRPr="004224F6">
        <w:rPr>
          <w:rFonts w:ascii="Times New Roman" w:hAnsi="Times New Roman" w:cs="Times New Roman"/>
        </w:rPr>
        <w:t> C</w:t>
      </w:r>
      <w:r w:rsidRPr="004224F6">
        <w:rPr>
          <w:rFonts w:ascii="Times New Roman" w:hAnsi="Times New Roman" w:cs="Times New Roman"/>
          <w:lang w:val="ru-RU"/>
        </w:rPr>
        <w:t xml:space="preserve"> и влажност на въздуха, варираща от 20 до 100</w:t>
      </w:r>
      <w:r w:rsidRPr="004224F6">
        <w:rPr>
          <w:rFonts w:ascii="Times New Roman" w:hAnsi="Times New Roman" w:cs="Times New Roman"/>
        </w:rPr>
        <w:t> </w:t>
      </w:r>
      <w:r w:rsidRPr="004224F6">
        <w:rPr>
          <w:rFonts w:ascii="Times New Roman" w:hAnsi="Times New Roman" w:cs="Times New Roman"/>
          <w:lang w:val="ru-RU"/>
        </w:rPr>
        <w:t>%.</w:t>
      </w:r>
    </w:p>
    <w:p w14:paraId="526F7D94"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3.1.6</w:t>
      </w:r>
      <w:r w:rsidRPr="004224F6">
        <w:rPr>
          <w:rFonts w:ascii="Times New Roman" w:hAnsi="Times New Roman" w:cs="Times New Roman"/>
          <w:lang w:val="ru-RU"/>
        </w:rPr>
        <w:tab/>
        <w:t>Оборудването за сигнализиране на наличието на газ трябва самó да следи за своето състояние. Не трябва да е възможно неразрешеното изключване на оборудването.</w:t>
      </w:r>
    </w:p>
    <w:p w14:paraId="1A317E18"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3.1.7</w:t>
      </w:r>
      <w:r w:rsidRPr="004224F6">
        <w:rPr>
          <w:rFonts w:ascii="Times New Roman" w:hAnsi="Times New Roman" w:cs="Times New Roman"/>
          <w:lang w:val="ru-RU"/>
        </w:rPr>
        <w:tab/>
        <w:t>Оборудването за сигнализиране на наличието на газ, захранено от бордовата електрозахранваща мрежа, трябва да има буфер срещу спиране на електрозахранването. Уредите, захранвани от акумулатори, трябва да имат устройство, показващо спадането на напрежението на акумулаторите.</w:t>
      </w:r>
    </w:p>
    <w:p w14:paraId="77BF24B3"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3.2</w:t>
      </w:r>
      <w:r w:rsidRPr="004224F6">
        <w:rPr>
          <w:rFonts w:ascii="Times New Roman" w:hAnsi="Times New Roman" w:cs="Times New Roman"/>
          <w:lang w:val="ru-RU"/>
        </w:rPr>
        <w:tab/>
        <w:t>Изисквания, на които трябва да отговаря оборудването:</w:t>
      </w:r>
    </w:p>
    <w:p w14:paraId="7AEFD9E4"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3.2.1</w:t>
      </w:r>
      <w:r w:rsidRPr="004224F6">
        <w:rPr>
          <w:rFonts w:ascii="Times New Roman" w:hAnsi="Times New Roman" w:cs="Times New Roman"/>
          <w:lang w:val="ru-RU"/>
        </w:rPr>
        <w:tab/>
        <w:t>Оборудването трябва да се състои от устройство за оценка и показване.</w:t>
      </w:r>
    </w:p>
    <w:p w14:paraId="5E86EB33"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3.2.2</w:t>
      </w:r>
      <w:r w:rsidRPr="004224F6">
        <w:rPr>
          <w:rFonts w:ascii="Times New Roman" w:hAnsi="Times New Roman" w:cs="Times New Roman"/>
          <w:lang w:val="ru-RU"/>
        </w:rPr>
        <w:tab/>
        <w:t>Сигнализацията, показваща, че са достигнати или надхвърлени пределните стойности от точка 3.1.1, букви “</w:t>
      </w:r>
      <w:r w:rsidRPr="004224F6">
        <w:rPr>
          <w:rFonts w:ascii="Times New Roman" w:hAnsi="Times New Roman" w:cs="Times New Roman"/>
        </w:rPr>
        <w:t>a</w:t>
      </w:r>
      <w:r w:rsidRPr="004224F6">
        <w:rPr>
          <w:rFonts w:ascii="Times New Roman" w:hAnsi="Times New Roman" w:cs="Times New Roman"/>
          <w:lang w:val="ru-RU"/>
        </w:rPr>
        <w:t>” и “б”, се подава зрително или звуково, както в наблюдаваното помещение, така и в рулевата рубка или на всяко друго място с постоянно присъствие на екипаж. Тя трябва да може да се вижда и чува ясно дори при условия на експлоатация с най-високо ниво на шума. Тя трябва ясно да се различава от всеки друг звуков или светлинен сигнал в защитеното помещение. Звуковата сигнализация трябва също да се чува ясно във входните пространства и в съседните помещения при затворени свързващи врати.</w:t>
      </w:r>
    </w:p>
    <w:p w14:paraId="78F9E89A"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lastRenderedPageBreak/>
        <w:tab/>
        <w:t xml:space="preserve">Звуковата сигнализация може да се изключи след активирането, светлинната сигнализация може да спре, само ако пределните стойности спаднат под тези, посочени в точка 3.1.1. </w:t>
      </w:r>
    </w:p>
    <w:p w14:paraId="265D5D6C"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3.2.3</w:t>
      </w:r>
      <w:r w:rsidRPr="004224F6">
        <w:rPr>
          <w:rFonts w:ascii="Times New Roman" w:hAnsi="Times New Roman" w:cs="Times New Roman"/>
          <w:lang w:val="ru-RU"/>
        </w:rPr>
        <w:tab/>
        <w:t xml:space="preserve">Трябва да е възможно поотделно да се открият и ясно да се определят съобщенията, показващи, че пределните стойности от точка 3.1.1, букви “а” и “б” са били достигнати или надхвърлени. </w:t>
      </w:r>
    </w:p>
    <w:p w14:paraId="66D5CD47"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3.2.4</w:t>
      </w:r>
      <w:r w:rsidRPr="004224F6">
        <w:rPr>
          <w:rFonts w:ascii="Times New Roman" w:hAnsi="Times New Roman" w:cs="Times New Roman"/>
          <w:lang w:val="ru-RU"/>
        </w:rPr>
        <w:tab/>
        <w:t>Ако уредът е в специално състояние (стартиране, отказ, калибровка, настройка, поддържане и др.), това трябва да се показва. Отказът на цялата система или на един от елементите трябва да се указва със сигнал по аналогия на точка 3.2.2. Звуковата сигнализация може да се изключва след активиране, светлинната сигнализация може да бъде спряна, само ако проблемът е отстранен.</w:t>
      </w:r>
    </w:p>
    <w:p w14:paraId="3330FCDA"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3.2.5</w:t>
      </w:r>
      <w:r w:rsidRPr="004224F6">
        <w:rPr>
          <w:rFonts w:ascii="Times New Roman" w:hAnsi="Times New Roman" w:cs="Times New Roman"/>
          <w:lang w:val="ru-RU"/>
        </w:rPr>
        <w:tab/>
        <w:t>Ако е възможно да се генерират различни съобщения (пределни стойности, специално състояние), също трябва да е възможно те да се разграничат поотделно и да се определят ясно. Ако е необходимо, може да се изобрази колективен сигнал, показващ, че не е възможно да бъдат показани всички съобщения. В този случай съобщенията трябва да се подреждат по приоритет, като се започне със съобщението с най-голямо значение за безопасността. Изобразяването на съобщенията, които не могат да бъдат показани, трябва да е възможно с натискането на бутон. Подреждането по приоритет трябва да е ясно от документацията на уреда.</w:t>
      </w:r>
    </w:p>
    <w:p w14:paraId="79610BC9"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3.2.6</w:t>
      </w:r>
      <w:r w:rsidRPr="004224F6">
        <w:rPr>
          <w:rFonts w:ascii="Times New Roman" w:hAnsi="Times New Roman" w:cs="Times New Roman"/>
          <w:lang w:val="ru-RU"/>
        </w:rPr>
        <w:tab/>
        <w:t>Оборудването трябва да е проектирано, така че да не е възможно неразрешено вмешателство.</w:t>
      </w:r>
    </w:p>
    <w:p w14:paraId="1B0E20FF"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3.2.7</w:t>
      </w:r>
      <w:r w:rsidRPr="004224F6">
        <w:rPr>
          <w:rFonts w:ascii="Times New Roman" w:hAnsi="Times New Roman" w:cs="Times New Roman"/>
          <w:lang w:val="ru-RU"/>
        </w:rPr>
        <w:tab/>
        <w:t>При всички случаи, когато се използва оборудване за откриване и известяване, блокът за управление на алармената сигнализация и устройството за показване трябва да могат да се обслужват извън местата, съдържащи складиран газ и уреди, които използват газ.</w:t>
      </w:r>
    </w:p>
    <w:p w14:paraId="08149D99"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3.3</w:t>
      </w:r>
      <w:r w:rsidRPr="004224F6">
        <w:rPr>
          <w:rFonts w:ascii="Times New Roman" w:hAnsi="Times New Roman" w:cs="Times New Roman"/>
          <w:lang w:val="ru-RU"/>
        </w:rPr>
        <w:tab/>
        <w:t>Изисквания, на които трябва да отговарят датчиците/устройствата за вземане на проби:</w:t>
      </w:r>
    </w:p>
    <w:p w14:paraId="19EEAA96"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3.3.1</w:t>
      </w:r>
      <w:r w:rsidRPr="004224F6">
        <w:rPr>
          <w:rFonts w:ascii="Times New Roman" w:hAnsi="Times New Roman" w:cs="Times New Roman"/>
          <w:lang w:val="ru-RU"/>
        </w:rPr>
        <w:tab/>
        <w:t>Във всяко помещение с уреди, използващи газ, датчиците на оборудването за сигнализиране на наличието на газ трябва да са разположени в близост до тези уреди. Датчиците/устройствата за вземане на проби се монтират по такъв начин, че натрупването на газ да се открива, преди да се достигнат пределните стойности, посочени в точка 3.1.1. Разположението и монтажът на датчиците трябва да са документирани. Изборът на местоположенията трябва да е обяснен от производителя или специализираното дружество, което монтира оборудването. Тръбите на устройствата за вземане на проби трябва да бъдат възможно най-къси.</w:t>
      </w:r>
    </w:p>
    <w:p w14:paraId="7412F237"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3.3.2</w:t>
      </w:r>
      <w:r w:rsidRPr="004224F6">
        <w:rPr>
          <w:rFonts w:ascii="Times New Roman" w:hAnsi="Times New Roman" w:cs="Times New Roman"/>
          <w:lang w:val="ru-RU"/>
        </w:rPr>
        <w:tab/>
        <w:t>Датчиците трябва да са леснодостъпни за редовното им калибриране, поддържане и проверки за безопасност.</w:t>
      </w:r>
    </w:p>
    <w:p w14:paraId="15E30AE4"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3.4</w:t>
      </w:r>
      <w:r w:rsidRPr="004224F6">
        <w:rPr>
          <w:rFonts w:ascii="Times New Roman" w:hAnsi="Times New Roman" w:cs="Times New Roman"/>
          <w:lang w:val="ru-RU"/>
        </w:rPr>
        <w:tab/>
        <w:t>Изисквания, на които трябва да отговаря съоръжението:</w:t>
      </w:r>
    </w:p>
    <w:p w14:paraId="42257750"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3.4.1</w:t>
      </w:r>
      <w:r w:rsidRPr="004224F6">
        <w:rPr>
          <w:rFonts w:ascii="Times New Roman" w:hAnsi="Times New Roman" w:cs="Times New Roman"/>
          <w:lang w:val="ru-RU"/>
        </w:rPr>
        <w:tab/>
        <w:t>Цялото оборудване за сигнализиране на наличието на газ се монтира от специализирана фирма.</w:t>
      </w:r>
    </w:p>
    <w:p w14:paraId="325F1187"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3.4.2</w:t>
      </w:r>
      <w:r w:rsidRPr="004224F6">
        <w:rPr>
          <w:rFonts w:ascii="Times New Roman" w:hAnsi="Times New Roman" w:cs="Times New Roman"/>
          <w:lang w:val="ru-RU"/>
        </w:rPr>
        <w:tab/>
        <w:t>Следните аспекти трябва да бъдат взети под внимание при монтажа:</w:t>
      </w:r>
    </w:p>
    <w:p w14:paraId="04303D3E" w14:textId="77777777" w:rsidR="00271FA2" w:rsidRPr="004224F6" w:rsidRDefault="00D35E51" w:rsidP="00052BA4">
      <w:pPr>
        <w:tabs>
          <w:tab w:val="left" w:pos="709"/>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локални вентилационни системи;</w:t>
      </w:r>
    </w:p>
    <w:p w14:paraId="49AA14CB" w14:textId="77777777" w:rsidR="00271FA2" w:rsidRPr="004224F6" w:rsidRDefault="00D35E51" w:rsidP="00052BA4">
      <w:pPr>
        <w:tabs>
          <w:tab w:val="left" w:pos="709"/>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б)</w:t>
      </w:r>
      <w:r w:rsidRPr="004224F6">
        <w:rPr>
          <w:rFonts w:ascii="Times New Roman" w:hAnsi="Times New Roman" w:cs="Times New Roman"/>
          <w:lang w:val="ru-RU"/>
        </w:rPr>
        <w:tab/>
        <w:t>конструктивни решения (конструкция на стени, преградни стени и др.), които улесняват или затрудняват натрупването на газове; и</w:t>
      </w:r>
    </w:p>
    <w:p w14:paraId="1CEC7C1A" w14:textId="77777777" w:rsidR="00271FA2" w:rsidRPr="004224F6" w:rsidRDefault="00D35E51" w:rsidP="00052BA4">
      <w:pPr>
        <w:tabs>
          <w:tab w:val="left" w:pos="709"/>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в)</w:t>
      </w:r>
      <w:r w:rsidRPr="004224F6">
        <w:rPr>
          <w:rFonts w:ascii="Times New Roman" w:hAnsi="Times New Roman" w:cs="Times New Roman"/>
          <w:lang w:val="ru-RU"/>
        </w:rPr>
        <w:tab/>
        <w:t>предотвратяване на вредното въздействие поради механична повреда, вода или топлина.</w:t>
      </w:r>
    </w:p>
    <w:p w14:paraId="3761A872"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3.4.3</w:t>
      </w:r>
      <w:r w:rsidRPr="004224F6">
        <w:rPr>
          <w:rFonts w:ascii="Times New Roman" w:hAnsi="Times New Roman" w:cs="Times New Roman"/>
          <w:lang w:val="ru-RU"/>
        </w:rPr>
        <w:tab/>
        <w:t>Всички тръби на устройствата за вземане на проби трябва да са разположени, така че образуването на конденз да не е възможно.</w:t>
      </w:r>
    </w:p>
    <w:p w14:paraId="3887DD54"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3.4.4</w:t>
      </w:r>
      <w:r w:rsidRPr="004224F6">
        <w:rPr>
          <w:rFonts w:ascii="Times New Roman" w:hAnsi="Times New Roman" w:cs="Times New Roman"/>
          <w:lang w:val="ru-RU"/>
        </w:rPr>
        <w:tab/>
        <w:t>Монтажът трябва да е изпълнен по такъв начин, че да не е възможно никакво неразрешено вмешателство.</w:t>
      </w:r>
    </w:p>
    <w:p w14:paraId="4F42B708"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4.</w:t>
      </w:r>
      <w:r w:rsidRPr="004224F6">
        <w:rPr>
          <w:rFonts w:ascii="Times New Roman" w:hAnsi="Times New Roman" w:cs="Times New Roman"/>
          <w:lang w:val="ru-RU"/>
        </w:rPr>
        <w:tab/>
        <w:t>Калибриране и проверка на детекторите за сигнализиране на изтичането на газ, подмяна на елементи с ограничен срок на експлоатационна годност.</w:t>
      </w:r>
    </w:p>
    <w:p w14:paraId="4D748DBD"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4.1</w:t>
      </w:r>
      <w:r w:rsidRPr="004224F6">
        <w:rPr>
          <w:rFonts w:ascii="Times New Roman" w:hAnsi="Times New Roman" w:cs="Times New Roman"/>
          <w:lang w:val="ru-RU"/>
        </w:rPr>
        <w:tab/>
        <w:t xml:space="preserve">Детекторите за сигнализиране изтичането на газ се калибрират и проверяват от експерт или от компетентно лице в съответствие с изискванията на производителя: </w:t>
      </w:r>
    </w:p>
    <w:p w14:paraId="0B6E71B7" w14:textId="77777777" w:rsidR="00271FA2" w:rsidRPr="004224F6" w:rsidRDefault="00D35E51" w:rsidP="00A211DE">
      <w:pPr>
        <w:tabs>
          <w:tab w:val="left" w:pos="1134"/>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rPr>
        <w:lastRenderedPageBreak/>
        <w:t>a</w:t>
      </w:r>
      <w:r w:rsidRPr="004224F6">
        <w:rPr>
          <w:rFonts w:ascii="Times New Roman" w:hAnsi="Times New Roman" w:cs="Times New Roman"/>
          <w:lang w:val="ru-RU"/>
        </w:rPr>
        <w:t>)</w:t>
      </w:r>
      <w:r w:rsidRPr="004224F6">
        <w:rPr>
          <w:rFonts w:ascii="Times New Roman" w:hAnsi="Times New Roman" w:cs="Times New Roman"/>
          <w:lang w:val="ru-RU"/>
        </w:rPr>
        <w:tab/>
        <w:t>преди първоначално пускане в експлоатация;</w:t>
      </w:r>
    </w:p>
    <w:p w14:paraId="270D3C18"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б)</w:t>
      </w:r>
      <w:r w:rsidRPr="004224F6">
        <w:rPr>
          <w:rFonts w:ascii="Times New Roman" w:hAnsi="Times New Roman" w:cs="Times New Roman"/>
          <w:lang w:val="ru-RU"/>
        </w:rPr>
        <w:tab/>
        <w:t>преди повторно пускане в експлоатация след всяко по-съществено изменение или ремонт;</w:t>
      </w:r>
    </w:p>
    <w:p w14:paraId="41C72A8D"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в)</w:t>
      </w:r>
      <w:r w:rsidRPr="004224F6">
        <w:rPr>
          <w:rFonts w:ascii="Times New Roman" w:hAnsi="Times New Roman" w:cs="Times New Roman"/>
          <w:lang w:val="ru-RU"/>
        </w:rPr>
        <w:tab/>
        <w:t>редовно.</w:t>
      </w:r>
    </w:p>
    <w:p w14:paraId="10B84827"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За калибрирането и проверката се издава сертификат, подписан от експерта или компетентното лице, като се посочва датата на проверката.</w:t>
      </w:r>
    </w:p>
    <w:p w14:paraId="08B4CD59"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4.2</w:t>
      </w:r>
      <w:r w:rsidRPr="004224F6">
        <w:rPr>
          <w:rFonts w:ascii="Times New Roman" w:hAnsi="Times New Roman" w:cs="Times New Roman"/>
          <w:lang w:val="ru-RU"/>
        </w:rPr>
        <w:tab/>
        <w:t>Частите от оборудването за сигнализиране на наличието на газ, които имат ограничен срок на експлоатационна годност, се подменят своевременно преди изтичането на този срок.</w:t>
      </w:r>
    </w:p>
    <w:p w14:paraId="1B368642"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5</w:t>
      </w:r>
      <w:r w:rsidRPr="004224F6">
        <w:rPr>
          <w:rFonts w:ascii="Times New Roman" w:hAnsi="Times New Roman" w:cs="Times New Roman"/>
          <w:lang w:val="ru-RU"/>
        </w:rPr>
        <w:tab/>
        <w:t>Обозначаване</w:t>
      </w:r>
    </w:p>
    <w:p w14:paraId="15C94AED"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5.1</w:t>
      </w:r>
      <w:r w:rsidRPr="004224F6">
        <w:rPr>
          <w:rFonts w:ascii="Times New Roman" w:hAnsi="Times New Roman" w:cs="Times New Roman"/>
          <w:lang w:val="ru-RU"/>
        </w:rPr>
        <w:tab/>
        <w:t>Всички уреди трябва да показват най-малко следната информация в ясно четлива и незаличима форма:</w:t>
      </w:r>
    </w:p>
    <w:p w14:paraId="664C1B5F"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името и адреса на производителя;</w:t>
      </w:r>
    </w:p>
    <w:p w14:paraId="10C2EAF9"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б)</w:t>
      </w:r>
      <w:r w:rsidRPr="004224F6">
        <w:rPr>
          <w:rFonts w:ascii="Times New Roman" w:hAnsi="Times New Roman" w:cs="Times New Roman"/>
          <w:lang w:val="ru-RU"/>
        </w:rPr>
        <w:tab/>
        <w:t>маркировката според нормативната уредба;</w:t>
      </w:r>
    </w:p>
    <w:p w14:paraId="20BD15AC"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в)</w:t>
      </w:r>
      <w:r w:rsidRPr="004224F6">
        <w:rPr>
          <w:rFonts w:ascii="Times New Roman" w:hAnsi="Times New Roman" w:cs="Times New Roman"/>
          <w:lang w:val="ru-RU"/>
        </w:rPr>
        <w:tab/>
        <w:t>означение на серията и типа;</w:t>
      </w:r>
    </w:p>
    <w:p w14:paraId="10F51857"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г)</w:t>
      </w:r>
      <w:r w:rsidRPr="004224F6">
        <w:rPr>
          <w:rFonts w:ascii="Times New Roman" w:hAnsi="Times New Roman" w:cs="Times New Roman"/>
          <w:lang w:val="ru-RU"/>
        </w:rPr>
        <w:tab/>
        <w:t>ако е възможно, сериен номер;</w:t>
      </w:r>
    </w:p>
    <w:p w14:paraId="25B38591" w14:textId="77777777" w:rsidR="00271FA2" w:rsidRPr="004224F6" w:rsidRDefault="00D35E51" w:rsidP="0065380A">
      <w:pPr>
        <w:tabs>
          <w:tab w:val="left" w:pos="1134"/>
        </w:tabs>
        <w:overflowPunct w:val="0"/>
        <w:adjustRightInd w:val="0"/>
        <w:spacing w:line="240" w:lineRule="atLeast"/>
        <w:ind w:left="567"/>
        <w:rPr>
          <w:rFonts w:ascii="Times New Roman" w:hAnsi="Times New Roman" w:cs="Times New Roman"/>
          <w:snapToGrid w:val="0"/>
          <w:lang w:val="ru-RU"/>
        </w:rPr>
      </w:pPr>
      <w:r w:rsidRPr="004224F6">
        <w:rPr>
          <w:rFonts w:ascii="Times New Roman" w:hAnsi="Times New Roman" w:cs="Times New Roman"/>
          <w:lang w:val="ru-RU"/>
        </w:rPr>
        <w:t>д)</w:t>
      </w:r>
      <w:r w:rsidRPr="004224F6">
        <w:rPr>
          <w:rFonts w:ascii="Times New Roman" w:hAnsi="Times New Roman" w:cs="Times New Roman"/>
          <w:lang w:val="ru-RU"/>
        </w:rPr>
        <w:tab/>
        <w:t>ако се изисква, съвети, необходими за безопасното използване; и</w:t>
      </w:r>
    </w:p>
    <w:p w14:paraId="7317DBD9" w14:textId="77777777" w:rsidR="00271FA2" w:rsidRPr="004224F6" w:rsidRDefault="00D35E51" w:rsidP="0065380A">
      <w:pPr>
        <w:tabs>
          <w:tab w:val="left" w:pos="1134"/>
        </w:tabs>
        <w:overflowPunct w:val="0"/>
        <w:adjustRightInd w:val="0"/>
        <w:spacing w:line="240" w:lineRule="atLeast"/>
        <w:ind w:left="567"/>
        <w:rPr>
          <w:rFonts w:ascii="Times New Roman" w:hAnsi="Times New Roman" w:cs="Times New Roman"/>
          <w:snapToGrid w:val="0"/>
          <w:lang w:val="ru-RU"/>
        </w:rPr>
      </w:pPr>
      <w:r w:rsidRPr="004224F6">
        <w:rPr>
          <w:rFonts w:ascii="Times New Roman" w:hAnsi="Times New Roman" w:cs="Times New Roman"/>
          <w:lang w:val="ru-RU"/>
        </w:rPr>
        <w:t>е)</w:t>
      </w:r>
      <w:r w:rsidRPr="004224F6">
        <w:rPr>
          <w:rFonts w:ascii="Times New Roman" w:hAnsi="Times New Roman" w:cs="Times New Roman"/>
          <w:lang w:val="ru-RU"/>
        </w:rPr>
        <w:tab/>
        <w:t>за всеки датчик — означение на калибриращия газ.</w:t>
      </w:r>
    </w:p>
    <w:p w14:paraId="7559FB4E"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5.2</w:t>
      </w:r>
      <w:r w:rsidRPr="004224F6">
        <w:rPr>
          <w:rFonts w:ascii="Times New Roman" w:hAnsi="Times New Roman" w:cs="Times New Roman"/>
          <w:lang w:val="ru-RU"/>
        </w:rPr>
        <w:tab/>
        <w:t>Елементите с ограничена по-малка продължителност на живот от оборудването за сигнализиране на наличието на газ трябва ясно да са маркирани като такива.</w:t>
      </w:r>
    </w:p>
    <w:p w14:paraId="180AD9B2" w14:textId="77777777" w:rsidR="00271FA2" w:rsidRPr="004224F6" w:rsidRDefault="00D35E51" w:rsidP="00A211DE">
      <w:pPr>
        <w:tabs>
          <w:tab w:val="left" w:pos="709"/>
        </w:tabs>
        <w:overflowPunct w:val="0"/>
        <w:adjustRightInd w:val="0"/>
        <w:spacing w:line="240" w:lineRule="atLeast"/>
        <w:ind w:left="567" w:hanging="567"/>
        <w:jc w:val="both"/>
        <w:rPr>
          <w:rFonts w:ascii="Times New Roman" w:hAnsi="Times New Roman" w:cs="Times New Roman"/>
          <w:snapToGrid w:val="0"/>
          <w:lang w:val="ru-RU"/>
        </w:rPr>
      </w:pPr>
      <w:r w:rsidRPr="004224F6">
        <w:rPr>
          <w:rFonts w:ascii="Times New Roman" w:hAnsi="Times New Roman" w:cs="Times New Roman"/>
          <w:lang w:val="ru-RU"/>
        </w:rPr>
        <w:t>6.</w:t>
      </w:r>
      <w:r w:rsidRPr="004224F6">
        <w:rPr>
          <w:rFonts w:ascii="Times New Roman" w:hAnsi="Times New Roman" w:cs="Times New Roman"/>
          <w:lang w:val="ru-RU"/>
        </w:rPr>
        <w:tab/>
        <w:t>Данни на производителя, свързани с оборудването за сигнализиране на наличието на газ:</w:t>
      </w:r>
    </w:p>
    <w:p w14:paraId="734E4CF7"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пълни инструкции, чертежи и схеми, отнасящи се до безопасната и правилна експлоатация, както и монтажа, пускането и поддържането на оборудването за сигнализиране на наличието на газ;</w:t>
      </w:r>
    </w:p>
    <w:p w14:paraId="1DEB8EA0"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б)</w:t>
      </w:r>
      <w:r w:rsidRPr="004224F6">
        <w:rPr>
          <w:rFonts w:ascii="Times New Roman" w:hAnsi="Times New Roman" w:cs="Times New Roman"/>
          <w:lang w:val="ru-RU"/>
        </w:rPr>
        <w:tab/>
        <w:t>инструкции за експлоатация, съдържащи най-малко:</w:t>
      </w:r>
    </w:p>
    <w:p w14:paraId="70CB635E"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rPr>
        <w:t>aa</w:t>
      </w:r>
      <w:r w:rsidRPr="004224F6">
        <w:rPr>
          <w:rFonts w:ascii="Times New Roman" w:hAnsi="Times New Roman" w:cs="Times New Roman"/>
          <w:lang w:val="ru-RU"/>
        </w:rPr>
        <w:t>)</w:t>
      </w:r>
      <w:r w:rsidRPr="004224F6">
        <w:rPr>
          <w:rFonts w:ascii="Times New Roman" w:hAnsi="Times New Roman" w:cs="Times New Roman"/>
          <w:lang w:val="ru-RU"/>
        </w:rPr>
        <w:tab/>
        <w:t>мерки, които да се вземат в случай на алармен сигнал или показание за грешка;</w:t>
      </w:r>
    </w:p>
    <w:p w14:paraId="45B005C8"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бб)</w:t>
      </w:r>
      <w:r w:rsidRPr="004224F6">
        <w:rPr>
          <w:rFonts w:ascii="Times New Roman" w:hAnsi="Times New Roman" w:cs="Times New Roman"/>
          <w:lang w:val="ru-RU"/>
        </w:rPr>
        <w:tab/>
        <w:t>мерки за безопасност, в случай на неналичност (напр. калибриране, проверка, прекъсване); и</w:t>
      </w:r>
    </w:p>
    <w:p w14:paraId="0CDAB495"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вв)</w:t>
      </w:r>
      <w:r w:rsidRPr="004224F6">
        <w:rPr>
          <w:rFonts w:ascii="Times New Roman" w:hAnsi="Times New Roman" w:cs="Times New Roman"/>
          <w:lang w:val="ru-RU"/>
        </w:rPr>
        <w:tab/>
        <w:t>лица, отговорни за монтажа и поддържането;</w:t>
      </w:r>
    </w:p>
    <w:p w14:paraId="3D4E7353"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в)</w:t>
      </w:r>
      <w:r w:rsidRPr="004224F6">
        <w:rPr>
          <w:rFonts w:ascii="Times New Roman" w:hAnsi="Times New Roman" w:cs="Times New Roman"/>
          <w:lang w:val="ru-RU"/>
        </w:rPr>
        <w:tab/>
        <w:t>инструкции за калибриране преди пускане и за редовно калибриране, включително интервалите от време, които да бъдат спазвани;</w:t>
      </w:r>
    </w:p>
    <w:p w14:paraId="05AAFDAA"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г)</w:t>
      </w:r>
      <w:r w:rsidRPr="004224F6">
        <w:rPr>
          <w:rFonts w:ascii="Times New Roman" w:hAnsi="Times New Roman" w:cs="Times New Roman"/>
          <w:lang w:val="ru-RU"/>
        </w:rPr>
        <w:tab/>
        <w:t>захранващо напрежение;</w:t>
      </w:r>
    </w:p>
    <w:p w14:paraId="0BD21351"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д)</w:t>
      </w:r>
      <w:r w:rsidRPr="004224F6">
        <w:rPr>
          <w:rFonts w:ascii="Times New Roman" w:hAnsi="Times New Roman" w:cs="Times New Roman"/>
          <w:lang w:val="ru-RU"/>
        </w:rPr>
        <w:tab/>
        <w:t>вид и значение на алармените сигнали и показанията на дисплея (напр. специално състояние);</w:t>
      </w:r>
    </w:p>
    <w:p w14:paraId="153BB284"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е)</w:t>
      </w:r>
      <w:r w:rsidRPr="004224F6">
        <w:rPr>
          <w:rFonts w:ascii="Times New Roman" w:hAnsi="Times New Roman" w:cs="Times New Roman"/>
          <w:lang w:val="ru-RU"/>
        </w:rPr>
        <w:tab/>
        <w:t>информация относно откриването на експлоатационни проблеми и отстраняването на неизправности;</w:t>
      </w:r>
    </w:p>
    <w:p w14:paraId="2E3C2C40"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ж)</w:t>
      </w:r>
      <w:r w:rsidRPr="004224F6">
        <w:rPr>
          <w:rFonts w:ascii="Times New Roman" w:hAnsi="Times New Roman" w:cs="Times New Roman"/>
          <w:lang w:val="ru-RU"/>
        </w:rPr>
        <w:tab/>
        <w:t>вид и обхват на подмяната на компоненти с ограничен експлоатационен срок; и</w:t>
      </w:r>
    </w:p>
    <w:p w14:paraId="557A52DD" w14:textId="77777777" w:rsidR="00271FA2" w:rsidRPr="004224F6" w:rsidRDefault="00D35E51" w:rsidP="0065380A">
      <w:pPr>
        <w:tabs>
          <w:tab w:val="left" w:pos="1134"/>
        </w:tabs>
        <w:overflowPunct w:val="0"/>
        <w:adjustRightInd w:val="0"/>
        <w:spacing w:line="240" w:lineRule="atLeast"/>
        <w:ind w:left="567"/>
        <w:jc w:val="both"/>
        <w:rPr>
          <w:rFonts w:ascii="Times New Roman" w:hAnsi="Times New Roman" w:cs="Times New Roman"/>
          <w:snapToGrid w:val="0"/>
          <w:lang w:val="ru-RU"/>
        </w:rPr>
      </w:pPr>
      <w:r w:rsidRPr="004224F6">
        <w:rPr>
          <w:rFonts w:ascii="Times New Roman" w:hAnsi="Times New Roman" w:cs="Times New Roman"/>
          <w:lang w:val="ru-RU"/>
        </w:rPr>
        <w:t>з)</w:t>
      </w:r>
      <w:r w:rsidRPr="004224F6">
        <w:rPr>
          <w:rFonts w:ascii="Times New Roman" w:hAnsi="Times New Roman" w:cs="Times New Roman"/>
          <w:lang w:val="ru-RU"/>
        </w:rPr>
        <w:tab/>
        <w:t>вид, обхват и периодичност на проверките.</w:t>
      </w:r>
    </w:p>
    <w:p w14:paraId="50C9CA4A" w14:textId="77777777" w:rsidR="00271FA2" w:rsidRPr="004224F6" w:rsidRDefault="00271FA2" w:rsidP="0065380A">
      <w:pPr>
        <w:overflowPunct w:val="0"/>
        <w:adjustRightInd w:val="0"/>
        <w:spacing w:line="240" w:lineRule="atLeast"/>
        <w:textAlignment w:val="baseline"/>
        <w:rPr>
          <w:rFonts w:ascii="Times New Roman" w:hAnsi="Times New Roman" w:cs="Times New Roman"/>
          <w:szCs w:val="20"/>
          <w:lang w:val="ru-RU"/>
        </w:rPr>
      </w:pPr>
    </w:p>
    <w:p w14:paraId="68626933" w14:textId="77777777" w:rsidR="00271FA2" w:rsidRPr="004224F6" w:rsidRDefault="00271FA2" w:rsidP="0065380A">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52"/>
          <w:footnotePr>
            <w:numRestart w:val="eachPage"/>
          </w:footnotePr>
          <w:pgSz w:w="11907" w:h="16840"/>
          <w:pgMar w:top="1134" w:right="1134" w:bottom="1134" w:left="1134" w:header="709" w:footer="709" w:gutter="0"/>
          <w:cols w:space="720"/>
          <w:docGrid w:linePitch="326"/>
        </w:sectPr>
      </w:pPr>
    </w:p>
    <w:p w14:paraId="226AAE15" w14:textId="77777777" w:rsidR="00271FA2" w:rsidRPr="004224F6" w:rsidRDefault="00D35E51">
      <w:pPr>
        <w:pStyle w:val="ES-Titre2ESI"/>
        <w:rPr>
          <w:rFonts w:ascii="Times New Roman" w:hAnsi="Times New Roman" w:cs="Times New Roman"/>
          <w:szCs w:val="20"/>
          <w:lang w:val="ru-RU"/>
        </w:rPr>
      </w:pPr>
      <w:bookmarkStart w:id="711" w:name="_Toc491854369"/>
      <w:bookmarkStart w:id="712" w:name="_Toc535827810"/>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-6</w:t>
      </w:r>
      <w:r w:rsidRPr="004224F6">
        <w:rPr>
          <w:rFonts w:ascii="Times New Roman" w:hAnsi="Times New Roman" w:cs="Times New Roman"/>
          <w:lang w:val="ru-RU"/>
        </w:rPr>
        <w:br/>
        <w:t>Свързващи системи и устройства за плавателни средства, годни да задвижват или да бъдат задвижвани в твърдо свързана съвкупност</w:t>
      </w:r>
      <w:bookmarkEnd w:id="711"/>
      <w:bookmarkEnd w:id="712"/>
    </w:p>
    <w:p w14:paraId="71A52C53" w14:textId="77777777" w:rsidR="00271FA2" w:rsidRPr="004224F6" w:rsidRDefault="00D35E51" w:rsidP="0065380A">
      <w:pPr>
        <w:overflowPunct w:val="0"/>
        <w:adjustRightInd w:val="0"/>
        <w:spacing w:after="240" w:line="240" w:lineRule="atLeast"/>
        <w:jc w:val="center"/>
        <w:textAlignment w:val="baseline"/>
        <w:rPr>
          <w:rFonts w:ascii="Times New Roman" w:hAnsi="Times New Roman" w:cs="Times New Roman"/>
          <w:b/>
          <w:szCs w:val="20"/>
          <w:lang w:val="ru-RU"/>
        </w:rPr>
      </w:pPr>
      <w:r w:rsidRPr="004224F6">
        <w:rPr>
          <w:rFonts w:ascii="Times New Roman" w:hAnsi="Times New Roman" w:cs="Times New Roman"/>
          <w:b/>
          <w:lang w:val="ru-RU"/>
        </w:rPr>
        <w:t>(членове 21.01, 21.02, 21.06, 21.07)</w:t>
      </w:r>
    </w:p>
    <w:p w14:paraId="68A25E0B" w14:textId="77777777" w:rsidR="00271FA2" w:rsidRPr="004224F6" w:rsidRDefault="00D35E51" w:rsidP="0065380A">
      <w:pPr>
        <w:overflowPunct w:val="0"/>
        <w:adjustRightInd w:val="0"/>
        <w:spacing w:line="240" w:lineRule="atLeast"/>
        <w:jc w:val="both"/>
        <w:textAlignment w:val="baseline"/>
        <w:rPr>
          <w:rFonts w:ascii="Times New Roman" w:hAnsi="Times New Roman" w:cs="Times New Roman"/>
          <w:szCs w:val="20"/>
          <w:lang w:val="ru-RU"/>
        </w:rPr>
      </w:pPr>
      <w:r w:rsidRPr="004224F6">
        <w:rPr>
          <w:rFonts w:ascii="Times New Roman" w:hAnsi="Times New Roman" w:cs="Times New Roman"/>
          <w:lang w:val="ru-RU"/>
        </w:rPr>
        <w:t>В допълнение към изискванията от Глава 21 се спазват и съответните разпоредби от действащите нормативни уредби на органите по корабоплаване в държавите членки.</w:t>
      </w:r>
    </w:p>
    <w:p w14:paraId="37FEA96F" w14:textId="77777777" w:rsidR="00271FA2" w:rsidRPr="004224F6" w:rsidRDefault="00D35E51" w:rsidP="0065380A">
      <w:pPr>
        <w:overflowPunct w:val="0"/>
        <w:adjustRightInd w:val="0"/>
        <w:spacing w:line="240" w:lineRule="atLeast"/>
        <w:ind w:left="567" w:hanging="567"/>
        <w:textAlignment w:val="baseline"/>
        <w:rPr>
          <w:rFonts w:ascii="Times New Roman" w:hAnsi="Times New Roman" w:cs="Times New Roman"/>
          <w:b/>
          <w:szCs w:val="20"/>
          <w:lang w:val="ru-RU"/>
        </w:rPr>
      </w:pPr>
      <w:r w:rsidRPr="004224F6">
        <w:rPr>
          <w:rFonts w:ascii="Times New Roman" w:hAnsi="Times New Roman" w:cs="Times New Roman"/>
          <w:b/>
          <w:lang w:val="ru-RU"/>
        </w:rPr>
        <w:t>1.</w:t>
      </w:r>
      <w:r w:rsidRPr="004224F6">
        <w:rPr>
          <w:rFonts w:ascii="Times New Roman" w:hAnsi="Times New Roman" w:cs="Times New Roman"/>
          <w:lang w:val="ru-RU"/>
        </w:rPr>
        <w:tab/>
      </w:r>
      <w:r w:rsidRPr="004224F6">
        <w:rPr>
          <w:rFonts w:ascii="Times New Roman" w:hAnsi="Times New Roman" w:cs="Times New Roman"/>
          <w:b/>
          <w:lang w:val="ru-RU"/>
        </w:rPr>
        <w:t>Общи изисквания</w:t>
      </w:r>
    </w:p>
    <w:p w14:paraId="3FB6CE35" w14:textId="77777777" w:rsidR="00271FA2" w:rsidRPr="004224F6" w:rsidRDefault="00D35E51" w:rsidP="0065380A">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1.1</w:t>
      </w:r>
      <w:r w:rsidRPr="004224F6">
        <w:rPr>
          <w:rFonts w:ascii="Times New Roman" w:hAnsi="Times New Roman" w:cs="Times New Roman"/>
          <w:lang w:val="ru-RU"/>
        </w:rPr>
        <w:tab/>
        <w:t>Всяка свързваща система трябва да гарантира твърдото свързване на всички плавателни средства от състава, т.е. при предвидими експлоатационни условия свързващото устройство да не позволява надлъжно или напречно движение между съдовете, така че съвкупността да може да се разглежда като „плавателна единица“.</w:t>
      </w:r>
    </w:p>
    <w:p w14:paraId="63119AA6" w14:textId="77777777" w:rsidR="00271FA2" w:rsidRPr="004224F6" w:rsidRDefault="00D35E51" w:rsidP="0065380A">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1.2</w:t>
      </w:r>
      <w:r w:rsidRPr="004224F6">
        <w:rPr>
          <w:rFonts w:ascii="Times New Roman" w:hAnsi="Times New Roman" w:cs="Times New Roman"/>
          <w:lang w:val="ru-RU"/>
        </w:rPr>
        <w:tab/>
        <w:t>Свързващата система и нейните компоненти трябва да са безопасни и лесни за използване и да позволяват плавателното средство да бъде свързано бързо, без да се застрашава персоналът.</w:t>
      </w:r>
    </w:p>
    <w:p w14:paraId="3566B283" w14:textId="77777777" w:rsidR="00271FA2" w:rsidRPr="004224F6" w:rsidRDefault="00D35E51" w:rsidP="0065380A">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1.3</w:t>
      </w:r>
      <w:r w:rsidRPr="004224F6">
        <w:rPr>
          <w:rFonts w:ascii="Times New Roman" w:hAnsi="Times New Roman" w:cs="Times New Roman"/>
          <w:lang w:val="ru-RU"/>
        </w:rPr>
        <w:tab/>
        <w:t>Породените сили при предвидими експлоатационни условия трябва да бъдат правилно абсорбирани и предадени безопасно на конструкцията на съда от свързващата система и нейните компоненти.</w:t>
      </w:r>
    </w:p>
    <w:p w14:paraId="3FDB2E1F" w14:textId="77777777" w:rsidR="00271FA2" w:rsidRPr="004224F6" w:rsidRDefault="00D35E51" w:rsidP="0065380A">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1.4</w:t>
      </w:r>
      <w:r w:rsidRPr="004224F6">
        <w:rPr>
          <w:rFonts w:ascii="Times New Roman" w:hAnsi="Times New Roman" w:cs="Times New Roman"/>
          <w:lang w:val="ru-RU"/>
        </w:rPr>
        <w:tab/>
        <w:t>Трябва да е осигурен достатъчен брой съединителни точки.</w:t>
      </w:r>
    </w:p>
    <w:p w14:paraId="56852FA1" w14:textId="77777777" w:rsidR="00271FA2" w:rsidRPr="004224F6" w:rsidRDefault="00D35E51" w:rsidP="0065380A">
      <w:pPr>
        <w:overflowPunct w:val="0"/>
        <w:adjustRightInd w:val="0"/>
        <w:spacing w:line="240" w:lineRule="atLeast"/>
        <w:ind w:left="567" w:hanging="567"/>
        <w:jc w:val="both"/>
        <w:textAlignment w:val="baseline"/>
        <w:rPr>
          <w:rFonts w:ascii="Times New Roman" w:hAnsi="Times New Roman" w:cs="Times New Roman"/>
          <w:b/>
          <w:szCs w:val="20"/>
          <w:lang w:val="ru-RU"/>
        </w:rPr>
      </w:pPr>
      <w:r w:rsidRPr="004224F6">
        <w:rPr>
          <w:rFonts w:ascii="Times New Roman" w:hAnsi="Times New Roman" w:cs="Times New Roman"/>
          <w:b/>
          <w:lang w:val="ru-RU"/>
        </w:rPr>
        <w:t>2.</w:t>
      </w:r>
      <w:r w:rsidRPr="004224F6">
        <w:rPr>
          <w:rFonts w:ascii="Times New Roman" w:hAnsi="Times New Roman" w:cs="Times New Roman"/>
          <w:lang w:val="ru-RU"/>
        </w:rPr>
        <w:tab/>
      </w:r>
      <w:r w:rsidRPr="004224F6">
        <w:rPr>
          <w:rFonts w:ascii="Times New Roman" w:hAnsi="Times New Roman" w:cs="Times New Roman"/>
          <w:b/>
          <w:lang w:val="ru-RU"/>
        </w:rPr>
        <w:t>Сили на свързване и оразмеряване на свързващите устройства</w:t>
      </w:r>
    </w:p>
    <w:p w14:paraId="4E81218F" w14:textId="77777777" w:rsidR="00271FA2" w:rsidRPr="004224F6" w:rsidRDefault="00D35E51" w:rsidP="0065380A">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ab/>
        <w:t>Свързващите устройства на съставите и формированията от съдове, които се разрешават, трябва да са оразмерени, така че да гарантират достатъчни нива на безопасност. Това условие се счита за изпълнено, ако за силите на свързване, определени съгласно точка 2.1, 2.2 или 2.3, се приеме, че са якостта на опън за оразмеряване на надлъжните съединителни компоненти.</w:t>
      </w:r>
    </w:p>
    <w:p w14:paraId="4AF13E45" w14:textId="77777777" w:rsidR="00271FA2" w:rsidRPr="004224F6" w:rsidRDefault="00D35E51" w:rsidP="0065380A">
      <w:pPr>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t>2.1</w:t>
      </w:r>
      <w:r w:rsidRPr="004224F6">
        <w:rPr>
          <w:rFonts w:ascii="Times New Roman" w:hAnsi="Times New Roman" w:cs="Times New Roman"/>
          <w:lang w:val="ru-RU"/>
        </w:rPr>
        <w:tab/>
        <w:t>Съединителни точки между тласкач и тласкани лихтери или други плавателни средства:</w:t>
      </w:r>
    </w:p>
    <w:p w14:paraId="23EEB64F" w14:textId="77777777" w:rsidR="00271FA2" w:rsidRPr="004224F6" w:rsidRDefault="002C62EC" w:rsidP="0065380A">
      <w:pPr>
        <w:overflowPunct w:val="0"/>
        <w:adjustRightInd w:val="0"/>
        <w:spacing w:line="240" w:lineRule="atLeast"/>
        <w:ind w:left="567" w:hanging="567"/>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SB</m:t>
              </m:r>
            </m:sub>
          </m:sSub>
          <m:r>
            <w:rPr>
              <w:rFonts w:ascii="Cambria Math" w:hAnsi="Cambria Math" w:cs="Times New Roman"/>
              <w:szCs w:val="20"/>
            </w:rPr>
            <m:t xml:space="preserve">=270∙ </m:t>
          </m:r>
          <m:sSub>
            <m:sSubPr>
              <m:ctrlPr>
                <w:rPr>
                  <w:rFonts w:ascii="Cambria Math" w:hAnsi="Cambria Math" w:cs="Times New Roman"/>
                  <w:i/>
                  <w:szCs w:val="20"/>
                </w:rPr>
              </m:ctrlPr>
            </m:sSubPr>
            <m:e>
              <m:r>
                <w:rPr>
                  <w:rFonts w:ascii="Cambria Math" w:hAnsi="Cambria Math" w:cs="Times New Roman"/>
                  <w:szCs w:val="20"/>
                </w:rPr>
                <m:t>P</m:t>
              </m:r>
            </m:e>
            <m:sub>
              <m:r>
                <w:rPr>
                  <w:rFonts w:ascii="Cambria Math" w:hAnsi="Cambria Math" w:cs="Times New Roman"/>
                  <w:szCs w:val="20"/>
                </w:rPr>
                <m:t>B</m:t>
              </m:r>
            </m:sub>
          </m:sSub>
          <m:r>
            <w:rPr>
              <w:rFonts w:ascii="Cambria Math" w:hAnsi="Cambria Math" w:cs="Times New Roman"/>
              <w:szCs w:val="20"/>
            </w:rPr>
            <m:t xml:space="preserve"> ∙ </m:t>
          </m:r>
          <m:f>
            <m:fPr>
              <m:ctrlPr>
                <w:rPr>
                  <w:rFonts w:ascii="Cambria Math" w:hAnsi="Cambria Math" w:cs="Times New Roman"/>
                  <w:i/>
                  <w:szCs w:val="20"/>
                </w:rPr>
              </m:ctrlPr>
            </m:fPr>
            <m:num>
              <m:sSub>
                <m:sSubPr>
                  <m:ctrlPr>
                    <w:rPr>
                      <w:rFonts w:ascii="Cambria Math" w:hAnsi="Cambria Math" w:cs="Times New Roman"/>
                      <w:i/>
                      <w:szCs w:val="20"/>
                    </w:rPr>
                  </m:ctrlPr>
                </m:sSubPr>
                <m:e>
                  <m:r>
                    <w:rPr>
                      <w:rFonts w:ascii="Cambria Math" w:hAnsi="Cambria Math" w:cs="Times New Roman"/>
                      <w:szCs w:val="20"/>
                    </w:rPr>
                    <m:t>L</m:t>
                  </m:r>
                </m:e>
                <m:sub>
                  <m:r>
                    <w:rPr>
                      <w:rFonts w:ascii="Cambria Math" w:hAnsi="Cambria Math" w:cs="Times New Roman"/>
                      <w:szCs w:val="20"/>
                    </w:rPr>
                    <m:t>S</m:t>
                  </m:r>
                </m:sub>
              </m:sSub>
            </m:num>
            <m:den>
              <m:sSub>
                <m:sSubPr>
                  <m:ctrlPr>
                    <w:rPr>
                      <w:rFonts w:ascii="Cambria Math" w:hAnsi="Cambria Math" w:cs="Times New Roman"/>
                      <w:i/>
                      <w:szCs w:val="20"/>
                    </w:rPr>
                  </m:ctrlPr>
                </m:sSubPr>
                <m:e>
                  <m:r>
                    <w:rPr>
                      <w:rFonts w:ascii="Cambria Math" w:hAnsi="Cambria Math" w:cs="Times New Roman"/>
                      <w:szCs w:val="20"/>
                    </w:rPr>
                    <m:t>B</m:t>
                  </m:r>
                </m:e>
                <m:sub>
                  <m:r>
                    <w:rPr>
                      <w:rFonts w:ascii="Cambria Math" w:hAnsi="Cambria Math" w:cs="Times New Roman"/>
                      <w:szCs w:val="20"/>
                    </w:rPr>
                    <m:t>S</m:t>
                  </m:r>
                </m:sub>
              </m:sSub>
            </m:den>
          </m:f>
          <m:r>
            <w:rPr>
              <w:rFonts w:ascii="Cambria Math" w:hAnsi="Cambria Math" w:cs="Times New Roman"/>
              <w:szCs w:val="20"/>
            </w:rPr>
            <m:t xml:space="preserve"> ∙ </m:t>
          </m:r>
          <m:sSup>
            <m:sSupPr>
              <m:ctrlPr>
                <w:rPr>
                  <w:rFonts w:ascii="Cambria Math" w:hAnsi="Cambria Math" w:cs="Times New Roman"/>
                  <w:i/>
                  <w:szCs w:val="20"/>
                </w:rPr>
              </m:ctrlPr>
            </m:sSupPr>
            <m:e>
              <m:r>
                <w:rPr>
                  <w:rFonts w:ascii="Cambria Math" w:hAnsi="Cambria Math" w:cs="Times New Roman"/>
                  <w:szCs w:val="20"/>
                </w:rPr>
                <m:t>10</m:t>
              </m:r>
            </m:e>
            <m:sup>
              <m:r>
                <w:rPr>
                  <w:rFonts w:ascii="Cambria Math" w:hAnsi="Cambria Math" w:cs="Times New Roman"/>
                  <w:szCs w:val="20"/>
                </w:rPr>
                <m:t>-3</m:t>
              </m:r>
            </m:sup>
          </m:sSup>
          <m:r>
            <w:rPr>
              <w:rFonts w:ascii="Cambria Math" w:hAnsi="Cambria Math" w:cs="Times New Roman"/>
              <w:szCs w:val="20"/>
            </w:rPr>
            <m:t xml:space="preserve"> </m:t>
          </m:r>
          <m:d>
            <m:dPr>
              <m:begChr m:val="["/>
              <m:endChr m:val="]"/>
              <m:ctrlPr>
                <w:rPr>
                  <w:rFonts w:ascii="Cambria Math" w:hAnsi="Cambria Math" w:cs="Times New Roman"/>
                  <w:i/>
                  <w:szCs w:val="20"/>
                </w:rPr>
              </m:ctrlPr>
            </m:dPr>
            <m:e>
              <m:r>
                <w:rPr>
                  <w:rFonts w:ascii="Cambria Math" w:hAnsi="Cambria Math" w:cs="Times New Roman"/>
                  <w:szCs w:val="20"/>
                </w:rPr>
                <m:t>kN</m:t>
              </m:r>
            </m:e>
          </m:d>
        </m:oMath>
      </m:oMathPara>
    </w:p>
    <w:p w14:paraId="17D4B4FE" w14:textId="77777777" w:rsidR="00271FA2" w:rsidRPr="004224F6" w:rsidRDefault="00D35E51" w:rsidP="0065380A">
      <w:pPr>
        <w:overflowPunct w:val="0"/>
        <w:adjustRightInd w:val="0"/>
        <w:spacing w:line="240" w:lineRule="atLeast"/>
        <w:ind w:left="567" w:hanging="567"/>
        <w:jc w:val="both"/>
        <w:textAlignment w:val="baseline"/>
        <w:rPr>
          <w:rFonts w:ascii="Times New Roman" w:hAnsi="Times New Roman" w:cs="Times New Roman"/>
          <w:szCs w:val="20"/>
          <w:lang w:val="ru-RU"/>
        </w:rPr>
      </w:pPr>
      <w:r w:rsidRPr="004224F6">
        <w:rPr>
          <w:rFonts w:ascii="Times New Roman" w:hAnsi="Times New Roman" w:cs="Times New Roman"/>
          <w:lang w:val="ru-RU"/>
        </w:rPr>
        <w:t>2.2</w:t>
      </w:r>
      <w:r w:rsidRPr="004224F6">
        <w:rPr>
          <w:rFonts w:ascii="Times New Roman" w:hAnsi="Times New Roman" w:cs="Times New Roman"/>
          <w:lang w:val="ru-RU"/>
        </w:rPr>
        <w:tab/>
        <w:t>Съединителни точки между тласкащ моторен товарен плавателен съд или бутащ моторен танкер и тласкани плавателни средства:</w:t>
      </w:r>
    </w:p>
    <w:p w14:paraId="563021E7" w14:textId="77777777" w:rsidR="00271FA2" w:rsidRPr="004224F6" w:rsidRDefault="002C62EC" w:rsidP="0065380A">
      <w:pPr>
        <w:overflowPunct w:val="0"/>
        <w:adjustRightInd w:val="0"/>
        <w:spacing w:line="240" w:lineRule="atLeast"/>
        <w:ind w:left="567" w:hanging="567"/>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SF</m:t>
              </m:r>
            </m:sub>
          </m:sSub>
          <m:r>
            <w:rPr>
              <w:rFonts w:ascii="Cambria Math" w:hAnsi="Cambria Math" w:cs="Times New Roman"/>
              <w:szCs w:val="20"/>
            </w:rPr>
            <m:t xml:space="preserve">=80∙ </m:t>
          </m:r>
          <m:sSub>
            <m:sSubPr>
              <m:ctrlPr>
                <w:rPr>
                  <w:rFonts w:ascii="Cambria Math" w:hAnsi="Cambria Math" w:cs="Times New Roman"/>
                  <w:i/>
                  <w:szCs w:val="20"/>
                </w:rPr>
              </m:ctrlPr>
            </m:sSubPr>
            <m:e>
              <m:r>
                <w:rPr>
                  <w:rFonts w:ascii="Cambria Math" w:hAnsi="Cambria Math" w:cs="Times New Roman"/>
                  <w:szCs w:val="20"/>
                </w:rPr>
                <m:t>P</m:t>
              </m:r>
            </m:e>
            <m:sub>
              <m:r>
                <w:rPr>
                  <w:rFonts w:ascii="Cambria Math" w:hAnsi="Cambria Math" w:cs="Times New Roman"/>
                  <w:szCs w:val="20"/>
                </w:rPr>
                <m:t>B</m:t>
              </m:r>
            </m:sub>
          </m:sSub>
          <m:r>
            <w:rPr>
              <w:rFonts w:ascii="Cambria Math" w:hAnsi="Cambria Math" w:cs="Times New Roman"/>
              <w:szCs w:val="20"/>
            </w:rPr>
            <m:t xml:space="preserve"> ∙ </m:t>
          </m:r>
          <m:f>
            <m:fPr>
              <m:ctrlPr>
                <w:rPr>
                  <w:rFonts w:ascii="Cambria Math" w:hAnsi="Cambria Math" w:cs="Times New Roman"/>
                  <w:i/>
                  <w:szCs w:val="20"/>
                </w:rPr>
              </m:ctrlPr>
            </m:fPr>
            <m:num>
              <m:sSub>
                <m:sSubPr>
                  <m:ctrlPr>
                    <w:rPr>
                      <w:rFonts w:ascii="Cambria Math" w:hAnsi="Cambria Math" w:cs="Times New Roman"/>
                      <w:i/>
                      <w:szCs w:val="20"/>
                    </w:rPr>
                  </m:ctrlPr>
                </m:sSubPr>
                <m:e>
                  <m:r>
                    <w:rPr>
                      <w:rFonts w:ascii="Cambria Math" w:hAnsi="Cambria Math" w:cs="Times New Roman"/>
                      <w:szCs w:val="20"/>
                    </w:rPr>
                    <m:t>L</m:t>
                  </m:r>
                </m:e>
                <m:sub>
                  <m:r>
                    <w:rPr>
                      <w:rFonts w:ascii="Cambria Math" w:hAnsi="Cambria Math" w:cs="Times New Roman"/>
                      <w:szCs w:val="20"/>
                    </w:rPr>
                    <m:t>S</m:t>
                  </m:r>
                </m:sub>
              </m:sSub>
            </m:num>
            <m:den>
              <m:sSub>
                <m:sSubPr>
                  <m:ctrlPr>
                    <w:rPr>
                      <w:rFonts w:ascii="Cambria Math" w:hAnsi="Cambria Math" w:cs="Times New Roman"/>
                      <w:i/>
                      <w:szCs w:val="20"/>
                    </w:rPr>
                  </m:ctrlPr>
                </m:sSubPr>
                <m:e>
                  <m:r>
                    <w:rPr>
                      <w:rFonts w:ascii="Cambria Math" w:hAnsi="Cambria Math" w:cs="Times New Roman"/>
                      <w:szCs w:val="20"/>
                    </w:rPr>
                    <m:t>h</m:t>
                  </m:r>
                </m:e>
                <m:sub>
                  <m:r>
                    <w:rPr>
                      <w:rFonts w:ascii="Cambria Math" w:hAnsi="Cambria Math" w:cs="Times New Roman"/>
                      <w:szCs w:val="20"/>
                    </w:rPr>
                    <m:t>K</m:t>
                  </m:r>
                </m:sub>
              </m:sSub>
            </m:den>
          </m:f>
          <m:r>
            <w:rPr>
              <w:rFonts w:ascii="Cambria Math" w:hAnsi="Cambria Math" w:cs="Times New Roman"/>
              <w:szCs w:val="20"/>
            </w:rPr>
            <m:t xml:space="preserve"> ∙ </m:t>
          </m:r>
          <m:sSup>
            <m:sSupPr>
              <m:ctrlPr>
                <w:rPr>
                  <w:rFonts w:ascii="Cambria Math" w:hAnsi="Cambria Math" w:cs="Times New Roman"/>
                  <w:i/>
                  <w:szCs w:val="20"/>
                </w:rPr>
              </m:ctrlPr>
            </m:sSupPr>
            <m:e>
              <m:r>
                <w:rPr>
                  <w:rFonts w:ascii="Cambria Math" w:hAnsi="Cambria Math" w:cs="Times New Roman"/>
                  <w:szCs w:val="20"/>
                </w:rPr>
                <m:t>10</m:t>
              </m:r>
            </m:e>
            <m:sup>
              <m:r>
                <w:rPr>
                  <w:rFonts w:ascii="Cambria Math" w:hAnsi="Cambria Math" w:cs="Times New Roman"/>
                  <w:szCs w:val="20"/>
                </w:rPr>
                <m:t>-3</m:t>
              </m:r>
            </m:sup>
          </m:sSup>
          <m:r>
            <w:rPr>
              <w:rFonts w:ascii="Cambria Math" w:hAnsi="Cambria Math" w:cs="Times New Roman"/>
              <w:szCs w:val="20"/>
            </w:rPr>
            <m:t xml:space="preserve"> </m:t>
          </m:r>
          <m:d>
            <m:dPr>
              <m:begChr m:val="["/>
              <m:endChr m:val="]"/>
              <m:ctrlPr>
                <w:rPr>
                  <w:rFonts w:ascii="Cambria Math" w:hAnsi="Cambria Math" w:cs="Times New Roman"/>
                  <w:i/>
                  <w:szCs w:val="20"/>
                </w:rPr>
              </m:ctrlPr>
            </m:dPr>
            <m:e>
              <m:r>
                <w:rPr>
                  <w:rFonts w:ascii="Cambria Math" w:hAnsi="Cambria Math" w:cs="Times New Roman"/>
                  <w:szCs w:val="20"/>
                </w:rPr>
                <m:t>kN</m:t>
              </m:r>
            </m:e>
          </m:d>
        </m:oMath>
      </m:oMathPara>
    </w:p>
    <w:p w14:paraId="0F918C83" w14:textId="77777777" w:rsidR="00271FA2" w:rsidRPr="004224F6" w:rsidRDefault="00D35E51" w:rsidP="0065380A">
      <w:pPr>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t>2.3</w:t>
      </w:r>
      <w:r w:rsidRPr="004224F6">
        <w:rPr>
          <w:rFonts w:ascii="Times New Roman" w:hAnsi="Times New Roman" w:cs="Times New Roman"/>
          <w:lang w:val="ru-RU"/>
        </w:rPr>
        <w:tab/>
        <w:t>Съединителни точки между тласкани плавателни средства:</w:t>
      </w:r>
    </w:p>
    <w:p w14:paraId="5DC83F27" w14:textId="77777777" w:rsidR="00271FA2" w:rsidRPr="004224F6" w:rsidRDefault="002C62EC" w:rsidP="0065380A">
      <w:pPr>
        <w:overflowPunct w:val="0"/>
        <w:adjustRightInd w:val="0"/>
        <w:spacing w:line="240" w:lineRule="atLeast"/>
        <w:ind w:left="567" w:hanging="567"/>
        <w:textAlignment w:val="baseline"/>
        <w:rPr>
          <w:rFonts w:ascii="Times New Roman" w:hAnsi="Times New Roman"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SL</m:t>
              </m:r>
            </m:sub>
          </m:sSub>
          <m:r>
            <w:rPr>
              <w:rFonts w:ascii="Cambria Math" w:hAnsi="Cambria Math" w:cs="Times New Roman"/>
              <w:szCs w:val="20"/>
            </w:rPr>
            <m:t xml:space="preserve">=80∙ </m:t>
          </m:r>
          <m:sSub>
            <m:sSubPr>
              <m:ctrlPr>
                <w:rPr>
                  <w:rFonts w:ascii="Cambria Math" w:hAnsi="Cambria Math" w:cs="Times New Roman"/>
                  <w:i/>
                  <w:szCs w:val="20"/>
                </w:rPr>
              </m:ctrlPr>
            </m:sSubPr>
            <m:e>
              <m:r>
                <w:rPr>
                  <w:rFonts w:ascii="Cambria Math" w:hAnsi="Cambria Math" w:cs="Times New Roman"/>
                  <w:szCs w:val="20"/>
                </w:rPr>
                <m:t>P</m:t>
              </m:r>
            </m:e>
            <m:sub>
              <m:r>
                <w:rPr>
                  <w:rFonts w:ascii="Cambria Math" w:hAnsi="Cambria Math" w:cs="Times New Roman"/>
                  <w:szCs w:val="20"/>
                </w:rPr>
                <m:t>B</m:t>
              </m:r>
            </m:sub>
          </m:sSub>
          <m:r>
            <w:rPr>
              <w:rFonts w:ascii="Cambria Math" w:hAnsi="Cambria Math" w:cs="Times New Roman"/>
              <w:szCs w:val="20"/>
            </w:rPr>
            <m:t xml:space="preserve"> ∙ </m:t>
          </m:r>
          <m:f>
            <m:fPr>
              <m:ctrlPr>
                <w:rPr>
                  <w:rFonts w:ascii="Cambria Math" w:hAnsi="Cambria Math" w:cs="Times New Roman"/>
                  <w:i/>
                  <w:szCs w:val="20"/>
                </w:rPr>
              </m:ctrlPr>
            </m:fPr>
            <m:num>
              <m:sSub>
                <m:sSubPr>
                  <m:ctrlPr>
                    <w:rPr>
                      <w:rFonts w:ascii="Cambria Math" w:hAnsi="Cambria Math" w:cs="Times New Roman"/>
                      <w:i/>
                      <w:szCs w:val="20"/>
                    </w:rPr>
                  </m:ctrlPr>
                </m:sSubPr>
                <m:e>
                  <m:r>
                    <w:rPr>
                      <w:rFonts w:ascii="Cambria Math" w:hAnsi="Cambria Math" w:cs="Times New Roman"/>
                      <w:szCs w:val="20"/>
                    </w:rPr>
                    <m:t>L'</m:t>
                  </m:r>
                </m:e>
                <m:sub>
                  <m:r>
                    <w:rPr>
                      <w:rFonts w:ascii="Cambria Math" w:hAnsi="Cambria Math" w:cs="Times New Roman"/>
                      <w:szCs w:val="20"/>
                    </w:rPr>
                    <m:t>S</m:t>
                  </m:r>
                </m:sub>
              </m:sSub>
            </m:num>
            <m:den>
              <m:sSub>
                <m:sSubPr>
                  <m:ctrlPr>
                    <w:rPr>
                      <w:rFonts w:ascii="Cambria Math" w:hAnsi="Cambria Math" w:cs="Times New Roman"/>
                      <w:i/>
                      <w:szCs w:val="20"/>
                    </w:rPr>
                  </m:ctrlPr>
                </m:sSubPr>
                <m:e>
                  <m:r>
                    <w:rPr>
                      <w:rFonts w:ascii="Cambria Math" w:hAnsi="Cambria Math" w:cs="Times New Roman"/>
                      <w:szCs w:val="20"/>
                    </w:rPr>
                    <m:t>h'</m:t>
                  </m:r>
                </m:e>
                <m:sub>
                  <m:r>
                    <w:rPr>
                      <w:rFonts w:ascii="Cambria Math" w:hAnsi="Cambria Math" w:cs="Times New Roman"/>
                      <w:szCs w:val="20"/>
                    </w:rPr>
                    <m:t>K</m:t>
                  </m:r>
                </m:sub>
              </m:sSub>
            </m:den>
          </m:f>
          <m:r>
            <w:rPr>
              <w:rFonts w:ascii="Cambria Math" w:hAnsi="Cambria Math" w:cs="Times New Roman"/>
              <w:szCs w:val="20"/>
            </w:rPr>
            <m:t xml:space="preserve"> ∙ </m:t>
          </m:r>
          <m:sSup>
            <m:sSupPr>
              <m:ctrlPr>
                <w:rPr>
                  <w:rFonts w:ascii="Cambria Math" w:hAnsi="Cambria Math" w:cs="Times New Roman"/>
                  <w:i/>
                  <w:szCs w:val="20"/>
                </w:rPr>
              </m:ctrlPr>
            </m:sSupPr>
            <m:e>
              <m:r>
                <w:rPr>
                  <w:rFonts w:ascii="Cambria Math" w:hAnsi="Cambria Math" w:cs="Times New Roman"/>
                  <w:szCs w:val="20"/>
                </w:rPr>
                <m:t>10</m:t>
              </m:r>
            </m:e>
            <m:sup>
              <m:r>
                <w:rPr>
                  <w:rFonts w:ascii="Cambria Math" w:hAnsi="Cambria Math" w:cs="Times New Roman"/>
                  <w:szCs w:val="20"/>
                </w:rPr>
                <m:t>-3</m:t>
              </m:r>
            </m:sup>
          </m:sSup>
          <m:r>
            <w:rPr>
              <w:rFonts w:ascii="Cambria Math" w:hAnsi="Cambria Math" w:cs="Times New Roman"/>
              <w:szCs w:val="20"/>
            </w:rPr>
            <m:t xml:space="preserve"> </m:t>
          </m:r>
          <m:d>
            <m:dPr>
              <m:begChr m:val="["/>
              <m:endChr m:val="]"/>
              <m:ctrlPr>
                <w:rPr>
                  <w:rFonts w:ascii="Cambria Math" w:hAnsi="Cambria Math" w:cs="Times New Roman"/>
                  <w:i/>
                  <w:szCs w:val="20"/>
                </w:rPr>
              </m:ctrlPr>
            </m:dPr>
            <m:e>
              <m:r>
                <w:rPr>
                  <w:rFonts w:ascii="Cambria Math" w:hAnsi="Cambria Math" w:cs="Times New Roman"/>
                  <w:szCs w:val="20"/>
                </w:rPr>
                <m:t>kN</m:t>
              </m:r>
            </m:e>
          </m:d>
        </m:oMath>
      </m:oMathPara>
    </w:p>
    <w:p w14:paraId="662B9288" w14:textId="40DDC14C" w:rsidR="00271FA2" w:rsidRPr="004224F6" w:rsidRDefault="00D35E51" w:rsidP="0065380A">
      <w:pPr>
        <w:tabs>
          <w:tab w:val="left" w:pos="284"/>
          <w:tab w:val="left" w:pos="454"/>
          <w:tab w:val="left" w:pos="567"/>
        </w:tabs>
        <w:overflowPunct w:val="0"/>
        <w:adjustRightInd w:val="0"/>
        <w:spacing w:line="240" w:lineRule="atLeast"/>
        <w:ind w:left="567"/>
        <w:jc w:val="both"/>
        <w:textAlignment w:val="baseline"/>
        <w:rPr>
          <w:rFonts w:ascii="Times New Roman" w:hAnsi="Times New Roman" w:cs="Times New Roman"/>
          <w:szCs w:val="20"/>
          <w:lang w:val="ru-RU"/>
        </w:rPr>
      </w:pPr>
      <w:r w:rsidRPr="004224F6">
        <w:rPr>
          <w:rFonts w:ascii="Times New Roman" w:hAnsi="Times New Roman" w:cs="Times New Roman"/>
          <w:lang w:val="ru-RU"/>
        </w:rPr>
        <w:t xml:space="preserve">Стойността от 1200 </w:t>
      </w:r>
      <w:r w:rsidRPr="004224F6">
        <w:rPr>
          <w:rFonts w:ascii="Times New Roman" w:hAnsi="Times New Roman" w:cs="Times New Roman"/>
        </w:rPr>
        <w:t>kN</w:t>
      </w:r>
      <w:r w:rsidRPr="004224F6">
        <w:rPr>
          <w:rFonts w:ascii="Times New Roman" w:hAnsi="Times New Roman" w:cs="Times New Roman"/>
          <w:lang w:val="ru-RU"/>
        </w:rPr>
        <w:t xml:space="preserve"> се счита за достатъчна за максималната сила на свързване за тласкащото плавателно средство в съединителната точка между първото тласкано плавателно средство и плавателното средство, свързано пред него, дори ако по формулата от точка 2.3 се получава по-голяма стойност.</w:t>
      </w:r>
    </w:p>
    <w:p w14:paraId="30A163AB" w14:textId="0D49878C" w:rsidR="00271FA2" w:rsidRPr="004224F6" w:rsidRDefault="00D35E51" w:rsidP="0065380A">
      <w:pPr>
        <w:overflowPunct w:val="0"/>
        <w:adjustRightInd w:val="0"/>
        <w:spacing w:line="240" w:lineRule="atLeast"/>
        <w:ind w:left="567"/>
        <w:jc w:val="both"/>
        <w:textAlignment w:val="baseline"/>
        <w:rPr>
          <w:rFonts w:ascii="Times New Roman" w:hAnsi="Times New Roman" w:cs="Times New Roman"/>
          <w:szCs w:val="20"/>
          <w:lang w:val="ru-RU"/>
        </w:rPr>
      </w:pPr>
      <w:r w:rsidRPr="004224F6">
        <w:rPr>
          <w:rFonts w:ascii="Times New Roman" w:hAnsi="Times New Roman" w:cs="Times New Roman"/>
          <w:lang w:val="ru-RU"/>
        </w:rPr>
        <w:t>За съединителните точки на всички други надлъжни връзки между тласканите плавателни средства оразмеряването на свързващите устройства е въз основа на силата на свързване, определена съгласно формулата в точка 2.3.</w:t>
      </w:r>
    </w:p>
    <w:p w14:paraId="3A795F0E" w14:textId="77777777" w:rsidR="00271FA2" w:rsidRPr="004224F6" w:rsidRDefault="00271FA2" w:rsidP="0065380A">
      <w:pPr>
        <w:tabs>
          <w:tab w:val="left" w:pos="284"/>
          <w:tab w:val="left" w:pos="454"/>
          <w:tab w:val="left" w:pos="567"/>
        </w:tabs>
        <w:overflowPunct w:val="0"/>
        <w:adjustRightInd w:val="0"/>
        <w:spacing w:line="240" w:lineRule="atLeast"/>
        <w:ind w:left="284" w:hanging="567"/>
        <w:textAlignment w:val="baseline"/>
        <w:rPr>
          <w:rFonts w:ascii="Times New Roman" w:hAnsi="Times New Roman" w:cs="Times New Roman"/>
          <w:szCs w:val="20"/>
          <w:lang w:val="ru-RU"/>
        </w:rPr>
      </w:pPr>
    </w:p>
    <w:p w14:paraId="5D405DF2" w14:textId="77777777" w:rsidR="00271FA2" w:rsidRPr="004224F6" w:rsidRDefault="00D35E51">
      <w:pPr>
        <w:tabs>
          <w:tab w:val="left" w:pos="284"/>
          <w:tab w:val="left" w:pos="454"/>
          <w:tab w:val="left" w:pos="567"/>
        </w:tabs>
        <w:overflowPunct w:val="0"/>
        <w:adjustRightInd w:val="0"/>
        <w:spacing w:line="240" w:lineRule="atLeast"/>
        <w:ind w:left="284" w:hanging="284"/>
        <w:textAlignment w:val="baseline"/>
        <w:rPr>
          <w:rFonts w:ascii="Times New Roman" w:hAnsi="Times New Roman" w:cs="Times New Roman"/>
          <w:szCs w:val="20"/>
        </w:rPr>
      </w:pPr>
      <w:r w:rsidRPr="004224F6">
        <w:rPr>
          <w:rFonts w:ascii="Times New Roman" w:hAnsi="Times New Roman" w:cs="Times New Roman"/>
          <w:noProof/>
          <w:szCs w:val="20"/>
          <w:lang w:eastAsia="bg-BG"/>
        </w:rPr>
        <w:lastRenderedPageBreak/>
        <mc:AlternateContent>
          <mc:Choice Requires="wps">
            <w:drawing>
              <wp:anchor distT="0" distB="0" distL="114300" distR="114300" simplePos="0" relativeHeight="251688960" behindDoc="0" locked="0" layoutInCell="1" allowOverlap="1" wp14:anchorId="5FB4B019" wp14:editId="31D4A120">
                <wp:simplePos x="0" y="0"/>
                <wp:positionH relativeFrom="column">
                  <wp:posOffset>3760470</wp:posOffset>
                </wp:positionH>
                <wp:positionV relativeFrom="paragraph">
                  <wp:posOffset>5767070</wp:posOffset>
                </wp:positionV>
                <wp:extent cx="981710" cy="208280"/>
                <wp:effectExtent l="0" t="0" r="0" b="0"/>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208280"/>
                        </a:xfrm>
                        <a:prstGeom prst="rect">
                          <a:avLst/>
                        </a:prstGeom>
                        <a:solidFill>
                          <a:srgbClr val="FFFFFF"/>
                        </a:solidFill>
                        <a:ln>
                          <a:noFill/>
                        </a:ln>
                      </wps:spPr>
                      <wps:txbx>
                        <w:txbxContent>
                          <w:p w14:paraId="1507E4AE" w14:textId="77777777" w:rsidR="005551B9" w:rsidRPr="0065380A" w:rsidRDefault="005551B9">
                            <w:pPr>
                              <w:rPr>
                                <w:sz w:val="20"/>
                                <w:szCs w:val="20"/>
                              </w:rPr>
                            </w:pPr>
                            <w:r w:rsidRPr="0065380A">
                              <w:rPr>
                                <w:sz w:val="20"/>
                                <w:szCs w:val="20"/>
                              </w:rPr>
                              <w:t>тласкано плавателно средство</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5FB4B019" id="Zone de texte 2" o:spid="_x0000_s1070" type="#_x0000_t202" style="position:absolute;left:0;text-align:left;margin-left:296.1pt;margin-top:454.1pt;width:77.3pt;height:16.4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" stroked="f">
                <v:textbox style="mso-fit-shape-to-text:t">
                  <w:txbxContent>
                    <w:p w14:paraId="1507E4AE" w14:textId="77777777" w:rsidR="005551B9" w:rsidRPr="0065380A" w:rsidRDefault="005551B9">
                      <w:pPr>
                        <w:rPr>
                          <w:sz w:val="20"/>
                          <w:szCs w:val="20"/>
                        </w:rPr>
                      </w:pPr>
                      <w:r w:rsidRPr="0065380A">
                        <w:rPr>
                          <w:sz w:val="20"/>
                          <w:szCs w:val="20"/>
                        </w:rPr>
                        <w:t>тласкано плавателно средство</w:t>
                      </w:r>
                    </w:p>
                  </w:txbxContent>
                </v:textbox>
              </v:shape>
            </w:pict>
          </mc:Fallback>
        </mc:AlternateContent>
      </w:r>
      <w:r w:rsidRPr="004224F6">
        <w:rPr>
          <w:rFonts w:ascii="Times New Roman" w:hAnsi="Times New Roman" w:cs="Times New Roman"/>
          <w:noProof/>
          <w:szCs w:val="20"/>
          <w:lang w:eastAsia="bg-BG"/>
        </w:rPr>
        <mc:AlternateContent>
          <mc:Choice Requires="wps">
            <w:drawing>
              <wp:anchor distT="0" distB="0" distL="114300" distR="114300" simplePos="0" relativeHeight="251687936" behindDoc="0" locked="0" layoutInCell="1" allowOverlap="1" wp14:anchorId="45360DA2" wp14:editId="45B5E4DB">
                <wp:simplePos x="0" y="0"/>
                <wp:positionH relativeFrom="column">
                  <wp:posOffset>1445895</wp:posOffset>
                </wp:positionH>
                <wp:positionV relativeFrom="paragraph">
                  <wp:posOffset>5786120</wp:posOffset>
                </wp:positionV>
                <wp:extent cx="981710" cy="208280"/>
                <wp:effectExtent l="0" t="0" r="0" b="0"/>
                <wp:wrapNone/>
                <wp:docPr id="2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208280"/>
                        </a:xfrm>
                        <a:prstGeom prst="rect">
                          <a:avLst/>
                        </a:prstGeom>
                        <a:solidFill>
                          <a:srgbClr val="FFFFFF"/>
                        </a:solidFill>
                        <a:ln>
                          <a:noFill/>
                        </a:ln>
                      </wps:spPr>
                      <wps:txbx>
                        <w:txbxContent>
                          <w:p w14:paraId="2BEDA633" w14:textId="77777777" w:rsidR="005551B9" w:rsidRPr="0065380A" w:rsidRDefault="005551B9">
                            <w:pPr>
                              <w:rPr>
                                <w:sz w:val="20"/>
                                <w:szCs w:val="20"/>
                              </w:rPr>
                            </w:pPr>
                            <w:r w:rsidRPr="0065380A">
                              <w:rPr>
                                <w:sz w:val="20"/>
                                <w:szCs w:val="20"/>
                              </w:rPr>
                              <w:t>тласкащо плавателно средство</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45360DA2" id="_x0000_s1071" type="#_x0000_t202" style="position:absolute;left:0;text-align:left;margin-left:113.85pt;margin-top:455.6pt;width:77.3pt;height:16.4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" stroked="f">
                <v:textbox style="mso-fit-shape-to-text:t">
                  <w:txbxContent>
                    <w:p w14:paraId="2BEDA633" w14:textId="77777777" w:rsidR="005551B9" w:rsidRPr="0065380A" w:rsidRDefault="005551B9">
                      <w:pPr>
                        <w:rPr>
                          <w:sz w:val="20"/>
                          <w:szCs w:val="20"/>
                        </w:rPr>
                      </w:pPr>
                      <w:r w:rsidRPr="0065380A">
                        <w:rPr>
                          <w:sz w:val="20"/>
                          <w:szCs w:val="20"/>
                        </w:rPr>
                        <w:t>тласкащо плавателно средство</w:t>
                      </w:r>
                    </w:p>
                  </w:txbxContent>
                </v:textbox>
              </v:shape>
            </w:pict>
          </mc:Fallback>
        </mc:AlternateContent>
      </w:r>
      <w:r w:rsidRPr="004224F6">
        <w:rPr>
          <w:rFonts w:ascii="Times New Roman" w:hAnsi="Times New Roman" w:cs="Times New Roman"/>
          <w:noProof/>
          <w:szCs w:val="20"/>
          <w:lang w:eastAsia="bg-BG"/>
        </w:rPr>
        <mc:AlternateContent>
          <mc:Choice Requires="wps">
            <w:drawing>
              <wp:anchor distT="0" distB="0" distL="114300" distR="114300" simplePos="0" relativeHeight="251686912" behindDoc="0" locked="0" layoutInCell="1" allowOverlap="1" wp14:anchorId="6E1979B3" wp14:editId="625EC78E">
                <wp:simplePos x="0" y="0"/>
                <wp:positionH relativeFrom="column">
                  <wp:posOffset>3760470</wp:posOffset>
                </wp:positionH>
                <wp:positionV relativeFrom="paragraph">
                  <wp:posOffset>4319270</wp:posOffset>
                </wp:positionV>
                <wp:extent cx="981710" cy="208280"/>
                <wp:effectExtent l="0" t="0" r="0" b="0"/>
                <wp:wrapNone/>
                <wp:docPr id="29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208280"/>
                        </a:xfrm>
                        <a:prstGeom prst="rect">
                          <a:avLst/>
                        </a:prstGeom>
                        <a:solidFill>
                          <a:srgbClr val="FFFFFF"/>
                        </a:solidFill>
                        <a:ln>
                          <a:noFill/>
                        </a:ln>
                      </wps:spPr>
                      <wps:txbx>
                        <w:txbxContent>
                          <w:p w14:paraId="42753CB9" w14:textId="77777777" w:rsidR="005551B9" w:rsidRPr="0065380A" w:rsidRDefault="005551B9">
                            <w:pPr>
                              <w:rPr>
                                <w:sz w:val="20"/>
                                <w:szCs w:val="20"/>
                              </w:rPr>
                            </w:pPr>
                            <w:r w:rsidRPr="0065380A">
                              <w:rPr>
                                <w:sz w:val="20"/>
                                <w:szCs w:val="20"/>
                              </w:rPr>
                              <w:t>тласкано плавателно средство</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6E1979B3" id="_x0000_s1072" type="#_x0000_t202" style="position:absolute;left:0;text-align:left;margin-left:296.1pt;margin-top:340.1pt;width:77.3pt;height:16.4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" stroked="f">
                <v:textbox style="mso-fit-shape-to-text:t">
                  <w:txbxContent>
                    <w:p w14:paraId="42753CB9" w14:textId="77777777" w:rsidR="005551B9" w:rsidRPr="0065380A" w:rsidRDefault="005551B9">
                      <w:pPr>
                        <w:rPr>
                          <w:sz w:val="20"/>
                          <w:szCs w:val="20"/>
                        </w:rPr>
                      </w:pPr>
                      <w:r w:rsidRPr="0065380A">
                        <w:rPr>
                          <w:sz w:val="20"/>
                          <w:szCs w:val="20"/>
                        </w:rPr>
                        <w:t>тласкано плавателно средство</w:t>
                      </w:r>
                    </w:p>
                  </w:txbxContent>
                </v:textbox>
              </v:shape>
            </w:pict>
          </mc:Fallback>
        </mc:AlternateContent>
      </w:r>
      <w:r w:rsidRPr="004224F6">
        <w:rPr>
          <w:rFonts w:ascii="Times New Roman" w:hAnsi="Times New Roman" w:cs="Times New Roman"/>
          <w:noProof/>
          <w:lang w:eastAsia="bg-BG"/>
        </w:rPr>
        <mc:AlternateContent>
          <mc:Choice Requires="wps">
            <w:drawing>
              <wp:anchor distT="0" distB="0" distL="114300" distR="114300" simplePos="0" relativeHeight="251685888" behindDoc="0" locked="0" layoutInCell="1" allowOverlap="1" wp14:anchorId="691A726B" wp14:editId="36A458ED">
                <wp:simplePos x="0" y="0"/>
                <wp:positionH relativeFrom="column">
                  <wp:posOffset>1455420</wp:posOffset>
                </wp:positionH>
                <wp:positionV relativeFrom="paragraph">
                  <wp:posOffset>4319270</wp:posOffset>
                </wp:positionV>
                <wp:extent cx="981710" cy="208280"/>
                <wp:effectExtent l="0" t="0" r="0" b="0"/>
                <wp:wrapNone/>
                <wp:docPr id="2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208280"/>
                        </a:xfrm>
                        <a:prstGeom prst="rect">
                          <a:avLst/>
                        </a:prstGeom>
                        <a:solidFill>
                          <a:srgbClr val="FFFFFF"/>
                        </a:solidFill>
                        <a:ln>
                          <a:noFill/>
                        </a:ln>
                      </wps:spPr>
                      <wps:txbx>
                        <w:txbxContent>
                          <w:p w14:paraId="7F6BD037" w14:textId="77777777" w:rsidR="005551B9" w:rsidRPr="0065380A" w:rsidRDefault="005551B9">
                            <w:pPr>
                              <w:rPr>
                                <w:sz w:val="20"/>
                                <w:szCs w:val="20"/>
                              </w:rPr>
                            </w:pPr>
                            <w:r w:rsidRPr="0065380A">
                              <w:rPr>
                                <w:sz w:val="20"/>
                                <w:szCs w:val="20"/>
                              </w:rPr>
                              <w:t>тласкащо плавателно средство</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691A726B" id="_x0000_s1073" type="#_x0000_t202" style="position:absolute;left:0;text-align:left;margin-left:114.6pt;margin-top:340.1pt;width:77.3pt;height:16.4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" stroked="f">
                <v:textbox style="mso-fit-shape-to-text:t">
                  <w:txbxContent>
                    <w:p w14:paraId="7F6BD037" w14:textId="77777777" w:rsidR="005551B9" w:rsidRPr="0065380A" w:rsidRDefault="005551B9">
                      <w:pPr>
                        <w:rPr>
                          <w:sz w:val="20"/>
                          <w:szCs w:val="20"/>
                        </w:rPr>
                      </w:pPr>
                      <w:r w:rsidRPr="0065380A">
                        <w:rPr>
                          <w:sz w:val="20"/>
                          <w:szCs w:val="20"/>
                        </w:rPr>
                        <w:t>тласкащо плавателно средство</w:t>
                      </w:r>
                    </w:p>
                  </w:txbxContent>
                </v:textbox>
              </v:shape>
            </w:pict>
          </mc:Fallback>
        </mc:AlternateContent>
      </w:r>
      <w:r w:rsidRPr="004224F6">
        <w:rPr>
          <w:rFonts w:ascii="Times New Roman" w:hAnsi="Times New Roman" w:cs="Times New Roman"/>
          <w:noProof/>
          <w:szCs w:val="20"/>
          <w:lang w:eastAsia="bg-BG"/>
        </w:rPr>
        <w:drawing>
          <wp:inline distT="0" distB="0" distL="0" distR="0" wp14:anchorId="59F43EB5" wp14:editId="0A1691F4">
            <wp:extent cx="5219700" cy="7000875"/>
            <wp:effectExtent l="0" t="0" r="0" b="9525"/>
            <wp:docPr id="305" name="Ima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 30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a:xfrm>
                      <a:off x="0" y="0"/>
                      <a:ext cx="5219700" cy="7000875"/>
                    </a:xfrm>
                    <a:prstGeom prst="rect">
                      <a:avLst/>
                    </a:prstGeom>
                    <a:solidFill>
                      <a:srgbClr val="FFFFFF"/>
                    </a:solidFill>
                    <a:ln>
                      <a:noFill/>
                    </a:ln>
                  </pic:spPr>
                </pic:pic>
              </a:graphicData>
            </a:graphic>
          </wp:inline>
        </w:drawing>
      </w:r>
    </w:p>
    <w:p w14:paraId="09610028" w14:textId="77777777" w:rsidR="00271FA2" w:rsidRPr="004224F6" w:rsidRDefault="00D35E51">
      <w:pPr>
        <w:tabs>
          <w:tab w:val="left" w:pos="284"/>
          <w:tab w:val="left" w:pos="454"/>
          <w:tab w:val="left" w:pos="567"/>
        </w:tabs>
        <w:overflowPunct w:val="0"/>
        <w:adjustRightInd w:val="0"/>
        <w:spacing w:line="240" w:lineRule="atLeast"/>
        <w:ind w:left="284" w:hanging="284"/>
        <w:textAlignment w:val="baseline"/>
        <w:rPr>
          <w:rFonts w:ascii="Times New Roman" w:hAnsi="Times New Roman" w:cs="Times New Roman"/>
          <w:szCs w:val="20"/>
        </w:rPr>
      </w:pPr>
      <w:r w:rsidRPr="004224F6">
        <w:rPr>
          <w:rFonts w:ascii="Times New Roman" w:hAnsi="Times New Roman" w:cs="Times New Roman"/>
        </w:rPr>
        <w:br w:type="page"/>
      </w:r>
    </w:p>
    <w:p w14:paraId="694FBFF1" w14:textId="77777777" w:rsidR="00271FA2" w:rsidRPr="004224F6" w:rsidRDefault="00D35E51">
      <w:pPr>
        <w:overflowPunct w:val="0"/>
        <w:adjustRightInd w:val="0"/>
        <w:spacing w:line="240" w:lineRule="atLeast"/>
        <w:ind w:left="709"/>
        <w:textAlignment w:val="baseline"/>
        <w:rPr>
          <w:rFonts w:ascii="Times New Roman" w:hAnsi="Times New Roman" w:cs="Times New Roman"/>
          <w:szCs w:val="20"/>
          <w:lang w:val="ru-RU"/>
        </w:rPr>
      </w:pPr>
      <w:r w:rsidRPr="004224F6">
        <w:rPr>
          <w:rFonts w:ascii="Times New Roman" w:hAnsi="Times New Roman" w:cs="Times New Roman"/>
          <w:lang w:val="ru-RU"/>
        </w:rPr>
        <w:lastRenderedPageBreak/>
        <w:t>Където:</w:t>
      </w:r>
    </w:p>
    <w:p w14:paraId="33837058" w14:textId="77777777" w:rsidR="00271FA2" w:rsidRPr="004224F6" w:rsidRDefault="002C62EC">
      <w:pPr>
        <w:tabs>
          <w:tab w:val="left" w:pos="284"/>
          <w:tab w:val="left" w:pos="2127"/>
          <w:tab w:val="left" w:pos="2977"/>
        </w:tabs>
        <w:overflowPunct w:val="0"/>
        <w:adjustRightInd w:val="0"/>
        <w:spacing w:line="240" w:lineRule="atLeast"/>
        <w:ind w:left="2977" w:hanging="2268"/>
        <w:jc w:val="both"/>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SB</m:t>
            </m:r>
          </m:sub>
        </m:sSub>
      </m:oMath>
      <w:r w:rsidR="00D35E51"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SF</m:t>
            </m:r>
          </m:sub>
        </m:sSub>
      </m:oMath>
      <w:r w:rsidR="00D35E51"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rPr>
              <m:t>F</m:t>
            </m:r>
          </m:e>
          <m:sub>
            <m:r>
              <w:rPr>
                <w:rFonts w:ascii="Cambria Math" w:hAnsi="Cambria Math" w:cs="Times New Roman"/>
                <w:szCs w:val="20"/>
              </w:rPr>
              <m:t>SL</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rPr>
        <w:t>kN</w:t>
      </w:r>
      <w:r w:rsidR="00D35E51" w:rsidRPr="004224F6">
        <w:rPr>
          <w:rFonts w:ascii="Times New Roman" w:hAnsi="Times New Roman" w:cs="Times New Roman"/>
          <w:lang w:val="ru-RU"/>
        </w:rPr>
        <w:t>]</w:t>
      </w:r>
      <w:r w:rsidR="00D35E51" w:rsidRPr="004224F6">
        <w:rPr>
          <w:rFonts w:ascii="Times New Roman" w:hAnsi="Times New Roman" w:cs="Times New Roman"/>
          <w:lang w:val="ru-RU"/>
        </w:rPr>
        <w:tab/>
        <w:t>Сила на свързване на надлъжна връзка;</w:t>
      </w:r>
    </w:p>
    <w:p w14:paraId="5479BA1B" w14:textId="77777777" w:rsidR="00271FA2" w:rsidRPr="004224F6" w:rsidRDefault="002C62EC">
      <w:pPr>
        <w:tabs>
          <w:tab w:val="left" w:pos="284"/>
          <w:tab w:val="left" w:pos="2127"/>
          <w:tab w:val="left" w:pos="2977"/>
        </w:tabs>
        <w:overflowPunct w:val="0"/>
        <w:adjustRightInd w:val="0"/>
        <w:spacing w:line="240" w:lineRule="atLeast"/>
        <w:ind w:left="2977" w:hanging="2268"/>
        <w:jc w:val="both"/>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P</m:t>
            </m:r>
          </m:e>
          <m:sub>
            <m:r>
              <w:rPr>
                <w:rFonts w:ascii="Cambria Math" w:hAnsi="Cambria Math" w:cs="Times New Roman"/>
                <w:szCs w:val="20"/>
              </w:rPr>
              <m:t>B</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rPr>
        <w:t>kW</w:t>
      </w:r>
      <w:r w:rsidR="00D35E51" w:rsidRPr="004224F6">
        <w:rPr>
          <w:rFonts w:ascii="Times New Roman" w:hAnsi="Times New Roman" w:cs="Times New Roman"/>
          <w:lang w:val="ru-RU"/>
        </w:rPr>
        <w:t>]</w:t>
      </w:r>
      <w:r w:rsidR="00D35E51" w:rsidRPr="004224F6">
        <w:rPr>
          <w:rFonts w:ascii="Times New Roman" w:hAnsi="Times New Roman" w:cs="Times New Roman"/>
          <w:lang w:val="ru-RU"/>
        </w:rPr>
        <w:tab/>
        <w:t>Инсталирана мощност на задвижващия двигател;</w:t>
      </w:r>
    </w:p>
    <w:p w14:paraId="5CE58B5A" w14:textId="77777777" w:rsidR="00271FA2" w:rsidRPr="004224F6" w:rsidRDefault="002C62EC">
      <w:pPr>
        <w:tabs>
          <w:tab w:val="left" w:pos="284"/>
          <w:tab w:val="left" w:pos="2127"/>
          <w:tab w:val="left" w:pos="2977"/>
        </w:tabs>
        <w:overflowPunct w:val="0"/>
        <w:adjustRightInd w:val="0"/>
        <w:spacing w:line="240" w:lineRule="atLeast"/>
        <w:ind w:left="2977" w:hanging="2268"/>
        <w:jc w:val="both"/>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L</m:t>
            </m:r>
          </m:e>
          <m:sub>
            <m:r>
              <w:rPr>
                <w:rFonts w:ascii="Cambria Math" w:hAnsi="Cambria Math" w:cs="Times New Roman"/>
                <w:szCs w:val="20"/>
              </w:rPr>
              <m:t>S</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rPr>
        <w:t>m</w:t>
      </w:r>
      <w:r w:rsidR="00D35E51" w:rsidRPr="004224F6">
        <w:rPr>
          <w:rFonts w:ascii="Times New Roman" w:hAnsi="Times New Roman" w:cs="Times New Roman"/>
          <w:lang w:val="ru-RU"/>
        </w:rPr>
        <w:t>]</w:t>
      </w:r>
      <w:r w:rsidR="00D35E51" w:rsidRPr="004224F6">
        <w:rPr>
          <w:rFonts w:ascii="Times New Roman" w:hAnsi="Times New Roman" w:cs="Times New Roman"/>
          <w:lang w:val="ru-RU"/>
        </w:rPr>
        <w:tab/>
        <w:t>Разстояние от кърмата на тласкача или тласкащото плавателно средство до съединителната точка;</w:t>
      </w:r>
    </w:p>
    <w:p w14:paraId="6D1FEAF6" w14:textId="77777777" w:rsidR="00271FA2" w:rsidRPr="004224F6" w:rsidRDefault="002C62EC">
      <w:pPr>
        <w:tabs>
          <w:tab w:val="left" w:pos="284"/>
          <w:tab w:val="left" w:pos="2127"/>
          <w:tab w:val="left" w:pos="2977"/>
        </w:tabs>
        <w:overflowPunct w:val="0"/>
        <w:adjustRightInd w:val="0"/>
        <w:spacing w:line="240" w:lineRule="atLeast"/>
        <w:ind w:left="2977" w:hanging="2268"/>
        <w:jc w:val="both"/>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L</m:t>
            </m:r>
            <m:r>
              <w:rPr>
                <w:rFonts w:ascii="Cambria Math" w:hAnsi="Cambria Math" w:cs="Times New Roman"/>
                <w:szCs w:val="20"/>
                <w:lang w:val="ru-RU"/>
              </w:rPr>
              <m:t>'</m:t>
            </m:r>
          </m:e>
          <m:sub>
            <m:r>
              <w:rPr>
                <w:rFonts w:ascii="Cambria Math" w:hAnsi="Cambria Math" w:cs="Times New Roman"/>
                <w:szCs w:val="20"/>
              </w:rPr>
              <m:t>S</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rPr>
        <w:t>m</w:t>
      </w:r>
      <w:r w:rsidR="00D35E51" w:rsidRPr="004224F6">
        <w:rPr>
          <w:rFonts w:ascii="Times New Roman" w:hAnsi="Times New Roman" w:cs="Times New Roman"/>
          <w:lang w:val="ru-RU"/>
        </w:rPr>
        <w:t>]</w:t>
      </w:r>
      <w:r w:rsidR="00D35E51" w:rsidRPr="004224F6">
        <w:rPr>
          <w:rFonts w:ascii="Times New Roman" w:hAnsi="Times New Roman" w:cs="Times New Roman"/>
          <w:lang w:val="ru-RU"/>
        </w:rPr>
        <w:tab/>
        <w:t>Р</w:t>
      </w:r>
      <w:r w:rsidR="00990408" w:rsidRPr="004224F6">
        <w:rPr>
          <w:rFonts w:ascii="Times New Roman" w:hAnsi="Times New Roman" w:cs="Times New Roman"/>
          <w:lang w:val="ru-RU"/>
        </w:rPr>
        <w:t>азстояние от кърмата на тласкащ</w:t>
      </w:r>
      <w:r w:rsidR="00D35E51" w:rsidRPr="004224F6">
        <w:rPr>
          <w:rFonts w:ascii="Times New Roman" w:hAnsi="Times New Roman" w:cs="Times New Roman"/>
          <w:lang w:val="ru-RU"/>
        </w:rPr>
        <w:t>ото плавателно средство до съединителната точка между първото тласкано плавателно средство и плавателното средство, свързано пред него;</w:t>
      </w:r>
    </w:p>
    <w:p w14:paraId="7C85D573" w14:textId="77777777" w:rsidR="00271FA2" w:rsidRPr="004224F6" w:rsidRDefault="002C62EC">
      <w:pPr>
        <w:tabs>
          <w:tab w:val="left" w:pos="284"/>
          <w:tab w:val="left" w:pos="2127"/>
          <w:tab w:val="left" w:pos="2977"/>
        </w:tabs>
        <w:overflowPunct w:val="0"/>
        <w:adjustRightInd w:val="0"/>
        <w:spacing w:line="240" w:lineRule="atLeast"/>
        <w:ind w:left="2977" w:hanging="2268"/>
        <w:jc w:val="both"/>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lang w:val="ru-RU"/>
              </w:rPr>
              <m:t>h</m:t>
            </m:r>
          </m:e>
          <m:sub>
            <m:r>
              <w:rPr>
                <w:rFonts w:ascii="Cambria Math" w:hAnsi="Cambria Math" w:cs="Times New Roman"/>
                <w:szCs w:val="20"/>
              </w:rPr>
              <m:t>K</m:t>
            </m:r>
          </m:sub>
        </m:sSub>
      </m:oMath>
      <w:r w:rsidR="00D35E51" w:rsidRPr="004224F6">
        <w:rPr>
          <w:rFonts w:ascii="Times New Roman" w:hAnsi="Times New Roman" w:cs="Times New Roman"/>
          <w:lang w:val="ru-RU"/>
        </w:rPr>
        <w:t xml:space="preserve">, </w:t>
      </w:r>
      <m:oMath>
        <m:sSub>
          <m:sSubPr>
            <m:ctrlPr>
              <w:rPr>
                <w:rFonts w:ascii="Cambria Math" w:hAnsi="Cambria Math" w:cs="Times New Roman"/>
                <w:i/>
                <w:szCs w:val="20"/>
              </w:rPr>
            </m:ctrlPr>
          </m:sSubPr>
          <m:e>
            <m:r>
              <w:rPr>
                <w:rFonts w:ascii="Cambria Math" w:hAnsi="Cambria Math" w:cs="Times New Roman"/>
                <w:szCs w:val="20"/>
                <w:lang w:val="ru-RU"/>
              </w:rPr>
              <m:t>h'</m:t>
            </m:r>
          </m:e>
          <m:sub>
            <m:r>
              <w:rPr>
                <w:rFonts w:ascii="Cambria Math" w:hAnsi="Cambria Math" w:cs="Times New Roman"/>
                <w:szCs w:val="20"/>
              </w:rPr>
              <m:t>K</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rPr>
        <w:t>m</w:t>
      </w:r>
      <w:r w:rsidR="00D35E51" w:rsidRPr="004224F6">
        <w:rPr>
          <w:rFonts w:ascii="Times New Roman" w:hAnsi="Times New Roman" w:cs="Times New Roman"/>
          <w:lang w:val="ru-RU"/>
        </w:rPr>
        <w:t>]</w:t>
      </w:r>
      <w:r w:rsidR="00D35E51" w:rsidRPr="004224F6">
        <w:rPr>
          <w:rFonts w:ascii="Times New Roman" w:hAnsi="Times New Roman" w:cs="Times New Roman"/>
          <w:lang w:val="ru-RU"/>
        </w:rPr>
        <w:tab/>
        <w:t>Съответстващо рамо на силата на надлъжната връзка;</w:t>
      </w:r>
    </w:p>
    <w:p w14:paraId="355AA72C" w14:textId="77777777" w:rsidR="00271FA2" w:rsidRPr="004224F6" w:rsidRDefault="002C62EC">
      <w:pPr>
        <w:tabs>
          <w:tab w:val="left" w:pos="284"/>
          <w:tab w:val="left" w:pos="2127"/>
          <w:tab w:val="left" w:pos="2977"/>
        </w:tabs>
        <w:overflowPunct w:val="0"/>
        <w:adjustRightInd w:val="0"/>
        <w:spacing w:line="240" w:lineRule="atLeast"/>
        <w:ind w:left="2977" w:hanging="2268"/>
        <w:jc w:val="both"/>
        <w:textAlignment w:val="baseline"/>
        <w:rPr>
          <w:rFonts w:ascii="Times New Roman" w:hAnsi="Times New Roman" w:cs="Times New Roman"/>
          <w:szCs w:val="20"/>
          <w:lang w:val="ru-RU"/>
        </w:rPr>
      </w:pPr>
      <m:oMath>
        <m:sSub>
          <m:sSubPr>
            <m:ctrlPr>
              <w:rPr>
                <w:rFonts w:ascii="Cambria Math" w:hAnsi="Cambria Math" w:cs="Times New Roman"/>
                <w:i/>
                <w:szCs w:val="20"/>
              </w:rPr>
            </m:ctrlPr>
          </m:sSubPr>
          <m:e>
            <m:r>
              <w:rPr>
                <w:rFonts w:ascii="Cambria Math" w:hAnsi="Cambria Math" w:cs="Times New Roman"/>
                <w:szCs w:val="20"/>
              </w:rPr>
              <m:t>B</m:t>
            </m:r>
          </m:e>
          <m:sub>
            <m:r>
              <w:rPr>
                <w:rFonts w:ascii="Cambria Math" w:hAnsi="Cambria Math" w:cs="Times New Roman"/>
                <w:szCs w:val="20"/>
              </w:rPr>
              <m:t>S</m:t>
            </m:r>
          </m:sub>
        </m:sSub>
      </m:oMath>
      <w:r w:rsidR="00D35E51" w:rsidRPr="004224F6">
        <w:rPr>
          <w:rFonts w:ascii="Times New Roman" w:hAnsi="Times New Roman" w:cs="Times New Roman"/>
          <w:lang w:val="ru-RU"/>
        </w:rPr>
        <w:tab/>
        <w:t>[</w:t>
      </w:r>
      <w:r w:rsidR="00D35E51" w:rsidRPr="004224F6">
        <w:rPr>
          <w:rFonts w:ascii="Times New Roman" w:hAnsi="Times New Roman" w:cs="Times New Roman"/>
        </w:rPr>
        <w:t>m</w:t>
      </w:r>
      <w:r w:rsidR="00D35E51" w:rsidRPr="004224F6">
        <w:rPr>
          <w:rFonts w:ascii="Times New Roman" w:hAnsi="Times New Roman" w:cs="Times New Roman"/>
          <w:lang w:val="ru-RU"/>
        </w:rPr>
        <w:t>]</w:t>
      </w:r>
      <w:r w:rsidR="00D35E51" w:rsidRPr="004224F6">
        <w:rPr>
          <w:rFonts w:ascii="Times New Roman" w:hAnsi="Times New Roman" w:cs="Times New Roman"/>
          <w:lang w:val="ru-RU"/>
        </w:rPr>
        <w:tab/>
        <w:t>Ширина на тласкащото плавателно средство;</w:t>
      </w:r>
    </w:p>
    <w:p w14:paraId="71CC0957" w14:textId="77777777" w:rsidR="00271FA2" w:rsidRPr="004224F6" w:rsidRDefault="00D35E51">
      <w:pPr>
        <w:tabs>
          <w:tab w:val="left" w:pos="0"/>
          <w:tab w:val="left" w:pos="284"/>
          <w:tab w:val="left" w:pos="2127"/>
          <w:tab w:val="left" w:pos="2977"/>
        </w:tabs>
        <w:overflowPunct w:val="0"/>
        <w:adjustRightInd w:val="0"/>
        <w:spacing w:line="240" w:lineRule="atLeast"/>
        <w:ind w:left="2977" w:hanging="2268"/>
        <w:jc w:val="both"/>
        <w:textAlignment w:val="baseline"/>
        <w:rPr>
          <w:rFonts w:ascii="Times New Roman" w:hAnsi="Times New Roman" w:cs="Times New Roman"/>
          <w:szCs w:val="20"/>
          <w:lang w:val="ru-RU"/>
        </w:rPr>
      </w:pPr>
      <w:r w:rsidRPr="004224F6">
        <w:rPr>
          <w:rFonts w:ascii="Times New Roman" w:hAnsi="Times New Roman" w:cs="Times New Roman"/>
          <w:lang w:val="ru-RU"/>
        </w:rPr>
        <w:t>(270) и (80)</w:t>
      </w:r>
      <w:r w:rsidRPr="004224F6">
        <w:rPr>
          <w:rFonts w:ascii="Times New Roman" w:hAnsi="Times New Roman" w:cs="Times New Roman"/>
          <w:lang w:val="ru-RU"/>
        </w:rPr>
        <w:tab/>
      </w:r>
      <m:oMath>
        <m:d>
          <m:dPr>
            <m:begChr m:val="["/>
            <m:endChr m:val="]"/>
            <m:ctrlPr>
              <w:rPr>
                <w:rFonts w:ascii="Cambria Math" w:hAnsi="Cambria Math" w:cs="Times New Roman"/>
                <w:i/>
                <w:szCs w:val="20"/>
              </w:rPr>
            </m:ctrlPr>
          </m:dPr>
          <m:e>
            <m:f>
              <m:fPr>
                <m:ctrlPr>
                  <w:rPr>
                    <w:rFonts w:ascii="Cambria Math" w:hAnsi="Cambria Math" w:cs="Times New Roman"/>
                    <w:i/>
                    <w:szCs w:val="20"/>
                  </w:rPr>
                </m:ctrlPr>
              </m:fPr>
              <m:num>
                <m:r>
                  <w:rPr>
                    <w:rFonts w:ascii="Cambria Math" w:hAnsi="Cambria Math" w:cs="Times New Roman"/>
                    <w:szCs w:val="20"/>
                  </w:rPr>
                  <m:t>kN</m:t>
                </m:r>
              </m:num>
              <m:den>
                <m:r>
                  <w:rPr>
                    <w:rFonts w:ascii="Cambria Math" w:hAnsi="Cambria Math" w:cs="Times New Roman"/>
                    <w:szCs w:val="20"/>
                  </w:rPr>
                  <m:t>kW</m:t>
                </m:r>
              </m:den>
            </m:f>
          </m:e>
        </m:d>
      </m:oMath>
      <w:r w:rsidRPr="004224F6">
        <w:rPr>
          <w:rFonts w:ascii="Times New Roman" w:hAnsi="Times New Roman" w:cs="Times New Roman"/>
          <w:lang w:val="ru-RU"/>
        </w:rPr>
        <w:tab/>
        <w:t>Емпирично установени стойности за превръщането на инсталираната мощност в задвижваща сила при запазване на достатъчни нива на безопасност.</w:t>
      </w:r>
    </w:p>
    <w:p w14:paraId="3B8F3DF3" w14:textId="77777777" w:rsidR="00271FA2" w:rsidRPr="004224F6" w:rsidRDefault="00D35E51" w:rsidP="0065380A">
      <w:pPr>
        <w:tabs>
          <w:tab w:val="left" w:pos="680"/>
        </w:tabs>
        <w:overflowPunct w:val="0"/>
        <w:adjustRightInd w:val="0"/>
        <w:spacing w:line="240" w:lineRule="atLeast"/>
        <w:ind w:left="680" w:hanging="680"/>
        <w:jc w:val="both"/>
        <w:textAlignment w:val="baseline"/>
        <w:rPr>
          <w:rFonts w:ascii="Times New Roman" w:hAnsi="Times New Roman" w:cs="Times New Roman"/>
          <w:szCs w:val="20"/>
          <w:lang w:val="ru-RU"/>
        </w:rPr>
      </w:pPr>
      <w:r w:rsidRPr="004224F6">
        <w:rPr>
          <w:rFonts w:ascii="Times New Roman" w:hAnsi="Times New Roman" w:cs="Times New Roman"/>
          <w:lang w:val="ru-RU"/>
        </w:rPr>
        <w:t>2.4.1</w:t>
      </w:r>
      <w:r w:rsidRPr="004224F6">
        <w:rPr>
          <w:rFonts w:ascii="Times New Roman" w:hAnsi="Times New Roman" w:cs="Times New Roman"/>
          <w:lang w:val="ru-RU"/>
        </w:rPr>
        <w:tab/>
        <w:t>За надлъжното свързване на отделно плавателно средство се използват най-малко две съединителни точки. Всяка съединителна точка се оразмерява за сила на свързване, определена съгласно точка 2.1, 2.2 или 2.3. Ако се използват компоненти за твърдо свързване, може да се разреши една съединителна точка, ако тази точка осигурява сигурно свързване на плавателното средство.</w:t>
      </w:r>
    </w:p>
    <w:p w14:paraId="01486A20" w14:textId="77777777" w:rsidR="00271FA2" w:rsidRPr="004224F6" w:rsidRDefault="00D35E51" w:rsidP="0065380A">
      <w:pPr>
        <w:tabs>
          <w:tab w:val="left" w:pos="680"/>
        </w:tabs>
        <w:overflowPunct w:val="0"/>
        <w:adjustRightInd w:val="0"/>
        <w:spacing w:line="240" w:lineRule="atLeast"/>
        <w:ind w:left="680" w:hanging="680"/>
        <w:jc w:val="both"/>
        <w:textAlignment w:val="baseline"/>
        <w:rPr>
          <w:rFonts w:ascii="Times New Roman" w:hAnsi="Times New Roman" w:cs="Times New Roman"/>
          <w:szCs w:val="20"/>
          <w:lang w:val="ru-RU"/>
        </w:rPr>
      </w:pPr>
      <w:r w:rsidRPr="004224F6">
        <w:rPr>
          <w:rFonts w:ascii="Times New Roman" w:hAnsi="Times New Roman" w:cs="Times New Roman"/>
          <w:lang w:val="ru-RU"/>
        </w:rPr>
        <w:tab/>
        <w:t>Якостта на опън на въжетата се избира съгласно предвидения брой навивки. Не трябва навивките в съединителната точка да са повече от три. Въжетата се избират съгласно предназначението им.</w:t>
      </w:r>
    </w:p>
    <w:p w14:paraId="521BEEBE" w14:textId="77777777" w:rsidR="00271FA2" w:rsidRPr="004224F6" w:rsidRDefault="00D35E51" w:rsidP="0065380A">
      <w:pPr>
        <w:tabs>
          <w:tab w:val="left" w:pos="680"/>
        </w:tabs>
        <w:overflowPunct w:val="0"/>
        <w:adjustRightInd w:val="0"/>
        <w:spacing w:line="240" w:lineRule="atLeast"/>
        <w:ind w:left="680" w:hanging="680"/>
        <w:jc w:val="both"/>
        <w:textAlignment w:val="baseline"/>
        <w:rPr>
          <w:rFonts w:ascii="Times New Roman" w:hAnsi="Times New Roman" w:cs="Times New Roman"/>
          <w:szCs w:val="20"/>
          <w:lang w:val="ru-RU"/>
        </w:rPr>
      </w:pPr>
      <w:r w:rsidRPr="004224F6">
        <w:rPr>
          <w:rFonts w:ascii="Times New Roman" w:hAnsi="Times New Roman" w:cs="Times New Roman"/>
          <w:lang w:val="ru-RU"/>
        </w:rPr>
        <w:t>2.4.2</w:t>
      </w:r>
      <w:r w:rsidRPr="004224F6">
        <w:rPr>
          <w:rFonts w:ascii="Times New Roman" w:hAnsi="Times New Roman" w:cs="Times New Roman"/>
          <w:lang w:val="ru-RU"/>
        </w:rPr>
        <w:tab/>
        <w:t>В случай на тласкачи само с един тласкан лихтер може да се използва формулата от точка 2.2 за определяне на силата на свързване, ако на такива тласкачи е разрешено да задвижват няколко такива лихтера.</w:t>
      </w:r>
    </w:p>
    <w:p w14:paraId="14A2D3CE" w14:textId="77777777" w:rsidR="00271FA2" w:rsidRPr="004224F6" w:rsidRDefault="00D35E51" w:rsidP="0065380A">
      <w:pPr>
        <w:tabs>
          <w:tab w:val="left" w:pos="680"/>
        </w:tabs>
        <w:overflowPunct w:val="0"/>
        <w:adjustRightInd w:val="0"/>
        <w:spacing w:line="240" w:lineRule="atLeast"/>
        <w:ind w:left="680" w:hanging="680"/>
        <w:jc w:val="both"/>
        <w:textAlignment w:val="baseline"/>
        <w:rPr>
          <w:rFonts w:ascii="Times New Roman" w:hAnsi="Times New Roman" w:cs="Times New Roman"/>
          <w:szCs w:val="20"/>
          <w:lang w:val="ru-RU"/>
        </w:rPr>
      </w:pPr>
      <w:r w:rsidRPr="004224F6">
        <w:rPr>
          <w:rFonts w:ascii="Times New Roman" w:hAnsi="Times New Roman" w:cs="Times New Roman"/>
          <w:lang w:val="ru-RU"/>
        </w:rPr>
        <w:t>2.4.3</w:t>
      </w:r>
      <w:r w:rsidRPr="004224F6">
        <w:rPr>
          <w:rFonts w:ascii="Times New Roman" w:hAnsi="Times New Roman" w:cs="Times New Roman"/>
          <w:lang w:val="ru-RU"/>
        </w:rPr>
        <w:tab/>
        <w:t>Достатъчен брой кнехтове или еквивалентни устройства трябва да са налични и да са способни да абсорбират породените сили на свързване.</w:t>
      </w:r>
    </w:p>
    <w:p w14:paraId="45A4508A" w14:textId="77777777" w:rsidR="00271FA2" w:rsidRPr="004224F6" w:rsidRDefault="00D35E51" w:rsidP="0065380A">
      <w:pPr>
        <w:tabs>
          <w:tab w:val="left" w:pos="680"/>
        </w:tabs>
        <w:overflowPunct w:val="0"/>
        <w:adjustRightInd w:val="0"/>
        <w:spacing w:line="240" w:lineRule="atLeast"/>
        <w:ind w:left="680" w:hanging="680"/>
        <w:jc w:val="both"/>
        <w:textAlignment w:val="baseline"/>
        <w:rPr>
          <w:rFonts w:ascii="Times New Roman" w:hAnsi="Times New Roman" w:cs="Times New Roman"/>
          <w:b/>
          <w:szCs w:val="20"/>
          <w:lang w:val="ru-RU"/>
        </w:rPr>
      </w:pPr>
      <w:r w:rsidRPr="004224F6">
        <w:rPr>
          <w:rFonts w:ascii="Times New Roman" w:hAnsi="Times New Roman" w:cs="Times New Roman"/>
          <w:b/>
          <w:lang w:val="ru-RU"/>
        </w:rPr>
        <w:t>3.</w:t>
      </w:r>
      <w:r w:rsidRPr="004224F6">
        <w:rPr>
          <w:rFonts w:ascii="Times New Roman" w:hAnsi="Times New Roman" w:cs="Times New Roman"/>
          <w:lang w:val="ru-RU"/>
        </w:rPr>
        <w:tab/>
      </w:r>
      <w:r w:rsidRPr="004224F6">
        <w:rPr>
          <w:rFonts w:ascii="Times New Roman" w:hAnsi="Times New Roman" w:cs="Times New Roman"/>
          <w:b/>
          <w:lang w:val="ru-RU"/>
        </w:rPr>
        <w:t>Специални изисквания към шарнирните връзки</w:t>
      </w:r>
    </w:p>
    <w:p w14:paraId="4BB29BA5" w14:textId="77777777" w:rsidR="00271FA2" w:rsidRPr="004224F6" w:rsidRDefault="00D35E51" w:rsidP="0065380A">
      <w:pPr>
        <w:tabs>
          <w:tab w:val="left" w:pos="680"/>
        </w:tabs>
        <w:overflowPunct w:val="0"/>
        <w:adjustRightInd w:val="0"/>
        <w:spacing w:line="240" w:lineRule="atLeast"/>
        <w:ind w:left="680" w:hanging="680"/>
        <w:jc w:val="both"/>
        <w:textAlignment w:val="baseline"/>
        <w:rPr>
          <w:rFonts w:ascii="Times New Roman" w:hAnsi="Times New Roman" w:cs="Times New Roman"/>
          <w:szCs w:val="20"/>
          <w:lang w:val="ru-RU"/>
        </w:rPr>
      </w:pPr>
      <w:r w:rsidRPr="004224F6">
        <w:rPr>
          <w:rFonts w:ascii="Times New Roman" w:hAnsi="Times New Roman" w:cs="Times New Roman"/>
          <w:lang w:val="ru-RU"/>
        </w:rPr>
        <w:tab/>
        <w:t>Шарнирните връзки се проектират, така че да осигуряват също твърдо свързване между плавателните средства. Спазването на изискванията на Глава 5 се проверява посредством ходови изпитвания с твърдо свързан състав в съответствие с член 21.06.</w:t>
      </w:r>
    </w:p>
    <w:p w14:paraId="1E09D6CB" w14:textId="77777777" w:rsidR="00271FA2" w:rsidRPr="004224F6" w:rsidRDefault="00D35E51">
      <w:pPr>
        <w:tabs>
          <w:tab w:val="left" w:pos="680"/>
        </w:tabs>
        <w:overflowPunct w:val="0"/>
        <w:adjustRightInd w:val="0"/>
        <w:spacing w:line="240" w:lineRule="atLeast"/>
        <w:ind w:left="680" w:hanging="680"/>
        <w:jc w:val="both"/>
        <w:textAlignment w:val="baseline"/>
        <w:rPr>
          <w:rFonts w:ascii="Times New Roman" w:hAnsi="Times New Roman" w:cs="Times New Roman"/>
          <w:szCs w:val="20"/>
          <w:lang w:val="ru-RU"/>
        </w:rPr>
      </w:pPr>
      <w:r w:rsidRPr="004224F6">
        <w:rPr>
          <w:rFonts w:ascii="Times New Roman" w:hAnsi="Times New Roman" w:cs="Times New Roman"/>
          <w:lang w:val="ru-RU"/>
        </w:rPr>
        <w:tab/>
        <w:t xml:space="preserve">Задвижващият блок на шарнирната връзка трябва да осигурява удовлетворително връщане от разтворено положение. Изискванията от членове от 6.02 до 6.04 се прилагат </w:t>
      </w:r>
      <w:r w:rsidRPr="004224F6">
        <w:rPr>
          <w:rFonts w:ascii="Times New Roman" w:hAnsi="Times New Roman" w:cs="Times New Roman"/>
          <w:i/>
        </w:rPr>
        <w:t>mutatis</w:t>
      </w:r>
      <w:r w:rsidRPr="004224F6">
        <w:rPr>
          <w:rFonts w:ascii="Times New Roman" w:hAnsi="Times New Roman" w:cs="Times New Roman"/>
          <w:i/>
          <w:lang w:val="ru-RU"/>
        </w:rPr>
        <w:t xml:space="preserve"> </w:t>
      </w:r>
      <w:r w:rsidRPr="004224F6">
        <w:rPr>
          <w:rFonts w:ascii="Times New Roman" w:hAnsi="Times New Roman" w:cs="Times New Roman"/>
          <w:i/>
        </w:rPr>
        <w:t>mutandis</w:t>
      </w:r>
      <w:r w:rsidRPr="004224F6">
        <w:rPr>
          <w:rFonts w:ascii="Times New Roman" w:hAnsi="Times New Roman" w:cs="Times New Roman"/>
          <w:lang w:val="ru-RU"/>
        </w:rPr>
        <w:t>, от което следва, че ако се използва задвижващо звено с усилвател, в случай на отказ трябва да са налични второ, независимо задвижващо звено и енергиен източник.</w:t>
      </w:r>
    </w:p>
    <w:p w14:paraId="7A81F904" w14:textId="77777777" w:rsidR="00271FA2" w:rsidRPr="004224F6" w:rsidRDefault="00D35E51">
      <w:pPr>
        <w:tabs>
          <w:tab w:val="left" w:pos="680"/>
        </w:tabs>
        <w:overflowPunct w:val="0"/>
        <w:adjustRightInd w:val="0"/>
        <w:spacing w:line="240" w:lineRule="atLeast"/>
        <w:ind w:left="680" w:hanging="680"/>
        <w:jc w:val="both"/>
        <w:textAlignment w:val="baseline"/>
        <w:rPr>
          <w:rFonts w:ascii="Times New Roman" w:hAnsi="Times New Roman" w:cs="Times New Roman"/>
          <w:szCs w:val="20"/>
          <w:lang w:val="ru-RU"/>
        </w:rPr>
      </w:pPr>
      <w:r w:rsidRPr="004224F6">
        <w:rPr>
          <w:rFonts w:ascii="Times New Roman" w:hAnsi="Times New Roman" w:cs="Times New Roman"/>
          <w:lang w:val="ru-RU"/>
        </w:rPr>
        <w:tab/>
        <w:t xml:space="preserve">Трябва да е възможно да се управлява и да се наблюдава шарнирната връзка (поне работното ѝ движение) от рулевата рубка, изискванията на членове 7.03 и 7.05 се прилагат </w:t>
      </w:r>
      <w:r w:rsidRPr="004224F6">
        <w:rPr>
          <w:rFonts w:ascii="Times New Roman" w:hAnsi="Times New Roman" w:cs="Times New Roman"/>
          <w:i/>
        </w:rPr>
        <w:t>mutatis</w:t>
      </w:r>
      <w:r w:rsidRPr="004224F6">
        <w:rPr>
          <w:rFonts w:ascii="Times New Roman" w:hAnsi="Times New Roman" w:cs="Times New Roman"/>
          <w:i/>
          <w:lang w:val="ru-RU"/>
        </w:rPr>
        <w:t xml:space="preserve"> </w:t>
      </w:r>
      <w:r w:rsidRPr="004224F6">
        <w:rPr>
          <w:rFonts w:ascii="Times New Roman" w:hAnsi="Times New Roman" w:cs="Times New Roman"/>
          <w:i/>
        </w:rPr>
        <w:t>mutandis</w:t>
      </w:r>
      <w:r w:rsidRPr="004224F6">
        <w:rPr>
          <w:rFonts w:ascii="Times New Roman" w:hAnsi="Times New Roman" w:cs="Times New Roman"/>
          <w:lang w:val="ru-RU"/>
        </w:rPr>
        <w:t>.</w:t>
      </w:r>
    </w:p>
    <w:p w14:paraId="673B1566" w14:textId="77777777" w:rsidR="00271FA2" w:rsidRPr="004224F6" w:rsidRDefault="00271FA2">
      <w:pPr>
        <w:overflowPunct w:val="0"/>
        <w:adjustRightInd w:val="0"/>
        <w:spacing w:line="240" w:lineRule="atLeast"/>
        <w:jc w:val="both"/>
        <w:textAlignment w:val="baseline"/>
        <w:rPr>
          <w:rFonts w:ascii="Times New Roman" w:eastAsia="Calibri" w:hAnsi="Times New Roman" w:cs="Times New Roman"/>
          <w:b/>
          <w:i/>
          <w:caps/>
          <w:szCs w:val="20"/>
          <w:lang w:val="ru-RU"/>
        </w:rPr>
        <w:sectPr w:rsidR="00271FA2" w:rsidRPr="004224F6" w:rsidSect="004224F6">
          <w:headerReference w:type="default" r:id="rId254"/>
          <w:footnotePr>
            <w:numRestart w:val="eachPage"/>
          </w:footnotePr>
          <w:pgSz w:w="11907" w:h="16840"/>
          <w:pgMar w:top="1134" w:right="1134" w:bottom="1134" w:left="1134" w:header="709" w:footer="709" w:gutter="0"/>
          <w:cols w:space="720"/>
          <w:docGrid w:linePitch="326"/>
        </w:sectPr>
      </w:pPr>
    </w:p>
    <w:p w14:paraId="60B0C923" w14:textId="77777777" w:rsidR="00271FA2" w:rsidRPr="004224F6" w:rsidRDefault="00D35E51">
      <w:pPr>
        <w:pStyle w:val="ES-Titre2ESI"/>
        <w:rPr>
          <w:rFonts w:ascii="Times New Roman" w:hAnsi="Times New Roman" w:cs="Times New Roman"/>
          <w:szCs w:val="20"/>
          <w:lang w:val="ru-RU"/>
        </w:rPr>
      </w:pPr>
      <w:bookmarkStart w:id="713" w:name="_Toc535827811"/>
      <w:bookmarkStart w:id="714" w:name="_Toc491854370"/>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-7</w:t>
      </w:r>
      <w:r w:rsidRPr="004224F6">
        <w:rPr>
          <w:rFonts w:ascii="Times New Roman" w:hAnsi="Times New Roman" w:cs="Times New Roman"/>
          <w:lang w:val="ru-RU"/>
        </w:rPr>
        <w:br/>
        <w:t>Горивни резервоари на плаващи съоръжения</w:t>
      </w:r>
      <w:bookmarkEnd w:id="713"/>
      <w:bookmarkEnd w:id="714"/>
    </w:p>
    <w:p w14:paraId="792130CF" w14:textId="77777777" w:rsidR="00271FA2" w:rsidRPr="004224F6" w:rsidRDefault="00D35E51" w:rsidP="0065380A">
      <w:pPr>
        <w:tabs>
          <w:tab w:val="left" w:pos="284"/>
          <w:tab w:val="left" w:pos="567"/>
        </w:tabs>
        <w:overflowPunct w:val="0"/>
        <w:adjustRightInd w:val="0"/>
        <w:spacing w:after="240" w:line="240" w:lineRule="atLeast"/>
        <w:ind w:left="284" w:hanging="284"/>
        <w:jc w:val="center"/>
        <w:textAlignment w:val="baseline"/>
        <w:rPr>
          <w:rFonts w:ascii="Times New Roman" w:hAnsi="Times New Roman" w:cs="Times New Roman"/>
          <w:b/>
          <w:szCs w:val="20"/>
          <w:lang w:val="ru-RU"/>
        </w:rPr>
      </w:pPr>
      <w:r w:rsidRPr="004224F6">
        <w:rPr>
          <w:rFonts w:ascii="Times New Roman" w:hAnsi="Times New Roman" w:cs="Times New Roman"/>
          <w:b/>
          <w:lang w:val="ru-RU"/>
        </w:rPr>
        <w:t>(член 8.05, точка 1 и член 22.02, точка 1, буква “г”)</w:t>
      </w:r>
    </w:p>
    <w:p w14:paraId="095A6106"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Съгласно член 8.05, точка 1 горивните резервоари са неразделна част от корпуса или са здраво свързани с него.</w:t>
      </w:r>
    </w:p>
    <w:p w14:paraId="6B48E557"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Горивните резервоари на двигателите на работното оборудване на плаващи съоръжения не трябва да са неразделна част от корпуса или да са здраво свързани с него. Подвижни резервоари могат да бъдат използвани, ако отговарят на следните условия:</w:t>
      </w:r>
    </w:p>
    <w:p w14:paraId="6693235A"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w:t>
      </w:r>
      <w:r w:rsidRPr="004224F6">
        <w:rPr>
          <w:rFonts w:ascii="Times New Roman" w:hAnsi="Times New Roman" w:cs="Times New Roman"/>
          <w:lang w:val="ru-RU"/>
        </w:rPr>
        <w:tab/>
        <w:t>вместимостта на тези резервоари не надхвърля 1000 литра;</w:t>
      </w:r>
    </w:p>
    <w:p w14:paraId="35C03180"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w:t>
      </w:r>
      <w:r w:rsidRPr="004224F6">
        <w:rPr>
          <w:rFonts w:ascii="Times New Roman" w:hAnsi="Times New Roman" w:cs="Times New Roman"/>
          <w:lang w:val="ru-RU"/>
        </w:rPr>
        <w:tab/>
        <w:t>възможно е резервоарите да се закрепват достатъчно здраво и да се заземяват;</w:t>
      </w:r>
    </w:p>
    <w:p w14:paraId="2937D45E"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3.</w:t>
      </w:r>
      <w:r w:rsidRPr="004224F6">
        <w:rPr>
          <w:rFonts w:ascii="Times New Roman" w:hAnsi="Times New Roman" w:cs="Times New Roman"/>
          <w:lang w:val="ru-RU"/>
        </w:rPr>
        <w:tab/>
        <w:t>резервоарите са от стомана, с достатъчна дебелина на стените и са монтирани в събирателна вана за течове. Последната е предназначена да предотвратява замърсяване на водните пътища с изтекло гориво. Събирателната вана може да се пропусне, ако са използвани резервоари с двойна обшивка със защита против течове или със система за известяване на течове, които се пълнят само с автоматичен клапан за подаване. Разпоредбите на точка 3 се считат за изпълнени, ако конструкцията на резервоара е сертифицирана и одобрена съгласно нормативната уредба на държава членка.</w:t>
      </w:r>
    </w:p>
    <w:p w14:paraId="5DDADDF5" w14:textId="77777777" w:rsidR="00271FA2" w:rsidRPr="004224F6" w:rsidRDefault="00D35E51">
      <w:pPr>
        <w:spacing w:line="240" w:lineRule="atLeast"/>
        <w:jc w:val="both"/>
        <w:rPr>
          <w:rFonts w:ascii="Times New Roman" w:hAnsi="Times New Roman" w:cs="Times New Roman"/>
          <w:lang w:val="ru-RU"/>
        </w:rPr>
      </w:pPr>
      <w:r w:rsidRPr="004224F6">
        <w:rPr>
          <w:rFonts w:ascii="Times New Roman" w:hAnsi="Times New Roman" w:cs="Times New Roman"/>
          <w:lang w:val="ru-RU"/>
        </w:rPr>
        <w:t>Подходящо вписване се извършва в Корабното удостоверение за вътрешно корабоплаване.</w:t>
      </w:r>
    </w:p>
    <w:p w14:paraId="3081E89B" w14:textId="77777777" w:rsidR="00271FA2" w:rsidRPr="004224F6" w:rsidRDefault="00D35E51">
      <w:pPr>
        <w:tabs>
          <w:tab w:val="left" w:pos="0"/>
          <w:tab w:val="left" w:pos="567"/>
          <w:tab w:val="left" w:pos="851"/>
          <w:tab w:val="left" w:pos="1701"/>
          <w:tab w:val="left" w:pos="7088"/>
        </w:tabs>
        <w:overflowPunct w:val="0"/>
        <w:adjustRightInd w:val="0"/>
        <w:spacing w:line="240" w:lineRule="atLeast"/>
        <w:ind w:left="567" w:hanging="567"/>
        <w:textAlignment w:val="baseline"/>
        <w:rPr>
          <w:rFonts w:ascii="Times New Roman" w:hAnsi="Times New Roman" w:cs="Times New Roman"/>
          <w:szCs w:val="20"/>
          <w:lang w:val="ru-RU"/>
        </w:rPr>
      </w:pPr>
      <w:r w:rsidRPr="004224F6">
        <w:rPr>
          <w:rFonts w:ascii="Times New Roman" w:hAnsi="Times New Roman" w:cs="Times New Roman"/>
          <w:lang w:val="ru-RU"/>
        </w:rPr>
        <w:br w:type="page"/>
      </w:r>
    </w:p>
    <w:p w14:paraId="02C54BAB" w14:textId="77777777" w:rsidR="00271FA2" w:rsidRPr="004224F6" w:rsidRDefault="00271FA2">
      <w:pPr>
        <w:tabs>
          <w:tab w:val="left" w:pos="0"/>
          <w:tab w:val="left" w:pos="567"/>
          <w:tab w:val="left" w:pos="851"/>
          <w:tab w:val="left" w:pos="1701"/>
          <w:tab w:val="left" w:pos="7088"/>
        </w:tabs>
        <w:overflowPunct w:val="0"/>
        <w:adjustRightInd w:val="0"/>
        <w:spacing w:line="240" w:lineRule="atLeast"/>
        <w:ind w:left="567" w:hanging="567"/>
        <w:textAlignment w:val="baseline"/>
        <w:rPr>
          <w:rFonts w:ascii="Times New Roman" w:hAnsi="Times New Roman" w:cs="Times New Roman"/>
          <w:szCs w:val="20"/>
          <w:lang w:val="ru-RU"/>
        </w:rPr>
        <w:sectPr w:rsidR="00271FA2" w:rsidRPr="004224F6" w:rsidSect="004224F6">
          <w:headerReference w:type="default" r:id="rId255"/>
          <w:footnotePr>
            <w:numRestart w:val="eachPage"/>
          </w:footnotePr>
          <w:pgSz w:w="11907" w:h="16840"/>
          <w:pgMar w:top="1134" w:right="1134" w:bottom="1134" w:left="1134" w:header="709" w:footer="709" w:gutter="0"/>
          <w:cols w:space="720"/>
          <w:docGrid w:linePitch="326"/>
        </w:sectPr>
      </w:pPr>
    </w:p>
    <w:p w14:paraId="65F48BED" w14:textId="77777777" w:rsidR="00271FA2" w:rsidRPr="004224F6" w:rsidRDefault="00D35E51">
      <w:pPr>
        <w:pStyle w:val="ES-Titre2ESI"/>
        <w:rPr>
          <w:rFonts w:ascii="Times New Roman" w:hAnsi="Times New Roman" w:cs="Times New Roman"/>
          <w:lang w:val="ru-RU"/>
        </w:rPr>
      </w:pPr>
      <w:bookmarkStart w:id="715" w:name="_Toc491854371"/>
      <w:bookmarkStart w:id="716" w:name="_Toc535827812"/>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-8</w:t>
      </w:r>
      <w:r w:rsidRPr="004224F6">
        <w:rPr>
          <w:rFonts w:ascii="Times New Roman" w:hAnsi="Times New Roman" w:cs="Times New Roman"/>
          <w:lang w:val="ru-RU"/>
        </w:rPr>
        <w:br/>
        <w:t>Плавателни средства за отдих</w:t>
      </w:r>
      <w:bookmarkEnd w:id="715"/>
      <w:bookmarkEnd w:id="716"/>
    </w:p>
    <w:p w14:paraId="71A8F4C3" w14:textId="77777777" w:rsidR="00271FA2" w:rsidRPr="004224F6" w:rsidRDefault="00D35E51" w:rsidP="0065380A">
      <w:pPr>
        <w:spacing w:after="240" w:line="240" w:lineRule="atLeast"/>
        <w:jc w:val="center"/>
        <w:rPr>
          <w:rFonts w:ascii="Times New Roman" w:hAnsi="Times New Roman" w:cs="Times New Roman"/>
          <w:b/>
          <w:lang w:val="ru-RU"/>
        </w:rPr>
      </w:pPr>
      <w:r w:rsidRPr="004224F6">
        <w:rPr>
          <w:rFonts w:ascii="Times New Roman" w:hAnsi="Times New Roman" w:cs="Times New Roman"/>
          <w:b/>
          <w:lang w:val="ru-RU"/>
        </w:rPr>
        <w:t>(член 26.01, точка 2)</w:t>
      </w:r>
    </w:p>
    <w:p w14:paraId="79C2E2BC"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Общи положения</w:t>
      </w:r>
    </w:p>
    <w:p w14:paraId="448136EA"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Пусканите на пазара плавателни средства за отдих, имащи дължина до 24 метра, трябва да отговарят на изискванията на Директива 2013/53/ЕС. Съгласно член 7 във вр</w:t>
      </w:r>
      <w:r w:rsidR="00AD566F" w:rsidRPr="004224F6">
        <w:rPr>
          <w:rFonts w:ascii="Times New Roman" w:hAnsi="Times New Roman" w:cs="Times New Roman"/>
          <w:lang w:val="ru-RU"/>
        </w:rPr>
        <w:t>ъзка с член 2 от посочената Д</w:t>
      </w:r>
      <w:r w:rsidRPr="004224F6">
        <w:rPr>
          <w:rFonts w:ascii="Times New Roman" w:hAnsi="Times New Roman" w:cs="Times New Roman"/>
          <w:lang w:val="ru-RU"/>
        </w:rPr>
        <w:t>иректива (ЕС) 2016/1629 (съответно Рейнските правила за инспекция на корабите) плавателните средства за отдих, имащи дължина 20 метра или повече, трябва да притежават Корабно удостоверение за вътрешно корабоплаване, потвърждаващо, че плавателното средство отговаря на техническите изисквания на настоящия стандарт. За да се избегне двойната проверка или сертифициране на някои части на оборудването, приспособления и съоръжения на новопостроени плавателни съдове за отдих в резултат на прилагането на определе</w:t>
      </w:r>
      <w:r w:rsidR="00DD41AC" w:rsidRPr="004224F6">
        <w:rPr>
          <w:rFonts w:ascii="Times New Roman" w:hAnsi="Times New Roman" w:cs="Times New Roman"/>
          <w:lang w:val="ru-RU"/>
        </w:rPr>
        <w:t>ни разпоредби от член 26.01 от С</w:t>
      </w:r>
      <w:r w:rsidRPr="004224F6">
        <w:rPr>
          <w:rFonts w:ascii="Times New Roman" w:hAnsi="Times New Roman" w:cs="Times New Roman"/>
          <w:lang w:val="ru-RU"/>
        </w:rPr>
        <w:t>тандарта, настоящата инструкция предоставя информация относно изискванията по член 26.01, които са уредени в достатъчна степен в Директива 2013/53/ЕС.</w:t>
      </w:r>
    </w:p>
    <w:p w14:paraId="2C248926"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Изисквания по член 26.01, които са уредени в Директива 2013/53/ЕС</w:t>
      </w:r>
    </w:p>
    <w:p w14:paraId="10AE3DFD" w14:textId="745E0D94" w:rsidR="00271FA2" w:rsidRPr="004224F6" w:rsidRDefault="00214A7B" w:rsidP="0065380A">
      <w:pPr>
        <w:ind w:left="567" w:right="-1"/>
        <w:rPr>
          <w:rFonts w:ascii="Times New Roman" w:hAnsi="Times New Roman" w:cs="Times New Roman"/>
          <w:lang w:val="ru-RU"/>
        </w:rPr>
      </w:pPr>
      <w:r w:rsidRPr="004224F6">
        <w:rPr>
          <w:rFonts w:ascii="Times New Roman" w:hAnsi="Times New Roman" w:cs="Times New Roman"/>
          <w:lang w:val="ru-RU"/>
        </w:rPr>
        <w:t xml:space="preserve">За плавателни съдове за отдих, предмет на Директива 2013/53/ЕС, контролният орган по отношение на издаването на сертификат за кораб за вътрешно корабоплаване (първоначална проверка) не изисква допълнителна проверка или сертифициране, освен изискванията на член 26.01, </w:t>
      </w:r>
      <w:r w:rsidR="0097711D" w:rsidRPr="004224F6">
        <w:rPr>
          <w:rFonts w:ascii="Times New Roman" w:hAnsi="Times New Roman" w:cs="Times New Roman"/>
          <w:lang w:val="ru-RU"/>
        </w:rPr>
        <w:t>т.</w:t>
      </w:r>
      <w:r w:rsidR="006064C5" w:rsidRPr="004224F6">
        <w:rPr>
          <w:rFonts w:ascii="Times New Roman" w:hAnsi="Times New Roman" w:cs="Times New Roman"/>
          <w:lang w:val="ru-RU"/>
        </w:rPr>
        <w:t xml:space="preserve"> </w:t>
      </w:r>
      <w:r w:rsidR="00561794" w:rsidRPr="004224F6">
        <w:rPr>
          <w:rFonts w:ascii="Times New Roman" w:hAnsi="Times New Roman" w:cs="Times New Roman"/>
          <w:lang w:val="ru-RU"/>
        </w:rPr>
        <w:t>точка</w:t>
      </w:r>
      <w:r w:rsidRPr="004224F6">
        <w:rPr>
          <w:rFonts w:ascii="Times New Roman" w:hAnsi="Times New Roman" w:cs="Times New Roman"/>
          <w:lang w:val="ru-RU"/>
        </w:rPr>
        <w:t xml:space="preserve"> 2, букви от а) до е), при условие че не са извършвани модификации на плавателния съд след пускането му на пазара и декларацията за съответствие се отнася до </w:t>
      </w:r>
      <w:r w:rsidR="006064C5" w:rsidRPr="004224F6">
        <w:rPr>
          <w:rFonts w:ascii="Times New Roman" w:hAnsi="Times New Roman" w:cs="Times New Roman"/>
          <w:lang w:val="ru-RU"/>
        </w:rPr>
        <w:t xml:space="preserve">следните </w:t>
      </w:r>
      <w:r w:rsidRPr="004224F6">
        <w:rPr>
          <w:rFonts w:ascii="Times New Roman" w:hAnsi="Times New Roman" w:cs="Times New Roman"/>
          <w:lang w:val="ru-RU"/>
        </w:rPr>
        <w:t>хармонизирани стандарти или техен еквивалент:</w:t>
      </w:r>
    </w:p>
    <w:p w14:paraId="078CDBD2" w14:textId="573BE9BB" w:rsidR="00271FA2" w:rsidRPr="004224F6" w:rsidRDefault="002D67E7" w:rsidP="0065380A">
      <w:pPr>
        <w:tabs>
          <w:tab w:val="left" w:pos="4253"/>
        </w:tabs>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Член 8.08, точка 2:</w:t>
      </w:r>
      <w:r w:rsidR="00D35E51" w:rsidRPr="004224F6">
        <w:rPr>
          <w:rFonts w:ascii="Times New Roman" w:hAnsi="Times New Roman" w:cs="Times New Roman"/>
        </w:rPr>
        <w:t>EN</w:t>
      </w:r>
      <w:r w:rsidR="00D35E51" w:rsidRPr="004224F6">
        <w:rPr>
          <w:rFonts w:ascii="Times New Roman" w:hAnsi="Times New Roman" w:cs="Times New Roman"/>
          <w:lang w:val="ru-RU"/>
        </w:rPr>
        <w:t xml:space="preserve"> </w:t>
      </w:r>
      <w:r w:rsidR="00D35E51" w:rsidRPr="004224F6">
        <w:rPr>
          <w:rFonts w:ascii="Times New Roman" w:hAnsi="Times New Roman" w:cs="Times New Roman"/>
        </w:rPr>
        <w:t>ISO</w:t>
      </w:r>
      <w:r w:rsidR="00D35E51" w:rsidRPr="004224F6">
        <w:rPr>
          <w:rFonts w:ascii="Times New Roman" w:hAnsi="Times New Roman" w:cs="Times New Roman"/>
          <w:lang w:val="ru-RU"/>
        </w:rPr>
        <w:t xml:space="preserve"> 15083:</w:t>
      </w:r>
      <w:r w:rsidR="00561794" w:rsidRPr="004224F6">
        <w:rPr>
          <w:rFonts w:ascii="Times New Roman" w:hAnsi="Times New Roman" w:cs="Times New Roman"/>
          <w:lang w:val="ru-RU"/>
        </w:rPr>
        <w:t>2023</w:t>
      </w:r>
      <w:r w:rsidR="00D35E51" w:rsidRPr="004224F6">
        <w:rPr>
          <w:rFonts w:ascii="Times New Roman" w:hAnsi="Times New Roman" w:cs="Times New Roman"/>
          <w:lang w:val="ru-RU"/>
        </w:rPr>
        <w:t>, (Системи за изпомпване на трюма)</w:t>
      </w:r>
    </w:p>
    <w:p w14:paraId="27DC9378" w14:textId="64EB51AF" w:rsidR="00725D63" w:rsidRPr="004224F6" w:rsidRDefault="002D67E7" w:rsidP="0065380A">
      <w:pPr>
        <w:tabs>
          <w:tab w:val="left" w:pos="4253"/>
        </w:tabs>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Член 8.10:</w:t>
      </w:r>
      <w:r w:rsidR="00725D63" w:rsidRPr="004224F6">
        <w:rPr>
          <w:rFonts w:ascii="Times New Roman" w:hAnsi="Times New Roman" w:cs="Times New Roman"/>
          <w:lang w:val="ru-RU"/>
        </w:rPr>
        <w:t xml:space="preserve">              </w:t>
      </w:r>
      <w:r w:rsidRPr="004224F6">
        <w:rPr>
          <w:rFonts w:ascii="Times New Roman" w:hAnsi="Times New Roman" w:cs="Times New Roman"/>
        </w:rPr>
        <w:t>EN</w:t>
      </w:r>
      <w:r w:rsidRPr="004224F6">
        <w:rPr>
          <w:rFonts w:ascii="Times New Roman" w:hAnsi="Times New Roman" w:cs="Times New Roman"/>
          <w:lang w:val="ru-RU"/>
        </w:rPr>
        <w:t xml:space="preserve"> </w:t>
      </w:r>
      <w:r w:rsidRPr="004224F6">
        <w:rPr>
          <w:rFonts w:ascii="Times New Roman" w:hAnsi="Times New Roman" w:cs="Times New Roman"/>
        </w:rPr>
        <w:t>ISO</w:t>
      </w:r>
      <w:r w:rsidRPr="004224F6">
        <w:rPr>
          <w:rFonts w:ascii="Times New Roman" w:hAnsi="Times New Roman" w:cs="Times New Roman"/>
          <w:lang w:val="ru-RU"/>
        </w:rPr>
        <w:t xml:space="preserve"> 14509-1:</w:t>
      </w:r>
      <w:r w:rsidR="00D35E51" w:rsidRPr="004224F6">
        <w:rPr>
          <w:rFonts w:ascii="Times New Roman" w:hAnsi="Times New Roman" w:cs="Times New Roman"/>
          <w:lang w:val="ru-RU"/>
        </w:rPr>
        <w:t xml:space="preserve">2008 и </w:t>
      </w:r>
    </w:p>
    <w:p w14:paraId="41D9B0A6" w14:textId="588B1222" w:rsidR="00271FA2" w:rsidRPr="004224F6" w:rsidRDefault="0065380A" w:rsidP="0065380A">
      <w:pPr>
        <w:tabs>
          <w:tab w:val="left" w:pos="4253"/>
        </w:tabs>
        <w:spacing w:line="240" w:lineRule="atLeast"/>
        <w:ind w:left="567" w:hanging="1560"/>
        <w:jc w:val="both"/>
        <w:rPr>
          <w:rFonts w:ascii="Times New Roman" w:hAnsi="Times New Roman" w:cs="Times New Roman"/>
          <w:lang w:val="ru-RU"/>
        </w:rPr>
      </w:pPr>
      <w:r w:rsidRPr="004224F6">
        <w:rPr>
          <w:rFonts w:ascii="Times New Roman" w:hAnsi="Times New Roman" w:cs="Times New Roman"/>
          <w:lang w:val="ru-RU"/>
        </w:rPr>
        <w:tab/>
      </w:r>
      <w:r w:rsidR="00D35E51" w:rsidRPr="004224F6">
        <w:rPr>
          <w:rFonts w:ascii="Times New Roman" w:hAnsi="Times New Roman" w:cs="Times New Roman"/>
        </w:rPr>
        <w:t>EN</w:t>
      </w:r>
      <w:r w:rsidR="00D35E51" w:rsidRPr="004224F6">
        <w:rPr>
          <w:rFonts w:ascii="Times New Roman" w:hAnsi="Times New Roman" w:cs="Times New Roman"/>
          <w:lang w:val="ru-RU"/>
        </w:rPr>
        <w:t xml:space="preserve"> </w:t>
      </w:r>
      <w:r w:rsidR="00D35E51" w:rsidRPr="004224F6">
        <w:rPr>
          <w:rFonts w:ascii="Times New Roman" w:hAnsi="Times New Roman" w:cs="Times New Roman"/>
        </w:rPr>
        <w:t>ISO</w:t>
      </w:r>
      <w:r w:rsidR="00D35E51" w:rsidRPr="004224F6">
        <w:rPr>
          <w:rFonts w:ascii="Times New Roman" w:hAnsi="Times New Roman" w:cs="Times New Roman"/>
          <w:lang w:val="ru-RU"/>
        </w:rPr>
        <w:t xml:space="preserve"> 14509-3:2018 (Шумови емисии)</w:t>
      </w:r>
    </w:p>
    <w:p w14:paraId="575AB455" w14:textId="77777777" w:rsidR="00271FA2" w:rsidRPr="004224F6" w:rsidRDefault="00D35E51">
      <w:pPr>
        <w:tabs>
          <w:tab w:val="left" w:pos="4253"/>
        </w:tabs>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Плавателните средства за отдих, които попадат в обхвата на Директива 2013/53/ЕС или предишна Директива 94/25/ЕО, също трябва да отговарят постоянно на техническите изисквания на Директива 2013/53/ЕС, съответно на Директива 94/25/ЕО. Ако плавателно средство за отдих подлежи на периодична проверка, контролният орган може да провери дали плавателното средство за отдих все още е в техническото състояние, което е съществувало към момента на първоначалната проверка.</w:t>
      </w:r>
    </w:p>
    <w:p w14:paraId="4DC50D86" w14:textId="77777777" w:rsidR="00271FA2" w:rsidRPr="004224F6" w:rsidRDefault="00D35E51">
      <w:pPr>
        <w:tabs>
          <w:tab w:val="left" w:pos="4253"/>
        </w:tabs>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Ако контролният орган установи, че плавателното средство за отдих вече не отговаря на техническите изисквания на Директива 2013/53/ЕС (или предишна Директива 94/25/ЕО), той може да изиска възстановяване на съответствието с тези технически изисквания. Алтернативно, плавателното средство за отдих може да бъде инспектир</w:t>
      </w:r>
      <w:r w:rsidR="002D67E7" w:rsidRPr="004224F6">
        <w:rPr>
          <w:rFonts w:ascii="Times New Roman" w:hAnsi="Times New Roman" w:cs="Times New Roman"/>
          <w:lang w:val="ru-RU"/>
        </w:rPr>
        <w:t>ано</w:t>
      </w:r>
      <w:r w:rsidRPr="004224F6">
        <w:rPr>
          <w:rFonts w:ascii="Times New Roman" w:hAnsi="Times New Roman" w:cs="Times New Roman"/>
          <w:lang w:val="ru-RU"/>
        </w:rPr>
        <w:t xml:space="preserve"> в съответствие с разпоредбите на член 26.01, точка 1, в който случай може да се счита, че е в експлоатация, при спазване на разпоредбите, прилагащи преходните разпоредби.</w:t>
      </w:r>
    </w:p>
    <w:p w14:paraId="1BA4B60F" w14:textId="77777777" w:rsidR="00271FA2" w:rsidRPr="004224F6" w:rsidRDefault="00271FA2">
      <w:pPr>
        <w:spacing w:line="240" w:lineRule="atLeast"/>
        <w:ind w:left="567" w:hanging="567"/>
        <w:rPr>
          <w:rFonts w:ascii="Times New Roman" w:hAnsi="Times New Roman" w:cs="Times New Roman"/>
          <w:lang w:val="ru-RU"/>
        </w:rPr>
      </w:pPr>
    </w:p>
    <w:p w14:paraId="18E911E7" w14:textId="77777777" w:rsidR="00271FA2" w:rsidRPr="004224F6" w:rsidRDefault="00271FA2">
      <w:pPr>
        <w:tabs>
          <w:tab w:val="left" w:pos="0"/>
          <w:tab w:val="left" w:pos="567"/>
          <w:tab w:val="left" w:pos="851"/>
          <w:tab w:val="left" w:pos="1701"/>
          <w:tab w:val="left" w:pos="7088"/>
        </w:tabs>
        <w:overflowPunct w:val="0"/>
        <w:adjustRightInd w:val="0"/>
        <w:spacing w:line="240" w:lineRule="atLeast"/>
        <w:ind w:left="567" w:hanging="567"/>
        <w:textAlignment w:val="baseline"/>
        <w:rPr>
          <w:rFonts w:ascii="Times New Roman" w:hAnsi="Times New Roman" w:cs="Times New Roman"/>
          <w:szCs w:val="20"/>
          <w:lang w:val="ru-RU"/>
        </w:rPr>
        <w:sectPr w:rsidR="00271FA2" w:rsidRPr="004224F6" w:rsidSect="004224F6">
          <w:headerReference w:type="default" r:id="rId256"/>
          <w:footnotePr>
            <w:numRestart w:val="eachPage"/>
          </w:footnotePr>
          <w:pgSz w:w="11907" w:h="16840"/>
          <w:pgMar w:top="1134" w:right="1134" w:bottom="1134" w:left="1134" w:header="709" w:footer="709" w:gutter="0"/>
          <w:cols w:space="720"/>
          <w:docGrid w:linePitch="326"/>
        </w:sectPr>
      </w:pPr>
    </w:p>
    <w:p w14:paraId="40608417" w14:textId="77777777" w:rsidR="00271FA2" w:rsidRPr="004224F6" w:rsidRDefault="00D35E51">
      <w:pPr>
        <w:pStyle w:val="ES-Titre2ESI"/>
        <w:rPr>
          <w:rFonts w:ascii="Times New Roman" w:hAnsi="Times New Roman" w:cs="Times New Roman"/>
          <w:szCs w:val="20"/>
          <w:lang w:val="ru-RU"/>
        </w:rPr>
      </w:pPr>
      <w:bookmarkStart w:id="717" w:name="_Toc491854372"/>
      <w:bookmarkStart w:id="718" w:name="_Toc535827813"/>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-9</w:t>
      </w:r>
      <w:r w:rsidRPr="004224F6">
        <w:rPr>
          <w:rFonts w:ascii="Times New Roman" w:hAnsi="Times New Roman" w:cs="Times New Roman"/>
          <w:lang w:val="ru-RU"/>
        </w:rPr>
        <w:br/>
        <w:t>Доказателство за плавателност, диферент и устойчивост на разделените части на плавателен съд</w:t>
      </w:r>
      <w:bookmarkEnd w:id="717"/>
      <w:bookmarkEnd w:id="718"/>
    </w:p>
    <w:p w14:paraId="51B83089" w14:textId="77777777" w:rsidR="00271FA2" w:rsidRPr="004224F6" w:rsidRDefault="00D35E51" w:rsidP="0065380A">
      <w:pPr>
        <w:spacing w:after="240" w:line="240" w:lineRule="atLeast"/>
        <w:jc w:val="center"/>
        <w:rPr>
          <w:rFonts w:ascii="Times New Roman" w:hAnsi="Times New Roman" w:cs="Times New Roman"/>
          <w:b/>
          <w:bCs/>
          <w:lang w:val="ru-RU"/>
        </w:rPr>
      </w:pPr>
      <w:r w:rsidRPr="004224F6">
        <w:rPr>
          <w:rFonts w:ascii="Times New Roman" w:hAnsi="Times New Roman" w:cs="Times New Roman"/>
          <w:b/>
          <w:lang w:val="ru-RU"/>
        </w:rPr>
        <w:t>(член 28.04 във връзка с член 27.02 и член 27.03)</w:t>
      </w:r>
    </w:p>
    <w:p w14:paraId="222ACADE" w14:textId="77777777" w:rsidR="00271FA2" w:rsidRPr="004224F6" w:rsidRDefault="00D35E51">
      <w:pPr>
        <w:spacing w:line="240" w:lineRule="atLeast"/>
        <w:ind w:left="567" w:hanging="567"/>
        <w:jc w:val="both"/>
        <w:rPr>
          <w:rFonts w:ascii="Times New Roman" w:hAnsi="Times New Roman" w:cs="Times New Roman"/>
          <w:strike/>
          <w:lang w:val="ru-RU"/>
        </w:rPr>
      </w:pPr>
      <w:r w:rsidRPr="004224F6">
        <w:rPr>
          <w:rFonts w:ascii="Times New Roman" w:hAnsi="Times New Roman" w:cs="Times New Roman"/>
          <w:lang w:val="ru-RU"/>
        </w:rPr>
        <w:t>1.</w:t>
      </w:r>
      <w:r w:rsidRPr="004224F6">
        <w:rPr>
          <w:rFonts w:ascii="Times New Roman" w:hAnsi="Times New Roman" w:cs="Times New Roman"/>
          <w:lang w:val="ru-RU"/>
        </w:rPr>
        <w:tab/>
        <w:t>При доказване на плавателност, диферент и устойчивост на частите на плавателен съд, които са били разделени в съответствие с член 28.04, точка 2, буква “</w:t>
      </w:r>
      <w:r w:rsidRPr="004224F6">
        <w:rPr>
          <w:rFonts w:ascii="Times New Roman" w:hAnsi="Times New Roman" w:cs="Times New Roman"/>
        </w:rPr>
        <w:t>a</w:t>
      </w:r>
      <w:r w:rsidRPr="004224F6">
        <w:rPr>
          <w:rFonts w:ascii="Times New Roman" w:hAnsi="Times New Roman" w:cs="Times New Roman"/>
          <w:lang w:val="ru-RU"/>
        </w:rPr>
        <w:t>”, се приема, че двете части са частично или изцяло разтоварени преди това или че контейнерите, излизащи извън водозащитния борд на люка, са подходящо защитени от изпадане.</w:t>
      </w:r>
    </w:p>
    <w:p w14:paraId="5EB56AFB"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w:t>
      </w:r>
      <w:r w:rsidRPr="004224F6">
        <w:rPr>
          <w:rFonts w:ascii="Times New Roman" w:hAnsi="Times New Roman" w:cs="Times New Roman"/>
          <w:lang w:val="ru-RU"/>
        </w:rPr>
        <w:tab/>
        <w:t>Затова за всяка от двете части трябва да са изпълнени следните изисквания при изчисляването на устойчивостта в съответствие с член 27.03 (Ограничения и методи на изчисление за потвърждаване устойчивостта при превоз на закрепени контейнери):</w:t>
      </w:r>
    </w:p>
    <w:p w14:paraId="70D61232" w14:textId="77777777" w:rsidR="00271FA2" w:rsidRPr="004224F6" w:rsidRDefault="00D35E51">
      <w:pPr>
        <w:tabs>
          <w:tab w:val="left" w:pos="567"/>
        </w:tabs>
        <w:spacing w:line="240" w:lineRule="atLeast"/>
        <w:ind w:left="567"/>
        <w:jc w:val="both"/>
        <w:rPr>
          <w:rFonts w:ascii="Times New Roman" w:hAnsi="Times New Roman" w:cs="Times New Roman"/>
          <w:lang w:val="ru-RU"/>
        </w:rPr>
      </w:pPr>
      <w:r w:rsidRPr="004224F6">
        <w:rPr>
          <w:rFonts w:ascii="Times New Roman" w:hAnsi="Times New Roman" w:cs="Times New Roman"/>
        </w:rPr>
        <w:sym w:font="Symbol" w:char="F0B7"/>
      </w:r>
      <w:r w:rsidRPr="004224F6">
        <w:rPr>
          <w:rFonts w:ascii="Times New Roman" w:hAnsi="Times New Roman" w:cs="Times New Roman"/>
          <w:lang w:val="ru-RU"/>
        </w:rPr>
        <w:tab/>
        <w:t xml:space="preserve">метацентричната височина </w:t>
      </w:r>
      <m:oMath>
        <m:acc>
          <m:accPr>
            <m:chr m:val="̅"/>
            <m:ctrlPr>
              <w:rPr>
                <w:rFonts w:ascii="Cambria Math" w:hAnsi="Cambria Math" w:cs="Times New Roman"/>
                <w:i/>
              </w:rPr>
            </m:ctrlPr>
          </m:accPr>
          <m:e>
            <m:r>
              <w:rPr>
                <w:rFonts w:ascii="Cambria Math" w:hAnsi="Cambria Math" w:cs="Times New Roman"/>
              </w:rPr>
              <m:t>MG</m:t>
            </m:r>
          </m:e>
        </m:acc>
      </m:oMath>
      <w:r w:rsidRPr="004224F6">
        <w:rPr>
          <w:rFonts w:ascii="Times New Roman" w:hAnsi="Times New Roman" w:cs="Times New Roman"/>
          <w:lang w:val="ru-RU"/>
        </w:rPr>
        <w:t xml:space="preserve"> е не по-малка от 0,50 </w:t>
      </w:r>
      <w:r w:rsidRPr="004224F6">
        <w:rPr>
          <w:rFonts w:ascii="Times New Roman" w:hAnsi="Times New Roman" w:cs="Times New Roman"/>
        </w:rPr>
        <w:t>m</w:t>
      </w:r>
      <w:r w:rsidRPr="004224F6">
        <w:rPr>
          <w:rFonts w:ascii="Times New Roman" w:hAnsi="Times New Roman" w:cs="Times New Roman"/>
          <w:lang w:val="ru-RU"/>
        </w:rPr>
        <w:t>;</w:t>
      </w:r>
    </w:p>
    <w:p w14:paraId="5F850165" w14:textId="77777777" w:rsidR="00271FA2" w:rsidRPr="004224F6" w:rsidRDefault="00D35E51">
      <w:pPr>
        <w:tabs>
          <w:tab w:val="left" w:pos="567"/>
        </w:tabs>
        <w:spacing w:line="240" w:lineRule="atLeast"/>
        <w:ind w:left="567"/>
        <w:jc w:val="both"/>
        <w:rPr>
          <w:rFonts w:ascii="Times New Roman" w:hAnsi="Times New Roman" w:cs="Times New Roman"/>
          <w:lang w:val="ru-RU"/>
        </w:rPr>
      </w:pPr>
      <w:r w:rsidRPr="004224F6">
        <w:rPr>
          <w:rFonts w:ascii="Times New Roman" w:hAnsi="Times New Roman" w:cs="Times New Roman"/>
        </w:rPr>
        <w:sym w:font="Symbol" w:char="F0B7"/>
      </w:r>
      <w:r w:rsidR="001324DE" w:rsidRPr="004224F6">
        <w:rPr>
          <w:rFonts w:ascii="Times New Roman" w:hAnsi="Times New Roman" w:cs="Times New Roman"/>
          <w:lang w:val="ru-RU"/>
        </w:rPr>
        <w:tab/>
        <w:t>остатъчното безопасно разстояние</w:t>
      </w:r>
      <w:r w:rsidRPr="004224F6">
        <w:rPr>
          <w:rFonts w:ascii="Times New Roman" w:hAnsi="Times New Roman" w:cs="Times New Roman"/>
          <w:lang w:val="ru-RU"/>
        </w:rPr>
        <w:t xml:space="preserve"> трябва да бъде 100</w:t>
      </w:r>
      <w:r w:rsidRPr="004224F6">
        <w:rPr>
          <w:rFonts w:ascii="Times New Roman" w:hAnsi="Times New Roman" w:cs="Times New Roman"/>
        </w:rPr>
        <w:t> mm</w:t>
      </w:r>
      <w:r w:rsidRPr="004224F6">
        <w:rPr>
          <w:rFonts w:ascii="Times New Roman" w:hAnsi="Times New Roman" w:cs="Times New Roman"/>
          <w:lang w:val="ru-RU"/>
        </w:rPr>
        <w:t>;</w:t>
      </w:r>
    </w:p>
    <w:p w14:paraId="0C937C00" w14:textId="77777777" w:rsidR="00271FA2" w:rsidRPr="004224F6" w:rsidRDefault="00D35E51">
      <w:pPr>
        <w:tabs>
          <w:tab w:val="left" w:pos="567"/>
        </w:tabs>
        <w:spacing w:line="240" w:lineRule="atLeast"/>
        <w:ind w:left="567"/>
        <w:jc w:val="both"/>
        <w:rPr>
          <w:rFonts w:ascii="Times New Roman" w:hAnsi="Times New Roman" w:cs="Times New Roman"/>
          <w:lang w:val="ru-RU"/>
        </w:rPr>
      </w:pPr>
      <w:r w:rsidRPr="004224F6">
        <w:rPr>
          <w:rFonts w:ascii="Times New Roman" w:hAnsi="Times New Roman" w:cs="Times New Roman"/>
        </w:rPr>
        <w:sym w:font="Symbol" w:char="F0B7"/>
      </w:r>
      <w:r w:rsidRPr="004224F6">
        <w:rPr>
          <w:rFonts w:ascii="Times New Roman" w:hAnsi="Times New Roman" w:cs="Times New Roman"/>
          <w:lang w:val="ru-RU"/>
        </w:rPr>
        <w:tab/>
        <w:t>скоростта, която се взема предвид, трябва да бъде 7</w:t>
      </w:r>
      <w:r w:rsidRPr="004224F6">
        <w:rPr>
          <w:rFonts w:ascii="Times New Roman" w:hAnsi="Times New Roman" w:cs="Times New Roman"/>
        </w:rPr>
        <w:t> km</w:t>
      </w:r>
      <w:r w:rsidRPr="004224F6">
        <w:rPr>
          <w:rFonts w:ascii="Times New Roman" w:hAnsi="Times New Roman" w:cs="Times New Roman"/>
          <w:lang w:val="ru-RU"/>
        </w:rPr>
        <w:t>/</w:t>
      </w:r>
      <w:r w:rsidRPr="004224F6">
        <w:rPr>
          <w:rFonts w:ascii="Times New Roman" w:hAnsi="Times New Roman" w:cs="Times New Roman"/>
        </w:rPr>
        <w:t>h</w:t>
      </w:r>
      <w:r w:rsidRPr="004224F6">
        <w:rPr>
          <w:rFonts w:ascii="Times New Roman" w:hAnsi="Times New Roman" w:cs="Times New Roman"/>
          <w:lang w:val="ru-RU"/>
        </w:rPr>
        <w:t>;</w:t>
      </w:r>
    </w:p>
    <w:p w14:paraId="1108CC97" w14:textId="77777777" w:rsidR="00271FA2" w:rsidRPr="004224F6" w:rsidRDefault="00D35E51">
      <w:pPr>
        <w:tabs>
          <w:tab w:val="left" w:pos="567"/>
        </w:tabs>
        <w:spacing w:line="240" w:lineRule="atLeast"/>
        <w:ind w:left="567"/>
        <w:jc w:val="both"/>
        <w:rPr>
          <w:rFonts w:ascii="Times New Roman" w:hAnsi="Times New Roman" w:cs="Times New Roman"/>
          <w:strike/>
          <w:szCs w:val="20"/>
          <w:lang w:val="ru-RU"/>
        </w:rPr>
      </w:pPr>
      <w:r w:rsidRPr="004224F6">
        <w:rPr>
          <w:rFonts w:ascii="Times New Roman" w:hAnsi="Times New Roman" w:cs="Times New Roman"/>
          <w:szCs w:val="20"/>
        </w:rPr>
        <w:sym w:font="Symbol" w:char="F0B7"/>
      </w:r>
      <w:r w:rsidRPr="004224F6">
        <w:rPr>
          <w:rFonts w:ascii="Times New Roman" w:hAnsi="Times New Roman" w:cs="Times New Roman"/>
          <w:lang w:val="ru-RU"/>
        </w:rPr>
        <w:tab/>
        <w:t xml:space="preserve">налягането на вятъра се приема за 0,01 </w:t>
      </w:r>
      <w:r w:rsidRPr="004224F6">
        <w:rPr>
          <w:rFonts w:ascii="Times New Roman" w:hAnsi="Times New Roman" w:cs="Times New Roman"/>
        </w:rPr>
        <w:t>t</w:t>
      </w:r>
      <w:r w:rsidRPr="004224F6">
        <w:rPr>
          <w:rFonts w:ascii="Times New Roman" w:hAnsi="Times New Roman" w:cs="Times New Roman"/>
          <w:lang w:val="ru-RU"/>
        </w:rPr>
        <w:t>/</w:t>
      </w:r>
      <w:r w:rsidRPr="004224F6">
        <w:rPr>
          <w:rFonts w:ascii="Times New Roman" w:hAnsi="Times New Roman" w:cs="Times New Roman"/>
        </w:rPr>
        <w:t>m</w:t>
      </w:r>
      <w:r w:rsidRPr="004224F6">
        <w:rPr>
          <w:rFonts w:ascii="Times New Roman" w:hAnsi="Times New Roman" w:cs="Times New Roman"/>
          <w:vertAlign w:val="superscript"/>
          <w:lang w:val="ru-RU"/>
        </w:rPr>
        <w:t>2</w:t>
      </w:r>
      <w:r w:rsidRPr="004224F6">
        <w:rPr>
          <w:rFonts w:ascii="Times New Roman" w:hAnsi="Times New Roman" w:cs="Times New Roman"/>
          <w:lang w:val="ru-RU"/>
        </w:rPr>
        <w:t>.</w:t>
      </w:r>
    </w:p>
    <w:p w14:paraId="199D865D"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3.</w:t>
      </w:r>
      <w:r w:rsidRPr="004224F6">
        <w:rPr>
          <w:rFonts w:ascii="Times New Roman" w:hAnsi="Times New Roman" w:cs="Times New Roman"/>
          <w:lang w:val="ru-RU"/>
        </w:rPr>
        <w:tab/>
        <w:t>Ъгълът на крен (≤ 5°) не трябва да се спазва за частите на съда, разделени в съответствие с член 28.04, точка 2, тъй като този ъгъл, получен от коефициента на триене, е за незакрепени контейнери.</w:t>
      </w:r>
    </w:p>
    <w:p w14:paraId="4B385887"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Рамото на кренящия момент, резултат от откритите повърхности на течности, се взема предвид в съответствие с формулата, дадена в член 27.02, точка 1, буква “д”.</w:t>
      </w:r>
    </w:p>
    <w:p w14:paraId="4BA91C77"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4.</w:t>
      </w:r>
      <w:r w:rsidRPr="004224F6">
        <w:rPr>
          <w:rFonts w:ascii="Times New Roman" w:hAnsi="Times New Roman" w:cs="Times New Roman"/>
          <w:lang w:val="ru-RU"/>
        </w:rPr>
        <w:tab/>
        <w:t>Определените в точки 2 и 3 изисквания се считат също за изпълнени, ако за всяка от двете части са изпълнени изискванията за устойчивост, определени в раздел 9.1.0.95.2 от Споразумението за превоз на опасни товари по река Рейн (</w:t>
      </w:r>
      <w:r w:rsidRPr="004224F6">
        <w:rPr>
          <w:rFonts w:ascii="Times New Roman" w:hAnsi="Times New Roman" w:cs="Times New Roman"/>
        </w:rPr>
        <w:t>ADNR</w:t>
      </w:r>
      <w:r w:rsidRPr="004224F6">
        <w:rPr>
          <w:rFonts w:ascii="Times New Roman" w:hAnsi="Times New Roman" w:cs="Times New Roman"/>
          <w:lang w:val="ru-RU"/>
        </w:rPr>
        <w:t>).</w:t>
      </w:r>
    </w:p>
    <w:p w14:paraId="31B5F0E0"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5.</w:t>
      </w:r>
      <w:r w:rsidRPr="004224F6">
        <w:rPr>
          <w:rFonts w:ascii="Times New Roman" w:hAnsi="Times New Roman" w:cs="Times New Roman"/>
          <w:lang w:val="ru-RU"/>
        </w:rPr>
        <w:tab/>
        <w:t>Потвърждение за устойчивостта на разделените части на съда може да се получи въз основа на допускането, че натоварването е разпределено равномерно, тъй като равномерното разпределяне на натоварването — ако случаят вече не е бил такъв — може да се извърши преди разделянето, или в противен случай съдът може значително да се разтовари.</w:t>
      </w:r>
    </w:p>
    <w:p w14:paraId="2BE68D94"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pPr>
    </w:p>
    <w:p w14:paraId="46D23631" w14:textId="77777777" w:rsidR="00271FA2" w:rsidRPr="004224F6" w:rsidRDefault="00D35E51">
      <w:pPr>
        <w:overflowPunct w:val="0"/>
        <w:adjustRightInd w:val="0"/>
        <w:spacing w:line="240" w:lineRule="atLeast"/>
        <w:textAlignment w:val="baseline"/>
        <w:rPr>
          <w:rFonts w:ascii="Times New Roman" w:hAnsi="Times New Roman" w:cs="Times New Roman"/>
          <w:szCs w:val="20"/>
          <w:lang w:val="ru-RU"/>
        </w:rPr>
      </w:pPr>
      <w:r w:rsidRPr="004224F6">
        <w:rPr>
          <w:rFonts w:ascii="Times New Roman" w:hAnsi="Times New Roman" w:cs="Times New Roman"/>
          <w:lang w:val="ru-RU"/>
        </w:rPr>
        <w:br w:type="page"/>
      </w:r>
    </w:p>
    <w:p w14:paraId="0975BDF6" w14:textId="77777777" w:rsidR="00271FA2" w:rsidRPr="004224F6" w:rsidRDefault="00271FA2">
      <w:pPr>
        <w:overflowPunct w:val="0"/>
        <w:adjustRightInd w:val="0"/>
        <w:spacing w:line="240" w:lineRule="atLeast"/>
        <w:textAlignment w:val="baseline"/>
        <w:rPr>
          <w:rFonts w:ascii="Times New Roman" w:hAnsi="Times New Roman" w:cs="Times New Roman"/>
          <w:szCs w:val="20"/>
          <w:lang w:val="ru-RU"/>
        </w:rPr>
        <w:sectPr w:rsidR="00271FA2" w:rsidRPr="004224F6" w:rsidSect="004224F6">
          <w:headerReference w:type="default" r:id="rId257"/>
          <w:footnotePr>
            <w:numRestart w:val="eachPage"/>
          </w:footnotePr>
          <w:pgSz w:w="11907" w:h="16840"/>
          <w:pgMar w:top="1134" w:right="1134" w:bottom="1134" w:left="1134" w:header="709" w:footer="709" w:gutter="0"/>
          <w:cols w:space="720"/>
          <w:docGrid w:linePitch="326"/>
        </w:sectPr>
      </w:pPr>
    </w:p>
    <w:p w14:paraId="050536C6" w14:textId="77777777" w:rsidR="00271FA2" w:rsidRPr="004224F6" w:rsidRDefault="00D35E51" w:rsidP="000D39AD">
      <w:pPr>
        <w:pStyle w:val="ES-Titre2ESI"/>
        <w:ind w:right="1133"/>
        <w:rPr>
          <w:rFonts w:ascii="Times New Roman" w:hAnsi="Times New Roman" w:cs="Times New Roman"/>
          <w:szCs w:val="20"/>
          <w:lang w:val="ru-RU"/>
        </w:rPr>
      </w:pPr>
      <w:bookmarkStart w:id="719" w:name="_Toc491854373"/>
      <w:bookmarkStart w:id="720" w:name="_Toc535827814"/>
      <w:r w:rsidRPr="004224F6">
        <w:rPr>
          <w:rFonts w:ascii="Times New Roman" w:hAnsi="Times New Roman" w:cs="Times New Roman"/>
        </w:rPr>
        <w:lastRenderedPageBreak/>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-10</w:t>
      </w:r>
      <w:r w:rsidRPr="004224F6">
        <w:rPr>
          <w:rFonts w:ascii="Times New Roman" w:hAnsi="Times New Roman" w:cs="Times New Roman"/>
          <w:lang w:val="ru-RU"/>
        </w:rPr>
        <w:br/>
        <w:t xml:space="preserve">Оборудване за плавателни съдове, които ще бъдат експлоатирани съгласно стандарти </w:t>
      </w:r>
      <w:r w:rsidRPr="004224F6">
        <w:rPr>
          <w:rFonts w:ascii="Times New Roman" w:hAnsi="Times New Roman" w:cs="Times New Roman"/>
        </w:rPr>
        <w:t>S</w:t>
      </w:r>
      <w:r w:rsidRPr="004224F6">
        <w:rPr>
          <w:rFonts w:ascii="Times New Roman" w:hAnsi="Times New Roman" w:cs="Times New Roman"/>
          <w:lang w:val="ru-RU"/>
        </w:rPr>
        <w:t xml:space="preserve">1 или </w:t>
      </w:r>
      <w:r w:rsidRPr="004224F6">
        <w:rPr>
          <w:rFonts w:ascii="Times New Roman" w:hAnsi="Times New Roman" w:cs="Times New Roman"/>
        </w:rPr>
        <w:t>S</w:t>
      </w:r>
      <w:r w:rsidRPr="004224F6">
        <w:rPr>
          <w:rFonts w:ascii="Times New Roman" w:hAnsi="Times New Roman" w:cs="Times New Roman"/>
          <w:lang w:val="ru-RU"/>
        </w:rPr>
        <w:t>2</w:t>
      </w:r>
      <w:bookmarkEnd w:id="719"/>
      <w:bookmarkEnd w:id="720"/>
    </w:p>
    <w:p w14:paraId="34130A72" w14:textId="77777777" w:rsidR="00271FA2" w:rsidRPr="004224F6" w:rsidRDefault="00D35E51" w:rsidP="000D39AD">
      <w:pPr>
        <w:spacing w:line="240" w:lineRule="atLeast"/>
        <w:ind w:right="1133"/>
        <w:jc w:val="center"/>
        <w:rPr>
          <w:rFonts w:ascii="Times New Roman" w:hAnsi="Times New Roman" w:cs="Times New Roman"/>
          <w:b/>
          <w:bCs/>
          <w:snapToGrid w:val="0"/>
          <w:szCs w:val="20"/>
          <w:lang w:val="ru-RU"/>
        </w:rPr>
      </w:pPr>
      <w:r w:rsidRPr="004224F6">
        <w:rPr>
          <w:rFonts w:ascii="Times New Roman" w:hAnsi="Times New Roman" w:cs="Times New Roman"/>
          <w:b/>
          <w:snapToGrid w:val="0"/>
          <w:lang w:val="ru-RU"/>
        </w:rPr>
        <w:t>(членове 31.01, 31.02 и 31.03)</w:t>
      </w:r>
    </w:p>
    <w:p w14:paraId="598479F3" w14:textId="77777777" w:rsidR="00271FA2" w:rsidRPr="004224F6" w:rsidRDefault="00D35E51" w:rsidP="00CD2949">
      <w:pPr>
        <w:tabs>
          <w:tab w:val="left" w:pos="9072"/>
        </w:tabs>
        <w:spacing w:line="240" w:lineRule="atLeast"/>
        <w:ind w:left="567" w:right="1133"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Общо въведение</w:t>
      </w:r>
    </w:p>
    <w:p w14:paraId="4A474481" w14:textId="77777777" w:rsidR="00271FA2" w:rsidRPr="004224F6" w:rsidRDefault="00D35E51" w:rsidP="0065380A">
      <w:pPr>
        <w:spacing w:line="240" w:lineRule="atLeast"/>
        <w:ind w:left="567" w:right="1133"/>
        <w:jc w:val="both"/>
        <w:rPr>
          <w:rFonts w:ascii="Times New Roman" w:hAnsi="Times New Roman" w:cs="Times New Roman"/>
          <w:lang w:val="ru-RU"/>
        </w:rPr>
      </w:pPr>
      <w:r w:rsidRPr="004224F6">
        <w:rPr>
          <w:rFonts w:ascii="Times New Roman" w:hAnsi="Times New Roman" w:cs="Times New Roman"/>
          <w:lang w:val="ru-RU"/>
        </w:rPr>
        <w:t>Съгласно член 31.01 плавателните съдове, които са предназн</w:t>
      </w:r>
      <w:r w:rsidR="00DD41AC" w:rsidRPr="004224F6">
        <w:rPr>
          <w:rFonts w:ascii="Times New Roman" w:hAnsi="Times New Roman" w:cs="Times New Roman"/>
          <w:lang w:val="ru-RU"/>
        </w:rPr>
        <w:t>ачени за експлоатация съгласно С</w:t>
      </w:r>
      <w:r w:rsidRPr="004224F6">
        <w:rPr>
          <w:rFonts w:ascii="Times New Roman" w:hAnsi="Times New Roman" w:cs="Times New Roman"/>
          <w:lang w:val="ru-RU"/>
        </w:rPr>
        <w:t xml:space="preserve">тандарти </w:t>
      </w:r>
      <w:r w:rsidRPr="004224F6">
        <w:rPr>
          <w:rFonts w:ascii="Times New Roman" w:hAnsi="Times New Roman" w:cs="Times New Roman"/>
        </w:rPr>
        <w:t>S</w:t>
      </w:r>
      <w:r w:rsidRPr="004224F6">
        <w:rPr>
          <w:rFonts w:ascii="Times New Roman" w:hAnsi="Times New Roman" w:cs="Times New Roman"/>
          <w:lang w:val="ru-RU"/>
        </w:rPr>
        <w:t xml:space="preserve">1 и </w:t>
      </w:r>
      <w:r w:rsidRPr="004224F6">
        <w:rPr>
          <w:rFonts w:ascii="Times New Roman" w:hAnsi="Times New Roman" w:cs="Times New Roman"/>
        </w:rPr>
        <w:t>S</w:t>
      </w:r>
      <w:r w:rsidRPr="004224F6">
        <w:rPr>
          <w:rFonts w:ascii="Times New Roman" w:hAnsi="Times New Roman" w:cs="Times New Roman"/>
          <w:lang w:val="ru-RU"/>
        </w:rPr>
        <w:t>2, трябва да спазват разпоредбите на Глава 31. Контролният орган трябва да потвърди в Корабното удостоверение за вътрешно корабоплаване, че плавателният съд отговаря на тези разпоредби.</w:t>
      </w:r>
    </w:p>
    <w:p w14:paraId="2B1BF1EA" w14:textId="77777777" w:rsidR="00271FA2" w:rsidRPr="004224F6" w:rsidRDefault="00D35E51" w:rsidP="0065380A">
      <w:pPr>
        <w:spacing w:line="240" w:lineRule="atLeast"/>
        <w:ind w:left="567" w:right="1133"/>
        <w:jc w:val="both"/>
        <w:rPr>
          <w:rFonts w:ascii="Times New Roman" w:hAnsi="Times New Roman" w:cs="Times New Roman"/>
          <w:snapToGrid w:val="0"/>
          <w:lang w:val="ru-RU"/>
        </w:rPr>
      </w:pPr>
      <w:r w:rsidRPr="004224F6">
        <w:rPr>
          <w:rFonts w:ascii="Times New Roman" w:hAnsi="Times New Roman" w:cs="Times New Roman"/>
          <w:lang w:val="ru-RU"/>
        </w:rPr>
        <w:t xml:space="preserve">Тези разпоредби са изисквания, които се прилагат за допълнителното оборудване в допълнение на изискванията, на които съдът трябва да отговаря, за да му бъде издадено Корабното удостоверение за вътрешно корабоплаване. Разпоредбите на Глава 31, които могат да се тълкуват по различни начини, ще бъдат изяснени в настоящата инструкция. </w:t>
      </w:r>
    </w:p>
    <w:p w14:paraId="6A1C6ACF" w14:textId="77777777" w:rsidR="00271FA2" w:rsidRPr="004224F6" w:rsidRDefault="00D35E51" w:rsidP="000D39AD">
      <w:pPr>
        <w:spacing w:line="240" w:lineRule="atLeast"/>
        <w:ind w:left="567" w:right="1133" w:hanging="567"/>
        <w:rPr>
          <w:rFonts w:ascii="Times New Roman" w:hAnsi="Times New Roman" w:cs="Times New Roman"/>
          <w:b/>
          <w:lang w:val="ru-RU"/>
        </w:rPr>
      </w:pPr>
      <w:r w:rsidRPr="004224F6">
        <w:rPr>
          <w:rFonts w:ascii="Times New Roman" w:hAnsi="Times New Roman" w:cs="Times New Roman"/>
          <w:b/>
          <w:lang w:val="ru-RU"/>
        </w:rPr>
        <w:t>2.</w:t>
      </w:r>
      <w:r w:rsidRPr="004224F6">
        <w:rPr>
          <w:rFonts w:ascii="Times New Roman" w:hAnsi="Times New Roman" w:cs="Times New Roman"/>
          <w:lang w:val="ru-RU"/>
        </w:rPr>
        <w:tab/>
      </w:r>
      <w:r w:rsidRPr="004224F6">
        <w:rPr>
          <w:rFonts w:ascii="Times New Roman" w:hAnsi="Times New Roman" w:cs="Times New Roman"/>
          <w:b/>
          <w:lang w:val="ru-RU"/>
        </w:rPr>
        <w:t xml:space="preserve">Член 31.02 – Стандарт </w:t>
      </w:r>
      <w:r w:rsidRPr="004224F6">
        <w:rPr>
          <w:rFonts w:ascii="Times New Roman" w:hAnsi="Times New Roman" w:cs="Times New Roman"/>
          <w:b/>
        </w:rPr>
        <w:t>S</w:t>
      </w:r>
      <w:r w:rsidRPr="004224F6">
        <w:rPr>
          <w:rFonts w:ascii="Times New Roman" w:hAnsi="Times New Roman" w:cs="Times New Roman"/>
          <w:b/>
          <w:lang w:val="ru-RU"/>
        </w:rPr>
        <w:t>1</w:t>
      </w:r>
    </w:p>
    <w:p w14:paraId="5F3A6801" w14:textId="77777777" w:rsidR="00271FA2" w:rsidRPr="004224F6" w:rsidRDefault="00D35E51" w:rsidP="000D39AD">
      <w:pPr>
        <w:spacing w:line="240" w:lineRule="atLeast"/>
        <w:ind w:left="567" w:right="1133" w:hanging="567"/>
        <w:rPr>
          <w:rFonts w:ascii="Times New Roman" w:hAnsi="Times New Roman" w:cs="Times New Roman"/>
          <w:b/>
          <w:lang w:val="ru-RU"/>
        </w:rPr>
      </w:pPr>
      <w:r w:rsidRPr="004224F6">
        <w:rPr>
          <w:rFonts w:ascii="Times New Roman" w:hAnsi="Times New Roman" w:cs="Times New Roman"/>
          <w:b/>
          <w:lang w:val="ru-RU"/>
        </w:rPr>
        <w:t>2.1</w:t>
      </w:r>
      <w:r w:rsidRPr="004224F6">
        <w:rPr>
          <w:rFonts w:ascii="Times New Roman" w:hAnsi="Times New Roman" w:cs="Times New Roman"/>
          <w:lang w:val="ru-RU"/>
        </w:rPr>
        <w:tab/>
      </w:r>
      <w:r w:rsidRPr="004224F6">
        <w:rPr>
          <w:rFonts w:ascii="Times New Roman" w:hAnsi="Times New Roman" w:cs="Times New Roman"/>
          <w:b/>
          <w:lang w:val="ru-RU"/>
        </w:rPr>
        <w:t>(1) — Уредба на задвижващата система</w:t>
      </w:r>
    </w:p>
    <w:p w14:paraId="5EB4E247" w14:textId="77777777" w:rsidR="00271FA2" w:rsidRPr="004224F6" w:rsidRDefault="00D35E51" w:rsidP="00ED5893">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lang w:val="ru-RU"/>
        </w:rPr>
        <w:tab/>
        <w:t>Ако плавателният съд е оборудван с директно реверсивен главен двигател, системата за сгъстен въздух, необходима за обръщане на тягата, трябва:</w:t>
      </w:r>
    </w:p>
    <w:p w14:paraId="5C59978E" w14:textId="77777777" w:rsidR="00271FA2" w:rsidRPr="004224F6" w:rsidRDefault="00D35E51" w:rsidP="00ED5893">
      <w:pPr>
        <w:spacing w:line="240" w:lineRule="atLeast"/>
        <w:ind w:left="993" w:right="1133" w:hanging="425"/>
        <w:jc w:val="both"/>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да бъде непрекъснато под налягане, регулирано автоматично от компресор; или</w:t>
      </w:r>
    </w:p>
    <w:p w14:paraId="741813A6" w14:textId="5B7D0CEE" w:rsidR="00271FA2" w:rsidRPr="004224F6" w:rsidRDefault="00D35E51" w:rsidP="00ED5893">
      <w:pPr>
        <w:ind w:left="567" w:right="1133"/>
        <w:rPr>
          <w:rFonts w:ascii="Times New Roman" w:hAnsi="Times New Roman" w:cs="Times New Roman"/>
          <w:strike/>
          <w:lang w:val="ru-RU"/>
        </w:rPr>
      </w:pPr>
      <w:r w:rsidRPr="004224F6">
        <w:rPr>
          <w:rFonts w:ascii="Times New Roman" w:hAnsi="Times New Roman" w:cs="Times New Roman"/>
          <w:lang w:val="ru-RU"/>
        </w:rPr>
        <w:t>б)</w:t>
      </w:r>
      <w:r w:rsidRPr="004224F6">
        <w:rPr>
          <w:rFonts w:ascii="Times New Roman" w:hAnsi="Times New Roman" w:cs="Times New Roman"/>
          <w:lang w:val="ru-RU"/>
        </w:rPr>
        <w:tab/>
      </w:r>
      <w:r w:rsidR="002461FD" w:rsidRPr="004224F6">
        <w:rPr>
          <w:rFonts w:ascii="Times New Roman" w:hAnsi="Times New Roman" w:cs="Times New Roman"/>
          <w:lang w:val="ru-RU"/>
        </w:rPr>
        <w:t xml:space="preserve"> </w:t>
      </w:r>
      <w:r w:rsidR="00214A7B" w:rsidRPr="004224F6">
        <w:rPr>
          <w:rFonts w:ascii="Times New Roman" w:hAnsi="Times New Roman" w:cs="Times New Roman"/>
          <w:lang w:val="ru-RU"/>
        </w:rPr>
        <w:t xml:space="preserve"> да се повиши налягането</w:t>
      </w:r>
      <w:r w:rsidR="008300BC" w:rsidRPr="004224F6">
        <w:rPr>
          <w:rFonts w:ascii="Times New Roman" w:hAnsi="Times New Roman" w:cs="Times New Roman"/>
          <w:lang w:val="ru-RU"/>
        </w:rPr>
        <w:t xml:space="preserve"> </w:t>
      </w:r>
      <w:r w:rsidR="008300BC" w:rsidRPr="004224F6">
        <w:rPr>
          <w:rFonts w:ascii="Times New Roman" w:hAnsi="Times New Roman" w:cs="Times New Roman"/>
          <w:color w:val="31849B" w:themeColor="accent5" w:themeShade="BF"/>
          <w:lang w:val="ru-RU"/>
        </w:rPr>
        <w:t xml:space="preserve">в системата </w:t>
      </w:r>
      <w:r w:rsidR="00214A7B" w:rsidRPr="004224F6">
        <w:rPr>
          <w:rFonts w:ascii="Times New Roman" w:hAnsi="Times New Roman" w:cs="Times New Roman"/>
          <w:color w:val="31849B" w:themeColor="accent5" w:themeShade="BF"/>
          <w:lang w:val="ru-RU"/>
        </w:rPr>
        <w:t xml:space="preserve"> </w:t>
      </w:r>
      <w:r w:rsidR="00214A7B" w:rsidRPr="004224F6">
        <w:rPr>
          <w:rFonts w:ascii="Times New Roman" w:hAnsi="Times New Roman" w:cs="Times New Roman"/>
          <w:lang w:val="ru-RU"/>
        </w:rPr>
        <w:t>посредством спомагателен двигател, който може да се стартира от мястото за управление</w:t>
      </w:r>
      <w:r w:rsidR="002461FD" w:rsidRPr="004224F6">
        <w:rPr>
          <w:rFonts w:ascii="Times New Roman" w:hAnsi="Times New Roman" w:cs="Times New Roman"/>
          <w:lang w:val="ru-RU"/>
        </w:rPr>
        <w:t>, когато се задейства аларма в рулевата рубка</w:t>
      </w:r>
      <w:r w:rsidR="00214A7B" w:rsidRPr="004224F6">
        <w:rPr>
          <w:rFonts w:ascii="Times New Roman" w:hAnsi="Times New Roman" w:cs="Times New Roman"/>
          <w:lang w:val="ru-RU"/>
        </w:rPr>
        <w:t xml:space="preserve">. Ако спомагателният двигател има собствен резервоар за гориво, в съответствие с член 7.04, </w:t>
      </w:r>
      <w:r w:rsidR="004F1779" w:rsidRPr="004224F6">
        <w:rPr>
          <w:rFonts w:ascii="Times New Roman" w:hAnsi="Times New Roman" w:cs="Times New Roman"/>
          <w:lang w:val="ru-RU"/>
        </w:rPr>
        <w:t xml:space="preserve"> </w:t>
      </w:r>
      <w:r w:rsidR="00561794" w:rsidRPr="004224F6">
        <w:rPr>
          <w:rFonts w:ascii="Times New Roman" w:hAnsi="Times New Roman" w:cs="Times New Roman"/>
          <w:lang w:val="ru-RU"/>
        </w:rPr>
        <w:t xml:space="preserve">точка </w:t>
      </w:r>
      <w:r w:rsidR="00214A7B" w:rsidRPr="004224F6">
        <w:rPr>
          <w:rFonts w:ascii="Times New Roman" w:hAnsi="Times New Roman" w:cs="Times New Roman"/>
          <w:lang w:val="ru-RU"/>
        </w:rPr>
        <w:t xml:space="preserve">11, буква д) </w:t>
      </w:r>
      <w:r w:rsidR="0097711D" w:rsidRPr="004224F6">
        <w:rPr>
          <w:rFonts w:ascii="Times New Roman" w:hAnsi="Times New Roman" w:cs="Times New Roman"/>
          <w:lang w:val="ru-RU"/>
        </w:rPr>
        <w:t>т.</w:t>
      </w:r>
      <w:r w:rsidR="00214A7B" w:rsidRPr="004224F6">
        <w:rPr>
          <w:rFonts w:ascii="Times New Roman" w:hAnsi="Times New Roman" w:cs="Times New Roman"/>
          <w:lang w:val="ru-RU"/>
        </w:rPr>
        <w:t>трябва да има предупредително устройство в рулевата рубка, което да показва дали нивото на пълнене не е достатъчно, за да се осигури по-нататъшна безопасна работа.</w:t>
      </w:r>
    </w:p>
    <w:p w14:paraId="5AB6CB2D" w14:textId="77777777" w:rsidR="00271FA2" w:rsidRPr="004224F6" w:rsidRDefault="00D35E51" w:rsidP="000D39AD">
      <w:pPr>
        <w:spacing w:line="240" w:lineRule="atLeast"/>
        <w:ind w:left="567" w:right="1133" w:hanging="567"/>
        <w:jc w:val="both"/>
        <w:rPr>
          <w:rFonts w:ascii="Times New Roman" w:hAnsi="Times New Roman" w:cs="Times New Roman"/>
          <w:b/>
          <w:lang w:val="ru-RU"/>
        </w:rPr>
      </w:pPr>
      <w:r w:rsidRPr="004224F6">
        <w:rPr>
          <w:rFonts w:ascii="Times New Roman" w:hAnsi="Times New Roman" w:cs="Times New Roman"/>
          <w:b/>
          <w:lang w:val="ru-RU"/>
        </w:rPr>
        <w:t>2.2</w:t>
      </w:r>
      <w:r w:rsidRPr="004224F6">
        <w:rPr>
          <w:rFonts w:ascii="Times New Roman" w:hAnsi="Times New Roman" w:cs="Times New Roman"/>
          <w:lang w:val="ru-RU"/>
        </w:rPr>
        <w:tab/>
      </w:r>
      <w:r w:rsidRPr="004224F6">
        <w:rPr>
          <w:rFonts w:ascii="Times New Roman" w:hAnsi="Times New Roman" w:cs="Times New Roman"/>
          <w:b/>
          <w:lang w:val="ru-RU"/>
        </w:rPr>
        <w:t>(2) — Нива на водата в главното машинно отделение</w:t>
      </w:r>
    </w:p>
    <w:p w14:paraId="319D7190"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lang w:val="ru-RU"/>
        </w:rPr>
        <w:tab/>
        <w:t>Ако за изпълнение на изискванията за маневреност от Глава 5 е необходима носова подрулваща система, отделението, в което се намира носовата подрулваща система, се счита за главно машинно отделение.</w:t>
      </w:r>
    </w:p>
    <w:p w14:paraId="001A7097" w14:textId="77777777" w:rsidR="00271FA2" w:rsidRPr="004224F6" w:rsidRDefault="00D35E51" w:rsidP="000D39AD">
      <w:pPr>
        <w:spacing w:line="240" w:lineRule="atLeast"/>
        <w:ind w:left="567" w:right="1133" w:hanging="567"/>
        <w:rPr>
          <w:rFonts w:ascii="Times New Roman" w:hAnsi="Times New Roman" w:cs="Times New Roman"/>
          <w:b/>
          <w:lang w:val="ru-RU"/>
        </w:rPr>
      </w:pPr>
      <w:r w:rsidRPr="004224F6">
        <w:rPr>
          <w:rFonts w:ascii="Times New Roman" w:hAnsi="Times New Roman" w:cs="Times New Roman"/>
          <w:b/>
          <w:lang w:val="ru-RU"/>
        </w:rPr>
        <w:t>2.3</w:t>
      </w:r>
      <w:r w:rsidRPr="004224F6">
        <w:rPr>
          <w:rFonts w:ascii="Times New Roman" w:hAnsi="Times New Roman" w:cs="Times New Roman"/>
          <w:lang w:val="ru-RU"/>
        </w:rPr>
        <w:tab/>
      </w:r>
      <w:r w:rsidRPr="004224F6">
        <w:rPr>
          <w:rFonts w:ascii="Times New Roman" w:hAnsi="Times New Roman" w:cs="Times New Roman"/>
          <w:b/>
          <w:lang w:val="ru-RU"/>
        </w:rPr>
        <w:t>(3) — Автоматично захранване с гориво</w:t>
      </w:r>
    </w:p>
    <w:p w14:paraId="115E0B14"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lang w:val="ru-RU"/>
        </w:rPr>
        <w:t>2.3.1</w:t>
      </w:r>
      <w:r w:rsidRPr="004224F6">
        <w:rPr>
          <w:rFonts w:ascii="Times New Roman" w:hAnsi="Times New Roman" w:cs="Times New Roman"/>
          <w:lang w:val="ru-RU"/>
        </w:rPr>
        <w:tab/>
        <w:t>Ако задвижващата система е с резервоар за дневния разход,</w:t>
      </w:r>
    </w:p>
    <w:p w14:paraId="5FDBB6E9"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 xml:space="preserve">обемът му трябва да е достатъчен да осигури време на работа на задвижващата система от 24 часа, като се приеме разход от 0,25 литра на </w:t>
      </w:r>
      <w:r w:rsidRPr="004224F6">
        <w:rPr>
          <w:rFonts w:ascii="Times New Roman" w:hAnsi="Times New Roman" w:cs="Times New Roman"/>
        </w:rPr>
        <w:t>kW</w:t>
      </w:r>
      <w:r w:rsidRPr="004224F6">
        <w:rPr>
          <w:rFonts w:ascii="Times New Roman" w:hAnsi="Times New Roman" w:cs="Times New Roman"/>
          <w:lang w:val="ru-RU"/>
        </w:rPr>
        <w:t xml:space="preserve"> на час;</w:t>
      </w:r>
    </w:p>
    <w:p w14:paraId="0B04FD25"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lang w:val="ru-RU"/>
        </w:rPr>
        <w:t>б)</w:t>
      </w:r>
      <w:r w:rsidRPr="004224F6">
        <w:rPr>
          <w:rFonts w:ascii="Times New Roman" w:hAnsi="Times New Roman" w:cs="Times New Roman"/>
          <w:lang w:val="ru-RU"/>
        </w:rPr>
        <w:tab/>
        <w:t>горивната помпа за пълнене на резервоара за дневния разход трябва да работи непрекъснато; или</w:t>
      </w:r>
    </w:p>
    <w:p w14:paraId="59701ABB"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lang w:val="ru-RU"/>
        </w:rPr>
        <w:t>в)</w:t>
      </w:r>
      <w:r w:rsidRPr="004224F6">
        <w:rPr>
          <w:rFonts w:ascii="Times New Roman" w:hAnsi="Times New Roman" w:cs="Times New Roman"/>
          <w:lang w:val="ru-RU"/>
        </w:rPr>
        <w:tab/>
        <w:t xml:space="preserve">горивната </w:t>
      </w:r>
      <w:r w:rsidR="00FF3B97" w:rsidRPr="004224F6">
        <w:rPr>
          <w:rFonts w:ascii="Times New Roman" w:hAnsi="Times New Roman" w:cs="Times New Roman"/>
          <w:lang w:val="ru-RU"/>
        </w:rPr>
        <w:t>помпа трябва да е оборудвана с</w:t>
      </w:r>
      <w:r w:rsidRPr="004224F6">
        <w:rPr>
          <w:rFonts w:ascii="Times New Roman" w:hAnsi="Times New Roman" w:cs="Times New Roman"/>
          <w:lang w:val="ru-RU"/>
        </w:rPr>
        <w:t>:</w:t>
      </w:r>
    </w:p>
    <w:p w14:paraId="3CBE4ACE" w14:textId="77777777" w:rsidR="00271FA2" w:rsidRPr="004224F6" w:rsidRDefault="00D35E51" w:rsidP="000D39AD">
      <w:pPr>
        <w:tabs>
          <w:tab w:val="left" w:pos="1418"/>
        </w:tabs>
        <w:spacing w:line="240" w:lineRule="atLeast"/>
        <w:ind w:left="1418" w:right="1133" w:hanging="425"/>
        <w:jc w:val="both"/>
        <w:rPr>
          <w:rFonts w:ascii="Times New Roman" w:hAnsi="Times New Roman" w:cs="Times New Roman"/>
          <w:lang w:val="ru-RU"/>
        </w:rPr>
      </w:pPr>
      <w:r w:rsidRPr="004224F6">
        <w:rPr>
          <w:rFonts w:ascii="Times New Roman" w:hAnsi="Times New Roman" w:cs="Times New Roman"/>
        </w:rPr>
        <w:sym w:font="Symbol" w:char="F0B7"/>
      </w:r>
      <w:r w:rsidRPr="004224F6">
        <w:rPr>
          <w:rFonts w:ascii="Times New Roman" w:hAnsi="Times New Roman" w:cs="Times New Roman"/>
          <w:lang w:val="ru-RU"/>
        </w:rPr>
        <w:tab/>
        <w:t>превключвател, който автоматично включва горивната помпа, когато нивото в резервоара за дневния разход спадне до определено ниско ниво;</w:t>
      </w:r>
    </w:p>
    <w:p w14:paraId="6B4896A0" w14:textId="77777777" w:rsidR="00271FA2" w:rsidRPr="004224F6" w:rsidRDefault="00D35E51" w:rsidP="000D39AD">
      <w:pPr>
        <w:widowControl w:val="0"/>
        <w:tabs>
          <w:tab w:val="left" w:pos="426"/>
          <w:tab w:val="left" w:pos="1418"/>
        </w:tabs>
        <w:overflowPunct w:val="0"/>
        <w:adjustRightInd w:val="0"/>
        <w:spacing w:line="240" w:lineRule="atLeast"/>
        <w:ind w:left="1418" w:right="1133" w:hanging="425"/>
        <w:jc w:val="both"/>
        <w:textAlignment w:val="baseline"/>
        <w:rPr>
          <w:rFonts w:ascii="Times New Roman" w:hAnsi="Times New Roman" w:cs="Times New Roman"/>
          <w:lang w:val="ru-RU"/>
        </w:rPr>
      </w:pPr>
      <w:r w:rsidRPr="004224F6">
        <w:rPr>
          <w:rFonts w:ascii="Times New Roman" w:hAnsi="Times New Roman" w:cs="Times New Roman"/>
          <w:snapToGrid w:val="0"/>
        </w:rPr>
        <w:sym w:font="Symbol" w:char="F0B7"/>
      </w:r>
      <w:r w:rsidRPr="004224F6">
        <w:rPr>
          <w:rFonts w:ascii="Times New Roman" w:hAnsi="Times New Roman" w:cs="Times New Roman"/>
          <w:lang w:val="ru-RU"/>
        </w:rPr>
        <w:tab/>
        <w:t>превключвател, който автоматично изключва горивната помпа, когато резервоарът за дневния разход се напълни.</w:t>
      </w:r>
    </w:p>
    <w:p w14:paraId="5AC77780" w14:textId="49C5425F" w:rsidR="00271FA2" w:rsidRPr="004224F6" w:rsidRDefault="00D35E51" w:rsidP="000D39AD">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lang w:val="ru-RU"/>
        </w:rPr>
        <w:t>2.3.2</w:t>
      </w:r>
      <w:r w:rsidRPr="004224F6">
        <w:rPr>
          <w:rFonts w:ascii="Times New Roman" w:hAnsi="Times New Roman" w:cs="Times New Roman"/>
          <w:lang w:val="ru-RU"/>
        </w:rPr>
        <w:tab/>
        <w:t>Резервоарът за дневен разход трябва да има алармено устройство за ниво, съответстващо на член</w:t>
      </w:r>
      <w:r w:rsidR="006F1107" w:rsidRPr="004224F6">
        <w:rPr>
          <w:rFonts w:ascii="Times New Roman" w:hAnsi="Times New Roman" w:cs="Times New Roman"/>
          <w:lang w:val="ru-RU"/>
        </w:rPr>
        <w:t xml:space="preserve"> 7.04</w:t>
      </w:r>
      <w:r w:rsidRPr="004224F6">
        <w:rPr>
          <w:rFonts w:ascii="Times New Roman" w:hAnsi="Times New Roman" w:cs="Times New Roman"/>
          <w:lang w:val="ru-RU"/>
        </w:rPr>
        <w:t xml:space="preserve">, точка </w:t>
      </w:r>
      <w:r w:rsidR="006F1107" w:rsidRPr="004224F6">
        <w:rPr>
          <w:rFonts w:ascii="Times New Roman" w:hAnsi="Times New Roman" w:cs="Times New Roman"/>
          <w:lang w:val="ru-RU"/>
        </w:rPr>
        <w:t>11 буква д</w:t>
      </w:r>
      <w:r w:rsidRPr="004224F6">
        <w:rPr>
          <w:rFonts w:ascii="Times New Roman" w:hAnsi="Times New Roman" w:cs="Times New Roman"/>
          <w:lang w:val="ru-RU"/>
        </w:rPr>
        <w:t>.</w:t>
      </w:r>
    </w:p>
    <w:p w14:paraId="3140619C"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b/>
          <w:lang w:val="ru-RU"/>
        </w:rPr>
        <w:t>2.4.</w:t>
      </w:r>
      <w:r w:rsidRPr="004224F6">
        <w:rPr>
          <w:rFonts w:ascii="Times New Roman" w:hAnsi="Times New Roman" w:cs="Times New Roman"/>
          <w:lang w:val="ru-RU"/>
        </w:rPr>
        <w:tab/>
      </w:r>
      <w:r w:rsidRPr="004224F6">
        <w:rPr>
          <w:rFonts w:ascii="Times New Roman" w:hAnsi="Times New Roman" w:cs="Times New Roman"/>
          <w:b/>
          <w:lang w:val="ru-RU"/>
        </w:rPr>
        <w:t>(4) – Липса на конкретна сила за рулевата система</w:t>
      </w:r>
    </w:p>
    <w:p w14:paraId="0DED7E08" w14:textId="77777777" w:rsidR="00271FA2" w:rsidRPr="004224F6" w:rsidRDefault="00D35E51" w:rsidP="000D39AD">
      <w:pPr>
        <w:tabs>
          <w:tab w:val="left" w:pos="567"/>
        </w:tabs>
        <w:spacing w:line="240" w:lineRule="atLeast"/>
        <w:ind w:left="567" w:right="1133"/>
        <w:jc w:val="both"/>
        <w:rPr>
          <w:rFonts w:ascii="Times New Roman" w:hAnsi="Times New Roman" w:cs="Times New Roman"/>
          <w:lang w:val="ru-RU"/>
        </w:rPr>
      </w:pPr>
      <w:r w:rsidRPr="004224F6">
        <w:rPr>
          <w:rFonts w:ascii="Times New Roman" w:hAnsi="Times New Roman" w:cs="Times New Roman"/>
          <w:lang w:val="ru-RU"/>
        </w:rPr>
        <w:lastRenderedPageBreak/>
        <w:t xml:space="preserve">Рулевите системи с хидравлично управление изпълняват това изискване. Ръчно управляваните рулеви системи не трябва да изискват сила по-голяма от 160 </w:t>
      </w:r>
      <w:r w:rsidRPr="004224F6">
        <w:rPr>
          <w:rFonts w:ascii="Times New Roman" w:hAnsi="Times New Roman" w:cs="Times New Roman"/>
        </w:rPr>
        <w:t>N</w:t>
      </w:r>
      <w:r w:rsidRPr="004224F6">
        <w:rPr>
          <w:rFonts w:ascii="Times New Roman" w:hAnsi="Times New Roman" w:cs="Times New Roman"/>
          <w:lang w:val="ru-RU"/>
        </w:rPr>
        <w:t xml:space="preserve"> за работа с тях.</w:t>
      </w:r>
    </w:p>
    <w:p w14:paraId="6B08C302"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b/>
          <w:bCs/>
          <w:lang w:val="ru-RU"/>
        </w:rPr>
      </w:pPr>
      <w:r w:rsidRPr="004224F6">
        <w:rPr>
          <w:rFonts w:ascii="Times New Roman" w:hAnsi="Times New Roman" w:cs="Times New Roman"/>
          <w:b/>
          <w:lang w:val="ru-RU"/>
        </w:rPr>
        <w:t>2.5</w:t>
      </w:r>
      <w:r w:rsidRPr="004224F6">
        <w:rPr>
          <w:rFonts w:ascii="Times New Roman" w:hAnsi="Times New Roman" w:cs="Times New Roman"/>
          <w:lang w:val="ru-RU"/>
        </w:rPr>
        <w:tab/>
      </w:r>
      <w:r w:rsidRPr="004224F6">
        <w:rPr>
          <w:rFonts w:ascii="Times New Roman" w:hAnsi="Times New Roman" w:cs="Times New Roman"/>
          <w:b/>
          <w:lang w:val="ru-RU"/>
        </w:rPr>
        <w:t>(5) — Визуална и звукова сигнализация, необходима при движение</w:t>
      </w:r>
    </w:p>
    <w:p w14:paraId="4A2E1637"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lang w:val="ru-RU"/>
        </w:rPr>
        <w:tab/>
        <w:t>Визуалните знаци не включват цилиндри, сфери, конуси или двойни конуси, изисквани от наредбите на местните и международните органи по корабоплаване.</w:t>
      </w:r>
    </w:p>
    <w:p w14:paraId="65172ACC"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b/>
          <w:bCs/>
          <w:lang w:val="ru-RU"/>
        </w:rPr>
      </w:pPr>
      <w:r w:rsidRPr="004224F6">
        <w:rPr>
          <w:rFonts w:ascii="Times New Roman" w:hAnsi="Times New Roman" w:cs="Times New Roman"/>
          <w:b/>
          <w:lang w:val="ru-RU"/>
        </w:rPr>
        <w:t>2.6</w:t>
      </w:r>
      <w:r w:rsidRPr="004224F6">
        <w:rPr>
          <w:rFonts w:ascii="Times New Roman" w:hAnsi="Times New Roman" w:cs="Times New Roman"/>
          <w:lang w:val="ru-RU"/>
        </w:rPr>
        <w:tab/>
      </w:r>
      <w:r w:rsidRPr="004224F6">
        <w:rPr>
          <w:rFonts w:ascii="Times New Roman" w:hAnsi="Times New Roman" w:cs="Times New Roman"/>
          <w:b/>
          <w:lang w:val="ru-RU"/>
        </w:rPr>
        <w:t>(6) – Пряка връзка и връзка с машинното отделение</w:t>
      </w:r>
    </w:p>
    <w:p w14:paraId="44D1C6C0"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lang w:val="ru-RU"/>
        </w:rPr>
        <w:t>2.6.1</w:t>
      </w:r>
      <w:r w:rsidRPr="004224F6">
        <w:rPr>
          <w:rFonts w:ascii="Times New Roman" w:hAnsi="Times New Roman" w:cs="Times New Roman"/>
          <w:lang w:val="ru-RU"/>
        </w:rPr>
        <w:tab/>
        <w:t>Пряка връзка се счита за осигурена, ако:</w:t>
      </w:r>
    </w:p>
    <w:p w14:paraId="3EC28A25" w14:textId="77777777" w:rsidR="00271FA2" w:rsidRPr="004224F6" w:rsidRDefault="00D35E51" w:rsidP="0065380A">
      <w:pPr>
        <w:tabs>
          <w:tab w:val="left" w:pos="993"/>
        </w:tabs>
        <w:spacing w:line="240" w:lineRule="atLeast"/>
        <w:ind w:left="567" w:right="1133" w:firstLine="142"/>
        <w:jc w:val="both"/>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 xml:space="preserve">е възможен пряк зрителен контакт между рулевата рубка и постовете за управление на лебедките и кнехтовете в носовата или кърмовата част на съда и в допълнение разстоянието от рулевата рубка до тези постове за управление не е по-голямо от 35 </w:t>
      </w:r>
      <w:r w:rsidRPr="004224F6">
        <w:rPr>
          <w:rFonts w:ascii="Times New Roman" w:hAnsi="Times New Roman" w:cs="Times New Roman"/>
        </w:rPr>
        <w:t>m</w:t>
      </w:r>
      <w:r w:rsidRPr="004224F6">
        <w:rPr>
          <w:rFonts w:ascii="Times New Roman" w:hAnsi="Times New Roman" w:cs="Times New Roman"/>
          <w:lang w:val="ru-RU"/>
        </w:rPr>
        <w:t>; и</w:t>
      </w:r>
    </w:p>
    <w:p w14:paraId="483A717A"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lang w:val="ru-RU"/>
        </w:rPr>
        <w:t>б)</w:t>
      </w:r>
      <w:r w:rsidRPr="004224F6">
        <w:rPr>
          <w:rFonts w:ascii="Times New Roman" w:hAnsi="Times New Roman" w:cs="Times New Roman"/>
          <w:lang w:val="ru-RU"/>
        </w:rPr>
        <w:tab/>
        <w:t>жилищните помещения са достъпни пряко от рулевата рубка.</w:t>
      </w:r>
    </w:p>
    <w:p w14:paraId="05202C77"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lang w:val="ru-RU"/>
        </w:rPr>
        <w:t>2.6.2</w:t>
      </w:r>
      <w:r w:rsidRPr="004224F6">
        <w:rPr>
          <w:rFonts w:ascii="Times New Roman" w:hAnsi="Times New Roman" w:cs="Times New Roman"/>
          <w:lang w:val="ru-RU"/>
        </w:rPr>
        <w:tab/>
        <w:t>Връзката с машинното отделение се счита за осигурена, ако сигналът, посочен в член 7.09, точка 3, второ изречение, може да се задейства независимо от прекъсвача, посочен в член 7.09, точка 2.</w:t>
      </w:r>
    </w:p>
    <w:p w14:paraId="3E568E39" w14:textId="77777777" w:rsidR="00271FA2" w:rsidRPr="004224F6" w:rsidRDefault="00D35E51" w:rsidP="000D39AD">
      <w:pPr>
        <w:tabs>
          <w:tab w:val="left" w:pos="567"/>
        </w:tabs>
        <w:spacing w:line="240" w:lineRule="atLeast"/>
        <w:ind w:left="567" w:right="1133" w:hanging="567"/>
        <w:rPr>
          <w:rFonts w:ascii="Times New Roman" w:hAnsi="Times New Roman" w:cs="Times New Roman"/>
          <w:b/>
          <w:bCs/>
          <w:lang w:val="ru-RU"/>
        </w:rPr>
      </w:pPr>
      <w:r w:rsidRPr="004224F6">
        <w:rPr>
          <w:rFonts w:ascii="Times New Roman" w:hAnsi="Times New Roman" w:cs="Times New Roman"/>
          <w:b/>
          <w:lang w:val="ru-RU"/>
        </w:rPr>
        <w:t>2.7</w:t>
      </w:r>
      <w:r w:rsidRPr="004224F6">
        <w:rPr>
          <w:rFonts w:ascii="Times New Roman" w:hAnsi="Times New Roman" w:cs="Times New Roman"/>
          <w:lang w:val="ru-RU"/>
        </w:rPr>
        <w:tab/>
      </w:r>
      <w:r w:rsidRPr="004224F6">
        <w:rPr>
          <w:rFonts w:ascii="Times New Roman" w:hAnsi="Times New Roman" w:cs="Times New Roman"/>
          <w:b/>
          <w:lang w:val="ru-RU"/>
        </w:rPr>
        <w:t>(7) — Манивели и подобни въртящи средства за задвижване</w:t>
      </w:r>
    </w:p>
    <w:p w14:paraId="199AF501" w14:textId="77777777" w:rsidR="00271FA2" w:rsidRPr="004224F6" w:rsidRDefault="00D35E51" w:rsidP="000D39AD">
      <w:pPr>
        <w:spacing w:line="240" w:lineRule="atLeast"/>
        <w:ind w:left="567" w:right="1133"/>
        <w:rPr>
          <w:rFonts w:ascii="Times New Roman" w:hAnsi="Times New Roman" w:cs="Times New Roman"/>
          <w:lang w:val="ru-RU"/>
        </w:rPr>
      </w:pPr>
      <w:r w:rsidRPr="004224F6">
        <w:rPr>
          <w:rFonts w:ascii="Times New Roman" w:hAnsi="Times New Roman" w:cs="Times New Roman"/>
          <w:lang w:val="ru-RU"/>
        </w:rPr>
        <w:t xml:space="preserve">Това включва: </w:t>
      </w:r>
    </w:p>
    <w:p w14:paraId="68B5E819" w14:textId="77777777" w:rsidR="00271FA2" w:rsidRPr="004224F6" w:rsidRDefault="00D35E51" w:rsidP="000D39AD">
      <w:pPr>
        <w:tabs>
          <w:tab w:val="left" w:pos="709"/>
        </w:tabs>
        <w:spacing w:line="240" w:lineRule="atLeast"/>
        <w:ind w:left="851" w:right="1133" w:hanging="284"/>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задвижвани ръчно котвени лебедки (максималната необходима сила е тази, при която котвите висят свободно);</w:t>
      </w:r>
    </w:p>
    <w:p w14:paraId="259604E3" w14:textId="77777777" w:rsidR="00271FA2" w:rsidRPr="004224F6" w:rsidRDefault="00D35E51" w:rsidP="000D39AD">
      <w:pPr>
        <w:tabs>
          <w:tab w:val="left" w:pos="709"/>
        </w:tabs>
        <w:spacing w:line="240" w:lineRule="atLeast"/>
        <w:ind w:left="851" w:right="1133" w:hanging="284"/>
        <w:rPr>
          <w:rFonts w:ascii="Times New Roman" w:hAnsi="Times New Roman" w:cs="Times New Roman"/>
          <w:lang w:val="ru-RU"/>
        </w:rPr>
      </w:pPr>
      <w:r w:rsidRPr="004224F6">
        <w:rPr>
          <w:rFonts w:ascii="Times New Roman" w:hAnsi="Times New Roman" w:cs="Times New Roman"/>
          <w:lang w:val="ru-RU"/>
        </w:rPr>
        <w:t>б)</w:t>
      </w:r>
      <w:r w:rsidRPr="004224F6">
        <w:rPr>
          <w:rFonts w:ascii="Times New Roman" w:hAnsi="Times New Roman" w:cs="Times New Roman"/>
          <w:lang w:val="ru-RU"/>
        </w:rPr>
        <w:tab/>
        <w:t>манивели за вдигане на люкове;</w:t>
      </w:r>
    </w:p>
    <w:p w14:paraId="07465155" w14:textId="77777777" w:rsidR="00271FA2" w:rsidRPr="004224F6" w:rsidRDefault="00D35E51" w:rsidP="000D39AD">
      <w:pPr>
        <w:tabs>
          <w:tab w:val="left" w:pos="709"/>
        </w:tabs>
        <w:spacing w:line="240" w:lineRule="atLeast"/>
        <w:ind w:left="851" w:right="1133" w:hanging="284"/>
        <w:rPr>
          <w:rFonts w:ascii="Times New Roman" w:hAnsi="Times New Roman" w:cs="Times New Roman"/>
          <w:lang w:val="ru-RU"/>
        </w:rPr>
      </w:pPr>
      <w:r w:rsidRPr="004224F6">
        <w:rPr>
          <w:rFonts w:ascii="Times New Roman" w:hAnsi="Times New Roman" w:cs="Times New Roman"/>
          <w:lang w:val="ru-RU"/>
        </w:rPr>
        <w:t>в)</w:t>
      </w:r>
      <w:r w:rsidRPr="004224F6">
        <w:rPr>
          <w:rFonts w:ascii="Times New Roman" w:hAnsi="Times New Roman" w:cs="Times New Roman"/>
          <w:lang w:val="ru-RU"/>
        </w:rPr>
        <w:tab/>
        <w:t>манивели на лебедки на мачти и комини.</w:t>
      </w:r>
    </w:p>
    <w:p w14:paraId="2FAAEDB1" w14:textId="77777777" w:rsidR="00271FA2" w:rsidRPr="004224F6" w:rsidRDefault="00D35E51" w:rsidP="000D39AD">
      <w:pPr>
        <w:spacing w:line="240" w:lineRule="atLeast"/>
        <w:ind w:left="567" w:right="1133"/>
        <w:rPr>
          <w:rFonts w:ascii="Times New Roman" w:hAnsi="Times New Roman" w:cs="Times New Roman"/>
          <w:snapToGrid w:val="0"/>
          <w:lang w:val="ru-RU"/>
        </w:rPr>
      </w:pPr>
      <w:r w:rsidRPr="004224F6">
        <w:rPr>
          <w:rFonts w:ascii="Times New Roman" w:hAnsi="Times New Roman" w:cs="Times New Roman"/>
          <w:lang w:val="ru-RU"/>
        </w:rPr>
        <w:t>Това не включва:</w:t>
      </w:r>
    </w:p>
    <w:p w14:paraId="4B6D6189" w14:textId="77777777" w:rsidR="00271FA2" w:rsidRPr="004224F6" w:rsidRDefault="00D35E51" w:rsidP="000D39AD">
      <w:pPr>
        <w:tabs>
          <w:tab w:val="left" w:pos="992"/>
        </w:tabs>
        <w:spacing w:line="240" w:lineRule="atLeast"/>
        <w:ind w:left="992" w:right="1133" w:hanging="425"/>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буксирни и съединителни лебедки;</w:t>
      </w:r>
    </w:p>
    <w:p w14:paraId="3E43B47D" w14:textId="77777777" w:rsidR="00271FA2" w:rsidRPr="004224F6" w:rsidRDefault="00D35E51" w:rsidP="000D39AD">
      <w:pPr>
        <w:tabs>
          <w:tab w:val="left" w:pos="992"/>
        </w:tabs>
        <w:spacing w:line="240" w:lineRule="atLeast"/>
        <w:ind w:left="992" w:right="1133" w:hanging="425"/>
        <w:rPr>
          <w:rFonts w:ascii="Times New Roman" w:hAnsi="Times New Roman" w:cs="Times New Roman"/>
          <w:lang w:val="ru-RU"/>
        </w:rPr>
      </w:pPr>
      <w:r w:rsidRPr="004224F6">
        <w:rPr>
          <w:rFonts w:ascii="Times New Roman" w:hAnsi="Times New Roman" w:cs="Times New Roman"/>
          <w:lang w:val="ru-RU"/>
        </w:rPr>
        <w:t>б)</w:t>
      </w:r>
      <w:r w:rsidRPr="004224F6">
        <w:rPr>
          <w:rFonts w:ascii="Times New Roman" w:hAnsi="Times New Roman" w:cs="Times New Roman"/>
          <w:lang w:val="ru-RU"/>
        </w:rPr>
        <w:tab/>
        <w:t>манивели на кранове, освен предназначените за Корабните лодки.</w:t>
      </w:r>
    </w:p>
    <w:p w14:paraId="466FF295" w14:textId="77777777" w:rsidR="00271FA2" w:rsidRPr="004224F6" w:rsidRDefault="00D35E51" w:rsidP="000D39AD">
      <w:pPr>
        <w:tabs>
          <w:tab w:val="left" w:pos="567"/>
        </w:tabs>
        <w:spacing w:line="240" w:lineRule="atLeast"/>
        <w:ind w:left="567" w:right="1133" w:hanging="567"/>
        <w:rPr>
          <w:rFonts w:ascii="Times New Roman" w:hAnsi="Times New Roman" w:cs="Times New Roman"/>
          <w:b/>
          <w:bCs/>
          <w:lang w:val="ru-RU"/>
        </w:rPr>
      </w:pPr>
      <w:r w:rsidRPr="004224F6">
        <w:rPr>
          <w:rFonts w:ascii="Times New Roman" w:hAnsi="Times New Roman" w:cs="Times New Roman"/>
          <w:b/>
          <w:lang w:val="ru-RU"/>
        </w:rPr>
        <w:t>2.8</w:t>
      </w:r>
      <w:r w:rsidRPr="004224F6">
        <w:rPr>
          <w:rFonts w:ascii="Times New Roman" w:hAnsi="Times New Roman" w:cs="Times New Roman"/>
          <w:lang w:val="ru-RU"/>
        </w:rPr>
        <w:tab/>
      </w:r>
      <w:r w:rsidRPr="004224F6">
        <w:rPr>
          <w:rFonts w:ascii="Times New Roman" w:hAnsi="Times New Roman" w:cs="Times New Roman"/>
          <w:b/>
          <w:lang w:val="ru-RU"/>
        </w:rPr>
        <w:t>(10) — Ергономични условия</w:t>
      </w:r>
    </w:p>
    <w:p w14:paraId="4FBA096E" w14:textId="77777777" w:rsidR="00271FA2" w:rsidRPr="004224F6" w:rsidRDefault="00D35E51" w:rsidP="000D39AD">
      <w:pPr>
        <w:spacing w:line="240" w:lineRule="atLeast"/>
        <w:ind w:left="567" w:right="1133"/>
        <w:rPr>
          <w:rFonts w:ascii="Times New Roman" w:hAnsi="Times New Roman" w:cs="Times New Roman"/>
          <w:snapToGrid w:val="0"/>
          <w:lang w:val="ru-RU"/>
        </w:rPr>
      </w:pPr>
      <w:r w:rsidRPr="004224F6">
        <w:rPr>
          <w:rFonts w:ascii="Times New Roman" w:hAnsi="Times New Roman" w:cs="Times New Roman"/>
          <w:lang w:val="ru-RU"/>
        </w:rPr>
        <w:t>Разпоредбите се считат за изпълнени, ако:</w:t>
      </w:r>
    </w:p>
    <w:p w14:paraId="2F08AFDB" w14:textId="77777777" w:rsidR="00271FA2" w:rsidRPr="004224F6" w:rsidRDefault="00D35E51" w:rsidP="000D39AD">
      <w:pPr>
        <w:tabs>
          <w:tab w:val="left" w:pos="993"/>
        </w:tabs>
        <w:spacing w:line="240" w:lineRule="atLeast"/>
        <w:ind w:left="993" w:right="1133" w:hanging="426"/>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рулевата рубк</w:t>
      </w:r>
      <w:r w:rsidR="00FF3B97" w:rsidRPr="004224F6">
        <w:rPr>
          <w:rFonts w:ascii="Times New Roman" w:hAnsi="Times New Roman" w:cs="Times New Roman"/>
          <w:lang w:val="ru-RU"/>
        </w:rPr>
        <w:t>а е изградена в съответствие с Е</w:t>
      </w:r>
      <w:r w:rsidRPr="004224F6">
        <w:rPr>
          <w:rFonts w:ascii="Times New Roman" w:hAnsi="Times New Roman" w:cs="Times New Roman"/>
          <w:lang w:val="ru-RU"/>
        </w:rPr>
        <w:t xml:space="preserve">вропейски стандарт </w:t>
      </w:r>
      <w:r w:rsidRPr="004224F6">
        <w:rPr>
          <w:rFonts w:ascii="Times New Roman" w:hAnsi="Times New Roman" w:cs="Times New Roman"/>
        </w:rPr>
        <w:t>EN</w:t>
      </w:r>
      <w:r w:rsidRPr="004224F6">
        <w:rPr>
          <w:rFonts w:ascii="Times New Roman" w:hAnsi="Times New Roman" w:cs="Times New Roman"/>
          <w:lang w:val="ru-RU"/>
        </w:rPr>
        <w:t xml:space="preserve"> 1864:2008; или</w:t>
      </w:r>
    </w:p>
    <w:p w14:paraId="7B4F37CD" w14:textId="77777777" w:rsidR="00271FA2" w:rsidRPr="004224F6" w:rsidRDefault="00D35E51" w:rsidP="000D39AD">
      <w:pPr>
        <w:tabs>
          <w:tab w:val="left" w:pos="993"/>
        </w:tabs>
        <w:spacing w:line="240" w:lineRule="atLeast"/>
        <w:ind w:left="993" w:right="1133" w:hanging="426"/>
        <w:rPr>
          <w:rFonts w:ascii="Times New Roman" w:hAnsi="Times New Roman" w:cs="Times New Roman"/>
          <w:lang w:val="ru-RU"/>
        </w:rPr>
      </w:pPr>
      <w:r w:rsidRPr="004224F6">
        <w:rPr>
          <w:rFonts w:ascii="Times New Roman" w:hAnsi="Times New Roman" w:cs="Times New Roman"/>
          <w:lang w:val="ru-RU"/>
        </w:rPr>
        <w:t>б)</w:t>
      </w:r>
      <w:r w:rsidRPr="004224F6">
        <w:rPr>
          <w:rFonts w:ascii="Times New Roman" w:hAnsi="Times New Roman" w:cs="Times New Roman"/>
          <w:lang w:val="ru-RU"/>
        </w:rPr>
        <w:tab/>
        <w:t>рулевата рубка е проектирана за управление с радиолокационни средства от едно лице; или</w:t>
      </w:r>
    </w:p>
    <w:p w14:paraId="291CAC1C" w14:textId="77777777" w:rsidR="00271FA2" w:rsidRPr="004224F6" w:rsidRDefault="00D35E51" w:rsidP="000D39AD">
      <w:pPr>
        <w:tabs>
          <w:tab w:val="left" w:pos="993"/>
        </w:tabs>
        <w:spacing w:line="240" w:lineRule="atLeast"/>
        <w:ind w:left="993" w:right="1133" w:hanging="426"/>
        <w:rPr>
          <w:rFonts w:ascii="Times New Roman" w:hAnsi="Times New Roman" w:cs="Times New Roman"/>
          <w:lang w:val="ru-RU"/>
        </w:rPr>
      </w:pPr>
      <w:r w:rsidRPr="004224F6">
        <w:rPr>
          <w:rFonts w:ascii="Times New Roman" w:hAnsi="Times New Roman" w:cs="Times New Roman"/>
          <w:lang w:val="ru-RU"/>
        </w:rPr>
        <w:t>в)</w:t>
      </w:r>
      <w:r w:rsidRPr="004224F6">
        <w:rPr>
          <w:rFonts w:ascii="Times New Roman" w:hAnsi="Times New Roman" w:cs="Times New Roman"/>
          <w:lang w:val="ru-RU"/>
        </w:rPr>
        <w:tab/>
        <w:t>рулевата рубка отговаря на следните изисквания:</w:t>
      </w:r>
    </w:p>
    <w:p w14:paraId="4C0372BB" w14:textId="77777777" w:rsidR="00271FA2" w:rsidRPr="004224F6" w:rsidRDefault="00D35E51" w:rsidP="000D39AD">
      <w:pPr>
        <w:widowControl w:val="0"/>
        <w:tabs>
          <w:tab w:val="left" w:pos="1418"/>
        </w:tabs>
        <w:overflowPunct w:val="0"/>
        <w:adjustRightInd w:val="0"/>
        <w:spacing w:line="240" w:lineRule="atLeast"/>
        <w:ind w:left="1418" w:right="1133" w:hanging="284"/>
        <w:jc w:val="both"/>
        <w:textAlignment w:val="baseline"/>
        <w:rPr>
          <w:rFonts w:ascii="Times New Roman" w:hAnsi="Times New Roman" w:cs="Times New Roman"/>
          <w:snapToGrid w:val="0"/>
          <w:lang w:val="ru-RU"/>
        </w:rPr>
      </w:pPr>
      <w:r w:rsidRPr="004224F6">
        <w:rPr>
          <w:rFonts w:ascii="Times New Roman" w:hAnsi="Times New Roman" w:cs="Times New Roman"/>
        </w:rPr>
        <w:t>aa</w:t>
      </w:r>
      <w:r w:rsidRPr="004224F6">
        <w:rPr>
          <w:rFonts w:ascii="Times New Roman" w:hAnsi="Times New Roman" w:cs="Times New Roman"/>
          <w:lang w:val="ru-RU"/>
        </w:rPr>
        <w:t>)</w:t>
      </w:r>
      <w:r w:rsidRPr="004224F6">
        <w:rPr>
          <w:rFonts w:ascii="Times New Roman" w:hAnsi="Times New Roman" w:cs="Times New Roman"/>
          <w:lang w:val="ru-RU"/>
        </w:rPr>
        <w:tab/>
        <w:t>управляващите елементи и приборите за следене са в зрителното поле напред и в границите на дъга от не повече от 180° (90° към десен борд и 90° към ляв борд)</w:t>
      </w:r>
      <w:r w:rsidR="008261B7" w:rsidRPr="004224F6">
        <w:rPr>
          <w:rFonts w:ascii="Times New Roman" w:hAnsi="Times New Roman" w:cs="Times New Roman"/>
          <w:lang w:val="ru-RU"/>
        </w:rPr>
        <w:t xml:space="preserve">, включително подът и таванът. </w:t>
      </w:r>
      <w:r w:rsidRPr="004224F6">
        <w:rPr>
          <w:rFonts w:ascii="Times New Roman" w:hAnsi="Times New Roman" w:cs="Times New Roman"/>
          <w:lang w:val="ru-RU"/>
        </w:rPr>
        <w:t>Те трябва да могат да се разчитат ясно и да са ясно видими от нормалното положение на рулевия;</w:t>
      </w:r>
    </w:p>
    <w:p w14:paraId="3B55517E" w14:textId="77777777" w:rsidR="00271FA2" w:rsidRPr="004224F6" w:rsidRDefault="00D35E51" w:rsidP="000D39AD">
      <w:pPr>
        <w:widowControl w:val="0"/>
        <w:tabs>
          <w:tab w:val="left" w:pos="1418"/>
        </w:tabs>
        <w:overflowPunct w:val="0"/>
        <w:adjustRightInd w:val="0"/>
        <w:spacing w:line="240" w:lineRule="atLeast"/>
        <w:ind w:left="1417" w:right="1133" w:hanging="284"/>
        <w:jc w:val="both"/>
        <w:textAlignment w:val="baseline"/>
        <w:rPr>
          <w:rFonts w:ascii="Times New Roman" w:hAnsi="Times New Roman" w:cs="Times New Roman"/>
          <w:snapToGrid w:val="0"/>
          <w:lang w:val="ru-RU"/>
        </w:rPr>
      </w:pPr>
      <w:r w:rsidRPr="004224F6">
        <w:rPr>
          <w:rFonts w:ascii="Times New Roman" w:hAnsi="Times New Roman" w:cs="Times New Roman"/>
          <w:lang w:val="ru-RU"/>
        </w:rPr>
        <w:t>бб)</w:t>
      </w:r>
      <w:r w:rsidRPr="004224F6">
        <w:rPr>
          <w:rFonts w:ascii="Times New Roman" w:hAnsi="Times New Roman" w:cs="Times New Roman"/>
          <w:lang w:val="ru-RU"/>
        </w:rPr>
        <w:tab/>
        <w:t xml:space="preserve">главните управляващи елементи, като щурвал във формата на кръг или ръкохватка, управлението на двигателя, управлението на радиото и управлението на звуковите, предупредителните и маневрените сигнали, изисквани от нормативните уредби на национални или международни органи по корабоплаване, според случая, трябва да са разположени по такъв начин, че разстоянието между уредите за управление от страната на десния борд и тези от страната на левия борд да не е повече от 3 </w:t>
      </w:r>
      <w:r w:rsidRPr="004224F6">
        <w:rPr>
          <w:rFonts w:ascii="Times New Roman" w:hAnsi="Times New Roman" w:cs="Times New Roman"/>
        </w:rPr>
        <w:t>m</w:t>
      </w:r>
      <w:r w:rsidRPr="004224F6">
        <w:rPr>
          <w:rFonts w:ascii="Times New Roman" w:hAnsi="Times New Roman" w:cs="Times New Roman"/>
          <w:lang w:val="ru-RU"/>
        </w:rPr>
        <w:t xml:space="preserve">. Рулевият трябва </w:t>
      </w:r>
      <w:r w:rsidRPr="004224F6">
        <w:rPr>
          <w:rFonts w:ascii="Times New Roman" w:hAnsi="Times New Roman" w:cs="Times New Roman"/>
          <w:lang w:val="ru-RU"/>
        </w:rPr>
        <w:lastRenderedPageBreak/>
        <w:t>да е в състояние да управлява двигателите, без да изпуска уредите за управление на рулевата система, както и да може да работи с други уреди за управление, като тези на радиото, на звуковите, предупредителните и маневрените сигнали, изисквани съгласно нормативната уредба на национални или международни органи по корабоплаване, според случая;</w:t>
      </w:r>
    </w:p>
    <w:p w14:paraId="53241548" w14:textId="77777777" w:rsidR="00271FA2" w:rsidRPr="004224F6" w:rsidRDefault="00D35E51" w:rsidP="000D39AD">
      <w:pPr>
        <w:widowControl w:val="0"/>
        <w:tabs>
          <w:tab w:val="left" w:pos="1418"/>
        </w:tabs>
        <w:overflowPunct w:val="0"/>
        <w:adjustRightInd w:val="0"/>
        <w:spacing w:line="240" w:lineRule="atLeast"/>
        <w:ind w:left="1417" w:right="1133" w:hanging="284"/>
        <w:jc w:val="both"/>
        <w:textAlignment w:val="baseline"/>
        <w:rPr>
          <w:rFonts w:ascii="Times New Roman" w:hAnsi="Times New Roman" w:cs="Times New Roman"/>
          <w:snapToGrid w:val="0"/>
          <w:lang w:val="ru-RU"/>
        </w:rPr>
      </w:pPr>
      <w:r w:rsidRPr="004224F6">
        <w:rPr>
          <w:rFonts w:ascii="Times New Roman" w:hAnsi="Times New Roman" w:cs="Times New Roman"/>
          <w:lang w:val="ru-RU"/>
        </w:rPr>
        <w:t>вв)</w:t>
      </w:r>
      <w:r w:rsidRPr="004224F6">
        <w:rPr>
          <w:rFonts w:ascii="Times New Roman" w:hAnsi="Times New Roman" w:cs="Times New Roman"/>
          <w:lang w:val="ru-RU"/>
        </w:rPr>
        <w:tab/>
        <w:t>предупредителните сигнали и сигналите при маневриране, изисквани съгласно нормативната уредба на национални или международни органи по корабоплаване, според случая, се управляват електрически, пневматично, хидравлично или механично. По изключение може да се управлява посредством жило на опън само ако при този начин е възможно безопасно боравене от поста за управление.</w:t>
      </w:r>
    </w:p>
    <w:p w14:paraId="2A514213"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b/>
          <w:bCs/>
          <w:lang w:val="ru-RU"/>
        </w:rPr>
      </w:pPr>
      <w:r w:rsidRPr="004224F6">
        <w:rPr>
          <w:rFonts w:ascii="Times New Roman" w:hAnsi="Times New Roman" w:cs="Times New Roman"/>
          <w:b/>
          <w:lang w:val="ru-RU"/>
        </w:rPr>
        <w:t>3.</w:t>
      </w:r>
      <w:r w:rsidRPr="004224F6">
        <w:rPr>
          <w:rFonts w:ascii="Times New Roman" w:hAnsi="Times New Roman" w:cs="Times New Roman"/>
          <w:lang w:val="ru-RU"/>
        </w:rPr>
        <w:tab/>
      </w:r>
      <w:r w:rsidRPr="004224F6">
        <w:rPr>
          <w:rFonts w:ascii="Times New Roman" w:hAnsi="Times New Roman" w:cs="Times New Roman"/>
          <w:b/>
          <w:lang w:val="ru-RU"/>
        </w:rPr>
        <w:t xml:space="preserve">Член 31.03 – Стандарт </w:t>
      </w:r>
      <w:r w:rsidRPr="004224F6">
        <w:rPr>
          <w:rFonts w:ascii="Times New Roman" w:hAnsi="Times New Roman" w:cs="Times New Roman"/>
          <w:b/>
        </w:rPr>
        <w:t>S</w:t>
      </w:r>
      <w:r w:rsidRPr="004224F6">
        <w:rPr>
          <w:rFonts w:ascii="Times New Roman" w:hAnsi="Times New Roman" w:cs="Times New Roman"/>
          <w:b/>
          <w:lang w:val="ru-RU"/>
        </w:rPr>
        <w:t>2</w:t>
      </w:r>
    </w:p>
    <w:p w14:paraId="0A60A15B" w14:textId="77777777" w:rsidR="00271FA2" w:rsidRPr="004224F6" w:rsidRDefault="00D35E51" w:rsidP="000D39AD">
      <w:pPr>
        <w:tabs>
          <w:tab w:val="left" w:pos="567"/>
          <w:tab w:val="right" w:pos="9071"/>
        </w:tabs>
        <w:spacing w:line="240" w:lineRule="atLeast"/>
        <w:ind w:left="567" w:right="1133" w:hanging="567"/>
        <w:jc w:val="both"/>
        <w:rPr>
          <w:rFonts w:ascii="Times New Roman" w:hAnsi="Times New Roman" w:cs="Times New Roman"/>
          <w:b/>
          <w:bCs/>
          <w:lang w:val="ru-RU"/>
        </w:rPr>
      </w:pPr>
      <w:r w:rsidRPr="004224F6">
        <w:rPr>
          <w:rFonts w:ascii="Times New Roman" w:hAnsi="Times New Roman" w:cs="Times New Roman"/>
          <w:b/>
          <w:lang w:val="ru-RU"/>
        </w:rPr>
        <w:t>3.1</w:t>
      </w:r>
      <w:r w:rsidRPr="004224F6">
        <w:rPr>
          <w:rFonts w:ascii="Times New Roman" w:hAnsi="Times New Roman" w:cs="Times New Roman"/>
          <w:lang w:val="ru-RU"/>
        </w:rPr>
        <w:tab/>
      </w:r>
      <w:r w:rsidRPr="004224F6">
        <w:rPr>
          <w:rFonts w:ascii="Times New Roman" w:hAnsi="Times New Roman" w:cs="Times New Roman"/>
          <w:b/>
          <w:lang w:val="ru-RU"/>
        </w:rPr>
        <w:t>(1) — Моторен товарен плавателен съд или моторен танкер работещ отделно</w:t>
      </w:r>
    </w:p>
    <w:p w14:paraId="381ADA5B" w14:textId="77777777" w:rsidR="00271FA2" w:rsidRPr="004224F6" w:rsidRDefault="00D35E51" w:rsidP="000D39AD">
      <w:pPr>
        <w:spacing w:line="240" w:lineRule="atLeast"/>
        <w:ind w:left="567" w:right="1133"/>
        <w:jc w:val="both"/>
        <w:rPr>
          <w:rFonts w:ascii="Times New Roman" w:hAnsi="Times New Roman" w:cs="Times New Roman"/>
          <w:snapToGrid w:val="0"/>
          <w:lang w:val="ru-RU"/>
        </w:rPr>
      </w:pPr>
      <w:r w:rsidRPr="004224F6">
        <w:rPr>
          <w:rFonts w:ascii="Times New Roman" w:hAnsi="Times New Roman" w:cs="Times New Roman"/>
          <w:lang w:val="ru-RU"/>
        </w:rPr>
        <w:t>Моторни товарни плавателни съдове или моторни танкери, които съгласно Корабното удостоверение за вътрешно корабоплаване, също са подходящи за тласкане, но които:</w:t>
      </w:r>
    </w:p>
    <w:p w14:paraId="793794AB" w14:textId="77777777" w:rsidR="00271FA2" w:rsidRPr="004224F6" w:rsidRDefault="00D35E51" w:rsidP="000D39AD">
      <w:pPr>
        <w:tabs>
          <w:tab w:val="left" w:pos="993"/>
        </w:tabs>
        <w:spacing w:line="240" w:lineRule="atLeast"/>
        <w:ind w:left="993" w:right="1133" w:hanging="426"/>
        <w:jc w:val="both"/>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нямат хидравлично или електрически задействани съединителни лебедки; или</w:t>
      </w:r>
    </w:p>
    <w:p w14:paraId="644F6C7D"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lang w:val="ru-RU"/>
        </w:rPr>
        <w:t>б)</w:t>
      </w:r>
      <w:r w:rsidRPr="004224F6">
        <w:rPr>
          <w:rFonts w:ascii="Times New Roman" w:hAnsi="Times New Roman" w:cs="Times New Roman"/>
          <w:lang w:val="ru-RU"/>
        </w:rPr>
        <w:tab/>
        <w:t>чиито хидравлично или електрически задействани съединителни лебедки не отговарят на изискванията на точка 3.3 от настоящата инструкция,</w:t>
      </w:r>
    </w:p>
    <w:p w14:paraId="5601E7BA" w14:textId="77777777" w:rsidR="00271FA2" w:rsidRPr="004224F6" w:rsidRDefault="00A973F4" w:rsidP="000D39AD">
      <w:pPr>
        <w:tabs>
          <w:tab w:val="left" w:pos="567"/>
        </w:tabs>
        <w:spacing w:line="240" w:lineRule="atLeast"/>
        <w:ind w:left="567" w:right="1133" w:hanging="567"/>
        <w:jc w:val="both"/>
        <w:rPr>
          <w:rFonts w:ascii="Times New Roman" w:hAnsi="Times New Roman" w:cs="Times New Roman"/>
          <w:snapToGrid w:val="0"/>
          <w:szCs w:val="20"/>
          <w:lang w:val="ru-RU"/>
        </w:rPr>
      </w:pPr>
      <w:r w:rsidRPr="004224F6">
        <w:rPr>
          <w:rFonts w:ascii="Times New Roman" w:hAnsi="Times New Roman" w:cs="Times New Roman"/>
          <w:lang w:val="ru-RU"/>
        </w:rPr>
        <w:tab/>
        <w:t>се категоризират в С</w:t>
      </w:r>
      <w:r w:rsidR="00D35E51" w:rsidRPr="004224F6">
        <w:rPr>
          <w:rFonts w:ascii="Times New Roman" w:hAnsi="Times New Roman" w:cs="Times New Roman"/>
          <w:lang w:val="ru-RU"/>
        </w:rPr>
        <w:t xml:space="preserve">тандарт </w:t>
      </w:r>
      <w:r w:rsidR="00D35E51" w:rsidRPr="004224F6">
        <w:rPr>
          <w:rFonts w:ascii="Times New Roman" w:hAnsi="Times New Roman" w:cs="Times New Roman"/>
        </w:rPr>
        <w:t>S</w:t>
      </w:r>
      <w:r w:rsidR="00D35E51" w:rsidRPr="004224F6">
        <w:rPr>
          <w:rFonts w:ascii="Times New Roman" w:hAnsi="Times New Roman" w:cs="Times New Roman"/>
          <w:lang w:val="ru-RU"/>
        </w:rPr>
        <w:t xml:space="preserve">2 като моторен товарен плавателен съд или моторен танкер, използван самостоятелно. Фразата „Стандарт </w:t>
      </w:r>
      <w:r w:rsidR="00D35E51" w:rsidRPr="004224F6">
        <w:rPr>
          <w:rFonts w:ascii="Times New Roman" w:hAnsi="Times New Roman" w:cs="Times New Roman"/>
        </w:rPr>
        <w:t>S</w:t>
      </w:r>
      <w:r w:rsidR="00D35E51" w:rsidRPr="004224F6">
        <w:rPr>
          <w:rFonts w:ascii="Times New Roman" w:hAnsi="Times New Roman" w:cs="Times New Roman"/>
          <w:lang w:val="ru-RU"/>
        </w:rPr>
        <w:t>2 не важи за моторния товарен плавателен съд или моторния танкер, когато тласка“ се вписва в точка 47 от Корабното удостоверение за вътрешно корабоплаване.</w:t>
      </w:r>
    </w:p>
    <w:p w14:paraId="2223AF20" w14:textId="77777777" w:rsidR="00271FA2" w:rsidRPr="004224F6" w:rsidRDefault="00D35E51" w:rsidP="000D39AD">
      <w:pPr>
        <w:tabs>
          <w:tab w:val="left" w:pos="567"/>
        </w:tabs>
        <w:spacing w:line="240" w:lineRule="atLeast"/>
        <w:ind w:left="567" w:right="1133" w:hanging="567"/>
        <w:rPr>
          <w:rFonts w:ascii="Times New Roman" w:hAnsi="Times New Roman" w:cs="Times New Roman"/>
          <w:b/>
          <w:bCs/>
          <w:lang w:val="ru-RU"/>
        </w:rPr>
      </w:pPr>
      <w:r w:rsidRPr="004224F6">
        <w:rPr>
          <w:rFonts w:ascii="Times New Roman" w:hAnsi="Times New Roman" w:cs="Times New Roman"/>
          <w:b/>
          <w:lang w:val="ru-RU"/>
        </w:rPr>
        <w:t>3.2</w:t>
      </w:r>
      <w:r w:rsidRPr="004224F6">
        <w:rPr>
          <w:rFonts w:ascii="Times New Roman" w:hAnsi="Times New Roman" w:cs="Times New Roman"/>
          <w:lang w:val="ru-RU"/>
        </w:rPr>
        <w:tab/>
      </w:r>
      <w:r w:rsidRPr="004224F6">
        <w:rPr>
          <w:rFonts w:ascii="Times New Roman" w:hAnsi="Times New Roman" w:cs="Times New Roman"/>
          <w:b/>
          <w:lang w:val="ru-RU"/>
        </w:rPr>
        <w:t>(3) – Тласкани състави</w:t>
      </w:r>
    </w:p>
    <w:p w14:paraId="4E022F52"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snapToGrid w:val="0"/>
          <w:szCs w:val="20"/>
          <w:lang w:val="ru-RU"/>
        </w:rPr>
      </w:pPr>
      <w:r w:rsidRPr="004224F6">
        <w:rPr>
          <w:rFonts w:ascii="Times New Roman" w:hAnsi="Times New Roman" w:cs="Times New Roman"/>
          <w:lang w:val="ru-RU"/>
        </w:rPr>
        <w:tab/>
        <w:t>На моторни товарни плавателни съдове или моторни танкери, които съгласно тяхното Корабното удостоверение за вътрешно корабоплаване са пригодни да тласкат и са снабдени със съединителни лебедки, задействани хидравлично или електрически, които изпълняват изискванията по точка 3.3 от настоящата инструкция, но нямат собствено носово подрулващо устройство, се категоризир</w:t>
      </w:r>
      <w:r w:rsidR="00A973F4" w:rsidRPr="004224F6">
        <w:rPr>
          <w:rFonts w:ascii="Times New Roman" w:hAnsi="Times New Roman" w:cs="Times New Roman"/>
          <w:lang w:val="ru-RU"/>
        </w:rPr>
        <w:t>ат в С</w:t>
      </w:r>
      <w:r w:rsidRPr="004224F6">
        <w:rPr>
          <w:rFonts w:ascii="Times New Roman" w:hAnsi="Times New Roman" w:cs="Times New Roman"/>
          <w:lang w:val="ru-RU"/>
        </w:rPr>
        <w:t xml:space="preserve">тандарт </w:t>
      </w:r>
      <w:r w:rsidRPr="004224F6">
        <w:rPr>
          <w:rFonts w:ascii="Times New Roman" w:hAnsi="Times New Roman" w:cs="Times New Roman"/>
        </w:rPr>
        <w:t>S</w:t>
      </w:r>
      <w:r w:rsidRPr="004224F6">
        <w:rPr>
          <w:rFonts w:ascii="Times New Roman" w:hAnsi="Times New Roman" w:cs="Times New Roman"/>
          <w:lang w:val="ru-RU"/>
        </w:rPr>
        <w:t xml:space="preserve">2 като моторен товарен плавателен съд или моторен танкер, който тласка състав. Фразата „Стандарт </w:t>
      </w:r>
      <w:r w:rsidRPr="004224F6">
        <w:rPr>
          <w:rFonts w:ascii="Times New Roman" w:hAnsi="Times New Roman" w:cs="Times New Roman"/>
        </w:rPr>
        <w:t>S</w:t>
      </w:r>
      <w:r w:rsidRPr="004224F6">
        <w:rPr>
          <w:rFonts w:ascii="Times New Roman" w:hAnsi="Times New Roman" w:cs="Times New Roman"/>
          <w:lang w:val="ru-RU"/>
        </w:rPr>
        <w:t>2 не важи за моторния товарен плавателен съд или товарен танкер, когато се използва самостоятелно“ се вписва в точка 47 от Корабното удостоверение за вътрешно корабоплаване.</w:t>
      </w:r>
    </w:p>
    <w:p w14:paraId="44DE4EAE"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b/>
          <w:bCs/>
          <w:lang w:val="ru-RU"/>
        </w:rPr>
      </w:pPr>
      <w:r w:rsidRPr="004224F6">
        <w:rPr>
          <w:rFonts w:ascii="Times New Roman" w:hAnsi="Times New Roman" w:cs="Times New Roman"/>
          <w:b/>
          <w:lang w:val="ru-RU"/>
        </w:rPr>
        <w:t>3.3</w:t>
      </w:r>
      <w:r w:rsidRPr="004224F6">
        <w:rPr>
          <w:rFonts w:ascii="Times New Roman" w:hAnsi="Times New Roman" w:cs="Times New Roman"/>
          <w:lang w:val="ru-RU"/>
        </w:rPr>
        <w:tab/>
      </w:r>
      <w:r w:rsidRPr="004224F6">
        <w:rPr>
          <w:rFonts w:ascii="Times New Roman" w:hAnsi="Times New Roman" w:cs="Times New Roman"/>
          <w:b/>
          <w:lang w:val="ru-RU"/>
        </w:rPr>
        <w:t>Точка 3, първо изречение и точка 4, буква “г”, първо изречение — Специални лебедки или еквивалентни устройства за натягане на въжетата (свързващи устройства)</w:t>
      </w:r>
    </w:p>
    <w:p w14:paraId="1F7D46A6"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lang w:val="ru-RU"/>
        </w:rPr>
        <w:tab/>
        <w:t>Изискваните свързващи устройства представляват минималното оборудване, посочено в съответствие с член 21.01, точка 2, кое</w:t>
      </w:r>
      <w:r w:rsidR="00B8429B" w:rsidRPr="004224F6">
        <w:rPr>
          <w:rFonts w:ascii="Times New Roman" w:hAnsi="Times New Roman" w:cs="Times New Roman"/>
          <w:lang w:val="ru-RU"/>
        </w:rPr>
        <w:t>то съгласно точки 2.1 и 2.2 от И</w:t>
      </w:r>
      <w:r w:rsidRPr="004224F6">
        <w:rPr>
          <w:rFonts w:ascii="Times New Roman" w:hAnsi="Times New Roman" w:cs="Times New Roman"/>
          <w:lang w:val="ru-RU"/>
        </w:rPr>
        <w:t xml:space="preserve">нструкция </w:t>
      </w:r>
      <w:r w:rsidRPr="004224F6">
        <w:rPr>
          <w:rFonts w:ascii="Times New Roman" w:hAnsi="Times New Roman" w:cs="Times New Roman"/>
        </w:rPr>
        <w:t>ESI</w:t>
      </w:r>
      <w:r w:rsidRPr="004224F6">
        <w:rPr>
          <w:rFonts w:ascii="Times New Roman" w:hAnsi="Times New Roman" w:cs="Times New Roman"/>
          <w:lang w:val="ru-RU"/>
        </w:rPr>
        <w:t>-</w:t>
      </w:r>
      <w:r w:rsidRPr="004224F6">
        <w:rPr>
          <w:rFonts w:ascii="Times New Roman" w:hAnsi="Times New Roman" w:cs="Times New Roman"/>
        </w:rPr>
        <w:t>III</w:t>
      </w:r>
      <w:r w:rsidRPr="004224F6">
        <w:rPr>
          <w:rFonts w:ascii="Times New Roman" w:hAnsi="Times New Roman" w:cs="Times New Roman"/>
          <w:lang w:val="ru-RU"/>
        </w:rPr>
        <w:t>-6 (надлъжни връзки) служи за поемане на силите на свързване и трябва да отговаря на следните изисквания:</w:t>
      </w:r>
    </w:p>
    <w:p w14:paraId="240C1530" w14:textId="77777777" w:rsidR="00271FA2" w:rsidRPr="004224F6" w:rsidRDefault="00D35E51" w:rsidP="000D39AD">
      <w:pPr>
        <w:tabs>
          <w:tab w:val="left" w:pos="993"/>
        </w:tabs>
        <w:spacing w:line="240" w:lineRule="atLeast"/>
        <w:ind w:left="993" w:right="1133" w:hanging="426"/>
        <w:jc w:val="both"/>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устройството трябва да осигурява необходимата за свързването сила на опън само с механични средства;</w:t>
      </w:r>
    </w:p>
    <w:p w14:paraId="7E95A5D4"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lang w:val="ru-RU"/>
        </w:rPr>
        <w:t>б)</w:t>
      </w:r>
      <w:r w:rsidRPr="004224F6">
        <w:rPr>
          <w:rFonts w:ascii="Times New Roman" w:hAnsi="Times New Roman" w:cs="Times New Roman"/>
          <w:lang w:val="ru-RU"/>
        </w:rPr>
        <w:tab/>
        <w:t>уредите за управление на устройството трябва да се намират върху самото устройство. По изключение дистанционно управление е разрешено, при условие че:</w:t>
      </w:r>
    </w:p>
    <w:p w14:paraId="4E07BC96" w14:textId="77777777" w:rsidR="00271FA2" w:rsidRPr="004224F6" w:rsidRDefault="00D35E51" w:rsidP="000D39AD">
      <w:pPr>
        <w:tabs>
          <w:tab w:val="left" w:pos="1418"/>
        </w:tabs>
        <w:spacing w:line="240" w:lineRule="atLeast"/>
        <w:ind w:left="1418" w:right="1133" w:hanging="425"/>
        <w:jc w:val="both"/>
        <w:rPr>
          <w:rFonts w:ascii="Times New Roman" w:hAnsi="Times New Roman" w:cs="Times New Roman"/>
          <w:lang w:val="ru-RU"/>
        </w:rPr>
      </w:pPr>
      <w:r w:rsidRPr="004224F6">
        <w:rPr>
          <w:rFonts w:ascii="Times New Roman" w:hAnsi="Times New Roman" w:cs="Times New Roman"/>
        </w:rPr>
        <w:sym w:font="Symbol" w:char="F0B7"/>
      </w:r>
      <w:r w:rsidRPr="004224F6">
        <w:rPr>
          <w:rFonts w:ascii="Times New Roman" w:hAnsi="Times New Roman" w:cs="Times New Roman"/>
          <w:lang w:val="ru-RU"/>
        </w:rPr>
        <w:tab/>
        <w:t>лицето, управляващо устройството, има безпрепятствена пряка видимост към устройството от поста за управление,</w:t>
      </w:r>
    </w:p>
    <w:p w14:paraId="19DAA907" w14:textId="77777777" w:rsidR="00271FA2" w:rsidRPr="004224F6" w:rsidRDefault="00D35E51" w:rsidP="000D39AD">
      <w:pPr>
        <w:tabs>
          <w:tab w:val="left" w:pos="1418"/>
        </w:tabs>
        <w:spacing w:line="240" w:lineRule="atLeast"/>
        <w:ind w:left="1418" w:right="1133" w:hanging="425"/>
        <w:jc w:val="both"/>
        <w:rPr>
          <w:rFonts w:ascii="Times New Roman" w:hAnsi="Times New Roman" w:cs="Times New Roman"/>
          <w:lang w:val="ru-RU"/>
        </w:rPr>
      </w:pPr>
      <w:r w:rsidRPr="004224F6">
        <w:rPr>
          <w:rFonts w:ascii="Times New Roman" w:hAnsi="Times New Roman" w:cs="Times New Roman"/>
        </w:rPr>
        <w:lastRenderedPageBreak/>
        <w:sym w:font="Symbol" w:char="F0B7"/>
      </w:r>
      <w:r w:rsidRPr="004224F6">
        <w:rPr>
          <w:rFonts w:ascii="Times New Roman" w:hAnsi="Times New Roman" w:cs="Times New Roman"/>
          <w:lang w:val="ru-RU"/>
        </w:rPr>
        <w:tab/>
        <w:t>на поста за управление има устройство за предотвратяване на неволно задействане,</w:t>
      </w:r>
    </w:p>
    <w:p w14:paraId="74931F8C" w14:textId="77777777" w:rsidR="00271FA2" w:rsidRPr="004224F6" w:rsidRDefault="00D35E51" w:rsidP="000D39AD">
      <w:pPr>
        <w:tabs>
          <w:tab w:val="left" w:pos="1418"/>
        </w:tabs>
        <w:spacing w:line="240" w:lineRule="atLeast"/>
        <w:ind w:left="1418" w:right="1133" w:hanging="425"/>
        <w:jc w:val="both"/>
        <w:rPr>
          <w:rFonts w:ascii="Times New Roman" w:hAnsi="Times New Roman" w:cs="Times New Roman"/>
          <w:lang w:val="ru-RU"/>
        </w:rPr>
      </w:pPr>
      <w:r w:rsidRPr="004224F6">
        <w:rPr>
          <w:rFonts w:ascii="Times New Roman" w:hAnsi="Times New Roman" w:cs="Times New Roman"/>
        </w:rPr>
        <w:sym w:font="Symbol" w:char="F0B7"/>
      </w:r>
      <w:r w:rsidRPr="004224F6">
        <w:rPr>
          <w:rFonts w:ascii="Times New Roman" w:hAnsi="Times New Roman" w:cs="Times New Roman"/>
          <w:lang w:val="ru-RU"/>
        </w:rPr>
        <w:tab/>
        <w:t>устройството има авариен стоп;</w:t>
      </w:r>
    </w:p>
    <w:p w14:paraId="4B2E2BEE"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lang w:val="ru-RU"/>
        </w:rPr>
        <w:t>в)</w:t>
      </w:r>
      <w:r w:rsidRPr="004224F6">
        <w:rPr>
          <w:rFonts w:ascii="Times New Roman" w:hAnsi="Times New Roman" w:cs="Times New Roman"/>
          <w:lang w:val="ru-RU"/>
        </w:rPr>
        <w:tab/>
        <w:t>устройството трябва да има спирачна уредба, която действа незабавно, ако се изпусне управлението или задвижващата сила отпадне;</w:t>
      </w:r>
    </w:p>
    <w:p w14:paraId="45581CDB"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lang w:val="ru-RU"/>
        </w:rPr>
        <w:t>г)</w:t>
      </w:r>
      <w:r w:rsidRPr="004224F6">
        <w:rPr>
          <w:rFonts w:ascii="Times New Roman" w:hAnsi="Times New Roman" w:cs="Times New Roman"/>
          <w:lang w:val="ru-RU"/>
        </w:rPr>
        <w:tab/>
        <w:t>трябва да е възможно съединителното въже да бъде освободено ръчно, ако задвижващата сила отпадне.</w:t>
      </w:r>
    </w:p>
    <w:p w14:paraId="6057DDC4"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b/>
          <w:bCs/>
          <w:lang w:val="ru-RU"/>
        </w:rPr>
      </w:pPr>
      <w:r w:rsidRPr="004224F6">
        <w:rPr>
          <w:rFonts w:ascii="Times New Roman" w:hAnsi="Times New Roman" w:cs="Times New Roman"/>
          <w:b/>
          <w:lang w:val="ru-RU"/>
        </w:rPr>
        <w:t>3.4</w:t>
      </w:r>
      <w:r w:rsidRPr="004224F6">
        <w:rPr>
          <w:rFonts w:ascii="Times New Roman" w:hAnsi="Times New Roman" w:cs="Times New Roman"/>
          <w:lang w:val="ru-RU"/>
        </w:rPr>
        <w:tab/>
      </w:r>
      <w:r w:rsidRPr="004224F6">
        <w:rPr>
          <w:rFonts w:ascii="Times New Roman" w:hAnsi="Times New Roman" w:cs="Times New Roman"/>
          <w:b/>
          <w:lang w:val="ru-RU"/>
        </w:rPr>
        <w:t>Точка 3, второ изречение и точка 4, буква “г”, второ изречение — Работа с носовото подрулващо устройство</w:t>
      </w:r>
    </w:p>
    <w:p w14:paraId="25E38ABC" w14:textId="77777777" w:rsidR="00271FA2" w:rsidRPr="004224F6" w:rsidRDefault="00D35E51" w:rsidP="000D39AD">
      <w:pPr>
        <w:tabs>
          <w:tab w:val="left" w:pos="567"/>
        </w:tabs>
        <w:spacing w:line="240" w:lineRule="atLeast"/>
        <w:ind w:left="567" w:right="1133" w:hanging="567"/>
        <w:jc w:val="both"/>
        <w:rPr>
          <w:rFonts w:ascii="Times New Roman" w:hAnsi="Times New Roman" w:cs="Times New Roman"/>
          <w:lang w:val="ru-RU"/>
        </w:rPr>
      </w:pPr>
      <w:r w:rsidRPr="004224F6">
        <w:rPr>
          <w:rFonts w:ascii="Times New Roman" w:hAnsi="Times New Roman" w:cs="Times New Roman"/>
          <w:lang w:val="ru-RU"/>
        </w:rPr>
        <w:tab/>
        <w:t>Устройството за управление на носовото подрулващо устройство трябва да е постоянно монтирано в рулевата рубка. Изискванията на член</w:t>
      </w:r>
      <w:r w:rsidRPr="004224F6">
        <w:rPr>
          <w:rFonts w:ascii="Times New Roman" w:hAnsi="Times New Roman" w:cs="Times New Roman"/>
        </w:rPr>
        <w:t> </w:t>
      </w:r>
      <w:r w:rsidRPr="004224F6">
        <w:rPr>
          <w:rFonts w:ascii="Times New Roman" w:hAnsi="Times New Roman" w:cs="Times New Roman"/>
          <w:lang w:val="ru-RU"/>
        </w:rPr>
        <w:t>7.04, точка 8 трябва да са спазени. Електрическите кабели за управление на носовото подрулващо устройство трябва да са постоянно монтирани до носовата част на тласкащия моторен товарен плавателен съд, тласкащия моторен танкер или тласкача.</w:t>
      </w:r>
    </w:p>
    <w:p w14:paraId="254E22AB" w14:textId="77777777" w:rsidR="00271FA2" w:rsidRPr="004224F6" w:rsidRDefault="00D35E51" w:rsidP="000D39AD">
      <w:pPr>
        <w:tabs>
          <w:tab w:val="left" w:pos="567"/>
        </w:tabs>
        <w:spacing w:line="240" w:lineRule="atLeast"/>
        <w:ind w:left="567" w:right="1133" w:hanging="567"/>
        <w:rPr>
          <w:rFonts w:ascii="Times New Roman" w:hAnsi="Times New Roman" w:cs="Times New Roman"/>
          <w:b/>
          <w:bCs/>
          <w:lang w:val="ru-RU"/>
        </w:rPr>
      </w:pPr>
      <w:r w:rsidRPr="004224F6">
        <w:rPr>
          <w:rFonts w:ascii="Times New Roman" w:hAnsi="Times New Roman" w:cs="Times New Roman"/>
          <w:b/>
          <w:lang w:val="ru-RU"/>
        </w:rPr>
        <w:t>3.5</w:t>
      </w:r>
      <w:r w:rsidRPr="004224F6">
        <w:rPr>
          <w:rFonts w:ascii="Times New Roman" w:hAnsi="Times New Roman" w:cs="Times New Roman"/>
          <w:lang w:val="ru-RU"/>
        </w:rPr>
        <w:tab/>
      </w:r>
      <w:r w:rsidRPr="004224F6">
        <w:rPr>
          <w:rFonts w:ascii="Times New Roman" w:hAnsi="Times New Roman" w:cs="Times New Roman"/>
          <w:b/>
          <w:lang w:val="ru-RU"/>
        </w:rPr>
        <w:t>(4) — Еквивалентна маневреност</w:t>
      </w:r>
    </w:p>
    <w:p w14:paraId="4194C1D4" w14:textId="77777777" w:rsidR="00271FA2" w:rsidRPr="004224F6" w:rsidRDefault="00D35E51" w:rsidP="000D39AD">
      <w:pPr>
        <w:spacing w:line="240" w:lineRule="atLeast"/>
        <w:ind w:left="567" w:right="1133"/>
        <w:jc w:val="both"/>
        <w:rPr>
          <w:rFonts w:ascii="Times New Roman" w:hAnsi="Times New Roman" w:cs="Times New Roman"/>
          <w:lang w:val="ru-RU"/>
        </w:rPr>
      </w:pPr>
      <w:r w:rsidRPr="004224F6">
        <w:rPr>
          <w:rFonts w:ascii="Times New Roman" w:hAnsi="Times New Roman" w:cs="Times New Roman"/>
          <w:lang w:val="ru-RU"/>
        </w:rPr>
        <w:t>Еквивалентна маневреност се осигурява от задвижваща система, състояща се от:</w:t>
      </w:r>
    </w:p>
    <w:p w14:paraId="02DCB557"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rPr>
        <w:t>a</w:t>
      </w:r>
      <w:r w:rsidRPr="004224F6">
        <w:rPr>
          <w:rFonts w:ascii="Times New Roman" w:hAnsi="Times New Roman" w:cs="Times New Roman"/>
          <w:lang w:val="ru-RU"/>
        </w:rPr>
        <w:t>)</w:t>
      </w:r>
      <w:r w:rsidRPr="004224F6">
        <w:rPr>
          <w:rFonts w:ascii="Times New Roman" w:hAnsi="Times New Roman" w:cs="Times New Roman"/>
          <w:lang w:val="ru-RU"/>
        </w:rPr>
        <w:tab/>
        <w:t>многовинтово задвижване и най-малко две задвижващи системи с близка изходна мощност;</w:t>
      </w:r>
    </w:p>
    <w:p w14:paraId="68257D7B"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lang w:val="ru-RU"/>
        </w:rPr>
        <w:t>б)</w:t>
      </w:r>
      <w:r w:rsidRPr="004224F6">
        <w:rPr>
          <w:rFonts w:ascii="Times New Roman" w:hAnsi="Times New Roman" w:cs="Times New Roman"/>
          <w:lang w:val="ru-RU"/>
        </w:rPr>
        <w:tab/>
        <w:t>най-малко един крилчат движител;</w:t>
      </w:r>
    </w:p>
    <w:p w14:paraId="014BBE58"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lang w:val="ru-RU"/>
        </w:rPr>
      </w:pPr>
      <w:r w:rsidRPr="004224F6">
        <w:rPr>
          <w:rFonts w:ascii="Times New Roman" w:hAnsi="Times New Roman" w:cs="Times New Roman"/>
          <w:lang w:val="ru-RU"/>
        </w:rPr>
        <w:t>в)</w:t>
      </w:r>
      <w:r w:rsidRPr="004224F6">
        <w:rPr>
          <w:rFonts w:ascii="Times New Roman" w:hAnsi="Times New Roman" w:cs="Times New Roman"/>
          <w:lang w:val="ru-RU"/>
        </w:rPr>
        <w:tab/>
        <w:t>най-малко една винто-рулева колона; или</w:t>
      </w:r>
    </w:p>
    <w:p w14:paraId="51D1D43D" w14:textId="77777777" w:rsidR="00271FA2" w:rsidRPr="004224F6" w:rsidRDefault="00D35E51" w:rsidP="000D39AD">
      <w:pPr>
        <w:tabs>
          <w:tab w:val="left" w:pos="993"/>
        </w:tabs>
        <w:spacing w:line="240" w:lineRule="atLeast"/>
        <w:ind w:left="992" w:right="1133" w:hanging="425"/>
        <w:jc w:val="both"/>
        <w:rPr>
          <w:rFonts w:ascii="Times New Roman" w:hAnsi="Times New Roman" w:cs="Times New Roman"/>
          <w:szCs w:val="20"/>
          <w:lang w:val="ru-RU"/>
        </w:rPr>
      </w:pPr>
      <w:r w:rsidRPr="004224F6">
        <w:rPr>
          <w:rFonts w:ascii="Times New Roman" w:hAnsi="Times New Roman" w:cs="Times New Roman"/>
          <w:lang w:val="ru-RU"/>
        </w:rPr>
        <w:t>г)</w:t>
      </w:r>
      <w:r w:rsidRPr="004224F6">
        <w:rPr>
          <w:rFonts w:ascii="Times New Roman" w:hAnsi="Times New Roman" w:cs="Times New Roman"/>
          <w:lang w:val="ru-RU"/>
        </w:rPr>
        <w:tab/>
        <w:t>най-малко една водометна задвижваща система на 360°.</w:t>
      </w:r>
    </w:p>
    <w:p w14:paraId="3BE66695" w14:textId="77777777" w:rsidR="004E6189" w:rsidRPr="004224F6" w:rsidRDefault="004E6189">
      <w:pPr>
        <w:rPr>
          <w:rFonts w:ascii="Times New Roman" w:hAnsi="Times New Roman" w:cs="Times New Roman"/>
          <w:b/>
          <w:szCs w:val="20"/>
          <w:lang w:val="ru-RU"/>
        </w:rPr>
        <w:sectPr w:rsidR="004E6189" w:rsidRPr="004224F6" w:rsidSect="004224F6">
          <w:headerReference w:type="default" r:id="rId258"/>
          <w:footnotePr>
            <w:numRestart w:val="eachPage"/>
          </w:footnotePr>
          <w:pgSz w:w="11907" w:h="16840" w:code="9"/>
          <w:pgMar w:top="1134" w:right="1134" w:bottom="1134" w:left="1134" w:header="709" w:footer="709" w:gutter="0"/>
          <w:cols w:space="720"/>
          <w:docGrid w:linePitch="326"/>
        </w:sectPr>
      </w:pPr>
    </w:p>
    <w:p w14:paraId="79C810AF" w14:textId="6D8F3DED" w:rsidR="00271FA2" w:rsidRPr="004224F6" w:rsidRDefault="00D35E51" w:rsidP="000D39AD">
      <w:pPr>
        <w:overflowPunct w:val="0"/>
        <w:adjustRightInd w:val="0"/>
        <w:spacing w:line="240" w:lineRule="atLeast"/>
        <w:ind w:right="1133"/>
        <w:jc w:val="center"/>
        <w:textAlignment w:val="baseline"/>
        <w:rPr>
          <w:rFonts w:ascii="Times New Roman" w:hAnsi="Times New Roman" w:cs="Times New Roman"/>
          <w:b/>
          <w:szCs w:val="20"/>
          <w:lang w:val="ru-RU"/>
        </w:rPr>
      </w:pPr>
      <w:r w:rsidRPr="004224F6">
        <w:rPr>
          <w:rFonts w:ascii="Times New Roman" w:hAnsi="Times New Roman" w:cs="Times New Roman"/>
          <w:b/>
          <w:szCs w:val="20"/>
        </w:rPr>
        <w:lastRenderedPageBreak/>
        <w:t>ESI</w:t>
      </w:r>
      <w:r w:rsidRPr="004224F6">
        <w:rPr>
          <w:rFonts w:ascii="Times New Roman" w:hAnsi="Times New Roman" w:cs="Times New Roman"/>
          <w:b/>
          <w:szCs w:val="20"/>
          <w:lang w:val="ru-RU"/>
        </w:rPr>
        <w:t>-</w:t>
      </w:r>
      <w:r w:rsidRPr="004224F6">
        <w:rPr>
          <w:rFonts w:ascii="Times New Roman" w:hAnsi="Times New Roman" w:cs="Times New Roman"/>
          <w:b/>
          <w:szCs w:val="20"/>
        </w:rPr>
        <w:t>III</w:t>
      </w:r>
      <w:r w:rsidRPr="004224F6">
        <w:rPr>
          <w:rFonts w:ascii="Times New Roman" w:hAnsi="Times New Roman" w:cs="Times New Roman"/>
          <w:b/>
          <w:szCs w:val="20"/>
          <w:lang w:val="ru-RU"/>
        </w:rPr>
        <w:t>-11</w:t>
      </w:r>
    </w:p>
    <w:p w14:paraId="0B34FDCB" w14:textId="219D4E25" w:rsidR="00271FA2" w:rsidRPr="004224F6" w:rsidRDefault="00D35E51" w:rsidP="000D39AD">
      <w:pPr>
        <w:overflowPunct w:val="0"/>
        <w:adjustRightInd w:val="0"/>
        <w:spacing w:line="240" w:lineRule="atLeast"/>
        <w:ind w:right="1133"/>
        <w:jc w:val="center"/>
        <w:textAlignment w:val="baseline"/>
        <w:rPr>
          <w:rFonts w:ascii="Times New Roman" w:hAnsi="Times New Roman" w:cs="Times New Roman"/>
          <w:b/>
          <w:bCs/>
          <w:szCs w:val="20"/>
          <w:lang w:val="ru-RU"/>
        </w:rPr>
      </w:pPr>
      <w:r w:rsidRPr="004224F6">
        <w:rPr>
          <w:rFonts w:ascii="Times New Roman" w:hAnsi="Times New Roman" w:cs="Times New Roman"/>
          <w:b/>
          <w:szCs w:val="20"/>
          <w:lang w:val="ru-RU"/>
        </w:rPr>
        <w:t>МАТЕРИАЛИ, СЪОТВЕТСТВАЩИ С ЕКВИВАЛЕНТНИТЕ РЕГУЛАЦИИ</w:t>
      </w:r>
      <w:r w:rsidR="009B1491" w:rsidRPr="004224F6">
        <w:rPr>
          <w:rFonts w:ascii="Times New Roman" w:hAnsi="Times New Roman" w:cs="Times New Roman"/>
          <w:b/>
          <w:szCs w:val="20"/>
          <w:lang w:val="ru-RU"/>
        </w:rPr>
        <w:t>,</w:t>
      </w:r>
      <w:r w:rsidRPr="004224F6">
        <w:rPr>
          <w:rFonts w:ascii="Times New Roman" w:hAnsi="Times New Roman" w:cs="Times New Roman"/>
          <w:b/>
          <w:szCs w:val="20"/>
          <w:lang w:val="ru-RU"/>
        </w:rPr>
        <w:t xml:space="preserve"> ВМЕСТО НА </w:t>
      </w:r>
      <w:r w:rsidRPr="004224F6">
        <w:rPr>
          <w:rFonts w:ascii="Times New Roman" w:hAnsi="Times New Roman" w:cs="Times New Roman"/>
          <w:b/>
          <w:bCs/>
          <w:lang w:val="ru-RU"/>
        </w:rPr>
        <w:t>КОДЕКСА НА ПРОЦЕДУРИТЕ ЗА ПРОТИВОПОЖАРНИ ИЗПИТВАНИЯ</w:t>
      </w:r>
    </w:p>
    <w:p w14:paraId="0AF8FDBC" w14:textId="77777777" w:rsidR="00271FA2" w:rsidRPr="004224F6" w:rsidRDefault="00D35E51" w:rsidP="000D39AD">
      <w:pPr>
        <w:overflowPunct w:val="0"/>
        <w:adjustRightInd w:val="0"/>
        <w:spacing w:line="240" w:lineRule="atLeast"/>
        <w:ind w:right="1133"/>
        <w:jc w:val="center"/>
        <w:textAlignment w:val="baseline"/>
        <w:rPr>
          <w:rFonts w:ascii="Times New Roman" w:hAnsi="Times New Roman" w:cs="Times New Roman"/>
          <w:b/>
          <w:szCs w:val="20"/>
          <w:lang w:val="ru-RU"/>
        </w:rPr>
      </w:pPr>
      <w:r w:rsidRPr="004224F6">
        <w:rPr>
          <w:rFonts w:ascii="Times New Roman" w:hAnsi="Times New Roman" w:cs="Times New Roman"/>
          <w:b/>
          <w:szCs w:val="20"/>
          <w:lang w:val="ru-RU"/>
        </w:rPr>
        <w:t>(член 1.01, точки 6.4, 6.5 и член 19.11, точка 1, 2 и 6)</w:t>
      </w:r>
    </w:p>
    <w:p w14:paraId="6A8F89BF" w14:textId="77777777" w:rsidR="0067586E" w:rsidRPr="004224F6" w:rsidRDefault="0067586E" w:rsidP="000D39AD">
      <w:pPr>
        <w:ind w:right="1133"/>
        <w:jc w:val="both"/>
        <w:rPr>
          <w:rFonts w:ascii="Times New Roman" w:hAnsi="Times New Roman" w:cs="Times New Roman"/>
          <w:szCs w:val="20"/>
          <w:lang w:val="ru-RU"/>
        </w:rPr>
      </w:pPr>
    </w:p>
    <w:p w14:paraId="239D2C93" w14:textId="7B825B0A" w:rsidR="00271FA2" w:rsidRPr="004224F6" w:rsidRDefault="00FD0813" w:rsidP="000D39AD">
      <w:pPr>
        <w:overflowPunct w:val="0"/>
        <w:adjustRightInd w:val="0"/>
        <w:spacing w:line="240" w:lineRule="atLeast"/>
        <w:ind w:right="1133"/>
        <w:jc w:val="both"/>
        <w:textAlignment w:val="baseline"/>
        <w:rPr>
          <w:rFonts w:ascii="Times New Roman" w:hAnsi="Times New Roman" w:cs="Times New Roman"/>
          <w:b/>
          <w:szCs w:val="20"/>
          <w:lang w:val="ru-RU"/>
        </w:rPr>
      </w:pPr>
      <w:r w:rsidRPr="004224F6">
        <w:rPr>
          <w:rFonts w:ascii="Times New Roman" w:hAnsi="Times New Roman" w:cs="Times New Roman"/>
          <w:szCs w:val="20"/>
          <w:lang w:val="ru-RU"/>
        </w:rPr>
        <w:t xml:space="preserve">Серията Европейски стандарти  </w:t>
      </w:r>
      <w:r w:rsidR="0067586E" w:rsidRPr="004224F6">
        <w:rPr>
          <w:rFonts w:ascii="Times New Roman" w:hAnsi="Times New Roman" w:cs="Times New Roman"/>
          <w:szCs w:val="20"/>
        </w:rPr>
        <w:t>EN</w:t>
      </w:r>
      <w:r w:rsidR="0067586E" w:rsidRPr="004224F6">
        <w:rPr>
          <w:rFonts w:ascii="Times New Roman" w:hAnsi="Times New Roman" w:cs="Times New Roman"/>
          <w:szCs w:val="20"/>
          <w:lang w:val="ru-RU"/>
        </w:rPr>
        <w:t xml:space="preserve"> 13501 (което означава </w:t>
      </w:r>
      <w:r w:rsidR="0067586E" w:rsidRPr="004224F6">
        <w:rPr>
          <w:rFonts w:ascii="Times New Roman" w:hAnsi="Times New Roman" w:cs="Times New Roman"/>
          <w:szCs w:val="20"/>
        </w:rPr>
        <w:t>EN</w:t>
      </w:r>
      <w:r w:rsidR="0067586E" w:rsidRPr="004224F6">
        <w:rPr>
          <w:rFonts w:ascii="Times New Roman" w:hAnsi="Times New Roman" w:cs="Times New Roman"/>
          <w:szCs w:val="20"/>
          <w:lang w:val="ru-RU"/>
        </w:rPr>
        <w:t xml:space="preserve">13501-1 : 2018, </w:t>
      </w:r>
      <w:r w:rsidR="0067586E" w:rsidRPr="004224F6">
        <w:rPr>
          <w:rFonts w:ascii="Times New Roman" w:hAnsi="Times New Roman" w:cs="Times New Roman"/>
          <w:szCs w:val="20"/>
        </w:rPr>
        <w:t>EN</w:t>
      </w:r>
      <w:r w:rsidR="0067586E" w:rsidRPr="004224F6">
        <w:rPr>
          <w:rFonts w:ascii="Times New Roman" w:hAnsi="Times New Roman" w:cs="Times New Roman"/>
          <w:szCs w:val="20"/>
          <w:lang w:val="ru-RU"/>
        </w:rPr>
        <w:t xml:space="preserve"> 13501-2 : 2023, </w:t>
      </w:r>
      <w:r w:rsidR="0067586E" w:rsidRPr="004224F6">
        <w:rPr>
          <w:rFonts w:ascii="Times New Roman" w:hAnsi="Times New Roman" w:cs="Times New Roman"/>
          <w:szCs w:val="20"/>
        </w:rPr>
        <w:t>EN</w:t>
      </w:r>
      <w:r w:rsidR="0067586E" w:rsidRPr="004224F6">
        <w:rPr>
          <w:rFonts w:ascii="Times New Roman" w:hAnsi="Times New Roman" w:cs="Times New Roman"/>
          <w:szCs w:val="20"/>
          <w:lang w:val="ru-RU"/>
        </w:rPr>
        <w:t xml:space="preserve"> 13501-3 : 2009, </w:t>
      </w:r>
      <w:r w:rsidR="0067586E" w:rsidRPr="004224F6">
        <w:rPr>
          <w:rFonts w:ascii="Times New Roman" w:hAnsi="Times New Roman" w:cs="Times New Roman"/>
          <w:szCs w:val="20"/>
        </w:rPr>
        <w:t>EN</w:t>
      </w:r>
      <w:r w:rsidR="0067586E" w:rsidRPr="004224F6">
        <w:rPr>
          <w:rFonts w:ascii="Times New Roman" w:hAnsi="Times New Roman" w:cs="Times New Roman"/>
          <w:szCs w:val="20"/>
          <w:lang w:val="ru-RU"/>
        </w:rPr>
        <w:t xml:space="preserve"> 13501-4 : 2016, </w:t>
      </w:r>
      <w:r w:rsidR="0067586E" w:rsidRPr="004224F6">
        <w:rPr>
          <w:rFonts w:ascii="Times New Roman" w:hAnsi="Times New Roman" w:cs="Times New Roman"/>
          <w:szCs w:val="20"/>
        </w:rPr>
        <w:t>EN</w:t>
      </w:r>
      <w:r w:rsidR="0067586E" w:rsidRPr="004224F6">
        <w:rPr>
          <w:rFonts w:ascii="Times New Roman" w:hAnsi="Times New Roman" w:cs="Times New Roman"/>
          <w:szCs w:val="20"/>
          <w:lang w:val="ru-RU"/>
        </w:rPr>
        <w:t xml:space="preserve"> 13501-5 : 2016 </w:t>
      </w:r>
      <w:r w:rsidR="006A6329" w:rsidRPr="004224F6">
        <w:rPr>
          <w:rFonts w:ascii="Times New Roman" w:hAnsi="Times New Roman" w:cs="Times New Roman"/>
          <w:szCs w:val="20"/>
          <w:lang w:val="ru-RU"/>
        </w:rPr>
        <w:t xml:space="preserve"> и</w:t>
      </w:r>
      <w:r w:rsidR="0067586E" w:rsidRPr="004224F6">
        <w:rPr>
          <w:rFonts w:ascii="Times New Roman" w:hAnsi="Times New Roman" w:cs="Times New Roman"/>
          <w:szCs w:val="20"/>
          <w:lang w:val="ru-RU"/>
        </w:rPr>
        <w:t xml:space="preserve"> </w:t>
      </w:r>
      <w:r w:rsidR="0067586E" w:rsidRPr="004224F6">
        <w:rPr>
          <w:rFonts w:ascii="Times New Roman" w:hAnsi="Times New Roman" w:cs="Times New Roman"/>
          <w:szCs w:val="20"/>
        </w:rPr>
        <w:t>EN</w:t>
      </w:r>
      <w:r w:rsidR="0067586E" w:rsidRPr="004224F6">
        <w:rPr>
          <w:rFonts w:ascii="Times New Roman" w:hAnsi="Times New Roman" w:cs="Times New Roman"/>
          <w:szCs w:val="20"/>
          <w:lang w:val="ru-RU"/>
        </w:rPr>
        <w:t>13501-6 : 2022)</w:t>
      </w:r>
      <w:r w:rsidR="006A6329" w:rsidRPr="004224F6">
        <w:rPr>
          <w:rFonts w:ascii="Times New Roman" w:hAnsi="Times New Roman" w:cs="Times New Roman"/>
          <w:szCs w:val="20"/>
          <w:lang w:val="ru-RU"/>
        </w:rPr>
        <w:t xml:space="preserve"> и Европейския стандарт  </w:t>
      </w:r>
      <w:r w:rsidR="006A6329" w:rsidRPr="004224F6">
        <w:rPr>
          <w:rFonts w:ascii="Times New Roman" w:hAnsi="Times New Roman" w:cs="Times New Roman"/>
          <w:sz w:val="20"/>
          <w:szCs w:val="20"/>
        </w:rPr>
        <w:t>EN</w:t>
      </w:r>
      <w:r w:rsidR="006A6329" w:rsidRPr="004224F6">
        <w:rPr>
          <w:rFonts w:ascii="Times New Roman" w:hAnsi="Times New Roman" w:cs="Times New Roman"/>
          <w:sz w:val="20"/>
          <w:szCs w:val="20"/>
          <w:lang w:val="ru-RU"/>
        </w:rPr>
        <w:t xml:space="preserve"> 45545-2 : 2023</w:t>
      </w:r>
      <w:r w:rsidR="006A6329" w:rsidRPr="004224F6">
        <w:rPr>
          <w:rFonts w:ascii="Times New Roman" w:hAnsi="Times New Roman" w:cs="Times New Roman"/>
          <w:szCs w:val="20"/>
          <w:lang w:val="ru-RU"/>
        </w:rPr>
        <w:t xml:space="preserve">  са приемливи методи за изпитване за определяне на незапалимостта на материали, където материалът е огнеупорен или огнеустойчив като алтернатива на Кодекса на процедурите за противопожарни изпитвания в съответствие с член 19.11, точка 1 от </w:t>
      </w:r>
      <w:r w:rsidR="006A6329" w:rsidRPr="004224F6">
        <w:rPr>
          <w:rFonts w:ascii="Times New Roman" w:hAnsi="Times New Roman" w:cs="Times New Roman"/>
          <w:szCs w:val="20"/>
        </w:rPr>
        <w:t>ES</w:t>
      </w:r>
      <w:r w:rsidR="006A6329" w:rsidRPr="004224F6">
        <w:rPr>
          <w:rFonts w:ascii="Times New Roman" w:hAnsi="Times New Roman" w:cs="Times New Roman"/>
          <w:szCs w:val="20"/>
          <w:lang w:val="ru-RU"/>
        </w:rPr>
        <w:t>-</w:t>
      </w:r>
      <w:r w:rsidR="006A6329" w:rsidRPr="004224F6">
        <w:rPr>
          <w:rFonts w:ascii="Times New Roman" w:hAnsi="Times New Roman" w:cs="Times New Roman"/>
          <w:szCs w:val="20"/>
        </w:rPr>
        <w:t>TRIN</w:t>
      </w:r>
      <w:r w:rsidR="006A6329" w:rsidRPr="004224F6">
        <w:rPr>
          <w:rFonts w:ascii="Times New Roman" w:hAnsi="Times New Roman" w:cs="Times New Roman"/>
          <w:szCs w:val="20"/>
          <w:lang w:val="ru-RU"/>
        </w:rPr>
        <w:t>.Признаването на други разпоредби на една от държавите членки следва същия подход за постигане на приемливо ниво на безопасност.</w:t>
      </w:r>
      <w:r w:rsidR="00D35E51" w:rsidRPr="004224F6">
        <w:rPr>
          <w:rFonts w:ascii="Times New Roman" w:hAnsi="Times New Roman" w:cs="Times New Roman"/>
          <w:b/>
          <w:szCs w:val="20"/>
          <w:lang w:val="ru-RU"/>
        </w:rPr>
        <w:t>1. Всички плавателни съдове за вътрешно корабоплаване</w:t>
      </w:r>
    </w:p>
    <w:p w14:paraId="5FC3D6DF"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b/>
          <w:szCs w:val="20"/>
          <w:lang w:val="ru-RU"/>
        </w:rPr>
      </w:pPr>
      <w:r w:rsidRPr="004224F6">
        <w:rPr>
          <w:rFonts w:ascii="Times New Roman" w:hAnsi="Times New Roman" w:cs="Times New Roman"/>
          <w:b/>
          <w:szCs w:val="20"/>
          <w:lang w:val="ru-RU"/>
        </w:rPr>
        <w:t>1.1 Забавител на горенето (както е определено в член 1.01, точка 6.5)</w:t>
      </w:r>
    </w:p>
    <w:p w14:paraId="7717102F"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1.1.1 Продукти, които са тествани съгласно Кодекс </w:t>
      </w:r>
      <w:r w:rsidRPr="004224F6">
        <w:rPr>
          <w:rFonts w:ascii="Times New Roman" w:hAnsi="Times New Roman" w:cs="Times New Roman"/>
          <w:szCs w:val="20"/>
        </w:rPr>
        <w:t>FTP</w:t>
      </w:r>
      <w:r w:rsidRPr="004224F6">
        <w:rPr>
          <w:rFonts w:ascii="Times New Roman" w:hAnsi="Times New Roman" w:cs="Times New Roman"/>
          <w:szCs w:val="20"/>
          <w:lang w:val="ru-RU"/>
        </w:rPr>
        <w:t>, Приложение</w:t>
      </w:r>
      <w:r w:rsidR="008812E4" w:rsidRPr="004224F6">
        <w:rPr>
          <w:rFonts w:ascii="Times New Roman" w:hAnsi="Times New Roman" w:cs="Times New Roman"/>
          <w:szCs w:val="20"/>
          <w:lang w:val="ru-RU"/>
        </w:rPr>
        <w:t xml:space="preserve"> </w:t>
      </w:r>
      <w:r w:rsidRPr="004224F6">
        <w:rPr>
          <w:rFonts w:ascii="Times New Roman" w:hAnsi="Times New Roman" w:cs="Times New Roman"/>
          <w:szCs w:val="20"/>
          <w:lang w:val="ru-RU"/>
        </w:rPr>
        <w:t xml:space="preserve">1, Част 5, се считат за съответстващи на </w:t>
      </w:r>
      <w:r w:rsidRPr="004224F6">
        <w:rPr>
          <w:rFonts w:ascii="Times New Roman" w:hAnsi="Times New Roman" w:cs="Times New Roman"/>
          <w:szCs w:val="20"/>
        </w:rPr>
        <w:t>ES</w:t>
      </w:r>
      <w:r w:rsidRPr="004224F6">
        <w:rPr>
          <w:rFonts w:ascii="Times New Roman" w:hAnsi="Times New Roman" w:cs="Times New Roman"/>
          <w:szCs w:val="20"/>
          <w:lang w:val="ru-RU"/>
        </w:rPr>
        <w:t>-</w:t>
      </w:r>
      <w:r w:rsidRPr="004224F6">
        <w:rPr>
          <w:rFonts w:ascii="Times New Roman" w:hAnsi="Times New Roman" w:cs="Times New Roman"/>
          <w:szCs w:val="20"/>
        </w:rPr>
        <w:t>TRI</w:t>
      </w:r>
      <w:r w:rsidR="000E2DB3" w:rsidRPr="004224F6">
        <w:rPr>
          <w:rFonts w:ascii="Times New Roman" w:hAnsi="Times New Roman" w:cs="Times New Roman"/>
          <w:szCs w:val="20"/>
        </w:rPr>
        <w:t>N</w:t>
      </w:r>
      <w:r w:rsidR="000E2DB3" w:rsidRPr="004224F6">
        <w:rPr>
          <w:rFonts w:ascii="Times New Roman" w:hAnsi="Times New Roman" w:cs="Times New Roman"/>
          <w:szCs w:val="20"/>
          <w:lang w:val="ru-RU"/>
        </w:rPr>
        <w:t xml:space="preserve"> (член 19.11, точка 1, буква “в</w:t>
      </w:r>
      <w:r w:rsidRPr="004224F6">
        <w:rPr>
          <w:rFonts w:ascii="Times New Roman" w:hAnsi="Times New Roman" w:cs="Times New Roman"/>
          <w:szCs w:val="20"/>
          <w:lang w:val="ru-RU"/>
        </w:rPr>
        <w:t>“).</w:t>
      </w:r>
    </w:p>
    <w:p w14:paraId="4AD4DFD9" w14:textId="5D6141DA"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1.1.2 Продук</w:t>
      </w:r>
      <w:r w:rsidR="000E2DB3" w:rsidRPr="004224F6">
        <w:rPr>
          <w:rFonts w:ascii="Times New Roman" w:hAnsi="Times New Roman" w:cs="Times New Roman"/>
          <w:szCs w:val="20"/>
          <w:lang w:val="ru-RU"/>
        </w:rPr>
        <w:t>ти, които са тествани съгласно Е</w:t>
      </w:r>
      <w:r w:rsidRPr="004224F6">
        <w:rPr>
          <w:rFonts w:ascii="Times New Roman" w:hAnsi="Times New Roman" w:cs="Times New Roman"/>
          <w:szCs w:val="20"/>
          <w:lang w:val="ru-RU"/>
        </w:rPr>
        <w:t xml:space="preserve">вропейските стандарти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13501-1</w:t>
      </w:r>
      <w:r w:rsidR="00214A7B" w:rsidRPr="004224F6">
        <w:rPr>
          <w:rFonts w:ascii="Times New Roman" w:hAnsi="Times New Roman" w:cs="Times New Roman"/>
          <w:szCs w:val="20"/>
          <w:lang w:val="ru-RU"/>
        </w:rPr>
        <w:t>: 2018</w:t>
      </w:r>
      <w:r w:rsidRPr="004224F6">
        <w:rPr>
          <w:rFonts w:ascii="Times New Roman" w:hAnsi="Times New Roman" w:cs="Times New Roman"/>
          <w:szCs w:val="20"/>
          <w:lang w:val="ru-RU"/>
        </w:rPr>
        <w:t xml:space="preserve"> могат да бъдат приети в зависимост от тяхната класификация и употреба.</w:t>
      </w:r>
    </w:p>
    <w:p w14:paraId="639C5C93"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B</w:t>
      </w:r>
      <w:r w:rsidRPr="004224F6">
        <w:rPr>
          <w:rFonts w:ascii="Times New Roman" w:hAnsi="Times New Roman" w:cs="Times New Roman"/>
          <w:szCs w:val="20"/>
          <w:lang w:val="ru-RU"/>
        </w:rPr>
        <w:t xml:space="preserve"> (или по-висока) се счита за приемлива.</w:t>
      </w:r>
    </w:p>
    <w:p w14:paraId="00985DF4"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C</w:t>
      </w:r>
      <w:r w:rsidRPr="004224F6">
        <w:rPr>
          <w:rFonts w:ascii="Times New Roman" w:hAnsi="Times New Roman" w:cs="Times New Roman"/>
          <w:szCs w:val="20"/>
          <w:lang w:val="ru-RU"/>
        </w:rPr>
        <w:t xml:space="preserve"> (или по-ниска) не се счита за приемлива.</w:t>
      </w:r>
    </w:p>
    <w:p w14:paraId="7059185A" w14:textId="0F7981ED"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1.1.3 Продук</w:t>
      </w:r>
      <w:r w:rsidR="000E2DB3" w:rsidRPr="004224F6">
        <w:rPr>
          <w:rFonts w:ascii="Times New Roman" w:hAnsi="Times New Roman" w:cs="Times New Roman"/>
          <w:szCs w:val="20"/>
          <w:lang w:val="ru-RU"/>
        </w:rPr>
        <w:t>ти, които са тествани съгласно Е</w:t>
      </w:r>
      <w:r w:rsidRPr="004224F6">
        <w:rPr>
          <w:rFonts w:ascii="Times New Roman" w:hAnsi="Times New Roman" w:cs="Times New Roman"/>
          <w:szCs w:val="20"/>
          <w:lang w:val="ru-RU"/>
        </w:rPr>
        <w:t xml:space="preserve">вропейски стандарт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45545-2</w:t>
      </w:r>
      <w:r w:rsidR="00E76329" w:rsidRPr="004224F6">
        <w:rPr>
          <w:rFonts w:ascii="Times New Roman" w:hAnsi="Times New Roman" w:cs="Times New Roman"/>
          <w:szCs w:val="20"/>
          <w:lang w:val="ru-RU"/>
        </w:rPr>
        <w:t>:2023</w:t>
      </w:r>
      <w:r w:rsidRPr="004224F6">
        <w:rPr>
          <w:rFonts w:ascii="Times New Roman" w:hAnsi="Times New Roman" w:cs="Times New Roman"/>
          <w:szCs w:val="20"/>
          <w:lang w:val="ru-RU"/>
        </w:rPr>
        <w:t>, могат да бъдат приети в зависимост от тяхната класификация и употреба.</w:t>
      </w:r>
    </w:p>
    <w:p w14:paraId="2508362D"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HL</w:t>
      </w:r>
      <w:r w:rsidRPr="004224F6">
        <w:rPr>
          <w:rFonts w:ascii="Times New Roman" w:hAnsi="Times New Roman" w:cs="Times New Roman"/>
          <w:szCs w:val="20"/>
          <w:lang w:val="ru-RU"/>
        </w:rPr>
        <w:t xml:space="preserve">2 или </w:t>
      </w:r>
      <w:r w:rsidRPr="004224F6">
        <w:rPr>
          <w:rFonts w:ascii="Times New Roman" w:hAnsi="Times New Roman" w:cs="Times New Roman"/>
          <w:szCs w:val="20"/>
        </w:rPr>
        <w:t>HL</w:t>
      </w:r>
      <w:r w:rsidRPr="004224F6">
        <w:rPr>
          <w:rFonts w:ascii="Times New Roman" w:hAnsi="Times New Roman" w:cs="Times New Roman"/>
          <w:szCs w:val="20"/>
          <w:lang w:val="ru-RU"/>
        </w:rPr>
        <w:t xml:space="preserve">3 за изискване </w:t>
      </w:r>
      <w:r w:rsidRPr="004224F6">
        <w:rPr>
          <w:rFonts w:ascii="Times New Roman" w:hAnsi="Times New Roman" w:cs="Times New Roman"/>
          <w:szCs w:val="20"/>
        </w:rPr>
        <w:t>R</w:t>
      </w:r>
      <w:r w:rsidRPr="004224F6">
        <w:rPr>
          <w:rFonts w:ascii="Times New Roman" w:hAnsi="Times New Roman" w:cs="Times New Roman"/>
          <w:szCs w:val="20"/>
          <w:lang w:val="ru-RU"/>
        </w:rPr>
        <w:t>1 се считат за еквивалентни.</w:t>
      </w:r>
    </w:p>
    <w:p w14:paraId="47131691"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HL</w:t>
      </w:r>
      <w:r w:rsidRPr="004224F6">
        <w:rPr>
          <w:rFonts w:ascii="Times New Roman" w:hAnsi="Times New Roman" w:cs="Times New Roman"/>
          <w:szCs w:val="20"/>
          <w:lang w:val="ru-RU"/>
        </w:rPr>
        <w:t xml:space="preserve">3 за изискване </w:t>
      </w:r>
      <w:r w:rsidRPr="004224F6">
        <w:rPr>
          <w:rFonts w:ascii="Times New Roman" w:hAnsi="Times New Roman" w:cs="Times New Roman"/>
          <w:szCs w:val="20"/>
        </w:rPr>
        <w:t>R</w:t>
      </w:r>
      <w:r w:rsidRPr="004224F6">
        <w:rPr>
          <w:rFonts w:ascii="Times New Roman" w:hAnsi="Times New Roman" w:cs="Times New Roman"/>
          <w:szCs w:val="20"/>
          <w:lang w:val="ru-RU"/>
        </w:rPr>
        <w:t>10 (подови настилки) се счита за еквивалентна.</w:t>
      </w:r>
    </w:p>
    <w:p w14:paraId="425597AF"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b/>
          <w:szCs w:val="20"/>
          <w:lang w:val="ru-RU"/>
        </w:rPr>
      </w:pPr>
      <w:r w:rsidRPr="004224F6">
        <w:rPr>
          <w:rFonts w:ascii="Times New Roman" w:hAnsi="Times New Roman" w:cs="Times New Roman"/>
          <w:b/>
          <w:szCs w:val="20"/>
          <w:lang w:val="ru-RU"/>
        </w:rPr>
        <w:t>1.2 Изпарения или токсични газове в опасни количества</w:t>
      </w:r>
    </w:p>
    <w:p w14:paraId="68A8FAB3" w14:textId="70FB0EFB"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1.2.1 Продукти, които са тествани съгласно </w:t>
      </w:r>
      <w:r w:rsidRPr="004224F6">
        <w:rPr>
          <w:rFonts w:ascii="Times New Roman" w:hAnsi="Times New Roman" w:cs="Times New Roman"/>
          <w:szCs w:val="20"/>
        </w:rPr>
        <w:t>FTP</w:t>
      </w:r>
      <w:r w:rsidR="004F0325" w:rsidRPr="004224F6">
        <w:rPr>
          <w:rFonts w:ascii="Times New Roman" w:hAnsi="Times New Roman" w:cs="Times New Roman"/>
          <w:szCs w:val="20"/>
          <w:lang w:val="ru-RU"/>
        </w:rPr>
        <w:t xml:space="preserve"> </w:t>
      </w:r>
      <w:r w:rsidR="004F0325" w:rsidRPr="004224F6">
        <w:rPr>
          <w:rFonts w:ascii="Times New Roman" w:hAnsi="Times New Roman" w:cs="Times New Roman"/>
          <w:szCs w:val="20"/>
        </w:rPr>
        <w:t>Code</w:t>
      </w:r>
      <w:r w:rsidRPr="004224F6">
        <w:rPr>
          <w:rFonts w:ascii="Times New Roman" w:hAnsi="Times New Roman" w:cs="Times New Roman"/>
          <w:szCs w:val="20"/>
          <w:lang w:val="ru-RU"/>
        </w:rPr>
        <w:t xml:space="preserve">, Приложение 1, Част 2, </w:t>
      </w:r>
      <w:r w:rsidR="004C290D" w:rsidRPr="004224F6">
        <w:rPr>
          <w:rFonts w:ascii="Times New Roman" w:hAnsi="Times New Roman" w:cs="Times New Roman"/>
          <w:szCs w:val="20"/>
          <w:lang w:val="ru-RU"/>
        </w:rPr>
        <w:t xml:space="preserve">Допълнение </w:t>
      </w:r>
      <w:r w:rsidRPr="004224F6">
        <w:rPr>
          <w:rFonts w:ascii="Times New Roman" w:hAnsi="Times New Roman" w:cs="Times New Roman"/>
          <w:szCs w:val="20"/>
          <w:lang w:val="ru-RU"/>
        </w:rPr>
        <w:t xml:space="preserve">1, са </w:t>
      </w:r>
      <w:r w:rsidR="00F82649" w:rsidRPr="004224F6">
        <w:rPr>
          <w:rFonts w:ascii="Times New Roman" w:hAnsi="Times New Roman" w:cs="Times New Roman"/>
          <w:szCs w:val="20"/>
          <w:lang w:val="ru-RU"/>
        </w:rPr>
        <w:t xml:space="preserve">допустими </w:t>
      </w:r>
      <w:r w:rsidRPr="004224F6">
        <w:rPr>
          <w:rFonts w:ascii="Times New Roman" w:hAnsi="Times New Roman" w:cs="Times New Roman"/>
          <w:szCs w:val="20"/>
          <w:lang w:val="ru-RU"/>
        </w:rPr>
        <w:t xml:space="preserve">в съответствие с </w:t>
      </w:r>
      <w:r w:rsidRPr="004224F6">
        <w:rPr>
          <w:rFonts w:ascii="Times New Roman" w:hAnsi="Times New Roman" w:cs="Times New Roman"/>
          <w:szCs w:val="20"/>
        </w:rPr>
        <w:t>ES</w:t>
      </w:r>
      <w:r w:rsidRPr="004224F6">
        <w:rPr>
          <w:rFonts w:ascii="Times New Roman" w:hAnsi="Times New Roman" w:cs="Times New Roman"/>
          <w:szCs w:val="20"/>
          <w:lang w:val="ru-RU"/>
        </w:rPr>
        <w:t>-</w:t>
      </w:r>
      <w:r w:rsidRPr="004224F6">
        <w:rPr>
          <w:rFonts w:ascii="Times New Roman" w:hAnsi="Times New Roman" w:cs="Times New Roman"/>
          <w:szCs w:val="20"/>
        </w:rPr>
        <w:t>TRIN</w:t>
      </w:r>
      <w:r w:rsidRPr="004224F6">
        <w:rPr>
          <w:rFonts w:ascii="Times New Roman" w:hAnsi="Times New Roman" w:cs="Times New Roman"/>
          <w:szCs w:val="20"/>
          <w:lang w:val="ru-RU"/>
        </w:rPr>
        <w:t xml:space="preserve"> (член 19.11, точка 6).</w:t>
      </w:r>
    </w:p>
    <w:p w14:paraId="35A694F9" w14:textId="5AB9E2F1"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1.2.2 Продукти, ко</w:t>
      </w:r>
      <w:r w:rsidR="009B5E68" w:rsidRPr="004224F6">
        <w:rPr>
          <w:rFonts w:ascii="Times New Roman" w:hAnsi="Times New Roman" w:cs="Times New Roman"/>
          <w:szCs w:val="20"/>
          <w:lang w:val="ru-RU"/>
        </w:rPr>
        <w:t>ито са тествани съгласно серия Е</w:t>
      </w:r>
      <w:r w:rsidRPr="004224F6">
        <w:rPr>
          <w:rFonts w:ascii="Times New Roman" w:hAnsi="Times New Roman" w:cs="Times New Roman"/>
          <w:szCs w:val="20"/>
          <w:lang w:val="ru-RU"/>
        </w:rPr>
        <w:t xml:space="preserve">вропейски стандарти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13501-1</w:t>
      </w:r>
      <w:r w:rsidR="00F82649" w:rsidRPr="004224F6">
        <w:rPr>
          <w:rFonts w:ascii="Times New Roman" w:hAnsi="Times New Roman" w:cs="Times New Roman"/>
          <w:szCs w:val="20"/>
          <w:lang w:val="ru-RU"/>
        </w:rPr>
        <w:t>:2018</w:t>
      </w:r>
      <w:r w:rsidRPr="004224F6">
        <w:rPr>
          <w:rFonts w:ascii="Times New Roman" w:hAnsi="Times New Roman" w:cs="Times New Roman"/>
          <w:szCs w:val="20"/>
          <w:lang w:val="ru-RU"/>
        </w:rPr>
        <w:t>, могат да бъдат приети в зависимост от тяхната класификация и употреба.</w:t>
      </w:r>
    </w:p>
    <w:p w14:paraId="52ADD62B"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s</w:t>
      </w:r>
      <w:r w:rsidRPr="004224F6">
        <w:rPr>
          <w:rFonts w:ascii="Times New Roman" w:hAnsi="Times New Roman" w:cs="Times New Roman"/>
          <w:szCs w:val="20"/>
          <w:lang w:val="ru-RU"/>
        </w:rPr>
        <w:t>1 може да се прилага върху подови настилки.</w:t>
      </w:r>
    </w:p>
    <w:p w14:paraId="71FE14EC"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s</w:t>
      </w:r>
      <w:r w:rsidRPr="004224F6">
        <w:rPr>
          <w:rFonts w:ascii="Times New Roman" w:hAnsi="Times New Roman" w:cs="Times New Roman"/>
          <w:szCs w:val="20"/>
          <w:lang w:val="ru-RU"/>
        </w:rPr>
        <w:t>2 може да се прилага върху всяка вътрешна повърхност (различна от подови настилки).</w:t>
      </w:r>
    </w:p>
    <w:p w14:paraId="3B7591C1"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s</w:t>
      </w:r>
      <w:r w:rsidRPr="004224F6">
        <w:rPr>
          <w:rFonts w:ascii="Times New Roman" w:hAnsi="Times New Roman" w:cs="Times New Roman"/>
          <w:szCs w:val="20"/>
          <w:lang w:val="ru-RU"/>
        </w:rPr>
        <w:t>3 не е приемлива</w:t>
      </w:r>
      <w:r w:rsidR="001A2E2E" w:rsidRPr="004224F6">
        <w:rPr>
          <w:rFonts w:ascii="Times New Roman" w:hAnsi="Times New Roman" w:cs="Times New Roman"/>
          <w:szCs w:val="20"/>
          <w:lang w:val="ru-RU"/>
        </w:rPr>
        <w:t>.</w:t>
      </w:r>
    </w:p>
    <w:p w14:paraId="286561DF" w14:textId="559177E3"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1.2.3 Продук</w:t>
      </w:r>
      <w:r w:rsidR="001A2E2E" w:rsidRPr="004224F6">
        <w:rPr>
          <w:rFonts w:ascii="Times New Roman" w:hAnsi="Times New Roman" w:cs="Times New Roman"/>
          <w:szCs w:val="20"/>
          <w:lang w:val="ru-RU"/>
        </w:rPr>
        <w:t>ти, които са тествани съгласно Е</w:t>
      </w:r>
      <w:r w:rsidRPr="004224F6">
        <w:rPr>
          <w:rFonts w:ascii="Times New Roman" w:hAnsi="Times New Roman" w:cs="Times New Roman"/>
          <w:szCs w:val="20"/>
          <w:lang w:val="ru-RU"/>
        </w:rPr>
        <w:t xml:space="preserve">вропейски стандарт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45545-2</w:t>
      </w:r>
      <w:r w:rsidR="008A6AC5" w:rsidRPr="004224F6">
        <w:rPr>
          <w:rFonts w:ascii="Times New Roman" w:hAnsi="Times New Roman" w:cs="Times New Roman"/>
          <w:szCs w:val="20"/>
          <w:lang w:val="ru-RU"/>
        </w:rPr>
        <w:t>:2023</w:t>
      </w:r>
      <w:r w:rsidRPr="004224F6">
        <w:rPr>
          <w:rFonts w:ascii="Times New Roman" w:hAnsi="Times New Roman" w:cs="Times New Roman"/>
          <w:szCs w:val="20"/>
          <w:lang w:val="ru-RU"/>
        </w:rPr>
        <w:t>, могат да бъдат приети в зависимост от тяхната класификация и употреба.</w:t>
      </w:r>
    </w:p>
    <w:p w14:paraId="546869CC"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HL</w:t>
      </w:r>
      <w:r w:rsidRPr="004224F6">
        <w:rPr>
          <w:rFonts w:ascii="Times New Roman" w:hAnsi="Times New Roman" w:cs="Times New Roman"/>
          <w:szCs w:val="20"/>
          <w:lang w:val="ru-RU"/>
        </w:rPr>
        <w:t xml:space="preserve">2 или </w:t>
      </w:r>
      <w:r w:rsidRPr="004224F6">
        <w:rPr>
          <w:rFonts w:ascii="Times New Roman" w:hAnsi="Times New Roman" w:cs="Times New Roman"/>
          <w:szCs w:val="20"/>
        </w:rPr>
        <w:t>HL</w:t>
      </w:r>
      <w:r w:rsidRPr="004224F6">
        <w:rPr>
          <w:rFonts w:ascii="Times New Roman" w:hAnsi="Times New Roman" w:cs="Times New Roman"/>
          <w:szCs w:val="20"/>
          <w:lang w:val="ru-RU"/>
        </w:rPr>
        <w:t xml:space="preserve">3 за изискване </w:t>
      </w:r>
      <w:r w:rsidRPr="004224F6">
        <w:rPr>
          <w:rFonts w:ascii="Times New Roman" w:hAnsi="Times New Roman" w:cs="Times New Roman"/>
          <w:szCs w:val="20"/>
        </w:rPr>
        <w:t>R</w:t>
      </w:r>
      <w:r w:rsidRPr="004224F6">
        <w:rPr>
          <w:rFonts w:ascii="Times New Roman" w:hAnsi="Times New Roman" w:cs="Times New Roman"/>
          <w:szCs w:val="20"/>
          <w:lang w:val="ru-RU"/>
        </w:rPr>
        <w:t>1 се считат за приемливи или еквивалентни.</w:t>
      </w:r>
    </w:p>
    <w:p w14:paraId="44AFA361"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HL</w:t>
      </w:r>
      <w:r w:rsidRPr="004224F6">
        <w:rPr>
          <w:rFonts w:ascii="Times New Roman" w:hAnsi="Times New Roman" w:cs="Times New Roman"/>
          <w:szCs w:val="20"/>
          <w:lang w:val="ru-RU"/>
        </w:rPr>
        <w:t xml:space="preserve">3 за изискване </w:t>
      </w:r>
      <w:r w:rsidRPr="004224F6">
        <w:rPr>
          <w:rFonts w:ascii="Times New Roman" w:hAnsi="Times New Roman" w:cs="Times New Roman"/>
          <w:szCs w:val="20"/>
        </w:rPr>
        <w:t>R</w:t>
      </w:r>
      <w:r w:rsidRPr="004224F6">
        <w:rPr>
          <w:rFonts w:ascii="Times New Roman" w:hAnsi="Times New Roman" w:cs="Times New Roman"/>
          <w:szCs w:val="20"/>
          <w:lang w:val="ru-RU"/>
        </w:rPr>
        <w:t>10 (подови настилки) се счита за еквивалентна.</w:t>
      </w:r>
    </w:p>
    <w:p w14:paraId="211BAC23" w14:textId="00324F70"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b/>
          <w:szCs w:val="20"/>
          <w:lang w:val="ru-RU"/>
        </w:rPr>
      </w:pPr>
      <w:r w:rsidRPr="004224F6">
        <w:rPr>
          <w:rFonts w:ascii="Times New Roman" w:hAnsi="Times New Roman" w:cs="Times New Roman"/>
          <w:b/>
          <w:szCs w:val="20"/>
          <w:lang w:val="ru-RU"/>
        </w:rPr>
        <w:t>1.3 Незапалими материали (както е определено в член 1.01</w:t>
      </w:r>
      <w:r w:rsidR="0021197D" w:rsidRPr="004224F6">
        <w:rPr>
          <w:rFonts w:ascii="Times New Roman" w:hAnsi="Times New Roman" w:cs="Times New Roman"/>
          <w:b/>
          <w:szCs w:val="20"/>
          <w:lang w:val="ru-RU"/>
        </w:rPr>
        <w:t xml:space="preserve">, т. </w:t>
      </w:r>
      <w:r w:rsidRPr="004224F6">
        <w:rPr>
          <w:rFonts w:ascii="Times New Roman" w:hAnsi="Times New Roman" w:cs="Times New Roman"/>
          <w:b/>
          <w:szCs w:val="20"/>
          <w:lang w:val="ru-RU"/>
        </w:rPr>
        <w:t>6.4)</w:t>
      </w:r>
    </w:p>
    <w:p w14:paraId="3DA783C5" w14:textId="251E2AE5"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lastRenderedPageBreak/>
        <w:t xml:space="preserve">1.3.1 Продукти, които са били тествани съгласно </w:t>
      </w:r>
      <w:r w:rsidRPr="004224F6">
        <w:rPr>
          <w:rFonts w:ascii="Times New Roman" w:hAnsi="Times New Roman" w:cs="Times New Roman"/>
          <w:szCs w:val="20"/>
        </w:rPr>
        <w:t>FTP</w:t>
      </w:r>
      <w:r w:rsidR="008A6AC5" w:rsidRPr="004224F6">
        <w:rPr>
          <w:rFonts w:ascii="Times New Roman" w:hAnsi="Times New Roman" w:cs="Times New Roman"/>
          <w:szCs w:val="20"/>
          <w:lang w:val="ru-RU"/>
        </w:rPr>
        <w:t xml:space="preserve"> </w:t>
      </w:r>
      <w:r w:rsidR="008A6AC5" w:rsidRPr="004224F6">
        <w:rPr>
          <w:rFonts w:ascii="Times New Roman" w:hAnsi="Times New Roman" w:cs="Times New Roman"/>
          <w:szCs w:val="20"/>
        </w:rPr>
        <w:t>Code</w:t>
      </w:r>
      <w:r w:rsidRPr="004224F6">
        <w:rPr>
          <w:rFonts w:ascii="Times New Roman" w:hAnsi="Times New Roman" w:cs="Times New Roman"/>
          <w:szCs w:val="20"/>
          <w:lang w:val="ru-RU"/>
        </w:rPr>
        <w:t xml:space="preserve">, Приложение 1, Част 1, се считат за съответстващи на </w:t>
      </w:r>
      <w:r w:rsidRPr="004224F6">
        <w:rPr>
          <w:rFonts w:ascii="Times New Roman" w:hAnsi="Times New Roman" w:cs="Times New Roman"/>
          <w:szCs w:val="20"/>
        </w:rPr>
        <w:t>ES</w:t>
      </w:r>
      <w:r w:rsidRPr="004224F6">
        <w:rPr>
          <w:rFonts w:ascii="Times New Roman" w:hAnsi="Times New Roman" w:cs="Times New Roman"/>
          <w:szCs w:val="20"/>
          <w:lang w:val="ru-RU"/>
        </w:rPr>
        <w:t>-</w:t>
      </w:r>
      <w:r w:rsidRPr="004224F6">
        <w:rPr>
          <w:rFonts w:ascii="Times New Roman" w:hAnsi="Times New Roman" w:cs="Times New Roman"/>
          <w:szCs w:val="20"/>
        </w:rPr>
        <w:t>TRIN</w:t>
      </w:r>
      <w:r w:rsidRPr="004224F6">
        <w:rPr>
          <w:rFonts w:ascii="Times New Roman" w:hAnsi="Times New Roman" w:cs="Times New Roman"/>
          <w:szCs w:val="20"/>
          <w:lang w:val="ru-RU"/>
        </w:rPr>
        <w:t>.</w:t>
      </w:r>
    </w:p>
    <w:p w14:paraId="5E76FA3A" w14:textId="147892A6"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1.3.2 Продук</w:t>
      </w:r>
      <w:r w:rsidR="00195196" w:rsidRPr="004224F6">
        <w:rPr>
          <w:rFonts w:ascii="Times New Roman" w:hAnsi="Times New Roman" w:cs="Times New Roman"/>
          <w:szCs w:val="20"/>
          <w:lang w:val="ru-RU"/>
        </w:rPr>
        <w:t>ти, които са тествани съгласно Е</w:t>
      </w:r>
      <w:r w:rsidRPr="004224F6">
        <w:rPr>
          <w:rFonts w:ascii="Times New Roman" w:hAnsi="Times New Roman" w:cs="Times New Roman"/>
          <w:szCs w:val="20"/>
          <w:lang w:val="ru-RU"/>
        </w:rPr>
        <w:t xml:space="preserve">вропейски стандарт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13501-1</w:t>
      </w:r>
      <w:r w:rsidR="008A6AC5" w:rsidRPr="004224F6">
        <w:rPr>
          <w:rFonts w:ascii="Times New Roman" w:hAnsi="Times New Roman" w:cs="Times New Roman"/>
          <w:szCs w:val="20"/>
          <w:lang w:val="ru-RU"/>
        </w:rPr>
        <w:t>:2018</w:t>
      </w:r>
      <w:r w:rsidRPr="004224F6">
        <w:rPr>
          <w:rFonts w:ascii="Times New Roman" w:hAnsi="Times New Roman" w:cs="Times New Roman"/>
          <w:szCs w:val="20"/>
          <w:lang w:val="ru-RU"/>
        </w:rPr>
        <w:t>, могат да бъдат приети в зависимост от тяхната класификация и употреба.</w:t>
      </w:r>
    </w:p>
    <w:p w14:paraId="156A5EDC"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Класификация А1 може да се прилага като незапалими материали.</w:t>
      </w:r>
    </w:p>
    <w:p w14:paraId="2CC5E4F5"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A</w:t>
      </w:r>
      <w:r w:rsidRPr="004224F6">
        <w:rPr>
          <w:rFonts w:ascii="Times New Roman" w:hAnsi="Times New Roman" w:cs="Times New Roman"/>
          <w:szCs w:val="20"/>
          <w:lang w:val="ru-RU"/>
        </w:rPr>
        <w:t>2 може да бъде описана като „ограничена запалимост“ и не може да се прилага като незапалим материал.</w:t>
      </w:r>
    </w:p>
    <w:p w14:paraId="3EED45F9"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B</w:t>
      </w:r>
      <w:r w:rsidRPr="004224F6">
        <w:rPr>
          <w:rFonts w:ascii="Times New Roman" w:hAnsi="Times New Roman" w:cs="Times New Roman"/>
          <w:szCs w:val="20"/>
          <w:lang w:val="ru-RU"/>
        </w:rPr>
        <w:t xml:space="preserve">, </w:t>
      </w:r>
      <w:r w:rsidRPr="004224F6">
        <w:rPr>
          <w:rFonts w:ascii="Times New Roman" w:hAnsi="Times New Roman" w:cs="Times New Roman"/>
          <w:szCs w:val="20"/>
        </w:rPr>
        <w:t>C</w:t>
      </w:r>
      <w:r w:rsidRPr="004224F6">
        <w:rPr>
          <w:rFonts w:ascii="Times New Roman" w:hAnsi="Times New Roman" w:cs="Times New Roman"/>
          <w:szCs w:val="20"/>
          <w:lang w:val="ru-RU"/>
        </w:rPr>
        <w:t xml:space="preserve">, </w:t>
      </w:r>
      <w:r w:rsidRPr="004224F6">
        <w:rPr>
          <w:rFonts w:ascii="Times New Roman" w:hAnsi="Times New Roman" w:cs="Times New Roman"/>
          <w:szCs w:val="20"/>
        </w:rPr>
        <w:t>D</w:t>
      </w:r>
      <w:r w:rsidRPr="004224F6">
        <w:rPr>
          <w:rFonts w:ascii="Times New Roman" w:hAnsi="Times New Roman" w:cs="Times New Roman"/>
          <w:szCs w:val="20"/>
          <w:lang w:val="ru-RU"/>
        </w:rPr>
        <w:t xml:space="preserve">, </w:t>
      </w:r>
      <w:r w:rsidRPr="004224F6">
        <w:rPr>
          <w:rFonts w:ascii="Times New Roman" w:hAnsi="Times New Roman" w:cs="Times New Roman"/>
          <w:szCs w:val="20"/>
        </w:rPr>
        <w:t>E</w:t>
      </w:r>
      <w:r w:rsidRPr="004224F6">
        <w:rPr>
          <w:rFonts w:ascii="Times New Roman" w:hAnsi="Times New Roman" w:cs="Times New Roman"/>
          <w:szCs w:val="20"/>
          <w:lang w:val="ru-RU"/>
        </w:rPr>
        <w:t xml:space="preserve">, </w:t>
      </w:r>
      <w:r w:rsidRPr="004224F6">
        <w:rPr>
          <w:rFonts w:ascii="Times New Roman" w:hAnsi="Times New Roman" w:cs="Times New Roman"/>
          <w:szCs w:val="20"/>
        </w:rPr>
        <w:t>F</w:t>
      </w:r>
      <w:r w:rsidRPr="004224F6">
        <w:rPr>
          <w:rFonts w:ascii="Times New Roman" w:hAnsi="Times New Roman" w:cs="Times New Roman"/>
          <w:szCs w:val="20"/>
          <w:lang w:val="ru-RU"/>
        </w:rPr>
        <w:t xml:space="preserve"> може да бъде описана като „запалим“ и не може да се прилага като незапалим материал.</w:t>
      </w:r>
    </w:p>
    <w:p w14:paraId="2FA2396D"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1.3.3</w:t>
      </w:r>
      <w:r w:rsidR="00761F21" w:rsidRPr="004224F6">
        <w:rPr>
          <w:rFonts w:ascii="Times New Roman" w:hAnsi="Times New Roman" w:cs="Times New Roman"/>
          <w:szCs w:val="20"/>
          <w:lang w:val="ru-RU"/>
        </w:rPr>
        <w:t xml:space="preserve"> Продукти, които са изброени в Р</w:t>
      </w:r>
      <w:r w:rsidRPr="004224F6">
        <w:rPr>
          <w:rFonts w:ascii="Times New Roman" w:hAnsi="Times New Roman" w:cs="Times New Roman"/>
          <w:szCs w:val="20"/>
          <w:lang w:val="ru-RU"/>
        </w:rPr>
        <w:t>ешение 96/603/</w:t>
      </w:r>
      <w:r w:rsidRPr="004224F6">
        <w:rPr>
          <w:rFonts w:ascii="Times New Roman" w:hAnsi="Times New Roman" w:cs="Times New Roman"/>
          <w:szCs w:val="20"/>
        </w:rPr>
        <w:t>EC</w:t>
      </w:r>
      <w:r w:rsidRPr="004224F6">
        <w:rPr>
          <w:rFonts w:ascii="Times New Roman" w:hAnsi="Times New Roman" w:cs="Times New Roman"/>
          <w:szCs w:val="20"/>
          <w:lang w:val="ru-RU"/>
        </w:rPr>
        <w:t xml:space="preserve"> на Европейската комисия (с измененията) са приемливи без допълнителни тестове.</w:t>
      </w:r>
    </w:p>
    <w:p w14:paraId="7D81C783"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b/>
          <w:szCs w:val="20"/>
          <w:lang w:val="ru-RU"/>
        </w:rPr>
      </w:pPr>
      <w:r w:rsidRPr="004224F6">
        <w:rPr>
          <w:rFonts w:ascii="Times New Roman" w:hAnsi="Times New Roman" w:cs="Times New Roman"/>
          <w:b/>
          <w:szCs w:val="20"/>
          <w:lang w:val="ru-RU"/>
        </w:rPr>
        <w:t>1.4 Капчици</w:t>
      </w:r>
    </w:p>
    <w:p w14:paraId="76CFE047"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1.4.1 Материалите за облицовки на прегради, стени и тавани и покрития на основната палуба не трябва да произвеждат горящи капки по време на изпитването.</w:t>
      </w:r>
    </w:p>
    <w:p w14:paraId="1FDBEF05" w14:textId="38021178"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1.4.2 Продукти, които са били тествани съгласно  </w:t>
      </w:r>
      <w:r w:rsidRPr="004224F6">
        <w:rPr>
          <w:rFonts w:ascii="Times New Roman" w:hAnsi="Times New Roman" w:cs="Times New Roman"/>
          <w:szCs w:val="20"/>
        </w:rPr>
        <w:t>FTP</w:t>
      </w:r>
      <w:r w:rsidR="0057508F" w:rsidRPr="004224F6">
        <w:rPr>
          <w:rFonts w:ascii="Times New Roman" w:hAnsi="Times New Roman" w:cs="Times New Roman"/>
          <w:szCs w:val="20"/>
          <w:lang w:val="ru-RU"/>
        </w:rPr>
        <w:t xml:space="preserve"> </w:t>
      </w:r>
      <w:r w:rsidR="0057508F" w:rsidRPr="004224F6">
        <w:rPr>
          <w:rFonts w:ascii="Times New Roman" w:hAnsi="Times New Roman" w:cs="Times New Roman"/>
          <w:szCs w:val="20"/>
        </w:rPr>
        <w:t>Code</w:t>
      </w:r>
      <w:r w:rsidRPr="004224F6">
        <w:rPr>
          <w:rFonts w:ascii="Times New Roman" w:hAnsi="Times New Roman" w:cs="Times New Roman"/>
          <w:szCs w:val="20"/>
          <w:lang w:val="ru-RU"/>
        </w:rPr>
        <w:t xml:space="preserve">, Приложение 1, Част 5, се считат за съответстващи на </w:t>
      </w:r>
      <w:r w:rsidRPr="004224F6">
        <w:rPr>
          <w:rFonts w:ascii="Times New Roman" w:hAnsi="Times New Roman" w:cs="Times New Roman"/>
          <w:szCs w:val="20"/>
        </w:rPr>
        <w:t>ES</w:t>
      </w:r>
      <w:r w:rsidRPr="004224F6">
        <w:rPr>
          <w:rFonts w:ascii="Times New Roman" w:hAnsi="Times New Roman" w:cs="Times New Roman"/>
          <w:szCs w:val="20"/>
          <w:lang w:val="ru-RU"/>
        </w:rPr>
        <w:t>-</w:t>
      </w:r>
      <w:r w:rsidRPr="004224F6">
        <w:rPr>
          <w:rFonts w:ascii="Times New Roman" w:hAnsi="Times New Roman" w:cs="Times New Roman"/>
          <w:szCs w:val="20"/>
        </w:rPr>
        <w:t>TRIN</w:t>
      </w:r>
      <w:r w:rsidRPr="004224F6">
        <w:rPr>
          <w:rFonts w:ascii="Times New Roman" w:hAnsi="Times New Roman" w:cs="Times New Roman"/>
          <w:szCs w:val="20"/>
          <w:lang w:val="ru-RU"/>
        </w:rPr>
        <w:t xml:space="preserve">. </w:t>
      </w:r>
    </w:p>
    <w:p w14:paraId="536D4398" w14:textId="598B4E32"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1.4.3 Продук</w:t>
      </w:r>
      <w:r w:rsidR="00761F21" w:rsidRPr="004224F6">
        <w:rPr>
          <w:rFonts w:ascii="Times New Roman" w:hAnsi="Times New Roman" w:cs="Times New Roman"/>
          <w:szCs w:val="20"/>
          <w:lang w:val="ru-RU"/>
        </w:rPr>
        <w:t>ти, които са тествани съгласно Е</w:t>
      </w:r>
      <w:r w:rsidRPr="004224F6">
        <w:rPr>
          <w:rFonts w:ascii="Times New Roman" w:hAnsi="Times New Roman" w:cs="Times New Roman"/>
          <w:szCs w:val="20"/>
          <w:lang w:val="ru-RU"/>
        </w:rPr>
        <w:t xml:space="preserve">вропейски стандарт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13501-1</w:t>
      </w:r>
      <w:r w:rsidR="0057508F" w:rsidRPr="004224F6">
        <w:rPr>
          <w:rFonts w:ascii="Times New Roman" w:hAnsi="Times New Roman" w:cs="Times New Roman"/>
          <w:szCs w:val="20"/>
          <w:lang w:val="ru-RU"/>
        </w:rPr>
        <w:t>:2018</w:t>
      </w:r>
      <w:r w:rsidRPr="004224F6">
        <w:rPr>
          <w:rFonts w:ascii="Times New Roman" w:hAnsi="Times New Roman" w:cs="Times New Roman"/>
          <w:szCs w:val="20"/>
          <w:lang w:val="ru-RU"/>
        </w:rPr>
        <w:t>, могат да бъдат приети в зависимост от тяхната класификация и употреба.</w:t>
      </w:r>
    </w:p>
    <w:p w14:paraId="21C70193"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d</w:t>
      </w:r>
      <w:r w:rsidRPr="004224F6">
        <w:rPr>
          <w:rFonts w:ascii="Times New Roman" w:hAnsi="Times New Roman" w:cs="Times New Roman"/>
          <w:szCs w:val="20"/>
          <w:lang w:val="ru-RU"/>
        </w:rPr>
        <w:t>0 се изисква за всички противопожарни материали.</w:t>
      </w:r>
    </w:p>
    <w:p w14:paraId="6A9438B2"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d</w:t>
      </w:r>
      <w:r w:rsidRPr="004224F6">
        <w:rPr>
          <w:rFonts w:ascii="Times New Roman" w:hAnsi="Times New Roman" w:cs="Times New Roman"/>
          <w:szCs w:val="20"/>
          <w:lang w:val="ru-RU"/>
        </w:rPr>
        <w:t xml:space="preserve">1 и </w:t>
      </w:r>
      <w:r w:rsidRPr="004224F6">
        <w:rPr>
          <w:rFonts w:ascii="Times New Roman" w:hAnsi="Times New Roman" w:cs="Times New Roman"/>
          <w:szCs w:val="20"/>
        </w:rPr>
        <w:t>d</w:t>
      </w:r>
      <w:r w:rsidRPr="004224F6">
        <w:rPr>
          <w:rFonts w:ascii="Times New Roman" w:hAnsi="Times New Roman" w:cs="Times New Roman"/>
          <w:szCs w:val="20"/>
          <w:lang w:val="ru-RU"/>
        </w:rPr>
        <w:t>2 не са приемливи.</w:t>
      </w:r>
    </w:p>
    <w:p w14:paraId="534FEBC4" w14:textId="11F0FE02"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1.4.4 Продук</w:t>
      </w:r>
      <w:r w:rsidR="004B3CD1" w:rsidRPr="004224F6">
        <w:rPr>
          <w:rFonts w:ascii="Times New Roman" w:hAnsi="Times New Roman" w:cs="Times New Roman"/>
          <w:szCs w:val="20"/>
          <w:lang w:val="ru-RU"/>
        </w:rPr>
        <w:t>ти, които са тествани съгласно Е</w:t>
      </w:r>
      <w:r w:rsidRPr="004224F6">
        <w:rPr>
          <w:rFonts w:ascii="Times New Roman" w:hAnsi="Times New Roman" w:cs="Times New Roman"/>
          <w:szCs w:val="20"/>
          <w:lang w:val="ru-RU"/>
        </w:rPr>
        <w:t xml:space="preserve">вропейски стандарт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45545-2</w:t>
      </w:r>
      <w:r w:rsidR="0057508F" w:rsidRPr="004224F6">
        <w:rPr>
          <w:rFonts w:ascii="Times New Roman" w:hAnsi="Times New Roman" w:cs="Times New Roman"/>
          <w:szCs w:val="20"/>
          <w:lang w:val="ru-RU"/>
        </w:rPr>
        <w:t>:2023</w:t>
      </w:r>
      <w:r w:rsidRPr="004224F6">
        <w:rPr>
          <w:rFonts w:ascii="Times New Roman" w:hAnsi="Times New Roman" w:cs="Times New Roman"/>
          <w:szCs w:val="20"/>
          <w:lang w:val="ru-RU"/>
        </w:rPr>
        <w:t>, могат да бъдат приети в зависимост от тяхната класификация и употреба.</w:t>
      </w:r>
    </w:p>
    <w:p w14:paraId="3C1495A5" w14:textId="77777777" w:rsidR="00271FA2" w:rsidRPr="004224F6" w:rsidRDefault="00D35E51" w:rsidP="002B3364">
      <w:pPr>
        <w:overflowPunct w:val="0"/>
        <w:adjustRightInd w:val="0"/>
        <w:spacing w:line="240" w:lineRule="atLeast"/>
        <w:ind w:left="567" w:right="1133"/>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Класификация </w:t>
      </w:r>
      <w:r w:rsidRPr="004224F6">
        <w:rPr>
          <w:rFonts w:ascii="Times New Roman" w:hAnsi="Times New Roman" w:cs="Times New Roman"/>
          <w:szCs w:val="20"/>
        </w:rPr>
        <w:t>HL</w:t>
      </w:r>
      <w:r w:rsidRPr="004224F6">
        <w:rPr>
          <w:rFonts w:ascii="Times New Roman" w:hAnsi="Times New Roman" w:cs="Times New Roman"/>
          <w:szCs w:val="20"/>
          <w:lang w:val="ru-RU"/>
        </w:rPr>
        <w:t xml:space="preserve">2 или </w:t>
      </w:r>
      <w:r w:rsidRPr="004224F6">
        <w:rPr>
          <w:rFonts w:ascii="Times New Roman" w:hAnsi="Times New Roman" w:cs="Times New Roman"/>
          <w:szCs w:val="20"/>
        </w:rPr>
        <w:t>HL</w:t>
      </w:r>
      <w:r w:rsidRPr="004224F6">
        <w:rPr>
          <w:rFonts w:ascii="Times New Roman" w:hAnsi="Times New Roman" w:cs="Times New Roman"/>
          <w:szCs w:val="20"/>
          <w:lang w:val="ru-RU"/>
        </w:rPr>
        <w:t xml:space="preserve">3 за изискване </w:t>
      </w:r>
      <w:r w:rsidRPr="004224F6">
        <w:rPr>
          <w:rFonts w:ascii="Times New Roman" w:hAnsi="Times New Roman" w:cs="Times New Roman"/>
          <w:szCs w:val="20"/>
        </w:rPr>
        <w:t>R</w:t>
      </w:r>
      <w:r w:rsidRPr="004224F6">
        <w:rPr>
          <w:rFonts w:ascii="Times New Roman" w:hAnsi="Times New Roman" w:cs="Times New Roman"/>
          <w:szCs w:val="20"/>
          <w:lang w:val="ru-RU"/>
        </w:rPr>
        <w:t>1 се считат за приемливи.</w:t>
      </w:r>
    </w:p>
    <w:p w14:paraId="7CBDB3CE" w14:textId="7777777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b/>
          <w:szCs w:val="20"/>
          <w:lang w:val="ru-RU"/>
        </w:rPr>
      </w:pPr>
      <w:r w:rsidRPr="004224F6">
        <w:rPr>
          <w:rFonts w:ascii="Times New Roman" w:hAnsi="Times New Roman" w:cs="Times New Roman"/>
          <w:b/>
          <w:szCs w:val="20"/>
          <w:lang w:val="ru-RU"/>
        </w:rPr>
        <w:t>2. Пътнически плавателни съдове</w:t>
      </w:r>
    </w:p>
    <w:p w14:paraId="14A7D003" w14:textId="201ACC21"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2.1 </w:t>
      </w:r>
      <w:r w:rsidR="002B3364" w:rsidRPr="004224F6">
        <w:rPr>
          <w:rFonts w:ascii="Times New Roman" w:hAnsi="Times New Roman" w:cs="Times New Roman"/>
          <w:szCs w:val="20"/>
          <w:lang w:val="ru-RU"/>
        </w:rPr>
        <w:tab/>
      </w:r>
      <w:r w:rsidRPr="004224F6">
        <w:rPr>
          <w:rFonts w:ascii="Times New Roman" w:hAnsi="Times New Roman" w:cs="Times New Roman"/>
          <w:szCs w:val="20"/>
          <w:lang w:val="ru-RU"/>
        </w:rPr>
        <w:t>Път</w:t>
      </w:r>
      <w:r w:rsidR="004B3CD1" w:rsidRPr="004224F6">
        <w:rPr>
          <w:rFonts w:ascii="Times New Roman" w:hAnsi="Times New Roman" w:cs="Times New Roman"/>
          <w:szCs w:val="20"/>
          <w:lang w:val="ru-RU"/>
        </w:rPr>
        <w:t>ническите плавателни съдове</w:t>
      </w:r>
      <w:r w:rsidRPr="004224F6">
        <w:rPr>
          <w:rFonts w:ascii="Times New Roman" w:hAnsi="Times New Roman" w:cs="Times New Roman"/>
          <w:szCs w:val="20"/>
          <w:lang w:val="ru-RU"/>
        </w:rPr>
        <w:t xml:space="preserve"> трябва да отговарят на член 19.11, който се отнася до противопожарна защита.</w:t>
      </w:r>
    </w:p>
    <w:p w14:paraId="04E3C568" w14:textId="4189A129"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2.2 </w:t>
      </w:r>
      <w:r w:rsidR="002B3364" w:rsidRPr="004224F6">
        <w:rPr>
          <w:rFonts w:ascii="Times New Roman" w:hAnsi="Times New Roman" w:cs="Times New Roman"/>
          <w:szCs w:val="20"/>
          <w:lang w:val="ru-RU"/>
        </w:rPr>
        <w:tab/>
      </w:r>
      <w:r w:rsidRPr="004224F6">
        <w:rPr>
          <w:rFonts w:ascii="Times New Roman" w:hAnsi="Times New Roman" w:cs="Times New Roman"/>
          <w:szCs w:val="20"/>
          <w:lang w:val="ru-RU"/>
        </w:rPr>
        <w:t xml:space="preserve">Продукти, които са тествани съгласно </w:t>
      </w:r>
      <w:r w:rsidRPr="004224F6">
        <w:rPr>
          <w:rFonts w:ascii="Times New Roman" w:hAnsi="Times New Roman" w:cs="Times New Roman"/>
          <w:szCs w:val="20"/>
        </w:rPr>
        <w:t>FTP</w:t>
      </w:r>
      <w:r w:rsidR="00A70857" w:rsidRPr="004224F6">
        <w:rPr>
          <w:rFonts w:ascii="Times New Roman" w:hAnsi="Times New Roman" w:cs="Times New Roman"/>
          <w:szCs w:val="20"/>
          <w:lang w:val="ru-RU"/>
        </w:rPr>
        <w:t xml:space="preserve"> </w:t>
      </w:r>
      <w:r w:rsidR="00A70857" w:rsidRPr="004224F6">
        <w:rPr>
          <w:rFonts w:ascii="Times New Roman" w:hAnsi="Times New Roman" w:cs="Times New Roman"/>
          <w:szCs w:val="20"/>
        </w:rPr>
        <w:t>Code</w:t>
      </w:r>
      <w:r w:rsidRPr="004224F6">
        <w:rPr>
          <w:rFonts w:ascii="Times New Roman" w:hAnsi="Times New Roman" w:cs="Times New Roman"/>
          <w:szCs w:val="20"/>
          <w:lang w:val="ru-RU"/>
        </w:rPr>
        <w:t xml:space="preserve">, Приложение 1, част 3, се считат за съответстващи на </w:t>
      </w:r>
      <w:r w:rsidRPr="004224F6">
        <w:rPr>
          <w:rFonts w:ascii="Times New Roman" w:hAnsi="Times New Roman" w:cs="Times New Roman"/>
          <w:szCs w:val="20"/>
        </w:rPr>
        <w:t>ES</w:t>
      </w:r>
      <w:r w:rsidRPr="004224F6">
        <w:rPr>
          <w:rFonts w:ascii="Times New Roman" w:hAnsi="Times New Roman" w:cs="Times New Roman"/>
          <w:szCs w:val="20"/>
          <w:lang w:val="ru-RU"/>
        </w:rPr>
        <w:t>-</w:t>
      </w:r>
      <w:r w:rsidRPr="004224F6">
        <w:rPr>
          <w:rFonts w:ascii="Times New Roman" w:hAnsi="Times New Roman" w:cs="Times New Roman"/>
          <w:szCs w:val="20"/>
        </w:rPr>
        <w:t>TRIN</w:t>
      </w:r>
      <w:r w:rsidRPr="004224F6">
        <w:rPr>
          <w:rFonts w:ascii="Times New Roman" w:hAnsi="Times New Roman" w:cs="Times New Roman"/>
          <w:szCs w:val="20"/>
          <w:lang w:val="ru-RU"/>
        </w:rPr>
        <w:t>.</w:t>
      </w:r>
    </w:p>
    <w:p w14:paraId="3118D0BE" w14:textId="16B97CF7" w:rsidR="00271FA2" w:rsidRPr="004224F6" w:rsidRDefault="00D35E51" w:rsidP="002B3364">
      <w:pPr>
        <w:overflowPunct w:val="0"/>
        <w:adjustRightInd w:val="0"/>
        <w:spacing w:line="240" w:lineRule="atLeast"/>
        <w:ind w:left="567" w:right="1133" w:hanging="567"/>
        <w:jc w:val="both"/>
        <w:textAlignment w:val="baseline"/>
        <w:rPr>
          <w:rFonts w:ascii="Times New Roman" w:hAnsi="Times New Roman" w:cs="Times New Roman"/>
          <w:szCs w:val="20"/>
          <w:lang w:val="ru-RU"/>
        </w:rPr>
      </w:pPr>
      <w:r w:rsidRPr="004224F6">
        <w:rPr>
          <w:rFonts w:ascii="Times New Roman" w:hAnsi="Times New Roman" w:cs="Times New Roman"/>
          <w:szCs w:val="20"/>
          <w:lang w:val="ru-RU"/>
        </w:rPr>
        <w:t xml:space="preserve">2.3 </w:t>
      </w:r>
      <w:r w:rsidR="002B3364" w:rsidRPr="004224F6">
        <w:rPr>
          <w:rFonts w:ascii="Times New Roman" w:hAnsi="Times New Roman" w:cs="Times New Roman"/>
          <w:szCs w:val="20"/>
          <w:lang w:val="ru-RU"/>
        </w:rPr>
        <w:tab/>
      </w:r>
      <w:r w:rsidRPr="004224F6">
        <w:rPr>
          <w:rFonts w:ascii="Times New Roman" w:hAnsi="Times New Roman" w:cs="Times New Roman"/>
          <w:szCs w:val="20"/>
          <w:lang w:val="ru-RU"/>
        </w:rPr>
        <w:t>Материали, които са тествани от акредитиран</w:t>
      </w:r>
      <w:r w:rsidR="0086151C" w:rsidRPr="004224F6">
        <w:rPr>
          <w:rFonts w:ascii="Times New Roman" w:hAnsi="Times New Roman" w:cs="Times New Roman"/>
          <w:szCs w:val="20"/>
          <w:lang w:val="ru-RU"/>
        </w:rPr>
        <w:t>а тестова институция съгласно Е</w:t>
      </w:r>
      <w:r w:rsidRPr="004224F6">
        <w:rPr>
          <w:rFonts w:ascii="Times New Roman" w:hAnsi="Times New Roman" w:cs="Times New Roman"/>
          <w:szCs w:val="20"/>
          <w:lang w:val="ru-RU"/>
        </w:rPr>
        <w:t xml:space="preserve">вропейските стандарти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13501-2</w:t>
      </w:r>
      <w:r w:rsidR="00A70857" w:rsidRPr="004224F6">
        <w:rPr>
          <w:rFonts w:ascii="Times New Roman" w:hAnsi="Times New Roman" w:cs="Times New Roman"/>
          <w:szCs w:val="20"/>
          <w:lang w:val="ru-RU"/>
        </w:rPr>
        <w:t>:2023</w:t>
      </w:r>
      <w:r w:rsidRPr="004224F6">
        <w:rPr>
          <w:rFonts w:ascii="Times New Roman" w:hAnsi="Times New Roman" w:cs="Times New Roman"/>
          <w:szCs w:val="20"/>
          <w:lang w:val="ru-RU"/>
        </w:rPr>
        <w:t xml:space="preserve"> и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13501-3</w:t>
      </w:r>
      <w:r w:rsidR="00A70857" w:rsidRPr="004224F6">
        <w:rPr>
          <w:rFonts w:ascii="Times New Roman" w:hAnsi="Times New Roman" w:cs="Times New Roman"/>
          <w:szCs w:val="20"/>
          <w:lang w:val="ru-RU"/>
        </w:rPr>
        <w:t>:2009</w:t>
      </w:r>
      <w:r w:rsidRPr="004224F6">
        <w:rPr>
          <w:rFonts w:ascii="Times New Roman" w:hAnsi="Times New Roman" w:cs="Times New Roman"/>
          <w:szCs w:val="20"/>
          <w:lang w:val="ru-RU"/>
        </w:rPr>
        <w:t>, могат да се използват на борда въз основа на следните корелации.</w:t>
      </w:r>
    </w:p>
    <w:tbl>
      <w:tblPr>
        <w:tblStyle w:val="TableGrid"/>
        <w:tblW w:w="0" w:type="auto"/>
        <w:tblLook w:val="04A0" w:firstRow="1" w:lastRow="0" w:firstColumn="1" w:lastColumn="0" w:noHBand="0" w:noVBand="1"/>
      </w:tblPr>
      <w:tblGrid>
        <w:gridCol w:w="4530"/>
        <w:gridCol w:w="4531"/>
      </w:tblGrid>
      <w:tr w:rsidR="00AB7330" w:rsidRPr="004224F6" w14:paraId="43F0B64E" w14:textId="77777777" w:rsidTr="00AB7330">
        <w:trPr>
          <w:trHeight w:val="601"/>
        </w:trPr>
        <w:tc>
          <w:tcPr>
            <w:tcW w:w="4530" w:type="dxa"/>
          </w:tcPr>
          <w:p w14:paraId="3D759AA9" w14:textId="38322CF6" w:rsidR="00AB7330" w:rsidRPr="004224F6" w:rsidRDefault="00AB7330" w:rsidP="000D39AD">
            <w:pPr>
              <w:pStyle w:val="TableParagraph"/>
              <w:spacing w:before="71"/>
              <w:ind w:left="17" w:right="1133"/>
              <w:jc w:val="center"/>
              <w:rPr>
                <w:rFonts w:ascii="Times New Roman" w:hAnsi="Times New Roman" w:cs="Times New Roman"/>
                <w:b/>
              </w:rPr>
            </w:pPr>
            <w:r w:rsidRPr="004224F6">
              <w:rPr>
                <w:rFonts w:ascii="Times New Roman" w:hAnsi="Times New Roman" w:cs="Times New Roman"/>
                <w:b/>
                <w:color w:val="000009"/>
              </w:rPr>
              <w:t>FTP</w:t>
            </w:r>
            <w:r w:rsidRPr="004224F6">
              <w:rPr>
                <w:rFonts w:ascii="Times New Roman" w:hAnsi="Times New Roman" w:cs="Times New Roman"/>
                <w:b/>
                <w:color w:val="000009"/>
                <w:spacing w:val="-5"/>
              </w:rPr>
              <w:t xml:space="preserve"> </w:t>
            </w:r>
            <w:r w:rsidR="00A70857" w:rsidRPr="004224F6">
              <w:rPr>
                <w:rFonts w:ascii="Times New Roman" w:hAnsi="Times New Roman" w:cs="Times New Roman"/>
                <w:b/>
                <w:color w:val="000009"/>
                <w:spacing w:val="-4"/>
              </w:rPr>
              <w:t>Code</w:t>
            </w:r>
          </w:p>
        </w:tc>
        <w:tc>
          <w:tcPr>
            <w:tcW w:w="4531" w:type="dxa"/>
          </w:tcPr>
          <w:p w14:paraId="63BB109F" w14:textId="77777777" w:rsidR="00AB7330" w:rsidRPr="004224F6" w:rsidRDefault="00AB7330" w:rsidP="000D39AD">
            <w:pPr>
              <w:pStyle w:val="TableParagraph"/>
              <w:spacing w:before="71"/>
              <w:ind w:left="16" w:right="1133"/>
              <w:jc w:val="center"/>
              <w:rPr>
                <w:rFonts w:ascii="Times New Roman" w:hAnsi="Times New Roman" w:cs="Times New Roman"/>
                <w:b/>
              </w:rPr>
            </w:pPr>
            <w:r w:rsidRPr="004224F6">
              <w:rPr>
                <w:rFonts w:ascii="Times New Roman" w:hAnsi="Times New Roman" w:cs="Times New Roman"/>
                <w:b/>
                <w:color w:val="000009"/>
              </w:rPr>
              <w:t>EN</w:t>
            </w:r>
            <w:r w:rsidRPr="004224F6">
              <w:rPr>
                <w:rFonts w:ascii="Times New Roman" w:hAnsi="Times New Roman" w:cs="Times New Roman"/>
                <w:b/>
                <w:color w:val="000009"/>
                <w:spacing w:val="-4"/>
              </w:rPr>
              <w:t xml:space="preserve"> </w:t>
            </w:r>
            <w:r w:rsidRPr="004224F6">
              <w:rPr>
                <w:rFonts w:ascii="Times New Roman" w:hAnsi="Times New Roman" w:cs="Times New Roman"/>
                <w:b/>
                <w:color w:val="000009"/>
              </w:rPr>
              <w:t>13501-2</w:t>
            </w:r>
            <w:r w:rsidRPr="004224F6">
              <w:rPr>
                <w:rFonts w:ascii="Times New Roman" w:hAnsi="Times New Roman" w:cs="Times New Roman"/>
                <w:b/>
                <w:color w:val="000009"/>
                <w:spacing w:val="-5"/>
              </w:rPr>
              <w:t xml:space="preserve"> </w:t>
            </w:r>
            <w:r w:rsidRPr="004224F6">
              <w:rPr>
                <w:rFonts w:ascii="Times New Roman" w:hAnsi="Times New Roman" w:cs="Times New Roman"/>
                <w:b/>
                <w:color w:val="000009"/>
              </w:rPr>
              <w:t>:</w:t>
            </w:r>
            <w:r w:rsidRPr="004224F6">
              <w:rPr>
                <w:rFonts w:ascii="Times New Roman" w:hAnsi="Times New Roman" w:cs="Times New Roman"/>
                <w:b/>
                <w:color w:val="000009"/>
                <w:spacing w:val="-4"/>
              </w:rPr>
              <w:t xml:space="preserve"> </w:t>
            </w:r>
            <w:r w:rsidRPr="004224F6">
              <w:rPr>
                <w:rFonts w:ascii="Times New Roman" w:hAnsi="Times New Roman" w:cs="Times New Roman"/>
                <w:b/>
                <w:color w:val="000009"/>
              </w:rPr>
              <w:t>2023</w:t>
            </w:r>
            <w:r w:rsidRPr="004224F6">
              <w:rPr>
                <w:rFonts w:ascii="Times New Roman" w:hAnsi="Times New Roman" w:cs="Times New Roman"/>
                <w:b/>
                <w:color w:val="000009"/>
                <w:spacing w:val="-2"/>
              </w:rPr>
              <w:t xml:space="preserve"> </w:t>
            </w:r>
            <w:r w:rsidRPr="004224F6">
              <w:rPr>
                <w:rFonts w:ascii="Times New Roman" w:hAnsi="Times New Roman" w:cs="Times New Roman"/>
                <w:b/>
                <w:color w:val="000009"/>
                <w:spacing w:val="-5"/>
              </w:rPr>
              <w:t>и</w:t>
            </w:r>
          </w:p>
          <w:p w14:paraId="1A798BB1" w14:textId="77777777" w:rsidR="00AB7330" w:rsidRPr="004224F6" w:rsidRDefault="00AB7330" w:rsidP="000D39AD">
            <w:pPr>
              <w:pStyle w:val="TableParagraph"/>
              <w:spacing w:before="10"/>
              <w:ind w:left="16" w:right="1133"/>
              <w:jc w:val="center"/>
              <w:rPr>
                <w:rFonts w:ascii="Times New Roman" w:hAnsi="Times New Roman" w:cs="Times New Roman"/>
                <w:b/>
              </w:rPr>
            </w:pPr>
            <w:r w:rsidRPr="004224F6">
              <w:rPr>
                <w:rFonts w:ascii="Times New Roman" w:hAnsi="Times New Roman" w:cs="Times New Roman"/>
                <w:b/>
              </w:rPr>
              <w:t>EN</w:t>
            </w:r>
            <w:r w:rsidRPr="004224F6">
              <w:rPr>
                <w:rFonts w:ascii="Times New Roman" w:hAnsi="Times New Roman" w:cs="Times New Roman"/>
                <w:b/>
                <w:spacing w:val="-5"/>
              </w:rPr>
              <w:t xml:space="preserve"> </w:t>
            </w:r>
            <w:r w:rsidRPr="004224F6">
              <w:rPr>
                <w:rFonts w:ascii="Times New Roman" w:hAnsi="Times New Roman" w:cs="Times New Roman"/>
                <w:b/>
              </w:rPr>
              <w:t>13501</w:t>
            </w:r>
            <w:r w:rsidRPr="004224F6">
              <w:rPr>
                <w:rFonts w:ascii="Times New Roman" w:hAnsi="Times New Roman" w:cs="Times New Roman"/>
                <w:b/>
                <w:color w:val="000009"/>
              </w:rPr>
              <w:t>-3</w:t>
            </w:r>
            <w:r w:rsidRPr="004224F6">
              <w:rPr>
                <w:rFonts w:ascii="Times New Roman" w:hAnsi="Times New Roman" w:cs="Times New Roman"/>
                <w:b/>
                <w:color w:val="000009"/>
                <w:spacing w:val="-5"/>
              </w:rPr>
              <w:t xml:space="preserve"> </w:t>
            </w:r>
            <w:r w:rsidRPr="004224F6">
              <w:rPr>
                <w:rFonts w:ascii="Times New Roman" w:hAnsi="Times New Roman" w:cs="Times New Roman"/>
                <w:b/>
                <w:color w:val="000009"/>
              </w:rPr>
              <w:t>:</w:t>
            </w:r>
            <w:r w:rsidRPr="004224F6">
              <w:rPr>
                <w:rFonts w:ascii="Times New Roman" w:hAnsi="Times New Roman" w:cs="Times New Roman"/>
                <w:b/>
                <w:color w:val="000009"/>
                <w:spacing w:val="-3"/>
              </w:rPr>
              <w:t xml:space="preserve"> </w:t>
            </w:r>
            <w:r w:rsidRPr="004224F6">
              <w:rPr>
                <w:rFonts w:ascii="Times New Roman" w:hAnsi="Times New Roman" w:cs="Times New Roman"/>
                <w:b/>
                <w:color w:val="000009"/>
                <w:spacing w:val="-4"/>
              </w:rPr>
              <w:t>2009</w:t>
            </w:r>
          </w:p>
        </w:tc>
      </w:tr>
      <w:tr w:rsidR="00AB7330" w:rsidRPr="004224F6" w14:paraId="6D6AF8CB" w14:textId="77777777" w:rsidTr="00AB7330">
        <w:trPr>
          <w:trHeight w:val="359"/>
        </w:trPr>
        <w:tc>
          <w:tcPr>
            <w:tcW w:w="4530" w:type="dxa"/>
          </w:tcPr>
          <w:p w14:paraId="048EA03D" w14:textId="77777777" w:rsidR="00AB7330" w:rsidRPr="004224F6" w:rsidRDefault="00AB7330" w:rsidP="000D39AD">
            <w:pPr>
              <w:pStyle w:val="TableParagraph"/>
              <w:spacing w:before="69"/>
              <w:ind w:left="17" w:right="1133"/>
              <w:jc w:val="center"/>
              <w:rPr>
                <w:rFonts w:ascii="Times New Roman" w:hAnsi="Times New Roman" w:cs="Times New Roman"/>
              </w:rPr>
            </w:pPr>
            <w:r w:rsidRPr="004224F6">
              <w:rPr>
                <w:rFonts w:ascii="Times New Roman" w:hAnsi="Times New Roman" w:cs="Times New Roman"/>
                <w:color w:val="000009"/>
                <w:spacing w:val="-5"/>
              </w:rPr>
              <w:t>B0</w:t>
            </w:r>
          </w:p>
        </w:tc>
        <w:tc>
          <w:tcPr>
            <w:tcW w:w="4531" w:type="dxa"/>
          </w:tcPr>
          <w:p w14:paraId="6EA5E5BA" w14:textId="77777777" w:rsidR="00AB7330" w:rsidRPr="004224F6" w:rsidRDefault="00AB7330" w:rsidP="000D39AD">
            <w:pPr>
              <w:pStyle w:val="TableParagraph"/>
              <w:spacing w:before="69"/>
              <w:ind w:left="107" w:right="1133"/>
              <w:rPr>
                <w:rFonts w:ascii="Times New Roman" w:hAnsi="Times New Roman" w:cs="Times New Roman"/>
              </w:rPr>
            </w:pPr>
            <w:r w:rsidRPr="004224F6">
              <w:rPr>
                <w:rFonts w:ascii="Times New Roman" w:hAnsi="Times New Roman" w:cs="Times New Roman"/>
                <w:color w:val="000009"/>
                <w:spacing w:val="-5"/>
              </w:rPr>
              <w:t>E30</w:t>
            </w:r>
          </w:p>
        </w:tc>
      </w:tr>
      <w:tr w:rsidR="00AB7330" w:rsidRPr="004224F6" w14:paraId="08764859" w14:textId="77777777" w:rsidTr="00AB7330">
        <w:trPr>
          <w:trHeight w:val="359"/>
        </w:trPr>
        <w:tc>
          <w:tcPr>
            <w:tcW w:w="4530" w:type="dxa"/>
          </w:tcPr>
          <w:p w14:paraId="3BD77710" w14:textId="77777777" w:rsidR="00AB7330" w:rsidRPr="004224F6" w:rsidRDefault="00AB7330" w:rsidP="000D39AD">
            <w:pPr>
              <w:pStyle w:val="TableParagraph"/>
              <w:spacing w:before="69"/>
              <w:ind w:left="17" w:right="1133"/>
              <w:jc w:val="center"/>
              <w:rPr>
                <w:rFonts w:ascii="Times New Roman" w:hAnsi="Times New Roman" w:cs="Times New Roman"/>
              </w:rPr>
            </w:pPr>
            <w:r w:rsidRPr="004224F6">
              <w:rPr>
                <w:rFonts w:ascii="Times New Roman" w:hAnsi="Times New Roman" w:cs="Times New Roman"/>
                <w:color w:val="000009"/>
                <w:spacing w:val="-5"/>
              </w:rPr>
              <w:t>B15</w:t>
            </w:r>
          </w:p>
        </w:tc>
        <w:tc>
          <w:tcPr>
            <w:tcW w:w="4531" w:type="dxa"/>
          </w:tcPr>
          <w:p w14:paraId="53FF6944" w14:textId="77777777" w:rsidR="00AB7330" w:rsidRPr="004224F6" w:rsidRDefault="00AB7330" w:rsidP="000D39AD">
            <w:pPr>
              <w:pStyle w:val="TableParagraph"/>
              <w:spacing w:before="69"/>
              <w:ind w:left="107" w:right="1133"/>
              <w:rPr>
                <w:rFonts w:ascii="Times New Roman" w:hAnsi="Times New Roman" w:cs="Times New Roman"/>
                <w:lang w:val="ru-RU"/>
              </w:rPr>
            </w:pPr>
            <w:r w:rsidRPr="004224F6">
              <w:rPr>
                <w:rFonts w:ascii="Times New Roman" w:hAnsi="Times New Roman" w:cs="Times New Roman"/>
                <w:color w:val="000009"/>
                <w:lang w:val="ru-RU"/>
              </w:rPr>
              <w:t xml:space="preserve">комбинация от </w:t>
            </w:r>
            <w:r w:rsidRPr="004224F6">
              <w:rPr>
                <w:rFonts w:ascii="Times New Roman" w:hAnsi="Times New Roman" w:cs="Times New Roman"/>
                <w:color w:val="000009"/>
              </w:rPr>
              <w:t>E</w:t>
            </w:r>
            <w:r w:rsidRPr="004224F6">
              <w:rPr>
                <w:rFonts w:ascii="Times New Roman" w:hAnsi="Times New Roman" w:cs="Times New Roman"/>
                <w:color w:val="000009"/>
                <w:lang w:val="ru-RU"/>
              </w:rPr>
              <w:t xml:space="preserve">30 и </w:t>
            </w:r>
            <w:r w:rsidRPr="004224F6">
              <w:rPr>
                <w:rFonts w:ascii="Times New Roman" w:hAnsi="Times New Roman" w:cs="Times New Roman"/>
                <w:color w:val="000009"/>
              </w:rPr>
              <w:t>I</w:t>
            </w:r>
            <w:r w:rsidRPr="004224F6">
              <w:rPr>
                <w:rFonts w:ascii="Times New Roman" w:hAnsi="Times New Roman" w:cs="Times New Roman"/>
                <w:color w:val="000009"/>
                <w:lang w:val="ru-RU"/>
              </w:rPr>
              <w:t>15</w:t>
            </w:r>
          </w:p>
        </w:tc>
      </w:tr>
      <w:tr w:rsidR="00AB7330" w:rsidRPr="004224F6" w14:paraId="4CDD746E" w14:textId="77777777" w:rsidTr="00AB7330">
        <w:trPr>
          <w:trHeight w:val="361"/>
        </w:trPr>
        <w:tc>
          <w:tcPr>
            <w:tcW w:w="4530" w:type="dxa"/>
          </w:tcPr>
          <w:p w14:paraId="3CC22E5D" w14:textId="77777777" w:rsidR="00AB7330" w:rsidRPr="004224F6" w:rsidRDefault="00AB7330" w:rsidP="000D39AD">
            <w:pPr>
              <w:pStyle w:val="TableParagraph"/>
              <w:spacing w:before="71"/>
              <w:ind w:left="17" w:right="1133"/>
              <w:jc w:val="center"/>
              <w:rPr>
                <w:rFonts w:ascii="Times New Roman" w:hAnsi="Times New Roman" w:cs="Times New Roman"/>
              </w:rPr>
            </w:pPr>
            <w:r w:rsidRPr="004224F6">
              <w:rPr>
                <w:rFonts w:ascii="Times New Roman" w:hAnsi="Times New Roman" w:cs="Times New Roman"/>
                <w:color w:val="000009"/>
                <w:spacing w:val="-5"/>
              </w:rPr>
              <w:t>A0</w:t>
            </w:r>
          </w:p>
        </w:tc>
        <w:tc>
          <w:tcPr>
            <w:tcW w:w="4531" w:type="dxa"/>
          </w:tcPr>
          <w:p w14:paraId="007969D3" w14:textId="77777777" w:rsidR="00AB7330" w:rsidRPr="004224F6" w:rsidRDefault="00AB7330" w:rsidP="000D39AD">
            <w:pPr>
              <w:pStyle w:val="TableParagraph"/>
              <w:spacing w:before="71"/>
              <w:ind w:left="107" w:right="1133"/>
              <w:rPr>
                <w:rFonts w:ascii="Times New Roman" w:hAnsi="Times New Roman" w:cs="Times New Roman"/>
              </w:rPr>
            </w:pPr>
            <w:r w:rsidRPr="004224F6">
              <w:rPr>
                <w:rFonts w:ascii="Times New Roman" w:hAnsi="Times New Roman" w:cs="Times New Roman"/>
                <w:color w:val="000009"/>
                <w:spacing w:val="-5"/>
              </w:rPr>
              <w:t>E60</w:t>
            </w:r>
          </w:p>
        </w:tc>
      </w:tr>
      <w:tr w:rsidR="00AB7330" w:rsidRPr="004224F6" w14:paraId="22C1DC29" w14:textId="77777777" w:rsidTr="00AB7330">
        <w:trPr>
          <w:trHeight w:val="359"/>
        </w:trPr>
        <w:tc>
          <w:tcPr>
            <w:tcW w:w="4530" w:type="dxa"/>
          </w:tcPr>
          <w:p w14:paraId="66C88351" w14:textId="77777777" w:rsidR="00AB7330" w:rsidRPr="004224F6" w:rsidRDefault="00AB7330" w:rsidP="000D39AD">
            <w:pPr>
              <w:pStyle w:val="TableParagraph"/>
              <w:spacing w:before="69"/>
              <w:ind w:left="17" w:right="1133"/>
              <w:jc w:val="center"/>
              <w:rPr>
                <w:rFonts w:ascii="Times New Roman" w:hAnsi="Times New Roman" w:cs="Times New Roman"/>
              </w:rPr>
            </w:pPr>
            <w:r w:rsidRPr="004224F6">
              <w:rPr>
                <w:rFonts w:ascii="Times New Roman" w:hAnsi="Times New Roman" w:cs="Times New Roman"/>
                <w:color w:val="000009"/>
                <w:spacing w:val="-5"/>
              </w:rPr>
              <w:t>A30</w:t>
            </w:r>
          </w:p>
        </w:tc>
        <w:tc>
          <w:tcPr>
            <w:tcW w:w="4531" w:type="dxa"/>
          </w:tcPr>
          <w:p w14:paraId="35629A2F" w14:textId="77777777" w:rsidR="00AB7330" w:rsidRPr="004224F6" w:rsidRDefault="00AB7330" w:rsidP="000D39AD">
            <w:pPr>
              <w:pStyle w:val="TableParagraph"/>
              <w:spacing w:before="69"/>
              <w:ind w:left="107" w:right="1133"/>
              <w:rPr>
                <w:rFonts w:ascii="Times New Roman" w:hAnsi="Times New Roman" w:cs="Times New Roman"/>
                <w:lang w:val="ru-RU"/>
              </w:rPr>
            </w:pPr>
            <w:r w:rsidRPr="004224F6">
              <w:rPr>
                <w:rFonts w:ascii="Times New Roman" w:hAnsi="Times New Roman" w:cs="Times New Roman"/>
                <w:color w:val="000009"/>
                <w:lang w:val="ru-RU"/>
              </w:rPr>
              <w:t xml:space="preserve">комбинация от </w:t>
            </w:r>
            <w:r w:rsidRPr="004224F6">
              <w:rPr>
                <w:rFonts w:ascii="Times New Roman" w:hAnsi="Times New Roman" w:cs="Times New Roman"/>
                <w:color w:val="000009"/>
              </w:rPr>
              <w:t>E</w:t>
            </w:r>
            <w:r w:rsidRPr="004224F6">
              <w:rPr>
                <w:rFonts w:ascii="Times New Roman" w:hAnsi="Times New Roman" w:cs="Times New Roman"/>
                <w:color w:val="000009"/>
                <w:lang w:val="ru-RU"/>
              </w:rPr>
              <w:t xml:space="preserve">60 и </w:t>
            </w:r>
            <w:r w:rsidRPr="004224F6">
              <w:rPr>
                <w:rFonts w:ascii="Times New Roman" w:hAnsi="Times New Roman" w:cs="Times New Roman"/>
                <w:color w:val="000009"/>
              </w:rPr>
              <w:t>I</w:t>
            </w:r>
            <w:r w:rsidRPr="004224F6">
              <w:rPr>
                <w:rFonts w:ascii="Times New Roman" w:hAnsi="Times New Roman" w:cs="Times New Roman"/>
                <w:color w:val="000009"/>
                <w:lang w:val="ru-RU"/>
              </w:rPr>
              <w:t>30</w:t>
            </w:r>
          </w:p>
        </w:tc>
      </w:tr>
      <w:tr w:rsidR="00AB7330" w:rsidRPr="004224F6" w14:paraId="75992C5D" w14:textId="77777777" w:rsidTr="00AB7330">
        <w:trPr>
          <w:trHeight w:val="601"/>
        </w:trPr>
        <w:tc>
          <w:tcPr>
            <w:tcW w:w="4530" w:type="dxa"/>
          </w:tcPr>
          <w:p w14:paraId="0227D7A2" w14:textId="77777777" w:rsidR="00AB7330" w:rsidRPr="004224F6" w:rsidRDefault="00AB7330" w:rsidP="000D39AD">
            <w:pPr>
              <w:pStyle w:val="TableParagraph"/>
              <w:spacing w:before="69"/>
              <w:ind w:left="17" w:right="1133"/>
              <w:jc w:val="center"/>
              <w:rPr>
                <w:rFonts w:ascii="Times New Roman" w:hAnsi="Times New Roman" w:cs="Times New Roman"/>
              </w:rPr>
            </w:pPr>
            <w:r w:rsidRPr="004224F6">
              <w:rPr>
                <w:rFonts w:ascii="Times New Roman" w:hAnsi="Times New Roman" w:cs="Times New Roman"/>
                <w:color w:val="000009"/>
                <w:spacing w:val="-5"/>
              </w:rPr>
              <w:lastRenderedPageBreak/>
              <w:t>A60</w:t>
            </w:r>
          </w:p>
        </w:tc>
        <w:tc>
          <w:tcPr>
            <w:tcW w:w="4531" w:type="dxa"/>
          </w:tcPr>
          <w:p w14:paraId="4D8800F2" w14:textId="77777777" w:rsidR="00AB7330" w:rsidRPr="004224F6" w:rsidRDefault="00AB7330" w:rsidP="000D39AD">
            <w:pPr>
              <w:pStyle w:val="TableParagraph"/>
              <w:spacing w:before="69" w:line="249" w:lineRule="auto"/>
              <w:ind w:left="107" w:right="1133"/>
              <w:rPr>
                <w:rFonts w:ascii="Times New Roman" w:hAnsi="Times New Roman" w:cs="Times New Roman"/>
                <w:lang w:val="ru-RU"/>
              </w:rPr>
            </w:pPr>
            <w:r w:rsidRPr="004224F6">
              <w:rPr>
                <w:rFonts w:ascii="Times New Roman" w:hAnsi="Times New Roman" w:cs="Times New Roman"/>
                <w:color w:val="000009"/>
                <w:lang w:val="ru-RU"/>
              </w:rPr>
              <w:t xml:space="preserve">комбинация от </w:t>
            </w:r>
            <w:r w:rsidRPr="004224F6">
              <w:rPr>
                <w:rFonts w:ascii="Times New Roman" w:hAnsi="Times New Roman" w:cs="Times New Roman"/>
                <w:color w:val="000009"/>
              </w:rPr>
              <w:t>E</w:t>
            </w:r>
            <w:r w:rsidRPr="004224F6">
              <w:rPr>
                <w:rFonts w:ascii="Times New Roman" w:hAnsi="Times New Roman" w:cs="Times New Roman"/>
                <w:color w:val="000009"/>
                <w:lang w:val="ru-RU"/>
              </w:rPr>
              <w:t xml:space="preserve">60 и </w:t>
            </w:r>
            <w:r w:rsidRPr="004224F6">
              <w:rPr>
                <w:rFonts w:ascii="Times New Roman" w:hAnsi="Times New Roman" w:cs="Times New Roman"/>
                <w:color w:val="000009"/>
              </w:rPr>
              <w:t>I</w:t>
            </w:r>
            <w:r w:rsidRPr="004224F6">
              <w:rPr>
                <w:rFonts w:ascii="Times New Roman" w:hAnsi="Times New Roman" w:cs="Times New Roman"/>
                <w:color w:val="000009"/>
                <w:lang w:val="ru-RU"/>
              </w:rPr>
              <w:t xml:space="preserve">60 (означава </w:t>
            </w:r>
            <w:r w:rsidRPr="004224F6">
              <w:rPr>
                <w:rFonts w:ascii="Times New Roman" w:hAnsi="Times New Roman" w:cs="Times New Roman"/>
                <w:color w:val="000009"/>
              </w:rPr>
              <w:t>EI</w:t>
            </w:r>
            <w:r w:rsidRPr="004224F6">
              <w:rPr>
                <w:rFonts w:ascii="Times New Roman" w:hAnsi="Times New Roman" w:cs="Times New Roman"/>
                <w:color w:val="000009"/>
                <w:lang w:val="ru-RU"/>
              </w:rPr>
              <w:t>60)</w:t>
            </w:r>
          </w:p>
        </w:tc>
      </w:tr>
    </w:tbl>
    <w:p w14:paraId="1047E493" w14:textId="77777777" w:rsidR="00271FA2" w:rsidRPr="004224F6" w:rsidRDefault="00271FA2" w:rsidP="000D39AD">
      <w:pPr>
        <w:overflowPunct w:val="0"/>
        <w:adjustRightInd w:val="0"/>
        <w:spacing w:line="240" w:lineRule="atLeast"/>
        <w:ind w:right="1133"/>
        <w:jc w:val="both"/>
        <w:textAlignment w:val="baseline"/>
        <w:rPr>
          <w:rFonts w:ascii="Times New Roman" w:hAnsi="Times New Roman" w:cs="Times New Roman"/>
          <w:szCs w:val="20"/>
          <w:lang w:val="ru-RU"/>
        </w:rPr>
      </w:pPr>
    </w:p>
    <w:p w14:paraId="31188763" w14:textId="77777777" w:rsidR="00271FA2" w:rsidRPr="004224F6" w:rsidRDefault="00D35E51" w:rsidP="00FC52F5">
      <w:pPr>
        <w:spacing w:line="240" w:lineRule="atLeast"/>
        <w:ind w:right="1133"/>
        <w:jc w:val="both"/>
        <w:rPr>
          <w:rFonts w:ascii="Times New Roman" w:hAnsi="Times New Roman" w:cs="Times New Roman"/>
          <w:szCs w:val="20"/>
          <w:lang w:val="ru-RU"/>
        </w:rPr>
      </w:pPr>
      <w:r w:rsidRPr="004224F6">
        <w:rPr>
          <w:rFonts w:ascii="Times New Roman" w:hAnsi="Times New Roman" w:cs="Times New Roman"/>
          <w:szCs w:val="20"/>
          <w:lang w:val="ru-RU"/>
        </w:rPr>
        <w:t>Забележка 1: Целостта Е е способността на материала да издържи на излагане на огън само от едната страна, без предаване на огъня към неосветената страна в резултат на преминаването на пламъци или горещи газове.</w:t>
      </w:r>
    </w:p>
    <w:p w14:paraId="150EAC58" w14:textId="77777777" w:rsidR="00271FA2" w:rsidRPr="004224F6" w:rsidRDefault="00D35E51" w:rsidP="00FC52F5">
      <w:pPr>
        <w:spacing w:line="240" w:lineRule="atLeast"/>
        <w:ind w:right="1133"/>
        <w:jc w:val="both"/>
        <w:rPr>
          <w:rFonts w:ascii="Times New Roman" w:hAnsi="Times New Roman" w:cs="Times New Roman"/>
          <w:szCs w:val="20"/>
          <w:lang w:val="ru-RU"/>
        </w:rPr>
      </w:pPr>
      <w:r w:rsidRPr="004224F6">
        <w:rPr>
          <w:rFonts w:ascii="Times New Roman" w:hAnsi="Times New Roman" w:cs="Times New Roman"/>
          <w:szCs w:val="20"/>
          <w:lang w:val="ru-RU"/>
        </w:rPr>
        <w:t>Класификацията за цялост (</w:t>
      </w:r>
      <w:r w:rsidRPr="004224F6">
        <w:rPr>
          <w:rFonts w:ascii="Times New Roman" w:hAnsi="Times New Roman" w:cs="Times New Roman"/>
          <w:szCs w:val="20"/>
        </w:rPr>
        <w:t>E</w:t>
      </w:r>
      <w:r w:rsidRPr="004224F6">
        <w:rPr>
          <w:rFonts w:ascii="Times New Roman" w:hAnsi="Times New Roman" w:cs="Times New Roman"/>
          <w:szCs w:val="20"/>
          <w:lang w:val="ru-RU"/>
        </w:rPr>
        <w:t xml:space="preserve">) е приемлива въз основа на горната таблица. Тип А поддържа целостта за 1 час; на тази основа се приема използването на „класификацията“ </w:t>
      </w:r>
      <w:r w:rsidRPr="004224F6">
        <w:rPr>
          <w:rFonts w:ascii="Times New Roman" w:hAnsi="Times New Roman" w:cs="Times New Roman"/>
          <w:szCs w:val="20"/>
        </w:rPr>
        <w:t>E</w:t>
      </w:r>
      <w:r w:rsidRPr="004224F6">
        <w:rPr>
          <w:rFonts w:ascii="Times New Roman" w:hAnsi="Times New Roman" w:cs="Times New Roman"/>
          <w:szCs w:val="20"/>
          <w:lang w:val="ru-RU"/>
        </w:rPr>
        <w:t xml:space="preserve">60 (т.е. 60 минути). Тип </w:t>
      </w:r>
      <w:r w:rsidRPr="004224F6">
        <w:rPr>
          <w:rFonts w:ascii="Times New Roman" w:hAnsi="Times New Roman" w:cs="Times New Roman"/>
          <w:szCs w:val="20"/>
        </w:rPr>
        <w:t>B</w:t>
      </w:r>
      <w:r w:rsidRPr="004224F6">
        <w:rPr>
          <w:rFonts w:ascii="Times New Roman" w:hAnsi="Times New Roman" w:cs="Times New Roman"/>
          <w:szCs w:val="20"/>
          <w:lang w:val="ru-RU"/>
        </w:rPr>
        <w:t xml:space="preserve"> поддържа целостта за 30 минути; на тази основа се приема използването на „класификацията“ </w:t>
      </w:r>
      <w:r w:rsidRPr="004224F6">
        <w:rPr>
          <w:rFonts w:ascii="Times New Roman" w:hAnsi="Times New Roman" w:cs="Times New Roman"/>
          <w:szCs w:val="20"/>
        </w:rPr>
        <w:t>E</w:t>
      </w:r>
      <w:r w:rsidRPr="004224F6">
        <w:rPr>
          <w:rFonts w:ascii="Times New Roman" w:hAnsi="Times New Roman" w:cs="Times New Roman"/>
          <w:szCs w:val="20"/>
          <w:lang w:val="ru-RU"/>
        </w:rPr>
        <w:t>30 (т.е. 30 минути).</w:t>
      </w:r>
    </w:p>
    <w:p w14:paraId="6EF67B77" w14:textId="77F3B826" w:rsidR="00271FA2" w:rsidRPr="004224F6" w:rsidRDefault="00D35E51" w:rsidP="00FC52F5">
      <w:pPr>
        <w:ind w:right="1133"/>
        <w:jc w:val="both"/>
        <w:rPr>
          <w:rFonts w:ascii="Times New Roman" w:hAnsi="Times New Roman" w:cs="Times New Roman"/>
          <w:lang w:val="ru-RU"/>
        </w:rPr>
      </w:pPr>
      <w:r w:rsidRPr="004224F6">
        <w:rPr>
          <w:rFonts w:ascii="Times New Roman" w:hAnsi="Times New Roman" w:cs="Times New Roman"/>
          <w:lang w:val="ru-RU"/>
        </w:rPr>
        <w:t xml:space="preserve">Забележка 2: Топлоизолацията </w:t>
      </w:r>
      <w:r w:rsidRPr="004224F6">
        <w:rPr>
          <w:rFonts w:ascii="Times New Roman" w:hAnsi="Times New Roman" w:cs="Times New Roman"/>
        </w:rPr>
        <w:t>I</w:t>
      </w:r>
      <w:r w:rsidRPr="004224F6">
        <w:rPr>
          <w:rFonts w:ascii="Times New Roman" w:hAnsi="Times New Roman" w:cs="Times New Roman"/>
          <w:lang w:val="ru-RU"/>
        </w:rPr>
        <w:t xml:space="preserve"> е способността на материала да издържа на излагане на огън само от едната страна, без предаване на огън в резултат на значително пренасяне на топлина от изложената страна към неизложената страна. Класификацията за изолация (</w:t>
      </w:r>
      <w:r w:rsidRPr="004224F6">
        <w:rPr>
          <w:rFonts w:ascii="Times New Roman" w:hAnsi="Times New Roman" w:cs="Times New Roman"/>
        </w:rPr>
        <w:t>I</w:t>
      </w:r>
      <w:r w:rsidRPr="004224F6">
        <w:rPr>
          <w:rFonts w:ascii="Times New Roman" w:hAnsi="Times New Roman" w:cs="Times New Roman"/>
          <w:lang w:val="ru-RU"/>
        </w:rPr>
        <w:t>) е еквивалентна на определен период, в който изискваните температури остават в рамките на критериите (в</w:t>
      </w:r>
      <w:r w:rsidR="005F6619" w:rsidRPr="004224F6">
        <w:rPr>
          <w:rFonts w:ascii="Times New Roman" w:hAnsi="Times New Roman" w:cs="Times New Roman"/>
          <w:lang w:val="ru-RU"/>
        </w:rPr>
        <w:t>иж ч</w:t>
      </w:r>
      <w:r w:rsidRPr="004224F6">
        <w:rPr>
          <w:rFonts w:ascii="Times New Roman" w:hAnsi="Times New Roman" w:cs="Times New Roman"/>
          <w:lang w:val="ru-RU"/>
        </w:rPr>
        <w:t xml:space="preserve">лен 19.11, </w:t>
      </w:r>
      <w:r w:rsidR="0097711D" w:rsidRPr="004224F6">
        <w:rPr>
          <w:rFonts w:ascii="Times New Roman" w:hAnsi="Times New Roman" w:cs="Times New Roman"/>
          <w:lang w:val="ru-RU"/>
        </w:rPr>
        <w:t>т.</w:t>
      </w:r>
      <w:r w:rsidRPr="004224F6">
        <w:rPr>
          <w:rFonts w:ascii="Times New Roman" w:hAnsi="Times New Roman" w:cs="Times New Roman"/>
          <w:lang w:val="ru-RU"/>
        </w:rPr>
        <w:t xml:space="preserve"> 2, буква „б“ и „в“).</w:t>
      </w:r>
    </w:p>
    <w:p w14:paraId="00EB79B9" w14:textId="6ADCF5F9" w:rsidR="00FC52F5" w:rsidRPr="004224F6" w:rsidRDefault="00D35E51" w:rsidP="00FC52F5">
      <w:pPr>
        <w:spacing w:line="240" w:lineRule="atLeast"/>
        <w:ind w:right="1133"/>
        <w:jc w:val="both"/>
        <w:rPr>
          <w:rFonts w:ascii="Times New Roman" w:hAnsi="Times New Roman" w:cs="Times New Roman"/>
          <w:szCs w:val="20"/>
          <w:lang w:val="ru-RU"/>
        </w:rPr>
      </w:pPr>
      <w:r w:rsidRPr="004224F6">
        <w:rPr>
          <w:rFonts w:ascii="Times New Roman" w:hAnsi="Times New Roman" w:cs="Times New Roman"/>
          <w:szCs w:val="20"/>
          <w:lang w:val="ru-RU"/>
        </w:rPr>
        <w:t>Забележка 3: Таблицата по-горе показва минималната класификац</w:t>
      </w:r>
      <w:r w:rsidR="005F6619" w:rsidRPr="004224F6">
        <w:rPr>
          <w:rFonts w:ascii="Times New Roman" w:hAnsi="Times New Roman" w:cs="Times New Roman"/>
          <w:szCs w:val="20"/>
          <w:lang w:val="ru-RU"/>
        </w:rPr>
        <w:t>ия, изисквана съгласно серията Е</w:t>
      </w:r>
      <w:r w:rsidRPr="004224F6">
        <w:rPr>
          <w:rFonts w:ascii="Times New Roman" w:hAnsi="Times New Roman" w:cs="Times New Roman"/>
          <w:szCs w:val="20"/>
          <w:lang w:val="ru-RU"/>
        </w:rPr>
        <w:t xml:space="preserve">вропейски стандарти </w:t>
      </w:r>
      <w:r w:rsidRPr="004224F6">
        <w:rPr>
          <w:rFonts w:ascii="Times New Roman" w:hAnsi="Times New Roman" w:cs="Times New Roman"/>
          <w:szCs w:val="20"/>
        </w:rPr>
        <w:t>EN</w:t>
      </w:r>
      <w:r w:rsidRPr="004224F6">
        <w:rPr>
          <w:rFonts w:ascii="Times New Roman" w:hAnsi="Times New Roman" w:cs="Times New Roman"/>
          <w:szCs w:val="20"/>
          <w:lang w:val="ru-RU"/>
        </w:rPr>
        <w:t xml:space="preserve"> 13501. По-висока комбинация от класификация </w:t>
      </w:r>
      <w:r w:rsidRPr="004224F6">
        <w:rPr>
          <w:rFonts w:ascii="Times New Roman" w:hAnsi="Times New Roman" w:cs="Times New Roman"/>
          <w:szCs w:val="20"/>
        </w:rPr>
        <w:t>E</w:t>
      </w:r>
      <w:r w:rsidRPr="004224F6">
        <w:rPr>
          <w:rFonts w:ascii="Times New Roman" w:hAnsi="Times New Roman" w:cs="Times New Roman"/>
          <w:szCs w:val="20"/>
          <w:lang w:val="ru-RU"/>
        </w:rPr>
        <w:t xml:space="preserve"> и </w:t>
      </w:r>
      <w:r w:rsidRPr="004224F6">
        <w:rPr>
          <w:rFonts w:ascii="Times New Roman" w:hAnsi="Times New Roman" w:cs="Times New Roman"/>
          <w:szCs w:val="20"/>
        </w:rPr>
        <w:t>I</w:t>
      </w:r>
      <w:r w:rsidRPr="004224F6">
        <w:rPr>
          <w:rFonts w:ascii="Times New Roman" w:hAnsi="Times New Roman" w:cs="Times New Roman"/>
          <w:szCs w:val="20"/>
          <w:lang w:val="ru-RU"/>
        </w:rPr>
        <w:t xml:space="preserve"> също е приемлива.</w:t>
      </w:r>
    </w:p>
    <w:p w14:paraId="5386DB7B" w14:textId="77777777" w:rsidR="00A00526" w:rsidRPr="004224F6" w:rsidRDefault="00A00526">
      <w:pPr>
        <w:rPr>
          <w:rFonts w:ascii="Times New Roman" w:hAnsi="Times New Roman" w:cs="Times New Roman"/>
          <w:szCs w:val="20"/>
          <w:lang w:val="ru-RU"/>
        </w:rPr>
        <w:sectPr w:rsidR="00A00526" w:rsidRPr="004224F6" w:rsidSect="004224F6">
          <w:headerReference w:type="default" r:id="rId259"/>
          <w:footnotePr>
            <w:numRestart w:val="eachPage"/>
          </w:footnotePr>
          <w:pgSz w:w="11907" w:h="16840" w:code="9"/>
          <w:pgMar w:top="1134" w:right="1134" w:bottom="1134" w:left="1134" w:header="709" w:footer="709" w:gutter="0"/>
          <w:cols w:space="720"/>
          <w:docGrid w:linePitch="326"/>
        </w:sectPr>
      </w:pPr>
    </w:p>
    <w:p w14:paraId="5E19C83C" w14:textId="5BEC8164" w:rsidR="00AB7330" w:rsidRPr="004224F6" w:rsidRDefault="00AB7330" w:rsidP="000D39AD">
      <w:pPr>
        <w:ind w:left="720" w:right="1133"/>
        <w:jc w:val="center"/>
        <w:rPr>
          <w:rFonts w:ascii="Times New Roman" w:hAnsi="Times New Roman" w:cs="Times New Roman"/>
          <w:b/>
          <w:lang w:val="ru-RU"/>
        </w:rPr>
      </w:pPr>
      <w:r w:rsidRPr="004224F6">
        <w:rPr>
          <w:rFonts w:ascii="Times New Roman" w:hAnsi="Times New Roman" w:cs="Times New Roman"/>
          <w:b/>
        </w:rPr>
        <w:lastRenderedPageBreak/>
        <w:t>ESI</w:t>
      </w:r>
      <w:r w:rsidRPr="004224F6">
        <w:rPr>
          <w:rFonts w:ascii="Times New Roman" w:hAnsi="Times New Roman" w:cs="Times New Roman"/>
          <w:b/>
          <w:lang w:val="ru-RU"/>
        </w:rPr>
        <w:t>-</w:t>
      </w:r>
      <w:r w:rsidRPr="004224F6">
        <w:rPr>
          <w:rFonts w:ascii="Times New Roman" w:hAnsi="Times New Roman" w:cs="Times New Roman"/>
          <w:b/>
        </w:rPr>
        <w:t>III</w:t>
      </w:r>
      <w:r w:rsidRPr="004224F6">
        <w:rPr>
          <w:rFonts w:ascii="Times New Roman" w:hAnsi="Times New Roman" w:cs="Times New Roman"/>
          <w:b/>
          <w:lang w:val="ru-RU"/>
        </w:rPr>
        <w:t>-12</w:t>
      </w:r>
    </w:p>
    <w:p w14:paraId="1E2394C5" w14:textId="77777777" w:rsidR="00AB7330" w:rsidRPr="004224F6" w:rsidRDefault="00AB7330" w:rsidP="000D39AD">
      <w:pPr>
        <w:ind w:left="720" w:right="1133"/>
        <w:jc w:val="center"/>
        <w:rPr>
          <w:rFonts w:ascii="Times New Roman" w:hAnsi="Times New Roman" w:cs="Times New Roman"/>
          <w:b/>
          <w:lang w:val="ru-RU"/>
        </w:rPr>
      </w:pPr>
      <w:r w:rsidRPr="004224F6">
        <w:rPr>
          <w:rFonts w:ascii="Times New Roman" w:hAnsi="Times New Roman" w:cs="Times New Roman"/>
          <w:b/>
          <w:lang w:val="ru-RU"/>
        </w:rPr>
        <w:t>ОРГАНИЗАЦИЯ НА РЕЗЕРВОАРИ ЗА МЕТАНОЛНО ГОРИВО</w:t>
      </w:r>
    </w:p>
    <w:p w14:paraId="560EFD6A" w14:textId="4EF708E5" w:rsidR="00AB7330" w:rsidRPr="004224F6" w:rsidRDefault="00AB7330" w:rsidP="000D39AD">
      <w:pPr>
        <w:ind w:left="720" w:right="1133"/>
        <w:jc w:val="center"/>
        <w:rPr>
          <w:rFonts w:ascii="Times New Roman" w:hAnsi="Times New Roman" w:cs="Times New Roman"/>
          <w:b/>
        </w:rPr>
      </w:pPr>
      <w:r w:rsidRPr="004224F6">
        <w:rPr>
          <w:rFonts w:ascii="Times New Roman" w:hAnsi="Times New Roman" w:cs="Times New Roman"/>
          <w:b/>
        </w:rPr>
        <w:t xml:space="preserve">(Приложение 8, </w:t>
      </w:r>
      <w:r w:rsidR="00E01750" w:rsidRPr="004224F6">
        <w:rPr>
          <w:rFonts w:ascii="Times New Roman" w:hAnsi="Times New Roman" w:cs="Times New Roman"/>
          <w:b/>
        </w:rPr>
        <w:t>точка</w:t>
      </w:r>
      <w:r w:rsidRPr="004224F6">
        <w:rPr>
          <w:rFonts w:ascii="Times New Roman" w:hAnsi="Times New Roman" w:cs="Times New Roman"/>
          <w:b/>
        </w:rPr>
        <w:t xml:space="preserve">2.2.3 до </w:t>
      </w:r>
      <w:r w:rsidR="00E01750" w:rsidRPr="004224F6">
        <w:rPr>
          <w:rFonts w:ascii="Times New Roman" w:hAnsi="Times New Roman" w:cs="Times New Roman"/>
          <w:b/>
        </w:rPr>
        <w:t>точка</w:t>
      </w:r>
      <w:r w:rsidRPr="004224F6">
        <w:rPr>
          <w:rFonts w:ascii="Times New Roman" w:hAnsi="Times New Roman" w:cs="Times New Roman"/>
          <w:b/>
        </w:rPr>
        <w:t>2.2.6)</w:t>
      </w:r>
    </w:p>
    <w:p w14:paraId="181CC006" w14:textId="77777777" w:rsidR="00AB7330" w:rsidRPr="004224F6" w:rsidRDefault="00AB7330" w:rsidP="00FC52F5">
      <w:pPr>
        <w:pStyle w:val="ListParagraph"/>
        <w:widowControl w:val="0"/>
        <w:numPr>
          <w:ilvl w:val="0"/>
          <w:numId w:val="58"/>
        </w:numPr>
        <w:autoSpaceDE w:val="0"/>
        <w:autoSpaceDN w:val="0"/>
        <w:spacing w:after="240"/>
        <w:ind w:right="1133"/>
        <w:rPr>
          <w:rFonts w:ascii="Times New Roman" w:hAnsi="Times New Roman" w:cs="Times New Roman"/>
          <w:lang w:val="ru-RU"/>
        </w:rPr>
      </w:pPr>
      <w:r w:rsidRPr="004224F6">
        <w:rPr>
          <w:rFonts w:ascii="Times New Roman" w:hAnsi="Times New Roman" w:cs="Times New Roman"/>
          <w:lang w:val="ru-RU"/>
        </w:rPr>
        <w:t xml:space="preserve">Илюстрация на типично разположение на резервоара в съответствие с </w:t>
      </w:r>
      <w:r w:rsidRPr="004224F6">
        <w:rPr>
          <w:rFonts w:ascii="Times New Roman" w:hAnsi="Times New Roman" w:cs="Times New Roman"/>
        </w:rPr>
        <w:t>ES</w:t>
      </w:r>
      <w:r w:rsidRPr="004224F6">
        <w:rPr>
          <w:rFonts w:ascii="Times New Roman" w:hAnsi="Times New Roman" w:cs="Times New Roman"/>
          <w:lang w:val="ru-RU"/>
        </w:rPr>
        <w:t>-</w:t>
      </w:r>
      <w:r w:rsidRPr="004224F6">
        <w:rPr>
          <w:rFonts w:ascii="Times New Roman" w:hAnsi="Times New Roman" w:cs="Times New Roman"/>
        </w:rPr>
        <w:t>TRIN</w:t>
      </w:r>
      <w:r w:rsidRPr="004224F6">
        <w:rPr>
          <w:rFonts w:ascii="Times New Roman" w:hAnsi="Times New Roman" w:cs="Times New Roman"/>
          <w:lang w:val="ru-RU"/>
        </w:rPr>
        <w:t>, приложение 8, (2.2.3) и (2.2.4); възможни са и други конфигурации.</w:t>
      </w:r>
    </w:p>
    <w:p w14:paraId="3D899AB9" w14:textId="77777777" w:rsidR="00AB7330" w:rsidRPr="004224F6" w:rsidRDefault="00AB7330" w:rsidP="000D39AD">
      <w:pPr>
        <w:spacing w:line="240" w:lineRule="atLeast"/>
        <w:ind w:right="1133"/>
        <w:rPr>
          <w:rFonts w:ascii="Times New Roman" w:hAnsi="Times New Roman" w:cs="Times New Roman"/>
          <w:szCs w:val="20"/>
        </w:rPr>
      </w:pPr>
      <w:r w:rsidRPr="004224F6">
        <w:rPr>
          <w:rFonts w:ascii="Times New Roman" w:hAnsi="Times New Roman" w:cs="Times New Roman"/>
          <w:noProof/>
          <w:szCs w:val="20"/>
          <w:lang w:eastAsia="bg-BG"/>
        </w:rPr>
        <w:drawing>
          <wp:inline distT="0" distB="0" distL="0" distR="0" wp14:anchorId="1EE9FC35" wp14:editId="0BC9533E">
            <wp:extent cx="6048375" cy="4667050"/>
            <wp:effectExtent l="0" t="0" r="0" b="63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6071431" cy="4684841"/>
                    </a:xfrm>
                    <a:prstGeom prst="rect">
                      <a:avLst/>
                    </a:prstGeom>
                    <a:noFill/>
                  </pic:spPr>
                </pic:pic>
              </a:graphicData>
            </a:graphic>
          </wp:inline>
        </w:drawing>
      </w:r>
    </w:p>
    <w:p w14:paraId="63016F17" w14:textId="77777777" w:rsidR="00AB7330" w:rsidRPr="004224F6" w:rsidRDefault="00AB7330" w:rsidP="000D39AD">
      <w:pPr>
        <w:ind w:right="1133"/>
        <w:rPr>
          <w:rFonts w:ascii="Times New Roman" w:hAnsi="Times New Roman" w:cs="Times New Roman"/>
          <w:szCs w:val="20"/>
        </w:rPr>
      </w:pPr>
    </w:p>
    <w:p w14:paraId="490FB4EC" w14:textId="77777777" w:rsidR="00AB7330" w:rsidRPr="004224F6" w:rsidRDefault="00AB7330" w:rsidP="000D39AD">
      <w:pPr>
        <w:ind w:right="1133"/>
        <w:rPr>
          <w:rFonts w:ascii="Times New Roman" w:hAnsi="Times New Roman" w:cs="Times New Roman"/>
          <w:szCs w:val="20"/>
        </w:rPr>
      </w:pPr>
    </w:p>
    <w:p w14:paraId="7A9CAD54" w14:textId="77777777" w:rsidR="00AB7330" w:rsidRPr="004224F6" w:rsidRDefault="00AB7330" w:rsidP="000D39AD">
      <w:pPr>
        <w:ind w:right="1133"/>
        <w:rPr>
          <w:rFonts w:ascii="Times New Roman" w:hAnsi="Times New Roman" w:cs="Times New Roman"/>
          <w:szCs w:val="20"/>
        </w:rPr>
      </w:pPr>
    </w:p>
    <w:p w14:paraId="67B2696C" w14:textId="77777777" w:rsidR="00AB7330" w:rsidRPr="004224F6" w:rsidRDefault="00AB7330" w:rsidP="000D39AD">
      <w:pPr>
        <w:ind w:right="1133"/>
        <w:rPr>
          <w:rFonts w:ascii="Times New Roman" w:hAnsi="Times New Roman" w:cs="Times New Roman"/>
          <w:szCs w:val="20"/>
        </w:rPr>
      </w:pPr>
    </w:p>
    <w:p w14:paraId="42834274" w14:textId="77777777" w:rsidR="00AB7330" w:rsidRPr="004224F6" w:rsidRDefault="00AB7330" w:rsidP="000D39AD">
      <w:pPr>
        <w:ind w:right="1133"/>
        <w:rPr>
          <w:rFonts w:ascii="Times New Roman" w:hAnsi="Times New Roman" w:cs="Times New Roman"/>
          <w:szCs w:val="20"/>
        </w:rPr>
      </w:pPr>
    </w:p>
    <w:p w14:paraId="40993D66" w14:textId="77777777" w:rsidR="00AB7330" w:rsidRPr="004224F6" w:rsidRDefault="00AB7330" w:rsidP="000D39AD">
      <w:pPr>
        <w:ind w:right="1133"/>
        <w:rPr>
          <w:rFonts w:ascii="Times New Roman" w:hAnsi="Times New Roman" w:cs="Times New Roman"/>
          <w:szCs w:val="20"/>
        </w:rPr>
      </w:pPr>
    </w:p>
    <w:p w14:paraId="51D5430D" w14:textId="77777777" w:rsidR="00AB7330" w:rsidRPr="004224F6" w:rsidRDefault="00AB7330" w:rsidP="000D39AD">
      <w:pPr>
        <w:ind w:right="1133"/>
        <w:rPr>
          <w:rFonts w:ascii="Times New Roman" w:hAnsi="Times New Roman" w:cs="Times New Roman"/>
          <w:szCs w:val="20"/>
        </w:rPr>
      </w:pPr>
      <w:r w:rsidRPr="004224F6">
        <w:rPr>
          <w:rFonts w:ascii="Times New Roman" w:hAnsi="Times New Roman" w:cs="Times New Roman"/>
          <w:noProof/>
          <w:szCs w:val="20"/>
          <w:lang w:eastAsia="bg-BG"/>
        </w:rPr>
        <w:lastRenderedPageBreak/>
        <w:drawing>
          <wp:inline distT="0" distB="0" distL="0" distR="0" wp14:anchorId="0E9D3B40" wp14:editId="1572813F">
            <wp:extent cx="5838825" cy="5151755"/>
            <wp:effectExtent l="0" t="0" r="952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838825" cy="5151755"/>
                    </a:xfrm>
                    <a:prstGeom prst="rect">
                      <a:avLst/>
                    </a:prstGeom>
                    <a:noFill/>
                  </pic:spPr>
                </pic:pic>
              </a:graphicData>
            </a:graphic>
          </wp:inline>
        </w:drawing>
      </w:r>
    </w:p>
    <w:p w14:paraId="7D7A311F" w14:textId="77777777" w:rsidR="00AB7330" w:rsidRPr="004224F6" w:rsidRDefault="00AB7330" w:rsidP="000D39AD">
      <w:pPr>
        <w:ind w:right="1133"/>
        <w:rPr>
          <w:rFonts w:ascii="Times New Roman" w:hAnsi="Times New Roman" w:cs="Times New Roman"/>
          <w:szCs w:val="20"/>
        </w:rPr>
      </w:pPr>
    </w:p>
    <w:p w14:paraId="53BB6593" w14:textId="77777777" w:rsidR="00AB7330" w:rsidRPr="004224F6" w:rsidRDefault="00AB7330" w:rsidP="000D39AD">
      <w:pPr>
        <w:ind w:right="1133"/>
        <w:rPr>
          <w:rFonts w:ascii="Times New Roman" w:hAnsi="Times New Roman" w:cs="Times New Roman"/>
          <w:szCs w:val="20"/>
        </w:rPr>
      </w:pPr>
    </w:p>
    <w:p w14:paraId="5734A738" w14:textId="77777777" w:rsidR="00AB7330" w:rsidRPr="004224F6" w:rsidRDefault="00AB7330" w:rsidP="000D39AD">
      <w:pPr>
        <w:ind w:right="1133"/>
        <w:rPr>
          <w:rFonts w:ascii="Times New Roman" w:hAnsi="Times New Roman" w:cs="Times New Roman"/>
          <w:szCs w:val="20"/>
        </w:rPr>
      </w:pPr>
    </w:p>
    <w:p w14:paraId="1A0001FD" w14:textId="77777777" w:rsidR="00AB7330" w:rsidRPr="004224F6" w:rsidRDefault="00AB7330" w:rsidP="000D39AD">
      <w:pPr>
        <w:pStyle w:val="ListParagraph"/>
        <w:ind w:left="1080" w:right="1133"/>
        <w:rPr>
          <w:rFonts w:ascii="Times New Roman" w:hAnsi="Times New Roman" w:cs="Times New Roman"/>
        </w:rPr>
      </w:pPr>
    </w:p>
    <w:p w14:paraId="0D58F6F1" w14:textId="353AFBBC" w:rsidR="00AB7330" w:rsidRPr="004224F6" w:rsidRDefault="00AB7330" w:rsidP="003C19D4">
      <w:pPr>
        <w:pStyle w:val="ListParagraph"/>
        <w:numPr>
          <w:ilvl w:val="0"/>
          <w:numId w:val="58"/>
        </w:numPr>
        <w:ind w:right="1133"/>
        <w:rPr>
          <w:rFonts w:ascii="Times New Roman" w:hAnsi="Times New Roman" w:cs="Times New Roman"/>
          <w:lang w:val="ru-RU"/>
        </w:rPr>
      </w:pPr>
      <w:r w:rsidRPr="004224F6">
        <w:rPr>
          <w:rFonts w:ascii="Times New Roman" w:hAnsi="Times New Roman" w:cs="Times New Roman"/>
          <w:lang w:val="ru-RU"/>
        </w:rPr>
        <w:t xml:space="preserve">Илюстрация на типично разположение на тръбите в съответствие с </w:t>
      </w:r>
      <w:r w:rsidRPr="004224F6">
        <w:rPr>
          <w:rFonts w:ascii="Times New Roman" w:hAnsi="Times New Roman" w:cs="Times New Roman"/>
        </w:rPr>
        <w:t>ES</w:t>
      </w:r>
      <w:r w:rsidRPr="004224F6">
        <w:rPr>
          <w:rFonts w:ascii="Times New Roman" w:hAnsi="Times New Roman" w:cs="Times New Roman"/>
          <w:lang w:val="ru-RU"/>
        </w:rPr>
        <w:t>-</w:t>
      </w:r>
      <w:r w:rsidRPr="004224F6">
        <w:rPr>
          <w:rFonts w:ascii="Times New Roman" w:hAnsi="Times New Roman" w:cs="Times New Roman"/>
        </w:rPr>
        <w:t>TRIN</w:t>
      </w:r>
      <w:r w:rsidRPr="004224F6">
        <w:rPr>
          <w:rFonts w:ascii="Times New Roman" w:hAnsi="Times New Roman" w:cs="Times New Roman"/>
          <w:lang w:val="ru-RU"/>
        </w:rPr>
        <w:t>, приложение 8, (2.2.5) и (2.2.6); възможни са и други конфигурации</w:t>
      </w:r>
    </w:p>
    <w:p w14:paraId="29063F96" w14:textId="77777777" w:rsidR="00AB7330" w:rsidRPr="004224F6" w:rsidRDefault="00AB7330" w:rsidP="000D39AD">
      <w:pPr>
        <w:ind w:right="1133"/>
        <w:rPr>
          <w:rFonts w:ascii="Times New Roman" w:hAnsi="Times New Roman" w:cs="Times New Roman"/>
          <w:szCs w:val="20"/>
          <w:lang w:val="ru-RU"/>
        </w:rPr>
      </w:pPr>
    </w:p>
    <w:p w14:paraId="6FC234A2" w14:textId="77777777" w:rsidR="00AB7330" w:rsidRPr="004224F6" w:rsidRDefault="00AB7330" w:rsidP="000D39AD">
      <w:pPr>
        <w:ind w:right="1133"/>
        <w:rPr>
          <w:rFonts w:ascii="Times New Roman" w:hAnsi="Times New Roman" w:cs="Times New Roman"/>
          <w:szCs w:val="20"/>
          <w:lang w:val="ru-RU"/>
        </w:rPr>
      </w:pPr>
    </w:p>
    <w:p w14:paraId="086A0E36" w14:textId="5232D964" w:rsidR="00AB7330" w:rsidRPr="004224F6" w:rsidRDefault="00AB7330" w:rsidP="000D39AD">
      <w:pPr>
        <w:ind w:right="1133"/>
        <w:rPr>
          <w:rFonts w:ascii="Times New Roman" w:hAnsi="Times New Roman" w:cs="Times New Roman"/>
          <w:szCs w:val="20"/>
          <w:lang w:val="ru-RU"/>
        </w:rPr>
        <w:sectPr w:rsidR="00AB7330" w:rsidRPr="004224F6" w:rsidSect="004224F6">
          <w:headerReference w:type="default" r:id="rId262"/>
          <w:footnotePr>
            <w:numRestart w:val="eachPage"/>
          </w:footnotePr>
          <w:pgSz w:w="11907" w:h="16840" w:code="9"/>
          <w:pgMar w:top="1134" w:right="1134" w:bottom="1134" w:left="1134" w:header="709" w:footer="709" w:gutter="0"/>
          <w:cols w:space="720"/>
          <w:docGrid w:linePitch="326"/>
        </w:sectPr>
      </w:pPr>
      <w:r w:rsidRPr="004224F6">
        <w:rPr>
          <w:rFonts w:ascii="Times New Roman" w:hAnsi="Times New Roman" w:cs="Times New Roman"/>
          <w:noProof/>
          <w:szCs w:val="20"/>
          <w:lang w:eastAsia="bg-BG"/>
        </w:rPr>
        <w:lastRenderedPageBreak/>
        <w:drawing>
          <wp:anchor distT="0" distB="0" distL="114300" distR="114300" simplePos="0" relativeHeight="251778048" behindDoc="0" locked="0" layoutInCell="1" allowOverlap="1" wp14:anchorId="04EA5D59" wp14:editId="40A9EE96">
            <wp:simplePos x="904875" y="1209675"/>
            <wp:positionH relativeFrom="column">
              <wp:align>left</wp:align>
            </wp:positionH>
            <wp:positionV relativeFrom="paragraph">
              <wp:align>top</wp:align>
            </wp:positionV>
            <wp:extent cx="5848350" cy="5304155"/>
            <wp:effectExtent l="0" t="0" r="0" b="0"/>
            <wp:wrapSquare wrapText="bothSides"/>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848350" cy="5304155"/>
                    </a:xfrm>
                    <a:prstGeom prst="rect">
                      <a:avLst/>
                    </a:prstGeom>
                    <a:noFill/>
                  </pic:spPr>
                </pic:pic>
              </a:graphicData>
            </a:graphic>
          </wp:anchor>
        </w:drawing>
      </w:r>
      <w:r w:rsidR="00961E81" w:rsidRPr="004224F6">
        <w:rPr>
          <w:rFonts w:ascii="Times New Roman" w:hAnsi="Times New Roman" w:cs="Times New Roman"/>
          <w:szCs w:val="20"/>
          <w:lang w:val="ru-RU"/>
        </w:rPr>
        <w:br w:type="textWrapping" w:clear="all"/>
      </w:r>
    </w:p>
    <w:p w14:paraId="608C30B3" w14:textId="77777777" w:rsidR="00271FA2" w:rsidRPr="004224F6" w:rsidRDefault="00D35E51">
      <w:pPr>
        <w:pStyle w:val="ES-Titre1"/>
        <w:rPr>
          <w:rFonts w:ascii="Times New Roman" w:hAnsi="Times New Roman" w:cs="Times New Roman"/>
          <w:lang w:val="ru-RU"/>
        </w:rPr>
      </w:pPr>
      <w:bookmarkStart w:id="721" w:name="_Toc491854374"/>
      <w:bookmarkStart w:id="722" w:name="_Toc535827815"/>
      <w:r w:rsidRPr="004224F6">
        <w:rPr>
          <w:rFonts w:ascii="Times New Roman" w:hAnsi="Times New Roman" w:cs="Times New Roman"/>
          <w:lang w:val="ru-RU"/>
        </w:rPr>
        <w:lastRenderedPageBreak/>
        <w:t xml:space="preserve">ЧАСТ </w:t>
      </w:r>
      <w:r w:rsidRPr="004224F6">
        <w:rPr>
          <w:rFonts w:ascii="Times New Roman" w:hAnsi="Times New Roman" w:cs="Times New Roman"/>
        </w:rPr>
        <w:t>IV</w:t>
      </w:r>
      <w:r w:rsidRPr="004224F6">
        <w:rPr>
          <w:rFonts w:ascii="Times New Roman" w:hAnsi="Times New Roman" w:cs="Times New Roman"/>
          <w:lang w:val="ru-RU"/>
        </w:rPr>
        <w:br/>
        <w:t>ПРЕХОДНИ РАЗПОРЕДБИ</w:t>
      </w:r>
      <w:bookmarkEnd w:id="721"/>
      <w:bookmarkEnd w:id="722"/>
    </w:p>
    <w:p w14:paraId="7D353896" w14:textId="77777777" w:rsidR="00271FA2" w:rsidRPr="004224F6" w:rsidRDefault="00D35E51">
      <w:pPr>
        <w:pStyle w:val="ES-Titre2ESI"/>
        <w:rPr>
          <w:rFonts w:ascii="Times New Roman" w:hAnsi="Times New Roman" w:cs="Times New Roman"/>
          <w:lang w:val="ru-RU"/>
        </w:rPr>
      </w:pPr>
      <w:bookmarkStart w:id="723" w:name="_Toc491854375"/>
      <w:bookmarkStart w:id="724" w:name="_Toc535827816"/>
      <w:r w:rsidRPr="004224F6">
        <w:rPr>
          <w:rFonts w:ascii="Times New Roman" w:hAnsi="Times New Roman" w:cs="Times New Roman"/>
        </w:rPr>
        <w:t>ESI</w:t>
      </w:r>
      <w:r w:rsidRPr="004224F6">
        <w:rPr>
          <w:rFonts w:ascii="Times New Roman" w:hAnsi="Times New Roman" w:cs="Times New Roman"/>
          <w:lang w:val="ru-RU"/>
        </w:rPr>
        <w:t>-</w:t>
      </w:r>
      <w:r w:rsidRPr="004224F6">
        <w:rPr>
          <w:rFonts w:ascii="Times New Roman" w:hAnsi="Times New Roman" w:cs="Times New Roman"/>
        </w:rPr>
        <w:t>IV</w:t>
      </w:r>
      <w:r w:rsidRPr="004224F6">
        <w:rPr>
          <w:rFonts w:ascii="Times New Roman" w:hAnsi="Times New Roman" w:cs="Times New Roman"/>
          <w:lang w:val="ru-RU"/>
        </w:rPr>
        <w:t>-1</w:t>
      </w:r>
      <w:r w:rsidRPr="004224F6">
        <w:rPr>
          <w:rFonts w:ascii="Times New Roman" w:hAnsi="Times New Roman" w:cs="Times New Roman"/>
          <w:lang w:val="ru-RU"/>
        </w:rPr>
        <w:br/>
        <w:t>Прилагане на преходни разпоредби</w:t>
      </w:r>
      <w:bookmarkEnd w:id="723"/>
      <w:bookmarkEnd w:id="724"/>
    </w:p>
    <w:p w14:paraId="7DC8D277" w14:textId="04AFB91D" w:rsidR="00271FA2" w:rsidRPr="004224F6" w:rsidRDefault="00FC52F5" w:rsidP="00FC52F5">
      <w:pPr>
        <w:overflowPunct w:val="0"/>
        <w:adjustRightInd w:val="0"/>
        <w:spacing w:after="240" w:line="240" w:lineRule="atLeast"/>
        <w:jc w:val="center"/>
        <w:rPr>
          <w:rFonts w:ascii="Times New Roman" w:hAnsi="Times New Roman" w:cs="Times New Roman"/>
          <w:b/>
          <w:szCs w:val="20"/>
          <w:lang w:val="ru-RU"/>
        </w:rPr>
      </w:pPr>
      <w:r w:rsidRPr="004224F6">
        <w:rPr>
          <w:rFonts w:ascii="Times New Roman" w:hAnsi="Times New Roman" w:cs="Times New Roman"/>
          <w:b/>
          <w:lang w:val="ru-RU"/>
        </w:rPr>
        <w:t xml:space="preserve">(Глави 19 – </w:t>
      </w:r>
      <w:r w:rsidR="00D35E51" w:rsidRPr="004224F6">
        <w:rPr>
          <w:rFonts w:ascii="Times New Roman" w:hAnsi="Times New Roman" w:cs="Times New Roman"/>
          <w:b/>
          <w:lang w:val="ru-RU"/>
        </w:rPr>
        <w:t>30, Глава 32 и Глава 33)</w:t>
      </w:r>
    </w:p>
    <w:p w14:paraId="1C3F28BA"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1.</w:t>
      </w:r>
      <w:r w:rsidRPr="004224F6">
        <w:rPr>
          <w:rFonts w:ascii="Times New Roman" w:hAnsi="Times New Roman" w:cs="Times New Roman"/>
          <w:lang w:val="ru-RU"/>
        </w:rPr>
        <w:tab/>
      </w:r>
      <w:r w:rsidRPr="004224F6">
        <w:rPr>
          <w:rFonts w:ascii="Times New Roman" w:hAnsi="Times New Roman" w:cs="Times New Roman"/>
          <w:b/>
          <w:color w:val="000000"/>
          <w:lang w:val="ru-RU"/>
        </w:rPr>
        <w:t>Прилагане на преходни разпоредби при сглобяване на части от плавателни средства</w:t>
      </w:r>
    </w:p>
    <w:p w14:paraId="3E0A2709"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1.1</w:t>
      </w:r>
      <w:r w:rsidRPr="004224F6">
        <w:rPr>
          <w:rFonts w:ascii="Times New Roman" w:hAnsi="Times New Roman" w:cs="Times New Roman"/>
          <w:lang w:val="ru-RU"/>
        </w:rPr>
        <w:tab/>
      </w:r>
      <w:r w:rsidRPr="004224F6">
        <w:rPr>
          <w:rFonts w:ascii="Times New Roman" w:hAnsi="Times New Roman" w:cs="Times New Roman"/>
          <w:b/>
          <w:color w:val="000000"/>
          <w:lang w:val="ru-RU"/>
        </w:rPr>
        <w:t>Принципи</w:t>
      </w:r>
    </w:p>
    <w:p w14:paraId="26885857" w14:textId="77777777" w:rsidR="00271FA2" w:rsidRPr="004224F6" w:rsidRDefault="00D35E51">
      <w:pPr>
        <w:spacing w:line="240" w:lineRule="atLeast"/>
        <w:ind w:left="567"/>
        <w:jc w:val="both"/>
        <w:rPr>
          <w:rFonts w:ascii="Times New Roman" w:hAnsi="Times New Roman" w:cs="Times New Roman"/>
          <w:lang w:val="ru-RU"/>
        </w:rPr>
      </w:pPr>
      <w:r w:rsidRPr="004224F6">
        <w:rPr>
          <w:rFonts w:ascii="Times New Roman" w:hAnsi="Times New Roman" w:cs="Times New Roman"/>
          <w:lang w:val="ru-RU"/>
        </w:rPr>
        <w:t>Когато се съединяват части от различни плавателни съдове, съществуващото положение се запазва само по отношение на частите, които принадлежат към плавателния съд, притежаващ Корабно удостоверение за вътрешно корабоплаване. Преходните разпоредби следователно могат да се прилагат само за тези части. Останалите части се считат за новопостроен плавателен съд.</w:t>
      </w:r>
    </w:p>
    <w:p w14:paraId="57B1D3CD"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1.2</w:t>
      </w:r>
      <w:r w:rsidRPr="004224F6">
        <w:rPr>
          <w:rFonts w:ascii="Times New Roman" w:hAnsi="Times New Roman" w:cs="Times New Roman"/>
          <w:lang w:val="ru-RU"/>
        </w:rPr>
        <w:tab/>
      </w:r>
      <w:r w:rsidRPr="004224F6">
        <w:rPr>
          <w:rFonts w:ascii="Times New Roman" w:hAnsi="Times New Roman" w:cs="Times New Roman"/>
          <w:b/>
          <w:color w:val="000000"/>
          <w:lang w:val="ru-RU"/>
        </w:rPr>
        <w:t>Подробно прилагане на преходните разпоредби</w:t>
      </w:r>
    </w:p>
    <w:p w14:paraId="5C174347"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1.2.1</w:t>
      </w:r>
      <w:r w:rsidRPr="004224F6">
        <w:rPr>
          <w:rFonts w:ascii="Times New Roman" w:hAnsi="Times New Roman" w:cs="Times New Roman"/>
          <w:lang w:val="ru-RU"/>
        </w:rPr>
        <w:tab/>
        <w:t>Когато се съединяват части от различни плавателни съдове, преходните разпоредби могат да се прилагат само за тези части, които принадлежат към плавателния съд, притежаващ Корабно удостоверение за вътрешно корабоплаване.</w:t>
      </w:r>
    </w:p>
    <w:p w14:paraId="037CD28A"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1.2.2</w:t>
      </w:r>
      <w:r w:rsidRPr="004224F6">
        <w:rPr>
          <w:rFonts w:ascii="Times New Roman" w:hAnsi="Times New Roman" w:cs="Times New Roman"/>
          <w:lang w:val="ru-RU"/>
        </w:rPr>
        <w:tab/>
        <w:t>Частите, които не принадлежат към плавателния съд, който запазва своето удостоверение, се считат за новопостроено плавателно средство.</w:t>
      </w:r>
    </w:p>
    <w:p w14:paraId="66A5A024"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1.2.3</w:t>
      </w:r>
      <w:r w:rsidRPr="004224F6">
        <w:rPr>
          <w:rFonts w:ascii="Times New Roman" w:hAnsi="Times New Roman" w:cs="Times New Roman"/>
          <w:lang w:val="ru-RU"/>
        </w:rPr>
        <w:tab/>
        <w:t>Когато към плавателен съд се присъедини част от друг плавателен съд, първият получава Европейския идентификационен номер на плавателното средство, който запазва своето Корабно удостоверение за вътрешно корабоплаване като преобразувано плавателно средство.</w:t>
      </w:r>
    </w:p>
    <w:p w14:paraId="7AFD8521"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1.2.4</w:t>
      </w:r>
      <w:r w:rsidRPr="004224F6">
        <w:rPr>
          <w:rFonts w:ascii="Times New Roman" w:hAnsi="Times New Roman" w:cs="Times New Roman"/>
          <w:lang w:val="ru-RU"/>
        </w:rPr>
        <w:tab/>
        <w:t>Когато за преустроено плавателно средство се запазва съществуващо или се издава ново Корабно удостоверение за вътрешно корабоплаване, годината на производство на най-старата част на плавателното средство се вписва допълнително в Корабното удостоверение за вътрешно корабоплаване.</w:t>
      </w:r>
    </w:p>
    <w:p w14:paraId="6AE92D16"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1.2.5</w:t>
      </w:r>
      <w:r w:rsidRPr="004224F6">
        <w:rPr>
          <w:rFonts w:ascii="Times New Roman" w:hAnsi="Times New Roman" w:cs="Times New Roman"/>
          <w:lang w:val="ru-RU"/>
        </w:rPr>
        <w:tab/>
        <w:t>Ако към плавателно средство е добавена нова носова част, двигателят за носовото подрулващо устройство, монтиран в носовата част, трябва също да е в съответствие с настоящите изисквания.</w:t>
      </w:r>
    </w:p>
    <w:p w14:paraId="0E7386A1"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1.2.6</w:t>
      </w:r>
      <w:r w:rsidRPr="004224F6">
        <w:rPr>
          <w:rFonts w:ascii="Times New Roman" w:hAnsi="Times New Roman" w:cs="Times New Roman"/>
          <w:lang w:val="ru-RU"/>
        </w:rPr>
        <w:tab/>
        <w:t>Ако към плавателен съд е добавена нова кърмова част, двигателите, монтирани в кърмовата част, трябва също да са в съответствие с настоящите изисквания.</w:t>
      </w:r>
    </w:p>
    <w:p w14:paraId="010075AE"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1.3</w:t>
      </w:r>
      <w:r w:rsidRPr="004224F6">
        <w:rPr>
          <w:rFonts w:ascii="Times New Roman" w:hAnsi="Times New Roman" w:cs="Times New Roman"/>
          <w:lang w:val="ru-RU"/>
        </w:rPr>
        <w:tab/>
      </w:r>
      <w:r w:rsidRPr="004224F6">
        <w:rPr>
          <w:rFonts w:ascii="Times New Roman" w:hAnsi="Times New Roman" w:cs="Times New Roman"/>
          <w:b/>
          <w:color w:val="000000"/>
          <w:lang w:val="ru-RU"/>
        </w:rPr>
        <w:t xml:space="preserve">Примери </w:t>
      </w:r>
    </w:p>
    <w:p w14:paraId="09AF479E"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1.3.1</w:t>
      </w:r>
      <w:r w:rsidRPr="004224F6">
        <w:rPr>
          <w:rFonts w:ascii="Times New Roman" w:hAnsi="Times New Roman" w:cs="Times New Roman"/>
          <w:lang w:val="ru-RU"/>
        </w:rPr>
        <w:tab/>
        <w:t>Плавателен съд е сглобен от два по-стари плавателни съда (плавателен съд 1 с година на производство — 1968 г.; плавателен съд 2 с година на производство — 1972 г.). Плавателен съд 1 е използван изцяло, с изключение на носовата част; от плавателен съд 2 е използвана носовата част. Сглобеният плавателен съд получава Корабно удостоверение за вътрешно корабоплаване 1. Носовата част на сглобения плавателен съд сега трябва да разполага, наред с другото, с котвени ниши.</w:t>
      </w:r>
    </w:p>
    <w:p w14:paraId="245B1CBE"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1.3.2</w:t>
      </w:r>
      <w:r w:rsidRPr="004224F6">
        <w:rPr>
          <w:rFonts w:ascii="Times New Roman" w:hAnsi="Times New Roman" w:cs="Times New Roman"/>
          <w:lang w:val="ru-RU"/>
        </w:rPr>
        <w:tab/>
        <w:t>Плавателен съд е сглобен от два по-стари плавателни съда (плавателен съд 1 с година на производство — 1975 г.; плавателен съд 2 с година на производство — 1958 г., най-старият компонент — 1952 г.) Плавателен съд 1 е използван изцяло, с изключение на носовата част; от плавателен съд 2 е използвана носовата част. Сглобеният плавателен съд получава Корабно удостоверение за вътрешно корабоплаване 1. Носовата част на сглобения плавателен съд сега трябва да разполага, наред с другото, с котвени ниши. Най-старият компонент от оригиналния плавателен съд 2, с година на построяване — 1952 г., се вписва допълнително в Корабното удостоверение за вътрешно корабоплаване.</w:t>
      </w:r>
    </w:p>
    <w:p w14:paraId="566A67AC" w14:textId="77777777" w:rsidR="00271FA2" w:rsidRPr="004224F6" w:rsidRDefault="00D35E51">
      <w:pPr>
        <w:spacing w:line="240" w:lineRule="atLeast"/>
        <w:ind w:left="567" w:hanging="567"/>
        <w:jc w:val="both"/>
        <w:rPr>
          <w:rFonts w:ascii="Times New Roman" w:hAnsi="Times New Roman" w:cs="Times New Roman"/>
          <w:b/>
          <w:bCs/>
          <w:lang w:val="ru-RU"/>
        </w:rPr>
      </w:pPr>
      <w:r w:rsidRPr="004224F6">
        <w:rPr>
          <w:rFonts w:ascii="Times New Roman" w:hAnsi="Times New Roman" w:cs="Times New Roman"/>
          <w:lang w:val="ru-RU"/>
        </w:rPr>
        <w:t>1.3.3</w:t>
      </w:r>
      <w:r w:rsidRPr="004224F6">
        <w:rPr>
          <w:rFonts w:ascii="Times New Roman" w:hAnsi="Times New Roman" w:cs="Times New Roman"/>
          <w:lang w:val="ru-RU"/>
        </w:rPr>
        <w:tab/>
        <w:t xml:space="preserve">Кърмовата част на плавателен съд с година на производство 2001 г. се присъединява към плавателен съд с година на производство 1988 г. Двигателят на плавателния съд с година на производство 1988 г. остава на плавателния съд. В този случай двигателят трябва да получи </w:t>
      </w:r>
      <w:r w:rsidRPr="004224F6">
        <w:rPr>
          <w:rFonts w:ascii="Times New Roman" w:hAnsi="Times New Roman" w:cs="Times New Roman"/>
          <w:lang w:val="ru-RU"/>
        </w:rPr>
        <w:lastRenderedPageBreak/>
        <w:t>одобрение на типа. Ако остане двигателят от кърмовата част, произведена през 2001 г., то той също трябва да получи одобрение на типа.</w:t>
      </w:r>
    </w:p>
    <w:p w14:paraId="4B180DFC"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w:t>
      </w:r>
      <w:r w:rsidRPr="004224F6">
        <w:rPr>
          <w:rFonts w:ascii="Times New Roman" w:hAnsi="Times New Roman" w:cs="Times New Roman"/>
          <w:lang w:val="ru-RU"/>
        </w:rPr>
        <w:tab/>
      </w:r>
      <w:r w:rsidRPr="004224F6">
        <w:rPr>
          <w:rFonts w:ascii="Times New Roman" w:hAnsi="Times New Roman" w:cs="Times New Roman"/>
          <w:b/>
          <w:color w:val="000000"/>
          <w:lang w:val="ru-RU"/>
        </w:rPr>
        <w:t>Прилагане на преходни разпоредби в случай на промяна на вида на плавателното средство (предназначението на плавателното средство)</w:t>
      </w:r>
    </w:p>
    <w:p w14:paraId="74DD4C45"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2.1</w:t>
      </w:r>
      <w:r w:rsidRPr="004224F6">
        <w:rPr>
          <w:rFonts w:ascii="Times New Roman" w:hAnsi="Times New Roman" w:cs="Times New Roman"/>
          <w:lang w:val="ru-RU"/>
        </w:rPr>
        <w:tab/>
      </w:r>
      <w:r w:rsidRPr="004224F6">
        <w:rPr>
          <w:rFonts w:ascii="Times New Roman" w:hAnsi="Times New Roman" w:cs="Times New Roman"/>
          <w:b/>
          <w:color w:val="000000"/>
          <w:lang w:val="ru-RU"/>
        </w:rPr>
        <w:t>Принципи</w:t>
      </w:r>
    </w:p>
    <w:p w14:paraId="68C3D718"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2.1.1</w:t>
      </w:r>
      <w:r w:rsidRPr="004224F6">
        <w:rPr>
          <w:rFonts w:ascii="Times New Roman" w:hAnsi="Times New Roman" w:cs="Times New Roman"/>
          <w:lang w:val="ru-RU"/>
        </w:rPr>
        <w:tab/>
      </w:r>
      <w:r w:rsidRPr="004224F6">
        <w:rPr>
          <w:rFonts w:ascii="Times New Roman" w:hAnsi="Times New Roman" w:cs="Times New Roman"/>
          <w:color w:val="000000"/>
          <w:lang w:val="ru-RU"/>
        </w:rPr>
        <w:t>Във всяко решение за прилагане на преходни разпоредби в случай на промяна на вида на плавателното средство (вид плавателен съд; предназначение на плавателния съд) по отношение на настоящия стандарт водещи са съображенията за безопасност.</w:t>
      </w:r>
    </w:p>
    <w:p w14:paraId="3C1FA071"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2.1.2</w:t>
      </w:r>
      <w:r w:rsidRPr="004224F6">
        <w:rPr>
          <w:rFonts w:ascii="Times New Roman" w:hAnsi="Times New Roman" w:cs="Times New Roman"/>
          <w:lang w:val="ru-RU"/>
        </w:rPr>
        <w:tab/>
        <w:t>Това представлява промяна в типа плавателно средство, ако изискванията за безопасност, приложими към новия тип плавателно средство, са различни от тези за стария тип плавателно средство; това е така, ако специалните разпоредби на Глави19-25 и Глави 27-30 от този стандарт са приложими за новия тип плавателно средство, което не е било приложимо за стария тип плавателно средство.</w:t>
      </w:r>
    </w:p>
    <w:p w14:paraId="245AD808"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2.1.3</w:t>
      </w:r>
      <w:r w:rsidRPr="004224F6">
        <w:rPr>
          <w:rFonts w:ascii="Times New Roman" w:hAnsi="Times New Roman" w:cs="Times New Roman"/>
          <w:lang w:val="ru-RU"/>
        </w:rPr>
        <w:tab/>
        <w:t>В случай на промяна на вида на плавателното средство, всички специални разпоредби и всички изисквания, специфични за съответния вид плавателно средство, се спазват напълно; преходните разпоредби не могат да се прилагат за тези изисквания. Това важи също и за части, които са взети от съществуващи плавателни средства и попадат под действието на тези специални изисквания.</w:t>
      </w:r>
    </w:p>
    <w:p w14:paraId="4C1E8199"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2.1.4</w:t>
      </w:r>
      <w:r w:rsidRPr="004224F6">
        <w:rPr>
          <w:rFonts w:ascii="Times New Roman" w:hAnsi="Times New Roman" w:cs="Times New Roman"/>
          <w:lang w:val="ru-RU"/>
        </w:rPr>
        <w:tab/>
        <w:t>Преустройството на танкер в сухотоварен плавателен съд не представлява промяна във вида на плавателното средство съгласно определението по точка 2.1.2.</w:t>
      </w:r>
    </w:p>
    <w:p w14:paraId="495EAA7D"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2.1.5</w:t>
      </w:r>
      <w:r w:rsidRPr="004224F6">
        <w:rPr>
          <w:rFonts w:ascii="Times New Roman" w:hAnsi="Times New Roman" w:cs="Times New Roman"/>
          <w:lang w:val="ru-RU"/>
        </w:rPr>
        <w:tab/>
        <w:t>При преустройство на плавателен съд с каюти в плавателен съд за дневни пътувания, всички нови части трябва да са в пълно съответствие с актуалните изисквания.</w:t>
      </w:r>
    </w:p>
    <w:p w14:paraId="4FBF6A6E"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2.2</w:t>
      </w:r>
      <w:r w:rsidRPr="004224F6">
        <w:rPr>
          <w:rFonts w:ascii="Times New Roman" w:hAnsi="Times New Roman" w:cs="Times New Roman"/>
          <w:lang w:val="ru-RU"/>
        </w:rPr>
        <w:tab/>
      </w:r>
      <w:r w:rsidRPr="004224F6">
        <w:rPr>
          <w:rFonts w:ascii="Times New Roman" w:hAnsi="Times New Roman" w:cs="Times New Roman"/>
          <w:b/>
          <w:color w:val="000000"/>
          <w:lang w:val="ru-RU"/>
        </w:rPr>
        <w:t>Подробно прилагане на преходните разпоредби</w:t>
      </w:r>
    </w:p>
    <w:p w14:paraId="7D62E2D0"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2.2.1</w:t>
      </w:r>
      <w:r w:rsidRPr="004224F6">
        <w:rPr>
          <w:rFonts w:ascii="Times New Roman" w:hAnsi="Times New Roman" w:cs="Times New Roman"/>
          <w:lang w:val="ru-RU"/>
        </w:rPr>
        <w:tab/>
        <w:t>Член 32.02, точка 2 (НЗР), съответно член 33.02, точка 2 се прилага за обновени части на плавателното средство; следователно за новите части на плавателното средство не могат да се прилагат преходните разпоредби.</w:t>
      </w:r>
    </w:p>
    <w:p w14:paraId="55A43222" w14:textId="77777777" w:rsidR="00271FA2" w:rsidRPr="004224F6" w:rsidRDefault="00D35E51">
      <w:pPr>
        <w:spacing w:line="240" w:lineRule="atLeast"/>
        <w:ind w:left="567" w:hanging="567"/>
        <w:jc w:val="both"/>
        <w:rPr>
          <w:rFonts w:ascii="Times New Roman" w:hAnsi="Times New Roman" w:cs="Times New Roman"/>
          <w:color w:val="000000"/>
          <w:lang w:val="ru-RU"/>
        </w:rPr>
      </w:pPr>
      <w:r w:rsidRPr="004224F6">
        <w:rPr>
          <w:rFonts w:ascii="Times New Roman" w:hAnsi="Times New Roman" w:cs="Times New Roman"/>
          <w:color w:val="000000"/>
          <w:lang w:val="ru-RU"/>
        </w:rPr>
        <w:t>2.2.2</w:t>
      </w:r>
      <w:r w:rsidRPr="004224F6">
        <w:rPr>
          <w:rFonts w:ascii="Times New Roman" w:hAnsi="Times New Roman" w:cs="Times New Roman"/>
          <w:lang w:val="ru-RU"/>
        </w:rPr>
        <w:tab/>
      </w:r>
      <w:r w:rsidRPr="004224F6">
        <w:rPr>
          <w:rFonts w:ascii="Times New Roman" w:hAnsi="Times New Roman" w:cs="Times New Roman"/>
          <w:color w:val="000000"/>
          <w:lang w:val="ru-RU"/>
        </w:rPr>
        <w:t>За частите на плавателното средство, които не са преустроени, преходните разпоредби продължават да се прилагат, с изключение на частите според точка 2.1.3, второ изречение.</w:t>
      </w:r>
    </w:p>
    <w:p w14:paraId="172423D6" w14:textId="77777777" w:rsidR="00271FA2" w:rsidRPr="004224F6" w:rsidRDefault="00D35E51">
      <w:pPr>
        <w:spacing w:line="240" w:lineRule="atLeast"/>
        <w:ind w:left="567" w:hanging="567"/>
        <w:jc w:val="both"/>
        <w:rPr>
          <w:rFonts w:ascii="Times New Roman" w:hAnsi="Times New Roman" w:cs="Times New Roman"/>
          <w:color w:val="000000"/>
          <w:lang w:val="ru-RU"/>
        </w:rPr>
      </w:pPr>
      <w:r w:rsidRPr="004224F6">
        <w:rPr>
          <w:rFonts w:ascii="Times New Roman" w:hAnsi="Times New Roman" w:cs="Times New Roman"/>
          <w:color w:val="000000"/>
          <w:lang w:val="ru-RU"/>
        </w:rPr>
        <w:t>2.2.3</w:t>
      </w:r>
      <w:r w:rsidRPr="004224F6">
        <w:rPr>
          <w:rFonts w:ascii="Times New Roman" w:hAnsi="Times New Roman" w:cs="Times New Roman"/>
          <w:lang w:val="ru-RU"/>
        </w:rPr>
        <w:tab/>
      </w:r>
      <w:r w:rsidRPr="004224F6">
        <w:rPr>
          <w:rFonts w:ascii="Times New Roman" w:hAnsi="Times New Roman" w:cs="Times New Roman"/>
          <w:color w:val="000000"/>
          <w:lang w:val="ru-RU"/>
        </w:rPr>
        <w:t>Ако размерите на плавателното средство са променени, преходните разпоредби не се прилагат за частите на плавателното средство, които са засегнати от тази промяна (напр. разстояние на първата носова непроницаема преграда, надводния борд и котвата).</w:t>
      </w:r>
    </w:p>
    <w:p w14:paraId="607F8848"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2.2.4</w:t>
      </w:r>
      <w:r w:rsidRPr="004224F6">
        <w:rPr>
          <w:rFonts w:ascii="Times New Roman" w:hAnsi="Times New Roman" w:cs="Times New Roman"/>
          <w:lang w:val="ru-RU"/>
        </w:rPr>
        <w:tab/>
        <w:t xml:space="preserve">В случай на промяна на вида на плавателното средство, в сила са специалните изисквания, които се прилагат само по отношение на нов вид плавателни средства. Всички части и елементи от оборудването, които са засегнати от преустройството на плавателното средство, трябва да отговарят на настоящите изисквания съгласно части </w:t>
      </w:r>
      <w:r w:rsidRPr="004224F6">
        <w:rPr>
          <w:rFonts w:ascii="Times New Roman" w:hAnsi="Times New Roman" w:cs="Times New Roman"/>
        </w:rPr>
        <w:t>II</w:t>
      </w:r>
      <w:r w:rsidRPr="004224F6">
        <w:rPr>
          <w:rFonts w:ascii="Times New Roman" w:hAnsi="Times New Roman" w:cs="Times New Roman"/>
          <w:lang w:val="ru-RU"/>
        </w:rPr>
        <w:t xml:space="preserve"> и </w:t>
      </w:r>
      <w:r w:rsidRPr="004224F6">
        <w:rPr>
          <w:rFonts w:ascii="Times New Roman" w:hAnsi="Times New Roman" w:cs="Times New Roman"/>
        </w:rPr>
        <w:t>III</w:t>
      </w:r>
      <w:r w:rsidRPr="004224F6">
        <w:rPr>
          <w:rFonts w:ascii="Times New Roman" w:hAnsi="Times New Roman" w:cs="Times New Roman"/>
          <w:lang w:val="ru-RU"/>
        </w:rPr>
        <w:t xml:space="preserve"> от този стандарт.</w:t>
      </w:r>
    </w:p>
    <w:p w14:paraId="179C0D32"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2.2.5</w:t>
      </w:r>
      <w:r w:rsidRPr="004224F6">
        <w:rPr>
          <w:rFonts w:ascii="Times New Roman" w:hAnsi="Times New Roman" w:cs="Times New Roman"/>
          <w:lang w:val="ru-RU"/>
        </w:rPr>
        <w:tab/>
        <w:t>Тогава на плавателното средство се издава ново или изменено Корабно удостоверение за вътрешно корабоплаване, като в полета 7 и 8 на удостоверението се отбелязват както оригиналното производство, така и преустройството.</w:t>
      </w:r>
    </w:p>
    <w:p w14:paraId="58B3053D"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2.3</w:t>
      </w:r>
      <w:r w:rsidRPr="004224F6">
        <w:rPr>
          <w:rFonts w:ascii="Times New Roman" w:hAnsi="Times New Roman" w:cs="Times New Roman"/>
          <w:lang w:val="ru-RU"/>
        </w:rPr>
        <w:tab/>
      </w:r>
      <w:r w:rsidRPr="004224F6">
        <w:rPr>
          <w:rFonts w:ascii="Times New Roman" w:hAnsi="Times New Roman" w:cs="Times New Roman"/>
          <w:b/>
          <w:color w:val="000000"/>
          <w:lang w:val="ru-RU"/>
        </w:rPr>
        <w:t xml:space="preserve">Примери </w:t>
      </w:r>
    </w:p>
    <w:p w14:paraId="66DCD956"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2.3.1</w:t>
      </w:r>
      <w:r w:rsidRPr="004224F6">
        <w:rPr>
          <w:rFonts w:ascii="Times New Roman" w:hAnsi="Times New Roman" w:cs="Times New Roman"/>
          <w:lang w:val="ru-RU"/>
        </w:rPr>
        <w:tab/>
        <w:t>Товарен плавателен съд (година на производство — 1996</w:t>
      </w:r>
      <w:r w:rsidRPr="004224F6">
        <w:rPr>
          <w:rFonts w:ascii="Times New Roman" w:hAnsi="Times New Roman" w:cs="Times New Roman"/>
        </w:rPr>
        <w:t> </w:t>
      </w:r>
      <w:r w:rsidRPr="004224F6">
        <w:rPr>
          <w:rFonts w:ascii="Times New Roman" w:hAnsi="Times New Roman" w:cs="Times New Roman"/>
          <w:lang w:val="ru-RU"/>
        </w:rPr>
        <w:t>г.) е преустроен в пътнически плавателен съд. Тогава Глава 19 от настоящия стандарт се прилага за целия плавателен съд, без да се прибягва до преходни разпоредби. Ако носовата част не е изменена съгласно плановете за преустройство или съгласно Глава 19, не е необходимо плавателният съд да разполага с котвени ниши в съответствие с член 3.03.</w:t>
      </w:r>
    </w:p>
    <w:p w14:paraId="418AB2D3"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2.3.2</w:t>
      </w:r>
      <w:r w:rsidRPr="004224F6">
        <w:rPr>
          <w:rFonts w:ascii="Times New Roman" w:hAnsi="Times New Roman" w:cs="Times New Roman"/>
          <w:lang w:val="ru-RU"/>
        </w:rPr>
        <w:tab/>
        <w:t>Влекач (година на производство — 1970 г.) е преустроен в тласкач. Физическото преустройство се състои единствено в промяна на палубното оборудване и монтиране на тласкащо устройство. Всички преходни разпоредби за плавателен съд, произведен през 1970</w:t>
      </w:r>
      <w:r w:rsidRPr="004224F6">
        <w:rPr>
          <w:rFonts w:ascii="Times New Roman" w:hAnsi="Times New Roman" w:cs="Times New Roman"/>
        </w:rPr>
        <w:t> </w:t>
      </w:r>
      <w:r w:rsidRPr="004224F6">
        <w:rPr>
          <w:rFonts w:ascii="Times New Roman" w:hAnsi="Times New Roman" w:cs="Times New Roman"/>
          <w:lang w:val="ru-RU"/>
        </w:rPr>
        <w:t>г. остават приложими, освен Глави 5 и 7 (отчасти), член 13.01 и член 21.01.</w:t>
      </w:r>
    </w:p>
    <w:p w14:paraId="00FB28CA"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lastRenderedPageBreak/>
        <w:t>2.3.3</w:t>
      </w:r>
      <w:r w:rsidRPr="004224F6">
        <w:rPr>
          <w:rFonts w:ascii="Times New Roman" w:hAnsi="Times New Roman" w:cs="Times New Roman"/>
          <w:lang w:val="ru-RU"/>
        </w:rPr>
        <w:tab/>
        <w:t>Моторен танкер (година на производство — 1970 г.) е преустроен в тласкач. Физическото преустройство се състои в отделянето на носовата част от товарната част, както и в промяната на палубното оборудване и монтирането на тласкащо устройство. Всички преходни разпоредби за плавателен съд, произведен през 1970 г. остават приложими, освен разпоредбите на Глави 5 и 7 (отчасти), член 13.01 и член 21.01.</w:t>
      </w:r>
    </w:p>
    <w:p w14:paraId="3E588295"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2.3.4</w:t>
      </w:r>
      <w:r w:rsidRPr="004224F6">
        <w:rPr>
          <w:rFonts w:ascii="Times New Roman" w:hAnsi="Times New Roman" w:cs="Times New Roman"/>
          <w:lang w:val="ru-RU"/>
        </w:rPr>
        <w:tab/>
        <w:t>Моторен танкер е преустроен в моторен товарен плавателен съд. Моторният товарен плавателен съд трябва да отговаря на актуалните изисквания за безопасност на работното място и по-специално посочените в член 14.04 от Глава 14 от настоящия стандарт.</w:t>
      </w:r>
    </w:p>
    <w:p w14:paraId="6496669E"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3.</w:t>
      </w:r>
      <w:r w:rsidRPr="004224F6">
        <w:rPr>
          <w:rFonts w:ascii="Times New Roman" w:hAnsi="Times New Roman" w:cs="Times New Roman"/>
          <w:lang w:val="ru-RU"/>
        </w:rPr>
        <w:tab/>
      </w:r>
      <w:r w:rsidRPr="004224F6">
        <w:rPr>
          <w:rFonts w:ascii="Times New Roman" w:hAnsi="Times New Roman" w:cs="Times New Roman"/>
          <w:b/>
          <w:color w:val="000000"/>
          <w:lang w:val="ru-RU"/>
        </w:rPr>
        <w:t>Прилагане на преходни разпоредби в случай на преустройство на пътнически плавателни съдове</w:t>
      </w:r>
    </w:p>
    <w:p w14:paraId="78EBB48E" w14:textId="77777777" w:rsidR="00271FA2" w:rsidRPr="004224F6" w:rsidRDefault="00D35E51">
      <w:pPr>
        <w:spacing w:line="240" w:lineRule="atLeast"/>
        <w:ind w:left="567" w:hanging="567"/>
        <w:jc w:val="both"/>
        <w:rPr>
          <w:rFonts w:ascii="Times New Roman" w:hAnsi="Times New Roman" w:cs="Times New Roman"/>
          <w:b/>
          <w:color w:val="000000"/>
          <w:szCs w:val="20"/>
          <w:lang w:val="ru-RU"/>
        </w:rPr>
      </w:pPr>
      <w:r w:rsidRPr="004224F6">
        <w:rPr>
          <w:rFonts w:ascii="Times New Roman" w:hAnsi="Times New Roman" w:cs="Times New Roman"/>
          <w:b/>
          <w:color w:val="000000"/>
          <w:lang w:val="ru-RU"/>
        </w:rPr>
        <w:t>3.1</w:t>
      </w:r>
      <w:r w:rsidRPr="004224F6">
        <w:rPr>
          <w:rFonts w:ascii="Times New Roman" w:hAnsi="Times New Roman" w:cs="Times New Roman"/>
          <w:lang w:val="ru-RU"/>
        </w:rPr>
        <w:tab/>
      </w:r>
      <w:r w:rsidRPr="004224F6">
        <w:rPr>
          <w:rFonts w:ascii="Times New Roman" w:hAnsi="Times New Roman" w:cs="Times New Roman"/>
          <w:b/>
          <w:color w:val="000000"/>
          <w:lang w:val="ru-RU"/>
        </w:rPr>
        <w:t>Прилагане на преходните разпоредби</w:t>
      </w:r>
    </w:p>
    <w:p w14:paraId="057AA0C7"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3.1.1</w:t>
      </w:r>
      <w:r w:rsidRPr="004224F6">
        <w:rPr>
          <w:rFonts w:ascii="Times New Roman" w:hAnsi="Times New Roman" w:cs="Times New Roman"/>
          <w:lang w:val="ru-RU"/>
        </w:rPr>
        <w:tab/>
        <w:t>Мерките по преустройството, необходими за изпълнение на изискванията на Глава 19, без значение, кога са предприети, не представляват реконструкция „Р“ по смисъла на член 32.02, точка 2, член 32.03, точка 1 или член 32.05, точка 5, съответно на член 33.02 и член 33.03 от този стандарт.</w:t>
      </w:r>
    </w:p>
    <w:p w14:paraId="4C76A911"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3.1.2</w:t>
      </w:r>
      <w:r w:rsidRPr="004224F6">
        <w:rPr>
          <w:rFonts w:ascii="Times New Roman" w:hAnsi="Times New Roman" w:cs="Times New Roman"/>
          <w:lang w:val="ru-RU"/>
        </w:rPr>
        <w:tab/>
        <w:t>При преустройство на плавателен съд с каюти в плавателен съд за дневни пътувания, всички нови части трябва да са в пълно съответствие с актуалните изисквания.</w:t>
      </w:r>
    </w:p>
    <w:p w14:paraId="7F40C28B" w14:textId="77777777" w:rsidR="00271FA2" w:rsidRPr="004224F6" w:rsidRDefault="00D35E51">
      <w:pPr>
        <w:spacing w:line="240" w:lineRule="atLeast"/>
        <w:ind w:left="567" w:hanging="567"/>
        <w:rPr>
          <w:rFonts w:ascii="Times New Roman" w:hAnsi="Times New Roman" w:cs="Times New Roman"/>
          <w:b/>
          <w:color w:val="000000"/>
          <w:szCs w:val="20"/>
          <w:lang w:val="ru-RU"/>
        </w:rPr>
      </w:pPr>
      <w:r w:rsidRPr="004224F6">
        <w:rPr>
          <w:rFonts w:ascii="Times New Roman" w:hAnsi="Times New Roman" w:cs="Times New Roman"/>
          <w:b/>
          <w:color w:val="000000"/>
          <w:lang w:val="ru-RU"/>
        </w:rPr>
        <w:t>3.2</w:t>
      </w:r>
      <w:r w:rsidRPr="004224F6">
        <w:rPr>
          <w:rFonts w:ascii="Times New Roman" w:hAnsi="Times New Roman" w:cs="Times New Roman"/>
          <w:lang w:val="ru-RU"/>
        </w:rPr>
        <w:tab/>
      </w:r>
      <w:r w:rsidRPr="004224F6">
        <w:rPr>
          <w:rFonts w:ascii="Times New Roman" w:hAnsi="Times New Roman" w:cs="Times New Roman"/>
          <w:b/>
          <w:color w:val="000000"/>
          <w:lang w:val="ru-RU"/>
        </w:rPr>
        <w:t xml:space="preserve">Примери </w:t>
      </w:r>
    </w:p>
    <w:p w14:paraId="727458BC"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3.2.1</w:t>
      </w:r>
      <w:r w:rsidRPr="004224F6">
        <w:rPr>
          <w:rFonts w:ascii="Times New Roman" w:hAnsi="Times New Roman" w:cs="Times New Roman"/>
          <w:lang w:val="ru-RU"/>
        </w:rPr>
        <w:tab/>
        <w:t>Пътнически плавателен съд (година на производство — 1995 г.) трябва да има втора независима система за задвижване, монтирана не по-късно от 1 януари 2015 г. Ако на този пътнически плавателен съд не са проведени други непредписани преустройства, не се налага да се прави изчисление на устойчивостта в съответствие с новите изисквания, но при обективна необходимост може да се извърши изчисление на устойчивостта съгласно оригиналните изисквания за устойчивост на разпоредбите за проверка на плавателните съдове по река Рейн (</w:t>
      </w:r>
      <w:r w:rsidRPr="004224F6">
        <w:rPr>
          <w:rFonts w:ascii="Times New Roman" w:hAnsi="Times New Roman" w:cs="Times New Roman"/>
        </w:rPr>
        <w:t>RVIR</w:t>
      </w:r>
      <w:r w:rsidRPr="004224F6">
        <w:rPr>
          <w:rFonts w:ascii="Times New Roman" w:hAnsi="Times New Roman" w:cs="Times New Roman"/>
          <w:lang w:val="ru-RU"/>
        </w:rPr>
        <w:t>) или на държава членка.</w:t>
      </w:r>
    </w:p>
    <w:p w14:paraId="747D2971" w14:textId="77777777" w:rsidR="00271FA2" w:rsidRPr="004224F6" w:rsidRDefault="00D35E51">
      <w:pPr>
        <w:spacing w:line="240" w:lineRule="atLeast"/>
        <w:ind w:left="567" w:hanging="567"/>
        <w:jc w:val="both"/>
        <w:rPr>
          <w:rFonts w:ascii="Times New Roman" w:hAnsi="Times New Roman" w:cs="Times New Roman"/>
          <w:lang w:val="ru-RU"/>
        </w:rPr>
      </w:pPr>
      <w:r w:rsidRPr="004224F6">
        <w:rPr>
          <w:rFonts w:ascii="Times New Roman" w:hAnsi="Times New Roman" w:cs="Times New Roman"/>
          <w:lang w:val="ru-RU"/>
        </w:rPr>
        <w:t>3.2.2</w:t>
      </w:r>
      <w:r w:rsidRPr="004224F6">
        <w:rPr>
          <w:rFonts w:ascii="Times New Roman" w:hAnsi="Times New Roman" w:cs="Times New Roman"/>
          <w:lang w:val="ru-RU"/>
        </w:rPr>
        <w:tab/>
        <w:t xml:space="preserve">Пътнически плавателен съд (година на производство 1994 г., Корабното удостоверение за вътрешно корабоплаване е подновено последно през 2012 г.) ще бъде удължен с 10 </w:t>
      </w:r>
      <w:r w:rsidRPr="004224F6">
        <w:rPr>
          <w:rFonts w:ascii="Times New Roman" w:hAnsi="Times New Roman" w:cs="Times New Roman"/>
        </w:rPr>
        <w:t>m</w:t>
      </w:r>
      <w:r w:rsidRPr="004224F6">
        <w:rPr>
          <w:rFonts w:ascii="Times New Roman" w:hAnsi="Times New Roman" w:cs="Times New Roman"/>
          <w:lang w:val="ru-RU"/>
        </w:rPr>
        <w:t xml:space="preserve"> през 2016 г. Освен това, плавателното средство трябва да се оборудва с втора независима система за задвижване. Също така се налага ново изчисляване на устойчивостта, което трябва да се извърши в съответствие с Глава 19 за повреда в един отсек и за повреда в два отсека.</w:t>
      </w:r>
    </w:p>
    <w:p w14:paraId="22A9867D" w14:textId="7B2EDFC2" w:rsidR="00271FA2" w:rsidRPr="004224F6" w:rsidRDefault="00D35E51" w:rsidP="00FC52F5">
      <w:pPr>
        <w:spacing w:line="240" w:lineRule="atLeast"/>
        <w:ind w:left="567" w:hanging="567"/>
        <w:jc w:val="both"/>
        <w:rPr>
          <w:rFonts w:ascii="Times New Roman" w:hAnsi="Times New Roman" w:cs="Times New Roman"/>
          <w:szCs w:val="20"/>
          <w:lang w:val="ru-RU"/>
        </w:rPr>
      </w:pPr>
      <w:r w:rsidRPr="004224F6">
        <w:rPr>
          <w:rFonts w:ascii="Times New Roman" w:hAnsi="Times New Roman" w:cs="Times New Roman"/>
          <w:lang w:val="ru-RU"/>
        </w:rPr>
        <w:t>3.2.3</w:t>
      </w:r>
      <w:r w:rsidRPr="004224F6">
        <w:rPr>
          <w:rFonts w:ascii="Times New Roman" w:hAnsi="Times New Roman" w:cs="Times New Roman"/>
          <w:lang w:val="ru-RU"/>
        </w:rPr>
        <w:tab/>
        <w:t>Пътнически плавателен съд (година на производство — 1988 г.) се оборудва с по-мощна система за задвижване, включително гребни винтове. Това представлява съществено преустройство и налага изчисляване на устойчивостта. То трябва да се извърши в съответствие с актуалните изисквания.</w:t>
      </w:r>
    </w:p>
    <w:sectPr w:rsidR="00271FA2" w:rsidRPr="004224F6" w:rsidSect="004224F6">
      <w:headerReference w:type="first" r:id="rId264"/>
      <w:footnotePr>
        <w:numRestart w:val="eachPage"/>
      </w:footnotePr>
      <w:pgSz w:w="11906" w:h="16838"/>
      <w:pgMar w:top="1134" w:right="1134" w:bottom="1134" w:left="1134" w:header="709" w:footer="709"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54B73" w14:textId="77777777" w:rsidR="002C62EC" w:rsidRDefault="002C62EC">
      <w:r>
        <w:separator/>
      </w:r>
    </w:p>
  </w:endnote>
  <w:endnote w:type="continuationSeparator" w:id="0">
    <w:p w14:paraId="7D409FB0" w14:textId="77777777" w:rsidR="002C62EC" w:rsidRDefault="002C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iberation Sans">
    <w:charset w:val="01"/>
    <w:family w:val="swiss"/>
    <w:pitch w:val="default"/>
    <w:sig w:usb0="00000000" w:usb1="500078FF" w:usb2="00000021" w:usb3="00000000" w:csb0="600001BF" w:csb1="DFF70000"/>
  </w:font>
  <w:font w:name="Batang">
    <w:altName w:val="Malgun Gothic"/>
    <w:panose1 w:val="02030600000101010101"/>
    <w:charset w:val="81"/>
    <w:family w:val="auto"/>
    <w:notTrueType/>
    <w:pitch w:val="fixed"/>
    <w:sig w:usb0="00000000" w:usb1="09060000" w:usb2="00000010" w:usb3="00000000" w:csb0="00080000" w:csb1="00000000"/>
  </w:font>
  <w:font w:name="Arial Gras">
    <w:altName w:val="Arial"/>
    <w:panose1 w:val="00000000000000000000"/>
    <w:charset w:val="00"/>
    <w:family w:val="roman"/>
    <w:notTrueType/>
    <w:pitch w:val="default"/>
  </w:font>
  <w:font w:name="CG Times">
    <w:altName w:val="Times New Roman"/>
    <w:charset w:val="00"/>
    <w:family w:val="roman"/>
    <w:pitch w:val="default"/>
    <w:sig w:usb0="00000000"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G Times (W1)">
    <w:altName w:val="Times New Roman"/>
    <w:charset w:val="00"/>
    <w:family w:val="roman"/>
    <w:pitch w:val="default"/>
  </w:font>
  <w:font w:name="Times">
    <w:altName w:val="Times New Roman"/>
    <w:panose1 w:val="02020603050405020304"/>
    <w:charset w:val="CC"/>
    <w:family w:val="roman"/>
    <w:pitch w:val="default"/>
    <w:sig w:usb0="00000000" w:usb1="00000000"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EU Albertina">
    <w:altName w:val="Segoe Print"/>
    <w:charset w:val="00"/>
    <w:family w:val="roman"/>
    <w:pitch w:val="default"/>
    <w:sig w:usb0="00000000" w:usb1="00000000" w:usb2="00000000" w:usb3="00000000" w:csb0="00000001" w:csb1="00000000"/>
  </w:font>
  <w:font w:name="Arial MT">
    <w:altName w:val="Arial"/>
    <w:charset w:val="01"/>
    <w:family w:val="swiss"/>
    <w:pitch w:val="variable"/>
  </w:font>
  <w:font w:name="Cambria Math">
    <w:panose1 w:val="02040503050406030204"/>
    <w:charset w:val="CC"/>
    <w:family w:val="roman"/>
    <w:pitch w:val="variable"/>
    <w:sig w:usb0="E00006FF" w:usb1="420024FF" w:usb2="02000000" w:usb3="00000000" w:csb0="0000019F" w:csb1="00000000"/>
  </w:font>
  <w:font w:name="TimesNewRoman">
    <w:altName w:val="Yu Gothic"/>
    <w:charset w:val="80"/>
    <w:family w:val="auto"/>
    <w:pitch w:val="default"/>
    <w:sig w:usb0="00000000" w:usb1="0000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F5230" w14:textId="232503C9" w:rsidR="005551B9" w:rsidRDefault="005551B9">
    <w:pPr>
      <w:widowControl w:val="0"/>
      <w:pBdr>
        <w:top w:val="single" w:sz="6" w:space="1" w:color="auto"/>
      </w:pBdr>
      <w:tabs>
        <w:tab w:val="right" w:pos="9000"/>
      </w:tabs>
      <w:spacing w:line="240" w:lineRule="atLeast"/>
      <w:rPr>
        <w:sz w:val="16"/>
        <w:szCs w:val="16"/>
      </w:rPr>
    </w:pPr>
    <w:r>
      <w:rPr>
        <w:sz w:val="16"/>
      </w:rPr>
      <w:t>Издание 2019/1</w:t>
    </w:r>
    <w:r>
      <w:tab/>
    </w:r>
    <w:r>
      <w:rPr>
        <w:sz w:val="16"/>
      </w:rPr>
      <w:t xml:space="preserve">Страница </w:t>
    </w:r>
    <w:r>
      <w:rPr>
        <w:sz w:val="16"/>
        <w:szCs w:val="16"/>
      </w:rPr>
      <w:fldChar w:fldCharType="begin"/>
    </w:r>
    <w:r>
      <w:rPr>
        <w:sz w:val="16"/>
        <w:szCs w:val="16"/>
      </w:rPr>
      <w:instrText xml:space="preserve"> PAGE </w:instrText>
    </w:r>
    <w:r>
      <w:rPr>
        <w:sz w:val="16"/>
        <w:szCs w:val="16"/>
      </w:rPr>
      <w:fldChar w:fldCharType="separate"/>
    </w:r>
    <w:r>
      <w:rPr>
        <w:noProof/>
        <w:sz w:val="16"/>
        <w:szCs w:val="16"/>
      </w:rPr>
      <w:t>ii</w:t>
    </w:r>
    <w:r>
      <w:rPr>
        <w:sz w:val="16"/>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96DCF" w14:textId="1F026BC8" w:rsidR="005551B9" w:rsidRPr="00F57FCD" w:rsidRDefault="005551B9" w:rsidP="00AA36EC">
    <w:pPr>
      <w:widowControl w:val="0"/>
      <w:pBdr>
        <w:top w:val="single" w:sz="6" w:space="1" w:color="auto"/>
      </w:pBdr>
      <w:tabs>
        <w:tab w:val="left" w:pos="12474"/>
      </w:tabs>
      <w:spacing w:after="0" w:line="240" w:lineRule="auto"/>
      <w:rPr>
        <w:rFonts w:ascii="Times New Roman" w:hAnsi="Times New Roman" w:cs="Times New Roman"/>
        <w:sz w:val="20"/>
        <w:szCs w:val="20"/>
      </w:rPr>
    </w:pPr>
    <w:r w:rsidRPr="00391CB2">
      <w:rPr>
        <w:rFonts w:ascii="Times New Roman" w:hAnsi="Times New Roman" w:cs="Times New Roman"/>
        <w:sz w:val="20"/>
        <w:szCs w:val="20"/>
      </w:rPr>
      <w:t>Издание 2025/1</w:t>
    </w:r>
    <w:r w:rsidRPr="00391CB2">
      <w:rPr>
        <w:rFonts w:ascii="Times New Roman" w:hAnsi="Times New Roman" w:cs="Times New Roman"/>
        <w:sz w:val="20"/>
        <w:szCs w:val="20"/>
      </w:rPr>
      <w:tab/>
      <w:t xml:space="preserve">Страница </w:t>
    </w:r>
    <w:r w:rsidRPr="00391CB2">
      <w:rPr>
        <w:rFonts w:ascii="Times New Roman" w:hAnsi="Times New Roman" w:cs="Times New Roman"/>
        <w:sz w:val="20"/>
        <w:szCs w:val="20"/>
      </w:rPr>
      <w:fldChar w:fldCharType="begin"/>
    </w:r>
    <w:r w:rsidRPr="00391CB2">
      <w:rPr>
        <w:rFonts w:ascii="Times New Roman" w:hAnsi="Times New Roman" w:cs="Times New Roman"/>
        <w:sz w:val="20"/>
        <w:szCs w:val="20"/>
      </w:rPr>
      <w:instrText xml:space="preserve"> PAGE </w:instrText>
    </w:r>
    <w:r w:rsidRPr="00391CB2">
      <w:rPr>
        <w:rFonts w:ascii="Times New Roman" w:hAnsi="Times New Roman" w:cs="Times New Roman"/>
        <w:sz w:val="20"/>
        <w:szCs w:val="20"/>
      </w:rPr>
      <w:fldChar w:fldCharType="separate"/>
    </w:r>
    <w:r w:rsidR="00B0395E">
      <w:rPr>
        <w:rFonts w:ascii="Times New Roman" w:hAnsi="Times New Roman" w:cs="Times New Roman"/>
        <w:noProof/>
        <w:sz w:val="20"/>
        <w:szCs w:val="20"/>
      </w:rPr>
      <w:t>340</w:t>
    </w:r>
    <w:r w:rsidRPr="00391CB2">
      <w:rPr>
        <w:rFonts w:ascii="Times New Roman" w:hAnsi="Times New Roman" w:cs="Times New Roman"/>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06606" w14:textId="12CF615C" w:rsidR="005551B9" w:rsidRPr="002378FC" w:rsidRDefault="005551B9" w:rsidP="00E70395">
    <w:pPr>
      <w:widowControl w:val="0"/>
      <w:pBdr>
        <w:top w:val="single" w:sz="6" w:space="1" w:color="auto"/>
      </w:pBdr>
      <w:tabs>
        <w:tab w:val="left" w:pos="8448"/>
      </w:tabs>
      <w:spacing w:after="0" w:line="240" w:lineRule="auto"/>
      <w:rPr>
        <w:rFonts w:ascii="Times New Roman" w:hAnsi="Times New Roman" w:cs="Times New Roman"/>
        <w:sz w:val="20"/>
        <w:szCs w:val="20"/>
      </w:rPr>
    </w:pPr>
    <w:r w:rsidRPr="002548D9">
      <w:rPr>
        <w:rFonts w:ascii="Times New Roman" w:hAnsi="Times New Roman" w:cs="Times New Roman"/>
        <w:sz w:val="20"/>
        <w:szCs w:val="20"/>
        <w:highlight w:val="yellow"/>
      </w:rPr>
      <w:t>Издание 2025/1</w:t>
    </w:r>
    <w:r w:rsidRPr="002548D9">
      <w:rPr>
        <w:rFonts w:ascii="Times New Roman" w:hAnsi="Times New Roman" w:cs="Times New Roman"/>
        <w:sz w:val="20"/>
        <w:szCs w:val="20"/>
        <w:highlight w:val="yellow"/>
      </w:rPr>
      <w:tab/>
      <w:t xml:space="preserve">Страница </w:t>
    </w:r>
    <w:r w:rsidRPr="002548D9">
      <w:rPr>
        <w:rFonts w:ascii="Times New Roman" w:hAnsi="Times New Roman" w:cs="Times New Roman"/>
        <w:sz w:val="20"/>
        <w:szCs w:val="20"/>
        <w:highlight w:val="yellow"/>
      </w:rPr>
      <w:fldChar w:fldCharType="begin"/>
    </w:r>
    <w:r w:rsidRPr="002548D9">
      <w:rPr>
        <w:rFonts w:ascii="Times New Roman" w:hAnsi="Times New Roman" w:cs="Times New Roman"/>
        <w:sz w:val="20"/>
        <w:szCs w:val="20"/>
        <w:highlight w:val="yellow"/>
      </w:rPr>
      <w:instrText xml:space="preserve"> PAGE </w:instrText>
    </w:r>
    <w:r w:rsidRPr="002548D9">
      <w:rPr>
        <w:rFonts w:ascii="Times New Roman" w:hAnsi="Times New Roman" w:cs="Times New Roman"/>
        <w:sz w:val="20"/>
        <w:szCs w:val="20"/>
        <w:highlight w:val="yellow"/>
      </w:rPr>
      <w:fldChar w:fldCharType="separate"/>
    </w:r>
    <w:r w:rsidR="00B0395E">
      <w:rPr>
        <w:rFonts w:ascii="Times New Roman" w:hAnsi="Times New Roman" w:cs="Times New Roman"/>
        <w:noProof/>
        <w:sz w:val="20"/>
        <w:szCs w:val="20"/>
        <w:highlight w:val="yellow"/>
      </w:rPr>
      <w:t>346</w:t>
    </w:r>
    <w:r w:rsidRPr="002548D9">
      <w:rPr>
        <w:rFonts w:ascii="Times New Roman" w:hAnsi="Times New Roman" w:cs="Times New Roman"/>
        <w:sz w:val="20"/>
        <w:szCs w:val="20"/>
        <w:highlight w:val="yellow"/>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BE0C0" w14:textId="1D33C3B6" w:rsidR="005551B9" w:rsidRPr="00054177" w:rsidRDefault="005551B9" w:rsidP="00054177">
    <w:pPr>
      <w:widowControl w:val="0"/>
      <w:pBdr>
        <w:top w:val="single" w:sz="6" w:space="1" w:color="auto"/>
      </w:pBdr>
      <w:tabs>
        <w:tab w:val="left" w:pos="8448"/>
      </w:tabs>
      <w:spacing w:after="0" w:line="240" w:lineRule="auto"/>
      <w:rPr>
        <w:rFonts w:ascii="Times New Roman" w:hAnsi="Times New Roman" w:cs="Times New Roman"/>
        <w:sz w:val="20"/>
        <w:szCs w:val="20"/>
      </w:rPr>
    </w:pPr>
    <w:r w:rsidRPr="00054177">
      <w:rPr>
        <w:rFonts w:ascii="Times New Roman" w:hAnsi="Times New Roman" w:cs="Times New Roman"/>
        <w:sz w:val="20"/>
        <w:szCs w:val="20"/>
      </w:rPr>
      <w:t>Издание 2025/1</w:t>
    </w:r>
    <w:r w:rsidRPr="00054177">
      <w:rPr>
        <w:rFonts w:ascii="Times New Roman" w:hAnsi="Times New Roman" w:cs="Times New Roman"/>
        <w:sz w:val="20"/>
        <w:szCs w:val="20"/>
      </w:rPr>
      <w:tab/>
      <w:t xml:space="preserve">Страница </w:t>
    </w:r>
    <w:r w:rsidRPr="00054177">
      <w:rPr>
        <w:rFonts w:ascii="Times New Roman" w:hAnsi="Times New Roman" w:cs="Times New Roman"/>
        <w:sz w:val="20"/>
        <w:szCs w:val="20"/>
      </w:rPr>
      <w:fldChar w:fldCharType="begin"/>
    </w:r>
    <w:r w:rsidRPr="00054177">
      <w:rPr>
        <w:rFonts w:ascii="Times New Roman" w:hAnsi="Times New Roman" w:cs="Times New Roman"/>
        <w:sz w:val="20"/>
        <w:szCs w:val="20"/>
      </w:rPr>
      <w:instrText xml:space="preserve"> PAGE </w:instrText>
    </w:r>
    <w:r w:rsidRPr="00054177">
      <w:rPr>
        <w:rFonts w:ascii="Times New Roman" w:hAnsi="Times New Roman" w:cs="Times New Roman"/>
        <w:sz w:val="20"/>
        <w:szCs w:val="20"/>
      </w:rPr>
      <w:fldChar w:fldCharType="separate"/>
    </w:r>
    <w:r w:rsidR="00B0395E">
      <w:rPr>
        <w:rFonts w:ascii="Times New Roman" w:hAnsi="Times New Roman" w:cs="Times New Roman"/>
        <w:noProof/>
        <w:sz w:val="20"/>
        <w:szCs w:val="20"/>
      </w:rPr>
      <w:t>373</w:t>
    </w:r>
    <w:r w:rsidRPr="00054177">
      <w:rPr>
        <w:rFonts w:ascii="Times New Roman" w:hAnsi="Times New Roman" w:cs="Times New Roman"/>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F0DA3" w14:textId="2CD5B142" w:rsidR="005551B9" w:rsidRPr="0065411C" w:rsidRDefault="005551B9">
    <w:pPr>
      <w:widowControl w:val="0"/>
      <w:pBdr>
        <w:top w:val="single" w:sz="6" w:space="1" w:color="auto"/>
      </w:pBdr>
      <w:tabs>
        <w:tab w:val="right" w:pos="9000"/>
      </w:tabs>
      <w:spacing w:line="240" w:lineRule="atLeast"/>
      <w:rPr>
        <w:rFonts w:ascii="Times New Roman" w:hAnsi="Times New Roman" w:cs="Times New Roman"/>
        <w:sz w:val="20"/>
        <w:szCs w:val="20"/>
      </w:rPr>
    </w:pPr>
    <w:r w:rsidRPr="0065411C">
      <w:rPr>
        <w:rFonts w:ascii="Times New Roman" w:hAnsi="Times New Roman" w:cs="Times New Roman"/>
        <w:sz w:val="20"/>
        <w:szCs w:val="20"/>
      </w:rPr>
      <w:t>Издание 2025/1</w:t>
    </w:r>
    <w:r w:rsidRPr="0065411C">
      <w:rPr>
        <w:rFonts w:ascii="Times New Roman" w:hAnsi="Times New Roman" w:cs="Times New Roman"/>
        <w:sz w:val="20"/>
        <w:szCs w:val="20"/>
      </w:rPr>
      <w:tab/>
      <w:t xml:space="preserve">Страница </w:t>
    </w:r>
    <w:r w:rsidRPr="0065411C">
      <w:rPr>
        <w:rFonts w:ascii="Times New Roman" w:hAnsi="Times New Roman" w:cs="Times New Roman"/>
        <w:sz w:val="20"/>
        <w:szCs w:val="20"/>
      </w:rPr>
      <w:fldChar w:fldCharType="begin"/>
    </w:r>
    <w:r w:rsidRPr="0065411C">
      <w:rPr>
        <w:rFonts w:ascii="Times New Roman" w:hAnsi="Times New Roman" w:cs="Times New Roman"/>
        <w:sz w:val="20"/>
        <w:szCs w:val="20"/>
      </w:rPr>
      <w:instrText xml:space="preserve"> PAGE </w:instrText>
    </w:r>
    <w:r w:rsidRPr="0065411C">
      <w:rPr>
        <w:rFonts w:ascii="Times New Roman" w:hAnsi="Times New Roman" w:cs="Times New Roman"/>
        <w:sz w:val="20"/>
        <w:szCs w:val="20"/>
      </w:rPr>
      <w:fldChar w:fldCharType="separate"/>
    </w:r>
    <w:r w:rsidR="00B0395E">
      <w:rPr>
        <w:rFonts w:ascii="Times New Roman" w:hAnsi="Times New Roman" w:cs="Times New Roman"/>
        <w:noProof/>
        <w:sz w:val="20"/>
        <w:szCs w:val="20"/>
      </w:rPr>
      <w:t>375</w:t>
    </w:r>
    <w:r w:rsidRPr="0065411C">
      <w:rPr>
        <w:rFonts w:ascii="Times New Roman" w:hAnsi="Times New Roman" w:cs="Times New Roman"/>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80FA3" w14:textId="0C3B26B7" w:rsidR="005551B9" w:rsidRPr="00ED7AAD" w:rsidRDefault="005551B9" w:rsidP="00ED7AAD">
    <w:pPr>
      <w:widowControl w:val="0"/>
      <w:pBdr>
        <w:top w:val="single" w:sz="6" w:space="1" w:color="auto"/>
      </w:pBdr>
      <w:tabs>
        <w:tab w:val="left" w:pos="8448"/>
      </w:tabs>
      <w:spacing w:after="0" w:line="240" w:lineRule="auto"/>
      <w:rPr>
        <w:rFonts w:ascii="Times New Roman" w:hAnsi="Times New Roman" w:cs="Times New Roman"/>
        <w:sz w:val="20"/>
        <w:szCs w:val="20"/>
      </w:rPr>
    </w:pPr>
    <w:r w:rsidRPr="00600DF2">
      <w:rPr>
        <w:rFonts w:ascii="Times New Roman" w:hAnsi="Times New Roman" w:cs="Times New Roman"/>
        <w:sz w:val="20"/>
        <w:szCs w:val="20"/>
      </w:rPr>
      <w:t>Издание 2025/1</w:t>
    </w:r>
    <w:r w:rsidRPr="00600DF2">
      <w:rPr>
        <w:rFonts w:ascii="Times New Roman" w:hAnsi="Times New Roman" w:cs="Times New Roman"/>
        <w:sz w:val="20"/>
        <w:szCs w:val="20"/>
      </w:rPr>
      <w:tab/>
      <w:t xml:space="preserve">Страница </w:t>
    </w:r>
    <w:r w:rsidRPr="00600DF2">
      <w:rPr>
        <w:rFonts w:ascii="Times New Roman" w:hAnsi="Times New Roman" w:cs="Times New Roman"/>
        <w:sz w:val="20"/>
        <w:szCs w:val="20"/>
      </w:rPr>
      <w:fldChar w:fldCharType="begin"/>
    </w:r>
    <w:r w:rsidRPr="00600DF2">
      <w:rPr>
        <w:rFonts w:ascii="Times New Roman" w:hAnsi="Times New Roman" w:cs="Times New Roman"/>
        <w:sz w:val="20"/>
        <w:szCs w:val="20"/>
      </w:rPr>
      <w:instrText xml:space="preserve"> PAGE </w:instrText>
    </w:r>
    <w:r w:rsidRPr="00600DF2">
      <w:rPr>
        <w:rFonts w:ascii="Times New Roman" w:hAnsi="Times New Roman" w:cs="Times New Roman"/>
        <w:sz w:val="20"/>
        <w:szCs w:val="20"/>
      </w:rPr>
      <w:fldChar w:fldCharType="separate"/>
    </w:r>
    <w:r w:rsidR="00B0395E">
      <w:rPr>
        <w:rFonts w:ascii="Times New Roman" w:hAnsi="Times New Roman" w:cs="Times New Roman"/>
        <w:noProof/>
        <w:sz w:val="20"/>
        <w:szCs w:val="20"/>
      </w:rPr>
      <w:t>390</w:t>
    </w:r>
    <w:r w:rsidRPr="00600DF2">
      <w:rPr>
        <w:rFonts w:ascii="Times New Roman" w:hAnsi="Times New Roman" w:cs="Times New Roman"/>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63DB" w14:textId="77777777" w:rsidR="005551B9" w:rsidRDefault="005551B9"/>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E5B96" w14:textId="29FB7A0D" w:rsidR="005551B9" w:rsidRPr="00403FEA" w:rsidRDefault="005551B9">
    <w:pPr>
      <w:widowControl w:val="0"/>
      <w:pBdr>
        <w:top w:val="single" w:sz="6" w:space="1" w:color="auto"/>
      </w:pBdr>
      <w:tabs>
        <w:tab w:val="right" w:pos="13892"/>
      </w:tabs>
      <w:spacing w:line="240" w:lineRule="atLeast"/>
      <w:rPr>
        <w:rFonts w:ascii="Times New Roman" w:hAnsi="Times New Roman" w:cs="Times New Roman"/>
        <w:sz w:val="20"/>
        <w:szCs w:val="20"/>
      </w:rPr>
    </w:pPr>
    <w:r w:rsidRPr="00403FEA">
      <w:rPr>
        <w:rFonts w:ascii="Times New Roman" w:hAnsi="Times New Roman" w:cs="Times New Roman"/>
        <w:sz w:val="20"/>
        <w:szCs w:val="20"/>
      </w:rPr>
      <w:t>Издание 2025/1</w:t>
    </w:r>
    <w:r w:rsidRPr="00403FEA">
      <w:rPr>
        <w:rFonts w:ascii="Times New Roman" w:hAnsi="Times New Roman" w:cs="Times New Roman"/>
        <w:sz w:val="20"/>
        <w:szCs w:val="20"/>
      </w:rPr>
      <w:tab/>
      <w:t xml:space="preserve">Страница </w:t>
    </w:r>
    <w:r w:rsidRPr="00403FEA">
      <w:rPr>
        <w:rFonts w:ascii="Times New Roman" w:hAnsi="Times New Roman" w:cs="Times New Roman"/>
        <w:sz w:val="20"/>
        <w:szCs w:val="20"/>
      </w:rPr>
      <w:fldChar w:fldCharType="begin"/>
    </w:r>
    <w:r w:rsidRPr="00403FEA">
      <w:rPr>
        <w:rFonts w:ascii="Times New Roman" w:hAnsi="Times New Roman" w:cs="Times New Roman"/>
        <w:sz w:val="20"/>
        <w:szCs w:val="20"/>
      </w:rPr>
      <w:instrText xml:space="preserve"> PAGE </w:instrText>
    </w:r>
    <w:r w:rsidRPr="00403FEA">
      <w:rPr>
        <w:rFonts w:ascii="Times New Roman" w:hAnsi="Times New Roman" w:cs="Times New Roman"/>
        <w:sz w:val="20"/>
        <w:szCs w:val="20"/>
      </w:rPr>
      <w:fldChar w:fldCharType="separate"/>
    </w:r>
    <w:r w:rsidR="00B0395E">
      <w:rPr>
        <w:rFonts w:ascii="Times New Roman" w:hAnsi="Times New Roman" w:cs="Times New Roman"/>
        <w:noProof/>
        <w:sz w:val="20"/>
        <w:szCs w:val="20"/>
      </w:rPr>
      <w:t>391</w:t>
    </w:r>
    <w:r w:rsidRPr="00403FEA">
      <w:rPr>
        <w:rFonts w:ascii="Times New Roman" w:hAnsi="Times New Roman" w:cs="Times New Roman"/>
        <w:sz w:val="20"/>
        <w:szCs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2ABB9" w14:textId="77777777" w:rsidR="005551B9" w:rsidRDefault="005551B9"/>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8FE8F" w14:textId="77777777" w:rsidR="005551B9" w:rsidRDefault="005551B9"/>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BE850" w14:textId="5B8C6B0C" w:rsidR="005551B9" w:rsidRPr="00EB185C" w:rsidRDefault="005551B9">
    <w:pPr>
      <w:widowControl w:val="0"/>
      <w:pBdr>
        <w:top w:val="single" w:sz="6" w:space="1" w:color="auto"/>
      </w:pBdr>
      <w:tabs>
        <w:tab w:val="right" w:pos="9000"/>
      </w:tabs>
      <w:spacing w:line="240" w:lineRule="atLeast"/>
      <w:rPr>
        <w:rFonts w:ascii="Times New Roman" w:hAnsi="Times New Roman" w:cs="Times New Roman"/>
        <w:sz w:val="20"/>
        <w:szCs w:val="20"/>
      </w:rPr>
    </w:pPr>
    <w:r w:rsidRPr="00EB185C">
      <w:rPr>
        <w:rFonts w:ascii="Times New Roman" w:hAnsi="Times New Roman" w:cs="Times New Roman"/>
        <w:sz w:val="20"/>
        <w:szCs w:val="20"/>
      </w:rPr>
      <w:t>Издание 2025/1</w:t>
    </w:r>
    <w:r w:rsidRPr="00EB185C">
      <w:rPr>
        <w:rFonts w:ascii="Times New Roman" w:hAnsi="Times New Roman" w:cs="Times New Roman"/>
        <w:sz w:val="20"/>
        <w:szCs w:val="20"/>
      </w:rPr>
      <w:tab/>
      <w:t xml:space="preserve">Страница </w:t>
    </w:r>
    <w:r w:rsidRPr="00EB185C">
      <w:rPr>
        <w:rFonts w:ascii="Times New Roman" w:hAnsi="Times New Roman" w:cs="Times New Roman"/>
        <w:sz w:val="20"/>
        <w:szCs w:val="20"/>
      </w:rPr>
      <w:fldChar w:fldCharType="begin"/>
    </w:r>
    <w:r w:rsidRPr="00EB185C">
      <w:rPr>
        <w:rFonts w:ascii="Times New Roman" w:hAnsi="Times New Roman" w:cs="Times New Roman"/>
        <w:sz w:val="20"/>
        <w:szCs w:val="20"/>
      </w:rPr>
      <w:instrText xml:space="preserve"> PAGE </w:instrText>
    </w:r>
    <w:r w:rsidRPr="00EB185C">
      <w:rPr>
        <w:rFonts w:ascii="Times New Roman" w:hAnsi="Times New Roman" w:cs="Times New Roman"/>
        <w:sz w:val="20"/>
        <w:szCs w:val="20"/>
      </w:rPr>
      <w:fldChar w:fldCharType="separate"/>
    </w:r>
    <w:r w:rsidR="00B0395E">
      <w:rPr>
        <w:rFonts w:ascii="Times New Roman" w:hAnsi="Times New Roman" w:cs="Times New Roman"/>
        <w:noProof/>
        <w:sz w:val="20"/>
        <w:szCs w:val="20"/>
      </w:rPr>
      <w:t>392</w:t>
    </w:r>
    <w:r w:rsidRPr="00EB185C">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5B32A" w14:textId="64A06A21" w:rsidR="005551B9" w:rsidRPr="008A3C2F" w:rsidRDefault="005551B9" w:rsidP="008A3C2F">
    <w:pPr>
      <w:widowControl w:val="0"/>
      <w:pBdr>
        <w:top w:val="single" w:sz="6" w:space="1" w:color="auto"/>
      </w:pBdr>
      <w:tabs>
        <w:tab w:val="right" w:pos="9000"/>
      </w:tabs>
      <w:spacing w:after="0" w:line="240" w:lineRule="auto"/>
      <w:rPr>
        <w:rFonts w:ascii="Times New Roman" w:hAnsi="Times New Roman" w:cs="Times New Roman"/>
        <w:sz w:val="20"/>
        <w:szCs w:val="20"/>
      </w:rPr>
    </w:pPr>
    <w:r w:rsidRPr="008A3C2F">
      <w:rPr>
        <w:rFonts w:ascii="Times New Roman" w:hAnsi="Times New Roman" w:cs="Times New Roman"/>
        <w:sz w:val="20"/>
        <w:szCs w:val="20"/>
      </w:rPr>
      <w:t>Издание 2025/1</w:t>
    </w:r>
    <w:r w:rsidRPr="008A3C2F">
      <w:rPr>
        <w:rFonts w:ascii="Times New Roman" w:hAnsi="Times New Roman" w:cs="Times New Roman"/>
        <w:sz w:val="20"/>
        <w:szCs w:val="20"/>
      </w:rPr>
      <w:tab/>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9E0B7" w14:textId="77777777" w:rsidR="005551B9" w:rsidRDefault="005551B9"/>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F3A4" w14:textId="77777777" w:rsidR="005551B9" w:rsidRDefault="005551B9"/>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CCA72" w14:textId="2AE152FB" w:rsidR="005551B9" w:rsidRPr="00B5510A" w:rsidRDefault="005551B9">
    <w:pPr>
      <w:widowControl w:val="0"/>
      <w:pBdr>
        <w:top w:val="single" w:sz="6" w:space="1" w:color="auto"/>
      </w:pBdr>
      <w:tabs>
        <w:tab w:val="right" w:pos="13892"/>
      </w:tabs>
      <w:spacing w:line="240" w:lineRule="atLeast"/>
      <w:rPr>
        <w:rFonts w:ascii="Times New Roman" w:hAnsi="Times New Roman" w:cs="Times New Roman"/>
        <w:sz w:val="20"/>
        <w:szCs w:val="20"/>
      </w:rPr>
    </w:pPr>
    <w:r w:rsidRPr="00B5510A">
      <w:rPr>
        <w:rFonts w:ascii="Times New Roman" w:hAnsi="Times New Roman" w:cs="Times New Roman"/>
        <w:sz w:val="20"/>
        <w:szCs w:val="20"/>
      </w:rPr>
      <w:t>Издание 2025/1</w:t>
    </w:r>
    <w:r w:rsidRPr="00B5510A">
      <w:rPr>
        <w:rFonts w:ascii="Times New Roman" w:hAnsi="Times New Roman" w:cs="Times New Roman"/>
        <w:sz w:val="20"/>
        <w:szCs w:val="20"/>
      </w:rPr>
      <w:tab/>
      <w:t xml:space="preserve">Страница </w:t>
    </w:r>
    <w:r w:rsidRPr="00B5510A">
      <w:rPr>
        <w:rFonts w:ascii="Times New Roman" w:hAnsi="Times New Roman" w:cs="Times New Roman"/>
        <w:sz w:val="20"/>
        <w:szCs w:val="20"/>
      </w:rPr>
      <w:fldChar w:fldCharType="begin"/>
    </w:r>
    <w:r w:rsidRPr="00B5510A">
      <w:rPr>
        <w:rFonts w:ascii="Times New Roman" w:hAnsi="Times New Roman" w:cs="Times New Roman"/>
        <w:sz w:val="20"/>
        <w:szCs w:val="20"/>
      </w:rPr>
      <w:instrText xml:space="preserve"> PAGE </w:instrText>
    </w:r>
    <w:r w:rsidRPr="00B5510A">
      <w:rPr>
        <w:rFonts w:ascii="Times New Roman" w:hAnsi="Times New Roman" w:cs="Times New Roman"/>
        <w:sz w:val="20"/>
        <w:szCs w:val="20"/>
      </w:rPr>
      <w:fldChar w:fldCharType="separate"/>
    </w:r>
    <w:r w:rsidR="00B0395E">
      <w:rPr>
        <w:rFonts w:ascii="Times New Roman" w:hAnsi="Times New Roman" w:cs="Times New Roman"/>
        <w:noProof/>
        <w:sz w:val="20"/>
        <w:szCs w:val="20"/>
      </w:rPr>
      <w:t>393</w:t>
    </w:r>
    <w:r w:rsidRPr="00B5510A">
      <w:rPr>
        <w:rFonts w:ascii="Times New Roman" w:hAnsi="Times New Roman" w:cs="Times New Roman"/>
        <w:sz w:val="20"/>
        <w:szCs w:val="20"/>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1F8D3" w14:textId="77777777" w:rsidR="005551B9" w:rsidRDefault="005551B9"/>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7906C" w14:textId="4852E4C4" w:rsidR="005551B9" w:rsidRPr="0012241F" w:rsidRDefault="005551B9">
    <w:pPr>
      <w:widowControl w:val="0"/>
      <w:pBdr>
        <w:top w:val="single" w:sz="6" w:space="1" w:color="auto"/>
      </w:pBdr>
      <w:tabs>
        <w:tab w:val="right" w:pos="9000"/>
      </w:tabs>
      <w:spacing w:line="240" w:lineRule="atLeast"/>
      <w:rPr>
        <w:rFonts w:ascii="Times New Roman" w:hAnsi="Times New Roman" w:cs="Times New Roman"/>
        <w:sz w:val="20"/>
        <w:szCs w:val="20"/>
      </w:rPr>
    </w:pPr>
    <w:r w:rsidRPr="0012241F">
      <w:rPr>
        <w:rFonts w:ascii="Times New Roman" w:hAnsi="Times New Roman" w:cs="Times New Roman"/>
        <w:sz w:val="20"/>
        <w:szCs w:val="20"/>
      </w:rPr>
      <w:t>Издание 2025/1</w:t>
    </w:r>
    <w:r w:rsidRPr="0012241F">
      <w:rPr>
        <w:rFonts w:ascii="Times New Roman" w:hAnsi="Times New Roman" w:cs="Times New Roman"/>
        <w:sz w:val="20"/>
        <w:szCs w:val="20"/>
      </w:rPr>
      <w:tab/>
      <w:t xml:space="preserve">Страница </w:t>
    </w:r>
    <w:r w:rsidRPr="0012241F">
      <w:rPr>
        <w:rFonts w:ascii="Times New Roman" w:hAnsi="Times New Roman" w:cs="Times New Roman"/>
        <w:sz w:val="20"/>
        <w:szCs w:val="20"/>
      </w:rPr>
      <w:fldChar w:fldCharType="begin"/>
    </w:r>
    <w:r w:rsidRPr="0012241F">
      <w:rPr>
        <w:rFonts w:ascii="Times New Roman" w:hAnsi="Times New Roman" w:cs="Times New Roman"/>
        <w:sz w:val="20"/>
        <w:szCs w:val="20"/>
      </w:rPr>
      <w:instrText xml:space="preserve"> PAGE </w:instrText>
    </w:r>
    <w:r w:rsidRPr="0012241F">
      <w:rPr>
        <w:rFonts w:ascii="Times New Roman" w:hAnsi="Times New Roman" w:cs="Times New Roman"/>
        <w:sz w:val="20"/>
        <w:szCs w:val="20"/>
      </w:rPr>
      <w:fldChar w:fldCharType="separate"/>
    </w:r>
    <w:r w:rsidR="00B0395E">
      <w:rPr>
        <w:rFonts w:ascii="Times New Roman" w:hAnsi="Times New Roman" w:cs="Times New Roman"/>
        <w:noProof/>
        <w:sz w:val="20"/>
        <w:szCs w:val="20"/>
      </w:rPr>
      <w:t>395</w:t>
    </w:r>
    <w:r w:rsidRPr="0012241F">
      <w:rPr>
        <w:rFonts w:ascii="Times New Roman" w:hAnsi="Times New Roman" w:cs="Times New Roman"/>
        <w:sz w:val="20"/>
        <w:szCs w:val="20"/>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21276" w14:textId="77777777" w:rsidR="005551B9" w:rsidRDefault="005551B9">
    <w:pPr>
      <w:widowControl w:val="0"/>
      <w:pBdr>
        <w:top w:val="single" w:sz="6" w:space="1" w:color="auto"/>
      </w:pBdr>
      <w:tabs>
        <w:tab w:val="right" w:pos="9000"/>
      </w:tabs>
      <w:spacing w:line="240" w:lineRule="atLeast"/>
      <w:rPr>
        <w:sz w:val="16"/>
        <w:szCs w:val="16"/>
      </w:rPr>
    </w:pPr>
    <w:r>
      <w:rPr>
        <w:sz w:val="16"/>
      </w:rPr>
      <w:t>Издание 2023/1</w:t>
    </w:r>
    <w:r>
      <w:tab/>
    </w:r>
    <w:r>
      <w:rPr>
        <w:sz w:val="16"/>
      </w:rPr>
      <w:t xml:space="preserve">Страница </w:t>
    </w:r>
    <w:r>
      <w:rPr>
        <w:sz w:val="16"/>
        <w:szCs w:val="16"/>
      </w:rPr>
      <w:fldChar w:fldCharType="begin"/>
    </w:r>
    <w:r>
      <w:rPr>
        <w:sz w:val="16"/>
        <w:szCs w:val="16"/>
      </w:rPr>
      <w:instrText xml:space="preserve"> PAGE </w:instrText>
    </w:r>
    <w:r>
      <w:rPr>
        <w:sz w:val="16"/>
        <w:szCs w:val="16"/>
      </w:rPr>
      <w:fldChar w:fldCharType="separate"/>
    </w:r>
    <w:r>
      <w:rPr>
        <w:sz w:val="16"/>
        <w:szCs w:val="16"/>
      </w:rPr>
      <w:t>95</w:t>
    </w:r>
    <w:r>
      <w:rPr>
        <w:sz w:val="16"/>
        <w:szCs w:val="16"/>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85EE9" w14:textId="7BEDACC6" w:rsidR="005551B9" w:rsidRPr="00BB6F0F" w:rsidRDefault="005551B9" w:rsidP="00A529E2">
    <w:pPr>
      <w:widowControl w:val="0"/>
      <w:pBdr>
        <w:top w:val="single" w:sz="6" w:space="1" w:color="auto"/>
      </w:pBdr>
      <w:tabs>
        <w:tab w:val="right" w:pos="9000"/>
      </w:tabs>
      <w:spacing w:after="0" w:line="240" w:lineRule="auto"/>
      <w:rPr>
        <w:rFonts w:ascii="Times New Roman" w:hAnsi="Times New Roman" w:cs="Times New Roman"/>
        <w:sz w:val="20"/>
        <w:szCs w:val="20"/>
      </w:rPr>
    </w:pPr>
    <w:r w:rsidRPr="00BB6F0F">
      <w:rPr>
        <w:rFonts w:ascii="Times New Roman" w:hAnsi="Times New Roman" w:cs="Times New Roman"/>
        <w:sz w:val="20"/>
        <w:szCs w:val="20"/>
      </w:rPr>
      <w:t>Издание 2025/1</w:t>
    </w:r>
    <w:r w:rsidRPr="00BB6F0F">
      <w:rPr>
        <w:rFonts w:ascii="Times New Roman" w:hAnsi="Times New Roman" w:cs="Times New Roman"/>
        <w:sz w:val="20"/>
        <w:szCs w:val="20"/>
      </w:rPr>
      <w:tab/>
      <w:t xml:space="preserve">Страница </w:t>
    </w:r>
    <w:r w:rsidRPr="00BB6F0F">
      <w:rPr>
        <w:rFonts w:ascii="Times New Roman" w:hAnsi="Times New Roman" w:cs="Times New Roman"/>
        <w:sz w:val="20"/>
        <w:szCs w:val="20"/>
      </w:rPr>
      <w:fldChar w:fldCharType="begin"/>
    </w:r>
    <w:r w:rsidRPr="00BB6F0F">
      <w:rPr>
        <w:rFonts w:ascii="Times New Roman" w:hAnsi="Times New Roman" w:cs="Times New Roman"/>
        <w:sz w:val="20"/>
        <w:szCs w:val="20"/>
      </w:rPr>
      <w:instrText xml:space="preserve"> PAGE </w:instrText>
    </w:r>
    <w:r w:rsidRPr="00BB6F0F">
      <w:rPr>
        <w:rFonts w:ascii="Times New Roman" w:hAnsi="Times New Roman" w:cs="Times New Roman"/>
        <w:sz w:val="20"/>
        <w:szCs w:val="20"/>
      </w:rPr>
      <w:fldChar w:fldCharType="separate"/>
    </w:r>
    <w:r w:rsidR="00B0395E">
      <w:rPr>
        <w:rFonts w:ascii="Times New Roman" w:hAnsi="Times New Roman" w:cs="Times New Roman"/>
        <w:noProof/>
        <w:sz w:val="20"/>
        <w:szCs w:val="20"/>
      </w:rPr>
      <w:t>454</w:t>
    </w:r>
    <w:r w:rsidRPr="00BB6F0F">
      <w:rPr>
        <w:rFonts w:ascii="Times New Roman" w:hAnsi="Times New Roman" w:cs="Times New Roman"/>
        <w:sz w:val="20"/>
        <w:szCs w:val="20"/>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E5F75" w14:textId="162E1A24" w:rsidR="005551B9" w:rsidRPr="00EB6F74" w:rsidRDefault="005551B9">
    <w:pPr>
      <w:widowControl w:val="0"/>
      <w:pBdr>
        <w:top w:val="single" w:sz="6" w:space="1" w:color="auto"/>
      </w:pBdr>
      <w:tabs>
        <w:tab w:val="right" w:pos="9000"/>
      </w:tabs>
      <w:spacing w:line="240" w:lineRule="atLeast"/>
      <w:rPr>
        <w:rFonts w:ascii="Times New Roman" w:hAnsi="Times New Roman" w:cs="Times New Roman"/>
        <w:sz w:val="20"/>
        <w:szCs w:val="20"/>
      </w:rPr>
    </w:pPr>
    <w:r w:rsidRPr="00EB6F74">
      <w:rPr>
        <w:rFonts w:ascii="Times New Roman" w:hAnsi="Times New Roman" w:cs="Times New Roman"/>
        <w:sz w:val="20"/>
        <w:szCs w:val="20"/>
      </w:rPr>
      <w:t>Издание 2025/1</w:t>
    </w:r>
    <w:r w:rsidRPr="00EB6F74">
      <w:rPr>
        <w:rFonts w:ascii="Times New Roman" w:hAnsi="Times New Roman" w:cs="Times New Roman"/>
        <w:sz w:val="20"/>
        <w:szCs w:val="20"/>
      </w:rPr>
      <w:tab/>
      <w:t xml:space="preserve">Страница </w:t>
    </w:r>
    <w:r w:rsidRPr="00EB6F74">
      <w:rPr>
        <w:rFonts w:ascii="Times New Roman" w:hAnsi="Times New Roman" w:cs="Times New Roman"/>
        <w:sz w:val="20"/>
        <w:szCs w:val="20"/>
      </w:rPr>
      <w:fldChar w:fldCharType="begin"/>
    </w:r>
    <w:r w:rsidRPr="00EB6F74">
      <w:rPr>
        <w:rFonts w:ascii="Times New Roman" w:hAnsi="Times New Roman" w:cs="Times New Roman"/>
        <w:sz w:val="20"/>
        <w:szCs w:val="20"/>
      </w:rPr>
      <w:instrText xml:space="preserve"> PAGE </w:instrText>
    </w:r>
    <w:r w:rsidRPr="00EB6F74">
      <w:rPr>
        <w:rFonts w:ascii="Times New Roman" w:hAnsi="Times New Roman" w:cs="Times New Roman"/>
        <w:sz w:val="20"/>
        <w:szCs w:val="20"/>
      </w:rPr>
      <w:fldChar w:fldCharType="separate"/>
    </w:r>
    <w:r w:rsidR="00B0395E">
      <w:rPr>
        <w:rFonts w:ascii="Times New Roman" w:hAnsi="Times New Roman" w:cs="Times New Roman"/>
        <w:noProof/>
        <w:sz w:val="20"/>
        <w:szCs w:val="20"/>
      </w:rPr>
      <w:t>408</w:t>
    </w:r>
    <w:r w:rsidRPr="00EB6F74">
      <w:rPr>
        <w:rFonts w:ascii="Times New Roman" w:hAnsi="Times New Roman" w:cs="Times New Roman"/>
        <w:sz w:val="20"/>
        <w:szCs w:val="20"/>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327E7" w14:textId="588203D4" w:rsidR="005551B9" w:rsidRPr="002A7004" w:rsidRDefault="005551B9">
    <w:pPr>
      <w:widowControl w:val="0"/>
      <w:pBdr>
        <w:top w:val="single" w:sz="6" w:space="1" w:color="auto"/>
      </w:pBdr>
      <w:tabs>
        <w:tab w:val="right" w:pos="9000"/>
      </w:tabs>
      <w:spacing w:line="240" w:lineRule="atLeast"/>
      <w:rPr>
        <w:rFonts w:ascii="Times New Roman" w:hAnsi="Times New Roman" w:cs="Times New Roman"/>
        <w:sz w:val="20"/>
        <w:szCs w:val="20"/>
      </w:rPr>
    </w:pPr>
    <w:r w:rsidRPr="00566F06">
      <w:rPr>
        <w:rFonts w:ascii="Times New Roman" w:hAnsi="Times New Roman" w:cs="Times New Roman"/>
        <w:sz w:val="20"/>
        <w:szCs w:val="20"/>
      </w:rPr>
      <w:t>Издание 2025/1</w:t>
    </w:r>
    <w:r w:rsidRPr="00566F06">
      <w:rPr>
        <w:rFonts w:ascii="Times New Roman" w:hAnsi="Times New Roman" w:cs="Times New Roman"/>
        <w:sz w:val="20"/>
        <w:szCs w:val="20"/>
      </w:rPr>
      <w:tab/>
      <w:t>Страница 4</w:t>
    </w:r>
    <w:r>
      <w:rPr>
        <w:rFonts w:ascii="Times New Roman" w:hAnsi="Times New Roman" w:cs="Times New Roman"/>
        <w:sz w:val="20"/>
        <w:szCs w:val="20"/>
      </w:rPr>
      <w:t>27</w: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64800" w14:textId="750147FA" w:rsidR="005551B9" w:rsidRPr="002A7004" w:rsidRDefault="005551B9" w:rsidP="00A51B6A">
    <w:pPr>
      <w:widowControl w:val="0"/>
      <w:pBdr>
        <w:top w:val="single" w:sz="6" w:space="1" w:color="auto"/>
      </w:pBdr>
      <w:tabs>
        <w:tab w:val="right" w:pos="9000"/>
      </w:tabs>
      <w:spacing w:after="0" w:line="240" w:lineRule="auto"/>
      <w:rPr>
        <w:rFonts w:ascii="Times New Roman" w:hAnsi="Times New Roman" w:cs="Times New Roman"/>
        <w:sz w:val="20"/>
        <w:szCs w:val="20"/>
      </w:rPr>
    </w:pPr>
    <w:r w:rsidRPr="00566F06">
      <w:rPr>
        <w:rFonts w:ascii="Times New Roman" w:hAnsi="Times New Roman" w:cs="Times New Roman"/>
        <w:sz w:val="20"/>
        <w:szCs w:val="20"/>
      </w:rPr>
      <w:t>Издание 2025/1</w:t>
    </w:r>
    <w:r w:rsidRPr="00566F06">
      <w:rPr>
        <w:rFonts w:ascii="Times New Roman" w:hAnsi="Times New Roman" w:cs="Times New Roman"/>
        <w:sz w:val="20"/>
        <w:szCs w:val="20"/>
      </w:rPr>
      <w:tab/>
      <w:t>Страница 4</w:t>
    </w:r>
    <w:r>
      <w:rPr>
        <w:rFonts w:ascii="Times New Roman" w:hAnsi="Times New Roman" w:cs="Times New Roman"/>
        <w:sz w:val="20"/>
        <w:szCs w:val="20"/>
      </w:rPr>
      <w:t>32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5AD0B" w14:textId="67043E14" w:rsidR="005551B9" w:rsidRPr="00F57FCD" w:rsidRDefault="005551B9" w:rsidP="00B41852">
    <w:pPr>
      <w:widowControl w:val="0"/>
      <w:pBdr>
        <w:top w:val="single" w:sz="6" w:space="1" w:color="auto"/>
      </w:pBdr>
      <w:tabs>
        <w:tab w:val="left" w:pos="8448"/>
      </w:tabs>
      <w:spacing w:after="0" w:line="240" w:lineRule="auto"/>
      <w:rPr>
        <w:rFonts w:ascii="Times New Roman" w:hAnsi="Times New Roman" w:cs="Times New Roman"/>
        <w:sz w:val="20"/>
        <w:szCs w:val="20"/>
      </w:rPr>
    </w:pPr>
    <w:r w:rsidRPr="00F57FCD">
      <w:rPr>
        <w:rFonts w:ascii="Times New Roman" w:hAnsi="Times New Roman" w:cs="Times New Roman"/>
        <w:sz w:val="20"/>
        <w:szCs w:val="20"/>
      </w:rPr>
      <w:t>Издание 2025/1</w:t>
    </w:r>
    <w:r w:rsidRPr="00F57FCD">
      <w:rPr>
        <w:rFonts w:ascii="Times New Roman" w:hAnsi="Times New Roman" w:cs="Times New Roman"/>
        <w:sz w:val="20"/>
        <w:szCs w:val="20"/>
      </w:rPr>
      <w:tab/>
      <w:t xml:space="preserve">Страница </w:t>
    </w:r>
    <w:r w:rsidRPr="00F57FCD">
      <w:rPr>
        <w:rFonts w:ascii="Times New Roman" w:hAnsi="Times New Roman" w:cs="Times New Roman"/>
        <w:sz w:val="20"/>
        <w:szCs w:val="20"/>
      </w:rPr>
      <w:fldChar w:fldCharType="begin"/>
    </w:r>
    <w:r w:rsidRPr="00F57FCD">
      <w:rPr>
        <w:rFonts w:ascii="Times New Roman" w:hAnsi="Times New Roman" w:cs="Times New Roman"/>
        <w:sz w:val="20"/>
        <w:szCs w:val="20"/>
      </w:rPr>
      <w:instrText xml:space="preserve"> PAGE </w:instrText>
    </w:r>
    <w:r w:rsidRPr="00F57FCD">
      <w:rPr>
        <w:rFonts w:ascii="Times New Roman" w:hAnsi="Times New Roman" w:cs="Times New Roman"/>
        <w:sz w:val="20"/>
        <w:szCs w:val="20"/>
      </w:rPr>
      <w:fldChar w:fldCharType="separate"/>
    </w:r>
    <w:r w:rsidR="00B0395E">
      <w:rPr>
        <w:rFonts w:ascii="Times New Roman" w:hAnsi="Times New Roman" w:cs="Times New Roman"/>
        <w:noProof/>
        <w:sz w:val="20"/>
        <w:szCs w:val="20"/>
      </w:rPr>
      <w:t>iii</w:t>
    </w:r>
    <w:r w:rsidRPr="00F57FCD">
      <w:rPr>
        <w:rFonts w:ascii="Times New Roman" w:hAnsi="Times New Roman" w:cs="Times New Roman"/>
        <w:sz w:val="20"/>
        <w:szCs w:val="20"/>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EE5BA" w14:textId="206ABB66" w:rsidR="005551B9" w:rsidRPr="00981821" w:rsidRDefault="005551B9" w:rsidP="001228BC">
    <w:pPr>
      <w:widowControl w:val="0"/>
      <w:pBdr>
        <w:top w:val="single" w:sz="6" w:space="1" w:color="auto"/>
      </w:pBdr>
      <w:tabs>
        <w:tab w:val="right" w:pos="9000"/>
      </w:tabs>
      <w:spacing w:after="0" w:line="240" w:lineRule="auto"/>
      <w:rPr>
        <w:rFonts w:ascii="Times New Roman" w:hAnsi="Times New Roman" w:cs="Times New Roman"/>
        <w:sz w:val="20"/>
        <w:szCs w:val="20"/>
        <w:lang w:val="en-US"/>
      </w:rPr>
    </w:pPr>
    <w:r w:rsidRPr="00566F06">
      <w:rPr>
        <w:rFonts w:ascii="Times New Roman" w:hAnsi="Times New Roman" w:cs="Times New Roman"/>
        <w:sz w:val="20"/>
        <w:szCs w:val="20"/>
      </w:rPr>
      <w:t>Издание 2025/1</w:t>
    </w:r>
    <w:r w:rsidRPr="00566F06">
      <w:rPr>
        <w:rFonts w:ascii="Times New Roman" w:hAnsi="Times New Roman" w:cs="Times New Roman"/>
        <w:sz w:val="20"/>
        <w:szCs w:val="20"/>
      </w:rPr>
      <w:tab/>
      <w:t>Страница 4</w:t>
    </w:r>
    <w:r>
      <w:rPr>
        <w:rFonts w:ascii="Times New Roman" w:hAnsi="Times New Roman" w:cs="Times New Roman"/>
        <w:sz w:val="20"/>
        <w:szCs w:val="20"/>
        <w:lang w:val="en-US"/>
      </w:rPr>
      <w:t>54</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B39B1" w14:textId="3CCE6558" w:rsidR="005551B9" w:rsidRPr="00525DEE" w:rsidRDefault="005551B9" w:rsidP="001228BC">
    <w:pPr>
      <w:widowControl w:val="0"/>
      <w:pBdr>
        <w:top w:val="single" w:sz="6" w:space="1" w:color="auto"/>
      </w:pBdr>
      <w:tabs>
        <w:tab w:val="right" w:pos="9000"/>
      </w:tabs>
      <w:spacing w:after="0" w:line="240" w:lineRule="auto"/>
      <w:rPr>
        <w:rFonts w:ascii="Times New Roman" w:hAnsi="Times New Roman" w:cs="Times New Roman"/>
        <w:sz w:val="20"/>
        <w:szCs w:val="20"/>
      </w:rPr>
    </w:pPr>
    <w:r w:rsidRPr="00566F06">
      <w:rPr>
        <w:rFonts w:ascii="Times New Roman" w:hAnsi="Times New Roman" w:cs="Times New Roman"/>
        <w:sz w:val="20"/>
        <w:szCs w:val="20"/>
      </w:rPr>
      <w:t>Издание 2025/1</w:t>
    </w:r>
    <w:r w:rsidRPr="00566F06">
      <w:rPr>
        <w:rFonts w:ascii="Times New Roman" w:hAnsi="Times New Roman" w:cs="Times New Roman"/>
        <w:sz w:val="20"/>
        <w:szCs w:val="20"/>
      </w:rPr>
      <w:tab/>
      <w:t>Страница 4</w:t>
    </w:r>
    <w:r>
      <w:rPr>
        <w:rFonts w:ascii="Times New Roman" w:hAnsi="Times New Roman" w:cs="Times New Roman"/>
        <w:sz w:val="20"/>
        <w:szCs w:val="20"/>
      </w:rPr>
      <w:t>68</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5B62" w14:textId="5480A7A4" w:rsidR="005551B9" w:rsidRPr="00B6042C" w:rsidRDefault="005551B9" w:rsidP="00B6042C">
    <w:pPr>
      <w:widowControl w:val="0"/>
      <w:pBdr>
        <w:top w:val="single" w:sz="6" w:space="1" w:color="auto"/>
      </w:pBdr>
      <w:tabs>
        <w:tab w:val="right" w:pos="9000"/>
      </w:tabs>
      <w:spacing w:after="0" w:line="240" w:lineRule="auto"/>
      <w:rPr>
        <w:rFonts w:ascii="Times New Roman" w:hAnsi="Times New Roman" w:cs="Times New Roman"/>
        <w:sz w:val="20"/>
        <w:szCs w:val="20"/>
      </w:rPr>
    </w:pPr>
    <w:r w:rsidRPr="00B6042C">
      <w:rPr>
        <w:rFonts w:ascii="Times New Roman" w:hAnsi="Times New Roman" w:cs="Times New Roman"/>
        <w:sz w:val="20"/>
        <w:szCs w:val="20"/>
      </w:rPr>
      <w:t>Издание 2025/1</w:t>
    </w:r>
    <w:r w:rsidRPr="00B6042C">
      <w:rPr>
        <w:rFonts w:ascii="Times New Roman" w:hAnsi="Times New Roman" w:cs="Times New Roman"/>
        <w:sz w:val="20"/>
        <w:szCs w:val="20"/>
      </w:rPr>
      <w:tab/>
      <w:t>Страница 4</w:t>
    </w:r>
    <w:r>
      <w:rPr>
        <w:rFonts w:ascii="Times New Roman" w:hAnsi="Times New Roman" w:cs="Times New Roman"/>
        <w:sz w:val="20"/>
        <w:szCs w:val="20"/>
      </w:rPr>
      <w:t>69</w: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7E1E7" w14:textId="2B8182F3" w:rsidR="005551B9" w:rsidRPr="00291F43" w:rsidRDefault="005551B9">
    <w:pPr>
      <w:widowControl w:val="0"/>
      <w:pBdr>
        <w:top w:val="single" w:sz="6" w:space="0" w:color="auto"/>
      </w:pBdr>
      <w:tabs>
        <w:tab w:val="right" w:pos="9000"/>
      </w:tabs>
      <w:spacing w:line="240" w:lineRule="atLeast"/>
      <w:rPr>
        <w:rFonts w:ascii="Times New Roman" w:hAnsi="Times New Roman" w:cs="Times New Roman"/>
        <w:sz w:val="20"/>
        <w:szCs w:val="20"/>
      </w:rPr>
    </w:pPr>
    <w:r w:rsidRPr="00291F43">
      <w:rPr>
        <w:rFonts w:ascii="Times New Roman" w:hAnsi="Times New Roman" w:cs="Times New Roman"/>
        <w:sz w:val="20"/>
        <w:szCs w:val="20"/>
      </w:rPr>
      <w:t>Издание 20/1</w:t>
    </w:r>
    <w:r w:rsidRPr="00291F43">
      <w:rPr>
        <w:rFonts w:ascii="Times New Roman" w:hAnsi="Times New Roman" w:cs="Times New Roman"/>
        <w:sz w:val="20"/>
        <w:szCs w:val="20"/>
      </w:rPr>
      <w:tab/>
      <w:t xml:space="preserve">Страница </w:t>
    </w:r>
    <w:r w:rsidRPr="00291F43">
      <w:rPr>
        <w:rFonts w:ascii="Times New Roman" w:hAnsi="Times New Roman" w:cs="Times New Roman"/>
        <w:sz w:val="20"/>
        <w:szCs w:val="20"/>
      </w:rPr>
      <w:fldChar w:fldCharType="begin"/>
    </w:r>
    <w:r w:rsidRPr="00291F43">
      <w:rPr>
        <w:rFonts w:ascii="Times New Roman" w:hAnsi="Times New Roman" w:cs="Times New Roman"/>
        <w:sz w:val="20"/>
        <w:szCs w:val="20"/>
      </w:rPr>
      <w:instrText xml:space="preserve"> PAGE </w:instrText>
    </w:r>
    <w:r w:rsidRPr="00291F43">
      <w:rPr>
        <w:rFonts w:ascii="Times New Roman" w:hAnsi="Times New Roman" w:cs="Times New Roman"/>
        <w:sz w:val="20"/>
        <w:szCs w:val="20"/>
      </w:rPr>
      <w:fldChar w:fldCharType="separate"/>
    </w:r>
    <w:r w:rsidR="00B0395E">
      <w:rPr>
        <w:rFonts w:ascii="Times New Roman" w:hAnsi="Times New Roman" w:cs="Times New Roman"/>
        <w:noProof/>
        <w:sz w:val="20"/>
        <w:szCs w:val="20"/>
      </w:rPr>
      <w:t>452</w:t>
    </w:r>
    <w:r w:rsidRPr="00291F43">
      <w:rPr>
        <w:rFonts w:ascii="Times New Roman" w:hAnsi="Times New Roman" w:cs="Times New Roman"/>
        <w:sz w:val="20"/>
        <w:szCs w:val="20"/>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83F68" w14:textId="347FC5A4" w:rsidR="005551B9" w:rsidRPr="005504FB" w:rsidRDefault="005551B9" w:rsidP="00E014BC">
    <w:pPr>
      <w:widowControl w:val="0"/>
      <w:pBdr>
        <w:top w:val="single" w:sz="6" w:space="1" w:color="auto"/>
      </w:pBdr>
      <w:tabs>
        <w:tab w:val="right" w:pos="9000"/>
      </w:tabs>
      <w:spacing w:after="0" w:line="240" w:lineRule="auto"/>
      <w:rPr>
        <w:rFonts w:ascii="Times New Roman" w:hAnsi="Times New Roman" w:cs="Times New Roman"/>
        <w:sz w:val="20"/>
        <w:szCs w:val="20"/>
      </w:rPr>
    </w:pPr>
    <w:r w:rsidRPr="005504FB">
      <w:rPr>
        <w:rFonts w:ascii="Times New Roman" w:hAnsi="Times New Roman" w:cs="Times New Roman"/>
        <w:sz w:val="20"/>
        <w:szCs w:val="20"/>
      </w:rPr>
      <w:t>Издание 2025/1</w:t>
    </w:r>
    <w:r w:rsidRPr="005504FB">
      <w:rPr>
        <w:rFonts w:ascii="Times New Roman" w:hAnsi="Times New Roman" w:cs="Times New Roman"/>
        <w:sz w:val="20"/>
        <w:szCs w:val="20"/>
      </w:rPr>
      <w:tab/>
      <w:t xml:space="preserve">Страница </w:t>
    </w:r>
    <w:r w:rsidRPr="005504FB">
      <w:rPr>
        <w:rFonts w:ascii="Times New Roman" w:hAnsi="Times New Roman" w:cs="Times New Roman"/>
        <w:sz w:val="20"/>
        <w:szCs w:val="20"/>
      </w:rPr>
      <w:fldChar w:fldCharType="begin"/>
    </w:r>
    <w:r w:rsidRPr="005504FB">
      <w:rPr>
        <w:rFonts w:ascii="Times New Roman" w:hAnsi="Times New Roman" w:cs="Times New Roman"/>
        <w:sz w:val="20"/>
        <w:szCs w:val="20"/>
      </w:rPr>
      <w:instrText xml:space="preserve"> PAGE </w:instrText>
    </w:r>
    <w:r w:rsidRPr="005504FB">
      <w:rPr>
        <w:rFonts w:ascii="Times New Roman" w:hAnsi="Times New Roman" w:cs="Times New Roman"/>
        <w:sz w:val="20"/>
        <w:szCs w:val="20"/>
      </w:rPr>
      <w:fldChar w:fldCharType="separate"/>
    </w:r>
    <w:r w:rsidR="00B0395E">
      <w:rPr>
        <w:rFonts w:ascii="Times New Roman" w:hAnsi="Times New Roman" w:cs="Times New Roman"/>
        <w:noProof/>
        <w:sz w:val="20"/>
        <w:szCs w:val="20"/>
      </w:rPr>
      <w:t>461</w:t>
    </w:r>
    <w:r w:rsidRPr="005504FB">
      <w:rPr>
        <w:rFonts w:ascii="Times New Roman" w:hAnsi="Times New Roman" w:cs="Times New Roman"/>
        <w:sz w:val="20"/>
        <w:szCs w:val="20"/>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7355D" w14:textId="299C6439" w:rsidR="005551B9" w:rsidRPr="00F31012" w:rsidRDefault="005551B9" w:rsidP="00B25DE8">
    <w:pPr>
      <w:widowControl w:val="0"/>
      <w:pBdr>
        <w:top w:val="single" w:sz="6" w:space="1" w:color="auto"/>
      </w:pBdr>
      <w:tabs>
        <w:tab w:val="right" w:pos="14034"/>
      </w:tabs>
      <w:spacing w:after="0" w:line="240" w:lineRule="auto"/>
      <w:rPr>
        <w:rFonts w:ascii="Times New Roman" w:hAnsi="Times New Roman" w:cs="Times New Roman"/>
        <w:sz w:val="20"/>
        <w:szCs w:val="20"/>
      </w:rPr>
    </w:pPr>
    <w:r w:rsidRPr="00F31012">
      <w:rPr>
        <w:rFonts w:ascii="Times New Roman" w:hAnsi="Times New Roman" w:cs="Times New Roman"/>
        <w:sz w:val="20"/>
        <w:szCs w:val="20"/>
      </w:rPr>
      <w:t>Издание 2025/1</w:t>
    </w:r>
    <w:r w:rsidRPr="00F31012">
      <w:rPr>
        <w:rFonts w:ascii="Times New Roman" w:hAnsi="Times New Roman" w:cs="Times New Roman"/>
        <w:sz w:val="20"/>
        <w:szCs w:val="20"/>
      </w:rPr>
      <w:tab/>
      <w:t xml:space="preserve">Страница </w:t>
    </w:r>
    <w:r w:rsidRPr="00F31012">
      <w:rPr>
        <w:rFonts w:ascii="Times New Roman" w:hAnsi="Times New Roman" w:cs="Times New Roman"/>
        <w:sz w:val="20"/>
        <w:szCs w:val="20"/>
      </w:rPr>
      <w:fldChar w:fldCharType="begin"/>
    </w:r>
    <w:r w:rsidRPr="00F31012">
      <w:rPr>
        <w:rFonts w:ascii="Times New Roman" w:hAnsi="Times New Roman" w:cs="Times New Roman"/>
        <w:sz w:val="20"/>
        <w:szCs w:val="20"/>
      </w:rPr>
      <w:instrText xml:space="preserve"> PAGE </w:instrText>
    </w:r>
    <w:r w:rsidRPr="00F31012">
      <w:rPr>
        <w:rFonts w:ascii="Times New Roman" w:hAnsi="Times New Roman" w:cs="Times New Roman"/>
        <w:sz w:val="20"/>
        <w:szCs w:val="20"/>
      </w:rPr>
      <w:fldChar w:fldCharType="separate"/>
    </w:r>
    <w:r w:rsidR="00B0395E">
      <w:rPr>
        <w:rFonts w:ascii="Times New Roman" w:hAnsi="Times New Roman" w:cs="Times New Roman"/>
        <w:noProof/>
        <w:sz w:val="20"/>
        <w:szCs w:val="20"/>
      </w:rPr>
      <w:t>481</w:t>
    </w:r>
    <w:r w:rsidRPr="00F31012">
      <w:rPr>
        <w:rFonts w:ascii="Times New Roman" w:hAnsi="Times New Roman" w:cs="Times New Roman"/>
        <w:sz w:val="20"/>
        <w:szCs w:val="20"/>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0336C" w14:textId="1D0BE33B" w:rsidR="005551B9" w:rsidRPr="00F31012" w:rsidRDefault="005551B9" w:rsidP="00F31012">
    <w:pPr>
      <w:widowControl w:val="0"/>
      <w:pBdr>
        <w:top w:val="single" w:sz="6" w:space="1" w:color="auto"/>
      </w:pBdr>
      <w:tabs>
        <w:tab w:val="right" w:pos="14034"/>
      </w:tabs>
      <w:spacing w:after="0" w:line="240" w:lineRule="auto"/>
      <w:rPr>
        <w:rFonts w:ascii="Times New Roman" w:hAnsi="Times New Roman" w:cs="Times New Roman"/>
        <w:sz w:val="20"/>
        <w:szCs w:val="20"/>
      </w:rPr>
    </w:pPr>
    <w:r w:rsidRPr="00F31012">
      <w:rPr>
        <w:rFonts w:ascii="Times New Roman" w:hAnsi="Times New Roman" w:cs="Times New Roman"/>
        <w:sz w:val="20"/>
        <w:szCs w:val="20"/>
      </w:rPr>
      <w:t>Издание 2025/1</w:t>
    </w:r>
    <w:r w:rsidRPr="00F31012">
      <w:rPr>
        <w:rFonts w:ascii="Times New Roman" w:hAnsi="Times New Roman" w:cs="Times New Roman"/>
        <w:sz w:val="20"/>
        <w:szCs w:val="20"/>
      </w:rPr>
      <w:tab/>
      <w:t xml:space="preserve">Страница </w:t>
    </w:r>
    <w:r w:rsidRPr="00F31012">
      <w:rPr>
        <w:rFonts w:ascii="Times New Roman" w:hAnsi="Times New Roman" w:cs="Times New Roman"/>
        <w:sz w:val="20"/>
        <w:szCs w:val="20"/>
      </w:rPr>
      <w:fldChar w:fldCharType="begin"/>
    </w:r>
    <w:r w:rsidRPr="00F31012">
      <w:rPr>
        <w:rFonts w:ascii="Times New Roman" w:hAnsi="Times New Roman" w:cs="Times New Roman"/>
        <w:sz w:val="20"/>
        <w:szCs w:val="20"/>
      </w:rPr>
      <w:instrText xml:space="preserve"> PAGE </w:instrText>
    </w:r>
    <w:r w:rsidRPr="00F31012">
      <w:rPr>
        <w:rFonts w:ascii="Times New Roman" w:hAnsi="Times New Roman" w:cs="Times New Roman"/>
        <w:sz w:val="20"/>
        <w:szCs w:val="20"/>
      </w:rPr>
      <w:fldChar w:fldCharType="separate"/>
    </w:r>
    <w:r w:rsidR="00B0395E">
      <w:rPr>
        <w:rFonts w:ascii="Times New Roman" w:hAnsi="Times New Roman" w:cs="Times New Roman"/>
        <w:noProof/>
        <w:sz w:val="20"/>
        <w:szCs w:val="20"/>
      </w:rPr>
      <w:t>464</w:t>
    </w:r>
    <w:r w:rsidRPr="00F31012">
      <w:rPr>
        <w:rFonts w:ascii="Times New Roman" w:hAnsi="Times New Roman" w:cs="Times New Roman"/>
        <w:sz w:val="20"/>
        <w:szCs w:val="20"/>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59C18" w14:textId="3FF5756A" w:rsidR="005551B9" w:rsidRPr="006528F1" w:rsidRDefault="005551B9" w:rsidP="00AE44D2">
    <w:pPr>
      <w:widowControl w:val="0"/>
      <w:pBdr>
        <w:top w:val="single" w:sz="6" w:space="1" w:color="auto"/>
      </w:pBdr>
      <w:tabs>
        <w:tab w:val="right" w:pos="9000"/>
      </w:tabs>
      <w:spacing w:after="0" w:line="240" w:lineRule="auto"/>
      <w:rPr>
        <w:rFonts w:ascii="Times New Roman" w:hAnsi="Times New Roman" w:cs="Times New Roman"/>
        <w:sz w:val="20"/>
        <w:szCs w:val="20"/>
      </w:rPr>
    </w:pPr>
    <w:r w:rsidRPr="006528F1">
      <w:rPr>
        <w:rFonts w:ascii="Times New Roman" w:hAnsi="Times New Roman" w:cs="Times New Roman"/>
        <w:sz w:val="20"/>
        <w:szCs w:val="20"/>
      </w:rPr>
      <w:t>Издание 2025/1</w:t>
    </w:r>
    <w:r w:rsidRPr="006528F1">
      <w:rPr>
        <w:rFonts w:ascii="Times New Roman" w:hAnsi="Times New Roman" w:cs="Times New Roman"/>
        <w:sz w:val="20"/>
        <w:szCs w:val="20"/>
      </w:rPr>
      <w:tab/>
      <w:t xml:space="preserve">Страница </w:t>
    </w:r>
    <w:r w:rsidRPr="006528F1">
      <w:rPr>
        <w:rFonts w:ascii="Times New Roman" w:hAnsi="Times New Roman" w:cs="Times New Roman"/>
        <w:sz w:val="20"/>
        <w:szCs w:val="20"/>
      </w:rPr>
      <w:fldChar w:fldCharType="begin"/>
    </w:r>
    <w:r w:rsidRPr="006528F1">
      <w:rPr>
        <w:rFonts w:ascii="Times New Roman" w:hAnsi="Times New Roman" w:cs="Times New Roman"/>
        <w:sz w:val="20"/>
        <w:szCs w:val="20"/>
      </w:rPr>
      <w:instrText xml:space="preserve"> PAGE </w:instrText>
    </w:r>
    <w:r w:rsidRPr="006528F1">
      <w:rPr>
        <w:rFonts w:ascii="Times New Roman" w:hAnsi="Times New Roman" w:cs="Times New Roman"/>
        <w:sz w:val="20"/>
        <w:szCs w:val="20"/>
      </w:rPr>
      <w:fldChar w:fldCharType="separate"/>
    </w:r>
    <w:r w:rsidR="00B0395E">
      <w:rPr>
        <w:rFonts w:ascii="Times New Roman" w:hAnsi="Times New Roman" w:cs="Times New Roman"/>
        <w:noProof/>
        <w:sz w:val="20"/>
        <w:szCs w:val="20"/>
      </w:rPr>
      <w:t>479</w:t>
    </w:r>
    <w:r w:rsidRPr="006528F1">
      <w:rPr>
        <w:rFonts w:ascii="Times New Roman" w:hAnsi="Times New Roman" w:cs="Times New Roman"/>
        <w:sz w:val="20"/>
        <w:szCs w:val="20"/>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8EF3F" w14:textId="77777777" w:rsidR="005551B9" w:rsidRDefault="005551B9">
    <w:pPr>
      <w:widowControl w:val="0"/>
      <w:pBdr>
        <w:top w:val="single" w:sz="6" w:space="1" w:color="auto"/>
      </w:pBdr>
      <w:tabs>
        <w:tab w:val="right" w:pos="9000"/>
      </w:tabs>
      <w:spacing w:line="240" w:lineRule="atLeast"/>
      <w:rPr>
        <w:sz w:val="16"/>
        <w:szCs w:val="16"/>
      </w:rPr>
    </w:pPr>
    <w:r>
      <w:rPr>
        <w:sz w:val="16"/>
      </w:rPr>
      <w:t>Издание 1.1 – декември 2014 г.</w:t>
    </w:r>
    <w:r>
      <w:tab/>
    </w:r>
    <w:r>
      <w:rPr>
        <w:sz w:val="16"/>
      </w:rPr>
      <w:t xml:space="preserve">Страница </w:t>
    </w:r>
    <w:r>
      <w:rPr>
        <w:sz w:val="16"/>
        <w:szCs w:val="16"/>
      </w:rPr>
      <w:fldChar w:fldCharType="begin"/>
    </w:r>
    <w:r>
      <w:rPr>
        <w:sz w:val="16"/>
        <w:szCs w:val="16"/>
      </w:rPr>
      <w:instrText xml:space="preserve"> PAGE </w:instrText>
    </w:r>
    <w:r>
      <w:rPr>
        <w:sz w:val="16"/>
        <w:szCs w:val="16"/>
      </w:rPr>
      <w:fldChar w:fldCharType="separate"/>
    </w:r>
    <w:r>
      <w:rPr>
        <w:sz w:val="16"/>
        <w:szCs w:val="16"/>
      </w:rPr>
      <w:t>43</w:t>
    </w:r>
    <w:r>
      <w:rPr>
        <w:sz w:val="16"/>
        <w:szCs w:val="16"/>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E43EB" w14:textId="1B2EA3B9" w:rsidR="005551B9" w:rsidRPr="00AD520A" w:rsidRDefault="005551B9" w:rsidP="00AD520A">
    <w:pPr>
      <w:widowControl w:val="0"/>
      <w:pBdr>
        <w:top w:val="single" w:sz="6" w:space="1" w:color="auto"/>
      </w:pBdr>
      <w:tabs>
        <w:tab w:val="right" w:pos="9000"/>
      </w:tabs>
      <w:spacing w:after="0" w:line="240" w:lineRule="auto"/>
      <w:rPr>
        <w:rFonts w:ascii="Times New Roman" w:hAnsi="Times New Roman" w:cs="Times New Roman"/>
        <w:sz w:val="20"/>
        <w:szCs w:val="20"/>
      </w:rPr>
    </w:pPr>
    <w:r w:rsidRPr="00AD520A">
      <w:rPr>
        <w:rFonts w:ascii="Times New Roman" w:hAnsi="Times New Roman" w:cs="Times New Roman"/>
        <w:sz w:val="20"/>
        <w:szCs w:val="20"/>
      </w:rPr>
      <w:t>Издание 2025/1</w:t>
    </w:r>
    <w:r w:rsidRPr="00AD520A">
      <w:rPr>
        <w:rFonts w:ascii="Times New Roman" w:hAnsi="Times New Roman" w:cs="Times New Roman"/>
        <w:sz w:val="20"/>
        <w:szCs w:val="20"/>
      </w:rPr>
      <w:tab/>
      <w:t xml:space="preserve">Страница </w:t>
    </w:r>
    <w:r w:rsidRPr="00AD520A">
      <w:rPr>
        <w:rFonts w:ascii="Times New Roman" w:hAnsi="Times New Roman" w:cs="Times New Roman"/>
        <w:sz w:val="20"/>
        <w:szCs w:val="20"/>
      </w:rPr>
      <w:fldChar w:fldCharType="begin"/>
    </w:r>
    <w:r w:rsidRPr="00AD520A">
      <w:rPr>
        <w:rFonts w:ascii="Times New Roman" w:hAnsi="Times New Roman" w:cs="Times New Roman"/>
        <w:sz w:val="20"/>
        <w:szCs w:val="20"/>
      </w:rPr>
      <w:instrText xml:space="preserve"> PAGE </w:instrText>
    </w:r>
    <w:r w:rsidRPr="00AD520A">
      <w:rPr>
        <w:rFonts w:ascii="Times New Roman" w:hAnsi="Times New Roman" w:cs="Times New Roman"/>
        <w:sz w:val="20"/>
        <w:szCs w:val="20"/>
      </w:rPr>
      <w:fldChar w:fldCharType="separate"/>
    </w:r>
    <w:r w:rsidR="00B0395E">
      <w:rPr>
        <w:rFonts w:ascii="Times New Roman" w:hAnsi="Times New Roman" w:cs="Times New Roman"/>
        <w:noProof/>
        <w:sz w:val="20"/>
        <w:szCs w:val="20"/>
      </w:rPr>
      <w:t>482</w:t>
    </w:r>
    <w:r w:rsidRPr="00AD520A">
      <w:rP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00B2E" w14:textId="6AC89275" w:rsidR="005551B9" w:rsidRPr="00F57FCD" w:rsidRDefault="005551B9" w:rsidP="00C07519">
    <w:pPr>
      <w:widowControl w:val="0"/>
      <w:pBdr>
        <w:top w:val="single" w:sz="6" w:space="1" w:color="auto"/>
      </w:pBdr>
      <w:tabs>
        <w:tab w:val="left" w:pos="8505"/>
      </w:tabs>
      <w:spacing w:after="0" w:line="240" w:lineRule="auto"/>
      <w:rPr>
        <w:rFonts w:ascii="Times New Roman" w:hAnsi="Times New Roman" w:cs="Times New Roman"/>
        <w:sz w:val="20"/>
        <w:szCs w:val="20"/>
      </w:rPr>
    </w:pPr>
    <w:r w:rsidRPr="00F57FCD">
      <w:rPr>
        <w:rFonts w:ascii="Times New Roman" w:hAnsi="Times New Roman" w:cs="Times New Roman"/>
        <w:sz w:val="20"/>
        <w:szCs w:val="20"/>
      </w:rPr>
      <w:t>Издание 2025/1</w:t>
    </w:r>
    <w:r w:rsidRPr="00F57FCD">
      <w:rPr>
        <w:rFonts w:ascii="Times New Roman" w:hAnsi="Times New Roman" w:cs="Times New Roman"/>
        <w:sz w:val="20"/>
        <w:szCs w:val="20"/>
      </w:rPr>
      <w:tab/>
      <w:t xml:space="preserve">Страница </w:t>
    </w:r>
    <w:r w:rsidRPr="00F57FCD">
      <w:rPr>
        <w:rFonts w:ascii="Times New Roman" w:hAnsi="Times New Roman" w:cs="Times New Roman"/>
        <w:sz w:val="20"/>
        <w:szCs w:val="20"/>
      </w:rPr>
      <w:fldChar w:fldCharType="begin"/>
    </w:r>
    <w:r w:rsidRPr="00F57FCD">
      <w:rPr>
        <w:rFonts w:ascii="Times New Roman" w:hAnsi="Times New Roman" w:cs="Times New Roman"/>
        <w:sz w:val="20"/>
        <w:szCs w:val="20"/>
      </w:rPr>
      <w:instrText xml:space="preserve"> PAGE </w:instrText>
    </w:r>
    <w:r w:rsidRPr="00F57FCD">
      <w:rPr>
        <w:rFonts w:ascii="Times New Roman" w:hAnsi="Times New Roman" w:cs="Times New Roman"/>
        <w:sz w:val="20"/>
        <w:szCs w:val="20"/>
      </w:rPr>
      <w:fldChar w:fldCharType="separate"/>
    </w:r>
    <w:r w:rsidR="00B0395E">
      <w:rPr>
        <w:rFonts w:ascii="Times New Roman" w:hAnsi="Times New Roman" w:cs="Times New Roman"/>
        <w:noProof/>
        <w:sz w:val="20"/>
        <w:szCs w:val="20"/>
      </w:rPr>
      <w:t>ii</w:t>
    </w:r>
    <w:r w:rsidRPr="00F57FCD">
      <w:rPr>
        <w:rFonts w:ascii="Times New Roman" w:hAnsi="Times New Roman" w:cs="Times New Roman"/>
        <w:sz w:val="20"/>
        <w:szCs w:val="20"/>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7B3BB" w14:textId="1BBE8261" w:rsidR="005551B9" w:rsidRPr="00F31012" w:rsidRDefault="005551B9" w:rsidP="008955B9">
    <w:pPr>
      <w:widowControl w:val="0"/>
      <w:pBdr>
        <w:top w:val="single" w:sz="6" w:space="1" w:color="auto"/>
      </w:pBdr>
      <w:tabs>
        <w:tab w:val="right" w:pos="14034"/>
      </w:tabs>
      <w:spacing w:after="0" w:line="240" w:lineRule="auto"/>
      <w:rPr>
        <w:rFonts w:ascii="Times New Roman" w:hAnsi="Times New Roman" w:cs="Times New Roman"/>
        <w:sz w:val="20"/>
        <w:szCs w:val="20"/>
      </w:rPr>
    </w:pPr>
    <w:r w:rsidRPr="00F31012">
      <w:rPr>
        <w:rFonts w:ascii="Times New Roman" w:hAnsi="Times New Roman" w:cs="Times New Roman"/>
        <w:sz w:val="20"/>
        <w:szCs w:val="20"/>
      </w:rPr>
      <w:t>Издание 2025/1</w:t>
    </w:r>
    <w:r w:rsidRPr="00F31012">
      <w:rPr>
        <w:rFonts w:ascii="Times New Roman" w:hAnsi="Times New Roman" w:cs="Times New Roman"/>
        <w:sz w:val="20"/>
        <w:szCs w:val="20"/>
      </w:rPr>
      <w:tab/>
      <w:t xml:space="preserve">Страница </w:t>
    </w:r>
    <w:r w:rsidRPr="00F31012">
      <w:rPr>
        <w:rFonts w:ascii="Times New Roman" w:hAnsi="Times New Roman" w:cs="Times New Roman"/>
        <w:sz w:val="20"/>
        <w:szCs w:val="20"/>
      </w:rPr>
      <w:fldChar w:fldCharType="begin"/>
    </w:r>
    <w:r w:rsidRPr="00F31012">
      <w:rPr>
        <w:rFonts w:ascii="Times New Roman" w:hAnsi="Times New Roman" w:cs="Times New Roman"/>
        <w:sz w:val="20"/>
        <w:szCs w:val="20"/>
      </w:rPr>
      <w:instrText xml:space="preserve"> PAGE </w:instrText>
    </w:r>
    <w:r w:rsidRPr="00F31012">
      <w:rPr>
        <w:rFonts w:ascii="Times New Roman" w:hAnsi="Times New Roman" w:cs="Times New Roman"/>
        <w:sz w:val="20"/>
        <w:szCs w:val="20"/>
      </w:rPr>
      <w:fldChar w:fldCharType="separate"/>
    </w:r>
    <w:r w:rsidR="00B0395E">
      <w:rPr>
        <w:rFonts w:ascii="Times New Roman" w:hAnsi="Times New Roman" w:cs="Times New Roman"/>
        <w:noProof/>
        <w:sz w:val="20"/>
        <w:szCs w:val="20"/>
      </w:rPr>
      <w:t>506</w:t>
    </w:r>
    <w:r w:rsidRPr="00F31012">
      <w:rPr>
        <w:rFonts w:ascii="Times New Roman" w:hAnsi="Times New Roman" w:cs="Times New Roman"/>
        <w:sz w:val="20"/>
        <w:szCs w:val="20"/>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A6041" w14:textId="3A28007A" w:rsidR="005551B9" w:rsidRPr="00541932" w:rsidRDefault="005551B9" w:rsidP="00541932">
    <w:pPr>
      <w:widowControl w:val="0"/>
      <w:pBdr>
        <w:top w:val="single" w:sz="6" w:space="1" w:color="auto"/>
      </w:pBdr>
      <w:tabs>
        <w:tab w:val="right" w:pos="9000"/>
      </w:tabs>
      <w:spacing w:after="0" w:line="240" w:lineRule="auto"/>
      <w:rPr>
        <w:rFonts w:ascii="Times New Roman" w:hAnsi="Times New Roman" w:cs="Times New Roman"/>
        <w:sz w:val="20"/>
        <w:szCs w:val="20"/>
      </w:rPr>
    </w:pPr>
    <w:r w:rsidRPr="00541932">
      <w:rPr>
        <w:rFonts w:ascii="Times New Roman" w:hAnsi="Times New Roman" w:cs="Times New Roman"/>
        <w:sz w:val="20"/>
        <w:szCs w:val="20"/>
      </w:rPr>
      <w:t>Издание 2025/1</w:t>
    </w:r>
    <w:r w:rsidRPr="00541932">
      <w:rPr>
        <w:rFonts w:ascii="Times New Roman" w:hAnsi="Times New Roman" w:cs="Times New Roman"/>
        <w:sz w:val="20"/>
        <w:szCs w:val="20"/>
      </w:rPr>
      <w:tab/>
      <w:t xml:space="preserve">Страница </w:t>
    </w:r>
    <w:r w:rsidRPr="00541932">
      <w:rPr>
        <w:rFonts w:ascii="Times New Roman" w:hAnsi="Times New Roman" w:cs="Times New Roman"/>
        <w:sz w:val="20"/>
        <w:szCs w:val="20"/>
      </w:rPr>
      <w:fldChar w:fldCharType="begin"/>
    </w:r>
    <w:r w:rsidRPr="00541932">
      <w:rPr>
        <w:rFonts w:ascii="Times New Roman" w:hAnsi="Times New Roman" w:cs="Times New Roman"/>
        <w:sz w:val="20"/>
        <w:szCs w:val="20"/>
      </w:rPr>
      <w:instrText xml:space="preserve"> PAGE </w:instrText>
    </w:r>
    <w:r w:rsidRPr="00541932">
      <w:rPr>
        <w:rFonts w:ascii="Times New Roman" w:hAnsi="Times New Roman" w:cs="Times New Roman"/>
        <w:sz w:val="20"/>
        <w:szCs w:val="20"/>
      </w:rPr>
      <w:fldChar w:fldCharType="separate"/>
    </w:r>
    <w:r w:rsidR="00B0395E">
      <w:rPr>
        <w:rFonts w:ascii="Times New Roman" w:hAnsi="Times New Roman" w:cs="Times New Roman"/>
        <w:noProof/>
        <w:sz w:val="20"/>
        <w:szCs w:val="20"/>
      </w:rPr>
      <w:t>546</w:t>
    </w:r>
    <w:r w:rsidRPr="00541932">
      <w:rPr>
        <w:rFonts w:ascii="Times New Roman" w:hAnsi="Times New Roman" w:cs="Times New Roman"/>
        <w:sz w:val="20"/>
        <w:szCs w:val="20"/>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A97B0" w14:textId="37101B68" w:rsidR="005551B9" w:rsidRPr="005925B3" w:rsidRDefault="005551B9" w:rsidP="005925B3">
    <w:pPr>
      <w:widowControl w:val="0"/>
      <w:pBdr>
        <w:top w:val="single" w:sz="6" w:space="1" w:color="auto"/>
      </w:pBdr>
      <w:tabs>
        <w:tab w:val="right" w:pos="14034"/>
      </w:tabs>
      <w:spacing w:after="0" w:line="240" w:lineRule="auto"/>
      <w:rPr>
        <w:rFonts w:ascii="Times New Roman" w:hAnsi="Times New Roman" w:cs="Times New Roman"/>
        <w:sz w:val="20"/>
        <w:szCs w:val="20"/>
      </w:rPr>
    </w:pPr>
    <w:r w:rsidRPr="005925B3">
      <w:rPr>
        <w:rFonts w:ascii="Times New Roman" w:hAnsi="Times New Roman" w:cs="Times New Roman"/>
        <w:sz w:val="20"/>
        <w:szCs w:val="20"/>
      </w:rPr>
      <w:t>Издание 2025/1</w:t>
    </w:r>
    <w:r w:rsidRPr="005925B3">
      <w:rPr>
        <w:rFonts w:ascii="Times New Roman" w:hAnsi="Times New Roman" w:cs="Times New Roman"/>
        <w:sz w:val="20"/>
        <w:szCs w:val="20"/>
      </w:rPr>
      <w:tab/>
      <w:t xml:space="preserve">Страница </w:t>
    </w:r>
    <w:r w:rsidRPr="005925B3">
      <w:rPr>
        <w:rFonts w:ascii="Times New Roman" w:hAnsi="Times New Roman" w:cs="Times New Roman"/>
        <w:sz w:val="20"/>
        <w:szCs w:val="20"/>
      </w:rPr>
      <w:fldChar w:fldCharType="begin"/>
    </w:r>
    <w:r w:rsidRPr="005925B3">
      <w:rPr>
        <w:rFonts w:ascii="Times New Roman" w:hAnsi="Times New Roman" w:cs="Times New Roman"/>
        <w:sz w:val="20"/>
        <w:szCs w:val="20"/>
      </w:rPr>
      <w:instrText xml:space="preserve"> PAGE </w:instrText>
    </w:r>
    <w:r w:rsidRPr="005925B3">
      <w:rPr>
        <w:rFonts w:ascii="Times New Roman" w:hAnsi="Times New Roman" w:cs="Times New Roman"/>
        <w:sz w:val="20"/>
        <w:szCs w:val="20"/>
      </w:rPr>
      <w:fldChar w:fldCharType="separate"/>
    </w:r>
    <w:r w:rsidR="00B0395E">
      <w:rPr>
        <w:rFonts w:ascii="Times New Roman" w:hAnsi="Times New Roman" w:cs="Times New Roman"/>
        <w:noProof/>
        <w:sz w:val="20"/>
        <w:szCs w:val="20"/>
      </w:rPr>
      <w:t>507</w:t>
    </w:r>
    <w:r w:rsidRPr="005925B3">
      <w:rPr>
        <w:rFonts w:ascii="Times New Roman" w:hAnsi="Times New Roman" w:cs="Times New Roman"/>
        <w:sz w:val="20"/>
        <w:szCs w:val="20"/>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53F52" w14:textId="28EA57D7" w:rsidR="005551B9" w:rsidRPr="00951E34" w:rsidRDefault="005551B9" w:rsidP="005C4D2C">
    <w:pPr>
      <w:widowControl w:val="0"/>
      <w:pBdr>
        <w:top w:val="single" w:sz="6" w:space="1" w:color="auto"/>
      </w:pBdr>
      <w:tabs>
        <w:tab w:val="right" w:pos="9072"/>
      </w:tabs>
      <w:spacing w:after="0" w:line="240" w:lineRule="auto"/>
      <w:rPr>
        <w:rFonts w:ascii="Times New Roman" w:hAnsi="Times New Roman" w:cs="Times New Roman"/>
        <w:sz w:val="20"/>
        <w:szCs w:val="20"/>
      </w:rPr>
    </w:pPr>
    <w:r w:rsidRPr="00951E34">
      <w:rPr>
        <w:rFonts w:ascii="Times New Roman" w:hAnsi="Times New Roman" w:cs="Times New Roman"/>
        <w:sz w:val="20"/>
        <w:szCs w:val="20"/>
      </w:rPr>
      <w:t>Издание 2025/1</w:t>
    </w:r>
    <w:r w:rsidRPr="00951E34">
      <w:rPr>
        <w:rFonts w:ascii="Times New Roman" w:hAnsi="Times New Roman" w:cs="Times New Roman"/>
        <w:sz w:val="20"/>
        <w:szCs w:val="20"/>
      </w:rPr>
      <w:tab/>
      <w:t xml:space="preserve">Страница </w:t>
    </w:r>
    <w:r w:rsidRPr="00951E34">
      <w:rPr>
        <w:rFonts w:ascii="Times New Roman" w:hAnsi="Times New Roman" w:cs="Times New Roman"/>
        <w:sz w:val="20"/>
        <w:szCs w:val="20"/>
      </w:rPr>
      <w:fldChar w:fldCharType="begin"/>
    </w:r>
    <w:r w:rsidRPr="00951E34">
      <w:rPr>
        <w:rFonts w:ascii="Times New Roman" w:hAnsi="Times New Roman" w:cs="Times New Roman"/>
        <w:sz w:val="20"/>
        <w:szCs w:val="20"/>
      </w:rPr>
      <w:instrText xml:space="preserve"> PAGE </w:instrText>
    </w:r>
    <w:r w:rsidRPr="00951E34">
      <w:rPr>
        <w:rFonts w:ascii="Times New Roman" w:hAnsi="Times New Roman" w:cs="Times New Roman"/>
        <w:sz w:val="20"/>
        <w:szCs w:val="20"/>
      </w:rPr>
      <w:fldChar w:fldCharType="separate"/>
    </w:r>
    <w:r w:rsidR="00B0395E">
      <w:rPr>
        <w:rFonts w:ascii="Times New Roman" w:hAnsi="Times New Roman" w:cs="Times New Roman"/>
        <w:noProof/>
        <w:sz w:val="20"/>
        <w:szCs w:val="20"/>
      </w:rPr>
      <w:t>548</w:t>
    </w:r>
    <w:r w:rsidRPr="00951E34">
      <w:rPr>
        <w:rFonts w:ascii="Times New Roman" w:hAnsi="Times New Roman" w:cs="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029D1" w14:textId="3E71A0B8" w:rsidR="005551B9" w:rsidRPr="00B040B4" w:rsidRDefault="005551B9" w:rsidP="00B41852">
    <w:pPr>
      <w:widowControl w:val="0"/>
      <w:pBdr>
        <w:top w:val="single" w:sz="6" w:space="1" w:color="auto"/>
      </w:pBdr>
      <w:tabs>
        <w:tab w:val="left" w:pos="8448"/>
      </w:tabs>
      <w:spacing w:after="0" w:line="240" w:lineRule="auto"/>
      <w:rPr>
        <w:rFonts w:ascii="Times New Roman" w:hAnsi="Times New Roman" w:cs="Times New Roman"/>
        <w:sz w:val="20"/>
        <w:szCs w:val="20"/>
      </w:rPr>
    </w:pPr>
    <w:r w:rsidRPr="00B040B4">
      <w:rPr>
        <w:rFonts w:ascii="Times New Roman" w:hAnsi="Times New Roman" w:cs="Times New Roman"/>
        <w:sz w:val="20"/>
        <w:szCs w:val="20"/>
      </w:rPr>
      <w:t>Издание 2025/1</w:t>
    </w:r>
    <w:r>
      <w:rPr>
        <w:rFonts w:ascii="Times New Roman" w:hAnsi="Times New Roman" w:cs="Times New Roman"/>
        <w:sz w:val="20"/>
        <w:szCs w:val="20"/>
      </w:rPr>
      <w:tab/>
    </w:r>
    <w:r w:rsidRPr="00B040B4">
      <w:rPr>
        <w:rFonts w:ascii="Times New Roman" w:hAnsi="Times New Roman" w:cs="Times New Roman"/>
        <w:sz w:val="20"/>
        <w:szCs w:val="20"/>
      </w:rPr>
      <w:t xml:space="preserve">Страница </w:t>
    </w:r>
    <w:r w:rsidRPr="00B040B4">
      <w:rPr>
        <w:rFonts w:ascii="Times New Roman" w:hAnsi="Times New Roman" w:cs="Times New Roman"/>
        <w:sz w:val="20"/>
        <w:szCs w:val="20"/>
      </w:rPr>
      <w:fldChar w:fldCharType="begin"/>
    </w:r>
    <w:r w:rsidRPr="00B040B4">
      <w:rPr>
        <w:rFonts w:ascii="Times New Roman" w:hAnsi="Times New Roman" w:cs="Times New Roman"/>
        <w:sz w:val="20"/>
        <w:szCs w:val="20"/>
      </w:rPr>
      <w:instrText xml:space="preserve"> PAGE </w:instrText>
    </w:r>
    <w:r w:rsidRPr="00B040B4">
      <w:rPr>
        <w:rFonts w:ascii="Times New Roman" w:hAnsi="Times New Roman" w:cs="Times New Roman"/>
        <w:sz w:val="20"/>
        <w:szCs w:val="20"/>
      </w:rPr>
      <w:fldChar w:fldCharType="separate"/>
    </w:r>
    <w:r w:rsidR="00B0395E">
      <w:rPr>
        <w:rFonts w:ascii="Times New Roman" w:hAnsi="Times New Roman" w:cs="Times New Roman"/>
        <w:noProof/>
        <w:sz w:val="20"/>
        <w:szCs w:val="20"/>
      </w:rPr>
      <w:t>1</w:t>
    </w:r>
    <w:r w:rsidRPr="00B040B4">
      <w:rPr>
        <w:rFonts w:ascii="Times New Roman" w:hAnsi="Times New Roman" w:cs="Times New Roman"/>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C4DCE" w14:textId="5C18F3FE" w:rsidR="005551B9" w:rsidRPr="00F57FCD" w:rsidRDefault="005551B9" w:rsidP="00A2277D">
    <w:pPr>
      <w:widowControl w:val="0"/>
      <w:pBdr>
        <w:top w:val="single" w:sz="6" w:space="1" w:color="auto"/>
      </w:pBdr>
      <w:tabs>
        <w:tab w:val="left" w:pos="12758"/>
      </w:tabs>
      <w:spacing w:after="0" w:line="240" w:lineRule="auto"/>
      <w:rPr>
        <w:rFonts w:ascii="Times New Roman" w:hAnsi="Times New Roman" w:cs="Times New Roman"/>
        <w:sz w:val="20"/>
        <w:szCs w:val="20"/>
      </w:rPr>
    </w:pPr>
    <w:r w:rsidRPr="00F57FCD">
      <w:rPr>
        <w:rFonts w:ascii="Times New Roman" w:hAnsi="Times New Roman" w:cs="Times New Roman"/>
        <w:sz w:val="20"/>
        <w:szCs w:val="20"/>
      </w:rPr>
      <w:t>Издание 2025/1</w:t>
    </w:r>
    <w:r w:rsidRPr="00F57FCD">
      <w:rPr>
        <w:rFonts w:ascii="Times New Roman" w:hAnsi="Times New Roman" w:cs="Times New Roman"/>
        <w:sz w:val="20"/>
        <w:szCs w:val="20"/>
      </w:rPr>
      <w:tab/>
      <w:t xml:space="preserve">Страница </w:t>
    </w:r>
    <w:r w:rsidRPr="00F57FCD">
      <w:rPr>
        <w:rFonts w:ascii="Times New Roman" w:hAnsi="Times New Roman" w:cs="Times New Roman"/>
        <w:sz w:val="20"/>
        <w:szCs w:val="20"/>
      </w:rPr>
      <w:fldChar w:fldCharType="begin"/>
    </w:r>
    <w:r w:rsidRPr="00F57FCD">
      <w:rPr>
        <w:rFonts w:ascii="Times New Roman" w:hAnsi="Times New Roman" w:cs="Times New Roman"/>
        <w:sz w:val="20"/>
        <w:szCs w:val="20"/>
      </w:rPr>
      <w:instrText xml:space="preserve"> PAGE </w:instrText>
    </w:r>
    <w:r w:rsidRPr="00F57FCD">
      <w:rPr>
        <w:rFonts w:ascii="Times New Roman" w:hAnsi="Times New Roman" w:cs="Times New Roman"/>
        <w:sz w:val="20"/>
        <w:szCs w:val="20"/>
      </w:rPr>
      <w:fldChar w:fldCharType="separate"/>
    </w:r>
    <w:r w:rsidR="00B0395E">
      <w:rPr>
        <w:rFonts w:ascii="Times New Roman" w:hAnsi="Times New Roman" w:cs="Times New Roman"/>
        <w:noProof/>
        <w:sz w:val="20"/>
        <w:szCs w:val="20"/>
      </w:rPr>
      <w:t>293</w:t>
    </w:r>
    <w:r w:rsidRPr="00F57FCD">
      <w:rPr>
        <w:rFonts w:ascii="Times New Roman" w:hAnsi="Times New Roman" w:cs="Times New Roman"/>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9DC0C" w14:textId="74551179" w:rsidR="005551B9" w:rsidRPr="00B040B4" w:rsidRDefault="005551B9" w:rsidP="00C93CC8">
    <w:pPr>
      <w:widowControl w:val="0"/>
      <w:pBdr>
        <w:top w:val="single" w:sz="6" w:space="1" w:color="auto"/>
      </w:pBdr>
      <w:tabs>
        <w:tab w:val="left" w:pos="12758"/>
      </w:tabs>
      <w:spacing w:after="0" w:line="240" w:lineRule="auto"/>
      <w:rPr>
        <w:rFonts w:ascii="Times New Roman" w:hAnsi="Times New Roman" w:cs="Times New Roman"/>
        <w:sz w:val="20"/>
        <w:szCs w:val="20"/>
      </w:rPr>
    </w:pPr>
    <w:r w:rsidRPr="00B040B4">
      <w:rPr>
        <w:rFonts w:ascii="Times New Roman" w:hAnsi="Times New Roman" w:cs="Times New Roman"/>
        <w:sz w:val="20"/>
        <w:szCs w:val="20"/>
      </w:rPr>
      <w:t>Издание 2025/1</w:t>
    </w:r>
    <w:r>
      <w:rPr>
        <w:rFonts w:ascii="Times New Roman" w:hAnsi="Times New Roman" w:cs="Times New Roman"/>
        <w:sz w:val="20"/>
        <w:szCs w:val="20"/>
      </w:rPr>
      <w:tab/>
    </w:r>
    <w:r w:rsidRPr="00B040B4">
      <w:rPr>
        <w:rFonts w:ascii="Times New Roman" w:hAnsi="Times New Roman" w:cs="Times New Roman"/>
        <w:sz w:val="20"/>
        <w:szCs w:val="20"/>
      </w:rPr>
      <w:t xml:space="preserve">Страница </w:t>
    </w:r>
    <w:r w:rsidRPr="00B040B4">
      <w:rPr>
        <w:rFonts w:ascii="Times New Roman" w:hAnsi="Times New Roman" w:cs="Times New Roman"/>
        <w:sz w:val="20"/>
        <w:szCs w:val="20"/>
      </w:rPr>
      <w:fldChar w:fldCharType="begin"/>
    </w:r>
    <w:r w:rsidRPr="00B040B4">
      <w:rPr>
        <w:rFonts w:ascii="Times New Roman" w:hAnsi="Times New Roman" w:cs="Times New Roman"/>
        <w:sz w:val="20"/>
        <w:szCs w:val="20"/>
      </w:rPr>
      <w:instrText xml:space="preserve"> PAGE </w:instrText>
    </w:r>
    <w:r w:rsidRPr="00B040B4">
      <w:rPr>
        <w:rFonts w:ascii="Times New Roman" w:hAnsi="Times New Roman" w:cs="Times New Roman"/>
        <w:sz w:val="20"/>
        <w:szCs w:val="20"/>
      </w:rPr>
      <w:fldChar w:fldCharType="separate"/>
    </w:r>
    <w:r w:rsidR="00B0395E">
      <w:rPr>
        <w:rFonts w:ascii="Times New Roman" w:hAnsi="Times New Roman" w:cs="Times New Roman"/>
        <w:noProof/>
        <w:sz w:val="20"/>
        <w:szCs w:val="20"/>
      </w:rPr>
      <w:t>261</w:t>
    </w:r>
    <w:r w:rsidRPr="00B040B4">
      <w:rPr>
        <w:rFonts w:ascii="Times New Roman" w:hAnsi="Times New Roman" w:cs="Times New Roman"/>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E9C0" w14:textId="4C72A69D" w:rsidR="005551B9" w:rsidRPr="002B4A99" w:rsidRDefault="005551B9">
    <w:pPr>
      <w:widowControl w:val="0"/>
      <w:pBdr>
        <w:top w:val="single" w:sz="6" w:space="1" w:color="auto"/>
      </w:pBdr>
      <w:tabs>
        <w:tab w:val="right" w:pos="13892"/>
      </w:tabs>
      <w:spacing w:line="240" w:lineRule="atLeast"/>
      <w:rPr>
        <w:rFonts w:ascii="Times New Roman" w:hAnsi="Times New Roman" w:cs="Times New Roman"/>
        <w:sz w:val="20"/>
        <w:szCs w:val="20"/>
      </w:rPr>
    </w:pPr>
    <w:r w:rsidRPr="002B4A99">
      <w:rPr>
        <w:rFonts w:ascii="Times New Roman" w:hAnsi="Times New Roman" w:cs="Times New Roman"/>
        <w:sz w:val="20"/>
        <w:szCs w:val="20"/>
      </w:rPr>
      <w:t>Издание 20</w:t>
    </w:r>
    <w:r>
      <w:rPr>
        <w:rFonts w:ascii="Times New Roman" w:hAnsi="Times New Roman" w:cs="Times New Roman"/>
        <w:sz w:val="20"/>
        <w:szCs w:val="20"/>
      </w:rPr>
      <w:t>25</w:t>
    </w:r>
    <w:r w:rsidRPr="002B4A99">
      <w:rPr>
        <w:rFonts w:ascii="Times New Roman" w:hAnsi="Times New Roman" w:cs="Times New Roman"/>
        <w:sz w:val="20"/>
        <w:szCs w:val="20"/>
      </w:rPr>
      <w:t>/1</w:t>
    </w:r>
    <w:r w:rsidRPr="002B4A99">
      <w:rPr>
        <w:rFonts w:ascii="Times New Roman" w:hAnsi="Times New Roman" w:cs="Times New Roman"/>
        <w:sz w:val="20"/>
        <w:szCs w:val="20"/>
      </w:rPr>
      <w:tab/>
      <w:t xml:space="preserve">Страница </w:t>
    </w:r>
    <w:r w:rsidRPr="002B4A99">
      <w:rPr>
        <w:rFonts w:ascii="Times New Roman" w:hAnsi="Times New Roman" w:cs="Times New Roman"/>
        <w:sz w:val="20"/>
        <w:szCs w:val="20"/>
      </w:rPr>
      <w:fldChar w:fldCharType="begin"/>
    </w:r>
    <w:r w:rsidRPr="002B4A99">
      <w:rPr>
        <w:rFonts w:ascii="Times New Roman" w:hAnsi="Times New Roman" w:cs="Times New Roman"/>
        <w:sz w:val="20"/>
        <w:szCs w:val="20"/>
      </w:rPr>
      <w:instrText xml:space="preserve"> PAGE </w:instrText>
    </w:r>
    <w:r w:rsidRPr="002B4A99">
      <w:rPr>
        <w:rFonts w:ascii="Times New Roman" w:hAnsi="Times New Roman" w:cs="Times New Roman"/>
        <w:sz w:val="20"/>
        <w:szCs w:val="20"/>
      </w:rPr>
      <w:fldChar w:fldCharType="separate"/>
    </w:r>
    <w:r w:rsidR="00B0395E">
      <w:rPr>
        <w:rFonts w:ascii="Times New Roman" w:hAnsi="Times New Roman" w:cs="Times New Roman"/>
        <w:noProof/>
        <w:sz w:val="20"/>
        <w:szCs w:val="20"/>
      </w:rPr>
      <w:t>294</w:t>
    </w:r>
    <w:r w:rsidRPr="002B4A99">
      <w:rPr>
        <w:rFonts w:ascii="Times New Roman" w:hAnsi="Times New Roman" w:cs="Times New Roman"/>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016A5" w14:textId="00E40B91" w:rsidR="005551B9" w:rsidRPr="00F57FCD" w:rsidRDefault="005551B9" w:rsidP="00634304">
    <w:pPr>
      <w:widowControl w:val="0"/>
      <w:pBdr>
        <w:top w:val="single" w:sz="6" w:space="1" w:color="auto"/>
      </w:pBdr>
      <w:tabs>
        <w:tab w:val="left" w:pos="8448"/>
      </w:tabs>
      <w:spacing w:after="0" w:line="240" w:lineRule="auto"/>
      <w:rPr>
        <w:rFonts w:ascii="Times New Roman" w:hAnsi="Times New Roman" w:cs="Times New Roman"/>
        <w:sz w:val="20"/>
        <w:szCs w:val="20"/>
      </w:rPr>
    </w:pPr>
    <w:r w:rsidRPr="00391CB2">
      <w:rPr>
        <w:rFonts w:ascii="Times New Roman" w:hAnsi="Times New Roman" w:cs="Times New Roman"/>
        <w:sz w:val="20"/>
        <w:szCs w:val="20"/>
      </w:rPr>
      <w:t>Издание 2025/1</w:t>
    </w:r>
    <w:r w:rsidRPr="00391CB2">
      <w:rPr>
        <w:rFonts w:ascii="Times New Roman" w:hAnsi="Times New Roman" w:cs="Times New Roman"/>
        <w:sz w:val="20"/>
        <w:szCs w:val="20"/>
      </w:rPr>
      <w:tab/>
      <w:t xml:space="preserve">Страница </w:t>
    </w:r>
    <w:r w:rsidRPr="00391CB2">
      <w:rPr>
        <w:rFonts w:ascii="Times New Roman" w:hAnsi="Times New Roman" w:cs="Times New Roman"/>
        <w:sz w:val="20"/>
        <w:szCs w:val="20"/>
      </w:rPr>
      <w:fldChar w:fldCharType="begin"/>
    </w:r>
    <w:r w:rsidRPr="00391CB2">
      <w:rPr>
        <w:rFonts w:ascii="Times New Roman" w:hAnsi="Times New Roman" w:cs="Times New Roman"/>
        <w:sz w:val="20"/>
        <w:szCs w:val="20"/>
      </w:rPr>
      <w:instrText xml:space="preserve"> PAGE </w:instrText>
    </w:r>
    <w:r w:rsidRPr="00391CB2">
      <w:rPr>
        <w:rFonts w:ascii="Times New Roman" w:hAnsi="Times New Roman" w:cs="Times New Roman"/>
        <w:sz w:val="20"/>
        <w:szCs w:val="20"/>
      </w:rPr>
      <w:fldChar w:fldCharType="separate"/>
    </w:r>
    <w:r w:rsidR="00B0395E">
      <w:rPr>
        <w:rFonts w:ascii="Times New Roman" w:hAnsi="Times New Roman" w:cs="Times New Roman"/>
        <w:noProof/>
        <w:sz w:val="20"/>
        <w:szCs w:val="20"/>
      </w:rPr>
      <w:t>336</w:t>
    </w:r>
    <w:r w:rsidRPr="00391CB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092D2" w14:textId="77777777" w:rsidR="002C62EC" w:rsidRDefault="002C62EC">
      <w:r>
        <w:separator/>
      </w:r>
    </w:p>
  </w:footnote>
  <w:footnote w:type="continuationSeparator" w:id="0">
    <w:p w14:paraId="6F0F32C3" w14:textId="77777777" w:rsidR="002C62EC" w:rsidRDefault="002C62EC">
      <w:r>
        <w:continuationSeparator/>
      </w:r>
    </w:p>
  </w:footnote>
  <w:footnote w:id="1">
    <w:p w14:paraId="2DA02737" w14:textId="463F5BF6" w:rsidR="005551B9" w:rsidRPr="002F5B9C" w:rsidRDefault="005551B9" w:rsidP="00F87E04">
      <w:pPr>
        <w:pStyle w:val="FootnoteText"/>
        <w:ind w:left="284" w:hanging="284"/>
        <w:jc w:val="both"/>
        <w:rPr>
          <w:sz w:val="16"/>
          <w:szCs w:val="16"/>
          <w:lang w:val="ru-RU"/>
        </w:rPr>
      </w:pPr>
      <w:r>
        <w:rPr>
          <w:rStyle w:val="FootnoteReference"/>
          <w:sz w:val="16"/>
        </w:rPr>
        <w:footnoteRef/>
      </w:r>
      <w:r w:rsidRPr="002F5B9C">
        <w:rPr>
          <w:sz w:val="16"/>
          <w:lang w:val="ru-RU"/>
        </w:rPr>
        <w:t xml:space="preserve"> </w:t>
      </w:r>
      <w:r w:rsidRPr="002F5B9C">
        <w:rPr>
          <w:sz w:val="16"/>
          <w:szCs w:val="16"/>
          <w:lang w:val="ru-RU"/>
        </w:rPr>
        <w:t xml:space="preserve">Резолюция </w:t>
      </w:r>
      <w:r>
        <w:rPr>
          <w:sz w:val="16"/>
          <w:szCs w:val="16"/>
        </w:rPr>
        <w:t>MSC</w:t>
      </w:r>
      <w:r w:rsidRPr="002F5B9C">
        <w:rPr>
          <w:sz w:val="16"/>
          <w:szCs w:val="16"/>
          <w:lang w:val="ru-RU"/>
        </w:rPr>
        <w:t>.307 (88) на ИМО, приета на 3 декември 2010</w:t>
      </w:r>
      <w:r>
        <w:rPr>
          <w:sz w:val="16"/>
          <w:szCs w:val="16"/>
        </w:rPr>
        <w:t> </w:t>
      </w:r>
      <w:r w:rsidRPr="002F5B9C">
        <w:rPr>
          <w:sz w:val="16"/>
          <w:szCs w:val="16"/>
          <w:lang w:val="ru-RU"/>
        </w:rPr>
        <w:t>г. — Международен кодекс за прилагане на процедури за противопожарни изпитания.</w:t>
      </w:r>
    </w:p>
    <w:p w14:paraId="05F20208" w14:textId="7A1909F6" w:rsidR="005551B9" w:rsidRDefault="005551B9" w:rsidP="00F87E04">
      <w:pPr>
        <w:pStyle w:val="FootnoteText"/>
        <w:ind w:left="284" w:hanging="284"/>
        <w:jc w:val="both"/>
        <w:rPr>
          <w:sz w:val="16"/>
          <w:szCs w:val="16"/>
        </w:rPr>
      </w:pPr>
      <w:r w:rsidRPr="00F87E04">
        <w:rPr>
          <w:sz w:val="16"/>
          <w:szCs w:val="16"/>
          <w:vertAlign w:val="superscript"/>
        </w:rPr>
        <w:t>2</w:t>
      </w:r>
      <w:r w:rsidRPr="00C630E5">
        <w:rPr>
          <w:sz w:val="16"/>
          <w:szCs w:val="16"/>
        </w:rPr>
        <w:t xml:space="preserve"> </w:t>
      </w:r>
      <w:r>
        <w:rPr>
          <w:sz w:val="16"/>
          <w:szCs w:val="16"/>
        </w:rPr>
        <w:t xml:space="preserve">   </w:t>
      </w:r>
      <w:r w:rsidRPr="00C630E5">
        <w:rPr>
          <w:sz w:val="16"/>
          <w:szCs w:val="16"/>
        </w:rPr>
        <w:t>CESNI Resolution 2024-II-2 dated 17 October 2024</w:t>
      </w:r>
    </w:p>
  </w:footnote>
  <w:footnote w:id="2">
    <w:p w14:paraId="1892324D" w14:textId="77777777" w:rsidR="005551B9" w:rsidRPr="002F5B9C" w:rsidRDefault="005551B9">
      <w:pPr>
        <w:pStyle w:val="FootnoteText"/>
        <w:spacing w:before="40"/>
        <w:ind w:left="284" w:hanging="284"/>
        <w:rPr>
          <w:rFonts w:cs="Arial"/>
          <w:sz w:val="16"/>
          <w:szCs w:val="16"/>
          <w:lang w:val="ru-RU"/>
        </w:rPr>
      </w:pPr>
      <w:r>
        <w:rPr>
          <w:rStyle w:val="FootnoteReference"/>
          <w:sz w:val="16"/>
        </w:rPr>
        <w:footnoteRef/>
      </w:r>
      <w:r w:rsidRPr="002F5B9C">
        <w:rPr>
          <w:sz w:val="16"/>
          <w:lang w:val="ru-RU"/>
        </w:rPr>
        <w:t xml:space="preserve"> </w:t>
      </w:r>
      <w:r w:rsidRPr="002F5B9C">
        <w:rPr>
          <w:lang w:val="ru-RU"/>
        </w:rPr>
        <w:tab/>
      </w:r>
      <w:r w:rsidRPr="002F5B9C">
        <w:rPr>
          <w:sz w:val="16"/>
          <w:lang w:val="ru-RU"/>
        </w:rPr>
        <w:t xml:space="preserve">Директива 2014/90/ЕС на Европейския парламент и на Съвета от 23 юли 2014 година относно морското оборудване и за отмяна на Директива 96/98/ЕО (ОВ </w:t>
      </w:r>
      <w:r>
        <w:rPr>
          <w:sz w:val="16"/>
        </w:rPr>
        <w:t>L </w:t>
      </w:r>
      <w:r w:rsidRPr="002F5B9C">
        <w:rPr>
          <w:sz w:val="16"/>
          <w:lang w:val="ru-RU"/>
        </w:rPr>
        <w:t>257, 28.8.2014</w:t>
      </w:r>
      <w:r>
        <w:rPr>
          <w:sz w:val="16"/>
        </w:rPr>
        <w:t> </w:t>
      </w:r>
      <w:r w:rsidRPr="002F5B9C">
        <w:rPr>
          <w:sz w:val="16"/>
          <w:lang w:val="ru-RU"/>
        </w:rPr>
        <w:t>г.).</w:t>
      </w:r>
    </w:p>
  </w:footnote>
  <w:footnote w:id="3">
    <w:p w14:paraId="3BA08127" w14:textId="77777777" w:rsidR="005551B9" w:rsidRPr="002F5B9C" w:rsidRDefault="005551B9">
      <w:pPr>
        <w:pStyle w:val="FootnoteText"/>
        <w:ind w:left="284" w:hanging="284"/>
        <w:jc w:val="both"/>
        <w:rPr>
          <w:lang w:val="ru-RU"/>
        </w:rPr>
      </w:pPr>
      <w:r>
        <w:rPr>
          <w:rStyle w:val="FootnoteReference"/>
        </w:rPr>
        <w:footnoteRef/>
      </w:r>
      <w:r w:rsidRPr="002F5B9C">
        <w:rPr>
          <w:lang w:val="ru-RU"/>
        </w:rPr>
        <w:tab/>
      </w:r>
      <w:hyperlink r:id="rId1">
        <w:r w:rsidRPr="002F5B9C">
          <w:rPr>
            <w:color w:val="000000"/>
            <w:sz w:val="16"/>
            <w:lang w:val="ru-RU"/>
          </w:rPr>
          <w:t>Регламент (ЕС) 2016/1628 на Европейския парламент и на Съвета от 14 септември 2016 година относно изискванията за граничните стойности на емисиите на газообразни и прахови замърсители и за одобряването на типа на двигателите с вътрешно горене за извънпътна подвижна техника, за изменение на регламенти (ЕС) № 1024/2012 и (ЕС) № 167/2013 и за изменение и отмяна на Директива 97/68/ЕО</w:t>
        </w:r>
      </w:hyperlink>
      <w:r w:rsidRPr="002F5B9C">
        <w:rPr>
          <w:color w:val="444444"/>
          <w:sz w:val="16"/>
          <w:lang w:val="ru-RU"/>
        </w:rPr>
        <w:t xml:space="preserve"> </w:t>
      </w:r>
      <w:r w:rsidRPr="002F5B9C">
        <w:rPr>
          <w:sz w:val="16"/>
          <w:lang w:val="ru-RU"/>
        </w:rPr>
        <w:t xml:space="preserve">(ОВ </w:t>
      </w:r>
      <w:r>
        <w:rPr>
          <w:sz w:val="16"/>
        </w:rPr>
        <w:t>L</w:t>
      </w:r>
      <w:r w:rsidRPr="002F5B9C">
        <w:rPr>
          <w:sz w:val="16"/>
          <w:lang w:val="ru-RU"/>
        </w:rPr>
        <w:t xml:space="preserve"> 252, 16.9.2016</w:t>
      </w:r>
      <w:r>
        <w:rPr>
          <w:sz w:val="16"/>
        </w:rPr>
        <w:t> </w:t>
      </w:r>
      <w:r w:rsidRPr="002F5B9C">
        <w:rPr>
          <w:sz w:val="16"/>
          <w:lang w:val="ru-RU"/>
        </w:rPr>
        <w:t>г.).</w:t>
      </w:r>
    </w:p>
  </w:footnote>
  <w:footnote w:id="4">
    <w:p w14:paraId="17878319" w14:textId="77777777" w:rsidR="005551B9" w:rsidRPr="002F5B9C" w:rsidRDefault="005551B9">
      <w:pPr>
        <w:pStyle w:val="FootnoteText"/>
        <w:ind w:left="284" w:hanging="284"/>
        <w:jc w:val="both"/>
        <w:rPr>
          <w:lang w:val="ru-RU"/>
        </w:rPr>
      </w:pPr>
      <w:r>
        <w:rPr>
          <w:rStyle w:val="FootnoteReference"/>
        </w:rPr>
        <w:footnoteRef/>
      </w:r>
      <w:r w:rsidRPr="002F5B9C">
        <w:rPr>
          <w:lang w:val="ru-RU"/>
        </w:rPr>
        <w:t xml:space="preserve"> </w:t>
      </w:r>
      <w:r w:rsidRPr="002F5B9C">
        <w:rPr>
          <w:lang w:val="ru-RU"/>
        </w:rPr>
        <w:tab/>
      </w:r>
      <w:r w:rsidRPr="002F5B9C">
        <w:rPr>
          <w:sz w:val="16"/>
          <w:lang w:val="ru-RU"/>
        </w:rPr>
        <w:t>Резолюция А.800 (19) на ИМО, приета на 23 ноември 1995</w:t>
      </w:r>
      <w:r>
        <w:rPr>
          <w:sz w:val="16"/>
        </w:rPr>
        <w:t> </w:t>
      </w:r>
      <w:r w:rsidRPr="002F5B9C">
        <w:rPr>
          <w:sz w:val="16"/>
          <w:lang w:val="ru-RU"/>
        </w:rPr>
        <w:t xml:space="preserve">г. — Преработени насоки за одобрение на спринклерни системи, еквивалентни на тези, посочени в Правило </w:t>
      </w:r>
      <w:r>
        <w:rPr>
          <w:sz w:val="16"/>
        </w:rPr>
        <w:t>II</w:t>
      </w:r>
      <w:r w:rsidRPr="002F5B9C">
        <w:rPr>
          <w:sz w:val="16"/>
          <w:lang w:val="ru-RU"/>
        </w:rPr>
        <w:t xml:space="preserve">-2/12 от </w:t>
      </w:r>
      <w:r>
        <w:rPr>
          <w:sz w:val="16"/>
        </w:rPr>
        <w:t>SOLAS</w:t>
      </w:r>
      <w:r w:rsidRPr="002F5B9C">
        <w:rPr>
          <w:sz w:val="16"/>
          <w:lang w:val="ru-RU"/>
        </w:rPr>
        <w:t>.</w:t>
      </w:r>
    </w:p>
  </w:footnote>
  <w:footnote w:id="5">
    <w:p w14:paraId="44BD05F6" w14:textId="77777777" w:rsidR="005551B9" w:rsidRPr="002F5B9C" w:rsidRDefault="005551B9">
      <w:pPr>
        <w:pStyle w:val="FootnoteText"/>
        <w:ind w:left="284" w:hanging="284"/>
        <w:jc w:val="both"/>
        <w:rPr>
          <w:rFonts w:cs="Arial"/>
          <w:sz w:val="16"/>
          <w:szCs w:val="16"/>
          <w:lang w:val="ru-RU"/>
        </w:rPr>
      </w:pPr>
      <w:r>
        <w:rPr>
          <w:rStyle w:val="FootnoteReference"/>
          <w:sz w:val="16"/>
        </w:rPr>
        <w:footnoteRef/>
      </w:r>
      <w:r w:rsidRPr="002F5B9C">
        <w:rPr>
          <w:sz w:val="16"/>
          <w:lang w:val="ru-RU"/>
        </w:rPr>
        <w:t xml:space="preserve"> </w:t>
      </w:r>
      <w:r w:rsidRPr="002F5B9C">
        <w:rPr>
          <w:lang w:val="ru-RU"/>
        </w:rPr>
        <w:tab/>
      </w:r>
      <w:r w:rsidRPr="002F5B9C">
        <w:rPr>
          <w:sz w:val="16"/>
          <w:lang w:val="ru-RU"/>
        </w:rPr>
        <w:t xml:space="preserve">Циркулярно писмо </w:t>
      </w:r>
      <w:r>
        <w:rPr>
          <w:sz w:val="16"/>
        </w:rPr>
        <w:t>MSC</w:t>
      </w:r>
      <w:r w:rsidRPr="002F5B9C">
        <w:rPr>
          <w:sz w:val="16"/>
          <w:lang w:val="ru-RU"/>
        </w:rPr>
        <w:t>/</w:t>
      </w:r>
      <w:r>
        <w:rPr>
          <w:sz w:val="16"/>
        </w:rPr>
        <w:t>Circ</w:t>
      </w:r>
      <w:r w:rsidRPr="002F5B9C">
        <w:rPr>
          <w:sz w:val="16"/>
          <w:lang w:val="ru-RU"/>
        </w:rPr>
        <w:t xml:space="preserve">. 1165 — Ревизирани указания за одобряването на еквивалентни пожарогасителни системи на водна основа за машинни помещения и товарни помпени отделения, приети на 10 юни 2005 г. и изменени с </w:t>
      </w:r>
      <w:r>
        <w:rPr>
          <w:sz w:val="16"/>
        </w:rPr>
        <w:t>MSC</w:t>
      </w:r>
      <w:r w:rsidRPr="002F5B9C">
        <w:rPr>
          <w:sz w:val="16"/>
          <w:lang w:val="ru-RU"/>
        </w:rPr>
        <w:t>/</w:t>
      </w:r>
      <w:r>
        <w:rPr>
          <w:sz w:val="16"/>
        </w:rPr>
        <w:t>Circ</w:t>
      </w:r>
      <w:r w:rsidRPr="002F5B9C">
        <w:rPr>
          <w:sz w:val="16"/>
          <w:lang w:val="ru-RU"/>
        </w:rPr>
        <w:t xml:space="preserve">.1269, </w:t>
      </w:r>
      <w:r>
        <w:rPr>
          <w:sz w:val="16"/>
        </w:rPr>
        <w:t>MSC</w:t>
      </w:r>
      <w:r w:rsidRPr="002F5B9C">
        <w:rPr>
          <w:sz w:val="16"/>
          <w:lang w:val="ru-RU"/>
        </w:rPr>
        <w:t>/</w:t>
      </w:r>
      <w:r>
        <w:rPr>
          <w:sz w:val="16"/>
        </w:rPr>
        <w:t>Circ</w:t>
      </w:r>
      <w:r w:rsidRPr="002F5B9C">
        <w:rPr>
          <w:sz w:val="16"/>
          <w:lang w:val="ru-RU"/>
        </w:rPr>
        <w:t xml:space="preserve">.1386 и </w:t>
      </w:r>
      <w:r>
        <w:rPr>
          <w:sz w:val="16"/>
        </w:rPr>
        <w:t>MSC</w:t>
      </w:r>
      <w:r w:rsidRPr="002F5B9C">
        <w:rPr>
          <w:sz w:val="16"/>
          <w:lang w:val="ru-RU"/>
        </w:rPr>
        <w:t>/</w:t>
      </w:r>
      <w:r>
        <w:rPr>
          <w:sz w:val="16"/>
        </w:rPr>
        <w:t>Circ</w:t>
      </w:r>
      <w:r w:rsidRPr="002F5B9C">
        <w:rPr>
          <w:sz w:val="16"/>
          <w:lang w:val="ru-RU"/>
        </w:rPr>
        <w:t>.1385.</w:t>
      </w:r>
    </w:p>
  </w:footnote>
  <w:footnote w:id="6">
    <w:p w14:paraId="229A8AD5" w14:textId="77777777" w:rsidR="005551B9" w:rsidRPr="002F5B9C" w:rsidRDefault="005551B9">
      <w:pPr>
        <w:pStyle w:val="FootnoteText"/>
        <w:jc w:val="both"/>
        <w:rPr>
          <w:lang w:val="ru-RU"/>
        </w:rPr>
      </w:pPr>
      <w:r>
        <w:rPr>
          <w:rStyle w:val="FootnoteReference"/>
          <w:szCs w:val="22"/>
        </w:rPr>
        <w:footnoteRef/>
      </w:r>
      <w:r w:rsidRPr="002F5B9C">
        <w:rPr>
          <w:szCs w:val="22"/>
          <w:lang w:val="ru-RU"/>
        </w:rPr>
        <w:t xml:space="preserve"> </w:t>
      </w:r>
      <w:r w:rsidRPr="002F5B9C">
        <w:rPr>
          <w:sz w:val="16"/>
          <w:szCs w:val="16"/>
          <w:lang w:val="ru-RU"/>
        </w:rPr>
        <w:t xml:space="preserve">Циркуляр </w:t>
      </w:r>
      <w:r>
        <w:rPr>
          <w:sz w:val="16"/>
          <w:szCs w:val="16"/>
        </w:rPr>
        <w:t>MSC</w:t>
      </w:r>
      <w:r w:rsidRPr="002F5B9C">
        <w:rPr>
          <w:sz w:val="16"/>
          <w:szCs w:val="16"/>
          <w:lang w:val="ru-RU"/>
        </w:rPr>
        <w:t>/</w:t>
      </w:r>
      <w:r>
        <w:rPr>
          <w:sz w:val="16"/>
          <w:szCs w:val="16"/>
        </w:rPr>
        <w:t>Circ</w:t>
      </w:r>
      <w:r w:rsidRPr="002F5B9C">
        <w:rPr>
          <w:sz w:val="16"/>
          <w:szCs w:val="16"/>
          <w:lang w:val="ru-RU"/>
        </w:rPr>
        <w:t xml:space="preserve">. 1270 – Преразгледани насоки за одобрение на стационарни аерозолни пожарогасителни системи, еквивалентни на стационарни газови пожарогасителни системи, както е посочено в </w:t>
      </w:r>
      <w:r>
        <w:rPr>
          <w:sz w:val="16"/>
          <w:szCs w:val="16"/>
        </w:rPr>
        <w:t>SOLAS</w:t>
      </w:r>
      <w:r w:rsidRPr="002F5B9C">
        <w:rPr>
          <w:sz w:val="16"/>
          <w:szCs w:val="16"/>
          <w:lang w:val="ru-RU"/>
        </w:rPr>
        <w:t xml:space="preserve"> 1974, за машинни отделения - приети на 4 юни 2008 г. Циркуляр </w:t>
      </w:r>
      <w:r>
        <w:rPr>
          <w:sz w:val="16"/>
          <w:szCs w:val="16"/>
        </w:rPr>
        <w:t>MSC</w:t>
      </w:r>
      <w:r w:rsidRPr="002F5B9C">
        <w:rPr>
          <w:sz w:val="16"/>
          <w:szCs w:val="16"/>
          <w:lang w:val="ru-RU"/>
        </w:rPr>
        <w:t>/</w:t>
      </w:r>
      <w:r>
        <w:rPr>
          <w:sz w:val="16"/>
          <w:szCs w:val="16"/>
        </w:rPr>
        <w:t>Circ</w:t>
      </w:r>
      <w:r w:rsidRPr="002F5B9C">
        <w:rPr>
          <w:sz w:val="16"/>
          <w:szCs w:val="16"/>
          <w:lang w:val="ru-RU"/>
        </w:rPr>
        <w:t>. 1270/</w:t>
      </w:r>
      <w:r>
        <w:rPr>
          <w:sz w:val="16"/>
          <w:szCs w:val="16"/>
        </w:rPr>
        <w:t>Corr</w:t>
      </w:r>
      <w:r w:rsidRPr="002F5B9C">
        <w:rPr>
          <w:sz w:val="16"/>
          <w:szCs w:val="16"/>
          <w:lang w:val="ru-RU"/>
        </w:rPr>
        <w:t>. 1 - Поправка - приета на 29 август 2008 г.</w:t>
      </w:r>
    </w:p>
    <w:p w14:paraId="1DCCC667" w14:textId="77777777" w:rsidR="005551B9" w:rsidRPr="002F5B9C" w:rsidRDefault="005551B9">
      <w:pPr>
        <w:pStyle w:val="FootnoteText"/>
        <w:jc w:val="both"/>
        <w:rPr>
          <w:szCs w:val="22"/>
          <w:lang w:val="ru-RU"/>
        </w:rPr>
      </w:pPr>
    </w:p>
  </w:footnote>
  <w:footnote w:id="7">
    <w:p w14:paraId="70B943BB" w14:textId="2843403C" w:rsidR="005551B9" w:rsidRPr="002F5B9C" w:rsidRDefault="005551B9" w:rsidP="00BA14A4">
      <w:pPr>
        <w:pStyle w:val="title-bold"/>
        <w:shd w:val="clear" w:color="auto" w:fill="FFFFFF"/>
        <w:spacing w:before="0" w:beforeAutospacing="0" w:after="75" w:afterAutospacing="0"/>
        <w:jc w:val="both"/>
        <w:rPr>
          <w:lang w:val="ru-RU"/>
        </w:rPr>
      </w:pPr>
      <w:r>
        <w:rPr>
          <w:rStyle w:val="FootnoteReference"/>
        </w:rPr>
        <w:footnoteRef/>
      </w:r>
      <w:r w:rsidRPr="002F5B9C">
        <w:rPr>
          <w:lang w:val="ru-RU"/>
        </w:rPr>
        <w:t xml:space="preserve"> </w:t>
      </w:r>
      <w:r w:rsidRPr="002F5B9C">
        <w:rPr>
          <w:rFonts w:cstheme="minorHAnsi"/>
          <w:bCs/>
          <w:sz w:val="20"/>
          <w:szCs w:val="20"/>
          <w:lang w:val="ru-RU"/>
        </w:rPr>
        <w:t>Регламент (ЕС) 2016/425 на Европейския парламент и на Съвета от 9 март 2016 година относно личните предпазни средства и за отмяна на Директива 89/686/ЕИО на Съвета (</w:t>
      </w:r>
      <w:r>
        <w:rPr>
          <w:rFonts w:cstheme="minorHAnsi"/>
          <w:i/>
          <w:iCs/>
          <w:sz w:val="20"/>
          <w:szCs w:val="20"/>
        </w:rPr>
        <w:t>OB</w:t>
      </w:r>
      <w:r w:rsidRPr="002F5B9C">
        <w:rPr>
          <w:rFonts w:cstheme="minorHAnsi"/>
          <w:i/>
          <w:iCs/>
          <w:sz w:val="20"/>
          <w:szCs w:val="20"/>
          <w:lang w:val="ru-RU"/>
        </w:rPr>
        <w:t xml:space="preserve"> </w:t>
      </w:r>
      <w:r>
        <w:rPr>
          <w:rFonts w:cstheme="minorHAnsi"/>
          <w:i/>
          <w:iCs/>
          <w:sz w:val="20"/>
          <w:szCs w:val="20"/>
        </w:rPr>
        <w:t>L</w:t>
      </w:r>
      <w:r w:rsidRPr="002F5B9C">
        <w:rPr>
          <w:rFonts w:cstheme="minorHAnsi"/>
          <w:i/>
          <w:iCs/>
          <w:sz w:val="20"/>
          <w:szCs w:val="20"/>
          <w:lang w:val="ru-RU"/>
        </w:rPr>
        <w:t xml:space="preserve"> 81/51, 31/03/2016) </w:t>
      </w:r>
      <w:r w:rsidRPr="002F5B9C">
        <w:rPr>
          <w:rFonts w:cstheme="minorHAnsi"/>
          <w:iCs/>
          <w:sz w:val="20"/>
          <w:szCs w:val="20"/>
          <w:lang w:val="ru-RU"/>
        </w:rPr>
        <w:t>или идентични разпоредби на швейцарската Наредба за безопасност на личното предпазно оборудване от 25 октомври 2017 г. (</w:t>
      </w:r>
      <w:r>
        <w:rPr>
          <w:rFonts w:cstheme="minorHAnsi"/>
          <w:iCs/>
          <w:sz w:val="20"/>
          <w:szCs w:val="20"/>
        </w:rPr>
        <w:t>RS</w:t>
      </w:r>
      <w:r w:rsidRPr="002F5B9C">
        <w:rPr>
          <w:rFonts w:cstheme="minorHAnsi"/>
          <w:iCs/>
          <w:sz w:val="20"/>
          <w:szCs w:val="20"/>
          <w:lang w:val="ru-RU"/>
        </w:rPr>
        <w:t xml:space="preserve"> 930.115).</w:t>
      </w:r>
    </w:p>
  </w:footnote>
  <w:footnote w:id="8">
    <w:p w14:paraId="0E6846E3" w14:textId="77777777" w:rsidR="005551B9" w:rsidRPr="00EF18BA" w:rsidRDefault="005551B9">
      <w:pPr>
        <w:spacing w:line="240" w:lineRule="atLeast"/>
        <w:jc w:val="both"/>
        <w:rPr>
          <w:sz w:val="16"/>
          <w:szCs w:val="16"/>
          <w:highlight w:val="yellow"/>
          <w:lang w:val="ru-RU"/>
        </w:rPr>
      </w:pPr>
      <w:r w:rsidRPr="00EF18BA">
        <w:rPr>
          <w:rStyle w:val="FootnoteReference"/>
          <w:highlight w:val="yellow"/>
        </w:rPr>
        <w:footnoteRef/>
      </w:r>
      <w:r w:rsidRPr="00EF18BA">
        <w:rPr>
          <w:sz w:val="16"/>
          <w:szCs w:val="16"/>
          <w:highlight w:val="yellow"/>
          <w:lang w:val="ru-RU"/>
        </w:rPr>
        <w:t xml:space="preserve"> Държавите членки могат да прилагат еквивалентни процедури.</w:t>
      </w:r>
    </w:p>
  </w:footnote>
  <w:footnote w:id="9">
    <w:p w14:paraId="51741FF2" w14:textId="4473D480" w:rsidR="005551B9" w:rsidRPr="002F5B9C" w:rsidRDefault="005551B9">
      <w:pPr>
        <w:spacing w:line="240" w:lineRule="atLeast"/>
        <w:jc w:val="both"/>
        <w:rPr>
          <w:sz w:val="16"/>
          <w:szCs w:val="16"/>
          <w:lang w:val="ru-RU"/>
        </w:rPr>
      </w:pPr>
      <w:r w:rsidRPr="00EF18BA">
        <w:rPr>
          <w:rStyle w:val="FootnoteReference"/>
          <w:highlight w:val="yellow"/>
        </w:rPr>
        <w:footnoteRef/>
      </w:r>
      <w:r w:rsidRPr="00EF18BA">
        <w:rPr>
          <w:highlight w:val="yellow"/>
          <w:lang w:val="ru-RU"/>
        </w:rPr>
        <w:t xml:space="preserve"> </w:t>
      </w:r>
      <w:r w:rsidRPr="00EF18BA">
        <w:rPr>
          <w:sz w:val="16"/>
          <w:szCs w:val="16"/>
          <w:highlight w:val="yellow"/>
          <w:lang w:val="ru-RU"/>
        </w:rPr>
        <w:t>Вместо химическата потребност от кислород (</w:t>
      </w:r>
      <w:r w:rsidRPr="00EF18BA">
        <w:rPr>
          <w:sz w:val="16"/>
          <w:szCs w:val="16"/>
          <w:highlight w:val="yellow"/>
        </w:rPr>
        <w:t>COD</w:t>
      </w:r>
      <w:r w:rsidRPr="00EF18BA">
        <w:rPr>
          <w:sz w:val="16"/>
          <w:szCs w:val="16"/>
          <w:highlight w:val="yellow"/>
          <w:lang w:val="ru-RU"/>
        </w:rPr>
        <w:t>), общият органичен въглерод (</w:t>
      </w:r>
      <w:r w:rsidRPr="00EF18BA">
        <w:rPr>
          <w:sz w:val="16"/>
          <w:szCs w:val="16"/>
          <w:highlight w:val="yellow"/>
        </w:rPr>
        <w:t>TOC</w:t>
      </w:r>
      <w:r w:rsidRPr="00EF18BA">
        <w:rPr>
          <w:sz w:val="16"/>
          <w:szCs w:val="16"/>
          <w:highlight w:val="yellow"/>
          <w:lang w:val="ru-RU"/>
        </w:rPr>
        <w:t>) може също да бъде посочен за проверка.</w:t>
      </w:r>
    </w:p>
  </w:footnote>
  <w:footnote w:id="10">
    <w:p w14:paraId="6EFA6A91" w14:textId="77777777" w:rsidR="005551B9" w:rsidRPr="002F5B9C" w:rsidRDefault="005551B9">
      <w:pPr>
        <w:pStyle w:val="FootnoteText"/>
        <w:ind w:left="284" w:hanging="284"/>
        <w:jc w:val="both"/>
        <w:rPr>
          <w:sz w:val="16"/>
          <w:szCs w:val="16"/>
          <w:lang w:val="ru-RU"/>
        </w:rPr>
      </w:pPr>
      <w:r>
        <w:rPr>
          <w:rStyle w:val="FootnoteReference"/>
        </w:rPr>
        <w:footnoteRef/>
      </w:r>
      <w:r w:rsidRPr="002F5B9C">
        <w:rPr>
          <w:lang w:val="ru-RU"/>
        </w:rPr>
        <w:t xml:space="preserve"> </w:t>
      </w:r>
      <w:r w:rsidRPr="002F5B9C">
        <w:rPr>
          <w:sz w:val="16"/>
          <w:szCs w:val="16"/>
          <w:lang w:val="ru-RU"/>
        </w:rPr>
        <w:t xml:space="preserve">Резолюция </w:t>
      </w:r>
      <w:r>
        <w:rPr>
          <w:sz w:val="16"/>
          <w:szCs w:val="16"/>
        </w:rPr>
        <w:t>MSC</w:t>
      </w:r>
      <w:r w:rsidRPr="002F5B9C">
        <w:rPr>
          <w:sz w:val="16"/>
          <w:szCs w:val="16"/>
          <w:lang w:val="ru-RU"/>
        </w:rPr>
        <w:t>.267(85) на ИМО приета на 4 декември 2008 г. — Международен кодекс за устойчивост в неповредено състояние.</w:t>
      </w:r>
    </w:p>
  </w:footnote>
  <w:footnote w:id="11">
    <w:p w14:paraId="17D72CD9" w14:textId="77777777" w:rsidR="005551B9" w:rsidRPr="002F5B9C" w:rsidRDefault="005551B9">
      <w:pPr>
        <w:pStyle w:val="FootnoteText"/>
        <w:ind w:left="284" w:hanging="284"/>
        <w:jc w:val="both"/>
        <w:rPr>
          <w:sz w:val="16"/>
          <w:szCs w:val="16"/>
          <w:lang w:val="ru-RU"/>
        </w:rPr>
      </w:pPr>
      <w:r>
        <w:rPr>
          <w:rStyle w:val="FootnoteReference"/>
        </w:rPr>
        <w:footnoteRef/>
      </w:r>
      <w:r w:rsidRPr="002F5B9C">
        <w:rPr>
          <w:lang w:val="ru-RU"/>
        </w:rPr>
        <w:t xml:space="preserve"> </w:t>
      </w:r>
      <w:r w:rsidRPr="002F5B9C">
        <w:rPr>
          <w:lang w:val="ru-RU"/>
        </w:rPr>
        <w:tab/>
      </w:r>
      <w:r w:rsidRPr="002F5B9C">
        <w:rPr>
          <w:sz w:val="16"/>
          <w:szCs w:val="16"/>
          <w:lang w:val="ru-RU"/>
        </w:rPr>
        <w:t xml:space="preserve">Резолюция </w:t>
      </w:r>
      <w:r>
        <w:rPr>
          <w:sz w:val="16"/>
          <w:szCs w:val="16"/>
        </w:rPr>
        <w:t>MSC</w:t>
      </w:r>
      <w:r w:rsidRPr="002F5B9C">
        <w:rPr>
          <w:sz w:val="16"/>
          <w:szCs w:val="16"/>
          <w:lang w:val="ru-RU"/>
        </w:rPr>
        <w:t>.362(92) на ИМО приета на 14 юни 2013 г.. — Ревизирана Препоръка относно стандартен метод за оценяване на мерките относно взаимното наводняване.</w:t>
      </w:r>
    </w:p>
  </w:footnote>
  <w:footnote w:id="12">
    <w:p w14:paraId="34E03129" w14:textId="77777777" w:rsidR="005551B9" w:rsidRPr="002F5B9C" w:rsidRDefault="005551B9">
      <w:pPr>
        <w:pStyle w:val="FootnoteText"/>
        <w:ind w:left="284" w:hanging="284"/>
        <w:rPr>
          <w:sz w:val="16"/>
          <w:szCs w:val="16"/>
          <w:lang w:val="ru-RU"/>
        </w:rPr>
      </w:pPr>
      <w:r>
        <w:rPr>
          <w:rStyle w:val="FootnoteReference"/>
          <w:sz w:val="16"/>
        </w:rPr>
        <w:footnoteRef/>
      </w:r>
      <w:r w:rsidRPr="002F5B9C">
        <w:rPr>
          <w:lang w:val="ru-RU"/>
        </w:rPr>
        <w:tab/>
      </w:r>
      <w:r w:rsidRPr="002F5B9C">
        <w:rPr>
          <w:sz w:val="16"/>
          <w:lang w:val="ru-RU"/>
        </w:rPr>
        <w:t>Разстоянието от салинга до палубата.</w:t>
      </w:r>
    </w:p>
  </w:footnote>
  <w:footnote w:id="13">
    <w:p w14:paraId="17CAD1CE" w14:textId="77777777" w:rsidR="005551B9" w:rsidRPr="002F5B9C" w:rsidRDefault="005551B9">
      <w:pPr>
        <w:pStyle w:val="FootnoteText"/>
        <w:ind w:left="284" w:hanging="284"/>
        <w:rPr>
          <w:lang w:val="ru-RU"/>
        </w:rPr>
      </w:pPr>
      <w:r>
        <w:rPr>
          <w:rStyle w:val="FootnoteReference"/>
          <w:sz w:val="16"/>
        </w:rPr>
        <w:footnoteRef/>
      </w:r>
      <w:r w:rsidRPr="002F5B9C">
        <w:rPr>
          <w:lang w:val="ru-RU"/>
        </w:rPr>
        <w:tab/>
      </w:r>
      <w:r w:rsidRPr="002F5B9C">
        <w:rPr>
          <w:sz w:val="16"/>
          <w:lang w:val="ru-RU"/>
        </w:rPr>
        <w:t>Пълна дължина на стенгата, без топа;</w:t>
      </w:r>
    </w:p>
  </w:footnote>
  <w:footnote w:id="14">
    <w:p w14:paraId="5ADF927E" w14:textId="77777777" w:rsidR="005551B9" w:rsidRPr="002F5B9C" w:rsidRDefault="005551B9">
      <w:pPr>
        <w:pStyle w:val="FootnoteText"/>
        <w:ind w:left="284" w:hanging="284"/>
        <w:rPr>
          <w:sz w:val="16"/>
          <w:szCs w:val="16"/>
          <w:lang w:val="ru-RU"/>
        </w:rPr>
      </w:pPr>
      <w:r>
        <w:rPr>
          <w:rStyle w:val="FootnoteReference"/>
          <w:sz w:val="16"/>
        </w:rPr>
        <w:footnoteRef/>
      </w:r>
      <w:r w:rsidRPr="002F5B9C">
        <w:rPr>
          <w:lang w:val="ru-RU"/>
        </w:rPr>
        <w:tab/>
      </w:r>
      <w:r w:rsidRPr="002F5B9C">
        <w:rPr>
          <w:sz w:val="16"/>
          <w:lang w:val="ru-RU"/>
        </w:rPr>
        <w:t>Диаметър на стенгата на равнището на обкова.</w:t>
      </w:r>
    </w:p>
  </w:footnote>
  <w:footnote w:id="15">
    <w:p w14:paraId="4E03D0A0" w14:textId="77777777" w:rsidR="005551B9" w:rsidRPr="002F5B9C" w:rsidRDefault="005551B9">
      <w:pPr>
        <w:pStyle w:val="FootnoteText"/>
        <w:ind w:left="284" w:hanging="284"/>
        <w:rPr>
          <w:sz w:val="16"/>
          <w:szCs w:val="16"/>
          <w:lang w:val="ru-RU"/>
        </w:rPr>
      </w:pPr>
      <w:r>
        <w:rPr>
          <w:rStyle w:val="FootnoteReference"/>
          <w:sz w:val="16"/>
        </w:rPr>
        <w:footnoteRef/>
      </w:r>
      <w:r w:rsidRPr="002F5B9C">
        <w:rPr>
          <w:lang w:val="ru-RU"/>
        </w:rPr>
        <w:tab/>
      </w:r>
      <w:r w:rsidRPr="002F5B9C">
        <w:rPr>
          <w:sz w:val="16"/>
          <w:lang w:val="ru-RU"/>
        </w:rPr>
        <w:t>Обща дължина на бушприта;</w:t>
      </w:r>
    </w:p>
  </w:footnote>
  <w:footnote w:id="16">
    <w:p w14:paraId="036776B3" w14:textId="77777777" w:rsidR="005551B9" w:rsidRPr="002F5B9C" w:rsidRDefault="005551B9">
      <w:pPr>
        <w:pStyle w:val="FootnoteText"/>
        <w:ind w:left="284" w:hanging="284"/>
        <w:rPr>
          <w:sz w:val="16"/>
          <w:szCs w:val="16"/>
          <w:lang w:val="ru-RU"/>
        </w:rPr>
      </w:pPr>
      <w:r>
        <w:rPr>
          <w:rStyle w:val="FootnoteReference"/>
          <w:sz w:val="16"/>
        </w:rPr>
        <w:footnoteRef/>
      </w:r>
      <w:r w:rsidRPr="002F5B9C">
        <w:rPr>
          <w:lang w:val="ru-RU"/>
        </w:rPr>
        <w:tab/>
      </w:r>
      <w:r w:rsidRPr="002F5B9C">
        <w:rPr>
          <w:sz w:val="16"/>
          <w:lang w:val="ru-RU"/>
        </w:rPr>
        <w:t>Обща дължина на утлегара.</w:t>
      </w:r>
    </w:p>
  </w:footnote>
  <w:footnote w:id="17">
    <w:p w14:paraId="33416C12" w14:textId="77777777" w:rsidR="005551B9" w:rsidRPr="002F5B9C" w:rsidRDefault="005551B9">
      <w:pPr>
        <w:pStyle w:val="FootnoteText"/>
        <w:ind w:left="284" w:hanging="284"/>
        <w:rPr>
          <w:sz w:val="16"/>
          <w:szCs w:val="16"/>
          <w:lang w:val="ru-RU"/>
        </w:rPr>
      </w:pPr>
      <w:r>
        <w:rPr>
          <w:rStyle w:val="FootnoteReference"/>
          <w:sz w:val="16"/>
        </w:rPr>
        <w:footnoteRef/>
      </w:r>
      <w:r w:rsidRPr="002F5B9C">
        <w:rPr>
          <w:lang w:val="ru-RU"/>
        </w:rPr>
        <w:tab/>
      </w:r>
      <w:r w:rsidRPr="002F5B9C">
        <w:rPr>
          <w:sz w:val="16"/>
          <w:lang w:val="ru-RU"/>
        </w:rPr>
        <w:t>Обща дължина на грот-гиковете;</w:t>
      </w:r>
    </w:p>
  </w:footnote>
  <w:footnote w:id="18">
    <w:p w14:paraId="6FDBCD78" w14:textId="77777777" w:rsidR="005551B9" w:rsidRPr="002F5B9C" w:rsidRDefault="005551B9">
      <w:pPr>
        <w:pStyle w:val="FootnoteText"/>
        <w:ind w:left="284" w:hanging="284"/>
        <w:rPr>
          <w:sz w:val="16"/>
          <w:szCs w:val="16"/>
          <w:lang w:val="ru-RU"/>
        </w:rPr>
      </w:pPr>
      <w:r>
        <w:rPr>
          <w:rStyle w:val="FootnoteReference"/>
          <w:sz w:val="16"/>
        </w:rPr>
        <w:footnoteRef/>
      </w:r>
      <w:r w:rsidRPr="002F5B9C">
        <w:rPr>
          <w:lang w:val="ru-RU"/>
        </w:rPr>
        <w:tab/>
      </w:r>
      <w:r w:rsidRPr="002F5B9C">
        <w:rPr>
          <w:sz w:val="16"/>
          <w:lang w:val="ru-RU"/>
        </w:rPr>
        <w:t>Общата дължина на гафела.</w:t>
      </w:r>
    </w:p>
  </w:footnote>
  <w:footnote w:id="19">
    <w:p w14:paraId="5E667A1D" w14:textId="77777777" w:rsidR="005551B9" w:rsidRPr="002F5B9C" w:rsidRDefault="005551B9">
      <w:pPr>
        <w:pStyle w:val="FootnoteText"/>
        <w:ind w:left="284" w:hanging="284"/>
        <w:rPr>
          <w:sz w:val="16"/>
          <w:szCs w:val="16"/>
          <w:lang w:val="ru-RU"/>
        </w:rPr>
      </w:pPr>
      <w:r>
        <w:rPr>
          <w:rStyle w:val="FootnoteReference"/>
          <w:sz w:val="16"/>
        </w:rPr>
        <w:footnoteRef/>
      </w:r>
      <w:r w:rsidRPr="002F5B9C">
        <w:rPr>
          <w:lang w:val="ru-RU"/>
        </w:rPr>
        <w:tab/>
      </w:r>
      <w:r w:rsidRPr="002F5B9C">
        <w:rPr>
          <w:sz w:val="16"/>
          <w:lang w:val="ru-RU"/>
        </w:rPr>
        <w:t>Разстояние от марса или салинга до палубата.</w:t>
      </w:r>
    </w:p>
  </w:footnote>
  <w:footnote w:id="20">
    <w:p w14:paraId="1C679EC0" w14:textId="77777777" w:rsidR="005551B9" w:rsidRPr="002F5B9C" w:rsidRDefault="005551B9">
      <w:pPr>
        <w:pStyle w:val="FootnoteText"/>
        <w:ind w:left="284" w:hanging="284"/>
        <w:rPr>
          <w:sz w:val="16"/>
          <w:szCs w:val="16"/>
          <w:lang w:val="ru-RU"/>
        </w:rPr>
      </w:pPr>
      <w:r>
        <w:rPr>
          <w:rStyle w:val="FootnoteReference"/>
          <w:sz w:val="16"/>
        </w:rPr>
        <w:footnoteRef/>
      </w:r>
      <w:r w:rsidRPr="002F5B9C">
        <w:rPr>
          <w:lang w:val="ru-RU"/>
        </w:rPr>
        <w:tab/>
      </w:r>
      <w:r w:rsidRPr="002F5B9C">
        <w:rPr>
          <w:sz w:val="16"/>
          <w:lang w:val="ru-RU"/>
        </w:rPr>
        <w:t>Разстояние от марса или салинга до палубата.</w:t>
      </w:r>
    </w:p>
  </w:footnote>
  <w:footnote w:id="21">
    <w:p w14:paraId="4E41FB06" w14:textId="77777777" w:rsidR="005551B9" w:rsidRPr="002F5B9C" w:rsidRDefault="005551B9">
      <w:pPr>
        <w:pStyle w:val="FootnoteText"/>
        <w:ind w:left="284" w:hanging="284"/>
        <w:jc w:val="both"/>
        <w:rPr>
          <w:sz w:val="16"/>
          <w:szCs w:val="16"/>
          <w:lang w:val="ru-RU"/>
        </w:rPr>
      </w:pPr>
      <w:r>
        <w:rPr>
          <w:rStyle w:val="FootnoteReference"/>
          <w:sz w:val="16"/>
        </w:rPr>
        <w:footnoteRef/>
      </w:r>
      <w:r w:rsidRPr="002F5B9C">
        <w:rPr>
          <w:lang w:val="ru-RU"/>
        </w:rPr>
        <w:tab/>
      </w:r>
      <w:r w:rsidRPr="002F5B9C">
        <w:rPr>
          <w:sz w:val="16"/>
          <w:lang w:val="ru-RU"/>
        </w:rPr>
        <w:t xml:space="preserve">Директива 2006/42/ЕО на Европейския парламент и на Съвета от 17 май 2006 година относно машините и за изменение на Директива 95/16/ЕО (ОВ </w:t>
      </w:r>
      <w:r>
        <w:rPr>
          <w:sz w:val="16"/>
        </w:rPr>
        <w:t>L </w:t>
      </w:r>
      <w:r w:rsidRPr="002F5B9C">
        <w:rPr>
          <w:sz w:val="16"/>
          <w:lang w:val="ru-RU"/>
        </w:rPr>
        <w:t>157, 9.6.2006</w:t>
      </w:r>
      <w:r>
        <w:rPr>
          <w:sz w:val="16"/>
        </w:rPr>
        <w:t> </w:t>
      </w:r>
      <w:r w:rsidRPr="002F5B9C">
        <w:rPr>
          <w:sz w:val="16"/>
          <w:lang w:val="ru-RU"/>
        </w:rPr>
        <w:t>г.).</w:t>
      </w:r>
    </w:p>
  </w:footnote>
  <w:footnote w:id="22">
    <w:p w14:paraId="5447F5C3" w14:textId="77777777" w:rsidR="005551B9" w:rsidRPr="002F5B9C" w:rsidRDefault="005551B9">
      <w:pPr>
        <w:pStyle w:val="FootnoteText"/>
        <w:ind w:left="284" w:hanging="284"/>
        <w:jc w:val="both"/>
        <w:rPr>
          <w:sz w:val="16"/>
          <w:szCs w:val="16"/>
          <w:lang w:val="ru-RU"/>
        </w:rPr>
      </w:pPr>
      <w:r>
        <w:rPr>
          <w:rStyle w:val="FootnoteReference"/>
        </w:rPr>
        <w:footnoteRef/>
      </w:r>
      <w:r w:rsidRPr="002F5B9C">
        <w:rPr>
          <w:lang w:val="ru-RU"/>
        </w:rPr>
        <w:tab/>
      </w:r>
      <w:r w:rsidRPr="002F5B9C">
        <w:rPr>
          <w:sz w:val="16"/>
          <w:lang w:val="ru-RU"/>
        </w:rPr>
        <w:t>Директива 2013/53/ЕС на Европейския парламент и на Съвета от 20</w:t>
      </w:r>
      <w:r>
        <w:rPr>
          <w:sz w:val="16"/>
        </w:rPr>
        <w:t> </w:t>
      </w:r>
      <w:r w:rsidRPr="002F5B9C">
        <w:rPr>
          <w:sz w:val="16"/>
          <w:lang w:val="ru-RU"/>
        </w:rPr>
        <w:t xml:space="preserve">ноември 2013 година относно плавателните съдове за отдих и плавателните съдове за лично ползване и за отмяна на Директива 94/25/ЕО (ОВ </w:t>
      </w:r>
      <w:r>
        <w:rPr>
          <w:sz w:val="16"/>
        </w:rPr>
        <w:t>L</w:t>
      </w:r>
      <w:r w:rsidRPr="002F5B9C">
        <w:rPr>
          <w:sz w:val="16"/>
          <w:lang w:val="ru-RU"/>
        </w:rPr>
        <w:t xml:space="preserve"> 354, 28.12.2013</w:t>
      </w:r>
      <w:r>
        <w:rPr>
          <w:sz w:val="16"/>
        </w:rPr>
        <w:t> </w:t>
      </w:r>
      <w:r w:rsidRPr="002F5B9C">
        <w:rPr>
          <w:sz w:val="16"/>
          <w:lang w:val="ru-RU"/>
        </w:rPr>
        <w:t>г.).</w:t>
      </w:r>
    </w:p>
  </w:footnote>
  <w:footnote w:id="23">
    <w:p w14:paraId="67AC18D9" w14:textId="77777777" w:rsidR="005551B9" w:rsidRPr="002F5B9C" w:rsidRDefault="005551B9">
      <w:pPr>
        <w:pStyle w:val="FootnoteText"/>
        <w:ind w:left="284" w:hanging="284"/>
        <w:jc w:val="both"/>
        <w:rPr>
          <w:sz w:val="16"/>
          <w:szCs w:val="16"/>
          <w:lang w:val="ru-RU"/>
        </w:rPr>
      </w:pPr>
      <w:r w:rsidRPr="002F5B9C">
        <w:rPr>
          <w:rStyle w:val="FootnoteReference"/>
          <w:lang w:val="ru-RU"/>
        </w:rPr>
        <w:t>*</w:t>
      </w:r>
      <w:r w:rsidRPr="002F5B9C">
        <w:rPr>
          <w:lang w:val="ru-RU"/>
        </w:rPr>
        <w:tab/>
      </w:r>
      <w:r w:rsidRPr="002F5B9C">
        <w:rPr>
          <w:sz w:val="16"/>
          <w:lang w:val="ru-RU"/>
        </w:rPr>
        <w:t>Секциите на трюма, които осигуряват открити повърхности, изложени на вода, се получават от надлъжното и/или напречно водонепроницаемо разделяне, което води до формиране на независими секции.</w:t>
      </w:r>
    </w:p>
  </w:footnote>
  <w:footnote w:id="24">
    <w:p w14:paraId="504222F5" w14:textId="77777777" w:rsidR="005551B9" w:rsidRPr="002F5B9C" w:rsidRDefault="005551B9">
      <w:pPr>
        <w:pStyle w:val="FootnoteText"/>
        <w:ind w:left="284" w:hanging="284"/>
        <w:jc w:val="both"/>
        <w:rPr>
          <w:sz w:val="16"/>
          <w:szCs w:val="16"/>
          <w:lang w:val="ru-RU"/>
        </w:rPr>
      </w:pPr>
      <w:r>
        <w:rPr>
          <w:rStyle w:val="FootnoteReference"/>
        </w:rPr>
        <w:footnoteRef/>
      </w:r>
      <w:r w:rsidRPr="002F5B9C">
        <w:rPr>
          <w:lang w:val="ru-RU"/>
        </w:rPr>
        <w:t xml:space="preserve"> </w:t>
      </w:r>
      <w:r w:rsidRPr="002F5B9C">
        <w:rPr>
          <w:lang w:val="ru-RU"/>
        </w:rPr>
        <w:tab/>
      </w:r>
      <w:r w:rsidRPr="002F5B9C">
        <w:rPr>
          <w:sz w:val="16"/>
          <w:szCs w:val="16"/>
          <w:lang w:val="ru-RU"/>
        </w:rPr>
        <w:t xml:space="preserve">Резолюция </w:t>
      </w:r>
      <w:r>
        <w:rPr>
          <w:sz w:val="16"/>
          <w:szCs w:val="16"/>
        </w:rPr>
        <w:t>MSC</w:t>
      </w:r>
      <w:r w:rsidRPr="002F5B9C">
        <w:rPr>
          <w:sz w:val="16"/>
          <w:szCs w:val="16"/>
          <w:lang w:val="ru-RU"/>
        </w:rPr>
        <w:t>.267 (85) на ИМО, приет</w:t>
      </w:r>
      <w:r>
        <w:rPr>
          <w:sz w:val="16"/>
          <w:szCs w:val="16"/>
        </w:rPr>
        <w:t>a</w:t>
      </w:r>
      <w:r w:rsidRPr="002F5B9C">
        <w:rPr>
          <w:sz w:val="16"/>
          <w:szCs w:val="16"/>
          <w:lang w:val="ru-RU"/>
        </w:rPr>
        <w:t xml:space="preserve"> на 4 декември 2008</w:t>
      </w:r>
      <w:r>
        <w:rPr>
          <w:sz w:val="16"/>
          <w:szCs w:val="16"/>
        </w:rPr>
        <w:t> </w:t>
      </w:r>
      <w:r w:rsidRPr="002F5B9C">
        <w:rPr>
          <w:sz w:val="16"/>
          <w:szCs w:val="16"/>
          <w:lang w:val="ru-RU"/>
        </w:rPr>
        <w:t>г. — Международен кодекс за устойчивост в неповредено състояние.</w:t>
      </w:r>
    </w:p>
  </w:footnote>
  <w:footnote w:id="25">
    <w:p w14:paraId="144400F3" w14:textId="77777777" w:rsidR="005551B9" w:rsidRPr="002F5B9C" w:rsidRDefault="005551B9">
      <w:pPr>
        <w:pStyle w:val="FootnoteText"/>
        <w:spacing w:before="20"/>
        <w:ind w:left="284" w:hanging="284"/>
        <w:rPr>
          <w:rFonts w:cs="Arial"/>
          <w:sz w:val="16"/>
          <w:szCs w:val="16"/>
          <w:lang w:val="ru-RU"/>
        </w:rPr>
      </w:pPr>
      <w:r>
        <w:rPr>
          <w:rStyle w:val="FootnoteReference"/>
        </w:rPr>
        <w:footnoteRef/>
      </w:r>
      <w:r w:rsidRPr="002F5B9C">
        <w:rPr>
          <w:lang w:val="ru-RU"/>
        </w:rPr>
        <w:t xml:space="preserve"> </w:t>
      </w:r>
      <w:r w:rsidRPr="002F5B9C">
        <w:rPr>
          <w:lang w:val="ru-RU"/>
        </w:rPr>
        <w:tab/>
      </w:r>
      <w:r w:rsidRPr="002F5B9C">
        <w:rPr>
          <w:sz w:val="16"/>
          <w:lang w:val="ru-RU"/>
        </w:rPr>
        <w:t xml:space="preserve">Директива 2006/87/ЕО на Европейския парламент и на Съвета от 12 декември 2006 година за установяване на техническите изисквания за плавателни съдове по вътрешни водни пътища и за отмяна на Директива 82/714/ЕИО на Съвета (ОВ </w:t>
      </w:r>
      <w:r>
        <w:rPr>
          <w:sz w:val="16"/>
        </w:rPr>
        <w:t>L</w:t>
      </w:r>
      <w:r w:rsidRPr="002F5B9C">
        <w:rPr>
          <w:sz w:val="16"/>
          <w:lang w:val="ru-RU"/>
        </w:rPr>
        <w:t xml:space="preserve"> 389, 30.12.2006 г.).</w:t>
      </w:r>
    </w:p>
  </w:footnote>
  <w:footnote w:id="26">
    <w:p w14:paraId="0FE52BFE" w14:textId="77777777" w:rsidR="005551B9" w:rsidRPr="002F5B9C" w:rsidRDefault="005551B9">
      <w:pPr>
        <w:pStyle w:val="FootnoteText"/>
        <w:ind w:left="284" w:hanging="284"/>
        <w:jc w:val="both"/>
        <w:rPr>
          <w:sz w:val="16"/>
          <w:szCs w:val="16"/>
          <w:lang w:val="ru-RU"/>
        </w:rPr>
      </w:pPr>
      <w:r>
        <w:rPr>
          <w:rStyle w:val="FootnoteReference"/>
        </w:rPr>
        <w:footnoteRef/>
      </w:r>
      <w:r w:rsidRPr="002F5B9C">
        <w:rPr>
          <w:lang w:val="ru-RU"/>
        </w:rPr>
        <w:t xml:space="preserve"> </w:t>
      </w:r>
      <w:r w:rsidRPr="002F5B9C">
        <w:rPr>
          <w:lang w:val="ru-RU"/>
        </w:rPr>
        <w:tab/>
      </w:r>
      <w:r w:rsidRPr="002F5B9C">
        <w:rPr>
          <w:sz w:val="16"/>
          <w:lang w:val="ru-RU"/>
        </w:rPr>
        <w:t>При все това, най-късно при подновяване на Корабното удостоверение за вътрешно корабоплаване след 1.1.2015 г., плавателните средства трябва да отговарят на следните изисквания:</w:t>
      </w:r>
    </w:p>
    <w:p w14:paraId="65D56E36" w14:textId="77777777" w:rsidR="005551B9" w:rsidRPr="002F5B9C" w:rsidRDefault="005551B9">
      <w:pPr>
        <w:pStyle w:val="FootnoteText"/>
        <w:ind w:left="568" w:hanging="284"/>
        <w:jc w:val="both"/>
        <w:rPr>
          <w:rFonts w:cs="Arial"/>
          <w:sz w:val="16"/>
          <w:szCs w:val="16"/>
          <w:lang w:val="ru-RU"/>
        </w:rPr>
      </w:pPr>
      <w:r w:rsidRPr="002F5B9C">
        <w:rPr>
          <w:sz w:val="16"/>
          <w:lang w:val="ru-RU"/>
        </w:rPr>
        <w:t>-</w:t>
      </w:r>
      <w:r w:rsidRPr="002F5B9C">
        <w:rPr>
          <w:lang w:val="ru-RU"/>
        </w:rPr>
        <w:tab/>
      </w:r>
      <w:r w:rsidRPr="002F5B9C">
        <w:rPr>
          <w:sz w:val="16"/>
          <w:lang w:val="ru-RU"/>
        </w:rPr>
        <w:t xml:space="preserve">Външните краища на палубите, както и работните места, на които лицата биха могли да паднат от повече от 1 </w:t>
      </w:r>
      <w:r>
        <w:rPr>
          <w:sz w:val="16"/>
        </w:rPr>
        <w:t>m</w:t>
      </w:r>
      <w:r w:rsidRPr="002F5B9C">
        <w:rPr>
          <w:sz w:val="16"/>
          <w:lang w:val="ru-RU"/>
        </w:rPr>
        <w:t xml:space="preserve">, трябва да са оборудвани с фалшборд или комингс с височина най-малко 0,70 </w:t>
      </w:r>
      <w:r>
        <w:rPr>
          <w:sz w:val="16"/>
        </w:rPr>
        <w:t>m</w:t>
      </w:r>
      <w:r w:rsidRPr="002F5B9C">
        <w:rPr>
          <w:sz w:val="16"/>
          <w:lang w:val="ru-RU"/>
        </w:rPr>
        <w:t xml:space="preserve"> или с непрекъснати предпазни заграждения съгласно Европейски стандарт </w:t>
      </w:r>
      <w:r>
        <w:rPr>
          <w:sz w:val="16"/>
        </w:rPr>
        <w:t>EN</w:t>
      </w:r>
      <w:r w:rsidRPr="002F5B9C">
        <w:rPr>
          <w:sz w:val="16"/>
          <w:lang w:val="ru-RU"/>
        </w:rPr>
        <w:t xml:space="preserve"> 711:1995, обхващащ леер, междинен парапет на равнището на коляното и парапет на ниво на ходилата. </w:t>
      </w:r>
    </w:p>
    <w:p w14:paraId="47F1FDA3" w14:textId="77777777" w:rsidR="005551B9" w:rsidRPr="002F5B9C" w:rsidRDefault="005551B9">
      <w:pPr>
        <w:pStyle w:val="FootnoteText"/>
        <w:ind w:left="568" w:hanging="284"/>
        <w:jc w:val="both"/>
        <w:rPr>
          <w:rFonts w:cs="Arial"/>
          <w:sz w:val="16"/>
          <w:szCs w:val="16"/>
          <w:lang w:val="ru-RU"/>
        </w:rPr>
      </w:pPr>
      <w:r w:rsidRPr="002F5B9C">
        <w:rPr>
          <w:sz w:val="16"/>
          <w:lang w:val="ru-RU"/>
        </w:rPr>
        <w:t>-</w:t>
      </w:r>
      <w:r w:rsidRPr="002F5B9C">
        <w:rPr>
          <w:lang w:val="ru-RU"/>
        </w:rPr>
        <w:tab/>
      </w:r>
      <w:r w:rsidRPr="002F5B9C">
        <w:rPr>
          <w:sz w:val="16"/>
          <w:lang w:val="ru-RU"/>
        </w:rPr>
        <w:t>Палубните проходи трябва да бъдат оборудвани с парапет на ниво на ходилата и непрекъснат леер, закрепен към комингса. Леери на комингса не се изискват, когато палубните проходи са оборудвани с постоянни бордови защитни перила.</w:t>
      </w:r>
    </w:p>
  </w:footnote>
  <w:footnote w:id="27">
    <w:p w14:paraId="299C1EE6" w14:textId="77777777" w:rsidR="005551B9" w:rsidRPr="002F5B9C" w:rsidRDefault="005551B9">
      <w:pPr>
        <w:pStyle w:val="FootnoteText"/>
        <w:ind w:left="284" w:hanging="284"/>
        <w:jc w:val="both"/>
        <w:rPr>
          <w:sz w:val="16"/>
          <w:szCs w:val="16"/>
          <w:lang w:val="ru-RU"/>
        </w:rPr>
      </w:pPr>
      <w:r>
        <w:rPr>
          <w:rStyle w:val="FootnoteReference"/>
          <w:sz w:val="16"/>
          <w:szCs w:val="16"/>
        </w:rPr>
        <w:footnoteRef/>
      </w:r>
      <w:r w:rsidRPr="002F5B9C">
        <w:rPr>
          <w:sz w:val="16"/>
          <w:szCs w:val="16"/>
          <w:lang w:val="ru-RU"/>
        </w:rPr>
        <w:t xml:space="preserve"> </w:t>
      </w:r>
      <w:r w:rsidRPr="002F5B9C">
        <w:rPr>
          <w:sz w:val="16"/>
          <w:szCs w:val="16"/>
          <w:lang w:val="ru-RU"/>
        </w:rPr>
        <w:tab/>
        <w:t>За плавателните съдове, заложени за строеж след 31.12.1994 г. и за плавателните съдове в експлоатация, изискването се прилага при следните условия:</w:t>
      </w:r>
    </w:p>
    <w:p w14:paraId="655A185F" w14:textId="77777777" w:rsidR="005551B9" w:rsidRPr="002F5B9C" w:rsidRDefault="005551B9">
      <w:pPr>
        <w:pStyle w:val="FootnoteText"/>
        <w:ind w:left="284" w:hanging="284"/>
        <w:jc w:val="both"/>
        <w:rPr>
          <w:sz w:val="16"/>
          <w:szCs w:val="16"/>
          <w:lang w:val="ru-RU"/>
        </w:rPr>
      </w:pPr>
      <w:r w:rsidRPr="002F5B9C">
        <w:rPr>
          <w:sz w:val="16"/>
          <w:szCs w:val="16"/>
          <w:lang w:val="ru-RU"/>
        </w:rPr>
        <w:tab/>
        <w:t>В случай, че цялата зона на трюма трябва да бъде заменена, трябва да се спазват изискванията на член 14.04. В случай на модификации, засягащи цялата дължина на зоната на страничната палуба и промяна на чистата ширина на страничната палуба,</w:t>
      </w:r>
    </w:p>
    <w:p w14:paraId="4C65E4E7" w14:textId="77777777" w:rsidR="005551B9" w:rsidRPr="002F5B9C" w:rsidRDefault="005551B9">
      <w:pPr>
        <w:pStyle w:val="FootnoteText"/>
        <w:ind w:left="284" w:hanging="284"/>
        <w:jc w:val="both"/>
        <w:rPr>
          <w:sz w:val="16"/>
          <w:szCs w:val="16"/>
          <w:lang w:val="ru-RU"/>
        </w:rPr>
      </w:pPr>
      <w:r w:rsidRPr="002F5B9C">
        <w:rPr>
          <w:sz w:val="16"/>
          <w:szCs w:val="16"/>
          <w:lang w:val="ru-RU"/>
        </w:rPr>
        <w:tab/>
        <w:t xml:space="preserve">а) Член 14.04 трябва да се спазва, когато чистата широчина на страничната палуба до височина 0,90 </w:t>
      </w:r>
      <w:r>
        <w:rPr>
          <w:sz w:val="16"/>
          <w:szCs w:val="16"/>
        </w:rPr>
        <w:t>m</w:t>
      </w:r>
      <w:r w:rsidRPr="002F5B9C">
        <w:rPr>
          <w:sz w:val="16"/>
          <w:szCs w:val="16"/>
          <w:lang w:val="ru-RU"/>
        </w:rPr>
        <w:t>, налична преди модификацията, трябва да бъде намалена</w:t>
      </w:r>
    </w:p>
    <w:p w14:paraId="7C0B5D70" w14:textId="77777777" w:rsidR="005551B9" w:rsidRPr="002F5B9C" w:rsidRDefault="005551B9">
      <w:pPr>
        <w:pStyle w:val="FootnoteText"/>
        <w:ind w:left="284" w:hanging="284"/>
        <w:jc w:val="both"/>
        <w:rPr>
          <w:sz w:val="16"/>
          <w:szCs w:val="16"/>
          <w:lang w:val="ru-RU"/>
        </w:rPr>
      </w:pPr>
      <w:r w:rsidRPr="002F5B9C">
        <w:rPr>
          <w:sz w:val="16"/>
          <w:szCs w:val="16"/>
          <w:lang w:val="ru-RU"/>
        </w:rPr>
        <w:tab/>
        <w:t xml:space="preserve">б) чистата широчина на страничната палуба до височина 0,90 </w:t>
      </w:r>
      <w:r>
        <w:rPr>
          <w:sz w:val="16"/>
          <w:szCs w:val="16"/>
        </w:rPr>
        <w:t>m</w:t>
      </w:r>
      <w:r w:rsidRPr="002F5B9C">
        <w:rPr>
          <w:sz w:val="16"/>
          <w:szCs w:val="16"/>
          <w:lang w:val="ru-RU"/>
        </w:rPr>
        <w:t xml:space="preserve"> или чистата широчина над тази височина, налична преди модификацията, не трябва да се намалява, ако размерите им са по-малки от посочените в член 14.04.</w:t>
      </w:r>
    </w:p>
    <w:p w14:paraId="5B0C84A0" w14:textId="77777777" w:rsidR="005551B9" w:rsidRPr="002F5B9C" w:rsidRDefault="005551B9">
      <w:pPr>
        <w:pStyle w:val="FootnoteText"/>
        <w:jc w:val="both"/>
        <w:rPr>
          <w:sz w:val="16"/>
          <w:szCs w:val="16"/>
          <w:lang w:val="ru-RU"/>
        </w:rPr>
      </w:pPr>
    </w:p>
  </w:footnote>
  <w:footnote w:id="28">
    <w:p w14:paraId="0A48E08B" w14:textId="77777777" w:rsidR="005551B9" w:rsidRPr="002F5B9C" w:rsidRDefault="005551B9">
      <w:pPr>
        <w:pStyle w:val="FootnoteText"/>
        <w:spacing w:before="40"/>
        <w:ind w:left="284" w:hanging="284"/>
        <w:rPr>
          <w:sz w:val="16"/>
          <w:szCs w:val="16"/>
          <w:lang w:val="ru-RU"/>
        </w:rPr>
      </w:pPr>
      <w:r>
        <w:rPr>
          <w:rStyle w:val="FootnoteReference"/>
          <w:sz w:val="16"/>
        </w:rPr>
        <w:footnoteRef/>
      </w:r>
      <w:r w:rsidRPr="002F5B9C">
        <w:rPr>
          <w:sz w:val="16"/>
          <w:lang w:val="ru-RU"/>
        </w:rPr>
        <w:t xml:space="preserve"> </w:t>
      </w:r>
      <w:r w:rsidRPr="002F5B9C">
        <w:rPr>
          <w:lang w:val="ru-RU"/>
        </w:rPr>
        <w:tab/>
      </w:r>
      <w:r w:rsidRPr="002F5B9C">
        <w:rPr>
          <w:sz w:val="16"/>
          <w:szCs w:val="16"/>
          <w:lang w:val="ru-RU"/>
        </w:rPr>
        <w:t xml:space="preserve">Резолюция </w:t>
      </w:r>
      <w:r>
        <w:rPr>
          <w:sz w:val="16"/>
          <w:szCs w:val="16"/>
        </w:rPr>
        <w:t>MSC</w:t>
      </w:r>
      <w:r w:rsidRPr="002F5B9C">
        <w:rPr>
          <w:sz w:val="16"/>
          <w:szCs w:val="16"/>
          <w:lang w:val="ru-RU"/>
        </w:rPr>
        <w:t>.61 (67) на ИМО, приета</w:t>
      </w:r>
      <w:r w:rsidRPr="002F5B9C">
        <w:rPr>
          <w:sz w:val="16"/>
          <w:lang w:val="ru-RU"/>
        </w:rPr>
        <w:t xml:space="preserve"> на 5 декември 1996 — Международен кодекс за прилагане на процедури за пожарни изпитвания.</w:t>
      </w:r>
    </w:p>
  </w:footnote>
  <w:footnote w:id="29">
    <w:p w14:paraId="28DAF5FC" w14:textId="77777777" w:rsidR="005551B9" w:rsidRPr="002F5B9C" w:rsidRDefault="005551B9">
      <w:pPr>
        <w:pStyle w:val="FootnoteText"/>
        <w:jc w:val="both"/>
        <w:rPr>
          <w:lang w:val="ru-RU"/>
        </w:rPr>
      </w:pPr>
      <w:r>
        <w:rPr>
          <w:rStyle w:val="FootnoteReference"/>
        </w:rPr>
        <w:footnoteRef/>
      </w:r>
      <w:r w:rsidRPr="002F5B9C">
        <w:rPr>
          <w:lang w:val="ru-RU"/>
        </w:rPr>
        <w:t xml:space="preserve"> </w:t>
      </w:r>
      <w:r w:rsidRPr="002F5B9C">
        <w:rPr>
          <w:rFonts w:cstheme="minorHAnsi"/>
          <w:bCs/>
          <w:color w:val="333333"/>
          <w:sz w:val="20"/>
          <w:shd w:val="clear" w:color="auto" w:fill="FFFFFF"/>
          <w:lang w:val="ru-RU"/>
        </w:rPr>
        <w:t>Директива 2006/87/ЕО на Европейския парламент и на Съвета от 12 декември 2006 година за установяване на техническите изисквания за плавателни съдове по вътрешни водни пътища и за отмяна на Директива 82/714/ЕИО на Съвета (2006/87/ЕО)</w:t>
      </w:r>
    </w:p>
  </w:footnote>
  <w:footnote w:id="30">
    <w:p w14:paraId="731B94F1" w14:textId="77777777" w:rsidR="005551B9" w:rsidRPr="002F5B9C" w:rsidRDefault="005551B9">
      <w:pPr>
        <w:pStyle w:val="FootnoteText"/>
        <w:spacing w:before="40"/>
        <w:ind w:left="284" w:hanging="284"/>
        <w:jc w:val="both"/>
        <w:rPr>
          <w:sz w:val="16"/>
          <w:szCs w:val="16"/>
          <w:lang w:val="ru-RU"/>
        </w:rPr>
      </w:pPr>
      <w:r>
        <w:rPr>
          <w:rStyle w:val="FootnoteReference"/>
          <w:sz w:val="16"/>
        </w:rPr>
        <w:footnoteRef/>
      </w:r>
      <w:r w:rsidRPr="002F5B9C">
        <w:rPr>
          <w:sz w:val="16"/>
          <w:lang w:val="ru-RU"/>
        </w:rPr>
        <w:t xml:space="preserve"> </w:t>
      </w:r>
      <w:r w:rsidRPr="002F5B9C">
        <w:rPr>
          <w:lang w:val="ru-RU"/>
        </w:rPr>
        <w:tab/>
      </w:r>
      <w:r w:rsidRPr="002F5B9C">
        <w:rPr>
          <w:sz w:val="16"/>
          <w:szCs w:val="16"/>
          <w:lang w:val="ru-RU"/>
        </w:rPr>
        <w:t xml:space="preserve">Резолюция </w:t>
      </w:r>
      <w:r>
        <w:rPr>
          <w:sz w:val="16"/>
          <w:szCs w:val="16"/>
        </w:rPr>
        <w:t>MSC</w:t>
      </w:r>
      <w:r w:rsidRPr="002F5B9C">
        <w:rPr>
          <w:sz w:val="16"/>
          <w:szCs w:val="16"/>
          <w:lang w:val="ru-RU"/>
        </w:rPr>
        <w:t>.61(67) на ИМО, приета на 5 декември 1996 — Международен кодекс за прилагане на процедури за пожарни изпитвания.</w:t>
      </w:r>
    </w:p>
  </w:footnote>
  <w:footnote w:id="31">
    <w:p w14:paraId="042DDDF0" w14:textId="77777777" w:rsidR="005551B9" w:rsidRPr="002F5B9C" w:rsidRDefault="005551B9">
      <w:pPr>
        <w:pStyle w:val="FootnoteText"/>
        <w:ind w:left="284" w:hanging="284"/>
        <w:jc w:val="both"/>
        <w:rPr>
          <w:sz w:val="16"/>
          <w:szCs w:val="16"/>
          <w:lang w:val="ru-RU"/>
        </w:rPr>
      </w:pPr>
      <w:r>
        <w:rPr>
          <w:rStyle w:val="FootnoteReference"/>
        </w:rPr>
        <w:footnoteRef/>
      </w:r>
      <w:r w:rsidRPr="002F5B9C">
        <w:rPr>
          <w:lang w:val="ru-RU"/>
        </w:rPr>
        <w:t xml:space="preserve"> </w:t>
      </w:r>
      <w:r w:rsidRPr="002F5B9C">
        <w:rPr>
          <w:lang w:val="ru-RU"/>
        </w:rPr>
        <w:tab/>
      </w:r>
      <w:r w:rsidRPr="002F5B9C">
        <w:rPr>
          <w:sz w:val="16"/>
          <w:lang w:val="ru-RU"/>
        </w:rPr>
        <w:t>При все това, най-късно при подновяване на Корабното удостоверение за вътрешно корабоплаване след 1.1.2015</w:t>
      </w:r>
      <w:r>
        <w:rPr>
          <w:sz w:val="16"/>
        </w:rPr>
        <w:t> </w:t>
      </w:r>
      <w:r w:rsidRPr="002F5B9C">
        <w:rPr>
          <w:sz w:val="16"/>
          <w:lang w:val="ru-RU"/>
        </w:rPr>
        <w:t>г., плавателните средства трябва да отговарят на следните изисквания:</w:t>
      </w:r>
    </w:p>
    <w:p w14:paraId="6EA7E161" w14:textId="77777777" w:rsidR="005551B9" w:rsidRPr="002F5B9C" w:rsidRDefault="005551B9">
      <w:pPr>
        <w:pStyle w:val="FootnoteText"/>
        <w:ind w:left="568" w:hanging="284"/>
        <w:jc w:val="both"/>
        <w:rPr>
          <w:rFonts w:cs="Arial"/>
          <w:sz w:val="16"/>
          <w:szCs w:val="16"/>
          <w:lang w:val="ru-RU"/>
        </w:rPr>
      </w:pPr>
      <w:r w:rsidRPr="002F5B9C">
        <w:rPr>
          <w:sz w:val="16"/>
          <w:lang w:val="ru-RU"/>
        </w:rPr>
        <w:t>-</w:t>
      </w:r>
      <w:r w:rsidRPr="002F5B9C">
        <w:rPr>
          <w:lang w:val="ru-RU"/>
        </w:rPr>
        <w:tab/>
      </w:r>
      <w:r w:rsidRPr="002F5B9C">
        <w:rPr>
          <w:sz w:val="16"/>
          <w:lang w:val="ru-RU"/>
        </w:rPr>
        <w:t xml:space="preserve">Външните краища на палубите, както и работните места, на които лицата биха могли да паднат от повече от 1 </w:t>
      </w:r>
      <w:r>
        <w:rPr>
          <w:sz w:val="16"/>
        </w:rPr>
        <w:t>m</w:t>
      </w:r>
      <w:r w:rsidRPr="002F5B9C">
        <w:rPr>
          <w:sz w:val="16"/>
          <w:lang w:val="ru-RU"/>
        </w:rPr>
        <w:t xml:space="preserve">, трябва да са оборудвани с фалшборд или комингс с височина най-малко 0,70 </w:t>
      </w:r>
      <w:r>
        <w:rPr>
          <w:sz w:val="16"/>
        </w:rPr>
        <w:t>m</w:t>
      </w:r>
      <w:r w:rsidRPr="002F5B9C">
        <w:rPr>
          <w:sz w:val="16"/>
          <w:lang w:val="ru-RU"/>
        </w:rPr>
        <w:t xml:space="preserve"> или с непрекъснати предпазни заграждения съгласно </w:t>
      </w:r>
      <w:r>
        <w:rPr>
          <w:sz w:val="16"/>
        </w:rPr>
        <w:t>E</w:t>
      </w:r>
      <w:r w:rsidRPr="002F5B9C">
        <w:rPr>
          <w:sz w:val="16"/>
          <w:lang w:val="ru-RU"/>
        </w:rPr>
        <w:t xml:space="preserve">вропейски стандарт </w:t>
      </w:r>
      <w:r>
        <w:rPr>
          <w:sz w:val="16"/>
        </w:rPr>
        <w:t>EN</w:t>
      </w:r>
      <w:r w:rsidRPr="002F5B9C">
        <w:rPr>
          <w:sz w:val="16"/>
          <w:lang w:val="ru-RU"/>
        </w:rPr>
        <w:t xml:space="preserve"> 711:1995, обхващащ леер, междинен парапет на равнището на коляното и парапет на ниво на ходилата. </w:t>
      </w:r>
    </w:p>
    <w:p w14:paraId="397E31FC" w14:textId="77777777" w:rsidR="005551B9" w:rsidRPr="002F5B9C" w:rsidRDefault="005551B9">
      <w:pPr>
        <w:pStyle w:val="FootnoteText"/>
        <w:ind w:left="568" w:hanging="284"/>
        <w:jc w:val="both"/>
        <w:rPr>
          <w:rFonts w:cs="Arial"/>
          <w:sz w:val="16"/>
          <w:szCs w:val="16"/>
          <w:lang w:val="ru-RU"/>
        </w:rPr>
      </w:pPr>
      <w:r w:rsidRPr="002F5B9C">
        <w:rPr>
          <w:sz w:val="16"/>
          <w:lang w:val="ru-RU"/>
        </w:rPr>
        <w:t>-</w:t>
      </w:r>
      <w:r w:rsidRPr="002F5B9C">
        <w:rPr>
          <w:lang w:val="ru-RU"/>
        </w:rPr>
        <w:tab/>
      </w:r>
      <w:r w:rsidRPr="002F5B9C">
        <w:rPr>
          <w:sz w:val="16"/>
          <w:lang w:val="ru-RU"/>
        </w:rPr>
        <w:t>Палубните проходи трябва да бъдат оборудвани с парапет на ниво на ходилата и непрекъснат леер, закрепен към комингса. Леери на комингса не се изискват, когато палубните проходи са оборудвани с постоянни бордови защитни перила</w:t>
      </w:r>
      <w:r w:rsidRPr="002F5B9C">
        <w:rPr>
          <w:sz w:val="16"/>
          <w:vertAlign w:val="superscript"/>
          <w:lang w:val="ru-RU"/>
        </w:rPr>
        <w:t>2</w:t>
      </w:r>
      <w:r w:rsidRPr="002F5B9C">
        <w:rPr>
          <w:sz w:val="16"/>
          <w:lang w:val="ru-RU"/>
        </w:rPr>
        <w:t>.</w:t>
      </w:r>
    </w:p>
  </w:footnote>
  <w:footnote w:id="32">
    <w:p w14:paraId="3950722E" w14:textId="77777777" w:rsidR="005551B9" w:rsidRPr="002F5B9C" w:rsidRDefault="005551B9">
      <w:pPr>
        <w:pStyle w:val="FootnoteText"/>
        <w:ind w:left="284" w:hanging="284"/>
        <w:jc w:val="both"/>
        <w:rPr>
          <w:sz w:val="16"/>
          <w:szCs w:val="16"/>
          <w:lang w:val="ru-RU"/>
        </w:rPr>
      </w:pPr>
      <w:r>
        <w:rPr>
          <w:rStyle w:val="FootnoteReference"/>
        </w:rPr>
        <w:footnoteRef/>
      </w:r>
      <w:r w:rsidRPr="002F5B9C">
        <w:rPr>
          <w:lang w:val="ru-RU"/>
        </w:rPr>
        <w:t xml:space="preserve"> </w:t>
      </w:r>
      <w:r w:rsidRPr="002F5B9C">
        <w:rPr>
          <w:sz w:val="16"/>
          <w:szCs w:val="16"/>
          <w:lang w:val="ru-RU"/>
        </w:rPr>
        <w:t>За плавателните съдове, заложени за строеж след 31.12.1994 г. и за корабите в експлоатация, изискването се прилага при следните условия:</w:t>
      </w:r>
    </w:p>
    <w:p w14:paraId="5E391C2F" w14:textId="77777777" w:rsidR="005551B9" w:rsidRPr="002F5B9C" w:rsidRDefault="005551B9">
      <w:pPr>
        <w:pStyle w:val="FootnoteText"/>
        <w:ind w:left="284" w:hanging="284"/>
        <w:jc w:val="both"/>
        <w:rPr>
          <w:sz w:val="16"/>
          <w:szCs w:val="16"/>
          <w:lang w:val="ru-RU"/>
        </w:rPr>
      </w:pPr>
      <w:r w:rsidRPr="002F5B9C">
        <w:rPr>
          <w:sz w:val="16"/>
          <w:szCs w:val="16"/>
          <w:lang w:val="ru-RU"/>
        </w:rPr>
        <w:tab/>
        <w:t>В случай, че цялата зона на трюма трябва да бъде заменена, трябва да се спазват изискванията на член 14.04. В случай на модификации, засягащи цялата дължина на зоната на страничната палуба и промяна на чистата ширина на страничната палуба,</w:t>
      </w:r>
    </w:p>
    <w:p w14:paraId="4FFB303C" w14:textId="77777777" w:rsidR="005551B9" w:rsidRPr="002F5B9C" w:rsidRDefault="005551B9">
      <w:pPr>
        <w:pStyle w:val="FootnoteText"/>
        <w:ind w:left="284" w:hanging="284"/>
        <w:jc w:val="both"/>
        <w:rPr>
          <w:sz w:val="16"/>
          <w:szCs w:val="16"/>
          <w:lang w:val="ru-RU"/>
        </w:rPr>
      </w:pPr>
      <w:r w:rsidRPr="002F5B9C">
        <w:rPr>
          <w:sz w:val="16"/>
          <w:szCs w:val="16"/>
          <w:lang w:val="ru-RU"/>
        </w:rPr>
        <w:tab/>
        <w:t xml:space="preserve">а) Член 14.04 трябва да се спазва, когато чистата широчина на страничната палуба до височина 0,90 </w:t>
      </w:r>
      <w:r>
        <w:rPr>
          <w:sz w:val="16"/>
          <w:szCs w:val="16"/>
        </w:rPr>
        <w:t>m</w:t>
      </w:r>
      <w:r w:rsidRPr="002F5B9C">
        <w:rPr>
          <w:sz w:val="16"/>
          <w:szCs w:val="16"/>
          <w:lang w:val="ru-RU"/>
        </w:rPr>
        <w:t>, налична преди модификацията, трябва да бъде намалена;</w:t>
      </w:r>
    </w:p>
    <w:p w14:paraId="72763C9E" w14:textId="77777777" w:rsidR="005551B9" w:rsidRPr="002F5B9C" w:rsidRDefault="005551B9">
      <w:pPr>
        <w:pStyle w:val="FootnoteText"/>
        <w:ind w:firstLine="284"/>
        <w:jc w:val="both"/>
        <w:rPr>
          <w:lang w:val="ru-RU"/>
        </w:rPr>
      </w:pPr>
      <w:r w:rsidRPr="002F5B9C">
        <w:rPr>
          <w:sz w:val="16"/>
          <w:szCs w:val="16"/>
          <w:lang w:val="ru-RU"/>
        </w:rPr>
        <w:t xml:space="preserve">б) чистата широчина на страничната палуба до височина 0,90 </w:t>
      </w:r>
      <w:r>
        <w:rPr>
          <w:sz w:val="16"/>
          <w:szCs w:val="16"/>
        </w:rPr>
        <w:t>m</w:t>
      </w:r>
      <w:r w:rsidRPr="002F5B9C">
        <w:rPr>
          <w:sz w:val="16"/>
          <w:szCs w:val="16"/>
          <w:lang w:val="ru-RU"/>
        </w:rPr>
        <w:t xml:space="preserve"> или чистата широчина над тази височина, налична преди модификацията, не трябва да се намалява, ако размерите им са по-малки от посочените в член 14.04.</w:t>
      </w:r>
    </w:p>
  </w:footnote>
  <w:footnote w:id="33">
    <w:p w14:paraId="3D007CE6" w14:textId="77777777" w:rsidR="005551B9" w:rsidRPr="002F5B9C" w:rsidRDefault="005551B9">
      <w:pPr>
        <w:pStyle w:val="FootnoteText"/>
        <w:ind w:left="284" w:hanging="284"/>
        <w:rPr>
          <w:sz w:val="16"/>
          <w:szCs w:val="16"/>
          <w:lang w:val="ru-RU"/>
        </w:rPr>
      </w:pPr>
      <w:r>
        <w:rPr>
          <w:rStyle w:val="FootnoteReference"/>
        </w:rPr>
        <w:footnoteRef/>
      </w:r>
      <w:r w:rsidRPr="002F5B9C">
        <w:rPr>
          <w:lang w:val="ru-RU"/>
        </w:rPr>
        <w:tab/>
      </w:r>
      <w:r w:rsidRPr="002F5B9C">
        <w:rPr>
          <w:sz w:val="16"/>
          <w:szCs w:val="16"/>
          <w:lang w:val="ru-RU"/>
        </w:rPr>
        <w:t xml:space="preserve">Резолюция </w:t>
      </w:r>
      <w:r>
        <w:rPr>
          <w:sz w:val="16"/>
          <w:szCs w:val="16"/>
        </w:rPr>
        <w:t>MSC</w:t>
      </w:r>
      <w:r w:rsidRPr="002F5B9C">
        <w:rPr>
          <w:sz w:val="16"/>
          <w:szCs w:val="16"/>
          <w:lang w:val="ru-RU"/>
        </w:rPr>
        <w:t>.61 (67) на ИМО, приета на 5 декември 1996 — Международен кодекс за прилагане на процедури за пожарни изпитвания.</w:t>
      </w:r>
    </w:p>
  </w:footnote>
  <w:footnote w:id="34">
    <w:p w14:paraId="56C45500" w14:textId="77777777" w:rsidR="005551B9" w:rsidRPr="002F5B9C" w:rsidRDefault="005551B9">
      <w:pPr>
        <w:pStyle w:val="FootnoteText"/>
        <w:jc w:val="both"/>
        <w:rPr>
          <w:sz w:val="16"/>
          <w:szCs w:val="16"/>
          <w:lang w:val="ru-RU"/>
        </w:rPr>
      </w:pPr>
      <w:r>
        <w:rPr>
          <w:rStyle w:val="FootnoteReference"/>
          <w:sz w:val="16"/>
          <w:szCs w:val="16"/>
        </w:rPr>
        <w:footnoteRef/>
      </w:r>
      <w:r w:rsidRPr="002F5B9C">
        <w:rPr>
          <w:sz w:val="16"/>
          <w:szCs w:val="16"/>
          <w:lang w:val="ru-RU"/>
        </w:rPr>
        <w:t xml:space="preserve"> Рейнски сертификат за вътрешно корабоплаване се отнася до: моряк, моряк заменен от моряк-моторист; режими на работа </w:t>
      </w:r>
      <w:r>
        <w:rPr>
          <w:sz w:val="16"/>
          <w:szCs w:val="16"/>
        </w:rPr>
        <w:t>A</w:t>
      </w:r>
      <w:r w:rsidRPr="002F5B9C">
        <w:rPr>
          <w:sz w:val="16"/>
          <w:szCs w:val="16"/>
          <w:lang w:val="ru-RU"/>
        </w:rPr>
        <w:t xml:space="preserve">1, </w:t>
      </w:r>
      <w:r>
        <w:rPr>
          <w:sz w:val="16"/>
          <w:szCs w:val="16"/>
        </w:rPr>
        <w:t>A</w:t>
      </w:r>
      <w:r w:rsidRPr="002F5B9C">
        <w:rPr>
          <w:sz w:val="16"/>
          <w:szCs w:val="16"/>
          <w:lang w:val="ru-RU"/>
        </w:rPr>
        <w:t xml:space="preserve">2 и </w:t>
      </w:r>
      <w:r>
        <w:rPr>
          <w:sz w:val="16"/>
          <w:szCs w:val="16"/>
        </w:rPr>
        <w:t>B</w:t>
      </w:r>
      <w:r w:rsidRPr="002F5B9C">
        <w:rPr>
          <w:sz w:val="16"/>
          <w:szCs w:val="16"/>
          <w:lang w:val="ru-RU"/>
        </w:rPr>
        <w:t>;</w:t>
      </w:r>
    </w:p>
  </w:footnote>
  <w:footnote w:id="35">
    <w:p w14:paraId="44FDCBD9" w14:textId="77777777" w:rsidR="005551B9" w:rsidRPr="002F5B9C" w:rsidRDefault="005551B9">
      <w:pPr>
        <w:pStyle w:val="FootnoteText"/>
        <w:jc w:val="both"/>
        <w:rPr>
          <w:sz w:val="18"/>
          <w:szCs w:val="18"/>
          <w:lang w:val="ru-RU"/>
        </w:rPr>
      </w:pPr>
      <w:r>
        <w:rPr>
          <w:rStyle w:val="FootnoteReference"/>
          <w:sz w:val="16"/>
          <w:szCs w:val="16"/>
        </w:rPr>
        <w:footnoteRef/>
      </w:r>
      <w:r w:rsidRPr="002F5B9C">
        <w:rPr>
          <w:sz w:val="16"/>
          <w:szCs w:val="16"/>
          <w:lang w:val="ru-RU"/>
        </w:rPr>
        <w:t xml:space="preserve"> Рейнски сертификат за вътрешно корабоплаване се отнася до: капитан, рулеви, боцман, моряк, стажант, моряк-моторист, механик: режими на работа </w:t>
      </w:r>
      <w:r>
        <w:rPr>
          <w:sz w:val="16"/>
          <w:szCs w:val="16"/>
        </w:rPr>
        <w:t>A</w:t>
      </w:r>
      <w:r w:rsidRPr="002F5B9C">
        <w:rPr>
          <w:sz w:val="16"/>
          <w:szCs w:val="16"/>
          <w:lang w:val="ru-RU"/>
        </w:rPr>
        <w:t xml:space="preserve">1, </w:t>
      </w:r>
      <w:r>
        <w:rPr>
          <w:sz w:val="16"/>
          <w:szCs w:val="16"/>
        </w:rPr>
        <w:t>A</w:t>
      </w:r>
      <w:r w:rsidRPr="002F5B9C">
        <w:rPr>
          <w:sz w:val="16"/>
          <w:szCs w:val="16"/>
          <w:lang w:val="ru-RU"/>
        </w:rPr>
        <w:t xml:space="preserve">2 и </w:t>
      </w:r>
      <w:r>
        <w:rPr>
          <w:sz w:val="16"/>
          <w:szCs w:val="16"/>
        </w:rPr>
        <w:t>B</w:t>
      </w:r>
      <w:r w:rsidRPr="002F5B9C">
        <w:rPr>
          <w:sz w:val="16"/>
          <w:szCs w:val="16"/>
          <w:lang w:val="ru-RU"/>
        </w:rPr>
        <w:t>.</w:t>
      </w:r>
    </w:p>
  </w:footnote>
  <w:footnote w:id="36">
    <w:p w14:paraId="57821E6B" w14:textId="77777777" w:rsidR="005551B9" w:rsidRPr="002F5B9C" w:rsidRDefault="005551B9">
      <w:pPr>
        <w:pStyle w:val="FootnoteText"/>
        <w:jc w:val="both"/>
        <w:rPr>
          <w:sz w:val="16"/>
          <w:szCs w:val="16"/>
          <w:lang w:val="ru-RU"/>
        </w:rPr>
      </w:pPr>
      <w:r>
        <w:rPr>
          <w:rStyle w:val="FootnoteReference"/>
          <w:sz w:val="16"/>
          <w:szCs w:val="16"/>
        </w:rPr>
        <w:footnoteRef/>
      </w:r>
      <w:r w:rsidRPr="002F5B9C">
        <w:rPr>
          <w:sz w:val="16"/>
          <w:szCs w:val="16"/>
          <w:lang w:val="ru-RU"/>
        </w:rPr>
        <w:t xml:space="preserve"> </w:t>
      </w:r>
      <w:r w:rsidRPr="002F5B9C">
        <w:rPr>
          <w:bCs/>
          <w:sz w:val="16"/>
          <w:szCs w:val="16"/>
          <w:lang w:val="ru-RU"/>
        </w:rPr>
        <w:t xml:space="preserve">Рейнският сертификат за вътрешно корабоплаване ще се отнася за: моряк, </w:t>
      </w:r>
      <w:r w:rsidRPr="002F5B9C">
        <w:rPr>
          <w:sz w:val="16"/>
          <w:szCs w:val="16"/>
          <w:lang w:val="ru-RU"/>
        </w:rPr>
        <w:t xml:space="preserve">моряк заменен от боцман; режими на работа </w:t>
      </w:r>
      <w:r>
        <w:rPr>
          <w:sz w:val="16"/>
          <w:szCs w:val="16"/>
        </w:rPr>
        <w:t>A</w:t>
      </w:r>
      <w:r w:rsidRPr="002F5B9C">
        <w:rPr>
          <w:sz w:val="16"/>
          <w:szCs w:val="16"/>
          <w:lang w:val="ru-RU"/>
        </w:rPr>
        <w:t xml:space="preserve">1, </w:t>
      </w:r>
      <w:r>
        <w:rPr>
          <w:sz w:val="16"/>
          <w:szCs w:val="16"/>
        </w:rPr>
        <w:t>A</w:t>
      </w:r>
      <w:r w:rsidRPr="002F5B9C">
        <w:rPr>
          <w:sz w:val="16"/>
          <w:szCs w:val="16"/>
          <w:lang w:val="ru-RU"/>
        </w:rPr>
        <w:t xml:space="preserve">2 и </w:t>
      </w:r>
      <w:r>
        <w:rPr>
          <w:sz w:val="16"/>
          <w:szCs w:val="16"/>
        </w:rPr>
        <w:t>B</w:t>
      </w:r>
      <w:r w:rsidRPr="002F5B9C">
        <w:rPr>
          <w:sz w:val="16"/>
          <w:szCs w:val="16"/>
          <w:lang w:val="ru-RU"/>
        </w:rPr>
        <w:t>.</w:t>
      </w:r>
    </w:p>
  </w:footnote>
  <w:footnote w:id="37">
    <w:p w14:paraId="35D5DFDD" w14:textId="77777777" w:rsidR="005551B9" w:rsidRPr="002F5B9C" w:rsidRDefault="005551B9">
      <w:pPr>
        <w:pStyle w:val="FootnoteText"/>
        <w:ind w:left="284" w:hanging="284"/>
        <w:jc w:val="both"/>
        <w:rPr>
          <w:sz w:val="16"/>
          <w:szCs w:val="16"/>
          <w:lang w:val="ru-RU"/>
        </w:rPr>
      </w:pPr>
      <w:r>
        <w:rPr>
          <w:rStyle w:val="FootnoteReference"/>
        </w:rPr>
        <w:footnoteRef/>
      </w:r>
      <w:r w:rsidRPr="002F5B9C">
        <w:rPr>
          <w:lang w:val="ru-RU"/>
        </w:rPr>
        <w:t xml:space="preserve"> </w:t>
      </w:r>
      <w:r w:rsidRPr="002F5B9C">
        <w:rPr>
          <w:lang w:val="ru-RU"/>
        </w:rPr>
        <w:tab/>
      </w:r>
      <w:r w:rsidRPr="002F5B9C">
        <w:rPr>
          <w:sz w:val="16"/>
          <w:lang w:val="ru-RU"/>
        </w:rPr>
        <w:t xml:space="preserve">Директива 2014/53/ЕС на Европейския парламент и на Съвета от 16 април 2014 година за хармонизирането на законодателствата на държавите членки във връзка с предоставянето на пазара на радиосъоръжения и за отмяна на Директива 1999/5/ЕО (ОВ </w:t>
      </w:r>
      <w:r>
        <w:rPr>
          <w:sz w:val="16"/>
        </w:rPr>
        <w:t>L</w:t>
      </w:r>
      <w:r w:rsidRPr="002F5B9C">
        <w:rPr>
          <w:sz w:val="16"/>
          <w:lang w:val="ru-RU"/>
        </w:rPr>
        <w:t>153, 22.5.2014</w:t>
      </w:r>
      <w:r>
        <w:rPr>
          <w:sz w:val="16"/>
        </w:rPr>
        <w:t> </w:t>
      </w:r>
      <w:r w:rsidRPr="002F5B9C">
        <w:rPr>
          <w:sz w:val="16"/>
          <w:lang w:val="ru-RU"/>
        </w:rPr>
        <w:t>г.)</w:t>
      </w:r>
    </w:p>
  </w:footnote>
  <w:footnote w:id="38">
    <w:p w14:paraId="68F9F7D3" w14:textId="77777777" w:rsidR="005551B9" w:rsidRPr="002F5B9C" w:rsidRDefault="005551B9">
      <w:pPr>
        <w:pStyle w:val="FootnoteText"/>
        <w:ind w:left="284" w:hanging="284"/>
        <w:jc w:val="both"/>
        <w:rPr>
          <w:sz w:val="16"/>
          <w:szCs w:val="16"/>
          <w:lang w:val="ru-RU"/>
        </w:rPr>
      </w:pPr>
      <w:r>
        <w:rPr>
          <w:rStyle w:val="FootnoteReference"/>
        </w:rPr>
        <w:footnoteRef/>
      </w:r>
      <w:r w:rsidRPr="002F5B9C">
        <w:rPr>
          <w:lang w:val="ru-RU"/>
        </w:rPr>
        <w:t xml:space="preserve"> </w:t>
      </w:r>
      <w:r w:rsidRPr="002F5B9C">
        <w:rPr>
          <w:lang w:val="ru-RU"/>
        </w:rPr>
        <w:tab/>
      </w:r>
      <w:r w:rsidRPr="002F5B9C">
        <w:rPr>
          <w:sz w:val="16"/>
          <w:lang w:val="ru-RU"/>
        </w:rPr>
        <w:t>Директива 2014/30/ЕС на Европейския парламент и на Съвета от 26</w:t>
      </w:r>
      <w:r>
        <w:rPr>
          <w:sz w:val="16"/>
        </w:rPr>
        <w:t> </w:t>
      </w:r>
      <w:r w:rsidRPr="002F5B9C">
        <w:rPr>
          <w:sz w:val="16"/>
          <w:lang w:val="ru-RU"/>
        </w:rPr>
        <w:t xml:space="preserve">февруари 2014 година за хармонизиране на законодателствата на държавите членки относно електромагнитната съвместимост (ОВ </w:t>
      </w:r>
      <w:r>
        <w:rPr>
          <w:sz w:val="16"/>
        </w:rPr>
        <w:t>L</w:t>
      </w:r>
      <w:r w:rsidRPr="002F5B9C">
        <w:rPr>
          <w:sz w:val="16"/>
          <w:lang w:val="ru-RU"/>
        </w:rPr>
        <w:t xml:space="preserve"> 96, 29.3.2014</w:t>
      </w:r>
      <w:r>
        <w:rPr>
          <w:sz w:val="16"/>
        </w:rPr>
        <w:t> </w:t>
      </w:r>
      <w:r w:rsidRPr="002F5B9C">
        <w:rPr>
          <w:sz w:val="16"/>
          <w:lang w:val="ru-RU"/>
        </w:rPr>
        <w:t xml:space="preserve">г.) </w:t>
      </w:r>
    </w:p>
  </w:footnote>
  <w:footnote w:id="39">
    <w:p w14:paraId="420DD261" w14:textId="0284A7B9" w:rsidR="005551B9" w:rsidRPr="00415DE8" w:rsidRDefault="005551B9">
      <w:pPr>
        <w:pStyle w:val="FootnoteText"/>
        <w:rPr>
          <w:lang w:val="ru-RU"/>
        </w:rPr>
      </w:pPr>
      <w:r>
        <w:rPr>
          <w:rStyle w:val="FootnoteReference"/>
        </w:rPr>
        <w:t>3</w:t>
      </w:r>
      <w:r w:rsidRPr="00415DE8">
        <w:rPr>
          <w:lang w:val="ru-RU"/>
        </w:rPr>
        <w:t xml:space="preserve"> </w:t>
      </w:r>
      <w:r w:rsidRPr="00E63CFF">
        <w:rPr>
          <w:szCs w:val="24"/>
        </w:rPr>
        <w:t>MSC</w:t>
      </w:r>
      <w:r w:rsidRPr="00E63CFF">
        <w:rPr>
          <w:szCs w:val="24"/>
          <w:lang w:val="ru-RU"/>
        </w:rPr>
        <w:t>.112(73), приет на 1 декември 2000 г. - Ревизирани стандарти за работа на корабно приемно оборудване за глобална система за позициониране (</w:t>
      </w:r>
      <w:r w:rsidRPr="00E63CFF">
        <w:rPr>
          <w:szCs w:val="24"/>
        </w:rPr>
        <w:t>GPS</w:t>
      </w:r>
      <w:r w:rsidRPr="00E63CFF">
        <w:rPr>
          <w:szCs w:val="24"/>
          <w:lang w:val="ru-RU"/>
        </w:rPr>
        <w:t>).</w:t>
      </w:r>
    </w:p>
  </w:footnote>
  <w:footnote w:id="40">
    <w:p w14:paraId="7C53E9F0" w14:textId="5EF16598" w:rsidR="005551B9" w:rsidRPr="00415DE8" w:rsidRDefault="005551B9" w:rsidP="00CD113F">
      <w:pPr>
        <w:ind w:left="567" w:hanging="567"/>
        <w:rPr>
          <w:lang w:val="ru-RU"/>
        </w:rPr>
      </w:pPr>
      <w:r>
        <w:rPr>
          <w:rStyle w:val="FootnoteReference"/>
        </w:rPr>
        <w:t>4</w:t>
      </w:r>
      <w:r w:rsidRPr="00415DE8">
        <w:rPr>
          <w:lang w:val="ru-RU"/>
        </w:rPr>
        <w:t xml:space="preserve"> </w:t>
      </w:r>
      <w:r w:rsidRPr="00E63CFF">
        <w:t>MSC</w:t>
      </w:r>
      <w:r w:rsidRPr="00E63CFF">
        <w:rPr>
          <w:lang w:val="ru-RU"/>
        </w:rPr>
        <w:t xml:space="preserve">.114(73), приет на 1 декември 2000 г. - Ревизирани стандарти за работа на бордовото </w:t>
      </w:r>
      <w:r w:rsidRPr="00E63CFF">
        <w:t>DGPS</w:t>
      </w:r>
      <w:r w:rsidRPr="00E63CFF">
        <w:rPr>
          <w:lang w:val="ru-RU"/>
        </w:rPr>
        <w:t xml:space="preserve"> и </w:t>
      </w:r>
      <w:r w:rsidRPr="00E63CFF">
        <w:t>DGLONASS</w:t>
      </w:r>
      <w:r w:rsidRPr="00E63CFF">
        <w:rPr>
          <w:lang w:val="ru-RU"/>
        </w:rPr>
        <w:t xml:space="preserve"> оборудване за морски радиомаяци.</w:t>
      </w:r>
    </w:p>
  </w:footnote>
  <w:footnote w:id="41">
    <w:p w14:paraId="178A57D5" w14:textId="0A83BD74" w:rsidR="005551B9" w:rsidRPr="00CD113F" w:rsidRDefault="005551B9" w:rsidP="00CD113F">
      <w:pPr>
        <w:ind w:left="567" w:hanging="567"/>
        <w:rPr>
          <w:lang w:val="ru-RU"/>
        </w:rPr>
      </w:pPr>
      <w:r>
        <w:rPr>
          <w:rStyle w:val="FootnoteReference"/>
        </w:rPr>
        <w:t>5</w:t>
      </w:r>
      <w:r w:rsidRPr="00CD113F">
        <w:rPr>
          <w:lang w:val="ru-RU"/>
        </w:rPr>
        <w:t xml:space="preserve"> </w:t>
      </w:r>
      <w:r w:rsidRPr="00E63CFF">
        <w:t>MSC</w:t>
      </w:r>
      <w:r w:rsidRPr="00E63CFF">
        <w:rPr>
          <w:lang w:val="ru-RU"/>
        </w:rPr>
        <w:t xml:space="preserve">.233(82), приет на 5 декември 2006 г. - Стандарти за работа на корабно приемно оборудване </w:t>
      </w:r>
      <w:r w:rsidRPr="00E63CFF">
        <w:t>Galileo</w:t>
      </w:r>
      <w:r w:rsidRPr="00E63CFF">
        <w:rPr>
          <w:lang w:val="ru-RU"/>
        </w:rPr>
        <w:t>.</w:t>
      </w:r>
    </w:p>
  </w:footnote>
  <w:footnote w:id="42">
    <w:p w14:paraId="6ED25AEA" w14:textId="0A15A46A" w:rsidR="005551B9" w:rsidRPr="00CD113F" w:rsidRDefault="005551B9">
      <w:pPr>
        <w:pStyle w:val="FootnoteText"/>
      </w:pPr>
      <w:r>
        <w:rPr>
          <w:rStyle w:val="FootnoteReference"/>
        </w:rPr>
        <w:t>6</w:t>
      </w:r>
      <w:r>
        <w:t xml:space="preserve"> </w:t>
      </w:r>
      <w:r w:rsidRPr="00E63CFF">
        <w:rPr>
          <w:szCs w:val="24"/>
        </w:rPr>
        <w:t>MSC</w:t>
      </w:r>
      <w:r w:rsidRPr="00E63CFF">
        <w:rPr>
          <w:szCs w:val="24"/>
          <w:lang w:val="ru-RU"/>
        </w:rPr>
        <w:t>.116(73), приет на 1 декември 2000 г. - Стандарти за работа на морските предавателни насочващи устройства (</w:t>
      </w:r>
      <w:r w:rsidRPr="00E63CFF">
        <w:rPr>
          <w:szCs w:val="24"/>
        </w:rPr>
        <w:t>THD</w:t>
      </w:r>
      <w:r w:rsidRPr="00E63CFF">
        <w:rPr>
          <w:szCs w:val="24"/>
          <w:lang w:val="ru-RU"/>
        </w:rPr>
        <w:t>).</w:t>
      </w:r>
    </w:p>
  </w:footnote>
  <w:footnote w:id="43">
    <w:p w14:paraId="06595C64" w14:textId="77777777" w:rsidR="005551B9" w:rsidRPr="002F5B9C" w:rsidRDefault="005551B9">
      <w:pPr>
        <w:ind w:left="284" w:hanging="284"/>
        <w:rPr>
          <w:sz w:val="18"/>
          <w:lang w:val="ru-RU"/>
        </w:rPr>
      </w:pPr>
      <w:r>
        <w:rPr>
          <w:rStyle w:val="FootnoteReference"/>
        </w:rPr>
        <w:footnoteRef/>
      </w:r>
      <w:r w:rsidRPr="002F5B9C">
        <w:rPr>
          <w:lang w:val="ru-RU"/>
        </w:rPr>
        <w:t xml:space="preserve"> </w:t>
      </w:r>
      <w:r w:rsidRPr="002F5B9C">
        <w:rPr>
          <w:lang w:val="ru-RU"/>
        </w:rPr>
        <w:tab/>
      </w:r>
      <w:r w:rsidRPr="002F5B9C">
        <w:rPr>
          <w:sz w:val="16"/>
          <w:lang w:val="ru-RU"/>
        </w:rPr>
        <w:t>Референтен номер на информационния документ, определен от компетентния орган.</w:t>
      </w:r>
    </w:p>
  </w:footnote>
  <w:footnote w:id="44">
    <w:p w14:paraId="2D3A09AC" w14:textId="77777777" w:rsidR="005551B9" w:rsidRPr="002F5B9C" w:rsidRDefault="005551B9">
      <w:pPr>
        <w:pStyle w:val="FootnoteText"/>
        <w:ind w:left="284" w:hanging="284"/>
        <w:rPr>
          <w:sz w:val="16"/>
          <w:szCs w:val="16"/>
          <w:lang w:val="ru-RU"/>
        </w:rPr>
      </w:pPr>
      <w:r>
        <w:rPr>
          <w:rStyle w:val="FootnoteReference"/>
          <w:sz w:val="16"/>
        </w:rPr>
        <w:footnoteRef/>
      </w:r>
      <w:r w:rsidRPr="002F5B9C">
        <w:rPr>
          <w:sz w:val="16"/>
          <w:lang w:val="ru-RU"/>
        </w:rPr>
        <w:t xml:space="preserve"> </w:t>
      </w:r>
      <w:r w:rsidRPr="002F5B9C">
        <w:rPr>
          <w:lang w:val="ru-RU"/>
        </w:rPr>
        <w:tab/>
      </w:r>
      <w:r w:rsidRPr="002F5B9C">
        <w:rPr>
          <w:sz w:val="16"/>
          <w:lang w:val="ru-RU"/>
        </w:rPr>
        <w:t>Работни етапи</w:t>
      </w:r>
    </w:p>
    <w:p w14:paraId="2691DECE" w14:textId="77777777" w:rsidR="005551B9" w:rsidRPr="002F5B9C" w:rsidRDefault="005551B9">
      <w:pPr>
        <w:pStyle w:val="FootnoteText"/>
        <w:ind w:left="284"/>
        <w:rPr>
          <w:sz w:val="16"/>
          <w:szCs w:val="16"/>
          <w:lang w:val="ru-RU"/>
        </w:rPr>
      </w:pPr>
      <w:r w:rsidRPr="002F5B9C">
        <w:rPr>
          <w:sz w:val="16"/>
          <w:lang w:val="ru-RU"/>
        </w:rPr>
        <w:t>Следните работни етапи трябва да бъдат дефинирани за изпитване:</w:t>
      </w:r>
    </w:p>
    <w:p w14:paraId="451D5E13" w14:textId="77777777" w:rsidR="005551B9" w:rsidRPr="002F5B9C" w:rsidRDefault="005551B9">
      <w:pPr>
        <w:pStyle w:val="FootnoteText"/>
        <w:ind w:left="567" w:hanging="283"/>
        <w:jc w:val="both"/>
        <w:rPr>
          <w:sz w:val="16"/>
          <w:szCs w:val="16"/>
          <w:lang w:val="ru-RU"/>
        </w:rPr>
      </w:pPr>
      <w:r>
        <w:rPr>
          <w:sz w:val="16"/>
        </w:rPr>
        <w:t>a</w:t>
      </w:r>
      <w:r w:rsidRPr="002F5B9C">
        <w:rPr>
          <w:sz w:val="16"/>
          <w:lang w:val="ru-RU"/>
        </w:rPr>
        <w:t>)</w:t>
      </w:r>
      <w:r w:rsidRPr="002F5B9C">
        <w:rPr>
          <w:lang w:val="ru-RU"/>
        </w:rPr>
        <w:t xml:space="preserve"> </w:t>
      </w:r>
      <w:r w:rsidRPr="002F5B9C">
        <w:rPr>
          <w:sz w:val="16"/>
          <w:lang w:val="ru-RU"/>
        </w:rPr>
        <w:t xml:space="preserve">работа в режим на готовност е случаят, в който бордовата станция за пречистване на отпадъчни води работи, но не са били подавани отпадъчни води в продължение на повече от един ден. Дадена бордова станция за пречистване на отпадъчни води може да бъде в режим на готовност, когато например пътническият плавателен съд не е в експлоатация за продължителен период и остава на стоянка. </w:t>
      </w:r>
    </w:p>
    <w:p w14:paraId="12AEE58F" w14:textId="77777777" w:rsidR="005551B9" w:rsidRPr="002F5B9C" w:rsidRDefault="005551B9">
      <w:pPr>
        <w:pStyle w:val="FootnoteText"/>
        <w:ind w:left="567" w:hanging="283"/>
        <w:jc w:val="both"/>
        <w:rPr>
          <w:sz w:val="16"/>
          <w:szCs w:val="16"/>
          <w:lang w:val="ru-RU"/>
        </w:rPr>
      </w:pPr>
      <w:r w:rsidRPr="002F5B9C">
        <w:rPr>
          <w:sz w:val="16"/>
          <w:lang w:val="ru-RU"/>
        </w:rPr>
        <w:t>б)</w:t>
      </w:r>
      <w:r w:rsidRPr="002F5B9C">
        <w:rPr>
          <w:lang w:val="ru-RU"/>
        </w:rPr>
        <w:t xml:space="preserve"> </w:t>
      </w:r>
      <w:r w:rsidRPr="002F5B9C">
        <w:rPr>
          <w:sz w:val="16"/>
          <w:lang w:val="ru-RU"/>
        </w:rPr>
        <w:t>работа в авариен режим е случаят, когато отделни възли на бордова станция за пречистване на отпадъчни води са излезли от строя, така че отпадъчните води не могат да бъдат пречиствани, както е предвидено.</w:t>
      </w:r>
    </w:p>
    <w:p w14:paraId="5AA94C94" w14:textId="77777777" w:rsidR="005551B9" w:rsidRPr="002F5B9C" w:rsidRDefault="005551B9">
      <w:pPr>
        <w:pStyle w:val="FootnoteText"/>
        <w:ind w:left="567" w:hanging="283"/>
        <w:jc w:val="both"/>
        <w:rPr>
          <w:sz w:val="16"/>
          <w:szCs w:val="16"/>
          <w:lang w:val="ru-RU"/>
        </w:rPr>
      </w:pPr>
      <w:r w:rsidRPr="002F5B9C">
        <w:rPr>
          <w:sz w:val="16"/>
          <w:lang w:val="ru-RU"/>
        </w:rPr>
        <w:t>в)</w:t>
      </w:r>
      <w:r w:rsidRPr="002F5B9C">
        <w:rPr>
          <w:lang w:val="ru-RU"/>
        </w:rPr>
        <w:t xml:space="preserve"> </w:t>
      </w:r>
      <w:r w:rsidRPr="002F5B9C">
        <w:rPr>
          <w:sz w:val="16"/>
          <w:lang w:val="ru-RU"/>
        </w:rPr>
        <w:t>действие по спиране, престой и пускане е случаят, когато бордова станция за пречистване на отпадъчни води се извежда от експлоатация за продължителен период от време (зимна стоянка) и захранването се изключва или когато бордовата станция за пречистване на отпадъчни води се пуска отново в началото на сезона.</w:t>
      </w:r>
    </w:p>
    <w:p w14:paraId="2BEBBB5C" w14:textId="77777777" w:rsidR="005551B9" w:rsidRPr="002F5B9C" w:rsidRDefault="005551B9">
      <w:pPr>
        <w:pStyle w:val="FootnoteText"/>
        <w:rPr>
          <w:sz w:val="14"/>
          <w:lang w:val="ru-RU"/>
        </w:rPr>
      </w:pPr>
    </w:p>
  </w:footnote>
  <w:footnote w:id="45">
    <w:p w14:paraId="0D7F79FD" w14:textId="77777777" w:rsidR="005551B9" w:rsidRPr="002F5B9C" w:rsidRDefault="005551B9">
      <w:pPr>
        <w:pStyle w:val="FootnoteText"/>
        <w:ind w:left="284" w:hanging="284"/>
        <w:rPr>
          <w:sz w:val="18"/>
          <w:szCs w:val="18"/>
          <w:lang w:val="ru-RU"/>
        </w:rPr>
      </w:pPr>
      <w:r>
        <w:rPr>
          <w:rStyle w:val="FootnoteReference"/>
        </w:rPr>
        <w:footnoteRef/>
      </w:r>
      <w:r w:rsidRPr="002F5B9C">
        <w:rPr>
          <w:lang w:val="ru-RU"/>
        </w:rPr>
        <w:t xml:space="preserve"> </w:t>
      </w:r>
      <w:r w:rsidRPr="002F5B9C">
        <w:rPr>
          <w:lang w:val="ru-RU"/>
        </w:rPr>
        <w:tab/>
      </w:r>
      <w:r w:rsidRPr="002F5B9C">
        <w:rPr>
          <w:sz w:val="18"/>
          <w:szCs w:val="18"/>
          <w:lang w:val="ru-RU"/>
        </w:rPr>
        <w:t>Указва се според случая.</w:t>
      </w:r>
    </w:p>
  </w:footnote>
  <w:footnote w:id="46">
    <w:p w14:paraId="6E778FE9" w14:textId="77777777" w:rsidR="005551B9" w:rsidRPr="002F5B9C" w:rsidRDefault="005551B9">
      <w:pPr>
        <w:pStyle w:val="FootnoteText"/>
        <w:ind w:left="284" w:hanging="284"/>
        <w:rPr>
          <w:sz w:val="16"/>
          <w:szCs w:val="16"/>
          <w:lang w:val="ru-RU"/>
        </w:rPr>
      </w:pPr>
      <w:r>
        <w:rPr>
          <w:rStyle w:val="FootnoteReference"/>
        </w:rPr>
        <w:footnoteRef/>
      </w:r>
      <w:r w:rsidRPr="002F5B9C">
        <w:rPr>
          <w:lang w:val="ru-RU"/>
        </w:rPr>
        <w:tab/>
      </w:r>
      <w:r w:rsidRPr="002F5B9C">
        <w:rPr>
          <w:sz w:val="16"/>
          <w:lang w:val="ru-RU"/>
        </w:rPr>
        <w:t>Указва се според случая.</w:t>
      </w:r>
    </w:p>
  </w:footnote>
  <w:footnote w:id="47">
    <w:p w14:paraId="7BD8D5E7" w14:textId="77777777" w:rsidR="005551B9" w:rsidRPr="002F5B9C" w:rsidRDefault="005551B9">
      <w:pPr>
        <w:pStyle w:val="FootnoteText"/>
        <w:ind w:left="284" w:hanging="284"/>
        <w:rPr>
          <w:sz w:val="16"/>
          <w:lang w:val="ru-RU"/>
        </w:rPr>
      </w:pPr>
      <w:r>
        <w:rPr>
          <w:rStyle w:val="FootnoteReference"/>
        </w:rPr>
        <w:footnoteRef/>
      </w:r>
      <w:r w:rsidRPr="002F5B9C">
        <w:rPr>
          <w:lang w:val="ru-RU"/>
        </w:rPr>
        <w:tab/>
      </w:r>
      <w:r w:rsidRPr="002F5B9C">
        <w:rPr>
          <w:sz w:val="16"/>
          <w:lang w:val="ru-RU"/>
        </w:rPr>
        <w:t>В случай че изпитванията се извършват от компетентния орган, отбележете „неотносимо“.</w:t>
      </w:r>
    </w:p>
  </w:footnote>
  <w:footnote w:id="48">
    <w:p w14:paraId="4892ED4A" w14:textId="77777777" w:rsidR="005551B9" w:rsidRPr="002F5B9C" w:rsidRDefault="005551B9">
      <w:pPr>
        <w:pStyle w:val="FootnoteText"/>
        <w:ind w:left="284" w:hanging="284"/>
        <w:rPr>
          <w:sz w:val="16"/>
          <w:lang w:val="ru-RU"/>
        </w:rPr>
      </w:pPr>
      <w:r>
        <w:rPr>
          <w:rStyle w:val="FootnoteReference"/>
        </w:rPr>
        <w:footnoteRef/>
      </w:r>
      <w:r w:rsidRPr="002F5B9C">
        <w:rPr>
          <w:lang w:val="ru-RU"/>
        </w:rPr>
        <w:tab/>
      </w:r>
      <w:r w:rsidRPr="002F5B9C">
        <w:rPr>
          <w:sz w:val="16"/>
          <w:lang w:val="ru-RU"/>
        </w:rPr>
        <w:t>Указва се според случая.</w:t>
      </w:r>
    </w:p>
  </w:footnote>
  <w:footnote w:id="49">
    <w:p w14:paraId="47A5F8CA" w14:textId="77777777" w:rsidR="005551B9" w:rsidRPr="002F5B9C" w:rsidRDefault="005551B9">
      <w:pPr>
        <w:pStyle w:val="FootnoteText"/>
        <w:ind w:left="284" w:hanging="284"/>
        <w:rPr>
          <w:sz w:val="16"/>
          <w:lang w:val="ru-RU"/>
        </w:rPr>
      </w:pPr>
      <w:r>
        <w:rPr>
          <w:rStyle w:val="FootnoteReference"/>
        </w:rPr>
        <w:footnoteRef/>
      </w:r>
      <w:r w:rsidRPr="002F5B9C">
        <w:rPr>
          <w:lang w:val="ru-RU"/>
        </w:rPr>
        <w:tab/>
      </w:r>
      <w:r w:rsidRPr="002F5B9C">
        <w:rPr>
          <w:sz w:val="16"/>
          <w:lang w:val="ru-RU"/>
        </w:rPr>
        <w:t>В случай на повече изпитвателни цикли посочете за всеки цикъл.</w:t>
      </w:r>
    </w:p>
  </w:footnote>
  <w:footnote w:id="50">
    <w:p w14:paraId="45462D1B" w14:textId="77777777" w:rsidR="005551B9" w:rsidRPr="002F5B9C" w:rsidRDefault="005551B9">
      <w:pPr>
        <w:pStyle w:val="FootnoteText"/>
        <w:ind w:left="284" w:hanging="284"/>
        <w:rPr>
          <w:lang w:val="ru-RU"/>
        </w:rPr>
      </w:pPr>
      <w:r>
        <w:rPr>
          <w:rStyle w:val="FootnoteReference"/>
        </w:rPr>
        <w:footnoteRef/>
      </w:r>
      <w:r w:rsidRPr="002F5B9C">
        <w:rPr>
          <w:lang w:val="ru-RU"/>
        </w:rPr>
        <w:t xml:space="preserve"> </w:t>
      </w:r>
      <w:r w:rsidRPr="002F5B9C">
        <w:rPr>
          <w:lang w:val="ru-RU"/>
        </w:rPr>
        <w:tab/>
      </w:r>
      <w:r w:rsidRPr="002F5B9C">
        <w:rPr>
          <w:sz w:val="16"/>
          <w:lang w:val="ru-RU"/>
        </w:rPr>
        <w:t>Съгласно удостоверението за одобрение на типа</w:t>
      </w:r>
    </w:p>
  </w:footnote>
  <w:footnote w:id="51">
    <w:p w14:paraId="303D48D7" w14:textId="77777777" w:rsidR="005551B9" w:rsidRPr="002F5B9C" w:rsidRDefault="005551B9">
      <w:pPr>
        <w:pStyle w:val="FootnoteText"/>
        <w:ind w:left="284" w:hanging="284"/>
        <w:rPr>
          <w:lang w:val="ru-RU"/>
        </w:rPr>
      </w:pPr>
      <w:r>
        <w:rPr>
          <w:rStyle w:val="FootnoteReference"/>
        </w:rPr>
        <w:footnoteRef/>
      </w:r>
      <w:r w:rsidRPr="002F5B9C">
        <w:rPr>
          <w:lang w:val="ru-RU"/>
        </w:rPr>
        <w:t xml:space="preserve"> </w:t>
      </w:r>
      <w:r w:rsidRPr="002F5B9C">
        <w:rPr>
          <w:lang w:val="ru-RU"/>
        </w:rPr>
        <w:tab/>
      </w:r>
      <w:r w:rsidRPr="002F5B9C">
        <w:rPr>
          <w:sz w:val="16"/>
          <w:lang w:val="ru-RU"/>
        </w:rPr>
        <w:t>Указва се според случая</w:t>
      </w:r>
    </w:p>
  </w:footnote>
  <w:footnote w:id="52">
    <w:p w14:paraId="313867F6" w14:textId="77777777" w:rsidR="005551B9" w:rsidRPr="002F5B9C" w:rsidRDefault="005551B9">
      <w:pPr>
        <w:pStyle w:val="FootnoteText"/>
        <w:ind w:left="284" w:hanging="284"/>
        <w:rPr>
          <w:sz w:val="16"/>
          <w:szCs w:val="18"/>
          <w:lang w:val="ru-RU"/>
        </w:rPr>
      </w:pPr>
      <w:r w:rsidRPr="002F5B9C">
        <w:rPr>
          <w:sz w:val="18"/>
          <w:vertAlign w:val="superscript"/>
          <w:lang w:val="ru-RU"/>
        </w:rPr>
        <w:t>(</w:t>
      </w:r>
      <w:r>
        <w:rPr>
          <w:rStyle w:val="Caractresdenotedebasdepage"/>
          <w:sz w:val="18"/>
        </w:rPr>
        <w:footnoteRef/>
      </w:r>
      <w:r w:rsidRPr="002F5B9C">
        <w:rPr>
          <w:sz w:val="18"/>
          <w:vertAlign w:val="superscript"/>
          <w:lang w:val="ru-RU"/>
        </w:rPr>
        <w:t>)</w:t>
      </w:r>
      <w:r w:rsidRPr="002F5B9C">
        <w:rPr>
          <w:lang w:val="ru-RU"/>
        </w:rPr>
        <w:tab/>
      </w:r>
      <w:r>
        <w:rPr>
          <w:sz w:val="16"/>
        </w:rPr>
        <w:t>TOC</w:t>
      </w:r>
      <w:r w:rsidRPr="002F5B9C">
        <w:rPr>
          <w:sz w:val="16"/>
          <w:lang w:val="ru-RU"/>
        </w:rPr>
        <w:t xml:space="preserve"> ще бъде следено от етап </w:t>
      </w:r>
      <w:r>
        <w:rPr>
          <w:sz w:val="16"/>
        </w:rPr>
        <w:t>II</w:t>
      </w:r>
      <w:r w:rsidRPr="002F5B9C">
        <w:rPr>
          <w:sz w:val="16"/>
          <w:lang w:val="ru-RU"/>
        </w:rPr>
        <w:t xml:space="preserve"> на максималните стойности от таблица 2, в член</w:t>
      </w:r>
      <w:r>
        <w:rPr>
          <w:sz w:val="16"/>
        </w:rPr>
        <w:t> </w:t>
      </w:r>
      <w:r w:rsidRPr="002F5B9C">
        <w:rPr>
          <w:sz w:val="16"/>
          <w:lang w:val="ru-RU"/>
        </w:rPr>
        <w:t>18.01, точка 2.</w:t>
      </w:r>
    </w:p>
  </w:footnote>
  <w:footnote w:id="53">
    <w:p w14:paraId="5BF91B76" w14:textId="77777777" w:rsidR="005551B9" w:rsidRPr="002F5B9C" w:rsidRDefault="005551B9">
      <w:pPr>
        <w:pStyle w:val="FootnoteText"/>
        <w:ind w:left="284" w:hanging="284"/>
        <w:rPr>
          <w:lang w:val="ru-RU"/>
        </w:rPr>
      </w:pPr>
      <w:r w:rsidRPr="002F5B9C">
        <w:rPr>
          <w:rStyle w:val="FootnoteReference"/>
          <w:lang w:val="ru-RU"/>
        </w:rPr>
        <w:t>(*)</w:t>
      </w:r>
      <w:r w:rsidRPr="002F5B9C">
        <w:rPr>
          <w:lang w:val="ru-RU"/>
        </w:rPr>
        <w:t xml:space="preserve"> </w:t>
      </w:r>
      <w:r w:rsidRPr="002F5B9C">
        <w:rPr>
          <w:lang w:val="ru-RU"/>
        </w:rPr>
        <w:tab/>
      </w:r>
      <w:r w:rsidRPr="002F5B9C">
        <w:rPr>
          <w:sz w:val="16"/>
          <w:lang w:val="ru-RU"/>
        </w:rPr>
        <w:t>Ненужното се зачерква.</w:t>
      </w:r>
    </w:p>
  </w:footnote>
  <w:footnote w:id="54">
    <w:p w14:paraId="7E9F6890" w14:textId="77777777" w:rsidR="005551B9" w:rsidRPr="002F5B9C" w:rsidRDefault="005551B9">
      <w:pPr>
        <w:pStyle w:val="FootnoteText"/>
        <w:ind w:left="284" w:hanging="284"/>
        <w:rPr>
          <w:sz w:val="16"/>
          <w:lang w:val="ru-RU"/>
        </w:rPr>
      </w:pPr>
      <w:r>
        <w:rPr>
          <w:rStyle w:val="FootnoteReference"/>
        </w:rPr>
        <w:footnoteRef/>
      </w:r>
      <w:r w:rsidRPr="002F5B9C">
        <w:rPr>
          <w:lang w:val="ru-RU"/>
        </w:rPr>
        <w:tab/>
      </w:r>
      <w:r w:rsidRPr="002F5B9C">
        <w:rPr>
          <w:sz w:val="16"/>
          <w:lang w:val="ru-RU"/>
        </w:rPr>
        <w:t>Ненужното се зачерква.</w:t>
      </w:r>
    </w:p>
  </w:footnote>
  <w:footnote w:id="55">
    <w:p w14:paraId="447B4F54" w14:textId="77777777" w:rsidR="005551B9" w:rsidRPr="002F5B9C" w:rsidRDefault="005551B9">
      <w:pPr>
        <w:pStyle w:val="FootnoteText"/>
        <w:tabs>
          <w:tab w:val="left" w:pos="284"/>
        </w:tabs>
        <w:rPr>
          <w:lang w:val="ru-RU"/>
        </w:rPr>
      </w:pPr>
      <w:r w:rsidRPr="002F5B9C">
        <w:rPr>
          <w:rStyle w:val="FootnoteReference"/>
          <w:lang w:val="ru-RU"/>
        </w:rPr>
        <w:t>*)</w:t>
      </w:r>
      <w:r w:rsidRPr="002F5B9C">
        <w:rPr>
          <w:lang w:val="ru-RU"/>
        </w:rPr>
        <w:t xml:space="preserve"> </w:t>
      </w:r>
      <w:r w:rsidRPr="002F5B9C">
        <w:rPr>
          <w:lang w:val="ru-RU"/>
        </w:rPr>
        <w:tab/>
      </w:r>
      <w:r w:rsidRPr="002F5B9C">
        <w:rPr>
          <w:sz w:val="16"/>
          <w:lang w:val="ru-RU"/>
        </w:rPr>
        <w:t>Ненужното се зачерква</w:t>
      </w:r>
    </w:p>
  </w:footnote>
  <w:footnote w:id="56">
    <w:p w14:paraId="499F1C76" w14:textId="77777777" w:rsidR="005551B9" w:rsidRPr="002F5B9C" w:rsidRDefault="005551B9">
      <w:pPr>
        <w:pStyle w:val="FootnoteText"/>
        <w:tabs>
          <w:tab w:val="left" w:pos="284"/>
        </w:tabs>
        <w:rPr>
          <w:lang w:val="ru-RU"/>
        </w:rPr>
      </w:pPr>
      <w:r w:rsidRPr="002F5B9C">
        <w:rPr>
          <w:rStyle w:val="FootnoteReference"/>
          <w:lang w:val="ru-RU"/>
        </w:rPr>
        <w:t>*)</w:t>
      </w:r>
      <w:r w:rsidRPr="002F5B9C">
        <w:rPr>
          <w:lang w:val="ru-RU"/>
        </w:rPr>
        <w:t xml:space="preserve"> </w:t>
      </w:r>
      <w:r w:rsidRPr="002F5B9C">
        <w:rPr>
          <w:lang w:val="ru-RU"/>
        </w:rPr>
        <w:tab/>
      </w:r>
      <w:r w:rsidRPr="002F5B9C">
        <w:rPr>
          <w:sz w:val="16"/>
          <w:lang w:val="ru-RU"/>
        </w:rPr>
        <w:t>Ненужното се зачерква</w:t>
      </w:r>
    </w:p>
  </w:footnote>
  <w:footnote w:id="57">
    <w:p w14:paraId="7813B7A0" w14:textId="77777777" w:rsidR="005551B9" w:rsidRPr="002F5B9C" w:rsidRDefault="005551B9">
      <w:pPr>
        <w:pStyle w:val="FootnoteText"/>
        <w:ind w:left="284" w:hanging="284"/>
        <w:rPr>
          <w:lang w:val="ru-RU"/>
        </w:rPr>
      </w:pPr>
      <w:r w:rsidRPr="002F5B9C">
        <w:rPr>
          <w:rStyle w:val="FootnoteReference"/>
          <w:lang w:val="ru-RU"/>
        </w:rPr>
        <w:t>*)</w:t>
      </w:r>
      <w:r w:rsidRPr="002F5B9C">
        <w:rPr>
          <w:lang w:val="ru-RU"/>
        </w:rPr>
        <w:t xml:space="preserve"> </w:t>
      </w:r>
      <w:r w:rsidRPr="002F5B9C">
        <w:rPr>
          <w:lang w:val="ru-RU"/>
        </w:rPr>
        <w:tab/>
      </w:r>
      <w:r w:rsidRPr="002F5B9C">
        <w:rPr>
          <w:sz w:val="16"/>
          <w:lang w:val="ru-RU"/>
        </w:rPr>
        <w:t>Ненужното се зачерква</w:t>
      </w:r>
    </w:p>
  </w:footnote>
  <w:footnote w:id="58">
    <w:p w14:paraId="27787062" w14:textId="77777777" w:rsidR="005551B9" w:rsidRPr="002F5B9C" w:rsidRDefault="005551B9">
      <w:pPr>
        <w:pStyle w:val="FootnoteText"/>
        <w:tabs>
          <w:tab w:val="left" w:pos="284"/>
        </w:tabs>
        <w:rPr>
          <w:lang w:val="ru-RU"/>
        </w:rPr>
      </w:pPr>
      <w:r>
        <w:rPr>
          <w:rStyle w:val="FootnoteReference"/>
        </w:rPr>
        <w:footnoteRef/>
      </w:r>
      <w:r w:rsidRPr="002F5B9C">
        <w:rPr>
          <w:lang w:val="ru-RU"/>
        </w:rPr>
        <w:t xml:space="preserve"> </w:t>
      </w:r>
      <w:r w:rsidRPr="002F5B9C">
        <w:rPr>
          <w:lang w:val="ru-RU"/>
        </w:rPr>
        <w:tab/>
      </w:r>
      <w:r w:rsidRPr="002F5B9C">
        <w:rPr>
          <w:sz w:val="16"/>
          <w:lang w:val="ru-RU"/>
        </w:rPr>
        <w:t>Ненужното се зачерква</w:t>
      </w:r>
    </w:p>
  </w:footnote>
  <w:footnote w:id="59">
    <w:p w14:paraId="527C31CC" w14:textId="77777777" w:rsidR="005551B9" w:rsidRPr="002F5B9C" w:rsidRDefault="005551B9">
      <w:pPr>
        <w:pStyle w:val="FootnoteText"/>
        <w:ind w:left="284" w:hanging="284"/>
        <w:jc w:val="both"/>
        <w:rPr>
          <w:rFonts w:cs="Arial"/>
          <w:sz w:val="16"/>
          <w:szCs w:val="16"/>
          <w:lang w:val="ru-RU"/>
        </w:rPr>
      </w:pPr>
      <w:r>
        <w:rPr>
          <w:rStyle w:val="FootnoteReference"/>
          <w:sz w:val="18"/>
        </w:rPr>
        <w:footnoteRef/>
      </w:r>
      <w:r w:rsidRPr="002F5B9C">
        <w:rPr>
          <w:sz w:val="18"/>
          <w:lang w:val="ru-RU"/>
        </w:rPr>
        <w:t xml:space="preserve"> </w:t>
      </w:r>
      <w:r w:rsidRPr="002F5B9C">
        <w:rPr>
          <w:lang w:val="ru-RU"/>
        </w:rPr>
        <w:tab/>
      </w:r>
      <w:r w:rsidRPr="002F5B9C">
        <w:rPr>
          <w:sz w:val="16"/>
          <w:lang w:val="ru-RU"/>
        </w:rPr>
        <w:t xml:space="preserve">Директива 2009/45/ЕО на Европейския парламент и на Съвета от 6 май 2009 година за правилата за безопасност и стандартите за пътническите кораби (ОВ </w:t>
      </w:r>
      <w:r>
        <w:rPr>
          <w:sz w:val="16"/>
        </w:rPr>
        <w:t>L</w:t>
      </w:r>
      <w:r w:rsidRPr="002F5B9C">
        <w:rPr>
          <w:sz w:val="16"/>
          <w:lang w:val="ru-RU"/>
        </w:rPr>
        <w:t xml:space="preserve"> 163, 25.6.2009</w:t>
      </w:r>
      <w:r>
        <w:rPr>
          <w:sz w:val="16"/>
        </w:rPr>
        <w:t> </w:t>
      </w:r>
      <w:r w:rsidRPr="002F5B9C">
        <w:rPr>
          <w:sz w:val="16"/>
          <w:lang w:val="ru-RU"/>
        </w:rPr>
        <w:t>г.).</w:t>
      </w:r>
    </w:p>
  </w:footnote>
  <w:footnote w:id="60">
    <w:p w14:paraId="018F42EB" w14:textId="77777777" w:rsidR="005551B9" w:rsidRPr="002F5B9C" w:rsidRDefault="005551B9">
      <w:pPr>
        <w:pStyle w:val="FootnoteText"/>
        <w:ind w:left="284" w:hanging="284"/>
        <w:jc w:val="both"/>
        <w:rPr>
          <w:rFonts w:cs="Arial"/>
          <w:sz w:val="16"/>
          <w:szCs w:val="16"/>
          <w:lang w:val="ru-RU"/>
        </w:rPr>
      </w:pPr>
      <w:r>
        <w:rPr>
          <w:rStyle w:val="FootnoteReference"/>
          <w:sz w:val="18"/>
        </w:rPr>
        <w:footnoteRef/>
      </w:r>
      <w:r w:rsidRPr="002F5B9C">
        <w:rPr>
          <w:sz w:val="18"/>
          <w:lang w:val="ru-RU"/>
        </w:rPr>
        <w:t xml:space="preserve"> </w:t>
      </w:r>
      <w:r w:rsidRPr="002F5B9C">
        <w:rPr>
          <w:lang w:val="ru-RU"/>
        </w:rPr>
        <w:tab/>
      </w:r>
      <w:r w:rsidRPr="002F5B9C">
        <w:rPr>
          <w:sz w:val="16"/>
          <w:lang w:val="ru-RU"/>
        </w:rPr>
        <w:t>Насоки за пътническите плавателни съдове, които са също подходящи за превоз на лица с намалена подвижност — Икономическата комисия за Европа на ООН, Комитет по вътрешен транспорт, Работната група за вътрешноводния транспорт“ — приети на 15 октомври 2010</w:t>
      </w:r>
      <w:r>
        <w:rPr>
          <w:sz w:val="16"/>
        </w:rPr>
        <w:t> </w:t>
      </w:r>
      <w:r w:rsidRPr="002F5B9C">
        <w:rPr>
          <w:sz w:val="16"/>
          <w:lang w:val="ru-RU"/>
        </w:rPr>
        <w:t>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B23B8" w14:textId="77777777" w:rsidR="005551B9" w:rsidRPr="002F5B9C" w:rsidRDefault="005551B9">
    <w:pPr>
      <w:widowControl w:val="0"/>
      <w:pBdr>
        <w:bottom w:val="single" w:sz="6" w:space="1" w:color="auto"/>
      </w:pBdr>
      <w:tabs>
        <w:tab w:val="right" w:pos="9070"/>
        <w:tab w:val="right" w:pos="14034"/>
      </w:tabs>
      <w:rPr>
        <w:sz w:val="16"/>
        <w:szCs w:val="16"/>
        <w:lang w:val="ru-RU"/>
      </w:rPr>
    </w:pPr>
    <w:r w:rsidRPr="002F5B9C">
      <w:rPr>
        <w:sz w:val="16"/>
        <w:lang w:val="ru-RU"/>
      </w:rPr>
      <w:t xml:space="preserve">Европейски стандарт за определяне на технически изисквания </w:t>
    </w:r>
  </w:p>
  <w:p w14:paraId="346632D2" w14:textId="77777777" w:rsidR="005551B9" w:rsidRPr="002F5B9C" w:rsidRDefault="005551B9">
    <w:pPr>
      <w:widowControl w:val="0"/>
      <w:pBdr>
        <w:bottom w:val="single" w:sz="6" w:space="1" w:color="auto"/>
      </w:pBdr>
      <w:tabs>
        <w:tab w:val="right" w:pos="9070"/>
        <w:tab w:val="right" w:pos="14034"/>
      </w:tabs>
      <w:rPr>
        <w:sz w:val="16"/>
        <w:szCs w:val="16"/>
        <w:lang w:val="ru-RU"/>
      </w:rPr>
    </w:pPr>
    <w:r w:rsidRPr="002F5B9C">
      <w:rPr>
        <w:sz w:val="16"/>
        <w:lang w:val="ru-RU"/>
      </w:rPr>
      <w:t>за плавателните съдове по вътрешните водни пътища (</w:t>
    </w:r>
    <w:r>
      <w:rPr>
        <w:sz w:val="16"/>
      </w:rPr>
      <w:t>ES</w:t>
    </w:r>
    <w:r w:rsidRPr="002F5B9C">
      <w:rPr>
        <w:sz w:val="16"/>
        <w:lang w:val="ru-RU"/>
      </w:rPr>
      <w:t>-</w:t>
    </w:r>
    <w:r>
      <w:rPr>
        <w:sz w:val="16"/>
      </w:rPr>
      <w:t>TRIN</w:t>
    </w:r>
    <w:r w:rsidRPr="002F5B9C">
      <w:rPr>
        <w:sz w:val="16"/>
        <w:lang w:val="ru-RU"/>
      </w:rPr>
      <w:t>)</w:t>
    </w:r>
    <w:r w:rsidRPr="002F5B9C">
      <w:rPr>
        <w:lang w:val="ru-RU"/>
      </w:rPr>
      <w:tab/>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906F8" w14:textId="77777777" w:rsidR="005551B9" w:rsidRPr="00CA2BD2" w:rsidRDefault="005551B9" w:rsidP="005B1E3D">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4</w:t>
    </w:r>
  </w:p>
  <w:p w14:paraId="41A0453F" w14:textId="6BDA4163" w:rsidR="005551B9" w:rsidRPr="0031621D" w:rsidRDefault="005551B9" w:rsidP="00C02BEC">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Безопасно разстояние, надводен борд и скали на газенето</w:t>
    </w: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98FA3" w14:textId="77777777" w:rsidR="005551B9" w:rsidRPr="002F25D8" w:rsidRDefault="005551B9" w:rsidP="00ED7AA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18C86391" w14:textId="77777777" w:rsidR="005551B9"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5AA0752F" w14:textId="58BC7F2A" w:rsidR="005551B9" w:rsidRPr="00002217"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sidRPr="00002217">
      <w:rPr>
        <w:rFonts w:ascii="Times New Roman" w:hAnsi="Times New Roman" w:cs="Times New Roman"/>
        <w:sz w:val="20"/>
        <w:szCs w:val="20"/>
        <w:lang w:val="en-US"/>
      </w:rPr>
      <w:t>I</w:t>
    </w:r>
    <w:r>
      <w:rPr>
        <w:rFonts w:ascii="Times New Roman" w:hAnsi="Times New Roman" w:cs="Times New Roman"/>
        <w:sz w:val="20"/>
        <w:szCs w:val="20"/>
        <w:lang w:val="en-US"/>
      </w:rPr>
      <w:t>II</w:t>
    </w: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4D91E" w14:textId="77777777" w:rsidR="005551B9" w:rsidRPr="002F25D8" w:rsidRDefault="005551B9" w:rsidP="00ED7AA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6B3A0D71" w14:textId="77777777" w:rsidR="005551B9"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2D229513" w14:textId="635AA0C5" w:rsidR="005551B9" w:rsidRPr="00002217"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sidRPr="00002217">
      <w:rPr>
        <w:rFonts w:ascii="Times New Roman" w:hAnsi="Times New Roman" w:cs="Times New Roman"/>
        <w:sz w:val="20"/>
        <w:szCs w:val="20"/>
        <w:lang w:val="en-US"/>
      </w:rPr>
      <w:t>I</w:t>
    </w:r>
    <w:r>
      <w:rPr>
        <w:rFonts w:ascii="Times New Roman" w:hAnsi="Times New Roman" w:cs="Times New Roman"/>
        <w:sz w:val="20"/>
        <w:szCs w:val="20"/>
        <w:lang w:val="en-US"/>
      </w:rPr>
      <w:t>V</w:t>
    </w: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1C231" w14:textId="77777777" w:rsidR="005551B9" w:rsidRDefault="005551B9"/>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A4BE8" w14:textId="77777777" w:rsidR="005551B9" w:rsidRPr="002F25D8" w:rsidRDefault="005551B9" w:rsidP="00B95695">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6DEECA29" w14:textId="77777777" w:rsidR="005551B9" w:rsidRDefault="005551B9" w:rsidP="00B95695">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7CCE80A6" w14:textId="192A66F4" w:rsidR="005551B9" w:rsidRPr="00002217" w:rsidRDefault="005551B9" w:rsidP="00B95695">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Pr>
        <w:rFonts w:ascii="Times New Roman" w:hAnsi="Times New Roman" w:cs="Times New Roman"/>
        <w:sz w:val="20"/>
        <w:szCs w:val="20"/>
        <w:lang w:val="en-US"/>
      </w:rPr>
      <w:t>V</w:t>
    </w: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B533" w14:textId="77777777" w:rsidR="005551B9" w:rsidRDefault="005551B9"/>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6B72C" w14:textId="77777777" w:rsidR="005551B9" w:rsidRDefault="005551B9"/>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4A8CB" w14:textId="77777777" w:rsidR="005551B9" w:rsidRPr="002F25D8" w:rsidRDefault="005551B9" w:rsidP="00BD79A2">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0C3C63D8" w14:textId="77777777" w:rsidR="005551B9" w:rsidRDefault="005551B9" w:rsidP="00BD79A2">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03CEFEC2" w14:textId="7E22FBBF" w:rsidR="005551B9" w:rsidRPr="00002217" w:rsidRDefault="005551B9" w:rsidP="00BD79A2">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Pr>
        <w:rFonts w:ascii="Times New Roman" w:hAnsi="Times New Roman" w:cs="Times New Roman"/>
        <w:sz w:val="20"/>
        <w:szCs w:val="20"/>
        <w:lang w:val="en-US"/>
      </w:rPr>
      <w:t>VI</w:t>
    </w: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98857" w14:textId="77777777" w:rsidR="005551B9" w:rsidRDefault="005551B9"/>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C4F6D" w14:textId="77777777" w:rsidR="005551B9" w:rsidRDefault="005551B9"/>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A9F98" w14:textId="77777777" w:rsidR="005551B9" w:rsidRPr="002F25D8" w:rsidRDefault="005551B9" w:rsidP="00913E48">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698951FF" w14:textId="77777777" w:rsidR="005551B9" w:rsidRDefault="005551B9" w:rsidP="00913E48">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541BA44A" w14:textId="4D8D6707" w:rsidR="005551B9" w:rsidRPr="00002217" w:rsidRDefault="005551B9" w:rsidP="00913E48">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Pr>
        <w:rFonts w:ascii="Times New Roman" w:hAnsi="Times New Roman" w:cs="Times New Roman"/>
        <w:sz w:val="20"/>
        <w:szCs w:val="20"/>
        <w:lang w:val="en-US"/>
      </w:rPr>
      <w:t>VII</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3F639" w14:textId="3BF51558" w:rsidR="005551B9" w:rsidRPr="00CA2BD2" w:rsidRDefault="005551B9" w:rsidP="005B1E3D">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4</w:t>
    </w:r>
  </w:p>
  <w:p w14:paraId="7E59AE63" w14:textId="43646323"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Безопасно разстояние, надводен борд и скали на газенето</w:t>
    </w: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F8709" w14:textId="77777777" w:rsidR="005551B9" w:rsidRDefault="005551B9"/>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E373" w14:textId="77777777" w:rsidR="005551B9" w:rsidRPr="002F25D8" w:rsidRDefault="005551B9" w:rsidP="003F2598">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22999D67" w14:textId="77777777" w:rsidR="005551B9" w:rsidRDefault="005551B9" w:rsidP="003F2598">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7A383E19" w14:textId="2A08982F" w:rsidR="005551B9" w:rsidRPr="00002217" w:rsidRDefault="005551B9" w:rsidP="003F2598">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Pr>
        <w:rFonts w:ascii="Times New Roman" w:hAnsi="Times New Roman" w:cs="Times New Roman"/>
        <w:sz w:val="20"/>
        <w:szCs w:val="20"/>
        <w:lang w:val="en-US"/>
      </w:rPr>
      <w:t>VIII</w:t>
    </w: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FE28C" w14:textId="4C8409F9" w:rsidR="005551B9" w:rsidRPr="002F5B9C" w:rsidRDefault="005551B9">
    <w:pPr>
      <w:widowControl w:val="0"/>
      <w:pBdr>
        <w:bottom w:val="single" w:sz="6" w:space="1" w:color="auto"/>
      </w:pBdr>
      <w:tabs>
        <w:tab w:val="right" w:pos="9072"/>
      </w:tabs>
      <w:jc w:val="right"/>
      <w:rPr>
        <w:sz w:val="16"/>
        <w:szCs w:val="16"/>
        <w:lang w:val="ru-RU"/>
      </w:rPr>
    </w:pPr>
    <w:r>
      <w:rPr>
        <w:sz w:val="16"/>
      </w:rPr>
      <w:t>ES</w:t>
    </w:r>
    <w:r w:rsidRPr="002F5B9C">
      <w:rPr>
        <w:sz w:val="16"/>
        <w:lang w:val="ru-RU"/>
      </w:rPr>
      <w:t>-</w:t>
    </w:r>
    <w:r>
      <w:rPr>
        <w:sz w:val="16"/>
      </w:rPr>
      <w:t>TRIN</w:t>
    </w:r>
    <w:r w:rsidRPr="002F5B9C">
      <w:rPr>
        <w:sz w:val="16"/>
        <w:lang w:val="ru-RU"/>
      </w:rPr>
      <w:t xml:space="preserve"> </w:t>
    </w:r>
    <w:r w:rsidRPr="002F5B9C">
      <w:rPr>
        <w:lang w:val="ru-RU"/>
      </w:rPr>
      <w:tab/>
    </w:r>
    <w:r>
      <w:fldChar w:fldCharType="begin"/>
    </w:r>
    <w:r w:rsidRPr="002F5B9C">
      <w:rPr>
        <w:lang w:val="ru-RU"/>
      </w:rPr>
      <w:instrText xml:space="preserve"> </w:instrText>
    </w:r>
    <w:r>
      <w:instrText>STYLEREF</w:instrText>
    </w:r>
    <w:r w:rsidRPr="002F5B9C">
      <w:rPr>
        <w:lang w:val="ru-RU"/>
      </w:rPr>
      <w:instrText xml:space="preserve">  </w:instrText>
    </w:r>
    <w:r>
      <w:instrText>ES</w:instrText>
    </w:r>
    <w:r w:rsidRPr="002F5B9C">
      <w:rPr>
        <w:lang w:val="ru-RU"/>
      </w:rPr>
      <w:instrText>-</w:instrText>
    </w:r>
    <w:r>
      <w:instrText>Titre</w:instrText>
    </w:r>
    <w:r w:rsidRPr="002F5B9C">
      <w:rPr>
        <w:lang w:val="ru-RU"/>
      </w:rPr>
      <w:instrText xml:space="preserve">2  \* </w:instrText>
    </w:r>
    <w:r>
      <w:instrText>MERGEFORMAT</w:instrText>
    </w:r>
    <w:r w:rsidRPr="002F5B9C">
      <w:rPr>
        <w:lang w:val="ru-RU"/>
      </w:rPr>
      <w:instrText xml:space="preserve"> </w:instrText>
    </w:r>
    <w:r>
      <w:fldChar w:fldCharType="separate"/>
    </w:r>
    <w:r w:rsidRPr="00EE7B3C">
      <w:rPr>
        <w:noProof/>
        <w:lang w:val="ru-RU"/>
      </w:rPr>
      <w:t>Приложение 6</w:t>
    </w:r>
    <w:r>
      <w:rPr>
        <w:noProof/>
      </w:rPr>
      <w:fldChar w:fldCharType="end"/>
    </w:r>
  </w:p>
  <w:p w14:paraId="2943004F" w14:textId="211ED5F7" w:rsidR="005551B9" w:rsidRDefault="005551B9">
    <w:pPr>
      <w:widowControl w:val="0"/>
      <w:pBdr>
        <w:bottom w:val="single" w:sz="6" w:space="1" w:color="auto"/>
      </w:pBdr>
      <w:tabs>
        <w:tab w:val="right" w:pos="9072"/>
      </w:tabs>
      <w:jc w:val="right"/>
      <w:rPr>
        <w:sz w:val="16"/>
        <w:szCs w:val="16"/>
      </w:rPr>
    </w:pPr>
    <w:r>
      <w:fldChar w:fldCharType="begin"/>
    </w:r>
    <w:r>
      <w:instrText xml:space="preserve"> STYLEREF  "ES-Titre 3"  \* MERGEFORMAT </w:instrText>
    </w:r>
    <w:r>
      <w:fldChar w:fldCharType="separate"/>
    </w:r>
    <w:r>
      <w:rPr>
        <w:b/>
        <w:bCs/>
        <w:noProof/>
        <w:lang w:val="en-US"/>
      </w:rPr>
      <w:t>Error! Use the Home tab to apply ES-Titre 3 to the text that you want to appear here.</w:t>
    </w:r>
    <w:r>
      <w:fldChar w:fldCharType="end"/>
    </w: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D5020" w14:textId="77777777" w:rsidR="005551B9" w:rsidRPr="002F25D8" w:rsidRDefault="005551B9" w:rsidP="003F2598">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6047C19A" w14:textId="77777777" w:rsidR="005551B9" w:rsidRDefault="005551B9" w:rsidP="003F2598">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3BDB1307" w14:textId="5C56EFD4" w:rsidR="005551B9" w:rsidRPr="00002217" w:rsidRDefault="005551B9" w:rsidP="003F2598">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Pr>
        <w:rFonts w:ascii="Times New Roman" w:hAnsi="Times New Roman" w:cs="Times New Roman"/>
        <w:sz w:val="20"/>
        <w:szCs w:val="20"/>
        <w:lang w:val="en-US"/>
      </w:rPr>
      <w:t>IX</w:t>
    </w: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1BF71" w14:textId="77777777" w:rsidR="005551B9" w:rsidRPr="002F25D8" w:rsidRDefault="005551B9" w:rsidP="004B64A4">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271A3389" w14:textId="77777777" w:rsidR="005551B9" w:rsidRDefault="005551B9" w:rsidP="004B64A4">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3337CE4F" w14:textId="394E2BBC" w:rsidR="005551B9" w:rsidRPr="00002217" w:rsidRDefault="005551B9" w:rsidP="004B64A4">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sidRPr="00002217">
      <w:rPr>
        <w:rFonts w:ascii="Times New Roman" w:hAnsi="Times New Roman" w:cs="Times New Roman"/>
        <w:sz w:val="20"/>
        <w:szCs w:val="20"/>
        <w:lang w:val="en-US"/>
      </w:rPr>
      <w:t>I</w:t>
    </w:r>
    <w:r>
      <w:rPr>
        <w:rFonts w:ascii="Times New Roman" w:hAnsi="Times New Roman" w:cs="Times New Roman"/>
        <w:sz w:val="20"/>
        <w:szCs w:val="20"/>
        <w:lang w:val="en-US"/>
      </w:rPr>
      <w:t>X</w:t>
    </w: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BEF08" w14:textId="77777777" w:rsidR="005551B9" w:rsidRPr="007443FA" w:rsidRDefault="005551B9" w:rsidP="008F7FF0">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8</w:t>
    </w:r>
  </w:p>
  <w:p w14:paraId="7DFDE0DE" w14:textId="4718AFB6" w:rsidR="005551B9" w:rsidRPr="008F7FF0" w:rsidRDefault="005551B9" w:rsidP="008F7FF0">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Допълнителни разпоредби, приложими за експлоатацията на плавателни средства, оборудвани с пропулсивни или спомагателни системи, работещи с горива с температура на възпламеняване</w:t>
    </w:r>
    <w:r w:rsidR="00152DDE">
      <w:rPr>
        <w:rFonts w:ascii="Times New Roman" w:hAnsi="Times New Roman" w:cs="Times New Roman"/>
        <w:sz w:val="20"/>
        <w:szCs w:val="20"/>
      </w:rPr>
      <w:t>,</w:t>
    </w:r>
    <w:r>
      <w:rPr>
        <w:rFonts w:ascii="Times New Roman" w:hAnsi="Times New Roman" w:cs="Times New Roman"/>
        <w:sz w:val="20"/>
        <w:szCs w:val="20"/>
      </w:rPr>
      <w:br/>
      <w:t xml:space="preserve">по-ниска или равна на 55° С – Раздел </w:t>
    </w:r>
    <w:r>
      <w:rPr>
        <w:rFonts w:ascii="Times New Roman" w:hAnsi="Times New Roman" w:cs="Times New Roman"/>
        <w:sz w:val="20"/>
        <w:szCs w:val="20"/>
        <w:lang w:val="en-US"/>
      </w:rPr>
      <w:t>I</w:t>
    </w: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37380" w14:textId="02B85FCC" w:rsidR="005551B9" w:rsidRPr="007443FA" w:rsidRDefault="005551B9" w:rsidP="007443FA">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8</w:t>
    </w:r>
  </w:p>
  <w:p w14:paraId="22FC4358" w14:textId="03254019" w:rsidR="005551B9" w:rsidRPr="00002217" w:rsidRDefault="005551B9" w:rsidP="007443FA">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Допълнителни разпоредби, приложими за експлоатацията на плавателни средства, оборудвани с пропулсивни или спомагателни системи, работещи с горива с температура на възпламеняване</w:t>
    </w:r>
    <w:r w:rsidR="00152DDE">
      <w:rPr>
        <w:rFonts w:ascii="Times New Roman" w:hAnsi="Times New Roman" w:cs="Times New Roman"/>
        <w:sz w:val="20"/>
        <w:szCs w:val="20"/>
      </w:rPr>
      <w:t>,</w:t>
    </w:r>
    <w:r>
      <w:rPr>
        <w:rFonts w:ascii="Times New Roman" w:hAnsi="Times New Roman" w:cs="Times New Roman"/>
        <w:sz w:val="20"/>
        <w:szCs w:val="20"/>
      </w:rPr>
      <w:br/>
      <w:t>по-ниска или равна на 55° С</w:t>
    </w: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CCFB7" w14:textId="77777777" w:rsidR="005551B9" w:rsidRPr="007443FA" w:rsidRDefault="005551B9" w:rsidP="008F7FF0">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8</w:t>
    </w:r>
  </w:p>
  <w:p w14:paraId="05096A30" w14:textId="1EFCD53D" w:rsidR="005551B9" w:rsidRPr="000E7297" w:rsidRDefault="005551B9" w:rsidP="008F7FF0">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Допълнителни разпоредби, приложими за експлоатацията на плавателни средства, оборудвани с пропулсивни или спомагателни системи, работещи с горива с температура на възпламеняване</w:t>
    </w:r>
    <w:r w:rsidR="0079207A">
      <w:rPr>
        <w:rFonts w:ascii="Times New Roman" w:hAnsi="Times New Roman" w:cs="Times New Roman"/>
        <w:sz w:val="20"/>
        <w:szCs w:val="20"/>
      </w:rPr>
      <w:t>,</w:t>
    </w:r>
    <w:r>
      <w:rPr>
        <w:rFonts w:ascii="Times New Roman" w:hAnsi="Times New Roman" w:cs="Times New Roman"/>
        <w:sz w:val="20"/>
        <w:szCs w:val="20"/>
      </w:rPr>
      <w:br/>
      <w:t xml:space="preserve">по-ниска или равна на 55° С – Раздел </w:t>
    </w:r>
    <w:r>
      <w:rPr>
        <w:rFonts w:ascii="Times New Roman" w:hAnsi="Times New Roman" w:cs="Times New Roman"/>
        <w:sz w:val="20"/>
        <w:szCs w:val="20"/>
        <w:lang w:val="en-US"/>
      </w:rPr>
      <w:t>II</w:t>
    </w: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DABD" w14:textId="77777777" w:rsidR="005551B9" w:rsidRPr="007443FA" w:rsidRDefault="005551B9" w:rsidP="007443FA">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8</w:t>
    </w:r>
  </w:p>
  <w:p w14:paraId="6151640B" w14:textId="6354CBAE" w:rsidR="005551B9" w:rsidRPr="00A435B9" w:rsidRDefault="005551B9" w:rsidP="007443FA">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Допълнителни разпоредби, приложими за експлоатацията на плавателни средства, оборудвани с пропулсивни или спомагателни системи, работещи с горива с температура на възпламеняване</w:t>
    </w:r>
    <w:r w:rsidR="00264E91">
      <w:rPr>
        <w:rFonts w:ascii="Times New Roman" w:hAnsi="Times New Roman" w:cs="Times New Roman"/>
        <w:sz w:val="20"/>
        <w:szCs w:val="20"/>
      </w:rPr>
      <w:t>,</w:t>
    </w:r>
    <w:r>
      <w:rPr>
        <w:rFonts w:ascii="Times New Roman" w:hAnsi="Times New Roman" w:cs="Times New Roman"/>
        <w:sz w:val="20"/>
        <w:szCs w:val="20"/>
      </w:rPr>
      <w:br/>
      <w:t xml:space="preserve">по-ниска или равна на 55° С – Раздел </w:t>
    </w:r>
    <w:r>
      <w:rPr>
        <w:rFonts w:ascii="Times New Roman" w:hAnsi="Times New Roman" w:cs="Times New Roman"/>
        <w:sz w:val="20"/>
        <w:szCs w:val="20"/>
        <w:lang w:val="en-US"/>
      </w:rPr>
      <w:t>II</w:t>
    </w: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7D8B4" w14:textId="77777777" w:rsidR="005551B9" w:rsidRPr="007443FA" w:rsidRDefault="005551B9" w:rsidP="008F7FF0">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8</w:t>
    </w:r>
  </w:p>
  <w:p w14:paraId="57417CFB" w14:textId="18CBDE50" w:rsidR="005551B9" w:rsidRPr="000E7297" w:rsidRDefault="005551B9" w:rsidP="008F7FF0">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Допълнителни разпоредби, приложими за експлоатацията на плавателни средства, оборудвани с пропулсивни или спомагателни системи, работещи с горива с температура на възпламеняване</w:t>
    </w:r>
    <w:r w:rsidR="00121299">
      <w:rPr>
        <w:rFonts w:ascii="Times New Roman" w:hAnsi="Times New Roman" w:cs="Times New Roman"/>
        <w:sz w:val="20"/>
        <w:szCs w:val="20"/>
      </w:rPr>
      <w:t>,</w:t>
    </w:r>
    <w:r>
      <w:rPr>
        <w:rFonts w:ascii="Times New Roman" w:hAnsi="Times New Roman" w:cs="Times New Roman"/>
        <w:sz w:val="20"/>
        <w:szCs w:val="20"/>
      </w:rPr>
      <w:br/>
      <w:t xml:space="preserve">по-ниска или равна на 55° С – Раздел </w:t>
    </w:r>
    <w:r>
      <w:rPr>
        <w:rFonts w:ascii="Times New Roman" w:hAnsi="Times New Roman" w:cs="Times New Roman"/>
        <w:sz w:val="20"/>
        <w:szCs w:val="20"/>
        <w:lang w:val="en-US"/>
      </w:rPr>
      <w:t>III</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3D8D4" w14:textId="77777777" w:rsidR="005551B9" w:rsidRPr="00CA2BD2" w:rsidRDefault="005551B9" w:rsidP="000C2873">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5</w:t>
    </w:r>
  </w:p>
  <w:p w14:paraId="7131EC98" w14:textId="77777777" w:rsidR="005551B9" w:rsidRPr="0031621D" w:rsidRDefault="005551B9" w:rsidP="00F27E7E">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Маневреност</w:t>
    </w: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DE1A" w14:textId="77777777" w:rsidR="005551B9" w:rsidRPr="007443FA" w:rsidRDefault="005551B9" w:rsidP="007443FA">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8</w:t>
    </w:r>
  </w:p>
  <w:p w14:paraId="56D64EA8" w14:textId="555605FC" w:rsidR="005551B9" w:rsidRPr="00A435B9" w:rsidRDefault="005551B9" w:rsidP="007443FA">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Допълнителни разпоредби, приложими за експлоатацията на плавателни средства, оборудвани с пропулсивни или спомагателни системи, работещи с горива с температура на възпламеняване</w:t>
    </w:r>
    <w:r w:rsidR="00E727DF">
      <w:rPr>
        <w:rFonts w:ascii="Times New Roman" w:hAnsi="Times New Roman" w:cs="Times New Roman"/>
        <w:sz w:val="20"/>
        <w:szCs w:val="20"/>
      </w:rPr>
      <w:t>,</w:t>
    </w:r>
    <w:r>
      <w:rPr>
        <w:rFonts w:ascii="Times New Roman" w:hAnsi="Times New Roman" w:cs="Times New Roman"/>
        <w:sz w:val="20"/>
        <w:szCs w:val="20"/>
      </w:rPr>
      <w:br/>
      <w:t xml:space="preserve">по-ниска или равна на 55° С – Раздел </w:t>
    </w:r>
    <w:r>
      <w:rPr>
        <w:rFonts w:ascii="Times New Roman" w:hAnsi="Times New Roman" w:cs="Times New Roman"/>
        <w:sz w:val="20"/>
        <w:szCs w:val="20"/>
        <w:lang w:val="en-US"/>
      </w:rPr>
      <w:t>III</w:t>
    </w: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08F42" w14:textId="2C0A6279" w:rsidR="005551B9" w:rsidRPr="00A435B9" w:rsidRDefault="005551B9" w:rsidP="00911B8E">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Инструкции за прилагането на техническия стандарт</w:t>
    </w: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8A5A0" w14:textId="77777777" w:rsidR="005551B9" w:rsidRPr="00DD7DE1" w:rsidRDefault="005551B9" w:rsidP="00FB192A">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ESI-I-1</w:t>
    </w:r>
  </w:p>
  <w:p w14:paraId="41C69F20" w14:textId="77777777" w:rsidR="005551B9" w:rsidRPr="00A435B9" w:rsidRDefault="005551B9" w:rsidP="00FB192A">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Попълване на Корабното удостоверение за вътрешно корабоплаване</w:t>
    </w: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DCF02" w14:textId="7F1DA034" w:rsidR="005551B9" w:rsidRPr="00DD7DE1" w:rsidRDefault="005551B9" w:rsidP="00DD7DE1">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ESI-I-1</w:t>
    </w:r>
  </w:p>
  <w:p w14:paraId="68412A3A" w14:textId="5B66D708" w:rsidR="005551B9" w:rsidRPr="00A435B9" w:rsidRDefault="005551B9" w:rsidP="00DD7DE1">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Попълване на Корабното удостоверение за вътрешно корабоплаване</w:t>
    </w: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0D664" w14:textId="12AD5AB5" w:rsidR="005551B9" w:rsidRPr="005F7019" w:rsidRDefault="005551B9" w:rsidP="00FB192A">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w:t>
    </w:r>
    <w:r>
      <w:rPr>
        <w:rFonts w:ascii="Times New Roman" w:hAnsi="Times New Roman" w:cs="Times New Roman"/>
        <w:sz w:val="20"/>
        <w:szCs w:val="20"/>
      </w:rPr>
      <w:t>2</w:t>
    </w:r>
  </w:p>
  <w:p w14:paraId="26CD845C" w14:textId="366E8F8E" w:rsidR="005551B9" w:rsidRPr="00A435B9" w:rsidRDefault="005551B9" w:rsidP="00FB192A">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Експерти и компетентни лица</w:t>
    </w: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1A414" w14:textId="11EC8073" w:rsidR="005551B9" w:rsidRPr="00FB192A" w:rsidRDefault="005551B9" w:rsidP="00DD7DE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w:t>
    </w:r>
    <w:r>
      <w:rPr>
        <w:rFonts w:ascii="Times New Roman" w:hAnsi="Times New Roman" w:cs="Times New Roman"/>
        <w:sz w:val="20"/>
        <w:szCs w:val="20"/>
      </w:rPr>
      <w:t>2</w:t>
    </w:r>
  </w:p>
  <w:p w14:paraId="003095CC" w14:textId="70A3CEF1" w:rsidR="005551B9" w:rsidRPr="00A435B9" w:rsidRDefault="005551B9" w:rsidP="00DD7DE1">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Експерти и компетентни лица</w:t>
    </w: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8ACED" w14:textId="5F4D4F00" w:rsidR="005551B9" w:rsidRPr="00FB192A" w:rsidRDefault="005551B9" w:rsidP="00DD7DE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1</w:t>
    </w:r>
  </w:p>
  <w:p w14:paraId="1BEEB719" w14:textId="603848DC" w:rsidR="005551B9" w:rsidRPr="00A435B9" w:rsidRDefault="005551B9" w:rsidP="00DD7DE1">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Минимална дебелина на корпуса на баржите</w:t>
    </w: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9EC79" w14:textId="77777777" w:rsidR="005551B9" w:rsidRPr="00FB192A" w:rsidRDefault="005551B9" w:rsidP="00CC0987">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2</w:t>
    </w:r>
  </w:p>
  <w:p w14:paraId="71F1A403" w14:textId="77777777" w:rsidR="005551B9" w:rsidRPr="00A435B9" w:rsidRDefault="005551B9" w:rsidP="00CC0987">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Монтиране на дублиращи листове на корпуса</w:t>
    </w: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3710" w14:textId="62657FF8" w:rsidR="005551B9" w:rsidRPr="00FB192A" w:rsidRDefault="005551B9" w:rsidP="00DD7DE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2</w:t>
    </w:r>
  </w:p>
  <w:p w14:paraId="79A910EA" w14:textId="0768A301" w:rsidR="005551B9" w:rsidRPr="00A435B9" w:rsidRDefault="005551B9" w:rsidP="00DD7DE1">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Монтиране на дублиращи листове на корпуса</w:t>
    </w: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BC076" w14:textId="77777777" w:rsidR="005551B9" w:rsidRPr="00FB192A" w:rsidRDefault="005551B9" w:rsidP="00F55980">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00734B55" w14:textId="77777777" w:rsidR="005551B9" w:rsidRPr="00A435B9" w:rsidRDefault="005551B9" w:rsidP="00F55980">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A5066" w14:textId="700F6E52" w:rsidR="005551B9" w:rsidRPr="00CA2BD2" w:rsidRDefault="005551B9" w:rsidP="000C2873">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5</w:t>
    </w:r>
  </w:p>
  <w:p w14:paraId="23DB3033" w14:textId="26540CB4"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Маневреност</w:t>
    </w: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80A19" w14:textId="51DC520A" w:rsidR="005551B9" w:rsidRPr="00FB192A" w:rsidRDefault="005551B9" w:rsidP="00DD7DE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3F082BF0" w14:textId="4FFA2ECF" w:rsidR="005551B9" w:rsidRPr="00A435B9" w:rsidRDefault="005551B9" w:rsidP="00DD7DE1">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CDF88" w14:textId="77777777" w:rsidR="005551B9" w:rsidRPr="00FB192A" w:rsidRDefault="005551B9" w:rsidP="00F00396">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3D984810" w14:textId="77777777" w:rsidR="005551B9" w:rsidRDefault="005551B9" w:rsidP="00F00396">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p w14:paraId="1611579F" w14:textId="77777777" w:rsidR="005551B9" w:rsidRPr="00A435B9" w:rsidRDefault="005551B9" w:rsidP="00F00396">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 xml:space="preserve">Приложение 1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3</w:t>
    </w: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BB99" w14:textId="77777777" w:rsidR="005551B9" w:rsidRPr="00FB192A" w:rsidRDefault="005551B9" w:rsidP="00F55980">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1F919F92" w14:textId="77777777" w:rsidR="005551B9" w:rsidRDefault="005551B9" w:rsidP="00F55980">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p w14:paraId="30A3665A" w14:textId="7C8272B7" w:rsidR="005551B9" w:rsidRPr="00A435B9" w:rsidRDefault="005551B9" w:rsidP="00F55980">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 xml:space="preserve">Приложение 1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3</w:t>
    </w: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2BF02" w14:textId="77777777" w:rsidR="005551B9" w:rsidRPr="00FB192A" w:rsidRDefault="005551B9" w:rsidP="00F31012">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454693C1" w14:textId="77777777" w:rsidR="005551B9" w:rsidRDefault="005551B9" w:rsidP="00F31012">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p w14:paraId="3F9F3FD6" w14:textId="77777777" w:rsidR="005551B9" w:rsidRPr="00A435B9" w:rsidRDefault="005551B9" w:rsidP="00F31012">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 xml:space="preserve">Приложение 1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3</w:t>
    </w: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ACE8D" w14:textId="77777777" w:rsidR="005551B9" w:rsidRPr="00FB192A" w:rsidRDefault="005551B9" w:rsidP="00AE44D2">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1542EA3E" w14:textId="77777777" w:rsidR="005551B9" w:rsidRDefault="005551B9" w:rsidP="00AE44D2">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p w14:paraId="4320F908" w14:textId="5829150A" w:rsidR="005551B9" w:rsidRPr="00A435B9" w:rsidRDefault="005551B9" w:rsidP="00AE44D2">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2</w:t>
    </w:r>
    <w:r>
      <w:rPr>
        <w:rFonts w:ascii="Times New Roman" w:hAnsi="Times New Roman" w:cs="Times New Roman"/>
        <w:sz w:val="20"/>
        <w:szCs w:val="20"/>
      </w:rPr>
      <w:t xml:space="preserve">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3</w:t>
    </w: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06B34" w14:textId="77777777" w:rsidR="005551B9" w:rsidRPr="00FB192A" w:rsidRDefault="005551B9" w:rsidP="00E117C8">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4F6D994F" w14:textId="77777777" w:rsidR="005551B9" w:rsidRDefault="005551B9" w:rsidP="00E117C8">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p w14:paraId="3A9F495C" w14:textId="7F3620A5" w:rsidR="005551B9" w:rsidRPr="00A435B9" w:rsidRDefault="005551B9" w:rsidP="00E117C8">
    <w:pPr>
      <w:widowControl w:val="0"/>
      <w:pBdr>
        <w:bottom w:val="single" w:sz="6" w:space="1" w:color="auto"/>
      </w:pBdr>
      <w:tabs>
        <w:tab w:val="right" w:pos="14034"/>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2</w:t>
    </w:r>
    <w:r>
      <w:rPr>
        <w:rFonts w:ascii="Times New Roman" w:hAnsi="Times New Roman" w:cs="Times New Roman"/>
        <w:sz w:val="20"/>
        <w:szCs w:val="20"/>
      </w:rPr>
      <w:t xml:space="preserve">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3</w:t>
    </w: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C7F7B" w14:textId="77777777" w:rsidR="005551B9" w:rsidRPr="00FB192A" w:rsidRDefault="005551B9" w:rsidP="00EE436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345371E4" w14:textId="77777777" w:rsidR="005551B9" w:rsidRDefault="005551B9" w:rsidP="00EE436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p w14:paraId="00451A5D" w14:textId="77777777" w:rsidR="005551B9" w:rsidRPr="00097210" w:rsidRDefault="005551B9" w:rsidP="00EE436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Допълнение към Приложение </w:t>
    </w:r>
    <w:r>
      <w:rPr>
        <w:rFonts w:ascii="Times New Roman" w:hAnsi="Times New Roman" w:cs="Times New Roman"/>
        <w:sz w:val="20"/>
        <w:szCs w:val="20"/>
        <w:lang w:val="en-US"/>
      </w:rPr>
      <w:t>2</w:t>
    </w:r>
    <w:r>
      <w:rPr>
        <w:rFonts w:ascii="Times New Roman" w:hAnsi="Times New Roman" w:cs="Times New Roman"/>
        <w:sz w:val="20"/>
        <w:szCs w:val="20"/>
      </w:rPr>
      <w:t xml:space="preserve">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 xml:space="preserve">3 – Пример </w:t>
    </w:r>
    <w:r>
      <w:rPr>
        <w:rFonts w:ascii="Times New Roman" w:hAnsi="Times New Roman" w:cs="Times New Roman"/>
        <w:sz w:val="20"/>
        <w:szCs w:val="20"/>
        <w:lang w:val="en-US"/>
      </w:rPr>
      <w:t>I</w:t>
    </w: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ABB2F" w14:textId="77777777" w:rsidR="005551B9" w:rsidRPr="00FB192A" w:rsidRDefault="005551B9" w:rsidP="00097210">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5C8BCF57" w14:textId="77777777" w:rsidR="005551B9" w:rsidRDefault="005551B9" w:rsidP="00097210">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p w14:paraId="7A9E3191" w14:textId="6B2AE4AD" w:rsidR="005551B9" w:rsidRPr="00097210" w:rsidRDefault="005551B9" w:rsidP="00097210">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Допълнение към Приложение </w:t>
    </w:r>
    <w:r>
      <w:rPr>
        <w:rFonts w:ascii="Times New Roman" w:hAnsi="Times New Roman" w:cs="Times New Roman"/>
        <w:sz w:val="20"/>
        <w:szCs w:val="20"/>
        <w:lang w:val="en-US"/>
      </w:rPr>
      <w:t>2</w:t>
    </w:r>
    <w:r>
      <w:rPr>
        <w:rFonts w:ascii="Times New Roman" w:hAnsi="Times New Roman" w:cs="Times New Roman"/>
        <w:sz w:val="20"/>
        <w:szCs w:val="20"/>
      </w:rPr>
      <w:t xml:space="preserve">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 xml:space="preserve">3 – Пример </w:t>
    </w:r>
    <w:r>
      <w:rPr>
        <w:rFonts w:ascii="Times New Roman" w:hAnsi="Times New Roman" w:cs="Times New Roman"/>
        <w:sz w:val="20"/>
        <w:szCs w:val="20"/>
        <w:lang w:val="en-US"/>
      </w:rPr>
      <w:t>I</w:t>
    </w: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573DC" w14:textId="77777777" w:rsidR="005551B9" w:rsidRPr="00FB192A" w:rsidRDefault="005551B9" w:rsidP="00EE436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3C4AA400" w14:textId="77777777" w:rsidR="005551B9" w:rsidRDefault="005551B9" w:rsidP="00EE436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p w14:paraId="16826F31" w14:textId="24F06074" w:rsidR="005551B9" w:rsidRPr="00FA035D" w:rsidRDefault="005551B9" w:rsidP="00EE436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Допълнение към Приложение </w:t>
    </w:r>
    <w:r>
      <w:rPr>
        <w:rFonts w:ascii="Times New Roman" w:hAnsi="Times New Roman" w:cs="Times New Roman"/>
        <w:sz w:val="20"/>
        <w:szCs w:val="20"/>
        <w:lang w:val="en-US"/>
      </w:rPr>
      <w:t>2</w:t>
    </w:r>
    <w:r>
      <w:rPr>
        <w:rFonts w:ascii="Times New Roman" w:hAnsi="Times New Roman" w:cs="Times New Roman"/>
        <w:sz w:val="20"/>
        <w:szCs w:val="20"/>
      </w:rPr>
      <w:t xml:space="preserve">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 xml:space="preserve">3 – Пример </w:t>
    </w:r>
    <w:r>
      <w:rPr>
        <w:rFonts w:ascii="Times New Roman" w:hAnsi="Times New Roman" w:cs="Times New Roman"/>
        <w:sz w:val="20"/>
        <w:szCs w:val="20"/>
        <w:lang w:val="en-US"/>
      </w:rPr>
      <w:t>II</w:t>
    </w: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BCFA8" w14:textId="77777777" w:rsidR="005551B9" w:rsidRPr="00FB192A" w:rsidRDefault="005551B9" w:rsidP="0003655F">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3</w:t>
    </w:r>
  </w:p>
  <w:p w14:paraId="7FDA3765" w14:textId="77777777" w:rsidR="005551B9" w:rsidRDefault="005551B9" w:rsidP="0003655F">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Минимална предписана скорост на движение напред, способност за спиране и</w:t>
    </w:r>
    <w:r>
      <w:rPr>
        <w:rFonts w:ascii="Times New Roman" w:hAnsi="Times New Roman" w:cs="Times New Roman"/>
        <w:sz w:val="20"/>
        <w:szCs w:val="20"/>
      </w:rPr>
      <w:br/>
      <w:t>способност за движение на заден ход</w:t>
    </w:r>
  </w:p>
  <w:p w14:paraId="718C15F3" w14:textId="2632F9A6" w:rsidR="005551B9" w:rsidRPr="0003655F" w:rsidRDefault="005551B9" w:rsidP="0003655F">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Допълнение към Приложение </w:t>
    </w:r>
    <w:r>
      <w:rPr>
        <w:rFonts w:ascii="Times New Roman" w:hAnsi="Times New Roman" w:cs="Times New Roman"/>
        <w:sz w:val="20"/>
        <w:szCs w:val="20"/>
        <w:lang w:val="en-US"/>
      </w:rPr>
      <w:t>2</w:t>
    </w:r>
    <w:r>
      <w:rPr>
        <w:rFonts w:ascii="Times New Roman" w:hAnsi="Times New Roman" w:cs="Times New Roman"/>
        <w:sz w:val="20"/>
        <w:szCs w:val="20"/>
      </w:rPr>
      <w:t xml:space="preserve">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 xml:space="preserve">3 – Пример </w:t>
    </w:r>
    <w:r>
      <w:rPr>
        <w:rFonts w:ascii="Times New Roman" w:hAnsi="Times New Roman" w:cs="Times New Roman"/>
        <w:sz w:val="20"/>
        <w:szCs w:val="20"/>
        <w:lang w:val="en-US"/>
      </w:rPr>
      <w:t>II</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DDC1B" w14:textId="77777777" w:rsidR="005551B9" w:rsidRPr="00CA2BD2" w:rsidRDefault="005551B9" w:rsidP="00E93B41">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6</w:t>
    </w:r>
  </w:p>
  <w:p w14:paraId="6541CE59" w14:textId="77777777" w:rsidR="005551B9" w:rsidRPr="0031621D" w:rsidRDefault="005551B9" w:rsidP="00E93B41">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Рулева система</w:t>
    </w: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7DA80" w14:textId="77777777" w:rsidR="005551B9" w:rsidRPr="00FB192A" w:rsidRDefault="005551B9" w:rsidP="001356D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4</w:t>
    </w:r>
  </w:p>
  <w:p w14:paraId="16363F10" w14:textId="77777777" w:rsidR="005551B9" w:rsidRPr="00097210" w:rsidRDefault="005551B9" w:rsidP="001356DD">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Способност за отклоняване и завиване</w:t>
    </w: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DB2C1" w14:textId="6E73775D" w:rsidR="005551B9" w:rsidRPr="00FB192A" w:rsidRDefault="005551B9" w:rsidP="00FA035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4</w:t>
    </w:r>
  </w:p>
  <w:p w14:paraId="0B94A498" w14:textId="13B43E8C" w:rsidR="005551B9" w:rsidRPr="00097210" w:rsidRDefault="005551B9" w:rsidP="00FA035D">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Способност за отклоняване и завиване</w:t>
    </w: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F86CA" w14:textId="314F1C38" w:rsidR="005551B9" w:rsidRPr="002F5B9C" w:rsidRDefault="005551B9">
    <w:pPr>
      <w:widowControl w:val="0"/>
      <w:pBdr>
        <w:bottom w:val="single" w:sz="6" w:space="1" w:color="auto"/>
      </w:pBdr>
      <w:tabs>
        <w:tab w:val="right" w:pos="9072"/>
      </w:tabs>
      <w:jc w:val="right"/>
      <w:rPr>
        <w:sz w:val="16"/>
        <w:szCs w:val="16"/>
        <w:lang w:val="ru-RU"/>
      </w:rPr>
    </w:pPr>
    <w:r>
      <w:rPr>
        <w:sz w:val="16"/>
      </w:rPr>
      <w:t>ES</w:t>
    </w:r>
    <w:r w:rsidRPr="002F5B9C">
      <w:rPr>
        <w:sz w:val="16"/>
        <w:lang w:val="ru-RU"/>
      </w:rPr>
      <w:t>-</w:t>
    </w:r>
    <w:r>
      <w:rPr>
        <w:sz w:val="16"/>
      </w:rPr>
      <w:t>TRIN</w:t>
    </w:r>
    <w:r w:rsidRPr="002F5B9C">
      <w:rPr>
        <w:sz w:val="16"/>
        <w:lang w:val="ru-RU"/>
      </w:rPr>
      <w:t xml:space="preserve"> </w:t>
    </w:r>
    <w:r w:rsidRPr="002F5B9C">
      <w:rPr>
        <w:lang w:val="ru-RU"/>
      </w:rPr>
      <w:tab/>
    </w:r>
    <w:r>
      <w:fldChar w:fldCharType="begin"/>
    </w:r>
    <w:r w:rsidRPr="002F5B9C">
      <w:rPr>
        <w:lang w:val="ru-RU"/>
      </w:rPr>
      <w:instrText xml:space="preserve"> </w:instrText>
    </w:r>
    <w:r>
      <w:instrText>STYLEREF</w:instrText>
    </w:r>
    <w:r w:rsidRPr="002F5B9C">
      <w:rPr>
        <w:lang w:val="ru-RU"/>
      </w:rPr>
      <w:instrText xml:space="preserve">  </w:instrText>
    </w:r>
    <w:r>
      <w:instrText>ES</w:instrText>
    </w:r>
    <w:r w:rsidRPr="002F5B9C">
      <w:rPr>
        <w:lang w:val="ru-RU"/>
      </w:rPr>
      <w:instrText>-</w:instrText>
    </w:r>
    <w:r>
      <w:instrText>Titre</w:instrText>
    </w:r>
    <w:r w:rsidRPr="002F5B9C">
      <w:rPr>
        <w:lang w:val="ru-RU"/>
      </w:rPr>
      <w:instrText xml:space="preserve">2  \* </w:instrText>
    </w:r>
    <w:r>
      <w:instrText>MERGEFORMAT</w:instrText>
    </w:r>
    <w:r w:rsidRPr="002F5B9C">
      <w:rPr>
        <w:lang w:val="ru-RU"/>
      </w:rPr>
      <w:instrText xml:space="preserve"> </w:instrText>
    </w:r>
    <w:r>
      <w:fldChar w:fldCharType="separate"/>
    </w:r>
    <w:r w:rsidRPr="00EE7B3C">
      <w:rPr>
        <w:noProof/>
        <w:lang w:val="ru-RU"/>
      </w:rPr>
      <w:t>Приложение 8</w:t>
    </w:r>
    <w:r w:rsidRPr="00EE7B3C">
      <w:rPr>
        <w:noProof/>
        <w:lang w:val="ru-RU"/>
      </w:rPr>
      <w:br/>
      <w:t>Допълнителни разпоредби, приложими за експлоатацията на плавателни средства  ОБОРУДВАНи С ПРОПУЛСИВНИ ИЛИ СПОМАГАТЕЛНИ СИСТЕМИ работещи</w:t>
    </w:r>
    <w:r w:rsidRPr="00EE7B3C">
      <w:rPr>
        <w:noProof/>
        <w:lang w:val="ru-RU"/>
      </w:rPr>
      <w:br/>
      <w:t xml:space="preserve">с горива с температура на възпламеняване по-ниска или равна на 55  </w:t>
    </w:r>
    <w:r>
      <w:rPr>
        <w:noProof/>
      </w:rPr>
      <w:t>C</w:t>
    </w:r>
    <w:r>
      <w:rPr>
        <w:noProof/>
      </w:rPr>
      <w:fldChar w:fldCharType="end"/>
    </w: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46A6E" w14:textId="77777777" w:rsidR="005551B9" w:rsidRPr="00FB192A" w:rsidRDefault="005551B9" w:rsidP="00A03E27">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4</w:t>
    </w:r>
  </w:p>
  <w:p w14:paraId="71D3E895" w14:textId="152A148A" w:rsidR="005551B9" w:rsidRPr="00097210" w:rsidRDefault="005551B9" w:rsidP="00A03E27">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Способност за отклоняване и завиване – Приложение 1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4</w:t>
    </w: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A82AA" w14:textId="77777777" w:rsidR="005551B9" w:rsidRPr="00FB192A" w:rsidRDefault="005551B9" w:rsidP="00AD520A">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4</w:t>
    </w:r>
  </w:p>
  <w:p w14:paraId="7D23A977" w14:textId="36C18E7B" w:rsidR="005551B9" w:rsidRPr="00097210" w:rsidRDefault="005551B9" w:rsidP="00AD520A">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Способност за отклоняване и завиване – Приложение 2 към инструкция </w:t>
    </w:r>
    <w:r>
      <w:rPr>
        <w:rFonts w:ascii="Times New Roman" w:hAnsi="Times New Roman" w:cs="Times New Roman"/>
        <w:sz w:val="20"/>
        <w:szCs w:val="20"/>
        <w:lang w:val="en-US"/>
      </w:rPr>
      <w:t>ESI-II-</w:t>
    </w:r>
    <w:r>
      <w:rPr>
        <w:rFonts w:ascii="Times New Roman" w:hAnsi="Times New Roman" w:cs="Times New Roman"/>
        <w:sz w:val="20"/>
        <w:szCs w:val="20"/>
      </w:rPr>
      <w:t>4</w:t>
    </w: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0993" w14:textId="61E6D266" w:rsidR="005551B9" w:rsidRPr="002F5B9C" w:rsidRDefault="005551B9">
    <w:pPr>
      <w:widowControl w:val="0"/>
      <w:pBdr>
        <w:bottom w:val="single" w:sz="6" w:space="1" w:color="auto"/>
      </w:pBdr>
      <w:tabs>
        <w:tab w:val="right" w:pos="9070"/>
      </w:tabs>
      <w:jc w:val="right"/>
      <w:rPr>
        <w:sz w:val="16"/>
        <w:szCs w:val="16"/>
        <w:lang w:val="ru-RU"/>
      </w:rPr>
    </w:pPr>
    <w:r>
      <w:rPr>
        <w:sz w:val="16"/>
      </w:rPr>
      <w:t>ES</w:t>
    </w:r>
    <w:r w:rsidRPr="002F5B9C">
      <w:rPr>
        <w:sz w:val="16"/>
        <w:lang w:val="ru-RU"/>
      </w:rPr>
      <w:t>-</w:t>
    </w:r>
    <w:r>
      <w:rPr>
        <w:sz w:val="16"/>
      </w:rPr>
      <w:t>TRIN</w:t>
    </w:r>
    <w:r w:rsidRPr="002F5B9C">
      <w:rPr>
        <w:lang w:val="ru-RU"/>
      </w:rPr>
      <w:tab/>
    </w:r>
    <w:r>
      <w:fldChar w:fldCharType="begin"/>
    </w:r>
    <w:r w:rsidRPr="002F5B9C">
      <w:rPr>
        <w:lang w:val="ru-RU"/>
      </w:rPr>
      <w:instrText xml:space="preserve"> </w:instrText>
    </w:r>
    <w:r>
      <w:instrText>STYLEREF</w:instrText>
    </w:r>
    <w:r w:rsidRPr="002F5B9C">
      <w:rPr>
        <w:lang w:val="ru-RU"/>
      </w:rPr>
      <w:instrText xml:space="preserve">  </w:instrText>
    </w:r>
    <w:r>
      <w:instrText>ES</w:instrText>
    </w:r>
    <w:r w:rsidRPr="002F5B9C">
      <w:rPr>
        <w:lang w:val="ru-RU"/>
      </w:rPr>
      <w:instrText>-</w:instrText>
    </w:r>
    <w:r>
      <w:instrText>Titre</w:instrText>
    </w:r>
    <w:r w:rsidRPr="002F5B9C">
      <w:rPr>
        <w:lang w:val="ru-RU"/>
      </w:rPr>
      <w:instrText xml:space="preserve">2  \* </w:instrText>
    </w:r>
    <w:r>
      <w:instrText>MERGEFORMAT</w:instrText>
    </w:r>
    <w:r w:rsidRPr="002F5B9C">
      <w:rPr>
        <w:lang w:val="ru-RU"/>
      </w:rPr>
      <w:instrText xml:space="preserve"> </w:instrText>
    </w:r>
    <w:r>
      <w:fldChar w:fldCharType="separate"/>
    </w:r>
    <w:r w:rsidRPr="00EE7B3C">
      <w:rPr>
        <w:noProof/>
        <w:lang w:val="ru-RU"/>
      </w:rPr>
      <w:t>Приложение 8</w:t>
    </w:r>
    <w:r w:rsidRPr="00EE7B3C">
      <w:rPr>
        <w:noProof/>
        <w:lang w:val="ru-RU"/>
      </w:rPr>
      <w:br/>
      <w:t>Допълнителни разпоредби, приложими за експлоатацията на плавателни средства  ОБОРУДВАНи С ПРОПУЛСИВНИ ИЛИ СПОМАГАТЕЛНИ СИСТЕМИ работещи</w:t>
    </w:r>
    <w:r w:rsidRPr="00EE7B3C">
      <w:rPr>
        <w:noProof/>
        <w:lang w:val="ru-RU"/>
      </w:rPr>
      <w:br/>
      <w:t xml:space="preserve">с горива с температура на възпламеняване по-ниска или равна на 55  </w:t>
    </w:r>
    <w:r>
      <w:rPr>
        <w:noProof/>
      </w:rPr>
      <w:t>C</w:t>
    </w:r>
    <w:r>
      <w:rPr>
        <w:noProof/>
      </w:rPr>
      <w:fldChar w:fldCharType="end"/>
    </w: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04193" w14:textId="26A6659A" w:rsidR="005551B9" w:rsidRPr="00FB192A" w:rsidRDefault="005551B9" w:rsidP="002F7A43">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5</w:t>
    </w:r>
  </w:p>
  <w:p w14:paraId="27D08FDA" w14:textId="655B7627" w:rsidR="005551B9" w:rsidRPr="00097210" w:rsidRDefault="005551B9" w:rsidP="002F7A43">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Измервания на шума</w:t>
    </w: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5D986" w14:textId="77777777" w:rsidR="005551B9" w:rsidRPr="00FB192A" w:rsidRDefault="005551B9" w:rsidP="002F7A43">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5</w:t>
    </w:r>
  </w:p>
  <w:p w14:paraId="1A56DC9F" w14:textId="6E3529CA" w:rsidR="005551B9" w:rsidRPr="00097210" w:rsidRDefault="005551B9" w:rsidP="002F7A43">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Измервания на шума – Допълнение 1</w:t>
    </w: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25358" w14:textId="77777777" w:rsidR="005551B9" w:rsidRPr="00FB192A" w:rsidRDefault="005551B9" w:rsidP="00B9003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5</w:t>
    </w:r>
  </w:p>
  <w:p w14:paraId="58C4305B" w14:textId="3FB2370F" w:rsidR="005551B9" w:rsidRPr="00097210" w:rsidRDefault="005551B9" w:rsidP="00B9003D">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Измервания на шума – Допълнение 2</w:t>
    </w: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FA83F" w14:textId="0F08D9F1" w:rsidR="005551B9" w:rsidRPr="00FB192A" w:rsidRDefault="005551B9" w:rsidP="00C0092A">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6</w:t>
    </w:r>
  </w:p>
  <w:p w14:paraId="304645B1" w14:textId="7221A97A" w:rsidR="005551B9" w:rsidRPr="00097210" w:rsidRDefault="005551B9" w:rsidP="00C0092A">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Подходящи спомагателни средства за наблюдаване на мъртвата зона</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DFC04" w14:textId="1E3B83F8" w:rsidR="005551B9" w:rsidRPr="00CA2BD2" w:rsidRDefault="005551B9" w:rsidP="00E93B41">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6</w:t>
    </w:r>
  </w:p>
  <w:p w14:paraId="45D9E85D" w14:textId="28EF4DE7"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Рулева система</w:t>
    </w: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8B3E6" w14:textId="583D88CB" w:rsidR="005551B9" w:rsidRPr="00FB192A" w:rsidRDefault="005551B9" w:rsidP="00C0092A">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7</w:t>
    </w:r>
  </w:p>
  <w:p w14:paraId="50AA30E8" w14:textId="531C3AD0" w:rsidR="005551B9" w:rsidRPr="00097210" w:rsidRDefault="005551B9" w:rsidP="00C0092A">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Съоръжения за събиране на използвани масла</w:t>
    </w: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20F8" w14:textId="78EEEE8C" w:rsidR="005551B9" w:rsidRPr="00FB192A" w:rsidRDefault="005551B9" w:rsidP="00C0092A">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8</w:t>
    </w:r>
  </w:p>
  <w:p w14:paraId="76179E89" w14:textId="01E38F08" w:rsidR="005551B9" w:rsidRPr="00097210" w:rsidRDefault="005551B9" w:rsidP="00C0092A">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(оставено непопълнено)</w:t>
    </w: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187C7" w14:textId="6913FA4A" w:rsidR="005551B9" w:rsidRPr="00FB192A" w:rsidRDefault="005551B9" w:rsidP="00C0092A">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9</w:t>
    </w:r>
  </w:p>
  <w:p w14:paraId="22E2C392" w14:textId="3BC8B152" w:rsidR="005551B9" w:rsidRPr="00097210" w:rsidRDefault="005551B9" w:rsidP="00C0092A">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котви с намалена маса</w:t>
    </w: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E53AF" w14:textId="77777777" w:rsidR="005551B9" w:rsidRPr="00FB192A" w:rsidRDefault="005551B9" w:rsidP="00EB7DD8">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9</w:t>
    </w:r>
  </w:p>
  <w:p w14:paraId="777D067C" w14:textId="77777777" w:rsidR="005551B9" w:rsidRPr="00097210" w:rsidRDefault="005551B9" w:rsidP="00EB7DD8">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котви с намалена маса</w:t>
    </w: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AF85C" w14:textId="052376EB" w:rsidR="005551B9" w:rsidRPr="00FB192A" w:rsidRDefault="005551B9" w:rsidP="004A739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10</w:t>
    </w:r>
  </w:p>
  <w:p w14:paraId="13169008" w14:textId="453BA8AB" w:rsidR="005551B9" w:rsidRPr="00097210" w:rsidRDefault="005551B9" w:rsidP="004A739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Автоматични спринклерни системи за вода под налягане</w:t>
    </w: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CEE64" w14:textId="2A7E76D0"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11</w:t>
    </w:r>
  </w:p>
  <w:p w14:paraId="5A9232B1" w14:textId="2F2530A0" w:rsidR="005551B9" w:rsidRPr="00097210"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Управляемост на плавателния съд на собствен ход</w:t>
    </w: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DABD7" w14:textId="39DBE38B"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w:t>
    </w:r>
    <w:r>
      <w:rPr>
        <w:rFonts w:ascii="Times New Roman" w:hAnsi="Times New Roman" w:cs="Times New Roman"/>
        <w:sz w:val="20"/>
        <w:szCs w:val="20"/>
      </w:rPr>
      <w:t>12</w:t>
    </w:r>
  </w:p>
  <w:p w14:paraId="7C660F00" w14:textId="5A6FD6BD" w:rsidR="005551B9" w:rsidRPr="00097210"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Подходяща пожароизвестителна система</w:t>
    </w: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F4841" w14:textId="7D9FAD43"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1</w:t>
    </w:r>
  </w:p>
  <w:p w14:paraId="5383D448" w14:textId="538DD40F" w:rsidR="005551B9" w:rsidRPr="0031001B"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Прилагане на изискванията на Глава 19</w:t>
    </w: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0194A" w14:textId="05D1286E"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2</w:t>
    </w:r>
  </w:p>
  <w:p w14:paraId="6AD6EE44" w14:textId="3ED7CE56" w:rsidR="005551B9" w:rsidRPr="0031001B"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Специфичцни нужди на лица с намалена подвижност по отношение на безопасността</w:t>
    </w: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52147" w14:textId="4D109204"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3</w:t>
    </w:r>
  </w:p>
  <w:p w14:paraId="009A51BA" w14:textId="041F12C7" w:rsidR="005551B9" w:rsidRPr="0031001B"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Здравина на водонепроницаеми прозорци</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2F608" w14:textId="77777777" w:rsidR="005551B9" w:rsidRPr="00CA2BD2" w:rsidRDefault="005551B9" w:rsidP="00717269">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7</w:t>
    </w:r>
  </w:p>
  <w:p w14:paraId="42254EF2" w14:textId="77777777" w:rsidR="005551B9" w:rsidRPr="0031621D" w:rsidRDefault="005551B9" w:rsidP="00717269">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Рулева рубка</w:t>
    </w: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F4865" w14:textId="312F4A63"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4</w:t>
    </w:r>
  </w:p>
  <w:p w14:paraId="27C92B9D" w14:textId="6A8C57C6" w:rsidR="005551B9" w:rsidRPr="0031001B"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Система от указатели за безопасност</w:t>
    </w: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B8A72" w14:textId="124645A5"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5</w:t>
    </w:r>
  </w:p>
  <w:p w14:paraId="6A0B0A95" w14:textId="39E76782" w:rsidR="005551B9" w:rsidRPr="0031001B"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Подходящо оборудване за сигнализиране на наличието на газ</w:t>
    </w: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8420" w14:textId="4361D740"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6</w:t>
    </w:r>
  </w:p>
  <w:p w14:paraId="3D268443" w14:textId="58B5696A" w:rsidR="005551B9" w:rsidRPr="0031001B"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Свързващи системи и устройства за плавателни средства, годни да задвижват или</w:t>
    </w:r>
    <w:r>
      <w:rPr>
        <w:rFonts w:ascii="Times New Roman" w:hAnsi="Times New Roman" w:cs="Times New Roman"/>
        <w:sz w:val="20"/>
        <w:szCs w:val="20"/>
      </w:rPr>
      <w:br/>
      <w:t>да бъдат задвижвани в твърдо свързана съвкупност</w:t>
    </w: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E80AB" w14:textId="2497C2CF"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7</w:t>
    </w:r>
  </w:p>
  <w:p w14:paraId="2E1AE44F" w14:textId="09EE64B6" w:rsidR="005551B9" w:rsidRPr="0031001B"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Горивни резервоари на плаващи съоръжения</w:t>
    </w: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949A6" w14:textId="3DB69A94"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8</w:t>
    </w:r>
  </w:p>
  <w:p w14:paraId="427B55FF" w14:textId="7DD04CB8" w:rsidR="005551B9" w:rsidRPr="0031001B"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Плавателни средства за отдих</w:t>
    </w: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DD9A8" w14:textId="0A36146E"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9</w:t>
    </w:r>
  </w:p>
  <w:p w14:paraId="49C3B26F" w14:textId="28D1BF32" w:rsidR="005551B9" w:rsidRPr="0031001B"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Доказателство за плавателност, диферент и устойчивост на разделените части на плавателен съд</w:t>
    </w: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499DB" w14:textId="1FEF04D5"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10</w:t>
    </w:r>
  </w:p>
  <w:p w14:paraId="4E7F5621" w14:textId="761EAEFC" w:rsidR="005551B9" w:rsidRPr="00522987"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Оборудване за плавателни съдове, които ще бъдат експлоатирани съгласно стандарти </w:t>
    </w:r>
    <w:r>
      <w:rPr>
        <w:rFonts w:ascii="Times New Roman" w:hAnsi="Times New Roman" w:cs="Times New Roman"/>
        <w:sz w:val="20"/>
        <w:szCs w:val="20"/>
        <w:lang w:val="en-US"/>
      </w:rPr>
      <w:t xml:space="preserve">S1 </w:t>
    </w:r>
    <w:r>
      <w:rPr>
        <w:rFonts w:ascii="Times New Roman" w:hAnsi="Times New Roman" w:cs="Times New Roman"/>
        <w:sz w:val="20"/>
        <w:szCs w:val="20"/>
      </w:rPr>
      <w:t xml:space="preserve">или </w:t>
    </w:r>
    <w:r>
      <w:rPr>
        <w:rFonts w:ascii="Times New Roman" w:hAnsi="Times New Roman" w:cs="Times New Roman"/>
        <w:sz w:val="20"/>
        <w:szCs w:val="20"/>
        <w:lang w:val="en-US"/>
      </w:rPr>
      <w:t>S2</w:t>
    </w: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9E256" w14:textId="1004C243"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11</w:t>
    </w:r>
  </w:p>
  <w:p w14:paraId="341CE58B" w14:textId="1B9E3CB2" w:rsidR="005551B9" w:rsidRPr="00522987"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Материали, съответстващи с еквивалентните регулации, вместо на</w:t>
    </w:r>
    <w:r>
      <w:rPr>
        <w:rFonts w:ascii="Times New Roman" w:hAnsi="Times New Roman" w:cs="Times New Roman"/>
        <w:sz w:val="20"/>
        <w:szCs w:val="20"/>
      </w:rPr>
      <w:br/>
      <w:t>Кодекса на процедурите за противопожарни изпитвания</w:t>
    </w: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28B60" w14:textId="793B46F2" w:rsidR="005551B9" w:rsidRPr="00FB192A" w:rsidRDefault="005551B9" w:rsidP="00E12A51">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ESI-III-</w:t>
    </w:r>
    <w:r>
      <w:rPr>
        <w:rFonts w:ascii="Times New Roman" w:hAnsi="Times New Roman" w:cs="Times New Roman"/>
        <w:sz w:val="20"/>
        <w:szCs w:val="20"/>
      </w:rPr>
      <w:t>12</w:t>
    </w:r>
  </w:p>
  <w:p w14:paraId="5359DF14" w14:textId="77367D56" w:rsidR="005551B9" w:rsidRPr="00522987" w:rsidRDefault="005551B9" w:rsidP="00E12A51">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Организация на резервоари за метанолно гориво</w:t>
    </w: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1C16" w14:textId="6396FA4A" w:rsidR="005551B9" w:rsidRPr="00FB192A" w:rsidRDefault="005551B9" w:rsidP="00394D1C">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lang w:val="en-US"/>
      </w:rPr>
      <w:t>ESI-IV-</w:t>
    </w:r>
    <w:r>
      <w:rPr>
        <w:rFonts w:ascii="Times New Roman" w:hAnsi="Times New Roman" w:cs="Times New Roman"/>
        <w:sz w:val="20"/>
        <w:szCs w:val="20"/>
      </w:rPr>
      <w:t>1</w:t>
    </w:r>
  </w:p>
  <w:p w14:paraId="5CB84518" w14:textId="00317BCB" w:rsidR="005551B9" w:rsidRPr="00522987" w:rsidRDefault="005551B9" w:rsidP="00394D1C">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Прилагане на преходни разпоредби</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6FC87" w14:textId="52BD2EFA" w:rsidR="005551B9" w:rsidRPr="00CA2BD2" w:rsidRDefault="005551B9" w:rsidP="00E93B41">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7</w:t>
    </w:r>
  </w:p>
  <w:p w14:paraId="6132A29B" w14:textId="420F725D"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Рулева рубка</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387D9" w14:textId="77777777" w:rsidR="005551B9" w:rsidRPr="00CA2BD2" w:rsidRDefault="005551B9" w:rsidP="00DE3368">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8</w:t>
    </w:r>
  </w:p>
  <w:p w14:paraId="28AF71B1" w14:textId="77777777" w:rsidR="005551B9" w:rsidRPr="0031621D" w:rsidRDefault="005551B9" w:rsidP="00DE3368">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Конструкция на двигателя</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461B9" w14:textId="6BD7F775" w:rsidR="005551B9" w:rsidRPr="00CA2BD2" w:rsidRDefault="005551B9" w:rsidP="00E93B41">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8</w:t>
    </w:r>
  </w:p>
  <w:p w14:paraId="4FA5FFDA" w14:textId="2F769F1F"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Конструкция на двигателя</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ECDBF" w14:textId="3D98E89B" w:rsidR="005551B9" w:rsidRDefault="005551B9">
    <w:pPr>
      <w:pStyle w:val="Header"/>
      <w:jc w:val="right"/>
      <w:rPr>
        <w:b/>
        <w:i/>
        <w:lang w:val="ru-RU"/>
      </w:rPr>
    </w:pPr>
    <w:r w:rsidRPr="00C644E1">
      <w:rPr>
        <w:rFonts w:ascii="Times New Roman" w:hAnsi="Times New Roman" w:cs="Times New Roman"/>
        <w:b/>
        <w:i/>
        <w:sz w:val="24"/>
        <w:szCs w:val="24"/>
        <w:lang w:val="ru-RU"/>
      </w:rPr>
      <w:t>Приложение № 2 към чл. 5</w:t>
    </w:r>
  </w:p>
  <w:p w14:paraId="61806977" w14:textId="21AC6183" w:rsidR="005551B9" w:rsidRPr="008A3C2F" w:rsidRDefault="005551B9" w:rsidP="008A3C2F">
    <w:pPr>
      <w:pStyle w:val="Header"/>
      <w:spacing w:after="0" w:line="240" w:lineRule="auto"/>
      <w:rPr>
        <w:rFonts w:ascii="Times New Roman" w:hAnsi="Times New Roman" w:cs="Times New Roman"/>
        <w:sz w:val="20"/>
        <w:szCs w:val="20"/>
      </w:rPr>
    </w:pPr>
    <w:r w:rsidRPr="008A3C2F">
      <w:rPr>
        <w:rFonts w:ascii="Times New Roman" w:hAnsi="Times New Roman" w:cs="Times New Roman"/>
        <w:sz w:val="20"/>
        <w:szCs w:val="20"/>
        <w:lang w:val="ru-RU"/>
      </w:rPr>
      <w:t xml:space="preserve">Европейски комитет за стандарти в корабоплаването по вътрешните водни пътища </w:t>
    </w:r>
    <w:r>
      <w:rPr>
        <w:rFonts w:ascii="Times New Roman" w:hAnsi="Times New Roman" w:cs="Times New Roman"/>
        <w:sz w:val="20"/>
        <w:szCs w:val="20"/>
        <w:lang w:val="ru-RU"/>
      </w:rPr>
      <w:t>(</w:t>
    </w:r>
    <w:r>
      <w:rPr>
        <w:rFonts w:ascii="Times New Roman" w:hAnsi="Times New Roman" w:cs="Times New Roman"/>
        <w:sz w:val="20"/>
        <w:szCs w:val="20"/>
        <w:lang w:val="en-US"/>
      </w:rPr>
      <w:t>CESNI</w:t>
    </w:r>
    <w:r>
      <w:rPr>
        <w:rFonts w:ascii="Times New Roman" w:hAnsi="Times New Roman" w:cs="Times New Roman"/>
        <w:sz w:val="20"/>
        <w:szCs w:val="20"/>
      </w:rPr>
      <w:t>)</w:t>
    </w:r>
  </w:p>
  <w:p w14:paraId="1E6F1F04" w14:textId="77777777" w:rsidR="005551B9" w:rsidRDefault="005551B9" w:rsidP="008A3C2F">
    <w:pPr>
      <w:pStyle w:val="Header"/>
      <w:spacing w:after="0" w:line="240" w:lineRule="auto"/>
      <w:rPr>
        <w:rFonts w:ascii="Times New Roman" w:hAnsi="Times New Roman" w:cs="Times New Roman"/>
        <w:sz w:val="20"/>
        <w:szCs w:val="20"/>
      </w:rPr>
    </w:pPr>
    <w:r>
      <w:rPr>
        <w:rFonts w:ascii="Times New Roman" w:hAnsi="Times New Roman" w:cs="Times New Roman"/>
        <w:sz w:val="20"/>
        <w:szCs w:val="20"/>
      </w:rPr>
      <w:t>Европейски стандарт за определяне на технически изисквания за плавателните съдове от</w:t>
    </w:r>
  </w:p>
  <w:p w14:paraId="5CBE527D" w14:textId="4274FC84" w:rsidR="005551B9" w:rsidRPr="008A3C2F" w:rsidRDefault="005551B9" w:rsidP="008A3C2F">
    <w:pPr>
      <w:pStyle w:val="Header"/>
      <w:spacing w:after="0" w:line="240" w:lineRule="auto"/>
      <w:rPr>
        <w:rFonts w:ascii="Times New Roman" w:hAnsi="Times New Roman" w:cs="Times New Roman"/>
        <w:b/>
        <w:i/>
        <w:sz w:val="20"/>
        <w:szCs w:val="20"/>
      </w:rPr>
    </w:pPr>
    <w:r>
      <w:rPr>
        <w:rFonts w:ascii="Times New Roman" w:hAnsi="Times New Roman" w:cs="Times New Roman"/>
        <w:sz w:val="20"/>
        <w:szCs w:val="20"/>
      </w:rPr>
      <w:t xml:space="preserve">вътрешно корабоплаване </w:t>
    </w:r>
    <w:r w:rsidRPr="008A3C2F">
      <w:rPr>
        <w:rFonts w:ascii="Times New Roman" w:hAnsi="Times New Roman" w:cs="Times New Roman"/>
        <w:sz w:val="20"/>
        <w:szCs w:val="20"/>
      </w:rPr>
      <w:t>(ES</w:t>
    </w:r>
    <w:r w:rsidRPr="008A3C2F">
      <w:rPr>
        <w:rFonts w:ascii="Times New Roman" w:hAnsi="Times New Roman" w:cs="Times New Roman"/>
        <w:sz w:val="20"/>
        <w:szCs w:val="20"/>
        <w:lang w:val="ru-RU"/>
      </w:rPr>
      <w:t>-</w:t>
    </w:r>
    <w:r w:rsidRPr="008A3C2F">
      <w:rPr>
        <w:rFonts w:ascii="Times New Roman" w:hAnsi="Times New Roman" w:cs="Times New Roman"/>
        <w:sz w:val="20"/>
        <w:szCs w:val="20"/>
      </w:rPr>
      <w:t>TRIN)</w:t>
    </w:r>
  </w:p>
  <w:p w14:paraId="3FA22778" w14:textId="2CF36567" w:rsidR="005551B9" w:rsidRPr="00C644E1" w:rsidRDefault="005551B9" w:rsidP="00C644E1">
    <w:pPr>
      <w:widowControl w:val="0"/>
      <w:pBdr>
        <w:bottom w:val="single" w:sz="6" w:space="0" w:color="auto"/>
      </w:pBdr>
      <w:tabs>
        <w:tab w:val="right" w:pos="9070"/>
        <w:tab w:val="right" w:pos="14034"/>
      </w:tabs>
      <w:spacing w:after="0" w:line="240" w:lineRule="auto"/>
      <w:rPr>
        <w:rFonts w:ascii="Times New Roman" w:hAnsi="Times New Roman" w:cs="Times New Roman"/>
        <w:sz w:val="2"/>
        <w:szCs w:val="2"/>
        <w:lang w:val="ru-RU"/>
      </w:rPr>
    </w:pPr>
    <w:r w:rsidRPr="00C644E1">
      <w:rPr>
        <w:rFonts w:ascii="Times New Roman" w:hAnsi="Times New Roman" w:cs="Times New Roman"/>
        <w:sz w:val="2"/>
        <w:szCs w:val="2"/>
        <w:lang w:val="ru-RU"/>
      </w:rPr>
      <w:tab/>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31C58" w14:textId="77777777" w:rsidR="005551B9" w:rsidRPr="00CA2BD2" w:rsidRDefault="005551B9" w:rsidP="00270C20">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9</w:t>
    </w:r>
  </w:p>
  <w:p w14:paraId="1A29CB95" w14:textId="6E860A99" w:rsidR="005551B9" w:rsidRPr="0031621D" w:rsidRDefault="005551B9" w:rsidP="00DE3368">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Емисии на газообразни и прахообразни замърсители от двигатели с вътрешно горене</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8212E" w14:textId="14925FAD" w:rsidR="005551B9" w:rsidRPr="00CA2BD2" w:rsidRDefault="005551B9" w:rsidP="00E93B41">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9</w:t>
    </w:r>
  </w:p>
  <w:p w14:paraId="34BDB57B" w14:textId="78F4FCFE"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Емисии на газообразни и прахообразни замърсители от двигатели с вътрешно горене</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A7304" w14:textId="77777777" w:rsidR="005551B9" w:rsidRPr="00CA2BD2" w:rsidRDefault="005551B9" w:rsidP="00CA4B6E">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10</w:t>
    </w:r>
  </w:p>
  <w:p w14:paraId="141B2B76" w14:textId="77777777" w:rsidR="005551B9" w:rsidRPr="0031621D" w:rsidRDefault="005551B9" w:rsidP="00CA4B6E">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Електрическо оборудване и електрически инсталации</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D06A5" w14:textId="3745839D" w:rsidR="005551B9" w:rsidRPr="00CA2BD2"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10</w:t>
    </w:r>
  </w:p>
  <w:p w14:paraId="2E94A370" w14:textId="7A9A5221"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Електрическо оборудване и електрически инсталации</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07A21" w14:textId="77777777" w:rsidR="005551B9" w:rsidRPr="00CA2BD2" w:rsidRDefault="005551B9" w:rsidP="002E3D8E">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11</w:t>
    </w:r>
  </w:p>
  <w:p w14:paraId="3B89F990" w14:textId="77777777" w:rsidR="005551B9" w:rsidRPr="0031621D" w:rsidRDefault="005551B9" w:rsidP="002E3D8E">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към електрическите системи за задвижване</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76F01" w14:textId="0CA208F8" w:rsidR="005551B9" w:rsidRPr="00CA2BD2"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11</w:t>
    </w:r>
  </w:p>
  <w:p w14:paraId="252A62F0" w14:textId="689E876C"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към електрическите системи за задвижване</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56343" w14:textId="77777777" w:rsidR="005551B9" w:rsidRPr="00CA2BD2" w:rsidRDefault="005551B9" w:rsidP="00107AE1">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12</w:t>
    </w:r>
  </w:p>
  <w:p w14:paraId="318DE9B7" w14:textId="77777777" w:rsidR="005551B9" w:rsidRPr="0031621D" w:rsidRDefault="005551B9" w:rsidP="00107AE1">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Електронно оборудване и системи</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CA3DB" w14:textId="3E83C0C4" w:rsidR="005551B9" w:rsidRPr="00CA2BD2"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12</w:t>
    </w:r>
  </w:p>
  <w:p w14:paraId="62C6BFB4" w14:textId="7236E8D3"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Електронно оборудване и системи</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BF1AD" w14:textId="77777777" w:rsidR="005551B9" w:rsidRPr="00CA2BD2" w:rsidRDefault="005551B9" w:rsidP="00667754">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13</w:t>
    </w:r>
  </w:p>
  <w:p w14:paraId="794341C7" w14:textId="77777777" w:rsidR="005551B9" w:rsidRPr="0031621D" w:rsidRDefault="005551B9" w:rsidP="00667754">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Оборудване</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40F9B" w14:textId="1BDD3E44" w:rsidR="005551B9" w:rsidRPr="00CA2BD2"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13</w:t>
    </w:r>
  </w:p>
  <w:p w14:paraId="47E76834" w14:textId="34C6E9A5"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Оборудване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7A947" w14:textId="77777777" w:rsidR="005551B9" w:rsidRPr="008A3C2F" w:rsidRDefault="005551B9" w:rsidP="00F57FCD">
    <w:pPr>
      <w:pStyle w:val="Header"/>
      <w:spacing w:after="0" w:line="240" w:lineRule="auto"/>
      <w:rPr>
        <w:rFonts w:ascii="Times New Roman" w:hAnsi="Times New Roman" w:cs="Times New Roman"/>
        <w:sz w:val="20"/>
        <w:szCs w:val="20"/>
      </w:rPr>
    </w:pPr>
    <w:r w:rsidRPr="008A3C2F">
      <w:rPr>
        <w:rFonts w:ascii="Times New Roman" w:hAnsi="Times New Roman" w:cs="Times New Roman"/>
        <w:sz w:val="20"/>
        <w:szCs w:val="20"/>
        <w:lang w:val="ru-RU"/>
      </w:rPr>
      <w:t xml:space="preserve">Европейски комитет за стандарти в корабоплаването по вътрешните водни пътища </w:t>
    </w:r>
    <w:r>
      <w:rPr>
        <w:rFonts w:ascii="Times New Roman" w:hAnsi="Times New Roman" w:cs="Times New Roman"/>
        <w:sz w:val="20"/>
        <w:szCs w:val="20"/>
        <w:lang w:val="ru-RU"/>
      </w:rPr>
      <w:t>(</w:t>
    </w:r>
    <w:r>
      <w:rPr>
        <w:rFonts w:ascii="Times New Roman" w:hAnsi="Times New Roman" w:cs="Times New Roman"/>
        <w:sz w:val="20"/>
        <w:szCs w:val="20"/>
        <w:lang w:val="en-US"/>
      </w:rPr>
      <w:t>CESNI</w:t>
    </w:r>
    <w:r>
      <w:rPr>
        <w:rFonts w:ascii="Times New Roman" w:hAnsi="Times New Roman" w:cs="Times New Roman"/>
        <w:sz w:val="20"/>
        <w:szCs w:val="20"/>
      </w:rPr>
      <w:t>)</w:t>
    </w:r>
  </w:p>
  <w:p w14:paraId="3175DC30" w14:textId="77777777" w:rsidR="005551B9" w:rsidRDefault="005551B9" w:rsidP="00F57FCD">
    <w:pPr>
      <w:pStyle w:val="Header"/>
      <w:spacing w:after="0" w:line="240" w:lineRule="auto"/>
      <w:rPr>
        <w:rFonts w:ascii="Times New Roman" w:hAnsi="Times New Roman" w:cs="Times New Roman"/>
        <w:sz w:val="20"/>
        <w:szCs w:val="20"/>
      </w:rPr>
    </w:pPr>
    <w:r>
      <w:rPr>
        <w:rFonts w:ascii="Times New Roman" w:hAnsi="Times New Roman" w:cs="Times New Roman"/>
        <w:sz w:val="20"/>
        <w:szCs w:val="20"/>
      </w:rPr>
      <w:t>Европейски стандарт за определяне на технически изисквания за плавателните съдове от</w:t>
    </w:r>
  </w:p>
  <w:p w14:paraId="118CFDA6" w14:textId="77777777" w:rsidR="005551B9" w:rsidRPr="002E447C" w:rsidRDefault="005551B9" w:rsidP="009F2202">
    <w:pPr>
      <w:pStyle w:val="Header"/>
      <w:tabs>
        <w:tab w:val="clear" w:pos="8306"/>
        <w:tab w:val="left" w:pos="8505"/>
      </w:tabs>
      <w:spacing w:after="0" w:line="240" w:lineRule="auto"/>
      <w:rPr>
        <w:rFonts w:ascii="Times New Roman" w:hAnsi="Times New Roman" w:cs="Times New Roman"/>
        <w:b/>
        <w:i/>
        <w:sz w:val="20"/>
        <w:szCs w:val="20"/>
      </w:rPr>
    </w:pPr>
    <w:r>
      <w:rPr>
        <w:rFonts w:ascii="Times New Roman" w:hAnsi="Times New Roman" w:cs="Times New Roman"/>
        <w:sz w:val="20"/>
        <w:szCs w:val="20"/>
      </w:rPr>
      <w:t xml:space="preserve">вътрешно корабоплаване </w:t>
    </w:r>
    <w:r w:rsidRPr="008A3C2F">
      <w:rPr>
        <w:rFonts w:ascii="Times New Roman" w:hAnsi="Times New Roman" w:cs="Times New Roman"/>
        <w:sz w:val="20"/>
        <w:szCs w:val="20"/>
      </w:rPr>
      <w:t>(ES</w:t>
    </w:r>
    <w:r w:rsidRPr="002E447C">
      <w:rPr>
        <w:rFonts w:ascii="Times New Roman" w:hAnsi="Times New Roman" w:cs="Times New Roman"/>
        <w:sz w:val="20"/>
        <w:szCs w:val="20"/>
      </w:rPr>
      <w:t>-</w:t>
    </w:r>
    <w:r w:rsidRPr="008A3C2F">
      <w:rPr>
        <w:rFonts w:ascii="Times New Roman" w:hAnsi="Times New Roman" w:cs="Times New Roman"/>
        <w:sz w:val="20"/>
        <w:szCs w:val="20"/>
      </w:rPr>
      <w:t>TRIN)</w:t>
    </w:r>
    <w:r w:rsidRPr="002E447C">
      <w:rPr>
        <w:rFonts w:ascii="Times New Roman" w:hAnsi="Times New Roman" w:cs="Times New Roman"/>
        <w:sz w:val="20"/>
        <w:szCs w:val="20"/>
      </w:rPr>
      <w:tab/>
      <w:t>Съдържание</w:t>
    </w:r>
  </w:p>
  <w:p w14:paraId="6F57E350" w14:textId="77777777" w:rsidR="005551B9" w:rsidRPr="00D81545" w:rsidRDefault="005551B9" w:rsidP="00D81545">
    <w:pPr>
      <w:widowControl w:val="0"/>
      <w:pBdr>
        <w:bottom w:val="single" w:sz="6" w:space="1" w:color="auto"/>
      </w:pBdr>
      <w:tabs>
        <w:tab w:val="right" w:pos="9070"/>
        <w:tab w:val="right" w:pos="14034"/>
      </w:tabs>
      <w:spacing w:after="0" w:line="240" w:lineRule="auto"/>
      <w:rPr>
        <w:rFonts w:ascii="Times New Roman" w:hAnsi="Times New Roman" w:cs="Times New Roman"/>
        <w:sz w:val="2"/>
        <w:szCs w:val="2"/>
        <w:lang w:val="ru-RU"/>
      </w:rP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D94FC" w14:textId="77777777" w:rsidR="005551B9" w:rsidRPr="00CA2BD2" w:rsidRDefault="005551B9" w:rsidP="0088590B">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14</w:t>
    </w:r>
  </w:p>
  <w:p w14:paraId="13B97DA3" w14:textId="77777777" w:rsidR="005551B9" w:rsidRPr="0031621D" w:rsidRDefault="005551B9" w:rsidP="0088590B">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Безопасност на работното място</w: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2E628" w14:textId="2B229014" w:rsidR="005551B9" w:rsidRPr="00CA2BD2"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14</w:t>
    </w:r>
  </w:p>
  <w:p w14:paraId="6F9441CD" w14:textId="12D3DBA1"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Безопасност на работното място</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88B82" w14:textId="77777777" w:rsidR="005551B9" w:rsidRPr="00CA2BD2" w:rsidRDefault="005551B9" w:rsidP="00EC1B19">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15</w:t>
    </w:r>
  </w:p>
  <w:p w14:paraId="5B6CBEB6" w14:textId="77777777" w:rsidR="005551B9" w:rsidRPr="0031621D" w:rsidRDefault="005551B9" w:rsidP="00EC1B19">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Жилищни помещения</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2150" w14:textId="578D10EC" w:rsidR="005551B9" w:rsidRPr="00CA2BD2"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15</w:t>
    </w:r>
  </w:p>
  <w:p w14:paraId="170BCFEF" w14:textId="6BDDB02E"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Жилищни помещения</w: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761F4" w14:textId="77777777" w:rsidR="005551B9" w:rsidRPr="004F1EE9" w:rsidRDefault="005551B9" w:rsidP="00080F9F">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16</w:t>
    </w:r>
  </w:p>
  <w:p w14:paraId="0215A217" w14:textId="77777777" w:rsidR="005551B9" w:rsidRPr="0031621D" w:rsidRDefault="005551B9" w:rsidP="00080F9F">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sidRPr="004F1EE9">
      <w:rPr>
        <w:rFonts w:ascii="Times New Roman" w:hAnsi="Times New Roman" w:cs="Times New Roman"/>
        <w:sz w:val="20"/>
        <w:szCs w:val="20"/>
      </w:rPr>
      <w:t>Работещо с гориво оборудване за отопление, приготвяне на храна и охлаждане</w: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66EF9" w14:textId="1D9D20C7" w:rsidR="005551B9" w:rsidRPr="004F1EE9"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16</w:t>
    </w:r>
  </w:p>
  <w:p w14:paraId="245C1116" w14:textId="48271445" w:rsidR="005551B9" w:rsidRPr="0031621D"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sidRPr="004F1EE9">
      <w:rPr>
        <w:rFonts w:ascii="Times New Roman" w:hAnsi="Times New Roman" w:cs="Times New Roman"/>
        <w:sz w:val="20"/>
        <w:szCs w:val="20"/>
      </w:rPr>
      <w:t>Работещо с гориво оборудване за отопление, приготвяне на храна и охлаждане</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C174B" w14:textId="77777777" w:rsidR="005551B9" w:rsidRPr="004B4403" w:rsidRDefault="005551B9" w:rsidP="00474FC0">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1</w:t>
    </w:r>
    <w:r w:rsidRPr="004B4403">
      <w:rPr>
        <w:rFonts w:ascii="Times New Roman" w:hAnsi="Times New Roman" w:cs="Times New Roman"/>
        <w:sz w:val="20"/>
        <w:szCs w:val="20"/>
        <w:lang w:val="ru-RU"/>
      </w:rPr>
      <w:t>7</w:t>
    </w:r>
  </w:p>
  <w:p w14:paraId="4EC694C7" w14:textId="77777777" w:rsidR="005551B9" w:rsidRPr="004B4403" w:rsidRDefault="005551B9" w:rsidP="00474FC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Битови уредби, работещи с втечнен газ</w: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44F22" w14:textId="38796B5C"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1</w:t>
    </w:r>
    <w:r w:rsidRPr="004B4403">
      <w:rPr>
        <w:rFonts w:ascii="Times New Roman" w:hAnsi="Times New Roman" w:cs="Times New Roman"/>
        <w:sz w:val="20"/>
        <w:szCs w:val="20"/>
        <w:lang w:val="ru-RU"/>
      </w:rPr>
      <w:t>7</w:t>
    </w:r>
  </w:p>
  <w:p w14:paraId="1E1CB77A" w14:textId="027140D7" w:rsidR="005551B9" w:rsidRPr="004B4403"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Битови уредби, работещи с втечнен газ</w: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F3873" w14:textId="77777777" w:rsidR="005551B9" w:rsidRPr="004B4403" w:rsidRDefault="005551B9" w:rsidP="00C15699">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1</w:t>
    </w:r>
    <w:r>
      <w:rPr>
        <w:rFonts w:ascii="Times New Roman" w:hAnsi="Times New Roman" w:cs="Times New Roman"/>
        <w:sz w:val="20"/>
        <w:szCs w:val="20"/>
        <w:lang w:val="ru-RU"/>
      </w:rPr>
      <w:t>8</w:t>
    </w:r>
  </w:p>
  <w:p w14:paraId="60459A0C" w14:textId="77777777" w:rsidR="005551B9" w:rsidRPr="004B4403" w:rsidRDefault="005551B9" w:rsidP="00C15699">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09DCD" w14:textId="710A6FFB"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1</w:t>
    </w:r>
    <w:r>
      <w:rPr>
        <w:rFonts w:ascii="Times New Roman" w:hAnsi="Times New Roman" w:cs="Times New Roman"/>
        <w:sz w:val="20"/>
        <w:szCs w:val="20"/>
        <w:lang w:val="ru-RU"/>
      </w:rPr>
      <w:t>8</w:t>
    </w:r>
  </w:p>
  <w:p w14:paraId="16C26EA8" w14:textId="1728539B" w:rsidR="005551B9" w:rsidRPr="004B4403"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D12BF" w14:textId="77777777" w:rsidR="005551B9" w:rsidRPr="008A3C2F" w:rsidRDefault="005551B9" w:rsidP="002E447C">
    <w:pPr>
      <w:pStyle w:val="Header"/>
      <w:spacing w:after="0" w:line="240" w:lineRule="auto"/>
      <w:rPr>
        <w:rFonts w:ascii="Times New Roman" w:hAnsi="Times New Roman" w:cs="Times New Roman"/>
        <w:sz w:val="20"/>
        <w:szCs w:val="20"/>
      </w:rPr>
    </w:pPr>
    <w:r w:rsidRPr="008A3C2F">
      <w:rPr>
        <w:rFonts w:ascii="Times New Roman" w:hAnsi="Times New Roman" w:cs="Times New Roman"/>
        <w:sz w:val="20"/>
        <w:szCs w:val="20"/>
        <w:lang w:val="ru-RU"/>
      </w:rPr>
      <w:t xml:space="preserve">Европейски комитет за стандарти в корабоплаването по вътрешните водни пътища </w:t>
    </w:r>
    <w:r>
      <w:rPr>
        <w:rFonts w:ascii="Times New Roman" w:hAnsi="Times New Roman" w:cs="Times New Roman"/>
        <w:sz w:val="20"/>
        <w:szCs w:val="20"/>
        <w:lang w:val="ru-RU"/>
      </w:rPr>
      <w:t>(</w:t>
    </w:r>
    <w:r>
      <w:rPr>
        <w:rFonts w:ascii="Times New Roman" w:hAnsi="Times New Roman" w:cs="Times New Roman"/>
        <w:sz w:val="20"/>
        <w:szCs w:val="20"/>
        <w:lang w:val="en-US"/>
      </w:rPr>
      <w:t>CESNI</w:t>
    </w:r>
    <w:r>
      <w:rPr>
        <w:rFonts w:ascii="Times New Roman" w:hAnsi="Times New Roman" w:cs="Times New Roman"/>
        <w:sz w:val="20"/>
        <w:szCs w:val="20"/>
      </w:rPr>
      <w:t>)</w:t>
    </w:r>
  </w:p>
  <w:p w14:paraId="6274FE6E" w14:textId="77777777" w:rsidR="005551B9" w:rsidRDefault="005551B9" w:rsidP="002E447C">
    <w:pPr>
      <w:pStyle w:val="Header"/>
      <w:spacing w:after="0" w:line="240" w:lineRule="auto"/>
      <w:rPr>
        <w:rFonts w:ascii="Times New Roman" w:hAnsi="Times New Roman" w:cs="Times New Roman"/>
        <w:sz w:val="20"/>
        <w:szCs w:val="20"/>
      </w:rPr>
    </w:pPr>
    <w:r>
      <w:rPr>
        <w:rFonts w:ascii="Times New Roman" w:hAnsi="Times New Roman" w:cs="Times New Roman"/>
        <w:sz w:val="20"/>
        <w:szCs w:val="20"/>
      </w:rPr>
      <w:t>Европейски стандарт за определяне на технически изисквания за плавателните съдове от</w:t>
    </w:r>
  </w:p>
  <w:p w14:paraId="23570AF6" w14:textId="15307D0F" w:rsidR="005551B9" w:rsidRPr="002E447C" w:rsidRDefault="005551B9" w:rsidP="000A063F">
    <w:pPr>
      <w:pStyle w:val="Header"/>
      <w:tabs>
        <w:tab w:val="clear" w:pos="8306"/>
        <w:tab w:val="left" w:pos="8505"/>
      </w:tabs>
      <w:spacing w:after="0" w:line="240" w:lineRule="auto"/>
      <w:rPr>
        <w:rFonts w:ascii="Times New Roman" w:hAnsi="Times New Roman" w:cs="Times New Roman"/>
        <w:b/>
        <w:i/>
        <w:sz w:val="20"/>
        <w:szCs w:val="20"/>
      </w:rPr>
    </w:pPr>
    <w:r>
      <w:rPr>
        <w:rFonts w:ascii="Times New Roman" w:hAnsi="Times New Roman" w:cs="Times New Roman"/>
        <w:sz w:val="20"/>
        <w:szCs w:val="20"/>
      </w:rPr>
      <w:t xml:space="preserve">вътрешно корабоплаване </w:t>
    </w:r>
    <w:r w:rsidRPr="008A3C2F">
      <w:rPr>
        <w:rFonts w:ascii="Times New Roman" w:hAnsi="Times New Roman" w:cs="Times New Roman"/>
        <w:sz w:val="20"/>
        <w:szCs w:val="20"/>
      </w:rPr>
      <w:t>(ES</w:t>
    </w:r>
    <w:r w:rsidRPr="002E447C">
      <w:rPr>
        <w:rFonts w:ascii="Times New Roman" w:hAnsi="Times New Roman" w:cs="Times New Roman"/>
        <w:sz w:val="20"/>
        <w:szCs w:val="20"/>
      </w:rPr>
      <w:t>-</w:t>
    </w:r>
    <w:r w:rsidRPr="008A3C2F">
      <w:rPr>
        <w:rFonts w:ascii="Times New Roman" w:hAnsi="Times New Roman" w:cs="Times New Roman"/>
        <w:sz w:val="20"/>
        <w:szCs w:val="20"/>
      </w:rPr>
      <w:t>TRIN)</w:t>
    </w:r>
    <w:r w:rsidRPr="002E447C">
      <w:rPr>
        <w:rFonts w:ascii="Times New Roman" w:hAnsi="Times New Roman" w:cs="Times New Roman"/>
        <w:sz w:val="20"/>
        <w:szCs w:val="20"/>
      </w:rPr>
      <w:tab/>
      <w:t>Съдържание</w:t>
    </w:r>
  </w:p>
  <w:p w14:paraId="5D4C42CD" w14:textId="77777777" w:rsidR="005551B9" w:rsidRPr="002E447C" w:rsidRDefault="005551B9" w:rsidP="00F52171">
    <w:pPr>
      <w:widowControl w:val="0"/>
      <w:pBdr>
        <w:bottom w:val="single" w:sz="6" w:space="1" w:color="auto"/>
      </w:pBdr>
      <w:tabs>
        <w:tab w:val="right" w:pos="9070"/>
      </w:tabs>
      <w:spacing w:after="0" w:line="240" w:lineRule="auto"/>
      <w:rPr>
        <w:rFonts w:ascii="Times New Roman" w:hAnsi="Times New Roman" w:cs="Times New Roman"/>
        <w:sz w:val="2"/>
        <w:szCs w:val="2"/>
      </w:rP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9A492" w14:textId="77777777" w:rsidR="005551B9" w:rsidRPr="004B4403" w:rsidRDefault="005551B9" w:rsidP="00207F1B">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1</w:t>
    </w:r>
    <w:r>
      <w:rPr>
        <w:rFonts w:ascii="Times New Roman" w:hAnsi="Times New Roman" w:cs="Times New Roman"/>
        <w:sz w:val="20"/>
        <w:szCs w:val="20"/>
        <w:lang w:val="ru-RU"/>
      </w:rPr>
      <w:t>9</w:t>
    </w:r>
  </w:p>
  <w:p w14:paraId="4AFB4849" w14:textId="77777777" w:rsidR="005551B9" w:rsidRPr="004B4403" w:rsidRDefault="005551B9" w:rsidP="00207F1B">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пътническите плавателни съдове</w: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4C06" w14:textId="0E92FCB3"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1</w:t>
    </w:r>
    <w:r>
      <w:rPr>
        <w:rFonts w:ascii="Times New Roman" w:hAnsi="Times New Roman" w:cs="Times New Roman"/>
        <w:sz w:val="20"/>
        <w:szCs w:val="20"/>
        <w:lang w:val="ru-RU"/>
      </w:rPr>
      <w:t>9</w:t>
    </w:r>
  </w:p>
  <w:p w14:paraId="5E238A40" w14:textId="424DBBE3" w:rsidR="005551B9" w:rsidRPr="004B4403"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пътническите плавателни съдове</w: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C9999" w14:textId="77777777" w:rsidR="005551B9" w:rsidRPr="004B4403" w:rsidRDefault="005551B9" w:rsidP="004B3BF4">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20</w:t>
    </w:r>
  </w:p>
  <w:p w14:paraId="77FD4AE2" w14:textId="77777777" w:rsidR="005551B9" w:rsidRPr="00680009" w:rsidRDefault="005551B9" w:rsidP="004B3BF4">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пътническите ветроходни плавателни съдове,</w:t>
    </w:r>
    <w:r>
      <w:rPr>
        <w:rFonts w:ascii="Times New Roman" w:hAnsi="Times New Roman" w:cs="Times New Roman"/>
        <w:sz w:val="20"/>
        <w:szCs w:val="20"/>
      </w:rPr>
      <w:br/>
      <w:t xml:space="preserve">които не плават по река Рейн (Зона </w:t>
    </w:r>
    <w:r>
      <w:rPr>
        <w:rFonts w:ascii="Times New Roman" w:hAnsi="Times New Roman" w:cs="Times New Roman"/>
        <w:sz w:val="20"/>
        <w:szCs w:val="20"/>
        <w:lang w:val="en-US"/>
      </w:rPr>
      <w:t>R</w:t>
    </w:r>
    <w:r>
      <w:rPr>
        <w:rFonts w:ascii="Times New Roman" w:hAnsi="Times New Roman" w:cs="Times New Roman"/>
        <w:sz w:val="20"/>
        <w:szCs w:val="20"/>
      </w:rPr>
      <w:t>)</w: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81651" w14:textId="5AA0F992"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20</w:t>
    </w:r>
  </w:p>
  <w:p w14:paraId="131CDA00" w14:textId="335C6D1E" w:rsidR="005551B9" w:rsidRPr="00680009"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пътническите ветроходни плавателни съдове,</w:t>
    </w:r>
    <w:r>
      <w:rPr>
        <w:rFonts w:ascii="Times New Roman" w:hAnsi="Times New Roman" w:cs="Times New Roman"/>
        <w:sz w:val="20"/>
        <w:szCs w:val="20"/>
      </w:rPr>
      <w:br/>
      <w:t xml:space="preserve">които не плават по река Рейн (Зона </w:t>
    </w:r>
    <w:r>
      <w:rPr>
        <w:rFonts w:ascii="Times New Roman" w:hAnsi="Times New Roman" w:cs="Times New Roman"/>
        <w:sz w:val="20"/>
        <w:szCs w:val="20"/>
        <w:lang w:val="en-US"/>
      </w:rPr>
      <w:t>R</w:t>
    </w:r>
    <w:r>
      <w:rPr>
        <w:rFonts w:ascii="Times New Roman" w:hAnsi="Times New Roman" w:cs="Times New Roman"/>
        <w:sz w:val="20"/>
        <w:szCs w:val="20"/>
      </w:rPr>
      <w:t>)</w: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399E7" w14:textId="77777777" w:rsidR="005551B9" w:rsidRPr="004B4403" w:rsidRDefault="005551B9" w:rsidP="000C70B9">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21</w:t>
    </w:r>
  </w:p>
  <w:p w14:paraId="68F402F0" w14:textId="77777777" w:rsidR="005551B9" w:rsidRPr="00680009" w:rsidRDefault="005551B9" w:rsidP="000C70B9">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плавателни средства, предназначени да бъдат част от</w:t>
    </w:r>
    <w:r>
      <w:rPr>
        <w:rFonts w:ascii="Times New Roman" w:hAnsi="Times New Roman" w:cs="Times New Roman"/>
        <w:sz w:val="20"/>
        <w:szCs w:val="20"/>
      </w:rPr>
      <w:br/>
      <w:t>тласкан или влачен състав от плавателни съдове или бордово свързана група</w: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9C881" w14:textId="4185C4FD"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21</w:t>
    </w:r>
  </w:p>
  <w:p w14:paraId="3C4DEB62" w14:textId="6D2CF0C5" w:rsidR="005551B9" w:rsidRPr="00680009"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плавателни средства, предназначени да бъдат част от</w:t>
    </w:r>
    <w:r>
      <w:rPr>
        <w:rFonts w:ascii="Times New Roman" w:hAnsi="Times New Roman" w:cs="Times New Roman"/>
        <w:sz w:val="20"/>
        <w:szCs w:val="20"/>
      </w:rPr>
      <w:br/>
      <w:t>тласкан или влачен състав от плавателни съдове или бордово свързана група</w: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6479C" w14:textId="77777777" w:rsidR="005551B9" w:rsidRPr="004B4403" w:rsidRDefault="005551B9" w:rsidP="00AD744C">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22</w:t>
    </w:r>
  </w:p>
  <w:p w14:paraId="40260849" w14:textId="77777777" w:rsidR="005551B9" w:rsidRPr="00680009" w:rsidRDefault="005551B9" w:rsidP="00AD744C">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плаващи съоръжения</w: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F1ACB" w14:textId="202A22B4"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22</w:t>
    </w:r>
  </w:p>
  <w:p w14:paraId="3DA39D10" w14:textId="62C5C9CA" w:rsidR="005551B9" w:rsidRPr="00680009"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плаващи съоръжения</w: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24F2" w14:textId="77777777" w:rsidR="005551B9" w:rsidRPr="004B4403" w:rsidRDefault="005551B9" w:rsidP="009E1A30">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23</w:t>
    </w:r>
  </w:p>
  <w:p w14:paraId="401B59C4" w14:textId="77777777" w:rsidR="005551B9" w:rsidRPr="00680009" w:rsidRDefault="005551B9" w:rsidP="009E1A3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плавателни работни средства</w:t>
    </w: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A44D0" w14:textId="53045B01"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23</w:t>
    </w:r>
  </w:p>
  <w:p w14:paraId="7F2EADB6" w14:textId="4BFE4694" w:rsidR="005551B9" w:rsidRPr="00680009"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плавателни работни средства</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4B690" w14:textId="77777777" w:rsidR="005551B9" w:rsidRPr="007D2131" w:rsidRDefault="005551B9" w:rsidP="00055594">
    <w:pPr>
      <w:widowControl w:val="0"/>
      <w:pBdr>
        <w:bottom w:val="single" w:sz="6" w:space="1" w:color="auto"/>
      </w:pBdr>
      <w:tabs>
        <w:tab w:val="left" w:pos="8987"/>
      </w:tabs>
      <w:spacing w:after="0" w:line="240" w:lineRule="auto"/>
      <w:rPr>
        <w:rFonts w:ascii="Times New Roman" w:hAnsi="Times New Roman" w:cs="Times New Roman"/>
        <w:sz w:val="20"/>
        <w:szCs w:val="20"/>
        <w:lang w:val="en-US"/>
      </w:rPr>
    </w:pPr>
    <w:r w:rsidRPr="00392CE4">
      <w:rPr>
        <w:rFonts w:ascii="Times New Roman" w:hAnsi="Times New Roman" w:cs="Times New Roman"/>
        <w:sz w:val="20"/>
        <w:szCs w:val="20"/>
      </w:rPr>
      <w:t>ES-TRIN</w:t>
    </w:r>
    <w:r>
      <w:rPr>
        <w:rFonts w:ascii="Times New Roman" w:hAnsi="Times New Roman" w:cs="Times New Roman"/>
        <w:sz w:val="20"/>
        <w:szCs w:val="20"/>
      </w:rPr>
      <w:tab/>
      <w:t xml:space="preserve">Глава </w:t>
    </w:r>
    <w:r>
      <w:rPr>
        <w:rFonts w:ascii="Times New Roman" w:hAnsi="Times New Roman" w:cs="Times New Roman"/>
        <w:sz w:val="20"/>
        <w:szCs w:val="20"/>
        <w:lang w:val="en-US"/>
      </w:rPr>
      <w:t>1</w:t>
    </w:r>
  </w:p>
  <w:p w14:paraId="0D03943C" w14:textId="4885A2AD" w:rsidR="005551B9" w:rsidRPr="0031621D" w:rsidRDefault="005551B9" w:rsidP="00C02BEC">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Общи положения</w:t>
    </w: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16FBA" w14:textId="77777777" w:rsidR="005551B9" w:rsidRPr="004B4403" w:rsidRDefault="005551B9" w:rsidP="000160EB">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24</w:t>
    </w:r>
  </w:p>
  <w:p w14:paraId="04C7F676" w14:textId="77777777" w:rsidR="005551B9" w:rsidRPr="00680009" w:rsidRDefault="005551B9" w:rsidP="000160EB">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традиционните плавателни средства</w: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D6EC4" w14:textId="7C1659AC"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24</w:t>
    </w:r>
  </w:p>
  <w:p w14:paraId="6EDEF904" w14:textId="14FB6856" w:rsidR="005551B9" w:rsidRPr="00680009"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традиционните плавателни средства</w: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9B4B" w14:textId="77777777" w:rsidR="005551B9" w:rsidRPr="004B4403" w:rsidRDefault="005551B9" w:rsidP="003A73C8">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25</w:t>
    </w:r>
  </w:p>
  <w:p w14:paraId="166E7CF1" w14:textId="77777777" w:rsidR="005551B9" w:rsidRPr="00680009" w:rsidRDefault="005551B9" w:rsidP="003A73C8">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към морски кораби</w: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4D515" w14:textId="0EA3045D"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25</w:t>
    </w:r>
  </w:p>
  <w:p w14:paraId="205F621E" w14:textId="0D34E6E2" w:rsidR="005551B9" w:rsidRPr="00680009"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към морски кораби</w: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EADE0" w14:textId="77777777" w:rsidR="005551B9" w:rsidRPr="004B4403" w:rsidRDefault="005551B9" w:rsidP="0007163F">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26</w:t>
    </w:r>
  </w:p>
  <w:p w14:paraId="43113155" w14:textId="77777777" w:rsidR="005551B9" w:rsidRPr="00680009" w:rsidRDefault="005551B9" w:rsidP="0007163F">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плавателните средства за отдих</w:t>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6D2E" w14:textId="25EAF1EB"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26</w:t>
    </w:r>
  </w:p>
  <w:p w14:paraId="5897803C" w14:textId="1ABFBDB0" w:rsidR="005551B9" w:rsidRPr="00680009"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плавателните средства за отдих</w: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0DC95" w14:textId="77777777" w:rsidR="005551B9" w:rsidRPr="004B4403" w:rsidRDefault="005551B9" w:rsidP="00860DD3">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27</w:t>
    </w:r>
  </w:p>
  <w:p w14:paraId="4C9B1B9E" w14:textId="77777777" w:rsidR="005551B9" w:rsidRPr="00680009" w:rsidRDefault="005551B9" w:rsidP="00860DD3">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плавателни съдове, превозващи контейнери</w:t>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2EC2" w14:textId="345CB381"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27</w:t>
    </w:r>
  </w:p>
  <w:p w14:paraId="3722C1A3" w14:textId="758AEB96" w:rsidR="005551B9" w:rsidRPr="00680009"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Специални разпоредби, приложими за плавателни съдове, превозващи контейнери</w:t>
    </w: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D7595" w14:textId="77777777" w:rsidR="005551B9" w:rsidRPr="004B4403" w:rsidRDefault="005551B9" w:rsidP="00F73A03">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28</w:t>
    </w:r>
  </w:p>
  <w:p w14:paraId="2904AAB3" w14:textId="77777777" w:rsidR="005551B9" w:rsidRPr="00F73A03" w:rsidRDefault="005551B9" w:rsidP="00F73A03">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Специални разпоредби по отношение на плавателни средства с дължина над 110 </w:t>
    </w:r>
    <w:r>
      <w:rPr>
        <w:rFonts w:ascii="Times New Roman" w:hAnsi="Times New Roman" w:cs="Times New Roman"/>
        <w:sz w:val="20"/>
        <w:szCs w:val="20"/>
        <w:lang w:val="en-US"/>
      </w:rPr>
      <w:t>m</w: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C41F4" w14:textId="10095C35"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28</w:t>
    </w:r>
  </w:p>
  <w:p w14:paraId="168B1831" w14:textId="1848E40E" w:rsidR="005551B9" w:rsidRPr="00F73A03"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lang w:val="en-US"/>
      </w:rPr>
    </w:pPr>
    <w:r>
      <w:rPr>
        <w:rFonts w:ascii="Times New Roman" w:hAnsi="Times New Roman" w:cs="Times New Roman"/>
        <w:sz w:val="20"/>
        <w:szCs w:val="20"/>
      </w:rPr>
      <w:t>Специални разпоредби по отношение на плавателни средства с дължина над 110 </w:t>
    </w:r>
    <w:r>
      <w:rPr>
        <w:rFonts w:ascii="Times New Roman" w:hAnsi="Times New Roman" w:cs="Times New Roman"/>
        <w:sz w:val="20"/>
        <w:szCs w:val="20"/>
        <w:lang w:val="en-US"/>
      </w:rPr>
      <w:t>m</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69B18" w14:textId="7CC5D1C8" w:rsidR="005551B9" w:rsidRPr="007D2131" w:rsidRDefault="005551B9" w:rsidP="00055594">
    <w:pPr>
      <w:widowControl w:val="0"/>
      <w:pBdr>
        <w:bottom w:val="single" w:sz="6" w:space="1" w:color="auto"/>
      </w:pBdr>
      <w:tabs>
        <w:tab w:val="left" w:pos="8987"/>
      </w:tabs>
      <w:spacing w:after="0" w:line="240" w:lineRule="auto"/>
      <w:rPr>
        <w:rFonts w:ascii="Times New Roman" w:hAnsi="Times New Roman" w:cs="Times New Roman"/>
        <w:sz w:val="20"/>
        <w:szCs w:val="20"/>
        <w:lang w:val="en-US"/>
      </w:rPr>
    </w:pPr>
    <w:r w:rsidRPr="00392CE4">
      <w:rPr>
        <w:rFonts w:ascii="Times New Roman" w:hAnsi="Times New Roman" w:cs="Times New Roman"/>
        <w:sz w:val="20"/>
        <w:szCs w:val="20"/>
      </w:rPr>
      <w:t>ES-TRIN</w:t>
    </w:r>
    <w:r>
      <w:rPr>
        <w:rFonts w:ascii="Times New Roman" w:hAnsi="Times New Roman" w:cs="Times New Roman"/>
        <w:sz w:val="20"/>
        <w:szCs w:val="20"/>
      </w:rPr>
      <w:tab/>
      <w:t xml:space="preserve">Глава </w:t>
    </w:r>
    <w:r>
      <w:rPr>
        <w:rFonts w:ascii="Times New Roman" w:hAnsi="Times New Roman" w:cs="Times New Roman"/>
        <w:sz w:val="20"/>
        <w:szCs w:val="20"/>
        <w:lang w:val="en-US"/>
      </w:rPr>
      <w:t>1</w:t>
    </w:r>
  </w:p>
  <w:p w14:paraId="53584EAD" w14:textId="2783F514" w:rsidR="005551B9" w:rsidRPr="007D2131" w:rsidRDefault="005551B9" w:rsidP="00B040B4">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Общи положения</w:t>
    </w:r>
  </w:p>
  <w:p w14:paraId="3CF8D9AF" w14:textId="77777777" w:rsidR="005551B9" w:rsidRPr="006731E6" w:rsidRDefault="005551B9" w:rsidP="006731E6">
    <w:pPr>
      <w:widowControl w:val="0"/>
      <w:pBdr>
        <w:bottom w:val="single" w:sz="6" w:space="1" w:color="auto"/>
      </w:pBdr>
      <w:tabs>
        <w:tab w:val="right" w:pos="9070"/>
      </w:tabs>
      <w:spacing w:after="0" w:line="240" w:lineRule="auto"/>
      <w:jc w:val="center"/>
      <w:rPr>
        <w:rFonts w:ascii="Times New Roman" w:hAnsi="Times New Roman" w:cs="Times New Roman"/>
        <w:sz w:val="2"/>
        <w:szCs w:val="2"/>
      </w:rP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D96B2" w14:textId="77777777" w:rsidR="005551B9" w:rsidRPr="004B4403" w:rsidRDefault="005551B9" w:rsidP="00F87420">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29</w:t>
    </w:r>
  </w:p>
  <w:p w14:paraId="44DAE02A" w14:textId="77777777" w:rsidR="005551B9" w:rsidRPr="00F87420" w:rsidRDefault="005551B9" w:rsidP="00F874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Специални разпоредби, приложими към високоскоростни плавателни съдове</w:t>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FEC97" w14:textId="389408D7"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29</w:t>
    </w:r>
  </w:p>
  <w:p w14:paraId="22942251" w14:textId="233F0DB0" w:rsidR="005551B9" w:rsidRPr="00F87420"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Специални разпоредби, приложими към високоскоростни плавателни съдове</w: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0358E" w14:textId="77777777" w:rsidR="005551B9" w:rsidRPr="004B4403" w:rsidRDefault="005551B9" w:rsidP="00972592">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30</w:t>
    </w:r>
  </w:p>
  <w:p w14:paraId="36338258" w14:textId="77777777" w:rsidR="005551B9" w:rsidRPr="00F87420" w:rsidRDefault="005551B9" w:rsidP="00972592">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Специални разпоредби, приложими за плавателни средства, оборудвани със системи за задвижване или спомагателни системи, работещи с горива с температура на възпламеняване, по-ниска или равна на 55</w:t>
    </w:r>
    <w:r>
      <w:rPr>
        <w:rFonts w:ascii="Times New Roman" w:hAnsi="Times New Roman" w:cs="Times New Roman"/>
        <w:sz w:val="20"/>
        <w:szCs w:val="20"/>
      </w:rPr>
      <w:sym w:font="Symbol" w:char="F0B0"/>
    </w:r>
    <w:r>
      <w:rPr>
        <w:rFonts w:ascii="Times New Roman" w:hAnsi="Times New Roman" w:cs="Times New Roman"/>
        <w:sz w:val="20"/>
        <w:szCs w:val="20"/>
      </w:rPr>
      <w:t>С</w: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C5DF0" w14:textId="0CE156B2"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30</w:t>
    </w:r>
  </w:p>
  <w:p w14:paraId="731CB67F" w14:textId="66820CEE" w:rsidR="005551B9" w:rsidRPr="00F87420"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Специални разпоредби, приложими за плавателни средства, оборудвани със системи за задвижване или спомагателни системи, работещи с горива с температура на възпламеняване, по-ниска или равна на 55</w:t>
    </w:r>
    <w:r>
      <w:rPr>
        <w:rFonts w:ascii="Times New Roman" w:hAnsi="Times New Roman" w:cs="Times New Roman"/>
        <w:sz w:val="20"/>
        <w:szCs w:val="20"/>
      </w:rPr>
      <w:sym w:font="Symbol" w:char="F0B0"/>
    </w:r>
    <w:r>
      <w:rPr>
        <w:rFonts w:ascii="Times New Roman" w:hAnsi="Times New Roman" w:cs="Times New Roman"/>
        <w:sz w:val="20"/>
        <w:szCs w:val="20"/>
      </w:rPr>
      <w:t>С</w:t>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A4F47" w14:textId="77777777" w:rsidR="005551B9" w:rsidRPr="004B4403" w:rsidRDefault="005551B9" w:rsidP="003D41B7">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31</w:t>
    </w:r>
  </w:p>
  <w:p w14:paraId="3DD0179B" w14:textId="77777777" w:rsidR="005551B9" w:rsidRPr="00F87420" w:rsidRDefault="005551B9" w:rsidP="003D41B7">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Специални разпоредби, приложими за плавателни съдове, които плават с минимален екипаж</w: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53963" w14:textId="3D42ABDE" w:rsidR="005551B9" w:rsidRPr="004B4403" w:rsidRDefault="005551B9" w:rsidP="00041B05">
    <w:pPr>
      <w:widowControl w:val="0"/>
      <w:pBdr>
        <w:bottom w:val="single" w:sz="6" w:space="1" w:color="auto"/>
      </w:pBdr>
      <w:tabs>
        <w:tab w:val="left" w:pos="8874"/>
      </w:tabs>
      <w:spacing w:after="0" w:line="240" w:lineRule="auto"/>
      <w:rPr>
        <w:rFonts w:ascii="Times New Roman" w:hAnsi="Times New Roman" w:cs="Times New Roman"/>
        <w:sz w:val="20"/>
        <w:szCs w:val="20"/>
        <w:lang w:val="ru-RU"/>
      </w:rPr>
    </w:pPr>
    <w:r w:rsidRPr="00392CE4">
      <w:rPr>
        <w:rFonts w:ascii="Times New Roman" w:hAnsi="Times New Roman" w:cs="Times New Roman"/>
        <w:sz w:val="20"/>
        <w:szCs w:val="20"/>
      </w:rPr>
      <w:t>ES-TRIN</w:t>
    </w:r>
    <w:r>
      <w:rPr>
        <w:rFonts w:ascii="Times New Roman" w:hAnsi="Times New Roman" w:cs="Times New Roman"/>
        <w:sz w:val="20"/>
        <w:szCs w:val="20"/>
      </w:rPr>
      <w:tab/>
      <w:t>Глава 31</w:t>
    </w:r>
  </w:p>
  <w:p w14:paraId="42A7336D" w14:textId="55E49A5F" w:rsidR="005551B9" w:rsidRPr="00F87420" w:rsidRDefault="005551B9" w:rsidP="00202D20">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Специални разпоредби, приложими за плавателни съдове, които плават с минимален екипаж</w: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10A08" w14:textId="77777777" w:rsidR="005551B9" w:rsidRPr="00FB1E57" w:rsidRDefault="005551B9" w:rsidP="003F18A3">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329AB3EB" w14:textId="77777777" w:rsidR="005551B9" w:rsidRPr="00FB1E57" w:rsidRDefault="005551B9" w:rsidP="003F18A3">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sidRPr="00FB1E57">
      <w:rPr>
        <w:rFonts w:ascii="Times New Roman" w:hAnsi="Times New Roman" w:cs="Times New Roman"/>
        <w:sz w:val="20"/>
        <w:szCs w:val="20"/>
        <w:lang w:val="ru-RU"/>
      </w:rPr>
      <w:t xml:space="preserve">Преходни разпоредби за плавателни средства по река Рейн (зона </w:t>
    </w:r>
    <w:r w:rsidRPr="00FB1E57">
      <w:rPr>
        <w:rFonts w:ascii="Times New Roman" w:hAnsi="Times New Roman" w:cs="Times New Roman"/>
        <w:sz w:val="20"/>
        <w:szCs w:val="20"/>
      </w:rPr>
      <w:t>R</w:t>
    </w:r>
    <w:r w:rsidRPr="00FB1E57">
      <w:rPr>
        <w:rFonts w:ascii="Times New Roman" w:hAnsi="Times New Roman" w:cs="Times New Roman"/>
        <w:sz w:val="20"/>
        <w:szCs w:val="20"/>
        <w:lang w:val="ru-RU"/>
      </w:rPr>
      <w:t>)</w:t>
    </w:r>
    <w:r>
      <w:rPr>
        <w:rFonts w:ascii="Times New Roman" w:hAnsi="Times New Roman" w:cs="Times New Roman"/>
        <w:sz w:val="20"/>
        <w:szCs w:val="20"/>
        <w:lang w:val="ru-RU"/>
      </w:rPr>
      <w:t xml:space="preserve"> – Член 32.01 – 32.02</w:t>
    </w: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BD81E" w14:textId="77777777" w:rsidR="005551B9" w:rsidRPr="00FB1E57" w:rsidRDefault="005551B9" w:rsidP="00845954">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37CEB77D" w14:textId="19F85F8B" w:rsidR="005551B9" w:rsidRPr="00FB1E57" w:rsidRDefault="005551B9" w:rsidP="00236D64">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sidRPr="00FB1E57">
      <w:rPr>
        <w:rFonts w:ascii="Times New Roman" w:hAnsi="Times New Roman" w:cs="Times New Roman"/>
        <w:sz w:val="20"/>
        <w:szCs w:val="20"/>
        <w:lang w:val="ru-RU"/>
      </w:rPr>
      <w:t xml:space="preserve">Преходни разпоредби за плавателни средства по река Рейн (зона </w:t>
    </w:r>
    <w:r w:rsidRPr="00FB1E57">
      <w:rPr>
        <w:rFonts w:ascii="Times New Roman" w:hAnsi="Times New Roman" w:cs="Times New Roman"/>
        <w:sz w:val="20"/>
        <w:szCs w:val="20"/>
      </w:rPr>
      <w:t>R</w:t>
    </w:r>
    <w:r w:rsidRPr="00FB1E57">
      <w:rPr>
        <w:rFonts w:ascii="Times New Roman" w:hAnsi="Times New Roman" w:cs="Times New Roman"/>
        <w:sz w:val="20"/>
        <w:szCs w:val="20"/>
        <w:lang w:val="ru-RU"/>
      </w:rPr>
      <w:t>)</w:t>
    </w:r>
    <w:r>
      <w:rPr>
        <w:rFonts w:ascii="Times New Roman" w:hAnsi="Times New Roman" w:cs="Times New Roman"/>
        <w:sz w:val="20"/>
        <w:szCs w:val="20"/>
        <w:lang w:val="ru-RU"/>
      </w:rPr>
      <w:t xml:space="preserve"> – Член 32.01 – 32.02</w:t>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72E7F" w14:textId="77777777" w:rsidR="005551B9" w:rsidRPr="00FB1E57" w:rsidRDefault="005551B9" w:rsidP="00FF1121">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2ABFA1DE" w14:textId="77777777" w:rsidR="005551B9" w:rsidRPr="00FB1E57" w:rsidRDefault="005551B9" w:rsidP="00FF1121">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Допълнителни п</w:t>
    </w:r>
    <w:r w:rsidRPr="00FB1E57">
      <w:rPr>
        <w:rFonts w:ascii="Times New Roman" w:hAnsi="Times New Roman" w:cs="Times New Roman"/>
        <w:sz w:val="20"/>
        <w:szCs w:val="20"/>
        <w:lang w:val="ru-RU"/>
      </w:rPr>
      <w:t xml:space="preserve">реходни разпоредби </w:t>
    </w:r>
    <w:r>
      <w:rPr>
        <w:rFonts w:ascii="Times New Roman" w:hAnsi="Times New Roman" w:cs="Times New Roman"/>
        <w:sz w:val="20"/>
        <w:szCs w:val="20"/>
        <w:lang w:val="ru-RU"/>
      </w:rPr>
      <w:t>относно</w:t>
    </w:r>
    <w:r w:rsidRPr="00FB1E57">
      <w:rPr>
        <w:rFonts w:ascii="Times New Roman" w:hAnsi="Times New Roman" w:cs="Times New Roman"/>
        <w:sz w:val="20"/>
        <w:szCs w:val="20"/>
        <w:lang w:val="ru-RU"/>
      </w:rPr>
      <w:t xml:space="preserve"> плавателни</w:t>
    </w:r>
    <w:r>
      <w:rPr>
        <w:rFonts w:ascii="Times New Roman" w:hAnsi="Times New Roman" w:cs="Times New Roman"/>
        <w:sz w:val="20"/>
        <w:szCs w:val="20"/>
        <w:lang w:val="ru-RU"/>
      </w:rPr>
      <w:t>те</w:t>
    </w:r>
    <w:r w:rsidRPr="00FB1E57">
      <w:rPr>
        <w:rFonts w:ascii="Times New Roman" w:hAnsi="Times New Roman" w:cs="Times New Roman"/>
        <w:sz w:val="20"/>
        <w:szCs w:val="20"/>
        <w:lang w:val="ru-RU"/>
      </w:rPr>
      <w:t xml:space="preserve"> средства</w:t>
    </w:r>
    <w:r>
      <w:rPr>
        <w:rFonts w:ascii="Times New Roman" w:hAnsi="Times New Roman" w:cs="Times New Roman"/>
        <w:sz w:val="20"/>
        <w:szCs w:val="20"/>
        <w:lang w:val="ru-RU"/>
      </w:rPr>
      <w:t>,</w:t>
    </w:r>
    <w:r w:rsidRPr="00FB1E57">
      <w:rPr>
        <w:rFonts w:ascii="Times New Roman" w:hAnsi="Times New Roman" w:cs="Times New Roman"/>
        <w:sz w:val="20"/>
        <w:szCs w:val="20"/>
        <w:lang w:val="ru-RU"/>
      </w:rPr>
      <w:t xml:space="preserve"> </w:t>
    </w:r>
    <w:r>
      <w:rPr>
        <w:rFonts w:ascii="Times New Roman" w:hAnsi="Times New Roman" w:cs="Times New Roman"/>
        <w:sz w:val="20"/>
        <w:szCs w:val="20"/>
        <w:lang w:val="ru-RU"/>
      </w:rPr>
      <w:t>които са заложени за строеж на или преди 1 април 1976 г. – Член 32.03</w: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53105" w14:textId="77777777" w:rsidR="005551B9" w:rsidRPr="00FB1E57" w:rsidRDefault="005551B9" w:rsidP="00845954">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1B0678B7" w14:textId="59D1AD65" w:rsidR="005551B9" w:rsidRPr="00FB1E57" w:rsidRDefault="005551B9" w:rsidP="00236D64">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Допълнителни п</w:t>
    </w:r>
    <w:r w:rsidRPr="00FB1E57">
      <w:rPr>
        <w:rFonts w:ascii="Times New Roman" w:hAnsi="Times New Roman" w:cs="Times New Roman"/>
        <w:sz w:val="20"/>
        <w:szCs w:val="20"/>
        <w:lang w:val="ru-RU"/>
      </w:rPr>
      <w:t xml:space="preserve">реходни разпоредби </w:t>
    </w:r>
    <w:r>
      <w:rPr>
        <w:rFonts w:ascii="Times New Roman" w:hAnsi="Times New Roman" w:cs="Times New Roman"/>
        <w:sz w:val="20"/>
        <w:szCs w:val="20"/>
        <w:lang w:val="ru-RU"/>
      </w:rPr>
      <w:t>относно</w:t>
    </w:r>
    <w:r w:rsidRPr="00FB1E57">
      <w:rPr>
        <w:rFonts w:ascii="Times New Roman" w:hAnsi="Times New Roman" w:cs="Times New Roman"/>
        <w:sz w:val="20"/>
        <w:szCs w:val="20"/>
        <w:lang w:val="ru-RU"/>
      </w:rPr>
      <w:t xml:space="preserve"> плавателни</w:t>
    </w:r>
    <w:r>
      <w:rPr>
        <w:rFonts w:ascii="Times New Roman" w:hAnsi="Times New Roman" w:cs="Times New Roman"/>
        <w:sz w:val="20"/>
        <w:szCs w:val="20"/>
        <w:lang w:val="ru-RU"/>
      </w:rPr>
      <w:t>те</w:t>
    </w:r>
    <w:r w:rsidRPr="00FB1E57">
      <w:rPr>
        <w:rFonts w:ascii="Times New Roman" w:hAnsi="Times New Roman" w:cs="Times New Roman"/>
        <w:sz w:val="20"/>
        <w:szCs w:val="20"/>
        <w:lang w:val="ru-RU"/>
      </w:rPr>
      <w:t xml:space="preserve"> средства</w:t>
    </w:r>
    <w:r>
      <w:rPr>
        <w:rFonts w:ascii="Times New Roman" w:hAnsi="Times New Roman" w:cs="Times New Roman"/>
        <w:sz w:val="20"/>
        <w:szCs w:val="20"/>
        <w:lang w:val="ru-RU"/>
      </w:rPr>
      <w:t>,</w:t>
    </w:r>
    <w:r w:rsidRPr="00FB1E57">
      <w:rPr>
        <w:rFonts w:ascii="Times New Roman" w:hAnsi="Times New Roman" w:cs="Times New Roman"/>
        <w:sz w:val="20"/>
        <w:szCs w:val="20"/>
        <w:lang w:val="ru-RU"/>
      </w:rPr>
      <w:t xml:space="preserve"> </w:t>
    </w:r>
    <w:r>
      <w:rPr>
        <w:rFonts w:ascii="Times New Roman" w:hAnsi="Times New Roman" w:cs="Times New Roman"/>
        <w:sz w:val="20"/>
        <w:szCs w:val="20"/>
        <w:lang w:val="ru-RU"/>
      </w:rPr>
      <w:t>които са заложени за строеж на или преди 1 април 1976 г. – Член 32.03</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30927" w14:textId="4BC87836" w:rsidR="005551B9" w:rsidRPr="003000A4" w:rsidRDefault="005551B9" w:rsidP="00B41852">
    <w:pPr>
      <w:widowControl w:val="0"/>
      <w:pBdr>
        <w:bottom w:val="single" w:sz="6" w:space="1" w:color="auto"/>
      </w:pBdr>
      <w:tabs>
        <w:tab w:val="left" w:pos="8987"/>
      </w:tabs>
      <w:spacing w:after="0" w:line="240" w:lineRule="auto"/>
      <w:rPr>
        <w:rFonts w:ascii="Times New Roman" w:hAnsi="Times New Roman" w:cs="Times New Roman"/>
        <w:sz w:val="20"/>
        <w:szCs w:val="20"/>
        <w:lang w:val="de-DE"/>
      </w:rPr>
    </w:pPr>
    <w:r w:rsidRPr="00392CE4">
      <w:rPr>
        <w:rFonts w:ascii="Times New Roman" w:hAnsi="Times New Roman" w:cs="Times New Roman"/>
        <w:sz w:val="20"/>
        <w:szCs w:val="20"/>
      </w:rPr>
      <w:t>ES-TRIN</w:t>
    </w:r>
    <w:r>
      <w:rPr>
        <w:rFonts w:ascii="Times New Roman" w:hAnsi="Times New Roman" w:cs="Times New Roman"/>
        <w:sz w:val="20"/>
        <w:szCs w:val="20"/>
      </w:rPr>
      <w:tab/>
      <w:t xml:space="preserve">Глава </w:t>
    </w:r>
    <w:r w:rsidRPr="003000A4">
      <w:rPr>
        <w:rFonts w:ascii="Times New Roman" w:hAnsi="Times New Roman" w:cs="Times New Roman"/>
        <w:sz w:val="20"/>
        <w:szCs w:val="20"/>
        <w:lang w:val="de-DE"/>
      </w:rPr>
      <w:t>2</w:t>
    </w:r>
  </w:p>
  <w:p w14:paraId="14B300D3" w14:textId="6F9A4979" w:rsidR="005551B9" w:rsidRPr="003000A4" w:rsidRDefault="005551B9" w:rsidP="00B040B4">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Процедура</w:t>
    </w:r>
  </w:p>
  <w:p w14:paraId="32336875" w14:textId="77777777" w:rsidR="005551B9" w:rsidRPr="006731E6" w:rsidRDefault="005551B9" w:rsidP="006731E6">
    <w:pPr>
      <w:widowControl w:val="0"/>
      <w:pBdr>
        <w:bottom w:val="single" w:sz="6" w:space="1" w:color="auto"/>
      </w:pBdr>
      <w:tabs>
        <w:tab w:val="right" w:pos="9070"/>
      </w:tabs>
      <w:spacing w:after="0" w:line="240" w:lineRule="auto"/>
      <w:jc w:val="center"/>
      <w:rPr>
        <w:rFonts w:ascii="Times New Roman" w:hAnsi="Times New Roman" w:cs="Times New Roman"/>
        <w:sz w:val="2"/>
        <w:szCs w:val="2"/>
      </w:rP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41CE5" w14:textId="77777777" w:rsidR="005551B9" w:rsidRPr="00FB1E57" w:rsidRDefault="005551B9" w:rsidP="00D73B1D">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54556AF6" w14:textId="77777777" w:rsidR="005551B9" w:rsidRPr="00FB1E57" w:rsidRDefault="005551B9" w:rsidP="00D73B1D">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Други п</w:t>
    </w:r>
    <w:r w:rsidRPr="00FB1E57">
      <w:rPr>
        <w:rFonts w:ascii="Times New Roman" w:hAnsi="Times New Roman" w:cs="Times New Roman"/>
        <w:sz w:val="20"/>
        <w:szCs w:val="20"/>
        <w:lang w:val="ru-RU"/>
      </w:rPr>
      <w:t>реходни разпоредби</w:t>
    </w:r>
    <w:r>
      <w:rPr>
        <w:rFonts w:ascii="Times New Roman" w:hAnsi="Times New Roman" w:cs="Times New Roman"/>
        <w:sz w:val="20"/>
        <w:szCs w:val="20"/>
        <w:lang w:val="ru-RU"/>
      </w:rPr>
      <w:t xml:space="preserve"> – Член 32.04</w: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495A" w14:textId="77777777" w:rsidR="005551B9" w:rsidRPr="00FB1E57" w:rsidRDefault="005551B9" w:rsidP="00845954">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465FD311" w14:textId="42A80184" w:rsidR="005551B9" w:rsidRPr="00FB1E57" w:rsidRDefault="005551B9" w:rsidP="00236D64">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Други п</w:t>
    </w:r>
    <w:r w:rsidRPr="00FB1E57">
      <w:rPr>
        <w:rFonts w:ascii="Times New Roman" w:hAnsi="Times New Roman" w:cs="Times New Roman"/>
        <w:sz w:val="20"/>
        <w:szCs w:val="20"/>
        <w:lang w:val="ru-RU"/>
      </w:rPr>
      <w:t>реходни разпоредби</w:t>
    </w:r>
    <w:r>
      <w:rPr>
        <w:rFonts w:ascii="Times New Roman" w:hAnsi="Times New Roman" w:cs="Times New Roman"/>
        <w:sz w:val="20"/>
        <w:szCs w:val="20"/>
        <w:lang w:val="ru-RU"/>
      </w:rPr>
      <w:t xml:space="preserve"> – Член 32.04</w: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EF3CF" w14:textId="77777777" w:rsidR="005551B9" w:rsidRPr="00FB1E57" w:rsidRDefault="005551B9" w:rsidP="00DC3214">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25BBF611" w14:textId="67032C6A" w:rsidR="005551B9" w:rsidRPr="00FB1E57" w:rsidRDefault="005551B9" w:rsidP="00DC3214">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П</w:t>
    </w:r>
    <w:r w:rsidRPr="00FB1E57">
      <w:rPr>
        <w:rFonts w:ascii="Times New Roman" w:hAnsi="Times New Roman" w:cs="Times New Roman"/>
        <w:sz w:val="20"/>
        <w:szCs w:val="20"/>
        <w:lang w:val="ru-RU"/>
      </w:rPr>
      <w:t>реходни разпоредби</w:t>
    </w:r>
    <w:r>
      <w:rPr>
        <w:rFonts w:ascii="Times New Roman" w:hAnsi="Times New Roman" w:cs="Times New Roman"/>
        <w:sz w:val="20"/>
        <w:szCs w:val="20"/>
        <w:lang w:val="ru-RU"/>
      </w:rPr>
      <w:t xml:space="preserve"> за плавателни средства, които не са обхванати от член 32.01 – Член 32.05</w:t>
    </w: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0C07F" w14:textId="77777777" w:rsidR="005551B9" w:rsidRPr="00FB1E57" w:rsidRDefault="005551B9" w:rsidP="00845954">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69E5A379" w14:textId="756167C1" w:rsidR="005551B9" w:rsidRPr="00FB1E57" w:rsidRDefault="005551B9" w:rsidP="00236D64">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П</w:t>
    </w:r>
    <w:r w:rsidRPr="00FB1E57">
      <w:rPr>
        <w:rFonts w:ascii="Times New Roman" w:hAnsi="Times New Roman" w:cs="Times New Roman"/>
        <w:sz w:val="20"/>
        <w:szCs w:val="20"/>
        <w:lang w:val="ru-RU"/>
      </w:rPr>
      <w:t>реходни разпоредби</w:t>
    </w:r>
    <w:r>
      <w:rPr>
        <w:rFonts w:ascii="Times New Roman" w:hAnsi="Times New Roman" w:cs="Times New Roman"/>
        <w:sz w:val="20"/>
        <w:szCs w:val="20"/>
        <w:lang w:val="ru-RU"/>
      </w:rPr>
      <w:t xml:space="preserve"> за плавателни средства, които не са обхванати от член 32.01 – Член 32.05</w:t>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156B7" w14:textId="77777777" w:rsidR="005551B9" w:rsidRPr="00FB1E57"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051878B6" w14:textId="77777777" w:rsidR="005551B9" w:rsidRPr="00FB1E57" w:rsidRDefault="005551B9" w:rsidP="00190904">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Корабни лодки, които са били на борда на плавателното средство преди 01.10.2003 г.</w:t>
    </w:r>
    <w:r>
      <w:rPr>
        <w:rFonts w:ascii="Times New Roman" w:hAnsi="Times New Roman" w:cs="Times New Roman"/>
        <w:sz w:val="20"/>
        <w:szCs w:val="20"/>
        <w:lang w:val="ru-RU"/>
      </w:rPr>
      <w:t xml:space="preserve"> – Член 32.06</w: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3F25C" w14:textId="77777777" w:rsidR="005551B9" w:rsidRPr="00FB1E57" w:rsidRDefault="005551B9" w:rsidP="00845954">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32</w:t>
    </w:r>
  </w:p>
  <w:p w14:paraId="252590EF" w14:textId="3FD4CD69" w:rsidR="005551B9" w:rsidRPr="00FB1E57" w:rsidRDefault="005551B9" w:rsidP="00236D64">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Корабни лодки, които са били на борда на плавателното средство преди 01.10.2003 г.</w:t>
    </w:r>
    <w:r>
      <w:rPr>
        <w:rFonts w:ascii="Times New Roman" w:hAnsi="Times New Roman" w:cs="Times New Roman"/>
        <w:sz w:val="20"/>
        <w:szCs w:val="20"/>
        <w:lang w:val="ru-RU"/>
      </w:rPr>
      <w:t xml:space="preserve"> – Член 32.06</w:t>
    </w: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9D2E2" w14:textId="2793AE94" w:rsidR="005551B9" w:rsidRPr="00FB1E57"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w:t>
    </w:r>
    <w:r>
      <w:rPr>
        <w:rFonts w:ascii="Times New Roman" w:hAnsi="Times New Roman" w:cs="Times New Roman"/>
        <w:sz w:val="20"/>
        <w:szCs w:val="20"/>
        <w:lang w:val="ru-RU"/>
      </w:rPr>
      <w:t>3</w:t>
    </w:r>
  </w:p>
  <w:p w14:paraId="765C162B" w14:textId="22F1426A" w:rsidR="005551B9" w:rsidRPr="00FB1E57" w:rsidRDefault="005551B9" w:rsidP="00190904">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 xml:space="preserve">Преходни разпоредби по отношение на плавателните средства, плаващи изключително по водните пътища извън река Рейн (Зона </w:t>
    </w:r>
    <w:r>
      <w:rPr>
        <w:rFonts w:ascii="Times New Roman" w:hAnsi="Times New Roman" w:cs="Times New Roman"/>
        <w:sz w:val="20"/>
        <w:szCs w:val="20"/>
        <w:lang w:val="en-US"/>
      </w:rPr>
      <w:t>R</w:t>
    </w:r>
    <w:r>
      <w:rPr>
        <w:rFonts w:ascii="Times New Roman" w:hAnsi="Times New Roman" w:cs="Times New Roman"/>
        <w:sz w:val="20"/>
        <w:szCs w:val="20"/>
      </w:rPr>
      <w:t>)</w:t>
    </w:r>
    <w:r>
      <w:rPr>
        <w:rFonts w:ascii="Times New Roman" w:hAnsi="Times New Roman" w:cs="Times New Roman"/>
        <w:sz w:val="20"/>
        <w:szCs w:val="20"/>
        <w:lang w:val="ru-RU"/>
      </w:rPr>
      <w:t xml:space="preserve"> – Член 33.03</w:t>
    </w: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51494" w14:textId="02BFA8A6" w:rsidR="005551B9" w:rsidRPr="00FB1E57" w:rsidRDefault="005551B9" w:rsidP="00B935CF">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w:t>
    </w:r>
    <w:r>
      <w:rPr>
        <w:rFonts w:ascii="Times New Roman" w:hAnsi="Times New Roman" w:cs="Times New Roman"/>
        <w:sz w:val="20"/>
        <w:szCs w:val="20"/>
        <w:lang w:val="ru-RU"/>
      </w:rPr>
      <w:t>3</w:t>
    </w:r>
  </w:p>
  <w:p w14:paraId="2FE34310" w14:textId="27E34676" w:rsidR="005551B9" w:rsidRPr="00FB1E57" w:rsidRDefault="005551B9" w:rsidP="00B935CF">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 xml:space="preserve">Преходни разпоредби по отношение на плавателните средства, плаващи изключително по водните пътища извън река Рейн (Зона </w:t>
    </w:r>
    <w:r>
      <w:rPr>
        <w:rFonts w:ascii="Times New Roman" w:hAnsi="Times New Roman" w:cs="Times New Roman"/>
        <w:sz w:val="20"/>
        <w:szCs w:val="20"/>
        <w:lang w:val="en-US"/>
      </w:rPr>
      <w:t>R</w:t>
    </w:r>
    <w:r>
      <w:rPr>
        <w:rFonts w:ascii="Times New Roman" w:hAnsi="Times New Roman" w:cs="Times New Roman"/>
        <w:sz w:val="20"/>
        <w:szCs w:val="20"/>
      </w:rPr>
      <w:t>)</w:t>
    </w:r>
    <w:r>
      <w:rPr>
        <w:rFonts w:ascii="Times New Roman" w:hAnsi="Times New Roman" w:cs="Times New Roman"/>
        <w:sz w:val="20"/>
        <w:szCs w:val="20"/>
        <w:lang w:val="ru-RU"/>
      </w:rPr>
      <w:t xml:space="preserve"> – Член 33.01 – 33.02</w: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97B5F" w14:textId="77777777" w:rsidR="005551B9" w:rsidRPr="00FB1E57" w:rsidRDefault="005551B9" w:rsidP="00B935CF">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w:t>
    </w:r>
    <w:r>
      <w:rPr>
        <w:rFonts w:ascii="Times New Roman" w:hAnsi="Times New Roman" w:cs="Times New Roman"/>
        <w:sz w:val="20"/>
        <w:szCs w:val="20"/>
        <w:lang w:val="ru-RU"/>
      </w:rPr>
      <w:t>3</w:t>
    </w:r>
  </w:p>
  <w:p w14:paraId="272EE3C6" w14:textId="1A6299A3" w:rsidR="005551B9" w:rsidRPr="00FB1E57" w:rsidRDefault="005551B9" w:rsidP="00B935CF">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 xml:space="preserve">Преходни разпоредби по отношение на плавателните средства, плаващи изключително по водните пътища извън река Рейн (Зона </w:t>
    </w:r>
    <w:r>
      <w:rPr>
        <w:rFonts w:ascii="Times New Roman" w:hAnsi="Times New Roman" w:cs="Times New Roman"/>
        <w:sz w:val="20"/>
        <w:szCs w:val="20"/>
        <w:lang w:val="en-US"/>
      </w:rPr>
      <w:t>R</w:t>
    </w:r>
    <w:r>
      <w:rPr>
        <w:rFonts w:ascii="Times New Roman" w:hAnsi="Times New Roman" w:cs="Times New Roman"/>
        <w:sz w:val="20"/>
        <w:szCs w:val="20"/>
      </w:rPr>
      <w:t>)</w:t>
    </w:r>
    <w:r>
      <w:rPr>
        <w:rFonts w:ascii="Times New Roman" w:hAnsi="Times New Roman" w:cs="Times New Roman"/>
        <w:sz w:val="20"/>
        <w:szCs w:val="20"/>
        <w:lang w:val="ru-RU"/>
      </w:rPr>
      <w:t xml:space="preserve"> – Член 33.03</w:t>
    </w: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63B5E" w14:textId="77777777" w:rsidR="005551B9" w:rsidRPr="00FB1E57" w:rsidRDefault="005551B9" w:rsidP="00B935CF">
    <w:pPr>
      <w:widowControl w:val="0"/>
      <w:pBdr>
        <w:bottom w:val="single" w:sz="6" w:space="1" w:color="auto"/>
      </w:pBdr>
      <w:tabs>
        <w:tab w:val="right" w:pos="14034"/>
      </w:tabs>
      <w:spacing w:after="0" w:line="240" w:lineRule="auto"/>
      <w:rPr>
        <w:rFonts w:ascii="Times New Roman" w:hAnsi="Times New Roman" w:cs="Times New Roman"/>
        <w:sz w:val="20"/>
        <w:szCs w:val="20"/>
        <w:lang w:val="ru-RU"/>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t>Глава 3</w:t>
    </w:r>
    <w:r>
      <w:rPr>
        <w:rFonts w:ascii="Times New Roman" w:hAnsi="Times New Roman" w:cs="Times New Roman"/>
        <w:sz w:val="20"/>
        <w:szCs w:val="20"/>
        <w:lang w:val="ru-RU"/>
      </w:rPr>
      <w:t>3</w:t>
    </w:r>
  </w:p>
  <w:p w14:paraId="5D608400" w14:textId="1E41A461" w:rsidR="005551B9" w:rsidRPr="00FB1E57" w:rsidRDefault="005551B9" w:rsidP="00B935CF">
    <w:pPr>
      <w:widowControl w:val="0"/>
      <w:pBdr>
        <w:bottom w:val="single" w:sz="6" w:space="1" w:color="auto"/>
      </w:pBdr>
      <w:tabs>
        <w:tab w:val="right" w:pos="9070"/>
      </w:tabs>
      <w:spacing w:after="0" w:line="240" w:lineRule="auto"/>
      <w:jc w:val="right"/>
      <w:rPr>
        <w:rFonts w:ascii="Times New Roman" w:hAnsi="Times New Roman" w:cs="Times New Roman"/>
        <w:sz w:val="20"/>
        <w:szCs w:val="20"/>
        <w:lang w:val="ru-RU"/>
      </w:rPr>
    </w:pPr>
    <w:r>
      <w:rPr>
        <w:rFonts w:ascii="Times New Roman" w:hAnsi="Times New Roman" w:cs="Times New Roman"/>
        <w:sz w:val="20"/>
        <w:szCs w:val="20"/>
      </w:rPr>
      <w:t xml:space="preserve">Преходни разпоредби по отношение на плавателните средства, плаващи изключително по водните пътища извън река Рейн (Зона </w:t>
    </w:r>
    <w:r>
      <w:rPr>
        <w:rFonts w:ascii="Times New Roman" w:hAnsi="Times New Roman" w:cs="Times New Roman"/>
        <w:sz w:val="20"/>
        <w:szCs w:val="20"/>
        <w:lang w:val="en-US"/>
      </w:rPr>
      <w:t>R</w:t>
    </w:r>
    <w:r>
      <w:rPr>
        <w:rFonts w:ascii="Times New Roman" w:hAnsi="Times New Roman" w:cs="Times New Roman"/>
        <w:sz w:val="20"/>
        <w:szCs w:val="20"/>
      </w:rPr>
      <w:t>)</w:t>
    </w:r>
    <w:r>
      <w:rPr>
        <w:rFonts w:ascii="Times New Roman" w:hAnsi="Times New Roman" w:cs="Times New Roman"/>
        <w:sz w:val="20"/>
        <w:szCs w:val="20"/>
        <w:lang w:val="ru-RU"/>
      </w:rPr>
      <w:t xml:space="preserve"> – Член 33.04 – 33.05</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81DB9" w14:textId="77777777" w:rsidR="005551B9" w:rsidRPr="00CA2BD2" w:rsidRDefault="005551B9" w:rsidP="005B1E3D">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3</w:t>
    </w:r>
  </w:p>
  <w:p w14:paraId="6F592AA8" w14:textId="77777777" w:rsidR="005551B9" w:rsidRPr="0031621D" w:rsidRDefault="005551B9" w:rsidP="00C02BEC">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Изисквания към корабната конструкция</w:t>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6ECCD" w14:textId="0E3D214E" w:rsidR="005551B9" w:rsidRPr="00E70FBD"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Европейски стандарт. Приложения</w: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3CA1A" w14:textId="73C44D42" w:rsidR="005551B9"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1</w:t>
    </w:r>
  </w:p>
  <w:p w14:paraId="4CD4CF3E" w14:textId="20DFA1AD" w:rsidR="005551B9" w:rsidRPr="00E70FBD"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Образец на уникален европейски идентификационен номер (УЕИН)</w:t>
    </w: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D1F65" w14:textId="61EB08D6" w:rsidR="005551B9"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2</w:t>
    </w:r>
  </w:p>
  <w:p w14:paraId="4F2A138C" w14:textId="521C1C62" w:rsidR="005551B9" w:rsidRPr="00E70FBD"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Данни за идентифицирането на кораба</w:t>
    </w: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AF4D2" w14:textId="26A68932" w:rsidR="005551B9" w:rsidRPr="00C87FD5"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3</w:t>
    </w:r>
  </w:p>
  <w:p w14:paraId="60BEF946" w14:textId="202CD4BD" w:rsidR="005551B9"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Образци на корабни удостоверения за вътрешно корабоплаване и образец на</w:t>
    </w:r>
    <w:r>
      <w:rPr>
        <w:rFonts w:ascii="Times New Roman" w:hAnsi="Times New Roman" w:cs="Times New Roman"/>
        <w:sz w:val="20"/>
        <w:szCs w:val="20"/>
      </w:rPr>
      <w:br/>
      <w:t>регистър на корабните удостоверения за вътрешно корабоплаване</w:t>
    </w:r>
  </w:p>
  <w:p w14:paraId="34BAA6C2" w14:textId="1024FF2F" w:rsidR="005551B9" w:rsidRPr="00C87FD5"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I</w: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56E7C" w14:textId="77777777" w:rsidR="005551B9" w:rsidRPr="00C87FD5"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3</w:t>
    </w:r>
  </w:p>
  <w:p w14:paraId="0ACC8482" w14:textId="77777777" w:rsidR="005551B9"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Образци на корабни удостоверения за вътрешно корабоплаване и образец на</w:t>
    </w:r>
    <w:r>
      <w:rPr>
        <w:rFonts w:ascii="Times New Roman" w:hAnsi="Times New Roman" w:cs="Times New Roman"/>
        <w:sz w:val="20"/>
        <w:szCs w:val="20"/>
      </w:rPr>
      <w:br/>
      <w:t>регистър на корабните удостоверения за вътрешно корабоплаване</w:t>
    </w:r>
  </w:p>
  <w:p w14:paraId="6304338F" w14:textId="333AE7F7" w:rsidR="005551B9" w:rsidRPr="00C87FD5"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II</w:t>
    </w: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ADBCE" w14:textId="77777777" w:rsidR="005551B9" w:rsidRPr="00C87FD5"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3</w:t>
    </w:r>
  </w:p>
  <w:p w14:paraId="0B3F601B" w14:textId="77777777" w:rsidR="005551B9"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Образци на корабни удостоверения за вътрешно корабоплаване и образец на</w:t>
    </w:r>
    <w:r>
      <w:rPr>
        <w:rFonts w:ascii="Times New Roman" w:hAnsi="Times New Roman" w:cs="Times New Roman"/>
        <w:sz w:val="20"/>
        <w:szCs w:val="20"/>
      </w:rPr>
      <w:br/>
      <w:t>регистър на корабните удостоверения за вътрешно корабоплаване</w:t>
    </w:r>
  </w:p>
  <w:p w14:paraId="19569F5D" w14:textId="2B2C6510" w:rsidR="005551B9" w:rsidRPr="00C87FD5"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III</w:t>
    </w: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F8525" w14:textId="77777777" w:rsidR="005551B9" w:rsidRPr="00C87FD5"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3</w:t>
    </w:r>
  </w:p>
  <w:p w14:paraId="0BD3C678" w14:textId="77777777" w:rsidR="005551B9"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Образци на корабни удостоверения за вътрешно корабоплаване и образец на</w:t>
    </w:r>
    <w:r>
      <w:rPr>
        <w:rFonts w:ascii="Times New Roman" w:hAnsi="Times New Roman" w:cs="Times New Roman"/>
        <w:sz w:val="20"/>
        <w:szCs w:val="20"/>
      </w:rPr>
      <w:br/>
      <w:t>регистър на корабните удостоверения за вътрешно корабоплаване</w:t>
    </w:r>
  </w:p>
  <w:p w14:paraId="56719DF8" w14:textId="4BBA20B2" w:rsidR="005551B9" w:rsidRPr="00C87FD5"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IV</w:t>
    </w: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D8148" w14:textId="77777777" w:rsidR="005551B9" w:rsidRPr="00C87FD5"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3</w:t>
    </w:r>
  </w:p>
  <w:p w14:paraId="3C558D0F" w14:textId="77777777" w:rsidR="005551B9"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Образци на корабни удостоверения за вътрешно корабоплаване и образец на</w:t>
    </w:r>
    <w:r>
      <w:rPr>
        <w:rFonts w:ascii="Times New Roman" w:hAnsi="Times New Roman" w:cs="Times New Roman"/>
        <w:sz w:val="20"/>
        <w:szCs w:val="20"/>
      </w:rPr>
      <w:br/>
      <w:t>регистър на корабните удостоверения за вътрешно корабоплаване</w:t>
    </w:r>
  </w:p>
  <w:p w14:paraId="3911537D" w14:textId="68BCB07C" w:rsidR="005551B9" w:rsidRPr="00C87FD5"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V</w:t>
    </w: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B7F42" w14:textId="77777777" w:rsidR="005551B9" w:rsidRPr="00C87FD5" w:rsidRDefault="005551B9" w:rsidP="00190904">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3</w:t>
    </w:r>
  </w:p>
  <w:p w14:paraId="788DBEB9" w14:textId="77777777" w:rsidR="005551B9"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Образци на корабни удостоверения за вътрешно корабоплаване и образец на</w:t>
    </w:r>
    <w:r>
      <w:rPr>
        <w:rFonts w:ascii="Times New Roman" w:hAnsi="Times New Roman" w:cs="Times New Roman"/>
        <w:sz w:val="20"/>
        <w:szCs w:val="20"/>
      </w:rPr>
      <w:br/>
      <w:t>регистър на корабните удостоверения за вътрешно корабоплаване</w:t>
    </w:r>
  </w:p>
  <w:p w14:paraId="70DAB571" w14:textId="45720956" w:rsidR="005551B9" w:rsidRPr="00C87FD5" w:rsidRDefault="005551B9" w:rsidP="00682AB9">
    <w:pPr>
      <w:widowControl w:val="0"/>
      <w:pBdr>
        <w:bottom w:val="single" w:sz="6" w:space="1" w:color="auto"/>
      </w:pBdr>
      <w:tabs>
        <w:tab w:val="right" w:pos="14034"/>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VI</w:t>
    </w: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D340C" w14:textId="54C9744F" w:rsidR="005551B9" w:rsidRPr="00C87FD5" w:rsidRDefault="005551B9" w:rsidP="007C2CC6">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4</w:t>
    </w:r>
  </w:p>
  <w:p w14:paraId="698C4E67" w14:textId="257961B3" w:rsidR="005551B9" w:rsidRPr="002378FC" w:rsidRDefault="005551B9" w:rsidP="007C2CC6">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Знаци за безопасност</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1F035" w14:textId="77777777" w:rsidR="005551B9" w:rsidRPr="00CA2BD2" w:rsidRDefault="005551B9" w:rsidP="00B41852">
    <w:pPr>
      <w:widowControl w:val="0"/>
      <w:pBdr>
        <w:bottom w:val="single" w:sz="6" w:space="1" w:color="auto"/>
      </w:pBdr>
      <w:tabs>
        <w:tab w:val="left" w:pos="8987"/>
      </w:tabs>
      <w:spacing w:after="0" w:line="240" w:lineRule="auto"/>
      <w:rPr>
        <w:rFonts w:ascii="Times New Roman" w:hAnsi="Times New Roman" w:cs="Times New Roman"/>
        <w:sz w:val="20"/>
        <w:szCs w:val="20"/>
      </w:rPr>
    </w:pPr>
    <w:r w:rsidRPr="00392CE4">
      <w:rPr>
        <w:rFonts w:ascii="Times New Roman" w:hAnsi="Times New Roman" w:cs="Times New Roman"/>
        <w:sz w:val="20"/>
        <w:szCs w:val="20"/>
      </w:rPr>
      <w:t>ES-TRIN</w:t>
    </w:r>
    <w:r>
      <w:rPr>
        <w:rFonts w:ascii="Times New Roman" w:hAnsi="Times New Roman" w:cs="Times New Roman"/>
        <w:sz w:val="20"/>
        <w:szCs w:val="20"/>
      </w:rPr>
      <w:tab/>
      <w:t>Глава 3</w:t>
    </w:r>
  </w:p>
  <w:p w14:paraId="10E8E405" w14:textId="77777777" w:rsidR="005551B9" w:rsidRPr="0031621D" w:rsidRDefault="005551B9" w:rsidP="00B040B4">
    <w:pPr>
      <w:widowControl w:val="0"/>
      <w:pBdr>
        <w:bottom w:val="single" w:sz="6" w:space="1" w:color="auto"/>
      </w:pBdr>
      <w:tabs>
        <w:tab w:val="left" w:pos="8250"/>
        <w:tab w:val="right" w:pos="90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Изисквания към корабната конструкция</w:t>
    </w:r>
  </w:p>
  <w:p w14:paraId="51804139" w14:textId="77777777" w:rsidR="005551B9" w:rsidRPr="006731E6" w:rsidRDefault="005551B9" w:rsidP="006731E6">
    <w:pPr>
      <w:widowControl w:val="0"/>
      <w:pBdr>
        <w:bottom w:val="single" w:sz="6" w:space="1" w:color="auto"/>
      </w:pBdr>
      <w:tabs>
        <w:tab w:val="right" w:pos="9070"/>
      </w:tabs>
      <w:spacing w:after="0" w:line="240" w:lineRule="auto"/>
      <w:jc w:val="center"/>
      <w:rPr>
        <w:rFonts w:ascii="Times New Roman" w:hAnsi="Times New Roman" w:cs="Times New Roman"/>
        <w:sz w:val="2"/>
        <w:szCs w:val="2"/>
      </w:rP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CCB4" w14:textId="4C55006B" w:rsidR="005551B9" w:rsidRPr="00A81E0B" w:rsidRDefault="005551B9" w:rsidP="007C2CC6">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5</w:t>
    </w:r>
  </w:p>
  <w:p w14:paraId="3DBBD2FB" w14:textId="7E893B0B" w:rsidR="005551B9" w:rsidRPr="002378FC" w:rsidRDefault="005551B9" w:rsidP="007C2CC6">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Навигационни и информационни устройства</w:t>
    </w: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B25F9" w14:textId="77777777" w:rsidR="005551B9" w:rsidRPr="00A81E0B" w:rsidRDefault="005551B9" w:rsidP="0067717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5</w:t>
    </w:r>
  </w:p>
  <w:p w14:paraId="614C8A36" w14:textId="77777777" w:rsidR="005551B9" w:rsidRDefault="005551B9" w:rsidP="0067717D">
    <w:pPr>
      <w:widowControl w:val="0"/>
      <w:pBdr>
        <w:bottom w:val="single" w:sz="6" w:space="1" w:color="auto"/>
      </w:pBdr>
      <w:tabs>
        <w:tab w:val="right" w:pos="9072"/>
      </w:tabs>
      <w:spacing w:after="0"/>
      <w:jc w:val="right"/>
      <w:rPr>
        <w:rFonts w:ascii="Times New Roman" w:hAnsi="Times New Roman" w:cs="Times New Roman"/>
        <w:sz w:val="20"/>
        <w:szCs w:val="20"/>
      </w:rPr>
    </w:pPr>
    <w:r>
      <w:rPr>
        <w:rFonts w:ascii="Times New Roman" w:hAnsi="Times New Roman" w:cs="Times New Roman"/>
        <w:sz w:val="20"/>
        <w:szCs w:val="20"/>
      </w:rPr>
      <w:t>Навигационни и информационни устройства</w:t>
    </w:r>
  </w:p>
  <w:p w14:paraId="505F21C4" w14:textId="42CA2F13" w:rsidR="005551B9" w:rsidRPr="007C2CC6" w:rsidRDefault="005551B9" w:rsidP="0067717D">
    <w:pPr>
      <w:widowControl w:val="0"/>
      <w:pBdr>
        <w:bottom w:val="single" w:sz="6" w:space="1" w:color="auto"/>
      </w:pBdr>
      <w:tabs>
        <w:tab w:val="right" w:pos="9072"/>
      </w:tabs>
      <w:spacing w:after="0"/>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I</w:t>
    </w: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179D1" w14:textId="77777777" w:rsidR="005551B9" w:rsidRPr="00A81E0B" w:rsidRDefault="005551B9" w:rsidP="0067717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5</w:t>
    </w:r>
  </w:p>
  <w:p w14:paraId="6E3B18AC" w14:textId="77777777" w:rsidR="005551B9" w:rsidRDefault="005551B9" w:rsidP="0067717D">
    <w:pPr>
      <w:widowControl w:val="0"/>
      <w:pBdr>
        <w:bottom w:val="single" w:sz="6" w:space="1" w:color="auto"/>
      </w:pBdr>
      <w:tabs>
        <w:tab w:val="right" w:pos="9072"/>
      </w:tabs>
      <w:spacing w:after="0"/>
      <w:jc w:val="right"/>
      <w:rPr>
        <w:rFonts w:ascii="Times New Roman" w:hAnsi="Times New Roman" w:cs="Times New Roman"/>
        <w:sz w:val="20"/>
        <w:szCs w:val="20"/>
      </w:rPr>
    </w:pPr>
    <w:r>
      <w:rPr>
        <w:rFonts w:ascii="Times New Roman" w:hAnsi="Times New Roman" w:cs="Times New Roman"/>
        <w:sz w:val="20"/>
        <w:szCs w:val="20"/>
      </w:rPr>
      <w:t>Навигационни и информационни устройства</w:t>
    </w:r>
  </w:p>
  <w:p w14:paraId="6C2E5ED7" w14:textId="49F94EB9" w:rsidR="005551B9" w:rsidRPr="007C2CC6" w:rsidRDefault="005551B9" w:rsidP="0067717D">
    <w:pPr>
      <w:widowControl w:val="0"/>
      <w:pBdr>
        <w:bottom w:val="single" w:sz="6" w:space="1" w:color="auto"/>
      </w:pBdr>
      <w:tabs>
        <w:tab w:val="right" w:pos="9072"/>
      </w:tabs>
      <w:spacing w:after="0"/>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II</w:t>
    </w: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AD0F6" w14:textId="77777777" w:rsidR="005551B9" w:rsidRPr="00A81E0B" w:rsidRDefault="005551B9" w:rsidP="00ED7AA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5</w:t>
    </w:r>
  </w:p>
  <w:p w14:paraId="759F34C6" w14:textId="77777777" w:rsidR="005551B9"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Навигационни и информационни устройства</w:t>
    </w:r>
  </w:p>
  <w:p w14:paraId="77B884BD" w14:textId="62BDDFF2" w:rsidR="005551B9" w:rsidRPr="007C2CC6"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IV</w:t>
    </w: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2702B" w14:textId="77777777" w:rsidR="005551B9" w:rsidRPr="00A81E0B" w:rsidRDefault="005551B9" w:rsidP="00ED7AA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5</w:t>
    </w:r>
  </w:p>
  <w:p w14:paraId="6135FFE1" w14:textId="77777777" w:rsidR="005551B9"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Навигационни и информационни устройства</w:t>
    </w:r>
  </w:p>
  <w:p w14:paraId="6FA647E8" w14:textId="59218212" w:rsidR="005551B9" w:rsidRPr="007C2CC6"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V</w:t>
    </w: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CBDD" w14:textId="77777777" w:rsidR="005551B9" w:rsidRPr="00A81E0B" w:rsidRDefault="005551B9" w:rsidP="00ED7AA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5</w:t>
    </w:r>
  </w:p>
  <w:p w14:paraId="1C07AE49" w14:textId="77777777" w:rsidR="005551B9"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Навигационни и информационни устройства</w:t>
    </w:r>
  </w:p>
  <w:p w14:paraId="6DB5E78E" w14:textId="032E4A3B" w:rsidR="005551B9" w:rsidRPr="007C2CC6"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Раздел </w:t>
    </w:r>
    <w:r>
      <w:rPr>
        <w:rFonts w:ascii="Times New Roman" w:hAnsi="Times New Roman" w:cs="Times New Roman"/>
        <w:sz w:val="20"/>
        <w:szCs w:val="20"/>
        <w:lang w:val="en-US"/>
      </w:rPr>
      <w:t>VI</w:t>
    </w: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2F757" w14:textId="2B69E8B2" w:rsidR="005551B9" w:rsidRPr="007B5440" w:rsidRDefault="005551B9" w:rsidP="00ED7AAD">
    <w:pPr>
      <w:widowControl w:val="0"/>
      <w:pBdr>
        <w:bottom w:val="single" w:sz="6" w:space="1" w:color="auto"/>
      </w:pBdr>
      <w:tabs>
        <w:tab w:val="right" w:pos="14034"/>
      </w:tabs>
      <w:spacing w:after="0" w:line="240" w:lineRule="auto"/>
      <w:rPr>
        <w:rFonts w:ascii="Times New Roman" w:hAnsi="Times New Roman" w:cs="Times New Roman"/>
        <w:sz w:val="20"/>
        <w:szCs w:val="20"/>
        <w:lang w:val="en-US"/>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 xml:space="preserve">Приложение </w:t>
    </w:r>
    <w:r>
      <w:rPr>
        <w:rFonts w:ascii="Times New Roman" w:hAnsi="Times New Roman" w:cs="Times New Roman"/>
        <w:sz w:val="20"/>
        <w:szCs w:val="20"/>
        <w:lang w:val="en-US"/>
      </w:rPr>
      <w:t>6</w:t>
    </w:r>
  </w:p>
  <w:p w14:paraId="284B49FC" w14:textId="721D90E9" w:rsidR="005551B9" w:rsidRPr="007C2CC6"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(оставено непопълнено)</w:t>
    </w: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0B5DF" w14:textId="392B5A36" w:rsidR="005551B9" w:rsidRPr="002F25D8" w:rsidRDefault="005551B9" w:rsidP="00ED7AA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658E180E" w14:textId="48A2A8D4" w:rsidR="005551B9" w:rsidRPr="007C2CC6"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112F4" w14:textId="77777777" w:rsidR="005551B9" w:rsidRPr="002F25D8" w:rsidRDefault="005551B9" w:rsidP="00ED7AA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4BE10BEF" w14:textId="77777777" w:rsidR="005551B9"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13939BE1" w14:textId="5FB4C89A" w:rsidR="005551B9" w:rsidRPr="00002217"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sidRPr="00002217">
      <w:rPr>
        <w:rFonts w:ascii="Times New Roman" w:hAnsi="Times New Roman" w:cs="Times New Roman"/>
        <w:sz w:val="20"/>
        <w:szCs w:val="20"/>
        <w:lang w:val="en-US"/>
      </w:rPr>
      <w:t>I</w:t>
    </w: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84BDF" w14:textId="77777777" w:rsidR="005551B9" w:rsidRPr="002F25D8" w:rsidRDefault="005551B9" w:rsidP="00ED7AAD">
    <w:pPr>
      <w:widowControl w:val="0"/>
      <w:pBdr>
        <w:bottom w:val="single" w:sz="6" w:space="1" w:color="auto"/>
      </w:pBdr>
      <w:tabs>
        <w:tab w:val="right" w:pos="14034"/>
      </w:tabs>
      <w:spacing w:after="0" w:line="240" w:lineRule="auto"/>
      <w:rPr>
        <w:rFonts w:ascii="Times New Roman" w:hAnsi="Times New Roman" w:cs="Times New Roman"/>
        <w:sz w:val="20"/>
        <w:szCs w:val="20"/>
      </w:rPr>
    </w:pPr>
    <w:r w:rsidRPr="00FB1E57">
      <w:rPr>
        <w:rFonts w:ascii="Times New Roman" w:hAnsi="Times New Roman" w:cs="Times New Roman"/>
        <w:sz w:val="20"/>
        <w:szCs w:val="20"/>
      </w:rPr>
      <w:t>ES</w:t>
    </w:r>
    <w:r w:rsidRPr="00FB1E57">
      <w:rPr>
        <w:rFonts w:ascii="Times New Roman" w:hAnsi="Times New Roman" w:cs="Times New Roman"/>
        <w:sz w:val="20"/>
        <w:szCs w:val="20"/>
        <w:lang w:val="ru-RU"/>
      </w:rPr>
      <w:t>-</w:t>
    </w:r>
    <w:r w:rsidRPr="00FB1E57">
      <w:rPr>
        <w:rFonts w:ascii="Times New Roman" w:hAnsi="Times New Roman" w:cs="Times New Roman"/>
        <w:sz w:val="20"/>
        <w:szCs w:val="20"/>
      </w:rPr>
      <w:t>TRIN</w:t>
    </w:r>
    <w:r w:rsidRPr="00FB1E57">
      <w:rPr>
        <w:rFonts w:ascii="Times New Roman" w:hAnsi="Times New Roman" w:cs="Times New Roman"/>
        <w:sz w:val="20"/>
        <w:szCs w:val="20"/>
        <w:lang w:val="ru-RU"/>
      </w:rPr>
      <w:tab/>
    </w:r>
    <w:r>
      <w:rPr>
        <w:rFonts w:ascii="Times New Roman" w:hAnsi="Times New Roman" w:cs="Times New Roman"/>
        <w:sz w:val="20"/>
        <w:szCs w:val="20"/>
      </w:rPr>
      <w:t>Приложение 7</w:t>
    </w:r>
  </w:p>
  <w:p w14:paraId="17138D25" w14:textId="77777777" w:rsidR="005551B9"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Бордови станции за пречистване на отпадъчни води</w:t>
    </w:r>
  </w:p>
  <w:p w14:paraId="641A83D4" w14:textId="68404F7A" w:rsidR="005551B9" w:rsidRPr="00002217" w:rsidRDefault="005551B9" w:rsidP="00ED7AAD">
    <w:pPr>
      <w:widowControl w:val="0"/>
      <w:pBdr>
        <w:bottom w:val="single" w:sz="6" w:space="1" w:color="auto"/>
      </w:pBdr>
      <w:tabs>
        <w:tab w:val="right" w:pos="9072"/>
      </w:tabs>
      <w:spacing w:after="0" w:line="240" w:lineRule="auto"/>
      <w:jc w:val="right"/>
      <w:rPr>
        <w:rFonts w:ascii="Times New Roman" w:hAnsi="Times New Roman" w:cs="Times New Roman"/>
        <w:sz w:val="20"/>
        <w:szCs w:val="20"/>
        <w:lang w:val="en-US"/>
      </w:rPr>
    </w:pPr>
    <w:r w:rsidRPr="00002217">
      <w:rPr>
        <w:rFonts w:ascii="Times New Roman" w:hAnsi="Times New Roman" w:cs="Times New Roman"/>
        <w:sz w:val="20"/>
        <w:szCs w:val="20"/>
      </w:rPr>
      <w:t xml:space="preserve">Раздел </w:t>
    </w:r>
    <w:r w:rsidRPr="00002217">
      <w:rPr>
        <w:rFonts w:ascii="Times New Roman" w:hAnsi="Times New Roman" w:cs="Times New Roman"/>
        <w:sz w:val="20"/>
        <w:szCs w:val="20"/>
        <w:lang w:val="en-US"/>
      </w:rPr>
      <w:t>I</w:t>
    </w:r>
    <w:r>
      <w:rPr>
        <w:rFonts w:ascii="Times New Roman" w:hAnsi="Times New Roman" w:cs="Times New Roman"/>
        <w:sz w:val="20"/>
        <w:szCs w:val="20"/>
        <w:lang w:val="en-US"/>
      </w:rPr>
      <w:t>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6DB51F"/>
    <w:multiLevelType w:val="singleLevel"/>
    <w:tmpl w:val="896DB51F"/>
    <w:lvl w:ilvl="0">
      <w:start w:val="1"/>
      <w:numFmt w:val="lowerLetter"/>
      <w:suff w:val="space"/>
      <w:lvlText w:val="%1)"/>
      <w:lvlJc w:val="left"/>
    </w:lvl>
  </w:abstractNum>
  <w:abstractNum w:abstractNumId="1" w15:restartNumberingAfterBreak="0">
    <w:nsid w:val="8F0DA506"/>
    <w:multiLevelType w:val="singleLevel"/>
    <w:tmpl w:val="8F0DA506"/>
    <w:lvl w:ilvl="0">
      <w:start w:val="1"/>
      <w:numFmt w:val="lowerLetter"/>
      <w:suff w:val="space"/>
      <w:lvlText w:val="%1)"/>
      <w:lvlJc w:val="left"/>
    </w:lvl>
  </w:abstractNum>
  <w:abstractNum w:abstractNumId="2" w15:restartNumberingAfterBreak="0">
    <w:nsid w:val="90C3282D"/>
    <w:multiLevelType w:val="singleLevel"/>
    <w:tmpl w:val="90C3282D"/>
    <w:lvl w:ilvl="0">
      <w:start w:val="1"/>
      <w:numFmt w:val="lowerLetter"/>
      <w:suff w:val="space"/>
      <w:lvlText w:val="%1)"/>
      <w:lvlJc w:val="left"/>
    </w:lvl>
  </w:abstractNum>
  <w:abstractNum w:abstractNumId="3" w15:restartNumberingAfterBreak="0">
    <w:nsid w:val="939A5FA5"/>
    <w:multiLevelType w:val="singleLevel"/>
    <w:tmpl w:val="939A5FA5"/>
    <w:lvl w:ilvl="0">
      <w:start w:val="1"/>
      <w:numFmt w:val="lowerLetter"/>
      <w:suff w:val="space"/>
      <w:lvlText w:val="%1)"/>
      <w:lvlJc w:val="left"/>
    </w:lvl>
  </w:abstractNum>
  <w:abstractNum w:abstractNumId="4" w15:restartNumberingAfterBreak="0">
    <w:nsid w:val="A0480386"/>
    <w:multiLevelType w:val="singleLevel"/>
    <w:tmpl w:val="A0480386"/>
    <w:lvl w:ilvl="0">
      <w:start w:val="10"/>
      <w:numFmt w:val="decimal"/>
      <w:lvlText w:val="%1."/>
      <w:lvlJc w:val="left"/>
    </w:lvl>
  </w:abstractNum>
  <w:abstractNum w:abstractNumId="5" w15:restartNumberingAfterBreak="0">
    <w:nsid w:val="A0B0737C"/>
    <w:multiLevelType w:val="singleLevel"/>
    <w:tmpl w:val="A0B0737C"/>
    <w:lvl w:ilvl="0">
      <w:start w:val="1"/>
      <w:numFmt w:val="lowerLetter"/>
      <w:suff w:val="space"/>
      <w:lvlText w:val="%1)"/>
      <w:lvlJc w:val="left"/>
    </w:lvl>
  </w:abstractNum>
  <w:abstractNum w:abstractNumId="6" w15:restartNumberingAfterBreak="0">
    <w:nsid w:val="A4678D2B"/>
    <w:multiLevelType w:val="singleLevel"/>
    <w:tmpl w:val="A4678D2B"/>
    <w:lvl w:ilvl="0">
      <w:start w:val="1"/>
      <w:numFmt w:val="lowerLetter"/>
      <w:suff w:val="space"/>
      <w:lvlText w:val="%1)"/>
      <w:lvlJc w:val="left"/>
    </w:lvl>
  </w:abstractNum>
  <w:abstractNum w:abstractNumId="7" w15:restartNumberingAfterBreak="0">
    <w:nsid w:val="AD7858D1"/>
    <w:multiLevelType w:val="multilevel"/>
    <w:tmpl w:val="AD7858D1"/>
    <w:lvl w:ilvl="0">
      <w:start w:val="1"/>
      <w:numFmt w:val="decimal"/>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8" w15:restartNumberingAfterBreak="0">
    <w:nsid w:val="AF51E4A1"/>
    <w:multiLevelType w:val="singleLevel"/>
    <w:tmpl w:val="AF51E4A1"/>
    <w:lvl w:ilvl="0">
      <w:start w:val="1"/>
      <w:numFmt w:val="lowerLetter"/>
      <w:suff w:val="space"/>
      <w:lvlText w:val="%1)"/>
      <w:lvlJc w:val="left"/>
    </w:lvl>
  </w:abstractNum>
  <w:abstractNum w:abstractNumId="9" w15:restartNumberingAfterBreak="0">
    <w:nsid w:val="B3C7B17A"/>
    <w:multiLevelType w:val="singleLevel"/>
    <w:tmpl w:val="B3C7B17A"/>
    <w:lvl w:ilvl="0">
      <w:start w:val="1"/>
      <w:numFmt w:val="lowerLetter"/>
      <w:suff w:val="space"/>
      <w:lvlText w:val="%1)"/>
      <w:lvlJc w:val="left"/>
    </w:lvl>
  </w:abstractNum>
  <w:abstractNum w:abstractNumId="10" w15:restartNumberingAfterBreak="0">
    <w:nsid w:val="BD01A9A0"/>
    <w:multiLevelType w:val="multilevel"/>
    <w:tmpl w:val="76A64060"/>
    <w:lvl w:ilvl="0">
      <w:start w:val="1"/>
      <w:numFmt w:val="decimal"/>
      <w:suff w:val="space"/>
      <w:lvlText w:val="%1."/>
      <w:lvlJc w:val="left"/>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BF9D68A9"/>
    <w:multiLevelType w:val="singleLevel"/>
    <w:tmpl w:val="BF9D68A9"/>
    <w:lvl w:ilvl="0">
      <w:start w:val="1"/>
      <w:numFmt w:val="lowerLetter"/>
      <w:suff w:val="space"/>
      <w:lvlText w:val="%1)"/>
      <w:lvlJc w:val="left"/>
    </w:lvl>
  </w:abstractNum>
  <w:abstractNum w:abstractNumId="12" w15:restartNumberingAfterBreak="0">
    <w:nsid w:val="C4E23A41"/>
    <w:multiLevelType w:val="singleLevel"/>
    <w:tmpl w:val="C4E23A41"/>
    <w:lvl w:ilvl="0">
      <w:start w:val="1"/>
      <w:numFmt w:val="lowerLetter"/>
      <w:suff w:val="space"/>
      <w:lvlText w:val="%1)"/>
      <w:lvlJc w:val="left"/>
    </w:lvl>
  </w:abstractNum>
  <w:abstractNum w:abstractNumId="13" w15:restartNumberingAfterBreak="0">
    <w:nsid w:val="CD2645E5"/>
    <w:multiLevelType w:val="singleLevel"/>
    <w:tmpl w:val="CD2645E5"/>
    <w:lvl w:ilvl="0">
      <w:start w:val="1"/>
      <w:numFmt w:val="lowerLetter"/>
      <w:suff w:val="space"/>
      <w:lvlText w:val="%1)"/>
      <w:lvlJc w:val="left"/>
    </w:lvl>
  </w:abstractNum>
  <w:abstractNum w:abstractNumId="14" w15:restartNumberingAfterBreak="0">
    <w:nsid w:val="CE89DE66"/>
    <w:multiLevelType w:val="singleLevel"/>
    <w:tmpl w:val="CE89DE66"/>
    <w:lvl w:ilvl="0">
      <w:start w:val="1"/>
      <w:numFmt w:val="lowerLetter"/>
      <w:suff w:val="space"/>
      <w:lvlText w:val="%1)"/>
      <w:lvlJc w:val="left"/>
    </w:lvl>
  </w:abstractNum>
  <w:abstractNum w:abstractNumId="15" w15:restartNumberingAfterBreak="0">
    <w:nsid w:val="CFA817B1"/>
    <w:multiLevelType w:val="singleLevel"/>
    <w:tmpl w:val="CFA817B1"/>
    <w:lvl w:ilvl="0">
      <w:start w:val="1"/>
      <w:numFmt w:val="lowerLetter"/>
      <w:suff w:val="space"/>
      <w:lvlText w:val="%1)"/>
      <w:lvlJc w:val="left"/>
    </w:lvl>
  </w:abstractNum>
  <w:abstractNum w:abstractNumId="16" w15:restartNumberingAfterBreak="0">
    <w:nsid w:val="D022BB36"/>
    <w:multiLevelType w:val="singleLevel"/>
    <w:tmpl w:val="D022BB36"/>
    <w:lvl w:ilvl="0">
      <w:start w:val="1"/>
      <w:numFmt w:val="lowerLetter"/>
      <w:suff w:val="space"/>
      <w:lvlText w:val="%1)"/>
      <w:lvlJc w:val="left"/>
    </w:lvl>
  </w:abstractNum>
  <w:abstractNum w:abstractNumId="17" w15:restartNumberingAfterBreak="0">
    <w:nsid w:val="D0B3474A"/>
    <w:multiLevelType w:val="singleLevel"/>
    <w:tmpl w:val="D0B3474A"/>
    <w:lvl w:ilvl="0">
      <w:start w:val="1"/>
      <w:numFmt w:val="lowerLetter"/>
      <w:suff w:val="space"/>
      <w:lvlText w:val="%1)"/>
      <w:lvlJc w:val="left"/>
    </w:lvl>
  </w:abstractNum>
  <w:abstractNum w:abstractNumId="18" w15:restartNumberingAfterBreak="0">
    <w:nsid w:val="D152EC8C"/>
    <w:multiLevelType w:val="singleLevel"/>
    <w:tmpl w:val="D152EC8C"/>
    <w:lvl w:ilvl="0">
      <w:start w:val="1"/>
      <w:numFmt w:val="lowerLetter"/>
      <w:suff w:val="space"/>
      <w:lvlText w:val="%1)"/>
      <w:lvlJc w:val="left"/>
    </w:lvl>
  </w:abstractNum>
  <w:abstractNum w:abstractNumId="19" w15:restartNumberingAfterBreak="0">
    <w:nsid w:val="D1A39029"/>
    <w:multiLevelType w:val="singleLevel"/>
    <w:tmpl w:val="D1A39029"/>
    <w:lvl w:ilvl="0">
      <w:start w:val="1"/>
      <w:numFmt w:val="lowerLetter"/>
      <w:suff w:val="space"/>
      <w:lvlText w:val="%1)"/>
      <w:lvlJc w:val="left"/>
    </w:lvl>
  </w:abstractNum>
  <w:abstractNum w:abstractNumId="20" w15:restartNumberingAfterBreak="0">
    <w:nsid w:val="D3C5DCEA"/>
    <w:multiLevelType w:val="singleLevel"/>
    <w:tmpl w:val="D3C5DCEA"/>
    <w:lvl w:ilvl="0">
      <w:start w:val="1"/>
      <w:numFmt w:val="lowerLetter"/>
      <w:suff w:val="space"/>
      <w:lvlText w:val="%1)"/>
      <w:lvlJc w:val="left"/>
    </w:lvl>
  </w:abstractNum>
  <w:abstractNum w:abstractNumId="21" w15:restartNumberingAfterBreak="0">
    <w:nsid w:val="D688004E"/>
    <w:multiLevelType w:val="singleLevel"/>
    <w:tmpl w:val="D688004E"/>
    <w:lvl w:ilvl="0">
      <w:start w:val="1"/>
      <w:numFmt w:val="lowerLetter"/>
      <w:suff w:val="space"/>
      <w:lvlText w:val="%1)"/>
      <w:lvlJc w:val="left"/>
    </w:lvl>
  </w:abstractNum>
  <w:abstractNum w:abstractNumId="22" w15:restartNumberingAfterBreak="0">
    <w:nsid w:val="D92E507D"/>
    <w:multiLevelType w:val="singleLevel"/>
    <w:tmpl w:val="D92E507D"/>
    <w:lvl w:ilvl="0">
      <w:start w:val="1"/>
      <w:numFmt w:val="lowerLetter"/>
      <w:suff w:val="space"/>
      <w:lvlText w:val="%1)"/>
      <w:lvlJc w:val="left"/>
    </w:lvl>
  </w:abstractNum>
  <w:abstractNum w:abstractNumId="23" w15:restartNumberingAfterBreak="0">
    <w:nsid w:val="DF7C6461"/>
    <w:multiLevelType w:val="singleLevel"/>
    <w:tmpl w:val="DF7C6461"/>
    <w:lvl w:ilvl="0">
      <w:start w:val="1"/>
      <w:numFmt w:val="lowerLetter"/>
      <w:suff w:val="space"/>
      <w:lvlText w:val="%1)"/>
      <w:lvlJc w:val="left"/>
    </w:lvl>
  </w:abstractNum>
  <w:abstractNum w:abstractNumId="24" w15:restartNumberingAfterBreak="0">
    <w:nsid w:val="ED0CA8DD"/>
    <w:multiLevelType w:val="singleLevel"/>
    <w:tmpl w:val="ED0CA8DD"/>
    <w:lvl w:ilvl="0">
      <w:start w:val="1"/>
      <w:numFmt w:val="lowerLetter"/>
      <w:suff w:val="space"/>
      <w:lvlText w:val="%1)"/>
      <w:lvlJc w:val="left"/>
    </w:lvl>
  </w:abstractNum>
  <w:abstractNum w:abstractNumId="25" w15:restartNumberingAfterBreak="0">
    <w:nsid w:val="F599DE65"/>
    <w:multiLevelType w:val="singleLevel"/>
    <w:tmpl w:val="F599DE65"/>
    <w:lvl w:ilvl="0">
      <w:start w:val="1"/>
      <w:numFmt w:val="lowerLetter"/>
      <w:suff w:val="space"/>
      <w:lvlText w:val="%1)"/>
      <w:lvlJc w:val="left"/>
    </w:lvl>
  </w:abstractNum>
  <w:abstractNum w:abstractNumId="26" w15:restartNumberingAfterBreak="0">
    <w:nsid w:val="F75D4119"/>
    <w:multiLevelType w:val="singleLevel"/>
    <w:tmpl w:val="45FA168C"/>
    <w:lvl w:ilvl="0">
      <w:start w:val="7"/>
      <w:numFmt w:val="decimal"/>
      <w:lvlText w:val="%1."/>
      <w:lvlJc w:val="left"/>
      <w:rPr>
        <w:strike/>
      </w:rPr>
    </w:lvl>
  </w:abstractNum>
  <w:abstractNum w:abstractNumId="27" w15:restartNumberingAfterBreak="0">
    <w:nsid w:val="FE6B1623"/>
    <w:multiLevelType w:val="singleLevel"/>
    <w:tmpl w:val="FE6B1623"/>
    <w:lvl w:ilvl="0">
      <w:start w:val="1"/>
      <w:numFmt w:val="lowerLetter"/>
      <w:suff w:val="space"/>
      <w:lvlText w:val="%1)"/>
      <w:lvlJc w:val="left"/>
    </w:lvl>
  </w:abstractNum>
  <w:abstractNum w:abstractNumId="28" w15:restartNumberingAfterBreak="0">
    <w:nsid w:val="00000004"/>
    <w:multiLevelType w:val="multilevel"/>
    <w:tmpl w:val="00000004"/>
    <w:lvl w:ilvl="0">
      <w:start w:val="2"/>
      <w:numFmt w:val="decimal"/>
      <w:pStyle w:val="jeveux"/>
      <w:lvlText w:val="%1."/>
      <w:lvlJc w:val="left"/>
      <w:pPr>
        <w:tabs>
          <w:tab w:val="left" w:pos="794"/>
        </w:tabs>
        <w:ind w:left="720" w:hanging="692"/>
      </w:pPr>
    </w:lvl>
    <w:lvl w:ilvl="1">
      <w:start w:val="9"/>
      <w:numFmt w:val="bullet"/>
      <w:lvlText w:val="-"/>
      <w:lvlJc w:val="left"/>
      <w:pPr>
        <w:tabs>
          <w:tab w:val="left" w:pos="794"/>
        </w:tabs>
        <w:ind w:left="1440" w:hanging="1412"/>
      </w:pPr>
      <w:rPr>
        <w:rFonts w:ascii="Times New Roman" w:hAnsi="Times New Roman" w:cs="Times New Roman"/>
      </w:rPr>
    </w:lvl>
    <w:lvl w:ilvl="2">
      <w:start w:val="1"/>
      <w:numFmt w:val="lowerRoman"/>
      <w:lvlText w:val="%3."/>
      <w:lvlJc w:val="left"/>
      <w:pPr>
        <w:tabs>
          <w:tab w:val="left" w:pos="794"/>
        </w:tabs>
        <w:ind w:left="2160" w:hanging="2132"/>
      </w:pPr>
    </w:lvl>
    <w:lvl w:ilvl="3">
      <w:start w:val="1"/>
      <w:numFmt w:val="decimal"/>
      <w:lvlText w:val="%4."/>
      <w:lvlJc w:val="left"/>
      <w:pPr>
        <w:tabs>
          <w:tab w:val="left" w:pos="794"/>
        </w:tabs>
        <w:ind w:left="2880" w:hanging="2852"/>
      </w:pPr>
    </w:lvl>
    <w:lvl w:ilvl="4">
      <w:start w:val="1"/>
      <w:numFmt w:val="lowerLetter"/>
      <w:lvlText w:val="%5."/>
      <w:lvlJc w:val="left"/>
      <w:pPr>
        <w:tabs>
          <w:tab w:val="left" w:pos="794"/>
        </w:tabs>
        <w:ind w:left="3600" w:hanging="3572"/>
      </w:pPr>
    </w:lvl>
    <w:lvl w:ilvl="5">
      <w:start w:val="1"/>
      <w:numFmt w:val="lowerRoman"/>
      <w:lvlText w:val="%6."/>
      <w:lvlJc w:val="left"/>
      <w:pPr>
        <w:tabs>
          <w:tab w:val="left" w:pos="794"/>
        </w:tabs>
        <w:ind w:left="4320" w:hanging="4292"/>
      </w:pPr>
    </w:lvl>
    <w:lvl w:ilvl="6">
      <w:start w:val="1"/>
      <w:numFmt w:val="decimal"/>
      <w:lvlText w:val="%7."/>
      <w:lvlJc w:val="left"/>
      <w:pPr>
        <w:tabs>
          <w:tab w:val="left" w:pos="794"/>
        </w:tabs>
        <w:ind w:left="5040" w:hanging="5012"/>
      </w:pPr>
    </w:lvl>
    <w:lvl w:ilvl="7">
      <w:start w:val="1"/>
      <w:numFmt w:val="lowerLetter"/>
      <w:lvlText w:val="%8."/>
      <w:lvlJc w:val="left"/>
      <w:pPr>
        <w:tabs>
          <w:tab w:val="left" w:pos="794"/>
        </w:tabs>
        <w:ind w:left="5760" w:hanging="5732"/>
      </w:pPr>
    </w:lvl>
    <w:lvl w:ilvl="8">
      <w:start w:val="1"/>
      <w:numFmt w:val="lowerRoman"/>
      <w:lvlText w:val="%9."/>
      <w:lvlJc w:val="left"/>
      <w:pPr>
        <w:tabs>
          <w:tab w:val="left" w:pos="794"/>
        </w:tabs>
        <w:ind w:left="6480" w:hanging="6452"/>
      </w:pPr>
    </w:lvl>
  </w:abstractNum>
  <w:abstractNum w:abstractNumId="29" w15:restartNumberingAfterBreak="0">
    <w:nsid w:val="01915822"/>
    <w:multiLevelType w:val="multilevel"/>
    <w:tmpl w:val="01915822"/>
    <w:lvl w:ilvl="0">
      <w:start w:val="1"/>
      <w:numFmt w:val="bullet"/>
      <w:lvlText w:val="-"/>
      <w:lvlJc w:val="left"/>
      <w:pPr>
        <w:ind w:left="1080" w:hanging="360"/>
      </w:pPr>
      <w:rPr>
        <w:rFonts w:ascii="Calibri" w:eastAsiaTheme="minorHAnsi" w:hAnsi="Calibri"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0385135A"/>
    <w:multiLevelType w:val="singleLevel"/>
    <w:tmpl w:val="0385135A"/>
    <w:lvl w:ilvl="0">
      <w:start w:val="1"/>
      <w:numFmt w:val="lowerLetter"/>
      <w:suff w:val="space"/>
      <w:lvlText w:val="%1)"/>
      <w:lvlJc w:val="left"/>
    </w:lvl>
  </w:abstractNum>
  <w:abstractNum w:abstractNumId="31" w15:restartNumberingAfterBreak="0">
    <w:nsid w:val="07033CAF"/>
    <w:multiLevelType w:val="hybridMultilevel"/>
    <w:tmpl w:val="69B01AB0"/>
    <w:lvl w:ilvl="0" w:tplc="181A217A">
      <w:start w:val="1"/>
      <w:numFmt w:val="decimal"/>
      <w:lvlText w:val="%1."/>
      <w:lvlJc w:val="left"/>
      <w:pPr>
        <w:ind w:left="710" w:hanging="567"/>
        <w:jc w:val="right"/>
      </w:pPr>
      <w:rPr>
        <w:rFonts w:ascii="Arial" w:eastAsia="Arial" w:hAnsi="Arial" w:cs="Arial" w:hint="default"/>
        <w:b w:val="0"/>
        <w:bCs w:val="0"/>
        <w:i/>
        <w:iCs/>
        <w:spacing w:val="-1"/>
        <w:w w:val="100"/>
        <w:sz w:val="22"/>
        <w:szCs w:val="22"/>
        <w:lang w:val="en-US" w:eastAsia="en-US" w:bidi="ar-SA"/>
      </w:rPr>
    </w:lvl>
    <w:lvl w:ilvl="1" w:tplc="9EF80A14">
      <w:start w:val="1"/>
      <w:numFmt w:val="lowerLetter"/>
      <w:lvlText w:val="%2)"/>
      <w:lvlJc w:val="left"/>
      <w:pPr>
        <w:ind w:left="425" w:hanging="425"/>
      </w:pPr>
      <w:rPr>
        <w:rFonts w:hint="default"/>
        <w:spacing w:val="-1"/>
        <w:w w:val="100"/>
        <w:lang w:val="en-US" w:eastAsia="en-US" w:bidi="ar-SA"/>
      </w:rPr>
    </w:lvl>
    <w:lvl w:ilvl="2" w:tplc="1548D4C8">
      <w:start w:val="1"/>
      <w:numFmt w:val="lowerLetter"/>
      <w:lvlText w:val="%3)"/>
      <w:lvlJc w:val="left"/>
      <w:pPr>
        <w:ind w:left="2693" w:hanging="425"/>
      </w:pPr>
      <w:rPr>
        <w:rFonts w:hint="default"/>
        <w:spacing w:val="-1"/>
        <w:w w:val="99"/>
        <w:lang w:val="en-US" w:eastAsia="en-US" w:bidi="ar-SA"/>
      </w:rPr>
    </w:lvl>
    <w:lvl w:ilvl="3" w:tplc="B478EC70">
      <w:start w:val="27"/>
      <w:numFmt w:val="lowerLetter"/>
      <w:lvlText w:val="%4)"/>
      <w:lvlJc w:val="left"/>
      <w:pPr>
        <w:ind w:left="2554" w:hanging="425"/>
      </w:pPr>
      <w:rPr>
        <w:rFonts w:hint="default"/>
        <w:spacing w:val="-1"/>
        <w:w w:val="99"/>
        <w:lang w:val="en-US" w:eastAsia="en-US" w:bidi="ar-SA"/>
      </w:rPr>
    </w:lvl>
    <w:lvl w:ilvl="4" w:tplc="2AE4C884">
      <w:numFmt w:val="bullet"/>
      <w:lvlText w:val="•"/>
      <w:lvlJc w:val="left"/>
      <w:pPr>
        <w:ind w:left="2120" w:hanging="425"/>
      </w:pPr>
      <w:rPr>
        <w:rFonts w:hint="default"/>
        <w:lang w:val="en-US" w:eastAsia="en-US" w:bidi="ar-SA"/>
      </w:rPr>
    </w:lvl>
    <w:lvl w:ilvl="5" w:tplc="294CB058">
      <w:numFmt w:val="bullet"/>
      <w:lvlText w:val="•"/>
      <w:lvlJc w:val="left"/>
      <w:pPr>
        <w:ind w:left="2560" w:hanging="425"/>
      </w:pPr>
      <w:rPr>
        <w:rFonts w:hint="default"/>
        <w:lang w:val="en-US" w:eastAsia="en-US" w:bidi="ar-SA"/>
      </w:rPr>
    </w:lvl>
    <w:lvl w:ilvl="6" w:tplc="99446398">
      <w:numFmt w:val="bullet"/>
      <w:lvlText w:val="•"/>
      <w:lvlJc w:val="left"/>
      <w:pPr>
        <w:ind w:left="2700" w:hanging="425"/>
      </w:pPr>
      <w:rPr>
        <w:rFonts w:hint="default"/>
        <w:lang w:val="en-US" w:eastAsia="en-US" w:bidi="ar-SA"/>
      </w:rPr>
    </w:lvl>
    <w:lvl w:ilvl="7" w:tplc="4A089E64">
      <w:numFmt w:val="bullet"/>
      <w:lvlText w:val="•"/>
      <w:lvlJc w:val="left"/>
      <w:pPr>
        <w:ind w:left="4364" w:hanging="425"/>
      </w:pPr>
      <w:rPr>
        <w:rFonts w:hint="default"/>
        <w:lang w:val="en-US" w:eastAsia="en-US" w:bidi="ar-SA"/>
      </w:rPr>
    </w:lvl>
    <w:lvl w:ilvl="8" w:tplc="CF78A41C">
      <w:numFmt w:val="bullet"/>
      <w:lvlText w:val="•"/>
      <w:lvlJc w:val="left"/>
      <w:pPr>
        <w:ind w:left="6028" w:hanging="425"/>
      </w:pPr>
      <w:rPr>
        <w:rFonts w:hint="default"/>
        <w:lang w:val="en-US" w:eastAsia="en-US" w:bidi="ar-SA"/>
      </w:rPr>
    </w:lvl>
  </w:abstractNum>
  <w:abstractNum w:abstractNumId="32" w15:restartNumberingAfterBreak="0">
    <w:nsid w:val="0EB85C2E"/>
    <w:multiLevelType w:val="multilevel"/>
    <w:tmpl w:val="0EB85C2E"/>
    <w:lvl w:ilvl="0">
      <w:start w:val="1"/>
      <w:numFmt w:val="decimal"/>
      <w:lvlText w:val="%1."/>
      <w:lvlJc w:val="left"/>
      <w:pPr>
        <w:ind w:left="566"/>
      </w:pPr>
      <w:rPr>
        <w:rFonts w:ascii="Arial" w:eastAsia="Arial" w:hAnsi="Arial" w:cs="Arial"/>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976"/>
      </w:pPr>
      <w:rPr>
        <w:rFonts w:ascii="Arial" w:eastAsia="Arial" w:hAnsi="Arial" w:cs="Arial"/>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33" w15:restartNumberingAfterBreak="0">
    <w:nsid w:val="0FE2C612"/>
    <w:multiLevelType w:val="singleLevel"/>
    <w:tmpl w:val="0FE2C612"/>
    <w:lvl w:ilvl="0">
      <w:start w:val="1"/>
      <w:numFmt w:val="lowerLetter"/>
      <w:suff w:val="space"/>
      <w:lvlText w:val="%1)"/>
      <w:lvlJc w:val="left"/>
    </w:lvl>
  </w:abstractNum>
  <w:abstractNum w:abstractNumId="34" w15:restartNumberingAfterBreak="0">
    <w:nsid w:val="1AB25AA5"/>
    <w:multiLevelType w:val="singleLevel"/>
    <w:tmpl w:val="1AB25AA5"/>
    <w:lvl w:ilvl="0">
      <w:start w:val="1"/>
      <w:numFmt w:val="lowerLetter"/>
      <w:suff w:val="space"/>
      <w:lvlText w:val="%1)"/>
      <w:lvlJc w:val="left"/>
    </w:lvl>
  </w:abstractNum>
  <w:abstractNum w:abstractNumId="35" w15:restartNumberingAfterBreak="0">
    <w:nsid w:val="23633AA5"/>
    <w:multiLevelType w:val="singleLevel"/>
    <w:tmpl w:val="23633AA5"/>
    <w:lvl w:ilvl="0">
      <w:start w:val="1"/>
      <w:numFmt w:val="bullet"/>
      <w:pStyle w:val="Bullet2"/>
      <w:lvlText w:val=""/>
      <w:lvlJc w:val="left"/>
      <w:pPr>
        <w:tabs>
          <w:tab w:val="left" w:pos="1984"/>
        </w:tabs>
        <w:ind w:left="1984" w:hanging="567"/>
      </w:pPr>
      <w:rPr>
        <w:rFonts w:ascii="Symbol" w:hAnsi="Symbol" w:hint="default"/>
      </w:rPr>
    </w:lvl>
  </w:abstractNum>
  <w:abstractNum w:abstractNumId="36" w15:restartNumberingAfterBreak="0">
    <w:nsid w:val="36B9905F"/>
    <w:multiLevelType w:val="singleLevel"/>
    <w:tmpl w:val="36B9905F"/>
    <w:lvl w:ilvl="0">
      <w:start w:val="1"/>
      <w:numFmt w:val="lowerLetter"/>
      <w:suff w:val="space"/>
      <w:lvlText w:val="%1)"/>
      <w:lvlJc w:val="left"/>
    </w:lvl>
  </w:abstractNum>
  <w:abstractNum w:abstractNumId="37" w15:restartNumberingAfterBreak="0">
    <w:nsid w:val="3F8043E9"/>
    <w:multiLevelType w:val="multilevel"/>
    <w:tmpl w:val="3F8043E9"/>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321140B"/>
    <w:multiLevelType w:val="singleLevel"/>
    <w:tmpl w:val="4321140B"/>
    <w:lvl w:ilvl="0">
      <w:start w:val="1"/>
      <w:numFmt w:val="decimal"/>
      <w:pStyle w:val="Considrant"/>
      <w:lvlText w:val="(%1)"/>
      <w:lvlJc w:val="left"/>
      <w:pPr>
        <w:tabs>
          <w:tab w:val="left" w:pos="709"/>
        </w:tabs>
        <w:ind w:left="709" w:hanging="709"/>
      </w:pPr>
    </w:lvl>
  </w:abstractNum>
  <w:abstractNum w:abstractNumId="39" w15:restartNumberingAfterBreak="0">
    <w:nsid w:val="4741461B"/>
    <w:multiLevelType w:val="multilevel"/>
    <w:tmpl w:val="E01EA090"/>
    <w:lvl w:ilvl="0">
      <w:start w:val="3"/>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6"/>
      <w:numFmt w:val="decimal"/>
      <w:isLgl/>
      <w:lvlText w:val="%1.%2.%3"/>
      <w:lvlJc w:val="left"/>
      <w:pPr>
        <w:ind w:left="1080" w:hanging="720"/>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4C9233C1"/>
    <w:multiLevelType w:val="multilevel"/>
    <w:tmpl w:val="A2E4B6F6"/>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CAC809D"/>
    <w:multiLevelType w:val="singleLevel"/>
    <w:tmpl w:val="4CAC809D"/>
    <w:lvl w:ilvl="0">
      <w:start w:val="1"/>
      <w:numFmt w:val="lowerLetter"/>
      <w:suff w:val="space"/>
      <w:lvlText w:val="%1)"/>
      <w:lvlJc w:val="left"/>
    </w:lvl>
  </w:abstractNum>
  <w:abstractNum w:abstractNumId="42" w15:restartNumberingAfterBreak="0">
    <w:nsid w:val="504F50E5"/>
    <w:multiLevelType w:val="singleLevel"/>
    <w:tmpl w:val="504F50E5"/>
    <w:lvl w:ilvl="0">
      <w:start w:val="1"/>
      <w:numFmt w:val="lowerLetter"/>
      <w:suff w:val="space"/>
      <w:lvlText w:val="%1)"/>
      <w:lvlJc w:val="left"/>
    </w:lvl>
  </w:abstractNum>
  <w:abstractNum w:abstractNumId="43" w15:restartNumberingAfterBreak="0">
    <w:nsid w:val="53564CCD"/>
    <w:multiLevelType w:val="multilevel"/>
    <w:tmpl w:val="53564CCD"/>
    <w:lvl w:ilvl="0">
      <w:start w:val="1"/>
      <w:numFmt w:val="decimal"/>
      <w:pStyle w:val="NumPar1"/>
      <w:lvlText w:val="%1."/>
      <w:lvlJc w:val="left"/>
      <w:pPr>
        <w:tabs>
          <w:tab w:val="left" w:pos="850"/>
        </w:tabs>
        <w:ind w:left="850" w:hanging="850"/>
      </w:pPr>
    </w:lvl>
    <w:lvl w:ilvl="1">
      <w:start w:val="1"/>
      <w:numFmt w:val="decimal"/>
      <w:pStyle w:val="NumPar2"/>
      <w:lvlText w:val="%1.%2."/>
      <w:lvlJc w:val="left"/>
      <w:pPr>
        <w:tabs>
          <w:tab w:val="left" w:pos="850"/>
        </w:tabs>
        <w:ind w:left="850" w:hanging="850"/>
      </w:pPr>
    </w:lvl>
    <w:lvl w:ilvl="2">
      <w:start w:val="1"/>
      <w:numFmt w:val="decimal"/>
      <w:pStyle w:val="NumPar3"/>
      <w:lvlText w:val="%1.%2.%3."/>
      <w:lvlJc w:val="left"/>
      <w:pPr>
        <w:tabs>
          <w:tab w:val="left" w:pos="850"/>
        </w:tabs>
        <w:ind w:left="850" w:hanging="850"/>
      </w:pPr>
    </w:lvl>
    <w:lvl w:ilvl="3">
      <w:start w:val="1"/>
      <w:numFmt w:val="decimal"/>
      <w:pStyle w:val="NumPar4"/>
      <w:lvlText w:val="%1.%2.%3.%4."/>
      <w:lvlJc w:val="left"/>
      <w:pPr>
        <w:tabs>
          <w:tab w:val="left" w:pos="850"/>
        </w:tabs>
        <w:ind w:left="850" w:hanging="85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44" w15:restartNumberingAfterBreak="0">
    <w:nsid w:val="561E0CB9"/>
    <w:multiLevelType w:val="multilevel"/>
    <w:tmpl w:val="561E0CB9"/>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A955F1D"/>
    <w:multiLevelType w:val="multilevel"/>
    <w:tmpl w:val="5A955F1D"/>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BB3924"/>
    <w:multiLevelType w:val="multilevel"/>
    <w:tmpl w:val="5CBB3924"/>
    <w:lvl w:ilvl="0">
      <w:start w:val="1"/>
      <w:numFmt w:val="decimal"/>
      <w:lvlText w:val="%1."/>
      <w:lvlJc w:val="left"/>
      <w:pPr>
        <w:tabs>
          <w:tab w:val="left" w:pos="850"/>
        </w:tabs>
        <w:ind w:left="850" w:hanging="850"/>
      </w:pPr>
    </w:lvl>
    <w:lvl w:ilvl="1">
      <w:start w:val="1"/>
      <w:numFmt w:val="decimal"/>
      <w:pStyle w:val="Heading2"/>
      <w:lvlText w:val="%1.%2."/>
      <w:lvlJc w:val="left"/>
      <w:pPr>
        <w:tabs>
          <w:tab w:val="left" w:pos="850"/>
        </w:tabs>
        <w:ind w:left="850" w:hanging="850"/>
      </w:pPr>
    </w:lvl>
    <w:lvl w:ilvl="2">
      <w:start w:val="1"/>
      <w:numFmt w:val="decimal"/>
      <w:lvlText w:val="%1.%2.%3."/>
      <w:lvlJc w:val="left"/>
      <w:pPr>
        <w:tabs>
          <w:tab w:val="left" w:pos="850"/>
        </w:tabs>
        <w:ind w:left="850" w:hanging="850"/>
      </w:pPr>
    </w:lvl>
    <w:lvl w:ilvl="3">
      <w:start w:val="1"/>
      <w:numFmt w:val="decimal"/>
      <w:pStyle w:val="Heading4"/>
      <w:lvlText w:val="%1.%2.%3.%4."/>
      <w:lvlJc w:val="left"/>
      <w:pPr>
        <w:tabs>
          <w:tab w:val="left" w:pos="850"/>
        </w:tabs>
        <w:ind w:left="850" w:hanging="85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47" w15:restartNumberingAfterBreak="0">
    <w:nsid w:val="5E409218"/>
    <w:multiLevelType w:val="singleLevel"/>
    <w:tmpl w:val="5E409218"/>
    <w:lvl w:ilvl="0">
      <w:start w:val="1"/>
      <w:numFmt w:val="decimal"/>
      <w:suff w:val="space"/>
      <w:lvlText w:val="%1."/>
      <w:lvlJc w:val="left"/>
    </w:lvl>
  </w:abstractNum>
  <w:abstractNum w:abstractNumId="48" w15:restartNumberingAfterBreak="0">
    <w:nsid w:val="5F1B4B37"/>
    <w:multiLevelType w:val="multilevel"/>
    <w:tmpl w:val="3BE65EA8"/>
    <w:lvl w:ilvl="0">
      <w:start w:val="1"/>
      <w:numFmt w:val="decimal"/>
      <w:lvlText w:val="%1)"/>
      <w:lvlJc w:val="left"/>
      <w:pPr>
        <w:ind w:left="720" w:hanging="360"/>
      </w:pPr>
      <w:rPr>
        <w:rFonts w:hint="default"/>
        <w:sz w:val="16"/>
        <w:szCs w:val="16"/>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8311CA1"/>
    <w:multiLevelType w:val="singleLevel"/>
    <w:tmpl w:val="68311CA1"/>
    <w:lvl w:ilvl="0">
      <w:start w:val="1"/>
      <w:numFmt w:val="decimal"/>
      <w:lvlText w:val="%1."/>
      <w:lvlJc w:val="left"/>
    </w:lvl>
  </w:abstractNum>
  <w:abstractNum w:abstractNumId="50" w15:restartNumberingAfterBreak="0">
    <w:nsid w:val="6FFF5257"/>
    <w:multiLevelType w:val="singleLevel"/>
    <w:tmpl w:val="6FFF5257"/>
    <w:lvl w:ilvl="0">
      <w:start w:val="1"/>
      <w:numFmt w:val="bullet"/>
      <w:pStyle w:val="Bullet0"/>
      <w:lvlText w:val=""/>
      <w:lvlJc w:val="left"/>
      <w:pPr>
        <w:tabs>
          <w:tab w:val="left" w:pos="850"/>
        </w:tabs>
        <w:ind w:left="850" w:hanging="850"/>
      </w:pPr>
      <w:rPr>
        <w:rFonts w:ascii="Symbol" w:hAnsi="Symbol" w:hint="default"/>
      </w:rPr>
    </w:lvl>
  </w:abstractNum>
  <w:abstractNum w:abstractNumId="51" w15:restartNumberingAfterBreak="0">
    <w:nsid w:val="713C5FAF"/>
    <w:multiLevelType w:val="multilevel"/>
    <w:tmpl w:val="3048BD24"/>
    <w:lvl w:ilvl="0">
      <w:start w:val="1"/>
      <w:numFmt w:val="lowerLetter"/>
      <w:lvlText w:val="%1)"/>
      <w:lvlJc w:val="left"/>
      <w:pPr>
        <w:ind w:left="837"/>
      </w:pPr>
      <w:rPr>
        <w:rFonts w:ascii="Arial" w:eastAsia="Arial" w:hAnsi="Arial" w:cs="Arial"/>
        <w:b w:val="0"/>
        <w:i/>
        <w:iCs/>
        <w:strike w:val="0"/>
        <w:dstrike w:val="0"/>
        <w:color w:val="000000"/>
        <w:sz w:val="22"/>
        <w:szCs w:val="22"/>
        <w:u w:val="none" w:color="000000"/>
        <w:shd w:val="clear" w:color="auto" w:fill="auto"/>
        <w:vertAlign w:val="baseline"/>
      </w:rPr>
    </w:lvl>
    <w:lvl w:ilvl="1">
      <w:start w:val="3"/>
      <w:numFmt w:val="decimal"/>
      <w:lvlText w:val="%2."/>
      <w:lvlJc w:val="left"/>
      <w:pPr>
        <w:ind w:left="1277"/>
      </w:pPr>
      <w:rPr>
        <w:rFonts w:ascii="Times New Roman" w:eastAsia="Arial" w:hAnsi="Times New Roman" w:cs="Times New Roman" w:hint="default"/>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932"/>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652"/>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372"/>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4092"/>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812"/>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532"/>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6252"/>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52" w15:restartNumberingAfterBreak="0">
    <w:nsid w:val="76646F37"/>
    <w:multiLevelType w:val="singleLevel"/>
    <w:tmpl w:val="2D045A62"/>
    <w:lvl w:ilvl="0">
      <w:start w:val="1"/>
      <w:numFmt w:val="lowerLetter"/>
      <w:suff w:val="space"/>
      <w:lvlText w:val="%1)"/>
      <w:lvlJc w:val="left"/>
      <w:rPr>
        <w:strike w:val="0"/>
      </w:rPr>
    </w:lvl>
  </w:abstractNum>
  <w:abstractNum w:abstractNumId="53" w15:restartNumberingAfterBreak="0">
    <w:nsid w:val="784B2BA1"/>
    <w:multiLevelType w:val="singleLevel"/>
    <w:tmpl w:val="784B2BA1"/>
    <w:lvl w:ilvl="0">
      <w:start w:val="1"/>
      <w:numFmt w:val="lowerLetter"/>
      <w:pStyle w:val="Bullet1"/>
      <w:lvlText w:val="%1)"/>
      <w:lvlJc w:val="left"/>
      <w:pPr>
        <w:tabs>
          <w:tab w:val="left" w:pos="1417"/>
        </w:tabs>
        <w:ind w:left="1417" w:hanging="567"/>
      </w:pPr>
      <w:rPr>
        <w:rFonts w:ascii="Times New Roman" w:eastAsia="Times New Roman" w:hAnsi="Times New Roman" w:cs="Times New Roman"/>
      </w:rPr>
    </w:lvl>
  </w:abstractNum>
  <w:abstractNum w:abstractNumId="54" w15:restartNumberingAfterBreak="0">
    <w:nsid w:val="79B322D9"/>
    <w:multiLevelType w:val="hybridMultilevel"/>
    <w:tmpl w:val="443287B4"/>
    <w:lvl w:ilvl="0" w:tplc="5656B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C96C790"/>
    <w:multiLevelType w:val="singleLevel"/>
    <w:tmpl w:val="7C96C790"/>
    <w:lvl w:ilvl="0">
      <w:start w:val="1"/>
      <w:numFmt w:val="lowerLetter"/>
      <w:suff w:val="space"/>
      <w:lvlText w:val="%1)"/>
      <w:lvlJc w:val="left"/>
    </w:lvl>
  </w:abstractNum>
  <w:abstractNum w:abstractNumId="56" w15:restartNumberingAfterBreak="0">
    <w:nsid w:val="7EF1A25E"/>
    <w:multiLevelType w:val="singleLevel"/>
    <w:tmpl w:val="7EF1A25E"/>
    <w:lvl w:ilvl="0">
      <w:start w:val="1"/>
      <w:numFmt w:val="lowerLetter"/>
      <w:suff w:val="space"/>
      <w:lvlText w:val="%1)"/>
      <w:lvlJc w:val="left"/>
    </w:lvl>
  </w:abstractNum>
  <w:abstractNum w:abstractNumId="57" w15:restartNumberingAfterBreak="0">
    <w:nsid w:val="7F7AF1EB"/>
    <w:multiLevelType w:val="singleLevel"/>
    <w:tmpl w:val="7F7AF1EB"/>
    <w:lvl w:ilvl="0">
      <w:start w:val="1"/>
      <w:numFmt w:val="lowerLetter"/>
      <w:suff w:val="space"/>
      <w:lvlText w:val="%1)"/>
      <w:lvlJc w:val="left"/>
    </w:lvl>
  </w:abstractNum>
  <w:num w:numId="1">
    <w:abstractNumId w:val="46"/>
  </w:num>
  <w:num w:numId="2">
    <w:abstractNumId w:val="43"/>
  </w:num>
  <w:num w:numId="3">
    <w:abstractNumId w:val="38"/>
  </w:num>
  <w:num w:numId="4">
    <w:abstractNumId w:val="50"/>
  </w:num>
  <w:num w:numId="5">
    <w:abstractNumId w:val="53"/>
  </w:num>
  <w:num w:numId="6">
    <w:abstractNumId w:val="35"/>
  </w:num>
  <w:num w:numId="7">
    <w:abstractNumId w:val="28"/>
  </w:num>
  <w:num w:numId="8">
    <w:abstractNumId w:val="40"/>
  </w:num>
  <w:num w:numId="9">
    <w:abstractNumId w:val="10"/>
  </w:num>
  <w:num w:numId="10">
    <w:abstractNumId w:val="45"/>
  </w:num>
  <w:num w:numId="11">
    <w:abstractNumId w:val="32"/>
  </w:num>
  <w:num w:numId="12">
    <w:abstractNumId w:val="37"/>
  </w:num>
  <w:num w:numId="13">
    <w:abstractNumId w:val="22"/>
  </w:num>
  <w:num w:numId="14">
    <w:abstractNumId w:val="49"/>
  </w:num>
  <w:num w:numId="15">
    <w:abstractNumId w:val="14"/>
  </w:num>
  <w:num w:numId="16">
    <w:abstractNumId w:val="24"/>
  </w:num>
  <w:num w:numId="17">
    <w:abstractNumId w:val="26"/>
  </w:num>
  <w:num w:numId="18">
    <w:abstractNumId w:val="52"/>
  </w:num>
  <w:num w:numId="19">
    <w:abstractNumId w:val="51"/>
  </w:num>
  <w:num w:numId="20">
    <w:abstractNumId w:val="42"/>
  </w:num>
  <w:num w:numId="21">
    <w:abstractNumId w:val="47"/>
  </w:num>
  <w:num w:numId="22">
    <w:abstractNumId w:val="57"/>
  </w:num>
  <w:num w:numId="23">
    <w:abstractNumId w:val="4"/>
  </w:num>
  <w:num w:numId="24">
    <w:abstractNumId w:val="48"/>
  </w:num>
  <w:num w:numId="25">
    <w:abstractNumId w:val="36"/>
  </w:num>
  <w:num w:numId="26">
    <w:abstractNumId w:val="7"/>
  </w:num>
  <w:num w:numId="27">
    <w:abstractNumId w:val="12"/>
  </w:num>
  <w:num w:numId="28">
    <w:abstractNumId w:val="19"/>
  </w:num>
  <w:num w:numId="29">
    <w:abstractNumId w:val="17"/>
  </w:num>
  <w:num w:numId="30">
    <w:abstractNumId w:val="2"/>
  </w:num>
  <w:num w:numId="31">
    <w:abstractNumId w:val="6"/>
  </w:num>
  <w:num w:numId="32">
    <w:abstractNumId w:val="56"/>
  </w:num>
  <w:num w:numId="33">
    <w:abstractNumId w:val="8"/>
  </w:num>
  <w:num w:numId="34">
    <w:abstractNumId w:val="27"/>
  </w:num>
  <w:num w:numId="35">
    <w:abstractNumId w:val="21"/>
  </w:num>
  <w:num w:numId="36">
    <w:abstractNumId w:val="55"/>
  </w:num>
  <w:num w:numId="37">
    <w:abstractNumId w:val="3"/>
  </w:num>
  <w:num w:numId="38">
    <w:abstractNumId w:val="18"/>
  </w:num>
  <w:num w:numId="39">
    <w:abstractNumId w:val="25"/>
  </w:num>
  <w:num w:numId="40">
    <w:abstractNumId w:val="4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1"/>
  </w:num>
  <w:num w:numId="43">
    <w:abstractNumId w:val="34"/>
  </w:num>
  <w:num w:numId="44">
    <w:abstractNumId w:val="0"/>
  </w:num>
  <w:num w:numId="45">
    <w:abstractNumId w:val="33"/>
  </w:num>
  <w:num w:numId="46">
    <w:abstractNumId w:val="41"/>
  </w:num>
  <w:num w:numId="47">
    <w:abstractNumId w:val="23"/>
  </w:num>
  <w:num w:numId="48">
    <w:abstractNumId w:val="30"/>
  </w:num>
  <w:num w:numId="49">
    <w:abstractNumId w:val="5"/>
  </w:num>
  <w:num w:numId="50">
    <w:abstractNumId w:val="15"/>
  </w:num>
  <w:num w:numId="51">
    <w:abstractNumId w:val="13"/>
  </w:num>
  <w:num w:numId="52">
    <w:abstractNumId w:val="9"/>
  </w:num>
  <w:num w:numId="53">
    <w:abstractNumId w:val="11"/>
  </w:num>
  <w:num w:numId="54">
    <w:abstractNumId w:val="20"/>
  </w:num>
  <w:num w:numId="55">
    <w:abstractNumId w:val="29"/>
  </w:num>
  <w:num w:numId="56">
    <w:abstractNumId w:val="39"/>
  </w:num>
  <w:num w:numId="57">
    <w:abstractNumId w:val="31"/>
  </w:num>
  <w:num w:numId="58">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hideSpellingErrors/>
  <w:hideGrammaticalError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linkStyles/>
  <w:doNotTrackFormatting/>
  <w:defaultTabStop w:val="1134"/>
  <w:hyphenationZone w:val="425"/>
  <w:drawingGridHorizontalSpacing w:val="110"/>
  <w:drawingGridVerticalSpacing w:val="120"/>
  <w:displayHorizontalDrawingGridEvery w:val="0"/>
  <w:displayVerticalDrawingGridEvery w:val="3"/>
  <w:characterSpacingControl w:val="compressPunctuation"/>
  <w:doNotValidateAgainstSchema/>
  <w:doNotDemarcateInvalidXml/>
  <w:hdrShapeDefaults>
    <o:shapedefaults v:ext="edit" spidmax="2049" fillcolor="white">
      <v:fill color="white"/>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612D96"/>
    <w:rsid w:val="00000260"/>
    <w:rsid w:val="000002F7"/>
    <w:rsid w:val="000003D4"/>
    <w:rsid w:val="000007C0"/>
    <w:rsid w:val="000009AC"/>
    <w:rsid w:val="00000D4E"/>
    <w:rsid w:val="00001079"/>
    <w:rsid w:val="00001575"/>
    <w:rsid w:val="00001650"/>
    <w:rsid w:val="000018DA"/>
    <w:rsid w:val="00001AB0"/>
    <w:rsid w:val="00001BBA"/>
    <w:rsid w:val="00002217"/>
    <w:rsid w:val="00002AA9"/>
    <w:rsid w:val="00002AFC"/>
    <w:rsid w:val="00002CF3"/>
    <w:rsid w:val="000034B9"/>
    <w:rsid w:val="000035FA"/>
    <w:rsid w:val="00003903"/>
    <w:rsid w:val="0000408E"/>
    <w:rsid w:val="00004466"/>
    <w:rsid w:val="00004956"/>
    <w:rsid w:val="00005277"/>
    <w:rsid w:val="00005B92"/>
    <w:rsid w:val="00005D43"/>
    <w:rsid w:val="00005F95"/>
    <w:rsid w:val="0000606D"/>
    <w:rsid w:val="00006207"/>
    <w:rsid w:val="00006238"/>
    <w:rsid w:val="0000718A"/>
    <w:rsid w:val="00007395"/>
    <w:rsid w:val="0000781E"/>
    <w:rsid w:val="0000789A"/>
    <w:rsid w:val="00007B20"/>
    <w:rsid w:val="00007BBA"/>
    <w:rsid w:val="00007C93"/>
    <w:rsid w:val="00007D56"/>
    <w:rsid w:val="00007E62"/>
    <w:rsid w:val="000108AB"/>
    <w:rsid w:val="000109BE"/>
    <w:rsid w:val="000114C5"/>
    <w:rsid w:val="00011BF2"/>
    <w:rsid w:val="00011BFF"/>
    <w:rsid w:val="00011E41"/>
    <w:rsid w:val="00012265"/>
    <w:rsid w:val="0001281B"/>
    <w:rsid w:val="00013286"/>
    <w:rsid w:val="000132BF"/>
    <w:rsid w:val="000138C9"/>
    <w:rsid w:val="000139E9"/>
    <w:rsid w:val="00013D95"/>
    <w:rsid w:val="00014120"/>
    <w:rsid w:val="00014667"/>
    <w:rsid w:val="000147E1"/>
    <w:rsid w:val="00014931"/>
    <w:rsid w:val="00014937"/>
    <w:rsid w:val="00014F9F"/>
    <w:rsid w:val="00014FF4"/>
    <w:rsid w:val="000153B3"/>
    <w:rsid w:val="00015737"/>
    <w:rsid w:val="00015B26"/>
    <w:rsid w:val="000160EB"/>
    <w:rsid w:val="0001642C"/>
    <w:rsid w:val="00016542"/>
    <w:rsid w:val="000167A1"/>
    <w:rsid w:val="00016B72"/>
    <w:rsid w:val="00016C4E"/>
    <w:rsid w:val="00017098"/>
    <w:rsid w:val="00017367"/>
    <w:rsid w:val="000175CB"/>
    <w:rsid w:val="00017B11"/>
    <w:rsid w:val="00017C69"/>
    <w:rsid w:val="000201B6"/>
    <w:rsid w:val="00020214"/>
    <w:rsid w:val="00020374"/>
    <w:rsid w:val="0002037E"/>
    <w:rsid w:val="000204C0"/>
    <w:rsid w:val="00020D02"/>
    <w:rsid w:val="00021A02"/>
    <w:rsid w:val="00021AF7"/>
    <w:rsid w:val="0002209F"/>
    <w:rsid w:val="000222E9"/>
    <w:rsid w:val="000225FB"/>
    <w:rsid w:val="0002265E"/>
    <w:rsid w:val="000228A4"/>
    <w:rsid w:val="00022DFD"/>
    <w:rsid w:val="00023352"/>
    <w:rsid w:val="0002366B"/>
    <w:rsid w:val="000236CB"/>
    <w:rsid w:val="00023A8D"/>
    <w:rsid w:val="00023B0F"/>
    <w:rsid w:val="00023EDC"/>
    <w:rsid w:val="0002422A"/>
    <w:rsid w:val="00024A20"/>
    <w:rsid w:val="000253FC"/>
    <w:rsid w:val="00025431"/>
    <w:rsid w:val="00025AFD"/>
    <w:rsid w:val="00025B66"/>
    <w:rsid w:val="00025B72"/>
    <w:rsid w:val="00025E87"/>
    <w:rsid w:val="00026533"/>
    <w:rsid w:val="000265D0"/>
    <w:rsid w:val="000268FF"/>
    <w:rsid w:val="00026CD8"/>
    <w:rsid w:val="00026CE6"/>
    <w:rsid w:val="000278AA"/>
    <w:rsid w:val="0002796A"/>
    <w:rsid w:val="00027F29"/>
    <w:rsid w:val="00030B2A"/>
    <w:rsid w:val="00030E23"/>
    <w:rsid w:val="00031119"/>
    <w:rsid w:val="0003131B"/>
    <w:rsid w:val="00031569"/>
    <w:rsid w:val="00031748"/>
    <w:rsid w:val="00031887"/>
    <w:rsid w:val="00031A8D"/>
    <w:rsid w:val="00031C2B"/>
    <w:rsid w:val="00031D6D"/>
    <w:rsid w:val="00031F0B"/>
    <w:rsid w:val="000323C7"/>
    <w:rsid w:val="000323F4"/>
    <w:rsid w:val="000328F5"/>
    <w:rsid w:val="00033011"/>
    <w:rsid w:val="000336BE"/>
    <w:rsid w:val="00033AF3"/>
    <w:rsid w:val="00033E18"/>
    <w:rsid w:val="00033E56"/>
    <w:rsid w:val="00033E6B"/>
    <w:rsid w:val="00034331"/>
    <w:rsid w:val="00034478"/>
    <w:rsid w:val="0003487A"/>
    <w:rsid w:val="00034977"/>
    <w:rsid w:val="00034A65"/>
    <w:rsid w:val="00034CAA"/>
    <w:rsid w:val="00034E32"/>
    <w:rsid w:val="00034E5B"/>
    <w:rsid w:val="0003545E"/>
    <w:rsid w:val="00035837"/>
    <w:rsid w:val="0003592A"/>
    <w:rsid w:val="00035983"/>
    <w:rsid w:val="00035B4B"/>
    <w:rsid w:val="00035D8C"/>
    <w:rsid w:val="00035FE4"/>
    <w:rsid w:val="0003603B"/>
    <w:rsid w:val="0003655F"/>
    <w:rsid w:val="0003658F"/>
    <w:rsid w:val="00036F2E"/>
    <w:rsid w:val="000375F6"/>
    <w:rsid w:val="000376F8"/>
    <w:rsid w:val="0003785F"/>
    <w:rsid w:val="00037AB6"/>
    <w:rsid w:val="00037EA5"/>
    <w:rsid w:val="000403EC"/>
    <w:rsid w:val="000403F6"/>
    <w:rsid w:val="00040459"/>
    <w:rsid w:val="0004073D"/>
    <w:rsid w:val="00040746"/>
    <w:rsid w:val="00040A4E"/>
    <w:rsid w:val="000411B2"/>
    <w:rsid w:val="000418C9"/>
    <w:rsid w:val="00041B05"/>
    <w:rsid w:val="00041D29"/>
    <w:rsid w:val="00041F91"/>
    <w:rsid w:val="0004265C"/>
    <w:rsid w:val="00042BDB"/>
    <w:rsid w:val="00042F55"/>
    <w:rsid w:val="00042F5E"/>
    <w:rsid w:val="000430A6"/>
    <w:rsid w:val="00043377"/>
    <w:rsid w:val="0004360C"/>
    <w:rsid w:val="00043F9F"/>
    <w:rsid w:val="00044929"/>
    <w:rsid w:val="00044986"/>
    <w:rsid w:val="00044E4F"/>
    <w:rsid w:val="00044F72"/>
    <w:rsid w:val="000452F9"/>
    <w:rsid w:val="000456D5"/>
    <w:rsid w:val="0004621C"/>
    <w:rsid w:val="00046359"/>
    <w:rsid w:val="00046460"/>
    <w:rsid w:val="000468DC"/>
    <w:rsid w:val="00046C0F"/>
    <w:rsid w:val="00046CF3"/>
    <w:rsid w:val="00046D61"/>
    <w:rsid w:val="000476C7"/>
    <w:rsid w:val="00050221"/>
    <w:rsid w:val="00050583"/>
    <w:rsid w:val="0005088A"/>
    <w:rsid w:val="000515D2"/>
    <w:rsid w:val="00051641"/>
    <w:rsid w:val="00051795"/>
    <w:rsid w:val="0005238F"/>
    <w:rsid w:val="000525EE"/>
    <w:rsid w:val="000526B5"/>
    <w:rsid w:val="00052B61"/>
    <w:rsid w:val="00052BA4"/>
    <w:rsid w:val="00052DB4"/>
    <w:rsid w:val="00052E49"/>
    <w:rsid w:val="000530CF"/>
    <w:rsid w:val="000532D6"/>
    <w:rsid w:val="00053378"/>
    <w:rsid w:val="000536A6"/>
    <w:rsid w:val="000537AF"/>
    <w:rsid w:val="00053A81"/>
    <w:rsid w:val="00053B34"/>
    <w:rsid w:val="00053FB0"/>
    <w:rsid w:val="00054177"/>
    <w:rsid w:val="000544E4"/>
    <w:rsid w:val="00054791"/>
    <w:rsid w:val="000548AF"/>
    <w:rsid w:val="0005502A"/>
    <w:rsid w:val="0005512E"/>
    <w:rsid w:val="0005522B"/>
    <w:rsid w:val="0005532C"/>
    <w:rsid w:val="00055419"/>
    <w:rsid w:val="00055594"/>
    <w:rsid w:val="000557C6"/>
    <w:rsid w:val="00055E00"/>
    <w:rsid w:val="00056298"/>
    <w:rsid w:val="000562CE"/>
    <w:rsid w:val="00056313"/>
    <w:rsid w:val="0005658E"/>
    <w:rsid w:val="00056A6D"/>
    <w:rsid w:val="00057037"/>
    <w:rsid w:val="0005732F"/>
    <w:rsid w:val="00057611"/>
    <w:rsid w:val="000579FC"/>
    <w:rsid w:val="00060254"/>
    <w:rsid w:val="00060291"/>
    <w:rsid w:val="000603BA"/>
    <w:rsid w:val="0006083D"/>
    <w:rsid w:val="000608E4"/>
    <w:rsid w:val="00060A7C"/>
    <w:rsid w:val="00060BC4"/>
    <w:rsid w:val="00060F09"/>
    <w:rsid w:val="0006181C"/>
    <w:rsid w:val="00061ADE"/>
    <w:rsid w:val="00061B58"/>
    <w:rsid w:val="00061B86"/>
    <w:rsid w:val="00061F50"/>
    <w:rsid w:val="00062090"/>
    <w:rsid w:val="000623A5"/>
    <w:rsid w:val="00062553"/>
    <w:rsid w:val="000625C2"/>
    <w:rsid w:val="00062BA3"/>
    <w:rsid w:val="00063617"/>
    <w:rsid w:val="00063972"/>
    <w:rsid w:val="00063D84"/>
    <w:rsid w:val="00064498"/>
    <w:rsid w:val="00064524"/>
    <w:rsid w:val="00064B03"/>
    <w:rsid w:val="00064B56"/>
    <w:rsid w:val="00064BA6"/>
    <w:rsid w:val="00064BFC"/>
    <w:rsid w:val="00064FF1"/>
    <w:rsid w:val="00065064"/>
    <w:rsid w:val="000651BE"/>
    <w:rsid w:val="0006556D"/>
    <w:rsid w:val="00065AB7"/>
    <w:rsid w:val="00065CEE"/>
    <w:rsid w:val="00065EA4"/>
    <w:rsid w:val="0006637E"/>
    <w:rsid w:val="00066459"/>
    <w:rsid w:val="00066F7E"/>
    <w:rsid w:val="00067233"/>
    <w:rsid w:val="000672C2"/>
    <w:rsid w:val="00067769"/>
    <w:rsid w:val="0006780B"/>
    <w:rsid w:val="00067BB9"/>
    <w:rsid w:val="000702FA"/>
    <w:rsid w:val="00070993"/>
    <w:rsid w:val="00070C76"/>
    <w:rsid w:val="00070DAE"/>
    <w:rsid w:val="0007132A"/>
    <w:rsid w:val="00071464"/>
    <w:rsid w:val="000715B5"/>
    <w:rsid w:val="0007163F"/>
    <w:rsid w:val="00071AAC"/>
    <w:rsid w:val="000721FC"/>
    <w:rsid w:val="00072882"/>
    <w:rsid w:val="00072A56"/>
    <w:rsid w:val="00072D0B"/>
    <w:rsid w:val="00072DE2"/>
    <w:rsid w:val="00072F0E"/>
    <w:rsid w:val="000737B3"/>
    <w:rsid w:val="0007393A"/>
    <w:rsid w:val="00073B8E"/>
    <w:rsid w:val="00074059"/>
    <w:rsid w:val="000741B7"/>
    <w:rsid w:val="000742F5"/>
    <w:rsid w:val="00074639"/>
    <w:rsid w:val="0007483B"/>
    <w:rsid w:val="00074C87"/>
    <w:rsid w:val="00074E15"/>
    <w:rsid w:val="00074F87"/>
    <w:rsid w:val="0007518D"/>
    <w:rsid w:val="0007519F"/>
    <w:rsid w:val="0007528F"/>
    <w:rsid w:val="00075548"/>
    <w:rsid w:val="0007576F"/>
    <w:rsid w:val="000767C8"/>
    <w:rsid w:val="00076A37"/>
    <w:rsid w:val="00076A3A"/>
    <w:rsid w:val="00077384"/>
    <w:rsid w:val="0007746B"/>
    <w:rsid w:val="00077804"/>
    <w:rsid w:val="00077A58"/>
    <w:rsid w:val="00077A7F"/>
    <w:rsid w:val="000804D1"/>
    <w:rsid w:val="00080889"/>
    <w:rsid w:val="0008092C"/>
    <w:rsid w:val="000809D7"/>
    <w:rsid w:val="00080E18"/>
    <w:rsid w:val="00080E29"/>
    <w:rsid w:val="00080E4C"/>
    <w:rsid w:val="00080F16"/>
    <w:rsid w:val="00080F6D"/>
    <w:rsid w:val="00080F9F"/>
    <w:rsid w:val="000813F1"/>
    <w:rsid w:val="00081AB4"/>
    <w:rsid w:val="00081AE8"/>
    <w:rsid w:val="00081B6C"/>
    <w:rsid w:val="000824DC"/>
    <w:rsid w:val="000826A9"/>
    <w:rsid w:val="0008283A"/>
    <w:rsid w:val="00082A12"/>
    <w:rsid w:val="00082E90"/>
    <w:rsid w:val="00083340"/>
    <w:rsid w:val="0008335D"/>
    <w:rsid w:val="00083603"/>
    <w:rsid w:val="00083624"/>
    <w:rsid w:val="00083AEE"/>
    <w:rsid w:val="00084764"/>
    <w:rsid w:val="000847E1"/>
    <w:rsid w:val="00084CD7"/>
    <w:rsid w:val="00084EA3"/>
    <w:rsid w:val="000850D5"/>
    <w:rsid w:val="000852B2"/>
    <w:rsid w:val="0008552C"/>
    <w:rsid w:val="00085B2F"/>
    <w:rsid w:val="00086772"/>
    <w:rsid w:val="0008694D"/>
    <w:rsid w:val="00086BBF"/>
    <w:rsid w:val="00086C4E"/>
    <w:rsid w:val="00086CF5"/>
    <w:rsid w:val="00086E72"/>
    <w:rsid w:val="0008734E"/>
    <w:rsid w:val="000873CC"/>
    <w:rsid w:val="00087E78"/>
    <w:rsid w:val="000901FF"/>
    <w:rsid w:val="000904B0"/>
    <w:rsid w:val="0009068D"/>
    <w:rsid w:val="00090862"/>
    <w:rsid w:val="00090B1E"/>
    <w:rsid w:val="00090EC2"/>
    <w:rsid w:val="00090EDC"/>
    <w:rsid w:val="00091AD3"/>
    <w:rsid w:val="00092207"/>
    <w:rsid w:val="0009266E"/>
    <w:rsid w:val="000928CC"/>
    <w:rsid w:val="00092AD1"/>
    <w:rsid w:val="00092FA7"/>
    <w:rsid w:val="00092FDD"/>
    <w:rsid w:val="000936E7"/>
    <w:rsid w:val="000937B9"/>
    <w:rsid w:val="00093984"/>
    <w:rsid w:val="00093A9E"/>
    <w:rsid w:val="00093AF2"/>
    <w:rsid w:val="0009417B"/>
    <w:rsid w:val="000942C5"/>
    <w:rsid w:val="00094457"/>
    <w:rsid w:val="00094BB4"/>
    <w:rsid w:val="00094FFB"/>
    <w:rsid w:val="00095462"/>
    <w:rsid w:val="000956A4"/>
    <w:rsid w:val="0009596F"/>
    <w:rsid w:val="000965EC"/>
    <w:rsid w:val="00096806"/>
    <w:rsid w:val="000968DA"/>
    <w:rsid w:val="00096AF4"/>
    <w:rsid w:val="00097008"/>
    <w:rsid w:val="00097129"/>
    <w:rsid w:val="00097210"/>
    <w:rsid w:val="00097310"/>
    <w:rsid w:val="0009770D"/>
    <w:rsid w:val="00097939"/>
    <w:rsid w:val="000A05B3"/>
    <w:rsid w:val="000A063F"/>
    <w:rsid w:val="000A06F8"/>
    <w:rsid w:val="000A09C8"/>
    <w:rsid w:val="000A0F51"/>
    <w:rsid w:val="000A0FAD"/>
    <w:rsid w:val="000A1016"/>
    <w:rsid w:val="000A105C"/>
    <w:rsid w:val="000A13AD"/>
    <w:rsid w:val="000A13C0"/>
    <w:rsid w:val="000A15B3"/>
    <w:rsid w:val="000A1609"/>
    <w:rsid w:val="000A1A72"/>
    <w:rsid w:val="000A1BB0"/>
    <w:rsid w:val="000A281A"/>
    <w:rsid w:val="000A290B"/>
    <w:rsid w:val="000A2E7A"/>
    <w:rsid w:val="000A2F1D"/>
    <w:rsid w:val="000A2F7F"/>
    <w:rsid w:val="000A3003"/>
    <w:rsid w:val="000A30E6"/>
    <w:rsid w:val="000A3860"/>
    <w:rsid w:val="000A399F"/>
    <w:rsid w:val="000A39D9"/>
    <w:rsid w:val="000A3ABD"/>
    <w:rsid w:val="000A3F57"/>
    <w:rsid w:val="000A3FC9"/>
    <w:rsid w:val="000A441D"/>
    <w:rsid w:val="000A46C2"/>
    <w:rsid w:val="000A4DC8"/>
    <w:rsid w:val="000A4DED"/>
    <w:rsid w:val="000A52E4"/>
    <w:rsid w:val="000A5B9E"/>
    <w:rsid w:val="000A5F47"/>
    <w:rsid w:val="000A6793"/>
    <w:rsid w:val="000A6DEC"/>
    <w:rsid w:val="000A6EF9"/>
    <w:rsid w:val="000A719A"/>
    <w:rsid w:val="000A7297"/>
    <w:rsid w:val="000A7468"/>
    <w:rsid w:val="000A7601"/>
    <w:rsid w:val="000A7B08"/>
    <w:rsid w:val="000A7E7A"/>
    <w:rsid w:val="000B03EB"/>
    <w:rsid w:val="000B0BAE"/>
    <w:rsid w:val="000B0C64"/>
    <w:rsid w:val="000B0F50"/>
    <w:rsid w:val="000B13BC"/>
    <w:rsid w:val="000B16DA"/>
    <w:rsid w:val="000B19CF"/>
    <w:rsid w:val="000B1A55"/>
    <w:rsid w:val="000B29B7"/>
    <w:rsid w:val="000B2B59"/>
    <w:rsid w:val="000B2C3C"/>
    <w:rsid w:val="000B2E40"/>
    <w:rsid w:val="000B3040"/>
    <w:rsid w:val="000B31AA"/>
    <w:rsid w:val="000B31D6"/>
    <w:rsid w:val="000B35AC"/>
    <w:rsid w:val="000B3C13"/>
    <w:rsid w:val="000B3E0B"/>
    <w:rsid w:val="000B3FAE"/>
    <w:rsid w:val="000B4006"/>
    <w:rsid w:val="000B4123"/>
    <w:rsid w:val="000B44A5"/>
    <w:rsid w:val="000B47F9"/>
    <w:rsid w:val="000B4982"/>
    <w:rsid w:val="000B4A23"/>
    <w:rsid w:val="000B4DFE"/>
    <w:rsid w:val="000B4F66"/>
    <w:rsid w:val="000B51E4"/>
    <w:rsid w:val="000B564D"/>
    <w:rsid w:val="000B5864"/>
    <w:rsid w:val="000B5F1E"/>
    <w:rsid w:val="000B608B"/>
    <w:rsid w:val="000B60B9"/>
    <w:rsid w:val="000B6275"/>
    <w:rsid w:val="000B68E7"/>
    <w:rsid w:val="000B7435"/>
    <w:rsid w:val="000B7C80"/>
    <w:rsid w:val="000C01CA"/>
    <w:rsid w:val="000C033F"/>
    <w:rsid w:val="000C0499"/>
    <w:rsid w:val="000C0B7A"/>
    <w:rsid w:val="000C1270"/>
    <w:rsid w:val="000C178D"/>
    <w:rsid w:val="000C1D26"/>
    <w:rsid w:val="000C1DB3"/>
    <w:rsid w:val="000C2509"/>
    <w:rsid w:val="000C2683"/>
    <w:rsid w:val="000C2873"/>
    <w:rsid w:val="000C288D"/>
    <w:rsid w:val="000C329B"/>
    <w:rsid w:val="000C3474"/>
    <w:rsid w:val="000C3E91"/>
    <w:rsid w:val="000C3EFB"/>
    <w:rsid w:val="000C4124"/>
    <w:rsid w:val="000C41E0"/>
    <w:rsid w:val="000C477C"/>
    <w:rsid w:val="000C4912"/>
    <w:rsid w:val="000C4CEF"/>
    <w:rsid w:val="000C4F04"/>
    <w:rsid w:val="000C516A"/>
    <w:rsid w:val="000C52F4"/>
    <w:rsid w:val="000C5706"/>
    <w:rsid w:val="000C5871"/>
    <w:rsid w:val="000C5CF8"/>
    <w:rsid w:val="000C648E"/>
    <w:rsid w:val="000C64CC"/>
    <w:rsid w:val="000C67C2"/>
    <w:rsid w:val="000C6892"/>
    <w:rsid w:val="000C68BA"/>
    <w:rsid w:val="000C6D43"/>
    <w:rsid w:val="000C70B9"/>
    <w:rsid w:val="000C7265"/>
    <w:rsid w:val="000C73F2"/>
    <w:rsid w:val="000C7478"/>
    <w:rsid w:val="000C7962"/>
    <w:rsid w:val="000C7B06"/>
    <w:rsid w:val="000C7C72"/>
    <w:rsid w:val="000C7DF4"/>
    <w:rsid w:val="000D023D"/>
    <w:rsid w:val="000D042B"/>
    <w:rsid w:val="000D042C"/>
    <w:rsid w:val="000D05E4"/>
    <w:rsid w:val="000D08E4"/>
    <w:rsid w:val="000D0C8B"/>
    <w:rsid w:val="000D0F00"/>
    <w:rsid w:val="000D1046"/>
    <w:rsid w:val="000D139F"/>
    <w:rsid w:val="000D1AF8"/>
    <w:rsid w:val="000D23CA"/>
    <w:rsid w:val="000D24E1"/>
    <w:rsid w:val="000D2654"/>
    <w:rsid w:val="000D27F6"/>
    <w:rsid w:val="000D2CB8"/>
    <w:rsid w:val="000D3038"/>
    <w:rsid w:val="000D3267"/>
    <w:rsid w:val="000D326E"/>
    <w:rsid w:val="000D3586"/>
    <w:rsid w:val="000D3859"/>
    <w:rsid w:val="000D39AD"/>
    <w:rsid w:val="000D3A9A"/>
    <w:rsid w:val="000D3AAE"/>
    <w:rsid w:val="000D3BA2"/>
    <w:rsid w:val="000D3D8E"/>
    <w:rsid w:val="000D41A4"/>
    <w:rsid w:val="000D44AE"/>
    <w:rsid w:val="000D4785"/>
    <w:rsid w:val="000D4B20"/>
    <w:rsid w:val="000D4C20"/>
    <w:rsid w:val="000D4FF2"/>
    <w:rsid w:val="000D5277"/>
    <w:rsid w:val="000D5703"/>
    <w:rsid w:val="000D5974"/>
    <w:rsid w:val="000D613C"/>
    <w:rsid w:val="000D623F"/>
    <w:rsid w:val="000D64AC"/>
    <w:rsid w:val="000D6A73"/>
    <w:rsid w:val="000D6B94"/>
    <w:rsid w:val="000D71A0"/>
    <w:rsid w:val="000D7607"/>
    <w:rsid w:val="000D7E5E"/>
    <w:rsid w:val="000E0054"/>
    <w:rsid w:val="000E0650"/>
    <w:rsid w:val="000E06DE"/>
    <w:rsid w:val="000E0750"/>
    <w:rsid w:val="000E0EA8"/>
    <w:rsid w:val="000E1628"/>
    <w:rsid w:val="000E1B99"/>
    <w:rsid w:val="000E1F46"/>
    <w:rsid w:val="000E20DB"/>
    <w:rsid w:val="000E2A6F"/>
    <w:rsid w:val="000E2CDC"/>
    <w:rsid w:val="000E2DB3"/>
    <w:rsid w:val="000E30BB"/>
    <w:rsid w:val="000E336C"/>
    <w:rsid w:val="000E35EA"/>
    <w:rsid w:val="000E36C2"/>
    <w:rsid w:val="000E3824"/>
    <w:rsid w:val="000E3C89"/>
    <w:rsid w:val="000E3E5A"/>
    <w:rsid w:val="000E4105"/>
    <w:rsid w:val="000E49C3"/>
    <w:rsid w:val="000E4A73"/>
    <w:rsid w:val="000E4AD2"/>
    <w:rsid w:val="000E4B06"/>
    <w:rsid w:val="000E4B2B"/>
    <w:rsid w:val="000E4C08"/>
    <w:rsid w:val="000E52B5"/>
    <w:rsid w:val="000E533D"/>
    <w:rsid w:val="000E5447"/>
    <w:rsid w:val="000E5603"/>
    <w:rsid w:val="000E5C00"/>
    <w:rsid w:val="000E5D3F"/>
    <w:rsid w:val="000E5F8A"/>
    <w:rsid w:val="000E64D6"/>
    <w:rsid w:val="000E6543"/>
    <w:rsid w:val="000E6A2D"/>
    <w:rsid w:val="000E6B73"/>
    <w:rsid w:val="000E6EB0"/>
    <w:rsid w:val="000E7297"/>
    <w:rsid w:val="000E732C"/>
    <w:rsid w:val="000E7E11"/>
    <w:rsid w:val="000F0041"/>
    <w:rsid w:val="000F080A"/>
    <w:rsid w:val="000F084E"/>
    <w:rsid w:val="000F0938"/>
    <w:rsid w:val="000F09D4"/>
    <w:rsid w:val="000F0D3B"/>
    <w:rsid w:val="000F0DD2"/>
    <w:rsid w:val="000F0E5C"/>
    <w:rsid w:val="000F12E6"/>
    <w:rsid w:val="000F13DA"/>
    <w:rsid w:val="000F178D"/>
    <w:rsid w:val="000F1B69"/>
    <w:rsid w:val="000F1CAE"/>
    <w:rsid w:val="000F215E"/>
    <w:rsid w:val="000F2852"/>
    <w:rsid w:val="000F2BDB"/>
    <w:rsid w:val="000F31D5"/>
    <w:rsid w:val="000F3425"/>
    <w:rsid w:val="000F383E"/>
    <w:rsid w:val="000F3AFD"/>
    <w:rsid w:val="000F3D74"/>
    <w:rsid w:val="000F41DF"/>
    <w:rsid w:val="000F42F5"/>
    <w:rsid w:val="000F446C"/>
    <w:rsid w:val="000F4566"/>
    <w:rsid w:val="000F4BC6"/>
    <w:rsid w:val="000F4E56"/>
    <w:rsid w:val="000F5338"/>
    <w:rsid w:val="000F53DA"/>
    <w:rsid w:val="000F600A"/>
    <w:rsid w:val="000F6495"/>
    <w:rsid w:val="000F6553"/>
    <w:rsid w:val="000F6679"/>
    <w:rsid w:val="000F6B11"/>
    <w:rsid w:val="000F6B25"/>
    <w:rsid w:val="000F6C27"/>
    <w:rsid w:val="000F7006"/>
    <w:rsid w:val="000F71A9"/>
    <w:rsid w:val="000F723C"/>
    <w:rsid w:val="000F7551"/>
    <w:rsid w:val="001004DD"/>
    <w:rsid w:val="001005CA"/>
    <w:rsid w:val="001006FB"/>
    <w:rsid w:val="00100BA7"/>
    <w:rsid w:val="00100BF0"/>
    <w:rsid w:val="00100EF1"/>
    <w:rsid w:val="0010169F"/>
    <w:rsid w:val="00101CB2"/>
    <w:rsid w:val="00101D20"/>
    <w:rsid w:val="00102630"/>
    <w:rsid w:val="0010308F"/>
    <w:rsid w:val="00103638"/>
    <w:rsid w:val="00103695"/>
    <w:rsid w:val="001036DE"/>
    <w:rsid w:val="0010389F"/>
    <w:rsid w:val="00103B27"/>
    <w:rsid w:val="00103D5E"/>
    <w:rsid w:val="00103E83"/>
    <w:rsid w:val="001046A5"/>
    <w:rsid w:val="00104704"/>
    <w:rsid w:val="00104980"/>
    <w:rsid w:val="001050FB"/>
    <w:rsid w:val="001052F4"/>
    <w:rsid w:val="0010609B"/>
    <w:rsid w:val="00106115"/>
    <w:rsid w:val="0010666B"/>
    <w:rsid w:val="00106E7B"/>
    <w:rsid w:val="00106E92"/>
    <w:rsid w:val="00106FEE"/>
    <w:rsid w:val="00107004"/>
    <w:rsid w:val="001077E1"/>
    <w:rsid w:val="001077F3"/>
    <w:rsid w:val="00107AE1"/>
    <w:rsid w:val="00107B2C"/>
    <w:rsid w:val="00107E0F"/>
    <w:rsid w:val="00110480"/>
    <w:rsid w:val="0011063A"/>
    <w:rsid w:val="00110715"/>
    <w:rsid w:val="001107BF"/>
    <w:rsid w:val="001108EB"/>
    <w:rsid w:val="00110B36"/>
    <w:rsid w:val="00110BC9"/>
    <w:rsid w:val="001112B8"/>
    <w:rsid w:val="001112FE"/>
    <w:rsid w:val="00111867"/>
    <w:rsid w:val="0011248E"/>
    <w:rsid w:val="001125B5"/>
    <w:rsid w:val="0011291C"/>
    <w:rsid w:val="00112B39"/>
    <w:rsid w:val="001134D2"/>
    <w:rsid w:val="00113730"/>
    <w:rsid w:val="00113B65"/>
    <w:rsid w:val="00113B88"/>
    <w:rsid w:val="00113BC4"/>
    <w:rsid w:val="0011494D"/>
    <w:rsid w:val="00114D36"/>
    <w:rsid w:val="00115086"/>
    <w:rsid w:val="001154CB"/>
    <w:rsid w:val="001157A4"/>
    <w:rsid w:val="0011599F"/>
    <w:rsid w:val="00115D1A"/>
    <w:rsid w:val="00116453"/>
    <w:rsid w:val="00116526"/>
    <w:rsid w:val="00116656"/>
    <w:rsid w:val="001169AF"/>
    <w:rsid w:val="001170A1"/>
    <w:rsid w:val="001171AE"/>
    <w:rsid w:val="001176BD"/>
    <w:rsid w:val="001179E7"/>
    <w:rsid w:val="00117A78"/>
    <w:rsid w:val="00117B8A"/>
    <w:rsid w:val="00117BDC"/>
    <w:rsid w:val="00117C7C"/>
    <w:rsid w:val="00117DA5"/>
    <w:rsid w:val="00117E19"/>
    <w:rsid w:val="00117F3D"/>
    <w:rsid w:val="00120001"/>
    <w:rsid w:val="001203E4"/>
    <w:rsid w:val="001204B6"/>
    <w:rsid w:val="001205BE"/>
    <w:rsid w:val="00120D25"/>
    <w:rsid w:val="00120EBA"/>
    <w:rsid w:val="00121016"/>
    <w:rsid w:val="00121299"/>
    <w:rsid w:val="00121384"/>
    <w:rsid w:val="0012151E"/>
    <w:rsid w:val="00121F80"/>
    <w:rsid w:val="001220BA"/>
    <w:rsid w:val="0012241F"/>
    <w:rsid w:val="00122863"/>
    <w:rsid w:val="001228BC"/>
    <w:rsid w:val="00122996"/>
    <w:rsid w:val="00122F2F"/>
    <w:rsid w:val="001230E0"/>
    <w:rsid w:val="00123658"/>
    <w:rsid w:val="001238A9"/>
    <w:rsid w:val="0012395A"/>
    <w:rsid w:val="001239CF"/>
    <w:rsid w:val="00123C52"/>
    <w:rsid w:val="001243C3"/>
    <w:rsid w:val="00124738"/>
    <w:rsid w:val="00124817"/>
    <w:rsid w:val="00124E9C"/>
    <w:rsid w:val="00125225"/>
    <w:rsid w:val="00125474"/>
    <w:rsid w:val="00125490"/>
    <w:rsid w:val="001257FE"/>
    <w:rsid w:val="00125A35"/>
    <w:rsid w:val="0012625A"/>
    <w:rsid w:val="0012628F"/>
    <w:rsid w:val="00126467"/>
    <w:rsid w:val="001267B1"/>
    <w:rsid w:val="001267DA"/>
    <w:rsid w:val="001268A6"/>
    <w:rsid w:val="00126EFE"/>
    <w:rsid w:val="001271B1"/>
    <w:rsid w:val="0012747B"/>
    <w:rsid w:val="001276B3"/>
    <w:rsid w:val="0012781A"/>
    <w:rsid w:val="00127ACD"/>
    <w:rsid w:val="00127E60"/>
    <w:rsid w:val="00130126"/>
    <w:rsid w:val="001302A7"/>
    <w:rsid w:val="00130920"/>
    <w:rsid w:val="00130931"/>
    <w:rsid w:val="00130DF7"/>
    <w:rsid w:val="00130F9D"/>
    <w:rsid w:val="001317E7"/>
    <w:rsid w:val="001319D1"/>
    <w:rsid w:val="001324DE"/>
    <w:rsid w:val="0013272B"/>
    <w:rsid w:val="00133108"/>
    <w:rsid w:val="0013376D"/>
    <w:rsid w:val="001337A3"/>
    <w:rsid w:val="00133A09"/>
    <w:rsid w:val="00133A60"/>
    <w:rsid w:val="00133F19"/>
    <w:rsid w:val="00133F43"/>
    <w:rsid w:val="0013481D"/>
    <w:rsid w:val="00134886"/>
    <w:rsid w:val="0013495A"/>
    <w:rsid w:val="00134A9D"/>
    <w:rsid w:val="00135458"/>
    <w:rsid w:val="001356DD"/>
    <w:rsid w:val="00135964"/>
    <w:rsid w:val="00135DDC"/>
    <w:rsid w:val="00135E26"/>
    <w:rsid w:val="00135EDA"/>
    <w:rsid w:val="0013608F"/>
    <w:rsid w:val="001363D1"/>
    <w:rsid w:val="00136460"/>
    <w:rsid w:val="00136542"/>
    <w:rsid w:val="00136545"/>
    <w:rsid w:val="00136BFD"/>
    <w:rsid w:val="00136E45"/>
    <w:rsid w:val="0013705F"/>
    <w:rsid w:val="001374C9"/>
    <w:rsid w:val="00137A45"/>
    <w:rsid w:val="00137BE9"/>
    <w:rsid w:val="00137DD6"/>
    <w:rsid w:val="00140000"/>
    <w:rsid w:val="00140220"/>
    <w:rsid w:val="0014034A"/>
    <w:rsid w:val="00140690"/>
    <w:rsid w:val="001406E4"/>
    <w:rsid w:val="001408E7"/>
    <w:rsid w:val="001409DA"/>
    <w:rsid w:val="00140F3C"/>
    <w:rsid w:val="00140FF3"/>
    <w:rsid w:val="00141B17"/>
    <w:rsid w:val="00141D54"/>
    <w:rsid w:val="001427DF"/>
    <w:rsid w:val="0014281A"/>
    <w:rsid w:val="0014287B"/>
    <w:rsid w:val="0014293F"/>
    <w:rsid w:val="00142EAD"/>
    <w:rsid w:val="0014307F"/>
    <w:rsid w:val="001433D2"/>
    <w:rsid w:val="00143453"/>
    <w:rsid w:val="001435A7"/>
    <w:rsid w:val="0014363F"/>
    <w:rsid w:val="00143B02"/>
    <w:rsid w:val="0014451F"/>
    <w:rsid w:val="00144860"/>
    <w:rsid w:val="001448F3"/>
    <w:rsid w:val="00144C5B"/>
    <w:rsid w:val="0014563E"/>
    <w:rsid w:val="001458A5"/>
    <w:rsid w:val="001458C8"/>
    <w:rsid w:val="00145B96"/>
    <w:rsid w:val="00145F36"/>
    <w:rsid w:val="0014624F"/>
    <w:rsid w:val="00146996"/>
    <w:rsid w:val="001469B0"/>
    <w:rsid w:val="00147283"/>
    <w:rsid w:val="001476EC"/>
    <w:rsid w:val="00147721"/>
    <w:rsid w:val="001479D4"/>
    <w:rsid w:val="00147C08"/>
    <w:rsid w:val="00147F46"/>
    <w:rsid w:val="001500F6"/>
    <w:rsid w:val="001502F5"/>
    <w:rsid w:val="001506D4"/>
    <w:rsid w:val="00150881"/>
    <w:rsid w:val="00150916"/>
    <w:rsid w:val="00151656"/>
    <w:rsid w:val="00151955"/>
    <w:rsid w:val="00151AEA"/>
    <w:rsid w:val="00151BB9"/>
    <w:rsid w:val="00152ACC"/>
    <w:rsid w:val="00152B21"/>
    <w:rsid w:val="00152D27"/>
    <w:rsid w:val="00152DBD"/>
    <w:rsid w:val="00152DDE"/>
    <w:rsid w:val="00153527"/>
    <w:rsid w:val="00153AB4"/>
    <w:rsid w:val="00153C4C"/>
    <w:rsid w:val="001540F8"/>
    <w:rsid w:val="00154148"/>
    <w:rsid w:val="00154188"/>
    <w:rsid w:val="001542BC"/>
    <w:rsid w:val="00154366"/>
    <w:rsid w:val="00154B09"/>
    <w:rsid w:val="00154B30"/>
    <w:rsid w:val="0015518D"/>
    <w:rsid w:val="00155224"/>
    <w:rsid w:val="00155553"/>
    <w:rsid w:val="001556DB"/>
    <w:rsid w:val="00155A9D"/>
    <w:rsid w:val="00155AB8"/>
    <w:rsid w:val="00155D5C"/>
    <w:rsid w:val="00155FAC"/>
    <w:rsid w:val="00156207"/>
    <w:rsid w:val="001562D6"/>
    <w:rsid w:val="001566DA"/>
    <w:rsid w:val="001567A1"/>
    <w:rsid w:val="001569C1"/>
    <w:rsid w:val="00156F70"/>
    <w:rsid w:val="00157062"/>
    <w:rsid w:val="001575C2"/>
    <w:rsid w:val="00157691"/>
    <w:rsid w:val="00157AC5"/>
    <w:rsid w:val="00157EA1"/>
    <w:rsid w:val="00160202"/>
    <w:rsid w:val="00160393"/>
    <w:rsid w:val="001604A9"/>
    <w:rsid w:val="00160620"/>
    <w:rsid w:val="0016074C"/>
    <w:rsid w:val="001608D1"/>
    <w:rsid w:val="00160E19"/>
    <w:rsid w:val="001610C7"/>
    <w:rsid w:val="001612B7"/>
    <w:rsid w:val="001612E5"/>
    <w:rsid w:val="001614E7"/>
    <w:rsid w:val="00161748"/>
    <w:rsid w:val="0016180D"/>
    <w:rsid w:val="0016191E"/>
    <w:rsid w:val="00161AB6"/>
    <w:rsid w:val="00161BF6"/>
    <w:rsid w:val="00161C57"/>
    <w:rsid w:val="00161D1A"/>
    <w:rsid w:val="001621A5"/>
    <w:rsid w:val="0016255F"/>
    <w:rsid w:val="0016282C"/>
    <w:rsid w:val="00162DB1"/>
    <w:rsid w:val="00162F06"/>
    <w:rsid w:val="0016317F"/>
    <w:rsid w:val="0016337E"/>
    <w:rsid w:val="0016386B"/>
    <w:rsid w:val="00163956"/>
    <w:rsid w:val="00163B71"/>
    <w:rsid w:val="00163C48"/>
    <w:rsid w:val="001640EF"/>
    <w:rsid w:val="00164791"/>
    <w:rsid w:val="001648DC"/>
    <w:rsid w:val="00164902"/>
    <w:rsid w:val="00164DD0"/>
    <w:rsid w:val="00164E85"/>
    <w:rsid w:val="00165024"/>
    <w:rsid w:val="00165172"/>
    <w:rsid w:val="001651C8"/>
    <w:rsid w:val="001653D2"/>
    <w:rsid w:val="00165A09"/>
    <w:rsid w:val="00165C5A"/>
    <w:rsid w:val="00165F31"/>
    <w:rsid w:val="00165F82"/>
    <w:rsid w:val="00165FF0"/>
    <w:rsid w:val="00166014"/>
    <w:rsid w:val="0016612F"/>
    <w:rsid w:val="001662DB"/>
    <w:rsid w:val="00166C9D"/>
    <w:rsid w:val="00166DDA"/>
    <w:rsid w:val="0016731B"/>
    <w:rsid w:val="0016750C"/>
    <w:rsid w:val="00167801"/>
    <w:rsid w:val="001678F1"/>
    <w:rsid w:val="00167DD6"/>
    <w:rsid w:val="00170133"/>
    <w:rsid w:val="001703E2"/>
    <w:rsid w:val="001705E4"/>
    <w:rsid w:val="0017082D"/>
    <w:rsid w:val="0017084D"/>
    <w:rsid w:val="00170C63"/>
    <w:rsid w:val="00171478"/>
    <w:rsid w:val="00171552"/>
    <w:rsid w:val="001719DA"/>
    <w:rsid w:val="00171EA9"/>
    <w:rsid w:val="00171F1C"/>
    <w:rsid w:val="00171F24"/>
    <w:rsid w:val="00172092"/>
    <w:rsid w:val="0017298A"/>
    <w:rsid w:val="00172B08"/>
    <w:rsid w:val="00172F8E"/>
    <w:rsid w:val="001730E9"/>
    <w:rsid w:val="001736EA"/>
    <w:rsid w:val="00173D2F"/>
    <w:rsid w:val="00173E57"/>
    <w:rsid w:val="00174008"/>
    <w:rsid w:val="0017415F"/>
    <w:rsid w:val="001748C9"/>
    <w:rsid w:val="001749C4"/>
    <w:rsid w:val="001751A3"/>
    <w:rsid w:val="0017546E"/>
    <w:rsid w:val="0017546F"/>
    <w:rsid w:val="00176095"/>
    <w:rsid w:val="0017630F"/>
    <w:rsid w:val="00176774"/>
    <w:rsid w:val="0017699E"/>
    <w:rsid w:val="00176B5A"/>
    <w:rsid w:val="001773F4"/>
    <w:rsid w:val="001776A2"/>
    <w:rsid w:val="00177969"/>
    <w:rsid w:val="001779C7"/>
    <w:rsid w:val="00177AE6"/>
    <w:rsid w:val="00177AF6"/>
    <w:rsid w:val="00177CE4"/>
    <w:rsid w:val="00177E25"/>
    <w:rsid w:val="00180378"/>
    <w:rsid w:val="00180761"/>
    <w:rsid w:val="001807CA"/>
    <w:rsid w:val="001808D4"/>
    <w:rsid w:val="00180A72"/>
    <w:rsid w:val="00181116"/>
    <w:rsid w:val="0018136C"/>
    <w:rsid w:val="00181715"/>
    <w:rsid w:val="00181955"/>
    <w:rsid w:val="00181BB6"/>
    <w:rsid w:val="00181EAC"/>
    <w:rsid w:val="00181FD5"/>
    <w:rsid w:val="00181FF2"/>
    <w:rsid w:val="0018203B"/>
    <w:rsid w:val="00182087"/>
    <w:rsid w:val="0018210B"/>
    <w:rsid w:val="0018270B"/>
    <w:rsid w:val="00182B30"/>
    <w:rsid w:val="001832F1"/>
    <w:rsid w:val="0018359A"/>
    <w:rsid w:val="00183609"/>
    <w:rsid w:val="001836F4"/>
    <w:rsid w:val="00183D1F"/>
    <w:rsid w:val="00183E6D"/>
    <w:rsid w:val="0018415D"/>
    <w:rsid w:val="00184FFA"/>
    <w:rsid w:val="001851F8"/>
    <w:rsid w:val="001853EE"/>
    <w:rsid w:val="001854F2"/>
    <w:rsid w:val="001856B5"/>
    <w:rsid w:val="001858D5"/>
    <w:rsid w:val="001859AA"/>
    <w:rsid w:val="00185A75"/>
    <w:rsid w:val="001864E1"/>
    <w:rsid w:val="00186561"/>
    <w:rsid w:val="001865DF"/>
    <w:rsid w:val="00186B09"/>
    <w:rsid w:val="00186F0C"/>
    <w:rsid w:val="00187450"/>
    <w:rsid w:val="00187CB7"/>
    <w:rsid w:val="00187E7F"/>
    <w:rsid w:val="001901AD"/>
    <w:rsid w:val="00190746"/>
    <w:rsid w:val="00190904"/>
    <w:rsid w:val="00190B8A"/>
    <w:rsid w:val="00190D70"/>
    <w:rsid w:val="00191098"/>
    <w:rsid w:val="00191134"/>
    <w:rsid w:val="001911E8"/>
    <w:rsid w:val="0019192C"/>
    <w:rsid w:val="00191A09"/>
    <w:rsid w:val="00191B4B"/>
    <w:rsid w:val="00191DB0"/>
    <w:rsid w:val="00192122"/>
    <w:rsid w:val="00192E66"/>
    <w:rsid w:val="00192EB2"/>
    <w:rsid w:val="00192ED9"/>
    <w:rsid w:val="001932A0"/>
    <w:rsid w:val="00194498"/>
    <w:rsid w:val="001949D4"/>
    <w:rsid w:val="00194BDA"/>
    <w:rsid w:val="00194D64"/>
    <w:rsid w:val="00195196"/>
    <w:rsid w:val="001954EF"/>
    <w:rsid w:val="001958C0"/>
    <w:rsid w:val="001958EF"/>
    <w:rsid w:val="00195AED"/>
    <w:rsid w:val="00195B20"/>
    <w:rsid w:val="00195D93"/>
    <w:rsid w:val="0019605D"/>
    <w:rsid w:val="00196108"/>
    <w:rsid w:val="00196150"/>
    <w:rsid w:val="0019649C"/>
    <w:rsid w:val="001964F8"/>
    <w:rsid w:val="00196983"/>
    <w:rsid w:val="00196B2E"/>
    <w:rsid w:val="00196E9F"/>
    <w:rsid w:val="00196FBC"/>
    <w:rsid w:val="00197154"/>
    <w:rsid w:val="00197723"/>
    <w:rsid w:val="00197C46"/>
    <w:rsid w:val="00197F7A"/>
    <w:rsid w:val="001A05FE"/>
    <w:rsid w:val="001A0DEC"/>
    <w:rsid w:val="001A1093"/>
    <w:rsid w:val="001A16CD"/>
    <w:rsid w:val="001A19C2"/>
    <w:rsid w:val="001A1BA3"/>
    <w:rsid w:val="001A1C8E"/>
    <w:rsid w:val="001A2AE1"/>
    <w:rsid w:val="001A2E2E"/>
    <w:rsid w:val="001A2E8A"/>
    <w:rsid w:val="001A3A85"/>
    <w:rsid w:val="001A3C10"/>
    <w:rsid w:val="001A409D"/>
    <w:rsid w:val="001A47CA"/>
    <w:rsid w:val="001A4AF7"/>
    <w:rsid w:val="001A4C0F"/>
    <w:rsid w:val="001A4D87"/>
    <w:rsid w:val="001A5172"/>
    <w:rsid w:val="001A56C3"/>
    <w:rsid w:val="001A583E"/>
    <w:rsid w:val="001A5DAF"/>
    <w:rsid w:val="001A5F42"/>
    <w:rsid w:val="001A61D3"/>
    <w:rsid w:val="001A61F5"/>
    <w:rsid w:val="001A6288"/>
    <w:rsid w:val="001A66B9"/>
    <w:rsid w:val="001A6A66"/>
    <w:rsid w:val="001A6B1D"/>
    <w:rsid w:val="001A723F"/>
    <w:rsid w:val="001A737F"/>
    <w:rsid w:val="001A77D4"/>
    <w:rsid w:val="001A7DAB"/>
    <w:rsid w:val="001B0714"/>
    <w:rsid w:val="001B09F1"/>
    <w:rsid w:val="001B0B4A"/>
    <w:rsid w:val="001B1130"/>
    <w:rsid w:val="001B11C7"/>
    <w:rsid w:val="001B1304"/>
    <w:rsid w:val="001B1AA7"/>
    <w:rsid w:val="001B2371"/>
    <w:rsid w:val="001B2673"/>
    <w:rsid w:val="001B289B"/>
    <w:rsid w:val="001B2AD7"/>
    <w:rsid w:val="001B33CA"/>
    <w:rsid w:val="001B34CA"/>
    <w:rsid w:val="001B3DF3"/>
    <w:rsid w:val="001B3DFD"/>
    <w:rsid w:val="001B4203"/>
    <w:rsid w:val="001B479F"/>
    <w:rsid w:val="001B4D5B"/>
    <w:rsid w:val="001B4DBC"/>
    <w:rsid w:val="001B4EA8"/>
    <w:rsid w:val="001B500F"/>
    <w:rsid w:val="001B543F"/>
    <w:rsid w:val="001B5573"/>
    <w:rsid w:val="001B55DE"/>
    <w:rsid w:val="001B596A"/>
    <w:rsid w:val="001B5A0A"/>
    <w:rsid w:val="001B5ABA"/>
    <w:rsid w:val="001B5D57"/>
    <w:rsid w:val="001B5E9E"/>
    <w:rsid w:val="001B5FC4"/>
    <w:rsid w:val="001B62AD"/>
    <w:rsid w:val="001B68A1"/>
    <w:rsid w:val="001B6A79"/>
    <w:rsid w:val="001B6FDF"/>
    <w:rsid w:val="001B7192"/>
    <w:rsid w:val="001B739E"/>
    <w:rsid w:val="001B74F4"/>
    <w:rsid w:val="001B7F10"/>
    <w:rsid w:val="001C05CF"/>
    <w:rsid w:val="001C09DF"/>
    <w:rsid w:val="001C0B55"/>
    <w:rsid w:val="001C0E14"/>
    <w:rsid w:val="001C1441"/>
    <w:rsid w:val="001C15FF"/>
    <w:rsid w:val="001C179E"/>
    <w:rsid w:val="001C21CF"/>
    <w:rsid w:val="001C251D"/>
    <w:rsid w:val="001C2712"/>
    <w:rsid w:val="001C29FD"/>
    <w:rsid w:val="001C2A9A"/>
    <w:rsid w:val="001C2E35"/>
    <w:rsid w:val="001C2E68"/>
    <w:rsid w:val="001C2F1D"/>
    <w:rsid w:val="001C2FCC"/>
    <w:rsid w:val="001C30FD"/>
    <w:rsid w:val="001C38E2"/>
    <w:rsid w:val="001C3B12"/>
    <w:rsid w:val="001C4041"/>
    <w:rsid w:val="001C4453"/>
    <w:rsid w:val="001C46BB"/>
    <w:rsid w:val="001C476F"/>
    <w:rsid w:val="001C47D9"/>
    <w:rsid w:val="001C484D"/>
    <w:rsid w:val="001C4DCC"/>
    <w:rsid w:val="001C4E02"/>
    <w:rsid w:val="001C4EBD"/>
    <w:rsid w:val="001C4EBE"/>
    <w:rsid w:val="001C5309"/>
    <w:rsid w:val="001C566A"/>
    <w:rsid w:val="001C56DC"/>
    <w:rsid w:val="001C5A84"/>
    <w:rsid w:val="001C5C24"/>
    <w:rsid w:val="001C5E10"/>
    <w:rsid w:val="001C5F76"/>
    <w:rsid w:val="001C6436"/>
    <w:rsid w:val="001C65FA"/>
    <w:rsid w:val="001C71EE"/>
    <w:rsid w:val="001C748C"/>
    <w:rsid w:val="001C7F2E"/>
    <w:rsid w:val="001D01DB"/>
    <w:rsid w:val="001D0A90"/>
    <w:rsid w:val="001D0E7F"/>
    <w:rsid w:val="001D0FFC"/>
    <w:rsid w:val="001D111B"/>
    <w:rsid w:val="001D128E"/>
    <w:rsid w:val="001D186F"/>
    <w:rsid w:val="001D190F"/>
    <w:rsid w:val="001D1B0D"/>
    <w:rsid w:val="001D1D8D"/>
    <w:rsid w:val="001D24F8"/>
    <w:rsid w:val="001D2AF7"/>
    <w:rsid w:val="001D2DFD"/>
    <w:rsid w:val="001D3837"/>
    <w:rsid w:val="001D3D36"/>
    <w:rsid w:val="001D41D1"/>
    <w:rsid w:val="001D4CA6"/>
    <w:rsid w:val="001D4DCC"/>
    <w:rsid w:val="001D4EBE"/>
    <w:rsid w:val="001D4F7B"/>
    <w:rsid w:val="001D5152"/>
    <w:rsid w:val="001D5370"/>
    <w:rsid w:val="001D588A"/>
    <w:rsid w:val="001D58C7"/>
    <w:rsid w:val="001D58CF"/>
    <w:rsid w:val="001D5B2E"/>
    <w:rsid w:val="001D5BB8"/>
    <w:rsid w:val="001D6014"/>
    <w:rsid w:val="001D61DE"/>
    <w:rsid w:val="001D61F0"/>
    <w:rsid w:val="001D677F"/>
    <w:rsid w:val="001D67AA"/>
    <w:rsid w:val="001D67AE"/>
    <w:rsid w:val="001D6819"/>
    <w:rsid w:val="001D6A1A"/>
    <w:rsid w:val="001D6AD1"/>
    <w:rsid w:val="001D6C32"/>
    <w:rsid w:val="001D71AA"/>
    <w:rsid w:val="001D727E"/>
    <w:rsid w:val="001D73D1"/>
    <w:rsid w:val="001D7705"/>
    <w:rsid w:val="001D77E4"/>
    <w:rsid w:val="001D7C41"/>
    <w:rsid w:val="001E0369"/>
    <w:rsid w:val="001E03E8"/>
    <w:rsid w:val="001E08FB"/>
    <w:rsid w:val="001E110D"/>
    <w:rsid w:val="001E1E3E"/>
    <w:rsid w:val="001E2331"/>
    <w:rsid w:val="001E24E0"/>
    <w:rsid w:val="001E25EA"/>
    <w:rsid w:val="001E2A58"/>
    <w:rsid w:val="001E2AF4"/>
    <w:rsid w:val="001E30D2"/>
    <w:rsid w:val="001E33AF"/>
    <w:rsid w:val="001E37C3"/>
    <w:rsid w:val="001E3BBC"/>
    <w:rsid w:val="001E4243"/>
    <w:rsid w:val="001E458B"/>
    <w:rsid w:val="001E4C04"/>
    <w:rsid w:val="001E4DDC"/>
    <w:rsid w:val="001E513F"/>
    <w:rsid w:val="001E547B"/>
    <w:rsid w:val="001E571A"/>
    <w:rsid w:val="001E577F"/>
    <w:rsid w:val="001E59A4"/>
    <w:rsid w:val="001E5A4B"/>
    <w:rsid w:val="001E5CBC"/>
    <w:rsid w:val="001E5ECF"/>
    <w:rsid w:val="001E5F8C"/>
    <w:rsid w:val="001E623A"/>
    <w:rsid w:val="001E64BD"/>
    <w:rsid w:val="001E654A"/>
    <w:rsid w:val="001E6990"/>
    <w:rsid w:val="001E6F07"/>
    <w:rsid w:val="001E7211"/>
    <w:rsid w:val="001E740D"/>
    <w:rsid w:val="001E7695"/>
    <w:rsid w:val="001E7C77"/>
    <w:rsid w:val="001E7E36"/>
    <w:rsid w:val="001E7E6E"/>
    <w:rsid w:val="001E7FC5"/>
    <w:rsid w:val="001F02E6"/>
    <w:rsid w:val="001F0B7C"/>
    <w:rsid w:val="001F0EA7"/>
    <w:rsid w:val="001F0F1D"/>
    <w:rsid w:val="001F119C"/>
    <w:rsid w:val="001F122E"/>
    <w:rsid w:val="001F14D0"/>
    <w:rsid w:val="001F1717"/>
    <w:rsid w:val="001F173C"/>
    <w:rsid w:val="001F1960"/>
    <w:rsid w:val="001F199D"/>
    <w:rsid w:val="001F19EC"/>
    <w:rsid w:val="001F1A25"/>
    <w:rsid w:val="001F1A5F"/>
    <w:rsid w:val="001F1A9D"/>
    <w:rsid w:val="001F1AC2"/>
    <w:rsid w:val="001F1CE5"/>
    <w:rsid w:val="001F24CE"/>
    <w:rsid w:val="001F258B"/>
    <w:rsid w:val="001F269B"/>
    <w:rsid w:val="001F2A74"/>
    <w:rsid w:val="001F308C"/>
    <w:rsid w:val="001F3294"/>
    <w:rsid w:val="001F339C"/>
    <w:rsid w:val="001F3C48"/>
    <w:rsid w:val="001F432B"/>
    <w:rsid w:val="001F4463"/>
    <w:rsid w:val="001F4766"/>
    <w:rsid w:val="001F5577"/>
    <w:rsid w:val="001F5F01"/>
    <w:rsid w:val="001F60B7"/>
    <w:rsid w:val="001F637E"/>
    <w:rsid w:val="001F6505"/>
    <w:rsid w:val="001F67F8"/>
    <w:rsid w:val="001F6947"/>
    <w:rsid w:val="001F7070"/>
    <w:rsid w:val="001F7283"/>
    <w:rsid w:val="001F7475"/>
    <w:rsid w:val="001F77A2"/>
    <w:rsid w:val="001F7F3A"/>
    <w:rsid w:val="002004C3"/>
    <w:rsid w:val="00200668"/>
    <w:rsid w:val="00200817"/>
    <w:rsid w:val="002013A9"/>
    <w:rsid w:val="00201820"/>
    <w:rsid w:val="00201BA8"/>
    <w:rsid w:val="00202533"/>
    <w:rsid w:val="002025EC"/>
    <w:rsid w:val="00202757"/>
    <w:rsid w:val="00202D20"/>
    <w:rsid w:val="002031FD"/>
    <w:rsid w:val="00203319"/>
    <w:rsid w:val="002035C2"/>
    <w:rsid w:val="002035D6"/>
    <w:rsid w:val="00203A7C"/>
    <w:rsid w:val="00203B3F"/>
    <w:rsid w:val="00203D72"/>
    <w:rsid w:val="00204067"/>
    <w:rsid w:val="00204151"/>
    <w:rsid w:val="002043D6"/>
    <w:rsid w:val="0020461E"/>
    <w:rsid w:val="002046C2"/>
    <w:rsid w:val="0020489E"/>
    <w:rsid w:val="00204C19"/>
    <w:rsid w:val="00204E05"/>
    <w:rsid w:val="002052A6"/>
    <w:rsid w:val="0020602B"/>
    <w:rsid w:val="00206448"/>
    <w:rsid w:val="002068CE"/>
    <w:rsid w:val="002068FB"/>
    <w:rsid w:val="00206AC5"/>
    <w:rsid w:val="00206EF4"/>
    <w:rsid w:val="002070A6"/>
    <w:rsid w:val="00207711"/>
    <w:rsid w:val="00207A21"/>
    <w:rsid w:val="00207F1B"/>
    <w:rsid w:val="002103A4"/>
    <w:rsid w:val="002103BE"/>
    <w:rsid w:val="002105DD"/>
    <w:rsid w:val="002106F1"/>
    <w:rsid w:val="002106F7"/>
    <w:rsid w:val="00210A11"/>
    <w:rsid w:val="00210D04"/>
    <w:rsid w:val="00210D4E"/>
    <w:rsid w:val="00210FB1"/>
    <w:rsid w:val="0021122B"/>
    <w:rsid w:val="0021197D"/>
    <w:rsid w:val="00211AAA"/>
    <w:rsid w:val="00211D73"/>
    <w:rsid w:val="002120D6"/>
    <w:rsid w:val="00212638"/>
    <w:rsid w:val="00212E5C"/>
    <w:rsid w:val="002136AC"/>
    <w:rsid w:val="002136C8"/>
    <w:rsid w:val="00213775"/>
    <w:rsid w:val="00213AC3"/>
    <w:rsid w:val="002142AB"/>
    <w:rsid w:val="00214A71"/>
    <w:rsid w:val="00214A7B"/>
    <w:rsid w:val="002152DD"/>
    <w:rsid w:val="0021540A"/>
    <w:rsid w:val="00215674"/>
    <w:rsid w:val="00215D27"/>
    <w:rsid w:val="00215FA6"/>
    <w:rsid w:val="0021606D"/>
    <w:rsid w:val="0021687F"/>
    <w:rsid w:val="00216BFB"/>
    <w:rsid w:val="00216D09"/>
    <w:rsid w:val="00217AA8"/>
    <w:rsid w:val="00217ED0"/>
    <w:rsid w:val="00220A2C"/>
    <w:rsid w:val="00220BB1"/>
    <w:rsid w:val="00220F8E"/>
    <w:rsid w:val="00220FB5"/>
    <w:rsid w:val="00221291"/>
    <w:rsid w:val="00221628"/>
    <w:rsid w:val="00222172"/>
    <w:rsid w:val="00222456"/>
    <w:rsid w:val="00222598"/>
    <w:rsid w:val="00222FDC"/>
    <w:rsid w:val="002233AD"/>
    <w:rsid w:val="002234CC"/>
    <w:rsid w:val="00223DD3"/>
    <w:rsid w:val="00223F08"/>
    <w:rsid w:val="0022430F"/>
    <w:rsid w:val="00224995"/>
    <w:rsid w:val="002249D1"/>
    <w:rsid w:val="00224C79"/>
    <w:rsid w:val="0022542C"/>
    <w:rsid w:val="0022563F"/>
    <w:rsid w:val="002257CC"/>
    <w:rsid w:val="002259FA"/>
    <w:rsid w:val="00225A33"/>
    <w:rsid w:val="00225C11"/>
    <w:rsid w:val="00225CBE"/>
    <w:rsid w:val="0022615D"/>
    <w:rsid w:val="00226293"/>
    <w:rsid w:val="00226336"/>
    <w:rsid w:val="00226353"/>
    <w:rsid w:val="00226A24"/>
    <w:rsid w:val="00226A59"/>
    <w:rsid w:val="00226BA5"/>
    <w:rsid w:val="0022701F"/>
    <w:rsid w:val="00227AA1"/>
    <w:rsid w:val="00227B2F"/>
    <w:rsid w:val="00227D30"/>
    <w:rsid w:val="00230288"/>
    <w:rsid w:val="0023038B"/>
    <w:rsid w:val="00230625"/>
    <w:rsid w:val="00230A8E"/>
    <w:rsid w:val="00230D1B"/>
    <w:rsid w:val="00231099"/>
    <w:rsid w:val="00231378"/>
    <w:rsid w:val="00231E59"/>
    <w:rsid w:val="0023218F"/>
    <w:rsid w:val="0023335E"/>
    <w:rsid w:val="00233606"/>
    <w:rsid w:val="00233625"/>
    <w:rsid w:val="00233645"/>
    <w:rsid w:val="00233AB7"/>
    <w:rsid w:val="00233F41"/>
    <w:rsid w:val="00233F96"/>
    <w:rsid w:val="00234B95"/>
    <w:rsid w:val="00234CA7"/>
    <w:rsid w:val="00234DA6"/>
    <w:rsid w:val="0023598C"/>
    <w:rsid w:val="002359E9"/>
    <w:rsid w:val="00235A12"/>
    <w:rsid w:val="00235BFF"/>
    <w:rsid w:val="00235C5A"/>
    <w:rsid w:val="00236238"/>
    <w:rsid w:val="00236333"/>
    <w:rsid w:val="0023657E"/>
    <w:rsid w:val="0023670F"/>
    <w:rsid w:val="00236AD4"/>
    <w:rsid w:val="00236D64"/>
    <w:rsid w:val="00236F1F"/>
    <w:rsid w:val="0023703A"/>
    <w:rsid w:val="0023707F"/>
    <w:rsid w:val="00237080"/>
    <w:rsid w:val="002378FC"/>
    <w:rsid w:val="00237DD3"/>
    <w:rsid w:val="002401A5"/>
    <w:rsid w:val="0024041D"/>
    <w:rsid w:val="002404BE"/>
    <w:rsid w:val="002404E2"/>
    <w:rsid w:val="00241914"/>
    <w:rsid w:val="00241CDC"/>
    <w:rsid w:val="00241DDB"/>
    <w:rsid w:val="002420C4"/>
    <w:rsid w:val="002424B9"/>
    <w:rsid w:val="002429CA"/>
    <w:rsid w:val="002429E8"/>
    <w:rsid w:val="00242CAC"/>
    <w:rsid w:val="00242D8C"/>
    <w:rsid w:val="00242E51"/>
    <w:rsid w:val="00243069"/>
    <w:rsid w:val="00243309"/>
    <w:rsid w:val="002433BB"/>
    <w:rsid w:val="00243486"/>
    <w:rsid w:val="00243762"/>
    <w:rsid w:val="00243A81"/>
    <w:rsid w:val="00243C2C"/>
    <w:rsid w:val="002441CB"/>
    <w:rsid w:val="0024482E"/>
    <w:rsid w:val="00244D57"/>
    <w:rsid w:val="00245091"/>
    <w:rsid w:val="0024551C"/>
    <w:rsid w:val="00245F48"/>
    <w:rsid w:val="002461FD"/>
    <w:rsid w:val="0024672B"/>
    <w:rsid w:val="00246883"/>
    <w:rsid w:val="00246AAE"/>
    <w:rsid w:val="002470D6"/>
    <w:rsid w:val="00247494"/>
    <w:rsid w:val="002475FA"/>
    <w:rsid w:val="0024760E"/>
    <w:rsid w:val="002476D6"/>
    <w:rsid w:val="00250379"/>
    <w:rsid w:val="00250515"/>
    <w:rsid w:val="002506E7"/>
    <w:rsid w:val="00250DD7"/>
    <w:rsid w:val="00250F76"/>
    <w:rsid w:val="002511D5"/>
    <w:rsid w:val="002513CF"/>
    <w:rsid w:val="00251454"/>
    <w:rsid w:val="0025193C"/>
    <w:rsid w:val="00252192"/>
    <w:rsid w:val="00252338"/>
    <w:rsid w:val="0025243A"/>
    <w:rsid w:val="0025250F"/>
    <w:rsid w:val="00252CE2"/>
    <w:rsid w:val="00253968"/>
    <w:rsid w:val="00253C8E"/>
    <w:rsid w:val="00253D9E"/>
    <w:rsid w:val="00253F9C"/>
    <w:rsid w:val="00253FD8"/>
    <w:rsid w:val="00253FDE"/>
    <w:rsid w:val="00254134"/>
    <w:rsid w:val="002543F5"/>
    <w:rsid w:val="002548D9"/>
    <w:rsid w:val="002549B8"/>
    <w:rsid w:val="00254EB6"/>
    <w:rsid w:val="00255AB1"/>
    <w:rsid w:val="00255B3F"/>
    <w:rsid w:val="00255FB6"/>
    <w:rsid w:val="00256001"/>
    <w:rsid w:val="0025619C"/>
    <w:rsid w:val="00256490"/>
    <w:rsid w:val="00256811"/>
    <w:rsid w:val="00256D67"/>
    <w:rsid w:val="00256F6F"/>
    <w:rsid w:val="002576F3"/>
    <w:rsid w:val="00257A05"/>
    <w:rsid w:val="00257A67"/>
    <w:rsid w:val="00257C57"/>
    <w:rsid w:val="00257C59"/>
    <w:rsid w:val="00257F0E"/>
    <w:rsid w:val="00260216"/>
    <w:rsid w:val="00260768"/>
    <w:rsid w:val="00260F40"/>
    <w:rsid w:val="002614C4"/>
    <w:rsid w:val="002617A0"/>
    <w:rsid w:val="00261847"/>
    <w:rsid w:val="002619AF"/>
    <w:rsid w:val="00261A18"/>
    <w:rsid w:val="00261DA0"/>
    <w:rsid w:val="00261E86"/>
    <w:rsid w:val="00261FD9"/>
    <w:rsid w:val="00262467"/>
    <w:rsid w:val="002625EA"/>
    <w:rsid w:val="00262901"/>
    <w:rsid w:val="002632DC"/>
    <w:rsid w:val="00263432"/>
    <w:rsid w:val="00263747"/>
    <w:rsid w:val="00263BAB"/>
    <w:rsid w:val="00263FD0"/>
    <w:rsid w:val="0026405C"/>
    <w:rsid w:val="0026422B"/>
    <w:rsid w:val="0026449B"/>
    <w:rsid w:val="002647C0"/>
    <w:rsid w:val="00264836"/>
    <w:rsid w:val="00264893"/>
    <w:rsid w:val="00264E7A"/>
    <w:rsid w:val="00264E91"/>
    <w:rsid w:val="002654C7"/>
    <w:rsid w:val="0026577D"/>
    <w:rsid w:val="002658FD"/>
    <w:rsid w:val="00265C44"/>
    <w:rsid w:val="00265C61"/>
    <w:rsid w:val="00266522"/>
    <w:rsid w:val="00266549"/>
    <w:rsid w:val="0026662F"/>
    <w:rsid w:val="00266EBA"/>
    <w:rsid w:val="002672AF"/>
    <w:rsid w:val="00267B8D"/>
    <w:rsid w:val="0027029C"/>
    <w:rsid w:val="0027091E"/>
    <w:rsid w:val="00270984"/>
    <w:rsid w:val="00270C20"/>
    <w:rsid w:val="00270E20"/>
    <w:rsid w:val="00270FEE"/>
    <w:rsid w:val="0027114E"/>
    <w:rsid w:val="002712B6"/>
    <w:rsid w:val="0027136B"/>
    <w:rsid w:val="00271AE6"/>
    <w:rsid w:val="00271B3E"/>
    <w:rsid w:val="00271E61"/>
    <w:rsid w:val="00271FA2"/>
    <w:rsid w:val="002722AA"/>
    <w:rsid w:val="00272327"/>
    <w:rsid w:val="0027234D"/>
    <w:rsid w:val="002723EF"/>
    <w:rsid w:val="00272A87"/>
    <w:rsid w:val="00272B34"/>
    <w:rsid w:val="0027321F"/>
    <w:rsid w:val="00273956"/>
    <w:rsid w:val="00273D87"/>
    <w:rsid w:val="00273EDF"/>
    <w:rsid w:val="00274019"/>
    <w:rsid w:val="002745A2"/>
    <w:rsid w:val="00274DBA"/>
    <w:rsid w:val="00274EE8"/>
    <w:rsid w:val="00275065"/>
    <w:rsid w:val="0027513F"/>
    <w:rsid w:val="00275274"/>
    <w:rsid w:val="00275ADD"/>
    <w:rsid w:val="00275FCF"/>
    <w:rsid w:val="00275FEC"/>
    <w:rsid w:val="00276993"/>
    <w:rsid w:val="00277237"/>
    <w:rsid w:val="00277B41"/>
    <w:rsid w:val="00277E12"/>
    <w:rsid w:val="00277E63"/>
    <w:rsid w:val="002802C8"/>
    <w:rsid w:val="0028067E"/>
    <w:rsid w:val="002808E4"/>
    <w:rsid w:val="00280973"/>
    <w:rsid w:val="00280A9F"/>
    <w:rsid w:val="002816B8"/>
    <w:rsid w:val="00282264"/>
    <w:rsid w:val="00282518"/>
    <w:rsid w:val="00282519"/>
    <w:rsid w:val="002828C5"/>
    <w:rsid w:val="00283317"/>
    <w:rsid w:val="002836CA"/>
    <w:rsid w:val="00283723"/>
    <w:rsid w:val="002837F2"/>
    <w:rsid w:val="0028385C"/>
    <w:rsid w:val="00283BC6"/>
    <w:rsid w:val="00283D5F"/>
    <w:rsid w:val="00283E41"/>
    <w:rsid w:val="0028410D"/>
    <w:rsid w:val="00284231"/>
    <w:rsid w:val="0028464D"/>
    <w:rsid w:val="00284653"/>
    <w:rsid w:val="00284D7D"/>
    <w:rsid w:val="002850FF"/>
    <w:rsid w:val="00285EBB"/>
    <w:rsid w:val="002861AF"/>
    <w:rsid w:val="002862F8"/>
    <w:rsid w:val="002865AD"/>
    <w:rsid w:val="00286D03"/>
    <w:rsid w:val="00287581"/>
    <w:rsid w:val="00287A19"/>
    <w:rsid w:val="00287EDE"/>
    <w:rsid w:val="00287F0A"/>
    <w:rsid w:val="00290108"/>
    <w:rsid w:val="00290368"/>
    <w:rsid w:val="002908AA"/>
    <w:rsid w:val="00290C05"/>
    <w:rsid w:val="00291144"/>
    <w:rsid w:val="002914CD"/>
    <w:rsid w:val="002918D2"/>
    <w:rsid w:val="0029195C"/>
    <w:rsid w:val="00291A42"/>
    <w:rsid w:val="00291B8B"/>
    <w:rsid w:val="00291C1D"/>
    <w:rsid w:val="00291F43"/>
    <w:rsid w:val="00292101"/>
    <w:rsid w:val="0029218A"/>
    <w:rsid w:val="002926BD"/>
    <w:rsid w:val="002927E7"/>
    <w:rsid w:val="002929F0"/>
    <w:rsid w:val="00292B65"/>
    <w:rsid w:val="00292D71"/>
    <w:rsid w:val="00293067"/>
    <w:rsid w:val="002931B7"/>
    <w:rsid w:val="002938DE"/>
    <w:rsid w:val="0029395D"/>
    <w:rsid w:val="002939EF"/>
    <w:rsid w:val="00293B02"/>
    <w:rsid w:val="00293D2C"/>
    <w:rsid w:val="00293EB1"/>
    <w:rsid w:val="002941B6"/>
    <w:rsid w:val="00294525"/>
    <w:rsid w:val="0029453D"/>
    <w:rsid w:val="00295715"/>
    <w:rsid w:val="0029586C"/>
    <w:rsid w:val="0029592E"/>
    <w:rsid w:val="00295D41"/>
    <w:rsid w:val="00295D73"/>
    <w:rsid w:val="00295E4E"/>
    <w:rsid w:val="0029618E"/>
    <w:rsid w:val="0029654A"/>
    <w:rsid w:val="002969FB"/>
    <w:rsid w:val="00296AC4"/>
    <w:rsid w:val="00296BC3"/>
    <w:rsid w:val="00296E47"/>
    <w:rsid w:val="002971A6"/>
    <w:rsid w:val="0029774E"/>
    <w:rsid w:val="002978AE"/>
    <w:rsid w:val="00297C27"/>
    <w:rsid w:val="002A0558"/>
    <w:rsid w:val="002A0634"/>
    <w:rsid w:val="002A1BD2"/>
    <w:rsid w:val="002A1CCD"/>
    <w:rsid w:val="002A20AC"/>
    <w:rsid w:val="002A2D5C"/>
    <w:rsid w:val="002A2D70"/>
    <w:rsid w:val="002A2E8E"/>
    <w:rsid w:val="002A3058"/>
    <w:rsid w:val="002A3799"/>
    <w:rsid w:val="002A39E2"/>
    <w:rsid w:val="002A3A9F"/>
    <w:rsid w:val="002A3B95"/>
    <w:rsid w:val="002A3C35"/>
    <w:rsid w:val="002A434E"/>
    <w:rsid w:val="002A441E"/>
    <w:rsid w:val="002A46AD"/>
    <w:rsid w:val="002A5132"/>
    <w:rsid w:val="002A53B0"/>
    <w:rsid w:val="002A58CC"/>
    <w:rsid w:val="002A624E"/>
    <w:rsid w:val="002A644A"/>
    <w:rsid w:val="002A6C3A"/>
    <w:rsid w:val="002A6D89"/>
    <w:rsid w:val="002A6DD9"/>
    <w:rsid w:val="002A7004"/>
    <w:rsid w:val="002A778C"/>
    <w:rsid w:val="002A7BC6"/>
    <w:rsid w:val="002A7EBB"/>
    <w:rsid w:val="002A7EBF"/>
    <w:rsid w:val="002A7FFB"/>
    <w:rsid w:val="002B038D"/>
    <w:rsid w:val="002B05AF"/>
    <w:rsid w:val="002B076B"/>
    <w:rsid w:val="002B07B5"/>
    <w:rsid w:val="002B0D0B"/>
    <w:rsid w:val="002B0E86"/>
    <w:rsid w:val="002B18CF"/>
    <w:rsid w:val="002B1925"/>
    <w:rsid w:val="002B192C"/>
    <w:rsid w:val="002B19BD"/>
    <w:rsid w:val="002B1B96"/>
    <w:rsid w:val="002B1E8E"/>
    <w:rsid w:val="002B1E93"/>
    <w:rsid w:val="002B1EC2"/>
    <w:rsid w:val="002B21D2"/>
    <w:rsid w:val="002B22A4"/>
    <w:rsid w:val="002B234F"/>
    <w:rsid w:val="002B265F"/>
    <w:rsid w:val="002B2B77"/>
    <w:rsid w:val="002B2E44"/>
    <w:rsid w:val="002B2F9A"/>
    <w:rsid w:val="002B3364"/>
    <w:rsid w:val="002B38F5"/>
    <w:rsid w:val="002B3AE0"/>
    <w:rsid w:val="002B3B66"/>
    <w:rsid w:val="002B4433"/>
    <w:rsid w:val="002B4577"/>
    <w:rsid w:val="002B4A99"/>
    <w:rsid w:val="002B5D25"/>
    <w:rsid w:val="002B627F"/>
    <w:rsid w:val="002B6622"/>
    <w:rsid w:val="002B668D"/>
    <w:rsid w:val="002B6B2C"/>
    <w:rsid w:val="002B6EA4"/>
    <w:rsid w:val="002B712C"/>
    <w:rsid w:val="002B715D"/>
    <w:rsid w:val="002B7215"/>
    <w:rsid w:val="002B76F4"/>
    <w:rsid w:val="002B779B"/>
    <w:rsid w:val="002C021D"/>
    <w:rsid w:val="002C041A"/>
    <w:rsid w:val="002C062E"/>
    <w:rsid w:val="002C0984"/>
    <w:rsid w:val="002C0B64"/>
    <w:rsid w:val="002C0BA5"/>
    <w:rsid w:val="002C0EB8"/>
    <w:rsid w:val="002C0F30"/>
    <w:rsid w:val="002C0F5F"/>
    <w:rsid w:val="002C180B"/>
    <w:rsid w:val="002C1A17"/>
    <w:rsid w:val="002C1AA3"/>
    <w:rsid w:val="002C1B54"/>
    <w:rsid w:val="002C1CB0"/>
    <w:rsid w:val="002C2353"/>
    <w:rsid w:val="002C2470"/>
    <w:rsid w:val="002C2496"/>
    <w:rsid w:val="002C2795"/>
    <w:rsid w:val="002C283D"/>
    <w:rsid w:val="002C2AC5"/>
    <w:rsid w:val="002C2D6A"/>
    <w:rsid w:val="002C32DD"/>
    <w:rsid w:val="002C3534"/>
    <w:rsid w:val="002C3798"/>
    <w:rsid w:val="002C39E0"/>
    <w:rsid w:val="002C3FB5"/>
    <w:rsid w:val="002C3FF7"/>
    <w:rsid w:val="002C4151"/>
    <w:rsid w:val="002C44F2"/>
    <w:rsid w:val="002C527C"/>
    <w:rsid w:val="002C5AFB"/>
    <w:rsid w:val="002C600A"/>
    <w:rsid w:val="002C62EC"/>
    <w:rsid w:val="002C64B3"/>
    <w:rsid w:val="002C67F4"/>
    <w:rsid w:val="002C6B38"/>
    <w:rsid w:val="002C7176"/>
    <w:rsid w:val="002C7206"/>
    <w:rsid w:val="002C791B"/>
    <w:rsid w:val="002C7BA6"/>
    <w:rsid w:val="002C7FD3"/>
    <w:rsid w:val="002D04DC"/>
    <w:rsid w:val="002D0F03"/>
    <w:rsid w:val="002D16AD"/>
    <w:rsid w:val="002D1826"/>
    <w:rsid w:val="002D2279"/>
    <w:rsid w:val="002D276B"/>
    <w:rsid w:val="002D2D76"/>
    <w:rsid w:val="002D2E24"/>
    <w:rsid w:val="002D2ED4"/>
    <w:rsid w:val="002D3353"/>
    <w:rsid w:val="002D34B2"/>
    <w:rsid w:val="002D3A91"/>
    <w:rsid w:val="002D3F17"/>
    <w:rsid w:val="002D3FE3"/>
    <w:rsid w:val="002D4075"/>
    <w:rsid w:val="002D4565"/>
    <w:rsid w:val="002D46BA"/>
    <w:rsid w:val="002D4B83"/>
    <w:rsid w:val="002D4CEF"/>
    <w:rsid w:val="002D4E11"/>
    <w:rsid w:val="002D52F1"/>
    <w:rsid w:val="002D54C6"/>
    <w:rsid w:val="002D5535"/>
    <w:rsid w:val="002D559B"/>
    <w:rsid w:val="002D577B"/>
    <w:rsid w:val="002D5DDB"/>
    <w:rsid w:val="002D6150"/>
    <w:rsid w:val="002D657D"/>
    <w:rsid w:val="002D67E7"/>
    <w:rsid w:val="002D7377"/>
    <w:rsid w:val="002D76D1"/>
    <w:rsid w:val="002D7949"/>
    <w:rsid w:val="002E0158"/>
    <w:rsid w:val="002E03D8"/>
    <w:rsid w:val="002E0473"/>
    <w:rsid w:val="002E07B9"/>
    <w:rsid w:val="002E100D"/>
    <w:rsid w:val="002E1B8D"/>
    <w:rsid w:val="002E1BD0"/>
    <w:rsid w:val="002E1D39"/>
    <w:rsid w:val="002E24E2"/>
    <w:rsid w:val="002E2524"/>
    <w:rsid w:val="002E26B4"/>
    <w:rsid w:val="002E2757"/>
    <w:rsid w:val="002E2AFE"/>
    <w:rsid w:val="002E3307"/>
    <w:rsid w:val="002E3830"/>
    <w:rsid w:val="002E388E"/>
    <w:rsid w:val="002E3D8E"/>
    <w:rsid w:val="002E3EAE"/>
    <w:rsid w:val="002E407B"/>
    <w:rsid w:val="002E4090"/>
    <w:rsid w:val="002E447C"/>
    <w:rsid w:val="002E4AA7"/>
    <w:rsid w:val="002E4D47"/>
    <w:rsid w:val="002E4F24"/>
    <w:rsid w:val="002E4F3E"/>
    <w:rsid w:val="002E50EF"/>
    <w:rsid w:val="002E53DB"/>
    <w:rsid w:val="002E54BC"/>
    <w:rsid w:val="002E573D"/>
    <w:rsid w:val="002E58DD"/>
    <w:rsid w:val="002E5AAC"/>
    <w:rsid w:val="002E5E90"/>
    <w:rsid w:val="002E6352"/>
    <w:rsid w:val="002E65C8"/>
    <w:rsid w:val="002E65DE"/>
    <w:rsid w:val="002E6EBB"/>
    <w:rsid w:val="002E6F15"/>
    <w:rsid w:val="002E70D7"/>
    <w:rsid w:val="002E70FB"/>
    <w:rsid w:val="002E752A"/>
    <w:rsid w:val="002E75EA"/>
    <w:rsid w:val="002E78A3"/>
    <w:rsid w:val="002F0108"/>
    <w:rsid w:val="002F01EB"/>
    <w:rsid w:val="002F038C"/>
    <w:rsid w:val="002F03A9"/>
    <w:rsid w:val="002F0944"/>
    <w:rsid w:val="002F118D"/>
    <w:rsid w:val="002F133C"/>
    <w:rsid w:val="002F1717"/>
    <w:rsid w:val="002F1972"/>
    <w:rsid w:val="002F1B76"/>
    <w:rsid w:val="002F25D8"/>
    <w:rsid w:val="002F272F"/>
    <w:rsid w:val="002F2743"/>
    <w:rsid w:val="002F28DA"/>
    <w:rsid w:val="002F2D89"/>
    <w:rsid w:val="002F2E3E"/>
    <w:rsid w:val="002F33E9"/>
    <w:rsid w:val="002F3484"/>
    <w:rsid w:val="002F351A"/>
    <w:rsid w:val="002F390F"/>
    <w:rsid w:val="002F39E8"/>
    <w:rsid w:val="002F426E"/>
    <w:rsid w:val="002F45D9"/>
    <w:rsid w:val="002F4737"/>
    <w:rsid w:val="002F4AC1"/>
    <w:rsid w:val="002F5184"/>
    <w:rsid w:val="002F5312"/>
    <w:rsid w:val="002F5624"/>
    <w:rsid w:val="002F56F5"/>
    <w:rsid w:val="002F577E"/>
    <w:rsid w:val="002F5969"/>
    <w:rsid w:val="002F5B9C"/>
    <w:rsid w:val="002F5DD8"/>
    <w:rsid w:val="002F5E69"/>
    <w:rsid w:val="002F6118"/>
    <w:rsid w:val="002F6788"/>
    <w:rsid w:val="002F6AA6"/>
    <w:rsid w:val="002F717F"/>
    <w:rsid w:val="002F7A43"/>
    <w:rsid w:val="0030006A"/>
    <w:rsid w:val="003000A4"/>
    <w:rsid w:val="00300AA2"/>
    <w:rsid w:val="00300C67"/>
    <w:rsid w:val="00300D77"/>
    <w:rsid w:val="003010A9"/>
    <w:rsid w:val="00301283"/>
    <w:rsid w:val="0030176A"/>
    <w:rsid w:val="00301C79"/>
    <w:rsid w:val="0030214B"/>
    <w:rsid w:val="00302AC5"/>
    <w:rsid w:val="00302C3E"/>
    <w:rsid w:val="0030325B"/>
    <w:rsid w:val="003032D6"/>
    <w:rsid w:val="0030395E"/>
    <w:rsid w:val="0030398D"/>
    <w:rsid w:val="003039D6"/>
    <w:rsid w:val="00303A88"/>
    <w:rsid w:val="00303F5E"/>
    <w:rsid w:val="00304045"/>
    <w:rsid w:val="00304D7D"/>
    <w:rsid w:val="003052C8"/>
    <w:rsid w:val="00305483"/>
    <w:rsid w:val="0030558F"/>
    <w:rsid w:val="00305870"/>
    <w:rsid w:val="00305952"/>
    <w:rsid w:val="00305A04"/>
    <w:rsid w:val="00305C85"/>
    <w:rsid w:val="00305CA8"/>
    <w:rsid w:val="00305D61"/>
    <w:rsid w:val="00305EE3"/>
    <w:rsid w:val="003062AF"/>
    <w:rsid w:val="003063B0"/>
    <w:rsid w:val="00306E1B"/>
    <w:rsid w:val="0030783F"/>
    <w:rsid w:val="0030789E"/>
    <w:rsid w:val="003079A0"/>
    <w:rsid w:val="00307B35"/>
    <w:rsid w:val="00307F80"/>
    <w:rsid w:val="0031001B"/>
    <w:rsid w:val="00310312"/>
    <w:rsid w:val="0031090E"/>
    <w:rsid w:val="00310CA9"/>
    <w:rsid w:val="00311021"/>
    <w:rsid w:val="00311A98"/>
    <w:rsid w:val="00311AF9"/>
    <w:rsid w:val="00311FE4"/>
    <w:rsid w:val="003122DE"/>
    <w:rsid w:val="0031258F"/>
    <w:rsid w:val="003126CC"/>
    <w:rsid w:val="00312819"/>
    <w:rsid w:val="00312D29"/>
    <w:rsid w:val="00312E1A"/>
    <w:rsid w:val="00313167"/>
    <w:rsid w:val="00313A0D"/>
    <w:rsid w:val="00313ABB"/>
    <w:rsid w:val="00313B91"/>
    <w:rsid w:val="00314064"/>
    <w:rsid w:val="0031453E"/>
    <w:rsid w:val="0031456D"/>
    <w:rsid w:val="00314706"/>
    <w:rsid w:val="00314B4A"/>
    <w:rsid w:val="00314D07"/>
    <w:rsid w:val="00314DA4"/>
    <w:rsid w:val="003153AB"/>
    <w:rsid w:val="0031549B"/>
    <w:rsid w:val="0031552A"/>
    <w:rsid w:val="00315CCD"/>
    <w:rsid w:val="00316017"/>
    <w:rsid w:val="0031621D"/>
    <w:rsid w:val="00316487"/>
    <w:rsid w:val="00316CE7"/>
    <w:rsid w:val="00317003"/>
    <w:rsid w:val="00317301"/>
    <w:rsid w:val="003174FA"/>
    <w:rsid w:val="003175F2"/>
    <w:rsid w:val="00317638"/>
    <w:rsid w:val="00317655"/>
    <w:rsid w:val="0032025D"/>
    <w:rsid w:val="003204E5"/>
    <w:rsid w:val="00320866"/>
    <w:rsid w:val="00320B64"/>
    <w:rsid w:val="00320D62"/>
    <w:rsid w:val="00320E18"/>
    <w:rsid w:val="00320EDC"/>
    <w:rsid w:val="0032103F"/>
    <w:rsid w:val="003216FC"/>
    <w:rsid w:val="00321D09"/>
    <w:rsid w:val="00321E38"/>
    <w:rsid w:val="00322115"/>
    <w:rsid w:val="00322449"/>
    <w:rsid w:val="003230FD"/>
    <w:rsid w:val="003231D7"/>
    <w:rsid w:val="003232B5"/>
    <w:rsid w:val="003235C9"/>
    <w:rsid w:val="003236AD"/>
    <w:rsid w:val="003237B4"/>
    <w:rsid w:val="00323CC0"/>
    <w:rsid w:val="00324388"/>
    <w:rsid w:val="0032470D"/>
    <w:rsid w:val="00324BB8"/>
    <w:rsid w:val="003254A9"/>
    <w:rsid w:val="00325D34"/>
    <w:rsid w:val="00325D45"/>
    <w:rsid w:val="00325E07"/>
    <w:rsid w:val="0032603F"/>
    <w:rsid w:val="00326072"/>
    <w:rsid w:val="00326518"/>
    <w:rsid w:val="00326590"/>
    <w:rsid w:val="0032675C"/>
    <w:rsid w:val="0032688A"/>
    <w:rsid w:val="003275AE"/>
    <w:rsid w:val="00327844"/>
    <w:rsid w:val="00327A49"/>
    <w:rsid w:val="0033058C"/>
    <w:rsid w:val="0033095A"/>
    <w:rsid w:val="00330BD5"/>
    <w:rsid w:val="00330CAC"/>
    <w:rsid w:val="00330D01"/>
    <w:rsid w:val="00330D4B"/>
    <w:rsid w:val="00330F9C"/>
    <w:rsid w:val="00330FC4"/>
    <w:rsid w:val="00331064"/>
    <w:rsid w:val="003318EF"/>
    <w:rsid w:val="00332133"/>
    <w:rsid w:val="00332197"/>
    <w:rsid w:val="003327EB"/>
    <w:rsid w:val="00333738"/>
    <w:rsid w:val="003338FB"/>
    <w:rsid w:val="0033395A"/>
    <w:rsid w:val="00333A30"/>
    <w:rsid w:val="00333CA7"/>
    <w:rsid w:val="0033407B"/>
    <w:rsid w:val="00334168"/>
    <w:rsid w:val="003345DB"/>
    <w:rsid w:val="00334BD8"/>
    <w:rsid w:val="003350E9"/>
    <w:rsid w:val="0033526B"/>
    <w:rsid w:val="0033542E"/>
    <w:rsid w:val="00335D40"/>
    <w:rsid w:val="00335D5F"/>
    <w:rsid w:val="003362F5"/>
    <w:rsid w:val="00336D1E"/>
    <w:rsid w:val="00336F44"/>
    <w:rsid w:val="0033732B"/>
    <w:rsid w:val="00337A69"/>
    <w:rsid w:val="00337B3E"/>
    <w:rsid w:val="00337F85"/>
    <w:rsid w:val="0034036D"/>
    <w:rsid w:val="00340514"/>
    <w:rsid w:val="0034064A"/>
    <w:rsid w:val="00340672"/>
    <w:rsid w:val="0034073E"/>
    <w:rsid w:val="00340AE4"/>
    <w:rsid w:val="00340C95"/>
    <w:rsid w:val="00340F35"/>
    <w:rsid w:val="00340F73"/>
    <w:rsid w:val="00341622"/>
    <w:rsid w:val="003416CA"/>
    <w:rsid w:val="00341ABF"/>
    <w:rsid w:val="00341B82"/>
    <w:rsid w:val="00341C27"/>
    <w:rsid w:val="0034236F"/>
    <w:rsid w:val="00342E0F"/>
    <w:rsid w:val="00342E23"/>
    <w:rsid w:val="0034324B"/>
    <w:rsid w:val="0034330B"/>
    <w:rsid w:val="003435AF"/>
    <w:rsid w:val="00343C59"/>
    <w:rsid w:val="00343DB9"/>
    <w:rsid w:val="00343FC4"/>
    <w:rsid w:val="0034414C"/>
    <w:rsid w:val="00344591"/>
    <w:rsid w:val="00344B93"/>
    <w:rsid w:val="00344BCF"/>
    <w:rsid w:val="00344E11"/>
    <w:rsid w:val="003451A9"/>
    <w:rsid w:val="00345283"/>
    <w:rsid w:val="00345E2B"/>
    <w:rsid w:val="0034628C"/>
    <w:rsid w:val="003462BA"/>
    <w:rsid w:val="003464DC"/>
    <w:rsid w:val="00346720"/>
    <w:rsid w:val="00346BCE"/>
    <w:rsid w:val="00346C08"/>
    <w:rsid w:val="0034719E"/>
    <w:rsid w:val="003474E0"/>
    <w:rsid w:val="003475C3"/>
    <w:rsid w:val="00347BCD"/>
    <w:rsid w:val="003501F9"/>
    <w:rsid w:val="00350277"/>
    <w:rsid w:val="0035045E"/>
    <w:rsid w:val="00350554"/>
    <w:rsid w:val="0035095C"/>
    <w:rsid w:val="00350ABB"/>
    <w:rsid w:val="00350B5C"/>
    <w:rsid w:val="00350C6D"/>
    <w:rsid w:val="00350CE3"/>
    <w:rsid w:val="00351030"/>
    <w:rsid w:val="00351FDF"/>
    <w:rsid w:val="00352329"/>
    <w:rsid w:val="0035236A"/>
    <w:rsid w:val="00353963"/>
    <w:rsid w:val="00353CFA"/>
    <w:rsid w:val="00354010"/>
    <w:rsid w:val="00354286"/>
    <w:rsid w:val="0035478C"/>
    <w:rsid w:val="00354D10"/>
    <w:rsid w:val="003552BC"/>
    <w:rsid w:val="003552D9"/>
    <w:rsid w:val="00355330"/>
    <w:rsid w:val="00355BCE"/>
    <w:rsid w:val="00355CE9"/>
    <w:rsid w:val="00355EBF"/>
    <w:rsid w:val="00356012"/>
    <w:rsid w:val="00356281"/>
    <w:rsid w:val="0035630C"/>
    <w:rsid w:val="00356AED"/>
    <w:rsid w:val="00356E3A"/>
    <w:rsid w:val="00357056"/>
    <w:rsid w:val="003573E6"/>
    <w:rsid w:val="00357597"/>
    <w:rsid w:val="00357782"/>
    <w:rsid w:val="00357786"/>
    <w:rsid w:val="003577A0"/>
    <w:rsid w:val="00360345"/>
    <w:rsid w:val="0036041F"/>
    <w:rsid w:val="003604EF"/>
    <w:rsid w:val="00360B0F"/>
    <w:rsid w:val="00360C91"/>
    <w:rsid w:val="00360CA6"/>
    <w:rsid w:val="00360D41"/>
    <w:rsid w:val="00360E7D"/>
    <w:rsid w:val="0036104D"/>
    <w:rsid w:val="003610AE"/>
    <w:rsid w:val="00361961"/>
    <w:rsid w:val="003621F4"/>
    <w:rsid w:val="003622FE"/>
    <w:rsid w:val="00362CF1"/>
    <w:rsid w:val="00362D15"/>
    <w:rsid w:val="00362DE4"/>
    <w:rsid w:val="00363077"/>
    <w:rsid w:val="00363591"/>
    <w:rsid w:val="0036363E"/>
    <w:rsid w:val="0036364E"/>
    <w:rsid w:val="003636EE"/>
    <w:rsid w:val="00363895"/>
    <w:rsid w:val="00363D0C"/>
    <w:rsid w:val="00363D4F"/>
    <w:rsid w:val="00363E48"/>
    <w:rsid w:val="00363FD7"/>
    <w:rsid w:val="00364337"/>
    <w:rsid w:val="0036436A"/>
    <w:rsid w:val="003643FF"/>
    <w:rsid w:val="00364496"/>
    <w:rsid w:val="00364497"/>
    <w:rsid w:val="00364615"/>
    <w:rsid w:val="003647B1"/>
    <w:rsid w:val="00364C75"/>
    <w:rsid w:val="00366367"/>
    <w:rsid w:val="00366A6F"/>
    <w:rsid w:val="00366DC5"/>
    <w:rsid w:val="00367041"/>
    <w:rsid w:val="00367388"/>
    <w:rsid w:val="003673BF"/>
    <w:rsid w:val="0036762E"/>
    <w:rsid w:val="0036796D"/>
    <w:rsid w:val="00367B28"/>
    <w:rsid w:val="00367B9F"/>
    <w:rsid w:val="00370022"/>
    <w:rsid w:val="003702ED"/>
    <w:rsid w:val="003712DE"/>
    <w:rsid w:val="003714C5"/>
    <w:rsid w:val="0037152D"/>
    <w:rsid w:val="00371934"/>
    <w:rsid w:val="00371A44"/>
    <w:rsid w:val="00372479"/>
    <w:rsid w:val="0037252E"/>
    <w:rsid w:val="0037277F"/>
    <w:rsid w:val="00372C78"/>
    <w:rsid w:val="00372F41"/>
    <w:rsid w:val="00372FC1"/>
    <w:rsid w:val="00373591"/>
    <w:rsid w:val="0037395A"/>
    <w:rsid w:val="003739E7"/>
    <w:rsid w:val="00373B16"/>
    <w:rsid w:val="00373BEF"/>
    <w:rsid w:val="00373CCA"/>
    <w:rsid w:val="00373CDE"/>
    <w:rsid w:val="00373D7A"/>
    <w:rsid w:val="00374074"/>
    <w:rsid w:val="00374BB2"/>
    <w:rsid w:val="00374E86"/>
    <w:rsid w:val="00374ED6"/>
    <w:rsid w:val="00374F27"/>
    <w:rsid w:val="003750BD"/>
    <w:rsid w:val="003754B5"/>
    <w:rsid w:val="00375641"/>
    <w:rsid w:val="003756AE"/>
    <w:rsid w:val="00375C9E"/>
    <w:rsid w:val="00376216"/>
    <w:rsid w:val="0037634A"/>
    <w:rsid w:val="0037639D"/>
    <w:rsid w:val="00376588"/>
    <w:rsid w:val="00376595"/>
    <w:rsid w:val="003765F8"/>
    <w:rsid w:val="0037670D"/>
    <w:rsid w:val="003767D1"/>
    <w:rsid w:val="00376AA5"/>
    <w:rsid w:val="00377293"/>
    <w:rsid w:val="00377318"/>
    <w:rsid w:val="003775D9"/>
    <w:rsid w:val="00377680"/>
    <w:rsid w:val="0037785D"/>
    <w:rsid w:val="00377883"/>
    <w:rsid w:val="00377B1B"/>
    <w:rsid w:val="00377B61"/>
    <w:rsid w:val="00377B97"/>
    <w:rsid w:val="00377FD9"/>
    <w:rsid w:val="00380358"/>
    <w:rsid w:val="00380DE8"/>
    <w:rsid w:val="00381477"/>
    <w:rsid w:val="00381A67"/>
    <w:rsid w:val="00381A82"/>
    <w:rsid w:val="003822C1"/>
    <w:rsid w:val="00382409"/>
    <w:rsid w:val="0038298B"/>
    <w:rsid w:val="00382B0C"/>
    <w:rsid w:val="00382DEE"/>
    <w:rsid w:val="00383691"/>
    <w:rsid w:val="003836D3"/>
    <w:rsid w:val="00383A98"/>
    <w:rsid w:val="00383DE0"/>
    <w:rsid w:val="003840BC"/>
    <w:rsid w:val="00384AB3"/>
    <w:rsid w:val="00384DFB"/>
    <w:rsid w:val="0038519E"/>
    <w:rsid w:val="003854B9"/>
    <w:rsid w:val="0038555E"/>
    <w:rsid w:val="00385C68"/>
    <w:rsid w:val="00385E07"/>
    <w:rsid w:val="00386929"/>
    <w:rsid w:val="00386D96"/>
    <w:rsid w:val="00386FF5"/>
    <w:rsid w:val="0038706D"/>
    <w:rsid w:val="003872A2"/>
    <w:rsid w:val="003872C5"/>
    <w:rsid w:val="00387626"/>
    <w:rsid w:val="00387684"/>
    <w:rsid w:val="00387C7B"/>
    <w:rsid w:val="00390107"/>
    <w:rsid w:val="003901F6"/>
    <w:rsid w:val="0039092B"/>
    <w:rsid w:val="00390C36"/>
    <w:rsid w:val="00390E21"/>
    <w:rsid w:val="00390F59"/>
    <w:rsid w:val="0039134F"/>
    <w:rsid w:val="003915AC"/>
    <w:rsid w:val="00391A9D"/>
    <w:rsid w:val="00391B3F"/>
    <w:rsid w:val="00391CB2"/>
    <w:rsid w:val="003920F4"/>
    <w:rsid w:val="00392503"/>
    <w:rsid w:val="003925EB"/>
    <w:rsid w:val="0039268C"/>
    <w:rsid w:val="00392696"/>
    <w:rsid w:val="00392C41"/>
    <w:rsid w:val="00392CE4"/>
    <w:rsid w:val="00392DAE"/>
    <w:rsid w:val="00392E68"/>
    <w:rsid w:val="00392E80"/>
    <w:rsid w:val="003930DB"/>
    <w:rsid w:val="00393255"/>
    <w:rsid w:val="00393635"/>
    <w:rsid w:val="003938C2"/>
    <w:rsid w:val="00393AD5"/>
    <w:rsid w:val="00393E27"/>
    <w:rsid w:val="00394AB9"/>
    <w:rsid w:val="00394AE4"/>
    <w:rsid w:val="00394BD5"/>
    <w:rsid w:val="00394C1F"/>
    <w:rsid w:val="00394C26"/>
    <w:rsid w:val="00394D1C"/>
    <w:rsid w:val="00395352"/>
    <w:rsid w:val="00395889"/>
    <w:rsid w:val="00395A9E"/>
    <w:rsid w:val="00395B00"/>
    <w:rsid w:val="00395C48"/>
    <w:rsid w:val="00395D08"/>
    <w:rsid w:val="00396034"/>
    <w:rsid w:val="00396272"/>
    <w:rsid w:val="003963C0"/>
    <w:rsid w:val="00396448"/>
    <w:rsid w:val="0039688F"/>
    <w:rsid w:val="003968E4"/>
    <w:rsid w:val="00396C87"/>
    <w:rsid w:val="00396EE6"/>
    <w:rsid w:val="00396F72"/>
    <w:rsid w:val="003971A3"/>
    <w:rsid w:val="003972E7"/>
    <w:rsid w:val="00397625"/>
    <w:rsid w:val="0039774B"/>
    <w:rsid w:val="003978EF"/>
    <w:rsid w:val="00397B3B"/>
    <w:rsid w:val="00397B6A"/>
    <w:rsid w:val="00397C6F"/>
    <w:rsid w:val="003A01A0"/>
    <w:rsid w:val="003A0215"/>
    <w:rsid w:val="003A0573"/>
    <w:rsid w:val="003A0616"/>
    <w:rsid w:val="003A0C99"/>
    <w:rsid w:val="003A0CB1"/>
    <w:rsid w:val="003A1162"/>
    <w:rsid w:val="003A126C"/>
    <w:rsid w:val="003A1762"/>
    <w:rsid w:val="003A17AA"/>
    <w:rsid w:val="003A1802"/>
    <w:rsid w:val="003A1C1E"/>
    <w:rsid w:val="003A1CA3"/>
    <w:rsid w:val="003A1E02"/>
    <w:rsid w:val="003A1E5E"/>
    <w:rsid w:val="003A259D"/>
    <w:rsid w:val="003A2920"/>
    <w:rsid w:val="003A2A61"/>
    <w:rsid w:val="003A2C4D"/>
    <w:rsid w:val="003A2DA4"/>
    <w:rsid w:val="003A3567"/>
    <w:rsid w:val="003A3663"/>
    <w:rsid w:val="003A37E3"/>
    <w:rsid w:val="003A3A97"/>
    <w:rsid w:val="003A3E08"/>
    <w:rsid w:val="003A3ED2"/>
    <w:rsid w:val="003A424B"/>
    <w:rsid w:val="003A44F2"/>
    <w:rsid w:val="003A47CF"/>
    <w:rsid w:val="003A4DBF"/>
    <w:rsid w:val="003A5565"/>
    <w:rsid w:val="003A5B7D"/>
    <w:rsid w:val="003A600B"/>
    <w:rsid w:val="003A635F"/>
    <w:rsid w:val="003A6400"/>
    <w:rsid w:val="003A6543"/>
    <w:rsid w:val="003A668C"/>
    <w:rsid w:val="003A66B6"/>
    <w:rsid w:val="003A67E6"/>
    <w:rsid w:val="003A6878"/>
    <w:rsid w:val="003A7091"/>
    <w:rsid w:val="003A73C8"/>
    <w:rsid w:val="003A7930"/>
    <w:rsid w:val="003A7F6D"/>
    <w:rsid w:val="003B0440"/>
    <w:rsid w:val="003B0801"/>
    <w:rsid w:val="003B0990"/>
    <w:rsid w:val="003B10AD"/>
    <w:rsid w:val="003B1675"/>
    <w:rsid w:val="003B1F87"/>
    <w:rsid w:val="003B1FAD"/>
    <w:rsid w:val="003B237E"/>
    <w:rsid w:val="003B2519"/>
    <w:rsid w:val="003B25F1"/>
    <w:rsid w:val="003B26D3"/>
    <w:rsid w:val="003B2CF0"/>
    <w:rsid w:val="003B2D64"/>
    <w:rsid w:val="003B302A"/>
    <w:rsid w:val="003B33AA"/>
    <w:rsid w:val="003B397A"/>
    <w:rsid w:val="003B3A1A"/>
    <w:rsid w:val="003B3C1A"/>
    <w:rsid w:val="003B42D9"/>
    <w:rsid w:val="003B44D4"/>
    <w:rsid w:val="003B472C"/>
    <w:rsid w:val="003B5017"/>
    <w:rsid w:val="003B5461"/>
    <w:rsid w:val="003B56C5"/>
    <w:rsid w:val="003B57A9"/>
    <w:rsid w:val="003B59EB"/>
    <w:rsid w:val="003B5A45"/>
    <w:rsid w:val="003B5E5E"/>
    <w:rsid w:val="003B5FFA"/>
    <w:rsid w:val="003B616D"/>
    <w:rsid w:val="003B6399"/>
    <w:rsid w:val="003B63CD"/>
    <w:rsid w:val="003B6571"/>
    <w:rsid w:val="003B6A0F"/>
    <w:rsid w:val="003B6B8C"/>
    <w:rsid w:val="003B6D61"/>
    <w:rsid w:val="003B6DCA"/>
    <w:rsid w:val="003B71A3"/>
    <w:rsid w:val="003B7337"/>
    <w:rsid w:val="003B7545"/>
    <w:rsid w:val="003B7663"/>
    <w:rsid w:val="003B76CF"/>
    <w:rsid w:val="003B7C0C"/>
    <w:rsid w:val="003C052F"/>
    <w:rsid w:val="003C06AC"/>
    <w:rsid w:val="003C09B6"/>
    <w:rsid w:val="003C111E"/>
    <w:rsid w:val="003C13A6"/>
    <w:rsid w:val="003C19D4"/>
    <w:rsid w:val="003C1D5F"/>
    <w:rsid w:val="003C20BA"/>
    <w:rsid w:val="003C20BF"/>
    <w:rsid w:val="003C2BBC"/>
    <w:rsid w:val="003C2BBF"/>
    <w:rsid w:val="003C3129"/>
    <w:rsid w:val="003C3362"/>
    <w:rsid w:val="003C3457"/>
    <w:rsid w:val="003C34F5"/>
    <w:rsid w:val="003C3E46"/>
    <w:rsid w:val="003C4D87"/>
    <w:rsid w:val="003C549A"/>
    <w:rsid w:val="003C57FB"/>
    <w:rsid w:val="003C5EF1"/>
    <w:rsid w:val="003C5F3E"/>
    <w:rsid w:val="003C5FF4"/>
    <w:rsid w:val="003C6569"/>
    <w:rsid w:val="003C6646"/>
    <w:rsid w:val="003C6707"/>
    <w:rsid w:val="003C6DAA"/>
    <w:rsid w:val="003C7054"/>
    <w:rsid w:val="003C7170"/>
    <w:rsid w:val="003C7201"/>
    <w:rsid w:val="003C76F3"/>
    <w:rsid w:val="003C7766"/>
    <w:rsid w:val="003C7988"/>
    <w:rsid w:val="003D0163"/>
    <w:rsid w:val="003D0171"/>
    <w:rsid w:val="003D03EF"/>
    <w:rsid w:val="003D06EF"/>
    <w:rsid w:val="003D099C"/>
    <w:rsid w:val="003D0F1A"/>
    <w:rsid w:val="003D2182"/>
    <w:rsid w:val="003D2554"/>
    <w:rsid w:val="003D29CC"/>
    <w:rsid w:val="003D29D8"/>
    <w:rsid w:val="003D2A11"/>
    <w:rsid w:val="003D2D08"/>
    <w:rsid w:val="003D2E2F"/>
    <w:rsid w:val="003D32C2"/>
    <w:rsid w:val="003D3AAC"/>
    <w:rsid w:val="003D3AB8"/>
    <w:rsid w:val="003D3D3F"/>
    <w:rsid w:val="003D41B7"/>
    <w:rsid w:val="003D4399"/>
    <w:rsid w:val="003D4DBF"/>
    <w:rsid w:val="003D4E57"/>
    <w:rsid w:val="003D4EF4"/>
    <w:rsid w:val="003D4F4C"/>
    <w:rsid w:val="003D5137"/>
    <w:rsid w:val="003D5828"/>
    <w:rsid w:val="003D5A6A"/>
    <w:rsid w:val="003D5F96"/>
    <w:rsid w:val="003D632C"/>
    <w:rsid w:val="003D6568"/>
    <w:rsid w:val="003D66FD"/>
    <w:rsid w:val="003D6C19"/>
    <w:rsid w:val="003D6C36"/>
    <w:rsid w:val="003D6E78"/>
    <w:rsid w:val="003D7271"/>
    <w:rsid w:val="003D741C"/>
    <w:rsid w:val="003D7669"/>
    <w:rsid w:val="003D7B4A"/>
    <w:rsid w:val="003E0735"/>
    <w:rsid w:val="003E0AD6"/>
    <w:rsid w:val="003E0CCB"/>
    <w:rsid w:val="003E15C0"/>
    <w:rsid w:val="003E16D6"/>
    <w:rsid w:val="003E17BD"/>
    <w:rsid w:val="003E1F44"/>
    <w:rsid w:val="003E23F1"/>
    <w:rsid w:val="003E245C"/>
    <w:rsid w:val="003E2950"/>
    <w:rsid w:val="003E2F24"/>
    <w:rsid w:val="003E30A0"/>
    <w:rsid w:val="003E340A"/>
    <w:rsid w:val="003E392D"/>
    <w:rsid w:val="003E3E06"/>
    <w:rsid w:val="003E40B8"/>
    <w:rsid w:val="003E4173"/>
    <w:rsid w:val="003E4AA3"/>
    <w:rsid w:val="003E4FF5"/>
    <w:rsid w:val="003E54E3"/>
    <w:rsid w:val="003E553A"/>
    <w:rsid w:val="003E559E"/>
    <w:rsid w:val="003E57DA"/>
    <w:rsid w:val="003E5AD2"/>
    <w:rsid w:val="003E5D67"/>
    <w:rsid w:val="003E617E"/>
    <w:rsid w:val="003E6726"/>
    <w:rsid w:val="003E6750"/>
    <w:rsid w:val="003E67B8"/>
    <w:rsid w:val="003E6A0D"/>
    <w:rsid w:val="003E6AD2"/>
    <w:rsid w:val="003E6AE7"/>
    <w:rsid w:val="003E6B0A"/>
    <w:rsid w:val="003E7097"/>
    <w:rsid w:val="003E7493"/>
    <w:rsid w:val="003E7727"/>
    <w:rsid w:val="003E7DDC"/>
    <w:rsid w:val="003F027C"/>
    <w:rsid w:val="003F0465"/>
    <w:rsid w:val="003F06B0"/>
    <w:rsid w:val="003F0752"/>
    <w:rsid w:val="003F0A12"/>
    <w:rsid w:val="003F0F04"/>
    <w:rsid w:val="003F0FEF"/>
    <w:rsid w:val="003F11EC"/>
    <w:rsid w:val="003F1402"/>
    <w:rsid w:val="003F143F"/>
    <w:rsid w:val="003F1736"/>
    <w:rsid w:val="003F18A3"/>
    <w:rsid w:val="003F1CB4"/>
    <w:rsid w:val="003F2396"/>
    <w:rsid w:val="003F2595"/>
    <w:rsid w:val="003F2598"/>
    <w:rsid w:val="003F2D74"/>
    <w:rsid w:val="003F3088"/>
    <w:rsid w:val="003F30FB"/>
    <w:rsid w:val="003F348A"/>
    <w:rsid w:val="003F354B"/>
    <w:rsid w:val="003F37B3"/>
    <w:rsid w:val="003F39D3"/>
    <w:rsid w:val="003F3DE1"/>
    <w:rsid w:val="003F3E8B"/>
    <w:rsid w:val="003F4728"/>
    <w:rsid w:val="003F4DD5"/>
    <w:rsid w:val="003F4EE8"/>
    <w:rsid w:val="003F4F82"/>
    <w:rsid w:val="003F521C"/>
    <w:rsid w:val="003F521F"/>
    <w:rsid w:val="003F5465"/>
    <w:rsid w:val="003F558E"/>
    <w:rsid w:val="003F55A5"/>
    <w:rsid w:val="003F5C1E"/>
    <w:rsid w:val="003F5E4D"/>
    <w:rsid w:val="003F5EAF"/>
    <w:rsid w:val="003F5EEA"/>
    <w:rsid w:val="003F612A"/>
    <w:rsid w:val="003F616C"/>
    <w:rsid w:val="003F6D5A"/>
    <w:rsid w:val="003F6D71"/>
    <w:rsid w:val="003F6E6B"/>
    <w:rsid w:val="003F7AB0"/>
    <w:rsid w:val="003F7C53"/>
    <w:rsid w:val="004002E3"/>
    <w:rsid w:val="00400302"/>
    <w:rsid w:val="004004C5"/>
    <w:rsid w:val="004009F5"/>
    <w:rsid w:val="00400A62"/>
    <w:rsid w:val="00401300"/>
    <w:rsid w:val="004013E4"/>
    <w:rsid w:val="004016C6"/>
    <w:rsid w:val="0040170C"/>
    <w:rsid w:val="00401ABD"/>
    <w:rsid w:val="00401B27"/>
    <w:rsid w:val="00401C96"/>
    <w:rsid w:val="004020AD"/>
    <w:rsid w:val="00402237"/>
    <w:rsid w:val="00402453"/>
    <w:rsid w:val="004026AD"/>
    <w:rsid w:val="00402922"/>
    <w:rsid w:val="00402D87"/>
    <w:rsid w:val="00402FF3"/>
    <w:rsid w:val="00403295"/>
    <w:rsid w:val="004032BD"/>
    <w:rsid w:val="004037FE"/>
    <w:rsid w:val="00403A99"/>
    <w:rsid w:val="00403B0B"/>
    <w:rsid w:val="00403CAC"/>
    <w:rsid w:val="00403CE7"/>
    <w:rsid w:val="00403FEA"/>
    <w:rsid w:val="0040409E"/>
    <w:rsid w:val="004047C3"/>
    <w:rsid w:val="0040487B"/>
    <w:rsid w:val="00404915"/>
    <w:rsid w:val="0040492A"/>
    <w:rsid w:val="00404D6F"/>
    <w:rsid w:val="0040504D"/>
    <w:rsid w:val="004053EE"/>
    <w:rsid w:val="004055EA"/>
    <w:rsid w:val="004055F0"/>
    <w:rsid w:val="004057F1"/>
    <w:rsid w:val="00405894"/>
    <w:rsid w:val="00405DF5"/>
    <w:rsid w:val="004060E5"/>
    <w:rsid w:val="00406A1C"/>
    <w:rsid w:val="00406C12"/>
    <w:rsid w:val="00406C59"/>
    <w:rsid w:val="00406CD8"/>
    <w:rsid w:val="00406EDB"/>
    <w:rsid w:val="00406EF3"/>
    <w:rsid w:val="00406F32"/>
    <w:rsid w:val="00407459"/>
    <w:rsid w:val="004074B4"/>
    <w:rsid w:val="00407601"/>
    <w:rsid w:val="004076F6"/>
    <w:rsid w:val="00410067"/>
    <w:rsid w:val="00410582"/>
    <w:rsid w:val="004108C4"/>
    <w:rsid w:val="00410C5D"/>
    <w:rsid w:val="00410F72"/>
    <w:rsid w:val="004116FB"/>
    <w:rsid w:val="00411A76"/>
    <w:rsid w:val="00411A7D"/>
    <w:rsid w:val="00411B5D"/>
    <w:rsid w:val="00411BDF"/>
    <w:rsid w:val="004121AB"/>
    <w:rsid w:val="004122DD"/>
    <w:rsid w:val="0041273F"/>
    <w:rsid w:val="004129DE"/>
    <w:rsid w:val="00412A36"/>
    <w:rsid w:val="00412AB4"/>
    <w:rsid w:val="00412D46"/>
    <w:rsid w:val="004130E5"/>
    <w:rsid w:val="00413222"/>
    <w:rsid w:val="00413288"/>
    <w:rsid w:val="004132C3"/>
    <w:rsid w:val="004133CD"/>
    <w:rsid w:val="004134D2"/>
    <w:rsid w:val="00413611"/>
    <w:rsid w:val="00413EA1"/>
    <w:rsid w:val="00414019"/>
    <w:rsid w:val="0041410D"/>
    <w:rsid w:val="0041418C"/>
    <w:rsid w:val="0041440A"/>
    <w:rsid w:val="00414410"/>
    <w:rsid w:val="00414479"/>
    <w:rsid w:val="0041471C"/>
    <w:rsid w:val="004151B7"/>
    <w:rsid w:val="004154AD"/>
    <w:rsid w:val="00415635"/>
    <w:rsid w:val="00415C50"/>
    <w:rsid w:val="00415DE8"/>
    <w:rsid w:val="00415ECE"/>
    <w:rsid w:val="004162DF"/>
    <w:rsid w:val="00416BEB"/>
    <w:rsid w:val="00417090"/>
    <w:rsid w:val="004171D0"/>
    <w:rsid w:val="00417419"/>
    <w:rsid w:val="00417D77"/>
    <w:rsid w:val="004203B4"/>
    <w:rsid w:val="00420680"/>
    <w:rsid w:val="0042084E"/>
    <w:rsid w:val="00420A8B"/>
    <w:rsid w:val="00420BC8"/>
    <w:rsid w:val="00421173"/>
    <w:rsid w:val="00421692"/>
    <w:rsid w:val="00421748"/>
    <w:rsid w:val="00421A3F"/>
    <w:rsid w:val="00421A8F"/>
    <w:rsid w:val="0042206B"/>
    <w:rsid w:val="004220D1"/>
    <w:rsid w:val="00422169"/>
    <w:rsid w:val="00422226"/>
    <w:rsid w:val="004224F6"/>
    <w:rsid w:val="004225FD"/>
    <w:rsid w:val="00422802"/>
    <w:rsid w:val="00422E66"/>
    <w:rsid w:val="00422E9E"/>
    <w:rsid w:val="00423503"/>
    <w:rsid w:val="00423A49"/>
    <w:rsid w:val="00423BB2"/>
    <w:rsid w:val="0042458C"/>
    <w:rsid w:val="004247E6"/>
    <w:rsid w:val="00424CE8"/>
    <w:rsid w:val="0042525B"/>
    <w:rsid w:val="0042541A"/>
    <w:rsid w:val="00425803"/>
    <w:rsid w:val="0042586C"/>
    <w:rsid w:val="00426003"/>
    <w:rsid w:val="004262AC"/>
    <w:rsid w:val="004268FA"/>
    <w:rsid w:val="00426A7B"/>
    <w:rsid w:val="00426E2C"/>
    <w:rsid w:val="00426EEA"/>
    <w:rsid w:val="004271FC"/>
    <w:rsid w:val="0042735D"/>
    <w:rsid w:val="004273A3"/>
    <w:rsid w:val="00427878"/>
    <w:rsid w:val="00427F3B"/>
    <w:rsid w:val="0043015C"/>
    <w:rsid w:val="00430193"/>
    <w:rsid w:val="00430202"/>
    <w:rsid w:val="0043056A"/>
    <w:rsid w:val="0043069F"/>
    <w:rsid w:val="00430A5C"/>
    <w:rsid w:val="00430B47"/>
    <w:rsid w:val="0043101A"/>
    <w:rsid w:val="00431542"/>
    <w:rsid w:val="00431553"/>
    <w:rsid w:val="004316CC"/>
    <w:rsid w:val="004318D2"/>
    <w:rsid w:val="004318DF"/>
    <w:rsid w:val="00431C2B"/>
    <w:rsid w:val="00431C48"/>
    <w:rsid w:val="0043202A"/>
    <w:rsid w:val="00432192"/>
    <w:rsid w:val="0043227C"/>
    <w:rsid w:val="004323BD"/>
    <w:rsid w:val="004326CC"/>
    <w:rsid w:val="00432A2B"/>
    <w:rsid w:val="00432DBF"/>
    <w:rsid w:val="00432E66"/>
    <w:rsid w:val="00432E8C"/>
    <w:rsid w:val="00432FA4"/>
    <w:rsid w:val="004331D3"/>
    <w:rsid w:val="00433460"/>
    <w:rsid w:val="00433D99"/>
    <w:rsid w:val="00434240"/>
    <w:rsid w:val="00434691"/>
    <w:rsid w:val="0043474E"/>
    <w:rsid w:val="004349E6"/>
    <w:rsid w:val="00434B2A"/>
    <w:rsid w:val="00434B85"/>
    <w:rsid w:val="00434D2E"/>
    <w:rsid w:val="00434F1D"/>
    <w:rsid w:val="004351BD"/>
    <w:rsid w:val="0043560E"/>
    <w:rsid w:val="00435951"/>
    <w:rsid w:val="00436033"/>
    <w:rsid w:val="004361FF"/>
    <w:rsid w:val="00436930"/>
    <w:rsid w:val="00436A4B"/>
    <w:rsid w:val="00436D0B"/>
    <w:rsid w:val="00436EAF"/>
    <w:rsid w:val="00436FF7"/>
    <w:rsid w:val="00437510"/>
    <w:rsid w:val="0043796F"/>
    <w:rsid w:val="00437A24"/>
    <w:rsid w:val="00437EA7"/>
    <w:rsid w:val="00437EDA"/>
    <w:rsid w:val="004400AD"/>
    <w:rsid w:val="00440357"/>
    <w:rsid w:val="004405C3"/>
    <w:rsid w:val="004407F2"/>
    <w:rsid w:val="00440A83"/>
    <w:rsid w:val="0044151F"/>
    <w:rsid w:val="00441935"/>
    <w:rsid w:val="00441E77"/>
    <w:rsid w:val="00441F40"/>
    <w:rsid w:val="00442493"/>
    <w:rsid w:val="00442B02"/>
    <w:rsid w:val="004432FF"/>
    <w:rsid w:val="0044336D"/>
    <w:rsid w:val="0044366E"/>
    <w:rsid w:val="004438E3"/>
    <w:rsid w:val="0044397F"/>
    <w:rsid w:val="0044399B"/>
    <w:rsid w:val="00443C7D"/>
    <w:rsid w:val="00443D1B"/>
    <w:rsid w:val="0044416E"/>
    <w:rsid w:val="004446A0"/>
    <w:rsid w:val="00444AB9"/>
    <w:rsid w:val="00444D0E"/>
    <w:rsid w:val="00444D76"/>
    <w:rsid w:val="00444E19"/>
    <w:rsid w:val="004453A3"/>
    <w:rsid w:val="004454E5"/>
    <w:rsid w:val="00445626"/>
    <w:rsid w:val="00445683"/>
    <w:rsid w:val="00445992"/>
    <w:rsid w:val="004459A0"/>
    <w:rsid w:val="00445BBF"/>
    <w:rsid w:val="00445C8C"/>
    <w:rsid w:val="0044624D"/>
    <w:rsid w:val="0044647F"/>
    <w:rsid w:val="004467FE"/>
    <w:rsid w:val="00446FED"/>
    <w:rsid w:val="004470CB"/>
    <w:rsid w:val="00447377"/>
    <w:rsid w:val="00447D5E"/>
    <w:rsid w:val="00450019"/>
    <w:rsid w:val="00450DA2"/>
    <w:rsid w:val="00450F50"/>
    <w:rsid w:val="004519A6"/>
    <w:rsid w:val="00451B55"/>
    <w:rsid w:val="00451D26"/>
    <w:rsid w:val="00451F76"/>
    <w:rsid w:val="00452076"/>
    <w:rsid w:val="0045243E"/>
    <w:rsid w:val="004526ED"/>
    <w:rsid w:val="00452F25"/>
    <w:rsid w:val="0045354D"/>
    <w:rsid w:val="00453563"/>
    <w:rsid w:val="004535B7"/>
    <w:rsid w:val="00453D08"/>
    <w:rsid w:val="00453DD1"/>
    <w:rsid w:val="00454061"/>
    <w:rsid w:val="00454716"/>
    <w:rsid w:val="004549F0"/>
    <w:rsid w:val="004551B1"/>
    <w:rsid w:val="00455657"/>
    <w:rsid w:val="00455D15"/>
    <w:rsid w:val="00455F18"/>
    <w:rsid w:val="004568A7"/>
    <w:rsid w:val="00456E10"/>
    <w:rsid w:val="00456E39"/>
    <w:rsid w:val="00457287"/>
    <w:rsid w:val="00457A2A"/>
    <w:rsid w:val="0046025F"/>
    <w:rsid w:val="004604F9"/>
    <w:rsid w:val="004605A6"/>
    <w:rsid w:val="00460742"/>
    <w:rsid w:val="00460780"/>
    <w:rsid w:val="00460F03"/>
    <w:rsid w:val="004611C4"/>
    <w:rsid w:val="00461781"/>
    <w:rsid w:val="00461925"/>
    <w:rsid w:val="0046196E"/>
    <w:rsid w:val="00461D6E"/>
    <w:rsid w:val="00461E2F"/>
    <w:rsid w:val="00461ECA"/>
    <w:rsid w:val="004623A3"/>
    <w:rsid w:val="004624E1"/>
    <w:rsid w:val="0046273B"/>
    <w:rsid w:val="00462A8F"/>
    <w:rsid w:val="00462CF8"/>
    <w:rsid w:val="00462D58"/>
    <w:rsid w:val="004637EC"/>
    <w:rsid w:val="0046486D"/>
    <w:rsid w:val="00464998"/>
    <w:rsid w:val="004649B3"/>
    <w:rsid w:val="00464A8A"/>
    <w:rsid w:val="00464EB5"/>
    <w:rsid w:val="00464F97"/>
    <w:rsid w:val="00464FFF"/>
    <w:rsid w:val="0046528F"/>
    <w:rsid w:val="00465412"/>
    <w:rsid w:val="0046569B"/>
    <w:rsid w:val="00465BBB"/>
    <w:rsid w:val="00465C73"/>
    <w:rsid w:val="00465CFE"/>
    <w:rsid w:val="0046622A"/>
    <w:rsid w:val="004670B7"/>
    <w:rsid w:val="00467339"/>
    <w:rsid w:val="004675A3"/>
    <w:rsid w:val="004677B1"/>
    <w:rsid w:val="004678C0"/>
    <w:rsid w:val="004702EA"/>
    <w:rsid w:val="004704CB"/>
    <w:rsid w:val="004706D2"/>
    <w:rsid w:val="00471581"/>
    <w:rsid w:val="00471B8D"/>
    <w:rsid w:val="00471CF9"/>
    <w:rsid w:val="00472869"/>
    <w:rsid w:val="004729FC"/>
    <w:rsid w:val="00472A15"/>
    <w:rsid w:val="00472AF1"/>
    <w:rsid w:val="004734B5"/>
    <w:rsid w:val="00473596"/>
    <w:rsid w:val="00473AA8"/>
    <w:rsid w:val="00473C26"/>
    <w:rsid w:val="00473CB8"/>
    <w:rsid w:val="0047483E"/>
    <w:rsid w:val="00474A9B"/>
    <w:rsid w:val="00474F56"/>
    <w:rsid w:val="00474FC0"/>
    <w:rsid w:val="00475311"/>
    <w:rsid w:val="0047540D"/>
    <w:rsid w:val="00475771"/>
    <w:rsid w:val="00475A9A"/>
    <w:rsid w:val="00475C99"/>
    <w:rsid w:val="004761C8"/>
    <w:rsid w:val="004764F3"/>
    <w:rsid w:val="004769B0"/>
    <w:rsid w:val="00476D29"/>
    <w:rsid w:val="00477356"/>
    <w:rsid w:val="004776A6"/>
    <w:rsid w:val="00477C00"/>
    <w:rsid w:val="0048006A"/>
    <w:rsid w:val="0048012C"/>
    <w:rsid w:val="004801E1"/>
    <w:rsid w:val="00480775"/>
    <w:rsid w:val="00480A8D"/>
    <w:rsid w:val="00480B10"/>
    <w:rsid w:val="00480D61"/>
    <w:rsid w:val="00480E5E"/>
    <w:rsid w:val="0048154D"/>
    <w:rsid w:val="00481591"/>
    <w:rsid w:val="0048163C"/>
    <w:rsid w:val="00481A0E"/>
    <w:rsid w:val="00481F8B"/>
    <w:rsid w:val="004821A4"/>
    <w:rsid w:val="0048230F"/>
    <w:rsid w:val="0048255E"/>
    <w:rsid w:val="0048346C"/>
    <w:rsid w:val="0048389A"/>
    <w:rsid w:val="00483BB7"/>
    <w:rsid w:val="00484145"/>
    <w:rsid w:val="004841BD"/>
    <w:rsid w:val="00484634"/>
    <w:rsid w:val="00484651"/>
    <w:rsid w:val="00484C27"/>
    <w:rsid w:val="00484CC1"/>
    <w:rsid w:val="00484EB0"/>
    <w:rsid w:val="00484EDD"/>
    <w:rsid w:val="00484FC1"/>
    <w:rsid w:val="00485283"/>
    <w:rsid w:val="004859E8"/>
    <w:rsid w:val="00485C7F"/>
    <w:rsid w:val="00486488"/>
    <w:rsid w:val="00486A70"/>
    <w:rsid w:val="00486EDA"/>
    <w:rsid w:val="00486EE9"/>
    <w:rsid w:val="00487416"/>
    <w:rsid w:val="004874F2"/>
    <w:rsid w:val="004875DF"/>
    <w:rsid w:val="004876DB"/>
    <w:rsid w:val="00487866"/>
    <w:rsid w:val="0048798F"/>
    <w:rsid w:val="00487BDA"/>
    <w:rsid w:val="0049007D"/>
    <w:rsid w:val="004900FF"/>
    <w:rsid w:val="0049073B"/>
    <w:rsid w:val="00490BB0"/>
    <w:rsid w:val="00490CF9"/>
    <w:rsid w:val="004911ED"/>
    <w:rsid w:val="00491861"/>
    <w:rsid w:val="00491AE4"/>
    <w:rsid w:val="00491BD9"/>
    <w:rsid w:val="004920D0"/>
    <w:rsid w:val="00492206"/>
    <w:rsid w:val="00492396"/>
    <w:rsid w:val="004923A9"/>
    <w:rsid w:val="004923DB"/>
    <w:rsid w:val="004926FA"/>
    <w:rsid w:val="00492A38"/>
    <w:rsid w:val="00492E97"/>
    <w:rsid w:val="00492F12"/>
    <w:rsid w:val="00493339"/>
    <w:rsid w:val="00493D4C"/>
    <w:rsid w:val="00494129"/>
    <w:rsid w:val="00494205"/>
    <w:rsid w:val="00494702"/>
    <w:rsid w:val="00494CE3"/>
    <w:rsid w:val="00494F0C"/>
    <w:rsid w:val="00494F61"/>
    <w:rsid w:val="00495307"/>
    <w:rsid w:val="0049561A"/>
    <w:rsid w:val="00495E37"/>
    <w:rsid w:val="004962C5"/>
    <w:rsid w:val="00496699"/>
    <w:rsid w:val="004966C5"/>
    <w:rsid w:val="004967B2"/>
    <w:rsid w:val="00496C42"/>
    <w:rsid w:val="00496DDB"/>
    <w:rsid w:val="00496E97"/>
    <w:rsid w:val="00496E9B"/>
    <w:rsid w:val="00496EDC"/>
    <w:rsid w:val="00497622"/>
    <w:rsid w:val="0049771E"/>
    <w:rsid w:val="00497A26"/>
    <w:rsid w:val="00497A37"/>
    <w:rsid w:val="00497ADA"/>
    <w:rsid w:val="00497BF7"/>
    <w:rsid w:val="004A06AD"/>
    <w:rsid w:val="004A0B6A"/>
    <w:rsid w:val="004A0BF8"/>
    <w:rsid w:val="004A0DF4"/>
    <w:rsid w:val="004A0FC8"/>
    <w:rsid w:val="004A1266"/>
    <w:rsid w:val="004A1976"/>
    <w:rsid w:val="004A19D0"/>
    <w:rsid w:val="004A20E2"/>
    <w:rsid w:val="004A23D5"/>
    <w:rsid w:val="004A2612"/>
    <w:rsid w:val="004A2857"/>
    <w:rsid w:val="004A288F"/>
    <w:rsid w:val="004A29E7"/>
    <w:rsid w:val="004A2BBB"/>
    <w:rsid w:val="004A2E20"/>
    <w:rsid w:val="004A2ED7"/>
    <w:rsid w:val="004A2F59"/>
    <w:rsid w:val="004A33BD"/>
    <w:rsid w:val="004A35FF"/>
    <w:rsid w:val="004A3862"/>
    <w:rsid w:val="004A3998"/>
    <w:rsid w:val="004A4059"/>
    <w:rsid w:val="004A40D0"/>
    <w:rsid w:val="004A4293"/>
    <w:rsid w:val="004A433B"/>
    <w:rsid w:val="004A4C62"/>
    <w:rsid w:val="004A4C8C"/>
    <w:rsid w:val="004A4E00"/>
    <w:rsid w:val="004A544E"/>
    <w:rsid w:val="004A55BC"/>
    <w:rsid w:val="004A58BA"/>
    <w:rsid w:val="004A5F74"/>
    <w:rsid w:val="004A5FB6"/>
    <w:rsid w:val="004A633C"/>
    <w:rsid w:val="004A64AE"/>
    <w:rsid w:val="004A65C4"/>
    <w:rsid w:val="004A6861"/>
    <w:rsid w:val="004A6878"/>
    <w:rsid w:val="004A6AD8"/>
    <w:rsid w:val="004A6B35"/>
    <w:rsid w:val="004A6ED7"/>
    <w:rsid w:val="004A722F"/>
    <w:rsid w:val="004A7294"/>
    <w:rsid w:val="004A7356"/>
    <w:rsid w:val="004A7391"/>
    <w:rsid w:val="004A7400"/>
    <w:rsid w:val="004A7544"/>
    <w:rsid w:val="004A75F7"/>
    <w:rsid w:val="004A76B4"/>
    <w:rsid w:val="004A77F3"/>
    <w:rsid w:val="004A796B"/>
    <w:rsid w:val="004A7B7A"/>
    <w:rsid w:val="004B053B"/>
    <w:rsid w:val="004B107C"/>
    <w:rsid w:val="004B125C"/>
    <w:rsid w:val="004B1399"/>
    <w:rsid w:val="004B204F"/>
    <w:rsid w:val="004B24CA"/>
    <w:rsid w:val="004B2505"/>
    <w:rsid w:val="004B26E2"/>
    <w:rsid w:val="004B283D"/>
    <w:rsid w:val="004B2950"/>
    <w:rsid w:val="004B2E2D"/>
    <w:rsid w:val="004B2EA4"/>
    <w:rsid w:val="004B31BF"/>
    <w:rsid w:val="004B3A01"/>
    <w:rsid w:val="004B3BF4"/>
    <w:rsid w:val="004B3CD1"/>
    <w:rsid w:val="004B3D78"/>
    <w:rsid w:val="004B3F80"/>
    <w:rsid w:val="004B4403"/>
    <w:rsid w:val="004B4551"/>
    <w:rsid w:val="004B4560"/>
    <w:rsid w:val="004B4D54"/>
    <w:rsid w:val="004B525E"/>
    <w:rsid w:val="004B5713"/>
    <w:rsid w:val="004B5897"/>
    <w:rsid w:val="004B6287"/>
    <w:rsid w:val="004B62D6"/>
    <w:rsid w:val="004B637A"/>
    <w:rsid w:val="004B64A4"/>
    <w:rsid w:val="004B6DA5"/>
    <w:rsid w:val="004B6F54"/>
    <w:rsid w:val="004B73D1"/>
    <w:rsid w:val="004B7750"/>
    <w:rsid w:val="004C02DF"/>
    <w:rsid w:val="004C03F5"/>
    <w:rsid w:val="004C0826"/>
    <w:rsid w:val="004C0F58"/>
    <w:rsid w:val="004C123A"/>
    <w:rsid w:val="004C19CF"/>
    <w:rsid w:val="004C1EE3"/>
    <w:rsid w:val="004C209B"/>
    <w:rsid w:val="004C231F"/>
    <w:rsid w:val="004C26CA"/>
    <w:rsid w:val="004C273F"/>
    <w:rsid w:val="004C290D"/>
    <w:rsid w:val="004C2A2A"/>
    <w:rsid w:val="004C2C5D"/>
    <w:rsid w:val="004C2E53"/>
    <w:rsid w:val="004C32BE"/>
    <w:rsid w:val="004C3399"/>
    <w:rsid w:val="004C339C"/>
    <w:rsid w:val="004C36FF"/>
    <w:rsid w:val="004C3C41"/>
    <w:rsid w:val="004C3CA4"/>
    <w:rsid w:val="004C3CEF"/>
    <w:rsid w:val="004C422D"/>
    <w:rsid w:val="004C4825"/>
    <w:rsid w:val="004C48AD"/>
    <w:rsid w:val="004C4A55"/>
    <w:rsid w:val="004C4B85"/>
    <w:rsid w:val="004C5239"/>
    <w:rsid w:val="004C5266"/>
    <w:rsid w:val="004C52FF"/>
    <w:rsid w:val="004C55FF"/>
    <w:rsid w:val="004C5642"/>
    <w:rsid w:val="004C6232"/>
    <w:rsid w:val="004C6446"/>
    <w:rsid w:val="004C69EC"/>
    <w:rsid w:val="004C7113"/>
    <w:rsid w:val="004C7114"/>
    <w:rsid w:val="004C764B"/>
    <w:rsid w:val="004C7896"/>
    <w:rsid w:val="004C7C67"/>
    <w:rsid w:val="004C7D3B"/>
    <w:rsid w:val="004C7F0A"/>
    <w:rsid w:val="004D0826"/>
    <w:rsid w:val="004D0CA1"/>
    <w:rsid w:val="004D0CAB"/>
    <w:rsid w:val="004D0DAB"/>
    <w:rsid w:val="004D11D8"/>
    <w:rsid w:val="004D1500"/>
    <w:rsid w:val="004D15B0"/>
    <w:rsid w:val="004D18ED"/>
    <w:rsid w:val="004D19F5"/>
    <w:rsid w:val="004D1B5D"/>
    <w:rsid w:val="004D1D21"/>
    <w:rsid w:val="004D1EF4"/>
    <w:rsid w:val="004D1FC3"/>
    <w:rsid w:val="004D2270"/>
    <w:rsid w:val="004D26B9"/>
    <w:rsid w:val="004D2879"/>
    <w:rsid w:val="004D2910"/>
    <w:rsid w:val="004D2B3E"/>
    <w:rsid w:val="004D2C3E"/>
    <w:rsid w:val="004D2CBE"/>
    <w:rsid w:val="004D2E02"/>
    <w:rsid w:val="004D3287"/>
    <w:rsid w:val="004D3820"/>
    <w:rsid w:val="004D3A00"/>
    <w:rsid w:val="004D3A30"/>
    <w:rsid w:val="004D3BAB"/>
    <w:rsid w:val="004D4299"/>
    <w:rsid w:val="004D42C7"/>
    <w:rsid w:val="004D42F4"/>
    <w:rsid w:val="004D440A"/>
    <w:rsid w:val="004D4A7C"/>
    <w:rsid w:val="004D4B2E"/>
    <w:rsid w:val="004D5501"/>
    <w:rsid w:val="004D5656"/>
    <w:rsid w:val="004D61D1"/>
    <w:rsid w:val="004D6980"/>
    <w:rsid w:val="004D6A47"/>
    <w:rsid w:val="004D6AE7"/>
    <w:rsid w:val="004D6E99"/>
    <w:rsid w:val="004D727A"/>
    <w:rsid w:val="004E04FD"/>
    <w:rsid w:val="004E0713"/>
    <w:rsid w:val="004E073E"/>
    <w:rsid w:val="004E0A59"/>
    <w:rsid w:val="004E0F03"/>
    <w:rsid w:val="004E1055"/>
    <w:rsid w:val="004E1AD0"/>
    <w:rsid w:val="004E1B3F"/>
    <w:rsid w:val="004E227E"/>
    <w:rsid w:val="004E26F6"/>
    <w:rsid w:val="004E2A4B"/>
    <w:rsid w:val="004E2BB5"/>
    <w:rsid w:val="004E2C9F"/>
    <w:rsid w:val="004E2EB4"/>
    <w:rsid w:val="004E343C"/>
    <w:rsid w:val="004E389F"/>
    <w:rsid w:val="004E3A15"/>
    <w:rsid w:val="004E3A8A"/>
    <w:rsid w:val="004E3A98"/>
    <w:rsid w:val="004E3D43"/>
    <w:rsid w:val="004E435E"/>
    <w:rsid w:val="004E4530"/>
    <w:rsid w:val="004E46AF"/>
    <w:rsid w:val="004E499A"/>
    <w:rsid w:val="004E4A0C"/>
    <w:rsid w:val="004E4A75"/>
    <w:rsid w:val="004E501C"/>
    <w:rsid w:val="004E519B"/>
    <w:rsid w:val="004E5596"/>
    <w:rsid w:val="004E59E1"/>
    <w:rsid w:val="004E6189"/>
    <w:rsid w:val="004E66B5"/>
    <w:rsid w:val="004E67DC"/>
    <w:rsid w:val="004E6822"/>
    <w:rsid w:val="004E6A0F"/>
    <w:rsid w:val="004E6CF7"/>
    <w:rsid w:val="004E750F"/>
    <w:rsid w:val="004E76F7"/>
    <w:rsid w:val="004E7707"/>
    <w:rsid w:val="004E78A9"/>
    <w:rsid w:val="004E7B6F"/>
    <w:rsid w:val="004E7C5E"/>
    <w:rsid w:val="004E7DFC"/>
    <w:rsid w:val="004F0325"/>
    <w:rsid w:val="004F05F3"/>
    <w:rsid w:val="004F0749"/>
    <w:rsid w:val="004F07A1"/>
    <w:rsid w:val="004F0869"/>
    <w:rsid w:val="004F0943"/>
    <w:rsid w:val="004F0A35"/>
    <w:rsid w:val="004F0FED"/>
    <w:rsid w:val="004F102F"/>
    <w:rsid w:val="004F10F7"/>
    <w:rsid w:val="004F117B"/>
    <w:rsid w:val="004F13FC"/>
    <w:rsid w:val="004F159E"/>
    <w:rsid w:val="004F1779"/>
    <w:rsid w:val="004F192E"/>
    <w:rsid w:val="004F1D1E"/>
    <w:rsid w:val="004F1D54"/>
    <w:rsid w:val="004F1EE9"/>
    <w:rsid w:val="004F1F89"/>
    <w:rsid w:val="004F2110"/>
    <w:rsid w:val="004F21C4"/>
    <w:rsid w:val="004F304E"/>
    <w:rsid w:val="004F314C"/>
    <w:rsid w:val="004F31CE"/>
    <w:rsid w:val="004F3A66"/>
    <w:rsid w:val="004F414F"/>
    <w:rsid w:val="004F47BB"/>
    <w:rsid w:val="004F4855"/>
    <w:rsid w:val="004F4ADB"/>
    <w:rsid w:val="004F4B58"/>
    <w:rsid w:val="004F4BC5"/>
    <w:rsid w:val="004F4FF9"/>
    <w:rsid w:val="004F52B6"/>
    <w:rsid w:val="004F585C"/>
    <w:rsid w:val="004F5D4F"/>
    <w:rsid w:val="004F5E1B"/>
    <w:rsid w:val="004F5E7B"/>
    <w:rsid w:val="004F5F32"/>
    <w:rsid w:val="004F6089"/>
    <w:rsid w:val="004F634C"/>
    <w:rsid w:val="004F67E3"/>
    <w:rsid w:val="004F6FA5"/>
    <w:rsid w:val="004F772F"/>
    <w:rsid w:val="004F773B"/>
    <w:rsid w:val="004F78BD"/>
    <w:rsid w:val="004F7949"/>
    <w:rsid w:val="004F79E6"/>
    <w:rsid w:val="004F7EC9"/>
    <w:rsid w:val="00500018"/>
    <w:rsid w:val="005003AB"/>
    <w:rsid w:val="00501943"/>
    <w:rsid w:val="00501A2C"/>
    <w:rsid w:val="00501C9D"/>
    <w:rsid w:val="00501D59"/>
    <w:rsid w:val="00501DDC"/>
    <w:rsid w:val="00502221"/>
    <w:rsid w:val="005029CF"/>
    <w:rsid w:val="005033ED"/>
    <w:rsid w:val="005034E6"/>
    <w:rsid w:val="00503511"/>
    <w:rsid w:val="005038C1"/>
    <w:rsid w:val="00503AA0"/>
    <w:rsid w:val="00504172"/>
    <w:rsid w:val="00504B8B"/>
    <w:rsid w:val="00504F43"/>
    <w:rsid w:val="005052C6"/>
    <w:rsid w:val="0050530F"/>
    <w:rsid w:val="00505D66"/>
    <w:rsid w:val="00505FCF"/>
    <w:rsid w:val="00506027"/>
    <w:rsid w:val="00506125"/>
    <w:rsid w:val="0050629F"/>
    <w:rsid w:val="00506464"/>
    <w:rsid w:val="005066A6"/>
    <w:rsid w:val="00506CD2"/>
    <w:rsid w:val="00506DE3"/>
    <w:rsid w:val="00510487"/>
    <w:rsid w:val="005109A6"/>
    <w:rsid w:val="00510C23"/>
    <w:rsid w:val="00510DCF"/>
    <w:rsid w:val="0051105A"/>
    <w:rsid w:val="00511351"/>
    <w:rsid w:val="00511BF6"/>
    <w:rsid w:val="00511F0F"/>
    <w:rsid w:val="005123FE"/>
    <w:rsid w:val="005128B5"/>
    <w:rsid w:val="005129F5"/>
    <w:rsid w:val="00512A8E"/>
    <w:rsid w:val="00512B76"/>
    <w:rsid w:val="00513A16"/>
    <w:rsid w:val="00514027"/>
    <w:rsid w:val="0051422F"/>
    <w:rsid w:val="0051437A"/>
    <w:rsid w:val="005144F5"/>
    <w:rsid w:val="00514A63"/>
    <w:rsid w:val="00514D9B"/>
    <w:rsid w:val="0051525C"/>
    <w:rsid w:val="0051538B"/>
    <w:rsid w:val="00515409"/>
    <w:rsid w:val="005154AB"/>
    <w:rsid w:val="005157A0"/>
    <w:rsid w:val="00516032"/>
    <w:rsid w:val="00516083"/>
    <w:rsid w:val="00516EDE"/>
    <w:rsid w:val="005177E9"/>
    <w:rsid w:val="005202CE"/>
    <w:rsid w:val="00520463"/>
    <w:rsid w:val="00520CB2"/>
    <w:rsid w:val="00520E80"/>
    <w:rsid w:val="00521221"/>
    <w:rsid w:val="00521B77"/>
    <w:rsid w:val="00521EB0"/>
    <w:rsid w:val="00521FDC"/>
    <w:rsid w:val="00522016"/>
    <w:rsid w:val="005220E1"/>
    <w:rsid w:val="00522294"/>
    <w:rsid w:val="00522486"/>
    <w:rsid w:val="00522607"/>
    <w:rsid w:val="0052277A"/>
    <w:rsid w:val="0052294E"/>
    <w:rsid w:val="00522987"/>
    <w:rsid w:val="00522A66"/>
    <w:rsid w:val="00522B8C"/>
    <w:rsid w:val="0052315F"/>
    <w:rsid w:val="00523664"/>
    <w:rsid w:val="00523B1F"/>
    <w:rsid w:val="0052411A"/>
    <w:rsid w:val="0052414F"/>
    <w:rsid w:val="00524915"/>
    <w:rsid w:val="00524B9F"/>
    <w:rsid w:val="00524C7A"/>
    <w:rsid w:val="005252D6"/>
    <w:rsid w:val="005252EF"/>
    <w:rsid w:val="00525A4F"/>
    <w:rsid w:val="00525DEE"/>
    <w:rsid w:val="00525FF0"/>
    <w:rsid w:val="0052688D"/>
    <w:rsid w:val="00526D9A"/>
    <w:rsid w:val="00527E7A"/>
    <w:rsid w:val="00530027"/>
    <w:rsid w:val="00530062"/>
    <w:rsid w:val="005303C8"/>
    <w:rsid w:val="005306C4"/>
    <w:rsid w:val="00530A91"/>
    <w:rsid w:val="00531417"/>
    <w:rsid w:val="005316C6"/>
    <w:rsid w:val="00531BA2"/>
    <w:rsid w:val="00531F5C"/>
    <w:rsid w:val="005329DD"/>
    <w:rsid w:val="00532CCF"/>
    <w:rsid w:val="00532DC5"/>
    <w:rsid w:val="00533048"/>
    <w:rsid w:val="00533195"/>
    <w:rsid w:val="0053320E"/>
    <w:rsid w:val="00533929"/>
    <w:rsid w:val="00533957"/>
    <w:rsid w:val="00534173"/>
    <w:rsid w:val="005344DA"/>
    <w:rsid w:val="005347D1"/>
    <w:rsid w:val="00534A5E"/>
    <w:rsid w:val="00534CAD"/>
    <w:rsid w:val="00534E71"/>
    <w:rsid w:val="00535345"/>
    <w:rsid w:val="005355EB"/>
    <w:rsid w:val="00535AD8"/>
    <w:rsid w:val="00535B1D"/>
    <w:rsid w:val="00535E7C"/>
    <w:rsid w:val="0053620C"/>
    <w:rsid w:val="005368EE"/>
    <w:rsid w:val="00536ADD"/>
    <w:rsid w:val="00536F7D"/>
    <w:rsid w:val="005373D0"/>
    <w:rsid w:val="005373DE"/>
    <w:rsid w:val="005378A2"/>
    <w:rsid w:val="00537986"/>
    <w:rsid w:val="00537DD3"/>
    <w:rsid w:val="0054014D"/>
    <w:rsid w:val="00540178"/>
    <w:rsid w:val="0054038A"/>
    <w:rsid w:val="00540464"/>
    <w:rsid w:val="005405F9"/>
    <w:rsid w:val="00540CE3"/>
    <w:rsid w:val="00540EF2"/>
    <w:rsid w:val="0054153F"/>
    <w:rsid w:val="005416B7"/>
    <w:rsid w:val="00541932"/>
    <w:rsid w:val="00541A1B"/>
    <w:rsid w:val="00541A35"/>
    <w:rsid w:val="00541E7C"/>
    <w:rsid w:val="00541EB6"/>
    <w:rsid w:val="005420AD"/>
    <w:rsid w:val="00542260"/>
    <w:rsid w:val="00542313"/>
    <w:rsid w:val="0054247B"/>
    <w:rsid w:val="00542899"/>
    <w:rsid w:val="0054290B"/>
    <w:rsid w:val="005429DF"/>
    <w:rsid w:val="00542C37"/>
    <w:rsid w:val="00542E63"/>
    <w:rsid w:val="00542F19"/>
    <w:rsid w:val="00543DEE"/>
    <w:rsid w:val="00543E74"/>
    <w:rsid w:val="00544563"/>
    <w:rsid w:val="00544ACC"/>
    <w:rsid w:val="00544BEB"/>
    <w:rsid w:val="00545661"/>
    <w:rsid w:val="005457D1"/>
    <w:rsid w:val="00545DC0"/>
    <w:rsid w:val="005462BD"/>
    <w:rsid w:val="00546775"/>
    <w:rsid w:val="00546ED7"/>
    <w:rsid w:val="00547331"/>
    <w:rsid w:val="00547492"/>
    <w:rsid w:val="005475DF"/>
    <w:rsid w:val="005475FE"/>
    <w:rsid w:val="005477B0"/>
    <w:rsid w:val="00547F79"/>
    <w:rsid w:val="00547F83"/>
    <w:rsid w:val="00550069"/>
    <w:rsid w:val="00550162"/>
    <w:rsid w:val="005504FB"/>
    <w:rsid w:val="005509BB"/>
    <w:rsid w:val="00550A97"/>
    <w:rsid w:val="00550E01"/>
    <w:rsid w:val="00550E12"/>
    <w:rsid w:val="00550F2B"/>
    <w:rsid w:val="0055105F"/>
    <w:rsid w:val="005512BF"/>
    <w:rsid w:val="005518BD"/>
    <w:rsid w:val="00551C64"/>
    <w:rsid w:val="00551E44"/>
    <w:rsid w:val="005520DD"/>
    <w:rsid w:val="00552318"/>
    <w:rsid w:val="00552C0F"/>
    <w:rsid w:val="00552F4F"/>
    <w:rsid w:val="00553616"/>
    <w:rsid w:val="0055368B"/>
    <w:rsid w:val="00553B4E"/>
    <w:rsid w:val="00553B62"/>
    <w:rsid w:val="00553DAF"/>
    <w:rsid w:val="00553F25"/>
    <w:rsid w:val="005543D8"/>
    <w:rsid w:val="0055449F"/>
    <w:rsid w:val="00554AFD"/>
    <w:rsid w:val="00554C0B"/>
    <w:rsid w:val="00554C94"/>
    <w:rsid w:val="005551B9"/>
    <w:rsid w:val="005553B6"/>
    <w:rsid w:val="005555DB"/>
    <w:rsid w:val="00555661"/>
    <w:rsid w:val="00555A11"/>
    <w:rsid w:val="00556219"/>
    <w:rsid w:val="00556CBC"/>
    <w:rsid w:val="00556E1D"/>
    <w:rsid w:val="00557306"/>
    <w:rsid w:val="005574FC"/>
    <w:rsid w:val="00557913"/>
    <w:rsid w:val="0056002D"/>
    <w:rsid w:val="0056012F"/>
    <w:rsid w:val="00560299"/>
    <w:rsid w:val="005603DB"/>
    <w:rsid w:val="00560A1C"/>
    <w:rsid w:val="0056114C"/>
    <w:rsid w:val="005612D9"/>
    <w:rsid w:val="0056170A"/>
    <w:rsid w:val="00561794"/>
    <w:rsid w:val="00561878"/>
    <w:rsid w:val="00561953"/>
    <w:rsid w:val="00561B7B"/>
    <w:rsid w:val="00561CC9"/>
    <w:rsid w:val="00561DD5"/>
    <w:rsid w:val="00561F02"/>
    <w:rsid w:val="00562240"/>
    <w:rsid w:val="00562259"/>
    <w:rsid w:val="0056242B"/>
    <w:rsid w:val="005625CE"/>
    <w:rsid w:val="00562864"/>
    <w:rsid w:val="005629FB"/>
    <w:rsid w:val="00562D2E"/>
    <w:rsid w:val="00563059"/>
    <w:rsid w:val="005635FE"/>
    <w:rsid w:val="0056385B"/>
    <w:rsid w:val="005638CA"/>
    <w:rsid w:val="00563CAA"/>
    <w:rsid w:val="00563D57"/>
    <w:rsid w:val="00563F65"/>
    <w:rsid w:val="005645A5"/>
    <w:rsid w:val="00564EFE"/>
    <w:rsid w:val="005650C2"/>
    <w:rsid w:val="0056532A"/>
    <w:rsid w:val="00565470"/>
    <w:rsid w:val="00565DE9"/>
    <w:rsid w:val="00565FE3"/>
    <w:rsid w:val="005660E4"/>
    <w:rsid w:val="005662C0"/>
    <w:rsid w:val="00566F06"/>
    <w:rsid w:val="00566F1F"/>
    <w:rsid w:val="00567276"/>
    <w:rsid w:val="005672F2"/>
    <w:rsid w:val="00567453"/>
    <w:rsid w:val="005677FC"/>
    <w:rsid w:val="005679AF"/>
    <w:rsid w:val="00570611"/>
    <w:rsid w:val="00570639"/>
    <w:rsid w:val="00570A92"/>
    <w:rsid w:val="00570E8F"/>
    <w:rsid w:val="005714D9"/>
    <w:rsid w:val="005716BB"/>
    <w:rsid w:val="00571ABF"/>
    <w:rsid w:val="005728F2"/>
    <w:rsid w:val="00572BD3"/>
    <w:rsid w:val="00573153"/>
    <w:rsid w:val="00573261"/>
    <w:rsid w:val="0057342B"/>
    <w:rsid w:val="00573602"/>
    <w:rsid w:val="00573752"/>
    <w:rsid w:val="005737CD"/>
    <w:rsid w:val="005739AB"/>
    <w:rsid w:val="00573EF6"/>
    <w:rsid w:val="0057432A"/>
    <w:rsid w:val="00574385"/>
    <w:rsid w:val="00574D04"/>
    <w:rsid w:val="00574D1D"/>
    <w:rsid w:val="0057508F"/>
    <w:rsid w:val="005753FE"/>
    <w:rsid w:val="005758AA"/>
    <w:rsid w:val="00575A4D"/>
    <w:rsid w:val="00575D45"/>
    <w:rsid w:val="00576124"/>
    <w:rsid w:val="0057642B"/>
    <w:rsid w:val="00576567"/>
    <w:rsid w:val="00576AF7"/>
    <w:rsid w:val="005771BB"/>
    <w:rsid w:val="0057768B"/>
    <w:rsid w:val="005777D8"/>
    <w:rsid w:val="00577ECC"/>
    <w:rsid w:val="00580172"/>
    <w:rsid w:val="00580D39"/>
    <w:rsid w:val="00580F7C"/>
    <w:rsid w:val="005810E6"/>
    <w:rsid w:val="00581819"/>
    <w:rsid w:val="00581BEE"/>
    <w:rsid w:val="00581D3D"/>
    <w:rsid w:val="00581D4C"/>
    <w:rsid w:val="00581FBD"/>
    <w:rsid w:val="00582158"/>
    <w:rsid w:val="00582922"/>
    <w:rsid w:val="0058297E"/>
    <w:rsid w:val="00582DD3"/>
    <w:rsid w:val="00582FCA"/>
    <w:rsid w:val="005833A6"/>
    <w:rsid w:val="005833F3"/>
    <w:rsid w:val="00583415"/>
    <w:rsid w:val="005838D9"/>
    <w:rsid w:val="00583E9D"/>
    <w:rsid w:val="005842E6"/>
    <w:rsid w:val="005846BE"/>
    <w:rsid w:val="005849A9"/>
    <w:rsid w:val="00584D09"/>
    <w:rsid w:val="005852BA"/>
    <w:rsid w:val="00585805"/>
    <w:rsid w:val="00585A93"/>
    <w:rsid w:val="00585D47"/>
    <w:rsid w:val="0058604F"/>
    <w:rsid w:val="0058606C"/>
    <w:rsid w:val="005862AC"/>
    <w:rsid w:val="005864D8"/>
    <w:rsid w:val="00586822"/>
    <w:rsid w:val="00586EFB"/>
    <w:rsid w:val="00587831"/>
    <w:rsid w:val="00587C6F"/>
    <w:rsid w:val="00590076"/>
    <w:rsid w:val="005901F3"/>
    <w:rsid w:val="00590663"/>
    <w:rsid w:val="00590876"/>
    <w:rsid w:val="00590CC7"/>
    <w:rsid w:val="00590EB0"/>
    <w:rsid w:val="00590FF0"/>
    <w:rsid w:val="00591628"/>
    <w:rsid w:val="00591764"/>
    <w:rsid w:val="00591E2F"/>
    <w:rsid w:val="005923E2"/>
    <w:rsid w:val="005924FC"/>
    <w:rsid w:val="005925B3"/>
    <w:rsid w:val="00593703"/>
    <w:rsid w:val="00593DF0"/>
    <w:rsid w:val="00593EB2"/>
    <w:rsid w:val="0059421B"/>
    <w:rsid w:val="005942EB"/>
    <w:rsid w:val="005944AB"/>
    <w:rsid w:val="00594678"/>
    <w:rsid w:val="0059486B"/>
    <w:rsid w:val="00594D75"/>
    <w:rsid w:val="0059512C"/>
    <w:rsid w:val="0059587E"/>
    <w:rsid w:val="00595AD9"/>
    <w:rsid w:val="00595E9D"/>
    <w:rsid w:val="00595EEB"/>
    <w:rsid w:val="0059610F"/>
    <w:rsid w:val="00596629"/>
    <w:rsid w:val="00596670"/>
    <w:rsid w:val="00596907"/>
    <w:rsid w:val="00596BC9"/>
    <w:rsid w:val="00596BD5"/>
    <w:rsid w:val="0059704F"/>
    <w:rsid w:val="005971CA"/>
    <w:rsid w:val="00597218"/>
    <w:rsid w:val="00597427"/>
    <w:rsid w:val="005974B2"/>
    <w:rsid w:val="005A0079"/>
    <w:rsid w:val="005A00BD"/>
    <w:rsid w:val="005A05EE"/>
    <w:rsid w:val="005A0B40"/>
    <w:rsid w:val="005A10B1"/>
    <w:rsid w:val="005A1792"/>
    <w:rsid w:val="005A1994"/>
    <w:rsid w:val="005A19F3"/>
    <w:rsid w:val="005A22E6"/>
    <w:rsid w:val="005A23B0"/>
    <w:rsid w:val="005A241B"/>
    <w:rsid w:val="005A2456"/>
    <w:rsid w:val="005A25B4"/>
    <w:rsid w:val="005A2DBB"/>
    <w:rsid w:val="005A349A"/>
    <w:rsid w:val="005A3700"/>
    <w:rsid w:val="005A3A54"/>
    <w:rsid w:val="005A3B52"/>
    <w:rsid w:val="005A3C5A"/>
    <w:rsid w:val="005A3E0D"/>
    <w:rsid w:val="005A3E7B"/>
    <w:rsid w:val="005A3F3C"/>
    <w:rsid w:val="005A3FB9"/>
    <w:rsid w:val="005A3FE1"/>
    <w:rsid w:val="005A4369"/>
    <w:rsid w:val="005A45CF"/>
    <w:rsid w:val="005A48D7"/>
    <w:rsid w:val="005A4C36"/>
    <w:rsid w:val="005A4DC0"/>
    <w:rsid w:val="005A4E3E"/>
    <w:rsid w:val="005A5569"/>
    <w:rsid w:val="005A58B1"/>
    <w:rsid w:val="005A5FC0"/>
    <w:rsid w:val="005A6492"/>
    <w:rsid w:val="005A672C"/>
    <w:rsid w:val="005A685A"/>
    <w:rsid w:val="005A68F0"/>
    <w:rsid w:val="005A6C74"/>
    <w:rsid w:val="005A78A5"/>
    <w:rsid w:val="005B0082"/>
    <w:rsid w:val="005B045D"/>
    <w:rsid w:val="005B0563"/>
    <w:rsid w:val="005B0967"/>
    <w:rsid w:val="005B0BB8"/>
    <w:rsid w:val="005B0F97"/>
    <w:rsid w:val="005B15A5"/>
    <w:rsid w:val="005B19A8"/>
    <w:rsid w:val="005B1B49"/>
    <w:rsid w:val="005B1BE0"/>
    <w:rsid w:val="005B1C81"/>
    <w:rsid w:val="005B1E0D"/>
    <w:rsid w:val="005B1E3D"/>
    <w:rsid w:val="005B2022"/>
    <w:rsid w:val="005B240B"/>
    <w:rsid w:val="005B2909"/>
    <w:rsid w:val="005B2B97"/>
    <w:rsid w:val="005B2C28"/>
    <w:rsid w:val="005B2F7E"/>
    <w:rsid w:val="005B31C7"/>
    <w:rsid w:val="005B36C9"/>
    <w:rsid w:val="005B39C3"/>
    <w:rsid w:val="005B3B05"/>
    <w:rsid w:val="005B3B11"/>
    <w:rsid w:val="005B3F87"/>
    <w:rsid w:val="005B4302"/>
    <w:rsid w:val="005B46C9"/>
    <w:rsid w:val="005B535A"/>
    <w:rsid w:val="005B551A"/>
    <w:rsid w:val="005B552C"/>
    <w:rsid w:val="005B594A"/>
    <w:rsid w:val="005B598A"/>
    <w:rsid w:val="005B59CC"/>
    <w:rsid w:val="005B6102"/>
    <w:rsid w:val="005B6108"/>
    <w:rsid w:val="005B6290"/>
    <w:rsid w:val="005B635B"/>
    <w:rsid w:val="005B66D8"/>
    <w:rsid w:val="005B6909"/>
    <w:rsid w:val="005B697A"/>
    <w:rsid w:val="005B6E0E"/>
    <w:rsid w:val="005B79A9"/>
    <w:rsid w:val="005C004D"/>
    <w:rsid w:val="005C00EA"/>
    <w:rsid w:val="005C0234"/>
    <w:rsid w:val="005C045C"/>
    <w:rsid w:val="005C0B45"/>
    <w:rsid w:val="005C0C3B"/>
    <w:rsid w:val="005C0CF7"/>
    <w:rsid w:val="005C1259"/>
    <w:rsid w:val="005C12E6"/>
    <w:rsid w:val="005C1323"/>
    <w:rsid w:val="005C13BD"/>
    <w:rsid w:val="005C158A"/>
    <w:rsid w:val="005C1A91"/>
    <w:rsid w:val="005C1A9F"/>
    <w:rsid w:val="005C1D5E"/>
    <w:rsid w:val="005C1DF0"/>
    <w:rsid w:val="005C201C"/>
    <w:rsid w:val="005C216D"/>
    <w:rsid w:val="005C2718"/>
    <w:rsid w:val="005C2A80"/>
    <w:rsid w:val="005C2BB8"/>
    <w:rsid w:val="005C33A4"/>
    <w:rsid w:val="005C3492"/>
    <w:rsid w:val="005C389B"/>
    <w:rsid w:val="005C3C9D"/>
    <w:rsid w:val="005C3F09"/>
    <w:rsid w:val="005C423A"/>
    <w:rsid w:val="005C4D2C"/>
    <w:rsid w:val="005C5181"/>
    <w:rsid w:val="005C5870"/>
    <w:rsid w:val="005C63DA"/>
    <w:rsid w:val="005C69BE"/>
    <w:rsid w:val="005C74DF"/>
    <w:rsid w:val="005C7792"/>
    <w:rsid w:val="005C7859"/>
    <w:rsid w:val="005C7DB3"/>
    <w:rsid w:val="005C7FAD"/>
    <w:rsid w:val="005D13EF"/>
    <w:rsid w:val="005D18BA"/>
    <w:rsid w:val="005D1D4E"/>
    <w:rsid w:val="005D30B0"/>
    <w:rsid w:val="005D35CE"/>
    <w:rsid w:val="005D3740"/>
    <w:rsid w:val="005D3E18"/>
    <w:rsid w:val="005D3E33"/>
    <w:rsid w:val="005D40D1"/>
    <w:rsid w:val="005D43F0"/>
    <w:rsid w:val="005D45E9"/>
    <w:rsid w:val="005D4924"/>
    <w:rsid w:val="005D4AE7"/>
    <w:rsid w:val="005D4F6D"/>
    <w:rsid w:val="005D54E7"/>
    <w:rsid w:val="005D5C3F"/>
    <w:rsid w:val="005D5FD2"/>
    <w:rsid w:val="005D62EF"/>
    <w:rsid w:val="005D640E"/>
    <w:rsid w:val="005D64B8"/>
    <w:rsid w:val="005D6592"/>
    <w:rsid w:val="005D6684"/>
    <w:rsid w:val="005D67AB"/>
    <w:rsid w:val="005D7498"/>
    <w:rsid w:val="005D7A7F"/>
    <w:rsid w:val="005D7D99"/>
    <w:rsid w:val="005E0136"/>
    <w:rsid w:val="005E036D"/>
    <w:rsid w:val="005E05E8"/>
    <w:rsid w:val="005E0609"/>
    <w:rsid w:val="005E0E50"/>
    <w:rsid w:val="005E15D4"/>
    <w:rsid w:val="005E1659"/>
    <w:rsid w:val="005E1AC7"/>
    <w:rsid w:val="005E1B75"/>
    <w:rsid w:val="005E1C72"/>
    <w:rsid w:val="005E1D54"/>
    <w:rsid w:val="005E1E5D"/>
    <w:rsid w:val="005E1FC5"/>
    <w:rsid w:val="005E284D"/>
    <w:rsid w:val="005E285C"/>
    <w:rsid w:val="005E2CCE"/>
    <w:rsid w:val="005E2F6B"/>
    <w:rsid w:val="005E3094"/>
    <w:rsid w:val="005E30F4"/>
    <w:rsid w:val="005E31C6"/>
    <w:rsid w:val="005E325D"/>
    <w:rsid w:val="005E3567"/>
    <w:rsid w:val="005E4B2A"/>
    <w:rsid w:val="005E4CF8"/>
    <w:rsid w:val="005E4D81"/>
    <w:rsid w:val="005E549B"/>
    <w:rsid w:val="005E5672"/>
    <w:rsid w:val="005E597D"/>
    <w:rsid w:val="005E5D49"/>
    <w:rsid w:val="005E621F"/>
    <w:rsid w:val="005E656D"/>
    <w:rsid w:val="005E669B"/>
    <w:rsid w:val="005E7ACA"/>
    <w:rsid w:val="005E7B71"/>
    <w:rsid w:val="005E7B83"/>
    <w:rsid w:val="005E7F5C"/>
    <w:rsid w:val="005E7F5E"/>
    <w:rsid w:val="005E7FBB"/>
    <w:rsid w:val="005F0588"/>
    <w:rsid w:val="005F0AA2"/>
    <w:rsid w:val="005F12C5"/>
    <w:rsid w:val="005F205E"/>
    <w:rsid w:val="005F264E"/>
    <w:rsid w:val="005F26CB"/>
    <w:rsid w:val="005F2ADE"/>
    <w:rsid w:val="005F2D14"/>
    <w:rsid w:val="005F2D46"/>
    <w:rsid w:val="005F3C69"/>
    <w:rsid w:val="005F40CB"/>
    <w:rsid w:val="005F48D6"/>
    <w:rsid w:val="005F49BF"/>
    <w:rsid w:val="005F5C70"/>
    <w:rsid w:val="005F5E51"/>
    <w:rsid w:val="005F5F39"/>
    <w:rsid w:val="005F6006"/>
    <w:rsid w:val="005F6042"/>
    <w:rsid w:val="005F61E4"/>
    <w:rsid w:val="005F63F8"/>
    <w:rsid w:val="005F6619"/>
    <w:rsid w:val="005F6682"/>
    <w:rsid w:val="005F6814"/>
    <w:rsid w:val="005F7019"/>
    <w:rsid w:val="005F7317"/>
    <w:rsid w:val="005F77AD"/>
    <w:rsid w:val="005F7846"/>
    <w:rsid w:val="005F7A0A"/>
    <w:rsid w:val="005F7E54"/>
    <w:rsid w:val="00600007"/>
    <w:rsid w:val="0060028E"/>
    <w:rsid w:val="0060057A"/>
    <w:rsid w:val="00600BEE"/>
    <w:rsid w:val="00600C8E"/>
    <w:rsid w:val="00600DF2"/>
    <w:rsid w:val="00600FBC"/>
    <w:rsid w:val="00601164"/>
    <w:rsid w:val="00601459"/>
    <w:rsid w:val="00601723"/>
    <w:rsid w:val="0060175E"/>
    <w:rsid w:val="0060199F"/>
    <w:rsid w:val="00601B7A"/>
    <w:rsid w:val="00601C7C"/>
    <w:rsid w:val="00601DF1"/>
    <w:rsid w:val="006020D4"/>
    <w:rsid w:val="0060254B"/>
    <w:rsid w:val="006025D0"/>
    <w:rsid w:val="0060301E"/>
    <w:rsid w:val="0060306A"/>
    <w:rsid w:val="0060332E"/>
    <w:rsid w:val="0060362D"/>
    <w:rsid w:val="00603815"/>
    <w:rsid w:val="00603A3E"/>
    <w:rsid w:val="00603B1E"/>
    <w:rsid w:val="00603C15"/>
    <w:rsid w:val="00603DA0"/>
    <w:rsid w:val="006044D9"/>
    <w:rsid w:val="006045A6"/>
    <w:rsid w:val="0060489F"/>
    <w:rsid w:val="006058B1"/>
    <w:rsid w:val="00605A3E"/>
    <w:rsid w:val="00605BA5"/>
    <w:rsid w:val="00605C9F"/>
    <w:rsid w:val="006064C5"/>
    <w:rsid w:val="0060681E"/>
    <w:rsid w:val="006077C7"/>
    <w:rsid w:val="00607E36"/>
    <w:rsid w:val="00610504"/>
    <w:rsid w:val="00611073"/>
    <w:rsid w:val="00611954"/>
    <w:rsid w:val="00611A5B"/>
    <w:rsid w:val="00611BF5"/>
    <w:rsid w:val="00611E1B"/>
    <w:rsid w:val="00612030"/>
    <w:rsid w:val="006120D7"/>
    <w:rsid w:val="00612883"/>
    <w:rsid w:val="00612CB9"/>
    <w:rsid w:val="00612D96"/>
    <w:rsid w:val="00613092"/>
    <w:rsid w:val="006132D7"/>
    <w:rsid w:val="0061345B"/>
    <w:rsid w:val="0061355D"/>
    <w:rsid w:val="00613599"/>
    <w:rsid w:val="006136F0"/>
    <w:rsid w:val="006137DC"/>
    <w:rsid w:val="00613A03"/>
    <w:rsid w:val="006149FB"/>
    <w:rsid w:val="00614D94"/>
    <w:rsid w:val="00615071"/>
    <w:rsid w:val="0061527F"/>
    <w:rsid w:val="00615540"/>
    <w:rsid w:val="006155A1"/>
    <w:rsid w:val="006159DC"/>
    <w:rsid w:val="00615E63"/>
    <w:rsid w:val="006161E9"/>
    <w:rsid w:val="006163E2"/>
    <w:rsid w:val="0061649F"/>
    <w:rsid w:val="0061693C"/>
    <w:rsid w:val="00616A5F"/>
    <w:rsid w:val="00617337"/>
    <w:rsid w:val="00617F7F"/>
    <w:rsid w:val="00617F99"/>
    <w:rsid w:val="0062051B"/>
    <w:rsid w:val="00620541"/>
    <w:rsid w:val="00620594"/>
    <w:rsid w:val="006205F9"/>
    <w:rsid w:val="00620783"/>
    <w:rsid w:val="00620A37"/>
    <w:rsid w:val="00620B78"/>
    <w:rsid w:val="00620CE7"/>
    <w:rsid w:val="00621824"/>
    <w:rsid w:val="00622329"/>
    <w:rsid w:val="00622597"/>
    <w:rsid w:val="00622DF1"/>
    <w:rsid w:val="00622E3D"/>
    <w:rsid w:val="006236D6"/>
    <w:rsid w:val="00623B3C"/>
    <w:rsid w:val="00623DA7"/>
    <w:rsid w:val="00624834"/>
    <w:rsid w:val="00624DC0"/>
    <w:rsid w:val="00624E99"/>
    <w:rsid w:val="00624FAE"/>
    <w:rsid w:val="00625666"/>
    <w:rsid w:val="00625770"/>
    <w:rsid w:val="0062583C"/>
    <w:rsid w:val="00625FFC"/>
    <w:rsid w:val="006260A7"/>
    <w:rsid w:val="006261BB"/>
    <w:rsid w:val="006262B3"/>
    <w:rsid w:val="00626316"/>
    <w:rsid w:val="00626619"/>
    <w:rsid w:val="0062667E"/>
    <w:rsid w:val="00626E81"/>
    <w:rsid w:val="00626EA4"/>
    <w:rsid w:val="00626EEC"/>
    <w:rsid w:val="00627458"/>
    <w:rsid w:val="00627D11"/>
    <w:rsid w:val="00630886"/>
    <w:rsid w:val="00630BBE"/>
    <w:rsid w:val="00630DC0"/>
    <w:rsid w:val="00630E5A"/>
    <w:rsid w:val="0063109E"/>
    <w:rsid w:val="00631677"/>
    <w:rsid w:val="006316A9"/>
    <w:rsid w:val="006316EB"/>
    <w:rsid w:val="00631850"/>
    <w:rsid w:val="00631F16"/>
    <w:rsid w:val="00632154"/>
    <w:rsid w:val="00632558"/>
    <w:rsid w:val="00632782"/>
    <w:rsid w:val="006327E3"/>
    <w:rsid w:val="006329B6"/>
    <w:rsid w:val="006332C6"/>
    <w:rsid w:val="00633790"/>
    <w:rsid w:val="006338CD"/>
    <w:rsid w:val="00633BFE"/>
    <w:rsid w:val="00633C91"/>
    <w:rsid w:val="00633CC5"/>
    <w:rsid w:val="006341C3"/>
    <w:rsid w:val="00634304"/>
    <w:rsid w:val="0063454C"/>
    <w:rsid w:val="00634697"/>
    <w:rsid w:val="006351BB"/>
    <w:rsid w:val="00635442"/>
    <w:rsid w:val="0063563D"/>
    <w:rsid w:val="006356F5"/>
    <w:rsid w:val="00635952"/>
    <w:rsid w:val="00635AA9"/>
    <w:rsid w:val="00635DDE"/>
    <w:rsid w:val="0063647B"/>
    <w:rsid w:val="006365C0"/>
    <w:rsid w:val="00636D52"/>
    <w:rsid w:val="006371F5"/>
    <w:rsid w:val="00637424"/>
    <w:rsid w:val="00637429"/>
    <w:rsid w:val="00637640"/>
    <w:rsid w:val="00637A28"/>
    <w:rsid w:val="00637F59"/>
    <w:rsid w:val="006401F1"/>
    <w:rsid w:val="0064049B"/>
    <w:rsid w:val="00640584"/>
    <w:rsid w:val="0064085F"/>
    <w:rsid w:val="0064096E"/>
    <w:rsid w:val="00640BF8"/>
    <w:rsid w:val="00640E02"/>
    <w:rsid w:val="006410CC"/>
    <w:rsid w:val="00641579"/>
    <w:rsid w:val="00641A0A"/>
    <w:rsid w:val="00641AC5"/>
    <w:rsid w:val="00641CE3"/>
    <w:rsid w:val="00641D12"/>
    <w:rsid w:val="00641DB2"/>
    <w:rsid w:val="00641EA2"/>
    <w:rsid w:val="00642E70"/>
    <w:rsid w:val="00642E88"/>
    <w:rsid w:val="0064343D"/>
    <w:rsid w:val="006435E7"/>
    <w:rsid w:val="00643867"/>
    <w:rsid w:val="00643C51"/>
    <w:rsid w:val="00643ED6"/>
    <w:rsid w:val="0064465F"/>
    <w:rsid w:val="00644D95"/>
    <w:rsid w:val="006451C9"/>
    <w:rsid w:val="006452D1"/>
    <w:rsid w:val="00645CFC"/>
    <w:rsid w:val="00645D7E"/>
    <w:rsid w:val="00645FD3"/>
    <w:rsid w:val="006463E9"/>
    <w:rsid w:val="0064658B"/>
    <w:rsid w:val="00646C6F"/>
    <w:rsid w:val="00647031"/>
    <w:rsid w:val="00647244"/>
    <w:rsid w:val="006474F8"/>
    <w:rsid w:val="00647504"/>
    <w:rsid w:val="006475CC"/>
    <w:rsid w:val="0064779D"/>
    <w:rsid w:val="00647B13"/>
    <w:rsid w:val="00647F95"/>
    <w:rsid w:val="006502BA"/>
    <w:rsid w:val="006506DE"/>
    <w:rsid w:val="00650735"/>
    <w:rsid w:val="00650861"/>
    <w:rsid w:val="0065090C"/>
    <w:rsid w:val="00650CB1"/>
    <w:rsid w:val="00650FA6"/>
    <w:rsid w:val="00651EFD"/>
    <w:rsid w:val="00652389"/>
    <w:rsid w:val="00652561"/>
    <w:rsid w:val="006528F1"/>
    <w:rsid w:val="00652986"/>
    <w:rsid w:val="00652AC5"/>
    <w:rsid w:val="00652F98"/>
    <w:rsid w:val="0065380A"/>
    <w:rsid w:val="00653B74"/>
    <w:rsid w:val="0065411C"/>
    <w:rsid w:val="00654162"/>
    <w:rsid w:val="006542DC"/>
    <w:rsid w:val="00654366"/>
    <w:rsid w:val="00654589"/>
    <w:rsid w:val="006546E5"/>
    <w:rsid w:val="00654956"/>
    <w:rsid w:val="00654F9A"/>
    <w:rsid w:val="006552F6"/>
    <w:rsid w:val="0065544A"/>
    <w:rsid w:val="0065563D"/>
    <w:rsid w:val="00655841"/>
    <w:rsid w:val="00655A02"/>
    <w:rsid w:val="00655F84"/>
    <w:rsid w:val="006560F0"/>
    <w:rsid w:val="0065627D"/>
    <w:rsid w:val="00656863"/>
    <w:rsid w:val="00657177"/>
    <w:rsid w:val="00657342"/>
    <w:rsid w:val="00660179"/>
    <w:rsid w:val="0066042C"/>
    <w:rsid w:val="0066065A"/>
    <w:rsid w:val="00660718"/>
    <w:rsid w:val="00660A6B"/>
    <w:rsid w:val="00660C24"/>
    <w:rsid w:val="00660D0F"/>
    <w:rsid w:val="006618B6"/>
    <w:rsid w:val="00661999"/>
    <w:rsid w:val="006621B4"/>
    <w:rsid w:val="00662977"/>
    <w:rsid w:val="00662B6C"/>
    <w:rsid w:val="0066308E"/>
    <w:rsid w:val="006631C8"/>
    <w:rsid w:val="0066337B"/>
    <w:rsid w:val="00663421"/>
    <w:rsid w:val="006634C8"/>
    <w:rsid w:val="00663627"/>
    <w:rsid w:val="0066397A"/>
    <w:rsid w:val="006644D2"/>
    <w:rsid w:val="006646E2"/>
    <w:rsid w:val="00664FC9"/>
    <w:rsid w:val="0066556B"/>
    <w:rsid w:val="00665E41"/>
    <w:rsid w:val="006661FC"/>
    <w:rsid w:val="006665C9"/>
    <w:rsid w:val="00666611"/>
    <w:rsid w:val="006666BE"/>
    <w:rsid w:val="00666810"/>
    <w:rsid w:val="00666A28"/>
    <w:rsid w:val="00666A95"/>
    <w:rsid w:val="00666C9B"/>
    <w:rsid w:val="00666CE2"/>
    <w:rsid w:val="00666F9D"/>
    <w:rsid w:val="00666FAB"/>
    <w:rsid w:val="006676E1"/>
    <w:rsid w:val="00667754"/>
    <w:rsid w:val="006677A8"/>
    <w:rsid w:val="00667BE1"/>
    <w:rsid w:val="0067058F"/>
    <w:rsid w:val="006708BB"/>
    <w:rsid w:val="006708C2"/>
    <w:rsid w:val="00670DA2"/>
    <w:rsid w:val="00670F76"/>
    <w:rsid w:val="00670F8B"/>
    <w:rsid w:val="0067118E"/>
    <w:rsid w:val="00671222"/>
    <w:rsid w:val="00671520"/>
    <w:rsid w:val="00672196"/>
    <w:rsid w:val="0067230A"/>
    <w:rsid w:val="00672437"/>
    <w:rsid w:val="0067248D"/>
    <w:rsid w:val="0067274C"/>
    <w:rsid w:val="006728F3"/>
    <w:rsid w:val="00672BBF"/>
    <w:rsid w:val="00672DB1"/>
    <w:rsid w:val="006731E6"/>
    <w:rsid w:val="00673297"/>
    <w:rsid w:val="00673422"/>
    <w:rsid w:val="00673FE5"/>
    <w:rsid w:val="006740B2"/>
    <w:rsid w:val="00674496"/>
    <w:rsid w:val="00674A5B"/>
    <w:rsid w:val="00674E20"/>
    <w:rsid w:val="00674FCC"/>
    <w:rsid w:val="00675194"/>
    <w:rsid w:val="006753AE"/>
    <w:rsid w:val="0067550D"/>
    <w:rsid w:val="00675651"/>
    <w:rsid w:val="00675703"/>
    <w:rsid w:val="00675716"/>
    <w:rsid w:val="006757B1"/>
    <w:rsid w:val="006757E6"/>
    <w:rsid w:val="0067586E"/>
    <w:rsid w:val="00675D7E"/>
    <w:rsid w:val="00675EED"/>
    <w:rsid w:val="00676205"/>
    <w:rsid w:val="00676D9D"/>
    <w:rsid w:val="00676E87"/>
    <w:rsid w:val="00676F45"/>
    <w:rsid w:val="00677052"/>
    <w:rsid w:val="0067717D"/>
    <w:rsid w:val="006777B9"/>
    <w:rsid w:val="00677C14"/>
    <w:rsid w:val="00677D02"/>
    <w:rsid w:val="00680009"/>
    <w:rsid w:val="00680B78"/>
    <w:rsid w:val="00680C50"/>
    <w:rsid w:val="00681404"/>
    <w:rsid w:val="00681502"/>
    <w:rsid w:val="00681564"/>
    <w:rsid w:val="00681851"/>
    <w:rsid w:val="00681D79"/>
    <w:rsid w:val="006821FC"/>
    <w:rsid w:val="006829B2"/>
    <w:rsid w:val="00682AB9"/>
    <w:rsid w:val="00682C82"/>
    <w:rsid w:val="00682C8E"/>
    <w:rsid w:val="00682D7D"/>
    <w:rsid w:val="00682E68"/>
    <w:rsid w:val="00683242"/>
    <w:rsid w:val="0068347D"/>
    <w:rsid w:val="0068402B"/>
    <w:rsid w:val="006848A5"/>
    <w:rsid w:val="00684924"/>
    <w:rsid w:val="00684A76"/>
    <w:rsid w:val="00684B1D"/>
    <w:rsid w:val="00684B3A"/>
    <w:rsid w:val="00684CC2"/>
    <w:rsid w:val="00684D07"/>
    <w:rsid w:val="00684DB8"/>
    <w:rsid w:val="00684EF4"/>
    <w:rsid w:val="006852C3"/>
    <w:rsid w:val="0068531F"/>
    <w:rsid w:val="00685350"/>
    <w:rsid w:val="006856F9"/>
    <w:rsid w:val="00685B5A"/>
    <w:rsid w:val="00685C35"/>
    <w:rsid w:val="00685C73"/>
    <w:rsid w:val="00685F83"/>
    <w:rsid w:val="006863E9"/>
    <w:rsid w:val="006863FF"/>
    <w:rsid w:val="00686572"/>
    <w:rsid w:val="00686A5A"/>
    <w:rsid w:val="00686EC4"/>
    <w:rsid w:val="00686FB0"/>
    <w:rsid w:val="0068770B"/>
    <w:rsid w:val="00687774"/>
    <w:rsid w:val="00687B32"/>
    <w:rsid w:val="00687C34"/>
    <w:rsid w:val="00687F9C"/>
    <w:rsid w:val="00690412"/>
    <w:rsid w:val="00690810"/>
    <w:rsid w:val="00690A27"/>
    <w:rsid w:val="00690BD5"/>
    <w:rsid w:val="00690DF0"/>
    <w:rsid w:val="00690F58"/>
    <w:rsid w:val="006913D2"/>
    <w:rsid w:val="00691886"/>
    <w:rsid w:val="0069198C"/>
    <w:rsid w:val="006919BC"/>
    <w:rsid w:val="006919DE"/>
    <w:rsid w:val="006919F7"/>
    <w:rsid w:val="00691B70"/>
    <w:rsid w:val="00692967"/>
    <w:rsid w:val="00692EAD"/>
    <w:rsid w:val="006931C0"/>
    <w:rsid w:val="006934E2"/>
    <w:rsid w:val="00693525"/>
    <w:rsid w:val="006936CF"/>
    <w:rsid w:val="006938C2"/>
    <w:rsid w:val="00693971"/>
    <w:rsid w:val="00693AA1"/>
    <w:rsid w:val="0069413D"/>
    <w:rsid w:val="006942CC"/>
    <w:rsid w:val="0069444A"/>
    <w:rsid w:val="00694B11"/>
    <w:rsid w:val="00694E6B"/>
    <w:rsid w:val="0069501D"/>
    <w:rsid w:val="006953F9"/>
    <w:rsid w:val="0069540F"/>
    <w:rsid w:val="00695592"/>
    <w:rsid w:val="006961F4"/>
    <w:rsid w:val="00696A78"/>
    <w:rsid w:val="00696B86"/>
    <w:rsid w:val="00696C54"/>
    <w:rsid w:val="00697195"/>
    <w:rsid w:val="006971A7"/>
    <w:rsid w:val="00697225"/>
    <w:rsid w:val="006974A7"/>
    <w:rsid w:val="00697CE5"/>
    <w:rsid w:val="006A0231"/>
    <w:rsid w:val="006A046B"/>
    <w:rsid w:val="006A0A3D"/>
    <w:rsid w:val="006A0E71"/>
    <w:rsid w:val="006A1006"/>
    <w:rsid w:val="006A1046"/>
    <w:rsid w:val="006A12B3"/>
    <w:rsid w:val="006A1957"/>
    <w:rsid w:val="006A27B2"/>
    <w:rsid w:val="006A2BAC"/>
    <w:rsid w:val="006A35E2"/>
    <w:rsid w:val="006A35F0"/>
    <w:rsid w:val="006A363C"/>
    <w:rsid w:val="006A364B"/>
    <w:rsid w:val="006A37B0"/>
    <w:rsid w:val="006A3B40"/>
    <w:rsid w:val="006A4093"/>
    <w:rsid w:val="006A4701"/>
    <w:rsid w:val="006A4BCB"/>
    <w:rsid w:val="006A4E5D"/>
    <w:rsid w:val="006A5083"/>
    <w:rsid w:val="006A5337"/>
    <w:rsid w:val="006A54A0"/>
    <w:rsid w:val="006A58ED"/>
    <w:rsid w:val="006A5A1D"/>
    <w:rsid w:val="006A5CDC"/>
    <w:rsid w:val="006A5E97"/>
    <w:rsid w:val="006A6329"/>
    <w:rsid w:val="006A6A3E"/>
    <w:rsid w:val="006A6BDD"/>
    <w:rsid w:val="006A6DF3"/>
    <w:rsid w:val="006A6E05"/>
    <w:rsid w:val="006A6E39"/>
    <w:rsid w:val="006A71C1"/>
    <w:rsid w:val="006A72C4"/>
    <w:rsid w:val="006A7462"/>
    <w:rsid w:val="006A7A59"/>
    <w:rsid w:val="006A7AA0"/>
    <w:rsid w:val="006A7AE6"/>
    <w:rsid w:val="006A7B7D"/>
    <w:rsid w:val="006A7D23"/>
    <w:rsid w:val="006B0330"/>
    <w:rsid w:val="006B0356"/>
    <w:rsid w:val="006B0672"/>
    <w:rsid w:val="006B0957"/>
    <w:rsid w:val="006B0963"/>
    <w:rsid w:val="006B0A15"/>
    <w:rsid w:val="006B0EC7"/>
    <w:rsid w:val="006B0F96"/>
    <w:rsid w:val="006B1700"/>
    <w:rsid w:val="006B1D78"/>
    <w:rsid w:val="006B2682"/>
    <w:rsid w:val="006B2A03"/>
    <w:rsid w:val="006B2D1C"/>
    <w:rsid w:val="006B31DE"/>
    <w:rsid w:val="006B3499"/>
    <w:rsid w:val="006B3771"/>
    <w:rsid w:val="006B3877"/>
    <w:rsid w:val="006B403B"/>
    <w:rsid w:val="006B43FC"/>
    <w:rsid w:val="006B44DA"/>
    <w:rsid w:val="006B501D"/>
    <w:rsid w:val="006B5076"/>
    <w:rsid w:val="006B5331"/>
    <w:rsid w:val="006B5457"/>
    <w:rsid w:val="006B5BE0"/>
    <w:rsid w:val="006B606D"/>
    <w:rsid w:val="006B6215"/>
    <w:rsid w:val="006B637D"/>
    <w:rsid w:val="006B642A"/>
    <w:rsid w:val="006B6EBA"/>
    <w:rsid w:val="006B704C"/>
    <w:rsid w:val="006B7135"/>
    <w:rsid w:val="006B72B4"/>
    <w:rsid w:val="006B7368"/>
    <w:rsid w:val="006B754E"/>
    <w:rsid w:val="006B7838"/>
    <w:rsid w:val="006B78FD"/>
    <w:rsid w:val="006B7A90"/>
    <w:rsid w:val="006C038B"/>
    <w:rsid w:val="006C043E"/>
    <w:rsid w:val="006C06DD"/>
    <w:rsid w:val="006C09F6"/>
    <w:rsid w:val="006C0C67"/>
    <w:rsid w:val="006C0C6B"/>
    <w:rsid w:val="006C0D7A"/>
    <w:rsid w:val="006C11EB"/>
    <w:rsid w:val="006C1428"/>
    <w:rsid w:val="006C1446"/>
    <w:rsid w:val="006C14AF"/>
    <w:rsid w:val="006C1574"/>
    <w:rsid w:val="006C15AE"/>
    <w:rsid w:val="006C1A8C"/>
    <w:rsid w:val="006C1FDF"/>
    <w:rsid w:val="006C2050"/>
    <w:rsid w:val="006C276E"/>
    <w:rsid w:val="006C2946"/>
    <w:rsid w:val="006C354A"/>
    <w:rsid w:val="006C361C"/>
    <w:rsid w:val="006C36BB"/>
    <w:rsid w:val="006C3E32"/>
    <w:rsid w:val="006C3F0A"/>
    <w:rsid w:val="006C3F22"/>
    <w:rsid w:val="006C408B"/>
    <w:rsid w:val="006C435C"/>
    <w:rsid w:val="006C4444"/>
    <w:rsid w:val="006C466C"/>
    <w:rsid w:val="006C4962"/>
    <w:rsid w:val="006C53FB"/>
    <w:rsid w:val="006C5742"/>
    <w:rsid w:val="006C5AB8"/>
    <w:rsid w:val="006C6479"/>
    <w:rsid w:val="006C6A9E"/>
    <w:rsid w:val="006C6AA4"/>
    <w:rsid w:val="006C6B11"/>
    <w:rsid w:val="006C6C95"/>
    <w:rsid w:val="006C721F"/>
    <w:rsid w:val="006C722F"/>
    <w:rsid w:val="006C73CF"/>
    <w:rsid w:val="006C7BF8"/>
    <w:rsid w:val="006C7EFD"/>
    <w:rsid w:val="006D01AA"/>
    <w:rsid w:val="006D01EA"/>
    <w:rsid w:val="006D0684"/>
    <w:rsid w:val="006D0B3F"/>
    <w:rsid w:val="006D1112"/>
    <w:rsid w:val="006D1240"/>
    <w:rsid w:val="006D13AE"/>
    <w:rsid w:val="006D187E"/>
    <w:rsid w:val="006D1BF5"/>
    <w:rsid w:val="006D201E"/>
    <w:rsid w:val="006D20A5"/>
    <w:rsid w:val="006D20B5"/>
    <w:rsid w:val="006D2115"/>
    <w:rsid w:val="006D231C"/>
    <w:rsid w:val="006D278E"/>
    <w:rsid w:val="006D287C"/>
    <w:rsid w:val="006D2AD9"/>
    <w:rsid w:val="006D30BE"/>
    <w:rsid w:val="006D32EE"/>
    <w:rsid w:val="006D34BA"/>
    <w:rsid w:val="006D37CC"/>
    <w:rsid w:val="006D3B7D"/>
    <w:rsid w:val="006D3C9E"/>
    <w:rsid w:val="006D3CD8"/>
    <w:rsid w:val="006D4202"/>
    <w:rsid w:val="006D4520"/>
    <w:rsid w:val="006D4D1F"/>
    <w:rsid w:val="006D4FED"/>
    <w:rsid w:val="006D511E"/>
    <w:rsid w:val="006D5265"/>
    <w:rsid w:val="006D5467"/>
    <w:rsid w:val="006D5A2D"/>
    <w:rsid w:val="006D617E"/>
    <w:rsid w:val="006D6907"/>
    <w:rsid w:val="006D690F"/>
    <w:rsid w:val="006D694C"/>
    <w:rsid w:val="006D6A9D"/>
    <w:rsid w:val="006D6D94"/>
    <w:rsid w:val="006D6E76"/>
    <w:rsid w:val="006D7567"/>
    <w:rsid w:val="006D79C1"/>
    <w:rsid w:val="006E03FA"/>
    <w:rsid w:val="006E056E"/>
    <w:rsid w:val="006E0833"/>
    <w:rsid w:val="006E0BD7"/>
    <w:rsid w:val="006E12A3"/>
    <w:rsid w:val="006E15FA"/>
    <w:rsid w:val="006E1F1A"/>
    <w:rsid w:val="006E2095"/>
    <w:rsid w:val="006E235B"/>
    <w:rsid w:val="006E261A"/>
    <w:rsid w:val="006E270B"/>
    <w:rsid w:val="006E29AD"/>
    <w:rsid w:val="006E2B32"/>
    <w:rsid w:val="006E2C4F"/>
    <w:rsid w:val="006E2C86"/>
    <w:rsid w:val="006E2D44"/>
    <w:rsid w:val="006E3232"/>
    <w:rsid w:val="006E3343"/>
    <w:rsid w:val="006E3B58"/>
    <w:rsid w:val="006E3B8A"/>
    <w:rsid w:val="006E404C"/>
    <w:rsid w:val="006E438B"/>
    <w:rsid w:val="006E472A"/>
    <w:rsid w:val="006E4901"/>
    <w:rsid w:val="006E5541"/>
    <w:rsid w:val="006E57EB"/>
    <w:rsid w:val="006E5AB2"/>
    <w:rsid w:val="006E60AD"/>
    <w:rsid w:val="006E60BC"/>
    <w:rsid w:val="006E6208"/>
    <w:rsid w:val="006E63C9"/>
    <w:rsid w:val="006E63D5"/>
    <w:rsid w:val="006E64B0"/>
    <w:rsid w:val="006E6F5E"/>
    <w:rsid w:val="006E6FB5"/>
    <w:rsid w:val="006E72F1"/>
    <w:rsid w:val="006E79EB"/>
    <w:rsid w:val="006E7C09"/>
    <w:rsid w:val="006F03B8"/>
    <w:rsid w:val="006F04E5"/>
    <w:rsid w:val="006F0737"/>
    <w:rsid w:val="006F07DD"/>
    <w:rsid w:val="006F1107"/>
    <w:rsid w:val="006F140A"/>
    <w:rsid w:val="006F1750"/>
    <w:rsid w:val="006F1A55"/>
    <w:rsid w:val="006F1CB2"/>
    <w:rsid w:val="006F1EBE"/>
    <w:rsid w:val="006F1FED"/>
    <w:rsid w:val="006F2033"/>
    <w:rsid w:val="006F210D"/>
    <w:rsid w:val="006F21E4"/>
    <w:rsid w:val="006F25D5"/>
    <w:rsid w:val="006F2A90"/>
    <w:rsid w:val="006F320E"/>
    <w:rsid w:val="006F3490"/>
    <w:rsid w:val="006F3975"/>
    <w:rsid w:val="006F39AE"/>
    <w:rsid w:val="006F3EE0"/>
    <w:rsid w:val="006F3F93"/>
    <w:rsid w:val="006F411A"/>
    <w:rsid w:val="006F4277"/>
    <w:rsid w:val="006F430E"/>
    <w:rsid w:val="006F4506"/>
    <w:rsid w:val="006F454C"/>
    <w:rsid w:val="006F45C2"/>
    <w:rsid w:val="006F46CE"/>
    <w:rsid w:val="006F474C"/>
    <w:rsid w:val="006F4D43"/>
    <w:rsid w:val="006F5192"/>
    <w:rsid w:val="006F5334"/>
    <w:rsid w:val="006F55F5"/>
    <w:rsid w:val="006F6C92"/>
    <w:rsid w:val="006F6EC4"/>
    <w:rsid w:val="006F74A2"/>
    <w:rsid w:val="006F7F8F"/>
    <w:rsid w:val="00700430"/>
    <w:rsid w:val="007007FB"/>
    <w:rsid w:val="007008CF"/>
    <w:rsid w:val="00700D97"/>
    <w:rsid w:val="00700DBC"/>
    <w:rsid w:val="00701289"/>
    <w:rsid w:val="00701407"/>
    <w:rsid w:val="00701461"/>
    <w:rsid w:val="00701857"/>
    <w:rsid w:val="00701B53"/>
    <w:rsid w:val="007020E5"/>
    <w:rsid w:val="00702236"/>
    <w:rsid w:val="007023E8"/>
    <w:rsid w:val="007023FC"/>
    <w:rsid w:val="0070255D"/>
    <w:rsid w:val="007027B9"/>
    <w:rsid w:val="0070298A"/>
    <w:rsid w:val="007029AF"/>
    <w:rsid w:val="00702A0E"/>
    <w:rsid w:val="00702EED"/>
    <w:rsid w:val="007032BE"/>
    <w:rsid w:val="007033CB"/>
    <w:rsid w:val="0070366C"/>
    <w:rsid w:val="00703AE5"/>
    <w:rsid w:val="00703E84"/>
    <w:rsid w:val="00703EC3"/>
    <w:rsid w:val="00703F91"/>
    <w:rsid w:val="00704476"/>
    <w:rsid w:val="00704827"/>
    <w:rsid w:val="007049A0"/>
    <w:rsid w:val="00704ACD"/>
    <w:rsid w:val="00704BED"/>
    <w:rsid w:val="00704DD9"/>
    <w:rsid w:val="00705160"/>
    <w:rsid w:val="00705506"/>
    <w:rsid w:val="0070559E"/>
    <w:rsid w:val="0070563C"/>
    <w:rsid w:val="00705656"/>
    <w:rsid w:val="00705BE0"/>
    <w:rsid w:val="00705BFF"/>
    <w:rsid w:val="00705F5F"/>
    <w:rsid w:val="0070638E"/>
    <w:rsid w:val="0070667A"/>
    <w:rsid w:val="00706AA7"/>
    <w:rsid w:val="00706EF5"/>
    <w:rsid w:val="0070708F"/>
    <w:rsid w:val="007072E7"/>
    <w:rsid w:val="007073CA"/>
    <w:rsid w:val="0071019C"/>
    <w:rsid w:val="007105A9"/>
    <w:rsid w:val="00710726"/>
    <w:rsid w:val="00710759"/>
    <w:rsid w:val="007109B0"/>
    <w:rsid w:val="00710AED"/>
    <w:rsid w:val="007110AF"/>
    <w:rsid w:val="00711310"/>
    <w:rsid w:val="007116DB"/>
    <w:rsid w:val="00711878"/>
    <w:rsid w:val="00711EC5"/>
    <w:rsid w:val="00712339"/>
    <w:rsid w:val="0071286E"/>
    <w:rsid w:val="00712DD9"/>
    <w:rsid w:val="00713380"/>
    <w:rsid w:val="00713515"/>
    <w:rsid w:val="007136F8"/>
    <w:rsid w:val="00713728"/>
    <w:rsid w:val="0071394E"/>
    <w:rsid w:val="00713B00"/>
    <w:rsid w:val="00713F88"/>
    <w:rsid w:val="0071452F"/>
    <w:rsid w:val="007146BE"/>
    <w:rsid w:val="00714967"/>
    <w:rsid w:val="007150F0"/>
    <w:rsid w:val="0071541F"/>
    <w:rsid w:val="00715673"/>
    <w:rsid w:val="007158C8"/>
    <w:rsid w:val="0071597E"/>
    <w:rsid w:val="007161AA"/>
    <w:rsid w:val="007162A7"/>
    <w:rsid w:val="00716338"/>
    <w:rsid w:val="00716655"/>
    <w:rsid w:val="00716832"/>
    <w:rsid w:val="007168AF"/>
    <w:rsid w:val="007168B9"/>
    <w:rsid w:val="00716BAB"/>
    <w:rsid w:val="00716D4C"/>
    <w:rsid w:val="00716DF3"/>
    <w:rsid w:val="00717100"/>
    <w:rsid w:val="0071721E"/>
    <w:rsid w:val="00717269"/>
    <w:rsid w:val="00717A18"/>
    <w:rsid w:val="00717B62"/>
    <w:rsid w:val="007204AD"/>
    <w:rsid w:val="007204C7"/>
    <w:rsid w:val="007205A2"/>
    <w:rsid w:val="0072070A"/>
    <w:rsid w:val="007208FF"/>
    <w:rsid w:val="007209AB"/>
    <w:rsid w:val="007209AD"/>
    <w:rsid w:val="00720A75"/>
    <w:rsid w:val="00720D76"/>
    <w:rsid w:val="00721137"/>
    <w:rsid w:val="00721ABC"/>
    <w:rsid w:val="00721E53"/>
    <w:rsid w:val="00721E59"/>
    <w:rsid w:val="00722E9C"/>
    <w:rsid w:val="007233FE"/>
    <w:rsid w:val="007236EB"/>
    <w:rsid w:val="00723BAF"/>
    <w:rsid w:val="0072452C"/>
    <w:rsid w:val="00724CF4"/>
    <w:rsid w:val="00725258"/>
    <w:rsid w:val="0072529F"/>
    <w:rsid w:val="007252C0"/>
    <w:rsid w:val="0072538D"/>
    <w:rsid w:val="0072574E"/>
    <w:rsid w:val="0072584E"/>
    <w:rsid w:val="007258D4"/>
    <w:rsid w:val="00725CA7"/>
    <w:rsid w:val="00725CFD"/>
    <w:rsid w:val="00725D4A"/>
    <w:rsid w:val="00725D63"/>
    <w:rsid w:val="00725F98"/>
    <w:rsid w:val="007261E0"/>
    <w:rsid w:val="00726252"/>
    <w:rsid w:val="007262C5"/>
    <w:rsid w:val="00726820"/>
    <w:rsid w:val="00726C19"/>
    <w:rsid w:val="00726D80"/>
    <w:rsid w:val="00726E7B"/>
    <w:rsid w:val="007270FA"/>
    <w:rsid w:val="007272E6"/>
    <w:rsid w:val="007273D5"/>
    <w:rsid w:val="00727539"/>
    <w:rsid w:val="00727AB6"/>
    <w:rsid w:val="00727AF8"/>
    <w:rsid w:val="007300AC"/>
    <w:rsid w:val="007304B2"/>
    <w:rsid w:val="00730EED"/>
    <w:rsid w:val="00731438"/>
    <w:rsid w:val="007314F3"/>
    <w:rsid w:val="00731654"/>
    <w:rsid w:val="007319C6"/>
    <w:rsid w:val="00731C25"/>
    <w:rsid w:val="00731F17"/>
    <w:rsid w:val="00731F7D"/>
    <w:rsid w:val="00732230"/>
    <w:rsid w:val="007328B4"/>
    <w:rsid w:val="00732D8B"/>
    <w:rsid w:val="00732F60"/>
    <w:rsid w:val="0073308F"/>
    <w:rsid w:val="00733121"/>
    <w:rsid w:val="007331B9"/>
    <w:rsid w:val="00733553"/>
    <w:rsid w:val="007339EF"/>
    <w:rsid w:val="00733F77"/>
    <w:rsid w:val="007341CA"/>
    <w:rsid w:val="00734D62"/>
    <w:rsid w:val="00734E36"/>
    <w:rsid w:val="00734E85"/>
    <w:rsid w:val="00735813"/>
    <w:rsid w:val="00735A23"/>
    <w:rsid w:val="00735CCF"/>
    <w:rsid w:val="00736566"/>
    <w:rsid w:val="007366FD"/>
    <w:rsid w:val="00736797"/>
    <w:rsid w:val="00736EDF"/>
    <w:rsid w:val="00737A69"/>
    <w:rsid w:val="00740060"/>
    <w:rsid w:val="007402FE"/>
    <w:rsid w:val="00740370"/>
    <w:rsid w:val="0074063A"/>
    <w:rsid w:val="007406CD"/>
    <w:rsid w:val="0074072D"/>
    <w:rsid w:val="0074075D"/>
    <w:rsid w:val="007407E1"/>
    <w:rsid w:val="00740D36"/>
    <w:rsid w:val="00740E5B"/>
    <w:rsid w:val="0074142F"/>
    <w:rsid w:val="007415EE"/>
    <w:rsid w:val="0074164F"/>
    <w:rsid w:val="0074198B"/>
    <w:rsid w:val="007423E1"/>
    <w:rsid w:val="0074251A"/>
    <w:rsid w:val="00742C71"/>
    <w:rsid w:val="00742FAC"/>
    <w:rsid w:val="00743293"/>
    <w:rsid w:val="007436B0"/>
    <w:rsid w:val="00743A6E"/>
    <w:rsid w:val="00743B1A"/>
    <w:rsid w:val="00743D38"/>
    <w:rsid w:val="00743E9C"/>
    <w:rsid w:val="007443FA"/>
    <w:rsid w:val="0074450A"/>
    <w:rsid w:val="00744915"/>
    <w:rsid w:val="00744929"/>
    <w:rsid w:val="00744CAC"/>
    <w:rsid w:val="00744D19"/>
    <w:rsid w:val="00744DD5"/>
    <w:rsid w:val="00745000"/>
    <w:rsid w:val="00745193"/>
    <w:rsid w:val="00745362"/>
    <w:rsid w:val="00745D89"/>
    <w:rsid w:val="00745DD2"/>
    <w:rsid w:val="00745FF1"/>
    <w:rsid w:val="0074616F"/>
    <w:rsid w:val="007468A1"/>
    <w:rsid w:val="00746958"/>
    <w:rsid w:val="00746C4F"/>
    <w:rsid w:val="00747BC0"/>
    <w:rsid w:val="00747C48"/>
    <w:rsid w:val="00747CA5"/>
    <w:rsid w:val="00747D18"/>
    <w:rsid w:val="007501EB"/>
    <w:rsid w:val="007502D9"/>
    <w:rsid w:val="007506A7"/>
    <w:rsid w:val="00750B56"/>
    <w:rsid w:val="007512F0"/>
    <w:rsid w:val="00751791"/>
    <w:rsid w:val="00751A5B"/>
    <w:rsid w:val="00751C8D"/>
    <w:rsid w:val="00752166"/>
    <w:rsid w:val="00752204"/>
    <w:rsid w:val="00752354"/>
    <w:rsid w:val="007527F6"/>
    <w:rsid w:val="00752880"/>
    <w:rsid w:val="007528B7"/>
    <w:rsid w:val="00752E3A"/>
    <w:rsid w:val="007531D4"/>
    <w:rsid w:val="0075351F"/>
    <w:rsid w:val="007538A8"/>
    <w:rsid w:val="007539D4"/>
    <w:rsid w:val="00754813"/>
    <w:rsid w:val="00754A0C"/>
    <w:rsid w:val="007556EC"/>
    <w:rsid w:val="00755B5A"/>
    <w:rsid w:val="007560A3"/>
    <w:rsid w:val="0075615D"/>
    <w:rsid w:val="007564F7"/>
    <w:rsid w:val="00756558"/>
    <w:rsid w:val="007567D2"/>
    <w:rsid w:val="00756D4B"/>
    <w:rsid w:val="0075730C"/>
    <w:rsid w:val="00757520"/>
    <w:rsid w:val="007576BD"/>
    <w:rsid w:val="0075795F"/>
    <w:rsid w:val="00757CA5"/>
    <w:rsid w:val="00757D27"/>
    <w:rsid w:val="00757DD1"/>
    <w:rsid w:val="00757DDC"/>
    <w:rsid w:val="007601E4"/>
    <w:rsid w:val="00760883"/>
    <w:rsid w:val="00760B8A"/>
    <w:rsid w:val="0076118A"/>
    <w:rsid w:val="00761E91"/>
    <w:rsid w:val="00761F21"/>
    <w:rsid w:val="0076217B"/>
    <w:rsid w:val="0076247E"/>
    <w:rsid w:val="007624E5"/>
    <w:rsid w:val="007627E8"/>
    <w:rsid w:val="00762A4A"/>
    <w:rsid w:val="00763798"/>
    <w:rsid w:val="00763ABE"/>
    <w:rsid w:val="00763ADA"/>
    <w:rsid w:val="00763CB2"/>
    <w:rsid w:val="00763F56"/>
    <w:rsid w:val="007646E8"/>
    <w:rsid w:val="00764CC5"/>
    <w:rsid w:val="00764E64"/>
    <w:rsid w:val="00764F6C"/>
    <w:rsid w:val="00765133"/>
    <w:rsid w:val="00765221"/>
    <w:rsid w:val="00765466"/>
    <w:rsid w:val="00765C6B"/>
    <w:rsid w:val="00765F20"/>
    <w:rsid w:val="0076636B"/>
    <w:rsid w:val="007665E7"/>
    <w:rsid w:val="00766969"/>
    <w:rsid w:val="007670C0"/>
    <w:rsid w:val="00767591"/>
    <w:rsid w:val="0076781D"/>
    <w:rsid w:val="00767AB1"/>
    <w:rsid w:val="00767C46"/>
    <w:rsid w:val="00767E21"/>
    <w:rsid w:val="00767E47"/>
    <w:rsid w:val="007701FD"/>
    <w:rsid w:val="00770454"/>
    <w:rsid w:val="007707A2"/>
    <w:rsid w:val="007707BA"/>
    <w:rsid w:val="007708BD"/>
    <w:rsid w:val="00770949"/>
    <w:rsid w:val="00770AB3"/>
    <w:rsid w:val="00770BDD"/>
    <w:rsid w:val="00770D30"/>
    <w:rsid w:val="007711D6"/>
    <w:rsid w:val="007715DE"/>
    <w:rsid w:val="007719EA"/>
    <w:rsid w:val="00771CA0"/>
    <w:rsid w:val="00771FEA"/>
    <w:rsid w:val="00772042"/>
    <w:rsid w:val="007720D9"/>
    <w:rsid w:val="00772341"/>
    <w:rsid w:val="007724B5"/>
    <w:rsid w:val="0077255B"/>
    <w:rsid w:val="00772904"/>
    <w:rsid w:val="00772C05"/>
    <w:rsid w:val="007732C1"/>
    <w:rsid w:val="0077337F"/>
    <w:rsid w:val="007734EA"/>
    <w:rsid w:val="00773703"/>
    <w:rsid w:val="00773934"/>
    <w:rsid w:val="007739FD"/>
    <w:rsid w:val="00773BB2"/>
    <w:rsid w:val="00774838"/>
    <w:rsid w:val="0077579A"/>
    <w:rsid w:val="00775E82"/>
    <w:rsid w:val="0077611E"/>
    <w:rsid w:val="00776215"/>
    <w:rsid w:val="0077626B"/>
    <w:rsid w:val="00776283"/>
    <w:rsid w:val="0077631A"/>
    <w:rsid w:val="0077688D"/>
    <w:rsid w:val="00776EF1"/>
    <w:rsid w:val="00777443"/>
    <w:rsid w:val="00777908"/>
    <w:rsid w:val="00777BB9"/>
    <w:rsid w:val="00777ED5"/>
    <w:rsid w:val="0078015B"/>
    <w:rsid w:val="007808C6"/>
    <w:rsid w:val="00780AB1"/>
    <w:rsid w:val="00780CD7"/>
    <w:rsid w:val="00780F84"/>
    <w:rsid w:val="0078102B"/>
    <w:rsid w:val="0078121C"/>
    <w:rsid w:val="0078137D"/>
    <w:rsid w:val="0078146C"/>
    <w:rsid w:val="0078154F"/>
    <w:rsid w:val="00781B0F"/>
    <w:rsid w:val="00781C30"/>
    <w:rsid w:val="00781C95"/>
    <w:rsid w:val="0078218A"/>
    <w:rsid w:val="007828F7"/>
    <w:rsid w:val="00782980"/>
    <w:rsid w:val="0078298D"/>
    <w:rsid w:val="00782FF5"/>
    <w:rsid w:val="007830EA"/>
    <w:rsid w:val="00783239"/>
    <w:rsid w:val="007832B6"/>
    <w:rsid w:val="007845E1"/>
    <w:rsid w:val="00784E69"/>
    <w:rsid w:val="00784ED1"/>
    <w:rsid w:val="00785862"/>
    <w:rsid w:val="007858AD"/>
    <w:rsid w:val="00785C25"/>
    <w:rsid w:val="00786447"/>
    <w:rsid w:val="00786B6A"/>
    <w:rsid w:val="00786C51"/>
    <w:rsid w:val="00786F73"/>
    <w:rsid w:val="007873EA"/>
    <w:rsid w:val="007874ED"/>
    <w:rsid w:val="00787C8D"/>
    <w:rsid w:val="00790B09"/>
    <w:rsid w:val="00790FAC"/>
    <w:rsid w:val="00791104"/>
    <w:rsid w:val="007915DE"/>
    <w:rsid w:val="00791834"/>
    <w:rsid w:val="0079203F"/>
    <w:rsid w:val="0079207A"/>
    <w:rsid w:val="00792530"/>
    <w:rsid w:val="007927EF"/>
    <w:rsid w:val="0079285F"/>
    <w:rsid w:val="00792B83"/>
    <w:rsid w:val="00792EF8"/>
    <w:rsid w:val="00793025"/>
    <w:rsid w:val="00793759"/>
    <w:rsid w:val="00793782"/>
    <w:rsid w:val="007937E9"/>
    <w:rsid w:val="007939C5"/>
    <w:rsid w:val="00793B8C"/>
    <w:rsid w:val="00793D89"/>
    <w:rsid w:val="00793DC2"/>
    <w:rsid w:val="00793DFF"/>
    <w:rsid w:val="00794799"/>
    <w:rsid w:val="00794B0A"/>
    <w:rsid w:val="00794C5E"/>
    <w:rsid w:val="00794C91"/>
    <w:rsid w:val="00794CCA"/>
    <w:rsid w:val="00794DA5"/>
    <w:rsid w:val="0079579E"/>
    <w:rsid w:val="007957F9"/>
    <w:rsid w:val="00795953"/>
    <w:rsid w:val="00795D44"/>
    <w:rsid w:val="00795E41"/>
    <w:rsid w:val="007961FD"/>
    <w:rsid w:val="0079626C"/>
    <w:rsid w:val="00796348"/>
    <w:rsid w:val="00796434"/>
    <w:rsid w:val="00796449"/>
    <w:rsid w:val="00796976"/>
    <w:rsid w:val="00796BF8"/>
    <w:rsid w:val="00797B67"/>
    <w:rsid w:val="007A005D"/>
    <w:rsid w:val="007A0730"/>
    <w:rsid w:val="007A07BC"/>
    <w:rsid w:val="007A0B79"/>
    <w:rsid w:val="007A0F52"/>
    <w:rsid w:val="007A1171"/>
    <w:rsid w:val="007A1279"/>
    <w:rsid w:val="007A13F3"/>
    <w:rsid w:val="007A1428"/>
    <w:rsid w:val="007A1534"/>
    <w:rsid w:val="007A1660"/>
    <w:rsid w:val="007A1A30"/>
    <w:rsid w:val="007A1AE0"/>
    <w:rsid w:val="007A1B68"/>
    <w:rsid w:val="007A1BDC"/>
    <w:rsid w:val="007A22A9"/>
    <w:rsid w:val="007A337D"/>
    <w:rsid w:val="007A344F"/>
    <w:rsid w:val="007A3479"/>
    <w:rsid w:val="007A36B3"/>
    <w:rsid w:val="007A3786"/>
    <w:rsid w:val="007A4399"/>
    <w:rsid w:val="007A47AC"/>
    <w:rsid w:val="007A4873"/>
    <w:rsid w:val="007A4B43"/>
    <w:rsid w:val="007A4F84"/>
    <w:rsid w:val="007A54F0"/>
    <w:rsid w:val="007A57E3"/>
    <w:rsid w:val="007A58EE"/>
    <w:rsid w:val="007A5A0C"/>
    <w:rsid w:val="007A6682"/>
    <w:rsid w:val="007A67E1"/>
    <w:rsid w:val="007A6B12"/>
    <w:rsid w:val="007A70BC"/>
    <w:rsid w:val="007A733E"/>
    <w:rsid w:val="007A75B1"/>
    <w:rsid w:val="007A7BC1"/>
    <w:rsid w:val="007A7CC3"/>
    <w:rsid w:val="007B1046"/>
    <w:rsid w:val="007B1DC3"/>
    <w:rsid w:val="007B260F"/>
    <w:rsid w:val="007B27AF"/>
    <w:rsid w:val="007B2E2F"/>
    <w:rsid w:val="007B305B"/>
    <w:rsid w:val="007B31C0"/>
    <w:rsid w:val="007B33A8"/>
    <w:rsid w:val="007B33B0"/>
    <w:rsid w:val="007B355A"/>
    <w:rsid w:val="007B376B"/>
    <w:rsid w:val="007B3BBD"/>
    <w:rsid w:val="007B3C2D"/>
    <w:rsid w:val="007B3C73"/>
    <w:rsid w:val="007B3DF7"/>
    <w:rsid w:val="007B4208"/>
    <w:rsid w:val="007B4286"/>
    <w:rsid w:val="007B4430"/>
    <w:rsid w:val="007B46DC"/>
    <w:rsid w:val="007B47B8"/>
    <w:rsid w:val="007B49D5"/>
    <w:rsid w:val="007B4A3D"/>
    <w:rsid w:val="007B4D48"/>
    <w:rsid w:val="007B4EE9"/>
    <w:rsid w:val="007B4FF9"/>
    <w:rsid w:val="007B50A6"/>
    <w:rsid w:val="007B512F"/>
    <w:rsid w:val="007B5186"/>
    <w:rsid w:val="007B5440"/>
    <w:rsid w:val="007B55A2"/>
    <w:rsid w:val="007B5735"/>
    <w:rsid w:val="007B5779"/>
    <w:rsid w:val="007B5AAD"/>
    <w:rsid w:val="007B5B9D"/>
    <w:rsid w:val="007B6103"/>
    <w:rsid w:val="007B6203"/>
    <w:rsid w:val="007B640B"/>
    <w:rsid w:val="007B6505"/>
    <w:rsid w:val="007B686E"/>
    <w:rsid w:val="007B6999"/>
    <w:rsid w:val="007B6BC4"/>
    <w:rsid w:val="007B6D10"/>
    <w:rsid w:val="007B6D9D"/>
    <w:rsid w:val="007B7E45"/>
    <w:rsid w:val="007B7EEC"/>
    <w:rsid w:val="007C16B2"/>
    <w:rsid w:val="007C1DAC"/>
    <w:rsid w:val="007C1DCC"/>
    <w:rsid w:val="007C20B4"/>
    <w:rsid w:val="007C234A"/>
    <w:rsid w:val="007C2416"/>
    <w:rsid w:val="007C249B"/>
    <w:rsid w:val="007C254E"/>
    <w:rsid w:val="007C25F9"/>
    <w:rsid w:val="007C2CC6"/>
    <w:rsid w:val="007C30C0"/>
    <w:rsid w:val="007C32D2"/>
    <w:rsid w:val="007C34FA"/>
    <w:rsid w:val="007C381E"/>
    <w:rsid w:val="007C399D"/>
    <w:rsid w:val="007C39F8"/>
    <w:rsid w:val="007C3DA3"/>
    <w:rsid w:val="007C4A4D"/>
    <w:rsid w:val="007C4C35"/>
    <w:rsid w:val="007C4DED"/>
    <w:rsid w:val="007C5028"/>
    <w:rsid w:val="007C5176"/>
    <w:rsid w:val="007C5355"/>
    <w:rsid w:val="007C5CA2"/>
    <w:rsid w:val="007C632D"/>
    <w:rsid w:val="007C6DFE"/>
    <w:rsid w:val="007C6E56"/>
    <w:rsid w:val="007C6EF8"/>
    <w:rsid w:val="007C7566"/>
    <w:rsid w:val="007C771B"/>
    <w:rsid w:val="007C7818"/>
    <w:rsid w:val="007C78AE"/>
    <w:rsid w:val="007C79E7"/>
    <w:rsid w:val="007C7C40"/>
    <w:rsid w:val="007C7DCB"/>
    <w:rsid w:val="007C7F1D"/>
    <w:rsid w:val="007D054D"/>
    <w:rsid w:val="007D0A9C"/>
    <w:rsid w:val="007D1CD2"/>
    <w:rsid w:val="007D1E42"/>
    <w:rsid w:val="007D2131"/>
    <w:rsid w:val="007D2255"/>
    <w:rsid w:val="007D286F"/>
    <w:rsid w:val="007D2961"/>
    <w:rsid w:val="007D2A57"/>
    <w:rsid w:val="007D2B0D"/>
    <w:rsid w:val="007D30F6"/>
    <w:rsid w:val="007D32B6"/>
    <w:rsid w:val="007D32C4"/>
    <w:rsid w:val="007D373A"/>
    <w:rsid w:val="007D3D18"/>
    <w:rsid w:val="007D3F2F"/>
    <w:rsid w:val="007D3FB2"/>
    <w:rsid w:val="007D40AE"/>
    <w:rsid w:val="007D4191"/>
    <w:rsid w:val="007D457C"/>
    <w:rsid w:val="007D48CF"/>
    <w:rsid w:val="007D4C3A"/>
    <w:rsid w:val="007D5131"/>
    <w:rsid w:val="007D58C9"/>
    <w:rsid w:val="007D5B19"/>
    <w:rsid w:val="007D5B91"/>
    <w:rsid w:val="007D5F0B"/>
    <w:rsid w:val="007D6886"/>
    <w:rsid w:val="007D6EBB"/>
    <w:rsid w:val="007D6FD9"/>
    <w:rsid w:val="007D7189"/>
    <w:rsid w:val="007D72A2"/>
    <w:rsid w:val="007E0A8B"/>
    <w:rsid w:val="007E0BEA"/>
    <w:rsid w:val="007E0C46"/>
    <w:rsid w:val="007E0E8F"/>
    <w:rsid w:val="007E11B9"/>
    <w:rsid w:val="007E1288"/>
    <w:rsid w:val="007E136D"/>
    <w:rsid w:val="007E1442"/>
    <w:rsid w:val="007E16F8"/>
    <w:rsid w:val="007E1BE1"/>
    <w:rsid w:val="007E1CE4"/>
    <w:rsid w:val="007E1D94"/>
    <w:rsid w:val="007E1EDC"/>
    <w:rsid w:val="007E2368"/>
    <w:rsid w:val="007E2A1F"/>
    <w:rsid w:val="007E2BC9"/>
    <w:rsid w:val="007E2E18"/>
    <w:rsid w:val="007E2EA9"/>
    <w:rsid w:val="007E2FDF"/>
    <w:rsid w:val="007E38D6"/>
    <w:rsid w:val="007E3C4A"/>
    <w:rsid w:val="007E3E63"/>
    <w:rsid w:val="007E4031"/>
    <w:rsid w:val="007E4063"/>
    <w:rsid w:val="007E411E"/>
    <w:rsid w:val="007E4471"/>
    <w:rsid w:val="007E44E6"/>
    <w:rsid w:val="007E4974"/>
    <w:rsid w:val="007E4AEA"/>
    <w:rsid w:val="007E4B74"/>
    <w:rsid w:val="007E4C46"/>
    <w:rsid w:val="007E502C"/>
    <w:rsid w:val="007E5179"/>
    <w:rsid w:val="007E53BC"/>
    <w:rsid w:val="007E5AC4"/>
    <w:rsid w:val="007E5F4E"/>
    <w:rsid w:val="007E5FD5"/>
    <w:rsid w:val="007E6035"/>
    <w:rsid w:val="007E60A6"/>
    <w:rsid w:val="007E653F"/>
    <w:rsid w:val="007E68DB"/>
    <w:rsid w:val="007E6C08"/>
    <w:rsid w:val="007E6D2A"/>
    <w:rsid w:val="007E6DEB"/>
    <w:rsid w:val="007E6DF5"/>
    <w:rsid w:val="007E73DF"/>
    <w:rsid w:val="007E77D7"/>
    <w:rsid w:val="007E7BC4"/>
    <w:rsid w:val="007F01CB"/>
    <w:rsid w:val="007F079A"/>
    <w:rsid w:val="007F0992"/>
    <w:rsid w:val="007F0F64"/>
    <w:rsid w:val="007F140B"/>
    <w:rsid w:val="007F150A"/>
    <w:rsid w:val="007F15F5"/>
    <w:rsid w:val="007F16AD"/>
    <w:rsid w:val="007F1852"/>
    <w:rsid w:val="007F18B5"/>
    <w:rsid w:val="007F191E"/>
    <w:rsid w:val="007F204C"/>
    <w:rsid w:val="007F22D2"/>
    <w:rsid w:val="007F2627"/>
    <w:rsid w:val="007F26B8"/>
    <w:rsid w:val="007F3C26"/>
    <w:rsid w:val="007F3C35"/>
    <w:rsid w:val="007F3D1F"/>
    <w:rsid w:val="007F3ED6"/>
    <w:rsid w:val="007F41A5"/>
    <w:rsid w:val="007F43E9"/>
    <w:rsid w:val="007F45EC"/>
    <w:rsid w:val="007F4A8B"/>
    <w:rsid w:val="007F4B01"/>
    <w:rsid w:val="007F51B3"/>
    <w:rsid w:val="007F57FD"/>
    <w:rsid w:val="007F5B20"/>
    <w:rsid w:val="007F6B0A"/>
    <w:rsid w:val="007F6B0F"/>
    <w:rsid w:val="007F6CB7"/>
    <w:rsid w:val="007F7AA6"/>
    <w:rsid w:val="007F7BAB"/>
    <w:rsid w:val="007F7CCE"/>
    <w:rsid w:val="008002BA"/>
    <w:rsid w:val="00800848"/>
    <w:rsid w:val="00800C61"/>
    <w:rsid w:val="00800ECA"/>
    <w:rsid w:val="008011FF"/>
    <w:rsid w:val="00801215"/>
    <w:rsid w:val="00801BA7"/>
    <w:rsid w:val="00801D26"/>
    <w:rsid w:val="00801F1F"/>
    <w:rsid w:val="008022DB"/>
    <w:rsid w:val="00802380"/>
    <w:rsid w:val="008026C2"/>
    <w:rsid w:val="008029BC"/>
    <w:rsid w:val="008029F0"/>
    <w:rsid w:val="00802C15"/>
    <w:rsid w:val="00802E08"/>
    <w:rsid w:val="008031F0"/>
    <w:rsid w:val="008032D6"/>
    <w:rsid w:val="00803B00"/>
    <w:rsid w:val="00803DD4"/>
    <w:rsid w:val="00803F99"/>
    <w:rsid w:val="008041DE"/>
    <w:rsid w:val="00804611"/>
    <w:rsid w:val="008047BF"/>
    <w:rsid w:val="008048CA"/>
    <w:rsid w:val="00804E89"/>
    <w:rsid w:val="00804F45"/>
    <w:rsid w:val="00805075"/>
    <w:rsid w:val="00805230"/>
    <w:rsid w:val="00805566"/>
    <w:rsid w:val="0080587B"/>
    <w:rsid w:val="00805918"/>
    <w:rsid w:val="00805930"/>
    <w:rsid w:val="00805C0C"/>
    <w:rsid w:val="00806149"/>
    <w:rsid w:val="00806C38"/>
    <w:rsid w:val="008072E4"/>
    <w:rsid w:val="008075F4"/>
    <w:rsid w:val="00807742"/>
    <w:rsid w:val="00807E00"/>
    <w:rsid w:val="0081014E"/>
    <w:rsid w:val="008101A5"/>
    <w:rsid w:val="00810360"/>
    <w:rsid w:val="00810B42"/>
    <w:rsid w:val="0081101C"/>
    <w:rsid w:val="00811357"/>
    <w:rsid w:val="00811428"/>
    <w:rsid w:val="008115EA"/>
    <w:rsid w:val="0081172D"/>
    <w:rsid w:val="00811905"/>
    <w:rsid w:val="00811B95"/>
    <w:rsid w:val="00811DD9"/>
    <w:rsid w:val="00811E5A"/>
    <w:rsid w:val="0081237C"/>
    <w:rsid w:val="0081283D"/>
    <w:rsid w:val="0081290B"/>
    <w:rsid w:val="00812B17"/>
    <w:rsid w:val="00813060"/>
    <w:rsid w:val="00813280"/>
    <w:rsid w:val="008134E5"/>
    <w:rsid w:val="00813597"/>
    <w:rsid w:val="008137EA"/>
    <w:rsid w:val="00814992"/>
    <w:rsid w:val="00814A64"/>
    <w:rsid w:val="00814AF4"/>
    <w:rsid w:val="00814B47"/>
    <w:rsid w:val="00814BC0"/>
    <w:rsid w:val="00814D9F"/>
    <w:rsid w:val="00815AA4"/>
    <w:rsid w:val="0081632D"/>
    <w:rsid w:val="00816AA6"/>
    <w:rsid w:val="00816D1D"/>
    <w:rsid w:val="00816E75"/>
    <w:rsid w:val="00817021"/>
    <w:rsid w:val="00817125"/>
    <w:rsid w:val="00817450"/>
    <w:rsid w:val="00817670"/>
    <w:rsid w:val="008176E3"/>
    <w:rsid w:val="00817780"/>
    <w:rsid w:val="00817C58"/>
    <w:rsid w:val="00817EB9"/>
    <w:rsid w:val="00817ED3"/>
    <w:rsid w:val="008200D5"/>
    <w:rsid w:val="008204A2"/>
    <w:rsid w:val="0082083C"/>
    <w:rsid w:val="00820DC5"/>
    <w:rsid w:val="00820E6F"/>
    <w:rsid w:val="00820F10"/>
    <w:rsid w:val="00821291"/>
    <w:rsid w:val="0082144D"/>
    <w:rsid w:val="008219B9"/>
    <w:rsid w:val="00822077"/>
    <w:rsid w:val="00822161"/>
    <w:rsid w:val="00822382"/>
    <w:rsid w:val="008226C1"/>
    <w:rsid w:val="00822C1C"/>
    <w:rsid w:val="008230FC"/>
    <w:rsid w:val="00823112"/>
    <w:rsid w:val="00823267"/>
    <w:rsid w:val="0082346F"/>
    <w:rsid w:val="008236EE"/>
    <w:rsid w:val="00823792"/>
    <w:rsid w:val="0082381B"/>
    <w:rsid w:val="00823A1A"/>
    <w:rsid w:val="00823A2B"/>
    <w:rsid w:val="00823C1F"/>
    <w:rsid w:val="00824063"/>
    <w:rsid w:val="0082441A"/>
    <w:rsid w:val="008247D5"/>
    <w:rsid w:val="008247E2"/>
    <w:rsid w:val="00825C0F"/>
    <w:rsid w:val="00825C62"/>
    <w:rsid w:val="008261B7"/>
    <w:rsid w:val="00826B65"/>
    <w:rsid w:val="00826BEA"/>
    <w:rsid w:val="0082724E"/>
    <w:rsid w:val="00827DE0"/>
    <w:rsid w:val="008300BC"/>
    <w:rsid w:val="00830526"/>
    <w:rsid w:val="008305C7"/>
    <w:rsid w:val="00830A4C"/>
    <w:rsid w:val="00830A59"/>
    <w:rsid w:val="00830FA6"/>
    <w:rsid w:val="00830FC3"/>
    <w:rsid w:val="0083178C"/>
    <w:rsid w:val="00831E50"/>
    <w:rsid w:val="008326C2"/>
    <w:rsid w:val="0083275E"/>
    <w:rsid w:val="00832A3A"/>
    <w:rsid w:val="00832D59"/>
    <w:rsid w:val="00832D61"/>
    <w:rsid w:val="0083334D"/>
    <w:rsid w:val="008335E3"/>
    <w:rsid w:val="008336A2"/>
    <w:rsid w:val="00833FB2"/>
    <w:rsid w:val="00834700"/>
    <w:rsid w:val="00834870"/>
    <w:rsid w:val="00834CD8"/>
    <w:rsid w:val="00834DE3"/>
    <w:rsid w:val="008355EA"/>
    <w:rsid w:val="00835797"/>
    <w:rsid w:val="00836164"/>
    <w:rsid w:val="00836191"/>
    <w:rsid w:val="00836987"/>
    <w:rsid w:val="00836AA1"/>
    <w:rsid w:val="00836B2C"/>
    <w:rsid w:val="00836EFE"/>
    <w:rsid w:val="00836F31"/>
    <w:rsid w:val="00837093"/>
    <w:rsid w:val="008373D8"/>
    <w:rsid w:val="00837421"/>
    <w:rsid w:val="008374E4"/>
    <w:rsid w:val="00837508"/>
    <w:rsid w:val="008377F7"/>
    <w:rsid w:val="00840579"/>
    <w:rsid w:val="00840718"/>
    <w:rsid w:val="00840F48"/>
    <w:rsid w:val="008415E3"/>
    <w:rsid w:val="0084166A"/>
    <w:rsid w:val="00841719"/>
    <w:rsid w:val="0084181F"/>
    <w:rsid w:val="008418DC"/>
    <w:rsid w:val="00841CBD"/>
    <w:rsid w:val="00842684"/>
    <w:rsid w:val="0084269D"/>
    <w:rsid w:val="00842950"/>
    <w:rsid w:val="00842CDB"/>
    <w:rsid w:val="00842D80"/>
    <w:rsid w:val="00842D93"/>
    <w:rsid w:val="00842E57"/>
    <w:rsid w:val="00842F9D"/>
    <w:rsid w:val="00843010"/>
    <w:rsid w:val="008433CF"/>
    <w:rsid w:val="008435DB"/>
    <w:rsid w:val="00843DE4"/>
    <w:rsid w:val="00843FFC"/>
    <w:rsid w:val="00844037"/>
    <w:rsid w:val="0084407D"/>
    <w:rsid w:val="008440C7"/>
    <w:rsid w:val="00844150"/>
    <w:rsid w:val="008446C0"/>
    <w:rsid w:val="00844C08"/>
    <w:rsid w:val="00844DA0"/>
    <w:rsid w:val="00844DB3"/>
    <w:rsid w:val="00844E91"/>
    <w:rsid w:val="00845071"/>
    <w:rsid w:val="008452C2"/>
    <w:rsid w:val="00845392"/>
    <w:rsid w:val="00845644"/>
    <w:rsid w:val="008456D8"/>
    <w:rsid w:val="00845729"/>
    <w:rsid w:val="008458F5"/>
    <w:rsid w:val="00845954"/>
    <w:rsid w:val="00845E95"/>
    <w:rsid w:val="00846080"/>
    <w:rsid w:val="0084621B"/>
    <w:rsid w:val="00846455"/>
    <w:rsid w:val="008464F8"/>
    <w:rsid w:val="00846703"/>
    <w:rsid w:val="0084693D"/>
    <w:rsid w:val="00846957"/>
    <w:rsid w:val="00846C84"/>
    <w:rsid w:val="00846D41"/>
    <w:rsid w:val="00846DED"/>
    <w:rsid w:val="00847486"/>
    <w:rsid w:val="008474C7"/>
    <w:rsid w:val="00847826"/>
    <w:rsid w:val="00847C74"/>
    <w:rsid w:val="00850543"/>
    <w:rsid w:val="008506A4"/>
    <w:rsid w:val="008507F5"/>
    <w:rsid w:val="00850AFF"/>
    <w:rsid w:val="00851615"/>
    <w:rsid w:val="00851A17"/>
    <w:rsid w:val="00851FBA"/>
    <w:rsid w:val="0085231C"/>
    <w:rsid w:val="008525B2"/>
    <w:rsid w:val="00852658"/>
    <w:rsid w:val="008526EB"/>
    <w:rsid w:val="008527F9"/>
    <w:rsid w:val="008529E3"/>
    <w:rsid w:val="00852BF4"/>
    <w:rsid w:val="00852D07"/>
    <w:rsid w:val="00852EB5"/>
    <w:rsid w:val="0085312F"/>
    <w:rsid w:val="008531DA"/>
    <w:rsid w:val="008534A2"/>
    <w:rsid w:val="00853731"/>
    <w:rsid w:val="008537E5"/>
    <w:rsid w:val="008538B4"/>
    <w:rsid w:val="0085414C"/>
    <w:rsid w:val="008544D3"/>
    <w:rsid w:val="00854780"/>
    <w:rsid w:val="00854B13"/>
    <w:rsid w:val="00856142"/>
    <w:rsid w:val="00856828"/>
    <w:rsid w:val="00856BBD"/>
    <w:rsid w:val="00856CDC"/>
    <w:rsid w:val="0085728E"/>
    <w:rsid w:val="008573FA"/>
    <w:rsid w:val="00857444"/>
    <w:rsid w:val="00857573"/>
    <w:rsid w:val="00857F81"/>
    <w:rsid w:val="00857FC2"/>
    <w:rsid w:val="00860095"/>
    <w:rsid w:val="008605E0"/>
    <w:rsid w:val="00860736"/>
    <w:rsid w:val="00860A73"/>
    <w:rsid w:val="00860DD3"/>
    <w:rsid w:val="00861206"/>
    <w:rsid w:val="008612A9"/>
    <w:rsid w:val="00861394"/>
    <w:rsid w:val="0086151C"/>
    <w:rsid w:val="00861581"/>
    <w:rsid w:val="00861799"/>
    <w:rsid w:val="00861F3C"/>
    <w:rsid w:val="008622EF"/>
    <w:rsid w:val="00862848"/>
    <w:rsid w:val="008629C8"/>
    <w:rsid w:val="008629FA"/>
    <w:rsid w:val="00862ADD"/>
    <w:rsid w:val="00862CCD"/>
    <w:rsid w:val="00862DE6"/>
    <w:rsid w:val="0086307D"/>
    <w:rsid w:val="008632BC"/>
    <w:rsid w:val="00863AD3"/>
    <w:rsid w:val="00863C1B"/>
    <w:rsid w:val="00864003"/>
    <w:rsid w:val="0086407F"/>
    <w:rsid w:val="00864306"/>
    <w:rsid w:val="00864479"/>
    <w:rsid w:val="008644D5"/>
    <w:rsid w:val="008645E5"/>
    <w:rsid w:val="008646BD"/>
    <w:rsid w:val="0086493E"/>
    <w:rsid w:val="00865261"/>
    <w:rsid w:val="0086555E"/>
    <w:rsid w:val="00865CF5"/>
    <w:rsid w:val="00866293"/>
    <w:rsid w:val="008663D2"/>
    <w:rsid w:val="008665FB"/>
    <w:rsid w:val="0086664D"/>
    <w:rsid w:val="00866F10"/>
    <w:rsid w:val="00867AEA"/>
    <w:rsid w:val="00867B81"/>
    <w:rsid w:val="00867C39"/>
    <w:rsid w:val="00867D54"/>
    <w:rsid w:val="0087027F"/>
    <w:rsid w:val="00870794"/>
    <w:rsid w:val="008709D3"/>
    <w:rsid w:val="00870AC1"/>
    <w:rsid w:val="00870BD1"/>
    <w:rsid w:val="00871590"/>
    <w:rsid w:val="00871F5D"/>
    <w:rsid w:val="00871F5F"/>
    <w:rsid w:val="00872CF0"/>
    <w:rsid w:val="008730D7"/>
    <w:rsid w:val="008732CA"/>
    <w:rsid w:val="0087391F"/>
    <w:rsid w:val="00873AA6"/>
    <w:rsid w:val="00873BA8"/>
    <w:rsid w:val="0087417F"/>
    <w:rsid w:val="00874D48"/>
    <w:rsid w:val="0087516F"/>
    <w:rsid w:val="0087551E"/>
    <w:rsid w:val="008759BE"/>
    <w:rsid w:val="00875A5A"/>
    <w:rsid w:val="00876141"/>
    <w:rsid w:val="008761B8"/>
    <w:rsid w:val="008761D9"/>
    <w:rsid w:val="008762A5"/>
    <w:rsid w:val="00876358"/>
    <w:rsid w:val="00876C81"/>
    <w:rsid w:val="008776B5"/>
    <w:rsid w:val="00877ACC"/>
    <w:rsid w:val="00877D5D"/>
    <w:rsid w:val="008805CD"/>
    <w:rsid w:val="008808E2"/>
    <w:rsid w:val="00880AE9"/>
    <w:rsid w:val="00880BD3"/>
    <w:rsid w:val="00880D34"/>
    <w:rsid w:val="00880D4D"/>
    <w:rsid w:val="00881006"/>
    <w:rsid w:val="008811E1"/>
    <w:rsid w:val="008812E4"/>
    <w:rsid w:val="00881510"/>
    <w:rsid w:val="00881D34"/>
    <w:rsid w:val="00881F39"/>
    <w:rsid w:val="00882285"/>
    <w:rsid w:val="00882439"/>
    <w:rsid w:val="008829BF"/>
    <w:rsid w:val="008831FC"/>
    <w:rsid w:val="008835C4"/>
    <w:rsid w:val="00883BF9"/>
    <w:rsid w:val="00884328"/>
    <w:rsid w:val="0088471B"/>
    <w:rsid w:val="00884A12"/>
    <w:rsid w:val="00885072"/>
    <w:rsid w:val="008855AA"/>
    <w:rsid w:val="0088585A"/>
    <w:rsid w:val="0088590B"/>
    <w:rsid w:val="00885A99"/>
    <w:rsid w:val="00885B90"/>
    <w:rsid w:val="00885DB0"/>
    <w:rsid w:val="00885EAE"/>
    <w:rsid w:val="008860C6"/>
    <w:rsid w:val="008864E0"/>
    <w:rsid w:val="00886528"/>
    <w:rsid w:val="0088655B"/>
    <w:rsid w:val="00886B26"/>
    <w:rsid w:val="00886C41"/>
    <w:rsid w:val="00886C9D"/>
    <w:rsid w:val="00886EBB"/>
    <w:rsid w:val="00886F89"/>
    <w:rsid w:val="0088707F"/>
    <w:rsid w:val="008872E2"/>
    <w:rsid w:val="0088765C"/>
    <w:rsid w:val="00887857"/>
    <w:rsid w:val="008879A9"/>
    <w:rsid w:val="00887B58"/>
    <w:rsid w:val="00887F03"/>
    <w:rsid w:val="00890029"/>
    <w:rsid w:val="0089015B"/>
    <w:rsid w:val="008904D2"/>
    <w:rsid w:val="00890AA1"/>
    <w:rsid w:val="00890AD7"/>
    <w:rsid w:val="00890B39"/>
    <w:rsid w:val="00890C0D"/>
    <w:rsid w:val="00890FBB"/>
    <w:rsid w:val="008911A9"/>
    <w:rsid w:val="00891292"/>
    <w:rsid w:val="0089161D"/>
    <w:rsid w:val="00891E0C"/>
    <w:rsid w:val="00891F4E"/>
    <w:rsid w:val="0089210F"/>
    <w:rsid w:val="0089218D"/>
    <w:rsid w:val="0089219A"/>
    <w:rsid w:val="00892340"/>
    <w:rsid w:val="00892372"/>
    <w:rsid w:val="008924DA"/>
    <w:rsid w:val="0089337E"/>
    <w:rsid w:val="00893592"/>
    <w:rsid w:val="00893D0F"/>
    <w:rsid w:val="00893D5B"/>
    <w:rsid w:val="00893D91"/>
    <w:rsid w:val="008941C5"/>
    <w:rsid w:val="00894579"/>
    <w:rsid w:val="00894757"/>
    <w:rsid w:val="00894ACD"/>
    <w:rsid w:val="00894B32"/>
    <w:rsid w:val="00894C4D"/>
    <w:rsid w:val="00895063"/>
    <w:rsid w:val="008955B9"/>
    <w:rsid w:val="00895B84"/>
    <w:rsid w:val="00895CF3"/>
    <w:rsid w:val="00895D2E"/>
    <w:rsid w:val="008968E9"/>
    <w:rsid w:val="00897BD6"/>
    <w:rsid w:val="00897D0A"/>
    <w:rsid w:val="008A009F"/>
    <w:rsid w:val="008A01B3"/>
    <w:rsid w:val="008A048E"/>
    <w:rsid w:val="008A0873"/>
    <w:rsid w:val="008A0ABC"/>
    <w:rsid w:val="008A0B27"/>
    <w:rsid w:val="008A12E7"/>
    <w:rsid w:val="008A15B5"/>
    <w:rsid w:val="008A16EB"/>
    <w:rsid w:val="008A16EF"/>
    <w:rsid w:val="008A1C93"/>
    <w:rsid w:val="008A1FEB"/>
    <w:rsid w:val="008A24F3"/>
    <w:rsid w:val="008A2D08"/>
    <w:rsid w:val="008A2F57"/>
    <w:rsid w:val="008A3163"/>
    <w:rsid w:val="008A32EB"/>
    <w:rsid w:val="008A3881"/>
    <w:rsid w:val="008A38A0"/>
    <w:rsid w:val="008A3C2F"/>
    <w:rsid w:val="008A407A"/>
    <w:rsid w:val="008A4500"/>
    <w:rsid w:val="008A493D"/>
    <w:rsid w:val="008A4941"/>
    <w:rsid w:val="008A4AA3"/>
    <w:rsid w:val="008A4CA5"/>
    <w:rsid w:val="008A4CE6"/>
    <w:rsid w:val="008A4D79"/>
    <w:rsid w:val="008A5204"/>
    <w:rsid w:val="008A5318"/>
    <w:rsid w:val="008A5402"/>
    <w:rsid w:val="008A5430"/>
    <w:rsid w:val="008A54D3"/>
    <w:rsid w:val="008A5964"/>
    <w:rsid w:val="008A5ADA"/>
    <w:rsid w:val="008A5C14"/>
    <w:rsid w:val="008A63EF"/>
    <w:rsid w:val="008A65BB"/>
    <w:rsid w:val="008A6798"/>
    <w:rsid w:val="008A6837"/>
    <w:rsid w:val="008A6AC5"/>
    <w:rsid w:val="008A6D60"/>
    <w:rsid w:val="008A6FFF"/>
    <w:rsid w:val="008A71CD"/>
    <w:rsid w:val="008A7782"/>
    <w:rsid w:val="008A7858"/>
    <w:rsid w:val="008A7A8F"/>
    <w:rsid w:val="008A7C86"/>
    <w:rsid w:val="008A7D5E"/>
    <w:rsid w:val="008A7FDD"/>
    <w:rsid w:val="008B09D7"/>
    <w:rsid w:val="008B0F5F"/>
    <w:rsid w:val="008B1036"/>
    <w:rsid w:val="008B10E3"/>
    <w:rsid w:val="008B13C7"/>
    <w:rsid w:val="008B157D"/>
    <w:rsid w:val="008B18FA"/>
    <w:rsid w:val="008B1B23"/>
    <w:rsid w:val="008B1BDB"/>
    <w:rsid w:val="008B1EFB"/>
    <w:rsid w:val="008B246B"/>
    <w:rsid w:val="008B2572"/>
    <w:rsid w:val="008B2752"/>
    <w:rsid w:val="008B2943"/>
    <w:rsid w:val="008B32A7"/>
    <w:rsid w:val="008B36E0"/>
    <w:rsid w:val="008B398D"/>
    <w:rsid w:val="008B3FD4"/>
    <w:rsid w:val="008B40E3"/>
    <w:rsid w:val="008B40FE"/>
    <w:rsid w:val="008B4540"/>
    <w:rsid w:val="008B45A7"/>
    <w:rsid w:val="008B45B8"/>
    <w:rsid w:val="008B475B"/>
    <w:rsid w:val="008B4AC1"/>
    <w:rsid w:val="008B57A8"/>
    <w:rsid w:val="008B6355"/>
    <w:rsid w:val="008B6AC5"/>
    <w:rsid w:val="008B7280"/>
    <w:rsid w:val="008B748C"/>
    <w:rsid w:val="008B7493"/>
    <w:rsid w:val="008B75F9"/>
    <w:rsid w:val="008B7633"/>
    <w:rsid w:val="008B7847"/>
    <w:rsid w:val="008B79C1"/>
    <w:rsid w:val="008B7A80"/>
    <w:rsid w:val="008B7D44"/>
    <w:rsid w:val="008C0AD7"/>
    <w:rsid w:val="008C0D48"/>
    <w:rsid w:val="008C140E"/>
    <w:rsid w:val="008C1434"/>
    <w:rsid w:val="008C1AD1"/>
    <w:rsid w:val="008C1DAC"/>
    <w:rsid w:val="008C20D2"/>
    <w:rsid w:val="008C2125"/>
    <w:rsid w:val="008C2B5C"/>
    <w:rsid w:val="008C2B7E"/>
    <w:rsid w:val="008C2BA4"/>
    <w:rsid w:val="008C2C15"/>
    <w:rsid w:val="008C2CEB"/>
    <w:rsid w:val="008C2D9E"/>
    <w:rsid w:val="008C315F"/>
    <w:rsid w:val="008C34A2"/>
    <w:rsid w:val="008C3BC2"/>
    <w:rsid w:val="008C3FE7"/>
    <w:rsid w:val="008C4C87"/>
    <w:rsid w:val="008C4E9A"/>
    <w:rsid w:val="008C5A22"/>
    <w:rsid w:val="008C602E"/>
    <w:rsid w:val="008C64D7"/>
    <w:rsid w:val="008C6AB7"/>
    <w:rsid w:val="008C6B10"/>
    <w:rsid w:val="008C6F28"/>
    <w:rsid w:val="008C73B3"/>
    <w:rsid w:val="008C7816"/>
    <w:rsid w:val="008C7C47"/>
    <w:rsid w:val="008D018F"/>
    <w:rsid w:val="008D121C"/>
    <w:rsid w:val="008D134C"/>
    <w:rsid w:val="008D1966"/>
    <w:rsid w:val="008D1A23"/>
    <w:rsid w:val="008D1CCB"/>
    <w:rsid w:val="008D1EBC"/>
    <w:rsid w:val="008D2440"/>
    <w:rsid w:val="008D24ED"/>
    <w:rsid w:val="008D24FF"/>
    <w:rsid w:val="008D2608"/>
    <w:rsid w:val="008D2882"/>
    <w:rsid w:val="008D2F29"/>
    <w:rsid w:val="008D2FA7"/>
    <w:rsid w:val="008D2FD5"/>
    <w:rsid w:val="008D3647"/>
    <w:rsid w:val="008D4215"/>
    <w:rsid w:val="008D4AC1"/>
    <w:rsid w:val="008D4B9D"/>
    <w:rsid w:val="008D4CB1"/>
    <w:rsid w:val="008D4CFF"/>
    <w:rsid w:val="008D4DB8"/>
    <w:rsid w:val="008D5508"/>
    <w:rsid w:val="008D5C11"/>
    <w:rsid w:val="008D5C65"/>
    <w:rsid w:val="008D5CFA"/>
    <w:rsid w:val="008D5E2F"/>
    <w:rsid w:val="008D630A"/>
    <w:rsid w:val="008D68B8"/>
    <w:rsid w:val="008D6DDC"/>
    <w:rsid w:val="008D7708"/>
    <w:rsid w:val="008D79F6"/>
    <w:rsid w:val="008D7EA6"/>
    <w:rsid w:val="008E00AD"/>
    <w:rsid w:val="008E033C"/>
    <w:rsid w:val="008E03B4"/>
    <w:rsid w:val="008E05BF"/>
    <w:rsid w:val="008E05EB"/>
    <w:rsid w:val="008E071B"/>
    <w:rsid w:val="008E07F2"/>
    <w:rsid w:val="008E0810"/>
    <w:rsid w:val="008E093B"/>
    <w:rsid w:val="008E0E76"/>
    <w:rsid w:val="008E1293"/>
    <w:rsid w:val="008E154C"/>
    <w:rsid w:val="008E1574"/>
    <w:rsid w:val="008E1B68"/>
    <w:rsid w:val="008E1C28"/>
    <w:rsid w:val="008E2369"/>
    <w:rsid w:val="008E24ED"/>
    <w:rsid w:val="008E26B9"/>
    <w:rsid w:val="008E30AC"/>
    <w:rsid w:val="008E31F4"/>
    <w:rsid w:val="008E322F"/>
    <w:rsid w:val="008E33A7"/>
    <w:rsid w:val="008E34AB"/>
    <w:rsid w:val="008E3F63"/>
    <w:rsid w:val="008E4A4B"/>
    <w:rsid w:val="008E4B3F"/>
    <w:rsid w:val="008E4D57"/>
    <w:rsid w:val="008E51B7"/>
    <w:rsid w:val="008E536B"/>
    <w:rsid w:val="008E5776"/>
    <w:rsid w:val="008E5D74"/>
    <w:rsid w:val="008E5FBB"/>
    <w:rsid w:val="008E6308"/>
    <w:rsid w:val="008E6E23"/>
    <w:rsid w:val="008E7111"/>
    <w:rsid w:val="008E7235"/>
    <w:rsid w:val="008E7459"/>
    <w:rsid w:val="008E75BF"/>
    <w:rsid w:val="008E7AC7"/>
    <w:rsid w:val="008F109E"/>
    <w:rsid w:val="008F13FA"/>
    <w:rsid w:val="008F16C6"/>
    <w:rsid w:val="008F19E2"/>
    <w:rsid w:val="008F1AD2"/>
    <w:rsid w:val="008F1C00"/>
    <w:rsid w:val="008F1FC0"/>
    <w:rsid w:val="008F266D"/>
    <w:rsid w:val="008F2763"/>
    <w:rsid w:val="008F282A"/>
    <w:rsid w:val="008F2A25"/>
    <w:rsid w:val="008F2B8C"/>
    <w:rsid w:val="008F2D91"/>
    <w:rsid w:val="008F3271"/>
    <w:rsid w:val="008F3331"/>
    <w:rsid w:val="008F3554"/>
    <w:rsid w:val="008F3592"/>
    <w:rsid w:val="008F396C"/>
    <w:rsid w:val="008F3C48"/>
    <w:rsid w:val="008F4629"/>
    <w:rsid w:val="008F4865"/>
    <w:rsid w:val="008F4A25"/>
    <w:rsid w:val="008F4ECC"/>
    <w:rsid w:val="008F52CD"/>
    <w:rsid w:val="008F53EE"/>
    <w:rsid w:val="008F5BC9"/>
    <w:rsid w:val="008F5D94"/>
    <w:rsid w:val="008F5DF7"/>
    <w:rsid w:val="008F5DFF"/>
    <w:rsid w:val="008F5FB2"/>
    <w:rsid w:val="008F61AD"/>
    <w:rsid w:val="008F61C4"/>
    <w:rsid w:val="008F6BE0"/>
    <w:rsid w:val="008F6CE0"/>
    <w:rsid w:val="008F6D2A"/>
    <w:rsid w:val="008F704E"/>
    <w:rsid w:val="008F71FE"/>
    <w:rsid w:val="008F726F"/>
    <w:rsid w:val="008F7396"/>
    <w:rsid w:val="008F74AE"/>
    <w:rsid w:val="008F79A4"/>
    <w:rsid w:val="008F7A07"/>
    <w:rsid w:val="008F7E38"/>
    <w:rsid w:val="008F7FF0"/>
    <w:rsid w:val="00900272"/>
    <w:rsid w:val="0090056D"/>
    <w:rsid w:val="00900B4A"/>
    <w:rsid w:val="0090137B"/>
    <w:rsid w:val="00901928"/>
    <w:rsid w:val="009019D9"/>
    <w:rsid w:val="00901A3D"/>
    <w:rsid w:val="00901D19"/>
    <w:rsid w:val="00901D1D"/>
    <w:rsid w:val="009026FD"/>
    <w:rsid w:val="009027DC"/>
    <w:rsid w:val="00902C47"/>
    <w:rsid w:val="00902FA2"/>
    <w:rsid w:val="00902FF6"/>
    <w:rsid w:val="00903243"/>
    <w:rsid w:val="00903339"/>
    <w:rsid w:val="00903459"/>
    <w:rsid w:val="009037F9"/>
    <w:rsid w:val="00903AFC"/>
    <w:rsid w:val="00903B0F"/>
    <w:rsid w:val="00903B2D"/>
    <w:rsid w:val="009044A8"/>
    <w:rsid w:val="00904A96"/>
    <w:rsid w:val="00904B4D"/>
    <w:rsid w:val="00904D59"/>
    <w:rsid w:val="00904D6E"/>
    <w:rsid w:val="009054A2"/>
    <w:rsid w:val="009054F2"/>
    <w:rsid w:val="009058C5"/>
    <w:rsid w:val="00905B8D"/>
    <w:rsid w:val="00905DD1"/>
    <w:rsid w:val="00906515"/>
    <w:rsid w:val="009068C8"/>
    <w:rsid w:val="00906955"/>
    <w:rsid w:val="009069D6"/>
    <w:rsid w:val="00906C81"/>
    <w:rsid w:val="00906DC8"/>
    <w:rsid w:val="00907004"/>
    <w:rsid w:val="00907275"/>
    <w:rsid w:val="009072DA"/>
    <w:rsid w:val="009072E1"/>
    <w:rsid w:val="0090753B"/>
    <w:rsid w:val="009078FA"/>
    <w:rsid w:val="00907E0D"/>
    <w:rsid w:val="00907E8A"/>
    <w:rsid w:val="009101CE"/>
    <w:rsid w:val="00910547"/>
    <w:rsid w:val="0091081F"/>
    <w:rsid w:val="00910878"/>
    <w:rsid w:val="00911567"/>
    <w:rsid w:val="0091173E"/>
    <w:rsid w:val="00911763"/>
    <w:rsid w:val="00911A2F"/>
    <w:rsid w:val="00911B8E"/>
    <w:rsid w:val="00911CA4"/>
    <w:rsid w:val="0091222E"/>
    <w:rsid w:val="00912270"/>
    <w:rsid w:val="009122BA"/>
    <w:rsid w:val="00912407"/>
    <w:rsid w:val="0091266F"/>
    <w:rsid w:val="0091298A"/>
    <w:rsid w:val="00913679"/>
    <w:rsid w:val="00913894"/>
    <w:rsid w:val="00913B11"/>
    <w:rsid w:val="00913E48"/>
    <w:rsid w:val="00914055"/>
    <w:rsid w:val="009141C0"/>
    <w:rsid w:val="00914533"/>
    <w:rsid w:val="00914F77"/>
    <w:rsid w:val="00915021"/>
    <w:rsid w:val="009150D9"/>
    <w:rsid w:val="009156CB"/>
    <w:rsid w:val="00915955"/>
    <w:rsid w:val="0091629F"/>
    <w:rsid w:val="0091632C"/>
    <w:rsid w:val="00916510"/>
    <w:rsid w:val="009168A1"/>
    <w:rsid w:val="00916C94"/>
    <w:rsid w:val="0091718D"/>
    <w:rsid w:val="00917244"/>
    <w:rsid w:val="0091751F"/>
    <w:rsid w:val="00917628"/>
    <w:rsid w:val="00917760"/>
    <w:rsid w:val="00917B79"/>
    <w:rsid w:val="0092077E"/>
    <w:rsid w:val="00920E0F"/>
    <w:rsid w:val="009210A9"/>
    <w:rsid w:val="0092183D"/>
    <w:rsid w:val="00921980"/>
    <w:rsid w:val="00921AC7"/>
    <w:rsid w:val="009226AE"/>
    <w:rsid w:val="00922DC4"/>
    <w:rsid w:val="00923007"/>
    <w:rsid w:val="00924267"/>
    <w:rsid w:val="00924351"/>
    <w:rsid w:val="00924374"/>
    <w:rsid w:val="0092455F"/>
    <w:rsid w:val="00924C3D"/>
    <w:rsid w:val="00924D3B"/>
    <w:rsid w:val="00925053"/>
    <w:rsid w:val="00925755"/>
    <w:rsid w:val="009258CC"/>
    <w:rsid w:val="00925CF3"/>
    <w:rsid w:val="00925D41"/>
    <w:rsid w:val="00925FA7"/>
    <w:rsid w:val="009263FA"/>
    <w:rsid w:val="0092687B"/>
    <w:rsid w:val="00926925"/>
    <w:rsid w:val="00927089"/>
    <w:rsid w:val="009276D9"/>
    <w:rsid w:val="00930283"/>
    <w:rsid w:val="009303B5"/>
    <w:rsid w:val="009304B2"/>
    <w:rsid w:val="009304D0"/>
    <w:rsid w:val="00930628"/>
    <w:rsid w:val="009307D8"/>
    <w:rsid w:val="00930803"/>
    <w:rsid w:val="00930886"/>
    <w:rsid w:val="0093091E"/>
    <w:rsid w:val="00930A5C"/>
    <w:rsid w:val="00930A86"/>
    <w:rsid w:val="00930B7B"/>
    <w:rsid w:val="00930C0C"/>
    <w:rsid w:val="00931111"/>
    <w:rsid w:val="009311AB"/>
    <w:rsid w:val="00931546"/>
    <w:rsid w:val="009315AF"/>
    <w:rsid w:val="00931E3E"/>
    <w:rsid w:val="00932A2F"/>
    <w:rsid w:val="00932C65"/>
    <w:rsid w:val="00932C6F"/>
    <w:rsid w:val="009336F5"/>
    <w:rsid w:val="00933807"/>
    <w:rsid w:val="00933A8A"/>
    <w:rsid w:val="00933BC7"/>
    <w:rsid w:val="00933CDF"/>
    <w:rsid w:val="00933F2D"/>
    <w:rsid w:val="00934294"/>
    <w:rsid w:val="009347EE"/>
    <w:rsid w:val="00934A8A"/>
    <w:rsid w:val="009350F3"/>
    <w:rsid w:val="00935328"/>
    <w:rsid w:val="00935330"/>
    <w:rsid w:val="00935674"/>
    <w:rsid w:val="00935734"/>
    <w:rsid w:val="00935D39"/>
    <w:rsid w:val="00935DDB"/>
    <w:rsid w:val="0093600B"/>
    <w:rsid w:val="0093618E"/>
    <w:rsid w:val="009362AC"/>
    <w:rsid w:val="0093665F"/>
    <w:rsid w:val="009368E7"/>
    <w:rsid w:val="0093727C"/>
    <w:rsid w:val="009372AD"/>
    <w:rsid w:val="009375D3"/>
    <w:rsid w:val="00937D25"/>
    <w:rsid w:val="00937FBE"/>
    <w:rsid w:val="0094023C"/>
    <w:rsid w:val="009404A0"/>
    <w:rsid w:val="009404C1"/>
    <w:rsid w:val="00940616"/>
    <w:rsid w:val="0094080C"/>
    <w:rsid w:val="00940888"/>
    <w:rsid w:val="00941064"/>
    <w:rsid w:val="009413B2"/>
    <w:rsid w:val="00941D42"/>
    <w:rsid w:val="00941E4A"/>
    <w:rsid w:val="00941ECD"/>
    <w:rsid w:val="00941FD8"/>
    <w:rsid w:val="0094200F"/>
    <w:rsid w:val="0094201B"/>
    <w:rsid w:val="009427D1"/>
    <w:rsid w:val="00942F56"/>
    <w:rsid w:val="009434F8"/>
    <w:rsid w:val="00943724"/>
    <w:rsid w:val="00943889"/>
    <w:rsid w:val="00943EAD"/>
    <w:rsid w:val="00944893"/>
    <w:rsid w:val="009448A3"/>
    <w:rsid w:val="00944CC5"/>
    <w:rsid w:val="00944DE0"/>
    <w:rsid w:val="00945259"/>
    <w:rsid w:val="009452B8"/>
    <w:rsid w:val="0094532F"/>
    <w:rsid w:val="00945402"/>
    <w:rsid w:val="009454FC"/>
    <w:rsid w:val="0094556A"/>
    <w:rsid w:val="00945571"/>
    <w:rsid w:val="009457A1"/>
    <w:rsid w:val="00945DE4"/>
    <w:rsid w:val="00946151"/>
    <w:rsid w:val="00946637"/>
    <w:rsid w:val="0094668C"/>
    <w:rsid w:val="0094699E"/>
    <w:rsid w:val="00946CF6"/>
    <w:rsid w:val="00946D0D"/>
    <w:rsid w:val="009473D8"/>
    <w:rsid w:val="00947639"/>
    <w:rsid w:val="00947725"/>
    <w:rsid w:val="00947A5C"/>
    <w:rsid w:val="00947C5D"/>
    <w:rsid w:val="0095069D"/>
    <w:rsid w:val="00950EB4"/>
    <w:rsid w:val="00951332"/>
    <w:rsid w:val="0095197B"/>
    <w:rsid w:val="00951A69"/>
    <w:rsid w:val="00951B8F"/>
    <w:rsid w:val="00951E34"/>
    <w:rsid w:val="00952220"/>
    <w:rsid w:val="009528A2"/>
    <w:rsid w:val="009529C5"/>
    <w:rsid w:val="0095349F"/>
    <w:rsid w:val="009537CF"/>
    <w:rsid w:val="009538C7"/>
    <w:rsid w:val="00953E89"/>
    <w:rsid w:val="0095407A"/>
    <w:rsid w:val="00954127"/>
    <w:rsid w:val="00954259"/>
    <w:rsid w:val="00954323"/>
    <w:rsid w:val="00954D5E"/>
    <w:rsid w:val="00954DAF"/>
    <w:rsid w:val="00954DBC"/>
    <w:rsid w:val="00954E81"/>
    <w:rsid w:val="00955727"/>
    <w:rsid w:val="00955791"/>
    <w:rsid w:val="009557AC"/>
    <w:rsid w:val="0095594C"/>
    <w:rsid w:val="00955A30"/>
    <w:rsid w:val="00955DE7"/>
    <w:rsid w:val="00955DF6"/>
    <w:rsid w:val="00955E5E"/>
    <w:rsid w:val="00956490"/>
    <w:rsid w:val="00956CA3"/>
    <w:rsid w:val="00956D3B"/>
    <w:rsid w:val="00956E05"/>
    <w:rsid w:val="0095755E"/>
    <w:rsid w:val="0095771A"/>
    <w:rsid w:val="00957F85"/>
    <w:rsid w:val="00960441"/>
    <w:rsid w:val="009606CD"/>
    <w:rsid w:val="009608B8"/>
    <w:rsid w:val="00960C10"/>
    <w:rsid w:val="00960CB3"/>
    <w:rsid w:val="00960D25"/>
    <w:rsid w:val="00960FC1"/>
    <w:rsid w:val="009611CB"/>
    <w:rsid w:val="0096126F"/>
    <w:rsid w:val="009614D4"/>
    <w:rsid w:val="009615E1"/>
    <w:rsid w:val="009616BC"/>
    <w:rsid w:val="0096178B"/>
    <w:rsid w:val="009617CD"/>
    <w:rsid w:val="00961889"/>
    <w:rsid w:val="00961E81"/>
    <w:rsid w:val="0096207F"/>
    <w:rsid w:val="009622D2"/>
    <w:rsid w:val="0096246A"/>
    <w:rsid w:val="00962683"/>
    <w:rsid w:val="00962A6A"/>
    <w:rsid w:val="00962F70"/>
    <w:rsid w:val="009633A1"/>
    <w:rsid w:val="009635C7"/>
    <w:rsid w:val="00963883"/>
    <w:rsid w:val="00963DA5"/>
    <w:rsid w:val="0096403D"/>
    <w:rsid w:val="00964409"/>
    <w:rsid w:val="00964567"/>
    <w:rsid w:val="0096496F"/>
    <w:rsid w:val="00964A17"/>
    <w:rsid w:val="00964D34"/>
    <w:rsid w:val="00964FB9"/>
    <w:rsid w:val="0096521A"/>
    <w:rsid w:val="0096586C"/>
    <w:rsid w:val="009659F0"/>
    <w:rsid w:val="00965F90"/>
    <w:rsid w:val="00966353"/>
    <w:rsid w:val="0096669D"/>
    <w:rsid w:val="009667A5"/>
    <w:rsid w:val="00966DD0"/>
    <w:rsid w:val="00966FCF"/>
    <w:rsid w:val="00967046"/>
    <w:rsid w:val="009674A2"/>
    <w:rsid w:val="009675EE"/>
    <w:rsid w:val="00967B6E"/>
    <w:rsid w:val="00967BB7"/>
    <w:rsid w:val="00967BDE"/>
    <w:rsid w:val="00967E72"/>
    <w:rsid w:val="0097007B"/>
    <w:rsid w:val="0097080C"/>
    <w:rsid w:val="00971243"/>
    <w:rsid w:val="00971CCD"/>
    <w:rsid w:val="00971E60"/>
    <w:rsid w:val="00971EB3"/>
    <w:rsid w:val="009720E0"/>
    <w:rsid w:val="00972592"/>
    <w:rsid w:val="00972A7C"/>
    <w:rsid w:val="00972FF3"/>
    <w:rsid w:val="009732A1"/>
    <w:rsid w:val="009732DD"/>
    <w:rsid w:val="009734A4"/>
    <w:rsid w:val="009734FE"/>
    <w:rsid w:val="00973DAA"/>
    <w:rsid w:val="00974079"/>
    <w:rsid w:val="0097417D"/>
    <w:rsid w:val="009742CF"/>
    <w:rsid w:val="00974433"/>
    <w:rsid w:val="00974437"/>
    <w:rsid w:val="00974525"/>
    <w:rsid w:val="00974B69"/>
    <w:rsid w:val="00974B9C"/>
    <w:rsid w:val="0097510D"/>
    <w:rsid w:val="0097552D"/>
    <w:rsid w:val="00975DEB"/>
    <w:rsid w:val="0097624C"/>
    <w:rsid w:val="00976343"/>
    <w:rsid w:val="00976A2E"/>
    <w:rsid w:val="00976AB5"/>
    <w:rsid w:val="00976C85"/>
    <w:rsid w:val="00976F8B"/>
    <w:rsid w:val="0097711D"/>
    <w:rsid w:val="009773FB"/>
    <w:rsid w:val="009774A3"/>
    <w:rsid w:val="00977812"/>
    <w:rsid w:val="00977BAE"/>
    <w:rsid w:val="00977E31"/>
    <w:rsid w:val="0098017B"/>
    <w:rsid w:val="009801E1"/>
    <w:rsid w:val="0098029E"/>
    <w:rsid w:val="009805F2"/>
    <w:rsid w:val="0098069D"/>
    <w:rsid w:val="00980756"/>
    <w:rsid w:val="009807AD"/>
    <w:rsid w:val="00980874"/>
    <w:rsid w:val="00980932"/>
    <w:rsid w:val="00980973"/>
    <w:rsid w:val="00980F0D"/>
    <w:rsid w:val="00980FFC"/>
    <w:rsid w:val="00981821"/>
    <w:rsid w:val="0098261A"/>
    <w:rsid w:val="009827B2"/>
    <w:rsid w:val="00982979"/>
    <w:rsid w:val="00982AE3"/>
    <w:rsid w:val="00983349"/>
    <w:rsid w:val="009834C5"/>
    <w:rsid w:val="0098371F"/>
    <w:rsid w:val="0098480A"/>
    <w:rsid w:val="00984930"/>
    <w:rsid w:val="00984B59"/>
    <w:rsid w:val="00985A64"/>
    <w:rsid w:val="0098615A"/>
    <w:rsid w:val="009863F1"/>
    <w:rsid w:val="00986505"/>
    <w:rsid w:val="009869D2"/>
    <w:rsid w:val="00986EBC"/>
    <w:rsid w:val="00986EC2"/>
    <w:rsid w:val="00986EE3"/>
    <w:rsid w:val="009870AF"/>
    <w:rsid w:val="0098796A"/>
    <w:rsid w:val="009879C7"/>
    <w:rsid w:val="00990408"/>
    <w:rsid w:val="00990CED"/>
    <w:rsid w:val="00990D2B"/>
    <w:rsid w:val="0099107E"/>
    <w:rsid w:val="00991218"/>
    <w:rsid w:val="00991490"/>
    <w:rsid w:val="009915F3"/>
    <w:rsid w:val="00991673"/>
    <w:rsid w:val="00991E47"/>
    <w:rsid w:val="00992308"/>
    <w:rsid w:val="00992444"/>
    <w:rsid w:val="009926F1"/>
    <w:rsid w:val="009929F2"/>
    <w:rsid w:val="00992BC4"/>
    <w:rsid w:val="00993261"/>
    <w:rsid w:val="009933E8"/>
    <w:rsid w:val="00993BE8"/>
    <w:rsid w:val="00994126"/>
    <w:rsid w:val="00994294"/>
    <w:rsid w:val="009942A5"/>
    <w:rsid w:val="009946C4"/>
    <w:rsid w:val="00994A20"/>
    <w:rsid w:val="00994E7F"/>
    <w:rsid w:val="00994EB3"/>
    <w:rsid w:val="00995676"/>
    <w:rsid w:val="00995717"/>
    <w:rsid w:val="00995750"/>
    <w:rsid w:val="00995B32"/>
    <w:rsid w:val="00995D3E"/>
    <w:rsid w:val="00996191"/>
    <w:rsid w:val="009965DE"/>
    <w:rsid w:val="009965EA"/>
    <w:rsid w:val="009966CC"/>
    <w:rsid w:val="00996A5E"/>
    <w:rsid w:val="00996AC9"/>
    <w:rsid w:val="00996AD3"/>
    <w:rsid w:val="00996B10"/>
    <w:rsid w:val="00996D45"/>
    <w:rsid w:val="00997051"/>
    <w:rsid w:val="009972CF"/>
    <w:rsid w:val="00997340"/>
    <w:rsid w:val="0099740E"/>
    <w:rsid w:val="00997C0D"/>
    <w:rsid w:val="009A0233"/>
    <w:rsid w:val="009A0373"/>
    <w:rsid w:val="009A0396"/>
    <w:rsid w:val="009A04A8"/>
    <w:rsid w:val="009A0611"/>
    <w:rsid w:val="009A06C7"/>
    <w:rsid w:val="009A1003"/>
    <w:rsid w:val="009A1D30"/>
    <w:rsid w:val="009A1D6C"/>
    <w:rsid w:val="009A2044"/>
    <w:rsid w:val="009A2117"/>
    <w:rsid w:val="009A235C"/>
    <w:rsid w:val="009A25DA"/>
    <w:rsid w:val="009A2840"/>
    <w:rsid w:val="009A2909"/>
    <w:rsid w:val="009A3088"/>
    <w:rsid w:val="009A3584"/>
    <w:rsid w:val="009A39C1"/>
    <w:rsid w:val="009A3C5E"/>
    <w:rsid w:val="009A42BD"/>
    <w:rsid w:val="009A4333"/>
    <w:rsid w:val="009A4598"/>
    <w:rsid w:val="009A4813"/>
    <w:rsid w:val="009A49C4"/>
    <w:rsid w:val="009A4A0D"/>
    <w:rsid w:val="009A4C46"/>
    <w:rsid w:val="009A575C"/>
    <w:rsid w:val="009A5789"/>
    <w:rsid w:val="009A5A5B"/>
    <w:rsid w:val="009A5BF0"/>
    <w:rsid w:val="009A5D0A"/>
    <w:rsid w:val="009A60B0"/>
    <w:rsid w:val="009A612E"/>
    <w:rsid w:val="009A628D"/>
    <w:rsid w:val="009A62D1"/>
    <w:rsid w:val="009A661D"/>
    <w:rsid w:val="009A691A"/>
    <w:rsid w:val="009A6B09"/>
    <w:rsid w:val="009A72D2"/>
    <w:rsid w:val="009A7A4E"/>
    <w:rsid w:val="009A7AB9"/>
    <w:rsid w:val="009A7B6C"/>
    <w:rsid w:val="009A7E0C"/>
    <w:rsid w:val="009B028A"/>
    <w:rsid w:val="009B07E1"/>
    <w:rsid w:val="009B08D3"/>
    <w:rsid w:val="009B0C16"/>
    <w:rsid w:val="009B135B"/>
    <w:rsid w:val="009B13CE"/>
    <w:rsid w:val="009B143B"/>
    <w:rsid w:val="009B1491"/>
    <w:rsid w:val="009B1896"/>
    <w:rsid w:val="009B1D97"/>
    <w:rsid w:val="009B2272"/>
    <w:rsid w:val="009B27B9"/>
    <w:rsid w:val="009B3495"/>
    <w:rsid w:val="009B3639"/>
    <w:rsid w:val="009B374F"/>
    <w:rsid w:val="009B37DA"/>
    <w:rsid w:val="009B3E71"/>
    <w:rsid w:val="009B3FBE"/>
    <w:rsid w:val="009B42CB"/>
    <w:rsid w:val="009B46F3"/>
    <w:rsid w:val="009B4ACC"/>
    <w:rsid w:val="009B4EC3"/>
    <w:rsid w:val="009B5029"/>
    <w:rsid w:val="009B5072"/>
    <w:rsid w:val="009B5769"/>
    <w:rsid w:val="009B5E68"/>
    <w:rsid w:val="009B5E89"/>
    <w:rsid w:val="009B6561"/>
    <w:rsid w:val="009B68D1"/>
    <w:rsid w:val="009B6C0F"/>
    <w:rsid w:val="009B6F16"/>
    <w:rsid w:val="009B7059"/>
    <w:rsid w:val="009B70CF"/>
    <w:rsid w:val="009B7423"/>
    <w:rsid w:val="009B7639"/>
    <w:rsid w:val="009B7B4C"/>
    <w:rsid w:val="009B7C2B"/>
    <w:rsid w:val="009B7C50"/>
    <w:rsid w:val="009C05A5"/>
    <w:rsid w:val="009C0CA2"/>
    <w:rsid w:val="009C0D3E"/>
    <w:rsid w:val="009C1283"/>
    <w:rsid w:val="009C128C"/>
    <w:rsid w:val="009C13A9"/>
    <w:rsid w:val="009C148F"/>
    <w:rsid w:val="009C16BA"/>
    <w:rsid w:val="009C1DA4"/>
    <w:rsid w:val="009C236D"/>
    <w:rsid w:val="009C2468"/>
    <w:rsid w:val="009C2B58"/>
    <w:rsid w:val="009C2B92"/>
    <w:rsid w:val="009C3397"/>
    <w:rsid w:val="009C34BC"/>
    <w:rsid w:val="009C3666"/>
    <w:rsid w:val="009C3752"/>
    <w:rsid w:val="009C3A41"/>
    <w:rsid w:val="009C3B0E"/>
    <w:rsid w:val="009C40EF"/>
    <w:rsid w:val="009C48EE"/>
    <w:rsid w:val="009C4955"/>
    <w:rsid w:val="009C56F8"/>
    <w:rsid w:val="009C582B"/>
    <w:rsid w:val="009C5963"/>
    <w:rsid w:val="009C5C94"/>
    <w:rsid w:val="009C5F7A"/>
    <w:rsid w:val="009C60DD"/>
    <w:rsid w:val="009C65BB"/>
    <w:rsid w:val="009C68A1"/>
    <w:rsid w:val="009C68A4"/>
    <w:rsid w:val="009C6A75"/>
    <w:rsid w:val="009C7160"/>
    <w:rsid w:val="009C732E"/>
    <w:rsid w:val="009C77D6"/>
    <w:rsid w:val="009C787F"/>
    <w:rsid w:val="009C7A31"/>
    <w:rsid w:val="009D025E"/>
    <w:rsid w:val="009D0E73"/>
    <w:rsid w:val="009D1435"/>
    <w:rsid w:val="009D14D8"/>
    <w:rsid w:val="009D157A"/>
    <w:rsid w:val="009D159A"/>
    <w:rsid w:val="009D1824"/>
    <w:rsid w:val="009D1C16"/>
    <w:rsid w:val="009D1E89"/>
    <w:rsid w:val="009D23E2"/>
    <w:rsid w:val="009D2554"/>
    <w:rsid w:val="009D2D0D"/>
    <w:rsid w:val="009D303E"/>
    <w:rsid w:val="009D3093"/>
    <w:rsid w:val="009D30D1"/>
    <w:rsid w:val="009D37B8"/>
    <w:rsid w:val="009D39F6"/>
    <w:rsid w:val="009D3C72"/>
    <w:rsid w:val="009D3D54"/>
    <w:rsid w:val="009D3F76"/>
    <w:rsid w:val="009D45FC"/>
    <w:rsid w:val="009D4B85"/>
    <w:rsid w:val="009D5CB3"/>
    <w:rsid w:val="009D5F5C"/>
    <w:rsid w:val="009D6232"/>
    <w:rsid w:val="009D6433"/>
    <w:rsid w:val="009D69B5"/>
    <w:rsid w:val="009D6C4B"/>
    <w:rsid w:val="009D7055"/>
    <w:rsid w:val="009D7086"/>
    <w:rsid w:val="009D7562"/>
    <w:rsid w:val="009D7888"/>
    <w:rsid w:val="009D7A63"/>
    <w:rsid w:val="009D7AB1"/>
    <w:rsid w:val="009D7FD8"/>
    <w:rsid w:val="009E0060"/>
    <w:rsid w:val="009E03E2"/>
    <w:rsid w:val="009E0C73"/>
    <w:rsid w:val="009E183E"/>
    <w:rsid w:val="009E1A19"/>
    <w:rsid w:val="009E1A30"/>
    <w:rsid w:val="009E2139"/>
    <w:rsid w:val="009E2335"/>
    <w:rsid w:val="009E2473"/>
    <w:rsid w:val="009E25FA"/>
    <w:rsid w:val="009E2B9A"/>
    <w:rsid w:val="009E2E9E"/>
    <w:rsid w:val="009E3015"/>
    <w:rsid w:val="009E307C"/>
    <w:rsid w:val="009E319F"/>
    <w:rsid w:val="009E363E"/>
    <w:rsid w:val="009E3ACE"/>
    <w:rsid w:val="009E3B9A"/>
    <w:rsid w:val="009E4062"/>
    <w:rsid w:val="009E407D"/>
    <w:rsid w:val="009E4109"/>
    <w:rsid w:val="009E41B4"/>
    <w:rsid w:val="009E4268"/>
    <w:rsid w:val="009E470B"/>
    <w:rsid w:val="009E4D8F"/>
    <w:rsid w:val="009E505A"/>
    <w:rsid w:val="009E54AD"/>
    <w:rsid w:val="009E5786"/>
    <w:rsid w:val="009E5A0A"/>
    <w:rsid w:val="009E5D7C"/>
    <w:rsid w:val="009E5E3E"/>
    <w:rsid w:val="009E5F16"/>
    <w:rsid w:val="009E63BD"/>
    <w:rsid w:val="009E678A"/>
    <w:rsid w:val="009E6B9B"/>
    <w:rsid w:val="009E6C03"/>
    <w:rsid w:val="009E6C70"/>
    <w:rsid w:val="009E6EE8"/>
    <w:rsid w:val="009E6F05"/>
    <w:rsid w:val="009E72EA"/>
    <w:rsid w:val="009E73DF"/>
    <w:rsid w:val="009E7498"/>
    <w:rsid w:val="009E7E91"/>
    <w:rsid w:val="009F0299"/>
    <w:rsid w:val="009F0C0C"/>
    <w:rsid w:val="009F0DD7"/>
    <w:rsid w:val="009F103A"/>
    <w:rsid w:val="009F140A"/>
    <w:rsid w:val="009F1527"/>
    <w:rsid w:val="009F15B9"/>
    <w:rsid w:val="009F1809"/>
    <w:rsid w:val="009F1B50"/>
    <w:rsid w:val="009F1B54"/>
    <w:rsid w:val="009F1B9A"/>
    <w:rsid w:val="009F2202"/>
    <w:rsid w:val="009F29CE"/>
    <w:rsid w:val="009F2BB4"/>
    <w:rsid w:val="009F2E64"/>
    <w:rsid w:val="009F2E80"/>
    <w:rsid w:val="009F3497"/>
    <w:rsid w:val="009F3675"/>
    <w:rsid w:val="009F3772"/>
    <w:rsid w:val="009F398B"/>
    <w:rsid w:val="009F3E19"/>
    <w:rsid w:val="009F3F69"/>
    <w:rsid w:val="009F3F6E"/>
    <w:rsid w:val="009F3FA0"/>
    <w:rsid w:val="009F4079"/>
    <w:rsid w:val="009F42C8"/>
    <w:rsid w:val="009F4AF2"/>
    <w:rsid w:val="009F4DEA"/>
    <w:rsid w:val="009F4F31"/>
    <w:rsid w:val="009F52D9"/>
    <w:rsid w:val="009F5739"/>
    <w:rsid w:val="009F5EEB"/>
    <w:rsid w:val="009F5FA9"/>
    <w:rsid w:val="009F5FD0"/>
    <w:rsid w:val="009F642E"/>
    <w:rsid w:val="009F6550"/>
    <w:rsid w:val="009F6823"/>
    <w:rsid w:val="009F6C83"/>
    <w:rsid w:val="009F6CDB"/>
    <w:rsid w:val="009F6DD9"/>
    <w:rsid w:val="009F6FB9"/>
    <w:rsid w:val="009F7329"/>
    <w:rsid w:val="009F7A36"/>
    <w:rsid w:val="009F7A75"/>
    <w:rsid w:val="009F7C65"/>
    <w:rsid w:val="009F7CD2"/>
    <w:rsid w:val="009F7F47"/>
    <w:rsid w:val="00A00526"/>
    <w:rsid w:val="00A007D4"/>
    <w:rsid w:val="00A00A8A"/>
    <w:rsid w:val="00A00E58"/>
    <w:rsid w:val="00A00F9C"/>
    <w:rsid w:val="00A012BC"/>
    <w:rsid w:val="00A01308"/>
    <w:rsid w:val="00A013E1"/>
    <w:rsid w:val="00A014D4"/>
    <w:rsid w:val="00A01871"/>
    <w:rsid w:val="00A01DB8"/>
    <w:rsid w:val="00A02503"/>
    <w:rsid w:val="00A026D3"/>
    <w:rsid w:val="00A0287D"/>
    <w:rsid w:val="00A02B77"/>
    <w:rsid w:val="00A02D3E"/>
    <w:rsid w:val="00A02E28"/>
    <w:rsid w:val="00A034FA"/>
    <w:rsid w:val="00A036A5"/>
    <w:rsid w:val="00A03B17"/>
    <w:rsid w:val="00A03C95"/>
    <w:rsid w:val="00A03E27"/>
    <w:rsid w:val="00A040C6"/>
    <w:rsid w:val="00A040DC"/>
    <w:rsid w:val="00A042A5"/>
    <w:rsid w:val="00A044EA"/>
    <w:rsid w:val="00A04726"/>
    <w:rsid w:val="00A04850"/>
    <w:rsid w:val="00A04C0A"/>
    <w:rsid w:val="00A05C39"/>
    <w:rsid w:val="00A0619C"/>
    <w:rsid w:val="00A065E6"/>
    <w:rsid w:val="00A0694E"/>
    <w:rsid w:val="00A06B39"/>
    <w:rsid w:val="00A06CEC"/>
    <w:rsid w:val="00A070E2"/>
    <w:rsid w:val="00A07645"/>
    <w:rsid w:val="00A07DE6"/>
    <w:rsid w:val="00A100C0"/>
    <w:rsid w:val="00A104E3"/>
    <w:rsid w:val="00A10E25"/>
    <w:rsid w:val="00A111C1"/>
    <w:rsid w:val="00A11759"/>
    <w:rsid w:val="00A11BE7"/>
    <w:rsid w:val="00A12077"/>
    <w:rsid w:val="00A1220C"/>
    <w:rsid w:val="00A12356"/>
    <w:rsid w:val="00A125A8"/>
    <w:rsid w:val="00A12901"/>
    <w:rsid w:val="00A129CA"/>
    <w:rsid w:val="00A12E47"/>
    <w:rsid w:val="00A131F8"/>
    <w:rsid w:val="00A13206"/>
    <w:rsid w:val="00A13452"/>
    <w:rsid w:val="00A1355E"/>
    <w:rsid w:val="00A1370B"/>
    <w:rsid w:val="00A13955"/>
    <w:rsid w:val="00A13B5F"/>
    <w:rsid w:val="00A13E82"/>
    <w:rsid w:val="00A13E9B"/>
    <w:rsid w:val="00A14A3A"/>
    <w:rsid w:val="00A14F7B"/>
    <w:rsid w:val="00A151FE"/>
    <w:rsid w:val="00A15703"/>
    <w:rsid w:val="00A15D4D"/>
    <w:rsid w:val="00A15FB9"/>
    <w:rsid w:val="00A16667"/>
    <w:rsid w:val="00A16748"/>
    <w:rsid w:val="00A1679F"/>
    <w:rsid w:val="00A167FC"/>
    <w:rsid w:val="00A16A5E"/>
    <w:rsid w:val="00A174D5"/>
    <w:rsid w:val="00A17716"/>
    <w:rsid w:val="00A17B2A"/>
    <w:rsid w:val="00A20258"/>
    <w:rsid w:val="00A2046F"/>
    <w:rsid w:val="00A2056E"/>
    <w:rsid w:val="00A2073E"/>
    <w:rsid w:val="00A20F4C"/>
    <w:rsid w:val="00A20FCE"/>
    <w:rsid w:val="00A211DE"/>
    <w:rsid w:val="00A21D54"/>
    <w:rsid w:val="00A21D74"/>
    <w:rsid w:val="00A21F8B"/>
    <w:rsid w:val="00A2203D"/>
    <w:rsid w:val="00A22381"/>
    <w:rsid w:val="00A225BF"/>
    <w:rsid w:val="00A2277D"/>
    <w:rsid w:val="00A22998"/>
    <w:rsid w:val="00A22D97"/>
    <w:rsid w:val="00A22F13"/>
    <w:rsid w:val="00A232F5"/>
    <w:rsid w:val="00A23DA0"/>
    <w:rsid w:val="00A240BC"/>
    <w:rsid w:val="00A24358"/>
    <w:rsid w:val="00A2468B"/>
    <w:rsid w:val="00A24A29"/>
    <w:rsid w:val="00A24E4C"/>
    <w:rsid w:val="00A25015"/>
    <w:rsid w:val="00A252FC"/>
    <w:rsid w:val="00A254D7"/>
    <w:rsid w:val="00A255AF"/>
    <w:rsid w:val="00A2583A"/>
    <w:rsid w:val="00A2599E"/>
    <w:rsid w:val="00A259B3"/>
    <w:rsid w:val="00A25A14"/>
    <w:rsid w:val="00A25ACC"/>
    <w:rsid w:val="00A26BC2"/>
    <w:rsid w:val="00A26CDA"/>
    <w:rsid w:val="00A26ED8"/>
    <w:rsid w:val="00A27168"/>
    <w:rsid w:val="00A274F2"/>
    <w:rsid w:val="00A2786C"/>
    <w:rsid w:val="00A27A27"/>
    <w:rsid w:val="00A3017F"/>
    <w:rsid w:val="00A305AB"/>
    <w:rsid w:val="00A30794"/>
    <w:rsid w:val="00A30E8D"/>
    <w:rsid w:val="00A30F2F"/>
    <w:rsid w:val="00A31046"/>
    <w:rsid w:val="00A31607"/>
    <w:rsid w:val="00A318A3"/>
    <w:rsid w:val="00A31B88"/>
    <w:rsid w:val="00A31C24"/>
    <w:rsid w:val="00A31D58"/>
    <w:rsid w:val="00A31D84"/>
    <w:rsid w:val="00A31E1B"/>
    <w:rsid w:val="00A320BA"/>
    <w:rsid w:val="00A32527"/>
    <w:rsid w:val="00A328F9"/>
    <w:rsid w:val="00A32981"/>
    <w:rsid w:val="00A32E6F"/>
    <w:rsid w:val="00A32EA5"/>
    <w:rsid w:val="00A32FB7"/>
    <w:rsid w:val="00A3361D"/>
    <w:rsid w:val="00A33D35"/>
    <w:rsid w:val="00A33E33"/>
    <w:rsid w:val="00A3451E"/>
    <w:rsid w:val="00A349C3"/>
    <w:rsid w:val="00A349D6"/>
    <w:rsid w:val="00A35388"/>
    <w:rsid w:val="00A35610"/>
    <w:rsid w:val="00A35637"/>
    <w:rsid w:val="00A35743"/>
    <w:rsid w:val="00A358D5"/>
    <w:rsid w:val="00A35901"/>
    <w:rsid w:val="00A35A99"/>
    <w:rsid w:val="00A35C45"/>
    <w:rsid w:val="00A35C57"/>
    <w:rsid w:val="00A35CE6"/>
    <w:rsid w:val="00A35D13"/>
    <w:rsid w:val="00A35F32"/>
    <w:rsid w:val="00A366FA"/>
    <w:rsid w:val="00A36B91"/>
    <w:rsid w:val="00A37243"/>
    <w:rsid w:val="00A375D3"/>
    <w:rsid w:val="00A377FA"/>
    <w:rsid w:val="00A3781D"/>
    <w:rsid w:val="00A3799B"/>
    <w:rsid w:val="00A379BE"/>
    <w:rsid w:val="00A379E7"/>
    <w:rsid w:val="00A37A76"/>
    <w:rsid w:val="00A37BD1"/>
    <w:rsid w:val="00A40261"/>
    <w:rsid w:val="00A4027A"/>
    <w:rsid w:val="00A40841"/>
    <w:rsid w:val="00A408D1"/>
    <w:rsid w:val="00A409A9"/>
    <w:rsid w:val="00A40AC6"/>
    <w:rsid w:val="00A40BD0"/>
    <w:rsid w:val="00A4135B"/>
    <w:rsid w:val="00A4153D"/>
    <w:rsid w:val="00A418C4"/>
    <w:rsid w:val="00A41A9A"/>
    <w:rsid w:val="00A41DB6"/>
    <w:rsid w:val="00A4271F"/>
    <w:rsid w:val="00A42C9B"/>
    <w:rsid w:val="00A42FBD"/>
    <w:rsid w:val="00A435B9"/>
    <w:rsid w:val="00A43867"/>
    <w:rsid w:val="00A43AA7"/>
    <w:rsid w:val="00A43DEC"/>
    <w:rsid w:val="00A43F3C"/>
    <w:rsid w:val="00A4429F"/>
    <w:rsid w:val="00A44360"/>
    <w:rsid w:val="00A44736"/>
    <w:rsid w:val="00A44AC2"/>
    <w:rsid w:val="00A44CEF"/>
    <w:rsid w:val="00A44E3A"/>
    <w:rsid w:val="00A44F6A"/>
    <w:rsid w:val="00A4534E"/>
    <w:rsid w:val="00A455C7"/>
    <w:rsid w:val="00A45627"/>
    <w:rsid w:val="00A4588C"/>
    <w:rsid w:val="00A459C8"/>
    <w:rsid w:val="00A45A5D"/>
    <w:rsid w:val="00A45D5B"/>
    <w:rsid w:val="00A45DBB"/>
    <w:rsid w:val="00A46FFC"/>
    <w:rsid w:val="00A476DC"/>
    <w:rsid w:val="00A4791B"/>
    <w:rsid w:val="00A5006F"/>
    <w:rsid w:val="00A5038C"/>
    <w:rsid w:val="00A5055A"/>
    <w:rsid w:val="00A50597"/>
    <w:rsid w:val="00A50748"/>
    <w:rsid w:val="00A508F5"/>
    <w:rsid w:val="00A50904"/>
    <w:rsid w:val="00A50942"/>
    <w:rsid w:val="00A50D8F"/>
    <w:rsid w:val="00A50F01"/>
    <w:rsid w:val="00A50F11"/>
    <w:rsid w:val="00A5188F"/>
    <w:rsid w:val="00A51B6A"/>
    <w:rsid w:val="00A51CA2"/>
    <w:rsid w:val="00A52415"/>
    <w:rsid w:val="00A525C5"/>
    <w:rsid w:val="00A527C7"/>
    <w:rsid w:val="00A529E2"/>
    <w:rsid w:val="00A52D36"/>
    <w:rsid w:val="00A5301C"/>
    <w:rsid w:val="00A5322F"/>
    <w:rsid w:val="00A53231"/>
    <w:rsid w:val="00A5358D"/>
    <w:rsid w:val="00A535DE"/>
    <w:rsid w:val="00A53724"/>
    <w:rsid w:val="00A537AA"/>
    <w:rsid w:val="00A53A13"/>
    <w:rsid w:val="00A53E2A"/>
    <w:rsid w:val="00A5470D"/>
    <w:rsid w:val="00A547C6"/>
    <w:rsid w:val="00A548D0"/>
    <w:rsid w:val="00A54994"/>
    <w:rsid w:val="00A54D25"/>
    <w:rsid w:val="00A54EF9"/>
    <w:rsid w:val="00A552BA"/>
    <w:rsid w:val="00A55E8C"/>
    <w:rsid w:val="00A56366"/>
    <w:rsid w:val="00A56CCC"/>
    <w:rsid w:val="00A56D9F"/>
    <w:rsid w:val="00A56F16"/>
    <w:rsid w:val="00A57982"/>
    <w:rsid w:val="00A57CE2"/>
    <w:rsid w:val="00A600BC"/>
    <w:rsid w:val="00A60727"/>
    <w:rsid w:val="00A60E37"/>
    <w:rsid w:val="00A610BD"/>
    <w:rsid w:val="00A6131C"/>
    <w:rsid w:val="00A61699"/>
    <w:rsid w:val="00A618D7"/>
    <w:rsid w:val="00A6196F"/>
    <w:rsid w:val="00A61AAD"/>
    <w:rsid w:val="00A61CE0"/>
    <w:rsid w:val="00A621C3"/>
    <w:rsid w:val="00A62657"/>
    <w:rsid w:val="00A628E0"/>
    <w:rsid w:val="00A62E36"/>
    <w:rsid w:val="00A632C2"/>
    <w:rsid w:val="00A63797"/>
    <w:rsid w:val="00A63D2D"/>
    <w:rsid w:val="00A646F2"/>
    <w:rsid w:val="00A6484E"/>
    <w:rsid w:val="00A64A08"/>
    <w:rsid w:val="00A64FDC"/>
    <w:rsid w:val="00A651DF"/>
    <w:rsid w:val="00A65909"/>
    <w:rsid w:val="00A65AA6"/>
    <w:rsid w:val="00A66114"/>
    <w:rsid w:val="00A6657A"/>
    <w:rsid w:val="00A6678B"/>
    <w:rsid w:val="00A667BC"/>
    <w:rsid w:val="00A669D0"/>
    <w:rsid w:val="00A66FB3"/>
    <w:rsid w:val="00A672E9"/>
    <w:rsid w:val="00A6755F"/>
    <w:rsid w:val="00A6789E"/>
    <w:rsid w:val="00A679FD"/>
    <w:rsid w:val="00A70145"/>
    <w:rsid w:val="00A70857"/>
    <w:rsid w:val="00A70A52"/>
    <w:rsid w:val="00A70C4B"/>
    <w:rsid w:val="00A70D17"/>
    <w:rsid w:val="00A71E4D"/>
    <w:rsid w:val="00A71FC1"/>
    <w:rsid w:val="00A71FF0"/>
    <w:rsid w:val="00A725B4"/>
    <w:rsid w:val="00A7277F"/>
    <w:rsid w:val="00A727D8"/>
    <w:rsid w:val="00A72868"/>
    <w:rsid w:val="00A72E8E"/>
    <w:rsid w:val="00A739AD"/>
    <w:rsid w:val="00A73A69"/>
    <w:rsid w:val="00A73CE7"/>
    <w:rsid w:val="00A73CED"/>
    <w:rsid w:val="00A73F41"/>
    <w:rsid w:val="00A743C3"/>
    <w:rsid w:val="00A746FA"/>
    <w:rsid w:val="00A749BC"/>
    <w:rsid w:val="00A74B09"/>
    <w:rsid w:val="00A74BA8"/>
    <w:rsid w:val="00A7564E"/>
    <w:rsid w:val="00A756F3"/>
    <w:rsid w:val="00A75876"/>
    <w:rsid w:val="00A75F39"/>
    <w:rsid w:val="00A76137"/>
    <w:rsid w:val="00A764BB"/>
    <w:rsid w:val="00A764CE"/>
    <w:rsid w:val="00A76862"/>
    <w:rsid w:val="00A7687D"/>
    <w:rsid w:val="00A76BEE"/>
    <w:rsid w:val="00A76FC6"/>
    <w:rsid w:val="00A7711A"/>
    <w:rsid w:val="00A775BD"/>
    <w:rsid w:val="00A77DA6"/>
    <w:rsid w:val="00A77E4D"/>
    <w:rsid w:val="00A8004F"/>
    <w:rsid w:val="00A8005B"/>
    <w:rsid w:val="00A801F6"/>
    <w:rsid w:val="00A8026E"/>
    <w:rsid w:val="00A807F2"/>
    <w:rsid w:val="00A812E2"/>
    <w:rsid w:val="00A815B8"/>
    <w:rsid w:val="00A81690"/>
    <w:rsid w:val="00A81AB0"/>
    <w:rsid w:val="00A81C4B"/>
    <w:rsid w:val="00A81E0B"/>
    <w:rsid w:val="00A8292D"/>
    <w:rsid w:val="00A82AB6"/>
    <w:rsid w:val="00A82E42"/>
    <w:rsid w:val="00A82E48"/>
    <w:rsid w:val="00A837F6"/>
    <w:rsid w:val="00A83993"/>
    <w:rsid w:val="00A83A54"/>
    <w:rsid w:val="00A83D82"/>
    <w:rsid w:val="00A84512"/>
    <w:rsid w:val="00A848C4"/>
    <w:rsid w:val="00A849F2"/>
    <w:rsid w:val="00A85065"/>
    <w:rsid w:val="00A85137"/>
    <w:rsid w:val="00A8532D"/>
    <w:rsid w:val="00A85861"/>
    <w:rsid w:val="00A858DE"/>
    <w:rsid w:val="00A85A7C"/>
    <w:rsid w:val="00A85C3D"/>
    <w:rsid w:val="00A85E0B"/>
    <w:rsid w:val="00A85F69"/>
    <w:rsid w:val="00A85F95"/>
    <w:rsid w:val="00A8600F"/>
    <w:rsid w:val="00A86379"/>
    <w:rsid w:val="00A867CE"/>
    <w:rsid w:val="00A86E9F"/>
    <w:rsid w:val="00A87527"/>
    <w:rsid w:val="00A879C8"/>
    <w:rsid w:val="00A87D42"/>
    <w:rsid w:val="00A9047C"/>
    <w:rsid w:val="00A90B0A"/>
    <w:rsid w:val="00A90B64"/>
    <w:rsid w:val="00A90F88"/>
    <w:rsid w:val="00A91146"/>
    <w:rsid w:val="00A913D5"/>
    <w:rsid w:val="00A9168B"/>
    <w:rsid w:val="00A91702"/>
    <w:rsid w:val="00A92403"/>
    <w:rsid w:val="00A92AA3"/>
    <w:rsid w:val="00A92C5E"/>
    <w:rsid w:val="00A93170"/>
    <w:rsid w:val="00A932C2"/>
    <w:rsid w:val="00A9353D"/>
    <w:rsid w:val="00A93550"/>
    <w:rsid w:val="00A936D2"/>
    <w:rsid w:val="00A937FF"/>
    <w:rsid w:val="00A938EB"/>
    <w:rsid w:val="00A93984"/>
    <w:rsid w:val="00A93B23"/>
    <w:rsid w:val="00A93F13"/>
    <w:rsid w:val="00A93FA7"/>
    <w:rsid w:val="00A94102"/>
    <w:rsid w:val="00A942CE"/>
    <w:rsid w:val="00A94462"/>
    <w:rsid w:val="00A951E1"/>
    <w:rsid w:val="00A9523F"/>
    <w:rsid w:val="00A953D4"/>
    <w:rsid w:val="00A958F3"/>
    <w:rsid w:val="00A95D65"/>
    <w:rsid w:val="00A962AF"/>
    <w:rsid w:val="00A96306"/>
    <w:rsid w:val="00A9636D"/>
    <w:rsid w:val="00A9660C"/>
    <w:rsid w:val="00A969DD"/>
    <w:rsid w:val="00A969E3"/>
    <w:rsid w:val="00A96B7D"/>
    <w:rsid w:val="00A970F9"/>
    <w:rsid w:val="00A9727A"/>
    <w:rsid w:val="00A973F4"/>
    <w:rsid w:val="00AA0C15"/>
    <w:rsid w:val="00AA0C8A"/>
    <w:rsid w:val="00AA1662"/>
    <w:rsid w:val="00AA1CA9"/>
    <w:rsid w:val="00AA1DA2"/>
    <w:rsid w:val="00AA2198"/>
    <w:rsid w:val="00AA24F6"/>
    <w:rsid w:val="00AA289D"/>
    <w:rsid w:val="00AA2B79"/>
    <w:rsid w:val="00AA2D9E"/>
    <w:rsid w:val="00AA3519"/>
    <w:rsid w:val="00AA36EC"/>
    <w:rsid w:val="00AA3E7D"/>
    <w:rsid w:val="00AA4542"/>
    <w:rsid w:val="00AA4F17"/>
    <w:rsid w:val="00AA503E"/>
    <w:rsid w:val="00AA5564"/>
    <w:rsid w:val="00AA5614"/>
    <w:rsid w:val="00AA5633"/>
    <w:rsid w:val="00AA5943"/>
    <w:rsid w:val="00AA59E8"/>
    <w:rsid w:val="00AA5AA9"/>
    <w:rsid w:val="00AA605C"/>
    <w:rsid w:val="00AA6581"/>
    <w:rsid w:val="00AA6660"/>
    <w:rsid w:val="00AA6876"/>
    <w:rsid w:val="00AA6D97"/>
    <w:rsid w:val="00AA6FA5"/>
    <w:rsid w:val="00AA778F"/>
    <w:rsid w:val="00AA7AD7"/>
    <w:rsid w:val="00AA7C16"/>
    <w:rsid w:val="00AB0399"/>
    <w:rsid w:val="00AB03FA"/>
    <w:rsid w:val="00AB04E6"/>
    <w:rsid w:val="00AB0DEA"/>
    <w:rsid w:val="00AB0E5F"/>
    <w:rsid w:val="00AB0F3C"/>
    <w:rsid w:val="00AB14BD"/>
    <w:rsid w:val="00AB1615"/>
    <w:rsid w:val="00AB178A"/>
    <w:rsid w:val="00AB18EA"/>
    <w:rsid w:val="00AB1EBE"/>
    <w:rsid w:val="00AB202D"/>
    <w:rsid w:val="00AB211A"/>
    <w:rsid w:val="00AB2265"/>
    <w:rsid w:val="00AB2553"/>
    <w:rsid w:val="00AB2748"/>
    <w:rsid w:val="00AB2818"/>
    <w:rsid w:val="00AB2D4C"/>
    <w:rsid w:val="00AB3065"/>
    <w:rsid w:val="00AB3139"/>
    <w:rsid w:val="00AB3847"/>
    <w:rsid w:val="00AB38CE"/>
    <w:rsid w:val="00AB3D06"/>
    <w:rsid w:val="00AB3DD2"/>
    <w:rsid w:val="00AB4321"/>
    <w:rsid w:val="00AB4B41"/>
    <w:rsid w:val="00AB4E50"/>
    <w:rsid w:val="00AB543B"/>
    <w:rsid w:val="00AB5B6B"/>
    <w:rsid w:val="00AB5C19"/>
    <w:rsid w:val="00AB5CA0"/>
    <w:rsid w:val="00AB5D92"/>
    <w:rsid w:val="00AB6232"/>
    <w:rsid w:val="00AB640C"/>
    <w:rsid w:val="00AB6820"/>
    <w:rsid w:val="00AB6981"/>
    <w:rsid w:val="00AB6BAC"/>
    <w:rsid w:val="00AB6D23"/>
    <w:rsid w:val="00AB6FBA"/>
    <w:rsid w:val="00AB70B9"/>
    <w:rsid w:val="00AB7330"/>
    <w:rsid w:val="00AC00ED"/>
    <w:rsid w:val="00AC0BC0"/>
    <w:rsid w:val="00AC131A"/>
    <w:rsid w:val="00AC1960"/>
    <w:rsid w:val="00AC19A1"/>
    <w:rsid w:val="00AC19CB"/>
    <w:rsid w:val="00AC1B65"/>
    <w:rsid w:val="00AC1D53"/>
    <w:rsid w:val="00AC20FB"/>
    <w:rsid w:val="00AC2105"/>
    <w:rsid w:val="00AC2B23"/>
    <w:rsid w:val="00AC2B86"/>
    <w:rsid w:val="00AC3542"/>
    <w:rsid w:val="00AC3626"/>
    <w:rsid w:val="00AC39F0"/>
    <w:rsid w:val="00AC3C1C"/>
    <w:rsid w:val="00AC3D42"/>
    <w:rsid w:val="00AC3F9A"/>
    <w:rsid w:val="00AC4E3C"/>
    <w:rsid w:val="00AC50EE"/>
    <w:rsid w:val="00AC54A6"/>
    <w:rsid w:val="00AC5510"/>
    <w:rsid w:val="00AC56C1"/>
    <w:rsid w:val="00AC57AC"/>
    <w:rsid w:val="00AC5897"/>
    <w:rsid w:val="00AC5CA1"/>
    <w:rsid w:val="00AC5CC1"/>
    <w:rsid w:val="00AC61A9"/>
    <w:rsid w:val="00AC657F"/>
    <w:rsid w:val="00AC658E"/>
    <w:rsid w:val="00AC6621"/>
    <w:rsid w:val="00AC68FD"/>
    <w:rsid w:val="00AC6C35"/>
    <w:rsid w:val="00AC7346"/>
    <w:rsid w:val="00AC7542"/>
    <w:rsid w:val="00AC7ADA"/>
    <w:rsid w:val="00AD0020"/>
    <w:rsid w:val="00AD03BD"/>
    <w:rsid w:val="00AD0736"/>
    <w:rsid w:val="00AD0A30"/>
    <w:rsid w:val="00AD0BF7"/>
    <w:rsid w:val="00AD0DF4"/>
    <w:rsid w:val="00AD0E96"/>
    <w:rsid w:val="00AD0F9D"/>
    <w:rsid w:val="00AD1088"/>
    <w:rsid w:val="00AD168F"/>
    <w:rsid w:val="00AD176C"/>
    <w:rsid w:val="00AD18F9"/>
    <w:rsid w:val="00AD19E5"/>
    <w:rsid w:val="00AD1DBB"/>
    <w:rsid w:val="00AD249E"/>
    <w:rsid w:val="00AD2B0D"/>
    <w:rsid w:val="00AD2B34"/>
    <w:rsid w:val="00AD352C"/>
    <w:rsid w:val="00AD3773"/>
    <w:rsid w:val="00AD3AEB"/>
    <w:rsid w:val="00AD3E47"/>
    <w:rsid w:val="00AD3E75"/>
    <w:rsid w:val="00AD40EF"/>
    <w:rsid w:val="00AD4722"/>
    <w:rsid w:val="00AD487A"/>
    <w:rsid w:val="00AD4AB4"/>
    <w:rsid w:val="00AD4EE6"/>
    <w:rsid w:val="00AD520A"/>
    <w:rsid w:val="00AD559E"/>
    <w:rsid w:val="00AD55D6"/>
    <w:rsid w:val="00AD566F"/>
    <w:rsid w:val="00AD5777"/>
    <w:rsid w:val="00AD5D4A"/>
    <w:rsid w:val="00AD5D50"/>
    <w:rsid w:val="00AD5D5D"/>
    <w:rsid w:val="00AD605C"/>
    <w:rsid w:val="00AD645A"/>
    <w:rsid w:val="00AD6828"/>
    <w:rsid w:val="00AD744C"/>
    <w:rsid w:val="00AD768F"/>
    <w:rsid w:val="00AD76BF"/>
    <w:rsid w:val="00AD7C4E"/>
    <w:rsid w:val="00AE01D7"/>
    <w:rsid w:val="00AE0354"/>
    <w:rsid w:val="00AE0B05"/>
    <w:rsid w:val="00AE0B0A"/>
    <w:rsid w:val="00AE0DE6"/>
    <w:rsid w:val="00AE0E20"/>
    <w:rsid w:val="00AE122F"/>
    <w:rsid w:val="00AE15F8"/>
    <w:rsid w:val="00AE1B4B"/>
    <w:rsid w:val="00AE1B54"/>
    <w:rsid w:val="00AE2471"/>
    <w:rsid w:val="00AE2810"/>
    <w:rsid w:val="00AE2989"/>
    <w:rsid w:val="00AE2BF1"/>
    <w:rsid w:val="00AE3354"/>
    <w:rsid w:val="00AE342F"/>
    <w:rsid w:val="00AE3640"/>
    <w:rsid w:val="00AE381C"/>
    <w:rsid w:val="00AE3B4B"/>
    <w:rsid w:val="00AE3D80"/>
    <w:rsid w:val="00AE3F86"/>
    <w:rsid w:val="00AE44D2"/>
    <w:rsid w:val="00AE4667"/>
    <w:rsid w:val="00AE4E9D"/>
    <w:rsid w:val="00AE4FF4"/>
    <w:rsid w:val="00AE58CD"/>
    <w:rsid w:val="00AE5A2A"/>
    <w:rsid w:val="00AE65C4"/>
    <w:rsid w:val="00AE6AA2"/>
    <w:rsid w:val="00AE6FFC"/>
    <w:rsid w:val="00AE718D"/>
    <w:rsid w:val="00AE737D"/>
    <w:rsid w:val="00AE75DF"/>
    <w:rsid w:val="00AE78E2"/>
    <w:rsid w:val="00AE7B53"/>
    <w:rsid w:val="00AF03FB"/>
    <w:rsid w:val="00AF046B"/>
    <w:rsid w:val="00AF0659"/>
    <w:rsid w:val="00AF09D6"/>
    <w:rsid w:val="00AF12FD"/>
    <w:rsid w:val="00AF18F0"/>
    <w:rsid w:val="00AF190A"/>
    <w:rsid w:val="00AF19F2"/>
    <w:rsid w:val="00AF1F47"/>
    <w:rsid w:val="00AF20F3"/>
    <w:rsid w:val="00AF2187"/>
    <w:rsid w:val="00AF27F6"/>
    <w:rsid w:val="00AF2C4B"/>
    <w:rsid w:val="00AF353E"/>
    <w:rsid w:val="00AF36E3"/>
    <w:rsid w:val="00AF3914"/>
    <w:rsid w:val="00AF399C"/>
    <w:rsid w:val="00AF3E3E"/>
    <w:rsid w:val="00AF493F"/>
    <w:rsid w:val="00AF4AE5"/>
    <w:rsid w:val="00AF4C41"/>
    <w:rsid w:val="00AF4C79"/>
    <w:rsid w:val="00AF5248"/>
    <w:rsid w:val="00AF532E"/>
    <w:rsid w:val="00AF55F4"/>
    <w:rsid w:val="00AF56FE"/>
    <w:rsid w:val="00AF5985"/>
    <w:rsid w:val="00AF5E63"/>
    <w:rsid w:val="00AF651D"/>
    <w:rsid w:val="00AF6F20"/>
    <w:rsid w:val="00AF717F"/>
    <w:rsid w:val="00AF723A"/>
    <w:rsid w:val="00AF785B"/>
    <w:rsid w:val="00AF7B9B"/>
    <w:rsid w:val="00AF7C94"/>
    <w:rsid w:val="00B001D7"/>
    <w:rsid w:val="00B004DE"/>
    <w:rsid w:val="00B0057C"/>
    <w:rsid w:val="00B005AB"/>
    <w:rsid w:val="00B006DB"/>
    <w:rsid w:val="00B00BA3"/>
    <w:rsid w:val="00B01084"/>
    <w:rsid w:val="00B012F3"/>
    <w:rsid w:val="00B01851"/>
    <w:rsid w:val="00B01C42"/>
    <w:rsid w:val="00B01FA0"/>
    <w:rsid w:val="00B021F4"/>
    <w:rsid w:val="00B0223D"/>
    <w:rsid w:val="00B02297"/>
    <w:rsid w:val="00B02475"/>
    <w:rsid w:val="00B02B28"/>
    <w:rsid w:val="00B02D51"/>
    <w:rsid w:val="00B02E56"/>
    <w:rsid w:val="00B02E5D"/>
    <w:rsid w:val="00B02EBC"/>
    <w:rsid w:val="00B030F8"/>
    <w:rsid w:val="00B03178"/>
    <w:rsid w:val="00B032A1"/>
    <w:rsid w:val="00B0363E"/>
    <w:rsid w:val="00B0395E"/>
    <w:rsid w:val="00B03C93"/>
    <w:rsid w:val="00B03D62"/>
    <w:rsid w:val="00B03E74"/>
    <w:rsid w:val="00B040B4"/>
    <w:rsid w:val="00B04264"/>
    <w:rsid w:val="00B04291"/>
    <w:rsid w:val="00B044B3"/>
    <w:rsid w:val="00B04521"/>
    <w:rsid w:val="00B04711"/>
    <w:rsid w:val="00B04BB8"/>
    <w:rsid w:val="00B052CE"/>
    <w:rsid w:val="00B054C7"/>
    <w:rsid w:val="00B0580C"/>
    <w:rsid w:val="00B05DC2"/>
    <w:rsid w:val="00B060A9"/>
    <w:rsid w:val="00B0625C"/>
    <w:rsid w:val="00B06513"/>
    <w:rsid w:val="00B065DF"/>
    <w:rsid w:val="00B066F5"/>
    <w:rsid w:val="00B067ED"/>
    <w:rsid w:val="00B0682F"/>
    <w:rsid w:val="00B06A2E"/>
    <w:rsid w:val="00B06CF1"/>
    <w:rsid w:val="00B06D64"/>
    <w:rsid w:val="00B07313"/>
    <w:rsid w:val="00B07370"/>
    <w:rsid w:val="00B07511"/>
    <w:rsid w:val="00B07903"/>
    <w:rsid w:val="00B079AF"/>
    <w:rsid w:val="00B07A05"/>
    <w:rsid w:val="00B07A83"/>
    <w:rsid w:val="00B101F1"/>
    <w:rsid w:val="00B10898"/>
    <w:rsid w:val="00B10B87"/>
    <w:rsid w:val="00B112A8"/>
    <w:rsid w:val="00B11736"/>
    <w:rsid w:val="00B11CB5"/>
    <w:rsid w:val="00B11D0E"/>
    <w:rsid w:val="00B120AC"/>
    <w:rsid w:val="00B122EA"/>
    <w:rsid w:val="00B1284C"/>
    <w:rsid w:val="00B1298D"/>
    <w:rsid w:val="00B1351A"/>
    <w:rsid w:val="00B136BC"/>
    <w:rsid w:val="00B1384D"/>
    <w:rsid w:val="00B13D1A"/>
    <w:rsid w:val="00B142A9"/>
    <w:rsid w:val="00B14548"/>
    <w:rsid w:val="00B14563"/>
    <w:rsid w:val="00B146B4"/>
    <w:rsid w:val="00B14A49"/>
    <w:rsid w:val="00B14A71"/>
    <w:rsid w:val="00B15041"/>
    <w:rsid w:val="00B15046"/>
    <w:rsid w:val="00B15090"/>
    <w:rsid w:val="00B1557C"/>
    <w:rsid w:val="00B15951"/>
    <w:rsid w:val="00B15A6F"/>
    <w:rsid w:val="00B15C36"/>
    <w:rsid w:val="00B16218"/>
    <w:rsid w:val="00B16341"/>
    <w:rsid w:val="00B164A4"/>
    <w:rsid w:val="00B165F6"/>
    <w:rsid w:val="00B165F7"/>
    <w:rsid w:val="00B1684E"/>
    <w:rsid w:val="00B16C94"/>
    <w:rsid w:val="00B17374"/>
    <w:rsid w:val="00B173B3"/>
    <w:rsid w:val="00B1757E"/>
    <w:rsid w:val="00B17742"/>
    <w:rsid w:val="00B17C63"/>
    <w:rsid w:val="00B17F06"/>
    <w:rsid w:val="00B2000C"/>
    <w:rsid w:val="00B20E44"/>
    <w:rsid w:val="00B217CC"/>
    <w:rsid w:val="00B21915"/>
    <w:rsid w:val="00B21B03"/>
    <w:rsid w:val="00B22B30"/>
    <w:rsid w:val="00B22B39"/>
    <w:rsid w:val="00B22ECC"/>
    <w:rsid w:val="00B23045"/>
    <w:rsid w:val="00B234D8"/>
    <w:rsid w:val="00B235F0"/>
    <w:rsid w:val="00B23697"/>
    <w:rsid w:val="00B237BF"/>
    <w:rsid w:val="00B23813"/>
    <w:rsid w:val="00B238CB"/>
    <w:rsid w:val="00B23988"/>
    <w:rsid w:val="00B239F2"/>
    <w:rsid w:val="00B23E34"/>
    <w:rsid w:val="00B23E8F"/>
    <w:rsid w:val="00B2412E"/>
    <w:rsid w:val="00B24980"/>
    <w:rsid w:val="00B24B97"/>
    <w:rsid w:val="00B24EB4"/>
    <w:rsid w:val="00B25DE8"/>
    <w:rsid w:val="00B25E23"/>
    <w:rsid w:val="00B2613D"/>
    <w:rsid w:val="00B2629C"/>
    <w:rsid w:val="00B267B5"/>
    <w:rsid w:val="00B2696E"/>
    <w:rsid w:val="00B26C8E"/>
    <w:rsid w:val="00B2786A"/>
    <w:rsid w:val="00B27BE9"/>
    <w:rsid w:val="00B27DE2"/>
    <w:rsid w:val="00B30175"/>
    <w:rsid w:val="00B3045A"/>
    <w:rsid w:val="00B304BD"/>
    <w:rsid w:val="00B307EF"/>
    <w:rsid w:val="00B30AB8"/>
    <w:rsid w:val="00B31211"/>
    <w:rsid w:val="00B314BA"/>
    <w:rsid w:val="00B3156B"/>
    <w:rsid w:val="00B31885"/>
    <w:rsid w:val="00B31965"/>
    <w:rsid w:val="00B3199D"/>
    <w:rsid w:val="00B31DEA"/>
    <w:rsid w:val="00B31E76"/>
    <w:rsid w:val="00B3204B"/>
    <w:rsid w:val="00B32832"/>
    <w:rsid w:val="00B3315E"/>
    <w:rsid w:val="00B33A01"/>
    <w:rsid w:val="00B33A41"/>
    <w:rsid w:val="00B3446E"/>
    <w:rsid w:val="00B347A4"/>
    <w:rsid w:val="00B34A3A"/>
    <w:rsid w:val="00B34DB8"/>
    <w:rsid w:val="00B34E3D"/>
    <w:rsid w:val="00B35241"/>
    <w:rsid w:val="00B357EC"/>
    <w:rsid w:val="00B35B7D"/>
    <w:rsid w:val="00B35C66"/>
    <w:rsid w:val="00B36F20"/>
    <w:rsid w:val="00B37064"/>
    <w:rsid w:val="00B371D3"/>
    <w:rsid w:val="00B3723B"/>
    <w:rsid w:val="00B376BB"/>
    <w:rsid w:val="00B37C2C"/>
    <w:rsid w:val="00B37D44"/>
    <w:rsid w:val="00B405CE"/>
    <w:rsid w:val="00B40780"/>
    <w:rsid w:val="00B40BE0"/>
    <w:rsid w:val="00B41007"/>
    <w:rsid w:val="00B413A5"/>
    <w:rsid w:val="00B41586"/>
    <w:rsid w:val="00B41852"/>
    <w:rsid w:val="00B41DD1"/>
    <w:rsid w:val="00B421DB"/>
    <w:rsid w:val="00B42B13"/>
    <w:rsid w:val="00B42C01"/>
    <w:rsid w:val="00B42C37"/>
    <w:rsid w:val="00B430B9"/>
    <w:rsid w:val="00B4337C"/>
    <w:rsid w:val="00B43BF1"/>
    <w:rsid w:val="00B43DD4"/>
    <w:rsid w:val="00B43FAA"/>
    <w:rsid w:val="00B441EF"/>
    <w:rsid w:val="00B44282"/>
    <w:rsid w:val="00B449EC"/>
    <w:rsid w:val="00B44D7F"/>
    <w:rsid w:val="00B44E77"/>
    <w:rsid w:val="00B44FD3"/>
    <w:rsid w:val="00B45303"/>
    <w:rsid w:val="00B45310"/>
    <w:rsid w:val="00B45772"/>
    <w:rsid w:val="00B458B4"/>
    <w:rsid w:val="00B45E42"/>
    <w:rsid w:val="00B46352"/>
    <w:rsid w:val="00B46408"/>
    <w:rsid w:val="00B46BC9"/>
    <w:rsid w:val="00B47009"/>
    <w:rsid w:val="00B471BB"/>
    <w:rsid w:val="00B47A4D"/>
    <w:rsid w:val="00B47BEB"/>
    <w:rsid w:val="00B47C48"/>
    <w:rsid w:val="00B47DCC"/>
    <w:rsid w:val="00B47F01"/>
    <w:rsid w:val="00B50250"/>
    <w:rsid w:val="00B50368"/>
    <w:rsid w:val="00B50D79"/>
    <w:rsid w:val="00B51484"/>
    <w:rsid w:val="00B514B7"/>
    <w:rsid w:val="00B5159C"/>
    <w:rsid w:val="00B5176E"/>
    <w:rsid w:val="00B51CBE"/>
    <w:rsid w:val="00B51D33"/>
    <w:rsid w:val="00B51EDA"/>
    <w:rsid w:val="00B528D7"/>
    <w:rsid w:val="00B52A5E"/>
    <w:rsid w:val="00B52B1D"/>
    <w:rsid w:val="00B532C1"/>
    <w:rsid w:val="00B534F4"/>
    <w:rsid w:val="00B54011"/>
    <w:rsid w:val="00B545DC"/>
    <w:rsid w:val="00B546E8"/>
    <w:rsid w:val="00B54A1E"/>
    <w:rsid w:val="00B54C65"/>
    <w:rsid w:val="00B5510A"/>
    <w:rsid w:val="00B55428"/>
    <w:rsid w:val="00B5589B"/>
    <w:rsid w:val="00B558D8"/>
    <w:rsid w:val="00B563E6"/>
    <w:rsid w:val="00B569BE"/>
    <w:rsid w:val="00B56D26"/>
    <w:rsid w:val="00B56D30"/>
    <w:rsid w:val="00B56EBB"/>
    <w:rsid w:val="00B56F4C"/>
    <w:rsid w:val="00B570E3"/>
    <w:rsid w:val="00B572DA"/>
    <w:rsid w:val="00B5757A"/>
    <w:rsid w:val="00B5759A"/>
    <w:rsid w:val="00B576B6"/>
    <w:rsid w:val="00B578AB"/>
    <w:rsid w:val="00B57BDD"/>
    <w:rsid w:val="00B57D82"/>
    <w:rsid w:val="00B6033F"/>
    <w:rsid w:val="00B6042C"/>
    <w:rsid w:val="00B60649"/>
    <w:rsid w:val="00B60701"/>
    <w:rsid w:val="00B60874"/>
    <w:rsid w:val="00B60966"/>
    <w:rsid w:val="00B60B9A"/>
    <w:rsid w:val="00B60BF6"/>
    <w:rsid w:val="00B60D03"/>
    <w:rsid w:val="00B60D5F"/>
    <w:rsid w:val="00B61878"/>
    <w:rsid w:val="00B61A40"/>
    <w:rsid w:val="00B61BAD"/>
    <w:rsid w:val="00B61DAC"/>
    <w:rsid w:val="00B6233C"/>
    <w:rsid w:val="00B62610"/>
    <w:rsid w:val="00B627E5"/>
    <w:rsid w:val="00B628FA"/>
    <w:rsid w:val="00B6299A"/>
    <w:rsid w:val="00B62AE0"/>
    <w:rsid w:val="00B62BBD"/>
    <w:rsid w:val="00B6316F"/>
    <w:rsid w:val="00B63189"/>
    <w:rsid w:val="00B632BC"/>
    <w:rsid w:val="00B63369"/>
    <w:rsid w:val="00B63388"/>
    <w:rsid w:val="00B6381D"/>
    <w:rsid w:val="00B63AC5"/>
    <w:rsid w:val="00B63B87"/>
    <w:rsid w:val="00B63CE2"/>
    <w:rsid w:val="00B63DD1"/>
    <w:rsid w:val="00B6459E"/>
    <w:rsid w:val="00B64E90"/>
    <w:rsid w:val="00B64F12"/>
    <w:rsid w:val="00B65983"/>
    <w:rsid w:val="00B65B2E"/>
    <w:rsid w:val="00B65E04"/>
    <w:rsid w:val="00B66413"/>
    <w:rsid w:val="00B66648"/>
    <w:rsid w:val="00B66AB2"/>
    <w:rsid w:val="00B66E8F"/>
    <w:rsid w:val="00B67034"/>
    <w:rsid w:val="00B6729C"/>
    <w:rsid w:val="00B673F5"/>
    <w:rsid w:val="00B67B42"/>
    <w:rsid w:val="00B67BB9"/>
    <w:rsid w:val="00B70293"/>
    <w:rsid w:val="00B706F0"/>
    <w:rsid w:val="00B70C91"/>
    <w:rsid w:val="00B70EB4"/>
    <w:rsid w:val="00B70F2A"/>
    <w:rsid w:val="00B70FC2"/>
    <w:rsid w:val="00B71E3A"/>
    <w:rsid w:val="00B722AB"/>
    <w:rsid w:val="00B722CD"/>
    <w:rsid w:val="00B72621"/>
    <w:rsid w:val="00B72823"/>
    <w:rsid w:val="00B72AF7"/>
    <w:rsid w:val="00B72B01"/>
    <w:rsid w:val="00B72BEC"/>
    <w:rsid w:val="00B73915"/>
    <w:rsid w:val="00B73A71"/>
    <w:rsid w:val="00B73D19"/>
    <w:rsid w:val="00B74390"/>
    <w:rsid w:val="00B743B9"/>
    <w:rsid w:val="00B74A7C"/>
    <w:rsid w:val="00B74BC3"/>
    <w:rsid w:val="00B754C5"/>
    <w:rsid w:val="00B75868"/>
    <w:rsid w:val="00B7599E"/>
    <w:rsid w:val="00B75A70"/>
    <w:rsid w:val="00B75B74"/>
    <w:rsid w:val="00B760BB"/>
    <w:rsid w:val="00B761F2"/>
    <w:rsid w:val="00B769C2"/>
    <w:rsid w:val="00B76C4F"/>
    <w:rsid w:val="00B76E4A"/>
    <w:rsid w:val="00B76EE1"/>
    <w:rsid w:val="00B775AE"/>
    <w:rsid w:val="00B779C4"/>
    <w:rsid w:val="00B77A3B"/>
    <w:rsid w:val="00B77AFE"/>
    <w:rsid w:val="00B80074"/>
    <w:rsid w:val="00B804CC"/>
    <w:rsid w:val="00B8070E"/>
    <w:rsid w:val="00B8084F"/>
    <w:rsid w:val="00B80B1F"/>
    <w:rsid w:val="00B80F57"/>
    <w:rsid w:val="00B80FA3"/>
    <w:rsid w:val="00B813E8"/>
    <w:rsid w:val="00B814B8"/>
    <w:rsid w:val="00B81C6D"/>
    <w:rsid w:val="00B81DB3"/>
    <w:rsid w:val="00B82B38"/>
    <w:rsid w:val="00B82C8E"/>
    <w:rsid w:val="00B82CDF"/>
    <w:rsid w:val="00B82DDE"/>
    <w:rsid w:val="00B82F01"/>
    <w:rsid w:val="00B84264"/>
    <w:rsid w:val="00B8429B"/>
    <w:rsid w:val="00B842C7"/>
    <w:rsid w:val="00B846A4"/>
    <w:rsid w:val="00B84E33"/>
    <w:rsid w:val="00B84ECE"/>
    <w:rsid w:val="00B85134"/>
    <w:rsid w:val="00B85839"/>
    <w:rsid w:val="00B85AB9"/>
    <w:rsid w:val="00B85CD5"/>
    <w:rsid w:val="00B8615C"/>
    <w:rsid w:val="00B86487"/>
    <w:rsid w:val="00B86501"/>
    <w:rsid w:val="00B86957"/>
    <w:rsid w:val="00B869D6"/>
    <w:rsid w:val="00B86E3B"/>
    <w:rsid w:val="00B87032"/>
    <w:rsid w:val="00B87152"/>
    <w:rsid w:val="00B87396"/>
    <w:rsid w:val="00B8768B"/>
    <w:rsid w:val="00B87CB2"/>
    <w:rsid w:val="00B87E20"/>
    <w:rsid w:val="00B9003D"/>
    <w:rsid w:val="00B90537"/>
    <w:rsid w:val="00B9093D"/>
    <w:rsid w:val="00B909BE"/>
    <w:rsid w:val="00B909CF"/>
    <w:rsid w:val="00B90A00"/>
    <w:rsid w:val="00B90B93"/>
    <w:rsid w:val="00B91523"/>
    <w:rsid w:val="00B91C5C"/>
    <w:rsid w:val="00B91E92"/>
    <w:rsid w:val="00B91FE3"/>
    <w:rsid w:val="00B92309"/>
    <w:rsid w:val="00B92395"/>
    <w:rsid w:val="00B926ED"/>
    <w:rsid w:val="00B93114"/>
    <w:rsid w:val="00B9317C"/>
    <w:rsid w:val="00B93497"/>
    <w:rsid w:val="00B935CF"/>
    <w:rsid w:val="00B93BBB"/>
    <w:rsid w:val="00B9459A"/>
    <w:rsid w:val="00B94E81"/>
    <w:rsid w:val="00B950D0"/>
    <w:rsid w:val="00B95237"/>
    <w:rsid w:val="00B95396"/>
    <w:rsid w:val="00B954ED"/>
    <w:rsid w:val="00B95695"/>
    <w:rsid w:val="00B956B5"/>
    <w:rsid w:val="00B95947"/>
    <w:rsid w:val="00B95DF0"/>
    <w:rsid w:val="00B960BA"/>
    <w:rsid w:val="00B9641A"/>
    <w:rsid w:val="00B966BE"/>
    <w:rsid w:val="00B9679D"/>
    <w:rsid w:val="00B9694D"/>
    <w:rsid w:val="00B96D52"/>
    <w:rsid w:val="00B9706A"/>
    <w:rsid w:val="00B970CC"/>
    <w:rsid w:val="00B9716B"/>
    <w:rsid w:val="00B971EC"/>
    <w:rsid w:val="00B9743B"/>
    <w:rsid w:val="00B97973"/>
    <w:rsid w:val="00B97A20"/>
    <w:rsid w:val="00B97A43"/>
    <w:rsid w:val="00B97B0F"/>
    <w:rsid w:val="00B97B7A"/>
    <w:rsid w:val="00B97BB0"/>
    <w:rsid w:val="00BA0158"/>
    <w:rsid w:val="00BA0485"/>
    <w:rsid w:val="00BA0670"/>
    <w:rsid w:val="00BA095D"/>
    <w:rsid w:val="00BA09E2"/>
    <w:rsid w:val="00BA0AA4"/>
    <w:rsid w:val="00BA0CE2"/>
    <w:rsid w:val="00BA0EEE"/>
    <w:rsid w:val="00BA100E"/>
    <w:rsid w:val="00BA10E1"/>
    <w:rsid w:val="00BA1181"/>
    <w:rsid w:val="00BA14A4"/>
    <w:rsid w:val="00BA1DC9"/>
    <w:rsid w:val="00BA2082"/>
    <w:rsid w:val="00BA2229"/>
    <w:rsid w:val="00BA2501"/>
    <w:rsid w:val="00BA2740"/>
    <w:rsid w:val="00BA29D0"/>
    <w:rsid w:val="00BA2A05"/>
    <w:rsid w:val="00BA2A74"/>
    <w:rsid w:val="00BA315C"/>
    <w:rsid w:val="00BA3840"/>
    <w:rsid w:val="00BA38D3"/>
    <w:rsid w:val="00BA433D"/>
    <w:rsid w:val="00BA45A5"/>
    <w:rsid w:val="00BA4AAA"/>
    <w:rsid w:val="00BA4C7F"/>
    <w:rsid w:val="00BA5832"/>
    <w:rsid w:val="00BA5FDF"/>
    <w:rsid w:val="00BA60E9"/>
    <w:rsid w:val="00BA63E7"/>
    <w:rsid w:val="00BA66B0"/>
    <w:rsid w:val="00BA6806"/>
    <w:rsid w:val="00BA68F4"/>
    <w:rsid w:val="00BA6C5F"/>
    <w:rsid w:val="00BA7188"/>
    <w:rsid w:val="00BA7322"/>
    <w:rsid w:val="00BA73A3"/>
    <w:rsid w:val="00BA76A0"/>
    <w:rsid w:val="00BA7763"/>
    <w:rsid w:val="00BA77E3"/>
    <w:rsid w:val="00BA7889"/>
    <w:rsid w:val="00BA7E48"/>
    <w:rsid w:val="00BB0BD0"/>
    <w:rsid w:val="00BB0D80"/>
    <w:rsid w:val="00BB19E1"/>
    <w:rsid w:val="00BB1E7F"/>
    <w:rsid w:val="00BB1FE3"/>
    <w:rsid w:val="00BB2312"/>
    <w:rsid w:val="00BB2858"/>
    <w:rsid w:val="00BB2E28"/>
    <w:rsid w:val="00BB2F37"/>
    <w:rsid w:val="00BB3314"/>
    <w:rsid w:val="00BB33A5"/>
    <w:rsid w:val="00BB3A91"/>
    <w:rsid w:val="00BB3D18"/>
    <w:rsid w:val="00BB3D8E"/>
    <w:rsid w:val="00BB3F9E"/>
    <w:rsid w:val="00BB4230"/>
    <w:rsid w:val="00BB4A55"/>
    <w:rsid w:val="00BB5014"/>
    <w:rsid w:val="00BB5B87"/>
    <w:rsid w:val="00BB616E"/>
    <w:rsid w:val="00BB67BC"/>
    <w:rsid w:val="00BB6F0F"/>
    <w:rsid w:val="00BB70D1"/>
    <w:rsid w:val="00BB71B6"/>
    <w:rsid w:val="00BB7588"/>
    <w:rsid w:val="00BB783E"/>
    <w:rsid w:val="00BB7B04"/>
    <w:rsid w:val="00BB7C3F"/>
    <w:rsid w:val="00BC023F"/>
    <w:rsid w:val="00BC03B2"/>
    <w:rsid w:val="00BC08C3"/>
    <w:rsid w:val="00BC09CB"/>
    <w:rsid w:val="00BC0A69"/>
    <w:rsid w:val="00BC0B63"/>
    <w:rsid w:val="00BC0C4F"/>
    <w:rsid w:val="00BC1639"/>
    <w:rsid w:val="00BC16B0"/>
    <w:rsid w:val="00BC16BD"/>
    <w:rsid w:val="00BC16C7"/>
    <w:rsid w:val="00BC20EC"/>
    <w:rsid w:val="00BC2303"/>
    <w:rsid w:val="00BC285B"/>
    <w:rsid w:val="00BC28F1"/>
    <w:rsid w:val="00BC2B2F"/>
    <w:rsid w:val="00BC2EA4"/>
    <w:rsid w:val="00BC3451"/>
    <w:rsid w:val="00BC34DA"/>
    <w:rsid w:val="00BC360B"/>
    <w:rsid w:val="00BC3CC7"/>
    <w:rsid w:val="00BC3D99"/>
    <w:rsid w:val="00BC3DB0"/>
    <w:rsid w:val="00BC4298"/>
    <w:rsid w:val="00BC448D"/>
    <w:rsid w:val="00BC4518"/>
    <w:rsid w:val="00BC4A3C"/>
    <w:rsid w:val="00BC4D9C"/>
    <w:rsid w:val="00BC56F4"/>
    <w:rsid w:val="00BC5927"/>
    <w:rsid w:val="00BC5B60"/>
    <w:rsid w:val="00BC60BE"/>
    <w:rsid w:val="00BC6116"/>
    <w:rsid w:val="00BC6347"/>
    <w:rsid w:val="00BC63D4"/>
    <w:rsid w:val="00BC6770"/>
    <w:rsid w:val="00BC7183"/>
    <w:rsid w:val="00BC7661"/>
    <w:rsid w:val="00BC76A0"/>
    <w:rsid w:val="00BC7803"/>
    <w:rsid w:val="00BC7E29"/>
    <w:rsid w:val="00BC7E3A"/>
    <w:rsid w:val="00BD0039"/>
    <w:rsid w:val="00BD025E"/>
    <w:rsid w:val="00BD0628"/>
    <w:rsid w:val="00BD06C1"/>
    <w:rsid w:val="00BD08DE"/>
    <w:rsid w:val="00BD0A1B"/>
    <w:rsid w:val="00BD0BE9"/>
    <w:rsid w:val="00BD0C8C"/>
    <w:rsid w:val="00BD0E12"/>
    <w:rsid w:val="00BD141A"/>
    <w:rsid w:val="00BD1AE8"/>
    <w:rsid w:val="00BD23B3"/>
    <w:rsid w:val="00BD2EE8"/>
    <w:rsid w:val="00BD3032"/>
    <w:rsid w:val="00BD3403"/>
    <w:rsid w:val="00BD34B5"/>
    <w:rsid w:val="00BD3872"/>
    <w:rsid w:val="00BD3A25"/>
    <w:rsid w:val="00BD3C46"/>
    <w:rsid w:val="00BD4324"/>
    <w:rsid w:val="00BD4392"/>
    <w:rsid w:val="00BD43E8"/>
    <w:rsid w:val="00BD45D7"/>
    <w:rsid w:val="00BD4D7B"/>
    <w:rsid w:val="00BD4F1D"/>
    <w:rsid w:val="00BD597A"/>
    <w:rsid w:val="00BD5B86"/>
    <w:rsid w:val="00BD5EBA"/>
    <w:rsid w:val="00BD63AF"/>
    <w:rsid w:val="00BD66E2"/>
    <w:rsid w:val="00BD6738"/>
    <w:rsid w:val="00BD69DF"/>
    <w:rsid w:val="00BD6C4F"/>
    <w:rsid w:val="00BD6DE5"/>
    <w:rsid w:val="00BD71EE"/>
    <w:rsid w:val="00BD7469"/>
    <w:rsid w:val="00BD757A"/>
    <w:rsid w:val="00BD765E"/>
    <w:rsid w:val="00BD79A2"/>
    <w:rsid w:val="00BD7ACF"/>
    <w:rsid w:val="00BD7CDE"/>
    <w:rsid w:val="00BD7DF4"/>
    <w:rsid w:val="00BE016A"/>
    <w:rsid w:val="00BE0402"/>
    <w:rsid w:val="00BE072F"/>
    <w:rsid w:val="00BE1069"/>
    <w:rsid w:val="00BE1157"/>
    <w:rsid w:val="00BE1427"/>
    <w:rsid w:val="00BE20DD"/>
    <w:rsid w:val="00BE23D4"/>
    <w:rsid w:val="00BE2487"/>
    <w:rsid w:val="00BE24B7"/>
    <w:rsid w:val="00BE2532"/>
    <w:rsid w:val="00BE2635"/>
    <w:rsid w:val="00BE2C61"/>
    <w:rsid w:val="00BE2CDA"/>
    <w:rsid w:val="00BE2CFC"/>
    <w:rsid w:val="00BE2EE8"/>
    <w:rsid w:val="00BE2F23"/>
    <w:rsid w:val="00BE3107"/>
    <w:rsid w:val="00BE3C18"/>
    <w:rsid w:val="00BE42B2"/>
    <w:rsid w:val="00BE4DE6"/>
    <w:rsid w:val="00BE4EAD"/>
    <w:rsid w:val="00BE5240"/>
    <w:rsid w:val="00BE525B"/>
    <w:rsid w:val="00BE5290"/>
    <w:rsid w:val="00BE5C97"/>
    <w:rsid w:val="00BE5E1B"/>
    <w:rsid w:val="00BE5E7B"/>
    <w:rsid w:val="00BE617A"/>
    <w:rsid w:val="00BE652A"/>
    <w:rsid w:val="00BE6696"/>
    <w:rsid w:val="00BE70BB"/>
    <w:rsid w:val="00BE71C7"/>
    <w:rsid w:val="00BE7585"/>
    <w:rsid w:val="00BE770E"/>
    <w:rsid w:val="00BE7CE4"/>
    <w:rsid w:val="00BF0112"/>
    <w:rsid w:val="00BF049A"/>
    <w:rsid w:val="00BF0A41"/>
    <w:rsid w:val="00BF0BB3"/>
    <w:rsid w:val="00BF0D45"/>
    <w:rsid w:val="00BF0D50"/>
    <w:rsid w:val="00BF0D6E"/>
    <w:rsid w:val="00BF1068"/>
    <w:rsid w:val="00BF10C0"/>
    <w:rsid w:val="00BF1713"/>
    <w:rsid w:val="00BF17FC"/>
    <w:rsid w:val="00BF1A94"/>
    <w:rsid w:val="00BF1C22"/>
    <w:rsid w:val="00BF1DB2"/>
    <w:rsid w:val="00BF256A"/>
    <w:rsid w:val="00BF2ABC"/>
    <w:rsid w:val="00BF2B53"/>
    <w:rsid w:val="00BF2D9C"/>
    <w:rsid w:val="00BF2DA6"/>
    <w:rsid w:val="00BF3401"/>
    <w:rsid w:val="00BF3595"/>
    <w:rsid w:val="00BF385B"/>
    <w:rsid w:val="00BF3B3B"/>
    <w:rsid w:val="00BF4089"/>
    <w:rsid w:val="00BF43F6"/>
    <w:rsid w:val="00BF44D4"/>
    <w:rsid w:val="00BF4B8F"/>
    <w:rsid w:val="00BF5093"/>
    <w:rsid w:val="00BF50C4"/>
    <w:rsid w:val="00BF5554"/>
    <w:rsid w:val="00BF58F6"/>
    <w:rsid w:val="00BF5932"/>
    <w:rsid w:val="00BF59AA"/>
    <w:rsid w:val="00BF59AC"/>
    <w:rsid w:val="00BF5C3F"/>
    <w:rsid w:val="00BF5E65"/>
    <w:rsid w:val="00BF63B5"/>
    <w:rsid w:val="00BF645A"/>
    <w:rsid w:val="00BF646F"/>
    <w:rsid w:val="00BF65EB"/>
    <w:rsid w:val="00BF6E5F"/>
    <w:rsid w:val="00BF6FF9"/>
    <w:rsid w:val="00BF7780"/>
    <w:rsid w:val="00BF7CC1"/>
    <w:rsid w:val="00BF7ECB"/>
    <w:rsid w:val="00C00108"/>
    <w:rsid w:val="00C002AE"/>
    <w:rsid w:val="00C003D0"/>
    <w:rsid w:val="00C0092A"/>
    <w:rsid w:val="00C00B6D"/>
    <w:rsid w:val="00C00E69"/>
    <w:rsid w:val="00C00F2F"/>
    <w:rsid w:val="00C011D8"/>
    <w:rsid w:val="00C016C3"/>
    <w:rsid w:val="00C0198C"/>
    <w:rsid w:val="00C01A86"/>
    <w:rsid w:val="00C01A94"/>
    <w:rsid w:val="00C01BD8"/>
    <w:rsid w:val="00C01C34"/>
    <w:rsid w:val="00C02020"/>
    <w:rsid w:val="00C02073"/>
    <w:rsid w:val="00C02727"/>
    <w:rsid w:val="00C02BEC"/>
    <w:rsid w:val="00C02C08"/>
    <w:rsid w:val="00C02C39"/>
    <w:rsid w:val="00C02D51"/>
    <w:rsid w:val="00C031A2"/>
    <w:rsid w:val="00C036E3"/>
    <w:rsid w:val="00C03FFD"/>
    <w:rsid w:val="00C0433E"/>
    <w:rsid w:val="00C04891"/>
    <w:rsid w:val="00C04987"/>
    <w:rsid w:val="00C0534F"/>
    <w:rsid w:val="00C054DF"/>
    <w:rsid w:val="00C05537"/>
    <w:rsid w:val="00C05846"/>
    <w:rsid w:val="00C05A5B"/>
    <w:rsid w:val="00C05B01"/>
    <w:rsid w:val="00C05B51"/>
    <w:rsid w:val="00C05BD4"/>
    <w:rsid w:val="00C05CA2"/>
    <w:rsid w:val="00C0606B"/>
    <w:rsid w:val="00C0618C"/>
    <w:rsid w:val="00C06DCB"/>
    <w:rsid w:val="00C06E37"/>
    <w:rsid w:val="00C06F1D"/>
    <w:rsid w:val="00C070CE"/>
    <w:rsid w:val="00C074A2"/>
    <w:rsid w:val="00C07519"/>
    <w:rsid w:val="00C07595"/>
    <w:rsid w:val="00C076AB"/>
    <w:rsid w:val="00C07B2B"/>
    <w:rsid w:val="00C1044D"/>
    <w:rsid w:val="00C11433"/>
    <w:rsid w:val="00C12E41"/>
    <w:rsid w:val="00C13138"/>
    <w:rsid w:val="00C13278"/>
    <w:rsid w:val="00C13C7C"/>
    <w:rsid w:val="00C13DBA"/>
    <w:rsid w:val="00C14079"/>
    <w:rsid w:val="00C14247"/>
    <w:rsid w:val="00C143EA"/>
    <w:rsid w:val="00C1463A"/>
    <w:rsid w:val="00C14847"/>
    <w:rsid w:val="00C148D8"/>
    <w:rsid w:val="00C1490B"/>
    <w:rsid w:val="00C1495D"/>
    <w:rsid w:val="00C14A5D"/>
    <w:rsid w:val="00C14C34"/>
    <w:rsid w:val="00C14E6A"/>
    <w:rsid w:val="00C15699"/>
    <w:rsid w:val="00C15773"/>
    <w:rsid w:val="00C164F0"/>
    <w:rsid w:val="00C1680C"/>
    <w:rsid w:val="00C16C17"/>
    <w:rsid w:val="00C1740E"/>
    <w:rsid w:val="00C17441"/>
    <w:rsid w:val="00C174BE"/>
    <w:rsid w:val="00C176FB"/>
    <w:rsid w:val="00C177C9"/>
    <w:rsid w:val="00C17BBD"/>
    <w:rsid w:val="00C20208"/>
    <w:rsid w:val="00C2089E"/>
    <w:rsid w:val="00C209A2"/>
    <w:rsid w:val="00C20DC9"/>
    <w:rsid w:val="00C20E00"/>
    <w:rsid w:val="00C213FE"/>
    <w:rsid w:val="00C21727"/>
    <w:rsid w:val="00C2179C"/>
    <w:rsid w:val="00C21E28"/>
    <w:rsid w:val="00C229CB"/>
    <w:rsid w:val="00C22BB7"/>
    <w:rsid w:val="00C22BDF"/>
    <w:rsid w:val="00C22C75"/>
    <w:rsid w:val="00C22EB3"/>
    <w:rsid w:val="00C22EEA"/>
    <w:rsid w:val="00C231CE"/>
    <w:rsid w:val="00C233EC"/>
    <w:rsid w:val="00C23AFC"/>
    <w:rsid w:val="00C23E58"/>
    <w:rsid w:val="00C242AF"/>
    <w:rsid w:val="00C2460B"/>
    <w:rsid w:val="00C24898"/>
    <w:rsid w:val="00C24B78"/>
    <w:rsid w:val="00C24D40"/>
    <w:rsid w:val="00C24EFA"/>
    <w:rsid w:val="00C25128"/>
    <w:rsid w:val="00C253AA"/>
    <w:rsid w:val="00C254EB"/>
    <w:rsid w:val="00C254F3"/>
    <w:rsid w:val="00C26068"/>
    <w:rsid w:val="00C262AA"/>
    <w:rsid w:val="00C26AE0"/>
    <w:rsid w:val="00C26BCA"/>
    <w:rsid w:val="00C26EBD"/>
    <w:rsid w:val="00C2706A"/>
    <w:rsid w:val="00C27192"/>
    <w:rsid w:val="00C27264"/>
    <w:rsid w:val="00C27547"/>
    <w:rsid w:val="00C27664"/>
    <w:rsid w:val="00C27B2C"/>
    <w:rsid w:val="00C27C51"/>
    <w:rsid w:val="00C27CB4"/>
    <w:rsid w:val="00C30BCE"/>
    <w:rsid w:val="00C30C6B"/>
    <w:rsid w:val="00C31053"/>
    <w:rsid w:val="00C312E6"/>
    <w:rsid w:val="00C32A72"/>
    <w:rsid w:val="00C32AC2"/>
    <w:rsid w:val="00C339DF"/>
    <w:rsid w:val="00C33E6A"/>
    <w:rsid w:val="00C344C9"/>
    <w:rsid w:val="00C34A98"/>
    <w:rsid w:val="00C34D58"/>
    <w:rsid w:val="00C34DC1"/>
    <w:rsid w:val="00C34F3E"/>
    <w:rsid w:val="00C35224"/>
    <w:rsid w:val="00C3558E"/>
    <w:rsid w:val="00C35967"/>
    <w:rsid w:val="00C35EA0"/>
    <w:rsid w:val="00C36377"/>
    <w:rsid w:val="00C3675C"/>
    <w:rsid w:val="00C36B03"/>
    <w:rsid w:val="00C36F08"/>
    <w:rsid w:val="00C370A6"/>
    <w:rsid w:val="00C37E21"/>
    <w:rsid w:val="00C37E46"/>
    <w:rsid w:val="00C400C1"/>
    <w:rsid w:val="00C40409"/>
    <w:rsid w:val="00C40483"/>
    <w:rsid w:val="00C408A4"/>
    <w:rsid w:val="00C41330"/>
    <w:rsid w:val="00C413F3"/>
    <w:rsid w:val="00C4145D"/>
    <w:rsid w:val="00C41535"/>
    <w:rsid w:val="00C41665"/>
    <w:rsid w:val="00C421C8"/>
    <w:rsid w:val="00C424B6"/>
    <w:rsid w:val="00C42516"/>
    <w:rsid w:val="00C42CC4"/>
    <w:rsid w:val="00C437C1"/>
    <w:rsid w:val="00C437DE"/>
    <w:rsid w:val="00C43B67"/>
    <w:rsid w:val="00C44067"/>
    <w:rsid w:val="00C44153"/>
    <w:rsid w:val="00C44B95"/>
    <w:rsid w:val="00C44D3C"/>
    <w:rsid w:val="00C44F18"/>
    <w:rsid w:val="00C459D1"/>
    <w:rsid w:val="00C45ABB"/>
    <w:rsid w:val="00C45EE9"/>
    <w:rsid w:val="00C46490"/>
    <w:rsid w:val="00C46837"/>
    <w:rsid w:val="00C46A40"/>
    <w:rsid w:val="00C46F18"/>
    <w:rsid w:val="00C4705C"/>
    <w:rsid w:val="00C475A5"/>
    <w:rsid w:val="00C478D6"/>
    <w:rsid w:val="00C47CD4"/>
    <w:rsid w:val="00C500C4"/>
    <w:rsid w:val="00C50120"/>
    <w:rsid w:val="00C50368"/>
    <w:rsid w:val="00C509E3"/>
    <w:rsid w:val="00C50D21"/>
    <w:rsid w:val="00C50DA9"/>
    <w:rsid w:val="00C50E46"/>
    <w:rsid w:val="00C51D48"/>
    <w:rsid w:val="00C5222B"/>
    <w:rsid w:val="00C5225E"/>
    <w:rsid w:val="00C52965"/>
    <w:rsid w:val="00C52D49"/>
    <w:rsid w:val="00C52DB0"/>
    <w:rsid w:val="00C52DCC"/>
    <w:rsid w:val="00C534B7"/>
    <w:rsid w:val="00C5354F"/>
    <w:rsid w:val="00C53D4C"/>
    <w:rsid w:val="00C540C8"/>
    <w:rsid w:val="00C542AF"/>
    <w:rsid w:val="00C54524"/>
    <w:rsid w:val="00C5463D"/>
    <w:rsid w:val="00C54A2C"/>
    <w:rsid w:val="00C54AD2"/>
    <w:rsid w:val="00C54C22"/>
    <w:rsid w:val="00C54D86"/>
    <w:rsid w:val="00C54EAB"/>
    <w:rsid w:val="00C550AB"/>
    <w:rsid w:val="00C5514F"/>
    <w:rsid w:val="00C551C2"/>
    <w:rsid w:val="00C5562A"/>
    <w:rsid w:val="00C55ACE"/>
    <w:rsid w:val="00C5600D"/>
    <w:rsid w:val="00C56353"/>
    <w:rsid w:val="00C5636A"/>
    <w:rsid w:val="00C57151"/>
    <w:rsid w:val="00C571B7"/>
    <w:rsid w:val="00C57567"/>
    <w:rsid w:val="00C578C8"/>
    <w:rsid w:val="00C57919"/>
    <w:rsid w:val="00C57B9B"/>
    <w:rsid w:val="00C57CB6"/>
    <w:rsid w:val="00C604FA"/>
    <w:rsid w:val="00C605E3"/>
    <w:rsid w:val="00C6066A"/>
    <w:rsid w:val="00C61126"/>
    <w:rsid w:val="00C6167B"/>
    <w:rsid w:val="00C6177E"/>
    <w:rsid w:val="00C61868"/>
    <w:rsid w:val="00C6187E"/>
    <w:rsid w:val="00C618C0"/>
    <w:rsid w:val="00C61AE3"/>
    <w:rsid w:val="00C61B17"/>
    <w:rsid w:val="00C61B93"/>
    <w:rsid w:val="00C62043"/>
    <w:rsid w:val="00C62373"/>
    <w:rsid w:val="00C62508"/>
    <w:rsid w:val="00C62A28"/>
    <w:rsid w:val="00C62BEE"/>
    <w:rsid w:val="00C62D50"/>
    <w:rsid w:val="00C630E5"/>
    <w:rsid w:val="00C6335C"/>
    <w:rsid w:val="00C63481"/>
    <w:rsid w:val="00C63550"/>
    <w:rsid w:val="00C63656"/>
    <w:rsid w:val="00C6405D"/>
    <w:rsid w:val="00C642CF"/>
    <w:rsid w:val="00C644E1"/>
    <w:rsid w:val="00C655C7"/>
    <w:rsid w:val="00C65C4F"/>
    <w:rsid w:val="00C66450"/>
    <w:rsid w:val="00C66584"/>
    <w:rsid w:val="00C665FC"/>
    <w:rsid w:val="00C666F8"/>
    <w:rsid w:val="00C6682B"/>
    <w:rsid w:val="00C67025"/>
    <w:rsid w:val="00C67147"/>
    <w:rsid w:val="00C67734"/>
    <w:rsid w:val="00C67B25"/>
    <w:rsid w:val="00C7029E"/>
    <w:rsid w:val="00C70570"/>
    <w:rsid w:val="00C712D1"/>
    <w:rsid w:val="00C713F3"/>
    <w:rsid w:val="00C721A0"/>
    <w:rsid w:val="00C721FA"/>
    <w:rsid w:val="00C724ED"/>
    <w:rsid w:val="00C72944"/>
    <w:rsid w:val="00C72A5F"/>
    <w:rsid w:val="00C72C6E"/>
    <w:rsid w:val="00C730FA"/>
    <w:rsid w:val="00C737E0"/>
    <w:rsid w:val="00C73916"/>
    <w:rsid w:val="00C73999"/>
    <w:rsid w:val="00C73E3A"/>
    <w:rsid w:val="00C73F88"/>
    <w:rsid w:val="00C73FA9"/>
    <w:rsid w:val="00C744C1"/>
    <w:rsid w:val="00C7497D"/>
    <w:rsid w:val="00C74A48"/>
    <w:rsid w:val="00C74B05"/>
    <w:rsid w:val="00C74B60"/>
    <w:rsid w:val="00C74F18"/>
    <w:rsid w:val="00C7516A"/>
    <w:rsid w:val="00C7570B"/>
    <w:rsid w:val="00C759EC"/>
    <w:rsid w:val="00C765E1"/>
    <w:rsid w:val="00C77B08"/>
    <w:rsid w:val="00C77C9A"/>
    <w:rsid w:val="00C77CDB"/>
    <w:rsid w:val="00C802EA"/>
    <w:rsid w:val="00C80777"/>
    <w:rsid w:val="00C81966"/>
    <w:rsid w:val="00C81D65"/>
    <w:rsid w:val="00C8215F"/>
    <w:rsid w:val="00C82551"/>
    <w:rsid w:val="00C825ED"/>
    <w:rsid w:val="00C8270C"/>
    <w:rsid w:val="00C82987"/>
    <w:rsid w:val="00C82B94"/>
    <w:rsid w:val="00C83149"/>
    <w:rsid w:val="00C83601"/>
    <w:rsid w:val="00C8379C"/>
    <w:rsid w:val="00C837D2"/>
    <w:rsid w:val="00C83880"/>
    <w:rsid w:val="00C83C6B"/>
    <w:rsid w:val="00C83CE6"/>
    <w:rsid w:val="00C83E5D"/>
    <w:rsid w:val="00C844C6"/>
    <w:rsid w:val="00C84555"/>
    <w:rsid w:val="00C84641"/>
    <w:rsid w:val="00C848B6"/>
    <w:rsid w:val="00C84E7A"/>
    <w:rsid w:val="00C84EF7"/>
    <w:rsid w:val="00C853DC"/>
    <w:rsid w:val="00C859BD"/>
    <w:rsid w:val="00C85C55"/>
    <w:rsid w:val="00C85C61"/>
    <w:rsid w:val="00C85C9D"/>
    <w:rsid w:val="00C85D57"/>
    <w:rsid w:val="00C8674F"/>
    <w:rsid w:val="00C86AE9"/>
    <w:rsid w:val="00C873FC"/>
    <w:rsid w:val="00C8769F"/>
    <w:rsid w:val="00C879E4"/>
    <w:rsid w:val="00C87AB5"/>
    <w:rsid w:val="00C87FD5"/>
    <w:rsid w:val="00C902ED"/>
    <w:rsid w:val="00C903F8"/>
    <w:rsid w:val="00C907C4"/>
    <w:rsid w:val="00C9091D"/>
    <w:rsid w:val="00C90B31"/>
    <w:rsid w:val="00C919D5"/>
    <w:rsid w:val="00C921E5"/>
    <w:rsid w:val="00C92684"/>
    <w:rsid w:val="00C92875"/>
    <w:rsid w:val="00C92BD2"/>
    <w:rsid w:val="00C931D2"/>
    <w:rsid w:val="00C937B2"/>
    <w:rsid w:val="00C938ED"/>
    <w:rsid w:val="00C9395E"/>
    <w:rsid w:val="00C93CC8"/>
    <w:rsid w:val="00C93EB8"/>
    <w:rsid w:val="00C94B4A"/>
    <w:rsid w:val="00C94F92"/>
    <w:rsid w:val="00C952DA"/>
    <w:rsid w:val="00C95441"/>
    <w:rsid w:val="00C954A6"/>
    <w:rsid w:val="00C95A6C"/>
    <w:rsid w:val="00C9621E"/>
    <w:rsid w:val="00C96417"/>
    <w:rsid w:val="00C966C2"/>
    <w:rsid w:val="00C96F0E"/>
    <w:rsid w:val="00C970BC"/>
    <w:rsid w:val="00C973E6"/>
    <w:rsid w:val="00C976E7"/>
    <w:rsid w:val="00C97869"/>
    <w:rsid w:val="00C97ED5"/>
    <w:rsid w:val="00C97F3C"/>
    <w:rsid w:val="00CA0576"/>
    <w:rsid w:val="00CA0C51"/>
    <w:rsid w:val="00CA0E41"/>
    <w:rsid w:val="00CA1385"/>
    <w:rsid w:val="00CA1751"/>
    <w:rsid w:val="00CA1950"/>
    <w:rsid w:val="00CA1BCB"/>
    <w:rsid w:val="00CA1C2E"/>
    <w:rsid w:val="00CA1EC5"/>
    <w:rsid w:val="00CA268F"/>
    <w:rsid w:val="00CA2865"/>
    <w:rsid w:val="00CA2BD2"/>
    <w:rsid w:val="00CA304A"/>
    <w:rsid w:val="00CA33AE"/>
    <w:rsid w:val="00CA3576"/>
    <w:rsid w:val="00CA362A"/>
    <w:rsid w:val="00CA3864"/>
    <w:rsid w:val="00CA3A17"/>
    <w:rsid w:val="00CA3C58"/>
    <w:rsid w:val="00CA40AB"/>
    <w:rsid w:val="00CA4A61"/>
    <w:rsid w:val="00CA4B6E"/>
    <w:rsid w:val="00CA53F7"/>
    <w:rsid w:val="00CA55B5"/>
    <w:rsid w:val="00CA5734"/>
    <w:rsid w:val="00CA5DDD"/>
    <w:rsid w:val="00CA6121"/>
    <w:rsid w:val="00CA6E56"/>
    <w:rsid w:val="00CA7013"/>
    <w:rsid w:val="00CA7493"/>
    <w:rsid w:val="00CA774C"/>
    <w:rsid w:val="00CA78F4"/>
    <w:rsid w:val="00CA7A43"/>
    <w:rsid w:val="00CA7A6A"/>
    <w:rsid w:val="00CB018F"/>
    <w:rsid w:val="00CB01C2"/>
    <w:rsid w:val="00CB03D0"/>
    <w:rsid w:val="00CB0A34"/>
    <w:rsid w:val="00CB0CEC"/>
    <w:rsid w:val="00CB1419"/>
    <w:rsid w:val="00CB1454"/>
    <w:rsid w:val="00CB14D1"/>
    <w:rsid w:val="00CB18D1"/>
    <w:rsid w:val="00CB1C9C"/>
    <w:rsid w:val="00CB1DFB"/>
    <w:rsid w:val="00CB1FE8"/>
    <w:rsid w:val="00CB2603"/>
    <w:rsid w:val="00CB27CB"/>
    <w:rsid w:val="00CB2A36"/>
    <w:rsid w:val="00CB2AB9"/>
    <w:rsid w:val="00CB3288"/>
    <w:rsid w:val="00CB331B"/>
    <w:rsid w:val="00CB3859"/>
    <w:rsid w:val="00CB39DE"/>
    <w:rsid w:val="00CB3D7F"/>
    <w:rsid w:val="00CB4247"/>
    <w:rsid w:val="00CB42C8"/>
    <w:rsid w:val="00CB4403"/>
    <w:rsid w:val="00CB4543"/>
    <w:rsid w:val="00CB46B8"/>
    <w:rsid w:val="00CB46D6"/>
    <w:rsid w:val="00CB5173"/>
    <w:rsid w:val="00CB5BEA"/>
    <w:rsid w:val="00CB6B47"/>
    <w:rsid w:val="00CB6C78"/>
    <w:rsid w:val="00CB6F16"/>
    <w:rsid w:val="00CB768E"/>
    <w:rsid w:val="00CB7895"/>
    <w:rsid w:val="00CC01F3"/>
    <w:rsid w:val="00CC027D"/>
    <w:rsid w:val="00CC0987"/>
    <w:rsid w:val="00CC0E1B"/>
    <w:rsid w:val="00CC0F95"/>
    <w:rsid w:val="00CC1247"/>
    <w:rsid w:val="00CC14C0"/>
    <w:rsid w:val="00CC1522"/>
    <w:rsid w:val="00CC1549"/>
    <w:rsid w:val="00CC1925"/>
    <w:rsid w:val="00CC1FBB"/>
    <w:rsid w:val="00CC2054"/>
    <w:rsid w:val="00CC2164"/>
    <w:rsid w:val="00CC2259"/>
    <w:rsid w:val="00CC24C3"/>
    <w:rsid w:val="00CC25DA"/>
    <w:rsid w:val="00CC29CD"/>
    <w:rsid w:val="00CC355E"/>
    <w:rsid w:val="00CC35CE"/>
    <w:rsid w:val="00CC36DF"/>
    <w:rsid w:val="00CC3810"/>
    <w:rsid w:val="00CC4204"/>
    <w:rsid w:val="00CC429F"/>
    <w:rsid w:val="00CC4330"/>
    <w:rsid w:val="00CC44BC"/>
    <w:rsid w:val="00CC45E9"/>
    <w:rsid w:val="00CC4866"/>
    <w:rsid w:val="00CC4A73"/>
    <w:rsid w:val="00CC4AC3"/>
    <w:rsid w:val="00CC4B97"/>
    <w:rsid w:val="00CC4FFD"/>
    <w:rsid w:val="00CC53A2"/>
    <w:rsid w:val="00CC5526"/>
    <w:rsid w:val="00CC5688"/>
    <w:rsid w:val="00CC5991"/>
    <w:rsid w:val="00CC5A31"/>
    <w:rsid w:val="00CC5C27"/>
    <w:rsid w:val="00CC5CCF"/>
    <w:rsid w:val="00CC6361"/>
    <w:rsid w:val="00CC63E4"/>
    <w:rsid w:val="00CC6538"/>
    <w:rsid w:val="00CC6BC0"/>
    <w:rsid w:val="00CC6DA6"/>
    <w:rsid w:val="00CC6FA1"/>
    <w:rsid w:val="00CC739E"/>
    <w:rsid w:val="00CC7C25"/>
    <w:rsid w:val="00CC7D66"/>
    <w:rsid w:val="00CD00A1"/>
    <w:rsid w:val="00CD00A7"/>
    <w:rsid w:val="00CD02EF"/>
    <w:rsid w:val="00CD0394"/>
    <w:rsid w:val="00CD0CE0"/>
    <w:rsid w:val="00CD0DB8"/>
    <w:rsid w:val="00CD0EC4"/>
    <w:rsid w:val="00CD106F"/>
    <w:rsid w:val="00CD113F"/>
    <w:rsid w:val="00CD133D"/>
    <w:rsid w:val="00CD1340"/>
    <w:rsid w:val="00CD1365"/>
    <w:rsid w:val="00CD141F"/>
    <w:rsid w:val="00CD198F"/>
    <w:rsid w:val="00CD1B4B"/>
    <w:rsid w:val="00CD1CE4"/>
    <w:rsid w:val="00CD20A1"/>
    <w:rsid w:val="00CD247D"/>
    <w:rsid w:val="00CD2949"/>
    <w:rsid w:val="00CD2A33"/>
    <w:rsid w:val="00CD2A3A"/>
    <w:rsid w:val="00CD301B"/>
    <w:rsid w:val="00CD31B8"/>
    <w:rsid w:val="00CD3388"/>
    <w:rsid w:val="00CD35C5"/>
    <w:rsid w:val="00CD383A"/>
    <w:rsid w:val="00CD443F"/>
    <w:rsid w:val="00CD4A21"/>
    <w:rsid w:val="00CD50A3"/>
    <w:rsid w:val="00CD5388"/>
    <w:rsid w:val="00CD55EC"/>
    <w:rsid w:val="00CD560B"/>
    <w:rsid w:val="00CD5920"/>
    <w:rsid w:val="00CD5AE1"/>
    <w:rsid w:val="00CD61F5"/>
    <w:rsid w:val="00CD654F"/>
    <w:rsid w:val="00CD6561"/>
    <w:rsid w:val="00CD662F"/>
    <w:rsid w:val="00CD6D4A"/>
    <w:rsid w:val="00CD6EB2"/>
    <w:rsid w:val="00CE0061"/>
    <w:rsid w:val="00CE0305"/>
    <w:rsid w:val="00CE03AA"/>
    <w:rsid w:val="00CE063B"/>
    <w:rsid w:val="00CE0706"/>
    <w:rsid w:val="00CE0D3A"/>
    <w:rsid w:val="00CE0DBE"/>
    <w:rsid w:val="00CE1134"/>
    <w:rsid w:val="00CE138A"/>
    <w:rsid w:val="00CE1A31"/>
    <w:rsid w:val="00CE1C86"/>
    <w:rsid w:val="00CE1CF7"/>
    <w:rsid w:val="00CE1E4F"/>
    <w:rsid w:val="00CE2399"/>
    <w:rsid w:val="00CE26A4"/>
    <w:rsid w:val="00CE2836"/>
    <w:rsid w:val="00CE2A05"/>
    <w:rsid w:val="00CE2B61"/>
    <w:rsid w:val="00CE2F3F"/>
    <w:rsid w:val="00CE3053"/>
    <w:rsid w:val="00CE30CC"/>
    <w:rsid w:val="00CE3237"/>
    <w:rsid w:val="00CE3251"/>
    <w:rsid w:val="00CE3516"/>
    <w:rsid w:val="00CE374D"/>
    <w:rsid w:val="00CE39BD"/>
    <w:rsid w:val="00CE3A5B"/>
    <w:rsid w:val="00CE3D38"/>
    <w:rsid w:val="00CE3DCA"/>
    <w:rsid w:val="00CE3F9F"/>
    <w:rsid w:val="00CE405E"/>
    <w:rsid w:val="00CE40CE"/>
    <w:rsid w:val="00CE43AF"/>
    <w:rsid w:val="00CE452F"/>
    <w:rsid w:val="00CE48B5"/>
    <w:rsid w:val="00CE48E3"/>
    <w:rsid w:val="00CE497A"/>
    <w:rsid w:val="00CE4B6B"/>
    <w:rsid w:val="00CE568C"/>
    <w:rsid w:val="00CE5B45"/>
    <w:rsid w:val="00CE6131"/>
    <w:rsid w:val="00CE61D2"/>
    <w:rsid w:val="00CE62F2"/>
    <w:rsid w:val="00CE6326"/>
    <w:rsid w:val="00CE7004"/>
    <w:rsid w:val="00CE73C5"/>
    <w:rsid w:val="00CE7DDB"/>
    <w:rsid w:val="00CF0623"/>
    <w:rsid w:val="00CF0B6E"/>
    <w:rsid w:val="00CF100F"/>
    <w:rsid w:val="00CF10FA"/>
    <w:rsid w:val="00CF13C9"/>
    <w:rsid w:val="00CF1758"/>
    <w:rsid w:val="00CF1ADF"/>
    <w:rsid w:val="00CF1F00"/>
    <w:rsid w:val="00CF1F97"/>
    <w:rsid w:val="00CF2038"/>
    <w:rsid w:val="00CF209B"/>
    <w:rsid w:val="00CF2255"/>
    <w:rsid w:val="00CF2369"/>
    <w:rsid w:val="00CF24C2"/>
    <w:rsid w:val="00CF2764"/>
    <w:rsid w:val="00CF2A14"/>
    <w:rsid w:val="00CF2E48"/>
    <w:rsid w:val="00CF356B"/>
    <w:rsid w:val="00CF3B92"/>
    <w:rsid w:val="00CF3D83"/>
    <w:rsid w:val="00CF3E80"/>
    <w:rsid w:val="00CF4279"/>
    <w:rsid w:val="00CF42AA"/>
    <w:rsid w:val="00CF4561"/>
    <w:rsid w:val="00CF4770"/>
    <w:rsid w:val="00CF487B"/>
    <w:rsid w:val="00CF4993"/>
    <w:rsid w:val="00CF4CA9"/>
    <w:rsid w:val="00CF522B"/>
    <w:rsid w:val="00CF551E"/>
    <w:rsid w:val="00CF5736"/>
    <w:rsid w:val="00CF59A6"/>
    <w:rsid w:val="00CF5E0F"/>
    <w:rsid w:val="00CF5F7D"/>
    <w:rsid w:val="00CF62B7"/>
    <w:rsid w:val="00CF6627"/>
    <w:rsid w:val="00CF6849"/>
    <w:rsid w:val="00CF69D4"/>
    <w:rsid w:val="00CF6BAA"/>
    <w:rsid w:val="00CF6C20"/>
    <w:rsid w:val="00CF6DA5"/>
    <w:rsid w:val="00CF7062"/>
    <w:rsid w:val="00CF71BD"/>
    <w:rsid w:val="00CF7942"/>
    <w:rsid w:val="00CF7DCD"/>
    <w:rsid w:val="00CF7FDC"/>
    <w:rsid w:val="00D000CB"/>
    <w:rsid w:val="00D00399"/>
    <w:rsid w:val="00D005FD"/>
    <w:rsid w:val="00D009EE"/>
    <w:rsid w:val="00D00F4D"/>
    <w:rsid w:val="00D01002"/>
    <w:rsid w:val="00D0147F"/>
    <w:rsid w:val="00D01C46"/>
    <w:rsid w:val="00D02621"/>
    <w:rsid w:val="00D02790"/>
    <w:rsid w:val="00D027F6"/>
    <w:rsid w:val="00D02862"/>
    <w:rsid w:val="00D03A68"/>
    <w:rsid w:val="00D043A7"/>
    <w:rsid w:val="00D046E1"/>
    <w:rsid w:val="00D04DAD"/>
    <w:rsid w:val="00D051D4"/>
    <w:rsid w:val="00D052FA"/>
    <w:rsid w:val="00D054A0"/>
    <w:rsid w:val="00D0580E"/>
    <w:rsid w:val="00D0583D"/>
    <w:rsid w:val="00D05863"/>
    <w:rsid w:val="00D06871"/>
    <w:rsid w:val="00D06933"/>
    <w:rsid w:val="00D072B8"/>
    <w:rsid w:val="00D077EE"/>
    <w:rsid w:val="00D07B4A"/>
    <w:rsid w:val="00D07E30"/>
    <w:rsid w:val="00D07FF8"/>
    <w:rsid w:val="00D1009D"/>
    <w:rsid w:val="00D101D1"/>
    <w:rsid w:val="00D1061F"/>
    <w:rsid w:val="00D10648"/>
    <w:rsid w:val="00D11A51"/>
    <w:rsid w:val="00D11D85"/>
    <w:rsid w:val="00D11F9D"/>
    <w:rsid w:val="00D12BC4"/>
    <w:rsid w:val="00D13297"/>
    <w:rsid w:val="00D13599"/>
    <w:rsid w:val="00D1381D"/>
    <w:rsid w:val="00D13D31"/>
    <w:rsid w:val="00D13E0E"/>
    <w:rsid w:val="00D14634"/>
    <w:rsid w:val="00D14F2B"/>
    <w:rsid w:val="00D15054"/>
    <w:rsid w:val="00D16587"/>
    <w:rsid w:val="00D16E53"/>
    <w:rsid w:val="00D16F51"/>
    <w:rsid w:val="00D170C0"/>
    <w:rsid w:val="00D17392"/>
    <w:rsid w:val="00D176CA"/>
    <w:rsid w:val="00D17794"/>
    <w:rsid w:val="00D179C2"/>
    <w:rsid w:val="00D17D4D"/>
    <w:rsid w:val="00D20479"/>
    <w:rsid w:val="00D204E2"/>
    <w:rsid w:val="00D2096E"/>
    <w:rsid w:val="00D20B0A"/>
    <w:rsid w:val="00D20B98"/>
    <w:rsid w:val="00D20C4F"/>
    <w:rsid w:val="00D20DA6"/>
    <w:rsid w:val="00D211C2"/>
    <w:rsid w:val="00D2125E"/>
    <w:rsid w:val="00D21324"/>
    <w:rsid w:val="00D21619"/>
    <w:rsid w:val="00D218DC"/>
    <w:rsid w:val="00D21A9A"/>
    <w:rsid w:val="00D22520"/>
    <w:rsid w:val="00D229DB"/>
    <w:rsid w:val="00D22BB7"/>
    <w:rsid w:val="00D22F40"/>
    <w:rsid w:val="00D2321E"/>
    <w:rsid w:val="00D23416"/>
    <w:rsid w:val="00D23532"/>
    <w:rsid w:val="00D247BB"/>
    <w:rsid w:val="00D2492E"/>
    <w:rsid w:val="00D24A21"/>
    <w:rsid w:val="00D24BFE"/>
    <w:rsid w:val="00D254D7"/>
    <w:rsid w:val="00D255D3"/>
    <w:rsid w:val="00D25730"/>
    <w:rsid w:val="00D25844"/>
    <w:rsid w:val="00D2598D"/>
    <w:rsid w:val="00D2603A"/>
    <w:rsid w:val="00D2653E"/>
    <w:rsid w:val="00D26CF4"/>
    <w:rsid w:val="00D274CA"/>
    <w:rsid w:val="00D275BC"/>
    <w:rsid w:val="00D27B3D"/>
    <w:rsid w:val="00D27E41"/>
    <w:rsid w:val="00D30164"/>
    <w:rsid w:val="00D302B4"/>
    <w:rsid w:val="00D30332"/>
    <w:rsid w:val="00D3087C"/>
    <w:rsid w:val="00D30A6C"/>
    <w:rsid w:val="00D30A86"/>
    <w:rsid w:val="00D30C93"/>
    <w:rsid w:val="00D30D61"/>
    <w:rsid w:val="00D30DE8"/>
    <w:rsid w:val="00D316AC"/>
    <w:rsid w:val="00D316B8"/>
    <w:rsid w:val="00D321F1"/>
    <w:rsid w:val="00D322B5"/>
    <w:rsid w:val="00D3282D"/>
    <w:rsid w:val="00D329B3"/>
    <w:rsid w:val="00D332DC"/>
    <w:rsid w:val="00D33F1C"/>
    <w:rsid w:val="00D34328"/>
    <w:rsid w:val="00D3445C"/>
    <w:rsid w:val="00D344AC"/>
    <w:rsid w:val="00D34747"/>
    <w:rsid w:val="00D3488C"/>
    <w:rsid w:val="00D34AD6"/>
    <w:rsid w:val="00D34CC9"/>
    <w:rsid w:val="00D34E4E"/>
    <w:rsid w:val="00D35987"/>
    <w:rsid w:val="00D35E51"/>
    <w:rsid w:val="00D36443"/>
    <w:rsid w:val="00D3676F"/>
    <w:rsid w:val="00D368D7"/>
    <w:rsid w:val="00D36EE5"/>
    <w:rsid w:val="00D3729F"/>
    <w:rsid w:val="00D3755E"/>
    <w:rsid w:val="00D376CF"/>
    <w:rsid w:val="00D37BA3"/>
    <w:rsid w:val="00D403DC"/>
    <w:rsid w:val="00D40811"/>
    <w:rsid w:val="00D40937"/>
    <w:rsid w:val="00D41075"/>
    <w:rsid w:val="00D414A0"/>
    <w:rsid w:val="00D419A6"/>
    <w:rsid w:val="00D419A8"/>
    <w:rsid w:val="00D419E8"/>
    <w:rsid w:val="00D4240B"/>
    <w:rsid w:val="00D42669"/>
    <w:rsid w:val="00D429D9"/>
    <w:rsid w:val="00D429FA"/>
    <w:rsid w:val="00D4337E"/>
    <w:rsid w:val="00D43752"/>
    <w:rsid w:val="00D438AB"/>
    <w:rsid w:val="00D43E13"/>
    <w:rsid w:val="00D44205"/>
    <w:rsid w:val="00D44728"/>
    <w:rsid w:val="00D44983"/>
    <w:rsid w:val="00D44B4B"/>
    <w:rsid w:val="00D45040"/>
    <w:rsid w:val="00D45247"/>
    <w:rsid w:val="00D4534D"/>
    <w:rsid w:val="00D45451"/>
    <w:rsid w:val="00D457E6"/>
    <w:rsid w:val="00D45887"/>
    <w:rsid w:val="00D45924"/>
    <w:rsid w:val="00D459D2"/>
    <w:rsid w:val="00D459D7"/>
    <w:rsid w:val="00D45DE6"/>
    <w:rsid w:val="00D46454"/>
    <w:rsid w:val="00D46600"/>
    <w:rsid w:val="00D46792"/>
    <w:rsid w:val="00D46984"/>
    <w:rsid w:val="00D46E5B"/>
    <w:rsid w:val="00D47C81"/>
    <w:rsid w:val="00D47F6F"/>
    <w:rsid w:val="00D50033"/>
    <w:rsid w:val="00D5049C"/>
    <w:rsid w:val="00D506A8"/>
    <w:rsid w:val="00D5095D"/>
    <w:rsid w:val="00D50C1A"/>
    <w:rsid w:val="00D51439"/>
    <w:rsid w:val="00D518F9"/>
    <w:rsid w:val="00D51D54"/>
    <w:rsid w:val="00D521A8"/>
    <w:rsid w:val="00D521F3"/>
    <w:rsid w:val="00D52261"/>
    <w:rsid w:val="00D5230C"/>
    <w:rsid w:val="00D5235E"/>
    <w:rsid w:val="00D52926"/>
    <w:rsid w:val="00D52D51"/>
    <w:rsid w:val="00D52D73"/>
    <w:rsid w:val="00D52D91"/>
    <w:rsid w:val="00D52DC1"/>
    <w:rsid w:val="00D532ED"/>
    <w:rsid w:val="00D5339E"/>
    <w:rsid w:val="00D5367C"/>
    <w:rsid w:val="00D536C0"/>
    <w:rsid w:val="00D542D3"/>
    <w:rsid w:val="00D54B41"/>
    <w:rsid w:val="00D55741"/>
    <w:rsid w:val="00D5588A"/>
    <w:rsid w:val="00D558AF"/>
    <w:rsid w:val="00D5594C"/>
    <w:rsid w:val="00D55E4A"/>
    <w:rsid w:val="00D5626C"/>
    <w:rsid w:val="00D56864"/>
    <w:rsid w:val="00D56A89"/>
    <w:rsid w:val="00D56CBB"/>
    <w:rsid w:val="00D56DFA"/>
    <w:rsid w:val="00D571C8"/>
    <w:rsid w:val="00D5731E"/>
    <w:rsid w:val="00D573F9"/>
    <w:rsid w:val="00D574C5"/>
    <w:rsid w:val="00D57520"/>
    <w:rsid w:val="00D576C6"/>
    <w:rsid w:val="00D57996"/>
    <w:rsid w:val="00D57A92"/>
    <w:rsid w:val="00D57DE4"/>
    <w:rsid w:val="00D57F76"/>
    <w:rsid w:val="00D60540"/>
    <w:rsid w:val="00D605FD"/>
    <w:rsid w:val="00D6066E"/>
    <w:rsid w:val="00D60846"/>
    <w:rsid w:val="00D60AE2"/>
    <w:rsid w:val="00D60B65"/>
    <w:rsid w:val="00D60B85"/>
    <w:rsid w:val="00D60FA9"/>
    <w:rsid w:val="00D61E66"/>
    <w:rsid w:val="00D61ED3"/>
    <w:rsid w:val="00D61F75"/>
    <w:rsid w:val="00D62161"/>
    <w:rsid w:val="00D6286A"/>
    <w:rsid w:val="00D62BAE"/>
    <w:rsid w:val="00D62CDF"/>
    <w:rsid w:val="00D633A2"/>
    <w:rsid w:val="00D634CA"/>
    <w:rsid w:val="00D639C2"/>
    <w:rsid w:val="00D63DBF"/>
    <w:rsid w:val="00D64000"/>
    <w:rsid w:val="00D643F4"/>
    <w:rsid w:val="00D6489E"/>
    <w:rsid w:val="00D64CB1"/>
    <w:rsid w:val="00D64CC6"/>
    <w:rsid w:val="00D653B7"/>
    <w:rsid w:val="00D6565A"/>
    <w:rsid w:val="00D656E8"/>
    <w:rsid w:val="00D6597F"/>
    <w:rsid w:val="00D65A3B"/>
    <w:rsid w:val="00D65CE7"/>
    <w:rsid w:val="00D65DE5"/>
    <w:rsid w:val="00D65E25"/>
    <w:rsid w:val="00D6676A"/>
    <w:rsid w:val="00D66948"/>
    <w:rsid w:val="00D66A8B"/>
    <w:rsid w:val="00D67939"/>
    <w:rsid w:val="00D679A1"/>
    <w:rsid w:val="00D67BAD"/>
    <w:rsid w:val="00D67D99"/>
    <w:rsid w:val="00D700DA"/>
    <w:rsid w:val="00D70786"/>
    <w:rsid w:val="00D70810"/>
    <w:rsid w:val="00D70B8E"/>
    <w:rsid w:val="00D70C22"/>
    <w:rsid w:val="00D71162"/>
    <w:rsid w:val="00D713FE"/>
    <w:rsid w:val="00D7148B"/>
    <w:rsid w:val="00D71A82"/>
    <w:rsid w:val="00D71ADA"/>
    <w:rsid w:val="00D71B1A"/>
    <w:rsid w:val="00D71D2E"/>
    <w:rsid w:val="00D722F5"/>
    <w:rsid w:val="00D7241E"/>
    <w:rsid w:val="00D72929"/>
    <w:rsid w:val="00D72BD5"/>
    <w:rsid w:val="00D72FDB"/>
    <w:rsid w:val="00D737E9"/>
    <w:rsid w:val="00D73B1D"/>
    <w:rsid w:val="00D73B7C"/>
    <w:rsid w:val="00D73B97"/>
    <w:rsid w:val="00D73D9A"/>
    <w:rsid w:val="00D73ECD"/>
    <w:rsid w:val="00D740C8"/>
    <w:rsid w:val="00D74433"/>
    <w:rsid w:val="00D747B0"/>
    <w:rsid w:val="00D74996"/>
    <w:rsid w:val="00D74B16"/>
    <w:rsid w:val="00D74CCE"/>
    <w:rsid w:val="00D74DA5"/>
    <w:rsid w:val="00D750D4"/>
    <w:rsid w:val="00D75311"/>
    <w:rsid w:val="00D76745"/>
    <w:rsid w:val="00D767D6"/>
    <w:rsid w:val="00D76890"/>
    <w:rsid w:val="00D77147"/>
    <w:rsid w:val="00D7729F"/>
    <w:rsid w:val="00D77980"/>
    <w:rsid w:val="00D779DB"/>
    <w:rsid w:val="00D8052A"/>
    <w:rsid w:val="00D80B34"/>
    <w:rsid w:val="00D80E10"/>
    <w:rsid w:val="00D81545"/>
    <w:rsid w:val="00D816F5"/>
    <w:rsid w:val="00D81AF6"/>
    <w:rsid w:val="00D81C05"/>
    <w:rsid w:val="00D81C80"/>
    <w:rsid w:val="00D81FCA"/>
    <w:rsid w:val="00D824AD"/>
    <w:rsid w:val="00D82785"/>
    <w:rsid w:val="00D82AB5"/>
    <w:rsid w:val="00D8318D"/>
    <w:rsid w:val="00D8342A"/>
    <w:rsid w:val="00D83736"/>
    <w:rsid w:val="00D83744"/>
    <w:rsid w:val="00D83801"/>
    <w:rsid w:val="00D839C9"/>
    <w:rsid w:val="00D84154"/>
    <w:rsid w:val="00D84407"/>
    <w:rsid w:val="00D84823"/>
    <w:rsid w:val="00D84C88"/>
    <w:rsid w:val="00D84DBC"/>
    <w:rsid w:val="00D85759"/>
    <w:rsid w:val="00D857F8"/>
    <w:rsid w:val="00D858AA"/>
    <w:rsid w:val="00D85981"/>
    <w:rsid w:val="00D85EA7"/>
    <w:rsid w:val="00D85F67"/>
    <w:rsid w:val="00D8601E"/>
    <w:rsid w:val="00D861AD"/>
    <w:rsid w:val="00D86408"/>
    <w:rsid w:val="00D867E1"/>
    <w:rsid w:val="00D86B0F"/>
    <w:rsid w:val="00D86F63"/>
    <w:rsid w:val="00D87C7C"/>
    <w:rsid w:val="00D87E14"/>
    <w:rsid w:val="00D905A0"/>
    <w:rsid w:val="00D909DF"/>
    <w:rsid w:val="00D90C81"/>
    <w:rsid w:val="00D90CDC"/>
    <w:rsid w:val="00D90D85"/>
    <w:rsid w:val="00D90F17"/>
    <w:rsid w:val="00D91796"/>
    <w:rsid w:val="00D91846"/>
    <w:rsid w:val="00D91961"/>
    <w:rsid w:val="00D91BB7"/>
    <w:rsid w:val="00D9236B"/>
    <w:rsid w:val="00D9260C"/>
    <w:rsid w:val="00D928E5"/>
    <w:rsid w:val="00D92E34"/>
    <w:rsid w:val="00D92E88"/>
    <w:rsid w:val="00D9384B"/>
    <w:rsid w:val="00D93CE9"/>
    <w:rsid w:val="00D93FF7"/>
    <w:rsid w:val="00D94043"/>
    <w:rsid w:val="00D94219"/>
    <w:rsid w:val="00D943F9"/>
    <w:rsid w:val="00D949C2"/>
    <w:rsid w:val="00D94C10"/>
    <w:rsid w:val="00D94DA0"/>
    <w:rsid w:val="00D94E9B"/>
    <w:rsid w:val="00D94F43"/>
    <w:rsid w:val="00D95185"/>
    <w:rsid w:val="00D95195"/>
    <w:rsid w:val="00D9533B"/>
    <w:rsid w:val="00D95494"/>
    <w:rsid w:val="00D954EE"/>
    <w:rsid w:val="00D9566C"/>
    <w:rsid w:val="00D95E4A"/>
    <w:rsid w:val="00D96290"/>
    <w:rsid w:val="00D96486"/>
    <w:rsid w:val="00D96768"/>
    <w:rsid w:val="00D967C7"/>
    <w:rsid w:val="00D96CAB"/>
    <w:rsid w:val="00D979C3"/>
    <w:rsid w:val="00D97B6D"/>
    <w:rsid w:val="00D97C06"/>
    <w:rsid w:val="00D97CEC"/>
    <w:rsid w:val="00D97F1D"/>
    <w:rsid w:val="00DA011A"/>
    <w:rsid w:val="00DA0271"/>
    <w:rsid w:val="00DA0637"/>
    <w:rsid w:val="00DA0D55"/>
    <w:rsid w:val="00DA1284"/>
    <w:rsid w:val="00DA12D8"/>
    <w:rsid w:val="00DA132B"/>
    <w:rsid w:val="00DA19EF"/>
    <w:rsid w:val="00DA2B2D"/>
    <w:rsid w:val="00DA2D2B"/>
    <w:rsid w:val="00DA338A"/>
    <w:rsid w:val="00DA33A2"/>
    <w:rsid w:val="00DA348E"/>
    <w:rsid w:val="00DA3AB9"/>
    <w:rsid w:val="00DA3E23"/>
    <w:rsid w:val="00DA408A"/>
    <w:rsid w:val="00DA4114"/>
    <w:rsid w:val="00DA47A0"/>
    <w:rsid w:val="00DA502F"/>
    <w:rsid w:val="00DA516B"/>
    <w:rsid w:val="00DA51E9"/>
    <w:rsid w:val="00DA53E3"/>
    <w:rsid w:val="00DA53FD"/>
    <w:rsid w:val="00DA58F5"/>
    <w:rsid w:val="00DA5A09"/>
    <w:rsid w:val="00DA5DCE"/>
    <w:rsid w:val="00DA5DEF"/>
    <w:rsid w:val="00DA647E"/>
    <w:rsid w:val="00DA670E"/>
    <w:rsid w:val="00DA6884"/>
    <w:rsid w:val="00DA6A38"/>
    <w:rsid w:val="00DA740A"/>
    <w:rsid w:val="00DA746D"/>
    <w:rsid w:val="00DA7819"/>
    <w:rsid w:val="00DA7C23"/>
    <w:rsid w:val="00DA7CA1"/>
    <w:rsid w:val="00DB00F2"/>
    <w:rsid w:val="00DB01FA"/>
    <w:rsid w:val="00DB0248"/>
    <w:rsid w:val="00DB02CE"/>
    <w:rsid w:val="00DB0588"/>
    <w:rsid w:val="00DB0813"/>
    <w:rsid w:val="00DB089C"/>
    <w:rsid w:val="00DB08A2"/>
    <w:rsid w:val="00DB0A19"/>
    <w:rsid w:val="00DB0E12"/>
    <w:rsid w:val="00DB1367"/>
    <w:rsid w:val="00DB176D"/>
    <w:rsid w:val="00DB1796"/>
    <w:rsid w:val="00DB1F50"/>
    <w:rsid w:val="00DB33CD"/>
    <w:rsid w:val="00DB36A3"/>
    <w:rsid w:val="00DB36FB"/>
    <w:rsid w:val="00DB3812"/>
    <w:rsid w:val="00DB3C6A"/>
    <w:rsid w:val="00DB3E4B"/>
    <w:rsid w:val="00DB4169"/>
    <w:rsid w:val="00DB4172"/>
    <w:rsid w:val="00DB419A"/>
    <w:rsid w:val="00DB426F"/>
    <w:rsid w:val="00DB447C"/>
    <w:rsid w:val="00DB488B"/>
    <w:rsid w:val="00DB4905"/>
    <w:rsid w:val="00DB4B6F"/>
    <w:rsid w:val="00DB4E91"/>
    <w:rsid w:val="00DB5649"/>
    <w:rsid w:val="00DB5653"/>
    <w:rsid w:val="00DB5A73"/>
    <w:rsid w:val="00DB5EB1"/>
    <w:rsid w:val="00DB6111"/>
    <w:rsid w:val="00DB66C8"/>
    <w:rsid w:val="00DB6929"/>
    <w:rsid w:val="00DB6A05"/>
    <w:rsid w:val="00DB6AA8"/>
    <w:rsid w:val="00DB6E65"/>
    <w:rsid w:val="00DB6EC2"/>
    <w:rsid w:val="00DB72BE"/>
    <w:rsid w:val="00DB730C"/>
    <w:rsid w:val="00DB7663"/>
    <w:rsid w:val="00DB77F6"/>
    <w:rsid w:val="00DB7A1C"/>
    <w:rsid w:val="00DB7B98"/>
    <w:rsid w:val="00DB7EFD"/>
    <w:rsid w:val="00DC004D"/>
    <w:rsid w:val="00DC027F"/>
    <w:rsid w:val="00DC0547"/>
    <w:rsid w:val="00DC065B"/>
    <w:rsid w:val="00DC0BF4"/>
    <w:rsid w:val="00DC0D79"/>
    <w:rsid w:val="00DC0E79"/>
    <w:rsid w:val="00DC11E8"/>
    <w:rsid w:val="00DC157D"/>
    <w:rsid w:val="00DC1761"/>
    <w:rsid w:val="00DC19B5"/>
    <w:rsid w:val="00DC1ABC"/>
    <w:rsid w:val="00DC1E12"/>
    <w:rsid w:val="00DC1EC2"/>
    <w:rsid w:val="00DC1F63"/>
    <w:rsid w:val="00DC244E"/>
    <w:rsid w:val="00DC2BD3"/>
    <w:rsid w:val="00DC2D1D"/>
    <w:rsid w:val="00DC3214"/>
    <w:rsid w:val="00DC3351"/>
    <w:rsid w:val="00DC3959"/>
    <w:rsid w:val="00DC4975"/>
    <w:rsid w:val="00DC4AF0"/>
    <w:rsid w:val="00DC4D54"/>
    <w:rsid w:val="00DC50C7"/>
    <w:rsid w:val="00DC50ED"/>
    <w:rsid w:val="00DC511C"/>
    <w:rsid w:val="00DC6017"/>
    <w:rsid w:val="00DC64E2"/>
    <w:rsid w:val="00DC731B"/>
    <w:rsid w:val="00DC7377"/>
    <w:rsid w:val="00DC7384"/>
    <w:rsid w:val="00DD049A"/>
    <w:rsid w:val="00DD05DA"/>
    <w:rsid w:val="00DD0718"/>
    <w:rsid w:val="00DD0751"/>
    <w:rsid w:val="00DD1033"/>
    <w:rsid w:val="00DD1051"/>
    <w:rsid w:val="00DD1078"/>
    <w:rsid w:val="00DD109E"/>
    <w:rsid w:val="00DD13B7"/>
    <w:rsid w:val="00DD13BE"/>
    <w:rsid w:val="00DD1826"/>
    <w:rsid w:val="00DD1E0B"/>
    <w:rsid w:val="00DD22AD"/>
    <w:rsid w:val="00DD2308"/>
    <w:rsid w:val="00DD24DB"/>
    <w:rsid w:val="00DD269F"/>
    <w:rsid w:val="00DD2840"/>
    <w:rsid w:val="00DD2CEA"/>
    <w:rsid w:val="00DD2FE8"/>
    <w:rsid w:val="00DD3260"/>
    <w:rsid w:val="00DD3335"/>
    <w:rsid w:val="00DD3A3B"/>
    <w:rsid w:val="00DD3B45"/>
    <w:rsid w:val="00DD3D98"/>
    <w:rsid w:val="00DD41AC"/>
    <w:rsid w:val="00DD450E"/>
    <w:rsid w:val="00DD4B42"/>
    <w:rsid w:val="00DD4D9C"/>
    <w:rsid w:val="00DD50DD"/>
    <w:rsid w:val="00DD58BC"/>
    <w:rsid w:val="00DD6227"/>
    <w:rsid w:val="00DD6712"/>
    <w:rsid w:val="00DD67C0"/>
    <w:rsid w:val="00DD67E3"/>
    <w:rsid w:val="00DD6AEF"/>
    <w:rsid w:val="00DD72D4"/>
    <w:rsid w:val="00DD7924"/>
    <w:rsid w:val="00DD7C92"/>
    <w:rsid w:val="00DD7DE1"/>
    <w:rsid w:val="00DE01A2"/>
    <w:rsid w:val="00DE01C9"/>
    <w:rsid w:val="00DE102A"/>
    <w:rsid w:val="00DE16E4"/>
    <w:rsid w:val="00DE1B53"/>
    <w:rsid w:val="00DE1F36"/>
    <w:rsid w:val="00DE20C7"/>
    <w:rsid w:val="00DE21BE"/>
    <w:rsid w:val="00DE21D8"/>
    <w:rsid w:val="00DE2419"/>
    <w:rsid w:val="00DE2787"/>
    <w:rsid w:val="00DE2E7D"/>
    <w:rsid w:val="00DE3020"/>
    <w:rsid w:val="00DE31DE"/>
    <w:rsid w:val="00DE3368"/>
    <w:rsid w:val="00DE3442"/>
    <w:rsid w:val="00DE3F40"/>
    <w:rsid w:val="00DE3FDE"/>
    <w:rsid w:val="00DE404B"/>
    <w:rsid w:val="00DE4362"/>
    <w:rsid w:val="00DE4417"/>
    <w:rsid w:val="00DE454B"/>
    <w:rsid w:val="00DE46E3"/>
    <w:rsid w:val="00DE51EE"/>
    <w:rsid w:val="00DE524A"/>
    <w:rsid w:val="00DE5690"/>
    <w:rsid w:val="00DE5DAE"/>
    <w:rsid w:val="00DE5E4B"/>
    <w:rsid w:val="00DE6211"/>
    <w:rsid w:val="00DE66BF"/>
    <w:rsid w:val="00DE66D2"/>
    <w:rsid w:val="00DE69C7"/>
    <w:rsid w:val="00DE7869"/>
    <w:rsid w:val="00DE7A30"/>
    <w:rsid w:val="00DF02F2"/>
    <w:rsid w:val="00DF0694"/>
    <w:rsid w:val="00DF0B9E"/>
    <w:rsid w:val="00DF0D0D"/>
    <w:rsid w:val="00DF0F9D"/>
    <w:rsid w:val="00DF176D"/>
    <w:rsid w:val="00DF19D3"/>
    <w:rsid w:val="00DF1C47"/>
    <w:rsid w:val="00DF2560"/>
    <w:rsid w:val="00DF29DB"/>
    <w:rsid w:val="00DF3143"/>
    <w:rsid w:val="00DF37C9"/>
    <w:rsid w:val="00DF3A8A"/>
    <w:rsid w:val="00DF3AF0"/>
    <w:rsid w:val="00DF3E96"/>
    <w:rsid w:val="00DF4764"/>
    <w:rsid w:val="00DF4910"/>
    <w:rsid w:val="00DF5348"/>
    <w:rsid w:val="00DF55B7"/>
    <w:rsid w:val="00DF569C"/>
    <w:rsid w:val="00DF5C3B"/>
    <w:rsid w:val="00DF6171"/>
    <w:rsid w:val="00DF6200"/>
    <w:rsid w:val="00DF62C3"/>
    <w:rsid w:val="00DF62D5"/>
    <w:rsid w:val="00DF6548"/>
    <w:rsid w:val="00DF66FE"/>
    <w:rsid w:val="00DF677E"/>
    <w:rsid w:val="00DF6838"/>
    <w:rsid w:val="00DF6869"/>
    <w:rsid w:val="00DF692D"/>
    <w:rsid w:val="00DF6AE2"/>
    <w:rsid w:val="00DF6D8D"/>
    <w:rsid w:val="00DF6E0A"/>
    <w:rsid w:val="00DF6EBC"/>
    <w:rsid w:val="00DF6F4E"/>
    <w:rsid w:val="00DF707A"/>
    <w:rsid w:val="00DF7084"/>
    <w:rsid w:val="00DF7959"/>
    <w:rsid w:val="00E0000F"/>
    <w:rsid w:val="00E0003E"/>
    <w:rsid w:val="00E000F9"/>
    <w:rsid w:val="00E004CF"/>
    <w:rsid w:val="00E0050D"/>
    <w:rsid w:val="00E00697"/>
    <w:rsid w:val="00E0095E"/>
    <w:rsid w:val="00E00AD5"/>
    <w:rsid w:val="00E00D61"/>
    <w:rsid w:val="00E00E3F"/>
    <w:rsid w:val="00E00F5E"/>
    <w:rsid w:val="00E01154"/>
    <w:rsid w:val="00E0124C"/>
    <w:rsid w:val="00E013DB"/>
    <w:rsid w:val="00E01453"/>
    <w:rsid w:val="00E014BC"/>
    <w:rsid w:val="00E01750"/>
    <w:rsid w:val="00E02548"/>
    <w:rsid w:val="00E02B7F"/>
    <w:rsid w:val="00E02B90"/>
    <w:rsid w:val="00E02BDE"/>
    <w:rsid w:val="00E0338E"/>
    <w:rsid w:val="00E034D3"/>
    <w:rsid w:val="00E03B3C"/>
    <w:rsid w:val="00E04086"/>
    <w:rsid w:val="00E0434C"/>
    <w:rsid w:val="00E0440C"/>
    <w:rsid w:val="00E04714"/>
    <w:rsid w:val="00E04A6F"/>
    <w:rsid w:val="00E04AA1"/>
    <w:rsid w:val="00E04D82"/>
    <w:rsid w:val="00E05159"/>
    <w:rsid w:val="00E05A93"/>
    <w:rsid w:val="00E05ED2"/>
    <w:rsid w:val="00E062FF"/>
    <w:rsid w:val="00E063FD"/>
    <w:rsid w:val="00E0693F"/>
    <w:rsid w:val="00E07B4B"/>
    <w:rsid w:val="00E07B81"/>
    <w:rsid w:val="00E07D4E"/>
    <w:rsid w:val="00E1027C"/>
    <w:rsid w:val="00E1060C"/>
    <w:rsid w:val="00E10618"/>
    <w:rsid w:val="00E1086A"/>
    <w:rsid w:val="00E10A22"/>
    <w:rsid w:val="00E113D0"/>
    <w:rsid w:val="00E116C9"/>
    <w:rsid w:val="00E117C8"/>
    <w:rsid w:val="00E119E5"/>
    <w:rsid w:val="00E11F4C"/>
    <w:rsid w:val="00E12A51"/>
    <w:rsid w:val="00E130E4"/>
    <w:rsid w:val="00E13330"/>
    <w:rsid w:val="00E133D6"/>
    <w:rsid w:val="00E13C56"/>
    <w:rsid w:val="00E13ED6"/>
    <w:rsid w:val="00E14484"/>
    <w:rsid w:val="00E14A73"/>
    <w:rsid w:val="00E156C4"/>
    <w:rsid w:val="00E160A0"/>
    <w:rsid w:val="00E1615E"/>
    <w:rsid w:val="00E1635F"/>
    <w:rsid w:val="00E16406"/>
    <w:rsid w:val="00E16584"/>
    <w:rsid w:val="00E168F6"/>
    <w:rsid w:val="00E16A47"/>
    <w:rsid w:val="00E16D50"/>
    <w:rsid w:val="00E17058"/>
    <w:rsid w:val="00E172B8"/>
    <w:rsid w:val="00E17E0C"/>
    <w:rsid w:val="00E17E96"/>
    <w:rsid w:val="00E2043A"/>
    <w:rsid w:val="00E20FF4"/>
    <w:rsid w:val="00E210F1"/>
    <w:rsid w:val="00E2137E"/>
    <w:rsid w:val="00E21465"/>
    <w:rsid w:val="00E2199F"/>
    <w:rsid w:val="00E21D0C"/>
    <w:rsid w:val="00E22349"/>
    <w:rsid w:val="00E223C8"/>
    <w:rsid w:val="00E227C0"/>
    <w:rsid w:val="00E2296E"/>
    <w:rsid w:val="00E22AA8"/>
    <w:rsid w:val="00E2300D"/>
    <w:rsid w:val="00E23281"/>
    <w:rsid w:val="00E23853"/>
    <w:rsid w:val="00E23CED"/>
    <w:rsid w:val="00E241AC"/>
    <w:rsid w:val="00E241E5"/>
    <w:rsid w:val="00E243FE"/>
    <w:rsid w:val="00E24808"/>
    <w:rsid w:val="00E24ABE"/>
    <w:rsid w:val="00E24BA6"/>
    <w:rsid w:val="00E24BFD"/>
    <w:rsid w:val="00E255A9"/>
    <w:rsid w:val="00E25618"/>
    <w:rsid w:val="00E25D99"/>
    <w:rsid w:val="00E26624"/>
    <w:rsid w:val="00E26A25"/>
    <w:rsid w:val="00E26B8F"/>
    <w:rsid w:val="00E27001"/>
    <w:rsid w:val="00E2721C"/>
    <w:rsid w:val="00E27762"/>
    <w:rsid w:val="00E27BEF"/>
    <w:rsid w:val="00E27C57"/>
    <w:rsid w:val="00E27DB8"/>
    <w:rsid w:val="00E30557"/>
    <w:rsid w:val="00E30D59"/>
    <w:rsid w:val="00E31023"/>
    <w:rsid w:val="00E311A9"/>
    <w:rsid w:val="00E3172D"/>
    <w:rsid w:val="00E319F6"/>
    <w:rsid w:val="00E31A5D"/>
    <w:rsid w:val="00E31BA2"/>
    <w:rsid w:val="00E31D91"/>
    <w:rsid w:val="00E31E3E"/>
    <w:rsid w:val="00E323FA"/>
    <w:rsid w:val="00E3247C"/>
    <w:rsid w:val="00E32910"/>
    <w:rsid w:val="00E329E4"/>
    <w:rsid w:val="00E32A57"/>
    <w:rsid w:val="00E32E30"/>
    <w:rsid w:val="00E32F8F"/>
    <w:rsid w:val="00E33237"/>
    <w:rsid w:val="00E3340D"/>
    <w:rsid w:val="00E33805"/>
    <w:rsid w:val="00E3411F"/>
    <w:rsid w:val="00E35772"/>
    <w:rsid w:val="00E357FD"/>
    <w:rsid w:val="00E358F0"/>
    <w:rsid w:val="00E35A90"/>
    <w:rsid w:val="00E3601E"/>
    <w:rsid w:val="00E362D5"/>
    <w:rsid w:val="00E364D3"/>
    <w:rsid w:val="00E36A95"/>
    <w:rsid w:val="00E36B0E"/>
    <w:rsid w:val="00E36CD5"/>
    <w:rsid w:val="00E36EF9"/>
    <w:rsid w:val="00E37026"/>
    <w:rsid w:val="00E370BE"/>
    <w:rsid w:val="00E37EC7"/>
    <w:rsid w:val="00E41710"/>
    <w:rsid w:val="00E41896"/>
    <w:rsid w:val="00E418BD"/>
    <w:rsid w:val="00E41D8E"/>
    <w:rsid w:val="00E41E36"/>
    <w:rsid w:val="00E41EEC"/>
    <w:rsid w:val="00E420FA"/>
    <w:rsid w:val="00E425BC"/>
    <w:rsid w:val="00E4287C"/>
    <w:rsid w:val="00E4295C"/>
    <w:rsid w:val="00E42979"/>
    <w:rsid w:val="00E42D3D"/>
    <w:rsid w:val="00E42D8B"/>
    <w:rsid w:val="00E42EA5"/>
    <w:rsid w:val="00E42F52"/>
    <w:rsid w:val="00E434CB"/>
    <w:rsid w:val="00E434E8"/>
    <w:rsid w:val="00E43965"/>
    <w:rsid w:val="00E43A73"/>
    <w:rsid w:val="00E43E4C"/>
    <w:rsid w:val="00E43EEC"/>
    <w:rsid w:val="00E44793"/>
    <w:rsid w:val="00E4485D"/>
    <w:rsid w:val="00E44FA8"/>
    <w:rsid w:val="00E45060"/>
    <w:rsid w:val="00E45079"/>
    <w:rsid w:val="00E45123"/>
    <w:rsid w:val="00E451D5"/>
    <w:rsid w:val="00E45640"/>
    <w:rsid w:val="00E45B8A"/>
    <w:rsid w:val="00E45E32"/>
    <w:rsid w:val="00E45F42"/>
    <w:rsid w:val="00E463BE"/>
    <w:rsid w:val="00E46F58"/>
    <w:rsid w:val="00E4760E"/>
    <w:rsid w:val="00E47B96"/>
    <w:rsid w:val="00E47CBC"/>
    <w:rsid w:val="00E47D16"/>
    <w:rsid w:val="00E47D7C"/>
    <w:rsid w:val="00E47FC0"/>
    <w:rsid w:val="00E5028E"/>
    <w:rsid w:val="00E507B7"/>
    <w:rsid w:val="00E5086D"/>
    <w:rsid w:val="00E5094F"/>
    <w:rsid w:val="00E5121A"/>
    <w:rsid w:val="00E51316"/>
    <w:rsid w:val="00E51691"/>
    <w:rsid w:val="00E51972"/>
    <w:rsid w:val="00E51D81"/>
    <w:rsid w:val="00E520B1"/>
    <w:rsid w:val="00E528C7"/>
    <w:rsid w:val="00E52A6E"/>
    <w:rsid w:val="00E52B02"/>
    <w:rsid w:val="00E52B0E"/>
    <w:rsid w:val="00E532AD"/>
    <w:rsid w:val="00E5336B"/>
    <w:rsid w:val="00E53442"/>
    <w:rsid w:val="00E53A72"/>
    <w:rsid w:val="00E53AAE"/>
    <w:rsid w:val="00E53AFB"/>
    <w:rsid w:val="00E53BDF"/>
    <w:rsid w:val="00E53EE2"/>
    <w:rsid w:val="00E54523"/>
    <w:rsid w:val="00E54654"/>
    <w:rsid w:val="00E54B5A"/>
    <w:rsid w:val="00E5551D"/>
    <w:rsid w:val="00E55B80"/>
    <w:rsid w:val="00E55EC0"/>
    <w:rsid w:val="00E563B2"/>
    <w:rsid w:val="00E5665A"/>
    <w:rsid w:val="00E56841"/>
    <w:rsid w:val="00E56A84"/>
    <w:rsid w:val="00E56C49"/>
    <w:rsid w:val="00E572E0"/>
    <w:rsid w:val="00E57634"/>
    <w:rsid w:val="00E57755"/>
    <w:rsid w:val="00E5775D"/>
    <w:rsid w:val="00E579A6"/>
    <w:rsid w:val="00E57A0C"/>
    <w:rsid w:val="00E57B5B"/>
    <w:rsid w:val="00E600D9"/>
    <w:rsid w:val="00E603AF"/>
    <w:rsid w:val="00E60577"/>
    <w:rsid w:val="00E605D9"/>
    <w:rsid w:val="00E60D45"/>
    <w:rsid w:val="00E61447"/>
    <w:rsid w:val="00E6144D"/>
    <w:rsid w:val="00E61A9B"/>
    <w:rsid w:val="00E61C17"/>
    <w:rsid w:val="00E61CC4"/>
    <w:rsid w:val="00E61D20"/>
    <w:rsid w:val="00E61E9E"/>
    <w:rsid w:val="00E61F25"/>
    <w:rsid w:val="00E6272D"/>
    <w:rsid w:val="00E62FFB"/>
    <w:rsid w:val="00E630F7"/>
    <w:rsid w:val="00E632BB"/>
    <w:rsid w:val="00E63CFF"/>
    <w:rsid w:val="00E6411F"/>
    <w:rsid w:val="00E64142"/>
    <w:rsid w:val="00E64406"/>
    <w:rsid w:val="00E652B7"/>
    <w:rsid w:val="00E65361"/>
    <w:rsid w:val="00E656E7"/>
    <w:rsid w:val="00E6573A"/>
    <w:rsid w:val="00E65DE5"/>
    <w:rsid w:val="00E65E68"/>
    <w:rsid w:val="00E65F05"/>
    <w:rsid w:val="00E65F26"/>
    <w:rsid w:val="00E66380"/>
    <w:rsid w:val="00E664CE"/>
    <w:rsid w:val="00E66500"/>
    <w:rsid w:val="00E66C5C"/>
    <w:rsid w:val="00E6723D"/>
    <w:rsid w:val="00E674BC"/>
    <w:rsid w:val="00E679E5"/>
    <w:rsid w:val="00E67C8A"/>
    <w:rsid w:val="00E67DA4"/>
    <w:rsid w:val="00E67F14"/>
    <w:rsid w:val="00E70052"/>
    <w:rsid w:val="00E70395"/>
    <w:rsid w:val="00E70627"/>
    <w:rsid w:val="00E70872"/>
    <w:rsid w:val="00E70A01"/>
    <w:rsid w:val="00E70CAA"/>
    <w:rsid w:val="00E70EAE"/>
    <w:rsid w:val="00E70FBD"/>
    <w:rsid w:val="00E710CF"/>
    <w:rsid w:val="00E7138E"/>
    <w:rsid w:val="00E71525"/>
    <w:rsid w:val="00E71A9C"/>
    <w:rsid w:val="00E727AA"/>
    <w:rsid w:val="00E727DF"/>
    <w:rsid w:val="00E728EB"/>
    <w:rsid w:val="00E729DE"/>
    <w:rsid w:val="00E72EF3"/>
    <w:rsid w:val="00E73155"/>
    <w:rsid w:val="00E737D7"/>
    <w:rsid w:val="00E73F80"/>
    <w:rsid w:val="00E74012"/>
    <w:rsid w:val="00E746A7"/>
    <w:rsid w:val="00E746DC"/>
    <w:rsid w:val="00E7487E"/>
    <w:rsid w:val="00E74AA2"/>
    <w:rsid w:val="00E74C9B"/>
    <w:rsid w:val="00E750A3"/>
    <w:rsid w:val="00E7558D"/>
    <w:rsid w:val="00E75A70"/>
    <w:rsid w:val="00E75C12"/>
    <w:rsid w:val="00E75CB2"/>
    <w:rsid w:val="00E75E7F"/>
    <w:rsid w:val="00E760D1"/>
    <w:rsid w:val="00E76329"/>
    <w:rsid w:val="00E767BB"/>
    <w:rsid w:val="00E76CEB"/>
    <w:rsid w:val="00E7770D"/>
    <w:rsid w:val="00E777ED"/>
    <w:rsid w:val="00E77E2B"/>
    <w:rsid w:val="00E77F1F"/>
    <w:rsid w:val="00E800D4"/>
    <w:rsid w:val="00E80189"/>
    <w:rsid w:val="00E80AD4"/>
    <w:rsid w:val="00E813E9"/>
    <w:rsid w:val="00E81971"/>
    <w:rsid w:val="00E81989"/>
    <w:rsid w:val="00E81B9D"/>
    <w:rsid w:val="00E81C63"/>
    <w:rsid w:val="00E81C7F"/>
    <w:rsid w:val="00E82391"/>
    <w:rsid w:val="00E82EED"/>
    <w:rsid w:val="00E82F11"/>
    <w:rsid w:val="00E833D0"/>
    <w:rsid w:val="00E834CD"/>
    <w:rsid w:val="00E836FE"/>
    <w:rsid w:val="00E83AC7"/>
    <w:rsid w:val="00E8434C"/>
    <w:rsid w:val="00E8444E"/>
    <w:rsid w:val="00E846E9"/>
    <w:rsid w:val="00E852A7"/>
    <w:rsid w:val="00E8570A"/>
    <w:rsid w:val="00E85C15"/>
    <w:rsid w:val="00E865A1"/>
    <w:rsid w:val="00E86B69"/>
    <w:rsid w:val="00E8701F"/>
    <w:rsid w:val="00E87339"/>
    <w:rsid w:val="00E874A9"/>
    <w:rsid w:val="00E875D7"/>
    <w:rsid w:val="00E8788F"/>
    <w:rsid w:val="00E87BD8"/>
    <w:rsid w:val="00E87E20"/>
    <w:rsid w:val="00E90895"/>
    <w:rsid w:val="00E909C8"/>
    <w:rsid w:val="00E90AFE"/>
    <w:rsid w:val="00E90E6F"/>
    <w:rsid w:val="00E9105E"/>
    <w:rsid w:val="00E91681"/>
    <w:rsid w:val="00E91938"/>
    <w:rsid w:val="00E9195A"/>
    <w:rsid w:val="00E9205F"/>
    <w:rsid w:val="00E9224D"/>
    <w:rsid w:val="00E9252C"/>
    <w:rsid w:val="00E92E13"/>
    <w:rsid w:val="00E92F5D"/>
    <w:rsid w:val="00E92F73"/>
    <w:rsid w:val="00E937DB"/>
    <w:rsid w:val="00E93B41"/>
    <w:rsid w:val="00E93CEF"/>
    <w:rsid w:val="00E94417"/>
    <w:rsid w:val="00E944C4"/>
    <w:rsid w:val="00E947AE"/>
    <w:rsid w:val="00E94A31"/>
    <w:rsid w:val="00E95009"/>
    <w:rsid w:val="00E950EC"/>
    <w:rsid w:val="00E959CB"/>
    <w:rsid w:val="00E95F37"/>
    <w:rsid w:val="00E95F6B"/>
    <w:rsid w:val="00E971DE"/>
    <w:rsid w:val="00E9735B"/>
    <w:rsid w:val="00E97680"/>
    <w:rsid w:val="00E976ED"/>
    <w:rsid w:val="00E97DF7"/>
    <w:rsid w:val="00E97ED4"/>
    <w:rsid w:val="00EA03BA"/>
    <w:rsid w:val="00EA04D8"/>
    <w:rsid w:val="00EA07BC"/>
    <w:rsid w:val="00EA0968"/>
    <w:rsid w:val="00EA0C92"/>
    <w:rsid w:val="00EA0CE4"/>
    <w:rsid w:val="00EA1478"/>
    <w:rsid w:val="00EA1DD1"/>
    <w:rsid w:val="00EA20F6"/>
    <w:rsid w:val="00EA2130"/>
    <w:rsid w:val="00EA2183"/>
    <w:rsid w:val="00EA26B4"/>
    <w:rsid w:val="00EA26E6"/>
    <w:rsid w:val="00EA2729"/>
    <w:rsid w:val="00EA2B3A"/>
    <w:rsid w:val="00EA30E4"/>
    <w:rsid w:val="00EA31BC"/>
    <w:rsid w:val="00EA32E3"/>
    <w:rsid w:val="00EA3986"/>
    <w:rsid w:val="00EA3E30"/>
    <w:rsid w:val="00EA405E"/>
    <w:rsid w:val="00EA4066"/>
    <w:rsid w:val="00EA4A3A"/>
    <w:rsid w:val="00EA51BB"/>
    <w:rsid w:val="00EA585F"/>
    <w:rsid w:val="00EA62EB"/>
    <w:rsid w:val="00EA634A"/>
    <w:rsid w:val="00EA6C7D"/>
    <w:rsid w:val="00EA7083"/>
    <w:rsid w:val="00EA75B1"/>
    <w:rsid w:val="00EA770F"/>
    <w:rsid w:val="00EA7772"/>
    <w:rsid w:val="00EA7787"/>
    <w:rsid w:val="00EA7F7B"/>
    <w:rsid w:val="00EB0636"/>
    <w:rsid w:val="00EB068C"/>
    <w:rsid w:val="00EB0954"/>
    <w:rsid w:val="00EB0CFB"/>
    <w:rsid w:val="00EB107D"/>
    <w:rsid w:val="00EB163F"/>
    <w:rsid w:val="00EB16AB"/>
    <w:rsid w:val="00EB185C"/>
    <w:rsid w:val="00EB1C4C"/>
    <w:rsid w:val="00EB20B5"/>
    <w:rsid w:val="00EB2217"/>
    <w:rsid w:val="00EB2552"/>
    <w:rsid w:val="00EB292D"/>
    <w:rsid w:val="00EB3019"/>
    <w:rsid w:val="00EB3271"/>
    <w:rsid w:val="00EB3292"/>
    <w:rsid w:val="00EB335B"/>
    <w:rsid w:val="00EB3370"/>
    <w:rsid w:val="00EB34DC"/>
    <w:rsid w:val="00EB36FC"/>
    <w:rsid w:val="00EB377C"/>
    <w:rsid w:val="00EB3DD2"/>
    <w:rsid w:val="00EB4BCF"/>
    <w:rsid w:val="00EB4C74"/>
    <w:rsid w:val="00EB4DF8"/>
    <w:rsid w:val="00EB50AB"/>
    <w:rsid w:val="00EB520B"/>
    <w:rsid w:val="00EB56AC"/>
    <w:rsid w:val="00EB5798"/>
    <w:rsid w:val="00EB5812"/>
    <w:rsid w:val="00EB5848"/>
    <w:rsid w:val="00EB5D65"/>
    <w:rsid w:val="00EB5EAD"/>
    <w:rsid w:val="00EB6D1A"/>
    <w:rsid w:val="00EB6DA6"/>
    <w:rsid w:val="00EB6F74"/>
    <w:rsid w:val="00EB7129"/>
    <w:rsid w:val="00EB7152"/>
    <w:rsid w:val="00EB75BA"/>
    <w:rsid w:val="00EB78D3"/>
    <w:rsid w:val="00EB7B14"/>
    <w:rsid w:val="00EB7B3F"/>
    <w:rsid w:val="00EB7DD8"/>
    <w:rsid w:val="00EB7E90"/>
    <w:rsid w:val="00EB7F5F"/>
    <w:rsid w:val="00EC07E8"/>
    <w:rsid w:val="00EC08B4"/>
    <w:rsid w:val="00EC08CD"/>
    <w:rsid w:val="00EC0A82"/>
    <w:rsid w:val="00EC0E7D"/>
    <w:rsid w:val="00EC12FE"/>
    <w:rsid w:val="00EC1301"/>
    <w:rsid w:val="00EC1474"/>
    <w:rsid w:val="00EC1B19"/>
    <w:rsid w:val="00EC1D3B"/>
    <w:rsid w:val="00EC1E3B"/>
    <w:rsid w:val="00EC1F09"/>
    <w:rsid w:val="00EC2B81"/>
    <w:rsid w:val="00EC3286"/>
    <w:rsid w:val="00EC33AA"/>
    <w:rsid w:val="00EC3800"/>
    <w:rsid w:val="00EC4072"/>
    <w:rsid w:val="00EC4563"/>
    <w:rsid w:val="00EC4D9A"/>
    <w:rsid w:val="00EC4DAF"/>
    <w:rsid w:val="00EC4E51"/>
    <w:rsid w:val="00EC4F21"/>
    <w:rsid w:val="00EC5085"/>
    <w:rsid w:val="00EC515F"/>
    <w:rsid w:val="00EC571C"/>
    <w:rsid w:val="00EC5BA5"/>
    <w:rsid w:val="00EC614F"/>
    <w:rsid w:val="00EC6466"/>
    <w:rsid w:val="00EC6539"/>
    <w:rsid w:val="00EC68C9"/>
    <w:rsid w:val="00EC6AC8"/>
    <w:rsid w:val="00EC6EE0"/>
    <w:rsid w:val="00EC7F3A"/>
    <w:rsid w:val="00ED015E"/>
    <w:rsid w:val="00ED0765"/>
    <w:rsid w:val="00ED0C30"/>
    <w:rsid w:val="00ED0E1C"/>
    <w:rsid w:val="00ED1418"/>
    <w:rsid w:val="00ED1B98"/>
    <w:rsid w:val="00ED1CB3"/>
    <w:rsid w:val="00ED1EFF"/>
    <w:rsid w:val="00ED1FD2"/>
    <w:rsid w:val="00ED2101"/>
    <w:rsid w:val="00ED22AF"/>
    <w:rsid w:val="00ED26E0"/>
    <w:rsid w:val="00ED26ED"/>
    <w:rsid w:val="00ED27F5"/>
    <w:rsid w:val="00ED2F51"/>
    <w:rsid w:val="00ED32CF"/>
    <w:rsid w:val="00ED3819"/>
    <w:rsid w:val="00ED3ECD"/>
    <w:rsid w:val="00ED3ED8"/>
    <w:rsid w:val="00ED414E"/>
    <w:rsid w:val="00ED42AA"/>
    <w:rsid w:val="00ED455E"/>
    <w:rsid w:val="00ED4701"/>
    <w:rsid w:val="00ED49EA"/>
    <w:rsid w:val="00ED4C15"/>
    <w:rsid w:val="00ED5396"/>
    <w:rsid w:val="00ED5455"/>
    <w:rsid w:val="00ED567F"/>
    <w:rsid w:val="00ED5893"/>
    <w:rsid w:val="00ED5E79"/>
    <w:rsid w:val="00ED5EF7"/>
    <w:rsid w:val="00ED602D"/>
    <w:rsid w:val="00ED6976"/>
    <w:rsid w:val="00ED7069"/>
    <w:rsid w:val="00ED7254"/>
    <w:rsid w:val="00ED7AAD"/>
    <w:rsid w:val="00EE0038"/>
    <w:rsid w:val="00EE02FF"/>
    <w:rsid w:val="00EE0BE4"/>
    <w:rsid w:val="00EE1038"/>
    <w:rsid w:val="00EE1BF6"/>
    <w:rsid w:val="00EE2CD3"/>
    <w:rsid w:val="00EE2F94"/>
    <w:rsid w:val="00EE33F3"/>
    <w:rsid w:val="00EE3509"/>
    <w:rsid w:val="00EE3555"/>
    <w:rsid w:val="00EE37EC"/>
    <w:rsid w:val="00EE3A70"/>
    <w:rsid w:val="00EE3DA8"/>
    <w:rsid w:val="00EE3E60"/>
    <w:rsid w:val="00EE4183"/>
    <w:rsid w:val="00EE4361"/>
    <w:rsid w:val="00EE43D8"/>
    <w:rsid w:val="00EE44D5"/>
    <w:rsid w:val="00EE4794"/>
    <w:rsid w:val="00EE4E3D"/>
    <w:rsid w:val="00EE4EAA"/>
    <w:rsid w:val="00EE4FF0"/>
    <w:rsid w:val="00EE5431"/>
    <w:rsid w:val="00EE5AAD"/>
    <w:rsid w:val="00EE5E2A"/>
    <w:rsid w:val="00EE658F"/>
    <w:rsid w:val="00EE660E"/>
    <w:rsid w:val="00EE6803"/>
    <w:rsid w:val="00EE69C0"/>
    <w:rsid w:val="00EE6BB7"/>
    <w:rsid w:val="00EE6DB2"/>
    <w:rsid w:val="00EE6F2C"/>
    <w:rsid w:val="00EE79DC"/>
    <w:rsid w:val="00EE7B23"/>
    <w:rsid w:val="00EE7B3C"/>
    <w:rsid w:val="00EE7E64"/>
    <w:rsid w:val="00EE7F8F"/>
    <w:rsid w:val="00EF0155"/>
    <w:rsid w:val="00EF060F"/>
    <w:rsid w:val="00EF06EB"/>
    <w:rsid w:val="00EF09D4"/>
    <w:rsid w:val="00EF0ECB"/>
    <w:rsid w:val="00EF144E"/>
    <w:rsid w:val="00EF14CD"/>
    <w:rsid w:val="00EF18BA"/>
    <w:rsid w:val="00EF1EE9"/>
    <w:rsid w:val="00EF1FA2"/>
    <w:rsid w:val="00EF235C"/>
    <w:rsid w:val="00EF2868"/>
    <w:rsid w:val="00EF2C8A"/>
    <w:rsid w:val="00EF2D8E"/>
    <w:rsid w:val="00EF2E23"/>
    <w:rsid w:val="00EF2F61"/>
    <w:rsid w:val="00EF32EE"/>
    <w:rsid w:val="00EF34B7"/>
    <w:rsid w:val="00EF3D7C"/>
    <w:rsid w:val="00EF4060"/>
    <w:rsid w:val="00EF40A9"/>
    <w:rsid w:val="00EF430B"/>
    <w:rsid w:val="00EF49C3"/>
    <w:rsid w:val="00EF4E24"/>
    <w:rsid w:val="00EF50D5"/>
    <w:rsid w:val="00EF5225"/>
    <w:rsid w:val="00EF5B32"/>
    <w:rsid w:val="00EF61C9"/>
    <w:rsid w:val="00EF7579"/>
    <w:rsid w:val="00F001CC"/>
    <w:rsid w:val="00F00396"/>
    <w:rsid w:val="00F017E2"/>
    <w:rsid w:val="00F0187B"/>
    <w:rsid w:val="00F019DE"/>
    <w:rsid w:val="00F01B6A"/>
    <w:rsid w:val="00F01CC5"/>
    <w:rsid w:val="00F01D66"/>
    <w:rsid w:val="00F01F72"/>
    <w:rsid w:val="00F0239C"/>
    <w:rsid w:val="00F0244E"/>
    <w:rsid w:val="00F02F7A"/>
    <w:rsid w:val="00F0355E"/>
    <w:rsid w:val="00F03DBA"/>
    <w:rsid w:val="00F03FC6"/>
    <w:rsid w:val="00F04062"/>
    <w:rsid w:val="00F0412C"/>
    <w:rsid w:val="00F0431F"/>
    <w:rsid w:val="00F04611"/>
    <w:rsid w:val="00F0492F"/>
    <w:rsid w:val="00F04CAF"/>
    <w:rsid w:val="00F04EBD"/>
    <w:rsid w:val="00F05485"/>
    <w:rsid w:val="00F05A1E"/>
    <w:rsid w:val="00F05E36"/>
    <w:rsid w:val="00F05FF1"/>
    <w:rsid w:val="00F06174"/>
    <w:rsid w:val="00F0651D"/>
    <w:rsid w:val="00F068E1"/>
    <w:rsid w:val="00F06DE2"/>
    <w:rsid w:val="00F07791"/>
    <w:rsid w:val="00F077C3"/>
    <w:rsid w:val="00F07988"/>
    <w:rsid w:val="00F10008"/>
    <w:rsid w:val="00F10168"/>
    <w:rsid w:val="00F10390"/>
    <w:rsid w:val="00F1049D"/>
    <w:rsid w:val="00F10AEC"/>
    <w:rsid w:val="00F10BCB"/>
    <w:rsid w:val="00F11222"/>
    <w:rsid w:val="00F113E6"/>
    <w:rsid w:val="00F11663"/>
    <w:rsid w:val="00F11BC6"/>
    <w:rsid w:val="00F11D38"/>
    <w:rsid w:val="00F11E7F"/>
    <w:rsid w:val="00F11EA9"/>
    <w:rsid w:val="00F12269"/>
    <w:rsid w:val="00F12344"/>
    <w:rsid w:val="00F12658"/>
    <w:rsid w:val="00F12A56"/>
    <w:rsid w:val="00F12E50"/>
    <w:rsid w:val="00F13307"/>
    <w:rsid w:val="00F1351D"/>
    <w:rsid w:val="00F13608"/>
    <w:rsid w:val="00F1380E"/>
    <w:rsid w:val="00F13BF9"/>
    <w:rsid w:val="00F13C0D"/>
    <w:rsid w:val="00F14209"/>
    <w:rsid w:val="00F14583"/>
    <w:rsid w:val="00F14E20"/>
    <w:rsid w:val="00F14E7E"/>
    <w:rsid w:val="00F14E8B"/>
    <w:rsid w:val="00F151D5"/>
    <w:rsid w:val="00F151DA"/>
    <w:rsid w:val="00F1523D"/>
    <w:rsid w:val="00F15337"/>
    <w:rsid w:val="00F1551B"/>
    <w:rsid w:val="00F15601"/>
    <w:rsid w:val="00F15E7E"/>
    <w:rsid w:val="00F164D2"/>
    <w:rsid w:val="00F164D3"/>
    <w:rsid w:val="00F164D6"/>
    <w:rsid w:val="00F166BA"/>
    <w:rsid w:val="00F1684F"/>
    <w:rsid w:val="00F1722B"/>
    <w:rsid w:val="00F178CB"/>
    <w:rsid w:val="00F17B47"/>
    <w:rsid w:val="00F202B4"/>
    <w:rsid w:val="00F202C2"/>
    <w:rsid w:val="00F20403"/>
    <w:rsid w:val="00F204AA"/>
    <w:rsid w:val="00F20634"/>
    <w:rsid w:val="00F20859"/>
    <w:rsid w:val="00F209AF"/>
    <w:rsid w:val="00F20A63"/>
    <w:rsid w:val="00F216FE"/>
    <w:rsid w:val="00F21C62"/>
    <w:rsid w:val="00F21D47"/>
    <w:rsid w:val="00F21DE2"/>
    <w:rsid w:val="00F21EFC"/>
    <w:rsid w:val="00F22A09"/>
    <w:rsid w:val="00F22A17"/>
    <w:rsid w:val="00F2343F"/>
    <w:rsid w:val="00F23797"/>
    <w:rsid w:val="00F23E91"/>
    <w:rsid w:val="00F24097"/>
    <w:rsid w:val="00F24334"/>
    <w:rsid w:val="00F24479"/>
    <w:rsid w:val="00F244EB"/>
    <w:rsid w:val="00F245FE"/>
    <w:rsid w:val="00F25126"/>
    <w:rsid w:val="00F25585"/>
    <w:rsid w:val="00F2608D"/>
    <w:rsid w:val="00F26140"/>
    <w:rsid w:val="00F26734"/>
    <w:rsid w:val="00F26F57"/>
    <w:rsid w:val="00F270C8"/>
    <w:rsid w:val="00F27116"/>
    <w:rsid w:val="00F27641"/>
    <w:rsid w:val="00F27681"/>
    <w:rsid w:val="00F27E6F"/>
    <w:rsid w:val="00F27E7A"/>
    <w:rsid w:val="00F27E7E"/>
    <w:rsid w:val="00F30085"/>
    <w:rsid w:val="00F30099"/>
    <w:rsid w:val="00F302F0"/>
    <w:rsid w:val="00F309ED"/>
    <w:rsid w:val="00F30C2A"/>
    <w:rsid w:val="00F31012"/>
    <w:rsid w:val="00F313F1"/>
    <w:rsid w:val="00F31605"/>
    <w:rsid w:val="00F3170C"/>
    <w:rsid w:val="00F31783"/>
    <w:rsid w:val="00F324C9"/>
    <w:rsid w:val="00F32591"/>
    <w:rsid w:val="00F32B09"/>
    <w:rsid w:val="00F32CFA"/>
    <w:rsid w:val="00F33226"/>
    <w:rsid w:val="00F33378"/>
    <w:rsid w:val="00F3354E"/>
    <w:rsid w:val="00F337A3"/>
    <w:rsid w:val="00F33CDA"/>
    <w:rsid w:val="00F33F55"/>
    <w:rsid w:val="00F34879"/>
    <w:rsid w:val="00F34A46"/>
    <w:rsid w:val="00F34B8D"/>
    <w:rsid w:val="00F34D0A"/>
    <w:rsid w:val="00F34E6C"/>
    <w:rsid w:val="00F355D8"/>
    <w:rsid w:val="00F3563F"/>
    <w:rsid w:val="00F358C5"/>
    <w:rsid w:val="00F35B3D"/>
    <w:rsid w:val="00F36844"/>
    <w:rsid w:val="00F36A62"/>
    <w:rsid w:val="00F37017"/>
    <w:rsid w:val="00F375CC"/>
    <w:rsid w:val="00F37A05"/>
    <w:rsid w:val="00F4046D"/>
    <w:rsid w:val="00F40636"/>
    <w:rsid w:val="00F40BDA"/>
    <w:rsid w:val="00F40D27"/>
    <w:rsid w:val="00F4106A"/>
    <w:rsid w:val="00F413DC"/>
    <w:rsid w:val="00F41515"/>
    <w:rsid w:val="00F41522"/>
    <w:rsid w:val="00F416D7"/>
    <w:rsid w:val="00F417BD"/>
    <w:rsid w:val="00F418F3"/>
    <w:rsid w:val="00F41B19"/>
    <w:rsid w:val="00F41CBD"/>
    <w:rsid w:val="00F41E47"/>
    <w:rsid w:val="00F421ED"/>
    <w:rsid w:val="00F4236E"/>
    <w:rsid w:val="00F424D4"/>
    <w:rsid w:val="00F43719"/>
    <w:rsid w:val="00F43FBB"/>
    <w:rsid w:val="00F4432E"/>
    <w:rsid w:val="00F44B85"/>
    <w:rsid w:val="00F44C39"/>
    <w:rsid w:val="00F44F66"/>
    <w:rsid w:val="00F451B9"/>
    <w:rsid w:val="00F452A9"/>
    <w:rsid w:val="00F4546C"/>
    <w:rsid w:val="00F455EA"/>
    <w:rsid w:val="00F45D2D"/>
    <w:rsid w:val="00F46283"/>
    <w:rsid w:val="00F46634"/>
    <w:rsid w:val="00F46772"/>
    <w:rsid w:val="00F46C3C"/>
    <w:rsid w:val="00F46DAA"/>
    <w:rsid w:val="00F4712C"/>
    <w:rsid w:val="00F47473"/>
    <w:rsid w:val="00F4766C"/>
    <w:rsid w:val="00F47726"/>
    <w:rsid w:val="00F47AC3"/>
    <w:rsid w:val="00F50356"/>
    <w:rsid w:val="00F50549"/>
    <w:rsid w:val="00F50692"/>
    <w:rsid w:val="00F5092F"/>
    <w:rsid w:val="00F5093D"/>
    <w:rsid w:val="00F50AA4"/>
    <w:rsid w:val="00F50C6E"/>
    <w:rsid w:val="00F50D79"/>
    <w:rsid w:val="00F50FB5"/>
    <w:rsid w:val="00F51060"/>
    <w:rsid w:val="00F51304"/>
    <w:rsid w:val="00F513AA"/>
    <w:rsid w:val="00F51714"/>
    <w:rsid w:val="00F51ECE"/>
    <w:rsid w:val="00F51F98"/>
    <w:rsid w:val="00F52171"/>
    <w:rsid w:val="00F5220F"/>
    <w:rsid w:val="00F52254"/>
    <w:rsid w:val="00F522F6"/>
    <w:rsid w:val="00F5264B"/>
    <w:rsid w:val="00F5332F"/>
    <w:rsid w:val="00F534F8"/>
    <w:rsid w:val="00F5352C"/>
    <w:rsid w:val="00F535F3"/>
    <w:rsid w:val="00F5390C"/>
    <w:rsid w:val="00F53AC4"/>
    <w:rsid w:val="00F53C82"/>
    <w:rsid w:val="00F545A4"/>
    <w:rsid w:val="00F5473D"/>
    <w:rsid w:val="00F548A5"/>
    <w:rsid w:val="00F54B0C"/>
    <w:rsid w:val="00F54BB0"/>
    <w:rsid w:val="00F54D93"/>
    <w:rsid w:val="00F5509B"/>
    <w:rsid w:val="00F551E2"/>
    <w:rsid w:val="00F5545D"/>
    <w:rsid w:val="00F55526"/>
    <w:rsid w:val="00F55980"/>
    <w:rsid w:val="00F55D1C"/>
    <w:rsid w:val="00F55D2A"/>
    <w:rsid w:val="00F55E22"/>
    <w:rsid w:val="00F55F1F"/>
    <w:rsid w:val="00F56039"/>
    <w:rsid w:val="00F560B9"/>
    <w:rsid w:val="00F567A5"/>
    <w:rsid w:val="00F56E6D"/>
    <w:rsid w:val="00F56EBB"/>
    <w:rsid w:val="00F571AE"/>
    <w:rsid w:val="00F57C8E"/>
    <w:rsid w:val="00F57FCD"/>
    <w:rsid w:val="00F601C0"/>
    <w:rsid w:val="00F603F7"/>
    <w:rsid w:val="00F60458"/>
    <w:rsid w:val="00F60E18"/>
    <w:rsid w:val="00F611DE"/>
    <w:rsid w:val="00F61C16"/>
    <w:rsid w:val="00F621AF"/>
    <w:rsid w:val="00F62245"/>
    <w:rsid w:val="00F62320"/>
    <w:rsid w:val="00F6236E"/>
    <w:rsid w:val="00F62850"/>
    <w:rsid w:val="00F62C54"/>
    <w:rsid w:val="00F62EAB"/>
    <w:rsid w:val="00F63103"/>
    <w:rsid w:val="00F63178"/>
    <w:rsid w:val="00F631C3"/>
    <w:rsid w:val="00F63254"/>
    <w:rsid w:val="00F63599"/>
    <w:rsid w:val="00F636CF"/>
    <w:rsid w:val="00F6371D"/>
    <w:rsid w:val="00F64273"/>
    <w:rsid w:val="00F645F6"/>
    <w:rsid w:val="00F64DF2"/>
    <w:rsid w:val="00F654F8"/>
    <w:rsid w:val="00F6580B"/>
    <w:rsid w:val="00F65D96"/>
    <w:rsid w:val="00F66147"/>
    <w:rsid w:val="00F665D2"/>
    <w:rsid w:val="00F6695F"/>
    <w:rsid w:val="00F66C2B"/>
    <w:rsid w:val="00F66CA7"/>
    <w:rsid w:val="00F66E3F"/>
    <w:rsid w:val="00F670A2"/>
    <w:rsid w:val="00F670CA"/>
    <w:rsid w:val="00F67253"/>
    <w:rsid w:val="00F673E5"/>
    <w:rsid w:val="00F67D58"/>
    <w:rsid w:val="00F67EF9"/>
    <w:rsid w:val="00F70087"/>
    <w:rsid w:val="00F704F8"/>
    <w:rsid w:val="00F71051"/>
    <w:rsid w:val="00F71092"/>
    <w:rsid w:val="00F71681"/>
    <w:rsid w:val="00F716DC"/>
    <w:rsid w:val="00F71859"/>
    <w:rsid w:val="00F71961"/>
    <w:rsid w:val="00F71B31"/>
    <w:rsid w:val="00F71C3A"/>
    <w:rsid w:val="00F71CE9"/>
    <w:rsid w:val="00F720E9"/>
    <w:rsid w:val="00F7250A"/>
    <w:rsid w:val="00F72822"/>
    <w:rsid w:val="00F729DC"/>
    <w:rsid w:val="00F72ACC"/>
    <w:rsid w:val="00F72DD9"/>
    <w:rsid w:val="00F72EDC"/>
    <w:rsid w:val="00F7308B"/>
    <w:rsid w:val="00F736EF"/>
    <w:rsid w:val="00F73930"/>
    <w:rsid w:val="00F73A03"/>
    <w:rsid w:val="00F73EE2"/>
    <w:rsid w:val="00F740C9"/>
    <w:rsid w:val="00F74128"/>
    <w:rsid w:val="00F74147"/>
    <w:rsid w:val="00F742D5"/>
    <w:rsid w:val="00F7449C"/>
    <w:rsid w:val="00F74502"/>
    <w:rsid w:val="00F748B8"/>
    <w:rsid w:val="00F74C84"/>
    <w:rsid w:val="00F74D36"/>
    <w:rsid w:val="00F752F8"/>
    <w:rsid w:val="00F75903"/>
    <w:rsid w:val="00F759C9"/>
    <w:rsid w:val="00F759D4"/>
    <w:rsid w:val="00F7620C"/>
    <w:rsid w:val="00F76477"/>
    <w:rsid w:val="00F766F0"/>
    <w:rsid w:val="00F76783"/>
    <w:rsid w:val="00F76AE3"/>
    <w:rsid w:val="00F76D36"/>
    <w:rsid w:val="00F76D3D"/>
    <w:rsid w:val="00F76DB9"/>
    <w:rsid w:val="00F7713D"/>
    <w:rsid w:val="00F773D7"/>
    <w:rsid w:val="00F77872"/>
    <w:rsid w:val="00F778A9"/>
    <w:rsid w:val="00F77BE9"/>
    <w:rsid w:val="00F77E6D"/>
    <w:rsid w:val="00F803E2"/>
    <w:rsid w:val="00F80621"/>
    <w:rsid w:val="00F80DB8"/>
    <w:rsid w:val="00F80E2D"/>
    <w:rsid w:val="00F80F6E"/>
    <w:rsid w:val="00F811B2"/>
    <w:rsid w:val="00F8168E"/>
    <w:rsid w:val="00F81765"/>
    <w:rsid w:val="00F81C30"/>
    <w:rsid w:val="00F8236B"/>
    <w:rsid w:val="00F8237E"/>
    <w:rsid w:val="00F82649"/>
    <w:rsid w:val="00F82D3B"/>
    <w:rsid w:val="00F82E2E"/>
    <w:rsid w:val="00F82F1B"/>
    <w:rsid w:val="00F83422"/>
    <w:rsid w:val="00F835D7"/>
    <w:rsid w:val="00F8389E"/>
    <w:rsid w:val="00F83FA6"/>
    <w:rsid w:val="00F84244"/>
    <w:rsid w:val="00F84263"/>
    <w:rsid w:val="00F846AE"/>
    <w:rsid w:val="00F84742"/>
    <w:rsid w:val="00F84752"/>
    <w:rsid w:val="00F84D32"/>
    <w:rsid w:val="00F84D5C"/>
    <w:rsid w:val="00F84FE5"/>
    <w:rsid w:val="00F853AD"/>
    <w:rsid w:val="00F870D8"/>
    <w:rsid w:val="00F87420"/>
    <w:rsid w:val="00F874A9"/>
    <w:rsid w:val="00F87682"/>
    <w:rsid w:val="00F87985"/>
    <w:rsid w:val="00F87A0C"/>
    <w:rsid w:val="00F87CBA"/>
    <w:rsid w:val="00F87CCB"/>
    <w:rsid w:val="00F87E04"/>
    <w:rsid w:val="00F87F22"/>
    <w:rsid w:val="00F907EC"/>
    <w:rsid w:val="00F9096C"/>
    <w:rsid w:val="00F90F15"/>
    <w:rsid w:val="00F9107C"/>
    <w:rsid w:val="00F91288"/>
    <w:rsid w:val="00F91490"/>
    <w:rsid w:val="00F915E5"/>
    <w:rsid w:val="00F91AFF"/>
    <w:rsid w:val="00F91DA3"/>
    <w:rsid w:val="00F91E4A"/>
    <w:rsid w:val="00F92472"/>
    <w:rsid w:val="00F92563"/>
    <w:rsid w:val="00F92620"/>
    <w:rsid w:val="00F92DF9"/>
    <w:rsid w:val="00F92EB3"/>
    <w:rsid w:val="00F935C7"/>
    <w:rsid w:val="00F93EA7"/>
    <w:rsid w:val="00F9422E"/>
    <w:rsid w:val="00F946D0"/>
    <w:rsid w:val="00F94752"/>
    <w:rsid w:val="00F9477D"/>
    <w:rsid w:val="00F94C21"/>
    <w:rsid w:val="00F94E80"/>
    <w:rsid w:val="00F94F2B"/>
    <w:rsid w:val="00F95176"/>
    <w:rsid w:val="00F9539C"/>
    <w:rsid w:val="00F95948"/>
    <w:rsid w:val="00F9609C"/>
    <w:rsid w:val="00F9658A"/>
    <w:rsid w:val="00F967EA"/>
    <w:rsid w:val="00F9734D"/>
    <w:rsid w:val="00FA0194"/>
    <w:rsid w:val="00FA035D"/>
    <w:rsid w:val="00FA0522"/>
    <w:rsid w:val="00FA0614"/>
    <w:rsid w:val="00FA096B"/>
    <w:rsid w:val="00FA0A95"/>
    <w:rsid w:val="00FA0AB9"/>
    <w:rsid w:val="00FA11BE"/>
    <w:rsid w:val="00FA1439"/>
    <w:rsid w:val="00FA1840"/>
    <w:rsid w:val="00FA2147"/>
    <w:rsid w:val="00FA246D"/>
    <w:rsid w:val="00FA2762"/>
    <w:rsid w:val="00FA27FF"/>
    <w:rsid w:val="00FA2A5B"/>
    <w:rsid w:val="00FA2A6A"/>
    <w:rsid w:val="00FA2BFC"/>
    <w:rsid w:val="00FA2CC0"/>
    <w:rsid w:val="00FA37B7"/>
    <w:rsid w:val="00FA3A9A"/>
    <w:rsid w:val="00FA3B9B"/>
    <w:rsid w:val="00FA4437"/>
    <w:rsid w:val="00FA4685"/>
    <w:rsid w:val="00FA47C1"/>
    <w:rsid w:val="00FA4ADC"/>
    <w:rsid w:val="00FA4C58"/>
    <w:rsid w:val="00FA4C99"/>
    <w:rsid w:val="00FA4DE2"/>
    <w:rsid w:val="00FA5168"/>
    <w:rsid w:val="00FA51D3"/>
    <w:rsid w:val="00FA5658"/>
    <w:rsid w:val="00FA5661"/>
    <w:rsid w:val="00FA57FA"/>
    <w:rsid w:val="00FA61F4"/>
    <w:rsid w:val="00FA63E5"/>
    <w:rsid w:val="00FA6A07"/>
    <w:rsid w:val="00FA74F9"/>
    <w:rsid w:val="00FA7FA8"/>
    <w:rsid w:val="00FB01C3"/>
    <w:rsid w:val="00FB0941"/>
    <w:rsid w:val="00FB0A98"/>
    <w:rsid w:val="00FB0BBA"/>
    <w:rsid w:val="00FB0C45"/>
    <w:rsid w:val="00FB0DBF"/>
    <w:rsid w:val="00FB0DF4"/>
    <w:rsid w:val="00FB16BC"/>
    <w:rsid w:val="00FB16D2"/>
    <w:rsid w:val="00FB18CB"/>
    <w:rsid w:val="00FB192A"/>
    <w:rsid w:val="00FB1E57"/>
    <w:rsid w:val="00FB26B7"/>
    <w:rsid w:val="00FB2BC0"/>
    <w:rsid w:val="00FB2BD9"/>
    <w:rsid w:val="00FB2CE0"/>
    <w:rsid w:val="00FB3083"/>
    <w:rsid w:val="00FB3089"/>
    <w:rsid w:val="00FB3218"/>
    <w:rsid w:val="00FB34D5"/>
    <w:rsid w:val="00FB3671"/>
    <w:rsid w:val="00FB3D71"/>
    <w:rsid w:val="00FB3DCA"/>
    <w:rsid w:val="00FB3DD4"/>
    <w:rsid w:val="00FB4201"/>
    <w:rsid w:val="00FB4617"/>
    <w:rsid w:val="00FB54E7"/>
    <w:rsid w:val="00FB55E9"/>
    <w:rsid w:val="00FB5916"/>
    <w:rsid w:val="00FB5C68"/>
    <w:rsid w:val="00FB6272"/>
    <w:rsid w:val="00FB647D"/>
    <w:rsid w:val="00FB64C5"/>
    <w:rsid w:val="00FB6716"/>
    <w:rsid w:val="00FB6AFE"/>
    <w:rsid w:val="00FB6FEC"/>
    <w:rsid w:val="00FB7CA8"/>
    <w:rsid w:val="00FB7EA3"/>
    <w:rsid w:val="00FC00FF"/>
    <w:rsid w:val="00FC013F"/>
    <w:rsid w:val="00FC0188"/>
    <w:rsid w:val="00FC0393"/>
    <w:rsid w:val="00FC079D"/>
    <w:rsid w:val="00FC0CEF"/>
    <w:rsid w:val="00FC0ED4"/>
    <w:rsid w:val="00FC17B4"/>
    <w:rsid w:val="00FC1D5B"/>
    <w:rsid w:val="00FC25B5"/>
    <w:rsid w:val="00FC2A5A"/>
    <w:rsid w:val="00FC2E1B"/>
    <w:rsid w:val="00FC3016"/>
    <w:rsid w:val="00FC3272"/>
    <w:rsid w:val="00FC3759"/>
    <w:rsid w:val="00FC3C8B"/>
    <w:rsid w:val="00FC450F"/>
    <w:rsid w:val="00FC46CC"/>
    <w:rsid w:val="00FC473A"/>
    <w:rsid w:val="00FC52C1"/>
    <w:rsid w:val="00FC52F5"/>
    <w:rsid w:val="00FC52F8"/>
    <w:rsid w:val="00FC54A0"/>
    <w:rsid w:val="00FC55F9"/>
    <w:rsid w:val="00FC574B"/>
    <w:rsid w:val="00FC5BB8"/>
    <w:rsid w:val="00FC5BBF"/>
    <w:rsid w:val="00FC5FF6"/>
    <w:rsid w:val="00FC64E2"/>
    <w:rsid w:val="00FC68F7"/>
    <w:rsid w:val="00FC695D"/>
    <w:rsid w:val="00FC6B20"/>
    <w:rsid w:val="00FC6C0E"/>
    <w:rsid w:val="00FC6C7F"/>
    <w:rsid w:val="00FC7003"/>
    <w:rsid w:val="00FC71E6"/>
    <w:rsid w:val="00FC7292"/>
    <w:rsid w:val="00FC746F"/>
    <w:rsid w:val="00FD0386"/>
    <w:rsid w:val="00FD0529"/>
    <w:rsid w:val="00FD0813"/>
    <w:rsid w:val="00FD0C66"/>
    <w:rsid w:val="00FD0EA7"/>
    <w:rsid w:val="00FD1126"/>
    <w:rsid w:val="00FD13C1"/>
    <w:rsid w:val="00FD1C58"/>
    <w:rsid w:val="00FD1C7A"/>
    <w:rsid w:val="00FD1E75"/>
    <w:rsid w:val="00FD20FA"/>
    <w:rsid w:val="00FD2720"/>
    <w:rsid w:val="00FD2B64"/>
    <w:rsid w:val="00FD2DD8"/>
    <w:rsid w:val="00FD33E1"/>
    <w:rsid w:val="00FD39CF"/>
    <w:rsid w:val="00FD3B56"/>
    <w:rsid w:val="00FD3C81"/>
    <w:rsid w:val="00FD4061"/>
    <w:rsid w:val="00FD4483"/>
    <w:rsid w:val="00FD47EF"/>
    <w:rsid w:val="00FD4882"/>
    <w:rsid w:val="00FD49BF"/>
    <w:rsid w:val="00FD4B7F"/>
    <w:rsid w:val="00FD4BE5"/>
    <w:rsid w:val="00FD55F0"/>
    <w:rsid w:val="00FD5887"/>
    <w:rsid w:val="00FD60A6"/>
    <w:rsid w:val="00FD622A"/>
    <w:rsid w:val="00FD63CE"/>
    <w:rsid w:val="00FD641A"/>
    <w:rsid w:val="00FD6754"/>
    <w:rsid w:val="00FD67DE"/>
    <w:rsid w:val="00FD6937"/>
    <w:rsid w:val="00FD6A73"/>
    <w:rsid w:val="00FD70E5"/>
    <w:rsid w:val="00FD719C"/>
    <w:rsid w:val="00FD73BE"/>
    <w:rsid w:val="00FD74CC"/>
    <w:rsid w:val="00FD7ADD"/>
    <w:rsid w:val="00FD7AEC"/>
    <w:rsid w:val="00FD7B36"/>
    <w:rsid w:val="00FD7C66"/>
    <w:rsid w:val="00FD7CD5"/>
    <w:rsid w:val="00FD7D54"/>
    <w:rsid w:val="00FE03B8"/>
    <w:rsid w:val="00FE0C02"/>
    <w:rsid w:val="00FE0F39"/>
    <w:rsid w:val="00FE10D2"/>
    <w:rsid w:val="00FE1674"/>
    <w:rsid w:val="00FE16B2"/>
    <w:rsid w:val="00FE1A15"/>
    <w:rsid w:val="00FE1AFA"/>
    <w:rsid w:val="00FE1E15"/>
    <w:rsid w:val="00FE1EE9"/>
    <w:rsid w:val="00FE2B53"/>
    <w:rsid w:val="00FE2E9D"/>
    <w:rsid w:val="00FE39EA"/>
    <w:rsid w:val="00FE3B95"/>
    <w:rsid w:val="00FE3EAB"/>
    <w:rsid w:val="00FE3FE9"/>
    <w:rsid w:val="00FE40FE"/>
    <w:rsid w:val="00FE4BA1"/>
    <w:rsid w:val="00FE504F"/>
    <w:rsid w:val="00FE510C"/>
    <w:rsid w:val="00FE5153"/>
    <w:rsid w:val="00FE51F1"/>
    <w:rsid w:val="00FE55A1"/>
    <w:rsid w:val="00FE5A18"/>
    <w:rsid w:val="00FE615D"/>
    <w:rsid w:val="00FE62EB"/>
    <w:rsid w:val="00FE635E"/>
    <w:rsid w:val="00FE6512"/>
    <w:rsid w:val="00FE6666"/>
    <w:rsid w:val="00FE6E28"/>
    <w:rsid w:val="00FE75D4"/>
    <w:rsid w:val="00FE790E"/>
    <w:rsid w:val="00FE79CB"/>
    <w:rsid w:val="00FE7B5B"/>
    <w:rsid w:val="00FE7BE7"/>
    <w:rsid w:val="00FE7C4F"/>
    <w:rsid w:val="00FE7D73"/>
    <w:rsid w:val="00FF02B5"/>
    <w:rsid w:val="00FF03A3"/>
    <w:rsid w:val="00FF04DE"/>
    <w:rsid w:val="00FF082C"/>
    <w:rsid w:val="00FF0925"/>
    <w:rsid w:val="00FF0C2A"/>
    <w:rsid w:val="00FF0E37"/>
    <w:rsid w:val="00FF1094"/>
    <w:rsid w:val="00FF10AC"/>
    <w:rsid w:val="00FF1121"/>
    <w:rsid w:val="00FF1228"/>
    <w:rsid w:val="00FF18B9"/>
    <w:rsid w:val="00FF19AF"/>
    <w:rsid w:val="00FF1BE0"/>
    <w:rsid w:val="00FF2425"/>
    <w:rsid w:val="00FF2483"/>
    <w:rsid w:val="00FF24C5"/>
    <w:rsid w:val="00FF2726"/>
    <w:rsid w:val="00FF2C6F"/>
    <w:rsid w:val="00FF306A"/>
    <w:rsid w:val="00FF3418"/>
    <w:rsid w:val="00FF367A"/>
    <w:rsid w:val="00FF395C"/>
    <w:rsid w:val="00FF3B97"/>
    <w:rsid w:val="00FF4107"/>
    <w:rsid w:val="00FF410C"/>
    <w:rsid w:val="00FF4317"/>
    <w:rsid w:val="00FF4813"/>
    <w:rsid w:val="00FF4A81"/>
    <w:rsid w:val="00FF5044"/>
    <w:rsid w:val="00FF5472"/>
    <w:rsid w:val="00FF5990"/>
    <w:rsid w:val="00FF5F15"/>
    <w:rsid w:val="00FF632F"/>
    <w:rsid w:val="00FF6440"/>
    <w:rsid w:val="00FF6705"/>
    <w:rsid w:val="00FF6A33"/>
    <w:rsid w:val="00FF6BAD"/>
    <w:rsid w:val="00FF6D1F"/>
    <w:rsid w:val="00FF7066"/>
    <w:rsid w:val="00FF7199"/>
    <w:rsid w:val="00FF72EF"/>
    <w:rsid w:val="00FF7340"/>
    <w:rsid w:val="00FF7702"/>
    <w:rsid w:val="00FF7869"/>
    <w:rsid w:val="00FF7A4C"/>
    <w:rsid w:val="00FF7E1C"/>
    <w:rsid w:val="0152095C"/>
    <w:rsid w:val="015C07C8"/>
    <w:rsid w:val="01F6788C"/>
    <w:rsid w:val="022D70EE"/>
    <w:rsid w:val="02CC5507"/>
    <w:rsid w:val="033A0357"/>
    <w:rsid w:val="0376409B"/>
    <w:rsid w:val="037D5D52"/>
    <w:rsid w:val="03C91DB3"/>
    <w:rsid w:val="04E115F8"/>
    <w:rsid w:val="04F97E41"/>
    <w:rsid w:val="05D25225"/>
    <w:rsid w:val="068B4A5D"/>
    <w:rsid w:val="06B840D3"/>
    <w:rsid w:val="0705107A"/>
    <w:rsid w:val="07220478"/>
    <w:rsid w:val="07252BAE"/>
    <w:rsid w:val="08694915"/>
    <w:rsid w:val="095D5599"/>
    <w:rsid w:val="09997B15"/>
    <w:rsid w:val="09E76D64"/>
    <w:rsid w:val="0A0D0A5C"/>
    <w:rsid w:val="0AA536F8"/>
    <w:rsid w:val="0ABB3F29"/>
    <w:rsid w:val="0B4E1CF2"/>
    <w:rsid w:val="0B6B3E24"/>
    <w:rsid w:val="0B8850ED"/>
    <w:rsid w:val="0BB821B1"/>
    <w:rsid w:val="0BE5444A"/>
    <w:rsid w:val="0D8E6AFE"/>
    <w:rsid w:val="0E5B5671"/>
    <w:rsid w:val="0E7F5D5A"/>
    <w:rsid w:val="0EBC585C"/>
    <w:rsid w:val="0EEB796B"/>
    <w:rsid w:val="0EF5204E"/>
    <w:rsid w:val="0F0F1494"/>
    <w:rsid w:val="0F41595C"/>
    <w:rsid w:val="0F4A39B4"/>
    <w:rsid w:val="0F7A6322"/>
    <w:rsid w:val="0F8A51AA"/>
    <w:rsid w:val="0FE22425"/>
    <w:rsid w:val="10197C5A"/>
    <w:rsid w:val="103515A9"/>
    <w:rsid w:val="10663D99"/>
    <w:rsid w:val="11F65966"/>
    <w:rsid w:val="120079BB"/>
    <w:rsid w:val="12E40DFF"/>
    <w:rsid w:val="13101CA7"/>
    <w:rsid w:val="13672079"/>
    <w:rsid w:val="143D35B7"/>
    <w:rsid w:val="14AC1A29"/>
    <w:rsid w:val="14B1377E"/>
    <w:rsid w:val="14B945C0"/>
    <w:rsid w:val="14EA2982"/>
    <w:rsid w:val="157E4D79"/>
    <w:rsid w:val="15C70B57"/>
    <w:rsid w:val="15D243C3"/>
    <w:rsid w:val="165F5DB1"/>
    <w:rsid w:val="16A53913"/>
    <w:rsid w:val="175879D7"/>
    <w:rsid w:val="17954264"/>
    <w:rsid w:val="17D767BD"/>
    <w:rsid w:val="17F42BEF"/>
    <w:rsid w:val="182824E8"/>
    <w:rsid w:val="18334E32"/>
    <w:rsid w:val="18CC3941"/>
    <w:rsid w:val="195B14A0"/>
    <w:rsid w:val="19C0736E"/>
    <w:rsid w:val="19D33D23"/>
    <w:rsid w:val="1ABA2F04"/>
    <w:rsid w:val="1B3B35BC"/>
    <w:rsid w:val="1C466EA6"/>
    <w:rsid w:val="1C780DCE"/>
    <w:rsid w:val="1CC37AE9"/>
    <w:rsid w:val="1E1D2035"/>
    <w:rsid w:val="1E217973"/>
    <w:rsid w:val="1E74714E"/>
    <w:rsid w:val="1E8B2A95"/>
    <w:rsid w:val="1E8C1490"/>
    <w:rsid w:val="1F572CA6"/>
    <w:rsid w:val="1FC651F4"/>
    <w:rsid w:val="202E7B31"/>
    <w:rsid w:val="20C30ED8"/>
    <w:rsid w:val="217A27A6"/>
    <w:rsid w:val="21D52AAE"/>
    <w:rsid w:val="225A0AC7"/>
    <w:rsid w:val="22AD1E32"/>
    <w:rsid w:val="233B4D0A"/>
    <w:rsid w:val="23CE5E17"/>
    <w:rsid w:val="247D4E4B"/>
    <w:rsid w:val="25166688"/>
    <w:rsid w:val="25477298"/>
    <w:rsid w:val="2586172C"/>
    <w:rsid w:val="25916A5D"/>
    <w:rsid w:val="261F28B9"/>
    <w:rsid w:val="26267285"/>
    <w:rsid w:val="26C0594B"/>
    <w:rsid w:val="27083EDD"/>
    <w:rsid w:val="271448D5"/>
    <w:rsid w:val="273B34A6"/>
    <w:rsid w:val="27B7585C"/>
    <w:rsid w:val="27C62C34"/>
    <w:rsid w:val="27D70167"/>
    <w:rsid w:val="281414B4"/>
    <w:rsid w:val="28703AEF"/>
    <w:rsid w:val="289D1A99"/>
    <w:rsid w:val="298507CD"/>
    <w:rsid w:val="299E474C"/>
    <w:rsid w:val="29F65546"/>
    <w:rsid w:val="29FD1DDA"/>
    <w:rsid w:val="2A5E0C75"/>
    <w:rsid w:val="2A82705D"/>
    <w:rsid w:val="2AAA58FE"/>
    <w:rsid w:val="2B42013A"/>
    <w:rsid w:val="2B891A43"/>
    <w:rsid w:val="2BEE7991"/>
    <w:rsid w:val="2C9A4B09"/>
    <w:rsid w:val="2D183D2D"/>
    <w:rsid w:val="2D827100"/>
    <w:rsid w:val="2DD41054"/>
    <w:rsid w:val="2DE23C1E"/>
    <w:rsid w:val="2DF836C2"/>
    <w:rsid w:val="2E8219B6"/>
    <w:rsid w:val="2F3F1649"/>
    <w:rsid w:val="2FFE1178"/>
    <w:rsid w:val="302E4ECE"/>
    <w:rsid w:val="304E2BEC"/>
    <w:rsid w:val="30942B4B"/>
    <w:rsid w:val="31955933"/>
    <w:rsid w:val="32176DD1"/>
    <w:rsid w:val="32AB28C4"/>
    <w:rsid w:val="32F627F8"/>
    <w:rsid w:val="34403FBE"/>
    <w:rsid w:val="347134EF"/>
    <w:rsid w:val="34A225C8"/>
    <w:rsid w:val="34B9476F"/>
    <w:rsid w:val="34E11768"/>
    <w:rsid w:val="35105A05"/>
    <w:rsid w:val="352800ED"/>
    <w:rsid w:val="35496C03"/>
    <w:rsid w:val="35654D1C"/>
    <w:rsid w:val="357143DC"/>
    <w:rsid w:val="36023F84"/>
    <w:rsid w:val="362E2C64"/>
    <w:rsid w:val="371E1D7C"/>
    <w:rsid w:val="37797016"/>
    <w:rsid w:val="37A97BF5"/>
    <w:rsid w:val="37ED612E"/>
    <w:rsid w:val="381245E6"/>
    <w:rsid w:val="38227CEB"/>
    <w:rsid w:val="38315593"/>
    <w:rsid w:val="386C3073"/>
    <w:rsid w:val="391D3A21"/>
    <w:rsid w:val="39323C23"/>
    <w:rsid w:val="393B6AA9"/>
    <w:rsid w:val="398B0236"/>
    <w:rsid w:val="39CC48EA"/>
    <w:rsid w:val="3A58575B"/>
    <w:rsid w:val="3AED52D8"/>
    <w:rsid w:val="3B1829E0"/>
    <w:rsid w:val="3BB0174D"/>
    <w:rsid w:val="3BF13BC0"/>
    <w:rsid w:val="3C697685"/>
    <w:rsid w:val="3C997B97"/>
    <w:rsid w:val="3D2D5D84"/>
    <w:rsid w:val="3D4C60DB"/>
    <w:rsid w:val="3E0154B7"/>
    <w:rsid w:val="3E0279E0"/>
    <w:rsid w:val="3E465FDA"/>
    <w:rsid w:val="3E596F28"/>
    <w:rsid w:val="3E907A15"/>
    <w:rsid w:val="3EE64D51"/>
    <w:rsid w:val="3EED196C"/>
    <w:rsid w:val="3F1643FE"/>
    <w:rsid w:val="3F3667DD"/>
    <w:rsid w:val="3F426EF1"/>
    <w:rsid w:val="3F761B46"/>
    <w:rsid w:val="3F9F40E4"/>
    <w:rsid w:val="3FBD033F"/>
    <w:rsid w:val="3FE21F89"/>
    <w:rsid w:val="410B3892"/>
    <w:rsid w:val="4221617E"/>
    <w:rsid w:val="42361C61"/>
    <w:rsid w:val="42BE388A"/>
    <w:rsid w:val="436D18F0"/>
    <w:rsid w:val="43B7140F"/>
    <w:rsid w:val="442677A8"/>
    <w:rsid w:val="442A2361"/>
    <w:rsid w:val="444562E8"/>
    <w:rsid w:val="44A479CA"/>
    <w:rsid w:val="44E9587F"/>
    <w:rsid w:val="45840737"/>
    <w:rsid w:val="45897857"/>
    <w:rsid w:val="469755D4"/>
    <w:rsid w:val="469D7A9F"/>
    <w:rsid w:val="46FF55F8"/>
    <w:rsid w:val="470439E8"/>
    <w:rsid w:val="47264BF5"/>
    <w:rsid w:val="475F04D9"/>
    <w:rsid w:val="47722FD8"/>
    <w:rsid w:val="47F67761"/>
    <w:rsid w:val="48481609"/>
    <w:rsid w:val="49103587"/>
    <w:rsid w:val="4950333A"/>
    <w:rsid w:val="49A77A7A"/>
    <w:rsid w:val="49DE73E7"/>
    <w:rsid w:val="49FD5966"/>
    <w:rsid w:val="4A5C2AF3"/>
    <w:rsid w:val="4A954F42"/>
    <w:rsid w:val="4AFB7003"/>
    <w:rsid w:val="4B76544F"/>
    <w:rsid w:val="4B7D3173"/>
    <w:rsid w:val="4BD55F98"/>
    <w:rsid w:val="4C197C40"/>
    <w:rsid w:val="4C4B4D1E"/>
    <w:rsid w:val="4C591589"/>
    <w:rsid w:val="4C6A3846"/>
    <w:rsid w:val="4D07665F"/>
    <w:rsid w:val="4D375557"/>
    <w:rsid w:val="4D687044"/>
    <w:rsid w:val="4DFF164F"/>
    <w:rsid w:val="4E2D1BCB"/>
    <w:rsid w:val="4E5927BC"/>
    <w:rsid w:val="4F393E6C"/>
    <w:rsid w:val="501608B6"/>
    <w:rsid w:val="504D639E"/>
    <w:rsid w:val="505E72D1"/>
    <w:rsid w:val="51214388"/>
    <w:rsid w:val="51407A22"/>
    <w:rsid w:val="51801394"/>
    <w:rsid w:val="520E4BF2"/>
    <w:rsid w:val="521E49EF"/>
    <w:rsid w:val="523D2050"/>
    <w:rsid w:val="527B6A03"/>
    <w:rsid w:val="53950AB9"/>
    <w:rsid w:val="53996F2F"/>
    <w:rsid w:val="53D06549"/>
    <w:rsid w:val="541D4CF3"/>
    <w:rsid w:val="5474614D"/>
    <w:rsid w:val="54905C39"/>
    <w:rsid w:val="55703564"/>
    <w:rsid w:val="55744E9A"/>
    <w:rsid w:val="55D23AC2"/>
    <w:rsid w:val="56A41CDF"/>
    <w:rsid w:val="56CF6806"/>
    <w:rsid w:val="57C479FE"/>
    <w:rsid w:val="581C25D2"/>
    <w:rsid w:val="588554BF"/>
    <w:rsid w:val="58FF54B2"/>
    <w:rsid w:val="59A84D22"/>
    <w:rsid w:val="5A33177D"/>
    <w:rsid w:val="5A5977C6"/>
    <w:rsid w:val="5A7177C3"/>
    <w:rsid w:val="5AA806DB"/>
    <w:rsid w:val="5BE71637"/>
    <w:rsid w:val="5CEF4185"/>
    <w:rsid w:val="5D167649"/>
    <w:rsid w:val="5DA34350"/>
    <w:rsid w:val="5DED4D64"/>
    <w:rsid w:val="5E01097E"/>
    <w:rsid w:val="5E3219D4"/>
    <w:rsid w:val="5E4B6BE5"/>
    <w:rsid w:val="5E6553CA"/>
    <w:rsid w:val="5E9A0AA2"/>
    <w:rsid w:val="5E9D0703"/>
    <w:rsid w:val="5EED28C8"/>
    <w:rsid w:val="5EF77DEF"/>
    <w:rsid w:val="5EFA1BA1"/>
    <w:rsid w:val="5F10261A"/>
    <w:rsid w:val="5F907D7A"/>
    <w:rsid w:val="5FDC58C2"/>
    <w:rsid w:val="60344366"/>
    <w:rsid w:val="60A7544F"/>
    <w:rsid w:val="60DA78D4"/>
    <w:rsid w:val="61226A77"/>
    <w:rsid w:val="61DC3B62"/>
    <w:rsid w:val="61F94C7C"/>
    <w:rsid w:val="62152844"/>
    <w:rsid w:val="628A31A0"/>
    <w:rsid w:val="638858B0"/>
    <w:rsid w:val="6394611E"/>
    <w:rsid w:val="63B9382F"/>
    <w:rsid w:val="63DB2329"/>
    <w:rsid w:val="641355D8"/>
    <w:rsid w:val="642D42F7"/>
    <w:rsid w:val="64692F1B"/>
    <w:rsid w:val="64780FD6"/>
    <w:rsid w:val="64854185"/>
    <w:rsid w:val="665F0A00"/>
    <w:rsid w:val="677767FD"/>
    <w:rsid w:val="67A20B36"/>
    <w:rsid w:val="67A91ABD"/>
    <w:rsid w:val="685427BA"/>
    <w:rsid w:val="6893454B"/>
    <w:rsid w:val="68C83E35"/>
    <w:rsid w:val="69A70536"/>
    <w:rsid w:val="69D765FB"/>
    <w:rsid w:val="6AAA0C18"/>
    <w:rsid w:val="6AC74E83"/>
    <w:rsid w:val="6ADD1D20"/>
    <w:rsid w:val="6AF0589C"/>
    <w:rsid w:val="6C7F40AC"/>
    <w:rsid w:val="6C932355"/>
    <w:rsid w:val="6D057062"/>
    <w:rsid w:val="6D750218"/>
    <w:rsid w:val="6F10794C"/>
    <w:rsid w:val="6F53296F"/>
    <w:rsid w:val="6FD96E76"/>
    <w:rsid w:val="6FDE0036"/>
    <w:rsid w:val="6FE27BDD"/>
    <w:rsid w:val="707C14B3"/>
    <w:rsid w:val="70A7133C"/>
    <w:rsid w:val="70E722B1"/>
    <w:rsid w:val="71116787"/>
    <w:rsid w:val="71CC4283"/>
    <w:rsid w:val="71DF05E0"/>
    <w:rsid w:val="72531793"/>
    <w:rsid w:val="72DD5F04"/>
    <w:rsid w:val="73673BB6"/>
    <w:rsid w:val="73A54326"/>
    <w:rsid w:val="74AE16CD"/>
    <w:rsid w:val="75097E30"/>
    <w:rsid w:val="751A3DA1"/>
    <w:rsid w:val="75C279E7"/>
    <w:rsid w:val="75CC05C9"/>
    <w:rsid w:val="770123A8"/>
    <w:rsid w:val="77090411"/>
    <w:rsid w:val="77581A77"/>
    <w:rsid w:val="78086675"/>
    <w:rsid w:val="78276BA4"/>
    <w:rsid w:val="782D3716"/>
    <w:rsid w:val="784629AA"/>
    <w:rsid w:val="78A30EE5"/>
    <w:rsid w:val="78D97A8E"/>
    <w:rsid w:val="79543CC0"/>
    <w:rsid w:val="79545B7E"/>
    <w:rsid w:val="79A95C1E"/>
    <w:rsid w:val="7A6D415D"/>
    <w:rsid w:val="7AE26352"/>
    <w:rsid w:val="7B397BC8"/>
    <w:rsid w:val="7B6D79AF"/>
    <w:rsid w:val="7BAF5D14"/>
    <w:rsid w:val="7C297B4A"/>
    <w:rsid w:val="7C511150"/>
    <w:rsid w:val="7C7C6172"/>
    <w:rsid w:val="7D277876"/>
    <w:rsid w:val="7D6C0542"/>
    <w:rsid w:val="7D7E7C93"/>
    <w:rsid w:val="7E206371"/>
    <w:rsid w:val="7E713785"/>
    <w:rsid w:val="7E8775D1"/>
    <w:rsid w:val="7EF96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6878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uiPriority="0" w:qFormat="1"/>
    <w:lsdException w:name="page number" w:uiPriority="0" w:qFormat="1"/>
    <w:lsdException w:name="endnote reference" w:qFormat="1"/>
    <w:lsdException w:name="endnote text" w:qFormat="1"/>
    <w:lsdException w:name="table of authorities" w:semiHidden="1" w:unhideWhenUsed="1"/>
    <w:lsdException w:name="macro" w:semiHidden="1" w:unhideWhenUsed="1"/>
    <w:lsdException w:name="toa heading" w:qFormat="1"/>
    <w:lsdException w:name="List" w:uiPriority="0" w:qFormat="1"/>
    <w:lsdException w:name="List Bullet" w:qFormat="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unhideWhenUsed="1"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uiPriority="0" w:qFormat="1"/>
    <w:lsdException w:name="Body Text Indent 3" w:uiPriority="0" w:unhideWhenUsed="1" w:qFormat="1"/>
    <w:lsdException w:name="Block Text" w:uiPriority="0" w:qFormat="1"/>
    <w:lsdException w:name="Hyperlink" w:uiPriority="0" w:unhideWhenUsed="1" w:qFormat="1"/>
    <w:lsdException w:name="FollowedHyperlink" w:semiHidden="1" w:unhideWhenUsed="1" w:qFormat="1"/>
    <w:lsdException w:name="Strong" w:uiPriority="22" w:qFormat="1"/>
    <w:lsdException w:name="Emphasis" w:uiPriority="0" w:qFormat="1"/>
    <w:lsdException w:name="Document Map" w:uiPriority="0"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95E"/>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rsid w:val="00D40937"/>
    <w:pPr>
      <w:keepNext/>
      <w:spacing w:before="240" w:after="60"/>
      <w:outlineLvl w:val="0"/>
    </w:pPr>
    <w:rPr>
      <w:rFonts w:ascii="Cambria" w:hAnsi="Cambria"/>
      <w:b/>
      <w:bCs/>
      <w:kern w:val="32"/>
      <w:sz w:val="32"/>
      <w:szCs w:val="32"/>
    </w:rPr>
  </w:style>
  <w:style w:type="paragraph" w:styleId="Heading2">
    <w:name w:val="heading 2"/>
    <w:basedOn w:val="Normal"/>
    <w:next w:val="Text2"/>
    <w:link w:val="Heading2Char"/>
    <w:qFormat/>
    <w:pPr>
      <w:keepNext/>
      <w:numPr>
        <w:ilvl w:val="1"/>
        <w:numId w:val="1"/>
      </w:numPr>
      <w:outlineLvl w:val="1"/>
    </w:pPr>
    <w:rPr>
      <w:rFonts w:ascii="Cambria" w:hAnsi="Cambria"/>
      <w:b/>
      <w:bCs/>
      <w:i/>
      <w:iCs/>
      <w:sz w:val="28"/>
    </w:rPr>
  </w:style>
  <w:style w:type="paragraph" w:styleId="Heading3">
    <w:name w:val="heading 3"/>
    <w:basedOn w:val="Normal"/>
    <w:next w:val="Normal"/>
    <w:link w:val="Heading3Char"/>
    <w:unhideWhenUsed/>
    <w:qFormat/>
    <w:rsid w:val="00D4093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Text4"/>
    <w:link w:val="Heading4Char"/>
    <w:qFormat/>
    <w:pPr>
      <w:keepNext/>
      <w:numPr>
        <w:ilvl w:val="3"/>
        <w:numId w:val="1"/>
      </w:numPr>
      <w:outlineLvl w:val="3"/>
    </w:pPr>
    <w:rPr>
      <w:rFonts w:ascii="Calibri" w:hAnsi="Calibri"/>
      <w:b/>
      <w:bCs/>
      <w:sz w:val="28"/>
    </w:rPr>
  </w:style>
  <w:style w:type="paragraph" w:styleId="Heading5">
    <w:name w:val="heading 5"/>
    <w:basedOn w:val="Normal"/>
    <w:next w:val="Normal"/>
    <w:link w:val="Heading5Char"/>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spacing w:before="240" w:after="60"/>
      <w:outlineLvl w:val="5"/>
    </w:pPr>
    <w:rPr>
      <w:rFonts w:ascii="Calibri" w:hAnsi="Calibri"/>
      <w:b/>
      <w:bCs/>
      <w:szCs w:val="20"/>
    </w:rPr>
  </w:style>
  <w:style w:type="paragraph" w:styleId="Heading7">
    <w:name w:val="heading 7"/>
    <w:basedOn w:val="Normal"/>
    <w:next w:val="Normal"/>
    <w:link w:val="Heading7Char"/>
    <w:qFormat/>
    <w:pPr>
      <w:spacing w:before="240" w:after="60"/>
      <w:outlineLvl w:val="6"/>
    </w:pPr>
    <w:rPr>
      <w:rFonts w:ascii="Calibri" w:hAnsi="Calibri"/>
    </w:rPr>
  </w:style>
  <w:style w:type="paragraph" w:styleId="Heading8">
    <w:name w:val="heading 8"/>
    <w:basedOn w:val="Normal"/>
    <w:next w:val="Normal"/>
    <w:link w:val="Heading8Char"/>
    <w:qFormat/>
    <w:pPr>
      <w:spacing w:before="240" w:after="60"/>
      <w:outlineLvl w:val="7"/>
    </w:pPr>
    <w:rPr>
      <w:rFonts w:ascii="Calibri" w:hAnsi="Calibri"/>
      <w:i/>
      <w:iCs/>
    </w:rPr>
  </w:style>
  <w:style w:type="paragraph" w:styleId="Heading9">
    <w:name w:val="heading 9"/>
    <w:basedOn w:val="Normal"/>
    <w:next w:val="Normal"/>
    <w:link w:val="Heading9Char"/>
    <w:qFormat/>
    <w:pPr>
      <w:spacing w:before="240" w:after="60"/>
      <w:outlineLvl w:val="8"/>
    </w:pPr>
    <w:rPr>
      <w:rFonts w:ascii="Cambria" w:hAnsi="Cambria"/>
      <w:szCs w:val="20"/>
    </w:rPr>
  </w:style>
  <w:style w:type="character" w:default="1" w:styleId="DefaultParagraphFont">
    <w:name w:val="Default Paragraph Font"/>
    <w:uiPriority w:val="1"/>
    <w:semiHidden/>
    <w:unhideWhenUsed/>
    <w:rsid w:val="00B0395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0395E"/>
  </w:style>
  <w:style w:type="paragraph" w:customStyle="1" w:styleId="Text1">
    <w:name w:val="Text 1"/>
    <w:basedOn w:val="Normal"/>
    <w:qFormat/>
    <w:pPr>
      <w:ind w:left="851"/>
    </w:pPr>
  </w:style>
  <w:style w:type="paragraph" w:customStyle="1" w:styleId="Text2">
    <w:name w:val="Text 2"/>
    <w:basedOn w:val="Normal"/>
    <w:uiPriority w:val="99"/>
    <w:qFormat/>
    <w:pPr>
      <w:ind w:left="851"/>
    </w:pPr>
  </w:style>
  <w:style w:type="paragraph" w:customStyle="1" w:styleId="Text3">
    <w:name w:val="Text 3"/>
    <w:basedOn w:val="Normal"/>
    <w:uiPriority w:val="99"/>
    <w:qFormat/>
    <w:pPr>
      <w:ind w:left="851"/>
    </w:pPr>
  </w:style>
  <w:style w:type="paragraph" w:customStyle="1" w:styleId="Text4">
    <w:name w:val="Text 4"/>
    <w:basedOn w:val="Normal"/>
    <w:uiPriority w:val="99"/>
    <w:qFormat/>
    <w:pPr>
      <w:ind w:left="851"/>
    </w:pPr>
  </w:style>
  <w:style w:type="paragraph" w:styleId="BalloonText">
    <w:name w:val="Balloon Text"/>
    <w:basedOn w:val="Normal"/>
    <w:link w:val="BalloonTextChar"/>
    <w:uiPriority w:val="99"/>
    <w:unhideWhenUsed/>
    <w:qFormat/>
    <w:rPr>
      <w:rFonts w:ascii="Tahoma" w:hAnsi="Tahoma"/>
      <w:sz w:val="16"/>
      <w:szCs w:val="16"/>
    </w:rPr>
  </w:style>
  <w:style w:type="paragraph" w:styleId="BlockText">
    <w:name w:val="Block Text"/>
    <w:basedOn w:val="Normal"/>
    <w:qFormat/>
    <w:pPr>
      <w:pBdr>
        <w:top w:val="double" w:sz="6" w:space="3" w:color="auto"/>
        <w:left w:val="double" w:sz="6" w:space="3" w:color="auto"/>
        <w:bottom w:val="double" w:sz="6" w:space="3" w:color="auto"/>
        <w:right w:val="double" w:sz="6" w:space="3" w:color="auto"/>
      </w:pBdr>
      <w:shd w:val="pct10" w:color="auto" w:fill="auto"/>
      <w:overflowPunct w:val="0"/>
      <w:adjustRightInd w:val="0"/>
      <w:ind w:left="2410" w:right="2125"/>
      <w:jc w:val="center"/>
    </w:pPr>
    <w:rPr>
      <w:rFonts w:cs="Arial"/>
      <w:b/>
      <w:bCs/>
    </w:rPr>
  </w:style>
  <w:style w:type="paragraph" w:styleId="BodyText">
    <w:name w:val="Body Text"/>
    <w:basedOn w:val="Normal"/>
    <w:link w:val="BodyTextChar"/>
    <w:qFormat/>
    <w:pPr>
      <w:keepNext/>
      <w:tabs>
        <w:tab w:val="left" w:pos="709"/>
      </w:tabs>
      <w:spacing w:line="360" w:lineRule="auto"/>
    </w:pPr>
    <w:rPr>
      <w:lang w:eastAsia="bg-BG"/>
    </w:rPr>
  </w:style>
  <w:style w:type="paragraph" w:styleId="BodyText2">
    <w:name w:val="Body Text 2"/>
    <w:basedOn w:val="Normal"/>
    <w:link w:val="BodyText2Char"/>
    <w:qFormat/>
    <w:pPr>
      <w:spacing w:after="120" w:line="480" w:lineRule="auto"/>
    </w:pPr>
    <w:rPr>
      <w:snapToGrid w:val="0"/>
    </w:rPr>
  </w:style>
  <w:style w:type="paragraph" w:styleId="BodyText3">
    <w:name w:val="Body Text 3"/>
    <w:basedOn w:val="Normal"/>
    <w:link w:val="BodyText3Char"/>
    <w:unhideWhenUsed/>
    <w:qFormat/>
    <w:rPr>
      <w:sz w:val="16"/>
      <w:szCs w:val="16"/>
    </w:rPr>
  </w:style>
  <w:style w:type="paragraph" w:styleId="BodyTextIndent">
    <w:name w:val="Body Text Indent"/>
    <w:basedOn w:val="Normal"/>
    <w:link w:val="BodyTextIndentChar"/>
    <w:unhideWhenUsed/>
    <w:qFormat/>
    <w:pPr>
      <w:spacing w:after="120"/>
      <w:ind w:left="283"/>
    </w:pPr>
  </w:style>
  <w:style w:type="paragraph" w:styleId="BodyTextIndent2">
    <w:name w:val="Body Text Indent 2"/>
    <w:basedOn w:val="Normal"/>
    <w:link w:val="BodyTextIndent2Char"/>
    <w:qFormat/>
    <w:pPr>
      <w:spacing w:after="120" w:line="480" w:lineRule="auto"/>
      <w:ind w:left="283"/>
    </w:pPr>
    <w:rPr>
      <w:snapToGrid w:val="0"/>
    </w:rPr>
  </w:style>
  <w:style w:type="paragraph" w:styleId="BodyTextIndent3">
    <w:name w:val="Body Text Indent 3"/>
    <w:basedOn w:val="Normal"/>
    <w:link w:val="BodyTextIndent3Char"/>
    <w:unhideWhenUsed/>
    <w:qFormat/>
    <w:pPr>
      <w:ind w:left="283"/>
    </w:pPr>
    <w:rPr>
      <w:sz w:val="16"/>
      <w:szCs w:val="16"/>
    </w:rPr>
  </w:style>
  <w:style w:type="paragraph" w:styleId="Caption">
    <w:name w:val="caption"/>
    <w:basedOn w:val="Normal"/>
    <w:next w:val="Normal"/>
    <w:uiPriority w:val="99"/>
    <w:qFormat/>
    <w:rPr>
      <w:b/>
      <w:bCs/>
    </w:rPr>
  </w:style>
  <w:style w:type="character" w:styleId="CommentReference">
    <w:name w:val="annotation reference"/>
    <w:uiPriority w:val="99"/>
    <w:qFormat/>
    <w:rPr>
      <w:sz w:val="16"/>
      <w:szCs w:val="16"/>
    </w:rPr>
  </w:style>
  <w:style w:type="paragraph" w:styleId="CommentText">
    <w:name w:val="annotation text"/>
    <w:basedOn w:val="Normal"/>
    <w:link w:val="CommentTextChar"/>
    <w:qFormat/>
    <w:rPr>
      <w:szCs w:val="20"/>
    </w:rPr>
  </w:style>
  <w:style w:type="paragraph" w:styleId="CommentSubject">
    <w:name w:val="annotation subject"/>
    <w:basedOn w:val="CommentText"/>
    <w:next w:val="CommentText"/>
    <w:link w:val="CommentSubjectChar"/>
    <w:uiPriority w:val="99"/>
    <w:unhideWhenUsed/>
    <w:qFormat/>
    <w:rPr>
      <w:b/>
      <w:bCs/>
    </w:rPr>
  </w:style>
  <w:style w:type="paragraph" w:styleId="DocumentMap">
    <w:name w:val="Document Map"/>
    <w:basedOn w:val="Normal"/>
    <w:link w:val="DocumentMapChar"/>
    <w:qFormat/>
    <w:pPr>
      <w:shd w:val="clear" w:color="auto" w:fill="000080"/>
    </w:pPr>
    <w:rPr>
      <w:rFonts w:ascii="Tahoma" w:hAnsi="Tahoma"/>
      <w:szCs w:val="20"/>
    </w:rPr>
  </w:style>
  <w:style w:type="character" w:styleId="Emphasis">
    <w:name w:val="Emphasis"/>
    <w:qFormat/>
    <w:rPr>
      <w:rFonts w:cs="Times New Roman"/>
      <w:i/>
      <w:iCs/>
    </w:rPr>
  </w:style>
  <w:style w:type="character" w:styleId="EndnoteReference">
    <w:name w:val="endnote reference"/>
    <w:uiPriority w:val="99"/>
    <w:qFormat/>
    <w:rPr>
      <w:vertAlign w:val="superscript"/>
    </w:rPr>
  </w:style>
  <w:style w:type="paragraph" w:styleId="EndnoteText">
    <w:name w:val="endnote text"/>
    <w:basedOn w:val="Normal"/>
    <w:link w:val="EndnoteTextChar"/>
    <w:uiPriority w:val="99"/>
    <w:qFormat/>
    <w:rPr>
      <w:snapToGrid w:val="0"/>
      <w:szCs w:val="20"/>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qFormat/>
    <w:pPr>
      <w:tabs>
        <w:tab w:val="center" w:pos="4536"/>
        <w:tab w:val="right" w:pos="9072"/>
      </w:tabs>
      <w:spacing w:before="360"/>
    </w:pPr>
  </w:style>
  <w:style w:type="character" w:styleId="FootnoteReference">
    <w:name w:val="footnote reference"/>
    <w:qFormat/>
    <w:rPr>
      <w:vertAlign w:val="superscript"/>
    </w:rPr>
  </w:style>
  <w:style w:type="paragraph" w:styleId="FootnoteText">
    <w:name w:val="footnote text"/>
    <w:basedOn w:val="Normal"/>
    <w:link w:val="FootnoteTextChar"/>
    <w:qFormat/>
    <w:rPr>
      <w:szCs w:val="20"/>
    </w:rPr>
  </w:style>
  <w:style w:type="paragraph" w:styleId="Header">
    <w:name w:val="header"/>
    <w:basedOn w:val="Normal"/>
    <w:link w:val="HeaderChar"/>
    <w:qFormat/>
    <w:pPr>
      <w:tabs>
        <w:tab w:val="right" w:pos="8306"/>
      </w:tabs>
    </w:pPr>
  </w:style>
  <w:style w:type="paragraph" w:styleId="HTMLPreformatted">
    <w:name w:val="HTML Preformatted"/>
    <w:basedOn w:val="Normal"/>
    <w:link w:val="HTMLPreformattedChar"/>
    <w:uiPriority w:val="99"/>
    <w:unhideWhenUsed/>
    <w:rPr>
      <w:rFonts w:ascii="Consolas" w:hAnsi="Consolas"/>
      <w:sz w:val="20"/>
      <w:szCs w:val="20"/>
    </w:rPr>
  </w:style>
  <w:style w:type="character" w:styleId="Hyperlink">
    <w:name w:val="Hyperlink"/>
    <w:unhideWhenUsed/>
    <w:qFormat/>
    <w:rPr>
      <w:b/>
      <w:bCs/>
      <w:color w:val="002579"/>
      <w:u w:val="single"/>
    </w:rPr>
  </w:style>
  <w:style w:type="character" w:styleId="LineNumber">
    <w:name w:val="line number"/>
    <w:basedOn w:val="DefaultParagraphFont"/>
    <w:qFormat/>
  </w:style>
  <w:style w:type="paragraph" w:styleId="List">
    <w:name w:val="List"/>
    <w:basedOn w:val="BodyText"/>
    <w:qFormat/>
    <w:pPr>
      <w:keepNext w:val="0"/>
      <w:tabs>
        <w:tab w:val="clear" w:pos="709"/>
      </w:tabs>
      <w:suppressAutoHyphens/>
    </w:pPr>
    <w:rPr>
      <w:rFonts w:ascii="Liberation Sans" w:hAnsi="Liberation Sans" w:cs="Tahoma"/>
      <w:b/>
    </w:rPr>
  </w:style>
  <w:style w:type="paragraph" w:styleId="List2">
    <w:name w:val="List 2"/>
    <w:basedOn w:val="Normal"/>
    <w:qFormat/>
    <w:pPr>
      <w:ind w:left="566" w:hanging="283"/>
    </w:pPr>
  </w:style>
  <w:style w:type="paragraph" w:styleId="List3">
    <w:name w:val="List 3"/>
    <w:basedOn w:val="Normal"/>
    <w:qFormat/>
    <w:pPr>
      <w:ind w:left="849" w:hanging="283"/>
    </w:pPr>
  </w:style>
  <w:style w:type="paragraph" w:styleId="ListBullet">
    <w:name w:val="List Bullet"/>
    <w:basedOn w:val="Normal"/>
    <w:uiPriority w:val="99"/>
    <w:qFormat/>
    <w:pPr>
      <w:widowControl w:val="0"/>
      <w:tabs>
        <w:tab w:val="left" w:pos="851"/>
      </w:tabs>
      <w:spacing w:before="40"/>
      <w:ind w:left="850"/>
    </w:pPr>
    <w:rPr>
      <w:rFonts w:cs="Arial"/>
      <w:szCs w:val="20"/>
    </w:rPr>
  </w:style>
  <w:style w:type="paragraph" w:styleId="ListContinue2">
    <w:name w:val="List Continue 2"/>
    <w:basedOn w:val="Normal"/>
    <w:qFormat/>
    <w:pPr>
      <w:spacing w:after="120"/>
      <w:ind w:left="566"/>
    </w:pPr>
  </w:style>
  <w:style w:type="paragraph" w:styleId="NormalWeb">
    <w:name w:val="Normal (Web)"/>
    <w:basedOn w:val="Normal"/>
    <w:uiPriority w:val="99"/>
    <w:qFormat/>
    <w:pPr>
      <w:spacing w:before="101" w:after="101"/>
      <w:ind w:left="453" w:right="352"/>
    </w:pPr>
    <w:rPr>
      <w:rFonts w:eastAsia="Batang"/>
      <w:sz w:val="19"/>
      <w:szCs w:val="19"/>
      <w:lang w:eastAsia="bg-BG"/>
    </w:rPr>
  </w:style>
  <w:style w:type="paragraph" w:styleId="NormalIndent">
    <w:name w:val="Normal Indent"/>
    <w:basedOn w:val="Normal"/>
    <w:qFormat/>
    <w:pPr>
      <w:overflowPunct w:val="0"/>
      <w:adjustRightInd w:val="0"/>
      <w:spacing w:line="240" w:lineRule="exact"/>
      <w:ind w:left="708"/>
      <w:textAlignment w:val="baseline"/>
    </w:pPr>
  </w:style>
  <w:style w:type="character" w:styleId="PageNumber">
    <w:name w:val="page number"/>
    <w:qFormat/>
  </w:style>
  <w:style w:type="paragraph" w:styleId="PlainText">
    <w:name w:val="Plain Text"/>
    <w:basedOn w:val="Normal"/>
    <w:link w:val="PlainTextChar"/>
    <w:unhideWhenUsed/>
    <w:qFormat/>
    <w:rPr>
      <w:rFonts w:ascii="Calibri" w:eastAsia="Calibri" w:hAnsi="Calibri"/>
      <w:szCs w:val="21"/>
    </w:rPr>
  </w:style>
  <w:style w:type="character" w:styleId="Strong">
    <w:name w:val="Strong"/>
    <w:uiPriority w:val="22"/>
    <w:qFormat/>
    <w:rsid w:val="00D40937"/>
    <w:rPr>
      <w:b/>
      <w:bCs/>
    </w:rPr>
  </w:style>
  <w:style w:type="paragraph" w:styleId="Subtitle">
    <w:name w:val="Subtitle"/>
    <w:basedOn w:val="Normal"/>
    <w:link w:val="SubtitleChar"/>
    <w:qFormat/>
    <w:pPr>
      <w:tabs>
        <w:tab w:val="left" w:pos="851"/>
        <w:tab w:val="left" w:pos="1560"/>
      </w:tabs>
      <w:spacing w:line="240" w:lineRule="atLeast"/>
      <w:jc w:val="center"/>
    </w:pPr>
    <w:rPr>
      <w:b/>
      <w:bCs/>
      <w:snapToGrid w:val="0"/>
      <w:sz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snapToGrid w:val="0"/>
    </w:rPr>
  </w:style>
  <w:style w:type="paragraph" w:styleId="TOAHeading">
    <w:name w:val="toa heading"/>
    <w:basedOn w:val="Normal"/>
    <w:next w:val="Normal"/>
    <w:uiPriority w:val="99"/>
    <w:qFormat/>
    <w:rPr>
      <w:rFonts w:cs="Arial"/>
      <w:b/>
      <w:bCs/>
    </w:rPr>
  </w:style>
  <w:style w:type="paragraph" w:styleId="TOC1">
    <w:name w:val="toc 1"/>
    <w:next w:val="Normal"/>
    <w:uiPriority w:val="39"/>
    <w:qFormat/>
    <w:pPr>
      <w:tabs>
        <w:tab w:val="right" w:leader="dot" w:pos="9072"/>
      </w:tabs>
      <w:spacing w:before="200" w:after="100"/>
      <w:ind w:left="-142" w:right="567" w:hanging="142"/>
      <w:jc w:val="both"/>
    </w:pPr>
    <w:rPr>
      <w:rFonts w:ascii="Arial" w:hAnsi="Arial"/>
      <w:b/>
      <w:bCs/>
      <w:caps/>
      <w:lang w:bidi="bg-BG"/>
    </w:rPr>
  </w:style>
  <w:style w:type="paragraph" w:styleId="TOC2">
    <w:name w:val="toc 2"/>
    <w:next w:val="Normal"/>
    <w:uiPriority w:val="39"/>
    <w:qFormat/>
    <w:pPr>
      <w:spacing w:before="100"/>
      <w:ind w:left="85" w:right="567" w:hanging="142"/>
      <w:jc w:val="both"/>
    </w:pPr>
    <w:rPr>
      <w:rFonts w:ascii="Arial" w:hAnsi="Arial"/>
      <w:smallCaps/>
      <w:lang w:bidi="bg-BG"/>
    </w:rPr>
  </w:style>
  <w:style w:type="paragraph" w:styleId="TOC3">
    <w:name w:val="toc 3"/>
    <w:next w:val="Normal"/>
    <w:uiPriority w:val="39"/>
    <w:qFormat/>
    <w:pPr>
      <w:tabs>
        <w:tab w:val="right" w:leader="dot" w:pos="9072"/>
      </w:tabs>
      <w:ind w:left="142" w:right="567" w:hanging="142"/>
      <w:jc w:val="both"/>
    </w:pPr>
    <w:rPr>
      <w:rFonts w:ascii="Arial" w:hAnsi="Arial"/>
      <w:i/>
      <w:iCs/>
      <w:lang w:bidi="bg-BG"/>
    </w:rPr>
  </w:style>
  <w:style w:type="paragraph" w:styleId="TOC4">
    <w:name w:val="toc 4"/>
    <w:basedOn w:val="Normal"/>
    <w:next w:val="Normal"/>
    <w:uiPriority w:val="39"/>
    <w:qFormat/>
    <w:pPr>
      <w:ind w:left="600"/>
    </w:pPr>
    <w:rPr>
      <w:szCs w:val="18"/>
    </w:rPr>
  </w:style>
  <w:style w:type="paragraph" w:styleId="TOC5">
    <w:name w:val="toc 5"/>
    <w:basedOn w:val="Normal"/>
    <w:next w:val="Normal"/>
    <w:uiPriority w:val="39"/>
    <w:qFormat/>
    <w:pPr>
      <w:ind w:left="800"/>
    </w:pPr>
    <w:rPr>
      <w:rFonts w:ascii="Calibri" w:hAnsi="Calibri"/>
      <w:sz w:val="18"/>
      <w:szCs w:val="18"/>
    </w:rPr>
  </w:style>
  <w:style w:type="paragraph" w:styleId="TOC6">
    <w:name w:val="toc 6"/>
    <w:basedOn w:val="Normal"/>
    <w:next w:val="Normal"/>
    <w:uiPriority w:val="39"/>
    <w:qFormat/>
    <w:pPr>
      <w:ind w:left="1000"/>
    </w:pPr>
    <w:rPr>
      <w:rFonts w:ascii="Calibri" w:hAnsi="Calibri"/>
      <w:sz w:val="18"/>
      <w:szCs w:val="18"/>
    </w:rPr>
  </w:style>
  <w:style w:type="paragraph" w:styleId="TOC7">
    <w:name w:val="toc 7"/>
    <w:basedOn w:val="Normal"/>
    <w:next w:val="Normal"/>
    <w:uiPriority w:val="39"/>
    <w:qFormat/>
    <w:pPr>
      <w:ind w:left="1200"/>
    </w:pPr>
    <w:rPr>
      <w:rFonts w:ascii="Calibri" w:hAnsi="Calibri"/>
      <w:sz w:val="18"/>
      <w:szCs w:val="18"/>
    </w:rPr>
  </w:style>
  <w:style w:type="paragraph" w:styleId="TOC8">
    <w:name w:val="toc 8"/>
    <w:basedOn w:val="Normal"/>
    <w:next w:val="Normal"/>
    <w:uiPriority w:val="39"/>
    <w:qFormat/>
    <w:pPr>
      <w:ind w:left="1400"/>
    </w:pPr>
    <w:rPr>
      <w:rFonts w:ascii="Calibri" w:hAnsi="Calibri"/>
      <w:sz w:val="18"/>
      <w:szCs w:val="18"/>
    </w:rPr>
  </w:style>
  <w:style w:type="paragraph" w:styleId="TOC9">
    <w:name w:val="toc 9"/>
    <w:basedOn w:val="Normal"/>
    <w:next w:val="Normal"/>
    <w:uiPriority w:val="39"/>
    <w:qFormat/>
    <w:pPr>
      <w:ind w:left="1600"/>
    </w:pPr>
    <w:rPr>
      <w:rFonts w:ascii="Calibri" w:hAnsi="Calibri"/>
      <w:sz w:val="18"/>
      <w:szCs w:val="18"/>
    </w:rPr>
  </w:style>
  <w:style w:type="table" w:styleId="MediumGrid1-Accent2">
    <w:name w:val="Medium Grid 1 Accent 2"/>
    <w:basedOn w:val="TableNormal"/>
    <w:uiPriority w:val="67"/>
    <w:qFormat/>
    <w:rPr>
      <w:rFonts w:eastAsia="Calibri"/>
      <w:sz w:val="22"/>
      <w:szCs w:val="22"/>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Heading1Char">
    <w:name w:val="Heading 1 Char"/>
    <w:link w:val="Heading1"/>
    <w:rsid w:val="00D40937"/>
    <w:rPr>
      <w:rFonts w:ascii="Cambria" w:hAnsi="Cambria"/>
      <w:b/>
      <w:bCs/>
      <w:kern w:val="32"/>
      <w:sz w:val="32"/>
      <w:szCs w:val="32"/>
      <w:lang w:val="en-US" w:eastAsia="en-US"/>
    </w:rPr>
  </w:style>
  <w:style w:type="character" w:customStyle="1" w:styleId="Heading2Char">
    <w:name w:val="Heading 2 Char"/>
    <w:link w:val="Heading2"/>
    <w:qFormat/>
    <w:rPr>
      <w:rFonts w:ascii="Cambria" w:eastAsiaTheme="minorHAnsi" w:hAnsi="Cambria" w:cstheme="minorBidi"/>
      <w:b/>
      <w:bCs/>
      <w:i/>
      <w:iCs/>
      <w:sz w:val="28"/>
      <w:szCs w:val="22"/>
      <w:lang w:eastAsia="en-US"/>
    </w:rPr>
  </w:style>
  <w:style w:type="character" w:customStyle="1" w:styleId="Heading3Char">
    <w:name w:val="Heading 3 Char"/>
    <w:basedOn w:val="DefaultParagraphFont"/>
    <w:link w:val="Heading3"/>
    <w:rsid w:val="00D40937"/>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link w:val="Heading4"/>
    <w:qFormat/>
    <w:rPr>
      <w:rFonts w:eastAsiaTheme="minorHAnsi" w:cstheme="minorBidi"/>
      <w:b/>
      <w:bCs/>
      <w:sz w:val="28"/>
      <w:szCs w:val="22"/>
      <w:lang w:eastAsia="en-US"/>
    </w:rPr>
  </w:style>
  <w:style w:type="character" w:customStyle="1" w:styleId="Heading5Char">
    <w:name w:val="Heading 5 Char"/>
    <w:link w:val="Heading5"/>
    <w:uiPriority w:val="9"/>
    <w:qFormat/>
    <w:rPr>
      <w:b/>
      <w:bCs/>
      <w:i/>
      <w:iCs/>
      <w:sz w:val="26"/>
      <w:szCs w:val="26"/>
    </w:rPr>
  </w:style>
  <w:style w:type="character" w:customStyle="1" w:styleId="Heading6Char">
    <w:name w:val="Heading 6 Char"/>
    <w:link w:val="Heading6"/>
    <w:uiPriority w:val="9"/>
    <w:qFormat/>
    <w:rPr>
      <w:b/>
      <w:bCs/>
    </w:rPr>
  </w:style>
  <w:style w:type="character" w:customStyle="1" w:styleId="Heading7Char">
    <w:name w:val="Heading 7 Char"/>
    <w:link w:val="Heading7"/>
    <w:uiPriority w:val="9"/>
    <w:qFormat/>
    <w:rPr>
      <w:sz w:val="24"/>
      <w:szCs w:val="24"/>
    </w:rPr>
  </w:style>
  <w:style w:type="character" w:customStyle="1" w:styleId="Heading8Char">
    <w:name w:val="Heading 8 Char"/>
    <w:link w:val="Heading8"/>
    <w:uiPriority w:val="9"/>
    <w:qFormat/>
    <w:rPr>
      <w:i/>
      <w:iCs/>
      <w:sz w:val="24"/>
      <w:szCs w:val="24"/>
    </w:rPr>
  </w:style>
  <w:style w:type="character" w:customStyle="1" w:styleId="Heading9Char">
    <w:name w:val="Heading 9 Char"/>
    <w:link w:val="Heading9"/>
    <w:uiPriority w:val="9"/>
    <w:qFormat/>
    <w:rPr>
      <w:rFonts w:ascii="Cambria" w:eastAsia="Times New Roman" w:hAnsi="Cambria" w:cs="Times New Roman"/>
    </w:rPr>
  </w:style>
  <w:style w:type="paragraph" w:customStyle="1" w:styleId="Annexetitreacte">
    <w:name w:val="Annexe titre (acte)"/>
    <w:basedOn w:val="Normal"/>
    <w:next w:val="Normal"/>
    <w:qFormat/>
    <w:pPr>
      <w:jc w:val="center"/>
    </w:pPr>
    <w:rPr>
      <w:b/>
      <w:bCs/>
      <w:u w:val="single"/>
    </w:rPr>
  </w:style>
  <w:style w:type="paragraph" w:customStyle="1" w:styleId="Annexetitreexposglobal">
    <w:name w:val="Annexe titre (exposé global)"/>
    <w:basedOn w:val="Normal"/>
    <w:next w:val="Normal"/>
    <w:uiPriority w:val="99"/>
    <w:qFormat/>
    <w:pPr>
      <w:jc w:val="center"/>
    </w:pPr>
    <w:rPr>
      <w:b/>
      <w:bCs/>
      <w:u w:val="single"/>
    </w:rPr>
  </w:style>
  <w:style w:type="paragraph" w:customStyle="1" w:styleId="Annexetitreexpos">
    <w:name w:val="Annexe titre (exposé)"/>
    <w:basedOn w:val="Normal"/>
    <w:next w:val="Normal"/>
    <w:uiPriority w:val="99"/>
    <w:qFormat/>
    <w:pPr>
      <w:jc w:val="center"/>
    </w:pPr>
    <w:rPr>
      <w:b/>
      <w:bCs/>
      <w:u w:val="single"/>
    </w:rPr>
  </w:style>
  <w:style w:type="paragraph" w:customStyle="1" w:styleId="Annexetitrefichefinacte">
    <w:name w:val="Annexe titre (fiche fin. acte)"/>
    <w:basedOn w:val="Normal"/>
    <w:next w:val="Normal"/>
    <w:uiPriority w:val="99"/>
    <w:qFormat/>
    <w:pPr>
      <w:jc w:val="center"/>
    </w:pPr>
    <w:rPr>
      <w:b/>
      <w:bCs/>
      <w:u w:val="single"/>
    </w:rPr>
  </w:style>
  <w:style w:type="paragraph" w:customStyle="1" w:styleId="Annexetitrefichefinglobale">
    <w:name w:val="Annexe titre (fiche fin. globale)"/>
    <w:basedOn w:val="Normal"/>
    <w:next w:val="Normal"/>
    <w:uiPriority w:val="99"/>
    <w:qFormat/>
    <w:pPr>
      <w:jc w:val="center"/>
    </w:pPr>
    <w:rPr>
      <w:b/>
      <w:bCs/>
      <w:u w:val="single"/>
    </w:rPr>
  </w:style>
  <w:style w:type="paragraph" w:customStyle="1" w:styleId="Annexetitreglobale">
    <w:name w:val="Annexe titre (globale)"/>
    <w:basedOn w:val="Normal"/>
    <w:next w:val="Normal"/>
    <w:uiPriority w:val="99"/>
    <w:qFormat/>
    <w:pPr>
      <w:jc w:val="center"/>
    </w:pPr>
    <w:rPr>
      <w:b/>
      <w:bCs/>
      <w:u w:val="single"/>
    </w:rPr>
  </w:style>
  <w:style w:type="paragraph" w:customStyle="1" w:styleId="Applicationdirecte">
    <w:name w:val="Application directe"/>
    <w:basedOn w:val="Normal"/>
    <w:next w:val="Fait"/>
    <w:uiPriority w:val="99"/>
    <w:qFormat/>
    <w:pPr>
      <w:spacing w:before="480"/>
    </w:pPr>
  </w:style>
  <w:style w:type="paragraph" w:customStyle="1" w:styleId="Fait">
    <w:name w:val="Fait à"/>
    <w:basedOn w:val="Normal"/>
    <w:next w:val="Institutionquisigne"/>
    <w:uiPriority w:val="99"/>
    <w:qFormat/>
    <w:pPr>
      <w:keepNext/>
    </w:pPr>
  </w:style>
  <w:style w:type="paragraph" w:customStyle="1" w:styleId="Institutionquisigne">
    <w:name w:val="Institution qui signe"/>
    <w:basedOn w:val="Normal"/>
    <w:next w:val="Personnequisigne"/>
    <w:uiPriority w:val="99"/>
    <w:qFormat/>
    <w:pPr>
      <w:keepNext/>
      <w:tabs>
        <w:tab w:val="left" w:pos="4253"/>
      </w:tabs>
      <w:spacing w:before="720"/>
    </w:pPr>
    <w:rPr>
      <w:i/>
      <w:iCs/>
    </w:rPr>
  </w:style>
  <w:style w:type="paragraph" w:customStyle="1" w:styleId="Personnequisigne">
    <w:name w:val="Personne qui signe"/>
    <w:basedOn w:val="Normal"/>
    <w:next w:val="Institutionquisigne"/>
    <w:uiPriority w:val="99"/>
    <w:qFormat/>
    <w:pPr>
      <w:tabs>
        <w:tab w:val="left" w:pos="4253"/>
      </w:tabs>
    </w:pPr>
    <w:rPr>
      <w:i/>
      <w:iCs/>
    </w:rPr>
  </w:style>
  <w:style w:type="paragraph" w:customStyle="1" w:styleId="ChapterTitle">
    <w:name w:val="ChapterTitle"/>
    <w:basedOn w:val="Normal"/>
    <w:next w:val="Normal"/>
    <w:uiPriority w:val="99"/>
    <w:qFormat/>
    <w:pPr>
      <w:keepNext/>
      <w:spacing w:after="360"/>
      <w:jc w:val="center"/>
    </w:pPr>
    <w:rPr>
      <w:b/>
      <w:bCs/>
      <w:sz w:val="32"/>
      <w:szCs w:val="32"/>
    </w:rPr>
  </w:style>
  <w:style w:type="character" w:customStyle="1" w:styleId="CommentTextChar">
    <w:name w:val="Comment Text Char"/>
    <w:link w:val="CommentText"/>
    <w:qFormat/>
    <w:rPr>
      <w:rFonts w:ascii="Times New Roman" w:hAnsi="Times New Roman" w:cs="Times New Roman"/>
      <w:sz w:val="20"/>
      <w:szCs w:val="20"/>
    </w:rPr>
  </w:style>
  <w:style w:type="paragraph" w:customStyle="1" w:styleId="Confidence">
    <w:name w:val="Confidence"/>
    <w:basedOn w:val="Normal"/>
    <w:next w:val="Normal"/>
    <w:uiPriority w:val="99"/>
    <w:qFormat/>
    <w:pPr>
      <w:spacing w:before="360"/>
      <w:jc w:val="center"/>
    </w:pPr>
  </w:style>
  <w:style w:type="paragraph" w:customStyle="1" w:styleId="Corrigendum">
    <w:name w:val="Corrigendum"/>
    <w:basedOn w:val="Normal"/>
    <w:next w:val="Normal"/>
    <w:uiPriority w:val="99"/>
    <w:qFormat/>
    <w:pPr>
      <w:spacing w:after="240"/>
    </w:pPr>
  </w:style>
  <w:style w:type="paragraph" w:customStyle="1" w:styleId="Emission">
    <w:name w:val="Emission"/>
    <w:basedOn w:val="Normal"/>
    <w:next w:val="Rfrenceinstitutionelle"/>
    <w:uiPriority w:val="99"/>
    <w:qFormat/>
    <w:pPr>
      <w:ind w:left="5103"/>
    </w:pPr>
  </w:style>
  <w:style w:type="paragraph" w:customStyle="1" w:styleId="Rfrenceinstitutionelle">
    <w:name w:val="Référence institutionelle"/>
    <w:basedOn w:val="Normal"/>
    <w:next w:val="Statut"/>
    <w:uiPriority w:val="99"/>
    <w:pPr>
      <w:spacing w:after="240"/>
      <w:ind w:left="5103"/>
    </w:pPr>
  </w:style>
  <w:style w:type="paragraph" w:customStyle="1" w:styleId="Statut">
    <w:name w:val="Statut"/>
    <w:basedOn w:val="Normal"/>
    <w:next w:val="Typedudocument"/>
    <w:uiPriority w:val="99"/>
    <w:pPr>
      <w:spacing w:before="360"/>
      <w:jc w:val="center"/>
    </w:pPr>
  </w:style>
  <w:style w:type="paragraph" w:customStyle="1" w:styleId="Typedudocument">
    <w:name w:val="Type du document"/>
    <w:basedOn w:val="Normal"/>
    <w:next w:val="Datedadoption"/>
    <w:uiPriority w:val="99"/>
    <w:pPr>
      <w:spacing w:before="360"/>
      <w:jc w:val="center"/>
    </w:pPr>
    <w:rPr>
      <w:b/>
      <w:bCs/>
    </w:rPr>
  </w:style>
  <w:style w:type="paragraph" w:customStyle="1" w:styleId="Datedadoption">
    <w:name w:val="Date d'adoption"/>
    <w:basedOn w:val="Normal"/>
    <w:next w:val="Titreobjet"/>
    <w:uiPriority w:val="99"/>
    <w:pPr>
      <w:spacing w:before="360"/>
      <w:jc w:val="center"/>
    </w:pPr>
    <w:rPr>
      <w:b/>
      <w:bCs/>
    </w:rPr>
  </w:style>
  <w:style w:type="paragraph" w:customStyle="1" w:styleId="Titreobjet">
    <w:name w:val="Titre objet"/>
    <w:basedOn w:val="Normal"/>
    <w:next w:val="Sous-titreobjet"/>
    <w:uiPriority w:val="99"/>
    <w:pPr>
      <w:spacing w:before="360" w:after="360"/>
      <w:jc w:val="center"/>
    </w:pPr>
    <w:rPr>
      <w:b/>
      <w:bCs/>
    </w:rPr>
  </w:style>
  <w:style w:type="paragraph" w:customStyle="1" w:styleId="Sous-titreobjet">
    <w:name w:val="Sous-titre objet"/>
    <w:basedOn w:val="Titreobjet"/>
    <w:uiPriority w:val="99"/>
    <w:pPr>
      <w:spacing w:before="0" w:after="0"/>
    </w:pPr>
  </w:style>
  <w:style w:type="paragraph" w:customStyle="1" w:styleId="Exposdesmotifstitre">
    <w:name w:val="Exposé des motifs titre"/>
    <w:basedOn w:val="Normal"/>
    <w:next w:val="Normal"/>
    <w:uiPriority w:val="99"/>
    <w:pPr>
      <w:jc w:val="center"/>
    </w:pPr>
    <w:rPr>
      <w:b/>
      <w:bCs/>
      <w:u w:val="single"/>
    </w:rPr>
  </w:style>
  <w:style w:type="paragraph" w:customStyle="1" w:styleId="Exposdesmotifstitreglobal">
    <w:name w:val="Exposé des motifs titre (global)"/>
    <w:basedOn w:val="Normal"/>
    <w:next w:val="Normal"/>
    <w:uiPriority w:val="99"/>
    <w:pPr>
      <w:jc w:val="center"/>
    </w:pPr>
    <w:rPr>
      <w:b/>
      <w:bCs/>
      <w:u w:val="single"/>
    </w:rPr>
  </w:style>
  <w:style w:type="paragraph" w:customStyle="1" w:styleId="FichedimpactPMEtitre">
    <w:name w:val="Fiche d'impact PME titre"/>
    <w:basedOn w:val="Normal"/>
    <w:next w:val="Normal"/>
    <w:uiPriority w:val="99"/>
    <w:pPr>
      <w:jc w:val="center"/>
    </w:pPr>
    <w:rPr>
      <w:b/>
      <w:bCs/>
    </w:rPr>
  </w:style>
  <w:style w:type="paragraph" w:customStyle="1" w:styleId="Fichefinanciretextetable">
    <w:name w:val="Fiche financière texte (table)"/>
    <w:basedOn w:val="Normal"/>
    <w:uiPriority w:val="99"/>
    <w:rPr>
      <w:szCs w:val="20"/>
    </w:rPr>
  </w:style>
  <w:style w:type="paragraph" w:customStyle="1" w:styleId="Fichefinanciretitre">
    <w:name w:val="Fiche financière titre"/>
    <w:basedOn w:val="Normal"/>
    <w:next w:val="Normal"/>
    <w:uiPriority w:val="99"/>
    <w:pPr>
      <w:jc w:val="center"/>
    </w:pPr>
    <w:rPr>
      <w:b/>
      <w:bCs/>
      <w:u w:val="single"/>
    </w:rPr>
  </w:style>
  <w:style w:type="paragraph" w:customStyle="1" w:styleId="Fichefinanciretitreactetable">
    <w:name w:val="Fiche financière titre (acte table)"/>
    <w:basedOn w:val="Normal"/>
    <w:next w:val="Normal"/>
    <w:uiPriority w:val="99"/>
    <w:pPr>
      <w:jc w:val="center"/>
    </w:pPr>
    <w:rPr>
      <w:b/>
      <w:bCs/>
      <w:sz w:val="40"/>
      <w:szCs w:val="40"/>
    </w:rPr>
  </w:style>
  <w:style w:type="paragraph" w:customStyle="1" w:styleId="Fichefinanciretitreacte">
    <w:name w:val="Fiche financière titre (acte)"/>
    <w:basedOn w:val="Normal"/>
    <w:next w:val="Normal"/>
    <w:uiPriority w:val="99"/>
    <w:pPr>
      <w:jc w:val="center"/>
    </w:pPr>
    <w:rPr>
      <w:b/>
      <w:bCs/>
      <w:u w:val="single"/>
    </w:rPr>
  </w:style>
  <w:style w:type="paragraph" w:customStyle="1" w:styleId="Fichefinanciretitretable">
    <w:name w:val="Fiche financière titre (table)"/>
    <w:basedOn w:val="Normal"/>
    <w:uiPriority w:val="99"/>
    <w:pPr>
      <w:jc w:val="center"/>
    </w:pPr>
    <w:rPr>
      <w:b/>
      <w:bCs/>
      <w:sz w:val="40"/>
      <w:szCs w:val="40"/>
    </w:rPr>
  </w:style>
  <w:style w:type="character" w:customStyle="1" w:styleId="FooterChar">
    <w:name w:val="Footer Char"/>
    <w:link w:val="Footer"/>
    <w:uiPriority w:val="99"/>
    <w:rPr>
      <w:rFonts w:ascii="Times New Roman" w:hAnsi="Times New Roman" w:cs="Times New Roman"/>
      <w:sz w:val="24"/>
      <w:szCs w:val="24"/>
    </w:rPr>
  </w:style>
  <w:style w:type="character" w:customStyle="1" w:styleId="FootnoteTextChar">
    <w:name w:val="Footnote Text Char"/>
    <w:link w:val="FootnoteText"/>
    <w:rPr>
      <w:rFonts w:ascii="Times New Roman" w:hAnsi="Times New Roman" w:cs="Times New Roman"/>
      <w:sz w:val="20"/>
      <w:szCs w:val="20"/>
    </w:rPr>
  </w:style>
  <w:style w:type="paragraph" w:customStyle="1" w:styleId="Formuledadoption">
    <w:name w:val="Formule d'adoption"/>
    <w:basedOn w:val="Normal"/>
    <w:next w:val="Titrearticle"/>
    <w:uiPriority w:val="99"/>
    <w:pPr>
      <w:keepNext/>
    </w:pPr>
  </w:style>
  <w:style w:type="paragraph" w:customStyle="1" w:styleId="Titrearticle">
    <w:name w:val="Titre article"/>
    <w:basedOn w:val="Normal"/>
    <w:next w:val="Normal"/>
    <w:pPr>
      <w:keepNext/>
      <w:spacing w:before="360"/>
      <w:jc w:val="center"/>
    </w:pPr>
    <w:rPr>
      <w:i/>
      <w:iCs/>
    </w:rPr>
  </w:style>
  <w:style w:type="character" w:customStyle="1" w:styleId="HeaderChar">
    <w:name w:val="Header Char"/>
    <w:link w:val="Header"/>
    <w:rPr>
      <w:rFonts w:ascii="Times New Roman" w:hAnsi="Times New Roman" w:cs="Times New Roman"/>
      <w:sz w:val="24"/>
      <w:szCs w:val="24"/>
    </w:rPr>
  </w:style>
  <w:style w:type="paragraph" w:customStyle="1" w:styleId="Institutionquiagit">
    <w:name w:val="Institution qui agit"/>
    <w:basedOn w:val="Normal"/>
    <w:next w:val="Normal"/>
    <w:uiPriority w:val="99"/>
    <w:pPr>
      <w:keepNext/>
      <w:spacing w:before="600"/>
    </w:pPr>
  </w:style>
  <w:style w:type="paragraph" w:customStyle="1" w:styleId="Langue">
    <w:name w:val="Langue"/>
    <w:basedOn w:val="Normal"/>
    <w:next w:val="Rfrenceinterne"/>
    <w:uiPriority w:val="99"/>
    <w:pPr>
      <w:spacing w:after="600"/>
      <w:jc w:val="center"/>
    </w:pPr>
    <w:rPr>
      <w:b/>
      <w:bCs/>
      <w:caps/>
    </w:rPr>
  </w:style>
  <w:style w:type="paragraph" w:customStyle="1" w:styleId="Rfrenceinterne">
    <w:name w:val="Référence interne"/>
    <w:basedOn w:val="Normal"/>
    <w:next w:val="Nomdelinstitution"/>
    <w:uiPriority w:val="99"/>
    <w:pPr>
      <w:spacing w:after="600"/>
      <w:jc w:val="center"/>
    </w:pPr>
    <w:rPr>
      <w:b/>
      <w:bCs/>
    </w:rPr>
  </w:style>
  <w:style w:type="paragraph" w:customStyle="1" w:styleId="Nomdelinstitution">
    <w:name w:val="Nom de l'institution"/>
    <w:basedOn w:val="Normal"/>
    <w:next w:val="Emission"/>
    <w:uiPriority w:val="99"/>
    <w:rPr>
      <w:rFonts w:cs="Arial"/>
    </w:rPr>
  </w:style>
  <w:style w:type="paragraph" w:customStyle="1" w:styleId="Langueoriginale">
    <w:name w:val="Langue originale"/>
    <w:basedOn w:val="Normal"/>
    <w:next w:val="Phrasefinale"/>
    <w:uiPriority w:val="99"/>
    <w:pPr>
      <w:spacing w:before="360"/>
      <w:jc w:val="center"/>
    </w:pPr>
    <w:rPr>
      <w:caps/>
    </w:rPr>
  </w:style>
  <w:style w:type="paragraph" w:customStyle="1" w:styleId="Phrasefinale">
    <w:name w:val="Phrase finale"/>
    <w:basedOn w:val="Normal"/>
    <w:next w:val="Normal"/>
    <w:uiPriority w:val="99"/>
    <w:pPr>
      <w:spacing w:before="360"/>
      <w:jc w:val="center"/>
    </w:pPr>
  </w:style>
  <w:style w:type="paragraph" w:customStyle="1" w:styleId="ManualHeading1">
    <w:name w:val="Manual Heading 1"/>
    <w:basedOn w:val="Heading1"/>
    <w:next w:val="Text1"/>
    <w:uiPriority w:val="99"/>
    <w:pPr>
      <w:tabs>
        <w:tab w:val="left" w:pos="851"/>
      </w:tabs>
      <w:ind w:left="851" w:hanging="851"/>
    </w:pPr>
  </w:style>
  <w:style w:type="paragraph" w:customStyle="1" w:styleId="ManualHeading2">
    <w:name w:val="Manual Heading 2"/>
    <w:basedOn w:val="Heading2"/>
    <w:next w:val="Text2"/>
    <w:uiPriority w:val="99"/>
    <w:pPr>
      <w:tabs>
        <w:tab w:val="clear" w:pos="850"/>
        <w:tab w:val="left" w:pos="851"/>
      </w:tabs>
      <w:ind w:left="851" w:hanging="851"/>
    </w:pPr>
  </w:style>
  <w:style w:type="paragraph" w:customStyle="1" w:styleId="ManualHeading3">
    <w:name w:val="Manual Heading 3"/>
    <w:basedOn w:val="Heading3"/>
    <w:next w:val="Text3"/>
    <w:uiPriority w:val="99"/>
    <w:pPr>
      <w:tabs>
        <w:tab w:val="left" w:pos="851"/>
      </w:tabs>
    </w:pPr>
  </w:style>
  <w:style w:type="paragraph" w:customStyle="1" w:styleId="ManualHeading4">
    <w:name w:val="Manual Heading 4"/>
    <w:basedOn w:val="Heading4"/>
    <w:next w:val="Text4"/>
    <w:uiPriority w:val="99"/>
    <w:pPr>
      <w:tabs>
        <w:tab w:val="clear" w:pos="850"/>
        <w:tab w:val="left" w:pos="851"/>
      </w:tabs>
    </w:pPr>
  </w:style>
  <w:style w:type="paragraph" w:customStyle="1" w:styleId="ManualNumPar1">
    <w:name w:val="Manual NumPar 1"/>
    <w:basedOn w:val="Normal"/>
    <w:next w:val="Text1"/>
    <w:pPr>
      <w:ind w:left="851" w:hanging="851"/>
    </w:pPr>
  </w:style>
  <w:style w:type="paragraph" w:customStyle="1" w:styleId="ManualNumPar2">
    <w:name w:val="Manual NumPar 2"/>
    <w:basedOn w:val="Normal"/>
    <w:next w:val="Text2"/>
    <w:uiPriority w:val="99"/>
    <w:pPr>
      <w:ind w:left="851" w:hanging="851"/>
    </w:pPr>
  </w:style>
  <w:style w:type="paragraph" w:customStyle="1" w:styleId="ManualNumPar3">
    <w:name w:val="Manual NumPar 3"/>
    <w:basedOn w:val="Normal"/>
    <w:next w:val="Text3"/>
    <w:uiPriority w:val="99"/>
    <w:pPr>
      <w:ind w:left="851" w:hanging="851"/>
    </w:pPr>
  </w:style>
  <w:style w:type="paragraph" w:customStyle="1" w:styleId="ManualNumPar4">
    <w:name w:val="Manual NumPar 4"/>
    <w:basedOn w:val="Normal"/>
    <w:next w:val="Text4"/>
    <w:uiPriority w:val="99"/>
    <w:pPr>
      <w:ind w:left="851" w:hanging="851"/>
    </w:pPr>
  </w:style>
  <w:style w:type="character" w:customStyle="1" w:styleId="Marker">
    <w:name w:val="Marker"/>
    <w:uiPriority w:val="99"/>
    <w:rPr>
      <w:color w:val="0000FF"/>
    </w:rPr>
  </w:style>
  <w:style w:type="paragraph" w:customStyle="1" w:styleId="NormalCentered">
    <w:name w:val="Normal Centered"/>
    <w:basedOn w:val="Normal"/>
    <w:pPr>
      <w:jc w:val="center"/>
    </w:pPr>
  </w:style>
  <w:style w:type="paragraph" w:customStyle="1" w:styleId="NormalLeft">
    <w:name w:val="Normal Left"/>
    <w:basedOn w:val="Normal"/>
  </w:style>
  <w:style w:type="paragraph" w:customStyle="1" w:styleId="NormalRight">
    <w:name w:val="Normal Right"/>
    <w:basedOn w:val="Normal"/>
    <w:uiPriority w:val="99"/>
    <w:pPr>
      <w:jc w:val="right"/>
    </w:pPr>
  </w:style>
  <w:style w:type="paragraph" w:customStyle="1" w:styleId="NumPar1">
    <w:name w:val="NumPar 1"/>
    <w:basedOn w:val="Normal"/>
    <w:next w:val="Text1"/>
    <w:pPr>
      <w:numPr>
        <w:numId w:val="2"/>
      </w:numPr>
    </w:pPr>
  </w:style>
  <w:style w:type="paragraph" w:customStyle="1" w:styleId="NumPar2">
    <w:name w:val="NumPar 2"/>
    <w:basedOn w:val="Normal"/>
    <w:next w:val="Text2"/>
    <w:pPr>
      <w:numPr>
        <w:ilvl w:val="1"/>
        <w:numId w:val="2"/>
      </w:numPr>
    </w:pPr>
  </w:style>
  <w:style w:type="paragraph" w:customStyle="1" w:styleId="NumPar3">
    <w:name w:val="NumPar 3"/>
    <w:basedOn w:val="Normal"/>
    <w:next w:val="Text3"/>
    <w:pPr>
      <w:numPr>
        <w:ilvl w:val="2"/>
        <w:numId w:val="2"/>
      </w:numPr>
    </w:pPr>
  </w:style>
  <w:style w:type="paragraph" w:customStyle="1" w:styleId="NumPar4">
    <w:name w:val="NumPar 4"/>
    <w:basedOn w:val="Normal"/>
    <w:next w:val="Text4"/>
    <w:pPr>
      <w:numPr>
        <w:ilvl w:val="3"/>
        <w:numId w:val="2"/>
      </w:numPr>
    </w:pPr>
  </w:style>
  <w:style w:type="paragraph" w:customStyle="1" w:styleId="Objetexterne">
    <w:name w:val="Objet externe"/>
    <w:basedOn w:val="Normal"/>
    <w:next w:val="Normal"/>
    <w:uiPriority w:val="99"/>
    <w:rPr>
      <w:i/>
      <w:iCs/>
      <w:caps/>
    </w:rPr>
  </w:style>
  <w:style w:type="paragraph" w:customStyle="1" w:styleId="PartTitle">
    <w:name w:val="PartTitle"/>
    <w:basedOn w:val="Normal"/>
    <w:next w:val="ChapterTitle"/>
    <w:uiPriority w:val="99"/>
    <w:pPr>
      <w:keepNext/>
      <w:pageBreakBefore/>
      <w:spacing w:after="360"/>
      <w:jc w:val="center"/>
    </w:pPr>
    <w:rPr>
      <w:b/>
      <w:bCs/>
      <w:sz w:val="36"/>
      <w:szCs w:val="36"/>
    </w:rPr>
  </w:style>
  <w:style w:type="paragraph" w:customStyle="1" w:styleId="Point0">
    <w:name w:val="Point 0"/>
    <w:basedOn w:val="Normal"/>
    <w:uiPriority w:val="99"/>
    <w:pPr>
      <w:ind w:left="851" w:hanging="851"/>
    </w:pPr>
  </w:style>
  <w:style w:type="paragraph" w:customStyle="1" w:styleId="Point1">
    <w:name w:val="Point 1"/>
    <w:basedOn w:val="Normal"/>
    <w:pPr>
      <w:ind w:left="1418" w:hanging="567"/>
    </w:pPr>
  </w:style>
  <w:style w:type="paragraph" w:customStyle="1" w:styleId="Point2">
    <w:name w:val="Point 2"/>
    <w:basedOn w:val="Normal"/>
    <w:uiPriority w:val="99"/>
    <w:pPr>
      <w:ind w:left="1985" w:hanging="567"/>
    </w:pPr>
  </w:style>
  <w:style w:type="paragraph" w:customStyle="1" w:styleId="Point3">
    <w:name w:val="Point 3"/>
    <w:basedOn w:val="Normal"/>
    <w:uiPriority w:val="99"/>
    <w:pPr>
      <w:ind w:left="2552" w:hanging="567"/>
    </w:pPr>
  </w:style>
  <w:style w:type="paragraph" w:customStyle="1" w:styleId="Point4">
    <w:name w:val="Point 4"/>
    <w:basedOn w:val="Normal"/>
    <w:uiPriority w:val="99"/>
    <w:pPr>
      <w:ind w:left="3119" w:hanging="567"/>
    </w:pPr>
  </w:style>
  <w:style w:type="paragraph" w:customStyle="1" w:styleId="PointDouble0">
    <w:name w:val="PointDouble 0"/>
    <w:basedOn w:val="Normal"/>
    <w:uiPriority w:val="99"/>
    <w:pPr>
      <w:tabs>
        <w:tab w:val="left" w:pos="851"/>
      </w:tabs>
      <w:ind w:left="1418" w:hanging="1418"/>
    </w:pPr>
  </w:style>
  <w:style w:type="paragraph" w:customStyle="1" w:styleId="PointDouble1">
    <w:name w:val="PointDouble 1"/>
    <w:basedOn w:val="Normal"/>
    <w:uiPriority w:val="99"/>
    <w:qFormat/>
    <w:pPr>
      <w:tabs>
        <w:tab w:val="left" w:pos="1418"/>
      </w:tabs>
      <w:ind w:left="1985" w:hanging="1134"/>
    </w:pPr>
  </w:style>
  <w:style w:type="paragraph" w:customStyle="1" w:styleId="PointDouble2">
    <w:name w:val="PointDouble 2"/>
    <w:basedOn w:val="Normal"/>
    <w:uiPriority w:val="99"/>
    <w:pPr>
      <w:tabs>
        <w:tab w:val="left" w:pos="1985"/>
      </w:tabs>
      <w:ind w:left="2552" w:hanging="1134"/>
    </w:pPr>
  </w:style>
  <w:style w:type="paragraph" w:customStyle="1" w:styleId="PointDouble3">
    <w:name w:val="PointDouble 3"/>
    <w:basedOn w:val="Normal"/>
    <w:uiPriority w:val="99"/>
    <w:pPr>
      <w:tabs>
        <w:tab w:val="left" w:pos="2552"/>
      </w:tabs>
      <w:ind w:left="3119" w:hanging="1134"/>
    </w:pPr>
  </w:style>
  <w:style w:type="paragraph" w:customStyle="1" w:styleId="PointDouble4">
    <w:name w:val="PointDouble 4"/>
    <w:basedOn w:val="Normal"/>
    <w:uiPriority w:val="99"/>
    <w:pPr>
      <w:tabs>
        <w:tab w:val="left" w:pos="3119"/>
      </w:tabs>
      <w:ind w:left="3686" w:hanging="1134"/>
    </w:pPr>
  </w:style>
  <w:style w:type="paragraph" w:customStyle="1" w:styleId="PointTriple0">
    <w:name w:val="PointTriple 0"/>
    <w:basedOn w:val="Normal"/>
    <w:uiPriority w:val="99"/>
    <w:pPr>
      <w:tabs>
        <w:tab w:val="left" w:pos="851"/>
        <w:tab w:val="left" w:pos="1418"/>
      </w:tabs>
      <w:ind w:left="1985" w:hanging="1985"/>
    </w:pPr>
  </w:style>
  <w:style w:type="paragraph" w:customStyle="1" w:styleId="PointTriple1">
    <w:name w:val="PointTriple 1"/>
    <w:basedOn w:val="Normal"/>
    <w:uiPriority w:val="99"/>
    <w:pPr>
      <w:tabs>
        <w:tab w:val="left" w:pos="1418"/>
        <w:tab w:val="left" w:pos="1985"/>
      </w:tabs>
      <w:ind w:left="2552" w:hanging="1701"/>
    </w:pPr>
  </w:style>
  <w:style w:type="paragraph" w:customStyle="1" w:styleId="PointTriple2">
    <w:name w:val="PointTriple 2"/>
    <w:basedOn w:val="Normal"/>
    <w:uiPriority w:val="99"/>
    <w:pPr>
      <w:tabs>
        <w:tab w:val="left" w:pos="1985"/>
        <w:tab w:val="left" w:pos="2552"/>
      </w:tabs>
      <w:ind w:left="3119" w:hanging="1701"/>
    </w:pPr>
  </w:style>
  <w:style w:type="paragraph" w:customStyle="1" w:styleId="PointTriple3">
    <w:name w:val="PointTriple 3"/>
    <w:basedOn w:val="Normal"/>
    <w:uiPriority w:val="99"/>
    <w:pPr>
      <w:tabs>
        <w:tab w:val="left" w:pos="2552"/>
        <w:tab w:val="left" w:pos="3119"/>
      </w:tabs>
      <w:ind w:left="3686" w:hanging="1701"/>
    </w:pPr>
  </w:style>
  <w:style w:type="paragraph" w:customStyle="1" w:styleId="PointTriple4">
    <w:name w:val="PointTriple 4"/>
    <w:basedOn w:val="Normal"/>
    <w:uiPriority w:val="99"/>
    <w:pPr>
      <w:tabs>
        <w:tab w:val="left" w:pos="3119"/>
        <w:tab w:val="left" w:pos="3686"/>
      </w:tabs>
      <w:ind w:left="4253" w:hanging="1701"/>
    </w:pPr>
  </w:style>
  <w:style w:type="paragraph" w:customStyle="1" w:styleId="Prliminairetitre">
    <w:name w:val="Préliminaire titre"/>
    <w:basedOn w:val="Normal"/>
    <w:next w:val="Normal"/>
    <w:uiPriority w:val="99"/>
    <w:pPr>
      <w:spacing w:before="360" w:after="360"/>
      <w:jc w:val="center"/>
    </w:pPr>
    <w:rPr>
      <w:b/>
      <w:bCs/>
    </w:rPr>
  </w:style>
  <w:style w:type="paragraph" w:customStyle="1" w:styleId="Prliminairetype">
    <w:name w:val="Préliminaire type"/>
    <w:basedOn w:val="Normal"/>
    <w:next w:val="Normal"/>
    <w:uiPriority w:val="99"/>
    <w:pPr>
      <w:spacing w:before="360"/>
      <w:jc w:val="center"/>
    </w:pPr>
    <w:rPr>
      <w:b/>
      <w:bCs/>
    </w:rPr>
  </w:style>
  <w:style w:type="paragraph" w:customStyle="1" w:styleId="QuotedNumPar">
    <w:name w:val="Quoted NumPar"/>
    <w:basedOn w:val="Normal"/>
    <w:uiPriority w:val="99"/>
    <w:pPr>
      <w:ind w:left="1418" w:hanging="567"/>
    </w:pPr>
  </w:style>
  <w:style w:type="paragraph" w:customStyle="1" w:styleId="QuotedText">
    <w:name w:val="Quoted Text"/>
    <w:basedOn w:val="Normal"/>
    <w:uiPriority w:val="99"/>
    <w:pPr>
      <w:ind w:left="1418"/>
    </w:pPr>
  </w:style>
  <w:style w:type="paragraph" w:customStyle="1" w:styleId="Rfrenceinterinstitutionelle">
    <w:name w:val="Référence interinstitutionelle"/>
    <w:basedOn w:val="Normal"/>
    <w:next w:val="Statut"/>
    <w:uiPriority w:val="99"/>
    <w:pPr>
      <w:ind w:left="5103"/>
    </w:pPr>
  </w:style>
  <w:style w:type="paragraph" w:customStyle="1" w:styleId="SectionTitle">
    <w:name w:val="SectionTitle"/>
    <w:basedOn w:val="Normal"/>
    <w:next w:val="Heading1"/>
    <w:uiPriority w:val="99"/>
    <w:pPr>
      <w:keepNext/>
      <w:spacing w:after="360"/>
      <w:jc w:val="center"/>
    </w:pPr>
    <w:rPr>
      <w:b/>
      <w:bCs/>
      <w:smallCaps/>
      <w:sz w:val="28"/>
    </w:rPr>
  </w:style>
  <w:style w:type="paragraph" w:customStyle="1" w:styleId="TableTitle">
    <w:name w:val="Table Title"/>
    <w:basedOn w:val="Normal"/>
    <w:next w:val="Normal"/>
    <w:uiPriority w:val="99"/>
    <w:pPr>
      <w:jc w:val="center"/>
    </w:pPr>
    <w:rPr>
      <w:b/>
      <w:bCs/>
    </w:rPr>
  </w:style>
  <w:style w:type="paragraph" w:customStyle="1" w:styleId="Tiret0">
    <w:name w:val="Tiret 0"/>
    <w:basedOn w:val="Point0"/>
    <w:uiPriority w:val="99"/>
  </w:style>
  <w:style w:type="paragraph" w:customStyle="1" w:styleId="Tiret1">
    <w:name w:val="Tiret 1"/>
    <w:basedOn w:val="Point1"/>
    <w:uiPriority w:val="99"/>
  </w:style>
  <w:style w:type="paragraph" w:customStyle="1" w:styleId="Tiret2">
    <w:name w:val="Tiret 2"/>
    <w:basedOn w:val="Point2"/>
    <w:uiPriority w:val="99"/>
  </w:style>
  <w:style w:type="paragraph" w:customStyle="1" w:styleId="Tiret3">
    <w:name w:val="Tiret 3"/>
    <w:basedOn w:val="Point3"/>
    <w:uiPriority w:val="99"/>
  </w:style>
  <w:style w:type="paragraph" w:customStyle="1" w:styleId="Tiret4">
    <w:name w:val="Tiret 4"/>
    <w:basedOn w:val="Point4"/>
    <w:uiPriority w:val="99"/>
  </w:style>
  <w:style w:type="paragraph" w:customStyle="1" w:styleId="TOCHeading1">
    <w:name w:val="TOC Heading1"/>
    <w:basedOn w:val="Normal"/>
    <w:next w:val="Normal"/>
    <w:uiPriority w:val="39"/>
    <w:qFormat/>
    <w:pPr>
      <w:spacing w:after="240"/>
      <w:jc w:val="center"/>
    </w:pPr>
    <w:rPr>
      <w:b/>
      <w:bCs/>
      <w:sz w:val="28"/>
    </w:rPr>
  </w:style>
  <w:style w:type="paragraph" w:customStyle="1" w:styleId="Considrant">
    <w:name w:val="Considérant"/>
    <w:basedOn w:val="Normal"/>
    <w:pPr>
      <w:numPr>
        <w:numId w:val="3"/>
      </w:numPr>
    </w:pPr>
  </w:style>
  <w:style w:type="paragraph" w:customStyle="1" w:styleId="Confidentialit">
    <w:name w:val="Confidentialité"/>
    <w:basedOn w:val="Normal"/>
    <w:next w:val="Statut"/>
    <w:uiPriority w:val="99"/>
    <w:pPr>
      <w:spacing w:before="240" w:after="240"/>
      <w:ind w:left="5103"/>
    </w:pPr>
    <w:rPr>
      <w:u w:val="single"/>
    </w:rPr>
  </w:style>
  <w:style w:type="paragraph" w:customStyle="1" w:styleId="ManualConsidrant">
    <w:name w:val="Manual Considérant"/>
    <w:basedOn w:val="Normal"/>
    <w:uiPriority w:val="99"/>
    <w:pPr>
      <w:ind w:left="709" w:hanging="709"/>
    </w:pPr>
  </w:style>
  <w:style w:type="paragraph" w:customStyle="1" w:styleId="FooterLandscape">
    <w:name w:val="FooterLandscape"/>
    <w:basedOn w:val="Footer"/>
    <w:uiPriority w:val="99"/>
    <w:pPr>
      <w:tabs>
        <w:tab w:val="clear" w:pos="4536"/>
        <w:tab w:val="clear" w:pos="9072"/>
        <w:tab w:val="center" w:pos="7002"/>
        <w:tab w:val="right" w:pos="14005"/>
      </w:tabs>
    </w:pPr>
  </w:style>
  <w:style w:type="paragraph" w:customStyle="1" w:styleId="Titredumodificateur">
    <w:name w:val="Titre du modificateur"/>
    <w:basedOn w:val="Normal"/>
    <w:next w:val="Annexetitrefichefinacte"/>
    <w:uiPriority w:val="99"/>
    <w:pPr>
      <w:spacing w:before="240" w:after="60"/>
    </w:pPr>
    <w:rPr>
      <w:b/>
      <w:bCs/>
    </w:rPr>
  </w:style>
  <w:style w:type="paragraph" w:customStyle="1" w:styleId="Referencedumodificateur">
    <w:name w:val="Reference du modificateur"/>
    <w:basedOn w:val="Normal"/>
    <w:next w:val="Annexetitrefichefinglobale"/>
    <w:uiPriority w:val="99"/>
  </w:style>
  <w:style w:type="character" w:customStyle="1" w:styleId="BodyTextChar">
    <w:name w:val="Body Text Char"/>
    <w:link w:val="BodyText"/>
    <w:rPr>
      <w:rFonts w:ascii="Arial" w:hAnsi="Arial"/>
      <w:szCs w:val="24"/>
      <w:lang w:val="bg-BG" w:eastAsia="bg-BG"/>
    </w:rPr>
  </w:style>
  <w:style w:type="character" w:customStyle="1" w:styleId="CommentSubjectChar">
    <w:name w:val="Comment Subject Char"/>
    <w:link w:val="CommentSubject"/>
    <w:uiPriority w:val="99"/>
    <w:rPr>
      <w:rFonts w:ascii="Times New Roman" w:hAnsi="Times New Roman" w:cs="Times New Roman"/>
      <w:b/>
      <w:bCs/>
      <w:sz w:val="20"/>
      <w:szCs w:val="20"/>
    </w:rPr>
  </w:style>
  <w:style w:type="paragraph" w:customStyle="1" w:styleId="Revision1">
    <w:name w:val="Revision1"/>
    <w:hidden/>
    <w:uiPriority w:val="99"/>
    <w:semiHidden/>
    <w:rPr>
      <w:rFonts w:ascii="Times New Roman" w:hAnsi="Times New Roman"/>
      <w:sz w:val="24"/>
      <w:szCs w:val="24"/>
      <w:lang w:bidi="bg-BG"/>
    </w:rPr>
  </w:style>
  <w:style w:type="character" w:customStyle="1" w:styleId="BalloonTextChar">
    <w:name w:val="Balloon Text Char"/>
    <w:link w:val="BalloonText"/>
    <w:uiPriority w:val="99"/>
    <w:rPr>
      <w:rFonts w:ascii="Tahoma" w:hAnsi="Tahoma" w:cs="Tahoma"/>
      <w:sz w:val="16"/>
      <w:szCs w:val="16"/>
    </w:rPr>
  </w:style>
  <w:style w:type="character" w:customStyle="1" w:styleId="BodyText3Char">
    <w:name w:val="Body Text 3 Char"/>
    <w:link w:val="BodyText3"/>
    <w:uiPriority w:val="99"/>
    <w:rPr>
      <w:rFonts w:ascii="Times New Roman" w:hAnsi="Times New Roman"/>
      <w:sz w:val="16"/>
      <w:szCs w:val="16"/>
    </w:rPr>
  </w:style>
  <w:style w:type="character" w:customStyle="1" w:styleId="BodyTextIndent3Char">
    <w:name w:val="Body Text Indent 3 Char"/>
    <w:link w:val="BodyTextIndent3"/>
    <w:uiPriority w:val="99"/>
    <w:rPr>
      <w:rFonts w:ascii="Times New Roman" w:hAnsi="Times New Roman"/>
      <w:sz w:val="16"/>
      <w:szCs w:val="16"/>
    </w:rPr>
  </w:style>
  <w:style w:type="paragraph" w:styleId="ListParagraph">
    <w:name w:val="List Paragraph"/>
    <w:basedOn w:val="Normal"/>
    <w:uiPriority w:val="34"/>
    <w:qFormat/>
    <w:rsid w:val="00D40937"/>
    <w:pPr>
      <w:ind w:left="708"/>
    </w:pPr>
  </w:style>
  <w:style w:type="paragraph" w:customStyle="1" w:styleId="ES-intro">
    <w:name w:val="ES-intro"/>
    <w:basedOn w:val="Normal"/>
    <w:link w:val="ES-introCar"/>
    <w:qFormat/>
    <w:pPr>
      <w:overflowPunct w:val="0"/>
      <w:adjustRightInd w:val="0"/>
      <w:spacing w:line="360" w:lineRule="auto"/>
      <w:textAlignment w:val="baseline"/>
    </w:pPr>
    <w:rPr>
      <w:rFonts w:eastAsia="Calibri"/>
      <w:szCs w:val="20"/>
    </w:rPr>
  </w:style>
  <w:style w:type="character" w:customStyle="1" w:styleId="ES-introCar">
    <w:name w:val="ES-intro Car"/>
    <w:link w:val="ES-intro"/>
    <w:rPr>
      <w:rFonts w:ascii="Arial" w:eastAsia="Calibri" w:hAnsi="Arial"/>
      <w:lang w:val="bg-BG" w:eastAsia="bg-BG"/>
    </w:rPr>
  </w:style>
  <w:style w:type="paragraph" w:customStyle="1" w:styleId="ES-Titre1">
    <w:name w:val="ES-Titre1"/>
    <w:basedOn w:val="Normal"/>
    <w:link w:val="ES-Titre1Car"/>
    <w:qFormat/>
    <w:pPr>
      <w:overflowPunct w:val="0"/>
      <w:adjustRightInd w:val="0"/>
      <w:spacing w:line="240" w:lineRule="atLeast"/>
      <w:jc w:val="center"/>
      <w:textAlignment w:val="baseline"/>
    </w:pPr>
    <w:rPr>
      <w:rFonts w:eastAsia="Calibri" w:cs="Arial"/>
      <w:b/>
      <w:color w:val="000000"/>
      <w:sz w:val="28"/>
      <w:szCs w:val="32"/>
    </w:rPr>
  </w:style>
  <w:style w:type="paragraph" w:customStyle="1" w:styleId="ES-Titre2">
    <w:name w:val="ES-Titre2"/>
    <w:basedOn w:val="Normal"/>
    <w:link w:val="ES-Titre2Car"/>
    <w:qFormat/>
    <w:pPr>
      <w:pageBreakBefore/>
      <w:overflowPunct w:val="0"/>
      <w:adjustRightInd w:val="0"/>
      <w:spacing w:line="240" w:lineRule="atLeast"/>
      <w:jc w:val="center"/>
      <w:textAlignment w:val="baseline"/>
    </w:pPr>
    <w:rPr>
      <w:rFonts w:eastAsia="Calibri" w:cs="Arial"/>
      <w:b/>
      <w:i/>
      <w:caps/>
    </w:rPr>
  </w:style>
  <w:style w:type="character" w:customStyle="1" w:styleId="ES-Titre1Car">
    <w:name w:val="ES-Titre1 Car"/>
    <w:link w:val="ES-Titre1"/>
    <w:rPr>
      <w:rFonts w:ascii="Arial" w:eastAsia="Calibri" w:hAnsi="Arial" w:cs="Arial"/>
      <w:b/>
      <w:color w:val="000000"/>
      <w:sz w:val="28"/>
      <w:szCs w:val="32"/>
      <w:lang w:val="bg-BG" w:eastAsia="bg-BG"/>
    </w:rPr>
  </w:style>
  <w:style w:type="paragraph" w:customStyle="1" w:styleId="ES-Titre3">
    <w:name w:val="ES-Titre3"/>
    <w:basedOn w:val="Normal"/>
    <w:link w:val="ES-Titre3Car"/>
    <w:qFormat/>
    <w:rsid w:val="00D40937"/>
    <w:pPr>
      <w:overflowPunct w:val="0"/>
      <w:adjustRightInd w:val="0"/>
      <w:spacing w:line="240" w:lineRule="exact"/>
      <w:jc w:val="center"/>
      <w:textAlignment w:val="baseline"/>
    </w:pPr>
    <w:rPr>
      <w:rFonts w:eastAsia="Calibri"/>
      <w:b/>
    </w:rPr>
  </w:style>
  <w:style w:type="character" w:customStyle="1" w:styleId="ES-Titre2Car">
    <w:name w:val="ES-Titre2 Car"/>
    <w:link w:val="ES-Titre2"/>
    <w:rPr>
      <w:rFonts w:ascii="Arial" w:eastAsia="Calibri" w:hAnsi="Arial" w:cs="Arial"/>
      <w:b/>
      <w:i/>
      <w:caps/>
      <w:sz w:val="24"/>
      <w:szCs w:val="28"/>
      <w:lang w:val="bg-BG" w:eastAsia="bg-BG"/>
    </w:rPr>
  </w:style>
  <w:style w:type="character" w:customStyle="1" w:styleId="ES-Titre3Car">
    <w:name w:val="ES-Titre3 Car"/>
    <w:link w:val="ES-Titre3"/>
    <w:rsid w:val="00D40937"/>
    <w:rPr>
      <w:rFonts w:asciiTheme="minorHAnsi" w:eastAsia="Calibri" w:hAnsiTheme="minorHAnsi" w:cstheme="minorBidi"/>
      <w:b/>
      <w:sz w:val="22"/>
      <w:szCs w:val="22"/>
      <w:lang w:val="en-US" w:eastAsia="en-US"/>
    </w:rPr>
  </w:style>
  <w:style w:type="paragraph" w:customStyle="1" w:styleId="TNR1">
    <w:name w:val="TNR1"/>
    <w:basedOn w:val="Normal"/>
    <w:pPr>
      <w:tabs>
        <w:tab w:val="left" w:pos="284"/>
        <w:tab w:val="left" w:pos="454"/>
        <w:tab w:val="left" w:pos="680"/>
        <w:tab w:val="left" w:pos="907"/>
      </w:tabs>
      <w:overflowPunct w:val="0"/>
      <w:adjustRightInd w:val="0"/>
      <w:ind w:hanging="284"/>
      <w:textAlignment w:val="baseline"/>
    </w:pPr>
    <w:rPr>
      <w:szCs w:val="20"/>
    </w:rPr>
  </w:style>
  <w:style w:type="paragraph" w:customStyle="1" w:styleId="N1">
    <w:name w:val="N1"/>
    <w:basedOn w:val="Normal"/>
    <w:pPr>
      <w:tabs>
        <w:tab w:val="left" w:pos="284"/>
        <w:tab w:val="left" w:pos="454"/>
        <w:tab w:val="left" w:pos="680"/>
      </w:tabs>
      <w:overflowPunct w:val="0"/>
      <w:adjustRightInd w:val="0"/>
      <w:spacing w:line="240" w:lineRule="exact"/>
      <w:ind w:hanging="284"/>
      <w:textAlignment w:val="baseline"/>
    </w:pPr>
    <w:rPr>
      <w:szCs w:val="20"/>
    </w:rPr>
  </w:style>
  <w:style w:type="paragraph" w:customStyle="1" w:styleId="EStiret">
    <w:name w:val="ES_tiret"/>
    <w:basedOn w:val="Normal"/>
    <w:qFormat/>
    <w:pPr>
      <w:spacing w:before="60" w:line="240" w:lineRule="atLeast"/>
      <w:ind w:left="1417"/>
    </w:pPr>
    <w:rPr>
      <w:snapToGrid w:val="0"/>
      <w:color w:val="000000"/>
      <w:lang w:bidi="bg-BG"/>
    </w:rPr>
  </w:style>
  <w:style w:type="paragraph" w:customStyle="1" w:styleId="TNRA">
    <w:name w:val="TNRA"/>
    <w:basedOn w:val="TNR1"/>
    <w:pPr>
      <w:ind w:left="284"/>
    </w:pPr>
  </w:style>
  <w:style w:type="character" w:customStyle="1" w:styleId="BodyTextIndentChar">
    <w:name w:val="Body Text Indent Char"/>
    <w:link w:val="BodyTextIndent"/>
    <w:uiPriority w:val="99"/>
    <w:rPr>
      <w:rFonts w:ascii="Arial" w:hAnsi="Arial"/>
      <w:szCs w:val="24"/>
    </w:rPr>
  </w:style>
  <w:style w:type="paragraph" w:customStyle="1" w:styleId="Retraitcorpsdetexte22">
    <w:name w:val="Retrait corps de texte 22"/>
    <w:basedOn w:val="Normal"/>
    <w:pPr>
      <w:widowControl w:val="0"/>
      <w:tabs>
        <w:tab w:val="left" w:pos="709"/>
      </w:tabs>
      <w:suppressAutoHyphens/>
      <w:spacing w:line="240" w:lineRule="atLeast"/>
      <w:ind w:left="426"/>
    </w:pPr>
    <w:rPr>
      <w:rFonts w:cs="Arial"/>
      <w:szCs w:val="20"/>
      <w:lang w:eastAsia="bg-BG"/>
    </w:rPr>
  </w:style>
  <w:style w:type="paragraph" w:customStyle="1" w:styleId="T1rp">
    <w:name w:val="T1_rp"/>
    <w:basedOn w:val="Normal"/>
    <w:pPr>
      <w:widowControl w:val="0"/>
      <w:tabs>
        <w:tab w:val="left" w:pos="567"/>
      </w:tabs>
      <w:adjustRightInd w:val="0"/>
      <w:spacing w:line="240" w:lineRule="atLeast"/>
      <w:ind w:left="567" w:hanging="567"/>
    </w:pPr>
    <w:rPr>
      <w:rFonts w:eastAsia="Batang" w:cs="Arial"/>
      <w:szCs w:val="20"/>
      <w:lang w:eastAsia="bg-BG"/>
    </w:rPr>
  </w:style>
  <w:style w:type="paragraph" w:customStyle="1" w:styleId="ESchgras">
    <w:name w:val="ES_ch_gras"/>
    <w:basedOn w:val="Normal"/>
    <w:qFormat/>
    <w:pPr>
      <w:spacing w:line="240" w:lineRule="atLeast"/>
      <w:ind w:left="567" w:hanging="567"/>
    </w:pPr>
    <w:rPr>
      <w:rFonts w:cs="Arial"/>
      <w:b/>
      <w:color w:val="000000"/>
      <w:szCs w:val="20"/>
    </w:rPr>
  </w:style>
  <w:style w:type="paragraph" w:customStyle="1" w:styleId="ESch">
    <w:name w:val="ES_ch"/>
    <w:basedOn w:val="Normal"/>
    <w:qFormat/>
    <w:pPr>
      <w:spacing w:line="240" w:lineRule="atLeast"/>
      <w:ind w:left="567" w:hanging="567"/>
    </w:pPr>
  </w:style>
  <w:style w:type="paragraph" w:customStyle="1" w:styleId="ESlet">
    <w:name w:val="ES_let"/>
    <w:basedOn w:val="Normal"/>
    <w:qFormat/>
    <w:pPr>
      <w:spacing w:before="60" w:line="240" w:lineRule="atLeast"/>
      <w:ind w:left="992"/>
    </w:pPr>
  </w:style>
  <w:style w:type="paragraph" w:customStyle="1" w:styleId="ESletpar">
    <w:name w:val="ES_let_par"/>
    <w:basedOn w:val="Normal"/>
    <w:qFormat/>
    <w:pPr>
      <w:spacing w:before="60" w:line="240" w:lineRule="atLeast"/>
      <w:ind w:left="992"/>
    </w:pPr>
    <w:rPr>
      <w:lang w:eastAsia="bg-BG"/>
    </w:rPr>
  </w:style>
  <w:style w:type="paragraph" w:customStyle="1" w:styleId="ESchpar">
    <w:name w:val="ES_ch_par"/>
    <w:basedOn w:val="Normal"/>
    <w:qFormat/>
    <w:pPr>
      <w:spacing w:line="240" w:lineRule="atLeast"/>
      <w:ind w:left="567"/>
    </w:pPr>
  </w:style>
  <w:style w:type="paragraph" w:customStyle="1" w:styleId="ESgauche">
    <w:name w:val="ES_gauche"/>
    <w:basedOn w:val="Normal"/>
    <w:qFormat/>
    <w:pPr>
      <w:spacing w:line="240" w:lineRule="atLeast"/>
    </w:pPr>
    <w:rPr>
      <w:lang w:bidi="bg-BG"/>
    </w:rPr>
  </w:style>
  <w:style w:type="paragraph" w:customStyle="1" w:styleId="ESletgauche">
    <w:name w:val="ES_let_gauche"/>
    <w:basedOn w:val="ESch"/>
    <w:qFormat/>
    <w:pPr>
      <w:spacing w:before="60"/>
    </w:pPr>
  </w:style>
  <w:style w:type="paragraph" w:customStyle="1" w:styleId="ESletlong">
    <w:name w:val="ES_let_long"/>
    <w:basedOn w:val="ESlet"/>
    <w:qFormat/>
    <w:pPr>
      <w:spacing w:before="0"/>
    </w:pPr>
  </w:style>
  <w:style w:type="table" w:customStyle="1" w:styleId="Grilledutableau1">
    <w:name w:val="Grille du tableau1"/>
    <w:basedOn w:val="TableNormal"/>
    <w:uiPriority w:val="5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RMarker">
    <w:name w:val="CR Marker"/>
    <w:uiPriority w:val="99"/>
    <w:rPr>
      <w:rFonts w:ascii="Wingdings" w:hAnsi="Wingdings" w:cs="Wingdings"/>
    </w:rPr>
  </w:style>
  <w:style w:type="character" w:customStyle="1" w:styleId="CRRefNum">
    <w:name w:val="CR RefNum"/>
    <w:uiPriority w:val="99"/>
    <w:rPr>
      <w:vertAlign w:val="subscript"/>
    </w:rPr>
  </w:style>
  <w:style w:type="paragraph" w:customStyle="1" w:styleId="CRSeparator">
    <w:name w:val="CR Separator"/>
    <w:basedOn w:val="Normal"/>
    <w:next w:val="Normal"/>
    <w:uiPriority w:val="99"/>
    <w:pPr>
      <w:keepNext/>
      <w:pBdr>
        <w:top w:val="single" w:sz="4" w:space="1" w:color="auto"/>
      </w:pBdr>
    </w:pPr>
    <w:rPr>
      <w:lang w:eastAsia="bg-BG"/>
    </w:rPr>
  </w:style>
  <w:style w:type="paragraph" w:customStyle="1" w:styleId="CM1">
    <w:name w:val="CM1"/>
    <w:basedOn w:val="Normal"/>
    <w:next w:val="Normal"/>
    <w:uiPriority w:val="99"/>
    <w:pPr>
      <w:adjustRightInd w:val="0"/>
    </w:pPr>
    <w:rPr>
      <w:rFonts w:eastAsia="Calibri"/>
    </w:rPr>
  </w:style>
  <w:style w:type="paragraph" w:customStyle="1" w:styleId="CM3">
    <w:name w:val="CM3"/>
    <w:basedOn w:val="Normal"/>
    <w:next w:val="Normal"/>
    <w:uiPriority w:val="99"/>
    <w:pPr>
      <w:adjustRightInd w:val="0"/>
    </w:pPr>
    <w:rPr>
      <w:rFonts w:eastAsia="Calibri"/>
    </w:rPr>
  </w:style>
  <w:style w:type="paragraph" w:customStyle="1" w:styleId="CM4">
    <w:name w:val="CM4"/>
    <w:basedOn w:val="Normal"/>
    <w:next w:val="Normal"/>
    <w:pPr>
      <w:adjustRightInd w:val="0"/>
    </w:pPr>
    <w:rPr>
      <w:rFonts w:eastAsia="Calibri"/>
    </w:rPr>
  </w:style>
  <w:style w:type="paragraph" w:customStyle="1" w:styleId="EStiretpar">
    <w:name w:val="ES_tiret_par"/>
    <w:basedOn w:val="EStiret"/>
    <w:qFormat/>
    <w:pPr>
      <w:ind w:left="1418"/>
    </w:pPr>
  </w:style>
  <w:style w:type="paragraph" w:customStyle="1" w:styleId="Esletgauchepar">
    <w:name w:val="Es_let_gauche_par"/>
    <w:basedOn w:val="ESletgauche"/>
    <w:qFormat/>
    <w:pPr>
      <w:ind w:firstLine="0"/>
    </w:pPr>
  </w:style>
  <w:style w:type="character" w:customStyle="1" w:styleId="PlainTextChar">
    <w:name w:val="Plain Text Char"/>
    <w:link w:val="PlainText"/>
    <w:rPr>
      <w:rFonts w:eastAsia="Calibri"/>
      <w:sz w:val="22"/>
      <w:szCs w:val="21"/>
      <w:lang w:eastAsia="bg-BG"/>
    </w:rPr>
  </w:style>
  <w:style w:type="paragraph" w:customStyle="1" w:styleId="ES-Titre3a">
    <w:name w:val="ES-Titre3a"/>
    <w:basedOn w:val="ES-Titre3"/>
    <w:qFormat/>
    <w:rPr>
      <w:i/>
    </w:rPr>
  </w:style>
  <w:style w:type="paragraph" w:customStyle="1" w:styleId="Es-Titreannexes">
    <w:name w:val="Es-Titre_annexes"/>
    <w:basedOn w:val="Normal"/>
    <w:qFormat/>
    <w:pPr>
      <w:spacing w:before="40" w:line="220" w:lineRule="atLeast"/>
      <w:jc w:val="center"/>
    </w:pPr>
    <w:rPr>
      <w:rFonts w:ascii="Arial Gras" w:hAnsi="Arial Gras" w:cs="Arial"/>
      <w:b/>
      <w:caps/>
      <w:color w:val="000000"/>
      <w:sz w:val="40"/>
    </w:rPr>
  </w:style>
  <w:style w:type="paragraph" w:customStyle="1" w:styleId="ESintro">
    <w:name w:val="ES_intro"/>
    <w:basedOn w:val="Normal"/>
    <w:qFormat/>
    <w:pPr>
      <w:spacing w:line="240" w:lineRule="atLeast"/>
      <w:jc w:val="center"/>
    </w:pPr>
    <w:rPr>
      <w:b/>
      <w:caps/>
    </w:rPr>
  </w:style>
  <w:style w:type="paragraph" w:customStyle="1" w:styleId="ESletgauche075">
    <w:name w:val="ES_let_gauche0_75"/>
    <w:basedOn w:val="ESletgauche"/>
    <w:qFormat/>
    <w:pPr>
      <w:ind w:left="426" w:hanging="426"/>
    </w:pPr>
  </w:style>
  <w:style w:type="character" w:customStyle="1" w:styleId="msoins0">
    <w:name w:val="msoins0"/>
  </w:style>
  <w:style w:type="paragraph" w:customStyle="1" w:styleId="BlockQuotation">
    <w:name w:val="Block Quotation"/>
    <w:basedOn w:val="Normal"/>
    <w:pPr>
      <w:widowControl w:val="0"/>
      <w:tabs>
        <w:tab w:val="left" w:pos="1701"/>
        <w:tab w:val="left" w:pos="2694"/>
      </w:tabs>
      <w:ind w:left="284" w:right="-482" w:hanging="284"/>
    </w:pPr>
    <w:rPr>
      <w:b/>
      <w:bCs/>
      <w:i/>
      <w:iCs/>
      <w:snapToGrid w:val="0"/>
      <w:szCs w:val="20"/>
    </w:rPr>
  </w:style>
  <w:style w:type="paragraph" w:customStyle="1" w:styleId="ES-Titre3prchap32">
    <w:name w:val="ES-Titre3_pr_chap32"/>
    <w:basedOn w:val="ES-Titre3"/>
    <w:qFormat/>
  </w:style>
  <w:style w:type="paragraph" w:customStyle="1" w:styleId="N4">
    <w:name w:val="N4"/>
    <w:basedOn w:val="Normal"/>
    <w:pPr>
      <w:tabs>
        <w:tab w:val="left" w:pos="284"/>
        <w:tab w:val="left" w:pos="454"/>
        <w:tab w:val="left" w:pos="680"/>
        <w:tab w:val="left" w:pos="1021"/>
      </w:tabs>
      <w:overflowPunct w:val="0"/>
      <w:adjustRightInd w:val="0"/>
      <w:textAlignment w:val="baseline"/>
    </w:pPr>
    <w:rPr>
      <w:szCs w:val="20"/>
    </w:rPr>
  </w:style>
  <w:style w:type="paragraph" w:customStyle="1" w:styleId="N2">
    <w:name w:val="N2"/>
    <w:basedOn w:val="Normal"/>
    <w:pPr>
      <w:tabs>
        <w:tab w:val="left" w:pos="-340"/>
        <w:tab w:val="left" w:pos="284"/>
        <w:tab w:val="left" w:pos="454"/>
        <w:tab w:val="left" w:pos="680"/>
        <w:tab w:val="left" w:pos="1418"/>
      </w:tabs>
      <w:overflowPunct w:val="0"/>
      <w:adjustRightInd w:val="0"/>
      <w:ind w:hanging="1134"/>
      <w:textAlignment w:val="baseline"/>
    </w:pPr>
    <w:rPr>
      <w:szCs w:val="20"/>
    </w:rPr>
  </w:style>
  <w:style w:type="paragraph" w:customStyle="1" w:styleId="N3">
    <w:name w:val="N3"/>
    <w:basedOn w:val="Normal"/>
    <w:pPr>
      <w:tabs>
        <w:tab w:val="left" w:pos="170"/>
      </w:tabs>
      <w:overflowPunct w:val="0"/>
      <w:adjustRightInd w:val="0"/>
      <w:spacing w:line="240" w:lineRule="exact"/>
      <w:textAlignment w:val="baseline"/>
    </w:pPr>
    <w:rPr>
      <w:szCs w:val="20"/>
    </w:rPr>
  </w:style>
  <w:style w:type="character" w:customStyle="1" w:styleId="En-tte">
    <w:name w:val="En-tête"/>
    <w:rPr>
      <w:lang w:val="bg-BG" w:eastAsia="bg-BG" w:bidi="bg-BG"/>
    </w:rPr>
  </w:style>
  <w:style w:type="character" w:customStyle="1" w:styleId="EndnoteTextChar">
    <w:name w:val="Endnote Text Char"/>
    <w:link w:val="EndnoteText"/>
    <w:uiPriority w:val="99"/>
    <w:rPr>
      <w:rFonts w:ascii="Arial" w:hAnsi="Arial"/>
      <w:snapToGrid w:val="0"/>
      <w:lang w:val="bg-BG"/>
    </w:rPr>
  </w:style>
  <w:style w:type="paragraph" w:customStyle="1" w:styleId="Annex2Nummer">
    <w:name w:val="Annex2_Nummer"/>
    <w:basedOn w:val="Normal"/>
    <w:pPr>
      <w:tabs>
        <w:tab w:val="left" w:pos="425"/>
        <w:tab w:val="left" w:pos="851"/>
        <w:tab w:val="left" w:pos="1276"/>
        <w:tab w:val="left" w:pos="1701"/>
        <w:tab w:val="left" w:pos="2126"/>
      </w:tabs>
      <w:overflowPunct w:val="0"/>
      <w:adjustRightInd w:val="0"/>
      <w:spacing w:before="240"/>
      <w:textAlignment w:val="baseline"/>
    </w:pPr>
  </w:style>
  <w:style w:type="paragraph" w:customStyle="1" w:styleId="Normal0">
    <w:name w:val="[Normal]"/>
    <w:pPr>
      <w:autoSpaceDE w:val="0"/>
      <w:autoSpaceDN w:val="0"/>
      <w:adjustRightInd w:val="0"/>
    </w:pPr>
    <w:rPr>
      <w:rFonts w:ascii="Arial" w:hAnsi="Arial" w:cs="Arial"/>
      <w:snapToGrid w:val="0"/>
      <w:lang w:bidi="bg-BG"/>
    </w:rPr>
  </w:style>
  <w:style w:type="paragraph" w:customStyle="1" w:styleId="Annex2Texteng">
    <w:name w:val="Annex2_Text_eng"/>
    <w:basedOn w:val="Annex2Nummer"/>
    <w:pPr>
      <w:tabs>
        <w:tab w:val="clear" w:pos="425"/>
        <w:tab w:val="clear" w:pos="851"/>
        <w:tab w:val="clear" w:pos="1276"/>
        <w:tab w:val="clear" w:pos="1701"/>
        <w:tab w:val="clear" w:pos="2126"/>
        <w:tab w:val="left" w:pos="454"/>
        <w:tab w:val="left" w:pos="907"/>
        <w:tab w:val="left" w:pos="1361"/>
        <w:tab w:val="left" w:pos="1814"/>
      </w:tabs>
      <w:spacing w:before="0"/>
    </w:pPr>
    <w:rPr>
      <w:snapToGrid w:val="0"/>
    </w:rPr>
  </w:style>
  <w:style w:type="paragraph" w:customStyle="1" w:styleId="Titres">
    <w:name w:val="Titres"/>
    <w:basedOn w:val="Normal"/>
    <w:pPr>
      <w:overflowPunct w:val="0"/>
      <w:adjustRightInd w:val="0"/>
      <w:spacing w:line="240" w:lineRule="exact"/>
      <w:jc w:val="center"/>
      <w:textAlignment w:val="baseline"/>
    </w:pPr>
    <w:rPr>
      <w:snapToGrid w:val="0"/>
      <w:szCs w:val="20"/>
    </w:rPr>
  </w:style>
  <w:style w:type="paragraph" w:customStyle="1" w:styleId="N7">
    <w:name w:val="N7"/>
    <w:basedOn w:val="Normal"/>
    <w:pPr>
      <w:tabs>
        <w:tab w:val="left" w:pos="284"/>
      </w:tabs>
      <w:overflowPunct w:val="0"/>
      <w:adjustRightInd w:val="0"/>
      <w:ind w:hanging="397"/>
      <w:textAlignment w:val="baseline"/>
    </w:pPr>
    <w:rPr>
      <w:snapToGrid w:val="0"/>
      <w:szCs w:val="20"/>
    </w:rPr>
  </w:style>
  <w:style w:type="table" w:customStyle="1" w:styleId="Grilledutableau11">
    <w:name w:val="Grille du tableau11"/>
    <w:basedOn w:val="TableNormal"/>
    <w:pPr>
      <w:overflowPunct w:val="0"/>
      <w:autoSpaceDE w:val="0"/>
      <w:autoSpaceDN w:val="0"/>
      <w:adjustRightInd w:val="0"/>
      <w:spacing w:line="240" w:lineRule="exac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_"/>
    <w:basedOn w:val="BodyTextIndent2"/>
    <w:pPr>
      <w:tabs>
        <w:tab w:val="left" w:pos="426"/>
      </w:tabs>
      <w:spacing w:after="0" w:line="240" w:lineRule="atLeast"/>
      <w:ind w:left="426" w:hanging="426"/>
      <w:jc w:val="both"/>
    </w:pPr>
    <w:rPr>
      <w:rFonts w:ascii="Arial" w:hAnsi="Arial" w:cs="Arial"/>
      <w:sz w:val="20"/>
      <w:szCs w:val="20"/>
    </w:rPr>
  </w:style>
  <w:style w:type="character" w:customStyle="1" w:styleId="BodyTextIndent2Char">
    <w:name w:val="Body Text Indent 2 Char"/>
    <w:link w:val="BodyTextIndent2"/>
    <w:rPr>
      <w:rFonts w:ascii="Times New Roman" w:hAnsi="Times New Roman"/>
      <w:snapToGrid w:val="0"/>
      <w:sz w:val="24"/>
      <w:szCs w:val="24"/>
      <w:lang w:val="bg-BG"/>
    </w:rPr>
  </w:style>
  <w:style w:type="character" w:customStyle="1" w:styleId="TitleChar">
    <w:name w:val="Title Char"/>
    <w:link w:val="Title"/>
    <w:rPr>
      <w:rFonts w:ascii="Arial" w:hAnsi="Arial"/>
      <w:b/>
      <w:bCs/>
      <w:snapToGrid w:val="0"/>
      <w:sz w:val="22"/>
      <w:szCs w:val="22"/>
      <w:lang w:val="bg-BG"/>
    </w:rPr>
  </w:style>
  <w:style w:type="paragraph" w:customStyle="1" w:styleId="bijschrift">
    <w:name w:val="bijschrift"/>
    <w:basedOn w:val="Normal"/>
    <w:pPr>
      <w:widowControl w:val="0"/>
      <w:overflowPunct w:val="0"/>
      <w:adjustRightInd w:val="0"/>
      <w:textAlignment w:val="baseline"/>
    </w:pPr>
    <w:rPr>
      <w:snapToGrid w:val="0"/>
    </w:rPr>
  </w:style>
  <w:style w:type="paragraph" w:customStyle="1" w:styleId="TNRa0">
    <w:name w:val="TNRa"/>
    <w:basedOn w:val="TNR1"/>
    <w:pPr>
      <w:widowControl w:val="0"/>
      <w:tabs>
        <w:tab w:val="clear" w:pos="284"/>
        <w:tab w:val="clear" w:pos="454"/>
        <w:tab w:val="clear" w:pos="680"/>
        <w:tab w:val="clear" w:pos="907"/>
      </w:tabs>
      <w:ind w:left="284"/>
    </w:pPr>
    <w:rPr>
      <w:snapToGrid w:val="0"/>
      <w:szCs w:val="24"/>
    </w:rPr>
  </w:style>
  <w:style w:type="paragraph" w:customStyle="1" w:styleId="abstab">
    <w:name w:val="abstab"/>
    <w:basedOn w:val="Normal"/>
    <w:pPr>
      <w:overflowPunct w:val="0"/>
      <w:adjustRightInd w:val="0"/>
      <w:textAlignment w:val="baseline"/>
    </w:pPr>
    <w:rPr>
      <w:rFonts w:ascii="CG Times" w:hAnsi="CG Times" w:cs="CG Times"/>
      <w:snapToGrid w:val="0"/>
      <w:sz w:val="16"/>
      <w:szCs w:val="16"/>
    </w:rPr>
  </w:style>
  <w:style w:type="character" w:customStyle="1" w:styleId="DONOTTRANSLATE">
    <w:name w:val="DO_NOT_TRANSLATE"/>
    <w:rPr>
      <w:rFonts w:ascii="Courier New" w:hAnsi="Courier New" w:cs="Courier New"/>
      <w:color w:val="800000"/>
    </w:rPr>
  </w:style>
  <w:style w:type="paragraph" w:customStyle="1" w:styleId="Brieftext11">
    <w:name w:val="Brieftext_11"/>
    <w:basedOn w:val="Normal"/>
    <w:pPr>
      <w:widowControl w:val="0"/>
      <w:spacing w:line="360" w:lineRule="auto"/>
    </w:pPr>
    <w:rPr>
      <w:snapToGrid w:val="0"/>
    </w:rPr>
  </w:style>
  <w:style w:type="paragraph" w:customStyle="1" w:styleId="Res1">
    <w:name w:val="Res_1"/>
    <w:basedOn w:val="Normal"/>
    <w:pPr>
      <w:overflowPunct w:val="0"/>
      <w:adjustRightInd w:val="0"/>
      <w:spacing w:line="240" w:lineRule="exact"/>
      <w:textAlignment w:val="baseline"/>
    </w:pPr>
    <w:rPr>
      <w:rFonts w:cs="Arial"/>
      <w:i/>
      <w:iCs/>
      <w:snapToGrid w:val="0"/>
    </w:rPr>
  </w:style>
  <w:style w:type="paragraph" w:customStyle="1" w:styleId="Res1texttmnr">
    <w:name w:val="Res_1_text_tmnr"/>
    <w:basedOn w:val="Normal"/>
    <w:pPr>
      <w:tabs>
        <w:tab w:val="left" w:pos="851"/>
      </w:tabs>
      <w:overflowPunct w:val="0"/>
      <w:adjustRightInd w:val="0"/>
      <w:spacing w:line="240" w:lineRule="atLeast"/>
      <w:ind w:left="850"/>
      <w:textAlignment w:val="baseline"/>
    </w:pPr>
    <w:rPr>
      <w:snapToGrid w:val="0"/>
    </w:rPr>
  </w:style>
  <w:style w:type="paragraph" w:customStyle="1" w:styleId="Liege">
    <w:name w:val="Liege"/>
    <w:basedOn w:val="Res1texttmnr"/>
    <w:pPr>
      <w:ind w:left="1134"/>
    </w:pPr>
  </w:style>
  <w:style w:type="paragraph" w:customStyle="1" w:styleId="10">
    <w:name w:val="1"/>
    <w:pPr>
      <w:tabs>
        <w:tab w:val="left" w:pos="454"/>
      </w:tabs>
      <w:overflowPunct w:val="0"/>
      <w:autoSpaceDE w:val="0"/>
      <w:autoSpaceDN w:val="0"/>
      <w:adjustRightInd w:val="0"/>
      <w:spacing w:line="240" w:lineRule="exact"/>
      <w:ind w:left="454" w:hanging="454"/>
      <w:textAlignment w:val="baseline"/>
    </w:pPr>
    <w:rPr>
      <w:rFonts w:ascii="Times New Roman" w:hAnsi="Times New Roman"/>
      <w:sz w:val="24"/>
      <w:szCs w:val="24"/>
      <w:lang w:bidi="bg-BG"/>
    </w:rPr>
  </w:style>
  <w:style w:type="paragraph" w:customStyle="1" w:styleId="3">
    <w:name w:val="3"/>
    <w:pPr>
      <w:tabs>
        <w:tab w:val="left" w:pos="680"/>
      </w:tabs>
      <w:overflowPunct w:val="0"/>
      <w:autoSpaceDE w:val="0"/>
      <w:autoSpaceDN w:val="0"/>
      <w:adjustRightInd w:val="0"/>
      <w:spacing w:line="240" w:lineRule="exact"/>
      <w:ind w:left="680" w:hanging="680"/>
      <w:textAlignment w:val="baseline"/>
    </w:pPr>
    <w:rPr>
      <w:rFonts w:ascii="Times New Roman" w:hAnsi="Times New Roman"/>
      <w:sz w:val="24"/>
      <w:szCs w:val="24"/>
      <w:lang w:bidi="bg-BG"/>
    </w:rPr>
  </w:style>
  <w:style w:type="paragraph" w:customStyle="1" w:styleId="4">
    <w:name w:val="4"/>
    <w:pPr>
      <w:tabs>
        <w:tab w:val="left" w:pos="907"/>
      </w:tabs>
      <w:overflowPunct w:val="0"/>
      <w:autoSpaceDE w:val="0"/>
      <w:autoSpaceDN w:val="0"/>
      <w:adjustRightInd w:val="0"/>
      <w:spacing w:line="240" w:lineRule="exact"/>
      <w:ind w:left="907" w:hanging="907"/>
      <w:textAlignment w:val="baseline"/>
    </w:pPr>
    <w:rPr>
      <w:rFonts w:ascii="Times New Roman" w:hAnsi="Times New Roman"/>
      <w:sz w:val="24"/>
      <w:szCs w:val="24"/>
      <w:lang w:bidi="bg-BG"/>
    </w:rPr>
  </w:style>
  <w:style w:type="paragraph" w:customStyle="1" w:styleId="5">
    <w:name w:val="5"/>
    <w:pPr>
      <w:tabs>
        <w:tab w:val="left" w:pos="1134"/>
      </w:tabs>
      <w:overflowPunct w:val="0"/>
      <w:autoSpaceDE w:val="0"/>
      <w:autoSpaceDN w:val="0"/>
      <w:adjustRightInd w:val="0"/>
      <w:spacing w:line="240" w:lineRule="exact"/>
      <w:ind w:left="1134" w:hanging="1134"/>
      <w:textAlignment w:val="baseline"/>
    </w:pPr>
    <w:rPr>
      <w:rFonts w:ascii="Times New Roman" w:hAnsi="Times New Roman"/>
      <w:sz w:val="24"/>
      <w:szCs w:val="24"/>
      <w:lang w:bidi="bg-BG"/>
    </w:rPr>
  </w:style>
  <w:style w:type="paragraph" w:customStyle="1" w:styleId="6">
    <w:name w:val="6"/>
    <w:pPr>
      <w:tabs>
        <w:tab w:val="left" w:pos="284"/>
      </w:tabs>
      <w:overflowPunct w:val="0"/>
      <w:autoSpaceDE w:val="0"/>
      <w:autoSpaceDN w:val="0"/>
      <w:adjustRightInd w:val="0"/>
      <w:spacing w:line="240" w:lineRule="exact"/>
      <w:ind w:left="284" w:hanging="284"/>
      <w:textAlignment w:val="baseline"/>
    </w:pPr>
    <w:rPr>
      <w:rFonts w:ascii="Times New Roman" w:hAnsi="Times New Roman"/>
      <w:sz w:val="24"/>
      <w:szCs w:val="24"/>
      <w:lang w:bidi="bg-BG"/>
    </w:rPr>
  </w:style>
  <w:style w:type="paragraph" w:customStyle="1" w:styleId="7">
    <w:name w:val="7"/>
    <w:pPr>
      <w:tabs>
        <w:tab w:val="left" w:pos="454"/>
        <w:tab w:val="left" w:pos="907"/>
      </w:tabs>
      <w:overflowPunct w:val="0"/>
      <w:autoSpaceDE w:val="0"/>
      <w:autoSpaceDN w:val="0"/>
      <w:adjustRightInd w:val="0"/>
      <w:spacing w:line="240" w:lineRule="exact"/>
      <w:ind w:left="907" w:hanging="454"/>
      <w:textAlignment w:val="baseline"/>
    </w:pPr>
    <w:rPr>
      <w:rFonts w:ascii="Times New Roman" w:hAnsi="Times New Roman"/>
      <w:sz w:val="24"/>
      <w:szCs w:val="24"/>
      <w:lang w:bidi="bg-BG"/>
    </w:rPr>
  </w:style>
  <w:style w:type="paragraph" w:customStyle="1" w:styleId="8">
    <w:name w:val="8"/>
    <w:pPr>
      <w:tabs>
        <w:tab w:val="left" w:pos="907"/>
        <w:tab w:val="left" w:pos="1361"/>
      </w:tabs>
      <w:overflowPunct w:val="0"/>
      <w:autoSpaceDE w:val="0"/>
      <w:autoSpaceDN w:val="0"/>
      <w:adjustRightInd w:val="0"/>
      <w:spacing w:line="240" w:lineRule="exact"/>
      <w:ind w:left="1361" w:hanging="454"/>
      <w:textAlignment w:val="baseline"/>
    </w:pPr>
    <w:rPr>
      <w:rFonts w:ascii="Times New Roman" w:hAnsi="Times New Roman"/>
      <w:sz w:val="24"/>
      <w:szCs w:val="24"/>
      <w:lang w:bidi="bg-BG"/>
    </w:rPr>
  </w:style>
  <w:style w:type="paragraph" w:customStyle="1" w:styleId="Paragraphe11">
    <w:name w:val="Paragraphe 11"/>
    <w:pPr>
      <w:tabs>
        <w:tab w:val="left" w:pos="454"/>
      </w:tabs>
      <w:overflowPunct w:val="0"/>
      <w:autoSpaceDE w:val="0"/>
      <w:autoSpaceDN w:val="0"/>
      <w:adjustRightInd w:val="0"/>
      <w:spacing w:line="240" w:lineRule="exact"/>
      <w:ind w:left="454" w:hanging="454"/>
      <w:textAlignment w:val="baseline"/>
    </w:pPr>
    <w:rPr>
      <w:rFonts w:ascii="Times New Roman" w:hAnsi="Times New Roman"/>
      <w:sz w:val="24"/>
      <w:szCs w:val="24"/>
      <w:lang w:bidi="bg-BG"/>
    </w:rPr>
  </w:style>
  <w:style w:type="paragraph" w:customStyle="1" w:styleId="Paragraphe12">
    <w:name w:val="Paragraphe 12"/>
    <w:pPr>
      <w:tabs>
        <w:tab w:val="left" w:pos="454"/>
      </w:tabs>
      <w:overflowPunct w:val="0"/>
      <w:autoSpaceDE w:val="0"/>
      <w:autoSpaceDN w:val="0"/>
      <w:adjustRightInd w:val="0"/>
      <w:spacing w:line="240" w:lineRule="exact"/>
      <w:ind w:left="454" w:hanging="454"/>
      <w:textAlignment w:val="baseline"/>
    </w:pPr>
    <w:rPr>
      <w:rFonts w:ascii="Times New Roman" w:hAnsi="Times New Roman"/>
      <w:sz w:val="24"/>
      <w:szCs w:val="24"/>
      <w:lang w:bidi="bg-BG"/>
    </w:rPr>
  </w:style>
  <w:style w:type="paragraph" w:customStyle="1" w:styleId="I1">
    <w:name w:val="I1"/>
    <w:pPr>
      <w:tabs>
        <w:tab w:val="left" w:pos="57"/>
        <w:tab w:val="left" w:pos="1077"/>
      </w:tabs>
      <w:overflowPunct w:val="0"/>
      <w:autoSpaceDE w:val="0"/>
      <w:autoSpaceDN w:val="0"/>
      <w:adjustRightInd w:val="0"/>
      <w:spacing w:line="240" w:lineRule="exact"/>
      <w:ind w:left="1077" w:hanging="340"/>
      <w:textAlignment w:val="baseline"/>
    </w:pPr>
    <w:rPr>
      <w:rFonts w:ascii="Times New Roman" w:hAnsi="Times New Roman"/>
      <w:sz w:val="24"/>
      <w:szCs w:val="24"/>
      <w:lang w:bidi="bg-BG"/>
    </w:rPr>
  </w:style>
  <w:style w:type="paragraph" w:customStyle="1" w:styleId="I2">
    <w:name w:val="I2"/>
    <w:pPr>
      <w:tabs>
        <w:tab w:val="left" w:pos="1077"/>
      </w:tabs>
      <w:overflowPunct w:val="0"/>
      <w:autoSpaceDE w:val="0"/>
      <w:autoSpaceDN w:val="0"/>
      <w:adjustRightInd w:val="0"/>
      <w:spacing w:line="240" w:lineRule="exact"/>
      <w:ind w:left="1077" w:hanging="454"/>
      <w:textAlignment w:val="baseline"/>
    </w:pPr>
    <w:rPr>
      <w:rFonts w:ascii="Times New Roman" w:hAnsi="Times New Roman"/>
      <w:sz w:val="24"/>
      <w:szCs w:val="24"/>
      <w:lang w:bidi="bg-BG"/>
    </w:rPr>
  </w:style>
  <w:style w:type="paragraph" w:customStyle="1" w:styleId="I3">
    <w:name w:val="I3"/>
    <w:pPr>
      <w:tabs>
        <w:tab w:val="left" w:pos="1077"/>
      </w:tabs>
      <w:overflowPunct w:val="0"/>
      <w:autoSpaceDE w:val="0"/>
      <w:autoSpaceDN w:val="0"/>
      <w:adjustRightInd w:val="0"/>
      <w:spacing w:line="240" w:lineRule="exact"/>
      <w:ind w:left="1077" w:hanging="510"/>
      <w:textAlignment w:val="baseline"/>
    </w:pPr>
    <w:rPr>
      <w:rFonts w:ascii="Times New Roman" w:hAnsi="Times New Roman"/>
      <w:sz w:val="24"/>
      <w:szCs w:val="24"/>
      <w:lang w:bidi="bg-BG"/>
    </w:rPr>
  </w:style>
  <w:style w:type="paragraph" w:customStyle="1" w:styleId="GT">
    <w:name w:val="GT"/>
    <w:pPr>
      <w:tabs>
        <w:tab w:val="left" w:pos="1344"/>
      </w:tabs>
      <w:overflowPunct w:val="0"/>
      <w:autoSpaceDE w:val="0"/>
      <w:autoSpaceDN w:val="0"/>
      <w:adjustRightInd w:val="0"/>
      <w:spacing w:line="240" w:lineRule="exact"/>
      <w:ind w:left="1344" w:hanging="1344"/>
      <w:textAlignment w:val="baseline"/>
    </w:pPr>
    <w:rPr>
      <w:rFonts w:ascii="Times New Roman" w:hAnsi="Times New Roman"/>
      <w:sz w:val="24"/>
      <w:szCs w:val="24"/>
      <w:lang w:bidi="bg-BG"/>
    </w:rPr>
  </w:style>
  <w:style w:type="paragraph" w:customStyle="1" w:styleId="GF">
    <w:name w:val="GF"/>
    <w:pPr>
      <w:tabs>
        <w:tab w:val="left" w:pos="1824"/>
      </w:tabs>
      <w:overflowPunct w:val="0"/>
      <w:autoSpaceDE w:val="0"/>
      <w:autoSpaceDN w:val="0"/>
      <w:adjustRightInd w:val="0"/>
      <w:spacing w:line="240" w:lineRule="exact"/>
      <w:ind w:left="1826" w:hanging="1826"/>
      <w:jc w:val="both"/>
      <w:textAlignment w:val="baseline"/>
    </w:pPr>
    <w:rPr>
      <w:rFonts w:ascii="Times New Roman" w:hAnsi="Times New Roman"/>
      <w:sz w:val="24"/>
      <w:szCs w:val="24"/>
      <w:lang w:bidi="bg-BG"/>
    </w:rPr>
  </w:style>
  <w:style w:type="paragraph" w:customStyle="1" w:styleId="Paragraphe19">
    <w:name w:val="Paragraphe 19"/>
    <w:pPr>
      <w:tabs>
        <w:tab w:val="left" w:pos="1344"/>
        <w:tab w:val="left" w:pos="1632"/>
      </w:tabs>
      <w:overflowPunct w:val="0"/>
      <w:autoSpaceDE w:val="0"/>
      <w:autoSpaceDN w:val="0"/>
      <w:adjustRightInd w:val="0"/>
      <w:spacing w:line="300" w:lineRule="exact"/>
      <w:ind w:left="1344" w:right="38" w:hanging="576"/>
      <w:jc w:val="both"/>
      <w:textAlignment w:val="baseline"/>
    </w:pPr>
    <w:rPr>
      <w:rFonts w:ascii="Times New Roman" w:hAnsi="Times New Roman"/>
      <w:sz w:val="24"/>
      <w:szCs w:val="24"/>
      <w:lang w:bidi="bg-BG"/>
    </w:rPr>
  </w:style>
  <w:style w:type="paragraph" w:customStyle="1" w:styleId="TNR7">
    <w:name w:val="TNR7"/>
    <w:basedOn w:val="TNR1"/>
    <w:pPr>
      <w:tabs>
        <w:tab w:val="clear" w:pos="907"/>
        <w:tab w:val="left" w:pos="-284"/>
        <w:tab w:val="left" w:pos="1021"/>
      </w:tabs>
      <w:spacing w:line="240" w:lineRule="exact"/>
      <w:ind w:hanging="397"/>
    </w:pPr>
    <w:rPr>
      <w:szCs w:val="24"/>
    </w:rPr>
  </w:style>
  <w:style w:type="paragraph" w:customStyle="1" w:styleId="a">
    <w:name w:val="a_"/>
    <w:basedOn w:val="BodyTextIndent2"/>
    <w:pPr>
      <w:tabs>
        <w:tab w:val="left" w:pos="426"/>
        <w:tab w:val="left" w:pos="709"/>
      </w:tabs>
      <w:spacing w:after="0" w:line="240" w:lineRule="atLeast"/>
      <w:ind w:left="709" w:hanging="709"/>
      <w:jc w:val="both"/>
    </w:pPr>
    <w:rPr>
      <w:rFonts w:ascii="Arial" w:hAnsi="Arial" w:cs="Arial"/>
      <w:snapToGrid/>
      <w:sz w:val="20"/>
      <w:szCs w:val="20"/>
    </w:rPr>
  </w:style>
  <w:style w:type="paragraph" w:customStyle="1" w:styleId="en-ttes">
    <w:name w:val="en-têtes"/>
    <w:basedOn w:val="Header"/>
    <w:pPr>
      <w:tabs>
        <w:tab w:val="clear" w:pos="8306"/>
        <w:tab w:val="right" w:pos="851"/>
        <w:tab w:val="center" w:pos="4252"/>
        <w:tab w:val="right" w:pos="8504"/>
      </w:tabs>
      <w:overflowPunct w:val="0"/>
      <w:adjustRightInd w:val="0"/>
      <w:ind w:hanging="397"/>
      <w:jc w:val="center"/>
      <w:textAlignment w:val="baseline"/>
    </w:pPr>
  </w:style>
  <w:style w:type="paragraph" w:customStyle="1" w:styleId="N5">
    <w:name w:val="N5"/>
    <w:basedOn w:val="Normal"/>
    <w:pPr>
      <w:tabs>
        <w:tab w:val="left" w:pos="284"/>
      </w:tabs>
      <w:overflowPunct w:val="0"/>
      <w:adjustRightInd w:val="0"/>
      <w:textAlignment w:val="baseline"/>
    </w:pPr>
  </w:style>
  <w:style w:type="paragraph" w:customStyle="1" w:styleId="N6">
    <w:name w:val="N6"/>
    <w:basedOn w:val="N5"/>
    <w:pPr>
      <w:tabs>
        <w:tab w:val="left" w:pos="794"/>
        <w:tab w:val="left" w:pos="1191"/>
        <w:tab w:val="left" w:leader="dot" w:pos="7371"/>
      </w:tabs>
    </w:pPr>
  </w:style>
  <w:style w:type="paragraph" w:customStyle="1" w:styleId="N8">
    <w:name w:val="N8"/>
    <w:basedOn w:val="N7"/>
    <w:pPr>
      <w:ind w:firstLine="0"/>
      <w:jc w:val="center"/>
    </w:pPr>
    <w:rPr>
      <w:snapToGrid/>
      <w:sz w:val="20"/>
    </w:rPr>
  </w:style>
  <w:style w:type="paragraph" w:customStyle="1" w:styleId="T1">
    <w:name w:val="T1"/>
    <w:basedOn w:val="Normal"/>
    <w:pPr>
      <w:tabs>
        <w:tab w:val="left" w:pos="425"/>
      </w:tabs>
      <w:overflowPunct w:val="0"/>
      <w:adjustRightInd w:val="0"/>
      <w:spacing w:line="240" w:lineRule="atLeast"/>
      <w:textAlignment w:val="baseline"/>
    </w:pPr>
  </w:style>
  <w:style w:type="paragraph" w:customStyle="1" w:styleId="Style1">
    <w:name w:val="Style1"/>
    <w:basedOn w:val="T1"/>
    <w:pPr>
      <w:tabs>
        <w:tab w:val="left" w:pos="851"/>
      </w:tabs>
      <w:spacing w:before="80"/>
      <w:ind w:left="850"/>
    </w:pPr>
  </w:style>
  <w:style w:type="paragraph" w:customStyle="1" w:styleId="T1a">
    <w:name w:val="T1a"/>
    <w:basedOn w:val="T1"/>
    <w:next w:val="Style1"/>
    <w:pPr>
      <w:tabs>
        <w:tab w:val="left" w:pos="851"/>
      </w:tabs>
      <w:spacing w:before="80"/>
      <w:ind w:left="850"/>
    </w:pPr>
  </w:style>
  <w:style w:type="paragraph" w:customStyle="1" w:styleId="To">
    <w:name w:val="To"/>
    <w:basedOn w:val="Normal"/>
    <w:pPr>
      <w:overflowPunct w:val="0"/>
      <w:adjustRightInd w:val="0"/>
      <w:spacing w:line="240" w:lineRule="atLeast"/>
      <w:textAlignment w:val="baseline"/>
    </w:pPr>
  </w:style>
  <w:style w:type="paragraph" w:customStyle="1" w:styleId="c1">
    <w:name w:val="c1"/>
    <w:basedOn w:val="Normal"/>
    <w:pPr>
      <w:spacing w:line="240" w:lineRule="atLeast"/>
      <w:jc w:val="center"/>
    </w:pPr>
  </w:style>
  <w:style w:type="paragraph" w:customStyle="1" w:styleId="Brieftext10">
    <w:name w:val="Brieftext_10"/>
    <w:basedOn w:val="Normal"/>
    <w:pPr>
      <w:widowControl w:val="0"/>
      <w:suppressAutoHyphens/>
      <w:spacing w:line="360" w:lineRule="auto"/>
    </w:pPr>
    <w:rPr>
      <w:szCs w:val="20"/>
    </w:rPr>
  </w:style>
  <w:style w:type="paragraph" w:customStyle="1" w:styleId="Retraitcorpsdetexte21">
    <w:name w:val="Retrait corps de texte 21"/>
    <w:basedOn w:val="Normal"/>
    <w:pPr>
      <w:tabs>
        <w:tab w:val="left" w:pos="1418"/>
      </w:tabs>
      <w:suppressAutoHyphens/>
      <w:spacing w:before="120"/>
      <w:ind w:left="1418" w:hanging="1418"/>
    </w:pPr>
    <w:rPr>
      <w:snapToGrid w:val="0"/>
      <w:szCs w:val="20"/>
    </w:rPr>
  </w:style>
  <w:style w:type="paragraph" w:customStyle="1" w:styleId="N10">
    <w:name w:val="N10"/>
    <w:basedOn w:val="Normal"/>
    <w:pPr>
      <w:tabs>
        <w:tab w:val="left" w:pos="284"/>
        <w:tab w:val="left" w:pos="567"/>
        <w:tab w:val="left" w:pos="680"/>
        <w:tab w:val="left" w:pos="1021"/>
      </w:tabs>
      <w:overflowPunct w:val="0"/>
      <w:adjustRightInd w:val="0"/>
      <w:ind w:left="568" w:hanging="284"/>
      <w:textAlignment w:val="baseline"/>
    </w:pPr>
    <w:rPr>
      <w:rFonts w:ascii="Tms Rmn" w:hAnsi="Tms Rmn" w:cs="Tms Rmn"/>
      <w:snapToGrid w:val="0"/>
    </w:rPr>
  </w:style>
  <w:style w:type="paragraph" w:customStyle="1" w:styleId="titr1">
    <w:name w:val="titr1"/>
    <w:basedOn w:val="BodyTextIndent"/>
    <w:pPr>
      <w:tabs>
        <w:tab w:val="left" w:pos="425"/>
      </w:tabs>
      <w:spacing w:after="0" w:line="240" w:lineRule="atLeast"/>
      <w:ind w:left="425"/>
      <w:outlineLvl w:val="0"/>
    </w:pPr>
    <w:rPr>
      <w:rFonts w:cs="Arial"/>
      <w:b/>
      <w:bCs/>
      <w:snapToGrid w:val="0"/>
    </w:rPr>
  </w:style>
  <w:style w:type="paragraph" w:customStyle="1" w:styleId="Titra">
    <w:name w:val="Titr_a"/>
    <w:basedOn w:val="BodyTextIndent"/>
    <w:pPr>
      <w:tabs>
        <w:tab w:val="left" w:pos="851"/>
      </w:tabs>
      <w:spacing w:after="0" w:line="240" w:lineRule="atLeast"/>
      <w:ind w:left="850"/>
      <w:outlineLvl w:val="0"/>
    </w:pPr>
    <w:rPr>
      <w:rFonts w:cs="Arial"/>
      <w:snapToGrid w:val="0"/>
      <w:szCs w:val="20"/>
    </w:rPr>
  </w:style>
  <w:style w:type="paragraph" w:customStyle="1" w:styleId="Titrtiret">
    <w:name w:val="Titr_tiret"/>
    <w:basedOn w:val="BodyTextIndent"/>
    <w:pPr>
      <w:tabs>
        <w:tab w:val="left" w:pos="1276"/>
      </w:tabs>
      <w:spacing w:before="80" w:after="0" w:line="240" w:lineRule="atLeast"/>
      <w:ind w:left="1276"/>
    </w:pPr>
    <w:rPr>
      <w:rFonts w:cs="Arial"/>
      <w:snapToGrid w:val="0"/>
      <w:szCs w:val="20"/>
    </w:rPr>
  </w:style>
  <w:style w:type="paragraph" w:customStyle="1" w:styleId="Taa">
    <w:name w:val="Taa"/>
    <w:basedOn w:val="Normal"/>
    <w:pPr>
      <w:tabs>
        <w:tab w:val="left" w:pos="1276"/>
      </w:tabs>
      <w:overflowPunct w:val="0"/>
      <w:adjustRightInd w:val="0"/>
      <w:spacing w:line="240" w:lineRule="exact"/>
      <w:ind w:left="1276"/>
      <w:textAlignment w:val="baseline"/>
    </w:pPr>
  </w:style>
  <w:style w:type="paragraph" w:customStyle="1" w:styleId="Ta">
    <w:name w:val="Ta"/>
    <w:basedOn w:val="Normal"/>
    <w:pPr>
      <w:tabs>
        <w:tab w:val="left" w:pos="851"/>
      </w:tabs>
      <w:spacing w:line="240" w:lineRule="atLeast"/>
      <w:ind w:left="850"/>
    </w:pPr>
    <w:rPr>
      <w:rFonts w:cs="Arial"/>
      <w:i/>
      <w:iCs/>
    </w:rPr>
  </w:style>
  <w:style w:type="paragraph" w:customStyle="1" w:styleId="Annex2Artikel">
    <w:name w:val="Annex2_Artikel"/>
    <w:basedOn w:val="Normal"/>
    <w:pPr>
      <w:widowControl w:val="0"/>
      <w:tabs>
        <w:tab w:val="left" w:pos="454"/>
        <w:tab w:val="left" w:pos="907"/>
        <w:tab w:val="left" w:pos="1361"/>
        <w:tab w:val="left" w:pos="1814"/>
      </w:tabs>
      <w:overflowPunct w:val="0"/>
      <w:adjustRightInd w:val="0"/>
      <w:spacing w:before="480" w:line="240" w:lineRule="exact"/>
      <w:jc w:val="center"/>
      <w:textAlignment w:val="baseline"/>
    </w:pPr>
    <w:rPr>
      <w:b/>
      <w:bCs/>
    </w:rPr>
  </w:style>
  <w:style w:type="paragraph" w:customStyle="1" w:styleId="Annex2Artikelberschrift">
    <w:name w:val="Annex2_Artikel_Überschrift"/>
    <w:basedOn w:val="Normal"/>
    <w:pPr>
      <w:widowControl w:val="0"/>
      <w:tabs>
        <w:tab w:val="left" w:pos="454"/>
        <w:tab w:val="left" w:pos="907"/>
        <w:tab w:val="left" w:pos="1361"/>
        <w:tab w:val="left" w:pos="1814"/>
      </w:tabs>
      <w:overflowPunct w:val="0"/>
      <w:adjustRightInd w:val="0"/>
      <w:spacing w:before="240" w:line="240" w:lineRule="exact"/>
      <w:jc w:val="center"/>
      <w:textAlignment w:val="baseline"/>
    </w:pPr>
    <w:rPr>
      <w:i/>
      <w:iCs/>
    </w:rPr>
  </w:style>
  <w:style w:type="paragraph" w:customStyle="1" w:styleId="T1fr">
    <w:name w:val="T1fr"/>
    <w:basedOn w:val="T1"/>
    <w:pPr>
      <w:tabs>
        <w:tab w:val="clear" w:pos="425"/>
        <w:tab w:val="left" w:pos="851"/>
      </w:tabs>
      <w:overflowPunct/>
      <w:adjustRightInd/>
      <w:ind w:left="850"/>
      <w:textAlignment w:val="auto"/>
    </w:pPr>
  </w:style>
  <w:style w:type="paragraph" w:customStyle="1" w:styleId="Tafr">
    <w:name w:val="Ta_fr"/>
    <w:basedOn w:val="T1"/>
    <w:pPr>
      <w:tabs>
        <w:tab w:val="clear" w:pos="425"/>
        <w:tab w:val="left" w:pos="851"/>
      </w:tabs>
      <w:overflowPunct/>
      <w:adjustRightInd/>
      <w:spacing w:before="60"/>
      <w:ind w:left="1276"/>
      <w:textAlignment w:val="auto"/>
    </w:pPr>
  </w:style>
  <w:style w:type="paragraph" w:customStyle="1" w:styleId="T1n">
    <w:name w:val="T1n"/>
    <w:basedOn w:val="T1"/>
    <w:pPr>
      <w:tabs>
        <w:tab w:val="clear" w:pos="425"/>
        <w:tab w:val="left" w:pos="851"/>
      </w:tabs>
      <w:ind w:left="850"/>
    </w:pPr>
  </w:style>
  <w:style w:type="paragraph" w:customStyle="1" w:styleId="T1gr">
    <w:name w:val="T_1gr"/>
    <w:basedOn w:val="Normal"/>
    <w:pPr>
      <w:tabs>
        <w:tab w:val="left" w:pos="567"/>
      </w:tabs>
      <w:spacing w:line="240" w:lineRule="atLeast"/>
      <w:ind w:left="567" w:hanging="567"/>
    </w:pPr>
    <w:rPr>
      <w:rFonts w:cs="Arial"/>
      <w:b/>
      <w:bCs/>
      <w:snapToGrid w:val="0"/>
      <w:szCs w:val="20"/>
    </w:rPr>
  </w:style>
  <w:style w:type="paragraph" w:customStyle="1" w:styleId="T1rent">
    <w:name w:val="T_1rent"/>
    <w:basedOn w:val="Normal"/>
    <w:qFormat/>
    <w:pPr>
      <w:spacing w:line="240" w:lineRule="atLeast"/>
      <w:ind w:left="567"/>
    </w:pPr>
    <w:rPr>
      <w:rFonts w:cs="Arial"/>
      <w:snapToGrid w:val="0"/>
      <w:szCs w:val="20"/>
    </w:rPr>
  </w:style>
  <w:style w:type="paragraph" w:customStyle="1" w:styleId="textetableau">
    <w:name w:val="texte tableau"/>
    <w:basedOn w:val="Normal"/>
    <w:pPr>
      <w:tabs>
        <w:tab w:val="left" w:pos="1418"/>
      </w:tabs>
      <w:spacing w:before="40" w:after="40" w:line="220" w:lineRule="exact"/>
    </w:pPr>
    <w:rPr>
      <w:bCs/>
      <w:iCs/>
      <w:szCs w:val="20"/>
    </w:rPr>
  </w:style>
  <w:style w:type="paragraph" w:customStyle="1" w:styleId="Lignedobjet">
    <w:name w:val="Ligne d'objet"/>
    <w:basedOn w:val="Normal"/>
    <w:pPr>
      <w:tabs>
        <w:tab w:val="left" w:pos="284"/>
      </w:tabs>
      <w:overflowPunct w:val="0"/>
      <w:adjustRightInd w:val="0"/>
      <w:textAlignment w:val="baseline"/>
    </w:pPr>
    <w:rPr>
      <w:szCs w:val="20"/>
    </w:rPr>
  </w:style>
  <w:style w:type="character" w:customStyle="1" w:styleId="BodyText2Char">
    <w:name w:val="Body Text 2 Char"/>
    <w:link w:val="BodyText2"/>
    <w:rPr>
      <w:rFonts w:ascii="Times New Roman" w:hAnsi="Times New Roman"/>
      <w:snapToGrid w:val="0"/>
      <w:sz w:val="24"/>
      <w:szCs w:val="24"/>
      <w:lang w:val="bg-BG"/>
    </w:rPr>
  </w:style>
  <w:style w:type="paragraph" w:customStyle="1" w:styleId="Textkrper-Einzug3">
    <w:name w:val="Textkörper-Einzug 3"/>
    <w:basedOn w:val="Normal"/>
    <w:pPr>
      <w:widowControl w:val="0"/>
      <w:tabs>
        <w:tab w:val="left" w:pos="426"/>
      </w:tabs>
      <w:overflowPunct w:val="0"/>
      <w:adjustRightInd w:val="0"/>
      <w:ind w:left="426" w:hanging="426"/>
      <w:textAlignment w:val="baseline"/>
    </w:pPr>
    <w:rPr>
      <w:rFonts w:cs="Arial"/>
      <w:i/>
      <w:iCs/>
      <w:szCs w:val="20"/>
    </w:rPr>
  </w:style>
  <w:style w:type="paragraph" w:customStyle="1" w:styleId="a1">
    <w:name w:val="a1"/>
    <w:basedOn w:val="Normal"/>
    <w:pPr>
      <w:tabs>
        <w:tab w:val="left" w:pos="851"/>
      </w:tabs>
      <w:spacing w:line="240" w:lineRule="atLeast"/>
      <w:ind w:left="850"/>
    </w:pPr>
    <w:rPr>
      <w:snapToGrid w:val="0"/>
    </w:rPr>
  </w:style>
  <w:style w:type="paragraph" w:customStyle="1" w:styleId="1berschriftTF">
    <w:name w:val="1.Überschrift TF"/>
    <w:basedOn w:val="Normal"/>
    <w:rPr>
      <w:rFonts w:ascii="Arial Narrow" w:hAnsi="Arial Narrow"/>
      <w:snapToGrid w:val="0"/>
    </w:rPr>
  </w:style>
  <w:style w:type="character" w:customStyle="1" w:styleId="SubtitleChar">
    <w:name w:val="Subtitle Char"/>
    <w:link w:val="Subtitle"/>
    <w:rPr>
      <w:rFonts w:ascii="Arial" w:hAnsi="Arial"/>
      <w:b/>
      <w:bCs/>
      <w:snapToGrid w:val="0"/>
      <w:sz w:val="28"/>
      <w:szCs w:val="28"/>
      <w:lang w:val="bg-BG"/>
    </w:rPr>
  </w:style>
  <w:style w:type="paragraph" w:customStyle="1" w:styleId="t60">
    <w:name w:val="t60"/>
    <w:basedOn w:val="Normal"/>
    <w:pPr>
      <w:spacing w:line="200" w:lineRule="atLeast"/>
    </w:pPr>
    <w:rPr>
      <w:snapToGrid w:val="0"/>
    </w:rPr>
  </w:style>
  <w:style w:type="paragraph" w:customStyle="1" w:styleId="Annex2Buchstabe">
    <w:name w:val="Annex2_Buchstabe"/>
    <w:basedOn w:val="Normal"/>
    <w:pPr>
      <w:tabs>
        <w:tab w:val="left" w:pos="454"/>
        <w:tab w:val="left" w:pos="907"/>
        <w:tab w:val="left" w:pos="1361"/>
        <w:tab w:val="left" w:pos="1814"/>
      </w:tabs>
      <w:overflowPunct w:val="0"/>
      <w:adjustRightInd w:val="0"/>
      <w:spacing w:after="80"/>
      <w:ind w:left="908" w:hanging="454"/>
      <w:textAlignment w:val="baseline"/>
    </w:pPr>
  </w:style>
  <w:style w:type="paragraph" w:customStyle="1" w:styleId="aa">
    <w:name w:val="aa"/>
    <w:basedOn w:val="Annex2Buchstabe"/>
    <w:pPr>
      <w:tabs>
        <w:tab w:val="clear" w:pos="454"/>
        <w:tab w:val="clear" w:pos="907"/>
        <w:tab w:val="clear" w:pos="1361"/>
        <w:tab w:val="clear" w:pos="1814"/>
        <w:tab w:val="left" w:pos="425"/>
        <w:tab w:val="left" w:pos="851"/>
        <w:tab w:val="left" w:pos="1276"/>
        <w:tab w:val="left" w:pos="1701"/>
        <w:tab w:val="left" w:pos="2126"/>
      </w:tabs>
      <w:spacing w:before="120" w:after="0" w:line="240" w:lineRule="atLeast"/>
      <w:ind w:left="850" w:hanging="425"/>
    </w:pPr>
  </w:style>
  <w:style w:type="paragraph" w:customStyle="1" w:styleId="Standard">
    <w:name w:val="Standard"/>
    <w:pPr>
      <w:widowControl w:val="0"/>
      <w:overflowPunct w:val="0"/>
      <w:autoSpaceDE w:val="0"/>
      <w:autoSpaceDN w:val="0"/>
      <w:adjustRightInd w:val="0"/>
      <w:jc w:val="both"/>
      <w:textAlignment w:val="baseline"/>
    </w:pPr>
    <w:rPr>
      <w:rFonts w:ascii="CG Times (W1)" w:hAnsi="CG Times (W1)"/>
      <w:snapToGrid w:val="0"/>
      <w:sz w:val="24"/>
      <w:szCs w:val="24"/>
      <w:lang w:bidi="bg-BG"/>
    </w:rPr>
  </w:style>
  <w:style w:type="paragraph" w:customStyle="1" w:styleId="rad111">
    <w:name w:val="rad1.11"/>
    <w:basedOn w:val="Normal"/>
    <w:pPr>
      <w:tabs>
        <w:tab w:val="left" w:pos="284"/>
        <w:tab w:val="left" w:pos="454"/>
        <w:tab w:val="left" w:pos="709"/>
      </w:tabs>
      <w:spacing w:line="240" w:lineRule="exact"/>
      <w:ind w:hanging="567"/>
    </w:pPr>
    <w:rPr>
      <w:snapToGrid w:val="0"/>
    </w:rPr>
  </w:style>
  <w:style w:type="paragraph" w:customStyle="1" w:styleId="rad1">
    <w:name w:val="rad1"/>
    <w:basedOn w:val="Normal"/>
    <w:pPr>
      <w:tabs>
        <w:tab w:val="left" w:pos="284"/>
        <w:tab w:val="left" w:pos="454"/>
        <w:tab w:val="left" w:pos="709"/>
      </w:tabs>
      <w:spacing w:line="240" w:lineRule="exact"/>
      <w:ind w:hanging="567"/>
    </w:pPr>
  </w:style>
  <w:style w:type="paragraph" w:customStyle="1" w:styleId="N12">
    <w:name w:val="N12"/>
    <w:basedOn w:val="Normal"/>
    <w:qFormat/>
    <w:pPr>
      <w:tabs>
        <w:tab w:val="left" w:pos="284"/>
      </w:tabs>
      <w:overflowPunct w:val="0"/>
      <w:adjustRightInd w:val="0"/>
      <w:spacing w:line="240" w:lineRule="atLeast"/>
      <w:jc w:val="center"/>
      <w:textAlignment w:val="baseline"/>
    </w:pPr>
    <w:rPr>
      <w:sz w:val="16"/>
      <w:szCs w:val="20"/>
    </w:rPr>
  </w:style>
  <w:style w:type="paragraph" w:customStyle="1" w:styleId="rad1note">
    <w:name w:val="rad1.note"/>
    <w:basedOn w:val="Normal"/>
    <w:pPr>
      <w:tabs>
        <w:tab w:val="left" w:pos="284"/>
        <w:tab w:val="left" w:pos="454"/>
        <w:tab w:val="left" w:pos="709"/>
      </w:tabs>
      <w:overflowPunct w:val="0"/>
      <w:adjustRightInd w:val="0"/>
      <w:spacing w:line="240" w:lineRule="exact"/>
      <w:ind w:left="284" w:hanging="284"/>
      <w:textAlignment w:val="baseline"/>
    </w:pPr>
    <w:rPr>
      <w:szCs w:val="20"/>
    </w:rPr>
  </w:style>
  <w:style w:type="paragraph" w:customStyle="1" w:styleId="Hoofdgedeelte">
    <w:name w:val="Hoofdgedeelte"/>
    <w:basedOn w:val="Normal"/>
    <w:pPr>
      <w:widowControl w:val="0"/>
    </w:pPr>
    <w:rPr>
      <w:rFonts w:ascii="Times" w:hAnsi="Times"/>
    </w:rPr>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8Num3z0">
    <w:name w:val="WW8Num3z0"/>
    <w:rPr>
      <w:rFonts w:cs="Times New Roman"/>
    </w:rPr>
  </w:style>
  <w:style w:type="character" w:customStyle="1" w:styleId="WW8Num4z0">
    <w:name w:val="WW8Num4z0"/>
    <w:rPr>
      <w:rFonts w:ascii="Times New Roman" w:eastAsia="Times New Roman" w:hAnsi="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Arial" w:eastAsia="Times New Roman" w:hAnsi="Aria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Policepardfaut1">
    <w:name w:val="Police par défaut1"/>
  </w:style>
  <w:style w:type="character" w:customStyle="1" w:styleId="Caractresdenotedebasdepage">
    <w:name w:val="Caractères de note de bas de page"/>
    <w:rPr>
      <w:rFonts w:cs="Times New Roman"/>
      <w:vertAlign w:val="superscript"/>
    </w:rPr>
  </w:style>
  <w:style w:type="character" w:customStyle="1" w:styleId="Marquedecommentaire1">
    <w:name w:val="Marque de commentaire1"/>
    <w:rPr>
      <w:rFonts w:cs="Times New Roman"/>
      <w:sz w:val="16"/>
      <w:szCs w:val="16"/>
    </w:rPr>
  </w:style>
  <w:style w:type="character" w:customStyle="1" w:styleId="VO-Text-AbsnachNrChar">
    <w:name w:val="VO-Text-Abs nach Nr Char"/>
    <w:rPr>
      <w:rFonts w:ascii="Arial" w:hAnsi="Arial" w:cs="Times New Roman"/>
      <w:b/>
      <w:bCs/>
      <w:sz w:val="24"/>
      <w:szCs w:val="24"/>
      <w:lang w:val="bg-BG" w:eastAsia="bg-BG" w:bidi="bg-BG"/>
    </w:rPr>
  </w:style>
  <w:style w:type="character" w:customStyle="1" w:styleId="error">
    <w:name w:val="error"/>
    <w:rPr>
      <w:rFonts w:cs="Times New Roman"/>
    </w:rPr>
  </w:style>
  <w:style w:type="character" w:customStyle="1" w:styleId="longtext1">
    <w:name w:val="long_text1"/>
    <w:rPr>
      <w:rFonts w:cs="Times New Roman"/>
      <w:sz w:val="20"/>
      <w:szCs w:val="20"/>
    </w:rPr>
  </w:style>
  <w:style w:type="character" w:customStyle="1" w:styleId="WW-Caractresdenotedebasdepage">
    <w:name w:val="WW-Caractères de note de bas de page"/>
    <w:rPr>
      <w:rFonts w:cs="Times New Roman"/>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customStyle="1" w:styleId="Caractresdenumrotation">
    <w:name w:val="Caractères de numérotation"/>
  </w:style>
  <w:style w:type="paragraph" w:customStyle="1" w:styleId="Titre1">
    <w:name w:val="Titre1"/>
    <w:basedOn w:val="Normal"/>
    <w:next w:val="BodyText"/>
    <w:pPr>
      <w:keepNext/>
      <w:suppressAutoHyphens/>
      <w:spacing w:before="240" w:after="120"/>
    </w:pPr>
    <w:rPr>
      <w:rFonts w:ascii="Liberation Sans" w:eastAsia="Lucida Sans Unicode" w:hAnsi="Liberation Sans" w:cs="Tahoma"/>
      <w:sz w:val="28"/>
      <w:lang w:eastAsia="bg-BG"/>
    </w:rPr>
  </w:style>
  <w:style w:type="paragraph" w:customStyle="1" w:styleId="Lgende1">
    <w:name w:val="Légende1"/>
    <w:basedOn w:val="Normal"/>
    <w:next w:val="Normal"/>
    <w:pPr>
      <w:suppressAutoHyphens/>
      <w:spacing w:before="120" w:after="120"/>
    </w:pPr>
    <w:rPr>
      <w:b/>
      <w:bCs/>
      <w:szCs w:val="20"/>
      <w:lang w:eastAsia="bg-BG"/>
    </w:rPr>
  </w:style>
  <w:style w:type="paragraph" w:customStyle="1" w:styleId="Index">
    <w:name w:val="Index"/>
    <w:basedOn w:val="Normal"/>
    <w:pPr>
      <w:suppressLineNumbers/>
      <w:suppressAutoHyphens/>
    </w:pPr>
    <w:rPr>
      <w:rFonts w:ascii="Liberation Sans" w:hAnsi="Liberation Sans" w:cs="Tahoma"/>
      <w:lang w:eastAsia="bg-BG"/>
    </w:rPr>
  </w:style>
  <w:style w:type="paragraph" w:customStyle="1" w:styleId="Explorateurdedocument1">
    <w:name w:val="Explorateur de document1"/>
    <w:basedOn w:val="Normal"/>
    <w:pPr>
      <w:shd w:val="clear" w:color="auto" w:fill="000080"/>
      <w:suppressAutoHyphens/>
    </w:pPr>
    <w:rPr>
      <w:szCs w:val="20"/>
      <w:lang w:eastAsia="bg-BG"/>
    </w:rPr>
  </w:style>
  <w:style w:type="paragraph" w:customStyle="1" w:styleId="Anlage">
    <w:name w:val="Anlage"/>
    <w:basedOn w:val="Normal"/>
    <w:pPr>
      <w:suppressAutoHyphens/>
      <w:spacing w:before="240"/>
      <w:ind w:left="1134" w:hanging="1134"/>
    </w:pPr>
    <w:rPr>
      <w:lang w:eastAsia="bg-BG"/>
    </w:rPr>
  </w:style>
  <w:style w:type="paragraph" w:customStyle="1" w:styleId="Betrifft">
    <w:name w:val="Betrifft"/>
    <w:basedOn w:val="Normal"/>
    <w:pPr>
      <w:suppressAutoHyphens/>
      <w:spacing w:before="480"/>
    </w:pPr>
    <w:rPr>
      <w:lang w:eastAsia="bg-BG"/>
    </w:rPr>
  </w:style>
  <w:style w:type="paragraph" w:customStyle="1" w:styleId="Bezug">
    <w:name w:val="Bezug"/>
    <w:basedOn w:val="Normal"/>
    <w:pPr>
      <w:suppressAutoHyphens/>
      <w:spacing w:before="240"/>
    </w:pPr>
    <w:rPr>
      <w:lang w:eastAsia="bg-BG"/>
    </w:rPr>
  </w:style>
  <w:style w:type="paragraph" w:customStyle="1" w:styleId="Hier">
    <w:name w:val="Hier"/>
    <w:basedOn w:val="Normal"/>
    <w:pPr>
      <w:tabs>
        <w:tab w:val="left" w:pos="284"/>
      </w:tabs>
      <w:suppressAutoHyphens/>
      <w:ind w:left="284" w:hanging="284"/>
    </w:pPr>
    <w:rPr>
      <w:lang w:eastAsia="bg-BG"/>
    </w:rPr>
  </w:style>
  <w:style w:type="paragraph" w:customStyle="1" w:styleId="yyx">
    <w:name w:val="yyx"/>
    <w:basedOn w:val="Normal"/>
    <w:pPr>
      <w:suppressAutoHyphens/>
      <w:spacing w:line="360" w:lineRule="auto"/>
    </w:pPr>
    <w:rPr>
      <w:b/>
      <w:lang w:eastAsia="bg-BG"/>
    </w:rPr>
  </w:style>
  <w:style w:type="paragraph" w:customStyle="1" w:styleId="Nverborgen">
    <w:name w:val="Nverborgen"/>
    <w:basedOn w:val="Normal"/>
    <w:next w:val="Normal"/>
    <w:pPr>
      <w:suppressAutoHyphens/>
      <w:spacing w:line="360" w:lineRule="auto"/>
      <w:ind w:hanging="567"/>
    </w:pPr>
    <w:rPr>
      <w:lang w:eastAsia="bg-BG"/>
    </w:rPr>
  </w:style>
  <w:style w:type="paragraph" w:customStyle="1" w:styleId="Verborgen">
    <w:name w:val="Verborgen"/>
    <w:basedOn w:val="Normal"/>
    <w:next w:val="Normal"/>
    <w:pPr>
      <w:suppressAutoHyphens/>
      <w:spacing w:after="360" w:line="360" w:lineRule="auto"/>
      <w:ind w:hanging="567"/>
    </w:pPr>
    <w:rPr>
      <w:vanish/>
      <w:color w:val="0000FF"/>
      <w:lang w:eastAsia="bg-BG"/>
    </w:rPr>
  </w:style>
  <w:style w:type="paragraph" w:customStyle="1" w:styleId="Salutations1">
    <w:name w:val="Salutations1"/>
    <w:basedOn w:val="Normal"/>
    <w:next w:val="Normal"/>
    <w:pPr>
      <w:suppressAutoHyphens/>
      <w:spacing w:before="720" w:line="360" w:lineRule="auto"/>
    </w:pPr>
    <w:rPr>
      <w:lang w:eastAsia="bg-BG"/>
    </w:rPr>
  </w:style>
  <w:style w:type="paragraph" w:customStyle="1" w:styleId="c4">
    <w:name w:val="c4"/>
    <w:basedOn w:val="Normal"/>
    <w:pPr>
      <w:suppressAutoHyphens/>
      <w:spacing w:line="240" w:lineRule="atLeast"/>
      <w:jc w:val="center"/>
    </w:pPr>
    <w:rPr>
      <w:szCs w:val="20"/>
      <w:lang w:eastAsia="bg-BG"/>
    </w:rPr>
  </w:style>
  <w:style w:type="paragraph" w:customStyle="1" w:styleId="p4">
    <w:name w:val="p4"/>
    <w:basedOn w:val="Normal"/>
    <w:pPr>
      <w:tabs>
        <w:tab w:val="left" w:pos="720"/>
      </w:tabs>
      <w:suppressAutoHyphens/>
      <w:spacing w:line="220" w:lineRule="atLeast"/>
    </w:pPr>
    <w:rPr>
      <w:szCs w:val="20"/>
      <w:lang w:eastAsia="bg-BG"/>
    </w:rPr>
  </w:style>
  <w:style w:type="paragraph" w:customStyle="1" w:styleId="c2">
    <w:name w:val="c2"/>
    <w:basedOn w:val="Normal"/>
    <w:pPr>
      <w:suppressAutoHyphens/>
      <w:spacing w:line="240" w:lineRule="atLeast"/>
      <w:jc w:val="center"/>
    </w:pPr>
    <w:rPr>
      <w:szCs w:val="20"/>
      <w:lang w:eastAsia="bg-BG"/>
    </w:rPr>
  </w:style>
  <w:style w:type="paragraph" w:customStyle="1" w:styleId="p9">
    <w:name w:val="p9"/>
    <w:basedOn w:val="Normal"/>
    <w:pPr>
      <w:tabs>
        <w:tab w:val="left" w:pos="1060"/>
      </w:tabs>
      <w:suppressAutoHyphens/>
      <w:spacing w:line="240" w:lineRule="atLeast"/>
      <w:ind w:left="1440" w:firstLine="1008"/>
    </w:pPr>
    <w:rPr>
      <w:szCs w:val="20"/>
      <w:lang w:eastAsia="bg-BG"/>
    </w:rPr>
  </w:style>
  <w:style w:type="paragraph" w:customStyle="1" w:styleId="p5">
    <w:name w:val="p5"/>
    <w:basedOn w:val="Normal"/>
    <w:pPr>
      <w:tabs>
        <w:tab w:val="left" w:pos="720"/>
      </w:tabs>
      <w:suppressAutoHyphens/>
      <w:spacing w:line="240" w:lineRule="atLeast"/>
    </w:pPr>
    <w:rPr>
      <w:szCs w:val="20"/>
      <w:lang w:eastAsia="bg-BG"/>
    </w:rPr>
  </w:style>
  <w:style w:type="paragraph" w:customStyle="1" w:styleId="p10">
    <w:name w:val="p10"/>
    <w:basedOn w:val="Normal"/>
    <w:pPr>
      <w:tabs>
        <w:tab w:val="left" w:pos="240"/>
        <w:tab w:val="left" w:pos="500"/>
      </w:tabs>
      <w:suppressAutoHyphens/>
      <w:spacing w:line="240" w:lineRule="atLeast"/>
      <w:ind w:left="1440" w:firstLine="288"/>
    </w:pPr>
    <w:rPr>
      <w:szCs w:val="20"/>
      <w:lang w:eastAsia="bg-BG"/>
    </w:rPr>
  </w:style>
  <w:style w:type="paragraph" w:customStyle="1" w:styleId="p11">
    <w:name w:val="p11"/>
    <w:basedOn w:val="Normal"/>
    <w:pPr>
      <w:tabs>
        <w:tab w:val="left" w:pos="720"/>
      </w:tabs>
      <w:suppressAutoHyphens/>
      <w:spacing w:line="220" w:lineRule="atLeast"/>
    </w:pPr>
    <w:rPr>
      <w:szCs w:val="20"/>
      <w:lang w:eastAsia="bg-BG"/>
    </w:rPr>
  </w:style>
  <w:style w:type="paragraph" w:customStyle="1" w:styleId="p12">
    <w:name w:val="p12"/>
    <w:basedOn w:val="Normal"/>
    <w:pPr>
      <w:tabs>
        <w:tab w:val="left" w:pos="720"/>
      </w:tabs>
      <w:suppressAutoHyphens/>
      <w:spacing w:line="240" w:lineRule="atLeast"/>
    </w:pPr>
    <w:rPr>
      <w:szCs w:val="20"/>
      <w:lang w:eastAsia="bg-BG"/>
    </w:rPr>
  </w:style>
  <w:style w:type="paragraph" w:customStyle="1" w:styleId="p14">
    <w:name w:val="p14"/>
    <w:basedOn w:val="Normal"/>
    <w:pPr>
      <w:tabs>
        <w:tab w:val="left" w:pos="260"/>
        <w:tab w:val="left" w:pos="540"/>
      </w:tabs>
      <w:suppressAutoHyphens/>
      <w:spacing w:line="220" w:lineRule="atLeast"/>
      <w:ind w:left="864" w:hanging="576"/>
    </w:pPr>
    <w:rPr>
      <w:szCs w:val="20"/>
      <w:lang w:eastAsia="bg-BG"/>
    </w:rPr>
  </w:style>
  <w:style w:type="paragraph" w:customStyle="1" w:styleId="p15">
    <w:name w:val="p15"/>
    <w:basedOn w:val="Normal"/>
    <w:pPr>
      <w:tabs>
        <w:tab w:val="left" w:pos="260"/>
      </w:tabs>
      <w:suppressAutoHyphens/>
      <w:spacing w:line="240" w:lineRule="atLeast"/>
      <w:ind w:left="1152" w:hanging="288"/>
    </w:pPr>
    <w:rPr>
      <w:szCs w:val="20"/>
      <w:lang w:eastAsia="bg-BG"/>
    </w:rPr>
  </w:style>
  <w:style w:type="paragraph" w:customStyle="1" w:styleId="p7">
    <w:name w:val="p7"/>
    <w:basedOn w:val="Normal"/>
    <w:pPr>
      <w:tabs>
        <w:tab w:val="left" w:pos="260"/>
      </w:tabs>
      <w:suppressAutoHyphens/>
      <w:spacing w:line="220" w:lineRule="atLeast"/>
      <w:ind w:left="1152" w:hanging="288"/>
    </w:pPr>
    <w:rPr>
      <w:szCs w:val="20"/>
      <w:lang w:eastAsia="bg-BG"/>
    </w:rPr>
  </w:style>
  <w:style w:type="paragraph" w:customStyle="1" w:styleId="p16">
    <w:name w:val="p16"/>
    <w:basedOn w:val="Normal"/>
    <w:pPr>
      <w:tabs>
        <w:tab w:val="left" w:pos="520"/>
      </w:tabs>
      <w:suppressAutoHyphens/>
      <w:spacing w:line="240" w:lineRule="atLeast"/>
      <w:ind w:left="1440" w:firstLine="576"/>
    </w:pPr>
    <w:rPr>
      <w:szCs w:val="20"/>
      <w:lang w:eastAsia="bg-BG"/>
    </w:rPr>
  </w:style>
  <w:style w:type="paragraph" w:customStyle="1" w:styleId="c18">
    <w:name w:val="c18"/>
    <w:basedOn w:val="Normal"/>
    <w:pPr>
      <w:suppressAutoHyphens/>
      <w:spacing w:line="240" w:lineRule="atLeast"/>
      <w:jc w:val="center"/>
    </w:pPr>
    <w:rPr>
      <w:szCs w:val="20"/>
      <w:lang w:eastAsia="bg-BG"/>
    </w:rPr>
  </w:style>
  <w:style w:type="paragraph" w:customStyle="1" w:styleId="t17">
    <w:name w:val="t17"/>
    <w:basedOn w:val="Normal"/>
    <w:pPr>
      <w:suppressAutoHyphens/>
      <w:spacing w:line="240" w:lineRule="atLeast"/>
    </w:pPr>
    <w:rPr>
      <w:szCs w:val="20"/>
      <w:lang w:eastAsia="bg-BG"/>
    </w:rPr>
  </w:style>
  <w:style w:type="paragraph" w:customStyle="1" w:styleId="p19">
    <w:name w:val="p19"/>
    <w:basedOn w:val="Normal"/>
    <w:pPr>
      <w:tabs>
        <w:tab w:val="left" w:pos="280"/>
        <w:tab w:val="left" w:pos="520"/>
      </w:tabs>
      <w:suppressAutoHyphens/>
      <w:spacing w:line="220" w:lineRule="atLeast"/>
      <w:ind w:left="1152" w:hanging="288"/>
    </w:pPr>
    <w:rPr>
      <w:szCs w:val="20"/>
      <w:lang w:eastAsia="bg-BG"/>
    </w:rPr>
  </w:style>
  <w:style w:type="paragraph" w:customStyle="1" w:styleId="p21">
    <w:name w:val="p21"/>
    <w:basedOn w:val="Normal"/>
    <w:pPr>
      <w:tabs>
        <w:tab w:val="left" w:pos="2480"/>
      </w:tabs>
      <w:suppressAutoHyphens/>
      <w:spacing w:line="240" w:lineRule="atLeast"/>
      <w:ind w:left="1040"/>
    </w:pPr>
    <w:rPr>
      <w:szCs w:val="20"/>
      <w:lang w:eastAsia="bg-BG"/>
    </w:rPr>
  </w:style>
  <w:style w:type="paragraph" w:customStyle="1" w:styleId="p8">
    <w:name w:val="p8"/>
    <w:basedOn w:val="Normal"/>
    <w:pPr>
      <w:tabs>
        <w:tab w:val="left" w:pos="520"/>
      </w:tabs>
      <w:suppressAutoHyphens/>
      <w:spacing w:line="220" w:lineRule="atLeast"/>
      <w:ind w:left="864" w:hanging="576"/>
    </w:pPr>
    <w:rPr>
      <w:szCs w:val="20"/>
      <w:lang w:eastAsia="bg-BG"/>
    </w:rPr>
  </w:style>
  <w:style w:type="paragraph" w:customStyle="1" w:styleId="c3">
    <w:name w:val="c3"/>
    <w:basedOn w:val="Normal"/>
    <w:pPr>
      <w:suppressAutoHyphens/>
      <w:spacing w:line="240" w:lineRule="atLeast"/>
      <w:jc w:val="center"/>
    </w:pPr>
    <w:rPr>
      <w:szCs w:val="20"/>
      <w:lang w:eastAsia="bg-BG"/>
    </w:rPr>
  </w:style>
  <w:style w:type="paragraph" w:customStyle="1" w:styleId="p13">
    <w:name w:val="p13"/>
    <w:basedOn w:val="Normal"/>
    <w:pPr>
      <w:tabs>
        <w:tab w:val="left" w:pos="260"/>
      </w:tabs>
      <w:suppressAutoHyphens/>
      <w:spacing w:line="220" w:lineRule="atLeast"/>
      <w:ind w:left="1180"/>
    </w:pPr>
    <w:rPr>
      <w:szCs w:val="20"/>
      <w:lang w:eastAsia="bg-BG"/>
    </w:rPr>
  </w:style>
  <w:style w:type="paragraph" w:customStyle="1" w:styleId="p20">
    <w:name w:val="p20"/>
    <w:basedOn w:val="Normal"/>
    <w:pPr>
      <w:tabs>
        <w:tab w:val="left" w:pos="780"/>
      </w:tabs>
      <w:suppressAutoHyphens/>
      <w:spacing w:line="220" w:lineRule="atLeast"/>
    </w:pPr>
    <w:rPr>
      <w:szCs w:val="20"/>
      <w:lang w:eastAsia="bg-BG"/>
    </w:rPr>
  </w:style>
  <w:style w:type="paragraph" w:customStyle="1" w:styleId="c15">
    <w:name w:val="c15"/>
    <w:basedOn w:val="Normal"/>
    <w:pPr>
      <w:suppressAutoHyphens/>
      <w:spacing w:line="240" w:lineRule="atLeast"/>
      <w:jc w:val="center"/>
    </w:pPr>
    <w:rPr>
      <w:szCs w:val="20"/>
      <w:lang w:eastAsia="bg-BG"/>
    </w:rPr>
  </w:style>
  <w:style w:type="paragraph" w:customStyle="1" w:styleId="p22">
    <w:name w:val="p22"/>
    <w:basedOn w:val="Normal"/>
    <w:pPr>
      <w:tabs>
        <w:tab w:val="left" w:pos="520"/>
        <w:tab w:val="left" w:pos="1060"/>
      </w:tabs>
      <w:suppressAutoHyphens/>
      <w:spacing w:line="220" w:lineRule="atLeast"/>
      <w:ind w:left="432" w:hanging="432"/>
    </w:pPr>
    <w:rPr>
      <w:szCs w:val="20"/>
      <w:lang w:eastAsia="bg-BG"/>
    </w:rPr>
  </w:style>
  <w:style w:type="paragraph" w:customStyle="1" w:styleId="p26">
    <w:name w:val="p26"/>
    <w:basedOn w:val="Normal"/>
    <w:pPr>
      <w:tabs>
        <w:tab w:val="left" w:pos="520"/>
      </w:tabs>
      <w:suppressAutoHyphens/>
      <w:spacing w:line="240" w:lineRule="atLeast"/>
      <w:ind w:left="864" w:hanging="576"/>
    </w:pPr>
    <w:rPr>
      <w:szCs w:val="20"/>
      <w:lang w:eastAsia="bg-BG"/>
    </w:rPr>
  </w:style>
  <w:style w:type="paragraph" w:customStyle="1" w:styleId="p31">
    <w:name w:val="p31"/>
    <w:basedOn w:val="Normal"/>
    <w:pPr>
      <w:tabs>
        <w:tab w:val="left" w:pos="260"/>
        <w:tab w:val="left" w:pos="540"/>
      </w:tabs>
      <w:suppressAutoHyphens/>
      <w:spacing w:line="220" w:lineRule="atLeast"/>
      <w:ind w:left="1440" w:firstLine="288"/>
    </w:pPr>
    <w:rPr>
      <w:szCs w:val="20"/>
      <w:lang w:eastAsia="bg-BG"/>
    </w:rPr>
  </w:style>
  <w:style w:type="paragraph" w:customStyle="1" w:styleId="p32">
    <w:name w:val="p32"/>
    <w:basedOn w:val="Normal"/>
    <w:pPr>
      <w:tabs>
        <w:tab w:val="left" w:pos="280"/>
      </w:tabs>
      <w:suppressAutoHyphens/>
      <w:spacing w:line="220" w:lineRule="atLeast"/>
      <w:ind w:left="1152" w:hanging="288"/>
    </w:pPr>
    <w:rPr>
      <w:szCs w:val="20"/>
      <w:lang w:eastAsia="bg-BG"/>
    </w:rPr>
  </w:style>
  <w:style w:type="paragraph" w:customStyle="1" w:styleId="p33">
    <w:name w:val="p33"/>
    <w:basedOn w:val="Normal"/>
    <w:pPr>
      <w:tabs>
        <w:tab w:val="left" w:pos="260"/>
      </w:tabs>
      <w:suppressAutoHyphens/>
      <w:spacing w:line="240" w:lineRule="atLeast"/>
      <w:ind w:left="1440" w:firstLine="288"/>
    </w:pPr>
    <w:rPr>
      <w:szCs w:val="20"/>
      <w:lang w:eastAsia="bg-BG"/>
    </w:rPr>
  </w:style>
  <w:style w:type="paragraph" w:customStyle="1" w:styleId="p36">
    <w:name w:val="p36"/>
    <w:basedOn w:val="Normal"/>
    <w:qFormat/>
    <w:pPr>
      <w:tabs>
        <w:tab w:val="left" w:pos="280"/>
      </w:tabs>
      <w:suppressAutoHyphens/>
      <w:spacing w:line="220" w:lineRule="atLeast"/>
      <w:ind w:left="1152" w:hanging="288"/>
    </w:pPr>
    <w:rPr>
      <w:szCs w:val="20"/>
      <w:lang w:eastAsia="bg-BG"/>
    </w:rPr>
  </w:style>
  <w:style w:type="paragraph" w:customStyle="1" w:styleId="p39">
    <w:name w:val="p39"/>
    <w:basedOn w:val="Normal"/>
    <w:pPr>
      <w:tabs>
        <w:tab w:val="left" w:pos="280"/>
      </w:tabs>
      <w:suppressAutoHyphens/>
      <w:spacing w:line="220" w:lineRule="atLeast"/>
      <w:ind w:left="1152" w:hanging="288"/>
    </w:pPr>
    <w:rPr>
      <w:szCs w:val="20"/>
      <w:lang w:eastAsia="bg-BG"/>
    </w:rPr>
  </w:style>
  <w:style w:type="paragraph" w:customStyle="1" w:styleId="c6">
    <w:name w:val="c6"/>
    <w:basedOn w:val="Normal"/>
    <w:pPr>
      <w:suppressAutoHyphens/>
      <w:spacing w:line="240" w:lineRule="atLeast"/>
      <w:jc w:val="center"/>
    </w:pPr>
    <w:rPr>
      <w:szCs w:val="20"/>
      <w:lang w:eastAsia="bg-BG"/>
    </w:rPr>
  </w:style>
  <w:style w:type="paragraph" w:customStyle="1" w:styleId="p28">
    <w:name w:val="p28"/>
    <w:basedOn w:val="Normal"/>
    <w:pPr>
      <w:tabs>
        <w:tab w:val="left" w:pos="720"/>
      </w:tabs>
      <w:suppressAutoHyphens/>
      <w:spacing w:line="220" w:lineRule="atLeast"/>
    </w:pPr>
    <w:rPr>
      <w:szCs w:val="20"/>
      <w:lang w:eastAsia="bg-BG"/>
    </w:rPr>
  </w:style>
  <w:style w:type="paragraph" w:customStyle="1" w:styleId="c56">
    <w:name w:val="c56"/>
    <w:basedOn w:val="Normal"/>
    <w:pPr>
      <w:suppressAutoHyphens/>
      <w:spacing w:line="240" w:lineRule="atLeast"/>
      <w:jc w:val="center"/>
    </w:pPr>
    <w:rPr>
      <w:szCs w:val="20"/>
      <w:lang w:eastAsia="bg-BG"/>
    </w:rPr>
  </w:style>
  <w:style w:type="paragraph" w:customStyle="1" w:styleId="c66">
    <w:name w:val="c66"/>
    <w:basedOn w:val="Normal"/>
    <w:pPr>
      <w:suppressAutoHyphens/>
      <w:spacing w:line="240" w:lineRule="atLeast"/>
      <w:jc w:val="center"/>
    </w:pPr>
    <w:rPr>
      <w:szCs w:val="20"/>
      <w:lang w:eastAsia="bg-BG"/>
    </w:rPr>
  </w:style>
  <w:style w:type="paragraph" w:customStyle="1" w:styleId="p52">
    <w:name w:val="p52"/>
    <w:basedOn w:val="Normal"/>
    <w:pPr>
      <w:tabs>
        <w:tab w:val="left" w:pos="720"/>
      </w:tabs>
      <w:suppressAutoHyphens/>
      <w:spacing w:line="220" w:lineRule="atLeast"/>
    </w:pPr>
    <w:rPr>
      <w:szCs w:val="20"/>
      <w:lang w:eastAsia="bg-BG"/>
    </w:rPr>
  </w:style>
  <w:style w:type="paragraph" w:customStyle="1" w:styleId="c62">
    <w:name w:val="c62"/>
    <w:basedOn w:val="Normal"/>
    <w:qFormat/>
    <w:pPr>
      <w:suppressAutoHyphens/>
      <w:spacing w:line="240" w:lineRule="atLeast"/>
      <w:jc w:val="center"/>
    </w:pPr>
    <w:rPr>
      <w:szCs w:val="20"/>
      <w:lang w:eastAsia="bg-BG"/>
    </w:rPr>
  </w:style>
  <w:style w:type="paragraph" w:customStyle="1" w:styleId="c84">
    <w:name w:val="c84"/>
    <w:basedOn w:val="Normal"/>
    <w:qFormat/>
    <w:pPr>
      <w:suppressAutoHyphens/>
      <w:spacing w:line="240" w:lineRule="atLeast"/>
      <w:jc w:val="center"/>
    </w:pPr>
    <w:rPr>
      <w:szCs w:val="20"/>
      <w:lang w:eastAsia="bg-BG"/>
    </w:rPr>
  </w:style>
  <w:style w:type="paragraph" w:customStyle="1" w:styleId="p1">
    <w:name w:val="p1"/>
    <w:basedOn w:val="Normal"/>
    <w:pPr>
      <w:tabs>
        <w:tab w:val="left" w:pos="280"/>
      </w:tabs>
      <w:suppressAutoHyphens/>
      <w:spacing w:line="220" w:lineRule="atLeast"/>
      <w:ind w:left="1440" w:firstLine="288"/>
    </w:pPr>
    <w:rPr>
      <w:szCs w:val="20"/>
      <w:lang w:eastAsia="bg-BG"/>
    </w:rPr>
  </w:style>
  <w:style w:type="paragraph" w:customStyle="1" w:styleId="p2">
    <w:name w:val="p2"/>
    <w:basedOn w:val="Normal"/>
    <w:pPr>
      <w:tabs>
        <w:tab w:val="left" w:pos="1700"/>
      </w:tabs>
      <w:suppressAutoHyphens/>
      <w:spacing w:line="340" w:lineRule="atLeast"/>
      <w:ind w:left="288" w:hanging="1728"/>
    </w:pPr>
    <w:rPr>
      <w:szCs w:val="20"/>
      <w:lang w:eastAsia="bg-BG"/>
    </w:rPr>
  </w:style>
  <w:style w:type="paragraph" w:customStyle="1" w:styleId="VO-Textohne">
    <w:name w:val="VO-Text ohne"/>
    <w:basedOn w:val="Normal"/>
    <w:pPr>
      <w:suppressAutoHyphens/>
      <w:spacing w:before="120"/>
    </w:pPr>
    <w:rPr>
      <w:bCs/>
      <w:szCs w:val="20"/>
      <w:lang w:eastAsia="bg-BG"/>
    </w:rPr>
  </w:style>
  <w:style w:type="paragraph" w:customStyle="1" w:styleId="Commentaire2">
    <w:name w:val="Commentaire2"/>
    <w:basedOn w:val="Normal"/>
    <w:pPr>
      <w:suppressAutoHyphens/>
    </w:pPr>
    <w:rPr>
      <w:szCs w:val="20"/>
      <w:lang w:eastAsia="bg-BG"/>
    </w:rPr>
  </w:style>
  <w:style w:type="paragraph" w:customStyle="1" w:styleId="VO-Text-AbsnachNr">
    <w:name w:val="VO-Text-Abs nach Nr"/>
    <w:basedOn w:val="Normal"/>
    <w:pPr>
      <w:tabs>
        <w:tab w:val="left" w:pos="992"/>
        <w:tab w:val="left" w:pos="1418"/>
      </w:tabs>
      <w:suppressAutoHyphens/>
      <w:spacing w:before="120"/>
      <w:ind w:left="992" w:hanging="567"/>
    </w:pPr>
    <w:rPr>
      <w:b/>
      <w:bCs/>
      <w:lang w:eastAsia="bg-BG"/>
    </w:rPr>
  </w:style>
  <w:style w:type="paragraph" w:customStyle="1" w:styleId="VO-TextEinzug">
    <w:name w:val="VO-Text Einzug"/>
    <w:basedOn w:val="VO-Text-AbsnachNr"/>
    <w:pPr>
      <w:ind w:firstLine="0"/>
    </w:pPr>
  </w:style>
  <w:style w:type="paragraph" w:customStyle="1" w:styleId="TNR1Tab">
    <w:name w:val="TNR1Tab"/>
    <w:basedOn w:val="TNR1"/>
    <w:pPr>
      <w:widowControl w:val="0"/>
      <w:tabs>
        <w:tab w:val="clear" w:pos="907"/>
        <w:tab w:val="left" w:pos="1021"/>
      </w:tabs>
      <w:suppressAutoHyphens/>
      <w:overflowPunct/>
      <w:adjustRightInd/>
      <w:spacing w:line="240" w:lineRule="exact"/>
      <w:ind w:left="284" w:right="57"/>
      <w:textAlignment w:val="auto"/>
    </w:pPr>
    <w:rPr>
      <w:sz w:val="20"/>
      <w:lang w:eastAsia="bg-BG"/>
    </w:rPr>
  </w:style>
  <w:style w:type="paragraph" w:customStyle="1" w:styleId="TNRATab">
    <w:name w:val="TNRATab"/>
    <w:basedOn w:val="TNR1Tab"/>
    <w:pPr>
      <w:tabs>
        <w:tab w:val="left" w:pos="568"/>
      </w:tabs>
      <w:ind w:left="568" w:hanging="283"/>
    </w:pPr>
  </w:style>
  <w:style w:type="paragraph" w:customStyle="1" w:styleId="Corpsdetexte21">
    <w:name w:val="Corps de texte 21"/>
    <w:basedOn w:val="Normal"/>
    <w:pPr>
      <w:widowControl w:val="0"/>
      <w:tabs>
        <w:tab w:val="left" w:pos="851"/>
      </w:tabs>
      <w:suppressAutoHyphens/>
      <w:overflowPunct w:val="0"/>
      <w:ind w:left="365"/>
      <w:textAlignment w:val="baseline"/>
    </w:pPr>
    <w:rPr>
      <w:rFonts w:ascii="CG Times (W1)" w:hAnsi="CG Times (W1)"/>
      <w:szCs w:val="20"/>
      <w:lang w:eastAsia="bg-BG"/>
    </w:rPr>
  </w:style>
  <w:style w:type="paragraph" w:customStyle="1" w:styleId="Retraitcorpsdetexte31">
    <w:name w:val="Retrait corps de texte 31"/>
    <w:basedOn w:val="Normal"/>
    <w:pPr>
      <w:suppressAutoHyphens/>
      <w:spacing w:after="120" w:line="360" w:lineRule="auto"/>
      <w:ind w:left="283"/>
    </w:pPr>
    <w:rPr>
      <w:sz w:val="16"/>
      <w:szCs w:val="16"/>
      <w:lang w:eastAsia="bg-BG"/>
    </w:rPr>
  </w:style>
  <w:style w:type="paragraph" w:customStyle="1" w:styleId="u1">
    <w:name w:val="u1"/>
    <w:basedOn w:val="Normal"/>
    <w:pPr>
      <w:keepNext/>
      <w:keepLines/>
      <w:tabs>
        <w:tab w:val="left" w:pos="851"/>
        <w:tab w:val="left" w:pos="1134"/>
        <w:tab w:val="left" w:pos="1418"/>
      </w:tabs>
      <w:suppressAutoHyphens/>
      <w:spacing w:before="720" w:line="240" w:lineRule="atLeast"/>
      <w:ind w:left="851" w:hanging="851"/>
    </w:pPr>
    <w:rPr>
      <w:b/>
      <w:szCs w:val="20"/>
      <w:lang w:eastAsia="bg-BG"/>
    </w:rPr>
  </w:style>
  <w:style w:type="paragraph" w:customStyle="1" w:styleId="u2">
    <w:name w:val="u2"/>
    <w:basedOn w:val="Normal"/>
    <w:pPr>
      <w:keepNext/>
      <w:keepLines/>
      <w:tabs>
        <w:tab w:val="left" w:pos="851"/>
        <w:tab w:val="left" w:pos="1134"/>
        <w:tab w:val="left" w:pos="1418"/>
      </w:tabs>
      <w:suppressAutoHyphens/>
      <w:spacing w:before="240" w:line="240" w:lineRule="atLeast"/>
      <w:ind w:left="851" w:hanging="851"/>
    </w:pPr>
    <w:rPr>
      <w:b/>
      <w:szCs w:val="20"/>
      <w:lang w:eastAsia="bg-BG"/>
    </w:rPr>
  </w:style>
  <w:style w:type="paragraph" w:customStyle="1" w:styleId="Retraitcorpsdetexte23">
    <w:name w:val="Retrait corps de texte 23"/>
    <w:basedOn w:val="Normal"/>
    <w:pPr>
      <w:widowControl w:val="0"/>
      <w:tabs>
        <w:tab w:val="left" w:pos="284"/>
      </w:tabs>
      <w:suppressAutoHyphens/>
      <w:ind w:left="284" w:hanging="284"/>
    </w:pPr>
    <w:rPr>
      <w:i/>
      <w:szCs w:val="20"/>
      <w:lang w:eastAsia="bg-BG"/>
    </w:rPr>
  </w:style>
  <w:style w:type="paragraph" w:customStyle="1" w:styleId="Formatvorlage1">
    <w:name w:val="Formatvorlage1"/>
    <w:basedOn w:val="Normal"/>
    <w:pPr>
      <w:tabs>
        <w:tab w:val="left" w:pos="851"/>
      </w:tabs>
      <w:suppressAutoHyphens/>
      <w:overflowPunct w:val="0"/>
      <w:spacing w:before="120"/>
      <w:ind w:left="850"/>
      <w:textAlignment w:val="baseline"/>
    </w:pPr>
    <w:rPr>
      <w:bCs/>
      <w:iCs/>
      <w:szCs w:val="20"/>
      <w:lang w:eastAsia="bg-BG"/>
    </w:rPr>
  </w:style>
  <w:style w:type="paragraph" w:customStyle="1" w:styleId="Corpsdetexte31">
    <w:name w:val="Corps de texte 31"/>
    <w:basedOn w:val="Normal"/>
    <w:pPr>
      <w:suppressAutoHyphens/>
      <w:overflowPunct w:val="0"/>
      <w:spacing w:before="40" w:after="40"/>
      <w:textAlignment w:val="baseline"/>
    </w:pPr>
    <w:rPr>
      <w:szCs w:val="20"/>
      <w:lang w:eastAsia="bg-BG"/>
    </w:rPr>
  </w:style>
  <w:style w:type="paragraph" w:customStyle="1" w:styleId="Grundtext">
    <w:name w:val="Grundtext"/>
    <w:pPr>
      <w:tabs>
        <w:tab w:val="left" w:pos="720"/>
        <w:tab w:val="left" w:pos="1440"/>
        <w:tab w:val="left" w:pos="2160"/>
        <w:tab w:val="left" w:pos="2880"/>
        <w:tab w:val="left" w:pos="3600"/>
        <w:tab w:val="left" w:pos="4320"/>
        <w:tab w:val="left" w:pos="5040"/>
        <w:tab w:val="left" w:pos="5760"/>
      </w:tabs>
      <w:suppressAutoHyphens/>
      <w:spacing w:after="240" w:line="240" w:lineRule="atLeast"/>
    </w:pPr>
    <w:rPr>
      <w:rFonts w:ascii="Times New Roman" w:eastAsia="Arial" w:hAnsi="Times New Roman"/>
      <w:color w:val="000000"/>
      <w:sz w:val="24"/>
      <w:lang w:bidi="bg-BG"/>
    </w:rPr>
  </w:style>
  <w:style w:type="paragraph" w:customStyle="1" w:styleId="Normalcentr1">
    <w:name w:val="Normal centré1"/>
    <w:basedOn w:val="Normal"/>
    <w:pPr>
      <w:suppressAutoHyphens/>
      <w:spacing w:before="60" w:after="60"/>
      <w:ind w:left="427" w:right="57" w:hanging="370"/>
    </w:pPr>
    <w:rPr>
      <w:szCs w:val="20"/>
      <w:lang w:eastAsia="bg-BG"/>
    </w:rPr>
  </w:style>
  <w:style w:type="paragraph" w:customStyle="1" w:styleId="BlockText2">
    <w:name w:val="Block Text2"/>
    <w:basedOn w:val="Normal"/>
    <w:pPr>
      <w:widowControl w:val="0"/>
      <w:tabs>
        <w:tab w:val="left" w:pos="648"/>
      </w:tabs>
      <w:suppressAutoHyphens/>
      <w:overflowPunct w:val="0"/>
      <w:ind w:left="709" w:right="142" w:hanging="567"/>
      <w:textAlignment w:val="baseline"/>
    </w:pPr>
    <w:rPr>
      <w:rFonts w:ascii="CG Times (W1)" w:hAnsi="CG Times (W1)"/>
      <w:szCs w:val="20"/>
      <w:lang w:eastAsia="bg-BG"/>
    </w:rPr>
  </w:style>
  <w:style w:type="paragraph" w:customStyle="1" w:styleId="BlockText3">
    <w:name w:val="Block Text3"/>
    <w:basedOn w:val="Normal"/>
    <w:pPr>
      <w:widowControl w:val="0"/>
      <w:tabs>
        <w:tab w:val="left" w:pos="648"/>
      </w:tabs>
      <w:suppressAutoHyphens/>
      <w:overflowPunct w:val="0"/>
      <w:ind w:left="648" w:right="143" w:hanging="506"/>
      <w:textAlignment w:val="baseline"/>
    </w:pPr>
    <w:rPr>
      <w:rFonts w:ascii="CG Times (W1)" w:hAnsi="CG Times (W1)"/>
      <w:szCs w:val="20"/>
      <w:lang w:eastAsia="bg-BG"/>
    </w:rPr>
  </w:style>
  <w:style w:type="paragraph" w:customStyle="1" w:styleId="BlockText1">
    <w:name w:val="Block Text1"/>
    <w:basedOn w:val="Normal"/>
    <w:pPr>
      <w:widowControl w:val="0"/>
      <w:tabs>
        <w:tab w:val="left" w:pos="720"/>
      </w:tabs>
      <w:suppressAutoHyphens/>
      <w:overflowPunct w:val="0"/>
      <w:ind w:left="360" w:right="143"/>
      <w:textAlignment w:val="baseline"/>
    </w:pPr>
    <w:rPr>
      <w:rFonts w:ascii="CG Times (W1)" w:hAnsi="CG Times (W1)"/>
      <w:szCs w:val="20"/>
      <w:lang w:eastAsia="bg-BG"/>
    </w:rPr>
  </w:style>
  <w:style w:type="paragraph" w:customStyle="1" w:styleId="berschrift71">
    <w:name w:val="Überschrift 71"/>
    <w:basedOn w:val="Normal"/>
    <w:next w:val="Normal"/>
    <w:pPr>
      <w:keepNext/>
      <w:widowControl w:val="0"/>
      <w:suppressAutoHyphens/>
      <w:overflowPunct w:val="0"/>
      <w:ind w:left="81" w:right="143" w:firstLine="61"/>
      <w:jc w:val="center"/>
      <w:textAlignment w:val="baseline"/>
    </w:pPr>
    <w:rPr>
      <w:rFonts w:ascii="CG Times (W1)" w:hAnsi="CG Times (W1)"/>
      <w:b/>
      <w:szCs w:val="20"/>
      <w:u w:val="single"/>
      <w:lang w:eastAsia="bg-BG"/>
    </w:rPr>
  </w:style>
  <w:style w:type="paragraph" w:customStyle="1" w:styleId="Corpsdetexte2">
    <w:name w:val="Corps de texte2"/>
    <w:basedOn w:val="Normal"/>
    <w:pPr>
      <w:widowControl w:val="0"/>
      <w:suppressAutoHyphens/>
      <w:overflowPunct w:val="0"/>
      <w:spacing w:line="340" w:lineRule="atLeast"/>
      <w:textAlignment w:val="baseline"/>
    </w:pPr>
    <w:rPr>
      <w:szCs w:val="20"/>
      <w:lang w:eastAsia="bg-BG"/>
    </w:rPr>
  </w:style>
  <w:style w:type="paragraph" w:customStyle="1" w:styleId="Pres1">
    <w:name w:val="P_res1"/>
    <w:basedOn w:val="TNR1"/>
    <w:pPr>
      <w:tabs>
        <w:tab w:val="clear" w:pos="907"/>
        <w:tab w:val="left" w:pos="851"/>
        <w:tab w:val="left" w:pos="1021"/>
      </w:tabs>
      <w:suppressAutoHyphens/>
      <w:overflowPunct/>
      <w:adjustRightInd/>
      <w:spacing w:after="80"/>
      <w:ind w:left="851" w:hanging="425"/>
      <w:textAlignment w:val="auto"/>
    </w:pPr>
    <w:rPr>
      <w:lang w:eastAsia="bg-BG"/>
    </w:rPr>
  </w:style>
  <w:style w:type="paragraph" w:customStyle="1" w:styleId="Presa">
    <w:name w:val="P_res_a"/>
    <w:basedOn w:val="TNRA"/>
    <w:pPr>
      <w:tabs>
        <w:tab w:val="clear" w:pos="907"/>
        <w:tab w:val="left" w:pos="1021"/>
        <w:tab w:val="left" w:pos="1276"/>
      </w:tabs>
      <w:suppressAutoHyphens/>
      <w:adjustRightInd/>
      <w:spacing w:after="80" w:line="240" w:lineRule="exact"/>
      <w:ind w:left="1276" w:hanging="425"/>
    </w:pPr>
    <w:rPr>
      <w:lang w:eastAsia="bg-BG"/>
    </w:rPr>
  </w:style>
  <w:style w:type="paragraph" w:customStyle="1" w:styleId="Prestiret">
    <w:name w:val="P_res_tiret"/>
    <w:basedOn w:val="TNRA"/>
    <w:pPr>
      <w:tabs>
        <w:tab w:val="clear" w:pos="907"/>
        <w:tab w:val="left" w:pos="1021"/>
        <w:tab w:val="left" w:pos="1560"/>
      </w:tabs>
      <w:suppressAutoHyphens/>
      <w:adjustRightInd/>
      <w:spacing w:line="240" w:lineRule="exact"/>
      <w:ind w:left="1560"/>
    </w:pPr>
    <w:rPr>
      <w:lang w:eastAsia="bg-BG"/>
    </w:rPr>
  </w:style>
  <w:style w:type="paragraph" w:customStyle="1" w:styleId="Corpsdetexte1">
    <w:name w:val="Corps de texte1"/>
    <w:basedOn w:val="Normal"/>
    <w:pPr>
      <w:widowControl w:val="0"/>
      <w:suppressAutoHyphens/>
      <w:overflowPunct w:val="0"/>
      <w:spacing w:line="340" w:lineRule="atLeast"/>
      <w:textAlignment w:val="baseline"/>
    </w:pPr>
    <w:rPr>
      <w:szCs w:val="20"/>
      <w:lang w:eastAsia="bg-BG"/>
    </w:rPr>
  </w:style>
  <w:style w:type="paragraph" w:customStyle="1" w:styleId="Sty1">
    <w:name w:val="Sty_1"/>
    <w:basedOn w:val="BodyText"/>
    <w:pPr>
      <w:keepNext w:val="0"/>
      <w:tabs>
        <w:tab w:val="clear" w:pos="709"/>
        <w:tab w:val="left" w:pos="567"/>
      </w:tabs>
      <w:suppressAutoHyphens/>
      <w:autoSpaceDE w:val="0"/>
      <w:spacing w:line="240" w:lineRule="auto"/>
      <w:ind w:left="567" w:hanging="567"/>
      <w:jc w:val="both"/>
    </w:pPr>
    <w:rPr>
      <w:rFonts w:cs="Arial"/>
    </w:rPr>
  </w:style>
  <w:style w:type="paragraph" w:customStyle="1" w:styleId="Standard1">
    <w:name w:val="Standard1"/>
    <w:pPr>
      <w:widowControl w:val="0"/>
      <w:suppressAutoHyphens/>
      <w:overflowPunct w:val="0"/>
      <w:autoSpaceDE w:val="0"/>
      <w:jc w:val="both"/>
      <w:textAlignment w:val="baseline"/>
    </w:pPr>
    <w:rPr>
      <w:rFonts w:ascii="CG Times (W1)" w:eastAsia="Arial" w:hAnsi="CG Times (W1)"/>
      <w:sz w:val="24"/>
      <w:lang w:bidi="bg-BG"/>
    </w:rPr>
  </w:style>
  <w:style w:type="paragraph" w:customStyle="1" w:styleId="Kopfzeile1">
    <w:name w:val="Kopfzeile1"/>
    <w:basedOn w:val="Standard1"/>
    <w:pPr>
      <w:tabs>
        <w:tab w:val="center" w:pos="4819"/>
        <w:tab w:val="right" w:pos="9071"/>
      </w:tabs>
    </w:pPr>
  </w:style>
  <w:style w:type="paragraph" w:customStyle="1" w:styleId="BodyTextIndent21">
    <w:name w:val="Body Text Indent 21"/>
    <w:basedOn w:val="Normal"/>
    <w:pPr>
      <w:widowControl w:val="0"/>
      <w:tabs>
        <w:tab w:val="left" w:pos="426"/>
      </w:tabs>
      <w:suppressAutoHyphens/>
      <w:spacing w:line="240" w:lineRule="atLeast"/>
      <w:ind w:left="426" w:hanging="426"/>
    </w:pPr>
    <w:rPr>
      <w:szCs w:val="20"/>
      <w:lang w:eastAsia="bg-BG"/>
    </w:rPr>
  </w:style>
  <w:style w:type="paragraph" w:customStyle="1" w:styleId="FreytagText">
    <w:name w:val="FreytagText"/>
    <w:basedOn w:val="Normal"/>
    <w:pPr>
      <w:tabs>
        <w:tab w:val="left" w:pos="709"/>
        <w:tab w:val="left" w:pos="1134"/>
        <w:tab w:val="left" w:pos="1559"/>
        <w:tab w:val="left" w:pos="2126"/>
        <w:tab w:val="left" w:pos="2835"/>
        <w:tab w:val="left" w:pos="3544"/>
        <w:tab w:val="left" w:pos="4253"/>
        <w:tab w:val="left" w:pos="4961"/>
        <w:tab w:val="left" w:pos="5670"/>
        <w:tab w:val="left" w:pos="6379"/>
        <w:tab w:val="left" w:pos="7088"/>
      </w:tabs>
      <w:suppressAutoHyphens/>
      <w:spacing w:line="360" w:lineRule="auto"/>
    </w:pPr>
    <w:rPr>
      <w:spacing w:val="8"/>
      <w:szCs w:val="20"/>
      <w:lang w:eastAsia="bg-BG"/>
    </w:rPr>
  </w:style>
  <w:style w:type="paragraph" w:customStyle="1" w:styleId="Rad11">
    <w:name w:val="Rad1.1"/>
    <w:basedOn w:val="Normal"/>
    <w:pPr>
      <w:tabs>
        <w:tab w:val="left" w:pos="284"/>
        <w:tab w:val="left" w:pos="454"/>
        <w:tab w:val="left" w:pos="709"/>
      </w:tabs>
      <w:suppressAutoHyphens/>
      <w:spacing w:line="240" w:lineRule="exact"/>
      <w:ind w:hanging="426"/>
    </w:pPr>
    <w:rPr>
      <w:szCs w:val="20"/>
      <w:lang w:eastAsia="bg-BG"/>
    </w:rPr>
  </w:style>
  <w:style w:type="paragraph" w:customStyle="1" w:styleId="Par1">
    <w:name w:val="Par_1"/>
    <w:basedOn w:val="Normal"/>
    <w:pPr>
      <w:tabs>
        <w:tab w:val="left" w:pos="482"/>
      </w:tabs>
      <w:suppressAutoHyphens/>
      <w:spacing w:before="40" w:after="40"/>
      <w:ind w:left="482" w:right="57"/>
    </w:pPr>
    <w:rPr>
      <w:szCs w:val="20"/>
      <w:lang w:eastAsia="bg-BG"/>
    </w:rPr>
  </w:style>
  <w:style w:type="paragraph" w:customStyle="1" w:styleId="t62">
    <w:name w:val="t62"/>
    <w:basedOn w:val="Normal"/>
    <w:pPr>
      <w:suppressAutoHyphens/>
      <w:spacing w:line="240" w:lineRule="atLeast"/>
    </w:pPr>
    <w:rPr>
      <w:szCs w:val="20"/>
      <w:lang w:eastAsia="bg-BG"/>
    </w:rPr>
  </w:style>
  <w:style w:type="paragraph" w:customStyle="1" w:styleId="p17">
    <w:name w:val="p17"/>
    <w:basedOn w:val="Normal"/>
    <w:pPr>
      <w:tabs>
        <w:tab w:val="left" w:pos="280"/>
      </w:tabs>
      <w:suppressAutoHyphens/>
      <w:spacing w:line="200" w:lineRule="atLeast"/>
      <w:ind w:left="1440" w:firstLine="288"/>
    </w:pPr>
    <w:rPr>
      <w:szCs w:val="20"/>
      <w:lang w:eastAsia="bg-BG"/>
    </w:rPr>
  </w:style>
  <w:style w:type="paragraph" w:customStyle="1" w:styleId="p67">
    <w:name w:val="p67"/>
    <w:basedOn w:val="Normal"/>
    <w:pPr>
      <w:tabs>
        <w:tab w:val="left" w:pos="660"/>
      </w:tabs>
      <w:suppressAutoHyphens/>
      <w:spacing w:line="200" w:lineRule="atLeast"/>
      <w:ind w:left="780"/>
    </w:pPr>
    <w:rPr>
      <w:szCs w:val="20"/>
      <w:lang w:eastAsia="bg-BG"/>
    </w:rPr>
  </w:style>
  <w:style w:type="paragraph" w:customStyle="1" w:styleId="ai">
    <w:name w:val="ai"/>
    <w:basedOn w:val="Normal"/>
    <w:pPr>
      <w:tabs>
        <w:tab w:val="left" w:pos="425"/>
      </w:tabs>
      <w:suppressAutoHyphens/>
      <w:spacing w:line="240" w:lineRule="atLeast"/>
    </w:pPr>
    <w:rPr>
      <w:rFonts w:cs="Arial"/>
      <w:bCs/>
      <w:i/>
      <w:lang w:eastAsia="bg-BG"/>
    </w:rPr>
  </w:style>
  <w:style w:type="paragraph" w:customStyle="1" w:styleId="aai">
    <w:name w:val="aai"/>
    <w:basedOn w:val="Normal"/>
    <w:pPr>
      <w:tabs>
        <w:tab w:val="left" w:pos="851"/>
      </w:tabs>
      <w:suppressAutoHyphens/>
      <w:spacing w:line="240" w:lineRule="atLeast"/>
      <w:ind w:left="850"/>
    </w:pPr>
    <w:rPr>
      <w:rFonts w:cs="Arial"/>
      <w:bCs/>
      <w:i/>
      <w:lang w:eastAsia="bg-BG"/>
    </w:rPr>
  </w:style>
  <w:style w:type="paragraph" w:customStyle="1" w:styleId="achi">
    <w:name w:val="achi"/>
    <w:basedOn w:val="aa"/>
    <w:pPr>
      <w:widowControl w:val="0"/>
      <w:tabs>
        <w:tab w:val="clear" w:pos="425"/>
        <w:tab w:val="clear" w:pos="851"/>
        <w:tab w:val="clear" w:pos="1701"/>
        <w:tab w:val="clear" w:pos="2126"/>
        <w:tab w:val="left" w:pos="284"/>
        <w:tab w:val="left" w:pos="454"/>
        <w:tab w:val="left" w:pos="680"/>
        <w:tab w:val="left" w:pos="1021"/>
        <w:tab w:val="left" w:pos="1559"/>
      </w:tabs>
      <w:suppressAutoHyphens/>
      <w:adjustRightInd/>
      <w:spacing w:before="0"/>
      <w:ind w:left="1560" w:hanging="709"/>
    </w:pPr>
    <w:rPr>
      <w:szCs w:val="20"/>
      <w:lang w:eastAsia="bg-BG"/>
    </w:rPr>
  </w:style>
  <w:style w:type="paragraph" w:customStyle="1" w:styleId="xl39">
    <w:name w:val="xl39"/>
    <w:basedOn w:val="Normal"/>
    <w:pPr>
      <w:suppressAutoHyphens/>
      <w:spacing w:before="100" w:after="100"/>
      <w:jc w:val="center"/>
    </w:pPr>
    <w:rPr>
      <w:rFonts w:cs="Arial"/>
      <w:b/>
      <w:bCs/>
      <w:lang w:eastAsia="bg-BG"/>
    </w:rPr>
  </w:style>
  <w:style w:type="paragraph" w:customStyle="1" w:styleId="Textedebulles1">
    <w:name w:val="Texte de bulles1"/>
    <w:basedOn w:val="Normal"/>
    <w:pPr>
      <w:suppressAutoHyphens/>
      <w:overflowPunct w:val="0"/>
      <w:textAlignment w:val="baseline"/>
    </w:pPr>
    <w:rPr>
      <w:sz w:val="16"/>
      <w:szCs w:val="16"/>
      <w:lang w:eastAsia="bg-BG"/>
    </w:rPr>
  </w:style>
  <w:style w:type="paragraph" w:customStyle="1" w:styleId="Text10">
    <w:name w:val="Text1"/>
    <w:basedOn w:val="Normal"/>
    <w:pPr>
      <w:suppressAutoHyphens/>
      <w:spacing w:after="120" w:line="360" w:lineRule="auto"/>
    </w:pPr>
    <w:rPr>
      <w:rFonts w:ascii="Arial Narrow" w:hAnsi="Arial Narrow"/>
      <w:lang w:eastAsia="bg-BG"/>
    </w:rPr>
  </w:style>
  <w:style w:type="paragraph" w:customStyle="1" w:styleId="Default">
    <w:name w:val="Default"/>
    <w:pPr>
      <w:widowControl w:val="0"/>
      <w:suppressAutoHyphens/>
      <w:autoSpaceDE w:val="0"/>
    </w:pPr>
    <w:rPr>
      <w:rFonts w:ascii="EU Albertina" w:eastAsia="Arial" w:hAnsi="EU Albertina" w:cs="EU Albertina"/>
      <w:color w:val="000000"/>
      <w:sz w:val="24"/>
      <w:szCs w:val="24"/>
      <w:lang w:bidi="bg-BG"/>
    </w:rPr>
  </w:style>
  <w:style w:type="paragraph" w:customStyle="1" w:styleId="CM204">
    <w:name w:val="CM204"/>
    <w:basedOn w:val="Default"/>
    <w:next w:val="Default"/>
    <w:pPr>
      <w:spacing w:after="173"/>
    </w:pPr>
    <w:rPr>
      <w:color w:val="auto"/>
    </w:rPr>
  </w:style>
  <w:style w:type="paragraph" w:customStyle="1" w:styleId="CM202">
    <w:name w:val="CM202"/>
    <w:basedOn w:val="Default"/>
    <w:next w:val="Default"/>
    <w:pPr>
      <w:spacing w:after="298"/>
    </w:pPr>
    <w:rPr>
      <w:color w:val="auto"/>
    </w:rPr>
  </w:style>
  <w:style w:type="paragraph" w:customStyle="1" w:styleId="CM209">
    <w:name w:val="CM209"/>
    <w:basedOn w:val="Normal"/>
    <w:next w:val="Normal"/>
    <w:pPr>
      <w:widowControl w:val="0"/>
      <w:suppressAutoHyphens/>
      <w:spacing w:after="513"/>
    </w:pPr>
    <w:rPr>
      <w:rFonts w:ascii="EU Albertina" w:hAnsi="EU Albertina"/>
      <w:lang w:eastAsia="bg-BG"/>
    </w:rPr>
  </w:style>
  <w:style w:type="paragraph" w:customStyle="1" w:styleId="CM208">
    <w:name w:val="CM208"/>
    <w:basedOn w:val="Default"/>
    <w:next w:val="Default"/>
    <w:pPr>
      <w:spacing w:after="240"/>
    </w:pPr>
    <w:rPr>
      <w:color w:val="auto"/>
    </w:rPr>
  </w:style>
  <w:style w:type="paragraph" w:customStyle="1" w:styleId="CM62">
    <w:name w:val="CM62"/>
    <w:basedOn w:val="Default"/>
    <w:next w:val="Default"/>
    <w:pPr>
      <w:spacing w:line="188" w:lineRule="atLeast"/>
    </w:pPr>
    <w:rPr>
      <w:color w:val="auto"/>
    </w:rPr>
  </w:style>
  <w:style w:type="paragraph" w:customStyle="1" w:styleId="CM215">
    <w:name w:val="CM215"/>
    <w:basedOn w:val="Default"/>
    <w:next w:val="Default"/>
    <w:pPr>
      <w:spacing w:after="613"/>
    </w:pPr>
    <w:rPr>
      <w:color w:val="auto"/>
    </w:rPr>
  </w:style>
  <w:style w:type="paragraph" w:customStyle="1" w:styleId="Formatvorlageberschrift212ptNichtKursivLinks0cmErsteZeil">
    <w:name w:val="Formatvorlage Überschrift 2 + 12 pt Nicht Kursiv Links:  0 cm Erste Zeil..."/>
    <w:basedOn w:val="Heading2"/>
    <w:pPr>
      <w:numPr>
        <w:ilvl w:val="0"/>
        <w:numId w:val="0"/>
      </w:numPr>
      <w:tabs>
        <w:tab w:val="left" w:pos="720"/>
      </w:tabs>
      <w:suppressAutoHyphens/>
      <w:spacing w:before="240" w:after="120"/>
      <w:ind w:left="720" w:hanging="720"/>
    </w:pPr>
    <w:rPr>
      <w:rFonts w:ascii="Arial" w:hAnsi="Arial"/>
      <w:i w:val="0"/>
      <w:iCs w:val="0"/>
      <w:sz w:val="24"/>
      <w:szCs w:val="20"/>
      <w:lang w:eastAsia="bg-BG"/>
    </w:rPr>
  </w:style>
  <w:style w:type="paragraph" w:customStyle="1" w:styleId="Bo1">
    <w:name w:val="Bo1"/>
    <w:basedOn w:val="Normal"/>
    <w:pPr>
      <w:suppressAutoHyphens/>
      <w:spacing w:line="240" w:lineRule="atLeast"/>
      <w:ind w:left="1134" w:hanging="709"/>
    </w:pPr>
    <w:rPr>
      <w:b/>
      <w:lang w:eastAsia="bg-BG"/>
    </w:rPr>
  </w:style>
  <w:style w:type="paragraph" w:customStyle="1" w:styleId="Bo11">
    <w:name w:val="Bo1_1"/>
    <w:basedOn w:val="Normal"/>
    <w:pPr>
      <w:tabs>
        <w:tab w:val="left" w:pos="1134"/>
      </w:tabs>
      <w:suppressAutoHyphens/>
      <w:overflowPunct w:val="0"/>
      <w:spacing w:line="240" w:lineRule="atLeast"/>
      <w:ind w:left="1134" w:hanging="709"/>
      <w:textAlignment w:val="baseline"/>
    </w:pPr>
    <w:rPr>
      <w:lang w:eastAsia="bg-BG"/>
    </w:rPr>
  </w:style>
  <w:style w:type="paragraph" w:customStyle="1" w:styleId="RetraitPremireligne">
    <w:name w:val="Retrait_Première_ligne"/>
    <w:basedOn w:val="Normal"/>
    <w:pPr>
      <w:suppressAutoHyphens/>
      <w:spacing w:line="240" w:lineRule="atLeast"/>
      <w:ind w:firstLine="425"/>
    </w:pPr>
    <w:rPr>
      <w:rFonts w:cs="Arial"/>
      <w:szCs w:val="20"/>
      <w:lang w:eastAsia="bg-BG"/>
    </w:rPr>
  </w:style>
  <w:style w:type="paragraph" w:customStyle="1" w:styleId="Textebrut1">
    <w:name w:val="Texte brut1"/>
    <w:basedOn w:val="Normal"/>
    <w:pPr>
      <w:suppressAutoHyphens/>
    </w:pPr>
    <w:rPr>
      <w:rFonts w:ascii="Consolas" w:hAnsi="Consolas"/>
      <w:sz w:val="21"/>
      <w:szCs w:val="21"/>
      <w:lang w:eastAsia="bg-BG"/>
    </w:rPr>
  </w:style>
  <w:style w:type="paragraph" w:customStyle="1" w:styleId="ED1">
    <w:name w:val="ED1"/>
    <w:basedOn w:val="Normal"/>
    <w:pPr>
      <w:suppressAutoHyphens/>
    </w:pPr>
    <w:rPr>
      <w:lang w:eastAsia="bg-BG"/>
    </w:rPr>
  </w:style>
  <w:style w:type="paragraph" w:customStyle="1" w:styleId="Commentaire1">
    <w:name w:val="Commentaire1"/>
    <w:basedOn w:val="Normal"/>
    <w:pPr>
      <w:suppressAutoHyphens/>
    </w:pPr>
    <w:rPr>
      <w:szCs w:val="20"/>
      <w:lang w:eastAsia="bg-BG"/>
    </w:rPr>
  </w:style>
  <w:style w:type="paragraph" w:customStyle="1" w:styleId="Contenudetableau">
    <w:name w:val="Contenu de tableau"/>
    <w:basedOn w:val="Normal"/>
    <w:pPr>
      <w:suppressLineNumbers/>
      <w:suppressAutoHyphens/>
    </w:pPr>
    <w:rPr>
      <w:lang w:eastAsia="bg-BG"/>
    </w:rPr>
  </w:style>
  <w:style w:type="paragraph" w:customStyle="1" w:styleId="Titredetableau">
    <w:name w:val="Titre de tableau"/>
    <w:basedOn w:val="Contenudetableau"/>
    <w:pPr>
      <w:jc w:val="center"/>
    </w:pPr>
    <w:rPr>
      <w:b/>
      <w:bCs/>
    </w:rPr>
  </w:style>
  <w:style w:type="character" w:customStyle="1" w:styleId="DocumentMapChar">
    <w:name w:val="Document Map Char"/>
    <w:link w:val="DocumentMap"/>
    <w:rPr>
      <w:rFonts w:ascii="Tahoma" w:hAnsi="Tahoma"/>
      <w:shd w:val="clear" w:color="auto" w:fill="000080"/>
    </w:rPr>
  </w:style>
  <w:style w:type="paragraph" w:customStyle="1" w:styleId="Sprechblasentext">
    <w:name w:val="Sprechblasentext"/>
    <w:basedOn w:val="Normal"/>
    <w:rPr>
      <w:rFonts w:ascii="Tahoma" w:hAnsi="Tahoma" w:cs="Tahoma"/>
      <w:snapToGrid w:val="0"/>
      <w:sz w:val="16"/>
      <w:szCs w:val="16"/>
    </w:rPr>
  </w:style>
  <w:style w:type="table" w:customStyle="1" w:styleId="Grilledutableau111">
    <w:name w:val="Grille du tableau111"/>
    <w:basedOn w:val="TableNormal"/>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rechblasentext1">
    <w:name w:val="Sprechblasentext1"/>
    <w:basedOn w:val="Normal"/>
    <w:semiHidden/>
    <w:rPr>
      <w:rFonts w:ascii="Tahoma" w:hAnsi="Tahoma"/>
      <w:sz w:val="16"/>
      <w:szCs w:val="16"/>
      <w:lang w:eastAsia="bg-BG"/>
    </w:rPr>
  </w:style>
  <w:style w:type="paragraph" w:customStyle="1" w:styleId="sprechblasentext0">
    <w:name w:val="sprechblasentext"/>
    <w:basedOn w:val="Normal"/>
    <w:pPr>
      <w:snapToGrid w:val="0"/>
    </w:pPr>
    <w:rPr>
      <w:rFonts w:ascii="Tahoma" w:hAnsi="Tahoma" w:cs="Tahoma"/>
      <w:sz w:val="16"/>
      <w:szCs w:val="16"/>
    </w:rPr>
  </w:style>
  <w:style w:type="character" w:customStyle="1" w:styleId="msoins1">
    <w:name w:val="msoins"/>
  </w:style>
  <w:style w:type="paragraph" w:customStyle="1" w:styleId="Sprechblasentext2">
    <w:name w:val="Sprechblasentext2"/>
    <w:basedOn w:val="Normal"/>
    <w:rPr>
      <w:sz w:val="16"/>
      <w:szCs w:val="16"/>
    </w:rPr>
  </w:style>
  <w:style w:type="table" w:customStyle="1" w:styleId="Grilledutableau1111">
    <w:name w:val="Grille du tableau1111"/>
    <w:basedOn w:val="TableNormal"/>
    <w:rPr>
      <w:rFonts w:ascii="Times New Roman" w:hAnsi="Times New Roman"/>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next w:val="Normal"/>
    <w:pPr>
      <w:spacing w:line="240" w:lineRule="exact"/>
    </w:pPr>
    <w:rPr>
      <w:snapToGrid w:val="0"/>
    </w:rPr>
  </w:style>
  <w:style w:type="paragraph" w:customStyle="1" w:styleId="Normal1">
    <w:name w:val="Normal1"/>
    <w:basedOn w:val="Normal"/>
    <w:rPr>
      <w:color w:val="000000"/>
      <w:szCs w:val="20"/>
      <w:lang w:eastAsia="bg-BG"/>
    </w:rPr>
  </w:style>
  <w:style w:type="table" w:customStyle="1" w:styleId="Grilledutableau2">
    <w:name w:val="Grille du tableau2"/>
    <w:basedOn w:val="TableNormal"/>
    <w:pPr>
      <w:overflowPunct w:val="0"/>
      <w:autoSpaceDE w:val="0"/>
      <w:autoSpaceDN w:val="0"/>
      <w:adjustRightInd w:val="0"/>
      <w:spacing w:line="240" w:lineRule="exac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rPr>
      <w:rFonts w:ascii="Times New Roman" w:hAnsi="Times New Roman"/>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pPr>
      <w:overflowPunct w:val="0"/>
      <w:autoSpaceDE w:val="0"/>
      <w:autoSpaceDN w:val="0"/>
      <w:adjustRightInd w:val="0"/>
      <w:spacing w:line="240" w:lineRule="exac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Normal"/>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rPr>
      <w:rFonts w:ascii="Times New Roman" w:hAnsi="Times New Roman"/>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annch">
    <w:name w:val="Es_ann_ch"/>
    <w:basedOn w:val="Normal"/>
    <w:qFormat/>
    <w:pPr>
      <w:spacing w:line="240" w:lineRule="atLeast"/>
    </w:pPr>
    <w:rPr>
      <w:rFonts w:cs="Arial"/>
      <w:color w:val="000000"/>
    </w:rPr>
  </w:style>
  <w:style w:type="paragraph" w:customStyle="1" w:styleId="Esanngauche">
    <w:name w:val="Es_ann_gauche"/>
    <w:basedOn w:val="Normal"/>
    <w:qFormat/>
    <w:pPr>
      <w:tabs>
        <w:tab w:val="left" w:leader="dot" w:pos="9072"/>
      </w:tabs>
      <w:spacing w:line="240" w:lineRule="atLeast"/>
    </w:pPr>
    <w:rPr>
      <w:rFonts w:cs="Arial"/>
    </w:rPr>
  </w:style>
  <w:style w:type="paragraph" w:customStyle="1" w:styleId="ESannexetitrearticle">
    <w:name w:val="ES_annexe_titre_article"/>
    <w:basedOn w:val="Normal"/>
    <w:qFormat/>
    <w:pPr>
      <w:spacing w:line="240" w:lineRule="atLeast"/>
      <w:jc w:val="center"/>
    </w:pPr>
    <w:rPr>
      <w:rFonts w:cs="Arial"/>
      <w:b/>
    </w:rPr>
  </w:style>
  <w:style w:type="paragraph" w:customStyle="1" w:styleId="ESannexelet">
    <w:name w:val="ES_annexe_let"/>
    <w:basedOn w:val="Normal"/>
    <w:qFormat/>
    <w:pPr>
      <w:spacing w:before="60" w:line="240" w:lineRule="atLeast"/>
      <w:ind w:left="851"/>
    </w:pPr>
    <w:rPr>
      <w:rFonts w:cs="Arial"/>
      <w:lang w:eastAsia="bg-BG"/>
    </w:rPr>
  </w:style>
  <w:style w:type="paragraph" w:customStyle="1" w:styleId="ESannexechpar">
    <w:name w:val="ES_annexe_ch_par"/>
    <w:basedOn w:val="ESchpar"/>
    <w:qFormat/>
    <w:pPr>
      <w:ind w:left="426"/>
    </w:pPr>
    <w:rPr>
      <w:lang w:eastAsia="bg-BG"/>
    </w:rPr>
  </w:style>
  <w:style w:type="paragraph" w:customStyle="1" w:styleId="Esannexeletgauch">
    <w:name w:val="Es_annexe_let_gauch"/>
    <w:basedOn w:val="Normal"/>
    <w:qFormat/>
    <w:pPr>
      <w:spacing w:before="60" w:line="240" w:lineRule="atLeast"/>
    </w:pPr>
    <w:rPr>
      <w:rFonts w:cs="Arial"/>
    </w:rPr>
  </w:style>
  <w:style w:type="paragraph" w:customStyle="1" w:styleId="Bullet0">
    <w:name w:val="Bullet 0"/>
    <w:basedOn w:val="Normal"/>
    <w:pPr>
      <w:numPr>
        <w:numId w:val="4"/>
      </w:numPr>
      <w:spacing w:before="120" w:after="120"/>
    </w:pPr>
  </w:style>
  <w:style w:type="paragraph" w:customStyle="1" w:styleId="Bullet1">
    <w:name w:val="Bullet 1"/>
    <w:basedOn w:val="Normal"/>
    <w:pPr>
      <w:numPr>
        <w:numId w:val="5"/>
      </w:numPr>
      <w:spacing w:before="120" w:after="120"/>
    </w:pPr>
  </w:style>
  <w:style w:type="paragraph" w:customStyle="1" w:styleId="Bullet2">
    <w:name w:val="Bullet 2"/>
    <w:basedOn w:val="Normal"/>
    <w:pPr>
      <w:numPr>
        <w:numId w:val="6"/>
      </w:numPr>
      <w:spacing w:before="120" w:after="120"/>
    </w:pPr>
  </w:style>
  <w:style w:type="character" w:styleId="PlaceholderText">
    <w:name w:val="Placeholder Text"/>
    <w:basedOn w:val="DefaultParagraphFont"/>
    <w:uiPriority w:val="99"/>
    <w:semiHidden/>
    <w:rPr>
      <w:color w:val="808080"/>
    </w:rPr>
  </w:style>
  <w:style w:type="paragraph" w:customStyle="1" w:styleId="jeveux">
    <w:name w:val="je_veux"/>
    <w:basedOn w:val="Normal"/>
    <w:pPr>
      <w:numPr>
        <w:numId w:val="7"/>
      </w:numPr>
      <w:tabs>
        <w:tab w:val="left" w:pos="425"/>
        <w:tab w:val="left" w:pos="6237"/>
      </w:tabs>
      <w:suppressAutoHyphens/>
      <w:spacing w:before="120"/>
    </w:pPr>
    <w:rPr>
      <w:snapToGrid w:val="0"/>
    </w:rPr>
  </w:style>
  <w:style w:type="paragraph" w:customStyle="1" w:styleId="Gemiddeldraster1-accent21">
    <w:name w:val="Gemiddeld raster 1 - accent 21"/>
    <w:basedOn w:val="Normal"/>
    <w:uiPriority w:val="99"/>
    <w:qFormat/>
    <w:pPr>
      <w:ind w:left="720"/>
      <w:contextualSpacing/>
    </w:pPr>
    <w:rPr>
      <w:rFonts w:ascii="Calibri" w:eastAsia="Calibri" w:hAnsi="Calibri"/>
    </w:rPr>
  </w:style>
  <w:style w:type="paragraph" w:customStyle="1" w:styleId="Chiffregras">
    <w:name w:val="Chiffre_gras"/>
    <w:basedOn w:val="Normal"/>
    <w:qFormat/>
    <w:pPr>
      <w:adjustRightInd w:val="0"/>
      <w:spacing w:line="240" w:lineRule="atLeast"/>
      <w:ind w:left="709" w:hanging="709"/>
      <w:outlineLvl w:val="0"/>
    </w:pPr>
    <w:rPr>
      <w:rFonts w:eastAsia="Calibri"/>
      <w:b/>
      <w:bCs/>
    </w:rPr>
  </w:style>
  <w:style w:type="paragraph" w:customStyle="1" w:styleId="Chiffrepar">
    <w:name w:val="Chiffre_par"/>
    <w:basedOn w:val="Normal"/>
    <w:qFormat/>
    <w:pPr>
      <w:adjustRightInd w:val="0"/>
      <w:spacing w:line="240" w:lineRule="atLeast"/>
      <w:ind w:left="709"/>
    </w:pPr>
    <w:rPr>
      <w:rFonts w:eastAsia="Calibri"/>
    </w:rPr>
  </w:style>
  <w:style w:type="paragraph" w:customStyle="1" w:styleId="Chiffre">
    <w:name w:val="Chiffre"/>
    <w:basedOn w:val="Normal"/>
    <w:qFormat/>
    <w:pPr>
      <w:adjustRightInd w:val="0"/>
      <w:spacing w:line="240" w:lineRule="atLeast"/>
      <w:ind w:left="709" w:hanging="709"/>
    </w:pPr>
    <w:rPr>
      <w:rFonts w:eastAsia="Calibri"/>
    </w:rPr>
  </w:style>
  <w:style w:type="paragraph" w:customStyle="1" w:styleId="chiffrelettre">
    <w:name w:val="chiffre_lettre"/>
    <w:basedOn w:val="Normal"/>
    <w:qFormat/>
    <w:pPr>
      <w:adjustRightInd w:val="0"/>
      <w:spacing w:before="60" w:line="240" w:lineRule="atLeast"/>
      <w:ind w:left="1134"/>
    </w:pPr>
    <w:rPr>
      <w:rFonts w:eastAsia="Calibri"/>
    </w:rPr>
  </w:style>
  <w:style w:type="paragraph" w:customStyle="1" w:styleId="Esann8ch">
    <w:name w:val="Es_ann8_ch"/>
    <w:basedOn w:val="Normal"/>
    <w:qFormat/>
    <w:pPr>
      <w:spacing w:line="240" w:lineRule="atLeast"/>
      <w:ind w:left="851" w:hanging="851"/>
    </w:pPr>
    <w:rPr>
      <w:rFonts w:eastAsia="Calibri" w:cs="Arial"/>
      <w:color w:val="000000"/>
      <w:szCs w:val="20"/>
    </w:rPr>
  </w:style>
  <w:style w:type="paragraph" w:customStyle="1" w:styleId="Esann8chgras">
    <w:name w:val="Es_ann8_ch_gras"/>
    <w:basedOn w:val="ESchgras"/>
    <w:qFormat/>
    <w:pPr>
      <w:ind w:left="851" w:hanging="851"/>
    </w:pPr>
  </w:style>
  <w:style w:type="paragraph" w:customStyle="1" w:styleId="Esann8titrechap">
    <w:name w:val="Es_ann8_titre_chap"/>
    <w:basedOn w:val="Esann8chgras"/>
    <w:qFormat/>
    <w:pPr>
      <w:jc w:val="center"/>
    </w:pPr>
  </w:style>
  <w:style w:type="paragraph" w:customStyle="1" w:styleId="Esann8let">
    <w:name w:val="Es_ann8_let"/>
    <w:basedOn w:val="Esann8ch"/>
    <w:qFormat/>
    <w:pPr>
      <w:spacing w:before="60"/>
      <w:ind w:left="1276" w:hanging="425"/>
    </w:pPr>
  </w:style>
  <w:style w:type="paragraph" w:customStyle="1" w:styleId="Esann8chpar">
    <w:name w:val="Es_ann8_ch_par"/>
    <w:basedOn w:val="Esann8ch"/>
    <w:qFormat/>
    <w:pPr>
      <w:ind w:firstLine="0"/>
    </w:pPr>
  </w:style>
  <w:style w:type="character" w:customStyle="1" w:styleId="hps">
    <w:name w:val="hps"/>
    <w:basedOn w:val="DefaultParagraphFont"/>
    <w:qFormat/>
  </w:style>
  <w:style w:type="character" w:customStyle="1" w:styleId="atn">
    <w:name w:val="atn"/>
    <w:basedOn w:val="DefaultParagraphFont"/>
  </w:style>
  <w:style w:type="paragraph" w:customStyle="1" w:styleId="tbl-norm">
    <w:name w:val="tbl-norm"/>
    <w:basedOn w:val="Normal"/>
    <w:qFormat/>
    <w:pPr>
      <w:spacing w:before="100" w:beforeAutospacing="1" w:after="100" w:afterAutospacing="1"/>
    </w:pPr>
  </w:style>
  <w:style w:type="paragraph" w:customStyle="1" w:styleId="norm">
    <w:name w:val="norm"/>
    <w:basedOn w:val="Normal"/>
    <w:pPr>
      <w:spacing w:before="100" w:beforeAutospacing="1" w:after="100" w:afterAutospacing="1"/>
    </w:pPr>
  </w:style>
  <w:style w:type="table" w:customStyle="1" w:styleId="Grilledutableau14">
    <w:name w:val="Grille du tableau14"/>
    <w:basedOn w:val="TableNormal"/>
    <w:pPr>
      <w:overflowPunct w:val="0"/>
      <w:autoSpaceDE w:val="0"/>
      <w:autoSpaceDN w:val="0"/>
      <w:adjustRightInd w:val="0"/>
      <w:spacing w:line="240" w:lineRule="exac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4">
    <w:name w:val="Grille du tableau114"/>
    <w:basedOn w:val="TableNormal"/>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rPr>
      <w:rFonts w:ascii="Times New Roman" w:hAnsi="Times New Roman"/>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chdecale">
    <w:name w:val="ES_ch_decale"/>
    <w:basedOn w:val="Normal"/>
    <w:qFormat/>
    <w:pPr>
      <w:tabs>
        <w:tab w:val="left" w:pos="567"/>
        <w:tab w:val="left" w:pos="1418"/>
      </w:tabs>
      <w:spacing w:line="240" w:lineRule="atLeast"/>
      <w:ind w:left="1418" w:hanging="851"/>
    </w:pPr>
  </w:style>
  <w:style w:type="paragraph" w:customStyle="1" w:styleId="ESchdecalepar">
    <w:name w:val="ES_ch_decale_par"/>
    <w:basedOn w:val="ESchdecale"/>
    <w:qFormat/>
    <w:pPr>
      <w:tabs>
        <w:tab w:val="clear" w:pos="567"/>
      </w:tabs>
      <w:ind w:firstLine="0"/>
    </w:pPr>
  </w:style>
  <w:style w:type="paragraph" w:customStyle="1" w:styleId="ESletparettab">
    <w:name w:val="ES_let_par_et_tab"/>
    <w:basedOn w:val="ESletpar"/>
    <w:qFormat/>
    <w:pPr>
      <w:tabs>
        <w:tab w:val="left" w:pos="2552"/>
        <w:tab w:val="left" w:pos="2977"/>
        <w:tab w:val="left" w:pos="3402"/>
      </w:tabs>
      <w:ind w:left="1418" w:hanging="426"/>
    </w:pPr>
  </w:style>
  <w:style w:type="paragraph" w:customStyle="1" w:styleId="IS1cm">
    <w:name w:val="IS_1cm"/>
    <w:basedOn w:val="Normal"/>
    <w:link w:val="IS1cmCar"/>
    <w:pPr>
      <w:tabs>
        <w:tab w:val="left" w:pos="567"/>
      </w:tabs>
      <w:overflowPunct w:val="0"/>
      <w:adjustRightInd w:val="0"/>
      <w:spacing w:line="240" w:lineRule="atLeast"/>
      <w:ind w:left="567" w:hanging="567"/>
      <w:textAlignment w:val="baseline"/>
    </w:pPr>
    <w:rPr>
      <w:szCs w:val="20"/>
    </w:rPr>
  </w:style>
  <w:style w:type="character" w:customStyle="1" w:styleId="IS1cmCar">
    <w:name w:val="IS_1cm Car"/>
    <w:link w:val="IS1cm"/>
    <w:rPr>
      <w:rFonts w:ascii="Arial" w:hAnsi="Arial"/>
      <w:lang w:val="bg-BG"/>
    </w:rPr>
  </w:style>
  <w:style w:type="paragraph" w:customStyle="1" w:styleId="IS1cmg075cm">
    <w:name w:val="IS_1cmg_0_75cm"/>
    <w:basedOn w:val="IS1cm"/>
    <w:pPr>
      <w:tabs>
        <w:tab w:val="clear" w:pos="567"/>
        <w:tab w:val="left" w:pos="992"/>
      </w:tabs>
      <w:ind w:left="992" w:hanging="425"/>
    </w:pPr>
  </w:style>
  <w:style w:type="paragraph" w:customStyle="1" w:styleId="IS175cm">
    <w:name w:val="IS_175cm"/>
    <w:basedOn w:val="Normal"/>
    <w:pPr>
      <w:tabs>
        <w:tab w:val="left" w:pos="1418"/>
      </w:tabs>
      <w:overflowPunct w:val="0"/>
      <w:adjustRightInd w:val="0"/>
      <w:spacing w:line="240" w:lineRule="atLeast"/>
      <w:ind w:left="1417"/>
      <w:textAlignment w:val="baseline"/>
    </w:pPr>
    <w:rPr>
      <w:szCs w:val="20"/>
    </w:rPr>
  </w:style>
  <w:style w:type="paragraph" w:customStyle="1" w:styleId="ES-Titre2ESI">
    <w:name w:val="ES-Titre2_ESI"/>
    <w:basedOn w:val="ES-Titre2"/>
    <w:qFormat/>
    <w:pPr>
      <w:pageBreakBefore w:val="0"/>
    </w:pPr>
  </w:style>
  <w:style w:type="paragraph" w:customStyle="1" w:styleId="ES-Titre4prESIexple">
    <w:name w:val="ES-Titre4_pr_ESI_exple"/>
    <w:basedOn w:val="ES-Titre3prchap32"/>
    <w:qFormat/>
  </w:style>
  <w:style w:type="paragraph" w:customStyle="1" w:styleId="ES-Titre4">
    <w:name w:val="ES-Titre4"/>
    <w:basedOn w:val="ES-Titre3"/>
    <w:qFormat/>
  </w:style>
  <w:style w:type="paragraph" w:customStyle="1" w:styleId="ES-Titre4a">
    <w:name w:val="ES-Titre4a"/>
    <w:basedOn w:val="ES-Titre3a"/>
    <w:qFormat/>
  </w:style>
  <w:style w:type="paragraph" w:customStyle="1" w:styleId="Style6">
    <w:name w:val="Style6"/>
    <w:pPr>
      <w:widowControl w:val="0"/>
      <w:autoSpaceDE w:val="0"/>
      <w:autoSpaceDN w:val="0"/>
      <w:adjustRightInd w:val="0"/>
      <w:ind w:left="140" w:right="140"/>
      <w:jc w:val="center"/>
    </w:pPr>
    <w:rPr>
      <w:rFonts w:ascii="Times New Roman" w:hAnsi="Times New Roman"/>
      <w:b/>
      <w:bCs/>
      <w:sz w:val="30"/>
      <w:szCs w:val="30"/>
      <w:lang w:val="en-US" w:eastAsia="en-US"/>
    </w:rPr>
  </w:style>
  <w:style w:type="paragraph" w:customStyle="1" w:styleId="Style5">
    <w:name w:val="Style5"/>
    <w:pPr>
      <w:widowControl w:val="0"/>
      <w:autoSpaceDE w:val="0"/>
      <w:autoSpaceDN w:val="0"/>
      <w:adjustRightInd w:val="0"/>
      <w:ind w:left="140" w:right="140"/>
      <w:jc w:val="center"/>
    </w:pPr>
    <w:rPr>
      <w:rFonts w:ascii="Times New Roman" w:hAnsi="Times New Roman"/>
      <w:sz w:val="30"/>
      <w:szCs w:val="30"/>
      <w:lang w:val="en-US" w:eastAsia="en-US"/>
    </w:rPr>
  </w:style>
  <w:style w:type="paragraph" w:customStyle="1" w:styleId="Style4">
    <w:name w:val="Style4"/>
    <w:pPr>
      <w:widowControl w:val="0"/>
      <w:autoSpaceDE w:val="0"/>
      <w:autoSpaceDN w:val="0"/>
      <w:adjustRightInd w:val="0"/>
      <w:ind w:left="140" w:right="140" w:firstLine="840"/>
      <w:jc w:val="center"/>
    </w:pPr>
    <w:rPr>
      <w:rFonts w:ascii="Times New Roman" w:hAnsi="Times New Roman"/>
      <w:sz w:val="30"/>
      <w:szCs w:val="30"/>
      <w:lang w:val="en-US" w:eastAsia="en-US"/>
    </w:rPr>
  </w:style>
  <w:style w:type="paragraph" w:customStyle="1" w:styleId="Style3">
    <w:name w:val="Style3"/>
    <w:pPr>
      <w:widowControl w:val="0"/>
      <w:autoSpaceDE w:val="0"/>
      <w:autoSpaceDN w:val="0"/>
      <w:adjustRightInd w:val="0"/>
      <w:ind w:left="140" w:right="140" w:firstLine="840"/>
      <w:jc w:val="both"/>
    </w:pPr>
    <w:rPr>
      <w:rFonts w:ascii="Times New Roman" w:hAnsi="Times New Roman"/>
      <w:i/>
      <w:iCs/>
      <w:sz w:val="30"/>
      <w:szCs w:val="30"/>
      <w:lang w:val="en-US" w:eastAsia="en-US"/>
    </w:rPr>
  </w:style>
  <w:style w:type="paragraph" w:customStyle="1" w:styleId="Style2">
    <w:name w:val="Style2"/>
    <w:pPr>
      <w:widowControl w:val="0"/>
      <w:autoSpaceDE w:val="0"/>
      <w:autoSpaceDN w:val="0"/>
      <w:adjustRightInd w:val="0"/>
      <w:ind w:left="140" w:right="140" w:firstLine="840"/>
    </w:pPr>
    <w:rPr>
      <w:rFonts w:ascii="Times New Roman" w:hAnsi="Times New Roman"/>
      <w:sz w:val="24"/>
      <w:szCs w:val="24"/>
      <w:lang w:val="en-US" w:eastAsia="en-US"/>
    </w:rPr>
  </w:style>
  <w:style w:type="paragraph" w:customStyle="1" w:styleId="pa21">
    <w:name w:val="pa21"/>
    <w:basedOn w:val="Normal"/>
    <w:pPr>
      <w:spacing w:before="100" w:beforeAutospacing="1" w:after="100" w:afterAutospacing="1"/>
    </w:pPr>
    <w:rPr>
      <w:lang w:eastAsia="bg-BG"/>
    </w:rPr>
  </w:style>
  <w:style w:type="paragraph" w:customStyle="1" w:styleId="pa210">
    <w:name w:val="pa210"/>
    <w:basedOn w:val="Normal"/>
    <w:pPr>
      <w:spacing w:before="100" w:beforeAutospacing="1" w:after="100" w:afterAutospacing="1"/>
    </w:pPr>
    <w:rPr>
      <w:lang w:eastAsia="bg-BG"/>
    </w:rPr>
  </w:style>
  <w:style w:type="paragraph" w:customStyle="1" w:styleId="table">
    <w:name w:val="table"/>
    <w:basedOn w:val="Normal"/>
    <w:pPr>
      <w:spacing w:before="100" w:beforeAutospacing="1" w:after="100" w:afterAutospacing="1"/>
    </w:pPr>
    <w:rPr>
      <w:lang w:eastAsia="bg-BG"/>
    </w:rPr>
  </w:style>
  <w:style w:type="table" w:customStyle="1" w:styleId="TableGrid1">
    <w:name w:val="Table Grid1"/>
    <w:basedOn w:val="TableNormal"/>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word">
    <w:name w:val="word"/>
    <w:basedOn w:val="DefaultParagraphFont"/>
  </w:style>
  <w:style w:type="character" w:customStyle="1" w:styleId="HTMLPreformattedChar">
    <w:name w:val="HTML Preformatted Char"/>
    <w:basedOn w:val="DefaultParagraphFont"/>
    <w:link w:val="HTMLPreformatted"/>
    <w:uiPriority w:val="99"/>
    <w:rPr>
      <w:rFonts w:ascii="Consolas" w:eastAsiaTheme="minorHAnsi" w:hAnsi="Consolas" w:cstheme="minorBidi"/>
      <w:lang w:eastAsia="en-US"/>
    </w:rPr>
  </w:style>
  <w:style w:type="paragraph" w:customStyle="1" w:styleId="title-bold">
    <w:name w:val="title-bold"/>
    <w:basedOn w:val="Normal"/>
    <w:pPr>
      <w:spacing w:before="100" w:beforeAutospacing="1" w:after="100" w:afterAutospacing="1"/>
    </w:pPr>
    <w:rPr>
      <w:lang w:eastAsia="bg-BG"/>
    </w:rPr>
  </w:style>
  <w:style w:type="paragraph" w:customStyle="1" w:styleId="TableParagraph">
    <w:name w:val="Table Paragraph"/>
    <w:basedOn w:val="Normal"/>
    <w:uiPriority w:val="1"/>
    <w:qFormat/>
    <w:rsid w:val="0054290B"/>
    <w:pPr>
      <w:widowControl w:val="0"/>
      <w:autoSpaceDE w:val="0"/>
      <w:autoSpaceDN w:val="0"/>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3941">
      <w:bodyDiv w:val="1"/>
      <w:marLeft w:val="0"/>
      <w:marRight w:val="0"/>
      <w:marTop w:val="0"/>
      <w:marBottom w:val="0"/>
      <w:divBdr>
        <w:top w:val="none" w:sz="0" w:space="0" w:color="auto"/>
        <w:left w:val="none" w:sz="0" w:space="0" w:color="auto"/>
        <w:bottom w:val="none" w:sz="0" w:space="0" w:color="auto"/>
        <w:right w:val="none" w:sz="0" w:space="0" w:color="auto"/>
      </w:divBdr>
    </w:div>
    <w:div w:id="175928347">
      <w:bodyDiv w:val="1"/>
      <w:marLeft w:val="0"/>
      <w:marRight w:val="0"/>
      <w:marTop w:val="0"/>
      <w:marBottom w:val="0"/>
      <w:divBdr>
        <w:top w:val="none" w:sz="0" w:space="0" w:color="auto"/>
        <w:left w:val="none" w:sz="0" w:space="0" w:color="auto"/>
        <w:bottom w:val="none" w:sz="0" w:space="0" w:color="auto"/>
        <w:right w:val="none" w:sz="0" w:space="0" w:color="auto"/>
      </w:divBdr>
      <w:divsChild>
        <w:div w:id="618416361">
          <w:marLeft w:val="0"/>
          <w:marRight w:val="0"/>
          <w:marTop w:val="180"/>
          <w:marBottom w:val="0"/>
          <w:divBdr>
            <w:top w:val="single" w:sz="2" w:space="0" w:color="EFEFEF"/>
            <w:left w:val="single" w:sz="2" w:space="0" w:color="EFEFEF"/>
            <w:bottom w:val="single" w:sz="2" w:space="0" w:color="EFEFEF"/>
            <w:right w:val="single" w:sz="2" w:space="0" w:color="EFEFEF"/>
          </w:divBdr>
        </w:div>
        <w:div w:id="935556049">
          <w:marLeft w:val="0"/>
          <w:marRight w:val="0"/>
          <w:marTop w:val="180"/>
          <w:marBottom w:val="0"/>
          <w:divBdr>
            <w:top w:val="single" w:sz="2" w:space="0" w:color="EFEFEF"/>
            <w:left w:val="single" w:sz="2" w:space="0" w:color="EFEFEF"/>
            <w:bottom w:val="single" w:sz="2" w:space="0" w:color="EFEFEF"/>
            <w:right w:val="single" w:sz="2" w:space="0" w:color="EFEFEF"/>
          </w:divBdr>
        </w:div>
        <w:div w:id="831217314">
          <w:marLeft w:val="0"/>
          <w:marRight w:val="0"/>
          <w:marTop w:val="180"/>
          <w:marBottom w:val="0"/>
          <w:divBdr>
            <w:top w:val="single" w:sz="2" w:space="0" w:color="EFEFEF"/>
            <w:left w:val="single" w:sz="2" w:space="0" w:color="EFEFEF"/>
            <w:bottom w:val="single" w:sz="2" w:space="0" w:color="EFEFEF"/>
            <w:right w:val="single" w:sz="2" w:space="0" w:color="EFEFEF"/>
          </w:divBdr>
        </w:div>
        <w:div w:id="132597492">
          <w:marLeft w:val="0"/>
          <w:marRight w:val="0"/>
          <w:marTop w:val="180"/>
          <w:marBottom w:val="0"/>
          <w:divBdr>
            <w:top w:val="single" w:sz="2" w:space="0" w:color="EFEFEF"/>
            <w:left w:val="single" w:sz="2" w:space="0" w:color="EFEFEF"/>
            <w:bottom w:val="single" w:sz="2" w:space="0" w:color="EFEFEF"/>
            <w:right w:val="single" w:sz="2" w:space="0" w:color="EFEFEF"/>
          </w:divBdr>
        </w:div>
      </w:divsChild>
    </w:div>
    <w:div w:id="260846335">
      <w:bodyDiv w:val="1"/>
      <w:marLeft w:val="0"/>
      <w:marRight w:val="0"/>
      <w:marTop w:val="0"/>
      <w:marBottom w:val="0"/>
      <w:divBdr>
        <w:top w:val="none" w:sz="0" w:space="0" w:color="auto"/>
        <w:left w:val="none" w:sz="0" w:space="0" w:color="auto"/>
        <w:bottom w:val="none" w:sz="0" w:space="0" w:color="auto"/>
        <w:right w:val="none" w:sz="0" w:space="0" w:color="auto"/>
      </w:divBdr>
    </w:div>
    <w:div w:id="823007788">
      <w:bodyDiv w:val="1"/>
      <w:marLeft w:val="0"/>
      <w:marRight w:val="0"/>
      <w:marTop w:val="0"/>
      <w:marBottom w:val="0"/>
      <w:divBdr>
        <w:top w:val="none" w:sz="0" w:space="0" w:color="auto"/>
        <w:left w:val="none" w:sz="0" w:space="0" w:color="auto"/>
        <w:bottom w:val="none" w:sz="0" w:space="0" w:color="auto"/>
        <w:right w:val="none" w:sz="0" w:space="0" w:color="auto"/>
      </w:divBdr>
    </w:div>
    <w:div w:id="889459463">
      <w:bodyDiv w:val="1"/>
      <w:marLeft w:val="0"/>
      <w:marRight w:val="0"/>
      <w:marTop w:val="0"/>
      <w:marBottom w:val="0"/>
      <w:divBdr>
        <w:top w:val="none" w:sz="0" w:space="0" w:color="auto"/>
        <w:left w:val="none" w:sz="0" w:space="0" w:color="auto"/>
        <w:bottom w:val="none" w:sz="0" w:space="0" w:color="auto"/>
        <w:right w:val="none" w:sz="0" w:space="0" w:color="auto"/>
      </w:divBdr>
    </w:div>
    <w:div w:id="1105003356">
      <w:bodyDiv w:val="1"/>
      <w:marLeft w:val="0"/>
      <w:marRight w:val="0"/>
      <w:marTop w:val="0"/>
      <w:marBottom w:val="0"/>
      <w:divBdr>
        <w:top w:val="none" w:sz="0" w:space="0" w:color="auto"/>
        <w:left w:val="none" w:sz="0" w:space="0" w:color="auto"/>
        <w:bottom w:val="none" w:sz="0" w:space="0" w:color="auto"/>
        <w:right w:val="none" w:sz="0" w:space="0" w:color="auto"/>
      </w:divBdr>
      <w:divsChild>
        <w:div w:id="1513447262">
          <w:marLeft w:val="0"/>
          <w:marRight w:val="0"/>
          <w:marTop w:val="0"/>
          <w:marBottom w:val="0"/>
          <w:divBdr>
            <w:top w:val="none" w:sz="0" w:space="0" w:color="auto"/>
            <w:left w:val="none" w:sz="0" w:space="0" w:color="auto"/>
            <w:bottom w:val="none" w:sz="0" w:space="0" w:color="auto"/>
            <w:right w:val="none" w:sz="0" w:space="0" w:color="auto"/>
          </w:divBdr>
        </w:div>
      </w:divsChild>
    </w:div>
    <w:div w:id="1191533408">
      <w:bodyDiv w:val="1"/>
      <w:marLeft w:val="0"/>
      <w:marRight w:val="0"/>
      <w:marTop w:val="0"/>
      <w:marBottom w:val="0"/>
      <w:divBdr>
        <w:top w:val="none" w:sz="0" w:space="0" w:color="auto"/>
        <w:left w:val="none" w:sz="0" w:space="0" w:color="auto"/>
        <w:bottom w:val="none" w:sz="0" w:space="0" w:color="auto"/>
        <w:right w:val="none" w:sz="0" w:space="0" w:color="auto"/>
      </w:divBdr>
    </w:div>
    <w:div w:id="1269239970">
      <w:bodyDiv w:val="1"/>
      <w:marLeft w:val="0"/>
      <w:marRight w:val="0"/>
      <w:marTop w:val="0"/>
      <w:marBottom w:val="0"/>
      <w:divBdr>
        <w:top w:val="none" w:sz="0" w:space="0" w:color="auto"/>
        <w:left w:val="none" w:sz="0" w:space="0" w:color="auto"/>
        <w:bottom w:val="none" w:sz="0" w:space="0" w:color="auto"/>
        <w:right w:val="none" w:sz="0" w:space="0" w:color="auto"/>
      </w:divBdr>
    </w:div>
    <w:div w:id="1453548114">
      <w:bodyDiv w:val="1"/>
      <w:marLeft w:val="0"/>
      <w:marRight w:val="0"/>
      <w:marTop w:val="0"/>
      <w:marBottom w:val="0"/>
      <w:divBdr>
        <w:top w:val="none" w:sz="0" w:space="0" w:color="auto"/>
        <w:left w:val="none" w:sz="0" w:space="0" w:color="auto"/>
        <w:bottom w:val="none" w:sz="0" w:space="0" w:color="auto"/>
        <w:right w:val="none" w:sz="0" w:space="0" w:color="auto"/>
      </w:divBdr>
    </w:div>
    <w:div w:id="1763797551">
      <w:bodyDiv w:val="1"/>
      <w:marLeft w:val="0"/>
      <w:marRight w:val="0"/>
      <w:marTop w:val="0"/>
      <w:marBottom w:val="0"/>
      <w:divBdr>
        <w:top w:val="none" w:sz="0" w:space="0" w:color="auto"/>
        <w:left w:val="none" w:sz="0" w:space="0" w:color="auto"/>
        <w:bottom w:val="none" w:sz="0" w:space="0" w:color="auto"/>
        <w:right w:val="none" w:sz="0" w:space="0" w:color="auto"/>
      </w:divBdr>
    </w:div>
    <w:div w:id="1996644957">
      <w:bodyDiv w:val="1"/>
      <w:marLeft w:val="0"/>
      <w:marRight w:val="0"/>
      <w:marTop w:val="0"/>
      <w:marBottom w:val="0"/>
      <w:divBdr>
        <w:top w:val="none" w:sz="0" w:space="0" w:color="auto"/>
        <w:left w:val="none" w:sz="0" w:space="0" w:color="auto"/>
        <w:bottom w:val="none" w:sz="0" w:space="0" w:color="auto"/>
        <w:right w:val="none" w:sz="0" w:space="0" w:color="auto"/>
      </w:divBdr>
    </w:div>
    <w:div w:id="2114201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1.wmf"/><Relationship Id="rId21" Type="http://schemas.openxmlformats.org/officeDocument/2006/relationships/image" Target="media/image1.wmf"/><Relationship Id="rId63" Type="http://schemas.openxmlformats.org/officeDocument/2006/relationships/header" Target="header45.xml"/><Relationship Id="rId159" Type="http://schemas.openxmlformats.org/officeDocument/2006/relationships/footer" Target="footer19.xml"/><Relationship Id="rId170" Type="http://schemas.openxmlformats.org/officeDocument/2006/relationships/header" Target="header112.xml"/><Relationship Id="rId226" Type="http://schemas.openxmlformats.org/officeDocument/2006/relationships/header" Target="header144.xml"/><Relationship Id="rId107" Type="http://schemas.openxmlformats.org/officeDocument/2006/relationships/image" Target="media/image8.emf"/><Relationship Id="rId11" Type="http://schemas.openxmlformats.org/officeDocument/2006/relationships/header" Target="header2.xml"/><Relationship Id="rId32" Type="http://schemas.openxmlformats.org/officeDocument/2006/relationships/header" Target="header15.xml"/><Relationship Id="rId53" Type="http://schemas.openxmlformats.org/officeDocument/2006/relationships/header" Target="header36.xml"/><Relationship Id="rId74" Type="http://schemas.openxmlformats.org/officeDocument/2006/relationships/header" Target="header56.xml"/><Relationship Id="rId128" Type="http://schemas.openxmlformats.org/officeDocument/2006/relationships/image" Target="media/image22.emf"/><Relationship Id="rId149" Type="http://schemas.openxmlformats.org/officeDocument/2006/relationships/header" Target="header101.xml"/><Relationship Id="rId5" Type="http://schemas.openxmlformats.org/officeDocument/2006/relationships/settings" Target="settings.xml"/><Relationship Id="rId95" Type="http://schemas.openxmlformats.org/officeDocument/2006/relationships/header" Target="header74.xml"/><Relationship Id="rId160" Type="http://schemas.openxmlformats.org/officeDocument/2006/relationships/header" Target="header107.xml"/><Relationship Id="rId181" Type="http://schemas.openxmlformats.org/officeDocument/2006/relationships/header" Target="header115.xml"/><Relationship Id="rId216" Type="http://schemas.openxmlformats.org/officeDocument/2006/relationships/header" Target="header137.xml"/><Relationship Id="rId237" Type="http://schemas.openxmlformats.org/officeDocument/2006/relationships/image" Target="media/image37.png"/><Relationship Id="rId258" Type="http://schemas.openxmlformats.org/officeDocument/2006/relationships/header" Target="header166.xml"/><Relationship Id="rId22" Type="http://schemas.openxmlformats.org/officeDocument/2006/relationships/header" Target="header8.xml"/><Relationship Id="rId43" Type="http://schemas.openxmlformats.org/officeDocument/2006/relationships/header" Target="header26.xml"/><Relationship Id="rId64" Type="http://schemas.openxmlformats.org/officeDocument/2006/relationships/header" Target="header46.xml"/><Relationship Id="rId118" Type="http://schemas.openxmlformats.org/officeDocument/2006/relationships/image" Target="media/image12.wmf"/><Relationship Id="rId139" Type="http://schemas.openxmlformats.org/officeDocument/2006/relationships/header" Target="header93.xml"/><Relationship Id="rId85" Type="http://schemas.openxmlformats.org/officeDocument/2006/relationships/header" Target="header66.xml"/><Relationship Id="rId150" Type="http://schemas.openxmlformats.org/officeDocument/2006/relationships/header" Target="header102.xml"/><Relationship Id="rId171" Type="http://schemas.openxmlformats.org/officeDocument/2006/relationships/footer" Target="footer25.xml"/><Relationship Id="rId192" Type="http://schemas.openxmlformats.org/officeDocument/2006/relationships/header" Target="header122.xml"/><Relationship Id="rId206" Type="http://schemas.openxmlformats.org/officeDocument/2006/relationships/header" Target="header131.xml"/><Relationship Id="rId227" Type="http://schemas.openxmlformats.org/officeDocument/2006/relationships/footer" Target="footer40.xml"/><Relationship Id="rId248" Type="http://schemas.openxmlformats.org/officeDocument/2006/relationships/header" Target="header157.xml"/><Relationship Id="rId12" Type="http://schemas.openxmlformats.org/officeDocument/2006/relationships/footer" Target="footer2.xml"/><Relationship Id="rId33" Type="http://schemas.openxmlformats.org/officeDocument/2006/relationships/header" Target="header16.xml"/><Relationship Id="rId108" Type="http://schemas.openxmlformats.org/officeDocument/2006/relationships/image" Target="media/image9.emf"/><Relationship Id="rId129" Type="http://schemas.openxmlformats.org/officeDocument/2006/relationships/image" Target="media/image23.png"/><Relationship Id="rId54" Type="http://schemas.openxmlformats.org/officeDocument/2006/relationships/header" Target="header37.xml"/><Relationship Id="rId75" Type="http://schemas.openxmlformats.org/officeDocument/2006/relationships/header" Target="header57.xml"/><Relationship Id="rId96" Type="http://schemas.openxmlformats.org/officeDocument/2006/relationships/header" Target="header75.xml"/><Relationship Id="rId140" Type="http://schemas.openxmlformats.org/officeDocument/2006/relationships/header" Target="header94.xml"/><Relationship Id="rId161" Type="http://schemas.openxmlformats.org/officeDocument/2006/relationships/footer" Target="footer20.xml"/><Relationship Id="rId182" Type="http://schemas.openxmlformats.org/officeDocument/2006/relationships/header" Target="header116.xml"/><Relationship Id="rId217" Type="http://schemas.openxmlformats.org/officeDocument/2006/relationships/header" Target="header138.xml"/><Relationship Id="rId6" Type="http://schemas.openxmlformats.org/officeDocument/2006/relationships/webSettings" Target="webSettings.xml"/><Relationship Id="rId238" Type="http://schemas.openxmlformats.org/officeDocument/2006/relationships/header" Target="header152.xml"/><Relationship Id="rId259" Type="http://schemas.openxmlformats.org/officeDocument/2006/relationships/header" Target="header167.xml"/><Relationship Id="rId23" Type="http://schemas.openxmlformats.org/officeDocument/2006/relationships/header" Target="header9.xml"/><Relationship Id="rId119" Type="http://schemas.openxmlformats.org/officeDocument/2006/relationships/image" Target="media/image13.wmf"/><Relationship Id="rId44" Type="http://schemas.openxmlformats.org/officeDocument/2006/relationships/header" Target="header27.xml"/><Relationship Id="rId65" Type="http://schemas.openxmlformats.org/officeDocument/2006/relationships/header" Target="header47.xml"/><Relationship Id="rId86" Type="http://schemas.openxmlformats.org/officeDocument/2006/relationships/footer" Target="footer6.xml"/><Relationship Id="rId130" Type="http://schemas.openxmlformats.org/officeDocument/2006/relationships/header" Target="header89.xml"/><Relationship Id="rId151" Type="http://schemas.openxmlformats.org/officeDocument/2006/relationships/header" Target="header103.xml"/><Relationship Id="rId172" Type="http://schemas.openxmlformats.org/officeDocument/2006/relationships/image" Target="media/image27.jpeg"/><Relationship Id="rId193" Type="http://schemas.openxmlformats.org/officeDocument/2006/relationships/header" Target="header123.xml"/><Relationship Id="rId207" Type="http://schemas.openxmlformats.org/officeDocument/2006/relationships/header" Target="header132.xml"/><Relationship Id="rId228" Type="http://schemas.openxmlformats.org/officeDocument/2006/relationships/header" Target="header145.xml"/><Relationship Id="rId249" Type="http://schemas.openxmlformats.org/officeDocument/2006/relationships/header" Target="header158.xml"/><Relationship Id="rId13" Type="http://schemas.openxmlformats.org/officeDocument/2006/relationships/header" Target="header3.xml"/><Relationship Id="rId109" Type="http://schemas.openxmlformats.org/officeDocument/2006/relationships/image" Target="media/image10.emf"/><Relationship Id="rId260" Type="http://schemas.openxmlformats.org/officeDocument/2006/relationships/image" Target="media/image42.png"/><Relationship Id="rId34" Type="http://schemas.openxmlformats.org/officeDocument/2006/relationships/header" Target="header17.xml"/><Relationship Id="rId55" Type="http://schemas.openxmlformats.org/officeDocument/2006/relationships/header" Target="header38.xml"/><Relationship Id="rId76" Type="http://schemas.openxmlformats.org/officeDocument/2006/relationships/image" Target="media/image6.jpeg"/><Relationship Id="rId97" Type="http://schemas.openxmlformats.org/officeDocument/2006/relationships/header" Target="header76.xml"/><Relationship Id="rId120" Type="http://schemas.openxmlformats.org/officeDocument/2006/relationships/image" Target="media/image14.wmf"/><Relationship Id="rId141" Type="http://schemas.openxmlformats.org/officeDocument/2006/relationships/header" Target="header95.xml"/><Relationship Id="rId7" Type="http://schemas.openxmlformats.org/officeDocument/2006/relationships/footnotes" Target="footnotes.xml"/><Relationship Id="rId162" Type="http://schemas.openxmlformats.org/officeDocument/2006/relationships/header" Target="header108.xml"/><Relationship Id="rId183" Type="http://schemas.openxmlformats.org/officeDocument/2006/relationships/footer" Target="footer28.xml"/><Relationship Id="rId218" Type="http://schemas.openxmlformats.org/officeDocument/2006/relationships/header" Target="header139.xml"/><Relationship Id="rId239" Type="http://schemas.openxmlformats.org/officeDocument/2006/relationships/image" Target="media/image38.png"/><Relationship Id="rId250" Type="http://schemas.openxmlformats.org/officeDocument/2006/relationships/header" Target="header159.xml"/><Relationship Id="rId24" Type="http://schemas.openxmlformats.org/officeDocument/2006/relationships/image" Target="media/image2.jpeg"/><Relationship Id="rId45" Type="http://schemas.openxmlformats.org/officeDocument/2006/relationships/header" Target="header28.xml"/><Relationship Id="rId66" Type="http://schemas.openxmlformats.org/officeDocument/2006/relationships/header" Target="header48.xml"/><Relationship Id="rId87" Type="http://schemas.openxmlformats.org/officeDocument/2006/relationships/header" Target="header67.xml"/><Relationship Id="rId110" Type="http://schemas.openxmlformats.org/officeDocument/2006/relationships/header" Target="header83.xml"/><Relationship Id="rId131" Type="http://schemas.openxmlformats.org/officeDocument/2006/relationships/footer" Target="footer11.xml"/><Relationship Id="rId152" Type="http://schemas.openxmlformats.org/officeDocument/2006/relationships/footer" Target="footer15.xml"/><Relationship Id="rId173" Type="http://schemas.openxmlformats.org/officeDocument/2006/relationships/image" Target="media/image28.jpeg"/><Relationship Id="rId194" Type="http://schemas.openxmlformats.org/officeDocument/2006/relationships/footer" Target="footer32.xml"/><Relationship Id="rId208" Type="http://schemas.openxmlformats.org/officeDocument/2006/relationships/header" Target="header133.xml"/><Relationship Id="rId229" Type="http://schemas.openxmlformats.org/officeDocument/2006/relationships/footer" Target="footer41.xml"/><Relationship Id="rId240" Type="http://schemas.openxmlformats.org/officeDocument/2006/relationships/header" Target="header153.xml"/><Relationship Id="rId261" Type="http://schemas.openxmlformats.org/officeDocument/2006/relationships/image" Target="media/image43.png"/><Relationship Id="rId14" Type="http://schemas.openxmlformats.org/officeDocument/2006/relationships/footer" Target="footer3.xml"/><Relationship Id="rId35" Type="http://schemas.openxmlformats.org/officeDocument/2006/relationships/header" Target="header18.xml"/><Relationship Id="rId56" Type="http://schemas.openxmlformats.org/officeDocument/2006/relationships/header" Target="header39.xml"/><Relationship Id="rId77" Type="http://schemas.openxmlformats.org/officeDocument/2006/relationships/header" Target="header58.xml"/><Relationship Id="rId100" Type="http://schemas.openxmlformats.org/officeDocument/2006/relationships/header" Target="header78.xml"/><Relationship Id="rId8" Type="http://schemas.openxmlformats.org/officeDocument/2006/relationships/endnotes" Target="endnotes.xml"/><Relationship Id="rId98" Type="http://schemas.openxmlformats.org/officeDocument/2006/relationships/header" Target="header77.xml"/><Relationship Id="rId121" Type="http://schemas.openxmlformats.org/officeDocument/2006/relationships/image" Target="media/image15.wmf"/><Relationship Id="rId142" Type="http://schemas.openxmlformats.org/officeDocument/2006/relationships/header" Target="header96.xml"/><Relationship Id="rId163" Type="http://schemas.openxmlformats.org/officeDocument/2006/relationships/header" Target="header109.xml"/><Relationship Id="rId184" Type="http://schemas.openxmlformats.org/officeDocument/2006/relationships/header" Target="header117.xml"/><Relationship Id="rId219" Type="http://schemas.openxmlformats.org/officeDocument/2006/relationships/header" Target="header140.xml"/><Relationship Id="rId230" Type="http://schemas.openxmlformats.org/officeDocument/2006/relationships/header" Target="header146.xml"/><Relationship Id="rId251" Type="http://schemas.openxmlformats.org/officeDocument/2006/relationships/header" Target="header160.xml"/><Relationship Id="rId25" Type="http://schemas.openxmlformats.org/officeDocument/2006/relationships/image" Target="media/image3.jpeg"/><Relationship Id="rId46" Type="http://schemas.openxmlformats.org/officeDocument/2006/relationships/header" Target="header29.xml"/><Relationship Id="rId67" Type="http://schemas.openxmlformats.org/officeDocument/2006/relationships/header" Target="header49.xml"/><Relationship Id="rId88" Type="http://schemas.openxmlformats.org/officeDocument/2006/relationships/footer" Target="footer7.xml"/><Relationship Id="rId111" Type="http://schemas.openxmlformats.org/officeDocument/2006/relationships/header" Target="header84.xml"/><Relationship Id="rId132" Type="http://schemas.openxmlformats.org/officeDocument/2006/relationships/header" Target="header90.xml"/><Relationship Id="rId153" Type="http://schemas.openxmlformats.org/officeDocument/2006/relationships/footer" Target="footer16.xml"/><Relationship Id="rId174" Type="http://schemas.openxmlformats.org/officeDocument/2006/relationships/image" Target="media/image29.png"/><Relationship Id="rId195" Type="http://schemas.openxmlformats.org/officeDocument/2006/relationships/header" Target="header124.xml"/><Relationship Id="rId209" Type="http://schemas.openxmlformats.org/officeDocument/2006/relationships/footer" Target="footer36.xml"/><Relationship Id="rId220" Type="http://schemas.openxmlformats.org/officeDocument/2006/relationships/header" Target="header141.xml"/><Relationship Id="rId241" Type="http://schemas.openxmlformats.org/officeDocument/2006/relationships/footer" Target="footer42.xml"/><Relationship Id="rId15" Type="http://schemas.openxmlformats.org/officeDocument/2006/relationships/header" Target="header4.xml"/><Relationship Id="rId36" Type="http://schemas.openxmlformats.org/officeDocument/2006/relationships/header" Target="header19.xml"/><Relationship Id="rId57" Type="http://schemas.openxmlformats.org/officeDocument/2006/relationships/image" Target="media/image5.png"/><Relationship Id="rId262" Type="http://schemas.openxmlformats.org/officeDocument/2006/relationships/header" Target="header168.xml"/><Relationship Id="rId78" Type="http://schemas.openxmlformats.org/officeDocument/2006/relationships/header" Target="header59.xml"/><Relationship Id="rId99" Type="http://schemas.openxmlformats.org/officeDocument/2006/relationships/footer" Target="footer8.xml"/><Relationship Id="rId101" Type="http://schemas.openxmlformats.org/officeDocument/2006/relationships/header" Target="header79.xml"/><Relationship Id="rId122" Type="http://schemas.openxmlformats.org/officeDocument/2006/relationships/image" Target="media/image16.wmf"/><Relationship Id="rId143" Type="http://schemas.openxmlformats.org/officeDocument/2006/relationships/footer" Target="footer13.xml"/><Relationship Id="rId164" Type="http://schemas.openxmlformats.org/officeDocument/2006/relationships/footer" Target="footer21.xml"/><Relationship Id="rId185" Type="http://schemas.openxmlformats.org/officeDocument/2006/relationships/header" Target="header118.xml"/><Relationship Id="rId9" Type="http://schemas.openxmlformats.org/officeDocument/2006/relationships/header" Target="header1.xml"/><Relationship Id="rId210" Type="http://schemas.openxmlformats.org/officeDocument/2006/relationships/image" Target="media/image33.emf"/><Relationship Id="rId26" Type="http://schemas.openxmlformats.org/officeDocument/2006/relationships/image" Target="media/image4.jpeg"/><Relationship Id="rId231" Type="http://schemas.openxmlformats.org/officeDocument/2006/relationships/header" Target="header147.xml"/><Relationship Id="rId252" Type="http://schemas.openxmlformats.org/officeDocument/2006/relationships/header" Target="header161.xml"/><Relationship Id="rId47" Type="http://schemas.openxmlformats.org/officeDocument/2006/relationships/header" Target="header30.xml"/><Relationship Id="rId68" Type="http://schemas.openxmlformats.org/officeDocument/2006/relationships/header" Target="header50.xml"/><Relationship Id="rId89" Type="http://schemas.openxmlformats.org/officeDocument/2006/relationships/header" Target="header68.xml"/><Relationship Id="rId112" Type="http://schemas.openxmlformats.org/officeDocument/2006/relationships/header" Target="header85.xml"/><Relationship Id="rId133" Type="http://schemas.openxmlformats.org/officeDocument/2006/relationships/image" Target="media/image24.png"/><Relationship Id="rId154" Type="http://schemas.openxmlformats.org/officeDocument/2006/relationships/header" Target="header104.xml"/><Relationship Id="rId175" Type="http://schemas.openxmlformats.org/officeDocument/2006/relationships/image" Target="media/image30.png"/><Relationship Id="rId196" Type="http://schemas.openxmlformats.org/officeDocument/2006/relationships/header" Target="header125.xml"/><Relationship Id="rId200" Type="http://schemas.openxmlformats.org/officeDocument/2006/relationships/header" Target="header127.xml"/><Relationship Id="rId16" Type="http://schemas.openxmlformats.org/officeDocument/2006/relationships/footer" Target="footer4.xml"/><Relationship Id="rId221" Type="http://schemas.openxmlformats.org/officeDocument/2006/relationships/image" Target="media/image35.wmf"/><Relationship Id="rId242" Type="http://schemas.openxmlformats.org/officeDocument/2006/relationships/header" Target="header154.xml"/><Relationship Id="rId263" Type="http://schemas.openxmlformats.org/officeDocument/2006/relationships/image" Target="media/image44.png"/><Relationship Id="rId37" Type="http://schemas.openxmlformats.org/officeDocument/2006/relationships/header" Target="header20.xml"/><Relationship Id="rId58" Type="http://schemas.openxmlformats.org/officeDocument/2006/relationships/header" Target="header40.xml"/><Relationship Id="rId79" Type="http://schemas.openxmlformats.org/officeDocument/2006/relationships/header" Target="header60.xml"/><Relationship Id="rId102" Type="http://schemas.openxmlformats.org/officeDocument/2006/relationships/header" Target="header80.xml"/><Relationship Id="rId123" Type="http://schemas.openxmlformats.org/officeDocument/2006/relationships/image" Target="media/image17.wmf"/><Relationship Id="rId144" Type="http://schemas.openxmlformats.org/officeDocument/2006/relationships/header" Target="header97.xml"/><Relationship Id="rId90" Type="http://schemas.openxmlformats.org/officeDocument/2006/relationships/header" Target="header69.xml"/><Relationship Id="rId165" Type="http://schemas.openxmlformats.org/officeDocument/2006/relationships/footer" Target="footer22.xml"/><Relationship Id="rId186" Type="http://schemas.openxmlformats.org/officeDocument/2006/relationships/footer" Target="footer29.xml"/><Relationship Id="rId211" Type="http://schemas.openxmlformats.org/officeDocument/2006/relationships/image" Target="media/image34.wmf"/><Relationship Id="rId232" Type="http://schemas.openxmlformats.org/officeDocument/2006/relationships/header" Target="header148.xml"/><Relationship Id="rId253" Type="http://schemas.openxmlformats.org/officeDocument/2006/relationships/image" Target="media/image41.jpeg"/><Relationship Id="rId27" Type="http://schemas.openxmlformats.org/officeDocument/2006/relationships/header" Target="header10.xml"/><Relationship Id="rId48" Type="http://schemas.openxmlformats.org/officeDocument/2006/relationships/header" Target="header31.xml"/><Relationship Id="rId69" Type="http://schemas.openxmlformats.org/officeDocument/2006/relationships/header" Target="header51.xml"/><Relationship Id="rId113" Type="http://schemas.openxmlformats.org/officeDocument/2006/relationships/header" Target="header86.xml"/><Relationship Id="rId134" Type="http://schemas.openxmlformats.org/officeDocument/2006/relationships/image" Target="media/image25.png"/><Relationship Id="rId80" Type="http://schemas.openxmlformats.org/officeDocument/2006/relationships/header" Target="header61.xml"/><Relationship Id="rId155" Type="http://schemas.openxmlformats.org/officeDocument/2006/relationships/footer" Target="footer17.xml"/><Relationship Id="rId176" Type="http://schemas.openxmlformats.org/officeDocument/2006/relationships/header" Target="header113.xml"/><Relationship Id="rId197" Type="http://schemas.openxmlformats.org/officeDocument/2006/relationships/footer" Target="footer33.xml"/><Relationship Id="rId201" Type="http://schemas.openxmlformats.org/officeDocument/2006/relationships/footer" Target="footer35.xml"/><Relationship Id="rId222" Type="http://schemas.openxmlformats.org/officeDocument/2006/relationships/header" Target="header142.xml"/><Relationship Id="rId243" Type="http://schemas.openxmlformats.org/officeDocument/2006/relationships/footer" Target="footer43.xml"/><Relationship Id="rId264" Type="http://schemas.openxmlformats.org/officeDocument/2006/relationships/header" Target="header169.xml"/><Relationship Id="rId17" Type="http://schemas.openxmlformats.org/officeDocument/2006/relationships/header" Target="header5.xml"/><Relationship Id="rId38" Type="http://schemas.openxmlformats.org/officeDocument/2006/relationships/header" Target="header21.xml"/><Relationship Id="rId59" Type="http://schemas.openxmlformats.org/officeDocument/2006/relationships/header" Target="header41.xml"/><Relationship Id="rId103" Type="http://schemas.openxmlformats.org/officeDocument/2006/relationships/footer" Target="footer9.xml"/><Relationship Id="rId124" Type="http://schemas.openxmlformats.org/officeDocument/2006/relationships/image" Target="media/image18.jpeg"/><Relationship Id="rId70" Type="http://schemas.openxmlformats.org/officeDocument/2006/relationships/header" Target="header52.xml"/><Relationship Id="rId91" Type="http://schemas.openxmlformats.org/officeDocument/2006/relationships/header" Target="header70.xml"/><Relationship Id="rId145" Type="http://schemas.openxmlformats.org/officeDocument/2006/relationships/header" Target="header98.xml"/><Relationship Id="rId166" Type="http://schemas.openxmlformats.org/officeDocument/2006/relationships/header" Target="header110.xml"/><Relationship Id="rId187" Type="http://schemas.openxmlformats.org/officeDocument/2006/relationships/header" Target="header119.xml"/><Relationship Id="rId1" Type="http://schemas.openxmlformats.org/officeDocument/2006/relationships/customXml" Target="../customXml/item1.xml"/><Relationship Id="rId212" Type="http://schemas.openxmlformats.org/officeDocument/2006/relationships/header" Target="header134.xml"/><Relationship Id="rId233" Type="http://schemas.openxmlformats.org/officeDocument/2006/relationships/header" Target="header149.xml"/><Relationship Id="rId254" Type="http://schemas.openxmlformats.org/officeDocument/2006/relationships/header" Target="header162.xml"/><Relationship Id="rId28" Type="http://schemas.openxmlformats.org/officeDocument/2006/relationships/header" Target="header11.xml"/><Relationship Id="rId49" Type="http://schemas.openxmlformats.org/officeDocument/2006/relationships/header" Target="header32.xml"/><Relationship Id="rId114" Type="http://schemas.openxmlformats.org/officeDocument/2006/relationships/header" Target="header87.xml"/><Relationship Id="rId60" Type="http://schemas.openxmlformats.org/officeDocument/2006/relationships/header" Target="header42.xml"/><Relationship Id="rId81" Type="http://schemas.openxmlformats.org/officeDocument/2006/relationships/header" Target="header62.xml"/><Relationship Id="rId135" Type="http://schemas.openxmlformats.org/officeDocument/2006/relationships/header" Target="header91.xml"/><Relationship Id="rId156" Type="http://schemas.openxmlformats.org/officeDocument/2006/relationships/header" Target="header105.xml"/><Relationship Id="rId177" Type="http://schemas.openxmlformats.org/officeDocument/2006/relationships/footer" Target="footer26.xml"/><Relationship Id="rId198" Type="http://schemas.openxmlformats.org/officeDocument/2006/relationships/header" Target="header126.xml"/><Relationship Id="rId202" Type="http://schemas.openxmlformats.org/officeDocument/2006/relationships/header" Target="header128.xml"/><Relationship Id="rId223" Type="http://schemas.openxmlformats.org/officeDocument/2006/relationships/footer" Target="footer38.xml"/><Relationship Id="rId244" Type="http://schemas.openxmlformats.org/officeDocument/2006/relationships/header" Target="header155.xml"/><Relationship Id="rId18" Type="http://schemas.openxmlformats.org/officeDocument/2006/relationships/header" Target="header6.xml"/><Relationship Id="rId39" Type="http://schemas.openxmlformats.org/officeDocument/2006/relationships/header" Target="header22.xml"/><Relationship Id="rId265" Type="http://schemas.openxmlformats.org/officeDocument/2006/relationships/fontTable" Target="fontTable.xml"/><Relationship Id="rId50" Type="http://schemas.openxmlformats.org/officeDocument/2006/relationships/header" Target="header33.xml"/><Relationship Id="rId104" Type="http://schemas.openxmlformats.org/officeDocument/2006/relationships/header" Target="header81.xml"/><Relationship Id="rId125" Type="http://schemas.openxmlformats.org/officeDocument/2006/relationships/image" Target="media/image19.jpeg"/><Relationship Id="rId146" Type="http://schemas.openxmlformats.org/officeDocument/2006/relationships/footer" Target="footer14.xml"/><Relationship Id="rId167" Type="http://schemas.openxmlformats.org/officeDocument/2006/relationships/footer" Target="footer23.xml"/><Relationship Id="rId188" Type="http://schemas.openxmlformats.org/officeDocument/2006/relationships/header" Target="header120.xml"/><Relationship Id="rId71" Type="http://schemas.openxmlformats.org/officeDocument/2006/relationships/header" Target="header53.xml"/><Relationship Id="rId92" Type="http://schemas.openxmlformats.org/officeDocument/2006/relationships/header" Target="header71.xml"/><Relationship Id="rId213" Type="http://schemas.openxmlformats.org/officeDocument/2006/relationships/header" Target="header135.xml"/><Relationship Id="rId234" Type="http://schemas.openxmlformats.org/officeDocument/2006/relationships/header" Target="header150.xml"/><Relationship Id="rId2" Type="http://schemas.openxmlformats.org/officeDocument/2006/relationships/customXml" Target="../customXml/item2.xml"/><Relationship Id="rId29" Type="http://schemas.openxmlformats.org/officeDocument/2006/relationships/header" Target="header12.xml"/><Relationship Id="rId255" Type="http://schemas.openxmlformats.org/officeDocument/2006/relationships/header" Target="header163.xml"/><Relationship Id="rId40" Type="http://schemas.openxmlformats.org/officeDocument/2006/relationships/header" Target="header23.xml"/><Relationship Id="rId115" Type="http://schemas.openxmlformats.org/officeDocument/2006/relationships/header" Target="header88.xml"/><Relationship Id="rId136" Type="http://schemas.openxmlformats.org/officeDocument/2006/relationships/footer" Target="footer12.xml"/><Relationship Id="rId157" Type="http://schemas.openxmlformats.org/officeDocument/2006/relationships/header" Target="header106.xml"/><Relationship Id="rId178" Type="http://schemas.openxmlformats.org/officeDocument/2006/relationships/header" Target="header114.xml"/><Relationship Id="rId61" Type="http://schemas.openxmlformats.org/officeDocument/2006/relationships/header" Target="header43.xml"/><Relationship Id="rId82" Type="http://schemas.openxmlformats.org/officeDocument/2006/relationships/header" Target="header63.xml"/><Relationship Id="rId199" Type="http://schemas.openxmlformats.org/officeDocument/2006/relationships/footer" Target="footer34.xml"/><Relationship Id="rId203" Type="http://schemas.openxmlformats.org/officeDocument/2006/relationships/header" Target="header129.xml"/><Relationship Id="rId19" Type="http://schemas.openxmlformats.org/officeDocument/2006/relationships/footer" Target="footer5.xml"/><Relationship Id="rId224" Type="http://schemas.openxmlformats.org/officeDocument/2006/relationships/header" Target="header143.xml"/><Relationship Id="rId245" Type="http://schemas.openxmlformats.org/officeDocument/2006/relationships/header" Target="header156.xml"/><Relationship Id="rId266" Type="http://schemas.openxmlformats.org/officeDocument/2006/relationships/theme" Target="theme/theme1.xml"/><Relationship Id="rId30" Type="http://schemas.openxmlformats.org/officeDocument/2006/relationships/header" Target="header13.xml"/><Relationship Id="rId105" Type="http://schemas.openxmlformats.org/officeDocument/2006/relationships/header" Target="header82.xml"/><Relationship Id="rId126" Type="http://schemas.openxmlformats.org/officeDocument/2006/relationships/image" Target="media/image20.png"/><Relationship Id="rId147" Type="http://schemas.openxmlformats.org/officeDocument/2006/relationships/header" Target="header99.xml"/><Relationship Id="rId168" Type="http://schemas.openxmlformats.org/officeDocument/2006/relationships/header" Target="header111.xml"/><Relationship Id="rId51" Type="http://schemas.openxmlformats.org/officeDocument/2006/relationships/header" Target="header34.xml"/><Relationship Id="rId72" Type="http://schemas.openxmlformats.org/officeDocument/2006/relationships/header" Target="header54.xml"/><Relationship Id="rId93" Type="http://schemas.openxmlformats.org/officeDocument/2006/relationships/header" Target="header72.xml"/><Relationship Id="rId189" Type="http://schemas.openxmlformats.org/officeDocument/2006/relationships/footer" Target="footer30.xml"/><Relationship Id="rId3" Type="http://schemas.openxmlformats.org/officeDocument/2006/relationships/numbering" Target="numbering.xml"/><Relationship Id="rId214" Type="http://schemas.openxmlformats.org/officeDocument/2006/relationships/footer" Target="footer37.xml"/><Relationship Id="rId235" Type="http://schemas.openxmlformats.org/officeDocument/2006/relationships/header" Target="header151.xml"/><Relationship Id="rId256" Type="http://schemas.openxmlformats.org/officeDocument/2006/relationships/header" Target="header164.xml"/><Relationship Id="rId116" Type="http://schemas.openxmlformats.org/officeDocument/2006/relationships/footer" Target="footer10.xml"/><Relationship Id="rId137" Type="http://schemas.openxmlformats.org/officeDocument/2006/relationships/image" Target="media/image26.emf"/><Relationship Id="rId158" Type="http://schemas.openxmlformats.org/officeDocument/2006/relationships/footer" Target="footer18.xml"/><Relationship Id="rId20" Type="http://schemas.openxmlformats.org/officeDocument/2006/relationships/header" Target="header7.xml"/><Relationship Id="rId41" Type="http://schemas.openxmlformats.org/officeDocument/2006/relationships/header" Target="header24.xml"/><Relationship Id="rId62" Type="http://schemas.openxmlformats.org/officeDocument/2006/relationships/header" Target="header44.xml"/><Relationship Id="rId83" Type="http://schemas.openxmlformats.org/officeDocument/2006/relationships/header" Target="header64.xml"/><Relationship Id="rId179" Type="http://schemas.openxmlformats.org/officeDocument/2006/relationships/footer" Target="footer27.xml"/><Relationship Id="rId190" Type="http://schemas.openxmlformats.org/officeDocument/2006/relationships/header" Target="header121.xml"/><Relationship Id="rId204" Type="http://schemas.openxmlformats.org/officeDocument/2006/relationships/header" Target="header130.xml"/><Relationship Id="rId225" Type="http://schemas.openxmlformats.org/officeDocument/2006/relationships/footer" Target="footer39.xml"/><Relationship Id="rId246" Type="http://schemas.openxmlformats.org/officeDocument/2006/relationships/image" Target="media/image39.emf"/><Relationship Id="rId106" Type="http://schemas.openxmlformats.org/officeDocument/2006/relationships/image" Target="media/image7.emf"/><Relationship Id="rId127" Type="http://schemas.openxmlformats.org/officeDocument/2006/relationships/image" Target="media/image21.png"/><Relationship Id="rId10" Type="http://schemas.openxmlformats.org/officeDocument/2006/relationships/footer" Target="footer1.xml"/><Relationship Id="rId31" Type="http://schemas.openxmlformats.org/officeDocument/2006/relationships/header" Target="header14.xml"/><Relationship Id="rId52" Type="http://schemas.openxmlformats.org/officeDocument/2006/relationships/header" Target="header35.xml"/><Relationship Id="rId73" Type="http://schemas.openxmlformats.org/officeDocument/2006/relationships/header" Target="header55.xml"/><Relationship Id="rId94" Type="http://schemas.openxmlformats.org/officeDocument/2006/relationships/header" Target="header73.xml"/><Relationship Id="rId148" Type="http://schemas.openxmlformats.org/officeDocument/2006/relationships/header" Target="header100.xml"/><Relationship Id="rId169" Type="http://schemas.openxmlformats.org/officeDocument/2006/relationships/footer" Target="footer24.xml"/><Relationship Id="rId4" Type="http://schemas.openxmlformats.org/officeDocument/2006/relationships/styles" Target="styles.xml"/><Relationship Id="rId180" Type="http://schemas.openxmlformats.org/officeDocument/2006/relationships/image" Target="media/image31.png"/><Relationship Id="rId215" Type="http://schemas.openxmlformats.org/officeDocument/2006/relationships/header" Target="header136.xml"/><Relationship Id="rId236" Type="http://schemas.openxmlformats.org/officeDocument/2006/relationships/image" Target="media/image36.jpeg"/><Relationship Id="rId257" Type="http://schemas.openxmlformats.org/officeDocument/2006/relationships/header" Target="header165.xml"/><Relationship Id="rId42" Type="http://schemas.openxmlformats.org/officeDocument/2006/relationships/header" Target="header25.xml"/><Relationship Id="rId84" Type="http://schemas.openxmlformats.org/officeDocument/2006/relationships/header" Target="header65.xml"/><Relationship Id="rId138" Type="http://schemas.openxmlformats.org/officeDocument/2006/relationships/header" Target="header92.xml"/><Relationship Id="rId191" Type="http://schemas.openxmlformats.org/officeDocument/2006/relationships/footer" Target="footer31.xml"/><Relationship Id="rId205" Type="http://schemas.openxmlformats.org/officeDocument/2006/relationships/image" Target="media/image32.wmf"/><Relationship Id="rId247" Type="http://schemas.openxmlformats.org/officeDocument/2006/relationships/image" Target="media/image40.emf"/></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AUTO/?uri=uriserv:OJ.L_.2016.252.01.0053.01.ENG&amp;toc=OJ:L:2016:252:TO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308D05-BDD6-4CF2-8D79-07FFE8560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559</Pages>
  <Words>160418</Words>
  <Characters>914383</Characters>
  <Application>Microsoft Office Word</Application>
  <DocSecurity>0</DocSecurity>
  <Lines>7619</Lines>
  <Paragraphs>2145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2026-06-12T06:13:00Z</dcterms:created>
  <dcterms:modified xsi:type="dcterms:W3CDTF">2026-06-12T06:13:00Z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-2038436719</vt:i4>
  </property>
  <property fmtid="{D5CDD505-2E9C-101B-9397-08002B2CF9AE}" pid="3" name="KSOProductBuildVer">
    <vt:lpwstr>1033-11.2.0.10463</vt:lpwstr>
  </property>
  <property fmtid="{D5CDD505-2E9C-101B-9397-08002B2CF9AE}" pid="4" name="ICV">
    <vt:lpwstr>EF74114C722742A78DA6EF7F64332D62</vt:lpwstr>
  </property>
</Properties>
</file>